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jc w:val="center"/>
        <w:tblLayout w:type="fixed"/>
        <w:tblCellMar>
          <w:left w:w="70" w:type="dxa"/>
          <w:right w:w="70" w:type="dxa"/>
        </w:tblCellMar>
        <w:tblLook w:val="0000" w:firstRow="0" w:lastRow="0" w:firstColumn="0" w:lastColumn="0" w:noHBand="0" w:noVBand="0"/>
      </w:tblPr>
      <w:tblGrid>
        <w:gridCol w:w="6975"/>
        <w:gridCol w:w="3798"/>
      </w:tblGrid>
      <w:tr w:rsidR="00E70CF5" w:rsidRPr="00937C8B" w14:paraId="753DCEE0" w14:textId="77777777" w:rsidTr="007822E4">
        <w:trPr>
          <w:trHeight w:val="600"/>
          <w:jc w:val="center"/>
        </w:trPr>
        <w:tc>
          <w:tcPr>
            <w:tcW w:w="6975" w:type="dxa"/>
            <w:vMerge w:val="restart"/>
            <w:tcBorders>
              <w:top w:val="single" w:sz="4" w:space="0" w:color="auto"/>
              <w:left w:val="single" w:sz="4" w:space="0" w:color="auto"/>
              <w:right w:val="single" w:sz="4" w:space="0" w:color="auto"/>
            </w:tcBorders>
            <w:vAlign w:val="center"/>
          </w:tcPr>
          <w:p w14:paraId="3E4AFE20" w14:textId="77777777" w:rsidR="00957C7F" w:rsidRPr="00937C8B" w:rsidRDefault="00957C7F" w:rsidP="00957C7F">
            <w:pPr>
              <w:pStyle w:val="En-tte"/>
              <w:tabs>
                <w:tab w:val="clear" w:pos="4252"/>
                <w:tab w:val="clear" w:pos="8504"/>
              </w:tabs>
              <w:jc w:val="both"/>
              <w:rPr>
                <w:rFonts w:ascii="Arial" w:hAnsi="Arial"/>
                <w:sz w:val="18"/>
              </w:rPr>
            </w:pPr>
            <w:r>
              <w:rPr>
                <w:rFonts w:ascii="Arial" w:hAnsi="Arial"/>
                <w:sz w:val="18"/>
              </w:rPr>
              <w:t>Chapitre</w:t>
            </w:r>
          </w:p>
          <w:p w14:paraId="5E03DD27" w14:textId="77777777" w:rsidR="00957C7F" w:rsidRPr="00937C8B" w:rsidRDefault="00957C7F" w:rsidP="00957C7F">
            <w:pPr>
              <w:pStyle w:val="En-tte"/>
              <w:tabs>
                <w:tab w:val="clear" w:pos="4252"/>
                <w:tab w:val="clear" w:pos="8504"/>
              </w:tabs>
              <w:jc w:val="both"/>
              <w:rPr>
                <w:rFonts w:ascii="Arial" w:hAnsi="Arial"/>
                <w:sz w:val="16"/>
              </w:rPr>
            </w:pPr>
          </w:p>
          <w:p w14:paraId="5547FE9A" w14:textId="77777777" w:rsidR="00957C7F" w:rsidRPr="00937C8B" w:rsidRDefault="00957C7F" w:rsidP="00957C7F">
            <w:pPr>
              <w:pStyle w:val="En-tte"/>
              <w:tabs>
                <w:tab w:val="clear" w:pos="4252"/>
                <w:tab w:val="clear" w:pos="8504"/>
              </w:tabs>
              <w:jc w:val="both"/>
              <w:rPr>
                <w:rFonts w:ascii="Arial" w:hAnsi="Arial"/>
                <w:sz w:val="18"/>
              </w:rPr>
            </w:pPr>
            <w:r>
              <w:rPr>
                <w:rFonts w:ascii="Arial" w:hAnsi="Arial"/>
                <w:sz w:val="18"/>
              </w:rPr>
              <w:t>Rubrique</w:t>
            </w:r>
          </w:p>
          <w:p w14:paraId="45FF4731" w14:textId="77777777" w:rsidR="00957C7F" w:rsidRPr="00937C8B" w:rsidRDefault="00957C7F" w:rsidP="00957C7F">
            <w:pPr>
              <w:pStyle w:val="En-tte"/>
              <w:tabs>
                <w:tab w:val="clear" w:pos="4252"/>
                <w:tab w:val="clear" w:pos="8504"/>
              </w:tabs>
              <w:jc w:val="both"/>
              <w:rPr>
                <w:rFonts w:ascii="Arial" w:hAnsi="Arial"/>
              </w:rPr>
            </w:pPr>
          </w:p>
          <w:p w14:paraId="6D5AF632" w14:textId="77777777" w:rsidR="00957C7F" w:rsidRPr="00937C8B" w:rsidRDefault="00957C7F" w:rsidP="00957C7F">
            <w:pPr>
              <w:pStyle w:val="En-tte"/>
              <w:tabs>
                <w:tab w:val="clear" w:pos="4252"/>
                <w:tab w:val="clear" w:pos="8504"/>
              </w:tabs>
              <w:jc w:val="both"/>
              <w:rPr>
                <w:rFonts w:ascii="Arial" w:hAnsi="Arial"/>
              </w:rPr>
            </w:pPr>
          </w:p>
          <w:p w14:paraId="55A3BC5F" w14:textId="77777777" w:rsidR="00957C7F" w:rsidRPr="00937C8B" w:rsidRDefault="00957C7F" w:rsidP="00957C7F">
            <w:pPr>
              <w:pStyle w:val="En-tte"/>
              <w:tabs>
                <w:tab w:val="clear" w:pos="4252"/>
                <w:tab w:val="clear" w:pos="8504"/>
              </w:tabs>
              <w:jc w:val="both"/>
              <w:rPr>
                <w:rFonts w:ascii="Arial" w:hAnsi="Arial"/>
              </w:rPr>
            </w:pPr>
          </w:p>
          <w:p w14:paraId="057E6B0C" w14:textId="77777777" w:rsidR="00957C7F" w:rsidRPr="00937C8B" w:rsidRDefault="00957C7F" w:rsidP="00957C7F">
            <w:pPr>
              <w:pStyle w:val="En-tte"/>
              <w:tabs>
                <w:tab w:val="clear" w:pos="4252"/>
                <w:tab w:val="clear" w:pos="8504"/>
              </w:tabs>
              <w:jc w:val="center"/>
              <w:rPr>
                <w:rFonts w:ascii="Arial" w:hAnsi="Arial"/>
              </w:rPr>
            </w:pPr>
            <w:r>
              <w:rPr>
                <w:rFonts w:ascii="Arial" w:hAnsi="Arial"/>
                <w:sz w:val="18"/>
              </w:rPr>
              <w:t>(À remplir dans le Journal officiel de l'État espagnol)</w:t>
            </w:r>
          </w:p>
          <w:p w14:paraId="5DDD595D" w14:textId="77777777" w:rsidR="00E70CF5" w:rsidRPr="00937C8B" w:rsidRDefault="00E70CF5">
            <w:pPr>
              <w:pStyle w:val="En-tte"/>
              <w:tabs>
                <w:tab w:val="clear" w:pos="4252"/>
                <w:tab w:val="clear" w:pos="8504"/>
              </w:tabs>
              <w:ind w:left="360" w:right="172"/>
              <w:jc w:val="center"/>
              <w:rPr>
                <w:rFonts w:ascii="Arial" w:hAnsi="Arial"/>
                <w:sz w:val="20"/>
                <w:lang w:val="es-ES_tradnl"/>
              </w:rPr>
            </w:pPr>
          </w:p>
        </w:tc>
        <w:tc>
          <w:tcPr>
            <w:tcW w:w="3798" w:type="dxa"/>
            <w:tcBorders>
              <w:top w:val="single" w:sz="4" w:space="0" w:color="auto"/>
              <w:left w:val="single" w:sz="4" w:space="0" w:color="auto"/>
              <w:bottom w:val="single" w:sz="4" w:space="0" w:color="auto"/>
              <w:right w:val="single" w:sz="4" w:space="0" w:color="auto"/>
            </w:tcBorders>
            <w:vAlign w:val="center"/>
          </w:tcPr>
          <w:p w14:paraId="0FBA32DC" w14:textId="77777777" w:rsidR="00E70CF5" w:rsidRPr="00937C8B" w:rsidRDefault="00E70CF5">
            <w:pPr>
              <w:pStyle w:val="En-tte"/>
              <w:tabs>
                <w:tab w:val="clear" w:pos="4252"/>
                <w:tab w:val="clear" w:pos="8504"/>
              </w:tabs>
              <w:ind w:left="360" w:right="172"/>
              <w:jc w:val="center"/>
              <w:rPr>
                <w:rFonts w:ascii="Arial" w:hAnsi="Arial"/>
                <w:sz w:val="20"/>
                <w:lang w:val="es-ES_tradnl"/>
              </w:rPr>
            </w:pPr>
          </w:p>
        </w:tc>
      </w:tr>
      <w:tr w:rsidR="00E70CF5" w:rsidRPr="00937C8B" w14:paraId="7B3FB4D2" w14:textId="77777777" w:rsidTr="007822E4">
        <w:trPr>
          <w:trHeight w:hRule="exact" w:val="600"/>
          <w:jc w:val="center"/>
        </w:trPr>
        <w:tc>
          <w:tcPr>
            <w:tcW w:w="6975" w:type="dxa"/>
            <w:vMerge/>
            <w:tcBorders>
              <w:left w:val="single" w:sz="4" w:space="0" w:color="auto"/>
              <w:right w:val="single" w:sz="4" w:space="0" w:color="auto"/>
            </w:tcBorders>
            <w:vAlign w:val="center"/>
          </w:tcPr>
          <w:p w14:paraId="5F3666FA" w14:textId="77777777" w:rsidR="00E70CF5" w:rsidRPr="00937C8B" w:rsidRDefault="00E70CF5">
            <w:pPr>
              <w:pStyle w:val="En-tte"/>
              <w:tabs>
                <w:tab w:val="clear" w:pos="4252"/>
                <w:tab w:val="clear" w:pos="8504"/>
              </w:tabs>
              <w:ind w:left="360" w:right="172"/>
              <w:jc w:val="center"/>
              <w:rPr>
                <w:rFonts w:ascii="Arial" w:hAnsi="Arial"/>
                <w:sz w:val="20"/>
                <w:lang w:val="es-ES_tradnl"/>
              </w:rPr>
            </w:pPr>
          </w:p>
        </w:tc>
        <w:tc>
          <w:tcPr>
            <w:tcW w:w="3798" w:type="dxa"/>
            <w:tcBorders>
              <w:top w:val="single" w:sz="4" w:space="0" w:color="auto"/>
              <w:left w:val="single" w:sz="4" w:space="0" w:color="auto"/>
              <w:bottom w:val="single" w:sz="4" w:space="0" w:color="auto"/>
              <w:right w:val="single" w:sz="4" w:space="0" w:color="auto"/>
            </w:tcBorders>
            <w:vAlign w:val="center"/>
          </w:tcPr>
          <w:p w14:paraId="45196B8C" w14:textId="77777777" w:rsidR="00E70CF5" w:rsidRPr="00937C8B" w:rsidRDefault="00E70CF5">
            <w:pPr>
              <w:pStyle w:val="En-tte"/>
              <w:tabs>
                <w:tab w:val="clear" w:pos="4252"/>
                <w:tab w:val="clear" w:pos="8504"/>
              </w:tabs>
              <w:ind w:left="360" w:right="172"/>
              <w:jc w:val="center"/>
              <w:rPr>
                <w:rFonts w:ascii="Arial" w:hAnsi="Arial"/>
                <w:sz w:val="20"/>
                <w:lang w:val="es-ES_tradnl"/>
              </w:rPr>
            </w:pPr>
          </w:p>
        </w:tc>
      </w:tr>
      <w:tr w:rsidR="00E70CF5" w:rsidRPr="00937C8B" w14:paraId="34D42902" w14:textId="77777777" w:rsidTr="00E70CF5">
        <w:trPr>
          <w:trHeight w:hRule="exact" w:val="600"/>
          <w:jc w:val="center"/>
        </w:trPr>
        <w:tc>
          <w:tcPr>
            <w:tcW w:w="6975" w:type="dxa"/>
            <w:vMerge/>
            <w:tcBorders>
              <w:left w:val="single" w:sz="4" w:space="0" w:color="auto"/>
              <w:right w:val="single" w:sz="4" w:space="0" w:color="auto"/>
            </w:tcBorders>
            <w:vAlign w:val="center"/>
          </w:tcPr>
          <w:p w14:paraId="5608C9C2" w14:textId="77777777" w:rsidR="00E70CF5" w:rsidRPr="00937C8B" w:rsidRDefault="00E70CF5">
            <w:pPr>
              <w:pStyle w:val="En-tte"/>
              <w:tabs>
                <w:tab w:val="clear" w:pos="4252"/>
                <w:tab w:val="clear" w:pos="8504"/>
              </w:tabs>
              <w:ind w:left="360" w:right="172"/>
              <w:jc w:val="center"/>
              <w:rPr>
                <w:rFonts w:ascii="Arial" w:hAnsi="Arial"/>
                <w:sz w:val="20"/>
                <w:lang w:val="es-ES_tradnl"/>
              </w:rPr>
            </w:pPr>
          </w:p>
        </w:tc>
        <w:tc>
          <w:tcPr>
            <w:tcW w:w="3798" w:type="dxa"/>
            <w:tcBorders>
              <w:top w:val="single" w:sz="4" w:space="0" w:color="auto"/>
              <w:left w:val="single" w:sz="4" w:space="0" w:color="auto"/>
              <w:right w:val="single" w:sz="4" w:space="0" w:color="auto"/>
            </w:tcBorders>
            <w:vAlign w:val="center"/>
          </w:tcPr>
          <w:p w14:paraId="2A30FFDA" w14:textId="77777777" w:rsidR="00E70CF5" w:rsidRPr="00937C8B" w:rsidRDefault="00E70CF5">
            <w:pPr>
              <w:pStyle w:val="En-tte"/>
              <w:tabs>
                <w:tab w:val="clear" w:pos="4252"/>
                <w:tab w:val="clear" w:pos="8504"/>
              </w:tabs>
              <w:ind w:left="360" w:right="172"/>
              <w:jc w:val="center"/>
              <w:rPr>
                <w:rFonts w:ascii="Arial" w:hAnsi="Arial"/>
                <w:sz w:val="20"/>
                <w:lang w:val="es-ES_tradnl"/>
              </w:rPr>
            </w:pPr>
          </w:p>
        </w:tc>
      </w:tr>
      <w:tr w:rsidR="00E70CF5" w:rsidRPr="00937C8B" w14:paraId="33E41E6A" w14:textId="77777777" w:rsidTr="00E70CF5">
        <w:trPr>
          <w:trHeight w:hRule="exact" w:val="600"/>
          <w:jc w:val="center"/>
        </w:trPr>
        <w:tc>
          <w:tcPr>
            <w:tcW w:w="6975" w:type="dxa"/>
            <w:vMerge/>
            <w:tcBorders>
              <w:left w:val="single" w:sz="4" w:space="0" w:color="auto"/>
              <w:bottom w:val="single" w:sz="4" w:space="0" w:color="auto"/>
              <w:right w:val="single" w:sz="4" w:space="0" w:color="auto"/>
            </w:tcBorders>
            <w:vAlign w:val="center"/>
          </w:tcPr>
          <w:p w14:paraId="4A361143" w14:textId="77777777" w:rsidR="00E70CF5" w:rsidRPr="00937C8B" w:rsidRDefault="00E70CF5">
            <w:pPr>
              <w:pStyle w:val="En-tte"/>
              <w:tabs>
                <w:tab w:val="clear" w:pos="4252"/>
                <w:tab w:val="clear" w:pos="8504"/>
              </w:tabs>
              <w:ind w:left="360" w:right="172"/>
              <w:jc w:val="center"/>
              <w:rPr>
                <w:rFonts w:ascii="Arial" w:hAnsi="Arial"/>
                <w:sz w:val="20"/>
                <w:lang w:val="es-ES_tradnl"/>
              </w:rPr>
            </w:pPr>
          </w:p>
        </w:tc>
        <w:tc>
          <w:tcPr>
            <w:tcW w:w="3798" w:type="dxa"/>
            <w:tcBorders>
              <w:left w:val="single" w:sz="4" w:space="0" w:color="auto"/>
              <w:bottom w:val="single" w:sz="4" w:space="0" w:color="auto"/>
              <w:right w:val="single" w:sz="4" w:space="0" w:color="auto"/>
            </w:tcBorders>
            <w:vAlign w:val="center"/>
          </w:tcPr>
          <w:p w14:paraId="17410186" w14:textId="77777777" w:rsidR="00E70CF5" w:rsidRPr="00937C8B" w:rsidRDefault="00E70CF5">
            <w:pPr>
              <w:pStyle w:val="En-tte"/>
              <w:tabs>
                <w:tab w:val="clear" w:pos="4252"/>
                <w:tab w:val="clear" w:pos="8504"/>
              </w:tabs>
              <w:ind w:left="360" w:right="172"/>
              <w:jc w:val="center"/>
              <w:rPr>
                <w:rFonts w:ascii="Arial" w:hAnsi="Arial"/>
                <w:sz w:val="20"/>
                <w:lang w:val="es-ES_tradnl"/>
              </w:rPr>
            </w:pPr>
          </w:p>
        </w:tc>
      </w:tr>
    </w:tbl>
    <w:p w14:paraId="516F8CD7" w14:textId="77777777" w:rsidR="00831252" w:rsidRDefault="00831252" w:rsidP="00831252">
      <w:pPr>
        <w:pStyle w:val="Textebrut"/>
        <w:rPr>
          <w:rFonts w:ascii="Courier New" w:hAnsi="Courier New" w:cs="Courier New"/>
          <w:sz w:val="20"/>
        </w:rPr>
      </w:pPr>
    </w:p>
    <w:p w14:paraId="3F7B071F" w14:textId="77777777" w:rsidR="00831252" w:rsidRPr="008E3FB8" w:rsidRDefault="00831252" w:rsidP="00831252">
      <w:pPr>
        <w:pStyle w:val="Textebrut"/>
        <w:rPr>
          <w:rFonts w:ascii="Courier New" w:hAnsi="Courier New" w:cs="Courier New"/>
          <w:sz w:val="20"/>
        </w:rPr>
      </w:pPr>
      <w:r>
        <w:rPr>
          <w:rFonts w:ascii="Courier New" w:hAnsi="Courier New"/>
          <w:sz w:val="20"/>
        </w:rPr>
        <w:t>1. ------IND- 2018 0617 E-- FR- ------ 20200709 --- --- FINAL</w:t>
      </w:r>
    </w:p>
    <w:p w14:paraId="6DCD0321" w14:textId="77777777" w:rsidR="009F6AAD" w:rsidRPr="00937C8B" w:rsidRDefault="009F6AAD">
      <w:pPr>
        <w:pStyle w:val="En-tte"/>
        <w:tabs>
          <w:tab w:val="clear" w:pos="4252"/>
          <w:tab w:val="clear" w:pos="8504"/>
        </w:tabs>
        <w:ind w:left="360" w:right="172"/>
        <w:rPr>
          <w:rFonts w:ascii="Arial" w:hAnsi="Arial"/>
          <w:sz w:val="20"/>
        </w:rPr>
      </w:pP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88"/>
      </w:tblGrid>
      <w:tr w:rsidR="009F6AAD" w:rsidRPr="00937C8B" w14:paraId="09E5105F" w14:textId="77777777" w:rsidTr="0058501F">
        <w:trPr>
          <w:trHeight w:hRule="exact" w:val="2295"/>
          <w:jc w:val="center"/>
        </w:trPr>
        <w:tc>
          <w:tcPr>
            <w:tcW w:w="10788" w:type="dxa"/>
            <w:tcBorders>
              <w:bottom w:val="single" w:sz="4" w:space="0" w:color="auto"/>
            </w:tcBorders>
          </w:tcPr>
          <w:p w14:paraId="6CFE0524" w14:textId="77777777" w:rsidR="009F6AAD" w:rsidRPr="00937C8B" w:rsidRDefault="009F6AAD">
            <w:pPr>
              <w:pStyle w:val="En-tte"/>
              <w:tabs>
                <w:tab w:val="clear" w:pos="4252"/>
                <w:tab w:val="clear" w:pos="8504"/>
              </w:tabs>
              <w:ind w:left="461" w:right="172"/>
              <w:jc w:val="both"/>
              <w:rPr>
                <w:rFonts w:ascii="Arial" w:hAnsi="Arial"/>
                <w:lang w:val="es-ES_tradnl"/>
              </w:rPr>
            </w:pPr>
          </w:p>
          <w:p w14:paraId="68183587" w14:textId="77777777" w:rsidR="004F5D35" w:rsidRPr="00937C8B" w:rsidRDefault="004F5D35">
            <w:pPr>
              <w:pStyle w:val="En-tte"/>
              <w:tabs>
                <w:tab w:val="clear" w:pos="4252"/>
                <w:tab w:val="clear" w:pos="8504"/>
              </w:tabs>
              <w:ind w:left="461" w:right="172"/>
              <w:jc w:val="both"/>
              <w:rPr>
                <w:rFonts w:ascii="Arial" w:hAnsi="Arial"/>
                <w:lang w:val="es-ES_tradnl"/>
              </w:rPr>
            </w:pPr>
          </w:p>
          <w:p w14:paraId="03CA7B33" w14:textId="1E187083" w:rsidR="009F6AAD" w:rsidRPr="00937C8B" w:rsidRDefault="000F2780" w:rsidP="00957C7F">
            <w:pPr>
              <w:tabs>
                <w:tab w:val="left" w:pos="1080"/>
              </w:tabs>
              <w:spacing w:line="360" w:lineRule="atLeast"/>
              <w:ind w:left="461" w:right="170"/>
              <w:jc w:val="both"/>
              <w:rPr>
                <w:rFonts w:ascii="Arial" w:hAnsi="Arial"/>
                <w:b/>
                <w:sz w:val="28"/>
              </w:rPr>
            </w:pPr>
            <w:r>
              <w:rPr>
                <w:rFonts w:ascii="Arial" w:hAnsi="Arial"/>
                <w:b/>
              </w:rPr>
              <w:t>DÉCRET ROYAL PORTANT MODIFICATION DU CODE TECHNIQUE DE LA CONSTRUCTION, APPROUVÉ PAR LE DÉCRET ROYAL </w:t>
            </w:r>
            <w:r w:rsidR="00EA7588">
              <w:rPr>
                <w:rFonts w:ascii="Arial" w:hAnsi="Arial"/>
                <w:b/>
              </w:rPr>
              <w:t>Nº </w:t>
            </w:r>
            <w:r>
              <w:rPr>
                <w:rFonts w:ascii="Arial" w:hAnsi="Arial"/>
                <w:b/>
              </w:rPr>
              <w:t>314/2006 DU 17 MARS 2006</w:t>
            </w:r>
          </w:p>
        </w:tc>
      </w:tr>
    </w:tbl>
    <w:p w14:paraId="33B1D2DF" w14:textId="77777777" w:rsidR="009F6AAD" w:rsidRPr="00937C8B" w:rsidRDefault="009F6AAD">
      <w:pPr>
        <w:ind w:left="360" w:right="172"/>
        <w:jc w:val="both"/>
      </w:pPr>
    </w:p>
    <w:p w14:paraId="47F37DFE" w14:textId="77777777" w:rsidR="004836CD" w:rsidRPr="00937C8B" w:rsidRDefault="004836CD" w:rsidP="000D0247">
      <w:pPr>
        <w:spacing w:before="120" w:line="312" w:lineRule="auto"/>
        <w:ind w:firstLine="426"/>
        <w:jc w:val="both"/>
        <w:rPr>
          <w:rFonts w:ascii="Arial" w:hAnsi="Arial" w:cs="Arial"/>
        </w:rPr>
      </w:pPr>
      <w:r>
        <w:rPr>
          <w:rFonts w:ascii="Arial" w:hAnsi="Arial"/>
        </w:rPr>
        <w:t>La loi nº 38/1999 du 5 novembre 1999 relative à la réglementation de la construction définit le Code technique de la construction (CTE) comme cadre normatif qui fixe les exigences de base de la qualité des bâtiments et de leurs installations, et qui permet le respect des conditions de base fixées dans son article 3. Le Code technique de la construction (CTE) prévu dans cette loi a été approuvé par le décret royal nº 314/2006 du 17 mars 2006.</w:t>
      </w:r>
    </w:p>
    <w:p w14:paraId="63354FF7" w14:textId="77777777" w:rsidR="004836CD" w:rsidRPr="00937C8B" w:rsidRDefault="004836CD" w:rsidP="0058501F">
      <w:pPr>
        <w:spacing w:before="120" w:line="312" w:lineRule="auto"/>
        <w:ind w:firstLine="425"/>
        <w:jc w:val="both"/>
        <w:rPr>
          <w:rFonts w:ascii="Arial" w:hAnsi="Arial" w:cs="Arial"/>
        </w:rPr>
      </w:pPr>
      <w:r>
        <w:rPr>
          <w:rFonts w:ascii="Arial" w:hAnsi="Arial"/>
        </w:rPr>
        <w:t xml:space="preserve">Les documents de base qui composent la partie II du CTE précisent et quantifient, le cas échéant, les exigences de base énoncées dans la partie I en déterminant des niveaux cibles, des seuils applicables à la prestation ou d’autres paramètres. Plus précisément, les documents de base </w:t>
      </w:r>
      <w:r>
        <w:rPr>
          <w:rFonts w:ascii="Arial" w:hAnsi="Arial"/>
          <w:u w:val="single"/>
        </w:rPr>
        <w:t>«Économie d’énergie» (DB-HE)</w:t>
      </w:r>
      <w:r>
        <w:rPr>
          <w:rFonts w:ascii="Arial" w:hAnsi="Arial"/>
        </w:rPr>
        <w:t xml:space="preserve"> et «Salubrité» (DB HS) précisent et quantifient respectivement les exigences en matière de performance énergétique et de salubrité applicables aux nouveaux bâtiments, ainsi que les interventions à effectuer sur les bâtiments existants. </w:t>
      </w:r>
    </w:p>
    <w:p w14:paraId="0F4996A4" w14:textId="04740740" w:rsidR="004836CD" w:rsidRPr="00937C8B" w:rsidRDefault="004836CD" w:rsidP="0058501F">
      <w:pPr>
        <w:spacing w:before="120" w:line="312" w:lineRule="auto"/>
        <w:ind w:firstLine="425"/>
        <w:jc w:val="both"/>
        <w:rPr>
          <w:rFonts w:ascii="Arial" w:hAnsi="Arial" w:cs="Arial"/>
        </w:rPr>
      </w:pPr>
      <w:r>
        <w:rPr>
          <w:rFonts w:ascii="Arial" w:hAnsi="Arial"/>
        </w:rPr>
        <w:t xml:space="preserve">Les exigences en matière de performance énergétique des bâtiments, visées aux articles 4, 5 et 6 de la directive 2002/91/CE du Parlement européen et du Conseil du 16 décembre 2002 sur la performance énergétique des bâtiments, ont été transposées dans le décret royal nº 314/2006 du 17 mars 2006, et ont été intégrées au document de base «Économie d’énergie». Par la suite, la directive 2010/31/UE du Parlement européen et du Conseil du 19 mai 2010 sur la performance énergétique des bâtiments a été approuvée, modifiant et refondant la directive 2002/91/CE du 16 décembre 2002 sur la performance énergétique des bâtiments, et motivant par conséquent la mise à jour du document de base DB-HE «Économie d’énergie» par le décret FOM/1635/2013 du 10 septembre 2013, modifié ultérieurement par le décret FOM/588/2017 du 15 juin 2017, pour achever l’adaptation de son contenu à la directive citée. La directive 2010/31/UE du Parlement </w:t>
      </w:r>
      <w:r>
        <w:rPr>
          <w:rFonts w:ascii="Arial" w:hAnsi="Arial"/>
        </w:rPr>
        <w:lastRenderedPageBreak/>
        <w:t>européen et du Conseil du 19</w:t>
      </w:r>
      <w:r w:rsidR="00EA7588">
        <w:rPr>
          <w:rFonts w:ascii="Arial" w:hAnsi="Arial"/>
        </w:rPr>
        <w:t> </w:t>
      </w:r>
      <w:r>
        <w:rPr>
          <w:rFonts w:ascii="Arial" w:hAnsi="Arial"/>
        </w:rPr>
        <w:t>mai</w:t>
      </w:r>
      <w:r w:rsidR="00EA7588">
        <w:rPr>
          <w:rFonts w:ascii="Arial" w:hAnsi="Arial"/>
        </w:rPr>
        <w:t> </w:t>
      </w:r>
      <w:r>
        <w:rPr>
          <w:rFonts w:ascii="Arial" w:hAnsi="Arial"/>
        </w:rPr>
        <w:t>2010 sur la performance énergétique des bâtiments a été modifiée par la directive (UE) 2018/844 du Parlement européen et du Conseil du 30</w:t>
      </w:r>
      <w:r w:rsidR="00EA7588">
        <w:rPr>
          <w:rFonts w:ascii="Arial" w:hAnsi="Arial"/>
        </w:rPr>
        <w:t> </w:t>
      </w:r>
      <w:r>
        <w:rPr>
          <w:rFonts w:ascii="Arial" w:hAnsi="Arial"/>
        </w:rPr>
        <w:t>mai</w:t>
      </w:r>
      <w:r w:rsidR="00EA7588">
        <w:rPr>
          <w:rFonts w:ascii="Arial" w:hAnsi="Arial"/>
        </w:rPr>
        <w:t> </w:t>
      </w:r>
      <w:r>
        <w:rPr>
          <w:rFonts w:ascii="Arial" w:hAnsi="Arial"/>
        </w:rPr>
        <w:t>2018 modifiant la directive 2010/31/UE sur la performance énergétique des bâtiments et par la directive 2012/27/UE du Parlement européen et du Conseil du 25</w:t>
      </w:r>
      <w:r w:rsidR="00EA7588">
        <w:rPr>
          <w:rFonts w:ascii="Arial" w:hAnsi="Arial"/>
        </w:rPr>
        <w:t> </w:t>
      </w:r>
      <w:r>
        <w:rPr>
          <w:rFonts w:ascii="Arial" w:hAnsi="Arial"/>
        </w:rPr>
        <w:t>octobre</w:t>
      </w:r>
      <w:r w:rsidR="00EA7588">
        <w:rPr>
          <w:rFonts w:ascii="Arial" w:hAnsi="Arial"/>
        </w:rPr>
        <w:t> </w:t>
      </w:r>
      <w:r>
        <w:rPr>
          <w:rFonts w:ascii="Arial" w:hAnsi="Arial"/>
        </w:rPr>
        <w:t>2012 relative à l’efficacité énergétique. La directive (UE) 2018/844 du Parlement européen et du Conseil du 30</w:t>
      </w:r>
      <w:r w:rsidR="00EA7588">
        <w:rPr>
          <w:rFonts w:ascii="Arial" w:hAnsi="Arial"/>
        </w:rPr>
        <w:t> </w:t>
      </w:r>
      <w:r>
        <w:rPr>
          <w:rFonts w:ascii="Arial" w:hAnsi="Arial"/>
        </w:rPr>
        <w:t>mai</w:t>
      </w:r>
      <w:r w:rsidR="00EA7588">
        <w:rPr>
          <w:rFonts w:ascii="Arial" w:hAnsi="Arial"/>
        </w:rPr>
        <w:t> </w:t>
      </w:r>
      <w:r>
        <w:rPr>
          <w:rFonts w:ascii="Arial" w:hAnsi="Arial"/>
        </w:rPr>
        <w:t>2018 ne fait pas l</w:t>
      </w:r>
      <w:r w:rsidR="00EA7588">
        <w:rPr>
          <w:rFonts w:ascii="Arial" w:hAnsi="Arial"/>
        </w:rPr>
        <w:t>’</w:t>
      </w:r>
      <w:r>
        <w:rPr>
          <w:rFonts w:ascii="Arial" w:hAnsi="Arial"/>
        </w:rPr>
        <w:t>objet d</w:t>
      </w:r>
      <w:r w:rsidR="00EA7588">
        <w:rPr>
          <w:rFonts w:ascii="Arial" w:hAnsi="Arial"/>
        </w:rPr>
        <w:t>’</w:t>
      </w:r>
      <w:r>
        <w:rPr>
          <w:rFonts w:ascii="Arial" w:hAnsi="Arial"/>
        </w:rPr>
        <w:t xml:space="preserve">une transposition dans le présent décret royal. </w:t>
      </w:r>
    </w:p>
    <w:p w14:paraId="1524D83D" w14:textId="77777777" w:rsidR="004836CD" w:rsidRPr="00937C8B" w:rsidRDefault="004836CD" w:rsidP="0058501F">
      <w:pPr>
        <w:spacing w:before="120" w:line="312" w:lineRule="auto"/>
        <w:ind w:firstLine="425"/>
        <w:jc w:val="both"/>
        <w:rPr>
          <w:rFonts w:ascii="Arial" w:hAnsi="Arial" w:cs="Arial"/>
        </w:rPr>
      </w:pPr>
      <w:r>
        <w:rPr>
          <w:rFonts w:ascii="Arial" w:hAnsi="Arial"/>
        </w:rPr>
        <w:t xml:space="preserve">La directive 2010/31/UE du Parlement européen et du Conseil du 19 mai 2010 sur la performance énergétique des bâtiments établit l’obligation de réviser et de mettre à jour les exigences minimales en matière de performance énergétique à intervalles réguliers n’excédant pas une durée de cinq ans afin de tenir compte des progrès techniques réalisés dans le secteur du bâtiment. C’est pourquoi cette nouvelle révision du document de base DB-HE «Économie d’énergie» est nécessaire. La révision introduit des modifications dans la structure des exigences de base afin de les adapter à la réglementation européenne, révise les valeurs minimales de performance énergétique auxquelles doivent satisfaire les bâtiments et actualise la définition de bâtiment à consommation d’énergie quasi nulle. </w:t>
      </w:r>
    </w:p>
    <w:p w14:paraId="41885AA7" w14:textId="77777777" w:rsidR="004836CD" w:rsidRPr="00937C8B" w:rsidRDefault="004836CD" w:rsidP="0058501F">
      <w:pPr>
        <w:spacing w:before="120" w:line="312" w:lineRule="auto"/>
        <w:ind w:firstLine="425"/>
        <w:jc w:val="both"/>
        <w:rPr>
          <w:rFonts w:ascii="Arial" w:hAnsi="Arial" w:cs="Arial"/>
        </w:rPr>
      </w:pPr>
      <w:r>
        <w:rPr>
          <w:rFonts w:ascii="Arial" w:hAnsi="Arial"/>
        </w:rPr>
        <w:t xml:space="preserve">Par ailleurs, le 5 décembre 2013, la directive 2013/59/Euratom du Conseil fixant les normes de base relatives à la protection sanitaire contre les dangers résultant de l’exposition aux rayonnements ionisants et abrogeant les directives 89/618/Euratom, 90/641/Euratom, 96/29/Euratom, 97/43/Euratom et 2003/122/Euratom, a été approuvée. </w:t>
      </w:r>
    </w:p>
    <w:p w14:paraId="270A7EE1" w14:textId="77777777" w:rsidR="004836CD" w:rsidRPr="00937C8B" w:rsidRDefault="004836CD" w:rsidP="0058501F">
      <w:pPr>
        <w:spacing w:before="120" w:line="312" w:lineRule="auto"/>
        <w:ind w:firstLine="425"/>
        <w:jc w:val="both"/>
        <w:rPr>
          <w:rFonts w:ascii="Arial" w:hAnsi="Arial" w:cs="Arial"/>
        </w:rPr>
      </w:pPr>
      <w:r>
        <w:rPr>
          <w:rFonts w:ascii="Arial" w:hAnsi="Arial"/>
        </w:rPr>
        <w:t xml:space="preserve">Cette directive impose aux États membres d’établir des niveaux nationaux de référence pour les concentrations de radon dans des espaces clos et d’adopter des mesures adéquates pour limiter la pénétration du radon dans les bâtiments. </w:t>
      </w:r>
    </w:p>
    <w:p w14:paraId="58B238C8" w14:textId="77777777" w:rsidR="004836CD" w:rsidRPr="00937C8B" w:rsidRDefault="004836CD" w:rsidP="0058501F">
      <w:pPr>
        <w:spacing w:before="120" w:line="312" w:lineRule="auto"/>
        <w:ind w:firstLine="425"/>
        <w:jc w:val="both"/>
        <w:rPr>
          <w:rFonts w:ascii="Arial" w:hAnsi="Arial" w:cs="Arial"/>
        </w:rPr>
      </w:pPr>
      <w:r>
        <w:rPr>
          <w:rFonts w:ascii="Arial" w:hAnsi="Arial"/>
        </w:rPr>
        <w:t>En conséquence de ce qui précède et pour la transposition partielle de cette directive, le présent décret royal introduit une nouvelle exigence de base en matière de salubrité HS 6 pour la protection contre le gaz radon, en vertu de laquelle il est obligatoire, pour les bâtiments situés dans les communes présentant un niveau de risque non négligeable, de disposer des moyens adaptés pour limiter le risque prévisible de pénétration inadéquate du radon provenant du terrain à l’intérieur de ceux-ci. Cette exigence de base est développée par l’ajout d’un nouveau chapitre dans le document de base DB HS de «Salubrité», qui caractérise et quantifie l’exigence et établit les critères de contrôle et de justification de son respect.</w:t>
      </w:r>
    </w:p>
    <w:p w14:paraId="48392F97" w14:textId="77777777" w:rsidR="004836CD" w:rsidRPr="00937C8B" w:rsidRDefault="004836CD" w:rsidP="0058501F">
      <w:pPr>
        <w:spacing w:before="120" w:line="312" w:lineRule="auto"/>
        <w:ind w:firstLine="425"/>
        <w:jc w:val="both"/>
        <w:rPr>
          <w:rFonts w:ascii="Arial" w:hAnsi="Arial" w:cs="Arial"/>
        </w:rPr>
      </w:pPr>
      <w:r>
        <w:rPr>
          <w:rFonts w:ascii="Arial" w:hAnsi="Arial"/>
        </w:rPr>
        <w:t>De même, compte tenu des effets sur les enceintes extérieures au bâtiment que pourrait engendrer l’augmentation des nouvelles exigences réglementaires en matière de performance énergétique, des modifications sont apportées au document de base DB SI de «Sécurité incendie» afin de limiter de manière appropriée le risque de propagation de l’incendie depuis l’extérieur du bâtiment.</w:t>
      </w:r>
    </w:p>
    <w:p w14:paraId="54E39303" w14:textId="77777777" w:rsidR="004836CD" w:rsidRPr="00937C8B" w:rsidRDefault="004836CD" w:rsidP="0058501F">
      <w:pPr>
        <w:spacing w:before="120" w:line="312" w:lineRule="auto"/>
        <w:ind w:firstLine="425"/>
        <w:jc w:val="both"/>
        <w:rPr>
          <w:rFonts w:ascii="Arial" w:hAnsi="Arial" w:cs="Arial"/>
        </w:rPr>
      </w:pPr>
      <w:r>
        <w:rPr>
          <w:rFonts w:ascii="Arial" w:hAnsi="Arial"/>
        </w:rPr>
        <w:lastRenderedPageBreak/>
        <w:t>Enfin, le présent décret royal comprend également une mise à jour des références réglementaires de certains documents de base du CTE.</w:t>
      </w:r>
    </w:p>
    <w:p w14:paraId="398BCE28" w14:textId="236DC7A4" w:rsidR="004836CD" w:rsidRPr="00937C8B" w:rsidRDefault="004836CD" w:rsidP="0058501F">
      <w:pPr>
        <w:spacing w:before="120" w:line="312" w:lineRule="auto"/>
        <w:ind w:firstLine="425"/>
        <w:jc w:val="both"/>
        <w:rPr>
          <w:rFonts w:ascii="Arial" w:hAnsi="Arial" w:cs="Arial"/>
        </w:rPr>
      </w:pPr>
      <w:r>
        <w:rPr>
          <w:rFonts w:ascii="Arial" w:hAnsi="Arial"/>
        </w:rPr>
        <w:t>Le présent décret royal est conforme aux principes de nécessité, d’efficacité, de proportionnalité, de sécurité juridique, de transparence et de productivité établis à l’article 129 de la loi nº 39/2015 du 1er octobre 2015 sur les procédures administratives communes des administrations publiques. Concernant les principes de nécessité et d</w:t>
      </w:r>
      <w:r w:rsidR="00EA7588">
        <w:rPr>
          <w:rFonts w:ascii="Arial" w:hAnsi="Arial"/>
        </w:rPr>
        <w:t>’</w:t>
      </w:r>
      <w:r>
        <w:rPr>
          <w:rFonts w:ascii="Arial" w:hAnsi="Arial"/>
        </w:rPr>
        <w:t>efficacité, la norme répond à l</w:t>
      </w:r>
      <w:r w:rsidR="00EA7588">
        <w:rPr>
          <w:rFonts w:ascii="Arial" w:hAnsi="Arial"/>
        </w:rPr>
        <w:t>’</w:t>
      </w:r>
      <w:r>
        <w:rPr>
          <w:rFonts w:ascii="Arial" w:hAnsi="Arial"/>
        </w:rPr>
        <w:t>obligation de transposition dans l</w:t>
      </w:r>
      <w:r w:rsidR="00EA7588">
        <w:rPr>
          <w:rFonts w:ascii="Arial" w:hAnsi="Arial"/>
        </w:rPr>
        <w:t>’</w:t>
      </w:r>
      <w:r>
        <w:rPr>
          <w:rFonts w:ascii="Arial" w:hAnsi="Arial"/>
        </w:rPr>
        <w:t>ordre juridique national des directives européennes et est adaptée à des objectifs d</w:t>
      </w:r>
      <w:r w:rsidR="00EA7588">
        <w:rPr>
          <w:rFonts w:ascii="Arial" w:hAnsi="Arial"/>
        </w:rPr>
        <w:t>’</w:t>
      </w:r>
      <w:r>
        <w:rPr>
          <w:rFonts w:ascii="Arial" w:hAnsi="Arial"/>
        </w:rPr>
        <w:t>intérêt général, tels que la limitation du risque d</w:t>
      </w:r>
      <w:r w:rsidR="00EA7588">
        <w:rPr>
          <w:rFonts w:ascii="Arial" w:hAnsi="Arial"/>
        </w:rPr>
        <w:t>’</w:t>
      </w:r>
      <w:r>
        <w:rPr>
          <w:rFonts w:ascii="Arial" w:hAnsi="Arial"/>
        </w:rPr>
        <w:t>exposition des utilisateurs des bâtiments à des concentrations élevées de radon et la réduction de la consommation d</w:t>
      </w:r>
      <w:r w:rsidR="00EA7588">
        <w:rPr>
          <w:rFonts w:ascii="Arial" w:hAnsi="Arial"/>
        </w:rPr>
        <w:t>’</w:t>
      </w:r>
      <w:r>
        <w:rPr>
          <w:rFonts w:ascii="Arial" w:hAnsi="Arial"/>
        </w:rPr>
        <w:t>énergie dans les bâtiments, en limitant la vulnérabilité de ses utilisateurs. Son application se traduira par de meilleures conditions de sécurité et d</w:t>
      </w:r>
      <w:r w:rsidR="00EA7588">
        <w:rPr>
          <w:rFonts w:ascii="Arial" w:hAnsi="Arial"/>
        </w:rPr>
        <w:t>’</w:t>
      </w:r>
      <w:r>
        <w:rPr>
          <w:rFonts w:ascii="Arial" w:hAnsi="Arial"/>
        </w:rPr>
        <w:t>habitabilité pour les personnes, une amélioration du bien-être à l’échelle de la société et une meilleure protection de l</w:t>
      </w:r>
      <w:r w:rsidR="00EA7588">
        <w:rPr>
          <w:rFonts w:ascii="Arial" w:hAnsi="Arial"/>
        </w:rPr>
        <w:t>’</w:t>
      </w:r>
      <w:r>
        <w:rPr>
          <w:rFonts w:ascii="Arial" w:hAnsi="Arial"/>
        </w:rPr>
        <w:t>environnement. La règle est également conforme au principe de proportionnalité, car elle représente les moyens nécessaires et suffisants pour exécuter les mandats légaux envisagés dans les préceptes susmentionnés, sans pour autant représenter pas une innovation inutile ou dépassant les exigences légales, ni impliquer une restriction des droits des citoyens. La norme est conforme aux principes de sécurité juridique, car les procédures énoncées dans la loi 50/1997 du 27</w:t>
      </w:r>
      <w:r w:rsidR="00EA7588">
        <w:rPr>
          <w:rFonts w:ascii="Arial" w:hAnsi="Arial"/>
        </w:rPr>
        <w:t> </w:t>
      </w:r>
      <w:r>
        <w:rPr>
          <w:rFonts w:ascii="Arial" w:hAnsi="Arial"/>
        </w:rPr>
        <w:t>novembre</w:t>
      </w:r>
      <w:r w:rsidR="00EA7588">
        <w:rPr>
          <w:rFonts w:ascii="Arial" w:hAnsi="Arial"/>
        </w:rPr>
        <w:t> </w:t>
      </w:r>
      <w:r>
        <w:rPr>
          <w:rFonts w:ascii="Arial" w:hAnsi="Arial"/>
        </w:rPr>
        <w:t>1997 du gouvernement ont été respectées, et de transparence, car elle identifie clairement sa finalité et fait l</w:t>
      </w:r>
      <w:r w:rsidR="00EA7588">
        <w:rPr>
          <w:rFonts w:ascii="Arial" w:hAnsi="Arial"/>
        </w:rPr>
        <w:t>’</w:t>
      </w:r>
      <w:r>
        <w:rPr>
          <w:rFonts w:ascii="Arial" w:hAnsi="Arial"/>
        </w:rPr>
        <w:t>objet d’un rapport accessible au public offrant une explication complète de son contenu. Enfin, elle est également conforme au principe d</w:t>
      </w:r>
      <w:r w:rsidR="00EA7588">
        <w:rPr>
          <w:rFonts w:ascii="Arial" w:hAnsi="Arial"/>
        </w:rPr>
        <w:t>’</w:t>
      </w:r>
      <w:r>
        <w:rPr>
          <w:rFonts w:ascii="Arial" w:hAnsi="Arial"/>
        </w:rPr>
        <w:t>efficacité, car elle n</w:t>
      </w:r>
      <w:r w:rsidR="00EA7588">
        <w:rPr>
          <w:rFonts w:ascii="Arial" w:hAnsi="Arial"/>
        </w:rPr>
        <w:t>’</w:t>
      </w:r>
      <w:r>
        <w:rPr>
          <w:rFonts w:ascii="Arial" w:hAnsi="Arial"/>
        </w:rPr>
        <w:t>impose pas de charges administratives.</w:t>
      </w:r>
    </w:p>
    <w:p w14:paraId="437095DE" w14:textId="77777777" w:rsidR="004836CD" w:rsidRPr="00937C8B" w:rsidRDefault="004836CD" w:rsidP="0058501F">
      <w:pPr>
        <w:spacing w:before="120" w:line="312" w:lineRule="auto"/>
        <w:ind w:firstLine="425"/>
        <w:jc w:val="both"/>
        <w:rPr>
          <w:rFonts w:ascii="Arial" w:hAnsi="Arial" w:cs="Arial"/>
        </w:rPr>
      </w:pPr>
      <w:r>
        <w:rPr>
          <w:rFonts w:ascii="Arial" w:hAnsi="Arial"/>
        </w:rPr>
        <w:t>Cette disposition générale a été soumise à la procédure d’information dans le domaine des réglementations techniques et des règles relatives aux services de la société de l’information prévue par la directive (UE) 2015/1535 du Parlement européen et du Conseil du 9 septembre 2015, ainsi que par le décret royal nº 1337/1999 du 31 juillet 1999.</w:t>
      </w:r>
    </w:p>
    <w:p w14:paraId="51324E79" w14:textId="77777777" w:rsidR="004836CD" w:rsidRPr="00937C8B" w:rsidRDefault="004836CD" w:rsidP="0058501F">
      <w:pPr>
        <w:spacing w:before="120" w:line="312" w:lineRule="auto"/>
        <w:ind w:firstLine="425"/>
        <w:jc w:val="both"/>
        <w:rPr>
          <w:rFonts w:ascii="Arial" w:hAnsi="Arial" w:cs="Arial"/>
        </w:rPr>
      </w:pPr>
      <w:r>
        <w:rPr>
          <w:rFonts w:ascii="Arial" w:hAnsi="Arial"/>
        </w:rPr>
        <w:t>En vertu de quoi, sur proposition du ministre de l’équipement, après accord du Conseil d’État et délibération du Conseil des ministres le                               ,</w:t>
      </w:r>
    </w:p>
    <w:p w14:paraId="11F95638" w14:textId="77777777" w:rsidR="00025E15" w:rsidRPr="00937C8B" w:rsidRDefault="00025E15" w:rsidP="00511D25">
      <w:pPr>
        <w:spacing w:before="120" w:line="312" w:lineRule="auto"/>
        <w:jc w:val="both"/>
        <w:rPr>
          <w:rFonts w:ascii="Arial" w:hAnsi="Arial" w:cs="Arial"/>
        </w:rPr>
      </w:pPr>
    </w:p>
    <w:p w14:paraId="256D6927" w14:textId="77777777" w:rsidR="004836CD" w:rsidRPr="00831252" w:rsidRDefault="004836CD" w:rsidP="00D27646">
      <w:pPr>
        <w:keepNext/>
        <w:spacing w:before="120" w:line="312" w:lineRule="auto"/>
        <w:ind w:firstLine="425"/>
        <w:jc w:val="center"/>
        <w:rPr>
          <w:rFonts w:ascii="Arial" w:hAnsi="Arial" w:cs="Arial"/>
        </w:rPr>
      </w:pPr>
      <w:r>
        <w:rPr>
          <w:rFonts w:ascii="Arial" w:hAnsi="Arial"/>
        </w:rPr>
        <w:t>JE DISPOSE:</w:t>
      </w:r>
    </w:p>
    <w:p w14:paraId="7167C998" w14:textId="77777777" w:rsidR="004836CD" w:rsidRPr="00831252" w:rsidRDefault="004836CD" w:rsidP="00D27646">
      <w:pPr>
        <w:keepNext/>
        <w:ind w:firstLine="284"/>
        <w:jc w:val="both"/>
        <w:rPr>
          <w:rFonts w:ascii="Arial" w:hAnsi="Arial" w:cs="Arial"/>
          <w:lang w:val="pt-PT"/>
        </w:rPr>
      </w:pPr>
    </w:p>
    <w:p w14:paraId="35ADB08C" w14:textId="77777777" w:rsidR="00511D25" w:rsidRPr="00937C8B" w:rsidRDefault="004836CD" w:rsidP="0058501F">
      <w:pPr>
        <w:spacing w:before="120" w:line="312" w:lineRule="auto"/>
        <w:jc w:val="both"/>
        <w:rPr>
          <w:rFonts w:ascii="Arial" w:hAnsi="Arial" w:cs="Arial"/>
          <w:i/>
          <w:sz w:val="20"/>
          <w:szCs w:val="20"/>
        </w:rPr>
      </w:pPr>
      <w:r>
        <w:rPr>
          <w:rFonts w:ascii="Arial" w:hAnsi="Arial"/>
          <w:b/>
        </w:rPr>
        <w:t>Article unique.</w:t>
      </w:r>
      <w:r>
        <w:rPr>
          <w:rFonts w:ascii="Arial" w:hAnsi="Arial"/>
        </w:rPr>
        <w:t xml:space="preserve"> Modification du Code technique de la construction, approuvé par le décret royal nº 314/2006 du 17 mars 2006. </w:t>
      </w:r>
    </w:p>
    <w:p w14:paraId="635ACD17" w14:textId="77777777" w:rsidR="004836CD" w:rsidRPr="00937C8B" w:rsidRDefault="004836CD" w:rsidP="00D27646">
      <w:pPr>
        <w:keepNext/>
        <w:spacing w:before="120" w:line="312" w:lineRule="auto"/>
        <w:jc w:val="both"/>
        <w:rPr>
          <w:rFonts w:ascii="Arial" w:hAnsi="Arial" w:cs="Arial"/>
        </w:rPr>
      </w:pPr>
      <w:r>
        <w:rPr>
          <w:rFonts w:ascii="Arial" w:hAnsi="Arial"/>
        </w:rPr>
        <w:lastRenderedPageBreak/>
        <w:t>Le décret royal nº 314/2006 du 17 mars 2006, approuvant le Code technique de la construction (CTE), est modifié comme suit:</w:t>
      </w:r>
    </w:p>
    <w:p w14:paraId="2D7ACA37" w14:textId="77777777" w:rsidR="004836CD" w:rsidRPr="00937C8B" w:rsidRDefault="004836CD" w:rsidP="00D27646">
      <w:pPr>
        <w:keepNext/>
        <w:spacing w:before="120" w:line="312" w:lineRule="auto"/>
        <w:jc w:val="both"/>
        <w:rPr>
          <w:rFonts w:ascii="Arial" w:hAnsi="Arial" w:cs="Arial"/>
        </w:rPr>
      </w:pPr>
      <w:r>
        <w:rPr>
          <w:rFonts w:ascii="Arial" w:hAnsi="Arial"/>
        </w:rPr>
        <w:t>Un. La partie I du Code technique est modifiée dans les termes suivants:</w:t>
      </w:r>
    </w:p>
    <w:p w14:paraId="5AAC782B" w14:textId="77777777" w:rsidR="004836CD" w:rsidRPr="00937C8B" w:rsidRDefault="004836CD" w:rsidP="00D27646">
      <w:pPr>
        <w:keepNext/>
        <w:spacing w:before="120" w:line="312" w:lineRule="auto"/>
        <w:jc w:val="both"/>
        <w:rPr>
          <w:rFonts w:ascii="Arial" w:hAnsi="Arial" w:cs="Arial"/>
        </w:rPr>
      </w:pPr>
      <w:r>
        <w:rPr>
          <w:rFonts w:ascii="Arial" w:hAnsi="Arial"/>
        </w:rPr>
        <w:t>Au chapitre 3, article 13, article 3, le texte suivant est introduit à la fin:</w:t>
      </w:r>
    </w:p>
    <w:p w14:paraId="258B01CF" w14:textId="77777777" w:rsidR="004836CD" w:rsidRPr="00937C8B" w:rsidRDefault="004836CD" w:rsidP="0058501F">
      <w:pPr>
        <w:spacing w:before="120" w:line="312" w:lineRule="auto"/>
        <w:ind w:left="425"/>
        <w:jc w:val="both"/>
        <w:rPr>
          <w:rFonts w:ascii="Arial" w:hAnsi="Arial" w:cs="Arial"/>
        </w:rPr>
      </w:pPr>
      <w:r>
        <w:rPr>
          <w:rFonts w:ascii="Arial" w:hAnsi="Arial"/>
        </w:rPr>
        <w:t>«13.6 Exigence de base HS 6: Protection contre l’exposition au radon.</w:t>
      </w:r>
    </w:p>
    <w:p w14:paraId="60D12329" w14:textId="77777777" w:rsidR="004836CD" w:rsidRPr="00937C8B" w:rsidRDefault="004836CD" w:rsidP="0058501F">
      <w:pPr>
        <w:spacing w:before="120" w:line="312" w:lineRule="auto"/>
        <w:ind w:left="426"/>
        <w:jc w:val="both"/>
        <w:rPr>
          <w:rFonts w:ascii="Arial" w:hAnsi="Arial" w:cs="Arial"/>
        </w:rPr>
      </w:pPr>
      <w:r>
        <w:rPr>
          <w:rFonts w:ascii="Arial" w:hAnsi="Arial"/>
        </w:rPr>
        <w:t>Les bâtiments disposeront de moyens adaptés pour limiter le risque prévisible d’exposition inadaptée au radon provenant du terrain pour les enceintes.»</w:t>
      </w:r>
    </w:p>
    <w:p w14:paraId="523EC83D" w14:textId="77777777" w:rsidR="004836CD" w:rsidRPr="00937C8B" w:rsidRDefault="004836CD" w:rsidP="00D27646">
      <w:pPr>
        <w:keepNext/>
        <w:spacing w:before="120" w:line="312" w:lineRule="auto"/>
        <w:jc w:val="both"/>
        <w:rPr>
          <w:rFonts w:ascii="Arial" w:hAnsi="Arial" w:cs="Arial"/>
        </w:rPr>
      </w:pPr>
      <w:r>
        <w:rPr>
          <w:rFonts w:ascii="Arial" w:hAnsi="Arial"/>
        </w:rPr>
        <w:t>Au chapitre 3, l’article 15 est rédigé de la manière suivante:</w:t>
      </w:r>
    </w:p>
    <w:p w14:paraId="4D94BF06" w14:textId="77777777" w:rsidR="004836CD" w:rsidRPr="00937C8B" w:rsidRDefault="004836CD" w:rsidP="00D27646">
      <w:pPr>
        <w:keepNext/>
        <w:spacing w:before="120" w:line="312" w:lineRule="auto"/>
        <w:ind w:left="425"/>
        <w:jc w:val="both"/>
        <w:rPr>
          <w:rFonts w:ascii="Arial" w:hAnsi="Arial" w:cs="Arial"/>
        </w:rPr>
      </w:pPr>
      <w:r>
        <w:rPr>
          <w:rFonts w:ascii="Arial" w:hAnsi="Arial"/>
        </w:rPr>
        <w:t>«Article 15. Exigences de base en matière d’économie d’énergie (HE).</w:t>
      </w:r>
    </w:p>
    <w:p w14:paraId="5E71347A" w14:textId="77777777" w:rsidR="004836CD" w:rsidRPr="00937C8B" w:rsidRDefault="004836CD" w:rsidP="0058501F">
      <w:pPr>
        <w:spacing w:before="120" w:line="312" w:lineRule="auto"/>
        <w:ind w:left="709" w:hanging="283"/>
        <w:jc w:val="both"/>
        <w:rPr>
          <w:rFonts w:ascii="Arial" w:hAnsi="Arial" w:cs="Arial"/>
        </w:rPr>
      </w:pPr>
      <w:r>
        <w:rPr>
          <w:rFonts w:ascii="Arial" w:hAnsi="Arial"/>
        </w:rPr>
        <w:t>1.</w:t>
      </w:r>
      <w:r>
        <w:rPr>
          <w:rFonts w:ascii="Arial" w:hAnsi="Arial"/>
        </w:rPr>
        <w:tab/>
        <w:t>L’objectif de l’exigence de base «Économie d’énergie» consiste à obtenir une utilisation rationnelle de l’énergie nécessaire à l’utilisation des bâtiments en réduisant leur consommation à des limites durables et en veillant à ce qu’une partie de cette consommation soit issue de sources d’énergie renouvelables, en fonction des caractéristiques du projet, de construction, d’utilisation et d’entretien.</w:t>
      </w:r>
    </w:p>
    <w:p w14:paraId="37F70A5B" w14:textId="77777777" w:rsidR="004836CD" w:rsidRPr="00937C8B" w:rsidRDefault="004836CD" w:rsidP="0058501F">
      <w:pPr>
        <w:spacing w:before="120" w:line="312" w:lineRule="auto"/>
        <w:ind w:left="709" w:hanging="283"/>
        <w:jc w:val="both"/>
        <w:rPr>
          <w:rFonts w:ascii="Arial" w:hAnsi="Arial" w:cs="Arial"/>
        </w:rPr>
      </w:pPr>
      <w:r>
        <w:rPr>
          <w:rFonts w:ascii="Arial" w:hAnsi="Arial"/>
        </w:rPr>
        <w:t>2.</w:t>
      </w:r>
      <w:r>
        <w:rPr>
          <w:rFonts w:ascii="Arial" w:hAnsi="Arial"/>
        </w:rPr>
        <w:tab/>
        <w:t>Afin d’atteindre cet objectif, les bâtiments seront conçus, construits, utilisés et entretenus de manière à respecter les exigences de base définies dans les articles ci-après.</w:t>
      </w:r>
    </w:p>
    <w:p w14:paraId="1B551D54" w14:textId="77777777" w:rsidR="004836CD" w:rsidRPr="00937C8B" w:rsidRDefault="004836CD" w:rsidP="0058501F">
      <w:pPr>
        <w:spacing w:before="120" w:line="312" w:lineRule="auto"/>
        <w:ind w:left="709" w:hanging="283"/>
        <w:jc w:val="both"/>
        <w:rPr>
          <w:rFonts w:ascii="Arial" w:hAnsi="Arial" w:cs="Arial"/>
        </w:rPr>
      </w:pPr>
      <w:r>
        <w:rPr>
          <w:rFonts w:ascii="Arial" w:hAnsi="Arial"/>
        </w:rPr>
        <w:t>3.</w:t>
      </w:r>
      <w:r>
        <w:rPr>
          <w:rFonts w:ascii="Arial" w:hAnsi="Arial"/>
        </w:rPr>
        <w:tab/>
        <w:t>Le document de base «DB HE Économie d’énergie» prévoit des paramètres objectifs et des procédures dont la mise en œuvre garantit le respect des exigences de base et le dépassement des niveaux minimaux de qualité propres à l’exigence de base en matière d’économie d’énergie.</w:t>
      </w:r>
    </w:p>
    <w:p w14:paraId="2B52D1F2" w14:textId="77777777" w:rsidR="004836CD" w:rsidRPr="00937C8B" w:rsidRDefault="004836CD" w:rsidP="00D27646">
      <w:pPr>
        <w:keepNext/>
        <w:spacing w:before="120" w:line="312" w:lineRule="auto"/>
        <w:ind w:left="709" w:hanging="284"/>
        <w:jc w:val="both"/>
        <w:rPr>
          <w:rFonts w:ascii="Arial" w:hAnsi="Arial" w:cs="Arial"/>
        </w:rPr>
      </w:pPr>
      <w:r>
        <w:rPr>
          <w:rFonts w:ascii="Arial" w:hAnsi="Arial"/>
        </w:rPr>
        <w:t>15.1. Exigence de base HE 0: Limitation de la consommation d’énergie.</w:t>
      </w:r>
    </w:p>
    <w:p w14:paraId="234CEDC2" w14:textId="77777777" w:rsidR="004836CD" w:rsidRPr="00937C8B" w:rsidRDefault="004836CD" w:rsidP="0058501F">
      <w:pPr>
        <w:spacing w:before="120" w:line="312" w:lineRule="auto"/>
        <w:ind w:left="426"/>
        <w:jc w:val="both"/>
        <w:rPr>
          <w:rFonts w:ascii="Arial" w:hAnsi="Arial" w:cs="Arial"/>
        </w:rPr>
      </w:pPr>
      <w:r>
        <w:rPr>
          <w:rFonts w:ascii="Arial" w:hAnsi="Arial"/>
        </w:rPr>
        <w:t>La consommation d’énergie des bâtiments sera limitée en tenant compte de la zone climatique de leur emplacement, de l’usage du bâtiment et dans le cas de bâtiments existants, de l’étendue de l’intervention. La consommation d’énergie se fera majoritairement à partir de sources d’énergie renouvelables.</w:t>
      </w:r>
    </w:p>
    <w:p w14:paraId="5949F1D5" w14:textId="77777777" w:rsidR="004836CD" w:rsidRPr="00937C8B" w:rsidRDefault="004836CD" w:rsidP="00D27646">
      <w:pPr>
        <w:keepNext/>
        <w:spacing w:before="120" w:line="312" w:lineRule="auto"/>
        <w:ind w:left="425"/>
        <w:jc w:val="both"/>
        <w:rPr>
          <w:rFonts w:ascii="Arial" w:hAnsi="Arial" w:cs="Arial"/>
        </w:rPr>
      </w:pPr>
      <w:r>
        <w:rPr>
          <w:rFonts w:ascii="Arial" w:hAnsi="Arial"/>
        </w:rPr>
        <w:t>15.2. Exigence de base HE 1: Conditions de contrôle de la demande d’énergie.</w:t>
      </w:r>
    </w:p>
    <w:p w14:paraId="04CF67BA" w14:textId="77777777" w:rsidR="004836CD" w:rsidRPr="00937C8B" w:rsidRDefault="004836CD" w:rsidP="0058501F">
      <w:pPr>
        <w:spacing w:before="120" w:line="312" w:lineRule="auto"/>
        <w:ind w:left="426"/>
        <w:jc w:val="both"/>
        <w:rPr>
          <w:rFonts w:ascii="Arial" w:hAnsi="Arial" w:cs="Arial"/>
        </w:rPr>
      </w:pPr>
      <w:r>
        <w:rPr>
          <w:rFonts w:ascii="Arial" w:hAnsi="Arial"/>
        </w:rPr>
        <w:t>Les bâtiments disposeront d’une enceinte thermique dotée de caractéristiques permettant de limiter les besoins en énergie primaire afin d’atteindre le bien-être thermique en fonction de la zone climatique de leur emplacement, du régime d’été et d’hiver, de l’usage du bâtiment et, dans le cas de bâtiments existants, de l’étendue de l’intervention.</w:t>
      </w:r>
    </w:p>
    <w:p w14:paraId="23CAFAE7" w14:textId="77777777" w:rsidR="004836CD" w:rsidRPr="00937C8B" w:rsidRDefault="004836CD" w:rsidP="0058501F">
      <w:pPr>
        <w:spacing w:before="120" w:line="312" w:lineRule="auto"/>
        <w:ind w:left="426"/>
        <w:jc w:val="both"/>
        <w:rPr>
          <w:rFonts w:ascii="Arial" w:hAnsi="Arial" w:cs="Arial"/>
        </w:rPr>
      </w:pPr>
      <w:r>
        <w:rPr>
          <w:rFonts w:ascii="Arial" w:hAnsi="Arial"/>
        </w:rPr>
        <w:t xml:space="preserve">Les caractéristiques des éléments de l’enceinte thermique choisies en fonction de la zone climatique permettront d’éviter les décompensations de qualité thermique des différents espaces habitables. De même, les caractéristiques des cloisons intérieures limiteront le </w:t>
      </w:r>
      <w:r>
        <w:rPr>
          <w:rFonts w:ascii="Arial" w:hAnsi="Arial"/>
        </w:rPr>
        <w:lastRenderedPageBreak/>
        <w:t>transfert de chaleur entre des unités destinées à différents usages et entre les unités d’utilisation et les zones communes du bâtiment.</w:t>
      </w:r>
    </w:p>
    <w:p w14:paraId="3D082977" w14:textId="77777777" w:rsidR="004836CD" w:rsidRPr="00937C8B" w:rsidRDefault="004836CD" w:rsidP="0058501F">
      <w:pPr>
        <w:spacing w:before="120" w:line="312" w:lineRule="auto"/>
        <w:ind w:left="426"/>
        <w:jc w:val="both"/>
        <w:rPr>
          <w:rFonts w:ascii="Arial" w:hAnsi="Arial" w:cs="Arial"/>
        </w:rPr>
      </w:pPr>
      <w:r>
        <w:rPr>
          <w:rFonts w:ascii="Arial" w:hAnsi="Arial"/>
        </w:rPr>
        <w:t>Les risques liés à des processus qui entraînent une diminution significative des performances thermiques ou de la durée de vie utile des éléments qui composent l’enceinte thermique, tels que les condensations, seront limités.</w:t>
      </w:r>
    </w:p>
    <w:p w14:paraId="7D2B80E2" w14:textId="77777777" w:rsidR="004836CD" w:rsidRPr="00937C8B" w:rsidRDefault="004836CD" w:rsidP="00D27646">
      <w:pPr>
        <w:keepNext/>
        <w:spacing w:before="120" w:line="312" w:lineRule="auto"/>
        <w:ind w:left="425"/>
        <w:jc w:val="both"/>
        <w:rPr>
          <w:rFonts w:ascii="Arial" w:hAnsi="Arial" w:cs="Arial"/>
        </w:rPr>
      </w:pPr>
      <w:r>
        <w:rPr>
          <w:rFonts w:ascii="Arial" w:hAnsi="Arial"/>
        </w:rPr>
        <w:t>15.3. Exigence de base HE 2: Conditions des installations thermiques.</w:t>
      </w:r>
    </w:p>
    <w:p w14:paraId="08FC6952" w14:textId="77777777" w:rsidR="004836CD" w:rsidRPr="00937C8B" w:rsidRDefault="004836CD" w:rsidP="0058501F">
      <w:pPr>
        <w:spacing w:before="120" w:line="312" w:lineRule="auto"/>
        <w:ind w:left="426"/>
        <w:jc w:val="both"/>
        <w:rPr>
          <w:rFonts w:ascii="Arial" w:hAnsi="Arial" w:cs="Arial"/>
        </w:rPr>
      </w:pPr>
      <w:r>
        <w:rPr>
          <w:rFonts w:ascii="Arial" w:hAnsi="Arial"/>
        </w:rPr>
        <w:t>Les installations thermiques des bâtiments seront appropriées pour atteindre le bien-être thermique de leurs occupants. Cette exigence est développée actuellement dans le Règlement des installations thermiques des bâtiments (RITE) en vigueur et son application doit être définie dans le projet du bâtiment.</w:t>
      </w:r>
    </w:p>
    <w:p w14:paraId="56613525" w14:textId="77777777" w:rsidR="004836CD" w:rsidRPr="00937C8B" w:rsidRDefault="004836CD" w:rsidP="00D27646">
      <w:pPr>
        <w:keepNext/>
        <w:spacing w:before="120" w:line="312" w:lineRule="auto"/>
        <w:ind w:left="425"/>
        <w:jc w:val="both"/>
        <w:rPr>
          <w:rFonts w:ascii="Arial" w:hAnsi="Arial" w:cs="Arial"/>
        </w:rPr>
      </w:pPr>
      <w:r>
        <w:rPr>
          <w:rFonts w:ascii="Arial" w:hAnsi="Arial"/>
        </w:rPr>
        <w:t>15.4. Exigence de base HE 3: Conditions des installations d’éclairage.</w:t>
      </w:r>
    </w:p>
    <w:p w14:paraId="6A40BBC8" w14:textId="77777777" w:rsidR="004836CD" w:rsidRPr="00937C8B" w:rsidRDefault="004836CD" w:rsidP="0058501F">
      <w:pPr>
        <w:spacing w:before="120" w:line="312" w:lineRule="auto"/>
        <w:ind w:left="426"/>
        <w:jc w:val="both"/>
        <w:rPr>
          <w:rFonts w:ascii="Arial" w:hAnsi="Arial" w:cs="Arial"/>
        </w:rPr>
      </w:pPr>
      <w:r>
        <w:rPr>
          <w:rFonts w:ascii="Arial" w:hAnsi="Arial"/>
        </w:rPr>
        <w:t>Les bâtiments doivent être dotés d’installations d’éclairage adaptées aux besoins de leurs usagers et efficaces sur le plan énergétique grâce à un système de contrôle permettant de régler le fonctionnement en fonction de l’occupation réelle de la zone ainsi qu’à un système de réglage permettant d’optimiser l’exploitation de la lumière naturelle dans les zones réunissant des conditions déterminées.</w:t>
      </w:r>
    </w:p>
    <w:p w14:paraId="5070E4B6" w14:textId="77777777" w:rsidR="004836CD" w:rsidRPr="00937C8B" w:rsidRDefault="004836CD" w:rsidP="00D27646">
      <w:pPr>
        <w:keepNext/>
        <w:spacing w:before="120" w:line="312" w:lineRule="auto"/>
        <w:ind w:left="425"/>
        <w:jc w:val="both"/>
        <w:rPr>
          <w:rFonts w:ascii="Arial" w:hAnsi="Arial" w:cs="Arial"/>
        </w:rPr>
      </w:pPr>
      <w:r>
        <w:rPr>
          <w:rFonts w:ascii="Arial" w:hAnsi="Arial"/>
        </w:rPr>
        <w:t>15.5. Exigence de base HE 4: Apport minimal d’énergie renouvelable afin de couvrir la demande en eau chaude sanitaire.</w:t>
      </w:r>
    </w:p>
    <w:p w14:paraId="1602FA07" w14:textId="509B1365" w:rsidR="004836CD" w:rsidRPr="00937C8B" w:rsidRDefault="004836CD" w:rsidP="0058501F">
      <w:pPr>
        <w:spacing w:before="120" w:line="312" w:lineRule="auto"/>
        <w:ind w:left="426"/>
        <w:jc w:val="both"/>
        <w:rPr>
          <w:rFonts w:ascii="Arial" w:hAnsi="Arial" w:cs="Arial"/>
        </w:rPr>
      </w:pPr>
      <w:r>
        <w:rPr>
          <w:rFonts w:ascii="Arial" w:hAnsi="Arial"/>
        </w:rPr>
        <w:t>Les bâtiments satisferont aux besoins en eau chaude sanitaire et en climatisation de piscine couverte en utilisant largement des sources d’énergie renouvelables ou des processus de cogénération renouvelables; provenant du même bâtiment ou d</w:t>
      </w:r>
      <w:r w:rsidR="00EA7588">
        <w:rPr>
          <w:rFonts w:ascii="Arial" w:hAnsi="Arial"/>
        </w:rPr>
        <w:t>’</w:t>
      </w:r>
      <w:r>
        <w:rPr>
          <w:rFonts w:ascii="Arial" w:hAnsi="Arial"/>
        </w:rPr>
        <w:t>un raccordement à un système de chauffage urbain.</w:t>
      </w:r>
    </w:p>
    <w:p w14:paraId="0B3EA534" w14:textId="77777777" w:rsidR="004836CD" w:rsidRPr="00937C8B" w:rsidRDefault="004836CD" w:rsidP="00D27646">
      <w:pPr>
        <w:keepNext/>
        <w:spacing w:before="120" w:line="312" w:lineRule="auto"/>
        <w:ind w:left="425"/>
        <w:jc w:val="both"/>
        <w:rPr>
          <w:rFonts w:ascii="Arial" w:hAnsi="Arial" w:cs="Arial"/>
        </w:rPr>
      </w:pPr>
      <w:r>
        <w:rPr>
          <w:rFonts w:ascii="Arial" w:hAnsi="Arial"/>
        </w:rPr>
        <w:t>15.6. Exigence de base HE 5: Génération minimale d’énergie électrique.</w:t>
      </w:r>
    </w:p>
    <w:p w14:paraId="7D547A61" w14:textId="77777777" w:rsidR="004836CD" w:rsidRPr="00937C8B" w:rsidRDefault="004836CD" w:rsidP="0058501F">
      <w:pPr>
        <w:spacing w:before="120" w:line="312" w:lineRule="auto"/>
        <w:ind w:left="426"/>
        <w:jc w:val="both"/>
        <w:rPr>
          <w:rFonts w:ascii="Arial" w:hAnsi="Arial" w:cs="Arial"/>
        </w:rPr>
      </w:pPr>
      <w:r>
        <w:rPr>
          <w:rFonts w:ascii="Arial" w:hAnsi="Arial"/>
        </w:rPr>
        <w:t>Les bâtiments présentant une consommation élevée d’énergie électrique seront dotés de systèmes de génération électrique provenant d’énergie renouvelables pour leur propre usage ou la distribution sur le réseau.»</w:t>
      </w:r>
    </w:p>
    <w:p w14:paraId="2CE7C7D0" w14:textId="77777777" w:rsidR="00D609C6" w:rsidRPr="00937C8B" w:rsidRDefault="00F654E5" w:rsidP="00D27646">
      <w:pPr>
        <w:keepNext/>
        <w:spacing w:before="120" w:line="312" w:lineRule="auto"/>
        <w:jc w:val="both"/>
        <w:rPr>
          <w:rFonts w:ascii="Arial" w:hAnsi="Arial" w:cs="Arial"/>
        </w:rPr>
      </w:pPr>
      <w:r>
        <w:rPr>
          <w:rFonts w:ascii="Arial" w:hAnsi="Arial"/>
        </w:rPr>
        <w:t xml:space="preserve">Les modifications suivantes sont apportées au sommaire: </w:t>
      </w:r>
    </w:p>
    <w:p w14:paraId="52E931AE" w14:textId="77777777" w:rsidR="004836CD" w:rsidRPr="00937C8B" w:rsidRDefault="004836CD" w:rsidP="00D27646">
      <w:pPr>
        <w:pStyle w:val="Paragraphedeliste"/>
        <w:keepNext/>
        <w:numPr>
          <w:ilvl w:val="0"/>
          <w:numId w:val="2"/>
        </w:numPr>
        <w:spacing w:before="120" w:after="0" w:line="312" w:lineRule="auto"/>
        <w:ind w:left="284" w:hanging="284"/>
        <w:jc w:val="both"/>
        <w:rPr>
          <w:rFonts w:ascii="Arial" w:hAnsi="Arial" w:cs="Arial"/>
          <w:sz w:val="24"/>
          <w:szCs w:val="24"/>
        </w:rPr>
      </w:pPr>
      <w:r>
        <w:rPr>
          <w:rFonts w:ascii="Arial" w:hAnsi="Arial"/>
          <w:sz w:val="24"/>
          <w:szCs w:val="24"/>
        </w:rPr>
        <w:t>Dans la référence à l’article 13, un point supplémentaire est ajouté avec le texte suivant:</w:t>
      </w:r>
    </w:p>
    <w:p w14:paraId="5723C61D" w14:textId="77777777" w:rsidR="004836CD" w:rsidRPr="00937C8B" w:rsidRDefault="004836CD" w:rsidP="0058501F">
      <w:pPr>
        <w:spacing w:before="120" w:line="312" w:lineRule="auto"/>
        <w:ind w:left="360"/>
        <w:jc w:val="both"/>
        <w:rPr>
          <w:rFonts w:ascii="Arial" w:hAnsi="Arial" w:cs="Arial"/>
        </w:rPr>
      </w:pPr>
      <w:r>
        <w:rPr>
          <w:rFonts w:ascii="Arial" w:hAnsi="Arial"/>
        </w:rPr>
        <w:t xml:space="preserve">«13.6. Exigence de base HS 6: Protection contre l’exposition au radon» </w:t>
      </w:r>
    </w:p>
    <w:p w14:paraId="12742193" w14:textId="77777777" w:rsidR="004836CD" w:rsidRPr="00937C8B" w:rsidRDefault="004836CD" w:rsidP="00D27646">
      <w:pPr>
        <w:pStyle w:val="Paragraphedeliste"/>
        <w:keepNext/>
        <w:numPr>
          <w:ilvl w:val="0"/>
          <w:numId w:val="2"/>
        </w:numPr>
        <w:spacing w:before="120" w:after="0" w:line="312" w:lineRule="auto"/>
        <w:ind w:left="284" w:hanging="284"/>
        <w:jc w:val="both"/>
        <w:rPr>
          <w:rFonts w:ascii="Arial" w:hAnsi="Arial" w:cs="Arial"/>
        </w:rPr>
      </w:pPr>
      <w:r>
        <w:rPr>
          <w:rFonts w:ascii="Arial" w:hAnsi="Arial"/>
        </w:rPr>
        <w:t xml:space="preserve">La référence à l’article 15 est rédigée de la manière suivante: </w:t>
      </w:r>
    </w:p>
    <w:p w14:paraId="0C38D27B" w14:textId="77777777" w:rsidR="004836CD" w:rsidRPr="00937C8B" w:rsidRDefault="004836CD" w:rsidP="00D27646">
      <w:pPr>
        <w:keepNext/>
        <w:autoSpaceDE w:val="0"/>
        <w:autoSpaceDN w:val="0"/>
        <w:adjustRightInd w:val="0"/>
        <w:spacing w:before="120" w:line="312" w:lineRule="auto"/>
        <w:ind w:left="284" w:firstLine="142"/>
        <w:rPr>
          <w:rFonts w:ascii="Arial" w:hAnsi="Arial" w:cs="Arial"/>
        </w:rPr>
      </w:pPr>
      <w:r>
        <w:rPr>
          <w:rFonts w:ascii="Arial" w:hAnsi="Arial"/>
        </w:rPr>
        <w:t>«Article 15 Exigences de base en matière d’économie d’énergie (HE)</w:t>
      </w:r>
    </w:p>
    <w:p w14:paraId="7AEF767F" w14:textId="77777777" w:rsidR="004836CD" w:rsidRPr="00937C8B" w:rsidRDefault="008C5A28" w:rsidP="0058501F">
      <w:pPr>
        <w:autoSpaceDE w:val="0"/>
        <w:autoSpaceDN w:val="0"/>
        <w:adjustRightInd w:val="0"/>
        <w:spacing w:before="120" w:line="312" w:lineRule="auto"/>
        <w:ind w:left="2410" w:hanging="567"/>
        <w:jc w:val="both"/>
        <w:rPr>
          <w:rFonts w:ascii="Arial" w:hAnsi="Arial" w:cs="Arial"/>
        </w:rPr>
      </w:pPr>
      <w:r>
        <w:rPr>
          <w:rFonts w:ascii="Arial" w:hAnsi="Arial"/>
        </w:rPr>
        <w:t>15.1.</w:t>
      </w:r>
      <w:r>
        <w:rPr>
          <w:rFonts w:ascii="Arial" w:hAnsi="Arial"/>
        </w:rPr>
        <w:tab/>
        <w:t>Exigence de base HE 0: Limitation de la consommation d’énergie</w:t>
      </w:r>
    </w:p>
    <w:p w14:paraId="4FA1E0B8" w14:textId="77777777" w:rsidR="004836CD" w:rsidRPr="00937C8B" w:rsidRDefault="004836CD" w:rsidP="0058501F">
      <w:pPr>
        <w:autoSpaceDE w:val="0"/>
        <w:autoSpaceDN w:val="0"/>
        <w:adjustRightInd w:val="0"/>
        <w:spacing w:before="120" w:line="312" w:lineRule="auto"/>
        <w:ind w:left="2410" w:hanging="567"/>
        <w:jc w:val="both"/>
        <w:rPr>
          <w:rFonts w:ascii="Arial" w:hAnsi="Arial" w:cs="Arial"/>
        </w:rPr>
      </w:pPr>
      <w:r>
        <w:rPr>
          <w:rFonts w:ascii="Arial" w:hAnsi="Arial"/>
        </w:rPr>
        <w:lastRenderedPageBreak/>
        <w:t>15.2.</w:t>
      </w:r>
      <w:r>
        <w:rPr>
          <w:rFonts w:ascii="Arial" w:hAnsi="Arial"/>
        </w:rPr>
        <w:tab/>
        <w:t xml:space="preserve">Exigence de base HE 1: Conditions de contrôle de la demande d’énergie </w:t>
      </w:r>
    </w:p>
    <w:p w14:paraId="1036D2FB" w14:textId="77777777" w:rsidR="004836CD" w:rsidRPr="00937C8B" w:rsidRDefault="004836CD" w:rsidP="0058501F">
      <w:pPr>
        <w:autoSpaceDE w:val="0"/>
        <w:autoSpaceDN w:val="0"/>
        <w:adjustRightInd w:val="0"/>
        <w:spacing w:before="120" w:line="312" w:lineRule="auto"/>
        <w:ind w:left="2410" w:hanging="567"/>
        <w:jc w:val="both"/>
        <w:rPr>
          <w:rFonts w:ascii="Arial" w:hAnsi="Arial" w:cs="Arial"/>
        </w:rPr>
      </w:pPr>
      <w:r>
        <w:rPr>
          <w:rFonts w:ascii="Arial" w:hAnsi="Arial"/>
        </w:rPr>
        <w:t>15.3.</w:t>
      </w:r>
      <w:r>
        <w:rPr>
          <w:rFonts w:ascii="Arial" w:hAnsi="Arial"/>
        </w:rPr>
        <w:tab/>
        <w:t xml:space="preserve">Exigence de base HE 2: Conditions des installations thermiques </w:t>
      </w:r>
    </w:p>
    <w:p w14:paraId="22489C63" w14:textId="77777777" w:rsidR="004836CD" w:rsidRPr="00937C8B" w:rsidRDefault="004836CD" w:rsidP="0058501F">
      <w:pPr>
        <w:autoSpaceDE w:val="0"/>
        <w:autoSpaceDN w:val="0"/>
        <w:adjustRightInd w:val="0"/>
        <w:spacing w:before="120" w:line="312" w:lineRule="auto"/>
        <w:ind w:left="2410" w:hanging="567"/>
        <w:jc w:val="both"/>
        <w:rPr>
          <w:rFonts w:ascii="Arial" w:hAnsi="Arial" w:cs="Arial"/>
        </w:rPr>
      </w:pPr>
      <w:r>
        <w:rPr>
          <w:rFonts w:ascii="Arial" w:hAnsi="Arial"/>
        </w:rPr>
        <w:t>15.4.</w:t>
      </w:r>
      <w:r>
        <w:rPr>
          <w:rFonts w:ascii="Arial" w:hAnsi="Arial"/>
        </w:rPr>
        <w:tab/>
        <w:t>Exigence de base HE 3: Conditions des installations d’éclairage</w:t>
      </w:r>
    </w:p>
    <w:p w14:paraId="56A43417" w14:textId="77777777" w:rsidR="004836CD" w:rsidRPr="00937C8B" w:rsidRDefault="004836CD" w:rsidP="0058501F">
      <w:pPr>
        <w:autoSpaceDE w:val="0"/>
        <w:autoSpaceDN w:val="0"/>
        <w:adjustRightInd w:val="0"/>
        <w:spacing w:before="120" w:line="312" w:lineRule="auto"/>
        <w:ind w:left="2410" w:hanging="567"/>
        <w:jc w:val="both"/>
        <w:rPr>
          <w:rFonts w:ascii="Arial" w:hAnsi="Arial" w:cs="Arial"/>
        </w:rPr>
      </w:pPr>
      <w:r>
        <w:rPr>
          <w:rFonts w:ascii="Arial" w:hAnsi="Arial"/>
        </w:rPr>
        <w:t>15.5.</w:t>
      </w:r>
      <w:r>
        <w:rPr>
          <w:rFonts w:ascii="Arial" w:hAnsi="Arial"/>
        </w:rPr>
        <w:tab/>
        <w:t>Exigence de base HE 4: Apport minimal d’énergie renouvelable afin de couvrir la demande en eau chaude sanitaire</w:t>
      </w:r>
    </w:p>
    <w:p w14:paraId="746F440C" w14:textId="77777777" w:rsidR="004836CD" w:rsidRPr="00937C8B" w:rsidRDefault="004836CD" w:rsidP="0058501F">
      <w:pPr>
        <w:spacing w:before="120" w:line="312" w:lineRule="auto"/>
        <w:ind w:left="2410" w:hanging="567"/>
        <w:jc w:val="both"/>
        <w:rPr>
          <w:rFonts w:ascii="Arial" w:hAnsi="Arial" w:cs="Arial"/>
        </w:rPr>
      </w:pPr>
      <w:r>
        <w:rPr>
          <w:rFonts w:ascii="Arial" w:hAnsi="Arial"/>
        </w:rPr>
        <w:t>15.6.</w:t>
      </w:r>
      <w:r>
        <w:rPr>
          <w:rFonts w:ascii="Arial" w:hAnsi="Arial"/>
        </w:rPr>
        <w:tab/>
        <w:t>Exigence de base HE 5: Génération minimale d’énergie électrique»</w:t>
      </w:r>
    </w:p>
    <w:p w14:paraId="6B927D90" w14:textId="77777777" w:rsidR="004836CD" w:rsidRPr="00937C8B" w:rsidRDefault="004836CD" w:rsidP="00D27646">
      <w:pPr>
        <w:keepNext/>
        <w:spacing w:before="120" w:line="312" w:lineRule="auto"/>
        <w:jc w:val="both"/>
        <w:rPr>
          <w:rFonts w:ascii="Arial" w:hAnsi="Arial" w:cs="Arial"/>
        </w:rPr>
      </w:pPr>
      <w:r>
        <w:rPr>
          <w:rFonts w:ascii="Arial" w:hAnsi="Arial"/>
        </w:rPr>
        <w:t>À l’annexe III «Terminologie», la définition de «demande énergétique» est modifiée comme suit:</w:t>
      </w:r>
    </w:p>
    <w:p w14:paraId="6DE7EB3B" w14:textId="77777777" w:rsidR="004836CD" w:rsidRPr="00937C8B" w:rsidRDefault="004836CD" w:rsidP="00D27646">
      <w:pPr>
        <w:keepNext/>
        <w:spacing w:before="120" w:line="312" w:lineRule="auto"/>
        <w:ind w:left="425"/>
        <w:jc w:val="both"/>
        <w:rPr>
          <w:rFonts w:ascii="Arial" w:hAnsi="Arial" w:cs="Arial"/>
        </w:rPr>
      </w:pPr>
      <w:r>
        <w:rPr>
          <w:rFonts w:ascii="Arial" w:hAnsi="Arial"/>
        </w:rPr>
        <w:t>«Demande énergétique:</w:t>
      </w:r>
    </w:p>
    <w:p w14:paraId="75382241" w14:textId="77777777" w:rsidR="004836CD" w:rsidRPr="00937C8B" w:rsidRDefault="004836CD" w:rsidP="0058501F">
      <w:pPr>
        <w:spacing w:before="120" w:line="312" w:lineRule="auto"/>
        <w:ind w:left="425"/>
        <w:jc w:val="both"/>
        <w:rPr>
          <w:rFonts w:ascii="Arial" w:hAnsi="Arial" w:cs="Arial"/>
        </w:rPr>
      </w:pPr>
      <w:r>
        <w:rPr>
          <w:rFonts w:ascii="Arial" w:hAnsi="Arial"/>
        </w:rPr>
        <w:t>Énergie utile nécessaire que les systèmes techniques devraient fournir afin de maintenir l’intérieur du bâtiment dans les conditions réglementaires définies. Elle peut être divisée en demande d’énergie pour le chauffage, la réfrigération, l’eau chaude sanitaire (ECS), la ventilation, le contrôle de l’humidité et l’éclairage, et elle est exprimée en kWh/m</w:t>
      </w:r>
      <w:r>
        <w:rPr>
          <w:rFonts w:ascii="Arial" w:hAnsi="Arial"/>
          <w:vertAlign w:val="superscript"/>
        </w:rPr>
        <w:t>2</w:t>
      </w:r>
      <w:r>
        <w:rPr>
          <w:rFonts w:ascii="Arial" w:hAnsi="Arial"/>
        </w:rPr>
        <w:t xml:space="preserve"> par an.»</w:t>
      </w:r>
    </w:p>
    <w:p w14:paraId="05870024" w14:textId="77777777" w:rsidR="004836CD" w:rsidRPr="00937C8B" w:rsidRDefault="004836CD" w:rsidP="0058501F">
      <w:pPr>
        <w:spacing w:before="120" w:line="312" w:lineRule="auto"/>
        <w:jc w:val="both"/>
        <w:rPr>
          <w:rFonts w:ascii="Arial" w:hAnsi="Arial" w:cs="Arial"/>
        </w:rPr>
      </w:pPr>
      <w:r>
        <w:rPr>
          <w:rFonts w:ascii="Arial" w:hAnsi="Arial"/>
        </w:rPr>
        <w:t>Deux. Le document de base DB HE «Économie d’énergie» de la partie II du Code technique de la construction est remplacé par celui qui est joint en annexe I du présent décret royal.</w:t>
      </w:r>
    </w:p>
    <w:p w14:paraId="271D278B" w14:textId="77777777" w:rsidR="004836CD" w:rsidRPr="00937C8B" w:rsidRDefault="004836CD" w:rsidP="0058501F">
      <w:pPr>
        <w:spacing w:before="120" w:line="312" w:lineRule="auto"/>
        <w:jc w:val="both"/>
        <w:rPr>
          <w:rFonts w:ascii="Arial" w:hAnsi="Arial" w:cs="Arial"/>
        </w:rPr>
      </w:pPr>
      <w:r>
        <w:rPr>
          <w:rFonts w:ascii="Arial" w:hAnsi="Arial"/>
        </w:rPr>
        <w:t>Trois. Le document de base DB HS «Salubrité» de la partie II du Code technique de la construction est modifié en intégrant le chapitre HS 6 qui est joint en annexe II du présent décret royal.</w:t>
      </w:r>
    </w:p>
    <w:p w14:paraId="2482B765" w14:textId="77777777" w:rsidR="004836CD" w:rsidRPr="00937C8B" w:rsidRDefault="004836CD" w:rsidP="00D27646">
      <w:pPr>
        <w:keepNext/>
        <w:spacing w:before="120" w:line="312" w:lineRule="auto"/>
        <w:jc w:val="both"/>
        <w:rPr>
          <w:rFonts w:ascii="Arial" w:hAnsi="Arial" w:cs="Arial"/>
        </w:rPr>
      </w:pPr>
      <w:r>
        <w:rPr>
          <w:rFonts w:ascii="Arial" w:hAnsi="Arial"/>
        </w:rPr>
        <w:t>De même, les modifications suivantes sont apportées à ce document de base DB-HS:</w:t>
      </w:r>
    </w:p>
    <w:p w14:paraId="45C26480" w14:textId="77777777" w:rsidR="004836CD" w:rsidRPr="00937C8B" w:rsidRDefault="004836CD" w:rsidP="00425ADA">
      <w:pPr>
        <w:pStyle w:val="Paragraphedeliste"/>
        <w:numPr>
          <w:ilvl w:val="0"/>
          <w:numId w:val="3"/>
        </w:numPr>
        <w:spacing w:before="120" w:after="0" w:line="312" w:lineRule="auto"/>
        <w:ind w:left="284" w:hanging="284"/>
        <w:jc w:val="both"/>
        <w:rPr>
          <w:rFonts w:ascii="Arial" w:hAnsi="Arial" w:cs="Arial"/>
          <w:sz w:val="24"/>
          <w:szCs w:val="24"/>
        </w:rPr>
      </w:pPr>
      <w:r>
        <w:rPr>
          <w:rFonts w:ascii="Arial" w:hAnsi="Arial"/>
          <w:sz w:val="24"/>
          <w:szCs w:val="24"/>
        </w:rPr>
        <w:t>Au premier paragraphe de la partie «I Objet», dans la phrase «Les chapitres de ce DB sont conformes aux exigences de base HS 1 à HS 5», au lieu de «HS 5» il faut indiquer «HS 6».</w:t>
      </w:r>
    </w:p>
    <w:p w14:paraId="4D964EED" w14:textId="77777777" w:rsidR="004836CD" w:rsidRPr="00937C8B" w:rsidRDefault="004836CD" w:rsidP="00425ADA">
      <w:pPr>
        <w:pStyle w:val="Paragraphedeliste"/>
        <w:numPr>
          <w:ilvl w:val="0"/>
          <w:numId w:val="3"/>
        </w:numPr>
        <w:spacing w:before="120" w:after="0" w:line="312" w:lineRule="auto"/>
        <w:ind w:left="284" w:hanging="284"/>
        <w:jc w:val="both"/>
        <w:rPr>
          <w:rFonts w:ascii="Arial" w:hAnsi="Arial" w:cs="Arial"/>
          <w:sz w:val="24"/>
          <w:szCs w:val="24"/>
        </w:rPr>
      </w:pPr>
      <w:r>
        <w:rPr>
          <w:rFonts w:ascii="Arial" w:hAnsi="Arial"/>
          <w:sz w:val="24"/>
          <w:szCs w:val="24"/>
        </w:rPr>
        <w:t>Le sommaire est modifié pour intégrer la référence au nouveau HS 6, en ajoutant le texte suivant:</w:t>
      </w:r>
    </w:p>
    <w:p w14:paraId="1A5EBE6E" w14:textId="77777777" w:rsidR="004836CD" w:rsidRPr="00937C8B" w:rsidRDefault="004836CD" w:rsidP="00D27646">
      <w:pPr>
        <w:keepNext/>
        <w:autoSpaceDE w:val="0"/>
        <w:autoSpaceDN w:val="0"/>
        <w:adjustRightInd w:val="0"/>
        <w:spacing w:before="120" w:line="312" w:lineRule="auto"/>
        <w:ind w:left="709"/>
        <w:rPr>
          <w:rFonts w:ascii="Arial" w:hAnsi="Arial" w:cs="Arial"/>
          <w:color w:val="000000"/>
        </w:rPr>
      </w:pPr>
      <w:r>
        <w:rPr>
          <w:rFonts w:ascii="Arial" w:hAnsi="Arial"/>
        </w:rPr>
        <w:t>«Chapitre HS 6 Protection contre l’exposition au radon</w:t>
      </w:r>
      <w:r>
        <w:rPr>
          <w:rFonts w:ascii="Arial" w:hAnsi="Arial"/>
          <w:bCs/>
          <w:color w:val="000000"/>
        </w:rPr>
        <w:t xml:space="preserve"> </w:t>
      </w:r>
    </w:p>
    <w:p w14:paraId="3FBC3DC1" w14:textId="77777777" w:rsidR="004836CD" w:rsidRPr="00937C8B" w:rsidRDefault="004836CD" w:rsidP="0058501F">
      <w:pPr>
        <w:autoSpaceDE w:val="0"/>
        <w:autoSpaceDN w:val="0"/>
        <w:adjustRightInd w:val="0"/>
        <w:spacing w:before="120" w:line="312" w:lineRule="auto"/>
        <w:ind w:left="709"/>
        <w:rPr>
          <w:rFonts w:ascii="Arial" w:hAnsi="Arial" w:cs="Arial"/>
          <w:color w:val="000000"/>
        </w:rPr>
      </w:pPr>
      <w:r>
        <w:rPr>
          <w:rFonts w:ascii="Arial" w:hAnsi="Arial"/>
          <w:bCs/>
          <w:color w:val="000000"/>
        </w:rPr>
        <w:t xml:space="preserve">1 Champ d’application </w:t>
      </w:r>
    </w:p>
    <w:p w14:paraId="3399ED01" w14:textId="77777777" w:rsidR="004836CD" w:rsidRPr="00937C8B" w:rsidRDefault="004836CD" w:rsidP="0058501F">
      <w:pPr>
        <w:autoSpaceDE w:val="0"/>
        <w:autoSpaceDN w:val="0"/>
        <w:adjustRightInd w:val="0"/>
        <w:spacing w:before="120" w:line="312" w:lineRule="auto"/>
        <w:ind w:left="709"/>
        <w:rPr>
          <w:rFonts w:ascii="Arial" w:hAnsi="Arial" w:cs="Arial"/>
          <w:color w:val="000000"/>
        </w:rPr>
      </w:pPr>
      <w:r>
        <w:rPr>
          <w:rFonts w:ascii="Arial" w:hAnsi="Arial"/>
          <w:bCs/>
          <w:color w:val="000000"/>
        </w:rPr>
        <w:t xml:space="preserve">2 Caractérisation et quantification de l’exigence </w:t>
      </w:r>
    </w:p>
    <w:p w14:paraId="33261BAD" w14:textId="77777777" w:rsidR="004836CD" w:rsidRPr="00937C8B" w:rsidRDefault="004836CD" w:rsidP="00D27646">
      <w:pPr>
        <w:keepNext/>
        <w:autoSpaceDE w:val="0"/>
        <w:autoSpaceDN w:val="0"/>
        <w:adjustRightInd w:val="0"/>
        <w:spacing w:before="120" w:line="312" w:lineRule="auto"/>
        <w:ind w:left="709"/>
        <w:rPr>
          <w:rFonts w:ascii="Arial" w:hAnsi="Arial" w:cs="Arial"/>
          <w:color w:val="000000"/>
        </w:rPr>
      </w:pPr>
      <w:r>
        <w:rPr>
          <w:rFonts w:ascii="Arial" w:hAnsi="Arial"/>
          <w:bCs/>
          <w:color w:val="000000"/>
        </w:rPr>
        <w:t xml:space="preserve">3 Vérification et justification du respect de l’exigence </w:t>
      </w:r>
    </w:p>
    <w:p w14:paraId="58008D4B" w14:textId="77777777"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3.1 Barrière de protection </w:t>
      </w:r>
    </w:p>
    <w:p w14:paraId="28396118" w14:textId="77777777"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3.2 Espace de contention ventilé </w:t>
      </w:r>
    </w:p>
    <w:p w14:paraId="3C4EB04F" w14:textId="77777777"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3.3 Dépressurisation du terrain </w:t>
      </w:r>
    </w:p>
    <w:p w14:paraId="31CE9154" w14:textId="77777777" w:rsidR="004836CD" w:rsidRPr="00937C8B" w:rsidRDefault="004836CD" w:rsidP="00D27646">
      <w:pPr>
        <w:keepNext/>
        <w:autoSpaceDE w:val="0"/>
        <w:autoSpaceDN w:val="0"/>
        <w:adjustRightInd w:val="0"/>
        <w:spacing w:before="120" w:line="312" w:lineRule="auto"/>
        <w:ind w:left="709"/>
        <w:rPr>
          <w:rFonts w:ascii="Arial" w:hAnsi="Arial" w:cs="Arial"/>
          <w:color w:val="000000"/>
        </w:rPr>
      </w:pPr>
      <w:r>
        <w:rPr>
          <w:rFonts w:ascii="Arial" w:hAnsi="Arial"/>
          <w:bCs/>
          <w:color w:val="000000"/>
        </w:rPr>
        <w:t xml:space="preserve">4 Produits de construction </w:t>
      </w:r>
    </w:p>
    <w:p w14:paraId="5CAA1A0E" w14:textId="77777777"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4.1 Exigences relatives aux produits </w:t>
      </w:r>
    </w:p>
    <w:p w14:paraId="04B6836D" w14:textId="77777777"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4.2 Contrôle de la réception des produits sur le chantier </w:t>
      </w:r>
    </w:p>
    <w:p w14:paraId="68DC9522" w14:textId="77777777" w:rsidR="004836CD" w:rsidRPr="00937C8B" w:rsidRDefault="004836CD" w:rsidP="00D27646">
      <w:pPr>
        <w:keepNext/>
        <w:autoSpaceDE w:val="0"/>
        <w:autoSpaceDN w:val="0"/>
        <w:adjustRightInd w:val="0"/>
        <w:spacing w:before="120" w:line="312" w:lineRule="auto"/>
        <w:ind w:left="709"/>
        <w:rPr>
          <w:rFonts w:ascii="Arial" w:hAnsi="Arial" w:cs="Arial"/>
          <w:color w:val="000000"/>
        </w:rPr>
      </w:pPr>
      <w:r>
        <w:rPr>
          <w:rFonts w:ascii="Arial" w:hAnsi="Arial"/>
          <w:bCs/>
          <w:color w:val="000000"/>
        </w:rPr>
        <w:lastRenderedPageBreak/>
        <w:t xml:space="preserve">5 Conception </w:t>
      </w:r>
    </w:p>
    <w:p w14:paraId="71521D74" w14:textId="77777777"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5.1 Exécution </w:t>
      </w:r>
    </w:p>
    <w:p w14:paraId="7640DEC1" w14:textId="77777777"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5.2 Contrôle de l’exécution </w:t>
      </w:r>
    </w:p>
    <w:p w14:paraId="31AE7672" w14:textId="77777777"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5.3 Contrôle de l’ouvrage fini </w:t>
      </w:r>
    </w:p>
    <w:p w14:paraId="0D02AF49" w14:textId="77777777" w:rsidR="004836CD" w:rsidRPr="00937C8B" w:rsidRDefault="004836CD" w:rsidP="0058501F">
      <w:pPr>
        <w:autoSpaceDE w:val="0"/>
        <w:autoSpaceDN w:val="0"/>
        <w:adjustRightInd w:val="0"/>
        <w:spacing w:before="120" w:line="312" w:lineRule="auto"/>
        <w:ind w:left="709"/>
        <w:rPr>
          <w:rFonts w:ascii="Arial" w:hAnsi="Arial" w:cs="Arial"/>
          <w:color w:val="000000"/>
        </w:rPr>
      </w:pPr>
      <w:r>
        <w:rPr>
          <w:rFonts w:ascii="Arial" w:hAnsi="Arial"/>
          <w:bCs/>
          <w:color w:val="000000"/>
        </w:rPr>
        <w:t xml:space="preserve">6 Maintenance et conservation </w:t>
      </w:r>
    </w:p>
    <w:p w14:paraId="3B0B3C04" w14:textId="77777777" w:rsidR="004836CD" w:rsidRPr="00937C8B" w:rsidRDefault="004836CD" w:rsidP="0058501F">
      <w:pPr>
        <w:autoSpaceDE w:val="0"/>
        <w:autoSpaceDN w:val="0"/>
        <w:adjustRightInd w:val="0"/>
        <w:spacing w:before="120" w:line="312" w:lineRule="auto"/>
        <w:ind w:left="709"/>
        <w:rPr>
          <w:rFonts w:ascii="Arial" w:hAnsi="Arial" w:cs="Arial"/>
        </w:rPr>
      </w:pPr>
      <w:r>
        <w:rPr>
          <w:rFonts w:ascii="Arial" w:hAnsi="Arial"/>
          <w:bCs/>
        </w:rPr>
        <w:t xml:space="preserve">Annexe A Terminologie </w:t>
      </w:r>
    </w:p>
    <w:p w14:paraId="390A3DA5" w14:textId="77777777" w:rsidR="004836CD" w:rsidRPr="00937C8B" w:rsidRDefault="004836CD" w:rsidP="0058501F">
      <w:pPr>
        <w:autoSpaceDE w:val="0"/>
        <w:autoSpaceDN w:val="0"/>
        <w:adjustRightInd w:val="0"/>
        <w:spacing w:before="120" w:line="312" w:lineRule="auto"/>
        <w:ind w:left="709"/>
        <w:rPr>
          <w:rFonts w:ascii="Arial" w:hAnsi="Arial" w:cs="Arial"/>
          <w:bCs/>
        </w:rPr>
      </w:pPr>
      <w:r>
        <w:rPr>
          <w:rFonts w:ascii="Arial" w:hAnsi="Arial"/>
          <w:bCs/>
        </w:rPr>
        <w:t>Annexe B Classification des communes en fonction du potentiel de radon</w:t>
      </w:r>
    </w:p>
    <w:p w14:paraId="58EBB4C3" w14:textId="77777777" w:rsidR="004836CD" w:rsidRPr="00937C8B" w:rsidRDefault="004836CD" w:rsidP="0058501F">
      <w:pPr>
        <w:autoSpaceDE w:val="0"/>
        <w:autoSpaceDN w:val="0"/>
        <w:adjustRightInd w:val="0"/>
        <w:spacing w:before="120" w:line="312" w:lineRule="auto"/>
        <w:ind w:left="709"/>
        <w:rPr>
          <w:rFonts w:ascii="Arial" w:hAnsi="Arial" w:cs="Arial"/>
        </w:rPr>
      </w:pPr>
      <w:r>
        <w:rPr>
          <w:rFonts w:ascii="Arial" w:hAnsi="Arial"/>
        </w:rPr>
        <w:t>Annexe C Détermination de la moyenne annuelle de concentration de radon dans l’air des locaux habitables d’un bâtiment»</w:t>
      </w:r>
    </w:p>
    <w:p w14:paraId="6582842A" w14:textId="77777777" w:rsidR="004836CD" w:rsidRPr="00937C8B" w:rsidRDefault="004836CD" w:rsidP="0058501F">
      <w:pPr>
        <w:spacing w:before="120" w:line="312" w:lineRule="auto"/>
        <w:jc w:val="both"/>
        <w:rPr>
          <w:rFonts w:ascii="Arial" w:hAnsi="Arial" w:cs="Arial"/>
        </w:rPr>
      </w:pPr>
      <w:r>
        <w:rPr>
          <w:rFonts w:ascii="Arial" w:hAnsi="Arial"/>
        </w:rPr>
        <w:t xml:space="preserve">Quatre. Le document de base DB-SI «Sécurité incendie» de la partie II du Code technique du bâtiment est modifié dans les termes suivants: </w:t>
      </w:r>
    </w:p>
    <w:p w14:paraId="5B152B9A" w14:textId="77777777" w:rsidR="004836CD" w:rsidRPr="00A77C79" w:rsidRDefault="004836CD" w:rsidP="0058501F">
      <w:pPr>
        <w:autoSpaceDE w:val="0"/>
        <w:autoSpaceDN w:val="0"/>
        <w:adjustRightInd w:val="0"/>
        <w:spacing w:before="120" w:line="312" w:lineRule="auto"/>
        <w:jc w:val="both"/>
        <w:rPr>
          <w:rFonts w:ascii="Arial" w:hAnsi="Arial" w:cs="Arial"/>
        </w:rPr>
      </w:pPr>
      <w:r>
        <w:rPr>
          <w:rFonts w:ascii="Arial" w:hAnsi="Arial"/>
        </w:rPr>
        <w:t>Au chapitre SI 1 Propagation intérieure, article 3 «Espaces cachés. Passage des installations à travers des éléments de compartimentage coupe-feu», le point 2 est supprimé.</w:t>
      </w:r>
    </w:p>
    <w:p w14:paraId="5636A5CF" w14:textId="77777777" w:rsidR="004836CD" w:rsidRPr="00937C8B" w:rsidRDefault="00993B5C" w:rsidP="0058501F">
      <w:pPr>
        <w:autoSpaceDE w:val="0"/>
        <w:autoSpaceDN w:val="0"/>
        <w:adjustRightInd w:val="0"/>
        <w:spacing w:before="120" w:line="312" w:lineRule="auto"/>
        <w:jc w:val="both"/>
        <w:rPr>
          <w:rFonts w:ascii="Arial" w:hAnsi="Arial" w:cs="Arial"/>
        </w:rPr>
      </w:pPr>
      <w:r>
        <w:rPr>
          <w:rFonts w:ascii="Arial" w:hAnsi="Arial"/>
        </w:rPr>
        <w:t xml:space="preserve">Les modifications suivantes sont apportées à l’article SI 2 Propagation extérieure, article 1 «Mur mitoyens et façades»: </w:t>
      </w:r>
    </w:p>
    <w:p w14:paraId="0983E180" w14:textId="77777777" w:rsidR="004836CD" w:rsidRPr="00A77C79" w:rsidRDefault="004836CD" w:rsidP="00CD6781">
      <w:pPr>
        <w:pStyle w:val="Paragraphedeliste"/>
        <w:numPr>
          <w:ilvl w:val="0"/>
          <w:numId w:val="71"/>
        </w:numPr>
        <w:autoSpaceDE w:val="0"/>
        <w:autoSpaceDN w:val="0"/>
        <w:adjustRightInd w:val="0"/>
        <w:spacing w:before="120" w:line="312" w:lineRule="auto"/>
        <w:ind w:left="270" w:hanging="270"/>
        <w:jc w:val="both"/>
        <w:rPr>
          <w:rFonts w:ascii="Arial" w:eastAsia="Times New Roman" w:hAnsi="Arial" w:cs="Arial"/>
          <w:sz w:val="24"/>
          <w:szCs w:val="24"/>
        </w:rPr>
      </w:pPr>
      <w:r>
        <w:rPr>
          <w:rFonts w:ascii="Arial" w:hAnsi="Arial"/>
          <w:sz w:val="24"/>
          <w:szCs w:val="24"/>
        </w:rPr>
        <w:t>Le point 4 est rédigé comme suit:</w:t>
      </w:r>
    </w:p>
    <w:p w14:paraId="236EA32C" w14:textId="0367938F" w:rsidR="004836CD" w:rsidRPr="00937C8B" w:rsidRDefault="004836CD" w:rsidP="00D27646">
      <w:pPr>
        <w:pStyle w:val="CTENumeracion"/>
        <w:keepNext/>
        <w:spacing w:before="120" w:after="0" w:line="312" w:lineRule="auto"/>
        <w:ind w:left="1134" w:hanging="425"/>
        <w:rPr>
          <w:rFonts w:cs="Arial"/>
          <w:sz w:val="24"/>
        </w:rPr>
      </w:pPr>
      <w:r>
        <w:rPr>
          <w:sz w:val="24"/>
        </w:rPr>
        <w:t>«4</w:t>
      </w:r>
      <w:r>
        <w:rPr>
          <w:sz w:val="24"/>
        </w:rPr>
        <w:tab/>
        <w:t>La classe de réaction au feu des revêtements de façade qui occupent plus de 10</w:t>
      </w:r>
      <w:r w:rsidR="00EA7588">
        <w:rPr>
          <w:sz w:val="24"/>
        </w:rPr>
        <w:t> </w:t>
      </w:r>
      <w:r>
        <w:rPr>
          <w:sz w:val="24"/>
        </w:rPr>
        <w:t>% de la surface de celle-ci, sera en fonction de la hauteur totale de la façade:</w:t>
      </w:r>
    </w:p>
    <w:p w14:paraId="6676A73F" w14:textId="77777777" w:rsidR="004836CD" w:rsidRPr="00937C8B" w:rsidRDefault="004836CD" w:rsidP="0058501F">
      <w:pPr>
        <w:pStyle w:val="CTENumeracion"/>
        <w:spacing w:before="120" w:after="0" w:line="312" w:lineRule="auto"/>
        <w:ind w:left="1134" w:firstLine="0"/>
        <w:rPr>
          <w:rFonts w:cs="Arial"/>
          <w:sz w:val="24"/>
        </w:rPr>
      </w:pPr>
      <w:r>
        <w:rPr>
          <w:sz w:val="24"/>
        </w:rPr>
        <w:t>- D-s3,d0 pour les façades d’une hauteur maximale de 10 m;</w:t>
      </w:r>
    </w:p>
    <w:p w14:paraId="70FB1B0A" w14:textId="77777777" w:rsidR="004836CD" w:rsidRPr="00937C8B" w:rsidRDefault="004836CD" w:rsidP="0058501F">
      <w:pPr>
        <w:pStyle w:val="CTENumeracion"/>
        <w:spacing w:before="120" w:after="0" w:line="312" w:lineRule="auto"/>
        <w:ind w:left="1134" w:firstLine="0"/>
        <w:rPr>
          <w:rFonts w:cs="Arial"/>
          <w:sz w:val="24"/>
        </w:rPr>
      </w:pPr>
      <w:r>
        <w:rPr>
          <w:sz w:val="24"/>
        </w:rPr>
        <w:t>- C-s3,d0 pour les façades d’une hauteur maximale de 18 m;</w:t>
      </w:r>
    </w:p>
    <w:p w14:paraId="6C4931D6" w14:textId="77777777" w:rsidR="004836CD" w:rsidRPr="00937C8B" w:rsidRDefault="004836CD" w:rsidP="0058501F">
      <w:pPr>
        <w:pStyle w:val="CTENumeracion"/>
        <w:spacing w:before="120" w:after="0" w:line="312" w:lineRule="auto"/>
        <w:ind w:left="1134" w:firstLine="0"/>
        <w:rPr>
          <w:rFonts w:cs="Arial"/>
          <w:sz w:val="24"/>
        </w:rPr>
      </w:pPr>
      <w:r>
        <w:rPr>
          <w:sz w:val="24"/>
        </w:rPr>
        <w:t>- B-s3,d0 pour les façades d’une hauteur supérieure à 18 m.</w:t>
      </w:r>
    </w:p>
    <w:p w14:paraId="4F09CB76" w14:textId="77777777" w:rsidR="004836CD" w:rsidRPr="00937C8B" w:rsidRDefault="004836CD" w:rsidP="0058501F">
      <w:pPr>
        <w:pStyle w:val="CTENumeracion"/>
        <w:spacing w:before="120" w:after="0" w:line="312" w:lineRule="auto"/>
        <w:ind w:left="1134" w:firstLine="0"/>
        <w:rPr>
          <w:rFonts w:cs="Arial"/>
          <w:sz w:val="24"/>
        </w:rPr>
      </w:pPr>
      <w:r>
        <w:rPr>
          <w:sz w:val="24"/>
        </w:rPr>
        <w:t>Cette classification doit considérer la condition d’utilisation finale du revêtement, comprenant les matériaux qui constituent des couches contenues à l’intérieur de la solution de façade et non protégées par une couche respectant au minimum la norme EI30.»</w:t>
      </w:r>
    </w:p>
    <w:p w14:paraId="45CF5D49" w14:textId="77777777" w:rsidR="004836CD" w:rsidRPr="00A77C79" w:rsidRDefault="004836CD" w:rsidP="00D27646">
      <w:pPr>
        <w:pStyle w:val="Paragraphedeliste"/>
        <w:keepNext/>
        <w:numPr>
          <w:ilvl w:val="0"/>
          <w:numId w:val="71"/>
        </w:numPr>
        <w:autoSpaceDE w:val="0"/>
        <w:autoSpaceDN w:val="0"/>
        <w:adjustRightInd w:val="0"/>
        <w:spacing w:before="120" w:line="312" w:lineRule="auto"/>
        <w:ind w:left="270" w:hanging="270"/>
        <w:jc w:val="both"/>
        <w:rPr>
          <w:rFonts w:ascii="Arial" w:eastAsia="Times New Roman" w:hAnsi="Arial" w:cs="Arial"/>
          <w:sz w:val="24"/>
          <w:szCs w:val="24"/>
        </w:rPr>
      </w:pPr>
      <w:r>
        <w:rPr>
          <w:rFonts w:ascii="Arial" w:hAnsi="Arial"/>
          <w:sz w:val="24"/>
          <w:szCs w:val="24"/>
        </w:rPr>
        <w:t>Deux nouveaux points 5 et 6 ont été ajoutés, rédigés de la manière suivante:</w:t>
      </w:r>
    </w:p>
    <w:p w14:paraId="3F3A972E" w14:textId="77777777" w:rsidR="004836CD" w:rsidRPr="00937C8B" w:rsidRDefault="004836CD" w:rsidP="00D27646">
      <w:pPr>
        <w:pStyle w:val="CTENumeracion"/>
        <w:keepNext/>
        <w:spacing w:before="120" w:after="0" w:line="312" w:lineRule="auto"/>
        <w:ind w:left="1134" w:hanging="425"/>
        <w:rPr>
          <w:rFonts w:cs="Arial"/>
          <w:sz w:val="24"/>
        </w:rPr>
      </w:pPr>
      <w:r>
        <w:rPr>
          <w:sz w:val="24"/>
        </w:rPr>
        <w:t>«5</w:t>
      </w:r>
      <w:r>
        <w:rPr>
          <w:sz w:val="24"/>
        </w:rPr>
        <w:tab/>
        <w:t xml:space="preserve">Les systèmes d’isolement situés à l’intérieur des caissons ventilés doivent avoir au moins la classification suivante de réaction au feu en fonction de la hauteur totale de la façade: </w:t>
      </w:r>
    </w:p>
    <w:p w14:paraId="45C69B80" w14:textId="77777777" w:rsidR="004836CD" w:rsidRPr="00937C8B" w:rsidRDefault="004836CD" w:rsidP="0058501F">
      <w:pPr>
        <w:pStyle w:val="CTENumeracion"/>
        <w:spacing w:before="120" w:after="0" w:line="312" w:lineRule="auto"/>
        <w:ind w:left="1134" w:firstLine="0"/>
        <w:rPr>
          <w:rFonts w:cs="Arial"/>
          <w:sz w:val="24"/>
          <w:highlight w:val="yellow"/>
        </w:rPr>
      </w:pPr>
      <w:r>
        <w:rPr>
          <w:sz w:val="24"/>
        </w:rPr>
        <w:t>- D-s3,d0 pour les façades d’une hauteur maximale de 10 m;</w:t>
      </w:r>
    </w:p>
    <w:p w14:paraId="6F484488" w14:textId="77777777" w:rsidR="004836CD" w:rsidRPr="00937C8B" w:rsidRDefault="004836CD" w:rsidP="0058501F">
      <w:pPr>
        <w:pStyle w:val="CTENumeracion"/>
        <w:spacing w:before="120" w:after="0" w:line="312" w:lineRule="auto"/>
        <w:ind w:left="1134" w:firstLine="0"/>
        <w:rPr>
          <w:rFonts w:cs="Arial"/>
          <w:sz w:val="24"/>
        </w:rPr>
      </w:pPr>
      <w:r>
        <w:rPr>
          <w:sz w:val="24"/>
        </w:rPr>
        <w:t>- B-s3,d0 pour les façades d’une hauteur maximale de 28 m;</w:t>
      </w:r>
    </w:p>
    <w:p w14:paraId="4279F6BD" w14:textId="77777777" w:rsidR="004836CD" w:rsidRPr="00937C8B" w:rsidRDefault="004836CD" w:rsidP="0058501F">
      <w:pPr>
        <w:pStyle w:val="CTENumeracion"/>
        <w:spacing w:before="120" w:after="0" w:line="312" w:lineRule="auto"/>
        <w:ind w:left="1134" w:firstLine="0"/>
        <w:rPr>
          <w:rFonts w:cs="Arial"/>
          <w:sz w:val="24"/>
        </w:rPr>
      </w:pPr>
      <w:r>
        <w:rPr>
          <w:sz w:val="24"/>
        </w:rPr>
        <w:lastRenderedPageBreak/>
        <w:t>- A2-s3,d0 pour les façades d’une hauteur supérieure à 28 m.</w:t>
      </w:r>
    </w:p>
    <w:p w14:paraId="5BFB88B3" w14:textId="77777777" w:rsidR="004836CD" w:rsidRPr="00937C8B" w:rsidRDefault="004836CD" w:rsidP="0058501F">
      <w:pPr>
        <w:pStyle w:val="CTENumeracion"/>
        <w:spacing w:before="120" w:after="0" w:line="312" w:lineRule="auto"/>
        <w:ind w:left="1134" w:firstLine="0"/>
        <w:rPr>
          <w:rFonts w:cs="Arial"/>
          <w:sz w:val="24"/>
        </w:rPr>
      </w:pPr>
      <w:r>
        <w:rPr>
          <w:sz w:val="24"/>
        </w:rPr>
        <w:t>Il convient de limiter le développement vertical des caissons ventilés de façade en continuité avec les planchers résistants à l’incendie qui séparent les compartiments coupe-feu. L’inclusion de barrières E 30 peut être considérée comme un procédé valable pour limiter ledit développement vertical.»</w:t>
      </w:r>
    </w:p>
    <w:p w14:paraId="5BB82546" w14:textId="77777777" w:rsidR="004836CD" w:rsidRPr="00937C8B" w:rsidRDefault="004836CD" w:rsidP="0058501F">
      <w:pPr>
        <w:pStyle w:val="CTENumeracion"/>
        <w:spacing w:before="120" w:after="0" w:line="312" w:lineRule="auto"/>
        <w:ind w:left="1134" w:hanging="425"/>
        <w:rPr>
          <w:rFonts w:cs="Arial"/>
          <w:sz w:val="24"/>
        </w:rPr>
      </w:pPr>
      <w:r>
        <w:rPr>
          <w:sz w:val="24"/>
        </w:rPr>
        <w:t>«6</w:t>
      </w:r>
      <w:r>
        <w:rPr>
          <w:sz w:val="24"/>
        </w:rPr>
        <w:tab/>
        <w:t>Sur les façades de hauteur inférieure ou égale à 18 m dont la base est accessible au public depuis le rez-de-chaussée ou depuis une toiture, la classe de réaction au feu, tant des revêtements mentionnés au point 4 que de ceux situés à l’intérieur des caissons ventilés le cas échéant, doit être au minimum B-s3,d0 jusqu’à une hauteur de 3,5 m au moins.»</w:t>
      </w:r>
    </w:p>
    <w:p w14:paraId="427ADE00" w14:textId="77777777" w:rsidR="004836CD" w:rsidRPr="00937C8B" w:rsidRDefault="004836CD" w:rsidP="00D27646">
      <w:pPr>
        <w:keepNext/>
        <w:spacing w:before="120" w:line="312" w:lineRule="auto"/>
        <w:jc w:val="both"/>
        <w:rPr>
          <w:rFonts w:ascii="Arial" w:hAnsi="Arial" w:cs="Arial"/>
        </w:rPr>
      </w:pPr>
      <w:r>
        <w:rPr>
          <w:rFonts w:ascii="Arial" w:hAnsi="Arial"/>
        </w:rPr>
        <w:t>Cinq.</w:t>
      </w:r>
      <w:r>
        <w:rPr>
          <w:rFonts w:ascii="Arial" w:hAnsi="Arial"/>
        </w:rPr>
        <w:tab/>
        <w:t>Dans le document de base DB-SE «Sécurité des structures», les références réglementaires indiquées sont mises à jour dans les termes suivants:</w:t>
      </w:r>
    </w:p>
    <w:p w14:paraId="7EA36B3B" w14:textId="77777777" w:rsidR="004836CD" w:rsidRPr="00937C8B" w:rsidRDefault="004836CD" w:rsidP="00D27646">
      <w:pPr>
        <w:pStyle w:val="NormalWeb"/>
        <w:keepNext/>
        <w:spacing w:before="120" w:beforeAutospacing="0" w:after="0" w:afterAutospacing="0" w:line="312" w:lineRule="auto"/>
        <w:jc w:val="both"/>
        <w:rPr>
          <w:rFonts w:ascii="Arial" w:hAnsi="Arial" w:cs="Arial"/>
        </w:rPr>
      </w:pPr>
      <w:r>
        <w:rPr>
          <w:rFonts w:ascii="Arial" w:hAnsi="Arial"/>
        </w:rPr>
        <w:t xml:space="preserve">- Dans l’introduction, article III Critères généraux d’application, le paragraphe: «Lorsqu’une disposition réglementaire est citée dans ce DB, il est entendu qu’il s’agit de la version en vigueur au moment d’application de celui-ci. Lorsqu’une norme UNE, UNE-EN ou UNE-EN ISO est citée, il est entendu qu’il s’agit de la version indiquée, même s’il existe une version ultérieure, sauf s’il s’agit de normes UNE correspondant aux normes EN ou EN ISO dont la référence a été publiée au Journal officiel de l’Union européenne dans le cadre de l’application de la directive 89/106/CEE sur les produits de construction, auquel cas la citation doit être mise en relation avec la version de ladite référence» est remplacé par les paragraphes suivants: </w:t>
      </w:r>
    </w:p>
    <w:p w14:paraId="5E55B057" w14:textId="574868DC"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«Lorsqu’une disposition réglementaire est citée dans ce DB, il est entendu qu’il s’agit de la version en vigueur au moment d’application de celui-ci. Lorsqu’une norme UNE, UNE-EN ou UNE-EN ISO est citée, il est entendu qu’il s’agit de la version indiquée, même s’il existe une version ultérieure, sauf s’il s’agit de normes UNE-EN portant transposition de normes EN dont les références ont été publiées au Journal officiel de l’Union européenne dans le cadre de l’application du règlement (UE) n ° 305/2011 du Parlement européen et du Conseil du 9</w:t>
      </w:r>
      <w:r w:rsidR="00EA7588">
        <w:rPr>
          <w:rFonts w:ascii="Arial" w:hAnsi="Arial"/>
        </w:rPr>
        <w:t> </w:t>
      </w:r>
      <w:r>
        <w:rPr>
          <w:rFonts w:ascii="Arial" w:hAnsi="Arial"/>
        </w:rPr>
        <w:t>mars</w:t>
      </w:r>
      <w:r w:rsidR="00EA7588">
        <w:rPr>
          <w:rFonts w:ascii="Arial" w:hAnsi="Arial"/>
        </w:rPr>
        <w:t> </w:t>
      </w:r>
      <w:r>
        <w:rPr>
          <w:rFonts w:ascii="Arial" w:hAnsi="Arial"/>
        </w:rPr>
        <w:t>2011 établissant des conditions harmonisées de commercialisation pour les produits de construction et abrogeant la directive 89/106/CEE du Conseil, auquel cas la citation doit être mise en relation avec la dernière communication de la Commission comprenant ladite référence. Dans le cas de normes relatives aux méthodes d’essais référencées dans les normes harmonisées, il convient d’appliquer la version figurant dans les normes harmonisées UNE-EN susmentionnées.</w:t>
      </w:r>
    </w:p>
    <w:p w14:paraId="185AE7D4" w14:textId="77777777"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Les normes mentionnées dans ce DB peuvent être remplacées par d’autres parmi celles utilisées dans tout autre État membre de l’Union européenne ou partie à l’accord sur l’Espace économique européen, et dans les États qui ont conclu un accord d’association douanière avec l’Union européenne, dès lors qu’il est démontré que ces normes présentent des spécifications techniques identiques.»</w:t>
      </w:r>
    </w:p>
    <w:p w14:paraId="727C6AE8" w14:textId="77777777" w:rsidR="004836CD" w:rsidRPr="00937C8B" w:rsidRDefault="004836CD" w:rsidP="00D27646">
      <w:pPr>
        <w:keepNext/>
        <w:spacing w:before="120" w:line="312" w:lineRule="auto"/>
        <w:jc w:val="both"/>
        <w:rPr>
          <w:rFonts w:ascii="Arial" w:hAnsi="Arial" w:cs="Arial"/>
        </w:rPr>
      </w:pPr>
      <w:r>
        <w:rPr>
          <w:rFonts w:ascii="Arial" w:hAnsi="Arial"/>
        </w:rPr>
        <w:lastRenderedPageBreak/>
        <w:t>Six.</w:t>
      </w:r>
      <w:r>
        <w:rPr>
          <w:rFonts w:ascii="Arial" w:hAnsi="Arial"/>
        </w:rPr>
        <w:tab/>
        <w:t>Dans le document de base «DB SE-C «Sécurité des structures. Ciments», les références réglementaires indiquées sont mises à jour dans les termes suivants:</w:t>
      </w:r>
    </w:p>
    <w:p w14:paraId="2A1E3DA5" w14:textId="77777777" w:rsidR="004836CD" w:rsidRPr="00937C8B" w:rsidRDefault="004836CD" w:rsidP="0058501F">
      <w:pPr>
        <w:spacing w:before="120" w:line="312" w:lineRule="auto"/>
        <w:jc w:val="both"/>
        <w:rPr>
          <w:rFonts w:ascii="Arial" w:hAnsi="Arial" w:cs="Arial"/>
        </w:rPr>
      </w:pPr>
      <w:r>
        <w:rPr>
          <w:rFonts w:ascii="Arial" w:hAnsi="Arial"/>
        </w:rPr>
        <w:t>- À l’article 2.4.3.1, tableau 2.4, la référence «UNE 22-381-93» est remplacée par «UNE 22381:1993».</w:t>
      </w:r>
    </w:p>
    <w:p w14:paraId="652FA40D" w14:textId="77777777" w:rsidR="004836CD" w:rsidRPr="00937C8B" w:rsidRDefault="004836CD" w:rsidP="0058501F">
      <w:pPr>
        <w:spacing w:before="120" w:line="312" w:lineRule="auto"/>
        <w:jc w:val="both"/>
        <w:rPr>
          <w:rFonts w:ascii="Arial" w:hAnsi="Arial" w:cs="Arial"/>
        </w:rPr>
      </w:pPr>
      <w:r>
        <w:rPr>
          <w:rFonts w:ascii="Arial" w:hAnsi="Arial"/>
        </w:rPr>
        <w:t>- À l’article 3.2.6, point 12, la référence «UNE 80303:96» est remplacée «UNE 80303-1:2017».</w:t>
      </w:r>
    </w:p>
    <w:p w14:paraId="6FB58101" w14:textId="77777777" w:rsidR="004836CD" w:rsidRPr="00937C8B" w:rsidRDefault="004836CD" w:rsidP="0058501F">
      <w:pPr>
        <w:spacing w:before="120" w:line="312" w:lineRule="auto"/>
        <w:jc w:val="both"/>
        <w:rPr>
          <w:rFonts w:ascii="Arial" w:hAnsi="Arial" w:cs="Arial"/>
        </w:rPr>
      </w:pPr>
      <w:r>
        <w:rPr>
          <w:rFonts w:ascii="Arial" w:hAnsi="Arial"/>
        </w:rPr>
        <w:t>- À l’article 5.4.1.1, point 12, la référence «UNE-EN 1536:2000» est remplacée par «UNE-EN 1536:2011+A1:2016».</w:t>
      </w:r>
    </w:p>
    <w:p w14:paraId="2122EDFD" w14:textId="77777777" w:rsidR="004836CD" w:rsidRPr="00937C8B" w:rsidRDefault="004836CD" w:rsidP="0058501F">
      <w:pPr>
        <w:spacing w:before="120" w:line="312" w:lineRule="auto"/>
        <w:jc w:val="both"/>
        <w:rPr>
          <w:rFonts w:ascii="Arial" w:hAnsi="Arial" w:cs="Arial"/>
        </w:rPr>
      </w:pPr>
      <w:r>
        <w:rPr>
          <w:rFonts w:ascii="Arial" w:hAnsi="Arial"/>
        </w:rPr>
        <w:t>- À l’article 5.4.1.2, point 1, la référence «UNE-EN 12699:2001» est remplacée par «UNE-EN 12699:2016».</w:t>
      </w:r>
    </w:p>
    <w:p w14:paraId="5410C8AB" w14:textId="77777777" w:rsidR="004836CD" w:rsidRPr="00937C8B" w:rsidRDefault="004836CD" w:rsidP="0058501F">
      <w:pPr>
        <w:spacing w:before="120" w:line="312" w:lineRule="auto"/>
        <w:jc w:val="both"/>
        <w:rPr>
          <w:rFonts w:ascii="Arial" w:hAnsi="Arial" w:cs="Arial"/>
        </w:rPr>
      </w:pPr>
      <w:r>
        <w:rPr>
          <w:rFonts w:ascii="Arial" w:hAnsi="Arial"/>
        </w:rPr>
        <w:t>- À l’article 5.4.2.1, point 3 et point 5, la référence «UNE 1536:2000» est remplacée par «UNE-EN 1536:2011+A1:2016».</w:t>
      </w:r>
    </w:p>
    <w:p w14:paraId="22EF2615" w14:textId="77777777" w:rsidR="004836CD" w:rsidRPr="00937C8B" w:rsidRDefault="004836CD" w:rsidP="0058501F">
      <w:pPr>
        <w:spacing w:before="120" w:line="312" w:lineRule="auto"/>
        <w:jc w:val="both"/>
        <w:rPr>
          <w:rFonts w:ascii="Arial" w:hAnsi="Arial" w:cs="Arial"/>
        </w:rPr>
      </w:pPr>
      <w:r>
        <w:rPr>
          <w:rFonts w:ascii="Arial" w:hAnsi="Arial"/>
        </w:rPr>
        <w:t>- À l’article 6.3.2.4.3, point 3, la référence «UNE-EN 1537:2001» est remplacée par «UNE-EN 1537:2015».</w:t>
      </w:r>
    </w:p>
    <w:p w14:paraId="4B94C4ED" w14:textId="77777777" w:rsidR="004836CD" w:rsidRPr="00937C8B" w:rsidRDefault="004836CD" w:rsidP="0058501F">
      <w:pPr>
        <w:spacing w:before="120" w:line="312" w:lineRule="auto"/>
        <w:jc w:val="both"/>
        <w:rPr>
          <w:rFonts w:ascii="Arial" w:hAnsi="Arial" w:cs="Arial"/>
        </w:rPr>
      </w:pPr>
      <w:r>
        <w:rPr>
          <w:rFonts w:ascii="Arial" w:hAnsi="Arial"/>
        </w:rPr>
        <w:t>- À l’article 6.4.1.2, la référence «UNE-EN 1538:2000» est remplacée par «UNE-EN 1538:2011+A1:2016».</w:t>
      </w:r>
    </w:p>
    <w:p w14:paraId="25539503" w14:textId="77777777" w:rsidR="004836CD" w:rsidRPr="00937C8B" w:rsidRDefault="004836CD" w:rsidP="0058501F">
      <w:pPr>
        <w:spacing w:before="120" w:line="312" w:lineRule="auto"/>
        <w:jc w:val="both"/>
        <w:rPr>
          <w:rFonts w:ascii="Arial" w:hAnsi="Arial" w:cs="Arial"/>
        </w:rPr>
      </w:pPr>
      <w:r>
        <w:rPr>
          <w:rFonts w:ascii="Arial" w:hAnsi="Arial"/>
        </w:rPr>
        <w:t>- À l’article 6.4.1.2.3.1, point 4, la référence «UNE-EN 1538:2000» est remplacée par «UNE-EN 1538:2011+A1:2016».</w:t>
      </w:r>
    </w:p>
    <w:p w14:paraId="1288508F" w14:textId="77777777" w:rsidR="004836CD" w:rsidRPr="00937C8B" w:rsidRDefault="004836CD" w:rsidP="0058501F">
      <w:pPr>
        <w:spacing w:before="120" w:line="312" w:lineRule="auto"/>
        <w:jc w:val="both"/>
        <w:rPr>
          <w:rFonts w:ascii="Arial" w:hAnsi="Arial" w:cs="Arial"/>
        </w:rPr>
      </w:pPr>
      <w:r>
        <w:rPr>
          <w:rFonts w:ascii="Arial" w:hAnsi="Arial"/>
        </w:rPr>
        <w:t>- À l’article 9.2, point 1, la référence «UNE-EN 1537:2001» est remplacée par «UNE-EN 1537:2015».</w:t>
      </w:r>
    </w:p>
    <w:p w14:paraId="128747D5" w14:textId="77777777" w:rsidR="004836CD" w:rsidRPr="00937C8B" w:rsidRDefault="004836CD" w:rsidP="0058501F">
      <w:pPr>
        <w:spacing w:before="120" w:line="312" w:lineRule="auto"/>
        <w:jc w:val="both"/>
        <w:rPr>
          <w:rFonts w:ascii="Arial" w:hAnsi="Arial" w:cs="Arial"/>
        </w:rPr>
      </w:pPr>
      <w:r>
        <w:rPr>
          <w:rFonts w:ascii="Arial" w:hAnsi="Arial"/>
        </w:rPr>
        <w:t>- À l’article 9.4, point 1, la référence «UNE-EN 1537:2001» est remplacée par «UNE-EN 1537:2015».</w:t>
      </w:r>
    </w:p>
    <w:p w14:paraId="6ADB6D99" w14:textId="77777777" w:rsidR="004836CD" w:rsidRPr="00937C8B" w:rsidRDefault="004836CD" w:rsidP="0058501F">
      <w:pPr>
        <w:spacing w:before="120" w:line="312" w:lineRule="auto"/>
        <w:jc w:val="both"/>
        <w:rPr>
          <w:rFonts w:ascii="Arial" w:hAnsi="Arial" w:cs="Arial"/>
        </w:rPr>
      </w:pPr>
      <w:r>
        <w:rPr>
          <w:rFonts w:ascii="Arial" w:hAnsi="Arial"/>
        </w:rPr>
        <w:t>-</w:t>
      </w:r>
      <w:r>
        <w:rPr>
          <w:rFonts w:ascii="Arial" w:hAnsi="Arial"/>
        </w:rPr>
        <w:tab/>
        <w:t>À l’article C.4, point 1, la référence «ASTM: G 57-78» est remplacée par «UNE 83988-2:2014».</w:t>
      </w:r>
    </w:p>
    <w:p w14:paraId="7F0881C3" w14:textId="77777777" w:rsidR="004836CD" w:rsidRPr="00937C8B" w:rsidRDefault="004836CD" w:rsidP="0058501F">
      <w:pPr>
        <w:spacing w:before="120" w:line="312" w:lineRule="auto"/>
        <w:jc w:val="both"/>
        <w:rPr>
          <w:rFonts w:ascii="Arial" w:hAnsi="Arial" w:cs="Arial"/>
        </w:rPr>
      </w:pPr>
      <w:r>
        <w:rPr>
          <w:rFonts w:ascii="Arial" w:hAnsi="Arial"/>
        </w:rPr>
        <w:t>-</w:t>
      </w:r>
      <w:r>
        <w:rPr>
          <w:rFonts w:ascii="Arial" w:hAnsi="Arial"/>
        </w:rPr>
        <w:tab/>
        <w:t>À l’article C.4, point 4, la référence «ASTM: D 4428» est remplacée par «ASTM: D 4428/D4428M-14».</w:t>
      </w:r>
    </w:p>
    <w:p w14:paraId="0467075C" w14:textId="77777777" w:rsidR="004836CD" w:rsidRPr="00937C8B" w:rsidRDefault="004836CD" w:rsidP="0058501F">
      <w:pPr>
        <w:spacing w:before="120" w:line="312" w:lineRule="auto"/>
        <w:jc w:val="both"/>
        <w:rPr>
          <w:rFonts w:ascii="Arial" w:hAnsi="Arial" w:cs="Arial"/>
        </w:rPr>
      </w:pPr>
      <w:r>
        <w:rPr>
          <w:rFonts w:ascii="Arial" w:hAnsi="Arial"/>
        </w:rPr>
        <w:t>- À l’article D.1, tableau D.6, la référence «UNE 103804:1993» est remplacée par «UNE-EN ISO 22476-12:2010», la référence «UNE 103802:1998» est remplacée par «UNE-EN ISO 22476-2:2008» et la référence «UNE 103801:1994» est remplacée par «UNE-EN ISO 22476-2:2008».</w:t>
      </w:r>
    </w:p>
    <w:p w14:paraId="7F920F16" w14:textId="77777777" w:rsidR="004836CD" w:rsidRPr="00937C8B" w:rsidRDefault="004836CD" w:rsidP="0058501F">
      <w:pPr>
        <w:spacing w:before="120" w:line="312" w:lineRule="auto"/>
        <w:jc w:val="both"/>
        <w:rPr>
          <w:rFonts w:ascii="Arial" w:hAnsi="Arial" w:cs="Arial"/>
        </w:rPr>
      </w:pPr>
      <w:r>
        <w:rPr>
          <w:rFonts w:ascii="Arial" w:hAnsi="Arial"/>
        </w:rPr>
        <w:t>- À l’article D.1, tableau D.7, la référence «UNE 103800:1992» est remplacée par «UNE-EN ISO 22476-3:2006» et la référence «ENV-199-3» est remplacée par «UNE-ENV 1997-3:2002».</w:t>
      </w:r>
    </w:p>
    <w:p w14:paraId="2159C7D0" w14:textId="77777777" w:rsidR="004836CD" w:rsidRPr="00937C8B" w:rsidRDefault="004836CD" w:rsidP="0058501F">
      <w:pPr>
        <w:spacing w:before="120" w:line="312" w:lineRule="auto"/>
        <w:jc w:val="both"/>
        <w:rPr>
          <w:rFonts w:ascii="Arial" w:hAnsi="Arial" w:cs="Arial"/>
        </w:rPr>
      </w:pPr>
      <w:r>
        <w:rPr>
          <w:rFonts w:ascii="Arial" w:hAnsi="Arial"/>
        </w:rPr>
        <w:t xml:space="preserve">- À l’article D.1, tableau D.18, la référence «UNE 103300:1993» est remplacée par «UNE-EN ISO 17892-1:2015», la référence «UNE 103202:1995» est remplacée par «UNE 103202:2019», la référence «UNE 103204:1993» est remplacée par «UNE 103204:2019», la référence «UNE </w:t>
      </w:r>
      <w:r>
        <w:rPr>
          <w:rFonts w:ascii="Arial" w:hAnsi="Arial"/>
        </w:rPr>
        <w:lastRenderedPageBreak/>
        <w:t>103302:1994» est remplacée par «UNE EN ISO 17892-3:2018», la référence «UNE 103402:1998» est remplacée par «UNE-EN ISO 17892-9:2019» et la référence «NLT254:1999» est remplacée par «UNE 103406:2006».</w:t>
      </w:r>
    </w:p>
    <w:p w14:paraId="0C53441E" w14:textId="77777777" w:rsidR="004D58CD" w:rsidRPr="00937C8B" w:rsidRDefault="004836CD" w:rsidP="0058501F">
      <w:pPr>
        <w:spacing w:before="120" w:line="312" w:lineRule="auto"/>
        <w:jc w:val="both"/>
        <w:rPr>
          <w:rFonts w:ascii="Arial" w:hAnsi="Arial" w:cs="Arial"/>
          <w:i/>
          <w:sz w:val="20"/>
          <w:szCs w:val="20"/>
        </w:rPr>
      </w:pPr>
      <w:r>
        <w:rPr>
          <w:rFonts w:ascii="Arial" w:hAnsi="Arial"/>
        </w:rPr>
        <w:t>- À l’article D.1, tableau D.19, la référence «UNE 22-950 1</w:t>
      </w:r>
      <w:r>
        <w:rPr>
          <w:rFonts w:ascii="Arial" w:hAnsi="Arial"/>
          <w:vertAlign w:val="superscript"/>
        </w:rPr>
        <w:t>e</w:t>
      </w:r>
      <w:r>
        <w:rPr>
          <w:rFonts w:ascii="Arial" w:hAnsi="Arial"/>
        </w:rPr>
        <w:t> partie:1990» est remplacée par «UNE 22950-1:1990», la référence «UNE 22-950 2</w:t>
      </w:r>
      <w:r>
        <w:rPr>
          <w:rFonts w:ascii="Arial" w:hAnsi="Arial"/>
          <w:vertAlign w:val="superscript"/>
        </w:rPr>
        <w:t>e</w:t>
      </w:r>
      <w:r>
        <w:rPr>
          <w:rFonts w:ascii="Arial" w:hAnsi="Arial"/>
        </w:rPr>
        <w:t xml:space="preserve"> partie:1990» est remplacée par «UNE 22950-2:1990» et la référence «NLT 225:1996» est remplacée par «UNE 146510:2018». </w:t>
      </w:r>
    </w:p>
    <w:p w14:paraId="7168E64C" w14:textId="77777777" w:rsidR="004836CD" w:rsidRPr="00937C8B" w:rsidRDefault="004836CD" w:rsidP="00D27646">
      <w:pPr>
        <w:keepNext/>
        <w:spacing w:before="120" w:line="312" w:lineRule="auto"/>
        <w:jc w:val="both"/>
        <w:rPr>
          <w:rFonts w:ascii="Arial" w:hAnsi="Arial" w:cs="Arial"/>
        </w:rPr>
      </w:pPr>
      <w:r>
        <w:rPr>
          <w:rFonts w:ascii="Arial" w:hAnsi="Arial"/>
        </w:rPr>
        <w:t>- L’annexe G Normes de référence est remplacée par la suivante:</w:t>
      </w:r>
    </w:p>
    <w:p w14:paraId="6057E2AD" w14:textId="77777777" w:rsidR="004836CD" w:rsidRPr="00937C8B" w:rsidRDefault="004836CD" w:rsidP="00D27646">
      <w:pPr>
        <w:keepNext/>
        <w:widowControl w:val="0"/>
        <w:spacing w:before="120" w:line="312" w:lineRule="auto"/>
        <w:ind w:left="851"/>
        <w:jc w:val="both"/>
        <w:rPr>
          <w:rFonts w:ascii="Arial" w:hAnsi="Arial" w:cs="Arial"/>
          <w:bCs/>
        </w:rPr>
      </w:pPr>
      <w:r>
        <w:rPr>
          <w:rFonts w:ascii="Arial" w:hAnsi="Arial"/>
        </w:rPr>
        <w:t>«Annexe G. Normes de référence</w:t>
      </w:r>
    </w:p>
    <w:p w14:paraId="269FE46F" w14:textId="77777777" w:rsidR="004836CD" w:rsidRPr="00937C8B" w:rsidRDefault="004836CD" w:rsidP="0058501F">
      <w:pPr>
        <w:widowControl w:val="0"/>
        <w:spacing w:before="120" w:line="312" w:lineRule="auto"/>
        <w:ind w:left="851"/>
        <w:jc w:val="both"/>
        <w:rPr>
          <w:rFonts w:ascii="Arial" w:hAnsi="Arial" w:cs="Arial"/>
          <w:bCs/>
        </w:rPr>
      </w:pPr>
      <w:r>
        <w:rPr>
          <w:rFonts w:ascii="Arial" w:hAnsi="Arial"/>
          <w:bCs/>
        </w:rPr>
        <w:t>Cet annexe récapitule les références complètes des normes citées dans le DB-SE-C. Elles sont signalées dans cet annexe par un astérisque. Il comprend également, à titre d’information, les autres normes en relation avec l’application du DB-SE-C.</w:t>
      </w:r>
    </w:p>
    <w:p w14:paraId="5F0B4B24" w14:textId="77777777" w:rsidR="004836CD" w:rsidRPr="00937C8B" w:rsidRDefault="004836CD" w:rsidP="00D27646">
      <w:pPr>
        <w:keepNext/>
        <w:spacing w:before="120" w:line="312" w:lineRule="auto"/>
        <w:ind w:left="851"/>
        <w:jc w:val="both"/>
        <w:outlineLvl w:val="0"/>
        <w:rPr>
          <w:rFonts w:ascii="Arial" w:hAnsi="Arial" w:cs="Arial"/>
        </w:rPr>
      </w:pPr>
      <w:bookmarkStart w:id="0" w:name="_Toc39158106"/>
      <w:r>
        <w:rPr>
          <w:rFonts w:ascii="Arial" w:hAnsi="Arial"/>
        </w:rPr>
        <w:t>Réglementation UNE</w:t>
      </w:r>
      <w:bookmarkEnd w:id="0"/>
    </w:p>
    <w:p w14:paraId="4F4E9598"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22381:1993</w:t>
      </w:r>
      <w:r>
        <w:rPr>
          <w:rFonts w:ascii="Arial" w:hAnsi="Arial"/>
        </w:rPr>
        <w:tab/>
        <w:t>Contrôle des vibrations produites par sautage.</w:t>
      </w:r>
    </w:p>
    <w:p w14:paraId="14CDC92E"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22950-1:1990</w:t>
      </w:r>
      <w:r>
        <w:rPr>
          <w:rFonts w:ascii="Arial" w:hAnsi="Arial"/>
        </w:rPr>
        <w:tab/>
        <w:t>Propriétés mécaniques des roches. Essais de détermination de la résistance. Partie 1: Résistance à la compression uniaxiale.</w:t>
      </w:r>
    </w:p>
    <w:p w14:paraId="35AB9ED6"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22950-2:1990</w:t>
      </w:r>
      <w:r>
        <w:rPr>
          <w:rFonts w:ascii="Arial" w:hAnsi="Arial"/>
        </w:rPr>
        <w:tab/>
        <w:t xml:space="preserve">Propriétés mécaniques des roches. Essais de détermination de la résistance. Partie 2: Résistance à la traction. Détermination indirecte (essai brésilien). </w:t>
      </w:r>
    </w:p>
    <w:p w14:paraId="13F94944"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 xml:space="preserve">*UNE 80303-1:2017 </w:t>
      </w:r>
      <w:r>
        <w:rPr>
          <w:rFonts w:ascii="Arial" w:hAnsi="Arial"/>
        </w:rPr>
        <w:tab/>
        <w:t xml:space="preserve">Ciments avec caractéristiques additionnelles. Partie 1: Ciments résistants aux sulfates. </w:t>
      </w:r>
    </w:p>
    <w:p w14:paraId="5D7C8128"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 xml:space="preserve">UNE 80303-2:2017 </w:t>
      </w:r>
      <w:r>
        <w:rPr>
          <w:rFonts w:ascii="Arial" w:hAnsi="Arial"/>
        </w:rPr>
        <w:tab/>
        <w:t>Ciments avec caractéristiques additionnelles. Partie 2: Ciments résistants à l’eau de mer.</w:t>
      </w:r>
    </w:p>
    <w:p w14:paraId="0C73B201" w14:textId="77777777" w:rsidR="004836CD" w:rsidRPr="00937C8B" w:rsidRDefault="004836CD" w:rsidP="0058501F">
      <w:pPr>
        <w:spacing w:before="120" w:line="312" w:lineRule="auto"/>
        <w:ind w:left="3969" w:hanging="3118"/>
        <w:jc w:val="both"/>
        <w:rPr>
          <w:rFonts w:ascii="Arial" w:hAnsi="Arial" w:cs="Arial"/>
        </w:rPr>
      </w:pPr>
      <w:r>
        <w:rPr>
          <w:rFonts w:ascii="Arial" w:hAnsi="Arial"/>
          <w:bCs/>
        </w:rPr>
        <w:t>*UNE 83988-2:2014</w:t>
      </w:r>
      <w:r>
        <w:rPr>
          <w:rFonts w:ascii="Arial" w:hAnsi="Arial"/>
          <w:bCs/>
        </w:rPr>
        <w:tab/>
        <w:t>Durabilité du béton. Méthodes d’essai - Mesure de la résistivité électrique. Partie 2: Méthode des quatre points ou de Wenner.</w:t>
      </w:r>
    </w:p>
    <w:p w14:paraId="4D807501"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103101:1995</w:t>
      </w:r>
      <w:r>
        <w:rPr>
          <w:rFonts w:ascii="Arial" w:hAnsi="Arial"/>
        </w:rPr>
        <w:tab/>
        <w:t>Analyse granulométrique des sols par tamisage.</w:t>
      </w:r>
    </w:p>
    <w:p w14:paraId="54157A62"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103102:1995</w:t>
      </w:r>
      <w:r>
        <w:rPr>
          <w:rFonts w:ascii="Arial" w:hAnsi="Arial"/>
        </w:rPr>
        <w:tab/>
        <w:t>Analyse granulométrique des sols fins par sédimentation. Méthode du densimètre.</w:t>
      </w:r>
    </w:p>
    <w:p w14:paraId="5704E554"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103103:1994</w:t>
      </w:r>
      <w:r>
        <w:rPr>
          <w:rFonts w:ascii="Arial" w:hAnsi="Arial"/>
        </w:rPr>
        <w:tab/>
        <w:t>Détermination de la limite liquide d’un sol par la méthode de l’appareil de Casagrande.</w:t>
      </w:r>
    </w:p>
    <w:p w14:paraId="71DEBEA6"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103104:1993</w:t>
      </w:r>
      <w:r>
        <w:rPr>
          <w:rFonts w:ascii="Arial" w:hAnsi="Arial"/>
        </w:rPr>
        <w:tab/>
        <w:t>Essai de limite de plasticité d’un sol.</w:t>
      </w:r>
    </w:p>
    <w:p w14:paraId="0944DF2B" w14:textId="77777777" w:rsidR="004836CD" w:rsidRPr="00937C8B" w:rsidRDefault="004836CD" w:rsidP="0058501F">
      <w:pPr>
        <w:spacing w:before="120" w:line="312" w:lineRule="auto"/>
        <w:ind w:left="3969" w:hanging="3118"/>
        <w:jc w:val="both"/>
        <w:rPr>
          <w:rFonts w:ascii="Arial" w:hAnsi="Arial" w:cs="Arial"/>
        </w:rPr>
      </w:pPr>
      <w:r>
        <w:rPr>
          <w:rFonts w:ascii="Arial" w:hAnsi="Arial"/>
        </w:rPr>
        <w:lastRenderedPageBreak/>
        <w:t>*UNE 103108:1996</w:t>
      </w:r>
      <w:r>
        <w:rPr>
          <w:rFonts w:ascii="Arial" w:hAnsi="Arial"/>
        </w:rPr>
        <w:tab/>
        <w:t>Détermination des caractéristiques de retrait d’un sol.</w:t>
      </w:r>
    </w:p>
    <w:p w14:paraId="323227A6"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103200:1993</w:t>
      </w:r>
      <w:r>
        <w:rPr>
          <w:rFonts w:ascii="Arial" w:hAnsi="Arial"/>
        </w:rPr>
        <w:tab/>
        <w:t xml:space="preserve">Détermination du contenu en carbonate dans les terrains. </w:t>
      </w:r>
    </w:p>
    <w:p w14:paraId="4927D988"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103202:2019</w:t>
      </w:r>
      <w:r>
        <w:rPr>
          <w:rFonts w:ascii="Arial" w:hAnsi="Arial"/>
        </w:rPr>
        <w:tab/>
        <w:t xml:space="preserve">Détermination qualitative de la teneur en sulfates solubles d’un sol. </w:t>
      </w:r>
    </w:p>
    <w:p w14:paraId="18D10229"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103204:2009</w:t>
      </w:r>
      <w:r>
        <w:rPr>
          <w:rFonts w:ascii="Arial" w:hAnsi="Arial"/>
        </w:rPr>
        <w:tab/>
        <w:t xml:space="preserve">Contenu en matière organique d’un sol par la méthode du permanganate potassique. </w:t>
      </w:r>
    </w:p>
    <w:p w14:paraId="254CAAE0"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103301:1994</w:t>
      </w:r>
      <w:r>
        <w:rPr>
          <w:rFonts w:ascii="Arial" w:hAnsi="Arial"/>
        </w:rPr>
        <w:tab/>
        <w:t>Détermination de la densité d’un sol. Méthode de la balance hydrostatique.</w:t>
      </w:r>
    </w:p>
    <w:p w14:paraId="09440DE6"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103400:1993</w:t>
      </w:r>
      <w:r>
        <w:rPr>
          <w:rFonts w:ascii="Arial" w:hAnsi="Arial"/>
        </w:rPr>
        <w:tab/>
        <w:t>Expérience de rupture à compression simple en éprouvettes de sol.</w:t>
      </w:r>
    </w:p>
    <w:p w14:paraId="12D5DEB7"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103401:1998</w:t>
      </w:r>
      <w:r>
        <w:rPr>
          <w:rFonts w:ascii="Arial" w:hAnsi="Arial"/>
        </w:rPr>
        <w:tab/>
        <w:t>Détermination des paramètres de résistance à la contrainte de cisaillement d’un sol dans la boîte de cisaillement direct.</w:t>
      </w:r>
    </w:p>
    <w:p w14:paraId="31CDC1C3"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103405:1994</w:t>
      </w:r>
      <w:r>
        <w:rPr>
          <w:rFonts w:ascii="Arial" w:hAnsi="Arial"/>
        </w:rPr>
        <w:tab/>
        <w:t xml:space="preserve">Géotechnique. Expérience de consolidation unidimensionnelle en cellule œdométrique. </w:t>
      </w:r>
    </w:p>
    <w:p w14:paraId="3D8F20EB" w14:textId="6C53B6E7" w:rsidR="004836CD" w:rsidRPr="00937C8B" w:rsidRDefault="004836CD" w:rsidP="0058501F">
      <w:pPr>
        <w:spacing w:before="120" w:line="312" w:lineRule="auto"/>
        <w:ind w:left="3969" w:hanging="3118"/>
        <w:jc w:val="both"/>
        <w:rPr>
          <w:rFonts w:ascii="Arial" w:hAnsi="Arial" w:cs="Arial"/>
        </w:rPr>
      </w:pPr>
      <w:r>
        <w:rPr>
          <w:rFonts w:ascii="Arial" w:hAnsi="Arial"/>
          <w:bCs/>
        </w:rPr>
        <w:t>*UNE 103406:2006</w:t>
      </w:r>
      <w:r>
        <w:rPr>
          <w:rFonts w:ascii="Arial" w:hAnsi="Arial"/>
          <w:bCs/>
        </w:rPr>
        <w:tab/>
        <w:t>Essai d’effondrement dans des sols</w:t>
      </w:r>
      <w:r w:rsidR="00E93486">
        <w:rPr>
          <w:rFonts w:ascii="Arial" w:hAnsi="Arial"/>
          <w:bCs/>
        </w:rPr>
        <w:t>.</w:t>
      </w:r>
    </w:p>
    <w:p w14:paraId="36EEB15C"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103500:1994</w:t>
      </w:r>
      <w:r>
        <w:rPr>
          <w:rFonts w:ascii="Arial" w:hAnsi="Arial"/>
        </w:rPr>
        <w:tab/>
        <w:t>Géotechnique. Expérience de la compacité. Proctor normal.</w:t>
      </w:r>
    </w:p>
    <w:p w14:paraId="7E16F607"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 xml:space="preserve">*UNE 103501:1994 </w:t>
      </w:r>
      <w:r>
        <w:rPr>
          <w:rFonts w:ascii="Arial" w:hAnsi="Arial"/>
        </w:rPr>
        <w:tab/>
        <w:t>Géotechnique. Expérience de la compacité. Proctor modifié.</w:t>
      </w:r>
    </w:p>
    <w:p w14:paraId="51E9620E"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 xml:space="preserve">*UNE 103600:1996 </w:t>
      </w:r>
      <w:r>
        <w:rPr>
          <w:rFonts w:ascii="Arial" w:hAnsi="Arial"/>
        </w:rPr>
        <w:tab/>
        <w:t>Détermination d’expansivité d’un sol dans l’appareil Lambe.</w:t>
      </w:r>
    </w:p>
    <w:p w14:paraId="01638224"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103601:1996</w:t>
      </w:r>
      <w:r>
        <w:rPr>
          <w:rFonts w:ascii="Arial" w:hAnsi="Arial"/>
        </w:rPr>
        <w:tab/>
        <w:t>Essais de gonflement libres des sols dans l’appareil œdométrique.</w:t>
      </w:r>
    </w:p>
    <w:p w14:paraId="61844464"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103602:1996</w:t>
      </w:r>
      <w:r>
        <w:rPr>
          <w:rFonts w:ascii="Arial" w:hAnsi="Arial"/>
        </w:rPr>
        <w:tab/>
        <w:t>Essais pour calculer la pression du gonflement d’un sol dans l’œdomètre.</w:t>
      </w:r>
    </w:p>
    <w:p w14:paraId="2A409BB4"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 146510:2018</w:t>
      </w:r>
      <w:r>
        <w:rPr>
          <w:rFonts w:ascii="Arial" w:hAnsi="Arial"/>
        </w:rPr>
        <w:tab/>
        <w:t>Stabilité des granulats et des fragments de roche face à l’action d’écroulement dans l’eau et des cycles humidité-sécheresse.</w:t>
      </w:r>
    </w:p>
    <w:p w14:paraId="0BA21280" w14:textId="629CA02C" w:rsidR="004836CD" w:rsidRPr="00937C8B" w:rsidRDefault="004836CD" w:rsidP="0058501F">
      <w:pPr>
        <w:spacing w:before="120" w:line="312" w:lineRule="auto"/>
        <w:ind w:left="3969" w:hanging="3118"/>
        <w:jc w:val="both"/>
        <w:rPr>
          <w:rFonts w:ascii="Arial" w:hAnsi="Arial" w:cs="Arial"/>
        </w:rPr>
      </w:pPr>
      <w:r>
        <w:rPr>
          <w:rFonts w:ascii="Arial" w:hAnsi="Arial"/>
        </w:rPr>
        <w:t>UNE-EN 197-1:2011</w:t>
      </w:r>
      <w:r>
        <w:rPr>
          <w:rFonts w:ascii="Arial" w:hAnsi="Arial"/>
        </w:rPr>
        <w:tab/>
        <w:t>Ciment. Partie 1: Composition, spécifications et critères de conformité des ciments courants</w:t>
      </w:r>
      <w:r w:rsidR="00E93486">
        <w:rPr>
          <w:rFonts w:ascii="Arial" w:hAnsi="Arial"/>
        </w:rPr>
        <w:t>.</w:t>
      </w:r>
    </w:p>
    <w:p w14:paraId="63AC5E43"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*UNE-EN 1536:2011+A1:2016</w:t>
      </w:r>
      <w:r>
        <w:rPr>
          <w:rFonts w:ascii="Arial" w:hAnsi="Arial"/>
        </w:rPr>
        <w:tab/>
        <w:t>Exécution des travaux géotechniques spéciaux. Pieux forés.</w:t>
      </w:r>
    </w:p>
    <w:p w14:paraId="66A91F28"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*UNE-EN 1537:2015</w:t>
      </w:r>
      <w:r>
        <w:rPr>
          <w:rFonts w:ascii="Arial" w:hAnsi="Arial"/>
        </w:rPr>
        <w:tab/>
        <w:t>Exécution des travaux géotechniques spéciaux. Tirants d’ancrage.</w:t>
      </w:r>
    </w:p>
    <w:p w14:paraId="011D342D" w14:textId="77777777" w:rsidR="004836CD" w:rsidRPr="00937C8B" w:rsidRDefault="004836CD" w:rsidP="0058501F">
      <w:pPr>
        <w:spacing w:before="120" w:line="312" w:lineRule="auto"/>
        <w:ind w:left="3969" w:hanging="3118"/>
        <w:jc w:val="both"/>
        <w:rPr>
          <w:rFonts w:ascii="Arial" w:hAnsi="Arial" w:cs="Arial"/>
        </w:rPr>
      </w:pPr>
      <w:r>
        <w:rPr>
          <w:rFonts w:ascii="Arial" w:hAnsi="Arial"/>
        </w:rPr>
        <w:lastRenderedPageBreak/>
        <w:t>*UNE-EN 1538:2011+A1:2016</w:t>
      </w:r>
      <w:r>
        <w:rPr>
          <w:rFonts w:ascii="Arial" w:hAnsi="Arial"/>
        </w:rPr>
        <w:tab/>
        <w:t>Exécution des travaux géotechniques spéciaux. Parois moulées.</w:t>
      </w:r>
    </w:p>
    <w:p w14:paraId="58675260" w14:textId="77777777" w:rsidR="004836CD" w:rsidRPr="00A77C79" w:rsidRDefault="004836CD" w:rsidP="0058501F">
      <w:pPr>
        <w:spacing w:before="120" w:line="312" w:lineRule="auto"/>
        <w:ind w:left="3969" w:hanging="3118"/>
        <w:jc w:val="both"/>
        <w:rPr>
          <w:rFonts w:ascii="Arial" w:hAnsi="Arial" w:cs="Arial"/>
        </w:rPr>
      </w:pPr>
      <w:r>
        <w:rPr>
          <w:rFonts w:ascii="Arial" w:hAnsi="Arial"/>
        </w:rPr>
        <w:t>*UNE-EN 12699:2016</w:t>
      </w:r>
      <w:r>
        <w:rPr>
          <w:rFonts w:ascii="Arial" w:hAnsi="Arial"/>
        </w:rPr>
        <w:tab/>
        <w:t>Exécution des travaux géotechniques spéciaux. Pieux avec refoulement du sol.</w:t>
      </w:r>
    </w:p>
    <w:p w14:paraId="0ED01747" w14:textId="77777777" w:rsidR="004836CD" w:rsidRPr="00937C8B" w:rsidRDefault="004836CD" w:rsidP="0058501F">
      <w:pPr>
        <w:spacing w:before="120" w:line="312" w:lineRule="auto"/>
        <w:ind w:left="3969" w:hanging="3118"/>
        <w:jc w:val="both"/>
        <w:rPr>
          <w:rFonts w:ascii="Arial" w:hAnsi="Arial" w:cs="Arial"/>
          <w:bCs/>
        </w:rPr>
      </w:pPr>
      <w:r>
        <w:rPr>
          <w:rFonts w:ascii="Arial" w:hAnsi="Arial"/>
          <w:bCs/>
        </w:rPr>
        <w:t>*UNE-EN ISO 17892-1:2015</w:t>
      </w:r>
      <w:r>
        <w:rPr>
          <w:rFonts w:ascii="Arial" w:hAnsi="Arial"/>
          <w:bCs/>
        </w:rPr>
        <w:tab/>
        <w:t>Reconnaissance et essais géotechniques. Essais de laboratoire sur les sols. Partie 1: Détermination de la teneur en eau.</w:t>
      </w:r>
    </w:p>
    <w:p w14:paraId="6019BB09"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*UNE-EN ISO 17892-3:2018</w:t>
      </w:r>
      <w:r>
        <w:rPr>
          <w:rFonts w:ascii="Arial" w:hAnsi="Arial"/>
        </w:rPr>
        <w:tab/>
        <w:t>Reconnaissance et essais géotechniques. Essais de laboratoire sur les sols. Partie 3: Détermination de la masse volumique des particules solides.</w:t>
      </w:r>
    </w:p>
    <w:p w14:paraId="5629239B" w14:textId="1251097E" w:rsidR="004836CD" w:rsidRPr="00937C8B" w:rsidRDefault="004836CD" w:rsidP="0058501F">
      <w:pPr>
        <w:spacing w:before="120" w:line="312" w:lineRule="auto"/>
        <w:ind w:left="3969" w:hanging="3118"/>
        <w:jc w:val="both"/>
        <w:rPr>
          <w:rFonts w:ascii="Arial" w:hAnsi="Arial" w:cs="Arial"/>
        </w:rPr>
      </w:pPr>
      <w:r>
        <w:rPr>
          <w:rFonts w:ascii="Arial" w:hAnsi="Arial"/>
        </w:rPr>
        <w:t>*UNE-EN ISO 17892-9:2019</w:t>
      </w:r>
      <w:r>
        <w:rPr>
          <w:rFonts w:ascii="Arial" w:hAnsi="Arial"/>
        </w:rPr>
        <w:tab/>
        <w:t>Reconnaissance et essais géotechniques. Essais de laboratoire sur les sols. Partie 9: Essais en compression à l</w:t>
      </w:r>
      <w:r w:rsidR="00EA7588">
        <w:rPr>
          <w:rFonts w:ascii="Arial" w:hAnsi="Arial"/>
        </w:rPr>
        <w:t>’</w:t>
      </w:r>
      <w:r>
        <w:rPr>
          <w:rFonts w:ascii="Arial" w:hAnsi="Arial"/>
        </w:rPr>
        <w:t>appareil triaxial consolidés sur sols saturés.</w:t>
      </w:r>
    </w:p>
    <w:p w14:paraId="0347DB43" w14:textId="60D0B56D" w:rsidR="004836CD" w:rsidRPr="00937C8B" w:rsidRDefault="004836CD" w:rsidP="0058501F">
      <w:pPr>
        <w:spacing w:before="120" w:line="312" w:lineRule="auto"/>
        <w:ind w:left="3969" w:hanging="3118"/>
        <w:jc w:val="both"/>
        <w:rPr>
          <w:rFonts w:ascii="Arial" w:hAnsi="Arial" w:cs="Arial"/>
        </w:rPr>
      </w:pPr>
      <w:r>
        <w:rPr>
          <w:rFonts w:ascii="Arial" w:hAnsi="Arial"/>
        </w:rPr>
        <w:t>*UNE-EN ISO 22476-2:2008</w:t>
      </w:r>
      <w:r>
        <w:rPr>
          <w:rFonts w:ascii="Arial" w:hAnsi="Arial"/>
        </w:rPr>
        <w:tab/>
        <w:t>Reconnaissance et essais géotechniques. Essais en place. Partie 2: Essai de pénétration dynamique (+UNE-EN ISO 22476-2:2008/A1:2014)</w:t>
      </w:r>
      <w:r w:rsidR="00E93486">
        <w:rPr>
          <w:rFonts w:ascii="Arial" w:hAnsi="Arial"/>
        </w:rPr>
        <w:t>.</w:t>
      </w:r>
    </w:p>
    <w:p w14:paraId="76B346AB" w14:textId="41CCF83B" w:rsidR="004836CD" w:rsidRPr="00937C8B" w:rsidRDefault="004836CD" w:rsidP="0058501F">
      <w:pPr>
        <w:spacing w:before="120" w:line="312" w:lineRule="auto"/>
        <w:ind w:left="3969" w:hanging="3118"/>
        <w:jc w:val="both"/>
        <w:rPr>
          <w:rFonts w:ascii="Arial" w:hAnsi="Arial" w:cs="Arial"/>
        </w:rPr>
      </w:pPr>
      <w:r>
        <w:rPr>
          <w:rFonts w:ascii="Arial" w:hAnsi="Arial"/>
        </w:rPr>
        <w:t>*UNE-EN ISO 22476-3:2006</w:t>
      </w:r>
      <w:r>
        <w:rPr>
          <w:rFonts w:ascii="Arial" w:hAnsi="Arial"/>
        </w:rPr>
        <w:tab/>
        <w:t>Reconnaissance et essais géotechniques. Essais en place. Partie 3: Essais de pénétration au carottier (+UNE-EN ISO 22476-3:2008/A1:2014)</w:t>
      </w:r>
      <w:r w:rsidR="00E93486">
        <w:rPr>
          <w:rFonts w:ascii="Arial" w:hAnsi="Arial"/>
        </w:rPr>
        <w:t>.</w:t>
      </w:r>
    </w:p>
    <w:p w14:paraId="56AB0A34"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*UNE-EN ISO 22476-12:2010</w:t>
      </w:r>
      <w:r>
        <w:rPr>
          <w:rFonts w:ascii="Arial" w:hAnsi="Arial"/>
        </w:rPr>
        <w:tab/>
        <w:t>Reconnaissance et essais géotechniques. Essais en place. Partie 12: Essai de pénétration statique au cône à pointe mécanique.</w:t>
      </w:r>
    </w:p>
    <w:p w14:paraId="7AB35603"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*UNE-ENV 1997-3:2002</w:t>
      </w:r>
      <w:r>
        <w:rPr>
          <w:rFonts w:ascii="Arial" w:hAnsi="Arial"/>
        </w:rPr>
        <w:tab/>
        <w:t>Eurocode 7: Calcul géotechnique. Partie 3: Calcul sur la base d’essais en place.</w:t>
      </w:r>
    </w:p>
    <w:p w14:paraId="4CF7AB39"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Réglementation ASTM</w:t>
      </w:r>
    </w:p>
    <w:p w14:paraId="5470868B" w14:textId="77777777" w:rsidR="004836CD" w:rsidRPr="00937C8B" w:rsidRDefault="004836CD" w:rsidP="0058501F">
      <w:pPr>
        <w:spacing w:before="120" w:line="312" w:lineRule="auto"/>
        <w:ind w:left="3969" w:hanging="3118"/>
        <w:jc w:val="both"/>
        <w:rPr>
          <w:rFonts w:ascii="Arial" w:hAnsi="Arial" w:cs="Arial"/>
          <w:bCs/>
        </w:rPr>
      </w:pPr>
      <w:r>
        <w:rPr>
          <w:rFonts w:ascii="Arial" w:hAnsi="Arial"/>
          <w:bCs/>
        </w:rPr>
        <w:t xml:space="preserve">*ASTM: D 4428/D4428M-14 </w:t>
      </w:r>
      <w:r>
        <w:rPr>
          <w:rFonts w:ascii="Arial" w:hAnsi="Arial"/>
          <w:bCs/>
        </w:rPr>
        <w:tab/>
        <w:t>Méthodes d’essai standard pour l’essai sismique Cross Hole.</w:t>
      </w:r>
    </w:p>
    <w:p w14:paraId="7BE65E5B" w14:textId="77777777" w:rsidR="004836CD" w:rsidRPr="00937C8B" w:rsidRDefault="004836CD" w:rsidP="0058501F">
      <w:pPr>
        <w:spacing w:before="120" w:line="312" w:lineRule="auto"/>
        <w:ind w:left="3969" w:hanging="3118"/>
        <w:jc w:val="both"/>
        <w:rPr>
          <w:rFonts w:ascii="Arial" w:hAnsi="Arial" w:cs="Arial"/>
        </w:rPr>
      </w:pPr>
      <w:r>
        <w:rPr>
          <w:rFonts w:ascii="Arial" w:hAnsi="Arial"/>
        </w:rPr>
        <w:t>Réglementation NLT</w:t>
      </w:r>
    </w:p>
    <w:p w14:paraId="4FBEBD6C" w14:textId="77777777" w:rsidR="004836CD" w:rsidRPr="00A77C79" w:rsidRDefault="004836CD" w:rsidP="0058501F">
      <w:pPr>
        <w:spacing w:before="120" w:line="312" w:lineRule="auto"/>
        <w:ind w:left="3969" w:hanging="3118"/>
        <w:jc w:val="both"/>
        <w:rPr>
          <w:rFonts w:ascii="Arial" w:hAnsi="Arial" w:cs="Arial"/>
        </w:rPr>
      </w:pPr>
      <w:r>
        <w:rPr>
          <w:rFonts w:ascii="Arial" w:hAnsi="Arial"/>
        </w:rPr>
        <w:t>*NLT 251:1996</w:t>
      </w:r>
      <w:r>
        <w:rPr>
          <w:rFonts w:ascii="Arial" w:hAnsi="Arial"/>
        </w:rPr>
        <w:tab/>
        <w:t>Détermination de la résistance à l’effondrement des roches tendres.»</w:t>
      </w:r>
    </w:p>
    <w:p w14:paraId="6375B585" w14:textId="77777777" w:rsidR="004836CD" w:rsidRPr="00937C8B" w:rsidRDefault="004836CD" w:rsidP="00D27646">
      <w:pPr>
        <w:keepNext/>
        <w:spacing w:before="120" w:line="312" w:lineRule="auto"/>
        <w:jc w:val="both"/>
        <w:rPr>
          <w:rFonts w:ascii="Arial" w:hAnsi="Arial" w:cs="Arial"/>
        </w:rPr>
      </w:pPr>
      <w:r>
        <w:rPr>
          <w:rFonts w:ascii="Arial" w:hAnsi="Arial"/>
        </w:rPr>
        <w:lastRenderedPageBreak/>
        <w:t>Sept. Dans le document de base DB SE-F «Sécurité des structures. Maçonnerie», les références réglementaires indiquées sont mises à jour dans les termes suivants:</w:t>
      </w:r>
    </w:p>
    <w:p w14:paraId="35C18EA0" w14:textId="77777777" w:rsidR="004836CD" w:rsidRPr="00937C8B" w:rsidRDefault="004836CD" w:rsidP="0058501F">
      <w:pPr>
        <w:spacing w:before="120" w:line="312" w:lineRule="auto"/>
        <w:jc w:val="both"/>
        <w:rPr>
          <w:rFonts w:ascii="Arial" w:hAnsi="Arial" w:cs="Arial"/>
        </w:rPr>
      </w:pPr>
      <w:r>
        <w:rPr>
          <w:rFonts w:ascii="Arial" w:hAnsi="Arial"/>
        </w:rPr>
        <w:t>- À l’article 4.4, point 1, la référence «UNE ENV 10080:1996» est remplacée par «UNE-EN 10080:2006», la référence «UNE EN 10088» est remplacée par «UNE-EN 10088-1:2015» et la référence «UNE EN 845-3:2001» est remplacée par «UNE-EN 845-3:2014».</w:t>
      </w:r>
    </w:p>
    <w:p w14:paraId="5D896BC3" w14:textId="77777777" w:rsidR="004836CD" w:rsidRPr="00937C8B" w:rsidRDefault="004836CD" w:rsidP="0058501F">
      <w:pPr>
        <w:spacing w:before="120" w:line="312" w:lineRule="auto"/>
        <w:jc w:val="both"/>
        <w:rPr>
          <w:rFonts w:ascii="Arial" w:hAnsi="Arial" w:cs="Arial"/>
        </w:rPr>
      </w:pPr>
      <w:r>
        <w:rPr>
          <w:rFonts w:ascii="Arial" w:hAnsi="Arial"/>
        </w:rPr>
        <w:t>- À l’article 4.6.2, point 1, la référence «UNE EN 1052, parties 1 à 4 (respectivement 1999, 2000, 2003 et 2001)» est remplacée par «UNE-EN 1052-1:1999, UNE-EN 1052-2:2000, UNE-EN 1052-3:2003 et UNE-EN 1052-4:2001».</w:t>
      </w:r>
    </w:p>
    <w:p w14:paraId="7BF7F74C" w14:textId="77777777" w:rsidR="004836CD" w:rsidRPr="00937C8B" w:rsidRDefault="004836CD" w:rsidP="0058501F">
      <w:pPr>
        <w:spacing w:before="120" w:line="312" w:lineRule="auto"/>
        <w:jc w:val="both"/>
        <w:rPr>
          <w:rFonts w:ascii="Arial" w:hAnsi="Arial" w:cs="Arial"/>
        </w:rPr>
      </w:pPr>
      <w:r>
        <w:rPr>
          <w:rFonts w:ascii="Arial" w:hAnsi="Arial"/>
        </w:rPr>
        <w:t>- À l’article 7.3.1.1, point 5, la référence «UNE EN 845–1:2001» est remplacée par «UNE-EN 845-1:2014».</w:t>
      </w:r>
    </w:p>
    <w:p w14:paraId="72D7082E" w14:textId="77777777" w:rsidR="004836CD" w:rsidRPr="00937C8B" w:rsidRDefault="004836CD" w:rsidP="0058501F">
      <w:pPr>
        <w:spacing w:before="120" w:line="312" w:lineRule="auto"/>
        <w:jc w:val="both"/>
        <w:rPr>
          <w:rFonts w:ascii="Arial" w:hAnsi="Arial" w:cs="Arial"/>
        </w:rPr>
      </w:pPr>
      <w:r>
        <w:rPr>
          <w:rFonts w:ascii="Arial" w:hAnsi="Arial"/>
        </w:rPr>
        <w:t>- À l’article 7.3.2.3, point 2, la référence «UNE EN 845-3:2006» est remplacée par «UNE-EN 845-3:2014».</w:t>
      </w:r>
    </w:p>
    <w:p w14:paraId="3E61CA5E" w14:textId="77777777" w:rsidR="004836CD" w:rsidRPr="00937C8B" w:rsidRDefault="004836CD" w:rsidP="0058501F">
      <w:pPr>
        <w:spacing w:before="120" w:line="312" w:lineRule="auto"/>
        <w:jc w:val="both"/>
        <w:rPr>
          <w:rFonts w:ascii="Arial" w:hAnsi="Arial" w:cs="Arial"/>
        </w:rPr>
      </w:pPr>
      <w:r>
        <w:rPr>
          <w:rFonts w:ascii="Arial" w:hAnsi="Arial"/>
        </w:rPr>
        <w:t>- À l’article 8.1.1, point 3, la référence «UNE EN 772-1:2002» est remplacée par «UNE-EN 772-1:2011+A1:2016», et au point 7, la référence «EN 772-1:2002» est remplacée par «UNE-EN 772-1:2011+A1:2016».</w:t>
      </w:r>
    </w:p>
    <w:p w14:paraId="489D4327" w14:textId="77777777" w:rsidR="004836CD" w:rsidRPr="00937C8B" w:rsidRDefault="004836CD" w:rsidP="0058501F">
      <w:pPr>
        <w:spacing w:before="120" w:line="312" w:lineRule="auto"/>
        <w:jc w:val="both"/>
        <w:rPr>
          <w:rFonts w:ascii="Arial" w:hAnsi="Arial" w:cs="Arial"/>
        </w:rPr>
      </w:pPr>
      <w:r>
        <w:rPr>
          <w:rFonts w:ascii="Arial" w:hAnsi="Arial"/>
        </w:rPr>
        <w:t>- À l’article 8.2, point 1, la référence «EN 1052-1» est remplacée par «UNE-EN 1052-1:1999».</w:t>
      </w:r>
    </w:p>
    <w:p w14:paraId="54260230" w14:textId="77777777" w:rsidR="004836CD" w:rsidRPr="00937C8B" w:rsidRDefault="004836CD" w:rsidP="0058501F">
      <w:pPr>
        <w:spacing w:before="120" w:line="312" w:lineRule="auto"/>
        <w:jc w:val="both"/>
        <w:rPr>
          <w:rFonts w:ascii="Arial" w:hAnsi="Arial" w:cs="Arial"/>
        </w:rPr>
      </w:pPr>
      <w:r>
        <w:rPr>
          <w:rFonts w:ascii="Arial" w:hAnsi="Arial"/>
        </w:rPr>
        <w:t>- À l’annexe C, point 3, la référence «EN 771-3» est remplacée par «UNE-EN 771-3:2011+A1:2016», la référence «UNE EN 771-4:2000» est remplacée par «UNE-EN 771-4:2011+A1:2016», la référence «EN 771-1» est remplacée par «UNE-EN 771-1:2011+A1:2016» et la référence «UNE EN 771-2:2000» est remplacée par «UNE-EN 771-2:2011+A1:2016»</w:t>
      </w:r>
    </w:p>
    <w:p w14:paraId="512ECF2B" w14:textId="77777777" w:rsidR="004836CD" w:rsidRPr="00937C8B" w:rsidRDefault="004836CD" w:rsidP="0058501F">
      <w:pPr>
        <w:spacing w:before="120" w:line="312" w:lineRule="auto"/>
        <w:jc w:val="both"/>
        <w:rPr>
          <w:rFonts w:ascii="Arial" w:hAnsi="Arial" w:cs="Arial"/>
        </w:rPr>
      </w:pPr>
      <w:r>
        <w:rPr>
          <w:rFonts w:ascii="Arial" w:hAnsi="Arial"/>
        </w:rPr>
        <w:t>- À l’annexe C, point 5.c), la référence «EN 772-1» est remplacée par «UNE-EN 772-1:2011+A1:2016».</w:t>
      </w:r>
    </w:p>
    <w:p w14:paraId="0BCE7566" w14:textId="77777777" w:rsidR="004836CD" w:rsidRPr="00937C8B" w:rsidRDefault="004836CD" w:rsidP="00D27646">
      <w:pPr>
        <w:keepNext/>
        <w:spacing w:before="120" w:line="312" w:lineRule="auto"/>
        <w:jc w:val="both"/>
        <w:rPr>
          <w:rFonts w:ascii="Arial" w:hAnsi="Arial" w:cs="Arial"/>
        </w:rPr>
      </w:pPr>
      <w:r>
        <w:rPr>
          <w:rFonts w:ascii="Arial" w:hAnsi="Arial"/>
        </w:rPr>
        <w:t>- L’annexe H Normes de référence est remplacée par la suivante:</w:t>
      </w:r>
    </w:p>
    <w:p w14:paraId="0A7A7631" w14:textId="77777777" w:rsidR="004836CD" w:rsidRPr="00937C8B" w:rsidRDefault="004836CD" w:rsidP="00D27646">
      <w:pPr>
        <w:keepNext/>
        <w:widowControl w:val="0"/>
        <w:spacing w:before="120" w:line="312" w:lineRule="auto"/>
        <w:ind w:left="4111" w:hanging="3260"/>
        <w:jc w:val="both"/>
        <w:rPr>
          <w:rFonts w:ascii="Arial" w:hAnsi="Arial" w:cs="Arial"/>
        </w:rPr>
      </w:pPr>
      <w:r>
        <w:rPr>
          <w:rFonts w:ascii="Arial" w:hAnsi="Arial"/>
        </w:rPr>
        <w:t>«Annexe H. Normes de référence</w:t>
      </w:r>
    </w:p>
    <w:p w14:paraId="1714E8C1" w14:textId="77777777" w:rsidR="004836CD" w:rsidRPr="00937C8B" w:rsidRDefault="004836CD" w:rsidP="0058501F">
      <w:pPr>
        <w:widowControl w:val="0"/>
        <w:spacing w:before="120" w:line="312" w:lineRule="auto"/>
        <w:ind w:left="851"/>
        <w:jc w:val="both"/>
        <w:rPr>
          <w:rFonts w:ascii="Arial" w:hAnsi="Arial" w:cs="Arial"/>
          <w:bCs/>
        </w:rPr>
      </w:pPr>
      <w:r>
        <w:rPr>
          <w:rFonts w:ascii="Arial" w:hAnsi="Arial"/>
          <w:bCs/>
        </w:rPr>
        <w:t>Cet annexe récapitule les références complètes des normes citées dans le DB-SE-F. Elles sont signalées dans cet annexe par un astérisque. Il comprend également, à titre d’information, les autres normes en relation avec l’application du DB-SE-F.</w:t>
      </w:r>
    </w:p>
    <w:p w14:paraId="1831FB5F" w14:textId="28E154F7" w:rsidR="004836CD" w:rsidRPr="00937C8B" w:rsidRDefault="004836CD" w:rsidP="0058501F">
      <w:pPr>
        <w:spacing w:before="120" w:line="312" w:lineRule="auto"/>
        <w:ind w:left="4111" w:hanging="3260"/>
        <w:jc w:val="both"/>
        <w:rPr>
          <w:rFonts w:ascii="Arial" w:hAnsi="Arial" w:cs="Arial"/>
        </w:rPr>
      </w:pPr>
      <w:r>
        <w:rPr>
          <w:rFonts w:ascii="Arial" w:hAnsi="Arial"/>
        </w:rPr>
        <w:t>*UNE-EN 771-1:2011+A1:2016</w:t>
      </w:r>
      <w:r>
        <w:rPr>
          <w:rFonts w:ascii="Arial" w:hAnsi="Arial"/>
        </w:rPr>
        <w:tab/>
        <w:t>Spécifications pour éléments de maçonnerie. Partie 1: Briques de terre cuite</w:t>
      </w:r>
      <w:r w:rsidR="00E93486">
        <w:rPr>
          <w:rFonts w:ascii="Arial" w:hAnsi="Arial"/>
        </w:rPr>
        <w:t>.</w:t>
      </w:r>
      <w:r>
        <w:rPr>
          <w:rFonts w:ascii="Arial" w:hAnsi="Arial"/>
        </w:rPr>
        <w:t xml:space="preserve"> </w:t>
      </w:r>
    </w:p>
    <w:p w14:paraId="50853B62"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771-2:2011+A1:2016</w:t>
      </w:r>
      <w:r>
        <w:rPr>
          <w:rFonts w:ascii="Arial" w:hAnsi="Arial"/>
        </w:rPr>
        <w:tab/>
        <w:t xml:space="preserve">Spécifications pour éléments de maçonnerie. Partie 2: Éléments de maçonnerie en silico-calcaire. </w:t>
      </w:r>
    </w:p>
    <w:p w14:paraId="22441092" w14:textId="77777777" w:rsidR="004836CD" w:rsidRPr="00937C8B" w:rsidRDefault="004836CD" w:rsidP="0058501F">
      <w:pPr>
        <w:spacing w:before="120" w:line="312" w:lineRule="auto"/>
        <w:ind w:left="4111" w:hanging="3260"/>
        <w:jc w:val="both"/>
        <w:rPr>
          <w:rFonts w:ascii="Arial" w:hAnsi="Arial" w:cs="Arial"/>
        </w:rPr>
      </w:pPr>
      <w:r>
        <w:rPr>
          <w:rFonts w:ascii="Arial" w:hAnsi="Arial"/>
        </w:rPr>
        <w:lastRenderedPageBreak/>
        <w:t>*UNE-EN 771-3:2011+A1:2016</w:t>
      </w:r>
      <w:r>
        <w:rPr>
          <w:rFonts w:ascii="Arial" w:hAnsi="Arial"/>
        </w:rPr>
        <w:tab/>
        <w:t>Spécifications pour éléments de maçonnerie. Partie 3: Éléments de maçonnerie en béton de granulats (granulats courants et légers).</w:t>
      </w:r>
    </w:p>
    <w:p w14:paraId="283C6F15"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771-4:2011+A1:2016</w:t>
      </w:r>
      <w:r>
        <w:rPr>
          <w:rFonts w:ascii="Arial" w:hAnsi="Arial"/>
        </w:rPr>
        <w:tab/>
        <w:t>Spécifications pour éléments de maçonnerie. Partie 4: Éléments de maçonnerie en béton cellulaire autoclavé.</w:t>
      </w:r>
    </w:p>
    <w:p w14:paraId="317E3B64"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771-5:2011+A1:2016</w:t>
      </w:r>
      <w:r>
        <w:rPr>
          <w:rFonts w:ascii="Arial" w:hAnsi="Arial"/>
        </w:rPr>
        <w:tab/>
        <w:t>Spécifications pour éléments de maçonnerie - Partie 5: Éléments de maçonnerie en pierre reconstituée.</w:t>
      </w:r>
    </w:p>
    <w:p w14:paraId="52B93F19"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771-6:2012+A1:2016</w:t>
      </w:r>
      <w:r>
        <w:rPr>
          <w:rFonts w:ascii="Arial" w:hAnsi="Arial"/>
        </w:rPr>
        <w:tab/>
        <w:t>Spécifications pour éléments de maçonnerie - Partie 6: Éléments de maçonnerie en pierre naturelle.</w:t>
      </w:r>
    </w:p>
    <w:p w14:paraId="27B67EC5"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772-1:2011+A1:2016</w:t>
      </w:r>
      <w:r>
        <w:rPr>
          <w:rFonts w:ascii="Arial" w:hAnsi="Arial"/>
        </w:rPr>
        <w:tab/>
        <w:t>Méthodes d’essai des éléments de maçonnerie. Partie 1: Détermination de la résistance à la compression.</w:t>
      </w:r>
    </w:p>
    <w:p w14:paraId="1F2A197F"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845-1:2014</w:t>
      </w:r>
      <w:r>
        <w:rPr>
          <w:rFonts w:ascii="Arial" w:hAnsi="Arial"/>
        </w:rPr>
        <w:tab/>
        <w:t>Spécification pour composants accessoires de maçonnerie. Partie 1: Attaches, brides de fixation, étriers de support et consoles.</w:t>
      </w:r>
    </w:p>
    <w:p w14:paraId="2D20CD04"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845-3:2014</w:t>
      </w:r>
      <w:r>
        <w:rPr>
          <w:rFonts w:ascii="Arial" w:hAnsi="Arial"/>
        </w:rPr>
        <w:tab/>
        <w:t>Spécification pour composants accessoires de maçonnerie. Partie 3: Treillis d’armature en acier pour joints horizontaux.</w:t>
      </w:r>
    </w:p>
    <w:p w14:paraId="5E65EEEA"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846-2:2001</w:t>
      </w:r>
      <w:r>
        <w:rPr>
          <w:rFonts w:ascii="Arial" w:hAnsi="Arial"/>
        </w:rPr>
        <w:tab/>
        <w:t>Méthodes d’essai pour composants accessoires de maçonnerie. Partie 2: Détermination de la résistance de l’adhérence des armatures dans les joints.</w:t>
      </w:r>
    </w:p>
    <w:p w14:paraId="078B6665" w14:textId="22DF5BBC" w:rsidR="004836CD" w:rsidRPr="00937C8B" w:rsidRDefault="004836CD" w:rsidP="0058501F">
      <w:pPr>
        <w:spacing w:before="120" w:line="312" w:lineRule="auto"/>
        <w:ind w:left="4111" w:hanging="3260"/>
        <w:jc w:val="both"/>
        <w:rPr>
          <w:rFonts w:ascii="Arial" w:hAnsi="Arial" w:cs="Arial"/>
        </w:rPr>
      </w:pPr>
      <w:r>
        <w:rPr>
          <w:rFonts w:ascii="Arial" w:hAnsi="Arial"/>
        </w:rPr>
        <w:t>UNE-EN 846-5:2013</w:t>
      </w:r>
      <w:r>
        <w:rPr>
          <w:rFonts w:ascii="Arial" w:hAnsi="Arial"/>
        </w:rPr>
        <w:tab/>
        <w:t>Méthodes d’essai pour composants accessoires de maçonnerie. Partie 5: Détermination de la charge admissible à la traction et à la compression, et des caractéristiques effort-déformation des attaches murales</w:t>
      </w:r>
      <w:r w:rsidR="00E93486">
        <w:rPr>
          <w:rFonts w:ascii="Arial" w:hAnsi="Arial"/>
        </w:rPr>
        <w:t>.</w:t>
      </w:r>
    </w:p>
    <w:p w14:paraId="09E3ECF0" w14:textId="6DCF1030" w:rsidR="004836CD" w:rsidRPr="00937C8B" w:rsidRDefault="004836CD" w:rsidP="0058501F">
      <w:pPr>
        <w:spacing w:before="120" w:line="312" w:lineRule="auto"/>
        <w:ind w:left="4111" w:hanging="3260"/>
        <w:jc w:val="both"/>
        <w:rPr>
          <w:rFonts w:ascii="Arial" w:hAnsi="Arial" w:cs="Arial"/>
        </w:rPr>
      </w:pPr>
      <w:r>
        <w:rPr>
          <w:rFonts w:ascii="Arial" w:hAnsi="Arial"/>
        </w:rPr>
        <w:t>UNE-EN 846-6:2015</w:t>
      </w:r>
      <w:r>
        <w:rPr>
          <w:rFonts w:ascii="Arial" w:hAnsi="Arial"/>
        </w:rPr>
        <w:tab/>
        <w:t>Méthodes d’essai pour composants accessoires de maçonnerie - Partie 6: Détermination de la résistance de traction et en compression et de la rigidité d’attaches murales (essai d’extrémité simple)</w:t>
      </w:r>
      <w:r w:rsidR="00E93486">
        <w:rPr>
          <w:rFonts w:ascii="Arial" w:hAnsi="Arial"/>
        </w:rPr>
        <w:t>.</w:t>
      </w:r>
    </w:p>
    <w:p w14:paraId="0805682A"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998-2:2018</w:t>
      </w:r>
      <w:r>
        <w:rPr>
          <w:rFonts w:ascii="Arial" w:hAnsi="Arial"/>
        </w:rPr>
        <w:tab/>
        <w:t>Définitions et spécifications des mortiers pour maçonnerie - Partie 2: Mortiers de montage des éléments de maçonnerie.</w:t>
      </w:r>
    </w:p>
    <w:p w14:paraId="5279D6D8"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1015-11:2000</w:t>
      </w:r>
      <w:r>
        <w:rPr>
          <w:rFonts w:ascii="Arial" w:hAnsi="Arial"/>
        </w:rPr>
        <w:tab/>
        <w:t>Méthodes d’essai des mortiers pour maçonnerie. Partie 11: Détermination de la résistance à la flexion et à la compression du mortier durci (+UNE-EN 1015-11:2000/A1:2007).</w:t>
      </w:r>
    </w:p>
    <w:p w14:paraId="2733F02A" w14:textId="77777777" w:rsidR="004836CD" w:rsidRPr="00937C8B" w:rsidRDefault="004836CD" w:rsidP="0058501F">
      <w:pPr>
        <w:spacing w:before="120" w:line="312" w:lineRule="auto"/>
        <w:ind w:left="4111" w:hanging="3260"/>
        <w:jc w:val="both"/>
        <w:rPr>
          <w:rFonts w:ascii="Arial" w:hAnsi="Arial" w:cs="Arial"/>
        </w:rPr>
      </w:pPr>
      <w:r>
        <w:rPr>
          <w:rFonts w:ascii="Arial" w:hAnsi="Arial"/>
        </w:rPr>
        <w:lastRenderedPageBreak/>
        <w:t>*UNE-EN 1052-1:1999</w:t>
      </w:r>
      <w:r>
        <w:rPr>
          <w:rFonts w:ascii="Arial" w:hAnsi="Arial"/>
        </w:rPr>
        <w:tab/>
        <w:t>Méthodes d’essai de la maçonnerie. Partie 1: Détermination de la résistance à la compression.</w:t>
      </w:r>
    </w:p>
    <w:p w14:paraId="0E9150FB"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1052-2:2000</w:t>
      </w:r>
      <w:r>
        <w:rPr>
          <w:rFonts w:ascii="Arial" w:hAnsi="Arial"/>
        </w:rPr>
        <w:tab/>
        <w:t>Méthodes d’essai de la maçonnerie. Partie 2: Détermination de la résistance à la flexion.</w:t>
      </w:r>
    </w:p>
    <w:p w14:paraId="77DC58DD"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1052-3:2003</w:t>
      </w:r>
      <w:r>
        <w:rPr>
          <w:rFonts w:ascii="Arial" w:hAnsi="Arial"/>
        </w:rPr>
        <w:tab/>
        <w:t>Méthodes d’essai de la maçonnerie. Partie 3: Détermination de la résistance initiale au cisaillement (+UNE-EN 1052-3:2003/A1:2008).</w:t>
      </w:r>
    </w:p>
    <w:p w14:paraId="5B4A1284"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1052-4:2001</w:t>
      </w:r>
      <w:r>
        <w:rPr>
          <w:rFonts w:ascii="Arial" w:hAnsi="Arial"/>
        </w:rPr>
        <w:tab/>
        <w:t>Méthodes d’essai de la maçonnerie. Partie 4: Détermination de la résistance au cisaillement, en tenant compte de la couche de coupure de capillarité.</w:t>
      </w:r>
    </w:p>
    <w:p w14:paraId="43B53216" w14:textId="3BACF9EC" w:rsidR="004836CD" w:rsidRPr="00937C8B" w:rsidRDefault="004836CD" w:rsidP="0058501F">
      <w:pPr>
        <w:spacing w:before="120" w:line="312" w:lineRule="auto"/>
        <w:ind w:left="4111" w:hanging="3260"/>
        <w:jc w:val="both"/>
        <w:rPr>
          <w:rFonts w:ascii="Arial" w:hAnsi="Arial" w:cs="Arial"/>
        </w:rPr>
      </w:pPr>
      <w:r>
        <w:rPr>
          <w:rFonts w:ascii="Arial" w:hAnsi="Arial"/>
        </w:rPr>
        <w:t>*UNE-EN 10080:2006</w:t>
      </w:r>
      <w:r>
        <w:rPr>
          <w:rFonts w:ascii="Arial" w:hAnsi="Arial"/>
        </w:rPr>
        <w:tab/>
        <w:t>Aciers pour l’armature du béton. Aciers soudables pour béton armé. Généralités</w:t>
      </w:r>
      <w:r w:rsidR="00E93486">
        <w:rPr>
          <w:rFonts w:ascii="Arial" w:hAnsi="Arial"/>
        </w:rPr>
        <w:t>.</w:t>
      </w:r>
    </w:p>
    <w:p w14:paraId="194F518F"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10088-1:2015</w:t>
      </w:r>
      <w:r>
        <w:rPr>
          <w:rFonts w:ascii="Arial" w:hAnsi="Arial"/>
        </w:rPr>
        <w:tab/>
        <w:t xml:space="preserve">Aciers inoxydables - Partie 1: Liste des aciers inoxydables. </w:t>
      </w:r>
    </w:p>
    <w:p w14:paraId="12F88D14"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10088-2:2015</w:t>
      </w:r>
      <w:r>
        <w:rPr>
          <w:rFonts w:ascii="Arial" w:hAnsi="Arial"/>
        </w:rPr>
        <w:tab/>
        <w:t>Aciers inoxydables - Partie 2: Conditions techniques de livraison des tôles et bandes en acier de résistance à la corrosion pour usage général.</w:t>
      </w:r>
    </w:p>
    <w:p w14:paraId="6448FF98" w14:textId="77777777" w:rsidR="004836CD" w:rsidRPr="00937C8B" w:rsidRDefault="004836CD" w:rsidP="0058501F">
      <w:pPr>
        <w:spacing w:before="120" w:line="312" w:lineRule="auto"/>
        <w:ind w:left="4111" w:hanging="3260"/>
        <w:jc w:val="both"/>
        <w:rPr>
          <w:rFonts w:ascii="Arial" w:hAnsi="Arial" w:cs="Arial"/>
        </w:rPr>
      </w:pPr>
      <w:r>
        <w:rPr>
          <w:rFonts w:ascii="Arial" w:hAnsi="Arial"/>
        </w:rPr>
        <w:t>UNE-EN 10088-3:2015</w:t>
      </w:r>
      <w:r>
        <w:rPr>
          <w:rFonts w:ascii="Arial" w:hAnsi="Arial"/>
        </w:rPr>
        <w:tab/>
        <w:t>Aciers inoxydables - Partie 3: Conditions techniques de livraison pour les demi-produits, barres, fils tréfilés, profils et produits transformés à froid en acier résistant à la corrosion pour usage général.</w:t>
      </w:r>
    </w:p>
    <w:p w14:paraId="5F82676C" w14:textId="77777777" w:rsidR="004836CD" w:rsidRPr="00937C8B" w:rsidRDefault="004836CD" w:rsidP="00D27646">
      <w:pPr>
        <w:keepNext/>
        <w:spacing w:before="120" w:line="312" w:lineRule="auto"/>
        <w:jc w:val="both"/>
        <w:rPr>
          <w:rFonts w:ascii="Arial" w:hAnsi="Arial" w:cs="Arial"/>
        </w:rPr>
      </w:pPr>
      <w:r>
        <w:rPr>
          <w:rFonts w:ascii="Arial" w:hAnsi="Arial"/>
        </w:rPr>
        <w:t>Huit.</w:t>
      </w:r>
      <w:r>
        <w:rPr>
          <w:rFonts w:ascii="Arial" w:hAnsi="Arial"/>
        </w:rPr>
        <w:tab/>
        <w:t>Dans le document de base DB SE-M «Sécurité des structures. Bois», les références réglementaires indiquées sont mises à jour dans les termes suivants:</w:t>
      </w:r>
    </w:p>
    <w:p w14:paraId="28C68815" w14:textId="77777777" w:rsidR="004836CD" w:rsidRPr="00937C8B" w:rsidRDefault="004836CD" w:rsidP="0058501F">
      <w:pPr>
        <w:spacing w:before="120" w:line="312" w:lineRule="auto"/>
        <w:jc w:val="both"/>
        <w:rPr>
          <w:rFonts w:ascii="Arial" w:hAnsi="Arial" w:cs="Arial"/>
        </w:rPr>
      </w:pPr>
      <w:r>
        <w:rPr>
          <w:rFonts w:ascii="Arial" w:hAnsi="Arial"/>
        </w:rPr>
        <w:t>- À l’article 2.2.1.2, point 3 a), la référence «UNE EN 14374» est remplacée par «UNE-EN 14374:2005».</w:t>
      </w:r>
    </w:p>
    <w:p w14:paraId="635F4C0B" w14:textId="77777777" w:rsidR="004836CD" w:rsidRPr="00937C8B" w:rsidRDefault="004836CD" w:rsidP="0058501F">
      <w:pPr>
        <w:spacing w:before="120" w:line="312" w:lineRule="auto"/>
        <w:jc w:val="both"/>
        <w:rPr>
          <w:rFonts w:ascii="Arial" w:hAnsi="Arial" w:cs="Arial"/>
        </w:rPr>
      </w:pPr>
      <w:r>
        <w:rPr>
          <w:rFonts w:ascii="Arial" w:hAnsi="Arial"/>
        </w:rPr>
        <w:t>- À l’article 2.2.3, tableau 2.4, la référence «UNE EN 636» est remplacée par «UNE-EN 636:2012+A1:2015», la référence «UNE-EN 300» est remplacée par «UNE-EN 300:2007», la référence «UNE-EN 312» est remplacée par «UNE-EN 312:2010», la référence «UNE EN 622-2» est remplacée par «UNE-EN 622-2:2004», la référence «UNE EN 622-3» est remplacée par «UNE-EN 622-3:2005», la référence «UNE EN 622-5» est remplacée par «UNE-EN 622-5:2010», la référence «UNE-EN 14279» est remplacée par «UNE-EN 14279:2007+A1:2009», la référence «UNE-EN 14081-1» est remplacée par «UNE-EN 14081-1:2016», la référence «UNE-EN 14080» est remplacée par «UNE-EN 14080:2013» et la référence «UNE-EN 14374» est remplacée par «UNE-EN 14374:2005».</w:t>
      </w:r>
    </w:p>
    <w:p w14:paraId="59F52799" w14:textId="77777777" w:rsidR="004836CD" w:rsidRPr="00937C8B" w:rsidRDefault="004836CD" w:rsidP="0058501F">
      <w:pPr>
        <w:spacing w:before="120" w:line="312" w:lineRule="auto"/>
        <w:jc w:val="both"/>
        <w:rPr>
          <w:rFonts w:ascii="Arial" w:hAnsi="Arial" w:cs="Arial"/>
        </w:rPr>
      </w:pPr>
      <w:r>
        <w:rPr>
          <w:rFonts w:ascii="Arial" w:hAnsi="Arial"/>
        </w:rPr>
        <w:lastRenderedPageBreak/>
        <w:t>- À l’article 3.2.1.3, tableau 3.1, la référence «UNE EN 351-1» est remplacée par «UNE-EN 351-1:2008» et la référence «UNE-EN 350-2» est remplacée par «UNE-EN 350:2016».</w:t>
      </w:r>
    </w:p>
    <w:p w14:paraId="2CFCFE1D" w14:textId="77777777" w:rsidR="004836CD" w:rsidRPr="00937C8B" w:rsidRDefault="004836CD" w:rsidP="0058501F">
      <w:pPr>
        <w:spacing w:before="120" w:line="312" w:lineRule="auto"/>
        <w:jc w:val="both"/>
        <w:rPr>
          <w:rFonts w:ascii="Arial" w:hAnsi="Arial" w:cs="Arial"/>
        </w:rPr>
      </w:pPr>
      <w:r>
        <w:rPr>
          <w:rFonts w:ascii="Arial" w:hAnsi="Arial"/>
        </w:rPr>
        <w:t>- À l’article 3.2.3, point 5, la référence «UNE-EN 350» est remplacée par «UNE-EN 350:2016».</w:t>
      </w:r>
    </w:p>
    <w:p w14:paraId="00AD56BC" w14:textId="77777777" w:rsidR="004836CD" w:rsidRPr="00937C8B" w:rsidRDefault="004836CD" w:rsidP="0058501F">
      <w:pPr>
        <w:spacing w:before="120" w:line="312" w:lineRule="auto"/>
        <w:jc w:val="both"/>
        <w:rPr>
          <w:rFonts w:ascii="Arial" w:hAnsi="Arial" w:cs="Arial"/>
        </w:rPr>
      </w:pPr>
      <w:r>
        <w:rPr>
          <w:rFonts w:ascii="Arial" w:hAnsi="Arial"/>
        </w:rPr>
        <w:t>- À l’article 4.2.1, point 3, la référence «UNE ENV 387» est remplacée par «UNE-EN 14080:2013».</w:t>
      </w:r>
    </w:p>
    <w:p w14:paraId="14E5269E" w14:textId="77777777" w:rsidR="004836CD" w:rsidRPr="00937C8B" w:rsidRDefault="004836CD" w:rsidP="0058501F">
      <w:pPr>
        <w:spacing w:before="120" w:line="312" w:lineRule="auto"/>
        <w:jc w:val="both"/>
        <w:rPr>
          <w:rFonts w:ascii="Arial" w:hAnsi="Arial" w:cs="Arial"/>
        </w:rPr>
      </w:pPr>
      <w:r>
        <w:rPr>
          <w:rFonts w:ascii="Arial" w:hAnsi="Arial"/>
        </w:rPr>
        <w:t>- À l’article 4.5.2, point 2, la référence «UNE EN 301» est remplacée par «UNE-EN 301:2018».</w:t>
      </w:r>
    </w:p>
    <w:p w14:paraId="36073758" w14:textId="77777777" w:rsidR="004836CD" w:rsidRPr="00937C8B" w:rsidRDefault="004836CD" w:rsidP="0058501F">
      <w:pPr>
        <w:spacing w:before="120" w:line="312" w:lineRule="auto"/>
        <w:jc w:val="both"/>
        <w:rPr>
          <w:rFonts w:ascii="Arial" w:hAnsi="Arial" w:cs="Arial"/>
        </w:rPr>
      </w:pPr>
      <w:r>
        <w:rPr>
          <w:rFonts w:ascii="Arial" w:hAnsi="Arial"/>
        </w:rPr>
        <w:t>- À l’article 4.5.3, point 1, la référence «UNE EN 301» est remplacée par «UNE-EN 301:2018».</w:t>
      </w:r>
    </w:p>
    <w:p w14:paraId="4DE2F5EF" w14:textId="77777777" w:rsidR="004836CD" w:rsidRPr="00937C8B" w:rsidRDefault="004836CD" w:rsidP="0058501F">
      <w:pPr>
        <w:spacing w:before="120" w:line="312" w:lineRule="auto"/>
        <w:jc w:val="both"/>
        <w:rPr>
          <w:rFonts w:ascii="Arial" w:hAnsi="Arial" w:cs="Arial"/>
        </w:rPr>
      </w:pPr>
      <w:r>
        <w:rPr>
          <w:rFonts w:ascii="Arial" w:hAnsi="Arial"/>
        </w:rPr>
        <w:t>- À l’article 6.1.8, point 2, la référence «EN 13986» est remplacée par «UNE-EN 13986:2006+A1:2015» et la référence «EN 14374» est remplacée par «UNE-EN 14374:2005».</w:t>
      </w:r>
    </w:p>
    <w:p w14:paraId="1701B495" w14:textId="77777777" w:rsidR="004836CD" w:rsidRPr="00937C8B" w:rsidRDefault="004836CD" w:rsidP="0058501F">
      <w:pPr>
        <w:spacing w:before="120" w:line="312" w:lineRule="auto"/>
        <w:jc w:val="both"/>
        <w:rPr>
          <w:rFonts w:ascii="Arial" w:hAnsi="Arial" w:cs="Arial"/>
        </w:rPr>
      </w:pPr>
      <w:r>
        <w:rPr>
          <w:rFonts w:ascii="Arial" w:hAnsi="Arial"/>
        </w:rPr>
        <w:t>- À l’article 7.1, tableau 7.1, la référence «UNE EN 636» est remplacée par «UNE-EN 636:2012+A1:2015», la référence «UNE-EN 300» est remplacée par «UNE-EN 300:2007», la référence «UNE-EN 312» est remplacée par «UNE-EN 312:2010», la référence «UNE EN 622-2» est remplacée par «UNE-EN 622-2:2004», la référence «UNE EN 622-3» est remplacée par «UNE-EN 622-3:2005», la référence «UNE EN 622-5» est remplacée par «UNE-EN 622-5:2010» et la référence «UNE EN 622-4» est remplacée par «UNE-EN 622-4:2010».</w:t>
      </w:r>
    </w:p>
    <w:p w14:paraId="37797B0A" w14:textId="77777777" w:rsidR="004836CD" w:rsidRPr="00937C8B" w:rsidRDefault="004836CD" w:rsidP="0058501F">
      <w:pPr>
        <w:spacing w:before="120" w:line="312" w:lineRule="auto"/>
        <w:jc w:val="both"/>
        <w:rPr>
          <w:rFonts w:ascii="Arial" w:hAnsi="Arial" w:cs="Arial"/>
        </w:rPr>
      </w:pPr>
      <w:r>
        <w:rPr>
          <w:rFonts w:ascii="Arial" w:hAnsi="Arial"/>
        </w:rPr>
        <w:t>- À l’article 7.2, point 1, la référence «UNE EN 26891» est remplacée par «UNE-EN 26891:1992».</w:t>
      </w:r>
    </w:p>
    <w:p w14:paraId="4A721057" w14:textId="77777777" w:rsidR="004836CD" w:rsidRPr="00937C8B" w:rsidRDefault="004836CD" w:rsidP="0058501F">
      <w:pPr>
        <w:spacing w:before="120" w:line="312" w:lineRule="auto"/>
        <w:jc w:val="both"/>
        <w:rPr>
          <w:rFonts w:ascii="Arial" w:hAnsi="Arial" w:cs="Arial"/>
        </w:rPr>
      </w:pPr>
      <w:r>
        <w:rPr>
          <w:rFonts w:ascii="Arial" w:hAnsi="Arial"/>
        </w:rPr>
        <w:t>- À l’article 7.2, point 2, la référence «UNE EN 13271» est remplacée par «UNE-EN 13271:2002».</w:t>
      </w:r>
    </w:p>
    <w:p w14:paraId="14E9AE0D" w14:textId="77777777" w:rsidR="004836CD" w:rsidRPr="00937C8B" w:rsidRDefault="004836CD" w:rsidP="0058501F">
      <w:pPr>
        <w:spacing w:before="120" w:line="312" w:lineRule="auto"/>
        <w:jc w:val="both"/>
        <w:rPr>
          <w:rFonts w:ascii="Arial" w:hAnsi="Arial" w:cs="Arial"/>
        </w:rPr>
      </w:pPr>
      <w:r>
        <w:rPr>
          <w:rFonts w:ascii="Arial" w:hAnsi="Arial"/>
        </w:rPr>
        <w:t>- À l’article 7.2, tableau 7.2, la référence «UNE EN 26891» est remplacée par «UNE-EN 26891:1992» et la référence «UNE EN 912» est remplacée par «UNE-EN 912:2011».</w:t>
      </w:r>
    </w:p>
    <w:p w14:paraId="63C6F765" w14:textId="77777777" w:rsidR="004836CD" w:rsidRPr="00937C8B" w:rsidRDefault="004836CD" w:rsidP="0058501F">
      <w:pPr>
        <w:spacing w:before="120" w:line="312" w:lineRule="auto"/>
        <w:jc w:val="both"/>
        <w:rPr>
          <w:rFonts w:ascii="Arial" w:hAnsi="Arial" w:cs="Arial"/>
        </w:rPr>
      </w:pPr>
      <w:r>
        <w:rPr>
          <w:rFonts w:ascii="Arial" w:hAnsi="Arial"/>
        </w:rPr>
        <w:t>- À l’article 8.2.1, point 1, la référence «UNE EN 1380» est remplacée par «UNE-EN 1380:2009», la référence «UNE EN 1381» est remplacée par «UNE-EN 1381:2016», la référence «UNE EN 26891» est remplacée par «UNE-EN 26891:1992» et la référence «UNE EN 28970» est remplacée par «UNE-EN ISO 8970:2010».</w:t>
      </w:r>
    </w:p>
    <w:p w14:paraId="630DD341" w14:textId="77777777" w:rsidR="004836CD" w:rsidRPr="00937C8B" w:rsidRDefault="004836CD" w:rsidP="0058501F">
      <w:pPr>
        <w:spacing w:before="120" w:line="312" w:lineRule="auto"/>
        <w:jc w:val="both"/>
        <w:rPr>
          <w:rFonts w:ascii="Arial" w:hAnsi="Arial" w:cs="Arial"/>
        </w:rPr>
      </w:pPr>
      <w:r>
        <w:rPr>
          <w:rFonts w:ascii="Arial" w:hAnsi="Arial"/>
        </w:rPr>
        <w:t>- À l’article 8.3.1.1, point 5, la référence «EN 383» est remplacée par «UNE-EN 383:2007» et la référence «UNE EN 14358» est remplacée par «UNE-EN 14358:2016».</w:t>
      </w:r>
    </w:p>
    <w:p w14:paraId="246E3E3B" w14:textId="77777777" w:rsidR="004836CD" w:rsidRPr="00937C8B" w:rsidRDefault="004836CD" w:rsidP="0058501F">
      <w:pPr>
        <w:spacing w:before="120" w:line="312" w:lineRule="auto"/>
        <w:jc w:val="both"/>
        <w:rPr>
          <w:rFonts w:ascii="Arial" w:hAnsi="Arial" w:cs="Arial"/>
        </w:rPr>
      </w:pPr>
      <w:r>
        <w:rPr>
          <w:rFonts w:ascii="Arial" w:hAnsi="Arial"/>
        </w:rPr>
        <w:t>- À l’article 8.3.1.1, point 6, la référence «UNE EN 409» est remplacée par «UNE-EN 409:2009» et la référence «UNE EN 14358» est remplacée par «UNE-EN 14358:2016».</w:t>
      </w:r>
    </w:p>
    <w:p w14:paraId="34561A34" w14:textId="77777777" w:rsidR="004836CD" w:rsidRPr="00937C8B" w:rsidRDefault="004836CD" w:rsidP="0058501F">
      <w:pPr>
        <w:spacing w:before="120" w:line="312" w:lineRule="auto"/>
        <w:jc w:val="both"/>
        <w:rPr>
          <w:rFonts w:ascii="Arial" w:hAnsi="Arial" w:cs="Arial"/>
        </w:rPr>
      </w:pPr>
      <w:r>
        <w:rPr>
          <w:rFonts w:ascii="Arial" w:hAnsi="Arial"/>
        </w:rPr>
        <w:t>- À l’article 8.3.1.2, point 7, la référence «UNE ENV-1995» est remplacée par «UNE-EN 1995-1-1:2016».</w:t>
      </w:r>
    </w:p>
    <w:p w14:paraId="6637FC47" w14:textId="77777777" w:rsidR="004836CD" w:rsidRPr="00937C8B" w:rsidRDefault="004836CD" w:rsidP="0058501F">
      <w:pPr>
        <w:spacing w:before="120" w:line="312" w:lineRule="auto"/>
        <w:jc w:val="both"/>
        <w:rPr>
          <w:rFonts w:ascii="Arial" w:hAnsi="Arial" w:cs="Arial"/>
        </w:rPr>
      </w:pPr>
      <w:r>
        <w:rPr>
          <w:rFonts w:ascii="Arial" w:hAnsi="Arial"/>
        </w:rPr>
        <w:t>- À l’article 8.3.2.1.2, point 4.b), la référence «UNE EN 14545» est remplacée par «UNE-EN 14545:2009».</w:t>
      </w:r>
    </w:p>
    <w:p w14:paraId="0CD62343" w14:textId="77777777" w:rsidR="004836CD" w:rsidRPr="00937C8B" w:rsidRDefault="004836CD" w:rsidP="0058501F">
      <w:pPr>
        <w:spacing w:before="120" w:line="312" w:lineRule="auto"/>
        <w:jc w:val="both"/>
        <w:rPr>
          <w:rFonts w:ascii="Arial" w:hAnsi="Arial" w:cs="Arial"/>
        </w:rPr>
      </w:pPr>
      <w:r>
        <w:rPr>
          <w:rFonts w:ascii="Arial" w:hAnsi="Arial"/>
        </w:rPr>
        <w:t>- À l’article 8.3.2.1.3, point 1.c), la référence «UNE EN 622-2» est remplacée par «UNE-EN 622-2:2004».</w:t>
      </w:r>
    </w:p>
    <w:p w14:paraId="0E13714C" w14:textId="7250AFBA" w:rsidR="004836CD" w:rsidRPr="00937C8B" w:rsidRDefault="004836CD" w:rsidP="0058501F">
      <w:pPr>
        <w:spacing w:before="120" w:line="312" w:lineRule="auto"/>
        <w:jc w:val="both"/>
        <w:rPr>
          <w:rFonts w:ascii="Arial" w:hAnsi="Arial" w:cs="Arial"/>
        </w:rPr>
      </w:pPr>
      <w:r>
        <w:rPr>
          <w:rFonts w:ascii="Arial" w:hAnsi="Arial"/>
        </w:rPr>
        <w:lastRenderedPageBreak/>
        <w:t>- À l’article 8.3.2.2, point 3.a)i), la référence «UNE EN 14545» est remplacée par «UNE-EN 14545:2009».</w:t>
      </w:r>
    </w:p>
    <w:p w14:paraId="1AEE2DAE" w14:textId="77777777" w:rsidR="004836CD" w:rsidRPr="00937C8B" w:rsidRDefault="004836CD" w:rsidP="0058501F">
      <w:pPr>
        <w:spacing w:before="120" w:line="312" w:lineRule="auto"/>
        <w:jc w:val="both"/>
        <w:rPr>
          <w:rFonts w:ascii="Arial" w:hAnsi="Arial" w:cs="Arial"/>
        </w:rPr>
      </w:pPr>
      <w:r>
        <w:rPr>
          <w:rFonts w:ascii="Arial" w:hAnsi="Arial"/>
        </w:rPr>
        <w:t>- À l’article 8.3.2.2, point 3.b), la référence «UNE-EN 1382» est remplacée par «UNE-EN 1382:2016», la référence «UNE EN 1383» est remplacée par «UNE-EN 1383:2016» et la référence «UNE EN 14358» est remplacée par «UNE-EN 14358:2016».</w:t>
      </w:r>
    </w:p>
    <w:p w14:paraId="3E5B211C" w14:textId="77777777" w:rsidR="004836CD" w:rsidRPr="00937C8B" w:rsidRDefault="004836CD" w:rsidP="0058501F">
      <w:pPr>
        <w:spacing w:before="120" w:line="312" w:lineRule="auto"/>
        <w:jc w:val="both"/>
        <w:rPr>
          <w:rFonts w:ascii="Arial" w:hAnsi="Arial" w:cs="Arial"/>
        </w:rPr>
      </w:pPr>
      <w:r>
        <w:rPr>
          <w:rFonts w:ascii="Arial" w:hAnsi="Arial"/>
        </w:rPr>
        <w:t>- À l’article 8.3.2.3, point 1.a), la référence «(conformément à la définition de la norme UNE EN 14547)» est supprimée et au point 1,b), la référence «pour les clous qui n’ont pas de tige lisse» est remplacée «pour les clous qui n’ont pas de tige lisse (conformément à la définition de la norme UNE-EN 14592:2009+A1:2012)».</w:t>
      </w:r>
    </w:p>
    <w:p w14:paraId="49121227" w14:textId="77777777" w:rsidR="004836CD" w:rsidRPr="00937C8B" w:rsidRDefault="004836CD" w:rsidP="0058501F">
      <w:pPr>
        <w:spacing w:before="120" w:line="312" w:lineRule="auto"/>
        <w:jc w:val="both"/>
        <w:rPr>
          <w:rFonts w:ascii="Arial" w:hAnsi="Arial" w:cs="Arial"/>
        </w:rPr>
      </w:pPr>
      <w:r>
        <w:rPr>
          <w:rFonts w:ascii="Arial" w:hAnsi="Arial"/>
        </w:rPr>
        <w:t>- À l’article 8.3.6.2, point 6 et point 8, la référence «EN 14592» est remplacée par «UNE-EN 14592:2009+A1:2012».</w:t>
      </w:r>
    </w:p>
    <w:p w14:paraId="554F39FC" w14:textId="77777777" w:rsidR="004836CD" w:rsidRPr="00937C8B" w:rsidRDefault="004836CD" w:rsidP="0058501F">
      <w:pPr>
        <w:spacing w:before="120" w:line="312" w:lineRule="auto"/>
        <w:jc w:val="both"/>
        <w:rPr>
          <w:rFonts w:ascii="Arial" w:hAnsi="Arial" w:cs="Arial"/>
        </w:rPr>
      </w:pPr>
      <w:r>
        <w:rPr>
          <w:rFonts w:ascii="Arial" w:hAnsi="Arial"/>
        </w:rPr>
        <w:t>- À l’article 8.4.1, point 1 et tableau 8.7, la référence «UNE EN 912» est remplacée par «UNE-EN 912:2011».</w:t>
      </w:r>
    </w:p>
    <w:p w14:paraId="5B704DE4" w14:textId="77777777" w:rsidR="004836CD" w:rsidRPr="00937C8B" w:rsidRDefault="004836CD" w:rsidP="0058501F">
      <w:pPr>
        <w:spacing w:before="120" w:line="312" w:lineRule="auto"/>
        <w:jc w:val="both"/>
        <w:rPr>
          <w:rFonts w:ascii="Arial" w:hAnsi="Arial" w:cs="Arial"/>
        </w:rPr>
      </w:pPr>
      <w:r>
        <w:rPr>
          <w:rFonts w:ascii="Arial" w:hAnsi="Arial"/>
        </w:rPr>
        <w:t>- À l’article 8.4.2, point 2, la référence «UNE EN 912» est remplacée par «UNE-EN 912:2011».</w:t>
      </w:r>
    </w:p>
    <w:p w14:paraId="7E68F965" w14:textId="77777777" w:rsidR="004836CD" w:rsidRPr="00937C8B" w:rsidRDefault="004836CD" w:rsidP="0058501F">
      <w:pPr>
        <w:spacing w:before="120" w:line="312" w:lineRule="auto"/>
        <w:jc w:val="both"/>
        <w:rPr>
          <w:rFonts w:ascii="Arial" w:hAnsi="Arial" w:cs="Arial"/>
        </w:rPr>
      </w:pPr>
      <w:r>
        <w:rPr>
          <w:rFonts w:ascii="Arial" w:hAnsi="Arial"/>
        </w:rPr>
        <w:t>- À l’article 10.4.2.1, point 1, la référence «UNE EN 594» est remplacée par «UNE-EN 594:2011».</w:t>
      </w:r>
    </w:p>
    <w:p w14:paraId="1C34822B" w14:textId="77777777" w:rsidR="004836CD" w:rsidRPr="00937C8B" w:rsidRDefault="004836CD" w:rsidP="0058501F">
      <w:pPr>
        <w:spacing w:before="120" w:line="312" w:lineRule="auto"/>
        <w:jc w:val="both"/>
        <w:rPr>
          <w:rFonts w:ascii="Arial" w:hAnsi="Arial" w:cs="Arial"/>
        </w:rPr>
      </w:pPr>
      <w:r>
        <w:rPr>
          <w:rFonts w:ascii="Arial" w:hAnsi="Arial"/>
        </w:rPr>
        <w:t>- À l’article 12.2, point 1, la référence «UNE EN 336» est remplacée par «UNE-EN 336:2014» et au point 2, la référence «UNE EN 390» est remplacée par «UNE-EN 14080:2013».</w:t>
      </w:r>
    </w:p>
    <w:p w14:paraId="25726372" w14:textId="77777777" w:rsidR="004836CD" w:rsidRPr="00937C8B" w:rsidRDefault="004836CD" w:rsidP="0058501F">
      <w:pPr>
        <w:spacing w:before="120" w:line="312" w:lineRule="auto"/>
        <w:jc w:val="both"/>
        <w:rPr>
          <w:rFonts w:ascii="Arial" w:hAnsi="Arial" w:cs="Arial"/>
        </w:rPr>
      </w:pPr>
      <w:r>
        <w:rPr>
          <w:rFonts w:ascii="Arial" w:hAnsi="Arial"/>
        </w:rPr>
        <w:t>- À l’article 12.3, point 1, la référence «EN TC 124-1.3» est remplacée par «UNE-EN 14250:2010».</w:t>
      </w:r>
    </w:p>
    <w:p w14:paraId="305DCC41" w14:textId="1C7277B8" w:rsidR="004836CD" w:rsidRPr="00937C8B" w:rsidRDefault="004836CD" w:rsidP="0058501F">
      <w:pPr>
        <w:spacing w:before="120" w:line="312" w:lineRule="auto"/>
        <w:jc w:val="both"/>
        <w:rPr>
          <w:rFonts w:ascii="Arial" w:hAnsi="Arial" w:cs="Arial"/>
        </w:rPr>
      </w:pPr>
      <w:r>
        <w:rPr>
          <w:rFonts w:ascii="Arial" w:hAnsi="Arial"/>
        </w:rPr>
        <w:t>- À l’article 13.1.1., point 1.b)ii), la référence «UNE EN 386» est remplacée par «UNE-EN 14080:2013».</w:t>
      </w:r>
    </w:p>
    <w:p w14:paraId="1971AA2A" w14:textId="77777777" w:rsidR="004836CD" w:rsidRPr="00937C8B" w:rsidRDefault="004836CD" w:rsidP="0058501F">
      <w:pPr>
        <w:spacing w:before="120" w:line="312" w:lineRule="auto"/>
        <w:jc w:val="both"/>
        <w:rPr>
          <w:rFonts w:ascii="Arial" w:hAnsi="Arial" w:cs="Arial"/>
        </w:rPr>
      </w:pPr>
      <w:r>
        <w:rPr>
          <w:rFonts w:ascii="Arial" w:hAnsi="Arial"/>
        </w:rPr>
        <w:t>- À l’article 13.1.2, point 1.ii), la référence «UNE EN 336» est remplacée par «UNE-EN 336:2014», la référence «UNE-EN 13183-2» est remplacée par «UNE-EN 13183-2:2002», la référence «UNE EN 300» est remplacée par «UNE-EN 300:2007», la référence «UNE EN 312-1» est remplacée par «UNE-EN 312:2010», la référence «UNE EN 622-1» est remplacée par «UNE-EN 622-1:2004», la référence «UNE EN 315» est remplacée par «UNE-EN 315:2001» et la référence «UNE EN 390» est remplacée par «UNE-EN 14080:2013».</w:t>
      </w:r>
    </w:p>
    <w:p w14:paraId="3899CADA" w14:textId="77777777" w:rsidR="004836CD" w:rsidRPr="00937C8B" w:rsidRDefault="004836CD" w:rsidP="0058501F">
      <w:pPr>
        <w:spacing w:before="120" w:line="312" w:lineRule="auto"/>
        <w:jc w:val="both"/>
        <w:rPr>
          <w:rFonts w:ascii="Arial" w:hAnsi="Arial" w:cs="Arial"/>
        </w:rPr>
      </w:pPr>
      <w:r>
        <w:rPr>
          <w:rFonts w:ascii="Arial" w:hAnsi="Arial"/>
        </w:rPr>
        <w:t>- À l’article C.1, point 5, la référence «UNE 56.544» est remplacée par «UNE 56544:2011» et la référence «UNE EN 1912» est remplacée par «UNE-EN 1912:2012».</w:t>
      </w:r>
    </w:p>
    <w:p w14:paraId="7F07CC82" w14:textId="77777777" w:rsidR="004836CD" w:rsidRPr="00937C8B" w:rsidRDefault="004836CD" w:rsidP="0058501F">
      <w:pPr>
        <w:spacing w:before="120" w:line="312" w:lineRule="auto"/>
        <w:jc w:val="both"/>
        <w:rPr>
          <w:rFonts w:ascii="Arial" w:hAnsi="Arial" w:cs="Arial"/>
        </w:rPr>
      </w:pPr>
      <w:r>
        <w:rPr>
          <w:rFonts w:ascii="Arial" w:hAnsi="Arial"/>
        </w:rPr>
        <w:t>- À l’article C.2, tableau C.1, la référence «UNE 56.544» est remplacée par «UNE 56544:2011», la référence «UNE EN 14081-4» est remplacée par «UNE-EN 14081-1:2016».</w:t>
      </w:r>
    </w:p>
    <w:p w14:paraId="693D83B8" w14:textId="77777777" w:rsidR="004836CD" w:rsidRPr="00937C8B" w:rsidRDefault="004836CD" w:rsidP="0058501F">
      <w:pPr>
        <w:spacing w:before="120" w:line="312" w:lineRule="auto"/>
        <w:jc w:val="both"/>
        <w:rPr>
          <w:rFonts w:ascii="Arial" w:hAnsi="Arial" w:cs="Arial"/>
        </w:rPr>
      </w:pPr>
      <w:r>
        <w:rPr>
          <w:rFonts w:ascii="Arial" w:hAnsi="Arial"/>
        </w:rPr>
        <w:t>- À l’article C.3, tableau C.2, la référence «UNE 56.544 Classement visuel du bois scié de structure» est remplacée par «UNE 56544:2011 Classement visuel du bois scié de structure. Bois résineux.»</w:t>
      </w:r>
    </w:p>
    <w:p w14:paraId="77F32AA4" w14:textId="77777777" w:rsidR="004836CD" w:rsidRPr="00937C8B" w:rsidRDefault="004836CD" w:rsidP="0058501F">
      <w:pPr>
        <w:spacing w:before="120" w:line="312" w:lineRule="auto"/>
        <w:jc w:val="both"/>
        <w:rPr>
          <w:rFonts w:ascii="Arial" w:hAnsi="Arial" w:cs="Arial"/>
        </w:rPr>
      </w:pPr>
      <w:r>
        <w:rPr>
          <w:rFonts w:ascii="Arial" w:hAnsi="Arial"/>
        </w:rPr>
        <w:lastRenderedPageBreak/>
        <w:t>- À l’article D.2, point 1, la référence «UNE EN 408» est remplacée par «UNE-EN 408:2011+A1:2012» et la référence «UNE EN 1194» est remplacée par «UNE-EN 14080:2013».</w:t>
      </w:r>
    </w:p>
    <w:p w14:paraId="46B7DEFF" w14:textId="77777777" w:rsidR="004836CD" w:rsidRPr="00937C8B" w:rsidRDefault="004836CD" w:rsidP="0058501F">
      <w:pPr>
        <w:spacing w:before="120" w:line="312" w:lineRule="auto"/>
        <w:jc w:val="both"/>
        <w:rPr>
          <w:rFonts w:ascii="Arial" w:hAnsi="Arial" w:cs="Arial"/>
        </w:rPr>
      </w:pPr>
      <w:r>
        <w:rPr>
          <w:rFonts w:ascii="Arial" w:hAnsi="Arial"/>
        </w:rPr>
        <w:t>- À l’article D.3, point 1 et point 3, la référence «UNE EN 1194» est remplacée par «UNE-EN 14080:2013».</w:t>
      </w:r>
    </w:p>
    <w:p w14:paraId="16F2BB93" w14:textId="77777777" w:rsidR="004836CD" w:rsidRPr="00937C8B" w:rsidRDefault="004836CD" w:rsidP="0058501F">
      <w:pPr>
        <w:spacing w:before="120" w:line="312" w:lineRule="auto"/>
        <w:jc w:val="both"/>
        <w:rPr>
          <w:rFonts w:ascii="Arial" w:hAnsi="Arial" w:cs="Arial"/>
        </w:rPr>
      </w:pPr>
      <w:r>
        <w:rPr>
          <w:rFonts w:ascii="Arial" w:hAnsi="Arial"/>
        </w:rPr>
        <w:t>- À l’article E.3, point 2, la référence «UNE EN 789» est remplacée par «UNE-EN 789:2006» et le point 3 est supprimé.</w:t>
      </w:r>
    </w:p>
    <w:p w14:paraId="7912AF32" w14:textId="77777777" w:rsidR="004836CD" w:rsidRPr="00937C8B" w:rsidRDefault="004836CD" w:rsidP="0058501F">
      <w:pPr>
        <w:spacing w:before="120" w:line="312" w:lineRule="auto"/>
        <w:jc w:val="both"/>
        <w:rPr>
          <w:rFonts w:ascii="Arial" w:hAnsi="Arial" w:cs="Arial"/>
        </w:rPr>
      </w:pPr>
      <w:r>
        <w:rPr>
          <w:rFonts w:ascii="Arial" w:hAnsi="Arial"/>
        </w:rPr>
        <w:t>- À l’article E.3.1.1, tableau E.5, la référence «UNE EN 312-4» est remplacée par «UNE-EN 312:2010, type P4», dans le tableau E.6, la référence «UNE EN 312-5» est remplacée par «UNE-EN 312:2010, type P5», dans le tableau E.7, la référence «UNE EN 312-6» est remplacée par «UNE-EN 312:2010, type P6» et, dans le tableau E.8, la référence «UNE EN 312-7» est remplacée par «UNE-EN 312:2010, type P7».</w:t>
      </w:r>
    </w:p>
    <w:p w14:paraId="5CD8053A" w14:textId="77777777" w:rsidR="004836CD" w:rsidRPr="00937C8B" w:rsidRDefault="004836CD" w:rsidP="0058501F">
      <w:pPr>
        <w:spacing w:before="120" w:line="312" w:lineRule="auto"/>
        <w:jc w:val="both"/>
        <w:rPr>
          <w:rFonts w:ascii="Arial" w:hAnsi="Arial" w:cs="Arial"/>
        </w:rPr>
      </w:pPr>
      <w:r>
        <w:rPr>
          <w:rFonts w:ascii="Arial" w:hAnsi="Arial"/>
        </w:rPr>
        <w:t>- À l’article E.3.2.1, tableau E.9, la référence «UNE EN 622-2» est remplacée par «UNE-EN 622-2:2004», la référence «UNE EN 622-3» est remplacée par «UNE-EN 622-3:2005» et, dans le tableau E.10, la référence «UNE EN 622-5» est remplacée par «UNE-EN 622-5:2010».</w:t>
      </w:r>
    </w:p>
    <w:p w14:paraId="664D69D8" w14:textId="77777777" w:rsidR="004836CD" w:rsidRPr="00937C8B" w:rsidRDefault="004836CD" w:rsidP="0058501F">
      <w:pPr>
        <w:spacing w:before="120" w:line="312" w:lineRule="auto"/>
        <w:jc w:val="both"/>
        <w:rPr>
          <w:rFonts w:ascii="Arial" w:hAnsi="Arial" w:cs="Arial"/>
        </w:rPr>
      </w:pPr>
      <w:r>
        <w:rPr>
          <w:rFonts w:ascii="Arial" w:hAnsi="Arial"/>
        </w:rPr>
        <w:t>- À l’article E.3.3.1, point 1, la référence «UNE EN 789» est remplacée par «UNE-EN 789:2006» et la référence «UNE EN 1058» est remplacée par «UNE-EN 1058:2010».</w:t>
      </w:r>
    </w:p>
    <w:p w14:paraId="42E27343" w14:textId="77777777" w:rsidR="004836CD" w:rsidRPr="00937C8B" w:rsidRDefault="004836CD" w:rsidP="0058501F">
      <w:pPr>
        <w:spacing w:before="120" w:line="312" w:lineRule="auto"/>
        <w:jc w:val="both"/>
        <w:rPr>
          <w:rFonts w:ascii="Arial" w:hAnsi="Arial" w:cs="Arial"/>
        </w:rPr>
      </w:pPr>
      <w:r>
        <w:rPr>
          <w:rFonts w:ascii="Arial" w:hAnsi="Arial"/>
        </w:rPr>
        <w:t>- À l’article E.3.4.1, tableau E.11 et E.12, la référence «UNE EN 300» est remplacée par «UNE-EN 300:2007».</w:t>
      </w:r>
    </w:p>
    <w:p w14:paraId="046CAB7C" w14:textId="77777777" w:rsidR="004836CD" w:rsidRPr="00937C8B" w:rsidRDefault="004836CD" w:rsidP="00D27646">
      <w:pPr>
        <w:keepNext/>
        <w:spacing w:before="120" w:line="312" w:lineRule="auto"/>
        <w:jc w:val="both"/>
        <w:rPr>
          <w:rFonts w:ascii="Arial" w:hAnsi="Arial" w:cs="Arial"/>
        </w:rPr>
      </w:pPr>
      <w:r>
        <w:rPr>
          <w:rFonts w:ascii="Arial" w:hAnsi="Arial"/>
        </w:rPr>
        <w:t>- L’annexe I est remplacé par le suivant:</w:t>
      </w:r>
    </w:p>
    <w:p w14:paraId="57FB54DD" w14:textId="77777777" w:rsidR="004836CD" w:rsidRPr="00937C8B" w:rsidRDefault="004836CD" w:rsidP="00D27646">
      <w:pPr>
        <w:keepNext/>
        <w:spacing w:before="120" w:line="312" w:lineRule="auto"/>
        <w:ind w:left="709"/>
        <w:jc w:val="both"/>
        <w:rPr>
          <w:rFonts w:ascii="Arial" w:hAnsi="Arial" w:cs="Arial"/>
        </w:rPr>
      </w:pPr>
      <w:r>
        <w:rPr>
          <w:rFonts w:ascii="Arial" w:hAnsi="Arial"/>
        </w:rPr>
        <w:t>«Annexe I. Normes de référence</w:t>
      </w:r>
    </w:p>
    <w:p w14:paraId="5FF3918D" w14:textId="77777777" w:rsidR="004836CD" w:rsidRPr="00A77C79" w:rsidRDefault="004836CD" w:rsidP="0058501F">
      <w:pPr>
        <w:widowControl w:val="0"/>
        <w:spacing w:before="120" w:line="312" w:lineRule="auto"/>
        <w:ind w:left="709"/>
        <w:jc w:val="both"/>
        <w:rPr>
          <w:rFonts w:ascii="Arial" w:hAnsi="Arial" w:cs="Arial"/>
        </w:rPr>
      </w:pPr>
      <w:r>
        <w:rPr>
          <w:rFonts w:ascii="Arial" w:hAnsi="Arial"/>
        </w:rPr>
        <w:t>Cet annexe récapitule les références complètes des normes citées dans le DB-SE-M. Elles sont signalées dans cet annexe par un astérisque. Il comprend également, à titre d’information, les autres normes en relation avec l’application du DB-SE-M.</w:t>
      </w:r>
    </w:p>
    <w:p w14:paraId="1E23C450"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 56544:2011</w:t>
      </w:r>
      <w:r>
        <w:rPr>
          <w:rFonts w:ascii="Arial" w:hAnsi="Arial"/>
        </w:rPr>
        <w:tab/>
        <w:t>Classement visuel du bois scié de structure. Bois résineux.</w:t>
      </w:r>
    </w:p>
    <w:p w14:paraId="5D2EEEBA"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300:2007</w:t>
      </w:r>
      <w:r>
        <w:rPr>
          <w:rFonts w:ascii="Arial" w:hAnsi="Arial"/>
        </w:rPr>
        <w:tab/>
        <w:t>Panneaux de lamelles minces, longues et orientées. Définitions, classification et spécifications.</w:t>
      </w:r>
    </w:p>
    <w:p w14:paraId="6C894237"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301:2018</w:t>
      </w:r>
      <w:r>
        <w:rPr>
          <w:rFonts w:ascii="Arial" w:hAnsi="Arial"/>
        </w:rPr>
        <w:tab/>
        <w:t>Adhésifs de nature phénolique et aminoplaste, pour structures portantes en bois - Classification et exigences de performance.</w:t>
      </w:r>
    </w:p>
    <w:p w14:paraId="68BE205A"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302-1:2013</w:t>
      </w:r>
      <w:r>
        <w:rPr>
          <w:rFonts w:ascii="Arial" w:hAnsi="Arial"/>
        </w:rPr>
        <w:tab/>
        <w:t>Adhésifs pour structures portantes en bois - Méthodes d’essai - Partie 1: Détermination de la résistance du joint au cisaillement en traction longitudinale.</w:t>
      </w:r>
    </w:p>
    <w:p w14:paraId="60EC1DF2"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302-2:2018</w:t>
      </w:r>
      <w:r>
        <w:rPr>
          <w:rFonts w:ascii="Arial" w:hAnsi="Arial"/>
        </w:rPr>
        <w:tab/>
        <w:t xml:space="preserve">Adhésifs pour structures portantes en bois - Méthodes d’essai - Partie 2: Détermination de la résistance à la délamination. </w:t>
      </w:r>
    </w:p>
    <w:p w14:paraId="5D45B36A" w14:textId="77777777" w:rsidR="004836CD" w:rsidRPr="00937C8B" w:rsidRDefault="004836CD" w:rsidP="0058501F">
      <w:pPr>
        <w:spacing w:before="120" w:line="312" w:lineRule="auto"/>
        <w:ind w:left="3828" w:hanging="3119"/>
        <w:jc w:val="both"/>
        <w:rPr>
          <w:rFonts w:ascii="Arial" w:hAnsi="Arial" w:cs="Arial"/>
        </w:rPr>
      </w:pPr>
      <w:r>
        <w:rPr>
          <w:rFonts w:ascii="Arial" w:hAnsi="Arial"/>
        </w:rPr>
        <w:lastRenderedPageBreak/>
        <w:t>UNE-EN 302-3:2018</w:t>
      </w:r>
      <w:r>
        <w:rPr>
          <w:rFonts w:ascii="Arial" w:hAnsi="Arial"/>
        </w:rPr>
        <w:tab/>
        <w:t>Adhésifs pour structures portantes en bois - Méthodes d’essai - Partie 3: Détermination de l’influence de l’attaque d’acide des fibres de bois, résultant de traitements cycliques en température et humidité sur la résistance à la traction transversale.</w:t>
      </w:r>
    </w:p>
    <w:p w14:paraId="5600D5EE"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302-4:2013</w:t>
      </w:r>
      <w:r>
        <w:rPr>
          <w:rFonts w:ascii="Arial" w:hAnsi="Arial"/>
        </w:rPr>
        <w:tab/>
        <w:t>Adhésifs pour structures portantes en bois - Méthodes d’essai - Partie 4: Détermination de l’influence du retrait du bois sur la résistance au cisaillement.</w:t>
      </w:r>
    </w:p>
    <w:p w14:paraId="791BDEEE"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309:2006</w:t>
      </w:r>
      <w:r>
        <w:rPr>
          <w:rFonts w:ascii="Arial" w:hAnsi="Arial"/>
        </w:rPr>
        <w:tab/>
        <w:t>Panneaux de particules - Définition et classification.</w:t>
      </w:r>
    </w:p>
    <w:p w14:paraId="3D4437A3" w14:textId="773940BD" w:rsidR="004836CD" w:rsidRPr="00937C8B" w:rsidRDefault="004836CD" w:rsidP="0058501F">
      <w:pPr>
        <w:spacing w:before="120" w:line="312" w:lineRule="auto"/>
        <w:ind w:left="3828" w:hanging="3119"/>
        <w:jc w:val="both"/>
        <w:rPr>
          <w:rFonts w:ascii="Arial" w:hAnsi="Arial" w:cs="Arial"/>
        </w:rPr>
      </w:pPr>
      <w:r>
        <w:rPr>
          <w:rFonts w:ascii="Arial" w:hAnsi="Arial"/>
        </w:rPr>
        <w:t>*UNE-EN 312:2010</w:t>
      </w:r>
      <w:r>
        <w:rPr>
          <w:rFonts w:ascii="Arial" w:hAnsi="Arial"/>
        </w:rPr>
        <w:tab/>
        <w:t xml:space="preserve">Panneaux de particules </w:t>
      </w:r>
      <w:r w:rsidR="00E93486">
        <w:rPr>
          <w:rFonts w:ascii="Arial" w:hAnsi="Arial"/>
        </w:rPr>
        <w:t>–</w:t>
      </w:r>
      <w:r>
        <w:rPr>
          <w:rFonts w:ascii="Arial" w:hAnsi="Arial"/>
        </w:rPr>
        <w:t xml:space="preserve"> Exigences</w:t>
      </w:r>
      <w:r w:rsidR="00E93486">
        <w:rPr>
          <w:rFonts w:ascii="Arial" w:hAnsi="Arial"/>
        </w:rPr>
        <w:t>.</w:t>
      </w:r>
    </w:p>
    <w:p w14:paraId="7D1746B2" w14:textId="6A7582E7" w:rsidR="004836CD" w:rsidRPr="00937C8B" w:rsidRDefault="004836CD" w:rsidP="0058501F">
      <w:pPr>
        <w:spacing w:before="120" w:line="312" w:lineRule="auto"/>
        <w:ind w:left="3828" w:hanging="3119"/>
        <w:jc w:val="both"/>
        <w:rPr>
          <w:rFonts w:ascii="Arial" w:hAnsi="Arial" w:cs="Arial"/>
        </w:rPr>
      </w:pPr>
      <w:r>
        <w:rPr>
          <w:rFonts w:ascii="Arial" w:hAnsi="Arial"/>
        </w:rPr>
        <w:t>UNE-EN 313-1:1996</w:t>
      </w:r>
      <w:r>
        <w:rPr>
          <w:rFonts w:ascii="Arial" w:hAnsi="Arial"/>
        </w:rPr>
        <w:tab/>
        <w:t>Contreplaqué. Classification et terminologie. Partie 1: Classification</w:t>
      </w:r>
      <w:r w:rsidR="00E93486">
        <w:rPr>
          <w:rFonts w:ascii="Arial" w:hAnsi="Arial"/>
        </w:rPr>
        <w:t>.</w:t>
      </w:r>
    </w:p>
    <w:p w14:paraId="01001CBE"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313-2:2000</w:t>
      </w:r>
      <w:r>
        <w:rPr>
          <w:rFonts w:ascii="Arial" w:hAnsi="Arial"/>
        </w:rPr>
        <w:tab/>
        <w:t>Contreplaqué. Classification et terminologie. Partie 2: Terminologie.</w:t>
      </w:r>
    </w:p>
    <w:p w14:paraId="7C5B6515"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315:2001</w:t>
      </w:r>
      <w:r>
        <w:rPr>
          <w:rFonts w:ascii="Arial" w:hAnsi="Arial"/>
        </w:rPr>
        <w:tab/>
        <w:t>Contreplaqué. Tolérances sur dimensions.</w:t>
      </w:r>
    </w:p>
    <w:p w14:paraId="5941E272"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316:2009</w:t>
      </w:r>
      <w:r>
        <w:rPr>
          <w:rFonts w:ascii="Arial" w:hAnsi="Arial"/>
        </w:rPr>
        <w:tab/>
        <w:t>Panneaux de fibres de bois. Définition, classification et symboles.</w:t>
      </w:r>
    </w:p>
    <w:p w14:paraId="4F99128B"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335:2013</w:t>
      </w:r>
      <w:r>
        <w:rPr>
          <w:rFonts w:ascii="Arial" w:hAnsi="Arial"/>
        </w:rPr>
        <w:tab/>
        <w:t>Durabilité du bois et des matériaux dérivés du bois - Classes d’emploi: définitions, application au bois massif et aux matériaux à base de bois.</w:t>
      </w:r>
    </w:p>
    <w:p w14:paraId="3E694440"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336:2014</w:t>
      </w:r>
      <w:r>
        <w:rPr>
          <w:rFonts w:ascii="Arial" w:hAnsi="Arial"/>
        </w:rPr>
        <w:tab/>
        <w:t>Bois de structure - Dimensions, écarts admissibles.</w:t>
      </w:r>
    </w:p>
    <w:p w14:paraId="676C1859"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338:2016</w:t>
      </w:r>
      <w:r>
        <w:rPr>
          <w:rFonts w:ascii="Arial" w:hAnsi="Arial"/>
        </w:rPr>
        <w:tab/>
        <w:t>Bois de structure - Classes de résistance.</w:t>
      </w:r>
    </w:p>
    <w:p w14:paraId="38EF0B03" w14:textId="77777777" w:rsidR="008C5A28" w:rsidRPr="00937C8B" w:rsidRDefault="008C5A28" w:rsidP="0058501F">
      <w:pPr>
        <w:spacing w:before="120" w:line="312" w:lineRule="auto"/>
        <w:ind w:left="3828" w:hanging="3119"/>
        <w:jc w:val="both"/>
        <w:rPr>
          <w:rFonts w:ascii="Arial" w:hAnsi="Arial" w:cs="Arial"/>
        </w:rPr>
      </w:pPr>
    </w:p>
    <w:p w14:paraId="45865585"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350:2016</w:t>
      </w:r>
      <w:r>
        <w:rPr>
          <w:rFonts w:ascii="Arial" w:hAnsi="Arial"/>
        </w:rPr>
        <w:tab/>
        <w:t>Durabilité du bois et des matériaux dérivés du bois - Méthodes d’essai et de classification de la durabilité vis-à-vis des agents biologiques du bois et des matériaux dérivés du bois.</w:t>
      </w:r>
    </w:p>
    <w:p w14:paraId="4D8BAA94" w14:textId="392BB5A7" w:rsidR="004836CD" w:rsidRPr="00937C8B" w:rsidRDefault="004836CD" w:rsidP="0058501F">
      <w:pPr>
        <w:spacing w:before="120" w:line="312" w:lineRule="auto"/>
        <w:ind w:left="3828" w:hanging="3119"/>
        <w:jc w:val="both"/>
        <w:rPr>
          <w:rFonts w:ascii="Arial" w:hAnsi="Arial" w:cs="Arial"/>
        </w:rPr>
      </w:pPr>
      <w:r>
        <w:rPr>
          <w:rFonts w:ascii="Arial" w:hAnsi="Arial"/>
        </w:rPr>
        <w:t>*UNE-EN 351-1:2008</w:t>
      </w:r>
      <w:r>
        <w:rPr>
          <w:rFonts w:ascii="Arial" w:hAnsi="Arial"/>
        </w:rPr>
        <w:tab/>
        <w:t>Durabilité du bois et des produits à base de bois - Bois massif traité avec produit de préservation - Partie 1: Classification des pénétrations et rétentions des produits de préservation. (+ ERRATUM 2008)</w:t>
      </w:r>
      <w:r w:rsidR="00E93486">
        <w:rPr>
          <w:rFonts w:ascii="Arial" w:hAnsi="Arial"/>
        </w:rPr>
        <w:t>.</w:t>
      </w:r>
    </w:p>
    <w:p w14:paraId="021BD2C0"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351-2:2008</w:t>
      </w:r>
      <w:r>
        <w:rPr>
          <w:rFonts w:ascii="Arial" w:hAnsi="Arial"/>
        </w:rPr>
        <w:tab/>
        <w:t xml:space="preserve">Durabilité du bois et des produits à base de bois - Bois massif traité avec produit de préservation - Partie 2: Guide </w:t>
      </w:r>
      <w:r>
        <w:rPr>
          <w:rFonts w:ascii="Arial" w:hAnsi="Arial"/>
        </w:rPr>
        <w:lastRenderedPageBreak/>
        <w:t>d’échantillonnage pour l’analyse du bois traité avec un produit de préservation.</w:t>
      </w:r>
    </w:p>
    <w:p w14:paraId="0070C135"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383:2007</w:t>
      </w:r>
      <w:r>
        <w:rPr>
          <w:rFonts w:ascii="Arial" w:hAnsi="Arial"/>
        </w:rPr>
        <w:tab/>
        <w:t xml:space="preserve">Structures en bois. Méthodes d’essai - Détermination de caractéristiques de fondation et de la portance locale d’éléments d’assemblage de type broche. </w:t>
      </w:r>
    </w:p>
    <w:p w14:paraId="00B0BD3E" w14:textId="5CE4AA6C" w:rsidR="004836CD" w:rsidRPr="00937C8B" w:rsidRDefault="004836CD" w:rsidP="0058501F">
      <w:pPr>
        <w:spacing w:before="120" w:line="312" w:lineRule="auto"/>
        <w:ind w:left="3828" w:hanging="3119"/>
        <w:jc w:val="both"/>
        <w:rPr>
          <w:rFonts w:ascii="Arial" w:hAnsi="Arial" w:cs="Arial"/>
        </w:rPr>
      </w:pPr>
      <w:r>
        <w:rPr>
          <w:rFonts w:ascii="Arial" w:hAnsi="Arial"/>
        </w:rPr>
        <w:t>UNE-EN 384:2016</w:t>
      </w:r>
      <w:r>
        <w:rPr>
          <w:rFonts w:ascii="Arial" w:hAnsi="Arial"/>
        </w:rPr>
        <w:tab/>
        <w:t>Bois de structure - Détermination des valeurs caractéristiques des propriétés mécaniques et de la masse volumique</w:t>
      </w:r>
      <w:r w:rsidR="00E93486">
        <w:rPr>
          <w:rFonts w:ascii="Arial" w:hAnsi="Arial"/>
        </w:rPr>
        <w:t>.</w:t>
      </w:r>
    </w:p>
    <w:p w14:paraId="1758935D"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408:2011+A1:2012</w:t>
      </w:r>
      <w:r>
        <w:rPr>
          <w:rFonts w:ascii="Arial" w:hAnsi="Arial"/>
        </w:rPr>
        <w:tab/>
        <w:t>Structures en bois - Bois de structure et bois lamellé-collé - Détermination de certaines propriétés physiques et mécaniques.</w:t>
      </w:r>
    </w:p>
    <w:p w14:paraId="3C1A2511"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409:2009</w:t>
      </w:r>
      <w:r>
        <w:rPr>
          <w:rFonts w:ascii="Arial" w:hAnsi="Arial"/>
        </w:rPr>
        <w:tab/>
        <w:t>Structures en bois. Méthodes d’essai - Détermination du moment plastique des organes d’assemblage de type tige.</w:t>
      </w:r>
    </w:p>
    <w:p w14:paraId="520CD7BF"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460:1995</w:t>
      </w:r>
      <w:r>
        <w:rPr>
          <w:rFonts w:ascii="Arial" w:hAnsi="Arial"/>
        </w:rPr>
        <w:tab/>
        <w:t>Durabilité du bois et des matériaux dérivés du bois. Durabilité naturelle du bois massif. Guide d’exigences de durabilité du bois pour son utilisation selon les classes de risque.</w:t>
      </w:r>
    </w:p>
    <w:p w14:paraId="51BD8CE2"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520:2005+A1:2010</w:t>
      </w:r>
      <w:r>
        <w:rPr>
          <w:rFonts w:ascii="Arial" w:hAnsi="Arial"/>
        </w:rPr>
        <w:tab/>
        <w:t>Plaques de plâtre - Définitions, spécifications et méthodes d’essai.</w:t>
      </w:r>
    </w:p>
    <w:p w14:paraId="6FD2936A" w14:textId="4B6ADA82" w:rsidR="004836CD" w:rsidRPr="00937C8B" w:rsidRDefault="004836CD" w:rsidP="0058501F">
      <w:pPr>
        <w:spacing w:before="120" w:line="312" w:lineRule="auto"/>
        <w:ind w:left="3828" w:hanging="3119"/>
        <w:jc w:val="both"/>
        <w:rPr>
          <w:rFonts w:ascii="Arial" w:hAnsi="Arial" w:cs="Arial"/>
        </w:rPr>
      </w:pPr>
      <w:r>
        <w:rPr>
          <w:rFonts w:ascii="Arial" w:hAnsi="Arial"/>
        </w:rPr>
        <w:t>*UNE-EN 594:2011</w:t>
      </w:r>
      <w:r>
        <w:rPr>
          <w:rFonts w:ascii="Arial" w:hAnsi="Arial"/>
        </w:rPr>
        <w:tab/>
        <w:t>Structures en bois. Méthodes d’essai - Essai de raideur et résistance au contreventement des murs à ossature en bois</w:t>
      </w:r>
      <w:r w:rsidR="00E93486">
        <w:rPr>
          <w:rFonts w:ascii="Arial" w:hAnsi="Arial"/>
        </w:rPr>
        <w:t>.</w:t>
      </w:r>
    </w:p>
    <w:p w14:paraId="7C6E3720"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595:1996</w:t>
      </w:r>
      <w:r>
        <w:rPr>
          <w:rFonts w:ascii="Arial" w:hAnsi="Arial"/>
        </w:rPr>
        <w:tab/>
        <w:t>Structures en bois. Méthodes d’essai - Essais des fermes pour la détermination de la résistance et de la rigidité.</w:t>
      </w:r>
    </w:p>
    <w:p w14:paraId="2B45BCF0"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599-1:2010+A1:2014</w:t>
      </w:r>
      <w:r>
        <w:rPr>
          <w:rFonts w:ascii="Arial" w:hAnsi="Arial"/>
        </w:rPr>
        <w:tab/>
        <w:t>Durabilité du bois et des matériaux dérivés du bois - Efficacité des produits préventifs de préservation du bois établie par des essais biologiques - Partie 1: Spécification par classe d’emploi.</w:t>
      </w:r>
    </w:p>
    <w:p w14:paraId="2D6E15D6" w14:textId="5D4D8EEE" w:rsidR="004836CD" w:rsidRPr="00937C8B" w:rsidRDefault="004836CD" w:rsidP="0058501F">
      <w:pPr>
        <w:spacing w:before="120" w:line="312" w:lineRule="auto"/>
        <w:ind w:left="3828" w:hanging="3119"/>
        <w:jc w:val="both"/>
        <w:rPr>
          <w:rFonts w:ascii="Arial" w:hAnsi="Arial" w:cs="Arial"/>
        </w:rPr>
      </w:pPr>
      <w:r>
        <w:rPr>
          <w:rFonts w:ascii="Arial" w:hAnsi="Arial"/>
        </w:rPr>
        <w:t>UNE-EN 599-2:2017</w:t>
      </w:r>
      <w:r>
        <w:rPr>
          <w:rFonts w:ascii="Arial" w:hAnsi="Arial"/>
        </w:rPr>
        <w:tab/>
        <w:t>Durabilité du bois et des matériaux dérivés du bois - Efficacité des produits préventifs de préservation du bois établie par des essais biologiques - Partie 2: Étiquetage</w:t>
      </w:r>
      <w:r w:rsidR="00E93486">
        <w:rPr>
          <w:rFonts w:ascii="Arial" w:hAnsi="Arial"/>
        </w:rPr>
        <w:t>.</w:t>
      </w:r>
    </w:p>
    <w:p w14:paraId="734873A1" w14:textId="03713B46" w:rsidR="004836CD" w:rsidRPr="00937C8B" w:rsidRDefault="004836CD" w:rsidP="0058501F">
      <w:pPr>
        <w:spacing w:before="120" w:line="312" w:lineRule="auto"/>
        <w:ind w:left="3828" w:hanging="3119"/>
        <w:jc w:val="both"/>
        <w:rPr>
          <w:rFonts w:ascii="Arial" w:hAnsi="Arial" w:cs="Arial"/>
        </w:rPr>
      </w:pPr>
      <w:r>
        <w:rPr>
          <w:rFonts w:ascii="Arial" w:hAnsi="Arial"/>
        </w:rPr>
        <w:t>UNE-EN 622-1:2004</w:t>
      </w:r>
      <w:r>
        <w:rPr>
          <w:rFonts w:ascii="Arial" w:hAnsi="Arial"/>
        </w:rPr>
        <w:tab/>
        <w:t>Panneaux de fibres - Exigences. Partie 1: Exigences générales</w:t>
      </w:r>
      <w:r w:rsidR="00E93486">
        <w:rPr>
          <w:rFonts w:ascii="Arial" w:hAnsi="Arial"/>
        </w:rPr>
        <w:t>.</w:t>
      </w:r>
      <w:r>
        <w:rPr>
          <w:rFonts w:ascii="Arial" w:hAnsi="Arial"/>
        </w:rPr>
        <w:t xml:space="preserve"> </w:t>
      </w:r>
    </w:p>
    <w:p w14:paraId="3D88CCDE"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622-2:2004</w:t>
      </w:r>
      <w:r>
        <w:rPr>
          <w:rFonts w:ascii="Arial" w:hAnsi="Arial"/>
        </w:rPr>
        <w:tab/>
        <w:t xml:space="preserve">Panneaux de fibres - Exigences. Partie 2: Exigences pour panneaux durs. </w:t>
      </w:r>
    </w:p>
    <w:p w14:paraId="44283159" w14:textId="77777777" w:rsidR="004836CD" w:rsidRPr="00937C8B" w:rsidRDefault="004836CD" w:rsidP="0058501F">
      <w:pPr>
        <w:spacing w:before="120" w:line="312" w:lineRule="auto"/>
        <w:ind w:left="3828" w:hanging="3119"/>
        <w:jc w:val="both"/>
        <w:rPr>
          <w:rFonts w:ascii="Arial" w:hAnsi="Arial" w:cs="Arial"/>
        </w:rPr>
      </w:pPr>
      <w:r>
        <w:rPr>
          <w:rFonts w:ascii="Arial" w:hAnsi="Arial"/>
        </w:rPr>
        <w:lastRenderedPageBreak/>
        <w:t>UNE-EN 622-3:2005</w:t>
      </w:r>
      <w:r>
        <w:rPr>
          <w:rFonts w:ascii="Arial" w:hAnsi="Arial"/>
        </w:rPr>
        <w:tab/>
        <w:t>Panneaux de fibres - Exigences. Partie 3: Exigences pour panneaux mi-durs.</w:t>
      </w:r>
    </w:p>
    <w:p w14:paraId="54F9EEDC"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622-4:2010</w:t>
      </w:r>
      <w:r>
        <w:rPr>
          <w:rFonts w:ascii="Arial" w:hAnsi="Arial"/>
        </w:rPr>
        <w:tab/>
        <w:t>Panneaux de fibres - Exigences. Partie 4: Exigences pour panneaux tendres.</w:t>
      </w:r>
    </w:p>
    <w:p w14:paraId="134D4B5C"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622-5:2010</w:t>
      </w:r>
      <w:r>
        <w:rPr>
          <w:rFonts w:ascii="Arial" w:hAnsi="Arial"/>
        </w:rPr>
        <w:tab/>
        <w:t>Panneaux de fibres - Exigences. Partie 5: Exigences pour panneaux obtenus par procédé à sec (MDF).</w:t>
      </w:r>
    </w:p>
    <w:p w14:paraId="1750CF4F"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636:2012+A1:2015</w:t>
      </w:r>
      <w:r>
        <w:rPr>
          <w:rFonts w:ascii="Arial" w:hAnsi="Arial"/>
        </w:rPr>
        <w:tab/>
        <w:t xml:space="preserve">Contreplaqué. Exigences. </w:t>
      </w:r>
    </w:p>
    <w:p w14:paraId="122DB6BC"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789:2006</w:t>
      </w:r>
      <w:r>
        <w:rPr>
          <w:rFonts w:ascii="Arial" w:hAnsi="Arial"/>
        </w:rPr>
        <w:tab/>
        <w:t>Structures en bois. Méthodes d’essai - Détermination des propriétés mécaniques des panneaux à base de bois.</w:t>
      </w:r>
    </w:p>
    <w:p w14:paraId="7EC80423"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912:2011</w:t>
      </w:r>
      <w:r>
        <w:rPr>
          <w:rFonts w:ascii="Arial" w:hAnsi="Arial"/>
        </w:rPr>
        <w:tab/>
        <w:t>Organes d’assemblage pour le bois - Spécifications des assembleurs pour bois.</w:t>
      </w:r>
    </w:p>
    <w:p w14:paraId="5A53BB9C"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1058:2010</w:t>
      </w:r>
      <w:r>
        <w:rPr>
          <w:rFonts w:ascii="Arial" w:hAnsi="Arial"/>
        </w:rPr>
        <w:tab/>
        <w:t>Panneaux à base de bois - Détermination des valeurs caractéristiques correspondant au fractile à 5 % d’exclusion et des valeurs caractéristiques moyennes.</w:t>
      </w:r>
    </w:p>
    <w:p w14:paraId="5951241D"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1380:2009</w:t>
      </w:r>
      <w:r>
        <w:rPr>
          <w:rFonts w:ascii="Arial" w:hAnsi="Arial"/>
        </w:rPr>
        <w:tab/>
        <w:t>Structures en bois. Méthodes d’essai - Pointes, tire-fonds, broches et boulons porteurs.</w:t>
      </w:r>
    </w:p>
    <w:p w14:paraId="18E36193"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1381:2016</w:t>
      </w:r>
      <w:r>
        <w:rPr>
          <w:rFonts w:ascii="Arial" w:hAnsi="Arial"/>
        </w:rPr>
        <w:tab/>
        <w:t>Structures en bois. Méthodes d’essai - Assemblages agrafés porteurs.</w:t>
      </w:r>
    </w:p>
    <w:p w14:paraId="66231399"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1382:2016</w:t>
      </w:r>
      <w:r>
        <w:rPr>
          <w:rFonts w:ascii="Arial" w:hAnsi="Arial"/>
        </w:rPr>
        <w:tab/>
        <w:t>Structures en bois. Méthodes d’essai - Résistance à l’arrachement dans le bois d’éléments de fixation.</w:t>
      </w:r>
    </w:p>
    <w:p w14:paraId="6AB3D48F"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1383:2016</w:t>
      </w:r>
      <w:r>
        <w:rPr>
          <w:rFonts w:ascii="Arial" w:hAnsi="Arial"/>
        </w:rPr>
        <w:tab/>
        <w:t>Structures en bois. Méthodes d’essai - Résistance à la traversée de la tête d’éléments de fixation à travers le bois.</w:t>
      </w:r>
    </w:p>
    <w:p w14:paraId="0FEE5515" w14:textId="29FB94BE" w:rsidR="004836CD" w:rsidRPr="00937C8B" w:rsidRDefault="004836CD" w:rsidP="0058501F">
      <w:pPr>
        <w:spacing w:before="120" w:line="312" w:lineRule="auto"/>
        <w:ind w:left="3828" w:hanging="3119"/>
        <w:jc w:val="both"/>
        <w:rPr>
          <w:rFonts w:ascii="Arial" w:hAnsi="Arial" w:cs="Arial"/>
        </w:rPr>
      </w:pPr>
      <w:r>
        <w:rPr>
          <w:rFonts w:ascii="Arial" w:hAnsi="Arial"/>
        </w:rPr>
        <w:t>*UNE-EN 1912:2012</w:t>
      </w:r>
      <w:r>
        <w:rPr>
          <w:rFonts w:ascii="Arial" w:hAnsi="Arial"/>
        </w:rPr>
        <w:tab/>
        <w:t>Bois de structure - Classes de résistance. Affectation des classes visuelles et des essences. (+AC: 2013)</w:t>
      </w:r>
      <w:r w:rsidR="00E93486">
        <w:rPr>
          <w:rFonts w:ascii="Arial" w:hAnsi="Arial"/>
        </w:rPr>
        <w:t>.</w:t>
      </w:r>
    </w:p>
    <w:p w14:paraId="4542C605"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1995-1-1:2016</w:t>
      </w:r>
      <w:r>
        <w:rPr>
          <w:rFonts w:ascii="Arial" w:hAnsi="Arial"/>
        </w:rPr>
        <w:tab/>
        <w:t>Eurocode 5: Conception et calcul des structures en bois - Partie 1-1: Généralités - Règles communes et règles pour les bâtiments.</w:t>
      </w:r>
    </w:p>
    <w:p w14:paraId="2DB37AEB"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10346:2015</w:t>
      </w:r>
      <w:r>
        <w:rPr>
          <w:rFonts w:ascii="Arial" w:hAnsi="Arial"/>
        </w:rPr>
        <w:tab/>
        <w:t>Produits plats en acier revêtus en continu par immersion à chaud pour formage à froid. Conditions techniques de livraison.</w:t>
      </w:r>
    </w:p>
    <w:p w14:paraId="597F5FB0"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12369-1:2001</w:t>
      </w:r>
      <w:r>
        <w:rPr>
          <w:rFonts w:ascii="Arial" w:hAnsi="Arial"/>
        </w:rPr>
        <w:tab/>
        <w:t xml:space="preserve">Panneaux à base de bois - Valeurs caractéristiques pour la conception des structures - Partie 1: OSB, panneaux de particules et panneaux de fibres. </w:t>
      </w:r>
    </w:p>
    <w:p w14:paraId="0686C65F" w14:textId="33860C39" w:rsidR="004836CD" w:rsidRPr="00937C8B" w:rsidRDefault="004836CD" w:rsidP="0058501F">
      <w:pPr>
        <w:spacing w:before="120" w:line="312" w:lineRule="auto"/>
        <w:ind w:left="3828" w:hanging="3119"/>
        <w:jc w:val="both"/>
        <w:rPr>
          <w:rFonts w:ascii="Arial" w:hAnsi="Arial" w:cs="Arial"/>
        </w:rPr>
      </w:pPr>
      <w:r>
        <w:rPr>
          <w:rFonts w:ascii="Arial" w:hAnsi="Arial"/>
        </w:rPr>
        <w:lastRenderedPageBreak/>
        <w:t>UNE-EN 12369-2:2011</w:t>
      </w:r>
      <w:r>
        <w:rPr>
          <w:rFonts w:ascii="Arial" w:hAnsi="Arial"/>
        </w:rPr>
        <w:tab/>
        <w:t>Panneaux à base de bois - Valeurs caractéristiques pour la conception des structures - Partie 2: Contreplaqué. (+ERRATUM:2005)</w:t>
      </w:r>
      <w:r w:rsidR="00E93486">
        <w:rPr>
          <w:rFonts w:ascii="Arial" w:hAnsi="Arial"/>
        </w:rPr>
        <w:t>.</w:t>
      </w:r>
    </w:p>
    <w:p w14:paraId="7B74DF68"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12436:2002</w:t>
      </w:r>
      <w:r>
        <w:rPr>
          <w:rFonts w:ascii="Arial" w:hAnsi="Arial"/>
        </w:rPr>
        <w:tab/>
        <w:t xml:space="preserve">Colles pour structures portantes en bois - Colles caséine - Classification et exigences de performance. </w:t>
      </w:r>
    </w:p>
    <w:p w14:paraId="4DABA220" w14:textId="388FC052" w:rsidR="004836CD" w:rsidRPr="00937C8B" w:rsidRDefault="004836CD" w:rsidP="0058501F">
      <w:pPr>
        <w:spacing w:before="120" w:line="312" w:lineRule="auto"/>
        <w:ind w:left="3828" w:hanging="3119"/>
        <w:jc w:val="both"/>
        <w:rPr>
          <w:rFonts w:ascii="Arial" w:hAnsi="Arial" w:cs="Arial"/>
        </w:rPr>
      </w:pPr>
      <w:r>
        <w:rPr>
          <w:rFonts w:ascii="Arial" w:hAnsi="Arial"/>
        </w:rPr>
        <w:t>UNE-EN 13183-1:2002</w:t>
      </w:r>
      <w:r>
        <w:rPr>
          <w:rFonts w:ascii="Arial" w:hAnsi="Arial"/>
        </w:rPr>
        <w:tab/>
        <w:t>Teneur en humidité d’une pièce de bois scié - Partie 1: Détermination par la méthode par dessiccation. (+ERRATUM:2003+AC:2004)</w:t>
      </w:r>
      <w:r w:rsidR="00E93486">
        <w:rPr>
          <w:rFonts w:ascii="Arial" w:hAnsi="Arial"/>
        </w:rPr>
        <w:t>.</w:t>
      </w:r>
    </w:p>
    <w:p w14:paraId="4C777D84" w14:textId="7DD1ECEA" w:rsidR="004836CD" w:rsidRPr="00937C8B" w:rsidRDefault="004836CD" w:rsidP="0058501F">
      <w:pPr>
        <w:spacing w:before="120" w:line="312" w:lineRule="auto"/>
        <w:ind w:left="3828" w:hanging="3119"/>
        <w:jc w:val="both"/>
        <w:rPr>
          <w:rFonts w:ascii="Arial" w:hAnsi="Arial" w:cs="Arial"/>
        </w:rPr>
      </w:pPr>
      <w:r>
        <w:rPr>
          <w:rFonts w:ascii="Arial" w:hAnsi="Arial"/>
        </w:rPr>
        <w:t>*UNE-EN 13183-2:2002</w:t>
      </w:r>
      <w:r>
        <w:rPr>
          <w:rFonts w:ascii="Arial" w:hAnsi="Arial"/>
        </w:rPr>
        <w:tab/>
        <w:t>Teneur en humidité d’une pièce de bois scié - Partie 2: Estimation par méthode électrique par résistance. (+ERRATUM:2003+AC:2004)</w:t>
      </w:r>
      <w:r w:rsidR="00E93486">
        <w:rPr>
          <w:rFonts w:ascii="Arial" w:hAnsi="Arial"/>
        </w:rPr>
        <w:t>.</w:t>
      </w:r>
    </w:p>
    <w:p w14:paraId="1F170D44" w14:textId="07CC0EB5" w:rsidR="004836CD" w:rsidRPr="00937C8B" w:rsidRDefault="004836CD" w:rsidP="0058501F">
      <w:pPr>
        <w:spacing w:before="120" w:line="312" w:lineRule="auto"/>
        <w:ind w:left="3828" w:hanging="3119"/>
        <w:jc w:val="both"/>
        <w:rPr>
          <w:rFonts w:ascii="Arial" w:hAnsi="Arial" w:cs="Arial"/>
        </w:rPr>
      </w:pPr>
      <w:r>
        <w:rPr>
          <w:rFonts w:ascii="Arial" w:hAnsi="Arial"/>
        </w:rPr>
        <w:t>*UNE-EN 13271:2002</w:t>
      </w:r>
      <w:r>
        <w:rPr>
          <w:rFonts w:ascii="Arial" w:hAnsi="Arial"/>
        </w:rPr>
        <w:tab/>
        <w:t>Éléments de fixation du bois - Valeurs caractéristiques de capacité résistante et du module de glissement des assembleurs mécaniques du bois. (+AC:2004)</w:t>
      </w:r>
      <w:r w:rsidR="00E93486">
        <w:rPr>
          <w:rFonts w:ascii="Arial" w:hAnsi="Arial"/>
        </w:rPr>
        <w:t>.</w:t>
      </w:r>
    </w:p>
    <w:p w14:paraId="5264BB26"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13986:2006+A1:2015</w:t>
      </w:r>
      <w:r>
        <w:rPr>
          <w:rFonts w:ascii="Arial" w:hAnsi="Arial"/>
        </w:rPr>
        <w:tab/>
        <w:t>Panneaux à base de bois destinés à la construction. Caractéristiques, évaluation de conformité et marquage.</w:t>
      </w:r>
    </w:p>
    <w:p w14:paraId="7D6C8BA6"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14080:2013</w:t>
      </w:r>
      <w:r>
        <w:rPr>
          <w:rFonts w:ascii="Arial" w:hAnsi="Arial"/>
        </w:rPr>
        <w:tab/>
        <w:t>Structures en bois. Bois lamellé collé et bois massif reconstitué - Exigences.</w:t>
      </w:r>
    </w:p>
    <w:p w14:paraId="48366042" w14:textId="77777777" w:rsidR="008C5A28" w:rsidRPr="00937C8B" w:rsidRDefault="008C5A28" w:rsidP="0058501F">
      <w:pPr>
        <w:spacing w:before="120" w:line="312" w:lineRule="auto"/>
        <w:ind w:left="3828" w:hanging="3119"/>
        <w:jc w:val="both"/>
        <w:rPr>
          <w:rFonts w:ascii="Arial" w:hAnsi="Arial" w:cs="Arial"/>
        </w:rPr>
      </w:pPr>
    </w:p>
    <w:p w14:paraId="69178EAE" w14:textId="3A5CF19F" w:rsidR="004836CD" w:rsidRPr="00937C8B" w:rsidRDefault="004836CD" w:rsidP="0058501F">
      <w:pPr>
        <w:spacing w:before="120" w:line="312" w:lineRule="auto"/>
        <w:ind w:left="3828" w:hanging="3119"/>
        <w:jc w:val="both"/>
        <w:rPr>
          <w:rFonts w:ascii="Arial" w:hAnsi="Arial" w:cs="Arial"/>
        </w:rPr>
      </w:pPr>
      <w:r>
        <w:rPr>
          <w:rFonts w:ascii="Arial" w:hAnsi="Arial"/>
        </w:rPr>
        <w:t>*UNE-EN 14081-1:2016</w:t>
      </w:r>
      <w:r>
        <w:rPr>
          <w:rFonts w:ascii="Arial" w:hAnsi="Arial"/>
        </w:rPr>
        <w:tab/>
        <w:t>Structures en bois. Bois de structure à section rectangulaire classé pour sa résistance - Partie 1: Exigences générales</w:t>
      </w:r>
      <w:r w:rsidR="00E93486">
        <w:rPr>
          <w:rFonts w:ascii="Arial" w:hAnsi="Arial"/>
        </w:rPr>
        <w:t>.</w:t>
      </w:r>
    </w:p>
    <w:p w14:paraId="47C986B9" w14:textId="1AAE3FA0" w:rsidR="004836CD" w:rsidRPr="00937C8B" w:rsidRDefault="004836CD" w:rsidP="0058501F">
      <w:pPr>
        <w:spacing w:before="120" w:line="312" w:lineRule="auto"/>
        <w:ind w:left="3828" w:hanging="3119"/>
        <w:jc w:val="both"/>
        <w:rPr>
          <w:rFonts w:ascii="Arial" w:hAnsi="Arial" w:cs="Arial"/>
        </w:rPr>
      </w:pPr>
      <w:r>
        <w:rPr>
          <w:rFonts w:ascii="Arial" w:hAnsi="Arial"/>
        </w:rPr>
        <w:t>*UNE-EN 14250:2010</w:t>
      </w:r>
      <w:r>
        <w:rPr>
          <w:rFonts w:ascii="Arial" w:hAnsi="Arial"/>
        </w:rPr>
        <w:tab/>
        <w:t>Structures en bois. Exigences de produit relatives aux éléments de structures préfabriqués utilisant des connecteurs à plaque métallique emboutie</w:t>
      </w:r>
      <w:r w:rsidR="00E93486">
        <w:rPr>
          <w:rFonts w:ascii="Arial" w:hAnsi="Arial"/>
        </w:rPr>
        <w:t>.</w:t>
      </w:r>
    </w:p>
    <w:p w14:paraId="1942350F" w14:textId="29CB8EF4" w:rsidR="004836CD" w:rsidRPr="00937C8B" w:rsidRDefault="004836CD" w:rsidP="0058501F">
      <w:pPr>
        <w:spacing w:before="120" w:line="312" w:lineRule="auto"/>
        <w:ind w:left="3828" w:hanging="3119"/>
        <w:jc w:val="both"/>
        <w:rPr>
          <w:rFonts w:ascii="Arial" w:hAnsi="Arial" w:cs="Arial"/>
        </w:rPr>
      </w:pPr>
      <w:r>
        <w:rPr>
          <w:rFonts w:ascii="Arial" w:hAnsi="Arial"/>
        </w:rPr>
        <w:t>UNE-EN 14251:2004</w:t>
      </w:r>
      <w:r>
        <w:rPr>
          <w:rFonts w:ascii="Arial" w:hAnsi="Arial"/>
        </w:rPr>
        <w:tab/>
        <w:t>Bois de structure rond - Méthodes d’essai</w:t>
      </w:r>
      <w:r w:rsidR="00E93486">
        <w:rPr>
          <w:rFonts w:ascii="Arial" w:hAnsi="Arial"/>
        </w:rPr>
        <w:t>.</w:t>
      </w:r>
    </w:p>
    <w:p w14:paraId="1BFA4FBA"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14279:2007+A1:2009</w:t>
      </w:r>
      <w:r>
        <w:rPr>
          <w:rFonts w:ascii="Arial" w:hAnsi="Arial"/>
        </w:rPr>
        <w:tab/>
        <w:t>Lamibois (LVL) - Définitions, classification et spécifications.</w:t>
      </w:r>
    </w:p>
    <w:p w14:paraId="6CD14CCA"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14358:2016</w:t>
      </w:r>
      <w:r>
        <w:rPr>
          <w:rFonts w:ascii="Arial" w:hAnsi="Arial"/>
        </w:rPr>
        <w:tab/>
        <w:t>Structures en bois. Détermination et vérification des valeurs caractéristiques.</w:t>
      </w:r>
    </w:p>
    <w:p w14:paraId="347BC065"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14374:2005</w:t>
      </w:r>
      <w:r>
        <w:rPr>
          <w:rFonts w:ascii="Arial" w:hAnsi="Arial"/>
        </w:rPr>
        <w:tab/>
        <w:t>Structures en bois. LVL (Lamibois). Exigences.</w:t>
      </w:r>
    </w:p>
    <w:p w14:paraId="0A90A275"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14545:2009</w:t>
      </w:r>
      <w:r>
        <w:rPr>
          <w:rFonts w:ascii="Arial" w:hAnsi="Arial"/>
        </w:rPr>
        <w:tab/>
        <w:t>Structures en bois. Connecteurs - Exigences.</w:t>
      </w:r>
    </w:p>
    <w:p w14:paraId="69B52C15"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14592:2009+A1:2012</w:t>
      </w:r>
      <w:r>
        <w:rPr>
          <w:rFonts w:ascii="Arial" w:hAnsi="Arial"/>
        </w:rPr>
        <w:tab/>
        <w:t>Structures en bois - Éléments de fixation de type tige - Exigences.</w:t>
      </w:r>
    </w:p>
    <w:p w14:paraId="666909B4" w14:textId="77777777" w:rsidR="004836CD" w:rsidRPr="00937C8B" w:rsidRDefault="004836CD" w:rsidP="0058501F">
      <w:pPr>
        <w:spacing w:before="120" w:line="312" w:lineRule="auto"/>
        <w:ind w:left="3828" w:hanging="3119"/>
        <w:jc w:val="both"/>
        <w:rPr>
          <w:rFonts w:ascii="Arial" w:hAnsi="Arial" w:cs="Arial"/>
        </w:rPr>
      </w:pPr>
      <w:r>
        <w:rPr>
          <w:rFonts w:ascii="Arial" w:hAnsi="Arial"/>
        </w:rPr>
        <w:lastRenderedPageBreak/>
        <w:t>*UNE-EN 26891:1992</w:t>
      </w:r>
      <w:r>
        <w:rPr>
          <w:rFonts w:ascii="Arial" w:hAnsi="Arial"/>
        </w:rPr>
        <w:tab/>
        <w:t>Structures en bois. Assemblages réalisés avec des éléments mécaniques de fixation. Principes généraux pour la détermination des caractéristiques de résistance et de déformation.</w:t>
      </w:r>
    </w:p>
    <w:p w14:paraId="66A623B1"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UNE-EN ISO 2081:2018</w:t>
      </w:r>
      <w:r>
        <w:rPr>
          <w:rFonts w:ascii="Arial" w:hAnsi="Arial"/>
        </w:rPr>
        <w:tab/>
        <w:t>Revêtements métalliques et autres revêtements inorganiques - Dépôts électrolytiques de zinc avec traitements supplémentaires sur fer ou acier.</w:t>
      </w:r>
    </w:p>
    <w:p w14:paraId="0EB42D52" w14:textId="77777777" w:rsidR="004836CD" w:rsidRPr="00937C8B" w:rsidRDefault="004836CD" w:rsidP="0058501F">
      <w:pPr>
        <w:spacing w:before="120" w:line="312" w:lineRule="auto"/>
        <w:ind w:left="3828" w:hanging="3119"/>
        <w:jc w:val="both"/>
        <w:rPr>
          <w:rFonts w:ascii="Arial" w:hAnsi="Arial" w:cs="Arial"/>
        </w:rPr>
      </w:pPr>
      <w:r>
        <w:rPr>
          <w:rFonts w:ascii="Arial" w:hAnsi="Arial"/>
        </w:rPr>
        <w:t xml:space="preserve">*UNE-EN ISO 8970:2010 </w:t>
      </w:r>
      <w:r>
        <w:rPr>
          <w:rFonts w:ascii="Arial" w:hAnsi="Arial"/>
        </w:rPr>
        <w:tab/>
        <w:t>Structures en bois - Essai des assemblages réalisés par organes mécaniques - Exigences concernant la masse volumique du bois. (ISO 8970:2010).</w:t>
      </w:r>
    </w:p>
    <w:p w14:paraId="313B6B79" w14:textId="77777777" w:rsidR="004836CD" w:rsidRPr="00937C8B" w:rsidRDefault="004836CD" w:rsidP="00D27646">
      <w:pPr>
        <w:keepNext/>
        <w:spacing w:before="120" w:line="312" w:lineRule="auto"/>
        <w:jc w:val="both"/>
        <w:rPr>
          <w:rFonts w:ascii="Arial" w:hAnsi="Arial" w:cs="Arial"/>
        </w:rPr>
      </w:pPr>
      <w:r>
        <w:rPr>
          <w:rFonts w:ascii="Arial" w:hAnsi="Arial"/>
        </w:rPr>
        <w:t>Neuf. Dans le document de base DB-SI «Sécurité incendie», les références réglementaires indiquées sont mises à jour dans les termes suivants:</w:t>
      </w:r>
    </w:p>
    <w:p w14:paraId="4F96BBC6" w14:textId="77777777"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 xml:space="preserve">- Dans l’introduction, article III Critères généraux d’application, le paragraphe: «Lorsqu’une disposition réglementaire est citée dans ce DB, il est entendu qu’il s’agit de la version en vigueur au moment d’application de celui-ci. Lorsqu’une norme UNE, UNE-EN ou UNE-EN ISO est citée, il est entendu qu’il s’agit de la version indiquée, même s’il existe une version ultérieure, sauf s’il s’agit de normes UNE correspondant aux normes EN ou EN ISO dont la référence a été publiée au Journal officiel de l’Union européenne dans le cadre de l’application du règlement (UE) nº 89/106 établissant des conditions harmonisées de commercialisation pour les produits de construction, auquel cas la citation doit être mise en relation avec la version de ladite référence» est remplacé par les paragraphes suivants: </w:t>
      </w:r>
    </w:p>
    <w:p w14:paraId="64AE8B52" w14:textId="5D11D887"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«Lorsqu’une disposition réglementaire est citée dans ce DB, il est entendu qu’il s’agit de la version en vigueur au moment d’application de celui-ci. Lorsqu’une norme UNE, UNE-EN ou UNE-EN ISO est citée, il est entendu qu’il s’agit de la version indiquée, même s’il existe une version ultérieure, sauf s’il s’agit de normes UNE-EN portant transposition de normes EN dont les références ont été publiées au Journal officiel de l’Union européenne dans le cadre de l’application du règlement (UE) n ° 305/2011 du Parlement européen et du Conseil du 9</w:t>
      </w:r>
      <w:r w:rsidR="00EA7588">
        <w:rPr>
          <w:rFonts w:ascii="Arial" w:hAnsi="Arial"/>
        </w:rPr>
        <w:t> </w:t>
      </w:r>
      <w:r>
        <w:rPr>
          <w:rFonts w:ascii="Arial" w:hAnsi="Arial"/>
        </w:rPr>
        <w:t>mars</w:t>
      </w:r>
      <w:r w:rsidR="00EA7588">
        <w:rPr>
          <w:rFonts w:ascii="Arial" w:hAnsi="Arial"/>
        </w:rPr>
        <w:t> </w:t>
      </w:r>
      <w:r>
        <w:rPr>
          <w:rFonts w:ascii="Arial" w:hAnsi="Arial"/>
        </w:rPr>
        <w:t>2011 établissant des conditions harmonisées de commercialisation pour les produits de construction et abrogeant la directive 89/106/CEE du Conseil, auquel cas la citation doit être mise en relation avec la dernière communication de la Commission comprenant ladite référence. Dans le cas de normes relatives aux méthodes d’essais référencées dans les normes harmonisées, il convient d’appliquer la version figurant dans les normes harmonisées UNE-EN susmentionnées.</w:t>
      </w:r>
    </w:p>
    <w:p w14:paraId="1723B450" w14:textId="77777777"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 xml:space="preserve">Les normes mentionnées dans cette DB peuvent être remplacées par d’autres parmi celles utilisées dans tout autre État membre de l’Union européenne ou partie à l’accord sur l’Espace économique européen, et dans les États qui ont conclu un accord d’association douanière avec l’Union </w:t>
      </w:r>
      <w:r>
        <w:rPr>
          <w:rFonts w:ascii="Arial" w:hAnsi="Arial"/>
        </w:rPr>
        <w:lastRenderedPageBreak/>
        <w:t>européenne, dès lors qu’il est démontré que ces normes présentent des spécifications techniques identiques».</w:t>
      </w:r>
    </w:p>
    <w:p w14:paraId="4FC92DA3" w14:textId="47B97F5C" w:rsidR="004836CD" w:rsidRPr="00937C8B" w:rsidRDefault="004836CD" w:rsidP="0058501F">
      <w:pPr>
        <w:spacing w:before="120" w:line="312" w:lineRule="auto"/>
        <w:jc w:val="both"/>
        <w:rPr>
          <w:rFonts w:ascii="Arial" w:hAnsi="Arial" w:cs="Arial"/>
        </w:rPr>
      </w:pPr>
      <w:r>
        <w:rPr>
          <w:rFonts w:ascii="Arial" w:hAnsi="Arial"/>
        </w:rPr>
        <w:t>- À l’article V, la référence «décret royal n° 312/2005 du 18</w:t>
      </w:r>
      <w:r w:rsidR="00EA7588">
        <w:rPr>
          <w:rFonts w:ascii="Arial" w:hAnsi="Arial"/>
        </w:rPr>
        <w:t> </w:t>
      </w:r>
      <w:r>
        <w:rPr>
          <w:rFonts w:ascii="Arial" w:hAnsi="Arial"/>
        </w:rPr>
        <w:t>mars</w:t>
      </w:r>
      <w:r w:rsidR="00EA7588">
        <w:rPr>
          <w:rFonts w:ascii="Arial" w:hAnsi="Arial"/>
        </w:rPr>
        <w:t> </w:t>
      </w:r>
      <w:r>
        <w:rPr>
          <w:rFonts w:ascii="Arial" w:hAnsi="Arial"/>
        </w:rPr>
        <w:t>2005» est remplacée par «décret royal n° 842/2013 du 31 octobre 2013».</w:t>
      </w:r>
    </w:p>
    <w:p w14:paraId="73E8B87A" w14:textId="77777777" w:rsidR="004836CD" w:rsidRPr="00937C8B" w:rsidRDefault="004836CD" w:rsidP="0058501F">
      <w:pPr>
        <w:spacing w:before="120" w:line="312" w:lineRule="auto"/>
        <w:jc w:val="both"/>
        <w:rPr>
          <w:rFonts w:ascii="Arial" w:hAnsi="Arial" w:cs="Arial"/>
        </w:rPr>
      </w:pPr>
      <w:r>
        <w:rPr>
          <w:rFonts w:ascii="Arial" w:hAnsi="Arial"/>
        </w:rPr>
        <w:t>- À l’article VI, les références «décret royal nº 338/2010 du 19 mars 2010, décret royal nº 1715/2010 du 17 décembre 2010, décret royal nº 239/2013 du 5 avril 2013 et décret royal nº 1072/2015 du 27 novembre 2015» sont ajoutées à la fin du premier paragraphe.</w:t>
      </w:r>
    </w:p>
    <w:p w14:paraId="41FA2099" w14:textId="77777777" w:rsidR="004836CD" w:rsidRPr="00937C8B" w:rsidRDefault="004836CD" w:rsidP="0058501F">
      <w:pPr>
        <w:spacing w:before="120" w:line="312" w:lineRule="auto"/>
        <w:jc w:val="both"/>
        <w:rPr>
          <w:rFonts w:ascii="Arial" w:hAnsi="Arial" w:cs="Arial"/>
        </w:rPr>
      </w:pPr>
      <w:r>
        <w:rPr>
          <w:rFonts w:ascii="Arial" w:hAnsi="Arial"/>
        </w:rPr>
        <w:t>- À l’article SI1-2, tableau 2.1, note (2), la référence «UNE-EN 12101-3:2002» est remplacée par «UNE-EN 12101-3:2016».</w:t>
      </w:r>
    </w:p>
    <w:p w14:paraId="33C16639" w14:textId="77777777" w:rsidR="004836CD" w:rsidRPr="00937C8B" w:rsidRDefault="004836CD" w:rsidP="0058501F">
      <w:pPr>
        <w:spacing w:before="120" w:line="312" w:lineRule="auto"/>
        <w:jc w:val="both"/>
        <w:rPr>
          <w:rFonts w:ascii="Arial" w:hAnsi="Arial" w:cs="Arial"/>
        </w:rPr>
      </w:pPr>
      <w:r>
        <w:rPr>
          <w:rFonts w:ascii="Arial" w:hAnsi="Arial"/>
        </w:rPr>
        <w:t>- À l’article SI1-4, point 3, la référence «classe M2 conformément à UNE 23727:1990 «Essai de réaction au feu des matériaux de construction. Classement des matériaux utilisés dans la construction» est remplacé par «niveau T2 conformément à la norme UNE-EN 15619:2014 «Supports textiles revêtus de caoutchouc ou de plastique - Sécurité des structures temporaires (tentes) - Spécification des supports textiles revêtus destinés aux tentes et structures similaires» ou C-s2,d0, conformément a la norme UNE-EN 13501-1:2007.»</w:t>
      </w:r>
    </w:p>
    <w:p w14:paraId="1D7B6DFA" w14:textId="77777777" w:rsidR="004836CD" w:rsidRPr="00937C8B" w:rsidRDefault="004836CD" w:rsidP="0058501F">
      <w:pPr>
        <w:spacing w:before="120" w:line="312" w:lineRule="auto"/>
        <w:jc w:val="both"/>
        <w:rPr>
          <w:rFonts w:ascii="Arial" w:hAnsi="Arial" w:cs="Arial"/>
        </w:rPr>
      </w:pPr>
      <w:r>
        <w:rPr>
          <w:rFonts w:ascii="Arial" w:hAnsi="Arial"/>
        </w:rPr>
        <w:t>- À l’article SI1-4, point 4, a), la référence «UNE-EN 1021-1:2006» est remplacée par «UNE-EN 1021-1:2015».</w:t>
      </w:r>
    </w:p>
    <w:p w14:paraId="2336DE6C" w14:textId="77777777" w:rsidR="004836CD" w:rsidRPr="00937C8B" w:rsidRDefault="004836CD" w:rsidP="0058501F">
      <w:pPr>
        <w:spacing w:before="120" w:line="312" w:lineRule="auto"/>
        <w:jc w:val="both"/>
        <w:rPr>
          <w:rFonts w:ascii="Arial" w:hAnsi="Arial" w:cs="Arial"/>
        </w:rPr>
      </w:pPr>
      <w:r>
        <w:rPr>
          <w:rFonts w:ascii="Arial" w:hAnsi="Arial"/>
        </w:rPr>
        <w:t>- À l’article SI3-6, point 5, la référence figurant au dernier paragraphe «UNE-EN 12635:2002+A1:2009» est remplacée par «UNE 85121:2018».</w:t>
      </w:r>
    </w:p>
    <w:p w14:paraId="0AFF9D78" w14:textId="77777777" w:rsidR="004836CD" w:rsidRPr="00937C8B" w:rsidRDefault="004836CD" w:rsidP="0058501F">
      <w:pPr>
        <w:spacing w:before="120" w:line="312" w:lineRule="auto"/>
        <w:jc w:val="both"/>
        <w:rPr>
          <w:rFonts w:ascii="Arial" w:hAnsi="Arial" w:cs="Arial"/>
        </w:rPr>
      </w:pPr>
      <w:r>
        <w:rPr>
          <w:rFonts w:ascii="Arial" w:hAnsi="Arial"/>
        </w:rPr>
        <w:t>- À l’article SI3-8, point 2, la référence figurant au premier paragraphe «UNE 23585:2004» est remplacée par «UNE 23585:2017».</w:t>
      </w:r>
    </w:p>
    <w:p w14:paraId="0B48BBF8" w14:textId="77777777" w:rsidR="004836CD" w:rsidRPr="00937C8B" w:rsidRDefault="004836CD" w:rsidP="0058501F">
      <w:pPr>
        <w:spacing w:before="120" w:line="312" w:lineRule="auto"/>
        <w:jc w:val="both"/>
        <w:rPr>
          <w:rFonts w:ascii="Arial" w:hAnsi="Arial" w:cs="Arial"/>
        </w:rPr>
      </w:pPr>
      <w:r>
        <w:rPr>
          <w:rFonts w:ascii="Arial" w:hAnsi="Arial"/>
        </w:rPr>
        <w:t>- À l’article SI3-8, point 2, la référence figurant au premier paragraphe «(par conséquent il ne faut pas prendre en compte l’exclusion des systèmes d’évacuation mécanique ou forcée évoquée au dernier paragraphe de l’article correspondant «0.3 Applications»)» est supprimée.</w:t>
      </w:r>
    </w:p>
    <w:p w14:paraId="005FD57D" w14:textId="77777777" w:rsidR="004836CD" w:rsidRPr="00937C8B" w:rsidRDefault="004836CD" w:rsidP="0058501F">
      <w:pPr>
        <w:spacing w:before="120" w:line="312" w:lineRule="auto"/>
        <w:jc w:val="both"/>
        <w:rPr>
          <w:rFonts w:ascii="Arial" w:hAnsi="Arial" w:cs="Arial"/>
        </w:rPr>
      </w:pPr>
      <w:r>
        <w:rPr>
          <w:rFonts w:ascii="Arial" w:hAnsi="Arial"/>
        </w:rPr>
        <w:t>- À l’article SI4-2, les points 1 et 2 sont remplacés par ce qui suit: «1 La signalisation des installations manuelles de protection contre l’incendie doit respecter les dispositions établies dans le règlement en vigueur sur les installations de protection contre l’incendie, approuvé par le décret royal nº 513/2017 du 22 mai 2017.»</w:t>
      </w:r>
    </w:p>
    <w:p w14:paraId="778DDF51" w14:textId="77777777" w:rsidR="004836CD" w:rsidRPr="00937C8B" w:rsidRDefault="004836CD" w:rsidP="0058501F">
      <w:pPr>
        <w:spacing w:before="120" w:line="312" w:lineRule="auto"/>
        <w:jc w:val="both"/>
        <w:rPr>
          <w:rFonts w:ascii="Arial" w:hAnsi="Arial" w:cs="Arial"/>
        </w:rPr>
      </w:pPr>
      <w:r>
        <w:rPr>
          <w:rFonts w:ascii="Arial" w:hAnsi="Arial"/>
        </w:rPr>
        <w:t>- À l’article SI5-1.2, point 2, la référence «UNE-EN 124:1995» est remplacée par «UNE-EN 124-1:2015».</w:t>
      </w:r>
    </w:p>
    <w:p w14:paraId="18BD2E80" w14:textId="77777777" w:rsidR="004836CD" w:rsidRPr="00937C8B" w:rsidRDefault="004836CD" w:rsidP="0058501F">
      <w:pPr>
        <w:spacing w:before="120" w:line="312" w:lineRule="auto"/>
        <w:jc w:val="both"/>
        <w:rPr>
          <w:rFonts w:ascii="Arial" w:hAnsi="Arial" w:cs="Arial"/>
        </w:rPr>
      </w:pPr>
      <w:r>
        <w:rPr>
          <w:rFonts w:ascii="Arial" w:hAnsi="Arial"/>
        </w:rPr>
        <w:t>- À l’article SI6-1, point 4, la référence «UNE-EN 1992-1-2:1996, UNE-EN 1993-1-2:1996, UNE-EN 1994-1-2:1996, UNE-EN 1995-1-2:1996» est remplacée par «UNE-EN 1992-1-2:2011, UNE-EN 1993-1-2:2016, UNE-EN 1994-1-2:2016, UNE-EN 1995-1-2:2016».</w:t>
      </w:r>
    </w:p>
    <w:p w14:paraId="2CADA0F8" w14:textId="6A809F7A" w:rsidR="004836CD" w:rsidRPr="00937C8B" w:rsidRDefault="004836CD" w:rsidP="0058501F">
      <w:pPr>
        <w:spacing w:before="120" w:line="312" w:lineRule="auto"/>
        <w:jc w:val="both"/>
        <w:rPr>
          <w:rFonts w:ascii="Arial" w:hAnsi="Arial" w:cs="Arial"/>
        </w:rPr>
      </w:pPr>
      <w:r>
        <w:rPr>
          <w:rFonts w:ascii="Arial" w:hAnsi="Arial"/>
        </w:rPr>
        <w:lastRenderedPageBreak/>
        <w:t>- À l’article SI6-1, point 6, la référence «décret royal n° 312/2005 du 18</w:t>
      </w:r>
      <w:r w:rsidR="00EA7588">
        <w:rPr>
          <w:rFonts w:ascii="Arial" w:hAnsi="Arial"/>
        </w:rPr>
        <w:t> </w:t>
      </w:r>
      <w:r>
        <w:rPr>
          <w:rFonts w:ascii="Arial" w:hAnsi="Arial"/>
        </w:rPr>
        <w:t>mars</w:t>
      </w:r>
      <w:r w:rsidR="00EA7588">
        <w:rPr>
          <w:rFonts w:ascii="Arial" w:hAnsi="Arial"/>
        </w:rPr>
        <w:t> </w:t>
      </w:r>
      <w:r>
        <w:rPr>
          <w:rFonts w:ascii="Arial" w:hAnsi="Arial"/>
        </w:rPr>
        <w:t>2005» est remplacée par «décret royal n° 842/2013 du 31 octobre 2013».</w:t>
      </w:r>
    </w:p>
    <w:p w14:paraId="1C0513FA" w14:textId="77777777" w:rsidR="004836CD" w:rsidRPr="00937C8B" w:rsidRDefault="004836CD" w:rsidP="0058501F">
      <w:pPr>
        <w:spacing w:before="120" w:line="312" w:lineRule="auto"/>
        <w:jc w:val="both"/>
        <w:rPr>
          <w:rFonts w:ascii="Arial" w:hAnsi="Arial" w:cs="Arial"/>
        </w:rPr>
      </w:pPr>
      <w:r>
        <w:rPr>
          <w:rFonts w:ascii="Arial" w:hAnsi="Arial"/>
        </w:rPr>
        <w:t>- À l’article SI6-4, le point 2 est rédigé de la manière suivante: «Les structures porteuses des enceintes constituées d’éléments textiles, tels que des tentes, seront de type R 30, sauf s’il est prouvé que l’élément textile, en plus d’être de niveau T2 conformément à la norme UNE-EN 15619:2014 ou C-s2,d0 conformément à la norme UNE-EN 13501-1:2007, selon les dispositions du chapitre 4, section 1 de ce DB, présente dans toutes ses couches de couverture une perforation d’une surface supérieure ou égale à 20 cm</w:t>
      </w:r>
      <w:r>
        <w:rPr>
          <w:rFonts w:ascii="Arial" w:hAnsi="Arial"/>
          <w:vertAlign w:val="superscript"/>
        </w:rPr>
        <w:t>2</w:t>
      </w:r>
      <w:r>
        <w:rPr>
          <w:rFonts w:ascii="Arial" w:hAnsi="Arial"/>
        </w:rPr>
        <w:t xml:space="preserve"> après l’essai défini dans la norme UNE-EN 14115:2002.»</w:t>
      </w:r>
    </w:p>
    <w:p w14:paraId="09DC150C" w14:textId="77777777" w:rsidR="004836CD" w:rsidRPr="00937C8B" w:rsidRDefault="004836CD" w:rsidP="0058501F">
      <w:pPr>
        <w:spacing w:before="120" w:line="312" w:lineRule="auto"/>
        <w:jc w:val="both"/>
        <w:rPr>
          <w:rFonts w:ascii="Arial" w:hAnsi="Arial" w:cs="Arial"/>
        </w:rPr>
      </w:pPr>
      <w:r>
        <w:rPr>
          <w:rFonts w:ascii="Arial" w:hAnsi="Arial"/>
        </w:rPr>
        <w:t>- À l’article SI6-6, point 1, c), la référence «décret royal n° 312/2005 du 18 mars 2005» est remplacée par «décret royal n° 842/2013 du 31 octobre 2013».</w:t>
      </w:r>
    </w:p>
    <w:p w14:paraId="5B201BD0" w14:textId="77777777" w:rsidR="004836CD" w:rsidRPr="00937C8B" w:rsidRDefault="004836CD" w:rsidP="0058501F">
      <w:pPr>
        <w:spacing w:before="120" w:line="312" w:lineRule="auto"/>
        <w:jc w:val="both"/>
        <w:rPr>
          <w:rFonts w:ascii="Arial" w:hAnsi="Arial" w:cs="Arial"/>
        </w:rPr>
      </w:pPr>
      <w:r>
        <w:rPr>
          <w:rFonts w:ascii="Arial" w:hAnsi="Arial"/>
        </w:rPr>
        <w:t>- À l’annexe SI A, dans la définition du terme Escalier protégé, la référence figurant au premier paragraphe «DB-SU 1-4» est remplacée par «DB-SUA 1-4».</w:t>
      </w:r>
    </w:p>
    <w:p w14:paraId="79D7EC13" w14:textId="77777777" w:rsidR="004836CD" w:rsidRPr="00937C8B" w:rsidRDefault="004836CD" w:rsidP="0058501F">
      <w:pPr>
        <w:spacing w:before="120" w:line="312" w:lineRule="auto"/>
        <w:jc w:val="both"/>
        <w:rPr>
          <w:rFonts w:ascii="Arial" w:hAnsi="Arial" w:cs="Arial"/>
        </w:rPr>
      </w:pPr>
      <w:r>
        <w:rPr>
          <w:rFonts w:ascii="Arial" w:hAnsi="Arial"/>
        </w:rPr>
        <w:t>- À l’annexe SI A, dans la définition du terme Réaction au feu, la référence «(DPC DI2)» est supprimée.</w:t>
      </w:r>
    </w:p>
    <w:p w14:paraId="6B889C38" w14:textId="77777777" w:rsidR="004836CD" w:rsidRPr="00937C8B" w:rsidRDefault="004836CD" w:rsidP="0058501F">
      <w:pPr>
        <w:spacing w:before="120" w:line="312" w:lineRule="auto"/>
        <w:jc w:val="both"/>
        <w:rPr>
          <w:rFonts w:ascii="Arial" w:hAnsi="Arial" w:cs="Arial"/>
        </w:rPr>
      </w:pPr>
      <w:r>
        <w:rPr>
          <w:rFonts w:ascii="Arial" w:hAnsi="Arial"/>
        </w:rPr>
        <w:t>- À l’annexe SI A, dans la définition du terme Voie d’évacuation, la référence figurant au quatrième paragraphe «DB-SU 7» est remplacée par «DB-SUA 7».</w:t>
      </w:r>
    </w:p>
    <w:p w14:paraId="72DE1257" w14:textId="77777777" w:rsidR="004836CD" w:rsidRPr="00937C8B" w:rsidRDefault="004836CD" w:rsidP="0058501F">
      <w:pPr>
        <w:spacing w:before="120" w:line="312" w:lineRule="auto"/>
        <w:jc w:val="both"/>
        <w:rPr>
          <w:rFonts w:ascii="Arial" w:hAnsi="Arial" w:cs="Arial"/>
        </w:rPr>
      </w:pPr>
      <w:r>
        <w:rPr>
          <w:rFonts w:ascii="Arial" w:hAnsi="Arial"/>
        </w:rPr>
        <w:t>- À l’annexe SI A, dans la définition du terme Résistance au feu, la référence «(DPC DI2)» est supprimée.</w:t>
      </w:r>
    </w:p>
    <w:p w14:paraId="4C729980" w14:textId="77777777" w:rsidR="004836CD" w:rsidRPr="00937C8B" w:rsidRDefault="004836CD" w:rsidP="0058501F">
      <w:pPr>
        <w:spacing w:before="120" w:line="312" w:lineRule="auto"/>
        <w:jc w:val="both"/>
        <w:rPr>
          <w:rFonts w:ascii="Arial" w:hAnsi="Arial" w:cs="Arial"/>
        </w:rPr>
      </w:pPr>
      <w:r>
        <w:rPr>
          <w:rFonts w:ascii="Arial" w:hAnsi="Arial"/>
        </w:rPr>
        <w:t>- À l’annexe SI A, dans la définition du terme Secteur d’incendie, la référence «(DPC DI2)» est supprimée.</w:t>
      </w:r>
    </w:p>
    <w:p w14:paraId="6377B41E" w14:textId="77777777" w:rsidR="004836CD" w:rsidRPr="00937C8B" w:rsidRDefault="004836CD" w:rsidP="0058501F">
      <w:pPr>
        <w:spacing w:before="120" w:line="312" w:lineRule="auto"/>
        <w:jc w:val="both"/>
        <w:rPr>
          <w:rFonts w:ascii="Arial" w:hAnsi="Arial" w:cs="Arial"/>
        </w:rPr>
      </w:pPr>
      <w:r>
        <w:rPr>
          <w:rFonts w:ascii="Arial" w:hAnsi="Arial"/>
        </w:rPr>
        <w:t>- À l’annexe SI A, dans la définition du terme Système d’alarme incendie, la référence «UNE 23007-1:1996» est supprimée et la référence «UNE EN 54-1:1996» est remplacée par «UNE-EN 54-1:2011».</w:t>
      </w:r>
    </w:p>
    <w:p w14:paraId="0245BCF7" w14:textId="77777777" w:rsidR="004836CD" w:rsidRPr="00937C8B" w:rsidRDefault="004836CD" w:rsidP="0058501F">
      <w:pPr>
        <w:spacing w:before="120" w:line="312" w:lineRule="auto"/>
        <w:jc w:val="both"/>
        <w:rPr>
          <w:rFonts w:ascii="Arial" w:hAnsi="Arial" w:cs="Arial"/>
        </w:rPr>
      </w:pPr>
      <w:r>
        <w:rPr>
          <w:rFonts w:ascii="Arial" w:hAnsi="Arial"/>
        </w:rPr>
        <w:t>- À l’annexe SI A, dans la définition du terme Système d’alarme incendie, le deuxième paragraphe est supprimé.</w:t>
      </w:r>
    </w:p>
    <w:p w14:paraId="486F0FF2" w14:textId="77777777" w:rsidR="004836CD" w:rsidRPr="00937C8B" w:rsidRDefault="004836CD" w:rsidP="0058501F">
      <w:pPr>
        <w:spacing w:before="120" w:line="312" w:lineRule="auto"/>
        <w:jc w:val="both"/>
        <w:rPr>
          <w:rFonts w:ascii="Arial" w:hAnsi="Arial" w:cs="Arial"/>
        </w:rPr>
      </w:pPr>
      <w:r>
        <w:rPr>
          <w:rFonts w:ascii="Arial" w:hAnsi="Arial"/>
        </w:rPr>
        <w:t>- À l’annexe SI A, dans la définition du terme Système de détection incendie, la référence «UNE 23007-1:1996» est supprimée et la référence «UNE EN 54-1:1996» est remplacée par «UNE-EN 54-1:2011».</w:t>
      </w:r>
    </w:p>
    <w:p w14:paraId="67C383F1" w14:textId="77777777" w:rsidR="004836CD" w:rsidRPr="00937C8B" w:rsidRDefault="004836CD" w:rsidP="0058501F">
      <w:pPr>
        <w:spacing w:before="120" w:line="312" w:lineRule="auto"/>
        <w:jc w:val="both"/>
        <w:rPr>
          <w:rFonts w:ascii="Arial" w:hAnsi="Arial" w:cs="Arial"/>
        </w:rPr>
      </w:pPr>
      <w:r>
        <w:rPr>
          <w:rFonts w:ascii="Arial" w:hAnsi="Arial"/>
        </w:rPr>
        <w:t>- À l’annexe SI A, dans la définition du terme Système de détection incendie, le deuxième paragraphe est supprimé.</w:t>
      </w:r>
    </w:p>
    <w:p w14:paraId="52A99AE7" w14:textId="77777777" w:rsidR="004836CD" w:rsidRPr="00937C8B" w:rsidRDefault="004836CD" w:rsidP="0058501F">
      <w:pPr>
        <w:spacing w:before="120" w:line="312" w:lineRule="auto"/>
        <w:jc w:val="both"/>
        <w:rPr>
          <w:rFonts w:ascii="Arial" w:hAnsi="Arial" w:cs="Arial"/>
        </w:rPr>
      </w:pPr>
      <w:r>
        <w:rPr>
          <w:rFonts w:ascii="Arial" w:hAnsi="Arial"/>
        </w:rPr>
        <w:t>- À l’annexe SI A, dans la définition du terme Système de pression différentielle, la référence «UNE 23585:2004» est remplacée par «UNE 23585:2017».</w:t>
      </w:r>
    </w:p>
    <w:p w14:paraId="4FA86E67" w14:textId="77777777" w:rsidR="004836CD" w:rsidRPr="00937C8B" w:rsidRDefault="004836CD" w:rsidP="0058501F">
      <w:pPr>
        <w:spacing w:before="120" w:line="312" w:lineRule="auto"/>
        <w:jc w:val="both"/>
        <w:rPr>
          <w:rFonts w:ascii="Arial" w:hAnsi="Arial" w:cs="Arial"/>
        </w:rPr>
      </w:pPr>
      <w:r>
        <w:rPr>
          <w:rFonts w:ascii="Arial" w:hAnsi="Arial"/>
        </w:rPr>
        <w:lastRenderedPageBreak/>
        <w:t>- À l’annexe B, article B.1, point 2, la référence «UNE-EN 1363:2000» est remplacée par «UNE-EN 1363-1:2015».</w:t>
      </w:r>
    </w:p>
    <w:p w14:paraId="0BA04122" w14:textId="77777777" w:rsidR="004836CD" w:rsidRPr="00937C8B" w:rsidRDefault="004836CD" w:rsidP="0058501F">
      <w:pPr>
        <w:spacing w:before="120" w:line="312" w:lineRule="auto"/>
        <w:jc w:val="both"/>
        <w:rPr>
          <w:rFonts w:ascii="Arial" w:hAnsi="Arial" w:cs="Arial"/>
        </w:rPr>
      </w:pPr>
      <w:r>
        <w:rPr>
          <w:rFonts w:ascii="Arial" w:hAnsi="Arial"/>
        </w:rPr>
        <w:t>- À l’annexe B, article B.2, point 1, la référence «UNE-EN 1363:2000» est remplacée par «UNE-EN 1363-1:2015».</w:t>
      </w:r>
    </w:p>
    <w:p w14:paraId="1DEF756B" w14:textId="77777777" w:rsidR="004836CD" w:rsidRPr="00937C8B" w:rsidRDefault="004836CD" w:rsidP="0058501F">
      <w:pPr>
        <w:spacing w:before="120" w:line="312" w:lineRule="auto"/>
        <w:jc w:val="both"/>
        <w:rPr>
          <w:rFonts w:ascii="Arial" w:hAnsi="Arial" w:cs="Arial"/>
        </w:rPr>
      </w:pPr>
      <w:r>
        <w:rPr>
          <w:rFonts w:ascii="Arial" w:hAnsi="Arial"/>
        </w:rPr>
        <w:t>- À l’annexe C, article C.2.4, point 1, la référence «UNE ENV 13381-3:2004» est remplacée par «UNE-EN 13381-3:2016».</w:t>
      </w:r>
    </w:p>
    <w:p w14:paraId="067848F7" w14:textId="77777777" w:rsidR="004836CD" w:rsidRPr="00937C8B" w:rsidRDefault="004836CD" w:rsidP="0058501F">
      <w:pPr>
        <w:spacing w:before="120" w:line="312" w:lineRule="auto"/>
        <w:jc w:val="both"/>
        <w:rPr>
          <w:rFonts w:ascii="Arial" w:hAnsi="Arial" w:cs="Arial"/>
        </w:rPr>
      </w:pPr>
      <w:r>
        <w:rPr>
          <w:rFonts w:ascii="Arial" w:hAnsi="Arial"/>
        </w:rPr>
        <w:t>- À l’annexe E, article E.4.1, point 1, la référence «UNE EN 912:2000» est remplacée par «UNE-EN 912:2011».</w:t>
      </w:r>
    </w:p>
    <w:p w14:paraId="4F93DCF5" w14:textId="77777777" w:rsidR="004836CD" w:rsidRPr="00937C8B" w:rsidRDefault="004836CD" w:rsidP="0058501F">
      <w:pPr>
        <w:spacing w:before="120" w:line="312" w:lineRule="auto"/>
        <w:jc w:val="both"/>
        <w:rPr>
          <w:rFonts w:ascii="Arial" w:hAnsi="Arial" w:cs="Arial"/>
        </w:rPr>
      </w:pPr>
      <w:r>
        <w:rPr>
          <w:rFonts w:ascii="Arial" w:hAnsi="Arial"/>
        </w:rPr>
        <w:t>- À l’annexe E, article E.6, point 2, la référence «UNE EN 301:1994» est remplacée par «UNE-EN 301:2018», et la référence «UNE EN 314:1994» est remplacée par «UNE-EN 314-1:2007 et UNE-EN 314-2:1994».</w:t>
      </w:r>
    </w:p>
    <w:p w14:paraId="769089CD" w14:textId="77777777" w:rsidR="004836CD" w:rsidRPr="00937C8B" w:rsidRDefault="004836CD" w:rsidP="00D27646">
      <w:pPr>
        <w:keepNext/>
        <w:spacing w:before="120" w:line="312" w:lineRule="auto"/>
        <w:jc w:val="both"/>
        <w:rPr>
          <w:rFonts w:ascii="Arial" w:hAnsi="Arial" w:cs="Arial"/>
        </w:rPr>
      </w:pPr>
      <w:r>
        <w:rPr>
          <w:rFonts w:ascii="Arial" w:hAnsi="Arial"/>
        </w:rPr>
        <w:t>- L’annexe SI G est remplacé par le suivant:</w:t>
      </w:r>
    </w:p>
    <w:p w14:paraId="220385C5" w14:textId="77777777" w:rsidR="004836CD" w:rsidRPr="00937C8B" w:rsidRDefault="004836CD" w:rsidP="0058501F">
      <w:pPr>
        <w:spacing w:before="120" w:line="312" w:lineRule="auto"/>
        <w:ind w:left="567"/>
        <w:rPr>
          <w:rFonts w:ascii="Arial" w:hAnsi="Arial" w:cs="Arial"/>
        </w:rPr>
      </w:pPr>
      <w:r>
        <w:rPr>
          <w:rFonts w:ascii="Arial" w:hAnsi="Arial"/>
        </w:rPr>
        <w:t>«L’annexe SI G Normes relatives à l’application du DB SI</w:t>
      </w:r>
    </w:p>
    <w:p w14:paraId="7C2F99A0" w14:textId="77777777" w:rsidR="004836CD" w:rsidRPr="00937C8B" w:rsidRDefault="004836CD" w:rsidP="0058501F">
      <w:pPr>
        <w:spacing w:before="120" w:line="312" w:lineRule="auto"/>
        <w:ind w:left="567"/>
        <w:rPr>
          <w:rFonts w:ascii="Arial" w:hAnsi="Arial" w:cs="Arial"/>
        </w:rPr>
      </w:pPr>
      <w:r>
        <w:rPr>
          <w:rFonts w:ascii="Arial" w:hAnsi="Arial"/>
        </w:rPr>
        <w:t>1</w:t>
      </w:r>
      <w:r>
        <w:rPr>
          <w:rFonts w:ascii="Arial" w:hAnsi="Arial"/>
        </w:rPr>
        <w:tab/>
        <w:t>Réaction au feu</w:t>
      </w:r>
    </w:p>
    <w:p w14:paraId="49257EC5" w14:textId="77777777" w:rsidR="004836CD" w:rsidRPr="00937C8B" w:rsidRDefault="004836CD" w:rsidP="0058501F">
      <w:pPr>
        <w:spacing w:before="120" w:line="312" w:lineRule="auto"/>
        <w:ind w:left="567"/>
        <w:rPr>
          <w:rFonts w:ascii="Arial" w:hAnsi="Arial" w:cs="Arial"/>
        </w:rPr>
      </w:pPr>
      <w:r>
        <w:rPr>
          <w:rFonts w:ascii="Arial" w:hAnsi="Arial"/>
        </w:rPr>
        <w:t>2</w:t>
      </w:r>
      <w:r>
        <w:rPr>
          <w:rFonts w:ascii="Arial" w:hAnsi="Arial"/>
        </w:rPr>
        <w:tab/>
        <w:t>Résistance au feu et eurocodes</w:t>
      </w:r>
    </w:p>
    <w:p w14:paraId="3E7D17EB" w14:textId="77777777" w:rsidR="004836CD" w:rsidRPr="00937C8B" w:rsidRDefault="004836CD" w:rsidP="0058501F">
      <w:pPr>
        <w:spacing w:before="120" w:line="312" w:lineRule="auto"/>
        <w:ind w:left="567"/>
        <w:rPr>
          <w:rFonts w:ascii="Arial" w:hAnsi="Arial" w:cs="Arial"/>
        </w:rPr>
      </w:pPr>
      <w:r>
        <w:rPr>
          <w:rFonts w:ascii="Arial" w:hAnsi="Arial"/>
        </w:rPr>
        <w:t>3</w:t>
      </w:r>
      <w:r>
        <w:rPr>
          <w:rFonts w:ascii="Arial" w:hAnsi="Arial"/>
        </w:rPr>
        <w:tab/>
        <w:t>Installations de contrôle de la fumée et de la chaleur (Spécifications)</w:t>
      </w:r>
    </w:p>
    <w:p w14:paraId="600B6FBB" w14:textId="77777777" w:rsidR="004836CD" w:rsidRPr="00937C8B" w:rsidRDefault="004836CD" w:rsidP="0058501F">
      <w:pPr>
        <w:spacing w:before="120" w:line="312" w:lineRule="auto"/>
        <w:ind w:left="567"/>
        <w:rPr>
          <w:rFonts w:ascii="Arial" w:hAnsi="Arial" w:cs="Arial"/>
        </w:rPr>
      </w:pPr>
      <w:r>
        <w:rPr>
          <w:rFonts w:ascii="Arial" w:hAnsi="Arial"/>
        </w:rPr>
        <w:t>4</w:t>
      </w:r>
      <w:r>
        <w:rPr>
          <w:rFonts w:ascii="Arial" w:hAnsi="Arial"/>
        </w:rPr>
        <w:tab/>
        <w:t>Quincaillerie et dispositifs d’ouverture pour les portes résistantes au feu</w:t>
      </w:r>
    </w:p>
    <w:p w14:paraId="31CA3F36" w14:textId="77777777" w:rsidR="004836CD" w:rsidRPr="00937C8B" w:rsidRDefault="004836CD" w:rsidP="0058501F">
      <w:pPr>
        <w:spacing w:before="120" w:line="312" w:lineRule="auto"/>
        <w:ind w:left="567"/>
        <w:rPr>
          <w:rFonts w:ascii="Arial" w:hAnsi="Arial" w:cs="Arial"/>
        </w:rPr>
      </w:pPr>
      <w:r>
        <w:rPr>
          <w:rFonts w:ascii="Arial" w:hAnsi="Arial"/>
        </w:rPr>
        <w:t>5</w:t>
      </w:r>
      <w:r>
        <w:rPr>
          <w:rFonts w:ascii="Arial" w:hAnsi="Arial"/>
        </w:rPr>
        <w:tab/>
        <w:t>Signalisation</w:t>
      </w:r>
    </w:p>
    <w:p w14:paraId="36E7D222" w14:textId="77777777" w:rsidR="008C5A28" w:rsidRPr="00937C8B" w:rsidRDefault="004836CD" w:rsidP="00952002">
      <w:pPr>
        <w:spacing w:before="120" w:line="312" w:lineRule="auto"/>
        <w:ind w:left="567"/>
        <w:rPr>
          <w:rFonts w:ascii="Arial" w:hAnsi="Arial" w:cs="Arial"/>
        </w:rPr>
      </w:pPr>
      <w:r>
        <w:rPr>
          <w:rFonts w:ascii="Arial" w:hAnsi="Arial"/>
        </w:rPr>
        <w:t>6</w:t>
      </w:r>
      <w:r>
        <w:rPr>
          <w:rFonts w:ascii="Arial" w:hAnsi="Arial"/>
        </w:rPr>
        <w:tab/>
        <w:t>Autres</w:t>
      </w:r>
    </w:p>
    <w:p w14:paraId="7675422F" w14:textId="77777777" w:rsidR="004836CD" w:rsidRPr="00A77C79" w:rsidRDefault="004836CD" w:rsidP="0058501F">
      <w:pPr>
        <w:widowControl w:val="0"/>
        <w:spacing w:before="120" w:line="312" w:lineRule="auto"/>
        <w:ind w:left="567"/>
        <w:jc w:val="both"/>
        <w:rPr>
          <w:rFonts w:ascii="Arial" w:hAnsi="Arial" w:cs="Arial"/>
        </w:rPr>
      </w:pPr>
      <w:r>
        <w:rPr>
          <w:rFonts w:ascii="Arial" w:hAnsi="Arial"/>
        </w:rPr>
        <w:t>Cet annexe récapitule les références complètes des normes citées dans le DBSI. Elles sont signalées dans cet annexe par un astérisque. Il comprend également, à titre d’information, les autres normes en relation avec l’application du DBSI.</w:t>
      </w:r>
    </w:p>
    <w:p w14:paraId="0B78EB21" w14:textId="77777777" w:rsidR="004836CD" w:rsidRPr="00937C8B" w:rsidRDefault="004836CD" w:rsidP="00D27646">
      <w:pPr>
        <w:keepNext/>
        <w:spacing w:before="120" w:line="312" w:lineRule="auto"/>
        <w:ind w:left="851" w:hanging="284"/>
        <w:rPr>
          <w:rFonts w:ascii="Arial" w:hAnsi="Arial" w:cs="Arial"/>
        </w:rPr>
      </w:pPr>
      <w:r>
        <w:rPr>
          <w:rFonts w:ascii="Arial" w:hAnsi="Arial"/>
        </w:rPr>
        <w:t>1</w:t>
      </w:r>
      <w:r>
        <w:rPr>
          <w:rFonts w:ascii="Arial" w:hAnsi="Arial"/>
        </w:rPr>
        <w:tab/>
        <w:t>Réaction au feu</w:t>
      </w:r>
    </w:p>
    <w:p w14:paraId="38E113C0" w14:textId="4E7E7A26" w:rsidR="004836CD" w:rsidRPr="00937C8B" w:rsidRDefault="004836CD" w:rsidP="0058501F">
      <w:pPr>
        <w:spacing w:before="120" w:line="312" w:lineRule="auto"/>
        <w:ind w:left="3969" w:hanging="3402"/>
        <w:jc w:val="both"/>
        <w:rPr>
          <w:rFonts w:ascii="Arial" w:hAnsi="Arial" w:cs="Arial"/>
        </w:rPr>
      </w:pPr>
      <w:r>
        <w:rPr>
          <w:rFonts w:ascii="Arial" w:hAnsi="Arial"/>
        </w:rPr>
        <w:t>UNE-EN 1021</w:t>
      </w:r>
      <w:r>
        <w:rPr>
          <w:rFonts w:ascii="Arial" w:hAnsi="Arial"/>
        </w:rPr>
        <w:tab/>
        <w:t>Ameublement - Évaluation de l’allumabilité des meubles rembourrés</w:t>
      </w:r>
      <w:r w:rsidR="00E93486">
        <w:rPr>
          <w:rFonts w:ascii="Arial" w:hAnsi="Arial"/>
        </w:rPr>
        <w:t>.</w:t>
      </w:r>
    </w:p>
    <w:p w14:paraId="2DBF8085"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1021-1:2015</w:t>
      </w:r>
      <w:r>
        <w:rPr>
          <w:rFonts w:ascii="Arial" w:hAnsi="Arial"/>
        </w:rPr>
        <w:tab/>
        <w:t>Partie 1: Source d’allumage: cigarette en combustion.</w:t>
      </w:r>
    </w:p>
    <w:p w14:paraId="26B24B01"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1021-2:2015</w:t>
      </w:r>
      <w:r>
        <w:rPr>
          <w:rFonts w:ascii="Arial" w:hAnsi="Arial"/>
        </w:rPr>
        <w:tab/>
        <w:t>Partie 2: Source d’allumage: flamme équivalente à celle d’une allumette.</w:t>
      </w:r>
    </w:p>
    <w:p w14:paraId="20F4334A" w14:textId="6520DBC5" w:rsidR="004836CD" w:rsidRPr="00937C8B" w:rsidRDefault="004836CD" w:rsidP="0058501F">
      <w:pPr>
        <w:spacing w:before="120" w:line="312" w:lineRule="auto"/>
        <w:ind w:left="3969" w:hanging="3402"/>
        <w:jc w:val="both"/>
        <w:rPr>
          <w:rFonts w:ascii="Arial" w:hAnsi="Arial" w:cs="Arial"/>
        </w:rPr>
      </w:pPr>
      <w:r>
        <w:rPr>
          <w:rFonts w:ascii="Arial" w:hAnsi="Arial"/>
        </w:rPr>
        <w:t>UNE-EN 1101:1996</w:t>
      </w:r>
      <w:r>
        <w:rPr>
          <w:rFonts w:ascii="Arial" w:hAnsi="Arial"/>
        </w:rPr>
        <w:tab/>
        <w:t>Textiles et produits textiles - Comportement au feu - Rideaux et tentures - Procédure détaillée pour déterminer l’allumabilité d’éprouvettes disposées verticalement (petite flamme). (+UNE-EN 1101:1996/A1: 2005)</w:t>
      </w:r>
      <w:r w:rsidR="00E93486">
        <w:rPr>
          <w:rFonts w:ascii="Arial" w:hAnsi="Arial"/>
        </w:rPr>
        <w:t>.</w:t>
      </w:r>
    </w:p>
    <w:p w14:paraId="53607420" w14:textId="389BF7D9" w:rsidR="004836CD" w:rsidRPr="00937C8B" w:rsidRDefault="004836CD" w:rsidP="0058501F">
      <w:pPr>
        <w:spacing w:before="120" w:line="312" w:lineRule="auto"/>
        <w:ind w:left="3969" w:hanging="3402"/>
        <w:jc w:val="both"/>
        <w:rPr>
          <w:rFonts w:ascii="Arial" w:hAnsi="Arial" w:cs="Arial"/>
        </w:rPr>
      </w:pPr>
      <w:r>
        <w:rPr>
          <w:rFonts w:ascii="Arial" w:hAnsi="Arial"/>
        </w:rPr>
        <w:lastRenderedPageBreak/>
        <w:t>UNE-EN 13501</w:t>
      </w:r>
      <w:r>
        <w:rPr>
          <w:rFonts w:ascii="Arial" w:hAnsi="Arial"/>
        </w:rPr>
        <w:tab/>
        <w:t>Classement au feu des produits et éléments de construction</w:t>
      </w:r>
      <w:r w:rsidR="00E93486">
        <w:rPr>
          <w:rFonts w:ascii="Arial" w:hAnsi="Arial"/>
        </w:rPr>
        <w:t>.</w:t>
      </w:r>
    </w:p>
    <w:p w14:paraId="3653CC16"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13501-1:2007+A1:2010</w:t>
      </w:r>
      <w:r>
        <w:rPr>
          <w:rFonts w:ascii="Arial" w:hAnsi="Arial"/>
        </w:rPr>
        <w:tab/>
        <w:t>Partie 1: Classement à partir des données d’essais de réaction au feu.</w:t>
      </w:r>
    </w:p>
    <w:p w14:paraId="47C94760"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13501-5:2019</w:t>
      </w:r>
      <w:r>
        <w:rPr>
          <w:rFonts w:ascii="Arial" w:hAnsi="Arial"/>
        </w:rPr>
        <w:tab/>
        <w:t>Partie 5: Classement utilisant des données d’essais au feu des toitures exposées à un feu extérieur.</w:t>
      </w:r>
    </w:p>
    <w:p w14:paraId="0FC4107C"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14115:2002</w:t>
      </w:r>
      <w:r>
        <w:rPr>
          <w:rFonts w:ascii="Arial" w:hAnsi="Arial"/>
        </w:rPr>
        <w:tab/>
        <w:t>Textiles - Comportement au feu des marquises, tentes de grandes dimensions et produits apparentés - Allumabilité.</w:t>
      </w:r>
    </w:p>
    <w:p w14:paraId="6FB91A05"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13772:2011</w:t>
      </w:r>
      <w:r>
        <w:rPr>
          <w:rFonts w:ascii="Arial" w:hAnsi="Arial"/>
        </w:rPr>
        <w:tab/>
        <w:t>Textiles et produits textiles - Comportement au feu - Rideaux et tentures - Mesurage de la propagation de flamme d’éprouvettes orientées verticalement, avec une source d’allumage importante.</w:t>
      </w:r>
    </w:p>
    <w:p w14:paraId="2B281BC4"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13773:2003</w:t>
      </w:r>
      <w:r>
        <w:rPr>
          <w:rFonts w:ascii="Arial" w:hAnsi="Arial"/>
        </w:rPr>
        <w:tab/>
        <w:t>Textiles et produits textiles - Comportement au feu - Rideaux et tentures - Classification.</w:t>
      </w:r>
    </w:p>
    <w:p w14:paraId="3CBE020C"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13823:2012+A1:2016</w:t>
      </w:r>
      <w:r>
        <w:rPr>
          <w:rFonts w:ascii="Arial" w:hAnsi="Arial"/>
        </w:rPr>
        <w:tab/>
        <w:t>Essais de réaction au feu des produits de construction - Produits de construction à l’exclusion des revêtements de sol exposés à une sollicitation thermique provoquée par un objet isolé en feu.</w:t>
      </w:r>
    </w:p>
    <w:p w14:paraId="60616A03"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15619:2014</w:t>
      </w:r>
      <w:r>
        <w:rPr>
          <w:rFonts w:ascii="Arial" w:hAnsi="Arial"/>
        </w:rPr>
        <w:tab/>
        <w:t>Supports textiles revêtus de caoutchouc ou de plastique - Sécurité des structures temporaires (tentes). Spécification des supports textiles revêtus destinés aux tentes et structures similaires.</w:t>
      </w:r>
    </w:p>
    <w:p w14:paraId="142CE543" w14:textId="52800D28" w:rsidR="004836CD" w:rsidRPr="00937C8B" w:rsidRDefault="004836CD" w:rsidP="0058501F">
      <w:pPr>
        <w:spacing w:before="120" w:line="312" w:lineRule="auto"/>
        <w:ind w:left="3969" w:hanging="3402"/>
        <w:jc w:val="both"/>
        <w:rPr>
          <w:rFonts w:ascii="Arial" w:hAnsi="Arial" w:cs="Arial"/>
        </w:rPr>
      </w:pPr>
      <w:r>
        <w:rPr>
          <w:rFonts w:ascii="Arial" w:hAnsi="Arial"/>
        </w:rPr>
        <w:t>UNE-EN ISO 1182:2011</w:t>
      </w:r>
      <w:r>
        <w:rPr>
          <w:rFonts w:ascii="Arial" w:hAnsi="Arial"/>
        </w:rPr>
        <w:tab/>
        <w:t>Essais de réaction au feu de produits - Essai d’incombustibilité (ISO 1182:2010)</w:t>
      </w:r>
      <w:r w:rsidR="00E93486">
        <w:rPr>
          <w:rFonts w:ascii="Arial" w:hAnsi="Arial"/>
        </w:rPr>
        <w:t>.</w:t>
      </w:r>
    </w:p>
    <w:p w14:paraId="1963EB99" w14:textId="1585A2C2" w:rsidR="004836CD" w:rsidRPr="00937C8B" w:rsidRDefault="004836CD" w:rsidP="0058501F">
      <w:pPr>
        <w:spacing w:before="120" w:line="312" w:lineRule="auto"/>
        <w:ind w:left="3969" w:hanging="3402"/>
        <w:jc w:val="both"/>
        <w:rPr>
          <w:rFonts w:ascii="Arial" w:hAnsi="Arial" w:cs="Arial"/>
        </w:rPr>
      </w:pPr>
      <w:r>
        <w:rPr>
          <w:rFonts w:ascii="Arial" w:hAnsi="Arial"/>
        </w:rPr>
        <w:t>UNE-EN ISO 1716:2011</w:t>
      </w:r>
      <w:r>
        <w:rPr>
          <w:rFonts w:ascii="Arial" w:hAnsi="Arial"/>
        </w:rPr>
        <w:tab/>
        <w:t>Essais de réaction au feu de produits - Détermination du pouvoir calorifique supérieur (valeur calorifique) (ISO 1716:2010)</w:t>
      </w:r>
      <w:r w:rsidR="00E93486">
        <w:rPr>
          <w:rFonts w:ascii="Arial" w:hAnsi="Arial"/>
        </w:rPr>
        <w:t>.</w:t>
      </w:r>
    </w:p>
    <w:p w14:paraId="2951FF29" w14:textId="5DD0F97F" w:rsidR="004836CD" w:rsidRPr="00937C8B" w:rsidRDefault="004836CD" w:rsidP="0058501F">
      <w:pPr>
        <w:spacing w:before="120" w:line="312" w:lineRule="auto"/>
        <w:ind w:left="3969" w:hanging="3402"/>
        <w:jc w:val="both"/>
        <w:rPr>
          <w:rFonts w:ascii="Arial" w:hAnsi="Arial" w:cs="Arial"/>
        </w:rPr>
      </w:pPr>
      <w:r>
        <w:rPr>
          <w:rFonts w:ascii="Arial" w:hAnsi="Arial"/>
        </w:rPr>
        <w:t>UNE-EN ISO 9239-1:2011</w:t>
      </w:r>
      <w:r>
        <w:rPr>
          <w:rFonts w:ascii="Arial" w:hAnsi="Arial"/>
        </w:rPr>
        <w:tab/>
        <w:t>Essais de réaction au feu des revêtements de sol</w:t>
      </w:r>
      <w:r w:rsidR="00E93486">
        <w:rPr>
          <w:rFonts w:ascii="Arial" w:hAnsi="Arial"/>
        </w:rPr>
        <w:t>.</w:t>
      </w:r>
    </w:p>
    <w:p w14:paraId="49B692AC" w14:textId="350063DD" w:rsidR="004836CD" w:rsidRPr="00937C8B" w:rsidRDefault="004836CD" w:rsidP="0058501F">
      <w:pPr>
        <w:spacing w:before="120" w:line="312" w:lineRule="auto"/>
        <w:ind w:left="3969" w:hanging="3402"/>
        <w:jc w:val="both"/>
        <w:rPr>
          <w:rFonts w:ascii="Arial" w:hAnsi="Arial" w:cs="Arial"/>
        </w:rPr>
      </w:pPr>
      <w:r>
        <w:rPr>
          <w:rFonts w:ascii="Arial" w:hAnsi="Arial"/>
        </w:rPr>
        <w:tab/>
        <w:t>Partie 1: Détermination du comportement au feu à l’aide d’une source de chaleur rayonnante. (ISO 9239-1:2010)</w:t>
      </w:r>
      <w:r w:rsidR="00E93486">
        <w:rPr>
          <w:rFonts w:ascii="Arial" w:hAnsi="Arial"/>
        </w:rPr>
        <w:t>.</w:t>
      </w:r>
    </w:p>
    <w:p w14:paraId="7C25B4F6" w14:textId="4276216F" w:rsidR="004836CD" w:rsidRPr="00937C8B" w:rsidRDefault="004836CD" w:rsidP="0058501F">
      <w:pPr>
        <w:spacing w:before="120" w:line="312" w:lineRule="auto"/>
        <w:ind w:left="3969" w:hanging="3402"/>
        <w:jc w:val="both"/>
        <w:rPr>
          <w:rFonts w:ascii="Arial" w:hAnsi="Arial" w:cs="Arial"/>
        </w:rPr>
      </w:pPr>
      <w:r>
        <w:rPr>
          <w:rFonts w:ascii="Arial" w:hAnsi="Arial"/>
        </w:rPr>
        <w:t>UNE-EN ISO 11925-2:2011</w:t>
      </w:r>
      <w:r>
        <w:rPr>
          <w:rFonts w:ascii="Arial" w:hAnsi="Arial"/>
        </w:rPr>
        <w:tab/>
        <w:t>Essais de réaction au feu - Allumabilité de produits soumis à l’incidence directe de la flamme</w:t>
      </w:r>
      <w:r w:rsidR="00E93486">
        <w:rPr>
          <w:rFonts w:ascii="Arial" w:hAnsi="Arial"/>
        </w:rPr>
        <w:t>.</w:t>
      </w:r>
    </w:p>
    <w:p w14:paraId="4D9C3176" w14:textId="48ED7A23" w:rsidR="004836CD" w:rsidRPr="00937C8B" w:rsidRDefault="004836CD" w:rsidP="0058501F">
      <w:pPr>
        <w:spacing w:before="120" w:line="312" w:lineRule="auto"/>
        <w:ind w:left="3969" w:hanging="3402"/>
        <w:jc w:val="both"/>
        <w:rPr>
          <w:rFonts w:ascii="Arial" w:hAnsi="Arial" w:cs="Arial"/>
        </w:rPr>
      </w:pPr>
      <w:r>
        <w:rPr>
          <w:rFonts w:ascii="Arial" w:hAnsi="Arial"/>
        </w:rPr>
        <w:tab/>
        <w:t>Partie 2: Essai à l’aide d’une source à flamme unique. (ISO 11925-2:2010)</w:t>
      </w:r>
      <w:r w:rsidR="00E93486">
        <w:rPr>
          <w:rFonts w:ascii="Arial" w:hAnsi="Arial"/>
        </w:rPr>
        <w:t>.</w:t>
      </w:r>
    </w:p>
    <w:p w14:paraId="7C224B83" w14:textId="77777777" w:rsidR="004836CD" w:rsidRPr="00937C8B" w:rsidRDefault="004836CD" w:rsidP="0058501F">
      <w:pPr>
        <w:spacing w:before="120" w:line="312" w:lineRule="auto"/>
        <w:ind w:left="3969" w:hanging="3402"/>
        <w:jc w:val="both"/>
        <w:rPr>
          <w:rFonts w:ascii="Arial" w:hAnsi="Arial" w:cs="Arial"/>
        </w:rPr>
      </w:pPr>
      <w:r>
        <w:rPr>
          <w:rFonts w:ascii="Arial" w:hAnsi="Arial"/>
        </w:rPr>
        <w:lastRenderedPageBreak/>
        <w:t>UNE-CEN/TS 1187:2013</w:t>
      </w:r>
      <w:r>
        <w:rPr>
          <w:rFonts w:ascii="Arial" w:hAnsi="Arial"/>
        </w:rPr>
        <w:tab/>
        <w:t>Méthodes d’essai pour l’exposition des toitures à un feu extérieur.</w:t>
      </w:r>
    </w:p>
    <w:p w14:paraId="4AB7E404" w14:textId="77777777" w:rsidR="004836CD" w:rsidRPr="00937C8B" w:rsidRDefault="004836CD" w:rsidP="00D27646">
      <w:pPr>
        <w:keepNext/>
        <w:spacing w:before="120" w:line="312" w:lineRule="auto"/>
        <w:ind w:left="851" w:hanging="284"/>
        <w:rPr>
          <w:rFonts w:ascii="Arial" w:hAnsi="Arial" w:cs="Arial"/>
        </w:rPr>
      </w:pPr>
      <w:r>
        <w:rPr>
          <w:rFonts w:ascii="Arial" w:hAnsi="Arial"/>
        </w:rPr>
        <w:t>2</w:t>
      </w:r>
      <w:r>
        <w:rPr>
          <w:rFonts w:ascii="Arial" w:hAnsi="Arial"/>
        </w:rPr>
        <w:tab/>
        <w:t>Résistance au feu</w:t>
      </w:r>
    </w:p>
    <w:p w14:paraId="0BB33803" w14:textId="49F77C0E" w:rsidR="004836CD" w:rsidRPr="00937C8B" w:rsidRDefault="004836CD" w:rsidP="0058501F">
      <w:pPr>
        <w:spacing w:before="120" w:line="312" w:lineRule="auto"/>
        <w:ind w:left="4111" w:hanging="3544"/>
        <w:jc w:val="both"/>
        <w:rPr>
          <w:rFonts w:ascii="Arial" w:hAnsi="Arial" w:cs="Arial"/>
        </w:rPr>
      </w:pPr>
      <w:r>
        <w:rPr>
          <w:rFonts w:ascii="Arial" w:hAnsi="Arial"/>
        </w:rPr>
        <w:t>*UNE-EN 81-58:2018</w:t>
      </w:r>
      <w:r>
        <w:rPr>
          <w:rFonts w:ascii="Arial" w:hAnsi="Arial"/>
        </w:rPr>
        <w:tab/>
        <w:t>Règles de sécurité pour la construction et l’installation des élévateurs - Examens et essais</w:t>
      </w:r>
      <w:r w:rsidR="00E93486">
        <w:rPr>
          <w:rFonts w:ascii="Arial" w:hAnsi="Arial"/>
        </w:rPr>
        <w:t>.</w:t>
      </w:r>
    </w:p>
    <w:p w14:paraId="7578744C"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ab/>
        <w:t>Partie 58: Essais de résistance au feu des portes palières.</w:t>
      </w:r>
    </w:p>
    <w:p w14:paraId="29128411" w14:textId="365F0FC9" w:rsidR="004836CD" w:rsidRPr="00937C8B" w:rsidRDefault="004836CD" w:rsidP="0058501F">
      <w:pPr>
        <w:spacing w:before="120" w:line="312" w:lineRule="auto"/>
        <w:ind w:left="4111" w:hanging="3544"/>
        <w:jc w:val="both"/>
        <w:rPr>
          <w:rFonts w:ascii="Arial" w:hAnsi="Arial" w:cs="Arial"/>
        </w:rPr>
      </w:pPr>
      <w:r>
        <w:rPr>
          <w:rFonts w:ascii="Arial" w:hAnsi="Arial"/>
        </w:rPr>
        <w:t>UNE-EN 1363</w:t>
      </w:r>
      <w:r>
        <w:rPr>
          <w:rFonts w:ascii="Arial" w:hAnsi="Arial"/>
        </w:rPr>
        <w:tab/>
        <w:t>Essais de résistance au feu</w:t>
      </w:r>
      <w:r w:rsidR="00E93486">
        <w:rPr>
          <w:rFonts w:ascii="Arial" w:hAnsi="Arial"/>
        </w:rPr>
        <w:t>.</w:t>
      </w:r>
    </w:p>
    <w:p w14:paraId="46614EC7" w14:textId="77ED5EAB" w:rsidR="004836CD" w:rsidRPr="00937C8B" w:rsidRDefault="004836CD" w:rsidP="0058501F">
      <w:pPr>
        <w:spacing w:before="120" w:line="312" w:lineRule="auto"/>
        <w:ind w:left="4111" w:hanging="3544"/>
        <w:jc w:val="both"/>
        <w:rPr>
          <w:rFonts w:ascii="Arial" w:hAnsi="Arial" w:cs="Arial"/>
        </w:rPr>
      </w:pPr>
      <w:r>
        <w:rPr>
          <w:rFonts w:ascii="Arial" w:hAnsi="Arial"/>
        </w:rPr>
        <w:t>UNE-EN 1363-1:2015</w:t>
      </w:r>
      <w:r>
        <w:rPr>
          <w:rFonts w:ascii="Arial" w:hAnsi="Arial"/>
        </w:rPr>
        <w:tab/>
        <w:t>Partie 1: Exigences générales</w:t>
      </w:r>
      <w:r w:rsidR="00E93486">
        <w:rPr>
          <w:rFonts w:ascii="Arial" w:hAnsi="Arial"/>
        </w:rPr>
        <w:t>.</w:t>
      </w:r>
    </w:p>
    <w:p w14:paraId="1E17F087"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1363-2:2000</w:t>
      </w:r>
      <w:r>
        <w:rPr>
          <w:rFonts w:ascii="Arial" w:hAnsi="Arial"/>
        </w:rPr>
        <w:tab/>
        <w:t>Partie 2: Modes opératoires de substitution ou additionnels.</w:t>
      </w:r>
    </w:p>
    <w:p w14:paraId="1773226B"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1363-3:2000</w:t>
      </w:r>
      <w:r>
        <w:rPr>
          <w:rFonts w:ascii="Arial" w:hAnsi="Arial"/>
        </w:rPr>
        <w:tab/>
        <w:t>Partie 3: Vérification des performances du four (des fours).</w:t>
      </w:r>
    </w:p>
    <w:p w14:paraId="36FC1F44" w14:textId="6855BF5A" w:rsidR="004836CD" w:rsidRPr="00937C8B" w:rsidRDefault="004836CD" w:rsidP="0058501F">
      <w:pPr>
        <w:spacing w:before="120" w:line="312" w:lineRule="auto"/>
        <w:ind w:left="4111" w:hanging="3544"/>
        <w:jc w:val="both"/>
        <w:rPr>
          <w:rFonts w:ascii="Arial" w:hAnsi="Arial" w:cs="Arial"/>
        </w:rPr>
      </w:pPr>
      <w:r>
        <w:rPr>
          <w:rFonts w:ascii="Arial" w:hAnsi="Arial"/>
        </w:rPr>
        <w:t>UNE-EN 1364</w:t>
      </w:r>
      <w:r>
        <w:rPr>
          <w:rFonts w:ascii="Arial" w:hAnsi="Arial"/>
        </w:rPr>
        <w:tab/>
        <w:t>Essais de résistance au feu des éléments non porteurs</w:t>
      </w:r>
      <w:r w:rsidR="00E93486">
        <w:rPr>
          <w:rFonts w:ascii="Arial" w:hAnsi="Arial"/>
        </w:rPr>
        <w:t>.</w:t>
      </w:r>
    </w:p>
    <w:p w14:paraId="0148369E"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1364-1:2000</w:t>
      </w:r>
      <w:r>
        <w:rPr>
          <w:rFonts w:ascii="Arial" w:hAnsi="Arial"/>
        </w:rPr>
        <w:tab/>
        <w:t>Partie 1: Murs.</w:t>
      </w:r>
    </w:p>
    <w:p w14:paraId="4A6406BE"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1364-2:2000</w:t>
      </w:r>
      <w:r>
        <w:rPr>
          <w:rFonts w:ascii="Arial" w:hAnsi="Arial"/>
        </w:rPr>
        <w:tab/>
        <w:t>Partie 2: Plafonds.</w:t>
      </w:r>
    </w:p>
    <w:p w14:paraId="7A637B77"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1364-3:2015</w:t>
      </w:r>
      <w:r>
        <w:rPr>
          <w:rFonts w:ascii="Arial" w:hAnsi="Arial"/>
        </w:rPr>
        <w:tab/>
        <w:t>Partie 3: Murs rideaux. Configuration en grandeur réelle (assemblage complet).</w:t>
      </w:r>
    </w:p>
    <w:p w14:paraId="558484BB"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1364-4:2015</w:t>
      </w:r>
      <w:r>
        <w:rPr>
          <w:rFonts w:ascii="Arial" w:hAnsi="Arial"/>
        </w:rPr>
        <w:tab/>
        <w:t>Partie 4: Murs rideaux. Configuration partielle.</w:t>
      </w:r>
    </w:p>
    <w:p w14:paraId="57E4E78D" w14:textId="3C9ADC00" w:rsidR="004836CD" w:rsidRPr="00937C8B" w:rsidRDefault="004836CD" w:rsidP="0058501F">
      <w:pPr>
        <w:spacing w:before="120" w:line="312" w:lineRule="auto"/>
        <w:ind w:left="4111" w:hanging="3544"/>
        <w:jc w:val="both"/>
        <w:rPr>
          <w:rFonts w:ascii="Arial" w:hAnsi="Arial" w:cs="Arial"/>
        </w:rPr>
      </w:pPr>
      <w:r>
        <w:rPr>
          <w:rFonts w:ascii="Arial" w:hAnsi="Arial"/>
        </w:rPr>
        <w:t>UNE-EN 1365</w:t>
      </w:r>
      <w:r>
        <w:rPr>
          <w:rFonts w:ascii="Arial" w:hAnsi="Arial"/>
        </w:rPr>
        <w:tab/>
        <w:t>Essais de résistance au feu des éléments porteurs</w:t>
      </w:r>
      <w:r w:rsidR="00E93486">
        <w:rPr>
          <w:rFonts w:ascii="Arial" w:hAnsi="Arial"/>
        </w:rPr>
        <w:t>.</w:t>
      </w:r>
    </w:p>
    <w:p w14:paraId="03940277"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1365-1:2016</w:t>
      </w:r>
      <w:r>
        <w:rPr>
          <w:rFonts w:ascii="Arial" w:hAnsi="Arial"/>
        </w:rPr>
        <w:tab/>
        <w:t>Partie 1: Murs.</w:t>
      </w:r>
    </w:p>
    <w:p w14:paraId="602F3478"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1365-2:2016</w:t>
      </w:r>
      <w:r>
        <w:rPr>
          <w:rFonts w:ascii="Arial" w:hAnsi="Arial"/>
        </w:rPr>
        <w:tab/>
        <w:t>Partie 2: Planchers et toitures.</w:t>
      </w:r>
    </w:p>
    <w:p w14:paraId="0DFCC400"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1365-3:2000</w:t>
      </w:r>
      <w:r>
        <w:rPr>
          <w:rFonts w:ascii="Arial" w:hAnsi="Arial"/>
        </w:rPr>
        <w:tab/>
        <w:t>Partie 3: Poutres.</w:t>
      </w:r>
    </w:p>
    <w:p w14:paraId="34F7F6C3"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1365-4:2000</w:t>
      </w:r>
      <w:r>
        <w:rPr>
          <w:rFonts w:ascii="Arial" w:hAnsi="Arial"/>
        </w:rPr>
        <w:tab/>
        <w:t>Partie 4: Poteaux.</w:t>
      </w:r>
    </w:p>
    <w:p w14:paraId="27C26A9D"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1365-5:2005</w:t>
      </w:r>
      <w:r>
        <w:rPr>
          <w:rFonts w:ascii="Arial" w:hAnsi="Arial"/>
        </w:rPr>
        <w:tab/>
        <w:t>Partie 5: Balcons et passerelles.</w:t>
      </w:r>
    </w:p>
    <w:p w14:paraId="6880BF5B"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1365-6:2005</w:t>
      </w:r>
      <w:r>
        <w:rPr>
          <w:rFonts w:ascii="Arial" w:hAnsi="Arial"/>
        </w:rPr>
        <w:tab/>
        <w:t>Partie 6: Escaliers.</w:t>
      </w:r>
    </w:p>
    <w:p w14:paraId="2E39FA59" w14:textId="1BF6D2F4" w:rsidR="004836CD" w:rsidRPr="00937C8B" w:rsidRDefault="004836CD" w:rsidP="0058501F">
      <w:pPr>
        <w:spacing w:before="120" w:line="312" w:lineRule="auto"/>
        <w:ind w:left="4111" w:hanging="3544"/>
        <w:jc w:val="both"/>
        <w:rPr>
          <w:rFonts w:ascii="Arial" w:hAnsi="Arial" w:cs="Arial"/>
        </w:rPr>
      </w:pPr>
      <w:r>
        <w:rPr>
          <w:rFonts w:ascii="Arial" w:hAnsi="Arial"/>
        </w:rPr>
        <w:t>UNE-EN 1366</w:t>
      </w:r>
      <w:r>
        <w:rPr>
          <w:rFonts w:ascii="Arial" w:hAnsi="Arial"/>
        </w:rPr>
        <w:tab/>
        <w:t>Essais de résistance au feu des installations techniques</w:t>
      </w:r>
      <w:r w:rsidR="00E93486">
        <w:rPr>
          <w:rFonts w:ascii="Arial" w:hAnsi="Arial"/>
        </w:rPr>
        <w:t>.</w:t>
      </w:r>
    </w:p>
    <w:p w14:paraId="0145FE94"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1366-1:2016</w:t>
      </w:r>
      <w:r>
        <w:rPr>
          <w:rFonts w:ascii="Arial" w:hAnsi="Arial"/>
        </w:rPr>
        <w:tab/>
        <w:t>Partie 1: Conduits de ventilation.</w:t>
      </w:r>
    </w:p>
    <w:p w14:paraId="754429DC"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1366-2:2015</w:t>
      </w:r>
      <w:r>
        <w:rPr>
          <w:rFonts w:ascii="Arial" w:hAnsi="Arial"/>
        </w:rPr>
        <w:tab/>
        <w:t>Partie 2: Clapets coupe-feu.</w:t>
      </w:r>
    </w:p>
    <w:p w14:paraId="5306E2AB"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1366-3:2011</w:t>
      </w:r>
      <w:r>
        <w:rPr>
          <w:rFonts w:ascii="Arial" w:hAnsi="Arial"/>
        </w:rPr>
        <w:tab/>
        <w:t>Partie 3: Calfeutrements de trémies.</w:t>
      </w:r>
    </w:p>
    <w:p w14:paraId="4A32A857"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1366-4:2008+A1:2010</w:t>
      </w:r>
      <w:r>
        <w:rPr>
          <w:rFonts w:ascii="Arial" w:hAnsi="Arial"/>
        </w:rPr>
        <w:tab/>
        <w:t>Partie 4: Calfeutrements de joints linéaires.</w:t>
      </w:r>
    </w:p>
    <w:p w14:paraId="1470F2DE"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1366-5:2011</w:t>
      </w:r>
      <w:r>
        <w:rPr>
          <w:rFonts w:ascii="Arial" w:hAnsi="Arial"/>
        </w:rPr>
        <w:tab/>
        <w:t>Partie 5: Gaines pour installation technique.</w:t>
      </w:r>
    </w:p>
    <w:p w14:paraId="4C21D948" w14:textId="77777777" w:rsidR="004836CD" w:rsidRPr="00937C8B" w:rsidRDefault="004836CD" w:rsidP="0058501F">
      <w:pPr>
        <w:spacing w:before="120" w:line="312" w:lineRule="auto"/>
        <w:ind w:left="4111" w:hanging="3544"/>
        <w:jc w:val="both"/>
        <w:rPr>
          <w:rFonts w:ascii="Arial" w:hAnsi="Arial" w:cs="Arial"/>
        </w:rPr>
      </w:pPr>
      <w:r>
        <w:rPr>
          <w:rFonts w:ascii="Arial" w:hAnsi="Arial"/>
        </w:rPr>
        <w:lastRenderedPageBreak/>
        <w:t>UNE-EN 1366-6:2005</w:t>
      </w:r>
      <w:r>
        <w:rPr>
          <w:rFonts w:ascii="Arial" w:hAnsi="Arial"/>
        </w:rPr>
        <w:tab/>
        <w:t>Partie 6: Planchers surélevés et planchers creux.</w:t>
      </w:r>
    </w:p>
    <w:p w14:paraId="4999868F"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1366-7:2006</w:t>
      </w:r>
      <w:r>
        <w:rPr>
          <w:rFonts w:ascii="Arial" w:hAnsi="Arial"/>
        </w:rPr>
        <w:tab/>
        <w:t>Partie 7: Fermetures de passages pour convoyeurs et bandes transporteuses.</w:t>
      </w:r>
    </w:p>
    <w:p w14:paraId="21CBE8E7"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1366-8:2005</w:t>
      </w:r>
      <w:r>
        <w:rPr>
          <w:rFonts w:ascii="Arial" w:hAnsi="Arial"/>
        </w:rPr>
        <w:tab/>
        <w:t>Partie 8: Conduits d’extraction de fumées.</w:t>
      </w:r>
    </w:p>
    <w:p w14:paraId="26B2AE4D"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1366-9:2009</w:t>
      </w:r>
      <w:r>
        <w:rPr>
          <w:rFonts w:ascii="Arial" w:hAnsi="Arial"/>
        </w:rPr>
        <w:tab/>
        <w:t>Partie 9: Conduits d’extraction de fumées relatifs à un seul compartiment.</w:t>
      </w:r>
    </w:p>
    <w:p w14:paraId="2FD58548"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1366-10:2016+A1:2018</w:t>
      </w:r>
      <w:r>
        <w:rPr>
          <w:rFonts w:ascii="Arial" w:hAnsi="Arial"/>
        </w:rPr>
        <w:tab/>
        <w:t>Partie 10: Volets de désenfumage.</w:t>
      </w:r>
    </w:p>
    <w:p w14:paraId="2D66F5AC"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1366-12:2015</w:t>
      </w:r>
      <w:r>
        <w:rPr>
          <w:rFonts w:ascii="Arial" w:hAnsi="Arial"/>
        </w:rPr>
        <w:tab/>
        <w:t>Partie 12: Barrière résistante au feu non mécanique pour les conduits de ventilation.</w:t>
      </w:r>
    </w:p>
    <w:p w14:paraId="61EB8B25"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1634</w:t>
      </w:r>
      <w:r>
        <w:rPr>
          <w:rFonts w:ascii="Arial" w:hAnsi="Arial"/>
        </w:rPr>
        <w:tab/>
        <w:t>Essais de résistance au feu et d’étanchéité aux fumées des portes, fermetures, fenêtres et éléments de quincailleries.</w:t>
      </w:r>
    </w:p>
    <w:p w14:paraId="2445E51B"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1634-1:2016+A1:2018</w:t>
      </w:r>
      <w:r>
        <w:rPr>
          <w:rFonts w:ascii="Arial" w:hAnsi="Arial"/>
        </w:rPr>
        <w:tab/>
        <w:t>Partie 1: Essais de résistance au feu des portes, fermetures et fenêtres.</w:t>
      </w:r>
    </w:p>
    <w:p w14:paraId="28730E68"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1634-2:2010</w:t>
      </w:r>
      <w:r>
        <w:rPr>
          <w:rFonts w:ascii="Arial" w:hAnsi="Arial"/>
        </w:rPr>
        <w:tab/>
        <w:t>Partie 2: Caractérisation de la résistance au feu pour les éléments de quincaillerie.</w:t>
      </w:r>
    </w:p>
    <w:p w14:paraId="60FC7E33"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1634-3:2006</w:t>
      </w:r>
      <w:r>
        <w:rPr>
          <w:rFonts w:ascii="Arial" w:hAnsi="Arial"/>
        </w:rPr>
        <w:tab/>
        <w:t>Partie 3: Essais d’étanchéité aux fumées des portes et fermetures.</w:t>
      </w:r>
    </w:p>
    <w:p w14:paraId="5182633C"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1991-1-2:2019</w:t>
      </w:r>
      <w:r>
        <w:rPr>
          <w:rFonts w:ascii="Arial" w:hAnsi="Arial"/>
        </w:rPr>
        <w:tab/>
        <w:t>Eurocode 1: Actions sur les structures. Partie 1-2: Actions générales - Actions sur les structures exposées.</w:t>
      </w:r>
    </w:p>
    <w:p w14:paraId="1225E68B"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02/01/1992:2011</w:t>
      </w:r>
      <w:r>
        <w:rPr>
          <w:rFonts w:ascii="Arial" w:hAnsi="Arial"/>
        </w:rPr>
        <w:tab/>
        <w:t>Eurocode 2: Calcul des structures en béton - Partie 1-2: Règles générales - Calcul du comportement au feu.</w:t>
      </w:r>
    </w:p>
    <w:p w14:paraId="530A0BA2"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02/01/1993:2016</w:t>
      </w:r>
      <w:r>
        <w:rPr>
          <w:rFonts w:ascii="Arial" w:hAnsi="Arial"/>
        </w:rPr>
        <w:tab/>
        <w:t>Eurocode 3: Calcul des structures en acier - Partie 1-2: Règles générales - Calcul du comportement au feu.</w:t>
      </w:r>
    </w:p>
    <w:p w14:paraId="436D14FA"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02/01/1994:2016</w:t>
      </w:r>
      <w:r>
        <w:rPr>
          <w:rFonts w:ascii="Arial" w:hAnsi="Arial"/>
        </w:rPr>
        <w:tab/>
        <w:t>Eurocode 4: Calcul des structures mixtes acier-béton - Partie 1-2: Règles générales - Calcul du comportement au feu.</w:t>
      </w:r>
    </w:p>
    <w:p w14:paraId="4ACA8D77"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02/01/1995:2016</w:t>
      </w:r>
      <w:r>
        <w:rPr>
          <w:rFonts w:ascii="Arial" w:hAnsi="Arial"/>
        </w:rPr>
        <w:tab/>
        <w:t>Eurocode 5: Conception et calcul des structures en bois - Partie 1-2: Règles générales - Calcul du comportement au feu.</w:t>
      </w:r>
    </w:p>
    <w:p w14:paraId="57A1F57B"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02/01/1996:2011</w:t>
      </w:r>
      <w:r>
        <w:rPr>
          <w:rFonts w:ascii="Arial" w:hAnsi="Arial"/>
        </w:rPr>
        <w:tab/>
        <w:t>Eurocode 6: Calcul des ouvrages en maçonnerie - Partie 1-2: Règles générales - Calcul du comportement au feu.</w:t>
      </w:r>
    </w:p>
    <w:p w14:paraId="7B53550F" w14:textId="77777777" w:rsidR="004836CD" w:rsidRPr="00937C8B" w:rsidRDefault="004836CD" w:rsidP="0058501F">
      <w:pPr>
        <w:spacing w:before="120" w:line="312" w:lineRule="auto"/>
        <w:ind w:left="4111" w:hanging="3544"/>
        <w:jc w:val="both"/>
        <w:rPr>
          <w:rFonts w:ascii="Arial" w:hAnsi="Arial" w:cs="Arial"/>
        </w:rPr>
      </w:pPr>
      <w:r>
        <w:rPr>
          <w:rFonts w:ascii="Arial" w:hAnsi="Arial"/>
        </w:rPr>
        <w:lastRenderedPageBreak/>
        <w:t>UNE-EN 1999-1-2:2007(entérinée)</w:t>
      </w:r>
      <w:r>
        <w:rPr>
          <w:rFonts w:ascii="Arial" w:hAnsi="Arial"/>
        </w:rPr>
        <w:tab/>
        <w:t>Eurocode 9: Calcul des structures en aluminium - Partie 1-2: Calcul du comportement au feu.</w:t>
      </w:r>
    </w:p>
    <w:p w14:paraId="46F3176F" w14:textId="6707A425" w:rsidR="004836CD" w:rsidRPr="00937C8B" w:rsidRDefault="004836CD" w:rsidP="0058501F">
      <w:pPr>
        <w:spacing w:before="120" w:line="312" w:lineRule="auto"/>
        <w:ind w:left="4111" w:hanging="3544"/>
        <w:jc w:val="both"/>
        <w:rPr>
          <w:rFonts w:ascii="Arial" w:hAnsi="Arial" w:cs="Arial"/>
        </w:rPr>
      </w:pPr>
      <w:r>
        <w:rPr>
          <w:rFonts w:ascii="Arial" w:hAnsi="Arial"/>
        </w:rPr>
        <w:t>UNE-EN 13381</w:t>
      </w:r>
      <w:r>
        <w:rPr>
          <w:rFonts w:ascii="Arial" w:hAnsi="Arial"/>
        </w:rPr>
        <w:tab/>
        <w:t>Méthodes d’essai pour déterminer la contribution à la résistance au feu des éléments de construction</w:t>
      </w:r>
      <w:r w:rsidR="00E93486">
        <w:rPr>
          <w:rFonts w:ascii="Arial" w:hAnsi="Arial"/>
        </w:rPr>
        <w:t>.</w:t>
      </w:r>
    </w:p>
    <w:p w14:paraId="76D6E83E"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13381-1:2016</w:t>
      </w:r>
      <w:r>
        <w:rPr>
          <w:rFonts w:ascii="Arial" w:hAnsi="Arial"/>
        </w:rPr>
        <w:tab/>
        <w:t>Partie 1: Membranes de protection horizontales.</w:t>
      </w:r>
    </w:p>
    <w:p w14:paraId="2D989A72"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13381-2:2016</w:t>
      </w:r>
      <w:r>
        <w:rPr>
          <w:rFonts w:ascii="Arial" w:hAnsi="Arial"/>
        </w:rPr>
        <w:tab/>
        <w:t>Partie 2: Membranes de protection verticales.</w:t>
      </w:r>
    </w:p>
    <w:p w14:paraId="5269CE12"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13381-3:2016</w:t>
      </w:r>
      <w:r>
        <w:rPr>
          <w:rFonts w:ascii="Arial" w:hAnsi="Arial"/>
        </w:rPr>
        <w:tab/>
        <w:t>Partie 3: Protection appliquée aux éléments en béton.</w:t>
      </w:r>
    </w:p>
    <w:p w14:paraId="40136D65"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13381-4:2014</w:t>
      </w:r>
      <w:r>
        <w:rPr>
          <w:rFonts w:ascii="Arial" w:hAnsi="Arial"/>
        </w:rPr>
        <w:tab/>
        <w:t>Partie 4: Protection passive appliquée aux éléments en acier.</w:t>
      </w:r>
    </w:p>
    <w:p w14:paraId="445881E6"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13381-5:2016</w:t>
      </w:r>
      <w:r>
        <w:rPr>
          <w:rFonts w:ascii="Arial" w:hAnsi="Arial"/>
        </w:rPr>
        <w:tab/>
        <w:t>Partie 5: Protection appliquée aux dalles mixtes béton/tôle d’acier profilée.</w:t>
      </w:r>
    </w:p>
    <w:p w14:paraId="127C35F7"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13381-6:2014</w:t>
      </w:r>
      <w:r>
        <w:rPr>
          <w:rFonts w:ascii="Arial" w:hAnsi="Arial"/>
        </w:rPr>
        <w:tab/>
        <w:t>Partie 6: Protection appliquée aux poteaux métalliques creux remplis de béton.</w:t>
      </w:r>
    </w:p>
    <w:p w14:paraId="422EFD4D"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UNE-ENV 13381-7:2006 EX</w:t>
      </w:r>
      <w:r>
        <w:rPr>
          <w:rFonts w:ascii="Arial" w:hAnsi="Arial"/>
        </w:rPr>
        <w:tab/>
        <w:t>Partie 7: Protection appliquée aux éléments en bois.</w:t>
      </w:r>
    </w:p>
    <w:p w14:paraId="1FB85222"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13381-8:2015</w:t>
      </w:r>
      <w:r>
        <w:rPr>
          <w:rFonts w:ascii="Arial" w:hAnsi="Arial"/>
        </w:rPr>
        <w:tab/>
        <w:t>Partie 8: Protection réactive appliquée aux éléments en acier.</w:t>
      </w:r>
    </w:p>
    <w:p w14:paraId="7D33B00C"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13381-9:2016</w:t>
      </w:r>
      <w:r>
        <w:rPr>
          <w:rFonts w:ascii="Arial" w:hAnsi="Arial"/>
        </w:rPr>
        <w:tab/>
        <w:t>Partie 9: Systèmes de protection au feu appliqués aux poutres alvéolaires en acier.</w:t>
      </w:r>
    </w:p>
    <w:p w14:paraId="42F5CA6C" w14:textId="2B31008D" w:rsidR="004836CD" w:rsidRPr="00937C8B" w:rsidRDefault="004836CD" w:rsidP="0058501F">
      <w:pPr>
        <w:spacing w:before="120" w:line="312" w:lineRule="auto"/>
        <w:ind w:left="4111" w:hanging="3544"/>
        <w:jc w:val="both"/>
        <w:rPr>
          <w:rFonts w:ascii="Arial" w:hAnsi="Arial" w:cs="Arial"/>
        </w:rPr>
      </w:pPr>
      <w:r>
        <w:rPr>
          <w:rFonts w:ascii="Arial" w:hAnsi="Arial"/>
        </w:rPr>
        <w:t>UNE-EN 13501</w:t>
      </w:r>
      <w:r>
        <w:rPr>
          <w:rFonts w:ascii="Arial" w:hAnsi="Arial"/>
        </w:rPr>
        <w:tab/>
        <w:t>Classement au feu des produits et éléments de construction</w:t>
      </w:r>
      <w:r w:rsidR="00E93486">
        <w:rPr>
          <w:rFonts w:ascii="Arial" w:hAnsi="Arial"/>
        </w:rPr>
        <w:t>.</w:t>
      </w:r>
    </w:p>
    <w:p w14:paraId="6A637A0F"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13501-2:2019</w:t>
      </w:r>
      <w:r>
        <w:rPr>
          <w:rFonts w:ascii="Arial" w:hAnsi="Arial"/>
        </w:rPr>
        <w:tab/>
        <w:t>Partie 2: Classement à partir des données d’essais de résistance au feu à l’exclusion des produits utilisés dans les systèmes de ventilation.</w:t>
      </w:r>
    </w:p>
    <w:p w14:paraId="054E6FB7"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13501-3:2007+A1:2010</w:t>
      </w:r>
      <w:r>
        <w:rPr>
          <w:rFonts w:ascii="Arial" w:hAnsi="Arial"/>
        </w:rPr>
        <w:tab/>
        <w:t>Partie 3: Classement utilisant des données d’essais de résistance au feu de produits et éléments utilisés dans des installations d’entretien: Conduits et clapets résistants au feu.</w:t>
      </w:r>
    </w:p>
    <w:p w14:paraId="2D205FED"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13501-4:2007+A1:2010</w:t>
      </w:r>
      <w:r>
        <w:rPr>
          <w:rFonts w:ascii="Arial" w:hAnsi="Arial"/>
        </w:rPr>
        <w:tab/>
        <w:t>Partie 4: Classement à partir des données d’essais de résistance au feu des composants de dispositifs de contrôle de fumée.</w:t>
      </w:r>
    </w:p>
    <w:p w14:paraId="4E0CD386"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14135:2005</w:t>
      </w:r>
      <w:r>
        <w:rPr>
          <w:rFonts w:ascii="Arial" w:hAnsi="Arial"/>
        </w:rPr>
        <w:tab/>
        <w:t>Revêtements - Détermination de la capacité de protection contre l’incendie.</w:t>
      </w:r>
    </w:p>
    <w:p w14:paraId="5D1BA002" w14:textId="11EEE449" w:rsidR="004836CD" w:rsidRPr="00937C8B" w:rsidRDefault="004836CD" w:rsidP="0058501F">
      <w:pPr>
        <w:spacing w:before="120" w:line="312" w:lineRule="auto"/>
        <w:ind w:left="4111" w:hanging="3544"/>
        <w:jc w:val="both"/>
        <w:rPr>
          <w:rFonts w:ascii="Arial" w:hAnsi="Arial" w:cs="Arial"/>
        </w:rPr>
      </w:pPr>
      <w:r>
        <w:rPr>
          <w:rFonts w:ascii="Arial" w:hAnsi="Arial"/>
        </w:rPr>
        <w:lastRenderedPageBreak/>
        <w:t>UNE-EN 15080</w:t>
      </w:r>
      <w:r>
        <w:rPr>
          <w:rFonts w:ascii="Arial" w:hAnsi="Arial"/>
        </w:rPr>
        <w:tab/>
        <w:t>Application étendue des résultats des essais de résistance au feu</w:t>
      </w:r>
      <w:r w:rsidR="00E93486">
        <w:rPr>
          <w:rFonts w:ascii="Arial" w:hAnsi="Arial"/>
        </w:rPr>
        <w:t>.</w:t>
      </w:r>
    </w:p>
    <w:p w14:paraId="07D64EE3"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15080-8:2011</w:t>
      </w:r>
      <w:r>
        <w:rPr>
          <w:rFonts w:ascii="Arial" w:hAnsi="Arial"/>
        </w:rPr>
        <w:tab/>
        <w:t>Partie 8: Poutres.</w:t>
      </w:r>
    </w:p>
    <w:p w14:paraId="439D0BFE"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15080-12:2011</w:t>
      </w:r>
      <w:r>
        <w:rPr>
          <w:rFonts w:ascii="Arial" w:hAnsi="Arial"/>
        </w:rPr>
        <w:tab/>
        <w:t>Partie 12: Murs porteurs en maçonnerie.</w:t>
      </w:r>
      <w:r>
        <w:rPr>
          <w:rFonts w:ascii="Arial" w:hAnsi="Arial"/>
        </w:rPr>
        <w:tab/>
      </w:r>
    </w:p>
    <w:p w14:paraId="7AE1EB95" w14:textId="14B88DCD" w:rsidR="004836CD" w:rsidRPr="00937C8B" w:rsidRDefault="004836CD" w:rsidP="0058501F">
      <w:pPr>
        <w:spacing w:before="120" w:line="312" w:lineRule="auto"/>
        <w:ind w:left="4111" w:hanging="3544"/>
        <w:jc w:val="both"/>
        <w:rPr>
          <w:rFonts w:ascii="Arial" w:hAnsi="Arial" w:cs="Arial"/>
        </w:rPr>
      </w:pPr>
      <w:r>
        <w:rPr>
          <w:rFonts w:ascii="Arial" w:hAnsi="Arial"/>
        </w:rPr>
        <w:t>UNE-EN 15254</w:t>
      </w:r>
      <w:r>
        <w:rPr>
          <w:rFonts w:ascii="Arial" w:hAnsi="Arial"/>
        </w:rPr>
        <w:tab/>
        <w:t>Application étendue des résultats des essais de résistance au feu. Murs non-porteurs</w:t>
      </w:r>
      <w:r w:rsidR="00E93486">
        <w:rPr>
          <w:rFonts w:ascii="Arial" w:hAnsi="Arial"/>
        </w:rPr>
        <w:t>.</w:t>
      </w:r>
    </w:p>
    <w:p w14:paraId="4817AAF0"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15254-2:2010</w:t>
      </w:r>
      <w:r>
        <w:rPr>
          <w:rFonts w:ascii="Arial" w:hAnsi="Arial"/>
        </w:rPr>
        <w:tab/>
        <w:t>Partie 2: Maçonnerie et carreaux de plâtre.</w:t>
      </w:r>
    </w:p>
    <w:p w14:paraId="4F05A41C"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15254-4:2019</w:t>
      </w:r>
      <w:r>
        <w:rPr>
          <w:rFonts w:ascii="Arial" w:hAnsi="Arial"/>
        </w:rPr>
        <w:tab/>
        <w:t>Partie 4: Constructions vitrées.</w:t>
      </w:r>
    </w:p>
    <w:p w14:paraId="2675A7BB"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15254-5:2010</w:t>
      </w:r>
      <w:r>
        <w:rPr>
          <w:rFonts w:ascii="Arial" w:hAnsi="Arial"/>
        </w:rPr>
        <w:tab/>
        <w:t>Partie 5: Panneaux sandwiches métalliques pour la construction.</w:t>
      </w:r>
    </w:p>
    <w:p w14:paraId="0AB07772"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15254-6:2015</w:t>
      </w:r>
      <w:r>
        <w:rPr>
          <w:rFonts w:ascii="Arial" w:hAnsi="Arial"/>
        </w:rPr>
        <w:tab/>
        <w:t>Partie 6: Murs rideaux.</w:t>
      </w:r>
    </w:p>
    <w:p w14:paraId="2EE300F8"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15254-7:2013</w:t>
      </w:r>
      <w:r>
        <w:rPr>
          <w:rFonts w:ascii="Arial" w:hAnsi="Arial"/>
        </w:rPr>
        <w:tab/>
        <w:t>Partie 7: Panneaux sandwiches métalliques pour la construction.</w:t>
      </w:r>
    </w:p>
    <w:p w14:paraId="55A8F88B" w14:textId="0724BDAE" w:rsidR="004836CD" w:rsidRPr="00937C8B" w:rsidRDefault="004836CD" w:rsidP="0058501F">
      <w:pPr>
        <w:spacing w:before="120" w:line="312" w:lineRule="auto"/>
        <w:ind w:left="4111" w:hanging="3544"/>
        <w:jc w:val="both"/>
        <w:rPr>
          <w:rFonts w:ascii="Arial" w:hAnsi="Arial" w:cs="Arial"/>
        </w:rPr>
      </w:pPr>
      <w:r>
        <w:rPr>
          <w:rFonts w:ascii="Arial" w:hAnsi="Arial"/>
        </w:rPr>
        <w:t>UNE-EN 15269</w:t>
      </w:r>
      <w:r>
        <w:rPr>
          <w:rFonts w:ascii="Arial" w:hAnsi="Arial"/>
        </w:rPr>
        <w:tab/>
        <w:t>Application étendue des résultats d’essais en matière de résistance au feu et/ou d’étanchéité à la fumée des blocs-portes, blocs-fermetures et ouvrants de fenêtres, y compris leurs éléments de quincaillerie intégrés</w:t>
      </w:r>
      <w:r w:rsidR="00E93486">
        <w:rPr>
          <w:rFonts w:ascii="Arial" w:hAnsi="Arial"/>
        </w:rPr>
        <w:t>.</w:t>
      </w:r>
    </w:p>
    <w:p w14:paraId="4E53CD27" w14:textId="278D6546" w:rsidR="004836CD" w:rsidRPr="00937C8B" w:rsidRDefault="004836CD" w:rsidP="0058501F">
      <w:pPr>
        <w:spacing w:before="120" w:line="312" w:lineRule="auto"/>
        <w:ind w:left="4111" w:hanging="3544"/>
        <w:jc w:val="both"/>
        <w:rPr>
          <w:rFonts w:ascii="Arial" w:hAnsi="Arial" w:cs="Arial"/>
        </w:rPr>
      </w:pPr>
      <w:r>
        <w:rPr>
          <w:rFonts w:ascii="Arial" w:hAnsi="Arial"/>
        </w:rPr>
        <w:t>UNE-EN 15269-1:2011</w:t>
      </w:r>
      <w:r>
        <w:rPr>
          <w:rFonts w:ascii="Arial" w:hAnsi="Arial"/>
        </w:rPr>
        <w:tab/>
        <w:t>Partie 1: Exigences générales</w:t>
      </w:r>
      <w:r w:rsidR="00E93486">
        <w:rPr>
          <w:rFonts w:ascii="Arial" w:hAnsi="Arial"/>
        </w:rPr>
        <w:t>.</w:t>
      </w:r>
    </w:p>
    <w:p w14:paraId="7FF23724"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15269-2:2016</w:t>
      </w:r>
      <w:r>
        <w:rPr>
          <w:rFonts w:ascii="Arial" w:hAnsi="Arial"/>
        </w:rPr>
        <w:tab/>
        <w:t>Partie 2: Résistance au feu des blocs-portes battants et pivotants en acier.</w:t>
      </w:r>
    </w:p>
    <w:p w14:paraId="0A3A6874"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15269-3:2016</w:t>
      </w:r>
      <w:r>
        <w:rPr>
          <w:rFonts w:ascii="Arial" w:hAnsi="Arial"/>
        </w:rPr>
        <w:tab/>
        <w:t>Partie 3: Résistance au feu des blocs-portes battants et pivotants en bois et des fenêtres à ossature bois.</w:t>
      </w:r>
    </w:p>
    <w:p w14:paraId="7DC5CDBA"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15269-5:2016+A1:2017</w:t>
      </w:r>
      <w:r>
        <w:rPr>
          <w:rFonts w:ascii="Arial" w:hAnsi="Arial"/>
        </w:rPr>
        <w:tab/>
        <w:t>Partie 5: Résistance au feu des blocs-portes vitrés battants et pivotants, à ossature métallique, et des fenêtres vitrées à ossature métallique.</w:t>
      </w:r>
    </w:p>
    <w:p w14:paraId="2872637D"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15269-7:2011</w:t>
      </w:r>
      <w:r>
        <w:rPr>
          <w:rFonts w:ascii="Arial" w:hAnsi="Arial"/>
        </w:rPr>
        <w:tab/>
        <w:t>Partie 7: Résistance au feu des blocs-portes coulissants en acier.</w:t>
      </w:r>
    </w:p>
    <w:p w14:paraId="475F8342"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 15269-10:2015</w:t>
      </w:r>
      <w:r>
        <w:rPr>
          <w:rFonts w:ascii="Arial" w:hAnsi="Arial"/>
        </w:rPr>
        <w:tab/>
        <w:t>Partie 10: Résistance au feu des rideaux à enroulement en acier.</w:t>
      </w:r>
    </w:p>
    <w:p w14:paraId="363B5471" w14:textId="77777777" w:rsidR="004836CD" w:rsidRPr="00937C8B" w:rsidRDefault="004836CD" w:rsidP="0058501F">
      <w:pPr>
        <w:spacing w:before="120" w:line="312" w:lineRule="auto"/>
        <w:ind w:left="4111" w:hanging="3544"/>
        <w:jc w:val="both"/>
        <w:rPr>
          <w:rFonts w:ascii="Arial" w:hAnsi="Arial" w:cs="Arial"/>
        </w:rPr>
      </w:pPr>
      <w:r>
        <w:rPr>
          <w:rFonts w:ascii="Arial" w:hAnsi="Arial"/>
        </w:rPr>
        <w:t>UNE-EN15269-11:2018+AC:2019</w:t>
      </w:r>
      <w:r>
        <w:rPr>
          <w:rFonts w:ascii="Arial" w:hAnsi="Arial"/>
        </w:rPr>
        <w:tab/>
        <w:t>Partie 11: Résistance au feu des rideaux en toile manœuvrables.</w:t>
      </w:r>
    </w:p>
    <w:p w14:paraId="1D23483F" w14:textId="77777777" w:rsidR="004836CD" w:rsidRPr="00937C8B" w:rsidRDefault="004836CD" w:rsidP="0058501F">
      <w:pPr>
        <w:spacing w:before="120" w:line="312" w:lineRule="auto"/>
        <w:ind w:left="4111" w:hanging="3544"/>
        <w:jc w:val="both"/>
        <w:rPr>
          <w:rFonts w:ascii="Arial" w:hAnsi="Arial" w:cs="Arial"/>
        </w:rPr>
      </w:pPr>
      <w:r>
        <w:rPr>
          <w:rFonts w:ascii="Arial" w:hAnsi="Arial"/>
        </w:rPr>
        <w:lastRenderedPageBreak/>
        <w:t>UNE-EN 15269-20:2010</w:t>
      </w:r>
      <w:r>
        <w:rPr>
          <w:rFonts w:ascii="Arial" w:hAnsi="Arial"/>
        </w:rPr>
        <w:tab/>
        <w:t>Partie 20: Étanchéité à la fumée des blocs-portes battants et pivotants en acier, en bois et vitrés à ossature métallique.</w:t>
      </w:r>
    </w:p>
    <w:p w14:paraId="6D976084" w14:textId="77777777" w:rsidR="004836CD" w:rsidRPr="00937C8B" w:rsidRDefault="004836CD" w:rsidP="00D27646">
      <w:pPr>
        <w:keepNext/>
        <w:spacing w:before="120" w:line="312" w:lineRule="auto"/>
        <w:ind w:left="851" w:hanging="284"/>
        <w:rPr>
          <w:rFonts w:ascii="Arial" w:hAnsi="Arial" w:cs="Arial"/>
        </w:rPr>
      </w:pPr>
      <w:r>
        <w:rPr>
          <w:rFonts w:ascii="Arial" w:hAnsi="Arial"/>
        </w:rPr>
        <w:t>3</w:t>
      </w:r>
      <w:r>
        <w:rPr>
          <w:rFonts w:ascii="Arial" w:hAnsi="Arial"/>
        </w:rPr>
        <w:tab/>
        <w:t>Installations de contrôle de la fumée et de la chaleur</w:t>
      </w:r>
    </w:p>
    <w:p w14:paraId="635E9AAB"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 23584:2008</w:t>
      </w:r>
      <w:r>
        <w:rPr>
          <w:rFonts w:ascii="Arial" w:hAnsi="Arial"/>
        </w:rPr>
        <w:tab/>
        <w:t>Équipement de protection contre l’incendie. Systèmes de contrôle de température et d’évacuation des fumées (SCTEF). Spécifications pour l’installation, la mise en marche et la maintenance périodique du SEFVC.</w:t>
      </w:r>
    </w:p>
    <w:p w14:paraId="3F606F8F"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 23585:2017</w:t>
      </w:r>
      <w:r>
        <w:rPr>
          <w:rFonts w:ascii="Arial" w:hAnsi="Arial"/>
        </w:rPr>
        <w:tab/>
        <w:t>Équipement de protection contre l’incendie. Systèmes pour le contrôle des fumées et de la chaleur (SCTEH) - Spécifications et méthodes de calcul et design pour élaborer un système pour le contrôle de la température et pour l’évacuation de fumées en cas d’incendie stationnaire.</w:t>
      </w:r>
    </w:p>
    <w:p w14:paraId="71A487D4" w14:textId="7672F695" w:rsidR="004836CD" w:rsidRPr="00937C8B" w:rsidRDefault="004836CD" w:rsidP="0058501F">
      <w:pPr>
        <w:spacing w:before="120" w:line="312" w:lineRule="auto"/>
        <w:ind w:left="3969" w:hanging="3402"/>
        <w:jc w:val="both"/>
        <w:rPr>
          <w:rFonts w:ascii="Arial" w:hAnsi="Arial" w:cs="Arial"/>
        </w:rPr>
      </w:pPr>
      <w:r>
        <w:rPr>
          <w:rFonts w:ascii="Arial" w:hAnsi="Arial"/>
        </w:rPr>
        <w:t>UNE-EN 12101</w:t>
      </w:r>
      <w:r>
        <w:rPr>
          <w:rFonts w:ascii="Arial" w:hAnsi="Arial"/>
        </w:rPr>
        <w:tab/>
        <w:t>Systèmes pour le contrôle des fumées et de la chaleur</w:t>
      </w:r>
      <w:r w:rsidR="00E93486">
        <w:rPr>
          <w:rFonts w:ascii="Arial" w:hAnsi="Arial"/>
        </w:rPr>
        <w:t>.</w:t>
      </w:r>
    </w:p>
    <w:p w14:paraId="4FFBC9C6"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12101-1:2007</w:t>
      </w:r>
      <w:r>
        <w:rPr>
          <w:rFonts w:ascii="Arial" w:hAnsi="Arial"/>
        </w:rPr>
        <w:tab/>
        <w:t>Partie 1: Spécifications relatives aux écrans de cantonnement de fumée (+UNE-EN 12101-1:2007/A1:2007)</w:t>
      </w:r>
    </w:p>
    <w:p w14:paraId="09789137"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12101-2:2004</w:t>
      </w:r>
      <w:r>
        <w:rPr>
          <w:rFonts w:ascii="Arial" w:hAnsi="Arial"/>
        </w:rPr>
        <w:tab/>
        <w:t>Partie 2: Spécifications pour les dispositifs d’évacuation de fumées et de chaleur.</w:t>
      </w:r>
    </w:p>
    <w:p w14:paraId="7167AE1D"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12101-3:2016</w:t>
      </w:r>
      <w:r>
        <w:rPr>
          <w:rFonts w:ascii="Arial" w:hAnsi="Arial"/>
        </w:rPr>
        <w:tab/>
        <w:t>Partie 3: Spécifications relatives aux ventilateurs pour le contrôle de fumées et de chaleur.</w:t>
      </w:r>
    </w:p>
    <w:p w14:paraId="318F8526"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 xml:space="preserve">*UNE-EN 12101-6:2006 </w:t>
      </w:r>
      <w:r>
        <w:rPr>
          <w:rFonts w:ascii="Arial" w:hAnsi="Arial"/>
        </w:rPr>
        <w:tab/>
        <w:t>Partie 6: Spécifications pour les systèmes à différentiel de pression - Kits.</w:t>
      </w:r>
    </w:p>
    <w:p w14:paraId="69F3CAF5"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12101-7:2013</w:t>
      </w:r>
      <w:r>
        <w:rPr>
          <w:rFonts w:ascii="Arial" w:hAnsi="Arial"/>
        </w:rPr>
        <w:tab/>
        <w:t>Partie 7: Tronçons de conduit de désenfumage.</w:t>
      </w:r>
    </w:p>
    <w:p w14:paraId="48BE1622"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12101-8:2015</w:t>
      </w:r>
      <w:r>
        <w:rPr>
          <w:rFonts w:ascii="Arial" w:hAnsi="Arial"/>
        </w:rPr>
        <w:tab/>
        <w:t>Partie 8: Volets de désenfumage.</w:t>
      </w:r>
    </w:p>
    <w:p w14:paraId="3F63FD3A"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 xml:space="preserve">UNE-EN 12101-10:2007 </w:t>
      </w:r>
      <w:r>
        <w:rPr>
          <w:rFonts w:ascii="Arial" w:hAnsi="Arial"/>
        </w:rPr>
        <w:tab/>
        <w:t>Partie 10: Équipement d’alimentation en énergie.</w:t>
      </w:r>
    </w:p>
    <w:p w14:paraId="79F682F7"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15650:2010</w:t>
      </w:r>
      <w:r>
        <w:rPr>
          <w:rFonts w:ascii="Arial" w:hAnsi="Arial"/>
        </w:rPr>
        <w:tab/>
        <w:t>Ventilation dans les bâtiments - Clapets coupe-feu.</w:t>
      </w:r>
    </w:p>
    <w:p w14:paraId="010B4953" w14:textId="77777777" w:rsidR="004836CD" w:rsidRPr="00937C8B" w:rsidRDefault="004836CD" w:rsidP="00D27646">
      <w:pPr>
        <w:keepNext/>
        <w:spacing w:before="120" w:line="312" w:lineRule="auto"/>
        <w:ind w:left="851" w:hanging="284"/>
        <w:rPr>
          <w:rFonts w:ascii="Arial" w:hAnsi="Arial" w:cs="Arial"/>
        </w:rPr>
      </w:pPr>
      <w:r>
        <w:rPr>
          <w:rFonts w:ascii="Arial" w:hAnsi="Arial"/>
        </w:rPr>
        <w:t>4</w:t>
      </w:r>
      <w:r>
        <w:rPr>
          <w:rFonts w:ascii="Arial" w:hAnsi="Arial"/>
        </w:rPr>
        <w:tab/>
        <w:t>Portes, quincaillerie et dispositifs d’ouverture</w:t>
      </w:r>
    </w:p>
    <w:p w14:paraId="2908B7EA" w14:textId="77777777"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 85121:2018 EX</w:t>
      </w:r>
      <w:r>
        <w:rPr>
          <w:rFonts w:ascii="Arial" w:hAnsi="Arial"/>
        </w:rPr>
        <w:tab/>
        <w:t>Portes motorisées pour piétons. Installation, utilisation et maintenance.</w:t>
      </w:r>
    </w:p>
    <w:p w14:paraId="4E845FC7" w14:textId="77777777"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*UNE-EN 179:2009</w:t>
      </w:r>
      <w:r>
        <w:rPr>
          <w:rFonts w:ascii="Arial" w:hAnsi="Arial"/>
        </w:rPr>
        <w:tab/>
        <w:t>Quincaillerie pour le bâtiment - Fermetures d’urgence pour issues de secours manœuvrées par une béquille ou une plaque de poussée, destinées à être utilisées sur des voies d’évacuation. Exigences et méthodes d’essai.</w:t>
      </w:r>
    </w:p>
    <w:p w14:paraId="475B3D7B" w14:textId="77777777"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lastRenderedPageBreak/>
        <w:t>*UNE-EN 1125:2009</w:t>
      </w:r>
      <w:r>
        <w:rPr>
          <w:rFonts w:ascii="Arial" w:hAnsi="Arial"/>
        </w:rPr>
        <w:tab/>
        <w:t>Quincaillerie pour le bâtiment - Fermetures anti-panique manœuvrées par une barre horizontale, destinées à être utilisées sur des voies d’évacuation - Exigences et méthodes d’essai.</w:t>
      </w:r>
    </w:p>
    <w:p w14:paraId="1252744C" w14:textId="77777777"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*UNE-EN 1154:2003</w:t>
      </w:r>
      <w:r>
        <w:rPr>
          <w:rFonts w:ascii="Arial" w:hAnsi="Arial"/>
        </w:rPr>
        <w:tab/>
        <w:t>Quincaillerie pour le bâtiment - Dispositifs de fermeture de porte avec amortissement - Exigences et méthodes d’essai.</w:t>
      </w:r>
    </w:p>
    <w:p w14:paraId="00444E92" w14:textId="77777777"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*UNE-EN 1155:2003</w:t>
      </w:r>
      <w:r>
        <w:rPr>
          <w:rFonts w:ascii="Arial" w:hAnsi="Arial"/>
        </w:rPr>
        <w:tab/>
        <w:t>Quincaillerie pour le bâtiment - Dispositifs de retenue électromagnétique pour portes battantes. Exigences et méthodes d’essai.</w:t>
      </w:r>
    </w:p>
    <w:p w14:paraId="5786EB0A" w14:textId="77777777"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*UNE-EN 1158:2003</w:t>
      </w:r>
      <w:r>
        <w:rPr>
          <w:rFonts w:ascii="Arial" w:hAnsi="Arial"/>
        </w:rPr>
        <w:tab/>
        <w:t>Quincaillerie pour le bâtiment - Dispositifs de sélection de vantaux - Exigences et méthodes d’essai.</w:t>
      </w:r>
    </w:p>
    <w:p w14:paraId="6DF3BAB8" w14:textId="77777777"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UNE-EN 1191:2013</w:t>
      </w:r>
      <w:r>
        <w:rPr>
          <w:rFonts w:ascii="Arial" w:hAnsi="Arial"/>
        </w:rPr>
        <w:tab/>
        <w:t>Fenêtres et portes - Résistance à l’ouverture et fermeture répétée - Méthode d’essai.</w:t>
      </w:r>
    </w:p>
    <w:p w14:paraId="3A4F1623" w14:textId="77777777"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UNE-EN 13637:2016</w:t>
      </w:r>
      <w:r>
        <w:rPr>
          <w:rFonts w:ascii="Arial" w:hAnsi="Arial"/>
        </w:rPr>
        <w:tab/>
        <w:t>Quincaillerie pour le bâtiment - Systèmes de fermeture contrôlés électriquement destinés à être utilisés sur des voies d’évacuation - Exigences et méthodes d’essai.</w:t>
      </w:r>
    </w:p>
    <w:p w14:paraId="071108C5" w14:textId="77777777"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UNE-EN 16034:2015</w:t>
      </w:r>
      <w:r>
        <w:rPr>
          <w:rFonts w:ascii="Arial" w:hAnsi="Arial"/>
        </w:rPr>
        <w:tab/>
        <w:t>Blocs-portes pour piétons, portes et fenêtres industrielles, commerciales et de garage - Norme de produit, caractéristiques de performance - Caractéristiques de résistance au feu et/ou d’étanchéité aux fumées.</w:t>
      </w:r>
    </w:p>
    <w:p w14:paraId="338A2F0E" w14:textId="77777777"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UNE-EN 23740-1:2016</w:t>
      </w:r>
      <w:r>
        <w:rPr>
          <w:rFonts w:ascii="Arial" w:hAnsi="Arial"/>
        </w:rPr>
        <w:tab/>
        <w:t>Sécurité incendie. Éléments de fermeture. Exigences spécifiques pour l’installation, l’utilisation et la maintenance. Partie 1: Portes coupe-feu.</w:t>
      </w:r>
    </w:p>
    <w:p w14:paraId="573BFC7C" w14:textId="77777777" w:rsidR="004836CD" w:rsidRPr="00937C8B" w:rsidRDefault="004836CD" w:rsidP="00D27646">
      <w:pPr>
        <w:keepNext/>
        <w:spacing w:before="120" w:line="312" w:lineRule="auto"/>
        <w:ind w:left="851" w:hanging="284"/>
        <w:rPr>
          <w:rFonts w:ascii="Arial" w:hAnsi="Arial" w:cs="Arial"/>
        </w:rPr>
      </w:pPr>
      <w:r>
        <w:rPr>
          <w:rFonts w:ascii="Arial" w:hAnsi="Arial"/>
        </w:rPr>
        <w:t>5</w:t>
      </w:r>
      <w:r>
        <w:rPr>
          <w:rFonts w:ascii="Arial" w:hAnsi="Arial"/>
        </w:rPr>
        <w:tab/>
        <w:t>Signalisation</w:t>
      </w:r>
    </w:p>
    <w:p w14:paraId="3351F711"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 23034:1988</w:t>
      </w:r>
      <w:r>
        <w:rPr>
          <w:rFonts w:ascii="Arial" w:hAnsi="Arial"/>
        </w:rPr>
        <w:tab/>
        <w:t>Équipement de protection contre l’incendie. Signaux de sécurité. Voies d’évacuation.</w:t>
      </w:r>
    </w:p>
    <w:p w14:paraId="6A800EBB"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 23035</w:t>
      </w:r>
      <w:r>
        <w:rPr>
          <w:rFonts w:ascii="Arial" w:hAnsi="Arial"/>
        </w:rPr>
        <w:tab/>
        <w:t>Équipement de protection contre l’incendie. Signaux luminescents.</w:t>
      </w:r>
    </w:p>
    <w:p w14:paraId="4DC207AE"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 23035-1:2003</w:t>
      </w:r>
      <w:r>
        <w:rPr>
          <w:rFonts w:ascii="Arial" w:hAnsi="Arial"/>
        </w:rPr>
        <w:tab/>
        <w:t>Partie 1: Mesures et qualification.</w:t>
      </w:r>
    </w:p>
    <w:p w14:paraId="27AD7FB2"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 23035-2:2003</w:t>
      </w:r>
      <w:r>
        <w:rPr>
          <w:rFonts w:ascii="Arial" w:hAnsi="Arial"/>
        </w:rPr>
        <w:tab/>
        <w:t>Partie 2: Mesure des produits sur le lieu d’utilisation.</w:t>
      </w:r>
    </w:p>
    <w:p w14:paraId="46088F34"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 23035-3:2003</w:t>
      </w:r>
      <w:r>
        <w:rPr>
          <w:rFonts w:ascii="Arial" w:hAnsi="Arial"/>
        </w:rPr>
        <w:tab/>
        <w:t>Partie 3: Marquage luminiscent.</w:t>
      </w:r>
    </w:p>
    <w:p w14:paraId="516A98EE"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 23035-4:2003</w:t>
      </w:r>
      <w:r>
        <w:rPr>
          <w:rFonts w:ascii="Arial" w:hAnsi="Arial"/>
        </w:rPr>
        <w:tab/>
        <w:t>Partie 4: Conditions générales. Mesures et classification</w:t>
      </w:r>
    </w:p>
    <w:p w14:paraId="0179B08A" w14:textId="77777777" w:rsidR="004836CD" w:rsidRPr="00937C8B" w:rsidRDefault="004836CD" w:rsidP="00D27646">
      <w:pPr>
        <w:keepNext/>
        <w:spacing w:before="120" w:line="312" w:lineRule="auto"/>
        <w:ind w:left="851" w:hanging="284"/>
        <w:rPr>
          <w:rFonts w:ascii="Arial" w:hAnsi="Arial" w:cs="Arial"/>
        </w:rPr>
      </w:pPr>
      <w:r>
        <w:rPr>
          <w:rFonts w:ascii="Arial" w:hAnsi="Arial"/>
        </w:rPr>
        <w:lastRenderedPageBreak/>
        <w:t>6</w:t>
      </w:r>
      <w:r>
        <w:rPr>
          <w:rFonts w:ascii="Arial" w:hAnsi="Arial"/>
        </w:rPr>
        <w:tab/>
        <w:t>Autres</w:t>
      </w:r>
    </w:p>
    <w:p w14:paraId="34765BF3"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ISO 13943:2018</w:t>
      </w:r>
      <w:r>
        <w:rPr>
          <w:rFonts w:ascii="Arial" w:hAnsi="Arial"/>
        </w:rPr>
        <w:tab/>
        <w:t>Sécurité au feu. Vocabulaire.</w:t>
      </w:r>
    </w:p>
    <w:p w14:paraId="3BB24D80" w14:textId="77777777" w:rsidR="007A61FF" w:rsidRPr="00937C8B" w:rsidRDefault="004836CD" w:rsidP="00952002">
      <w:pPr>
        <w:spacing w:before="120" w:line="312" w:lineRule="auto"/>
        <w:ind w:left="3969" w:hanging="3402"/>
        <w:jc w:val="both"/>
        <w:rPr>
          <w:rFonts w:ascii="Arial" w:hAnsi="Arial" w:cs="Arial"/>
        </w:rPr>
      </w:pPr>
      <w:r>
        <w:rPr>
          <w:rFonts w:ascii="Arial" w:hAnsi="Arial"/>
        </w:rPr>
        <w:t>UNE-EN ISO 16730-1:2017</w:t>
      </w:r>
      <w:r>
        <w:rPr>
          <w:rFonts w:ascii="Arial" w:hAnsi="Arial"/>
        </w:rPr>
        <w:tab/>
        <w:t>Ingénierie de la sécurité incendie - Procédures et exigences pour la vérification et la validation des méthodes de calcul. Partie 1: Généralités.</w:t>
      </w:r>
    </w:p>
    <w:p w14:paraId="4253ECC5"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ISO 16733-1:2017</w:t>
      </w:r>
      <w:r>
        <w:rPr>
          <w:rFonts w:ascii="Arial" w:hAnsi="Arial"/>
        </w:rPr>
        <w:tab/>
        <w:t>Ingénierie de la sécurité incendie - Sélection de scénarios d’incendie et de feux de dimensionnement. Partie 1: Sélection de scénarios d’incendie de dimensionnement.</w:t>
      </w:r>
    </w:p>
    <w:p w14:paraId="28AF2BD1" w14:textId="77777777" w:rsidR="004836CD" w:rsidRPr="00937C8B" w:rsidRDefault="004836CD" w:rsidP="0058501F">
      <w:pPr>
        <w:spacing w:before="120" w:line="312" w:lineRule="auto"/>
        <w:ind w:left="3969" w:hanging="3402"/>
        <w:jc w:val="both"/>
        <w:rPr>
          <w:rFonts w:ascii="Arial" w:hAnsi="Arial" w:cs="Arial"/>
        </w:rPr>
      </w:pPr>
      <w:r>
        <w:rPr>
          <w:rFonts w:ascii="Arial" w:hAnsi="Arial"/>
        </w:rPr>
        <w:t>UNE-EN ISO 23932:2017</w:t>
      </w:r>
      <w:r>
        <w:rPr>
          <w:rFonts w:ascii="Arial" w:hAnsi="Arial"/>
        </w:rPr>
        <w:tab/>
        <w:t>Ingénierie de la sécurité incendie Principes généraux.</w:t>
      </w:r>
    </w:p>
    <w:p w14:paraId="6330BA21" w14:textId="77777777" w:rsidR="004836CD" w:rsidRPr="00937C8B" w:rsidRDefault="004836CD" w:rsidP="00D27646">
      <w:pPr>
        <w:keepNext/>
        <w:spacing w:before="120" w:line="312" w:lineRule="auto"/>
        <w:jc w:val="both"/>
        <w:rPr>
          <w:rFonts w:ascii="Arial" w:hAnsi="Arial" w:cs="Arial"/>
        </w:rPr>
      </w:pPr>
      <w:r>
        <w:rPr>
          <w:rFonts w:ascii="Arial" w:hAnsi="Arial"/>
        </w:rPr>
        <w:t>Dix.</w:t>
      </w:r>
      <w:r>
        <w:rPr>
          <w:rFonts w:ascii="Arial" w:hAnsi="Arial"/>
        </w:rPr>
        <w:tab/>
        <w:t>Dans le document de base DB-SUA «Sécurité d’utilisation et d’accessibilité», les références réglementaires indiquées sont mises à jour dans les termes suivants:</w:t>
      </w:r>
    </w:p>
    <w:p w14:paraId="5F616F95" w14:textId="77777777"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 xml:space="preserve">- Dans l’introduction, article III Critères généraux d’application, le paragraphe: «Lorsqu’une disposition réglementaire est citée dans ce DB, il est entendu qu’il s’agit de la version en vigueur au moment d’application de celui-ci. Lorsqu’une norme UNE, UNE-EN ou UNE-EN ISO est citée, il est entendu qu’il s’agit de la version indiquée, même s’il existe une version ultérieure, sauf s’il s’agit de normes UNE correspondant aux normes EN ou EN ISO dont la référence a été publiée au Journal officiel de l’Union européenne dans le cadre de l’application de la directive 89/106/CEE sur les produits de construction, auquel cas la citation doit être mise en relation avec la version de ladite référence» est remplacé par les paragraphes suivants: </w:t>
      </w:r>
    </w:p>
    <w:p w14:paraId="3802A10A" w14:textId="4E857140"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«Lorsqu’une disposition réglementaire est citée dans ce DB, il est entendu qu’il s’agit de la version en vigueur au moment d’application de celui-ci. Lorsqu’une norme UNE, UNE-EN ou UNE-EN ISO est citée, il est entendu qu’il s’agit de la version indiquée, même s’il existe une version ultérieure, sauf s’il s’agit de normes UNE-EN portant transposition de normes EN dont les références ont été publiées au Journal officiel de l’Union européenne dans le cadre de l’application du règlement (UE) n ° 305/2011 du Parlement européen et du Conseil du 9</w:t>
      </w:r>
      <w:r w:rsidR="00EA7588">
        <w:rPr>
          <w:rFonts w:ascii="Arial" w:hAnsi="Arial"/>
        </w:rPr>
        <w:t> </w:t>
      </w:r>
      <w:r>
        <w:rPr>
          <w:rFonts w:ascii="Arial" w:hAnsi="Arial"/>
        </w:rPr>
        <w:t>mars</w:t>
      </w:r>
      <w:r w:rsidR="00EA7588">
        <w:rPr>
          <w:rFonts w:ascii="Arial" w:hAnsi="Arial"/>
        </w:rPr>
        <w:t> </w:t>
      </w:r>
      <w:r>
        <w:rPr>
          <w:rFonts w:ascii="Arial" w:hAnsi="Arial"/>
        </w:rPr>
        <w:t>2011 établissant des conditions harmonisées de commercialisation pour les produits de construction et abrogeant la directive 89/106/CEE du Conseil, auquel cas la citation doit être mise en relation avec la dernière communication de la Commission comprenant ladite référence. Dans le cas de normes relatives aux méthodes d’essais référencées dans les normes harmonisées, il convient d’appliquer la version figurant dans les normes harmonisées UNE-EN susmentionnées.</w:t>
      </w:r>
    </w:p>
    <w:p w14:paraId="57E8C46A" w14:textId="77777777" w:rsidR="007A61FF"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Les normes mentionnées dans ce DB peuvent être remplacées par d’autres parmi celles utilisées dans tout autre État membre de l’Union européenne ou partie à l’accord sur l’Espace économique européen, et dans les États qui ont conclu un accord d’association douanière avec l’Union européenne, dès lors qu’il est démontré que ces normes présentent des spécifications techniques identiques.»</w:t>
      </w:r>
    </w:p>
    <w:p w14:paraId="17C3F0CD" w14:textId="77777777" w:rsidR="004836CD" w:rsidRPr="00937C8B" w:rsidRDefault="004836CD" w:rsidP="0058501F">
      <w:pPr>
        <w:spacing w:before="120" w:line="312" w:lineRule="auto"/>
        <w:jc w:val="both"/>
        <w:rPr>
          <w:rFonts w:ascii="Arial" w:hAnsi="Arial" w:cs="Arial"/>
        </w:rPr>
      </w:pPr>
      <w:r>
        <w:rPr>
          <w:rFonts w:ascii="Arial" w:hAnsi="Arial"/>
        </w:rPr>
        <w:lastRenderedPageBreak/>
        <w:t>- À l’article SUA1-1, point 2, deuxième paragraphe, la référence «La valeur de résistance au glissement R</w:t>
      </w:r>
      <w:r>
        <w:rPr>
          <w:rFonts w:ascii="Arial" w:hAnsi="Arial"/>
          <w:vertAlign w:val="subscript"/>
        </w:rPr>
        <w:t>d</w:t>
      </w:r>
      <w:r>
        <w:rPr>
          <w:rFonts w:ascii="Arial" w:hAnsi="Arial"/>
        </w:rPr>
        <w:t xml:space="preserve"> est déterminée par l’essai au pendule décrit à l’annexe A de la norme UNE-ENV 12633:2003 en employant l’échelle C dans des éprouvettes sans usure accélérée.» est remplacée par «La valeur de résistance au glissement R</w:t>
      </w:r>
      <w:r>
        <w:rPr>
          <w:rFonts w:ascii="Arial" w:hAnsi="Arial"/>
          <w:vertAlign w:val="subscript"/>
        </w:rPr>
        <w:t>d</w:t>
      </w:r>
      <w:r>
        <w:rPr>
          <w:rFonts w:ascii="Arial" w:hAnsi="Arial"/>
        </w:rPr>
        <w:t xml:space="preserve"> est déterminée par l’essai au pendule décrit dans la norme UNE 41901:2017 EX». </w:t>
      </w:r>
    </w:p>
    <w:p w14:paraId="52F9973A" w14:textId="77777777" w:rsidR="004836CD" w:rsidRPr="00937C8B" w:rsidRDefault="004836CD" w:rsidP="0058501F">
      <w:pPr>
        <w:spacing w:before="120" w:line="312" w:lineRule="auto"/>
        <w:jc w:val="both"/>
        <w:rPr>
          <w:rFonts w:ascii="Arial" w:hAnsi="Arial" w:cs="Arial"/>
        </w:rPr>
      </w:pPr>
      <w:r>
        <w:rPr>
          <w:rFonts w:ascii="Arial" w:hAnsi="Arial"/>
        </w:rPr>
        <w:t>- L’article SUA2-1.2, point 3, est remplacé par «Les portes industrielles, commerciales, de garage et portails rempliront les conditions de sécurité d’utilisation établies dans leur réglementation spécifique et porteront le marquage CE de conformité aux directives et règlements européens correspondants».</w:t>
      </w:r>
    </w:p>
    <w:p w14:paraId="4C2B7319" w14:textId="77777777" w:rsidR="004836CD" w:rsidRPr="00937C8B" w:rsidRDefault="004836CD" w:rsidP="0058501F">
      <w:pPr>
        <w:spacing w:before="120" w:line="312" w:lineRule="auto"/>
        <w:jc w:val="both"/>
        <w:rPr>
          <w:rFonts w:ascii="Arial" w:hAnsi="Arial" w:cs="Arial"/>
        </w:rPr>
      </w:pPr>
      <w:r>
        <w:rPr>
          <w:rFonts w:ascii="Arial" w:hAnsi="Arial"/>
        </w:rPr>
        <w:t>- L’article SUA2-1.2, point 4, est remplacé par «Les portes motorisées pour piétons rempliront les conditions de sécurité d’utilisation établies dans leur réglementation spécifique et porteront le marquage CE de conformité aux directives et règlements européens correspondants».</w:t>
      </w:r>
    </w:p>
    <w:p w14:paraId="39EB568E" w14:textId="77777777" w:rsidR="004836CD" w:rsidRPr="00937C8B" w:rsidRDefault="004836CD" w:rsidP="00D27646">
      <w:pPr>
        <w:keepNext/>
        <w:spacing w:before="120" w:line="312" w:lineRule="auto"/>
        <w:jc w:val="both"/>
        <w:rPr>
          <w:rFonts w:ascii="Arial" w:hAnsi="Arial" w:cs="Arial"/>
        </w:rPr>
      </w:pPr>
      <w:r>
        <w:rPr>
          <w:rFonts w:ascii="Arial" w:hAnsi="Arial"/>
        </w:rPr>
        <w:t>- L’annexe C est remplacé par le suivant:</w:t>
      </w:r>
    </w:p>
    <w:p w14:paraId="14646293" w14:textId="77777777" w:rsidR="004836CD" w:rsidRPr="00937C8B" w:rsidRDefault="004836CD" w:rsidP="0058501F">
      <w:pPr>
        <w:pStyle w:val="CteAnejo-TituloSeccion"/>
        <w:spacing w:before="120" w:after="0" w:line="312" w:lineRule="auto"/>
        <w:ind w:left="567"/>
        <w:rPr>
          <w:rStyle w:val="EstiloCTEModTachaprob16ptNegritaSinTachado"/>
          <w:rFonts w:cs="Arial"/>
          <w:strike w:val="0"/>
          <w:sz w:val="24"/>
        </w:rPr>
      </w:pPr>
      <w:bookmarkStart w:id="1" w:name="_Toc305147279"/>
      <w:bookmarkStart w:id="2" w:name="_Toc305154303"/>
      <w:bookmarkStart w:id="3" w:name="_Toc307583340"/>
      <w:bookmarkStart w:id="4" w:name="_Toc307583471"/>
      <w:bookmarkStart w:id="5" w:name="_Toc307584307"/>
      <w:bookmarkStart w:id="6" w:name="_Toc308435871"/>
      <w:bookmarkStart w:id="7" w:name="_Toc308437083"/>
      <w:bookmarkStart w:id="8" w:name="_Toc309985271"/>
      <w:bookmarkStart w:id="9" w:name="_Toc485899133"/>
      <w:bookmarkStart w:id="10" w:name="_Toc39158107"/>
      <w:r>
        <w:rPr>
          <w:rStyle w:val="EstiloCTEModTachaprob16ptNegritaSinTachado"/>
          <w:strike w:val="0"/>
          <w:sz w:val="24"/>
        </w:rPr>
        <w:t>«Annexe C</w:t>
      </w:r>
      <w:r>
        <w:rPr>
          <w:rStyle w:val="EstiloCTEModTachaprob16ptNegritaSinTachado"/>
          <w:strike w:val="0"/>
          <w:sz w:val="24"/>
        </w:rPr>
        <w:tab/>
        <w:t>Normes relatives à l’application du DB SUA</w:t>
      </w:r>
      <w:bookmarkEnd w:id="1"/>
      <w:bookmarkEnd w:id="2"/>
      <w:bookmarkEnd w:id="3"/>
      <w:bookmarkEnd w:id="4"/>
      <w:bookmarkEnd w:id="5"/>
      <w:bookmarkEnd w:id="6"/>
      <w:bookmarkEnd w:id="7"/>
      <w:bookmarkEnd w:id="8"/>
      <w:bookmarkEnd w:id="9"/>
      <w:bookmarkEnd w:id="10"/>
      <w:r>
        <w:rPr>
          <w:rStyle w:val="EstiloCTEModTachaprob16ptNegritaSinTachado"/>
          <w:strike w:val="0"/>
          <w:sz w:val="24"/>
        </w:rPr>
        <w:t xml:space="preserve"> </w:t>
      </w:r>
    </w:p>
    <w:p w14:paraId="6A2664D6" w14:textId="77777777" w:rsidR="004836CD" w:rsidRPr="00937C8B" w:rsidRDefault="004836CD" w:rsidP="0058501F">
      <w:pPr>
        <w:widowControl w:val="0"/>
        <w:spacing w:before="120" w:line="312" w:lineRule="auto"/>
        <w:ind w:left="567"/>
        <w:jc w:val="both"/>
        <w:rPr>
          <w:rFonts w:ascii="Arial" w:hAnsi="Arial" w:cs="Arial"/>
          <w:bCs/>
        </w:rPr>
      </w:pPr>
      <w:r>
        <w:rPr>
          <w:rStyle w:val="EstiloCTEModTachaprobSinTachado"/>
          <w:rFonts w:ascii="Arial" w:hAnsi="Arial"/>
          <w:strike w:val="0"/>
        </w:rPr>
        <w:t xml:space="preserve">Cet annexe récapitule </w:t>
      </w:r>
      <w:r>
        <w:rPr>
          <w:rFonts w:ascii="Arial" w:hAnsi="Arial"/>
          <w:bCs/>
        </w:rPr>
        <w:t xml:space="preserve">les références complètes des normes citées dans le DBSUA. </w:t>
      </w:r>
    </w:p>
    <w:p w14:paraId="5DF751DD" w14:textId="77777777" w:rsidR="004836CD" w:rsidRPr="00937C8B" w:rsidRDefault="004836CD" w:rsidP="00D27646">
      <w:pPr>
        <w:pStyle w:val="CteTtulo3"/>
      </w:pPr>
      <w:r>
        <w:t>1</w:t>
      </w:r>
      <w:r>
        <w:tab/>
        <w:t>Résistance au glissement</w:t>
      </w:r>
    </w:p>
    <w:p w14:paraId="740C693E" w14:textId="77777777" w:rsidR="004836CD" w:rsidRPr="00937C8B" w:rsidRDefault="004836CD" w:rsidP="0058501F">
      <w:pPr>
        <w:spacing w:before="120" w:line="312" w:lineRule="auto"/>
        <w:ind w:left="3544" w:hanging="2977"/>
        <w:jc w:val="both"/>
        <w:rPr>
          <w:rFonts w:ascii="Arial" w:hAnsi="Arial" w:cs="Arial"/>
        </w:rPr>
      </w:pPr>
      <w:r>
        <w:rPr>
          <w:rFonts w:ascii="Arial" w:hAnsi="Arial"/>
        </w:rPr>
        <w:t xml:space="preserve">UNE 41901:2017 EX </w:t>
      </w:r>
      <w:r>
        <w:rPr>
          <w:rFonts w:ascii="Arial" w:hAnsi="Arial"/>
        </w:rPr>
        <w:tab/>
        <w:t>Surfaces pour la circulation des piétons. Détermination de la résistance au glissement par la méthode pendule de frottement. Essai humide.</w:t>
      </w:r>
    </w:p>
    <w:p w14:paraId="1B2E6730" w14:textId="77777777" w:rsidR="004836CD" w:rsidRPr="00937C8B" w:rsidRDefault="004836CD" w:rsidP="00D27646">
      <w:pPr>
        <w:pStyle w:val="CteTtulo3"/>
      </w:pPr>
      <w:r>
        <w:t>2</w:t>
      </w:r>
      <w:r>
        <w:tab/>
        <w:t xml:space="preserve">Portes </w:t>
      </w:r>
    </w:p>
    <w:p w14:paraId="5E39530F" w14:textId="336AAF43" w:rsidR="004836CD" w:rsidRPr="00937C8B" w:rsidRDefault="004836CD" w:rsidP="0058501F">
      <w:pPr>
        <w:spacing w:before="120" w:line="312" w:lineRule="auto"/>
        <w:ind w:left="3544" w:hanging="2977"/>
        <w:jc w:val="both"/>
        <w:rPr>
          <w:rFonts w:ascii="Arial" w:hAnsi="Arial" w:cs="Arial"/>
        </w:rPr>
      </w:pPr>
      <w:r>
        <w:rPr>
          <w:rFonts w:ascii="Arial" w:hAnsi="Arial"/>
        </w:rPr>
        <w:t>UNE-EN 12046-2:2000</w:t>
      </w:r>
      <w:r>
        <w:rPr>
          <w:rFonts w:ascii="Arial" w:hAnsi="Arial"/>
        </w:rPr>
        <w:tab/>
        <w:t>Forces de manœuvre. Méthode d’essai - Partie 2: Portes</w:t>
      </w:r>
      <w:r w:rsidR="00E93486">
        <w:rPr>
          <w:rFonts w:ascii="Arial" w:hAnsi="Arial"/>
        </w:rPr>
        <w:t>.</w:t>
      </w:r>
    </w:p>
    <w:p w14:paraId="5834503F" w14:textId="77777777" w:rsidR="004836CD" w:rsidRPr="00937C8B" w:rsidRDefault="004836CD" w:rsidP="00D27646">
      <w:pPr>
        <w:pStyle w:val="CteTtulo3"/>
      </w:pPr>
      <w:r>
        <w:t>3</w:t>
      </w:r>
      <w:r>
        <w:tab/>
        <w:t>Verre dans la construction</w:t>
      </w:r>
    </w:p>
    <w:p w14:paraId="69F76D02" w14:textId="77777777" w:rsidR="004836CD" w:rsidRPr="00937C8B" w:rsidRDefault="004836CD" w:rsidP="0058501F">
      <w:pPr>
        <w:spacing w:before="120" w:line="312" w:lineRule="auto"/>
        <w:ind w:left="3544" w:hanging="2977"/>
        <w:jc w:val="both"/>
        <w:rPr>
          <w:rFonts w:ascii="Arial" w:hAnsi="Arial" w:cs="Arial"/>
        </w:rPr>
      </w:pPr>
      <w:r>
        <w:rPr>
          <w:rFonts w:ascii="Arial" w:hAnsi="Arial"/>
        </w:rPr>
        <w:t>UNE-EN 12600:2003</w:t>
      </w:r>
      <w:r>
        <w:rPr>
          <w:rFonts w:ascii="Arial" w:hAnsi="Arial"/>
        </w:rPr>
        <w:tab/>
        <w:t xml:space="preserve">Verre dans la construction - Essai au pendule - Méthode d’essai d’impact et classification du verre plat. </w:t>
      </w:r>
    </w:p>
    <w:p w14:paraId="541DC3B0" w14:textId="77777777" w:rsidR="004836CD" w:rsidRPr="00937C8B" w:rsidRDefault="004836CD" w:rsidP="00D27646">
      <w:pPr>
        <w:pStyle w:val="CteTtulo3"/>
      </w:pPr>
      <w:r>
        <w:t>4</w:t>
      </w:r>
      <w:r>
        <w:tab/>
        <w:t>Ascenseurs</w:t>
      </w:r>
    </w:p>
    <w:p w14:paraId="14E9083D" w14:textId="7FF81ABA" w:rsidR="004836CD" w:rsidRPr="00937C8B" w:rsidRDefault="004836CD" w:rsidP="0058501F">
      <w:pPr>
        <w:spacing w:before="120" w:line="312" w:lineRule="auto"/>
        <w:ind w:left="3686" w:hanging="3119"/>
        <w:jc w:val="both"/>
        <w:rPr>
          <w:rFonts w:ascii="Arial" w:hAnsi="Arial" w:cs="Arial"/>
        </w:rPr>
      </w:pPr>
      <w:r>
        <w:rPr>
          <w:rFonts w:ascii="Arial" w:hAnsi="Arial"/>
        </w:rPr>
        <w:t>UNE-EN 81-70:2004+A1:2005</w:t>
      </w:r>
      <w:r>
        <w:rPr>
          <w:rFonts w:ascii="Arial" w:hAnsi="Arial"/>
        </w:rPr>
        <w:tab/>
        <w:t>Règles de sécurité pour la construction et l’installation des élévateurs - Applications particulières pour les ascenseurs et ascenseurs de charge</w:t>
      </w:r>
      <w:r w:rsidR="00E93486">
        <w:rPr>
          <w:rFonts w:ascii="Arial" w:hAnsi="Arial"/>
        </w:rPr>
        <w:t>.</w:t>
      </w:r>
      <w:r>
        <w:rPr>
          <w:rFonts w:ascii="Arial" w:hAnsi="Arial"/>
        </w:rPr>
        <w:t xml:space="preserve"> </w:t>
      </w:r>
    </w:p>
    <w:p w14:paraId="4AEDC2B5" w14:textId="77777777" w:rsidR="004836CD" w:rsidRPr="00937C8B" w:rsidRDefault="004836CD" w:rsidP="0058501F">
      <w:pPr>
        <w:spacing w:before="120" w:line="312" w:lineRule="auto"/>
        <w:ind w:left="3686"/>
        <w:jc w:val="both"/>
        <w:rPr>
          <w:rFonts w:ascii="Arial" w:hAnsi="Arial" w:cs="Arial"/>
        </w:rPr>
      </w:pPr>
      <w:r>
        <w:rPr>
          <w:rFonts w:ascii="Arial" w:hAnsi="Arial"/>
        </w:rPr>
        <w:t>Partie 70: Accessibilité aux ascenseurs pour toutes les personnes y compris les personnes avec handicap.</w:t>
      </w:r>
    </w:p>
    <w:p w14:paraId="1E537C96" w14:textId="77777777" w:rsidR="004836CD" w:rsidRPr="00937C8B" w:rsidRDefault="004836CD" w:rsidP="00D27646">
      <w:pPr>
        <w:pStyle w:val="CteTtulo3"/>
      </w:pPr>
      <w:r>
        <w:lastRenderedPageBreak/>
        <w:t>5</w:t>
      </w:r>
      <w:r>
        <w:tab/>
        <w:t>Signalisation</w:t>
      </w:r>
    </w:p>
    <w:p w14:paraId="03DF5060" w14:textId="77777777" w:rsidR="004836CD" w:rsidRPr="00937C8B" w:rsidRDefault="004836CD" w:rsidP="0058501F">
      <w:pPr>
        <w:spacing w:before="120" w:line="312" w:lineRule="auto"/>
        <w:ind w:left="3686" w:hanging="3119"/>
        <w:jc w:val="both"/>
        <w:rPr>
          <w:rFonts w:ascii="Arial" w:hAnsi="Arial" w:cs="Arial"/>
        </w:rPr>
      </w:pPr>
      <w:r>
        <w:rPr>
          <w:rFonts w:ascii="Arial" w:hAnsi="Arial"/>
        </w:rPr>
        <w:t>UNE 41501:2002</w:t>
      </w:r>
      <w:r>
        <w:rPr>
          <w:rFonts w:ascii="Arial" w:hAnsi="Arial"/>
        </w:rPr>
        <w:tab/>
        <w:t>Symbole d’accessibilité pour la mobilité. Règles et degrés d’utilisation.</w:t>
      </w:r>
    </w:p>
    <w:p w14:paraId="291B2A19" w14:textId="77777777" w:rsidR="004836CD" w:rsidRPr="00937C8B" w:rsidRDefault="004836CD" w:rsidP="00D27646">
      <w:pPr>
        <w:keepNext/>
        <w:spacing w:before="120" w:line="312" w:lineRule="auto"/>
        <w:jc w:val="both"/>
        <w:rPr>
          <w:rFonts w:ascii="Arial" w:hAnsi="Arial" w:cs="Arial"/>
        </w:rPr>
      </w:pPr>
      <w:r>
        <w:rPr>
          <w:rFonts w:ascii="Arial" w:hAnsi="Arial"/>
        </w:rPr>
        <w:t>Onze. Dans le document de base DB-HR «Protection contre le bruit», les références réglementaires indiquées sont mises à jour dans les termes suivants:</w:t>
      </w:r>
    </w:p>
    <w:p w14:paraId="122AD5E7" w14:textId="77777777"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 xml:space="preserve">- Dans l’introduction, article III Critères généraux d’application, le paragraphe: «Lorsqu’une disposition réglementaire est citée dans ce DB, il est entendu qu’il s’agit de la version en vigueur au moment d’application de celui-ci. Lorsqu’une norme UNE est citée, il est entendu qu’il s’agit de la version indiquée, même s’il existe une version ultérieure, sauf s’il s’agit de normes correspondant aux normes EN ou EN ISO dont la référence a été publiée au Journal officiel de l’Union européenne dans le cadre de l’application de la directive 89/106/CE sur les produits de construction, auquel cas la citation doit être mise en relation avec la version de ladite référence» est remplacé par les paragraphes suivants: </w:t>
      </w:r>
    </w:p>
    <w:p w14:paraId="105CCA13" w14:textId="40725290"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«Lorsqu’une disposition réglementaire est citée dans ce DB, il est entendu qu’il s’agit de la version en vigueur au moment d’application de celui-ci. Lorsqu’une norme UNE, UNE-EN ou UNE-EN ISO est citée, il est entendu qu’il s’agit de la version indiquée, même s’il existe une version ultérieure, sauf s’il s’agit de normes UNE-EN portant transposition de normes EN dont les références ont été publiées au Journal officiel de l’Union européenne dans le cadre de l’application du règlement (UE) n ° 305/2011 du Parlement européen et du Conseil du 9</w:t>
      </w:r>
      <w:r w:rsidR="00EA7588">
        <w:rPr>
          <w:rFonts w:ascii="Arial" w:hAnsi="Arial"/>
        </w:rPr>
        <w:t> </w:t>
      </w:r>
      <w:r>
        <w:rPr>
          <w:rFonts w:ascii="Arial" w:hAnsi="Arial"/>
        </w:rPr>
        <w:t>mars</w:t>
      </w:r>
      <w:r w:rsidR="00EA7588">
        <w:rPr>
          <w:rFonts w:ascii="Arial" w:hAnsi="Arial"/>
        </w:rPr>
        <w:t> </w:t>
      </w:r>
      <w:r>
        <w:rPr>
          <w:rFonts w:ascii="Arial" w:hAnsi="Arial"/>
        </w:rPr>
        <w:t>2011 établissant des conditions harmonisées de commercialisation pour les produits de construction et abrogeant la directive 89/106/CEE du Conseil, auquel cas la citation doit être mise en relation avec la dernière communication de la Commission comprenant ladite référence. Dans le cas de normes relatives aux méthodes d’essais référencées dans les normes harmonisées, il convient d’appliquer la version figurant dans les normes harmonisées UNE-EN susmentionnées.</w:t>
      </w:r>
    </w:p>
    <w:p w14:paraId="52C0F57F" w14:textId="77777777"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Les normes mentionnées dans ce DB peuvent être remplacées par d’autres parmi celles utilisées dans tout autre État membre de l’Union européenne ou partie à l’accord sur l’Espace économique européen, et dans les États qui ont conclu un accord d’association douanière avec l’Union européenne, dès lors qu’il est démontré que ces normes présentent des spécifications techniques identiques.»</w:t>
      </w:r>
    </w:p>
    <w:p w14:paraId="4F96E4A0" w14:textId="77777777" w:rsidR="004836CD" w:rsidRPr="00937C8B" w:rsidRDefault="004836CD" w:rsidP="0058501F">
      <w:pPr>
        <w:spacing w:before="120" w:line="312" w:lineRule="auto"/>
        <w:jc w:val="both"/>
        <w:rPr>
          <w:rFonts w:ascii="Arial" w:hAnsi="Arial" w:cs="Arial"/>
        </w:rPr>
      </w:pPr>
      <w:r>
        <w:rPr>
          <w:rFonts w:ascii="Arial" w:hAnsi="Arial"/>
        </w:rPr>
        <w:t>- Dans le sommaire, la référence «Annexe D. Calcul de l’indice d’affaiblissement des vibrations sur les assemblages des éléments de construction» est remplacée par «Annexe D. Supprimé”.</w:t>
      </w:r>
    </w:p>
    <w:p w14:paraId="6ACD9FA5"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Dans le sommaire, la référence «Annexe E. Mesure et évaluation de l’amélioration de l’indice d’affaiblissement acoustique, ΔR, et de la réduction du niveau de pression du bruit de choc, ΔL, des revêtements» est remplacée par «Annexe E. Supprimé.»</w:t>
      </w:r>
    </w:p>
    <w:p w14:paraId="6D726EC1"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lastRenderedPageBreak/>
        <w:t xml:space="preserve">-À l’article 3.1.3 Option générale. Méthode de calcul de l’isolation acoustique, au point 1, la référence «UNE EN 12354 parties 1, 2 et 3» est remplacée par «UNE-EN ISO 12354 parties 1, 2 et 3» </w:t>
      </w:r>
    </w:p>
    <w:p w14:paraId="5A0FDF04"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l’article 3.1.3.2 Hypothèse pour le calcul. Comportement sur le chantier des éléments de construction, au point 7, la référence «Sa valeur est obtenue par les formules de l’annexe D, à partir de la masse surfacique, du type d’assemblage et des éléments de construction.» est remplacée par «Sa valeur peut être calculée conformément à la norme UNE-EN ISO 12354-1».</w:t>
      </w:r>
    </w:p>
    <w:p w14:paraId="2DEB94DD"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xml:space="preserve">- À l’article 3.1.3.3 Méthode de calcul de l’isolation acoustique au bruit aérien entre enceintes intérieures, au point 3, la référence «A.16 et A.17» est remplacée par «A.15 et A.16». </w:t>
      </w:r>
    </w:p>
    <w:p w14:paraId="41BAB827"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À l’article 3.1.3.3 Méthode de calcul de l’isolation acoustique au bruit aérien entre enceintes intérieures, au point 5, la référence «Les Kij seront calculés conformément à l’annexe D.» est remplacée par «Les Kij peuvent être calculés conformément à la norme UNE-EN ISO 12354-1».</w:t>
      </w:r>
    </w:p>
    <w:p w14:paraId="33379027"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l’article 4.2 Exigences relatives aux éléments de construction, au point 7, les références «A.16 et A.17» et «A.27» sont remplacées respectivement par «A.15 et A.16» et «A.26».</w:t>
      </w:r>
    </w:p>
    <w:p w14:paraId="75A1F5CA"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l’article 5.1.1.2 Paroi autoportante et doublage de paroi, au point 1, la référence «Les éléments de séparation verticaux de paroi autoportante doivent être montés sur le chantier selon les exigences de la norme UNE 102040 IN et le doublage, de paroi autoportante ou bien intégré, doit être monté sur le chantier selon les exigences de la norme UNE 102041 IN.» est remplacée par «Les éléments de séparation verticaux de paroi autoportante et le doublage de paroi autoportante et intégré doivent être montés sur le chantier selon les exigences de la norme UNE 102043.»</w:t>
      </w:r>
    </w:p>
    <w:p w14:paraId="615F4D7A"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l’article 5.3 Contrôle des travaux finis, point 2, les références «UNE EN ISO 140-4», «UNE EN ISO 140-5» et «UNE EN ISO 140-7» sont remplacées respectivement par «UNE-EN ISO 16283-1», «UNE EN ISO 16283-3» et «UNE-EN ISO 16283-2».</w:t>
      </w:r>
    </w:p>
    <w:p w14:paraId="202C2E58" w14:textId="63684746" w:rsidR="008C5A28" w:rsidRPr="00937C8B" w:rsidRDefault="004836CD" w:rsidP="0058501F">
      <w:pPr>
        <w:tabs>
          <w:tab w:val="left" w:pos="426"/>
        </w:tabs>
        <w:spacing w:before="120" w:line="312" w:lineRule="auto"/>
        <w:jc w:val="both"/>
        <w:rPr>
          <w:rFonts w:ascii="Arial" w:hAnsi="Arial" w:cs="Arial"/>
          <w:sz w:val="12"/>
          <w:szCs w:val="12"/>
        </w:rPr>
      </w:pPr>
      <w:r>
        <w:rPr>
          <w:rFonts w:ascii="Arial" w:hAnsi="Arial"/>
        </w:rPr>
        <w:t>- À l’annexe A. Terminologie, la définition «Fréquence critique, fc: Fréquence limite inférieure à laquelle le phénomène de coïncidence commence à se produire, par lequel l</w:t>
      </w:r>
      <w:r w:rsidR="00EA7588">
        <w:rPr>
          <w:rFonts w:ascii="Arial" w:hAnsi="Arial"/>
        </w:rPr>
        <w:t>’</w:t>
      </w:r>
      <w:r>
        <w:rPr>
          <w:rFonts w:ascii="Arial" w:hAnsi="Arial"/>
        </w:rPr>
        <w:t>énergie acoustique est transmise à travers l</w:t>
      </w:r>
      <w:r w:rsidR="00EA7588">
        <w:rPr>
          <w:rFonts w:ascii="Arial" w:hAnsi="Arial"/>
        </w:rPr>
        <w:t>’</w:t>
      </w:r>
      <w:r>
        <w:rPr>
          <w:rFonts w:ascii="Arial" w:hAnsi="Arial"/>
        </w:rPr>
        <w:t>élément de construction sous la forme d</w:t>
      </w:r>
      <w:r w:rsidR="00EA7588">
        <w:rPr>
          <w:rFonts w:ascii="Arial" w:hAnsi="Arial"/>
        </w:rPr>
        <w:t>’</w:t>
      </w:r>
      <w:r>
        <w:rPr>
          <w:rFonts w:ascii="Arial" w:hAnsi="Arial"/>
        </w:rPr>
        <w:t>ondes de flexion couplées aux ondes acoustiques de l</w:t>
      </w:r>
      <w:r w:rsidR="00EA7588">
        <w:rPr>
          <w:rFonts w:ascii="Arial" w:hAnsi="Arial"/>
        </w:rPr>
        <w:t>’</w:t>
      </w:r>
      <w:r>
        <w:rPr>
          <w:rFonts w:ascii="Arial" w:hAnsi="Arial"/>
        </w:rPr>
        <w:t>air, entraînant une diminution de l</w:t>
      </w:r>
      <w:r w:rsidR="00EA7588">
        <w:rPr>
          <w:rFonts w:ascii="Arial" w:hAnsi="Arial"/>
        </w:rPr>
        <w:t>’</w:t>
      </w:r>
      <w:r>
        <w:rPr>
          <w:rFonts w:ascii="Arial" w:hAnsi="Arial"/>
        </w:rPr>
        <w:t>isolation acoustique. Elle se détermine à partir des constantes élastiques de l</w:t>
      </w:r>
      <w:r w:rsidR="00EA7588">
        <w:rPr>
          <w:rFonts w:ascii="Arial" w:hAnsi="Arial"/>
        </w:rPr>
        <w:t>’</w:t>
      </w:r>
      <w:r>
        <w:rPr>
          <w:rFonts w:ascii="Arial" w:hAnsi="Arial"/>
        </w:rPr>
        <w:t>élément de construction, au moyen de la formule suivante:</w:t>
      </w:r>
    </w:p>
    <w:p w14:paraId="59FAA475"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xml:space="preserve"> </w:t>
      </w:r>
      <w:r>
        <w:object w:dxaOrig="2240" w:dyaOrig="639" w14:anchorId="4EDE0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8pt;height:33pt" o:ole="">
            <v:imagedata r:id="rId11" o:title=""/>
          </v:shape>
          <o:OLEObject Type="Embed" ProgID="Equation.3" ShapeID="_x0000_i1025" DrawAspect="Content" ObjectID="_1655535304" r:id="rId12"/>
        </w:object>
      </w:r>
      <w:r>
        <w:rPr>
          <w:rFonts w:ascii="Arial" w:hAnsi="Arial"/>
        </w:rPr>
        <w:t xml:space="preserve"> [Hz] (A.10) où d est l’épaisseur de la paroi en [m]; </w:t>
      </w:r>
      <w:r>
        <w:rPr>
          <w:rFonts w:ascii="Arial" w:hAnsi="Arial"/>
        </w:rPr>
        <w:sym w:font="Symbol" w:char="F072"/>
      </w:r>
      <w:r>
        <w:rPr>
          <w:rFonts w:ascii="Arial" w:hAnsi="Arial"/>
        </w:rPr>
        <w:t xml:space="preserve"> la densité en [kg/m</w:t>
      </w:r>
      <w:r>
        <w:rPr>
          <w:rFonts w:ascii="Arial" w:hAnsi="Arial"/>
          <w:vertAlign w:val="superscript"/>
        </w:rPr>
        <w:t>3</w:t>
      </w:r>
      <w:r>
        <w:rPr>
          <w:rFonts w:ascii="Arial" w:hAnsi="Arial"/>
        </w:rPr>
        <w:t>]; E le module de Young en [N/m</w:t>
      </w:r>
      <w:r>
        <w:rPr>
          <w:rFonts w:ascii="Arial" w:hAnsi="Arial"/>
          <w:vertAlign w:val="superscript"/>
        </w:rPr>
        <w:t>2</w:t>
      </w:r>
      <w:r>
        <w:rPr>
          <w:rFonts w:ascii="Arial" w:hAnsi="Arial"/>
        </w:rPr>
        <w:t xml:space="preserve">]; et </w:t>
      </w:r>
      <w:r>
        <w:rPr>
          <w:rFonts w:ascii="Arial" w:hAnsi="Arial"/>
        </w:rPr>
        <w:sym w:font="Symbol" w:char="F073"/>
      </w:r>
      <w:r>
        <w:rPr>
          <w:rFonts w:ascii="Arial" w:hAnsi="Arial"/>
        </w:rPr>
        <w:t xml:space="preserve"> le coefficent de Poisson» est supprimée.. </w:t>
      </w:r>
    </w:p>
    <w:p w14:paraId="7F840912" w14:textId="77777777" w:rsidR="00DD60AA" w:rsidRPr="00937C8B" w:rsidRDefault="00DD60AA" w:rsidP="00DD60AA">
      <w:pPr>
        <w:pStyle w:val="NormalWeb"/>
        <w:jc w:val="both"/>
        <w:rPr>
          <w:rFonts w:ascii="Arial" w:hAnsi="Arial" w:cs="Arial"/>
        </w:rPr>
      </w:pPr>
      <w:r>
        <w:t xml:space="preserve">- </w:t>
      </w:r>
      <w:r>
        <w:rPr>
          <w:rFonts w:ascii="Arial" w:hAnsi="Arial"/>
        </w:rPr>
        <w:t>À l’annexe A. Terminologie, dans la définition de l’indice d’affaiblissement acoustique apparent, R’, la référence «A.11» est remplacée par «A.10».</w:t>
      </w:r>
    </w:p>
    <w:p w14:paraId="075CFF50" w14:textId="6EAC215F" w:rsidR="00DD60AA" w:rsidRPr="00937C8B" w:rsidRDefault="00DD60AA" w:rsidP="00DD60AA">
      <w:pPr>
        <w:pStyle w:val="NormalWeb"/>
        <w:jc w:val="both"/>
        <w:rPr>
          <w:rFonts w:ascii="Arial" w:hAnsi="Arial" w:cs="Arial"/>
        </w:rPr>
      </w:pPr>
      <w:r>
        <w:rPr>
          <w:rFonts w:ascii="Arial" w:hAnsi="Arial"/>
        </w:rPr>
        <w:lastRenderedPageBreak/>
        <w:t>- À l’annexe A. Terminologie, dans la définition de l’indice d</w:t>
      </w:r>
      <w:r w:rsidR="00EA7588">
        <w:rPr>
          <w:rFonts w:ascii="Arial" w:hAnsi="Arial"/>
        </w:rPr>
        <w:t>’</w:t>
      </w:r>
      <w:r>
        <w:rPr>
          <w:rFonts w:ascii="Arial" w:hAnsi="Arial"/>
        </w:rPr>
        <w:t>affaiblissement acoustique d’un élément de construction, R, la référence «A.12» est remplacée par «A.11».</w:t>
      </w:r>
    </w:p>
    <w:p w14:paraId="15BB58A3"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xml:space="preserve">- À l’annexe A. Terminologie, dans la définition de l’indice d’affaiblissement des vibrations pour les circuits de transmissions des assemblages des éléments de construction, Ki,j, les références «A.13» et «A.14» sont remplacées respectivement par «A.12» et «A.13». </w:t>
      </w:r>
    </w:p>
    <w:p w14:paraId="4F441E03"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de l’indice d’affaiblissement des vibrations pour les circuits de transmissions des assemblages des éléments de construction, K</w:t>
      </w:r>
      <w:r>
        <w:rPr>
          <w:rFonts w:ascii="Arial" w:hAnsi="Arial"/>
          <w:vertAlign w:val="subscript"/>
        </w:rPr>
        <w:t>i,j</w:t>
      </w:r>
      <w:r>
        <w:rPr>
          <w:rFonts w:ascii="Arial" w:hAnsi="Arial"/>
        </w:rPr>
        <w:t>, la référence «Si dans ce cas l’indice d’affaiblissement des vibrations, calculé selon l’annexe D, a une valeur inférieure à la valeur minimale de K</w:t>
      </w:r>
      <w:r>
        <w:rPr>
          <w:rFonts w:ascii="Arial" w:hAnsi="Arial"/>
          <w:vertAlign w:val="subscript"/>
        </w:rPr>
        <w:t>ij min</w:t>
      </w:r>
      <w:r>
        <w:rPr>
          <w:rFonts w:ascii="Arial" w:hAnsi="Arial"/>
        </w:rPr>
        <w:t>, cette valeur minimale est utilisée» est remplacée par «Pour les assemblages dans lesquels les éléments latéraux ont un contact réduit avec l’élément de séparation, on considèrera seulement la transmission Ff dont la valeur minimale sera la valeur K</w:t>
      </w:r>
      <w:r>
        <w:rPr>
          <w:rFonts w:ascii="Arial" w:hAnsi="Arial"/>
          <w:vertAlign w:val="subscript"/>
        </w:rPr>
        <w:t>ij,min</w:t>
      </w:r>
      <w:r>
        <w:rPr>
          <w:rFonts w:ascii="Arial" w:hAnsi="Arial"/>
        </w:rPr>
        <w:t>»</w:t>
      </w:r>
    </w:p>
    <w:p w14:paraId="034026CB" w14:textId="134AA35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de l’indice global d</w:t>
      </w:r>
      <w:r w:rsidR="00EA7588">
        <w:rPr>
          <w:rFonts w:ascii="Arial" w:hAnsi="Arial"/>
        </w:rPr>
        <w:t>’</w:t>
      </w:r>
      <w:r>
        <w:rPr>
          <w:rFonts w:ascii="Arial" w:hAnsi="Arial"/>
        </w:rPr>
        <w:t>affaiblissement acoustique apparent, pondéré A, d’un élément de construction R’</w:t>
      </w:r>
      <w:r>
        <w:rPr>
          <w:rFonts w:ascii="Arial" w:hAnsi="Arial"/>
          <w:vertAlign w:val="subscript"/>
        </w:rPr>
        <w:t>A</w:t>
      </w:r>
      <w:r>
        <w:rPr>
          <w:rFonts w:ascii="Arial" w:hAnsi="Arial"/>
        </w:rPr>
        <w:t xml:space="preserve">, la référence «A.15» est remplacée par «A.14». </w:t>
      </w:r>
    </w:p>
    <w:p w14:paraId="4F1CFB15" w14:textId="232932A3"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de l’indice global d</w:t>
      </w:r>
      <w:r w:rsidR="00EA7588">
        <w:rPr>
          <w:rFonts w:ascii="Arial" w:hAnsi="Arial"/>
        </w:rPr>
        <w:t>’</w:t>
      </w:r>
      <w:r>
        <w:rPr>
          <w:rFonts w:ascii="Arial" w:hAnsi="Arial"/>
        </w:rPr>
        <w:t>affaiblissement acoustique apparent, pondéré A, d’un élément de construction, R</w:t>
      </w:r>
      <w:r>
        <w:rPr>
          <w:rFonts w:ascii="Arial" w:hAnsi="Arial"/>
          <w:vertAlign w:val="subscript"/>
        </w:rPr>
        <w:t>A</w:t>
      </w:r>
      <w:r>
        <w:rPr>
          <w:rFonts w:ascii="Arial" w:hAnsi="Arial"/>
        </w:rPr>
        <w:t>,les références «A.16», «A.17» et «A.18» sont remplacées respectivement par «A.15» et «A.16» et «A.17».</w:t>
      </w:r>
    </w:p>
    <w:p w14:paraId="25D93D75" w14:textId="52326598"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de l’indice global d</w:t>
      </w:r>
      <w:r w:rsidR="00EA7588">
        <w:rPr>
          <w:rFonts w:ascii="Arial" w:hAnsi="Arial"/>
        </w:rPr>
        <w:t>’</w:t>
      </w:r>
      <w:r>
        <w:rPr>
          <w:rFonts w:ascii="Arial" w:hAnsi="Arial"/>
        </w:rPr>
        <w:t>affaiblissement acoustique apparent, pondéré A, pour les émissions sonores externes provenant des automobiles, R</w:t>
      </w:r>
      <w:r>
        <w:rPr>
          <w:rFonts w:ascii="Arial" w:hAnsi="Arial"/>
          <w:vertAlign w:val="subscript"/>
        </w:rPr>
        <w:t>Atr</w:t>
      </w:r>
      <w:r>
        <w:rPr>
          <w:rFonts w:ascii="Arial" w:hAnsi="Arial"/>
        </w:rPr>
        <w:t xml:space="preserve">, la référence «A.19» est remplacée par «A.18». </w:t>
      </w:r>
    </w:p>
    <w:p w14:paraId="1A178068" w14:textId="5CD1BB0C"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de la longueur d</w:t>
      </w:r>
      <w:r w:rsidR="00EA7588">
        <w:rPr>
          <w:rFonts w:ascii="Arial" w:hAnsi="Arial"/>
        </w:rPr>
        <w:t>’</w:t>
      </w:r>
      <w:r>
        <w:rPr>
          <w:rFonts w:ascii="Arial" w:hAnsi="Arial"/>
        </w:rPr>
        <w:t xml:space="preserve">absorption équivalente des vibrations d’un élément de construction, a, la référence «A.20» est remplacée par «A.19». </w:t>
      </w:r>
    </w:p>
    <w:p w14:paraId="12A5D386"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du niveau de puissance acoustique, L</w:t>
      </w:r>
      <w:r>
        <w:rPr>
          <w:rFonts w:ascii="Arial" w:hAnsi="Arial"/>
          <w:vertAlign w:val="subscript"/>
        </w:rPr>
        <w:t>w</w:t>
      </w:r>
      <w:r>
        <w:rPr>
          <w:rFonts w:ascii="Arial" w:hAnsi="Arial"/>
        </w:rPr>
        <w:t xml:space="preserve">, la référence «A.21» est remplacée par «A.20». </w:t>
      </w:r>
    </w:p>
    <w:p w14:paraId="7EB088ED" w14:textId="5ACAFFEB"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du niveau de pression du bruit de choc standardisé, L</w:t>
      </w:r>
      <w:r w:rsidR="00EA7588">
        <w:rPr>
          <w:rFonts w:ascii="Arial" w:hAnsi="Arial"/>
        </w:rPr>
        <w:t>’</w:t>
      </w:r>
      <w:r>
        <w:rPr>
          <w:rFonts w:ascii="Arial" w:hAnsi="Arial"/>
          <w:vertAlign w:val="subscript"/>
        </w:rPr>
        <w:t>nT</w:t>
      </w:r>
      <w:r>
        <w:rPr>
          <w:rFonts w:ascii="Arial" w:hAnsi="Arial"/>
        </w:rPr>
        <w:t xml:space="preserve">, la référence «A.22» est remplacée par «A.21». </w:t>
      </w:r>
    </w:p>
    <w:p w14:paraId="5581F6B7"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du niveau de pression du bruit de choc normalisé d’un élément de construction horizontal, L</w:t>
      </w:r>
      <w:r>
        <w:rPr>
          <w:rFonts w:ascii="Arial" w:hAnsi="Arial"/>
          <w:vertAlign w:val="subscript"/>
        </w:rPr>
        <w:t>n</w:t>
      </w:r>
      <w:r>
        <w:rPr>
          <w:rFonts w:ascii="Arial" w:hAnsi="Arial"/>
        </w:rPr>
        <w:t>, la référence «A.23» est remplacée par «A.22».</w:t>
      </w:r>
    </w:p>
    <w:p w14:paraId="75E2A5D1" w14:textId="0A7C21D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du niveau de pression du bruit choc normalisé mesuré sur site, L</w:t>
      </w:r>
      <w:r w:rsidR="00EA7588">
        <w:rPr>
          <w:rFonts w:ascii="Arial" w:hAnsi="Arial"/>
        </w:rPr>
        <w:t>’</w:t>
      </w:r>
      <w:r>
        <w:rPr>
          <w:rFonts w:ascii="Arial" w:hAnsi="Arial"/>
          <w:vertAlign w:val="subscript"/>
        </w:rPr>
        <w:t>n</w:t>
      </w:r>
      <w:r>
        <w:rPr>
          <w:rFonts w:ascii="Arial" w:hAnsi="Arial"/>
        </w:rPr>
        <w:t>, la référence «A.24» est remplacée par «A.23».</w:t>
      </w:r>
    </w:p>
    <w:p w14:paraId="13002CE1"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du niveau de pression sonore, pondéré A, L</w:t>
      </w:r>
      <w:r>
        <w:rPr>
          <w:rFonts w:ascii="Arial" w:hAnsi="Arial"/>
          <w:vertAlign w:val="subscript"/>
        </w:rPr>
        <w:t>pA</w:t>
      </w:r>
      <w:r>
        <w:rPr>
          <w:rFonts w:ascii="Arial" w:hAnsi="Arial"/>
        </w:rPr>
        <w:t>, la référence «A.25» est remplacée par «A.24».</w:t>
      </w:r>
    </w:p>
    <w:p w14:paraId="08C66139"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lastRenderedPageBreak/>
        <w:t>- À l’annexe A. Terminologie, dans la définition du niveau de pression sonore, L</w:t>
      </w:r>
      <w:r>
        <w:rPr>
          <w:rFonts w:ascii="Arial" w:hAnsi="Arial"/>
          <w:vertAlign w:val="subscript"/>
        </w:rPr>
        <w:t>p</w:t>
      </w:r>
      <w:r>
        <w:rPr>
          <w:rFonts w:ascii="Arial" w:hAnsi="Arial"/>
        </w:rPr>
        <w:t>, la référence «A.26» est remplacée par «A.25».</w:t>
      </w:r>
    </w:p>
    <w:p w14:paraId="3D8C8500"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de Niveau global de pression du bruit de choc normalisé d’un élément de construction horizontal, L</w:t>
      </w:r>
      <w:r>
        <w:rPr>
          <w:rFonts w:ascii="Arial" w:hAnsi="Arial"/>
          <w:vertAlign w:val="subscript"/>
        </w:rPr>
        <w:t>n,w</w:t>
      </w:r>
      <w:r>
        <w:rPr>
          <w:rFonts w:ascii="Arial" w:hAnsi="Arial"/>
        </w:rPr>
        <w:t>, les références «UNE EN 12354-2» et «A.27» sont respectivement remplacées par «UNE-EN ISO 12354-2» et «A.26». </w:t>
      </w:r>
    </w:p>
    <w:p w14:paraId="52D71ACE"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du niveau moyen de pression sonore dans une enceinte, L, les références «A.28» et «A.29» sont remplacées respectivement par «A.27» et «A.28».</w:t>
      </w:r>
    </w:p>
    <w:p w14:paraId="212C2775" w14:textId="5BD93868"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la référence «Niveau moyen de pression sonore standardisé, pondéré A, L</w:t>
      </w:r>
      <w:r>
        <w:rPr>
          <w:rFonts w:ascii="Arial" w:hAnsi="Arial"/>
          <w:vertAlign w:val="subscript"/>
        </w:rPr>
        <w:t>A,T</w:t>
      </w:r>
      <w:r>
        <w:rPr>
          <w:rFonts w:ascii="Arial" w:hAnsi="Arial"/>
        </w:rPr>
        <w:t>: Niveau moyen de pression sonore, pondéré A, dans une enceinte, rapporté à une durée de réverbération de 0,5</w:t>
      </w:r>
      <w:r w:rsidR="00EA7588">
        <w:rPr>
          <w:rFonts w:ascii="Arial" w:hAnsi="Arial"/>
        </w:rPr>
        <w:t> </w:t>
      </w:r>
      <w:r>
        <w:rPr>
          <w:rFonts w:ascii="Arial" w:hAnsi="Arial"/>
        </w:rPr>
        <w:t xml:space="preserve">s. Il se détermine au moyen de la formule suivante: </w:t>
      </w:r>
      <w:r>
        <w:object w:dxaOrig="1960" w:dyaOrig="580" w14:anchorId="367E874F">
          <v:shape id="_x0000_i1026" type="#_x0000_t75" style="width:98.3pt;height:29.25pt" o:ole="">
            <v:imagedata r:id="rId13" o:title=""/>
          </v:shape>
          <o:OLEObject Type="Embed" ProgID="Equation.3" ShapeID="_x0000_i1026" DrawAspect="Content" ObjectID="_1655535305" r:id="rId14"/>
        </w:object>
      </w:r>
      <w:r>
        <w:rPr>
          <w:rFonts w:ascii="Arial" w:hAnsi="Arial"/>
        </w:rPr>
        <w:t xml:space="preserve"> [dBA] (A.30). Où: L</w:t>
      </w:r>
      <w:r>
        <w:rPr>
          <w:rFonts w:ascii="Arial" w:hAnsi="Arial"/>
          <w:vertAlign w:val="subscript"/>
        </w:rPr>
        <w:t xml:space="preserve">A: </w:t>
      </w:r>
      <w:r>
        <w:rPr>
          <w:rFonts w:ascii="Arial" w:hAnsi="Arial"/>
        </w:rPr>
        <w:t>niveau moyen de pression sonore, pondéré A, dans une enceinte [dBA]; T: valeur mesurée de la durée de réverbération [s]» est supprimée.</w:t>
      </w:r>
    </w:p>
    <w:p w14:paraId="35F26615"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du niveau sonore continu équivalent standardisé, pondéré A, L</w:t>
      </w:r>
      <w:r>
        <w:rPr>
          <w:rFonts w:ascii="Arial" w:hAnsi="Arial"/>
          <w:vertAlign w:val="subscript"/>
        </w:rPr>
        <w:t>eqA,T</w:t>
      </w:r>
      <w:r>
        <w:rPr>
          <w:rFonts w:ascii="Arial" w:hAnsi="Arial"/>
        </w:rPr>
        <w:t>, la référence «A.31» est remplacée par «A.29».</w:t>
      </w:r>
    </w:p>
    <w:p w14:paraId="2F42FE69"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A. Terminologie, dans la définition du niveau sonore continu équivalent pondéré A, L</w:t>
      </w:r>
      <w:r>
        <w:rPr>
          <w:rFonts w:ascii="Arial" w:hAnsi="Arial"/>
          <w:vertAlign w:val="subscript"/>
        </w:rPr>
        <w:t>eqA</w:t>
      </w:r>
      <w:r>
        <w:rPr>
          <w:rFonts w:ascii="Arial" w:hAnsi="Arial"/>
        </w:rPr>
        <w:t>, les références «A.32» et «A.33» sont remplacées respectivement par «A.30» et «A.31».</w:t>
      </w:r>
    </w:p>
    <w:p w14:paraId="3826C043"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xml:space="preserve">- À l’annexe A, Terminologie, dans la définition de Réduction du niveau global de bruit de choc, la référence «Voir annexe E» est supprimée. </w:t>
      </w:r>
    </w:p>
    <w:p w14:paraId="41AA9412"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«Φ: Facteur de directivité de la source» est supprimée.</w:t>
      </w:r>
    </w:p>
    <w:p w14:paraId="47FF4630"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w:t>
      </w:r>
      <w:r>
        <w:rPr>
          <w:rFonts w:ascii="Arial" w:hAnsi="Arial"/>
        </w:rPr>
        <w:sym w:font="Symbol" w:char="F072"/>
      </w:r>
      <w:r>
        <w:rPr>
          <w:rFonts w:ascii="Arial" w:hAnsi="Arial"/>
        </w:rPr>
        <w:t>: Densité, [kg/m</w:t>
      </w:r>
      <w:r>
        <w:rPr>
          <w:rFonts w:ascii="Arial" w:hAnsi="Arial"/>
          <w:vertAlign w:val="superscript"/>
        </w:rPr>
        <w:t>3</w:t>
      </w:r>
      <w:r>
        <w:rPr>
          <w:rFonts w:ascii="Arial" w:hAnsi="Arial"/>
        </w:rPr>
        <w:t>]» est supprimée.</w:t>
      </w:r>
    </w:p>
    <w:p w14:paraId="27347C80"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w:t>
      </w:r>
      <w:r>
        <w:rPr>
          <w:rFonts w:ascii="Arial" w:hAnsi="Arial"/>
        </w:rPr>
        <w:sym w:font="Symbol" w:char="F073"/>
      </w:r>
      <w:r>
        <w:rPr>
          <w:rFonts w:ascii="Arial" w:hAnsi="Arial"/>
        </w:rPr>
        <w:t>: Coefficient de Poisson» est supprimée.</w:t>
      </w:r>
    </w:p>
    <w:p w14:paraId="239904E8" w14:textId="238E34C9"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w:t>
      </w:r>
      <w:r>
        <w:rPr>
          <w:rFonts w:ascii="Arial" w:hAnsi="Arial"/>
        </w:rPr>
        <w:sym w:font="Symbol" w:char="F044"/>
      </w:r>
      <w:r>
        <w:rPr>
          <w:rFonts w:ascii="Arial" w:hAnsi="Arial"/>
        </w:rPr>
        <w:t>L(f): Affaiblissement du niveau de pression du bruit de choc, pour chaque bande de tiers d</w:t>
      </w:r>
      <w:r w:rsidR="00EA7588">
        <w:rPr>
          <w:rFonts w:ascii="Arial" w:hAnsi="Arial"/>
        </w:rPr>
        <w:t>’</w:t>
      </w:r>
      <w:r>
        <w:rPr>
          <w:rFonts w:ascii="Arial" w:hAnsi="Arial"/>
        </w:rPr>
        <w:t>octave, d’un revêtement, [dB]» est supprimée.</w:t>
      </w:r>
    </w:p>
    <w:p w14:paraId="405DF9EB" w14:textId="37969600"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w:t>
      </w:r>
      <w:r>
        <w:rPr>
          <w:rFonts w:ascii="Arial" w:hAnsi="Arial"/>
        </w:rPr>
        <w:sym w:font="Symbol" w:char="F044"/>
      </w:r>
      <w:r>
        <w:rPr>
          <w:rFonts w:ascii="Arial" w:hAnsi="Arial"/>
        </w:rPr>
        <w:t>R</w:t>
      </w:r>
      <w:r>
        <w:rPr>
          <w:rFonts w:ascii="Arial" w:hAnsi="Arial"/>
          <w:vertAlign w:val="subscript"/>
        </w:rPr>
        <w:t>A,l</w:t>
      </w:r>
      <w:r>
        <w:rPr>
          <w:rFonts w:ascii="Arial" w:hAnsi="Arial"/>
        </w:rPr>
        <w:t>: Indice global de l’amélioration de l</w:t>
      </w:r>
      <w:r w:rsidR="00EA7588">
        <w:rPr>
          <w:rFonts w:ascii="Arial" w:hAnsi="Arial"/>
        </w:rPr>
        <w:t>’</w:t>
      </w:r>
      <w:r>
        <w:rPr>
          <w:rFonts w:ascii="Arial" w:hAnsi="Arial"/>
        </w:rPr>
        <w:t>indice d</w:t>
      </w:r>
      <w:r w:rsidR="00EA7588">
        <w:rPr>
          <w:rFonts w:ascii="Arial" w:hAnsi="Arial"/>
        </w:rPr>
        <w:t>’</w:t>
      </w:r>
      <w:r>
        <w:rPr>
          <w:rFonts w:ascii="Arial" w:hAnsi="Arial"/>
        </w:rPr>
        <w:t>affaiblissement acoustique de la courbe de référence avec une fréquence critique basse, [dBA]» est supprimée.</w:t>
      </w:r>
    </w:p>
    <w:p w14:paraId="70498AB4" w14:textId="42F43BC2"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w:t>
      </w:r>
      <w:r>
        <w:rPr>
          <w:rFonts w:ascii="Arial" w:hAnsi="Arial"/>
        </w:rPr>
        <w:sym w:font="Symbol" w:char="F044"/>
      </w:r>
      <w:r>
        <w:rPr>
          <w:rFonts w:ascii="Arial" w:hAnsi="Arial"/>
        </w:rPr>
        <w:t>R</w:t>
      </w:r>
      <w:r>
        <w:rPr>
          <w:rFonts w:ascii="Arial" w:hAnsi="Arial"/>
          <w:vertAlign w:val="subscript"/>
        </w:rPr>
        <w:t>A,m</w:t>
      </w:r>
      <w:r>
        <w:rPr>
          <w:rFonts w:ascii="Arial" w:hAnsi="Arial"/>
        </w:rPr>
        <w:t>: Indice global de l’amélioration de l</w:t>
      </w:r>
      <w:r w:rsidR="00EA7588">
        <w:rPr>
          <w:rFonts w:ascii="Arial" w:hAnsi="Arial"/>
        </w:rPr>
        <w:t>’</w:t>
      </w:r>
      <w:r>
        <w:rPr>
          <w:rFonts w:ascii="Arial" w:hAnsi="Arial"/>
        </w:rPr>
        <w:t>indice d</w:t>
      </w:r>
      <w:r w:rsidR="00EA7588">
        <w:rPr>
          <w:rFonts w:ascii="Arial" w:hAnsi="Arial"/>
        </w:rPr>
        <w:t>’</w:t>
      </w:r>
      <w:r>
        <w:rPr>
          <w:rFonts w:ascii="Arial" w:hAnsi="Arial"/>
        </w:rPr>
        <w:t>affaiblissement acoustique de la courbe de référence avec une fréquence critique moyenne, [dBA]» est supprimée.</w:t>
      </w:r>
    </w:p>
    <w:p w14:paraId="505B0F87" w14:textId="184588C2"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«e</w:t>
      </w:r>
      <w:r>
        <w:rPr>
          <w:rFonts w:ascii="Arial" w:hAnsi="Arial"/>
          <w:vertAlign w:val="subscript"/>
        </w:rPr>
        <w:t>1</w:t>
      </w:r>
      <w:r>
        <w:rPr>
          <w:rFonts w:ascii="Arial" w:hAnsi="Arial"/>
        </w:rPr>
        <w:t>: Épaisseur de l</w:t>
      </w:r>
      <w:r w:rsidR="00EA7588">
        <w:rPr>
          <w:rFonts w:ascii="Arial" w:hAnsi="Arial"/>
        </w:rPr>
        <w:t>’</w:t>
      </w:r>
      <w:r>
        <w:rPr>
          <w:rFonts w:ascii="Arial" w:hAnsi="Arial"/>
        </w:rPr>
        <w:t>élément souple interposé, [m]» est supprimée.</w:t>
      </w:r>
    </w:p>
    <w:p w14:paraId="506F9CDC"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lastRenderedPageBreak/>
        <w:t>- À l’annexe B. Notation, la référence «f</w:t>
      </w:r>
      <w:r>
        <w:rPr>
          <w:rFonts w:ascii="Arial" w:hAnsi="Arial"/>
          <w:vertAlign w:val="subscript"/>
        </w:rPr>
        <w:t>c</w:t>
      </w:r>
      <w:r>
        <w:rPr>
          <w:rFonts w:ascii="Arial" w:hAnsi="Arial"/>
        </w:rPr>
        <w:t>: Fréquence critique, [Hz]» est supprimée.</w:t>
      </w:r>
    </w:p>
    <w:p w14:paraId="64E1968F"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«m’</w:t>
      </w:r>
      <w:r>
        <w:rPr>
          <w:rFonts w:ascii="Arial" w:hAnsi="Arial"/>
          <w:vertAlign w:val="subscript"/>
        </w:rPr>
        <w:t>i</w:t>
      </w:r>
      <w:r>
        <w:rPr>
          <w:rFonts w:ascii="Arial" w:hAnsi="Arial"/>
        </w:rPr>
        <w:t>: Masse par unité de surface de l’élément i dans le circuit de transmission ij, [kg/m</w:t>
      </w:r>
      <w:r>
        <w:rPr>
          <w:rFonts w:ascii="Arial" w:hAnsi="Arial"/>
          <w:vertAlign w:val="superscript"/>
        </w:rPr>
        <w:t>2</w:t>
      </w:r>
      <w:r>
        <w:rPr>
          <w:rFonts w:ascii="Arial" w:hAnsi="Arial"/>
        </w:rPr>
        <w:t>]» est supprimée.</w:t>
      </w:r>
    </w:p>
    <w:p w14:paraId="3D59E8B5"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«m’</w:t>
      </w:r>
      <w:r>
        <w:rPr>
          <w:rFonts w:ascii="Arial" w:hAnsi="Arial"/>
          <w:vertAlign w:val="subscript"/>
        </w:rPr>
        <w:sym w:font="Symbol" w:char="F05E"/>
      </w:r>
      <w:r>
        <w:rPr>
          <w:rFonts w:ascii="Arial" w:hAnsi="Arial"/>
          <w:vertAlign w:val="subscript"/>
        </w:rPr>
        <w:t>i</w:t>
      </w:r>
      <w:r>
        <w:rPr>
          <w:rFonts w:ascii="Arial" w:hAnsi="Arial"/>
        </w:rPr>
        <w:t>: Masse par unité de surface d’un autre élément, perpendiculaire à l’élément i, qui forme la jonction, [kg/m</w:t>
      </w:r>
      <w:r>
        <w:rPr>
          <w:rFonts w:ascii="Arial" w:hAnsi="Arial"/>
          <w:vertAlign w:val="superscript"/>
        </w:rPr>
        <w:t>2</w:t>
      </w:r>
      <w:r>
        <w:rPr>
          <w:rFonts w:ascii="Arial" w:hAnsi="Arial"/>
        </w:rPr>
        <w:t>]» est supprimée.</w:t>
      </w:r>
    </w:p>
    <w:p w14:paraId="3D412BCA"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«E: Module de Young, [N/m</w:t>
      </w:r>
      <w:r>
        <w:rPr>
          <w:rFonts w:ascii="Arial" w:hAnsi="Arial"/>
          <w:vertAlign w:val="superscript"/>
        </w:rPr>
        <w:t>2</w:t>
      </w:r>
      <w:r>
        <w:rPr>
          <w:rFonts w:ascii="Arial" w:hAnsi="Arial"/>
        </w:rPr>
        <w:t>]» est supprimée.</w:t>
      </w:r>
    </w:p>
    <w:p w14:paraId="0839BB87" w14:textId="07C704E3"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«L</w:t>
      </w:r>
      <w:r>
        <w:rPr>
          <w:rFonts w:ascii="Arial" w:hAnsi="Arial"/>
          <w:vertAlign w:val="subscript"/>
        </w:rPr>
        <w:t>n,r</w:t>
      </w:r>
      <w:r>
        <w:rPr>
          <w:rFonts w:ascii="Arial" w:hAnsi="Arial"/>
        </w:rPr>
        <w:t>(f): Niveau de pression du bruit de choc, pour chaque bande de tiers d</w:t>
      </w:r>
      <w:r w:rsidR="00EA7588">
        <w:rPr>
          <w:rFonts w:ascii="Arial" w:hAnsi="Arial"/>
        </w:rPr>
        <w:t>’</w:t>
      </w:r>
      <w:r>
        <w:rPr>
          <w:rFonts w:ascii="Arial" w:hAnsi="Arial"/>
        </w:rPr>
        <w:t>octave du plancher normalisé, [dB]» est supprimée.</w:t>
      </w:r>
    </w:p>
    <w:p w14:paraId="29DBE709" w14:textId="6F2D925C"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«L</w:t>
      </w:r>
      <w:r>
        <w:rPr>
          <w:rFonts w:ascii="Arial" w:hAnsi="Arial"/>
          <w:vertAlign w:val="subscript"/>
        </w:rPr>
        <w:t>n,r+</w:t>
      </w:r>
      <w:r>
        <w:rPr>
          <w:rFonts w:ascii="Arial" w:hAnsi="Arial"/>
        </w:rPr>
        <w:t>(f): Niveau de pression du bruit de choc, pour chaque bande de tiers d</w:t>
      </w:r>
      <w:r w:rsidR="00EA7588">
        <w:rPr>
          <w:rFonts w:ascii="Arial" w:hAnsi="Arial"/>
        </w:rPr>
        <w:t>’</w:t>
      </w:r>
      <w:r>
        <w:rPr>
          <w:rFonts w:ascii="Arial" w:hAnsi="Arial"/>
        </w:rPr>
        <w:t>octave du plancher normalisé avec la chape flottante, [dB]» est supprimée.</w:t>
      </w:r>
    </w:p>
    <w:p w14:paraId="743B1890" w14:textId="480018A2"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«L</w:t>
      </w:r>
      <w:r>
        <w:rPr>
          <w:rFonts w:ascii="Arial" w:hAnsi="Arial"/>
          <w:vertAlign w:val="subscript"/>
        </w:rPr>
        <w:t>n,r,0</w:t>
      </w:r>
      <w:r>
        <w:rPr>
          <w:rFonts w:ascii="Arial" w:hAnsi="Arial"/>
        </w:rPr>
        <w:t>(f): Niveau de pression du bruit de choc, pour chaque bande de tiers d</w:t>
      </w:r>
      <w:r w:rsidR="00EA7588">
        <w:rPr>
          <w:rFonts w:ascii="Arial" w:hAnsi="Arial"/>
        </w:rPr>
        <w:t>’</w:t>
      </w:r>
      <w:r>
        <w:rPr>
          <w:rFonts w:ascii="Arial" w:hAnsi="Arial"/>
        </w:rPr>
        <w:t>octave du plancher normalisé de référence, [dB]» est supprimée.</w:t>
      </w:r>
    </w:p>
    <w:p w14:paraId="1A2A336B" w14:textId="7A09E6D1"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«L</w:t>
      </w:r>
      <w:r>
        <w:rPr>
          <w:rFonts w:ascii="Arial" w:hAnsi="Arial"/>
          <w:vertAlign w:val="subscript"/>
        </w:rPr>
        <w:t>n,r,0+</w:t>
      </w:r>
      <w:r>
        <w:rPr>
          <w:rFonts w:ascii="Arial" w:hAnsi="Arial"/>
        </w:rPr>
        <w:t>(f): Niveau de pression du bruit de choc, pour chaque bande de tiers d</w:t>
      </w:r>
      <w:r w:rsidR="00EA7588">
        <w:rPr>
          <w:rFonts w:ascii="Arial" w:hAnsi="Arial"/>
        </w:rPr>
        <w:t>’</w:t>
      </w:r>
      <w:r>
        <w:rPr>
          <w:rFonts w:ascii="Arial" w:hAnsi="Arial"/>
        </w:rPr>
        <w:t>octave du plancher normalisé de référence, augmenté des valeurs de l</w:t>
      </w:r>
      <w:r w:rsidR="00EA7588">
        <w:rPr>
          <w:rFonts w:ascii="Arial" w:hAnsi="Arial"/>
        </w:rPr>
        <w:t>’</w:t>
      </w:r>
      <w:r>
        <w:rPr>
          <w:rFonts w:ascii="Arial" w:hAnsi="Arial"/>
        </w:rPr>
        <w:t>affaiblissement du niveau de bruit de choc de la chape flottante, [dB]» est supprimée.</w:t>
      </w:r>
    </w:p>
    <w:p w14:paraId="600340F3" w14:textId="3755C4B3"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«L</w:t>
      </w:r>
      <w:r>
        <w:rPr>
          <w:rFonts w:ascii="Arial" w:hAnsi="Arial"/>
          <w:vertAlign w:val="subscript"/>
        </w:rPr>
        <w:t>n,r,0,w</w:t>
      </w:r>
      <w:r>
        <w:rPr>
          <w:rFonts w:ascii="Arial" w:hAnsi="Arial"/>
        </w:rPr>
        <w:t>: Niveau global de pression du bruit de choc du plancher normalisé de référence, d</w:t>
      </w:r>
      <w:r w:rsidR="00EA7588">
        <w:rPr>
          <w:rFonts w:ascii="Arial" w:hAnsi="Arial"/>
        </w:rPr>
        <w:t>’</w:t>
      </w:r>
      <w:r>
        <w:rPr>
          <w:rFonts w:ascii="Arial" w:hAnsi="Arial"/>
        </w:rPr>
        <w:t>une valeur de 78</w:t>
      </w:r>
      <w:r w:rsidR="00EA7588">
        <w:rPr>
          <w:rFonts w:ascii="Arial" w:hAnsi="Arial"/>
        </w:rPr>
        <w:t> </w:t>
      </w:r>
      <w:r>
        <w:rPr>
          <w:rFonts w:ascii="Arial" w:hAnsi="Arial"/>
        </w:rPr>
        <w:t>dB, [dB]» est supprimée.</w:t>
      </w:r>
    </w:p>
    <w:p w14:paraId="77DF8324" w14:textId="6D45288F"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«L</w:t>
      </w:r>
      <w:r>
        <w:rPr>
          <w:rFonts w:ascii="Arial" w:hAnsi="Arial"/>
          <w:vertAlign w:val="subscript"/>
        </w:rPr>
        <w:t>n,r,0+,w</w:t>
      </w:r>
      <w:r>
        <w:rPr>
          <w:rFonts w:ascii="Arial" w:hAnsi="Arial"/>
        </w:rPr>
        <w:t>: Niveau global de pression du bruit de choc du plancher normalisé de référence, augmenté des valeurs de l</w:t>
      </w:r>
      <w:r w:rsidR="00EA7588">
        <w:rPr>
          <w:rFonts w:ascii="Arial" w:hAnsi="Arial"/>
        </w:rPr>
        <w:t>’</w:t>
      </w:r>
      <w:r>
        <w:rPr>
          <w:rFonts w:ascii="Arial" w:hAnsi="Arial"/>
        </w:rPr>
        <w:t>affaiblissement du niveau de bruit de choc de la chape flottante, [dB]» est supprimée.</w:t>
      </w:r>
    </w:p>
    <w:p w14:paraId="54B6E640"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«L</w:t>
      </w:r>
      <w:r>
        <w:rPr>
          <w:rFonts w:ascii="Arial" w:hAnsi="Arial"/>
          <w:vertAlign w:val="subscript"/>
        </w:rPr>
        <w:t>A,T</w:t>
      </w:r>
      <w:r>
        <w:rPr>
          <w:rFonts w:ascii="Arial" w:hAnsi="Arial"/>
        </w:rPr>
        <w:t>: Niveau moyen de pression sonore standardisé, pondéré A, [dBA]» est supprimée.</w:t>
      </w:r>
    </w:p>
    <w:p w14:paraId="07AC0DEE" w14:textId="19120774"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«R</w:t>
      </w:r>
      <w:r>
        <w:rPr>
          <w:rFonts w:ascii="Arial" w:hAnsi="Arial"/>
          <w:vertAlign w:val="subscript"/>
        </w:rPr>
        <w:t>con</w:t>
      </w:r>
      <w:r>
        <w:rPr>
          <w:rFonts w:ascii="Arial" w:hAnsi="Arial"/>
        </w:rPr>
        <w:t>: Indice d</w:t>
      </w:r>
      <w:r w:rsidR="00EA7588">
        <w:rPr>
          <w:rFonts w:ascii="Arial" w:hAnsi="Arial"/>
        </w:rPr>
        <w:t>’</w:t>
      </w:r>
      <w:r>
        <w:rPr>
          <w:rFonts w:ascii="Arial" w:hAnsi="Arial"/>
        </w:rPr>
        <w:t>affaiblissement acoustique pour chaque bande de tiers d</w:t>
      </w:r>
      <w:r w:rsidR="00EA7588">
        <w:rPr>
          <w:rFonts w:ascii="Arial" w:hAnsi="Arial"/>
        </w:rPr>
        <w:t>’</w:t>
      </w:r>
      <w:r>
        <w:rPr>
          <w:rFonts w:ascii="Arial" w:hAnsi="Arial"/>
        </w:rPr>
        <w:t>octave de l</w:t>
      </w:r>
      <w:r w:rsidR="00EA7588">
        <w:rPr>
          <w:rFonts w:ascii="Arial" w:hAnsi="Arial"/>
        </w:rPr>
        <w:t>’</w:t>
      </w:r>
      <w:r>
        <w:rPr>
          <w:rFonts w:ascii="Arial" w:hAnsi="Arial"/>
        </w:rPr>
        <w:t>élément de construction de base avec le revêtement, [dB]» est supprimée.</w:t>
      </w:r>
    </w:p>
    <w:p w14:paraId="6E9F0D6B" w14:textId="4921B9F9"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«R</w:t>
      </w:r>
      <w:r>
        <w:rPr>
          <w:rFonts w:ascii="Arial" w:hAnsi="Arial"/>
          <w:vertAlign w:val="subscript"/>
        </w:rPr>
        <w:t>sin</w:t>
      </w:r>
      <w:r>
        <w:rPr>
          <w:rFonts w:ascii="Arial" w:hAnsi="Arial"/>
        </w:rPr>
        <w:t>: indice d</w:t>
      </w:r>
      <w:r w:rsidR="00EA7588">
        <w:rPr>
          <w:rFonts w:ascii="Arial" w:hAnsi="Arial"/>
        </w:rPr>
        <w:t>’</w:t>
      </w:r>
      <w:r>
        <w:rPr>
          <w:rFonts w:ascii="Arial" w:hAnsi="Arial"/>
        </w:rPr>
        <w:t>affaiblissement acoustique pour chaque bande de tiers d</w:t>
      </w:r>
      <w:r w:rsidR="00EA7588">
        <w:rPr>
          <w:rFonts w:ascii="Arial" w:hAnsi="Arial"/>
        </w:rPr>
        <w:t>’</w:t>
      </w:r>
      <w:r>
        <w:rPr>
          <w:rFonts w:ascii="Arial" w:hAnsi="Arial"/>
        </w:rPr>
        <w:t>octave de l</w:t>
      </w:r>
      <w:r w:rsidR="00EA7588">
        <w:rPr>
          <w:rFonts w:ascii="Arial" w:hAnsi="Arial"/>
        </w:rPr>
        <w:t>’</w:t>
      </w:r>
      <w:r>
        <w:rPr>
          <w:rFonts w:ascii="Arial" w:hAnsi="Arial"/>
        </w:rPr>
        <w:t>élément de construction de base simple, [dB]» est supprimée.</w:t>
      </w:r>
    </w:p>
    <w:p w14:paraId="66D2B748" w14:textId="4C71F922"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«R</w:t>
      </w:r>
      <w:r>
        <w:rPr>
          <w:rFonts w:ascii="Arial" w:hAnsi="Arial"/>
          <w:vertAlign w:val="subscript"/>
        </w:rPr>
        <w:t>0</w:t>
      </w:r>
      <w:r>
        <w:rPr>
          <w:rFonts w:ascii="Arial" w:hAnsi="Arial"/>
        </w:rPr>
        <w:t>: Indice d</w:t>
      </w:r>
      <w:r w:rsidR="00EA7588">
        <w:rPr>
          <w:rFonts w:ascii="Arial" w:hAnsi="Arial"/>
        </w:rPr>
        <w:t>’</w:t>
      </w:r>
      <w:r>
        <w:rPr>
          <w:rFonts w:ascii="Arial" w:hAnsi="Arial"/>
        </w:rPr>
        <w:t>affaiblissement acoustique de la courbe de référence pour les mesures avec le mur de base de référence, avec une fréquence critique basse, sur les bandes du tiers d</w:t>
      </w:r>
      <w:r w:rsidR="00EA7588">
        <w:rPr>
          <w:rFonts w:ascii="Arial" w:hAnsi="Arial"/>
        </w:rPr>
        <w:t>’</w:t>
      </w:r>
      <w:r>
        <w:rPr>
          <w:rFonts w:ascii="Arial" w:hAnsi="Arial"/>
        </w:rPr>
        <w:t>octave de l</w:t>
      </w:r>
      <w:r w:rsidR="00EA7588">
        <w:rPr>
          <w:rFonts w:ascii="Arial" w:hAnsi="Arial"/>
        </w:rPr>
        <w:t>’</w:t>
      </w:r>
      <w:r>
        <w:rPr>
          <w:rFonts w:ascii="Arial" w:hAnsi="Arial"/>
        </w:rPr>
        <w:t>intervalle 100-5000Hz, [dB]» est supprimée.</w:t>
      </w:r>
    </w:p>
    <w:p w14:paraId="3CCE3746" w14:textId="75D2AB3E"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«R</w:t>
      </w:r>
      <w:r>
        <w:rPr>
          <w:rFonts w:ascii="Arial" w:hAnsi="Arial"/>
          <w:vertAlign w:val="subscript"/>
        </w:rPr>
        <w:t>0,A</w:t>
      </w:r>
      <w:r>
        <w:rPr>
          <w:rFonts w:ascii="Arial" w:hAnsi="Arial"/>
        </w:rPr>
        <w:t>: Indice global d</w:t>
      </w:r>
      <w:r w:rsidR="00EA7588">
        <w:rPr>
          <w:rFonts w:ascii="Arial" w:hAnsi="Arial"/>
        </w:rPr>
        <w:t>’</w:t>
      </w:r>
      <w:r>
        <w:rPr>
          <w:rFonts w:ascii="Arial" w:hAnsi="Arial"/>
        </w:rPr>
        <w:t>affaiblissement acoustique pondéré A de l</w:t>
      </w:r>
      <w:r w:rsidR="00EA7588">
        <w:rPr>
          <w:rFonts w:ascii="Arial" w:hAnsi="Arial"/>
        </w:rPr>
        <w:t>’</w:t>
      </w:r>
      <w:r>
        <w:rPr>
          <w:rFonts w:ascii="Arial" w:hAnsi="Arial"/>
        </w:rPr>
        <w:t>élément de construction de base, [dBA]» est supprimée.</w:t>
      </w:r>
    </w:p>
    <w:p w14:paraId="4E2B4468" w14:textId="4E47D84C" w:rsidR="004836CD" w:rsidRPr="00937C8B" w:rsidRDefault="004836CD" w:rsidP="0058501F">
      <w:pPr>
        <w:tabs>
          <w:tab w:val="left" w:pos="426"/>
        </w:tabs>
        <w:spacing w:before="120" w:line="312" w:lineRule="auto"/>
        <w:jc w:val="both"/>
        <w:rPr>
          <w:rFonts w:ascii="Arial" w:hAnsi="Arial" w:cs="Arial"/>
        </w:rPr>
      </w:pPr>
      <w:r>
        <w:rPr>
          <w:rFonts w:ascii="Arial" w:hAnsi="Arial"/>
        </w:rPr>
        <w:lastRenderedPageBreak/>
        <w:t>- À l’annexe B. Notation, la référence «R</w:t>
      </w:r>
      <w:r>
        <w:rPr>
          <w:rFonts w:ascii="Arial" w:hAnsi="Arial"/>
          <w:vertAlign w:val="subscript"/>
        </w:rPr>
        <w:t>0,l</w:t>
      </w:r>
      <w:r>
        <w:rPr>
          <w:rFonts w:ascii="Arial" w:hAnsi="Arial"/>
        </w:rPr>
        <w:t>: Valeurs de l</w:t>
      </w:r>
      <w:r w:rsidR="00EA7588">
        <w:rPr>
          <w:rFonts w:ascii="Arial" w:hAnsi="Arial"/>
        </w:rPr>
        <w:t>’</w:t>
      </w:r>
      <w:r>
        <w:rPr>
          <w:rFonts w:ascii="Arial" w:hAnsi="Arial"/>
        </w:rPr>
        <w:t>indice d</w:t>
      </w:r>
      <w:r w:rsidR="00EA7588">
        <w:rPr>
          <w:rFonts w:ascii="Arial" w:hAnsi="Arial"/>
        </w:rPr>
        <w:t>’</w:t>
      </w:r>
      <w:r>
        <w:rPr>
          <w:rFonts w:ascii="Arial" w:hAnsi="Arial"/>
        </w:rPr>
        <w:t>affaiblissement acoustique de la courbe de référence pour les mesures avec le mur de base de référence, avec une fréquence critique basse, sur les bandes du tiers d</w:t>
      </w:r>
      <w:r w:rsidR="00EA7588">
        <w:rPr>
          <w:rFonts w:ascii="Arial" w:hAnsi="Arial"/>
        </w:rPr>
        <w:t>’</w:t>
      </w:r>
      <w:r>
        <w:rPr>
          <w:rFonts w:ascii="Arial" w:hAnsi="Arial"/>
        </w:rPr>
        <w:t>octave de l</w:t>
      </w:r>
      <w:r w:rsidR="00EA7588">
        <w:rPr>
          <w:rFonts w:ascii="Arial" w:hAnsi="Arial"/>
        </w:rPr>
        <w:t>’</w:t>
      </w:r>
      <w:r>
        <w:rPr>
          <w:rFonts w:ascii="Arial" w:hAnsi="Arial"/>
        </w:rPr>
        <w:t>intervalle 100-5000Hz, [dB]» est supprimée.</w:t>
      </w:r>
    </w:p>
    <w:p w14:paraId="6CEC2AA9" w14:textId="38492723"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«R</w:t>
      </w:r>
      <w:r>
        <w:rPr>
          <w:rFonts w:ascii="Arial" w:hAnsi="Arial"/>
          <w:vertAlign w:val="subscript"/>
        </w:rPr>
        <w:t>0,m</w:t>
      </w:r>
      <w:r>
        <w:rPr>
          <w:rFonts w:ascii="Arial" w:hAnsi="Arial"/>
        </w:rPr>
        <w:t>: Valeurs de l</w:t>
      </w:r>
      <w:r w:rsidR="00EA7588">
        <w:rPr>
          <w:rFonts w:ascii="Arial" w:hAnsi="Arial"/>
        </w:rPr>
        <w:t>’</w:t>
      </w:r>
      <w:r>
        <w:rPr>
          <w:rFonts w:ascii="Arial" w:hAnsi="Arial"/>
        </w:rPr>
        <w:t>indice d</w:t>
      </w:r>
      <w:r w:rsidR="00EA7588">
        <w:rPr>
          <w:rFonts w:ascii="Arial" w:hAnsi="Arial"/>
        </w:rPr>
        <w:t>’</w:t>
      </w:r>
      <w:r>
        <w:rPr>
          <w:rFonts w:ascii="Arial" w:hAnsi="Arial"/>
        </w:rPr>
        <w:t>affaiblissement acoustique de la courbe de référence pour les mesures avec le mur de base de référence, avec une fréquence critique moyenne, sur les bandes du tiers d</w:t>
      </w:r>
      <w:r w:rsidR="00EA7588">
        <w:rPr>
          <w:rFonts w:ascii="Arial" w:hAnsi="Arial"/>
        </w:rPr>
        <w:t>’</w:t>
      </w:r>
      <w:r>
        <w:rPr>
          <w:rFonts w:ascii="Arial" w:hAnsi="Arial"/>
        </w:rPr>
        <w:t>octave de l</w:t>
      </w:r>
      <w:r w:rsidR="00EA7588">
        <w:rPr>
          <w:rFonts w:ascii="Arial" w:hAnsi="Arial"/>
        </w:rPr>
        <w:t>’</w:t>
      </w:r>
      <w:r>
        <w:rPr>
          <w:rFonts w:ascii="Arial" w:hAnsi="Arial"/>
        </w:rPr>
        <w:t>intervalle 100-5000Hz, [dB]» est supprimée.</w:t>
      </w:r>
    </w:p>
    <w:p w14:paraId="3B2D9047"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B. Notation, la référence «S: Zone, [kg/m</w:t>
      </w:r>
      <w:r>
        <w:rPr>
          <w:rFonts w:ascii="Arial" w:hAnsi="Arial"/>
          <w:vertAlign w:val="superscript"/>
        </w:rPr>
        <w:t>2</w:t>
      </w:r>
      <w:r>
        <w:rPr>
          <w:rFonts w:ascii="Arial" w:hAnsi="Arial"/>
        </w:rPr>
        <w:t>]» est supprimée.</w:t>
      </w:r>
    </w:p>
    <w:p w14:paraId="5E04C96F" w14:textId="77777777" w:rsidR="004836CD" w:rsidRPr="00937C8B" w:rsidRDefault="004836CD" w:rsidP="00D27646">
      <w:pPr>
        <w:keepNext/>
        <w:tabs>
          <w:tab w:val="left" w:pos="426"/>
        </w:tabs>
        <w:spacing w:before="120" w:line="312" w:lineRule="auto"/>
        <w:jc w:val="both"/>
        <w:rPr>
          <w:rFonts w:ascii="Arial" w:hAnsi="Arial" w:cs="Arial"/>
        </w:rPr>
      </w:pPr>
      <w:r>
        <w:rPr>
          <w:rFonts w:ascii="Arial" w:hAnsi="Arial"/>
        </w:rPr>
        <w:t>- L’annexe C est remplacé par le suivant:</w:t>
      </w:r>
    </w:p>
    <w:p w14:paraId="78B098C3"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«Annexe C. Normes de référence</w:t>
      </w:r>
    </w:p>
    <w:p w14:paraId="29E17132" w14:textId="77777777" w:rsidR="004836CD" w:rsidRPr="00937C8B" w:rsidRDefault="004836CD" w:rsidP="0058501F">
      <w:pPr>
        <w:widowControl w:val="0"/>
        <w:spacing w:before="120" w:line="312" w:lineRule="auto"/>
        <w:jc w:val="both"/>
        <w:rPr>
          <w:rFonts w:ascii="Arial" w:hAnsi="Arial" w:cs="Arial"/>
          <w:bCs/>
        </w:rPr>
      </w:pPr>
      <w:r>
        <w:rPr>
          <w:rFonts w:ascii="Arial" w:hAnsi="Arial"/>
        </w:rPr>
        <w:t>Cet annexe récapitule les références complètes des normes citées dans le DBHR. Elles sont signalées dans cet annexe par un astérisque.</w:t>
      </w:r>
      <w:r>
        <w:rPr>
          <w:rFonts w:ascii="Arial" w:hAnsi="Arial"/>
          <w:bCs/>
        </w:rPr>
        <w:t xml:space="preserve"> Il comprend également, à titre d’information, les autres normes en relation avec l’application du DBHR.</w:t>
      </w:r>
    </w:p>
    <w:p w14:paraId="48C0447C" w14:textId="77777777" w:rsidR="004836CD" w:rsidRPr="00937C8B" w:rsidRDefault="004836CD" w:rsidP="00D27646">
      <w:pPr>
        <w:pStyle w:val="CteTtulo3"/>
      </w:pPr>
      <w:r>
        <w:t>1</w:t>
      </w:r>
      <w:r>
        <w:tab/>
        <w:t>Mesure des paramètres acoustiques in situ</w:t>
      </w:r>
    </w:p>
    <w:p w14:paraId="1310212A" w14:textId="6C263B5E" w:rsidR="004836CD" w:rsidRPr="00937C8B" w:rsidRDefault="004836CD" w:rsidP="0058501F">
      <w:pPr>
        <w:spacing w:before="120" w:line="312" w:lineRule="auto"/>
        <w:ind w:left="3261" w:hanging="3261"/>
        <w:jc w:val="both"/>
        <w:rPr>
          <w:rFonts w:ascii="Arial" w:hAnsi="Arial" w:cs="Arial"/>
        </w:rPr>
      </w:pPr>
      <w:r>
        <w:rPr>
          <w:rFonts w:ascii="Arial" w:hAnsi="Arial"/>
        </w:rPr>
        <w:t>*UNE-EN ISO 3382-2:2008</w:t>
      </w:r>
      <w:r>
        <w:rPr>
          <w:rFonts w:ascii="Arial" w:hAnsi="Arial"/>
        </w:rPr>
        <w:tab/>
        <w:t>Acoustique. Mesurage des paramètres acoustiques des salles. Partie 2: Durée de réverbération des salles ordinaires. (+UNE-EN ISO 3382-2: 2008/ERRATUM: 2009 V2)</w:t>
      </w:r>
      <w:r w:rsidR="00E93486">
        <w:rPr>
          <w:rFonts w:ascii="Arial" w:hAnsi="Arial"/>
        </w:rPr>
        <w:t>.</w:t>
      </w:r>
    </w:p>
    <w:p w14:paraId="6CD5131C"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ISO 12999-1:2014</w:t>
      </w:r>
      <w:r>
        <w:rPr>
          <w:rFonts w:ascii="Arial" w:hAnsi="Arial"/>
        </w:rPr>
        <w:tab/>
        <w:t xml:space="preserve">Acoustique. Détermination et application des incertitudes de mesure dans l’acoustique des bâtiments. Partie 1: Isolation acoustique. </w:t>
      </w:r>
    </w:p>
    <w:p w14:paraId="454B049E" w14:textId="77777777" w:rsidR="004836CD" w:rsidRPr="00937C8B" w:rsidRDefault="004836CD" w:rsidP="0058501F">
      <w:pPr>
        <w:tabs>
          <w:tab w:val="left" w:pos="426"/>
        </w:tabs>
        <w:spacing w:before="120" w:line="312" w:lineRule="auto"/>
        <w:jc w:val="both"/>
        <w:rPr>
          <w:rFonts w:ascii="Arial" w:hAnsi="Arial" w:cs="Arial"/>
        </w:rPr>
      </w:pPr>
    </w:p>
    <w:p w14:paraId="69FD0D85" w14:textId="11C07146" w:rsidR="004836CD" w:rsidRPr="00937C8B" w:rsidRDefault="004836CD" w:rsidP="0058501F">
      <w:pPr>
        <w:spacing w:before="120" w:line="312" w:lineRule="auto"/>
        <w:ind w:left="3261" w:hanging="3261"/>
        <w:jc w:val="both"/>
        <w:rPr>
          <w:rFonts w:ascii="Arial" w:hAnsi="Arial" w:cs="Arial"/>
        </w:rPr>
      </w:pPr>
      <w:r>
        <w:rPr>
          <w:rFonts w:ascii="Arial" w:hAnsi="Arial"/>
        </w:rPr>
        <w:t>*UNE-EN ISO 16283-1:2015</w:t>
      </w:r>
      <w:r>
        <w:rPr>
          <w:rFonts w:ascii="Arial" w:hAnsi="Arial"/>
        </w:rPr>
        <w:tab/>
        <w:t>Acoustique. Mesurage in situ de l’isolation acoustique des bâtiments et des éléments de construction. Partie 1: Isolement aux bruits aériens. (+UNE-EN ISO 16283-1:2015/A1:2018)</w:t>
      </w:r>
      <w:r w:rsidR="00E93486">
        <w:rPr>
          <w:rFonts w:ascii="Arial" w:hAnsi="Arial"/>
        </w:rPr>
        <w:t>.</w:t>
      </w:r>
    </w:p>
    <w:p w14:paraId="2BFC8547"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ISO 16283-2:2019</w:t>
      </w:r>
      <w:r>
        <w:rPr>
          <w:rFonts w:ascii="Arial" w:hAnsi="Arial"/>
        </w:rPr>
        <w:tab/>
        <w:t xml:space="preserve">Acoustique. Mesurage in situ de l’isolation acoustique des bâtiments et des éléments de construction. Partie 2: Protection contre le bruit de choc. </w:t>
      </w:r>
    </w:p>
    <w:p w14:paraId="1191C618"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ISO 16283-3:2016</w:t>
      </w:r>
      <w:r>
        <w:rPr>
          <w:rFonts w:ascii="Arial" w:hAnsi="Arial"/>
        </w:rPr>
        <w:tab/>
        <w:t xml:space="preserve">Acoustique. Mesurage in situ de l’isolation acoustique des bâtiments et des éléments de construction. Partie 3: Isolement aux bruits de façades. </w:t>
      </w:r>
    </w:p>
    <w:p w14:paraId="20693D45" w14:textId="77777777" w:rsidR="004836CD" w:rsidRPr="00937C8B" w:rsidRDefault="004836CD" w:rsidP="009467D5">
      <w:pPr>
        <w:pStyle w:val="CteTtulo3"/>
      </w:pPr>
      <w:r>
        <w:t>2</w:t>
      </w:r>
      <w:r>
        <w:tab/>
        <w:t>Mesure des paramètres acoustiques en laboratoire</w:t>
      </w:r>
    </w:p>
    <w:p w14:paraId="00603C8A"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ISO 10140-1:2016</w:t>
      </w:r>
      <w:r>
        <w:rPr>
          <w:rFonts w:ascii="Arial" w:hAnsi="Arial"/>
        </w:rPr>
        <w:tab/>
        <w:t>Acoustique. Mesurage en laboratoire de l’isolation acoustique des éléments de construction. Partie 1: Règles d’application pour produits particuliers.</w:t>
      </w:r>
    </w:p>
    <w:p w14:paraId="06FF1DA7" w14:textId="77777777" w:rsidR="004836CD" w:rsidRPr="00937C8B" w:rsidRDefault="004836CD" w:rsidP="0058501F">
      <w:pPr>
        <w:spacing w:before="120" w:line="312" w:lineRule="auto"/>
        <w:ind w:left="3261" w:hanging="3261"/>
        <w:jc w:val="both"/>
        <w:rPr>
          <w:rFonts w:ascii="Arial" w:hAnsi="Arial" w:cs="Arial"/>
        </w:rPr>
      </w:pPr>
      <w:r>
        <w:rPr>
          <w:rFonts w:ascii="Arial" w:hAnsi="Arial"/>
        </w:rPr>
        <w:lastRenderedPageBreak/>
        <w:t>UNE-EN ISO 10140-2:2011</w:t>
      </w:r>
      <w:r>
        <w:rPr>
          <w:rFonts w:ascii="Arial" w:hAnsi="Arial"/>
        </w:rPr>
        <w:tab/>
        <w:t>Acoustique. Mesurage en laboratoire de l’isolation acoustique des éléments de construction. Partie 2: Mesurage de l’isolation au bruit aérien.</w:t>
      </w:r>
    </w:p>
    <w:p w14:paraId="042146E5" w14:textId="1EC6421B" w:rsidR="004836CD" w:rsidRPr="00937C8B" w:rsidRDefault="004836CD" w:rsidP="0058501F">
      <w:pPr>
        <w:spacing w:before="120" w:line="312" w:lineRule="auto"/>
        <w:ind w:left="3261" w:hanging="3261"/>
        <w:jc w:val="both"/>
        <w:rPr>
          <w:rFonts w:ascii="Arial" w:hAnsi="Arial" w:cs="Arial"/>
        </w:rPr>
      </w:pPr>
      <w:r>
        <w:rPr>
          <w:rFonts w:ascii="Arial" w:hAnsi="Arial"/>
        </w:rPr>
        <w:t>UNE-EN ISO 10140-3:2011</w:t>
      </w:r>
      <w:r>
        <w:rPr>
          <w:rFonts w:ascii="Arial" w:hAnsi="Arial"/>
        </w:rPr>
        <w:tab/>
        <w:t>Acoustique. Mesurage en laboratoire de l’isolation acoustique des éléments de construction. Partie 3: Mesurage de l’isolation au bruit de choc. (+UNE-EN ISO 10140-3:2011/A1:2015)</w:t>
      </w:r>
      <w:r w:rsidR="00E93486">
        <w:rPr>
          <w:rFonts w:ascii="Arial" w:hAnsi="Arial"/>
        </w:rPr>
        <w:t>.</w:t>
      </w:r>
    </w:p>
    <w:p w14:paraId="0BA97C07"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ISO 10140-4:2011</w:t>
      </w:r>
      <w:r>
        <w:rPr>
          <w:rFonts w:ascii="Arial" w:hAnsi="Arial"/>
        </w:rPr>
        <w:tab/>
        <w:t xml:space="preserve">Acoustique. Mesurage en laboratoire de l’isolation acoustique des éléments de construction. Partie 4: Exigences et modes opératoires de mesure. </w:t>
      </w:r>
    </w:p>
    <w:p w14:paraId="0007CFA6" w14:textId="36E2B7B6" w:rsidR="004836CD" w:rsidRPr="00937C8B" w:rsidRDefault="004836CD" w:rsidP="0058501F">
      <w:pPr>
        <w:spacing w:before="120" w:line="312" w:lineRule="auto"/>
        <w:ind w:left="3261" w:hanging="3261"/>
        <w:jc w:val="both"/>
        <w:rPr>
          <w:rFonts w:ascii="Arial" w:hAnsi="Arial" w:cs="Arial"/>
        </w:rPr>
      </w:pPr>
      <w:r>
        <w:rPr>
          <w:rFonts w:ascii="Arial" w:hAnsi="Arial"/>
        </w:rPr>
        <w:t>UNE-EN ISO 10140-5:2011</w:t>
      </w:r>
      <w:r>
        <w:rPr>
          <w:rFonts w:ascii="Arial" w:hAnsi="Arial"/>
        </w:rPr>
        <w:tab/>
        <w:t>Acoustique. Mesurage en laboratoire de l’isolation acoustique des éléments de construction. Partie 5: Exigences relatives aux installations et appareillage d’essai. (+UNE-EN ISO 10140-5:2011/A1: 2014)</w:t>
      </w:r>
      <w:r w:rsidR="00E93486">
        <w:rPr>
          <w:rFonts w:ascii="Arial" w:hAnsi="Arial"/>
        </w:rPr>
        <w:t>.</w:t>
      </w:r>
    </w:p>
    <w:p w14:paraId="46B5BB3B" w14:textId="77777777" w:rsidR="004836CD" w:rsidRPr="00937C8B" w:rsidRDefault="004836CD" w:rsidP="009467D5">
      <w:pPr>
        <w:pStyle w:val="CteTtulo3"/>
      </w:pPr>
      <w:r>
        <w:t>3</w:t>
      </w:r>
      <w:r>
        <w:tab/>
        <w:t>Évaluation des paramètres acoustiques</w:t>
      </w:r>
    </w:p>
    <w:p w14:paraId="44DCB043"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ISO 717-1:2013</w:t>
      </w:r>
      <w:r>
        <w:rPr>
          <w:rFonts w:ascii="Arial" w:hAnsi="Arial"/>
        </w:rPr>
        <w:tab/>
        <w:t xml:space="preserve">Acoustique. Évaluation de l’isolement acoustique des immeubles et des éléments de construction. Partie 1: Isolement aux bruits aériens. </w:t>
      </w:r>
    </w:p>
    <w:p w14:paraId="6162D527"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ISO 717-2:2013</w:t>
      </w:r>
      <w:r>
        <w:rPr>
          <w:rFonts w:ascii="Arial" w:hAnsi="Arial"/>
        </w:rPr>
        <w:tab/>
        <w:t xml:space="preserve">Acoustique. Évaluation de l’isolement acoustique des immeubles et des éléments de construction. Partie 2: Protection contre le bruit de choc. </w:t>
      </w:r>
    </w:p>
    <w:p w14:paraId="279818B4"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ISO 11654:1998</w:t>
      </w:r>
      <w:r>
        <w:rPr>
          <w:rFonts w:ascii="Arial" w:hAnsi="Arial"/>
        </w:rPr>
        <w:tab/>
        <w:t>Acoustique. Absorbants pour l’utilisation dans les bâtiments. Évaluation de l’absorption acoustique.</w:t>
      </w:r>
    </w:p>
    <w:p w14:paraId="10F87B93" w14:textId="77777777" w:rsidR="004836CD" w:rsidRPr="00937C8B" w:rsidRDefault="004836CD" w:rsidP="009467D5">
      <w:pPr>
        <w:pStyle w:val="CteTtulo3"/>
      </w:pPr>
      <w:r>
        <w:t>4</w:t>
      </w:r>
      <w:r>
        <w:tab/>
        <w:t>Mesure des caractéristiques des produits</w:t>
      </w:r>
    </w:p>
    <w:p w14:paraId="27A96323"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29052-1:1994</w:t>
      </w:r>
      <w:r>
        <w:rPr>
          <w:rFonts w:ascii="Arial" w:hAnsi="Arial"/>
        </w:rPr>
        <w:tab/>
        <w:t xml:space="preserve">Acoustique. Détermination de la raideur dynamique. Partie 1: Matériaux utilisés sous les dalles flottantes dans les bâtiments d’habitation. </w:t>
      </w:r>
    </w:p>
    <w:p w14:paraId="284CFA0D"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29053:1994</w:t>
      </w:r>
      <w:r>
        <w:rPr>
          <w:rFonts w:ascii="Arial" w:hAnsi="Arial"/>
        </w:rPr>
        <w:tab/>
        <w:t xml:space="preserve">Acoustique. Matériaux pour applications acoustiques - Détermination de la résistance à l’écoulement de l’air. </w:t>
      </w:r>
    </w:p>
    <w:p w14:paraId="2C219160" w14:textId="77777777" w:rsidR="004836CD" w:rsidRPr="00937C8B" w:rsidRDefault="004836CD" w:rsidP="009467D5">
      <w:pPr>
        <w:pStyle w:val="CteTtulo3"/>
      </w:pPr>
      <w:r>
        <w:t>5</w:t>
      </w:r>
      <w:r>
        <w:tab/>
        <w:t>Produits</w:t>
      </w:r>
    </w:p>
    <w:p w14:paraId="1ED2E2BF"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200:2008</w:t>
      </w:r>
      <w:r>
        <w:rPr>
          <w:rFonts w:ascii="Arial" w:hAnsi="Arial"/>
        </w:rPr>
        <w:tab/>
        <w:t>Robinetterie sanitaire. Robinets simples et mélangeurs pour les systèmes d’alimentation type 1 et type 2. Spécifications techniques générales.</w:t>
      </w:r>
    </w:p>
    <w:p w14:paraId="1B518F2F" w14:textId="32AE99E9" w:rsidR="004836CD" w:rsidRPr="00937C8B" w:rsidRDefault="004836CD" w:rsidP="0058501F">
      <w:pPr>
        <w:spacing w:before="120" w:line="312" w:lineRule="auto"/>
        <w:ind w:left="3261" w:hanging="3261"/>
        <w:jc w:val="both"/>
        <w:rPr>
          <w:rFonts w:ascii="Arial" w:hAnsi="Arial" w:cs="Arial"/>
        </w:rPr>
      </w:pPr>
      <w:r>
        <w:rPr>
          <w:rFonts w:ascii="Arial" w:hAnsi="Arial"/>
        </w:rPr>
        <w:t>*UNE-EN 12207:2017</w:t>
      </w:r>
      <w:r>
        <w:rPr>
          <w:rFonts w:ascii="Arial" w:hAnsi="Arial"/>
        </w:rPr>
        <w:tab/>
        <w:t>Fenêtres et portes - Perméabilité à l’air. Classification</w:t>
      </w:r>
      <w:r w:rsidR="00E93486">
        <w:rPr>
          <w:rFonts w:ascii="Arial" w:hAnsi="Arial"/>
        </w:rPr>
        <w:t>.</w:t>
      </w:r>
    </w:p>
    <w:p w14:paraId="22EEB0BA" w14:textId="77777777" w:rsidR="007A61FF" w:rsidRPr="00937C8B" w:rsidRDefault="004836CD" w:rsidP="009467D5">
      <w:pPr>
        <w:spacing w:before="120" w:line="312" w:lineRule="auto"/>
        <w:ind w:left="3261" w:hanging="3261"/>
        <w:jc w:val="both"/>
        <w:rPr>
          <w:rFonts w:ascii="Arial" w:hAnsi="Arial" w:cs="Arial"/>
        </w:rPr>
      </w:pPr>
      <w:r>
        <w:rPr>
          <w:rFonts w:ascii="Arial" w:hAnsi="Arial"/>
        </w:rPr>
        <w:t>*UNE 100153:2004 IN</w:t>
      </w:r>
      <w:r>
        <w:rPr>
          <w:rFonts w:ascii="Arial" w:hAnsi="Arial"/>
        </w:rPr>
        <w:tab/>
        <w:t>Climatisation: Support antivibration. Critères de calcul.</w:t>
      </w:r>
    </w:p>
    <w:p w14:paraId="39FEA151" w14:textId="77777777" w:rsidR="004836CD" w:rsidRPr="00937C8B" w:rsidRDefault="004836CD" w:rsidP="0058501F">
      <w:pPr>
        <w:spacing w:before="120" w:line="312" w:lineRule="auto"/>
        <w:ind w:left="3261" w:hanging="3261"/>
        <w:jc w:val="both"/>
        <w:rPr>
          <w:rFonts w:ascii="Arial" w:hAnsi="Arial" w:cs="Arial"/>
        </w:rPr>
      </w:pPr>
      <w:r>
        <w:rPr>
          <w:rFonts w:ascii="Arial" w:hAnsi="Arial"/>
        </w:rPr>
        <w:lastRenderedPageBreak/>
        <w:t>*UNE 102043:2013</w:t>
      </w:r>
      <w:r>
        <w:rPr>
          <w:rFonts w:ascii="Arial" w:hAnsi="Arial"/>
        </w:rPr>
        <w:tab/>
        <w:t>Mise en œuvre des systèmes constructifs de plaques de plâtre. Cloisons, doublages et plafonds. Définitions, applications et recommandations.</w:t>
      </w:r>
    </w:p>
    <w:p w14:paraId="787F80C8" w14:textId="77777777" w:rsidR="004836CD" w:rsidRPr="00937C8B" w:rsidRDefault="004836CD" w:rsidP="009467D5">
      <w:pPr>
        <w:pStyle w:val="CteTtulo3"/>
      </w:pPr>
      <w:r>
        <w:t>6</w:t>
      </w:r>
      <w:r>
        <w:tab/>
        <w:t>Méthodes de calcul d’isolation acoustique et d’absorption acoustique</w:t>
      </w:r>
    </w:p>
    <w:p w14:paraId="4E7C6920" w14:textId="6F533C7C" w:rsidR="004836CD" w:rsidRPr="00937C8B" w:rsidRDefault="004836CD" w:rsidP="0058501F">
      <w:pPr>
        <w:spacing w:before="120" w:line="312" w:lineRule="auto"/>
        <w:ind w:left="3261" w:hanging="3261"/>
        <w:jc w:val="both"/>
        <w:rPr>
          <w:rFonts w:ascii="Arial" w:hAnsi="Arial" w:cs="Arial"/>
        </w:rPr>
      </w:pPr>
      <w:r>
        <w:rPr>
          <w:rFonts w:ascii="Arial" w:hAnsi="Arial"/>
        </w:rPr>
        <w:t>*UNE-EN ISO 12354-1:2018</w:t>
      </w:r>
      <w:r>
        <w:rPr>
          <w:rFonts w:ascii="Arial" w:hAnsi="Arial"/>
        </w:rPr>
        <w:tab/>
        <w:t>Acoustique du bâtiment - Calcul de la performance acoustique des bâtiments à partir de la performance des éléments - Partie 1: Isolement acoustique aux bruits aériens entre des locaux. (ISO 12354-1:2017)</w:t>
      </w:r>
      <w:r w:rsidR="00E93486">
        <w:rPr>
          <w:rFonts w:ascii="Arial" w:hAnsi="Arial"/>
        </w:rPr>
        <w:t>.</w:t>
      </w:r>
    </w:p>
    <w:p w14:paraId="15D9BCD4" w14:textId="67444DC4" w:rsidR="004836CD" w:rsidRPr="00937C8B" w:rsidRDefault="004836CD" w:rsidP="0058501F">
      <w:pPr>
        <w:spacing w:before="120" w:line="312" w:lineRule="auto"/>
        <w:ind w:left="3261" w:hanging="3261"/>
        <w:jc w:val="both"/>
        <w:rPr>
          <w:rFonts w:ascii="Arial" w:hAnsi="Arial" w:cs="Arial"/>
        </w:rPr>
      </w:pPr>
      <w:r>
        <w:rPr>
          <w:rFonts w:ascii="Arial" w:hAnsi="Arial"/>
        </w:rPr>
        <w:t>*UNE-EN ISO 12354-2:2018</w:t>
      </w:r>
      <w:r>
        <w:rPr>
          <w:rFonts w:ascii="Arial" w:hAnsi="Arial"/>
        </w:rPr>
        <w:tab/>
        <w:t>Acoustique du bâtiment - Calcul de la performance acoustique des bâtiments à partir de la performance des éléments - Partie 2: Isolement acoustique au bruit de choc entre des locaux. (ISO 12354-2:2017)</w:t>
      </w:r>
      <w:r w:rsidR="00E93486">
        <w:rPr>
          <w:rFonts w:ascii="Arial" w:hAnsi="Arial"/>
        </w:rPr>
        <w:t>.</w:t>
      </w:r>
    </w:p>
    <w:p w14:paraId="5D2DE070"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ISO 12354-3:2018</w:t>
      </w:r>
      <w:r>
        <w:rPr>
          <w:rFonts w:ascii="Arial" w:hAnsi="Arial"/>
        </w:rPr>
        <w:tab/>
        <w:t xml:space="preserve">Acoustique du bâtiment - Calcul de la performance acoustique des bâtiments à partir de la performance des éléments - Partie 3: Isolement aux bruits aériens venus de l’extérieur. (ISO 12354-3:2017). </w:t>
      </w:r>
    </w:p>
    <w:p w14:paraId="44081735" w14:textId="4268479F" w:rsidR="004836CD" w:rsidRPr="00937C8B" w:rsidRDefault="004836CD" w:rsidP="0058501F">
      <w:pPr>
        <w:spacing w:before="120" w:line="312" w:lineRule="auto"/>
        <w:ind w:left="3261" w:hanging="3261"/>
        <w:jc w:val="both"/>
        <w:rPr>
          <w:rFonts w:ascii="Arial" w:hAnsi="Arial" w:cs="Arial"/>
        </w:rPr>
      </w:pPr>
      <w:r>
        <w:rPr>
          <w:rFonts w:ascii="Arial" w:hAnsi="Arial"/>
        </w:rPr>
        <w:t>UNE-EN ISO 12354-4:2018</w:t>
      </w:r>
      <w:r>
        <w:rPr>
          <w:rFonts w:ascii="Arial" w:hAnsi="Arial"/>
        </w:rPr>
        <w:tab/>
        <w:t>Acoustique du bâtiment - Calcul de la performance acoustique des bâtiments à partir de la performance des éléments - Partie 4: Transmission du bruit intérieur à l’extérieur. (ISO 12354-4:2017)</w:t>
      </w:r>
      <w:r w:rsidR="00E93486">
        <w:rPr>
          <w:rFonts w:ascii="Arial" w:hAnsi="Arial"/>
        </w:rPr>
        <w:t>.</w:t>
      </w:r>
    </w:p>
    <w:p w14:paraId="056F2306" w14:textId="35907C6C" w:rsidR="004836CD" w:rsidRPr="00937C8B" w:rsidRDefault="004836CD" w:rsidP="0058501F">
      <w:pPr>
        <w:spacing w:before="120" w:line="312" w:lineRule="auto"/>
        <w:ind w:left="3261" w:hanging="3261"/>
        <w:jc w:val="both"/>
        <w:rPr>
          <w:rFonts w:ascii="Arial" w:hAnsi="Arial" w:cs="Arial"/>
        </w:rPr>
      </w:pPr>
      <w:r>
        <w:rPr>
          <w:rFonts w:ascii="Arial" w:hAnsi="Arial"/>
        </w:rPr>
        <w:t>UNE-EN 12354-5:2009</w:t>
      </w:r>
      <w:r>
        <w:rPr>
          <w:rFonts w:ascii="Arial" w:hAnsi="Arial"/>
        </w:rPr>
        <w:tab/>
        <w:t>Acoustique du bâtiment - Calcul de la performance acoustique des bâtiments à partir de la performance des éléments - Partie 5: Niveaux sonores dus aux équipements de bâtiment. (+UNE-EN 12354-5: 2009/AC: 2010)</w:t>
      </w:r>
      <w:r w:rsidR="00E93486">
        <w:rPr>
          <w:rFonts w:ascii="Arial" w:hAnsi="Arial"/>
        </w:rPr>
        <w:t>.</w:t>
      </w:r>
    </w:p>
    <w:p w14:paraId="139F5DB2" w14:textId="77777777" w:rsidR="004836CD" w:rsidRPr="00937C8B" w:rsidRDefault="004836CD" w:rsidP="0058501F">
      <w:pPr>
        <w:spacing w:before="120" w:line="312" w:lineRule="auto"/>
        <w:ind w:left="3261" w:hanging="3261"/>
        <w:jc w:val="both"/>
        <w:rPr>
          <w:rFonts w:ascii="Arial" w:hAnsi="Arial" w:cs="Arial"/>
        </w:rPr>
      </w:pPr>
      <w:r>
        <w:rPr>
          <w:rFonts w:ascii="Arial" w:hAnsi="Arial"/>
        </w:rPr>
        <w:t>UNE-EN 12354-6:2004</w:t>
      </w:r>
      <w:r>
        <w:rPr>
          <w:rFonts w:ascii="Arial" w:hAnsi="Arial"/>
        </w:rPr>
        <w:tab/>
        <w:t>Acoustique du bâtiment - Calcul de la performance acoustique des bâtiments à partir de la performance des éléments - Partie 6: Absorption acoustique des pièces et espaces fermés.»</w:t>
      </w:r>
    </w:p>
    <w:p w14:paraId="63DA3833"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L’annexe D est supprimé.</w:t>
      </w:r>
    </w:p>
    <w:p w14:paraId="45AAE1C1"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L’annexe E est supprimé.</w:t>
      </w:r>
    </w:p>
    <w:p w14:paraId="47A3922A"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H. Guide d’utilisation des grandeurs d’isolation en relation avec les exigences, article H.1 Isolation acoustique au bruit aérien, dans le tableau H.1, les références «UNE EN ISO 140-4» et «UNE EN ISO 140-5» sont remplacées respectivement par «UNE-EN ISO 16283-1» et «UNE-EN ISO 16283-3».</w:t>
      </w:r>
    </w:p>
    <w:p w14:paraId="692B220F"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lastRenderedPageBreak/>
        <w:t>- À l’annexe H. Guide d’utilisation des grandeurs d’isolation en relation avec les exigences, article H.2 Isolation acoustique au bruit de choc, point 1, dans le tableau H.2, la référence «UNE EN ISO 140-7» est remplacée par «UNE-EN ISO 16283-2».</w:t>
      </w:r>
    </w:p>
    <w:p w14:paraId="36C67A42" w14:textId="77777777" w:rsidR="004836CD" w:rsidRPr="00937C8B" w:rsidRDefault="004836CD" w:rsidP="0058501F">
      <w:pPr>
        <w:tabs>
          <w:tab w:val="left" w:pos="426"/>
        </w:tabs>
        <w:spacing w:before="120" w:line="312" w:lineRule="auto"/>
        <w:jc w:val="both"/>
        <w:rPr>
          <w:rFonts w:ascii="Arial" w:hAnsi="Arial" w:cs="Arial"/>
        </w:rPr>
      </w:pPr>
      <w:r>
        <w:rPr>
          <w:rFonts w:ascii="Arial" w:hAnsi="Arial"/>
        </w:rPr>
        <w:t>- À l’annexe H. Guide d’utilisation des grandeurs d’isolation en relation avec les exigences, article H.2 Isolation acoustique au bruit de choc, point 2, la référence «UNE EN ISO 140-7» est remplacée par «UNE-EN ISO 16283-2».</w:t>
      </w:r>
    </w:p>
    <w:p w14:paraId="774D0386" w14:textId="77777777" w:rsidR="004836CD" w:rsidRPr="00937C8B" w:rsidRDefault="004836CD" w:rsidP="0058501F">
      <w:pPr>
        <w:spacing w:before="120" w:line="312" w:lineRule="auto"/>
        <w:jc w:val="both"/>
        <w:rPr>
          <w:rFonts w:ascii="Arial" w:hAnsi="Arial" w:cs="Arial"/>
        </w:rPr>
      </w:pPr>
      <w:r>
        <w:rPr>
          <w:rFonts w:ascii="Arial" w:hAnsi="Arial"/>
        </w:rPr>
        <w:t>Douze. Dans le document de base DB-HS «Salubrité», les références réglementaires indiquées sont mises à jour dans les termes suivants:</w:t>
      </w:r>
    </w:p>
    <w:p w14:paraId="608D2BCE" w14:textId="77777777"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 xml:space="preserve">- Dans l’introduction, article III Critères généraux d’application, le paragraphe: «Lorsqu’une disposition réglementaire est citée dans ce DB, il est entendu qu’il s’agit de la version en vigueur au moment d’application de celui-ci. Lorsqu’une norme UNE, UNE-EN ou UNE-EN ISO est citée, il est entendu qu’il s’agit de la version indiquée, même s’il existe une version ultérieure, sauf s’il s’agit de normes UNE correspondant aux normes EN ou EN ISO dont la référence a été publiée au Journal officiel de l’Union européenne dans le cadre de l’application de la directive 89/106/CEE sur les produits de construction, auquel cas la citation doit être mise en relation avec la version de ladite référence» est remplacé par les paragraphes suivants: </w:t>
      </w:r>
    </w:p>
    <w:p w14:paraId="22D66F0E" w14:textId="41A7FCAB"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«Lorsqu’une disposition réglementaire est citée dans ce DB, il est entendu qu’il s’agit de la version en vigueur au moment d’application de celui-ci. Lorsqu’une norme UNE, UNE-EN ou UNE-EN ISO est citée, il est entendu qu’il s’agit de la version indiquée, même s’il existe une version ultérieure, sauf s’il s’agit de normes UNE-EN portant transposition de normes EN dont les références ont été publiées au Journal officiel de l’Union européenne dans le cadre de l’application du règlement (UE) n ° 305/2011 du Parlement européen et du Conseil du 9</w:t>
      </w:r>
      <w:r w:rsidR="00EA7588">
        <w:rPr>
          <w:rFonts w:ascii="Arial" w:hAnsi="Arial"/>
        </w:rPr>
        <w:t> </w:t>
      </w:r>
      <w:r>
        <w:rPr>
          <w:rFonts w:ascii="Arial" w:hAnsi="Arial"/>
        </w:rPr>
        <w:t>mars</w:t>
      </w:r>
      <w:r w:rsidR="00EA7588">
        <w:rPr>
          <w:rFonts w:ascii="Arial" w:hAnsi="Arial"/>
        </w:rPr>
        <w:t> </w:t>
      </w:r>
      <w:r>
        <w:rPr>
          <w:rFonts w:ascii="Arial" w:hAnsi="Arial"/>
        </w:rPr>
        <w:t>2011 établissant des conditions harmonisées de commercialisation pour les produits de construction et abrogeant la directive 89/106/CEE du Conseil, auquel cas la citation doit être mise en relation avec la dernière communication de la Commission comprenant ladite référence. Dans le cas de normes relatives aux méthodes d’essais référencées dans les normes harmonisées, il convient d’appliquer la version figurant dans les normes harmonisées UNE-EN susmentionnées.</w:t>
      </w:r>
    </w:p>
    <w:p w14:paraId="176F312C" w14:textId="77777777"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Les normes mentionnées dans cette DB peuvent être remplacées par d’autres parmi celles utilisées dans tout autre État membre de l’Union européenne ou partie à l’accord sur l’Espace économique européen, et dans les États qui ont conclu un accord d’association douanière avec l’Union européenne, dès lors qu’il est démontré que ces normes présentent des spécifications techniques identiques».</w:t>
      </w:r>
    </w:p>
    <w:p w14:paraId="1FBE2A98"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xml:space="preserve">- Au chapitre HS 1, article 2.3.2, la référence «UNE EN 772-11:2001 et UNE EN 772-11:2001/A1:2006» est remplacée par «UNE-EN 772-11:2011». </w:t>
      </w:r>
    </w:p>
    <w:p w14:paraId="5D74D93E"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lastRenderedPageBreak/>
        <w:t>- Au chapitre HS 1, article 2.3.2, la référence «UNE EN 13755:2002» est remplacée par «UNE-EN 13755:2008».</w:t>
      </w:r>
    </w:p>
    <w:p w14:paraId="66BEF910"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1, article 2.4.3.1, la référence «UNE 127100» est remplacée par «UNE 127100:1999».</w:t>
      </w:r>
    </w:p>
    <w:p w14:paraId="4765B6F9"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1, article 2.4.3.1, la référence «UNE 136020» est remplacée par «UNE 136020:2004».</w:t>
      </w:r>
    </w:p>
    <w:p w14:paraId="24295855"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xml:space="preserve">- Au chapitre HS 1, article 4.1.2, la référence «UNE EN 772-11:2001 et UNE EN 772-11:2001/A1:2006» est remplacée par «UNE-EN 772-11:2011». </w:t>
      </w:r>
    </w:p>
    <w:p w14:paraId="612E819B"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xml:space="preserve">- Au chapitre HS 1, article 5.1.3.1, la référence «UNE EN 772-11:2001 et UNE EN 772-11:2001/A1:2006» est remplacée par «UNE-EN 772-11:2011». </w:t>
      </w:r>
    </w:p>
    <w:p w14:paraId="502EF126"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1, annexe A, la référence «UNE EN 1609:1997» est remplacée par «UNE EN 1609:2013» et la référence «UNE EN 12087:1997» est remplacée par «UNE-EN 12087:2013».</w:t>
      </w:r>
    </w:p>
    <w:p w14:paraId="33E6107A"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2, article 2.1.3, la référence «UNE 20315:1994» est remplacée par «UNE 20315:2017».</w:t>
      </w:r>
    </w:p>
    <w:p w14:paraId="1C12F1B6"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3, article 3.1.1, la référence «UNE EN 12207:2000» est remplacée par «UNE-EN 12207:2017».</w:t>
      </w:r>
    </w:p>
    <w:p w14:paraId="1DCFA158"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3, article 5.1, la référence «UNE 100 102:1988» est remplacée par «UNE-EN 1507:2007».</w:t>
      </w:r>
    </w:p>
    <w:p w14:paraId="416D78B9"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4.4.4, point 1, la référence «UNE 100 156:1989» est remplacée par «UNE 100156:2014 IN» et la référence «UNE ENV 12 108:2002» est remplacée par «UNE-ENV 12 108:2015 IN».</w:t>
      </w:r>
    </w:p>
    <w:p w14:paraId="1FBD1D30"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4.5.2.1, point 2, la référence «UNE 100 030:1994» est remplacée par «UNE 100030:2017».</w:t>
      </w:r>
    </w:p>
    <w:p w14:paraId="351574F5"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5.1.1.2, point 3, la référence «UNE 10242:1995» est remplacée par «UNE 10242:1995 (+UNE-EN 10242/1M:1999, +UNE-EN 10242/A2:2004)».</w:t>
      </w:r>
    </w:p>
    <w:p w14:paraId="1334AF87"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5.1.1.3.3, point 2, la référence «UNE EN ISO 12 241:1999» est remplacée par «UNE-EN ISO 12241:2010».</w:t>
      </w:r>
    </w:p>
    <w:p w14:paraId="673E7D52"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5.1.4.2, point 5, la référence «comme le spécifie la norme UNE 100 050:20» est supprimée.</w:t>
      </w:r>
    </w:p>
    <w:p w14:paraId="635AA43B"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5.2.1.1, point 2, b), la référence «Méthode A de la norme UNE ENV 12108:2002» est remplacée par «procédure d’essai A de la norme UNE-CEN/TR 12108:2015 IN».</w:t>
      </w:r>
    </w:p>
    <w:p w14:paraId="275B456D"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lastRenderedPageBreak/>
        <w:t>- Au chapitre HS 4, article 6.2, point 1, a), la référence «tubes en acier galvanisé, selon la norme UNE 19 047:1996» est supprimée.</w:t>
      </w:r>
    </w:p>
    <w:p w14:paraId="73831FD7"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6.2, point 1, b), la référence «Norme UNE EN 1 057:1996» est remplacée par «norme UNE-EN 1057:2007+A1:2010».</w:t>
      </w:r>
    </w:p>
    <w:p w14:paraId="0869729F"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6.2, point 1, c), la référence «Norme» est remplacée par «norme».</w:t>
      </w:r>
    </w:p>
    <w:p w14:paraId="505EE672"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6.2, point 1, d), la référence «Norme UNE EN 545:1995» est remplacée par «norme UNE-EN 545:2011».</w:t>
      </w:r>
    </w:p>
    <w:p w14:paraId="63BB9574"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6.2, point 1, e), la référence «Norme UNE EN 1452:2000» est remplacée par «normes UNE-EN ISO 1452-1:2010, UNE-EN ISO 1452-2:2010 et UNE-EN ISO 1452-3:2011».</w:t>
      </w:r>
    </w:p>
    <w:p w14:paraId="2E616E84"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6.2, point 1, f), la référence «Norme UNE EN ISO 15877:2004» est remplacée par «normes UNE-EN ISO 15874-1:2013, UNE-EN ISO 15874-2:2013 et UNE-EN ISO 15874-1:2013».</w:t>
      </w:r>
    </w:p>
    <w:p w14:paraId="6AD97C97"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6.2, point 1, g), la référence «Normes UNE EN 12201:2003» est remplacée par «normes UNE-EN 12201-1:2012, UNE-EN 12201-2:2012+A1:2014, UNE-EN 12201-3:2012 + A1:2013 et UNE-EN 12201-4:2012».</w:t>
      </w:r>
    </w:p>
    <w:p w14:paraId="348DA75D"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6.2, point 1, h), la référence «Norme UNE EN ISO 15875:2004» est remplacée par «normes UNE-EN ISO 15875-1:2004 (+UNE-EN ISO 15875-1:2004/A1:2007), UNE-EN ISO 15875-2:2004 (+UNE-EN ISO 15875-2:2004/A1:2007) et UNE-EN ISO 15875-3:2004».</w:t>
      </w:r>
    </w:p>
    <w:p w14:paraId="395A7407"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6.2, point 1, i), la référence «Norme UNE EN ISO 15876:2004» est remplacée par «normes UNE-EN ISO 15876-1:2017, UNE-EN ISO 15876-2:2017 et UNE-EN ISO 15876-3:2017».</w:t>
      </w:r>
    </w:p>
    <w:p w14:paraId="5E21F0D4"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6.2, point 1, j), la référence «Norme UNE EN ISO 15874:2004» est remplacée par «normes UNE-EN ISO 15874-1:2013, UNE-EN ISO 15874-2:2013 et UNE-EN ISO 15874-3:2013».</w:t>
      </w:r>
    </w:p>
    <w:p w14:paraId="5720EF5F"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6.2, point 1, les références de k) et l) sont remplacées par une seule référence «tubes multicouche en polymère conformément aux normes UNE-EN ISO 21003-1:2009, UNE-EN ISO 21003-2:2009 (+UNE-EN ISO 21003-2:2009/A1:2011) et UNE-EN ISO 21003-3:2009».</w:t>
      </w:r>
    </w:p>
    <w:p w14:paraId="258C011B"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4, article 6.2, point 1, la liste est renommée de a) à j).</w:t>
      </w:r>
    </w:p>
    <w:p w14:paraId="07132A60" w14:textId="77777777" w:rsidR="004836CD" w:rsidRPr="00937C8B" w:rsidRDefault="004836CD" w:rsidP="00D27646">
      <w:pPr>
        <w:keepNext/>
        <w:tabs>
          <w:tab w:val="left" w:pos="0"/>
          <w:tab w:val="left" w:pos="8460"/>
          <w:tab w:val="left" w:pos="10432"/>
        </w:tabs>
        <w:spacing w:before="120" w:line="312" w:lineRule="auto"/>
        <w:ind w:right="-6"/>
        <w:jc w:val="both"/>
        <w:rPr>
          <w:rFonts w:ascii="Arial" w:hAnsi="Arial" w:cs="Arial"/>
        </w:rPr>
      </w:pPr>
      <w:r>
        <w:rPr>
          <w:rFonts w:ascii="Arial" w:hAnsi="Arial"/>
        </w:rPr>
        <w:t>- Au chapitre HS 4, l’«Annexe C. Normes de référence» est remplacé par ce qui suit:</w:t>
      </w:r>
    </w:p>
    <w:p w14:paraId="054D55E2" w14:textId="77777777" w:rsidR="004836CD" w:rsidRPr="00937C8B" w:rsidRDefault="004836CD" w:rsidP="00D27646">
      <w:pPr>
        <w:pStyle w:val="Titre4"/>
        <w:spacing w:before="120" w:line="312" w:lineRule="auto"/>
        <w:ind w:left="709"/>
        <w:rPr>
          <w:rFonts w:ascii="Arial" w:hAnsi="Arial" w:cs="Arial"/>
          <w:b w:val="0"/>
          <w:sz w:val="24"/>
          <w:szCs w:val="24"/>
        </w:rPr>
      </w:pPr>
      <w:r>
        <w:rPr>
          <w:rFonts w:ascii="Arial" w:hAnsi="Arial"/>
          <w:b w:val="0"/>
          <w:sz w:val="24"/>
          <w:szCs w:val="24"/>
        </w:rPr>
        <w:t>«Annexe C. Normes de référence</w:t>
      </w:r>
    </w:p>
    <w:p w14:paraId="02E46AA4" w14:textId="77777777" w:rsidR="004836CD" w:rsidRPr="00937C8B" w:rsidRDefault="004836CD" w:rsidP="0058501F">
      <w:pPr>
        <w:pStyle w:val="Corpsdetexte"/>
        <w:spacing w:before="120" w:line="312" w:lineRule="auto"/>
        <w:ind w:left="709"/>
        <w:rPr>
          <w:rFonts w:ascii="Arial" w:hAnsi="Arial" w:cs="Arial"/>
          <w:sz w:val="24"/>
          <w:szCs w:val="24"/>
        </w:rPr>
      </w:pPr>
      <w:r>
        <w:rPr>
          <w:rFonts w:ascii="Arial" w:hAnsi="Arial"/>
          <w:sz w:val="24"/>
          <w:szCs w:val="24"/>
        </w:rPr>
        <w:t>Cet annexe récapitule les références complètes des normes citées dans le DB HS4.</w:t>
      </w:r>
    </w:p>
    <w:p w14:paraId="0FDBB726" w14:textId="0302170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lastRenderedPageBreak/>
        <w:t>UNE 10242:1995</w:t>
      </w:r>
      <w:r>
        <w:rPr>
          <w:rFonts w:ascii="Arial" w:hAnsi="Arial"/>
          <w:sz w:val="24"/>
          <w:szCs w:val="24"/>
        </w:rPr>
        <w:tab/>
        <w:t>Raccords de tuyauterie filetés en fonte malléable. (+UNE-EN 10242/1M:1999, +UNE-EN 10242/A2:2004)</w:t>
      </w:r>
      <w:r w:rsidR="00E93486">
        <w:rPr>
          <w:rFonts w:ascii="Arial" w:hAnsi="Arial"/>
          <w:sz w:val="24"/>
          <w:szCs w:val="24"/>
        </w:rPr>
        <w:t>.</w:t>
      </w:r>
    </w:p>
    <w:p w14:paraId="7B0DEEAA"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 19049-1:1997</w:t>
      </w:r>
      <w:r>
        <w:rPr>
          <w:rFonts w:ascii="Arial" w:hAnsi="Arial"/>
          <w:sz w:val="24"/>
          <w:szCs w:val="24"/>
        </w:rPr>
        <w:tab/>
        <w:t>Tubes d’acier inoxydable pour installations de distribution d’eau (à froid et à chaud). Partie 1: Tubes.</w:t>
      </w:r>
    </w:p>
    <w:p w14:paraId="6089FA00"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 100030:2017</w:t>
      </w:r>
      <w:r>
        <w:rPr>
          <w:rFonts w:ascii="Arial" w:hAnsi="Arial"/>
          <w:sz w:val="24"/>
          <w:szCs w:val="24"/>
        </w:rPr>
        <w:tab/>
        <w:t xml:space="preserve">Lignes directrices pour la prévention et le contrôle de la prolifération et la propagation des légionelles dans les installations. </w:t>
      </w:r>
    </w:p>
    <w:p w14:paraId="2848B0C9"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 100151:1988</w:t>
      </w:r>
      <w:r>
        <w:rPr>
          <w:rFonts w:ascii="Arial" w:hAnsi="Arial"/>
          <w:sz w:val="24"/>
          <w:szCs w:val="24"/>
        </w:rPr>
        <w:tab/>
        <w:t>Climatisation. Essais d’étanchéité pour réseaux de canalisations.</w:t>
      </w:r>
    </w:p>
    <w:p w14:paraId="07B2E03F" w14:textId="77777777" w:rsidR="004836CD" w:rsidRPr="00937C8B" w:rsidRDefault="004836CD" w:rsidP="0058501F">
      <w:pPr>
        <w:pStyle w:val="nota"/>
        <w:tabs>
          <w:tab w:val="clear" w:pos="1122"/>
          <w:tab w:val="clear" w:pos="1309"/>
        </w:tabs>
        <w:spacing w:before="120" w:line="312" w:lineRule="auto"/>
        <w:ind w:left="3969" w:hanging="3260"/>
        <w:rPr>
          <w:bCs w:val="0"/>
          <w:sz w:val="24"/>
        </w:rPr>
      </w:pPr>
      <w:r>
        <w:rPr>
          <w:bCs w:val="0"/>
          <w:sz w:val="24"/>
        </w:rPr>
        <w:t>UNE 100156:2004 IN</w:t>
      </w:r>
      <w:r>
        <w:rPr>
          <w:bCs w:val="0"/>
          <w:sz w:val="24"/>
        </w:rPr>
        <w:tab/>
        <w:t>Climatisation. Joints d’expansion. Critères de calcul.</w:t>
      </w:r>
    </w:p>
    <w:p w14:paraId="74518077"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 100171:1989 IN</w:t>
      </w:r>
      <w:r>
        <w:rPr>
          <w:rFonts w:ascii="Arial" w:hAnsi="Arial"/>
          <w:sz w:val="24"/>
          <w:szCs w:val="24"/>
        </w:rPr>
        <w:tab/>
        <w:t>Climatisation. Isolation thermique. Matériaux et emplacement.</w:t>
      </w:r>
    </w:p>
    <w:p w14:paraId="75BA3C2E"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 CEN/TR 12108:2015 IN</w:t>
      </w:r>
      <w:r>
        <w:rPr>
          <w:rFonts w:ascii="Arial" w:hAnsi="Arial"/>
          <w:sz w:val="24"/>
          <w:szCs w:val="24"/>
        </w:rPr>
        <w:tab/>
        <w:t>Systèmes de canalisations plastiques - Guide pour l’installation à l’intérieur de structures de bâtiments de systèmes de canalisations sous pression pour l’eau chaude et l’eau froide destinées à la consommation humaine.</w:t>
      </w:r>
    </w:p>
    <w:p w14:paraId="04A3A0BC"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UNE-EN 1057:2007+A1:2010</w:t>
      </w:r>
      <w:r>
        <w:rPr>
          <w:rFonts w:ascii="Arial" w:hAnsi="Arial"/>
          <w:sz w:val="24"/>
          <w:szCs w:val="24"/>
        </w:rPr>
        <w:tab/>
        <w:t>Cuivre et alliages de cuivre - Tubes ronds sans soudure en cuivre pour l’eau et le gaz dans les applications sanitaires et de chauffage.</w:t>
      </w:r>
    </w:p>
    <w:p w14:paraId="1459EEB1"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 xml:space="preserve">UNE-EN 10240:1998 </w:t>
      </w:r>
      <w:r>
        <w:rPr>
          <w:rFonts w:ascii="Arial" w:hAnsi="Arial"/>
          <w:sz w:val="24"/>
          <w:szCs w:val="24"/>
        </w:rPr>
        <w:tab/>
        <w:t>Revêtements intérieur et/ou extérieur des tubes en acier. Spécifications pour revêtements de galvanisation à chaud sur des lignes automatiques.</w:t>
      </w:r>
    </w:p>
    <w:p w14:paraId="5926BE16"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UNE-EN 12201-1:2012</w:t>
      </w:r>
      <w:r>
        <w:rPr>
          <w:rFonts w:ascii="Arial" w:hAnsi="Arial"/>
          <w:sz w:val="24"/>
          <w:szCs w:val="24"/>
        </w:rPr>
        <w:tab/>
        <w:t>Systèmes de canalisations en plastique pour l’alimentation en eau et pour les branchements et les collecteurs d’assainissement avec pression - Polyéthylène (PE) - Partie 1: Généralités.</w:t>
      </w:r>
    </w:p>
    <w:p w14:paraId="3E573E44"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UNE-EN 12201-2:2012+A1:2014</w:t>
      </w:r>
      <w:r>
        <w:rPr>
          <w:rFonts w:ascii="Arial" w:hAnsi="Arial"/>
          <w:sz w:val="24"/>
          <w:szCs w:val="24"/>
        </w:rPr>
        <w:tab/>
        <w:t>Systèmes de canalisations en plastique pour l’alimentation en eau et pour les branchements et les collecteurs d’assainissement avec pression. Polyéthylène (PE) - Partie 2: Tubes.</w:t>
      </w:r>
    </w:p>
    <w:p w14:paraId="33FC7C3D"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UNE-EN 12201-3:2012+A1:2013</w:t>
      </w:r>
      <w:r>
        <w:rPr>
          <w:rFonts w:ascii="Arial" w:hAnsi="Arial"/>
          <w:sz w:val="24"/>
          <w:szCs w:val="24"/>
        </w:rPr>
        <w:tab/>
        <w:t>Systèmes de canalisations en plastique pour l’alimentation en eau et pour les branchements et les collecteurs d’assainissement avec pression. Polyéthylène (PE) - Partie 3: Raccords.</w:t>
      </w:r>
    </w:p>
    <w:p w14:paraId="7836F936"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lastRenderedPageBreak/>
        <w:t>UNE-EN 12201-4:2012</w:t>
      </w:r>
      <w:r>
        <w:rPr>
          <w:rFonts w:ascii="Arial" w:hAnsi="Arial"/>
          <w:sz w:val="24"/>
          <w:szCs w:val="24"/>
        </w:rPr>
        <w:tab/>
        <w:t>Systèmes de canalisations en plastique pour l’alimentation en eau et pour les branchements et les collecteurs d’assainissement avec pression - Polyéthylène (PE) - Partie 4: Robinets.</w:t>
      </w:r>
    </w:p>
    <w:p w14:paraId="700390A3"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 xml:space="preserve">UNE-EN ISO 1452-1:2010 </w:t>
      </w:r>
      <w:r>
        <w:rPr>
          <w:rFonts w:ascii="Arial" w:hAnsi="Arial"/>
          <w:sz w:val="24"/>
          <w:szCs w:val="24"/>
        </w:rPr>
        <w:tab/>
        <w:t>Systèmes de canalisations en plastique pour l’alimentation en eau, pour branchements et collecteurs d’assainissement enterrés et aériens avec pression - Poly(chlorure de vinyle) non plastifié (PVC-U) - Partie 1: Généralités.</w:t>
      </w:r>
    </w:p>
    <w:p w14:paraId="53D0BF84"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 xml:space="preserve">UNE-EN ISO 1452-2:2010 </w:t>
      </w:r>
      <w:r>
        <w:rPr>
          <w:rFonts w:ascii="Arial" w:hAnsi="Arial"/>
          <w:sz w:val="24"/>
          <w:szCs w:val="24"/>
        </w:rPr>
        <w:tab/>
        <w:t>Systèmes de canalisations en plastique pour l’alimentation en eau, pour branchements et collecteurs d’assainissement enterrés et aériens avec pression - Poly(chlorure de vinyle) non plastifié (PVC-U) - Partie 2: Tubes.</w:t>
      </w:r>
    </w:p>
    <w:p w14:paraId="0A500000"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 xml:space="preserve">UNE-EN ISO 1452-3:2011 </w:t>
      </w:r>
      <w:r>
        <w:rPr>
          <w:rFonts w:ascii="Arial" w:hAnsi="Arial"/>
          <w:sz w:val="24"/>
          <w:szCs w:val="24"/>
        </w:rPr>
        <w:tab/>
        <w:t>Systèmes de canalisations en plastique pour l’alimentation en eau, pour branchements et collecteurs d’assainissement enterrés et aériens avec pression - Poly(chlorure de vinyle) non plastifié (PVC-U) - Partie 3: Raccords.</w:t>
      </w:r>
    </w:p>
    <w:p w14:paraId="3A1CB9B2"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UNE-EN ISO 12241:2010</w:t>
      </w:r>
      <w:r>
        <w:rPr>
          <w:rFonts w:ascii="Arial" w:hAnsi="Arial"/>
          <w:sz w:val="24"/>
          <w:szCs w:val="24"/>
        </w:rPr>
        <w:tab/>
        <w:t>Isolation thermique des équipements de bâtiments et des installations industrielles - Méthodes de calcul.</w:t>
      </w:r>
    </w:p>
    <w:p w14:paraId="7B0CB641"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UNE-EN ISO 15874-1:2013</w:t>
      </w:r>
      <w:r>
        <w:rPr>
          <w:rFonts w:ascii="Arial" w:hAnsi="Arial"/>
          <w:sz w:val="24"/>
          <w:szCs w:val="24"/>
        </w:rPr>
        <w:tab/>
        <w:t>Systèmes de canalisations en plastique pour les installations d’eau chaude et froide - Polypropylène (PP) - Partie 1: Généralités.</w:t>
      </w:r>
    </w:p>
    <w:p w14:paraId="31B8DE97"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UNE-EN ISO 15874-2:2013</w:t>
      </w:r>
      <w:r>
        <w:rPr>
          <w:rFonts w:ascii="Arial" w:hAnsi="Arial"/>
          <w:sz w:val="24"/>
          <w:szCs w:val="24"/>
        </w:rPr>
        <w:tab/>
        <w:t>Systèmes de canalisations en plastique pour les installations d’eau chaude et froide - Polypropylène (PP) - Partie 2: Tubes.</w:t>
      </w:r>
    </w:p>
    <w:p w14:paraId="1C400DD1"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UNE-EN ISO 15874-3:2013</w:t>
      </w:r>
      <w:r>
        <w:rPr>
          <w:rFonts w:ascii="Arial" w:hAnsi="Arial"/>
          <w:sz w:val="24"/>
          <w:szCs w:val="24"/>
        </w:rPr>
        <w:tab/>
        <w:t>Systèmes de canalisations en plastique pour les installations d’eau chaude et froide - Polypropylène (PP) - Partie 3: Raccords.</w:t>
      </w:r>
    </w:p>
    <w:p w14:paraId="605EBEED" w14:textId="023A083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 xml:space="preserve">UNE-EN ISO 15875-1:2004 </w:t>
      </w:r>
      <w:r>
        <w:rPr>
          <w:rFonts w:ascii="Arial" w:hAnsi="Arial"/>
          <w:sz w:val="24"/>
          <w:szCs w:val="24"/>
        </w:rPr>
        <w:tab/>
        <w:t>Systèmes de canalisations en plastique pour les installations d’eau chaude et froide - Polyéthylène réticulé (PE-X) - Partie 1: Généralités. (+UNE-EN ISO 15875-1:2004/A1:2007)</w:t>
      </w:r>
      <w:r w:rsidR="00E93486">
        <w:rPr>
          <w:rFonts w:ascii="Arial" w:hAnsi="Arial"/>
          <w:sz w:val="24"/>
          <w:szCs w:val="24"/>
        </w:rPr>
        <w:t>.</w:t>
      </w:r>
    </w:p>
    <w:p w14:paraId="2DCF6630" w14:textId="0759E0F5"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 xml:space="preserve">UNE-EN ISO 15875-2:2004 </w:t>
      </w:r>
      <w:r>
        <w:rPr>
          <w:rFonts w:ascii="Arial" w:hAnsi="Arial"/>
          <w:sz w:val="24"/>
          <w:szCs w:val="24"/>
        </w:rPr>
        <w:tab/>
        <w:t>Systèmes de canalisations en plastique pour les installations d’eau chaude et froide - Polyéthylène réticulé (PE-X) - Partie 2: Tubes. (+UNE-EN ISO 15875-2:2004/A1:2007)</w:t>
      </w:r>
      <w:r w:rsidR="00E93486">
        <w:rPr>
          <w:rFonts w:ascii="Arial" w:hAnsi="Arial"/>
          <w:sz w:val="24"/>
          <w:szCs w:val="24"/>
        </w:rPr>
        <w:t>.</w:t>
      </w:r>
    </w:p>
    <w:p w14:paraId="088FFBFC"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lastRenderedPageBreak/>
        <w:t>UNE-EN ISO 15875-3:2004</w:t>
      </w:r>
      <w:r>
        <w:rPr>
          <w:rFonts w:ascii="Arial" w:hAnsi="Arial"/>
          <w:sz w:val="24"/>
          <w:szCs w:val="24"/>
        </w:rPr>
        <w:tab/>
        <w:t>Systèmes de canalisations en plastique pour les installations d’eau chaude et froide - Polyéthylène réticulé (PE-X) - Partie 3: Raccords.</w:t>
      </w:r>
    </w:p>
    <w:p w14:paraId="16C29D09"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UNE-EN ISO 15876-1:2017</w:t>
      </w:r>
      <w:r>
        <w:rPr>
          <w:rFonts w:ascii="Arial" w:hAnsi="Arial"/>
          <w:sz w:val="24"/>
          <w:szCs w:val="24"/>
        </w:rPr>
        <w:tab/>
        <w:t>Systèmes de canalisations en plastique pour les installations d’eau chaude et froide - Polybutène (PB). Partie 1: Généralités.</w:t>
      </w:r>
    </w:p>
    <w:p w14:paraId="430F155F"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UNE-EN ISO 15876-2:2017</w:t>
      </w:r>
      <w:r>
        <w:rPr>
          <w:rFonts w:ascii="Arial" w:hAnsi="Arial"/>
          <w:sz w:val="24"/>
          <w:szCs w:val="24"/>
        </w:rPr>
        <w:tab/>
        <w:t>Systèmes de canalisations en plastique pour les installations d’eau chaude et froide - Polybutène (PB). Partie 2: Tubes.</w:t>
      </w:r>
    </w:p>
    <w:p w14:paraId="34B3B2B5"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UNE-EN ISO 15876-3:2017</w:t>
      </w:r>
      <w:r>
        <w:rPr>
          <w:rFonts w:ascii="Arial" w:hAnsi="Arial"/>
          <w:sz w:val="24"/>
          <w:szCs w:val="24"/>
        </w:rPr>
        <w:tab/>
        <w:t>Systèmes de canalisations en plastique pour les installations d’eau chaude et froide - Polybutène (PB). Partie 3: Raccords.</w:t>
      </w:r>
    </w:p>
    <w:p w14:paraId="6CDB9162"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 xml:space="preserve">UNE-EN ISO 21003-1:2009 </w:t>
      </w:r>
      <w:r>
        <w:rPr>
          <w:rFonts w:ascii="Arial" w:hAnsi="Arial"/>
          <w:sz w:val="24"/>
          <w:szCs w:val="24"/>
        </w:rPr>
        <w:tab/>
        <w:t>Systèmes de canalisations multicouches pour installations d’eau chaude et froide à l’intérieur des bâtiments - Partie 1: Généralités.</w:t>
      </w:r>
    </w:p>
    <w:p w14:paraId="3E654F51" w14:textId="1E17B93E"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 xml:space="preserve">UNE-EN ISO 21003-2:2009 </w:t>
      </w:r>
      <w:r>
        <w:rPr>
          <w:rFonts w:ascii="Arial" w:hAnsi="Arial"/>
          <w:sz w:val="24"/>
          <w:szCs w:val="24"/>
        </w:rPr>
        <w:tab/>
        <w:t>Systèmes de canalisations multicouches pour installations d’eau chaude et froide à l’intérieur des bâtiments - Partie 2: Tubes. (+UNE-EN ISO 21003-2:2009/A1:2011)</w:t>
      </w:r>
      <w:r w:rsidR="00E93486">
        <w:rPr>
          <w:rFonts w:ascii="Arial" w:hAnsi="Arial"/>
          <w:sz w:val="24"/>
          <w:szCs w:val="24"/>
        </w:rPr>
        <w:t>.</w:t>
      </w:r>
    </w:p>
    <w:p w14:paraId="4FA0B3DC" w14:textId="77777777" w:rsidR="004836CD" w:rsidRPr="00937C8B" w:rsidRDefault="004836CD" w:rsidP="0058501F">
      <w:pPr>
        <w:pStyle w:val="Corpsdetexte"/>
        <w:spacing w:before="120" w:line="312" w:lineRule="auto"/>
        <w:ind w:left="3969" w:hanging="3260"/>
        <w:rPr>
          <w:rFonts w:ascii="Arial" w:hAnsi="Arial" w:cs="Arial"/>
          <w:sz w:val="24"/>
          <w:szCs w:val="24"/>
        </w:rPr>
      </w:pPr>
      <w:r>
        <w:rPr>
          <w:rFonts w:ascii="Arial" w:hAnsi="Arial"/>
          <w:sz w:val="24"/>
          <w:szCs w:val="24"/>
        </w:rPr>
        <w:t xml:space="preserve">UNE-EN ISO 21003-3:2009 </w:t>
      </w:r>
      <w:r>
        <w:rPr>
          <w:rFonts w:ascii="Arial" w:hAnsi="Arial"/>
          <w:sz w:val="24"/>
          <w:szCs w:val="24"/>
        </w:rPr>
        <w:tab/>
        <w:t>Systèmes de canalisations multicouches pour installations d’eau chaude et froide à l’intérieur des bâtiments - Partie 3: Raccords.»</w:t>
      </w:r>
    </w:p>
    <w:p w14:paraId="6320EC2A"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5, article 6.2, point a), la référence «UNE EN 545:2002, UNE EN 598:1996, UNE EN 877:2000» est remplacée par «UNE-EN 598:2008+A1:2009 et UNE-EN 877:2000 (+UNE-EN 877:2000/A1:2007)».</w:t>
      </w:r>
    </w:p>
    <w:p w14:paraId="01110105"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5, article 6.2, point b), la référence «UNE EN 1329-1:1999, UNE EN 1401-1:1998, UNE EN 1453-1:2000, UNE EN 1456-1:2002» est remplacée par «UNE EN 1329-1:2014 + A1:2018, UNE EN 1401-1:2009, UNE EN 1453-1:2017, UNE-EN 1566-1:1999, UNE-EN ISO 1452-1:2010, UNE-EN ISO 1452-2:2010».</w:t>
      </w:r>
    </w:p>
    <w:p w14:paraId="0460D6AA"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5, article 6.2, point c), la référence «UNE EN 1852-1:1998» est remplacée par «UNE-EN 1852-1:2018».</w:t>
      </w:r>
    </w:p>
    <w:p w14:paraId="1217F3EE" w14:textId="77777777" w:rsidR="007A61FF"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5, article 6.2, point d), la référence «UNE EN 295-1:1999» est remplacée par «UNE-EN 295-1:2013».</w:t>
      </w:r>
    </w:p>
    <w:p w14:paraId="3BF5AAF7" w14:textId="77777777"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Au chapitre HS 5, article 6.2, point e), la référence «UNE 127010:1995 EX» est remplacée par «UNE-EN 1916:2008 (complément national: UNE 127916:2014)».</w:t>
      </w:r>
    </w:p>
    <w:p w14:paraId="5AAC9476" w14:textId="77777777" w:rsidR="004836CD" w:rsidRPr="00937C8B" w:rsidRDefault="004836CD" w:rsidP="00D27646">
      <w:pPr>
        <w:keepNext/>
        <w:tabs>
          <w:tab w:val="left" w:pos="0"/>
          <w:tab w:val="left" w:pos="8460"/>
          <w:tab w:val="left" w:pos="10432"/>
        </w:tabs>
        <w:spacing w:before="120" w:line="312" w:lineRule="auto"/>
        <w:ind w:right="-6"/>
        <w:jc w:val="both"/>
        <w:rPr>
          <w:rFonts w:ascii="Arial" w:hAnsi="Arial" w:cs="Arial"/>
        </w:rPr>
      </w:pPr>
      <w:r>
        <w:rPr>
          <w:rFonts w:ascii="Arial" w:hAnsi="Arial"/>
        </w:rPr>
        <w:lastRenderedPageBreak/>
        <w:t>- Au chapitre HS 5, l’«Annexe C. Normes de référence» est remplacé par ce qui suit:</w:t>
      </w:r>
    </w:p>
    <w:p w14:paraId="29C850E7" w14:textId="77777777" w:rsidR="004836CD" w:rsidRPr="00A77C79" w:rsidRDefault="004836CD" w:rsidP="00D27646">
      <w:pPr>
        <w:pStyle w:val="Ttulo1CTE"/>
        <w:spacing w:before="120" w:after="0" w:line="312" w:lineRule="auto"/>
        <w:ind w:left="709"/>
        <w:rPr>
          <w:b w:val="0"/>
          <w:bCs w:val="0"/>
          <w:kern w:val="0"/>
          <w:sz w:val="24"/>
          <w:szCs w:val="24"/>
        </w:rPr>
      </w:pPr>
      <w:bookmarkStart w:id="11" w:name="_Toc39158108"/>
      <w:r>
        <w:rPr>
          <w:b w:val="0"/>
          <w:bCs w:val="0"/>
          <w:sz w:val="24"/>
          <w:szCs w:val="24"/>
        </w:rPr>
        <w:t>«Annexe C.</w:t>
      </w:r>
      <w:r>
        <w:rPr>
          <w:b w:val="0"/>
          <w:bCs w:val="0"/>
          <w:sz w:val="24"/>
          <w:szCs w:val="24"/>
        </w:rPr>
        <w:tab/>
        <w:t>Normes de référence</w:t>
      </w:r>
      <w:bookmarkEnd w:id="11"/>
    </w:p>
    <w:p w14:paraId="04D48630" w14:textId="77777777" w:rsidR="004836CD" w:rsidRPr="00A77C79" w:rsidRDefault="004836CD" w:rsidP="00205EA2">
      <w:pPr>
        <w:widowControl w:val="0"/>
        <w:spacing w:before="120" w:line="312" w:lineRule="auto"/>
        <w:ind w:left="851"/>
        <w:jc w:val="both"/>
        <w:rPr>
          <w:rFonts w:ascii="Arial" w:hAnsi="Arial" w:cs="Arial"/>
        </w:rPr>
      </w:pPr>
      <w:r>
        <w:rPr>
          <w:rFonts w:ascii="Arial" w:hAnsi="Arial"/>
        </w:rPr>
        <w:t>Cet annexe récapitule les références complètes des normes citées dans le DB HS5.</w:t>
      </w:r>
    </w:p>
    <w:p w14:paraId="682C91DD" w14:textId="77777777" w:rsidR="00F63F8C" w:rsidRPr="00937C8B" w:rsidRDefault="004836CD" w:rsidP="008C5A28">
      <w:pPr>
        <w:spacing w:before="120" w:line="312" w:lineRule="auto"/>
        <w:ind w:left="3544" w:hanging="2835"/>
        <w:jc w:val="both"/>
        <w:rPr>
          <w:rFonts w:ascii="Arial" w:hAnsi="Arial" w:cs="Arial"/>
        </w:rPr>
      </w:pPr>
      <w:r>
        <w:rPr>
          <w:rFonts w:ascii="Arial" w:hAnsi="Arial"/>
        </w:rPr>
        <w:t xml:space="preserve">UNE 127916:2014 </w:t>
      </w:r>
      <w:r>
        <w:rPr>
          <w:rFonts w:ascii="Arial" w:hAnsi="Arial"/>
        </w:rPr>
        <w:tab/>
        <w:t>Tuyaux et pièces complémentaires en béton non armé, béton fibré acier et béton armé. Complément national à la norme UNE-EN 1916:2008.</w:t>
      </w:r>
    </w:p>
    <w:p w14:paraId="10E4AE7E" w14:textId="77777777" w:rsidR="004836CD" w:rsidRPr="00937C8B" w:rsidRDefault="004836CD" w:rsidP="008C5A28">
      <w:pPr>
        <w:spacing w:before="120" w:line="312" w:lineRule="auto"/>
        <w:ind w:left="3544" w:hanging="2835"/>
        <w:jc w:val="both"/>
        <w:rPr>
          <w:rFonts w:ascii="Arial" w:hAnsi="Arial" w:cs="Arial"/>
        </w:rPr>
      </w:pPr>
      <w:r>
        <w:rPr>
          <w:rFonts w:ascii="Arial" w:hAnsi="Arial"/>
        </w:rPr>
        <w:t>UNE-EN 295-1:2013</w:t>
      </w:r>
      <w:r>
        <w:rPr>
          <w:rFonts w:ascii="Arial" w:hAnsi="Arial"/>
        </w:rPr>
        <w:tab/>
        <w:t>Systèmes de tuyaux en grès vitrifié pour les collecteurs d’assainissement et les branchements - Partie 1: Exigences applicables aux tuyaux, raccords et assemblages.</w:t>
      </w:r>
    </w:p>
    <w:p w14:paraId="3006DE22" w14:textId="77777777" w:rsidR="004836CD" w:rsidRPr="00937C8B" w:rsidRDefault="004836CD" w:rsidP="00205EA2">
      <w:pPr>
        <w:pStyle w:val="Titre4"/>
        <w:spacing w:before="120" w:line="312" w:lineRule="auto"/>
        <w:ind w:left="3544" w:hanging="2835"/>
        <w:rPr>
          <w:rFonts w:ascii="Arial" w:hAnsi="Arial" w:cs="Arial"/>
          <w:b w:val="0"/>
          <w:bCs/>
          <w:sz w:val="24"/>
          <w:szCs w:val="24"/>
        </w:rPr>
      </w:pPr>
      <w:r>
        <w:rPr>
          <w:rFonts w:ascii="Arial" w:hAnsi="Arial"/>
          <w:b w:val="0"/>
          <w:sz w:val="24"/>
          <w:szCs w:val="24"/>
        </w:rPr>
        <w:t>UNE-EN 598:2008+A1:2009</w:t>
      </w:r>
      <w:r>
        <w:rPr>
          <w:rFonts w:ascii="Arial" w:hAnsi="Arial"/>
          <w:b w:val="0"/>
          <w:sz w:val="24"/>
          <w:szCs w:val="24"/>
        </w:rPr>
        <w:tab/>
        <w:t>Tuyaux, raccords et accessoires en fonte ductile et leurs assemblages pour l’assainissement - Exigences et méthodes d’essai.</w:t>
      </w:r>
    </w:p>
    <w:p w14:paraId="12848756" w14:textId="0F2A521E" w:rsidR="004836CD" w:rsidRPr="00937C8B" w:rsidRDefault="004836CD" w:rsidP="00205EA2">
      <w:pPr>
        <w:pStyle w:val="Corpsdetexte"/>
        <w:spacing w:before="120" w:line="312" w:lineRule="auto"/>
        <w:ind w:left="3544" w:hanging="2835"/>
        <w:rPr>
          <w:rFonts w:ascii="Arial" w:hAnsi="Arial" w:cs="Arial"/>
          <w:sz w:val="24"/>
          <w:szCs w:val="24"/>
        </w:rPr>
      </w:pPr>
      <w:r>
        <w:rPr>
          <w:rFonts w:ascii="Arial" w:hAnsi="Arial"/>
          <w:sz w:val="24"/>
          <w:szCs w:val="24"/>
        </w:rPr>
        <w:t xml:space="preserve">UNE-EN 877:2000 </w:t>
      </w:r>
      <w:r>
        <w:rPr>
          <w:rFonts w:ascii="Arial" w:hAnsi="Arial"/>
          <w:sz w:val="24"/>
          <w:szCs w:val="24"/>
        </w:rPr>
        <w:tab/>
        <w:t>Tuyaux et raccords en fonte, leurs assemblages et accessoires destinés à l’évacuation des eaux des bâtiments. Prescriptions, méthodes d’essais et assurance qualité. (+UNE-EN 877:2000/A1:2007)</w:t>
      </w:r>
      <w:r w:rsidR="00E93486">
        <w:rPr>
          <w:rFonts w:ascii="Arial" w:hAnsi="Arial"/>
          <w:sz w:val="24"/>
          <w:szCs w:val="24"/>
        </w:rPr>
        <w:t>.</w:t>
      </w:r>
    </w:p>
    <w:p w14:paraId="01489E93" w14:textId="77777777" w:rsidR="004836CD" w:rsidRPr="00937C8B" w:rsidRDefault="004836CD" w:rsidP="00205EA2">
      <w:pPr>
        <w:spacing w:before="120" w:line="312" w:lineRule="auto"/>
        <w:ind w:left="3544" w:hanging="2835"/>
        <w:jc w:val="both"/>
        <w:rPr>
          <w:rFonts w:ascii="Arial" w:hAnsi="Arial" w:cs="Arial"/>
        </w:rPr>
      </w:pPr>
      <w:r>
        <w:rPr>
          <w:rFonts w:ascii="Arial" w:hAnsi="Arial"/>
        </w:rPr>
        <w:t>UNE-EN 1329-1:2014+A1:2018</w:t>
      </w:r>
      <w:r>
        <w:rPr>
          <w:rFonts w:ascii="Arial" w:hAnsi="Arial"/>
        </w:rPr>
        <w:tab/>
        <w:t>Systèmes de canalisations en plastique pour l’évacuation des eaux-vannes et des eaux usées (à basse et à haute température) à l’intérieur de la structure des bâtiments - Poly(chlorure de vinyle) non plastifié (PVC-U) - Poly(chlorure de vinyle) non plastifié (PVC-U) - Partie 1: Spécifications pour tubes, raccords et le système.</w:t>
      </w:r>
    </w:p>
    <w:p w14:paraId="59F826F2" w14:textId="77777777" w:rsidR="004836CD" w:rsidRPr="00937C8B" w:rsidRDefault="004836CD" w:rsidP="00205EA2">
      <w:pPr>
        <w:spacing w:before="120" w:line="312" w:lineRule="auto"/>
        <w:ind w:left="3544" w:hanging="2835"/>
        <w:jc w:val="both"/>
        <w:rPr>
          <w:rFonts w:ascii="Arial" w:hAnsi="Arial" w:cs="Arial"/>
        </w:rPr>
      </w:pPr>
      <w:r>
        <w:rPr>
          <w:rFonts w:ascii="Arial" w:hAnsi="Arial"/>
        </w:rPr>
        <w:t>UNE-EN 1401-1:2009</w:t>
      </w:r>
      <w:r>
        <w:rPr>
          <w:rFonts w:ascii="Arial" w:hAnsi="Arial"/>
        </w:rPr>
        <w:tab/>
        <w:t>Systèmes de canalisations en plastique pour les branchements et les collecteurs d’assainissement enterrés sans pression - Poly(chlorure de vinyle) non plastifié (PVC-U) - Partie 1: Spécifications pour tubes, raccords et le système.</w:t>
      </w:r>
    </w:p>
    <w:p w14:paraId="1FFAFEF0" w14:textId="77777777" w:rsidR="007A61FF" w:rsidRPr="00937C8B" w:rsidRDefault="004836CD" w:rsidP="00376F0E">
      <w:pPr>
        <w:spacing w:before="120" w:line="312" w:lineRule="auto"/>
        <w:ind w:left="3544" w:hanging="2835"/>
        <w:jc w:val="both"/>
        <w:rPr>
          <w:rFonts w:ascii="Arial" w:hAnsi="Arial" w:cs="Arial"/>
        </w:rPr>
      </w:pPr>
      <w:r>
        <w:rPr>
          <w:rFonts w:ascii="Arial" w:hAnsi="Arial"/>
        </w:rPr>
        <w:t>UNE-EN 1453-1:2017</w:t>
      </w:r>
      <w:r>
        <w:rPr>
          <w:rFonts w:ascii="Arial" w:hAnsi="Arial"/>
        </w:rPr>
        <w:tab/>
        <w:t xml:space="preserve">Systèmes de canalisations en plastique avec des tubes à paroi structurée pour l’évacuation des eaux-vannes et des eaux usées (à basse et à haute température) à l’intérieur des bâtiments. Poly(chlorure de vinyle) non plastifié (PVC-U) - Partie 1: Spécifications pour tubes et le système. </w:t>
      </w:r>
    </w:p>
    <w:p w14:paraId="7B130723" w14:textId="77777777" w:rsidR="004836CD" w:rsidRPr="00937C8B" w:rsidRDefault="004836CD" w:rsidP="00205EA2">
      <w:pPr>
        <w:spacing w:before="120" w:line="312" w:lineRule="auto"/>
        <w:ind w:left="3544" w:hanging="2835"/>
        <w:jc w:val="both"/>
        <w:rPr>
          <w:rFonts w:ascii="Arial" w:hAnsi="Arial" w:cs="Arial"/>
        </w:rPr>
      </w:pPr>
      <w:r>
        <w:rPr>
          <w:rFonts w:ascii="Arial" w:hAnsi="Arial"/>
        </w:rPr>
        <w:t>UNE-EN 1566-1566-1:1999</w:t>
      </w:r>
      <w:r>
        <w:rPr>
          <w:rFonts w:ascii="Arial" w:hAnsi="Arial"/>
        </w:rPr>
        <w:tab/>
        <w:t xml:space="preserve">Systèmes de canalisations en plastique pour l’évacuation des eaux-vannes et des eaux usées (à basse et à haute température) à l’intérieur de la structure des bâtiments. </w:t>
      </w:r>
      <w:r>
        <w:rPr>
          <w:rFonts w:ascii="Arial" w:hAnsi="Arial"/>
        </w:rPr>
        <w:lastRenderedPageBreak/>
        <w:t>Poly(chlorure de vinyle) chloré (PVC-C) - Partie 1: Spécifications pour tubes, raccords et le système.</w:t>
      </w:r>
    </w:p>
    <w:p w14:paraId="2405D4A2" w14:textId="77777777" w:rsidR="004836CD" w:rsidRPr="00937C8B" w:rsidRDefault="004836CD" w:rsidP="00205EA2">
      <w:pPr>
        <w:spacing w:before="120" w:line="312" w:lineRule="auto"/>
        <w:ind w:left="3544" w:hanging="2835"/>
        <w:jc w:val="both"/>
        <w:rPr>
          <w:rFonts w:ascii="Arial" w:hAnsi="Arial" w:cs="Arial"/>
        </w:rPr>
      </w:pPr>
      <w:r>
        <w:rPr>
          <w:rFonts w:ascii="Arial" w:hAnsi="Arial"/>
        </w:rPr>
        <w:t>UNE-EN 1852-1:2018</w:t>
      </w:r>
      <w:r>
        <w:rPr>
          <w:rFonts w:ascii="Arial" w:hAnsi="Arial"/>
        </w:rPr>
        <w:tab/>
        <w:t>Systèmes de canalisations en plastique pour les branchements et les collecteurs d’assainissement enterrés sans pression - Polypropylène (PP) - Partie 1: Spécifications pour tubes, raccords et le système.</w:t>
      </w:r>
    </w:p>
    <w:p w14:paraId="0EBB1BB4" w14:textId="77777777" w:rsidR="004836CD" w:rsidRPr="00937C8B" w:rsidRDefault="004836CD" w:rsidP="00205EA2">
      <w:pPr>
        <w:spacing w:before="120" w:line="312" w:lineRule="auto"/>
        <w:ind w:left="3544" w:hanging="2835"/>
        <w:jc w:val="both"/>
        <w:rPr>
          <w:rFonts w:ascii="Arial" w:hAnsi="Arial" w:cs="Arial"/>
        </w:rPr>
      </w:pPr>
      <w:r>
        <w:rPr>
          <w:rFonts w:ascii="Arial" w:hAnsi="Arial"/>
        </w:rPr>
        <w:t>UNE-EN 1916:2008</w:t>
      </w:r>
      <w:r>
        <w:rPr>
          <w:rFonts w:ascii="Arial" w:hAnsi="Arial"/>
        </w:rPr>
        <w:tab/>
        <w:t>Tuyaux et pièces complémentaires en béton non armé, béton fibré acier et béton armé.</w:t>
      </w:r>
    </w:p>
    <w:p w14:paraId="3B227B7E" w14:textId="77777777" w:rsidR="004836CD" w:rsidRPr="00937C8B" w:rsidRDefault="00205EA2" w:rsidP="00205EA2">
      <w:pPr>
        <w:spacing w:before="120" w:line="312" w:lineRule="auto"/>
        <w:ind w:left="3544" w:hanging="2835"/>
        <w:jc w:val="both"/>
        <w:rPr>
          <w:rFonts w:ascii="Arial" w:hAnsi="Arial" w:cs="Arial"/>
        </w:rPr>
      </w:pPr>
      <w:r>
        <w:rPr>
          <w:rFonts w:ascii="Arial" w:hAnsi="Arial"/>
        </w:rPr>
        <w:t xml:space="preserve">UNE-EN ISO 1452-1:2010 Systèmes de canalisations en plastique pour l’alimentation en eau, pour branchements et collecteurs d’assainissement enterrés et aériens avec pression - Poly(chlorure de vinyle) non plastifié (PVC-U) - Partie 1: Généralités. </w:t>
      </w:r>
    </w:p>
    <w:p w14:paraId="34E865F8" w14:textId="77777777" w:rsidR="004836CD" w:rsidRPr="00937C8B" w:rsidRDefault="00205EA2" w:rsidP="00205EA2">
      <w:pPr>
        <w:spacing w:before="120" w:line="312" w:lineRule="auto"/>
        <w:ind w:left="3544" w:hanging="2835"/>
        <w:jc w:val="both"/>
        <w:rPr>
          <w:rFonts w:ascii="Arial" w:hAnsi="Arial" w:cs="Arial"/>
        </w:rPr>
      </w:pPr>
      <w:r>
        <w:rPr>
          <w:rFonts w:ascii="Arial" w:hAnsi="Arial"/>
        </w:rPr>
        <w:t>UNE-EN ISO 1452-2:2010 Systèmes de canalisations en plastique pour l’alimentation en eau, pour branchements et collecteurs d’assainissement enterrés et aériens avec pression - Poly(chlorure de vinyle) non plastifié (PVC-U) - Partie 2: Tubes.</w:t>
      </w:r>
    </w:p>
    <w:p w14:paraId="529CA2B9" w14:textId="77777777" w:rsidR="004836CD" w:rsidRPr="00937C8B" w:rsidRDefault="004836CD" w:rsidP="0058501F">
      <w:pPr>
        <w:spacing w:before="120" w:line="312" w:lineRule="auto"/>
        <w:jc w:val="both"/>
        <w:rPr>
          <w:rFonts w:ascii="Arial" w:hAnsi="Arial" w:cs="Arial"/>
        </w:rPr>
      </w:pPr>
      <w:r>
        <w:rPr>
          <w:rFonts w:ascii="Arial" w:hAnsi="Arial"/>
        </w:rPr>
        <w:t>Première disposition transitoire. Constructions auxquelles les dispositions du présent décret royal ne s’appliquent pas.</w:t>
      </w:r>
    </w:p>
    <w:p w14:paraId="5E1B85EC" w14:textId="77777777" w:rsidR="004836CD" w:rsidRPr="00937C8B" w:rsidRDefault="004836CD" w:rsidP="0058501F">
      <w:pPr>
        <w:spacing w:before="120" w:line="312" w:lineRule="auto"/>
        <w:jc w:val="both"/>
        <w:rPr>
          <w:rFonts w:ascii="Arial" w:hAnsi="Arial" w:cs="Arial"/>
        </w:rPr>
      </w:pPr>
      <w:r>
        <w:rPr>
          <w:rFonts w:ascii="Arial" w:hAnsi="Arial"/>
        </w:rPr>
        <w:t xml:space="preserve">Les modifications du Code technique de la construction approuvées en vertu de ce décret royal ne s’appliqueront pas aux nouvelles constructions et aux interventions sur des bâtiments existants pour lesquels un permis municipal est obligatoire à la date d’entrée en vigueur du présent décret royal. </w:t>
      </w:r>
    </w:p>
    <w:p w14:paraId="60ED8C18" w14:textId="77777777" w:rsidR="004836CD" w:rsidRPr="00937C8B" w:rsidRDefault="004836CD" w:rsidP="0058501F">
      <w:pPr>
        <w:spacing w:before="120" w:line="312" w:lineRule="auto"/>
        <w:jc w:val="both"/>
        <w:rPr>
          <w:rFonts w:ascii="Arial" w:hAnsi="Arial" w:cs="Arial"/>
        </w:rPr>
      </w:pPr>
      <w:r>
        <w:rPr>
          <w:rFonts w:ascii="Arial" w:hAnsi="Arial"/>
        </w:rPr>
        <w:t>Ces constructions doivent commencer dans le délai maximal d’efficacité dudit permis, conformément à sa réglementation, et, à défaut, dans un délai de six mois à compter de la date de délivrance du permis susmentionné. Dans le cas contraire, les projets doivent être adaptés aux modifications du CTE approuvées en vertu du présent décret royal.</w:t>
      </w:r>
    </w:p>
    <w:p w14:paraId="14245B00" w14:textId="77777777" w:rsidR="004836CD" w:rsidRPr="00937C8B" w:rsidRDefault="004836CD" w:rsidP="0058501F">
      <w:pPr>
        <w:spacing w:before="120" w:line="312" w:lineRule="auto"/>
        <w:jc w:val="both"/>
        <w:rPr>
          <w:rFonts w:ascii="Arial" w:hAnsi="Arial" w:cs="Arial"/>
        </w:rPr>
      </w:pPr>
      <w:r>
        <w:rPr>
          <w:rFonts w:ascii="Arial" w:hAnsi="Arial"/>
        </w:rPr>
        <w:t>Deuxième disposition transitoire. Constructions pour lesquelles le présent décret royal a un caractère volontaire.</w:t>
      </w:r>
    </w:p>
    <w:p w14:paraId="51C3C027" w14:textId="77777777" w:rsidR="004836CD" w:rsidRPr="00937C8B" w:rsidRDefault="004836CD" w:rsidP="0058501F">
      <w:pPr>
        <w:spacing w:before="120" w:line="312" w:lineRule="auto"/>
        <w:jc w:val="both"/>
        <w:rPr>
          <w:rFonts w:ascii="Arial" w:hAnsi="Arial" w:cs="Arial"/>
        </w:rPr>
      </w:pPr>
      <w:r>
        <w:rPr>
          <w:rFonts w:ascii="Arial" w:hAnsi="Arial"/>
        </w:rPr>
        <w:t xml:space="preserve">Les modifications du Code technique de la construction approuvées en vertu du présent décret royal ont un caractère volontaire pour les nouvelles constructions et les interventions sur des bâtiments existants pour lesquels un permis municipal est obligatoire dans un délai de six mois à compter de la date d’entrée en vigueur du présent décret royal, lesdites constructions devant commencer dans le délai maximal d’efficacité dudit permis, conformément à sa réglementation, et, à défaut, dans un délai de six mois à compter de la date de délivrance du permis susmentionné. </w:t>
      </w:r>
    </w:p>
    <w:p w14:paraId="5DAF7800" w14:textId="77777777" w:rsidR="004836CD" w:rsidRPr="00937C8B" w:rsidRDefault="004836CD" w:rsidP="0058501F">
      <w:pPr>
        <w:spacing w:before="120" w:line="312" w:lineRule="auto"/>
        <w:jc w:val="both"/>
        <w:rPr>
          <w:rFonts w:ascii="Arial" w:hAnsi="Arial" w:cs="Arial"/>
        </w:rPr>
      </w:pPr>
      <w:r>
        <w:rPr>
          <w:rFonts w:ascii="Arial" w:hAnsi="Arial"/>
        </w:rPr>
        <w:lastRenderedPageBreak/>
        <w:t>Dans le cas contraire, les projets doivent être adaptés aux modifications du CTE approuvées en vertu du présent décret royal.</w:t>
      </w:r>
    </w:p>
    <w:p w14:paraId="2F9B7E0E" w14:textId="77777777" w:rsidR="004836CD" w:rsidRPr="00937C8B" w:rsidRDefault="004836CD" w:rsidP="0058501F">
      <w:pPr>
        <w:spacing w:before="120" w:line="312" w:lineRule="auto"/>
        <w:jc w:val="both"/>
        <w:rPr>
          <w:rFonts w:ascii="Arial" w:hAnsi="Arial" w:cs="Arial"/>
        </w:rPr>
      </w:pPr>
      <w:r>
        <w:rPr>
          <w:rFonts w:ascii="Arial" w:hAnsi="Arial"/>
        </w:rPr>
        <w:t>Troisième disposition transitoire.</w:t>
      </w:r>
      <w:r>
        <w:rPr>
          <w:rFonts w:ascii="Arial" w:hAnsi="Arial"/>
        </w:rPr>
        <w:tab/>
        <w:t xml:space="preserve"> Constructions pour lesquelles le présent décret royal a un caractère obligatoire.</w:t>
      </w:r>
    </w:p>
    <w:p w14:paraId="7B3FA1B2" w14:textId="77777777" w:rsidR="004836CD" w:rsidRPr="00937C8B" w:rsidRDefault="004836CD" w:rsidP="0058501F">
      <w:pPr>
        <w:spacing w:before="120" w:line="312" w:lineRule="auto"/>
        <w:jc w:val="both"/>
        <w:rPr>
          <w:rFonts w:ascii="Arial" w:hAnsi="Arial" w:cs="Arial"/>
        </w:rPr>
      </w:pPr>
      <w:r>
        <w:rPr>
          <w:rFonts w:ascii="Arial" w:hAnsi="Arial"/>
        </w:rPr>
        <w:t>Les modifications apportées au Code technique de la construction, approuvées en vertu de ce décret royal, doivent obligatoirement être appliquées aux nouvelles constructions et aux interventions sur des bâtiments existants, pour lesquels un permis municipal est obligatoire, dans un délai de six mois à compter de la date d’entrée en vigueur du présent décret royal.</w:t>
      </w:r>
    </w:p>
    <w:p w14:paraId="532B15DC" w14:textId="77777777" w:rsidR="004836CD" w:rsidRPr="00937C8B" w:rsidRDefault="004836CD" w:rsidP="0058501F">
      <w:pPr>
        <w:spacing w:before="120" w:line="312" w:lineRule="auto"/>
        <w:jc w:val="both"/>
        <w:rPr>
          <w:rFonts w:ascii="Arial" w:hAnsi="Arial" w:cs="Arial"/>
        </w:rPr>
      </w:pPr>
      <w:r>
        <w:rPr>
          <w:rFonts w:ascii="Arial" w:hAnsi="Arial"/>
        </w:rPr>
        <w:t>Première disposition finale. Transposition du droit de l’Union européenne</w:t>
      </w:r>
    </w:p>
    <w:p w14:paraId="36F27DDA" w14:textId="77777777" w:rsidR="004836CD" w:rsidRPr="00937C8B" w:rsidRDefault="004836CD" w:rsidP="0058501F">
      <w:pPr>
        <w:spacing w:before="120" w:line="312" w:lineRule="auto"/>
        <w:jc w:val="both"/>
        <w:rPr>
          <w:rFonts w:ascii="Arial" w:hAnsi="Arial" w:cs="Arial"/>
        </w:rPr>
      </w:pPr>
      <w:r>
        <w:rPr>
          <w:rFonts w:ascii="Arial" w:hAnsi="Arial"/>
        </w:rPr>
        <w:t>Par le présent décret royal sont révisées les exigences minimales de performance énergétique des bâtiments visées à l’article 4, section 1, paragraphe six, de la directive 2010/31/UE du Parlement européen et du Conseil du 19 mai 2010 sur la performance énergétique des bâtiments.</w:t>
      </w:r>
    </w:p>
    <w:p w14:paraId="0FD2E160" w14:textId="77777777" w:rsidR="004836CD" w:rsidRPr="00937C8B" w:rsidRDefault="004836CD" w:rsidP="0058501F">
      <w:pPr>
        <w:spacing w:before="120" w:line="312" w:lineRule="auto"/>
        <w:jc w:val="both"/>
        <w:rPr>
          <w:rFonts w:ascii="Arial" w:hAnsi="Arial" w:cs="Arial"/>
        </w:rPr>
      </w:pPr>
      <w:r>
        <w:rPr>
          <w:rFonts w:ascii="Arial" w:hAnsi="Arial"/>
        </w:rPr>
        <w:t>De même, sont intégrés au droit espagnol les articles 74 et 103, paragraphe 2, de la la directive 2013/59/Euratom du Conseil fixant les normes de base relatives à la protection sanitaire contre les dangers résultant de l’exposition aux rayonnements ionisants et abrogeant les directives 89/618/Euratom, 90/641/Euratom, 96/29/Euratom, 97/43/Euratom et 2003/122/Euratom.</w:t>
      </w:r>
    </w:p>
    <w:p w14:paraId="281CD6CD" w14:textId="77777777" w:rsidR="004836CD" w:rsidRPr="00937C8B" w:rsidRDefault="004836CD" w:rsidP="0058501F">
      <w:pPr>
        <w:spacing w:before="120" w:line="312" w:lineRule="auto"/>
        <w:jc w:val="both"/>
        <w:rPr>
          <w:rFonts w:ascii="Arial" w:hAnsi="Arial" w:cs="Arial"/>
        </w:rPr>
      </w:pPr>
      <w:r>
        <w:rPr>
          <w:rFonts w:ascii="Arial" w:hAnsi="Arial"/>
        </w:rPr>
        <w:t>Deuxième disposition finale. Entrée en vigueur.</w:t>
      </w:r>
    </w:p>
    <w:p w14:paraId="75692F6A" w14:textId="77777777" w:rsidR="00C96A65" w:rsidRPr="00937C8B" w:rsidRDefault="004836CD" w:rsidP="0058501F">
      <w:pPr>
        <w:spacing w:before="120" w:line="312" w:lineRule="auto"/>
        <w:ind w:firstLine="426"/>
        <w:jc w:val="both"/>
        <w:rPr>
          <w:rFonts w:ascii="Arial" w:hAnsi="Arial" w:cs="Arial"/>
        </w:rPr>
      </w:pPr>
      <w:r>
        <w:rPr>
          <w:rFonts w:ascii="Arial" w:hAnsi="Arial"/>
        </w:rPr>
        <w:t>Le présent décret royal entrera en vigueur au lendemain de sa publication au «Journal officiel de l’État espagnol».</w:t>
      </w:r>
    </w:p>
    <w:p w14:paraId="5F4CF782" w14:textId="77777777" w:rsidR="00C96A65" w:rsidRPr="00937C8B" w:rsidRDefault="00C96A65" w:rsidP="0058501F">
      <w:pPr>
        <w:spacing w:before="120" w:line="312" w:lineRule="auto"/>
        <w:jc w:val="both"/>
        <w:rPr>
          <w:rFonts w:ascii="Arial" w:hAnsi="Arial" w:cs="Arial"/>
        </w:rPr>
      </w:pPr>
    </w:p>
    <w:p w14:paraId="26C015C3" w14:textId="77777777" w:rsidR="00D739A5" w:rsidRPr="00937C8B" w:rsidRDefault="00D739A5" w:rsidP="0058501F">
      <w:pPr>
        <w:spacing w:before="120" w:line="312" w:lineRule="auto"/>
        <w:jc w:val="both"/>
        <w:rPr>
          <w:rFonts w:ascii="Arial" w:hAnsi="Arial" w:cs="Arial"/>
        </w:rPr>
      </w:pPr>
    </w:p>
    <w:p w14:paraId="320FA405" w14:textId="77777777" w:rsidR="00D739A5" w:rsidRPr="00937C8B" w:rsidRDefault="00D739A5" w:rsidP="0058501F">
      <w:pPr>
        <w:spacing w:before="120" w:line="312" w:lineRule="auto"/>
        <w:jc w:val="both"/>
        <w:rPr>
          <w:rFonts w:ascii="Arial" w:hAnsi="Arial" w:cs="Arial"/>
          <w:vanish/>
        </w:rPr>
      </w:pPr>
    </w:p>
    <w:p w14:paraId="1D1426EA" w14:textId="77777777" w:rsidR="00411CE8" w:rsidRPr="00937C8B" w:rsidRDefault="001964D3" w:rsidP="0058501F">
      <w:pPr>
        <w:spacing w:before="120" w:line="312" w:lineRule="auto"/>
        <w:jc w:val="center"/>
        <w:rPr>
          <w:rFonts w:ascii="Arial" w:hAnsi="Arial" w:cs="Arial"/>
          <w:color w:val="000000"/>
        </w:rPr>
      </w:pPr>
      <w:r>
        <w:rPr>
          <w:rFonts w:ascii="Arial" w:hAnsi="Arial"/>
          <w:color w:val="000000"/>
        </w:rPr>
        <w:t>À PRÉSENTER AU CONSEIL DES MINISTRES</w:t>
      </w:r>
    </w:p>
    <w:p w14:paraId="2925A358" w14:textId="77777777" w:rsidR="00205EA2" w:rsidRPr="00937C8B" w:rsidRDefault="00205EA2" w:rsidP="00205EA2">
      <w:pPr>
        <w:jc w:val="center"/>
        <w:rPr>
          <w:rFonts w:ascii="Arial" w:hAnsi="Arial" w:cs="Arial"/>
        </w:rPr>
      </w:pPr>
    </w:p>
    <w:p w14:paraId="23F8339F" w14:textId="77777777" w:rsidR="00D739A5" w:rsidRPr="00937C8B" w:rsidRDefault="00D739A5" w:rsidP="00205EA2">
      <w:pPr>
        <w:jc w:val="center"/>
        <w:rPr>
          <w:rFonts w:ascii="Arial" w:hAnsi="Arial" w:cs="Arial"/>
        </w:rPr>
      </w:pPr>
      <w:r>
        <w:rPr>
          <w:rFonts w:ascii="Arial" w:hAnsi="Arial"/>
        </w:rPr>
        <w:t xml:space="preserve">Madrid, </w:t>
      </w:r>
    </w:p>
    <w:p w14:paraId="03E12DA3" w14:textId="77777777" w:rsidR="00D739A5" w:rsidRPr="00937C8B" w:rsidRDefault="00D739A5" w:rsidP="00205EA2">
      <w:pPr>
        <w:jc w:val="center"/>
        <w:rPr>
          <w:rFonts w:ascii="Arial" w:hAnsi="Arial" w:cs="Arial"/>
        </w:rPr>
      </w:pPr>
    </w:p>
    <w:p w14:paraId="70A075A4" w14:textId="77777777" w:rsidR="00205EA2" w:rsidRPr="00937C8B" w:rsidRDefault="00205EA2" w:rsidP="00205EA2">
      <w:pPr>
        <w:jc w:val="center"/>
        <w:rPr>
          <w:rFonts w:ascii="Arial" w:hAnsi="Arial" w:cs="Arial"/>
        </w:rPr>
      </w:pPr>
      <w:r>
        <w:rPr>
          <w:rFonts w:ascii="Arial" w:hAnsi="Arial"/>
        </w:rPr>
        <w:t>LE MINISTRE DE L’ÉQUIPEMENT</w:t>
      </w:r>
    </w:p>
    <w:p w14:paraId="56CE13F5" w14:textId="77777777" w:rsidR="00205EA2" w:rsidRPr="00937C8B" w:rsidRDefault="00205EA2" w:rsidP="00205EA2">
      <w:pPr>
        <w:jc w:val="center"/>
        <w:rPr>
          <w:rFonts w:ascii="Arial" w:hAnsi="Arial" w:cs="Arial"/>
        </w:rPr>
      </w:pPr>
    </w:p>
    <w:p w14:paraId="3AE06FC0" w14:textId="77777777" w:rsidR="00205EA2" w:rsidRPr="00937C8B" w:rsidRDefault="00205EA2" w:rsidP="00205EA2">
      <w:pPr>
        <w:jc w:val="center"/>
        <w:rPr>
          <w:rFonts w:ascii="Arial" w:hAnsi="Arial" w:cs="Arial"/>
        </w:rPr>
      </w:pPr>
    </w:p>
    <w:p w14:paraId="4F2BF91B" w14:textId="77777777" w:rsidR="00205EA2" w:rsidRPr="00937C8B" w:rsidRDefault="00205EA2" w:rsidP="00205EA2">
      <w:pPr>
        <w:jc w:val="center"/>
        <w:rPr>
          <w:rFonts w:ascii="Arial" w:hAnsi="Arial" w:cs="Arial"/>
        </w:rPr>
      </w:pPr>
    </w:p>
    <w:p w14:paraId="65007146" w14:textId="77777777" w:rsidR="00205EA2" w:rsidRPr="00937C8B" w:rsidRDefault="00205EA2" w:rsidP="00205EA2">
      <w:pPr>
        <w:jc w:val="center"/>
        <w:rPr>
          <w:rFonts w:ascii="Arial" w:hAnsi="Arial" w:cs="Arial"/>
        </w:rPr>
      </w:pPr>
    </w:p>
    <w:p w14:paraId="5D067CEB" w14:textId="77777777" w:rsidR="00205EA2" w:rsidRPr="00937C8B" w:rsidRDefault="00205EA2" w:rsidP="00205EA2">
      <w:pPr>
        <w:jc w:val="center"/>
        <w:rPr>
          <w:rFonts w:ascii="Arial" w:hAnsi="Arial" w:cs="Arial"/>
        </w:rPr>
      </w:pPr>
    </w:p>
    <w:p w14:paraId="5CF33230" w14:textId="77777777" w:rsidR="00205EA2" w:rsidRPr="00937C8B" w:rsidRDefault="00205EA2" w:rsidP="00205EA2">
      <w:pPr>
        <w:jc w:val="center"/>
        <w:rPr>
          <w:rFonts w:ascii="Arial" w:hAnsi="Arial" w:cs="Arial"/>
        </w:rPr>
      </w:pPr>
    </w:p>
    <w:p w14:paraId="78D94E13" w14:textId="77777777" w:rsidR="00205EA2" w:rsidRPr="00937C8B" w:rsidRDefault="00205EA2" w:rsidP="00205EA2">
      <w:pPr>
        <w:jc w:val="center"/>
        <w:rPr>
          <w:rFonts w:ascii="Arial" w:hAnsi="Arial" w:cs="Arial"/>
        </w:rPr>
      </w:pPr>
      <w:r>
        <w:rPr>
          <w:rFonts w:ascii="Arial" w:hAnsi="Arial"/>
        </w:rPr>
        <w:t>José Luis Ábalos Meco</w:t>
      </w:r>
    </w:p>
    <w:p w14:paraId="43952BA8" w14:textId="77777777" w:rsidR="0037696C" w:rsidRPr="00937C8B" w:rsidRDefault="0037696C" w:rsidP="00093F76">
      <w:pPr>
        <w:spacing w:line="360" w:lineRule="atLeast"/>
        <w:ind w:left="357" w:right="170"/>
        <w:jc w:val="both"/>
        <w:rPr>
          <w:rFonts w:ascii="Arial" w:hAnsi="Arial"/>
        </w:rPr>
        <w:sectPr w:rsidR="0037696C" w:rsidRPr="00937C8B" w:rsidSect="00C56654">
          <w:headerReference w:type="default" r:id="rId15"/>
          <w:footerReference w:type="even" r:id="rId16"/>
          <w:footerReference w:type="default" r:id="rId17"/>
          <w:headerReference w:type="first" r:id="rId18"/>
          <w:pgSz w:w="11906" w:h="16838" w:code="9"/>
          <w:pgMar w:top="1701" w:right="737" w:bottom="726" w:left="737" w:header="567" w:footer="720" w:gutter="0"/>
          <w:cols w:space="708"/>
          <w:titlePg/>
          <w:docGrid w:linePitch="360"/>
        </w:sectPr>
      </w:pPr>
    </w:p>
    <w:p w14:paraId="4CB8B681" w14:textId="77777777" w:rsidR="005228B5" w:rsidRPr="00937C8B" w:rsidRDefault="005228B5" w:rsidP="008D479C">
      <w:pPr>
        <w:spacing w:before="120" w:line="312" w:lineRule="auto"/>
        <w:ind w:firstLine="425"/>
        <w:jc w:val="both"/>
        <w:rPr>
          <w:rFonts w:ascii="Arial" w:hAnsi="Arial" w:cs="Arial"/>
        </w:rPr>
      </w:pPr>
    </w:p>
    <w:p w14:paraId="653E50F9" w14:textId="77777777" w:rsidR="006C641F" w:rsidRPr="00937C8B" w:rsidRDefault="006C641F" w:rsidP="006C641F">
      <w:pPr>
        <w:pStyle w:val="En-tte"/>
        <w:tabs>
          <w:tab w:val="right" w:pos="8931"/>
        </w:tabs>
        <w:jc w:val="center"/>
        <w:rPr>
          <w:rFonts w:ascii="Arial" w:hAnsi="Arial" w:cs="Arial"/>
          <w:b/>
          <w:bCs/>
          <w:sz w:val="80"/>
          <w:szCs w:val="80"/>
        </w:rPr>
      </w:pPr>
      <w:r>
        <w:rPr>
          <w:rFonts w:ascii="Arial" w:hAnsi="Arial"/>
          <w:color w:val="000000"/>
          <w:sz w:val="40"/>
          <w:szCs w:val="40"/>
        </w:rPr>
        <w:t>ANNEXE I</w:t>
      </w:r>
    </w:p>
    <w:p w14:paraId="22B53FB1" w14:textId="77777777" w:rsidR="006C641F" w:rsidRPr="00937C8B" w:rsidRDefault="006C641F" w:rsidP="006C641F">
      <w:pPr>
        <w:pStyle w:val="En-tte"/>
        <w:rPr>
          <w:b/>
          <w:bCs/>
          <w:sz w:val="80"/>
          <w:szCs w:val="80"/>
        </w:rPr>
      </w:pPr>
    </w:p>
    <w:p w14:paraId="1E593DF9" w14:textId="77777777" w:rsidR="006C641F" w:rsidRPr="00937C8B" w:rsidRDefault="006C641F" w:rsidP="006C641F">
      <w:pPr>
        <w:pStyle w:val="En-tte"/>
        <w:rPr>
          <w:b/>
          <w:bCs/>
          <w:sz w:val="80"/>
          <w:szCs w:val="80"/>
        </w:rPr>
      </w:pPr>
    </w:p>
    <w:p w14:paraId="60AB36AC" w14:textId="77777777" w:rsidR="006C641F" w:rsidRPr="00937C8B" w:rsidRDefault="006C641F" w:rsidP="006C641F">
      <w:pPr>
        <w:pStyle w:val="En-tte"/>
        <w:ind w:left="709" w:right="282"/>
        <w:rPr>
          <w:rFonts w:ascii="Arial" w:hAnsi="Arial" w:cs="Arial"/>
        </w:rPr>
      </w:pPr>
      <w:r>
        <w:rPr>
          <w:rFonts w:ascii="Arial" w:hAnsi="Arial"/>
          <w:b/>
          <w:bCs/>
          <w:color w:val="000000"/>
          <w:sz w:val="68"/>
          <w:szCs w:val="68"/>
        </w:rPr>
        <w:t>Document de base</w:t>
      </w:r>
      <w:r>
        <w:rPr>
          <w:rFonts w:ascii="Arial" w:hAnsi="Arial"/>
          <w:sz w:val="80"/>
          <w:szCs w:val="80"/>
        </w:rPr>
        <w:t xml:space="preserve"> </w:t>
      </w:r>
      <w:r>
        <w:rPr>
          <w:rFonts w:ascii="Arial" w:hAnsi="Arial"/>
          <w:b/>
          <w:bCs/>
          <w:color w:val="000000"/>
          <w:sz w:val="135"/>
          <w:szCs w:val="135"/>
        </w:rPr>
        <w:t>HE</w:t>
      </w:r>
    </w:p>
    <w:tbl>
      <w:tblPr>
        <w:tblW w:w="8255" w:type="dxa"/>
        <w:tblInd w:w="699" w:type="dxa"/>
        <w:tblBorders>
          <w:top w:val="single" w:sz="8" w:space="0" w:color="000000"/>
        </w:tblBorders>
        <w:tblCellMar>
          <w:top w:w="28" w:type="dxa"/>
          <w:left w:w="0" w:type="dxa"/>
          <w:right w:w="0" w:type="dxa"/>
        </w:tblCellMar>
        <w:tblLook w:val="04A0" w:firstRow="1" w:lastRow="0" w:firstColumn="1" w:lastColumn="0" w:noHBand="0" w:noVBand="1"/>
      </w:tblPr>
      <w:tblGrid>
        <w:gridCol w:w="8255"/>
      </w:tblGrid>
      <w:tr w:rsidR="006C641F" w:rsidRPr="00937C8B" w14:paraId="4D7A0D50" w14:textId="77777777" w:rsidTr="006C641F">
        <w:trPr>
          <w:trHeight w:val="165"/>
        </w:trPr>
        <w:tc>
          <w:tcPr>
            <w:tcW w:w="8255" w:type="dxa"/>
            <w:tcBorders>
              <w:top w:val="single" w:sz="8" w:space="0" w:color="000000"/>
            </w:tcBorders>
            <w:shd w:val="clear" w:color="auto" w:fill="auto"/>
          </w:tcPr>
          <w:p w14:paraId="235D4DB0" w14:textId="6BE1575E" w:rsidR="006C641F" w:rsidRPr="00937C8B" w:rsidRDefault="006C641F" w:rsidP="006C641F">
            <w:pPr>
              <w:pStyle w:val="Textbody"/>
              <w:spacing w:after="0"/>
              <w:rPr>
                <w:rFonts w:cs="GBGEGH+Arial,Bold"/>
                <w:b/>
                <w:bCs/>
                <w:color w:val="000000"/>
                <w:sz w:val="47"/>
                <w:szCs w:val="47"/>
              </w:rPr>
            </w:pPr>
            <w:r>
              <w:rPr>
                <w:b/>
                <w:bCs/>
                <w:color w:val="000000"/>
                <w:sz w:val="47"/>
                <w:szCs w:val="47"/>
              </w:rPr>
              <w:t>Économie d</w:t>
            </w:r>
            <w:r w:rsidR="00EA7588">
              <w:rPr>
                <w:b/>
                <w:bCs/>
                <w:color w:val="000000"/>
                <w:sz w:val="47"/>
                <w:szCs w:val="47"/>
              </w:rPr>
              <w:t>’</w:t>
            </w:r>
            <w:r>
              <w:rPr>
                <w:b/>
                <w:bCs/>
                <w:color w:val="000000"/>
                <w:sz w:val="47"/>
                <w:szCs w:val="47"/>
              </w:rPr>
              <w:t>énergie</w:t>
            </w:r>
          </w:p>
        </w:tc>
      </w:tr>
    </w:tbl>
    <w:p w14:paraId="5E5D8EA0" w14:textId="77777777" w:rsidR="006C641F" w:rsidRPr="00937C8B" w:rsidRDefault="006C641F" w:rsidP="006C641F">
      <w:pPr>
        <w:pStyle w:val="Textbody"/>
        <w:rPr>
          <w:b/>
          <w:bCs/>
          <w:sz w:val="16"/>
          <w:szCs w:val="16"/>
        </w:rPr>
      </w:pPr>
    </w:p>
    <w:p w14:paraId="463584CA" w14:textId="77777777" w:rsidR="006C641F" w:rsidRPr="00937C8B" w:rsidRDefault="00A03C86" w:rsidP="006C641F">
      <w:pPr>
        <w:pStyle w:val="Standard"/>
        <w:jc w:val="center"/>
        <w:rPr>
          <w:b/>
          <w:szCs w:val="20"/>
        </w:rPr>
      </w:pPr>
      <w:r>
        <w:rPr>
          <w:noProof/>
        </w:rPr>
        <mc:AlternateContent>
          <mc:Choice Requires="wps">
            <w:drawing>
              <wp:anchor distT="0" distB="0" distL="89535" distR="89535" simplePos="0" relativeHeight="251655680" behindDoc="0" locked="0" layoutInCell="1" allowOverlap="1" wp14:anchorId="2F19B2D9" wp14:editId="07EEFDCF">
                <wp:simplePos x="0" y="0"/>
                <wp:positionH relativeFrom="column">
                  <wp:posOffset>450215</wp:posOffset>
                </wp:positionH>
                <wp:positionV relativeFrom="paragraph">
                  <wp:posOffset>635</wp:posOffset>
                </wp:positionV>
                <wp:extent cx="5210175" cy="2509520"/>
                <wp:effectExtent l="0" t="0" r="9525" b="5080"/>
                <wp:wrapSquare wrapText="bothSides"/>
                <wp:docPr id="7" name="Marco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2509520"/>
                        </a:xfrm>
                        <a:prstGeom prst="rect">
                          <a:avLst/>
                        </a:prstGeom>
                        <a:noFill/>
                        <a:ln>
                          <a:noFill/>
                        </a:ln>
                        <a:effectLst/>
                      </wps:spPr>
                      <wps:txbx>
                        <w:txbxContent>
                          <w:tbl>
                            <w:tblPr>
                              <w:tblW w:w="8204" w:type="dxa"/>
                              <w:tblBorders>
                                <w:top w:val="single" w:sz="8" w:space="0" w:color="000000"/>
                              </w:tblBorders>
                              <w:tblCellMar>
                                <w:top w:w="28" w:type="dxa"/>
                                <w:left w:w="0" w:type="dxa"/>
                                <w:right w:w="0" w:type="dxa"/>
                              </w:tblCellMar>
                              <w:tblLook w:val="04A0" w:firstRow="1" w:lastRow="0" w:firstColumn="1" w:lastColumn="0" w:noHBand="0" w:noVBand="1"/>
                            </w:tblPr>
                            <w:tblGrid>
                              <w:gridCol w:w="8204"/>
                            </w:tblGrid>
                            <w:tr w:rsidR="00E93486" w14:paraId="627E1626" w14:textId="77777777">
                              <w:trPr>
                                <w:trHeight w:val="3480"/>
                              </w:trPr>
                              <w:tc>
                                <w:tcPr>
                                  <w:tcW w:w="8204" w:type="dxa"/>
                                  <w:tcBorders>
                                    <w:top w:val="single" w:sz="8" w:space="0" w:color="000000"/>
                                  </w:tcBorders>
                                  <w:shd w:val="pct10" w:color="auto" w:fill="auto"/>
                                </w:tcPr>
                                <w:p w14:paraId="1003950E" w14:textId="72C5425E" w:rsidR="00E93486" w:rsidRDefault="00E93486" w:rsidP="00E47AFE">
                                  <w:pPr>
                                    <w:pStyle w:val="Contenidodelatabla"/>
                                    <w:spacing w:before="360" w:line="370" w:lineRule="atLeast"/>
                                    <w:ind w:left="990" w:hanging="990"/>
                                    <w:jc w:val="both"/>
                                  </w:pPr>
                                  <w:r>
                                    <w:rPr>
                                      <w:rFonts w:ascii="Arial, sans-serif" w:hAnsi="Arial, sans-serif"/>
                                      <w:sz w:val="32"/>
                                    </w:rPr>
                                    <w:t>HE 0</w:t>
                                  </w:r>
                                  <w:r>
                                    <w:rPr>
                                      <w:b/>
                                      <w:bCs/>
                                      <w:sz w:val="80"/>
                                      <w:szCs w:val="80"/>
                                    </w:rPr>
                                    <w:tab/>
                                  </w:r>
                                  <w:r>
                                    <w:rPr>
                                      <w:rFonts w:ascii="Arial, sans-serif" w:hAnsi="Arial, sans-serif"/>
                                      <w:sz w:val="32"/>
                                    </w:rPr>
                                    <w:t>Limitation de la consommation d</w:t>
                                  </w:r>
                                  <w:r w:rsidR="00EA7588">
                                    <w:rPr>
                                      <w:rFonts w:ascii="Arial, sans-serif" w:hAnsi="Arial, sans-serif"/>
                                      <w:sz w:val="32"/>
                                    </w:rPr>
                                    <w:t>’</w:t>
                                  </w:r>
                                  <w:r>
                                    <w:rPr>
                                      <w:rFonts w:ascii="Arial, sans-serif" w:hAnsi="Arial, sans-serif"/>
                                      <w:sz w:val="32"/>
                                    </w:rPr>
                                    <w:t>énergie</w:t>
                                  </w:r>
                                </w:p>
                                <w:p w14:paraId="7479E385" w14:textId="77777777" w:rsidR="00E93486" w:rsidRDefault="00E93486" w:rsidP="00E47AFE">
                                  <w:pPr>
                                    <w:pStyle w:val="Contenidodelatabla"/>
                                    <w:spacing w:before="62" w:line="370" w:lineRule="atLeast"/>
                                    <w:ind w:left="990" w:hanging="990"/>
                                    <w:jc w:val="both"/>
                                  </w:pPr>
                                  <w:r>
                                    <w:rPr>
                                      <w:rFonts w:ascii="Arial, sans-serif" w:hAnsi="Arial, sans-serif"/>
                                      <w:sz w:val="32"/>
                                    </w:rPr>
                                    <w:t>HE 1</w:t>
                                  </w:r>
                                  <w:r>
                                    <w:rPr>
                                      <w:b/>
                                      <w:bCs/>
                                      <w:sz w:val="80"/>
                                      <w:szCs w:val="80"/>
                                    </w:rPr>
                                    <w:tab/>
                                  </w:r>
                                  <w:r>
                                    <w:rPr>
                                      <w:rFonts w:ascii="Arial, sans-serif" w:hAnsi="Arial, sans-serif"/>
                                      <w:sz w:val="32"/>
                                    </w:rPr>
                                    <w:t>Conditions de contrôle de la demande d’énergie</w:t>
                                  </w:r>
                                </w:p>
                                <w:p w14:paraId="031A5051" w14:textId="77777777" w:rsidR="00E93486" w:rsidRDefault="00E93486" w:rsidP="00E47AFE">
                                  <w:pPr>
                                    <w:pStyle w:val="Contenidodelatabla"/>
                                    <w:spacing w:before="57" w:line="370" w:lineRule="atLeast"/>
                                    <w:ind w:left="990" w:hanging="990"/>
                                    <w:jc w:val="both"/>
                                  </w:pPr>
                                  <w:r>
                                    <w:rPr>
                                      <w:rFonts w:ascii="Arial, sans-serif" w:hAnsi="Arial, sans-serif"/>
                                      <w:sz w:val="32"/>
                                    </w:rPr>
                                    <w:t>HE 2</w:t>
                                  </w:r>
                                  <w:r>
                                    <w:rPr>
                                      <w:b/>
                                      <w:bCs/>
                                      <w:sz w:val="80"/>
                                      <w:szCs w:val="80"/>
                                    </w:rPr>
                                    <w:tab/>
                                  </w:r>
                                  <w:r>
                                    <w:rPr>
                                      <w:rFonts w:ascii="Arial, sans-serif" w:hAnsi="Arial, sans-serif"/>
                                      <w:sz w:val="32"/>
                                    </w:rPr>
                                    <w:t>Conditions des installations thermiques</w:t>
                                  </w:r>
                                </w:p>
                                <w:p w14:paraId="2387F597" w14:textId="77777777" w:rsidR="00E93486" w:rsidRDefault="00E93486" w:rsidP="00E47AFE">
                                  <w:pPr>
                                    <w:pStyle w:val="Contenidodelatabla"/>
                                    <w:spacing w:before="57" w:line="370" w:lineRule="atLeast"/>
                                    <w:ind w:left="990" w:hanging="990"/>
                                    <w:jc w:val="both"/>
                                  </w:pPr>
                                  <w:r>
                                    <w:rPr>
                                      <w:rFonts w:ascii="Arial, sans-serif" w:hAnsi="Arial, sans-serif"/>
                                      <w:sz w:val="32"/>
                                    </w:rPr>
                                    <w:t>HE 3</w:t>
                                  </w:r>
                                  <w:r>
                                    <w:rPr>
                                      <w:b/>
                                      <w:bCs/>
                                      <w:sz w:val="80"/>
                                      <w:szCs w:val="80"/>
                                    </w:rPr>
                                    <w:tab/>
                                  </w:r>
                                  <w:r>
                                    <w:rPr>
                                      <w:rFonts w:ascii="Arial, sans-serif" w:hAnsi="Arial, sans-serif"/>
                                      <w:sz w:val="32"/>
                                    </w:rPr>
                                    <w:t>Conditions des installations d’éclairage</w:t>
                                  </w:r>
                                </w:p>
                                <w:p w14:paraId="31E5643F" w14:textId="77777777" w:rsidR="00E93486" w:rsidRDefault="00E93486" w:rsidP="00E47AFE">
                                  <w:pPr>
                                    <w:pStyle w:val="Contenidodelatabla"/>
                                    <w:spacing w:before="57" w:line="370" w:lineRule="atLeast"/>
                                    <w:ind w:left="990" w:hanging="990"/>
                                    <w:jc w:val="both"/>
                                  </w:pPr>
                                  <w:r>
                                    <w:rPr>
                                      <w:rFonts w:ascii="Arial, sans-serif" w:hAnsi="Arial, sans-serif"/>
                                      <w:sz w:val="32"/>
                                    </w:rPr>
                                    <w:t>HE 4</w:t>
                                  </w:r>
                                  <w:r>
                                    <w:rPr>
                                      <w:b/>
                                      <w:bCs/>
                                      <w:sz w:val="80"/>
                                      <w:szCs w:val="80"/>
                                    </w:rPr>
                                    <w:tab/>
                                  </w:r>
                                  <w:r>
                                    <w:rPr>
                                      <w:rFonts w:ascii="Arial, sans-serif" w:hAnsi="Arial, sans-serif"/>
                                      <w:sz w:val="32"/>
                                    </w:rPr>
                                    <w:t>Apport minimal d’énergie renouvelable afin de couvrir la demande en eau chaude sanitaire</w:t>
                                  </w:r>
                                </w:p>
                                <w:p w14:paraId="48438CD1" w14:textId="77777777" w:rsidR="00E93486" w:rsidRDefault="00E93486" w:rsidP="00E47AFE">
                                  <w:pPr>
                                    <w:pStyle w:val="Contenidodelatabla"/>
                                    <w:spacing w:before="57" w:line="370" w:lineRule="atLeast"/>
                                    <w:ind w:left="990" w:hanging="990"/>
                                    <w:jc w:val="both"/>
                                  </w:pPr>
                                  <w:r>
                                    <w:rPr>
                                      <w:rFonts w:ascii="Arial, sans-serif" w:hAnsi="Arial, sans-serif"/>
                                      <w:sz w:val="32"/>
                                    </w:rPr>
                                    <w:t>HE 5</w:t>
                                  </w:r>
                                  <w:r>
                                    <w:rPr>
                                      <w:b/>
                                      <w:bCs/>
                                      <w:sz w:val="80"/>
                                      <w:szCs w:val="80"/>
                                    </w:rPr>
                                    <w:tab/>
                                  </w:r>
                                  <w:r>
                                    <w:rPr>
                                      <w:rFonts w:ascii="Arial, sans-serif" w:hAnsi="Arial, sans-serif"/>
                                      <w:sz w:val="32"/>
                                    </w:rPr>
                                    <w:t>Génération minimale d’énergie électrique</w:t>
                                  </w:r>
                                </w:p>
                              </w:tc>
                            </w:tr>
                          </w:tbl>
                          <w:p w14:paraId="1A24A30C" w14:textId="77777777" w:rsidR="00E93486" w:rsidRDefault="00E93486" w:rsidP="006C641F">
                            <w:pPr>
                              <w:pStyle w:val="Contenidodelmarco"/>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2F19B2D9" id="Marco2" o:spid="_x0000_s1026" style="position:absolute;left:0;text-align:left;margin-left:35.45pt;margin-top:.05pt;width:410.25pt;height:197.6pt;z-index:25165568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" filled="f" stroked="f">
                <v:textbox style="mso-fit-shape-to-text:t" inset="0,0,0,0">
                  <w:txbxContent>
                    <w:tbl>
                      <w:tblPr>
                        <w:tblW w:w="8204" w:type="dxa"/>
                        <w:tblBorders>
                          <w:top w:val="single" w:sz="8" w:space="0" w:color="000000"/>
                        </w:tblBorders>
                        <w:tblCellMar>
                          <w:top w:w="28" w:type="dxa"/>
                          <w:left w:w="0" w:type="dxa"/>
                          <w:right w:w="0" w:type="dxa"/>
                        </w:tblCellMar>
                        <w:tblLook w:val="04A0" w:firstRow="1" w:lastRow="0" w:firstColumn="1" w:lastColumn="0" w:noHBand="0" w:noVBand="1"/>
                      </w:tblPr>
                      <w:tblGrid>
                        <w:gridCol w:w="8204"/>
                      </w:tblGrid>
                      <w:tr w:rsidR="00E93486" w14:paraId="627E1626" w14:textId="77777777">
                        <w:trPr>
                          <w:trHeight w:val="3480"/>
                        </w:trPr>
                        <w:tc>
                          <w:tcPr>
                            <w:tcW w:w="8204" w:type="dxa"/>
                            <w:tcBorders>
                              <w:top w:val="single" w:sz="8" w:space="0" w:color="000000"/>
                            </w:tcBorders>
                            <w:shd w:val="pct10" w:color="auto" w:fill="auto"/>
                          </w:tcPr>
                          <w:p w14:paraId="1003950E" w14:textId="72C5425E" w:rsidR="00E93486" w:rsidRDefault="00E93486" w:rsidP="00E47AFE">
                            <w:pPr>
                              <w:pStyle w:val="Contenidodelatabla"/>
                              <w:spacing w:before="360" w:line="370" w:lineRule="atLeast"/>
                              <w:ind w:left="990" w:hanging="990"/>
                              <w:jc w:val="both"/>
                            </w:pPr>
                            <w:r>
                              <w:rPr>
                                <w:rFonts w:ascii="Arial, sans-serif" w:hAnsi="Arial, sans-serif"/>
                                <w:sz w:val="32"/>
                              </w:rPr>
                              <w:t>HE 0</w:t>
                            </w:r>
                            <w:r>
                              <w:rPr>
                                <w:b/>
                                <w:bCs/>
                                <w:sz w:val="80"/>
                                <w:szCs w:val="80"/>
                              </w:rPr>
                              <w:tab/>
                            </w:r>
                            <w:r>
                              <w:rPr>
                                <w:rFonts w:ascii="Arial, sans-serif" w:hAnsi="Arial, sans-serif"/>
                                <w:sz w:val="32"/>
                              </w:rPr>
                              <w:t>Limitation de la consommation d</w:t>
                            </w:r>
                            <w:r w:rsidR="00EA7588">
                              <w:rPr>
                                <w:rFonts w:ascii="Arial, sans-serif" w:hAnsi="Arial, sans-serif"/>
                                <w:sz w:val="32"/>
                              </w:rPr>
                              <w:t>’</w:t>
                            </w:r>
                            <w:r>
                              <w:rPr>
                                <w:rFonts w:ascii="Arial, sans-serif" w:hAnsi="Arial, sans-serif"/>
                                <w:sz w:val="32"/>
                              </w:rPr>
                              <w:t>énergie</w:t>
                            </w:r>
                          </w:p>
                          <w:p w14:paraId="7479E385" w14:textId="77777777" w:rsidR="00E93486" w:rsidRDefault="00E93486" w:rsidP="00E47AFE">
                            <w:pPr>
                              <w:pStyle w:val="Contenidodelatabla"/>
                              <w:spacing w:before="62" w:line="370" w:lineRule="atLeast"/>
                              <w:ind w:left="990" w:hanging="990"/>
                              <w:jc w:val="both"/>
                            </w:pPr>
                            <w:r>
                              <w:rPr>
                                <w:rFonts w:ascii="Arial, sans-serif" w:hAnsi="Arial, sans-serif"/>
                                <w:sz w:val="32"/>
                              </w:rPr>
                              <w:t>HE 1</w:t>
                            </w:r>
                            <w:r>
                              <w:rPr>
                                <w:b/>
                                <w:bCs/>
                                <w:sz w:val="80"/>
                                <w:szCs w:val="80"/>
                              </w:rPr>
                              <w:tab/>
                            </w:r>
                            <w:r>
                              <w:rPr>
                                <w:rFonts w:ascii="Arial, sans-serif" w:hAnsi="Arial, sans-serif"/>
                                <w:sz w:val="32"/>
                              </w:rPr>
                              <w:t>Conditions de contrôle de la demande d’énergie</w:t>
                            </w:r>
                          </w:p>
                          <w:p w14:paraId="031A5051" w14:textId="77777777" w:rsidR="00E93486" w:rsidRDefault="00E93486" w:rsidP="00E47AFE">
                            <w:pPr>
                              <w:pStyle w:val="Contenidodelatabla"/>
                              <w:spacing w:before="57" w:line="370" w:lineRule="atLeast"/>
                              <w:ind w:left="990" w:hanging="990"/>
                              <w:jc w:val="both"/>
                            </w:pPr>
                            <w:r>
                              <w:rPr>
                                <w:rFonts w:ascii="Arial, sans-serif" w:hAnsi="Arial, sans-serif"/>
                                <w:sz w:val="32"/>
                              </w:rPr>
                              <w:t>HE 2</w:t>
                            </w:r>
                            <w:r>
                              <w:rPr>
                                <w:b/>
                                <w:bCs/>
                                <w:sz w:val="80"/>
                                <w:szCs w:val="80"/>
                              </w:rPr>
                              <w:tab/>
                            </w:r>
                            <w:r>
                              <w:rPr>
                                <w:rFonts w:ascii="Arial, sans-serif" w:hAnsi="Arial, sans-serif"/>
                                <w:sz w:val="32"/>
                              </w:rPr>
                              <w:t>Conditions des installations thermiques</w:t>
                            </w:r>
                          </w:p>
                          <w:p w14:paraId="2387F597" w14:textId="77777777" w:rsidR="00E93486" w:rsidRDefault="00E93486" w:rsidP="00E47AFE">
                            <w:pPr>
                              <w:pStyle w:val="Contenidodelatabla"/>
                              <w:spacing w:before="57" w:line="370" w:lineRule="atLeast"/>
                              <w:ind w:left="990" w:hanging="990"/>
                              <w:jc w:val="both"/>
                            </w:pPr>
                            <w:r>
                              <w:rPr>
                                <w:rFonts w:ascii="Arial, sans-serif" w:hAnsi="Arial, sans-serif"/>
                                <w:sz w:val="32"/>
                              </w:rPr>
                              <w:t>HE 3</w:t>
                            </w:r>
                            <w:r>
                              <w:rPr>
                                <w:b/>
                                <w:bCs/>
                                <w:sz w:val="80"/>
                                <w:szCs w:val="80"/>
                              </w:rPr>
                              <w:tab/>
                            </w:r>
                            <w:r>
                              <w:rPr>
                                <w:rFonts w:ascii="Arial, sans-serif" w:hAnsi="Arial, sans-serif"/>
                                <w:sz w:val="32"/>
                              </w:rPr>
                              <w:t>Conditions des installations d’éclairage</w:t>
                            </w:r>
                          </w:p>
                          <w:p w14:paraId="31E5643F" w14:textId="77777777" w:rsidR="00E93486" w:rsidRDefault="00E93486" w:rsidP="00E47AFE">
                            <w:pPr>
                              <w:pStyle w:val="Contenidodelatabla"/>
                              <w:spacing w:before="57" w:line="370" w:lineRule="atLeast"/>
                              <w:ind w:left="990" w:hanging="990"/>
                              <w:jc w:val="both"/>
                            </w:pPr>
                            <w:r>
                              <w:rPr>
                                <w:rFonts w:ascii="Arial, sans-serif" w:hAnsi="Arial, sans-serif"/>
                                <w:sz w:val="32"/>
                              </w:rPr>
                              <w:t>HE 4</w:t>
                            </w:r>
                            <w:r>
                              <w:rPr>
                                <w:b/>
                                <w:bCs/>
                                <w:sz w:val="80"/>
                                <w:szCs w:val="80"/>
                              </w:rPr>
                              <w:tab/>
                            </w:r>
                            <w:r>
                              <w:rPr>
                                <w:rFonts w:ascii="Arial, sans-serif" w:hAnsi="Arial, sans-serif"/>
                                <w:sz w:val="32"/>
                              </w:rPr>
                              <w:t>Apport minimal d’énergie renouvelable afin de couvrir la demande en eau chaude sanitaire</w:t>
                            </w:r>
                          </w:p>
                          <w:p w14:paraId="48438CD1" w14:textId="77777777" w:rsidR="00E93486" w:rsidRDefault="00E93486" w:rsidP="00E47AFE">
                            <w:pPr>
                              <w:pStyle w:val="Contenidodelatabla"/>
                              <w:spacing w:before="57" w:line="370" w:lineRule="atLeast"/>
                              <w:ind w:left="990" w:hanging="990"/>
                              <w:jc w:val="both"/>
                            </w:pPr>
                            <w:r>
                              <w:rPr>
                                <w:rFonts w:ascii="Arial, sans-serif" w:hAnsi="Arial, sans-serif"/>
                                <w:sz w:val="32"/>
                              </w:rPr>
                              <w:t>HE 5</w:t>
                            </w:r>
                            <w:r>
                              <w:rPr>
                                <w:b/>
                                <w:bCs/>
                                <w:sz w:val="80"/>
                                <w:szCs w:val="80"/>
                              </w:rPr>
                              <w:tab/>
                            </w:r>
                            <w:r>
                              <w:rPr>
                                <w:rFonts w:ascii="Arial, sans-serif" w:hAnsi="Arial, sans-serif"/>
                                <w:sz w:val="32"/>
                              </w:rPr>
                              <w:t>Génération minimale d’énergie électrique</w:t>
                            </w:r>
                          </w:p>
                        </w:tc>
                      </w:tr>
                    </w:tbl>
                    <w:p w14:paraId="1A24A30C" w14:textId="77777777" w:rsidR="00E93486" w:rsidRDefault="00E93486" w:rsidP="006C641F">
                      <w:pPr>
                        <w:pStyle w:val="Contenidodelmarco"/>
                      </w:pPr>
                    </w:p>
                  </w:txbxContent>
                </v:textbox>
                <w10:wrap type="square"/>
              </v:rect>
            </w:pict>
          </mc:Fallback>
        </mc:AlternateContent>
      </w:r>
    </w:p>
    <w:p w14:paraId="0E340C1B" w14:textId="77777777" w:rsidR="006C641F" w:rsidRPr="00937C8B" w:rsidRDefault="006C641F" w:rsidP="006C641F">
      <w:pPr>
        <w:rPr>
          <w:rFonts w:ascii="Arial" w:eastAsia="Arial" w:hAnsi="Arial" w:cs="Arial"/>
          <w:b/>
          <w:szCs w:val="20"/>
        </w:rPr>
      </w:pPr>
      <w:r>
        <w:br w:type="page"/>
      </w:r>
    </w:p>
    <w:p w14:paraId="7DC12FA9" w14:textId="77777777" w:rsidR="006C641F" w:rsidRPr="00937C8B" w:rsidRDefault="006C641F" w:rsidP="006C641F">
      <w:pPr>
        <w:pStyle w:val="Standard"/>
        <w:jc w:val="center"/>
        <w:rPr>
          <w:b/>
          <w:szCs w:val="20"/>
        </w:rPr>
      </w:pPr>
    </w:p>
    <w:p w14:paraId="774E6E03" w14:textId="77777777" w:rsidR="006C641F" w:rsidRPr="00937C8B" w:rsidRDefault="006C641F" w:rsidP="006C641F">
      <w:pPr>
        <w:pStyle w:val="Standard"/>
        <w:jc w:val="center"/>
      </w:pPr>
    </w:p>
    <w:p w14:paraId="16DF609A" w14:textId="77777777" w:rsidR="006C641F" w:rsidRPr="00937C8B" w:rsidRDefault="006C641F" w:rsidP="006C641F">
      <w:pPr>
        <w:pStyle w:val="Textbody"/>
        <w:rPr>
          <w:b/>
          <w:sz w:val="28"/>
          <w:szCs w:val="28"/>
        </w:rPr>
      </w:pPr>
      <w:r>
        <w:rPr>
          <w:b/>
          <w:sz w:val="28"/>
          <w:szCs w:val="28"/>
        </w:rPr>
        <w:t>Introduction</w:t>
      </w:r>
    </w:p>
    <w:p w14:paraId="1289C2FF" w14:textId="77777777" w:rsidR="006C641F" w:rsidRPr="00937C8B" w:rsidRDefault="006C641F" w:rsidP="006C641F">
      <w:pPr>
        <w:pStyle w:val="nota"/>
        <w:rPr>
          <w:bCs w:val="0"/>
        </w:rPr>
      </w:pPr>
    </w:p>
    <w:p w14:paraId="4A0A7C50" w14:textId="77777777" w:rsidR="006C641F" w:rsidRPr="00937C8B" w:rsidRDefault="006C641F" w:rsidP="006C641F">
      <w:pPr>
        <w:pStyle w:val="Textbody"/>
        <w:rPr>
          <w:b/>
          <w:bCs/>
          <w:sz w:val="28"/>
          <w:szCs w:val="28"/>
        </w:rPr>
      </w:pPr>
      <w:bookmarkStart w:id="13" w:name="__RefHeading___Toc10072_1941668277"/>
      <w:bookmarkEnd w:id="13"/>
      <w:r>
        <w:rPr>
          <w:b/>
          <w:bCs/>
          <w:sz w:val="28"/>
          <w:szCs w:val="28"/>
        </w:rPr>
        <w:t>I</w:t>
      </w:r>
      <w:r>
        <w:rPr>
          <w:b/>
          <w:bCs/>
          <w:sz w:val="28"/>
          <w:szCs w:val="28"/>
        </w:rPr>
        <w:tab/>
        <w:t>Objet</w:t>
      </w:r>
    </w:p>
    <w:p w14:paraId="0F4FF470" w14:textId="77777777" w:rsidR="006C641F" w:rsidRPr="00937C8B" w:rsidRDefault="006C641F" w:rsidP="006C641F">
      <w:pPr>
        <w:pStyle w:val="Standard"/>
        <w:rPr>
          <w:b/>
          <w:bCs/>
          <w:sz w:val="28"/>
        </w:rPr>
      </w:pPr>
    </w:p>
    <w:p w14:paraId="09612B55" w14:textId="3A1ACA44" w:rsidR="006C641F" w:rsidRPr="00937C8B" w:rsidRDefault="006C641F" w:rsidP="006C641F">
      <w:pPr>
        <w:pStyle w:val="Standard"/>
        <w:jc w:val="both"/>
      </w:pPr>
      <w:r>
        <w:t>L</w:t>
      </w:r>
      <w:r w:rsidR="00EA7588">
        <w:t>’</w:t>
      </w:r>
      <w:r>
        <w:t>objectif du présent Document de base (DB) est de définir des règles et des procédures permettant de respecter l</w:t>
      </w:r>
      <w:r w:rsidR="00EA7588">
        <w:t>’</w:t>
      </w:r>
      <w:r>
        <w:t>exigence de base en matière d</w:t>
      </w:r>
      <w:r w:rsidR="00EA7588">
        <w:t>’</w:t>
      </w:r>
      <w:r>
        <w:t>économie d</w:t>
      </w:r>
      <w:r w:rsidR="00EA7588">
        <w:t>’</w:t>
      </w:r>
      <w:r>
        <w:t>énergie. Les chapitres de ce DB correspondent aux exigences de base HE 0 à HE 5. L</w:t>
      </w:r>
      <w:r w:rsidR="00EA7588">
        <w:t>’</w:t>
      </w:r>
      <w:r>
        <w:t>application appropriée de chaque chapitre implique le respect de l</w:t>
      </w:r>
      <w:r w:rsidR="00EA7588">
        <w:t>’</w:t>
      </w:r>
      <w:r>
        <w:t>exigence de base correspondante.</w:t>
      </w:r>
    </w:p>
    <w:p w14:paraId="6FC809A8" w14:textId="35547DA1" w:rsidR="006C641F" w:rsidRPr="00937C8B" w:rsidRDefault="006C641F" w:rsidP="006C641F">
      <w:pPr>
        <w:pStyle w:val="Standard"/>
        <w:jc w:val="both"/>
      </w:pPr>
      <w:r>
        <w:t>L</w:t>
      </w:r>
      <w:r w:rsidR="00EA7588">
        <w:t>’</w:t>
      </w:r>
      <w:r>
        <w:t>application appropriée de l</w:t>
      </w:r>
      <w:r w:rsidR="00EA7588">
        <w:t>’</w:t>
      </w:r>
      <w:r>
        <w:t>ensemble du DB implique le respect de l</w:t>
      </w:r>
      <w:r w:rsidR="00EA7588">
        <w:t>’</w:t>
      </w:r>
      <w:r>
        <w:t>exigence de base «Économie d</w:t>
      </w:r>
      <w:r w:rsidR="00EA7588">
        <w:t>’</w:t>
      </w:r>
      <w:r>
        <w:t>énergie».</w:t>
      </w:r>
    </w:p>
    <w:p w14:paraId="6827718F" w14:textId="77777777" w:rsidR="006C641F" w:rsidRPr="00937C8B" w:rsidRDefault="006C641F" w:rsidP="006C641F">
      <w:pPr>
        <w:pStyle w:val="Standard"/>
        <w:jc w:val="both"/>
      </w:pPr>
    </w:p>
    <w:p w14:paraId="4C3C5AC8" w14:textId="26379D16" w:rsidR="006C641F" w:rsidRPr="00937C8B" w:rsidRDefault="006C641F" w:rsidP="006C641F">
      <w:pPr>
        <w:pStyle w:val="Standard"/>
        <w:jc w:val="both"/>
      </w:pPr>
      <w:r>
        <w:t>L</w:t>
      </w:r>
      <w:r w:rsidR="00EA7588">
        <w:t>’</w:t>
      </w:r>
      <w:r>
        <w:t>article 15 de la Partie I du présent CTE définit l</w:t>
      </w:r>
      <w:r w:rsidR="00EA7588">
        <w:t>’</w:t>
      </w:r>
      <w:r>
        <w:t>exigence de base «Économie d</w:t>
      </w:r>
      <w:r w:rsidR="00EA7588">
        <w:t>’</w:t>
      </w:r>
      <w:r>
        <w:t>énergie» ainsi que les exigences de base suivantes:</w:t>
      </w:r>
    </w:p>
    <w:p w14:paraId="427390B5" w14:textId="77777777" w:rsidR="006C641F" w:rsidRPr="00937C8B" w:rsidRDefault="006C641F" w:rsidP="006C641F">
      <w:pPr>
        <w:pStyle w:val="Standard"/>
      </w:pPr>
    </w:p>
    <w:p w14:paraId="668358BA" w14:textId="77777777" w:rsidR="006C641F" w:rsidRPr="00937C8B" w:rsidRDefault="006C641F" w:rsidP="00D739A5">
      <w:pPr>
        <w:pStyle w:val="artculo-tex"/>
        <w:pBdr>
          <w:bottom w:val="single" w:sz="4" w:space="0" w:color="00000A"/>
        </w:pBdr>
        <w:rPr>
          <w:b/>
          <w:bCs/>
        </w:rPr>
      </w:pPr>
    </w:p>
    <w:p w14:paraId="57EFC3C4" w14:textId="77777777" w:rsidR="006C641F" w:rsidRPr="00937C8B" w:rsidRDefault="006C641F" w:rsidP="00D27646">
      <w:pPr>
        <w:pStyle w:val="artculo-tex"/>
        <w:keepNext/>
        <w:pBdr>
          <w:bottom w:val="single" w:sz="4" w:space="0" w:color="00000A"/>
        </w:pBdr>
        <w:jc w:val="both"/>
        <w:rPr>
          <w:b/>
          <w:bCs/>
        </w:rPr>
      </w:pPr>
      <w:r>
        <w:rPr>
          <w:b/>
          <w:bCs/>
        </w:rPr>
        <w:t>Article 15. Exigences de base en matière d’économie d’énergie (HE)</w:t>
      </w:r>
    </w:p>
    <w:p w14:paraId="24361B22" w14:textId="745B7FF3" w:rsidR="006C641F" w:rsidRPr="00937C8B" w:rsidRDefault="006C641F" w:rsidP="00D739A5">
      <w:pPr>
        <w:pStyle w:val="artculo-tex"/>
        <w:numPr>
          <w:ilvl w:val="0"/>
          <w:numId w:val="4"/>
        </w:numPr>
        <w:pBdr>
          <w:bottom w:val="single" w:sz="4" w:space="0" w:color="00000A"/>
        </w:pBdr>
        <w:suppressAutoHyphens w:val="0"/>
        <w:autoSpaceDN/>
        <w:jc w:val="both"/>
        <w:textAlignment w:val="auto"/>
      </w:pPr>
      <w:r>
        <w:t>L’objectif de l’exigence de base «Économie d’énergie» consiste à obtenir une utilisation rationnelle de l’énergie nécessaire à l’utilisation des bâtiments en réduisant leur consommation à des limites durables et en veillant à ce qu’une partie de cette consommation soit issue de sources d’énergie renouvelables, en fonction des caractéristiques du</w:t>
      </w:r>
      <w:r>
        <w:rPr>
          <w:i/>
        </w:rPr>
        <w:t xml:space="preserve"> projet, de construction, d</w:t>
      </w:r>
      <w:r w:rsidR="00EA7588">
        <w:rPr>
          <w:i/>
        </w:rPr>
        <w:t>’</w:t>
      </w:r>
      <w:r>
        <w:rPr>
          <w:i/>
        </w:rPr>
        <w:t xml:space="preserve">utilisation </w:t>
      </w:r>
      <w:r>
        <w:t xml:space="preserve">et </w:t>
      </w:r>
      <w:r>
        <w:rPr>
          <w:i/>
        </w:rPr>
        <w:t>d</w:t>
      </w:r>
      <w:r w:rsidR="00EA7588">
        <w:rPr>
          <w:i/>
        </w:rPr>
        <w:t>’</w:t>
      </w:r>
      <w:r>
        <w:rPr>
          <w:i/>
        </w:rPr>
        <w:t>entretien.</w:t>
      </w:r>
    </w:p>
    <w:p w14:paraId="4ABBB487" w14:textId="77777777" w:rsidR="006C641F" w:rsidRPr="00937C8B" w:rsidRDefault="006C641F" w:rsidP="00D739A5">
      <w:pPr>
        <w:pStyle w:val="artculo-tex"/>
        <w:pBdr>
          <w:bottom w:val="single" w:sz="4" w:space="0" w:color="00000A"/>
        </w:pBdr>
        <w:jc w:val="both"/>
      </w:pPr>
      <w:r>
        <w:t>Afin d’atteindre cet objectif, les bâtiments seront conçus, construits, utilisés et entretenus de manière à respecter les exigences de base définies dans les articles ci-après.</w:t>
      </w:r>
    </w:p>
    <w:p w14:paraId="1E097C55" w14:textId="77777777" w:rsidR="006C641F" w:rsidRPr="00937C8B" w:rsidRDefault="006C641F" w:rsidP="00D739A5">
      <w:pPr>
        <w:pStyle w:val="artculo-tex"/>
        <w:pBdr>
          <w:bottom w:val="single" w:sz="4" w:space="0" w:color="00000A"/>
        </w:pBdr>
        <w:jc w:val="both"/>
      </w:pPr>
      <w:r>
        <w:t>Le document de base «DB HE Économie d’énergie» prévoit des paramètres objectifs et des procédures dont la mise en œuvre garantit le respect des exigences de base et le dépassement des niveaux minimaux de qualité propres à l’exigence de base en matière d’économie d’énergie.</w:t>
      </w:r>
    </w:p>
    <w:p w14:paraId="6CF381D2" w14:textId="77777777" w:rsidR="006C641F" w:rsidRPr="00937C8B" w:rsidRDefault="006C641F" w:rsidP="00D739A5">
      <w:pPr>
        <w:pStyle w:val="artculo-tex"/>
        <w:pBdr>
          <w:bottom w:val="single" w:sz="4" w:space="0" w:color="00000A"/>
        </w:pBdr>
        <w:jc w:val="both"/>
      </w:pPr>
    </w:p>
    <w:p w14:paraId="54C8574A" w14:textId="77777777" w:rsidR="006C641F" w:rsidRPr="00937C8B" w:rsidRDefault="006C641F" w:rsidP="00D27646">
      <w:pPr>
        <w:pStyle w:val="artculo-tex"/>
        <w:keepNext/>
        <w:pBdr>
          <w:bottom w:val="single" w:sz="4" w:space="0" w:color="00000A"/>
        </w:pBdr>
        <w:jc w:val="both"/>
        <w:rPr>
          <w:b/>
          <w:bCs/>
        </w:rPr>
      </w:pPr>
      <w:r>
        <w:rPr>
          <w:b/>
          <w:bCs/>
        </w:rPr>
        <w:t>15.1. Exigence de base HE 0: Limitation de la consommation d’énergie.</w:t>
      </w:r>
    </w:p>
    <w:p w14:paraId="24C9916B" w14:textId="77777777" w:rsidR="006C641F" w:rsidRPr="00937C8B" w:rsidRDefault="006C641F" w:rsidP="00D739A5">
      <w:pPr>
        <w:pStyle w:val="artculo-tex"/>
        <w:pBdr>
          <w:bottom w:val="single" w:sz="4" w:space="0" w:color="00000A"/>
        </w:pBdr>
        <w:jc w:val="both"/>
      </w:pPr>
      <w:r>
        <w:t xml:space="preserve">La consommation d’énergie des bâtiments sera limitée en tenant compte de la </w:t>
      </w:r>
      <w:r>
        <w:rPr>
          <w:i/>
          <w:iCs/>
        </w:rPr>
        <w:t>zone climatique</w:t>
      </w:r>
      <w:r>
        <w:t xml:space="preserve"> de leur emplacement, de l’usage du bâtiment et dans le cas de bâtiments existants, de l’étendue de l’intervention. La consommation d’énergie se fera majoritairement à partir de sources d’énergie renouvelables.</w:t>
      </w:r>
    </w:p>
    <w:p w14:paraId="63DC800C" w14:textId="77777777" w:rsidR="006C641F" w:rsidRPr="00937C8B" w:rsidRDefault="006C641F" w:rsidP="00D739A5">
      <w:pPr>
        <w:pStyle w:val="artculo-tex"/>
        <w:pBdr>
          <w:bottom w:val="single" w:sz="4" w:space="0" w:color="00000A"/>
        </w:pBdr>
        <w:jc w:val="both"/>
      </w:pPr>
    </w:p>
    <w:p w14:paraId="1D2945D2" w14:textId="77777777" w:rsidR="006C641F" w:rsidRPr="00937C8B" w:rsidRDefault="006C641F" w:rsidP="00D27646">
      <w:pPr>
        <w:pStyle w:val="artculo-tex"/>
        <w:keepNext/>
        <w:pBdr>
          <w:bottom w:val="single" w:sz="4" w:space="0" w:color="00000A"/>
        </w:pBdr>
        <w:jc w:val="both"/>
        <w:rPr>
          <w:b/>
          <w:bCs/>
        </w:rPr>
      </w:pPr>
      <w:r>
        <w:rPr>
          <w:b/>
          <w:bCs/>
        </w:rPr>
        <w:t>15.2. Exigence de base HE 1: Conditions de contrôle de la demande d’énergie</w:t>
      </w:r>
    </w:p>
    <w:p w14:paraId="53684D9F" w14:textId="77777777" w:rsidR="006C641F" w:rsidRPr="00937C8B" w:rsidRDefault="006C641F" w:rsidP="00D739A5">
      <w:pPr>
        <w:pStyle w:val="artculo-tex"/>
        <w:pBdr>
          <w:bottom w:val="single" w:sz="4" w:space="0" w:color="00000A"/>
        </w:pBdr>
        <w:jc w:val="both"/>
      </w:pPr>
      <w:r>
        <w:t xml:space="preserve">Les bâtiments disposeront d’une </w:t>
      </w:r>
      <w:r>
        <w:rPr>
          <w:i/>
          <w:iCs/>
        </w:rPr>
        <w:t>enceinte thermique</w:t>
      </w:r>
      <w:r>
        <w:t xml:space="preserve"> dotée de caractéristiques permettant de limiter les besoins en </w:t>
      </w:r>
      <w:r>
        <w:rPr>
          <w:i/>
          <w:iCs/>
        </w:rPr>
        <w:t>énergie primaire</w:t>
      </w:r>
      <w:r>
        <w:t xml:space="preserve"> afin d’atteindre le </w:t>
      </w:r>
      <w:r>
        <w:rPr>
          <w:i/>
          <w:iCs/>
        </w:rPr>
        <w:t>bien-être thermique</w:t>
      </w:r>
      <w:r>
        <w:t xml:space="preserve"> en fonction de la </w:t>
      </w:r>
      <w:r>
        <w:rPr>
          <w:i/>
          <w:iCs/>
        </w:rPr>
        <w:t>zone climatique</w:t>
      </w:r>
      <w:r>
        <w:t xml:space="preserve"> de leur emplacement, du régime d’été et d’hiver, de l’usage du bâtiment et, dans le cas de bâtiments existants, de l’étendue de l’intervention.</w:t>
      </w:r>
    </w:p>
    <w:p w14:paraId="6376BFC6" w14:textId="77777777" w:rsidR="00D43716" w:rsidRPr="00937C8B" w:rsidRDefault="006C641F" w:rsidP="00D739A5">
      <w:pPr>
        <w:pStyle w:val="artculo-tex"/>
        <w:pBdr>
          <w:bottom w:val="single" w:sz="4" w:space="0" w:color="00000A"/>
        </w:pBdr>
        <w:jc w:val="both"/>
      </w:pPr>
      <w:r>
        <w:t>Les caractéristiques des éléments de l’</w:t>
      </w:r>
      <w:r>
        <w:rPr>
          <w:i/>
          <w:iCs/>
        </w:rPr>
        <w:t>enceinte thermique</w:t>
      </w:r>
      <w:r>
        <w:t xml:space="preserve"> choisies en fonction de la zone climatique permettront d’éviter les décompensations de qualité thermique des différents espaces habitables. De même, les caractéristiques des </w:t>
      </w:r>
      <w:r>
        <w:rPr>
          <w:i/>
        </w:rPr>
        <w:t>cloisons intérieures</w:t>
      </w:r>
      <w:r>
        <w:t xml:space="preserve"> limiteront le transfert de chaleur entre les unités d’utilisation, et entre les unités d’utilisation et les zones communes du bâtiment.</w:t>
      </w:r>
    </w:p>
    <w:p w14:paraId="5DA8082A" w14:textId="77777777" w:rsidR="006C641F" w:rsidRDefault="006C641F" w:rsidP="006C641F">
      <w:pPr>
        <w:pStyle w:val="artculo-tex"/>
        <w:jc w:val="both"/>
      </w:pPr>
      <w:r>
        <w:t>Les risques liés à des processus qui entraînent une diminution significative des performances thermiques ou de la durée de vie utile des éléments qui composent l’</w:t>
      </w:r>
      <w:r>
        <w:rPr>
          <w:i/>
          <w:iCs/>
        </w:rPr>
        <w:t>enceinte thermique</w:t>
      </w:r>
      <w:r>
        <w:t>, tels que les condensations, seront limités.</w:t>
      </w:r>
    </w:p>
    <w:p w14:paraId="124E090E" w14:textId="77777777" w:rsidR="00D27646" w:rsidRPr="00937C8B" w:rsidRDefault="00D27646" w:rsidP="006C641F">
      <w:pPr>
        <w:pStyle w:val="artculo-tex"/>
        <w:jc w:val="both"/>
      </w:pPr>
    </w:p>
    <w:p w14:paraId="56BE10BD" w14:textId="77777777" w:rsidR="006C641F" w:rsidRPr="00937C8B" w:rsidRDefault="006C641F" w:rsidP="00D27646">
      <w:pPr>
        <w:pStyle w:val="artculo-tex"/>
        <w:keepNext/>
        <w:jc w:val="both"/>
        <w:rPr>
          <w:b/>
          <w:bCs/>
        </w:rPr>
      </w:pPr>
      <w:r>
        <w:rPr>
          <w:b/>
          <w:bCs/>
        </w:rPr>
        <w:lastRenderedPageBreak/>
        <w:t>15.3. Exigence de base HE 2: Conditions des installations thermiques</w:t>
      </w:r>
    </w:p>
    <w:p w14:paraId="5494F468" w14:textId="77777777" w:rsidR="006C641F" w:rsidRPr="00937C8B" w:rsidRDefault="006C641F" w:rsidP="006C641F">
      <w:pPr>
        <w:pStyle w:val="artculo-tex"/>
        <w:jc w:val="both"/>
      </w:pPr>
      <w:r>
        <w:t xml:space="preserve">Les installations thermiques des bâtiments seront appropriées pour atteindre le </w:t>
      </w:r>
      <w:r>
        <w:rPr>
          <w:i/>
          <w:iCs/>
        </w:rPr>
        <w:t>bien-être thermique</w:t>
      </w:r>
      <w:r>
        <w:t xml:space="preserve"> de leurs occupants. Cette exigence est développée actuellement dans le Règlement des installations thermiques des bâtiments (RITE) en vigueur et son application doit être définie dans le projet du bâtiment.</w:t>
      </w:r>
    </w:p>
    <w:p w14:paraId="71711A23" w14:textId="77777777" w:rsidR="006C641F" w:rsidRPr="00937C8B" w:rsidRDefault="006C641F" w:rsidP="006C641F">
      <w:pPr>
        <w:pStyle w:val="artculo-tex"/>
        <w:jc w:val="both"/>
      </w:pPr>
    </w:p>
    <w:p w14:paraId="1B04A12F" w14:textId="77777777" w:rsidR="006C641F" w:rsidRPr="00937C8B" w:rsidRDefault="006C641F" w:rsidP="00D27646">
      <w:pPr>
        <w:pStyle w:val="artculo-tex"/>
        <w:keepNext/>
        <w:jc w:val="both"/>
        <w:rPr>
          <w:b/>
          <w:bCs/>
        </w:rPr>
      </w:pPr>
      <w:r>
        <w:rPr>
          <w:b/>
          <w:bCs/>
        </w:rPr>
        <w:t>15.4. Exigence de base HE 3: Conditions des installations d’éclairage</w:t>
      </w:r>
    </w:p>
    <w:p w14:paraId="1BA85447" w14:textId="77777777" w:rsidR="006C641F" w:rsidRPr="00937C8B" w:rsidRDefault="006C641F" w:rsidP="006C641F">
      <w:pPr>
        <w:pStyle w:val="artculo-tex"/>
        <w:jc w:val="both"/>
      </w:pPr>
      <w:r>
        <w:t>Les bâtiments doivent être dotés d’installations d’éclairage adaptées aux besoins de leurs usagers et efficaces sur le plan énergétique grâce à un système de contrôle permettant de régler le fonctionnement en fonction de l’occupation réelle de la zone ainsi qu’à un système de réglage permettant d’optimiser l’exploitation de la lumière naturelle dans les zones réunissant des conditions déterminées.</w:t>
      </w:r>
    </w:p>
    <w:p w14:paraId="23B5F738" w14:textId="77777777" w:rsidR="006C641F" w:rsidRPr="00937C8B" w:rsidRDefault="006C641F" w:rsidP="006C641F">
      <w:pPr>
        <w:pStyle w:val="artculo-tex"/>
        <w:jc w:val="both"/>
      </w:pPr>
    </w:p>
    <w:p w14:paraId="16D9E781" w14:textId="77777777" w:rsidR="006C641F" w:rsidRPr="00937C8B" w:rsidRDefault="006C641F" w:rsidP="00D27646">
      <w:pPr>
        <w:pStyle w:val="artculo-tex"/>
        <w:keepNext/>
        <w:jc w:val="both"/>
        <w:rPr>
          <w:b/>
          <w:bCs/>
        </w:rPr>
      </w:pPr>
      <w:r>
        <w:rPr>
          <w:b/>
          <w:bCs/>
        </w:rPr>
        <w:t>15.5. Exigence de base HE 4: Apport minimal d’énergie renouvelable afin de couvrir la demande en eau chaude sanitaire</w:t>
      </w:r>
    </w:p>
    <w:p w14:paraId="4092F044" w14:textId="7C2350F2" w:rsidR="006C641F" w:rsidRPr="00937C8B" w:rsidRDefault="006C641F" w:rsidP="006C641F">
      <w:pPr>
        <w:pStyle w:val="artculo-tex"/>
        <w:jc w:val="both"/>
      </w:pPr>
      <w:r>
        <w:t>Les bâtiments satisferont aux besoins en eau chaude sanitaire et en climatisation de piscine couverte en utilisant largement des sources d’énergie renouvelables ou des processus de cogénération renouvelables; provenant du même bâtiment ou d</w:t>
      </w:r>
      <w:r w:rsidR="00EA7588">
        <w:t>’</w:t>
      </w:r>
      <w:r>
        <w:t xml:space="preserve">un raccordement à un </w:t>
      </w:r>
      <w:r>
        <w:rPr>
          <w:i/>
          <w:iCs/>
        </w:rPr>
        <w:t>système de chauffage urbain</w:t>
      </w:r>
      <w:r>
        <w:t>.</w:t>
      </w:r>
    </w:p>
    <w:p w14:paraId="60184794" w14:textId="77777777" w:rsidR="006C641F" w:rsidRPr="00937C8B" w:rsidRDefault="006C641F" w:rsidP="006C641F">
      <w:pPr>
        <w:pStyle w:val="artculo-tex"/>
        <w:jc w:val="both"/>
      </w:pPr>
    </w:p>
    <w:p w14:paraId="1E7EE1AB" w14:textId="77777777" w:rsidR="006C641F" w:rsidRPr="00937C8B" w:rsidRDefault="006C641F" w:rsidP="00D27646">
      <w:pPr>
        <w:pStyle w:val="artculo-tex"/>
        <w:keepNext/>
        <w:jc w:val="both"/>
        <w:rPr>
          <w:b/>
          <w:bCs/>
        </w:rPr>
      </w:pPr>
      <w:r>
        <w:rPr>
          <w:b/>
          <w:bCs/>
        </w:rPr>
        <w:t>15.6. Exigence de base HE 5: Génération minimale d’énergie électrique</w:t>
      </w:r>
    </w:p>
    <w:p w14:paraId="04A41BFD" w14:textId="77777777" w:rsidR="006C641F" w:rsidRPr="00937C8B" w:rsidRDefault="006C641F" w:rsidP="006C641F">
      <w:pPr>
        <w:pStyle w:val="artculo-tex"/>
        <w:jc w:val="both"/>
      </w:pPr>
      <w:r>
        <w:t>Les bâtiments présentant une consommation élevée d’énergie électrique seront dotés de systèmes de génération électrique provenant d’énergie renouvelables pour leur propre usage ou la distribution sur le réseau.</w:t>
      </w:r>
    </w:p>
    <w:p w14:paraId="26D27B99" w14:textId="77777777" w:rsidR="006C641F" w:rsidRPr="00937C8B" w:rsidRDefault="006C641F" w:rsidP="006C641F">
      <w:pPr>
        <w:pStyle w:val="artculo-tex"/>
        <w:jc w:val="both"/>
      </w:pPr>
    </w:p>
    <w:p w14:paraId="73DC6961" w14:textId="77777777" w:rsidR="006C641F" w:rsidRPr="00937C8B" w:rsidRDefault="006C641F" w:rsidP="006C641F">
      <w:pPr>
        <w:pStyle w:val="NumeracinCTE"/>
        <w:spacing w:before="60"/>
        <w:rPr>
          <w:bCs/>
        </w:rPr>
      </w:pPr>
    </w:p>
    <w:p w14:paraId="69C3B568" w14:textId="05E45422" w:rsidR="006C641F" w:rsidRPr="00937C8B" w:rsidRDefault="006C641F" w:rsidP="00D27646">
      <w:pPr>
        <w:pStyle w:val="Textbody"/>
        <w:keepNext/>
        <w:spacing w:before="240"/>
        <w:rPr>
          <w:b/>
          <w:bCs/>
          <w:sz w:val="28"/>
          <w:szCs w:val="28"/>
        </w:rPr>
      </w:pPr>
      <w:bookmarkStart w:id="14" w:name="__RefHeading___Toc10074_1941668277"/>
      <w:bookmarkEnd w:id="14"/>
      <w:r>
        <w:rPr>
          <w:b/>
          <w:bCs/>
          <w:sz w:val="28"/>
          <w:szCs w:val="28"/>
        </w:rPr>
        <w:t>II</w:t>
      </w:r>
      <w:r>
        <w:rPr>
          <w:b/>
          <w:bCs/>
          <w:sz w:val="28"/>
          <w:szCs w:val="28"/>
        </w:rPr>
        <w:tab/>
        <w:t>Champ d</w:t>
      </w:r>
      <w:r w:rsidR="00EA7588">
        <w:rPr>
          <w:b/>
          <w:bCs/>
          <w:sz w:val="28"/>
          <w:szCs w:val="28"/>
        </w:rPr>
        <w:t>’</w:t>
      </w:r>
      <w:r>
        <w:rPr>
          <w:b/>
          <w:bCs/>
          <w:sz w:val="28"/>
          <w:szCs w:val="28"/>
        </w:rPr>
        <w:t>application</w:t>
      </w:r>
    </w:p>
    <w:p w14:paraId="14134AB3" w14:textId="7193DAC1" w:rsidR="006C641F" w:rsidRPr="00937C8B" w:rsidRDefault="006C641F" w:rsidP="006C641F">
      <w:pPr>
        <w:pStyle w:val="CTENormal"/>
        <w:jc w:val="both"/>
      </w:pPr>
      <w:r>
        <w:t>Le champ d</w:t>
      </w:r>
      <w:r w:rsidR="00EA7588">
        <w:t>’</w:t>
      </w:r>
      <w:r>
        <w:t>application du présent DB est précisé, pour chaque section qui le compose, dans les paragraphes respectifs.</w:t>
      </w:r>
    </w:p>
    <w:p w14:paraId="4325686E" w14:textId="535ED0CB" w:rsidR="006C641F" w:rsidRPr="00937C8B" w:rsidRDefault="006C641F" w:rsidP="006C641F">
      <w:pPr>
        <w:pStyle w:val="CTENormal"/>
        <w:jc w:val="both"/>
      </w:pPr>
      <w:r>
        <w:t>Le contenu du présent DB se rapporte uniquement à l</w:t>
      </w:r>
      <w:r w:rsidR="00EA7588">
        <w:t>’</w:t>
      </w:r>
      <w:r>
        <w:t>exigence de base «Économie d</w:t>
      </w:r>
      <w:r w:rsidR="00EA7588">
        <w:t>’</w:t>
      </w:r>
      <w:r>
        <w:t>énergie». Les autres exigences de base doivent également être respectées par l</w:t>
      </w:r>
      <w:r w:rsidR="00EA7588">
        <w:t>’</w:t>
      </w:r>
      <w:r>
        <w:t>application du DB correspondant à chacune d</w:t>
      </w:r>
      <w:r w:rsidR="00EA7588">
        <w:t>’</w:t>
      </w:r>
      <w:r>
        <w:t>entre elles.</w:t>
      </w:r>
    </w:p>
    <w:p w14:paraId="0D240EAB" w14:textId="0D4E13D2" w:rsidR="006C641F" w:rsidRPr="00937C8B" w:rsidRDefault="006C641F" w:rsidP="006C641F">
      <w:pPr>
        <w:pStyle w:val="CTENormal"/>
        <w:jc w:val="both"/>
      </w:pPr>
      <w:r>
        <w:t>Un bâtiment à consommation d’énergie quasi nulle désigne un bâtiment neuf ou existant conforme aux exigences réglementaires établies dans le présent document de base «DB HE Économie d’énergie» en ce qui concerne la limitation de la consommation d</w:t>
      </w:r>
      <w:r w:rsidR="00EA7588">
        <w:t>’</w:t>
      </w:r>
      <w:r>
        <w:t>énergie des bâtiments neufs.</w:t>
      </w:r>
    </w:p>
    <w:p w14:paraId="3B536D45" w14:textId="4B8FBF03" w:rsidR="006C641F" w:rsidRPr="00937C8B" w:rsidRDefault="006C641F" w:rsidP="00D27646">
      <w:pPr>
        <w:pStyle w:val="Textbody"/>
        <w:keepNext/>
        <w:spacing w:before="240"/>
        <w:rPr>
          <w:b/>
          <w:bCs/>
          <w:sz w:val="28"/>
          <w:szCs w:val="28"/>
        </w:rPr>
      </w:pPr>
      <w:bookmarkStart w:id="15" w:name="__RefHeading___Toc10076_1941668277"/>
      <w:bookmarkEnd w:id="15"/>
      <w:r>
        <w:rPr>
          <w:b/>
          <w:bCs/>
          <w:sz w:val="28"/>
          <w:szCs w:val="28"/>
        </w:rPr>
        <w:t>III</w:t>
      </w:r>
      <w:r>
        <w:rPr>
          <w:b/>
          <w:bCs/>
          <w:sz w:val="28"/>
          <w:szCs w:val="28"/>
        </w:rPr>
        <w:tab/>
        <w:t>Critères d</w:t>
      </w:r>
      <w:r w:rsidR="00EA7588">
        <w:rPr>
          <w:b/>
          <w:bCs/>
          <w:sz w:val="28"/>
          <w:szCs w:val="28"/>
        </w:rPr>
        <w:t>’</w:t>
      </w:r>
      <w:r>
        <w:rPr>
          <w:b/>
          <w:bCs/>
          <w:sz w:val="28"/>
          <w:szCs w:val="28"/>
        </w:rPr>
        <w:t>application généraux</w:t>
      </w:r>
    </w:p>
    <w:p w14:paraId="0A93BDEC" w14:textId="06E3E775" w:rsidR="00D43716" w:rsidRPr="00937C8B" w:rsidRDefault="006C641F" w:rsidP="006C641F">
      <w:pPr>
        <w:pStyle w:val="Standard"/>
        <w:jc w:val="both"/>
      </w:pPr>
      <w:r>
        <w:t>Il est possible de recourir à d</w:t>
      </w:r>
      <w:r w:rsidR="00EA7588">
        <w:t>’</w:t>
      </w:r>
      <w:r>
        <w:t>autres solutions que celles contenues dans ce DB, auquel cas il conviendra de suivre la procédure prévue à l</w:t>
      </w:r>
      <w:r w:rsidR="00EA7588">
        <w:t>’</w:t>
      </w:r>
      <w:r>
        <w:t>article 5 de la Partie I du CTE et de justifier dans le projet le respect des exigences de base.</w:t>
      </w:r>
    </w:p>
    <w:p w14:paraId="60E9AFA5" w14:textId="77777777" w:rsidR="006C641F" w:rsidRPr="00937C8B" w:rsidRDefault="006C641F" w:rsidP="006C641F">
      <w:pPr>
        <w:pStyle w:val="Standard"/>
        <w:jc w:val="both"/>
        <w:rPr>
          <w:bCs/>
        </w:rPr>
      </w:pPr>
      <w:r>
        <w:t>Le «Catalogue des éléments de construction du CTE» précise des valeurs se rapportant à des caractéristiques techniques déterminées et exigées dans ce DB. Les valeurs que le Catalogue affecte à des solutions de construction qui ne sont pas fabriquées de manière industrielle mais qui sont générées sur le chantier ont une garantie légale dans le cadre de leur application aux projets contrairement aux produits de construction qui sont fabriqués de manière industrielle pour lesquels ces valeurs ont uniquement un caractère générique et indicatif.</w:t>
      </w:r>
    </w:p>
    <w:p w14:paraId="00042D87" w14:textId="77777777" w:rsidR="006C641F" w:rsidRPr="00937C8B" w:rsidRDefault="006C641F" w:rsidP="00AF174F">
      <w:pPr>
        <w:pStyle w:val="Standard"/>
        <w:jc w:val="both"/>
        <w:rPr>
          <w:szCs w:val="20"/>
        </w:rPr>
      </w:pPr>
    </w:p>
    <w:p w14:paraId="3B534CB0" w14:textId="42521437" w:rsidR="00AF174F" w:rsidRPr="00937C8B" w:rsidRDefault="00AF174F" w:rsidP="00AF174F">
      <w:pPr>
        <w:pStyle w:val="Standard"/>
        <w:jc w:val="both"/>
      </w:pPr>
      <w:r>
        <w:lastRenderedPageBreak/>
        <w:t>Lorsqu’une disposition réglementaire est citée dans ce DB, il est entendu qu’il s’agit de la version en vigueur au moment d’application de celui-ci. Lorsqu’une norme UNE, UNE-EN ou UNE-EN ISO est citée, il est entendu qu’il s’agit de la version indiquée, même s’il existe une version ultérieure, sauf s’il s’agit de normes UNE-EN portant transposition de normes EN dont les références ont été publiées au Journal officiel de l’Union européenne dans le cadre de l’application du règlement (UE) n ° 305/2011 du Parlement européen et du Conseil du 9</w:t>
      </w:r>
      <w:r w:rsidR="00EA7588">
        <w:t> </w:t>
      </w:r>
      <w:r>
        <w:t>mars</w:t>
      </w:r>
      <w:r w:rsidR="00EA7588">
        <w:t> </w:t>
      </w:r>
      <w:r>
        <w:t>2011 établissant des conditions harmonisées de commercialisation pour les produits de construction et abrogeant la directive 89/106/CEE du Conseil, auquel cas la citation doit être mise en relation avec la dernière communication de la Commission comprenant ladite référence. Dans le cas de normes relatives aux méthodes d’essais référencées dans les normes harmonisées, il convient d’appliquer la version figurant dans les normes harmonisées UNE-EN susmentionnées.</w:t>
      </w:r>
    </w:p>
    <w:p w14:paraId="05B1E212" w14:textId="77777777" w:rsidR="006C641F" w:rsidRPr="00937C8B" w:rsidRDefault="006C641F" w:rsidP="006C641F">
      <w:pPr>
        <w:pStyle w:val="Standard"/>
        <w:jc w:val="both"/>
      </w:pPr>
    </w:p>
    <w:p w14:paraId="143A7D9F" w14:textId="77777777" w:rsidR="006C641F" w:rsidRPr="00937C8B" w:rsidRDefault="006C641F" w:rsidP="006C641F">
      <w:pPr>
        <w:pStyle w:val="Standard"/>
        <w:jc w:val="both"/>
      </w:pPr>
      <w:r>
        <w:t>Les normes mentionnées dans ce DB peuvent être remplacées par d’autres parmi celles utilisées dans tout État membre de l’Union européenne ou partie à l’accord sur l’Espace économique européen, et dans les États qui ont conclu un accord d’association douanière avec l’Union européenne, dès lors qu’il est démontré que ces normes présentent des spécifications techniques identiques.</w:t>
      </w:r>
    </w:p>
    <w:p w14:paraId="22F1EF44" w14:textId="77777777" w:rsidR="006C641F" w:rsidRPr="00937C8B" w:rsidRDefault="006C641F" w:rsidP="006C641F">
      <w:pPr>
        <w:pStyle w:val="Standard"/>
        <w:jc w:val="both"/>
      </w:pPr>
    </w:p>
    <w:p w14:paraId="3674C784" w14:textId="77777777" w:rsidR="006C641F" w:rsidRPr="00937C8B" w:rsidRDefault="006C641F" w:rsidP="006C641F">
      <w:pPr>
        <w:pStyle w:val="Standard"/>
      </w:pPr>
    </w:p>
    <w:p w14:paraId="3916D531" w14:textId="733D95F1" w:rsidR="006C641F" w:rsidRPr="00937C8B" w:rsidRDefault="006C641F" w:rsidP="00D27646">
      <w:pPr>
        <w:pStyle w:val="Textbody"/>
        <w:keepNext/>
        <w:ind w:left="720" w:hanging="720"/>
        <w:rPr>
          <w:b/>
          <w:bCs/>
          <w:sz w:val="28"/>
          <w:szCs w:val="28"/>
        </w:rPr>
      </w:pPr>
      <w:bookmarkStart w:id="16" w:name="__RefHeading___Toc10078_1941668277"/>
      <w:bookmarkEnd w:id="16"/>
      <w:r>
        <w:rPr>
          <w:b/>
          <w:bCs/>
          <w:sz w:val="28"/>
          <w:szCs w:val="28"/>
        </w:rPr>
        <w:t>IV</w:t>
      </w:r>
      <w:r>
        <w:rPr>
          <w:b/>
          <w:bCs/>
          <w:sz w:val="28"/>
          <w:szCs w:val="28"/>
        </w:rPr>
        <w:tab/>
        <w:t>Critères d</w:t>
      </w:r>
      <w:r w:rsidR="00EA7588">
        <w:rPr>
          <w:b/>
          <w:bCs/>
          <w:sz w:val="28"/>
          <w:szCs w:val="28"/>
        </w:rPr>
        <w:t>’</w:t>
      </w:r>
      <w:r>
        <w:rPr>
          <w:b/>
          <w:bCs/>
          <w:sz w:val="28"/>
          <w:szCs w:val="28"/>
        </w:rPr>
        <w:t>application dans des bâtiments existants</w:t>
      </w:r>
    </w:p>
    <w:p w14:paraId="3BFD8228" w14:textId="77777777" w:rsidR="006C641F" w:rsidRPr="00937C8B" w:rsidRDefault="006C641F" w:rsidP="00D27646">
      <w:pPr>
        <w:pStyle w:val="CTENumeracion1linea0"/>
        <w:keepNext/>
        <w:jc w:val="both"/>
        <w:rPr>
          <w:rFonts w:cs="Arial"/>
          <w:b/>
          <w:szCs w:val="22"/>
        </w:rPr>
      </w:pPr>
      <w:r>
        <w:rPr>
          <w:b/>
          <w:szCs w:val="22"/>
        </w:rPr>
        <w:t>Critère n° 1: pas de dégradation</w:t>
      </w:r>
    </w:p>
    <w:p w14:paraId="07770BB5" w14:textId="17B9156B" w:rsidR="006C641F" w:rsidRPr="00A77C79" w:rsidRDefault="006C641F" w:rsidP="006C641F">
      <w:pPr>
        <w:pStyle w:val="CTENumeracion1linea0"/>
        <w:jc w:val="both"/>
        <w:rPr>
          <w:rFonts w:cs="Arial"/>
          <w:kern w:val="3"/>
        </w:rPr>
      </w:pPr>
      <w:r>
        <w:t>À l</w:t>
      </w:r>
      <w:r w:rsidR="00EA7588">
        <w:t>’</w:t>
      </w:r>
      <w:r>
        <w:t>exception des cas pour lesquels le présent DB en dispose autrement, les conditions préexistantes qui seraient moins contraignantes que celles établies dans ce DB ne sauraient être limitées et celles, plus contraignantes, ne seront limitées qu</w:t>
      </w:r>
      <w:r w:rsidR="00EA7588">
        <w:t>’</w:t>
      </w:r>
      <w:r>
        <w:t>au niveau fixé dans le DB.</w:t>
      </w:r>
    </w:p>
    <w:p w14:paraId="7D08C3B1" w14:textId="77777777" w:rsidR="006C641F" w:rsidRPr="00937C8B" w:rsidRDefault="006C641F" w:rsidP="00D27646">
      <w:pPr>
        <w:pStyle w:val="CTENumeracion1linea0"/>
        <w:keepNext/>
        <w:spacing w:before="120"/>
        <w:jc w:val="both"/>
        <w:rPr>
          <w:rFonts w:cs="Arial"/>
          <w:b/>
          <w:szCs w:val="22"/>
        </w:rPr>
      </w:pPr>
      <w:r>
        <w:rPr>
          <w:b/>
          <w:szCs w:val="22"/>
        </w:rPr>
        <w:t>Critère n° 2: flexibilité</w:t>
      </w:r>
    </w:p>
    <w:p w14:paraId="54484C32" w14:textId="6434476C" w:rsidR="006C641F" w:rsidRPr="00937C8B" w:rsidRDefault="006C641F" w:rsidP="00D27646">
      <w:pPr>
        <w:pStyle w:val="CTENumeracion1linea0"/>
        <w:keepNext/>
        <w:jc w:val="both"/>
        <w:rPr>
          <w:rFonts w:cs="Arial"/>
          <w:szCs w:val="22"/>
        </w:rPr>
      </w:pPr>
      <w:bookmarkStart w:id="17" w:name="__DdeLink__1263_477829188"/>
      <w:bookmarkEnd w:id="17"/>
      <w:r>
        <w:t>S</w:t>
      </w:r>
      <w:r w:rsidR="00EA7588">
        <w:t>’</w:t>
      </w:r>
      <w:r>
        <w:t>il n</w:t>
      </w:r>
      <w:r w:rsidR="00EA7588">
        <w:t>’</w:t>
      </w:r>
      <w:r>
        <w:t>est pas possible d</w:t>
      </w:r>
      <w:r w:rsidR="00EA7588">
        <w:t>’</w:t>
      </w:r>
      <w:r>
        <w:t>atteindre le niveau de performance défini de manière générale dans ce DB, des solutions permettant d</w:t>
      </w:r>
      <w:r w:rsidR="00EA7588">
        <w:t>’</w:t>
      </w:r>
      <w:r>
        <w:t>obtenir la meilleure adéquation possible peuvent être adoptées, sous réserve de déterminer celle-ci, dans les cas suivants:</w:t>
      </w:r>
    </w:p>
    <w:p w14:paraId="749FED68" w14:textId="51C6E345" w:rsidR="006C641F" w:rsidRPr="00937C8B" w:rsidRDefault="006C641F" w:rsidP="006C641F">
      <w:pPr>
        <w:pStyle w:val="CTENumeracionIzquierda063cmSangrafrancesa068"/>
        <w:ind w:left="993"/>
        <w:jc w:val="both"/>
        <w:rPr>
          <w:szCs w:val="22"/>
        </w:rPr>
      </w:pPr>
      <w:r>
        <w:t>a)</w:t>
      </w:r>
      <w:r>
        <w:tab/>
        <w:t>dans le cas de bâtiments dont la valeur historique ou architecturale est reconnue, lorsque d</w:t>
      </w:r>
      <w:r w:rsidR="00EA7588">
        <w:t>’</w:t>
      </w:r>
      <w:r>
        <w:t>autres solutions sont susceptibles d</w:t>
      </w:r>
      <w:r w:rsidR="00EA7588">
        <w:t>’</w:t>
      </w:r>
      <w:r>
        <w:t>en dénaturer profondément le caractère ou l</w:t>
      </w:r>
      <w:r w:rsidR="00EA7588">
        <w:t>’</w:t>
      </w:r>
      <w:r>
        <w:t>apparence</w:t>
      </w:r>
      <w:r w:rsidR="00E93486">
        <w:t>;</w:t>
      </w:r>
      <w:r>
        <w:t xml:space="preserve"> ou</w:t>
      </w:r>
    </w:p>
    <w:p w14:paraId="3663A76B" w14:textId="18C5405E" w:rsidR="006C641F" w:rsidRPr="00937C8B" w:rsidRDefault="006C641F" w:rsidP="006C641F">
      <w:pPr>
        <w:pStyle w:val="CTENumeracionIzquierda063cmSangrafrancesa068"/>
        <w:ind w:left="993"/>
        <w:jc w:val="both"/>
        <w:rPr>
          <w:szCs w:val="22"/>
        </w:rPr>
      </w:pPr>
      <w:r>
        <w:t>b)</w:t>
      </w:r>
      <w:r>
        <w:tab/>
        <w:t>dans le cas de la mise en œuvre d</w:t>
      </w:r>
      <w:r w:rsidR="00EA7588">
        <w:t>’</w:t>
      </w:r>
      <w:r>
        <w:t>autres solutions qui n</w:t>
      </w:r>
      <w:r w:rsidR="00EA7588">
        <w:t>’</w:t>
      </w:r>
      <w:r>
        <w:t>impliquent pas une amélioration effective des performances liées à l</w:t>
      </w:r>
      <w:r w:rsidR="00EA7588">
        <w:t>’</w:t>
      </w:r>
      <w:r>
        <w:t>exigence de base «Économie d</w:t>
      </w:r>
      <w:r w:rsidR="00EA7588">
        <w:t>’</w:t>
      </w:r>
      <w:r>
        <w:t>énergie»</w:t>
      </w:r>
      <w:r w:rsidR="00E93486">
        <w:t xml:space="preserve">; </w:t>
      </w:r>
      <w:r>
        <w:t>ou</w:t>
      </w:r>
    </w:p>
    <w:p w14:paraId="281A786F" w14:textId="4441C95A" w:rsidR="006C641F" w:rsidRPr="00937C8B" w:rsidRDefault="006C641F" w:rsidP="006C641F">
      <w:pPr>
        <w:pStyle w:val="CTENumeracionIzquierda063cmSangrafrancesa068"/>
        <w:ind w:left="993"/>
        <w:jc w:val="both"/>
        <w:rPr>
          <w:szCs w:val="22"/>
        </w:rPr>
      </w:pPr>
      <w:r>
        <w:t>c)</w:t>
      </w:r>
      <w:r>
        <w:tab/>
        <w:t>lorsque d</w:t>
      </w:r>
      <w:r w:rsidR="00EA7588">
        <w:t>’</w:t>
      </w:r>
      <w:r>
        <w:t>autres solutions ne sont pas techniquement ou économiquement viables;</w:t>
      </w:r>
      <w:r w:rsidR="00E93486">
        <w:t xml:space="preserve"> ou</w:t>
      </w:r>
    </w:p>
    <w:p w14:paraId="1A8AF585" w14:textId="7D131497" w:rsidR="006C641F" w:rsidRPr="00937C8B" w:rsidRDefault="006C641F" w:rsidP="006C641F">
      <w:pPr>
        <w:pStyle w:val="CTENumeracionIzquierda063cmSangrafrancesa068"/>
        <w:ind w:left="993"/>
        <w:jc w:val="both"/>
        <w:rPr>
          <w:szCs w:val="22"/>
        </w:rPr>
      </w:pPr>
      <w:r>
        <w:t>d)</w:t>
      </w:r>
      <w:r>
        <w:tab/>
        <w:t>d</w:t>
      </w:r>
      <w:r w:rsidR="00EA7588">
        <w:t>’</w:t>
      </w:r>
      <w:r>
        <w:t>autres solutions impliquent des modifications substantielles des éléments de l</w:t>
      </w:r>
      <w:r w:rsidR="00EA7588">
        <w:t>’</w:t>
      </w:r>
      <w:r>
        <w:rPr>
          <w:i/>
          <w:iCs/>
        </w:rPr>
        <w:t>enceinte thermique</w:t>
      </w:r>
      <w:r>
        <w:t xml:space="preserve"> ou des installations de production thermique, sur lesquels il n’était pas prévu d’agir initialement.</w:t>
      </w:r>
    </w:p>
    <w:p w14:paraId="5FF9B5D3" w14:textId="4DDC78BB" w:rsidR="00D43716" w:rsidRPr="00937C8B" w:rsidRDefault="006C641F" w:rsidP="006C641F">
      <w:pPr>
        <w:pStyle w:val="CTENumeracion1linea0"/>
        <w:jc w:val="both"/>
        <w:rPr>
          <w:rFonts w:cs="Arial"/>
          <w:szCs w:val="22"/>
        </w:rPr>
      </w:pPr>
      <w:r>
        <w:t>La raison de l</w:t>
      </w:r>
      <w:r w:rsidR="00EA7588">
        <w:t>’</w:t>
      </w:r>
      <w:r>
        <w:t>application de ce critère de flexibilité doit être précisée dans le projet. La documentation finale des travaux doit indiquer le niveau de performance atteint et les conditions d</w:t>
      </w:r>
      <w:r w:rsidR="00EA7588">
        <w:t>’</w:t>
      </w:r>
      <w:r>
        <w:t>utilisation et de maintenance le cas échéant.</w:t>
      </w:r>
    </w:p>
    <w:p w14:paraId="09C13693" w14:textId="77777777" w:rsidR="0084739B" w:rsidRPr="00937C8B" w:rsidRDefault="0084739B" w:rsidP="00D43716">
      <w:pPr>
        <w:pStyle w:val="CTENumeracion1linea0"/>
        <w:jc w:val="both"/>
        <w:rPr>
          <w:rFonts w:cs="Arial"/>
          <w:b/>
          <w:szCs w:val="22"/>
        </w:rPr>
      </w:pPr>
    </w:p>
    <w:p w14:paraId="54574D7D" w14:textId="77777777" w:rsidR="006C641F" w:rsidRPr="00937C8B" w:rsidRDefault="006C641F" w:rsidP="00D27646">
      <w:pPr>
        <w:pStyle w:val="CTENumeracion1linea0"/>
        <w:keepNext/>
        <w:jc w:val="both"/>
        <w:rPr>
          <w:rFonts w:cs="Arial"/>
          <w:b/>
          <w:szCs w:val="22"/>
        </w:rPr>
      </w:pPr>
      <w:r>
        <w:rPr>
          <w:b/>
          <w:szCs w:val="22"/>
        </w:rPr>
        <w:t>Critère n°3: réparation des dommages</w:t>
      </w:r>
    </w:p>
    <w:p w14:paraId="34449512" w14:textId="6257593D" w:rsidR="006C641F" w:rsidRPr="00937C8B" w:rsidRDefault="006C641F" w:rsidP="006C641F">
      <w:pPr>
        <w:pStyle w:val="CTENumeracion1linea0"/>
        <w:jc w:val="both"/>
        <w:rPr>
          <w:rFonts w:cs="Arial"/>
          <w:szCs w:val="22"/>
        </w:rPr>
      </w:pPr>
      <w:r>
        <w:t>Les éléments de la partie existante qui ne sont pas concernés par l</w:t>
      </w:r>
      <w:r w:rsidR="00EA7588">
        <w:t>’</w:t>
      </w:r>
      <w:r>
        <w:t>une quelconque des conditions définies dans ce DB doivent conserver leur état actuel dans la mesure où ceux-ci, préalablement à l</w:t>
      </w:r>
      <w:r w:rsidR="00EA7588">
        <w:t>’</w:t>
      </w:r>
      <w:r>
        <w:t>intervention, ne présentent aucun dommage ayant diminué de manière significative leurs performances initiales. Si le bâtiment présente des dommages liés à l</w:t>
      </w:r>
      <w:r w:rsidR="00EA7588">
        <w:t>’</w:t>
      </w:r>
      <w:r>
        <w:t>exigence de base «Économie d</w:t>
      </w:r>
      <w:r w:rsidR="00EA7588">
        <w:t>’</w:t>
      </w:r>
      <w:r>
        <w:t>énergie», l</w:t>
      </w:r>
      <w:r w:rsidR="00EA7588">
        <w:t>’</w:t>
      </w:r>
      <w:r>
        <w:t>intervention doit prévoir les mesures spécifiques permettant d</w:t>
      </w:r>
      <w:r w:rsidR="00EA7588">
        <w:t>’</w:t>
      </w:r>
      <w:r>
        <w:t>y remédier.</w:t>
      </w:r>
    </w:p>
    <w:p w14:paraId="46179327" w14:textId="77777777" w:rsidR="006C641F" w:rsidRPr="00937C8B" w:rsidRDefault="006C641F" w:rsidP="006C641F">
      <w:pPr>
        <w:pStyle w:val="Standard"/>
        <w:rPr>
          <w:b/>
          <w:bCs/>
          <w:sz w:val="28"/>
        </w:rPr>
      </w:pPr>
    </w:p>
    <w:p w14:paraId="1175212D" w14:textId="51248BDE" w:rsidR="006C641F" w:rsidRPr="00937C8B" w:rsidRDefault="006C641F" w:rsidP="00D27646">
      <w:pPr>
        <w:pStyle w:val="Textbody"/>
        <w:keepNext/>
        <w:spacing w:before="240"/>
        <w:rPr>
          <w:b/>
          <w:bCs/>
          <w:sz w:val="28"/>
          <w:szCs w:val="28"/>
        </w:rPr>
      </w:pPr>
      <w:bookmarkStart w:id="18" w:name="__RefHeading___Toc10080_1941668277"/>
      <w:bookmarkEnd w:id="18"/>
      <w:r>
        <w:rPr>
          <w:b/>
          <w:bCs/>
          <w:sz w:val="28"/>
          <w:szCs w:val="28"/>
        </w:rPr>
        <w:lastRenderedPageBreak/>
        <w:t>V</w:t>
      </w:r>
      <w:r>
        <w:rPr>
          <w:b/>
          <w:bCs/>
          <w:sz w:val="28"/>
          <w:szCs w:val="28"/>
        </w:rPr>
        <w:tab/>
        <w:t>Conditions particulières pour l</w:t>
      </w:r>
      <w:r w:rsidR="00EA7588">
        <w:rPr>
          <w:b/>
          <w:bCs/>
          <w:sz w:val="28"/>
          <w:szCs w:val="28"/>
        </w:rPr>
        <w:t>’</w:t>
      </w:r>
      <w:r>
        <w:rPr>
          <w:b/>
          <w:bCs/>
          <w:sz w:val="28"/>
          <w:szCs w:val="28"/>
        </w:rPr>
        <w:t>application du DB-HE</w:t>
      </w:r>
    </w:p>
    <w:p w14:paraId="5586854D" w14:textId="0AA3C2C0" w:rsidR="006C641F" w:rsidRPr="00937C8B" w:rsidRDefault="006C641F" w:rsidP="006C641F">
      <w:pPr>
        <w:pStyle w:val="Standard"/>
        <w:jc w:val="both"/>
      </w:pPr>
      <w:r>
        <w:t>Les procédures de ce DB doivent être appliquées conformément aux conditions particulières qui y sont établies et aux conditions générales pour l</w:t>
      </w:r>
      <w:r w:rsidR="00EA7588">
        <w:t>’</w:t>
      </w:r>
      <w:r>
        <w:t>application du CTE, aux conditions du projet, aux conditions d</w:t>
      </w:r>
      <w:r w:rsidR="00EA7588">
        <w:t>’</w:t>
      </w:r>
      <w:r>
        <w:t>exécution des travaux et aux conditions du bâtiment qui figurent respectivement dans les articles 5, 6, 7 et 8 de la partie I du CTE.</w:t>
      </w:r>
    </w:p>
    <w:p w14:paraId="24B4BF87" w14:textId="77777777" w:rsidR="006C641F" w:rsidRPr="00937C8B" w:rsidRDefault="006C641F" w:rsidP="006C641F">
      <w:pPr>
        <w:pStyle w:val="Standard"/>
        <w:jc w:val="both"/>
      </w:pPr>
    </w:p>
    <w:p w14:paraId="45246EBE" w14:textId="28FFA9C6" w:rsidR="006C641F" w:rsidRPr="00937C8B" w:rsidRDefault="006C641F" w:rsidP="006C641F">
      <w:pPr>
        <w:pStyle w:val="Standard"/>
        <w:jc w:val="both"/>
      </w:pPr>
      <w:r>
        <w:t>Les fabricants de produits avec une norme harmonisée doivent présenter une copie de la déclaration des performances et du marquage CE du produit. La déclaration des performances doit présenter les avantages liés à l</w:t>
      </w:r>
      <w:r w:rsidR="00EA7588">
        <w:t>’</w:t>
      </w:r>
      <w:r>
        <w:t>utilisation ou aux utilisations prévues du produit, qui figurent à l</w:t>
      </w:r>
      <w:r w:rsidR="00EA7588">
        <w:t>’</w:t>
      </w:r>
      <w:r>
        <w:t>annexe ou aux annexes Z de sa norme harmonisée, conformément à l</w:t>
      </w:r>
      <w:r w:rsidR="00EA7588">
        <w:t>’</w:t>
      </w:r>
      <w:r>
        <w:t>actuel règlement (UE) n° 305/2011 du Parlement européen et du Conseil du 9</w:t>
      </w:r>
      <w:r w:rsidR="00EA7588">
        <w:t> </w:t>
      </w:r>
      <w:r>
        <w:t>mars</w:t>
      </w:r>
      <w:r w:rsidR="00EA7588">
        <w:t> </w:t>
      </w:r>
      <w:r>
        <w:t>2011 établissant des conditions harmonisées de commercialisation pour les produits de construction.</w:t>
      </w:r>
    </w:p>
    <w:p w14:paraId="21B93A8E" w14:textId="77777777" w:rsidR="006C641F" w:rsidRPr="00937C8B" w:rsidRDefault="006C641F" w:rsidP="006C641F">
      <w:pPr>
        <w:pStyle w:val="Standard"/>
        <w:jc w:val="both"/>
        <w:rPr>
          <w:b/>
          <w:bCs/>
          <w:sz w:val="28"/>
        </w:rPr>
      </w:pPr>
    </w:p>
    <w:p w14:paraId="5A0810A8" w14:textId="77777777" w:rsidR="006C641F" w:rsidRPr="00937C8B" w:rsidRDefault="006C641F" w:rsidP="00D27646">
      <w:pPr>
        <w:pStyle w:val="Textbody"/>
        <w:keepNext/>
        <w:spacing w:before="240"/>
        <w:rPr>
          <w:b/>
          <w:bCs/>
          <w:sz w:val="28"/>
          <w:szCs w:val="28"/>
        </w:rPr>
      </w:pPr>
      <w:bookmarkStart w:id="19" w:name="__RefHeading___Toc10082_1941668277"/>
      <w:bookmarkEnd w:id="19"/>
      <w:r>
        <w:rPr>
          <w:b/>
          <w:bCs/>
          <w:sz w:val="28"/>
          <w:szCs w:val="28"/>
        </w:rPr>
        <w:t>VI</w:t>
      </w:r>
      <w:r>
        <w:rPr>
          <w:b/>
          <w:bCs/>
          <w:sz w:val="28"/>
          <w:szCs w:val="28"/>
        </w:rPr>
        <w:tab/>
        <w:t>Termes et définitions</w:t>
      </w:r>
    </w:p>
    <w:p w14:paraId="0273EA48" w14:textId="25A8B2AA" w:rsidR="006C641F" w:rsidRPr="00937C8B" w:rsidRDefault="006C641F" w:rsidP="006C641F">
      <w:pPr>
        <w:pStyle w:val="Standard"/>
        <w:spacing w:after="60"/>
      </w:pPr>
      <w:r>
        <w:t>Aux fins de l</w:t>
      </w:r>
      <w:r w:rsidR="00EA7588">
        <w:t>’</w:t>
      </w:r>
      <w:r>
        <w:t>application de ce DB, les termes indiqués en italique doivent être utilisés conformément à la signification qui leur est attribuée et aux conditions définies pour chacun d</w:t>
      </w:r>
      <w:r w:rsidR="00EA7588">
        <w:t>’</w:t>
      </w:r>
      <w:r>
        <w:t>eux à l’annexe terminologique de ce DB ou à l</w:t>
      </w:r>
      <w:r w:rsidR="00EA7588">
        <w:t>’</w:t>
      </w:r>
      <w:r>
        <w:t>annexe III de la Partie I du présent CTE, dans la mesure où ces termes sont utilisés communément dans l</w:t>
      </w:r>
      <w:r w:rsidR="00EA7588">
        <w:t>’</w:t>
      </w:r>
      <w:r>
        <w:t>ensemble du Code.</w:t>
      </w:r>
    </w:p>
    <w:p w14:paraId="33EF7930" w14:textId="77777777" w:rsidR="006C641F" w:rsidRPr="00937C8B" w:rsidRDefault="006C641F" w:rsidP="0084739B">
      <w:pPr>
        <w:pStyle w:val="ContentsHeading"/>
        <w:pageBreakBefore/>
        <w:spacing w:before="120" w:after="240"/>
        <w:jc w:val="center"/>
        <w:rPr>
          <w:rFonts w:ascii="Arial" w:hAnsi="Arial" w:cs="Arial"/>
          <w:b/>
          <w:sz w:val="32"/>
        </w:rPr>
      </w:pPr>
      <w:r>
        <w:rPr>
          <w:rFonts w:ascii="Arial" w:hAnsi="Arial"/>
          <w:b/>
          <w:sz w:val="32"/>
        </w:rPr>
        <w:lastRenderedPageBreak/>
        <w:t>Sommaire</w:t>
      </w:r>
    </w:p>
    <w:p w14:paraId="050906A7" w14:textId="3083C485" w:rsidR="00786EBA" w:rsidRDefault="00786EBA" w:rsidP="00B44AA1">
      <w:pPr>
        <w:pStyle w:val="CteTtuloSeccion"/>
        <w:rPr>
          <w:rFonts w:eastAsia="Noto Sans CJK SC Regular"/>
          <w:b w:val="0"/>
          <w:sz w:val="28"/>
          <w:szCs w:val="28"/>
        </w:rPr>
      </w:pPr>
      <w:r>
        <w:rPr>
          <w:rFonts w:cs="Mangal"/>
          <w:b w:val="0"/>
          <w:bCs w:val="0"/>
          <w:color w:val="auto"/>
          <w:sz w:val="28"/>
          <w:szCs w:val="28"/>
          <w:lang w:eastAsia="zh-CN" w:bidi="hi-IN"/>
        </w:rPr>
        <w:fldChar w:fldCharType="begin"/>
      </w:r>
      <w:r>
        <w:rPr>
          <w:b w:val="0"/>
          <w:sz w:val="28"/>
          <w:szCs w:val="28"/>
        </w:rPr>
        <w:instrText xml:space="preserve"> TOC \b s1 \n \p " " \h \z \t "CteTítulo3,3,CteAnejo-TituloSeccion,1,CteTítuloSeccion,1,CteTítulo1,1,CteTítulo2,2,CteInt-TituloSeccion,1,CteInt-Titulo1,1,CteAnejo-Titulo3,3,CteAnejo-Titulo1,1,CteAnejo-Titulo2,2,TítuloSeccionCTE,1" </w:instrText>
      </w:r>
      <w:r>
        <w:rPr>
          <w:rFonts w:cs="Mangal"/>
          <w:b w:val="0"/>
          <w:bCs w:val="0"/>
          <w:color w:val="auto"/>
          <w:sz w:val="28"/>
          <w:szCs w:val="28"/>
          <w:lang w:eastAsia="zh-CN" w:bidi="hi-IN"/>
        </w:rPr>
        <w:fldChar w:fldCharType="separate"/>
      </w:r>
      <w:r w:rsidR="00E93486">
        <w:rPr>
          <w:rFonts w:cs="Mangal"/>
          <w:noProof/>
          <w:color w:val="auto"/>
          <w:sz w:val="28"/>
          <w:szCs w:val="28"/>
          <w:lang w:eastAsia="zh-CN" w:bidi="hi-IN"/>
        </w:rPr>
        <w:t>Aucune entrée de table des matières n'a été trouvée.</w:t>
      </w:r>
      <w:r>
        <w:rPr>
          <w:rFonts w:eastAsia="Noto Sans CJK SC Regular"/>
          <w:b w:val="0"/>
          <w:sz w:val="28"/>
          <w:szCs w:val="28"/>
        </w:rPr>
        <w:fldChar w:fldCharType="end"/>
      </w:r>
    </w:p>
    <w:p w14:paraId="4650E17A" w14:textId="11EF5763" w:rsidR="00B44AA1" w:rsidRPr="00937C8B" w:rsidRDefault="006C641F" w:rsidP="00B44AA1">
      <w:pPr>
        <w:pStyle w:val="CteTtuloSeccion"/>
        <w:rPr>
          <w:rFonts w:cs="Arial"/>
        </w:rPr>
      </w:pPr>
      <w:r>
        <w:br w:type="page"/>
      </w:r>
      <w:bookmarkStart w:id="20" w:name="_Toc39157900"/>
      <w:bookmarkStart w:id="21" w:name="_Toc39158109"/>
      <w:bookmarkStart w:id="22" w:name="s1"/>
      <w:r>
        <w:lastRenderedPageBreak/>
        <w:t>Chapitre HE 0</w:t>
      </w:r>
      <w:r>
        <w:br/>
        <w:t>Limitation de la consommation d</w:t>
      </w:r>
      <w:r w:rsidR="00EA7588">
        <w:t>’</w:t>
      </w:r>
      <w:r>
        <w:t>énergie</w:t>
      </w:r>
      <w:bookmarkEnd w:id="20"/>
      <w:bookmarkEnd w:id="21"/>
    </w:p>
    <w:p w14:paraId="27E6D0A0" w14:textId="3ECE0FDD" w:rsidR="006C641F" w:rsidRPr="00937C8B" w:rsidRDefault="006C641F" w:rsidP="006C641F">
      <w:pPr>
        <w:pStyle w:val="CteTtulo2"/>
        <w:rPr>
          <w:rFonts w:cs="Arial"/>
        </w:rPr>
      </w:pPr>
      <w:bookmarkStart w:id="23" w:name="_Toc530395230"/>
      <w:bookmarkStart w:id="24" w:name="_Toc530396109"/>
      <w:bookmarkStart w:id="25" w:name="_Toc39157901"/>
      <w:bookmarkStart w:id="26" w:name="_Toc39158110"/>
      <w:r>
        <w:t>1</w:t>
      </w:r>
      <w:r>
        <w:tab/>
        <w:t>Champ d</w:t>
      </w:r>
      <w:r w:rsidR="00EA7588">
        <w:t>’</w:t>
      </w:r>
      <w:r>
        <w:t>application</w:t>
      </w:r>
      <w:bookmarkEnd w:id="23"/>
      <w:bookmarkEnd w:id="24"/>
      <w:bookmarkEnd w:id="25"/>
      <w:bookmarkEnd w:id="26"/>
    </w:p>
    <w:p w14:paraId="5CDE52A7" w14:textId="71968398" w:rsidR="006C641F" w:rsidRPr="00937C8B" w:rsidRDefault="006C641F" w:rsidP="006C641F">
      <w:pPr>
        <w:pStyle w:val="CTENumeracion"/>
        <w:rPr>
          <w:rFonts w:cs="Arial"/>
          <w:sz w:val="22"/>
          <w:szCs w:val="22"/>
        </w:rPr>
      </w:pPr>
      <w:r>
        <w:rPr>
          <w:sz w:val="22"/>
          <w:szCs w:val="22"/>
        </w:rPr>
        <w:t>1</w:t>
      </w:r>
      <w:r>
        <w:rPr>
          <w:sz w:val="22"/>
          <w:szCs w:val="22"/>
        </w:rPr>
        <w:tab/>
        <w:t>Ce chapitre s</w:t>
      </w:r>
      <w:r w:rsidR="00EA7588">
        <w:rPr>
          <w:sz w:val="22"/>
          <w:szCs w:val="22"/>
        </w:rPr>
        <w:t>’</w:t>
      </w:r>
      <w:r>
        <w:rPr>
          <w:sz w:val="22"/>
          <w:szCs w:val="22"/>
        </w:rPr>
        <w:t>applique:</w:t>
      </w:r>
    </w:p>
    <w:p w14:paraId="5815CA47" w14:textId="77777777" w:rsidR="006C641F" w:rsidRPr="00937C8B" w:rsidRDefault="006C641F" w:rsidP="006C641F">
      <w:pPr>
        <w:pStyle w:val="CTENumeracion"/>
        <w:ind w:firstLine="0"/>
        <w:rPr>
          <w:rFonts w:cs="Arial"/>
          <w:sz w:val="22"/>
          <w:szCs w:val="22"/>
        </w:rPr>
      </w:pPr>
      <w:r>
        <w:rPr>
          <w:sz w:val="22"/>
          <w:szCs w:val="22"/>
        </w:rPr>
        <w:t>a)</w:t>
      </w:r>
      <w:r>
        <w:rPr>
          <w:sz w:val="22"/>
          <w:szCs w:val="22"/>
        </w:rPr>
        <w:tab/>
        <w:t>aux nouvelles constructions;</w:t>
      </w:r>
    </w:p>
    <w:p w14:paraId="56FDD810" w14:textId="77777777" w:rsidR="006C641F" w:rsidRPr="00937C8B" w:rsidRDefault="006C641F" w:rsidP="006C641F">
      <w:pPr>
        <w:pStyle w:val="CTENumeracion"/>
        <w:ind w:firstLine="0"/>
        <w:rPr>
          <w:rFonts w:cs="Arial"/>
          <w:sz w:val="22"/>
          <w:szCs w:val="22"/>
        </w:rPr>
      </w:pPr>
      <w:r>
        <w:rPr>
          <w:sz w:val="22"/>
          <w:szCs w:val="22"/>
        </w:rPr>
        <w:t>b)</w:t>
      </w:r>
      <w:r>
        <w:rPr>
          <w:sz w:val="22"/>
          <w:szCs w:val="22"/>
        </w:rPr>
        <w:tab/>
        <w:t>aux interventions sur des bâtiments existants, dans les cas suivants:</w:t>
      </w:r>
    </w:p>
    <w:p w14:paraId="6356C895" w14:textId="379497B6" w:rsidR="006C641F" w:rsidRPr="00937C8B" w:rsidRDefault="006C641F" w:rsidP="00425ADA">
      <w:pPr>
        <w:pStyle w:val="CTENumeracion"/>
        <w:numPr>
          <w:ilvl w:val="0"/>
          <w:numId w:val="5"/>
        </w:numPr>
        <w:rPr>
          <w:rFonts w:cs="Arial"/>
          <w:sz w:val="22"/>
          <w:szCs w:val="22"/>
        </w:rPr>
      </w:pPr>
      <w:r>
        <w:rPr>
          <w:sz w:val="22"/>
          <w:szCs w:val="22"/>
        </w:rPr>
        <w:t>extension impliquant une augmentation de plus de 10</w:t>
      </w:r>
      <w:r w:rsidR="00EA7588">
        <w:rPr>
          <w:sz w:val="22"/>
          <w:szCs w:val="22"/>
        </w:rPr>
        <w:t> </w:t>
      </w:r>
      <w:r>
        <w:rPr>
          <w:sz w:val="22"/>
          <w:szCs w:val="22"/>
        </w:rPr>
        <w:t xml:space="preserve">% de la surface ou du volume construit de l’unité ou des </w:t>
      </w:r>
      <w:r>
        <w:rPr>
          <w:i/>
          <w:iCs/>
          <w:sz w:val="22"/>
          <w:szCs w:val="22"/>
        </w:rPr>
        <w:t>unités d’utilisation</w:t>
      </w:r>
      <w:r>
        <w:rPr>
          <w:sz w:val="22"/>
          <w:szCs w:val="22"/>
        </w:rPr>
        <w:t xml:space="preserve"> sur lesquelles elle intervient, lorsque la surface utile totale de l’extension dépasse 50 m</w:t>
      </w:r>
      <w:r>
        <w:rPr>
          <w:sz w:val="22"/>
          <w:szCs w:val="22"/>
          <w:vertAlign w:val="superscript"/>
        </w:rPr>
        <w:t>2</w:t>
      </w:r>
      <w:r>
        <w:rPr>
          <w:sz w:val="22"/>
          <w:szCs w:val="22"/>
        </w:rPr>
        <w:t>;</w:t>
      </w:r>
    </w:p>
    <w:p w14:paraId="1359F61D" w14:textId="4E7F4108" w:rsidR="006C641F" w:rsidRPr="00937C8B" w:rsidRDefault="006C641F" w:rsidP="00425ADA">
      <w:pPr>
        <w:pStyle w:val="CTENumeracion"/>
        <w:numPr>
          <w:ilvl w:val="0"/>
          <w:numId w:val="5"/>
        </w:numPr>
        <w:rPr>
          <w:rFonts w:cs="Arial"/>
          <w:sz w:val="22"/>
          <w:szCs w:val="22"/>
        </w:rPr>
      </w:pPr>
      <w:r>
        <w:rPr>
          <w:sz w:val="22"/>
          <w:szCs w:val="22"/>
        </w:rPr>
        <w:t>changements d</w:t>
      </w:r>
      <w:r w:rsidR="00EA7588">
        <w:rPr>
          <w:sz w:val="22"/>
          <w:szCs w:val="22"/>
        </w:rPr>
        <w:t>’</w:t>
      </w:r>
      <w:r>
        <w:rPr>
          <w:sz w:val="22"/>
          <w:szCs w:val="22"/>
        </w:rPr>
        <w:t>usage, lorsque la surface utile totale est supérieure à 50 m</w:t>
      </w:r>
      <w:r>
        <w:rPr>
          <w:sz w:val="22"/>
          <w:szCs w:val="22"/>
          <w:vertAlign w:val="superscript"/>
        </w:rPr>
        <w:t>2</w:t>
      </w:r>
      <w:r>
        <w:rPr>
          <w:sz w:val="22"/>
          <w:szCs w:val="22"/>
        </w:rPr>
        <w:t>;</w:t>
      </w:r>
    </w:p>
    <w:p w14:paraId="7D438548" w14:textId="5A8CF4E3" w:rsidR="006C641F" w:rsidRPr="00937C8B" w:rsidRDefault="006C641F" w:rsidP="00425ADA">
      <w:pPr>
        <w:pStyle w:val="CTENumeracion"/>
        <w:numPr>
          <w:ilvl w:val="0"/>
          <w:numId w:val="5"/>
        </w:numPr>
        <w:rPr>
          <w:rFonts w:cs="Arial"/>
          <w:sz w:val="22"/>
          <w:szCs w:val="22"/>
        </w:rPr>
      </w:pPr>
      <w:r>
        <w:rPr>
          <w:sz w:val="22"/>
        </w:rPr>
        <w:t>interventions impliquant la rénovation conjointe des installations de production thermique et de plus de 25</w:t>
      </w:r>
      <w:r w:rsidR="00EA7588">
        <w:rPr>
          <w:sz w:val="22"/>
        </w:rPr>
        <w:t> </w:t>
      </w:r>
      <w:r>
        <w:rPr>
          <w:sz w:val="22"/>
        </w:rPr>
        <w:t>% de la surface totale de l’</w:t>
      </w:r>
      <w:r>
        <w:rPr>
          <w:rStyle w:val="CteAnejo-DefinicionCar"/>
          <w:b w:val="0"/>
          <w:bCs w:val="0"/>
          <w:sz w:val="22"/>
          <w:szCs w:val="22"/>
        </w:rPr>
        <w:t>enceinte thermique</w:t>
      </w:r>
      <w:r>
        <w:rPr>
          <w:rStyle w:val="CteAnejo-DefinicionCar"/>
          <w:b w:val="0"/>
          <w:bCs w:val="0"/>
          <w:i w:val="0"/>
          <w:iCs w:val="0"/>
          <w:sz w:val="22"/>
          <w:szCs w:val="22"/>
        </w:rPr>
        <w:t xml:space="preserve"> finale du bâtiment</w:t>
      </w:r>
      <w:r>
        <w:rPr>
          <w:sz w:val="22"/>
          <w:szCs w:val="22"/>
        </w:rPr>
        <w:t>.</w:t>
      </w:r>
    </w:p>
    <w:p w14:paraId="225D17B0" w14:textId="16986F53" w:rsidR="006C641F" w:rsidRPr="00937C8B" w:rsidRDefault="006C641F" w:rsidP="006C641F">
      <w:pPr>
        <w:pStyle w:val="CTENumeracion"/>
        <w:ind w:firstLine="0"/>
        <w:rPr>
          <w:rFonts w:cs="Arial"/>
          <w:sz w:val="22"/>
          <w:szCs w:val="22"/>
        </w:rPr>
      </w:pPr>
      <w:r>
        <w:rPr>
          <w:sz w:val="22"/>
          <w:szCs w:val="22"/>
        </w:rPr>
        <w:t>Les exigences découlant des extensions et des changements d</w:t>
      </w:r>
      <w:r w:rsidR="00EA7588">
        <w:rPr>
          <w:sz w:val="22"/>
          <w:szCs w:val="22"/>
        </w:rPr>
        <w:t>’</w:t>
      </w:r>
      <w:r>
        <w:rPr>
          <w:sz w:val="22"/>
          <w:szCs w:val="22"/>
        </w:rPr>
        <w:t>usage s’appliquent respectivement à la partie agrandie et à l</w:t>
      </w:r>
      <w:r w:rsidR="00EA7588">
        <w:rPr>
          <w:sz w:val="22"/>
          <w:szCs w:val="22"/>
        </w:rPr>
        <w:t>’</w:t>
      </w:r>
      <w:r>
        <w:rPr>
          <w:sz w:val="22"/>
          <w:szCs w:val="22"/>
        </w:rPr>
        <w:t>unité ou aux unités d</w:t>
      </w:r>
      <w:r w:rsidR="00EA7588">
        <w:rPr>
          <w:sz w:val="22"/>
          <w:szCs w:val="22"/>
        </w:rPr>
        <w:t>’</w:t>
      </w:r>
      <w:r>
        <w:rPr>
          <w:sz w:val="22"/>
          <w:szCs w:val="22"/>
        </w:rPr>
        <w:t>utilisation qui modifient son usage, tandis que, dans le cas des rénovations visées dans cet article, elles s</w:t>
      </w:r>
      <w:r w:rsidR="00EA7588">
        <w:rPr>
          <w:sz w:val="22"/>
          <w:szCs w:val="22"/>
        </w:rPr>
        <w:t>’</w:t>
      </w:r>
      <w:r>
        <w:rPr>
          <w:sz w:val="22"/>
          <w:szCs w:val="22"/>
        </w:rPr>
        <w:t>appliquent à l</w:t>
      </w:r>
      <w:r w:rsidR="00EA7588">
        <w:rPr>
          <w:sz w:val="22"/>
          <w:szCs w:val="22"/>
        </w:rPr>
        <w:t>’</w:t>
      </w:r>
      <w:r>
        <w:rPr>
          <w:sz w:val="22"/>
          <w:szCs w:val="22"/>
        </w:rPr>
        <w:t xml:space="preserve">ensemble du bâtiment. </w:t>
      </w:r>
    </w:p>
    <w:p w14:paraId="68629094" w14:textId="47F82634" w:rsidR="006C641F" w:rsidRPr="00937C8B" w:rsidRDefault="006C641F" w:rsidP="006C641F">
      <w:pPr>
        <w:pStyle w:val="CTENumeracion"/>
        <w:rPr>
          <w:rFonts w:cs="Arial"/>
          <w:sz w:val="22"/>
          <w:szCs w:val="22"/>
        </w:rPr>
      </w:pPr>
      <w:r>
        <w:rPr>
          <w:sz w:val="22"/>
          <w:szCs w:val="22"/>
        </w:rPr>
        <w:t>2</w:t>
      </w:r>
      <w:r>
        <w:rPr>
          <w:sz w:val="22"/>
          <w:szCs w:val="22"/>
        </w:rPr>
        <w:tab/>
        <w:t>Sont exclus du champ d</w:t>
      </w:r>
      <w:r w:rsidR="00EA7588">
        <w:rPr>
          <w:sz w:val="22"/>
          <w:szCs w:val="22"/>
        </w:rPr>
        <w:t>’</w:t>
      </w:r>
      <w:r>
        <w:rPr>
          <w:sz w:val="22"/>
          <w:szCs w:val="22"/>
        </w:rPr>
        <w:t>application:</w:t>
      </w:r>
    </w:p>
    <w:p w14:paraId="28516F35" w14:textId="77777777" w:rsidR="006C641F" w:rsidRPr="00937C8B" w:rsidRDefault="006C641F" w:rsidP="006C641F">
      <w:pPr>
        <w:pStyle w:val="CTENumeracion"/>
        <w:ind w:left="702" w:hanging="345"/>
        <w:rPr>
          <w:rFonts w:cs="Arial"/>
          <w:sz w:val="22"/>
          <w:szCs w:val="22"/>
        </w:rPr>
      </w:pPr>
      <w:r>
        <w:rPr>
          <w:sz w:val="22"/>
          <w:szCs w:val="22"/>
        </w:rPr>
        <w:t>a)</w:t>
      </w:r>
      <w:r>
        <w:rPr>
          <w:sz w:val="22"/>
          <w:szCs w:val="22"/>
        </w:rPr>
        <w:tab/>
        <w:t>les bâtiments officiellement protégés par leur inclusion dans une zone déclarée ou en raison de leur valeur architecturale ou historique particulière, dans la mesure où la conformité à certaines exigences de base en matière de performance énergétique modifierait de manière inacceptable leur caractère ou leur apparence, tel que déterminé par l’autorité responsable de la protection officielle;</w:t>
      </w:r>
    </w:p>
    <w:p w14:paraId="57241E3E" w14:textId="1046543B" w:rsidR="006C641F" w:rsidRPr="00937C8B" w:rsidRDefault="006C641F" w:rsidP="006C641F">
      <w:pPr>
        <w:pStyle w:val="CTENumeracion"/>
        <w:ind w:left="702" w:hanging="345"/>
        <w:rPr>
          <w:rFonts w:cs="Arial"/>
          <w:sz w:val="22"/>
          <w:szCs w:val="22"/>
        </w:rPr>
      </w:pPr>
      <w:r>
        <w:rPr>
          <w:sz w:val="22"/>
          <w:szCs w:val="22"/>
        </w:rPr>
        <w:t>b)</w:t>
      </w:r>
      <w:r>
        <w:rPr>
          <w:sz w:val="22"/>
          <w:szCs w:val="22"/>
        </w:rPr>
        <w:tab/>
        <w:t>les constructions provisoires prévues pour une durée d</w:t>
      </w:r>
      <w:r w:rsidR="00EA7588">
        <w:rPr>
          <w:sz w:val="22"/>
          <w:szCs w:val="22"/>
        </w:rPr>
        <w:t>’</w:t>
      </w:r>
      <w:r>
        <w:rPr>
          <w:sz w:val="22"/>
          <w:szCs w:val="22"/>
        </w:rPr>
        <w:t>utilisation inférieure ou égale à deux ans;</w:t>
      </w:r>
    </w:p>
    <w:p w14:paraId="1FA91022" w14:textId="77777777" w:rsidR="006C641F" w:rsidRPr="00937C8B" w:rsidRDefault="006C641F" w:rsidP="006C641F">
      <w:pPr>
        <w:pStyle w:val="CTENumeracion"/>
        <w:ind w:left="702" w:hanging="345"/>
        <w:rPr>
          <w:rFonts w:cs="Arial"/>
          <w:sz w:val="22"/>
          <w:szCs w:val="22"/>
        </w:rPr>
      </w:pPr>
      <w:r>
        <w:rPr>
          <w:sz w:val="22"/>
          <w:szCs w:val="22"/>
        </w:rPr>
        <w:t>c)</w:t>
      </w:r>
      <w:r>
        <w:rPr>
          <w:sz w:val="22"/>
          <w:szCs w:val="22"/>
        </w:rPr>
        <w:tab/>
        <w:t>les bâtiments industriels, militaires et agricoles non résidentiels, ou des parties de ces bâtiments, sobres en énergie. Les zones qui ne font pas l’objet d’exigences de confort thermique, telles que celles destinées aux ateliers ou aux procédés industriels, sont réputées sobres en énergie;</w:t>
      </w:r>
    </w:p>
    <w:p w14:paraId="33DCB980" w14:textId="065B740F" w:rsidR="006C641F" w:rsidRPr="00937C8B" w:rsidRDefault="006C641F" w:rsidP="006C641F">
      <w:pPr>
        <w:pStyle w:val="CTENumeracion"/>
        <w:ind w:left="702" w:hanging="345"/>
        <w:rPr>
          <w:rFonts w:cs="Arial"/>
          <w:sz w:val="22"/>
          <w:szCs w:val="22"/>
        </w:rPr>
      </w:pPr>
      <w:r>
        <w:rPr>
          <w:sz w:val="22"/>
          <w:szCs w:val="22"/>
        </w:rPr>
        <w:t>d)</w:t>
      </w:r>
      <w:r>
        <w:rPr>
          <w:sz w:val="22"/>
          <w:szCs w:val="22"/>
        </w:rPr>
        <w:tab/>
        <w:t>les bâtiments indépendants d</w:t>
      </w:r>
      <w:r w:rsidR="00EA7588">
        <w:rPr>
          <w:sz w:val="22"/>
          <w:szCs w:val="22"/>
        </w:rPr>
        <w:t>’</w:t>
      </w:r>
      <w:r>
        <w:rPr>
          <w:sz w:val="22"/>
          <w:szCs w:val="22"/>
        </w:rPr>
        <w:t>une surface utile totale inférieure à 50 m</w:t>
      </w:r>
      <w:r>
        <w:rPr>
          <w:sz w:val="22"/>
          <w:szCs w:val="22"/>
          <w:vertAlign w:val="superscript"/>
        </w:rPr>
        <w:t>2</w:t>
      </w:r>
      <w:r>
        <w:rPr>
          <w:sz w:val="22"/>
          <w:szCs w:val="22"/>
        </w:rPr>
        <w:t>.</w:t>
      </w:r>
    </w:p>
    <w:p w14:paraId="35C5327A" w14:textId="3521DD99" w:rsidR="006C641F" w:rsidRPr="00937C8B" w:rsidRDefault="006C641F" w:rsidP="006C641F">
      <w:pPr>
        <w:pStyle w:val="CteTtulo2"/>
        <w:rPr>
          <w:rFonts w:cs="Arial"/>
        </w:rPr>
      </w:pPr>
      <w:bookmarkStart w:id="27" w:name="_Toc530395231"/>
      <w:bookmarkStart w:id="28" w:name="_Toc530396110"/>
      <w:bookmarkStart w:id="29" w:name="_Toc39157902"/>
      <w:bookmarkStart w:id="30" w:name="_Toc39158111"/>
      <w:r>
        <w:t>2</w:t>
      </w:r>
      <w:r>
        <w:tab/>
        <w:t>Caractérisation de l</w:t>
      </w:r>
      <w:r w:rsidR="00EA7588">
        <w:t>’</w:t>
      </w:r>
      <w:r>
        <w:t>exigence</w:t>
      </w:r>
      <w:bookmarkEnd w:id="27"/>
      <w:bookmarkEnd w:id="28"/>
      <w:bookmarkEnd w:id="29"/>
      <w:bookmarkEnd w:id="30"/>
    </w:p>
    <w:p w14:paraId="692E3707" w14:textId="77777777" w:rsidR="006C641F" w:rsidRPr="00937C8B" w:rsidRDefault="006C641F" w:rsidP="006C641F">
      <w:pPr>
        <w:pStyle w:val="CTENumeracion"/>
        <w:rPr>
          <w:rFonts w:cs="Arial"/>
          <w:sz w:val="22"/>
          <w:szCs w:val="22"/>
        </w:rPr>
      </w:pPr>
      <w:r>
        <w:rPr>
          <w:sz w:val="22"/>
          <w:szCs w:val="22"/>
        </w:rPr>
        <w:t>1</w:t>
      </w:r>
      <w:r>
        <w:rPr>
          <w:sz w:val="22"/>
          <w:szCs w:val="22"/>
        </w:rPr>
        <w:tab/>
        <w:t xml:space="preserve">La </w:t>
      </w:r>
      <w:r>
        <w:rPr>
          <w:i/>
          <w:iCs/>
          <w:sz w:val="22"/>
          <w:szCs w:val="22"/>
        </w:rPr>
        <w:t>consommation d’énergie</w:t>
      </w:r>
      <w:r>
        <w:rPr>
          <w:sz w:val="22"/>
          <w:szCs w:val="22"/>
        </w:rPr>
        <w:t xml:space="preserve"> des bâtiments sera limitée en tenant compte de la zone climatique en hiver de la localité de leur emplacement, de l’usage du bâtiment et dans le cas de bâtiments existants, de l’étendue de l’intervention.</w:t>
      </w:r>
    </w:p>
    <w:p w14:paraId="2D01F70A" w14:textId="624BC68F" w:rsidR="006C641F" w:rsidRPr="00937C8B" w:rsidRDefault="006C641F" w:rsidP="006C641F">
      <w:pPr>
        <w:pStyle w:val="CteTtulo2"/>
        <w:rPr>
          <w:rFonts w:cs="Arial"/>
        </w:rPr>
      </w:pPr>
      <w:bookmarkStart w:id="31" w:name="Sección_HE0_Cuantificacion"/>
      <w:bookmarkStart w:id="32" w:name="_Toc530395232"/>
      <w:bookmarkStart w:id="33" w:name="_Toc39157903"/>
      <w:bookmarkStart w:id="34" w:name="_Toc39158112"/>
      <w:bookmarkEnd w:id="31"/>
      <w:r>
        <w:t>3</w:t>
      </w:r>
      <w:r>
        <w:tab/>
        <w:t>Quantification de l</w:t>
      </w:r>
      <w:r w:rsidR="00EA7588">
        <w:t>’</w:t>
      </w:r>
      <w:r>
        <w:t>exigence</w:t>
      </w:r>
      <w:bookmarkEnd w:id="32"/>
      <w:bookmarkEnd w:id="33"/>
      <w:bookmarkEnd w:id="34"/>
    </w:p>
    <w:p w14:paraId="3F6EF8E6" w14:textId="77777777" w:rsidR="006C641F" w:rsidRPr="00937C8B" w:rsidRDefault="006C641F" w:rsidP="009467D5">
      <w:pPr>
        <w:pStyle w:val="CteTtulo3"/>
      </w:pPr>
      <w:bookmarkStart w:id="35" w:name="_Toc530395233"/>
      <w:bookmarkStart w:id="36" w:name="_Toc530396112"/>
      <w:bookmarkStart w:id="37" w:name="_Toc39157904"/>
      <w:r>
        <w:t>3.1</w:t>
      </w:r>
      <w:r>
        <w:tab/>
        <w:t>Consommation d’énergie primaire non renouvelable</w:t>
      </w:r>
      <w:bookmarkEnd w:id="35"/>
      <w:bookmarkEnd w:id="36"/>
      <w:bookmarkEnd w:id="37"/>
    </w:p>
    <w:p w14:paraId="1F4F6739" w14:textId="681FBDAC" w:rsidR="006C641F" w:rsidRPr="00937C8B" w:rsidRDefault="006C641F" w:rsidP="00D27646">
      <w:pPr>
        <w:pStyle w:val="CTENumeracion"/>
        <w:keepNext/>
        <w:rPr>
          <w:rFonts w:cs="Arial"/>
          <w:sz w:val="22"/>
          <w:szCs w:val="22"/>
        </w:rPr>
      </w:pPr>
      <w:r>
        <w:rPr>
          <w:sz w:val="22"/>
          <w:szCs w:val="22"/>
        </w:rPr>
        <w:t>1</w:t>
      </w:r>
      <w:r>
        <w:rPr>
          <w:sz w:val="22"/>
          <w:szCs w:val="22"/>
        </w:rPr>
        <w:tab/>
        <w:t xml:space="preserve">La </w:t>
      </w:r>
      <w:r>
        <w:rPr>
          <w:i/>
          <w:iCs/>
          <w:sz w:val="22"/>
          <w:szCs w:val="22"/>
        </w:rPr>
        <w:t>consommation d’énergie primaire non renouvelable</w:t>
      </w:r>
      <w:r>
        <w:rPr>
          <w:iCs/>
          <w:sz w:val="22"/>
          <w:szCs w:val="22"/>
        </w:rPr>
        <w:t xml:space="preserve"> (C</w:t>
      </w:r>
      <w:r>
        <w:rPr>
          <w:iCs/>
          <w:sz w:val="22"/>
          <w:szCs w:val="22"/>
          <w:vertAlign w:val="subscript"/>
        </w:rPr>
        <w:t>ep</w:t>
      </w:r>
      <w:r>
        <w:rPr>
          <w:iCs/>
          <w:sz w:val="22"/>
          <w:szCs w:val="22"/>
        </w:rPr>
        <w:t>,</w:t>
      </w:r>
      <w:r>
        <w:rPr>
          <w:iCs/>
          <w:sz w:val="22"/>
          <w:szCs w:val="22"/>
          <w:vertAlign w:val="subscript"/>
        </w:rPr>
        <w:t>nren</w:t>
      </w:r>
      <w:r>
        <w:rPr>
          <w:iCs/>
          <w:sz w:val="22"/>
          <w:szCs w:val="22"/>
        </w:rPr>
        <w:t xml:space="preserve">) </w:t>
      </w:r>
      <w:r>
        <w:rPr>
          <w:sz w:val="22"/>
          <w:szCs w:val="22"/>
        </w:rPr>
        <w:t>des espaces contenus à l</w:t>
      </w:r>
      <w:r w:rsidR="00EA7588">
        <w:rPr>
          <w:sz w:val="22"/>
          <w:szCs w:val="22"/>
        </w:rPr>
        <w:t>’</w:t>
      </w:r>
      <w:r>
        <w:rPr>
          <w:sz w:val="22"/>
          <w:szCs w:val="22"/>
        </w:rPr>
        <w:t>intérieur de l’</w:t>
      </w:r>
      <w:r>
        <w:rPr>
          <w:i/>
          <w:sz w:val="22"/>
          <w:szCs w:val="22"/>
        </w:rPr>
        <w:t xml:space="preserve">enceinte thermique </w:t>
      </w:r>
      <w:r>
        <w:rPr>
          <w:sz w:val="22"/>
          <w:szCs w:val="22"/>
        </w:rPr>
        <w:t>du bâtiment ou, le cas échéant, de la partie du bâtiment concernée, doit rester inférieure à la limite (</w:t>
      </w:r>
      <w:r>
        <w:rPr>
          <w:i/>
          <w:iCs/>
          <w:sz w:val="22"/>
          <w:szCs w:val="22"/>
        </w:rPr>
        <w:t>C</w:t>
      </w:r>
      <w:r>
        <w:rPr>
          <w:i/>
          <w:iCs/>
          <w:sz w:val="22"/>
          <w:szCs w:val="22"/>
          <w:vertAlign w:val="subscript"/>
        </w:rPr>
        <w:t>ep</w:t>
      </w:r>
      <w:r>
        <w:rPr>
          <w:i/>
          <w:iCs/>
          <w:sz w:val="22"/>
          <w:szCs w:val="22"/>
        </w:rPr>
        <w:t>,</w:t>
      </w:r>
      <w:r>
        <w:rPr>
          <w:i/>
          <w:iCs/>
          <w:sz w:val="22"/>
          <w:szCs w:val="22"/>
          <w:vertAlign w:val="subscript"/>
        </w:rPr>
        <w:t>nren,lim</w:t>
      </w:r>
      <w:r>
        <w:rPr>
          <w:sz w:val="22"/>
          <w:szCs w:val="22"/>
        </w:rPr>
        <w:t>) donnée par le tableau 3.1.a-HE0 ou 3.1.b-HE0:</w:t>
      </w:r>
    </w:p>
    <w:p w14:paraId="4437BD1D" w14:textId="77777777" w:rsidR="006C641F" w:rsidRPr="00937C8B" w:rsidRDefault="006C641F" w:rsidP="00D27646">
      <w:pPr>
        <w:pStyle w:val="CTENumeracion"/>
        <w:keepNext/>
        <w:rPr>
          <w:rFonts w:cs="Arial"/>
        </w:rPr>
      </w:pPr>
    </w:p>
    <w:p w14:paraId="295EDF59" w14:textId="77777777" w:rsidR="006C641F" w:rsidRPr="00937C8B" w:rsidRDefault="006C641F" w:rsidP="00D27646">
      <w:pPr>
        <w:pStyle w:val="CTENumeracion"/>
        <w:keepNext/>
        <w:ind w:left="0" w:firstLine="0"/>
        <w:jc w:val="center"/>
        <w:rPr>
          <w:rFonts w:cs="Arial"/>
          <w:b/>
          <w:sz w:val="18"/>
        </w:rPr>
      </w:pPr>
      <w:r>
        <w:rPr>
          <w:b/>
          <w:sz w:val="18"/>
        </w:rPr>
        <w:t>Tableau 3.1.a - HE0</w:t>
      </w:r>
    </w:p>
    <w:p w14:paraId="37AB1CB2" w14:textId="77777777" w:rsidR="006C641F" w:rsidRPr="00937C8B" w:rsidRDefault="006C641F" w:rsidP="00D27646">
      <w:pPr>
        <w:pStyle w:val="CTENumeracion"/>
        <w:keepNext/>
        <w:ind w:left="0" w:firstLine="0"/>
        <w:jc w:val="center"/>
        <w:rPr>
          <w:rFonts w:cs="Arial"/>
          <w:b/>
          <w:sz w:val="18"/>
        </w:rPr>
      </w:pPr>
      <w:r>
        <w:rPr>
          <w:b/>
          <w:sz w:val="18"/>
        </w:rPr>
        <w:t xml:space="preserve">Valeur limite </w:t>
      </w:r>
      <w:r>
        <w:rPr>
          <w:b/>
          <w:i/>
          <w:iCs/>
          <w:sz w:val="18"/>
        </w:rPr>
        <w:t>C</w:t>
      </w:r>
      <w:r>
        <w:rPr>
          <w:b/>
          <w:bCs/>
          <w:i/>
          <w:iCs/>
          <w:sz w:val="18"/>
          <w:vertAlign w:val="subscript"/>
        </w:rPr>
        <w:t xml:space="preserve">ep,nren,lim </w:t>
      </w:r>
      <w:r>
        <w:rPr>
          <w:b/>
          <w:sz w:val="18"/>
        </w:rPr>
        <w:t>[kW·h/m</w:t>
      </w:r>
      <w:r>
        <w:rPr>
          <w:b/>
          <w:sz w:val="18"/>
          <w:vertAlign w:val="superscript"/>
        </w:rPr>
        <w:t>2</w:t>
      </w:r>
      <w:r>
        <w:rPr>
          <w:b/>
          <w:sz w:val="18"/>
        </w:rPr>
        <w:t>·an] pour un usage résidentiel privé</w:t>
      </w:r>
    </w:p>
    <w:tbl>
      <w:tblPr>
        <w:tblW w:w="7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3" w:type="dxa"/>
        </w:tblCellMar>
        <w:tblLook w:val="04A0" w:firstRow="1" w:lastRow="0" w:firstColumn="1" w:lastColumn="0" w:noHBand="0" w:noVBand="1"/>
      </w:tblPr>
      <w:tblGrid>
        <w:gridCol w:w="3346"/>
        <w:gridCol w:w="623"/>
        <w:gridCol w:w="624"/>
        <w:gridCol w:w="624"/>
        <w:gridCol w:w="624"/>
        <w:gridCol w:w="623"/>
        <w:gridCol w:w="626"/>
      </w:tblGrid>
      <w:tr w:rsidR="006C641F" w:rsidRPr="00937C8B" w14:paraId="0C559EA2" w14:textId="77777777" w:rsidTr="00E47AFE">
        <w:trPr>
          <w:jc w:val="center"/>
        </w:trPr>
        <w:tc>
          <w:tcPr>
            <w:tcW w:w="3345" w:type="dxa"/>
            <w:tcBorders>
              <w:top w:val="nil"/>
              <w:left w:val="nil"/>
              <w:bottom w:val="nil"/>
            </w:tcBorders>
            <w:shd w:val="clear" w:color="auto" w:fill="auto"/>
          </w:tcPr>
          <w:p w14:paraId="3A789774" w14:textId="77777777" w:rsidR="006C641F" w:rsidRPr="00937C8B" w:rsidRDefault="006C641F" w:rsidP="00D27646">
            <w:pPr>
              <w:pStyle w:val="CTENumeracion"/>
              <w:keepNext/>
              <w:ind w:left="0" w:firstLine="0"/>
              <w:jc w:val="center"/>
              <w:rPr>
                <w:rFonts w:cs="Arial"/>
                <w:b/>
                <w:sz w:val="18"/>
              </w:rPr>
            </w:pPr>
          </w:p>
        </w:tc>
        <w:tc>
          <w:tcPr>
            <w:tcW w:w="3744" w:type="dxa"/>
            <w:gridSpan w:val="6"/>
            <w:tcBorders>
              <w:top w:val="nil"/>
              <w:bottom w:val="nil"/>
              <w:right w:val="nil"/>
            </w:tcBorders>
            <w:shd w:val="clear" w:color="auto" w:fill="auto"/>
          </w:tcPr>
          <w:p w14:paraId="3F571F39" w14:textId="77777777" w:rsidR="006C641F" w:rsidRPr="00937C8B" w:rsidRDefault="006C641F" w:rsidP="00D27646">
            <w:pPr>
              <w:pStyle w:val="CTENumeracion"/>
              <w:keepNext/>
              <w:ind w:left="0" w:firstLine="0"/>
              <w:jc w:val="center"/>
              <w:rPr>
                <w:rFonts w:cs="Arial"/>
                <w:b/>
                <w:sz w:val="18"/>
              </w:rPr>
            </w:pPr>
            <w:r>
              <w:rPr>
                <w:b/>
                <w:sz w:val="18"/>
              </w:rPr>
              <w:t>Zone climatique en hiver</w:t>
            </w:r>
          </w:p>
        </w:tc>
      </w:tr>
      <w:tr w:rsidR="006C641F" w:rsidRPr="00937C8B" w14:paraId="440DBB4A" w14:textId="77777777" w:rsidTr="00E47AFE">
        <w:trPr>
          <w:jc w:val="center"/>
        </w:trPr>
        <w:tc>
          <w:tcPr>
            <w:tcW w:w="3345" w:type="dxa"/>
            <w:tcBorders>
              <w:top w:val="nil"/>
              <w:left w:val="nil"/>
              <w:bottom w:val="single" w:sz="4" w:space="0" w:color="auto"/>
            </w:tcBorders>
            <w:shd w:val="clear" w:color="auto" w:fill="auto"/>
          </w:tcPr>
          <w:p w14:paraId="4BB366EC" w14:textId="77777777" w:rsidR="006C641F" w:rsidRPr="00937C8B" w:rsidRDefault="006C641F" w:rsidP="00D27646">
            <w:pPr>
              <w:pStyle w:val="CTENumeracion"/>
              <w:keepNext/>
              <w:ind w:left="0" w:firstLine="0"/>
              <w:jc w:val="center"/>
              <w:rPr>
                <w:rFonts w:cs="Arial"/>
                <w:b/>
                <w:sz w:val="18"/>
              </w:rPr>
            </w:pPr>
          </w:p>
        </w:tc>
        <w:tc>
          <w:tcPr>
            <w:tcW w:w="623" w:type="dxa"/>
            <w:tcBorders>
              <w:top w:val="nil"/>
              <w:bottom w:val="single" w:sz="4" w:space="0" w:color="auto"/>
              <w:right w:val="nil"/>
            </w:tcBorders>
            <w:shd w:val="clear" w:color="auto" w:fill="auto"/>
          </w:tcPr>
          <w:p w14:paraId="3C803CCF" w14:textId="77777777" w:rsidR="006C641F" w:rsidRPr="00937C8B" w:rsidRDefault="006C641F" w:rsidP="00D27646">
            <w:pPr>
              <w:pStyle w:val="CTENumeracion"/>
              <w:keepNext/>
              <w:ind w:left="0" w:firstLine="0"/>
              <w:jc w:val="center"/>
              <w:rPr>
                <w:rFonts w:cs="Arial"/>
                <w:b/>
                <w:sz w:val="18"/>
              </w:rPr>
            </w:pPr>
            <w:r>
              <w:rPr>
                <w:b/>
                <w:sz w:val="18"/>
              </w:rPr>
              <w:t>α</w:t>
            </w:r>
          </w:p>
        </w:tc>
        <w:tc>
          <w:tcPr>
            <w:tcW w:w="624" w:type="dxa"/>
            <w:tcBorders>
              <w:top w:val="nil"/>
              <w:left w:val="nil"/>
              <w:bottom w:val="single" w:sz="4" w:space="0" w:color="auto"/>
              <w:right w:val="nil"/>
            </w:tcBorders>
            <w:shd w:val="clear" w:color="auto" w:fill="auto"/>
          </w:tcPr>
          <w:p w14:paraId="1EA99935" w14:textId="77777777" w:rsidR="006C641F" w:rsidRPr="00937C8B" w:rsidRDefault="006C641F" w:rsidP="00D27646">
            <w:pPr>
              <w:pStyle w:val="CTENumeracion"/>
              <w:keepNext/>
              <w:ind w:left="0" w:firstLine="0"/>
              <w:jc w:val="center"/>
              <w:rPr>
                <w:rFonts w:cs="Arial"/>
                <w:b/>
                <w:sz w:val="18"/>
              </w:rPr>
            </w:pPr>
            <w:r>
              <w:rPr>
                <w:b/>
                <w:sz w:val="18"/>
              </w:rPr>
              <w:t>A</w:t>
            </w:r>
          </w:p>
        </w:tc>
        <w:tc>
          <w:tcPr>
            <w:tcW w:w="624" w:type="dxa"/>
            <w:tcBorders>
              <w:top w:val="nil"/>
              <w:left w:val="nil"/>
              <w:bottom w:val="single" w:sz="4" w:space="0" w:color="auto"/>
              <w:right w:val="nil"/>
            </w:tcBorders>
            <w:shd w:val="clear" w:color="auto" w:fill="auto"/>
          </w:tcPr>
          <w:p w14:paraId="6B674F15" w14:textId="77777777" w:rsidR="006C641F" w:rsidRPr="00937C8B" w:rsidRDefault="006C641F" w:rsidP="00D27646">
            <w:pPr>
              <w:pStyle w:val="CTENumeracion"/>
              <w:keepNext/>
              <w:ind w:left="0" w:firstLine="0"/>
              <w:jc w:val="center"/>
              <w:rPr>
                <w:rFonts w:cs="Arial"/>
                <w:b/>
                <w:sz w:val="18"/>
              </w:rPr>
            </w:pPr>
            <w:r>
              <w:rPr>
                <w:b/>
                <w:sz w:val="18"/>
              </w:rPr>
              <w:t>B</w:t>
            </w:r>
          </w:p>
        </w:tc>
        <w:tc>
          <w:tcPr>
            <w:tcW w:w="624" w:type="dxa"/>
            <w:tcBorders>
              <w:top w:val="nil"/>
              <w:left w:val="nil"/>
              <w:bottom w:val="single" w:sz="4" w:space="0" w:color="auto"/>
              <w:right w:val="nil"/>
            </w:tcBorders>
            <w:shd w:val="clear" w:color="auto" w:fill="auto"/>
          </w:tcPr>
          <w:p w14:paraId="7551C7BF" w14:textId="77777777" w:rsidR="006C641F" w:rsidRPr="00937C8B" w:rsidRDefault="006C641F" w:rsidP="00D27646">
            <w:pPr>
              <w:pStyle w:val="CTENumeracion"/>
              <w:keepNext/>
              <w:ind w:left="0" w:firstLine="0"/>
              <w:jc w:val="center"/>
              <w:rPr>
                <w:rFonts w:cs="Arial"/>
                <w:b/>
                <w:sz w:val="18"/>
              </w:rPr>
            </w:pPr>
            <w:r>
              <w:rPr>
                <w:b/>
                <w:sz w:val="18"/>
              </w:rPr>
              <w:t>C</w:t>
            </w:r>
          </w:p>
        </w:tc>
        <w:tc>
          <w:tcPr>
            <w:tcW w:w="623" w:type="dxa"/>
            <w:tcBorders>
              <w:top w:val="nil"/>
              <w:left w:val="nil"/>
              <w:bottom w:val="single" w:sz="4" w:space="0" w:color="auto"/>
              <w:right w:val="nil"/>
            </w:tcBorders>
            <w:shd w:val="clear" w:color="auto" w:fill="auto"/>
          </w:tcPr>
          <w:p w14:paraId="5D68D29C" w14:textId="77777777" w:rsidR="006C641F" w:rsidRPr="00937C8B" w:rsidRDefault="006C641F" w:rsidP="00D27646">
            <w:pPr>
              <w:pStyle w:val="CTENumeracion"/>
              <w:keepNext/>
              <w:ind w:left="0" w:firstLine="0"/>
              <w:jc w:val="center"/>
              <w:rPr>
                <w:rFonts w:cs="Arial"/>
                <w:b/>
                <w:sz w:val="18"/>
              </w:rPr>
            </w:pPr>
            <w:r>
              <w:rPr>
                <w:b/>
                <w:sz w:val="18"/>
              </w:rPr>
              <w:t>D</w:t>
            </w:r>
          </w:p>
        </w:tc>
        <w:tc>
          <w:tcPr>
            <w:tcW w:w="626" w:type="dxa"/>
            <w:tcBorders>
              <w:top w:val="nil"/>
              <w:left w:val="nil"/>
              <w:bottom w:val="single" w:sz="4" w:space="0" w:color="auto"/>
              <w:right w:val="nil"/>
            </w:tcBorders>
            <w:shd w:val="clear" w:color="auto" w:fill="auto"/>
          </w:tcPr>
          <w:p w14:paraId="19649DFD" w14:textId="77777777" w:rsidR="006C641F" w:rsidRPr="00937C8B" w:rsidRDefault="006C641F" w:rsidP="00D27646">
            <w:pPr>
              <w:pStyle w:val="CTENumeracion"/>
              <w:keepNext/>
              <w:ind w:left="0" w:firstLine="0"/>
              <w:jc w:val="center"/>
              <w:rPr>
                <w:rFonts w:cs="Arial"/>
                <w:b/>
                <w:sz w:val="18"/>
              </w:rPr>
            </w:pPr>
            <w:r>
              <w:rPr>
                <w:b/>
                <w:sz w:val="18"/>
              </w:rPr>
              <w:t>E</w:t>
            </w:r>
          </w:p>
        </w:tc>
      </w:tr>
      <w:tr w:rsidR="006C641F" w:rsidRPr="00937C8B" w14:paraId="21AD6248" w14:textId="77777777" w:rsidTr="00E47AFE">
        <w:trPr>
          <w:jc w:val="center"/>
        </w:trPr>
        <w:tc>
          <w:tcPr>
            <w:tcW w:w="3345" w:type="dxa"/>
            <w:tcBorders>
              <w:left w:val="nil"/>
              <w:bottom w:val="nil"/>
            </w:tcBorders>
            <w:shd w:val="clear" w:color="auto" w:fill="auto"/>
            <w:vAlign w:val="center"/>
          </w:tcPr>
          <w:p w14:paraId="5DD6F18E" w14:textId="77777777" w:rsidR="006C641F" w:rsidRPr="00937C8B" w:rsidRDefault="006C641F" w:rsidP="00425ADA">
            <w:pPr>
              <w:pStyle w:val="CTENumeracion"/>
              <w:ind w:left="0" w:firstLine="0"/>
              <w:rPr>
                <w:rFonts w:cs="Arial"/>
                <w:b/>
                <w:sz w:val="18"/>
              </w:rPr>
            </w:pPr>
            <w:r>
              <w:rPr>
                <w:b/>
                <w:sz w:val="18"/>
              </w:rPr>
              <w:t>Bâtiments neufs et extensions</w:t>
            </w:r>
          </w:p>
        </w:tc>
        <w:tc>
          <w:tcPr>
            <w:tcW w:w="623" w:type="dxa"/>
            <w:tcBorders>
              <w:bottom w:val="nil"/>
              <w:right w:val="nil"/>
            </w:tcBorders>
            <w:shd w:val="clear" w:color="auto" w:fill="auto"/>
            <w:vAlign w:val="center"/>
          </w:tcPr>
          <w:p w14:paraId="19FDAF1A" w14:textId="77777777" w:rsidR="006C641F" w:rsidRPr="00937C8B" w:rsidRDefault="006C641F" w:rsidP="00425ADA">
            <w:pPr>
              <w:pStyle w:val="CTENumeracion"/>
              <w:ind w:left="0" w:firstLine="0"/>
              <w:jc w:val="center"/>
              <w:rPr>
                <w:rFonts w:cs="Arial"/>
                <w:sz w:val="18"/>
              </w:rPr>
            </w:pPr>
            <w:r>
              <w:rPr>
                <w:sz w:val="18"/>
              </w:rPr>
              <w:t>20</w:t>
            </w:r>
          </w:p>
        </w:tc>
        <w:tc>
          <w:tcPr>
            <w:tcW w:w="624" w:type="dxa"/>
            <w:tcBorders>
              <w:left w:val="nil"/>
              <w:bottom w:val="nil"/>
              <w:right w:val="nil"/>
            </w:tcBorders>
            <w:shd w:val="clear" w:color="auto" w:fill="auto"/>
            <w:vAlign w:val="center"/>
          </w:tcPr>
          <w:p w14:paraId="34333C1B" w14:textId="77777777" w:rsidR="006C641F" w:rsidRPr="00937C8B" w:rsidRDefault="006C641F" w:rsidP="00425ADA">
            <w:pPr>
              <w:pStyle w:val="CTENumeracion"/>
              <w:ind w:left="0" w:firstLine="0"/>
              <w:jc w:val="center"/>
              <w:rPr>
                <w:rFonts w:cs="Arial"/>
                <w:sz w:val="18"/>
              </w:rPr>
            </w:pPr>
            <w:r>
              <w:rPr>
                <w:sz w:val="18"/>
              </w:rPr>
              <w:t>25</w:t>
            </w:r>
          </w:p>
        </w:tc>
        <w:tc>
          <w:tcPr>
            <w:tcW w:w="624" w:type="dxa"/>
            <w:tcBorders>
              <w:left w:val="nil"/>
              <w:bottom w:val="nil"/>
              <w:right w:val="nil"/>
            </w:tcBorders>
            <w:shd w:val="clear" w:color="auto" w:fill="auto"/>
            <w:vAlign w:val="center"/>
          </w:tcPr>
          <w:p w14:paraId="2C95B279" w14:textId="77777777" w:rsidR="006C641F" w:rsidRPr="00937C8B" w:rsidRDefault="006C641F" w:rsidP="00425ADA">
            <w:pPr>
              <w:pStyle w:val="CTENumeracion"/>
              <w:ind w:left="0" w:firstLine="0"/>
              <w:jc w:val="center"/>
              <w:rPr>
                <w:rFonts w:cs="Arial"/>
                <w:sz w:val="18"/>
              </w:rPr>
            </w:pPr>
            <w:r>
              <w:rPr>
                <w:sz w:val="18"/>
              </w:rPr>
              <w:t>28</w:t>
            </w:r>
          </w:p>
        </w:tc>
        <w:tc>
          <w:tcPr>
            <w:tcW w:w="624" w:type="dxa"/>
            <w:tcBorders>
              <w:left w:val="nil"/>
              <w:bottom w:val="nil"/>
              <w:right w:val="nil"/>
            </w:tcBorders>
            <w:shd w:val="clear" w:color="auto" w:fill="auto"/>
            <w:vAlign w:val="center"/>
          </w:tcPr>
          <w:p w14:paraId="05EC9D8F" w14:textId="77777777" w:rsidR="006C641F" w:rsidRPr="00937C8B" w:rsidRDefault="006C641F" w:rsidP="00425ADA">
            <w:pPr>
              <w:pStyle w:val="CTENumeracion"/>
              <w:ind w:left="0" w:firstLine="0"/>
              <w:jc w:val="center"/>
              <w:rPr>
                <w:rFonts w:cs="Arial"/>
                <w:sz w:val="18"/>
              </w:rPr>
            </w:pPr>
            <w:r>
              <w:rPr>
                <w:sz w:val="18"/>
              </w:rPr>
              <w:t>32</w:t>
            </w:r>
          </w:p>
        </w:tc>
        <w:tc>
          <w:tcPr>
            <w:tcW w:w="623" w:type="dxa"/>
            <w:tcBorders>
              <w:left w:val="nil"/>
              <w:bottom w:val="nil"/>
              <w:right w:val="nil"/>
            </w:tcBorders>
            <w:shd w:val="clear" w:color="auto" w:fill="auto"/>
            <w:vAlign w:val="center"/>
          </w:tcPr>
          <w:p w14:paraId="61652301" w14:textId="77777777" w:rsidR="006C641F" w:rsidRPr="00937C8B" w:rsidRDefault="006C641F" w:rsidP="00425ADA">
            <w:pPr>
              <w:pStyle w:val="CTENumeracion"/>
              <w:ind w:left="0" w:firstLine="0"/>
              <w:jc w:val="center"/>
              <w:rPr>
                <w:rFonts w:cs="Arial"/>
                <w:sz w:val="18"/>
              </w:rPr>
            </w:pPr>
            <w:r>
              <w:rPr>
                <w:sz w:val="18"/>
              </w:rPr>
              <w:t>38</w:t>
            </w:r>
          </w:p>
        </w:tc>
        <w:tc>
          <w:tcPr>
            <w:tcW w:w="626" w:type="dxa"/>
            <w:tcBorders>
              <w:left w:val="nil"/>
              <w:bottom w:val="nil"/>
              <w:right w:val="nil"/>
            </w:tcBorders>
            <w:shd w:val="clear" w:color="auto" w:fill="auto"/>
            <w:vAlign w:val="center"/>
          </w:tcPr>
          <w:p w14:paraId="7FFCD612" w14:textId="77777777" w:rsidR="006C641F" w:rsidRPr="00937C8B" w:rsidRDefault="006C641F" w:rsidP="00425ADA">
            <w:pPr>
              <w:pStyle w:val="CTENumeracion"/>
              <w:ind w:left="0" w:firstLine="0"/>
              <w:jc w:val="center"/>
              <w:rPr>
                <w:rFonts w:cs="Arial"/>
                <w:sz w:val="18"/>
              </w:rPr>
            </w:pPr>
            <w:r>
              <w:rPr>
                <w:sz w:val="18"/>
              </w:rPr>
              <w:t>43</w:t>
            </w:r>
          </w:p>
        </w:tc>
      </w:tr>
      <w:tr w:rsidR="006C641F" w:rsidRPr="00937C8B" w14:paraId="5F6316C8" w14:textId="77777777" w:rsidTr="00E47AFE">
        <w:trPr>
          <w:jc w:val="center"/>
        </w:trPr>
        <w:tc>
          <w:tcPr>
            <w:tcW w:w="3345" w:type="dxa"/>
            <w:tcBorders>
              <w:top w:val="nil"/>
              <w:left w:val="nil"/>
              <w:bottom w:val="nil"/>
            </w:tcBorders>
            <w:shd w:val="clear" w:color="auto" w:fill="auto"/>
            <w:vAlign w:val="center"/>
          </w:tcPr>
          <w:p w14:paraId="13A033CF" w14:textId="66C301E8" w:rsidR="006C641F" w:rsidRPr="00937C8B" w:rsidRDefault="006C641F" w:rsidP="00425ADA">
            <w:pPr>
              <w:pStyle w:val="CTENumeracion"/>
              <w:ind w:left="0" w:firstLine="0"/>
              <w:rPr>
                <w:rFonts w:cs="Arial"/>
                <w:b/>
                <w:sz w:val="18"/>
              </w:rPr>
            </w:pPr>
            <w:r>
              <w:rPr>
                <w:b/>
                <w:sz w:val="18"/>
              </w:rPr>
              <w:lastRenderedPageBreak/>
              <w:t>Changements d</w:t>
            </w:r>
            <w:r w:rsidR="00EA7588">
              <w:rPr>
                <w:b/>
                <w:sz w:val="18"/>
              </w:rPr>
              <w:t>’</w:t>
            </w:r>
            <w:r>
              <w:rPr>
                <w:b/>
                <w:sz w:val="18"/>
              </w:rPr>
              <w:t>usage à résidentiel privé et rénovations</w:t>
            </w:r>
          </w:p>
        </w:tc>
        <w:tc>
          <w:tcPr>
            <w:tcW w:w="623" w:type="dxa"/>
            <w:tcBorders>
              <w:top w:val="nil"/>
              <w:bottom w:val="nil"/>
              <w:right w:val="nil"/>
            </w:tcBorders>
            <w:shd w:val="clear" w:color="auto" w:fill="auto"/>
            <w:vAlign w:val="center"/>
          </w:tcPr>
          <w:p w14:paraId="03F042E7" w14:textId="77777777" w:rsidR="006C641F" w:rsidRPr="00937C8B" w:rsidRDefault="006C641F" w:rsidP="00425ADA">
            <w:pPr>
              <w:pStyle w:val="CTENumeracion"/>
              <w:ind w:left="0" w:firstLine="0"/>
              <w:jc w:val="center"/>
              <w:rPr>
                <w:rFonts w:cs="Arial"/>
                <w:sz w:val="18"/>
              </w:rPr>
            </w:pPr>
            <w:r>
              <w:rPr>
                <w:sz w:val="18"/>
              </w:rPr>
              <w:t>40</w:t>
            </w:r>
          </w:p>
        </w:tc>
        <w:tc>
          <w:tcPr>
            <w:tcW w:w="624" w:type="dxa"/>
            <w:tcBorders>
              <w:top w:val="nil"/>
              <w:left w:val="nil"/>
              <w:bottom w:val="nil"/>
              <w:right w:val="nil"/>
            </w:tcBorders>
            <w:shd w:val="clear" w:color="auto" w:fill="auto"/>
            <w:vAlign w:val="center"/>
          </w:tcPr>
          <w:p w14:paraId="33433BF6" w14:textId="77777777" w:rsidR="006C641F" w:rsidRPr="00937C8B" w:rsidRDefault="006C641F" w:rsidP="00425ADA">
            <w:pPr>
              <w:pStyle w:val="CTENumeracion"/>
              <w:ind w:left="0" w:firstLine="0"/>
              <w:jc w:val="center"/>
              <w:rPr>
                <w:rFonts w:cs="Arial"/>
                <w:sz w:val="18"/>
              </w:rPr>
            </w:pPr>
            <w:r>
              <w:rPr>
                <w:sz w:val="18"/>
              </w:rPr>
              <w:t>50</w:t>
            </w:r>
          </w:p>
        </w:tc>
        <w:tc>
          <w:tcPr>
            <w:tcW w:w="624" w:type="dxa"/>
            <w:tcBorders>
              <w:top w:val="nil"/>
              <w:left w:val="nil"/>
              <w:bottom w:val="nil"/>
              <w:right w:val="nil"/>
            </w:tcBorders>
            <w:shd w:val="clear" w:color="auto" w:fill="auto"/>
            <w:vAlign w:val="center"/>
          </w:tcPr>
          <w:p w14:paraId="35600E01" w14:textId="77777777" w:rsidR="006C641F" w:rsidRPr="00937C8B" w:rsidRDefault="006C641F" w:rsidP="00425ADA">
            <w:pPr>
              <w:pStyle w:val="CTENumeracion"/>
              <w:ind w:left="0" w:firstLine="0"/>
              <w:jc w:val="center"/>
              <w:rPr>
                <w:rFonts w:cs="Arial"/>
                <w:sz w:val="18"/>
              </w:rPr>
            </w:pPr>
            <w:r>
              <w:rPr>
                <w:sz w:val="18"/>
              </w:rPr>
              <w:t>55</w:t>
            </w:r>
          </w:p>
        </w:tc>
        <w:tc>
          <w:tcPr>
            <w:tcW w:w="624" w:type="dxa"/>
            <w:tcBorders>
              <w:top w:val="nil"/>
              <w:left w:val="nil"/>
              <w:bottom w:val="nil"/>
              <w:right w:val="nil"/>
            </w:tcBorders>
            <w:shd w:val="clear" w:color="auto" w:fill="auto"/>
            <w:vAlign w:val="center"/>
          </w:tcPr>
          <w:p w14:paraId="41061AB3" w14:textId="77777777" w:rsidR="006C641F" w:rsidRPr="00937C8B" w:rsidRDefault="006C641F" w:rsidP="00425ADA">
            <w:pPr>
              <w:pStyle w:val="CTENumeracion"/>
              <w:ind w:left="0" w:firstLine="0"/>
              <w:jc w:val="center"/>
              <w:rPr>
                <w:rFonts w:cs="Arial"/>
                <w:sz w:val="18"/>
              </w:rPr>
            </w:pPr>
            <w:r>
              <w:rPr>
                <w:sz w:val="18"/>
              </w:rPr>
              <w:t>65</w:t>
            </w:r>
          </w:p>
        </w:tc>
        <w:tc>
          <w:tcPr>
            <w:tcW w:w="623" w:type="dxa"/>
            <w:tcBorders>
              <w:top w:val="nil"/>
              <w:left w:val="nil"/>
              <w:bottom w:val="nil"/>
              <w:right w:val="nil"/>
            </w:tcBorders>
            <w:shd w:val="clear" w:color="auto" w:fill="auto"/>
            <w:vAlign w:val="center"/>
          </w:tcPr>
          <w:p w14:paraId="223B12CE" w14:textId="77777777" w:rsidR="006C641F" w:rsidRPr="00937C8B" w:rsidRDefault="006C641F" w:rsidP="00425ADA">
            <w:pPr>
              <w:pStyle w:val="CTENumeracion"/>
              <w:ind w:left="0" w:firstLine="0"/>
              <w:jc w:val="center"/>
              <w:rPr>
                <w:rFonts w:cs="Arial"/>
                <w:sz w:val="18"/>
              </w:rPr>
            </w:pPr>
            <w:r>
              <w:rPr>
                <w:sz w:val="18"/>
              </w:rPr>
              <w:t>70</w:t>
            </w:r>
          </w:p>
        </w:tc>
        <w:tc>
          <w:tcPr>
            <w:tcW w:w="626" w:type="dxa"/>
            <w:tcBorders>
              <w:top w:val="nil"/>
              <w:left w:val="nil"/>
              <w:bottom w:val="nil"/>
              <w:right w:val="nil"/>
            </w:tcBorders>
            <w:shd w:val="clear" w:color="auto" w:fill="auto"/>
            <w:vAlign w:val="center"/>
          </w:tcPr>
          <w:p w14:paraId="4F4D3124" w14:textId="77777777" w:rsidR="006C641F" w:rsidRPr="00937C8B" w:rsidRDefault="006C641F" w:rsidP="00425ADA">
            <w:pPr>
              <w:pStyle w:val="CTENumeracion"/>
              <w:ind w:left="0" w:firstLine="0"/>
              <w:jc w:val="center"/>
              <w:rPr>
                <w:rFonts w:cs="Arial"/>
                <w:sz w:val="18"/>
              </w:rPr>
            </w:pPr>
            <w:r>
              <w:rPr>
                <w:sz w:val="18"/>
              </w:rPr>
              <w:t>80</w:t>
            </w:r>
          </w:p>
        </w:tc>
      </w:tr>
      <w:tr w:rsidR="006C641F" w:rsidRPr="00937C8B" w14:paraId="4B9C6188" w14:textId="77777777" w:rsidTr="00E47AFE">
        <w:trPr>
          <w:jc w:val="center"/>
        </w:trPr>
        <w:tc>
          <w:tcPr>
            <w:tcW w:w="7089" w:type="dxa"/>
            <w:gridSpan w:val="7"/>
            <w:tcBorders>
              <w:top w:val="nil"/>
              <w:left w:val="nil"/>
              <w:bottom w:val="nil"/>
              <w:right w:val="nil"/>
            </w:tcBorders>
            <w:shd w:val="clear" w:color="auto" w:fill="auto"/>
          </w:tcPr>
          <w:p w14:paraId="776DD54A" w14:textId="77777777" w:rsidR="006C641F" w:rsidRPr="00937C8B" w:rsidRDefault="006C641F" w:rsidP="00425ADA">
            <w:pPr>
              <w:pStyle w:val="CTETabla-nota"/>
              <w:ind w:left="0" w:firstLine="0"/>
            </w:pPr>
            <w:r>
              <w:t>En territoire extrapéninsulaire (îles Baléares, îles Canaries, Ceuta et Melilla), les valeurs du tableau seront multipliées par 1,25</w:t>
            </w:r>
          </w:p>
        </w:tc>
      </w:tr>
    </w:tbl>
    <w:p w14:paraId="49567CBE" w14:textId="77777777" w:rsidR="006C641F" w:rsidRPr="00937C8B" w:rsidRDefault="006C641F" w:rsidP="006C641F">
      <w:pPr>
        <w:pStyle w:val="CTENumeracion"/>
        <w:ind w:left="851" w:firstLine="0"/>
        <w:rPr>
          <w:rFonts w:cs="Arial"/>
          <w:b/>
          <w:sz w:val="18"/>
        </w:rPr>
      </w:pPr>
    </w:p>
    <w:p w14:paraId="15FC52CD" w14:textId="77777777" w:rsidR="006C641F" w:rsidRPr="00937C8B" w:rsidRDefault="006C641F" w:rsidP="00D27646">
      <w:pPr>
        <w:pStyle w:val="CTENumeracion"/>
        <w:keepNext/>
        <w:ind w:left="0" w:firstLine="0"/>
        <w:jc w:val="center"/>
        <w:rPr>
          <w:rFonts w:cs="Arial"/>
        </w:rPr>
      </w:pPr>
      <w:r>
        <w:rPr>
          <w:b/>
          <w:sz w:val="18"/>
        </w:rPr>
        <w:t>Tableau 3.1.b - HE0</w:t>
      </w:r>
    </w:p>
    <w:p w14:paraId="0C014AC8" w14:textId="77777777" w:rsidR="006C641F" w:rsidRPr="00937C8B" w:rsidRDefault="006C641F" w:rsidP="00D27646">
      <w:pPr>
        <w:pStyle w:val="CTENumeracion"/>
        <w:keepNext/>
        <w:ind w:left="0" w:firstLine="0"/>
        <w:jc w:val="center"/>
        <w:rPr>
          <w:rFonts w:cs="Arial"/>
        </w:rPr>
      </w:pPr>
      <w:r>
        <w:rPr>
          <w:b/>
          <w:sz w:val="18"/>
        </w:rPr>
        <w:t xml:space="preserve">Valeur limite </w:t>
      </w:r>
      <w:r>
        <w:rPr>
          <w:b/>
          <w:i/>
          <w:iCs/>
          <w:sz w:val="18"/>
        </w:rPr>
        <w:t>C</w:t>
      </w:r>
      <w:r>
        <w:rPr>
          <w:b/>
          <w:bCs/>
          <w:i/>
          <w:iCs/>
          <w:sz w:val="18"/>
          <w:vertAlign w:val="subscript"/>
        </w:rPr>
        <w:t xml:space="preserve">ep,nren,lim </w:t>
      </w:r>
      <w:r>
        <w:rPr>
          <w:b/>
          <w:sz w:val="18"/>
        </w:rPr>
        <w:t>[kW·h/m</w:t>
      </w:r>
      <w:r>
        <w:rPr>
          <w:b/>
          <w:sz w:val="18"/>
          <w:vertAlign w:val="superscript"/>
        </w:rPr>
        <w:t>2</w:t>
      </w:r>
      <w:r>
        <w:rPr>
          <w:b/>
          <w:sz w:val="18"/>
        </w:rPr>
        <w:t>·an] hors usage résidentiel privé</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1"/>
      </w:tblGrid>
      <w:tr w:rsidR="006C641F" w:rsidRPr="00937C8B" w14:paraId="67604D45" w14:textId="77777777" w:rsidTr="00E47AFE">
        <w:trPr>
          <w:jc w:val="center"/>
        </w:trPr>
        <w:tc>
          <w:tcPr>
            <w:tcW w:w="7086" w:type="dxa"/>
            <w:gridSpan w:val="6"/>
            <w:tcBorders>
              <w:top w:val="nil"/>
              <w:left w:val="nil"/>
              <w:bottom w:val="nil"/>
              <w:right w:val="nil"/>
            </w:tcBorders>
            <w:shd w:val="clear" w:color="auto" w:fill="auto"/>
          </w:tcPr>
          <w:p w14:paraId="289E9900" w14:textId="77777777" w:rsidR="006C641F" w:rsidRPr="00937C8B" w:rsidRDefault="006C641F" w:rsidP="00D27646">
            <w:pPr>
              <w:pStyle w:val="CTENumeracion"/>
              <w:keepNext/>
              <w:ind w:left="0" w:firstLine="0"/>
              <w:jc w:val="center"/>
              <w:rPr>
                <w:rFonts w:cs="Arial"/>
              </w:rPr>
            </w:pPr>
            <w:r>
              <w:rPr>
                <w:b/>
                <w:sz w:val="18"/>
              </w:rPr>
              <w:t>Zone climatique en hiver</w:t>
            </w:r>
          </w:p>
        </w:tc>
      </w:tr>
      <w:tr w:rsidR="006C641F" w:rsidRPr="00937C8B" w14:paraId="1CBFD7DD" w14:textId="77777777" w:rsidTr="00E47AFE">
        <w:trPr>
          <w:jc w:val="center"/>
        </w:trPr>
        <w:tc>
          <w:tcPr>
            <w:tcW w:w="1181" w:type="dxa"/>
            <w:tcBorders>
              <w:top w:val="nil"/>
              <w:left w:val="nil"/>
              <w:bottom w:val="single" w:sz="4" w:space="0" w:color="auto"/>
              <w:right w:val="nil"/>
            </w:tcBorders>
            <w:shd w:val="clear" w:color="auto" w:fill="auto"/>
          </w:tcPr>
          <w:p w14:paraId="748139B6" w14:textId="77777777" w:rsidR="006C641F" w:rsidRPr="00937C8B" w:rsidRDefault="006C641F" w:rsidP="00425ADA">
            <w:pPr>
              <w:pStyle w:val="CTENumeracion"/>
              <w:ind w:left="0" w:firstLine="0"/>
              <w:jc w:val="center"/>
              <w:rPr>
                <w:rFonts w:cs="Arial"/>
              </w:rPr>
            </w:pPr>
            <w:r>
              <w:rPr>
                <w:b/>
                <w:sz w:val="18"/>
              </w:rPr>
              <w:t>α</w:t>
            </w:r>
          </w:p>
        </w:tc>
        <w:tc>
          <w:tcPr>
            <w:tcW w:w="1181" w:type="dxa"/>
            <w:tcBorders>
              <w:top w:val="nil"/>
              <w:left w:val="nil"/>
              <w:bottom w:val="single" w:sz="4" w:space="0" w:color="auto"/>
              <w:right w:val="nil"/>
            </w:tcBorders>
            <w:shd w:val="clear" w:color="auto" w:fill="auto"/>
          </w:tcPr>
          <w:p w14:paraId="1C8FFFAB" w14:textId="77777777" w:rsidR="006C641F" w:rsidRPr="00937C8B" w:rsidRDefault="006C641F" w:rsidP="00425ADA">
            <w:pPr>
              <w:pStyle w:val="CTENumeracion"/>
              <w:ind w:left="0" w:firstLine="0"/>
              <w:jc w:val="center"/>
              <w:rPr>
                <w:rFonts w:cs="Arial"/>
              </w:rPr>
            </w:pPr>
            <w:r>
              <w:rPr>
                <w:b/>
                <w:sz w:val="18"/>
              </w:rPr>
              <w:t>A</w:t>
            </w:r>
          </w:p>
        </w:tc>
        <w:tc>
          <w:tcPr>
            <w:tcW w:w="1181" w:type="dxa"/>
            <w:tcBorders>
              <w:top w:val="nil"/>
              <w:left w:val="nil"/>
              <w:bottom w:val="single" w:sz="4" w:space="0" w:color="auto"/>
              <w:right w:val="nil"/>
            </w:tcBorders>
            <w:shd w:val="clear" w:color="auto" w:fill="auto"/>
          </w:tcPr>
          <w:p w14:paraId="5B500309" w14:textId="77777777" w:rsidR="006C641F" w:rsidRPr="00937C8B" w:rsidRDefault="006C641F" w:rsidP="00425ADA">
            <w:pPr>
              <w:pStyle w:val="CTENumeracion"/>
              <w:ind w:left="0" w:firstLine="0"/>
              <w:jc w:val="center"/>
              <w:rPr>
                <w:rFonts w:cs="Arial"/>
              </w:rPr>
            </w:pPr>
            <w:r>
              <w:rPr>
                <w:b/>
                <w:sz w:val="18"/>
              </w:rPr>
              <w:t>B</w:t>
            </w:r>
          </w:p>
        </w:tc>
        <w:tc>
          <w:tcPr>
            <w:tcW w:w="1181" w:type="dxa"/>
            <w:tcBorders>
              <w:top w:val="nil"/>
              <w:left w:val="nil"/>
              <w:bottom w:val="single" w:sz="4" w:space="0" w:color="auto"/>
              <w:right w:val="nil"/>
            </w:tcBorders>
            <w:shd w:val="clear" w:color="auto" w:fill="auto"/>
          </w:tcPr>
          <w:p w14:paraId="279147CA" w14:textId="77777777" w:rsidR="006C641F" w:rsidRPr="00937C8B" w:rsidRDefault="006C641F" w:rsidP="00425ADA">
            <w:pPr>
              <w:pStyle w:val="CTENumeracion"/>
              <w:ind w:left="0" w:firstLine="0"/>
              <w:jc w:val="center"/>
              <w:rPr>
                <w:rFonts w:cs="Arial"/>
              </w:rPr>
            </w:pPr>
            <w:r>
              <w:rPr>
                <w:b/>
                <w:sz w:val="18"/>
              </w:rPr>
              <w:t>C</w:t>
            </w:r>
          </w:p>
        </w:tc>
        <w:tc>
          <w:tcPr>
            <w:tcW w:w="1181" w:type="dxa"/>
            <w:tcBorders>
              <w:top w:val="nil"/>
              <w:left w:val="nil"/>
              <w:bottom w:val="single" w:sz="4" w:space="0" w:color="auto"/>
              <w:right w:val="nil"/>
            </w:tcBorders>
            <w:shd w:val="clear" w:color="auto" w:fill="auto"/>
          </w:tcPr>
          <w:p w14:paraId="0B7BC9DB" w14:textId="77777777" w:rsidR="006C641F" w:rsidRPr="00937C8B" w:rsidRDefault="006C641F" w:rsidP="00425ADA">
            <w:pPr>
              <w:pStyle w:val="CTENumeracion"/>
              <w:ind w:left="0" w:firstLine="0"/>
              <w:jc w:val="center"/>
              <w:rPr>
                <w:rFonts w:cs="Arial"/>
              </w:rPr>
            </w:pPr>
            <w:r>
              <w:rPr>
                <w:b/>
                <w:sz w:val="18"/>
              </w:rPr>
              <w:t>D</w:t>
            </w:r>
          </w:p>
        </w:tc>
        <w:tc>
          <w:tcPr>
            <w:tcW w:w="1181" w:type="dxa"/>
            <w:tcBorders>
              <w:top w:val="nil"/>
              <w:left w:val="nil"/>
              <w:bottom w:val="single" w:sz="4" w:space="0" w:color="auto"/>
              <w:right w:val="nil"/>
            </w:tcBorders>
            <w:shd w:val="clear" w:color="auto" w:fill="auto"/>
          </w:tcPr>
          <w:p w14:paraId="26FB9640" w14:textId="77777777" w:rsidR="006C641F" w:rsidRPr="00937C8B" w:rsidRDefault="006C641F" w:rsidP="00425ADA">
            <w:pPr>
              <w:pStyle w:val="CTENumeracion"/>
              <w:ind w:left="0" w:firstLine="0"/>
              <w:jc w:val="center"/>
              <w:rPr>
                <w:rFonts w:cs="Arial"/>
              </w:rPr>
            </w:pPr>
            <w:r>
              <w:rPr>
                <w:b/>
                <w:sz w:val="18"/>
              </w:rPr>
              <w:t>E</w:t>
            </w:r>
          </w:p>
        </w:tc>
      </w:tr>
      <w:tr w:rsidR="006C641F" w:rsidRPr="00937C8B" w14:paraId="3441E706" w14:textId="77777777" w:rsidTr="00E47AFE">
        <w:trPr>
          <w:jc w:val="center"/>
        </w:trPr>
        <w:tc>
          <w:tcPr>
            <w:tcW w:w="1181" w:type="dxa"/>
            <w:tcBorders>
              <w:left w:val="nil"/>
              <w:bottom w:val="nil"/>
              <w:right w:val="nil"/>
            </w:tcBorders>
            <w:shd w:val="clear" w:color="auto" w:fill="auto"/>
            <w:vAlign w:val="center"/>
          </w:tcPr>
          <w:p w14:paraId="06C8FF1F" w14:textId="77777777" w:rsidR="006C641F" w:rsidRPr="00937C8B" w:rsidRDefault="006C641F" w:rsidP="00425ADA">
            <w:pPr>
              <w:pStyle w:val="CTENumeracion"/>
              <w:ind w:left="0" w:firstLine="0"/>
              <w:jc w:val="center"/>
              <w:rPr>
                <w:rFonts w:cs="Arial"/>
              </w:rPr>
            </w:pPr>
            <w:r>
              <w:rPr>
                <w:sz w:val="18"/>
                <w:szCs w:val="18"/>
              </w:rPr>
              <w:t>70 + 8 · C</w:t>
            </w:r>
            <w:r>
              <w:rPr>
                <w:sz w:val="18"/>
                <w:szCs w:val="18"/>
                <w:vertAlign w:val="subscript"/>
              </w:rPr>
              <w:t>FI</w:t>
            </w:r>
          </w:p>
        </w:tc>
        <w:tc>
          <w:tcPr>
            <w:tcW w:w="1181" w:type="dxa"/>
            <w:tcBorders>
              <w:left w:val="nil"/>
              <w:bottom w:val="nil"/>
              <w:right w:val="nil"/>
            </w:tcBorders>
            <w:shd w:val="clear" w:color="auto" w:fill="auto"/>
            <w:vAlign w:val="center"/>
          </w:tcPr>
          <w:p w14:paraId="67F006D3" w14:textId="77777777" w:rsidR="006C641F" w:rsidRPr="00937C8B" w:rsidRDefault="006C641F" w:rsidP="00425ADA">
            <w:pPr>
              <w:pStyle w:val="CTENumeracion"/>
              <w:ind w:left="0" w:firstLine="0"/>
              <w:jc w:val="center"/>
              <w:rPr>
                <w:rFonts w:cs="Arial"/>
              </w:rPr>
            </w:pPr>
            <w:r>
              <w:rPr>
                <w:sz w:val="18"/>
                <w:szCs w:val="18"/>
              </w:rPr>
              <w:t>55 + 8 · C</w:t>
            </w:r>
            <w:r>
              <w:rPr>
                <w:sz w:val="18"/>
                <w:szCs w:val="18"/>
                <w:vertAlign w:val="subscript"/>
              </w:rPr>
              <w:t>FI</w:t>
            </w:r>
          </w:p>
        </w:tc>
        <w:tc>
          <w:tcPr>
            <w:tcW w:w="1181" w:type="dxa"/>
            <w:tcBorders>
              <w:left w:val="nil"/>
              <w:bottom w:val="nil"/>
              <w:right w:val="nil"/>
            </w:tcBorders>
            <w:shd w:val="clear" w:color="auto" w:fill="auto"/>
            <w:vAlign w:val="center"/>
          </w:tcPr>
          <w:p w14:paraId="7E42C030" w14:textId="77777777" w:rsidR="006C641F" w:rsidRPr="00937C8B" w:rsidRDefault="006C641F" w:rsidP="00425ADA">
            <w:pPr>
              <w:pStyle w:val="CTENumeracion"/>
              <w:ind w:left="0" w:firstLine="0"/>
              <w:jc w:val="center"/>
              <w:rPr>
                <w:rFonts w:cs="Arial"/>
              </w:rPr>
            </w:pPr>
            <w:r>
              <w:rPr>
                <w:sz w:val="18"/>
                <w:szCs w:val="18"/>
              </w:rPr>
              <w:t>50 + 8 · C</w:t>
            </w:r>
            <w:r>
              <w:rPr>
                <w:sz w:val="18"/>
                <w:szCs w:val="18"/>
                <w:vertAlign w:val="subscript"/>
              </w:rPr>
              <w:t>FI</w:t>
            </w:r>
          </w:p>
        </w:tc>
        <w:tc>
          <w:tcPr>
            <w:tcW w:w="1181" w:type="dxa"/>
            <w:tcBorders>
              <w:left w:val="nil"/>
              <w:bottom w:val="nil"/>
              <w:right w:val="nil"/>
            </w:tcBorders>
            <w:shd w:val="clear" w:color="auto" w:fill="auto"/>
            <w:vAlign w:val="center"/>
          </w:tcPr>
          <w:p w14:paraId="61D3F516" w14:textId="77777777" w:rsidR="006C641F" w:rsidRPr="00937C8B" w:rsidRDefault="006C641F" w:rsidP="00425ADA">
            <w:pPr>
              <w:pStyle w:val="CTENumeracion"/>
              <w:ind w:left="0" w:firstLine="0"/>
              <w:jc w:val="center"/>
              <w:rPr>
                <w:rFonts w:cs="Arial"/>
              </w:rPr>
            </w:pPr>
            <w:r>
              <w:rPr>
                <w:sz w:val="18"/>
                <w:szCs w:val="18"/>
              </w:rPr>
              <w:t>35 + 8 · C</w:t>
            </w:r>
            <w:r>
              <w:rPr>
                <w:sz w:val="18"/>
                <w:szCs w:val="18"/>
                <w:vertAlign w:val="subscript"/>
              </w:rPr>
              <w:t>FI</w:t>
            </w:r>
          </w:p>
        </w:tc>
        <w:tc>
          <w:tcPr>
            <w:tcW w:w="1181" w:type="dxa"/>
            <w:tcBorders>
              <w:left w:val="nil"/>
              <w:bottom w:val="nil"/>
              <w:right w:val="nil"/>
            </w:tcBorders>
            <w:shd w:val="clear" w:color="auto" w:fill="auto"/>
            <w:vAlign w:val="center"/>
          </w:tcPr>
          <w:p w14:paraId="1B6E2C61" w14:textId="77777777" w:rsidR="006C641F" w:rsidRPr="00937C8B" w:rsidRDefault="006C641F" w:rsidP="00425ADA">
            <w:pPr>
              <w:pStyle w:val="CTENumeracion"/>
              <w:ind w:left="0" w:firstLine="0"/>
              <w:jc w:val="center"/>
              <w:rPr>
                <w:rFonts w:cs="Arial"/>
              </w:rPr>
            </w:pPr>
            <w:r>
              <w:rPr>
                <w:sz w:val="18"/>
                <w:szCs w:val="18"/>
              </w:rPr>
              <w:t>20 + 8 · C</w:t>
            </w:r>
            <w:r>
              <w:rPr>
                <w:sz w:val="18"/>
                <w:szCs w:val="18"/>
                <w:vertAlign w:val="subscript"/>
              </w:rPr>
              <w:t>FI</w:t>
            </w:r>
          </w:p>
        </w:tc>
        <w:tc>
          <w:tcPr>
            <w:tcW w:w="1181" w:type="dxa"/>
            <w:tcBorders>
              <w:left w:val="nil"/>
              <w:bottom w:val="nil"/>
              <w:right w:val="nil"/>
            </w:tcBorders>
            <w:shd w:val="clear" w:color="auto" w:fill="auto"/>
            <w:vAlign w:val="center"/>
          </w:tcPr>
          <w:p w14:paraId="6CA9417A" w14:textId="77777777" w:rsidR="006C641F" w:rsidRPr="00937C8B" w:rsidRDefault="006C641F" w:rsidP="00425ADA">
            <w:pPr>
              <w:pStyle w:val="CTENumeracion"/>
              <w:ind w:left="0" w:firstLine="0"/>
              <w:jc w:val="center"/>
              <w:rPr>
                <w:rFonts w:cs="Arial"/>
              </w:rPr>
            </w:pPr>
            <w:r>
              <w:rPr>
                <w:sz w:val="18"/>
                <w:szCs w:val="18"/>
              </w:rPr>
              <w:t>10 + 8 · C</w:t>
            </w:r>
            <w:r>
              <w:rPr>
                <w:sz w:val="18"/>
                <w:szCs w:val="18"/>
                <w:vertAlign w:val="subscript"/>
              </w:rPr>
              <w:t>FI</w:t>
            </w:r>
          </w:p>
        </w:tc>
      </w:tr>
      <w:tr w:rsidR="006C641F" w:rsidRPr="00937C8B" w14:paraId="7C761529" w14:textId="77777777" w:rsidTr="00E47AFE">
        <w:trPr>
          <w:jc w:val="center"/>
        </w:trPr>
        <w:tc>
          <w:tcPr>
            <w:tcW w:w="7086" w:type="dxa"/>
            <w:gridSpan w:val="6"/>
            <w:tcBorders>
              <w:top w:val="nil"/>
              <w:left w:val="nil"/>
              <w:bottom w:val="nil"/>
              <w:right w:val="nil"/>
            </w:tcBorders>
            <w:shd w:val="clear" w:color="auto" w:fill="auto"/>
          </w:tcPr>
          <w:p w14:paraId="5F4894D7" w14:textId="77777777" w:rsidR="006C641F" w:rsidRPr="00937C8B" w:rsidRDefault="006C641F" w:rsidP="00425ADA">
            <w:pPr>
              <w:pStyle w:val="CTETabla-nota"/>
              <w:ind w:left="0" w:firstLine="0"/>
            </w:pPr>
            <w:r>
              <w:t>C</w:t>
            </w:r>
            <w:r>
              <w:rPr>
                <w:vertAlign w:val="subscript"/>
              </w:rPr>
              <w:t>FI</w:t>
            </w:r>
            <w:r>
              <w:t xml:space="preserve">: </w:t>
            </w:r>
            <w:r>
              <w:rPr>
                <w:i/>
              </w:rPr>
              <w:t>Charge interne moyenne</w:t>
            </w:r>
            <w:r>
              <w:t>[W/m</w:t>
            </w:r>
            <w:r>
              <w:rPr>
                <w:vertAlign w:val="superscript"/>
              </w:rPr>
              <w:t>2</w:t>
            </w:r>
            <w:r>
              <w:t>]</w:t>
            </w:r>
          </w:p>
          <w:p w14:paraId="7E82D6C4" w14:textId="77777777" w:rsidR="006C641F" w:rsidRPr="00937C8B" w:rsidRDefault="006C641F" w:rsidP="00E47AFE">
            <w:pPr>
              <w:pStyle w:val="CTETabla-nota"/>
              <w:ind w:left="0" w:firstLine="0"/>
            </w:pPr>
            <w:r>
              <w:t>En territoire extrapéninsulaire (îles Baléares, îles Canaries, Ceuta et Melilla), les résultats seront multipliés par 1,40</w:t>
            </w:r>
          </w:p>
        </w:tc>
      </w:tr>
    </w:tbl>
    <w:p w14:paraId="5916BEC1" w14:textId="77777777" w:rsidR="00E47AFE" w:rsidRDefault="00E47AFE" w:rsidP="006C641F">
      <w:pPr>
        <w:pStyle w:val="CTENumeracion"/>
        <w:rPr>
          <w:rFonts w:cs="Arial"/>
          <w:sz w:val="22"/>
          <w:szCs w:val="22"/>
        </w:rPr>
      </w:pPr>
    </w:p>
    <w:p w14:paraId="58A0CB80" w14:textId="4E1CB95D" w:rsidR="006C641F" w:rsidRPr="00937C8B" w:rsidRDefault="006C641F" w:rsidP="006C641F">
      <w:pPr>
        <w:pStyle w:val="CTENumeracion"/>
        <w:rPr>
          <w:rFonts w:cs="Arial"/>
          <w:sz w:val="22"/>
          <w:szCs w:val="22"/>
        </w:rPr>
      </w:pPr>
      <w:r>
        <w:rPr>
          <w:sz w:val="22"/>
          <w:szCs w:val="22"/>
        </w:rPr>
        <w:t>2</w:t>
      </w:r>
      <w:r>
        <w:rPr>
          <w:sz w:val="22"/>
          <w:szCs w:val="22"/>
        </w:rPr>
        <w:tab/>
        <w:t>Dans les bâtiments disposant d’unités à usage résidentiel privé et d</w:t>
      </w:r>
      <w:r w:rsidR="00EA7588">
        <w:rPr>
          <w:sz w:val="22"/>
          <w:szCs w:val="22"/>
        </w:rPr>
        <w:t>’</w:t>
      </w:r>
      <w:r>
        <w:rPr>
          <w:sz w:val="22"/>
          <w:szCs w:val="22"/>
        </w:rPr>
        <w:t xml:space="preserve">autres unités à usage différent, la valeur limite de la </w:t>
      </w:r>
      <w:r>
        <w:rPr>
          <w:i/>
          <w:iCs/>
          <w:sz w:val="22"/>
          <w:szCs w:val="22"/>
        </w:rPr>
        <w:t>consommation d</w:t>
      </w:r>
      <w:r w:rsidR="00EA7588">
        <w:rPr>
          <w:i/>
          <w:iCs/>
          <w:sz w:val="22"/>
          <w:szCs w:val="22"/>
        </w:rPr>
        <w:t>’</w:t>
      </w:r>
      <w:r>
        <w:rPr>
          <w:i/>
          <w:iCs/>
          <w:sz w:val="22"/>
          <w:szCs w:val="22"/>
        </w:rPr>
        <w:t>énergie primaire non renouvelable</w:t>
      </w:r>
      <w:r>
        <w:rPr>
          <w:sz w:val="22"/>
          <w:szCs w:val="22"/>
        </w:rPr>
        <w:t xml:space="preserve"> (</w:t>
      </w:r>
      <w:r>
        <w:rPr>
          <w:iCs/>
          <w:sz w:val="22"/>
          <w:szCs w:val="22"/>
        </w:rPr>
        <w:t>C</w:t>
      </w:r>
      <w:r>
        <w:rPr>
          <w:iCs/>
          <w:sz w:val="22"/>
          <w:szCs w:val="22"/>
          <w:vertAlign w:val="subscript"/>
        </w:rPr>
        <w:t>ep</w:t>
      </w:r>
      <w:r>
        <w:rPr>
          <w:iCs/>
          <w:sz w:val="22"/>
          <w:szCs w:val="22"/>
        </w:rPr>
        <w:t>,</w:t>
      </w:r>
      <w:r>
        <w:rPr>
          <w:iCs/>
          <w:sz w:val="22"/>
          <w:szCs w:val="22"/>
          <w:vertAlign w:val="subscript"/>
        </w:rPr>
        <w:t>nren,lim</w:t>
      </w:r>
      <w:r>
        <w:rPr>
          <w:sz w:val="22"/>
          <w:szCs w:val="22"/>
        </w:rPr>
        <w:t>) doit être appliquée indépendamment pour chaque partie du bâtiment selon son usage.</w:t>
      </w:r>
    </w:p>
    <w:p w14:paraId="2BABE217" w14:textId="77777777" w:rsidR="006C641F" w:rsidRPr="00937C8B" w:rsidRDefault="006C641F" w:rsidP="009467D5">
      <w:pPr>
        <w:pStyle w:val="CteTtulo3"/>
      </w:pPr>
      <w:bookmarkStart w:id="38" w:name="Sección_HE0_Cuantificacion_CEPT"/>
      <w:bookmarkStart w:id="39" w:name="_Toc530395234"/>
      <w:bookmarkStart w:id="40" w:name="_Toc39157905"/>
      <w:bookmarkEnd w:id="38"/>
      <w:r>
        <w:t>3.2</w:t>
      </w:r>
      <w:r>
        <w:tab/>
        <w:t>Consommation d’énergie primaire totale</w:t>
      </w:r>
      <w:bookmarkEnd w:id="39"/>
      <w:bookmarkEnd w:id="40"/>
    </w:p>
    <w:p w14:paraId="7C0D581B" w14:textId="7F1FC30D" w:rsidR="0022053B" w:rsidRPr="00937C8B" w:rsidRDefault="006C641F" w:rsidP="00D27646">
      <w:pPr>
        <w:pStyle w:val="CTENumeracion"/>
        <w:keepNext/>
        <w:rPr>
          <w:rFonts w:cs="Arial"/>
          <w:sz w:val="22"/>
          <w:szCs w:val="22"/>
        </w:rPr>
      </w:pPr>
      <w:r>
        <w:rPr>
          <w:sz w:val="22"/>
          <w:szCs w:val="22"/>
        </w:rPr>
        <w:t>1</w:t>
      </w:r>
      <w:r>
        <w:rPr>
          <w:sz w:val="22"/>
          <w:szCs w:val="22"/>
        </w:rPr>
        <w:tab/>
        <w:t xml:space="preserve">La </w:t>
      </w:r>
      <w:r>
        <w:rPr>
          <w:i/>
          <w:iCs/>
          <w:sz w:val="22"/>
          <w:szCs w:val="22"/>
        </w:rPr>
        <w:t>consommation d’énergie primaire totale</w:t>
      </w:r>
      <w:r>
        <w:rPr>
          <w:iCs/>
          <w:sz w:val="22"/>
          <w:szCs w:val="22"/>
        </w:rPr>
        <w:t xml:space="preserve"> (C</w:t>
      </w:r>
      <w:r>
        <w:rPr>
          <w:iCs/>
          <w:sz w:val="22"/>
          <w:szCs w:val="22"/>
          <w:vertAlign w:val="subscript"/>
        </w:rPr>
        <w:t>ep</w:t>
      </w:r>
      <w:r>
        <w:rPr>
          <w:iCs/>
          <w:sz w:val="22"/>
          <w:szCs w:val="22"/>
        </w:rPr>
        <w:t>,</w:t>
      </w:r>
      <w:r>
        <w:rPr>
          <w:iCs/>
          <w:sz w:val="22"/>
          <w:szCs w:val="22"/>
          <w:vertAlign w:val="subscript"/>
        </w:rPr>
        <w:t>tot</w:t>
      </w:r>
      <w:r>
        <w:rPr>
          <w:iCs/>
          <w:sz w:val="22"/>
          <w:szCs w:val="22"/>
        </w:rPr>
        <w:t xml:space="preserve">) </w:t>
      </w:r>
      <w:r>
        <w:rPr>
          <w:sz w:val="22"/>
          <w:szCs w:val="22"/>
        </w:rPr>
        <w:t>des espaces contenus à l</w:t>
      </w:r>
      <w:r w:rsidR="00EA7588">
        <w:rPr>
          <w:sz w:val="22"/>
          <w:szCs w:val="22"/>
        </w:rPr>
        <w:t>’</w:t>
      </w:r>
      <w:r>
        <w:rPr>
          <w:sz w:val="22"/>
          <w:szCs w:val="22"/>
        </w:rPr>
        <w:t>intérieur de l’</w:t>
      </w:r>
      <w:r>
        <w:rPr>
          <w:i/>
          <w:sz w:val="22"/>
          <w:szCs w:val="22"/>
        </w:rPr>
        <w:t xml:space="preserve">enceinte thermique </w:t>
      </w:r>
      <w:r>
        <w:rPr>
          <w:sz w:val="22"/>
          <w:szCs w:val="22"/>
        </w:rPr>
        <w:t>du bâtiment ou, le cas échéant, de la partie du bâtiment concernée, doit rester inférieure à la limite (</w:t>
      </w:r>
      <w:r>
        <w:rPr>
          <w:i/>
          <w:iCs/>
          <w:sz w:val="22"/>
          <w:szCs w:val="22"/>
        </w:rPr>
        <w:t>C</w:t>
      </w:r>
      <w:r>
        <w:rPr>
          <w:i/>
          <w:iCs/>
          <w:sz w:val="22"/>
          <w:szCs w:val="22"/>
          <w:vertAlign w:val="subscript"/>
        </w:rPr>
        <w:t>ep,tot,lim</w:t>
      </w:r>
      <w:r>
        <w:rPr>
          <w:sz w:val="22"/>
          <w:szCs w:val="22"/>
        </w:rPr>
        <w:t>) donnée par le tableau 3.2.a-HE0 ou 3.2.b-HE0:</w:t>
      </w:r>
    </w:p>
    <w:p w14:paraId="26F9F627" w14:textId="77777777" w:rsidR="0084739B" w:rsidRPr="00937C8B" w:rsidRDefault="0084739B" w:rsidP="00D27646">
      <w:pPr>
        <w:pStyle w:val="CTENumeracion"/>
        <w:keepNext/>
        <w:jc w:val="center"/>
        <w:rPr>
          <w:rFonts w:cs="Arial"/>
          <w:b/>
          <w:sz w:val="18"/>
        </w:rPr>
      </w:pPr>
    </w:p>
    <w:p w14:paraId="5E64F0D6" w14:textId="77777777" w:rsidR="006C641F" w:rsidRPr="00937C8B" w:rsidRDefault="006C641F" w:rsidP="00D27646">
      <w:pPr>
        <w:pStyle w:val="CTENumeracion"/>
        <w:keepNext/>
        <w:jc w:val="center"/>
        <w:rPr>
          <w:rFonts w:cs="Arial"/>
          <w:b/>
          <w:sz w:val="18"/>
        </w:rPr>
      </w:pPr>
      <w:r>
        <w:rPr>
          <w:b/>
          <w:sz w:val="18"/>
        </w:rPr>
        <w:t>Tableau 3.2.a - HE0</w:t>
      </w:r>
    </w:p>
    <w:p w14:paraId="61782432" w14:textId="77777777" w:rsidR="006C641F" w:rsidRPr="00937C8B" w:rsidRDefault="006C641F" w:rsidP="00D27646">
      <w:pPr>
        <w:pStyle w:val="CTENumeracion"/>
        <w:keepNext/>
        <w:spacing w:after="120"/>
        <w:ind w:left="425" w:firstLine="0"/>
        <w:jc w:val="center"/>
        <w:rPr>
          <w:rFonts w:cs="Arial"/>
          <w:b/>
          <w:sz w:val="18"/>
        </w:rPr>
      </w:pPr>
      <w:r>
        <w:rPr>
          <w:b/>
          <w:sz w:val="18"/>
        </w:rPr>
        <w:t xml:space="preserve">Valeur limite </w:t>
      </w:r>
      <w:r>
        <w:rPr>
          <w:b/>
          <w:i/>
          <w:iCs/>
          <w:sz w:val="18"/>
        </w:rPr>
        <w:t>C</w:t>
      </w:r>
      <w:r>
        <w:rPr>
          <w:b/>
          <w:bCs/>
          <w:i/>
          <w:iCs/>
          <w:sz w:val="18"/>
          <w:vertAlign w:val="subscript"/>
        </w:rPr>
        <w:t xml:space="preserve">ep,tot,lim </w:t>
      </w:r>
      <w:r>
        <w:rPr>
          <w:b/>
          <w:sz w:val="18"/>
        </w:rPr>
        <w:t>[kW·h/m</w:t>
      </w:r>
      <w:r>
        <w:rPr>
          <w:b/>
          <w:sz w:val="18"/>
          <w:vertAlign w:val="superscript"/>
        </w:rPr>
        <w:t>2</w:t>
      </w:r>
      <w:r>
        <w:rPr>
          <w:b/>
          <w:sz w:val="18"/>
        </w:rPr>
        <w:t>·an] pour un usage résidentiel privé</w:t>
      </w:r>
    </w:p>
    <w:tbl>
      <w:tblPr>
        <w:tblW w:w="6938" w:type="dxa"/>
        <w:jc w:val="center"/>
        <w:tblBorders>
          <w:bottom w:val="single" w:sz="2" w:space="0" w:color="000001"/>
          <w:right w:val="single" w:sz="2" w:space="0" w:color="000001"/>
          <w:insideH w:val="single" w:sz="2" w:space="0" w:color="000001"/>
          <w:insideV w:val="single" w:sz="2" w:space="0" w:color="000001"/>
        </w:tblBorders>
        <w:tblCellMar>
          <w:left w:w="0" w:type="dxa"/>
          <w:right w:w="0" w:type="dxa"/>
        </w:tblCellMar>
        <w:tblLook w:val="04A0" w:firstRow="1" w:lastRow="0" w:firstColumn="1" w:lastColumn="0" w:noHBand="0" w:noVBand="1"/>
      </w:tblPr>
      <w:tblGrid>
        <w:gridCol w:w="3547"/>
        <w:gridCol w:w="566"/>
        <w:gridCol w:w="566"/>
        <w:gridCol w:w="567"/>
        <w:gridCol w:w="567"/>
        <w:gridCol w:w="567"/>
        <w:gridCol w:w="558"/>
      </w:tblGrid>
      <w:tr w:rsidR="006C641F" w:rsidRPr="00937C8B" w14:paraId="462934D4" w14:textId="77777777" w:rsidTr="00E47AFE">
        <w:trPr>
          <w:cantSplit/>
          <w:jc w:val="center"/>
        </w:trPr>
        <w:tc>
          <w:tcPr>
            <w:tcW w:w="3546" w:type="dxa"/>
            <w:vMerge w:val="restart"/>
            <w:tcBorders>
              <w:bottom w:val="single" w:sz="2" w:space="0" w:color="000001"/>
              <w:right w:val="single" w:sz="2" w:space="0" w:color="000001"/>
            </w:tcBorders>
            <w:shd w:val="clear" w:color="auto" w:fill="FFFFFF"/>
            <w:vAlign w:val="center"/>
          </w:tcPr>
          <w:p w14:paraId="591185ED" w14:textId="77777777" w:rsidR="006C641F" w:rsidRPr="00937C8B" w:rsidRDefault="006C641F" w:rsidP="00D27646">
            <w:pPr>
              <w:pStyle w:val="CTEtabla-texto"/>
              <w:keepNext/>
              <w:spacing w:line="252" w:lineRule="auto"/>
              <w:rPr>
                <w:rFonts w:cs="Arial"/>
                <w:b/>
                <w:bCs/>
              </w:rPr>
            </w:pPr>
          </w:p>
        </w:tc>
        <w:tc>
          <w:tcPr>
            <w:tcW w:w="3391" w:type="dxa"/>
            <w:gridSpan w:val="6"/>
            <w:tcBorders>
              <w:top w:val="nil"/>
              <w:left w:val="single" w:sz="2" w:space="0" w:color="000001"/>
              <w:bottom w:val="nil"/>
              <w:right w:val="nil"/>
            </w:tcBorders>
            <w:shd w:val="clear" w:color="auto" w:fill="FFFFFF"/>
          </w:tcPr>
          <w:p w14:paraId="104BC74B" w14:textId="77777777" w:rsidR="006C641F" w:rsidRPr="00937C8B" w:rsidRDefault="006C641F" w:rsidP="00D27646">
            <w:pPr>
              <w:pStyle w:val="CTEtabla-texto"/>
              <w:keepNext/>
              <w:spacing w:line="252" w:lineRule="auto"/>
              <w:rPr>
                <w:rFonts w:cs="Arial"/>
                <w:b/>
              </w:rPr>
            </w:pPr>
            <w:r>
              <w:rPr>
                <w:b/>
              </w:rPr>
              <w:t>Zone climatique en hiver</w:t>
            </w:r>
          </w:p>
        </w:tc>
      </w:tr>
      <w:tr w:rsidR="006C641F" w:rsidRPr="00937C8B" w14:paraId="414BD65F" w14:textId="77777777" w:rsidTr="00E47AFE">
        <w:trPr>
          <w:cantSplit/>
          <w:jc w:val="center"/>
        </w:trPr>
        <w:tc>
          <w:tcPr>
            <w:tcW w:w="3546" w:type="dxa"/>
            <w:vMerge/>
            <w:tcBorders>
              <w:top w:val="single" w:sz="2" w:space="0" w:color="000001"/>
              <w:bottom w:val="single" w:sz="2" w:space="0" w:color="000001"/>
              <w:right w:val="single" w:sz="2" w:space="0" w:color="000001"/>
            </w:tcBorders>
            <w:shd w:val="clear" w:color="auto" w:fill="auto"/>
            <w:tcMar>
              <w:left w:w="12" w:type="dxa"/>
              <w:right w:w="10" w:type="dxa"/>
            </w:tcMar>
            <w:vAlign w:val="center"/>
          </w:tcPr>
          <w:p w14:paraId="35DC85C7" w14:textId="77777777" w:rsidR="006C641F" w:rsidRPr="00937C8B" w:rsidRDefault="006C641F" w:rsidP="00D27646">
            <w:pPr>
              <w:keepNext/>
              <w:spacing w:line="252" w:lineRule="auto"/>
              <w:rPr>
                <w:rFonts w:ascii="Arial" w:eastAsia="Arial" w:hAnsi="Arial" w:cs="Arial"/>
                <w:b/>
                <w:bCs/>
                <w:sz w:val="18"/>
                <w:lang w:eastAsia="ar-SA"/>
              </w:rPr>
            </w:pPr>
          </w:p>
        </w:tc>
        <w:tc>
          <w:tcPr>
            <w:tcW w:w="566" w:type="dxa"/>
            <w:tcBorders>
              <w:top w:val="nil"/>
              <w:left w:val="single" w:sz="2" w:space="0" w:color="000001"/>
              <w:bottom w:val="single" w:sz="2" w:space="0" w:color="000001"/>
              <w:right w:val="nil"/>
            </w:tcBorders>
            <w:shd w:val="clear" w:color="auto" w:fill="FFFFFF"/>
          </w:tcPr>
          <w:p w14:paraId="6804F82F" w14:textId="77777777" w:rsidR="006C641F" w:rsidRPr="00937C8B" w:rsidRDefault="006C641F" w:rsidP="00D27646">
            <w:pPr>
              <w:pStyle w:val="CTEtabla-texto"/>
              <w:keepNext/>
              <w:spacing w:line="252" w:lineRule="auto"/>
              <w:rPr>
                <w:rFonts w:cs="Arial"/>
                <w:b/>
              </w:rPr>
            </w:pPr>
            <w:r>
              <w:rPr>
                <w:b/>
              </w:rPr>
              <w:t>α</w:t>
            </w:r>
          </w:p>
        </w:tc>
        <w:tc>
          <w:tcPr>
            <w:tcW w:w="566" w:type="dxa"/>
            <w:tcBorders>
              <w:top w:val="nil"/>
              <w:left w:val="nil"/>
              <w:bottom w:val="single" w:sz="2" w:space="0" w:color="000001"/>
              <w:right w:val="nil"/>
            </w:tcBorders>
            <w:shd w:val="clear" w:color="auto" w:fill="FFFFFF"/>
          </w:tcPr>
          <w:p w14:paraId="21B21B90" w14:textId="77777777" w:rsidR="006C641F" w:rsidRPr="00937C8B" w:rsidRDefault="006C641F" w:rsidP="00D27646">
            <w:pPr>
              <w:pStyle w:val="CTEtabla-texto"/>
              <w:keepNext/>
              <w:spacing w:line="252" w:lineRule="auto"/>
              <w:rPr>
                <w:rFonts w:cs="Arial"/>
                <w:b/>
              </w:rPr>
            </w:pPr>
            <w:r>
              <w:rPr>
                <w:b/>
              </w:rPr>
              <w:t>A</w:t>
            </w:r>
          </w:p>
        </w:tc>
        <w:tc>
          <w:tcPr>
            <w:tcW w:w="567" w:type="dxa"/>
            <w:tcBorders>
              <w:top w:val="nil"/>
              <w:left w:val="nil"/>
              <w:bottom w:val="single" w:sz="2" w:space="0" w:color="000001"/>
              <w:right w:val="nil"/>
            </w:tcBorders>
            <w:shd w:val="clear" w:color="auto" w:fill="FFFFFF"/>
          </w:tcPr>
          <w:p w14:paraId="48D819C9" w14:textId="77777777" w:rsidR="006C641F" w:rsidRPr="00937C8B" w:rsidRDefault="006C641F" w:rsidP="00D27646">
            <w:pPr>
              <w:pStyle w:val="CTEtabla-texto"/>
              <w:keepNext/>
              <w:spacing w:line="252" w:lineRule="auto"/>
              <w:rPr>
                <w:rFonts w:cs="Arial"/>
                <w:b/>
              </w:rPr>
            </w:pPr>
            <w:r>
              <w:rPr>
                <w:b/>
              </w:rPr>
              <w:t>B</w:t>
            </w:r>
          </w:p>
        </w:tc>
        <w:tc>
          <w:tcPr>
            <w:tcW w:w="567" w:type="dxa"/>
            <w:tcBorders>
              <w:top w:val="nil"/>
              <w:left w:val="nil"/>
              <w:bottom w:val="single" w:sz="2" w:space="0" w:color="000001"/>
              <w:right w:val="nil"/>
            </w:tcBorders>
            <w:shd w:val="clear" w:color="auto" w:fill="FFFFFF"/>
          </w:tcPr>
          <w:p w14:paraId="25620FE2" w14:textId="77777777" w:rsidR="006C641F" w:rsidRPr="00937C8B" w:rsidRDefault="006C641F" w:rsidP="00D27646">
            <w:pPr>
              <w:pStyle w:val="CTEtabla-texto"/>
              <w:keepNext/>
              <w:spacing w:line="252" w:lineRule="auto"/>
              <w:rPr>
                <w:rFonts w:cs="Arial"/>
                <w:b/>
              </w:rPr>
            </w:pPr>
            <w:r>
              <w:rPr>
                <w:b/>
              </w:rPr>
              <w:t>C</w:t>
            </w:r>
          </w:p>
        </w:tc>
        <w:tc>
          <w:tcPr>
            <w:tcW w:w="567" w:type="dxa"/>
            <w:tcBorders>
              <w:top w:val="nil"/>
              <w:left w:val="nil"/>
              <w:bottom w:val="single" w:sz="2" w:space="0" w:color="000001"/>
              <w:right w:val="nil"/>
            </w:tcBorders>
            <w:shd w:val="clear" w:color="auto" w:fill="FFFFFF"/>
          </w:tcPr>
          <w:p w14:paraId="3E081F1A" w14:textId="77777777" w:rsidR="006C641F" w:rsidRPr="00937C8B" w:rsidRDefault="006C641F" w:rsidP="00D27646">
            <w:pPr>
              <w:pStyle w:val="CTEtabla-texto"/>
              <w:keepNext/>
              <w:spacing w:line="252" w:lineRule="auto"/>
              <w:rPr>
                <w:rFonts w:cs="Arial"/>
                <w:b/>
              </w:rPr>
            </w:pPr>
            <w:r>
              <w:rPr>
                <w:b/>
              </w:rPr>
              <w:t>D</w:t>
            </w:r>
          </w:p>
        </w:tc>
        <w:tc>
          <w:tcPr>
            <w:tcW w:w="558" w:type="dxa"/>
            <w:tcBorders>
              <w:top w:val="nil"/>
              <w:left w:val="nil"/>
              <w:bottom w:val="single" w:sz="2" w:space="0" w:color="000001"/>
              <w:right w:val="nil"/>
            </w:tcBorders>
            <w:shd w:val="clear" w:color="auto" w:fill="FFFFFF"/>
          </w:tcPr>
          <w:p w14:paraId="589E05A8" w14:textId="77777777" w:rsidR="006C641F" w:rsidRPr="00937C8B" w:rsidRDefault="006C641F" w:rsidP="00D27646">
            <w:pPr>
              <w:pStyle w:val="CTEtabla-texto"/>
              <w:keepNext/>
              <w:spacing w:line="252" w:lineRule="auto"/>
              <w:rPr>
                <w:rFonts w:cs="Arial"/>
                <w:b/>
              </w:rPr>
            </w:pPr>
            <w:r>
              <w:rPr>
                <w:b/>
              </w:rPr>
              <w:t>E</w:t>
            </w:r>
          </w:p>
        </w:tc>
      </w:tr>
      <w:tr w:rsidR="006C641F" w:rsidRPr="00937C8B" w14:paraId="26730BEB" w14:textId="77777777" w:rsidTr="00E47AFE">
        <w:trPr>
          <w:cantSplit/>
          <w:jc w:val="center"/>
        </w:trPr>
        <w:tc>
          <w:tcPr>
            <w:tcW w:w="3546" w:type="dxa"/>
            <w:tcBorders>
              <w:top w:val="single" w:sz="2" w:space="0" w:color="000001"/>
              <w:left w:val="nil"/>
              <w:bottom w:val="nil"/>
              <w:right w:val="single" w:sz="2" w:space="0" w:color="000001"/>
            </w:tcBorders>
            <w:shd w:val="clear" w:color="auto" w:fill="FFFFFF"/>
            <w:tcMar>
              <w:top w:w="55" w:type="dxa"/>
              <w:left w:w="46" w:type="dxa"/>
              <w:bottom w:w="55" w:type="dxa"/>
              <w:right w:w="55" w:type="dxa"/>
            </w:tcMar>
            <w:vAlign w:val="center"/>
          </w:tcPr>
          <w:p w14:paraId="156BDA46" w14:textId="77777777" w:rsidR="006C641F" w:rsidRPr="00937C8B" w:rsidRDefault="006C641F" w:rsidP="006C641F">
            <w:pPr>
              <w:pStyle w:val="CTEtabla-texto"/>
              <w:keepNext/>
              <w:spacing w:line="252" w:lineRule="auto"/>
              <w:jc w:val="left"/>
              <w:rPr>
                <w:rFonts w:cs="Arial"/>
                <w:b/>
              </w:rPr>
            </w:pPr>
            <w:r>
              <w:rPr>
                <w:b/>
              </w:rPr>
              <w:t>Bâtiments neufs et extensions</w:t>
            </w:r>
          </w:p>
        </w:tc>
        <w:tc>
          <w:tcPr>
            <w:tcW w:w="566" w:type="dxa"/>
            <w:tcBorders>
              <w:top w:val="single" w:sz="2" w:space="0" w:color="000001"/>
              <w:left w:val="single" w:sz="2" w:space="0" w:color="000001"/>
              <w:bottom w:val="nil"/>
              <w:right w:val="nil"/>
            </w:tcBorders>
            <w:shd w:val="clear" w:color="auto" w:fill="FFFFFF"/>
            <w:tcMar>
              <w:top w:w="55" w:type="dxa"/>
              <w:left w:w="46" w:type="dxa"/>
              <w:bottom w:w="55" w:type="dxa"/>
              <w:right w:w="55" w:type="dxa"/>
            </w:tcMar>
            <w:vAlign w:val="center"/>
          </w:tcPr>
          <w:p w14:paraId="65A16826" w14:textId="77777777" w:rsidR="006C641F" w:rsidRPr="00937C8B" w:rsidRDefault="006C641F" w:rsidP="006C641F">
            <w:pPr>
              <w:pStyle w:val="CTEtabla-texto"/>
              <w:keepNext/>
              <w:spacing w:line="252" w:lineRule="auto"/>
              <w:rPr>
                <w:rFonts w:cs="Arial"/>
              </w:rPr>
            </w:pPr>
            <w:r>
              <w:t>40</w:t>
            </w:r>
          </w:p>
        </w:tc>
        <w:tc>
          <w:tcPr>
            <w:tcW w:w="566"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14:paraId="7C2566E6" w14:textId="77777777" w:rsidR="006C641F" w:rsidRPr="00937C8B" w:rsidRDefault="006C641F" w:rsidP="006C641F">
            <w:pPr>
              <w:pStyle w:val="CTEtabla-texto"/>
              <w:keepNext/>
              <w:spacing w:line="252" w:lineRule="auto"/>
              <w:rPr>
                <w:rFonts w:cs="Arial"/>
              </w:rPr>
            </w:pPr>
            <w:r>
              <w:t>50</w:t>
            </w:r>
          </w:p>
        </w:tc>
        <w:tc>
          <w:tcPr>
            <w:tcW w:w="567"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14:paraId="41E97160" w14:textId="77777777" w:rsidR="006C641F" w:rsidRPr="00937C8B" w:rsidRDefault="006C641F" w:rsidP="006C641F">
            <w:pPr>
              <w:pStyle w:val="CTEtabla-texto"/>
              <w:keepNext/>
              <w:spacing w:line="252" w:lineRule="auto"/>
              <w:rPr>
                <w:rFonts w:cs="Arial"/>
              </w:rPr>
            </w:pPr>
            <w:r>
              <w:t>56</w:t>
            </w:r>
          </w:p>
        </w:tc>
        <w:tc>
          <w:tcPr>
            <w:tcW w:w="567"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14:paraId="33AF5867" w14:textId="77777777" w:rsidR="006C641F" w:rsidRPr="00937C8B" w:rsidRDefault="006C641F" w:rsidP="006C641F">
            <w:pPr>
              <w:pStyle w:val="CTEtabla-texto"/>
              <w:keepNext/>
              <w:spacing w:line="252" w:lineRule="auto"/>
              <w:rPr>
                <w:rFonts w:cs="Arial"/>
              </w:rPr>
            </w:pPr>
            <w:r>
              <w:t>64</w:t>
            </w:r>
          </w:p>
        </w:tc>
        <w:tc>
          <w:tcPr>
            <w:tcW w:w="567"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14:paraId="68DF29CD" w14:textId="77777777" w:rsidR="006C641F" w:rsidRPr="00937C8B" w:rsidRDefault="006C641F" w:rsidP="006C641F">
            <w:pPr>
              <w:pStyle w:val="CTEtabla-texto"/>
              <w:keepNext/>
              <w:spacing w:line="252" w:lineRule="auto"/>
              <w:rPr>
                <w:rFonts w:cs="Arial"/>
              </w:rPr>
            </w:pPr>
            <w:r>
              <w:t>76</w:t>
            </w:r>
          </w:p>
        </w:tc>
        <w:tc>
          <w:tcPr>
            <w:tcW w:w="558"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14:paraId="54539B20" w14:textId="77777777" w:rsidR="006C641F" w:rsidRPr="00937C8B" w:rsidRDefault="006C641F" w:rsidP="006C641F">
            <w:pPr>
              <w:pStyle w:val="CTEtabla-texto"/>
              <w:keepNext/>
              <w:spacing w:line="252" w:lineRule="auto"/>
              <w:rPr>
                <w:rFonts w:cs="Arial"/>
              </w:rPr>
            </w:pPr>
            <w:r>
              <w:t>86</w:t>
            </w:r>
          </w:p>
        </w:tc>
      </w:tr>
      <w:tr w:rsidR="006C641F" w:rsidRPr="00937C8B" w14:paraId="547C098E" w14:textId="77777777" w:rsidTr="00E47AFE">
        <w:trPr>
          <w:cantSplit/>
          <w:jc w:val="center"/>
        </w:trPr>
        <w:tc>
          <w:tcPr>
            <w:tcW w:w="3546" w:type="dxa"/>
            <w:tcBorders>
              <w:top w:val="nil"/>
              <w:left w:val="nil"/>
              <w:bottom w:val="nil"/>
              <w:right w:val="single" w:sz="2" w:space="0" w:color="000001"/>
            </w:tcBorders>
            <w:shd w:val="clear" w:color="auto" w:fill="FFFFFF"/>
            <w:tcMar>
              <w:top w:w="55" w:type="dxa"/>
              <w:left w:w="46" w:type="dxa"/>
              <w:bottom w:w="55" w:type="dxa"/>
              <w:right w:w="55" w:type="dxa"/>
            </w:tcMar>
            <w:vAlign w:val="center"/>
          </w:tcPr>
          <w:p w14:paraId="269D026D" w14:textId="65F5EBEA" w:rsidR="006C641F" w:rsidRPr="00937C8B" w:rsidRDefault="006C641F" w:rsidP="00E47AFE">
            <w:pPr>
              <w:pStyle w:val="CTEtabla-texto"/>
              <w:keepNext/>
              <w:spacing w:line="252" w:lineRule="auto"/>
              <w:jc w:val="left"/>
              <w:rPr>
                <w:rFonts w:cs="Arial"/>
                <w:b/>
                <w:szCs w:val="18"/>
              </w:rPr>
            </w:pPr>
            <w:r>
              <w:rPr>
                <w:b/>
                <w:szCs w:val="18"/>
              </w:rPr>
              <w:t>Changements d</w:t>
            </w:r>
            <w:r w:rsidR="00EA7588">
              <w:rPr>
                <w:b/>
                <w:szCs w:val="18"/>
              </w:rPr>
              <w:t>’</w:t>
            </w:r>
            <w:r>
              <w:rPr>
                <w:b/>
                <w:szCs w:val="18"/>
              </w:rPr>
              <w:t>usage à résidentiel privé et rénovations</w:t>
            </w:r>
          </w:p>
        </w:tc>
        <w:tc>
          <w:tcPr>
            <w:tcW w:w="566" w:type="dxa"/>
            <w:tcBorders>
              <w:top w:val="nil"/>
              <w:left w:val="single" w:sz="2" w:space="0" w:color="000001"/>
              <w:bottom w:val="nil"/>
              <w:right w:val="nil"/>
            </w:tcBorders>
            <w:shd w:val="clear" w:color="auto" w:fill="FFFFFF"/>
            <w:tcMar>
              <w:top w:w="55" w:type="dxa"/>
              <w:left w:w="46" w:type="dxa"/>
              <w:bottom w:w="55" w:type="dxa"/>
              <w:right w:w="55" w:type="dxa"/>
            </w:tcMar>
            <w:vAlign w:val="center"/>
          </w:tcPr>
          <w:p w14:paraId="7072D115" w14:textId="77777777" w:rsidR="006C641F" w:rsidRPr="00937C8B" w:rsidRDefault="006C641F" w:rsidP="006C641F">
            <w:pPr>
              <w:pStyle w:val="CTEtabla-texto"/>
              <w:keepNext/>
              <w:spacing w:line="252" w:lineRule="auto"/>
              <w:rPr>
                <w:rFonts w:cs="Arial"/>
              </w:rPr>
            </w:pPr>
            <w:r>
              <w:t>55</w:t>
            </w:r>
          </w:p>
        </w:tc>
        <w:tc>
          <w:tcPr>
            <w:tcW w:w="566" w:type="dxa"/>
            <w:tcBorders>
              <w:top w:val="nil"/>
              <w:left w:val="nil"/>
              <w:bottom w:val="nil"/>
              <w:right w:val="nil"/>
            </w:tcBorders>
            <w:shd w:val="clear" w:color="auto" w:fill="FFFFFF"/>
            <w:tcMar>
              <w:top w:w="55" w:type="dxa"/>
              <w:left w:w="46" w:type="dxa"/>
              <w:bottom w:w="55" w:type="dxa"/>
              <w:right w:w="55" w:type="dxa"/>
            </w:tcMar>
            <w:vAlign w:val="center"/>
          </w:tcPr>
          <w:p w14:paraId="7FCC0963" w14:textId="77777777" w:rsidR="006C641F" w:rsidRPr="00937C8B" w:rsidRDefault="006C641F" w:rsidP="006C641F">
            <w:pPr>
              <w:pStyle w:val="CTEtabla-texto"/>
              <w:keepNext/>
              <w:spacing w:line="252" w:lineRule="auto"/>
              <w:rPr>
                <w:rFonts w:cs="Arial"/>
              </w:rPr>
            </w:pPr>
            <w:r>
              <w:t>75</w:t>
            </w:r>
          </w:p>
        </w:tc>
        <w:tc>
          <w:tcPr>
            <w:tcW w:w="567" w:type="dxa"/>
            <w:tcBorders>
              <w:top w:val="nil"/>
              <w:left w:val="nil"/>
              <w:bottom w:val="nil"/>
              <w:right w:val="nil"/>
            </w:tcBorders>
            <w:shd w:val="clear" w:color="auto" w:fill="FFFFFF"/>
            <w:tcMar>
              <w:top w:w="55" w:type="dxa"/>
              <w:left w:w="46" w:type="dxa"/>
              <w:bottom w:w="55" w:type="dxa"/>
              <w:right w:w="55" w:type="dxa"/>
            </w:tcMar>
            <w:vAlign w:val="center"/>
          </w:tcPr>
          <w:p w14:paraId="5191176C" w14:textId="77777777" w:rsidR="006C641F" w:rsidRPr="00937C8B" w:rsidRDefault="006C641F" w:rsidP="006C641F">
            <w:pPr>
              <w:pStyle w:val="CTEtabla-texto"/>
              <w:keepNext/>
              <w:spacing w:line="252" w:lineRule="auto"/>
              <w:rPr>
                <w:rFonts w:cs="Arial"/>
              </w:rPr>
            </w:pPr>
            <w:r>
              <w:t>80</w:t>
            </w:r>
          </w:p>
        </w:tc>
        <w:tc>
          <w:tcPr>
            <w:tcW w:w="567" w:type="dxa"/>
            <w:tcBorders>
              <w:top w:val="nil"/>
              <w:left w:val="nil"/>
              <w:bottom w:val="nil"/>
              <w:right w:val="nil"/>
            </w:tcBorders>
            <w:shd w:val="clear" w:color="auto" w:fill="FFFFFF"/>
            <w:tcMar>
              <w:top w:w="55" w:type="dxa"/>
              <w:left w:w="46" w:type="dxa"/>
              <w:bottom w:w="55" w:type="dxa"/>
              <w:right w:w="55" w:type="dxa"/>
            </w:tcMar>
            <w:vAlign w:val="center"/>
          </w:tcPr>
          <w:p w14:paraId="463C58D6" w14:textId="77777777" w:rsidR="006C641F" w:rsidRPr="00937C8B" w:rsidRDefault="006C641F" w:rsidP="006C641F">
            <w:pPr>
              <w:pStyle w:val="CTEtabla-texto"/>
              <w:keepNext/>
              <w:spacing w:line="252" w:lineRule="auto"/>
              <w:rPr>
                <w:rFonts w:cs="Arial"/>
              </w:rPr>
            </w:pPr>
            <w:r>
              <w:t>90</w:t>
            </w:r>
          </w:p>
        </w:tc>
        <w:tc>
          <w:tcPr>
            <w:tcW w:w="567" w:type="dxa"/>
            <w:tcBorders>
              <w:top w:val="nil"/>
              <w:left w:val="nil"/>
              <w:bottom w:val="nil"/>
              <w:right w:val="nil"/>
            </w:tcBorders>
            <w:shd w:val="clear" w:color="auto" w:fill="FFFFFF"/>
            <w:tcMar>
              <w:top w:w="55" w:type="dxa"/>
              <w:left w:w="46" w:type="dxa"/>
              <w:bottom w:w="55" w:type="dxa"/>
              <w:right w:w="55" w:type="dxa"/>
            </w:tcMar>
            <w:vAlign w:val="center"/>
          </w:tcPr>
          <w:p w14:paraId="1428D1FA" w14:textId="77777777" w:rsidR="006C641F" w:rsidRPr="00937C8B" w:rsidRDefault="006C641F" w:rsidP="006C641F">
            <w:pPr>
              <w:pStyle w:val="CTEtabla-texto"/>
              <w:keepNext/>
              <w:spacing w:line="252" w:lineRule="auto"/>
              <w:rPr>
                <w:rFonts w:cs="Arial"/>
              </w:rPr>
            </w:pPr>
            <w:r>
              <w:t>105</w:t>
            </w:r>
          </w:p>
        </w:tc>
        <w:tc>
          <w:tcPr>
            <w:tcW w:w="558" w:type="dxa"/>
            <w:tcBorders>
              <w:top w:val="nil"/>
              <w:left w:val="nil"/>
              <w:bottom w:val="nil"/>
              <w:right w:val="nil"/>
            </w:tcBorders>
            <w:shd w:val="clear" w:color="auto" w:fill="FFFFFF"/>
            <w:tcMar>
              <w:top w:w="55" w:type="dxa"/>
              <w:left w:w="46" w:type="dxa"/>
              <w:bottom w:w="55" w:type="dxa"/>
              <w:right w:w="55" w:type="dxa"/>
            </w:tcMar>
            <w:vAlign w:val="center"/>
          </w:tcPr>
          <w:p w14:paraId="7D0C1B30" w14:textId="77777777" w:rsidR="006C641F" w:rsidRPr="00937C8B" w:rsidRDefault="006C641F" w:rsidP="006C641F">
            <w:pPr>
              <w:pStyle w:val="CTEtabla-texto"/>
              <w:keepNext/>
              <w:spacing w:line="252" w:lineRule="auto"/>
              <w:rPr>
                <w:rFonts w:cs="Arial"/>
              </w:rPr>
            </w:pPr>
            <w:r>
              <w:t>115</w:t>
            </w:r>
          </w:p>
        </w:tc>
      </w:tr>
      <w:tr w:rsidR="006C641F" w:rsidRPr="00937C8B" w14:paraId="28C71A5F" w14:textId="77777777" w:rsidTr="00E47AFE">
        <w:trPr>
          <w:cantSplit/>
          <w:jc w:val="center"/>
        </w:trPr>
        <w:tc>
          <w:tcPr>
            <w:tcW w:w="6937" w:type="dxa"/>
            <w:gridSpan w:val="7"/>
            <w:tcBorders>
              <w:top w:val="nil"/>
              <w:left w:val="nil"/>
              <w:bottom w:val="nil"/>
              <w:right w:val="nil"/>
            </w:tcBorders>
            <w:shd w:val="clear" w:color="auto" w:fill="FFFFFF"/>
            <w:tcMar>
              <w:top w:w="55" w:type="dxa"/>
              <w:left w:w="46" w:type="dxa"/>
              <w:bottom w:w="55" w:type="dxa"/>
              <w:right w:w="55" w:type="dxa"/>
            </w:tcMar>
            <w:vAlign w:val="center"/>
          </w:tcPr>
          <w:p w14:paraId="35877603" w14:textId="77777777" w:rsidR="006C641F" w:rsidRPr="00937C8B" w:rsidRDefault="006C641F" w:rsidP="006C641F">
            <w:pPr>
              <w:pStyle w:val="CTETabla-nota"/>
              <w:ind w:left="22" w:firstLine="0"/>
            </w:pPr>
            <w:r>
              <w:t>En territoire extrapéninsulaire (îles Baléares, îles Canaries, Ceuta et Melilla), les valeurs du tableau seront multipliées par 1,15</w:t>
            </w:r>
          </w:p>
        </w:tc>
      </w:tr>
    </w:tbl>
    <w:p w14:paraId="794B7AB6" w14:textId="77777777" w:rsidR="006C641F" w:rsidRPr="00937C8B" w:rsidRDefault="006C641F" w:rsidP="006C641F">
      <w:pPr>
        <w:rPr>
          <w:rFonts w:ascii="Arial" w:hAnsi="Arial" w:cs="Arial"/>
          <w:b/>
          <w:sz w:val="18"/>
        </w:rPr>
      </w:pPr>
    </w:p>
    <w:p w14:paraId="5FAF8DE7" w14:textId="77777777" w:rsidR="006C641F" w:rsidRPr="00937C8B" w:rsidRDefault="006C641F" w:rsidP="00D27646">
      <w:pPr>
        <w:pStyle w:val="CTENumeracion"/>
        <w:keepNext/>
        <w:ind w:left="426" w:firstLine="0"/>
        <w:jc w:val="center"/>
        <w:rPr>
          <w:rFonts w:cs="Arial"/>
          <w:b/>
          <w:sz w:val="18"/>
        </w:rPr>
      </w:pPr>
      <w:r>
        <w:rPr>
          <w:b/>
          <w:sz w:val="18"/>
        </w:rPr>
        <w:t>Tableau 3.2.b - HE0</w:t>
      </w:r>
    </w:p>
    <w:p w14:paraId="6CE3C56F" w14:textId="77777777" w:rsidR="006C641F" w:rsidRPr="00937C8B" w:rsidRDefault="006C641F" w:rsidP="00D27646">
      <w:pPr>
        <w:pStyle w:val="CTENumeracion"/>
        <w:keepNext/>
        <w:spacing w:after="120"/>
        <w:ind w:left="425" w:firstLine="0"/>
        <w:jc w:val="center"/>
        <w:rPr>
          <w:rFonts w:cs="Arial"/>
        </w:rPr>
      </w:pPr>
      <w:r>
        <w:rPr>
          <w:b/>
          <w:sz w:val="18"/>
        </w:rPr>
        <w:t xml:space="preserve">Valeur limite </w:t>
      </w:r>
      <w:r>
        <w:rPr>
          <w:b/>
          <w:i/>
          <w:iCs/>
          <w:sz w:val="18"/>
        </w:rPr>
        <w:t>C</w:t>
      </w:r>
      <w:r>
        <w:rPr>
          <w:b/>
          <w:bCs/>
          <w:i/>
          <w:iCs/>
          <w:sz w:val="18"/>
          <w:vertAlign w:val="subscript"/>
        </w:rPr>
        <w:t xml:space="preserve">ep,tot,lim </w:t>
      </w:r>
      <w:r>
        <w:rPr>
          <w:b/>
          <w:sz w:val="18"/>
        </w:rPr>
        <w:t>[kW·h/m</w:t>
      </w:r>
      <w:r>
        <w:rPr>
          <w:b/>
          <w:sz w:val="18"/>
          <w:vertAlign w:val="superscript"/>
        </w:rPr>
        <w:t>2</w:t>
      </w:r>
      <w:r>
        <w:rPr>
          <w:b/>
          <w:sz w:val="18"/>
        </w:rPr>
        <w:t>·an] hors usage résidentiel privé</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229"/>
        <w:gridCol w:w="1229"/>
        <w:gridCol w:w="1228"/>
        <w:gridCol w:w="1228"/>
        <w:gridCol w:w="1228"/>
      </w:tblGrid>
      <w:tr w:rsidR="006C641F" w:rsidRPr="00937C8B" w14:paraId="7CC1B92A" w14:textId="77777777" w:rsidTr="00E47AFE">
        <w:trPr>
          <w:jc w:val="center"/>
        </w:trPr>
        <w:tc>
          <w:tcPr>
            <w:tcW w:w="9258" w:type="dxa"/>
            <w:gridSpan w:val="6"/>
            <w:tcBorders>
              <w:top w:val="nil"/>
              <w:left w:val="nil"/>
              <w:bottom w:val="nil"/>
              <w:right w:val="nil"/>
            </w:tcBorders>
            <w:shd w:val="clear" w:color="auto" w:fill="auto"/>
          </w:tcPr>
          <w:p w14:paraId="791A3074" w14:textId="77777777" w:rsidR="006C641F" w:rsidRPr="00937C8B" w:rsidRDefault="006C641F" w:rsidP="00D27646">
            <w:pPr>
              <w:pStyle w:val="CTENumeracion"/>
              <w:keepNext/>
              <w:ind w:left="0" w:firstLine="0"/>
              <w:jc w:val="center"/>
              <w:rPr>
                <w:rFonts w:cs="Arial"/>
              </w:rPr>
            </w:pPr>
            <w:r>
              <w:rPr>
                <w:b/>
                <w:sz w:val="18"/>
              </w:rPr>
              <w:t>Zone climatique en hiver</w:t>
            </w:r>
          </w:p>
        </w:tc>
      </w:tr>
      <w:tr w:rsidR="006C641F" w:rsidRPr="00937C8B" w14:paraId="68A7A385" w14:textId="77777777" w:rsidTr="00E47AFE">
        <w:trPr>
          <w:jc w:val="center"/>
        </w:trPr>
        <w:tc>
          <w:tcPr>
            <w:tcW w:w="1543" w:type="dxa"/>
            <w:tcBorders>
              <w:top w:val="nil"/>
              <w:left w:val="nil"/>
              <w:bottom w:val="single" w:sz="4" w:space="0" w:color="auto"/>
              <w:right w:val="nil"/>
            </w:tcBorders>
            <w:shd w:val="clear" w:color="auto" w:fill="auto"/>
          </w:tcPr>
          <w:p w14:paraId="2EE9772C" w14:textId="77777777" w:rsidR="006C641F" w:rsidRPr="00937C8B" w:rsidRDefault="006C641F" w:rsidP="00D27646">
            <w:pPr>
              <w:pStyle w:val="CTENumeracion"/>
              <w:keepNext/>
              <w:ind w:left="0" w:firstLine="0"/>
              <w:jc w:val="center"/>
              <w:rPr>
                <w:rFonts w:cs="Arial"/>
              </w:rPr>
            </w:pPr>
            <w:r>
              <w:rPr>
                <w:b/>
                <w:sz w:val="18"/>
              </w:rPr>
              <w:t>α</w:t>
            </w:r>
          </w:p>
        </w:tc>
        <w:tc>
          <w:tcPr>
            <w:tcW w:w="1543" w:type="dxa"/>
            <w:tcBorders>
              <w:top w:val="nil"/>
              <w:left w:val="nil"/>
              <w:bottom w:val="single" w:sz="4" w:space="0" w:color="auto"/>
              <w:right w:val="nil"/>
            </w:tcBorders>
            <w:shd w:val="clear" w:color="auto" w:fill="auto"/>
          </w:tcPr>
          <w:p w14:paraId="4D8D90A6" w14:textId="77777777" w:rsidR="006C641F" w:rsidRPr="00937C8B" w:rsidRDefault="006C641F" w:rsidP="00D27646">
            <w:pPr>
              <w:pStyle w:val="CTENumeracion"/>
              <w:keepNext/>
              <w:ind w:left="0" w:firstLine="0"/>
              <w:jc w:val="center"/>
              <w:rPr>
                <w:rFonts w:cs="Arial"/>
              </w:rPr>
            </w:pPr>
            <w:r>
              <w:rPr>
                <w:b/>
                <w:sz w:val="18"/>
              </w:rPr>
              <w:t>A</w:t>
            </w:r>
          </w:p>
        </w:tc>
        <w:tc>
          <w:tcPr>
            <w:tcW w:w="1543" w:type="dxa"/>
            <w:tcBorders>
              <w:top w:val="nil"/>
              <w:left w:val="nil"/>
              <w:bottom w:val="single" w:sz="4" w:space="0" w:color="auto"/>
              <w:right w:val="nil"/>
            </w:tcBorders>
            <w:shd w:val="clear" w:color="auto" w:fill="auto"/>
          </w:tcPr>
          <w:p w14:paraId="4AF31CF3" w14:textId="77777777" w:rsidR="006C641F" w:rsidRPr="00937C8B" w:rsidRDefault="006C641F" w:rsidP="00D27646">
            <w:pPr>
              <w:pStyle w:val="CTENumeracion"/>
              <w:keepNext/>
              <w:ind w:left="0" w:firstLine="0"/>
              <w:jc w:val="center"/>
              <w:rPr>
                <w:rFonts w:cs="Arial"/>
              </w:rPr>
            </w:pPr>
            <w:r>
              <w:rPr>
                <w:b/>
                <w:sz w:val="18"/>
              </w:rPr>
              <w:t>B</w:t>
            </w:r>
          </w:p>
        </w:tc>
        <w:tc>
          <w:tcPr>
            <w:tcW w:w="1543" w:type="dxa"/>
            <w:tcBorders>
              <w:top w:val="nil"/>
              <w:left w:val="nil"/>
              <w:bottom w:val="single" w:sz="4" w:space="0" w:color="auto"/>
              <w:right w:val="nil"/>
            </w:tcBorders>
            <w:shd w:val="clear" w:color="auto" w:fill="auto"/>
          </w:tcPr>
          <w:p w14:paraId="6BAA7EA6" w14:textId="77777777" w:rsidR="006C641F" w:rsidRPr="00937C8B" w:rsidRDefault="006C641F" w:rsidP="00D27646">
            <w:pPr>
              <w:pStyle w:val="CTENumeracion"/>
              <w:keepNext/>
              <w:ind w:left="0" w:firstLine="0"/>
              <w:jc w:val="center"/>
              <w:rPr>
                <w:rFonts w:cs="Arial"/>
              </w:rPr>
            </w:pPr>
            <w:r>
              <w:rPr>
                <w:b/>
                <w:sz w:val="18"/>
              </w:rPr>
              <w:t>C</w:t>
            </w:r>
          </w:p>
        </w:tc>
        <w:tc>
          <w:tcPr>
            <w:tcW w:w="1543" w:type="dxa"/>
            <w:tcBorders>
              <w:top w:val="nil"/>
              <w:left w:val="nil"/>
              <w:bottom w:val="single" w:sz="4" w:space="0" w:color="auto"/>
              <w:right w:val="nil"/>
            </w:tcBorders>
            <w:shd w:val="clear" w:color="auto" w:fill="auto"/>
          </w:tcPr>
          <w:p w14:paraId="06C9A77C" w14:textId="77777777" w:rsidR="006C641F" w:rsidRPr="00937C8B" w:rsidRDefault="006C641F" w:rsidP="00D27646">
            <w:pPr>
              <w:pStyle w:val="CTENumeracion"/>
              <w:keepNext/>
              <w:ind w:left="0" w:firstLine="0"/>
              <w:jc w:val="center"/>
              <w:rPr>
                <w:rFonts w:cs="Arial"/>
              </w:rPr>
            </w:pPr>
            <w:r>
              <w:rPr>
                <w:b/>
                <w:sz w:val="18"/>
              </w:rPr>
              <w:t>D</w:t>
            </w:r>
          </w:p>
        </w:tc>
        <w:tc>
          <w:tcPr>
            <w:tcW w:w="1543" w:type="dxa"/>
            <w:tcBorders>
              <w:top w:val="nil"/>
              <w:left w:val="nil"/>
              <w:bottom w:val="single" w:sz="4" w:space="0" w:color="auto"/>
              <w:right w:val="nil"/>
            </w:tcBorders>
            <w:shd w:val="clear" w:color="auto" w:fill="auto"/>
          </w:tcPr>
          <w:p w14:paraId="012AF939" w14:textId="77777777" w:rsidR="006C641F" w:rsidRPr="00937C8B" w:rsidRDefault="006C641F" w:rsidP="00D27646">
            <w:pPr>
              <w:pStyle w:val="CTENumeracion"/>
              <w:keepNext/>
              <w:ind w:left="0" w:firstLine="0"/>
              <w:jc w:val="center"/>
              <w:rPr>
                <w:rFonts w:cs="Arial"/>
              </w:rPr>
            </w:pPr>
            <w:r>
              <w:rPr>
                <w:b/>
                <w:sz w:val="18"/>
              </w:rPr>
              <w:t>E</w:t>
            </w:r>
          </w:p>
        </w:tc>
      </w:tr>
      <w:tr w:rsidR="006C641F" w:rsidRPr="00937C8B" w14:paraId="40563F24" w14:textId="77777777" w:rsidTr="00E47AFE">
        <w:trPr>
          <w:jc w:val="center"/>
        </w:trPr>
        <w:tc>
          <w:tcPr>
            <w:tcW w:w="1543" w:type="dxa"/>
            <w:tcBorders>
              <w:left w:val="nil"/>
              <w:bottom w:val="nil"/>
              <w:right w:val="nil"/>
            </w:tcBorders>
            <w:shd w:val="clear" w:color="auto" w:fill="auto"/>
            <w:vAlign w:val="center"/>
          </w:tcPr>
          <w:p w14:paraId="02391EC8" w14:textId="77777777" w:rsidR="006C641F" w:rsidRPr="00937C8B" w:rsidRDefault="006C641F" w:rsidP="00425ADA">
            <w:pPr>
              <w:pStyle w:val="CTENumeracion"/>
              <w:ind w:left="0" w:firstLine="0"/>
              <w:jc w:val="center"/>
              <w:rPr>
                <w:rFonts w:cs="Arial"/>
              </w:rPr>
            </w:pPr>
            <w:r>
              <w:rPr>
                <w:sz w:val="18"/>
                <w:szCs w:val="18"/>
              </w:rPr>
              <w:t>165 + 9 · C</w:t>
            </w:r>
            <w:r>
              <w:rPr>
                <w:sz w:val="18"/>
                <w:szCs w:val="18"/>
                <w:vertAlign w:val="subscript"/>
              </w:rPr>
              <w:t>FI</w:t>
            </w:r>
          </w:p>
        </w:tc>
        <w:tc>
          <w:tcPr>
            <w:tcW w:w="1543" w:type="dxa"/>
            <w:tcBorders>
              <w:left w:val="nil"/>
              <w:bottom w:val="nil"/>
              <w:right w:val="nil"/>
            </w:tcBorders>
            <w:shd w:val="clear" w:color="auto" w:fill="auto"/>
            <w:vAlign w:val="center"/>
          </w:tcPr>
          <w:p w14:paraId="645E8817" w14:textId="77777777" w:rsidR="006C641F" w:rsidRPr="00937C8B" w:rsidRDefault="006C641F" w:rsidP="00425ADA">
            <w:pPr>
              <w:pStyle w:val="CTENumeracion"/>
              <w:ind w:left="0" w:firstLine="0"/>
              <w:jc w:val="center"/>
              <w:rPr>
                <w:rFonts w:cs="Arial"/>
              </w:rPr>
            </w:pPr>
            <w:r>
              <w:rPr>
                <w:sz w:val="18"/>
                <w:szCs w:val="18"/>
              </w:rPr>
              <w:t>155 + 9 · C</w:t>
            </w:r>
            <w:r>
              <w:rPr>
                <w:sz w:val="18"/>
                <w:szCs w:val="18"/>
                <w:vertAlign w:val="subscript"/>
              </w:rPr>
              <w:t>FI</w:t>
            </w:r>
          </w:p>
        </w:tc>
        <w:tc>
          <w:tcPr>
            <w:tcW w:w="1543" w:type="dxa"/>
            <w:tcBorders>
              <w:left w:val="nil"/>
              <w:bottom w:val="nil"/>
              <w:right w:val="nil"/>
            </w:tcBorders>
            <w:shd w:val="clear" w:color="auto" w:fill="auto"/>
            <w:vAlign w:val="center"/>
          </w:tcPr>
          <w:p w14:paraId="1997C55C" w14:textId="77777777" w:rsidR="006C641F" w:rsidRPr="00937C8B" w:rsidRDefault="006C641F" w:rsidP="00425ADA">
            <w:pPr>
              <w:pStyle w:val="CTENumeracion"/>
              <w:ind w:left="0" w:firstLine="0"/>
              <w:jc w:val="center"/>
              <w:rPr>
                <w:rFonts w:cs="Arial"/>
              </w:rPr>
            </w:pPr>
            <w:r>
              <w:rPr>
                <w:sz w:val="18"/>
                <w:szCs w:val="18"/>
              </w:rPr>
              <w:t>150 + 9 · C</w:t>
            </w:r>
            <w:r>
              <w:rPr>
                <w:sz w:val="18"/>
                <w:szCs w:val="18"/>
                <w:vertAlign w:val="subscript"/>
              </w:rPr>
              <w:t>FI</w:t>
            </w:r>
          </w:p>
        </w:tc>
        <w:tc>
          <w:tcPr>
            <w:tcW w:w="1543" w:type="dxa"/>
            <w:tcBorders>
              <w:left w:val="nil"/>
              <w:bottom w:val="nil"/>
              <w:right w:val="nil"/>
            </w:tcBorders>
            <w:shd w:val="clear" w:color="auto" w:fill="auto"/>
            <w:vAlign w:val="center"/>
          </w:tcPr>
          <w:p w14:paraId="6E7B0D39" w14:textId="77777777" w:rsidR="006C641F" w:rsidRPr="00937C8B" w:rsidRDefault="006C641F" w:rsidP="00425ADA">
            <w:pPr>
              <w:pStyle w:val="CTENumeracion"/>
              <w:ind w:left="0" w:firstLine="0"/>
              <w:jc w:val="center"/>
              <w:rPr>
                <w:rFonts w:cs="Arial"/>
              </w:rPr>
            </w:pPr>
            <w:r>
              <w:rPr>
                <w:sz w:val="18"/>
                <w:szCs w:val="18"/>
              </w:rPr>
              <w:t>140 + 9 · C</w:t>
            </w:r>
            <w:r>
              <w:rPr>
                <w:sz w:val="18"/>
                <w:szCs w:val="18"/>
                <w:vertAlign w:val="subscript"/>
              </w:rPr>
              <w:t>FI</w:t>
            </w:r>
          </w:p>
        </w:tc>
        <w:tc>
          <w:tcPr>
            <w:tcW w:w="1543" w:type="dxa"/>
            <w:tcBorders>
              <w:left w:val="nil"/>
              <w:bottom w:val="nil"/>
              <w:right w:val="nil"/>
            </w:tcBorders>
            <w:shd w:val="clear" w:color="auto" w:fill="auto"/>
            <w:vAlign w:val="center"/>
          </w:tcPr>
          <w:p w14:paraId="01B72365" w14:textId="77777777" w:rsidR="006C641F" w:rsidRPr="00937C8B" w:rsidRDefault="006C641F" w:rsidP="00425ADA">
            <w:pPr>
              <w:pStyle w:val="CTENumeracion"/>
              <w:ind w:left="0" w:firstLine="0"/>
              <w:jc w:val="center"/>
              <w:rPr>
                <w:rFonts w:cs="Arial"/>
              </w:rPr>
            </w:pPr>
            <w:r>
              <w:rPr>
                <w:sz w:val="18"/>
                <w:szCs w:val="18"/>
              </w:rPr>
              <w:t>130 + 9 · C</w:t>
            </w:r>
            <w:r>
              <w:rPr>
                <w:sz w:val="18"/>
                <w:szCs w:val="18"/>
                <w:vertAlign w:val="subscript"/>
              </w:rPr>
              <w:t>FI</w:t>
            </w:r>
          </w:p>
        </w:tc>
        <w:tc>
          <w:tcPr>
            <w:tcW w:w="1543" w:type="dxa"/>
            <w:tcBorders>
              <w:left w:val="nil"/>
              <w:bottom w:val="nil"/>
              <w:right w:val="nil"/>
            </w:tcBorders>
            <w:shd w:val="clear" w:color="auto" w:fill="auto"/>
            <w:vAlign w:val="center"/>
          </w:tcPr>
          <w:p w14:paraId="69D58B84" w14:textId="77777777" w:rsidR="006C641F" w:rsidRPr="00937C8B" w:rsidRDefault="006C641F" w:rsidP="00425ADA">
            <w:pPr>
              <w:pStyle w:val="CTENumeracion"/>
              <w:ind w:left="0" w:firstLine="0"/>
              <w:jc w:val="center"/>
              <w:rPr>
                <w:rFonts w:cs="Arial"/>
              </w:rPr>
            </w:pPr>
            <w:r>
              <w:rPr>
                <w:sz w:val="18"/>
                <w:szCs w:val="18"/>
              </w:rPr>
              <w:t>120 + 9 · C</w:t>
            </w:r>
            <w:r>
              <w:rPr>
                <w:sz w:val="18"/>
                <w:szCs w:val="18"/>
                <w:vertAlign w:val="subscript"/>
              </w:rPr>
              <w:t>FI</w:t>
            </w:r>
          </w:p>
        </w:tc>
      </w:tr>
      <w:tr w:rsidR="006C641F" w:rsidRPr="00937C8B" w14:paraId="62F7561E" w14:textId="77777777" w:rsidTr="00E47AFE">
        <w:trPr>
          <w:jc w:val="center"/>
        </w:trPr>
        <w:tc>
          <w:tcPr>
            <w:tcW w:w="9258" w:type="dxa"/>
            <w:gridSpan w:val="6"/>
            <w:tcBorders>
              <w:top w:val="nil"/>
              <w:left w:val="nil"/>
              <w:bottom w:val="nil"/>
              <w:right w:val="nil"/>
            </w:tcBorders>
            <w:shd w:val="clear" w:color="auto" w:fill="auto"/>
          </w:tcPr>
          <w:p w14:paraId="47C1200B" w14:textId="77777777" w:rsidR="006C641F" w:rsidRPr="00937C8B" w:rsidRDefault="006C641F" w:rsidP="00425ADA">
            <w:pPr>
              <w:pStyle w:val="CTETabla-nota"/>
              <w:ind w:left="35" w:hanging="17"/>
            </w:pPr>
            <w:r>
              <w:t>C</w:t>
            </w:r>
            <w:r>
              <w:rPr>
                <w:vertAlign w:val="subscript"/>
              </w:rPr>
              <w:t>FI</w:t>
            </w:r>
            <w:r>
              <w:t xml:space="preserve">: </w:t>
            </w:r>
            <w:r>
              <w:rPr>
                <w:i/>
              </w:rPr>
              <w:t>Charge interne moyenne</w:t>
            </w:r>
            <w:r>
              <w:t>[W/m</w:t>
            </w:r>
            <w:r>
              <w:rPr>
                <w:vertAlign w:val="superscript"/>
              </w:rPr>
              <w:t>2</w:t>
            </w:r>
            <w:r>
              <w:t>]</w:t>
            </w:r>
          </w:p>
          <w:p w14:paraId="56F72946" w14:textId="77777777" w:rsidR="006C641F" w:rsidRPr="00937C8B" w:rsidRDefault="006C641F" w:rsidP="00E47AFE">
            <w:pPr>
              <w:pStyle w:val="CTETabla-nota"/>
              <w:ind w:left="35" w:hanging="17"/>
            </w:pPr>
            <w:r>
              <w:t>En territoire extrapéninsulaire (îles Baléares, îles Canaries, Ceuta et Melilla), les résultats seront multipliés par 1,40</w:t>
            </w:r>
          </w:p>
        </w:tc>
      </w:tr>
    </w:tbl>
    <w:p w14:paraId="45AFA81F" w14:textId="77777777" w:rsidR="00E47AFE" w:rsidRDefault="00E47AFE" w:rsidP="006C641F">
      <w:pPr>
        <w:pStyle w:val="CTENumeracion"/>
        <w:rPr>
          <w:rFonts w:cs="Arial"/>
          <w:sz w:val="22"/>
          <w:szCs w:val="22"/>
        </w:rPr>
      </w:pPr>
    </w:p>
    <w:p w14:paraId="7ED18453" w14:textId="50349268" w:rsidR="006C641F" w:rsidRPr="00937C8B" w:rsidRDefault="006C641F" w:rsidP="006C641F">
      <w:pPr>
        <w:pStyle w:val="CTENumeracion"/>
        <w:rPr>
          <w:rFonts w:cs="Arial"/>
          <w:sz w:val="22"/>
          <w:szCs w:val="22"/>
        </w:rPr>
      </w:pPr>
      <w:r>
        <w:rPr>
          <w:sz w:val="22"/>
          <w:szCs w:val="22"/>
        </w:rPr>
        <w:t>2</w:t>
      </w:r>
      <w:r>
        <w:rPr>
          <w:sz w:val="22"/>
          <w:szCs w:val="22"/>
        </w:rPr>
        <w:tab/>
        <w:t>Dans les bâtiments disposant d’unités à usage résidentiel privé et d</w:t>
      </w:r>
      <w:r w:rsidR="00EA7588">
        <w:rPr>
          <w:sz w:val="22"/>
          <w:szCs w:val="22"/>
        </w:rPr>
        <w:t>’</w:t>
      </w:r>
      <w:r>
        <w:rPr>
          <w:sz w:val="22"/>
          <w:szCs w:val="22"/>
        </w:rPr>
        <w:t xml:space="preserve">autres unités à usage différent, la valeur limite de la </w:t>
      </w:r>
      <w:r>
        <w:rPr>
          <w:i/>
          <w:iCs/>
          <w:sz w:val="22"/>
          <w:szCs w:val="22"/>
        </w:rPr>
        <w:t>consommation d</w:t>
      </w:r>
      <w:r w:rsidR="00EA7588">
        <w:rPr>
          <w:i/>
          <w:iCs/>
          <w:sz w:val="22"/>
          <w:szCs w:val="22"/>
        </w:rPr>
        <w:t>’</w:t>
      </w:r>
      <w:r>
        <w:rPr>
          <w:i/>
          <w:iCs/>
          <w:sz w:val="22"/>
          <w:szCs w:val="22"/>
        </w:rPr>
        <w:t xml:space="preserve">énergie primaire </w:t>
      </w:r>
      <w:r>
        <w:rPr>
          <w:sz w:val="22"/>
          <w:szCs w:val="22"/>
        </w:rPr>
        <w:t>totale (Cep,tot,lim) doit être appliquée indépendamment pour chaque partie du bâtiment selon son usage.</w:t>
      </w:r>
    </w:p>
    <w:p w14:paraId="46CE66E7" w14:textId="77777777" w:rsidR="006C641F" w:rsidRPr="00937C8B" w:rsidRDefault="006C641F" w:rsidP="006C641F">
      <w:pPr>
        <w:pStyle w:val="CteTtulo2"/>
        <w:rPr>
          <w:rFonts w:cs="Arial"/>
        </w:rPr>
      </w:pPr>
      <w:bookmarkStart w:id="41" w:name="_Toc530395235"/>
      <w:bookmarkStart w:id="42" w:name="_Toc530396114"/>
      <w:bookmarkStart w:id="43" w:name="_Toc39157906"/>
      <w:bookmarkStart w:id="44" w:name="_Toc39158113"/>
      <w:r>
        <w:lastRenderedPageBreak/>
        <w:t>4</w:t>
      </w:r>
      <w:r>
        <w:tab/>
        <w:t>Procédure et données aux fins de la détermination de la consommation énergétique</w:t>
      </w:r>
      <w:bookmarkEnd w:id="41"/>
      <w:bookmarkEnd w:id="42"/>
      <w:bookmarkEnd w:id="43"/>
      <w:bookmarkEnd w:id="44"/>
    </w:p>
    <w:p w14:paraId="774E8468" w14:textId="77777777" w:rsidR="006C641F" w:rsidRPr="00937C8B" w:rsidRDefault="006C641F" w:rsidP="009467D5">
      <w:pPr>
        <w:pStyle w:val="CteTtulo3"/>
      </w:pPr>
      <w:bookmarkStart w:id="45" w:name="_Toc530395236"/>
      <w:bookmarkStart w:id="46" w:name="_Toc39157907"/>
      <w:r>
        <w:t>4.1</w:t>
      </w:r>
      <w:r>
        <w:tab/>
        <w:t>Procédure de calcul</w:t>
      </w:r>
      <w:bookmarkEnd w:id="45"/>
      <w:bookmarkEnd w:id="46"/>
    </w:p>
    <w:p w14:paraId="1A3A777B" w14:textId="70EF982F" w:rsidR="006C641F" w:rsidRPr="00937C8B" w:rsidRDefault="006C641F" w:rsidP="006C641F">
      <w:pPr>
        <w:pStyle w:val="CTENumeracion"/>
        <w:rPr>
          <w:rFonts w:cs="Arial"/>
          <w:sz w:val="22"/>
          <w:szCs w:val="22"/>
        </w:rPr>
      </w:pPr>
      <w:r>
        <w:rPr>
          <w:sz w:val="22"/>
          <w:szCs w:val="22"/>
        </w:rPr>
        <w:t>1</w:t>
      </w:r>
      <w:r>
        <w:rPr>
          <w:sz w:val="22"/>
          <w:szCs w:val="22"/>
        </w:rPr>
        <w:tab/>
        <w:t>Les exigences relatives à la consommation d</w:t>
      </w:r>
      <w:r w:rsidR="00EA7588">
        <w:rPr>
          <w:sz w:val="22"/>
          <w:szCs w:val="22"/>
        </w:rPr>
        <w:t>’</w:t>
      </w:r>
      <w:r>
        <w:rPr>
          <w:sz w:val="22"/>
          <w:szCs w:val="22"/>
        </w:rPr>
        <w:t>énergie du bâtiment ou d</w:t>
      </w:r>
      <w:r w:rsidR="00EA7588">
        <w:rPr>
          <w:sz w:val="22"/>
          <w:szCs w:val="22"/>
        </w:rPr>
        <w:t>’</w:t>
      </w:r>
      <w:r>
        <w:rPr>
          <w:sz w:val="22"/>
          <w:szCs w:val="22"/>
        </w:rPr>
        <w:t>une partie du bâtiment établies dans ce document de base seront vérifiées à l</w:t>
      </w:r>
      <w:r w:rsidR="00EA7588">
        <w:rPr>
          <w:sz w:val="22"/>
          <w:szCs w:val="22"/>
        </w:rPr>
        <w:t>’</w:t>
      </w:r>
      <w:r>
        <w:rPr>
          <w:sz w:val="22"/>
          <w:szCs w:val="22"/>
        </w:rPr>
        <w:t>aide d</w:t>
      </w:r>
      <w:r w:rsidR="00EA7588">
        <w:rPr>
          <w:sz w:val="22"/>
          <w:szCs w:val="22"/>
        </w:rPr>
        <w:t>’</w:t>
      </w:r>
      <w:r>
        <w:rPr>
          <w:sz w:val="22"/>
          <w:szCs w:val="22"/>
        </w:rPr>
        <w:t>une procédure de calcul selon les caractéristiques établies dans cet article.</w:t>
      </w:r>
    </w:p>
    <w:p w14:paraId="50065A29" w14:textId="39822914" w:rsidR="006C641F" w:rsidRPr="00937C8B" w:rsidRDefault="006C641F" w:rsidP="006C641F">
      <w:pPr>
        <w:pStyle w:val="CTENumeracion"/>
        <w:spacing w:before="120"/>
        <w:rPr>
          <w:rFonts w:cs="Arial"/>
          <w:sz w:val="22"/>
          <w:szCs w:val="22"/>
        </w:rPr>
      </w:pPr>
      <w:r>
        <w:rPr>
          <w:sz w:val="22"/>
          <w:szCs w:val="22"/>
        </w:rPr>
        <w:t>2</w:t>
      </w:r>
      <w:r>
        <w:rPr>
          <w:sz w:val="22"/>
          <w:szCs w:val="22"/>
        </w:rPr>
        <w:tab/>
        <w:t>La procédure de calcul doit permettre de déterminer l</w:t>
      </w:r>
      <w:r w:rsidR="00EA7588">
        <w:rPr>
          <w:sz w:val="22"/>
          <w:szCs w:val="22"/>
        </w:rPr>
        <w:t>’</w:t>
      </w:r>
      <w:r>
        <w:rPr>
          <w:sz w:val="22"/>
          <w:szCs w:val="22"/>
        </w:rPr>
        <w:t xml:space="preserve">efficacité énergétique, exprimée en </w:t>
      </w:r>
      <w:r>
        <w:rPr>
          <w:i/>
          <w:iCs/>
          <w:sz w:val="22"/>
          <w:szCs w:val="22"/>
        </w:rPr>
        <w:t>consommation d</w:t>
      </w:r>
      <w:r w:rsidR="00EA7588">
        <w:rPr>
          <w:i/>
          <w:iCs/>
          <w:sz w:val="22"/>
          <w:szCs w:val="22"/>
        </w:rPr>
        <w:t>’</w:t>
      </w:r>
      <w:r>
        <w:rPr>
          <w:i/>
          <w:iCs/>
          <w:sz w:val="22"/>
          <w:szCs w:val="22"/>
        </w:rPr>
        <w:t>énergie primaire non renouvelable</w:t>
      </w:r>
      <w:r>
        <w:rPr>
          <w:sz w:val="22"/>
          <w:szCs w:val="22"/>
        </w:rPr>
        <w:t xml:space="preserve"> (C</w:t>
      </w:r>
      <w:r>
        <w:rPr>
          <w:sz w:val="22"/>
          <w:szCs w:val="22"/>
          <w:vertAlign w:val="subscript"/>
        </w:rPr>
        <w:t>ep, nren</w:t>
      </w:r>
      <w:r>
        <w:rPr>
          <w:sz w:val="22"/>
          <w:szCs w:val="22"/>
        </w:rPr>
        <w:t xml:space="preserve">), et en </w:t>
      </w:r>
      <w:r>
        <w:rPr>
          <w:i/>
          <w:iCs/>
          <w:sz w:val="22"/>
          <w:szCs w:val="22"/>
        </w:rPr>
        <w:t>consommation d</w:t>
      </w:r>
      <w:r w:rsidR="00EA7588">
        <w:rPr>
          <w:i/>
          <w:iCs/>
          <w:sz w:val="22"/>
          <w:szCs w:val="22"/>
        </w:rPr>
        <w:t>’</w:t>
      </w:r>
      <w:r>
        <w:rPr>
          <w:i/>
          <w:iCs/>
          <w:sz w:val="22"/>
          <w:szCs w:val="22"/>
        </w:rPr>
        <w:t>énergie primaire totale</w:t>
      </w:r>
      <w:r>
        <w:rPr>
          <w:sz w:val="22"/>
          <w:szCs w:val="22"/>
        </w:rPr>
        <w:t xml:space="preserve"> (C</w:t>
      </w:r>
      <w:r>
        <w:rPr>
          <w:sz w:val="22"/>
          <w:szCs w:val="22"/>
          <w:vertAlign w:val="subscript"/>
        </w:rPr>
        <w:t>ep, tot</w:t>
      </w:r>
      <w:r>
        <w:rPr>
          <w:sz w:val="22"/>
          <w:szCs w:val="22"/>
        </w:rPr>
        <w:t>), nécessaires à l</w:t>
      </w:r>
      <w:r w:rsidR="00EA7588">
        <w:rPr>
          <w:sz w:val="22"/>
          <w:szCs w:val="22"/>
        </w:rPr>
        <w:t>’</w:t>
      </w:r>
      <w:r>
        <w:rPr>
          <w:sz w:val="22"/>
          <w:szCs w:val="22"/>
        </w:rPr>
        <w:t>entretien du bâtiment ou d</w:t>
      </w:r>
      <w:r w:rsidR="00EA7588">
        <w:rPr>
          <w:sz w:val="22"/>
          <w:szCs w:val="22"/>
        </w:rPr>
        <w:t>’</w:t>
      </w:r>
      <w:r>
        <w:rPr>
          <w:sz w:val="22"/>
          <w:szCs w:val="22"/>
        </w:rPr>
        <w:t>une partie du bâtiment, pour une durée d</w:t>
      </w:r>
      <w:r w:rsidR="00EA7588">
        <w:rPr>
          <w:sz w:val="22"/>
          <w:szCs w:val="22"/>
        </w:rPr>
        <w:t>’</w:t>
      </w:r>
      <w:r>
        <w:rPr>
          <w:sz w:val="22"/>
          <w:szCs w:val="22"/>
        </w:rPr>
        <w:t xml:space="preserve">un an dans des </w:t>
      </w:r>
      <w:r>
        <w:rPr>
          <w:i/>
          <w:iCs/>
          <w:sz w:val="22"/>
          <w:szCs w:val="22"/>
        </w:rPr>
        <w:t>conditions opérationnelles</w:t>
      </w:r>
      <w:r>
        <w:rPr>
          <w:sz w:val="22"/>
          <w:szCs w:val="22"/>
        </w:rPr>
        <w:t xml:space="preserve"> et dans l’hypothèse d</w:t>
      </w:r>
      <w:r w:rsidR="00EA7588">
        <w:rPr>
          <w:sz w:val="22"/>
          <w:szCs w:val="22"/>
        </w:rPr>
        <w:t>’</w:t>
      </w:r>
      <w:r>
        <w:rPr>
          <w:sz w:val="22"/>
          <w:szCs w:val="22"/>
        </w:rPr>
        <w:t xml:space="preserve">une soumission aux </w:t>
      </w:r>
      <w:r>
        <w:rPr>
          <w:i/>
          <w:iCs/>
          <w:sz w:val="22"/>
          <w:szCs w:val="22"/>
        </w:rPr>
        <w:t>sollicitations intérieures</w:t>
      </w:r>
      <w:r>
        <w:rPr>
          <w:sz w:val="22"/>
          <w:szCs w:val="22"/>
        </w:rPr>
        <w:t xml:space="preserve"> et aux </w:t>
      </w:r>
      <w:r>
        <w:rPr>
          <w:i/>
          <w:iCs/>
          <w:sz w:val="22"/>
          <w:szCs w:val="22"/>
        </w:rPr>
        <w:t>sollicitations extérieures</w:t>
      </w:r>
      <w:r>
        <w:rPr>
          <w:sz w:val="22"/>
          <w:szCs w:val="22"/>
        </w:rPr>
        <w:t xml:space="preserve"> définies dans le règlement.</w:t>
      </w:r>
    </w:p>
    <w:p w14:paraId="1EBDC4BE" w14:textId="1FCACBA1" w:rsidR="004410BF" w:rsidRPr="00937C8B" w:rsidRDefault="006C641F" w:rsidP="00D27646">
      <w:pPr>
        <w:pStyle w:val="CTENumeracion"/>
        <w:keepNext/>
        <w:spacing w:before="120"/>
        <w:rPr>
          <w:rFonts w:cs="Arial"/>
          <w:sz w:val="22"/>
          <w:szCs w:val="22"/>
        </w:rPr>
      </w:pPr>
      <w:r>
        <w:rPr>
          <w:sz w:val="22"/>
          <w:szCs w:val="22"/>
        </w:rPr>
        <w:t>3</w:t>
      </w:r>
      <w:r>
        <w:rPr>
          <w:sz w:val="22"/>
          <w:szCs w:val="22"/>
        </w:rPr>
        <w:tab/>
        <w:t xml:space="preserve">La procédure de calcul doit permettre de ventiler la </w:t>
      </w:r>
      <w:r>
        <w:rPr>
          <w:i/>
          <w:sz w:val="22"/>
          <w:szCs w:val="22"/>
        </w:rPr>
        <w:t>consommation d</w:t>
      </w:r>
      <w:r w:rsidR="00EA7588">
        <w:rPr>
          <w:i/>
          <w:sz w:val="22"/>
          <w:szCs w:val="22"/>
        </w:rPr>
        <w:t>’</w:t>
      </w:r>
      <w:r>
        <w:rPr>
          <w:i/>
          <w:sz w:val="22"/>
          <w:szCs w:val="22"/>
        </w:rPr>
        <w:t>énergie</w:t>
      </w:r>
      <w:r>
        <w:rPr>
          <w:sz w:val="22"/>
          <w:szCs w:val="22"/>
        </w:rPr>
        <w:t xml:space="preserve"> </w:t>
      </w:r>
      <w:r>
        <w:rPr>
          <w:i/>
          <w:sz w:val="22"/>
          <w:szCs w:val="22"/>
        </w:rPr>
        <w:t>finale</w:t>
      </w:r>
      <w:r>
        <w:rPr>
          <w:sz w:val="22"/>
          <w:szCs w:val="22"/>
        </w:rPr>
        <w:t xml:space="preserve"> en fonction du vecteur énergétique utilisé (type de combustible ou électricité) afin de répondre aux besoins énergétiques de chaque service technique (chauffage, refroidissement, eau chaude sanitaire, ventilation, contrôle de l’humidité et éclairage le cas échéant). Pour cela, il convient de procéder à une simulation à travers un modèle thermique du bâtiment ou des méthodes simplifiées équivalentes, en tenant compte, en détail ou de manière simplifiée, des aspects suivants</w:t>
      </w:r>
    </w:p>
    <w:p w14:paraId="71316B70" w14:textId="54AD50E5" w:rsidR="006C641F" w:rsidRPr="00937C8B" w:rsidRDefault="004410BF" w:rsidP="004410BF">
      <w:pPr>
        <w:pStyle w:val="CTENumeracion"/>
        <w:ind w:left="709" w:hanging="312"/>
        <w:rPr>
          <w:rFonts w:cs="Arial"/>
          <w:sz w:val="22"/>
          <w:szCs w:val="22"/>
        </w:rPr>
      </w:pPr>
      <w:r>
        <w:rPr>
          <w:sz w:val="22"/>
          <w:szCs w:val="22"/>
        </w:rPr>
        <w:t>a)</w:t>
      </w:r>
      <w:r>
        <w:rPr>
          <w:sz w:val="22"/>
          <w:szCs w:val="22"/>
        </w:rPr>
        <w:tab/>
        <w:t>la conception, l</w:t>
      </w:r>
      <w:r w:rsidR="00EA7588">
        <w:rPr>
          <w:sz w:val="22"/>
          <w:szCs w:val="22"/>
        </w:rPr>
        <w:t>’</w:t>
      </w:r>
      <w:r>
        <w:rPr>
          <w:sz w:val="22"/>
          <w:szCs w:val="22"/>
        </w:rPr>
        <w:t>emplacement et l</w:t>
      </w:r>
      <w:r w:rsidR="00EA7588">
        <w:rPr>
          <w:sz w:val="22"/>
          <w:szCs w:val="22"/>
        </w:rPr>
        <w:t>’</w:t>
      </w:r>
      <w:r>
        <w:rPr>
          <w:sz w:val="22"/>
          <w:szCs w:val="22"/>
        </w:rPr>
        <w:t>orientation du bâtiment;</w:t>
      </w:r>
    </w:p>
    <w:p w14:paraId="0FF38D4B" w14:textId="1C548C78" w:rsidR="004410BF" w:rsidRPr="00937C8B" w:rsidRDefault="004410BF" w:rsidP="006C641F">
      <w:pPr>
        <w:pStyle w:val="CTENumeracion"/>
        <w:ind w:left="709" w:hanging="312"/>
        <w:rPr>
          <w:rFonts w:cs="Arial"/>
          <w:sz w:val="22"/>
          <w:szCs w:val="22"/>
        </w:rPr>
      </w:pPr>
      <w:r>
        <w:rPr>
          <w:sz w:val="22"/>
          <w:szCs w:val="22"/>
        </w:rPr>
        <w:t>b)</w:t>
      </w:r>
      <w:r>
        <w:rPr>
          <w:sz w:val="22"/>
          <w:szCs w:val="22"/>
        </w:rPr>
        <w:tab/>
        <w:t>l</w:t>
      </w:r>
      <w:r w:rsidR="00EA7588">
        <w:rPr>
          <w:sz w:val="22"/>
          <w:szCs w:val="22"/>
        </w:rPr>
        <w:t>’</w:t>
      </w:r>
      <w:r>
        <w:rPr>
          <w:sz w:val="22"/>
          <w:szCs w:val="22"/>
        </w:rPr>
        <w:t>évolution heure par heure en régime transitoire des procédés thermiques;</w:t>
      </w:r>
    </w:p>
    <w:p w14:paraId="0D80356A" w14:textId="77777777" w:rsidR="006C641F" w:rsidRPr="00937C8B" w:rsidRDefault="006C641F" w:rsidP="006C641F">
      <w:pPr>
        <w:pStyle w:val="CTENumeracion"/>
        <w:ind w:left="709" w:hanging="312"/>
        <w:rPr>
          <w:rFonts w:cs="Arial"/>
          <w:sz w:val="22"/>
          <w:szCs w:val="22"/>
        </w:rPr>
      </w:pPr>
      <w:r>
        <w:rPr>
          <w:sz w:val="22"/>
          <w:szCs w:val="22"/>
        </w:rPr>
        <w:t>c)</w:t>
      </w:r>
      <w:r>
        <w:rPr>
          <w:sz w:val="22"/>
          <w:szCs w:val="22"/>
        </w:rPr>
        <w:tab/>
        <w:t>le couplage thermique entre des zones adjacentes du bâtiment à différentes températures;</w:t>
      </w:r>
    </w:p>
    <w:p w14:paraId="0A8DDBB5" w14:textId="77777777" w:rsidR="006C641F" w:rsidRPr="00937C8B" w:rsidRDefault="006C641F" w:rsidP="006C641F">
      <w:pPr>
        <w:pStyle w:val="CTENumeracion"/>
        <w:ind w:left="709" w:hanging="312"/>
        <w:rPr>
          <w:rFonts w:cs="Arial"/>
          <w:sz w:val="22"/>
          <w:szCs w:val="22"/>
        </w:rPr>
      </w:pPr>
      <w:r>
        <w:rPr>
          <w:sz w:val="22"/>
          <w:szCs w:val="22"/>
        </w:rPr>
        <w:t>d)</w:t>
      </w:r>
      <w:r>
        <w:rPr>
          <w:sz w:val="22"/>
          <w:szCs w:val="22"/>
        </w:rPr>
        <w:tab/>
        <w:t xml:space="preserve">les </w:t>
      </w:r>
      <w:r>
        <w:rPr>
          <w:i/>
          <w:iCs/>
          <w:sz w:val="22"/>
          <w:szCs w:val="22"/>
        </w:rPr>
        <w:t>sollicitations extérieures</w:t>
      </w:r>
      <w:r>
        <w:rPr>
          <w:sz w:val="22"/>
          <w:szCs w:val="22"/>
        </w:rPr>
        <w:t xml:space="preserve">, les </w:t>
      </w:r>
      <w:r>
        <w:rPr>
          <w:i/>
          <w:iCs/>
          <w:sz w:val="22"/>
          <w:szCs w:val="22"/>
        </w:rPr>
        <w:t>sollicitations intérieures</w:t>
      </w:r>
      <w:r>
        <w:rPr>
          <w:sz w:val="22"/>
          <w:szCs w:val="22"/>
        </w:rPr>
        <w:t xml:space="preserve"> et les </w:t>
      </w:r>
      <w:r>
        <w:rPr>
          <w:i/>
          <w:iCs/>
          <w:sz w:val="22"/>
          <w:szCs w:val="22"/>
        </w:rPr>
        <w:t>conditions opérationnelles</w:t>
      </w:r>
      <w:r>
        <w:rPr>
          <w:sz w:val="22"/>
          <w:szCs w:val="22"/>
        </w:rPr>
        <w:t>, en tenant compte de la possibilité que les espaces se comportent en oscillation libre;</w:t>
      </w:r>
    </w:p>
    <w:p w14:paraId="7F326B11" w14:textId="17B018A4" w:rsidR="006C641F" w:rsidRPr="00937C8B" w:rsidRDefault="006C641F" w:rsidP="006C641F">
      <w:pPr>
        <w:pStyle w:val="CTENumeracion"/>
        <w:ind w:left="709" w:hanging="312"/>
        <w:rPr>
          <w:rFonts w:cs="Arial"/>
          <w:sz w:val="22"/>
          <w:szCs w:val="22"/>
        </w:rPr>
      </w:pPr>
      <w:r>
        <w:rPr>
          <w:sz w:val="22"/>
          <w:szCs w:val="22"/>
        </w:rPr>
        <w:t>e)</w:t>
      </w:r>
      <w:r>
        <w:rPr>
          <w:sz w:val="22"/>
          <w:szCs w:val="22"/>
        </w:rPr>
        <w:tab/>
        <w:t>les pertes et les gains d</w:t>
      </w:r>
      <w:r w:rsidR="00EA7588">
        <w:rPr>
          <w:sz w:val="22"/>
          <w:szCs w:val="22"/>
        </w:rPr>
        <w:t>’</w:t>
      </w:r>
      <w:r>
        <w:rPr>
          <w:sz w:val="22"/>
          <w:szCs w:val="22"/>
        </w:rPr>
        <w:t>énergie dus à la conduction à travers l</w:t>
      </w:r>
      <w:r w:rsidR="00EA7588">
        <w:rPr>
          <w:sz w:val="22"/>
          <w:szCs w:val="22"/>
        </w:rPr>
        <w:t>’</w:t>
      </w:r>
      <w:r>
        <w:rPr>
          <w:i/>
          <w:iCs/>
          <w:sz w:val="22"/>
          <w:szCs w:val="22"/>
        </w:rPr>
        <w:t>enceinte thermique</w:t>
      </w:r>
      <w:r>
        <w:rPr>
          <w:sz w:val="22"/>
          <w:szCs w:val="22"/>
        </w:rPr>
        <w:t xml:space="preserve"> du bâtiment, composée de </w:t>
      </w:r>
      <w:r>
        <w:rPr>
          <w:i/>
          <w:sz w:val="22"/>
          <w:szCs w:val="22"/>
        </w:rPr>
        <w:t>cloisons</w:t>
      </w:r>
      <w:r>
        <w:rPr>
          <w:sz w:val="22"/>
          <w:szCs w:val="22"/>
        </w:rPr>
        <w:t xml:space="preserve"> opaques, d</w:t>
      </w:r>
      <w:r w:rsidR="00EA7588">
        <w:rPr>
          <w:sz w:val="22"/>
          <w:szCs w:val="22"/>
        </w:rPr>
        <w:t>’</w:t>
      </w:r>
      <w:r>
        <w:rPr>
          <w:i/>
          <w:iCs/>
          <w:sz w:val="22"/>
          <w:szCs w:val="22"/>
        </w:rPr>
        <w:t>ouvertures</w:t>
      </w:r>
      <w:r>
        <w:rPr>
          <w:sz w:val="22"/>
          <w:szCs w:val="22"/>
        </w:rPr>
        <w:t xml:space="preserve"> et de </w:t>
      </w:r>
      <w:r>
        <w:rPr>
          <w:i/>
          <w:iCs/>
          <w:sz w:val="22"/>
          <w:szCs w:val="22"/>
        </w:rPr>
        <w:t>ponts thermiques</w:t>
      </w:r>
      <w:r>
        <w:rPr>
          <w:sz w:val="22"/>
          <w:szCs w:val="22"/>
        </w:rPr>
        <w:t xml:space="preserve"> en prenant en considération l</w:t>
      </w:r>
      <w:r w:rsidR="00EA7588">
        <w:rPr>
          <w:sz w:val="22"/>
          <w:szCs w:val="22"/>
        </w:rPr>
        <w:t>’</w:t>
      </w:r>
      <w:r>
        <w:rPr>
          <w:i/>
          <w:iCs/>
          <w:sz w:val="22"/>
          <w:szCs w:val="22"/>
        </w:rPr>
        <w:t>inertie thermique</w:t>
      </w:r>
      <w:r>
        <w:rPr>
          <w:sz w:val="22"/>
          <w:szCs w:val="22"/>
        </w:rPr>
        <w:t xml:space="preserve"> des </w:t>
      </w:r>
      <w:r>
        <w:rPr>
          <w:i/>
          <w:iCs/>
          <w:sz w:val="22"/>
          <w:szCs w:val="22"/>
        </w:rPr>
        <w:t>matériaux</w:t>
      </w:r>
      <w:r>
        <w:rPr>
          <w:sz w:val="22"/>
          <w:szCs w:val="22"/>
        </w:rPr>
        <w:t>.</w:t>
      </w:r>
    </w:p>
    <w:p w14:paraId="4C4273D8" w14:textId="4ABD3570" w:rsidR="006C641F" w:rsidRPr="00937C8B" w:rsidRDefault="006C641F" w:rsidP="006C641F">
      <w:pPr>
        <w:pStyle w:val="CTENumeracion"/>
        <w:ind w:left="709" w:hanging="312"/>
        <w:rPr>
          <w:rFonts w:cs="Arial"/>
          <w:sz w:val="22"/>
          <w:szCs w:val="22"/>
        </w:rPr>
      </w:pPr>
      <w:r>
        <w:rPr>
          <w:sz w:val="22"/>
          <w:szCs w:val="22"/>
        </w:rPr>
        <w:t>f)</w:t>
      </w:r>
      <w:r>
        <w:rPr>
          <w:sz w:val="22"/>
          <w:szCs w:val="22"/>
        </w:rPr>
        <w:tab/>
        <w:t>les pertes et les gains produits par le rayonnement solaire en traversant les éléments transparents ou semi-transparents ainsi que ceux liés au réchauffement des éléments opaques de l</w:t>
      </w:r>
      <w:r w:rsidR="00EA7588">
        <w:rPr>
          <w:sz w:val="22"/>
          <w:szCs w:val="22"/>
        </w:rPr>
        <w:t>’</w:t>
      </w:r>
      <w:r>
        <w:rPr>
          <w:i/>
          <w:sz w:val="22"/>
          <w:szCs w:val="22"/>
        </w:rPr>
        <w:t>enceinte thermique</w:t>
      </w:r>
      <w:r>
        <w:rPr>
          <w:sz w:val="22"/>
          <w:szCs w:val="22"/>
        </w:rPr>
        <w:t xml:space="preserve"> en tenant compte des propriétés des éléments, de leur orientation, de leur inclinaison et des ombres propres au bâtiment ou d</w:t>
      </w:r>
      <w:r w:rsidR="00EA7588">
        <w:rPr>
          <w:sz w:val="22"/>
          <w:szCs w:val="22"/>
        </w:rPr>
        <w:t>’</w:t>
      </w:r>
      <w:r>
        <w:rPr>
          <w:sz w:val="22"/>
          <w:szCs w:val="22"/>
        </w:rPr>
        <w:t>autres obstacles susceptibles de bloquer ce rayonnement;</w:t>
      </w:r>
    </w:p>
    <w:p w14:paraId="2C630B4C" w14:textId="24695447" w:rsidR="006C641F" w:rsidRPr="00937C8B" w:rsidRDefault="006C641F" w:rsidP="006C641F">
      <w:pPr>
        <w:pStyle w:val="CTENumeracion"/>
        <w:ind w:left="709" w:hanging="312"/>
        <w:rPr>
          <w:rFonts w:cs="Arial"/>
          <w:sz w:val="22"/>
          <w:szCs w:val="22"/>
        </w:rPr>
      </w:pPr>
      <w:r>
        <w:rPr>
          <w:sz w:val="22"/>
          <w:szCs w:val="22"/>
        </w:rPr>
        <w:t>g)</w:t>
      </w:r>
      <w:r>
        <w:rPr>
          <w:sz w:val="22"/>
          <w:szCs w:val="22"/>
        </w:rPr>
        <w:tab/>
        <w:t>les pertes et les gains d</w:t>
      </w:r>
      <w:r w:rsidR="00EA7588">
        <w:rPr>
          <w:sz w:val="22"/>
          <w:szCs w:val="22"/>
        </w:rPr>
        <w:t>’</w:t>
      </w:r>
      <w:r>
        <w:rPr>
          <w:sz w:val="22"/>
          <w:szCs w:val="22"/>
        </w:rPr>
        <w:t>énergie produits par l</w:t>
      </w:r>
      <w:r w:rsidR="00EA7588">
        <w:rPr>
          <w:sz w:val="22"/>
          <w:szCs w:val="22"/>
        </w:rPr>
        <w:t>’</w:t>
      </w:r>
      <w:r>
        <w:rPr>
          <w:sz w:val="22"/>
          <w:szCs w:val="22"/>
        </w:rPr>
        <w:t>échange d</w:t>
      </w:r>
      <w:r w:rsidR="00EA7588">
        <w:rPr>
          <w:sz w:val="22"/>
          <w:szCs w:val="22"/>
        </w:rPr>
        <w:t>’</w:t>
      </w:r>
      <w:r>
        <w:rPr>
          <w:sz w:val="22"/>
          <w:szCs w:val="22"/>
        </w:rPr>
        <w:t>air avec l</w:t>
      </w:r>
      <w:r w:rsidR="00EA7588">
        <w:rPr>
          <w:sz w:val="22"/>
          <w:szCs w:val="22"/>
        </w:rPr>
        <w:t>’</w:t>
      </w:r>
      <w:r>
        <w:rPr>
          <w:sz w:val="22"/>
          <w:szCs w:val="22"/>
        </w:rPr>
        <w:t>extérieur dû à la ventilation et aux infiltrations en tenant compte des exigences relatives à la qualité de l</w:t>
      </w:r>
      <w:r w:rsidR="00EA7588">
        <w:rPr>
          <w:sz w:val="22"/>
          <w:szCs w:val="22"/>
        </w:rPr>
        <w:t>’</w:t>
      </w:r>
      <w:r>
        <w:rPr>
          <w:sz w:val="22"/>
          <w:szCs w:val="22"/>
        </w:rPr>
        <w:t>air des différents espaces et des stratégies de contrôle employées;</w:t>
      </w:r>
    </w:p>
    <w:p w14:paraId="6EB536AD" w14:textId="3AA0903E" w:rsidR="006C641F" w:rsidRPr="00937C8B" w:rsidRDefault="006C641F" w:rsidP="006C641F">
      <w:pPr>
        <w:pStyle w:val="CTENumeracion"/>
        <w:ind w:left="709" w:hanging="312"/>
        <w:rPr>
          <w:rFonts w:cs="Arial"/>
          <w:sz w:val="22"/>
          <w:szCs w:val="22"/>
        </w:rPr>
      </w:pPr>
      <w:r>
        <w:rPr>
          <w:sz w:val="22"/>
          <w:szCs w:val="22"/>
        </w:rPr>
        <w:t>h)</w:t>
      </w:r>
      <w:r>
        <w:rPr>
          <w:sz w:val="22"/>
          <w:szCs w:val="22"/>
        </w:rPr>
        <w:tab/>
        <w:t>les besoins en services de chauffage, de refroidissement, d</w:t>
      </w:r>
      <w:r w:rsidR="00EA7588">
        <w:rPr>
          <w:sz w:val="22"/>
          <w:szCs w:val="22"/>
        </w:rPr>
        <w:t>’</w:t>
      </w:r>
      <w:r>
        <w:rPr>
          <w:sz w:val="22"/>
          <w:szCs w:val="22"/>
        </w:rPr>
        <w:t>ECS et de ventilation, de contrôle de l</w:t>
      </w:r>
      <w:r w:rsidR="00EA7588">
        <w:rPr>
          <w:sz w:val="22"/>
          <w:szCs w:val="22"/>
        </w:rPr>
        <w:t>’</w:t>
      </w:r>
      <w:r>
        <w:rPr>
          <w:sz w:val="22"/>
          <w:szCs w:val="22"/>
        </w:rPr>
        <w:t>humidité et, dans les usages hors résidentiel privé, d</w:t>
      </w:r>
      <w:r w:rsidR="00EA7588">
        <w:rPr>
          <w:sz w:val="22"/>
          <w:szCs w:val="22"/>
        </w:rPr>
        <w:t>’</w:t>
      </w:r>
      <w:r>
        <w:rPr>
          <w:sz w:val="22"/>
          <w:szCs w:val="22"/>
        </w:rPr>
        <w:t>éclairage;</w:t>
      </w:r>
    </w:p>
    <w:p w14:paraId="38FF8368" w14:textId="289584F0" w:rsidR="006C641F" w:rsidRPr="00937C8B" w:rsidRDefault="006C641F" w:rsidP="006C641F">
      <w:pPr>
        <w:pStyle w:val="CTENumeracion"/>
        <w:ind w:left="709" w:hanging="312"/>
        <w:rPr>
          <w:rFonts w:cs="Arial"/>
          <w:sz w:val="22"/>
          <w:szCs w:val="22"/>
        </w:rPr>
      </w:pPr>
      <w:r>
        <w:rPr>
          <w:sz w:val="22"/>
          <w:szCs w:val="22"/>
        </w:rPr>
        <w:t>i)</w:t>
      </w:r>
      <w:r>
        <w:rPr>
          <w:sz w:val="22"/>
          <w:szCs w:val="22"/>
        </w:rPr>
        <w:tab/>
        <w:t>les dimensions et les performances des équipements et des systèmes de production de froid et de chaleur, d</w:t>
      </w:r>
      <w:r w:rsidR="00EA7588">
        <w:rPr>
          <w:sz w:val="22"/>
          <w:szCs w:val="22"/>
        </w:rPr>
        <w:t>’</w:t>
      </w:r>
      <w:r>
        <w:rPr>
          <w:sz w:val="22"/>
          <w:szCs w:val="22"/>
        </w:rPr>
        <w:t>eau chaude sanitaire, de ventilation, de contrôle de l’humidité et d</w:t>
      </w:r>
      <w:r w:rsidR="00EA7588">
        <w:rPr>
          <w:sz w:val="22"/>
          <w:szCs w:val="22"/>
        </w:rPr>
        <w:t>’</w:t>
      </w:r>
      <w:r>
        <w:rPr>
          <w:sz w:val="22"/>
          <w:szCs w:val="22"/>
        </w:rPr>
        <w:t>éclairage;</w:t>
      </w:r>
    </w:p>
    <w:p w14:paraId="3D6110A9" w14:textId="6717B211" w:rsidR="006C641F" w:rsidRPr="00937C8B" w:rsidRDefault="006C641F" w:rsidP="006C641F">
      <w:pPr>
        <w:pStyle w:val="CTENumeracion"/>
        <w:ind w:left="709" w:hanging="312"/>
        <w:rPr>
          <w:rFonts w:cs="Arial"/>
          <w:sz w:val="22"/>
          <w:szCs w:val="22"/>
        </w:rPr>
      </w:pPr>
      <w:r>
        <w:rPr>
          <w:sz w:val="22"/>
          <w:szCs w:val="22"/>
        </w:rPr>
        <w:t>j)</w:t>
      </w:r>
      <w:r>
        <w:rPr>
          <w:sz w:val="22"/>
          <w:szCs w:val="22"/>
        </w:rPr>
        <w:tab/>
        <w:t>l</w:t>
      </w:r>
      <w:r w:rsidR="00EA7588">
        <w:rPr>
          <w:sz w:val="22"/>
          <w:szCs w:val="22"/>
        </w:rPr>
        <w:t>’</w:t>
      </w:r>
      <w:r>
        <w:rPr>
          <w:sz w:val="22"/>
          <w:szCs w:val="22"/>
        </w:rPr>
        <w:t>utilisation de différentes sources d</w:t>
      </w:r>
      <w:r w:rsidR="00EA7588">
        <w:rPr>
          <w:sz w:val="22"/>
          <w:szCs w:val="22"/>
        </w:rPr>
        <w:t>’</w:t>
      </w:r>
      <w:r>
        <w:rPr>
          <w:sz w:val="22"/>
          <w:szCs w:val="22"/>
        </w:rPr>
        <w:t>énergie, qu</w:t>
      </w:r>
      <w:r w:rsidR="00EA7588">
        <w:rPr>
          <w:sz w:val="22"/>
          <w:szCs w:val="22"/>
        </w:rPr>
        <w:t>’</w:t>
      </w:r>
      <w:r>
        <w:rPr>
          <w:sz w:val="22"/>
          <w:szCs w:val="22"/>
        </w:rPr>
        <w:t>elles soient générées in situ ou à distance ou à partir de biomasse solide, de biogaz ou de gaz renouvelables;</w:t>
      </w:r>
    </w:p>
    <w:p w14:paraId="4FC9021A" w14:textId="7B5A66BF" w:rsidR="006C641F" w:rsidRPr="00937C8B" w:rsidRDefault="006C641F" w:rsidP="006C641F">
      <w:pPr>
        <w:pStyle w:val="CTENumeracion"/>
        <w:ind w:left="709" w:hanging="312"/>
        <w:rPr>
          <w:rFonts w:cs="Arial"/>
          <w:sz w:val="22"/>
          <w:szCs w:val="22"/>
        </w:rPr>
      </w:pPr>
      <w:r>
        <w:rPr>
          <w:sz w:val="22"/>
          <w:szCs w:val="22"/>
        </w:rPr>
        <w:t>k)</w:t>
      </w:r>
      <w:r>
        <w:rPr>
          <w:sz w:val="22"/>
          <w:szCs w:val="22"/>
        </w:rPr>
        <w:tab/>
        <w:t>les facteurs de conversion de l</w:t>
      </w:r>
      <w:r w:rsidR="00EA7588">
        <w:rPr>
          <w:sz w:val="22"/>
          <w:szCs w:val="22"/>
        </w:rPr>
        <w:t>’</w:t>
      </w:r>
      <w:r>
        <w:rPr>
          <w:i/>
          <w:iCs/>
          <w:sz w:val="22"/>
          <w:szCs w:val="22"/>
        </w:rPr>
        <w:t>énergie finale</w:t>
      </w:r>
      <w:r>
        <w:rPr>
          <w:sz w:val="22"/>
          <w:szCs w:val="22"/>
        </w:rPr>
        <w:t xml:space="preserve"> en </w:t>
      </w:r>
      <w:r>
        <w:rPr>
          <w:i/>
          <w:iCs/>
          <w:sz w:val="22"/>
          <w:szCs w:val="22"/>
        </w:rPr>
        <w:t>énergie primaire</w:t>
      </w:r>
      <w:r>
        <w:rPr>
          <w:sz w:val="22"/>
          <w:szCs w:val="22"/>
        </w:rPr>
        <w:t xml:space="preserve"> produite à partir de sources renouvelables ou non renouvelables;</w:t>
      </w:r>
    </w:p>
    <w:p w14:paraId="6D62900F" w14:textId="77777777" w:rsidR="006C641F" w:rsidRPr="00937C8B" w:rsidRDefault="006C641F" w:rsidP="006C641F">
      <w:pPr>
        <w:pStyle w:val="CTENumeracion"/>
        <w:ind w:left="709" w:hanging="312"/>
        <w:rPr>
          <w:rFonts w:cs="Arial"/>
          <w:sz w:val="22"/>
          <w:szCs w:val="22"/>
        </w:rPr>
      </w:pPr>
      <w:r>
        <w:rPr>
          <w:sz w:val="22"/>
          <w:szCs w:val="22"/>
        </w:rPr>
        <w:t>l)</w:t>
      </w:r>
      <w:r>
        <w:rPr>
          <w:sz w:val="22"/>
          <w:szCs w:val="22"/>
        </w:rPr>
        <w:tab/>
        <w:t>la contribution des énergies renouvelables produites sur site ou à proximité de la parcelle ou à partir de biomasse solide, de biogaz ou de gaz renouvelables.</w:t>
      </w:r>
    </w:p>
    <w:p w14:paraId="793D8FE0" w14:textId="79F383A0" w:rsidR="006C641F" w:rsidRPr="00937C8B" w:rsidRDefault="006C641F" w:rsidP="006C641F">
      <w:pPr>
        <w:pStyle w:val="CTENumeracion"/>
        <w:spacing w:before="120"/>
        <w:rPr>
          <w:rFonts w:cs="Arial"/>
          <w:sz w:val="22"/>
          <w:szCs w:val="22"/>
        </w:rPr>
      </w:pPr>
      <w:r>
        <w:rPr>
          <w:sz w:val="22"/>
          <w:szCs w:val="22"/>
        </w:rPr>
        <w:t>4</w:t>
      </w:r>
      <w:r>
        <w:rPr>
          <w:sz w:val="22"/>
          <w:szCs w:val="22"/>
        </w:rPr>
        <w:tab/>
        <w:t>Le calcul des indicateurs d</w:t>
      </w:r>
      <w:r w:rsidR="00EA7588">
        <w:rPr>
          <w:sz w:val="22"/>
          <w:szCs w:val="22"/>
        </w:rPr>
        <w:t>’</w:t>
      </w:r>
      <w:r>
        <w:rPr>
          <w:sz w:val="22"/>
          <w:szCs w:val="22"/>
        </w:rPr>
        <w:t>efficacité énergétique, de production et de consommation d</w:t>
      </w:r>
      <w:r w:rsidR="00EA7588">
        <w:rPr>
          <w:sz w:val="22"/>
          <w:szCs w:val="22"/>
        </w:rPr>
        <w:t>’</w:t>
      </w:r>
      <w:r>
        <w:rPr>
          <w:sz w:val="22"/>
          <w:szCs w:val="22"/>
        </w:rPr>
        <w:t>énergie sera effectué à l</w:t>
      </w:r>
      <w:r w:rsidR="00EA7588">
        <w:rPr>
          <w:sz w:val="22"/>
          <w:szCs w:val="22"/>
        </w:rPr>
        <w:t>’</w:t>
      </w:r>
      <w:r>
        <w:rPr>
          <w:sz w:val="22"/>
          <w:szCs w:val="22"/>
        </w:rPr>
        <w:t>aide d</w:t>
      </w:r>
      <w:r w:rsidR="00EA7588">
        <w:rPr>
          <w:sz w:val="22"/>
          <w:szCs w:val="22"/>
        </w:rPr>
        <w:t>’</w:t>
      </w:r>
      <w:r>
        <w:rPr>
          <w:sz w:val="22"/>
          <w:szCs w:val="22"/>
        </w:rPr>
        <w:t>un intervalle de temps mensuel.</w:t>
      </w:r>
    </w:p>
    <w:p w14:paraId="49C56B1A" w14:textId="3995B4F3" w:rsidR="006C641F" w:rsidRPr="00937C8B" w:rsidRDefault="006C641F" w:rsidP="006C641F">
      <w:pPr>
        <w:pStyle w:val="CTENumeracion"/>
        <w:spacing w:before="120"/>
        <w:rPr>
          <w:rFonts w:cs="Arial"/>
          <w:sz w:val="22"/>
          <w:szCs w:val="22"/>
        </w:rPr>
      </w:pPr>
      <w:r>
        <w:rPr>
          <w:sz w:val="22"/>
          <w:szCs w:val="22"/>
        </w:rPr>
        <w:t>5</w:t>
      </w:r>
      <w:r>
        <w:rPr>
          <w:sz w:val="22"/>
          <w:szCs w:val="22"/>
        </w:rPr>
        <w:tab/>
        <w:t>Les facteurs de conversion de l</w:t>
      </w:r>
      <w:r w:rsidR="00EA7588">
        <w:rPr>
          <w:sz w:val="22"/>
          <w:szCs w:val="22"/>
        </w:rPr>
        <w:t>’</w:t>
      </w:r>
      <w:r>
        <w:rPr>
          <w:i/>
          <w:iCs/>
          <w:sz w:val="22"/>
          <w:szCs w:val="22"/>
        </w:rPr>
        <w:t>énergie finale</w:t>
      </w:r>
      <w:r>
        <w:rPr>
          <w:sz w:val="22"/>
          <w:szCs w:val="22"/>
        </w:rPr>
        <w:t xml:space="preserve"> en </w:t>
      </w:r>
      <w:r>
        <w:rPr>
          <w:i/>
          <w:iCs/>
          <w:sz w:val="22"/>
          <w:szCs w:val="22"/>
        </w:rPr>
        <w:t>énergie primaire</w:t>
      </w:r>
      <w:r>
        <w:rPr>
          <w:sz w:val="22"/>
          <w:szCs w:val="22"/>
        </w:rPr>
        <w:t xml:space="preserve"> (totale, produite à partir de sources renouvelables ou non renouvelables) seront ceux officiellement publiés.</w:t>
      </w:r>
    </w:p>
    <w:p w14:paraId="35AA9F7C" w14:textId="6C9B8526" w:rsidR="006C641F" w:rsidRPr="00937C8B" w:rsidRDefault="006C641F" w:rsidP="006C641F">
      <w:pPr>
        <w:pStyle w:val="CTENumeracion"/>
        <w:spacing w:before="120"/>
        <w:rPr>
          <w:rFonts w:cs="Arial"/>
          <w:sz w:val="22"/>
          <w:szCs w:val="22"/>
        </w:rPr>
      </w:pPr>
      <w:r>
        <w:rPr>
          <w:bCs/>
          <w:sz w:val="22"/>
          <w:szCs w:val="22"/>
        </w:rPr>
        <w:t>6</w:t>
      </w:r>
      <w:r>
        <w:rPr>
          <w:bCs/>
          <w:sz w:val="22"/>
          <w:szCs w:val="22"/>
        </w:rPr>
        <w:tab/>
        <w:t xml:space="preserve">Le total des </w:t>
      </w:r>
      <w:r>
        <w:rPr>
          <w:bCs/>
          <w:i/>
          <w:iCs/>
          <w:sz w:val="22"/>
          <w:szCs w:val="22"/>
        </w:rPr>
        <w:t>heures hors consigne</w:t>
      </w:r>
      <w:r>
        <w:rPr>
          <w:bCs/>
          <w:sz w:val="22"/>
          <w:szCs w:val="22"/>
        </w:rPr>
        <w:t xml:space="preserve"> ne dépassera pas 4</w:t>
      </w:r>
      <w:r w:rsidR="00EA7588">
        <w:rPr>
          <w:bCs/>
          <w:sz w:val="22"/>
          <w:szCs w:val="22"/>
        </w:rPr>
        <w:t> </w:t>
      </w:r>
      <w:r>
        <w:rPr>
          <w:bCs/>
          <w:sz w:val="22"/>
          <w:szCs w:val="22"/>
        </w:rPr>
        <w:t>% du temps total d</w:t>
      </w:r>
      <w:r w:rsidR="00EA7588">
        <w:rPr>
          <w:bCs/>
          <w:sz w:val="22"/>
          <w:szCs w:val="22"/>
        </w:rPr>
        <w:t>’</w:t>
      </w:r>
      <w:r>
        <w:rPr>
          <w:bCs/>
          <w:sz w:val="22"/>
          <w:szCs w:val="22"/>
        </w:rPr>
        <w:t>occupation.</w:t>
      </w:r>
    </w:p>
    <w:p w14:paraId="6DB5261F" w14:textId="263E8C60" w:rsidR="006C641F" w:rsidRPr="00937C8B" w:rsidRDefault="006C641F" w:rsidP="006C641F">
      <w:pPr>
        <w:pStyle w:val="CTENumeracion"/>
        <w:spacing w:before="120"/>
        <w:rPr>
          <w:rFonts w:cs="Arial"/>
          <w:sz w:val="22"/>
          <w:szCs w:val="22"/>
        </w:rPr>
      </w:pPr>
      <w:r>
        <w:rPr>
          <w:sz w:val="22"/>
          <w:szCs w:val="22"/>
        </w:rPr>
        <w:lastRenderedPageBreak/>
        <w:t>7</w:t>
      </w:r>
      <w:r>
        <w:rPr>
          <w:sz w:val="22"/>
          <w:szCs w:val="22"/>
        </w:rPr>
        <w:tab/>
        <w:t xml:space="preserve">Les espaces du modèle disposeront de </w:t>
      </w:r>
      <w:r>
        <w:rPr>
          <w:i/>
          <w:iCs/>
          <w:sz w:val="22"/>
          <w:szCs w:val="22"/>
        </w:rPr>
        <w:t>conditions opérationnelles</w:t>
      </w:r>
      <w:r>
        <w:rPr>
          <w:sz w:val="22"/>
          <w:szCs w:val="22"/>
        </w:rPr>
        <w:t xml:space="preserve"> et des </w:t>
      </w:r>
      <w:r>
        <w:rPr>
          <w:i/>
          <w:iCs/>
          <w:sz w:val="22"/>
          <w:szCs w:val="22"/>
        </w:rPr>
        <w:t>profils d</w:t>
      </w:r>
      <w:r w:rsidR="00EA7588">
        <w:rPr>
          <w:i/>
          <w:iCs/>
          <w:sz w:val="22"/>
          <w:szCs w:val="22"/>
        </w:rPr>
        <w:t>’</w:t>
      </w:r>
      <w:r>
        <w:rPr>
          <w:i/>
          <w:iCs/>
          <w:sz w:val="22"/>
          <w:szCs w:val="22"/>
        </w:rPr>
        <w:t>utilisation</w:t>
      </w:r>
      <w:r>
        <w:rPr>
          <w:sz w:val="22"/>
          <w:szCs w:val="22"/>
        </w:rPr>
        <w:t xml:space="preserve"> associés conformément à l</w:t>
      </w:r>
      <w:r w:rsidR="00EA7588">
        <w:rPr>
          <w:sz w:val="22"/>
          <w:szCs w:val="22"/>
        </w:rPr>
        <w:t>’</w:t>
      </w:r>
      <w:r>
        <w:rPr>
          <w:sz w:val="22"/>
          <w:szCs w:val="22"/>
        </w:rPr>
        <w:t>annexe D.</w:t>
      </w:r>
    </w:p>
    <w:p w14:paraId="59845771" w14:textId="2334B597" w:rsidR="006C641F" w:rsidRPr="00937C8B" w:rsidRDefault="006C641F" w:rsidP="006C641F">
      <w:pPr>
        <w:pStyle w:val="CTENumeracion"/>
        <w:spacing w:before="120"/>
        <w:rPr>
          <w:rFonts w:cs="Arial"/>
          <w:sz w:val="22"/>
          <w:szCs w:val="22"/>
        </w:rPr>
      </w:pPr>
      <w:r>
        <w:rPr>
          <w:sz w:val="22"/>
          <w:szCs w:val="22"/>
        </w:rPr>
        <w:t>8</w:t>
      </w:r>
      <w:r>
        <w:rPr>
          <w:sz w:val="22"/>
          <w:szCs w:val="22"/>
        </w:rPr>
        <w:tab/>
        <w:t>Les valeurs de la demande de référence d</w:t>
      </w:r>
      <w:r w:rsidR="00EA7588">
        <w:rPr>
          <w:sz w:val="22"/>
          <w:szCs w:val="22"/>
        </w:rPr>
        <w:t>’</w:t>
      </w:r>
      <w:r>
        <w:rPr>
          <w:sz w:val="22"/>
          <w:szCs w:val="22"/>
        </w:rPr>
        <w:t>ECS seront définies conformément à l</w:t>
      </w:r>
      <w:r w:rsidR="00EA7588">
        <w:rPr>
          <w:sz w:val="22"/>
          <w:szCs w:val="22"/>
        </w:rPr>
        <w:t>’</w:t>
      </w:r>
      <w:r>
        <w:rPr>
          <w:sz w:val="22"/>
          <w:szCs w:val="22"/>
        </w:rPr>
        <w:t>annexe F. L</w:t>
      </w:r>
      <w:r w:rsidR="00EA7588">
        <w:rPr>
          <w:sz w:val="22"/>
          <w:szCs w:val="22"/>
        </w:rPr>
        <w:t>’</w:t>
      </w:r>
      <w:r>
        <w:rPr>
          <w:sz w:val="22"/>
          <w:szCs w:val="22"/>
        </w:rPr>
        <w:t>annexe G comprend les valeurs de température de l</w:t>
      </w:r>
      <w:r w:rsidR="00EA7588">
        <w:rPr>
          <w:sz w:val="22"/>
          <w:szCs w:val="22"/>
        </w:rPr>
        <w:t>’</w:t>
      </w:r>
      <w:r>
        <w:rPr>
          <w:sz w:val="22"/>
          <w:szCs w:val="22"/>
        </w:rPr>
        <w:t>eau du réseau pour le calcul de la consommation d</w:t>
      </w:r>
      <w:r w:rsidR="00EA7588">
        <w:rPr>
          <w:sz w:val="22"/>
          <w:szCs w:val="22"/>
        </w:rPr>
        <w:t>’</w:t>
      </w:r>
      <w:r>
        <w:rPr>
          <w:sz w:val="22"/>
          <w:szCs w:val="22"/>
        </w:rPr>
        <w:t>ECS.</w:t>
      </w:r>
    </w:p>
    <w:p w14:paraId="451B5E58" w14:textId="119855A3" w:rsidR="006C641F" w:rsidRPr="00937C8B" w:rsidRDefault="006C641F" w:rsidP="006C641F">
      <w:pPr>
        <w:pStyle w:val="CTENumeracion"/>
        <w:spacing w:before="120"/>
        <w:rPr>
          <w:rFonts w:cs="Arial"/>
        </w:rPr>
      </w:pPr>
      <w:r>
        <w:rPr>
          <w:sz w:val="22"/>
          <w:szCs w:val="22"/>
        </w:rPr>
        <w:t>9</w:t>
      </w:r>
      <w:r>
        <w:rPr>
          <w:sz w:val="22"/>
          <w:szCs w:val="22"/>
        </w:rPr>
        <w:tab/>
        <w:t xml:space="preserve">Pour les aspects non définis par </w:t>
      </w:r>
      <w:r>
        <w:rPr>
          <w:sz w:val="22"/>
          <w:szCs w:val="22"/>
          <w:shd w:val="clear" w:color="auto" w:fill="FFFFFF"/>
        </w:rPr>
        <w:t>le présent DB</w:t>
      </w:r>
      <w:r>
        <w:rPr>
          <w:sz w:val="22"/>
          <w:szCs w:val="22"/>
        </w:rPr>
        <w:t xml:space="preserve">, le calcul des besoins énergétiques, de la consommation énergétique et des indicateurs énergétiques doit se conformer au document reconnu intitulé </w:t>
      </w:r>
      <w:r>
        <w:rPr>
          <w:i/>
          <w:iCs/>
          <w:sz w:val="22"/>
          <w:szCs w:val="22"/>
        </w:rPr>
        <w:t>Conditions techniques des procédures d</w:t>
      </w:r>
      <w:r w:rsidR="00EA7588">
        <w:rPr>
          <w:i/>
          <w:iCs/>
          <w:sz w:val="22"/>
          <w:szCs w:val="22"/>
        </w:rPr>
        <w:t>’</w:t>
      </w:r>
      <w:r>
        <w:rPr>
          <w:i/>
          <w:iCs/>
          <w:sz w:val="22"/>
          <w:szCs w:val="22"/>
        </w:rPr>
        <w:t>évaluation de l</w:t>
      </w:r>
      <w:r w:rsidR="00EA7588">
        <w:rPr>
          <w:i/>
          <w:iCs/>
          <w:sz w:val="22"/>
          <w:szCs w:val="22"/>
        </w:rPr>
        <w:t>’</w:t>
      </w:r>
      <w:r>
        <w:rPr>
          <w:i/>
          <w:iCs/>
          <w:sz w:val="22"/>
          <w:szCs w:val="22"/>
        </w:rPr>
        <w:t>efficacité énergétique des bâtiments</w:t>
      </w:r>
      <w:r>
        <w:rPr>
          <w:sz w:val="22"/>
          <w:szCs w:val="22"/>
        </w:rPr>
        <w:t>.</w:t>
      </w:r>
    </w:p>
    <w:p w14:paraId="45FF3D12" w14:textId="77777777" w:rsidR="006C641F" w:rsidRPr="00937C8B" w:rsidRDefault="006C641F" w:rsidP="009467D5">
      <w:pPr>
        <w:pStyle w:val="CteTtulo3"/>
      </w:pPr>
      <w:bookmarkStart w:id="47" w:name="_Toc530395237"/>
      <w:bookmarkStart w:id="48" w:name="_Toc530396116"/>
      <w:bookmarkStart w:id="49" w:name="_Toc39157908"/>
      <w:r>
        <w:t>4.2</w:t>
      </w:r>
      <w:r>
        <w:tab/>
        <w:t>Sollicitations extérieures</w:t>
      </w:r>
      <w:bookmarkEnd w:id="47"/>
      <w:bookmarkEnd w:id="48"/>
      <w:bookmarkEnd w:id="49"/>
    </w:p>
    <w:p w14:paraId="6BD6B2FA" w14:textId="77777777" w:rsidR="006C641F" w:rsidRPr="00937C8B" w:rsidRDefault="006C641F" w:rsidP="006C641F">
      <w:pPr>
        <w:pStyle w:val="CTENumeracion"/>
        <w:spacing w:before="120"/>
        <w:rPr>
          <w:rFonts w:cs="Arial"/>
          <w:iCs/>
          <w:sz w:val="22"/>
          <w:szCs w:val="22"/>
        </w:rPr>
      </w:pPr>
      <w:r>
        <w:rPr>
          <w:sz w:val="22"/>
          <w:szCs w:val="22"/>
        </w:rPr>
        <w:t>1</w:t>
      </w:r>
      <w:r>
        <w:rPr>
          <w:sz w:val="22"/>
          <w:szCs w:val="22"/>
        </w:rPr>
        <w:tab/>
        <w:t>Les sollicitations extérieures désignent les actions du climat sur le bâtiment ayant un effet sur son comportement thermique.</w:t>
      </w:r>
    </w:p>
    <w:p w14:paraId="269D200D" w14:textId="77777777" w:rsidR="006C641F" w:rsidRPr="00937C8B" w:rsidRDefault="006C641F" w:rsidP="006C641F">
      <w:pPr>
        <w:pStyle w:val="CTENumeracion"/>
        <w:spacing w:before="120"/>
        <w:rPr>
          <w:rFonts w:cs="Arial"/>
          <w:iCs/>
          <w:sz w:val="22"/>
          <w:szCs w:val="22"/>
        </w:rPr>
      </w:pPr>
      <w:r>
        <w:rPr>
          <w:iCs/>
          <w:sz w:val="22"/>
          <w:szCs w:val="22"/>
        </w:rPr>
        <w:t>2</w:t>
      </w:r>
      <w:r>
        <w:rPr>
          <w:iCs/>
          <w:sz w:val="22"/>
          <w:szCs w:val="22"/>
        </w:rPr>
        <w:tab/>
        <w:t>Aux fins du calcul, un ensemble de zones climatiques est établi pour lesquelles un climat de référence est défini, déterminant les sollicitations extérieures en termes de température et de rayonnement solaire.</w:t>
      </w:r>
    </w:p>
    <w:p w14:paraId="74E356AE" w14:textId="2E971FC4" w:rsidR="006C641F" w:rsidRPr="00937C8B" w:rsidRDefault="0022053B" w:rsidP="006C641F">
      <w:pPr>
        <w:pStyle w:val="CTENumeracion"/>
        <w:spacing w:before="120"/>
        <w:rPr>
          <w:rFonts w:cs="Arial"/>
          <w:iCs/>
          <w:sz w:val="22"/>
          <w:szCs w:val="22"/>
        </w:rPr>
      </w:pPr>
      <w:r>
        <w:rPr>
          <w:iCs/>
          <w:sz w:val="22"/>
          <w:szCs w:val="22"/>
        </w:rPr>
        <w:t>3</w:t>
      </w:r>
      <w:r>
        <w:rPr>
          <w:iCs/>
          <w:sz w:val="22"/>
          <w:szCs w:val="22"/>
        </w:rPr>
        <w:tab/>
        <w:t>La zone climatique de chaque lieu, ainsi que son climat de référence, sont déterminés à partir des valeurs tabulaires précisées à l</w:t>
      </w:r>
      <w:r w:rsidR="00EA7588">
        <w:rPr>
          <w:iCs/>
          <w:sz w:val="22"/>
          <w:szCs w:val="22"/>
        </w:rPr>
        <w:t>’</w:t>
      </w:r>
      <w:r>
        <w:rPr>
          <w:iCs/>
          <w:sz w:val="22"/>
          <w:szCs w:val="22"/>
        </w:rPr>
        <w:t>annexe B ou des documents reconnus élaborés par les communautés autonomes.</w:t>
      </w:r>
    </w:p>
    <w:p w14:paraId="508147BF" w14:textId="77777777" w:rsidR="006C641F" w:rsidRPr="00937C8B" w:rsidRDefault="006C641F" w:rsidP="009467D5">
      <w:pPr>
        <w:pStyle w:val="CteTtulo3"/>
      </w:pPr>
      <w:bookmarkStart w:id="50" w:name="Sección_HE0_SolicitacionesInteriores"/>
      <w:bookmarkStart w:id="51" w:name="_Toc530395238"/>
      <w:bookmarkStart w:id="52" w:name="_Toc39157909"/>
      <w:bookmarkEnd w:id="50"/>
      <w:r>
        <w:t>4.3</w:t>
      </w:r>
      <w:r>
        <w:tab/>
        <w:t>Sollicitations intérieures et conditions opérationnelles</w:t>
      </w:r>
      <w:bookmarkEnd w:id="51"/>
      <w:bookmarkEnd w:id="52"/>
    </w:p>
    <w:p w14:paraId="0AAA5204" w14:textId="618F0F0A" w:rsidR="006C641F" w:rsidRPr="00937C8B" w:rsidRDefault="006C641F" w:rsidP="006C641F">
      <w:pPr>
        <w:pStyle w:val="CTENumeracion"/>
        <w:spacing w:before="120"/>
        <w:rPr>
          <w:rFonts w:cs="Arial"/>
          <w:iCs/>
          <w:sz w:val="22"/>
          <w:szCs w:val="22"/>
        </w:rPr>
      </w:pPr>
      <w:r>
        <w:rPr>
          <w:sz w:val="22"/>
          <w:szCs w:val="22"/>
        </w:rPr>
        <w:t>1</w:t>
      </w:r>
      <w:r>
        <w:rPr>
          <w:sz w:val="22"/>
          <w:szCs w:val="22"/>
        </w:rPr>
        <w:tab/>
        <w:t xml:space="preserve">Les </w:t>
      </w:r>
      <w:r>
        <w:rPr>
          <w:i/>
          <w:sz w:val="22"/>
          <w:szCs w:val="22"/>
        </w:rPr>
        <w:t>sollicitations intérieures</w:t>
      </w:r>
      <w:r>
        <w:rPr>
          <w:sz w:val="22"/>
          <w:szCs w:val="22"/>
        </w:rPr>
        <w:t xml:space="preserve"> désignent les charges thermiques qui se produisent à l</w:t>
      </w:r>
      <w:r w:rsidR="00EA7588">
        <w:rPr>
          <w:sz w:val="22"/>
          <w:szCs w:val="22"/>
        </w:rPr>
        <w:t>’</w:t>
      </w:r>
      <w:r>
        <w:rPr>
          <w:sz w:val="22"/>
          <w:szCs w:val="22"/>
        </w:rPr>
        <w:t>intérieur du bâtiment en raison des apports d</w:t>
      </w:r>
      <w:r w:rsidR="00EA7588">
        <w:rPr>
          <w:sz w:val="22"/>
          <w:szCs w:val="22"/>
        </w:rPr>
        <w:t>’</w:t>
      </w:r>
      <w:r>
        <w:rPr>
          <w:sz w:val="22"/>
          <w:szCs w:val="22"/>
        </w:rPr>
        <w:t>énergie des occupants, des équipements et des systèmes d</w:t>
      </w:r>
      <w:r w:rsidR="00EA7588">
        <w:rPr>
          <w:sz w:val="22"/>
          <w:szCs w:val="22"/>
        </w:rPr>
        <w:t>’</w:t>
      </w:r>
      <w:r>
        <w:rPr>
          <w:sz w:val="22"/>
          <w:szCs w:val="22"/>
        </w:rPr>
        <w:t>éclairage.</w:t>
      </w:r>
      <w:r>
        <w:rPr>
          <w:iCs/>
          <w:sz w:val="22"/>
          <w:szCs w:val="22"/>
        </w:rPr>
        <w:t xml:space="preserve"> Les sollicitations intérieures sont caractérisées par un </w:t>
      </w:r>
      <w:r>
        <w:rPr>
          <w:i/>
          <w:iCs/>
          <w:sz w:val="22"/>
          <w:szCs w:val="22"/>
        </w:rPr>
        <w:t>profil d</w:t>
      </w:r>
      <w:r w:rsidR="00EA7588">
        <w:rPr>
          <w:i/>
          <w:iCs/>
          <w:sz w:val="22"/>
          <w:szCs w:val="22"/>
        </w:rPr>
        <w:t>’</w:t>
      </w:r>
      <w:r>
        <w:rPr>
          <w:i/>
          <w:iCs/>
          <w:sz w:val="22"/>
          <w:szCs w:val="22"/>
        </w:rPr>
        <w:t>utilisation</w:t>
      </w:r>
      <w:r>
        <w:rPr>
          <w:iCs/>
          <w:sz w:val="22"/>
          <w:szCs w:val="22"/>
        </w:rPr>
        <w:t xml:space="preserve"> qui décrit les </w:t>
      </w:r>
      <w:r>
        <w:rPr>
          <w:i/>
          <w:iCs/>
          <w:sz w:val="22"/>
          <w:szCs w:val="22"/>
        </w:rPr>
        <w:t>charges internes</w:t>
      </w:r>
      <w:r>
        <w:rPr>
          <w:iCs/>
          <w:sz w:val="22"/>
          <w:szCs w:val="22"/>
        </w:rPr>
        <w:t xml:space="preserve"> pour chaque type d</w:t>
      </w:r>
      <w:r w:rsidR="00EA7588">
        <w:rPr>
          <w:iCs/>
          <w:sz w:val="22"/>
          <w:szCs w:val="22"/>
        </w:rPr>
        <w:t>’</w:t>
      </w:r>
      <w:r>
        <w:rPr>
          <w:iCs/>
          <w:sz w:val="22"/>
          <w:szCs w:val="22"/>
        </w:rPr>
        <w:t>espace. Les espaces du modèle thermique auront un profil d</w:t>
      </w:r>
      <w:r w:rsidR="00EA7588">
        <w:rPr>
          <w:iCs/>
          <w:sz w:val="22"/>
          <w:szCs w:val="22"/>
        </w:rPr>
        <w:t>’</w:t>
      </w:r>
      <w:r>
        <w:rPr>
          <w:iCs/>
          <w:sz w:val="22"/>
          <w:szCs w:val="22"/>
        </w:rPr>
        <w:t>utilisation associé conformément à l</w:t>
      </w:r>
      <w:r w:rsidR="00EA7588">
        <w:rPr>
          <w:iCs/>
          <w:sz w:val="22"/>
          <w:szCs w:val="22"/>
        </w:rPr>
        <w:t>’</w:t>
      </w:r>
      <w:r>
        <w:rPr>
          <w:iCs/>
          <w:sz w:val="22"/>
          <w:szCs w:val="22"/>
        </w:rPr>
        <w:t>annexe D.</w:t>
      </w:r>
    </w:p>
    <w:p w14:paraId="43191EF2" w14:textId="3CFF641B" w:rsidR="006C641F" w:rsidRPr="00937C8B" w:rsidRDefault="006C641F" w:rsidP="00D27646">
      <w:pPr>
        <w:pStyle w:val="CTENumeracion"/>
        <w:keepNext/>
        <w:spacing w:before="120"/>
        <w:rPr>
          <w:rFonts w:cs="Arial"/>
          <w:sz w:val="22"/>
          <w:szCs w:val="22"/>
        </w:rPr>
      </w:pPr>
      <w:r>
        <w:rPr>
          <w:sz w:val="22"/>
          <w:szCs w:val="22"/>
        </w:rPr>
        <w:t>2</w:t>
      </w:r>
      <w:r>
        <w:rPr>
          <w:sz w:val="22"/>
          <w:szCs w:val="22"/>
        </w:rPr>
        <w:tab/>
        <w:t>Les conditions opérationnelles des espaces à usage résidentiel privé sont définies par les paramètres suivants, inclus dans les profils d</w:t>
      </w:r>
      <w:r w:rsidR="00EA7588">
        <w:rPr>
          <w:sz w:val="22"/>
          <w:szCs w:val="22"/>
        </w:rPr>
        <w:t>’</w:t>
      </w:r>
      <w:r>
        <w:rPr>
          <w:sz w:val="22"/>
          <w:szCs w:val="22"/>
        </w:rPr>
        <w:t>utilisation de l</w:t>
      </w:r>
      <w:r w:rsidR="00EA7588">
        <w:rPr>
          <w:sz w:val="22"/>
          <w:szCs w:val="22"/>
        </w:rPr>
        <w:t>’</w:t>
      </w:r>
      <w:r>
        <w:rPr>
          <w:sz w:val="22"/>
          <w:szCs w:val="22"/>
        </w:rPr>
        <w:t xml:space="preserve">annexe D: </w:t>
      </w:r>
    </w:p>
    <w:p w14:paraId="35C50C4C" w14:textId="77777777" w:rsidR="006C641F" w:rsidRPr="00937C8B" w:rsidRDefault="006C641F" w:rsidP="006C641F">
      <w:pPr>
        <w:pStyle w:val="CTENumeracion"/>
        <w:ind w:left="737" w:hanging="28"/>
        <w:rPr>
          <w:rFonts w:cs="Arial"/>
          <w:sz w:val="22"/>
          <w:szCs w:val="22"/>
        </w:rPr>
      </w:pPr>
      <w:r>
        <w:rPr>
          <w:sz w:val="22"/>
          <w:szCs w:val="22"/>
        </w:rPr>
        <w:t>a)</w:t>
      </w:r>
      <w:r>
        <w:rPr>
          <w:sz w:val="22"/>
          <w:szCs w:val="22"/>
        </w:rPr>
        <w:tab/>
        <w:t xml:space="preserve">températures de consigne élevée; </w:t>
      </w:r>
    </w:p>
    <w:p w14:paraId="6375860A" w14:textId="77777777" w:rsidR="006C641F" w:rsidRPr="00937C8B" w:rsidRDefault="006C641F" w:rsidP="006C641F">
      <w:pPr>
        <w:pStyle w:val="CTENumeracion"/>
        <w:ind w:left="737" w:hanging="28"/>
        <w:rPr>
          <w:rFonts w:cs="Arial"/>
          <w:sz w:val="22"/>
          <w:szCs w:val="22"/>
        </w:rPr>
      </w:pPr>
      <w:r>
        <w:rPr>
          <w:sz w:val="22"/>
          <w:szCs w:val="22"/>
        </w:rPr>
        <w:t>b)</w:t>
      </w:r>
      <w:r>
        <w:rPr>
          <w:sz w:val="22"/>
          <w:szCs w:val="22"/>
        </w:rPr>
        <w:tab/>
        <w:t>températures de consigne basse;</w:t>
      </w:r>
    </w:p>
    <w:p w14:paraId="2EA423F2" w14:textId="77777777" w:rsidR="006C641F" w:rsidRPr="00937C8B" w:rsidRDefault="006C641F" w:rsidP="006C641F">
      <w:pPr>
        <w:pStyle w:val="CTENumeracion"/>
        <w:ind w:left="737" w:hanging="28"/>
        <w:rPr>
          <w:rFonts w:cs="Arial"/>
          <w:sz w:val="22"/>
          <w:szCs w:val="22"/>
        </w:rPr>
      </w:pPr>
      <w:r>
        <w:rPr>
          <w:sz w:val="22"/>
          <w:szCs w:val="22"/>
        </w:rPr>
        <w:t>c)</w:t>
      </w:r>
      <w:r>
        <w:rPr>
          <w:sz w:val="22"/>
          <w:szCs w:val="22"/>
        </w:rPr>
        <w:tab/>
        <w:t>répartition horaire de la consommation d’ECS.</w:t>
      </w:r>
    </w:p>
    <w:p w14:paraId="6A03CD7C" w14:textId="77777777" w:rsidR="006C641F" w:rsidRPr="00937C8B" w:rsidRDefault="006C641F" w:rsidP="009467D5">
      <w:pPr>
        <w:pStyle w:val="CteTtulo3"/>
      </w:pPr>
      <w:bookmarkStart w:id="53" w:name="_Toc530395239"/>
      <w:bookmarkStart w:id="54" w:name="_Toc530396118"/>
      <w:bookmarkStart w:id="55" w:name="_Toc39157910"/>
      <w:r>
        <w:t>4.4</w:t>
      </w:r>
      <w:r>
        <w:tab/>
        <w:t xml:space="preserve">Modèle thermique: </w:t>
      </w:r>
      <w:r>
        <w:rPr>
          <w:i/>
        </w:rPr>
        <w:t xml:space="preserve">Enceinte thermique </w:t>
      </w:r>
      <w:r>
        <w:t>et répartition par zones</w:t>
      </w:r>
      <w:bookmarkEnd w:id="53"/>
      <w:bookmarkEnd w:id="54"/>
      <w:bookmarkEnd w:id="55"/>
    </w:p>
    <w:p w14:paraId="2EEEEE55" w14:textId="352E030F" w:rsidR="006C641F" w:rsidRPr="00937C8B" w:rsidRDefault="006C641F" w:rsidP="006C641F">
      <w:pPr>
        <w:pStyle w:val="CTENumeracion"/>
        <w:spacing w:before="120"/>
        <w:rPr>
          <w:rFonts w:cs="Arial"/>
          <w:sz w:val="22"/>
          <w:szCs w:val="22"/>
        </w:rPr>
      </w:pPr>
      <w:r>
        <w:rPr>
          <w:sz w:val="22"/>
          <w:szCs w:val="22"/>
        </w:rPr>
        <w:t>1</w:t>
      </w:r>
      <w:r>
        <w:rPr>
          <w:sz w:val="22"/>
          <w:szCs w:val="22"/>
        </w:rPr>
        <w:tab/>
        <w:t>Le modèle thermique du bâtiment sera composé d</w:t>
      </w:r>
      <w:r w:rsidR="00EA7588">
        <w:rPr>
          <w:sz w:val="22"/>
          <w:szCs w:val="22"/>
        </w:rPr>
        <w:t>’</w:t>
      </w:r>
      <w:r>
        <w:rPr>
          <w:sz w:val="22"/>
          <w:szCs w:val="22"/>
        </w:rPr>
        <w:t>une série d</w:t>
      </w:r>
      <w:r w:rsidR="00EA7588">
        <w:rPr>
          <w:sz w:val="22"/>
          <w:szCs w:val="22"/>
        </w:rPr>
        <w:t>’</w:t>
      </w:r>
      <w:r>
        <w:rPr>
          <w:sz w:val="22"/>
          <w:szCs w:val="22"/>
        </w:rPr>
        <w:t>espaces reliés entre eux et à l</w:t>
      </w:r>
      <w:r w:rsidR="00EA7588">
        <w:rPr>
          <w:sz w:val="22"/>
          <w:szCs w:val="22"/>
        </w:rPr>
        <w:t>’</w:t>
      </w:r>
      <w:r>
        <w:rPr>
          <w:sz w:val="22"/>
          <w:szCs w:val="22"/>
        </w:rPr>
        <w:t>extérieur du bâtiment à travers l</w:t>
      </w:r>
      <w:r w:rsidR="00EA7588">
        <w:rPr>
          <w:sz w:val="22"/>
          <w:szCs w:val="22"/>
        </w:rPr>
        <w:t>’</w:t>
      </w:r>
      <w:r>
        <w:rPr>
          <w:i/>
          <w:iCs/>
          <w:sz w:val="22"/>
          <w:szCs w:val="22"/>
        </w:rPr>
        <w:t>enceinte thermique</w:t>
      </w:r>
      <w:r>
        <w:rPr>
          <w:sz w:val="22"/>
          <w:szCs w:val="22"/>
        </w:rPr>
        <w:t xml:space="preserve"> du bâtiment, définie selon les critères de l</w:t>
      </w:r>
      <w:r w:rsidR="00EA7588">
        <w:rPr>
          <w:sz w:val="22"/>
          <w:szCs w:val="22"/>
        </w:rPr>
        <w:t>’</w:t>
      </w:r>
      <w:r>
        <w:rPr>
          <w:sz w:val="22"/>
          <w:szCs w:val="22"/>
        </w:rPr>
        <w:t>annexe C.</w:t>
      </w:r>
    </w:p>
    <w:p w14:paraId="1F39F604" w14:textId="254FF718" w:rsidR="006C641F" w:rsidRPr="00937C8B" w:rsidRDefault="006C641F" w:rsidP="006C641F">
      <w:pPr>
        <w:pStyle w:val="CTENumeracion"/>
        <w:spacing w:before="120"/>
        <w:rPr>
          <w:rFonts w:cs="Arial"/>
          <w:sz w:val="22"/>
          <w:szCs w:val="22"/>
        </w:rPr>
      </w:pPr>
      <w:r>
        <w:rPr>
          <w:sz w:val="22"/>
          <w:szCs w:val="22"/>
        </w:rPr>
        <w:t>2</w:t>
      </w:r>
      <w:r>
        <w:rPr>
          <w:sz w:val="22"/>
          <w:szCs w:val="22"/>
        </w:rPr>
        <w:tab/>
        <w:t xml:space="preserve">La définition des </w:t>
      </w:r>
      <w:r>
        <w:rPr>
          <w:i/>
          <w:iCs/>
          <w:sz w:val="22"/>
          <w:szCs w:val="22"/>
        </w:rPr>
        <w:t>zones thermiques</w:t>
      </w:r>
      <w:r>
        <w:rPr>
          <w:sz w:val="22"/>
          <w:szCs w:val="22"/>
        </w:rPr>
        <w:t xml:space="preserve"> peut être différente de la zonification réelle tant qu’elle reflète le comportement thermique du bâtiment de manière appropriée. En particulier, une </w:t>
      </w:r>
      <w:r>
        <w:rPr>
          <w:i/>
          <w:iCs/>
          <w:sz w:val="22"/>
          <w:szCs w:val="22"/>
        </w:rPr>
        <w:t>zone thermique</w:t>
      </w:r>
      <w:r>
        <w:rPr>
          <w:sz w:val="22"/>
          <w:szCs w:val="22"/>
        </w:rPr>
        <w:t xml:space="preserve"> peut être intégrée dans une zone adjacente plus grande lorsqu</w:t>
      </w:r>
      <w:r w:rsidR="00EA7588">
        <w:rPr>
          <w:sz w:val="22"/>
          <w:szCs w:val="22"/>
        </w:rPr>
        <w:t>’</w:t>
      </w:r>
      <w:r>
        <w:rPr>
          <w:sz w:val="22"/>
          <w:szCs w:val="22"/>
        </w:rPr>
        <w:t>elle ne dépasse pas 10</w:t>
      </w:r>
      <w:r w:rsidR="00EA7588">
        <w:rPr>
          <w:sz w:val="22"/>
          <w:szCs w:val="22"/>
        </w:rPr>
        <w:t> </w:t>
      </w:r>
      <w:r>
        <w:rPr>
          <w:sz w:val="22"/>
          <w:szCs w:val="22"/>
        </w:rPr>
        <w:t>% de sa surface utile.</w:t>
      </w:r>
    </w:p>
    <w:p w14:paraId="0D9FC7B4" w14:textId="77777777" w:rsidR="006C641F" w:rsidRPr="00937C8B" w:rsidRDefault="006C641F" w:rsidP="006C641F">
      <w:pPr>
        <w:pStyle w:val="CTENumeracion"/>
        <w:spacing w:before="120"/>
        <w:rPr>
          <w:rFonts w:cs="Arial"/>
          <w:sz w:val="22"/>
          <w:szCs w:val="22"/>
        </w:rPr>
      </w:pPr>
      <w:r>
        <w:rPr>
          <w:sz w:val="22"/>
          <w:szCs w:val="22"/>
        </w:rPr>
        <w:t>3</w:t>
      </w:r>
      <w:r>
        <w:rPr>
          <w:sz w:val="22"/>
          <w:szCs w:val="22"/>
        </w:rPr>
        <w:tab/>
        <w:t xml:space="preserve">Les espaces du modèle thermique doivent être classés en </w:t>
      </w:r>
      <w:r>
        <w:rPr>
          <w:i/>
          <w:sz w:val="22"/>
          <w:szCs w:val="22"/>
        </w:rPr>
        <w:t>espaces</w:t>
      </w:r>
      <w:r>
        <w:rPr>
          <w:sz w:val="22"/>
          <w:szCs w:val="22"/>
        </w:rPr>
        <w:t xml:space="preserve"> </w:t>
      </w:r>
      <w:r>
        <w:rPr>
          <w:i/>
          <w:sz w:val="22"/>
          <w:szCs w:val="22"/>
        </w:rPr>
        <w:t>habitables</w:t>
      </w:r>
      <w:r>
        <w:rPr>
          <w:sz w:val="22"/>
          <w:szCs w:val="22"/>
        </w:rPr>
        <w:t xml:space="preserve"> et en </w:t>
      </w:r>
      <w:r>
        <w:rPr>
          <w:i/>
          <w:sz w:val="22"/>
          <w:szCs w:val="22"/>
        </w:rPr>
        <w:t>espaces non habitables</w:t>
      </w:r>
      <w:r>
        <w:rPr>
          <w:sz w:val="22"/>
          <w:szCs w:val="22"/>
        </w:rPr>
        <w:t xml:space="preserve">. Les premiers seront également classés en fonction de leur </w:t>
      </w:r>
      <w:r>
        <w:rPr>
          <w:i/>
          <w:iCs/>
          <w:sz w:val="22"/>
          <w:szCs w:val="22"/>
        </w:rPr>
        <w:t>charge interne</w:t>
      </w:r>
      <w:r>
        <w:rPr>
          <w:sz w:val="22"/>
          <w:szCs w:val="22"/>
        </w:rPr>
        <w:t xml:space="preserve"> (faible, moyenne, élevée ou très élevée), le cas échéant, et en fonction de leur besoin de maintenir certaines conditions de température pour le bien-être thermique de leurs occupants (</w:t>
      </w:r>
      <w:r>
        <w:rPr>
          <w:i/>
          <w:iCs/>
          <w:sz w:val="22"/>
          <w:szCs w:val="22"/>
        </w:rPr>
        <w:t>espaces climatisés</w:t>
      </w:r>
      <w:r>
        <w:rPr>
          <w:sz w:val="22"/>
          <w:szCs w:val="22"/>
        </w:rPr>
        <w:t xml:space="preserve"> ou </w:t>
      </w:r>
      <w:r>
        <w:rPr>
          <w:i/>
          <w:iCs/>
          <w:sz w:val="22"/>
          <w:szCs w:val="22"/>
        </w:rPr>
        <w:t>espaces non climatisés</w:t>
      </w:r>
      <w:r>
        <w:rPr>
          <w:sz w:val="22"/>
          <w:szCs w:val="22"/>
        </w:rPr>
        <w:t>).</w:t>
      </w:r>
    </w:p>
    <w:p w14:paraId="45BD0C79" w14:textId="77777777" w:rsidR="006C641F" w:rsidRPr="00937C8B" w:rsidRDefault="006C641F" w:rsidP="009467D5">
      <w:pPr>
        <w:pStyle w:val="CteTtulo3"/>
      </w:pPr>
      <w:bookmarkStart w:id="56" w:name="Sección_HE0_SistemasReferencia"/>
      <w:bookmarkStart w:id="57" w:name="_Toc530395240"/>
      <w:bookmarkStart w:id="58" w:name="_Toc39157911"/>
      <w:bookmarkEnd w:id="56"/>
      <w:r>
        <w:t>4.5 Systèmes de référence pour un usage résidentiel privé</w:t>
      </w:r>
      <w:bookmarkEnd w:id="57"/>
      <w:bookmarkEnd w:id="58"/>
    </w:p>
    <w:p w14:paraId="00944DC3" w14:textId="6204F351" w:rsidR="004410BF" w:rsidRPr="00937C8B" w:rsidRDefault="006C641F" w:rsidP="006C641F">
      <w:pPr>
        <w:pStyle w:val="CTENumeracion"/>
        <w:spacing w:before="120"/>
        <w:rPr>
          <w:rFonts w:cs="Arial"/>
          <w:sz w:val="22"/>
          <w:szCs w:val="22"/>
        </w:rPr>
      </w:pPr>
      <w:r>
        <w:rPr>
          <w:sz w:val="22"/>
          <w:szCs w:val="22"/>
        </w:rPr>
        <w:t>1</w:t>
      </w:r>
      <w:r>
        <w:rPr>
          <w:sz w:val="22"/>
          <w:szCs w:val="22"/>
        </w:rPr>
        <w:tab/>
        <w:t>Dans le cas des bâtiments à usage résidentiel privé, lorsqu</w:t>
      </w:r>
      <w:r w:rsidR="00EA7588">
        <w:rPr>
          <w:sz w:val="22"/>
          <w:szCs w:val="22"/>
        </w:rPr>
        <w:t>’</w:t>
      </w:r>
      <w:r>
        <w:rPr>
          <w:sz w:val="22"/>
          <w:szCs w:val="22"/>
        </w:rPr>
        <w:t>aucun système n</w:t>
      </w:r>
      <w:r w:rsidR="00EA7588">
        <w:rPr>
          <w:sz w:val="22"/>
          <w:szCs w:val="22"/>
        </w:rPr>
        <w:t>’</w:t>
      </w:r>
      <w:r>
        <w:rPr>
          <w:sz w:val="22"/>
          <w:szCs w:val="22"/>
        </w:rPr>
        <w:t>est défini dans le projet pour le service de chauffage, de refroidissement ou de chauffage de l</w:t>
      </w:r>
      <w:r w:rsidR="00EA7588">
        <w:rPr>
          <w:sz w:val="22"/>
          <w:szCs w:val="22"/>
        </w:rPr>
        <w:t>’</w:t>
      </w:r>
      <w:r>
        <w:rPr>
          <w:sz w:val="22"/>
          <w:szCs w:val="22"/>
        </w:rPr>
        <w:t>eau, le calcul doit retenir un système correspondant aux caractéristiques indiquées dans le tableau 4.5-HE0:</w:t>
      </w:r>
    </w:p>
    <w:p w14:paraId="5477D01C" w14:textId="77777777" w:rsidR="0084739B" w:rsidRPr="00937C8B" w:rsidRDefault="0084739B" w:rsidP="004410BF">
      <w:pPr>
        <w:pStyle w:val="CTENumeracion"/>
        <w:spacing w:before="120"/>
        <w:jc w:val="center"/>
        <w:rPr>
          <w:b/>
        </w:rPr>
      </w:pPr>
    </w:p>
    <w:p w14:paraId="1377AAB3" w14:textId="77777777" w:rsidR="006C641F" w:rsidRPr="00937C8B" w:rsidRDefault="006C641F" w:rsidP="00D27646">
      <w:pPr>
        <w:pStyle w:val="CTENumeracion"/>
        <w:keepNext/>
        <w:spacing w:before="120"/>
        <w:jc w:val="center"/>
        <w:rPr>
          <w:rFonts w:cs="Arial"/>
          <w:b/>
          <w:sz w:val="22"/>
          <w:szCs w:val="22"/>
        </w:rPr>
      </w:pPr>
      <w:r>
        <w:rPr>
          <w:b/>
        </w:rPr>
        <w:lastRenderedPageBreak/>
        <w:t>Tableau 4.5-HE0</w:t>
      </w:r>
      <w:r>
        <w:rPr>
          <w:b/>
        </w:rPr>
        <w:tab/>
        <w:t>Systèmes de référence</w:t>
      </w:r>
    </w:p>
    <w:tbl>
      <w:tblPr>
        <w:tblW w:w="5734" w:type="dxa"/>
        <w:jc w:val="center"/>
        <w:tblBorders>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2301"/>
        <w:gridCol w:w="1275"/>
        <w:gridCol w:w="2158"/>
      </w:tblGrid>
      <w:tr w:rsidR="006C641F" w:rsidRPr="00937C8B" w14:paraId="7A66753B" w14:textId="77777777" w:rsidTr="00E47AFE">
        <w:trPr>
          <w:cantSplit/>
          <w:jc w:val="center"/>
        </w:trPr>
        <w:tc>
          <w:tcPr>
            <w:tcW w:w="2301" w:type="dxa"/>
            <w:tcBorders>
              <w:bottom w:val="single" w:sz="4" w:space="0" w:color="000000"/>
            </w:tcBorders>
            <w:shd w:val="clear" w:color="auto" w:fill="FFFFFF"/>
            <w:vAlign w:val="center"/>
          </w:tcPr>
          <w:p w14:paraId="70DC62E0" w14:textId="77777777" w:rsidR="006C641F" w:rsidRPr="00937C8B" w:rsidRDefault="006C641F" w:rsidP="00D27646">
            <w:pPr>
              <w:pStyle w:val="CTEtabla-texto"/>
              <w:keepNext/>
              <w:snapToGrid w:val="0"/>
              <w:jc w:val="left"/>
              <w:rPr>
                <w:rFonts w:cs="Arial"/>
                <w:b/>
              </w:rPr>
            </w:pPr>
            <w:r>
              <w:rPr>
                <w:b/>
              </w:rPr>
              <w:t>Technologie</w:t>
            </w:r>
          </w:p>
        </w:tc>
        <w:tc>
          <w:tcPr>
            <w:tcW w:w="1275" w:type="dxa"/>
            <w:tcBorders>
              <w:top w:val="nil"/>
              <w:bottom w:val="single" w:sz="4" w:space="0" w:color="000000"/>
              <w:right w:val="nil"/>
            </w:tcBorders>
            <w:shd w:val="clear" w:color="auto" w:fill="auto"/>
          </w:tcPr>
          <w:p w14:paraId="51CA2103" w14:textId="77777777" w:rsidR="006C641F" w:rsidRPr="00937C8B" w:rsidRDefault="006C641F" w:rsidP="00D27646">
            <w:pPr>
              <w:pStyle w:val="CTEtabla-texto"/>
              <w:keepNext/>
              <w:snapToGrid w:val="0"/>
              <w:rPr>
                <w:rFonts w:cs="Arial"/>
                <w:b/>
              </w:rPr>
            </w:pPr>
            <w:r>
              <w:rPr>
                <w:b/>
              </w:rPr>
              <w:t>Vecteur énergétique</w:t>
            </w:r>
          </w:p>
        </w:tc>
        <w:tc>
          <w:tcPr>
            <w:tcW w:w="2158" w:type="dxa"/>
            <w:tcBorders>
              <w:top w:val="nil"/>
              <w:left w:val="nil"/>
              <w:bottom w:val="single" w:sz="4" w:space="0" w:color="000000"/>
            </w:tcBorders>
            <w:shd w:val="clear" w:color="auto" w:fill="auto"/>
          </w:tcPr>
          <w:p w14:paraId="526150D2" w14:textId="77777777" w:rsidR="006C641F" w:rsidRPr="00937C8B" w:rsidRDefault="006C641F" w:rsidP="00D27646">
            <w:pPr>
              <w:pStyle w:val="CTEtabla-texto"/>
              <w:keepNext/>
              <w:snapToGrid w:val="0"/>
              <w:ind w:left="234" w:right="260"/>
              <w:rPr>
                <w:rFonts w:cs="Arial"/>
                <w:b/>
              </w:rPr>
            </w:pPr>
            <w:r>
              <w:rPr>
                <w:b/>
              </w:rPr>
              <w:t>Rendement normal</w:t>
            </w:r>
          </w:p>
        </w:tc>
      </w:tr>
      <w:tr w:rsidR="006C641F" w:rsidRPr="00937C8B" w14:paraId="3482A3A0" w14:textId="77777777" w:rsidTr="00E47AFE">
        <w:trPr>
          <w:cantSplit/>
          <w:jc w:val="center"/>
        </w:trPr>
        <w:tc>
          <w:tcPr>
            <w:tcW w:w="2301" w:type="dxa"/>
            <w:tcBorders>
              <w:top w:val="single" w:sz="4" w:space="0" w:color="000000"/>
              <w:bottom w:val="nil"/>
              <w:right w:val="single" w:sz="4" w:space="0" w:color="000000"/>
            </w:tcBorders>
            <w:shd w:val="clear" w:color="auto" w:fill="FFFFFF"/>
            <w:vAlign w:val="center"/>
          </w:tcPr>
          <w:p w14:paraId="47AC5CAF" w14:textId="77777777" w:rsidR="006C641F" w:rsidRPr="00937C8B" w:rsidRDefault="006C641F" w:rsidP="006C641F">
            <w:pPr>
              <w:pStyle w:val="CTEtabla-texto"/>
              <w:snapToGrid w:val="0"/>
              <w:jc w:val="left"/>
              <w:rPr>
                <w:rFonts w:cs="Arial"/>
              </w:rPr>
            </w:pPr>
            <w:r>
              <w:t>Production de chaleur et d’ECS</w:t>
            </w:r>
          </w:p>
        </w:tc>
        <w:tc>
          <w:tcPr>
            <w:tcW w:w="1275" w:type="dxa"/>
            <w:tcBorders>
              <w:top w:val="single" w:sz="4" w:space="0" w:color="000000"/>
              <w:left w:val="single" w:sz="4" w:space="0" w:color="000000"/>
              <w:bottom w:val="nil"/>
              <w:right w:val="nil"/>
            </w:tcBorders>
            <w:shd w:val="clear" w:color="auto" w:fill="auto"/>
          </w:tcPr>
          <w:p w14:paraId="3A6C6FFB" w14:textId="77777777" w:rsidR="006C641F" w:rsidRPr="00937C8B" w:rsidRDefault="006C641F" w:rsidP="006C641F">
            <w:pPr>
              <w:pStyle w:val="CTEtabla-texto"/>
              <w:snapToGrid w:val="0"/>
              <w:rPr>
                <w:rFonts w:cs="Arial"/>
              </w:rPr>
            </w:pPr>
            <w:r>
              <w:t>Gaz naturel</w:t>
            </w:r>
          </w:p>
        </w:tc>
        <w:tc>
          <w:tcPr>
            <w:tcW w:w="2158" w:type="dxa"/>
            <w:tcBorders>
              <w:top w:val="single" w:sz="4" w:space="0" w:color="000000"/>
              <w:left w:val="nil"/>
              <w:bottom w:val="nil"/>
            </w:tcBorders>
            <w:shd w:val="clear" w:color="auto" w:fill="FFFFFF"/>
            <w:vAlign w:val="center"/>
          </w:tcPr>
          <w:p w14:paraId="6D10B1D1" w14:textId="77777777" w:rsidR="006C641F" w:rsidRPr="00937C8B" w:rsidRDefault="006C641F" w:rsidP="006C641F">
            <w:pPr>
              <w:pStyle w:val="CTEtabla-texto"/>
              <w:snapToGrid w:val="0"/>
              <w:rPr>
                <w:rFonts w:cs="Arial"/>
              </w:rPr>
            </w:pPr>
            <w:r>
              <w:t>0,92 (PCS)</w:t>
            </w:r>
          </w:p>
        </w:tc>
      </w:tr>
      <w:tr w:rsidR="006C641F" w:rsidRPr="00937C8B" w14:paraId="2A9D49FC" w14:textId="77777777" w:rsidTr="00E47AFE">
        <w:trPr>
          <w:cantSplit/>
          <w:jc w:val="center"/>
        </w:trPr>
        <w:tc>
          <w:tcPr>
            <w:tcW w:w="2301" w:type="dxa"/>
            <w:tcBorders>
              <w:top w:val="nil"/>
              <w:bottom w:val="nil"/>
              <w:right w:val="single" w:sz="4" w:space="0" w:color="000000"/>
            </w:tcBorders>
            <w:shd w:val="clear" w:color="auto" w:fill="FFFFFF"/>
            <w:vAlign w:val="center"/>
          </w:tcPr>
          <w:p w14:paraId="12CBFEFB" w14:textId="77777777" w:rsidR="006C641F" w:rsidRPr="00937C8B" w:rsidRDefault="006C641F" w:rsidP="006C641F">
            <w:pPr>
              <w:pStyle w:val="CTEtabla-texto"/>
              <w:snapToGrid w:val="0"/>
              <w:jc w:val="left"/>
              <w:rPr>
                <w:rFonts w:cs="Arial"/>
              </w:rPr>
            </w:pPr>
            <w:r>
              <w:t>Production de froid</w:t>
            </w:r>
          </w:p>
        </w:tc>
        <w:tc>
          <w:tcPr>
            <w:tcW w:w="1275" w:type="dxa"/>
            <w:tcBorders>
              <w:top w:val="nil"/>
              <w:left w:val="single" w:sz="4" w:space="0" w:color="000000"/>
              <w:bottom w:val="nil"/>
              <w:right w:val="nil"/>
            </w:tcBorders>
            <w:shd w:val="clear" w:color="auto" w:fill="auto"/>
          </w:tcPr>
          <w:p w14:paraId="37018C18" w14:textId="77777777" w:rsidR="006C641F" w:rsidRPr="00937C8B" w:rsidRDefault="006C641F" w:rsidP="006C641F">
            <w:pPr>
              <w:pStyle w:val="CTEtabla-texto"/>
              <w:snapToGrid w:val="0"/>
              <w:rPr>
                <w:rFonts w:cs="Arial"/>
              </w:rPr>
            </w:pPr>
            <w:r>
              <w:t>Électricité</w:t>
            </w:r>
          </w:p>
        </w:tc>
        <w:tc>
          <w:tcPr>
            <w:tcW w:w="2158" w:type="dxa"/>
            <w:tcBorders>
              <w:top w:val="nil"/>
              <w:left w:val="nil"/>
              <w:bottom w:val="nil"/>
            </w:tcBorders>
            <w:shd w:val="clear" w:color="auto" w:fill="FFFFFF"/>
            <w:vAlign w:val="center"/>
          </w:tcPr>
          <w:p w14:paraId="5168554D" w14:textId="77777777" w:rsidR="006C641F" w:rsidRPr="00937C8B" w:rsidRDefault="006C641F" w:rsidP="006C641F">
            <w:pPr>
              <w:pStyle w:val="CTEtabla-texto"/>
              <w:snapToGrid w:val="0"/>
              <w:rPr>
                <w:rFonts w:cs="Arial"/>
              </w:rPr>
            </w:pPr>
            <w:r>
              <w:t>2,60</w:t>
            </w:r>
          </w:p>
        </w:tc>
      </w:tr>
    </w:tbl>
    <w:p w14:paraId="6F2C084F" w14:textId="77777777" w:rsidR="006C641F" w:rsidRPr="00937C8B" w:rsidRDefault="006C641F" w:rsidP="006C641F">
      <w:pPr>
        <w:pStyle w:val="Standard"/>
      </w:pPr>
    </w:p>
    <w:p w14:paraId="0747AEA5" w14:textId="77777777" w:rsidR="006C641F" w:rsidRPr="00937C8B" w:rsidRDefault="006C641F" w:rsidP="009467D5">
      <w:pPr>
        <w:pStyle w:val="CteTtulo3"/>
      </w:pPr>
      <w:bookmarkStart w:id="59" w:name="_Toc530395241"/>
      <w:bookmarkStart w:id="60" w:name="_Toc530396120"/>
      <w:bookmarkStart w:id="61" w:name="_Toc39157912"/>
      <w:r>
        <w:t>4.6</w:t>
      </w:r>
      <w:r>
        <w:tab/>
        <w:t>Surface prise en compte pour le calcul des indicateurs de consommation</w:t>
      </w:r>
      <w:bookmarkEnd w:id="59"/>
      <w:bookmarkEnd w:id="60"/>
      <w:bookmarkEnd w:id="61"/>
    </w:p>
    <w:p w14:paraId="6403B1CD" w14:textId="15AED799" w:rsidR="006C641F" w:rsidRPr="00937C8B" w:rsidRDefault="006C641F" w:rsidP="006C641F">
      <w:pPr>
        <w:pStyle w:val="CTENumeracion"/>
        <w:spacing w:before="120"/>
        <w:rPr>
          <w:rFonts w:cs="Arial"/>
          <w:sz w:val="22"/>
          <w:szCs w:val="22"/>
        </w:rPr>
      </w:pPr>
      <w:r>
        <w:rPr>
          <w:sz w:val="22"/>
          <w:szCs w:val="22"/>
        </w:rPr>
        <w:t>1</w:t>
      </w:r>
      <w:r>
        <w:rPr>
          <w:sz w:val="22"/>
          <w:szCs w:val="22"/>
        </w:rPr>
        <w:tab/>
        <w:t xml:space="preserve">La surface prise en compte dans le calcul des indicateurs de consommation est donnée par la somme des surfaces utiles des </w:t>
      </w:r>
      <w:r>
        <w:rPr>
          <w:i/>
          <w:iCs/>
          <w:sz w:val="22"/>
          <w:szCs w:val="22"/>
        </w:rPr>
        <w:t>espaces habitables</w:t>
      </w:r>
      <w:r>
        <w:rPr>
          <w:sz w:val="22"/>
          <w:szCs w:val="22"/>
        </w:rPr>
        <w:t xml:space="preserve"> inclus dans l</w:t>
      </w:r>
      <w:r w:rsidR="00EA7588">
        <w:rPr>
          <w:sz w:val="22"/>
          <w:szCs w:val="22"/>
        </w:rPr>
        <w:t>’</w:t>
      </w:r>
      <w:r>
        <w:rPr>
          <w:i/>
          <w:iCs/>
          <w:sz w:val="22"/>
          <w:szCs w:val="22"/>
        </w:rPr>
        <w:t>enceinte thermique</w:t>
      </w:r>
      <w:r>
        <w:rPr>
          <w:sz w:val="22"/>
          <w:szCs w:val="22"/>
        </w:rPr>
        <w:t>.</w:t>
      </w:r>
    </w:p>
    <w:p w14:paraId="7CC8F8B5" w14:textId="77777777" w:rsidR="006C641F" w:rsidRPr="00937C8B" w:rsidRDefault="006C641F" w:rsidP="006C641F">
      <w:pPr>
        <w:pStyle w:val="CTENumeracion"/>
        <w:spacing w:before="120"/>
        <w:rPr>
          <w:rFonts w:cs="Arial"/>
          <w:sz w:val="22"/>
          <w:szCs w:val="22"/>
        </w:rPr>
      </w:pPr>
      <w:r>
        <w:rPr>
          <w:sz w:val="22"/>
          <w:szCs w:val="22"/>
        </w:rPr>
        <w:t>2</w:t>
      </w:r>
      <w:r>
        <w:rPr>
          <w:sz w:val="22"/>
          <w:szCs w:val="22"/>
        </w:rPr>
        <w:tab/>
        <w:t>Les espaces qui doivent maintenir des conditions spécifiques déterminées, non pas par le confort des occupants, mais en raison de la nature de l’activité qui y est exercée (laboratoires obéissant à certains conditions de température, cuisines industrielles, salles informatiques, piscines intérieures, etc.), peuvent être exclus de la surface de calcul.</w:t>
      </w:r>
    </w:p>
    <w:p w14:paraId="44FA45E5" w14:textId="77777777" w:rsidR="006C641F" w:rsidRPr="00937C8B" w:rsidRDefault="006C641F" w:rsidP="006C641F">
      <w:pPr>
        <w:pStyle w:val="CTENumeracion"/>
        <w:rPr>
          <w:rFonts w:cs="Arial"/>
        </w:rPr>
      </w:pPr>
    </w:p>
    <w:p w14:paraId="50582BB2" w14:textId="47554130" w:rsidR="006C641F" w:rsidRPr="00937C8B" w:rsidRDefault="006C641F" w:rsidP="006C641F">
      <w:pPr>
        <w:pStyle w:val="CteTtulo2"/>
        <w:spacing w:before="60" w:after="60"/>
        <w:rPr>
          <w:rFonts w:cs="Arial"/>
        </w:rPr>
      </w:pPr>
      <w:bookmarkStart w:id="62" w:name="Sección_HE0_Justificacion"/>
      <w:bookmarkStart w:id="63" w:name="_Toc530395242"/>
      <w:bookmarkStart w:id="64" w:name="_Toc39157913"/>
      <w:bookmarkStart w:id="65" w:name="_Toc39158114"/>
      <w:bookmarkEnd w:id="62"/>
      <w:r>
        <w:t>5</w:t>
      </w:r>
      <w:r>
        <w:tab/>
        <w:t>Justification de l</w:t>
      </w:r>
      <w:r w:rsidR="00EA7588">
        <w:t>’</w:t>
      </w:r>
      <w:r>
        <w:t>exigence</w:t>
      </w:r>
      <w:bookmarkEnd w:id="63"/>
      <w:bookmarkEnd w:id="64"/>
      <w:bookmarkEnd w:id="65"/>
    </w:p>
    <w:p w14:paraId="61912CC5" w14:textId="5BB80B6E" w:rsidR="006C641F" w:rsidRPr="00937C8B" w:rsidRDefault="006C641F" w:rsidP="00D27646">
      <w:pPr>
        <w:pStyle w:val="CTENumeracion"/>
        <w:keepNext/>
        <w:spacing w:before="120"/>
        <w:rPr>
          <w:rFonts w:cs="Arial"/>
          <w:sz w:val="22"/>
          <w:szCs w:val="22"/>
        </w:rPr>
      </w:pPr>
      <w:r>
        <w:rPr>
          <w:sz w:val="22"/>
          <w:szCs w:val="22"/>
        </w:rPr>
        <w:t>1</w:t>
      </w:r>
      <w:r>
        <w:rPr>
          <w:sz w:val="22"/>
          <w:szCs w:val="22"/>
        </w:rPr>
        <w:tab/>
        <w:t>Pour justifier le respect des exigences de ce chapitre, les documents de projet comprendront les informations suivantes sur le bâtiment ou la partie du bâtiment faisant l</w:t>
      </w:r>
      <w:r w:rsidR="00EA7588">
        <w:rPr>
          <w:sz w:val="22"/>
          <w:szCs w:val="22"/>
        </w:rPr>
        <w:t>’</w:t>
      </w:r>
      <w:r>
        <w:rPr>
          <w:sz w:val="22"/>
          <w:szCs w:val="22"/>
        </w:rPr>
        <w:t>objet de l’évaluation:</w:t>
      </w:r>
    </w:p>
    <w:p w14:paraId="196F6AFE" w14:textId="77777777" w:rsidR="006C641F" w:rsidRPr="00937C8B" w:rsidRDefault="006C641F" w:rsidP="006C641F">
      <w:pPr>
        <w:pStyle w:val="CTENumeracion"/>
        <w:ind w:left="702" w:hanging="345"/>
        <w:rPr>
          <w:rFonts w:cs="Arial"/>
          <w:sz w:val="22"/>
          <w:szCs w:val="22"/>
        </w:rPr>
      </w:pPr>
      <w:r>
        <w:rPr>
          <w:sz w:val="22"/>
          <w:szCs w:val="22"/>
        </w:rPr>
        <w:t>a)</w:t>
      </w:r>
      <w:r>
        <w:rPr>
          <w:sz w:val="22"/>
          <w:szCs w:val="22"/>
        </w:rPr>
        <w:tab/>
        <w:t xml:space="preserve">la définition de la localité et de la </w:t>
      </w:r>
      <w:r>
        <w:rPr>
          <w:i/>
          <w:iCs/>
          <w:sz w:val="22"/>
          <w:szCs w:val="22"/>
        </w:rPr>
        <w:t>zone climatique</w:t>
      </w:r>
      <w:r>
        <w:rPr>
          <w:sz w:val="22"/>
          <w:szCs w:val="22"/>
        </w:rPr>
        <w:t xml:space="preserve"> de leur emplacement;</w:t>
      </w:r>
    </w:p>
    <w:p w14:paraId="62685B8D" w14:textId="6B752716" w:rsidR="006C641F" w:rsidRPr="00937C8B" w:rsidRDefault="006C641F" w:rsidP="006C641F">
      <w:pPr>
        <w:pStyle w:val="CTENumeracion"/>
        <w:ind w:left="702" w:hanging="345"/>
        <w:rPr>
          <w:rFonts w:cs="Arial"/>
          <w:sz w:val="22"/>
          <w:szCs w:val="22"/>
        </w:rPr>
      </w:pPr>
      <w:r>
        <w:rPr>
          <w:sz w:val="22"/>
          <w:szCs w:val="22"/>
        </w:rPr>
        <w:t>b)</w:t>
      </w:r>
      <w:r>
        <w:rPr>
          <w:sz w:val="22"/>
          <w:szCs w:val="22"/>
        </w:rPr>
        <w:tab/>
        <w:t>la définition de l</w:t>
      </w:r>
      <w:r w:rsidR="00EA7588">
        <w:rPr>
          <w:sz w:val="22"/>
          <w:szCs w:val="22"/>
        </w:rPr>
        <w:t>’</w:t>
      </w:r>
      <w:r>
        <w:rPr>
          <w:i/>
          <w:iCs/>
          <w:sz w:val="22"/>
          <w:szCs w:val="22"/>
        </w:rPr>
        <w:t>enceinte thermique</w:t>
      </w:r>
      <w:r>
        <w:rPr>
          <w:sz w:val="22"/>
          <w:szCs w:val="22"/>
        </w:rPr>
        <w:t xml:space="preserve"> et de ses composants;</w:t>
      </w:r>
    </w:p>
    <w:p w14:paraId="588D22C9" w14:textId="4E73A8EA" w:rsidR="006C641F" w:rsidRPr="00937C8B" w:rsidRDefault="0022053B" w:rsidP="0022053B">
      <w:pPr>
        <w:pStyle w:val="CTENumeracion"/>
        <w:ind w:left="702" w:hanging="345"/>
        <w:rPr>
          <w:rFonts w:cs="Arial"/>
          <w:sz w:val="22"/>
          <w:szCs w:val="22"/>
        </w:rPr>
      </w:pPr>
      <w:r>
        <w:rPr>
          <w:sz w:val="22"/>
          <w:szCs w:val="22"/>
        </w:rPr>
        <w:t>c)</w:t>
      </w:r>
      <w:r>
        <w:rPr>
          <w:sz w:val="22"/>
          <w:szCs w:val="22"/>
        </w:rPr>
        <w:tab/>
        <w:t xml:space="preserve">le </w:t>
      </w:r>
      <w:r>
        <w:rPr>
          <w:i/>
          <w:iCs/>
          <w:sz w:val="22"/>
          <w:szCs w:val="22"/>
        </w:rPr>
        <w:t>profil d</w:t>
      </w:r>
      <w:r w:rsidR="00EA7588">
        <w:rPr>
          <w:i/>
          <w:iCs/>
          <w:sz w:val="22"/>
          <w:szCs w:val="22"/>
        </w:rPr>
        <w:t>’</w:t>
      </w:r>
      <w:r>
        <w:rPr>
          <w:i/>
          <w:iCs/>
          <w:sz w:val="22"/>
          <w:szCs w:val="22"/>
        </w:rPr>
        <w:t>utilisation</w:t>
      </w:r>
      <w:r>
        <w:rPr>
          <w:sz w:val="22"/>
          <w:szCs w:val="22"/>
        </w:rPr>
        <w:t xml:space="preserve">, le niveau de climatisation (climatisé ou non climatisé), le niveau de ventilation théorique et les </w:t>
      </w:r>
      <w:r>
        <w:rPr>
          <w:i/>
          <w:iCs/>
          <w:sz w:val="22"/>
          <w:szCs w:val="22"/>
        </w:rPr>
        <w:t>conditions opérationnelles</w:t>
      </w:r>
      <w:r>
        <w:rPr>
          <w:sz w:val="22"/>
          <w:szCs w:val="22"/>
        </w:rPr>
        <w:t xml:space="preserve"> des</w:t>
      </w:r>
      <w:r>
        <w:rPr>
          <w:i/>
          <w:iCs/>
          <w:sz w:val="22"/>
          <w:szCs w:val="22"/>
        </w:rPr>
        <w:t xml:space="preserve"> espaces habitables</w:t>
      </w:r>
      <w:r>
        <w:rPr>
          <w:sz w:val="22"/>
          <w:szCs w:val="22"/>
        </w:rPr>
        <w:t xml:space="preserve"> et des </w:t>
      </w:r>
      <w:r>
        <w:rPr>
          <w:i/>
          <w:iCs/>
          <w:sz w:val="22"/>
          <w:szCs w:val="22"/>
        </w:rPr>
        <w:t>espaces non habitables</w:t>
      </w:r>
      <w:r>
        <w:rPr>
          <w:sz w:val="22"/>
          <w:szCs w:val="22"/>
        </w:rPr>
        <w:t>;</w:t>
      </w:r>
    </w:p>
    <w:p w14:paraId="397C6ECF" w14:textId="6CAF5A6C" w:rsidR="006C641F" w:rsidRPr="00937C8B" w:rsidRDefault="006C641F" w:rsidP="006C641F">
      <w:pPr>
        <w:pStyle w:val="CTENumeracion"/>
        <w:ind w:left="680" w:hanging="340"/>
        <w:rPr>
          <w:rFonts w:cs="Arial"/>
          <w:sz w:val="22"/>
          <w:szCs w:val="22"/>
        </w:rPr>
      </w:pPr>
      <w:r>
        <w:rPr>
          <w:sz w:val="22"/>
          <w:szCs w:val="22"/>
        </w:rPr>
        <w:t>d)</w:t>
      </w:r>
      <w:r>
        <w:rPr>
          <w:sz w:val="22"/>
          <w:szCs w:val="22"/>
        </w:rPr>
        <w:tab/>
        <w:t xml:space="preserve">la procédure utilisée pour calculer la </w:t>
      </w:r>
      <w:r>
        <w:rPr>
          <w:i/>
          <w:iCs/>
          <w:sz w:val="22"/>
          <w:szCs w:val="22"/>
        </w:rPr>
        <w:t>consommation d</w:t>
      </w:r>
      <w:r w:rsidR="00EA7588">
        <w:rPr>
          <w:i/>
          <w:iCs/>
          <w:sz w:val="22"/>
          <w:szCs w:val="22"/>
        </w:rPr>
        <w:t>’</w:t>
      </w:r>
      <w:r>
        <w:rPr>
          <w:i/>
          <w:iCs/>
          <w:sz w:val="22"/>
          <w:szCs w:val="22"/>
        </w:rPr>
        <w:t>énergie</w:t>
      </w:r>
      <w:r>
        <w:rPr>
          <w:sz w:val="22"/>
          <w:szCs w:val="22"/>
        </w:rPr>
        <w:t>;</w:t>
      </w:r>
    </w:p>
    <w:p w14:paraId="75B3C35A" w14:textId="263F6C81" w:rsidR="006C641F" w:rsidRPr="00937C8B" w:rsidRDefault="006C641F" w:rsidP="006C641F">
      <w:pPr>
        <w:pStyle w:val="CTENumeracion"/>
        <w:ind w:left="680" w:hanging="340"/>
        <w:rPr>
          <w:rFonts w:cs="Arial"/>
          <w:sz w:val="22"/>
          <w:szCs w:val="22"/>
        </w:rPr>
      </w:pPr>
      <w:r>
        <w:rPr>
          <w:sz w:val="22"/>
          <w:szCs w:val="22"/>
        </w:rPr>
        <w:t>e)</w:t>
      </w:r>
      <w:r>
        <w:rPr>
          <w:sz w:val="22"/>
          <w:szCs w:val="22"/>
        </w:rPr>
        <w:tab/>
        <w:t xml:space="preserve">la </w:t>
      </w:r>
      <w:r>
        <w:rPr>
          <w:i/>
          <w:iCs/>
          <w:sz w:val="22"/>
          <w:szCs w:val="22"/>
        </w:rPr>
        <w:t>demande d</w:t>
      </w:r>
      <w:r w:rsidR="00EA7588">
        <w:rPr>
          <w:i/>
          <w:iCs/>
          <w:sz w:val="22"/>
          <w:szCs w:val="22"/>
        </w:rPr>
        <w:t>’</w:t>
      </w:r>
      <w:r>
        <w:rPr>
          <w:i/>
          <w:iCs/>
          <w:sz w:val="22"/>
          <w:szCs w:val="22"/>
        </w:rPr>
        <w:t>énergie</w:t>
      </w:r>
      <w:r>
        <w:rPr>
          <w:sz w:val="22"/>
          <w:szCs w:val="22"/>
        </w:rPr>
        <w:t xml:space="preserve"> pour le chauffage, le refroidissement et l</w:t>
      </w:r>
      <w:r w:rsidR="00EA7588">
        <w:rPr>
          <w:sz w:val="22"/>
          <w:szCs w:val="22"/>
        </w:rPr>
        <w:t>’</w:t>
      </w:r>
      <w:r>
        <w:rPr>
          <w:sz w:val="22"/>
          <w:szCs w:val="22"/>
        </w:rPr>
        <w:t>ECS;</w:t>
      </w:r>
    </w:p>
    <w:p w14:paraId="0C5A50D4" w14:textId="3E4A4AFA" w:rsidR="006C641F" w:rsidRPr="00937C8B" w:rsidRDefault="006C641F" w:rsidP="006C641F">
      <w:pPr>
        <w:pStyle w:val="CTENumeracion"/>
        <w:ind w:left="702" w:hanging="345"/>
        <w:rPr>
          <w:rFonts w:cs="Arial"/>
          <w:sz w:val="22"/>
          <w:szCs w:val="22"/>
        </w:rPr>
      </w:pPr>
      <w:r>
        <w:rPr>
          <w:sz w:val="22"/>
          <w:szCs w:val="22"/>
        </w:rPr>
        <w:t>f)</w:t>
      </w:r>
      <w:r>
        <w:rPr>
          <w:sz w:val="22"/>
          <w:szCs w:val="22"/>
        </w:rPr>
        <w:tab/>
        <w:t xml:space="preserve">la </w:t>
      </w:r>
      <w:r>
        <w:rPr>
          <w:i/>
          <w:iCs/>
          <w:sz w:val="22"/>
          <w:szCs w:val="22"/>
        </w:rPr>
        <w:t>consommation d</w:t>
      </w:r>
      <w:r w:rsidR="00EA7588">
        <w:rPr>
          <w:i/>
          <w:iCs/>
          <w:sz w:val="22"/>
          <w:szCs w:val="22"/>
        </w:rPr>
        <w:t>’</w:t>
      </w:r>
      <w:r>
        <w:rPr>
          <w:i/>
          <w:iCs/>
          <w:sz w:val="22"/>
          <w:szCs w:val="22"/>
        </w:rPr>
        <w:t>énergie</w:t>
      </w:r>
      <w:r>
        <w:rPr>
          <w:sz w:val="22"/>
          <w:szCs w:val="22"/>
        </w:rPr>
        <w:t xml:space="preserve"> (énergie finale consommée par vecteur énergétique) des différents services techniques (chauffage, refroidissement, ECS, ventilation, contrôle de l</w:t>
      </w:r>
      <w:r w:rsidR="00EA7588">
        <w:rPr>
          <w:sz w:val="22"/>
          <w:szCs w:val="22"/>
        </w:rPr>
        <w:t>’</w:t>
      </w:r>
      <w:r>
        <w:rPr>
          <w:sz w:val="22"/>
          <w:szCs w:val="22"/>
        </w:rPr>
        <w:t>humidité et, le cas échéant, éclairage);</w:t>
      </w:r>
    </w:p>
    <w:p w14:paraId="7FDB95AD" w14:textId="03A71FDB" w:rsidR="006C641F" w:rsidRPr="00937C8B" w:rsidRDefault="006C641F" w:rsidP="006C641F">
      <w:pPr>
        <w:pStyle w:val="CTENumeracion"/>
        <w:ind w:left="702" w:hanging="345"/>
        <w:rPr>
          <w:rFonts w:cs="Arial"/>
          <w:sz w:val="22"/>
          <w:szCs w:val="22"/>
        </w:rPr>
      </w:pPr>
      <w:r>
        <w:rPr>
          <w:sz w:val="22"/>
          <w:szCs w:val="22"/>
        </w:rPr>
        <w:t>g)</w:t>
      </w:r>
      <w:r>
        <w:rPr>
          <w:sz w:val="22"/>
          <w:szCs w:val="22"/>
        </w:rPr>
        <w:tab/>
        <w:t>l</w:t>
      </w:r>
      <w:r w:rsidR="00EA7588">
        <w:rPr>
          <w:sz w:val="22"/>
          <w:szCs w:val="22"/>
        </w:rPr>
        <w:t>’</w:t>
      </w:r>
      <w:r>
        <w:rPr>
          <w:sz w:val="22"/>
          <w:szCs w:val="22"/>
        </w:rPr>
        <w:t>énergie produite et la fourniture d</w:t>
      </w:r>
      <w:r w:rsidR="00EA7588">
        <w:rPr>
          <w:sz w:val="22"/>
          <w:szCs w:val="22"/>
        </w:rPr>
        <w:t>’</w:t>
      </w:r>
      <w:r>
        <w:rPr>
          <w:sz w:val="22"/>
          <w:szCs w:val="22"/>
        </w:rPr>
        <w:t>énergie produite à partir de sources renouvelables;</w:t>
      </w:r>
    </w:p>
    <w:p w14:paraId="260A04B0" w14:textId="77777777" w:rsidR="006C641F" w:rsidRPr="00937C8B" w:rsidRDefault="006C641F" w:rsidP="006C641F">
      <w:pPr>
        <w:pStyle w:val="CTENumeracion"/>
        <w:ind w:left="702" w:hanging="345"/>
        <w:rPr>
          <w:rFonts w:cs="Arial"/>
          <w:sz w:val="22"/>
          <w:szCs w:val="22"/>
        </w:rPr>
      </w:pPr>
      <w:r>
        <w:rPr>
          <w:sz w:val="22"/>
          <w:szCs w:val="22"/>
        </w:rPr>
        <w:t>h)</w:t>
      </w:r>
      <w:r>
        <w:rPr>
          <w:sz w:val="22"/>
          <w:szCs w:val="22"/>
        </w:rPr>
        <w:tab/>
        <w:t>la description et la disposition des systèmes utilisés dans le but de répondre aux besoins des différents services techniques;</w:t>
      </w:r>
    </w:p>
    <w:p w14:paraId="69628AB5" w14:textId="77777777" w:rsidR="006C641F" w:rsidRPr="00937C8B" w:rsidRDefault="006C641F" w:rsidP="006C641F">
      <w:pPr>
        <w:pStyle w:val="CTENumeracion"/>
        <w:ind w:left="702" w:hanging="345"/>
        <w:rPr>
          <w:rFonts w:cs="Arial"/>
          <w:sz w:val="22"/>
          <w:szCs w:val="22"/>
        </w:rPr>
      </w:pPr>
      <w:r>
        <w:rPr>
          <w:sz w:val="22"/>
          <w:szCs w:val="22"/>
        </w:rPr>
        <w:t>i)</w:t>
      </w:r>
      <w:r>
        <w:rPr>
          <w:sz w:val="22"/>
          <w:szCs w:val="22"/>
        </w:rPr>
        <w:tab/>
        <w:t>les rendements pris en considération pour les différents équipements des services techniques;</w:t>
      </w:r>
    </w:p>
    <w:p w14:paraId="0470397E" w14:textId="1F21F669" w:rsidR="006C641F" w:rsidRPr="00937C8B" w:rsidRDefault="006C641F" w:rsidP="006C641F">
      <w:pPr>
        <w:pStyle w:val="CTENumeracion"/>
        <w:ind w:left="702" w:hanging="345"/>
        <w:rPr>
          <w:rFonts w:cs="Arial"/>
          <w:sz w:val="22"/>
          <w:szCs w:val="22"/>
        </w:rPr>
      </w:pPr>
      <w:r>
        <w:rPr>
          <w:sz w:val="22"/>
          <w:szCs w:val="22"/>
        </w:rPr>
        <w:t>j)</w:t>
      </w:r>
      <w:r>
        <w:rPr>
          <w:sz w:val="22"/>
          <w:szCs w:val="22"/>
        </w:rPr>
        <w:tab/>
        <w:t>les facteurs de conversion de l</w:t>
      </w:r>
      <w:r w:rsidR="00EA7588">
        <w:rPr>
          <w:sz w:val="22"/>
          <w:szCs w:val="22"/>
        </w:rPr>
        <w:t>’</w:t>
      </w:r>
      <w:r>
        <w:rPr>
          <w:i/>
          <w:iCs/>
          <w:sz w:val="22"/>
          <w:szCs w:val="22"/>
        </w:rPr>
        <w:t>énergie finale</w:t>
      </w:r>
      <w:r>
        <w:rPr>
          <w:sz w:val="22"/>
          <w:szCs w:val="22"/>
        </w:rPr>
        <w:t xml:space="preserve"> en</w:t>
      </w:r>
      <w:r>
        <w:rPr>
          <w:i/>
          <w:iCs/>
          <w:sz w:val="22"/>
          <w:szCs w:val="22"/>
        </w:rPr>
        <w:t xml:space="preserve"> énergie primaire</w:t>
      </w:r>
      <w:r>
        <w:rPr>
          <w:sz w:val="22"/>
          <w:szCs w:val="22"/>
        </w:rPr>
        <w:t>;</w:t>
      </w:r>
    </w:p>
    <w:p w14:paraId="605A544A" w14:textId="77777777" w:rsidR="006C641F" w:rsidRPr="00937C8B" w:rsidRDefault="006C641F" w:rsidP="006C641F">
      <w:pPr>
        <w:pStyle w:val="CTENumeracion"/>
        <w:ind w:left="702" w:hanging="345"/>
        <w:rPr>
          <w:rFonts w:cs="Arial"/>
          <w:sz w:val="22"/>
          <w:szCs w:val="22"/>
        </w:rPr>
      </w:pPr>
      <w:r>
        <w:rPr>
          <w:sz w:val="22"/>
          <w:szCs w:val="22"/>
        </w:rPr>
        <w:t>k)</w:t>
      </w:r>
      <w:r>
        <w:rPr>
          <w:sz w:val="22"/>
          <w:szCs w:val="22"/>
        </w:rPr>
        <w:tab/>
        <w:t>la</w:t>
      </w:r>
      <w:r>
        <w:rPr>
          <w:i/>
          <w:sz w:val="22"/>
          <w:szCs w:val="22"/>
        </w:rPr>
        <w:t xml:space="preserve"> consommation d’énergie primaire non renouvelable</w:t>
      </w:r>
      <w:r>
        <w:rPr>
          <w:sz w:val="22"/>
          <w:szCs w:val="22"/>
        </w:rPr>
        <w:t xml:space="preserve"> (C</w:t>
      </w:r>
      <w:r>
        <w:rPr>
          <w:sz w:val="22"/>
          <w:szCs w:val="22"/>
          <w:vertAlign w:val="subscript"/>
        </w:rPr>
        <w:t>ep,nren</w:t>
      </w:r>
      <w:r>
        <w:rPr>
          <w:sz w:val="22"/>
          <w:szCs w:val="22"/>
        </w:rPr>
        <w:t>) du bâtiment et la valeur limite applicable (C</w:t>
      </w:r>
      <w:r>
        <w:rPr>
          <w:sz w:val="22"/>
          <w:szCs w:val="22"/>
          <w:vertAlign w:val="subscript"/>
        </w:rPr>
        <w:t>ep,nren,lim</w:t>
      </w:r>
      <w:r>
        <w:rPr>
          <w:sz w:val="22"/>
          <w:szCs w:val="22"/>
        </w:rPr>
        <w:t>);</w:t>
      </w:r>
    </w:p>
    <w:p w14:paraId="04607999" w14:textId="77777777" w:rsidR="006C641F" w:rsidRPr="00937C8B" w:rsidRDefault="006C641F" w:rsidP="006C641F">
      <w:pPr>
        <w:pStyle w:val="CTENumeracion"/>
        <w:ind w:left="702" w:hanging="345"/>
        <w:rPr>
          <w:rFonts w:cs="Arial"/>
          <w:sz w:val="22"/>
          <w:szCs w:val="22"/>
        </w:rPr>
      </w:pPr>
      <w:r>
        <w:rPr>
          <w:sz w:val="22"/>
          <w:szCs w:val="22"/>
        </w:rPr>
        <w:t>l)</w:t>
      </w:r>
      <w:r>
        <w:rPr>
          <w:sz w:val="22"/>
          <w:szCs w:val="22"/>
        </w:rPr>
        <w:tab/>
        <w:t>la</w:t>
      </w:r>
      <w:r>
        <w:rPr>
          <w:i/>
          <w:sz w:val="22"/>
          <w:szCs w:val="22"/>
        </w:rPr>
        <w:t xml:space="preserve"> consommation d’énergie primaire totale</w:t>
      </w:r>
      <w:r>
        <w:rPr>
          <w:sz w:val="22"/>
          <w:szCs w:val="22"/>
        </w:rPr>
        <w:t xml:space="preserve"> (C</w:t>
      </w:r>
      <w:r>
        <w:rPr>
          <w:sz w:val="22"/>
          <w:szCs w:val="22"/>
          <w:vertAlign w:val="subscript"/>
        </w:rPr>
        <w:t>ep,tot</w:t>
      </w:r>
      <w:r>
        <w:rPr>
          <w:sz w:val="22"/>
          <w:szCs w:val="22"/>
        </w:rPr>
        <w:t>) et la valeur limite applicable (C</w:t>
      </w:r>
      <w:r>
        <w:rPr>
          <w:sz w:val="22"/>
          <w:szCs w:val="22"/>
          <w:vertAlign w:val="subscript"/>
        </w:rPr>
        <w:t>ep,tot,lim</w:t>
      </w:r>
      <w:r>
        <w:rPr>
          <w:sz w:val="22"/>
          <w:szCs w:val="22"/>
        </w:rPr>
        <w:t>);</w:t>
      </w:r>
    </w:p>
    <w:p w14:paraId="0425867A" w14:textId="77777777" w:rsidR="006C641F" w:rsidRPr="00937C8B" w:rsidRDefault="006C641F" w:rsidP="006C641F">
      <w:pPr>
        <w:pStyle w:val="CTENumeracion"/>
        <w:ind w:left="702" w:hanging="345"/>
        <w:rPr>
          <w:rFonts w:cs="Arial"/>
          <w:sz w:val="22"/>
          <w:szCs w:val="22"/>
        </w:rPr>
      </w:pPr>
      <w:r>
        <w:rPr>
          <w:sz w:val="22"/>
          <w:szCs w:val="22"/>
        </w:rPr>
        <w:t>m)</w:t>
      </w:r>
      <w:r>
        <w:rPr>
          <w:sz w:val="22"/>
          <w:szCs w:val="22"/>
        </w:rPr>
        <w:tab/>
        <w:t xml:space="preserve">le nombre </w:t>
      </w:r>
      <w:r>
        <w:rPr>
          <w:i/>
          <w:iCs/>
          <w:sz w:val="22"/>
          <w:szCs w:val="22"/>
        </w:rPr>
        <w:t xml:space="preserve">heures hors consigne </w:t>
      </w:r>
      <w:r>
        <w:rPr>
          <w:sz w:val="22"/>
          <w:szCs w:val="22"/>
        </w:rPr>
        <w:t>et la valeur limite applicable.</w:t>
      </w:r>
    </w:p>
    <w:p w14:paraId="2EA4AA06" w14:textId="77777777" w:rsidR="006C641F" w:rsidRPr="00937C8B" w:rsidRDefault="006C641F" w:rsidP="006C641F">
      <w:pPr>
        <w:pStyle w:val="CteTtulo2"/>
        <w:rPr>
          <w:rFonts w:cs="Arial"/>
        </w:rPr>
      </w:pPr>
      <w:bookmarkStart w:id="66" w:name="_Toc530395243"/>
      <w:bookmarkStart w:id="67" w:name="_Toc530396122"/>
      <w:bookmarkStart w:id="68" w:name="_Toc39157914"/>
      <w:bookmarkStart w:id="69" w:name="_Toc39158115"/>
      <w:r>
        <w:t>6</w:t>
      </w:r>
      <w:r>
        <w:tab/>
        <w:t>Construction, maintenance et conservation</w:t>
      </w:r>
      <w:bookmarkEnd w:id="66"/>
      <w:bookmarkEnd w:id="67"/>
      <w:bookmarkEnd w:id="68"/>
      <w:bookmarkEnd w:id="69"/>
    </w:p>
    <w:p w14:paraId="7E1B6864" w14:textId="77777777" w:rsidR="006C641F" w:rsidRPr="00937C8B" w:rsidRDefault="006C641F" w:rsidP="009467D5">
      <w:pPr>
        <w:pStyle w:val="CteTtulo3"/>
      </w:pPr>
      <w:bookmarkStart w:id="70" w:name="_Toc530395244"/>
      <w:bookmarkStart w:id="71" w:name="_Toc39157915"/>
      <w:r>
        <w:t>6.1</w:t>
      </w:r>
      <w:r>
        <w:tab/>
        <w:t>Exécution</w:t>
      </w:r>
      <w:bookmarkEnd w:id="70"/>
      <w:bookmarkEnd w:id="71"/>
    </w:p>
    <w:p w14:paraId="7C80B7B7" w14:textId="47AD7B3F" w:rsidR="006C641F" w:rsidRPr="00937C8B" w:rsidRDefault="006C641F" w:rsidP="006C641F">
      <w:pPr>
        <w:pStyle w:val="CTENumeracion"/>
        <w:spacing w:before="120"/>
        <w:rPr>
          <w:rFonts w:cs="Arial"/>
          <w:sz w:val="22"/>
          <w:szCs w:val="22"/>
        </w:rPr>
      </w:pPr>
      <w:r>
        <w:rPr>
          <w:sz w:val="22"/>
          <w:szCs w:val="22"/>
        </w:rPr>
        <w:t>1</w:t>
      </w:r>
      <w:r>
        <w:rPr>
          <w:sz w:val="22"/>
          <w:szCs w:val="22"/>
        </w:rPr>
        <w:tab/>
        <w:t>Les travaux de construction du bâtiment doivent être exécutés conformément au projet et aux modifications autorisées par le responsable des travaux sous réserve de l</w:t>
      </w:r>
      <w:r w:rsidR="00EA7588">
        <w:rPr>
          <w:sz w:val="22"/>
          <w:szCs w:val="22"/>
        </w:rPr>
        <w:t>’</w:t>
      </w:r>
      <w:r>
        <w:rPr>
          <w:sz w:val="22"/>
          <w:szCs w:val="22"/>
        </w:rPr>
        <w:t xml:space="preserve">accord préalable du promoteur, à la législation en vigueur, aux normes relatives aux bonnes pratiques de construction et aux consignes </w:t>
      </w:r>
      <w:r>
        <w:rPr>
          <w:sz w:val="22"/>
          <w:szCs w:val="22"/>
        </w:rPr>
        <w:lastRenderedPageBreak/>
        <w:t>du responsable des travaux et du directeur de l</w:t>
      </w:r>
      <w:r w:rsidR="00EA7588">
        <w:rPr>
          <w:sz w:val="22"/>
          <w:szCs w:val="22"/>
        </w:rPr>
        <w:t>’</w:t>
      </w:r>
      <w:r>
        <w:rPr>
          <w:sz w:val="22"/>
          <w:szCs w:val="22"/>
        </w:rPr>
        <w:t>exécution des travaux, en vertu des dispositions de l</w:t>
      </w:r>
      <w:r w:rsidR="00EA7588">
        <w:rPr>
          <w:sz w:val="22"/>
          <w:szCs w:val="22"/>
        </w:rPr>
        <w:t>’</w:t>
      </w:r>
      <w:r>
        <w:rPr>
          <w:sz w:val="22"/>
          <w:szCs w:val="22"/>
        </w:rPr>
        <w:t>article 7, partie I, du CTE.</w:t>
      </w:r>
    </w:p>
    <w:p w14:paraId="7114DD31" w14:textId="654DCD7C" w:rsidR="006C641F" w:rsidRPr="00937C8B" w:rsidRDefault="006C641F" w:rsidP="009467D5">
      <w:pPr>
        <w:pStyle w:val="CteTtulo3"/>
      </w:pPr>
      <w:bookmarkStart w:id="72" w:name="_Toc530395245"/>
      <w:bookmarkStart w:id="73" w:name="_Toc530396124"/>
      <w:bookmarkStart w:id="74" w:name="_Toc39157916"/>
      <w:r>
        <w:t>6.2</w:t>
      </w:r>
      <w:r>
        <w:tab/>
        <w:t>Contrôle de l</w:t>
      </w:r>
      <w:r w:rsidR="00EA7588">
        <w:t>’</w:t>
      </w:r>
      <w:r>
        <w:t>exécution de l</w:t>
      </w:r>
      <w:r w:rsidR="00EA7588">
        <w:t>’</w:t>
      </w:r>
      <w:r>
        <w:t>ouvrage</w:t>
      </w:r>
      <w:bookmarkEnd w:id="72"/>
      <w:bookmarkEnd w:id="73"/>
      <w:bookmarkEnd w:id="74"/>
    </w:p>
    <w:p w14:paraId="4876886D" w14:textId="0E0EB715" w:rsidR="006C641F" w:rsidRPr="00937C8B" w:rsidRDefault="006C641F" w:rsidP="006C641F">
      <w:pPr>
        <w:pStyle w:val="CTENumeracion"/>
        <w:spacing w:before="120"/>
        <w:rPr>
          <w:rFonts w:cs="Arial"/>
          <w:sz w:val="22"/>
          <w:szCs w:val="22"/>
        </w:rPr>
      </w:pPr>
      <w:r>
        <w:rPr>
          <w:sz w:val="22"/>
          <w:szCs w:val="22"/>
        </w:rPr>
        <w:t>1</w:t>
      </w:r>
      <w:r>
        <w:rPr>
          <w:sz w:val="22"/>
          <w:szCs w:val="22"/>
        </w:rPr>
        <w:tab/>
        <w:t>L</w:t>
      </w:r>
      <w:r w:rsidR="00EA7588">
        <w:rPr>
          <w:sz w:val="22"/>
          <w:szCs w:val="22"/>
        </w:rPr>
        <w:t>’</w:t>
      </w:r>
      <w:r>
        <w:rPr>
          <w:sz w:val="22"/>
          <w:szCs w:val="22"/>
        </w:rPr>
        <w:t>exécution des travaux doit être contrôlée conformément aux spécifications du projet, de ses annexes, aux modifications autorisées par le responsable des travaux et aux consignes du directeur de l</w:t>
      </w:r>
      <w:r w:rsidR="00EA7588">
        <w:rPr>
          <w:sz w:val="22"/>
          <w:szCs w:val="22"/>
        </w:rPr>
        <w:t>’</w:t>
      </w:r>
      <w:r>
        <w:rPr>
          <w:sz w:val="22"/>
          <w:szCs w:val="22"/>
        </w:rPr>
        <w:t>exécution des travaux, en vertu des dispositions de l</w:t>
      </w:r>
      <w:r w:rsidR="00EA7588">
        <w:rPr>
          <w:sz w:val="22"/>
          <w:szCs w:val="22"/>
        </w:rPr>
        <w:t>’</w:t>
      </w:r>
      <w:r>
        <w:rPr>
          <w:sz w:val="22"/>
          <w:szCs w:val="22"/>
        </w:rPr>
        <w:t>article 7.3 de la partie I du CTE et d</w:t>
      </w:r>
      <w:r w:rsidR="00EA7588">
        <w:rPr>
          <w:sz w:val="22"/>
          <w:szCs w:val="22"/>
        </w:rPr>
        <w:t>’</w:t>
      </w:r>
      <w:r>
        <w:rPr>
          <w:sz w:val="22"/>
          <w:szCs w:val="22"/>
        </w:rPr>
        <w:t>autres normes en vigueur.</w:t>
      </w:r>
    </w:p>
    <w:p w14:paraId="065C9F88" w14:textId="3A131D16" w:rsidR="006C641F" w:rsidRPr="00937C8B" w:rsidRDefault="006C641F" w:rsidP="006C641F">
      <w:pPr>
        <w:pStyle w:val="CTENumeracion"/>
        <w:spacing w:before="120"/>
        <w:rPr>
          <w:rFonts w:cs="Arial"/>
          <w:sz w:val="22"/>
          <w:szCs w:val="22"/>
        </w:rPr>
      </w:pPr>
      <w:r>
        <w:rPr>
          <w:sz w:val="22"/>
          <w:szCs w:val="22"/>
        </w:rPr>
        <w:t>2</w:t>
      </w:r>
      <w:r>
        <w:rPr>
          <w:sz w:val="22"/>
          <w:szCs w:val="22"/>
        </w:rPr>
        <w:tab/>
        <w:t>La vérification doit porter sur l</w:t>
      </w:r>
      <w:r w:rsidR="00EA7588">
        <w:rPr>
          <w:sz w:val="22"/>
          <w:szCs w:val="22"/>
        </w:rPr>
        <w:t>’</w:t>
      </w:r>
      <w:r>
        <w:rPr>
          <w:sz w:val="22"/>
          <w:szCs w:val="22"/>
        </w:rPr>
        <w:t>exécution des travaux conformément aux contrôles et à leur fréquence définis dans le cahier des charges du projet.</w:t>
      </w:r>
    </w:p>
    <w:p w14:paraId="2A60E765" w14:textId="2A219F06" w:rsidR="006C641F" w:rsidRPr="00937C8B" w:rsidRDefault="006C641F" w:rsidP="006C641F">
      <w:pPr>
        <w:pStyle w:val="CTENumeracion"/>
        <w:spacing w:before="120"/>
        <w:rPr>
          <w:rFonts w:cs="Arial"/>
          <w:sz w:val="22"/>
          <w:szCs w:val="22"/>
        </w:rPr>
      </w:pPr>
      <w:r>
        <w:rPr>
          <w:sz w:val="22"/>
          <w:szCs w:val="22"/>
        </w:rPr>
        <w:t>3</w:t>
      </w:r>
      <w:r>
        <w:rPr>
          <w:sz w:val="22"/>
          <w:szCs w:val="22"/>
        </w:rPr>
        <w:tab/>
        <w:t>Toute modification apportée dans le cadre de l</w:t>
      </w:r>
      <w:r w:rsidR="00EA7588">
        <w:rPr>
          <w:sz w:val="22"/>
          <w:szCs w:val="22"/>
        </w:rPr>
        <w:t>’</w:t>
      </w:r>
      <w:r>
        <w:rPr>
          <w:sz w:val="22"/>
          <w:szCs w:val="22"/>
        </w:rPr>
        <w:t>exécution des travaux doit être consignée dans la documentation relative aux travaux réalisés, indépendamment du respect des conditions minimales énoncées dans le présent document de base.</w:t>
      </w:r>
    </w:p>
    <w:p w14:paraId="6299D000" w14:textId="77777777" w:rsidR="006C641F" w:rsidRPr="00937C8B" w:rsidRDefault="006C641F" w:rsidP="006C641F">
      <w:pPr>
        <w:pStyle w:val="CTENumeracion"/>
        <w:spacing w:before="120"/>
        <w:rPr>
          <w:rFonts w:cs="Arial"/>
          <w:sz w:val="22"/>
          <w:szCs w:val="22"/>
        </w:rPr>
      </w:pPr>
      <w:r>
        <w:rPr>
          <w:sz w:val="22"/>
          <w:szCs w:val="22"/>
        </w:rPr>
        <w:t>4</w:t>
      </w:r>
      <w:r>
        <w:rPr>
          <w:sz w:val="22"/>
          <w:szCs w:val="22"/>
        </w:rPr>
        <w:tab/>
        <w:t>La documentation se rapportant aux caractéristiques des produits, des équipements et des systèmes intégrés aux travaux doit être jointe au Livre du bâtiment.</w:t>
      </w:r>
    </w:p>
    <w:p w14:paraId="41CD86B0" w14:textId="7E8688D1" w:rsidR="006C641F" w:rsidRPr="00937C8B" w:rsidRDefault="006C641F" w:rsidP="009467D5">
      <w:pPr>
        <w:pStyle w:val="CteTtulo3"/>
      </w:pPr>
      <w:bookmarkStart w:id="75" w:name="Sección_HE0_ControlObra"/>
      <w:bookmarkStart w:id="76" w:name="_Toc530395246"/>
      <w:bookmarkStart w:id="77" w:name="_Toc39157917"/>
      <w:bookmarkEnd w:id="75"/>
      <w:r>
        <w:t>6.3</w:t>
      </w:r>
      <w:r>
        <w:tab/>
        <w:t>Contrôle de l</w:t>
      </w:r>
      <w:r w:rsidR="00EA7588">
        <w:t>’</w:t>
      </w:r>
      <w:r>
        <w:t>ouvrage fini</w:t>
      </w:r>
      <w:bookmarkEnd w:id="76"/>
      <w:bookmarkEnd w:id="77"/>
    </w:p>
    <w:p w14:paraId="04B4DCFE" w14:textId="0E61FFEB" w:rsidR="006C641F" w:rsidRPr="00937C8B" w:rsidRDefault="006C641F" w:rsidP="006C641F">
      <w:pPr>
        <w:pStyle w:val="CTENumeracion"/>
        <w:spacing w:before="120"/>
        <w:rPr>
          <w:rFonts w:cs="Arial"/>
          <w:sz w:val="22"/>
          <w:szCs w:val="22"/>
        </w:rPr>
      </w:pPr>
      <w:r>
        <w:rPr>
          <w:sz w:val="22"/>
          <w:szCs w:val="22"/>
        </w:rPr>
        <w:t>1</w:t>
      </w:r>
      <w:r>
        <w:rPr>
          <w:sz w:val="22"/>
          <w:szCs w:val="22"/>
        </w:rPr>
        <w:tab/>
        <w:t>Le contrôle de l</w:t>
      </w:r>
      <w:r w:rsidR="00EA7588">
        <w:rPr>
          <w:sz w:val="22"/>
          <w:szCs w:val="22"/>
        </w:rPr>
        <w:t>’</w:t>
      </w:r>
      <w:r>
        <w:rPr>
          <w:sz w:val="22"/>
          <w:szCs w:val="22"/>
        </w:rPr>
        <w:t>ouvrage fini doit satisfaire aux exigences de l</w:t>
      </w:r>
      <w:r w:rsidR="00EA7588">
        <w:rPr>
          <w:sz w:val="22"/>
          <w:szCs w:val="22"/>
        </w:rPr>
        <w:t>’</w:t>
      </w:r>
      <w:r>
        <w:rPr>
          <w:sz w:val="22"/>
          <w:szCs w:val="22"/>
        </w:rPr>
        <w:t xml:space="preserve">article 7.4 de la partie I du CTE. </w:t>
      </w:r>
    </w:p>
    <w:p w14:paraId="298EA197" w14:textId="77777777" w:rsidR="006C641F" w:rsidRPr="00937C8B" w:rsidRDefault="006C641F" w:rsidP="006C641F">
      <w:pPr>
        <w:pStyle w:val="CTENumeracion"/>
        <w:spacing w:before="120"/>
        <w:rPr>
          <w:rFonts w:cs="Arial"/>
          <w:sz w:val="22"/>
          <w:szCs w:val="22"/>
        </w:rPr>
      </w:pPr>
      <w:r>
        <w:rPr>
          <w:sz w:val="22"/>
          <w:szCs w:val="22"/>
        </w:rPr>
        <w:t>2</w:t>
      </w:r>
      <w:r>
        <w:rPr>
          <w:sz w:val="22"/>
          <w:szCs w:val="22"/>
        </w:rPr>
        <w:tab/>
        <w:t>Les essais finaux ne sont pas précisés dans ce chapitre du document de base.</w:t>
      </w:r>
    </w:p>
    <w:p w14:paraId="5FD9E2DD" w14:textId="77777777" w:rsidR="006C641F" w:rsidRPr="00937C8B" w:rsidRDefault="006C641F" w:rsidP="009467D5">
      <w:pPr>
        <w:pStyle w:val="CteTtulo3"/>
      </w:pPr>
      <w:bookmarkStart w:id="78" w:name="_Toc530395247"/>
      <w:bookmarkStart w:id="79" w:name="_Toc530396126"/>
      <w:bookmarkStart w:id="80" w:name="_Toc39157918"/>
      <w:r>
        <w:t>6.4</w:t>
      </w:r>
      <w:r>
        <w:tab/>
        <w:t>Maintenance et conservation du bâtiment</w:t>
      </w:r>
      <w:bookmarkEnd w:id="78"/>
      <w:bookmarkEnd w:id="79"/>
      <w:bookmarkEnd w:id="80"/>
    </w:p>
    <w:p w14:paraId="44E11D4A" w14:textId="7EF55791" w:rsidR="006C641F" w:rsidRPr="00937C8B" w:rsidRDefault="006C641F" w:rsidP="006C641F">
      <w:pPr>
        <w:pStyle w:val="CTENumeracion"/>
        <w:spacing w:before="120"/>
        <w:rPr>
          <w:rFonts w:cs="Arial"/>
          <w:strike/>
          <w:sz w:val="22"/>
          <w:szCs w:val="22"/>
        </w:rPr>
      </w:pPr>
      <w:r>
        <w:rPr>
          <w:sz w:val="22"/>
          <w:szCs w:val="22"/>
        </w:rPr>
        <w:t>1</w:t>
      </w:r>
      <w:r>
        <w:rPr>
          <w:sz w:val="22"/>
          <w:szCs w:val="22"/>
        </w:rPr>
        <w:tab/>
        <w:t>Le plan de maintenance inclus dans le livre du bâtiment présente la fréquence et la nature des opérations nécessaires à l</w:t>
      </w:r>
      <w:r w:rsidR="00EA7588">
        <w:rPr>
          <w:sz w:val="22"/>
          <w:szCs w:val="22"/>
        </w:rPr>
        <w:t>’</w:t>
      </w:r>
      <w:r>
        <w:rPr>
          <w:sz w:val="22"/>
          <w:szCs w:val="22"/>
        </w:rPr>
        <w:t>entretien, dans le temps, des paramètres de conception et des performances de l</w:t>
      </w:r>
      <w:r w:rsidR="00EA7588">
        <w:rPr>
          <w:sz w:val="22"/>
          <w:szCs w:val="22"/>
        </w:rPr>
        <w:t>’</w:t>
      </w:r>
      <w:r>
        <w:rPr>
          <w:i/>
          <w:iCs/>
          <w:sz w:val="22"/>
          <w:szCs w:val="22"/>
        </w:rPr>
        <w:t>enceinte thermique</w:t>
      </w:r>
      <w:r>
        <w:rPr>
          <w:sz w:val="22"/>
          <w:szCs w:val="22"/>
        </w:rPr>
        <w:t xml:space="preserve"> et des installations.</w:t>
      </w:r>
    </w:p>
    <w:p w14:paraId="0B2D7408" w14:textId="4A018F44" w:rsidR="00CE6532" w:rsidRPr="00937C8B" w:rsidRDefault="006C641F" w:rsidP="006C641F">
      <w:pPr>
        <w:pStyle w:val="CTENumeracion"/>
        <w:spacing w:before="120"/>
        <w:rPr>
          <w:rFonts w:cs="Arial"/>
          <w:sz w:val="22"/>
          <w:szCs w:val="22"/>
        </w:rPr>
      </w:pPr>
      <w:r>
        <w:rPr>
          <w:sz w:val="22"/>
          <w:szCs w:val="22"/>
        </w:rPr>
        <w:t>2</w:t>
      </w:r>
      <w:r>
        <w:rPr>
          <w:sz w:val="22"/>
          <w:szCs w:val="22"/>
        </w:rPr>
        <w:tab/>
        <w:t>Il convient d’y consigner également toutes les interventions effectuées, qu</w:t>
      </w:r>
      <w:r w:rsidR="00EA7588">
        <w:rPr>
          <w:sz w:val="22"/>
          <w:szCs w:val="22"/>
        </w:rPr>
        <w:t>’</w:t>
      </w:r>
      <w:r>
        <w:rPr>
          <w:sz w:val="22"/>
          <w:szCs w:val="22"/>
        </w:rPr>
        <w:t>il s</w:t>
      </w:r>
      <w:r w:rsidR="00EA7588">
        <w:rPr>
          <w:sz w:val="22"/>
          <w:szCs w:val="22"/>
        </w:rPr>
        <w:t>’</w:t>
      </w:r>
      <w:r>
        <w:rPr>
          <w:sz w:val="22"/>
          <w:szCs w:val="22"/>
        </w:rPr>
        <w:t>agisse de réparations, de rénovations ou de réhabilitations, tout au long de la vie utile du bâtiment.</w:t>
      </w:r>
    </w:p>
    <w:p w14:paraId="69C909B5" w14:textId="77777777" w:rsidR="00B44AA1" w:rsidRPr="00937C8B" w:rsidRDefault="00B44AA1" w:rsidP="0084739B">
      <w:pPr>
        <w:pStyle w:val="CteTtuloSeccion"/>
        <w:pageBreakBefore/>
        <w:rPr>
          <w:rFonts w:cs="Arial"/>
          <w:color w:val="auto"/>
        </w:rPr>
      </w:pPr>
      <w:bookmarkStart w:id="81" w:name="_Toc39157919"/>
      <w:bookmarkStart w:id="82" w:name="_Toc39158116"/>
      <w:r>
        <w:rPr>
          <w:color w:val="auto"/>
        </w:rPr>
        <w:lastRenderedPageBreak/>
        <w:t>Chapitre HE 1</w:t>
      </w:r>
      <w:r>
        <w:rPr>
          <w:color w:val="auto"/>
        </w:rPr>
        <w:br/>
        <w:t>Conditions de contrôle de la demande d’énergie</w:t>
      </w:r>
      <w:bookmarkEnd w:id="81"/>
      <w:bookmarkEnd w:id="82"/>
    </w:p>
    <w:p w14:paraId="60864470" w14:textId="4EAF075A" w:rsidR="00230F35" w:rsidRPr="00937C8B" w:rsidRDefault="00230F35" w:rsidP="00230F35">
      <w:pPr>
        <w:pStyle w:val="CteTtulo2"/>
        <w:rPr>
          <w:rFonts w:cs="Arial"/>
        </w:rPr>
      </w:pPr>
      <w:bookmarkStart w:id="83" w:name="_Toc530395249"/>
      <w:bookmarkStart w:id="84" w:name="_Toc530396128"/>
      <w:bookmarkStart w:id="85" w:name="_Toc39157920"/>
      <w:bookmarkStart w:id="86" w:name="_Toc39158117"/>
      <w:r>
        <w:t>1</w:t>
      </w:r>
      <w:r>
        <w:tab/>
        <w:t>Champ d</w:t>
      </w:r>
      <w:r w:rsidR="00EA7588">
        <w:t>’</w:t>
      </w:r>
      <w:r>
        <w:t>application</w:t>
      </w:r>
      <w:bookmarkEnd w:id="83"/>
      <w:bookmarkEnd w:id="84"/>
      <w:bookmarkEnd w:id="85"/>
      <w:bookmarkEnd w:id="86"/>
    </w:p>
    <w:p w14:paraId="19FC54CE" w14:textId="157E3167" w:rsidR="00230F35" w:rsidRPr="00937C8B" w:rsidRDefault="00230F35" w:rsidP="00230F35">
      <w:pPr>
        <w:pStyle w:val="CTENumeracion"/>
        <w:rPr>
          <w:rFonts w:cs="Arial"/>
          <w:sz w:val="22"/>
          <w:szCs w:val="22"/>
        </w:rPr>
      </w:pPr>
      <w:r>
        <w:rPr>
          <w:sz w:val="22"/>
          <w:szCs w:val="22"/>
        </w:rPr>
        <w:t>1</w:t>
      </w:r>
      <w:r>
        <w:rPr>
          <w:sz w:val="22"/>
          <w:szCs w:val="22"/>
        </w:rPr>
        <w:tab/>
        <w:t>Ce chapitre s</w:t>
      </w:r>
      <w:r w:rsidR="00EA7588">
        <w:rPr>
          <w:sz w:val="22"/>
          <w:szCs w:val="22"/>
        </w:rPr>
        <w:t>’</w:t>
      </w:r>
      <w:r>
        <w:rPr>
          <w:sz w:val="22"/>
          <w:szCs w:val="22"/>
        </w:rPr>
        <w:t>applique:</w:t>
      </w:r>
    </w:p>
    <w:p w14:paraId="004E2DB2" w14:textId="77777777" w:rsidR="00230F35" w:rsidRPr="00937C8B" w:rsidRDefault="00230F35" w:rsidP="00230F35">
      <w:pPr>
        <w:pStyle w:val="CTENumeracion"/>
        <w:ind w:firstLine="0"/>
        <w:rPr>
          <w:rFonts w:cs="Arial"/>
          <w:sz w:val="22"/>
          <w:szCs w:val="22"/>
        </w:rPr>
      </w:pPr>
      <w:r>
        <w:rPr>
          <w:sz w:val="22"/>
          <w:szCs w:val="22"/>
        </w:rPr>
        <w:t>a)</w:t>
      </w:r>
      <w:r>
        <w:rPr>
          <w:sz w:val="22"/>
          <w:szCs w:val="22"/>
        </w:rPr>
        <w:tab/>
        <w:t>aux nouvelles constructions;</w:t>
      </w:r>
    </w:p>
    <w:p w14:paraId="523BA462" w14:textId="77777777" w:rsidR="00230F35" w:rsidRPr="00937C8B" w:rsidRDefault="00230F35" w:rsidP="00230F35">
      <w:pPr>
        <w:pStyle w:val="CTENumeracion"/>
        <w:spacing w:before="0" w:after="0"/>
        <w:ind w:firstLine="0"/>
        <w:rPr>
          <w:rFonts w:cs="Arial"/>
          <w:sz w:val="22"/>
          <w:szCs w:val="22"/>
        </w:rPr>
      </w:pPr>
      <w:r>
        <w:rPr>
          <w:sz w:val="22"/>
          <w:szCs w:val="22"/>
        </w:rPr>
        <w:t>b)</w:t>
      </w:r>
      <w:r>
        <w:rPr>
          <w:sz w:val="22"/>
          <w:szCs w:val="22"/>
        </w:rPr>
        <w:tab/>
        <w:t>aux interventions sur des bâtiments existants:</w:t>
      </w:r>
    </w:p>
    <w:p w14:paraId="551E2F93" w14:textId="77777777" w:rsidR="00230F35" w:rsidRPr="00937C8B" w:rsidRDefault="00230F35" w:rsidP="00425ADA">
      <w:pPr>
        <w:pStyle w:val="CTENumeracion"/>
        <w:numPr>
          <w:ilvl w:val="0"/>
          <w:numId w:val="14"/>
        </w:numPr>
        <w:spacing w:before="0" w:after="0"/>
        <w:ind w:left="1134"/>
        <w:rPr>
          <w:rFonts w:cs="Arial"/>
          <w:sz w:val="22"/>
          <w:szCs w:val="22"/>
        </w:rPr>
      </w:pPr>
      <w:r>
        <w:rPr>
          <w:sz w:val="22"/>
          <w:szCs w:val="22"/>
        </w:rPr>
        <w:t>extensions;</w:t>
      </w:r>
    </w:p>
    <w:p w14:paraId="0213F8D1" w14:textId="398CE32F" w:rsidR="00230F35" w:rsidRPr="00937C8B" w:rsidRDefault="00230F35" w:rsidP="00425ADA">
      <w:pPr>
        <w:pStyle w:val="CTENumeracion"/>
        <w:numPr>
          <w:ilvl w:val="0"/>
          <w:numId w:val="14"/>
        </w:numPr>
        <w:spacing w:before="0" w:after="0"/>
        <w:ind w:left="1134"/>
        <w:rPr>
          <w:rFonts w:cs="Arial"/>
          <w:sz w:val="22"/>
          <w:szCs w:val="22"/>
        </w:rPr>
      </w:pPr>
      <w:r>
        <w:rPr>
          <w:sz w:val="22"/>
          <w:szCs w:val="22"/>
        </w:rPr>
        <w:t>changements d</w:t>
      </w:r>
      <w:r w:rsidR="00EA7588">
        <w:rPr>
          <w:sz w:val="22"/>
          <w:szCs w:val="22"/>
        </w:rPr>
        <w:t>’</w:t>
      </w:r>
      <w:r>
        <w:rPr>
          <w:sz w:val="22"/>
          <w:szCs w:val="22"/>
        </w:rPr>
        <w:t xml:space="preserve">usage; </w:t>
      </w:r>
    </w:p>
    <w:p w14:paraId="533D184E" w14:textId="77777777" w:rsidR="00230F35" w:rsidRPr="00937C8B" w:rsidRDefault="00230F35" w:rsidP="00425ADA">
      <w:pPr>
        <w:pStyle w:val="CTENumeracion"/>
        <w:numPr>
          <w:ilvl w:val="0"/>
          <w:numId w:val="14"/>
        </w:numPr>
        <w:spacing w:before="0" w:after="0"/>
        <w:ind w:left="1134"/>
        <w:rPr>
          <w:rFonts w:cs="Arial"/>
          <w:sz w:val="22"/>
          <w:szCs w:val="22"/>
        </w:rPr>
      </w:pPr>
      <w:r>
        <w:rPr>
          <w:sz w:val="22"/>
          <w:szCs w:val="22"/>
        </w:rPr>
        <w:t>rénovations.</w:t>
      </w:r>
    </w:p>
    <w:p w14:paraId="69DA52E2" w14:textId="75C48E2F" w:rsidR="00230F35" w:rsidRPr="00937C8B" w:rsidRDefault="00230F35" w:rsidP="00230F35">
      <w:pPr>
        <w:pStyle w:val="CTENumeracion"/>
        <w:spacing w:before="120"/>
        <w:rPr>
          <w:rFonts w:cs="Arial"/>
          <w:sz w:val="22"/>
          <w:szCs w:val="22"/>
        </w:rPr>
      </w:pPr>
      <w:r>
        <w:rPr>
          <w:sz w:val="22"/>
          <w:szCs w:val="22"/>
        </w:rPr>
        <w:t>2</w:t>
      </w:r>
      <w:r>
        <w:rPr>
          <w:sz w:val="22"/>
          <w:szCs w:val="22"/>
        </w:rPr>
        <w:tab/>
        <w:t>Sont exclus du champ d</w:t>
      </w:r>
      <w:r w:rsidR="00EA7588">
        <w:rPr>
          <w:sz w:val="22"/>
          <w:szCs w:val="22"/>
        </w:rPr>
        <w:t>’</w:t>
      </w:r>
      <w:r>
        <w:rPr>
          <w:sz w:val="22"/>
          <w:szCs w:val="22"/>
        </w:rPr>
        <w:t>application:</w:t>
      </w:r>
    </w:p>
    <w:p w14:paraId="77AAA42E" w14:textId="77777777" w:rsidR="00230F35" w:rsidRPr="00937C8B" w:rsidRDefault="00230F35" w:rsidP="00230F35">
      <w:pPr>
        <w:pStyle w:val="CTENumeracion"/>
        <w:ind w:left="702" w:hanging="345"/>
        <w:rPr>
          <w:rFonts w:cs="Arial"/>
          <w:sz w:val="22"/>
          <w:szCs w:val="22"/>
        </w:rPr>
      </w:pPr>
      <w:r>
        <w:rPr>
          <w:sz w:val="22"/>
          <w:szCs w:val="22"/>
        </w:rPr>
        <w:t>a)</w:t>
      </w:r>
      <w:r>
        <w:rPr>
          <w:sz w:val="22"/>
          <w:szCs w:val="22"/>
        </w:rPr>
        <w:tab/>
        <w:t>les bâtiments officiellement protégés par leur inclusion dans une zone déclarée ou en raison de leur valeur architecturale ou historique particulière, dans la mesure où la conformité à certaines exigences de base en matière de performance énergétique modifierait de manière inacceptable leur caractère ou leur apparence, tel que déterminé par l’autorité responsable de la protection officielle;</w:t>
      </w:r>
    </w:p>
    <w:p w14:paraId="6869711E" w14:textId="71AF2C97" w:rsidR="00230F35" w:rsidRPr="00937C8B" w:rsidRDefault="00230F35" w:rsidP="00230F35">
      <w:pPr>
        <w:pStyle w:val="CTENumeracion"/>
        <w:ind w:left="702" w:hanging="345"/>
        <w:rPr>
          <w:rFonts w:cs="Arial"/>
          <w:sz w:val="22"/>
          <w:szCs w:val="22"/>
        </w:rPr>
      </w:pPr>
      <w:r>
        <w:rPr>
          <w:sz w:val="22"/>
          <w:szCs w:val="22"/>
        </w:rPr>
        <w:t>b)</w:t>
      </w:r>
      <w:r>
        <w:rPr>
          <w:sz w:val="22"/>
          <w:szCs w:val="22"/>
        </w:rPr>
        <w:tab/>
        <w:t>les constructions provisoires prévues pour une durée d</w:t>
      </w:r>
      <w:r w:rsidR="00EA7588">
        <w:rPr>
          <w:sz w:val="22"/>
          <w:szCs w:val="22"/>
        </w:rPr>
        <w:t>’</w:t>
      </w:r>
      <w:r>
        <w:rPr>
          <w:sz w:val="22"/>
          <w:szCs w:val="22"/>
        </w:rPr>
        <w:t>utilisation inférieure ou égale à deux ans;</w:t>
      </w:r>
    </w:p>
    <w:p w14:paraId="30258835" w14:textId="77777777" w:rsidR="00230F35" w:rsidRPr="00937C8B" w:rsidRDefault="00230F35" w:rsidP="00230F35">
      <w:pPr>
        <w:pStyle w:val="CTENumeracion"/>
        <w:ind w:left="702" w:hanging="345"/>
        <w:rPr>
          <w:rFonts w:cs="Arial"/>
          <w:sz w:val="22"/>
          <w:szCs w:val="22"/>
        </w:rPr>
      </w:pPr>
      <w:r>
        <w:rPr>
          <w:sz w:val="22"/>
          <w:szCs w:val="22"/>
        </w:rPr>
        <w:t>c)</w:t>
      </w:r>
      <w:r>
        <w:rPr>
          <w:sz w:val="22"/>
          <w:szCs w:val="22"/>
        </w:rPr>
        <w:tab/>
        <w:t>les bâtiments industriels, militaires et agricoles non résidentiels, ou des parties de ces bâtiments, sobres en énergie. Les zones qui ne font pas l’objet d’exigences de confort thermique, telles que celles destinées aux ateliers ou aux procédés industriels, sont réputées sobres en énergie;</w:t>
      </w:r>
    </w:p>
    <w:p w14:paraId="2AE719D8" w14:textId="267CAD35" w:rsidR="00230F35" w:rsidRPr="00937C8B" w:rsidRDefault="00230F35" w:rsidP="00230F35">
      <w:pPr>
        <w:pStyle w:val="CTENumeracion"/>
        <w:ind w:left="702" w:hanging="345"/>
        <w:rPr>
          <w:rFonts w:cs="Arial"/>
        </w:rPr>
      </w:pPr>
      <w:r>
        <w:rPr>
          <w:sz w:val="22"/>
          <w:szCs w:val="22"/>
        </w:rPr>
        <w:t>d)</w:t>
      </w:r>
      <w:r>
        <w:rPr>
          <w:sz w:val="22"/>
          <w:szCs w:val="22"/>
        </w:rPr>
        <w:tab/>
        <w:t>les bâtiments indépendants d</w:t>
      </w:r>
      <w:r w:rsidR="00EA7588">
        <w:rPr>
          <w:sz w:val="22"/>
          <w:szCs w:val="22"/>
        </w:rPr>
        <w:t>’</w:t>
      </w:r>
      <w:r>
        <w:rPr>
          <w:sz w:val="22"/>
          <w:szCs w:val="22"/>
        </w:rPr>
        <w:t>une surface utile totale inférieure à 50 m</w:t>
      </w:r>
      <w:r>
        <w:rPr>
          <w:sz w:val="22"/>
          <w:szCs w:val="22"/>
          <w:vertAlign w:val="superscript"/>
        </w:rPr>
        <w:t>2</w:t>
      </w:r>
      <w:r>
        <w:rPr>
          <w:sz w:val="22"/>
          <w:szCs w:val="22"/>
        </w:rPr>
        <w:t>.</w:t>
      </w:r>
    </w:p>
    <w:p w14:paraId="7ED73CF8" w14:textId="5B0744CD" w:rsidR="00230F35" w:rsidRPr="00937C8B" w:rsidRDefault="00230F35" w:rsidP="00230F35">
      <w:pPr>
        <w:pStyle w:val="CteTtulo2"/>
        <w:spacing w:before="480"/>
        <w:rPr>
          <w:rFonts w:cs="Arial"/>
        </w:rPr>
      </w:pPr>
      <w:bookmarkStart w:id="87" w:name="Sección_HE1_Caracterizacion"/>
      <w:bookmarkStart w:id="88" w:name="_Toc530395250"/>
      <w:bookmarkStart w:id="89" w:name="_Toc39157921"/>
      <w:bookmarkStart w:id="90" w:name="_Toc39158118"/>
      <w:bookmarkEnd w:id="87"/>
      <w:r>
        <w:t>2</w:t>
      </w:r>
      <w:r>
        <w:tab/>
        <w:t>Caractérisation de l</w:t>
      </w:r>
      <w:r w:rsidR="00EA7588">
        <w:t>’</w:t>
      </w:r>
      <w:r>
        <w:t>exigence</w:t>
      </w:r>
      <w:bookmarkEnd w:id="88"/>
      <w:bookmarkEnd w:id="89"/>
      <w:bookmarkEnd w:id="90"/>
    </w:p>
    <w:p w14:paraId="224AFD91" w14:textId="77777777" w:rsidR="00230F35" w:rsidRPr="00937C8B" w:rsidRDefault="00230F35" w:rsidP="00230F35">
      <w:pPr>
        <w:pStyle w:val="CTENumeracion"/>
        <w:spacing w:before="120"/>
        <w:rPr>
          <w:rFonts w:cs="Arial"/>
          <w:sz w:val="22"/>
          <w:szCs w:val="22"/>
        </w:rPr>
      </w:pPr>
      <w:r>
        <w:rPr>
          <w:sz w:val="22"/>
          <w:szCs w:val="22"/>
        </w:rPr>
        <w:t>1</w:t>
      </w:r>
      <w:r>
        <w:rPr>
          <w:sz w:val="22"/>
          <w:szCs w:val="22"/>
        </w:rPr>
        <w:tab/>
        <w:t xml:space="preserve">Pour contrôler la demande d’énergie, les bâtiments disposeront d’une </w:t>
      </w:r>
      <w:r>
        <w:rPr>
          <w:i/>
          <w:iCs/>
          <w:sz w:val="22"/>
          <w:szCs w:val="22"/>
        </w:rPr>
        <w:t>enceinte thermique</w:t>
      </w:r>
      <w:r>
        <w:rPr>
          <w:sz w:val="22"/>
          <w:szCs w:val="22"/>
        </w:rPr>
        <w:t xml:space="preserve"> dotée de caractéristiques permettant de limiter les besoins en </w:t>
      </w:r>
      <w:r>
        <w:rPr>
          <w:i/>
          <w:iCs/>
          <w:sz w:val="22"/>
          <w:szCs w:val="22"/>
        </w:rPr>
        <w:t>énergie primaire</w:t>
      </w:r>
      <w:r>
        <w:rPr>
          <w:sz w:val="22"/>
          <w:szCs w:val="22"/>
        </w:rPr>
        <w:t xml:space="preserve"> afin d’atteindre le </w:t>
      </w:r>
      <w:r>
        <w:rPr>
          <w:i/>
          <w:iCs/>
          <w:sz w:val="22"/>
          <w:szCs w:val="22"/>
        </w:rPr>
        <w:t>bien-être thermique</w:t>
      </w:r>
      <w:r>
        <w:rPr>
          <w:sz w:val="22"/>
          <w:szCs w:val="22"/>
        </w:rPr>
        <w:t xml:space="preserve"> en fonction du régime d’été et d’hiver, de l’usage du bâtiment et, dans le cas de bâtiments existants, de l’étendue de l’intervention.</w:t>
      </w:r>
    </w:p>
    <w:p w14:paraId="31EE66BD" w14:textId="77777777" w:rsidR="00230F35" w:rsidRPr="00937C8B" w:rsidRDefault="00230F35" w:rsidP="00230F35">
      <w:pPr>
        <w:pStyle w:val="CTENumeracion"/>
        <w:spacing w:before="120"/>
        <w:rPr>
          <w:rFonts w:cs="Arial"/>
          <w:sz w:val="22"/>
          <w:szCs w:val="22"/>
        </w:rPr>
      </w:pPr>
      <w:r>
        <w:rPr>
          <w:sz w:val="22"/>
          <w:szCs w:val="22"/>
        </w:rPr>
        <w:t>2</w:t>
      </w:r>
      <w:r>
        <w:rPr>
          <w:sz w:val="22"/>
          <w:szCs w:val="22"/>
        </w:rPr>
        <w:tab/>
        <w:t>Les caractéristiques des éléments de l’</w:t>
      </w:r>
      <w:r>
        <w:rPr>
          <w:i/>
          <w:iCs/>
          <w:sz w:val="22"/>
          <w:szCs w:val="22"/>
        </w:rPr>
        <w:t>enceinte thermique</w:t>
      </w:r>
      <w:r>
        <w:rPr>
          <w:sz w:val="22"/>
          <w:szCs w:val="22"/>
        </w:rPr>
        <w:t xml:space="preserve"> choisies en fonction de la zone climatique en hiver, permettront d’éviter les décompensations de qualité thermique des différents </w:t>
      </w:r>
      <w:r>
        <w:rPr>
          <w:i/>
          <w:iCs/>
          <w:sz w:val="22"/>
          <w:szCs w:val="22"/>
        </w:rPr>
        <w:t>espaces habitables</w:t>
      </w:r>
      <w:r>
        <w:rPr>
          <w:sz w:val="22"/>
          <w:szCs w:val="22"/>
        </w:rPr>
        <w:t>.</w:t>
      </w:r>
    </w:p>
    <w:p w14:paraId="21E829F1" w14:textId="5AF4E582" w:rsidR="00230F35" w:rsidRPr="00937C8B" w:rsidRDefault="00230F35" w:rsidP="00230F35">
      <w:pPr>
        <w:pStyle w:val="CTENumeracion"/>
        <w:spacing w:before="120"/>
        <w:rPr>
          <w:rFonts w:cs="Arial"/>
          <w:sz w:val="22"/>
          <w:szCs w:val="22"/>
        </w:rPr>
      </w:pPr>
      <w:r>
        <w:rPr>
          <w:sz w:val="22"/>
          <w:szCs w:val="22"/>
        </w:rPr>
        <w:t>3</w:t>
      </w:r>
      <w:r>
        <w:rPr>
          <w:sz w:val="22"/>
          <w:szCs w:val="22"/>
        </w:rPr>
        <w:tab/>
        <w:t xml:space="preserve">Les </w:t>
      </w:r>
      <w:r>
        <w:rPr>
          <w:i/>
          <w:iCs/>
          <w:sz w:val="22"/>
          <w:szCs w:val="22"/>
        </w:rPr>
        <w:t>séparations intérieures</w:t>
      </w:r>
      <w:r>
        <w:rPr>
          <w:sz w:val="22"/>
          <w:szCs w:val="22"/>
        </w:rPr>
        <w:t xml:space="preserve"> limiteront le transfert de chaleur entre les différentes </w:t>
      </w:r>
      <w:r>
        <w:rPr>
          <w:i/>
          <w:iCs/>
          <w:sz w:val="22"/>
          <w:szCs w:val="22"/>
        </w:rPr>
        <w:t>unités d</w:t>
      </w:r>
      <w:r w:rsidR="00EA7588">
        <w:rPr>
          <w:i/>
          <w:iCs/>
          <w:sz w:val="22"/>
          <w:szCs w:val="22"/>
        </w:rPr>
        <w:t>’</w:t>
      </w:r>
      <w:r>
        <w:rPr>
          <w:i/>
          <w:iCs/>
          <w:sz w:val="22"/>
          <w:szCs w:val="22"/>
        </w:rPr>
        <w:t>utilisation</w:t>
      </w:r>
      <w:r>
        <w:rPr>
          <w:sz w:val="22"/>
          <w:szCs w:val="22"/>
        </w:rPr>
        <w:t xml:space="preserve"> du bâtiment, entre les </w:t>
      </w:r>
      <w:r>
        <w:rPr>
          <w:i/>
          <w:iCs/>
          <w:sz w:val="22"/>
          <w:szCs w:val="22"/>
        </w:rPr>
        <w:t>unités d</w:t>
      </w:r>
      <w:r w:rsidR="00EA7588">
        <w:rPr>
          <w:i/>
          <w:iCs/>
          <w:sz w:val="22"/>
          <w:szCs w:val="22"/>
        </w:rPr>
        <w:t>’</w:t>
      </w:r>
      <w:r>
        <w:rPr>
          <w:i/>
          <w:iCs/>
          <w:sz w:val="22"/>
          <w:szCs w:val="22"/>
        </w:rPr>
        <w:t>utilisation</w:t>
      </w:r>
      <w:r>
        <w:rPr>
          <w:sz w:val="22"/>
          <w:szCs w:val="22"/>
        </w:rPr>
        <w:t xml:space="preserve"> et les </w:t>
      </w:r>
      <w:r>
        <w:rPr>
          <w:i/>
          <w:iCs/>
          <w:sz w:val="22"/>
          <w:szCs w:val="22"/>
        </w:rPr>
        <w:t>zones communes</w:t>
      </w:r>
      <w:r>
        <w:rPr>
          <w:sz w:val="22"/>
          <w:szCs w:val="22"/>
        </w:rPr>
        <w:t xml:space="preserve"> du bâtiment, et, dans le cas des murs mitoyens, entre les </w:t>
      </w:r>
      <w:r>
        <w:rPr>
          <w:i/>
          <w:iCs/>
          <w:sz w:val="22"/>
          <w:szCs w:val="22"/>
        </w:rPr>
        <w:t>unités d</w:t>
      </w:r>
      <w:r w:rsidR="00EA7588">
        <w:rPr>
          <w:i/>
          <w:iCs/>
          <w:sz w:val="22"/>
          <w:szCs w:val="22"/>
        </w:rPr>
        <w:t>’</w:t>
      </w:r>
      <w:r>
        <w:rPr>
          <w:i/>
          <w:iCs/>
          <w:sz w:val="22"/>
          <w:szCs w:val="22"/>
        </w:rPr>
        <w:t>utilisation</w:t>
      </w:r>
      <w:r>
        <w:rPr>
          <w:sz w:val="22"/>
          <w:szCs w:val="22"/>
        </w:rPr>
        <w:t xml:space="preserve"> de bâtiments distincts.</w:t>
      </w:r>
    </w:p>
    <w:p w14:paraId="629DCEC0" w14:textId="77777777" w:rsidR="00230F35" w:rsidRPr="00937C8B" w:rsidRDefault="00230F35" w:rsidP="00230F35">
      <w:pPr>
        <w:pStyle w:val="CTENumeracion"/>
        <w:spacing w:before="120"/>
        <w:rPr>
          <w:rFonts w:cs="Arial"/>
          <w:sz w:val="22"/>
          <w:szCs w:val="22"/>
        </w:rPr>
      </w:pPr>
      <w:r>
        <w:rPr>
          <w:sz w:val="22"/>
          <w:szCs w:val="22"/>
        </w:rPr>
        <w:t>4</w:t>
      </w:r>
      <w:r>
        <w:rPr>
          <w:sz w:val="22"/>
          <w:szCs w:val="22"/>
        </w:rPr>
        <w:tab/>
        <w:t>Les risques liés à des processus qui entraînent une diminution significative des performances thermiques ou de la durée de vie utile des éléments qui composent l’</w:t>
      </w:r>
      <w:r>
        <w:rPr>
          <w:i/>
          <w:iCs/>
          <w:sz w:val="22"/>
          <w:szCs w:val="22"/>
        </w:rPr>
        <w:t>enceinte thermique</w:t>
      </w:r>
      <w:r>
        <w:rPr>
          <w:sz w:val="22"/>
          <w:szCs w:val="22"/>
        </w:rPr>
        <w:t>, tels que les condensations, seront limités.</w:t>
      </w:r>
    </w:p>
    <w:p w14:paraId="5B119189" w14:textId="57C1A972" w:rsidR="00230F35" w:rsidRPr="00937C8B" w:rsidRDefault="00230F35" w:rsidP="00230F35">
      <w:pPr>
        <w:pStyle w:val="CteTtulo2"/>
        <w:rPr>
          <w:rFonts w:cs="Arial"/>
          <w:sz w:val="16"/>
          <w:szCs w:val="16"/>
        </w:rPr>
      </w:pPr>
      <w:bookmarkStart w:id="91" w:name="_Toc530395251"/>
      <w:bookmarkStart w:id="92" w:name="_Toc530396130"/>
      <w:bookmarkStart w:id="93" w:name="_Toc39157922"/>
      <w:bookmarkStart w:id="94" w:name="_Toc39158119"/>
      <w:r>
        <w:t>3</w:t>
      </w:r>
      <w:r>
        <w:tab/>
        <w:t>Quantification de l</w:t>
      </w:r>
      <w:r w:rsidR="00EA7588">
        <w:t>’</w:t>
      </w:r>
      <w:r>
        <w:t>exigence</w:t>
      </w:r>
      <w:bookmarkEnd w:id="91"/>
      <w:bookmarkEnd w:id="92"/>
      <w:bookmarkEnd w:id="93"/>
      <w:bookmarkEnd w:id="94"/>
    </w:p>
    <w:p w14:paraId="4C09234A" w14:textId="77777777" w:rsidR="00230F35" w:rsidRPr="00937C8B" w:rsidRDefault="00230F35" w:rsidP="009467D5">
      <w:pPr>
        <w:pStyle w:val="CteTtulo3"/>
      </w:pPr>
      <w:bookmarkStart w:id="95" w:name="_Toc530395252"/>
      <w:bookmarkStart w:id="96" w:name="_Toc39157923"/>
      <w:r>
        <w:t>3.1</w:t>
      </w:r>
      <w:r>
        <w:tab/>
        <w:t>Conditions de l’</w:t>
      </w:r>
      <w:r>
        <w:rPr>
          <w:i/>
        </w:rPr>
        <w:t>enceinte thermique</w:t>
      </w:r>
      <w:bookmarkEnd w:id="95"/>
      <w:bookmarkEnd w:id="96"/>
    </w:p>
    <w:p w14:paraId="159BA4A7" w14:textId="77777777" w:rsidR="00230F35" w:rsidRPr="00937C8B" w:rsidRDefault="00230F35" w:rsidP="00230F35">
      <w:pPr>
        <w:pStyle w:val="Standard"/>
        <w:tabs>
          <w:tab w:val="left" w:pos="1237"/>
        </w:tabs>
        <w:jc w:val="both"/>
      </w:pPr>
      <w:r>
        <w:t>L’</w:t>
      </w:r>
      <w:r>
        <w:rPr>
          <w:i/>
        </w:rPr>
        <w:t xml:space="preserve">enceinte thermique </w:t>
      </w:r>
      <w:r>
        <w:t>du bâtiment, selon les critères de l’annexe C, doit se observer les conditions suivantes:</w:t>
      </w:r>
    </w:p>
    <w:p w14:paraId="0F085B2F" w14:textId="77777777" w:rsidR="00230F35" w:rsidRPr="00786EBA" w:rsidRDefault="00230F35" w:rsidP="00786EBA">
      <w:pPr>
        <w:spacing w:before="240" w:after="120"/>
        <w:rPr>
          <w:rFonts w:ascii="Arial" w:hAnsi="Arial" w:cs="Arial"/>
        </w:rPr>
      </w:pPr>
      <w:bookmarkStart w:id="97" w:name="Sección_HE1_Cuantificacion_Transmitancia"/>
      <w:bookmarkStart w:id="98" w:name="_Toc530395253"/>
      <w:bookmarkStart w:id="99" w:name="_Toc530396132"/>
      <w:bookmarkStart w:id="100" w:name="_Toc39157924"/>
      <w:bookmarkEnd w:id="97"/>
      <w:r>
        <w:rPr>
          <w:rFonts w:ascii="Arial" w:hAnsi="Arial"/>
        </w:rPr>
        <w:t>3.1.1</w:t>
      </w:r>
      <w:r>
        <w:rPr>
          <w:rFonts w:ascii="Arial" w:hAnsi="Arial"/>
        </w:rPr>
        <w:tab/>
        <w:t>Transmission de l’</w:t>
      </w:r>
      <w:r>
        <w:rPr>
          <w:rFonts w:ascii="Arial" w:hAnsi="Arial"/>
          <w:i/>
        </w:rPr>
        <w:t>enceinte thermique</w:t>
      </w:r>
      <w:bookmarkEnd w:id="98"/>
      <w:bookmarkEnd w:id="99"/>
      <w:bookmarkEnd w:id="100"/>
    </w:p>
    <w:p w14:paraId="4E9EDC9C" w14:textId="77777777" w:rsidR="00230F35" w:rsidRPr="00937C8B" w:rsidRDefault="00230F35" w:rsidP="00D27646">
      <w:pPr>
        <w:pStyle w:val="CTENumeracion"/>
        <w:keepNext/>
        <w:rPr>
          <w:rFonts w:cs="Arial"/>
          <w:sz w:val="22"/>
          <w:szCs w:val="22"/>
        </w:rPr>
      </w:pPr>
      <w:r>
        <w:rPr>
          <w:sz w:val="22"/>
          <w:szCs w:val="22"/>
        </w:rPr>
        <w:lastRenderedPageBreak/>
        <w:t>1</w:t>
      </w:r>
      <w:r>
        <w:rPr>
          <w:sz w:val="22"/>
          <w:szCs w:val="22"/>
        </w:rPr>
        <w:tab/>
        <w:t xml:space="preserve">La </w:t>
      </w:r>
      <w:r>
        <w:rPr>
          <w:i/>
          <w:iCs/>
          <w:sz w:val="22"/>
          <w:szCs w:val="22"/>
        </w:rPr>
        <w:t xml:space="preserve">transmission thermique </w:t>
      </w:r>
      <w:r>
        <w:rPr>
          <w:sz w:val="22"/>
          <w:szCs w:val="22"/>
        </w:rPr>
        <w:t>(U) de chaque élément de l’</w:t>
      </w:r>
      <w:r>
        <w:rPr>
          <w:i/>
          <w:sz w:val="22"/>
          <w:szCs w:val="22"/>
        </w:rPr>
        <w:t xml:space="preserve">enceinte thermique </w:t>
      </w:r>
      <w:r>
        <w:rPr>
          <w:sz w:val="22"/>
          <w:szCs w:val="22"/>
        </w:rPr>
        <w:t>doit rester inférieure à la valeur limite (U</w:t>
      </w:r>
      <w:r>
        <w:rPr>
          <w:sz w:val="22"/>
          <w:szCs w:val="22"/>
          <w:vertAlign w:val="subscript"/>
        </w:rPr>
        <w:t>lim</w:t>
      </w:r>
      <w:r>
        <w:rPr>
          <w:sz w:val="22"/>
          <w:szCs w:val="22"/>
        </w:rPr>
        <w:t>) donnée par le tableau 3.1.1.a-HE1:</w:t>
      </w:r>
    </w:p>
    <w:p w14:paraId="3F8231E6" w14:textId="77777777" w:rsidR="00230F35" w:rsidRPr="00937C8B" w:rsidRDefault="00230F35" w:rsidP="00D27646">
      <w:pPr>
        <w:pStyle w:val="CTEtabla-Titulo"/>
        <w:spacing w:before="240" w:after="120"/>
      </w:pPr>
      <w:r>
        <w:t xml:space="preserve">Tableau 3.1.1.a - HE1 Valeurs limites de </w:t>
      </w:r>
      <w:r>
        <w:rPr>
          <w:i/>
        </w:rPr>
        <w:t>transmission thermique</w:t>
      </w:r>
      <w:r>
        <w:t>, U</w:t>
      </w:r>
      <w:r>
        <w:rPr>
          <w:vertAlign w:val="subscript"/>
        </w:rPr>
        <w:t>lim</w:t>
      </w:r>
      <w:r>
        <w:t xml:space="preserve"> [W/m²K]</w:t>
      </w:r>
    </w:p>
    <w:tbl>
      <w:tblPr>
        <w:tblW w:w="7998" w:type="dxa"/>
        <w:jc w:val="center"/>
        <w:tblBorders>
          <w:top w:val="single" w:sz="2" w:space="0" w:color="000001"/>
        </w:tblBorders>
        <w:tblCellMar>
          <w:top w:w="55" w:type="dxa"/>
          <w:left w:w="50" w:type="dxa"/>
          <w:bottom w:w="55" w:type="dxa"/>
          <w:right w:w="55" w:type="dxa"/>
        </w:tblCellMar>
        <w:tblLook w:val="04A0" w:firstRow="1" w:lastRow="0" w:firstColumn="1" w:lastColumn="0" w:noHBand="0" w:noVBand="1"/>
      </w:tblPr>
      <w:tblGrid>
        <w:gridCol w:w="4826"/>
        <w:gridCol w:w="528"/>
        <w:gridCol w:w="528"/>
        <w:gridCol w:w="529"/>
        <w:gridCol w:w="529"/>
        <w:gridCol w:w="527"/>
        <w:gridCol w:w="531"/>
      </w:tblGrid>
      <w:tr w:rsidR="00230F35" w:rsidRPr="00937C8B" w14:paraId="1916F2FC" w14:textId="77777777" w:rsidTr="00935676">
        <w:trPr>
          <w:cantSplit/>
          <w:jc w:val="center"/>
        </w:trPr>
        <w:tc>
          <w:tcPr>
            <w:tcW w:w="4825" w:type="dxa"/>
            <w:vMerge w:val="restart"/>
            <w:tcBorders>
              <w:top w:val="nil"/>
              <w:bottom w:val="single" w:sz="2" w:space="0" w:color="000001"/>
              <w:right w:val="single" w:sz="2" w:space="0" w:color="000001"/>
            </w:tcBorders>
            <w:shd w:val="clear" w:color="auto" w:fill="FFFFFF"/>
            <w:vAlign w:val="center"/>
          </w:tcPr>
          <w:p w14:paraId="00C12D9C" w14:textId="77777777" w:rsidR="00230F35" w:rsidRPr="00937C8B" w:rsidRDefault="00230F35" w:rsidP="00D27646">
            <w:pPr>
              <w:pStyle w:val="CTEtabla-texto"/>
              <w:keepNext/>
              <w:jc w:val="left"/>
              <w:rPr>
                <w:rFonts w:cs="Arial"/>
                <w:bCs/>
              </w:rPr>
            </w:pPr>
            <w:r>
              <w:rPr>
                <w:b/>
                <w:bCs/>
              </w:rPr>
              <w:t>Élément</w:t>
            </w:r>
          </w:p>
        </w:tc>
        <w:tc>
          <w:tcPr>
            <w:tcW w:w="3172" w:type="dxa"/>
            <w:gridSpan w:val="6"/>
            <w:tcBorders>
              <w:top w:val="nil"/>
              <w:left w:val="single" w:sz="2" w:space="0" w:color="000001"/>
            </w:tcBorders>
            <w:shd w:val="clear" w:color="auto" w:fill="FFFFFF"/>
          </w:tcPr>
          <w:p w14:paraId="0DFF601D" w14:textId="77777777" w:rsidR="00230F35" w:rsidRPr="00937C8B" w:rsidRDefault="00230F35" w:rsidP="00D27646">
            <w:pPr>
              <w:pStyle w:val="CTEtabla-texto"/>
              <w:keepNext/>
              <w:rPr>
                <w:rFonts w:cs="Arial"/>
                <w:b/>
              </w:rPr>
            </w:pPr>
            <w:r>
              <w:rPr>
                <w:b/>
              </w:rPr>
              <w:t>Zone climatique en hiver</w:t>
            </w:r>
          </w:p>
        </w:tc>
      </w:tr>
      <w:tr w:rsidR="00230F35" w:rsidRPr="00937C8B" w14:paraId="50A23D1A" w14:textId="77777777" w:rsidTr="00935676">
        <w:trPr>
          <w:cantSplit/>
          <w:jc w:val="center"/>
        </w:trPr>
        <w:tc>
          <w:tcPr>
            <w:tcW w:w="4825" w:type="dxa"/>
            <w:vMerge/>
            <w:tcBorders>
              <w:top w:val="nil"/>
              <w:bottom w:val="single" w:sz="2" w:space="0" w:color="000001"/>
              <w:right w:val="single" w:sz="2" w:space="0" w:color="000001"/>
            </w:tcBorders>
            <w:shd w:val="clear" w:color="auto" w:fill="FFFFFF"/>
            <w:vAlign w:val="center"/>
          </w:tcPr>
          <w:p w14:paraId="2074603D" w14:textId="77777777" w:rsidR="00230F35" w:rsidRPr="00937C8B" w:rsidRDefault="00230F35" w:rsidP="00D27646">
            <w:pPr>
              <w:keepNext/>
              <w:rPr>
                <w:rFonts w:ascii="Arial" w:hAnsi="Arial" w:cs="Arial"/>
              </w:rPr>
            </w:pPr>
          </w:p>
        </w:tc>
        <w:tc>
          <w:tcPr>
            <w:tcW w:w="528" w:type="dxa"/>
            <w:tcBorders>
              <w:top w:val="nil"/>
              <w:left w:val="single" w:sz="2" w:space="0" w:color="000001"/>
              <w:bottom w:val="single" w:sz="2" w:space="0" w:color="000001"/>
            </w:tcBorders>
            <w:shd w:val="clear" w:color="auto" w:fill="FFFFFF"/>
          </w:tcPr>
          <w:p w14:paraId="2B9CC636" w14:textId="77777777" w:rsidR="00230F35" w:rsidRPr="00937C8B" w:rsidRDefault="00230F35" w:rsidP="00D27646">
            <w:pPr>
              <w:pStyle w:val="CTEtabla-texto"/>
              <w:keepNext/>
              <w:rPr>
                <w:rFonts w:cs="Arial"/>
                <w:b/>
              </w:rPr>
            </w:pPr>
            <w:r>
              <w:rPr>
                <w:b/>
              </w:rPr>
              <w:t>α</w:t>
            </w:r>
          </w:p>
        </w:tc>
        <w:tc>
          <w:tcPr>
            <w:tcW w:w="528" w:type="dxa"/>
            <w:tcBorders>
              <w:top w:val="nil"/>
              <w:bottom w:val="single" w:sz="2" w:space="0" w:color="000001"/>
            </w:tcBorders>
            <w:shd w:val="clear" w:color="auto" w:fill="FFFFFF"/>
          </w:tcPr>
          <w:p w14:paraId="386CD0BC" w14:textId="77777777" w:rsidR="00230F35" w:rsidRPr="00937C8B" w:rsidRDefault="00230F35" w:rsidP="00D27646">
            <w:pPr>
              <w:pStyle w:val="CTEtabla-texto"/>
              <w:keepNext/>
              <w:rPr>
                <w:rFonts w:cs="Arial"/>
                <w:b/>
              </w:rPr>
            </w:pPr>
            <w:r>
              <w:rPr>
                <w:b/>
              </w:rPr>
              <w:t>A</w:t>
            </w:r>
          </w:p>
        </w:tc>
        <w:tc>
          <w:tcPr>
            <w:tcW w:w="529" w:type="dxa"/>
            <w:tcBorders>
              <w:top w:val="nil"/>
              <w:bottom w:val="single" w:sz="2" w:space="0" w:color="000001"/>
            </w:tcBorders>
            <w:shd w:val="clear" w:color="auto" w:fill="FFFFFF"/>
          </w:tcPr>
          <w:p w14:paraId="41908697" w14:textId="77777777" w:rsidR="00230F35" w:rsidRPr="00937C8B" w:rsidRDefault="00230F35" w:rsidP="00D27646">
            <w:pPr>
              <w:pStyle w:val="CTEtabla-texto"/>
              <w:keepNext/>
              <w:rPr>
                <w:rFonts w:cs="Arial"/>
                <w:b/>
              </w:rPr>
            </w:pPr>
            <w:r>
              <w:rPr>
                <w:b/>
              </w:rPr>
              <w:t>B</w:t>
            </w:r>
          </w:p>
        </w:tc>
        <w:tc>
          <w:tcPr>
            <w:tcW w:w="529" w:type="dxa"/>
            <w:tcBorders>
              <w:top w:val="nil"/>
              <w:bottom w:val="single" w:sz="2" w:space="0" w:color="000001"/>
            </w:tcBorders>
            <w:shd w:val="clear" w:color="auto" w:fill="FFFFFF"/>
          </w:tcPr>
          <w:p w14:paraId="6088192F" w14:textId="77777777" w:rsidR="00230F35" w:rsidRPr="00937C8B" w:rsidRDefault="00230F35" w:rsidP="00D27646">
            <w:pPr>
              <w:pStyle w:val="CTEtabla-texto"/>
              <w:keepNext/>
              <w:rPr>
                <w:rFonts w:cs="Arial"/>
                <w:b/>
              </w:rPr>
            </w:pPr>
            <w:r>
              <w:rPr>
                <w:b/>
              </w:rPr>
              <w:t>C</w:t>
            </w:r>
          </w:p>
        </w:tc>
        <w:tc>
          <w:tcPr>
            <w:tcW w:w="527" w:type="dxa"/>
            <w:tcBorders>
              <w:top w:val="nil"/>
              <w:bottom w:val="single" w:sz="2" w:space="0" w:color="000001"/>
            </w:tcBorders>
            <w:shd w:val="clear" w:color="auto" w:fill="FFFFFF"/>
          </w:tcPr>
          <w:p w14:paraId="603B011B" w14:textId="77777777" w:rsidR="00230F35" w:rsidRPr="00937C8B" w:rsidRDefault="00230F35" w:rsidP="00D27646">
            <w:pPr>
              <w:pStyle w:val="CTEtabla-texto"/>
              <w:keepNext/>
              <w:rPr>
                <w:rFonts w:cs="Arial"/>
                <w:b/>
              </w:rPr>
            </w:pPr>
            <w:r>
              <w:rPr>
                <w:b/>
              </w:rPr>
              <w:t>D</w:t>
            </w:r>
          </w:p>
        </w:tc>
        <w:tc>
          <w:tcPr>
            <w:tcW w:w="531" w:type="dxa"/>
            <w:tcBorders>
              <w:top w:val="nil"/>
              <w:bottom w:val="single" w:sz="2" w:space="0" w:color="000001"/>
            </w:tcBorders>
            <w:shd w:val="clear" w:color="auto" w:fill="FFFFFF"/>
          </w:tcPr>
          <w:p w14:paraId="52A64B43" w14:textId="77777777" w:rsidR="00230F35" w:rsidRPr="00937C8B" w:rsidRDefault="00230F35" w:rsidP="00D27646">
            <w:pPr>
              <w:pStyle w:val="CTEtabla-texto"/>
              <w:keepNext/>
              <w:rPr>
                <w:rFonts w:cs="Arial"/>
                <w:b/>
              </w:rPr>
            </w:pPr>
            <w:r>
              <w:rPr>
                <w:b/>
              </w:rPr>
              <w:t>E</w:t>
            </w:r>
          </w:p>
        </w:tc>
      </w:tr>
      <w:tr w:rsidR="00230F35" w:rsidRPr="00937C8B" w14:paraId="62EDD712" w14:textId="77777777" w:rsidTr="00935676">
        <w:trPr>
          <w:cantSplit/>
          <w:jc w:val="center"/>
        </w:trPr>
        <w:tc>
          <w:tcPr>
            <w:tcW w:w="4825" w:type="dxa"/>
            <w:tcBorders>
              <w:top w:val="single" w:sz="2" w:space="0" w:color="000001"/>
              <w:right w:val="single" w:sz="2" w:space="0" w:color="000001"/>
            </w:tcBorders>
            <w:shd w:val="clear" w:color="auto" w:fill="FFFFFF"/>
            <w:vAlign w:val="center"/>
          </w:tcPr>
          <w:p w14:paraId="7B0F00A2" w14:textId="77777777" w:rsidR="00230F35" w:rsidRPr="00937C8B" w:rsidRDefault="00230F35" w:rsidP="003E38D0">
            <w:pPr>
              <w:pStyle w:val="CTEtabla-texto"/>
              <w:keepNext/>
              <w:jc w:val="left"/>
              <w:rPr>
                <w:rFonts w:cs="Arial"/>
              </w:rPr>
            </w:pPr>
            <w:r>
              <w:t>Murs et sols en contact avec l’air extérieur (U</w:t>
            </w:r>
            <w:r>
              <w:rPr>
                <w:szCs w:val="16"/>
                <w:vertAlign w:val="subscript"/>
              </w:rPr>
              <w:t>S</w:t>
            </w:r>
            <w:r>
              <w:t>, U</w:t>
            </w:r>
            <w:r>
              <w:rPr>
                <w:szCs w:val="16"/>
                <w:vertAlign w:val="subscript"/>
              </w:rPr>
              <w:t>M</w:t>
            </w:r>
            <w:r>
              <w:t xml:space="preserve">) </w:t>
            </w:r>
          </w:p>
        </w:tc>
        <w:tc>
          <w:tcPr>
            <w:tcW w:w="528" w:type="dxa"/>
            <w:tcBorders>
              <w:top w:val="single" w:sz="2" w:space="0" w:color="000001"/>
              <w:left w:val="single" w:sz="2" w:space="0" w:color="000001"/>
            </w:tcBorders>
            <w:shd w:val="clear" w:color="auto" w:fill="FFFFFF"/>
            <w:vAlign w:val="center"/>
          </w:tcPr>
          <w:p w14:paraId="0998402A" w14:textId="77777777" w:rsidR="00230F35" w:rsidRPr="00937C8B" w:rsidRDefault="00230F35" w:rsidP="003E38D0">
            <w:pPr>
              <w:pStyle w:val="CTEtabla-texto"/>
              <w:keepNext/>
              <w:rPr>
                <w:rFonts w:cs="Arial"/>
              </w:rPr>
            </w:pPr>
            <w:r>
              <w:t>0,80</w:t>
            </w:r>
          </w:p>
        </w:tc>
        <w:tc>
          <w:tcPr>
            <w:tcW w:w="528" w:type="dxa"/>
            <w:tcBorders>
              <w:top w:val="single" w:sz="2" w:space="0" w:color="000001"/>
            </w:tcBorders>
            <w:shd w:val="clear" w:color="auto" w:fill="FFFFFF"/>
            <w:vAlign w:val="center"/>
          </w:tcPr>
          <w:p w14:paraId="30E241BB" w14:textId="77777777" w:rsidR="00230F35" w:rsidRPr="00937C8B" w:rsidRDefault="00230F35" w:rsidP="003E38D0">
            <w:pPr>
              <w:pStyle w:val="CTEtabla-texto"/>
              <w:keepNext/>
              <w:rPr>
                <w:rFonts w:cs="Arial"/>
              </w:rPr>
            </w:pPr>
            <w:r>
              <w:t>0,70</w:t>
            </w:r>
          </w:p>
        </w:tc>
        <w:tc>
          <w:tcPr>
            <w:tcW w:w="529" w:type="dxa"/>
            <w:tcBorders>
              <w:top w:val="single" w:sz="2" w:space="0" w:color="000001"/>
            </w:tcBorders>
            <w:shd w:val="clear" w:color="auto" w:fill="FFFFFF"/>
            <w:vAlign w:val="center"/>
          </w:tcPr>
          <w:p w14:paraId="73007ECB" w14:textId="77777777" w:rsidR="00230F35" w:rsidRPr="00937C8B" w:rsidRDefault="00230F35" w:rsidP="003E38D0">
            <w:pPr>
              <w:pStyle w:val="CTEtabla-texto"/>
              <w:keepNext/>
              <w:rPr>
                <w:rFonts w:cs="Arial"/>
              </w:rPr>
            </w:pPr>
            <w:r>
              <w:t>0,56</w:t>
            </w:r>
          </w:p>
        </w:tc>
        <w:tc>
          <w:tcPr>
            <w:tcW w:w="529" w:type="dxa"/>
            <w:tcBorders>
              <w:top w:val="single" w:sz="2" w:space="0" w:color="000001"/>
            </w:tcBorders>
            <w:shd w:val="clear" w:color="auto" w:fill="FFFFFF"/>
            <w:vAlign w:val="center"/>
          </w:tcPr>
          <w:p w14:paraId="750D261B" w14:textId="77777777" w:rsidR="00230F35" w:rsidRPr="00937C8B" w:rsidRDefault="00230F35" w:rsidP="003E38D0">
            <w:pPr>
              <w:pStyle w:val="CTEtabla-texto"/>
              <w:keepNext/>
              <w:rPr>
                <w:rFonts w:cs="Arial"/>
              </w:rPr>
            </w:pPr>
            <w:r>
              <w:t>0,49</w:t>
            </w:r>
          </w:p>
        </w:tc>
        <w:tc>
          <w:tcPr>
            <w:tcW w:w="527" w:type="dxa"/>
            <w:tcBorders>
              <w:top w:val="single" w:sz="2" w:space="0" w:color="000001"/>
            </w:tcBorders>
            <w:shd w:val="clear" w:color="auto" w:fill="FFFFFF"/>
            <w:vAlign w:val="center"/>
          </w:tcPr>
          <w:p w14:paraId="147BDD76" w14:textId="77777777" w:rsidR="00230F35" w:rsidRPr="00937C8B" w:rsidRDefault="00230F35" w:rsidP="003E38D0">
            <w:pPr>
              <w:pStyle w:val="CTEtabla-texto"/>
              <w:keepNext/>
              <w:rPr>
                <w:rFonts w:cs="Arial"/>
              </w:rPr>
            </w:pPr>
            <w:r>
              <w:t>0,41</w:t>
            </w:r>
          </w:p>
        </w:tc>
        <w:tc>
          <w:tcPr>
            <w:tcW w:w="531" w:type="dxa"/>
            <w:tcBorders>
              <w:top w:val="single" w:sz="2" w:space="0" w:color="000001"/>
            </w:tcBorders>
            <w:shd w:val="clear" w:color="auto" w:fill="FFFFFF"/>
            <w:vAlign w:val="center"/>
          </w:tcPr>
          <w:p w14:paraId="6EEBB0E3" w14:textId="77777777" w:rsidR="00230F35" w:rsidRPr="00937C8B" w:rsidRDefault="00230F35" w:rsidP="003E38D0">
            <w:pPr>
              <w:pStyle w:val="CTEtabla-texto"/>
              <w:keepNext/>
              <w:rPr>
                <w:rFonts w:cs="Arial"/>
              </w:rPr>
            </w:pPr>
            <w:r>
              <w:t>0,37</w:t>
            </w:r>
          </w:p>
        </w:tc>
      </w:tr>
      <w:tr w:rsidR="00230F35" w:rsidRPr="00937C8B" w14:paraId="1FDF3132" w14:textId="77777777" w:rsidTr="00935676">
        <w:trPr>
          <w:cantSplit/>
          <w:jc w:val="center"/>
        </w:trPr>
        <w:tc>
          <w:tcPr>
            <w:tcW w:w="4825" w:type="dxa"/>
            <w:tcBorders>
              <w:top w:val="nil"/>
              <w:right w:val="single" w:sz="2" w:space="0" w:color="000001"/>
            </w:tcBorders>
            <w:shd w:val="clear" w:color="auto" w:fill="FFFFFF"/>
            <w:vAlign w:val="center"/>
          </w:tcPr>
          <w:p w14:paraId="5960A8E0" w14:textId="77777777" w:rsidR="00230F35" w:rsidRPr="00937C8B" w:rsidRDefault="00230F35" w:rsidP="003E38D0">
            <w:pPr>
              <w:pStyle w:val="CTEtabla-texto"/>
              <w:keepNext/>
              <w:jc w:val="left"/>
              <w:rPr>
                <w:rFonts w:cs="Arial"/>
              </w:rPr>
            </w:pPr>
            <w:r>
              <w:t>Toitures en contact avec l’air extérieur (U</w:t>
            </w:r>
            <w:r>
              <w:rPr>
                <w:szCs w:val="16"/>
                <w:vertAlign w:val="subscript"/>
              </w:rPr>
              <w:t>C</w:t>
            </w:r>
            <w:r>
              <w:t>)</w:t>
            </w:r>
          </w:p>
        </w:tc>
        <w:tc>
          <w:tcPr>
            <w:tcW w:w="528" w:type="dxa"/>
            <w:tcBorders>
              <w:left w:val="single" w:sz="2" w:space="0" w:color="000001"/>
            </w:tcBorders>
            <w:shd w:val="clear" w:color="auto" w:fill="FFFFFF"/>
            <w:vAlign w:val="center"/>
          </w:tcPr>
          <w:p w14:paraId="6C3B8352" w14:textId="77777777" w:rsidR="00230F35" w:rsidRPr="00937C8B" w:rsidRDefault="00230F35" w:rsidP="003E38D0">
            <w:pPr>
              <w:pStyle w:val="CTEtabla-texto"/>
              <w:keepNext/>
              <w:rPr>
                <w:rFonts w:cs="Arial"/>
              </w:rPr>
            </w:pPr>
            <w:r>
              <w:t>0,55</w:t>
            </w:r>
          </w:p>
        </w:tc>
        <w:tc>
          <w:tcPr>
            <w:tcW w:w="528" w:type="dxa"/>
            <w:shd w:val="clear" w:color="auto" w:fill="FFFFFF"/>
            <w:vAlign w:val="center"/>
          </w:tcPr>
          <w:p w14:paraId="4229DAD9" w14:textId="77777777" w:rsidR="00230F35" w:rsidRPr="00937C8B" w:rsidRDefault="00230F35" w:rsidP="003E38D0">
            <w:pPr>
              <w:pStyle w:val="CTEtabla-texto"/>
              <w:keepNext/>
              <w:rPr>
                <w:rFonts w:cs="Arial"/>
              </w:rPr>
            </w:pPr>
            <w:r>
              <w:t>0,50</w:t>
            </w:r>
          </w:p>
        </w:tc>
        <w:tc>
          <w:tcPr>
            <w:tcW w:w="529" w:type="dxa"/>
            <w:shd w:val="clear" w:color="auto" w:fill="FFFFFF"/>
            <w:vAlign w:val="center"/>
          </w:tcPr>
          <w:p w14:paraId="5ABD8CA0" w14:textId="77777777" w:rsidR="00230F35" w:rsidRPr="00937C8B" w:rsidRDefault="00230F35" w:rsidP="003E38D0">
            <w:pPr>
              <w:pStyle w:val="CTEtabla-texto"/>
              <w:keepNext/>
              <w:rPr>
                <w:rFonts w:cs="Arial"/>
              </w:rPr>
            </w:pPr>
            <w:r>
              <w:t>0,44</w:t>
            </w:r>
          </w:p>
        </w:tc>
        <w:tc>
          <w:tcPr>
            <w:tcW w:w="529" w:type="dxa"/>
            <w:shd w:val="clear" w:color="auto" w:fill="FFFFFF"/>
            <w:vAlign w:val="center"/>
          </w:tcPr>
          <w:p w14:paraId="34C8AF24" w14:textId="77777777" w:rsidR="00230F35" w:rsidRPr="00937C8B" w:rsidRDefault="00230F35" w:rsidP="003E38D0">
            <w:pPr>
              <w:pStyle w:val="CTEtabla-texto"/>
              <w:keepNext/>
              <w:rPr>
                <w:rFonts w:cs="Arial"/>
              </w:rPr>
            </w:pPr>
            <w:r>
              <w:t>0,40</w:t>
            </w:r>
          </w:p>
        </w:tc>
        <w:tc>
          <w:tcPr>
            <w:tcW w:w="527" w:type="dxa"/>
            <w:shd w:val="clear" w:color="auto" w:fill="FFFFFF"/>
            <w:vAlign w:val="center"/>
          </w:tcPr>
          <w:p w14:paraId="11F3C9D4" w14:textId="77777777" w:rsidR="00230F35" w:rsidRPr="00937C8B" w:rsidRDefault="00230F35" w:rsidP="003E38D0">
            <w:pPr>
              <w:pStyle w:val="CTEtabla-texto"/>
              <w:keepNext/>
              <w:rPr>
                <w:rFonts w:cs="Arial"/>
              </w:rPr>
            </w:pPr>
            <w:r>
              <w:t>0,35</w:t>
            </w:r>
          </w:p>
        </w:tc>
        <w:tc>
          <w:tcPr>
            <w:tcW w:w="531" w:type="dxa"/>
            <w:shd w:val="clear" w:color="auto" w:fill="FFFFFF"/>
            <w:vAlign w:val="center"/>
          </w:tcPr>
          <w:p w14:paraId="50928402" w14:textId="77777777" w:rsidR="00230F35" w:rsidRPr="00937C8B" w:rsidRDefault="00230F35" w:rsidP="003E38D0">
            <w:pPr>
              <w:pStyle w:val="CTEtabla-texto"/>
              <w:keepNext/>
              <w:rPr>
                <w:rFonts w:cs="Arial"/>
              </w:rPr>
            </w:pPr>
            <w:r>
              <w:t>0,33</w:t>
            </w:r>
          </w:p>
        </w:tc>
      </w:tr>
      <w:tr w:rsidR="00230F35" w:rsidRPr="00937C8B" w14:paraId="4B6106F1" w14:textId="77777777" w:rsidTr="00935676">
        <w:trPr>
          <w:cantSplit/>
          <w:jc w:val="center"/>
        </w:trPr>
        <w:tc>
          <w:tcPr>
            <w:tcW w:w="4825" w:type="dxa"/>
            <w:tcBorders>
              <w:top w:val="nil"/>
              <w:right w:val="single" w:sz="2" w:space="0" w:color="000001"/>
            </w:tcBorders>
            <w:shd w:val="clear" w:color="auto" w:fill="FFFFFF"/>
            <w:vAlign w:val="center"/>
          </w:tcPr>
          <w:p w14:paraId="506F174A" w14:textId="77777777" w:rsidR="00230F35" w:rsidRPr="00937C8B" w:rsidRDefault="00230F35" w:rsidP="003E38D0">
            <w:pPr>
              <w:pStyle w:val="CTEtabla-texto"/>
              <w:keepNext/>
              <w:jc w:val="left"/>
              <w:rPr>
                <w:rFonts w:cs="Arial"/>
                <w:szCs w:val="16"/>
              </w:rPr>
            </w:pPr>
            <w:r>
              <w:t>Murs, soles et toitures en contact avec des espaces non habitables ou avec le terrain (U</w:t>
            </w:r>
            <w:r>
              <w:rPr>
                <w:szCs w:val="16"/>
                <w:vertAlign w:val="subscript"/>
              </w:rPr>
              <w:t>T</w:t>
            </w:r>
            <w:r>
              <w:t xml:space="preserve">) </w:t>
            </w:r>
          </w:p>
          <w:p w14:paraId="50DD60B3" w14:textId="77777777" w:rsidR="00230F35" w:rsidRPr="00937C8B" w:rsidRDefault="00230F35" w:rsidP="003E38D0">
            <w:pPr>
              <w:pStyle w:val="CTEtabla-texto"/>
              <w:keepNext/>
              <w:jc w:val="left"/>
              <w:rPr>
                <w:rFonts w:cs="Arial"/>
                <w:szCs w:val="16"/>
              </w:rPr>
            </w:pPr>
            <w:r>
              <w:t>Murs mitoyens ou séparations intérieures de l’</w:t>
            </w:r>
            <w:r>
              <w:rPr>
                <w:i/>
                <w:szCs w:val="16"/>
              </w:rPr>
              <w:t>enceinte thermique</w:t>
            </w:r>
            <w:r>
              <w:t xml:space="preserve"> (U</w:t>
            </w:r>
            <w:r>
              <w:rPr>
                <w:szCs w:val="16"/>
                <w:vertAlign w:val="subscript"/>
              </w:rPr>
              <w:t>MD</w:t>
            </w:r>
            <w:r>
              <w:t>)</w:t>
            </w:r>
          </w:p>
        </w:tc>
        <w:tc>
          <w:tcPr>
            <w:tcW w:w="528" w:type="dxa"/>
            <w:tcBorders>
              <w:left w:val="single" w:sz="2" w:space="0" w:color="000001"/>
            </w:tcBorders>
            <w:shd w:val="clear" w:color="auto" w:fill="FFFFFF"/>
            <w:vAlign w:val="center"/>
          </w:tcPr>
          <w:p w14:paraId="57D3A5AB" w14:textId="77777777" w:rsidR="00230F35" w:rsidRPr="00937C8B" w:rsidRDefault="00230F35" w:rsidP="003E38D0">
            <w:pPr>
              <w:pStyle w:val="CTEtabla-texto"/>
              <w:keepNext/>
              <w:rPr>
                <w:rFonts w:cs="Arial"/>
              </w:rPr>
            </w:pPr>
            <w:r>
              <w:t>0,90</w:t>
            </w:r>
          </w:p>
        </w:tc>
        <w:tc>
          <w:tcPr>
            <w:tcW w:w="528" w:type="dxa"/>
            <w:shd w:val="clear" w:color="auto" w:fill="FFFFFF"/>
            <w:vAlign w:val="center"/>
          </w:tcPr>
          <w:p w14:paraId="6D876783" w14:textId="77777777" w:rsidR="00230F35" w:rsidRPr="00937C8B" w:rsidRDefault="00230F35" w:rsidP="003E38D0">
            <w:pPr>
              <w:pStyle w:val="CTEtabla-texto"/>
              <w:keepNext/>
              <w:rPr>
                <w:rFonts w:cs="Arial"/>
              </w:rPr>
            </w:pPr>
            <w:r>
              <w:t>0,80</w:t>
            </w:r>
          </w:p>
        </w:tc>
        <w:tc>
          <w:tcPr>
            <w:tcW w:w="529" w:type="dxa"/>
            <w:shd w:val="clear" w:color="auto" w:fill="FFFFFF"/>
            <w:vAlign w:val="center"/>
          </w:tcPr>
          <w:p w14:paraId="7E9AF6FC" w14:textId="77777777" w:rsidR="00230F35" w:rsidRPr="00937C8B" w:rsidRDefault="00230F35" w:rsidP="003E38D0">
            <w:pPr>
              <w:pStyle w:val="CTEtabla-texto"/>
              <w:keepNext/>
              <w:rPr>
                <w:rFonts w:cs="Arial"/>
              </w:rPr>
            </w:pPr>
            <w:r>
              <w:t>0,75</w:t>
            </w:r>
          </w:p>
        </w:tc>
        <w:tc>
          <w:tcPr>
            <w:tcW w:w="529" w:type="dxa"/>
            <w:shd w:val="clear" w:color="auto" w:fill="FFFFFF"/>
            <w:vAlign w:val="center"/>
          </w:tcPr>
          <w:p w14:paraId="1A021F0E" w14:textId="77777777" w:rsidR="00230F35" w:rsidRPr="00937C8B" w:rsidRDefault="00230F35" w:rsidP="003E38D0">
            <w:pPr>
              <w:pStyle w:val="CTEtabla-texto"/>
              <w:keepNext/>
              <w:rPr>
                <w:rFonts w:cs="Arial"/>
              </w:rPr>
            </w:pPr>
            <w:r>
              <w:t>0,70</w:t>
            </w:r>
          </w:p>
        </w:tc>
        <w:tc>
          <w:tcPr>
            <w:tcW w:w="527" w:type="dxa"/>
            <w:shd w:val="clear" w:color="auto" w:fill="FFFFFF"/>
            <w:vAlign w:val="center"/>
          </w:tcPr>
          <w:p w14:paraId="5E6E1927" w14:textId="77777777" w:rsidR="00230F35" w:rsidRPr="00937C8B" w:rsidRDefault="00230F35" w:rsidP="003E38D0">
            <w:pPr>
              <w:pStyle w:val="CTEtabla-texto"/>
              <w:keepNext/>
              <w:rPr>
                <w:rFonts w:cs="Arial"/>
              </w:rPr>
            </w:pPr>
            <w:r>
              <w:t>0,65</w:t>
            </w:r>
          </w:p>
        </w:tc>
        <w:tc>
          <w:tcPr>
            <w:tcW w:w="531" w:type="dxa"/>
            <w:shd w:val="clear" w:color="auto" w:fill="FFFFFF"/>
            <w:vAlign w:val="center"/>
          </w:tcPr>
          <w:p w14:paraId="40C7C86E" w14:textId="77777777" w:rsidR="00230F35" w:rsidRPr="00937C8B" w:rsidRDefault="00230F35" w:rsidP="003E38D0">
            <w:pPr>
              <w:pStyle w:val="CTEtabla-texto"/>
              <w:keepNext/>
              <w:rPr>
                <w:rFonts w:cs="Arial"/>
              </w:rPr>
            </w:pPr>
            <w:r>
              <w:t>0,59</w:t>
            </w:r>
          </w:p>
        </w:tc>
      </w:tr>
      <w:tr w:rsidR="00230F35" w:rsidRPr="00937C8B" w14:paraId="5B062DE3" w14:textId="77777777" w:rsidTr="00935676">
        <w:trPr>
          <w:cantSplit/>
          <w:jc w:val="center"/>
        </w:trPr>
        <w:tc>
          <w:tcPr>
            <w:tcW w:w="4825" w:type="dxa"/>
            <w:tcBorders>
              <w:top w:val="nil"/>
              <w:right w:val="single" w:sz="2" w:space="0" w:color="000001"/>
            </w:tcBorders>
            <w:shd w:val="clear" w:color="auto" w:fill="FFFFFF"/>
            <w:vAlign w:val="center"/>
          </w:tcPr>
          <w:p w14:paraId="6454235D" w14:textId="77777777" w:rsidR="00230F35" w:rsidRPr="00937C8B" w:rsidRDefault="00230F35" w:rsidP="003E38D0">
            <w:pPr>
              <w:pStyle w:val="CTEtabla-texto"/>
              <w:keepNext/>
              <w:jc w:val="left"/>
              <w:rPr>
                <w:rFonts w:cs="Arial"/>
              </w:rPr>
            </w:pPr>
            <w:r>
              <w:rPr>
                <w:i/>
                <w:szCs w:val="16"/>
              </w:rPr>
              <w:t xml:space="preserve">Ouvertures </w:t>
            </w:r>
            <w:r>
              <w:t>(ensemble de cadre, vitre et, le cas échéant, bloc-fermeture) (U</w:t>
            </w:r>
            <w:r>
              <w:rPr>
                <w:szCs w:val="16"/>
                <w:vertAlign w:val="subscript"/>
              </w:rPr>
              <w:t>H</w:t>
            </w:r>
            <w:r>
              <w:t>)*</w:t>
            </w:r>
          </w:p>
        </w:tc>
        <w:tc>
          <w:tcPr>
            <w:tcW w:w="528" w:type="dxa"/>
            <w:tcBorders>
              <w:left w:val="single" w:sz="2" w:space="0" w:color="000001"/>
            </w:tcBorders>
            <w:shd w:val="clear" w:color="auto" w:fill="FFFFFF"/>
            <w:vAlign w:val="center"/>
          </w:tcPr>
          <w:p w14:paraId="0ADDA27F" w14:textId="77777777" w:rsidR="00230F35" w:rsidRPr="00937C8B" w:rsidRDefault="00230F35" w:rsidP="003E38D0">
            <w:pPr>
              <w:pStyle w:val="CTEtabla-texto"/>
              <w:keepNext/>
              <w:rPr>
                <w:rFonts w:cs="Arial"/>
              </w:rPr>
            </w:pPr>
            <w:r>
              <w:t>3,2</w:t>
            </w:r>
          </w:p>
        </w:tc>
        <w:tc>
          <w:tcPr>
            <w:tcW w:w="528" w:type="dxa"/>
            <w:shd w:val="clear" w:color="auto" w:fill="FFFFFF"/>
            <w:vAlign w:val="center"/>
          </w:tcPr>
          <w:p w14:paraId="73AF9157" w14:textId="77777777" w:rsidR="00230F35" w:rsidRPr="00937C8B" w:rsidRDefault="00230F35" w:rsidP="003E38D0">
            <w:pPr>
              <w:pStyle w:val="CTEtabla-texto"/>
              <w:keepNext/>
              <w:rPr>
                <w:rFonts w:cs="Arial"/>
              </w:rPr>
            </w:pPr>
            <w:r>
              <w:t>2,7</w:t>
            </w:r>
          </w:p>
        </w:tc>
        <w:tc>
          <w:tcPr>
            <w:tcW w:w="529" w:type="dxa"/>
            <w:shd w:val="clear" w:color="auto" w:fill="FFFFFF"/>
            <w:vAlign w:val="center"/>
          </w:tcPr>
          <w:p w14:paraId="3167A114" w14:textId="77777777" w:rsidR="00230F35" w:rsidRPr="00937C8B" w:rsidRDefault="00230F35" w:rsidP="003E38D0">
            <w:pPr>
              <w:pStyle w:val="CTEtabla-texto"/>
              <w:keepNext/>
              <w:rPr>
                <w:rFonts w:cs="Arial"/>
              </w:rPr>
            </w:pPr>
            <w:r>
              <w:t>2,3</w:t>
            </w:r>
          </w:p>
        </w:tc>
        <w:tc>
          <w:tcPr>
            <w:tcW w:w="529" w:type="dxa"/>
            <w:shd w:val="clear" w:color="auto" w:fill="FFFFFF"/>
            <w:vAlign w:val="center"/>
          </w:tcPr>
          <w:p w14:paraId="6F9B5A73" w14:textId="77777777" w:rsidR="00230F35" w:rsidRPr="00937C8B" w:rsidRDefault="00230F35" w:rsidP="003E38D0">
            <w:pPr>
              <w:pStyle w:val="CTEtabla-texto"/>
              <w:keepNext/>
              <w:rPr>
                <w:rFonts w:cs="Arial"/>
              </w:rPr>
            </w:pPr>
            <w:r>
              <w:t>2,1</w:t>
            </w:r>
          </w:p>
        </w:tc>
        <w:tc>
          <w:tcPr>
            <w:tcW w:w="527" w:type="dxa"/>
            <w:shd w:val="clear" w:color="auto" w:fill="FFFFFF"/>
            <w:vAlign w:val="center"/>
          </w:tcPr>
          <w:p w14:paraId="35E9D3FB" w14:textId="77777777" w:rsidR="00230F35" w:rsidRPr="00937C8B" w:rsidRDefault="00230F35" w:rsidP="003E38D0">
            <w:pPr>
              <w:pStyle w:val="CTEtabla-texto"/>
              <w:keepNext/>
              <w:rPr>
                <w:rFonts w:cs="Arial"/>
              </w:rPr>
            </w:pPr>
            <w:r>
              <w:t>1,8</w:t>
            </w:r>
          </w:p>
        </w:tc>
        <w:tc>
          <w:tcPr>
            <w:tcW w:w="531" w:type="dxa"/>
            <w:shd w:val="clear" w:color="auto" w:fill="FFFFFF"/>
            <w:vAlign w:val="center"/>
          </w:tcPr>
          <w:p w14:paraId="667614BB" w14:textId="77777777" w:rsidR="00230F35" w:rsidRPr="00937C8B" w:rsidRDefault="00230F35" w:rsidP="003E38D0">
            <w:pPr>
              <w:pStyle w:val="CTEtabla-texto"/>
              <w:keepNext/>
              <w:rPr>
                <w:rFonts w:cs="Arial"/>
              </w:rPr>
            </w:pPr>
            <w:r>
              <w:t>1,80</w:t>
            </w:r>
          </w:p>
        </w:tc>
      </w:tr>
      <w:tr w:rsidR="00230F35" w:rsidRPr="00937C8B" w14:paraId="6AAEE9D7" w14:textId="77777777" w:rsidTr="00935676">
        <w:trPr>
          <w:cantSplit/>
          <w:jc w:val="center"/>
        </w:trPr>
        <w:tc>
          <w:tcPr>
            <w:tcW w:w="4825" w:type="dxa"/>
            <w:tcBorders>
              <w:top w:val="nil"/>
              <w:right w:val="single" w:sz="2" w:space="0" w:color="000001"/>
            </w:tcBorders>
            <w:shd w:val="clear" w:color="auto" w:fill="FFFFFF"/>
            <w:vAlign w:val="center"/>
          </w:tcPr>
          <w:p w14:paraId="171B4325" w14:textId="07C729F7" w:rsidR="00230F35" w:rsidRPr="00937C8B" w:rsidRDefault="00230F35" w:rsidP="003E38D0">
            <w:pPr>
              <w:pStyle w:val="CTEtabla-texto"/>
              <w:keepNext/>
              <w:jc w:val="left"/>
              <w:rPr>
                <w:rFonts w:cs="Arial"/>
                <w:szCs w:val="16"/>
              </w:rPr>
            </w:pPr>
            <w:r>
              <w:t>Portes dont la surface semi-transparentes est inférieure ou égale à 50</w:t>
            </w:r>
            <w:r w:rsidR="00EA7588">
              <w:t> </w:t>
            </w:r>
            <w:r>
              <w:t>%</w:t>
            </w:r>
          </w:p>
        </w:tc>
        <w:tc>
          <w:tcPr>
            <w:tcW w:w="3172" w:type="dxa"/>
            <w:gridSpan w:val="6"/>
            <w:tcBorders>
              <w:left w:val="single" w:sz="2" w:space="0" w:color="000001"/>
            </w:tcBorders>
            <w:shd w:val="clear" w:color="auto" w:fill="FFFFFF"/>
            <w:vAlign w:val="center"/>
          </w:tcPr>
          <w:p w14:paraId="0BEBA894" w14:textId="77777777" w:rsidR="00230F35" w:rsidRPr="00937C8B" w:rsidRDefault="00230F35" w:rsidP="003E38D0">
            <w:pPr>
              <w:pStyle w:val="CTEtabla-texto"/>
              <w:keepNext/>
              <w:rPr>
                <w:rFonts w:cs="Arial"/>
                <w:szCs w:val="16"/>
              </w:rPr>
            </w:pPr>
            <w:r>
              <w:t>5,7</w:t>
            </w:r>
          </w:p>
        </w:tc>
      </w:tr>
      <w:tr w:rsidR="00230F35" w:rsidRPr="00937C8B" w14:paraId="68D1C3AD" w14:textId="77777777" w:rsidTr="00935676">
        <w:trPr>
          <w:cantSplit/>
          <w:jc w:val="center"/>
        </w:trPr>
        <w:tc>
          <w:tcPr>
            <w:tcW w:w="7997" w:type="dxa"/>
            <w:gridSpan w:val="7"/>
            <w:shd w:val="clear" w:color="auto" w:fill="FFFFFF"/>
            <w:vAlign w:val="center"/>
          </w:tcPr>
          <w:p w14:paraId="534DC029" w14:textId="7EA19ED3" w:rsidR="00230F35" w:rsidRPr="00937C8B" w:rsidRDefault="00230F35" w:rsidP="003E38D0">
            <w:pPr>
              <w:pStyle w:val="CTETabla-nota"/>
              <w:ind w:left="-19" w:firstLine="0"/>
            </w:pPr>
            <w:r>
              <w:t xml:space="preserve">* Les </w:t>
            </w:r>
            <w:r>
              <w:rPr>
                <w:i/>
                <w:iCs/>
              </w:rPr>
              <w:t>ouvertures</w:t>
            </w:r>
            <w:r>
              <w:t xml:space="preserve"> servant de vitrines dans les </w:t>
            </w:r>
            <w:r>
              <w:rPr>
                <w:i/>
                <w:iCs/>
              </w:rPr>
              <w:t>unités d’utilisation</w:t>
            </w:r>
            <w:r>
              <w:t xml:space="preserve"> avec une activité commerciale peuvent augmenter la valeur de l</w:t>
            </w:r>
            <w:r w:rsidR="00EA7588">
              <w:t>’</w:t>
            </w:r>
            <w:r>
              <w:t>U</w:t>
            </w:r>
            <w:r>
              <w:rPr>
                <w:vertAlign w:val="subscript"/>
              </w:rPr>
              <w:t>H</w:t>
            </w:r>
            <w:r>
              <w:t xml:space="preserve"> de 50</w:t>
            </w:r>
            <w:r w:rsidR="00EA7588">
              <w:t> </w:t>
            </w:r>
            <w:r>
              <w:t>%.</w:t>
            </w:r>
          </w:p>
        </w:tc>
      </w:tr>
    </w:tbl>
    <w:p w14:paraId="524CBB6F" w14:textId="77777777" w:rsidR="00230F35" w:rsidRPr="00937C8B" w:rsidRDefault="00230F35" w:rsidP="00230F35">
      <w:pPr>
        <w:pStyle w:val="CTENumeracion"/>
        <w:ind w:left="0" w:firstLine="0"/>
        <w:rPr>
          <w:rFonts w:cs="Arial"/>
          <w:sz w:val="6"/>
          <w:szCs w:val="6"/>
        </w:rPr>
      </w:pPr>
    </w:p>
    <w:p w14:paraId="64BF6744" w14:textId="509C5BF5" w:rsidR="00230F35" w:rsidRPr="00937C8B" w:rsidRDefault="00230F35" w:rsidP="00D27646">
      <w:pPr>
        <w:pStyle w:val="CTENumeracion"/>
        <w:keepNext/>
        <w:spacing w:before="120"/>
        <w:rPr>
          <w:rFonts w:cs="Arial"/>
          <w:sz w:val="22"/>
          <w:szCs w:val="22"/>
        </w:rPr>
      </w:pPr>
      <w:r>
        <w:rPr>
          <w:sz w:val="22"/>
          <w:szCs w:val="22"/>
        </w:rPr>
        <w:t>2 Dans le cas des rénovations, la valeur limite (U</w:t>
      </w:r>
      <w:r>
        <w:rPr>
          <w:sz w:val="22"/>
          <w:szCs w:val="22"/>
          <w:vertAlign w:val="subscript"/>
        </w:rPr>
        <w:t>lim</w:t>
      </w:r>
      <w:r>
        <w:rPr>
          <w:sz w:val="22"/>
          <w:szCs w:val="22"/>
        </w:rPr>
        <w:t>) du tableau 3.1.1.a-HE1 s’applique uniquement aux éléments de l</w:t>
      </w:r>
      <w:r w:rsidR="00EA7588">
        <w:rPr>
          <w:sz w:val="22"/>
          <w:szCs w:val="22"/>
        </w:rPr>
        <w:t>’</w:t>
      </w:r>
      <w:r>
        <w:rPr>
          <w:i/>
          <w:iCs/>
          <w:sz w:val="22"/>
          <w:szCs w:val="22"/>
        </w:rPr>
        <w:t>enceinte thermique</w:t>
      </w:r>
      <w:r>
        <w:rPr>
          <w:sz w:val="22"/>
          <w:szCs w:val="22"/>
        </w:rPr>
        <w:t>:</w:t>
      </w:r>
    </w:p>
    <w:p w14:paraId="1DE982A8" w14:textId="5BD8F59F" w:rsidR="00230F35" w:rsidRPr="00937C8B" w:rsidRDefault="00935676" w:rsidP="00935676">
      <w:pPr>
        <w:pStyle w:val="CTENumeracion"/>
        <w:spacing w:before="0"/>
        <w:ind w:left="851" w:hanging="283"/>
        <w:rPr>
          <w:rFonts w:cs="Arial"/>
          <w:sz w:val="22"/>
          <w:szCs w:val="22"/>
        </w:rPr>
      </w:pPr>
      <w:r>
        <w:rPr>
          <w:sz w:val="22"/>
          <w:szCs w:val="22"/>
        </w:rPr>
        <w:t>a)</w:t>
      </w:r>
      <w:r>
        <w:rPr>
          <w:sz w:val="22"/>
          <w:szCs w:val="22"/>
        </w:rPr>
        <w:tab/>
        <w:t>qui ont fait l’objet d</w:t>
      </w:r>
      <w:r w:rsidR="00EA7588">
        <w:rPr>
          <w:sz w:val="22"/>
          <w:szCs w:val="22"/>
        </w:rPr>
        <w:t>’</w:t>
      </w:r>
      <w:r>
        <w:rPr>
          <w:sz w:val="22"/>
          <w:szCs w:val="22"/>
        </w:rPr>
        <w:t>une substitution, d</w:t>
      </w:r>
      <w:r w:rsidR="00EA7588">
        <w:rPr>
          <w:sz w:val="22"/>
          <w:szCs w:val="22"/>
        </w:rPr>
        <w:t>’</w:t>
      </w:r>
      <w:r>
        <w:rPr>
          <w:sz w:val="22"/>
          <w:szCs w:val="22"/>
        </w:rPr>
        <w:t>une intégration ou d’une modification substantielles;</w:t>
      </w:r>
    </w:p>
    <w:p w14:paraId="2246308A" w14:textId="0DDA397F" w:rsidR="00230F35" w:rsidRPr="00937C8B" w:rsidRDefault="00935676" w:rsidP="00230F35">
      <w:pPr>
        <w:pStyle w:val="CTENumeracion"/>
        <w:spacing w:before="0"/>
        <w:ind w:left="851" w:hanging="283"/>
        <w:rPr>
          <w:rFonts w:cs="Arial"/>
          <w:sz w:val="22"/>
          <w:szCs w:val="22"/>
        </w:rPr>
      </w:pPr>
      <w:r>
        <w:rPr>
          <w:sz w:val="22"/>
          <w:szCs w:val="22"/>
        </w:rPr>
        <w:t>b)</w:t>
      </w:r>
      <w:r>
        <w:rPr>
          <w:sz w:val="22"/>
          <w:szCs w:val="22"/>
        </w:rPr>
        <w:tab/>
        <w:t>dont les conditions intérieures ou extérieures ont été modifiées du fait de l</w:t>
      </w:r>
      <w:r w:rsidR="00EA7588">
        <w:rPr>
          <w:sz w:val="22"/>
          <w:szCs w:val="22"/>
        </w:rPr>
        <w:t>’</w:t>
      </w:r>
      <w:r>
        <w:rPr>
          <w:sz w:val="22"/>
          <w:szCs w:val="22"/>
        </w:rPr>
        <w:t>intervention, lorsqu</w:t>
      </w:r>
      <w:r w:rsidR="00EA7588">
        <w:rPr>
          <w:sz w:val="22"/>
          <w:szCs w:val="22"/>
        </w:rPr>
        <w:t>’</w:t>
      </w:r>
      <w:r>
        <w:rPr>
          <w:sz w:val="22"/>
          <w:szCs w:val="22"/>
        </w:rPr>
        <w:t xml:space="preserve">elles se traduisent par une augmentation des besoins énergétiques du bâtiment. </w:t>
      </w:r>
    </w:p>
    <w:p w14:paraId="79C0D8E0" w14:textId="77777777" w:rsidR="00230F35" w:rsidRPr="00937C8B" w:rsidRDefault="00230F35" w:rsidP="00230F35">
      <w:pPr>
        <w:pStyle w:val="CTENumeracion"/>
        <w:spacing w:before="0"/>
        <w:ind w:firstLine="0"/>
        <w:rPr>
          <w:rFonts w:cs="Arial"/>
          <w:sz w:val="22"/>
          <w:szCs w:val="22"/>
        </w:rPr>
      </w:pPr>
      <w:r>
        <w:rPr>
          <w:sz w:val="22"/>
          <w:szCs w:val="22"/>
        </w:rPr>
        <w:t xml:space="preserve">De même, dans le cadre de rénovations, les valeurs du tableau 3.1.1.a-HE1 peuvent être dépassées lorsque le </w:t>
      </w:r>
      <w:r>
        <w:rPr>
          <w:i/>
          <w:iCs/>
          <w:sz w:val="22"/>
          <w:szCs w:val="22"/>
        </w:rPr>
        <w:t>coefficient global de transmission de chaleur</w:t>
      </w:r>
      <w:r>
        <w:rPr>
          <w:sz w:val="22"/>
          <w:szCs w:val="22"/>
        </w:rPr>
        <w:t xml:space="preserve"> (K) obtenu à partir de la</w:t>
      </w:r>
      <w:r>
        <w:rPr>
          <w:i/>
          <w:iCs/>
          <w:sz w:val="22"/>
          <w:szCs w:val="22"/>
        </w:rPr>
        <w:t xml:space="preserve"> transmission thermique</w:t>
      </w:r>
      <w:r>
        <w:rPr>
          <w:sz w:val="22"/>
          <w:szCs w:val="22"/>
        </w:rPr>
        <w:t xml:space="preserve"> finale des éléments affectés reste inférieur à celui obtenu en appliquant les valeurs du tableau.</w:t>
      </w:r>
    </w:p>
    <w:p w14:paraId="764CF2CC" w14:textId="2FDE9CF1" w:rsidR="00230F35" w:rsidRPr="00937C8B" w:rsidRDefault="00230F35" w:rsidP="00D27646">
      <w:pPr>
        <w:pStyle w:val="CTENumeracion"/>
        <w:keepNext/>
        <w:spacing w:before="120"/>
        <w:rPr>
          <w:rFonts w:cs="Arial"/>
          <w:sz w:val="22"/>
          <w:szCs w:val="22"/>
        </w:rPr>
      </w:pPr>
      <w:r>
        <w:rPr>
          <w:sz w:val="22"/>
          <w:szCs w:val="22"/>
        </w:rPr>
        <w:t>3</w:t>
      </w:r>
      <w:r>
        <w:rPr>
          <w:sz w:val="22"/>
          <w:szCs w:val="22"/>
        </w:rPr>
        <w:tab/>
        <w:t xml:space="preserve">Le </w:t>
      </w:r>
      <w:r>
        <w:rPr>
          <w:i/>
          <w:iCs/>
          <w:sz w:val="22"/>
          <w:szCs w:val="22"/>
        </w:rPr>
        <w:t>coefficient global de transmission de chaleur</w:t>
      </w:r>
      <w:r>
        <w:rPr>
          <w:sz w:val="22"/>
          <w:szCs w:val="22"/>
        </w:rPr>
        <w:t xml:space="preserve"> (K) d’un bâtiment, ou d’une partie d</w:t>
      </w:r>
      <w:r w:rsidR="00EA7588">
        <w:rPr>
          <w:sz w:val="22"/>
          <w:szCs w:val="22"/>
        </w:rPr>
        <w:t>’</w:t>
      </w:r>
      <w:r>
        <w:rPr>
          <w:sz w:val="22"/>
          <w:szCs w:val="22"/>
        </w:rPr>
        <w:t>un bâtiment, à usage résidentiel privé, doit rester inférieur à la valeur limite (</w:t>
      </w:r>
      <w:r>
        <w:rPr>
          <w:iCs/>
          <w:sz w:val="22"/>
          <w:szCs w:val="22"/>
        </w:rPr>
        <w:t>K</w:t>
      </w:r>
      <w:r>
        <w:rPr>
          <w:iCs/>
          <w:sz w:val="22"/>
          <w:szCs w:val="22"/>
          <w:vertAlign w:val="subscript"/>
        </w:rPr>
        <w:t>lim</w:t>
      </w:r>
      <w:r>
        <w:rPr>
          <w:sz w:val="22"/>
          <w:szCs w:val="22"/>
        </w:rPr>
        <w:t>) donnée par le tableau 3.1.1.b-HE1:</w:t>
      </w:r>
    </w:p>
    <w:p w14:paraId="010B6BD5" w14:textId="77777777" w:rsidR="00230F35" w:rsidRPr="00937C8B" w:rsidRDefault="00230F35" w:rsidP="00D27646">
      <w:pPr>
        <w:pStyle w:val="CTEtabla-Titulo"/>
        <w:spacing w:before="240" w:after="120" w:line="11" w:lineRule="atLeast"/>
      </w:pPr>
      <w:r>
        <w:t>Tableau 3.1.1.b - HE1 Valeur limite K</w:t>
      </w:r>
      <w:r>
        <w:rPr>
          <w:iCs/>
          <w:vertAlign w:val="subscript"/>
        </w:rPr>
        <w:t>lim</w:t>
      </w:r>
      <w:r>
        <w:t xml:space="preserve"> [W/m²K] pour usage résidentiel privé</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3" w:type="dxa"/>
        </w:tblCellMar>
        <w:tblLook w:val="04A0" w:firstRow="1" w:lastRow="0" w:firstColumn="1" w:lastColumn="0" w:noHBand="0" w:noVBand="1"/>
      </w:tblPr>
      <w:tblGrid>
        <w:gridCol w:w="3526"/>
        <w:gridCol w:w="1356"/>
        <w:gridCol w:w="596"/>
        <w:gridCol w:w="596"/>
        <w:gridCol w:w="582"/>
        <w:gridCol w:w="582"/>
        <w:gridCol w:w="582"/>
        <w:gridCol w:w="582"/>
      </w:tblGrid>
      <w:tr w:rsidR="00230F35" w:rsidRPr="00937C8B" w14:paraId="1E85732F" w14:textId="77777777" w:rsidTr="00935676">
        <w:trPr>
          <w:jc w:val="center"/>
        </w:trPr>
        <w:tc>
          <w:tcPr>
            <w:tcW w:w="3581" w:type="dxa"/>
            <w:vMerge w:val="restart"/>
            <w:tcBorders>
              <w:top w:val="nil"/>
              <w:left w:val="nil"/>
              <w:bottom w:val="nil"/>
              <w:right w:val="nil"/>
            </w:tcBorders>
            <w:shd w:val="clear" w:color="auto" w:fill="auto"/>
          </w:tcPr>
          <w:p w14:paraId="2E347743" w14:textId="77777777" w:rsidR="00230F35" w:rsidRPr="00935676" w:rsidRDefault="00230F35" w:rsidP="00D27646">
            <w:pPr>
              <w:pStyle w:val="CTEtabla-texto"/>
              <w:keepNext/>
              <w:rPr>
                <w:rFonts w:cs="Arial"/>
                <w:lang w:val="es-ES"/>
              </w:rPr>
            </w:pPr>
          </w:p>
        </w:tc>
        <w:tc>
          <w:tcPr>
            <w:tcW w:w="1361" w:type="dxa"/>
            <w:vMerge w:val="restart"/>
            <w:tcBorders>
              <w:top w:val="nil"/>
              <w:left w:val="nil"/>
              <w:bottom w:val="nil"/>
              <w:right w:val="nil"/>
            </w:tcBorders>
            <w:shd w:val="clear" w:color="auto" w:fill="auto"/>
          </w:tcPr>
          <w:p w14:paraId="2DD0179D" w14:textId="77777777" w:rsidR="00230F35" w:rsidRPr="00937C8B" w:rsidRDefault="00230F35" w:rsidP="00D27646">
            <w:pPr>
              <w:pStyle w:val="CTEtabla-texto"/>
              <w:keepNext/>
              <w:numPr>
                <w:ilvl w:val="0"/>
                <w:numId w:val="6"/>
              </w:numPr>
              <w:rPr>
                <w:rFonts w:cs="Arial"/>
              </w:rPr>
            </w:pPr>
            <w:r>
              <w:rPr>
                <w:b/>
                <w:bCs/>
              </w:rPr>
              <w:t>Compacité V/A [m³/m</w:t>
            </w:r>
            <w:r>
              <w:rPr>
                <w:b/>
                <w:bCs/>
                <w:vertAlign w:val="superscript"/>
              </w:rPr>
              <w:t>2</w:t>
            </w:r>
            <w:r>
              <w:rPr>
                <w:b/>
                <w:bCs/>
              </w:rPr>
              <w:t>]</w:t>
            </w:r>
          </w:p>
        </w:tc>
        <w:tc>
          <w:tcPr>
            <w:tcW w:w="3459" w:type="dxa"/>
            <w:gridSpan w:val="6"/>
            <w:tcBorders>
              <w:top w:val="nil"/>
              <w:left w:val="nil"/>
              <w:bottom w:val="nil"/>
              <w:right w:val="nil"/>
            </w:tcBorders>
            <w:shd w:val="clear" w:color="auto" w:fill="auto"/>
            <w:vAlign w:val="center"/>
          </w:tcPr>
          <w:p w14:paraId="2326B1F3" w14:textId="77777777" w:rsidR="00230F35" w:rsidRPr="00937C8B" w:rsidRDefault="00230F35" w:rsidP="00D27646">
            <w:pPr>
              <w:keepNext/>
              <w:jc w:val="center"/>
              <w:rPr>
                <w:rFonts w:ascii="Arial" w:hAnsi="Arial" w:cs="Arial"/>
              </w:rPr>
            </w:pPr>
            <w:r>
              <w:rPr>
                <w:rFonts w:ascii="Arial" w:hAnsi="Arial"/>
                <w:b/>
                <w:sz w:val="18"/>
              </w:rPr>
              <w:t>Zone climatique en hiver</w:t>
            </w:r>
          </w:p>
        </w:tc>
      </w:tr>
      <w:tr w:rsidR="00230F35" w:rsidRPr="00937C8B" w14:paraId="465FF06D" w14:textId="77777777" w:rsidTr="00935676">
        <w:trPr>
          <w:jc w:val="center"/>
        </w:trPr>
        <w:tc>
          <w:tcPr>
            <w:tcW w:w="3581" w:type="dxa"/>
            <w:vMerge/>
            <w:tcBorders>
              <w:top w:val="nil"/>
              <w:left w:val="nil"/>
              <w:bottom w:val="single" w:sz="4" w:space="0" w:color="auto"/>
              <w:right w:val="nil"/>
            </w:tcBorders>
            <w:shd w:val="clear" w:color="auto" w:fill="auto"/>
          </w:tcPr>
          <w:p w14:paraId="00A0A13D" w14:textId="77777777" w:rsidR="00230F35" w:rsidRPr="00937C8B" w:rsidRDefault="00230F35" w:rsidP="00D27646">
            <w:pPr>
              <w:pStyle w:val="CTEtabla-texto"/>
              <w:keepNext/>
              <w:rPr>
                <w:rFonts w:cs="Arial"/>
              </w:rPr>
            </w:pPr>
          </w:p>
        </w:tc>
        <w:tc>
          <w:tcPr>
            <w:tcW w:w="1361" w:type="dxa"/>
            <w:vMerge/>
            <w:tcBorders>
              <w:top w:val="nil"/>
              <w:left w:val="nil"/>
              <w:bottom w:val="single" w:sz="4" w:space="0" w:color="auto"/>
              <w:right w:val="nil"/>
            </w:tcBorders>
            <w:shd w:val="clear" w:color="auto" w:fill="auto"/>
            <w:vAlign w:val="center"/>
          </w:tcPr>
          <w:p w14:paraId="2D56641C" w14:textId="77777777" w:rsidR="00230F35" w:rsidRPr="00937C8B" w:rsidRDefault="00230F35" w:rsidP="00D27646">
            <w:pPr>
              <w:pStyle w:val="CTEtabla-texto"/>
              <w:keepNext/>
              <w:rPr>
                <w:rFonts w:cs="Arial"/>
              </w:rPr>
            </w:pPr>
          </w:p>
        </w:tc>
        <w:tc>
          <w:tcPr>
            <w:tcW w:w="596" w:type="dxa"/>
            <w:tcBorders>
              <w:top w:val="nil"/>
              <w:left w:val="nil"/>
              <w:bottom w:val="single" w:sz="4" w:space="0" w:color="auto"/>
              <w:right w:val="nil"/>
            </w:tcBorders>
            <w:shd w:val="clear" w:color="auto" w:fill="auto"/>
            <w:vAlign w:val="center"/>
          </w:tcPr>
          <w:p w14:paraId="664B582E" w14:textId="77777777" w:rsidR="00230F35" w:rsidRPr="00937C8B" w:rsidRDefault="00230F35" w:rsidP="00D27646">
            <w:pPr>
              <w:pStyle w:val="CTEtabla-texto"/>
              <w:keepNext/>
              <w:rPr>
                <w:rFonts w:cs="Arial"/>
                <w:b/>
              </w:rPr>
            </w:pPr>
            <w:r>
              <w:rPr>
                <w:b/>
              </w:rPr>
              <w:t>α</w:t>
            </w:r>
          </w:p>
        </w:tc>
        <w:tc>
          <w:tcPr>
            <w:tcW w:w="596" w:type="dxa"/>
            <w:tcBorders>
              <w:top w:val="nil"/>
              <w:left w:val="nil"/>
              <w:bottom w:val="single" w:sz="4" w:space="0" w:color="auto"/>
              <w:right w:val="nil"/>
            </w:tcBorders>
            <w:shd w:val="clear" w:color="auto" w:fill="auto"/>
            <w:vAlign w:val="center"/>
          </w:tcPr>
          <w:p w14:paraId="7382CDC6" w14:textId="77777777" w:rsidR="00230F35" w:rsidRPr="00937C8B" w:rsidRDefault="00230F35" w:rsidP="00D27646">
            <w:pPr>
              <w:pStyle w:val="CTEtabla-texto"/>
              <w:keepNext/>
              <w:rPr>
                <w:rFonts w:cs="Arial"/>
                <w:b/>
              </w:rPr>
            </w:pPr>
            <w:r>
              <w:rPr>
                <w:b/>
              </w:rPr>
              <w:t>A</w:t>
            </w:r>
          </w:p>
        </w:tc>
        <w:tc>
          <w:tcPr>
            <w:tcW w:w="567" w:type="dxa"/>
            <w:tcBorders>
              <w:top w:val="nil"/>
              <w:left w:val="nil"/>
              <w:bottom w:val="single" w:sz="4" w:space="0" w:color="auto"/>
              <w:right w:val="nil"/>
            </w:tcBorders>
            <w:shd w:val="clear" w:color="auto" w:fill="auto"/>
            <w:vAlign w:val="center"/>
          </w:tcPr>
          <w:p w14:paraId="7C1D28CD" w14:textId="77777777" w:rsidR="00230F35" w:rsidRPr="00937C8B" w:rsidRDefault="00230F35" w:rsidP="00D27646">
            <w:pPr>
              <w:pStyle w:val="CTEtabla-texto"/>
              <w:keepNext/>
              <w:rPr>
                <w:rFonts w:cs="Arial"/>
                <w:b/>
              </w:rPr>
            </w:pPr>
            <w:r>
              <w:rPr>
                <w:b/>
              </w:rPr>
              <w:t>B</w:t>
            </w:r>
          </w:p>
        </w:tc>
        <w:tc>
          <w:tcPr>
            <w:tcW w:w="567" w:type="dxa"/>
            <w:tcBorders>
              <w:top w:val="nil"/>
              <w:left w:val="nil"/>
              <w:bottom w:val="single" w:sz="4" w:space="0" w:color="auto"/>
              <w:right w:val="nil"/>
            </w:tcBorders>
            <w:shd w:val="clear" w:color="auto" w:fill="auto"/>
            <w:vAlign w:val="center"/>
          </w:tcPr>
          <w:p w14:paraId="05B334B1" w14:textId="77777777" w:rsidR="00230F35" w:rsidRPr="00937C8B" w:rsidRDefault="00230F35" w:rsidP="00D27646">
            <w:pPr>
              <w:pStyle w:val="CTEtabla-texto"/>
              <w:keepNext/>
              <w:rPr>
                <w:rFonts w:cs="Arial"/>
                <w:b/>
              </w:rPr>
            </w:pPr>
            <w:r>
              <w:rPr>
                <w:b/>
              </w:rPr>
              <w:t>C</w:t>
            </w:r>
          </w:p>
        </w:tc>
        <w:tc>
          <w:tcPr>
            <w:tcW w:w="567" w:type="dxa"/>
            <w:tcBorders>
              <w:top w:val="nil"/>
              <w:left w:val="nil"/>
              <w:bottom w:val="single" w:sz="4" w:space="0" w:color="auto"/>
              <w:right w:val="nil"/>
            </w:tcBorders>
            <w:shd w:val="clear" w:color="auto" w:fill="auto"/>
            <w:vAlign w:val="center"/>
          </w:tcPr>
          <w:p w14:paraId="46F91349" w14:textId="77777777" w:rsidR="00230F35" w:rsidRPr="00937C8B" w:rsidRDefault="00230F35" w:rsidP="00D27646">
            <w:pPr>
              <w:pStyle w:val="CTEtabla-texto"/>
              <w:keepNext/>
              <w:rPr>
                <w:rFonts w:cs="Arial"/>
                <w:b/>
              </w:rPr>
            </w:pPr>
            <w:r>
              <w:rPr>
                <w:b/>
              </w:rPr>
              <w:t>D</w:t>
            </w:r>
          </w:p>
        </w:tc>
        <w:tc>
          <w:tcPr>
            <w:tcW w:w="566" w:type="dxa"/>
            <w:tcBorders>
              <w:top w:val="nil"/>
              <w:left w:val="nil"/>
              <w:bottom w:val="single" w:sz="4" w:space="0" w:color="auto"/>
              <w:right w:val="nil"/>
            </w:tcBorders>
            <w:shd w:val="clear" w:color="auto" w:fill="auto"/>
            <w:vAlign w:val="center"/>
          </w:tcPr>
          <w:p w14:paraId="5C65BF12" w14:textId="77777777" w:rsidR="00230F35" w:rsidRPr="00937C8B" w:rsidRDefault="00230F35" w:rsidP="00D27646">
            <w:pPr>
              <w:pStyle w:val="CTEtabla-texto"/>
              <w:keepNext/>
              <w:rPr>
                <w:rFonts w:cs="Arial"/>
                <w:b/>
              </w:rPr>
            </w:pPr>
            <w:r>
              <w:rPr>
                <w:b/>
              </w:rPr>
              <w:t>E</w:t>
            </w:r>
          </w:p>
        </w:tc>
      </w:tr>
      <w:tr w:rsidR="00230F35" w:rsidRPr="00937C8B" w14:paraId="72D48381" w14:textId="77777777" w:rsidTr="00935676">
        <w:trPr>
          <w:jc w:val="center"/>
        </w:trPr>
        <w:tc>
          <w:tcPr>
            <w:tcW w:w="3581" w:type="dxa"/>
            <w:vMerge w:val="restart"/>
            <w:tcBorders>
              <w:top w:val="single" w:sz="4" w:space="0" w:color="auto"/>
              <w:left w:val="nil"/>
              <w:bottom w:val="nil"/>
              <w:right w:val="nil"/>
            </w:tcBorders>
            <w:shd w:val="clear" w:color="auto" w:fill="auto"/>
            <w:vAlign w:val="center"/>
          </w:tcPr>
          <w:p w14:paraId="69976C19" w14:textId="77777777" w:rsidR="00230F35" w:rsidRPr="00937C8B" w:rsidRDefault="00230F35" w:rsidP="00425ADA">
            <w:pPr>
              <w:pStyle w:val="CTEtabla-texto"/>
              <w:jc w:val="left"/>
              <w:rPr>
                <w:rFonts w:cs="Arial"/>
              </w:rPr>
            </w:pPr>
            <w:r>
              <w:rPr>
                <w:b/>
                <w:szCs w:val="18"/>
              </w:rPr>
              <w:t>Bâtiments neufs et extensions</w:t>
            </w:r>
          </w:p>
        </w:tc>
        <w:tc>
          <w:tcPr>
            <w:tcW w:w="1361" w:type="dxa"/>
            <w:tcBorders>
              <w:left w:val="nil"/>
              <w:bottom w:val="nil"/>
              <w:right w:val="nil"/>
            </w:tcBorders>
            <w:shd w:val="clear" w:color="auto" w:fill="auto"/>
            <w:vAlign w:val="center"/>
          </w:tcPr>
          <w:p w14:paraId="711AE780" w14:textId="77777777" w:rsidR="00230F35" w:rsidRPr="00937C8B" w:rsidRDefault="00230F35" w:rsidP="00425ADA">
            <w:pPr>
              <w:pStyle w:val="CTEtabla-texto"/>
              <w:keepNext/>
              <w:rPr>
                <w:rFonts w:cs="Arial"/>
                <w:szCs w:val="18"/>
              </w:rPr>
            </w:pPr>
            <w:r>
              <w:t>V/A ≤ 1</w:t>
            </w:r>
          </w:p>
        </w:tc>
        <w:tc>
          <w:tcPr>
            <w:tcW w:w="596" w:type="dxa"/>
            <w:tcBorders>
              <w:left w:val="nil"/>
              <w:bottom w:val="nil"/>
              <w:right w:val="nil"/>
            </w:tcBorders>
            <w:shd w:val="clear" w:color="auto" w:fill="auto"/>
            <w:vAlign w:val="center"/>
          </w:tcPr>
          <w:p w14:paraId="30301356" w14:textId="77777777" w:rsidR="00230F35" w:rsidRPr="00937C8B" w:rsidRDefault="00230F35" w:rsidP="00425ADA">
            <w:pPr>
              <w:pStyle w:val="CTEtabla-texto"/>
              <w:keepNext/>
              <w:rPr>
                <w:rFonts w:cs="Arial"/>
              </w:rPr>
            </w:pPr>
            <w:r>
              <w:t>0,67</w:t>
            </w:r>
          </w:p>
        </w:tc>
        <w:tc>
          <w:tcPr>
            <w:tcW w:w="596" w:type="dxa"/>
            <w:tcBorders>
              <w:left w:val="nil"/>
              <w:bottom w:val="nil"/>
              <w:right w:val="nil"/>
            </w:tcBorders>
            <w:shd w:val="clear" w:color="auto" w:fill="auto"/>
            <w:vAlign w:val="center"/>
          </w:tcPr>
          <w:p w14:paraId="3F628B35" w14:textId="77777777" w:rsidR="00230F35" w:rsidRPr="00937C8B" w:rsidRDefault="00230F35" w:rsidP="00425ADA">
            <w:pPr>
              <w:pStyle w:val="CTEtabla-texto"/>
              <w:keepNext/>
              <w:rPr>
                <w:rFonts w:cs="Arial"/>
              </w:rPr>
            </w:pPr>
            <w:r>
              <w:t>0,60</w:t>
            </w:r>
          </w:p>
        </w:tc>
        <w:tc>
          <w:tcPr>
            <w:tcW w:w="567" w:type="dxa"/>
            <w:tcBorders>
              <w:left w:val="nil"/>
              <w:bottom w:val="nil"/>
              <w:right w:val="nil"/>
            </w:tcBorders>
            <w:shd w:val="clear" w:color="auto" w:fill="auto"/>
            <w:vAlign w:val="center"/>
          </w:tcPr>
          <w:p w14:paraId="4283363D" w14:textId="77777777" w:rsidR="00230F35" w:rsidRPr="00937C8B" w:rsidRDefault="00230F35" w:rsidP="00425ADA">
            <w:pPr>
              <w:pStyle w:val="CTEtabla-texto"/>
              <w:keepNext/>
              <w:rPr>
                <w:rFonts w:cs="Arial"/>
              </w:rPr>
            </w:pPr>
            <w:r>
              <w:t>0,58</w:t>
            </w:r>
          </w:p>
        </w:tc>
        <w:tc>
          <w:tcPr>
            <w:tcW w:w="567" w:type="dxa"/>
            <w:tcBorders>
              <w:left w:val="nil"/>
              <w:bottom w:val="nil"/>
              <w:right w:val="nil"/>
            </w:tcBorders>
            <w:shd w:val="clear" w:color="auto" w:fill="auto"/>
            <w:vAlign w:val="center"/>
          </w:tcPr>
          <w:p w14:paraId="3EC48EAA" w14:textId="77777777" w:rsidR="00230F35" w:rsidRPr="00937C8B" w:rsidRDefault="00230F35" w:rsidP="00425ADA">
            <w:pPr>
              <w:pStyle w:val="CTEtabla-texto"/>
              <w:keepNext/>
              <w:rPr>
                <w:rFonts w:cs="Arial"/>
              </w:rPr>
            </w:pPr>
            <w:r>
              <w:t>0,53</w:t>
            </w:r>
          </w:p>
        </w:tc>
        <w:tc>
          <w:tcPr>
            <w:tcW w:w="567" w:type="dxa"/>
            <w:tcBorders>
              <w:left w:val="nil"/>
              <w:bottom w:val="nil"/>
              <w:right w:val="nil"/>
            </w:tcBorders>
            <w:shd w:val="clear" w:color="auto" w:fill="auto"/>
            <w:vAlign w:val="center"/>
          </w:tcPr>
          <w:p w14:paraId="15A1D4B2" w14:textId="77777777" w:rsidR="00230F35" w:rsidRPr="00937C8B" w:rsidRDefault="00230F35" w:rsidP="00425ADA">
            <w:pPr>
              <w:pStyle w:val="CTEtabla-texto"/>
              <w:keepNext/>
              <w:rPr>
                <w:rFonts w:cs="Arial"/>
              </w:rPr>
            </w:pPr>
            <w:r>
              <w:t>0,48</w:t>
            </w:r>
          </w:p>
        </w:tc>
        <w:tc>
          <w:tcPr>
            <w:tcW w:w="566" w:type="dxa"/>
            <w:tcBorders>
              <w:left w:val="nil"/>
              <w:bottom w:val="nil"/>
              <w:right w:val="nil"/>
            </w:tcBorders>
            <w:shd w:val="clear" w:color="auto" w:fill="auto"/>
            <w:vAlign w:val="center"/>
          </w:tcPr>
          <w:p w14:paraId="7C696855" w14:textId="77777777" w:rsidR="00230F35" w:rsidRPr="00937C8B" w:rsidRDefault="00230F35" w:rsidP="00425ADA">
            <w:pPr>
              <w:pStyle w:val="CTEtabla-texto"/>
              <w:keepNext/>
              <w:rPr>
                <w:rFonts w:cs="Arial"/>
              </w:rPr>
            </w:pPr>
            <w:r>
              <w:t>0,43</w:t>
            </w:r>
          </w:p>
        </w:tc>
      </w:tr>
      <w:tr w:rsidR="00230F35" w:rsidRPr="00937C8B" w14:paraId="2E563A35" w14:textId="77777777" w:rsidTr="00935676">
        <w:trPr>
          <w:jc w:val="center"/>
        </w:trPr>
        <w:tc>
          <w:tcPr>
            <w:tcW w:w="3581" w:type="dxa"/>
            <w:vMerge/>
            <w:tcBorders>
              <w:top w:val="nil"/>
              <w:left w:val="nil"/>
              <w:bottom w:val="single" w:sz="4" w:space="0" w:color="auto"/>
              <w:right w:val="nil"/>
            </w:tcBorders>
            <w:shd w:val="clear" w:color="auto" w:fill="auto"/>
            <w:vAlign w:val="center"/>
          </w:tcPr>
          <w:p w14:paraId="5DC5EB2A" w14:textId="77777777" w:rsidR="00230F35" w:rsidRPr="00937C8B" w:rsidRDefault="00230F35" w:rsidP="00425ADA">
            <w:pPr>
              <w:jc w:val="center"/>
              <w:rPr>
                <w:rFonts w:ascii="Arial" w:eastAsia="Arial" w:hAnsi="Arial" w:cs="Arial"/>
                <w:b/>
                <w:sz w:val="18"/>
                <w:lang w:eastAsia="ar-SA"/>
              </w:rPr>
            </w:pPr>
          </w:p>
        </w:tc>
        <w:tc>
          <w:tcPr>
            <w:tcW w:w="1361" w:type="dxa"/>
            <w:tcBorders>
              <w:top w:val="nil"/>
              <w:left w:val="nil"/>
              <w:bottom w:val="single" w:sz="4" w:space="0" w:color="auto"/>
              <w:right w:val="nil"/>
            </w:tcBorders>
            <w:shd w:val="clear" w:color="auto" w:fill="auto"/>
            <w:vAlign w:val="center"/>
          </w:tcPr>
          <w:p w14:paraId="0CDB9B7A" w14:textId="77777777" w:rsidR="00230F35" w:rsidRPr="00937C8B" w:rsidRDefault="00230F35" w:rsidP="00425ADA">
            <w:pPr>
              <w:pStyle w:val="CTEtabla-texto"/>
              <w:keepNext/>
              <w:rPr>
                <w:rFonts w:cs="Arial"/>
                <w:szCs w:val="18"/>
              </w:rPr>
            </w:pPr>
            <w:r>
              <w:t>V/A ≥ 4</w:t>
            </w:r>
          </w:p>
        </w:tc>
        <w:tc>
          <w:tcPr>
            <w:tcW w:w="596" w:type="dxa"/>
            <w:tcBorders>
              <w:top w:val="nil"/>
              <w:left w:val="nil"/>
              <w:bottom w:val="single" w:sz="4" w:space="0" w:color="auto"/>
              <w:right w:val="nil"/>
            </w:tcBorders>
            <w:shd w:val="clear" w:color="auto" w:fill="auto"/>
            <w:vAlign w:val="center"/>
          </w:tcPr>
          <w:p w14:paraId="5FE85C67" w14:textId="77777777" w:rsidR="00230F35" w:rsidRPr="00937C8B" w:rsidRDefault="00230F35" w:rsidP="00425ADA">
            <w:pPr>
              <w:pStyle w:val="CTEtabla-texto"/>
              <w:keepNext/>
              <w:rPr>
                <w:rFonts w:cs="Arial"/>
              </w:rPr>
            </w:pPr>
            <w:r>
              <w:t>0,86</w:t>
            </w:r>
          </w:p>
        </w:tc>
        <w:tc>
          <w:tcPr>
            <w:tcW w:w="596" w:type="dxa"/>
            <w:tcBorders>
              <w:top w:val="nil"/>
              <w:left w:val="nil"/>
              <w:bottom w:val="single" w:sz="4" w:space="0" w:color="auto"/>
              <w:right w:val="nil"/>
            </w:tcBorders>
            <w:shd w:val="clear" w:color="auto" w:fill="auto"/>
            <w:vAlign w:val="center"/>
          </w:tcPr>
          <w:p w14:paraId="702DC763" w14:textId="77777777" w:rsidR="00230F35" w:rsidRPr="00937C8B" w:rsidRDefault="00230F35" w:rsidP="00425ADA">
            <w:pPr>
              <w:pStyle w:val="CTEtabla-texto"/>
              <w:keepNext/>
              <w:rPr>
                <w:rFonts w:cs="Arial"/>
              </w:rPr>
            </w:pPr>
            <w:r>
              <w:t>0,80</w:t>
            </w:r>
          </w:p>
        </w:tc>
        <w:tc>
          <w:tcPr>
            <w:tcW w:w="567" w:type="dxa"/>
            <w:tcBorders>
              <w:top w:val="nil"/>
              <w:left w:val="nil"/>
              <w:bottom w:val="single" w:sz="4" w:space="0" w:color="auto"/>
              <w:right w:val="nil"/>
            </w:tcBorders>
            <w:shd w:val="clear" w:color="auto" w:fill="auto"/>
            <w:vAlign w:val="center"/>
          </w:tcPr>
          <w:p w14:paraId="2747175A" w14:textId="77777777" w:rsidR="00230F35" w:rsidRPr="00937C8B" w:rsidRDefault="00230F35" w:rsidP="00425ADA">
            <w:pPr>
              <w:pStyle w:val="CTEtabla-texto"/>
              <w:keepNext/>
              <w:rPr>
                <w:rFonts w:cs="Arial"/>
              </w:rPr>
            </w:pPr>
            <w:r>
              <w:t>0,77</w:t>
            </w:r>
          </w:p>
        </w:tc>
        <w:tc>
          <w:tcPr>
            <w:tcW w:w="567" w:type="dxa"/>
            <w:tcBorders>
              <w:top w:val="nil"/>
              <w:left w:val="nil"/>
              <w:bottom w:val="single" w:sz="4" w:space="0" w:color="auto"/>
              <w:right w:val="nil"/>
            </w:tcBorders>
            <w:shd w:val="clear" w:color="auto" w:fill="auto"/>
            <w:vAlign w:val="center"/>
          </w:tcPr>
          <w:p w14:paraId="6D57B13B" w14:textId="77777777" w:rsidR="00230F35" w:rsidRPr="00937C8B" w:rsidRDefault="00230F35" w:rsidP="00425ADA">
            <w:pPr>
              <w:pStyle w:val="CTEtabla-texto"/>
              <w:keepNext/>
              <w:rPr>
                <w:rFonts w:cs="Arial"/>
              </w:rPr>
            </w:pPr>
            <w:r>
              <w:t>0,72</w:t>
            </w:r>
          </w:p>
        </w:tc>
        <w:tc>
          <w:tcPr>
            <w:tcW w:w="567" w:type="dxa"/>
            <w:tcBorders>
              <w:top w:val="nil"/>
              <w:left w:val="nil"/>
              <w:bottom w:val="single" w:sz="4" w:space="0" w:color="auto"/>
              <w:right w:val="nil"/>
            </w:tcBorders>
            <w:shd w:val="clear" w:color="auto" w:fill="auto"/>
            <w:vAlign w:val="center"/>
          </w:tcPr>
          <w:p w14:paraId="583726F5" w14:textId="77777777" w:rsidR="00230F35" w:rsidRPr="00937C8B" w:rsidRDefault="00230F35" w:rsidP="00425ADA">
            <w:pPr>
              <w:pStyle w:val="CTEtabla-texto"/>
              <w:keepNext/>
              <w:rPr>
                <w:rFonts w:cs="Arial"/>
              </w:rPr>
            </w:pPr>
            <w:r>
              <w:t>0,67</w:t>
            </w:r>
          </w:p>
        </w:tc>
        <w:tc>
          <w:tcPr>
            <w:tcW w:w="566" w:type="dxa"/>
            <w:tcBorders>
              <w:top w:val="nil"/>
              <w:left w:val="nil"/>
              <w:bottom w:val="single" w:sz="4" w:space="0" w:color="auto"/>
              <w:right w:val="nil"/>
            </w:tcBorders>
            <w:shd w:val="clear" w:color="auto" w:fill="auto"/>
            <w:vAlign w:val="center"/>
          </w:tcPr>
          <w:p w14:paraId="56DE6F07" w14:textId="77777777" w:rsidR="00230F35" w:rsidRPr="00937C8B" w:rsidRDefault="00230F35" w:rsidP="00425ADA">
            <w:pPr>
              <w:pStyle w:val="CTEtabla-texto"/>
              <w:keepNext/>
              <w:rPr>
                <w:rFonts w:cs="Arial"/>
              </w:rPr>
            </w:pPr>
            <w:r>
              <w:t>0,62</w:t>
            </w:r>
          </w:p>
        </w:tc>
      </w:tr>
      <w:tr w:rsidR="00230F35" w:rsidRPr="00937C8B" w14:paraId="0C7E8479" w14:textId="77777777" w:rsidTr="00935676">
        <w:trPr>
          <w:jc w:val="center"/>
        </w:trPr>
        <w:tc>
          <w:tcPr>
            <w:tcW w:w="3581" w:type="dxa"/>
            <w:vMerge w:val="restart"/>
            <w:tcBorders>
              <w:top w:val="single" w:sz="4" w:space="0" w:color="auto"/>
              <w:left w:val="nil"/>
              <w:bottom w:val="nil"/>
              <w:right w:val="nil"/>
            </w:tcBorders>
            <w:shd w:val="clear" w:color="auto" w:fill="auto"/>
            <w:vAlign w:val="center"/>
          </w:tcPr>
          <w:p w14:paraId="3D03D4DA" w14:textId="0EFD991F" w:rsidR="00230F35" w:rsidRPr="00937C8B" w:rsidRDefault="00230F35" w:rsidP="00425ADA">
            <w:pPr>
              <w:pStyle w:val="CTEtabla-texto"/>
              <w:keepNext/>
              <w:jc w:val="left"/>
              <w:rPr>
                <w:rFonts w:cs="Arial"/>
                <w:b/>
                <w:szCs w:val="18"/>
              </w:rPr>
            </w:pPr>
            <w:r>
              <w:rPr>
                <w:b/>
                <w:szCs w:val="18"/>
              </w:rPr>
              <w:t>Changements d</w:t>
            </w:r>
            <w:r w:rsidR="00EA7588">
              <w:rPr>
                <w:b/>
                <w:szCs w:val="18"/>
              </w:rPr>
              <w:t>’</w:t>
            </w:r>
            <w:r>
              <w:rPr>
                <w:b/>
                <w:szCs w:val="18"/>
              </w:rPr>
              <w:t>usage</w:t>
            </w:r>
          </w:p>
          <w:p w14:paraId="5709819E" w14:textId="19570A67" w:rsidR="00230F35" w:rsidRPr="00937C8B" w:rsidRDefault="00230F35" w:rsidP="003E38D0">
            <w:pPr>
              <w:rPr>
                <w:rFonts w:ascii="Arial" w:eastAsia="Arial" w:hAnsi="Arial" w:cs="Arial"/>
                <w:sz w:val="18"/>
              </w:rPr>
            </w:pPr>
            <w:r>
              <w:rPr>
                <w:rFonts w:ascii="Arial" w:hAnsi="Arial"/>
                <w:b/>
                <w:sz w:val="18"/>
                <w:szCs w:val="18"/>
              </w:rPr>
              <w:t>Intervention impliquant la rénovation de plus de 25</w:t>
            </w:r>
            <w:r w:rsidR="00EA7588">
              <w:rPr>
                <w:rFonts w:ascii="Arial" w:hAnsi="Arial"/>
                <w:b/>
                <w:sz w:val="18"/>
                <w:szCs w:val="18"/>
              </w:rPr>
              <w:t> </w:t>
            </w:r>
            <w:r>
              <w:rPr>
                <w:rFonts w:ascii="Arial" w:hAnsi="Arial"/>
                <w:b/>
                <w:sz w:val="18"/>
                <w:szCs w:val="18"/>
              </w:rPr>
              <w:t>% de la surface totale de l’</w:t>
            </w:r>
            <w:r>
              <w:rPr>
                <w:rFonts w:ascii="Arial" w:hAnsi="Arial"/>
                <w:b/>
                <w:i/>
                <w:iCs/>
                <w:sz w:val="18"/>
                <w:szCs w:val="18"/>
              </w:rPr>
              <w:t>enceinte thermique</w:t>
            </w:r>
            <w:r>
              <w:rPr>
                <w:rFonts w:ascii="Arial" w:hAnsi="Arial"/>
                <w:b/>
                <w:sz w:val="18"/>
                <w:szCs w:val="18"/>
              </w:rPr>
              <w:t xml:space="preserve"> finale du bâtiment</w:t>
            </w:r>
          </w:p>
        </w:tc>
        <w:tc>
          <w:tcPr>
            <w:tcW w:w="1361" w:type="dxa"/>
            <w:tcBorders>
              <w:top w:val="single" w:sz="4" w:space="0" w:color="auto"/>
              <w:left w:val="nil"/>
              <w:bottom w:val="nil"/>
              <w:right w:val="nil"/>
            </w:tcBorders>
            <w:shd w:val="clear" w:color="auto" w:fill="auto"/>
            <w:vAlign w:val="center"/>
          </w:tcPr>
          <w:p w14:paraId="22BE5CBF" w14:textId="77777777" w:rsidR="00230F35" w:rsidRPr="00937C8B" w:rsidRDefault="00230F35" w:rsidP="00425ADA">
            <w:pPr>
              <w:jc w:val="center"/>
              <w:rPr>
                <w:rFonts w:ascii="Arial" w:eastAsia="Arial" w:hAnsi="Arial" w:cs="Arial"/>
                <w:sz w:val="18"/>
                <w:szCs w:val="18"/>
              </w:rPr>
            </w:pPr>
            <w:r>
              <w:rPr>
                <w:rFonts w:ascii="Arial" w:hAnsi="Arial"/>
                <w:sz w:val="18"/>
                <w:szCs w:val="18"/>
              </w:rPr>
              <w:t>V/A ≤ 1</w:t>
            </w:r>
          </w:p>
        </w:tc>
        <w:tc>
          <w:tcPr>
            <w:tcW w:w="596" w:type="dxa"/>
            <w:tcBorders>
              <w:top w:val="single" w:sz="4" w:space="0" w:color="auto"/>
              <w:left w:val="nil"/>
              <w:bottom w:val="nil"/>
              <w:right w:val="nil"/>
            </w:tcBorders>
            <w:shd w:val="clear" w:color="auto" w:fill="auto"/>
            <w:vAlign w:val="center"/>
          </w:tcPr>
          <w:p w14:paraId="7BF8D6C3" w14:textId="77777777" w:rsidR="00230F35" w:rsidRPr="00937C8B" w:rsidRDefault="00230F35" w:rsidP="00425ADA">
            <w:pPr>
              <w:pStyle w:val="CTEtabla-texto"/>
              <w:keepNext/>
              <w:rPr>
                <w:rFonts w:cs="Arial"/>
              </w:rPr>
            </w:pPr>
            <w:r>
              <w:t>1,00</w:t>
            </w:r>
          </w:p>
        </w:tc>
        <w:tc>
          <w:tcPr>
            <w:tcW w:w="596" w:type="dxa"/>
            <w:tcBorders>
              <w:top w:val="single" w:sz="4" w:space="0" w:color="auto"/>
              <w:left w:val="nil"/>
              <w:bottom w:val="nil"/>
              <w:right w:val="nil"/>
            </w:tcBorders>
            <w:shd w:val="clear" w:color="auto" w:fill="auto"/>
            <w:vAlign w:val="center"/>
          </w:tcPr>
          <w:p w14:paraId="1453ECB4" w14:textId="77777777" w:rsidR="00230F35" w:rsidRPr="00937C8B" w:rsidRDefault="00230F35" w:rsidP="00425ADA">
            <w:pPr>
              <w:pStyle w:val="CTEtabla-texto"/>
              <w:keepNext/>
              <w:rPr>
                <w:rFonts w:cs="Arial"/>
              </w:rPr>
            </w:pPr>
            <w:r>
              <w:t>0,87</w:t>
            </w:r>
          </w:p>
        </w:tc>
        <w:tc>
          <w:tcPr>
            <w:tcW w:w="567" w:type="dxa"/>
            <w:tcBorders>
              <w:top w:val="single" w:sz="4" w:space="0" w:color="auto"/>
              <w:left w:val="nil"/>
              <w:bottom w:val="nil"/>
              <w:right w:val="nil"/>
            </w:tcBorders>
            <w:shd w:val="clear" w:color="auto" w:fill="auto"/>
            <w:vAlign w:val="center"/>
          </w:tcPr>
          <w:p w14:paraId="72AC8496" w14:textId="77777777" w:rsidR="00230F35" w:rsidRPr="00937C8B" w:rsidRDefault="00230F35" w:rsidP="00425ADA">
            <w:pPr>
              <w:pStyle w:val="CTEtabla-texto"/>
              <w:keepNext/>
              <w:rPr>
                <w:rFonts w:cs="Arial"/>
              </w:rPr>
            </w:pPr>
            <w:r>
              <w:t>0,83</w:t>
            </w:r>
          </w:p>
        </w:tc>
        <w:tc>
          <w:tcPr>
            <w:tcW w:w="567" w:type="dxa"/>
            <w:tcBorders>
              <w:top w:val="single" w:sz="4" w:space="0" w:color="auto"/>
              <w:left w:val="nil"/>
              <w:bottom w:val="nil"/>
              <w:right w:val="nil"/>
            </w:tcBorders>
            <w:shd w:val="clear" w:color="auto" w:fill="auto"/>
            <w:vAlign w:val="center"/>
          </w:tcPr>
          <w:p w14:paraId="5F676E78" w14:textId="77777777" w:rsidR="00230F35" w:rsidRPr="00937C8B" w:rsidRDefault="00230F35" w:rsidP="00425ADA">
            <w:pPr>
              <w:pStyle w:val="CTEtabla-texto"/>
              <w:keepNext/>
              <w:rPr>
                <w:rFonts w:cs="Arial"/>
              </w:rPr>
            </w:pPr>
            <w:r>
              <w:t>0,73</w:t>
            </w:r>
          </w:p>
        </w:tc>
        <w:tc>
          <w:tcPr>
            <w:tcW w:w="567" w:type="dxa"/>
            <w:tcBorders>
              <w:top w:val="single" w:sz="4" w:space="0" w:color="auto"/>
              <w:left w:val="nil"/>
              <w:bottom w:val="nil"/>
              <w:right w:val="nil"/>
            </w:tcBorders>
            <w:shd w:val="clear" w:color="auto" w:fill="auto"/>
            <w:vAlign w:val="center"/>
          </w:tcPr>
          <w:p w14:paraId="1E05D4BA" w14:textId="77777777" w:rsidR="00230F35" w:rsidRPr="00937C8B" w:rsidRDefault="00230F35" w:rsidP="00425ADA">
            <w:pPr>
              <w:pStyle w:val="CTEtabla-texto"/>
              <w:keepNext/>
              <w:rPr>
                <w:rFonts w:cs="Arial"/>
              </w:rPr>
            </w:pPr>
            <w:r>
              <w:t>0,63</w:t>
            </w:r>
          </w:p>
        </w:tc>
        <w:tc>
          <w:tcPr>
            <w:tcW w:w="566" w:type="dxa"/>
            <w:tcBorders>
              <w:top w:val="single" w:sz="4" w:space="0" w:color="auto"/>
              <w:left w:val="nil"/>
              <w:bottom w:val="nil"/>
              <w:right w:val="nil"/>
            </w:tcBorders>
            <w:shd w:val="clear" w:color="auto" w:fill="auto"/>
            <w:vAlign w:val="center"/>
          </w:tcPr>
          <w:p w14:paraId="60BEA2F5" w14:textId="77777777" w:rsidR="00230F35" w:rsidRPr="00937C8B" w:rsidRDefault="00230F35" w:rsidP="00425ADA">
            <w:pPr>
              <w:pStyle w:val="CTEtabla-texto"/>
              <w:keepNext/>
              <w:rPr>
                <w:rFonts w:cs="Arial"/>
              </w:rPr>
            </w:pPr>
            <w:r>
              <w:t>0,54</w:t>
            </w:r>
          </w:p>
        </w:tc>
      </w:tr>
      <w:tr w:rsidR="00230F35" w:rsidRPr="00937C8B" w14:paraId="188A59A1" w14:textId="77777777" w:rsidTr="00935676">
        <w:trPr>
          <w:jc w:val="center"/>
        </w:trPr>
        <w:tc>
          <w:tcPr>
            <w:tcW w:w="3581" w:type="dxa"/>
            <w:vMerge/>
            <w:tcBorders>
              <w:top w:val="nil"/>
              <w:left w:val="nil"/>
              <w:bottom w:val="nil"/>
              <w:right w:val="nil"/>
            </w:tcBorders>
            <w:shd w:val="clear" w:color="auto" w:fill="auto"/>
          </w:tcPr>
          <w:p w14:paraId="6CACC5E9" w14:textId="77777777" w:rsidR="00230F35" w:rsidRPr="00937C8B" w:rsidRDefault="00230F35" w:rsidP="003E38D0">
            <w:pPr>
              <w:rPr>
                <w:rFonts w:ascii="Arial" w:eastAsia="Arial" w:hAnsi="Arial" w:cs="Arial"/>
                <w:sz w:val="18"/>
                <w:lang w:eastAsia="ar-SA"/>
              </w:rPr>
            </w:pPr>
          </w:p>
        </w:tc>
        <w:tc>
          <w:tcPr>
            <w:tcW w:w="1361" w:type="dxa"/>
            <w:tcBorders>
              <w:top w:val="nil"/>
              <w:left w:val="nil"/>
              <w:bottom w:val="nil"/>
              <w:right w:val="nil"/>
            </w:tcBorders>
            <w:shd w:val="clear" w:color="auto" w:fill="auto"/>
            <w:vAlign w:val="center"/>
          </w:tcPr>
          <w:p w14:paraId="3B315F13" w14:textId="77777777" w:rsidR="00230F35" w:rsidRPr="00937C8B" w:rsidRDefault="00230F35" w:rsidP="00425ADA">
            <w:pPr>
              <w:jc w:val="center"/>
              <w:rPr>
                <w:rFonts w:ascii="Arial" w:eastAsia="Arial" w:hAnsi="Arial" w:cs="Arial"/>
                <w:sz w:val="18"/>
                <w:szCs w:val="18"/>
              </w:rPr>
            </w:pPr>
            <w:r>
              <w:rPr>
                <w:rFonts w:ascii="Arial" w:hAnsi="Arial"/>
                <w:sz w:val="18"/>
                <w:szCs w:val="18"/>
              </w:rPr>
              <w:t>V/A ≥ 4</w:t>
            </w:r>
          </w:p>
        </w:tc>
        <w:tc>
          <w:tcPr>
            <w:tcW w:w="596" w:type="dxa"/>
            <w:tcBorders>
              <w:top w:val="nil"/>
              <w:left w:val="nil"/>
              <w:bottom w:val="nil"/>
              <w:right w:val="nil"/>
            </w:tcBorders>
            <w:shd w:val="clear" w:color="auto" w:fill="auto"/>
            <w:vAlign w:val="center"/>
          </w:tcPr>
          <w:p w14:paraId="7019373D" w14:textId="77777777" w:rsidR="00230F35" w:rsidRPr="00937C8B" w:rsidRDefault="00230F35" w:rsidP="00425ADA">
            <w:pPr>
              <w:pStyle w:val="CTEtabla-texto"/>
              <w:keepNext/>
              <w:rPr>
                <w:rFonts w:cs="Arial"/>
              </w:rPr>
            </w:pPr>
            <w:r>
              <w:t>1,07</w:t>
            </w:r>
          </w:p>
        </w:tc>
        <w:tc>
          <w:tcPr>
            <w:tcW w:w="596" w:type="dxa"/>
            <w:tcBorders>
              <w:top w:val="nil"/>
              <w:left w:val="nil"/>
              <w:bottom w:val="nil"/>
              <w:right w:val="nil"/>
            </w:tcBorders>
            <w:shd w:val="clear" w:color="auto" w:fill="auto"/>
            <w:vAlign w:val="center"/>
          </w:tcPr>
          <w:p w14:paraId="1269091D" w14:textId="77777777" w:rsidR="00230F35" w:rsidRPr="00937C8B" w:rsidRDefault="00230F35" w:rsidP="00425ADA">
            <w:pPr>
              <w:pStyle w:val="CTEtabla-texto"/>
              <w:keepNext/>
              <w:rPr>
                <w:rFonts w:cs="Arial"/>
              </w:rPr>
            </w:pPr>
            <w:r>
              <w:t>0,94</w:t>
            </w:r>
          </w:p>
        </w:tc>
        <w:tc>
          <w:tcPr>
            <w:tcW w:w="567" w:type="dxa"/>
            <w:tcBorders>
              <w:top w:val="nil"/>
              <w:left w:val="nil"/>
              <w:bottom w:val="nil"/>
              <w:right w:val="nil"/>
            </w:tcBorders>
            <w:shd w:val="clear" w:color="auto" w:fill="auto"/>
            <w:vAlign w:val="center"/>
          </w:tcPr>
          <w:p w14:paraId="628F4B04" w14:textId="77777777" w:rsidR="00230F35" w:rsidRPr="00937C8B" w:rsidRDefault="00230F35" w:rsidP="00425ADA">
            <w:pPr>
              <w:pStyle w:val="CTEtabla-texto"/>
              <w:keepNext/>
              <w:rPr>
                <w:rFonts w:cs="Arial"/>
              </w:rPr>
            </w:pPr>
            <w:r>
              <w:t>0,90</w:t>
            </w:r>
          </w:p>
        </w:tc>
        <w:tc>
          <w:tcPr>
            <w:tcW w:w="567" w:type="dxa"/>
            <w:tcBorders>
              <w:top w:val="nil"/>
              <w:left w:val="nil"/>
              <w:bottom w:val="nil"/>
              <w:right w:val="nil"/>
            </w:tcBorders>
            <w:shd w:val="clear" w:color="auto" w:fill="auto"/>
            <w:vAlign w:val="center"/>
          </w:tcPr>
          <w:p w14:paraId="2E3DBC1C" w14:textId="77777777" w:rsidR="00230F35" w:rsidRPr="00937C8B" w:rsidRDefault="00230F35" w:rsidP="00425ADA">
            <w:pPr>
              <w:pStyle w:val="CTEtabla-texto"/>
              <w:keepNext/>
              <w:rPr>
                <w:rFonts w:cs="Arial"/>
              </w:rPr>
            </w:pPr>
            <w:r>
              <w:t>0,81</w:t>
            </w:r>
          </w:p>
        </w:tc>
        <w:tc>
          <w:tcPr>
            <w:tcW w:w="567" w:type="dxa"/>
            <w:tcBorders>
              <w:top w:val="nil"/>
              <w:left w:val="nil"/>
              <w:bottom w:val="nil"/>
              <w:right w:val="nil"/>
            </w:tcBorders>
            <w:shd w:val="clear" w:color="auto" w:fill="auto"/>
            <w:vAlign w:val="center"/>
          </w:tcPr>
          <w:p w14:paraId="116647FB" w14:textId="77777777" w:rsidR="00230F35" w:rsidRPr="00937C8B" w:rsidRDefault="00230F35" w:rsidP="00425ADA">
            <w:pPr>
              <w:pStyle w:val="CTEtabla-texto"/>
              <w:keepNext/>
              <w:rPr>
                <w:rFonts w:cs="Arial"/>
              </w:rPr>
            </w:pPr>
            <w:r>
              <w:t>0,70</w:t>
            </w:r>
          </w:p>
        </w:tc>
        <w:tc>
          <w:tcPr>
            <w:tcW w:w="566" w:type="dxa"/>
            <w:tcBorders>
              <w:top w:val="nil"/>
              <w:left w:val="nil"/>
              <w:bottom w:val="nil"/>
              <w:right w:val="nil"/>
            </w:tcBorders>
            <w:shd w:val="clear" w:color="auto" w:fill="auto"/>
            <w:vAlign w:val="center"/>
          </w:tcPr>
          <w:p w14:paraId="1BE41871" w14:textId="77777777" w:rsidR="00230F35" w:rsidRPr="00937C8B" w:rsidRDefault="00230F35" w:rsidP="00425ADA">
            <w:pPr>
              <w:pStyle w:val="CTEtabla-texto"/>
              <w:keepNext/>
              <w:rPr>
                <w:rFonts w:cs="Arial"/>
              </w:rPr>
            </w:pPr>
            <w:r>
              <w:t>0,62</w:t>
            </w:r>
          </w:p>
        </w:tc>
      </w:tr>
      <w:tr w:rsidR="00230F35" w:rsidRPr="00937C8B" w14:paraId="314BB5CE" w14:textId="77777777" w:rsidTr="00935676">
        <w:trPr>
          <w:jc w:val="center"/>
        </w:trPr>
        <w:tc>
          <w:tcPr>
            <w:tcW w:w="8401" w:type="dxa"/>
            <w:gridSpan w:val="8"/>
            <w:tcBorders>
              <w:top w:val="nil"/>
              <w:left w:val="nil"/>
              <w:bottom w:val="nil"/>
              <w:right w:val="nil"/>
            </w:tcBorders>
            <w:shd w:val="clear" w:color="auto" w:fill="auto"/>
            <w:vAlign w:val="center"/>
          </w:tcPr>
          <w:p w14:paraId="0E9D4045" w14:textId="77777777" w:rsidR="00230F35" w:rsidRPr="00937C8B" w:rsidRDefault="00230F35" w:rsidP="00425ADA">
            <w:pPr>
              <w:pStyle w:val="CTETabla-nota"/>
              <w:ind w:left="0" w:firstLine="0"/>
            </w:pPr>
            <w:r>
              <w:t>Les valeurs limites des compacités intermédiaires (1&lt;V/A&lt;4) se déduisent par interpolation.</w:t>
            </w:r>
          </w:p>
          <w:p w14:paraId="41B7552F" w14:textId="3B36CDBC" w:rsidR="00230F35" w:rsidRPr="00937C8B" w:rsidRDefault="00230F35" w:rsidP="00425ADA">
            <w:pPr>
              <w:pStyle w:val="CTETabla-nota"/>
              <w:ind w:left="0" w:firstLine="0"/>
            </w:pPr>
            <w:r>
              <w:t>Dans le cas d</w:t>
            </w:r>
            <w:r w:rsidR="00EA7588">
              <w:t>’</w:t>
            </w:r>
            <w:r>
              <w:t>extensions, les valeurs limites ne s</w:t>
            </w:r>
            <w:r w:rsidR="00EA7588">
              <w:t>’</w:t>
            </w:r>
            <w:r>
              <w:t>appliquent que dans le cas où la surface ou le volume construit augmenterait de plus de 10</w:t>
            </w:r>
            <w:r w:rsidR="00EA7588">
              <w:t> </w:t>
            </w:r>
            <w:r>
              <w:t>%.</w:t>
            </w:r>
          </w:p>
        </w:tc>
      </w:tr>
    </w:tbl>
    <w:p w14:paraId="408A6F7C" w14:textId="77777777" w:rsidR="00230F35" w:rsidRPr="00937C8B" w:rsidRDefault="00230F35" w:rsidP="00230F35">
      <w:pPr>
        <w:pStyle w:val="CTETabla-nota"/>
        <w:ind w:left="567" w:firstLine="0"/>
        <w:rPr>
          <w:i/>
          <w:strike/>
          <w:sz w:val="18"/>
          <w:lang w:eastAsia="ar-SA" w:bidi="ar-SA"/>
        </w:rPr>
      </w:pPr>
    </w:p>
    <w:p w14:paraId="19E3C51C" w14:textId="683F3899" w:rsidR="00230F35" w:rsidRPr="00937C8B" w:rsidRDefault="00230F35" w:rsidP="00D27646">
      <w:pPr>
        <w:pStyle w:val="CTENumeracion"/>
        <w:keepNext/>
        <w:spacing w:before="120"/>
        <w:rPr>
          <w:rFonts w:cs="Arial"/>
          <w:sz w:val="22"/>
          <w:szCs w:val="22"/>
        </w:rPr>
      </w:pPr>
      <w:r>
        <w:rPr>
          <w:sz w:val="22"/>
          <w:szCs w:val="22"/>
        </w:rPr>
        <w:lastRenderedPageBreak/>
        <w:t>4</w:t>
      </w:r>
      <w:r>
        <w:rPr>
          <w:sz w:val="22"/>
          <w:szCs w:val="22"/>
        </w:rPr>
        <w:tab/>
        <w:t xml:space="preserve">Le </w:t>
      </w:r>
      <w:r>
        <w:rPr>
          <w:i/>
          <w:iCs/>
          <w:sz w:val="22"/>
          <w:szCs w:val="22"/>
        </w:rPr>
        <w:t>coefficient global de transmission de chaleur à travers l’enceinte thermique</w:t>
      </w:r>
      <w:r>
        <w:rPr>
          <w:sz w:val="22"/>
          <w:szCs w:val="22"/>
        </w:rPr>
        <w:t xml:space="preserve"> (K) d’un bâtiment, ou d’une partie d</w:t>
      </w:r>
      <w:r w:rsidR="00EA7588">
        <w:rPr>
          <w:sz w:val="22"/>
          <w:szCs w:val="22"/>
        </w:rPr>
        <w:t>’</w:t>
      </w:r>
      <w:r>
        <w:rPr>
          <w:sz w:val="22"/>
          <w:szCs w:val="22"/>
        </w:rPr>
        <w:t>un bâtiment, hors usage résidentiel privé, doit rester inférieur à la valeur limite (</w:t>
      </w:r>
      <w:r>
        <w:rPr>
          <w:i/>
          <w:iCs/>
          <w:sz w:val="22"/>
          <w:szCs w:val="22"/>
        </w:rPr>
        <w:t>K</w:t>
      </w:r>
      <w:r>
        <w:rPr>
          <w:i/>
          <w:iCs/>
          <w:sz w:val="22"/>
          <w:szCs w:val="22"/>
          <w:vertAlign w:val="subscript"/>
        </w:rPr>
        <w:t>lim</w:t>
      </w:r>
      <w:r>
        <w:rPr>
          <w:sz w:val="22"/>
          <w:szCs w:val="22"/>
        </w:rPr>
        <w:t>) donnée par le tableau 3.1.1.c-HE1:</w:t>
      </w:r>
    </w:p>
    <w:p w14:paraId="520D8D93" w14:textId="77777777" w:rsidR="00230F35" w:rsidRPr="00937C8B" w:rsidRDefault="00230F35" w:rsidP="00D27646">
      <w:pPr>
        <w:pStyle w:val="CTEtabla-Titulo"/>
        <w:spacing w:before="360" w:after="120" w:line="11" w:lineRule="atLeast"/>
      </w:pPr>
      <w:r>
        <w:t>Tableau 3.1.1.c - HE1 Valeur limite K</w:t>
      </w:r>
      <w:r>
        <w:rPr>
          <w:iCs/>
          <w:vertAlign w:val="subscript"/>
        </w:rPr>
        <w:t>lim</w:t>
      </w:r>
      <w:r>
        <w:t xml:space="preserve"> [W/m²K] hors usage résidentiel privé</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3" w:type="dxa"/>
        </w:tblCellMar>
        <w:tblLook w:val="04A0" w:firstRow="1" w:lastRow="0" w:firstColumn="1" w:lastColumn="0" w:noHBand="0" w:noVBand="1"/>
      </w:tblPr>
      <w:tblGrid>
        <w:gridCol w:w="3503"/>
        <w:gridCol w:w="1349"/>
        <w:gridCol w:w="592"/>
        <w:gridCol w:w="593"/>
        <w:gridCol w:w="582"/>
        <w:gridCol w:w="582"/>
        <w:gridCol w:w="582"/>
        <w:gridCol w:w="582"/>
      </w:tblGrid>
      <w:tr w:rsidR="00230F35" w:rsidRPr="00937C8B" w14:paraId="7A4B1818" w14:textId="77777777" w:rsidTr="00935676">
        <w:trPr>
          <w:jc w:val="center"/>
        </w:trPr>
        <w:tc>
          <w:tcPr>
            <w:tcW w:w="3559" w:type="dxa"/>
            <w:vMerge w:val="restart"/>
            <w:tcBorders>
              <w:top w:val="nil"/>
              <w:left w:val="nil"/>
              <w:right w:val="nil"/>
            </w:tcBorders>
            <w:shd w:val="clear" w:color="auto" w:fill="auto"/>
          </w:tcPr>
          <w:p w14:paraId="6CFD2867" w14:textId="77777777" w:rsidR="00230F35" w:rsidRPr="00937C8B" w:rsidRDefault="00230F35" w:rsidP="00D27646">
            <w:pPr>
              <w:pStyle w:val="CTEtabla-texto"/>
              <w:keepNext/>
              <w:rPr>
                <w:rFonts w:cs="Arial"/>
              </w:rPr>
            </w:pPr>
          </w:p>
        </w:tc>
        <w:tc>
          <w:tcPr>
            <w:tcW w:w="1354" w:type="dxa"/>
            <w:vMerge w:val="restart"/>
            <w:tcBorders>
              <w:top w:val="nil"/>
              <w:left w:val="nil"/>
              <w:bottom w:val="single" w:sz="4" w:space="0" w:color="auto"/>
              <w:right w:val="nil"/>
            </w:tcBorders>
            <w:shd w:val="clear" w:color="auto" w:fill="auto"/>
          </w:tcPr>
          <w:p w14:paraId="4703D5C1" w14:textId="77777777" w:rsidR="00230F35" w:rsidRPr="00937C8B" w:rsidRDefault="00230F35" w:rsidP="00D27646">
            <w:pPr>
              <w:pStyle w:val="CTEtabla-texto"/>
              <w:keepNext/>
              <w:numPr>
                <w:ilvl w:val="0"/>
                <w:numId w:val="6"/>
              </w:numPr>
              <w:rPr>
                <w:rFonts w:cs="Arial"/>
                <w:b/>
                <w:bCs/>
              </w:rPr>
            </w:pPr>
            <w:r>
              <w:rPr>
                <w:b/>
                <w:bCs/>
              </w:rPr>
              <w:t>Compacité</w:t>
            </w:r>
          </w:p>
          <w:p w14:paraId="792C1AF6" w14:textId="77777777" w:rsidR="00230F35" w:rsidRPr="00937C8B" w:rsidRDefault="00230F35" w:rsidP="00D27646">
            <w:pPr>
              <w:pStyle w:val="CTEtabla-texto"/>
              <w:keepNext/>
              <w:numPr>
                <w:ilvl w:val="0"/>
                <w:numId w:val="6"/>
              </w:numPr>
              <w:rPr>
                <w:rFonts w:cs="Arial"/>
              </w:rPr>
            </w:pPr>
            <w:r>
              <w:rPr>
                <w:b/>
                <w:bCs/>
              </w:rPr>
              <w:t>V/A [m³/m</w:t>
            </w:r>
            <w:r>
              <w:rPr>
                <w:b/>
                <w:bCs/>
                <w:vertAlign w:val="superscript"/>
              </w:rPr>
              <w:t>2</w:t>
            </w:r>
            <w:r>
              <w:rPr>
                <w:b/>
                <w:bCs/>
              </w:rPr>
              <w:t>]</w:t>
            </w:r>
          </w:p>
        </w:tc>
        <w:tc>
          <w:tcPr>
            <w:tcW w:w="3451" w:type="dxa"/>
            <w:gridSpan w:val="6"/>
            <w:tcBorders>
              <w:top w:val="nil"/>
              <w:left w:val="nil"/>
              <w:bottom w:val="nil"/>
              <w:right w:val="nil"/>
            </w:tcBorders>
            <w:shd w:val="clear" w:color="auto" w:fill="auto"/>
            <w:vAlign w:val="center"/>
          </w:tcPr>
          <w:p w14:paraId="2C134502" w14:textId="77777777" w:rsidR="00230F35" w:rsidRPr="00937C8B" w:rsidRDefault="00230F35" w:rsidP="00D27646">
            <w:pPr>
              <w:keepNext/>
              <w:jc w:val="center"/>
              <w:rPr>
                <w:rFonts w:ascii="Arial" w:hAnsi="Arial" w:cs="Arial"/>
              </w:rPr>
            </w:pPr>
            <w:r>
              <w:rPr>
                <w:rFonts w:ascii="Arial" w:hAnsi="Arial"/>
                <w:b/>
                <w:sz w:val="18"/>
              </w:rPr>
              <w:t>Zone climatique en hiver</w:t>
            </w:r>
          </w:p>
        </w:tc>
      </w:tr>
      <w:tr w:rsidR="00230F35" w:rsidRPr="00937C8B" w14:paraId="285570A7" w14:textId="77777777" w:rsidTr="00935676">
        <w:trPr>
          <w:jc w:val="center"/>
        </w:trPr>
        <w:tc>
          <w:tcPr>
            <w:tcW w:w="3559" w:type="dxa"/>
            <w:vMerge/>
            <w:tcBorders>
              <w:left w:val="nil"/>
              <w:bottom w:val="single" w:sz="4" w:space="0" w:color="auto"/>
              <w:right w:val="nil"/>
            </w:tcBorders>
            <w:shd w:val="clear" w:color="auto" w:fill="auto"/>
          </w:tcPr>
          <w:p w14:paraId="2DE83DAA" w14:textId="77777777" w:rsidR="00230F35" w:rsidRPr="00937C8B" w:rsidRDefault="00230F35" w:rsidP="00D27646">
            <w:pPr>
              <w:pStyle w:val="CTEtabla-texto"/>
              <w:keepNext/>
              <w:rPr>
                <w:rFonts w:cs="Arial"/>
              </w:rPr>
            </w:pPr>
          </w:p>
        </w:tc>
        <w:tc>
          <w:tcPr>
            <w:tcW w:w="1354" w:type="dxa"/>
            <w:vMerge/>
            <w:tcBorders>
              <w:top w:val="nil"/>
              <w:left w:val="nil"/>
              <w:bottom w:val="single" w:sz="4" w:space="0" w:color="auto"/>
              <w:right w:val="nil"/>
            </w:tcBorders>
            <w:shd w:val="clear" w:color="auto" w:fill="auto"/>
            <w:vAlign w:val="center"/>
          </w:tcPr>
          <w:p w14:paraId="419280CB" w14:textId="77777777" w:rsidR="00230F35" w:rsidRPr="00937C8B" w:rsidRDefault="00230F35" w:rsidP="00D27646">
            <w:pPr>
              <w:pStyle w:val="CTEtabla-texto"/>
              <w:keepNext/>
              <w:rPr>
                <w:rFonts w:cs="Arial"/>
              </w:rPr>
            </w:pPr>
          </w:p>
        </w:tc>
        <w:tc>
          <w:tcPr>
            <w:tcW w:w="592" w:type="dxa"/>
            <w:tcBorders>
              <w:top w:val="nil"/>
              <w:left w:val="nil"/>
              <w:bottom w:val="single" w:sz="4" w:space="0" w:color="auto"/>
              <w:right w:val="nil"/>
            </w:tcBorders>
            <w:shd w:val="clear" w:color="auto" w:fill="auto"/>
            <w:vAlign w:val="center"/>
          </w:tcPr>
          <w:p w14:paraId="2C63C403" w14:textId="77777777" w:rsidR="00230F35" w:rsidRPr="00937C8B" w:rsidRDefault="00230F35" w:rsidP="00D27646">
            <w:pPr>
              <w:pStyle w:val="CTEtabla-texto"/>
              <w:keepNext/>
              <w:rPr>
                <w:rFonts w:cs="Arial"/>
                <w:b/>
              </w:rPr>
            </w:pPr>
            <w:r>
              <w:rPr>
                <w:b/>
              </w:rPr>
              <w:t>α</w:t>
            </w:r>
          </w:p>
        </w:tc>
        <w:tc>
          <w:tcPr>
            <w:tcW w:w="593" w:type="dxa"/>
            <w:tcBorders>
              <w:top w:val="nil"/>
              <w:left w:val="nil"/>
              <w:bottom w:val="single" w:sz="4" w:space="0" w:color="auto"/>
              <w:right w:val="nil"/>
            </w:tcBorders>
            <w:shd w:val="clear" w:color="auto" w:fill="auto"/>
            <w:vAlign w:val="center"/>
          </w:tcPr>
          <w:p w14:paraId="0A637FE2" w14:textId="77777777" w:rsidR="00230F35" w:rsidRPr="00937C8B" w:rsidRDefault="00230F35" w:rsidP="00D27646">
            <w:pPr>
              <w:pStyle w:val="CTEtabla-texto"/>
              <w:keepNext/>
              <w:rPr>
                <w:rFonts w:cs="Arial"/>
                <w:b/>
              </w:rPr>
            </w:pPr>
            <w:r>
              <w:rPr>
                <w:b/>
              </w:rPr>
              <w:t>A</w:t>
            </w:r>
          </w:p>
        </w:tc>
        <w:tc>
          <w:tcPr>
            <w:tcW w:w="568" w:type="dxa"/>
            <w:tcBorders>
              <w:top w:val="nil"/>
              <w:left w:val="nil"/>
              <w:bottom w:val="single" w:sz="4" w:space="0" w:color="auto"/>
              <w:right w:val="nil"/>
            </w:tcBorders>
            <w:shd w:val="clear" w:color="auto" w:fill="auto"/>
            <w:vAlign w:val="center"/>
          </w:tcPr>
          <w:p w14:paraId="262DBDF2" w14:textId="77777777" w:rsidR="00230F35" w:rsidRPr="00937C8B" w:rsidRDefault="00230F35" w:rsidP="00D27646">
            <w:pPr>
              <w:pStyle w:val="CTEtabla-texto"/>
              <w:keepNext/>
              <w:rPr>
                <w:rFonts w:cs="Arial"/>
                <w:b/>
              </w:rPr>
            </w:pPr>
            <w:r>
              <w:rPr>
                <w:b/>
              </w:rPr>
              <w:t>B</w:t>
            </w:r>
          </w:p>
        </w:tc>
        <w:tc>
          <w:tcPr>
            <w:tcW w:w="568" w:type="dxa"/>
            <w:tcBorders>
              <w:top w:val="nil"/>
              <w:left w:val="nil"/>
              <w:bottom w:val="single" w:sz="4" w:space="0" w:color="auto"/>
              <w:right w:val="nil"/>
            </w:tcBorders>
            <w:shd w:val="clear" w:color="auto" w:fill="auto"/>
            <w:vAlign w:val="center"/>
          </w:tcPr>
          <w:p w14:paraId="43DCB346" w14:textId="77777777" w:rsidR="00230F35" w:rsidRPr="00937C8B" w:rsidRDefault="00230F35" w:rsidP="00D27646">
            <w:pPr>
              <w:pStyle w:val="CTEtabla-texto"/>
              <w:keepNext/>
              <w:rPr>
                <w:rFonts w:cs="Arial"/>
                <w:b/>
              </w:rPr>
            </w:pPr>
            <w:r>
              <w:rPr>
                <w:b/>
              </w:rPr>
              <w:t>C</w:t>
            </w:r>
          </w:p>
        </w:tc>
        <w:tc>
          <w:tcPr>
            <w:tcW w:w="567" w:type="dxa"/>
            <w:tcBorders>
              <w:top w:val="nil"/>
              <w:left w:val="nil"/>
              <w:bottom w:val="single" w:sz="4" w:space="0" w:color="auto"/>
              <w:right w:val="nil"/>
            </w:tcBorders>
            <w:shd w:val="clear" w:color="auto" w:fill="auto"/>
            <w:vAlign w:val="center"/>
          </w:tcPr>
          <w:p w14:paraId="04D64D6A" w14:textId="77777777" w:rsidR="00230F35" w:rsidRPr="00937C8B" w:rsidRDefault="00230F35" w:rsidP="00D27646">
            <w:pPr>
              <w:pStyle w:val="CTEtabla-texto"/>
              <w:keepNext/>
              <w:rPr>
                <w:rFonts w:cs="Arial"/>
                <w:b/>
              </w:rPr>
            </w:pPr>
            <w:r>
              <w:rPr>
                <w:b/>
              </w:rPr>
              <w:t>D</w:t>
            </w:r>
          </w:p>
        </w:tc>
        <w:tc>
          <w:tcPr>
            <w:tcW w:w="563" w:type="dxa"/>
            <w:tcBorders>
              <w:top w:val="nil"/>
              <w:left w:val="nil"/>
              <w:bottom w:val="single" w:sz="4" w:space="0" w:color="auto"/>
              <w:right w:val="nil"/>
            </w:tcBorders>
            <w:shd w:val="clear" w:color="auto" w:fill="auto"/>
            <w:vAlign w:val="center"/>
          </w:tcPr>
          <w:p w14:paraId="2C648BD7" w14:textId="77777777" w:rsidR="00230F35" w:rsidRPr="00937C8B" w:rsidRDefault="00230F35" w:rsidP="00D27646">
            <w:pPr>
              <w:pStyle w:val="CTEtabla-texto"/>
              <w:keepNext/>
              <w:rPr>
                <w:rFonts w:cs="Arial"/>
                <w:b/>
              </w:rPr>
            </w:pPr>
            <w:r>
              <w:rPr>
                <w:b/>
              </w:rPr>
              <w:t>E</w:t>
            </w:r>
          </w:p>
        </w:tc>
      </w:tr>
      <w:tr w:rsidR="00230F35" w:rsidRPr="00937C8B" w14:paraId="734F2446" w14:textId="77777777" w:rsidTr="00935676">
        <w:trPr>
          <w:jc w:val="center"/>
        </w:trPr>
        <w:tc>
          <w:tcPr>
            <w:tcW w:w="3559" w:type="dxa"/>
            <w:vMerge w:val="restart"/>
            <w:tcBorders>
              <w:top w:val="single" w:sz="4" w:space="0" w:color="auto"/>
              <w:left w:val="nil"/>
              <w:bottom w:val="nil"/>
              <w:right w:val="nil"/>
            </w:tcBorders>
            <w:shd w:val="clear" w:color="auto" w:fill="auto"/>
            <w:vAlign w:val="center"/>
          </w:tcPr>
          <w:p w14:paraId="70CF7D53" w14:textId="21A489C1" w:rsidR="00230F35" w:rsidRPr="00937C8B" w:rsidRDefault="00230F35" w:rsidP="00425ADA">
            <w:pPr>
              <w:pStyle w:val="CTEtabla-texto"/>
              <w:keepNext/>
              <w:jc w:val="left"/>
              <w:rPr>
                <w:rFonts w:cs="Arial"/>
                <w:b/>
                <w:szCs w:val="18"/>
              </w:rPr>
            </w:pPr>
            <w:r>
              <w:rPr>
                <w:b/>
                <w:szCs w:val="18"/>
              </w:rPr>
              <w:t>Bâtiments neufs</w:t>
            </w:r>
          </w:p>
          <w:p w14:paraId="6307BE01" w14:textId="40456FAE" w:rsidR="00230F35" w:rsidRPr="00937C8B" w:rsidRDefault="00230F35" w:rsidP="00425ADA">
            <w:pPr>
              <w:pStyle w:val="CTEtabla-texto"/>
              <w:keepNext/>
              <w:jc w:val="left"/>
              <w:rPr>
                <w:rFonts w:cs="Arial"/>
                <w:b/>
                <w:szCs w:val="18"/>
              </w:rPr>
            </w:pPr>
            <w:r>
              <w:rPr>
                <w:b/>
                <w:szCs w:val="18"/>
              </w:rPr>
              <w:t>Extensions</w:t>
            </w:r>
          </w:p>
          <w:p w14:paraId="3B111916" w14:textId="159598EB" w:rsidR="00230F35" w:rsidRPr="00937C8B" w:rsidRDefault="00230F35" w:rsidP="00425ADA">
            <w:pPr>
              <w:pStyle w:val="CTEtabla-texto"/>
              <w:keepNext/>
              <w:jc w:val="left"/>
              <w:rPr>
                <w:rFonts w:cs="Arial"/>
                <w:b/>
                <w:szCs w:val="18"/>
              </w:rPr>
            </w:pPr>
            <w:r>
              <w:rPr>
                <w:b/>
                <w:szCs w:val="18"/>
              </w:rPr>
              <w:t>Changements d</w:t>
            </w:r>
            <w:r w:rsidR="00EA7588">
              <w:rPr>
                <w:b/>
                <w:szCs w:val="18"/>
              </w:rPr>
              <w:t>’</w:t>
            </w:r>
            <w:r>
              <w:rPr>
                <w:b/>
                <w:szCs w:val="18"/>
              </w:rPr>
              <w:t>usage</w:t>
            </w:r>
          </w:p>
          <w:p w14:paraId="19FC29FA" w14:textId="407F879A" w:rsidR="00230F35" w:rsidRPr="00937C8B" w:rsidRDefault="00230F35" w:rsidP="00425ADA">
            <w:pPr>
              <w:pStyle w:val="CTEtabla-texto"/>
              <w:keepNext/>
              <w:jc w:val="both"/>
              <w:rPr>
                <w:rFonts w:cs="Arial"/>
              </w:rPr>
            </w:pPr>
            <w:r>
              <w:rPr>
                <w:b/>
                <w:szCs w:val="18"/>
              </w:rPr>
              <w:t>Intervention impliquant la rénovation de plus de 25</w:t>
            </w:r>
            <w:r w:rsidR="00EA7588">
              <w:rPr>
                <w:b/>
                <w:szCs w:val="18"/>
              </w:rPr>
              <w:t> </w:t>
            </w:r>
            <w:r>
              <w:rPr>
                <w:b/>
                <w:szCs w:val="18"/>
              </w:rPr>
              <w:t>% de la surface totale de l’</w:t>
            </w:r>
            <w:r>
              <w:rPr>
                <w:b/>
                <w:i/>
                <w:iCs/>
                <w:szCs w:val="18"/>
              </w:rPr>
              <w:t>enceinte thermique</w:t>
            </w:r>
            <w:r>
              <w:rPr>
                <w:b/>
                <w:szCs w:val="18"/>
              </w:rPr>
              <w:t xml:space="preserve"> finale du bâtiment</w:t>
            </w:r>
          </w:p>
        </w:tc>
        <w:tc>
          <w:tcPr>
            <w:tcW w:w="1354" w:type="dxa"/>
            <w:tcBorders>
              <w:top w:val="single" w:sz="4" w:space="0" w:color="auto"/>
              <w:left w:val="nil"/>
              <w:bottom w:val="nil"/>
              <w:right w:val="nil"/>
            </w:tcBorders>
            <w:shd w:val="clear" w:color="auto" w:fill="auto"/>
            <w:vAlign w:val="center"/>
          </w:tcPr>
          <w:p w14:paraId="79E30C25" w14:textId="77777777" w:rsidR="00230F35" w:rsidRPr="00937C8B" w:rsidRDefault="00230F35" w:rsidP="00425ADA">
            <w:pPr>
              <w:pStyle w:val="CTEtabla-texto"/>
              <w:keepNext/>
              <w:rPr>
                <w:rFonts w:cs="Arial"/>
                <w:szCs w:val="18"/>
              </w:rPr>
            </w:pPr>
            <w:r>
              <w:t>V/A ≤ 1</w:t>
            </w:r>
          </w:p>
        </w:tc>
        <w:tc>
          <w:tcPr>
            <w:tcW w:w="592" w:type="dxa"/>
            <w:tcBorders>
              <w:top w:val="single" w:sz="4" w:space="0" w:color="auto"/>
              <w:left w:val="nil"/>
              <w:bottom w:val="nil"/>
              <w:right w:val="nil"/>
            </w:tcBorders>
            <w:shd w:val="clear" w:color="auto" w:fill="FFFFFF"/>
            <w:vAlign w:val="center"/>
          </w:tcPr>
          <w:p w14:paraId="1655EDB7" w14:textId="77777777" w:rsidR="00230F35" w:rsidRPr="00937C8B" w:rsidRDefault="00230F35" w:rsidP="00425ADA">
            <w:pPr>
              <w:pStyle w:val="CTEtabla-texto"/>
              <w:keepNext/>
              <w:rPr>
                <w:rFonts w:cs="Arial"/>
              </w:rPr>
            </w:pPr>
            <w:r>
              <w:t>0,96</w:t>
            </w:r>
          </w:p>
        </w:tc>
        <w:tc>
          <w:tcPr>
            <w:tcW w:w="593" w:type="dxa"/>
            <w:tcBorders>
              <w:top w:val="single" w:sz="4" w:space="0" w:color="auto"/>
              <w:left w:val="nil"/>
              <w:bottom w:val="nil"/>
              <w:right w:val="nil"/>
            </w:tcBorders>
            <w:shd w:val="clear" w:color="auto" w:fill="FFFFFF"/>
            <w:vAlign w:val="center"/>
          </w:tcPr>
          <w:p w14:paraId="798D4C22" w14:textId="77777777" w:rsidR="00230F35" w:rsidRPr="00937C8B" w:rsidRDefault="00230F35" w:rsidP="00425ADA">
            <w:pPr>
              <w:pStyle w:val="CTEtabla-texto"/>
              <w:keepNext/>
              <w:rPr>
                <w:rFonts w:cs="Arial"/>
              </w:rPr>
            </w:pPr>
            <w:r>
              <w:t>0,81</w:t>
            </w:r>
          </w:p>
        </w:tc>
        <w:tc>
          <w:tcPr>
            <w:tcW w:w="568" w:type="dxa"/>
            <w:tcBorders>
              <w:top w:val="single" w:sz="4" w:space="0" w:color="auto"/>
              <w:left w:val="nil"/>
              <w:bottom w:val="nil"/>
              <w:right w:val="nil"/>
            </w:tcBorders>
            <w:shd w:val="clear" w:color="auto" w:fill="FFFFFF"/>
            <w:vAlign w:val="center"/>
          </w:tcPr>
          <w:p w14:paraId="3CAEBF92" w14:textId="77777777" w:rsidR="00230F35" w:rsidRPr="00937C8B" w:rsidRDefault="00230F35" w:rsidP="00425ADA">
            <w:pPr>
              <w:pStyle w:val="CTEtabla-texto"/>
              <w:keepNext/>
              <w:rPr>
                <w:rFonts w:cs="Arial"/>
              </w:rPr>
            </w:pPr>
            <w:r>
              <w:t>0,76</w:t>
            </w:r>
          </w:p>
        </w:tc>
        <w:tc>
          <w:tcPr>
            <w:tcW w:w="568" w:type="dxa"/>
            <w:tcBorders>
              <w:top w:val="single" w:sz="4" w:space="0" w:color="auto"/>
              <w:left w:val="nil"/>
              <w:bottom w:val="nil"/>
              <w:right w:val="nil"/>
            </w:tcBorders>
            <w:shd w:val="clear" w:color="auto" w:fill="FFFFFF"/>
            <w:vAlign w:val="center"/>
          </w:tcPr>
          <w:p w14:paraId="16F80A66" w14:textId="77777777" w:rsidR="00230F35" w:rsidRPr="00937C8B" w:rsidRDefault="00230F35" w:rsidP="00425ADA">
            <w:pPr>
              <w:pStyle w:val="CTEtabla-texto"/>
              <w:keepNext/>
              <w:rPr>
                <w:rFonts w:cs="Arial"/>
              </w:rPr>
            </w:pPr>
            <w:r>
              <w:t>0,65</w:t>
            </w:r>
          </w:p>
        </w:tc>
        <w:tc>
          <w:tcPr>
            <w:tcW w:w="567" w:type="dxa"/>
            <w:tcBorders>
              <w:top w:val="single" w:sz="4" w:space="0" w:color="auto"/>
              <w:left w:val="nil"/>
              <w:bottom w:val="nil"/>
              <w:right w:val="nil"/>
            </w:tcBorders>
            <w:shd w:val="clear" w:color="auto" w:fill="FFFFFF"/>
            <w:vAlign w:val="center"/>
          </w:tcPr>
          <w:p w14:paraId="44B3B409" w14:textId="77777777" w:rsidR="00230F35" w:rsidRPr="00937C8B" w:rsidRDefault="00230F35" w:rsidP="00425ADA">
            <w:pPr>
              <w:pStyle w:val="CTEtabla-texto"/>
              <w:keepNext/>
              <w:rPr>
                <w:rFonts w:cs="Arial"/>
              </w:rPr>
            </w:pPr>
            <w:r>
              <w:t>0,54</w:t>
            </w:r>
          </w:p>
        </w:tc>
        <w:tc>
          <w:tcPr>
            <w:tcW w:w="563" w:type="dxa"/>
            <w:tcBorders>
              <w:top w:val="single" w:sz="4" w:space="0" w:color="auto"/>
              <w:left w:val="nil"/>
              <w:bottom w:val="nil"/>
              <w:right w:val="nil"/>
            </w:tcBorders>
            <w:shd w:val="clear" w:color="auto" w:fill="FFFFFF"/>
            <w:vAlign w:val="center"/>
          </w:tcPr>
          <w:p w14:paraId="3D0E93F6" w14:textId="77777777" w:rsidR="00230F35" w:rsidRPr="00937C8B" w:rsidRDefault="00230F35" w:rsidP="00425ADA">
            <w:pPr>
              <w:pStyle w:val="CTEtabla-texto"/>
              <w:keepNext/>
              <w:rPr>
                <w:rFonts w:cs="Arial"/>
              </w:rPr>
            </w:pPr>
            <w:r>
              <w:t>0,43</w:t>
            </w:r>
          </w:p>
        </w:tc>
      </w:tr>
      <w:tr w:rsidR="00230F35" w:rsidRPr="00937C8B" w14:paraId="5A51EBFC" w14:textId="77777777" w:rsidTr="00935676">
        <w:trPr>
          <w:jc w:val="center"/>
        </w:trPr>
        <w:tc>
          <w:tcPr>
            <w:tcW w:w="3559" w:type="dxa"/>
            <w:vMerge/>
            <w:tcBorders>
              <w:top w:val="nil"/>
              <w:left w:val="nil"/>
              <w:bottom w:val="nil"/>
              <w:right w:val="nil"/>
            </w:tcBorders>
            <w:shd w:val="clear" w:color="auto" w:fill="auto"/>
            <w:vAlign w:val="center"/>
          </w:tcPr>
          <w:p w14:paraId="3E2F7E73" w14:textId="77777777" w:rsidR="00230F35" w:rsidRPr="00937C8B" w:rsidRDefault="00230F35" w:rsidP="00425ADA">
            <w:pPr>
              <w:jc w:val="center"/>
              <w:rPr>
                <w:rFonts w:ascii="Arial" w:eastAsia="Arial" w:hAnsi="Arial" w:cs="Arial"/>
                <w:b/>
                <w:sz w:val="18"/>
                <w:lang w:eastAsia="ar-SA"/>
              </w:rPr>
            </w:pPr>
          </w:p>
        </w:tc>
        <w:tc>
          <w:tcPr>
            <w:tcW w:w="1354" w:type="dxa"/>
            <w:tcBorders>
              <w:top w:val="nil"/>
              <w:left w:val="nil"/>
              <w:bottom w:val="nil"/>
              <w:right w:val="nil"/>
            </w:tcBorders>
            <w:shd w:val="clear" w:color="auto" w:fill="auto"/>
            <w:vAlign w:val="center"/>
          </w:tcPr>
          <w:p w14:paraId="3F12E6B5" w14:textId="77777777" w:rsidR="00230F35" w:rsidRPr="00937C8B" w:rsidRDefault="00230F35" w:rsidP="00425ADA">
            <w:pPr>
              <w:pStyle w:val="CTEtabla-texto"/>
              <w:keepNext/>
              <w:rPr>
                <w:rFonts w:cs="Arial"/>
                <w:szCs w:val="18"/>
              </w:rPr>
            </w:pPr>
            <w:r>
              <w:t>V/A ≥ 4</w:t>
            </w:r>
          </w:p>
        </w:tc>
        <w:tc>
          <w:tcPr>
            <w:tcW w:w="592" w:type="dxa"/>
            <w:tcBorders>
              <w:top w:val="nil"/>
              <w:left w:val="nil"/>
              <w:bottom w:val="nil"/>
              <w:right w:val="nil"/>
            </w:tcBorders>
            <w:shd w:val="clear" w:color="auto" w:fill="FFFFFF"/>
            <w:vAlign w:val="center"/>
          </w:tcPr>
          <w:p w14:paraId="53297AEE" w14:textId="77777777" w:rsidR="00230F35" w:rsidRPr="00937C8B" w:rsidRDefault="00230F35" w:rsidP="00425ADA">
            <w:pPr>
              <w:pStyle w:val="CTEtabla-texto"/>
              <w:keepNext/>
              <w:rPr>
                <w:rFonts w:cs="Arial"/>
              </w:rPr>
            </w:pPr>
            <w:r>
              <w:t>1,12</w:t>
            </w:r>
          </w:p>
        </w:tc>
        <w:tc>
          <w:tcPr>
            <w:tcW w:w="593" w:type="dxa"/>
            <w:tcBorders>
              <w:top w:val="nil"/>
              <w:left w:val="nil"/>
              <w:bottom w:val="nil"/>
              <w:right w:val="nil"/>
            </w:tcBorders>
            <w:shd w:val="clear" w:color="auto" w:fill="FFFFFF"/>
            <w:vAlign w:val="center"/>
          </w:tcPr>
          <w:p w14:paraId="795DD9BE" w14:textId="77777777" w:rsidR="00230F35" w:rsidRPr="00937C8B" w:rsidRDefault="00230F35" w:rsidP="00425ADA">
            <w:pPr>
              <w:pStyle w:val="CTEtabla-texto"/>
              <w:keepNext/>
              <w:rPr>
                <w:rFonts w:cs="Arial"/>
              </w:rPr>
            </w:pPr>
            <w:r>
              <w:t>0,98</w:t>
            </w:r>
          </w:p>
        </w:tc>
        <w:tc>
          <w:tcPr>
            <w:tcW w:w="568" w:type="dxa"/>
            <w:tcBorders>
              <w:top w:val="nil"/>
              <w:left w:val="nil"/>
              <w:bottom w:val="nil"/>
              <w:right w:val="nil"/>
            </w:tcBorders>
            <w:shd w:val="clear" w:color="auto" w:fill="FFFFFF"/>
            <w:vAlign w:val="center"/>
          </w:tcPr>
          <w:p w14:paraId="207753B3" w14:textId="77777777" w:rsidR="00230F35" w:rsidRPr="00937C8B" w:rsidRDefault="00230F35" w:rsidP="00425ADA">
            <w:pPr>
              <w:pStyle w:val="CTEtabla-texto"/>
              <w:keepNext/>
              <w:rPr>
                <w:rFonts w:cs="Arial"/>
              </w:rPr>
            </w:pPr>
            <w:r>
              <w:t>0,92</w:t>
            </w:r>
          </w:p>
        </w:tc>
        <w:tc>
          <w:tcPr>
            <w:tcW w:w="568" w:type="dxa"/>
            <w:tcBorders>
              <w:top w:val="nil"/>
              <w:left w:val="nil"/>
              <w:bottom w:val="nil"/>
              <w:right w:val="nil"/>
            </w:tcBorders>
            <w:shd w:val="clear" w:color="auto" w:fill="FFFFFF"/>
            <w:vAlign w:val="center"/>
          </w:tcPr>
          <w:p w14:paraId="1CD2AF4E" w14:textId="77777777" w:rsidR="00230F35" w:rsidRPr="00937C8B" w:rsidRDefault="00230F35" w:rsidP="00425ADA">
            <w:pPr>
              <w:pStyle w:val="CTEtabla-texto"/>
              <w:keepNext/>
              <w:rPr>
                <w:rFonts w:cs="Arial"/>
              </w:rPr>
            </w:pPr>
            <w:r>
              <w:t>0,82</w:t>
            </w:r>
          </w:p>
        </w:tc>
        <w:tc>
          <w:tcPr>
            <w:tcW w:w="567" w:type="dxa"/>
            <w:tcBorders>
              <w:top w:val="nil"/>
              <w:left w:val="nil"/>
              <w:bottom w:val="nil"/>
              <w:right w:val="nil"/>
            </w:tcBorders>
            <w:shd w:val="clear" w:color="auto" w:fill="FFFFFF"/>
            <w:vAlign w:val="center"/>
          </w:tcPr>
          <w:p w14:paraId="599BFC6E" w14:textId="77777777" w:rsidR="00230F35" w:rsidRPr="00937C8B" w:rsidRDefault="00230F35" w:rsidP="00425ADA">
            <w:pPr>
              <w:pStyle w:val="CTEtabla-texto"/>
              <w:keepNext/>
              <w:rPr>
                <w:rFonts w:cs="Arial"/>
              </w:rPr>
            </w:pPr>
            <w:r>
              <w:t>0,70</w:t>
            </w:r>
          </w:p>
        </w:tc>
        <w:tc>
          <w:tcPr>
            <w:tcW w:w="563" w:type="dxa"/>
            <w:tcBorders>
              <w:top w:val="nil"/>
              <w:left w:val="nil"/>
              <w:bottom w:val="nil"/>
              <w:right w:val="nil"/>
            </w:tcBorders>
            <w:shd w:val="clear" w:color="auto" w:fill="FFFFFF"/>
            <w:vAlign w:val="center"/>
          </w:tcPr>
          <w:p w14:paraId="502FF189" w14:textId="77777777" w:rsidR="00230F35" w:rsidRPr="00937C8B" w:rsidRDefault="00230F35" w:rsidP="00425ADA">
            <w:pPr>
              <w:pStyle w:val="CTEtabla-texto"/>
              <w:keepNext/>
              <w:rPr>
                <w:rFonts w:cs="Arial"/>
              </w:rPr>
            </w:pPr>
            <w:r>
              <w:t>0,59</w:t>
            </w:r>
          </w:p>
        </w:tc>
      </w:tr>
      <w:tr w:rsidR="00230F35" w:rsidRPr="00937C8B" w14:paraId="2DBB6E25" w14:textId="77777777" w:rsidTr="00935676">
        <w:trPr>
          <w:jc w:val="center"/>
        </w:trPr>
        <w:tc>
          <w:tcPr>
            <w:tcW w:w="8364" w:type="dxa"/>
            <w:gridSpan w:val="8"/>
            <w:tcBorders>
              <w:top w:val="nil"/>
              <w:left w:val="nil"/>
              <w:bottom w:val="nil"/>
              <w:right w:val="nil"/>
            </w:tcBorders>
            <w:shd w:val="clear" w:color="auto" w:fill="auto"/>
          </w:tcPr>
          <w:p w14:paraId="13D70CE0" w14:textId="77777777" w:rsidR="00230F35" w:rsidRPr="00937C8B" w:rsidRDefault="00230F35" w:rsidP="00425ADA">
            <w:pPr>
              <w:pStyle w:val="CTETabla-nota"/>
              <w:ind w:left="0" w:firstLine="0"/>
            </w:pPr>
            <w:r>
              <w:t>Les valeurs limites des compacités intermédiaires (1&lt;V/A&lt;4) se déduisent par interpolation.</w:t>
            </w:r>
          </w:p>
          <w:p w14:paraId="3C159730" w14:textId="778204C5" w:rsidR="00230F35" w:rsidRPr="00937C8B" w:rsidRDefault="00230F35" w:rsidP="00425ADA">
            <w:pPr>
              <w:pStyle w:val="CTETabla-nota"/>
              <w:ind w:left="0" w:firstLine="0"/>
            </w:pPr>
            <w:r>
              <w:t>Dans le cas d</w:t>
            </w:r>
            <w:r w:rsidR="00EA7588">
              <w:t>’</w:t>
            </w:r>
            <w:r>
              <w:t>extensions, les valeurs limites ne s</w:t>
            </w:r>
            <w:r w:rsidR="00EA7588">
              <w:t>’</w:t>
            </w:r>
            <w:r>
              <w:t>appliquent que dans le cas où la surface ou le volume construit augmenterait de plus de 10</w:t>
            </w:r>
            <w:r w:rsidR="00EA7588">
              <w:t> </w:t>
            </w:r>
            <w:r>
              <w:t>%.</w:t>
            </w:r>
          </w:p>
          <w:p w14:paraId="2355CD8D" w14:textId="77777777" w:rsidR="00230F35" w:rsidRPr="00937C8B" w:rsidRDefault="00230F35" w:rsidP="00425ADA">
            <w:pPr>
              <w:pStyle w:val="CTETabla-nota"/>
              <w:ind w:left="0" w:firstLine="0"/>
            </w:pPr>
            <w:r>
              <w:t xml:space="preserve">Les </w:t>
            </w:r>
            <w:r>
              <w:rPr>
                <w:i/>
              </w:rPr>
              <w:t>unités d’utilisation</w:t>
            </w:r>
            <w:r>
              <w:t xml:space="preserve"> avec une activité commerciale dont la compacité V/A est supérieure à 5 sont exemptées du respect des valeurs énoncées dans le tableau.</w:t>
            </w:r>
          </w:p>
        </w:tc>
      </w:tr>
    </w:tbl>
    <w:p w14:paraId="0A7D45B4" w14:textId="77777777" w:rsidR="00230F35" w:rsidRPr="00937C8B" w:rsidRDefault="00230F35" w:rsidP="00230F35">
      <w:pPr>
        <w:pStyle w:val="CTENumeracion"/>
        <w:spacing w:before="0" w:after="0"/>
        <w:rPr>
          <w:rFonts w:cs="Arial"/>
          <w:sz w:val="18"/>
          <w:szCs w:val="18"/>
        </w:rPr>
      </w:pPr>
    </w:p>
    <w:p w14:paraId="02E7D014" w14:textId="6BA07FBA" w:rsidR="00230F35" w:rsidRPr="00937C8B" w:rsidRDefault="00230F35" w:rsidP="00230F35">
      <w:pPr>
        <w:pStyle w:val="CTENumeracion"/>
        <w:spacing w:before="120"/>
        <w:rPr>
          <w:rFonts w:cs="Arial"/>
          <w:sz w:val="22"/>
          <w:szCs w:val="22"/>
        </w:rPr>
      </w:pPr>
      <w:r>
        <w:rPr>
          <w:sz w:val="22"/>
          <w:szCs w:val="22"/>
        </w:rPr>
        <w:t>5</w:t>
      </w:r>
      <w:r>
        <w:rPr>
          <w:sz w:val="22"/>
          <w:szCs w:val="22"/>
        </w:rPr>
        <w:tab/>
        <w:t>Les éléments disposant de solutions de construction conçues pour réduire la demande d</w:t>
      </w:r>
      <w:r w:rsidR="00EA7588">
        <w:rPr>
          <w:sz w:val="22"/>
          <w:szCs w:val="22"/>
        </w:rPr>
        <w:t>’</w:t>
      </w:r>
      <w:r>
        <w:rPr>
          <w:sz w:val="22"/>
          <w:szCs w:val="22"/>
        </w:rPr>
        <w:t xml:space="preserve">énergie, tels que les </w:t>
      </w:r>
      <w:r>
        <w:rPr>
          <w:i/>
          <w:iCs/>
          <w:sz w:val="22"/>
          <w:szCs w:val="22"/>
        </w:rPr>
        <w:t>serres adossées</w:t>
      </w:r>
      <w:r>
        <w:rPr>
          <w:sz w:val="22"/>
          <w:szCs w:val="22"/>
        </w:rPr>
        <w:t xml:space="preserve">, les </w:t>
      </w:r>
      <w:r>
        <w:rPr>
          <w:i/>
          <w:iCs/>
          <w:sz w:val="22"/>
          <w:szCs w:val="22"/>
        </w:rPr>
        <w:t>murs pariéto-dynamiques</w:t>
      </w:r>
      <w:r>
        <w:rPr>
          <w:sz w:val="22"/>
          <w:szCs w:val="22"/>
        </w:rPr>
        <w:t xml:space="preserve">, les </w:t>
      </w:r>
      <w:r>
        <w:rPr>
          <w:i/>
          <w:iCs/>
          <w:sz w:val="22"/>
          <w:szCs w:val="22"/>
        </w:rPr>
        <w:t>murs Trombe</w:t>
      </w:r>
      <w:r>
        <w:rPr>
          <w:sz w:val="22"/>
          <w:szCs w:val="22"/>
        </w:rPr>
        <w:t xml:space="preserve">, etc., dont les performances ou le comportement thermique ne sont pas correctement décrits par la </w:t>
      </w:r>
      <w:r>
        <w:rPr>
          <w:i/>
          <w:iCs/>
          <w:sz w:val="22"/>
          <w:szCs w:val="22"/>
        </w:rPr>
        <w:t>transmission thermique</w:t>
      </w:r>
      <w:r>
        <w:rPr>
          <w:sz w:val="22"/>
          <w:szCs w:val="22"/>
        </w:rPr>
        <w:t xml:space="preserve">, sont exclus des contrôles de </w:t>
      </w:r>
      <w:r>
        <w:rPr>
          <w:i/>
          <w:iCs/>
          <w:sz w:val="22"/>
          <w:szCs w:val="22"/>
        </w:rPr>
        <w:t>transmission thermique</w:t>
      </w:r>
      <w:r>
        <w:rPr>
          <w:sz w:val="22"/>
          <w:szCs w:val="22"/>
        </w:rPr>
        <w:t xml:space="preserve"> (U) et ne sont pas pris en compte pour le calcul du </w:t>
      </w:r>
      <w:r>
        <w:rPr>
          <w:i/>
          <w:iCs/>
          <w:sz w:val="22"/>
          <w:szCs w:val="22"/>
        </w:rPr>
        <w:t>coefficient global de transmission de chaleur</w:t>
      </w:r>
      <w:r>
        <w:rPr>
          <w:sz w:val="22"/>
          <w:szCs w:val="22"/>
        </w:rPr>
        <w:t xml:space="preserve"> (K) défini dans le présent article.</w:t>
      </w:r>
    </w:p>
    <w:p w14:paraId="12263FE6" w14:textId="77777777" w:rsidR="00230F35" w:rsidRPr="00786EBA" w:rsidRDefault="00230F35" w:rsidP="00786EBA">
      <w:pPr>
        <w:spacing w:before="240" w:after="120"/>
        <w:rPr>
          <w:rFonts w:ascii="Arial" w:hAnsi="Arial" w:cs="Arial"/>
        </w:rPr>
      </w:pPr>
      <w:bookmarkStart w:id="101" w:name="Sección_HE1_Cuantificacion_ControlSolar"/>
      <w:bookmarkStart w:id="102" w:name="_Toc530395254"/>
      <w:bookmarkStart w:id="103" w:name="_Toc530396133"/>
      <w:bookmarkStart w:id="104" w:name="_Toc39157925"/>
      <w:bookmarkEnd w:id="101"/>
      <w:r>
        <w:rPr>
          <w:rFonts w:ascii="Arial" w:hAnsi="Arial"/>
        </w:rPr>
        <w:t>3.1.2</w:t>
      </w:r>
      <w:r>
        <w:rPr>
          <w:rFonts w:ascii="Arial" w:hAnsi="Arial"/>
        </w:rPr>
        <w:tab/>
        <w:t>Contrôle solaire de l’</w:t>
      </w:r>
      <w:r>
        <w:rPr>
          <w:rFonts w:ascii="Arial" w:hAnsi="Arial"/>
          <w:i/>
        </w:rPr>
        <w:t>enceinte thermique</w:t>
      </w:r>
      <w:bookmarkEnd w:id="102"/>
      <w:bookmarkEnd w:id="103"/>
      <w:bookmarkEnd w:id="104"/>
    </w:p>
    <w:p w14:paraId="606E099C" w14:textId="51FDF400" w:rsidR="00230F35" w:rsidRPr="00937C8B" w:rsidRDefault="00230F35" w:rsidP="00D27646">
      <w:pPr>
        <w:pStyle w:val="CTENumeracion"/>
        <w:keepNext/>
        <w:spacing w:before="120"/>
        <w:rPr>
          <w:rFonts w:cs="Arial"/>
          <w:sz w:val="22"/>
          <w:szCs w:val="22"/>
        </w:rPr>
      </w:pPr>
      <w:r>
        <w:rPr>
          <w:sz w:val="22"/>
          <w:szCs w:val="22"/>
        </w:rPr>
        <w:t>1</w:t>
      </w:r>
      <w:r>
        <w:rPr>
          <w:sz w:val="22"/>
          <w:szCs w:val="22"/>
        </w:rPr>
        <w:tab/>
        <w:t>Dans le cas des bâtiments neufs et des extensions, les changements d’usage impliquant la rénovation de plus de 25</w:t>
      </w:r>
      <w:r w:rsidR="00EA7588">
        <w:rPr>
          <w:sz w:val="22"/>
          <w:szCs w:val="22"/>
        </w:rPr>
        <w:t> </w:t>
      </w:r>
      <w:r>
        <w:rPr>
          <w:sz w:val="22"/>
          <w:szCs w:val="22"/>
        </w:rPr>
        <w:t>% de la surface totale de l</w:t>
      </w:r>
      <w:r w:rsidR="00EA7588">
        <w:rPr>
          <w:sz w:val="22"/>
          <w:szCs w:val="22"/>
        </w:rPr>
        <w:t>’</w:t>
      </w:r>
      <w:r>
        <w:rPr>
          <w:sz w:val="22"/>
          <w:szCs w:val="22"/>
        </w:rPr>
        <w:t>enceinte thermique finale du bâtiment, le paramètre de contrôle solaire (q</w:t>
      </w:r>
      <w:r>
        <w:rPr>
          <w:sz w:val="22"/>
          <w:szCs w:val="22"/>
          <w:vertAlign w:val="subscript"/>
        </w:rPr>
        <w:t>sol;jul</w:t>
      </w:r>
      <w:r>
        <w:rPr>
          <w:sz w:val="22"/>
          <w:szCs w:val="22"/>
        </w:rPr>
        <w:t>) ne dépassera pas la valeur limite donnée par le tableau 3.1.2-HE1:</w:t>
      </w:r>
    </w:p>
    <w:p w14:paraId="78739935" w14:textId="77777777" w:rsidR="00230F35" w:rsidRPr="00937C8B" w:rsidRDefault="00230F35" w:rsidP="00D27646">
      <w:pPr>
        <w:pStyle w:val="CTEtabla-Titulo"/>
      </w:pPr>
      <w:r>
        <w:t>Tableau 3.1.2-HE1 Valeur limite du paramètre de contrôle solaire, qsol;jul,lim [kWh/m²·mois]</w:t>
      </w:r>
    </w:p>
    <w:tbl>
      <w:tblPr>
        <w:tblW w:w="5100" w:type="dxa"/>
        <w:jc w:val="center"/>
        <w:tblBorders>
          <w:insideH w:val="single" w:sz="2" w:space="0" w:color="000000"/>
          <w:insideV w:val="single" w:sz="2" w:space="0" w:color="000000"/>
        </w:tblBorders>
        <w:tblCellMar>
          <w:top w:w="55" w:type="dxa"/>
          <w:left w:w="50" w:type="dxa"/>
          <w:bottom w:w="55" w:type="dxa"/>
          <w:right w:w="55" w:type="dxa"/>
        </w:tblCellMar>
        <w:tblLook w:val="04A0" w:firstRow="1" w:lastRow="0" w:firstColumn="1" w:lastColumn="0" w:noHBand="0" w:noVBand="1"/>
      </w:tblPr>
      <w:tblGrid>
        <w:gridCol w:w="2549"/>
        <w:gridCol w:w="2551"/>
      </w:tblGrid>
      <w:tr w:rsidR="00230F35" w:rsidRPr="00937C8B" w14:paraId="14486695" w14:textId="77777777" w:rsidTr="00935676">
        <w:trPr>
          <w:cantSplit/>
          <w:jc w:val="center"/>
        </w:trPr>
        <w:tc>
          <w:tcPr>
            <w:tcW w:w="2549" w:type="dxa"/>
            <w:tcBorders>
              <w:bottom w:val="single" w:sz="2" w:space="0" w:color="000000"/>
            </w:tcBorders>
            <w:shd w:val="clear" w:color="auto" w:fill="FFFFFF"/>
            <w:vAlign w:val="center"/>
          </w:tcPr>
          <w:p w14:paraId="05C989E8" w14:textId="77777777" w:rsidR="00230F35" w:rsidRPr="00937C8B" w:rsidRDefault="00230F35" w:rsidP="00D27646">
            <w:pPr>
              <w:pStyle w:val="CTEtabla-texto"/>
              <w:keepNext/>
              <w:rPr>
                <w:rFonts w:cs="Arial"/>
                <w:b/>
                <w:bCs/>
              </w:rPr>
            </w:pPr>
            <w:r>
              <w:rPr>
                <w:b/>
                <w:bCs/>
              </w:rPr>
              <w:t>Usage</w:t>
            </w:r>
          </w:p>
        </w:tc>
        <w:tc>
          <w:tcPr>
            <w:tcW w:w="2551" w:type="dxa"/>
            <w:tcBorders>
              <w:bottom w:val="single" w:sz="2" w:space="0" w:color="000000"/>
            </w:tcBorders>
            <w:shd w:val="clear" w:color="auto" w:fill="FFFFFF"/>
            <w:vAlign w:val="center"/>
          </w:tcPr>
          <w:p w14:paraId="1FBC424E" w14:textId="77777777" w:rsidR="00230F35" w:rsidRPr="00937C8B" w:rsidRDefault="00230F35" w:rsidP="00D27646">
            <w:pPr>
              <w:pStyle w:val="CTEtabla-Titulo"/>
              <w:spacing w:before="0" w:after="0"/>
              <w:rPr>
                <w:bCs/>
              </w:rPr>
            </w:pPr>
            <w:r>
              <w:t>q</w:t>
            </w:r>
            <w:r>
              <w:rPr>
                <w:bCs/>
                <w:vertAlign w:val="subscript"/>
              </w:rPr>
              <w:t>sol;jul</w:t>
            </w:r>
          </w:p>
        </w:tc>
      </w:tr>
      <w:tr w:rsidR="00230F35" w:rsidRPr="00937C8B" w14:paraId="59323863" w14:textId="77777777" w:rsidTr="00935676">
        <w:trPr>
          <w:cantSplit/>
          <w:jc w:val="center"/>
        </w:trPr>
        <w:tc>
          <w:tcPr>
            <w:tcW w:w="2549" w:type="dxa"/>
            <w:tcBorders>
              <w:top w:val="single" w:sz="2" w:space="0" w:color="000000"/>
              <w:bottom w:val="nil"/>
            </w:tcBorders>
            <w:shd w:val="clear" w:color="auto" w:fill="FFFFFF"/>
            <w:vAlign w:val="center"/>
          </w:tcPr>
          <w:p w14:paraId="3894171B" w14:textId="77777777" w:rsidR="00230F35" w:rsidRPr="00937C8B" w:rsidRDefault="00230F35" w:rsidP="003E38D0">
            <w:pPr>
              <w:pStyle w:val="CTEtabla-texto"/>
              <w:keepNext/>
              <w:rPr>
                <w:rFonts w:cs="Arial"/>
              </w:rPr>
            </w:pPr>
            <w:r>
              <w:t>Résidentiel privé</w:t>
            </w:r>
          </w:p>
        </w:tc>
        <w:tc>
          <w:tcPr>
            <w:tcW w:w="2551" w:type="dxa"/>
            <w:tcBorders>
              <w:top w:val="single" w:sz="2" w:space="0" w:color="000000"/>
              <w:bottom w:val="nil"/>
            </w:tcBorders>
            <w:shd w:val="clear" w:color="auto" w:fill="FFFFFF"/>
            <w:vAlign w:val="center"/>
          </w:tcPr>
          <w:p w14:paraId="24472A65" w14:textId="77777777" w:rsidR="00230F35" w:rsidRPr="00937C8B" w:rsidRDefault="00230F35" w:rsidP="003E38D0">
            <w:pPr>
              <w:pStyle w:val="CTEtabla-texto"/>
              <w:keepNext/>
              <w:rPr>
                <w:rFonts w:cs="Arial"/>
              </w:rPr>
            </w:pPr>
            <w:r>
              <w:t>2,00</w:t>
            </w:r>
          </w:p>
        </w:tc>
      </w:tr>
      <w:tr w:rsidR="00230F35" w:rsidRPr="00937C8B" w14:paraId="30A903B5" w14:textId="77777777" w:rsidTr="00935676">
        <w:trPr>
          <w:cantSplit/>
          <w:jc w:val="center"/>
        </w:trPr>
        <w:tc>
          <w:tcPr>
            <w:tcW w:w="2549" w:type="dxa"/>
            <w:tcBorders>
              <w:top w:val="nil"/>
              <w:bottom w:val="nil"/>
            </w:tcBorders>
            <w:shd w:val="clear" w:color="auto" w:fill="FFFFFF"/>
            <w:vAlign w:val="center"/>
          </w:tcPr>
          <w:p w14:paraId="76AA03AE" w14:textId="77777777" w:rsidR="00230F35" w:rsidRPr="00937C8B" w:rsidRDefault="00230F35" w:rsidP="003E38D0">
            <w:pPr>
              <w:pStyle w:val="CTEtabla-texto"/>
              <w:keepNext/>
              <w:rPr>
                <w:rFonts w:cs="Arial"/>
              </w:rPr>
            </w:pPr>
            <w:r>
              <w:t>Autres usages</w:t>
            </w:r>
          </w:p>
        </w:tc>
        <w:tc>
          <w:tcPr>
            <w:tcW w:w="2551" w:type="dxa"/>
            <w:tcBorders>
              <w:top w:val="nil"/>
              <w:bottom w:val="nil"/>
            </w:tcBorders>
            <w:shd w:val="clear" w:color="auto" w:fill="FFFFFF"/>
            <w:vAlign w:val="center"/>
          </w:tcPr>
          <w:p w14:paraId="735C229E" w14:textId="77777777" w:rsidR="00230F35" w:rsidRPr="00937C8B" w:rsidRDefault="00230F35" w:rsidP="003E38D0">
            <w:pPr>
              <w:pStyle w:val="CTEtabla-texto"/>
              <w:keepNext/>
              <w:rPr>
                <w:rFonts w:cs="Arial"/>
              </w:rPr>
            </w:pPr>
            <w:r>
              <w:t>4,00</w:t>
            </w:r>
          </w:p>
        </w:tc>
      </w:tr>
    </w:tbl>
    <w:p w14:paraId="5EFFF76A" w14:textId="77777777" w:rsidR="00230F35" w:rsidRPr="00786EBA" w:rsidRDefault="00230F35" w:rsidP="00786EBA">
      <w:pPr>
        <w:spacing w:before="240" w:after="120"/>
        <w:rPr>
          <w:rFonts w:ascii="Arial" w:hAnsi="Arial" w:cs="Arial"/>
        </w:rPr>
      </w:pPr>
      <w:bookmarkStart w:id="105" w:name="Sección_HE1_Cuantificacion_Permeab"/>
      <w:bookmarkStart w:id="106" w:name="_Toc530395255"/>
      <w:bookmarkStart w:id="107" w:name="_Toc530396134"/>
      <w:bookmarkStart w:id="108" w:name="_Toc39157926"/>
      <w:bookmarkEnd w:id="105"/>
      <w:r>
        <w:rPr>
          <w:rFonts w:ascii="Arial" w:hAnsi="Arial"/>
        </w:rPr>
        <w:t>3.1.3</w:t>
      </w:r>
      <w:r>
        <w:rPr>
          <w:rFonts w:ascii="Arial" w:hAnsi="Arial"/>
        </w:rPr>
        <w:tab/>
        <w:t>Perméabilité à l’air de l’enceinte thermique</w:t>
      </w:r>
      <w:bookmarkEnd w:id="106"/>
      <w:bookmarkEnd w:id="107"/>
      <w:bookmarkEnd w:id="108"/>
    </w:p>
    <w:p w14:paraId="1CC39459" w14:textId="00B5CAE4" w:rsidR="00230F35" w:rsidRPr="00937C8B" w:rsidRDefault="00230F35" w:rsidP="00230F35">
      <w:pPr>
        <w:pStyle w:val="CTENumeracion"/>
        <w:keepLines/>
        <w:spacing w:before="120"/>
        <w:rPr>
          <w:rFonts w:cs="Arial"/>
          <w:sz w:val="22"/>
          <w:szCs w:val="22"/>
        </w:rPr>
      </w:pPr>
      <w:r>
        <w:rPr>
          <w:sz w:val="22"/>
          <w:szCs w:val="22"/>
        </w:rPr>
        <w:t>1</w:t>
      </w:r>
      <w:r>
        <w:rPr>
          <w:sz w:val="22"/>
          <w:szCs w:val="22"/>
        </w:rPr>
        <w:tab/>
        <w:t>Les solutions de construction et les conditions d</w:t>
      </w:r>
      <w:r w:rsidR="00EA7588">
        <w:rPr>
          <w:sz w:val="22"/>
          <w:szCs w:val="22"/>
        </w:rPr>
        <w:t>’</w:t>
      </w:r>
      <w:r>
        <w:rPr>
          <w:sz w:val="22"/>
          <w:szCs w:val="22"/>
        </w:rPr>
        <w:t>exécution des éléments de l</w:t>
      </w:r>
      <w:r w:rsidR="00EA7588">
        <w:rPr>
          <w:sz w:val="22"/>
          <w:szCs w:val="22"/>
        </w:rPr>
        <w:t>’</w:t>
      </w:r>
      <w:r>
        <w:rPr>
          <w:i/>
          <w:iCs/>
          <w:sz w:val="22"/>
          <w:szCs w:val="22"/>
        </w:rPr>
        <w:t>enceinte thermique</w:t>
      </w:r>
      <w:r>
        <w:rPr>
          <w:sz w:val="22"/>
          <w:szCs w:val="22"/>
        </w:rPr>
        <w:t xml:space="preserve"> assureront une étanchéité à l</w:t>
      </w:r>
      <w:r w:rsidR="00EA7588">
        <w:rPr>
          <w:sz w:val="22"/>
          <w:szCs w:val="22"/>
        </w:rPr>
        <w:t>’</w:t>
      </w:r>
      <w:r>
        <w:rPr>
          <w:sz w:val="22"/>
          <w:szCs w:val="22"/>
        </w:rPr>
        <w:t xml:space="preserve">air adéquate. Il convient notamment de prendre en compte les jonctions entre les </w:t>
      </w:r>
      <w:r>
        <w:rPr>
          <w:i/>
          <w:iCs/>
          <w:sz w:val="22"/>
          <w:szCs w:val="22"/>
        </w:rPr>
        <w:t>ouvertures</w:t>
      </w:r>
      <w:r>
        <w:rPr>
          <w:sz w:val="22"/>
          <w:szCs w:val="22"/>
        </w:rPr>
        <w:t xml:space="preserve"> et les éléments opaques, points de passage à travers l</w:t>
      </w:r>
      <w:r w:rsidR="00EA7588">
        <w:rPr>
          <w:sz w:val="22"/>
          <w:szCs w:val="22"/>
        </w:rPr>
        <w:t>’</w:t>
      </w:r>
      <w:r>
        <w:rPr>
          <w:i/>
          <w:iCs/>
          <w:sz w:val="22"/>
          <w:szCs w:val="22"/>
        </w:rPr>
        <w:t>enceinte thermique</w:t>
      </w:r>
      <w:r>
        <w:rPr>
          <w:sz w:val="22"/>
          <w:szCs w:val="22"/>
        </w:rPr>
        <w:t xml:space="preserve"> et portes de passage vers des espaces non climatisés.</w:t>
      </w:r>
    </w:p>
    <w:p w14:paraId="161ED0F5" w14:textId="263215E0" w:rsidR="00230F35" w:rsidRPr="00937C8B" w:rsidRDefault="00230F35" w:rsidP="00D27646">
      <w:pPr>
        <w:pStyle w:val="CTENumeracion"/>
        <w:keepNext/>
        <w:keepLines/>
        <w:spacing w:before="120"/>
        <w:rPr>
          <w:rFonts w:cs="Arial"/>
          <w:sz w:val="22"/>
          <w:szCs w:val="22"/>
        </w:rPr>
      </w:pPr>
      <w:r>
        <w:rPr>
          <w:sz w:val="22"/>
          <w:szCs w:val="22"/>
        </w:rPr>
        <w:lastRenderedPageBreak/>
        <w:t>2</w:t>
      </w:r>
      <w:r>
        <w:rPr>
          <w:sz w:val="22"/>
          <w:szCs w:val="22"/>
        </w:rPr>
        <w:tab/>
        <w:t xml:space="preserve">La </w:t>
      </w:r>
      <w:r>
        <w:rPr>
          <w:i/>
          <w:iCs/>
          <w:sz w:val="22"/>
          <w:szCs w:val="22"/>
        </w:rPr>
        <w:t>perméabilité à l</w:t>
      </w:r>
      <w:r w:rsidR="00EA7588">
        <w:rPr>
          <w:i/>
          <w:iCs/>
          <w:sz w:val="22"/>
          <w:szCs w:val="22"/>
        </w:rPr>
        <w:t>’</w:t>
      </w:r>
      <w:r>
        <w:rPr>
          <w:i/>
          <w:iCs/>
          <w:sz w:val="22"/>
          <w:szCs w:val="22"/>
        </w:rPr>
        <w:t>air</w:t>
      </w:r>
      <w:r>
        <w:rPr>
          <w:sz w:val="22"/>
          <w:szCs w:val="22"/>
        </w:rPr>
        <w:t xml:space="preserve"> (Q</w:t>
      </w:r>
      <w:r>
        <w:rPr>
          <w:sz w:val="22"/>
          <w:szCs w:val="22"/>
          <w:vertAlign w:val="subscript"/>
        </w:rPr>
        <w:t>100</w:t>
      </w:r>
      <w:r>
        <w:rPr>
          <w:sz w:val="22"/>
          <w:szCs w:val="22"/>
        </w:rPr>
        <w:t xml:space="preserve">) des </w:t>
      </w:r>
      <w:r>
        <w:rPr>
          <w:i/>
          <w:iCs/>
          <w:sz w:val="22"/>
          <w:szCs w:val="22"/>
        </w:rPr>
        <w:t>ouvertures</w:t>
      </w:r>
      <w:r>
        <w:rPr>
          <w:sz w:val="22"/>
          <w:szCs w:val="22"/>
        </w:rPr>
        <w:t xml:space="preserve"> de l</w:t>
      </w:r>
      <w:r w:rsidR="00EA7588">
        <w:rPr>
          <w:sz w:val="22"/>
          <w:szCs w:val="22"/>
        </w:rPr>
        <w:t>’</w:t>
      </w:r>
      <w:r>
        <w:rPr>
          <w:i/>
          <w:iCs/>
          <w:sz w:val="22"/>
          <w:szCs w:val="22"/>
        </w:rPr>
        <w:t>enceinte thermique</w:t>
      </w:r>
      <w:r>
        <w:rPr>
          <w:sz w:val="22"/>
          <w:szCs w:val="22"/>
        </w:rPr>
        <w:t xml:space="preserve"> ne doit pas dépasser la valeur limite donnée dans le tableau 3.1.3.a-HE1:</w:t>
      </w:r>
    </w:p>
    <w:p w14:paraId="37430A71" w14:textId="216512BE" w:rsidR="00230F35" w:rsidRPr="00937C8B" w:rsidRDefault="00230F35" w:rsidP="00D27646">
      <w:pPr>
        <w:pStyle w:val="CTEtabla-Titulo"/>
        <w:keepLines/>
        <w:spacing w:before="240" w:after="0"/>
        <w:ind w:left="993" w:right="1134" w:firstLine="283"/>
        <w:jc w:val="both"/>
      </w:pPr>
      <w:r>
        <w:t xml:space="preserve">Tableau 3.1.3.a-HE1 Valeur limite de </w:t>
      </w:r>
      <w:r>
        <w:rPr>
          <w:i/>
          <w:iCs/>
        </w:rPr>
        <w:t>perméabilité à l</w:t>
      </w:r>
      <w:r w:rsidR="00EA7588">
        <w:rPr>
          <w:i/>
          <w:iCs/>
        </w:rPr>
        <w:t>’</w:t>
      </w:r>
      <w:r>
        <w:rPr>
          <w:i/>
          <w:iCs/>
        </w:rPr>
        <w:t>air</w:t>
      </w:r>
      <w:r>
        <w:t xml:space="preserve"> des</w:t>
      </w:r>
      <w:r>
        <w:rPr>
          <w:i/>
          <w:iCs/>
        </w:rPr>
        <w:t xml:space="preserve"> ouvertures</w:t>
      </w:r>
      <w:r>
        <w:t xml:space="preserve"> de l</w:t>
      </w:r>
      <w:r w:rsidR="00EA7588">
        <w:t>’</w:t>
      </w:r>
      <w:r>
        <w:rPr>
          <w:i/>
          <w:iCs/>
        </w:rPr>
        <w:t>enceinte thermique</w:t>
      </w:r>
      <w:r>
        <w:t xml:space="preserve">, </w:t>
      </w:r>
    </w:p>
    <w:p w14:paraId="21F456D0" w14:textId="77777777" w:rsidR="00230F35" w:rsidRPr="00937C8B" w:rsidRDefault="00230F35" w:rsidP="00D27646">
      <w:pPr>
        <w:pStyle w:val="CTEtabla-Titulo"/>
        <w:keepLines/>
        <w:spacing w:before="0" w:after="120"/>
        <w:ind w:left="1134" w:right="1134"/>
      </w:pPr>
      <w:r>
        <w:t>Q</w:t>
      </w:r>
      <w:r>
        <w:rPr>
          <w:vertAlign w:val="subscript"/>
        </w:rPr>
        <w:t>100,lim</w:t>
      </w:r>
      <w:r>
        <w:t xml:space="preserve"> [m</w:t>
      </w:r>
      <w:r>
        <w:rPr>
          <w:vertAlign w:val="superscript"/>
        </w:rPr>
        <w:t>3</w:t>
      </w:r>
      <w:r>
        <w:t>/h·m</w:t>
      </w:r>
      <w:r>
        <w:rPr>
          <w:vertAlign w:val="superscript"/>
        </w:rPr>
        <w:t>2</w:t>
      </w:r>
      <w:r>
        <w:t>]</w:t>
      </w:r>
    </w:p>
    <w:tbl>
      <w:tblPr>
        <w:tblW w:w="7345" w:type="dxa"/>
        <w:jc w:val="center"/>
        <w:tblBorders>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3945"/>
        <w:gridCol w:w="568"/>
        <w:gridCol w:w="565"/>
        <w:gridCol w:w="566"/>
        <w:gridCol w:w="567"/>
        <w:gridCol w:w="565"/>
        <w:gridCol w:w="569"/>
      </w:tblGrid>
      <w:tr w:rsidR="00230F35" w:rsidRPr="00937C8B" w14:paraId="497D7BB6" w14:textId="77777777" w:rsidTr="00935676">
        <w:trPr>
          <w:jc w:val="center"/>
        </w:trPr>
        <w:tc>
          <w:tcPr>
            <w:tcW w:w="3944" w:type="dxa"/>
            <w:vMerge w:val="restart"/>
            <w:tcBorders>
              <w:bottom w:val="single" w:sz="2" w:space="0" w:color="000000"/>
              <w:right w:val="single" w:sz="2" w:space="0" w:color="000000"/>
            </w:tcBorders>
            <w:shd w:val="clear" w:color="auto" w:fill="FFFFFF"/>
            <w:vAlign w:val="center"/>
          </w:tcPr>
          <w:p w14:paraId="35B32129" w14:textId="77777777" w:rsidR="00230F35" w:rsidRPr="00937C8B" w:rsidRDefault="00230F35" w:rsidP="00D27646">
            <w:pPr>
              <w:pStyle w:val="CTEtabla-texto"/>
              <w:keepNext/>
              <w:keepLines/>
              <w:jc w:val="left"/>
              <w:rPr>
                <w:rFonts w:cs="Arial"/>
                <w:b/>
              </w:rPr>
            </w:pPr>
          </w:p>
        </w:tc>
        <w:tc>
          <w:tcPr>
            <w:tcW w:w="3400" w:type="dxa"/>
            <w:gridSpan w:val="6"/>
            <w:tcBorders>
              <w:top w:val="nil"/>
              <w:left w:val="single" w:sz="2" w:space="0" w:color="000000"/>
              <w:bottom w:val="nil"/>
              <w:right w:val="nil"/>
            </w:tcBorders>
            <w:shd w:val="clear" w:color="auto" w:fill="FFFFFF"/>
            <w:vAlign w:val="center"/>
          </w:tcPr>
          <w:p w14:paraId="340BF331" w14:textId="77777777" w:rsidR="00230F35" w:rsidRPr="00937C8B" w:rsidRDefault="00230F35" w:rsidP="00D27646">
            <w:pPr>
              <w:pStyle w:val="CTEtabla-texto"/>
              <w:keepNext/>
              <w:keepLines/>
              <w:rPr>
                <w:rFonts w:cs="Arial"/>
                <w:b/>
              </w:rPr>
            </w:pPr>
            <w:r>
              <w:rPr>
                <w:b/>
              </w:rPr>
              <w:t>Zone climatique en hiver</w:t>
            </w:r>
          </w:p>
        </w:tc>
      </w:tr>
      <w:tr w:rsidR="00230F35" w:rsidRPr="00937C8B" w14:paraId="3D4E6163" w14:textId="77777777" w:rsidTr="00935676">
        <w:trPr>
          <w:jc w:val="center"/>
        </w:trPr>
        <w:tc>
          <w:tcPr>
            <w:tcW w:w="3944" w:type="dxa"/>
            <w:vMerge/>
            <w:tcBorders>
              <w:top w:val="single" w:sz="2" w:space="0" w:color="000000"/>
              <w:bottom w:val="single" w:sz="2" w:space="0" w:color="000000"/>
              <w:right w:val="single" w:sz="2" w:space="0" w:color="000000"/>
            </w:tcBorders>
            <w:shd w:val="clear" w:color="auto" w:fill="FFFFFF"/>
            <w:vAlign w:val="center"/>
          </w:tcPr>
          <w:p w14:paraId="6DFFD7F2" w14:textId="77777777" w:rsidR="00230F35" w:rsidRPr="00937C8B" w:rsidRDefault="00230F35" w:rsidP="00D27646">
            <w:pPr>
              <w:keepNext/>
              <w:rPr>
                <w:rFonts w:ascii="Arial" w:hAnsi="Arial" w:cs="Arial"/>
              </w:rPr>
            </w:pPr>
          </w:p>
        </w:tc>
        <w:tc>
          <w:tcPr>
            <w:tcW w:w="568" w:type="dxa"/>
            <w:tcBorders>
              <w:top w:val="nil"/>
              <w:left w:val="single" w:sz="2" w:space="0" w:color="000000"/>
              <w:bottom w:val="single" w:sz="2" w:space="0" w:color="000000"/>
              <w:right w:val="nil"/>
            </w:tcBorders>
            <w:shd w:val="clear" w:color="auto" w:fill="FFFFFF"/>
            <w:vAlign w:val="center"/>
          </w:tcPr>
          <w:p w14:paraId="0B0C4F29" w14:textId="77777777" w:rsidR="00230F35" w:rsidRPr="00937C8B" w:rsidRDefault="00E34788" w:rsidP="00D27646">
            <w:pPr>
              <w:pStyle w:val="CTEtabla-texto"/>
              <w:keepNext/>
              <w:keepLines/>
              <w:rPr>
                <w:rFonts w:cs="Arial"/>
                <w:b/>
              </w:rPr>
            </w:pPr>
            <w:r>
              <w:rPr>
                <w:b/>
              </w:rPr>
              <w:t>α</w:t>
            </w:r>
          </w:p>
        </w:tc>
        <w:tc>
          <w:tcPr>
            <w:tcW w:w="565" w:type="dxa"/>
            <w:tcBorders>
              <w:top w:val="nil"/>
              <w:left w:val="nil"/>
              <w:bottom w:val="single" w:sz="2" w:space="0" w:color="000000"/>
              <w:right w:val="nil"/>
            </w:tcBorders>
            <w:shd w:val="clear" w:color="auto" w:fill="FFFFFF"/>
            <w:vAlign w:val="center"/>
          </w:tcPr>
          <w:p w14:paraId="72458F44" w14:textId="77777777" w:rsidR="00230F35" w:rsidRPr="00937C8B" w:rsidRDefault="00230F35" w:rsidP="00D27646">
            <w:pPr>
              <w:pStyle w:val="CTEtabla-texto"/>
              <w:keepNext/>
              <w:keepLines/>
              <w:rPr>
                <w:rFonts w:cs="Arial"/>
                <w:b/>
              </w:rPr>
            </w:pPr>
            <w:r>
              <w:rPr>
                <w:b/>
              </w:rPr>
              <w:t>A</w:t>
            </w:r>
          </w:p>
        </w:tc>
        <w:tc>
          <w:tcPr>
            <w:tcW w:w="566" w:type="dxa"/>
            <w:tcBorders>
              <w:top w:val="nil"/>
              <w:left w:val="nil"/>
              <w:bottom w:val="single" w:sz="2" w:space="0" w:color="000000"/>
              <w:right w:val="nil"/>
            </w:tcBorders>
            <w:shd w:val="clear" w:color="auto" w:fill="FFFFFF"/>
            <w:vAlign w:val="center"/>
          </w:tcPr>
          <w:p w14:paraId="71960675" w14:textId="77777777" w:rsidR="00230F35" w:rsidRPr="00937C8B" w:rsidRDefault="00230F35" w:rsidP="00D27646">
            <w:pPr>
              <w:pStyle w:val="CTEtabla-texto"/>
              <w:keepNext/>
              <w:keepLines/>
              <w:rPr>
                <w:rFonts w:cs="Arial"/>
                <w:b/>
              </w:rPr>
            </w:pPr>
            <w:r>
              <w:rPr>
                <w:b/>
              </w:rPr>
              <w:t>B</w:t>
            </w:r>
          </w:p>
        </w:tc>
        <w:tc>
          <w:tcPr>
            <w:tcW w:w="567" w:type="dxa"/>
            <w:tcBorders>
              <w:top w:val="nil"/>
              <w:left w:val="nil"/>
              <w:bottom w:val="single" w:sz="2" w:space="0" w:color="000000"/>
              <w:right w:val="nil"/>
            </w:tcBorders>
            <w:shd w:val="clear" w:color="auto" w:fill="FFFFFF"/>
            <w:vAlign w:val="center"/>
          </w:tcPr>
          <w:p w14:paraId="23829FEE" w14:textId="77777777" w:rsidR="00230F35" w:rsidRPr="00937C8B" w:rsidRDefault="00230F35" w:rsidP="00D27646">
            <w:pPr>
              <w:pStyle w:val="CTEtabla-texto"/>
              <w:keepNext/>
              <w:keepLines/>
              <w:rPr>
                <w:rFonts w:cs="Arial"/>
                <w:b/>
              </w:rPr>
            </w:pPr>
            <w:r>
              <w:rPr>
                <w:b/>
              </w:rPr>
              <w:t>C</w:t>
            </w:r>
          </w:p>
        </w:tc>
        <w:tc>
          <w:tcPr>
            <w:tcW w:w="565" w:type="dxa"/>
            <w:tcBorders>
              <w:top w:val="nil"/>
              <w:left w:val="nil"/>
              <w:bottom w:val="single" w:sz="2" w:space="0" w:color="000000"/>
              <w:right w:val="nil"/>
            </w:tcBorders>
            <w:shd w:val="clear" w:color="auto" w:fill="FFFFFF"/>
            <w:vAlign w:val="center"/>
          </w:tcPr>
          <w:p w14:paraId="653E36D0" w14:textId="77777777" w:rsidR="00230F35" w:rsidRPr="00937C8B" w:rsidRDefault="00230F35" w:rsidP="00D27646">
            <w:pPr>
              <w:pStyle w:val="CTEtabla-texto"/>
              <w:keepNext/>
              <w:keepLines/>
              <w:rPr>
                <w:rFonts w:cs="Arial"/>
                <w:b/>
              </w:rPr>
            </w:pPr>
            <w:r>
              <w:rPr>
                <w:b/>
              </w:rPr>
              <w:t>D</w:t>
            </w:r>
          </w:p>
        </w:tc>
        <w:tc>
          <w:tcPr>
            <w:tcW w:w="569" w:type="dxa"/>
            <w:tcBorders>
              <w:top w:val="nil"/>
              <w:left w:val="nil"/>
              <w:bottom w:val="single" w:sz="2" w:space="0" w:color="000000"/>
              <w:right w:val="nil"/>
            </w:tcBorders>
            <w:shd w:val="clear" w:color="auto" w:fill="FFFFFF"/>
            <w:vAlign w:val="center"/>
          </w:tcPr>
          <w:p w14:paraId="1EC9C319" w14:textId="77777777" w:rsidR="00230F35" w:rsidRPr="00937C8B" w:rsidRDefault="00230F35" w:rsidP="00D27646">
            <w:pPr>
              <w:pStyle w:val="CTEtabla-texto"/>
              <w:keepNext/>
              <w:keepLines/>
              <w:rPr>
                <w:rFonts w:cs="Arial"/>
                <w:b/>
              </w:rPr>
            </w:pPr>
            <w:r>
              <w:rPr>
                <w:b/>
              </w:rPr>
              <w:t>E</w:t>
            </w:r>
          </w:p>
        </w:tc>
      </w:tr>
      <w:tr w:rsidR="00230F35" w:rsidRPr="00937C8B" w14:paraId="2AF740B9" w14:textId="77777777" w:rsidTr="00935676">
        <w:trPr>
          <w:jc w:val="center"/>
        </w:trPr>
        <w:tc>
          <w:tcPr>
            <w:tcW w:w="3944" w:type="dxa"/>
            <w:tcBorders>
              <w:top w:val="single" w:sz="2" w:space="0" w:color="000000"/>
              <w:left w:val="nil"/>
              <w:bottom w:val="nil"/>
              <w:right w:val="single" w:sz="2" w:space="0" w:color="000000"/>
            </w:tcBorders>
            <w:shd w:val="clear" w:color="auto" w:fill="FFFFFF"/>
            <w:vAlign w:val="center"/>
          </w:tcPr>
          <w:p w14:paraId="02FADB80" w14:textId="77777777" w:rsidR="00230F35" w:rsidRPr="00937C8B" w:rsidRDefault="00230F35" w:rsidP="003E38D0">
            <w:pPr>
              <w:pStyle w:val="CTEtabla-texto"/>
              <w:keepNext/>
              <w:keepLines/>
              <w:jc w:val="left"/>
              <w:rPr>
                <w:rFonts w:cs="Arial"/>
              </w:rPr>
            </w:pPr>
            <w:r>
              <w:t>Perméabilité à l’air des ouvertures (Q</w:t>
            </w:r>
            <w:r>
              <w:rPr>
                <w:vertAlign w:val="subscript"/>
              </w:rPr>
              <w:t>100,lim</w:t>
            </w:r>
            <w:r>
              <w:t>)</w:t>
            </w:r>
            <w:r>
              <w:rPr>
                <w:vertAlign w:val="superscript"/>
              </w:rPr>
              <w:t>*</w:t>
            </w:r>
          </w:p>
        </w:tc>
        <w:tc>
          <w:tcPr>
            <w:tcW w:w="568" w:type="dxa"/>
            <w:tcBorders>
              <w:top w:val="single" w:sz="2" w:space="0" w:color="000000"/>
              <w:left w:val="single" w:sz="2" w:space="0" w:color="000000"/>
              <w:bottom w:val="nil"/>
              <w:right w:val="nil"/>
            </w:tcBorders>
            <w:shd w:val="clear" w:color="auto" w:fill="FFFFFF"/>
            <w:vAlign w:val="center"/>
          </w:tcPr>
          <w:p w14:paraId="6CC36A61" w14:textId="77777777" w:rsidR="00230F35" w:rsidRPr="00937C8B" w:rsidRDefault="00230F35" w:rsidP="003E38D0">
            <w:pPr>
              <w:pStyle w:val="CTEtabla-texto"/>
              <w:keepNext/>
              <w:keepLines/>
              <w:rPr>
                <w:rFonts w:cs="Arial"/>
              </w:rPr>
            </w:pPr>
            <w:r>
              <w:t>≤ 27</w:t>
            </w:r>
          </w:p>
        </w:tc>
        <w:tc>
          <w:tcPr>
            <w:tcW w:w="565" w:type="dxa"/>
            <w:tcBorders>
              <w:top w:val="single" w:sz="2" w:space="0" w:color="000000"/>
              <w:left w:val="nil"/>
              <w:bottom w:val="nil"/>
              <w:right w:val="nil"/>
            </w:tcBorders>
            <w:shd w:val="clear" w:color="auto" w:fill="FFFFFF"/>
            <w:vAlign w:val="center"/>
          </w:tcPr>
          <w:p w14:paraId="1FD503E1" w14:textId="77777777" w:rsidR="00230F35" w:rsidRPr="00937C8B" w:rsidRDefault="00230F35" w:rsidP="003E38D0">
            <w:pPr>
              <w:pStyle w:val="CTEtabla-texto"/>
              <w:keepNext/>
              <w:keepLines/>
              <w:rPr>
                <w:rFonts w:cs="Arial"/>
              </w:rPr>
            </w:pPr>
            <w:r>
              <w:t>≤ 27</w:t>
            </w:r>
          </w:p>
        </w:tc>
        <w:tc>
          <w:tcPr>
            <w:tcW w:w="566" w:type="dxa"/>
            <w:tcBorders>
              <w:top w:val="single" w:sz="2" w:space="0" w:color="000000"/>
              <w:left w:val="nil"/>
              <w:bottom w:val="nil"/>
              <w:right w:val="nil"/>
            </w:tcBorders>
            <w:shd w:val="clear" w:color="auto" w:fill="FFFFFF"/>
            <w:vAlign w:val="center"/>
          </w:tcPr>
          <w:p w14:paraId="4A0283DD" w14:textId="77777777" w:rsidR="00230F35" w:rsidRPr="00937C8B" w:rsidRDefault="00230F35" w:rsidP="003E38D0">
            <w:pPr>
              <w:pStyle w:val="CTEtabla-texto"/>
              <w:keepNext/>
              <w:keepLines/>
              <w:rPr>
                <w:rFonts w:cs="Arial"/>
              </w:rPr>
            </w:pPr>
            <w:r>
              <w:t>≤ 27</w:t>
            </w:r>
          </w:p>
        </w:tc>
        <w:tc>
          <w:tcPr>
            <w:tcW w:w="567" w:type="dxa"/>
            <w:tcBorders>
              <w:top w:val="single" w:sz="2" w:space="0" w:color="000000"/>
              <w:left w:val="nil"/>
              <w:bottom w:val="nil"/>
              <w:right w:val="nil"/>
            </w:tcBorders>
            <w:shd w:val="clear" w:color="auto" w:fill="FFFFFF"/>
            <w:vAlign w:val="center"/>
          </w:tcPr>
          <w:p w14:paraId="5D8986CE" w14:textId="77777777" w:rsidR="00230F35" w:rsidRPr="00937C8B" w:rsidRDefault="00230F35" w:rsidP="003E38D0">
            <w:pPr>
              <w:pStyle w:val="CTEtabla-texto"/>
              <w:keepNext/>
              <w:keepLines/>
              <w:rPr>
                <w:rFonts w:cs="Arial"/>
              </w:rPr>
            </w:pPr>
            <w:r>
              <w:t>≤ 9</w:t>
            </w:r>
          </w:p>
        </w:tc>
        <w:tc>
          <w:tcPr>
            <w:tcW w:w="565" w:type="dxa"/>
            <w:tcBorders>
              <w:top w:val="single" w:sz="2" w:space="0" w:color="000000"/>
              <w:left w:val="nil"/>
              <w:bottom w:val="nil"/>
              <w:right w:val="nil"/>
            </w:tcBorders>
            <w:shd w:val="clear" w:color="auto" w:fill="FFFFFF"/>
            <w:vAlign w:val="center"/>
          </w:tcPr>
          <w:p w14:paraId="00057EA8" w14:textId="77777777" w:rsidR="00230F35" w:rsidRPr="00937C8B" w:rsidRDefault="00230F35" w:rsidP="003E38D0">
            <w:pPr>
              <w:pStyle w:val="CTEtabla-texto"/>
              <w:keepNext/>
              <w:keepLines/>
              <w:rPr>
                <w:rFonts w:cs="Arial"/>
              </w:rPr>
            </w:pPr>
            <w:r>
              <w:t>≤ 9</w:t>
            </w:r>
          </w:p>
        </w:tc>
        <w:tc>
          <w:tcPr>
            <w:tcW w:w="569" w:type="dxa"/>
            <w:tcBorders>
              <w:top w:val="single" w:sz="2" w:space="0" w:color="000000"/>
              <w:left w:val="nil"/>
              <w:bottom w:val="nil"/>
              <w:right w:val="nil"/>
            </w:tcBorders>
            <w:shd w:val="clear" w:color="auto" w:fill="FFFFFF"/>
            <w:vAlign w:val="center"/>
          </w:tcPr>
          <w:p w14:paraId="6DD8A322" w14:textId="77777777" w:rsidR="00230F35" w:rsidRPr="00937C8B" w:rsidRDefault="00230F35" w:rsidP="003E38D0">
            <w:pPr>
              <w:pStyle w:val="CTEtabla-texto"/>
              <w:keepNext/>
              <w:keepLines/>
              <w:rPr>
                <w:rFonts w:cs="Arial"/>
              </w:rPr>
            </w:pPr>
            <w:r>
              <w:t>≤ 9</w:t>
            </w:r>
          </w:p>
        </w:tc>
      </w:tr>
    </w:tbl>
    <w:p w14:paraId="6A7AB3B9" w14:textId="5A7589FA" w:rsidR="00230F35" w:rsidRPr="00937C8B" w:rsidRDefault="00230F35" w:rsidP="00230F35">
      <w:pPr>
        <w:pStyle w:val="CTETabla-nota"/>
        <w:keepNext/>
        <w:keepLines/>
        <w:ind w:left="1417" w:hanging="232"/>
      </w:pPr>
      <w:r>
        <w:t>* La perméabilité indiquée est mesurée avec une surpression de 100</w:t>
      </w:r>
      <w:r w:rsidR="00EA7588">
        <w:t> </w:t>
      </w:r>
      <w:r>
        <w:t>Pa, Q</w:t>
      </w:r>
      <w:r>
        <w:rPr>
          <w:vertAlign w:val="subscript"/>
        </w:rPr>
        <w:t>100</w:t>
      </w:r>
      <w:r>
        <w:t>.</w:t>
      </w:r>
    </w:p>
    <w:p w14:paraId="004DBB18" w14:textId="77777777" w:rsidR="00230F35" w:rsidRPr="00937C8B" w:rsidRDefault="00230F35" w:rsidP="00230F35">
      <w:pPr>
        <w:pStyle w:val="CTETabla-nota"/>
        <w:keepLines/>
        <w:spacing w:before="0"/>
        <w:ind w:left="1417" w:right="849" w:hanging="141"/>
      </w:pPr>
      <w:r>
        <w:t>Les valeurs de perméabilité établies correspondent à celles définies par la classe 2 (≤27 m</w:t>
      </w:r>
      <w:r>
        <w:rPr>
          <w:vertAlign w:val="superscript"/>
        </w:rPr>
        <w:t>3</w:t>
      </w:r>
      <w:r>
        <w:t>/h·m</w:t>
      </w:r>
      <w:r>
        <w:rPr>
          <w:vertAlign w:val="superscript"/>
        </w:rPr>
        <w:t>2</w:t>
      </w:r>
      <w:r>
        <w:t>) et la classe 3 (≤9 m</w:t>
      </w:r>
      <w:r>
        <w:rPr>
          <w:vertAlign w:val="superscript"/>
        </w:rPr>
        <w:t>3</w:t>
      </w:r>
      <w:r>
        <w:t>/h·m</w:t>
      </w:r>
      <w:r>
        <w:rPr>
          <w:vertAlign w:val="superscript"/>
        </w:rPr>
        <w:t>2</w:t>
      </w:r>
      <w:r>
        <w:t>) de la norme UNE-EN 12207: 2017.</w:t>
      </w:r>
    </w:p>
    <w:p w14:paraId="410F3700" w14:textId="5C924387" w:rsidR="00230F35" w:rsidRPr="00937C8B" w:rsidRDefault="00230F35" w:rsidP="00230F35">
      <w:pPr>
        <w:pStyle w:val="CTETabla-nota"/>
        <w:keepLines/>
        <w:spacing w:before="0"/>
        <w:ind w:left="1417" w:right="849" w:hanging="141"/>
      </w:pPr>
      <w:r>
        <w:t>La perméabilité de l</w:t>
      </w:r>
      <w:r w:rsidR="00EA7588">
        <w:t>’</w:t>
      </w:r>
      <w:r>
        <w:t>ouverture sera obtenue en tenant compte, le cas échéant, du bloc-fermeture.</w:t>
      </w:r>
    </w:p>
    <w:p w14:paraId="7FBDC613" w14:textId="756F113A" w:rsidR="00230F35" w:rsidRPr="00937C8B" w:rsidRDefault="00230F35" w:rsidP="00D27646">
      <w:pPr>
        <w:pStyle w:val="CTENumeracion"/>
        <w:keepNext/>
        <w:keepLines/>
        <w:spacing w:before="120"/>
        <w:rPr>
          <w:rFonts w:cs="Arial"/>
          <w:sz w:val="22"/>
          <w:szCs w:val="22"/>
        </w:rPr>
      </w:pPr>
      <w:r>
        <w:rPr>
          <w:sz w:val="22"/>
          <w:szCs w:val="22"/>
        </w:rPr>
        <w:t>3</w:t>
      </w:r>
      <w:r>
        <w:rPr>
          <w:sz w:val="22"/>
          <w:szCs w:val="22"/>
        </w:rPr>
        <w:tab/>
        <w:t>Dans les bâtiments neufs à usage résidentiel privé avec une surface utile totale supérieure à 120</w:t>
      </w:r>
      <w:r w:rsidR="00EA7588">
        <w:rPr>
          <w:sz w:val="22"/>
          <w:szCs w:val="22"/>
        </w:rPr>
        <w:t> </w:t>
      </w:r>
      <w:r>
        <w:rPr>
          <w:sz w:val="22"/>
          <w:szCs w:val="22"/>
        </w:rPr>
        <w:t>m</w:t>
      </w:r>
      <w:r>
        <w:rPr>
          <w:sz w:val="22"/>
          <w:szCs w:val="22"/>
          <w:vertAlign w:val="superscript"/>
        </w:rPr>
        <w:t>2</w:t>
      </w:r>
      <w:r>
        <w:rPr>
          <w:sz w:val="22"/>
          <w:szCs w:val="22"/>
        </w:rPr>
        <w:t xml:space="preserve">, le </w:t>
      </w:r>
      <w:r>
        <w:rPr>
          <w:i/>
          <w:iCs/>
          <w:sz w:val="22"/>
          <w:szCs w:val="22"/>
        </w:rPr>
        <w:t>taux de renouvellement d</w:t>
      </w:r>
      <w:r w:rsidR="00EA7588">
        <w:rPr>
          <w:i/>
          <w:iCs/>
          <w:sz w:val="22"/>
          <w:szCs w:val="22"/>
        </w:rPr>
        <w:t>’</w:t>
      </w:r>
      <w:r>
        <w:rPr>
          <w:i/>
          <w:iCs/>
          <w:sz w:val="22"/>
          <w:szCs w:val="22"/>
        </w:rPr>
        <w:t>air</w:t>
      </w:r>
      <w:r>
        <w:rPr>
          <w:sz w:val="22"/>
          <w:szCs w:val="22"/>
        </w:rPr>
        <w:t xml:space="preserve"> avec une pression différentielle de 50</w:t>
      </w:r>
      <w:r w:rsidR="00EA7588">
        <w:rPr>
          <w:sz w:val="22"/>
          <w:szCs w:val="22"/>
        </w:rPr>
        <w:t> </w:t>
      </w:r>
      <w:r>
        <w:rPr>
          <w:sz w:val="22"/>
          <w:szCs w:val="22"/>
        </w:rPr>
        <w:t>Pa (n</w:t>
      </w:r>
      <w:r>
        <w:rPr>
          <w:sz w:val="22"/>
          <w:szCs w:val="22"/>
          <w:vertAlign w:val="subscript"/>
        </w:rPr>
        <w:t>50</w:t>
      </w:r>
      <w:r>
        <w:rPr>
          <w:sz w:val="22"/>
          <w:szCs w:val="22"/>
        </w:rPr>
        <w:t xml:space="preserve">) ne doit pas dépasser la valeur limite donnée par le tableau 3.1.3.b-HE1. </w:t>
      </w:r>
    </w:p>
    <w:p w14:paraId="2E64D5A4" w14:textId="0BA144F5" w:rsidR="00230F35" w:rsidRPr="00937C8B" w:rsidRDefault="00230F35" w:rsidP="00D27646">
      <w:pPr>
        <w:pStyle w:val="CTEtabla-Titulo"/>
        <w:keepLines/>
        <w:spacing w:before="240" w:after="0"/>
        <w:ind w:left="993" w:right="424" w:hanging="142"/>
      </w:pPr>
      <w:r>
        <w:t xml:space="preserve">Tableau 3.1.3.b-HE1 Valeur limite du </w:t>
      </w:r>
      <w:r>
        <w:rPr>
          <w:i/>
          <w:iCs/>
        </w:rPr>
        <w:t>taux de renouvellement d</w:t>
      </w:r>
      <w:r w:rsidR="00EA7588">
        <w:rPr>
          <w:i/>
          <w:iCs/>
        </w:rPr>
        <w:t>’</w:t>
      </w:r>
      <w:r>
        <w:rPr>
          <w:i/>
          <w:iCs/>
        </w:rPr>
        <w:t>air</w:t>
      </w:r>
      <w:r>
        <w:t xml:space="preserve"> avec une pression de 50</w:t>
      </w:r>
      <w:r w:rsidR="00EA7588">
        <w:t> </w:t>
      </w:r>
      <w:r>
        <w:t>Pa, n</w:t>
      </w:r>
      <w:r>
        <w:rPr>
          <w:vertAlign w:val="subscript"/>
        </w:rPr>
        <w:t>50</w:t>
      </w:r>
      <w:r>
        <w:t xml:space="preserve"> [h</w:t>
      </w:r>
      <w:r>
        <w:rPr>
          <w:vertAlign w:val="superscript"/>
        </w:rPr>
        <w:t>-1</w:t>
      </w:r>
      <w:r>
        <w:t>]</w:t>
      </w:r>
    </w:p>
    <w:tbl>
      <w:tblPr>
        <w:tblW w:w="5112" w:type="dxa"/>
        <w:jc w:val="center"/>
        <w:tblBorders>
          <w:top w:val="single" w:sz="6" w:space="0" w:color="000000"/>
          <w:left w:val="single" w:sz="6" w:space="0" w:color="000000"/>
          <w:bottom w:val="single" w:sz="6" w:space="0" w:color="000000"/>
          <w:insideH w:val="single" w:sz="6" w:space="0" w:color="000000"/>
        </w:tblBorders>
        <w:tblCellMar>
          <w:top w:w="57" w:type="dxa"/>
          <w:left w:w="48" w:type="dxa"/>
          <w:bottom w:w="57" w:type="dxa"/>
          <w:right w:w="0" w:type="dxa"/>
        </w:tblCellMar>
        <w:tblLook w:val="04A0" w:firstRow="1" w:lastRow="0" w:firstColumn="1" w:lastColumn="0" w:noHBand="0" w:noVBand="1"/>
      </w:tblPr>
      <w:tblGrid>
        <w:gridCol w:w="2492"/>
        <w:gridCol w:w="2620"/>
      </w:tblGrid>
      <w:tr w:rsidR="00230F35" w:rsidRPr="00937C8B" w14:paraId="470E685B" w14:textId="77777777" w:rsidTr="003E38D0">
        <w:trPr>
          <w:jc w:val="center"/>
        </w:trPr>
        <w:tc>
          <w:tcPr>
            <w:tcW w:w="2492" w:type="dxa"/>
            <w:tcBorders>
              <w:top w:val="nil"/>
              <w:left w:val="nil"/>
              <w:bottom w:val="single" w:sz="6" w:space="0" w:color="000000"/>
            </w:tcBorders>
            <w:shd w:val="clear" w:color="auto" w:fill="auto"/>
            <w:vAlign w:val="center"/>
          </w:tcPr>
          <w:p w14:paraId="6D64CF77" w14:textId="77777777" w:rsidR="00230F35" w:rsidRPr="00937C8B" w:rsidRDefault="00230F35" w:rsidP="00D27646">
            <w:pPr>
              <w:keepNext/>
              <w:rPr>
                <w:rFonts w:ascii="Arial" w:eastAsia="Arial" w:hAnsi="Arial" w:cs="Arial"/>
                <w:b/>
                <w:sz w:val="18"/>
              </w:rPr>
            </w:pPr>
            <w:r>
              <w:rPr>
                <w:rFonts w:ascii="Arial" w:hAnsi="Arial"/>
                <w:b/>
                <w:sz w:val="18"/>
              </w:rPr>
              <w:t>Compacité V/A [m³/m</w:t>
            </w:r>
            <w:r>
              <w:rPr>
                <w:rFonts w:ascii="Arial" w:hAnsi="Arial"/>
                <w:b/>
                <w:sz w:val="18"/>
                <w:vertAlign w:val="superscript"/>
              </w:rPr>
              <w:t>2</w:t>
            </w:r>
            <w:r>
              <w:rPr>
                <w:rFonts w:ascii="Arial" w:hAnsi="Arial"/>
                <w:b/>
                <w:sz w:val="18"/>
              </w:rPr>
              <w:t>]</w:t>
            </w:r>
          </w:p>
        </w:tc>
        <w:tc>
          <w:tcPr>
            <w:tcW w:w="2620" w:type="dxa"/>
            <w:tcBorders>
              <w:top w:val="nil"/>
              <w:left w:val="single" w:sz="6" w:space="0" w:color="000000"/>
              <w:bottom w:val="single" w:sz="6" w:space="0" w:color="000000"/>
              <w:right w:val="nil"/>
            </w:tcBorders>
            <w:shd w:val="clear" w:color="auto" w:fill="auto"/>
            <w:tcMar>
              <w:right w:w="57" w:type="dxa"/>
            </w:tcMar>
            <w:vAlign w:val="center"/>
          </w:tcPr>
          <w:p w14:paraId="4F77EEBB" w14:textId="77777777" w:rsidR="00230F35" w:rsidRPr="00937C8B" w:rsidRDefault="00230F35" w:rsidP="00D27646">
            <w:pPr>
              <w:keepNext/>
              <w:jc w:val="center"/>
              <w:rPr>
                <w:rFonts w:ascii="Arial" w:eastAsia="Arial" w:hAnsi="Arial" w:cs="Arial"/>
                <w:b/>
                <w:sz w:val="18"/>
              </w:rPr>
            </w:pPr>
            <w:r>
              <w:rPr>
                <w:rFonts w:ascii="Arial" w:hAnsi="Arial"/>
                <w:b/>
                <w:sz w:val="18"/>
              </w:rPr>
              <w:t>n</w:t>
            </w:r>
            <w:r>
              <w:rPr>
                <w:rFonts w:ascii="Arial" w:hAnsi="Arial"/>
                <w:b/>
                <w:sz w:val="18"/>
                <w:vertAlign w:val="subscript"/>
              </w:rPr>
              <w:t>50</w:t>
            </w:r>
          </w:p>
        </w:tc>
      </w:tr>
      <w:tr w:rsidR="00230F35" w:rsidRPr="00937C8B" w14:paraId="18974AC2" w14:textId="77777777" w:rsidTr="003E38D0">
        <w:trPr>
          <w:jc w:val="center"/>
        </w:trPr>
        <w:tc>
          <w:tcPr>
            <w:tcW w:w="2492" w:type="dxa"/>
            <w:tcBorders>
              <w:top w:val="single" w:sz="6" w:space="0" w:color="000000"/>
              <w:left w:val="nil"/>
              <w:bottom w:val="nil"/>
            </w:tcBorders>
            <w:shd w:val="clear" w:color="auto" w:fill="auto"/>
            <w:tcMar>
              <w:top w:w="0" w:type="dxa"/>
            </w:tcMar>
            <w:vAlign w:val="center"/>
          </w:tcPr>
          <w:p w14:paraId="0EC63E88" w14:textId="77777777" w:rsidR="00230F35" w:rsidRPr="00937C8B" w:rsidRDefault="00230F35" w:rsidP="003E38D0">
            <w:pPr>
              <w:rPr>
                <w:rFonts w:ascii="Arial" w:eastAsia="Arial" w:hAnsi="Arial" w:cs="Arial"/>
                <w:sz w:val="18"/>
              </w:rPr>
            </w:pPr>
            <w:r>
              <w:rPr>
                <w:rFonts w:ascii="Arial" w:hAnsi="Arial"/>
                <w:sz w:val="18"/>
              </w:rPr>
              <w:t>V/A &lt;= 2</w:t>
            </w:r>
          </w:p>
        </w:tc>
        <w:tc>
          <w:tcPr>
            <w:tcW w:w="2620" w:type="dxa"/>
            <w:tcBorders>
              <w:top w:val="single" w:sz="6" w:space="0" w:color="000000"/>
              <w:left w:val="single" w:sz="6" w:space="0" w:color="000000"/>
              <w:bottom w:val="nil"/>
              <w:right w:val="nil"/>
            </w:tcBorders>
            <w:shd w:val="clear" w:color="auto" w:fill="auto"/>
            <w:tcMar>
              <w:top w:w="0" w:type="dxa"/>
              <w:right w:w="57" w:type="dxa"/>
            </w:tcMar>
            <w:vAlign w:val="center"/>
          </w:tcPr>
          <w:p w14:paraId="6659A838" w14:textId="77777777" w:rsidR="00230F35" w:rsidRPr="00937C8B" w:rsidRDefault="00230F35" w:rsidP="003E38D0">
            <w:pPr>
              <w:jc w:val="center"/>
              <w:rPr>
                <w:rFonts w:ascii="Arial" w:eastAsia="Arial" w:hAnsi="Arial" w:cs="Arial"/>
                <w:sz w:val="18"/>
              </w:rPr>
            </w:pPr>
            <w:r>
              <w:rPr>
                <w:rFonts w:ascii="Arial" w:hAnsi="Arial"/>
                <w:sz w:val="18"/>
              </w:rPr>
              <w:t>6</w:t>
            </w:r>
          </w:p>
        </w:tc>
      </w:tr>
      <w:tr w:rsidR="00230F35" w:rsidRPr="00937C8B" w14:paraId="55E26F09" w14:textId="77777777" w:rsidTr="003E38D0">
        <w:trPr>
          <w:jc w:val="center"/>
        </w:trPr>
        <w:tc>
          <w:tcPr>
            <w:tcW w:w="2492" w:type="dxa"/>
            <w:tcBorders>
              <w:top w:val="nil"/>
              <w:left w:val="nil"/>
              <w:bottom w:val="nil"/>
            </w:tcBorders>
            <w:shd w:val="clear" w:color="auto" w:fill="auto"/>
            <w:tcMar>
              <w:top w:w="0" w:type="dxa"/>
            </w:tcMar>
            <w:vAlign w:val="center"/>
          </w:tcPr>
          <w:p w14:paraId="7F1BA2DB" w14:textId="77777777" w:rsidR="00230F35" w:rsidRPr="00937C8B" w:rsidRDefault="00230F35" w:rsidP="003E38D0">
            <w:pPr>
              <w:rPr>
                <w:rFonts w:ascii="Arial" w:eastAsia="Arial" w:hAnsi="Arial" w:cs="Arial"/>
                <w:sz w:val="18"/>
              </w:rPr>
            </w:pPr>
            <w:r>
              <w:rPr>
                <w:rFonts w:ascii="Arial" w:hAnsi="Arial"/>
                <w:sz w:val="18"/>
              </w:rPr>
              <w:t>V/A &gt;= 4</w:t>
            </w:r>
          </w:p>
        </w:tc>
        <w:tc>
          <w:tcPr>
            <w:tcW w:w="2620" w:type="dxa"/>
            <w:tcBorders>
              <w:top w:val="nil"/>
              <w:left w:val="single" w:sz="6" w:space="0" w:color="000000"/>
              <w:bottom w:val="nil"/>
              <w:right w:val="nil"/>
            </w:tcBorders>
            <w:shd w:val="clear" w:color="auto" w:fill="auto"/>
            <w:tcMar>
              <w:top w:w="0" w:type="dxa"/>
              <w:right w:w="57" w:type="dxa"/>
            </w:tcMar>
            <w:vAlign w:val="center"/>
          </w:tcPr>
          <w:p w14:paraId="6243961B" w14:textId="77777777" w:rsidR="00230F35" w:rsidRPr="00937C8B" w:rsidRDefault="00230F35" w:rsidP="003E38D0">
            <w:pPr>
              <w:jc w:val="center"/>
              <w:rPr>
                <w:rFonts w:ascii="Arial" w:eastAsia="Arial" w:hAnsi="Arial" w:cs="Arial"/>
                <w:sz w:val="18"/>
              </w:rPr>
            </w:pPr>
            <w:r>
              <w:rPr>
                <w:rFonts w:ascii="Arial" w:hAnsi="Arial"/>
                <w:sz w:val="18"/>
              </w:rPr>
              <w:t>3</w:t>
            </w:r>
          </w:p>
        </w:tc>
      </w:tr>
      <w:tr w:rsidR="00230F35" w:rsidRPr="00937C8B" w14:paraId="78CF3796" w14:textId="77777777" w:rsidTr="003E38D0">
        <w:trPr>
          <w:jc w:val="center"/>
        </w:trPr>
        <w:tc>
          <w:tcPr>
            <w:tcW w:w="5112" w:type="dxa"/>
            <w:gridSpan w:val="2"/>
            <w:tcBorders>
              <w:top w:val="nil"/>
              <w:left w:val="nil"/>
              <w:bottom w:val="nil"/>
              <w:right w:val="nil"/>
            </w:tcBorders>
            <w:shd w:val="clear" w:color="auto" w:fill="auto"/>
            <w:tcMar>
              <w:top w:w="0" w:type="dxa"/>
            </w:tcMar>
            <w:vAlign w:val="center"/>
          </w:tcPr>
          <w:p w14:paraId="6ACA9551" w14:textId="77777777" w:rsidR="00230F35" w:rsidRPr="00937C8B" w:rsidRDefault="00230F35" w:rsidP="003E38D0">
            <w:pPr>
              <w:pStyle w:val="CTEtabla-texto"/>
              <w:keepNext/>
              <w:jc w:val="both"/>
              <w:rPr>
                <w:rFonts w:cs="Arial"/>
                <w:iCs/>
                <w:sz w:val="16"/>
              </w:rPr>
            </w:pPr>
            <w:r>
              <w:rPr>
                <w:iCs/>
                <w:sz w:val="16"/>
              </w:rPr>
              <w:t>Les valeurs limites des compacités intermédiaires (2&lt;V/A&lt;4) se déduisent par interpolation.</w:t>
            </w:r>
          </w:p>
        </w:tc>
      </w:tr>
    </w:tbl>
    <w:p w14:paraId="40947CBD" w14:textId="77777777" w:rsidR="00230F35" w:rsidRPr="00937C8B" w:rsidRDefault="00230F35" w:rsidP="00230F35">
      <w:pPr>
        <w:pStyle w:val="CTENumeracion"/>
        <w:keepLines/>
        <w:spacing w:before="120"/>
        <w:rPr>
          <w:rFonts w:cs="Arial"/>
          <w:sz w:val="22"/>
          <w:szCs w:val="22"/>
        </w:rPr>
      </w:pPr>
      <w:bookmarkStart w:id="109" w:name="_Toc530395256"/>
      <w:bookmarkStart w:id="110" w:name="_Toc530396135"/>
      <w:r>
        <w:rPr>
          <w:sz w:val="22"/>
          <w:szCs w:val="22"/>
        </w:rPr>
        <w:t>4</w:t>
      </w:r>
      <w:r>
        <w:rPr>
          <w:sz w:val="22"/>
          <w:szCs w:val="22"/>
        </w:rPr>
        <w:tab/>
        <w:t xml:space="preserve">L’annexe H établit la méthode de détermination de la </w:t>
      </w:r>
      <w:r>
        <w:rPr>
          <w:i/>
          <w:iCs/>
          <w:sz w:val="22"/>
          <w:szCs w:val="22"/>
        </w:rPr>
        <w:t>perméabilité à l’air</w:t>
      </w:r>
      <w:r>
        <w:rPr>
          <w:sz w:val="22"/>
          <w:szCs w:val="22"/>
        </w:rPr>
        <w:t xml:space="preserve"> du bâtiment</w:t>
      </w:r>
    </w:p>
    <w:p w14:paraId="1B823342" w14:textId="77777777" w:rsidR="00230F35" w:rsidRPr="00937C8B" w:rsidRDefault="00230F35" w:rsidP="009467D5">
      <w:pPr>
        <w:pStyle w:val="CteTtulo3"/>
      </w:pPr>
      <w:bookmarkStart w:id="111" w:name="_Toc39157927"/>
      <w:r>
        <w:t>3.2</w:t>
      </w:r>
      <w:r>
        <w:tab/>
        <w:t>Limitation des décompensations</w:t>
      </w:r>
      <w:bookmarkEnd w:id="109"/>
      <w:bookmarkEnd w:id="110"/>
      <w:bookmarkEnd w:id="111"/>
    </w:p>
    <w:p w14:paraId="6CF52139" w14:textId="59A0EAD0" w:rsidR="00230F35" w:rsidRPr="00937C8B" w:rsidRDefault="00230F35" w:rsidP="00D27646">
      <w:pPr>
        <w:pStyle w:val="CTENumeracion"/>
        <w:keepNext/>
        <w:spacing w:before="120"/>
        <w:rPr>
          <w:rFonts w:cs="Arial"/>
          <w:sz w:val="22"/>
          <w:szCs w:val="22"/>
        </w:rPr>
      </w:pPr>
      <w:r>
        <w:rPr>
          <w:sz w:val="22"/>
          <w:szCs w:val="22"/>
        </w:rPr>
        <w:t>1</w:t>
      </w:r>
      <w:r>
        <w:rPr>
          <w:sz w:val="22"/>
          <w:szCs w:val="22"/>
        </w:rPr>
        <w:tab/>
        <w:t xml:space="preserve">La </w:t>
      </w:r>
      <w:r>
        <w:rPr>
          <w:i/>
          <w:iCs/>
          <w:sz w:val="22"/>
          <w:szCs w:val="22"/>
        </w:rPr>
        <w:t>transmission thermique</w:t>
      </w:r>
      <w:r>
        <w:rPr>
          <w:sz w:val="22"/>
          <w:szCs w:val="22"/>
        </w:rPr>
        <w:t xml:space="preserve"> des </w:t>
      </w:r>
      <w:r>
        <w:rPr>
          <w:i/>
          <w:iCs/>
          <w:sz w:val="22"/>
          <w:szCs w:val="22"/>
        </w:rPr>
        <w:t>séparations intérieures</w:t>
      </w:r>
      <w:r>
        <w:rPr>
          <w:sz w:val="22"/>
          <w:szCs w:val="22"/>
        </w:rPr>
        <w:t xml:space="preserve"> ne dépassera pas la valeur donnée par le tableau 3.2-HE1, selon l</w:t>
      </w:r>
      <w:r w:rsidR="00EA7588">
        <w:rPr>
          <w:sz w:val="22"/>
          <w:szCs w:val="22"/>
        </w:rPr>
        <w:t>’</w:t>
      </w:r>
      <w:r>
        <w:rPr>
          <w:sz w:val="22"/>
          <w:szCs w:val="22"/>
        </w:rPr>
        <w:t xml:space="preserve">usage attribué aux différentes </w:t>
      </w:r>
      <w:r>
        <w:rPr>
          <w:i/>
          <w:iCs/>
          <w:sz w:val="22"/>
          <w:szCs w:val="22"/>
        </w:rPr>
        <w:t>unités d</w:t>
      </w:r>
      <w:r w:rsidR="00EA7588">
        <w:rPr>
          <w:i/>
          <w:iCs/>
          <w:sz w:val="22"/>
          <w:szCs w:val="22"/>
        </w:rPr>
        <w:t>’</w:t>
      </w:r>
      <w:r>
        <w:rPr>
          <w:i/>
          <w:iCs/>
          <w:sz w:val="22"/>
          <w:szCs w:val="22"/>
        </w:rPr>
        <w:t>utilisation</w:t>
      </w:r>
      <w:r>
        <w:rPr>
          <w:sz w:val="22"/>
          <w:szCs w:val="22"/>
        </w:rPr>
        <w:t xml:space="preserve"> définies:</w:t>
      </w:r>
    </w:p>
    <w:p w14:paraId="13087508" w14:textId="77777777" w:rsidR="00230F35" w:rsidRPr="00937C8B" w:rsidRDefault="00230F35" w:rsidP="00D27646">
      <w:pPr>
        <w:pStyle w:val="CTEtabla-Titulo"/>
        <w:spacing w:before="240" w:after="120"/>
      </w:pPr>
      <w:r>
        <w:t xml:space="preserve">Tableau 3.2 - HE1 Valeurs limites de </w:t>
      </w:r>
      <w:r>
        <w:rPr>
          <w:i/>
        </w:rPr>
        <w:t>transmission thermique</w:t>
      </w:r>
      <w:r>
        <w:t xml:space="preserve"> des séparations intérieures U</w:t>
      </w:r>
      <w:r>
        <w:rPr>
          <w:vertAlign w:val="subscript"/>
        </w:rPr>
        <w:t>lim</w:t>
      </w:r>
      <w:r>
        <w:t xml:space="preserve"> [W/m²K]</w:t>
      </w:r>
    </w:p>
    <w:tbl>
      <w:tblPr>
        <w:tblW w:w="8512" w:type="dxa"/>
        <w:jc w:val="center"/>
        <w:tblBorders>
          <w:right w:val="single" w:sz="2" w:space="0" w:color="000000"/>
          <w:insideV w:val="single" w:sz="2" w:space="0" w:color="000000"/>
        </w:tblBorders>
        <w:tblCellMar>
          <w:left w:w="10" w:type="dxa"/>
          <w:right w:w="10" w:type="dxa"/>
        </w:tblCellMar>
        <w:tblLook w:val="04A0" w:firstRow="1" w:lastRow="0" w:firstColumn="1" w:lastColumn="0" w:noHBand="0" w:noVBand="1"/>
      </w:tblPr>
      <w:tblGrid>
        <w:gridCol w:w="2694"/>
        <w:gridCol w:w="2255"/>
        <w:gridCol w:w="590"/>
        <w:gridCol w:w="592"/>
        <w:gridCol w:w="591"/>
        <w:gridCol w:w="589"/>
        <w:gridCol w:w="590"/>
        <w:gridCol w:w="611"/>
      </w:tblGrid>
      <w:tr w:rsidR="00230F35" w:rsidRPr="00937C8B" w14:paraId="5F925236" w14:textId="77777777" w:rsidTr="00935676">
        <w:trPr>
          <w:jc w:val="center"/>
        </w:trPr>
        <w:tc>
          <w:tcPr>
            <w:tcW w:w="2693" w:type="dxa"/>
            <w:tcBorders>
              <w:top w:val="nil"/>
              <w:bottom w:val="nil"/>
              <w:right w:val="nil"/>
            </w:tcBorders>
            <w:shd w:val="clear" w:color="auto" w:fill="FFFFFF"/>
          </w:tcPr>
          <w:p w14:paraId="467E67FB" w14:textId="77777777" w:rsidR="00230F35" w:rsidRPr="00937C8B" w:rsidRDefault="00230F35" w:rsidP="00D27646">
            <w:pPr>
              <w:pStyle w:val="CTEtabla-texto"/>
              <w:keepNext/>
              <w:keepLines/>
              <w:rPr>
                <w:rFonts w:cs="Arial"/>
                <w:b/>
              </w:rPr>
            </w:pPr>
          </w:p>
        </w:tc>
        <w:tc>
          <w:tcPr>
            <w:tcW w:w="2255" w:type="dxa"/>
            <w:vMerge w:val="restart"/>
            <w:tcBorders>
              <w:top w:val="nil"/>
              <w:left w:val="nil"/>
              <w:bottom w:val="single" w:sz="2" w:space="0" w:color="000000"/>
              <w:right w:val="single" w:sz="2" w:space="0" w:color="000000"/>
            </w:tcBorders>
            <w:shd w:val="clear" w:color="auto" w:fill="FFFFFF"/>
            <w:tcMar>
              <w:top w:w="55" w:type="dxa"/>
              <w:left w:w="46" w:type="dxa"/>
              <w:bottom w:w="55" w:type="dxa"/>
              <w:right w:w="55" w:type="dxa"/>
            </w:tcMar>
            <w:vAlign w:val="center"/>
          </w:tcPr>
          <w:p w14:paraId="7A67EB3C" w14:textId="49139C7F" w:rsidR="00230F35" w:rsidRPr="00937C8B" w:rsidRDefault="00230F35" w:rsidP="00D27646">
            <w:pPr>
              <w:pStyle w:val="CTEtabla-texto"/>
              <w:keepNext/>
              <w:keepLines/>
              <w:rPr>
                <w:rFonts w:cs="Arial"/>
                <w:b/>
              </w:rPr>
            </w:pPr>
            <w:r>
              <w:rPr>
                <w:b/>
              </w:rPr>
              <w:t>Type d</w:t>
            </w:r>
            <w:r w:rsidR="00EA7588">
              <w:rPr>
                <w:b/>
              </w:rPr>
              <w:t>’</w:t>
            </w:r>
            <w:r>
              <w:rPr>
                <w:b/>
              </w:rPr>
              <w:t>élément</w:t>
            </w:r>
          </w:p>
        </w:tc>
        <w:tc>
          <w:tcPr>
            <w:tcW w:w="3563" w:type="dxa"/>
            <w:gridSpan w:val="6"/>
            <w:tcBorders>
              <w:top w:val="nil"/>
              <w:left w:val="single" w:sz="2" w:space="0" w:color="000000"/>
              <w:bottom w:val="nil"/>
              <w:right w:val="nil"/>
            </w:tcBorders>
            <w:shd w:val="clear" w:color="auto" w:fill="FFFFFF"/>
            <w:tcMar>
              <w:top w:w="55" w:type="dxa"/>
              <w:left w:w="46" w:type="dxa"/>
              <w:bottom w:w="55" w:type="dxa"/>
              <w:right w:w="55" w:type="dxa"/>
            </w:tcMar>
          </w:tcPr>
          <w:p w14:paraId="7FB861F1" w14:textId="77777777" w:rsidR="00230F35" w:rsidRPr="00937C8B" w:rsidRDefault="00230F35" w:rsidP="00D27646">
            <w:pPr>
              <w:pStyle w:val="CTEtabla-texto"/>
              <w:keepNext/>
              <w:keepLines/>
              <w:rPr>
                <w:rFonts w:cs="Arial"/>
                <w:b/>
              </w:rPr>
            </w:pPr>
            <w:r>
              <w:rPr>
                <w:b/>
              </w:rPr>
              <w:t>Zone climatique en hiver</w:t>
            </w:r>
          </w:p>
        </w:tc>
      </w:tr>
      <w:tr w:rsidR="00230F35" w:rsidRPr="00937C8B" w14:paraId="4EFE1484" w14:textId="77777777" w:rsidTr="00935676">
        <w:trPr>
          <w:jc w:val="center"/>
        </w:trPr>
        <w:tc>
          <w:tcPr>
            <w:tcW w:w="2693" w:type="dxa"/>
            <w:tcBorders>
              <w:top w:val="nil"/>
              <w:bottom w:val="single" w:sz="2" w:space="0" w:color="000000"/>
              <w:right w:val="nil"/>
            </w:tcBorders>
            <w:shd w:val="clear" w:color="auto" w:fill="FFFFFF"/>
          </w:tcPr>
          <w:p w14:paraId="0B68BE9B" w14:textId="77777777" w:rsidR="00230F35" w:rsidRPr="00937C8B" w:rsidRDefault="00230F35" w:rsidP="00D27646">
            <w:pPr>
              <w:keepNext/>
              <w:rPr>
                <w:rFonts w:ascii="Arial" w:hAnsi="Arial" w:cs="Arial"/>
              </w:rPr>
            </w:pPr>
          </w:p>
        </w:tc>
        <w:tc>
          <w:tcPr>
            <w:tcW w:w="2255" w:type="dxa"/>
            <w:vMerge/>
            <w:tcBorders>
              <w:top w:val="nil"/>
              <w:left w:val="nil"/>
              <w:bottom w:val="single" w:sz="2" w:space="0" w:color="000000"/>
              <w:right w:val="single" w:sz="2" w:space="0" w:color="000000"/>
            </w:tcBorders>
            <w:shd w:val="clear" w:color="auto" w:fill="FFFFFF"/>
            <w:tcMar>
              <w:top w:w="55" w:type="dxa"/>
              <w:left w:w="46" w:type="dxa"/>
              <w:bottom w:w="55" w:type="dxa"/>
              <w:right w:w="55" w:type="dxa"/>
            </w:tcMar>
            <w:vAlign w:val="center"/>
          </w:tcPr>
          <w:p w14:paraId="4C6503BE" w14:textId="77777777" w:rsidR="00230F35" w:rsidRPr="00937C8B" w:rsidRDefault="00230F35" w:rsidP="00D27646">
            <w:pPr>
              <w:keepNext/>
              <w:rPr>
                <w:rFonts w:ascii="Arial" w:hAnsi="Arial" w:cs="Arial"/>
              </w:rPr>
            </w:pPr>
          </w:p>
        </w:tc>
        <w:tc>
          <w:tcPr>
            <w:tcW w:w="590" w:type="dxa"/>
            <w:tcBorders>
              <w:top w:val="nil"/>
              <w:left w:val="single" w:sz="2" w:space="0" w:color="000000"/>
              <w:bottom w:val="single" w:sz="2" w:space="0" w:color="000000"/>
              <w:right w:val="nil"/>
            </w:tcBorders>
            <w:shd w:val="clear" w:color="auto" w:fill="FFFFFF"/>
            <w:tcMar>
              <w:top w:w="55" w:type="dxa"/>
              <w:left w:w="46" w:type="dxa"/>
              <w:bottom w:w="55" w:type="dxa"/>
              <w:right w:w="55" w:type="dxa"/>
            </w:tcMar>
          </w:tcPr>
          <w:p w14:paraId="5A4D7C25" w14:textId="77777777" w:rsidR="00230F35" w:rsidRPr="00937C8B" w:rsidRDefault="00230F35" w:rsidP="00D27646">
            <w:pPr>
              <w:pStyle w:val="CTEtabla-texto"/>
              <w:keepNext/>
              <w:keepLines/>
              <w:rPr>
                <w:rFonts w:cs="Arial"/>
                <w:b/>
              </w:rPr>
            </w:pPr>
            <w:r>
              <w:rPr>
                <w:b/>
              </w:rPr>
              <w:t>α</w:t>
            </w:r>
          </w:p>
        </w:tc>
        <w:tc>
          <w:tcPr>
            <w:tcW w:w="592"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14:paraId="69A07566" w14:textId="77777777" w:rsidR="00230F35" w:rsidRPr="00937C8B" w:rsidRDefault="00230F35" w:rsidP="00D27646">
            <w:pPr>
              <w:pStyle w:val="CTEtabla-texto"/>
              <w:keepNext/>
              <w:keepLines/>
              <w:rPr>
                <w:rFonts w:cs="Arial"/>
                <w:b/>
              </w:rPr>
            </w:pPr>
            <w:r>
              <w:rPr>
                <w:b/>
              </w:rPr>
              <w:t>A</w:t>
            </w:r>
          </w:p>
        </w:tc>
        <w:tc>
          <w:tcPr>
            <w:tcW w:w="591"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14:paraId="4BC4C1B7" w14:textId="77777777" w:rsidR="00230F35" w:rsidRPr="00937C8B" w:rsidRDefault="00230F35" w:rsidP="00D27646">
            <w:pPr>
              <w:pStyle w:val="CTEtabla-texto"/>
              <w:keepNext/>
              <w:keepLines/>
              <w:rPr>
                <w:rFonts w:cs="Arial"/>
                <w:b/>
              </w:rPr>
            </w:pPr>
            <w:r>
              <w:rPr>
                <w:b/>
              </w:rPr>
              <w:t>B</w:t>
            </w:r>
          </w:p>
        </w:tc>
        <w:tc>
          <w:tcPr>
            <w:tcW w:w="589"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14:paraId="56486664" w14:textId="77777777" w:rsidR="00230F35" w:rsidRPr="00937C8B" w:rsidRDefault="00230F35" w:rsidP="00D27646">
            <w:pPr>
              <w:pStyle w:val="CTEtabla-texto"/>
              <w:keepNext/>
              <w:keepLines/>
              <w:rPr>
                <w:rFonts w:cs="Arial"/>
                <w:b/>
              </w:rPr>
            </w:pPr>
            <w:r>
              <w:rPr>
                <w:b/>
              </w:rPr>
              <w:t>C</w:t>
            </w:r>
          </w:p>
        </w:tc>
        <w:tc>
          <w:tcPr>
            <w:tcW w:w="590"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14:paraId="328CED29" w14:textId="77777777" w:rsidR="00230F35" w:rsidRPr="00937C8B" w:rsidRDefault="00230F35" w:rsidP="00D27646">
            <w:pPr>
              <w:pStyle w:val="CTEtabla-texto"/>
              <w:keepNext/>
              <w:keepLines/>
              <w:rPr>
                <w:rFonts w:cs="Arial"/>
                <w:b/>
              </w:rPr>
            </w:pPr>
            <w:r>
              <w:rPr>
                <w:b/>
              </w:rPr>
              <w:t>D</w:t>
            </w:r>
          </w:p>
        </w:tc>
        <w:tc>
          <w:tcPr>
            <w:tcW w:w="611"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14:paraId="637307C6" w14:textId="77777777" w:rsidR="00230F35" w:rsidRPr="00937C8B" w:rsidRDefault="00230F35" w:rsidP="00D27646">
            <w:pPr>
              <w:pStyle w:val="CTEtabla-texto"/>
              <w:keepNext/>
              <w:keepLines/>
              <w:rPr>
                <w:rFonts w:cs="Arial"/>
                <w:b/>
              </w:rPr>
            </w:pPr>
            <w:r>
              <w:rPr>
                <w:b/>
              </w:rPr>
              <w:t>E</w:t>
            </w:r>
          </w:p>
        </w:tc>
      </w:tr>
      <w:tr w:rsidR="00230F35" w:rsidRPr="00937C8B" w14:paraId="44466CA3" w14:textId="77777777" w:rsidTr="00935676">
        <w:trPr>
          <w:jc w:val="center"/>
        </w:trPr>
        <w:tc>
          <w:tcPr>
            <w:tcW w:w="2693" w:type="dxa"/>
            <w:vMerge w:val="restart"/>
            <w:tcBorders>
              <w:top w:val="single" w:sz="2" w:space="0" w:color="000000"/>
              <w:left w:val="nil"/>
              <w:bottom w:val="single" w:sz="2" w:space="0" w:color="000000"/>
              <w:right w:val="nil"/>
            </w:tcBorders>
            <w:shd w:val="clear" w:color="auto" w:fill="FFFFFF"/>
            <w:vAlign w:val="center"/>
          </w:tcPr>
          <w:p w14:paraId="0465E0C7" w14:textId="77777777" w:rsidR="00230F35" w:rsidRPr="00937C8B" w:rsidRDefault="00230F35" w:rsidP="003E38D0">
            <w:pPr>
              <w:pStyle w:val="CTEtabla-texto"/>
              <w:keepNext/>
              <w:keepLines/>
              <w:ind w:left="132"/>
              <w:jc w:val="left"/>
              <w:rPr>
                <w:rFonts w:cs="Arial"/>
              </w:rPr>
            </w:pPr>
            <w:r>
              <w:t>Entre unités de même usage</w:t>
            </w:r>
          </w:p>
        </w:tc>
        <w:tc>
          <w:tcPr>
            <w:tcW w:w="2255" w:type="dxa"/>
            <w:tcBorders>
              <w:top w:val="single" w:sz="2" w:space="0" w:color="000000"/>
              <w:left w:val="nil"/>
              <w:bottom w:val="nil"/>
              <w:right w:val="single" w:sz="2" w:space="0" w:color="000000"/>
            </w:tcBorders>
            <w:shd w:val="clear" w:color="auto" w:fill="FFFFFF"/>
            <w:tcMar>
              <w:top w:w="55" w:type="dxa"/>
              <w:left w:w="46" w:type="dxa"/>
              <w:bottom w:w="55" w:type="dxa"/>
              <w:right w:w="55" w:type="dxa"/>
            </w:tcMar>
            <w:vAlign w:val="center"/>
          </w:tcPr>
          <w:p w14:paraId="536CD715" w14:textId="77777777" w:rsidR="00230F35" w:rsidRPr="00937C8B" w:rsidRDefault="00230F35" w:rsidP="003E38D0">
            <w:pPr>
              <w:pStyle w:val="CTEtabla-texto"/>
              <w:keepNext/>
              <w:keepLines/>
              <w:rPr>
                <w:rFonts w:cs="Arial"/>
              </w:rPr>
            </w:pPr>
            <w:r>
              <w:t>Séparations horizontales</w:t>
            </w:r>
          </w:p>
        </w:tc>
        <w:tc>
          <w:tcPr>
            <w:tcW w:w="590" w:type="dxa"/>
            <w:tcBorders>
              <w:top w:val="single" w:sz="2" w:space="0" w:color="000000"/>
              <w:left w:val="single" w:sz="2" w:space="0" w:color="000000"/>
              <w:bottom w:val="nil"/>
              <w:right w:val="nil"/>
            </w:tcBorders>
            <w:shd w:val="clear" w:color="auto" w:fill="FFFFFF"/>
            <w:tcMar>
              <w:top w:w="55" w:type="dxa"/>
              <w:left w:w="46" w:type="dxa"/>
              <w:bottom w:w="55" w:type="dxa"/>
              <w:right w:w="55" w:type="dxa"/>
            </w:tcMar>
            <w:vAlign w:val="center"/>
          </w:tcPr>
          <w:p w14:paraId="11842197" w14:textId="77777777" w:rsidR="00230F35" w:rsidRPr="00937C8B" w:rsidRDefault="00230F35" w:rsidP="003E38D0">
            <w:pPr>
              <w:pStyle w:val="CTEtabla-texto"/>
              <w:keepNext/>
              <w:keepLines/>
              <w:rPr>
                <w:rFonts w:cs="Arial"/>
              </w:rPr>
            </w:pPr>
            <w:r>
              <w:t>1,90</w:t>
            </w:r>
          </w:p>
        </w:tc>
        <w:tc>
          <w:tcPr>
            <w:tcW w:w="592"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14:paraId="150952FC" w14:textId="77777777" w:rsidR="00230F35" w:rsidRPr="00937C8B" w:rsidRDefault="00230F35" w:rsidP="003E38D0">
            <w:pPr>
              <w:pStyle w:val="CTEtabla-texto"/>
              <w:keepNext/>
              <w:keepLines/>
              <w:rPr>
                <w:rFonts w:cs="Arial"/>
              </w:rPr>
            </w:pPr>
            <w:r>
              <w:t>1,80</w:t>
            </w:r>
          </w:p>
        </w:tc>
        <w:tc>
          <w:tcPr>
            <w:tcW w:w="591"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14:paraId="21C138B5" w14:textId="77777777" w:rsidR="00230F35" w:rsidRPr="00937C8B" w:rsidRDefault="00230F35" w:rsidP="003E38D0">
            <w:pPr>
              <w:pStyle w:val="CTEtabla-texto"/>
              <w:keepNext/>
              <w:keepLines/>
              <w:rPr>
                <w:rFonts w:cs="Arial"/>
              </w:rPr>
            </w:pPr>
            <w:r>
              <w:t>1,55</w:t>
            </w:r>
          </w:p>
        </w:tc>
        <w:tc>
          <w:tcPr>
            <w:tcW w:w="589"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14:paraId="0CA94336" w14:textId="77777777" w:rsidR="00230F35" w:rsidRPr="00937C8B" w:rsidRDefault="00230F35" w:rsidP="003E38D0">
            <w:pPr>
              <w:pStyle w:val="CTEtabla-texto"/>
              <w:keepNext/>
              <w:keepLines/>
              <w:rPr>
                <w:rFonts w:cs="Arial"/>
              </w:rPr>
            </w:pPr>
            <w:r>
              <w:t>1,35</w:t>
            </w:r>
          </w:p>
        </w:tc>
        <w:tc>
          <w:tcPr>
            <w:tcW w:w="590"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14:paraId="54841EB8" w14:textId="77777777" w:rsidR="00230F35" w:rsidRPr="00937C8B" w:rsidRDefault="00230F35" w:rsidP="003E38D0">
            <w:pPr>
              <w:pStyle w:val="CTEtabla-texto"/>
              <w:keepNext/>
              <w:keepLines/>
              <w:rPr>
                <w:rFonts w:cs="Arial"/>
              </w:rPr>
            </w:pPr>
            <w:r>
              <w:t>1,20</w:t>
            </w:r>
          </w:p>
        </w:tc>
        <w:tc>
          <w:tcPr>
            <w:tcW w:w="611"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14:paraId="6B9B6A35" w14:textId="77777777" w:rsidR="00230F35" w:rsidRPr="00937C8B" w:rsidRDefault="00230F35" w:rsidP="003E38D0">
            <w:pPr>
              <w:pStyle w:val="CTEtabla-texto"/>
              <w:keepNext/>
              <w:keepLines/>
              <w:rPr>
                <w:rFonts w:cs="Arial"/>
              </w:rPr>
            </w:pPr>
            <w:r>
              <w:t>1,00</w:t>
            </w:r>
          </w:p>
        </w:tc>
      </w:tr>
      <w:tr w:rsidR="00230F35" w:rsidRPr="00937C8B" w14:paraId="3803CDD2" w14:textId="77777777" w:rsidTr="00935676">
        <w:trPr>
          <w:jc w:val="center"/>
        </w:trPr>
        <w:tc>
          <w:tcPr>
            <w:tcW w:w="2693" w:type="dxa"/>
            <w:vMerge/>
            <w:tcBorders>
              <w:top w:val="nil"/>
              <w:left w:val="nil"/>
              <w:bottom w:val="single" w:sz="2" w:space="0" w:color="000000"/>
              <w:right w:val="nil"/>
            </w:tcBorders>
            <w:shd w:val="clear" w:color="auto" w:fill="FFFFFF"/>
            <w:vAlign w:val="center"/>
          </w:tcPr>
          <w:p w14:paraId="5CC28CF1" w14:textId="77777777" w:rsidR="00230F35" w:rsidRPr="00937C8B" w:rsidRDefault="00230F35" w:rsidP="003E38D0">
            <w:pPr>
              <w:pStyle w:val="CTEtabla-texto"/>
              <w:keepNext/>
              <w:keepLines/>
              <w:rPr>
                <w:rFonts w:cs="Arial"/>
              </w:rPr>
            </w:pPr>
          </w:p>
        </w:tc>
        <w:tc>
          <w:tcPr>
            <w:tcW w:w="2255" w:type="dxa"/>
            <w:tcBorders>
              <w:top w:val="nil"/>
              <w:left w:val="nil"/>
              <w:bottom w:val="single" w:sz="2" w:space="0" w:color="000000"/>
              <w:right w:val="single" w:sz="2" w:space="0" w:color="000000"/>
            </w:tcBorders>
            <w:shd w:val="clear" w:color="auto" w:fill="FFFFFF"/>
            <w:tcMar>
              <w:top w:w="55" w:type="dxa"/>
              <w:left w:w="46" w:type="dxa"/>
              <w:bottom w:w="55" w:type="dxa"/>
              <w:right w:w="55" w:type="dxa"/>
            </w:tcMar>
            <w:vAlign w:val="center"/>
          </w:tcPr>
          <w:p w14:paraId="2EA5F0B0" w14:textId="77777777" w:rsidR="00230F35" w:rsidRPr="00937C8B" w:rsidRDefault="00230F35" w:rsidP="003E38D0">
            <w:pPr>
              <w:pStyle w:val="CTEtabla-texto"/>
              <w:keepNext/>
              <w:keepLines/>
              <w:rPr>
                <w:rFonts w:cs="Arial"/>
              </w:rPr>
            </w:pPr>
            <w:r>
              <w:t>Séparations verticales</w:t>
            </w:r>
          </w:p>
        </w:tc>
        <w:tc>
          <w:tcPr>
            <w:tcW w:w="590" w:type="dxa"/>
            <w:tcBorders>
              <w:top w:val="nil"/>
              <w:left w:val="single" w:sz="2" w:space="0" w:color="000000"/>
              <w:bottom w:val="single" w:sz="2" w:space="0" w:color="000000"/>
              <w:right w:val="nil"/>
            </w:tcBorders>
            <w:shd w:val="clear" w:color="auto" w:fill="FFFFFF"/>
            <w:tcMar>
              <w:top w:w="55" w:type="dxa"/>
              <w:left w:w="46" w:type="dxa"/>
              <w:bottom w:w="55" w:type="dxa"/>
              <w:right w:w="55" w:type="dxa"/>
            </w:tcMar>
            <w:vAlign w:val="center"/>
          </w:tcPr>
          <w:p w14:paraId="2F0F626F" w14:textId="77777777" w:rsidR="00230F35" w:rsidRPr="00937C8B" w:rsidRDefault="00230F35" w:rsidP="003E38D0">
            <w:pPr>
              <w:pStyle w:val="CTEtabla-texto"/>
              <w:keepNext/>
              <w:keepLines/>
              <w:rPr>
                <w:rFonts w:cs="Arial"/>
              </w:rPr>
            </w:pPr>
            <w:r>
              <w:t>1,40</w:t>
            </w:r>
          </w:p>
        </w:tc>
        <w:tc>
          <w:tcPr>
            <w:tcW w:w="592"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14:paraId="7C4015A3" w14:textId="77777777" w:rsidR="00230F35" w:rsidRPr="00937C8B" w:rsidRDefault="00230F35" w:rsidP="003E38D0">
            <w:pPr>
              <w:pStyle w:val="CTEtabla-texto"/>
              <w:keepNext/>
              <w:keepLines/>
              <w:rPr>
                <w:rFonts w:cs="Arial"/>
              </w:rPr>
            </w:pPr>
            <w:r>
              <w:t>1,40</w:t>
            </w:r>
          </w:p>
        </w:tc>
        <w:tc>
          <w:tcPr>
            <w:tcW w:w="591"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14:paraId="418AFBD6" w14:textId="77777777" w:rsidR="00230F35" w:rsidRPr="00937C8B" w:rsidRDefault="00230F35" w:rsidP="003E38D0">
            <w:pPr>
              <w:pStyle w:val="CTEtabla-texto"/>
              <w:keepNext/>
              <w:keepLines/>
              <w:rPr>
                <w:rFonts w:cs="Arial"/>
              </w:rPr>
            </w:pPr>
            <w:r>
              <w:t>1,20</w:t>
            </w:r>
          </w:p>
        </w:tc>
        <w:tc>
          <w:tcPr>
            <w:tcW w:w="589"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14:paraId="0BEC10B2" w14:textId="77777777" w:rsidR="00230F35" w:rsidRPr="00937C8B" w:rsidRDefault="00230F35" w:rsidP="003E38D0">
            <w:pPr>
              <w:pStyle w:val="CTEtabla-texto"/>
              <w:keepNext/>
              <w:keepLines/>
              <w:rPr>
                <w:rFonts w:cs="Arial"/>
              </w:rPr>
            </w:pPr>
            <w:r>
              <w:t>1,20</w:t>
            </w:r>
          </w:p>
        </w:tc>
        <w:tc>
          <w:tcPr>
            <w:tcW w:w="590"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14:paraId="7A4928DE" w14:textId="77777777" w:rsidR="00230F35" w:rsidRPr="00937C8B" w:rsidRDefault="00230F35" w:rsidP="003E38D0">
            <w:pPr>
              <w:pStyle w:val="CTEtabla-texto"/>
              <w:keepNext/>
              <w:keepLines/>
              <w:rPr>
                <w:rFonts w:cs="Arial"/>
              </w:rPr>
            </w:pPr>
            <w:r>
              <w:t>1,20</w:t>
            </w:r>
          </w:p>
        </w:tc>
        <w:tc>
          <w:tcPr>
            <w:tcW w:w="611"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14:paraId="63B1D34B" w14:textId="77777777" w:rsidR="00230F35" w:rsidRPr="00937C8B" w:rsidRDefault="00230F35" w:rsidP="003E38D0">
            <w:pPr>
              <w:pStyle w:val="CTEtabla-texto"/>
              <w:keepNext/>
              <w:keepLines/>
              <w:rPr>
                <w:rFonts w:cs="Arial"/>
              </w:rPr>
            </w:pPr>
            <w:r>
              <w:t>1,00</w:t>
            </w:r>
          </w:p>
        </w:tc>
      </w:tr>
      <w:tr w:rsidR="00230F35" w:rsidRPr="00937C8B" w14:paraId="7F56FAED" w14:textId="77777777" w:rsidTr="00935676">
        <w:trPr>
          <w:jc w:val="center"/>
        </w:trPr>
        <w:tc>
          <w:tcPr>
            <w:tcW w:w="2693" w:type="dxa"/>
            <w:tcBorders>
              <w:top w:val="single" w:sz="2" w:space="0" w:color="000000"/>
              <w:left w:val="nil"/>
              <w:bottom w:val="nil"/>
              <w:right w:val="nil"/>
            </w:tcBorders>
            <w:shd w:val="clear" w:color="auto" w:fill="FFFFFF"/>
            <w:vAlign w:val="center"/>
          </w:tcPr>
          <w:p w14:paraId="04FBC882" w14:textId="77777777" w:rsidR="00230F35" w:rsidRPr="00937C8B" w:rsidRDefault="00230F35" w:rsidP="003E38D0">
            <w:pPr>
              <w:pStyle w:val="CTEtabla-texto"/>
              <w:keepNext/>
              <w:keepLines/>
              <w:ind w:left="132"/>
              <w:jc w:val="left"/>
              <w:rPr>
                <w:rFonts w:cs="Arial"/>
              </w:rPr>
            </w:pPr>
            <w:r>
              <w:t>Entre unités d’usage différent</w:t>
            </w:r>
          </w:p>
          <w:p w14:paraId="4A47E730" w14:textId="77777777" w:rsidR="00230F35" w:rsidRPr="00937C8B" w:rsidRDefault="00230F35" w:rsidP="003E38D0">
            <w:pPr>
              <w:pStyle w:val="CTEtabla-texto"/>
              <w:keepNext/>
              <w:keepLines/>
              <w:ind w:left="132"/>
              <w:jc w:val="left"/>
              <w:rPr>
                <w:rFonts w:cs="Arial"/>
              </w:rPr>
            </w:pPr>
            <w:r>
              <w:t>Entre unités d’usage et zones communes</w:t>
            </w:r>
          </w:p>
        </w:tc>
        <w:tc>
          <w:tcPr>
            <w:tcW w:w="2255" w:type="dxa"/>
            <w:tcBorders>
              <w:top w:val="single" w:sz="2" w:space="0" w:color="000000"/>
              <w:left w:val="nil"/>
              <w:bottom w:val="nil"/>
              <w:right w:val="single" w:sz="2" w:space="0" w:color="000000"/>
            </w:tcBorders>
            <w:shd w:val="clear" w:color="auto" w:fill="FFFFFF"/>
            <w:tcMar>
              <w:top w:w="55" w:type="dxa"/>
              <w:left w:w="46" w:type="dxa"/>
              <w:bottom w:w="55" w:type="dxa"/>
              <w:right w:w="55" w:type="dxa"/>
            </w:tcMar>
            <w:vAlign w:val="center"/>
          </w:tcPr>
          <w:p w14:paraId="437CEC9C" w14:textId="77777777" w:rsidR="00230F35" w:rsidRPr="00937C8B" w:rsidRDefault="00230F35" w:rsidP="003E38D0">
            <w:pPr>
              <w:pStyle w:val="CTEtabla-texto"/>
              <w:keepNext/>
              <w:keepLines/>
              <w:rPr>
                <w:rFonts w:cs="Arial"/>
              </w:rPr>
            </w:pPr>
            <w:r>
              <w:t>Séparations horizontales et verticales</w:t>
            </w:r>
          </w:p>
        </w:tc>
        <w:tc>
          <w:tcPr>
            <w:tcW w:w="590" w:type="dxa"/>
            <w:tcBorders>
              <w:top w:val="single" w:sz="2" w:space="0" w:color="000000"/>
              <w:left w:val="single" w:sz="2" w:space="0" w:color="000000"/>
              <w:bottom w:val="nil"/>
              <w:right w:val="nil"/>
            </w:tcBorders>
            <w:shd w:val="clear" w:color="auto" w:fill="FFFFFF"/>
            <w:tcMar>
              <w:top w:w="55" w:type="dxa"/>
              <w:left w:w="46" w:type="dxa"/>
              <w:bottom w:w="55" w:type="dxa"/>
              <w:right w:w="55" w:type="dxa"/>
            </w:tcMar>
            <w:vAlign w:val="center"/>
          </w:tcPr>
          <w:p w14:paraId="2A8E0426" w14:textId="77777777" w:rsidR="00230F35" w:rsidRPr="00937C8B" w:rsidRDefault="00230F35" w:rsidP="003E38D0">
            <w:pPr>
              <w:pStyle w:val="CTEtabla-texto"/>
              <w:keepNext/>
              <w:keepLines/>
              <w:rPr>
                <w:rFonts w:cs="Arial"/>
              </w:rPr>
            </w:pPr>
            <w:r>
              <w:t>1,35</w:t>
            </w:r>
          </w:p>
        </w:tc>
        <w:tc>
          <w:tcPr>
            <w:tcW w:w="592"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14:paraId="2541F9BA" w14:textId="77777777" w:rsidR="00230F35" w:rsidRPr="00937C8B" w:rsidRDefault="00230F35" w:rsidP="003E38D0">
            <w:pPr>
              <w:pStyle w:val="CTEtabla-texto"/>
              <w:keepNext/>
              <w:keepLines/>
              <w:rPr>
                <w:rFonts w:cs="Arial"/>
              </w:rPr>
            </w:pPr>
            <w:r>
              <w:t>1,25</w:t>
            </w:r>
          </w:p>
        </w:tc>
        <w:tc>
          <w:tcPr>
            <w:tcW w:w="591"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14:paraId="6F1618D4" w14:textId="77777777" w:rsidR="00230F35" w:rsidRPr="00937C8B" w:rsidRDefault="00230F35" w:rsidP="003E38D0">
            <w:pPr>
              <w:pStyle w:val="CTEtabla-texto"/>
              <w:keepNext/>
              <w:keepLines/>
              <w:rPr>
                <w:rFonts w:cs="Arial"/>
              </w:rPr>
            </w:pPr>
            <w:r>
              <w:t>1,10</w:t>
            </w:r>
          </w:p>
        </w:tc>
        <w:tc>
          <w:tcPr>
            <w:tcW w:w="589"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14:paraId="3DC36910" w14:textId="77777777" w:rsidR="00230F35" w:rsidRPr="00937C8B" w:rsidRDefault="00230F35" w:rsidP="003E38D0">
            <w:pPr>
              <w:pStyle w:val="CTEtabla-texto"/>
              <w:keepNext/>
              <w:keepLines/>
              <w:rPr>
                <w:rFonts w:cs="Arial"/>
              </w:rPr>
            </w:pPr>
            <w:r>
              <w:t>0,95</w:t>
            </w:r>
          </w:p>
        </w:tc>
        <w:tc>
          <w:tcPr>
            <w:tcW w:w="590"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14:paraId="0CA261F5" w14:textId="77777777" w:rsidR="00230F35" w:rsidRPr="00937C8B" w:rsidRDefault="00230F35" w:rsidP="003E38D0">
            <w:pPr>
              <w:pStyle w:val="CTEtabla-texto"/>
              <w:keepNext/>
              <w:keepLines/>
              <w:rPr>
                <w:rFonts w:cs="Arial"/>
              </w:rPr>
            </w:pPr>
            <w:r>
              <w:t>0,85</w:t>
            </w:r>
          </w:p>
        </w:tc>
        <w:tc>
          <w:tcPr>
            <w:tcW w:w="611"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14:paraId="4C94B0FF" w14:textId="77777777" w:rsidR="00230F35" w:rsidRPr="00937C8B" w:rsidRDefault="00230F35" w:rsidP="003E38D0">
            <w:pPr>
              <w:pStyle w:val="CTEtabla-texto"/>
              <w:keepNext/>
              <w:keepLines/>
              <w:rPr>
                <w:rFonts w:cs="Arial"/>
              </w:rPr>
            </w:pPr>
            <w:r>
              <w:t>0,70</w:t>
            </w:r>
          </w:p>
        </w:tc>
      </w:tr>
    </w:tbl>
    <w:p w14:paraId="46E56390" w14:textId="77777777" w:rsidR="00230F35" w:rsidRPr="00937C8B" w:rsidRDefault="00230F35" w:rsidP="00D27646">
      <w:pPr>
        <w:pStyle w:val="CTENumeracion"/>
        <w:keepNext/>
        <w:spacing w:before="120"/>
        <w:rPr>
          <w:rFonts w:cs="Arial"/>
          <w:sz w:val="22"/>
          <w:szCs w:val="22"/>
        </w:rPr>
      </w:pPr>
      <w:r>
        <w:rPr>
          <w:sz w:val="22"/>
          <w:szCs w:val="22"/>
        </w:rPr>
        <w:t>2 Dans le cas des rénovations, la valeur limite (U</w:t>
      </w:r>
      <w:r>
        <w:rPr>
          <w:sz w:val="22"/>
          <w:szCs w:val="22"/>
          <w:vertAlign w:val="subscript"/>
        </w:rPr>
        <w:t>lim</w:t>
      </w:r>
      <w:r>
        <w:rPr>
          <w:sz w:val="22"/>
          <w:szCs w:val="22"/>
        </w:rPr>
        <w:t>) du tableau 3.2-HE1 s’applique uniquement aux séparations intérieures:</w:t>
      </w:r>
    </w:p>
    <w:p w14:paraId="692962C0" w14:textId="4FEDA101" w:rsidR="00230F35" w:rsidRPr="00937C8B" w:rsidRDefault="00230F35" w:rsidP="00CE6532">
      <w:pPr>
        <w:pStyle w:val="CTENumeracion"/>
        <w:tabs>
          <w:tab w:val="left" w:pos="851"/>
        </w:tabs>
        <w:ind w:firstLine="171"/>
        <w:rPr>
          <w:rFonts w:cs="Arial"/>
          <w:sz w:val="22"/>
          <w:szCs w:val="22"/>
        </w:rPr>
      </w:pPr>
      <w:r>
        <w:rPr>
          <w:sz w:val="22"/>
          <w:szCs w:val="22"/>
        </w:rPr>
        <w:t>a)</w:t>
      </w:r>
      <w:r>
        <w:rPr>
          <w:sz w:val="22"/>
          <w:szCs w:val="22"/>
        </w:rPr>
        <w:tab/>
        <w:t>qui ont fait l’objet d</w:t>
      </w:r>
      <w:r w:rsidR="00EA7588">
        <w:rPr>
          <w:sz w:val="22"/>
          <w:szCs w:val="22"/>
        </w:rPr>
        <w:t>’</w:t>
      </w:r>
      <w:r>
        <w:rPr>
          <w:sz w:val="22"/>
          <w:szCs w:val="22"/>
        </w:rPr>
        <w:t>une substitution, d</w:t>
      </w:r>
      <w:r w:rsidR="00EA7588">
        <w:rPr>
          <w:sz w:val="22"/>
          <w:szCs w:val="22"/>
        </w:rPr>
        <w:t>’</w:t>
      </w:r>
      <w:r>
        <w:rPr>
          <w:sz w:val="22"/>
          <w:szCs w:val="22"/>
        </w:rPr>
        <w:t>une intégration ou d’une modification substantielles;</w:t>
      </w:r>
    </w:p>
    <w:p w14:paraId="73BE5EFA" w14:textId="5133E04A" w:rsidR="00230F35" w:rsidRPr="00937C8B" w:rsidRDefault="00CE6532" w:rsidP="001A53CE">
      <w:pPr>
        <w:pStyle w:val="CTENumeracion"/>
        <w:tabs>
          <w:tab w:val="left" w:pos="851"/>
        </w:tabs>
        <w:ind w:left="851" w:hanging="323"/>
        <w:rPr>
          <w:rFonts w:cs="Arial"/>
          <w:sz w:val="22"/>
          <w:szCs w:val="22"/>
        </w:rPr>
      </w:pPr>
      <w:r>
        <w:rPr>
          <w:sz w:val="22"/>
          <w:szCs w:val="22"/>
        </w:rPr>
        <w:t>b)</w:t>
      </w:r>
      <w:r>
        <w:rPr>
          <w:sz w:val="22"/>
          <w:szCs w:val="22"/>
        </w:rPr>
        <w:tab/>
        <w:t>dont les conditions intérieures ou extérieures ont été modifiées du fait de l</w:t>
      </w:r>
      <w:r w:rsidR="00EA7588">
        <w:rPr>
          <w:sz w:val="22"/>
          <w:szCs w:val="22"/>
        </w:rPr>
        <w:t>’</w:t>
      </w:r>
      <w:r>
        <w:rPr>
          <w:sz w:val="22"/>
          <w:szCs w:val="22"/>
        </w:rPr>
        <w:t>intervention, lorsqu</w:t>
      </w:r>
      <w:r w:rsidR="00EA7588">
        <w:rPr>
          <w:sz w:val="22"/>
          <w:szCs w:val="22"/>
        </w:rPr>
        <w:t>’</w:t>
      </w:r>
      <w:r>
        <w:rPr>
          <w:sz w:val="22"/>
          <w:szCs w:val="22"/>
        </w:rPr>
        <w:t>elles se traduisent par une augmentation des besoins énergétiques du bâtiment.</w:t>
      </w:r>
    </w:p>
    <w:p w14:paraId="694E86FE" w14:textId="77777777" w:rsidR="00230F35" w:rsidRPr="00937C8B" w:rsidRDefault="00230F35" w:rsidP="009467D5">
      <w:pPr>
        <w:pStyle w:val="CteTtulo3"/>
      </w:pPr>
      <w:bookmarkStart w:id="112" w:name="Sección_HE1_Cuantificacion_Condensacion"/>
      <w:bookmarkStart w:id="113" w:name="_Toc530395257"/>
      <w:bookmarkStart w:id="114" w:name="_Toc39157928"/>
      <w:bookmarkEnd w:id="112"/>
      <w:r>
        <w:lastRenderedPageBreak/>
        <w:t>3.3</w:t>
      </w:r>
      <w:r>
        <w:tab/>
        <w:t>Limitation des condensations dans l’</w:t>
      </w:r>
      <w:r>
        <w:rPr>
          <w:i/>
        </w:rPr>
        <w:t>enceinte thermique</w:t>
      </w:r>
      <w:bookmarkEnd w:id="113"/>
      <w:bookmarkEnd w:id="114"/>
    </w:p>
    <w:p w14:paraId="049DA6F4" w14:textId="63D40085" w:rsidR="00230F35" w:rsidRPr="00937C8B" w:rsidRDefault="00230F35" w:rsidP="00230F35">
      <w:pPr>
        <w:pStyle w:val="CTENumeracion"/>
        <w:spacing w:before="120"/>
        <w:ind w:left="340" w:hanging="340"/>
        <w:rPr>
          <w:rFonts w:cs="Arial"/>
          <w:sz w:val="22"/>
          <w:szCs w:val="22"/>
        </w:rPr>
      </w:pPr>
      <w:r>
        <w:rPr>
          <w:sz w:val="22"/>
          <w:szCs w:val="22"/>
        </w:rPr>
        <w:t>1</w:t>
      </w:r>
      <w:r>
        <w:rPr>
          <w:sz w:val="22"/>
          <w:szCs w:val="22"/>
        </w:rPr>
        <w:tab/>
        <w:t>Dans le cas où des condensations interstitielles apparaîtraient au niveau de l</w:t>
      </w:r>
      <w:r w:rsidR="00EA7588">
        <w:rPr>
          <w:sz w:val="22"/>
          <w:szCs w:val="22"/>
        </w:rPr>
        <w:t>’</w:t>
      </w:r>
      <w:r>
        <w:rPr>
          <w:i/>
          <w:sz w:val="22"/>
          <w:szCs w:val="22"/>
        </w:rPr>
        <w:t>enceinte thermique</w:t>
      </w:r>
      <w:r>
        <w:rPr>
          <w:sz w:val="22"/>
          <w:szCs w:val="22"/>
        </w:rPr>
        <w:t xml:space="preserve"> du bâtiment, celles-ci ne doivent pas entraîner une diminution significative de ses performances thermiques ou impliquer un risque de dégradation ou de perte de sa durée de vie utile. La condensation maximale accumulée annuellement ne peut en aucun cas être supérieure à la quantité d</w:t>
      </w:r>
      <w:r w:rsidR="00EA7588">
        <w:rPr>
          <w:sz w:val="22"/>
          <w:szCs w:val="22"/>
        </w:rPr>
        <w:t>’</w:t>
      </w:r>
      <w:r>
        <w:rPr>
          <w:sz w:val="22"/>
          <w:szCs w:val="22"/>
        </w:rPr>
        <w:t>évaporation possible sur la même période.</w:t>
      </w:r>
    </w:p>
    <w:p w14:paraId="2F1A889A" w14:textId="3CEDEC5D" w:rsidR="00230F35" w:rsidRPr="00937C8B" w:rsidRDefault="00230F35" w:rsidP="00230F35">
      <w:pPr>
        <w:pStyle w:val="CteTtulo2"/>
        <w:spacing w:before="240" w:after="60"/>
        <w:ind w:left="397" w:hanging="397"/>
        <w:rPr>
          <w:rFonts w:cs="Arial"/>
        </w:rPr>
      </w:pPr>
      <w:bookmarkStart w:id="115" w:name="_Toc530395258"/>
      <w:bookmarkStart w:id="116" w:name="_Toc530396137"/>
      <w:bookmarkStart w:id="117" w:name="_Toc39157929"/>
      <w:bookmarkStart w:id="118" w:name="_Toc39158120"/>
      <w:r>
        <w:t>4</w:t>
      </w:r>
      <w:r>
        <w:tab/>
        <w:t>Justification de l</w:t>
      </w:r>
      <w:r w:rsidR="00EA7588">
        <w:t>’</w:t>
      </w:r>
      <w:r>
        <w:t>exigence</w:t>
      </w:r>
      <w:bookmarkEnd w:id="115"/>
      <w:bookmarkEnd w:id="116"/>
      <w:bookmarkEnd w:id="117"/>
      <w:bookmarkEnd w:id="118"/>
    </w:p>
    <w:p w14:paraId="27F74AFF" w14:textId="7D4A991E" w:rsidR="00230F35" w:rsidRPr="00937C8B" w:rsidRDefault="00230F35" w:rsidP="00D27646">
      <w:pPr>
        <w:pStyle w:val="CTENumeracion"/>
        <w:keepNext/>
        <w:spacing w:before="120"/>
        <w:rPr>
          <w:rFonts w:cs="Arial"/>
          <w:sz w:val="22"/>
          <w:szCs w:val="22"/>
        </w:rPr>
      </w:pPr>
      <w:r>
        <w:rPr>
          <w:sz w:val="22"/>
          <w:szCs w:val="22"/>
        </w:rPr>
        <w:t>1</w:t>
      </w:r>
      <w:r>
        <w:rPr>
          <w:sz w:val="22"/>
          <w:szCs w:val="22"/>
        </w:rPr>
        <w:tab/>
        <w:t>Pour justifier le respect par un bâtiment des exigences de ce chapitre, les documents de projet comprendront les informations suivantes sur le bâtiment ou la partie du bâtiment faisant l</w:t>
      </w:r>
      <w:r w:rsidR="00EA7588">
        <w:rPr>
          <w:sz w:val="22"/>
          <w:szCs w:val="22"/>
        </w:rPr>
        <w:t>’</w:t>
      </w:r>
      <w:r>
        <w:rPr>
          <w:sz w:val="22"/>
          <w:szCs w:val="22"/>
        </w:rPr>
        <w:t>objet de l’évaluation:</w:t>
      </w:r>
    </w:p>
    <w:p w14:paraId="5504E450" w14:textId="77777777" w:rsidR="00230F35" w:rsidRPr="00937C8B" w:rsidRDefault="000B0394" w:rsidP="00230F35">
      <w:pPr>
        <w:pStyle w:val="CTENumeracion"/>
        <w:ind w:left="720"/>
        <w:rPr>
          <w:rFonts w:cs="Arial"/>
          <w:sz w:val="22"/>
          <w:szCs w:val="22"/>
        </w:rPr>
      </w:pPr>
      <w:r>
        <w:rPr>
          <w:sz w:val="22"/>
          <w:szCs w:val="22"/>
        </w:rPr>
        <w:t>a)</w:t>
      </w:r>
      <w:r>
        <w:rPr>
          <w:sz w:val="22"/>
          <w:szCs w:val="22"/>
        </w:rPr>
        <w:tab/>
        <w:t xml:space="preserve">la définition de la localité et de la </w:t>
      </w:r>
      <w:r>
        <w:rPr>
          <w:i/>
          <w:iCs/>
          <w:sz w:val="22"/>
          <w:szCs w:val="22"/>
        </w:rPr>
        <w:t>zone climatique</w:t>
      </w:r>
      <w:r>
        <w:rPr>
          <w:sz w:val="22"/>
          <w:szCs w:val="22"/>
        </w:rPr>
        <w:t xml:space="preserve"> de leur emplacement;</w:t>
      </w:r>
    </w:p>
    <w:p w14:paraId="37B7BC70" w14:textId="20013B79" w:rsidR="000B0394" w:rsidRPr="00937C8B" w:rsidRDefault="000B0394" w:rsidP="00230F35">
      <w:pPr>
        <w:pStyle w:val="CTENumeracion"/>
        <w:ind w:left="720"/>
        <w:rPr>
          <w:rFonts w:cs="Arial"/>
          <w:sz w:val="22"/>
          <w:szCs w:val="22"/>
        </w:rPr>
      </w:pPr>
      <w:r>
        <w:rPr>
          <w:sz w:val="22"/>
          <w:szCs w:val="22"/>
        </w:rPr>
        <w:t>b)</w:t>
      </w:r>
      <w:r>
        <w:rPr>
          <w:sz w:val="22"/>
          <w:szCs w:val="22"/>
        </w:rPr>
        <w:tab/>
        <w:t>la compacité (V/A) du bâtiment ou d</w:t>
      </w:r>
      <w:r w:rsidR="00EA7588">
        <w:rPr>
          <w:sz w:val="22"/>
          <w:szCs w:val="22"/>
        </w:rPr>
        <w:t>’</w:t>
      </w:r>
      <w:r>
        <w:rPr>
          <w:sz w:val="22"/>
          <w:szCs w:val="22"/>
        </w:rPr>
        <w:t>une partie du bâtiment;</w:t>
      </w:r>
    </w:p>
    <w:p w14:paraId="1EC4D354" w14:textId="1807C167" w:rsidR="00230F35" w:rsidRPr="00937C8B" w:rsidRDefault="00230F35" w:rsidP="00230F35">
      <w:pPr>
        <w:pStyle w:val="CTENumeracion"/>
        <w:ind w:left="720"/>
        <w:rPr>
          <w:rFonts w:cs="Arial"/>
          <w:sz w:val="22"/>
          <w:szCs w:val="22"/>
        </w:rPr>
      </w:pPr>
      <w:r>
        <w:rPr>
          <w:sz w:val="22"/>
          <w:szCs w:val="22"/>
        </w:rPr>
        <w:t>c)</w:t>
      </w:r>
      <w:r>
        <w:rPr>
          <w:sz w:val="22"/>
          <w:szCs w:val="22"/>
        </w:rPr>
        <w:tab/>
        <w:t>le schéma géométrique de définition de l</w:t>
      </w:r>
      <w:r w:rsidR="00EA7588">
        <w:rPr>
          <w:sz w:val="22"/>
          <w:szCs w:val="22"/>
        </w:rPr>
        <w:t>’</w:t>
      </w:r>
      <w:r>
        <w:rPr>
          <w:i/>
          <w:iCs/>
          <w:sz w:val="22"/>
          <w:szCs w:val="22"/>
        </w:rPr>
        <w:t>enceinte thermique;</w:t>
      </w:r>
    </w:p>
    <w:p w14:paraId="7FEC11A8" w14:textId="3AF5441C" w:rsidR="00230F35" w:rsidRPr="00937C8B" w:rsidRDefault="00230F35" w:rsidP="00230F35">
      <w:pPr>
        <w:pStyle w:val="CTENumeracion"/>
        <w:ind w:left="720"/>
        <w:rPr>
          <w:rFonts w:cs="Arial"/>
          <w:sz w:val="22"/>
          <w:szCs w:val="22"/>
        </w:rPr>
      </w:pPr>
      <w:r>
        <w:rPr>
          <w:sz w:val="22"/>
          <w:szCs w:val="22"/>
        </w:rPr>
        <w:t>d)</w:t>
      </w:r>
      <w:r>
        <w:rPr>
          <w:sz w:val="22"/>
          <w:szCs w:val="22"/>
        </w:rPr>
        <w:tab/>
        <w:t>la caractérisation des éléments qui composent l</w:t>
      </w:r>
      <w:r w:rsidR="00EA7588">
        <w:rPr>
          <w:sz w:val="22"/>
          <w:szCs w:val="22"/>
        </w:rPr>
        <w:t>’</w:t>
      </w:r>
      <w:r>
        <w:rPr>
          <w:i/>
          <w:iCs/>
          <w:sz w:val="22"/>
          <w:szCs w:val="22"/>
        </w:rPr>
        <w:t>enceinte thermique</w:t>
      </w:r>
      <w:r>
        <w:rPr>
          <w:sz w:val="22"/>
          <w:szCs w:val="22"/>
        </w:rPr>
        <w:t xml:space="preserve"> (fermetures opaques, </w:t>
      </w:r>
      <w:r>
        <w:rPr>
          <w:i/>
          <w:iCs/>
          <w:sz w:val="22"/>
          <w:szCs w:val="22"/>
        </w:rPr>
        <w:t>ouvertures</w:t>
      </w:r>
      <w:r>
        <w:rPr>
          <w:sz w:val="22"/>
          <w:szCs w:val="22"/>
        </w:rPr>
        <w:t xml:space="preserve"> et </w:t>
      </w:r>
      <w:r>
        <w:rPr>
          <w:i/>
          <w:iCs/>
          <w:sz w:val="22"/>
          <w:szCs w:val="22"/>
        </w:rPr>
        <w:t>ponts thermiques</w:t>
      </w:r>
      <w:r>
        <w:rPr>
          <w:sz w:val="22"/>
          <w:szCs w:val="22"/>
        </w:rPr>
        <w:t>), ainsi que les valeurs limites des paramètres applicables;</w:t>
      </w:r>
    </w:p>
    <w:p w14:paraId="1E6E5990" w14:textId="77777777" w:rsidR="00230F35" w:rsidRPr="00937C8B" w:rsidRDefault="00230F35" w:rsidP="00230F35">
      <w:pPr>
        <w:pStyle w:val="CTENumeracion"/>
        <w:ind w:left="720"/>
        <w:rPr>
          <w:rFonts w:cs="Arial"/>
          <w:sz w:val="22"/>
          <w:szCs w:val="22"/>
        </w:rPr>
      </w:pPr>
      <w:r>
        <w:rPr>
          <w:sz w:val="22"/>
          <w:szCs w:val="22"/>
        </w:rPr>
        <w:t>e)</w:t>
      </w:r>
      <w:r>
        <w:rPr>
          <w:sz w:val="22"/>
          <w:szCs w:val="22"/>
        </w:rPr>
        <w:tab/>
        <w:t>la caractérisation géométrique, de construction et hygrothermique des éléments concernés par le contrôle de la limitation de décompensation, ainsi que les valeurs limites correspondantes;</w:t>
      </w:r>
    </w:p>
    <w:p w14:paraId="0A6EA2C9" w14:textId="6439A6F3" w:rsidR="00230F35" w:rsidRPr="00937C8B" w:rsidRDefault="00230F35" w:rsidP="00230F35">
      <w:pPr>
        <w:pStyle w:val="CTENumeracion"/>
        <w:ind w:left="720"/>
        <w:rPr>
          <w:rFonts w:cs="Arial"/>
          <w:sz w:val="22"/>
          <w:szCs w:val="22"/>
        </w:rPr>
      </w:pPr>
      <w:r>
        <w:rPr>
          <w:sz w:val="22"/>
          <w:szCs w:val="22"/>
        </w:rPr>
        <w:t>f)</w:t>
      </w:r>
      <w:r>
        <w:rPr>
          <w:sz w:val="22"/>
          <w:szCs w:val="22"/>
        </w:rPr>
        <w:tab/>
        <w:t xml:space="preserve">les caractéristiques techniques minimales pertinentes pour le comportement énergétique du bâtiment que les </w:t>
      </w:r>
      <w:r>
        <w:rPr>
          <w:i/>
          <w:sz w:val="22"/>
          <w:szCs w:val="22"/>
        </w:rPr>
        <w:t>produits</w:t>
      </w:r>
      <w:r>
        <w:rPr>
          <w:sz w:val="22"/>
          <w:szCs w:val="22"/>
        </w:rPr>
        <w:t xml:space="preserve"> utilisés dans le cadre des travaux doivent réunir</w:t>
      </w:r>
      <w:r w:rsidR="00880E3A">
        <w:rPr>
          <w:sz w:val="22"/>
          <w:szCs w:val="22"/>
        </w:rPr>
        <w:t>;</w:t>
      </w:r>
    </w:p>
    <w:p w14:paraId="5167B8B5" w14:textId="4036741F" w:rsidR="00230F35" w:rsidRPr="00937C8B" w:rsidRDefault="00230F35" w:rsidP="00230F35">
      <w:pPr>
        <w:pStyle w:val="CTENumeracion"/>
        <w:ind w:left="720"/>
        <w:rPr>
          <w:rFonts w:cs="Arial"/>
          <w:sz w:val="22"/>
          <w:szCs w:val="22"/>
        </w:rPr>
      </w:pPr>
      <w:r>
        <w:rPr>
          <w:sz w:val="22"/>
          <w:szCs w:val="22"/>
        </w:rPr>
        <w:t>g)</w:t>
      </w:r>
      <w:r>
        <w:rPr>
          <w:sz w:val="22"/>
          <w:szCs w:val="22"/>
        </w:rPr>
        <w:tab/>
      </w:r>
      <w:bookmarkStart w:id="119" w:name="__RefHeading___Toc18502_1845173866"/>
      <w:r>
        <w:rPr>
          <w:sz w:val="22"/>
          <w:szCs w:val="22"/>
        </w:rPr>
        <w:t xml:space="preserve">dans les nouveaux bâtiments à usage résidentiel privé, le </w:t>
      </w:r>
      <w:r>
        <w:rPr>
          <w:i/>
          <w:iCs/>
          <w:sz w:val="22"/>
          <w:szCs w:val="22"/>
        </w:rPr>
        <w:t>taux de renouvellement d</w:t>
      </w:r>
      <w:r w:rsidR="00EA7588">
        <w:rPr>
          <w:i/>
          <w:iCs/>
          <w:sz w:val="22"/>
          <w:szCs w:val="22"/>
        </w:rPr>
        <w:t>’</w:t>
      </w:r>
      <w:r>
        <w:rPr>
          <w:i/>
          <w:iCs/>
          <w:sz w:val="22"/>
          <w:szCs w:val="22"/>
        </w:rPr>
        <w:t>air</w:t>
      </w:r>
      <w:r>
        <w:rPr>
          <w:sz w:val="22"/>
          <w:szCs w:val="22"/>
        </w:rPr>
        <w:t xml:space="preserve"> avec une pression différentielle de 50</w:t>
      </w:r>
      <w:r w:rsidR="00EA7588">
        <w:rPr>
          <w:sz w:val="22"/>
          <w:szCs w:val="22"/>
        </w:rPr>
        <w:t> </w:t>
      </w:r>
      <w:r>
        <w:rPr>
          <w:sz w:val="22"/>
          <w:szCs w:val="22"/>
        </w:rPr>
        <w:t>Pa (n</w:t>
      </w:r>
      <w:r>
        <w:rPr>
          <w:sz w:val="22"/>
          <w:szCs w:val="22"/>
          <w:vertAlign w:val="subscript"/>
        </w:rPr>
        <w:t>50</w:t>
      </w:r>
      <w:r>
        <w:rPr>
          <w:sz w:val="22"/>
          <w:szCs w:val="22"/>
        </w:rPr>
        <w:t xml:space="preserve">); </w:t>
      </w:r>
    </w:p>
    <w:p w14:paraId="1325E0BB" w14:textId="3AD48E89" w:rsidR="000B0394" w:rsidRPr="00937C8B" w:rsidRDefault="00230F35" w:rsidP="00230F35">
      <w:pPr>
        <w:pStyle w:val="CTENumeracion"/>
        <w:ind w:left="720"/>
        <w:rPr>
          <w:rFonts w:cs="Arial"/>
          <w:sz w:val="22"/>
          <w:szCs w:val="22"/>
        </w:rPr>
      </w:pPr>
      <w:r>
        <w:rPr>
          <w:sz w:val="22"/>
          <w:szCs w:val="22"/>
        </w:rPr>
        <w:t>h)</w:t>
      </w:r>
      <w:r>
        <w:rPr>
          <w:sz w:val="22"/>
          <w:szCs w:val="22"/>
        </w:rPr>
        <w:tab/>
        <w:t>la vérification du respect de l</w:t>
      </w:r>
      <w:r w:rsidR="00EA7588">
        <w:rPr>
          <w:sz w:val="22"/>
          <w:szCs w:val="22"/>
        </w:rPr>
        <w:t>’</w:t>
      </w:r>
      <w:r>
        <w:rPr>
          <w:sz w:val="22"/>
          <w:szCs w:val="22"/>
        </w:rPr>
        <w:t>exigence de limitation de la condensation</w:t>
      </w:r>
      <w:bookmarkEnd w:id="119"/>
      <w:r w:rsidR="00880E3A">
        <w:rPr>
          <w:sz w:val="22"/>
          <w:szCs w:val="22"/>
        </w:rPr>
        <w:t>;</w:t>
      </w:r>
    </w:p>
    <w:p w14:paraId="2F2B2BC5" w14:textId="77777777" w:rsidR="00230F35" w:rsidRPr="00937C8B" w:rsidRDefault="00230F35" w:rsidP="00D27646">
      <w:pPr>
        <w:pStyle w:val="CTENumeracion"/>
        <w:keepNext/>
        <w:rPr>
          <w:rFonts w:cs="Arial"/>
          <w:sz w:val="22"/>
          <w:szCs w:val="22"/>
        </w:rPr>
      </w:pPr>
      <w:r>
        <w:rPr>
          <w:sz w:val="22"/>
          <w:szCs w:val="22"/>
        </w:rPr>
        <w:t>2</w:t>
      </w:r>
      <w:r>
        <w:rPr>
          <w:sz w:val="22"/>
          <w:szCs w:val="22"/>
        </w:rPr>
        <w:tab/>
        <w:t xml:space="preserve">La caractérisation des </w:t>
      </w:r>
      <w:r>
        <w:rPr>
          <w:i/>
          <w:sz w:val="22"/>
          <w:szCs w:val="22"/>
        </w:rPr>
        <w:t xml:space="preserve">cloisons </w:t>
      </w:r>
      <w:r>
        <w:rPr>
          <w:sz w:val="22"/>
          <w:szCs w:val="22"/>
        </w:rPr>
        <w:t>opaques comprendra:</w:t>
      </w:r>
    </w:p>
    <w:p w14:paraId="263AE322" w14:textId="77777777" w:rsidR="00230F35" w:rsidRPr="00937C8B" w:rsidRDefault="00230F35" w:rsidP="00230F35">
      <w:pPr>
        <w:pStyle w:val="CTENumeracion"/>
        <w:ind w:left="709" w:hanging="312"/>
        <w:rPr>
          <w:rFonts w:cs="Arial"/>
          <w:sz w:val="22"/>
          <w:szCs w:val="22"/>
        </w:rPr>
      </w:pPr>
      <w:r>
        <w:rPr>
          <w:sz w:val="22"/>
          <w:szCs w:val="22"/>
        </w:rPr>
        <w:t>a)</w:t>
      </w:r>
      <w:r>
        <w:rPr>
          <w:sz w:val="22"/>
          <w:szCs w:val="22"/>
        </w:rPr>
        <w:tab/>
        <w:t>les caractéristiques géométriques et de construction;</w:t>
      </w:r>
    </w:p>
    <w:p w14:paraId="3C285C87" w14:textId="027F2A64" w:rsidR="00230F35" w:rsidRPr="00937C8B" w:rsidRDefault="00230F35" w:rsidP="00230F35">
      <w:pPr>
        <w:pStyle w:val="CTENumeracion"/>
        <w:ind w:left="709" w:hanging="312"/>
        <w:rPr>
          <w:rFonts w:cs="Arial"/>
          <w:sz w:val="22"/>
          <w:szCs w:val="22"/>
        </w:rPr>
      </w:pPr>
      <w:r>
        <w:rPr>
          <w:sz w:val="22"/>
          <w:szCs w:val="22"/>
        </w:rPr>
        <w:t>b)</w:t>
      </w:r>
      <w:r>
        <w:rPr>
          <w:sz w:val="22"/>
          <w:szCs w:val="22"/>
        </w:rPr>
        <w:tab/>
        <w:t>les conditions de contour (contact avec l</w:t>
      </w:r>
      <w:r w:rsidR="00EA7588">
        <w:rPr>
          <w:sz w:val="22"/>
          <w:szCs w:val="22"/>
        </w:rPr>
        <w:t>’</w:t>
      </w:r>
      <w:r>
        <w:rPr>
          <w:sz w:val="22"/>
          <w:szCs w:val="22"/>
        </w:rPr>
        <w:t xml:space="preserve">air, le terrain ou </w:t>
      </w:r>
      <w:r>
        <w:rPr>
          <w:i/>
          <w:iCs/>
          <w:sz w:val="22"/>
          <w:szCs w:val="22"/>
        </w:rPr>
        <w:t>adiabatique</w:t>
      </w:r>
      <w:r>
        <w:rPr>
          <w:sz w:val="22"/>
          <w:szCs w:val="22"/>
        </w:rPr>
        <w:t>) et l</w:t>
      </w:r>
      <w:r w:rsidR="00EA7588">
        <w:rPr>
          <w:sz w:val="22"/>
          <w:szCs w:val="22"/>
        </w:rPr>
        <w:t>’</w:t>
      </w:r>
      <w:r>
        <w:rPr>
          <w:sz w:val="22"/>
          <w:szCs w:val="22"/>
        </w:rPr>
        <w:t>espace duquel elles dépendent;</w:t>
      </w:r>
    </w:p>
    <w:p w14:paraId="73728453" w14:textId="77777777" w:rsidR="00230F35" w:rsidRPr="00937C8B" w:rsidRDefault="00230F35" w:rsidP="00D27646">
      <w:pPr>
        <w:pStyle w:val="CTENumeracion"/>
        <w:keepNext/>
        <w:ind w:left="709" w:hanging="312"/>
        <w:rPr>
          <w:rFonts w:cs="Arial"/>
          <w:sz w:val="22"/>
          <w:szCs w:val="22"/>
        </w:rPr>
      </w:pPr>
      <w:r>
        <w:rPr>
          <w:sz w:val="22"/>
          <w:szCs w:val="22"/>
        </w:rPr>
        <w:t>c)</w:t>
      </w:r>
      <w:r>
        <w:rPr>
          <w:sz w:val="22"/>
          <w:szCs w:val="22"/>
        </w:rPr>
        <w:tab/>
        <w:t>les paramètres décrivant de manière adéquate leurs performances thermiques. Il peut s’agir d’une description simplifiée en ajoutant des couches parallèles et homogènes présentant un comportement thermique équivalent où:</w:t>
      </w:r>
    </w:p>
    <w:p w14:paraId="0B4B69D4" w14:textId="64C62521" w:rsidR="00230F35" w:rsidRPr="00937C8B" w:rsidRDefault="00230F35" w:rsidP="00230F35">
      <w:pPr>
        <w:pStyle w:val="CTENumeracion"/>
        <w:ind w:left="993" w:hanging="567"/>
        <w:rPr>
          <w:rFonts w:cs="Arial"/>
          <w:sz w:val="22"/>
          <w:szCs w:val="22"/>
        </w:rPr>
      </w:pPr>
      <w:r>
        <w:rPr>
          <w:sz w:val="22"/>
          <w:szCs w:val="22"/>
        </w:rPr>
        <w:tab/>
        <w:t xml:space="preserve">i) les couches dont la </w:t>
      </w:r>
      <w:r>
        <w:rPr>
          <w:i/>
          <w:iCs/>
          <w:sz w:val="22"/>
          <w:szCs w:val="22"/>
        </w:rPr>
        <w:t>masse thermique</w:t>
      </w:r>
      <w:r>
        <w:rPr>
          <w:sz w:val="22"/>
          <w:szCs w:val="22"/>
        </w:rPr>
        <w:t xml:space="preserve"> significative sont caractérisées par leur épaisseur, leur densité, leur conductivité et leur chaleur spécifique</w:t>
      </w:r>
      <w:r w:rsidR="00880E3A">
        <w:rPr>
          <w:sz w:val="22"/>
          <w:szCs w:val="22"/>
        </w:rPr>
        <w:t>,</w:t>
      </w:r>
      <w:r>
        <w:rPr>
          <w:sz w:val="22"/>
          <w:szCs w:val="22"/>
        </w:rPr>
        <w:t xml:space="preserve"> et</w:t>
      </w:r>
    </w:p>
    <w:p w14:paraId="67279F4A" w14:textId="77777777" w:rsidR="00230F35" w:rsidRPr="00937C8B" w:rsidRDefault="00230F35" w:rsidP="00230F35">
      <w:pPr>
        <w:pStyle w:val="CTENumeracion"/>
        <w:ind w:left="993" w:hanging="567"/>
        <w:rPr>
          <w:rFonts w:cs="Arial"/>
          <w:sz w:val="22"/>
          <w:szCs w:val="22"/>
        </w:rPr>
      </w:pPr>
      <w:r>
        <w:rPr>
          <w:sz w:val="22"/>
          <w:szCs w:val="22"/>
        </w:rPr>
        <w:tab/>
        <w:t xml:space="preserve">ii) les couches dont la </w:t>
      </w:r>
      <w:r>
        <w:rPr>
          <w:i/>
          <w:iCs/>
          <w:sz w:val="22"/>
          <w:szCs w:val="22"/>
        </w:rPr>
        <w:t>masse thermique</w:t>
      </w:r>
      <w:r>
        <w:rPr>
          <w:sz w:val="22"/>
          <w:szCs w:val="22"/>
        </w:rPr>
        <w:t xml:space="preserve"> n’est pas significative (chambres de ventilation, membranes, etc.) sont caractérisées par la résistance totale de la couche et son épaisseur.</w:t>
      </w:r>
    </w:p>
    <w:p w14:paraId="7616B957" w14:textId="77777777" w:rsidR="00230F35" w:rsidRPr="00937C8B" w:rsidRDefault="00230F35" w:rsidP="00D27646">
      <w:pPr>
        <w:pStyle w:val="CTENumeracion"/>
        <w:keepNext/>
        <w:spacing w:before="240"/>
        <w:rPr>
          <w:rFonts w:cs="Arial"/>
          <w:sz w:val="22"/>
          <w:szCs w:val="22"/>
        </w:rPr>
      </w:pPr>
      <w:r>
        <w:rPr>
          <w:sz w:val="22"/>
          <w:szCs w:val="22"/>
        </w:rPr>
        <w:t>3</w:t>
      </w:r>
      <w:r>
        <w:rPr>
          <w:sz w:val="22"/>
          <w:szCs w:val="22"/>
        </w:rPr>
        <w:tab/>
        <w:t xml:space="preserve">La caractérisation des </w:t>
      </w:r>
      <w:r>
        <w:rPr>
          <w:i/>
          <w:iCs/>
          <w:sz w:val="22"/>
          <w:szCs w:val="22"/>
        </w:rPr>
        <w:t>ouvertures</w:t>
      </w:r>
      <w:r>
        <w:rPr>
          <w:sz w:val="22"/>
          <w:szCs w:val="22"/>
        </w:rPr>
        <w:t xml:space="preserve"> comprendra:</w:t>
      </w:r>
    </w:p>
    <w:p w14:paraId="60D1282E" w14:textId="77777777" w:rsidR="00230F35" w:rsidRPr="00937C8B" w:rsidRDefault="00230F35" w:rsidP="00230F35">
      <w:pPr>
        <w:pStyle w:val="CTENumeracion"/>
        <w:ind w:left="709" w:hanging="283"/>
        <w:rPr>
          <w:rFonts w:cs="Arial"/>
          <w:sz w:val="22"/>
          <w:szCs w:val="22"/>
        </w:rPr>
      </w:pPr>
      <w:r>
        <w:rPr>
          <w:sz w:val="22"/>
          <w:szCs w:val="22"/>
        </w:rPr>
        <w:t>a)</w:t>
      </w:r>
      <w:r>
        <w:rPr>
          <w:sz w:val="22"/>
          <w:szCs w:val="22"/>
        </w:rPr>
        <w:tab/>
        <w:t>les caractéristiques géométriques et de construction;</w:t>
      </w:r>
    </w:p>
    <w:p w14:paraId="52FF4400" w14:textId="77777777" w:rsidR="00230F35" w:rsidRPr="00937C8B" w:rsidRDefault="00230F35" w:rsidP="00230F35">
      <w:pPr>
        <w:pStyle w:val="CTENumeracion"/>
        <w:ind w:left="709" w:hanging="283"/>
        <w:rPr>
          <w:rFonts w:cs="Arial"/>
          <w:sz w:val="22"/>
          <w:szCs w:val="22"/>
        </w:rPr>
      </w:pPr>
      <w:r>
        <w:rPr>
          <w:sz w:val="22"/>
          <w:szCs w:val="22"/>
        </w:rPr>
        <w:t>b)</w:t>
      </w:r>
      <w:r>
        <w:rPr>
          <w:sz w:val="22"/>
          <w:szCs w:val="22"/>
        </w:rPr>
        <w:tab/>
        <w:t>l’espace duquel elles dépendent;</w:t>
      </w:r>
    </w:p>
    <w:p w14:paraId="25E0A54B" w14:textId="087BE5CA" w:rsidR="00230F35" w:rsidRPr="00937C8B" w:rsidRDefault="00230F35" w:rsidP="00230F35">
      <w:pPr>
        <w:pStyle w:val="CTENumeracion"/>
        <w:ind w:left="709" w:hanging="283"/>
        <w:rPr>
          <w:rFonts w:cs="Arial"/>
          <w:sz w:val="22"/>
          <w:szCs w:val="22"/>
        </w:rPr>
      </w:pPr>
      <w:r>
        <w:rPr>
          <w:sz w:val="22"/>
          <w:szCs w:val="22"/>
        </w:rPr>
        <w:t>c)</w:t>
      </w:r>
      <w:r>
        <w:rPr>
          <w:sz w:val="22"/>
          <w:szCs w:val="22"/>
        </w:rPr>
        <w:tab/>
        <w:t>la description et la caractérisation des protections solaires, qu</w:t>
      </w:r>
      <w:r w:rsidR="00EA7588">
        <w:rPr>
          <w:sz w:val="22"/>
          <w:szCs w:val="22"/>
        </w:rPr>
        <w:t>’</w:t>
      </w:r>
      <w:r>
        <w:rPr>
          <w:sz w:val="22"/>
          <w:szCs w:val="22"/>
        </w:rPr>
        <w:t>elles soient fixes ou mobiles, et d</w:t>
      </w:r>
      <w:r w:rsidR="00EA7588">
        <w:rPr>
          <w:sz w:val="22"/>
          <w:szCs w:val="22"/>
        </w:rPr>
        <w:t>’</w:t>
      </w:r>
      <w:r>
        <w:rPr>
          <w:sz w:val="22"/>
          <w:szCs w:val="22"/>
        </w:rPr>
        <w:t xml:space="preserve">autres éléments susceptibles d’apporter de l’ombre ou de diminuer la capture solaire des </w:t>
      </w:r>
      <w:r>
        <w:rPr>
          <w:i/>
          <w:iCs/>
          <w:sz w:val="22"/>
          <w:szCs w:val="22"/>
        </w:rPr>
        <w:t>ouvertures</w:t>
      </w:r>
      <w:r>
        <w:rPr>
          <w:sz w:val="22"/>
          <w:szCs w:val="22"/>
        </w:rPr>
        <w:t>;</w:t>
      </w:r>
    </w:p>
    <w:p w14:paraId="3631FA4D" w14:textId="77777777" w:rsidR="00230F35" w:rsidRPr="00937C8B" w:rsidRDefault="00230F35" w:rsidP="00230F35">
      <w:pPr>
        <w:pStyle w:val="CTENumeracion"/>
        <w:ind w:left="709" w:hanging="283"/>
        <w:rPr>
          <w:rFonts w:cs="Arial"/>
          <w:sz w:val="22"/>
          <w:szCs w:val="22"/>
        </w:rPr>
      </w:pPr>
      <w:r>
        <w:rPr>
          <w:sz w:val="22"/>
          <w:szCs w:val="22"/>
        </w:rPr>
        <w:t>d)</w:t>
      </w:r>
      <w:r>
        <w:rPr>
          <w:sz w:val="22"/>
          <w:szCs w:val="22"/>
        </w:rPr>
        <w:tab/>
        <w:t xml:space="preserve">la surface et la </w:t>
      </w:r>
      <w:r>
        <w:rPr>
          <w:i/>
          <w:iCs/>
          <w:sz w:val="22"/>
          <w:szCs w:val="22"/>
        </w:rPr>
        <w:t>transmission thermique</w:t>
      </w:r>
      <w:r>
        <w:rPr>
          <w:sz w:val="22"/>
          <w:szCs w:val="22"/>
        </w:rPr>
        <w:t xml:space="preserve"> de la vitre et du cadre, ainsi que celle de l’ensemble de l’</w:t>
      </w:r>
      <w:r>
        <w:rPr>
          <w:i/>
          <w:iCs/>
          <w:sz w:val="22"/>
          <w:szCs w:val="22"/>
        </w:rPr>
        <w:t>ouverture</w:t>
      </w:r>
      <w:r>
        <w:rPr>
          <w:sz w:val="22"/>
          <w:szCs w:val="22"/>
        </w:rPr>
        <w:t>;</w:t>
      </w:r>
    </w:p>
    <w:p w14:paraId="365C1D76" w14:textId="16867659" w:rsidR="00230F35" w:rsidRPr="00937C8B" w:rsidRDefault="00230F35" w:rsidP="00230F35">
      <w:pPr>
        <w:pStyle w:val="CTENumeracion"/>
        <w:ind w:left="709" w:hanging="283"/>
        <w:rPr>
          <w:rFonts w:cs="Arial"/>
          <w:sz w:val="22"/>
          <w:szCs w:val="22"/>
        </w:rPr>
      </w:pPr>
      <w:r>
        <w:rPr>
          <w:sz w:val="22"/>
          <w:szCs w:val="22"/>
        </w:rPr>
        <w:t>e)</w:t>
      </w:r>
      <w:r>
        <w:rPr>
          <w:sz w:val="22"/>
          <w:szCs w:val="22"/>
        </w:rPr>
        <w:tab/>
        <w:t xml:space="preserve">le </w:t>
      </w:r>
      <w:r>
        <w:rPr>
          <w:i/>
          <w:iCs/>
          <w:sz w:val="22"/>
          <w:szCs w:val="22"/>
        </w:rPr>
        <w:t>facteur solaire</w:t>
      </w:r>
      <w:r>
        <w:rPr>
          <w:sz w:val="22"/>
          <w:szCs w:val="22"/>
        </w:rPr>
        <w:t xml:space="preserve"> de la vitre, à l’exception des portes dont la surface semi-transparente est inférieure à 50</w:t>
      </w:r>
      <w:r w:rsidR="00EA7588">
        <w:rPr>
          <w:sz w:val="22"/>
          <w:szCs w:val="22"/>
        </w:rPr>
        <w:t> </w:t>
      </w:r>
      <w:r>
        <w:rPr>
          <w:sz w:val="22"/>
          <w:szCs w:val="22"/>
        </w:rPr>
        <w:t>%;</w:t>
      </w:r>
    </w:p>
    <w:p w14:paraId="06E30845" w14:textId="77777777" w:rsidR="00230F35" w:rsidRPr="00937C8B" w:rsidRDefault="00230F35" w:rsidP="00230F35">
      <w:pPr>
        <w:pStyle w:val="CTENumeracion"/>
        <w:ind w:left="709" w:hanging="283"/>
        <w:rPr>
          <w:rFonts w:cs="Arial"/>
          <w:sz w:val="22"/>
          <w:szCs w:val="22"/>
        </w:rPr>
      </w:pPr>
      <w:r>
        <w:rPr>
          <w:sz w:val="22"/>
          <w:szCs w:val="22"/>
        </w:rPr>
        <w:t>f)</w:t>
      </w:r>
      <w:r>
        <w:rPr>
          <w:sz w:val="22"/>
          <w:szCs w:val="22"/>
        </w:rPr>
        <w:tab/>
        <w:t xml:space="preserve">la </w:t>
      </w:r>
      <w:r>
        <w:rPr>
          <w:i/>
          <w:iCs/>
          <w:sz w:val="22"/>
          <w:szCs w:val="22"/>
        </w:rPr>
        <w:t>capacité d’absorption</w:t>
      </w:r>
      <w:r>
        <w:rPr>
          <w:sz w:val="22"/>
          <w:szCs w:val="22"/>
        </w:rPr>
        <w:t xml:space="preserve"> de la face externe du cadre;</w:t>
      </w:r>
    </w:p>
    <w:p w14:paraId="4EC0EEB8" w14:textId="77777777" w:rsidR="00230F35" w:rsidRPr="00937C8B" w:rsidRDefault="00230F35" w:rsidP="00230F35">
      <w:pPr>
        <w:pStyle w:val="CTENumeracion"/>
        <w:ind w:left="709" w:hanging="283"/>
        <w:rPr>
          <w:rFonts w:cs="Arial"/>
          <w:sz w:val="22"/>
          <w:szCs w:val="22"/>
        </w:rPr>
      </w:pPr>
      <w:r>
        <w:rPr>
          <w:sz w:val="22"/>
          <w:szCs w:val="22"/>
        </w:rPr>
        <w:t>g)</w:t>
      </w:r>
      <w:r>
        <w:rPr>
          <w:sz w:val="22"/>
          <w:szCs w:val="22"/>
        </w:rPr>
        <w:tab/>
        <w:t xml:space="preserve">la </w:t>
      </w:r>
      <w:r>
        <w:rPr>
          <w:i/>
          <w:iCs/>
          <w:sz w:val="22"/>
          <w:szCs w:val="22"/>
        </w:rPr>
        <w:t>perméabilité</w:t>
      </w:r>
      <w:r>
        <w:rPr>
          <w:sz w:val="22"/>
          <w:szCs w:val="22"/>
        </w:rPr>
        <w:t xml:space="preserve"> à l’air.</w:t>
      </w:r>
    </w:p>
    <w:p w14:paraId="5A92F6C3" w14:textId="77777777" w:rsidR="00230F35" w:rsidRPr="00937C8B" w:rsidRDefault="00230F35" w:rsidP="00D27646">
      <w:pPr>
        <w:pStyle w:val="CTENumeracion"/>
        <w:keepNext/>
        <w:spacing w:before="240"/>
        <w:rPr>
          <w:rFonts w:cs="Arial"/>
          <w:sz w:val="22"/>
          <w:szCs w:val="22"/>
        </w:rPr>
      </w:pPr>
      <w:r>
        <w:rPr>
          <w:sz w:val="22"/>
          <w:szCs w:val="22"/>
        </w:rPr>
        <w:lastRenderedPageBreak/>
        <w:t>4</w:t>
      </w:r>
      <w:r>
        <w:rPr>
          <w:sz w:val="22"/>
          <w:szCs w:val="22"/>
        </w:rPr>
        <w:tab/>
        <w:t xml:space="preserve">La caractérisation des </w:t>
      </w:r>
      <w:r>
        <w:rPr>
          <w:i/>
          <w:iCs/>
          <w:sz w:val="22"/>
          <w:szCs w:val="22"/>
        </w:rPr>
        <w:t>ponts thermiques linéaires</w:t>
      </w:r>
      <w:r>
        <w:rPr>
          <w:sz w:val="22"/>
          <w:szCs w:val="22"/>
        </w:rPr>
        <w:t xml:space="preserve"> comprendra:</w:t>
      </w:r>
    </w:p>
    <w:p w14:paraId="53118296" w14:textId="77777777" w:rsidR="00230F35" w:rsidRPr="00937C8B" w:rsidRDefault="00230F35" w:rsidP="00230F35">
      <w:pPr>
        <w:pStyle w:val="CTENumeracion"/>
        <w:ind w:left="709" w:hanging="283"/>
        <w:rPr>
          <w:rFonts w:cs="Arial"/>
          <w:sz w:val="22"/>
          <w:szCs w:val="22"/>
        </w:rPr>
      </w:pPr>
      <w:r>
        <w:rPr>
          <w:sz w:val="22"/>
          <w:szCs w:val="22"/>
        </w:rPr>
        <w:t>a)</w:t>
      </w:r>
      <w:r>
        <w:rPr>
          <w:sz w:val="22"/>
          <w:szCs w:val="22"/>
        </w:rPr>
        <w:tab/>
        <w:t>leur type, description, et emplacement;</w:t>
      </w:r>
    </w:p>
    <w:p w14:paraId="61CB95F9" w14:textId="77777777" w:rsidR="00230F35" w:rsidRPr="00937C8B" w:rsidRDefault="00230F35" w:rsidP="00230F35">
      <w:pPr>
        <w:pStyle w:val="CTENumeracion"/>
        <w:ind w:left="709" w:hanging="283"/>
        <w:rPr>
          <w:rFonts w:cs="Arial"/>
          <w:sz w:val="22"/>
          <w:szCs w:val="22"/>
        </w:rPr>
      </w:pPr>
      <w:r>
        <w:rPr>
          <w:sz w:val="22"/>
          <w:szCs w:val="22"/>
        </w:rPr>
        <w:t>b)</w:t>
      </w:r>
      <w:r>
        <w:rPr>
          <w:sz w:val="22"/>
          <w:szCs w:val="22"/>
        </w:rPr>
        <w:tab/>
        <w:t xml:space="preserve">la </w:t>
      </w:r>
      <w:r>
        <w:rPr>
          <w:i/>
          <w:sz w:val="22"/>
          <w:szCs w:val="22"/>
        </w:rPr>
        <w:t>transmission thermique linéaire</w:t>
      </w:r>
      <w:r>
        <w:rPr>
          <w:sz w:val="22"/>
          <w:szCs w:val="22"/>
        </w:rPr>
        <w:t xml:space="preserve">, obtenue par rapport aux </w:t>
      </w:r>
      <w:r>
        <w:rPr>
          <w:i/>
          <w:sz w:val="22"/>
          <w:szCs w:val="22"/>
        </w:rPr>
        <w:t xml:space="preserve">cloisons </w:t>
      </w:r>
      <w:r>
        <w:rPr>
          <w:sz w:val="22"/>
          <w:szCs w:val="22"/>
        </w:rPr>
        <w:t>contiguës;</w:t>
      </w:r>
    </w:p>
    <w:p w14:paraId="5A45575C" w14:textId="77777777" w:rsidR="00230F35" w:rsidRPr="00937C8B" w:rsidRDefault="00230F35" w:rsidP="00230F35">
      <w:pPr>
        <w:pStyle w:val="CTENumeracion"/>
        <w:ind w:left="709" w:hanging="283"/>
        <w:rPr>
          <w:rFonts w:cs="Arial"/>
          <w:sz w:val="22"/>
          <w:szCs w:val="22"/>
        </w:rPr>
      </w:pPr>
      <w:r>
        <w:rPr>
          <w:sz w:val="22"/>
          <w:szCs w:val="22"/>
        </w:rPr>
        <w:t>c)</w:t>
      </w:r>
      <w:r>
        <w:rPr>
          <w:sz w:val="22"/>
          <w:szCs w:val="22"/>
        </w:rPr>
        <w:tab/>
        <w:t>leur longueur;</w:t>
      </w:r>
    </w:p>
    <w:p w14:paraId="31353F76" w14:textId="77777777" w:rsidR="00230F35" w:rsidRPr="00937C8B" w:rsidRDefault="00230F35" w:rsidP="00230F35">
      <w:pPr>
        <w:pStyle w:val="CTENumeracion"/>
        <w:ind w:left="709" w:hanging="283"/>
        <w:rPr>
          <w:rFonts w:cs="Arial"/>
          <w:sz w:val="22"/>
          <w:szCs w:val="22"/>
        </w:rPr>
      </w:pPr>
      <w:r>
        <w:rPr>
          <w:sz w:val="22"/>
          <w:szCs w:val="22"/>
        </w:rPr>
        <w:t>d)</w:t>
      </w:r>
      <w:r>
        <w:rPr>
          <w:sz w:val="22"/>
          <w:szCs w:val="22"/>
        </w:rPr>
        <w:tab/>
        <w:t xml:space="preserve">le </w:t>
      </w:r>
      <w:r>
        <w:rPr>
          <w:i/>
          <w:iCs/>
          <w:sz w:val="22"/>
          <w:szCs w:val="22"/>
        </w:rPr>
        <w:t>système dimensionnel</w:t>
      </w:r>
      <w:r>
        <w:rPr>
          <w:sz w:val="22"/>
          <w:szCs w:val="22"/>
        </w:rPr>
        <w:t xml:space="preserve"> utilisé, lorsque des dimensions intérieures ne sont pas utilisées, ou en cas de doute.</w:t>
      </w:r>
    </w:p>
    <w:p w14:paraId="62D05FF1" w14:textId="77777777" w:rsidR="00230F35" w:rsidRPr="00937C8B" w:rsidRDefault="00230F35" w:rsidP="00230F35">
      <w:pPr>
        <w:pStyle w:val="CteTtulo2"/>
        <w:spacing w:before="240" w:after="120"/>
        <w:jc w:val="both"/>
        <w:rPr>
          <w:rFonts w:cs="Arial"/>
        </w:rPr>
      </w:pPr>
      <w:bookmarkStart w:id="120" w:name="_Toc530395259"/>
      <w:bookmarkStart w:id="121" w:name="_Toc39157930"/>
      <w:bookmarkStart w:id="122" w:name="_Toc39158121"/>
      <w:r>
        <w:t>5</w:t>
      </w:r>
      <w:r>
        <w:tab/>
        <w:t>Construction, maintenance et conservation</w:t>
      </w:r>
      <w:bookmarkEnd w:id="120"/>
      <w:bookmarkEnd w:id="121"/>
      <w:bookmarkEnd w:id="122"/>
    </w:p>
    <w:p w14:paraId="6EFD84BA" w14:textId="77777777" w:rsidR="00230F35" w:rsidRPr="00937C8B" w:rsidRDefault="00230F35" w:rsidP="009467D5">
      <w:pPr>
        <w:pStyle w:val="CteTtulo3"/>
      </w:pPr>
      <w:bookmarkStart w:id="123" w:name="_Toc530395260"/>
      <w:bookmarkStart w:id="124" w:name="_Toc530396139"/>
      <w:bookmarkStart w:id="125" w:name="_Toc39157931"/>
      <w:r>
        <w:t>5.1</w:t>
      </w:r>
      <w:r>
        <w:tab/>
        <w:t xml:space="preserve">Exigences relatives aux </w:t>
      </w:r>
      <w:r>
        <w:rPr>
          <w:i/>
          <w:iCs/>
        </w:rPr>
        <w:t>produits</w:t>
      </w:r>
      <w:bookmarkEnd w:id="123"/>
      <w:bookmarkEnd w:id="124"/>
      <w:bookmarkEnd w:id="125"/>
    </w:p>
    <w:p w14:paraId="0ED9CE28" w14:textId="77777777" w:rsidR="00230F35" w:rsidRPr="00937C8B" w:rsidRDefault="00230F35" w:rsidP="00230F35">
      <w:pPr>
        <w:pStyle w:val="CTENumeracion"/>
        <w:spacing w:before="120"/>
        <w:rPr>
          <w:rFonts w:cs="Arial"/>
          <w:sz w:val="22"/>
          <w:szCs w:val="22"/>
        </w:rPr>
      </w:pPr>
      <w:r>
        <w:rPr>
          <w:sz w:val="22"/>
          <w:szCs w:val="22"/>
        </w:rPr>
        <w:t>1</w:t>
      </w:r>
      <w:r>
        <w:rPr>
          <w:sz w:val="22"/>
          <w:szCs w:val="22"/>
        </w:rPr>
        <w:tab/>
        <w:t xml:space="preserve">Les caractéristiques thermiques des bâtiments sont définies par les propriétés hygrothermiques des </w:t>
      </w:r>
      <w:r>
        <w:rPr>
          <w:i/>
          <w:sz w:val="22"/>
          <w:szCs w:val="22"/>
        </w:rPr>
        <w:t>produits</w:t>
      </w:r>
      <w:r>
        <w:rPr>
          <w:sz w:val="22"/>
          <w:szCs w:val="22"/>
        </w:rPr>
        <w:t xml:space="preserve"> de construction qui composent leur </w:t>
      </w:r>
      <w:r>
        <w:rPr>
          <w:i/>
          <w:sz w:val="22"/>
          <w:szCs w:val="22"/>
        </w:rPr>
        <w:t>enceinte thermique</w:t>
      </w:r>
      <w:r>
        <w:rPr>
          <w:sz w:val="22"/>
          <w:szCs w:val="22"/>
        </w:rPr>
        <w:t>.</w:t>
      </w:r>
    </w:p>
    <w:p w14:paraId="54C68E4D" w14:textId="5913D605" w:rsidR="00B44AA1" w:rsidRPr="00937C8B" w:rsidRDefault="00230F35" w:rsidP="00230F35">
      <w:pPr>
        <w:pStyle w:val="CTENumeracion"/>
        <w:spacing w:before="120"/>
        <w:rPr>
          <w:rFonts w:cs="Arial"/>
          <w:sz w:val="22"/>
          <w:szCs w:val="22"/>
        </w:rPr>
      </w:pPr>
      <w:r>
        <w:rPr>
          <w:sz w:val="22"/>
          <w:szCs w:val="22"/>
        </w:rPr>
        <w:t>2</w:t>
      </w:r>
      <w:r>
        <w:rPr>
          <w:sz w:val="22"/>
          <w:szCs w:val="22"/>
        </w:rPr>
        <w:tab/>
        <w:t xml:space="preserve">Les </w:t>
      </w:r>
      <w:r>
        <w:rPr>
          <w:i/>
          <w:sz w:val="22"/>
          <w:szCs w:val="22"/>
        </w:rPr>
        <w:t>produits</w:t>
      </w:r>
      <w:r>
        <w:rPr>
          <w:sz w:val="22"/>
          <w:szCs w:val="22"/>
        </w:rPr>
        <w:t xml:space="preserve"> destinés aux </w:t>
      </w:r>
      <w:r>
        <w:rPr>
          <w:i/>
          <w:sz w:val="22"/>
          <w:szCs w:val="22"/>
        </w:rPr>
        <w:t>cloisons</w:t>
      </w:r>
      <w:r>
        <w:rPr>
          <w:sz w:val="22"/>
          <w:szCs w:val="22"/>
        </w:rPr>
        <w:t xml:space="preserve"> sont définis en fonction de leur conductivité thermique </w:t>
      </w:r>
      <w:r>
        <w:rPr>
          <w:rFonts w:ascii="Symbol" w:hAnsi="Symbol"/>
        </w:rPr>
        <w:t></w:t>
      </w:r>
      <w:r>
        <w:rPr>
          <w:sz w:val="22"/>
          <w:szCs w:val="22"/>
        </w:rPr>
        <w:t xml:space="preserve"> (W/m·K), de leur émissivité</w:t>
      </w:r>
      <w:r>
        <w:rPr>
          <w:rFonts w:ascii="Symbol" w:hAnsi="Symbol"/>
          <w:sz w:val="22"/>
          <w:szCs w:val="22"/>
        </w:rPr>
        <w:t></w:t>
      </w:r>
      <w:r>
        <w:rPr>
          <w:sz w:val="22"/>
          <w:szCs w:val="22"/>
        </w:rPr>
        <w:t>, si elle est particulièrement pertinente, et de leur facteur de résistance à la diffusion de la vapeur d</w:t>
      </w:r>
      <w:r w:rsidR="00EA7588">
        <w:rPr>
          <w:sz w:val="22"/>
          <w:szCs w:val="22"/>
        </w:rPr>
        <w:t>’</w:t>
      </w:r>
      <w:r>
        <w:rPr>
          <w:sz w:val="22"/>
          <w:szCs w:val="22"/>
        </w:rPr>
        <w:t xml:space="preserve">eau μ. Il convient de définir également, le cas échéant, la densité </w:t>
      </w:r>
      <w:r>
        <w:rPr>
          <w:rFonts w:ascii="Symbol" w:hAnsi="Symbol"/>
          <w:sz w:val="22"/>
          <w:szCs w:val="22"/>
        </w:rPr>
        <w:t></w:t>
      </w:r>
      <w:r>
        <w:rPr>
          <w:sz w:val="22"/>
          <w:szCs w:val="22"/>
        </w:rPr>
        <w:t xml:space="preserve"> (kg/m</w:t>
      </w:r>
      <w:r>
        <w:rPr>
          <w:sz w:val="22"/>
          <w:szCs w:val="22"/>
          <w:vertAlign w:val="superscript"/>
        </w:rPr>
        <w:t>3</w:t>
      </w:r>
      <w:r>
        <w:rPr>
          <w:sz w:val="22"/>
          <w:szCs w:val="22"/>
        </w:rPr>
        <w:t>) et la chaleur spécifique c</w:t>
      </w:r>
      <w:r>
        <w:rPr>
          <w:sz w:val="22"/>
          <w:szCs w:val="22"/>
          <w:vertAlign w:val="subscript"/>
        </w:rPr>
        <w:t>p</w:t>
      </w:r>
      <w:r>
        <w:rPr>
          <w:sz w:val="22"/>
          <w:szCs w:val="22"/>
        </w:rPr>
        <w:t xml:space="preserve"> (J/kg·K).</w:t>
      </w:r>
    </w:p>
    <w:p w14:paraId="604DFB89" w14:textId="477CEDE6" w:rsidR="00230F35" w:rsidRPr="00937C8B" w:rsidRDefault="00230F35" w:rsidP="00230F35">
      <w:pPr>
        <w:pStyle w:val="CTENumeracion"/>
        <w:spacing w:before="120"/>
        <w:rPr>
          <w:rFonts w:cs="Arial"/>
          <w:sz w:val="22"/>
          <w:szCs w:val="22"/>
        </w:rPr>
      </w:pPr>
      <w:r>
        <w:rPr>
          <w:sz w:val="22"/>
          <w:szCs w:val="22"/>
        </w:rPr>
        <w:t>3</w:t>
      </w:r>
      <w:r>
        <w:rPr>
          <w:sz w:val="22"/>
          <w:szCs w:val="22"/>
        </w:rPr>
        <w:tab/>
        <w:t xml:space="preserve">Les </w:t>
      </w:r>
      <w:r>
        <w:rPr>
          <w:i/>
          <w:sz w:val="22"/>
          <w:szCs w:val="22"/>
        </w:rPr>
        <w:t>produits</w:t>
      </w:r>
      <w:r>
        <w:rPr>
          <w:sz w:val="22"/>
          <w:szCs w:val="22"/>
        </w:rPr>
        <w:t xml:space="preserve"> destinés aux </w:t>
      </w:r>
      <w:r>
        <w:rPr>
          <w:i/>
          <w:sz w:val="22"/>
          <w:szCs w:val="22"/>
        </w:rPr>
        <w:t>ouvertures</w:t>
      </w:r>
      <w:r>
        <w:rPr>
          <w:sz w:val="22"/>
          <w:szCs w:val="22"/>
        </w:rPr>
        <w:t xml:space="preserve"> (y compris les portes) sont définis en fonction de la </w:t>
      </w:r>
      <w:r>
        <w:rPr>
          <w:i/>
          <w:sz w:val="22"/>
          <w:szCs w:val="22"/>
        </w:rPr>
        <w:t>transmission thermique</w:t>
      </w:r>
      <w:r>
        <w:rPr>
          <w:sz w:val="22"/>
          <w:szCs w:val="22"/>
        </w:rPr>
        <w:t xml:space="preserve"> U (W/m²·K) et du </w:t>
      </w:r>
      <w:r>
        <w:rPr>
          <w:i/>
          <w:sz w:val="22"/>
          <w:szCs w:val="22"/>
        </w:rPr>
        <w:t xml:space="preserve">facteur solaire </w:t>
      </w:r>
      <w:r>
        <w:rPr>
          <w:sz w:val="22"/>
          <w:szCs w:val="22"/>
        </w:rPr>
        <w:t>g</w:t>
      </w:r>
      <w:r>
        <w:rPr>
          <w:sz w:val="22"/>
          <w:szCs w:val="22"/>
          <w:vertAlign w:val="subscript"/>
        </w:rPr>
        <w:t>┴</w:t>
      </w:r>
      <w:r>
        <w:rPr>
          <w:sz w:val="22"/>
          <w:szCs w:val="22"/>
        </w:rPr>
        <w:t xml:space="preserve"> pour la partie semi-transparente de l</w:t>
      </w:r>
      <w:r w:rsidR="00EA7588">
        <w:rPr>
          <w:sz w:val="22"/>
          <w:szCs w:val="22"/>
        </w:rPr>
        <w:t>’</w:t>
      </w:r>
      <w:r>
        <w:rPr>
          <w:i/>
          <w:iCs/>
          <w:sz w:val="22"/>
          <w:szCs w:val="22"/>
        </w:rPr>
        <w:t>ouverture</w:t>
      </w:r>
      <w:r>
        <w:rPr>
          <w:sz w:val="22"/>
          <w:szCs w:val="22"/>
        </w:rPr>
        <w:t xml:space="preserve"> et en fonction de la </w:t>
      </w:r>
      <w:r>
        <w:rPr>
          <w:i/>
          <w:sz w:val="22"/>
          <w:szCs w:val="22"/>
        </w:rPr>
        <w:t>transmission thermique</w:t>
      </w:r>
      <w:r>
        <w:rPr>
          <w:sz w:val="22"/>
          <w:szCs w:val="22"/>
        </w:rPr>
        <w:t xml:space="preserve"> U (W/m</w:t>
      </w:r>
      <w:r>
        <w:rPr>
          <w:sz w:val="22"/>
          <w:szCs w:val="22"/>
          <w:vertAlign w:val="superscript"/>
        </w:rPr>
        <w:t>2·</w:t>
      </w:r>
      <w:r>
        <w:rPr>
          <w:sz w:val="22"/>
          <w:szCs w:val="22"/>
        </w:rPr>
        <w:t xml:space="preserve">K), de la </w:t>
      </w:r>
      <w:r>
        <w:rPr>
          <w:i/>
          <w:sz w:val="22"/>
          <w:szCs w:val="22"/>
        </w:rPr>
        <w:t>capacité d</w:t>
      </w:r>
      <w:r w:rsidR="00EA7588">
        <w:rPr>
          <w:i/>
          <w:sz w:val="22"/>
          <w:szCs w:val="22"/>
        </w:rPr>
        <w:t>’</w:t>
      </w:r>
      <w:r>
        <w:rPr>
          <w:i/>
          <w:sz w:val="22"/>
          <w:szCs w:val="22"/>
        </w:rPr>
        <w:t>absorption</w:t>
      </w:r>
      <w:r>
        <w:rPr>
          <w:sz w:val="22"/>
          <w:szCs w:val="22"/>
        </w:rPr>
        <w:t xml:space="preserve"> α pour les encadrements des </w:t>
      </w:r>
      <w:r>
        <w:rPr>
          <w:i/>
          <w:iCs/>
          <w:sz w:val="22"/>
          <w:szCs w:val="22"/>
        </w:rPr>
        <w:t>ouvertures</w:t>
      </w:r>
      <w:r>
        <w:rPr>
          <w:sz w:val="22"/>
          <w:szCs w:val="22"/>
        </w:rPr>
        <w:t xml:space="preserve"> (y compris les portes) et de la </w:t>
      </w:r>
      <w:r>
        <w:rPr>
          <w:i/>
          <w:sz w:val="22"/>
          <w:szCs w:val="22"/>
        </w:rPr>
        <w:t xml:space="preserve">transmission thermique linéaire </w:t>
      </w:r>
      <w:r>
        <w:rPr>
          <w:sz w:val="22"/>
          <w:szCs w:val="22"/>
        </w:rPr>
        <w:t>Ψ (W/mK) pour les séparateurs.</w:t>
      </w:r>
    </w:p>
    <w:p w14:paraId="2AB78F43" w14:textId="72A2276C" w:rsidR="00230F35" w:rsidRPr="00937C8B" w:rsidRDefault="00230F35" w:rsidP="00230F35">
      <w:pPr>
        <w:pStyle w:val="CTENumeracion"/>
        <w:spacing w:before="120"/>
        <w:rPr>
          <w:rFonts w:cs="Arial"/>
          <w:sz w:val="22"/>
          <w:szCs w:val="22"/>
        </w:rPr>
      </w:pPr>
      <w:r>
        <w:rPr>
          <w:sz w:val="22"/>
          <w:szCs w:val="22"/>
        </w:rPr>
        <w:t>4</w:t>
      </w:r>
      <w:r>
        <w:rPr>
          <w:sz w:val="22"/>
          <w:szCs w:val="22"/>
        </w:rPr>
        <w:tab/>
        <w:t xml:space="preserve">Les menuiseries des </w:t>
      </w:r>
      <w:r>
        <w:rPr>
          <w:i/>
          <w:sz w:val="22"/>
          <w:szCs w:val="22"/>
        </w:rPr>
        <w:t>ouvertures</w:t>
      </w:r>
      <w:r>
        <w:rPr>
          <w:sz w:val="22"/>
          <w:szCs w:val="22"/>
        </w:rPr>
        <w:t xml:space="preserve"> sont définies, en outre, en fonction de la résistance à l</w:t>
      </w:r>
      <w:r w:rsidR="00EA7588">
        <w:rPr>
          <w:sz w:val="22"/>
          <w:szCs w:val="22"/>
        </w:rPr>
        <w:t>’</w:t>
      </w:r>
      <w:r>
        <w:rPr>
          <w:sz w:val="22"/>
          <w:szCs w:val="22"/>
        </w:rPr>
        <w:t>étanchéité à l</w:t>
      </w:r>
      <w:r w:rsidR="00EA7588">
        <w:rPr>
          <w:sz w:val="22"/>
          <w:szCs w:val="22"/>
        </w:rPr>
        <w:t>’</w:t>
      </w:r>
      <w:r>
        <w:rPr>
          <w:sz w:val="22"/>
          <w:szCs w:val="22"/>
        </w:rPr>
        <w:t>air en m³/h·m² ou bien de leur classe, selon les dispositions de la norme UNE EN 12207:2017.</w:t>
      </w:r>
    </w:p>
    <w:p w14:paraId="5EFFC4AC" w14:textId="77777777" w:rsidR="00230F35" w:rsidRPr="00937C8B" w:rsidRDefault="00230F35" w:rsidP="00230F35">
      <w:pPr>
        <w:pStyle w:val="CTENumeracion"/>
        <w:spacing w:before="120"/>
        <w:rPr>
          <w:rFonts w:cs="Arial"/>
          <w:sz w:val="22"/>
          <w:szCs w:val="22"/>
        </w:rPr>
      </w:pPr>
      <w:r>
        <w:rPr>
          <w:sz w:val="22"/>
          <w:szCs w:val="22"/>
        </w:rPr>
        <w:t>5</w:t>
      </w:r>
      <w:r>
        <w:rPr>
          <w:sz w:val="22"/>
          <w:szCs w:val="22"/>
        </w:rPr>
        <w:tab/>
        <w:t xml:space="preserve">Les valeurs de conception des propriétés citées doivent être obtenues à partir des valeurs déclarées par le fabricant pour chaque </w:t>
      </w:r>
      <w:r>
        <w:rPr>
          <w:i/>
          <w:iCs/>
          <w:sz w:val="22"/>
          <w:szCs w:val="22"/>
        </w:rPr>
        <w:t>produit</w:t>
      </w:r>
      <w:r>
        <w:rPr>
          <w:sz w:val="22"/>
          <w:szCs w:val="22"/>
        </w:rPr>
        <w:t>.</w:t>
      </w:r>
    </w:p>
    <w:p w14:paraId="1528D154" w14:textId="1A9F4E82" w:rsidR="00230F35" w:rsidRPr="00937C8B" w:rsidRDefault="00230F35" w:rsidP="00230F35">
      <w:pPr>
        <w:pStyle w:val="CTENumeracion"/>
        <w:spacing w:before="120"/>
        <w:rPr>
          <w:rFonts w:cs="Arial"/>
          <w:sz w:val="22"/>
          <w:szCs w:val="22"/>
        </w:rPr>
      </w:pPr>
      <w:r>
        <w:rPr>
          <w:sz w:val="22"/>
          <w:szCs w:val="22"/>
        </w:rPr>
        <w:t>6</w:t>
      </w:r>
      <w:r>
        <w:rPr>
          <w:sz w:val="22"/>
          <w:szCs w:val="22"/>
        </w:rPr>
        <w:tab/>
        <w:t xml:space="preserve">Le cahier des charges du projet doit inclure les caractéristiques hygrométriques des </w:t>
      </w:r>
      <w:r>
        <w:rPr>
          <w:i/>
          <w:sz w:val="22"/>
          <w:szCs w:val="22"/>
        </w:rPr>
        <w:t>produits</w:t>
      </w:r>
      <w:r>
        <w:rPr>
          <w:sz w:val="22"/>
          <w:szCs w:val="22"/>
        </w:rPr>
        <w:t xml:space="preserve"> utilisés dans l</w:t>
      </w:r>
      <w:r w:rsidR="00EA7588">
        <w:rPr>
          <w:sz w:val="22"/>
          <w:szCs w:val="22"/>
        </w:rPr>
        <w:t>’</w:t>
      </w:r>
      <w:r>
        <w:rPr>
          <w:i/>
          <w:sz w:val="22"/>
          <w:szCs w:val="22"/>
        </w:rPr>
        <w:t>enceinte thermique</w:t>
      </w:r>
      <w:r>
        <w:rPr>
          <w:sz w:val="22"/>
          <w:szCs w:val="22"/>
        </w:rPr>
        <w:t xml:space="preserve"> du bâtiment. Les calculs justificatifs de ces valeurs doivent être inclus dans le rapport et consignés dans le cahier des charges.</w:t>
      </w:r>
    </w:p>
    <w:p w14:paraId="59F34AFF" w14:textId="32C21898" w:rsidR="00230F35" w:rsidRPr="00937C8B" w:rsidRDefault="00230F35" w:rsidP="00230F35">
      <w:pPr>
        <w:pStyle w:val="CTENumeracion"/>
        <w:spacing w:before="120"/>
        <w:rPr>
          <w:rFonts w:cs="Arial"/>
          <w:sz w:val="22"/>
          <w:szCs w:val="22"/>
        </w:rPr>
      </w:pPr>
      <w:r>
        <w:rPr>
          <w:sz w:val="22"/>
          <w:szCs w:val="22"/>
        </w:rPr>
        <w:t>7</w:t>
      </w:r>
      <w:r>
        <w:rPr>
          <w:sz w:val="22"/>
          <w:szCs w:val="22"/>
        </w:rPr>
        <w:tab/>
        <w:t xml:space="preserve">Dans tous les cas, des valeurs thermiques de calcul seront utilisées, qui peuvent être calculées à partir des valeurs thermiques déclarées conformément à la norme UNE-EN ISO 10456:2012 et, en complément, à la norme UNE-EN ISO 13786:2017,pour les produits à forte </w:t>
      </w:r>
      <w:r>
        <w:rPr>
          <w:i/>
          <w:iCs/>
          <w:sz w:val="22"/>
          <w:szCs w:val="22"/>
        </w:rPr>
        <w:t>inertie thermique</w:t>
      </w:r>
      <w:r>
        <w:rPr>
          <w:sz w:val="22"/>
          <w:szCs w:val="22"/>
        </w:rPr>
        <w:t>. En règle générale et à moins que cela ne soit justifié, les valeurs de conception doivent être égales à celles définies pour une température de 10</w:t>
      </w:r>
      <w:r w:rsidR="00EA7588">
        <w:rPr>
          <w:sz w:val="22"/>
          <w:szCs w:val="22"/>
        </w:rPr>
        <w:t> </w:t>
      </w:r>
      <w:r>
        <w:rPr>
          <w:sz w:val="22"/>
          <w:szCs w:val="22"/>
        </w:rPr>
        <w:t>°C et une teneur en humidité correspondant à l</w:t>
      </w:r>
      <w:r w:rsidR="00EA7588">
        <w:rPr>
          <w:sz w:val="22"/>
          <w:szCs w:val="22"/>
        </w:rPr>
        <w:t>’</w:t>
      </w:r>
      <w:r>
        <w:rPr>
          <w:sz w:val="22"/>
          <w:szCs w:val="22"/>
        </w:rPr>
        <w:t>équilibre avec un environnement de 23</w:t>
      </w:r>
      <w:r w:rsidR="00EA7588">
        <w:rPr>
          <w:sz w:val="22"/>
          <w:szCs w:val="22"/>
        </w:rPr>
        <w:t> </w:t>
      </w:r>
      <w:r>
        <w:rPr>
          <w:sz w:val="22"/>
          <w:szCs w:val="22"/>
        </w:rPr>
        <w:t>°C et un taux d</w:t>
      </w:r>
      <w:r w:rsidR="00EA7588">
        <w:rPr>
          <w:sz w:val="22"/>
          <w:szCs w:val="22"/>
        </w:rPr>
        <w:t>’</w:t>
      </w:r>
      <w:r>
        <w:rPr>
          <w:sz w:val="22"/>
          <w:szCs w:val="22"/>
        </w:rPr>
        <w:t>humidité relative de 50</w:t>
      </w:r>
      <w:r w:rsidR="00EA7588">
        <w:rPr>
          <w:sz w:val="22"/>
          <w:szCs w:val="22"/>
        </w:rPr>
        <w:t> </w:t>
      </w:r>
      <w:r>
        <w:rPr>
          <w:sz w:val="22"/>
          <w:szCs w:val="22"/>
        </w:rPr>
        <w:t>%.</w:t>
      </w:r>
    </w:p>
    <w:p w14:paraId="6590FD6A" w14:textId="77777777" w:rsidR="00230F35" w:rsidRPr="00937C8B" w:rsidRDefault="00230F35" w:rsidP="009467D5">
      <w:pPr>
        <w:pStyle w:val="CteTtulo3"/>
      </w:pPr>
      <w:bookmarkStart w:id="126" w:name="Sección_HE1_CaracteristicasComponentes"/>
      <w:bookmarkStart w:id="127" w:name="_Toc530395261"/>
      <w:bookmarkStart w:id="128" w:name="_Toc39157932"/>
      <w:bookmarkEnd w:id="126"/>
      <w:r>
        <w:t>5.2</w:t>
      </w:r>
      <w:r>
        <w:tab/>
        <w:t>Exigences relatives aux composants de l’</w:t>
      </w:r>
      <w:r>
        <w:rPr>
          <w:i/>
          <w:iCs/>
        </w:rPr>
        <w:t>enceinte thermique</w:t>
      </w:r>
      <w:bookmarkEnd w:id="127"/>
      <w:bookmarkEnd w:id="128"/>
    </w:p>
    <w:p w14:paraId="0656B11D" w14:textId="77777777" w:rsidR="00230F35" w:rsidRPr="00937C8B" w:rsidRDefault="00230F35" w:rsidP="00230F35">
      <w:pPr>
        <w:pStyle w:val="CTENumeracion"/>
        <w:spacing w:before="120"/>
        <w:rPr>
          <w:rFonts w:cs="Arial"/>
          <w:sz w:val="22"/>
          <w:szCs w:val="22"/>
        </w:rPr>
      </w:pPr>
      <w:r>
        <w:rPr>
          <w:sz w:val="22"/>
          <w:szCs w:val="22"/>
        </w:rPr>
        <w:t>1</w:t>
      </w:r>
      <w:r>
        <w:rPr>
          <w:sz w:val="22"/>
          <w:szCs w:val="22"/>
        </w:rPr>
        <w:tab/>
        <w:t xml:space="preserve">Les caractéristiques requises des </w:t>
      </w:r>
      <w:r>
        <w:rPr>
          <w:i/>
          <w:iCs/>
          <w:sz w:val="22"/>
          <w:szCs w:val="22"/>
        </w:rPr>
        <w:t>cloisons</w:t>
      </w:r>
      <w:r>
        <w:rPr>
          <w:sz w:val="22"/>
          <w:szCs w:val="22"/>
        </w:rPr>
        <w:t xml:space="preserve"> et des </w:t>
      </w:r>
      <w:r>
        <w:rPr>
          <w:i/>
          <w:iCs/>
          <w:sz w:val="22"/>
          <w:szCs w:val="22"/>
        </w:rPr>
        <w:t>séparations intérieures</w:t>
      </w:r>
      <w:r>
        <w:rPr>
          <w:sz w:val="22"/>
          <w:szCs w:val="22"/>
        </w:rPr>
        <w:t xml:space="preserve"> sont celles exprimées par leur </w:t>
      </w:r>
      <w:r>
        <w:rPr>
          <w:i/>
          <w:iCs/>
          <w:sz w:val="22"/>
          <w:szCs w:val="22"/>
        </w:rPr>
        <w:t>transmission thermique</w:t>
      </w:r>
      <w:r>
        <w:rPr>
          <w:sz w:val="22"/>
          <w:szCs w:val="22"/>
        </w:rPr>
        <w:t xml:space="preserve"> ou, dans le cas des composants pour lesquels ce paramètre n’est pas pertinent, par leur résistance thermique R (K·m²/W).</w:t>
      </w:r>
    </w:p>
    <w:p w14:paraId="46D564B3" w14:textId="77777777" w:rsidR="00230F35" w:rsidRPr="00937C8B" w:rsidRDefault="00230F35" w:rsidP="00230F35">
      <w:pPr>
        <w:pStyle w:val="CTENumeracion"/>
        <w:spacing w:before="120"/>
        <w:rPr>
          <w:rFonts w:cs="Arial"/>
          <w:sz w:val="22"/>
          <w:szCs w:val="22"/>
        </w:rPr>
      </w:pPr>
      <w:r>
        <w:rPr>
          <w:sz w:val="22"/>
          <w:szCs w:val="22"/>
        </w:rPr>
        <w:t>2</w:t>
      </w:r>
      <w:r>
        <w:rPr>
          <w:sz w:val="22"/>
          <w:szCs w:val="22"/>
        </w:rPr>
        <w:tab/>
        <w:t xml:space="preserve">Le calcul de ces paramètres doit être précisé dans le rapport du projet. Les valeurs et les exigences relatives aux </w:t>
      </w:r>
      <w:r>
        <w:rPr>
          <w:i/>
          <w:sz w:val="22"/>
          <w:szCs w:val="22"/>
        </w:rPr>
        <w:t xml:space="preserve">cloisons </w:t>
      </w:r>
      <w:r>
        <w:rPr>
          <w:sz w:val="22"/>
          <w:szCs w:val="22"/>
        </w:rPr>
        <w:t xml:space="preserve">et aux </w:t>
      </w:r>
      <w:r>
        <w:rPr>
          <w:i/>
          <w:sz w:val="22"/>
          <w:szCs w:val="22"/>
        </w:rPr>
        <w:t>séparations intérieures</w:t>
      </w:r>
      <w:r>
        <w:rPr>
          <w:sz w:val="22"/>
          <w:szCs w:val="22"/>
        </w:rPr>
        <w:t xml:space="preserve"> doivent être consignées dans le cahier des charges du projet, ainsi que leurs conditions particulières d’exécution.</w:t>
      </w:r>
    </w:p>
    <w:p w14:paraId="03850597" w14:textId="77777777" w:rsidR="00230F35" w:rsidRPr="00937C8B" w:rsidRDefault="00230F35" w:rsidP="009467D5">
      <w:pPr>
        <w:pStyle w:val="CteTtulo3"/>
      </w:pPr>
      <w:bookmarkStart w:id="129" w:name="_Toc530395262"/>
      <w:bookmarkStart w:id="130" w:name="_Toc530396141"/>
      <w:bookmarkStart w:id="131" w:name="_Toc39157933"/>
      <w:r>
        <w:t>5.3</w:t>
      </w:r>
      <w:r>
        <w:tab/>
        <w:t>Exécution</w:t>
      </w:r>
      <w:bookmarkEnd w:id="129"/>
      <w:bookmarkEnd w:id="130"/>
      <w:bookmarkEnd w:id="131"/>
    </w:p>
    <w:p w14:paraId="21342E2D" w14:textId="188D9358" w:rsidR="00230F35" w:rsidRPr="00937C8B" w:rsidRDefault="00230F35" w:rsidP="00230F35">
      <w:pPr>
        <w:pStyle w:val="CTENumeracion"/>
        <w:rPr>
          <w:rFonts w:cs="Arial"/>
          <w:sz w:val="22"/>
          <w:szCs w:val="22"/>
        </w:rPr>
      </w:pPr>
      <w:r>
        <w:rPr>
          <w:sz w:val="22"/>
          <w:szCs w:val="22"/>
        </w:rPr>
        <w:t>1</w:t>
      </w:r>
      <w:r>
        <w:rPr>
          <w:sz w:val="22"/>
          <w:szCs w:val="22"/>
        </w:rPr>
        <w:tab/>
        <w:t>Les travaux de construction du bâtiment doivent être exécutés conformément au projet et aux modifications autorisées par le responsable des travaux sous réserve de l</w:t>
      </w:r>
      <w:r w:rsidR="00EA7588">
        <w:rPr>
          <w:sz w:val="22"/>
          <w:szCs w:val="22"/>
        </w:rPr>
        <w:t>’</w:t>
      </w:r>
      <w:r>
        <w:rPr>
          <w:sz w:val="22"/>
          <w:szCs w:val="22"/>
        </w:rPr>
        <w:t xml:space="preserve">accord préalable du promoteur, à la législation en vigueur, aux normes relatives aux bonnes pratiques de construction et aux consignes </w:t>
      </w:r>
      <w:r>
        <w:rPr>
          <w:sz w:val="22"/>
          <w:szCs w:val="22"/>
        </w:rPr>
        <w:lastRenderedPageBreak/>
        <w:t>du responsable des travaux et du directeur de l</w:t>
      </w:r>
      <w:r w:rsidR="00EA7588">
        <w:rPr>
          <w:sz w:val="22"/>
          <w:szCs w:val="22"/>
        </w:rPr>
        <w:t>’</w:t>
      </w:r>
      <w:r>
        <w:rPr>
          <w:sz w:val="22"/>
          <w:szCs w:val="22"/>
        </w:rPr>
        <w:t>exécution des travaux, en vertu des dispositions de l</w:t>
      </w:r>
      <w:r w:rsidR="00EA7588">
        <w:rPr>
          <w:sz w:val="22"/>
          <w:szCs w:val="22"/>
        </w:rPr>
        <w:t>’</w:t>
      </w:r>
      <w:r>
        <w:rPr>
          <w:sz w:val="22"/>
          <w:szCs w:val="22"/>
        </w:rPr>
        <w:t>article 7, partie I, du CTE.</w:t>
      </w:r>
    </w:p>
    <w:p w14:paraId="69DC304A" w14:textId="77777777" w:rsidR="00230F35" w:rsidRPr="00937C8B" w:rsidRDefault="00230F35" w:rsidP="009467D5">
      <w:pPr>
        <w:pStyle w:val="CteTtulo3"/>
      </w:pPr>
      <w:bookmarkStart w:id="132" w:name="Sección_HE1_ControlRecepcion"/>
      <w:bookmarkStart w:id="133" w:name="_Toc530395263"/>
      <w:bookmarkStart w:id="134" w:name="_Toc39157934"/>
      <w:bookmarkEnd w:id="132"/>
      <w:r>
        <w:t>5.4</w:t>
      </w:r>
      <w:r>
        <w:tab/>
        <w:t>Contrôle de la réception des produits sur le chantier</w:t>
      </w:r>
      <w:bookmarkEnd w:id="133"/>
      <w:bookmarkEnd w:id="134"/>
    </w:p>
    <w:p w14:paraId="3F356CB6" w14:textId="4919D8B8" w:rsidR="00230F35" w:rsidRPr="00937C8B" w:rsidRDefault="00230F35" w:rsidP="00230F35">
      <w:pPr>
        <w:pStyle w:val="CTENumeracion"/>
        <w:spacing w:before="120"/>
        <w:rPr>
          <w:rFonts w:cs="Arial"/>
          <w:sz w:val="22"/>
          <w:szCs w:val="22"/>
        </w:rPr>
      </w:pPr>
      <w:r>
        <w:rPr>
          <w:sz w:val="22"/>
          <w:szCs w:val="22"/>
        </w:rPr>
        <w:t>1</w:t>
      </w:r>
      <w:r>
        <w:rPr>
          <w:sz w:val="22"/>
          <w:szCs w:val="22"/>
        </w:rPr>
        <w:tab/>
        <w:t xml:space="preserve">Le cahier des charges du projet doit préciser les conditions particulières de contrôle relatives à la réception des produits composant les </w:t>
      </w:r>
      <w:r>
        <w:rPr>
          <w:i/>
          <w:iCs/>
          <w:sz w:val="22"/>
          <w:szCs w:val="22"/>
        </w:rPr>
        <w:t>cloisons</w:t>
      </w:r>
      <w:r>
        <w:rPr>
          <w:sz w:val="22"/>
          <w:szCs w:val="22"/>
        </w:rPr>
        <w:t xml:space="preserve"> et</w:t>
      </w:r>
      <w:r>
        <w:rPr>
          <w:i/>
          <w:iCs/>
          <w:sz w:val="22"/>
          <w:szCs w:val="22"/>
        </w:rPr>
        <w:t xml:space="preserve"> séparations intérieures </w:t>
      </w:r>
      <w:r>
        <w:rPr>
          <w:sz w:val="22"/>
          <w:szCs w:val="22"/>
        </w:rPr>
        <w:t>de l</w:t>
      </w:r>
      <w:r w:rsidR="00EA7588">
        <w:rPr>
          <w:sz w:val="22"/>
          <w:szCs w:val="22"/>
        </w:rPr>
        <w:t>’</w:t>
      </w:r>
      <w:r>
        <w:rPr>
          <w:i/>
          <w:sz w:val="22"/>
          <w:szCs w:val="22"/>
        </w:rPr>
        <w:t>enceinte thermique</w:t>
      </w:r>
      <w:r>
        <w:rPr>
          <w:sz w:val="22"/>
          <w:szCs w:val="22"/>
        </w:rPr>
        <w:t>, y compris les tests permettant de vérifier que ces dernières réunissent les caractéristiques énoncées dans les articles précédents.</w:t>
      </w:r>
    </w:p>
    <w:p w14:paraId="7F98562F" w14:textId="77777777" w:rsidR="00230F35" w:rsidRPr="00937C8B" w:rsidRDefault="00230F35" w:rsidP="00D27646">
      <w:pPr>
        <w:pStyle w:val="CTENumeracion"/>
        <w:keepNext/>
        <w:spacing w:before="120"/>
        <w:rPr>
          <w:rFonts w:cs="Arial"/>
          <w:sz w:val="22"/>
          <w:szCs w:val="22"/>
        </w:rPr>
      </w:pPr>
      <w:r>
        <w:rPr>
          <w:sz w:val="22"/>
          <w:szCs w:val="22"/>
        </w:rPr>
        <w:t>2</w:t>
      </w:r>
      <w:r>
        <w:rPr>
          <w:sz w:val="22"/>
          <w:szCs w:val="22"/>
        </w:rPr>
        <w:tab/>
        <w:t xml:space="preserve">Il convient de vérifier que les </w:t>
      </w:r>
      <w:r>
        <w:rPr>
          <w:i/>
          <w:iCs/>
          <w:sz w:val="22"/>
          <w:szCs w:val="22"/>
        </w:rPr>
        <w:t xml:space="preserve">produits </w:t>
      </w:r>
      <w:r>
        <w:rPr>
          <w:sz w:val="22"/>
          <w:szCs w:val="22"/>
        </w:rPr>
        <w:t>reçus:</w:t>
      </w:r>
    </w:p>
    <w:p w14:paraId="122F41A3" w14:textId="77777777" w:rsidR="00230F35" w:rsidRPr="00937C8B" w:rsidRDefault="00230F35" w:rsidP="00230F35">
      <w:pPr>
        <w:pStyle w:val="CTENumeracion"/>
        <w:rPr>
          <w:rFonts w:cs="Arial"/>
          <w:sz w:val="22"/>
          <w:szCs w:val="22"/>
        </w:rPr>
      </w:pPr>
      <w:r>
        <w:rPr>
          <w:sz w:val="22"/>
          <w:szCs w:val="22"/>
        </w:rPr>
        <w:tab/>
        <w:t>a)</w:t>
      </w:r>
      <w:r>
        <w:rPr>
          <w:sz w:val="22"/>
          <w:szCs w:val="22"/>
        </w:rPr>
        <w:tab/>
        <w:t>correspondent aux spécifications du cahier des charges;</w:t>
      </w:r>
    </w:p>
    <w:p w14:paraId="39F5C7BB" w14:textId="77777777" w:rsidR="00230F35" w:rsidRPr="00937C8B" w:rsidRDefault="00230F35" w:rsidP="00230F35">
      <w:pPr>
        <w:pStyle w:val="CTENumeracion"/>
        <w:rPr>
          <w:rFonts w:cs="Arial"/>
          <w:sz w:val="22"/>
          <w:szCs w:val="22"/>
        </w:rPr>
      </w:pPr>
      <w:r>
        <w:rPr>
          <w:sz w:val="22"/>
          <w:szCs w:val="22"/>
        </w:rPr>
        <w:tab/>
        <w:t>b)</w:t>
      </w:r>
      <w:r>
        <w:rPr>
          <w:sz w:val="22"/>
          <w:szCs w:val="22"/>
        </w:rPr>
        <w:tab/>
        <w:t>sont accompagnés de la documentation exigée;</w:t>
      </w:r>
    </w:p>
    <w:p w14:paraId="24FC2FA5" w14:textId="77777777" w:rsidR="00B44AA1" w:rsidRPr="00937C8B" w:rsidRDefault="00230F35" w:rsidP="00230F35">
      <w:pPr>
        <w:pStyle w:val="CTENumeracion"/>
        <w:rPr>
          <w:rFonts w:cs="Arial"/>
          <w:sz w:val="22"/>
          <w:szCs w:val="22"/>
        </w:rPr>
      </w:pPr>
      <w:r>
        <w:rPr>
          <w:sz w:val="22"/>
          <w:szCs w:val="22"/>
        </w:rPr>
        <w:tab/>
        <w:t>c)</w:t>
      </w:r>
      <w:r>
        <w:rPr>
          <w:sz w:val="22"/>
          <w:szCs w:val="22"/>
        </w:rPr>
        <w:tab/>
        <w:t>se caractérisent par les propriétés exigées;</w:t>
      </w:r>
    </w:p>
    <w:p w14:paraId="79BC9731" w14:textId="36B79DF5" w:rsidR="00230F35" w:rsidRPr="00937C8B" w:rsidRDefault="00230F35" w:rsidP="00230F35">
      <w:pPr>
        <w:pStyle w:val="CTENumeracion"/>
        <w:rPr>
          <w:rFonts w:cs="Arial"/>
          <w:sz w:val="22"/>
          <w:szCs w:val="22"/>
        </w:rPr>
      </w:pPr>
      <w:r>
        <w:rPr>
          <w:sz w:val="22"/>
          <w:szCs w:val="22"/>
        </w:rPr>
        <w:tab/>
        <w:t>d)</w:t>
      </w:r>
      <w:r>
        <w:rPr>
          <w:sz w:val="22"/>
          <w:szCs w:val="22"/>
        </w:rPr>
        <w:tab/>
        <w:t>ont fait l</w:t>
      </w:r>
      <w:r w:rsidR="00EA7588">
        <w:rPr>
          <w:sz w:val="22"/>
          <w:szCs w:val="22"/>
        </w:rPr>
        <w:t>’</w:t>
      </w:r>
      <w:r>
        <w:rPr>
          <w:sz w:val="22"/>
          <w:szCs w:val="22"/>
        </w:rPr>
        <w:t>objet d</w:t>
      </w:r>
      <w:r w:rsidR="00EA7588">
        <w:rPr>
          <w:sz w:val="22"/>
          <w:szCs w:val="22"/>
        </w:rPr>
        <w:t>’</w:t>
      </w:r>
      <w:r>
        <w:rPr>
          <w:sz w:val="22"/>
          <w:szCs w:val="22"/>
        </w:rPr>
        <w:t>essais, comme indiqué dans le cahier des charges ou comme exigé par le directeur de l</w:t>
      </w:r>
      <w:r w:rsidR="00EA7588">
        <w:rPr>
          <w:sz w:val="22"/>
          <w:szCs w:val="22"/>
        </w:rPr>
        <w:t>’</w:t>
      </w:r>
      <w:r>
        <w:rPr>
          <w:sz w:val="22"/>
          <w:szCs w:val="22"/>
        </w:rPr>
        <w:t>exécution des travaux, avec l</w:t>
      </w:r>
      <w:r w:rsidR="00EA7588">
        <w:rPr>
          <w:sz w:val="22"/>
          <w:szCs w:val="22"/>
        </w:rPr>
        <w:t>’</w:t>
      </w:r>
      <w:r>
        <w:rPr>
          <w:sz w:val="22"/>
          <w:szCs w:val="22"/>
        </w:rPr>
        <w:t>accord du responsable des travaux, selon la fréquence établie.</w:t>
      </w:r>
    </w:p>
    <w:p w14:paraId="5301333A" w14:textId="7E825212" w:rsidR="00230F35" w:rsidRPr="00937C8B" w:rsidRDefault="00230F35" w:rsidP="00230F35">
      <w:pPr>
        <w:pStyle w:val="CTENumeracion"/>
        <w:spacing w:before="120"/>
        <w:rPr>
          <w:rFonts w:cs="Arial"/>
          <w:sz w:val="22"/>
          <w:szCs w:val="22"/>
        </w:rPr>
      </w:pPr>
      <w:r>
        <w:rPr>
          <w:sz w:val="22"/>
          <w:szCs w:val="22"/>
        </w:rPr>
        <w:t>3</w:t>
      </w:r>
      <w:r>
        <w:rPr>
          <w:sz w:val="22"/>
          <w:szCs w:val="22"/>
        </w:rPr>
        <w:tab/>
        <w:t>Le contrôle doit satisfaire aux exigences de l</w:t>
      </w:r>
      <w:r w:rsidR="00EA7588">
        <w:rPr>
          <w:sz w:val="22"/>
          <w:szCs w:val="22"/>
        </w:rPr>
        <w:t>’</w:t>
      </w:r>
      <w:r>
        <w:rPr>
          <w:sz w:val="22"/>
          <w:szCs w:val="22"/>
        </w:rPr>
        <w:t>article 7.2 de la partie I du CTE.</w:t>
      </w:r>
    </w:p>
    <w:p w14:paraId="70171ECB" w14:textId="7A404937" w:rsidR="00230F35" w:rsidRPr="00937C8B" w:rsidRDefault="00230F35" w:rsidP="009467D5">
      <w:pPr>
        <w:pStyle w:val="CteTtulo3"/>
      </w:pPr>
      <w:bookmarkStart w:id="135" w:name="_Toc530395264"/>
      <w:bookmarkStart w:id="136" w:name="_Toc530396143"/>
      <w:bookmarkStart w:id="137" w:name="_Toc39157935"/>
      <w:r>
        <w:t>5.5</w:t>
      </w:r>
      <w:r>
        <w:tab/>
        <w:t>Contrôle de l</w:t>
      </w:r>
      <w:r w:rsidR="00EA7588">
        <w:t>’</w:t>
      </w:r>
      <w:r>
        <w:t>exécution de l</w:t>
      </w:r>
      <w:r w:rsidR="00EA7588">
        <w:t>’</w:t>
      </w:r>
      <w:r>
        <w:t>ouvrage</w:t>
      </w:r>
      <w:bookmarkEnd w:id="135"/>
      <w:bookmarkEnd w:id="136"/>
      <w:bookmarkEnd w:id="137"/>
    </w:p>
    <w:p w14:paraId="42055313" w14:textId="554A9858" w:rsidR="00230F35" w:rsidRPr="00937C8B" w:rsidRDefault="00230F35" w:rsidP="00230F35">
      <w:pPr>
        <w:pStyle w:val="CTENumeracion"/>
        <w:spacing w:before="120"/>
        <w:rPr>
          <w:rFonts w:cs="Arial"/>
          <w:sz w:val="22"/>
          <w:szCs w:val="22"/>
        </w:rPr>
      </w:pPr>
      <w:r>
        <w:rPr>
          <w:sz w:val="22"/>
          <w:szCs w:val="22"/>
        </w:rPr>
        <w:t>1</w:t>
      </w:r>
      <w:r>
        <w:rPr>
          <w:sz w:val="22"/>
          <w:szCs w:val="22"/>
        </w:rPr>
        <w:tab/>
        <w:t>L</w:t>
      </w:r>
      <w:r w:rsidR="00EA7588">
        <w:rPr>
          <w:sz w:val="22"/>
          <w:szCs w:val="22"/>
        </w:rPr>
        <w:t>’</w:t>
      </w:r>
      <w:r>
        <w:rPr>
          <w:sz w:val="22"/>
          <w:szCs w:val="22"/>
        </w:rPr>
        <w:t>exécution des travaux doit être contrôlée conformément aux spécifications du projet, de ses annexes, aux modifications autorisées par le responsable des travaux et aux consignes du directeur de l</w:t>
      </w:r>
      <w:r w:rsidR="00EA7588">
        <w:rPr>
          <w:sz w:val="22"/>
          <w:szCs w:val="22"/>
        </w:rPr>
        <w:t>’</w:t>
      </w:r>
      <w:r>
        <w:rPr>
          <w:sz w:val="22"/>
          <w:szCs w:val="22"/>
        </w:rPr>
        <w:t>exécution des travaux, en vertu des dispositions de l</w:t>
      </w:r>
      <w:r w:rsidR="00EA7588">
        <w:rPr>
          <w:sz w:val="22"/>
          <w:szCs w:val="22"/>
        </w:rPr>
        <w:t>’</w:t>
      </w:r>
      <w:r>
        <w:rPr>
          <w:sz w:val="22"/>
          <w:szCs w:val="22"/>
        </w:rPr>
        <w:t>article 7.3 de la partie I du CTE et d</w:t>
      </w:r>
      <w:r w:rsidR="00EA7588">
        <w:rPr>
          <w:sz w:val="22"/>
          <w:szCs w:val="22"/>
        </w:rPr>
        <w:t>’</w:t>
      </w:r>
      <w:r>
        <w:rPr>
          <w:sz w:val="22"/>
          <w:szCs w:val="22"/>
        </w:rPr>
        <w:t>autres normes en vigueur.</w:t>
      </w:r>
    </w:p>
    <w:p w14:paraId="6150C728" w14:textId="429555D0" w:rsidR="00230F35" w:rsidRPr="00937C8B" w:rsidRDefault="00230F35" w:rsidP="00230F35">
      <w:pPr>
        <w:pStyle w:val="CTENumeracion"/>
        <w:spacing w:before="120"/>
        <w:rPr>
          <w:rFonts w:cs="Arial"/>
          <w:sz w:val="22"/>
          <w:szCs w:val="22"/>
        </w:rPr>
      </w:pPr>
      <w:r>
        <w:rPr>
          <w:sz w:val="22"/>
          <w:szCs w:val="22"/>
        </w:rPr>
        <w:t>2</w:t>
      </w:r>
      <w:r>
        <w:rPr>
          <w:sz w:val="22"/>
          <w:szCs w:val="22"/>
        </w:rPr>
        <w:tab/>
        <w:t>La vérification doit porter sur l</w:t>
      </w:r>
      <w:r w:rsidR="00EA7588">
        <w:rPr>
          <w:sz w:val="22"/>
          <w:szCs w:val="22"/>
        </w:rPr>
        <w:t>’</w:t>
      </w:r>
      <w:r>
        <w:rPr>
          <w:sz w:val="22"/>
          <w:szCs w:val="22"/>
        </w:rPr>
        <w:t>exécution des travaux conformément aux contrôles et à leur fréquence définis dans le cahier des charges du projet.</w:t>
      </w:r>
    </w:p>
    <w:p w14:paraId="72F53FC4" w14:textId="728B8999" w:rsidR="00230F35" w:rsidRPr="00937C8B" w:rsidRDefault="00230F35" w:rsidP="00230F35">
      <w:pPr>
        <w:pStyle w:val="CTENumeracion"/>
        <w:spacing w:before="120"/>
        <w:rPr>
          <w:rFonts w:cs="Arial"/>
          <w:sz w:val="22"/>
          <w:szCs w:val="22"/>
        </w:rPr>
      </w:pPr>
      <w:r>
        <w:rPr>
          <w:sz w:val="22"/>
          <w:szCs w:val="22"/>
        </w:rPr>
        <w:t>3</w:t>
      </w:r>
      <w:r>
        <w:rPr>
          <w:sz w:val="22"/>
          <w:szCs w:val="22"/>
        </w:rPr>
        <w:tab/>
        <w:t>Toute modification apportée dans le cadre de l</w:t>
      </w:r>
      <w:r w:rsidR="00EA7588">
        <w:rPr>
          <w:sz w:val="22"/>
          <w:szCs w:val="22"/>
        </w:rPr>
        <w:t>’</w:t>
      </w:r>
      <w:r>
        <w:rPr>
          <w:sz w:val="22"/>
          <w:szCs w:val="22"/>
        </w:rPr>
        <w:t>exécution des travaux doit être consignée dans la documentation relative aux travaux réalisés, indépendamment du respect des conditions minimales énoncées dans le présent document de base.</w:t>
      </w:r>
    </w:p>
    <w:p w14:paraId="459C342B" w14:textId="77777777" w:rsidR="00230F35" w:rsidRPr="00937C8B" w:rsidRDefault="00230F35" w:rsidP="00230F35">
      <w:pPr>
        <w:pStyle w:val="CTENumeracion"/>
        <w:spacing w:before="120"/>
        <w:rPr>
          <w:rFonts w:cs="Arial"/>
          <w:sz w:val="22"/>
          <w:szCs w:val="22"/>
        </w:rPr>
      </w:pPr>
      <w:r>
        <w:rPr>
          <w:sz w:val="22"/>
          <w:szCs w:val="22"/>
        </w:rPr>
        <w:t>4</w:t>
      </w:r>
      <w:r>
        <w:rPr>
          <w:sz w:val="22"/>
          <w:szCs w:val="22"/>
        </w:rPr>
        <w:tab/>
        <w:t>La documentation se rapportant aux caractéristiques des produits, des équipements et des systèmes intégrés aux travaux doit être jointe au Livre du bâtiment.</w:t>
      </w:r>
    </w:p>
    <w:p w14:paraId="148A3A1A" w14:textId="772AD9FD" w:rsidR="00230F35" w:rsidRPr="00937C8B" w:rsidRDefault="00230F35" w:rsidP="009467D5">
      <w:pPr>
        <w:pStyle w:val="CteTtulo3"/>
      </w:pPr>
      <w:bookmarkStart w:id="138" w:name="Sección_HE1_ControlObra"/>
      <w:bookmarkStart w:id="139" w:name="_Toc530395265"/>
      <w:bookmarkStart w:id="140" w:name="_Toc39157936"/>
      <w:bookmarkEnd w:id="138"/>
      <w:r>
        <w:t>5.6</w:t>
      </w:r>
      <w:r>
        <w:tab/>
        <w:t>Contrôle de l</w:t>
      </w:r>
      <w:r w:rsidR="00EA7588">
        <w:t>’</w:t>
      </w:r>
      <w:r>
        <w:t>ouvrage fini</w:t>
      </w:r>
      <w:bookmarkEnd w:id="139"/>
      <w:bookmarkEnd w:id="140"/>
    </w:p>
    <w:p w14:paraId="15E3C12D" w14:textId="6E6637FC" w:rsidR="00230F35" w:rsidRPr="00937C8B" w:rsidRDefault="00230F35" w:rsidP="00230F35">
      <w:pPr>
        <w:pStyle w:val="CTENumeracion"/>
        <w:spacing w:before="120"/>
        <w:rPr>
          <w:rFonts w:cs="Arial"/>
          <w:sz w:val="22"/>
          <w:szCs w:val="22"/>
        </w:rPr>
      </w:pPr>
      <w:r>
        <w:rPr>
          <w:sz w:val="22"/>
          <w:szCs w:val="22"/>
        </w:rPr>
        <w:t>1</w:t>
      </w:r>
      <w:r>
        <w:rPr>
          <w:sz w:val="22"/>
          <w:szCs w:val="22"/>
        </w:rPr>
        <w:tab/>
        <w:t>Le contrôle de l</w:t>
      </w:r>
      <w:r w:rsidR="00EA7588">
        <w:rPr>
          <w:sz w:val="22"/>
          <w:szCs w:val="22"/>
        </w:rPr>
        <w:t>’</w:t>
      </w:r>
      <w:r>
        <w:rPr>
          <w:sz w:val="22"/>
          <w:szCs w:val="22"/>
        </w:rPr>
        <w:t>ouvrage fini doit satisfaire aux exigences de l</w:t>
      </w:r>
      <w:r w:rsidR="00EA7588">
        <w:rPr>
          <w:sz w:val="22"/>
          <w:szCs w:val="22"/>
        </w:rPr>
        <w:t>’</w:t>
      </w:r>
      <w:r>
        <w:rPr>
          <w:sz w:val="22"/>
          <w:szCs w:val="22"/>
        </w:rPr>
        <w:t>article 7.4 de la partie I du CTE.</w:t>
      </w:r>
    </w:p>
    <w:p w14:paraId="5D76AAFF" w14:textId="77777777" w:rsidR="00230F35" w:rsidRPr="00937C8B" w:rsidRDefault="00230F35" w:rsidP="00230F35">
      <w:pPr>
        <w:pStyle w:val="CTENumeracion"/>
        <w:spacing w:before="120"/>
        <w:rPr>
          <w:rFonts w:cs="Arial"/>
          <w:sz w:val="22"/>
          <w:szCs w:val="22"/>
        </w:rPr>
      </w:pPr>
      <w:r>
        <w:rPr>
          <w:sz w:val="22"/>
          <w:szCs w:val="22"/>
        </w:rPr>
        <w:t>2</w:t>
      </w:r>
      <w:r>
        <w:rPr>
          <w:sz w:val="22"/>
          <w:szCs w:val="22"/>
        </w:rPr>
        <w:tab/>
        <w:t>Les essais finaux ne sont pas précisés dans cette section du document de base.</w:t>
      </w:r>
    </w:p>
    <w:p w14:paraId="2C8AD5B3" w14:textId="77777777" w:rsidR="00230F35" w:rsidRPr="00937C8B" w:rsidRDefault="00230F35" w:rsidP="009467D5">
      <w:pPr>
        <w:pStyle w:val="CteTtulo3"/>
      </w:pPr>
      <w:bookmarkStart w:id="141" w:name="_Toc530395266"/>
      <w:bookmarkStart w:id="142" w:name="_Toc530396145"/>
      <w:bookmarkStart w:id="143" w:name="_Toc39157937"/>
      <w:r>
        <w:t>5.7</w:t>
      </w:r>
      <w:r>
        <w:tab/>
        <w:t>Maintenance et conservation du bâtiment</w:t>
      </w:r>
      <w:bookmarkEnd w:id="141"/>
      <w:bookmarkEnd w:id="142"/>
      <w:bookmarkEnd w:id="143"/>
    </w:p>
    <w:p w14:paraId="6534FE6E" w14:textId="00BCD0A5" w:rsidR="00230F35" w:rsidRPr="00937C8B" w:rsidRDefault="00230F35" w:rsidP="00230F35">
      <w:pPr>
        <w:pStyle w:val="CTENumeracion"/>
        <w:rPr>
          <w:rFonts w:cs="Arial"/>
          <w:sz w:val="22"/>
          <w:szCs w:val="22"/>
        </w:rPr>
      </w:pPr>
      <w:r>
        <w:rPr>
          <w:sz w:val="22"/>
          <w:szCs w:val="22"/>
        </w:rPr>
        <w:t>1</w:t>
      </w:r>
      <w:r>
        <w:rPr>
          <w:sz w:val="22"/>
          <w:szCs w:val="22"/>
        </w:rPr>
        <w:tab/>
        <w:t>Le plan de maintenance inclus dans le livre du bâtiment présente la fréquence et la nature des opérations nécessaires à l</w:t>
      </w:r>
      <w:r w:rsidR="00EA7588">
        <w:rPr>
          <w:sz w:val="22"/>
          <w:szCs w:val="22"/>
        </w:rPr>
        <w:t>’</w:t>
      </w:r>
      <w:r>
        <w:rPr>
          <w:sz w:val="22"/>
          <w:szCs w:val="22"/>
        </w:rPr>
        <w:t>entretien, dans le temps, des paramètres de conception et des performances de l</w:t>
      </w:r>
      <w:r w:rsidR="00EA7588">
        <w:rPr>
          <w:sz w:val="22"/>
          <w:szCs w:val="22"/>
        </w:rPr>
        <w:t>’</w:t>
      </w:r>
      <w:r>
        <w:rPr>
          <w:i/>
          <w:iCs/>
          <w:sz w:val="22"/>
          <w:szCs w:val="22"/>
        </w:rPr>
        <w:t>enceinte thermique</w:t>
      </w:r>
      <w:r>
        <w:rPr>
          <w:sz w:val="22"/>
          <w:szCs w:val="22"/>
        </w:rPr>
        <w:t>.</w:t>
      </w:r>
    </w:p>
    <w:p w14:paraId="3D11A9F6" w14:textId="0B96FD10" w:rsidR="004410BF" w:rsidRPr="00937C8B" w:rsidRDefault="00230F35" w:rsidP="004410BF">
      <w:pPr>
        <w:pStyle w:val="CTENumeracion"/>
        <w:spacing w:before="120"/>
        <w:rPr>
          <w:rFonts w:cs="Arial"/>
          <w:sz w:val="22"/>
          <w:szCs w:val="22"/>
        </w:rPr>
      </w:pPr>
      <w:r>
        <w:rPr>
          <w:sz w:val="22"/>
          <w:szCs w:val="22"/>
        </w:rPr>
        <w:t>2</w:t>
      </w:r>
      <w:r>
        <w:rPr>
          <w:sz w:val="22"/>
          <w:szCs w:val="22"/>
        </w:rPr>
        <w:tab/>
        <w:t>Il convient d’y consigner également toutes les interventions effectuées, qu</w:t>
      </w:r>
      <w:r w:rsidR="00EA7588">
        <w:rPr>
          <w:sz w:val="22"/>
          <w:szCs w:val="22"/>
        </w:rPr>
        <w:t>’</w:t>
      </w:r>
      <w:r>
        <w:rPr>
          <w:sz w:val="22"/>
          <w:szCs w:val="22"/>
        </w:rPr>
        <w:t>il s</w:t>
      </w:r>
      <w:r w:rsidR="00EA7588">
        <w:rPr>
          <w:sz w:val="22"/>
          <w:szCs w:val="22"/>
        </w:rPr>
        <w:t>’</w:t>
      </w:r>
      <w:r>
        <w:rPr>
          <w:sz w:val="22"/>
          <w:szCs w:val="22"/>
        </w:rPr>
        <w:t>agisse de réparations, de rénovations ou de réhabilitations, tout au long de la vie utile du bâtiment.</w:t>
      </w:r>
    </w:p>
    <w:p w14:paraId="69B220B3" w14:textId="77777777" w:rsidR="00175E40" w:rsidRPr="00937C8B" w:rsidRDefault="00CA73D7" w:rsidP="0084739B">
      <w:pPr>
        <w:pStyle w:val="CteTtuloSeccion"/>
        <w:pageBreakBefore/>
        <w:rPr>
          <w:rFonts w:cs="Arial"/>
          <w:color w:val="auto"/>
        </w:rPr>
      </w:pPr>
      <w:bookmarkStart w:id="144" w:name="_Toc39157938"/>
      <w:bookmarkStart w:id="145" w:name="_Toc39158122"/>
      <w:r>
        <w:rPr>
          <w:color w:val="auto"/>
        </w:rPr>
        <w:lastRenderedPageBreak/>
        <w:t xml:space="preserve">Chapitre HE 2 </w:t>
      </w:r>
      <w:r>
        <w:rPr>
          <w:color w:val="auto"/>
        </w:rPr>
        <w:br/>
        <w:t>Conditions des installations thermiques</w:t>
      </w:r>
      <w:bookmarkEnd w:id="144"/>
      <w:bookmarkEnd w:id="145"/>
    </w:p>
    <w:p w14:paraId="719D672A" w14:textId="77777777" w:rsidR="00175E40" w:rsidRPr="00937C8B" w:rsidRDefault="00175E40" w:rsidP="00175E40">
      <w:pPr>
        <w:pStyle w:val="Textbody"/>
      </w:pPr>
    </w:p>
    <w:p w14:paraId="3E8BA4ED" w14:textId="77777777" w:rsidR="00244619" w:rsidRPr="00937C8B" w:rsidRDefault="00175E40" w:rsidP="00B44AA1">
      <w:pPr>
        <w:pStyle w:val="CTENumeracion"/>
        <w:spacing w:before="120"/>
        <w:ind w:left="426" w:firstLine="0"/>
        <w:rPr>
          <w:rFonts w:cs="Arial"/>
          <w:sz w:val="22"/>
          <w:szCs w:val="22"/>
        </w:rPr>
      </w:pPr>
      <w:r>
        <w:rPr>
          <w:sz w:val="22"/>
          <w:szCs w:val="22"/>
        </w:rPr>
        <w:t xml:space="preserve">Les installations thermiques des bâtiments seront appropriées pour atteindre le </w:t>
      </w:r>
      <w:r>
        <w:rPr>
          <w:i/>
          <w:iCs/>
          <w:sz w:val="22"/>
          <w:szCs w:val="22"/>
        </w:rPr>
        <w:t>bien-être thermique</w:t>
      </w:r>
      <w:r>
        <w:rPr>
          <w:sz w:val="22"/>
          <w:szCs w:val="22"/>
        </w:rPr>
        <w:t xml:space="preserve"> de leurs occupants. Cette exigence est développée actuellement dans le </w:t>
      </w:r>
      <w:r>
        <w:rPr>
          <w:i/>
          <w:iCs/>
          <w:sz w:val="22"/>
          <w:szCs w:val="22"/>
        </w:rPr>
        <w:t>Règlement des installations thermiques des bâtiments</w:t>
      </w:r>
      <w:r>
        <w:rPr>
          <w:sz w:val="22"/>
          <w:szCs w:val="22"/>
        </w:rPr>
        <w:t xml:space="preserve"> (RITE) en vigueur et son application doit être définie dans le projet du bâtiment.</w:t>
      </w:r>
    </w:p>
    <w:p w14:paraId="0E42FCE1" w14:textId="77777777" w:rsidR="00230F35" w:rsidRPr="00937C8B" w:rsidRDefault="00B44AA1" w:rsidP="0084739B">
      <w:pPr>
        <w:pStyle w:val="CteTtuloSeccion"/>
        <w:pageBreakBefore/>
        <w:rPr>
          <w:rFonts w:cs="Arial"/>
          <w:color w:val="auto"/>
        </w:rPr>
      </w:pPr>
      <w:bookmarkStart w:id="146" w:name="_Toc39157939"/>
      <w:bookmarkStart w:id="147" w:name="_Toc39158123"/>
      <w:r>
        <w:rPr>
          <w:color w:val="auto"/>
        </w:rPr>
        <w:lastRenderedPageBreak/>
        <w:t>Chapitre HE 3</w:t>
      </w:r>
      <w:r>
        <w:rPr>
          <w:color w:val="auto"/>
        </w:rPr>
        <w:br/>
        <w:t>Conditions des installations d’éclairage</w:t>
      </w:r>
      <w:bookmarkEnd w:id="146"/>
      <w:bookmarkEnd w:id="147"/>
    </w:p>
    <w:p w14:paraId="3AEC02FA" w14:textId="04AACB05" w:rsidR="00FB4F09" w:rsidRPr="00937C8B" w:rsidRDefault="00FB4F09" w:rsidP="00FB4F09">
      <w:pPr>
        <w:pStyle w:val="CteTtulo2"/>
        <w:rPr>
          <w:rFonts w:cs="Arial"/>
        </w:rPr>
      </w:pPr>
      <w:bookmarkStart w:id="148" w:name="Sección_HE3_Ambito"/>
      <w:bookmarkStart w:id="149" w:name="_Toc530395269"/>
      <w:bookmarkStart w:id="150" w:name="_Toc39157940"/>
      <w:bookmarkStart w:id="151" w:name="_Toc39158124"/>
      <w:bookmarkEnd w:id="148"/>
      <w:r>
        <w:t>1</w:t>
      </w:r>
      <w:r>
        <w:tab/>
        <w:t>Champ d</w:t>
      </w:r>
      <w:r w:rsidR="00EA7588">
        <w:t>’</w:t>
      </w:r>
      <w:r>
        <w:t>application</w:t>
      </w:r>
      <w:bookmarkEnd w:id="149"/>
      <w:bookmarkEnd w:id="150"/>
      <w:bookmarkEnd w:id="151"/>
    </w:p>
    <w:p w14:paraId="0B3B165A" w14:textId="3436FC7C" w:rsidR="00FB4F09" w:rsidRPr="00937C8B" w:rsidRDefault="00FB4F09" w:rsidP="00FB4F09">
      <w:pPr>
        <w:pStyle w:val="CTENumeracion"/>
        <w:rPr>
          <w:rFonts w:cs="Arial"/>
          <w:sz w:val="22"/>
          <w:szCs w:val="22"/>
        </w:rPr>
      </w:pPr>
      <w:r>
        <w:rPr>
          <w:sz w:val="22"/>
          <w:szCs w:val="22"/>
        </w:rPr>
        <w:t>1</w:t>
      </w:r>
      <w:r>
        <w:rPr>
          <w:sz w:val="22"/>
          <w:szCs w:val="22"/>
        </w:rPr>
        <w:tab/>
        <w:t>Le présente chapitre s</w:t>
      </w:r>
      <w:r w:rsidR="00EA7588">
        <w:rPr>
          <w:sz w:val="22"/>
          <w:szCs w:val="22"/>
        </w:rPr>
        <w:t>’</w:t>
      </w:r>
      <w:r>
        <w:rPr>
          <w:sz w:val="22"/>
          <w:szCs w:val="22"/>
        </w:rPr>
        <w:t>applique aux installations d</w:t>
      </w:r>
      <w:r w:rsidR="00EA7588">
        <w:rPr>
          <w:sz w:val="22"/>
          <w:szCs w:val="22"/>
        </w:rPr>
        <w:t>’</w:t>
      </w:r>
      <w:r>
        <w:rPr>
          <w:sz w:val="22"/>
          <w:szCs w:val="22"/>
        </w:rPr>
        <w:t>éclairage intérieures dans les cas suivants:</w:t>
      </w:r>
    </w:p>
    <w:p w14:paraId="74D532E3" w14:textId="77777777" w:rsidR="00FB4F09" w:rsidRPr="00937C8B" w:rsidRDefault="00FB4F09" w:rsidP="00935676">
      <w:pPr>
        <w:ind w:left="720" w:hanging="294"/>
        <w:jc w:val="both"/>
        <w:rPr>
          <w:rFonts w:ascii="Arial" w:hAnsi="Arial" w:cs="Arial"/>
          <w:sz w:val="22"/>
          <w:szCs w:val="22"/>
        </w:rPr>
      </w:pPr>
      <w:r>
        <w:rPr>
          <w:rFonts w:ascii="Arial" w:hAnsi="Arial"/>
          <w:sz w:val="22"/>
          <w:szCs w:val="22"/>
        </w:rPr>
        <w:t>a)</w:t>
      </w:r>
      <w:r>
        <w:rPr>
          <w:rFonts w:ascii="Arial" w:hAnsi="Arial"/>
          <w:sz w:val="22"/>
          <w:szCs w:val="22"/>
        </w:rPr>
        <w:tab/>
        <w:t>nouvelles constructions;</w:t>
      </w:r>
    </w:p>
    <w:p w14:paraId="320E3783" w14:textId="44818050" w:rsidR="00FB4F09" w:rsidRPr="00937C8B" w:rsidRDefault="00FB4F09" w:rsidP="00935676">
      <w:pPr>
        <w:ind w:left="720" w:hanging="294"/>
        <w:jc w:val="both"/>
        <w:rPr>
          <w:rFonts w:ascii="Arial" w:hAnsi="Arial" w:cs="Arial"/>
          <w:sz w:val="22"/>
          <w:szCs w:val="22"/>
        </w:rPr>
      </w:pPr>
      <w:r>
        <w:rPr>
          <w:rFonts w:ascii="Arial" w:hAnsi="Arial"/>
          <w:sz w:val="22"/>
          <w:szCs w:val="22"/>
        </w:rPr>
        <w:t>b)</w:t>
      </w:r>
      <w:r>
        <w:rPr>
          <w:rFonts w:ascii="Arial" w:hAnsi="Arial"/>
          <w:sz w:val="22"/>
          <w:szCs w:val="22"/>
        </w:rPr>
        <w:tab/>
        <w:t>interventions sur des bâtiments existants</w:t>
      </w:r>
      <w:r w:rsidR="00880E3A">
        <w:rPr>
          <w:rFonts w:ascii="Arial" w:hAnsi="Arial"/>
          <w:sz w:val="22"/>
          <w:szCs w:val="22"/>
        </w:rPr>
        <w:t>:</w:t>
      </w:r>
    </w:p>
    <w:p w14:paraId="6674589B" w14:textId="3B8D237B" w:rsidR="00FB4F09" w:rsidRPr="00937C8B" w:rsidRDefault="00880E3A" w:rsidP="00425ADA">
      <w:pPr>
        <w:pStyle w:val="Paragraphedeliste"/>
        <w:numPr>
          <w:ilvl w:val="0"/>
          <w:numId w:val="10"/>
        </w:numPr>
        <w:spacing w:after="0" w:line="240" w:lineRule="auto"/>
        <w:ind w:left="1134" w:hanging="283"/>
        <w:contextualSpacing w:val="0"/>
        <w:jc w:val="both"/>
        <w:rPr>
          <w:rFonts w:ascii="Arial" w:hAnsi="Arial" w:cs="Arial"/>
        </w:rPr>
      </w:pPr>
      <w:r>
        <w:rPr>
          <w:rFonts w:ascii="Arial" w:hAnsi="Arial"/>
        </w:rPr>
        <w:t>r</w:t>
      </w:r>
      <w:r w:rsidR="00FB4F09">
        <w:rPr>
          <w:rFonts w:ascii="Arial" w:hAnsi="Arial"/>
        </w:rPr>
        <w:t>énovation ou extension d</w:t>
      </w:r>
      <w:r w:rsidR="00EA7588">
        <w:rPr>
          <w:rFonts w:ascii="Arial" w:hAnsi="Arial"/>
        </w:rPr>
        <w:t>’</w:t>
      </w:r>
      <w:r w:rsidR="00FB4F09">
        <w:rPr>
          <w:rFonts w:ascii="Arial" w:hAnsi="Arial"/>
        </w:rPr>
        <w:t>une partie de l’installation</w:t>
      </w:r>
    </w:p>
    <w:p w14:paraId="18781F1B" w14:textId="2C87C156" w:rsidR="00FB4F09" w:rsidRPr="00937C8B" w:rsidRDefault="00FB4F09" w:rsidP="00425ADA">
      <w:pPr>
        <w:pStyle w:val="Paragraphedeliste"/>
        <w:numPr>
          <w:ilvl w:val="0"/>
          <w:numId w:val="10"/>
        </w:numPr>
        <w:spacing w:after="0" w:line="240" w:lineRule="auto"/>
        <w:ind w:left="1134" w:hanging="283"/>
        <w:contextualSpacing w:val="0"/>
        <w:jc w:val="both"/>
        <w:rPr>
          <w:rFonts w:ascii="Arial" w:hAnsi="Arial" w:cs="Arial"/>
        </w:rPr>
      </w:pPr>
      <w:r>
        <w:rPr>
          <w:rFonts w:ascii="Arial" w:hAnsi="Arial"/>
        </w:rPr>
        <w:t>modification de l</w:t>
      </w:r>
      <w:r w:rsidR="00EA7588">
        <w:rPr>
          <w:rFonts w:ascii="Arial" w:hAnsi="Arial"/>
        </w:rPr>
        <w:t>’</w:t>
      </w:r>
      <w:r>
        <w:rPr>
          <w:rFonts w:ascii="Arial" w:hAnsi="Arial"/>
        </w:rPr>
        <w:t>usage caractéristique du bâtiment.</w:t>
      </w:r>
    </w:p>
    <w:p w14:paraId="534E1EC2" w14:textId="77777777" w:rsidR="00FB4F09" w:rsidRPr="00937C8B" w:rsidRDefault="00FB4F09" w:rsidP="00425ADA">
      <w:pPr>
        <w:pStyle w:val="Paragraphedeliste"/>
        <w:numPr>
          <w:ilvl w:val="0"/>
          <w:numId w:val="10"/>
        </w:numPr>
        <w:spacing w:after="0" w:line="240" w:lineRule="auto"/>
        <w:ind w:left="1134" w:hanging="283"/>
        <w:contextualSpacing w:val="0"/>
        <w:jc w:val="both"/>
        <w:rPr>
          <w:rFonts w:ascii="Arial" w:hAnsi="Arial" w:cs="Arial"/>
        </w:rPr>
      </w:pPr>
      <w:r>
        <w:rPr>
          <w:rFonts w:ascii="Arial" w:hAnsi="Arial"/>
        </w:rPr>
        <w:t>changements d’activité sur une zone du bâtiment.</w:t>
      </w:r>
    </w:p>
    <w:p w14:paraId="76FECB0B" w14:textId="70AE55C9" w:rsidR="00FB4F09" w:rsidRPr="00937C8B" w:rsidRDefault="00FB4F09" w:rsidP="00FB4F09">
      <w:pPr>
        <w:pStyle w:val="CTENumeracion"/>
        <w:rPr>
          <w:rFonts w:cs="Arial"/>
          <w:sz w:val="22"/>
          <w:szCs w:val="22"/>
        </w:rPr>
      </w:pPr>
      <w:r>
        <w:rPr>
          <w:sz w:val="22"/>
          <w:szCs w:val="22"/>
        </w:rPr>
        <w:t>2</w:t>
      </w:r>
      <w:r>
        <w:rPr>
          <w:sz w:val="22"/>
          <w:szCs w:val="22"/>
        </w:rPr>
        <w:tab/>
        <w:t>Sont exclus du champ d</w:t>
      </w:r>
      <w:r w:rsidR="00EA7588">
        <w:rPr>
          <w:sz w:val="22"/>
          <w:szCs w:val="22"/>
        </w:rPr>
        <w:t>’</w:t>
      </w:r>
      <w:r>
        <w:rPr>
          <w:sz w:val="22"/>
          <w:szCs w:val="22"/>
        </w:rPr>
        <w:t>application:</w:t>
      </w:r>
    </w:p>
    <w:p w14:paraId="27C06BA5" w14:textId="35DE70F2" w:rsidR="00FB4F09" w:rsidRPr="00937C8B" w:rsidRDefault="00FB4F09" w:rsidP="00425ADA">
      <w:pPr>
        <w:pStyle w:val="Paragraphedeliste"/>
        <w:numPr>
          <w:ilvl w:val="0"/>
          <w:numId w:val="7"/>
        </w:numPr>
        <w:spacing w:after="0" w:line="240" w:lineRule="auto"/>
        <w:ind w:left="714" w:hanging="288"/>
        <w:jc w:val="both"/>
        <w:rPr>
          <w:rFonts w:ascii="Arial" w:hAnsi="Arial" w:cs="Arial"/>
        </w:rPr>
      </w:pPr>
      <w:r>
        <w:rPr>
          <w:rFonts w:ascii="Arial" w:hAnsi="Arial"/>
        </w:rPr>
        <w:t>les installations intérieures des habitations</w:t>
      </w:r>
      <w:r w:rsidR="00880E3A">
        <w:rPr>
          <w:rFonts w:ascii="Arial" w:hAnsi="Arial"/>
        </w:rPr>
        <w:t>;</w:t>
      </w:r>
    </w:p>
    <w:p w14:paraId="1BEE5C28" w14:textId="319FC2F7" w:rsidR="00FB4F09" w:rsidRPr="00937C8B" w:rsidRDefault="00FB4F09" w:rsidP="00425ADA">
      <w:pPr>
        <w:pStyle w:val="Paragraphedeliste"/>
        <w:numPr>
          <w:ilvl w:val="0"/>
          <w:numId w:val="7"/>
        </w:numPr>
        <w:spacing w:after="0" w:line="240" w:lineRule="auto"/>
        <w:ind w:hanging="288"/>
        <w:jc w:val="both"/>
        <w:rPr>
          <w:rFonts w:ascii="Arial" w:hAnsi="Arial" w:cs="Arial"/>
        </w:rPr>
      </w:pPr>
      <w:r>
        <w:rPr>
          <w:rFonts w:ascii="Arial" w:hAnsi="Arial"/>
        </w:rPr>
        <w:t>les installations d’éclairage d’urgence</w:t>
      </w:r>
      <w:r w:rsidR="00880E3A">
        <w:rPr>
          <w:rFonts w:ascii="Arial" w:hAnsi="Arial"/>
        </w:rPr>
        <w:t>;</w:t>
      </w:r>
    </w:p>
    <w:p w14:paraId="22521B63" w14:textId="77777777" w:rsidR="00FB4F09" w:rsidRPr="00937C8B" w:rsidRDefault="00FB4F09" w:rsidP="00FB4F09">
      <w:pPr>
        <w:pStyle w:val="CTENumeracion"/>
        <w:spacing w:before="0" w:after="0"/>
        <w:ind w:left="702" w:hanging="288"/>
        <w:rPr>
          <w:rFonts w:cs="Arial"/>
          <w:sz w:val="22"/>
          <w:szCs w:val="22"/>
        </w:rPr>
      </w:pPr>
      <w:r>
        <w:rPr>
          <w:sz w:val="22"/>
          <w:szCs w:val="22"/>
        </w:rPr>
        <w:t>c)</w:t>
      </w:r>
      <w:r>
        <w:rPr>
          <w:sz w:val="22"/>
          <w:szCs w:val="22"/>
        </w:rPr>
        <w:tab/>
        <w:t>les bâtiments officiellement protégés par leur inclusion dans une zone déclarée ou en raison de leur valeur architecturale ou historique particulière, dans la mesure où la conformité à certaines exigences de base en matière de performance énergétique modifierait de manière inacceptable leur caractère ou leur apparence, tel que déterminé par l’autorité responsable de la protection officielle;</w:t>
      </w:r>
    </w:p>
    <w:p w14:paraId="42F168ED" w14:textId="78AAE012" w:rsidR="00FB4F09" w:rsidRPr="00937C8B" w:rsidRDefault="00FB4F09" w:rsidP="00FB4F09">
      <w:pPr>
        <w:pStyle w:val="CTENumeracion"/>
        <w:spacing w:before="0" w:after="0"/>
        <w:ind w:left="702" w:hanging="288"/>
        <w:rPr>
          <w:rFonts w:cs="Arial"/>
          <w:sz w:val="22"/>
          <w:szCs w:val="22"/>
        </w:rPr>
      </w:pPr>
      <w:r>
        <w:rPr>
          <w:sz w:val="22"/>
          <w:szCs w:val="22"/>
        </w:rPr>
        <w:t>d)</w:t>
      </w:r>
      <w:r>
        <w:rPr>
          <w:sz w:val="22"/>
          <w:szCs w:val="22"/>
        </w:rPr>
        <w:tab/>
        <w:t>les constructions provisoires prévues pour une durée d</w:t>
      </w:r>
      <w:r w:rsidR="00EA7588">
        <w:rPr>
          <w:sz w:val="22"/>
          <w:szCs w:val="22"/>
        </w:rPr>
        <w:t>’</w:t>
      </w:r>
      <w:r>
        <w:rPr>
          <w:sz w:val="22"/>
          <w:szCs w:val="22"/>
        </w:rPr>
        <w:t>utilisation de deux ans ou moins;</w:t>
      </w:r>
    </w:p>
    <w:p w14:paraId="42531C45" w14:textId="4ADB48DF" w:rsidR="00FB4F09" w:rsidRPr="00937C8B" w:rsidRDefault="00FB4F09" w:rsidP="00FB4F09">
      <w:pPr>
        <w:pStyle w:val="CTENumeracion"/>
        <w:spacing w:before="0" w:after="0"/>
        <w:ind w:left="702" w:hanging="288"/>
        <w:rPr>
          <w:rFonts w:cs="Arial"/>
          <w:sz w:val="22"/>
          <w:szCs w:val="22"/>
        </w:rPr>
      </w:pPr>
      <w:r>
        <w:rPr>
          <w:sz w:val="22"/>
          <w:szCs w:val="22"/>
        </w:rPr>
        <w:t>e)</w:t>
      </w:r>
      <w:r>
        <w:rPr>
          <w:sz w:val="22"/>
          <w:szCs w:val="22"/>
        </w:rPr>
        <w:tab/>
        <w:t>les bâtiments indépendants d</w:t>
      </w:r>
      <w:r w:rsidR="00EA7588">
        <w:rPr>
          <w:sz w:val="22"/>
          <w:szCs w:val="22"/>
        </w:rPr>
        <w:t>’</w:t>
      </w:r>
      <w:r>
        <w:rPr>
          <w:sz w:val="22"/>
          <w:szCs w:val="22"/>
        </w:rPr>
        <w:t>une surface utile totale inférieure à 50 m</w:t>
      </w:r>
      <w:r>
        <w:rPr>
          <w:sz w:val="22"/>
          <w:szCs w:val="22"/>
          <w:vertAlign w:val="superscript"/>
        </w:rPr>
        <w:t>2</w:t>
      </w:r>
      <w:r w:rsidR="00880E3A">
        <w:rPr>
          <w:sz w:val="22"/>
          <w:szCs w:val="22"/>
          <w:vertAlign w:val="superscript"/>
        </w:rPr>
        <w:t> </w:t>
      </w:r>
      <w:r w:rsidR="00880E3A">
        <w:rPr>
          <w:sz w:val="22"/>
          <w:szCs w:val="22"/>
        </w:rPr>
        <w:t>;</w:t>
      </w:r>
    </w:p>
    <w:p w14:paraId="09706A8C" w14:textId="77777777" w:rsidR="00FB4F09" w:rsidRPr="00937C8B" w:rsidRDefault="00FB4F09" w:rsidP="00FB4F09">
      <w:pPr>
        <w:pStyle w:val="CTENumeracion"/>
        <w:spacing w:before="0" w:after="0"/>
        <w:ind w:left="702" w:hanging="288"/>
        <w:rPr>
          <w:rFonts w:cs="Arial"/>
          <w:sz w:val="22"/>
          <w:szCs w:val="22"/>
        </w:rPr>
      </w:pPr>
      <w:r>
        <w:rPr>
          <w:sz w:val="22"/>
          <w:szCs w:val="22"/>
        </w:rPr>
        <w:t>f)</w:t>
      </w:r>
      <w:r>
        <w:rPr>
          <w:sz w:val="22"/>
          <w:szCs w:val="22"/>
        </w:rPr>
        <w:tab/>
        <w:t>les bâtiments industriels, militaires et agricoles ou des parties de ces bâtiments, au niveau de la partie destinée aux ateliers et procédés industriels, militaires et agricoles, non résidentiels.</w:t>
      </w:r>
    </w:p>
    <w:p w14:paraId="38B42A6B" w14:textId="375CB9AA" w:rsidR="00FB4F09" w:rsidRPr="00937C8B" w:rsidRDefault="00FB4F09" w:rsidP="00D27646">
      <w:pPr>
        <w:pStyle w:val="CTENumeracion"/>
        <w:keepNext/>
        <w:rPr>
          <w:rFonts w:cs="Arial"/>
          <w:sz w:val="22"/>
          <w:szCs w:val="22"/>
        </w:rPr>
      </w:pPr>
      <w:r>
        <w:rPr>
          <w:sz w:val="22"/>
          <w:szCs w:val="22"/>
        </w:rPr>
        <w:t>3</w:t>
      </w:r>
      <w:r>
        <w:rPr>
          <w:sz w:val="22"/>
          <w:szCs w:val="22"/>
        </w:rPr>
        <w:tab/>
        <w:t>Dans le cas d</w:t>
      </w:r>
      <w:r w:rsidR="00EA7588">
        <w:rPr>
          <w:sz w:val="22"/>
          <w:szCs w:val="22"/>
        </w:rPr>
        <w:t>’</w:t>
      </w:r>
      <w:r>
        <w:rPr>
          <w:sz w:val="22"/>
          <w:szCs w:val="22"/>
        </w:rPr>
        <w:t>interventions dans des bâtiments existants, les critères d</w:t>
      </w:r>
      <w:r w:rsidR="00EA7588">
        <w:rPr>
          <w:sz w:val="22"/>
          <w:szCs w:val="22"/>
        </w:rPr>
        <w:t>’</w:t>
      </w:r>
      <w:r>
        <w:rPr>
          <w:sz w:val="22"/>
          <w:szCs w:val="22"/>
        </w:rPr>
        <w:t>application suivants seront pris en compte:</w:t>
      </w:r>
    </w:p>
    <w:p w14:paraId="72CC0F21" w14:textId="1C903E13" w:rsidR="00FB4F09" w:rsidRPr="00937C8B" w:rsidRDefault="00880E3A" w:rsidP="00D27646">
      <w:pPr>
        <w:pStyle w:val="Paragraphedeliste"/>
        <w:keepNext/>
        <w:numPr>
          <w:ilvl w:val="0"/>
          <w:numId w:val="8"/>
        </w:numPr>
        <w:spacing w:after="0" w:line="240" w:lineRule="auto"/>
        <w:ind w:left="709" w:hanging="283"/>
        <w:jc w:val="both"/>
        <w:rPr>
          <w:rFonts w:ascii="Arial" w:hAnsi="Arial" w:cs="Arial"/>
        </w:rPr>
      </w:pPr>
      <w:r>
        <w:rPr>
          <w:rFonts w:ascii="Arial" w:hAnsi="Arial"/>
        </w:rPr>
        <w:t>c</w:t>
      </w:r>
      <w:r w:rsidR="00FB4F09">
        <w:rPr>
          <w:rFonts w:ascii="Arial" w:hAnsi="Arial"/>
        </w:rPr>
        <w:t>e chapitre s’applique aux installations d</w:t>
      </w:r>
      <w:r w:rsidR="00EA7588">
        <w:rPr>
          <w:rFonts w:ascii="Arial" w:hAnsi="Arial"/>
        </w:rPr>
        <w:t>’</w:t>
      </w:r>
      <w:r w:rsidR="00FB4F09">
        <w:rPr>
          <w:rFonts w:ascii="Arial" w:hAnsi="Arial"/>
        </w:rPr>
        <w:t>éclairage intérieur de tout le bâtiment, dans les cas suivants:</w:t>
      </w:r>
    </w:p>
    <w:p w14:paraId="196D510A" w14:textId="4D3A5AAF" w:rsidR="00FB4F09" w:rsidRPr="00937C8B" w:rsidRDefault="00FB4F09" w:rsidP="00425ADA">
      <w:pPr>
        <w:pStyle w:val="Paragraphedeliste"/>
        <w:numPr>
          <w:ilvl w:val="0"/>
          <w:numId w:val="9"/>
        </w:numPr>
        <w:spacing w:after="0" w:line="240" w:lineRule="auto"/>
        <w:ind w:left="1134" w:hanging="283"/>
        <w:jc w:val="both"/>
        <w:rPr>
          <w:rFonts w:ascii="Arial" w:hAnsi="Arial" w:cs="Arial"/>
        </w:rPr>
      </w:pPr>
      <w:r>
        <w:rPr>
          <w:rFonts w:ascii="Arial" w:hAnsi="Arial"/>
        </w:rPr>
        <w:t>interventions sur des bâtiments existants d</w:t>
      </w:r>
      <w:r w:rsidR="00EA7588">
        <w:rPr>
          <w:rFonts w:ascii="Arial" w:hAnsi="Arial"/>
        </w:rPr>
        <w:t>’</w:t>
      </w:r>
      <w:r>
        <w:rPr>
          <w:rFonts w:ascii="Arial" w:hAnsi="Arial"/>
        </w:rPr>
        <w:t>une surface utile totale finale (extensions comprises le cas échéant) supérieure à 1 000</w:t>
      </w:r>
      <w:r w:rsidR="00EA7588">
        <w:rPr>
          <w:rFonts w:ascii="Arial" w:hAnsi="Arial"/>
        </w:rPr>
        <w:t> </w:t>
      </w:r>
      <w:r>
        <w:rPr>
          <w:rFonts w:ascii="Arial" w:hAnsi="Arial"/>
        </w:rPr>
        <w:t>m</w:t>
      </w:r>
      <w:r>
        <w:rPr>
          <w:rFonts w:ascii="Arial" w:hAnsi="Arial"/>
          <w:vertAlign w:val="superscript"/>
        </w:rPr>
        <w:t>2</w:t>
      </w:r>
      <w:r>
        <w:rPr>
          <w:rFonts w:ascii="Arial" w:hAnsi="Arial"/>
        </w:rPr>
        <w:t>, pour lesquels les travaux de rénovation concernent plus de 25</w:t>
      </w:r>
      <w:r w:rsidR="00EA7588">
        <w:rPr>
          <w:rFonts w:ascii="Arial" w:hAnsi="Arial"/>
        </w:rPr>
        <w:t> </w:t>
      </w:r>
      <w:r>
        <w:rPr>
          <w:rFonts w:ascii="Arial" w:hAnsi="Arial"/>
        </w:rPr>
        <w:t>% de la surface éclairée</w:t>
      </w:r>
      <w:r w:rsidR="00880E3A">
        <w:rPr>
          <w:rFonts w:ascii="Arial" w:hAnsi="Arial"/>
        </w:rPr>
        <w:t>,</w:t>
      </w:r>
    </w:p>
    <w:p w14:paraId="11CA9D6A" w14:textId="4340A549" w:rsidR="00FB4F09" w:rsidRPr="00937C8B" w:rsidRDefault="00FB4F09" w:rsidP="00425ADA">
      <w:pPr>
        <w:pStyle w:val="Paragraphedeliste"/>
        <w:numPr>
          <w:ilvl w:val="0"/>
          <w:numId w:val="9"/>
        </w:numPr>
        <w:spacing w:after="0" w:line="240" w:lineRule="auto"/>
        <w:ind w:left="1134" w:hanging="283"/>
        <w:contextualSpacing w:val="0"/>
        <w:jc w:val="both"/>
        <w:rPr>
          <w:rFonts w:ascii="Arial" w:hAnsi="Arial" w:cs="Arial"/>
        </w:rPr>
      </w:pPr>
      <w:r>
        <w:rPr>
          <w:rFonts w:ascii="Arial" w:hAnsi="Arial"/>
        </w:rPr>
        <w:t>changements d</w:t>
      </w:r>
      <w:r w:rsidR="00EA7588">
        <w:rPr>
          <w:rFonts w:ascii="Arial" w:hAnsi="Arial"/>
        </w:rPr>
        <w:t>’</w:t>
      </w:r>
      <w:r>
        <w:rPr>
          <w:rFonts w:ascii="Arial" w:hAnsi="Arial"/>
        </w:rPr>
        <w:t>usage caractéristique.</w:t>
      </w:r>
    </w:p>
    <w:p w14:paraId="2505A880" w14:textId="0D2E7847" w:rsidR="00FB4F09" w:rsidRPr="00937C8B" w:rsidRDefault="00FB4F09" w:rsidP="00425ADA">
      <w:pPr>
        <w:pStyle w:val="Paragraphedeliste"/>
        <w:numPr>
          <w:ilvl w:val="0"/>
          <w:numId w:val="8"/>
        </w:numPr>
        <w:spacing w:after="0" w:line="240" w:lineRule="auto"/>
        <w:ind w:left="709" w:hanging="283"/>
        <w:jc w:val="both"/>
        <w:rPr>
          <w:rFonts w:ascii="Arial" w:hAnsi="Arial" w:cs="Arial"/>
        </w:rPr>
      </w:pPr>
      <w:r>
        <w:rPr>
          <w:rFonts w:ascii="Arial" w:hAnsi="Arial"/>
        </w:rPr>
        <w:t>lorsqu</w:t>
      </w:r>
      <w:r w:rsidR="00EA7588">
        <w:rPr>
          <w:rFonts w:ascii="Arial" w:hAnsi="Arial"/>
        </w:rPr>
        <w:t>’</w:t>
      </w:r>
      <w:r>
        <w:rPr>
          <w:rFonts w:ascii="Arial" w:hAnsi="Arial"/>
        </w:rPr>
        <w:t>une partie de l</w:t>
      </w:r>
      <w:r w:rsidR="00EA7588">
        <w:rPr>
          <w:rFonts w:ascii="Arial" w:hAnsi="Arial"/>
        </w:rPr>
        <w:t>’</w:t>
      </w:r>
      <w:r>
        <w:rPr>
          <w:rFonts w:ascii="Arial" w:hAnsi="Arial"/>
        </w:rPr>
        <w:t>installation est renouvelée ou agrandie, la partie de l</w:t>
      </w:r>
      <w:r w:rsidR="00EA7588">
        <w:rPr>
          <w:rFonts w:ascii="Arial" w:hAnsi="Arial"/>
        </w:rPr>
        <w:t>’</w:t>
      </w:r>
      <w:r>
        <w:rPr>
          <w:rFonts w:ascii="Arial" w:hAnsi="Arial"/>
        </w:rPr>
        <w:t>installation renouvelée ou agrandie sera adaptée de sorte que les valeurs limites d</w:t>
      </w:r>
      <w:r w:rsidR="00EA7588">
        <w:rPr>
          <w:rFonts w:ascii="Arial" w:hAnsi="Arial"/>
        </w:rPr>
        <w:t>’</w:t>
      </w:r>
      <w:r>
        <w:rPr>
          <w:rFonts w:ascii="Arial" w:hAnsi="Arial"/>
        </w:rPr>
        <w:t>efficacité énergétique basées sur l</w:t>
      </w:r>
      <w:r w:rsidR="00EA7588">
        <w:rPr>
          <w:rFonts w:ascii="Arial" w:hAnsi="Arial"/>
        </w:rPr>
        <w:t>’</w:t>
      </w:r>
      <w:r>
        <w:rPr>
          <w:rFonts w:ascii="Arial" w:hAnsi="Arial"/>
        </w:rPr>
        <w:t>activité soient respectées</w:t>
      </w:r>
      <w:r w:rsidR="00880E3A">
        <w:rPr>
          <w:rFonts w:ascii="Arial" w:hAnsi="Arial"/>
        </w:rPr>
        <w:t>;</w:t>
      </w:r>
      <w:r>
        <w:rPr>
          <w:rFonts w:ascii="Arial" w:hAnsi="Arial"/>
        </w:rPr>
        <w:t xml:space="preserve"> </w:t>
      </w:r>
    </w:p>
    <w:p w14:paraId="651E0ACB" w14:textId="3E909569" w:rsidR="00FB4F09" w:rsidRPr="00937C8B" w:rsidRDefault="00FB4F09" w:rsidP="00425ADA">
      <w:pPr>
        <w:pStyle w:val="Paragraphedeliste"/>
        <w:numPr>
          <w:ilvl w:val="0"/>
          <w:numId w:val="8"/>
        </w:numPr>
        <w:spacing w:after="0" w:line="240" w:lineRule="auto"/>
        <w:ind w:left="709" w:hanging="283"/>
        <w:jc w:val="both"/>
        <w:rPr>
          <w:rFonts w:ascii="Arial" w:hAnsi="Arial" w:cs="Arial"/>
        </w:rPr>
      </w:pPr>
      <w:r>
        <w:rPr>
          <w:rFonts w:ascii="Arial" w:hAnsi="Arial"/>
        </w:rPr>
        <w:t>lorsque la rénovation concerne des zones du bâtiment pour lesquelles les systèmes de contrôle ou de régulation sont obligatoires, de tels systèmes doivent être installés</w:t>
      </w:r>
      <w:r w:rsidR="00880E3A">
        <w:rPr>
          <w:rFonts w:ascii="Arial" w:hAnsi="Arial"/>
        </w:rPr>
        <w:t>;</w:t>
      </w:r>
    </w:p>
    <w:p w14:paraId="4C90F4D9" w14:textId="44A625D4" w:rsidR="00FB4F09" w:rsidRPr="00937C8B" w:rsidRDefault="00FB4F09" w:rsidP="00425ADA">
      <w:pPr>
        <w:pStyle w:val="Paragraphedeliste"/>
        <w:numPr>
          <w:ilvl w:val="0"/>
          <w:numId w:val="8"/>
        </w:numPr>
        <w:spacing w:after="0" w:line="240" w:lineRule="auto"/>
        <w:ind w:left="709" w:hanging="283"/>
        <w:jc w:val="both"/>
        <w:rPr>
          <w:rFonts w:ascii="Arial" w:hAnsi="Arial" w:cs="Arial"/>
        </w:rPr>
      </w:pPr>
      <w:r>
        <w:rPr>
          <w:rFonts w:ascii="Arial" w:hAnsi="Arial"/>
        </w:rPr>
        <w:t>changements d</w:t>
      </w:r>
      <w:r w:rsidR="00EA7588">
        <w:rPr>
          <w:rFonts w:ascii="Arial" w:hAnsi="Arial"/>
        </w:rPr>
        <w:t>’</w:t>
      </w:r>
      <w:r>
        <w:rPr>
          <w:rFonts w:ascii="Arial" w:hAnsi="Arial"/>
        </w:rPr>
        <w:t xml:space="preserve">activité dans une zone du bâtiment qui impliquent une diminution de la </w:t>
      </w:r>
      <w:r>
        <w:rPr>
          <w:rFonts w:ascii="Arial" w:hAnsi="Arial"/>
          <w:i/>
        </w:rPr>
        <w:t>Valeur d</w:t>
      </w:r>
      <w:r w:rsidR="00EA7588">
        <w:rPr>
          <w:rFonts w:ascii="Arial" w:hAnsi="Arial"/>
          <w:i/>
        </w:rPr>
        <w:t>’</w:t>
      </w:r>
      <w:r>
        <w:rPr>
          <w:rFonts w:ascii="Arial" w:hAnsi="Arial"/>
          <w:i/>
        </w:rPr>
        <w:t>efficacité énergétique de l</w:t>
      </w:r>
      <w:r w:rsidR="00EA7588">
        <w:rPr>
          <w:rFonts w:ascii="Arial" w:hAnsi="Arial"/>
          <w:i/>
        </w:rPr>
        <w:t>’</w:t>
      </w:r>
      <w:r>
        <w:rPr>
          <w:rFonts w:ascii="Arial" w:hAnsi="Arial"/>
          <w:i/>
        </w:rPr>
        <w:t>installation</w:t>
      </w:r>
      <w:r>
        <w:rPr>
          <w:rFonts w:ascii="Arial" w:hAnsi="Arial"/>
        </w:rPr>
        <w:t xml:space="preserve"> (VEEI) par rapport à l</w:t>
      </w:r>
      <w:r w:rsidR="00EA7588">
        <w:rPr>
          <w:rFonts w:ascii="Arial" w:hAnsi="Arial"/>
        </w:rPr>
        <w:t>’</w:t>
      </w:r>
      <w:r>
        <w:rPr>
          <w:rFonts w:ascii="Arial" w:hAnsi="Arial"/>
        </w:rPr>
        <w:t>activité initiale. Dans ce cas, l</w:t>
      </w:r>
      <w:r w:rsidR="00EA7588">
        <w:rPr>
          <w:rFonts w:ascii="Arial" w:hAnsi="Arial"/>
        </w:rPr>
        <w:t>’</w:t>
      </w:r>
      <w:r>
        <w:rPr>
          <w:rFonts w:ascii="Arial" w:hAnsi="Arial"/>
        </w:rPr>
        <w:t>installation de cette zone doit être adaptée.</w:t>
      </w:r>
    </w:p>
    <w:p w14:paraId="700E0045" w14:textId="41EEF503" w:rsidR="00FB4F09" w:rsidRPr="00937C8B" w:rsidRDefault="00FB4F09" w:rsidP="00FB4F09">
      <w:pPr>
        <w:pStyle w:val="CteTtulo2"/>
        <w:jc w:val="both"/>
        <w:rPr>
          <w:rFonts w:cs="Arial"/>
        </w:rPr>
      </w:pPr>
      <w:bookmarkStart w:id="152" w:name="_Toc530395270"/>
      <w:bookmarkStart w:id="153" w:name="_Toc530396149"/>
      <w:bookmarkStart w:id="154" w:name="_Toc39157941"/>
      <w:bookmarkStart w:id="155" w:name="_Toc39158125"/>
      <w:r>
        <w:t>2</w:t>
      </w:r>
      <w:r>
        <w:tab/>
        <w:t>Caractérisation de l</w:t>
      </w:r>
      <w:r w:rsidR="00EA7588">
        <w:t>’</w:t>
      </w:r>
      <w:r>
        <w:t>exigence</w:t>
      </w:r>
      <w:bookmarkEnd w:id="152"/>
      <w:bookmarkEnd w:id="153"/>
      <w:bookmarkEnd w:id="154"/>
      <w:bookmarkEnd w:id="155"/>
    </w:p>
    <w:p w14:paraId="642D564B" w14:textId="096471E4" w:rsidR="00FB4F09" w:rsidRPr="00937C8B" w:rsidRDefault="00FB4F09" w:rsidP="00FB4F09">
      <w:pPr>
        <w:pStyle w:val="CTENumeracion"/>
        <w:rPr>
          <w:rFonts w:cs="Arial"/>
          <w:sz w:val="22"/>
          <w:szCs w:val="22"/>
        </w:rPr>
      </w:pPr>
      <w:r>
        <w:rPr>
          <w:sz w:val="22"/>
          <w:szCs w:val="22"/>
        </w:rPr>
        <w:t>1</w:t>
      </w:r>
      <w:r>
        <w:rPr>
          <w:sz w:val="22"/>
          <w:szCs w:val="22"/>
        </w:rPr>
        <w:tab/>
        <w:t>Les bâtiments doivent être dotés d</w:t>
      </w:r>
      <w:r w:rsidR="00EA7588">
        <w:rPr>
          <w:sz w:val="22"/>
          <w:szCs w:val="22"/>
        </w:rPr>
        <w:t>’</w:t>
      </w:r>
      <w:r>
        <w:rPr>
          <w:sz w:val="22"/>
          <w:szCs w:val="22"/>
        </w:rPr>
        <w:t>installations d</w:t>
      </w:r>
      <w:r w:rsidR="00EA7588">
        <w:rPr>
          <w:sz w:val="22"/>
          <w:szCs w:val="22"/>
        </w:rPr>
        <w:t>’</w:t>
      </w:r>
      <w:r>
        <w:rPr>
          <w:sz w:val="22"/>
          <w:szCs w:val="22"/>
        </w:rPr>
        <w:t>éclairage adaptées aux besoins de leurs usagers et efficaces sur le plan énergétique grâce à un système de contrôle permettant de régler l</w:t>
      </w:r>
      <w:r w:rsidR="00EA7588">
        <w:rPr>
          <w:sz w:val="22"/>
          <w:szCs w:val="22"/>
        </w:rPr>
        <w:t>’</w:t>
      </w:r>
      <w:r>
        <w:rPr>
          <w:sz w:val="22"/>
          <w:szCs w:val="22"/>
        </w:rPr>
        <w:t>éclairage en fonction de l</w:t>
      </w:r>
      <w:r w:rsidR="00EA7588">
        <w:rPr>
          <w:sz w:val="22"/>
          <w:szCs w:val="22"/>
        </w:rPr>
        <w:t>’</w:t>
      </w:r>
      <w:r>
        <w:rPr>
          <w:sz w:val="22"/>
          <w:szCs w:val="22"/>
        </w:rPr>
        <w:t>occupation réelle de la zone ainsi qu</w:t>
      </w:r>
      <w:r w:rsidR="00EA7588">
        <w:rPr>
          <w:sz w:val="22"/>
          <w:szCs w:val="22"/>
        </w:rPr>
        <w:t>’</w:t>
      </w:r>
      <w:r>
        <w:rPr>
          <w:sz w:val="22"/>
          <w:szCs w:val="22"/>
        </w:rPr>
        <w:t>à un système de réglage permettant d</w:t>
      </w:r>
      <w:r w:rsidR="00EA7588">
        <w:rPr>
          <w:sz w:val="22"/>
          <w:szCs w:val="22"/>
        </w:rPr>
        <w:t>’</w:t>
      </w:r>
      <w:r>
        <w:rPr>
          <w:sz w:val="22"/>
          <w:szCs w:val="22"/>
        </w:rPr>
        <w:t>optimiser l</w:t>
      </w:r>
      <w:r w:rsidR="00EA7588">
        <w:rPr>
          <w:sz w:val="22"/>
          <w:szCs w:val="22"/>
        </w:rPr>
        <w:t>’</w:t>
      </w:r>
      <w:r>
        <w:rPr>
          <w:sz w:val="22"/>
          <w:szCs w:val="22"/>
        </w:rPr>
        <w:t>exploitation de la lumière naturelle dans les zones réunissant des conditions déterminées.</w:t>
      </w:r>
    </w:p>
    <w:p w14:paraId="3A546592" w14:textId="453A8E12" w:rsidR="00FB4F09" w:rsidRPr="00937C8B" w:rsidRDefault="00FB4F09" w:rsidP="00FB4F09">
      <w:pPr>
        <w:pStyle w:val="CteTtulo2"/>
        <w:rPr>
          <w:rFonts w:cs="Arial"/>
        </w:rPr>
      </w:pPr>
      <w:bookmarkStart w:id="156" w:name="_Toc530395271"/>
      <w:bookmarkStart w:id="157" w:name="_Toc39157942"/>
      <w:bookmarkStart w:id="158" w:name="_Toc39158126"/>
      <w:r>
        <w:lastRenderedPageBreak/>
        <w:t>3</w:t>
      </w:r>
      <w:r>
        <w:tab/>
        <w:t>Quantification de l</w:t>
      </w:r>
      <w:r w:rsidR="00EA7588">
        <w:t>’</w:t>
      </w:r>
      <w:r>
        <w:t>exigence</w:t>
      </w:r>
      <w:bookmarkEnd w:id="156"/>
      <w:bookmarkEnd w:id="157"/>
      <w:bookmarkEnd w:id="158"/>
    </w:p>
    <w:p w14:paraId="52C96236" w14:textId="456CFF84" w:rsidR="00FB4F09" w:rsidRPr="00937C8B" w:rsidRDefault="00FB4F09" w:rsidP="009467D5">
      <w:pPr>
        <w:pStyle w:val="CteTtulo3"/>
      </w:pPr>
      <w:bookmarkStart w:id="159" w:name="_Toc530395272"/>
      <w:bookmarkStart w:id="160" w:name="_Toc530396151"/>
      <w:bookmarkStart w:id="161" w:name="_Toc39157943"/>
      <w:r>
        <w:t>3.1</w:t>
      </w:r>
      <w:r>
        <w:tab/>
        <w:t>Efficacité énergétique des installations d</w:t>
      </w:r>
      <w:r w:rsidR="00EA7588">
        <w:t>’</w:t>
      </w:r>
      <w:r>
        <w:t>éclairage</w:t>
      </w:r>
      <w:bookmarkEnd w:id="159"/>
      <w:bookmarkEnd w:id="160"/>
      <w:bookmarkEnd w:id="161"/>
    </w:p>
    <w:p w14:paraId="12C99919" w14:textId="0F2C3DA3" w:rsidR="00FB4F09" w:rsidRPr="00937C8B" w:rsidRDefault="00FB4F09" w:rsidP="00D27646">
      <w:pPr>
        <w:pStyle w:val="CTENumeracion"/>
        <w:keepNext/>
        <w:rPr>
          <w:rFonts w:cs="Arial"/>
          <w:sz w:val="22"/>
          <w:szCs w:val="22"/>
        </w:rPr>
      </w:pPr>
      <w:r>
        <w:rPr>
          <w:sz w:val="22"/>
          <w:szCs w:val="22"/>
        </w:rPr>
        <w:t>1</w:t>
      </w:r>
      <w:r>
        <w:rPr>
          <w:sz w:val="22"/>
          <w:szCs w:val="22"/>
        </w:rPr>
        <w:tab/>
        <w:t xml:space="preserve">La </w:t>
      </w:r>
      <w:r>
        <w:rPr>
          <w:i/>
          <w:iCs/>
          <w:sz w:val="22"/>
          <w:szCs w:val="22"/>
        </w:rPr>
        <w:t>valeur d</w:t>
      </w:r>
      <w:r w:rsidR="00EA7588">
        <w:rPr>
          <w:i/>
          <w:iCs/>
          <w:sz w:val="22"/>
          <w:szCs w:val="22"/>
        </w:rPr>
        <w:t>’</w:t>
      </w:r>
      <w:r>
        <w:rPr>
          <w:i/>
          <w:iCs/>
          <w:sz w:val="22"/>
          <w:szCs w:val="22"/>
        </w:rPr>
        <w:t>efficacité énergétique de l</w:t>
      </w:r>
      <w:r w:rsidR="00EA7588">
        <w:rPr>
          <w:i/>
          <w:iCs/>
          <w:sz w:val="22"/>
          <w:szCs w:val="22"/>
        </w:rPr>
        <w:t>’</w:t>
      </w:r>
      <w:r>
        <w:rPr>
          <w:i/>
          <w:iCs/>
          <w:sz w:val="22"/>
          <w:szCs w:val="22"/>
        </w:rPr>
        <w:t>installation</w:t>
      </w:r>
      <w:r>
        <w:rPr>
          <w:sz w:val="22"/>
          <w:szCs w:val="22"/>
        </w:rPr>
        <w:t xml:space="preserve"> (VEEI) de l</w:t>
      </w:r>
      <w:r w:rsidR="00EA7588">
        <w:rPr>
          <w:sz w:val="22"/>
          <w:szCs w:val="22"/>
        </w:rPr>
        <w:t>’</w:t>
      </w:r>
      <w:r>
        <w:rPr>
          <w:sz w:val="22"/>
          <w:szCs w:val="22"/>
        </w:rPr>
        <w:t>installation d</w:t>
      </w:r>
      <w:r w:rsidR="00EA7588">
        <w:rPr>
          <w:sz w:val="22"/>
          <w:szCs w:val="22"/>
        </w:rPr>
        <w:t>’</w:t>
      </w:r>
      <w:r>
        <w:rPr>
          <w:sz w:val="22"/>
          <w:szCs w:val="22"/>
        </w:rPr>
        <w:t>éclairage ne doit pas dépasser la valeur limite (VEEI</w:t>
      </w:r>
      <w:r>
        <w:rPr>
          <w:sz w:val="22"/>
          <w:szCs w:val="22"/>
          <w:vertAlign w:val="subscript"/>
        </w:rPr>
        <w:t>lim</w:t>
      </w:r>
      <w:r>
        <w:rPr>
          <w:sz w:val="22"/>
          <w:szCs w:val="22"/>
        </w:rPr>
        <w:t>) établie dans le tableau 3.1-HE3:</w:t>
      </w:r>
    </w:p>
    <w:p w14:paraId="5B0301A3" w14:textId="11AA0BA5" w:rsidR="00FB4F09" w:rsidRPr="00937C8B" w:rsidRDefault="00FB4F09" w:rsidP="00D27646">
      <w:pPr>
        <w:pStyle w:val="CTEtabla-Titulo"/>
        <w:spacing w:before="240" w:after="120"/>
      </w:pPr>
      <w:r>
        <w:t>Tableau 3.1 - HE3 Valeur limite d’efficacité énergétique de l</w:t>
      </w:r>
      <w:r w:rsidR="00EA7588">
        <w:t>’</w:t>
      </w:r>
      <w:r>
        <w:t>installation (VEEI</w:t>
      </w:r>
      <w:r>
        <w:rPr>
          <w:vertAlign w:val="subscript"/>
        </w:rPr>
        <w:t>lim</w:t>
      </w:r>
      <w:r>
        <w:t>)</w:t>
      </w:r>
    </w:p>
    <w:tbl>
      <w:tblPr>
        <w:tblW w:w="7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6798"/>
        <w:gridCol w:w="1004"/>
      </w:tblGrid>
      <w:tr w:rsidR="00FB4F09" w:rsidRPr="00937C8B" w14:paraId="6574595F" w14:textId="77777777" w:rsidTr="00935676">
        <w:trPr>
          <w:cantSplit/>
          <w:jc w:val="center"/>
        </w:trPr>
        <w:tc>
          <w:tcPr>
            <w:tcW w:w="6797" w:type="dxa"/>
            <w:tcBorders>
              <w:top w:val="nil"/>
              <w:left w:val="nil"/>
              <w:bottom w:val="single" w:sz="4" w:space="0" w:color="000000"/>
              <w:right w:val="single" w:sz="4" w:space="0" w:color="000000"/>
            </w:tcBorders>
            <w:shd w:val="clear" w:color="auto" w:fill="FFFFFF"/>
            <w:vAlign w:val="center"/>
          </w:tcPr>
          <w:p w14:paraId="1D62B4D7" w14:textId="77777777" w:rsidR="00FB4F09" w:rsidRPr="00937C8B" w:rsidRDefault="00FB4F09" w:rsidP="00D27646">
            <w:pPr>
              <w:pStyle w:val="Standard"/>
              <w:keepNext/>
              <w:rPr>
                <w:b/>
                <w:sz w:val="18"/>
              </w:rPr>
            </w:pPr>
            <w:r>
              <w:rPr>
                <w:b/>
                <w:sz w:val="18"/>
              </w:rPr>
              <w:t>Usage de l’enceinte</w:t>
            </w:r>
          </w:p>
        </w:tc>
        <w:tc>
          <w:tcPr>
            <w:tcW w:w="1004" w:type="dxa"/>
            <w:tcBorders>
              <w:top w:val="nil"/>
              <w:left w:val="single" w:sz="4" w:space="0" w:color="000000"/>
              <w:bottom w:val="single" w:sz="4" w:space="0" w:color="000000"/>
              <w:right w:val="nil"/>
            </w:tcBorders>
            <w:shd w:val="clear" w:color="auto" w:fill="FFFFFF"/>
            <w:vAlign w:val="center"/>
          </w:tcPr>
          <w:p w14:paraId="6EC061C9" w14:textId="77777777" w:rsidR="00FB4F09" w:rsidRPr="00937C8B" w:rsidRDefault="00FB4F09" w:rsidP="00D27646">
            <w:pPr>
              <w:pStyle w:val="ttulofiguratablafrmulaCTE"/>
              <w:keepNext/>
              <w:rPr>
                <w:b w:val="0"/>
              </w:rPr>
            </w:pPr>
            <w:r>
              <w:t>VEEI limite</w:t>
            </w:r>
            <w:r>
              <w:rPr>
                <w:b w:val="0"/>
              </w:rPr>
              <w:t xml:space="preserve"> </w:t>
            </w:r>
          </w:p>
        </w:tc>
      </w:tr>
      <w:tr w:rsidR="00FB4F09" w:rsidRPr="00937C8B" w14:paraId="596D12E6" w14:textId="77777777" w:rsidTr="00935676">
        <w:trPr>
          <w:cantSplit/>
          <w:jc w:val="center"/>
        </w:trPr>
        <w:tc>
          <w:tcPr>
            <w:tcW w:w="6797" w:type="dxa"/>
            <w:tcBorders>
              <w:top w:val="single" w:sz="4" w:space="0" w:color="000000"/>
              <w:left w:val="nil"/>
              <w:bottom w:val="nil"/>
              <w:right w:val="single" w:sz="4" w:space="0" w:color="000000"/>
            </w:tcBorders>
            <w:shd w:val="clear" w:color="auto" w:fill="FFFFFF"/>
            <w:vAlign w:val="center"/>
          </w:tcPr>
          <w:p w14:paraId="3B958D5E" w14:textId="77777777" w:rsidR="00FB4F09" w:rsidRPr="00937C8B" w:rsidRDefault="00FB4F09" w:rsidP="003E38D0">
            <w:pPr>
              <w:pStyle w:val="CTEtabla-texto"/>
              <w:jc w:val="left"/>
              <w:rPr>
                <w:rFonts w:cs="Arial"/>
              </w:rPr>
            </w:pPr>
            <w:r>
              <w:t>Administratif en général</w:t>
            </w:r>
          </w:p>
        </w:tc>
        <w:tc>
          <w:tcPr>
            <w:tcW w:w="1004" w:type="dxa"/>
            <w:tcBorders>
              <w:top w:val="single" w:sz="4" w:space="0" w:color="000000"/>
              <w:left w:val="single" w:sz="4" w:space="0" w:color="000000"/>
              <w:bottom w:val="nil"/>
              <w:right w:val="nil"/>
            </w:tcBorders>
            <w:shd w:val="clear" w:color="auto" w:fill="FFFFFF"/>
            <w:vAlign w:val="center"/>
          </w:tcPr>
          <w:p w14:paraId="735D32A7" w14:textId="77777777" w:rsidR="00FB4F09" w:rsidRPr="00937C8B" w:rsidRDefault="00FB4F09" w:rsidP="003E38D0">
            <w:pPr>
              <w:pStyle w:val="CTEtabla-texto"/>
              <w:rPr>
                <w:rFonts w:cs="Arial"/>
              </w:rPr>
            </w:pPr>
            <w:r>
              <w:t>3,0</w:t>
            </w:r>
          </w:p>
        </w:tc>
      </w:tr>
      <w:tr w:rsidR="00FB4F09" w:rsidRPr="00937C8B" w14:paraId="665380BD"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487AE07D" w14:textId="77777777" w:rsidR="00FB4F09" w:rsidRPr="00937C8B" w:rsidRDefault="00FB4F09" w:rsidP="003E38D0">
            <w:pPr>
              <w:pStyle w:val="CTEtabla-texto"/>
              <w:jc w:val="left"/>
              <w:rPr>
                <w:rFonts w:cs="Arial"/>
              </w:rPr>
            </w:pPr>
            <w:r>
              <w:t>Quais de gares de transport</w:t>
            </w:r>
          </w:p>
        </w:tc>
        <w:tc>
          <w:tcPr>
            <w:tcW w:w="1004" w:type="dxa"/>
            <w:tcBorders>
              <w:top w:val="nil"/>
              <w:left w:val="single" w:sz="4" w:space="0" w:color="000000"/>
              <w:bottom w:val="nil"/>
              <w:right w:val="nil"/>
            </w:tcBorders>
            <w:shd w:val="clear" w:color="auto" w:fill="FFFFFF"/>
            <w:vAlign w:val="center"/>
          </w:tcPr>
          <w:p w14:paraId="2D02FA92" w14:textId="77777777" w:rsidR="00FB4F09" w:rsidRPr="00937C8B" w:rsidRDefault="00FB4F09" w:rsidP="003E38D0">
            <w:pPr>
              <w:pStyle w:val="CTEtabla-texto"/>
              <w:rPr>
                <w:rFonts w:cs="Arial"/>
              </w:rPr>
            </w:pPr>
            <w:r>
              <w:t>3,0</w:t>
            </w:r>
          </w:p>
        </w:tc>
      </w:tr>
      <w:tr w:rsidR="00FB4F09" w:rsidRPr="00937C8B" w14:paraId="2F070326"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2C7EBA5D" w14:textId="26EEEF3B" w:rsidR="00FB4F09" w:rsidRPr="00937C8B" w:rsidRDefault="00FB4F09" w:rsidP="003E38D0">
            <w:pPr>
              <w:pStyle w:val="CTEtabla-texto"/>
              <w:jc w:val="left"/>
              <w:rPr>
                <w:rFonts w:cs="Arial"/>
              </w:rPr>
            </w:pPr>
            <w:r>
              <w:t>Pavillons d</w:t>
            </w:r>
            <w:r w:rsidR="00EA7588">
              <w:t>’</w:t>
            </w:r>
            <w:r>
              <w:t>exposition ou salons</w:t>
            </w:r>
          </w:p>
        </w:tc>
        <w:tc>
          <w:tcPr>
            <w:tcW w:w="1004" w:type="dxa"/>
            <w:tcBorders>
              <w:top w:val="nil"/>
              <w:left w:val="single" w:sz="4" w:space="0" w:color="000000"/>
              <w:bottom w:val="nil"/>
              <w:right w:val="nil"/>
            </w:tcBorders>
            <w:shd w:val="clear" w:color="auto" w:fill="FFFFFF"/>
            <w:vAlign w:val="center"/>
          </w:tcPr>
          <w:p w14:paraId="14C04440" w14:textId="77777777" w:rsidR="00FB4F09" w:rsidRPr="00937C8B" w:rsidRDefault="00FB4F09" w:rsidP="003E38D0">
            <w:pPr>
              <w:pStyle w:val="CTEtabla-texto"/>
              <w:rPr>
                <w:rFonts w:cs="Arial"/>
              </w:rPr>
            </w:pPr>
            <w:r>
              <w:t>3,0</w:t>
            </w:r>
          </w:p>
        </w:tc>
      </w:tr>
      <w:tr w:rsidR="00FB4F09" w:rsidRPr="00937C8B" w14:paraId="26360133"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3B108F9D" w14:textId="77777777" w:rsidR="00FB4F09" w:rsidRPr="00937C8B" w:rsidRDefault="00FB4F09" w:rsidP="003E38D0">
            <w:pPr>
              <w:pStyle w:val="CTEtabla-texto"/>
              <w:jc w:val="left"/>
              <w:rPr>
                <w:rFonts w:cs="Arial"/>
              </w:rPr>
            </w:pPr>
            <w:r>
              <w:t xml:space="preserve">Salles de diagnostic </w:t>
            </w:r>
            <w:r>
              <w:rPr>
                <w:vertAlign w:val="subscript"/>
              </w:rPr>
              <w:t>(1)</w:t>
            </w:r>
          </w:p>
        </w:tc>
        <w:tc>
          <w:tcPr>
            <w:tcW w:w="1004" w:type="dxa"/>
            <w:tcBorders>
              <w:top w:val="nil"/>
              <w:left w:val="single" w:sz="4" w:space="0" w:color="000000"/>
              <w:bottom w:val="nil"/>
              <w:right w:val="nil"/>
            </w:tcBorders>
            <w:shd w:val="clear" w:color="auto" w:fill="FFFFFF"/>
            <w:vAlign w:val="center"/>
          </w:tcPr>
          <w:p w14:paraId="05624677" w14:textId="77777777" w:rsidR="00FB4F09" w:rsidRPr="00937C8B" w:rsidRDefault="00FB4F09" w:rsidP="003E38D0">
            <w:pPr>
              <w:pStyle w:val="CTEtabla-texto"/>
              <w:rPr>
                <w:rFonts w:cs="Arial"/>
              </w:rPr>
            </w:pPr>
            <w:r>
              <w:t>3,5</w:t>
            </w:r>
          </w:p>
        </w:tc>
      </w:tr>
      <w:tr w:rsidR="00FB4F09" w:rsidRPr="00937C8B" w14:paraId="5EE35186"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00D8BD53" w14:textId="77777777" w:rsidR="00FB4F09" w:rsidRPr="00937C8B" w:rsidRDefault="00FB4F09" w:rsidP="003E38D0">
            <w:pPr>
              <w:pStyle w:val="CTEtabla-texto"/>
              <w:jc w:val="left"/>
              <w:rPr>
                <w:rFonts w:cs="Arial"/>
              </w:rPr>
            </w:pPr>
            <w:r>
              <w:t xml:space="preserve">Salles et laboratoires </w:t>
            </w:r>
            <w:r>
              <w:rPr>
                <w:vertAlign w:val="subscript"/>
              </w:rPr>
              <w:t>(2)</w:t>
            </w:r>
          </w:p>
        </w:tc>
        <w:tc>
          <w:tcPr>
            <w:tcW w:w="1004" w:type="dxa"/>
            <w:tcBorders>
              <w:top w:val="nil"/>
              <w:left w:val="single" w:sz="4" w:space="0" w:color="000000"/>
              <w:bottom w:val="nil"/>
              <w:right w:val="nil"/>
            </w:tcBorders>
            <w:shd w:val="clear" w:color="auto" w:fill="FFFFFF"/>
            <w:vAlign w:val="center"/>
          </w:tcPr>
          <w:p w14:paraId="15E3CAAF" w14:textId="77777777" w:rsidR="00FB4F09" w:rsidRPr="00937C8B" w:rsidRDefault="00FB4F09" w:rsidP="003E38D0">
            <w:pPr>
              <w:pStyle w:val="CTEtabla-texto"/>
              <w:rPr>
                <w:rFonts w:cs="Arial"/>
              </w:rPr>
            </w:pPr>
            <w:r>
              <w:t>3,5</w:t>
            </w:r>
          </w:p>
        </w:tc>
      </w:tr>
      <w:tr w:rsidR="00FB4F09" w:rsidRPr="00937C8B" w14:paraId="162733B3"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51BB5EA1" w14:textId="6F742F54" w:rsidR="00FB4F09" w:rsidRPr="00937C8B" w:rsidRDefault="00FB4F09" w:rsidP="003E38D0">
            <w:pPr>
              <w:pStyle w:val="CTEtabla-texto"/>
              <w:jc w:val="left"/>
              <w:rPr>
                <w:rFonts w:cs="Arial"/>
              </w:rPr>
            </w:pPr>
            <w:r>
              <w:t>Chambres d</w:t>
            </w:r>
            <w:r w:rsidR="00EA7588">
              <w:t>’</w:t>
            </w:r>
            <w:r>
              <w:t xml:space="preserve">hôpital </w:t>
            </w:r>
            <w:r>
              <w:rPr>
                <w:vertAlign w:val="subscript"/>
              </w:rPr>
              <w:t>(3)</w:t>
            </w:r>
          </w:p>
        </w:tc>
        <w:tc>
          <w:tcPr>
            <w:tcW w:w="1004" w:type="dxa"/>
            <w:tcBorders>
              <w:top w:val="nil"/>
              <w:left w:val="single" w:sz="4" w:space="0" w:color="000000"/>
              <w:bottom w:val="nil"/>
              <w:right w:val="nil"/>
            </w:tcBorders>
            <w:shd w:val="clear" w:color="auto" w:fill="FFFFFF"/>
            <w:vAlign w:val="center"/>
          </w:tcPr>
          <w:p w14:paraId="1C2A19A9" w14:textId="77777777" w:rsidR="00FB4F09" w:rsidRPr="00937C8B" w:rsidRDefault="00FB4F09" w:rsidP="003E38D0">
            <w:pPr>
              <w:pStyle w:val="CTEtabla-texto"/>
              <w:rPr>
                <w:rFonts w:cs="Arial"/>
              </w:rPr>
            </w:pPr>
            <w:r>
              <w:t>4,0</w:t>
            </w:r>
          </w:p>
        </w:tc>
      </w:tr>
      <w:tr w:rsidR="00FB4F09" w:rsidRPr="00937C8B" w14:paraId="584F9F82"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78F7228E" w14:textId="77777777" w:rsidR="00FB4F09" w:rsidRPr="00937C8B" w:rsidRDefault="00FB4F09" w:rsidP="003E38D0">
            <w:pPr>
              <w:pStyle w:val="CTEtabla-texto"/>
              <w:jc w:val="left"/>
              <w:rPr>
                <w:rFonts w:cs="Arial"/>
              </w:rPr>
            </w:pPr>
            <w:r>
              <w:t>Enceintes intérieures non mentionnées dans cette liste</w:t>
            </w:r>
          </w:p>
        </w:tc>
        <w:tc>
          <w:tcPr>
            <w:tcW w:w="1004" w:type="dxa"/>
            <w:tcBorders>
              <w:top w:val="nil"/>
              <w:left w:val="single" w:sz="4" w:space="0" w:color="000000"/>
              <w:bottom w:val="nil"/>
              <w:right w:val="nil"/>
            </w:tcBorders>
            <w:shd w:val="clear" w:color="auto" w:fill="FFFFFF"/>
          </w:tcPr>
          <w:p w14:paraId="3BF59B32" w14:textId="77777777" w:rsidR="00FB4F09" w:rsidRPr="00937C8B" w:rsidRDefault="00FB4F09" w:rsidP="003E38D0">
            <w:pPr>
              <w:pStyle w:val="CTEtabla-texto"/>
              <w:rPr>
                <w:rFonts w:cs="Arial"/>
              </w:rPr>
            </w:pPr>
            <w:r>
              <w:t>4,0</w:t>
            </w:r>
          </w:p>
        </w:tc>
      </w:tr>
      <w:tr w:rsidR="00FB4F09" w:rsidRPr="00937C8B" w14:paraId="3237F258"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01A72FF9" w14:textId="77777777" w:rsidR="00FB4F09" w:rsidRPr="00937C8B" w:rsidRDefault="00FB4F09" w:rsidP="003E38D0">
            <w:pPr>
              <w:pStyle w:val="CTEtabla-texto"/>
              <w:jc w:val="left"/>
              <w:rPr>
                <w:rFonts w:cs="Arial"/>
              </w:rPr>
            </w:pPr>
            <w:r>
              <w:rPr>
                <w:i/>
              </w:rPr>
              <w:t xml:space="preserve">Zones communes </w:t>
            </w:r>
            <w:r>
              <w:rPr>
                <w:vertAlign w:val="subscript"/>
              </w:rPr>
              <w:t>(4)</w:t>
            </w:r>
          </w:p>
        </w:tc>
        <w:tc>
          <w:tcPr>
            <w:tcW w:w="1004" w:type="dxa"/>
            <w:tcBorders>
              <w:top w:val="nil"/>
              <w:left w:val="single" w:sz="4" w:space="0" w:color="000000"/>
              <w:bottom w:val="nil"/>
              <w:right w:val="nil"/>
            </w:tcBorders>
            <w:shd w:val="clear" w:color="auto" w:fill="FFFFFF"/>
            <w:vAlign w:val="center"/>
          </w:tcPr>
          <w:p w14:paraId="05E80C99" w14:textId="77777777" w:rsidR="00FB4F09" w:rsidRPr="00937C8B" w:rsidRDefault="00FB4F09" w:rsidP="003E38D0">
            <w:pPr>
              <w:pStyle w:val="CTEtabla-texto"/>
              <w:rPr>
                <w:rFonts w:cs="Arial"/>
              </w:rPr>
            </w:pPr>
            <w:r>
              <w:t>4,0</w:t>
            </w:r>
          </w:p>
        </w:tc>
      </w:tr>
      <w:tr w:rsidR="00FB4F09" w:rsidRPr="00937C8B" w14:paraId="1708A586"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2758F81D" w14:textId="77777777" w:rsidR="00FB4F09" w:rsidRPr="00937C8B" w:rsidRDefault="00FB4F09" w:rsidP="003E38D0">
            <w:pPr>
              <w:pStyle w:val="CTEtabla-texto"/>
              <w:jc w:val="left"/>
              <w:rPr>
                <w:rFonts w:cs="Arial"/>
              </w:rPr>
            </w:pPr>
            <w:r>
              <w:t xml:space="preserve">Entrepôts, archives, </w:t>
            </w:r>
            <w:r>
              <w:rPr>
                <w:i/>
              </w:rPr>
              <w:t>salles techniques</w:t>
            </w:r>
            <w:r>
              <w:t xml:space="preserve"> et cuisines</w:t>
            </w:r>
          </w:p>
        </w:tc>
        <w:tc>
          <w:tcPr>
            <w:tcW w:w="1004" w:type="dxa"/>
            <w:tcBorders>
              <w:top w:val="nil"/>
              <w:left w:val="single" w:sz="4" w:space="0" w:color="000000"/>
              <w:bottom w:val="nil"/>
              <w:right w:val="nil"/>
            </w:tcBorders>
            <w:shd w:val="clear" w:color="auto" w:fill="FFFFFF"/>
            <w:vAlign w:val="center"/>
          </w:tcPr>
          <w:p w14:paraId="1B33386E" w14:textId="77777777" w:rsidR="00FB4F09" w:rsidRPr="00937C8B" w:rsidRDefault="00FB4F09" w:rsidP="003E38D0">
            <w:pPr>
              <w:pStyle w:val="CTEtabla-texto"/>
              <w:rPr>
                <w:rFonts w:cs="Arial"/>
              </w:rPr>
            </w:pPr>
            <w:r>
              <w:t>4,0</w:t>
            </w:r>
          </w:p>
        </w:tc>
      </w:tr>
      <w:tr w:rsidR="00FB4F09" w:rsidRPr="00937C8B" w14:paraId="40A72A3C"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41C2C16F" w14:textId="77777777" w:rsidR="00FB4F09" w:rsidRPr="00937C8B" w:rsidRDefault="00FB4F09" w:rsidP="003E38D0">
            <w:pPr>
              <w:pStyle w:val="CTEtabla-texto"/>
              <w:jc w:val="left"/>
              <w:rPr>
                <w:rFonts w:cs="Arial"/>
              </w:rPr>
            </w:pPr>
            <w:r>
              <w:t>Parkings</w:t>
            </w:r>
          </w:p>
        </w:tc>
        <w:tc>
          <w:tcPr>
            <w:tcW w:w="1004" w:type="dxa"/>
            <w:tcBorders>
              <w:top w:val="nil"/>
              <w:left w:val="single" w:sz="4" w:space="0" w:color="000000"/>
              <w:bottom w:val="nil"/>
              <w:right w:val="nil"/>
            </w:tcBorders>
            <w:shd w:val="clear" w:color="auto" w:fill="FFFFFF"/>
            <w:vAlign w:val="center"/>
          </w:tcPr>
          <w:p w14:paraId="6783A6E9" w14:textId="77777777" w:rsidR="00FB4F09" w:rsidRPr="00937C8B" w:rsidRDefault="00FB4F09" w:rsidP="003E38D0">
            <w:pPr>
              <w:pStyle w:val="CTEtabla-texto"/>
              <w:rPr>
                <w:rFonts w:cs="Arial"/>
              </w:rPr>
            </w:pPr>
            <w:r>
              <w:t>4,0</w:t>
            </w:r>
          </w:p>
        </w:tc>
      </w:tr>
      <w:tr w:rsidR="00FB4F09" w:rsidRPr="00937C8B" w14:paraId="4194C84D" w14:textId="77777777" w:rsidTr="00935676">
        <w:trPr>
          <w:cantSplit/>
          <w:jc w:val="center"/>
        </w:trPr>
        <w:tc>
          <w:tcPr>
            <w:tcW w:w="6797" w:type="dxa"/>
            <w:tcBorders>
              <w:top w:val="nil"/>
              <w:left w:val="nil"/>
              <w:bottom w:val="nil"/>
              <w:right w:val="single" w:sz="4" w:space="0" w:color="000000"/>
            </w:tcBorders>
            <w:shd w:val="clear" w:color="auto" w:fill="FFFFFF"/>
          </w:tcPr>
          <w:p w14:paraId="680C27B8" w14:textId="77777777" w:rsidR="00FB4F09" w:rsidRPr="00937C8B" w:rsidRDefault="00FB4F09" w:rsidP="003E38D0">
            <w:pPr>
              <w:pStyle w:val="CTEtabla-texto"/>
              <w:jc w:val="left"/>
              <w:rPr>
                <w:rFonts w:cs="Arial"/>
              </w:rPr>
            </w:pPr>
            <w:r>
              <w:t xml:space="preserve">Centres sportifs </w:t>
            </w:r>
            <w:r>
              <w:rPr>
                <w:vertAlign w:val="subscript"/>
              </w:rPr>
              <w:t>(5)</w:t>
            </w:r>
          </w:p>
        </w:tc>
        <w:tc>
          <w:tcPr>
            <w:tcW w:w="1004" w:type="dxa"/>
            <w:tcBorders>
              <w:top w:val="nil"/>
              <w:left w:val="single" w:sz="4" w:space="0" w:color="000000"/>
              <w:bottom w:val="nil"/>
              <w:right w:val="nil"/>
            </w:tcBorders>
            <w:shd w:val="clear" w:color="auto" w:fill="FFFFFF"/>
          </w:tcPr>
          <w:p w14:paraId="355CBB93" w14:textId="77777777" w:rsidR="00FB4F09" w:rsidRPr="00937C8B" w:rsidRDefault="00FB4F09" w:rsidP="003E38D0">
            <w:pPr>
              <w:pStyle w:val="CTEtabla-texto"/>
              <w:rPr>
                <w:rFonts w:cs="Arial"/>
              </w:rPr>
            </w:pPr>
            <w:r>
              <w:t>4,0</w:t>
            </w:r>
          </w:p>
        </w:tc>
      </w:tr>
      <w:tr w:rsidR="00FB4F09" w:rsidRPr="00937C8B" w14:paraId="0E468752"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03D4F9E8" w14:textId="77777777" w:rsidR="00FB4F09" w:rsidRPr="00937C8B" w:rsidRDefault="00FB4F09" w:rsidP="003E38D0">
            <w:pPr>
              <w:pStyle w:val="CTEtabla-texto"/>
              <w:jc w:val="left"/>
              <w:rPr>
                <w:rFonts w:cs="Arial"/>
              </w:rPr>
            </w:pPr>
            <w:r>
              <w:t xml:space="preserve">Gares de transport </w:t>
            </w:r>
            <w:r>
              <w:rPr>
                <w:vertAlign w:val="subscript"/>
              </w:rPr>
              <w:t>(6)</w:t>
            </w:r>
          </w:p>
        </w:tc>
        <w:tc>
          <w:tcPr>
            <w:tcW w:w="1004" w:type="dxa"/>
            <w:tcBorders>
              <w:top w:val="nil"/>
              <w:left w:val="single" w:sz="4" w:space="0" w:color="000000"/>
              <w:bottom w:val="nil"/>
              <w:right w:val="nil"/>
            </w:tcBorders>
            <w:shd w:val="clear" w:color="auto" w:fill="FFFFFF"/>
            <w:vAlign w:val="center"/>
          </w:tcPr>
          <w:p w14:paraId="1C83FB25" w14:textId="77777777" w:rsidR="00FB4F09" w:rsidRPr="00937C8B" w:rsidRDefault="00FB4F09" w:rsidP="003E38D0">
            <w:pPr>
              <w:pStyle w:val="CTEtabla-texto"/>
              <w:rPr>
                <w:rFonts w:cs="Arial"/>
              </w:rPr>
            </w:pPr>
            <w:r>
              <w:t>5,0</w:t>
            </w:r>
          </w:p>
        </w:tc>
      </w:tr>
      <w:tr w:rsidR="00FB4F09" w:rsidRPr="00937C8B" w14:paraId="1E2C2DEE"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42C21634" w14:textId="77777777" w:rsidR="00FB4F09" w:rsidRPr="00937C8B" w:rsidRDefault="00FB4F09" w:rsidP="003E38D0">
            <w:pPr>
              <w:pStyle w:val="CTEtabla-texto"/>
              <w:jc w:val="left"/>
              <w:rPr>
                <w:rFonts w:cs="Arial"/>
              </w:rPr>
            </w:pPr>
            <w:r>
              <w:t>Supermarchés, hypermarchés et grands magasins</w:t>
            </w:r>
          </w:p>
        </w:tc>
        <w:tc>
          <w:tcPr>
            <w:tcW w:w="1004" w:type="dxa"/>
            <w:tcBorders>
              <w:top w:val="nil"/>
              <w:left w:val="single" w:sz="4" w:space="0" w:color="000000"/>
              <w:bottom w:val="nil"/>
              <w:right w:val="nil"/>
            </w:tcBorders>
            <w:shd w:val="clear" w:color="auto" w:fill="FFFFFF"/>
            <w:vAlign w:val="center"/>
          </w:tcPr>
          <w:p w14:paraId="2ADA9252" w14:textId="77777777" w:rsidR="00FB4F09" w:rsidRPr="00937C8B" w:rsidRDefault="00FB4F09" w:rsidP="003E38D0">
            <w:pPr>
              <w:pStyle w:val="CTEtabla-texto"/>
              <w:rPr>
                <w:rFonts w:cs="Arial"/>
              </w:rPr>
            </w:pPr>
            <w:r>
              <w:t>5,0</w:t>
            </w:r>
          </w:p>
        </w:tc>
      </w:tr>
      <w:tr w:rsidR="00FB4F09" w:rsidRPr="00937C8B" w14:paraId="2594288F"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1FEACAA5" w14:textId="18115BB3" w:rsidR="00FB4F09" w:rsidRPr="00937C8B" w:rsidRDefault="00FB4F09" w:rsidP="003E38D0">
            <w:pPr>
              <w:pStyle w:val="CTEtabla-texto"/>
              <w:jc w:val="left"/>
              <w:rPr>
                <w:rFonts w:cs="Arial"/>
              </w:rPr>
            </w:pPr>
            <w:r>
              <w:t>Bibliothèques, musées et galeries d</w:t>
            </w:r>
            <w:r w:rsidR="00EA7588">
              <w:t>’</w:t>
            </w:r>
            <w:r>
              <w:t>art</w:t>
            </w:r>
          </w:p>
        </w:tc>
        <w:tc>
          <w:tcPr>
            <w:tcW w:w="1004" w:type="dxa"/>
            <w:tcBorders>
              <w:top w:val="nil"/>
              <w:left w:val="single" w:sz="4" w:space="0" w:color="000000"/>
              <w:bottom w:val="nil"/>
              <w:right w:val="nil"/>
            </w:tcBorders>
            <w:shd w:val="clear" w:color="auto" w:fill="FFFFFF"/>
            <w:vAlign w:val="center"/>
          </w:tcPr>
          <w:p w14:paraId="0D6CE4DA" w14:textId="77777777" w:rsidR="00FB4F09" w:rsidRPr="00937C8B" w:rsidRDefault="00FB4F09" w:rsidP="003E38D0">
            <w:pPr>
              <w:pStyle w:val="CTEtabla-texto"/>
              <w:rPr>
                <w:rFonts w:cs="Arial"/>
              </w:rPr>
            </w:pPr>
            <w:r>
              <w:t>5,0</w:t>
            </w:r>
          </w:p>
        </w:tc>
      </w:tr>
      <w:tr w:rsidR="00FB4F09" w:rsidRPr="00937C8B" w14:paraId="702E4D95"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3FE4B39E" w14:textId="77777777" w:rsidR="00FB4F09" w:rsidRPr="00937C8B" w:rsidRDefault="00FB4F09" w:rsidP="003E38D0">
            <w:pPr>
              <w:pStyle w:val="CTEtabla-texto"/>
              <w:jc w:val="left"/>
              <w:rPr>
                <w:rFonts w:cs="Arial"/>
              </w:rPr>
            </w:pPr>
            <w:r>
              <w:rPr>
                <w:i/>
                <w:iCs/>
              </w:rPr>
              <w:t>Zones communes</w:t>
            </w:r>
            <w:r>
              <w:t xml:space="preserve"> de bâtiments non résidentiels</w:t>
            </w:r>
          </w:p>
        </w:tc>
        <w:tc>
          <w:tcPr>
            <w:tcW w:w="1004" w:type="dxa"/>
            <w:tcBorders>
              <w:top w:val="nil"/>
              <w:left w:val="single" w:sz="4" w:space="0" w:color="000000"/>
              <w:bottom w:val="nil"/>
              <w:right w:val="nil"/>
            </w:tcBorders>
            <w:shd w:val="clear" w:color="auto" w:fill="FFFFFF"/>
            <w:vAlign w:val="center"/>
          </w:tcPr>
          <w:p w14:paraId="43CB7AAE" w14:textId="77777777" w:rsidR="00FB4F09" w:rsidRPr="00937C8B" w:rsidRDefault="00FB4F09" w:rsidP="003E38D0">
            <w:pPr>
              <w:pStyle w:val="CTEtabla-texto"/>
              <w:rPr>
                <w:rFonts w:cs="Arial"/>
              </w:rPr>
            </w:pPr>
            <w:r>
              <w:t>6,0</w:t>
            </w:r>
          </w:p>
        </w:tc>
      </w:tr>
      <w:tr w:rsidR="00FB4F09" w:rsidRPr="00937C8B" w14:paraId="3BE26631"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3B634E4E" w14:textId="77777777" w:rsidR="00FB4F09" w:rsidRPr="00937C8B" w:rsidRDefault="00FB4F09" w:rsidP="003E38D0">
            <w:pPr>
              <w:pStyle w:val="CTEtabla-texto"/>
              <w:jc w:val="left"/>
              <w:rPr>
                <w:rFonts w:cs="Arial"/>
              </w:rPr>
            </w:pPr>
            <w:r>
              <w:t xml:space="preserve">Centres commerciaux (hors boutiques) </w:t>
            </w:r>
            <w:r>
              <w:rPr>
                <w:vertAlign w:val="subscript"/>
              </w:rPr>
              <w:t>(7)</w:t>
            </w:r>
          </w:p>
        </w:tc>
        <w:tc>
          <w:tcPr>
            <w:tcW w:w="1004" w:type="dxa"/>
            <w:tcBorders>
              <w:top w:val="nil"/>
              <w:left w:val="single" w:sz="4" w:space="0" w:color="000000"/>
              <w:bottom w:val="nil"/>
              <w:right w:val="nil"/>
            </w:tcBorders>
            <w:shd w:val="clear" w:color="auto" w:fill="FFFFFF"/>
            <w:vAlign w:val="center"/>
          </w:tcPr>
          <w:p w14:paraId="6BBFE5DE" w14:textId="77777777" w:rsidR="00FB4F09" w:rsidRPr="00937C8B" w:rsidRDefault="00FB4F09" w:rsidP="003E38D0">
            <w:pPr>
              <w:pStyle w:val="CTEtabla-texto"/>
              <w:rPr>
                <w:rFonts w:cs="Arial"/>
              </w:rPr>
            </w:pPr>
            <w:r>
              <w:t>6,0</w:t>
            </w:r>
          </w:p>
        </w:tc>
      </w:tr>
      <w:tr w:rsidR="00FB4F09" w:rsidRPr="00937C8B" w14:paraId="73993268"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7777390B" w14:textId="77777777" w:rsidR="00FB4F09" w:rsidRPr="00937C8B" w:rsidRDefault="00FB4F09" w:rsidP="003E38D0">
            <w:pPr>
              <w:pStyle w:val="CTEtabla-texto"/>
              <w:jc w:val="left"/>
              <w:rPr>
                <w:rFonts w:cs="Arial"/>
              </w:rPr>
            </w:pPr>
            <w:r>
              <w:t xml:space="preserve">Hôtellerie et restauration </w:t>
            </w:r>
            <w:r>
              <w:rPr>
                <w:vertAlign w:val="subscript"/>
              </w:rPr>
              <w:t>(8)</w:t>
            </w:r>
          </w:p>
        </w:tc>
        <w:tc>
          <w:tcPr>
            <w:tcW w:w="1004" w:type="dxa"/>
            <w:tcBorders>
              <w:top w:val="nil"/>
              <w:left w:val="single" w:sz="4" w:space="0" w:color="000000"/>
              <w:bottom w:val="nil"/>
              <w:right w:val="nil"/>
            </w:tcBorders>
            <w:shd w:val="clear" w:color="auto" w:fill="FFFFFF"/>
            <w:vAlign w:val="center"/>
          </w:tcPr>
          <w:p w14:paraId="33D453A2" w14:textId="77777777" w:rsidR="00FB4F09" w:rsidRPr="00937C8B" w:rsidRDefault="00FB4F09" w:rsidP="003E38D0">
            <w:pPr>
              <w:pStyle w:val="CTEtabla-texto"/>
              <w:rPr>
                <w:rFonts w:cs="Arial"/>
              </w:rPr>
            </w:pPr>
            <w:r>
              <w:t>8,0</w:t>
            </w:r>
          </w:p>
        </w:tc>
      </w:tr>
      <w:tr w:rsidR="00FB4F09" w:rsidRPr="00937C8B" w14:paraId="126DB037"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572FC7B3" w14:textId="77777777" w:rsidR="00FB4F09" w:rsidRPr="00937C8B" w:rsidRDefault="00FB4F09" w:rsidP="003E38D0">
            <w:pPr>
              <w:pStyle w:val="CTEtabla-texto"/>
              <w:jc w:val="left"/>
              <w:rPr>
                <w:rFonts w:cs="Arial"/>
              </w:rPr>
            </w:pPr>
            <w:r>
              <w:t>Religieux en général</w:t>
            </w:r>
          </w:p>
        </w:tc>
        <w:tc>
          <w:tcPr>
            <w:tcW w:w="1004" w:type="dxa"/>
            <w:tcBorders>
              <w:top w:val="nil"/>
              <w:left w:val="single" w:sz="4" w:space="0" w:color="000000"/>
              <w:bottom w:val="nil"/>
              <w:right w:val="nil"/>
            </w:tcBorders>
            <w:shd w:val="clear" w:color="auto" w:fill="FFFFFF"/>
            <w:vAlign w:val="center"/>
          </w:tcPr>
          <w:p w14:paraId="5F0D0B0C" w14:textId="77777777" w:rsidR="00FB4F09" w:rsidRPr="00937C8B" w:rsidRDefault="00FB4F09" w:rsidP="003E38D0">
            <w:pPr>
              <w:pStyle w:val="CTEtabla-texto"/>
              <w:rPr>
                <w:rFonts w:cs="Arial"/>
              </w:rPr>
            </w:pPr>
            <w:r>
              <w:t>8,0</w:t>
            </w:r>
          </w:p>
        </w:tc>
      </w:tr>
      <w:tr w:rsidR="00FB4F09" w:rsidRPr="00937C8B" w14:paraId="4D3C5B67"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150DF431" w14:textId="77777777" w:rsidR="00FB4F09" w:rsidRPr="00937C8B" w:rsidRDefault="00FB4F09" w:rsidP="003E38D0">
            <w:pPr>
              <w:pStyle w:val="CTEtabla-texto"/>
              <w:jc w:val="left"/>
              <w:rPr>
                <w:rFonts w:cs="Arial"/>
              </w:rPr>
            </w:pPr>
            <w:r>
              <w:t xml:space="preserve">Salles des fêtes, auditoriums, salles polyvalentes et des conventions, salles de loisirs et de spectacle, salles de réunions et salles de conférence </w:t>
            </w:r>
            <w:r>
              <w:rPr>
                <w:vertAlign w:val="subscript"/>
              </w:rPr>
              <w:t>(9)</w:t>
            </w:r>
          </w:p>
        </w:tc>
        <w:tc>
          <w:tcPr>
            <w:tcW w:w="1004" w:type="dxa"/>
            <w:tcBorders>
              <w:top w:val="nil"/>
              <w:left w:val="single" w:sz="4" w:space="0" w:color="000000"/>
              <w:bottom w:val="nil"/>
              <w:right w:val="nil"/>
            </w:tcBorders>
            <w:shd w:val="clear" w:color="auto" w:fill="FFFFFF"/>
            <w:vAlign w:val="center"/>
          </w:tcPr>
          <w:p w14:paraId="535DB6D8" w14:textId="77777777" w:rsidR="00FB4F09" w:rsidRPr="00937C8B" w:rsidRDefault="00FB4F09" w:rsidP="003E38D0">
            <w:pPr>
              <w:pStyle w:val="CTEtabla-texto"/>
              <w:rPr>
                <w:rFonts w:cs="Arial"/>
              </w:rPr>
            </w:pPr>
            <w:r>
              <w:t>8,0</w:t>
            </w:r>
          </w:p>
        </w:tc>
      </w:tr>
      <w:tr w:rsidR="00FB4F09" w:rsidRPr="00937C8B" w14:paraId="332AF0EF"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1F8B5D94" w14:textId="77777777" w:rsidR="00FB4F09" w:rsidRPr="00937C8B" w:rsidRDefault="00FB4F09" w:rsidP="003E38D0">
            <w:pPr>
              <w:pStyle w:val="CTEtabla-texto"/>
              <w:jc w:val="left"/>
              <w:rPr>
                <w:rFonts w:cs="Arial"/>
              </w:rPr>
            </w:pPr>
            <w:r>
              <w:t>Boutiques et petits commerces</w:t>
            </w:r>
          </w:p>
        </w:tc>
        <w:tc>
          <w:tcPr>
            <w:tcW w:w="1004" w:type="dxa"/>
            <w:tcBorders>
              <w:top w:val="nil"/>
              <w:left w:val="single" w:sz="4" w:space="0" w:color="000000"/>
              <w:bottom w:val="nil"/>
              <w:right w:val="nil"/>
            </w:tcBorders>
            <w:shd w:val="clear" w:color="auto" w:fill="FFFFFF"/>
            <w:vAlign w:val="center"/>
          </w:tcPr>
          <w:p w14:paraId="4091C477" w14:textId="77777777" w:rsidR="00FB4F09" w:rsidRPr="00937C8B" w:rsidRDefault="00FB4F09" w:rsidP="003E38D0">
            <w:pPr>
              <w:pStyle w:val="CTEtabla-texto"/>
              <w:rPr>
                <w:rFonts w:cs="Arial"/>
              </w:rPr>
            </w:pPr>
            <w:r>
              <w:t>8,0</w:t>
            </w:r>
          </w:p>
        </w:tc>
      </w:tr>
      <w:tr w:rsidR="00FB4F09" w:rsidRPr="00937C8B" w14:paraId="3965B077"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1169C34A" w14:textId="7262D9B2" w:rsidR="00FB4F09" w:rsidRPr="00937C8B" w:rsidRDefault="00FB4F09" w:rsidP="003E38D0">
            <w:pPr>
              <w:pStyle w:val="CTEtabla-texto"/>
              <w:jc w:val="left"/>
              <w:rPr>
                <w:rFonts w:cs="Arial"/>
              </w:rPr>
            </w:pPr>
            <w:r>
              <w:t>Chambres d</w:t>
            </w:r>
            <w:r w:rsidR="00EA7588">
              <w:t>’</w:t>
            </w:r>
            <w:r>
              <w:t>hôtel, etc.</w:t>
            </w:r>
          </w:p>
        </w:tc>
        <w:tc>
          <w:tcPr>
            <w:tcW w:w="1004" w:type="dxa"/>
            <w:tcBorders>
              <w:top w:val="nil"/>
              <w:left w:val="single" w:sz="4" w:space="0" w:color="000000"/>
              <w:bottom w:val="nil"/>
              <w:right w:val="nil"/>
            </w:tcBorders>
            <w:shd w:val="clear" w:color="auto" w:fill="FFFFFF"/>
            <w:vAlign w:val="center"/>
          </w:tcPr>
          <w:p w14:paraId="2175A5C8" w14:textId="77777777" w:rsidR="00FB4F09" w:rsidRPr="00937C8B" w:rsidRDefault="00FB4F09" w:rsidP="003E38D0">
            <w:pPr>
              <w:pStyle w:val="CTEtabla-texto"/>
              <w:rPr>
                <w:rFonts w:cs="Arial"/>
              </w:rPr>
            </w:pPr>
            <w:r>
              <w:t>10,0</w:t>
            </w:r>
          </w:p>
        </w:tc>
      </w:tr>
      <w:tr w:rsidR="00FB4F09" w:rsidRPr="00937C8B" w14:paraId="45DAB194" w14:textId="77777777" w:rsidTr="00935676">
        <w:trPr>
          <w:cantSplit/>
          <w:jc w:val="center"/>
        </w:trPr>
        <w:tc>
          <w:tcPr>
            <w:tcW w:w="6797" w:type="dxa"/>
            <w:tcBorders>
              <w:top w:val="nil"/>
              <w:left w:val="nil"/>
              <w:bottom w:val="nil"/>
              <w:right w:val="single" w:sz="4" w:space="0" w:color="000000"/>
            </w:tcBorders>
            <w:shd w:val="clear" w:color="auto" w:fill="FFFFFF"/>
            <w:vAlign w:val="center"/>
          </w:tcPr>
          <w:p w14:paraId="0D2F91A9" w14:textId="0A0B54C4" w:rsidR="00FB4F09" w:rsidRPr="00937C8B" w:rsidRDefault="00FB4F09" w:rsidP="003E38D0">
            <w:pPr>
              <w:pStyle w:val="CTEtabla-texto"/>
              <w:jc w:val="left"/>
              <w:rPr>
                <w:rFonts w:cs="Arial"/>
              </w:rPr>
            </w:pPr>
            <w:r>
              <w:t>Locaux avec un niveau d</w:t>
            </w:r>
            <w:r w:rsidR="00EA7588">
              <w:t>’</w:t>
            </w:r>
            <w:r>
              <w:t>éclairage supérieur à 600 lux</w:t>
            </w:r>
          </w:p>
        </w:tc>
        <w:tc>
          <w:tcPr>
            <w:tcW w:w="1004" w:type="dxa"/>
            <w:tcBorders>
              <w:top w:val="nil"/>
              <w:left w:val="single" w:sz="4" w:space="0" w:color="000000"/>
              <w:bottom w:val="nil"/>
              <w:right w:val="nil"/>
            </w:tcBorders>
            <w:shd w:val="clear" w:color="auto" w:fill="FFFFFF"/>
            <w:vAlign w:val="center"/>
          </w:tcPr>
          <w:p w14:paraId="74F3BE5B" w14:textId="77777777" w:rsidR="00FB4F09" w:rsidRPr="00937C8B" w:rsidRDefault="00FB4F09" w:rsidP="003E38D0">
            <w:pPr>
              <w:pStyle w:val="CTEtabla-texto"/>
              <w:rPr>
                <w:rFonts w:cs="Arial"/>
              </w:rPr>
            </w:pPr>
            <w:r>
              <w:t>2,5</w:t>
            </w:r>
          </w:p>
        </w:tc>
      </w:tr>
    </w:tbl>
    <w:p w14:paraId="71DB52CE" w14:textId="77777777" w:rsidR="00FB4F09" w:rsidRPr="00937C8B" w:rsidRDefault="00FB4F09" w:rsidP="00FB4F09">
      <w:pPr>
        <w:pStyle w:val="Standard"/>
      </w:pPr>
    </w:p>
    <w:p w14:paraId="06049317" w14:textId="0A38B488" w:rsidR="00FB4F09" w:rsidRPr="00937C8B" w:rsidRDefault="00FB4F09" w:rsidP="00FB4F09">
      <w:pPr>
        <w:pStyle w:val="notapietablafigura"/>
        <w:jc w:val="both"/>
      </w:pPr>
      <w:r>
        <w:rPr>
          <w:bCs w:val="0"/>
          <w:vertAlign w:val="superscript"/>
        </w:rPr>
        <w:t>(1)</w:t>
      </w:r>
      <w:r>
        <w:rPr>
          <w:b/>
        </w:rPr>
        <w:t xml:space="preserve"> </w:t>
      </w:r>
      <w:r>
        <w:t>Comprend l</w:t>
      </w:r>
      <w:r w:rsidR="00EA7588">
        <w:t>’</w:t>
      </w:r>
      <w:r>
        <w:t>installation d</w:t>
      </w:r>
      <w:r w:rsidR="00EA7588">
        <w:t>’</w:t>
      </w:r>
      <w:r>
        <w:t>éclairage de salles d</w:t>
      </w:r>
      <w:r w:rsidR="00EA7588">
        <w:t>’</w:t>
      </w:r>
      <w:r>
        <w:t>examen général, de salles d</w:t>
      </w:r>
      <w:r w:rsidR="00EA7588">
        <w:t>’</w:t>
      </w:r>
      <w:r>
        <w:t>urgence, de salles de scanner et de radiologie, de salles d</w:t>
      </w:r>
      <w:r w:rsidR="00EA7588">
        <w:t>’</w:t>
      </w:r>
      <w:r>
        <w:t>examen oculaire et auditif et de salles de traitement. Sont exclus toutefois les locaux tels que les salles d</w:t>
      </w:r>
      <w:r w:rsidR="00EA7588">
        <w:t>’</w:t>
      </w:r>
      <w:r>
        <w:t>opération, blocs opératoires, unités de soins intensifs, dentiste, salles de décontamination, salles d</w:t>
      </w:r>
      <w:r w:rsidR="00EA7588">
        <w:t>’</w:t>
      </w:r>
      <w:r>
        <w:t>autopsie et mortuaires et autres salles qui, en raison de leur activité, peuvent être considérées comme des salles spéciales.</w:t>
      </w:r>
    </w:p>
    <w:p w14:paraId="788B7C58" w14:textId="1A375D22" w:rsidR="00FB4F09" w:rsidRPr="00937C8B" w:rsidRDefault="00FB4F09" w:rsidP="00FB4F09">
      <w:pPr>
        <w:pStyle w:val="notapietablafigura"/>
        <w:jc w:val="both"/>
      </w:pPr>
      <w:r>
        <w:rPr>
          <w:bCs w:val="0"/>
          <w:vertAlign w:val="superscript"/>
        </w:rPr>
        <w:lastRenderedPageBreak/>
        <w:t xml:space="preserve"> (2) </w:t>
      </w:r>
      <w:r>
        <w:t>Est incluse l</w:t>
      </w:r>
      <w:r w:rsidR="00EA7588">
        <w:t>’</w:t>
      </w:r>
      <w:r>
        <w:t>installation d</w:t>
      </w:r>
      <w:r w:rsidR="00EA7588">
        <w:t>’</w:t>
      </w:r>
      <w:r>
        <w:t>éclairage de la salle et des tableaux de salles d</w:t>
      </w:r>
      <w:r w:rsidR="00EA7588">
        <w:t>’</w:t>
      </w:r>
      <w:r>
        <w:t>enseignement, salles informatiques, de musique, laboratoires de langues, salles de dessin technique, salles de pratique et laboratoires, travaux manuels, ateliers d</w:t>
      </w:r>
      <w:r w:rsidR="00EA7588">
        <w:t>’</w:t>
      </w:r>
      <w:r>
        <w:t>enseignement et salles d</w:t>
      </w:r>
      <w:r w:rsidR="00EA7588">
        <w:t>’</w:t>
      </w:r>
      <w:r>
        <w:t>art, salles de préparation et ateliers, salles d</w:t>
      </w:r>
      <w:r w:rsidR="00EA7588">
        <w:t>’</w:t>
      </w:r>
      <w:r>
        <w:t>étude communes et salles de réunion, salles de cours du soir et d</w:t>
      </w:r>
      <w:r w:rsidR="00EA7588">
        <w:t>’</w:t>
      </w:r>
      <w:r>
        <w:t>enseignement aux adultes, salles de lecture, garderies, salles de jeux de garderies et salles de travaux manuels.</w:t>
      </w:r>
    </w:p>
    <w:p w14:paraId="1A2E3581" w14:textId="3596A325" w:rsidR="00FB4F09" w:rsidRPr="00937C8B" w:rsidRDefault="00FB4F09" w:rsidP="00FB4F09">
      <w:pPr>
        <w:pStyle w:val="notapietablafigura"/>
        <w:jc w:val="both"/>
      </w:pPr>
      <w:r>
        <w:rPr>
          <w:bCs w:val="0"/>
          <w:vertAlign w:val="superscript"/>
        </w:rPr>
        <w:t xml:space="preserve">  (3) </w:t>
      </w:r>
      <w:r>
        <w:t>Est incluse l</w:t>
      </w:r>
      <w:r w:rsidR="00EA7588">
        <w:t>’</w:t>
      </w:r>
      <w:r>
        <w:t>installation d</w:t>
      </w:r>
      <w:r w:rsidR="00EA7588">
        <w:t>’</w:t>
      </w:r>
      <w:r>
        <w:t>éclairage intérieure de la chambre et de la salle de bains, c</w:t>
      </w:r>
      <w:r w:rsidR="00EA7588">
        <w:t>’</w:t>
      </w:r>
      <w:r>
        <w:t>est-à-dire l</w:t>
      </w:r>
      <w:r w:rsidR="00EA7588">
        <w:t>’</w:t>
      </w:r>
      <w:r>
        <w:t>éclairage général, l</w:t>
      </w:r>
      <w:r w:rsidR="00EA7588">
        <w:t>’</w:t>
      </w:r>
      <w:r>
        <w:t>éclairage de lecture et l</w:t>
      </w:r>
      <w:r w:rsidR="00EA7588">
        <w:t>’</w:t>
      </w:r>
      <w:r>
        <w:t>éclairage pour des examens simples.</w:t>
      </w:r>
    </w:p>
    <w:p w14:paraId="79C76150" w14:textId="77777777" w:rsidR="00FB4F09" w:rsidRPr="00937C8B" w:rsidRDefault="00FB4F09" w:rsidP="00FB4F09">
      <w:pPr>
        <w:pStyle w:val="notapietablafigura"/>
        <w:jc w:val="both"/>
      </w:pPr>
      <w:r>
        <w:rPr>
          <w:bCs w:val="0"/>
          <w:vertAlign w:val="superscript"/>
        </w:rPr>
        <w:t>(4)</w:t>
      </w:r>
      <w:r>
        <w:t xml:space="preserve"> Espaces utilisés par toute personne ou tout usager tels que les entrées, les vestibules, les couloirs, les escaliers, les espaces de circulation de personnes, les toilettes publiques, etc..</w:t>
      </w:r>
    </w:p>
    <w:p w14:paraId="70ED36E4" w14:textId="6B4C86F8" w:rsidR="00FB4F09" w:rsidRPr="00937C8B" w:rsidRDefault="00FB4F09" w:rsidP="00FB4F09">
      <w:pPr>
        <w:pStyle w:val="notapietablafigura"/>
        <w:tabs>
          <w:tab w:val="left" w:pos="0"/>
        </w:tabs>
        <w:ind w:firstLine="12"/>
        <w:jc w:val="both"/>
      </w:pPr>
      <w:r>
        <w:rPr>
          <w:bCs w:val="0"/>
          <w:vertAlign w:val="superscript"/>
        </w:rPr>
        <w:t xml:space="preserve"> (5)</w:t>
      </w:r>
      <w:r>
        <w:rPr>
          <w:b/>
        </w:rPr>
        <w:t xml:space="preserve"> </w:t>
      </w:r>
      <w:r>
        <w:t>Sont incluses les installations d</w:t>
      </w:r>
      <w:r w:rsidR="00EA7588">
        <w:t>’</w:t>
      </w:r>
      <w:r>
        <w:t>éclairage de terrains de jeux et gradins d</w:t>
      </w:r>
      <w:r w:rsidR="00EA7588">
        <w:t>’</w:t>
      </w:r>
      <w:r>
        <w:t>espaces sportifs, aussi bien pour les activités d</w:t>
      </w:r>
      <w:r w:rsidR="00EA7588">
        <w:t>’</w:t>
      </w:r>
      <w:r>
        <w:t>entraînement que de compétition, mais sont exclues les installations d</w:t>
      </w:r>
      <w:r w:rsidR="00EA7588">
        <w:t>’</w:t>
      </w:r>
      <w:r>
        <w:t>éclairage nécessaires aux retransmissions télévisées.</w:t>
      </w:r>
    </w:p>
    <w:p w14:paraId="575FBA58" w14:textId="77777777" w:rsidR="00FB4F09" w:rsidRPr="00937C8B" w:rsidRDefault="00FB4F09" w:rsidP="00FB4F09">
      <w:pPr>
        <w:pStyle w:val="notapietablafigura"/>
        <w:tabs>
          <w:tab w:val="left" w:pos="0"/>
        </w:tabs>
        <w:jc w:val="both"/>
      </w:pPr>
      <w:r>
        <w:t xml:space="preserve"> Les gradins sont assimilés à des </w:t>
      </w:r>
      <w:r>
        <w:rPr>
          <w:i/>
          <w:iCs/>
        </w:rPr>
        <w:t>zones communes</w:t>
      </w:r>
      <w:r>
        <w:t>.</w:t>
      </w:r>
    </w:p>
    <w:p w14:paraId="0E7CA301" w14:textId="6C4332B1" w:rsidR="00FB4F09" w:rsidRPr="00937C8B" w:rsidRDefault="00FB4F09" w:rsidP="00FB4F09">
      <w:pPr>
        <w:pStyle w:val="notapietablafigura"/>
        <w:jc w:val="both"/>
      </w:pPr>
      <w:r>
        <w:rPr>
          <w:bCs w:val="0"/>
          <w:vertAlign w:val="superscript"/>
        </w:rPr>
        <w:t xml:space="preserve">(6) </w:t>
      </w:r>
      <w:r>
        <w:t>Espaces destinés à la circulation de voyageurs comme les entrées de terminaux, zones d</w:t>
      </w:r>
      <w:r w:rsidR="00EA7588">
        <w:t>’</w:t>
      </w:r>
      <w:r>
        <w:t>arrivée et de départ de passagers, zones de retrait des bagages, zones de liaison, ascenseurs, zones des comptoirs d</w:t>
      </w:r>
      <w:r w:rsidR="00EA7588">
        <w:t>’</w:t>
      </w:r>
      <w:r>
        <w:t>enregistrement, de facturation et d</w:t>
      </w:r>
      <w:r w:rsidR="00EA7588">
        <w:t>’</w:t>
      </w:r>
      <w:r>
        <w:t>information, zones d</w:t>
      </w:r>
      <w:r w:rsidR="00EA7588">
        <w:t>’</w:t>
      </w:r>
      <w:r>
        <w:t>attente, consignes, etc..</w:t>
      </w:r>
    </w:p>
    <w:p w14:paraId="5E861974" w14:textId="77777777" w:rsidR="00FB4F09" w:rsidRPr="00937C8B" w:rsidRDefault="00FB4F09" w:rsidP="00FB4F09">
      <w:pPr>
        <w:pStyle w:val="notapietablafigura"/>
        <w:jc w:val="both"/>
      </w:pPr>
      <w:r>
        <w:rPr>
          <w:bCs w:val="0"/>
          <w:vertAlign w:val="superscript"/>
        </w:rPr>
        <w:t xml:space="preserve">(7) </w:t>
      </w:r>
      <w:r>
        <w:t>Sont inclus les espaces tels que les entrées, réceptions, couloirs, escaliers, vestiaires et toilettes des centres commerciaux.</w:t>
      </w:r>
    </w:p>
    <w:p w14:paraId="598B6AE7" w14:textId="77777777" w:rsidR="00FB4F09" w:rsidRPr="00937C8B" w:rsidRDefault="00FB4F09" w:rsidP="00FB4F09">
      <w:pPr>
        <w:pStyle w:val="notapietablafigura"/>
        <w:jc w:val="both"/>
      </w:pPr>
      <w:r>
        <w:rPr>
          <w:bCs w:val="0"/>
          <w:vertAlign w:val="superscript"/>
        </w:rPr>
        <w:t xml:space="preserve">(8) </w:t>
      </w:r>
      <w:r>
        <w:t>Sont inclus les espaces destinés aux activités propres au service du public tels que les entrées, réceptions, restaurants, bars, cantines, self-services ou buffets, couloirs, escaliers, vestiaires, salles d’eau, toilettes, etc.</w:t>
      </w:r>
    </w:p>
    <w:p w14:paraId="5491121C" w14:textId="3E71349D" w:rsidR="00FB4F09" w:rsidRPr="00937C8B" w:rsidRDefault="00FB4F09" w:rsidP="00FB4F09">
      <w:pPr>
        <w:pStyle w:val="notapietablafigura"/>
        <w:jc w:val="both"/>
      </w:pPr>
      <w:r>
        <w:rPr>
          <w:bCs w:val="0"/>
          <w:vertAlign w:val="superscript"/>
        </w:rPr>
        <w:t xml:space="preserve">(9) </w:t>
      </w:r>
      <w:r>
        <w:t>En ce qui concerne les cinémas, théâtres, salles de concert, etc., est exclu l</w:t>
      </w:r>
      <w:r w:rsidR="00EA7588">
        <w:t>’</w:t>
      </w:r>
      <w:r>
        <w:t>éclairage à des fins de spectacle, y compris la représentation et la scène.</w:t>
      </w:r>
    </w:p>
    <w:p w14:paraId="5C708F1E" w14:textId="77777777" w:rsidR="00FB4F09" w:rsidRPr="00937C8B" w:rsidRDefault="00FB4F09" w:rsidP="00FB4F09">
      <w:pPr>
        <w:pStyle w:val="notapietablafigura"/>
      </w:pPr>
    </w:p>
    <w:p w14:paraId="652F4EA8" w14:textId="77777777" w:rsidR="00FB4F09" w:rsidRPr="00937C8B" w:rsidRDefault="00FB4F09" w:rsidP="009467D5">
      <w:pPr>
        <w:pStyle w:val="CteTtulo3"/>
      </w:pPr>
      <w:bookmarkStart w:id="162" w:name="Sección_HE3_Cuantificacion_Potencia"/>
      <w:bookmarkStart w:id="163" w:name="_Toc530395273"/>
      <w:bookmarkStart w:id="164" w:name="_Toc39157944"/>
      <w:bookmarkEnd w:id="162"/>
      <w:r>
        <w:t>3.2</w:t>
      </w:r>
      <w:r>
        <w:tab/>
        <w:t>Puissance installée</w:t>
      </w:r>
      <w:bookmarkEnd w:id="163"/>
      <w:bookmarkEnd w:id="164"/>
    </w:p>
    <w:p w14:paraId="62E97E49" w14:textId="4373D00A" w:rsidR="00FB4F09" w:rsidRPr="00937C8B" w:rsidRDefault="00FB4F09" w:rsidP="00D27646">
      <w:pPr>
        <w:pStyle w:val="CTENormal"/>
        <w:keepNext/>
        <w:ind w:left="340" w:hanging="340"/>
        <w:jc w:val="both"/>
      </w:pPr>
      <w:r>
        <w:t>1</w:t>
      </w:r>
      <w:r>
        <w:tab/>
        <w:t xml:space="preserve">La puissance totale des </w:t>
      </w:r>
      <w:r>
        <w:rPr>
          <w:i/>
          <w:iCs/>
        </w:rPr>
        <w:t>lampes</w:t>
      </w:r>
      <w:r>
        <w:t xml:space="preserve"> et des </w:t>
      </w:r>
      <w:r>
        <w:rPr>
          <w:i/>
          <w:iCs/>
        </w:rPr>
        <w:t>équipements auxiliaires</w:t>
      </w:r>
      <w:r>
        <w:t xml:space="preserve"> par surface éclairée (P</w:t>
      </w:r>
      <w:r>
        <w:rPr>
          <w:vertAlign w:val="subscript"/>
        </w:rPr>
        <w:t>TOT</w:t>
      </w:r>
      <w:r w:rsidR="00EA7588">
        <w:t>/</w:t>
      </w:r>
      <w:r>
        <w:t>S</w:t>
      </w:r>
      <w:r>
        <w:rPr>
          <w:vertAlign w:val="subscript"/>
        </w:rPr>
        <w:t>TOT</w:t>
      </w:r>
      <w:r>
        <w:t>) ne dépassera pas la valeur maximale établie dans le tableau 3.2-HE3</w:t>
      </w:r>
    </w:p>
    <w:p w14:paraId="329EAF01" w14:textId="77777777" w:rsidR="00FB4F09" w:rsidRPr="00937C8B" w:rsidRDefault="00FB4F09" w:rsidP="00D27646">
      <w:pPr>
        <w:pStyle w:val="CTEtabla-Titulo"/>
      </w:pPr>
      <w:r>
        <w:t>Tableau 3.2 - HE3 Puissance maximale par surface éclairée (P</w:t>
      </w:r>
      <w:r>
        <w:rPr>
          <w:vertAlign w:val="subscript"/>
        </w:rPr>
        <w:t>TOT,lim</w:t>
      </w:r>
      <w:r>
        <w:t>/S</w:t>
      </w:r>
      <w:r>
        <w:rPr>
          <w:vertAlign w:val="subscript"/>
        </w:rPr>
        <w:t>TOT</w:t>
      </w:r>
      <w:r>
        <w:t>)</w:t>
      </w:r>
    </w:p>
    <w:tbl>
      <w:tblPr>
        <w:tblW w:w="6658" w:type="dxa"/>
        <w:jc w:val="center"/>
        <w:tblBorders>
          <w:insideH w:val="single" w:sz="4" w:space="0" w:color="000000"/>
          <w:insideV w:val="single" w:sz="4" w:space="0" w:color="000000"/>
        </w:tblBorders>
        <w:tblCellMar>
          <w:top w:w="108" w:type="dxa"/>
          <w:left w:w="103" w:type="dxa"/>
          <w:bottom w:w="108" w:type="dxa"/>
        </w:tblCellMar>
        <w:tblLook w:val="04A0" w:firstRow="1" w:lastRow="0" w:firstColumn="1" w:lastColumn="0" w:noHBand="0" w:noVBand="1"/>
      </w:tblPr>
      <w:tblGrid>
        <w:gridCol w:w="1412"/>
        <w:gridCol w:w="2552"/>
        <w:gridCol w:w="2694"/>
      </w:tblGrid>
      <w:tr w:rsidR="00FB4F09" w:rsidRPr="00937C8B" w14:paraId="52140EE9" w14:textId="77777777" w:rsidTr="00935676">
        <w:trPr>
          <w:jc w:val="center"/>
        </w:trPr>
        <w:tc>
          <w:tcPr>
            <w:tcW w:w="1412" w:type="dxa"/>
            <w:tcBorders>
              <w:bottom w:val="single" w:sz="4" w:space="0" w:color="000000"/>
            </w:tcBorders>
            <w:shd w:val="clear" w:color="auto" w:fill="FFFFFF"/>
            <w:vAlign w:val="center"/>
          </w:tcPr>
          <w:p w14:paraId="0CAC9634" w14:textId="77777777" w:rsidR="00FB4F09" w:rsidRPr="00937C8B" w:rsidRDefault="00FB4F09" w:rsidP="00D27646">
            <w:pPr>
              <w:pStyle w:val="CTEtabla-texto"/>
              <w:keepNext/>
              <w:rPr>
                <w:rFonts w:cs="Arial"/>
                <w:b/>
                <w:bCs/>
              </w:rPr>
            </w:pPr>
            <w:r>
              <w:rPr>
                <w:b/>
                <w:bCs/>
              </w:rPr>
              <w:t>Usage</w:t>
            </w:r>
          </w:p>
        </w:tc>
        <w:tc>
          <w:tcPr>
            <w:tcW w:w="2552" w:type="dxa"/>
            <w:tcBorders>
              <w:top w:val="nil"/>
              <w:bottom w:val="single" w:sz="4" w:space="0" w:color="000000"/>
              <w:right w:val="nil"/>
            </w:tcBorders>
            <w:shd w:val="clear" w:color="auto" w:fill="FFFFFF"/>
            <w:tcMar>
              <w:top w:w="0" w:type="dxa"/>
              <w:left w:w="0" w:type="dxa"/>
              <w:bottom w:w="0" w:type="dxa"/>
              <w:right w:w="10" w:type="dxa"/>
            </w:tcMar>
            <w:vAlign w:val="center"/>
          </w:tcPr>
          <w:p w14:paraId="540AFE63" w14:textId="77777777" w:rsidR="00FB4F09" w:rsidRPr="00937C8B" w:rsidRDefault="00FB4F09" w:rsidP="00D27646">
            <w:pPr>
              <w:pStyle w:val="CTEtabla-texto"/>
              <w:keepNext/>
              <w:rPr>
                <w:rFonts w:cs="Arial"/>
                <w:b/>
                <w:bCs/>
              </w:rPr>
            </w:pPr>
            <w:r>
              <w:rPr>
                <w:b/>
                <w:bCs/>
              </w:rPr>
              <w:t>E</w:t>
            </w:r>
          </w:p>
          <w:p w14:paraId="44CE1054" w14:textId="77777777" w:rsidR="00FB4F09" w:rsidRPr="00937C8B" w:rsidRDefault="00FB4F09" w:rsidP="00D27646">
            <w:pPr>
              <w:pStyle w:val="CTEtabla-texto"/>
              <w:keepNext/>
              <w:rPr>
                <w:rFonts w:cs="Arial"/>
                <w:b/>
                <w:bCs/>
              </w:rPr>
            </w:pPr>
            <w:r>
              <w:rPr>
                <w:rStyle w:val="CteAnejo-DefinicionCar"/>
              </w:rPr>
              <w:t xml:space="preserve">Éclairement moyen sur le plan horizontal </w:t>
            </w:r>
            <w:r>
              <w:rPr>
                <w:rStyle w:val="CteAnejo-DefinicionCar"/>
                <w:i w:val="0"/>
              </w:rPr>
              <w:t>(lux)</w:t>
            </w:r>
          </w:p>
        </w:tc>
        <w:tc>
          <w:tcPr>
            <w:tcW w:w="2694" w:type="dxa"/>
            <w:tcBorders>
              <w:top w:val="nil"/>
              <w:left w:val="nil"/>
              <w:bottom w:val="single" w:sz="4" w:space="0" w:color="000000"/>
            </w:tcBorders>
            <w:shd w:val="clear" w:color="auto" w:fill="FFFFFF"/>
            <w:vAlign w:val="center"/>
          </w:tcPr>
          <w:p w14:paraId="305543BA" w14:textId="77777777" w:rsidR="00FB4F09" w:rsidRPr="00937C8B" w:rsidRDefault="00FB4F09" w:rsidP="00D27646">
            <w:pPr>
              <w:pStyle w:val="CTEtabla-texto"/>
              <w:keepNext/>
              <w:rPr>
                <w:rFonts w:cs="Arial"/>
                <w:b/>
                <w:bCs/>
              </w:rPr>
            </w:pPr>
            <w:r>
              <w:rPr>
                <w:b/>
                <w:bCs/>
              </w:rPr>
              <w:t>Puissance maximale à installer (W/m</w:t>
            </w:r>
            <w:r>
              <w:rPr>
                <w:b/>
                <w:bCs/>
                <w:vertAlign w:val="superscript"/>
              </w:rPr>
              <w:t>2</w:t>
            </w:r>
            <w:r>
              <w:rPr>
                <w:b/>
                <w:bCs/>
              </w:rPr>
              <w:t>)</w:t>
            </w:r>
          </w:p>
        </w:tc>
      </w:tr>
      <w:tr w:rsidR="00FB4F09" w:rsidRPr="00937C8B" w14:paraId="4A5F200A" w14:textId="77777777" w:rsidTr="00935676">
        <w:trPr>
          <w:jc w:val="center"/>
        </w:trPr>
        <w:tc>
          <w:tcPr>
            <w:tcW w:w="1412" w:type="dxa"/>
            <w:tcBorders>
              <w:top w:val="single" w:sz="4" w:space="0" w:color="000000"/>
              <w:bottom w:val="nil"/>
              <w:right w:val="single" w:sz="4" w:space="0" w:color="000000"/>
            </w:tcBorders>
            <w:shd w:val="clear" w:color="auto" w:fill="FFFFFF"/>
            <w:vAlign w:val="center"/>
          </w:tcPr>
          <w:p w14:paraId="668CE067" w14:textId="77777777" w:rsidR="00FB4F09" w:rsidRPr="00937C8B" w:rsidRDefault="00FB4F09" w:rsidP="003E38D0">
            <w:pPr>
              <w:pStyle w:val="CTEtabla-texto"/>
              <w:jc w:val="left"/>
              <w:rPr>
                <w:rFonts w:cs="Arial"/>
              </w:rPr>
            </w:pPr>
            <w:r>
              <w:t>Parking</w:t>
            </w:r>
          </w:p>
        </w:tc>
        <w:tc>
          <w:tcPr>
            <w:tcW w:w="2552" w:type="dxa"/>
            <w:tcBorders>
              <w:top w:val="single" w:sz="4" w:space="0" w:color="000000"/>
              <w:left w:val="single" w:sz="4" w:space="0" w:color="000000"/>
              <w:bottom w:val="single" w:sz="4" w:space="0" w:color="auto"/>
              <w:right w:val="nil"/>
            </w:tcBorders>
            <w:shd w:val="clear" w:color="auto" w:fill="FFFFFF"/>
            <w:tcMar>
              <w:top w:w="0" w:type="dxa"/>
              <w:left w:w="0" w:type="dxa"/>
              <w:bottom w:w="0" w:type="dxa"/>
              <w:right w:w="10" w:type="dxa"/>
            </w:tcMar>
            <w:vAlign w:val="center"/>
          </w:tcPr>
          <w:p w14:paraId="4589AE81" w14:textId="77777777" w:rsidR="00FB4F09" w:rsidRPr="00937C8B" w:rsidRDefault="00FB4F09" w:rsidP="003E38D0">
            <w:pPr>
              <w:pStyle w:val="CTEtabla-texto"/>
              <w:rPr>
                <w:rFonts w:cs="Arial"/>
                <w:strike/>
              </w:rPr>
            </w:pPr>
          </w:p>
        </w:tc>
        <w:tc>
          <w:tcPr>
            <w:tcW w:w="2694" w:type="dxa"/>
            <w:tcBorders>
              <w:top w:val="single" w:sz="4" w:space="0" w:color="000000"/>
              <w:left w:val="nil"/>
              <w:bottom w:val="single" w:sz="4" w:space="0" w:color="auto"/>
            </w:tcBorders>
            <w:shd w:val="clear" w:color="auto" w:fill="FFFFFF"/>
            <w:vAlign w:val="center"/>
          </w:tcPr>
          <w:p w14:paraId="4DF85198" w14:textId="77777777" w:rsidR="00FB4F09" w:rsidRPr="00937C8B" w:rsidRDefault="00FB4F09" w:rsidP="003E38D0">
            <w:pPr>
              <w:pStyle w:val="CTEtabla-texto"/>
              <w:rPr>
                <w:rFonts w:cs="Arial"/>
              </w:rPr>
            </w:pPr>
            <w:r>
              <w:t>5</w:t>
            </w:r>
          </w:p>
        </w:tc>
      </w:tr>
      <w:tr w:rsidR="00FB4F09" w:rsidRPr="00937C8B" w14:paraId="7EC0BA80" w14:textId="77777777" w:rsidTr="00935676">
        <w:trPr>
          <w:jc w:val="center"/>
        </w:trPr>
        <w:tc>
          <w:tcPr>
            <w:tcW w:w="1412" w:type="dxa"/>
            <w:vMerge w:val="restart"/>
            <w:tcBorders>
              <w:top w:val="single" w:sz="4" w:space="0" w:color="auto"/>
              <w:bottom w:val="nil"/>
              <w:right w:val="single" w:sz="4" w:space="0" w:color="000000"/>
            </w:tcBorders>
            <w:shd w:val="clear" w:color="auto" w:fill="FFFFFF"/>
            <w:vAlign w:val="center"/>
          </w:tcPr>
          <w:p w14:paraId="3E5D0815" w14:textId="77777777" w:rsidR="00FB4F09" w:rsidRPr="00937C8B" w:rsidRDefault="00FB4F09" w:rsidP="003E38D0">
            <w:pPr>
              <w:pStyle w:val="CTEtabla-texto"/>
              <w:jc w:val="left"/>
              <w:rPr>
                <w:rFonts w:cs="Arial"/>
              </w:rPr>
            </w:pPr>
            <w:r>
              <w:t>Autres usages</w:t>
            </w:r>
          </w:p>
        </w:tc>
        <w:tc>
          <w:tcPr>
            <w:tcW w:w="2552" w:type="dxa"/>
            <w:tcBorders>
              <w:top w:val="single" w:sz="4" w:space="0" w:color="auto"/>
              <w:left w:val="single" w:sz="4" w:space="0" w:color="000000"/>
              <w:bottom w:val="nil"/>
              <w:right w:val="nil"/>
            </w:tcBorders>
            <w:shd w:val="clear" w:color="auto" w:fill="FFFFFF"/>
            <w:tcMar>
              <w:top w:w="0" w:type="dxa"/>
              <w:left w:w="0" w:type="dxa"/>
              <w:bottom w:w="0" w:type="dxa"/>
              <w:right w:w="10" w:type="dxa"/>
            </w:tcMar>
            <w:vAlign w:val="center"/>
          </w:tcPr>
          <w:p w14:paraId="120BEF6A" w14:textId="77777777" w:rsidR="00FB4F09" w:rsidRPr="00937C8B" w:rsidRDefault="00FB4F09" w:rsidP="003E38D0">
            <w:pPr>
              <w:pStyle w:val="CTEtabla-texto"/>
              <w:rPr>
                <w:rFonts w:cs="Arial"/>
              </w:rPr>
            </w:pPr>
            <w:r>
              <w:t xml:space="preserve">≤ 600 </w:t>
            </w:r>
          </w:p>
        </w:tc>
        <w:tc>
          <w:tcPr>
            <w:tcW w:w="2694" w:type="dxa"/>
            <w:tcBorders>
              <w:top w:val="single" w:sz="4" w:space="0" w:color="auto"/>
              <w:left w:val="nil"/>
              <w:bottom w:val="nil"/>
            </w:tcBorders>
            <w:shd w:val="clear" w:color="auto" w:fill="FFFFFF"/>
            <w:vAlign w:val="center"/>
          </w:tcPr>
          <w:p w14:paraId="6EEC6A8E" w14:textId="77777777" w:rsidR="00FB4F09" w:rsidRPr="00937C8B" w:rsidRDefault="00FB4F09" w:rsidP="003E38D0">
            <w:pPr>
              <w:pStyle w:val="CTEtabla-texto"/>
              <w:rPr>
                <w:rFonts w:cs="Arial"/>
              </w:rPr>
            </w:pPr>
            <w:r>
              <w:t>10</w:t>
            </w:r>
          </w:p>
        </w:tc>
      </w:tr>
      <w:tr w:rsidR="00FB4F09" w:rsidRPr="00937C8B" w14:paraId="64906D6E" w14:textId="77777777" w:rsidTr="00935676">
        <w:trPr>
          <w:jc w:val="center"/>
        </w:trPr>
        <w:tc>
          <w:tcPr>
            <w:tcW w:w="1412" w:type="dxa"/>
            <w:vMerge/>
            <w:tcBorders>
              <w:top w:val="single" w:sz="4" w:space="0" w:color="auto"/>
              <w:bottom w:val="nil"/>
              <w:right w:val="single" w:sz="4" w:space="0" w:color="000000"/>
            </w:tcBorders>
            <w:shd w:val="clear" w:color="auto" w:fill="FFFFFF"/>
            <w:vAlign w:val="center"/>
          </w:tcPr>
          <w:p w14:paraId="42BFB683" w14:textId="77777777" w:rsidR="00FB4F09" w:rsidRPr="00937C8B" w:rsidRDefault="00FB4F09" w:rsidP="003E38D0">
            <w:pPr>
              <w:pStyle w:val="CTEtabla-texto"/>
              <w:jc w:val="left"/>
              <w:rPr>
                <w:rFonts w:cs="Arial"/>
              </w:rPr>
            </w:pPr>
          </w:p>
        </w:tc>
        <w:tc>
          <w:tcPr>
            <w:tcW w:w="2552" w:type="dxa"/>
            <w:tcBorders>
              <w:top w:val="nil"/>
              <w:left w:val="single" w:sz="4" w:space="0" w:color="000000"/>
              <w:bottom w:val="nil"/>
              <w:right w:val="nil"/>
            </w:tcBorders>
            <w:shd w:val="clear" w:color="auto" w:fill="FFFFFF"/>
            <w:tcMar>
              <w:top w:w="0" w:type="dxa"/>
              <w:left w:w="0" w:type="dxa"/>
              <w:bottom w:w="0" w:type="dxa"/>
              <w:right w:w="10" w:type="dxa"/>
            </w:tcMar>
            <w:vAlign w:val="center"/>
          </w:tcPr>
          <w:p w14:paraId="4FC99CBA" w14:textId="77777777" w:rsidR="00FB4F09" w:rsidRPr="00937C8B" w:rsidRDefault="00FB4F09" w:rsidP="003E38D0">
            <w:pPr>
              <w:pStyle w:val="CTEtabla-texto"/>
              <w:rPr>
                <w:rFonts w:cs="Arial"/>
              </w:rPr>
            </w:pPr>
            <w:r>
              <w:t xml:space="preserve">&gt; 600 </w:t>
            </w:r>
          </w:p>
        </w:tc>
        <w:tc>
          <w:tcPr>
            <w:tcW w:w="2694" w:type="dxa"/>
            <w:tcBorders>
              <w:top w:val="nil"/>
              <w:left w:val="nil"/>
              <w:bottom w:val="nil"/>
            </w:tcBorders>
            <w:shd w:val="clear" w:color="auto" w:fill="FFFFFF"/>
            <w:vAlign w:val="center"/>
          </w:tcPr>
          <w:p w14:paraId="048E5CF2" w14:textId="77777777" w:rsidR="00FB4F09" w:rsidRPr="00937C8B" w:rsidRDefault="00FB4F09" w:rsidP="003E38D0">
            <w:pPr>
              <w:pStyle w:val="CTEtabla-texto"/>
              <w:rPr>
                <w:rFonts w:cs="Arial"/>
              </w:rPr>
            </w:pPr>
            <w:r>
              <w:t>25</w:t>
            </w:r>
          </w:p>
        </w:tc>
      </w:tr>
    </w:tbl>
    <w:p w14:paraId="13C2F3AC" w14:textId="77777777" w:rsidR="00FB4F09" w:rsidRPr="00937C8B" w:rsidRDefault="00FB4F09" w:rsidP="009467D5">
      <w:pPr>
        <w:pStyle w:val="CteTtulo3"/>
      </w:pPr>
      <w:bookmarkStart w:id="165" w:name="_Toc530395274"/>
      <w:bookmarkStart w:id="166" w:name="_Toc530396153"/>
      <w:bookmarkStart w:id="167" w:name="_Toc39157945"/>
      <w:r>
        <w:t>3.3 Systèmes de contrôle et de réglage</w:t>
      </w:r>
      <w:bookmarkEnd w:id="165"/>
      <w:bookmarkEnd w:id="166"/>
      <w:bookmarkEnd w:id="167"/>
    </w:p>
    <w:p w14:paraId="390AD7BD" w14:textId="447230F8" w:rsidR="00FB4F09" w:rsidRPr="00937C8B" w:rsidRDefault="00FB4F09" w:rsidP="00D27646">
      <w:pPr>
        <w:pStyle w:val="CTENumeracion"/>
        <w:keepNext/>
        <w:rPr>
          <w:rFonts w:cs="Arial"/>
          <w:sz w:val="22"/>
          <w:szCs w:val="22"/>
        </w:rPr>
      </w:pPr>
      <w:r>
        <w:rPr>
          <w:sz w:val="22"/>
          <w:szCs w:val="22"/>
        </w:rPr>
        <w:t>1</w:t>
      </w:r>
      <w:r>
        <w:rPr>
          <w:sz w:val="22"/>
          <w:szCs w:val="22"/>
        </w:rPr>
        <w:tab/>
        <w:t>Les installations d’éclairage de chaque zone doivent disposer d</w:t>
      </w:r>
      <w:r w:rsidR="00EA7588">
        <w:rPr>
          <w:sz w:val="22"/>
          <w:szCs w:val="22"/>
        </w:rPr>
        <w:t>’</w:t>
      </w:r>
      <w:r>
        <w:rPr>
          <w:sz w:val="22"/>
          <w:szCs w:val="22"/>
        </w:rPr>
        <w:t>un système de contrôle et de réglage comprenant:</w:t>
      </w:r>
    </w:p>
    <w:p w14:paraId="700347B9" w14:textId="7AD5D573" w:rsidR="00FB4F09" w:rsidRPr="00937C8B" w:rsidRDefault="00FB4F09" w:rsidP="00FB4F09">
      <w:pPr>
        <w:pStyle w:val="CTENumeracion"/>
        <w:ind w:left="426" w:firstLine="0"/>
        <w:rPr>
          <w:rFonts w:cs="Arial"/>
          <w:sz w:val="22"/>
          <w:szCs w:val="22"/>
        </w:rPr>
      </w:pPr>
      <w:r>
        <w:rPr>
          <w:sz w:val="22"/>
          <w:szCs w:val="22"/>
        </w:rPr>
        <w:t>a) un système d’allumage et d’extinction manuel externe au tableau électrique</w:t>
      </w:r>
      <w:r w:rsidR="00880E3A">
        <w:rPr>
          <w:sz w:val="22"/>
          <w:szCs w:val="22"/>
        </w:rPr>
        <w:t>;</w:t>
      </w:r>
      <w:r>
        <w:rPr>
          <w:sz w:val="22"/>
          <w:szCs w:val="22"/>
        </w:rPr>
        <w:t xml:space="preserve"> et</w:t>
      </w:r>
    </w:p>
    <w:p w14:paraId="48E36AC9" w14:textId="438C4D81" w:rsidR="00FB4F09" w:rsidRPr="00937C8B" w:rsidRDefault="00FB4F09" w:rsidP="00FB4F09">
      <w:pPr>
        <w:pStyle w:val="CTENumeracion"/>
        <w:ind w:left="426" w:firstLine="0"/>
        <w:rPr>
          <w:rFonts w:cs="Arial"/>
          <w:sz w:val="22"/>
          <w:szCs w:val="22"/>
        </w:rPr>
      </w:pPr>
      <w:r>
        <w:rPr>
          <w:sz w:val="22"/>
          <w:szCs w:val="22"/>
        </w:rPr>
        <w:t>b) un système d</w:t>
      </w:r>
      <w:r w:rsidR="00EA7588">
        <w:rPr>
          <w:sz w:val="22"/>
          <w:szCs w:val="22"/>
        </w:rPr>
        <w:t>’</w:t>
      </w:r>
      <w:r>
        <w:rPr>
          <w:sz w:val="22"/>
          <w:szCs w:val="22"/>
        </w:rPr>
        <w:t>allumage horaire centralisé dans chaque tableau électrique.</w:t>
      </w:r>
    </w:p>
    <w:p w14:paraId="57846E1F" w14:textId="4F8560DA" w:rsidR="00FB4F09" w:rsidRPr="00937C8B" w:rsidRDefault="00FB4F09" w:rsidP="00D27646">
      <w:pPr>
        <w:pStyle w:val="CTENumeracion"/>
        <w:keepNext/>
        <w:spacing w:before="240"/>
        <w:rPr>
          <w:rFonts w:cs="Arial"/>
          <w:sz w:val="22"/>
          <w:szCs w:val="22"/>
        </w:rPr>
      </w:pPr>
      <w:r>
        <w:rPr>
          <w:sz w:val="22"/>
          <w:szCs w:val="22"/>
        </w:rPr>
        <w:t>2</w:t>
      </w:r>
      <w:r>
        <w:rPr>
          <w:sz w:val="22"/>
          <w:szCs w:val="22"/>
        </w:rPr>
        <w:tab/>
        <w:t>Dans les zones à usage occasionnel (toilettes, couloirs, escaliers, zones de transit, garages, etc.) le système présenté au paragraphe b) peut être remplacé par l</w:t>
      </w:r>
      <w:r w:rsidR="00EA7588">
        <w:rPr>
          <w:sz w:val="22"/>
          <w:szCs w:val="22"/>
        </w:rPr>
        <w:t>’</w:t>
      </w:r>
      <w:r>
        <w:rPr>
          <w:sz w:val="22"/>
          <w:szCs w:val="22"/>
        </w:rPr>
        <w:t>une des deux options suivantes:</w:t>
      </w:r>
    </w:p>
    <w:p w14:paraId="0E817195" w14:textId="1D41EF14" w:rsidR="00FB4F09" w:rsidRPr="00937C8B" w:rsidRDefault="00FB4F09" w:rsidP="00425ADA">
      <w:pPr>
        <w:pStyle w:val="CTENumeracion"/>
        <w:numPr>
          <w:ilvl w:val="0"/>
          <w:numId w:val="11"/>
        </w:numPr>
        <w:ind w:left="851" w:hanging="142"/>
        <w:rPr>
          <w:rFonts w:cs="Arial"/>
          <w:sz w:val="22"/>
          <w:szCs w:val="22"/>
        </w:rPr>
      </w:pPr>
      <w:r>
        <w:rPr>
          <w:sz w:val="22"/>
          <w:szCs w:val="22"/>
        </w:rPr>
        <w:t>un contrôle d’allumage et d’extinction via un système minuté de détection de présence</w:t>
      </w:r>
      <w:r w:rsidR="00880E3A">
        <w:rPr>
          <w:sz w:val="22"/>
          <w:szCs w:val="22"/>
        </w:rPr>
        <w:t>;</w:t>
      </w:r>
      <w:r>
        <w:rPr>
          <w:sz w:val="22"/>
          <w:szCs w:val="22"/>
        </w:rPr>
        <w:t xml:space="preserve"> ou</w:t>
      </w:r>
    </w:p>
    <w:p w14:paraId="16EF1E33" w14:textId="77777777" w:rsidR="00FB4F09" w:rsidRPr="00937C8B" w:rsidRDefault="00FB4F09" w:rsidP="00425ADA">
      <w:pPr>
        <w:pStyle w:val="CTENumeracion"/>
        <w:numPr>
          <w:ilvl w:val="0"/>
          <w:numId w:val="11"/>
        </w:numPr>
        <w:ind w:left="851" w:hanging="142"/>
        <w:rPr>
          <w:rFonts w:cs="Arial"/>
          <w:sz w:val="22"/>
          <w:szCs w:val="22"/>
        </w:rPr>
      </w:pPr>
      <w:r>
        <w:rPr>
          <w:sz w:val="22"/>
          <w:szCs w:val="22"/>
        </w:rPr>
        <w:t>via un système minuté à pulsation.</w:t>
      </w:r>
    </w:p>
    <w:p w14:paraId="6E663F6D" w14:textId="77777777" w:rsidR="00FB4F09" w:rsidRPr="00937C8B" w:rsidRDefault="00FB4F09" w:rsidP="009467D5">
      <w:pPr>
        <w:pStyle w:val="CteTtulo3"/>
      </w:pPr>
      <w:bookmarkStart w:id="168" w:name="Sección_HE3_Cuantificacion_SistemasLuzNa"/>
      <w:bookmarkStart w:id="169" w:name="_Toc530395275"/>
      <w:bookmarkStart w:id="170" w:name="_Toc39157946"/>
      <w:bookmarkEnd w:id="168"/>
      <w:r>
        <w:lastRenderedPageBreak/>
        <w:t>3.4</w:t>
      </w:r>
      <w:r>
        <w:tab/>
        <w:t>Systèmes d’exploitation de la lumière naturelle</w:t>
      </w:r>
      <w:bookmarkEnd w:id="169"/>
      <w:bookmarkEnd w:id="170"/>
    </w:p>
    <w:p w14:paraId="639C1B93" w14:textId="046CC73E" w:rsidR="00FB4F09" w:rsidRPr="00937C8B" w:rsidRDefault="00FB4F09" w:rsidP="00D27646">
      <w:pPr>
        <w:pStyle w:val="CTENumeracion"/>
        <w:keepNext/>
        <w:rPr>
          <w:rFonts w:cs="Arial"/>
        </w:rPr>
      </w:pPr>
      <w:r>
        <w:t>1</w:t>
      </w:r>
      <w:r>
        <w:tab/>
        <w:t xml:space="preserve">Il convient d’installer des </w:t>
      </w:r>
      <w:r>
        <w:rPr>
          <w:i/>
          <w:iCs/>
        </w:rPr>
        <w:t>systèmes d</w:t>
      </w:r>
      <w:r w:rsidR="00EA7588">
        <w:rPr>
          <w:i/>
          <w:iCs/>
        </w:rPr>
        <w:t>’</w:t>
      </w:r>
      <w:r>
        <w:rPr>
          <w:i/>
          <w:iCs/>
        </w:rPr>
        <w:t>exploitation de la lumière naturelle</w:t>
      </w:r>
      <w:r>
        <w:t>, qui réguleront, automatiquement et proportionnellement à l</w:t>
      </w:r>
      <w:r w:rsidR="00EA7588">
        <w:t>’</w:t>
      </w:r>
      <w:r>
        <w:t>apport de lumière naturelle, le niveau d</w:t>
      </w:r>
      <w:r w:rsidR="00EA7588">
        <w:t>’</w:t>
      </w:r>
      <w:r>
        <w:t xml:space="preserve">éclairage des </w:t>
      </w:r>
      <w:r>
        <w:rPr>
          <w:i/>
          <w:iCs/>
        </w:rPr>
        <w:t>luminaires</w:t>
      </w:r>
      <w:r>
        <w:t xml:space="preserve"> situés à moins de 5 mètres d</w:t>
      </w:r>
      <w:r w:rsidR="00EA7588">
        <w:t>’</w:t>
      </w:r>
      <w:r>
        <w:t>une fenêtre ou sous une lucarne, lorsque T (A</w:t>
      </w:r>
      <w:r>
        <w:rPr>
          <w:vertAlign w:val="subscript"/>
        </w:rPr>
        <w:t>w</w:t>
      </w:r>
      <w:r>
        <w:t>/A) &gt; 0,11 avec l</w:t>
      </w:r>
      <w:r w:rsidR="00EA7588">
        <w:t>’</w:t>
      </w:r>
      <w:r>
        <w:t>une des conditions suivantes:</w:t>
      </w:r>
    </w:p>
    <w:p w14:paraId="76DAD4A7" w14:textId="794D5CEF" w:rsidR="00FB4F09" w:rsidRPr="00937C8B" w:rsidRDefault="00FB4F09" w:rsidP="00D27646">
      <w:pPr>
        <w:pStyle w:val="CTENumeracion"/>
        <w:keepNext/>
        <w:spacing w:before="240"/>
        <w:ind w:left="709" w:hanging="283"/>
        <w:rPr>
          <w:rFonts w:cs="Arial"/>
          <w:b/>
          <w:bCs/>
          <w:sz w:val="18"/>
          <w:szCs w:val="18"/>
        </w:rPr>
      </w:pPr>
      <w:r>
        <w:t>a)</w:t>
      </w:r>
      <w:r>
        <w:tab/>
        <w:t>zones avec des cloisons vitrées extérieures où l</w:t>
      </w:r>
      <w:r w:rsidR="00EA7588">
        <w:t>’</w:t>
      </w:r>
      <w:r>
        <w:t>angle θ est supérieur à 65 degrés (θ &gt; 65º):</w:t>
      </w:r>
    </w:p>
    <w:p w14:paraId="441D0D58" w14:textId="77777777" w:rsidR="00FB4F09" w:rsidRPr="00937C8B" w:rsidRDefault="00FB4F09" w:rsidP="00D27646">
      <w:pPr>
        <w:pStyle w:val="Standard"/>
        <w:keepNext/>
        <w:jc w:val="both"/>
        <w:rPr>
          <w:b/>
          <w:bCs/>
          <w:sz w:val="18"/>
          <w:szCs w:val="18"/>
        </w:rPr>
      </w:pPr>
    </w:p>
    <w:p w14:paraId="2995BA6B" w14:textId="77777777" w:rsidR="00FB4F09" w:rsidRPr="00937C8B" w:rsidRDefault="00A03C86" w:rsidP="00FB4F09">
      <w:pPr>
        <w:pStyle w:val="Standard"/>
        <w:jc w:val="center"/>
        <w:rPr>
          <w:sz w:val="16"/>
          <w:szCs w:val="16"/>
        </w:rPr>
      </w:pPr>
      <w:r>
        <w:rPr>
          <w:noProof/>
        </w:rPr>
        <w:drawing>
          <wp:anchor distT="0" distB="5715" distL="114300" distR="114935" simplePos="0" relativeHeight="251658752" behindDoc="0" locked="0" layoutInCell="1" allowOverlap="1" wp14:anchorId="768BB2E8" wp14:editId="685B5DC6">
            <wp:simplePos x="0" y="0"/>
            <wp:positionH relativeFrom="column">
              <wp:align>center</wp:align>
            </wp:positionH>
            <wp:positionV relativeFrom="paragraph">
              <wp:posOffset>635</wp:posOffset>
            </wp:positionV>
            <wp:extent cx="3599815" cy="1670685"/>
            <wp:effectExtent l="0" t="0" r="635" b="5715"/>
            <wp:wrapTopAndBottom/>
            <wp:docPr id="3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99815" cy="1670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D5F5A" w14:textId="77777777" w:rsidR="00FB4F09" w:rsidRPr="00937C8B" w:rsidRDefault="00FB4F09" w:rsidP="00FB4F09">
      <w:pPr>
        <w:pStyle w:val="CTEfigura-pie"/>
        <w:spacing w:before="0" w:after="240"/>
      </w:pPr>
      <w:r>
        <w:rPr>
          <w:shd w:val="clear" w:color="auto" w:fill="FFFFFF"/>
        </w:rPr>
        <w:t>Figure 3.4.a-HE3</w:t>
      </w:r>
    </w:p>
    <w:p w14:paraId="31E000A6" w14:textId="360D8C63" w:rsidR="00FB4F09" w:rsidRPr="00937C8B" w:rsidRDefault="00FB4F09" w:rsidP="00D27646">
      <w:pPr>
        <w:pStyle w:val="CTENumeracion"/>
        <w:keepNext/>
        <w:spacing w:before="240"/>
        <w:ind w:left="709" w:hanging="283"/>
        <w:rPr>
          <w:rFonts w:cs="Arial"/>
        </w:rPr>
      </w:pPr>
      <w:r>
        <w:t>b)</w:t>
      </w:r>
      <w:r>
        <w:tab/>
        <w:t>zones avec des cloisons vitrées donnant sur des patios ou des atriums non couverts d</w:t>
      </w:r>
      <w:r w:rsidR="00EA7588">
        <w:t>’</w:t>
      </w:r>
      <w:r>
        <w:t>une largeur supérieure à deux fois la distance entre le sol de l’étage de la zone à l</w:t>
      </w:r>
      <w:r w:rsidR="00EA7588">
        <w:t>’</w:t>
      </w:r>
      <w:r>
        <w:t>étude et le toit du bâtiment: ai&gt; 2 hi</w:t>
      </w:r>
    </w:p>
    <w:p w14:paraId="7985AB01" w14:textId="77777777" w:rsidR="00FB4F09" w:rsidRPr="00937C8B" w:rsidRDefault="00FB4F09" w:rsidP="00D27646">
      <w:pPr>
        <w:pStyle w:val="CTENumeracion"/>
        <w:keepNext/>
        <w:rPr>
          <w:rFonts w:cs="Arial"/>
        </w:rPr>
      </w:pPr>
    </w:p>
    <w:p w14:paraId="17FE493D" w14:textId="77777777" w:rsidR="00FB4F09" w:rsidRPr="00937C8B" w:rsidRDefault="00A03C86" w:rsidP="00FB4F09">
      <w:pPr>
        <w:pStyle w:val="CTEfigura-pie"/>
      </w:pPr>
      <w:r>
        <w:rPr>
          <w:noProof/>
        </w:rPr>
        <w:drawing>
          <wp:anchor distT="0" distB="0" distL="114300" distR="114935" simplePos="0" relativeHeight="251657728" behindDoc="0" locked="0" layoutInCell="1" allowOverlap="1" wp14:anchorId="14295990" wp14:editId="115D9A9E">
            <wp:simplePos x="0" y="0"/>
            <wp:positionH relativeFrom="column">
              <wp:posOffset>1054100</wp:posOffset>
            </wp:positionH>
            <wp:positionV relativeFrom="paragraph">
              <wp:posOffset>-24130</wp:posOffset>
            </wp:positionV>
            <wp:extent cx="3599815" cy="1703070"/>
            <wp:effectExtent l="0" t="0" r="635" b="0"/>
            <wp:wrapTopAndBottom/>
            <wp:docPr id="32" name="Image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99815" cy="1703070"/>
                    </a:xfrm>
                    <a:prstGeom prst="rect">
                      <a:avLst/>
                    </a:prstGeom>
                    <a:noFill/>
                    <a:ln>
                      <a:noFill/>
                    </a:ln>
                  </pic:spPr>
                </pic:pic>
              </a:graphicData>
            </a:graphic>
            <wp14:sizeRelH relativeFrom="page">
              <wp14:pctWidth>0</wp14:pctWidth>
            </wp14:sizeRelH>
            <wp14:sizeRelV relativeFrom="page">
              <wp14:pctHeight>0</wp14:pctHeight>
            </wp14:sizeRelV>
          </wp:anchor>
        </w:drawing>
      </w:r>
      <w:r>
        <w:rPr>
          <w:shd w:val="clear" w:color="auto" w:fill="FFFFFF"/>
        </w:rPr>
        <w:t>Figure 3.4.b-HE3</w:t>
      </w:r>
    </w:p>
    <w:p w14:paraId="114C7704" w14:textId="358B49D5" w:rsidR="00FB4F09" w:rsidRDefault="00FB4F09" w:rsidP="00D27646">
      <w:pPr>
        <w:pStyle w:val="CTENumeracion"/>
        <w:keepNext/>
        <w:spacing w:before="240"/>
        <w:ind w:left="709" w:hanging="283"/>
        <w:rPr>
          <w:rFonts w:cs="Arial"/>
        </w:rPr>
      </w:pPr>
      <w:r>
        <w:t>c)</w:t>
      </w:r>
      <w:r>
        <w:tab/>
        <w:t>zones avec des cloisons vitrées donnant sur des patios ou des atriums recouverts de vitrage, où la largeur de l</w:t>
      </w:r>
      <w:r w:rsidR="00EA7588">
        <w:t>’</w:t>
      </w:r>
      <w:r>
        <w:t>atrium dans cette zone est supérieure à 2/T</w:t>
      </w:r>
      <w:r>
        <w:rPr>
          <w:vertAlign w:val="subscript"/>
        </w:rPr>
        <w:t>c</w:t>
      </w:r>
      <w:r>
        <w:t xml:space="preserve"> fois la distance H</w:t>
      </w:r>
      <w:r>
        <w:rPr>
          <w:vertAlign w:val="subscript"/>
        </w:rPr>
        <w:t>i</w:t>
      </w:r>
      <w:r>
        <w:t xml:space="preserve"> (a</w:t>
      </w:r>
      <w:r>
        <w:rPr>
          <w:sz w:val="13"/>
          <w:szCs w:val="13"/>
          <w:vertAlign w:val="subscript"/>
        </w:rPr>
        <w:t>i</w:t>
      </w:r>
      <w:r>
        <w:t xml:space="preserve"> &gt; 2·h</w:t>
      </w:r>
      <w:r>
        <w:rPr>
          <w:vertAlign w:val="subscript"/>
        </w:rPr>
        <w:t>i</w:t>
      </w:r>
      <w:r w:rsidR="00EA7588">
        <w:rPr>
          <w:vertAlign w:val="subscript"/>
        </w:rPr>
        <w:t>/</w:t>
      </w:r>
      <w:r>
        <w:t>T</w:t>
      </w:r>
      <w:r>
        <w:rPr>
          <w:vertAlign w:val="subscript"/>
        </w:rPr>
        <w:t>c</w:t>
      </w:r>
      <w:r>
        <w:t xml:space="preserve">): </w:t>
      </w:r>
    </w:p>
    <w:p w14:paraId="3D7E7D5D" w14:textId="77777777" w:rsidR="00D27646" w:rsidRPr="00937C8B" w:rsidRDefault="00D27646" w:rsidP="00D27646">
      <w:pPr>
        <w:pStyle w:val="CTENumeracion"/>
        <w:keepNext/>
        <w:spacing w:before="240"/>
        <w:ind w:left="709" w:hanging="283"/>
        <w:rPr>
          <w:rFonts w:cs="Arial"/>
        </w:rPr>
      </w:pPr>
    </w:p>
    <w:p w14:paraId="389C395E" w14:textId="77777777" w:rsidR="00FB4F09" w:rsidRPr="00937C8B" w:rsidRDefault="00A03C86" w:rsidP="00FB4F09">
      <w:pPr>
        <w:pStyle w:val="CTENumeracion"/>
        <w:jc w:val="center"/>
        <w:rPr>
          <w:rFonts w:cs="Arial"/>
          <w:sz w:val="16"/>
          <w:szCs w:val="16"/>
        </w:rPr>
      </w:pPr>
      <w:r>
        <w:rPr>
          <w:noProof/>
        </w:rPr>
        <w:drawing>
          <wp:anchor distT="0" distB="2540" distL="114300" distR="114935" simplePos="0" relativeHeight="251656704" behindDoc="0" locked="0" layoutInCell="1" allowOverlap="1" wp14:anchorId="4F0166CE" wp14:editId="03D1CAA6">
            <wp:simplePos x="0" y="0"/>
            <wp:positionH relativeFrom="column">
              <wp:align>center</wp:align>
            </wp:positionH>
            <wp:positionV relativeFrom="paragraph">
              <wp:posOffset>635</wp:posOffset>
            </wp:positionV>
            <wp:extent cx="3599815" cy="1540510"/>
            <wp:effectExtent l="0" t="0" r="635" b="2540"/>
            <wp:wrapTopAndBottom/>
            <wp:docPr id="31"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99815" cy="1540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1AA28" w14:textId="77777777" w:rsidR="00FB4F09" w:rsidRPr="00937C8B" w:rsidRDefault="00FB4F09" w:rsidP="00FB4F09">
      <w:pPr>
        <w:pStyle w:val="CTEfigura-pie"/>
        <w:spacing w:before="0" w:after="240"/>
      </w:pPr>
      <w:r>
        <w:t>Figure 3.4.c-HE3</w:t>
      </w:r>
    </w:p>
    <w:p w14:paraId="43F9A6A9" w14:textId="77777777" w:rsidR="00FB4F09" w:rsidRPr="00937C8B" w:rsidRDefault="00FB4F09" w:rsidP="00D27646">
      <w:pPr>
        <w:pStyle w:val="CTENumeracion"/>
        <w:keepNext/>
        <w:ind w:left="426" w:firstLine="0"/>
        <w:rPr>
          <w:rFonts w:cs="Arial"/>
        </w:rPr>
      </w:pPr>
      <w:r>
        <w:lastRenderedPageBreak/>
        <w:t>où :</w:t>
      </w:r>
    </w:p>
    <w:p w14:paraId="5B7B6AF9" w14:textId="77777777" w:rsidR="00FB4F09" w:rsidRPr="00937C8B" w:rsidRDefault="00FB4F09" w:rsidP="00FB4F09">
      <w:pPr>
        <w:pStyle w:val="NumeracinCTE"/>
        <w:tabs>
          <w:tab w:val="left" w:pos="1134"/>
        </w:tabs>
        <w:ind w:left="1134" w:hanging="397"/>
        <w:jc w:val="both"/>
      </w:pPr>
      <w:r>
        <w:t>T</w:t>
      </w:r>
      <w:r>
        <w:tab/>
        <w:t xml:space="preserve">est le </w:t>
      </w:r>
      <w:r>
        <w:rPr>
          <w:i/>
        </w:rPr>
        <w:t>coefficient de transmission lumineuse de la vitre</w:t>
      </w:r>
      <w:r>
        <w:t xml:space="preserve"> de la fenêtre du local en unité;</w:t>
      </w:r>
    </w:p>
    <w:p w14:paraId="28C3BA89" w14:textId="77777777" w:rsidR="00FB4F09" w:rsidRPr="00937C8B" w:rsidRDefault="00FB4F09" w:rsidP="00FB4F09">
      <w:pPr>
        <w:pStyle w:val="NumeracinCTE"/>
        <w:tabs>
          <w:tab w:val="left" w:pos="1134"/>
        </w:tabs>
        <w:ind w:left="1134" w:hanging="397"/>
        <w:jc w:val="both"/>
      </w:pPr>
      <w:r>
        <w:t>A</w:t>
      </w:r>
      <w:r>
        <w:rPr>
          <w:sz w:val="13"/>
          <w:szCs w:val="13"/>
        </w:rPr>
        <w:t>w</w:t>
      </w:r>
      <w:r>
        <w:tab/>
        <w:t>est la surface vitrée de la fenêtre de la zone [m²];</w:t>
      </w:r>
    </w:p>
    <w:p w14:paraId="77D7D8B5" w14:textId="0C5D2A6C" w:rsidR="00FB4F09" w:rsidRPr="00937C8B" w:rsidRDefault="00FB4F09" w:rsidP="00FB4F09">
      <w:pPr>
        <w:pStyle w:val="CTENumeracion"/>
        <w:ind w:left="1134"/>
        <w:rPr>
          <w:rFonts w:cs="Arial"/>
          <w:szCs w:val="20"/>
        </w:rPr>
      </w:pPr>
      <w:r>
        <w:t>A</w:t>
      </w:r>
      <w:r>
        <w:tab/>
        <w:t>est l’aire totale des façades de la zone, avec des fenêtres donnant sur l</w:t>
      </w:r>
      <w:r w:rsidR="00EA7588">
        <w:t>’</w:t>
      </w:r>
      <w:r>
        <w:t>extérieur, sur un patio intérieur ou sur un atrium [m²], pour les zones avec des cloisons vitrées vers l</w:t>
      </w:r>
      <w:r w:rsidR="00EA7588">
        <w:t>’</w:t>
      </w:r>
      <w:r>
        <w:t>extérieur, ou l’aire totale des surfaces intérieures du local (sol + toit + murs + fenêtres) [m²], pour les zones avec des cloisons vitrées donnant sur des patios ou des atriums;</w:t>
      </w:r>
    </w:p>
    <w:p w14:paraId="2EA187C6" w14:textId="11CA46C0" w:rsidR="00FB4F09" w:rsidRPr="00937C8B" w:rsidRDefault="00FB4F09" w:rsidP="00FB4F09">
      <w:pPr>
        <w:pStyle w:val="CTENumeracion"/>
        <w:ind w:left="1134"/>
        <w:rPr>
          <w:rFonts w:cs="Arial"/>
        </w:rPr>
      </w:pPr>
      <w:r>
        <w:t>θ</w:t>
      </w:r>
      <w:r>
        <w:tab/>
        <w:t>est l</w:t>
      </w:r>
      <w:r w:rsidR="00EA7588">
        <w:t>’</w:t>
      </w:r>
      <w:r>
        <w:t>angle entre le milieu du vitrage et la hauteur maximale du bâtiment obstructeur [degrés sexagésimaux];</w:t>
      </w:r>
    </w:p>
    <w:p w14:paraId="05E27FB0" w14:textId="27763AEF" w:rsidR="00FB4F09" w:rsidRPr="00937C8B" w:rsidRDefault="00FB4F09" w:rsidP="00FB4F09">
      <w:pPr>
        <w:pStyle w:val="CTENumeracion"/>
        <w:ind w:left="1134"/>
        <w:rPr>
          <w:rFonts w:cs="Arial"/>
        </w:rPr>
      </w:pPr>
      <w:r>
        <w:t>a</w:t>
      </w:r>
      <w:r>
        <w:rPr>
          <w:vertAlign w:val="subscript"/>
        </w:rPr>
        <w:t>i</w:t>
      </w:r>
      <w:r>
        <w:tab/>
        <w:t>est la largeur du patio ou de l</w:t>
      </w:r>
      <w:r w:rsidR="00EA7588">
        <w:t>’</w:t>
      </w:r>
      <w:r>
        <w:t>atrium au niveau de la zone [m];</w:t>
      </w:r>
    </w:p>
    <w:p w14:paraId="5D4944B9" w14:textId="3F651B0D" w:rsidR="00FB4F09" w:rsidRPr="00937C8B" w:rsidRDefault="00FB4F09" w:rsidP="00FB4F09">
      <w:pPr>
        <w:pStyle w:val="CTENumeracion"/>
        <w:ind w:left="1134"/>
        <w:rPr>
          <w:rFonts w:cs="Arial"/>
        </w:rPr>
      </w:pPr>
      <w:r>
        <w:t>h</w:t>
      </w:r>
      <w:r>
        <w:rPr>
          <w:vertAlign w:val="subscript"/>
        </w:rPr>
        <w:t>i</w:t>
      </w:r>
      <w:r>
        <w:tab/>
        <w:t>est la distance entre le sol de la zone d</w:t>
      </w:r>
      <w:r w:rsidR="00EA7588">
        <w:t>’</w:t>
      </w:r>
      <w:r>
        <w:t>étude et la toiture du bâtiment [m];</w:t>
      </w:r>
    </w:p>
    <w:p w14:paraId="5EDE597A" w14:textId="77777777" w:rsidR="00FB4F09" w:rsidRPr="00937C8B" w:rsidRDefault="00FB4F09" w:rsidP="00FB4F09">
      <w:pPr>
        <w:pStyle w:val="NumeracinCTE"/>
        <w:spacing w:before="60"/>
        <w:ind w:left="1134" w:hanging="397"/>
        <w:jc w:val="both"/>
      </w:pPr>
      <w:r>
        <w:t>T</w:t>
      </w:r>
      <w:r>
        <w:rPr>
          <w:vertAlign w:val="subscript"/>
        </w:rPr>
        <w:t>c</w:t>
      </w:r>
      <w:r>
        <w:tab/>
        <w:t xml:space="preserve">est le </w:t>
      </w:r>
      <w:r>
        <w:rPr>
          <w:i/>
          <w:iCs/>
        </w:rPr>
        <w:t xml:space="preserve">coefficient de transmission lumineuse de la vitre </w:t>
      </w:r>
      <w:r>
        <w:t>de la cloison du patio, exprimé en%.</w:t>
      </w:r>
    </w:p>
    <w:p w14:paraId="131B8938" w14:textId="0BA56039" w:rsidR="00FB4F09" w:rsidRPr="00937C8B" w:rsidRDefault="00FB4F09" w:rsidP="00FB4F09">
      <w:pPr>
        <w:pStyle w:val="CTENumeracion"/>
        <w:spacing w:before="240"/>
        <w:rPr>
          <w:rFonts w:cs="Arial"/>
        </w:rPr>
      </w:pPr>
      <w:r>
        <w:t>2</w:t>
      </w:r>
      <w:r>
        <w:tab/>
        <w:t>Les</w:t>
      </w:r>
      <w:r>
        <w:rPr>
          <w:i/>
          <w:iCs/>
        </w:rPr>
        <w:t xml:space="preserve"> zones communes</w:t>
      </w:r>
      <w:r>
        <w:t xml:space="preserve"> dans les bâtiments résidentiels, les chambres d</w:t>
      </w:r>
      <w:r w:rsidR="00EA7588">
        <w:t>’</w:t>
      </w:r>
      <w:r>
        <w:t>hôpital, les chambres d</w:t>
      </w:r>
      <w:r w:rsidR="00EA7588">
        <w:t>’</w:t>
      </w:r>
      <w:r>
        <w:t>hôtel, les pensions, etc., ainsi que les magasins et les petits commerces sont exemptés de l</w:t>
      </w:r>
      <w:r w:rsidR="00EA7588">
        <w:t>’</w:t>
      </w:r>
      <w:r>
        <w:t>obligation d</w:t>
      </w:r>
      <w:r w:rsidR="00EA7588">
        <w:t>’</w:t>
      </w:r>
      <w:r>
        <w:t>incorporer des systèmes d’exploitation de la lumière naturelle.</w:t>
      </w:r>
    </w:p>
    <w:p w14:paraId="226BF267" w14:textId="77777777" w:rsidR="00FB4F09" w:rsidRPr="00937C8B" w:rsidRDefault="00FB4F09" w:rsidP="00FB4F09">
      <w:pPr>
        <w:pStyle w:val="CTENumeracion"/>
        <w:rPr>
          <w:rFonts w:cs="Arial"/>
        </w:rPr>
      </w:pPr>
    </w:p>
    <w:p w14:paraId="223F10B8" w14:textId="7516C9FC" w:rsidR="00FB4F09" w:rsidRPr="00937C8B" w:rsidRDefault="00FB4F09" w:rsidP="00FB4F09">
      <w:pPr>
        <w:pStyle w:val="CteTtulo2"/>
        <w:spacing w:before="60" w:after="60"/>
        <w:ind w:left="397" w:hanging="397"/>
        <w:rPr>
          <w:rFonts w:cs="Arial"/>
        </w:rPr>
      </w:pPr>
      <w:bookmarkStart w:id="171" w:name="_Toc530395276"/>
      <w:bookmarkStart w:id="172" w:name="_Toc530396155"/>
      <w:bookmarkStart w:id="173" w:name="_Toc39157947"/>
      <w:bookmarkStart w:id="174" w:name="_Toc39158127"/>
      <w:r>
        <w:t>4</w:t>
      </w:r>
      <w:r>
        <w:tab/>
        <w:t>Justification de l</w:t>
      </w:r>
      <w:r w:rsidR="00EA7588">
        <w:t>’</w:t>
      </w:r>
      <w:r>
        <w:t>exigence</w:t>
      </w:r>
      <w:bookmarkEnd w:id="171"/>
      <w:bookmarkEnd w:id="172"/>
      <w:bookmarkEnd w:id="173"/>
      <w:bookmarkEnd w:id="174"/>
    </w:p>
    <w:p w14:paraId="68711844" w14:textId="3DDAFF3D" w:rsidR="00FB4F09" w:rsidRPr="00937C8B" w:rsidRDefault="00FB4F09" w:rsidP="00D27646">
      <w:pPr>
        <w:pStyle w:val="CTENormal"/>
        <w:keepNext/>
        <w:ind w:left="426" w:hanging="426"/>
        <w:jc w:val="both"/>
      </w:pPr>
      <w:r>
        <w:t>1</w:t>
      </w:r>
      <w:r>
        <w:tab/>
        <w:t>Pour justifier le respect par un bâtiment des exigences de ce DB, les documents de projet comprendront les informations suivantes sur le bâtiment ou la partie du bâtiment faisant l</w:t>
      </w:r>
      <w:r w:rsidR="00EA7588">
        <w:t>’</w:t>
      </w:r>
      <w:r>
        <w:t>objet de l’évaluation:</w:t>
      </w:r>
    </w:p>
    <w:p w14:paraId="55BCD619" w14:textId="35B131A6" w:rsidR="00FB4F09" w:rsidRPr="00937C8B" w:rsidRDefault="00FB4F09" w:rsidP="00FB4F09">
      <w:pPr>
        <w:pStyle w:val="CTENumeracion"/>
        <w:ind w:left="702" w:hanging="345"/>
        <w:rPr>
          <w:rFonts w:cs="Arial"/>
        </w:rPr>
      </w:pPr>
      <w:r>
        <w:t>a)</w:t>
      </w:r>
      <w:r>
        <w:tab/>
        <w:t>les valeurs, pour les installations d</w:t>
      </w:r>
      <w:r w:rsidR="00EA7588">
        <w:t>’</w:t>
      </w:r>
      <w:r>
        <w:t xml:space="preserve">éclairage, de la </w:t>
      </w:r>
      <w:r>
        <w:rPr>
          <w:i/>
          <w:iCs/>
        </w:rPr>
        <w:t>puissance totale installée des ensembles lampe et équipement auxiliaire</w:t>
      </w:r>
      <w:r>
        <w:t xml:space="preserve"> (P</w:t>
      </w:r>
      <w:r>
        <w:rPr>
          <w:vertAlign w:val="subscript"/>
        </w:rPr>
        <w:t>TOT</w:t>
      </w:r>
      <w:r>
        <w:t>), la surface totale éclairée (S</w:t>
      </w:r>
      <w:r>
        <w:rPr>
          <w:vertAlign w:val="subscript"/>
        </w:rPr>
        <w:t>TOT</w:t>
      </w:r>
      <w:r>
        <w:t>) et la puissance totale installée par unité de surface éclairée (P</w:t>
      </w:r>
      <w:r>
        <w:rPr>
          <w:vertAlign w:val="subscript"/>
        </w:rPr>
        <w:t>TOT</w:t>
      </w:r>
      <w:r>
        <w:t>/S</w:t>
      </w:r>
      <w:r>
        <w:rPr>
          <w:vertAlign w:val="subscript"/>
        </w:rPr>
        <w:t>TOT</w:t>
      </w:r>
      <w:r>
        <w:t>), ainsi que les valeurs limites applicables;</w:t>
      </w:r>
    </w:p>
    <w:p w14:paraId="486E5E6A" w14:textId="30C30A0E" w:rsidR="00FB4F09" w:rsidRPr="00937C8B" w:rsidRDefault="00FB4F09" w:rsidP="00FB4F09">
      <w:pPr>
        <w:pStyle w:val="CTENumeracion"/>
        <w:ind w:left="702" w:hanging="345"/>
        <w:rPr>
          <w:rFonts w:cs="Arial"/>
        </w:rPr>
      </w:pPr>
      <w:r>
        <w:t>b)</w:t>
      </w:r>
      <w:r>
        <w:tab/>
        <w:t xml:space="preserve">les valeurs, pour chaque zone éclairée, du </w:t>
      </w:r>
      <w:r>
        <w:rPr>
          <w:i/>
          <w:iCs/>
        </w:rPr>
        <w:t xml:space="preserve">facteur de maintenance </w:t>
      </w:r>
      <w:r>
        <w:t>(F</w:t>
      </w:r>
      <w:r>
        <w:rPr>
          <w:vertAlign w:val="subscript"/>
        </w:rPr>
        <w:t>m</w:t>
      </w:r>
      <w:r>
        <w:t>) attendu, de l</w:t>
      </w:r>
      <w:r w:rsidR="00EA7588">
        <w:t>’</w:t>
      </w:r>
      <w:r>
        <w:rPr>
          <w:i/>
          <w:iCs/>
        </w:rPr>
        <w:t>éclairement horizontal moyen à maintenir</w:t>
      </w:r>
      <w:r>
        <w:t xml:space="preserve"> (E</w:t>
      </w:r>
      <w:r>
        <w:rPr>
          <w:vertAlign w:val="subscript"/>
        </w:rPr>
        <w:t>m</w:t>
      </w:r>
      <w:r>
        <w:t>), du</w:t>
      </w:r>
      <w:r>
        <w:rPr>
          <w:i/>
          <w:iCs/>
        </w:rPr>
        <w:t xml:space="preserve"> taux d’éblouissement unifié</w:t>
      </w:r>
      <w:r>
        <w:t xml:space="preserve"> (UGR) atteint, des </w:t>
      </w:r>
      <w:r>
        <w:rPr>
          <w:i/>
          <w:iCs/>
        </w:rPr>
        <w:t>indices de rendu des couleurs</w:t>
      </w:r>
      <w:r>
        <w:t xml:space="preserve"> (Ra) des </w:t>
      </w:r>
      <w:r>
        <w:rPr>
          <w:i/>
          <w:iCs/>
        </w:rPr>
        <w:t>lampes</w:t>
      </w:r>
      <w:r>
        <w:t xml:space="preserve"> sélectionnées, la </w:t>
      </w:r>
      <w:r>
        <w:rPr>
          <w:i/>
          <w:iCs/>
        </w:rPr>
        <w:t>valeur d</w:t>
      </w:r>
      <w:r w:rsidR="00EA7588">
        <w:rPr>
          <w:i/>
          <w:iCs/>
        </w:rPr>
        <w:t>’</w:t>
      </w:r>
      <w:r>
        <w:rPr>
          <w:i/>
          <w:iCs/>
        </w:rPr>
        <w:t>efficacité énergétique de l</w:t>
      </w:r>
      <w:r w:rsidR="00EA7588">
        <w:rPr>
          <w:i/>
          <w:iCs/>
        </w:rPr>
        <w:t>’</w:t>
      </w:r>
      <w:r>
        <w:rPr>
          <w:i/>
          <w:iCs/>
        </w:rPr>
        <w:t>installation</w:t>
      </w:r>
      <w:r>
        <w:t xml:space="preserve"> (VEEI) résultant du calcul, les puissances des ensembles lampe et équipement auxiliaire (P), l</w:t>
      </w:r>
      <w:r w:rsidR="00EA7588">
        <w:t>’</w:t>
      </w:r>
      <w:r>
        <w:t xml:space="preserve">efficacité des </w:t>
      </w:r>
      <w:r>
        <w:rPr>
          <w:i/>
          <w:iCs/>
        </w:rPr>
        <w:t>lampes</w:t>
      </w:r>
      <w:r>
        <w:t xml:space="preserve"> utilisées (en termes de lum/W), ainsi que les valeurs limites applicables à chacun d</w:t>
      </w:r>
      <w:r w:rsidR="00EA7588">
        <w:t>’</w:t>
      </w:r>
      <w:r>
        <w:t>eux;</w:t>
      </w:r>
    </w:p>
    <w:p w14:paraId="4D28E079" w14:textId="77777777" w:rsidR="00FB4F09" w:rsidRPr="00937C8B" w:rsidRDefault="00FB4F09" w:rsidP="00FB4F09">
      <w:pPr>
        <w:pStyle w:val="CTENumeracion"/>
        <w:ind w:left="702" w:hanging="345"/>
        <w:rPr>
          <w:rFonts w:cs="Arial"/>
        </w:rPr>
      </w:pPr>
      <w:r>
        <w:t>c)</w:t>
      </w:r>
      <w:r>
        <w:tab/>
        <w:t xml:space="preserve">le </w:t>
      </w:r>
      <w:r>
        <w:rPr>
          <w:i/>
        </w:rPr>
        <w:t>système de contrôle et de réglage</w:t>
      </w:r>
      <w:r>
        <w:t xml:space="preserve"> correspondant à chaque zone éclairée.</w:t>
      </w:r>
    </w:p>
    <w:p w14:paraId="3438653D" w14:textId="77777777" w:rsidR="00FB4F09" w:rsidRPr="00937C8B" w:rsidRDefault="00FB4F09" w:rsidP="00FB4F09">
      <w:pPr>
        <w:pStyle w:val="CteTtulo2"/>
        <w:ind w:left="340" w:hanging="340"/>
        <w:rPr>
          <w:rFonts w:cs="Arial"/>
        </w:rPr>
      </w:pPr>
      <w:bookmarkStart w:id="175" w:name="_Toc530395277"/>
      <w:bookmarkStart w:id="176" w:name="_Toc39157948"/>
      <w:bookmarkStart w:id="177" w:name="_Toc39158128"/>
      <w:r>
        <w:t>5</w:t>
      </w:r>
      <w:r>
        <w:tab/>
        <w:t>Construction, maintenance et conservation</w:t>
      </w:r>
      <w:bookmarkEnd w:id="175"/>
      <w:bookmarkEnd w:id="176"/>
      <w:bookmarkEnd w:id="177"/>
    </w:p>
    <w:p w14:paraId="7290A27C" w14:textId="77777777" w:rsidR="00FB4F09" w:rsidRPr="00937C8B" w:rsidRDefault="00FB4F09" w:rsidP="009467D5">
      <w:pPr>
        <w:pStyle w:val="CteTtulo3"/>
      </w:pPr>
      <w:bookmarkStart w:id="178" w:name="_Toc530395278"/>
      <w:bookmarkStart w:id="179" w:name="_Toc530396157"/>
      <w:bookmarkStart w:id="180" w:name="_Toc39157949"/>
      <w:r>
        <w:t>5.1</w:t>
      </w:r>
      <w:r>
        <w:tab/>
        <w:t>Exécution</w:t>
      </w:r>
      <w:bookmarkEnd w:id="178"/>
      <w:bookmarkEnd w:id="179"/>
      <w:bookmarkEnd w:id="180"/>
    </w:p>
    <w:p w14:paraId="31B65A45" w14:textId="0E56A0E7" w:rsidR="00FB4F09" w:rsidRPr="00937C8B" w:rsidRDefault="00FB4F09" w:rsidP="00FB4F09">
      <w:pPr>
        <w:pStyle w:val="CTENumeracion"/>
        <w:rPr>
          <w:rFonts w:cs="Arial"/>
        </w:rPr>
      </w:pPr>
      <w:r>
        <w:t>1</w:t>
      </w:r>
      <w:r>
        <w:tab/>
        <w:t>Les travaux de construction du bâtiment doivent être exécutés conformément au projet et aux modifications autorisées par le responsable des travaux sous réserve de l</w:t>
      </w:r>
      <w:r w:rsidR="00EA7588">
        <w:t>’</w:t>
      </w:r>
      <w:r>
        <w:t>accord préalable du promoteur, à la législation en vigueur, aux normes relatives aux bonnes pratiques de construction et aux consignes du responsable des travaux et du directeur de l</w:t>
      </w:r>
      <w:r w:rsidR="00EA7588">
        <w:t>’</w:t>
      </w:r>
      <w:r>
        <w:t>exécution des travaux, en vertu des dispositions de l</w:t>
      </w:r>
      <w:r w:rsidR="00EA7588">
        <w:t>’</w:t>
      </w:r>
      <w:r>
        <w:t>article 7, partie I, du CTE.</w:t>
      </w:r>
    </w:p>
    <w:p w14:paraId="3BB1E035" w14:textId="35C7EAC2" w:rsidR="00FB4F09" w:rsidRPr="00937C8B" w:rsidRDefault="00FB4F09" w:rsidP="009467D5">
      <w:pPr>
        <w:pStyle w:val="CteTtulo3"/>
      </w:pPr>
      <w:bookmarkStart w:id="181" w:name="Sección_HE3_ControlEjecucion"/>
      <w:bookmarkStart w:id="182" w:name="_Toc530395279"/>
      <w:bookmarkStart w:id="183" w:name="_Toc39157950"/>
      <w:bookmarkEnd w:id="181"/>
      <w:r>
        <w:t>5.2</w:t>
      </w:r>
      <w:r>
        <w:tab/>
        <w:t>Contrôle de l</w:t>
      </w:r>
      <w:r w:rsidR="00EA7588">
        <w:t>’</w:t>
      </w:r>
      <w:r>
        <w:t>exécution de l</w:t>
      </w:r>
      <w:r w:rsidR="00EA7588">
        <w:t>’</w:t>
      </w:r>
      <w:r>
        <w:t>ouvrage</w:t>
      </w:r>
      <w:bookmarkEnd w:id="182"/>
      <w:bookmarkEnd w:id="183"/>
    </w:p>
    <w:p w14:paraId="31F3349C" w14:textId="6059297F" w:rsidR="00FB4F09" w:rsidRPr="00937C8B" w:rsidRDefault="00FB4F09" w:rsidP="00FB4F09">
      <w:pPr>
        <w:pStyle w:val="CTENumeracion"/>
        <w:spacing w:before="120"/>
        <w:rPr>
          <w:rFonts w:cs="Arial"/>
        </w:rPr>
      </w:pPr>
      <w:r>
        <w:t>1</w:t>
      </w:r>
      <w:r>
        <w:tab/>
        <w:t>L</w:t>
      </w:r>
      <w:r w:rsidR="00EA7588">
        <w:t>’</w:t>
      </w:r>
      <w:r>
        <w:t>exécution des travaux doit être contrôlée conformément aux spécifications du projet, de ses annexes, aux modifications autorisées par le responsable des travaux et aux consignes du directeur de l</w:t>
      </w:r>
      <w:r w:rsidR="00EA7588">
        <w:t>’</w:t>
      </w:r>
      <w:r>
        <w:t>exécution des travaux, en vertu des dispositions de l</w:t>
      </w:r>
      <w:r w:rsidR="00EA7588">
        <w:t>’</w:t>
      </w:r>
      <w:r>
        <w:t>article 7.3 de la partie I du CTE et d</w:t>
      </w:r>
      <w:r w:rsidR="00EA7588">
        <w:t>’</w:t>
      </w:r>
      <w:r>
        <w:t>autres normes en vigueur.</w:t>
      </w:r>
    </w:p>
    <w:p w14:paraId="5A3618F7" w14:textId="43A97D04" w:rsidR="00FB4F09" w:rsidRPr="00937C8B" w:rsidRDefault="00FB4F09" w:rsidP="00FB4F09">
      <w:pPr>
        <w:pStyle w:val="CTENumeracion"/>
        <w:spacing w:before="120"/>
        <w:rPr>
          <w:rFonts w:cs="Arial"/>
        </w:rPr>
      </w:pPr>
      <w:r>
        <w:t>2</w:t>
      </w:r>
      <w:r>
        <w:tab/>
        <w:t>La vérification doit porter sur l</w:t>
      </w:r>
      <w:r w:rsidR="00EA7588">
        <w:t>’</w:t>
      </w:r>
      <w:r>
        <w:t>exécution des travaux conformément aux contrôles et à leur fréquence définis dans le cahier des charges du projet.</w:t>
      </w:r>
    </w:p>
    <w:p w14:paraId="6868A2D4" w14:textId="7169266D" w:rsidR="00FB4F09" w:rsidRPr="00937C8B" w:rsidRDefault="00FB4F09" w:rsidP="00FB4F09">
      <w:pPr>
        <w:pStyle w:val="CTENumeracion"/>
        <w:spacing w:before="120"/>
        <w:rPr>
          <w:rFonts w:cs="Arial"/>
        </w:rPr>
      </w:pPr>
      <w:r>
        <w:t>3</w:t>
      </w:r>
      <w:r>
        <w:tab/>
        <w:t>Toute modification apportée dans le cadre de l</w:t>
      </w:r>
      <w:r w:rsidR="00EA7588">
        <w:t>’</w:t>
      </w:r>
      <w:r>
        <w:t>exécution des travaux doit être consignée dans la documentation relative aux travaux réalisés, indépendamment du respect des conditions minimales énoncées dans le présent document de base.</w:t>
      </w:r>
    </w:p>
    <w:p w14:paraId="113B9CD3" w14:textId="77777777" w:rsidR="00FB4F09" w:rsidRPr="00937C8B" w:rsidRDefault="00FB4F09" w:rsidP="00FB4F09">
      <w:pPr>
        <w:pStyle w:val="CTENumeracion"/>
        <w:spacing w:before="120"/>
        <w:rPr>
          <w:rFonts w:cs="Arial"/>
        </w:rPr>
      </w:pPr>
      <w:r>
        <w:t>4</w:t>
      </w:r>
      <w:r>
        <w:tab/>
        <w:t>La documentation se rapportant aux caractéristiques des produits, des équipements et des systèmes intégrés aux travaux doit être jointe au Livre du bâtiment.</w:t>
      </w:r>
    </w:p>
    <w:p w14:paraId="36FBFD28" w14:textId="53763F05" w:rsidR="00FB4F09" w:rsidRPr="00937C8B" w:rsidRDefault="00FB4F09" w:rsidP="009467D5">
      <w:pPr>
        <w:pStyle w:val="CteTtulo3"/>
      </w:pPr>
      <w:bookmarkStart w:id="184" w:name="_Toc530395280"/>
      <w:bookmarkStart w:id="185" w:name="_Toc530396159"/>
      <w:bookmarkStart w:id="186" w:name="_Toc39157951"/>
      <w:r>
        <w:lastRenderedPageBreak/>
        <w:t>5.3</w:t>
      </w:r>
      <w:r>
        <w:tab/>
        <w:t>Contrôle de l</w:t>
      </w:r>
      <w:r w:rsidR="00EA7588">
        <w:t>’</w:t>
      </w:r>
      <w:r>
        <w:t>ouvrage fini</w:t>
      </w:r>
      <w:bookmarkEnd w:id="184"/>
      <w:bookmarkEnd w:id="185"/>
      <w:bookmarkEnd w:id="186"/>
    </w:p>
    <w:p w14:paraId="7C2BAB57" w14:textId="4CBE2646" w:rsidR="00FB4F09" w:rsidRPr="00937C8B" w:rsidRDefault="00FB4F09" w:rsidP="00FB4F09">
      <w:pPr>
        <w:pStyle w:val="CTENumeracion"/>
        <w:spacing w:before="120"/>
        <w:rPr>
          <w:rFonts w:cs="Arial"/>
        </w:rPr>
      </w:pPr>
      <w:r>
        <w:t>1</w:t>
      </w:r>
      <w:r>
        <w:tab/>
        <w:t>Le contrôle de l</w:t>
      </w:r>
      <w:r w:rsidR="00EA7588">
        <w:t>’</w:t>
      </w:r>
      <w:r>
        <w:t>ouvrage fini doit satisfaire aux exigences de l</w:t>
      </w:r>
      <w:r w:rsidR="00EA7588">
        <w:t>’</w:t>
      </w:r>
      <w:r>
        <w:t>article 7.4 de la partie I du CTE.</w:t>
      </w:r>
    </w:p>
    <w:p w14:paraId="32591135" w14:textId="77777777" w:rsidR="00FB4F09" w:rsidRPr="00937C8B" w:rsidRDefault="00FB4F09" w:rsidP="00FB4F09">
      <w:pPr>
        <w:pStyle w:val="CTENumeracion"/>
        <w:spacing w:before="120"/>
        <w:rPr>
          <w:rFonts w:cs="Arial"/>
        </w:rPr>
      </w:pPr>
      <w:r>
        <w:t>2</w:t>
      </w:r>
      <w:r>
        <w:tab/>
        <w:t>Les essais finaux ne sont pas précisés dans cette section du document de base.</w:t>
      </w:r>
    </w:p>
    <w:p w14:paraId="1DF5E79C" w14:textId="77777777" w:rsidR="00FB4F09" w:rsidRPr="00937C8B" w:rsidRDefault="00FB4F09" w:rsidP="009467D5">
      <w:pPr>
        <w:pStyle w:val="CteTtulo3"/>
      </w:pPr>
      <w:bookmarkStart w:id="187" w:name="_Toc530395281"/>
      <w:bookmarkStart w:id="188" w:name="_Toc39157952"/>
      <w:r>
        <w:t>5.4</w:t>
      </w:r>
      <w:r>
        <w:tab/>
        <w:t>Maintenance et conservation du bâtiment</w:t>
      </w:r>
      <w:bookmarkEnd w:id="187"/>
      <w:bookmarkEnd w:id="188"/>
    </w:p>
    <w:p w14:paraId="7DC31ED7" w14:textId="65AAA730" w:rsidR="00FB4F09" w:rsidRPr="00937C8B" w:rsidRDefault="00FB4F09" w:rsidP="00FB4F09">
      <w:pPr>
        <w:pStyle w:val="CTENumeracion"/>
        <w:spacing w:before="120"/>
        <w:rPr>
          <w:rFonts w:cs="Arial"/>
        </w:rPr>
      </w:pPr>
      <w:r>
        <w:t>1</w:t>
      </w:r>
      <w:r>
        <w:tab/>
        <w:t>Le plan de maintenance inclus dans le livre du bâtiment présente la fréquence et la nature des opérations nécessaires à l</w:t>
      </w:r>
      <w:r w:rsidR="00EA7588">
        <w:t>’</w:t>
      </w:r>
      <w:r>
        <w:t>entretien, dans le temps, des paramètres de conception et des performances des installations d’éclairage.</w:t>
      </w:r>
    </w:p>
    <w:p w14:paraId="41830FC6" w14:textId="3DDAF39D" w:rsidR="00230F35" w:rsidRPr="00937C8B" w:rsidRDefault="00FB4F09" w:rsidP="00FB4F09">
      <w:pPr>
        <w:pStyle w:val="CTENumeracion"/>
        <w:spacing w:before="120"/>
        <w:rPr>
          <w:rFonts w:cs="Arial"/>
        </w:rPr>
      </w:pPr>
      <w:r>
        <w:t>2</w:t>
      </w:r>
      <w:r>
        <w:tab/>
        <w:t>Il convient d’y consigner également toutes les interventions effectuées, qu</w:t>
      </w:r>
      <w:r w:rsidR="00EA7588">
        <w:t>’</w:t>
      </w:r>
      <w:r>
        <w:t>il s</w:t>
      </w:r>
      <w:r w:rsidR="00EA7588">
        <w:t>’</w:t>
      </w:r>
      <w:r>
        <w:t>agisse de réparations, de rénovations ou de réhabilitations, tout au long de la vie utile du bâtiment.</w:t>
      </w:r>
    </w:p>
    <w:p w14:paraId="5C00E789" w14:textId="77777777" w:rsidR="00175E40" w:rsidRPr="00937C8B" w:rsidRDefault="00CA73D7" w:rsidP="0084739B">
      <w:pPr>
        <w:pStyle w:val="CTENumeracion"/>
        <w:pageBreakBefore/>
        <w:spacing w:before="120"/>
        <w:ind w:left="360" w:hanging="360"/>
        <w:rPr>
          <w:rFonts w:eastAsia="Arial" w:cs="Arial"/>
          <w:b/>
          <w:bCs/>
          <w:kern w:val="2"/>
          <w:sz w:val="32"/>
        </w:rPr>
      </w:pPr>
      <w:r>
        <w:rPr>
          <w:b/>
          <w:bCs/>
          <w:sz w:val="32"/>
        </w:rPr>
        <w:lastRenderedPageBreak/>
        <w:t>Chapitre HE 4</w:t>
      </w:r>
    </w:p>
    <w:p w14:paraId="29BF4CFC" w14:textId="77777777" w:rsidR="007A4FDC" w:rsidRPr="00937C8B" w:rsidRDefault="007A4FDC" w:rsidP="007A4FDC">
      <w:pPr>
        <w:pStyle w:val="CteTtuloSeccion"/>
        <w:rPr>
          <w:rFonts w:cs="Arial"/>
          <w:color w:val="auto"/>
        </w:rPr>
      </w:pPr>
      <w:bookmarkStart w:id="189" w:name="_Toc39157953"/>
      <w:bookmarkStart w:id="190" w:name="_Toc39158129"/>
      <w:r>
        <w:rPr>
          <w:color w:val="auto"/>
        </w:rPr>
        <w:t>Apport minimal d’énergie renouvelable afin de couvrir la demande en eau chaude sanitaire</w:t>
      </w:r>
      <w:bookmarkEnd w:id="189"/>
      <w:bookmarkEnd w:id="190"/>
    </w:p>
    <w:p w14:paraId="2AF92DB3" w14:textId="619606CE" w:rsidR="007A4FDC" w:rsidRPr="00937C8B" w:rsidRDefault="007A4FDC" w:rsidP="007A4FDC">
      <w:pPr>
        <w:pStyle w:val="CteTtulo2"/>
        <w:rPr>
          <w:rFonts w:cs="Arial"/>
        </w:rPr>
      </w:pPr>
      <w:bookmarkStart w:id="191" w:name="Sección_HE4_Ambito"/>
      <w:bookmarkStart w:id="192" w:name="_Toc530395283"/>
      <w:bookmarkStart w:id="193" w:name="_Toc39157954"/>
      <w:bookmarkStart w:id="194" w:name="_Toc39158130"/>
      <w:bookmarkEnd w:id="191"/>
      <w:r>
        <w:t>1</w:t>
      </w:r>
      <w:r>
        <w:tab/>
        <w:t>Champ d</w:t>
      </w:r>
      <w:r w:rsidR="00EA7588">
        <w:t>’</w:t>
      </w:r>
      <w:r>
        <w:t>application</w:t>
      </w:r>
      <w:bookmarkEnd w:id="192"/>
      <w:bookmarkEnd w:id="193"/>
      <w:bookmarkEnd w:id="194"/>
    </w:p>
    <w:p w14:paraId="345AF0D0" w14:textId="77777777" w:rsidR="007A4FDC" w:rsidRPr="00937C8B" w:rsidRDefault="007A4FDC" w:rsidP="007A4FDC">
      <w:pPr>
        <w:pStyle w:val="CTENumeracion"/>
        <w:rPr>
          <w:rFonts w:cs="Arial"/>
          <w:sz w:val="22"/>
          <w:szCs w:val="22"/>
        </w:rPr>
      </w:pPr>
      <w:r>
        <w:rPr>
          <w:sz w:val="22"/>
          <w:szCs w:val="22"/>
        </w:rPr>
        <w:t>1</w:t>
      </w:r>
      <w:r>
        <w:rPr>
          <w:sz w:val="22"/>
          <w:szCs w:val="22"/>
        </w:rPr>
        <w:tab/>
        <w:t>Les conditions établies dans le présent article s’appliquent:</w:t>
      </w:r>
    </w:p>
    <w:p w14:paraId="1FD52BAA" w14:textId="729E8223" w:rsidR="007A4FDC" w:rsidRPr="00937C8B" w:rsidRDefault="007A4FDC" w:rsidP="007A4FDC">
      <w:pPr>
        <w:pStyle w:val="CTENumeracion"/>
        <w:ind w:left="624" w:hanging="283"/>
        <w:rPr>
          <w:rFonts w:cs="Arial"/>
          <w:sz w:val="22"/>
          <w:szCs w:val="22"/>
        </w:rPr>
      </w:pPr>
      <w:r>
        <w:rPr>
          <w:sz w:val="22"/>
          <w:szCs w:val="22"/>
        </w:rPr>
        <w:t>a)</w:t>
      </w:r>
      <w:r>
        <w:rPr>
          <w:sz w:val="22"/>
          <w:szCs w:val="22"/>
        </w:rPr>
        <w:tab/>
        <w:t>aux bâtiments de construction neuve dont la demande d</w:t>
      </w:r>
      <w:r w:rsidR="00EA7588">
        <w:rPr>
          <w:sz w:val="22"/>
          <w:szCs w:val="22"/>
        </w:rPr>
        <w:t>’</w:t>
      </w:r>
      <w:r>
        <w:rPr>
          <w:sz w:val="22"/>
          <w:szCs w:val="22"/>
        </w:rPr>
        <w:t>eau chaude sanitaire (ECS) est supérieure à 100 L/j, calculée conformément à l</w:t>
      </w:r>
      <w:r w:rsidR="00EA7588">
        <w:rPr>
          <w:sz w:val="22"/>
          <w:szCs w:val="22"/>
        </w:rPr>
        <w:t>’</w:t>
      </w:r>
      <w:r>
        <w:rPr>
          <w:sz w:val="22"/>
          <w:szCs w:val="22"/>
        </w:rPr>
        <w:t>annexe F</w:t>
      </w:r>
      <w:r w:rsidR="00880E3A">
        <w:rPr>
          <w:sz w:val="22"/>
          <w:szCs w:val="22"/>
        </w:rPr>
        <w:t>;</w:t>
      </w:r>
    </w:p>
    <w:p w14:paraId="4FF8D2E7" w14:textId="6D235802" w:rsidR="007A4FDC" w:rsidRPr="00937C8B" w:rsidRDefault="007A4FDC" w:rsidP="007A4FDC">
      <w:pPr>
        <w:pStyle w:val="CTENumeracion"/>
        <w:ind w:left="624" w:hanging="283"/>
        <w:rPr>
          <w:rFonts w:cs="Arial"/>
          <w:sz w:val="22"/>
          <w:szCs w:val="22"/>
        </w:rPr>
      </w:pPr>
      <w:r>
        <w:rPr>
          <w:sz w:val="22"/>
          <w:szCs w:val="22"/>
        </w:rPr>
        <w:t>b)</w:t>
      </w:r>
      <w:r>
        <w:rPr>
          <w:sz w:val="22"/>
          <w:szCs w:val="22"/>
        </w:rPr>
        <w:tab/>
        <w:t>aux bâtiments existants dont la demande d</w:t>
      </w:r>
      <w:r w:rsidR="00EA7588">
        <w:rPr>
          <w:sz w:val="22"/>
          <w:szCs w:val="22"/>
        </w:rPr>
        <w:t>’</w:t>
      </w:r>
      <w:r>
        <w:rPr>
          <w:sz w:val="22"/>
          <w:szCs w:val="22"/>
        </w:rPr>
        <w:t>eau chaude sanitaire (ECS) est supérieure à 100 L/j, calculée conformément à l</w:t>
      </w:r>
      <w:r w:rsidR="00EA7588">
        <w:rPr>
          <w:sz w:val="22"/>
          <w:szCs w:val="22"/>
        </w:rPr>
        <w:t>’</w:t>
      </w:r>
      <w:r>
        <w:rPr>
          <w:sz w:val="22"/>
          <w:szCs w:val="22"/>
        </w:rPr>
        <w:t>annexe F, dans lesquels le bâtiment lui-même ou l</w:t>
      </w:r>
      <w:r w:rsidR="00EA7588">
        <w:rPr>
          <w:sz w:val="22"/>
          <w:szCs w:val="22"/>
        </w:rPr>
        <w:t>’</w:t>
      </w:r>
      <w:r>
        <w:rPr>
          <w:sz w:val="22"/>
          <w:szCs w:val="22"/>
        </w:rPr>
        <w:t>équipement de production thermique est complètement réformé, ou dont l’usage caractéristique est modifié</w:t>
      </w:r>
      <w:r w:rsidR="00880E3A">
        <w:rPr>
          <w:sz w:val="22"/>
          <w:szCs w:val="22"/>
        </w:rPr>
        <w:t>;</w:t>
      </w:r>
    </w:p>
    <w:p w14:paraId="17BFBFF6" w14:textId="22C7E0A8" w:rsidR="007A4FDC" w:rsidRPr="00937C8B" w:rsidRDefault="007A4FDC" w:rsidP="007A4FDC">
      <w:pPr>
        <w:pStyle w:val="CTENumeracion"/>
        <w:ind w:left="624" w:hanging="283"/>
        <w:rPr>
          <w:rFonts w:cs="Arial"/>
          <w:sz w:val="22"/>
          <w:szCs w:val="22"/>
        </w:rPr>
      </w:pPr>
      <w:r>
        <w:rPr>
          <w:sz w:val="22"/>
          <w:szCs w:val="22"/>
        </w:rPr>
        <w:t>b)</w:t>
      </w:r>
      <w:r>
        <w:rPr>
          <w:sz w:val="22"/>
          <w:szCs w:val="22"/>
        </w:rPr>
        <w:tab/>
        <w:t>aux extensions ou aux interventions n</w:t>
      </w:r>
      <w:r w:rsidR="00EA7588">
        <w:rPr>
          <w:sz w:val="22"/>
          <w:szCs w:val="22"/>
        </w:rPr>
        <w:t>’</w:t>
      </w:r>
      <w:r>
        <w:rPr>
          <w:sz w:val="22"/>
          <w:szCs w:val="22"/>
        </w:rPr>
        <w:t>entrant pas dans le cadre du point précédent et concernant des bâtiments existants dont la demande initiale d</w:t>
      </w:r>
      <w:r w:rsidR="00EA7588">
        <w:rPr>
          <w:sz w:val="22"/>
          <w:szCs w:val="22"/>
        </w:rPr>
        <w:t>’</w:t>
      </w:r>
      <w:r>
        <w:rPr>
          <w:sz w:val="22"/>
          <w:szCs w:val="22"/>
        </w:rPr>
        <w:t>ECS est supérieure à 5 000</w:t>
      </w:r>
      <w:r w:rsidR="00EA7588">
        <w:rPr>
          <w:sz w:val="22"/>
          <w:szCs w:val="22"/>
        </w:rPr>
        <w:t> </w:t>
      </w:r>
      <w:r>
        <w:rPr>
          <w:sz w:val="22"/>
          <w:szCs w:val="22"/>
        </w:rPr>
        <w:t>l/jour, qui impliquent une augmentation de plus de 50 % de la demande initiale;</w:t>
      </w:r>
    </w:p>
    <w:p w14:paraId="32340441" w14:textId="62CCFF6C" w:rsidR="007A4FDC" w:rsidRPr="00937C8B" w:rsidRDefault="007A4FDC" w:rsidP="007A4FDC">
      <w:pPr>
        <w:pStyle w:val="CTENumeracion"/>
        <w:ind w:left="624" w:hanging="283"/>
        <w:rPr>
          <w:rFonts w:cs="Arial"/>
          <w:sz w:val="22"/>
          <w:szCs w:val="22"/>
        </w:rPr>
      </w:pPr>
      <w:r>
        <w:rPr>
          <w:sz w:val="22"/>
          <w:szCs w:val="22"/>
        </w:rPr>
        <w:t>c)</w:t>
      </w:r>
      <w:r>
        <w:rPr>
          <w:sz w:val="22"/>
          <w:szCs w:val="22"/>
        </w:rPr>
        <w:tab/>
        <w:t>aux climatisations de piscines couvertes neuves, de piscines couvertes existantes dont l</w:t>
      </w:r>
      <w:r w:rsidR="00EA7588">
        <w:rPr>
          <w:sz w:val="22"/>
          <w:szCs w:val="22"/>
        </w:rPr>
        <w:t>’</w:t>
      </w:r>
      <w:r>
        <w:rPr>
          <w:sz w:val="22"/>
          <w:szCs w:val="22"/>
        </w:rPr>
        <w:t>installation thermique fait l</w:t>
      </w:r>
      <w:r w:rsidR="00EA7588">
        <w:rPr>
          <w:sz w:val="22"/>
          <w:szCs w:val="22"/>
        </w:rPr>
        <w:t>’</w:t>
      </w:r>
      <w:r>
        <w:rPr>
          <w:sz w:val="22"/>
          <w:szCs w:val="22"/>
        </w:rPr>
        <w:t>objet d</w:t>
      </w:r>
      <w:r w:rsidR="00EA7588">
        <w:rPr>
          <w:sz w:val="22"/>
          <w:szCs w:val="22"/>
        </w:rPr>
        <w:t>’</w:t>
      </w:r>
      <w:r>
        <w:rPr>
          <w:sz w:val="22"/>
          <w:szCs w:val="22"/>
        </w:rPr>
        <w:t>une rénovation ou de piscines non couvertes existantes qui vont devenir couvertes.</w:t>
      </w:r>
    </w:p>
    <w:p w14:paraId="1093FAD2" w14:textId="70292692" w:rsidR="007A4FDC" w:rsidRPr="00937C8B" w:rsidRDefault="007A4FDC" w:rsidP="007A4FDC">
      <w:pPr>
        <w:pStyle w:val="CteTtulo2"/>
        <w:spacing w:before="480"/>
        <w:rPr>
          <w:rFonts w:cs="Arial"/>
        </w:rPr>
      </w:pPr>
      <w:bookmarkStart w:id="195" w:name="_Toc530395284"/>
      <w:bookmarkStart w:id="196" w:name="_Toc530396163"/>
      <w:bookmarkStart w:id="197" w:name="_Toc39157955"/>
      <w:bookmarkStart w:id="198" w:name="_Toc39158131"/>
      <w:r>
        <w:t>2</w:t>
      </w:r>
      <w:r>
        <w:tab/>
        <w:t>Caractérisation de l</w:t>
      </w:r>
      <w:r w:rsidR="00EA7588">
        <w:t>’</w:t>
      </w:r>
      <w:r>
        <w:t>exigence</w:t>
      </w:r>
      <w:bookmarkEnd w:id="195"/>
      <w:bookmarkEnd w:id="196"/>
      <w:bookmarkEnd w:id="197"/>
      <w:bookmarkEnd w:id="198"/>
    </w:p>
    <w:p w14:paraId="180A0F87" w14:textId="6F792FC9" w:rsidR="007A4FDC" w:rsidRPr="00937C8B" w:rsidRDefault="007A4FDC" w:rsidP="007A4FDC">
      <w:pPr>
        <w:pStyle w:val="CTENumeracion"/>
        <w:rPr>
          <w:rFonts w:cs="Arial"/>
          <w:sz w:val="22"/>
          <w:szCs w:val="22"/>
        </w:rPr>
      </w:pPr>
      <w:r>
        <w:rPr>
          <w:sz w:val="22"/>
          <w:szCs w:val="22"/>
        </w:rPr>
        <w:t>1</w:t>
      </w:r>
      <w:r>
        <w:rPr>
          <w:sz w:val="22"/>
          <w:szCs w:val="22"/>
        </w:rPr>
        <w:tab/>
        <w:t>Les bâtiments satisferont aux besoins en eau chaude sanitaire et en climatisation de piscine couverte en utilisant largement des sources d’énergie renouvelables ou des processus de cogénération renouvelables; provenant du même bâtiment ou d</w:t>
      </w:r>
      <w:r w:rsidR="00EA7588">
        <w:rPr>
          <w:sz w:val="22"/>
          <w:szCs w:val="22"/>
        </w:rPr>
        <w:t>’</w:t>
      </w:r>
      <w:r>
        <w:rPr>
          <w:sz w:val="22"/>
          <w:szCs w:val="22"/>
        </w:rPr>
        <w:t xml:space="preserve">un raccordement à un </w:t>
      </w:r>
      <w:r>
        <w:rPr>
          <w:i/>
          <w:iCs/>
          <w:sz w:val="22"/>
          <w:szCs w:val="22"/>
        </w:rPr>
        <w:t>système de chauffage urbain</w:t>
      </w:r>
      <w:r>
        <w:rPr>
          <w:sz w:val="22"/>
          <w:szCs w:val="22"/>
        </w:rPr>
        <w:t>.</w:t>
      </w:r>
    </w:p>
    <w:p w14:paraId="55025B39" w14:textId="6CE820D5" w:rsidR="007A4FDC" w:rsidRPr="00937C8B" w:rsidRDefault="007A4FDC" w:rsidP="007A4FDC">
      <w:pPr>
        <w:pStyle w:val="CteTtulo2"/>
        <w:spacing w:before="480"/>
        <w:rPr>
          <w:rFonts w:cs="Arial"/>
        </w:rPr>
      </w:pPr>
      <w:bookmarkStart w:id="199" w:name="_Toc530395285"/>
      <w:bookmarkStart w:id="200" w:name="_Toc39157956"/>
      <w:bookmarkStart w:id="201" w:name="_Toc39158132"/>
      <w:r>
        <w:t>3</w:t>
      </w:r>
      <w:r>
        <w:tab/>
        <w:t>Quantification de l</w:t>
      </w:r>
      <w:r w:rsidR="00EA7588">
        <w:t>’</w:t>
      </w:r>
      <w:r>
        <w:t>exigence</w:t>
      </w:r>
      <w:bookmarkEnd w:id="199"/>
      <w:bookmarkEnd w:id="200"/>
      <w:bookmarkEnd w:id="201"/>
    </w:p>
    <w:p w14:paraId="567287DA" w14:textId="77777777" w:rsidR="007A4FDC" w:rsidRPr="00937C8B" w:rsidRDefault="007A4FDC" w:rsidP="009467D5">
      <w:pPr>
        <w:pStyle w:val="CteTtulo3"/>
      </w:pPr>
      <w:bookmarkStart w:id="202" w:name="_Toc530395286"/>
      <w:bookmarkStart w:id="203" w:name="_Toc530396165"/>
      <w:bookmarkStart w:id="204" w:name="_Toc39157957"/>
      <w:r>
        <w:t>3.1</w:t>
      </w:r>
      <w:r>
        <w:tab/>
        <w:t>Contribution renouvelable minimale pour l’ECS et le chauffage de la piscine</w:t>
      </w:r>
      <w:bookmarkEnd w:id="202"/>
      <w:bookmarkEnd w:id="203"/>
      <w:bookmarkEnd w:id="204"/>
    </w:p>
    <w:p w14:paraId="02D2907D" w14:textId="584E6B53" w:rsidR="005B7917" w:rsidRPr="00937C8B" w:rsidRDefault="005B7917" w:rsidP="00255D36">
      <w:pPr>
        <w:pStyle w:val="CTENumeracion"/>
        <w:numPr>
          <w:ilvl w:val="5"/>
          <w:numId w:val="6"/>
        </w:numPr>
        <w:spacing w:before="120"/>
        <w:rPr>
          <w:rFonts w:cs="Arial"/>
          <w:sz w:val="22"/>
          <w:szCs w:val="22"/>
        </w:rPr>
      </w:pPr>
      <w:r>
        <w:rPr>
          <w:sz w:val="22"/>
          <w:szCs w:val="22"/>
        </w:rPr>
        <w:t>La contribution minimale d</w:t>
      </w:r>
      <w:r w:rsidR="00EA7588">
        <w:rPr>
          <w:sz w:val="22"/>
          <w:szCs w:val="22"/>
        </w:rPr>
        <w:t>’</w:t>
      </w:r>
      <w:r>
        <w:rPr>
          <w:sz w:val="22"/>
          <w:szCs w:val="22"/>
        </w:rPr>
        <w:t>énergie produite à partir de sources renouvelables couvrira au moins 70</w:t>
      </w:r>
      <w:r w:rsidR="00EA7588">
        <w:rPr>
          <w:sz w:val="22"/>
          <w:szCs w:val="22"/>
        </w:rPr>
        <w:t> </w:t>
      </w:r>
      <w:r>
        <w:rPr>
          <w:sz w:val="22"/>
          <w:szCs w:val="22"/>
        </w:rPr>
        <w:t>% de la demande énergétique annuelle pour l’ECS et pour le chauffage des piscines, telle qu’obtenue à partir des valeurs mensuelles, et incluant les pertes thermiques dues à la distribution, l</w:t>
      </w:r>
      <w:r w:rsidR="00EA7588">
        <w:rPr>
          <w:sz w:val="22"/>
          <w:szCs w:val="22"/>
        </w:rPr>
        <w:t>’</w:t>
      </w:r>
      <w:r>
        <w:rPr>
          <w:sz w:val="22"/>
          <w:szCs w:val="22"/>
        </w:rPr>
        <w:t>accumulation et la recirculation. Cette contribution minimale peut être réduite à 60</w:t>
      </w:r>
      <w:r w:rsidR="00EA7588">
        <w:rPr>
          <w:sz w:val="22"/>
          <w:szCs w:val="22"/>
        </w:rPr>
        <w:t> </w:t>
      </w:r>
      <w:r>
        <w:rPr>
          <w:sz w:val="22"/>
          <w:szCs w:val="22"/>
        </w:rPr>
        <w:t>% lorsque la demande d’ECS est inférieure à 5000 L/j.</w:t>
      </w:r>
    </w:p>
    <w:p w14:paraId="62FDBA2A" w14:textId="0A5385AA" w:rsidR="005B7917" w:rsidRPr="00937C8B" w:rsidRDefault="005B7917" w:rsidP="005B7917">
      <w:pPr>
        <w:pStyle w:val="CTENumeracion"/>
        <w:spacing w:before="120"/>
        <w:ind w:firstLine="0"/>
        <w:rPr>
          <w:rFonts w:cs="Arial"/>
          <w:sz w:val="22"/>
          <w:szCs w:val="22"/>
        </w:rPr>
      </w:pPr>
      <w:r>
        <w:rPr>
          <w:sz w:val="22"/>
          <w:szCs w:val="22"/>
        </w:rPr>
        <w:t>Seule la contribution renouvelable d</w:t>
      </w:r>
      <w:r w:rsidR="00EA7588">
        <w:rPr>
          <w:sz w:val="22"/>
          <w:szCs w:val="22"/>
        </w:rPr>
        <w:t>’</w:t>
      </w:r>
      <w:r>
        <w:rPr>
          <w:sz w:val="22"/>
          <w:szCs w:val="22"/>
        </w:rPr>
        <w:t>énergie provenant du site ou à proximité du bâtiment, ou à partir de biomasse solide, sera prise en compte.</w:t>
      </w:r>
    </w:p>
    <w:p w14:paraId="3ADBC44A" w14:textId="2C9FA34E" w:rsidR="005B7917" w:rsidRPr="00937C8B" w:rsidRDefault="005B7917" w:rsidP="005B7917">
      <w:pPr>
        <w:pStyle w:val="CTENumeracion"/>
        <w:spacing w:before="120"/>
        <w:rPr>
          <w:rFonts w:cs="Arial"/>
          <w:sz w:val="22"/>
          <w:szCs w:val="22"/>
        </w:rPr>
      </w:pPr>
      <w:r>
        <w:rPr>
          <w:sz w:val="22"/>
          <w:szCs w:val="22"/>
        </w:rPr>
        <w:t>2</w:t>
      </w:r>
      <w:r>
        <w:rPr>
          <w:sz w:val="22"/>
          <w:szCs w:val="22"/>
        </w:rPr>
        <w:tab/>
        <w:t>Dans le cas d</w:t>
      </w:r>
      <w:r w:rsidR="00EA7588">
        <w:rPr>
          <w:sz w:val="22"/>
          <w:szCs w:val="22"/>
        </w:rPr>
        <w:t>’</w:t>
      </w:r>
      <w:r>
        <w:rPr>
          <w:sz w:val="22"/>
          <w:szCs w:val="22"/>
        </w:rPr>
        <w:t>extensions ou d</w:t>
      </w:r>
      <w:r w:rsidR="00EA7588">
        <w:rPr>
          <w:sz w:val="22"/>
          <w:szCs w:val="22"/>
        </w:rPr>
        <w:t>’</w:t>
      </w:r>
      <w:r>
        <w:rPr>
          <w:sz w:val="22"/>
          <w:szCs w:val="22"/>
        </w:rPr>
        <w:t>interventions sur des bâtiments existants, tels que décrits au point 1 c) du champ d’application, la contribution renouvelable minimale s’applique à l</w:t>
      </w:r>
      <w:r w:rsidR="00EA7588">
        <w:rPr>
          <w:sz w:val="22"/>
          <w:szCs w:val="22"/>
        </w:rPr>
        <w:t>’</w:t>
      </w:r>
      <w:r>
        <w:rPr>
          <w:sz w:val="22"/>
          <w:szCs w:val="22"/>
        </w:rPr>
        <w:t>augmentation de la demande d</w:t>
      </w:r>
      <w:r w:rsidR="00EA7588">
        <w:rPr>
          <w:sz w:val="22"/>
          <w:szCs w:val="22"/>
        </w:rPr>
        <w:t>’</w:t>
      </w:r>
      <w:r>
        <w:rPr>
          <w:sz w:val="22"/>
          <w:szCs w:val="22"/>
        </w:rPr>
        <w:t>ECS par rapport à la demande initiale.</w:t>
      </w:r>
    </w:p>
    <w:p w14:paraId="1C060BFF" w14:textId="77777777" w:rsidR="007A4FDC" w:rsidRPr="00937C8B" w:rsidRDefault="007A4FDC" w:rsidP="007A4FDC">
      <w:pPr>
        <w:pStyle w:val="CTENumeracion"/>
        <w:spacing w:before="120"/>
        <w:rPr>
          <w:rFonts w:cs="Arial"/>
          <w:sz w:val="22"/>
          <w:szCs w:val="22"/>
        </w:rPr>
      </w:pPr>
      <w:r>
        <w:rPr>
          <w:sz w:val="22"/>
          <w:szCs w:val="22"/>
        </w:rPr>
        <w:t>3</w:t>
      </w:r>
      <w:r>
        <w:rPr>
          <w:sz w:val="22"/>
          <w:szCs w:val="22"/>
        </w:rPr>
        <w:tab/>
        <w:t xml:space="preserve">Les sources renouvelables qui satisfont à la contribution renouvelable minimale pour l’ECS et le chauffage des piscines peuvent être intégrées à la production thermique du bâtiment ou être accessibles via un raccordement à un </w:t>
      </w:r>
      <w:r>
        <w:rPr>
          <w:i/>
          <w:iCs/>
          <w:sz w:val="22"/>
          <w:szCs w:val="22"/>
        </w:rPr>
        <w:t>système de chauffage urbain</w:t>
      </w:r>
      <w:r>
        <w:rPr>
          <w:sz w:val="22"/>
          <w:szCs w:val="22"/>
        </w:rPr>
        <w:t>.</w:t>
      </w:r>
    </w:p>
    <w:p w14:paraId="2F07098F" w14:textId="69024945" w:rsidR="007A4FDC" w:rsidRPr="00937C8B" w:rsidRDefault="007A4FDC" w:rsidP="007A4FDC">
      <w:pPr>
        <w:pStyle w:val="CTENumeracion"/>
        <w:spacing w:before="120"/>
        <w:rPr>
          <w:rFonts w:cs="Arial"/>
          <w:sz w:val="22"/>
          <w:szCs w:val="22"/>
        </w:rPr>
      </w:pPr>
      <w:r>
        <w:rPr>
          <w:sz w:val="22"/>
          <w:szCs w:val="22"/>
        </w:rPr>
        <w:t>4</w:t>
      </w:r>
      <w:r>
        <w:rPr>
          <w:sz w:val="22"/>
          <w:szCs w:val="22"/>
        </w:rPr>
        <w:tab/>
        <w:t>Pour tenir compte de leur contribution renouvelable aux fins de la présente section, les pompes à chaleur destinées à la production d</w:t>
      </w:r>
      <w:r w:rsidR="00EA7588">
        <w:rPr>
          <w:sz w:val="22"/>
          <w:szCs w:val="22"/>
        </w:rPr>
        <w:t>’</w:t>
      </w:r>
      <w:r>
        <w:rPr>
          <w:sz w:val="22"/>
          <w:szCs w:val="22"/>
        </w:rPr>
        <w:t>eau chaude sanitaire et de chauffage de piscine doivent avoir une valeur de performance saisonnière moyenne (SCOP</w:t>
      </w:r>
      <w:r>
        <w:rPr>
          <w:sz w:val="22"/>
          <w:szCs w:val="22"/>
          <w:vertAlign w:val="subscript"/>
        </w:rPr>
        <w:t>dhw</w:t>
      </w:r>
      <w:r>
        <w:rPr>
          <w:sz w:val="22"/>
          <w:szCs w:val="22"/>
        </w:rPr>
        <w:t>) supérieure à 2,5 lorsqu</w:t>
      </w:r>
      <w:r w:rsidR="00EA7588">
        <w:rPr>
          <w:sz w:val="22"/>
          <w:szCs w:val="22"/>
        </w:rPr>
        <w:t>’</w:t>
      </w:r>
      <w:r>
        <w:rPr>
          <w:sz w:val="22"/>
          <w:szCs w:val="22"/>
        </w:rPr>
        <w:t>elles fonctionnent à l’électricité et supérieure à 1,15 lorsqu</w:t>
      </w:r>
      <w:r w:rsidR="00EA7588">
        <w:rPr>
          <w:sz w:val="22"/>
          <w:szCs w:val="22"/>
        </w:rPr>
        <w:t>’</w:t>
      </w:r>
      <w:r>
        <w:rPr>
          <w:sz w:val="22"/>
          <w:szCs w:val="22"/>
        </w:rPr>
        <w:t>elles sont alimentées par énergie thermique. La valeur SCOP</w:t>
      </w:r>
      <w:r>
        <w:rPr>
          <w:sz w:val="22"/>
          <w:szCs w:val="22"/>
          <w:vertAlign w:val="subscript"/>
        </w:rPr>
        <w:t>dhw</w:t>
      </w:r>
      <w:r>
        <w:rPr>
          <w:sz w:val="22"/>
          <w:szCs w:val="22"/>
        </w:rPr>
        <w:t xml:space="preserve"> doit être déterminée pour la température de préparation de l</w:t>
      </w:r>
      <w:r w:rsidR="00EA7588">
        <w:rPr>
          <w:sz w:val="22"/>
          <w:szCs w:val="22"/>
        </w:rPr>
        <w:t>’</w:t>
      </w:r>
      <w:r>
        <w:rPr>
          <w:sz w:val="22"/>
          <w:szCs w:val="22"/>
        </w:rPr>
        <w:t>ECS, qui ne doit pas être inférieure à 45</w:t>
      </w:r>
      <w:r w:rsidR="00EA7588">
        <w:rPr>
          <w:sz w:val="22"/>
          <w:szCs w:val="22"/>
        </w:rPr>
        <w:t> </w:t>
      </w:r>
      <w:r>
        <w:rPr>
          <w:sz w:val="22"/>
          <w:szCs w:val="22"/>
        </w:rPr>
        <w:t>°C.</w:t>
      </w:r>
    </w:p>
    <w:p w14:paraId="3C067736" w14:textId="53783667" w:rsidR="007A4FDC" w:rsidRPr="00937C8B" w:rsidRDefault="007A4FDC" w:rsidP="007A4FDC">
      <w:pPr>
        <w:pStyle w:val="CTENumeracion"/>
        <w:spacing w:before="120"/>
        <w:rPr>
          <w:rFonts w:cs="Arial"/>
          <w:sz w:val="22"/>
          <w:szCs w:val="22"/>
        </w:rPr>
      </w:pPr>
      <w:r>
        <w:rPr>
          <w:sz w:val="22"/>
          <w:szCs w:val="22"/>
        </w:rPr>
        <w:lastRenderedPageBreak/>
        <w:t>5</w:t>
      </w:r>
      <w:r>
        <w:rPr>
          <w:sz w:val="22"/>
          <w:szCs w:val="22"/>
        </w:rPr>
        <w:tab/>
        <w:t>La contribution minimale renouvelable pour l</w:t>
      </w:r>
      <w:r w:rsidR="00EA7588">
        <w:rPr>
          <w:sz w:val="22"/>
          <w:szCs w:val="22"/>
        </w:rPr>
        <w:t>’</w:t>
      </w:r>
      <w:r>
        <w:rPr>
          <w:sz w:val="22"/>
          <w:szCs w:val="22"/>
        </w:rPr>
        <w:t>ECS et le chauffage des piscines intérieures peut être partiellement ou totalement remplacée par l</w:t>
      </w:r>
      <w:r w:rsidR="00EA7588">
        <w:rPr>
          <w:sz w:val="22"/>
          <w:szCs w:val="22"/>
        </w:rPr>
        <w:t>’</w:t>
      </w:r>
      <w:r>
        <w:rPr>
          <w:sz w:val="22"/>
          <w:szCs w:val="22"/>
        </w:rPr>
        <w:t>énergie résiduelle des équipements de réfrigération, des déshumidificateurs et par la chaleur résiduelle de combustion du moteur des pompes à chaleur à entraînement thermique, à condition que l</w:t>
      </w:r>
      <w:r w:rsidR="00EA7588">
        <w:rPr>
          <w:sz w:val="22"/>
          <w:szCs w:val="22"/>
        </w:rPr>
        <w:t>’</w:t>
      </w:r>
      <w:r>
        <w:rPr>
          <w:sz w:val="22"/>
          <w:szCs w:val="22"/>
        </w:rPr>
        <w:t>utilisation de cette énergie résiduelle soit efficace et utile pour l</w:t>
      </w:r>
      <w:r w:rsidR="00EA7588">
        <w:rPr>
          <w:sz w:val="22"/>
          <w:szCs w:val="22"/>
        </w:rPr>
        <w:t>’</w:t>
      </w:r>
      <w:r>
        <w:rPr>
          <w:sz w:val="22"/>
          <w:szCs w:val="22"/>
        </w:rPr>
        <w:t>ECS. Seule l</w:t>
      </w:r>
      <w:r w:rsidR="00EA7588">
        <w:rPr>
          <w:sz w:val="22"/>
          <w:szCs w:val="22"/>
        </w:rPr>
        <w:t>’</w:t>
      </w:r>
      <w:r>
        <w:rPr>
          <w:sz w:val="22"/>
          <w:szCs w:val="22"/>
        </w:rPr>
        <w:t>énergie obtenue par l</w:t>
      </w:r>
      <w:r w:rsidR="00EA7588">
        <w:rPr>
          <w:sz w:val="22"/>
          <w:szCs w:val="22"/>
        </w:rPr>
        <w:t>’</w:t>
      </w:r>
      <w:r>
        <w:rPr>
          <w:sz w:val="22"/>
          <w:szCs w:val="22"/>
        </w:rPr>
        <w:t>installation de systèmes de récupération de chaleur sans rapport avec l</w:t>
      </w:r>
      <w:r w:rsidR="00EA7588">
        <w:rPr>
          <w:sz w:val="22"/>
          <w:szCs w:val="22"/>
        </w:rPr>
        <w:t>’</w:t>
      </w:r>
      <w:r>
        <w:rPr>
          <w:sz w:val="22"/>
          <w:szCs w:val="22"/>
        </w:rPr>
        <w:t>installation thermique du bâtiment sera prise en compte. Dans le cas de la récupération d</w:t>
      </w:r>
      <w:r w:rsidR="00EA7588">
        <w:rPr>
          <w:sz w:val="22"/>
          <w:szCs w:val="22"/>
        </w:rPr>
        <w:t>’</w:t>
      </w:r>
      <w:r>
        <w:rPr>
          <w:sz w:val="22"/>
          <w:szCs w:val="22"/>
        </w:rPr>
        <w:t>énergie résiduelle des équipements de réfrigération des bâtiments résidentiels, toute exploitation d</w:t>
      </w:r>
      <w:r w:rsidR="00EA7588">
        <w:rPr>
          <w:sz w:val="22"/>
          <w:szCs w:val="22"/>
        </w:rPr>
        <w:t>’</w:t>
      </w:r>
      <w:r>
        <w:rPr>
          <w:sz w:val="22"/>
          <w:szCs w:val="22"/>
        </w:rPr>
        <w:t>énergie supérieure de 20</w:t>
      </w:r>
      <w:r w:rsidR="00EA7588">
        <w:rPr>
          <w:sz w:val="22"/>
          <w:szCs w:val="22"/>
        </w:rPr>
        <w:t> </w:t>
      </w:r>
      <w:r>
        <w:rPr>
          <w:sz w:val="22"/>
          <w:szCs w:val="22"/>
        </w:rPr>
        <w:t>% à celle extraite ne sera pas prise en compte.</w:t>
      </w:r>
    </w:p>
    <w:p w14:paraId="5F18184D" w14:textId="6038500E" w:rsidR="007A4FDC" w:rsidRPr="00937C8B" w:rsidRDefault="007A4FDC" w:rsidP="009467D5">
      <w:pPr>
        <w:pStyle w:val="CteTtulo3"/>
      </w:pPr>
      <w:bookmarkStart w:id="205" w:name="Sección_HE4_SistemasMedida"/>
      <w:bookmarkStart w:id="206" w:name="_Toc530395287"/>
      <w:bookmarkStart w:id="207" w:name="_Toc39157958"/>
      <w:bookmarkEnd w:id="205"/>
      <w:r>
        <w:t>3.2</w:t>
      </w:r>
      <w:r>
        <w:tab/>
        <w:t>Système de mesure de l</w:t>
      </w:r>
      <w:r w:rsidR="00EA7588">
        <w:t>’</w:t>
      </w:r>
      <w:r>
        <w:t>énergie fournie</w:t>
      </w:r>
      <w:bookmarkEnd w:id="206"/>
      <w:bookmarkEnd w:id="207"/>
    </w:p>
    <w:p w14:paraId="3A6918F7" w14:textId="7A7185FE" w:rsidR="007A4FDC" w:rsidRPr="00937C8B" w:rsidRDefault="007A4FDC" w:rsidP="007A4FDC">
      <w:pPr>
        <w:pStyle w:val="CTENumeracion"/>
        <w:spacing w:before="120"/>
        <w:rPr>
          <w:rFonts w:cs="Arial"/>
          <w:sz w:val="22"/>
          <w:szCs w:val="22"/>
        </w:rPr>
      </w:pPr>
      <w:r>
        <w:rPr>
          <w:sz w:val="22"/>
          <w:szCs w:val="22"/>
        </w:rPr>
        <w:t>1</w:t>
      </w:r>
      <w:r>
        <w:rPr>
          <w:sz w:val="22"/>
          <w:szCs w:val="22"/>
        </w:rPr>
        <w:tab/>
        <w:t>Les systèmes de mesure de l</w:t>
      </w:r>
      <w:r w:rsidR="00EA7588">
        <w:rPr>
          <w:sz w:val="22"/>
          <w:szCs w:val="22"/>
        </w:rPr>
        <w:t>’</w:t>
      </w:r>
      <w:r>
        <w:rPr>
          <w:sz w:val="22"/>
          <w:szCs w:val="22"/>
        </w:rPr>
        <w:t>énergie fournie par les sources renouvelables seront conformes à la réglementation actuelle relative aux installations thermiques dans les bâtiments (RITE).</w:t>
      </w:r>
    </w:p>
    <w:p w14:paraId="6CEF9125" w14:textId="400D83AB" w:rsidR="007A4FDC" w:rsidRPr="00937C8B" w:rsidRDefault="007A4FDC" w:rsidP="007A4FDC">
      <w:pPr>
        <w:pStyle w:val="CteTtulo2"/>
        <w:spacing w:before="480" w:after="60"/>
        <w:ind w:left="397" w:hanging="397"/>
        <w:jc w:val="both"/>
        <w:rPr>
          <w:rFonts w:cs="Arial"/>
        </w:rPr>
      </w:pPr>
      <w:bookmarkStart w:id="208" w:name="_Toc530395288"/>
      <w:bookmarkStart w:id="209" w:name="_Toc530396167"/>
      <w:bookmarkStart w:id="210" w:name="_Toc39157959"/>
      <w:bookmarkStart w:id="211" w:name="_Toc39158133"/>
      <w:r>
        <w:t>4</w:t>
      </w:r>
      <w:r>
        <w:tab/>
        <w:t>Justification de l</w:t>
      </w:r>
      <w:r w:rsidR="00EA7588">
        <w:t>’</w:t>
      </w:r>
      <w:r>
        <w:t>exigence</w:t>
      </w:r>
      <w:bookmarkEnd w:id="208"/>
      <w:bookmarkEnd w:id="209"/>
      <w:bookmarkEnd w:id="210"/>
      <w:bookmarkEnd w:id="211"/>
    </w:p>
    <w:p w14:paraId="3DA03B57" w14:textId="2FCABB29" w:rsidR="007A4FDC" w:rsidRPr="00937C8B" w:rsidRDefault="007A4FDC" w:rsidP="00D27646">
      <w:pPr>
        <w:pStyle w:val="CTENormal"/>
        <w:keepNext/>
        <w:spacing w:before="240"/>
        <w:jc w:val="both"/>
        <w:rPr>
          <w:szCs w:val="22"/>
        </w:rPr>
      </w:pPr>
      <w:r>
        <w:t>Pour justifier le respect par un bâtiment des exigences de ce DB, les documents de projet comprendront les informations suivantes sur le bâtiment ou la partie du bâtiment faisant l</w:t>
      </w:r>
      <w:r w:rsidR="00EA7588">
        <w:t>’</w:t>
      </w:r>
      <w:r>
        <w:t>objet de l’évaluation:</w:t>
      </w:r>
    </w:p>
    <w:p w14:paraId="47115F08" w14:textId="637D2803" w:rsidR="007A4FDC" w:rsidRPr="00937C8B" w:rsidRDefault="007A4FDC" w:rsidP="007A4FDC">
      <w:pPr>
        <w:pStyle w:val="CTENumeracion"/>
        <w:ind w:left="702" w:hanging="345"/>
        <w:rPr>
          <w:rFonts w:cs="Arial"/>
          <w:sz w:val="22"/>
          <w:szCs w:val="22"/>
        </w:rPr>
      </w:pPr>
      <w:r>
        <w:rPr>
          <w:sz w:val="22"/>
          <w:szCs w:val="22"/>
        </w:rPr>
        <w:t>a)</w:t>
      </w:r>
      <w:r>
        <w:rPr>
          <w:sz w:val="22"/>
          <w:szCs w:val="22"/>
        </w:rPr>
        <w:tab/>
        <w:t>la demande mensuelle d</w:t>
      </w:r>
      <w:r w:rsidR="00EA7588">
        <w:rPr>
          <w:sz w:val="22"/>
          <w:szCs w:val="22"/>
        </w:rPr>
        <w:t>’</w:t>
      </w:r>
      <w:r>
        <w:rPr>
          <w:sz w:val="22"/>
          <w:szCs w:val="22"/>
        </w:rPr>
        <w:t>eau chaude sanitaire (ECS) et de chauffage de piscine, y compris les pertes thermiques dues à la distribution, l</w:t>
      </w:r>
      <w:r w:rsidR="00EA7588">
        <w:rPr>
          <w:sz w:val="22"/>
          <w:szCs w:val="22"/>
        </w:rPr>
        <w:t>’</w:t>
      </w:r>
      <w:r>
        <w:rPr>
          <w:sz w:val="22"/>
          <w:szCs w:val="22"/>
        </w:rPr>
        <w:t>accumulation et la recirculation</w:t>
      </w:r>
      <w:r w:rsidR="00880E3A">
        <w:rPr>
          <w:sz w:val="22"/>
          <w:szCs w:val="22"/>
        </w:rPr>
        <w:t>;</w:t>
      </w:r>
    </w:p>
    <w:p w14:paraId="00779B5D" w14:textId="69667DA6" w:rsidR="007A4FDC" w:rsidRPr="00937C8B" w:rsidRDefault="007A4FDC" w:rsidP="007A4FDC">
      <w:pPr>
        <w:pStyle w:val="CTENumeracion"/>
        <w:ind w:left="702" w:hanging="345"/>
        <w:rPr>
          <w:rFonts w:cs="Arial"/>
          <w:sz w:val="22"/>
          <w:szCs w:val="22"/>
        </w:rPr>
      </w:pPr>
      <w:r>
        <w:rPr>
          <w:sz w:val="22"/>
          <w:szCs w:val="22"/>
        </w:rPr>
        <w:t>b)</w:t>
      </w:r>
      <w:r>
        <w:rPr>
          <w:sz w:val="22"/>
          <w:szCs w:val="22"/>
        </w:rPr>
        <w:tab/>
        <w:t>la contribution renouvelable apportée pour répondre aux besoins énergétiques en ECS et en chauffage de piscine</w:t>
      </w:r>
      <w:r w:rsidR="00880E3A">
        <w:rPr>
          <w:sz w:val="22"/>
          <w:szCs w:val="22"/>
        </w:rPr>
        <w:t>;</w:t>
      </w:r>
    </w:p>
    <w:p w14:paraId="078FF004" w14:textId="5FAA7A6C" w:rsidR="007A4FDC" w:rsidRPr="00937C8B" w:rsidRDefault="007A4FDC" w:rsidP="007A4FDC">
      <w:pPr>
        <w:pStyle w:val="CTENumeracion"/>
        <w:ind w:left="702" w:hanging="345"/>
        <w:rPr>
          <w:rFonts w:cs="Arial"/>
          <w:sz w:val="22"/>
          <w:szCs w:val="22"/>
        </w:rPr>
      </w:pPr>
      <w:r>
        <w:rPr>
          <w:sz w:val="22"/>
          <w:szCs w:val="22"/>
        </w:rPr>
        <w:t>c)</w:t>
      </w:r>
      <w:r>
        <w:rPr>
          <w:sz w:val="22"/>
          <w:szCs w:val="22"/>
        </w:rPr>
        <w:tab/>
        <w:t>la contribution de l</w:t>
      </w:r>
      <w:r w:rsidR="00EA7588">
        <w:rPr>
          <w:sz w:val="22"/>
          <w:szCs w:val="22"/>
        </w:rPr>
        <w:t>’</w:t>
      </w:r>
      <w:r>
        <w:rPr>
          <w:sz w:val="22"/>
          <w:szCs w:val="22"/>
        </w:rPr>
        <w:t>énergie résiduelle fournie, le cas échéant, à l</w:t>
      </w:r>
      <w:r w:rsidR="00EA7588">
        <w:rPr>
          <w:sz w:val="22"/>
          <w:szCs w:val="22"/>
        </w:rPr>
        <w:t>’</w:t>
      </w:r>
      <w:r>
        <w:rPr>
          <w:sz w:val="22"/>
          <w:szCs w:val="22"/>
        </w:rPr>
        <w:t>ECS;</w:t>
      </w:r>
    </w:p>
    <w:p w14:paraId="37F789E5" w14:textId="77777777" w:rsidR="005B7917" w:rsidRPr="00937C8B" w:rsidRDefault="007A4FDC" w:rsidP="007A4FDC">
      <w:pPr>
        <w:pStyle w:val="CTENumeracion"/>
        <w:ind w:left="702" w:hanging="345"/>
        <w:rPr>
          <w:rFonts w:cs="Arial"/>
          <w:sz w:val="22"/>
          <w:szCs w:val="22"/>
        </w:rPr>
      </w:pPr>
      <w:r>
        <w:rPr>
          <w:sz w:val="22"/>
          <w:szCs w:val="22"/>
        </w:rPr>
        <w:t>d)</w:t>
      </w:r>
      <w:r>
        <w:rPr>
          <w:sz w:val="22"/>
          <w:szCs w:val="22"/>
        </w:rPr>
        <w:tab/>
        <w:t>la preuve que la contribution renouvelable pour les besoins d’ECS utilisée couvre la contribution obligatoire.</w:t>
      </w:r>
    </w:p>
    <w:p w14:paraId="2E71DD43" w14:textId="77777777" w:rsidR="007A4FDC" w:rsidRPr="00937C8B" w:rsidRDefault="007A4FDC" w:rsidP="009467D5">
      <w:pPr>
        <w:pStyle w:val="CteTtulo3"/>
      </w:pPr>
      <w:bookmarkStart w:id="212" w:name="_Toc530395290"/>
      <w:bookmarkStart w:id="213" w:name="_Toc530396169"/>
      <w:bookmarkStart w:id="214" w:name="_Toc39157960"/>
      <w:r>
        <w:t>5.1</w:t>
      </w:r>
      <w:r>
        <w:tab/>
        <w:t>Exécution</w:t>
      </w:r>
      <w:bookmarkEnd w:id="212"/>
      <w:bookmarkEnd w:id="213"/>
      <w:bookmarkEnd w:id="214"/>
    </w:p>
    <w:p w14:paraId="61422503" w14:textId="2B3812F0" w:rsidR="007A4FDC" w:rsidRPr="00937C8B" w:rsidRDefault="007A4FDC" w:rsidP="007A4FDC">
      <w:pPr>
        <w:pStyle w:val="CTENumeracion"/>
        <w:rPr>
          <w:rFonts w:cs="Arial"/>
          <w:sz w:val="22"/>
          <w:szCs w:val="22"/>
        </w:rPr>
      </w:pPr>
      <w:r>
        <w:rPr>
          <w:sz w:val="22"/>
          <w:szCs w:val="22"/>
        </w:rPr>
        <w:t>1</w:t>
      </w:r>
      <w:r>
        <w:rPr>
          <w:sz w:val="22"/>
          <w:szCs w:val="22"/>
        </w:rPr>
        <w:tab/>
        <w:t>Les travaux de construction du bâtiment doivent être exécutés conformément au projet et aux modifications autorisées par le responsable des travaux sous réserve de l</w:t>
      </w:r>
      <w:r w:rsidR="00EA7588">
        <w:rPr>
          <w:sz w:val="22"/>
          <w:szCs w:val="22"/>
        </w:rPr>
        <w:t>’</w:t>
      </w:r>
      <w:r>
        <w:rPr>
          <w:sz w:val="22"/>
          <w:szCs w:val="22"/>
        </w:rPr>
        <w:t>accord préalable du promoteur, à la législation en vigueur, aux normes relatives aux bonnes pratiques de construction et aux consignes du responsable des travaux et du directeur de l</w:t>
      </w:r>
      <w:r w:rsidR="00EA7588">
        <w:rPr>
          <w:sz w:val="22"/>
          <w:szCs w:val="22"/>
        </w:rPr>
        <w:t>’</w:t>
      </w:r>
      <w:r>
        <w:rPr>
          <w:sz w:val="22"/>
          <w:szCs w:val="22"/>
        </w:rPr>
        <w:t>exécution des travaux, en vertu des dispositions de l</w:t>
      </w:r>
      <w:r w:rsidR="00EA7588">
        <w:rPr>
          <w:sz w:val="22"/>
          <w:szCs w:val="22"/>
        </w:rPr>
        <w:t>’</w:t>
      </w:r>
      <w:r>
        <w:rPr>
          <w:sz w:val="22"/>
          <w:szCs w:val="22"/>
        </w:rPr>
        <w:t>article 7, partie I, du CTE.</w:t>
      </w:r>
    </w:p>
    <w:p w14:paraId="4192BD7B" w14:textId="7BA647A8" w:rsidR="007A4FDC" w:rsidRPr="00937C8B" w:rsidRDefault="007A4FDC" w:rsidP="009467D5">
      <w:pPr>
        <w:pStyle w:val="CteTtulo3"/>
      </w:pPr>
      <w:bookmarkStart w:id="215" w:name="Sección_HE4_ControlEjecucion"/>
      <w:bookmarkStart w:id="216" w:name="_Toc530395291"/>
      <w:bookmarkStart w:id="217" w:name="_Toc39157961"/>
      <w:bookmarkEnd w:id="215"/>
      <w:r>
        <w:t>5.2</w:t>
      </w:r>
      <w:r>
        <w:tab/>
        <w:t>Contrôle de l</w:t>
      </w:r>
      <w:r w:rsidR="00EA7588">
        <w:t>’</w:t>
      </w:r>
      <w:r>
        <w:t>exécution de l</w:t>
      </w:r>
      <w:r w:rsidR="00EA7588">
        <w:t>’</w:t>
      </w:r>
      <w:r>
        <w:t>ouvrage</w:t>
      </w:r>
      <w:bookmarkEnd w:id="216"/>
      <w:bookmarkEnd w:id="217"/>
    </w:p>
    <w:p w14:paraId="357BE5E9" w14:textId="55B0EB64" w:rsidR="007A4FDC" w:rsidRPr="00937C8B" w:rsidRDefault="007A4FDC" w:rsidP="007A4FDC">
      <w:pPr>
        <w:pStyle w:val="CTENumeracion"/>
        <w:spacing w:before="120"/>
        <w:rPr>
          <w:rFonts w:cs="Arial"/>
          <w:sz w:val="22"/>
          <w:szCs w:val="22"/>
        </w:rPr>
      </w:pPr>
      <w:r>
        <w:rPr>
          <w:sz w:val="22"/>
          <w:szCs w:val="22"/>
        </w:rPr>
        <w:t>1</w:t>
      </w:r>
      <w:r>
        <w:rPr>
          <w:sz w:val="22"/>
          <w:szCs w:val="22"/>
        </w:rPr>
        <w:tab/>
        <w:t>L</w:t>
      </w:r>
      <w:r w:rsidR="00EA7588">
        <w:rPr>
          <w:sz w:val="22"/>
          <w:szCs w:val="22"/>
        </w:rPr>
        <w:t>’</w:t>
      </w:r>
      <w:r>
        <w:rPr>
          <w:sz w:val="22"/>
          <w:szCs w:val="22"/>
        </w:rPr>
        <w:t>exécution des travaux doit être contrôlée conformément aux spécifications du projet, de ses annexes, aux modifications autorisées par le responsable des travaux et aux consignes du directeur de l</w:t>
      </w:r>
      <w:r w:rsidR="00EA7588">
        <w:rPr>
          <w:sz w:val="22"/>
          <w:szCs w:val="22"/>
        </w:rPr>
        <w:t>’</w:t>
      </w:r>
      <w:r>
        <w:rPr>
          <w:sz w:val="22"/>
          <w:szCs w:val="22"/>
        </w:rPr>
        <w:t>exécution des travaux, en vertu des dispositions de l</w:t>
      </w:r>
      <w:r w:rsidR="00EA7588">
        <w:rPr>
          <w:sz w:val="22"/>
          <w:szCs w:val="22"/>
        </w:rPr>
        <w:t>’</w:t>
      </w:r>
      <w:r>
        <w:rPr>
          <w:sz w:val="22"/>
          <w:szCs w:val="22"/>
        </w:rPr>
        <w:t>article 7.3 de la partie I du CTE et d</w:t>
      </w:r>
      <w:r w:rsidR="00EA7588">
        <w:rPr>
          <w:sz w:val="22"/>
          <w:szCs w:val="22"/>
        </w:rPr>
        <w:t>’</w:t>
      </w:r>
      <w:r>
        <w:rPr>
          <w:sz w:val="22"/>
          <w:szCs w:val="22"/>
        </w:rPr>
        <w:t>autres normes en vigueur.</w:t>
      </w:r>
    </w:p>
    <w:p w14:paraId="6D2FE765" w14:textId="532FE3B4" w:rsidR="007A4FDC" w:rsidRPr="00937C8B" w:rsidRDefault="007A4FDC" w:rsidP="007A4FDC">
      <w:pPr>
        <w:pStyle w:val="CTENumeracion"/>
        <w:spacing w:before="120"/>
        <w:rPr>
          <w:rFonts w:cs="Arial"/>
          <w:sz w:val="22"/>
          <w:szCs w:val="22"/>
        </w:rPr>
      </w:pPr>
      <w:r>
        <w:rPr>
          <w:sz w:val="22"/>
          <w:szCs w:val="22"/>
        </w:rPr>
        <w:t>2</w:t>
      </w:r>
      <w:r>
        <w:rPr>
          <w:sz w:val="22"/>
          <w:szCs w:val="22"/>
        </w:rPr>
        <w:tab/>
        <w:t>La vérification doit porter sur l</w:t>
      </w:r>
      <w:r w:rsidR="00EA7588">
        <w:rPr>
          <w:sz w:val="22"/>
          <w:szCs w:val="22"/>
        </w:rPr>
        <w:t>’</w:t>
      </w:r>
      <w:r>
        <w:rPr>
          <w:sz w:val="22"/>
          <w:szCs w:val="22"/>
        </w:rPr>
        <w:t>exécution des travaux conformément aux contrôles et à leur fréquence définis dans le cahier des charges du projet.</w:t>
      </w:r>
    </w:p>
    <w:p w14:paraId="61CD0008" w14:textId="699C9047" w:rsidR="007A4FDC" w:rsidRPr="00937C8B" w:rsidRDefault="007A4FDC" w:rsidP="007A4FDC">
      <w:pPr>
        <w:pStyle w:val="CTENumeracion"/>
        <w:spacing w:before="120"/>
        <w:rPr>
          <w:rFonts w:cs="Arial"/>
          <w:sz w:val="22"/>
          <w:szCs w:val="22"/>
        </w:rPr>
      </w:pPr>
      <w:r>
        <w:rPr>
          <w:sz w:val="22"/>
          <w:szCs w:val="22"/>
        </w:rPr>
        <w:t>3</w:t>
      </w:r>
      <w:r>
        <w:rPr>
          <w:sz w:val="22"/>
          <w:szCs w:val="22"/>
        </w:rPr>
        <w:tab/>
        <w:t>Toute modification apportée dans le cadre de l</w:t>
      </w:r>
      <w:r w:rsidR="00EA7588">
        <w:rPr>
          <w:sz w:val="22"/>
          <w:szCs w:val="22"/>
        </w:rPr>
        <w:t>’</w:t>
      </w:r>
      <w:r>
        <w:rPr>
          <w:sz w:val="22"/>
          <w:szCs w:val="22"/>
        </w:rPr>
        <w:t>exécution des travaux doit être consignée dans la documentation relative aux travaux réalisés, indépendamment du respect des conditions minimales énoncées dans le présent document de base.</w:t>
      </w:r>
    </w:p>
    <w:p w14:paraId="108713F1" w14:textId="77777777" w:rsidR="007A4FDC" w:rsidRPr="00937C8B" w:rsidRDefault="007A4FDC" w:rsidP="007A4FDC">
      <w:pPr>
        <w:pStyle w:val="CTENumeracion"/>
        <w:spacing w:before="120"/>
        <w:rPr>
          <w:rFonts w:cs="Arial"/>
          <w:sz w:val="22"/>
          <w:szCs w:val="22"/>
        </w:rPr>
      </w:pPr>
      <w:r>
        <w:rPr>
          <w:sz w:val="22"/>
          <w:szCs w:val="22"/>
        </w:rPr>
        <w:t>4</w:t>
      </w:r>
      <w:r>
        <w:rPr>
          <w:sz w:val="22"/>
          <w:szCs w:val="22"/>
        </w:rPr>
        <w:tab/>
        <w:t>La documentation se rapportant aux caractéristiques des produits, des équipements et des systèmes intégrés aux travaux doit être jointe au Livre du bâtiment.</w:t>
      </w:r>
    </w:p>
    <w:p w14:paraId="2914C0A5" w14:textId="6321FE62" w:rsidR="007A4FDC" w:rsidRPr="00937C8B" w:rsidRDefault="007A4FDC" w:rsidP="009467D5">
      <w:pPr>
        <w:pStyle w:val="CteTtulo3"/>
      </w:pPr>
      <w:bookmarkStart w:id="218" w:name="_Toc530395292"/>
      <w:bookmarkStart w:id="219" w:name="_Toc530396171"/>
      <w:bookmarkStart w:id="220" w:name="_Toc39157962"/>
      <w:r>
        <w:t>5.3</w:t>
      </w:r>
      <w:r>
        <w:tab/>
        <w:t>Contrôle de l</w:t>
      </w:r>
      <w:r w:rsidR="00EA7588">
        <w:t>’</w:t>
      </w:r>
      <w:r>
        <w:t>ouvrage fini</w:t>
      </w:r>
      <w:bookmarkEnd w:id="218"/>
      <w:bookmarkEnd w:id="219"/>
      <w:bookmarkEnd w:id="220"/>
    </w:p>
    <w:p w14:paraId="1C2F4758" w14:textId="68E2FA35" w:rsidR="007A4FDC" w:rsidRPr="00937C8B" w:rsidRDefault="007A4FDC" w:rsidP="007A4FDC">
      <w:pPr>
        <w:pStyle w:val="CTENumeracion"/>
        <w:spacing w:before="120"/>
        <w:rPr>
          <w:rFonts w:cs="Arial"/>
          <w:sz w:val="22"/>
          <w:szCs w:val="22"/>
        </w:rPr>
      </w:pPr>
      <w:r>
        <w:rPr>
          <w:sz w:val="22"/>
          <w:szCs w:val="22"/>
        </w:rPr>
        <w:t>1</w:t>
      </w:r>
      <w:r>
        <w:rPr>
          <w:sz w:val="22"/>
          <w:szCs w:val="22"/>
        </w:rPr>
        <w:tab/>
        <w:t>Le contrôle de l</w:t>
      </w:r>
      <w:r w:rsidR="00EA7588">
        <w:rPr>
          <w:sz w:val="22"/>
          <w:szCs w:val="22"/>
        </w:rPr>
        <w:t>’</w:t>
      </w:r>
      <w:r>
        <w:rPr>
          <w:sz w:val="22"/>
          <w:szCs w:val="22"/>
        </w:rPr>
        <w:t>ouvrage fini doit satisfaire aux exigences de l</w:t>
      </w:r>
      <w:r w:rsidR="00EA7588">
        <w:rPr>
          <w:sz w:val="22"/>
          <w:szCs w:val="22"/>
        </w:rPr>
        <w:t>’</w:t>
      </w:r>
      <w:r>
        <w:rPr>
          <w:sz w:val="22"/>
          <w:szCs w:val="22"/>
        </w:rPr>
        <w:t>article 7.4 de la partie I du CTE.</w:t>
      </w:r>
    </w:p>
    <w:p w14:paraId="5CD0C6CB" w14:textId="77777777" w:rsidR="007A4FDC" w:rsidRPr="00937C8B" w:rsidRDefault="007A4FDC" w:rsidP="007A4FDC">
      <w:pPr>
        <w:pStyle w:val="CTENumeracion"/>
        <w:spacing w:before="120"/>
        <w:rPr>
          <w:rFonts w:cs="Arial"/>
          <w:sz w:val="22"/>
          <w:szCs w:val="22"/>
        </w:rPr>
      </w:pPr>
      <w:r>
        <w:rPr>
          <w:sz w:val="22"/>
          <w:szCs w:val="22"/>
        </w:rPr>
        <w:t>2</w:t>
      </w:r>
      <w:r>
        <w:rPr>
          <w:sz w:val="22"/>
          <w:szCs w:val="22"/>
        </w:rPr>
        <w:tab/>
        <w:t>Les essais finaux ne sont pas précisés dans ce chapitre du document de base.</w:t>
      </w:r>
    </w:p>
    <w:p w14:paraId="5067530E" w14:textId="77777777" w:rsidR="007A4FDC" w:rsidRPr="00937C8B" w:rsidRDefault="007A4FDC" w:rsidP="009467D5">
      <w:pPr>
        <w:pStyle w:val="CteTtulo3"/>
      </w:pPr>
      <w:bookmarkStart w:id="221" w:name="Sección_HE4_Mantenimiento"/>
      <w:bookmarkStart w:id="222" w:name="_Toc530395293"/>
      <w:bookmarkStart w:id="223" w:name="_Toc39157963"/>
      <w:bookmarkEnd w:id="221"/>
      <w:r>
        <w:lastRenderedPageBreak/>
        <w:t>5.4</w:t>
      </w:r>
      <w:r>
        <w:tab/>
        <w:t>Maintenance et conservation du bâtiment</w:t>
      </w:r>
      <w:bookmarkEnd w:id="222"/>
      <w:bookmarkEnd w:id="223"/>
    </w:p>
    <w:p w14:paraId="26EA1CD9" w14:textId="3C3EFA82" w:rsidR="007A4FDC" w:rsidRPr="00937C8B" w:rsidRDefault="007A4FDC" w:rsidP="007A4FDC">
      <w:pPr>
        <w:pStyle w:val="CTENumeracion"/>
        <w:spacing w:before="120"/>
        <w:rPr>
          <w:rFonts w:cs="Arial"/>
          <w:sz w:val="22"/>
          <w:szCs w:val="22"/>
        </w:rPr>
      </w:pPr>
      <w:r>
        <w:rPr>
          <w:sz w:val="22"/>
          <w:szCs w:val="22"/>
        </w:rPr>
        <w:t>1</w:t>
      </w:r>
      <w:r>
        <w:rPr>
          <w:sz w:val="22"/>
          <w:szCs w:val="22"/>
        </w:rPr>
        <w:tab/>
        <w:t>Le plan de maintenance inclus dans le livre du bâtiment présente la fréquence et la nature des opérations nécessaires à l</w:t>
      </w:r>
      <w:r w:rsidR="00EA7588">
        <w:rPr>
          <w:sz w:val="22"/>
          <w:szCs w:val="22"/>
        </w:rPr>
        <w:t>’</w:t>
      </w:r>
      <w:r>
        <w:rPr>
          <w:sz w:val="22"/>
          <w:szCs w:val="22"/>
        </w:rPr>
        <w:t>entretien, dans le temps, des paramètres de conception et des performances des installations d’exploitation d</w:t>
      </w:r>
      <w:r w:rsidR="00EA7588">
        <w:rPr>
          <w:sz w:val="22"/>
          <w:szCs w:val="22"/>
        </w:rPr>
        <w:t>’</w:t>
      </w:r>
      <w:r>
        <w:rPr>
          <w:sz w:val="22"/>
          <w:szCs w:val="22"/>
        </w:rPr>
        <w:t>énergie produite à partir de sources renouvelables.</w:t>
      </w:r>
    </w:p>
    <w:p w14:paraId="7E6185B9" w14:textId="1C8E2414" w:rsidR="00175E40" w:rsidRPr="00937C8B" w:rsidRDefault="007A4FDC" w:rsidP="005B7917">
      <w:pPr>
        <w:pStyle w:val="CTENumeracion"/>
        <w:spacing w:before="120"/>
        <w:rPr>
          <w:rFonts w:cs="Arial"/>
          <w:sz w:val="22"/>
          <w:szCs w:val="22"/>
        </w:rPr>
      </w:pPr>
      <w:r>
        <w:rPr>
          <w:sz w:val="22"/>
          <w:szCs w:val="22"/>
        </w:rPr>
        <w:t>2</w:t>
      </w:r>
      <w:r>
        <w:rPr>
          <w:sz w:val="22"/>
          <w:szCs w:val="22"/>
        </w:rPr>
        <w:tab/>
        <w:t>Il convient d’y consigner également toutes les interventions effectuées, qu</w:t>
      </w:r>
      <w:r w:rsidR="00EA7588">
        <w:rPr>
          <w:sz w:val="22"/>
          <w:szCs w:val="22"/>
        </w:rPr>
        <w:t>’</w:t>
      </w:r>
      <w:r>
        <w:rPr>
          <w:sz w:val="22"/>
          <w:szCs w:val="22"/>
        </w:rPr>
        <w:t>il s</w:t>
      </w:r>
      <w:r w:rsidR="00EA7588">
        <w:rPr>
          <w:sz w:val="22"/>
          <w:szCs w:val="22"/>
        </w:rPr>
        <w:t>’</w:t>
      </w:r>
      <w:r>
        <w:rPr>
          <w:sz w:val="22"/>
          <w:szCs w:val="22"/>
        </w:rPr>
        <w:t>agisse de réparations, de rénovations ou de réhabilitations, tout au long de la vie utile du bâtiment.</w:t>
      </w:r>
    </w:p>
    <w:p w14:paraId="7E5402B0" w14:textId="77777777" w:rsidR="00175E40" w:rsidRPr="00937C8B" w:rsidRDefault="005B7917" w:rsidP="0084739B">
      <w:pPr>
        <w:pStyle w:val="CTENumeracion"/>
        <w:pageBreakBefore/>
        <w:spacing w:before="120"/>
        <w:ind w:left="360" w:hanging="360"/>
        <w:rPr>
          <w:rFonts w:eastAsia="Arial" w:cs="Arial"/>
          <w:b/>
          <w:bCs/>
          <w:kern w:val="2"/>
          <w:sz w:val="32"/>
        </w:rPr>
      </w:pPr>
      <w:r>
        <w:rPr>
          <w:b/>
          <w:bCs/>
          <w:sz w:val="32"/>
        </w:rPr>
        <w:lastRenderedPageBreak/>
        <w:t>Chapitre HE 5</w:t>
      </w:r>
    </w:p>
    <w:p w14:paraId="77F81D22" w14:textId="77777777" w:rsidR="00D358DC" w:rsidRPr="00937C8B" w:rsidRDefault="00D358DC" w:rsidP="00D358DC">
      <w:pPr>
        <w:pStyle w:val="CteTtuloSeccion"/>
        <w:rPr>
          <w:rFonts w:cs="Arial"/>
          <w:color w:val="auto"/>
        </w:rPr>
      </w:pPr>
      <w:bookmarkStart w:id="224" w:name="_Toc39157964"/>
      <w:bookmarkStart w:id="225" w:name="_Toc39158134"/>
      <w:r>
        <w:rPr>
          <w:color w:val="auto"/>
        </w:rPr>
        <w:t>Génération minimale d’énergie électrique</w:t>
      </w:r>
      <w:bookmarkEnd w:id="224"/>
      <w:bookmarkEnd w:id="225"/>
    </w:p>
    <w:p w14:paraId="0482A3A8" w14:textId="7D714D71" w:rsidR="00D358DC" w:rsidRPr="00937C8B" w:rsidRDefault="00D358DC" w:rsidP="00D358DC">
      <w:pPr>
        <w:pStyle w:val="CteTtulo2"/>
        <w:jc w:val="both"/>
        <w:rPr>
          <w:rFonts w:cs="Arial"/>
        </w:rPr>
      </w:pPr>
      <w:bookmarkStart w:id="226" w:name="Sección_HE5_Ambito"/>
      <w:bookmarkStart w:id="227" w:name="_Toc530395295"/>
      <w:bookmarkStart w:id="228" w:name="_Toc39157965"/>
      <w:bookmarkStart w:id="229" w:name="_Toc39158135"/>
      <w:bookmarkEnd w:id="226"/>
      <w:r>
        <w:t>1</w:t>
      </w:r>
      <w:r>
        <w:tab/>
        <w:t>Champ d</w:t>
      </w:r>
      <w:r w:rsidR="00EA7588">
        <w:t>’</w:t>
      </w:r>
      <w:r>
        <w:t>application</w:t>
      </w:r>
      <w:bookmarkEnd w:id="227"/>
      <w:bookmarkEnd w:id="228"/>
      <w:bookmarkEnd w:id="229"/>
    </w:p>
    <w:p w14:paraId="22CD12B7" w14:textId="7B30CEF3" w:rsidR="00D358DC" w:rsidRPr="00937C8B" w:rsidRDefault="00D358DC" w:rsidP="00D358DC">
      <w:pPr>
        <w:pStyle w:val="CTENumeracion"/>
        <w:rPr>
          <w:rFonts w:cs="Arial"/>
          <w:sz w:val="22"/>
          <w:szCs w:val="22"/>
        </w:rPr>
      </w:pPr>
      <w:r>
        <w:rPr>
          <w:sz w:val="22"/>
          <w:szCs w:val="22"/>
        </w:rPr>
        <w:t>1</w:t>
      </w:r>
      <w:r>
        <w:rPr>
          <w:sz w:val="22"/>
          <w:szCs w:val="22"/>
        </w:rPr>
        <w:tab/>
        <w:t>Ce chapitre s</w:t>
      </w:r>
      <w:r w:rsidR="00EA7588">
        <w:rPr>
          <w:sz w:val="22"/>
          <w:szCs w:val="22"/>
        </w:rPr>
        <w:t>’</w:t>
      </w:r>
      <w:r>
        <w:rPr>
          <w:sz w:val="22"/>
          <w:szCs w:val="22"/>
        </w:rPr>
        <w:t>applique aux bâtiments à usage autre que résidentiel privé dans les cas suivants:</w:t>
      </w:r>
    </w:p>
    <w:p w14:paraId="3053B02D" w14:textId="03659228" w:rsidR="00D358DC" w:rsidRPr="00937C8B" w:rsidRDefault="00D358DC" w:rsidP="00D358DC">
      <w:pPr>
        <w:pStyle w:val="CTENumeracion"/>
        <w:ind w:left="737" w:hanging="283"/>
        <w:rPr>
          <w:rFonts w:cs="Arial"/>
          <w:sz w:val="22"/>
          <w:szCs w:val="22"/>
        </w:rPr>
      </w:pPr>
      <w:r>
        <w:rPr>
          <w:sz w:val="22"/>
          <w:szCs w:val="22"/>
        </w:rPr>
        <w:t>a) nouvelles constructions et extensions de bâtiments existants, lorsqu</w:t>
      </w:r>
      <w:r w:rsidR="00EA7588">
        <w:rPr>
          <w:sz w:val="22"/>
          <w:szCs w:val="22"/>
        </w:rPr>
        <w:t>’</w:t>
      </w:r>
      <w:r>
        <w:rPr>
          <w:sz w:val="22"/>
          <w:szCs w:val="22"/>
        </w:rPr>
        <w:t>elles dépassent ou augmentent la superficie construite de plus de 3 000</w:t>
      </w:r>
      <w:r w:rsidR="00EA7588">
        <w:rPr>
          <w:sz w:val="22"/>
          <w:szCs w:val="22"/>
        </w:rPr>
        <w:t> </w:t>
      </w:r>
      <w:r>
        <w:rPr>
          <w:sz w:val="22"/>
          <w:szCs w:val="22"/>
        </w:rPr>
        <w:t>m</w:t>
      </w:r>
      <w:r>
        <w:rPr>
          <w:sz w:val="22"/>
          <w:szCs w:val="22"/>
          <w:vertAlign w:val="superscript"/>
        </w:rPr>
        <w:t>2</w:t>
      </w:r>
      <w:r>
        <w:rPr>
          <w:sz w:val="22"/>
          <w:szCs w:val="22"/>
        </w:rPr>
        <w:t>;</w:t>
      </w:r>
    </w:p>
    <w:p w14:paraId="159A82F2" w14:textId="4BE1B501" w:rsidR="00D358DC" w:rsidRPr="00937C8B" w:rsidRDefault="00D358DC" w:rsidP="00D358DC">
      <w:pPr>
        <w:pStyle w:val="CTENumeracion"/>
        <w:ind w:left="737" w:hanging="283"/>
        <w:rPr>
          <w:rFonts w:cs="Arial"/>
          <w:sz w:val="22"/>
          <w:szCs w:val="22"/>
        </w:rPr>
      </w:pPr>
      <w:r>
        <w:rPr>
          <w:sz w:val="22"/>
          <w:szCs w:val="22"/>
        </w:rPr>
        <w:t>b) bâtiments existants qui font l</w:t>
      </w:r>
      <w:r w:rsidR="00EA7588">
        <w:rPr>
          <w:sz w:val="22"/>
          <w:szCs w:val="22"/>
        </w:rPr>
        <w:t>’</w:t>
      </w:r>
      <w:r>
        <w:rPr>
          <w:sz w:val="22"/>
          <w:szCs w:val="22"/>
        </w:rPr>
        <w:t>objet d</w:t>
      </w:r>
      <w:r w:rsidR="00EA7588">
        <w:rPr>
          <w:sz w:val="22"/>
          <w:szCs w:val="22"/>
        </w:rPr>
        <w:t>’</w:t>
      </w:r>
      <w:r>
        <w:rPr>
          <w:sz w:val="22"/>
          <w:szCs w:val="22"/>
        </w:rPr>
        <w:t>une rénovation intégrale ou dont l</w:t>
      </w:r>
      <w:r w:rsidR="00EA7588">
        <w:rPr>
          <w:sz w:val="22"/>
          <w:szCs w:val="22"/>
        </w:rPr>
        <w:t>’</w:t>
      </w:r>
      <w:r>
        <w:rPr>
          <w:sz w:val="22"/>
          <w:szCs w:val="22"/>
        </w:rPr>
        <w:t>usage caractéristique est modifié, lorsque la surface construite est supérieure à 3 000</w:t>
      </w:r>
      <w:r w:rsidR="00EA7588">
        <w:rPr>
          <w:sz w:val="22"/>
          <w:szCs w:val="22"/>
        </w:rPr>
        <w:t> </w:t>
      </w:r>
      <w:r>
        <w:rPr>
          <w:sz w:val="22"/>
          <w:szCs w:val="22"/>
        </w:rPr>
        <w:t>m</w:t>
      </w:r>
      <w:r>
        <w:rPr>
          <w:sz w:val="22"/>
          <w:szCs w:val="22"/>
          <w:vertAlign w:val="superscript"/>
        </w:rPr>
        <w:t>2</w:t>
      </w:r>
      <w:r>
        <w:rPr>
          <w:sz w:val="22"/>
          <w:szCs w:val="22"/>
        </w:rPr>
        <w:t>;</w:t>
      </w:r>
    </w:p>
    <w:p w14:paraId="639E3429" w14:textId="77777777" w:rsidR="00D358DC" w:rsidRPr="00937C8B" w:rsidRDefault="00D358DC" w:rsidP="00D27646">
      <w:pPr>
        <w:pStyle w:val="CTENumeracion"/>
        <w:ind w:firstLine="3"/>
        <w:rPr>
          <w:rFonts w:cs="Arial"/>
          <w:sz w:val="22"/>
          <w:szCs w:val="22"/>
        </w:rPr>
      </w:pPr>
      <w:r>
        <w:rPr>
          <w:sz w:val="22"/>
          <w:szCs w:val="22"/>
        </w:rPr>
        <w:t>La surface construite comprend la surface de stationnement souterraine (le cas échéant) et exclue les zones extérieures communes.</w:t>
      </w:r>
    </w:p>
    <w:p w14:paraId="4743F637" w14:textId="3B41DA7E" w:rsidR="00D358DC" w:rsidRPr="00937C8B" w:rsidRDefault="00D358DC" w:rsidP="00D358DC">
      <w:pPr>
        <w:pStyle w:val="CTENumeracion"/>
        <w:spacing w:before="240"/>
        <w:rPr>
          <w:rFonts w:cs="Arial"/>
          <w:sz w:val="22"/>
          <w:szCs w:val="22"/>
        </w:rPr>
      </w:pPr>
      <w:r>
        <w:rPr>
          <w:sz w:val="22"/>
          <w:szCs w:val="22"/>
        </w:rPr>
        <w:t>2</w:t>
      </w:r>
      <w:r>
        <w:rPr>
          <w:sz w:val="22"/>
          <w:szCs w:val="22"/>
        </w:rPr>
        <w:tab/>
        <w:t>Dans les bâtiments dans lesquels toute la puissance requise ne peut pas être installée, pour des raisons urbaines ou architecturales, ou parce qu</w:t>
      </w:r>
      <w:r w:rsidR="00EA7588">
        <w:rPr>
          <w:sz w:val="22"/>
          <w:szCs w:val="22"/>
        </w:rPr>
        <w:t>’</w:t>
      </w:r>
      <w:r>
        <w:rPr>
          <w:sz w:val="22"/>
          <w:szCs w:val="22"/>
        </w:rPr>
        <w:t>il s</w:t>
      </w:r>
      <w:r w:rsidR="00EA7588">
        <w:rPr>
          <w:sz w:val="22"/>
          <w:szCs w:val="22"/>
        </w:rPr>
        <w:t>’</w:t>
      </w:r>
      <w:r>
        <w:rPr>
          <w:sz w:val="22"/>
          <w:szCs w:val="22"/>
        </w:rPr>
        <w:t>agit de bâtiments officiellement protégés sous la responsabilité d</w:t>
      </w:r>
      <w:r w:rsidR="00EA7588">
        <w:rPr>
          <w:sz w:val="22"/>
          <w:szCs w:val="22"/>
        </w:rPr>
        <w:t>’</w:t>
      </w:r>
      <w:r>
        <w:rPr>
          <w:sz w:val="22"/>
          <w:szCs w:val="22"/>
        </w:rPr>
        <w:t>une autorité de protection officielle, cette impossibilité doit être justifiée. Il convient alors de mener une analyse des différentes alternatives, et d’adopter la solution la plus proche des conditions de production maximales.</w:t>
      </w:r>
    </w:p>
    <w:p w14:paraId="15497659" w14:textId="75B495F9" w:rsidR="00D358DC" w:rsidRPr="00937C8B" w:rsidRDefault="00D358DC" w:rsidP="00D358DC">
      <w:pPr>
        <w:pStyle w:val="CteTtulo2"/>
        <w:rPr>
          <w:rFonts w:cs="Arial"/>
        </w:rPr>
      </w:pPr>
      <w:bookmarkStart w:id="230" w:name="_Toc530395296"/>
      <w:bookmarkStart w:id="231" w:name="_Toc530396175"/>
      <w:bookmarkStart w:id="232" w:name="_Toc39157966"/>
      <w:bookmarkStart w:id="233" w:name="_Toc39158136"/>
      <w:r>
        <w:t>2</w:t>
      </w:r>
      <w:r>
        <w:tab/>
        <w:t>Caractérisation de l</w:t>
      </w:r>
      <w:r w:rsidR="00EA7588">
        <w:t>’</w:t>
      </w:r>
      <w:r>
        <w:t>exigence</w:t>
      </w:r>
      <w:bookmarkEnd w:id="230"/>
      <w:bookmarkEnd w:id="231"/>
      <w:bookmarkEnd w:id="232"/>
      <w:bookmarkEnd w:id="233"/>
    </w:p>
    <w:p w14:paraId="3E4DEA0E" w14:textId="77777777" w:rsidR="00D358DC" w:rsidRPr="00937C8B" w:rsidRDefault="00D358DC" w:rsidP="00D358DC">
      <w:pPr>
        <w:pStyle w:val="CTENumeracion"/>
        <w:rPr>
          <w:rFonts w:cs="Arial"/>
          <w:sz w:val="22"/>
          <w:szCs w:val="22"/>
        </w:rPr>
      </w:pPr>
      <w:r>
        <w:rPr>
          <w:sz w:val="22"/>
          <w:szCs w:val="22"/>
        </w:rPr>
        <w:t>1</w:t>
      </w:r>
      <w:r>
        <w:rPr>
          <w:sz w:val="22"/>
          <w:szCs w:val="22"/>
        </w:rPr>
        <w:tab/>
        <w:t>Les bâtiments visés dans ce chapitre seront dotés de systèmes de génération électrique provenant d’énergie renouvelables pour leur propre usage ou la distribution sur le réseau.</w:t>
      </w:r>
    </w:p>
    <w:p w14:paraId="4E18FDFE" w14:textId="596830F9" w:rsidR="00D358DC" w:rsidRPr="00937C8B" w:rsidRDefault="00D358DC" w:rsidP="00D358DC">
      <w:pPr>
        <w:pStyle w:val="CteTtulo2"/>
        <w:jc w:val="both"/>
        <w:rPr>
          <w:rFonts w:cs="Arial"/>
        </w:rPr>
      </w:pPr>
      <w:bookmarkStart w:id="234" w:name="Sección_HE5_Cuantificacion"/>
      <w:bookmarkStart w:id="235" w:name="_Toc530395297"/>
      <w:bookmarkStart w:id="236" w:name="_Toc39157967"/>
      <w:bookmarkStart w:id="237" w:name="_Toc39158137"/>
      <w:bookmarkEnd w:id="234"/>
      <w:r>
        <w:t>3</w:t>
      </w:r>
      <w:r>
        <w:tab/>
        <w:t>Quantification de l</w:t>
      </w:r>
      <w:r w:rsidR="00EA7588">
        <w:t>’</w:t>
      </w:r>
      <w:r>
        <w:t>exigence</w:t>
      </w:r>
      <w:bookmarkEnd w:id="235"/>
      <w:bookmarkEnd w:id="236"/>
      <w:bookmarkEnd w:id="237"/>
    </w:p>
    <w:p w14:paraId="2FD4CA1F" w14:textId="77777777" w:rsidR="00D358DC" w:rsidRPr="00937C8B" w:rsidRDefault="00D358DC" w:rsidP="00D358DC">
      <w:pPr>
        <w:pStyle w:val="CTENumeracion"/>
        <w:rPr>
          <w:rFonts w:cs="Arial"/>
          <w:sz w:val="22"/>
          <w:szCs w:val="22"/>
        </w:rPr>
      </w:pPr>
      <w:r>
        <w:rPr>
          <w:sz w:val="22"/>
          <w:szCs w:val="22"/>
        </w:rPr>
        <w:t>1</w:t>
      </w:r>
      <w:r>
        <w:rPr>
          <w:sz w:val="22"/>
          <w:szCs w:val="22"/>
        </w:rPr>
        <w:tab/>
        <w:t xml:space="preserve">La </w:t>
      </w:r>
      <w:r>
        <w:rPr>
          <w:i/>
          <w:sz w:val="22"/>
          <w:szCs w:val="22"/>
        </w:rPr>
        <w:t xml:space="preserve">puissance à installer </w:t>
      </w:r>
      <w:r>
        <w:rPr>
          <w:sz w:val="22"/>
          <w:szCs w:val="22"/>
        </w:rPr>
        <w:t>minimale P</w:t>
      </w:r>
      <w:r>
        <w:rPr>
          <w:sz w:val="22"/>
          <w:szCs w:val="22"/>
          <w:vertAlign w:val="subscript"/>
        </w:rPr>
        <w:t>min</w:t>
      </w:r>
      <w:r>
        <w:rPr>
          <w:sz w:val="22"/>
          <w:szCs w:val="22"/>
        </w:rPr>
        <w:t xml:space="preserve"> se déduit de la formule suivante: </w:t>
      </w:r>
    </w:p>
    <w:p w14:paraId="115AE0BB" w14:textId="77777777" w:rsidR="00D358DC" w:rsidRPr="00937C8B" w:rsidRDefault="00D358DC" w:rsidP="00D358DC">
      <w:pPr>
        <w:pStyle w:val="CTENumeracion"/>
        <w:ind w:firstLine="0"/>
        <w:rPr>
          <w:rFonts w:cs="Arial"/>
          <w:sz w:val="22"/>
          <w:szCs w:val="22"/>
        </w:rPr>
      </w:pPr>
      <w:r>
        <w:rPr>
          <w:sz w:val="22"/>
          <w:szCs w:val="22"/>
        </w:rPr>
        <w:t>P</w:t>
      </w:r>
      <w:r>
        <w:rPr>
          <w:sz w:val="22"/>
          <w:szCs w:val="22"/>
          <w:vertAlign w:val="subscript"/>
        </w:rPr>
        <w:t>min</w:t>
      </w:r>
      <w:r>
        <w:rPr>
          <w:sz w:val="22"/>
          <w:szCs w:val="22"/>
        </w:rPr>
        <w:t xml:space="preserve"> = 0,01 · S</w:t>
      </w:r>
    </w:p>
    <w:p w14:paraId="666C14C3" w14:textId="77777777" w:rsidR="00D358DC" w:rsidRPr="00937C8B" w:rsidRDefault="00D358DC" w:rsidP="00D358DC">
      <w:pPr>
        <w:pStyle w:val="CTENumeracion"/>
        <w:ind w:firstLine="0"/>
        <w:rPr>
          <w:rFonts w:cs="Arial"/>
          <w:sz w:val="22"/>
          <w:szCs w:val="22"/>
        </w:rPr>
      </w:pPr>
      <w:r>
        <w:rPr>
          <w:sz w:val="22"/>
          <w:szCs w:val="22"/>
        </w:rPr>
        <w:t>Sans dépasser la valeur de la formule suivante:</w:t>
      </w:r>
    </w:p>
    <w:p w14:paraId="5B656AD5" w14:textId="77777777" w:rsidR="00D358DC" w:rsidRPr="00937C8B" w:rsidRDefault="00D358DC" w:rsidP="00D358DC">
      <w:pPr>
        <w:pStyle w:val="CTENumeracion"/>
        <w:ind w:firstLine="0"/>
        <w:rPr>
          <w:rFonts w:cs="Arial"/>
          <w:sz w:val="22"/>
          <w:szCs w:val="22"/>
        </w:rPr>
      </w:pPr>
      <w:r>
        <w:rPr>
          <w:sz w:val="22"/>
          <w:szCs w:val="22"/>
        </w:rPr>
        <w:t>P</w:t>
      </w:r>
      <w:r>
        <w:rPr>
          <w:sz w:val="22"/>
          <w:szCs w:val="22"/>
          <w:vertAlign w:val="subscript"/>
        </w:rPr>
        <w:t>lim</w:t>
      </w:r>
      <w:r>
        <w:rPr>
          <w:sz w:val="22"/>
          <w:szCs w:val="22"/>
        </w:rPr>
        <w:t xml:space="preserve"> = 0,05 · S</w:t>
      </w:r>
      <w:r>
        <w:rPr>
          <w:sz w:val="22"/>
          <w:szCs w:val="22"/>
          <w:vertAlign w:val="subscript"/>
        </w:rPr>
        <w:t>C</w:t>
      </w:r>
    </w:p>
    <w:p w14:paraId="5CC06018" w14:textId="77777777" w:rsidR="00D358DC" w:rsidRPr="00937C8B" w:rsidRDefault="00D358DC" w:rsidP="00D27646">
      <w:pPr>
        <w:pStyle w:val="CTENumeracion"/>
        <w:keepNext/>
        <w:spacing w:before="0" w:after="0"/>
        <w:ind w:firstLine="3"/>
        <w:rPr>
          <w:rFonts w:cs="Arial"/>
          <w:sz w:val="22"/>
          <w:szCs w:val="22"/>
        </w:rPr>
      </w:pPr>
      <w:r>
        <w:rPr>
          <w:sz w:val="22"/>
          <w:szCs w:val="22"/>
        </w:rPr>
        <w:t>où</w:t>
      </w:r>
    </w:p>
    <w:p w14:paraId="5B335614" w14:textId="449C20A4" w:rsidR="00D358DC" w:rsidRPr="00937C8B" w:rsidRDefault="00D358DC" w:rsidP="00D358DC">
      <w:pPr>
        <w:pStyle w:val="CTENumeracion"/>
        <w:spacing w:before="0" w:after="0"/>
        <w:ind w:left="851"/>
        <w:rPr>
          <w:rFonts w:cs="Arial"/>
          <w:sz w:val="22"/>
          <w:szCs w:val="22"/>
        </w:rPr>
      </w:pPr>
      <w:r>
        <w:rPr>
          <w:sz w:val="22"/>
          <w:szCs w:val="22"/>
        </w:rPr>
        <w:tab/>
        <w:t>P</w:t>
      </w:r>
      <w:r>
        <w:rPr>
          <w:sz w:val="22"/>
          <w:szCs w:val="22"/>
          <w:vertAlign w:val="subscript"/>
        </w:rPr>
        <w:t>min</w:t>
      </w:r>
      <w:r>
        <w:rPr>
          <w:sz w:val="22"/>
          <w:szCs w:val="22"/>
        </w:rPr>
        <w:t>, P</w:t>
      </w:r>
      <w:r>
        <w:rPr>
          <w:sz w:val="22"/>
          <w:szCs w:val="22"/>
          <w:vertAlign w:val="subscript"/>
        </w:rPr>
        <w:t xml:space="preserve">lim </w:t>
      </w:r>
      <w:r>
        <w:rPr>
          <w:sz w:val="22"/>
          <w:szCs w:val="22"/>
        </w:rPr>
        <w:tab/>
      </w:r>
      <w:r>
        <w:rPr>
          <w:i/>
          <w:sz w:val="22"/>
          <w:szCs w:val="22"/>
        </w:rPr>
        <w:t>puissance à installer</w:t>
      </w:r>
      <w:r>
        <w:rPr>
          <w:sz w:val="22"/>
          <w:szCs w:val="22"/>
        </w:rPr>
        <w:t xml:space="preserve"> [kW]</w:t>
      </w:r>
      <w:r w:rsidR="00880E3A">
        <w:rPr>
          <w:sz w:val="22"/>
          <w:szCs w:val="22"/>
        </w:rPr>
        <w:t>,</w:t>
      </w:r>
    </w:p>
    <w:p w14:paraId="5B7A238B" w14:textId="77777777" w:rsidR="00D358DC" w:rsidRPr="00937C8B" w:rsidRDefault="00D358DC" w:rsidP="00D358DC">
      <w:pPr>
        <w:pStyle w:val="CTENumeracion"/>
        <w:spacing w:before="0" w:after="0"/>
        <w:ind w:left="851"/>
        <w:rPr>
          <w:rFonts w:cs="Arial"/>
          <w:sz w:val="22"/>
          <w:szCs w:val="22"/>
        </w:rPr>
      </w:pPr>
      <w:r>
        <w:rPr>
          <w:sz w:val="22"/>
          <w:szCs w:val="22"/>
        </w:rPr>
        <w:tab/>
        <w:t>S</w:t>
      </w:r>
      <w:r>
        <w:rPr>
          <w:sz w:val="22"/>
          <w:szCs w:val="22"/>
        </w:rPr>
        <w:tab/>
        <w:t>la surface construite du bâtiment [m</w:t>
      </w:r>
      <w:r>
        <w:rPr>
          <w:sz w:val="22"/>
          <w:szCs w:val="22"/>
          <w:vertAlign w:val="superscript"/>
        </w:rPr>
        <w:t>2</w:t>
      </w:r>
      <w:r>
        <w:rPr>
          <w:sz w:val="22"/>
          <w:szCs w:val="22"/>
        </w:rPr>
        <w:t>],</w:t>
      </w:r>
    </w:p>
    <w:p w14:paraId="77B26302" w14:textId="09718407" w:rsidR="00D358DC" w:rsidRPr="00937C8B" w:rsidRDefault="00D358DC" w:rsidP="00D358DC">
      <w:pPr>
        <w:pStyle w:val="CTENumeracion"/>
        <w:spacing w:before="0" w:after="0"/>
        <w:ind w:left="851"/>
        <w:rPr>
          <w:rFonts w:cs="Arial"/>
          <w:sz w:val="22"/>
          <w:szCs w:val="22"/>
        </w:rPr>
      </w:pPr>
      <w:r>
        <w:rPr>
          <w:sz w:val="22"/>
          <w:szCs w:val="22"/>
        </w:rPr>
        <w:tab/>
        <w:t>S</w:t>
      </w:r>
      <w:r>
        <w:rPr>
          <w:sz w:val="22"/>
          <w:szCs w:val="22"/>
        </w:rPr>
        <w:tab/>
        <w:t>la surface construite de toiture du bâtiment [m</w:t>
      </w:r>
      <w:r>
        <w:rPr>
          <w:sz w:val="22"/>
          <w:szCs w:val="22"/>
          <w:vertAlign w:val="superscript"/>
        </w:rPr>
        <w:t>2</w:t>
      </w:r>
      <w:r>
        <w:rPr>
          <w:sz w:val="22"/>
          <w:szCs w:val="22"/>
        </w:rPr>
        <w:t>]</w:t>
      </w:r>
      <w:r w:rsidR="00880E3A">
        <w:rPr>
          <w:sz w:val="22"/>
          <w:szCs w:val="22"/>
        </w:rPr>
        <w:t>.</w:t>
      </w:r>
    </w:p>
    <w:p w14:paraId="118D49ED" w14:textId="2C8A0C88" w:rsidR="00D358DC" w:rsidRPr="00937C8B" w:rsidRDefault="00D358DC" w:rsidP="00D358DC">
      <w:pPr>
        <w:pStyle w:val="CTENumeracion"/>
        <w:spacing w:before="240"/>
        <w:rPr>
          <w:rFonts w:cs="Arial"/>
          <w:sz w:val="22"/>
          <w:szCs w:val="22"/>
        </w:rPr>
      </w:pPr>
      <w:r>
        <w:rPr>
          <w:sz w:val="22"/>
          <w:szCs w:val="22"/>
        </w:rPr>
        <w:t>2</w:t>
      </w:r>
      <w:r>
        <w:rPr>
          <w:sz w:val="22"/>
          <w:szCs w:val="22"/>
        </w:rPr>
        <w:tab/>
        <w:t>La puissance obligatoire à installer ne doit en aucun cas être inférieure à 30</w:t>
      </w:r>
      <w:r w:rsidR="00EA7588">
        <w:rPr>
          <w:sz w:val="22"/>
          <w:szCs w:val="22"/>
        </w:rPr>
        <w:t> </w:t>
      </w:r>
      <w:r>
        <w:rPr>
          <w:sz w:val="22"/>
          <w:szCs w:val="22"/>
        </w:rPr>
        <w:t>kW ni supérieure à 100</w:t>
      </w:r>
      <w:r w:rsidR="00EA7588">
        <w:rPr>
          <w:sz w:val="22"/>
          <w:szCs w:val="22"/>
        </w:rPr>
        <w:t> </w:t>
      </w:r>
      <w:r>
        <w:rPr>
          <w:sz w:val="22"/>
          <w:szCs w:val="22"/>
        </w:rPr>
        <w:t>kW.</w:t>
      </w:r>
    </w:p>
    <w:p w14:paraId="7459C8DC" w14:textId="60999B70" w:rsidR="00D358DC" w:rsidRPr="00937C8B" w:rsidRDefault="00D358DC" w:rsidP="0084739B">
      <w:pPr>
        <w:pStyle w:val="CteTtulo2"/>
        <w:spacing w:before="360"/>
        <w:ind w:left="346" w:hanging="346"/>
        <w:jc w:val="both"/>
        <w:rPr>
          <w:rFonts w:cs="Arial"/>
        </w:rPr>
      </w:pPr>
      <w:bookmarkStart w:id="238" w:name="_Toc530395298"/>
      <w:bookmarkStart w:id="239" w:name="_Toc530396177"/>
      <w:bookmarkStart w:id="240" w:name="_Toc39157968"/>
      <w:bookmarkStart w:id="241" w:name="_Toc39158138"/>
      <w:r>
        <w:t>4</w:t>
      </w:r>
      <w:r>
        <w:tab/>
        <w:t>Justification de l</w:t>
      </w:r>
      <w:r w:rsidR="00EA7588">
        <w:t>’</w:t>
      </w:r>
      <w:r>
        <w:t>exigence</w:t>
      </w:r>
      <w:bookmarkEnd w:id="238"/>
      <w:bookmarkEnd w:id="239"/>
      <w:bookmarkEnd w:id="240"/>
      <w:bookmarkEnd w:id="241"/>
    </w:p>
    <w:p w14:paraId="337B8FDE" w14:textId="4344D3D3" w:rsidR="00D358DC" w:rsidRPr="00937C8B" w:rsidRDefault="00D358DC" w:rsidP="00D27646">
      <w:pPr>
        <w:pStyle w:val="CTENormal"/>
        <w:keepNext/>
        <w:jc w:val="both"/>
        <w:rPr>
          <w:szCs w:val="22"/>
        </w:rPr>
      </w:pPr>
      <w:r>
        <w:t>Pour justifier le respect par un bâtiment des exigences de ce DB, les documents de projet comprendront les informations suivantes sur le bâtiment ou la partie du bâtiment faisant l</w:t>
      </w:r>
      <w:r w:rsidR="00EA7588">
        <w:t>’</w:t>
      </w:r>
      <w:r>
        <w:t>objet de l’évaluation:</w:t>
      </w:r>
    </w:p>
    <w:p w14:paraId="264AF983" w14:textId="77777777" w:rsidR="00D358DC" w:rsidRPr="00937C8B" w:rsidRDefault="00D358DC" w:rsidP="00D358DC">
      <w:pPr>
        <w:pStyle w:val="CTENumeracion"/>
        <w:ind w:left="794"/>
        <w:rPr>
          <w:rFonts w:cs="Arial"/>
          <w:sz w:val="22"/>
          <w:szCs w:val="22"/>
        </w:rPr>
      </w:pPr>
      <w:r>
        <w:rPr>
          <w:sz w:val="22"/>
          <w:szCs w:val="22"/>
        </w:rPr>
        <w:t>a)</w:t>
      </w:r>
      <w:r>
        <w:rPr>
          <w:sz w:val="22"/>
          <w:szCs w:val="22"/>
        </w:rPr>
        <w:tab/>
        <w:t>puissance de génération électrique obtenue;</w:t>
      </w:r>
    </w:p>
    <w:p w14:paraId="2552E378" w14:textId="77777777" w:rsidR="00D358DC" w:rsidRPr="00937C8B" w:rsidRDefault="00D358DC" w:rsidP="00D358DC">
      <w:pPr>
        <w:pStyle w:val="CTENumeracion"/>
        <w:ind w:left="794"/>
        <w:rPr>
          <w:rFonts w:cs="Arial"/>
          <w:sz w:val="22"/>
          <w:szCs w:val="22"/>
        </w:rPr>
      </w:pPr>
      <w:r>
        <w:rPr>
          <w:sz w:val="22"/>
          <w:szCs w:val="22"/>
        </w:rPr>
        <w:t>b)</w:t>
      </w:r>
      <w:r>
        <w:rPr>
          <w:sz w:val="22"/>
          <w:szCs w:val="22"/>
        </w:rPr>
        <w:tab/>
      </w:r>
      <w:r>
        <w:rPr>
          <w:i/>
          <w:sz w:val="22"/>
          <w:szCs w:val="22"/>
        </w:rPr>
        <w:t>puissance à installer</w:t>
      </w:r>
      <w:r>
        <w:rPr>
          <w:sz w:val="22"/>
          <w:szCs w:val="22"/>
        </w:rPr>
        <w:t xml:space="preserve"> minimale exigible.</w:t>
      </w:r>
    </w:p>
    <w:p w14:paraId="77ED3401" w14:textId="77777777" w:rsidR="00D358DC" w:rsidRPr="00937C8B" w:rsidRDefault="00D358DC" w:rsidP="00D358DC">
      <w:pPr>
        <w:pStyle w:val="CteTtulo2"/>
        <w:spacing w:before="360"/>
        <w:ind w:left="340" w:hanging="340"/>
        <w:jc w:val="both"/>
        <w:rPr>
          <w:rFonts w:cs="Arial"/>
        </w:rPr>
      </w:pPr>
      <w:bookmarkStart w:id="242" w:name="_Toc530395299"/>
      <w:bookmarkStart w:id="243" w:name="_Toc39157969"/>
      <w:bookmarkStart w:id="244" w:name="_Toc39158139"/>
      <w:r>
        <w:t>5</w:t>
      </w:r>
      <w:r>
        <w:tab/>
        <w:t>Construction, maintenance et conservation</w:t>
      </w:r>
      <w:bookmarkEnd w:id="242"/>
      <w:bookmarkEnd w:id="243"/>
      <w:bookmarkEnd w:id="244"/>
    </w:p>
    <w:p w14:paraId="61F0FA28" w14:textId="77777777" w:rsidR="00D358DC" w:rsidRPr="00937C8B" w:rsidRDefault="00D358DC" w:rsidP="009467D5">
      <w:pPr>
        <w:pStyle w:val="CteTtulo3"/>
      </w:pPr>
      <w:bookmarkStart w:id="245" w:name="_Toc530395300"/>
      <w:bookmarkStart w:id="246" w:name="_Toc530396179"/>
      <w:bookmarkStart w:id="247" w:name="_Toc39157970"/>
      <w:r>
        <w:t>5.1</w:t>
      </w:r>
      <w:r>
        <w:tab/>
        <w:t>Exécution</w:t>
      </w:r>
      <w:bookmarkEnd w:id="245"/>
      <w:bookmarkEnd w:id="246"/>
      <w:bookmarkEnd w:id="247"/>
    </w:p>
    <w:p w14:paraId="74B9AAAB" w14:textId="0ABFD3DC" w:rsidR="00D358DC" w:rsidRPr="00937C8B" w:rsidRDefault="00D358DC" w:rsidP="00D358DC">
      <w:pPr>
        <w:pStyle w:val="CTENumeracion"/>
        <w:rPr>
          <w:rFonts w:cs="Arial"/>
          <w:sz w:val="22"/>
          <w:szCs w:val="22"/>
        </w:rPr>
      </w:pPr>
      <w:r>
        <w:rPr>
          <w:sz w:val="22"/>
          <w:szCs w:val="22"/>
        </w:rPr>
        <w:t>1</w:t>
      </w:r>
      <w:r>
        <w:rPr>
          <w:sz w:val="22"/>
          <w:szCs w:val="22"/>
        </w:rPr>
        <w:tab/>
        <w:t>Les travaux de construction du bâtiment doivent être exécutés conformément au projet et aux modifications autorisées par le responsable des travaux sous réserve de l</w:t>
      </w:r>
      <w:r w:rsidR="00EA7588">
        <w:rPr>
          <w:sz w:val="22"/>
          <w:szCs w:val="22"/>
        </w:rPr>
        <w:t>’</w:t>
      </w:r>
      <w:r>
        <w:rPr>
          <w:sz w:val="22"/>
          <w:szCs w:val="22"/>
        </w:rPr>
        <w:t xml:space="preserve">accord préalable du promoteur, </w:t>
      </w:r>
      <w:r>
        <w:rPr>
          <w:sz w:val="22"/>
          <w:szCs w:val="22"/>
        </w:rPr>
        <w:lastRenderedPageBreak/>
        <w:t>à la législation en vigueur, aux normes relatives aux bonnes pratiques de construction et aux consignes du responsable des travaux et du directeur de l</w:t>
      </w:r>
      <w:r w:rsidR="00EA7588">
        <w:rPr>
          <w:sz w:val="22"/>
          <w:szCs w:val="22"/>
        </w:rPr>
        <w:t>’</w:t>
      </w:r>
      <w:r>
        <w:rPr>
          <w:sz w:val="22"/>
          <w:szCs w:val="22"/>
        </w:rPr>
        <w:t>exécution des travaux, en vertu des dispositions de l</w:t>
      </w:r>
      <w:r w:rsidR="00EA7588">
        <w:rPr>
          <w:sz w:val="22"/>
          <w:szCs w:val="22"/>
        </w:rPr>
        <w:t>’</w:t>
      </w:r>
      <w:r>
        <w:rPr>
          <w:sz w:val="22"/>
          <w:szCs w:val="22"/>
        </w:rPr>
        <w:t>article 7, partie I, du CTE.</w:t>
      </w:r>
    </w:p>
    <w:p w14:paraId="11D54FAB" w14:textId="6ADF6F4C" w:rsidR="00D358DC" w:rsidRPr="00937C8B" w:rsidRDefault="00D358DC" w:rsidP="009467D5">
      <w:pPr>
        <w:pStyle w:val="CteTtulo3"/>
      </w:pPr>
      <w:bookmarkStart w:id="248" w:name="Sección_HE5_ControlEjecucion"/>
      <w:bookmarkStart w:id="249" w:name="_Toc530395301"/>
      <w:bookmarkStart w:id="250" w:name="_Toc39157971"/>
      <w:bookmarkEnd w:id="248"/>
      <w:r>
        <w:t>5.2</w:t>
      </w:r>
      <w:r>
        <w:tab/>
        <w:t>Contrôle de l</w:t>
      </w:r>
      <w:r w:rsidR="00EA7588">
        <w:t>’</w:t>
      </w:r>
      <w:r>
        <w:t>exécution de l</w:t>
      </w:r>
      <w:r w:rsidR="00EA7588">
        <w:t>’</w:t>
      </w:r>
      <w:r>
        <w:t>ouvrage</w:t>
      </w:r>
      <w:bookmarkEnd w:id="249"/>
      <w:bookmarkEnd w:id="250"/>
    </w:p>
    <w:p w14:paraId="3F5E1C2D" w14:textId="332D404E" w:rsidR="00D358DC" w:rsidRPr="00937C8B" w:rsidRDefault="00D358DC" w:rsidP="00D358DC">
      <w:pPr>
        <w:pStyle w:val="CTENumeracion"/>
        <w:spacing w:before="120"/>
        <w:rPr>
          <w:rFonts w:cs="Arial"/>
          <w:sz w:val="22"/>
          <w:szCs w:val="22"/>
        </w:rPr>
      </w:pPr>
      <w:r>
        <w:rPr>
          <w:sz w:val="22"/>
          <w:szCs w:val="22"/>
        </w:rPr>
        <w:t>1</w:t>
      </w:r>
      <w:r>
        <w:rPr>
          <w:sz w:val="22"/>
          <w:szCs w:val="22"/>
        </w:rPr>
        <w:tab/>
        <w:t>L</w:t>
      </w:r>
      <w:r w:rsidR="00EA7588">
        <w:rPr>
          <w:sz w:val="22"/>
          <w:szCs w:val="22"/>
        </w:rPr>
        <w:t>’</w:t>
      </w:r>
      <w:r>
        <w:rPr>
          <w:sz w:val="22"/>
          <w:szCs w:val="22"/>
        </w:rPr>
        <w:t>exécution des travaux doit être contrôlée conformément aux spécifications du projet, de ses annexes, aux modifications autorisées par le responsable des travaux et aux consignes du directeur de l</w:t>
      </w:r>
      <w:r w:rsidR="00EA7588">
        <w:rPr>
          <w:sz w:val="22"/>
          <w:szCs w:val="22"/>
        </w:rPr>
        <w:t>’</w:t>
      </w:r>
      <w:r>
        <w:rPr>
          <w:sz w:val="22"/>
          <w:szCs w:val="22"/>
        </w:rPr>
        <w:t>exécution des travaux, en vertu des dispositions de l</w:t>
      </w:r>
      <w:r w:rsidR="00EA7588">
        <w:rPr>
          <w:sz w:val="22"/>
          <w:szCs w:val="22"/>
        </w:rPr>
        <w:t>’</w:t>
      </w:r>
      <w:r>
        <w:rPr>
          <w:sz w:val="22"/>
          <w:szCs w:val="22"/>
        </w:rPr>
        <w:t>article 7.3 de la partie I du CTE et d</w:t>
      </w:r>
      <w:r w:rsidR="00EA7588">
        <w:rPr>
          <w:sz w:val="22"/>
          <w:szCs w:val="22"/>
        </w:rPr>
        <w:t>’</w:t>
      </w:r>
      <w:r>
        <w:rPr>
          <w:sz w:val="22"/>
          <w:szCs w:val="22"/>
        </w:rPr>
        <w:t>autres normes en vigueur.</w:t>
      </w:r>
    </w:p>
    <w:p w14:paraId="186BC803" w14:textId="6C8925CE" w:rsidR="00D358DC" w:rsidRPr="00937C8B" w:rsidRDefault="00D358DC" w:rsidP="00D358DC">
      <w:pPr>
        <w:pStyle w:val="CTENumeracion"/>
        <w:spacing w:before="120"/>
        <w:rPr>
          <w:rFonts w:cs="Arial"/>
          <w:sz w:val="22"/>
          <w:szCs w:val="22"/>
        </w:rPr>
      </w:pPr>
      <w:r>
        <w:rPr>
          <w:sz w:val="22"/>
          <w:szCs w:val="22"/>
        </w:rPr>
        <w:t>2</w:t>
      </w:r>
      <w:r>
        <w:rPr>
          <w:sz w:val="22"/>
          <w:szCs w:val="22"/>
        </w:rPr>
        <w:tab/>
        <w:t>La vérification doit porter sur l</w:t>
      </w:r>
      <w:r w:rsidR="00EA7588">
        <w:rPr>
          <w:sz w:val="22"/>
          <w:szCs w:val="22"/>
        </w:rPr>
        <w:t>’</w:t>
      </w:r>
      <w:r>
        <w:rPr>
          <w:sz w:val="22"/>
          <w:szCs w:val="22"/>
        </w:rPr>
        <w:t>exécution des travaux conformément aux contrôles et à leur fréquence définis dans le cahier des charges du projet.</w:t>
      </w:r>
    </w:p>
    <w:p w14:paraId="79E4D083" w14:textId="0CC76776" w:rsidR="00D358DC" w:rsidRPr="00937C8B" w:rsidRDefault="00D358DC" w:rsidP="00D358DC">
      <w:pPr>
        <w:pStyle w:val="CTENumeracion"/>
        <w:spacing w:before="120"/>
        <w:rPr>
          <w:rFonts w:cs="Arial"/>
          <w:sz w:val="22"/>
          <w:szCs w:val="22"/>
        </w:rPr>
      </w:pPr>
      <w:r>
        <w:rPr>
          <w:sz w:val="22"/>
          <w:szCs w:val="22"/>
        </w:rPr>
        <w:t>3</w:t>
      </w:r>
      <w:r>
        <w:rPr>
          <w:sz w:val="22"/>
          <w:szCs w:val="22"/>
        </w:rPr>
        <w:tab/>
        <w:t>Toute modification apportée dans le cadre de l</w:t>
      </w:r>
      <w:r w:rsidR="00EA7588">
        <w:rPr>
          <w:sz w:val="22"/>
          <w:szCs w:val="22"/>
        </w:rPr>
        <w:t>’</w:t>
      </w:r>
      <w:r>
        <w:rPr>
          <w:sz w:val="22"/>
          <w:szCs w:val="22"/>
        </w:rPr>
        <w:t>exécution des travaux doit être consignée dans la documentation relative aux travaux réalisés, indépendamment du respect des conditions minimales énoncées dans le présent document de base.</w:t>
      </w:r>
    </w:p>
    <w:p w14:paraId="5A201EFC" w14:textId="77777777" w:rsidR="00D358DC" w:rsidRPr="00937C8B" w:rsidRDefault="00D358DC" w:rsidP="00D358DC">
      <w:pPr>
        <w:pStyle w:val="CTENumeracion"/>
        <w:spacing w:before="120"/>
        <w:rPr>
          <w:rFonts w:cs="Arial"/>
          <w:sz w:val="22"/>
          <w:szCs w:val="22"/>
        </w:rPr>
      </w:pPr>
      <w:r>
        <w:rPr>
          <w:sz w:val="22"/>
          <w:szCs w:val="22"/>
        </w:rPr>
        <w:t>4</w:t>
      </w:r>
      <w:r>
        <w:rPr>
          <w:sz w:val="22"/>
          <w:szCs w:val="22"/>
        </w:rPr>
        <w:tab/>
        <w:t>La documentation se rapportant aux caractéristiques des produits, des équipements et des systèmes intégrés aux travaux doit être jointe au Livre du bâtiment.</w:t>
      </w:r>
    </w:p>
    <w:p w14:paraId="1D518AE2" w14:textId="0E702FFC" w:rsidR="00D358DC" w:rsidRPr="00937C8B" w:rsidRDefault="00D358DC" w:rsidP="009467D5">
      <w:pPr>
        <w:pStyle w:val="CteTtulo3"/>
      </w:pPr>
      <w:bookmarkStart w:id="251" w:name="_Toc530395302"/>
      <w:bookmarkStart w:id="252" w:name="_Toc530396181"/>
      <w:bookmarkStart w:id="253" w:name="_Toc39157972"/>
      <w:r>
        <w:t>5.3</w:t>
      </w:r>
      <w:r>
        <w:tab/>
        <w:t>Contrôle de l</w:t>
      </w:r>
      <w:r w:rsidR="00EA7588">
        <w:t>’</w:t>
      </w:r>
      <w:r>
        <w:t>ouvrage fini</w:t>
      </w:r>
      <w:bookmarkEnd w:id="251"/>
      <w:bookmarkEnd w:id="252"/>
      <w:bookmarkEnd w:id="253"/>
    </w:p>
    <w:p w14:paraId="5C49B1B4" w14:textId="14C59B6A" w:rsidR="00D358DC" w:rsidRPr="00937C8B" w:rsidRDefault="00D358DC" w:rsidP="00D358DC">
      <w:pPr>
        <w:pStyle w:val="CTENumeracion"/>
        <w:spacing w:before="120"/>
        <w:rPr>
          <w:rFonts w:cs="Arial"/>
          <w:sz w:val="22"/>
          <w:szCs w:val="22"/>
        </w:rPr>
      </w:pPr>
      <w:r>
        <w:rPr>
          <w:sz w:val="22"/>
          <w:szCs w:val="22"/>
        </w:rPr>
        <w:t>1</w:t>
      </w:r>
      <w:r>
        <w:rPr>
          <w:sz w:val="22"/>
          <w:szCs w:val="22"/>
        </w:rPr>
        <w:tab/>
        <w:t>Le contrôle de l</w:t>
      </w:r>
      <w:r w:rsidR="00EA7588">
        <w:rPr>
          <w:sz w:val="22"/>
          <w:szCs w:val="22"/>
        </w:rPr>
        <w:t>’</w:t>
      </w:r>
      <w:r>
        <w:rPr>
          <w:sz w:val="22"/>
          <w:szCs w:val="22"/>
        </w:rPr>
        <w:t>ouvrage fini doit satisfaire aux exigences de l</w:t>
      </w:r>
      <w:r w:rsidR="00EA7588">
        <w:rPr>
          <w:sz w:val="22"/>
          <w:szCs w:val="22"/>
        </w:rPr>
        <w:t>’</w:t>
      </w:r>
      <w:r>
        <w:rPr>
          <w:sz w:val="22"/>
          <w:szCs w:val="22"/>
        </w:rPr>
        <w:t>article 7.4 de la partie I du CTE.</w:t>
      </w:r>
    </w:p>
    <w:p w14:paraId="123329AC" w14:textId="77777777" w:rsidR="00D358DC" w:rsidRPr="00937C8B" w:rsidRDefault="00D358DC" w:rsidP="00D358DC">
      <w:pPr>
        <w:pStyle w:val="CTENumeracion"/>
        <w:spacing w:before="120"/>
        <w:rPr>
          <w:rFonts w:cs="Arial"/>
          <w:sz w:val="22"/>
          <w:szCs w:val="22"/>
        </w:rPr>
      </w:pPr>
      <w:r>
        <w:rPr>
          <w:sz w:val="22"/>
          <w:szCs w:val="22"/>
        </w:rPr>
        <w:t>2</w:t>
      </w:r>
      <w:r>
        <w:rPr>
          <w:sz w:val="22"/>
          <w:szCs w:val="22"/>
        </w:rPr>
        <w:tab/>
        <w:t>Les essais finaux ne sont pas précisés dans ce chapitre du document de base.</w:t>
      </w:r>
    </w:p>
    <w:p w14:paraId="4FD278CF" w14:textId="77777777" w:rsidR="00D358DC" w:rsidRPr="00937C8B" w:rsidRDefault="00D358DC" w:rsidP="009467D5">
      <w:pPr>
        <w:pStyle w:val="CteTtulo3"/>
      </w:pPr>
      <w:bookmarkStart w:id="254" w:name="Sección_HE5_Mantenimiento"/>
      <w:bookmarkStart w:id="255" w:name="_Toc530395303"/>
      <w:bookmarkStart w:id="256" w:name="_Toc39157973"/>
      <w:bookmarkEnd w:id="254"/>
      <w:r>
        <w:t>5.4</w:t>
      </w:r>
      <w:r>
        <w:tab/>
        <w:t>Maintenance et conservation du bâtiment</w:t>
      </w:r>
      <w:bookmarkEnd w:id="255"/>
      <w:bookmarkEnd w:id="256"/>
    </w:p>
    <w:p w14:paraId="5871886C" w14:textId="13798127" w:rsidR="00D358DC" w:rsidRPr="00937C8B" w:rsidRDefault="00D358DC" w:rsidP="00D358DC">
      <w:pPr>
        <w:pStyle w:val="CTENumeracion"/>
        <w:spacing w:before="120"/>
        <w:rPr>
          <w:rFonts w:cs="Arial"/>
          <w:sz w:val="22"/>
          <w:szCs w:val="22"/>
        </w:rPr>
      </w:pPr>
      <w:bookmarkStart w:id="257" w:name="__RefHeading___Toc23509_1942651498"/>
      <w:bookmarkEnd w:id="257"/>
      <w:r>
        <w:rPr>
          <w:sz w:val="22"/>
          <w:szCs w:val="22"/>
        </w:rPr>
        <w:t>1</w:t>
      </w:r>
      <w:r>
        <w:rPr>
          <w:sz w:val="22"/>
          <w:szCs w:val="22"/>
        </w:rPr>
        <w:tab/>
        <w:t>Le plan de maintenance inclus dans le livre du bâtiment présente la fréquence et la nature des opérations nécessaires à l</w:t>
      </w:r>
      <w:r w:rsidR="00EA7588">
        <w:rPr>
          <w:sz w:val="22"/>
          <w:szCs w:val="22"/>
        </w:rPr>
        <w:t>’</w:t>
      </w:r>
      <w:r>
        <w:rPr>
          <w:sz w:val="22"/>
          <w:szCs w:val="22"/>
        </w:rPr>
        <w:t>entretien, dans le temps, des paramètres de conception et des performances des installations de production d</w:t>
      </w:r>
      <w:r w:rsidR="00EA7588">
        <w:rPr>
          <w:sz w:val="22"/>
          <w:szCs w:val="22"/>
        </w:rPr>
        <w:t>’</w:t>
      </w:r>
      <w:r>
        <w:rPr>
          <w:sz w:val="22"/>
          <w:szCs w:val="22"/>
        </w:rPr>
        <w:t xml:space="preserve">énergie produite à partir de sources renouvelables. </w:t>
      </w:r>
    </w:p>
    <w:p w14:paraId="168B6E4E" w14:textId="7BAC94FA" w:rsidR="00175E40" w:rsidRPr="00937C8B" w:rsidRDefault="00D358DC" w:rsidP="005B7917">
      <w:pPr>
        <w:pStyle w:val="CTENumeracion"/>
        <w:spacing w:before="120"/>
        <w:rPr>
          <w:rFonts w:cs="Arial"/>
          <w:sz w:val="22"/>
          <w:szCs w:val="22"/>
        </w:rPr>
      </w:pPr>
      <w:r>
        <w:rPr>
          <w:sz w:val="22"/>
          <w:szCs w:val="22"/>
        </w:rPr>
        <w:t>2</w:t>
      </w:r>
      <w:r>
        <w:rPr>
          <w:sz w:val="22"/>
          <w:szCs w:val="22"/>
        </w:rPr>
        <w:tab/>
        <w:t>Il convient d’y consigner également toutes les interventions effectuées, qu</w:t>
      </w:r>
      <w:r w:rsidR="00EA7588">
        <w:rPr>
          <w:sz w:val="22"/>
          <w:szCs w:val="22"/>
        </w:rPr>
        <w:t>’</w:t>
      </w:r>
      <w:r>
        <w:rPr>
          <w:sz w:val="22"/>
          <w:szCs w:val="22"/>
        </w:rPr>
        <w:t>il s</w:t>
      </w:r>
      <w:r w:rsidR="00EA7588">
        <w:rPr>
          <w:sz w:val="22"/>
          <w:szCs w:val="22"/>
        </w:rPr>
        <w:t>’</w:t>
      </w:r>
      <w:r>
        <w:rPr>
          <w:sz w:val="22"/>
          <w:szCs w:val="22"/>
        </w:rPr>
        <w:t>agisse de réparations, de rénovations ou de réhabilitations, tout au long de la vie utile du bâtiment.</w:t>
      </w:r>
    </w:p>
    <w:p w14:paraId="7E135C5B" w14:textId="77777777" w:rsidR="005B7917" w:rsidRPr="00937C8B" w:rsidRDefault="005B7917" w:rsidP="0084739B">
      <w:pPr>
        <w:pStyle w:val="CteTtuloSeccion"/>
        <w:pageBreakBefore/>
        <w:rPr>
          <w:rFonts w:cs="Arial"/>
          <w:color w:val="auto"/>
        </w:rPr>
      </w:pPr>
      <w:bookmarkStart w:id="258" w:name="_Toc39157974"/>
      <w:bookmarkStart w:id="259" w:name="_Toc39158140"/>
      <w:r>
        <w:rPr>
          <w:color w:val="auto"/>
        </w:rPr>
        <w:lastRenderedPageBreak/>
        <w:t>Annexe A</w:t>
      </w:r>
      <w:r>
        <w:rPr>
          <w:color w:val="auto"/>
        </w:rPr>
        <w:tab/>
        <w:t>Terminologie</w:t>
      </w:r>
      <w:bookmarkEnd w:id="258"/>
      <w:bookmarkEnd w:id="259"/>
    </w:p>
    <w:p w14:paraId="47CB0DD6" w14:textId="3C2E4CBC" w:rsidR="00037CDA" w:rsidRPr="00937C8B" w:rsidRDefault="00037CDA" w:rsidP="00037CDA">
      <w:pPr>
        <w:pStyle w:val="CTENormal"/>
        <w:jc w:val="both"/>
      </w:pPr>
      <w:r>
        <w:rPr>
          <w:rStyle w:val="CteAnejo-DefinicionCar"/>
        </w:rPr>
        <w:t>Capacité d</w:t>
      </w:r>
      <w:r w:rsidR="00EA7588">
        <w:rPr>
          <w:rStyle w:val="CteAnejo-DefinicionCar"/>
        </w:rPr>
        <w:t>’</w:t>
      </w:r>
      <w:r>
        <w:rPr>
          <w:rStyle w:val="CteAnejo-DefinicionCar"/>
        </w:rPr>
        <w:t>absorption</w:t>
      </w:r>
      <w:r>
        <w:rPr>
          <w:rStyle w:val="CteAnejo-DefinicionCar"/>
          <w:i w:val="0"/>
        </w:rPr>
        <w:t xml:space="preserve"> (α)</w:t>
      </w:r>
      <w:r>
        <w:t>: part du rayonnement solaire incident sur une surface qui est absorbée par celle-ci. Sa valeur oscille entre 0,0 (0</w:t>
      </w:r>
      <w:r w:rsidR="00EA7588">
        <w:t> </w:t>
      </w:r>
      <w:r>
        <w:t>% du rayonnement absorbé) et 1,0 (100</w:t>
      </w:r>
      <w:r w:rsidR="00EA7588">
        <w:t> </w:t>
      </w:r>
      <w:r>
        <w:t>% du rayonnement absorbé).</w:t>
      </w:r>
    </w:p>
    <w:p w14:paraId="53DEB178" w14:textId="77777777" w:rsidR="00037CDA" w:rsidRPr="00937C8B" w:rsidRDefault="00037CDA" w:rsidP="00037CDA">
      <w:pPr>
        <w:pStyle w:val="CTENormal"/>
        <w:jc w:val="both"/>
      </w:pPr>
      <w:r>
        <w:rPr>
          <w:rStyle w:val="CteAnejo-DefinicionCar"/>
        </w:rPr>
        <w:t>Adiabatique</w:t>
      </w:r>
      <w:r>
        <w:t xml:space="preserve">: se reporter à </w:t>
      </w:r>
      <w:r>
        <w:rPr>
          <w:i/>
        </w:rPr>
        <w:t>Cloison adiabatique</w:t>
      </w:r>
      <w:r>
        <w:t>.</w:t>
      </w:r>
    </w:p>
    <w:p w14:paraId="214B238F" w14:textId="0851AA45" w:rsidR="00037CDA" w:rsidRPr="00937C8B" w:rsidRDefault="00037CDA" w:rsidP="00037CDA">
      <w:pPr>
        <w:pStyle w:val="CTENormal"/>
        <w:jc w:val="both"/>
      </w:pPr>
      <w:r>
        <w:rPr>
          <w:rStyle w:val="CteAnejo-DefinicionCar"/>
        </w:rPr>
        <w:t>Bien-être thermique</w:t>
      </w:r>
      <w:r>
        <w:t xml:space="preserve">: </w:t>
      </w:r>
      <w:r w:rsidR="00880E3A">
        <w:t>c</w:t>
      </w:r>
      <w:r>
        <w:t>onditions intérieures de température, d</w:t>
      </w:r>
      <w:r w:rsidR="00EA7588">
        <w:t>’</w:t>
      </w:r>
      <w:r>
        <w:t>humidité et de vitesse de l</w:t>
      </w:r>
      <w:r w:rsidR="00EA7588">
        <w:t>’</w:t>
      </w:r>
      <w:r>
        <w:t>air établies par règlement qui sont considérées comme produisant une sensation de bien-être adéquate et suffisante pour ses occupants.</w:t>
      </w:r>
    </w:p>
    <w:p w14:paraId="5A9FEC0E" w14:textId="5F3287D8" w:rsidR="00037CDA" w:rsidRPr="00937C8B" w:rsidRDefault="00037CDA" w:rsidP="005B7917">
      <w:pPr>
        <w:pStyle w:val="CTENormal"/>
        <w:spacing w:after="60"/>
        <w:jc w:val="both"/>
        <w:rPr>
          <w:szCs w:val="22"/>
        </w:rPr>
      </w:pPr>
      <w:r>
        <w:rPr>
          <w:rStyle w:val="CteAnejo-DefinicionCar"/>
        </w:rPr>
        <w:t>Charge interne</w:t>
      </w:r>
      <w:r>
        <w:t>: ensemble des sollicitations qui se produisent à l</w:t>
      </w:r>
      <w:r w:rsidR="00EA7588">
        <w:t>’</w:t>
      </w:r>
      <w:r>
        <w:t>intérieur du bâtiment, notamment en raison des apports d</w:t>
      </w:r>
      <w:r w:rsidR="00EA7588">
        <w:t>’</w:t>
      </w:r>
      <w:r>
        <w:t>énergie des sources internes (occupants, appareils électriques, éclairage, etc.). Elle est exprimée en W/m2.</w:t>
      </w:r>
    </w:p>
    <w:p w14:paraId="442FBD63" w14:textId="5C8B2D95" w:rsidR="005B7917" w:rsidRPr="00937C8B" w:rsidRDefault="00037CDA" w:rsidP="00D27646">
      <w:pPr>
        <w:pStyle w:val="CTEtabla-Titulo"/>
        <w:spacing w:before="0"/>
        <w:jc w:val="both"/>
        <w:rPr>
          <w:b w:val="0"/>
          <w:sz w:val="22"/>
          <w:szCs w:val="22"/>
        </w:rPr>
      </w:pPr>
      <w:r>
        <w:rPr>
          <w:b w:val="0"/>
          <w:sz w:val="22"/>
          <w:szCs w:val="22"/>
        </w:rPr>
        <w:t xml:space="preserve">La </w:t>
      </w:r>
      <w:r>
        <w:rPr>
          <w:b w:val="0"/>
          <w:i/>
          <w:iCs/>
          <w:sz w:val="22"/>
          <w:szCs w:val="22"/>
        </w:rPr>
        <w:t>charge interne moyenne</w:t>
      </w:r>
      <w:r>
        <w:rPr>
          <w:b w:val="0"/>
          <w:sz w:val="22"/>
          <w:szCs w:val="22"/>
        </w:rPr>
        <w:t xml:space="preserve"> (CFI) quantifie la charge interne du bâtiment ou de la zone du bâtiment au cours d</w:t>
      </w:r>
      <w:r w:rsidR="00EA7588">
        <w:rPr>
          <w:b w:val="0"/>
          <w:sz w:val="22"/>
          <w:szCs w:val="22"/>
        </w:rPr>
        <w:t>’</w:t>
      </w:r>
      <w:r>
        <w:rPr>
          <w:b w:val="0"/>
          <w:sz w:val="22"/>
          <w:szCs w:val="22"/>
        </w:rPr>
        <w:t>une semaine type. Elle permet de classer un espace, une zone ou l’ensemble du bâtiment selon le tableau a de l</w:t>
      </w:r>
      <w:r w:rsidR="00EA7588">
        <w:rPr>
          <w:b w:val="0"/>
          <w:sz w:val="22"/>
          <w:szCs w:val="22"/>
        </w:rPr>
        <w:t>’</w:t>
      </w:r>
      <w:r>
        <w:rPr>
          <w:b w:val="0"/>
          <w:sz w:val="22"/>
          <w:szCs w:val="22"/>
        </w:rPr>
        <w:t>annexe A:</w:t>
      </w:r>
    </w:p>
    <w:p w14:paraId="768152CE" w14:textId="77777777" w:rsidR="00037CDA" w:rsidRPr="00937C8B" w:rsidRDefault="00037CDA" w:rsidP="00D27646">
      <w:pPr>
        <w:pStyle w:val="CTEtabla-Titulo"/>
        <w:spacing w:before="0"/>
      </w:pPr>
      <w:r>
        <w:t>Tableau a-Annexe A. Niveau de charge interne</w:t>
      </w:r>
    </w:p>
    <w:tbl>
      <w:tblPr>
        <w:tblW w:w="4678" w:type="dxa"/>
        <w:jc w:val="center"/>
        <w:tblBorders>
          <w:insideH w:val="single" w:sz="4" w:space="0" w:color="000000"/>
          <w:insideV w:val="single" w:sz="4" w:space="0" w:color="000000"/>
        </w:tblBorders>
        <w:tblCellMar>
          <w:left w:w="103" w:type="dxa"/>
        </w:tblCellMar>
        <w:tblLook w:val="04A0" w:firstRow="1" w:lastRow="0" w:firstColumn="1" w:lastColumn="0" w:noHBand="0" w:noVBand="1"/>
      </w:tblPr>
      <w:tblGrid>
        <w:gridCol w:w="2200"/>
        <w:gridCol w:w="2478"/>
      </w:tblGrid>
      <w:tr w:rsidR="00037CDA" w:rsidRPr="00937C8B" w14:paraId="060B9726" w14:textId="77777777" w:rsidTr="003E38D0">
        <w:trPr>
          <w:jc w:val="center"/>
        </w:trPr>
        <w:tc>
          <w:tcPr>
            <w:tcW w:w="2200" w:type="dxa"/>
            <w:tcBorders>
              <w:bottom w:val="single" w:sz="4" w:space="0" w:color="000000"/>
            </w:tcBorders>
            <w:shd w:val="clear" w:color="auto" w:fill="FFFFFF"/>
          </w:tcPr>
          <w:p w14:paraId="5A52B2DA" w14:textId="77777777" w:rsidR="00037CDA" w:rsidRPr="00937C8B" w:rsidRDefault="00037CDA" w:rsidP="00D27646">
            <w:pPr>
              <w:pStyle w:val="CTEtabla-texto"/>
              <w:keepNext/>
              <w:snapToGrid w:val="0"/>
              <w:jc w:val="left"/>
              <w:rPr>
                <w:rFonts w:cs="Arial"/>
                <w:b/>
              </w:rPr>
            </w:pPr>
            <w:r>
              <w:rPr>
                <w:b/>
              </w:rPr>
              <w:t>Niveau de charge interne</w:t>
            </w:r>
          </w:p>
        </w:tc>
        <w:tc>
          <w:tcPr>
            <w:tcW w:w="2477" w:type="dxa"/>
            <w:tcBorders>
              <w:bottom w:val="single" w:sz="4" w:space="0" w:color="000000"/>
            </w:tcBorders>
            <w:shd w:val="clear" w:color="auto" w:fill="FFFFFF"/>
            <w:tcMar>
              <w:left w:w="78" w:type="dxa"/>
            </w:tcMar>
          </w:tcPr>
          <w:p w14:paraId="31A44584" w14:textId="77777777" w:rsidR="00037CDA" w:rsidRPr="00937C8B" w:rsidRDefault="00037CDA" w:rsidP="00D27646">
            <w:pPr>
              <w:pStyle w:val="CTEtabla-texto"/>
              <w:keepNext/>
              <w:snapToGrid w:val="0"/>
              <w:rPr>
                <w:rFonts w:cs="Arial"/>
              </w:rPr>
            </w:pPr>
            <w:r>
              <w:rPr>
                <w:b/>
              </w:rPr>
              <w:t xml:space="preserve">Charge interne moyenne, </w:t>
            </w:r>
            <w:r>
              <w:rPr>
                <w:b/>
                <w:szCs w:val="20"/>
              </w:rPr>
              <w:t>C</w:t>
            </w:r>
            <w:r>
              <w:rPr>
                <w:b/>
                <w:szCs w:val="20"/>
                <w:vertAlign w:val="subscript"/>
              </w:rPr>
              <w:t>FI</w:t>
            </w:r>
            <w:r>
              <w:rPr>
                <w:b/>
              </w:rPr>
              <w:t xml:space="preserve"> [W/m</w:t>
            </w:r>
            <w:r>
              <w:rPr>
                <w:b/>
                <w:szCs w:val="20"/>
                <w:vertAlign w:val="superscript"/>
              </w:rPr>
              <w:t>2</w:t>
            </w:r>
            <w:r>
              <w:rPr>
                <w:b/>
              </w:rPr>
              <w:t>]</w:t>
            </w:r>
          </w:p>
        </w:tc>
      </w:tr>
      <w:tr w:rsidR="00037CDA" w:rsidRPr="00937C8B" w14:paraId="3867B6BF" w14:textId="77777777" w:rsidTr="003E38D0">
        <w:trPr>
          <w:jc w:val="center"/>
        </w:trPr>
        <w:tc>
          <w:tcPr>
            <w:tcW w:w="2200" w:type="dxa"/>
            <w:tcBorders>
              <w:top w:val="single" w:sz="4" w:space="0" w:color="000000"/>
              <w:bottom w:val="nil"/>
            </w:tcBorders>
            <w:shd w:val="clear" w:color="auto" w:fill="FFFFFF"/>
            <w:tcMar>
              <w:top w:w="55" w:type="dxa"/>
              <w:left w:w="40" w:type="dxa"/>
              <w:bottom w:w="55" w:type="dxa"/>
              <w:right w:w="55" w:type="dxa"/>
            </w:tcMar>
          </w:tcPr>
          <w:p w14:paraId="05B23725" w14:textId="77777777" w:rsidR="00037CDA" w:rsidRPr="00937C8B" w:rsidRDefault="00037CDA" w:rsidP="003E38D0">
            <w:pPr>
              <w:pStyle w:val="CTEtabla-texto"/>
              <w:snapToGrid w:val="0"/>
              <w:jc w:val="left"/>
              <w:rPr>
                <w:rFonts w:cs="Arial"/>
              </w:rPr>
            </w:pPr>
            <w:r>
              <w:t>Faible</w:t>
            </w:r>
          </w:p>
        </w:tc>
        <w:tc>
          <w:tcPr>
            <w:tcW w:w="2477" w:type="dxa"/>
            <w:tcBorders>
              <w:top w:val="single" w:sz="4" w:space="0" w:color="000000"/>
              <w:bottom w:val="nil"/>
            </w:tcBorders>
            <w:shd w:val="clear" w:color="auto" w:fill="FFFFFF"/>
            <w:tcMar>
              <w:top w:w="55" w:type="dxa"/>
              <w:left w:w="40" w:type="dxa"/>
              <w:bottom w:w="55" w:type="dxa"/>
              <w:right w:w="55" w:type="dxa"/>
            </w:tcMar>
          </w:tcPr>
          <w:p w14:paraId="20FA2B9C" w14:textId="77777777" w:rsidR="00037CDA" w:rsidRPr="00937C8B" w:rsidRDefault="00037CDA" w:rsidP="003E38D0">
            <w:pPr>
              <w:pStyle w:val="CTEtabla-texto"/>
              <w:snapToGrid w:val="0"/>
              <w:rPr>
                <w:rFonts w:cs="Arial"/>
              </w:rPr>
            </w:pPr>
            <w:r>
              <w:t>C</w:t>
            </w:r>
            <w:r>
              <w:rPr>
                <w:vertAlign w:val="subscript"/>
              </w:rPr>
              <w:t xml:space="preserve">FI </w:t>
            </w:r>
            <w:r>
              <w:t>&lt; 6</w:t>
            </w:r>
          </w:p>
        </w:tc>
      </w:tr>
      <w:tr w:rsidR="00037CDA" w:rsidRPr="00937C8B" w14:paraId="02CA7527" w14:textId="77777777" w:rsidTr="003E38D0">
        <w:trPr>
          <w:jc w:val="center"/>
        </w:trPr>
        <w:tc>
          <w:tcPr>
            <w:tcW w:w="2200" w:type="dxa"/>
            <w:tcBorders>
              <w:top w:val="nil"/>
              <w:bottom w:val="nil"/>
            </w:tcBorders>
            <w:shd w:val="clear" w:color="auto" w:fill="FFFFFF"/>
            <w:tcMar>
              <w:top w:w="55" w:type="dxa"/>
              <w:left w:w="40" w:type="dxa"/>
              <w:bottom w:w="55" w:type="dxa"/>
              <w:right w:w="55" w:type="dxa"/>
            </w:tcMar>
          </w:tcPr>
          <w:p w14:paraId="7DDA8444" w14:textId="77777777" w:rsidR="00037CDA" w:rsidRPr="00937C8B" w:rsidRDefault="00037CDA" w:rsidP="003E38D0">
            <w:pPr>
              <w:pStyle w:val="CTEtabla-texto"/>
              <w:snapToGrid w:val="0"/>
              <w:jc w:val="left"/>
              <w:rPr>
                <w:rFonts w:cs="Arial"/>
              </w:rPr>
            </w:pPr>
            <w:r>
              <w:t>Moyenne</w:t>
            </w:r>
          </w:p>
        </w:tc>
        <w:tc>
          <w:tcPr>
            <w:tcW w:w="2477" w:type="dxa"/>
            <w:tcBorders>
              <w:top w:val="nil"/>
              <w:bottom w:val="nil"/>
            </w:tcBorders>
            <w:shd w:val="clear" w:color="auto" w:fill="FFFFFF"/>
            <w:tcMar>
              <w:top w:w="55" w:type="dxa"/>
              <w:left w:w="40" w:type="dxa"/>
              <w:bottom w:w="55" w:type="dxa"/>
              <w:right w:w="55" w:type="dxa"/>
            </w:tcMar>
          </w:tcPr>
          <w:p w14:paraId="43111E76" w14:textId="77777777" w:rsidR="00037CDA" w:rsidRPr="00937C8B" w:rsidRDefault="00037CDA" w:rsidP="003E38D0">
            <w:pPr>
              <w:pStyle w:val="CTEtabla-texto"/>
              <w:snapToGrid w:val="0"/>
              <w:rPr>
                <w:rFonts w:cs="Arial"/>
              </w:rPr>
            </w:pPr>
            <w:r>
              <w:t>6 ≤ C</w:t>
            </w:r>
            <w:r>
              <w:rPr>
                <w:vertAlign w:val="subscript"/>
              </w:rPr>
              <w:t xml:space="preserve">FI </w:t>
            </w:r>
            <w:r>
              <w:t>&lt; 9</w:t>
            </w:r>
          </w:p>
        </w:tc>
      </w:tr>
      <w:tr w:rsidR="00037CDA" w:rsidRPr="00937C8B" w14:paraId="6170D593" w14:textId="77777777" w:rsidTr="003E38D0">
        <w:trPr>
          <w:jc w:val="center"/>
        </w:trPr>
        <w:tc>
          <w:tcPr>
            <w:tcW w:w="2200" w:type="dxa"/>
            <w:tcBorders>
              <w:top w:val="nil"/>
              <w:bottom w:val="nil"/>
            </w:tcBorders>
            <w:shd w:val="clear" w:color="auto" w:fill="FFFFFF"/>
            <w:tcMar>
              <w:top w:w="55" w:type="dxa"/>
              <w:left w:w="40" w:type="dxa"/>
              <w:bottom w:w="55" w:type="dxa"/>
              <w:right w:w="55" w:type="dxa"/>
            </w:tcMar>
          </w:tcPr>
          <w:p w14:paraId="2BFD1C4E" w14:textId="77777777" w:rsidR="00037CDA" w:rsidRPr="00937C8B" w:rsidRDefault="00037CDA" w:rsidP="003E38D0">
            <w:pPr>
              <w:pStyle w:val="CTEtabla-texto"/>
              <w:snapToGrid w:val="0"/>
              <w:jc w:val="left"/>
              <w:rPr>
                <w:rFonts w:cs="Arial"/>
              </w:rPr>
            </w:pPr>
            <w:r>
              <w:t>Élevée</w:t>
            </w:r>
          </w:p>
        </w:tc>
        <w:tc>
          <w:tcPr>
            <w:tcW w:w="2477" w:type="dxa"/>
            <w:tcBorders>
              <w:top w:val="nil"/>
              <w:bottom w:val="nil"/>
            </w:tcBorders>
            <w:shd w:val="clear" w:color="auto" w:fill="FFFFFF"/>
            <w:tcMar>
              <w:top w:w="55" w:type="dxa"/>
              <w:left w:w="40" w:type="dxa"/>
              <w:bottom w:w="55" w:type="dxa"/>
              <w:right w:w="55" w:type="dxa"/>
            </w:tcMar>
          </w:tcPr>
          <w:p w14:paraId="2833AC97" w14:textId="77777777" w:rsidR="00037CDA" w:rsidRPr="00937C8B" w:rsidRDefault="00037CDA" w:rsidP="003E38D0">
            <w:pPr>
              <w:pStyle w:val="CTEtabla-texto"/>
              <w:snapToGrid w:val="0"/>
              <w:rPr>
                <w:rFonts w:cs="Arial"/>
              </w:rPr>
            </w:pPr>
            <w:r>
              <w:t>9 ≤ C</w:t>
            </w:r>
            <w:r>
              <w:rPr>
                <w:vertAlign w:val="subscript"/>
              </w:rPr>
              <w:t xml:space="preserve">FI </w:t>
            </w:r>
            <w:r>
              <w:t>&lt; 12</w:t>
            </w:r>
          </w:p>
        </w:tc>
      </w:tr>
      <w:tr w:rsidR="00037CDA" w:rsidRPr="00937C8B" w14:paraId="7910A373" w14:textId="77777777" w:rsidTr="003E38D0">
        <w:trPr>
          <w:jc w:val="center"/>
        </w:trPr>
        <w:tc>
          <w:tcPr>
            <w:tcW w:w="2200" w:type="dxa"/>
            <w:tcBorders>
              <w:top w:val="nil"/>
              <w:bottom w:val="nil"/>
            </w:tcBorders>
            <w:shd w:val="clear" w:color="auto" w:fill="FFFFFF"/>
            <w:tcMar>
              <w:top w:w="55" w:type="dxa"/>
              <w:left w:w="40" w:type="dxa"/>
              <w:bottom w:w="55" w:type="dxa"/>
              <w:right w:w="55" w:type="dxa"/>
            </w:tcMar>
          </w:tcPr>
          <w:p w14:paraId="40BE5580" w14:textId="77777777" w:rsidR="00037CDA" w:rsidRPr="00937C8B" w:rsidRDefault="00037CDA" w:rsidP="003E38D0">
            <w:pPr>
              <w:pStyle w:val="CTEtabla-texto"/>
              <w:snapToGrid w:val="0"/>
              <w:jc w:val="left"/>
              <w:rPr>
                <w:rFonts w:cs="Arial"/>
              </w:rPr>
            </w:pPr>
            <w:r>
              <w:t>Très élevée</w:t>
            </w:r>
          </w:p>
        </w:tc>
        <w:tc>
          <w:tcPr>
            <w:tcW w:w="2477" w:type="dxa"/>
            <w:tcBorders>
              <w:top w:val="nil"/>
              <w:bottom w:val="nil"/>
            </w:tcBorders>
            <w:shd w:val="clear" w:color="auto" w:fill="FFFFFF"/>
            <w:tcMar>
              <w:top w:w="55" w:type="dxa"/>
              <w:left w:w="40" w:type="dxa"/>
              <w:bottom w:w="55" w:type="dxa"/>
              <w:right w:w="55" w:type="dxa"/>
            </w:tcMar>
          </w:tcPr>
          <w:p w14:paraId="60E2D4F5" w14:textId="77777777" w:rsidR="00037CDA" w:rsidRPr="00937C8B" w:rsidRDefault="00037CDA" w:rsidP="003E38D0">
            <w:pPr>
              <w:pStyle w:val="CTEtabla-texto"/>
              <w:snapToGrid w:val="0"/>
              <w:rPr>
                <w:rFonts w:cs="Arial"/>
              </w:rPr>
            </w:pPr>
            <w:r>
              <w:t>12 ≤ C</w:t>
            </w:r>
            <w:r>
              <w:rPr>
                <w:vertAlign w:val="subscript"/>
              </w:rPr>
              <w:t>FI</w:t>
            </w:r>
          </w:p>
        </w:tc>
      </w:tr>
    </w:tbl>
    <w:p w14:paraId="0E5B7AED" w14:textId="77777777" w:rsidR="00037CDA" w:rsidRPr="00937C8B" w:rsidRDefault="00037CDA" w:rsidP="00037CDA">
      <w:pPr>
        <w:pStyle w:val="Standard"/>
      </w:pPr>
    </w:p>
    <w:p w14:paraId="66878B38" w14:textId="4260CB63" w:rsidR="00037CDA" w:rsidRPr="00937C8B" w:rsidRDefault="00037CDA" w:rsidP="00D27646">
      <w:pPr>
        <w:pStyle w:val="Standard"/>
        <w:keepNext/>
        <w:jc w:val="both"/>
      </w:pPr>
      <w:r>
        <w:rPr>
          <w:b/>
          <w:bCs/>
          <w:i/>
          <w:iCs/>
        </w:rPr>
        <w:t>Charge interne moyenne (C</w:t>
      </w:r>
      <w:r>
        <w:rPr>
          <w:b/>
          <w:bCs/>
          <w:i/>
          <w:iCs/>
          <w:vertAlign w:val="subscript"/>
        </w:rPr>
        <w:t>FI</w:t>
      </w:r>
      <w:r>
        <w:rPr>
          <w:b/>
          <w:bCs/>
          <w:i/>
          <w:iCs/>
        </w:rPr>
        <w:t>)</w:t>
      </w:r>
      <w:r>
        <w:t>: charge horaire moyenne d</w:t>
      </w:r>
      <w:r w:rsidR="00EA7588">
        <w:t>’</w:t>
      </w:r>
      <w:r>
        <w:t>une semaine type, répercutée par unité de surface du bâtiment ou par zone du bâtiment, en tenant compte de la charge sensible due à l</w:t>
      </w:r>
      <w:r w:rsidR="00EA7588">
        <w:t>’</w:t>
      </w:r>
      <w:r>
        <w:t>occupation, de la charge due à l</w:t>
      </w:r>
      <w:r w:rsidR="00EA7588">
        <w:t>’</w:t>
      </w:r>
      <w:r>
        <w:t>éclairage et de la charge due aux équipements:</w:t>
      </w:r>
    </w:p>
    <w:p w14:paraId="78F4DB3A" w14:textId="5101EED1" w:rsidR="00037CDA" w:rsidRPr="00937C8B" w:rsidRDefault="00037CDA" w:rsidP="00037CDA">
      <w:pPr>
        <w:pStyle w:val="CTENormal"/>
        <w:ind w:left="709"/>
        <w:jc w:val="both"/>
      </w:pPr>
      <w:r>
        <w:t>C</w:t>
      </w:r>
      <w:r>
        <w:rPr>
          <w:szCs w:val="20"/>
          <w:vertAlign w:val="subscript"/>
        </w:rPr>
        <w:t>FI</w:t>
      </w:r>
      <w:r>
        <w:t xml:space="preserve"> = ΣC</w:t>
      </w:r>
      <w:r>
        <w:rPr>
          <w:vertAlign w:val="subscript"/>
        </w:rPr>
        <w:t>oc</w:t>
      </w:r>
      <w:r w:rsidR="00EA7588">
        <w:t>/</w:t>
      </w:r>
      <w:r>
        <w:t>(7·24) + ΣC</w:t>
      </w:r>
      <w:r>
        <w:rPr>
          <w:vertAlign w:val="subscript"/>
        </w:rPr>
        <w:t>ec</w:t>
      </w:r>
      <w:r w:rsidR="00EA7588">
        <w:t>/</w:t>
      </w:r>
      <w:r>
        <w:t>(7·24) + ΣC</w:t>
      </w:r>
      <w:r>
        <w:rPr>
          <w:vertAlign w:val="subscript"/>
        </w:rPr>
        <w:t>eq</w:t>
      </w:r>
      <w:r w:rsidR="00EA7588">
        <w:t>/</w:t>
      </w:r>
      <w:r>
        <w:t>(7·24)</w:t>
      </w:r>
    </w:p>
    <w:p w14:paraId="648B31E2" w14:textId="13AE6D2B" w:rsidR="00037CDA" w:rsidRPr="00937C8B" w:rsidRDefault="00037CDA" w:rsidP="00037CDA">
      <w:pPr>
        <w:pStyle w:val="CTETabla-nota"/>
        <w:ind w:left="942"/>
        <w:jc w:val="both"/>
      </w:pPr>
      <w:r>
        <w:t>ΣC</w:t>
      </w:r>
      <w:r>
        <w:rPr>
          <w:vertAlign w:val="subscript"/>
        </w:rPr>
        <w:t>oc</w:t>
      </w:r>
      <w:r>
        <w:t xml:space="preserve"> = somme des charges sensibles nominales dues à l</w:t>
      </w:r>
      <w:r w:rsidR="00EA7588">
        <w:t>’</w:t>
      </w:r>
      <w:r>
        <w:t>occupation [W/m²], par heure et tout au long d</w:t>
      </w:r>
      <w:r w:rsidR="00EA7588">
        <w:t>’</w:t>
      </w:r>
      <w:r>
        <w:t>une semaine type.</w:t>
      </w:r>
    </w:p>
    <w:p w14:paraId="4B05A802" w14:textId="30DADE83" w:rsidR="00037CDA" w:rsidRPr="00937C8B" w:rsidRDefault="00037CDA" w:rsidP="00037CDA">
      <w:pPr>
        <w:pStyle w:val="CTETabla-nota"/>
        <w:ind w:left="942"/>
        <w:jc w:val="both"/>
      </w:pPr>
      <w:r>
        <w:t>ΣC</w:t>
      </w:r>
      <w:r>
        <w:rPr>
          <w:vertAlign w:val="subscript"/>
        </w:rPr>
        <w:t>ec</w:t>
      </w:r>
      <w:r>
        <w:t xml:space="preserve"> = somme des charges nominales dues à l</w:t>
      </w:r>
      <w:r w:rsidR="00EA7588">
        <w:t>’</w:t>
      </w:r>
      <w:r>
        <w:t>éclairage [W/m²], par heure et tout au long d</w:t>
      </w:r>
      <w:r w:rsidR="00EA7588">
        <w:t>’</w:t>
      </w:r>
      <w:r>
        <w:t>une semaine type.</w:t>
      </w:r>
    </w:p>
    <w:p w14:paraId="330B26B3" w14:textId="5C96C2DF" w:rsidR="00037CDA" w:rsidRPr="00937C8B" w:rsidRDefault="00037CDA" w:rsidP="00037CDA">
      <w:pPr>
        <w:pStyle w:val="CTETabla-nota"/>
        <w:ind w:left="942"/>
        <w:jc w:val="both"/>
      </w:pPr>
      <w:r>
        <w:t>ΣC</w:t>
      </w:r>
      <w:r>
        <w:rPr>
          <w:vertAlign w:val="subscript"/>
        </w:rPr>
        <w:t>eq</w:t>
      </w:r>
      <w:r>
        <w:t xml:space="preserve"> = somme des charges nominales dues aux équipements [W/m²], par heure et tout au long d</w:t>
      </w:r>
      <w:r w:rsidR="00EA7588">
        <w:t>’</w:t>
      </w:r>
      <w:r>
        <w:t>une semaine type.</w:t>
      </w:r>
    </w:p>
    <w:p w14:paraId="4DD86FED" w14:textId="77777777" w:rsidR="00037CDA" w:rsidRPr="00937C8B" w:rsidRDefault="00037CDA" w:rsidP="00037CDA">
      <w:pPr>
        <w:pStyle w:val="CTENormal"/>
        <w:jc w:val="both"/>
      </w:pPr>
      <w:r>
        <w:t xml:space="preserve">La </w:t>
      </w:r>
      <w:r>
        <w:rPr>
          <w:i/>
          <w:iCs/>
        </w:rPr>
        <w:t>charge interne moyenne</w:t>
      </w:r>
      <w:r>
        <w:t xml:space="preserve"> (C</w:t>
      </w:r>
      <w:r>
        <w:rPr>
          <w:vertAlign w:val="subscript"/>
        </w:rPr>
        <w:t>FI</w:t>
      </w:r>
      <w:r>
        <w:t xml:space="preserve">) du bâtiment est obtenue en pondérant la </w:t>
      </w:r>
      <w:r>
        <w:rPr>
          <w:i/>
          <w:iCs/>
        </w:rPr>
        <w:t>charge interne moyenne</w:t>
      </w:r>
      <w:r>
        <w:t xml:space="preserve"> de chaque espace selon la surface utile. Elle est exprimée en kW/m</w:t>
      </w:r>
      <w:r>
        <w:rPr>
          <w:szCs w:val="20"/>
          <w:vertAlign w:val="superscript"/>
        </w:rPr>
        <w:t>2</w:t>
      </w:r>
      <w:r>
        <w:t>.</w:t>
      </w:r>
    </w:p>
    <w:p w14:paraId="034ABB35" w14:textId="195364D1" w:rsidR="00037CDA" w:rsidRPr="00937C8B" w:rsidRDefault="00037CDA" w:rsidP="00037CDA">
      <w:pPr>
        <w:pStyle w:val="CTENormal"/>
        <w:spacing w:after="0"/>
        <w:jc w:val="both"/>
      </w:pPr>
      <w:r>
        <w:rPr>
          <w:rStyle w:val="CteAnejo-DefinicionCar"/>
        </w:rPr>
        <w:t>Cloison</w:t>
      </w:r>
      <w:r>
        <w:t>: élément de construction du bâtiment qui le sépare de l</w:t>
      </w:r>
      <w:r w:rsidR="00EA7588">
        <w:t>’</w:t>
      </w:r>
      <w:r>
        <w:t>extérieur (de l</w:t>
      </w:r>
      <w:r w:rsidR="00EA7588">
        <w:t>’</w:t>
      </w:r>
      <w:r>
        <w:t>air, du terrain ou d</w:t>
      </w:r>
      <w:r w:rsidR="00EA7588">
        <w:t>’</w:t>
      </w:r>
      <w:r>
        <w:t xml:space="preserve">autres bâtiments). Les cloisons comprennent les toitures, les sols, les </w:t>
      </w:r>
      <w:r>
        <w:rPr>
          <w:i/>
          <w:iCs/>
        </w:rPr>
        <w:t>ouvertures</w:t>
      </w:r>
      <w:r>
        <w:t>, les façades/murs et les murs mitoyens.</w:t>
      </w:r>
    </w:p>
    <w:p w14:paraId="64FC8724" w14:textId="2E4B6205" w:rsidR="00037CDA" w:rsidRPr="00937C8B" w:rsidRDefault="00037CDA" w:rsidP="00037CDA">
      <w:pPr>
        <w:pStyle w:val="CTENormal"/>
        <w:spacing w:before="60" w:after="0"/>
        <w:jc w:val="both"/>
      </w:pPr>
      <w:r>
        <w:t>Dans le cas d</w:t>
      </w:r>
      <w:r w:rsidR="00EA7588">
        <w:t>’</w:t>
      </w:r>
      <w:r>
        <w:t>une intervention sur des bâtiments existants, lorsqu</w:t>
      </w:r>
      <w:r w:rsidR="00EA7588">
        <w:t>’</w:t>
      </w:r>
      <w:r>
        <w:t>une cloison sépare une extension d</w:t>
      </w:r>
      <w:r w:rsidR="00EA7588">
        <w:t>’</w:t>
      </w:r>
      <w:r>
        <w:t>une autre extension existante, celle-ci est considérée comme appartenant à l</w:t>
      </w:r>
      <w:r w:rsidR="00EA7588">
        <w:t>’</w:t>
      </w:r>
      <w:r>
        <w:t>extension.</w:t>
      </w:r>
    </w:p>
    <w:p w14:paraId="46D95456" w14:textId="376D3357" w:rsidR="00B3445A" w:rsidRPr="00937C8B" w:rsidRDefault="00037CDA" w:rsidP="00037CDA">
      <w:pPr>
        <w:pStyle w:val="CTENormal"/>
        <w:jc w:val="both"/>
      </w:pPr>
      <w:r>
        <w:rPr>
          <w:rStyle w:val="CteAnejo-DefinicionCar"/>
        </w:rPr>
        <w:t>Cloison adiabatique</w:t>
      </w:r>
      <w:r>
        <w:t xml:space="preserve">: </w:t>
      </w:r>
      <w:r>
        <w:rPr>
          <w:i/>
          <w:iCs/>
        </w:rPr>
        <w:t>cloison</w:t>
      </w:r>
      <w:r>
        <w:t xml:space="preserve"> à travers de laquelle il est considéré qu</w:t>
      </w:r>
      <w:r w:rsidR="00EA7588">
        <w:t>’</w:t>
      </w:r>
      <w:r>
        <w:t>aucun échange de chaleur n</w:t>
      </w:r>
      <w:r w:rsidR="00EA7588">
        <w:t>’</w:t>
      </w:r>
      <w:r>
        <w:t>a lieu.</w:t>
      </w:r>
    </w:p>
    <w:p w14:paraId="1A853312" w14:textId="78319066" w:rsidR="00037CDA" w:rsidRPr="00937C8B" w:rsidRDefault="00037CDA" w:rsidP="00037CDA">
      <w:pPr>
        <w:pStyle w:val="CTENormal"/>
        <w:jc w:val="both"/>
      </w:pPr>
      <w:r>
        <w:rPr>
          <w:rStyle w:val="CteAnejo-DefinicionCar"/>
        </w:rPr>
        <w:t>Climat de référence</w:t>
      </w:r>
      <w:r>
        <w:t>:</w:t>
      </w:r>
      <w:r w:rsidR="00880E3A">
        <w:t xml:space="preserve"> </w:t>
      </w:r>
      <w:r>
        <w:t>climat normalisé qui définit les paramètres climatiques (température, rayonnement solaire,…) représentatifs d</w:t>
      </w:r>
      <w:r w:rsidR="00EA7588">
        <w:t>’</w:t>
      </w:r>
      <w:r>
        <w:t xml:space="preserve">une </w:t>
      </w:r>
      <w:r>
        <w:rPr>
          <w:i/>
          <w:iCs/>
        </w:rPr>
        <w:t>zone climatique</w:t>
      </w:r>
      <w:r>
        <w:t xml:space="preserve"> concrète aux fins du calcul de la demande. Il permet de normaliser les </w:t>
      </w:r>
      <w:r>
        <w:rPr>
          <w:i/>
          <w:szCs w:val="20"/>
        </w:rPr>
        <w:t>sollicitations extérieures</w:t>
      </w:r>
      <w:r>
        <w:t>.</w:t>
      </w:r>
    </w:p>
    <w:p w14:paraId="03050C7D" w14:textId="0B67E201" w:rsidR="00037CDA" w:rsidRPr="00937C8B" w:rsidRDefault="00037CDA" w:rsidP="00037CDA">
      <w:pPr>
        <w:pStyle w:val="CTENormal"/>
        <w:jc w:val="both"/>
      </w:pPr>
      <w:r>
        <w:rPr>
          <w:rStyle w:val="CteAnejo-DefinicionCar"/>
        </w:rPr>
        <w:lastRenderedPageBreak/>
        <w:t>Coefficient de transmission lumineuse de la vitre (T)</w:t>
      </w:r>
      <w:r>
        <w:t>: pourcentage de lumière naturelle, dans son spectre visible, qu</w:t>
      </w:r>
      <w:r w:rsidR="00EA7588">
        <w:t>’</w:t>
      </w:r>
      <w:r>
        <w:t>une vitre laisse passer. Il est exprimé en unité (fraction) ou en pourcentage (%).</w:t>
      </w:r>
    </w:p>
    <w:p w14:paraId="73BCCDCE" w14:textId="39C51B51" w:rsidR="00037CDA" w:rsidRPr="00937C8B" w:rsidRDefault="00037CDA" w:rsidP="00D27646">
      <w:pPr>
        <w:pStyle w:val="CTENormal"/>
        <w:keepNext/>
        <w:jc w:val="both"/>
      </w:pPr>
      <w:r>
        <w:rPr>
          <w:rStyle w:val="CteAnejo-DefinicionCar"/>
        </w:rPr>
        <w:t>Coefficient global de transmission de chaleur (à travers l’enceinte thermique du bâtiment) (K</w:t>
      </w:r>
      <w:r>
        <w:rPr>
          <w:b/>
          <w:i/>
          <w:szCs w:val="20"/>
        </w:rPr>
        <w:t>)</w:t>
      </w:r>
      <w:r>
        <w:t xml:space="preserve">: </w:t>
      </w:r>
      <w:r w:rsidR="00880E3A">
        <w:t>v</w:t>
      </w:r>
      <w:r>
        <w:t>aleur moyenne du coefficient de transmission de chaleur pour la surface d</w:t>
      </w:r>
      <w:r w:rsidR="00EA7588">
        <w:t>’</w:t>
      </w:r>
      <w:r>
        <w:t>échange thermique de l</w:t>
      </w:r>
      <w:r w:rsidR="00EA7588">
        <w:t>’</w:t>
      </w:r>
      <w:r>
        <w:t>enceinte (A</w:t>
      </w:r>
      <w:r>
        <w:rPr>
          <w:vertAlign w:val="subscript"/>
        </w:rPr>
        <w:t>int</w:t>
      </w:r>
      <w:r>
        <w:t>). Il est exprimé en W/m</w:t>
      </w:r>
      <w:r>
        <w:rPr>
          <w:szCs w:val="20"/>
          <w:vertAlign w:val="superscript"/>
        </w:rPr>
        <w:t>2</w:t>
      </w:r>
      <w:r>
        <w:t>K:</w:t>
      </w:r>
    </w:p>
    <w:p w14:paraId="2D305319" w14:textId="21983077" w:rsidR="00935676" w:rsidRDefault="00935676" w:rsidP="00935676">
      <w:pPr>
        <w:overflowPunct w:val="0"/>
        <w:ind w:left="720"/>
      </w:pPr>
      <w:r>
        <w:rPr>
          <w:rFonts w:ascii="Arial" w:hAnsi="Arial"/>
          <w:color w:val="000000"/>
          <w:szCs w:val="22"/>
        </w:rPr>
        <w:t>K= Σx Hx</w:t>
      </w:r>
      <w:r w:rsidR="00EA7588">
        <w:rPr>
          <w:rFonts w:ascii="Arial" w:hAnsi="Arial"/>
          <w:color w:val="000000"/>
          <w:szCs w:val="22"/>
        </w:rPr>
        <w:t>/</w:t>
      </w:r>
      <w:r>
        <w:rPr>
          <w:rFonts w:ascii="Arial" w:hAnsi="Arial"/>
          <w:color w:val="000000"/>
          <w:szCs w:val="22"/>
        </w:rPr>
        <w:t>Aint</w:t>
      </w:r>
    </w:p>
    <w:p w14:paraId="31F0A8D8" w14:textId="77777777" w:rsidR="00935676" w:rsidRDefault="00935676" w:rsidP="00037CDA">
      <w:pPr>
        <w:pStyle w:val="Textopreformateado"/>
        <w:jc w:val="both"/>
        <w:rPr>
          <w:rStyle w:val="CteAnejo-DefinicionCar"/>
          <w:b w:val="0"/>
          <w:bCs w:val="0"/>
          <w:i w:val="0"/>
          <w:iCs w:val="0"/>
        </w:rPr>
      </w:pPr>
    </w:p>
    <w:p w14:paraId="788A3A3C" w14:textId="77777777" w:rsidR="00037CDA" w:rsidRPr="00937C8B" w:rsidRDefault="00037CDA" w:rsidP="00D27646">
      <w:pPr>
        <w:pStyle w:val="Textopreformateado"/>
        <w:keepNext/>
        <w:jc w:val="both"/>
      </w:pPr>
      <w:r>
        <w:rPr>
          <w:rStyle w:val="CteAnejo-DefinicionCar"/>
          <w:b w:val="0"/>
          <w:bCs w:val="0"/>
          <w:i w:val="0"/>
          <w:iCs w:val="0"/>
        </w:rPr>
        <w:t>où:</w:t>
      </w:r>
    </w:p>
    <w:p w14:paraId="69E912D8" w14:textId="0F728EA1" w:rsidR="00037CDA" w:rsidRPr="00937C8B" w:rsidRDefault="00037CDA" w:rsidP="00037CDA">
      <w:pPr>
        <w:pStyle w:val="Textopreformateado"/>
        <w:ind w:left="1247" w:hanging="527"/>
        <w:jc w:val="both"/>
      </w:pPr>
      <w:r>
        <w:rPr>
          <w:rStyle w:val="CteAnejo-DefinicionCar"/>
          <w:b w:val="0"/>
          <w:bCs w:val="0"/>
          <w:i w:val="0"/>
          <w:iCs w:val="0"/>
        </w:rPr>
        <w:t>H</w:t>
      </w:r>
      <w:r>
        <w:rPr>
          <w:rStyle w:val="CteAnejo-DefinicionCar"/>
          <w:b w:val="0"/>
          <w:bCs w:val="0"/>
          <w:i w:val="0"/>
          <w:iCs w:val="0"/>
          <w:vertAlign w:val="subscript"/>
        </w:rPr>
        <w:t>x</w:t>
      </w:r>
      <w:r>
        <w:rPr>
          <w:rStyle w:val="CteAnejo-DefinicionCar"/>
          <w:b w:val="0"/>
          <w:bCs w:val="0"/>
          <w:i w:val="0"/>
          <w:iCs w:val="0"/>
        </w:rPr>
        <w:tab/>
        <w:t>correspond au coefficient de transfert thermique de l</w:t>
      </w:r>
      <w:r w:rsidR="00EA7588">
        <w:rPr>
          <w:rStyle w:val="CteAnejo-DefinicionCar"/>
          <w:b w:val="0"/>
          <w:bCs w:val="0"/>
          <w:i w:val="0"/>
          <w:iCs w:val="0"/>
        </w:rPr>
        <w:t>’</w:t>
      </w:r>
      <w:r>
        <w:rPr>
          <w:rStyle w:val="CteAnejo-DefinicionCar"/>
          <w:b w:val="0"/>
          <w:bCs w:val="0"/>
          <w:i w:val="0"/>
          <w:iCs w:val="0"/>
        </w:rPr>
        <w:t xml:space="preserve">élément </w:t>
      </w:r>
      <w:r>
        <w:rPr>
          <w:rStyle w:val="CteAnejo-DefinicionCar"/>
          <w:b w:val="0"/>
          <w:bCs w:val="0"/>
        </w:rPr>
        <w:t>x</w:t>
      </w:r>
      <w:r>
        <w:rPr>
          <w:rStyle w:val="CteAnejo-DefinicionCar"/>
          <w:b w:val="0"/>
          <w:bCs w:val="0"/>
          <w:i w:val="0"/>
          <w:iCs w:val="0"/>
        </w:rPr>
        <w:t xml:space="preserve"> appartenant à l</w:t>
      </w:r>
      <w:r w:rsidR="00EA7588">
        <w:rPr>
          <w:rStyle w:val="CteAnejo-DefinicionCar"/>
          <w:b w:val="0"/>
          <w:bCs w:val="0"/>
          <w:i w:val="0"/>
          <w:iCs w:val="0"/>
        </w:rPr>
        <w:t>’</w:t>
      </w:r>
      <w:r>
        <w:rPr>
          <w:rStyle w:val="CteAnejo-DefinicionCar"/>
          <w:b w:val="0"/>
          <w:bCs w:val="0"/>
        </w:rPr>
        <w:t>enceinte thermique</w:t>
      </w:r>
      <w:r>
        <w:rPr>
          <w:rStyle w:val="CteAnejo-DefinicionCar"/>
          <w:b w:val="0"/>
          <w:bCs w:val="0"/>
          <w:i w:val="0"/>
          <w:iCs w:val="0"/>
        </w:rPr>
        <w:t xml:space="preserve"> (y compris ses </w:t>
      </w:r>
      <w:r>
        <w:rPr>
          <w:rStyle w:val="CteAnejo-DefinicionCar"/>
          <w:b w:val="0"/>
          <w:bCs w:val="0"/>
        </w:rPr>
        <w:t>ponts thermiques</w:t>
      </w:r>
      <w:r>
        <w:rPr>
          <w:rStyle w:val="CteAnejo-DefinicionCar"/>
          <w:b w:val="0"/>
          <w:bCs w:val="0"/>
          <w:i w:val="0"/>
          <w:iCs w:val="0"/>
        </w:rPr>
        <w:t>). Les éléments en contact avec le terrain, avec l</w:t>
      </w:r>
      <w:r w:rsidR="00EA7588">
        <w:rPr>
          <w:rStyle w:val="CteAnejo-DefinicionCar"/>
          <w:b w:val="0"/>
          <w:bCs w:val="0"/>
          <w:i w:val="0"/>
          <w:iCs w:val="0"/>
        </w:rPr>
        <w:t>’</w:t>
      </w:r>
      <w:r>
        <w:rPr>
          <w:rStyle w:val="CteAnejo-DefinicionCar"/>
          <w:b w:val="0"/>
          <w:bCs w:val="0"/>
          <w:i w:val="0"/>
          <w:iCs w:val="0"/>
        </w:rPr>
        <w:t>environnement extérieur sont inclus. Les éléments en contact avec d</w:t>
      </w:r>
      <w:r w:rsidR="00EA7588">
        <w:rPr>
          <w:rStyle w:val="CteAnejo-DefinicionCar"/>
          <w:b w:val="0"/>
          <w:bCs w:val="0"/>
          <w:i w:val="0"/>
          <w:iCs w:val="0"/>
        </w:rPr>
        <w:t>’</w:t>
      </w:r>
      <w:r>
        <w:rPr>
          <w:rStyle w:val="CteAnejo-DefinicionCar"/>
          <w:b w:val="0"/>
          <w:bCs w:val="0"/>
          <w:i w:val="0"/>
          <w:iCs w:val="0"/>
        </w:rPr>
        <w:t>autres bâtiments ou d</w:t>
      </w:r>
      <w:r w:rsidR="00EA7588">
        <w:rPr>
          <w:rStyle w:val="CteAnejo-DefinicionCar"/>
          <w:b w:val="0"/>
          <w:bCs w:val="0"/>
          <w:i w:val="0"/>
          <w:iCs w:val="0"/>
        </w:rPr>
        <w:t>’</w:t>
      </w:r>
      <w:r>
        <w:rPr>
          <w:rStyle w:val="CteAnejo-DefinicionCar"/>
          <w:b w:val="0"/>
          <w:bCs w:val="0"/>
          <w:i w:val="0"/>
          <w:iCs w:val="0"/>
        </w:rPr>
        <w:t>autres espaces adjacents sont exclus;</w:t>
      </w:r>
    </w:p>
    <w:p w14:paraId="2D84DCD5" w14:textId="753DAAAC" w:rsidR="00037CDA" w:rsidRPr="00937C8B" w:rsidRDefault="00037CDA" w:rsidP="00037CDA">
      <w:pPr>
        <w:pStyle w:val="Textopreformateado"/>
        <w:ind w:left="1247" w:hanging="527"/>
        <w:jc w:val="both"/>
      </w:pPr>
      <w:r>
        <w:rPr>
          <w:rStyle w:val="CteAnejo-DefinicionCar"/>
          <w:b w:val="0"/>
          <w:bCs w:val="0"/>
          <w:i w:val="0"/>
          <w:iCs w:val="0"/>
        </w:rPr>
        <w:t>A</w:t>
      </w:r>
      <w:r>
        <w:rPr>
          <w:rStyle w:val="CteAnejo-DefinicionCar"/>
          <w:b w:val="0"/>
          <w:bCs w:val="0"/>
          <w:i w:val="0"/>
          <w:iCs w:val="0"/>
          <w:vertAlign w:val="subscript"/>
        </w:rPr>
        <w:t>int</w:t>
      </w:r>
      <w:r>
        <w:rPr>
          <w:rStyle w:val="CteAnejo-DefinicionCar"/>
          <w:b w:val="0"/>
          <w:bCs w:val="0"/>
          <w:i w:val="0"/>
          <w:iCs w:val="0"/>
        </w:rPr>
        <w:tab/>
        <w:t>est la zone d</w:t>
      </w:r>
      <w:r w:rsidR="00EA7588">
        <w:rPr>
          <w:rStyle w:val="CteAnejo-DefinicionCar"/>
          <w:b w:val="0"/>
          <w:bCs w:val="0"/>
          <w:i w:val="0"/>
          <w:iCs w:val="0"/>
        </w:rPr>
        <w:t>’</w:t>
      </w:r>
      <w:r>
        <w:rPr>
          <w:rStyle w:val="CteAnejo-DefinicionCar"/>
          <w:b w:val="0"/>
          <w:bCs w:val="0"/>
          <w:i w:val="0"/>
          <w:iCs w:val="0"/>
        </w:rPr>
        <w:t>échange de l</w:t>
      </w:r>
      <w:r w:rsidR="00EA7588">
        <w:rPr>
          <w:rStyle w:val="CteAnejo-DefinicionCar"/>
          <w:b w:val="0"/>
          <w:bCs w:val="0"/>
          <w:i w:val="0"/>
          <w:iCs w:val="0"/>
        </w:rPr>
        <w:t>’</w:t>
      </w:r>
      <w:r>
        <w:rPr>
          <w:rStyle w:val="CteAnejo-DefinicionCar"/>
          <w:b w:val="0"/>
          <w:bCs w:val="0"/>
        </w:rPr>
        <w:t>enceinte thermique</w:t>
      </w:r>
      <w:r>
        <w:rPr>
          <w:rStyle w:val="CteAnejo-DefinicionCar"/>
          <w:b w:val="0"/>
          <w:bCs w:val="0"/>
          <w:i w:val="0"/>
          <w:iCs w:val="0"/>
        </w:rPr>
        <w:t xml:space="preserve"> et correspond à la somme des différents composants pris en compte dans la transmission de chaleur. </w:t>
      </w:r>
      <w:r>
        <w:rPr>
          <w:rStyle w:val="CteAnejo-DefinicionCar"/>
          <w:b w:val="0"/>
          <w:bCs w:val="0"/>
          <w:i w:val="0"/>
        </w:rPr>
        <w:t>Par conséquent, elle exclut les zones d</w:t>
      </w:r>
      <w:r w:rsidR="00EA7588">
        <w:rPr>
          <w:rStyle w:val="CteAnejo-DefinicionCar"/>
          <w:b w:val="0"/>
          <w:bCs w:val="0"/>
          <w:i w:val="0"/>
        </w:rPr>
        <w:t>’</w:t>
      </w:r>
      <w:r>
        <w:rPr>
          <w:rStyle w:val="CteAnejo-DefinicionCar"/>
          <w:b w:val="0"/>
          <w:bCs w:val="0"/>
          <w:i w:val="0"/>
        </w:rPr>
        <w:t>éléments de l</w:t>
      </w:r>
      <w:r w:rsidR="00EA7588">
        <w:rPr>
          <w:rStyle w:val="CteAnejo-DefinicionCar"/>
          <w:b w:val="0"/>
          <w:bCs w:val="0"/>
          <w:i w:val="0"/>
        </w:rPr>
        <w:t>’</w:t>
      </w:r>
      <w:r>
        <w:rPr>
          <w:rStyle w:val="CteAnejo-DefinicionCar"/>
          <w:b w:val="0"/>
          <w:bCs w:val="0"/>
        </w:rPr>
        <w:t>enceinte thermique</w:t>
      </w:r>
      <w:r>
        <w:rPr>
          <w:rStyle w:val="CteAnejo-DefinicionCar"/>
          <w:b w:val="0"/>
          <w:bCs w:val="0"/>
          <w:i w:val="0"/>
        </w:rPr>
        <w:t xml:space="preserve"> en contact avec des bâtiments ou des espaces adjacents à l</w:t>
      </w:r>
      <w:r w:rsidR="00EA7588">
        <w:rPr>
          <w:rStyle w:val="CteAnejo-DefinicionCar"/>
          <w:b w:val="0"/>
          <w:bCs w:val="0"/>
          <w:i w:val="0"/>
        </w:rPr>
        <w:t>’</w:t>
      </w:r>
      <w:r>
        <w:rPr>
          <w:rStyle w:val="CteAnejo-DefinicionCar"/>
          <w:b w:val="0"/>
          <w:bCs w:val="0"/>
          <w:i w:val="0"/>
        </w:rPr>
        <w:t>extérieur de l</w:t>
      </w:r>
      <w:r w:rsidR="00EA7588">
        <w:rPr>
          <w:rStyle w:val="CteAnejo-DefinicionCar"/>
          <w:b w:val="0"/>
          <w:bCs w:val="0"/>
          <w:i w:val="0"/>
        </w:rPr>
        <w:t>’</w:t>
      </w:r>
      <w:r>
        <w:rPr>
          <w:rStyle w:val="CteAnejo-DefinicionCar"/>
          <w:b w:val="0"/>
          <w:bCs w:val="0"/>
        </w:rPr>
        <w:t>enceinte thermique</w:t>
      </w:r>
      <w:r>
        <w:rPr>
          <w:rStyle w:val="CteAnejo-DefinicionCar"/>
          <w:b w:val="0"/>
          <w:bCs w:val="0"/>
          <w:i w:val="0"/>
        </w:rPr>
        <w:t>.</w:t>
      </w:r>
      <w:r>
        <w:rPr>
          <w:rStyle w:val="CteAnejo-DefinicionCar"/>
          <w:b w:val="0"/>
          <w:bCs w:val="0"/>
          <w:i w:val="0"/>
          <w:iCs w:val="0"/>
        </w:rPr>
        <w:t xml:space="preserve"> </w:t>
      </w:r>
    </w:p>
    <w:p w14:paraId="5D18B497" w14:textId="6AD028FB" w:rsidR="00037CDA" w:rsidRPr="00937C8B" w:rsidRDefault="00037CDA" w:rsidP="00D27646">
      <w:pPr>
        <w:pStyle w:val="CTENormal"/>
        <w:keepNext/>
        <w:jc w:val="both"/>
      </w:pPr>
      <w:r>
        <w:rPr>
          <w:rStyle w:val="CteAnejo-DefinicionCar"/>
          <w:b w:val="0"/>
          <w:bCs w:val="0"/>
          <w:i w:val="0"/>
          <w:iCs w:val="0"/>
        </w:rPr>
        <w:t xml:space="preserve">De manière simplifiée, ce paramètre peut être calculé à partir des </w:t>
      </w:r>
      <w:r>
        <w:rPr>
          <w:rStyle w:val="CteAnejo-DefinicionCar"/>
          <w:b w:val="0"/>
          <w:bCs w:val="0"/>
        </w:rPr>
        <w:t>transmissions thermiques</w:t>
      </w:r>
      <w:r>
        <w:rPr>
          <w:rStyle w:val="CteAnejo-DefinicionCar"/>
          <w:b w:val="0"/>
          <w:bCs w:val="0"/>
          <w:i w:val="0"/>
          <w:iCs w:val="0"/>
        </w:rPr>
        <w:t>, des surfaces des éléments de l</w:t>
      </w:r>
      <w:r w:rsidR="00EA7588">
        <w:rPr>
          <w:rStyle w:val="CteAnejo-DefinicionCar"/>
          <w:b w:val="0"/>
          <w:bCs w:val="0"/>
          <w:i w:val="0"/>
          <w:iCs w:val="0"/>
        </w:rPr>
        <w:t>’</w:t>
      </w:r>
      <w:r>
        <w:rPr>
          <w:rStyle w:val="CteAnejo-DefinicionCar"/>
          <w:b w:val="0"/>
          <w:bCs w:val="0"/>
        </w:rPr>
        <w:t>enceinte thermique</w:t>
      </w:r>
      <w:r>
        <w:rPr>
          <w:rStyle w:val="CteAnejo-DefinicionCar"/>
          <w:b w:val="0"/>
          <w:bCs w:val="0"/>
          <w:i w:val="0"/>
          <w:iCs w:val="0"/>
        </w:rPr>
        <w:t xml:space="preserve"> et d</w:t>
      </w:r>
      <w:r w:rsidR="00EA7588">
        <w:rPr>
          <w:rStyle w:val="CteAnejo-DefinicionCar"/>
          <w:b w:val="0"/>
          <w:bCs w:val="0"/>
          <w:i w:val="0"/>
          <w:iCs w:val="0"/>
        </w:rPr>
        <w:t>’</w:t>
      </w:r>
      <w:r>
        <w:rPr>
          <w:rStyle w:val="CteAnejo-DefinicionCar"/>
          <w:b w:val="0"/>
          <w:bCs w:val="0"/>
          <w:i w:val="0"/>
          <w:iCs w:val="0"/>
        </w:rPr>
        <w:t>un facteur d</w:t>
      </w:r>
      <w:r w:rsidR="00EA7588">
        <w:rPr>
          <w:rStyle w:val="CteAnejo-DefinicionCar"/>
          <w:b w:val="0"/>
          <w:bCs w:val="0"/>
          <w:i w:val="0"/>
          <w:iCs w:val="0"/>
        </w:rPr>
        <w:t>’</w:t>
      </w:r>
      <w:r>
        <w:rPr>
          <w:rStyle w:val="CteAnejo-DefinicionCar"/>
          <w:b w:val="0"/>
          <w:bCs w:val="0"/>
          <w:i w:val="0"/>
          <w:iCs w:val="0"/>
        </w:rPr>
        <w:t xml:space="preserve">ajustement: </w:t>
      </w:r>
    </w:p>
    <w:p w14:paraId="17D4DD33" w14:textId="0A264060" w:rsidR="00037CDA" w:rsidRPr="00937C8B" w:rsidRDefault="00037CDA" w:rsidP="007B282B">
      <w:pPr>
        <w:pStyle w:val="Textopreformateado"/>
        <w:spacing w:after="60"/>
        <w:ind w:left="720"/>
        <w:jc w:val="both"/>
        <w:rPr>
          <w:rStyle w:val="CteAnejo-DefinicionCar"/>
          <w:b w:val="0"/>
          <w:bCs w:val="0"/>
          <w:i w:val="0"/>
          <w:iCs w:val="0"/>
        </w:rPr>
      </w:pPr>
      <w:r>
        <w:rPr>
          <w:rStyle w:val="CteAnejo-DefinicionCar"/>
          <w:b w:val="0"/>
          <w:bCs w:val="0"/>
          <w:i w:val="0"/>
          <w:iCs w:val="0"/>
        </w:rPr>
        <w:t>K= Σ</w:t>
      </w:r>
      <w:r>
        <w:rPr>
          <w:rStyle w:val="CteAnejo-DefinicionCar"/>
          <w:b w:val="0"/>
          <w:bCs w:val="0"/>
          <w:i w:val="0"/>
          <w:iCs w:val="0"/>
          <w:vertAlign w:val="subscript"/>
        </w:rPr>
        <w:t>x</w:t>
      </w:r>
      <w:r>
        <w:rPr>
          <w:rStyle w:val="CteAnejo-DefinicionCar"/>
          <w:b w:val="0"/>
          <w:bCs w:val="0"/>
          <w:i w:val="0"/>
          <w:iCs w:val="0"/>
        </w:rPr>
        <w:t xml:space="preserve"> b</w:t>
      </w:r>
      <w:r>
        <w:rPr>
          <w:rStyle w:val="CteAnejo-DefinicionCar"/>
          <w:b w:val="0"/>
          <w:bCs w:val="0"/>
          <w:i w:val="0"/>
          <w:iCs w:val="0"/>
          <w:vertAlign w:val="subscript"/>
        </w:rPr>
        <w:t xml:space="preserve">tr,x </w:t>
      </w:r>
      <w:r>
        <w:rPr>
          <w:rStyle w:val="CteAnejo-DefinicionCar"/>
          <w:b w:val="0"/>
          <w:bCs w:val="0"/>
          <w:i w:val="0"/>
          <w:iCs w:val="0"/>
        </w:rPr>
        <w:t>[ Σ</w:t>
      </w:r>
      <w:r>
        <w:rPr>
          <w:rStyle w:val="CteAnejo-DefinicionCar"/>
          <w:b w:val="0"/>
          <w:bCs w:val="0"/>
          <w:i w:val="0"/>
          <w:iCs w:val="0"/>
          <w:vertAlign w:val="subscript"/>
        </w:rPr>
        <w:t>i</w:t>
      </w:r>
      <w:r>
        <w:rPr>
          <w:rStyle w:val="CteAnejo-DefinicionCar"/>
          <w:b w:val="0"/>
          <w:bCs w:val="0"/>
          <w:i w:val="0"/>
          <w:iCs w:val="0"/>
        </w:rPr>
        <w:t xml:space="preserve"> A</w:t>
      </w:r>
      <w:r>
        <w:rPr>
          <w:rStyle w:val="CteAnejo-DefinicionCar"/>
          <w:b w:val="0"/>
          <w:bCs w:val="0"/>
          <w:i w:val="0"/>
          <w:iCs w:val="0"/>
          <w:vertAlign w:val="subscript"/>
        </w:rPr>
        <w:t xml:space="preserve">x,i </w:t>
      </w:r>
      <w:r>
        <w:rPr>
          <w:rStyle w:val="CteAnejo-DefinicionCar"/>
          <w:b w:val="0"/>
          <w:bCs w:val="0"/>
          <w:i w:val="0"/>
          <w:iCs w:val="0"/>
        </w:rPr>
        <w:t>U</w:t>
      </w:r>
      <w:r>
        <w:rPr>
          <w:rStyle w:val="CteAnejo-DefinicionCar"/>
          <w:b w:val="0"/>
          <w:bCs w:val="0"/>
          <w:i w:val="0"/>
          <w:iCs w:val="0"/>
          <w:vertAlign w:val="subscript"/>
        </w:rPr>
        <w:t xml:space="preserve">x,i </w:t>
      </w:r>
      <w:r>
        <w:rPr>
          <w:rStyle w:val="CteAnejo-DefinicionCar"/>
          <w:b w:val="0"/>
          <w:bCs w:val="0"/>
          <w:i w:val="0"/>
          <w:iCs w:val="0"/>
        </w:rPr>
        <w:t>+ Σ</w:t>
      </w:r>
      <w:r>
        <w:rPr>
          <w:rStyle w:val="CteAnejo-DefinicionCar"/>
          <w:b w:val="0"/>
          <w:bCs w:val="0"/>
          <w:i w:val="0"/>
          <w:iCs w:val="0"/>
          <w:vertAlign w:val="subscript"/>
        </w:rPr>
        <w:t>k</w:t>
      </w:r>
      <w:r>
        <w:rPr>
          <w:rStyle w:val="CteAnejo-DefinicionCar"/>
          <w:b w:val="0"/>
          <w:bCs w:val="0"/>
          <w:i w:val="0"/>
          <w:iCs w:val="0"/>
        </w:rPr>
        <w:t xml:space="preserve"> l</w:t>
      </w:r>
      <w:r>
        <w:rPr>
          <w:rStyle w:val="CteAnejo-DefinicionCar"/>
          <w:b w:val="0"/>
          <w:bCs w:val="0"/>
          <w:i w:val="0"/>
          <w:iCs w:val="0"/>
          <w:vertAlign w:val="subscript"/>
        </w:rPr>
        <w:t>x,k</w:t>
      </w:r>
      <w:r>
        <w:rPr>
          <w:rStyle w:val="CteAnejo-DefinicionCar"/>
          <w:b w:val="0"/>
          <w:bCs w:val="0"/>
          <w:i w:val="0"/>
          <w:iCs w:val="0"/>
        </w:rPr>
        <w:t xml:space="preserve"> ψ</w:t>
      </w:r>
      <w:r>
        <w:rPr>
          <w:rStyle w:val="CteAnejo-DefinicionCar"/>
          <w:b w:val="0"/>
          <w:bCs w:val="0"/>
          <w:i w:val="0"/>
          <w:iCs w:val="0"/>
          <w:vertAlign w:val="subscript"/>
        </w:rPr>
        <w:t xml:space="preserve">x,k </w:t>
      </w:r>
      <w:r>
        <w:rPr>
          <w:rStyle w:val="CteAnejo-DefinicionCar"/>
          <w:b w:val="0"/>
          <w:bCs w:val="0"/>
          <w:i w:val="0"/>
          <w:iCs w:val="0"/>
        </w:rPr>
        <w:t>+ Σ</w:t>
      </w:r>
      <w:r>
        <w:rPr>
          <w:rStyle w:val="CteAnejo-DefinicionCar"/>
          <w:b w:val="0"/>
          <w:bCs w:val="0"/>
          <w:i w:val="0"/>
          <w:iCs w:val="0"/>
          <w:vertAlign w:val="subscript"/>
        </w:rPr>
        <w:t>j</w:t>
      </w:r>
      <w:r>
        <w:rPr>
          <w:rStyle w:val="CteAnejo-DefinicionCar"/>
          <w:b w:val="0"/>
          <w:bCs w:val="0"/>
          <w:i w:val="0"/>
          <w:iCs w:val="0"/>
        </w:rPr>
        <w:t xml:space="preserve"> x</w:t>
      </w:r>
      <w:r>
        <w:rPr>
          <w:rStyle w:val="CteAnejo-DefinicionCar"/>
          <w:b w:val="0"/>
          <w:bCs w:val="0"/>
          <w:i w:val="0"/>
          <w:iCs w:val="0"/>
          <w:vertAlign w:val="subscript"/>
        </w:rPr>
        <w:t xml:space="preserve">x,j </w:t>
      </w:r>
      <w:r>
        <w:rPr>
          <w:rStyle w:val="CteAnejo-DefinicionCar"/>
          <w:b w:val="0"/>
          <w:bCs w:val="0"/>
          <w:i w:val="0"/>
          <w:iCs w:val="0"/>
        </w:rPr>
        <w:t>]</w:t>
      </w:r>
      <w:r w:rsidR="00EA7588">
        <w:rPr>
          <w:rStyle w:val="CteAnejo-DefinicionCar"/>
          <w:b w:val="0"/>
          <w:bCs w:val="0"/>
          <w:i w:val="0"/>
          <w:iCs w:val="0"/>
        </w:rPr>
        <w:t>/</w:t>
      </w:r>
      <w:r>
        <w:rPr>
          <w:rStyle w:val="CteAnejo-DefinicionCar"/>
          <w:b w:val="0"/>
          <w:bCs w:val="0"/>
          <w:i w:val="0"/>
          <w:iCs w:val="0"/>
        </w:rPr>
        <w:t>Σ</w:t>
      </w:r>
      <w:r>
        <w:rPr>
          <w:rStyle w:val="CteAnejo-DefinicionCar"/>
          <w:b w:val="0"/>
          <w:bCs w:val="0"/>
          <w:i w:val="0"/>
          <w:iCs w:val="0"/>
          <w:vertAlign w:val="subscript"/>
        </w:rPr>
        <w:t>x</w:t>
      </w:r>
      <w:r>
        <w:rPr>
          <w:rStyle w:val="CteAnejo-DefinicionCar"/>
          <w:b w:val="0"/>
          <w:bCs w:val="0"/>
          <w:i w:val="0"/>
          <w:iCs w:val="0"/>
        </w:rPr>
        <w:t xml:space="preserve"> Σ</w:t>
      </w:r>
      <w:r>
        <w:rPr>
          <w:rStyle w:val="CteAnejo-DefinicionCar"/>
          <w:b w:val="0"/>
          <w:bCs w:val="0"/>
          <w:i w:val="0"/>
          <w:iCs w:val="0"/>
          <w:vertAlign w:val="subscript"/>
        </w:rPr>
        <w:t>i</w:t>
      </w:r>
      <w:r>
        <w:rPr>
          <w:rStyle w:val="CteAnejo-DefinicionCar"/>
          <w:b w:val="0"/>
          <w:bCs w:val="0"/>
          <w:i w:val="0"/>
          <w:iCs w:val="0"/>
        </w:rPr>
        <w:t xml:space="preserve"> b</w:t>
      </w:r>
      <w:r>
        <w:rPr>
          <w:rStyle w:val="CteAnejo-DefinicionCar"/>
          <w:b w:val="0"/>
          <w:bCs w:val="0"/>
          <w:i w:val="0"/>
          <w:iCs w:val="0"/>
          <w:vertAlign w:val="subscript"/>
        </w:rPr>
        <w:t xml:space="preserve">tr,x </w:t>
      </w:r>
      <w:r>
        <w:rPr>
          <w:rStyle w:val="CteAnejo-DefinicionCar"/>
          <w:b w:val="0"/>
          <w:bCs w:val="0"/>
          <w:i w:val="0"/>
          <w:iCs w:val="0"/>
        </w:rPr>
        <w:t>A</w:t>
      </w:r>
      <w:r>
        <w:rPr>
          <w:rStyle w:val="CteAnejo-DefinicionCar"/>
          <w:b w:val="0"/>
          <w:bCs w:val="0"/>
          <w:i w:val="0"/>
          <w:iCs w:val="0"/>
          <w:vertAlign w:val="subscript"/>
        </w:rPr>
        <w:t>x,i</w:t>
      </w:r>
    </w:p>
    <w:p w14:paraId="5C36A6EC" w14:textId="77777777" w:rsidR="00037CDA" w:rsidRPr="00937C8B" w:rsidRDefault="00037CDA" w:rsidP="00D27646">
      <w:pPr>
        <w:pStyle w:val="CTENormal"/>
        <w:keepNext/>
        <w:jc w:val="both"/>
      </w:pPr>
      <w:r>
        <w:rPr>
          <w:rStyle w:val="CteAnejo-DefinicionCar"/>
          <w:b w:val="0"/>
          <w:bCs w:val="0"/>
          <w:i w:val="0"/>
          <w:iCs w:val="0"/>
        </w:rPr>
        <w:t>où:</w:t>
      </w:r>
      <w:r>
        <w:t xml:space="preserve"> </w:t>
      </w:r>
    </w:p>
    <w:p w14:paraId="37AE8AD2" w14:textId="4E9D2E99" w:rsidR="00037CDA" w:rsidRPr="00937C8B" w:rsidRDefault="00037CDA" w:rsidP="00037CDA">
      <w:pPr>
        <w:pStyle w:val="Textopreformateado"/>
        <w:spacing w:after="60"/>
        <w:ind w:left="1247" w:hanging="527"/>
        <w:jc w:val="both"/>
      </w:pPr>
      <w:r>
        <w:rPr>
          <w:rStyle w:val="CteAnejo-DefinicionCar"/>
          <w:b w:val="0"/>
          <w:bCs w:val="0"/>
          <w:i w:val="0"/>
        </w:rPr>
        <w:t>b</w:t>
      </w:r>
      <w:r>
        <w:rPr>
          <w:rStyle w:val="CteAnejo-DefinicionCar"/>
          <w:b w:val="0"/>
          <w:bCs w:val="0"/>
          <w:i w:val="0"/>
          <w:vertAlign w:val="subscript"/>
        </w:rPr>
        <w:t>tr,x</w:t>
      </w:r>
      <w:r>
        <w:rPr>
          <w:rStyle w:val="CteAnejo-DefinicionCar"/>
          <w:b w:val="0"/>
          <w:bCs w:val="0"/>
          <w:i w:val="0"/>
        </w:rPr>
        <w:tab/>
        <w:t>est le facteur d</w:t>
      </w:r>
      <w:r w:rsidR="00EA7588">
        <w:rPr>
          <w:rStyle w:val="CteAnejo-DefinicionCar"/>
          <w:b w:val="0"/>
          <w:bCs w:val="0"/>
          <w:i w:val="0"/>
        </w:rPr>
        <w:t>’</w:t>
      </w:r>
      <w:r>
        <w:rPr>
          <w:rStyle w:val="CteAnejo-DefinicionCar"/>
          <w:b w:val="0"/>
          <w:bCs w:val="0"/>
          <w:i w:val="0"/>
        </w:rPr>
        <w:t>ajustement pour les éléments de l</w:t>
      </w:r>
      <w:r w:rsidR="00EA7588">
        <w:rPr>
          <w:rStyle w:val="CteAnejo-DefinicionCar"/>
          <w:b w:val="0"/>
          <w:bCs w:val="0"/>
          <w:i w:val="0"/>
        </w:rPr>
        <w:t>’</w:t>
      </w:r>
      <w:r>
        <w:rPr>
          <w:rStyle w:val="CteAnejo-DefinicionCar"/>
          <w:b w:val="0"/>
          <w:bCs w:val="0"/>
          <w:i w:val="0"/>
        </w:rPr>
        <w:t>enceinte. Sa valeur est de 1, sauf pour les éléments en contact avec des bâtiments ou des espaces adjacents à l</w:t>
      </w:r>
      <w:r w:rsidR="00EA7588">
        <w:rPr>
          <w:rStyle w:val="CteAnejo-DefinicionCar"/>
          <w:b w:val="0"/>
          <w:bCs w:val="0"/>
          <w:i w:val="0"/>
        </w:rPr>
        <w:t>’</w:t>
      </w:r>
      <w:r>
        <w:rPr>
          <w:rStyle w:val="CteAnejo-DefinicionCar"/>
          <w:b w:val="0"/>
          <w:bCs w:val="0"/>
          <w:i w:val="0"/>
        </w:rPr>
        <w:t>extérieur de l</w:t>
      </w:r>
      <w:r w:rsidR="00EA7588">
        <w:rPr>
          <w:rStyle w:val="CteAnejo-DefinicionCar"/>
          <w:b w:val="0"/>
          <w:bCs w:val="0"/>
          <w:i w:val="0"/>
        </w:rPr>
        <w:t>’</w:t>
      </w:r>
      <w:r>
        <w:rPr>
          <w:rStyle w:val="CteAnejo-DefinicionCar"/>
          <w:b w:val="0"/>
          <w:bCs w:val="0"/>
        </w:rPr>
        <w:t>enceinte thermique</w:t>
      </w:r>
      <w:r>
        <w:rPr>
          <w:rStyle w:val="CteAnejo-DefinicionCar"/>
          <w:b w:val="0"/>
          <w:bCs w:val="0"/>
          <w:i w:val="0"/>
        </w:rPr>
        <w:t>, auquel cas elle est de 0;</w:t>
      </w:r>
    </w:p>
    <w:p w14:paraId="3E106106" w14:textId="1616B460" w:rsidR="00037CDA" w:rsidRPr="00937C8B" w:rsidRDefault="00037CDA" w:rsidP="00037CDA">
      <w:pPr>
        <w:pStyle w:val="Textopreformateado"/>
        <w:spacing w:after="60"/>
        <w:ind w:left="1247" w:hanging="527"/>
        <w:jc w:val="both"/>
      </w:pPr>
      <w:r>
        <w:t>A</w:t>
      </w:r>
      <w:r>
        <w:rPr>
          <w:vertAlign w:val="subscript"/>
        </w:rPr>
        <w:t>x,i</w:t>
      </w:r>
      <w:r>
        <w:tab/>
        <w:t>est la zone d</w:t>
      </w:r>
      <w:r w:rsidR="00EA7588">
        <w:t>’</w:t>
      </w:r>
      <w:r>
        <w:t>échange de l</w:t>
      </w:r>
      <w:r w:rsidR="00EA7588">
        <w:t>’</w:t>
      </w:r>
      <w:r>
        <w:t>élément de l</w:t>
      </w:r>
      <w:r w:rsidR="00EA7588">
        <w:t>’</w:t>
      </w:r>
      <w:r>
        <w:rPr>
          <w:i/>
          <w:iCs/>
        </w:rPr>
        <w:t>enceinte thermique</w:t>
      </w:r>
      <w:r>
        <w:t xml:space="preserve"> considéré;</w:t>
      </w:r>
    </w:p>
    <w:p w14:paraId="1566E8A4" w14:textId="62EEFDB5" w:rsidR="00037CDA" w:rsidRPr="00937C8B" w:rsidRDefault="00037CDA" w:rsidP="00037CDA">
      <w:pPr>
        <w:pStyle w:val="Textopreformateado"/>
        <w:spacing w:after="60"/>
        <w:ind w:left="1276" w:hanging="556"/>
        <w:jc w:val="both"/>
        <w:rPr>
          <w:rStyle w:val="CteAnejo-DefinicionCar"/>
          <w:b w:val="0"/>
          <w:bCs w:val="0"/>
          <w:i w:val="0"/>
        </w:rPr>
      </w:pPr>
      <w:r>
        <w:rPr>
          <w:rStyle w:val="CteAnejo-DefinicionCar"/>
          <w:b w:val="0"/>
          <w:bCs w:val="0"/>
          <w:i w:val="0"/>
        </w:rPr>
        <w:t>U</w:t>
      </w:r>
      <w:r>
        <w:rPr>
          <w:vertAlign w:val="subscript"/>
        </w:rPr>
        <w:t>x,i</w:t>
      </w:r>
      <w:r>
        <w:rPr>
          <w:vertAlign w:val="subscript"/>
        </w:rPr>
        <w:tab/>
      </w:r>
      <w:r>
        <w:rPr>
          <w:rStyle w:val="CteAnejo-DefinicionCar"/>
          <w:b w:val="0"/>
          <w:bCs w:val="0"/>
          <w:i w:val="0"/>
        </w:rPr>
        <w:t xml:space="preserve">est la valeur de la </w:t>
      </w:r>
      <w:r>
        <w:rPr>
          <w:rStyle w:val="CteAnejo-DefinicionCar"/>
          <w:b w:val="0"/>
          <w:bCs w:val="0"/>
        </w:rPr>
        <w:t>transmission thermique</w:t>
      </w:r>
      <w:r>
        <w:rPr>
          <w:rStyle w:val="CteAnejo-DefinicionCar"/>
          <w:b w:val="0"/>
          <w:bCs w:val="0"/>
          <w:i w:val="0"/>
        </w:rPr>
        <w:t xml:space="preserve"> de l</w:t>
      </w:r>
      <w:r w:rsidR="00EA7588">
        <w:rPr>
          <w:rStyle w:val="CteAnejo-DefinicionCar"/>
          <w:b w:val="0"/>
          <w:bCs w:val="0"/>
          <w:i w:val="0"/>
        </w:rPr>
        <w:t>’</w:t>
      </w:r>
      <w:r>
        <w:rPr>
          <w:rStyle w:val="CteAnejo-DefinicionCar"/>
          <w:b w:val="0"/>
          <w:bCs w:val="0"/>
          <w:i w:val="0"/>
        </w:rPr>
        <w:t>élément de l’</w:t>
      </w:r>
      <w:r>
        <w:rPr>
          <w:rStyle w:val="CteAnejo-DefinicionCar"/>
          <w:b w:val="0"/>
          <w:bCs w:val="0"/>
        </w:rPr>
        <w:t>enceinte thermique</w:t>
      </w:r>
      <w:r>
        <w:rPr>
          <w:rStyle w:val="CteAnejo-DefinicionCar"/>
          <w:b w:val="0"/>
          <w:bCs w:val="0"/>
          <w:i w:val="0"/>
        </w:rPr>
        <w:t xml:space="preserve"> considéré; </w:t>
      </w:r>
    </w:p>
    <w:p w14:paraId="27F79DAB" w14:textId="77777777" w:rsidR="00037CDA" w:rsidRPr="00937C8B" w:rsidRDefault="00037CDA" w:rsidP="00037CDA">
      <w:pPr>
        <w:pStyle w:val="Textopreformateado"/>
        <w:spacing w:after="60"/>
        <w:ind w:left="1247" w:hanging="527"/>
        <w:jc w:val="both"/>
      </w:pPr>
      <w:r>
        <w:t>l</w:t>
      </w:r>
      <w:r>
        <w:rPr>
          <w:vertAlign w:val="subscript"/>
        </w:rPr>
        <w:t>x,k</w:t>
      </w:r>
      <w:r>
        <w:tab/>
        <w:t>est la longueur du pont thermique considéré;</w:t>
      </w:r>
    </w:p>
    <w:p w14:paraId="6168648A" w14:textId="77777777" w:rsidR="00037CDA" w:rsidRPr="00937C8B" w:rsidRDefault="00037CDA" w:rsidP="00037CDA">
      <w:pPr>
        <w:pStyle w:val="Textopreformateado"/>
        <w:spacing w:after="60"/>
        <w:ind w:left="1247" w:hanging="527"/>
        <w:jc w:val="both"/>
        <w:rPr>
          <w:rStyle w:val="CteAnejo-DefinicionCar"/>
          <w:b w:val="0"/>
          <w:bCs w:val="0"/>
          <w:i w:val="0"/>
        </w:rPr>
      </w:pPr>
      <w:r>
        <w:rPr>
          <w:rStyle w:val="CteAnejo-DefinicionCar"/>
          <w:b w:val="0"/>
          <w:bCs w:val="0"/>
          <w:i w:val="0"/>
        </w:rPr>
        <w:t>ψ</w:t>
      </w:r>
      <w:r>
        <w:rPr>
          <w:vertAlign w:val="subscript"/>
        </w:rPr>
        <w:t>x,k</w:t>
      </w:r>
      <w:r>
        <w:rPr>
          <w:vertAlign w:val="subscript"/>
        </w:rPr>
        <w:tab/>
      </w:r>
      <w:r>
        <w:rPr>
          <w:rStyle w:val="CteAnejo-DefinicionCar"/>
          <w:b w:val="0"/>
          <w:bCs w:val="0"/>
          <w:i w:val="0"/>
        </w:rPr>
        <w:t xml:space="preserve">est la valeur de la </w:t>
      </w:r>
      <w:r>
        <w:rPr>
          <w:rStyle w:val="CteAnejo-DefinicionCar"/>
          <w:b w:val="0"/>
          <w:bCs w:val="0"/>
        </w:rPr>
        <w:t>transmission thermique linéaire</w:t>
      </w:r>
      <w:r>
        <w:rPr>
          <w:rStyle w:val="CteAnejo-DefinicionCar"/>
          <w:b w:val="0"/>
          <w:bCs w:val="0"/>
          <w:i w:val="0"/>
        </w:rPr>
        <w:t xml:space="preserve"> du pont thermique considéré;</w:t>
      </w:r>
    </w:p>
    <w:p w14:paraId="7CE5DD8B" w14:textId="77777777" w:rsidR="00037CDA" w:rsidRPr="00937C8B" w:rsidRDefault="00037CDA" w:rsidP="00037CDA">
      <w:pPr>
        <w:pStyle w:val="Textopreformateado"/>
        <w:spacing w:after="60"/>
        <w:ind w:left="1247" w:hanging="527"/>
        <w:jc w:val="both"/>
        <w:rPr>
          <w:rStyle w:val="CteAnejo-DefinicionCar"/>
          <w:b w:val="0"/>
          <w:bCs w:val="0"/>
          <w:i w:val="0"/>
          <w:iCs w:val="0"/>
        </w:rPr>
      </w:pPr>
      <w:r>
        <w:t>x</w:t>
      </w:r>
      <w:r>
        <w:rPr>
          <w:vertAlign w:val="subscript"/>
        </w:rPr>
        <w:t>x,j</w:t>
      </w:r>
      <w:r>
        <w:tab/>
        <w:t>est la transmission ponctuelle du pont thermique considéré.</w:t>
      </w:r>
    </w:p>
    <w:p w14:paraId="19710E6A" w14:textId="77777777" w:rsidR="00037CDA" w:rsidRPr="00937C8B" w:rsidRDefault="00037CDA" w:rsidP="00037CDA">
      <w:pPr>
        <w:pStyle w:val="CTENormal"/>
        <w:jc w:val="both"/>
        <w:rPr>
          <w:szCs w:val="20"/>
        </w:rPr>
      </w:pPr>
      <w:r>
        <w:t>Dans le calcul simplifié, la transmission et la surface des solutions de construction conçues pour réduire les besoins énergétiques (serres annexes, murs pariéto-dynamiques, murs Trombe, etc.) ne sont pas prises en compte.</w:t>
      </w:r>
    </w:p>
    <w:p w14:paraId="2142C829" w14:textId="70F82156" w:rsidR="00037CDA" w:rsidRPr="00937C8B" w:rsidRDefault="00037CDA" w:rsidP="00037CDA">
      <w:pPr>
        <w:pStyle w:val="CTENormal"/>
        <w:spacing w:after="60"/>
        <w:jc w:val="both"/>
      </w:pPr>
      <w:r>
        <w:rPr>
          <w:b/>
          <w:bCs/>
          <w:i/>
          <w:iCs/>
        </w:rPr>
        <w:t>Compacité (V/A):</w:t>
      </w:r>
      <w:r>
        <w:t xml:space="preserve"> </w:t>
      </w:r>
      <w:r w:rsidR="00880E3A">
        <w:t>r</w:t>
      </w:r>
      <w:r>
        <w:t>apport entre le volume enfermé par l</w:t>
      </w:r>
      <w:r w:rsidR="00EA7588">
        <w:t>’</w:t>
      </w:r>
      <w:r>
        <w:rPr>
          <w:i/>
          <w:iCs/>
        </w:rPr>
        <w:t>enceinte thermique</w:t>
      </w:r>
      <w:r>
        <w:t xml:space="preserve"> (V) du bâtiment (ou d’une partie du bâtiment) et la somme des surfaces d</w:t>
      </w:r>
      <w:r w:rsidR="00EA7588">
        <w:t>’</w:t>
      </w:r>
      <w:r>
        <w:t>échange thermique avec l</w:t>
      </w:r>
      <w:r w:rsidR="00EA7588">
        <w:t>’</w:t>
      </w:r>
      <w:r>
        <w:t xml:space="preserve">air extérieur ou le terrain de ladite </w:t>
      </w:r>
      <w:r>
        <w:rPr>
          <w:i/>
          <w:iCs/>
        </w:rPr>
        <w:t>enceinte thermique</w:t>
      </w:r>
      <w:r>
        <w:t xml:space="preserve"> (A = ΣA</w:t>
      </w:r>
      <w:r>
        <w:rPr>
          <w:vertAlign w:val="subscript"/>
        </w:rPr>
        <w:t>i</w:t>
      </w:r>
      <w:r>
        <w:t>). Elle est exprimée en m³/m².</w:t>
      </w:r>
    </w:p>
    <w:p w14:paraId="1A058398" w14:textId="6A2CB05E" w:rsidR="00037CDA" w:rsidRPr="00937C8B" w:rsidRDefault="00037CDA" w:rsidP="00037CDA">
      <w:pPr>
        <w:pStyle w:val="CTENormal"/>
        <w:spacing w:before="0"/>
        <w:jc w:val="both"/>
      </w:pPr>
      <w:r>
        <w:t xml:space="preserve">Par conséquent, l’aire des </w:t>
      </w:r>
      <w:r>
        <w:rPr>
          <w:i/>
          <w:iCs/>
        </w:rPr>
        <w:t>cloisons</w:t>
      </w:r>
      <w:r>
        <w:t xml:space="preserve"> et des </w:t>
      </w:r>
      <w:r>
        <w:rPr>
          <w:i/>
          <w:iCs/>
        </w:rPr>
        <w:t>séparations intérieures</w:t>
      </w:r>
      <w:r>
        <w:t xml:space="preserve"> en contact avec d</w:t>
      </w:r>
      <w:r w:rsidR="00EA7588">
        <w:t>’</w:t>
      </w:r>
      <w:r>
        <w:t>autres bâtiments ou avec des espaces adjacents à l</w:t>
      </w:r>
      <w:r w:rsidR="00EA7588">
        <w:t>’</w:t>
      </w:r>
      <w:r>
        <w:t>extérieur de l</w:t>
      </w:r>
      <w:r w:rsidR="00EA7588">
        <w:t>’</w:t>
      </w:r>
      <w:r>
        <w:rPr>
          <w:i/>
          <w:iCs/>
        </w:rPr>
        <w:t>enceinte thermique</w:t>
      </w:r>
      <w:r>
        <w:t xml:space="preserve"> est exclue du calcul de la compacité.</w:t>
      </w:r>
    </w:p>
    <w:p w14:paraId="6096289F" w14:textId="4B3D517E" w:rsidR="00037CDA" w:rsidRPr="00937C8B" w:rsidRDefault="00037CDA" w:rsidP="00037CDA">
      <w:pPr>
        <w:pStyle w:val="CTENormal"/>
        <w:jc w:val="both"/>
      </w:pPr>
      <w:r>
        <w:rPr>
          <w:rStyle w:val="CteAnejo-DefinicionCar"/>
        </w:rPr>
        <w:t>Conditions opérationnelles:</w:t>
      </w:r>
      <w:r>
        <w:rPr>
          <w:rStyle w:val="CteAnejo-DefinicionCar"/>
          <w:i w:val="0"/>
        </w:rPr>
        <w:t xml:space="preserve"> </w:t>
      </w:r>
      <w:r>
        <w:rPr>
          <w:rStyle w:val="CteAnejo-DefinicionCar"/>
          <w:b w:val="0"/>
          <w:bCs w:val="0"/>
          <w:i w:val="0"/>
        </w:rPr>
        <w:t xml:space="preserve">ensemble de températures de consigne définies pour un </w:t>
      </w:r>
      <w:r>
        <w:rPr>
          <w:rStyle w:val="CteAnejo-DefinicionCar"/>
          <w:b w:val="0"/>
          <w:bCs w:val="0"/>
        </w:rPr>
        <w:t>espace habitable climatisé</w:t>
      </w:r>
      <w:r>
        <w:rPr>
          <w:rStyle w:val="CteAnejo-DefinicionCar"/>
          <w:b w:val="0"/>
          <w:bCs w:val="0"/>
          <w:i w:val="0"/>
        </w:rPr>
        <w:t>. Elles se composent d</w:t>
      </w:r>
      <w:r w:rsidR="00EA7588">
        <w:rPr>
          <w:rStyle w:val="CteAnejo-DefinicionCar"/>
          <w:b w:val="0"/>
          <w:bCs w:val="0"/>
          <w:i w:val="0"/>
        </w:rPr>
        <w:t>’</w:t>
      </w:r>
      <w:r>
        <w:rPr>
          <w:rStyle w:val="CteAnejo-DefinicionCar"/>
          <w:b w:val="0"/>
          <w:bCs w:val="0"/>
          <w:i w:val="0"/>
        </w:rPr>
        <w:t xml:space="preserve">un ensemble de </w:t>
      </w:r>
      <w:r>
        <w:rPr>
          <w:rStyle w:val="CteAnejo-DefinicionCar"/>
          <w:b w:val="0"/>
          <w:bCs w:val="0"/>
        </w:rPr>
        <w:t>températures de consigne</w:t>
      </w:r>
      <w:r>
        <w:rPr>
          <w:rStyle w:val="CteAnejo-DefinicionCar"/>
          <w:b w:val="0"/>
          <w:bCs w:val="0"/>
          <w:i w:val="0"/>
        </w:rPr>
        <w:t>, qui définissent la température d</w:t>
      </w:r>
      <w:r w:rsidR="00EA7588">
        <w:rPr>
          <w:rStyle w:val="CteAnejo-DefinicionCar"/>
          <w:b w:val="0"/>
          <w:bCs w:val="0"/>
          <w:i w:val="0"/>
        </w:rPr>
        <w:t>’</w:t>
      </w:r>
      <w:r>
        <w:rPr>
          <w:rStyle w:val="CteAnejo-DefinicionCar"/>
          <w:b w:val="0"/>
          <w:bCs w:val="0"/>
          <w:i w:val="0"/>
        </w:rPr>
        <w:t>activation des équipements de chauffage (consigne basse) et de refroidissement (consigne élevée).</w:t>
      </w:r>
      <w:r>
        <w:t xml:space="preserve"> </w:t>
      </w:r>
      <w:r>
        <w:rPr>
          <w:rStyle w:val="CteAnejo-DefinicionCar"/>
          <w:b w:val="0"/>
          <w:bCs w:val="0"/>
          <w:i w:val="0"/>
        </w:rPr>
        <w:t xml:space="preserve">Les </w:t>
      </w:r>
      <w:r>
        <w:rPr>
          <w:rStyle w:val="CteAnejo-DefinicionCar"/>
          <w:b w:val="0"/>
          <w:bCs w:val="0"/>
        </w:rPr>
        <w:t>conditions opérationnelles</w:t>
      </w:r>
      <w:r>
        <w:rPr>
          <w:rStyle w:val="CteAnejo-DefinicionCar"/>
          <w:b w:val="0"/>
          <w:bCs w:val="0"/>
          <w:i w:val="0"/>
        </w:rPr>
        <w:t xml:space="preserve"> des espaces à usage résidentiel privé sont précisées à l</w:t>
      </w:r>
      <w:r w:rsidR="00EA7588">
        <w:rPr>
          <w:rStyle w:val="CteAnejo-DefinicionCar"/>
          <w:b w:val="0"/>
          <w:bCs w:val="0"/>
          <w:i w:val="0"/>
        </w:rPr>
        <w:t>’</w:t>
      </w:r>
      <w:r>
        <w:rPr>
          <w:rStyle w:val="CteAnejo-DefinicionCar"/>
          <w:b w:val="0"/>
          <w:bCs w:val="0"/>
          <w:i w:val="0"/>
        </w:rPr>
        <w:t>annexe D.</w:t>
      </w:r>
    </w:p>
    <w:p w14:paraId="7BA143C2" w14:textId="5D990B5D" w:rsidR="00037CDA" w:rsidRPr="00937C8B" w:rsidRDefault="00037CDA" w:rsidP="00037CDA">
      <w:pPr>
        <w:pStyle w:val="CTENormal"/>
        <w:spacing w:after="60"/>
        <w:jc w:val="both"/>
      </w:pPr>
      <w:r>
        <w:rPr>
          <w:rStyle w:val="CteAnejo-DefinicionCar"/>
        </w:rPr>
        <w:t>Consommation (d’énergie)</w:t>
      </w:r>
      <w:r>
        <w:t>: énergie qui doit être fournie aux systèmes (existants ou supposés) pour desservir les services de chauffage, de refroidissement, de ventilation, d</w:t>
      </w:r>
      <w:r w:rsidR="00EA7588">
        <w:t>’</w:t>
      </w:r>
      <w:r>
        <w:t>ECS, de contrôle de l</w:t>
      </w:r>
      <w:r w:rsidR="00EA7588">
        <w:t>’</w:t>
      </w:r>
      <w:r>
        <w:t>humidité et, dans les bâtiments autres qu</w:t>
      </w:r>
      <w:r w:rsidR="00EA7588">
        <w:t>’</w:t>
      </w:r>
      <w:r>
        <w:t>à usage résidentiel privé, d</w:t>
      </w:r>
      <w:r w:rsidR="00EA7588">
        <w:t>’</w:t>
      </w:r>
      <w:r>
        <w:t>éclairage, en tenant compte de l</w:t>
      </w:r>
      <w:r w:rsidR="00EA7588">
        <w:t>’</w:t>
      </w:r>
      <w:r>
        <w:t>efficacité des systèmes utilisés. Elle s’exprime en kW.h/m</w:t>
      </w:r>
      <w:r>
        <w:rPr>
          <w:vertAlign w:val="superscript"/>
        </w:rPr>
        <w:t>2</w:t>
      </w:r>
      <w:r>
        <w:t>.an.</w:t>
      </w:r>
    </w:p>
    <w:p w14:paraId="74B16E2C" w14:textId="2A3970F5" w:rsidR="00037CDA" w:rsidRPr="00937C8B" w:rsidRDefault="00037CDA" w:rsidP="00037CDA">
      <w:pPr>
        <w:pStyle w:val="CTENormal"/>
        <w:spacing w:after="60"/>
        <w:jc w:val="both"/>
      </w:pPr>
      <w:r>
        <w:lastRenderedPageBreak/>
        <w:t xml:space="preserve">Elle peut être exprimée en </w:t>
      </w:r>
      <w:r>
        <w:rPr>
          <w:i/>
          <w:iCs/>
        </w:rPr>
        <w:t>consommation d</w:t>
      </w:r>
      <w:r w:rsidR="00EA7588">
        <w:rPr>
          <w:i/>
          <w:iCs/>
        </w:rPr>
        <w:t>’</w:t>
      </w:r>
      <w:r>
        <w:rPr>
          <w:i/>
          <w:iCs/>
        </w:rPr>
        <w:t>énergie finale</w:t>
      </w:r>
      <w:r>
        <w:t xml:space="preserve"> (par vecteur énergétique) ou en </w:t>
      </w:r>
      <w:r>
        <w:rPr>
          <w:i/>
          <w:iCs/>
        </w:rPr>
        <w:t>consommation d</w:t>
      </w:r>
      <w:r w:rsidR="00EA7588">
        <w:rPr>
          <w:i/>
          <w:iCs/>
        </w:rPr>
        <w:t>’</w:t>
      </w:r>
      <w:r>
        <w:rPr>
          <w:i/>
          <w:iCs/>
        </w:rPr>
        <w:t>énergie primaire</w:t>
      </w:r>
      <w:r>
        <w:t>, et se rapporter à l</w:t>
      </w:r>
      <w:r w:rsidR="00EA7588">
        <w:t>’</w:t>
      </w:r>
      <w:r>
        <w:t>ensemble des services (total) ou à un service spécifique.</w:t>
      </w:r>
    </w:p>
    <w:p w14:paraId="55DC8232" w14:textId="43B0C1FF" w:rsidR="00037CDA" w:rsidRPr="00937C8B" w:rsidRDefault="00037CDA" w:rsidP="00037CDA">
      <w:pPr>
        <w:pStyle w:val="CTENormal"/>
        <w:jc w:val="both"/>
        <w:rPr>
          <w:bCs/>
        </w:rPr>
      </w:pPr>
      <w:r>
        <w:rPr>
          <w:rStyle w:val="CteAnejo-DefinicionCar"/>
        </w:rPr>
        <w:t>Consommation d</w:t>
      </w:r>
      <w:r w:rsidR="00EA7588">
        <w:rPr>
          <w:rStyle w:val="CteAnejo-DefinicionCar"/>
        </w:rPr>
        <w:t>’</w:t>
      </w:r>
      <w:r>
        <w:rPr>
          <w:rStyle w:val="CteAnejo-DefinicionCar"/>
        </w:rPr>
        <w:t>énergie primaire non renouvelable</w:t>
      </w:r>
      <w:r>
        <w:rPr>
          <w:rStyle w:val="CteAnejo-DefinicionCar"/>
          <w:b w:val="0"/>
          <w:bCs w:val="0"/>
          <w:i w:val="0"/>
        </w:rPr>
        <w:t>: partie non renouvelable de l</w:t>
      </w:r>
      <w:r w:rsidR="00EA7588">
        <w:rPr>
          <w:rStyle w:val="CteAnejo-DefinicionCar"/>
          <w:b w:val="0"/>
          <w:bCs w:val="0"/>
          <w:i w:val="0"/>
        </w:rPr>
        <w:t>’</w:t>
      </w:r>
      <w:r>
        <w:rPr>
          <w:rStyle w:val="CteAnejo-DefinicionCar"/>
          <w:b w:val="0"/>
          <w:bCs w:val="0"/>
        </w:rPr>
        <w:t>énergie primaire</w:t>
      </w:r>
      <w:r>
        <w:rPr>
          <w:rStyle w:val="CteAnejo-DefinicionCar"/>
          <w:b w:val="0"/>
          <w:bCs w:val="0"/>
          <w:i w:val="0"/>
        </w:rPr>
        <w:t xml:space="preserve"> </w:t>
      </w:r>
      <w:r>
        <w:t>qui doit être fournie aux systèmes. Elle est déterminée en tenant compte de la valeur des facteurs de conversion de la composante non renouvelable de chaque vecteur énergétique.</w:t>
      </w:r>
    </w:p>
    <w:p w14:paraId="077BADE1" w14:textId="061FEBC7" w:rsidR="00037CDA" w:rsidRPr="00937C8B" w:rsidRDefault="00037CDA" w:rsidP="00037CDA">
      <w:pPr>
        <w:pStyle w:val="CTENormal"/>
        <w:jc w:val="both"/>
        <w:rPr>
          <w:bCs/>
        </w:rPr>
      </w:pPr>
      <w:r>
        <w:rPr>
          <w:rStyle w:val="CteAnejo-DefinicionCar"/>
        </w:rPr>
        <w:t>Consommation d</w:t>
      </w:r>
      <w:r w:rsidR="00EA7588">
        <w:rPr>
          <w:rStyle w:val="CteAnejo-DefinicionCar"/>
        </w:rPr>
        <w:t>’</w:t>
      </w:r>
      <w:r>
        <w:rPr>
          <w:rStyle w:val="CteAnejo-DefinicionCar"/>
        </w:rPr>
        <w:t>énergie primaire totale</w:t>
      </w:r>
      <w:r>
        <w:rPr>
          <w:rStyle w:val="CteAnejo-DefinicionCar"/>
          <w:b w:val="0"/>
          <w:i w:val="0"/>
        </w:rPr>
        <w:t>: valeur totale de l</w:t>
      </w:r>
      <w:r w:rsidR="00EA7588">
        <w:rPr>
          <w:rStyle w:val="CteAnejo-DefinicionCar"/>
          <w:b w:val="0"/>
          <w:i w:val="0"/>
        </w:rPr>
        <w:t>’</w:t>
      </w:r>
      <w:r>
        <w:rPr>
          <w:rStyle w:val="CteAnejo-DefinicionCar"/>
          <w:b w:val="0"/>
        </w:rPr>
        <w:t>énergie primaire</w:t>
      </w:r>
      <w:r>
        <w:rPr>
          <w:rStyle w:val="CteAnejo-DefinicionCar"/>
          <w:b w:val="0"/>
          <w:i w:val="0"/>
        </w:rPr>
        <w:t xml:space="preserve"> </w:t>
      </w:r>
      <w:r>
        <w:t>qui doit être fournie aux systèmes. Elle comprend à la fois l</w:t>
      </w:r>
      <w:r w:rsidR="00EA7588">
        <w:t>’</w:t>
      </w:r>
      <w:r>
        <w:t xml:space="preserve">énergie fournie et produite </w:t>
      </w:r>
      <w:r>
        <w:rPr>
          <w:i/>
          <w:iCs/>
        </w:rPr>
        <w:t>sur site</w:t>
      </w:r>
      <w:r>
        <w:t xml:space="preserve"> et extraite de l</w:t>
      </w:r>
      <w:r w:rsidR="00EA7588">
        <w:t>’</w:t>
      </w:r>
      <w:r>
        <w:t>environnement.</w:t>
      </w:r>
    </w:p>
    <w:p w14:paraId="2ECA51ED" w14:textId="51EC0331" w:rsidR="00037CDA" w:rsidRPr="00937C8B" w:rsidRDefault="00037CDA" w:rsidP="00037CDA">
      <w:pPr>
        <w:pStyle w:val="CTENormal"/>
        <w:spacing w:after="0"/>
        <w:jc w:val="both"/>
      </w:pPr>
      <w:r>
        <w:rPr>
          <w:b/>
          <w:i/>
        </w:rPr>
        <w:t>Contrôle solaire (q</w:t>
      </w:r>
      <w:r>
        <w:rPr>
          <w:b/>
          <w:i/>
          <w:vertAlign w:val="subscript"/>
        </w:rPr>
        <w:t>sol;jul</w:t>
      </w:r>
      <w:r>
        <w:rPr>
          <w:b/>
          <w:i/>
        </w:rPr>
        <w:t>)</w:t>
      </w:r>
      <w:r>
        <w:t xml:space="preserve">: </w:t>
      </w:r>
      <w:r w:rsidR="00880E3A">
        <w:t>i</w:t>
      </w:r>
      <w:r>
        <w:t>l s’agit de la relation entre les gains solaires du mois de juillet (Q</w:t>
      </w:r>
      <w:r>
        <w:rPr>
          <w:vertAlign w:val="subscript"/>
        </w:rPr>
        <w:t>sol;jul</w:t>
      </w:r>
      <w:r>
        <w:t xml:space="preserve">) des </w:t>
      </w:r>
      <w:r>
        <w:rPr>
          <w:i/>
          <w:iCs/>
        </w:rPr>
        <w:t xml:space="preserve">ouvertures </w:t>
      </w:r>
      <w:r>
        <w:t>appartenant à l</w:t>
      </w:r>
      <w:r w:rsidR="00EA7588">
        <w:t>’</w:t>
      </w:r>
      <w:r>
        <w:rPr>
          <w:i/>
          <w:iCs/>
        </w:rPr>
        <w:t>enceinte thermique</w:t>
      </w:r>
      <w:r>
        <w:t xml:space="preserve"> avec leurs protections solaires mobiles activées, et la surface utile des espaces inclus dans l</w:t>
      </w:r>
      <w:r w:rsidR="00EA7588">
        <w:t>’</w:t>
      </w:r>
      <w:r>
        <w:rPr>
          <w:i/>
          <w:iCs/>
        </w:rPr>
        <w:t>enceinte thermique</w:t>
      </w:r>
      <w:r>
        <w:t xml:space="preserve"> (A</w:t>
      </w:r>
      <w:r>
        <w:rPr>
          <w:vertAlign w:val="subscript"/>
        </w:rPr>
        <w:t>util</w:t>
      </w:r>
      <w:r>
        <w:t>). Il peut s’appliquer au bâtiment ou à une partie de celui-ci.</w:t>
      </w:r>
    </w:p>
    <w:p w14:paraId="22B5CBFD" w14:textId="3E5D8C37" w:rsidR="00037CDA" w:rsidRPr="00937C8B" w:rsidRDefault="00037CDA" w:rsidP="00037CDA">
      <w:pPr>
        <w:pStyle w:val="CTENormal"/>
        <w:spacing w:before="120"/>
        <w:jc w:val="both"/>
      </w:pPr>
      <w:r>
        <w:t>Pour son calcul simplifié, l</w:t>
      </w:r>
      <w:r w:rsidR="00EA7588">
        <w:t>’</w:t>
      </w:r>
      <w:r>
        <w:t>énergie reradiée vers le ciel est considérée comme nulle.</w:t>
      </w:r>
    </w:p>
    <w:p w14:paraId="335F690D" w14:textId="6FE42BD6" w:rsidR="00037CDA" w:rsidRPr="00937C8B" w:rsidRDefault="00037CDA" w:rsidP="00037CDA">
      <w:pPr>
        <w:spacing w:before="120" w:after="120"/>
        <w:jc w:val="center"/>
        <w:rPr>
          <w:rFonts w:ascii="Arial" w:hAnsi="Arial" w:cs="Arial"/>
        </w:rPr>
      </w:pPr>
      <w:r>
        <w:rPr>
          <w:rFonts w:ascii="Arial" w:hAnsi="Arial"/>
        </w:rPr>
        <w:t>q</w:t>
      </w:r>
      <w:r>
        <w:rPr>
          <w:rFonts w:ascii="Arial" w:hAnsi="Arial"/>
          <w:vertAlign w:val="subscript"/>
        </w:rPr>
        <w:t>sol;jul</w:t>
      </w:r>
      <w:r>
        <w:rPr>
          <w:rFonts w:ascii="Arial" w:hAnsi="Arial"/>
        </w:rPr>
        <w:t xml:space="preserve"> = Q</w:t>
      </w:r>
      <w:r>
        <w:rPr>
          <w:rFonts w:ascii="Arial" w:hAnsi="Arial"/>
          <w:vertAlign w:val="subscript"/>
        </w:rPr>
        <w:t>sol;jul</w:t>
      </w:r>
      <w:r w:rsidR="00EA7588">
        <w:rPr>
          <w:rFonts w:ascii="Arial" w:hAnsi="Arial"/>
        </w:rPr>
        <w:t>/</w:t>
      </w:r>
      <w:r>
        <w:rPr>
          <w:rFonts w:ascii="Arial" w:hAnsi="Arial"/>
        </w:rPr>
        <w:t>A</w:t>
      </w:r>
      <w:r>
        <w:rPr>
          <w:rFonts w:ascii="Arial" w:hAnsi="Arial"/>
          <w:vertAlign w:val="subscript"/>
        </w:rPr>
        <w:t>util</w:t>
      </w:r>
      <w:r>
        <w:rPr>
          <w:rFonts w:ascii="Arial" w:hAnsi="Arial"/>
        </w:rPr>
        <w:t>= (Σ</w:t>
      </w:r>
      <w:r>
        <w:rPr>
          <w:rFonts w:ascii="Arial" w:hAnsi="Arial"/>
          <w:vertAlign w:val="subscript"/>
        </w:rPr>
        <w:t>k</w:t>
      </w:r>
      <w:r>
        <w:rPr>
          <w:rFonts w:ascii="Arial" w:hAnsi="Arial"/>
        </w:rPr>
        <w:t xml:space="preserve"> F</w:t>
      </w:r>
      <w:r>
        <w:rPr>
          <w:rFonts w:ascii="Arial" w:hAnsi="Arial"/>
          <w:vertAlign w:val="subscript"/>
        </w:rPr>
        <w:t>sh;obst</w:t>
      </w:r>
      <w:r>
        <w:rPr>
          <w:rFonts w:ascii="Arial" w:hAnsi="Arial"/>
        </w:rPr>
        <w:t xml:space="preserve"> · g</w:t>
      </w:r>
      <w:r>
        <w:rPr>
          <w:rFonts w:ascii="Arial" w:hAnsi="Arial"/>
          <w:vertAlign w:val="subscript"/>
        </w:rPr>
        <w:t>gl;sh;wi</w:t>
      </w:r>
      <w:r>
        <w:rPr>
          <w:rFonts w:ascii="Arial" w:hAnsi="Arial"/>
        </w:rPr>
        <w:t xml:space="preserve"> · (1 − F</w:t>
      </w:r>
      <w:r>
        <w:rPr>
          <w:rFonts w:ascii="Arial" w:hAnsi="Arial"/>
          <w:vertAlign w:val="subscript"/>
        </w:rPr>
        <w:t>F</w:t>
      </w:r>
      <w:r>
        <w:rPr>
          <w:rFonts w:ascii="Arial" w:hAnsi="Arial"/>
        </w:rPr>
        <w:t xml:space="preserve"> ) · A</w:t>
      </w:r>
      <w:r>
        <w:rPr>
          <w:rFonts w:ascii="Arial" w:hAnsi="Arial"/>
          <w:vertAlign w:val="subscript"/>
        </w:rPr>
        <w:t>w;p</w:t>
      </w:r>
      <w:r>
        <w:rPr>
          <w:rFonts w:ascii="Arial" w:hAnsi="Arial"/>
        </w:rPr>
        <w:t xml:space="preserve"> · H</w:t>
      </w:r>
      <w:r>
        <w:rPr>
          <w:rFonts w:ascii="Arial" w:hAnsi="Arial"/>
          <w:vertAlign w:val="subscript"/>
        </w:rPr>
        <w:t>sol;jul</w:t>
      </w:r>
      <w:r>
        <w:rPr>
          <w:rFonts w:ascii="Arial" w:hAnsi="Arial"/>
        </w:rPr>
        <w:t>)</w:t>
      </w:r>
      <w:r w:rsidR="00EA7588">
        <w:rPr>
          <w:rFonts w:ascii="Arial" w:hAnsi="Arial"/>
        </w:rPr>
        <w:t>/</w:t>
      </w:r>
      <w:r>
        <w:rPr>
          <w:rFonts w:ascii="Arial" w:hAnsi="Arial"/>
        </w:rPr>
        <w:t>A</w:t>
      </w:r>
      <w:r>
        <w:rPr>
          <w:rFonts w:ascii="Arial" w:hAnsi="Arial"/>
          <w:vertAlign w:val="subscript"/>
        </w:rPr>
        <w:t>util</w:t>
      </w:r>
    </w:p>
    <w:p w14:paraId="6E4DDDC7" w14:textId="77777777" w:rsidR="00037CDA" w:rsidRPr="00937C8B" w:rsidRDefault="00037CDA" w:rsidP="00D27646">
      <w:pPr>
        <w:keepNext/>
        <w:jc w:val="both"/>
        <w:rPr>
          <w:rFonts w:ascii="Arial" w:hAnsi="Arial" w:cs="Arial"/>
        </w:rPr>
      </w:pPr>
      <w:r>
        <w:rPr>
          <w:rFonts w:ascii="Arial" w:hAnsi="Arial"/>
        </w:rPr>
        <w:t>où:</w:t>
      </w:r>
    </w:p>
    <w:p w14:paraId="3C421520" w14:textId="6F5D263E" w:rsidR="00037CDA" w:rsidRPr="00937C8B" w:rsidRDefault="00037CDA" w:rsidP="00935676">
      <w:pPr>
        <w:pStyle w:val="Textopreformateado"/>
        <w:spacing w:before="60"/>
        <w:ind w:left="1560" w:hanging="993"/>
        <w:jc w:val="both"/>
      </w:pPr>
      <w:r>
        <w:t>F</w:t>
      </w:r>
      <w:r>
        <w:rPr>
          <w:vertAlign w:val="subscript"/>
        </w:rPr>
        <w:t>sh;obst</w:t>
      </w:r>
      <w:r>
        <w:tab/>
        <w:t>est le facteur de réduction de l</w:t>
      </w:r>
      <w:r w:rsidR="00EA7588">
        <w:t>’</w:t>
      </w:r>
      <w:r>
        <w:t>ombrage dû aux obstacles externes (il comprend tous les éléments extérieurs à l’</w:t>
      </w:r>
      <w:r>
        <w:rPr>
          <w:i/>
          <w:iCs/>
        </w:rPr>
        <w:t>ouverture</w:t>
      </w:r>
      <w:r>
        <w:t>, tels que les surplombs, les ailerons latéraux, les reculs, les obstacles éloignés, etc.), pour le mois de juillet, de l</w:t>
      </w:r>
      <w:r w:rsidR="00EA7588">
        <w:t>’</w:t>
      </w:r>
      <w:r>
        <w:rPr>
          <w:i/>
          <w:iCs/>
        </w:rPr>
        <w:t>ouverture</w:t>
      </w:r>
      <w:r>
        <w:t xml:space="preserve"> k, et représente la réduction de l’irradiation solaire incidente due à l</w:t>
      </w:r>
      <w:r w:rsidR="00EA7588">
        <w:t>’</w:t>
      </w:r>
      <w:r>
        <w:t>ombrage permanent de ces obstacles</w:t>
      </w:r>
      <w:r w:rsidR="00880E3A">
        <w:t>;</w:t>
      </w:r>
    </w:p>
    <w:p w14:paraId="4E3153F3" w14:textId="4049337C" w:rsidR="00037CDA" w:rsidRPr="00937C8B" w:rsidRDefault="00037CDA" w:rsidP="00935676">
      <w:pPr>
        <w:pStyle w:val="Textbody"/>
        <w:spacing w:before="60" w:after="0"/>
        <w:ind w:left="1560" w:hanging="993"/>
        <w:jc w:val="both"/>
      </w:pPr>
      <w:r>
        <w:t>g</w:t>
      </w:r>
      <w:r>
        <w:rPr>
          <w:vertAlign w:val="subscript"/>
        </w:rPr>
        <w:t>gl;sh;wi</w:t>
      </w:r>
      <w:r>
        <w:tab/>
        <w:t>est la transmission totale de l</w:t>
      </w:r>
      <w:r w:rsidR="00EA7588">
        <w:t>’</w:t>
      </w:r>
      <w:r>
        <w:t>énergie solaire du vitrage avec le dispositif d</w:t>
      </w:r>
      <w:r w:rsidR="00EA7588">
        <w:t>’</w:t>
      </w:r>
      <w:r>
        <w:t>ombre mobile activé, pour le mois de juillet, de l’</w:t>
      </w:r>
      <w:r>
        <w:rPr>
          <w:i/>
          <w:iCs/>
        </w:rPr>
        <w:t>ouverture</w:t>
      </w:r>
      <w:r>
        <w:t xml:space="preserve"> k;</w:t>
      </w:r>
    </w:p>
    <w:p w14:paraId="556E7D9F" w14:textId="60DBB43C" w:rsidR="00037CDA" w:rsidRPr="00937C8B" w:rsidRDefault="00037CDA" w:rsidP="00935676">
      <w:pPr>
        <w:pStyle w:val="Textbody"/>
        <w:spacing w:before="60" w:after="0"/>
        <w:ind w:left="1560" w:hanging="993"/>
        <w:jc w:val="both"/>
      </w:pPr>
      <w:r>
        <w:t>F</w:t>
      </w:r>
      <w:r>
        <w:rPr>
          <w:vertAlign w:val="subscript"/>
        </w:rPr>
        <w:t>F</w:t>
      </w:r>
      <w:r>
        <w:tab/>
        <w:t>est la fraction du cadre de l’ouverture k (à des fins de simplification, la valeur de 0,25 peut être utilisée)</w:t>
      </w:r>
      <w:r w:rsidR="00880E3A">
        <w:t>;</w:t>
      </w:r>
    </w:p>
    <w:p w14:paraId="0AD62FA1" w14:textId="77777777" w:rsidR="00037CDA" w:rsidRPr="00937C8B" w:rsidRDefault="00037CDA" w:rsidP="00935676">
      <w:pPr>
        <w:pStyle w:val="Textbody"/>
        <w:spacing w:before="60" w:after="0"/>
        <w:ind w:left="1560" w:hanging="993"/>
        <w:jc w:val="both"/>
      </w:pPr>
      <w:r>
        <w:t>A</w:t>
      </w:r>
      <w:r>
        <w:rPr>
          <w:vertAlign w:val="subscript"/>
        </w:rPr>
        <w:t>w;p</w:t>
      </w:r>
      <w:r>
        <w:tab/>
        <w:t>est la surface (m</w:t>
      </w:r>
      <w:r>
        <w:rPr>
          <w:vertAlign w:val="superscript"/>
        </w:rPr>
        <w:t>2</w:t>
      </w:r>
      <w:r>
        <w:t>) de l’</w:t>
      </w:r>
      <w:r>
        <w:rPr>
          <w:i/>
        </w:rPr>
        <w:t>ouverture</w:t>
      </w:r>
      <w:r>
        <w:t xml:space="preserve"> k;</w:t>
      </w:r>
    </w:p>
    <w:p w14:paraId="55EDF86C" w14:textId="4774AD11" w:rsidR="00037CDA" w:rsidRPr="00937C8B" w:rsidRDefault="00037CDA" w:rsidP="00935676">
      <w:pPr>
        <w:pStyle w:val="Textopreformateado"/>
        <w:spacing w:before="60"/>
        <w:ind w:left="1560" w:hanging="993"/>
        <w:jc w:val="both"/>
      </w:pPr>
      <w:r>
        <w:t>H</w:t>
      </w:r>
      <w:r>
        <w:rPr>
          <w:vertAlign w:val="subscript"/>
        </w:rPr>
        <w:t>sol; jul</w:t>
      </w:r>
      <w:r>
        <w:tab/>
        <w:t>est l</w:t>
      </w:r>
      <w:r w:rsidR="00EA7588">
        <w:t>’</w:t>
      </w:r>
      <w:r>
        <w:t>irradiation solaire cumulée moyenne du mois de juillet (kWh/m²·mois) pour le climat considéré, l</w:t>
      </w:r>
      <w:r w:rsidR="00EA7588">
        <w:t>’</w:t>
      </w:r>
      <w:r>
        <w:t>inclinaison et l</w:t>
      </w:r>
      <w:r w:rsidR="00EA7588">
        <w:t>’</w:t>
      </w:r>
      <w:r>
        <w:t>orientation de l</w:t>
      </w:r>
      <w:r w:rsidR="00EA7588">
        <w:t>’</w:t>
      </w:r>
      <w:r>
        <w:rPr>
          <w:i/>
          <w:iCs/>
        </w:rPr>
        <w:t>ouverture</w:t>
      </w:r>
      <w:r>
        <w:t xml:space="preserve"> k.</w:t>
      </w:r>
    </w:p>
    <w:p w14:paraId="25602545" w14:textId="3A1CF856" w:rsidR="00037CDA" w:rsidRPr="00937C8B" w:rsidRDefault="00037CDA" w:rsidP="00037CDA">
      <w:pPr>
        <w:pStyle w:val="CTENormal"/>
        <w:jc w:val="both"/>
      </w:pPr>
      <w:r>
        <w:rPr>
          <w:rStyle w:val="CteAnejo-DefinicionCar"/>
        </w:rPr>
        <w:t>Toiture</w:t>
      </w:r>
      <w:r>
        <w:t>: cloison en contact avec l</w:t>
      </w:r>
      <w:r w:rsidR="00EA7588">
        <w:t>’</w:t>
      </w:r>
      <w:r>
        <w:t>air extérieur ou avec le terrain sur la face supérieure dont l</w:t>
      </w:r>
      <w:r w:rsidR="00EA7588">
        <w:t>’</w:t>
      </w:r>
      <w:r>
        <w:t>inclinaison est inférieure à 60 ° par rapport à l</w:t>
      </w:r>
      <w:r w:rsidR="00EA7588">
        <w:t>’</w:t>
      </w:r>
      <w:r>
        <w:t>horizontale.</w:t>
      </w:r>
    </w:p>
    <w:p w14:paraId="7482A054" w14:textId="04C98A1A" w:rsidR="00037CDA" w:rsidRPr="00937C8B" w:rsidRDefault="00037CDA" w:rsidP="00037CDA">
      <w:pPr>
        <w:pStyle w:val="CTENormal"/>
        <w:jc w:val="both"/>
      </w:pPr>
      <w:r>
        <w:rPr>
          <w:rStyle w:val="CteAnejo-DefinicionCar"/>
        </w:rPr>
        <w:t>Demande (d</w:t>
      </w:r>
      <w:r w:rsidR="00EA7588">
        <w:rPr>
          <w:rStyle w:val="CteAnejo-DefinicionCar"/>
        </w:rPr>
        <w:t>’</w:t>
      </w:r>
      <w:r>
        <w:rPr>
          <w:rStyle w:val="CteAnejo-DefinicionCar"/>
        </w:rPr>
        <w:t>énergie)</w:t>
      </w:r>
      <w:r>
        <w:t>: énergie utile nécessaire que les systèmes techniques devraient fournir afin de maintenir l</w:t>
      </w:r>
      <w:r w:rsidR="00EA7588">
        <w:t>’</w:t>
      </w:r>
      <w:r>
        <w:t xml:space="preserve">intérieur du bâtiment dans les conditions réglementaires définies. Elle peut être divisée en </w:t>
      </w:r>
      <w:r>
        <w:rPr>
          <w:i/>
          <w:iCs/>
        </w:rPr>
        <w:t>demande d’énergie</w:t>
      </w:r>
      <w:r>
        <w:t xml:space="preserve"> pour le chauffage, la réfrigération, l’eau chaude sanitaire (ECS), la ventilation, le contrôle de l’humidité et l’éclairage, et elle est exprimée en kWh/m</w:t>
      </w:r>
      <w:r>
        <w:rPr>
          <w:szCs w:val="20"/>
          <w:vertAlign w:val="superscript"/>
        </w:rPr>
        <w:t>2</w:t>
      </w:r>
      <w:r>
        <w:t xml:space="preserve"> par an.</w:t>
      </w:r>
    </w:p>
    <w:p w14:paraId="524DB5AB" w14:textId="694008E8" w:rsidR="00037CDA" w:rsidRPr="00937C8B" w:rsidRDefault="00037CDA" w:rsidP="00037CDA">
      <w:pPr>
        <w:pStyle w:val="CTENormal"/>
        <w:jc w:val="both"/>
      </w:pPr>
      <w:r>
        <w:rPr>
          <w:rStyle w:val="CteAnejo-DefinicionCar"/>
        </w:rPr>
        <w:t>Bâtiment à consommation d’énergie quasi nulle</w:t>
      </w:r>
      <w:r>
        <w:rPr>
          <w:rStyle w:val="CteAnejo-DefinicionCar"/>
          <w:b w:val="0"/>
          <w:bCs w:val="0"/>
          <w:i w:val="0"/>
          <w:iCs w:val="0"/>
        </w:rPr>
        <w:t>: bâtiment neuf ou existant conforme aux exigences réglementaires établies dans le présent document de base «DB HE Économie d’énergie» en ce qui concerne la limitation de la consommation d</w:t>
      </w:r>
      <w:r w:rsidR="00EA7588">
        <w:rPr>
          <w:rStyle w:val="CteAnejo-DefinicionCar"/>
          <w:b w:val="0"/>
          <w:bCs w:val="0"/>
          <w:i w:val="0"/>
          <w:iCs w:val="0"/>
        </w:rPr>
        <w:t>’</w:t>
      </w:r>
      <w:r>
        <w:rPr>
          <w:rStyle w:val="CteAnejo-DefinicionCar"/>
          <w:b w:val="0"/>
          <w:bCs w:val="0"/>
          <w:i w:val="0"/>
          <w:iCs w:val="0"/>
        </w:rPr>
        <w:t>énergie des bâtiments neufs.</w:t>
      </w:r>
    </w:p>
    <w:p w14:paraId="0A3F4468" w14:textId="77777777" w:rsidR="00037CDA" w:rsidRPr="00937C8B" w:rsidRDefault="00037CDA" w:rsidP="00037CDA">
      <w:pPr>
        <w:pStyle w:val="CTENormal"/>
        <w:jc w:val="both"/>
      </w:pPr>
      <w:r>
        <w:rPr>
          <w:rStyle w:val="CteAnejo-DefinicionCar"/>
        </w:rPr>
        <w:t>Performance lumineuse</w:t>
      </w:r>
      <w:r>
        <w:rPr>
          <w:rStyle w:val="CteAnejo-DefinicionCar"/>
          <w:b w:val="0"/>
          <w:bCs w:val="0"/>
          <w:i w:val="0"/>
          <w:iCs w:val="0"/>
        </w:rPr>
        <w:t>: rapport entre le flux lumineux émis et la puissance électrique de la source. Elle est exprimée en lm/W (lumens/watt).</w:t>
      </w:r>
    </w:p>
    <w:p w14:paraId="382FF0BF" w14:textId="7E475271" w:rsidR="00255D36" w:rsidRPr="00937C8B" w:rsidRDefault="00037CDA" w:rsidP="00D27646">
      <w:pPr>
        <w:pStyle w:val="CTENormal"/>
        <w:keepNext/>
        <w:jc w:val="both"/>
        <w:rPr>
          <w:bCs/>
        </w:rPr>
      </w:pPr>
      <w:r>
        <w:rPr>
          <w:rStyle w:val="CteAnejo-DefinicionCar"/>
        </w:rPr>
        <w:t>Énergie finale</w:t>
      </w:r>
      <w:r>
        <w:t>: énergie telle qu</w:t>
      </w:r>
      <w:r w:rsidR="00EA7588">
        <w:t>’</w:t>
      </w:r>
      <w:r>
        <w:t>elle est utilisée sur les points de consommation. Il s</w:t>
      </w:r>
      <w:r w:rsidR="00EA7588">
        <w:t>’</w:t>
      </w:r>
      <w:r>
        <w:t>agit de l</w:t>
      </w:r>
      <w:r w:rsidR="00EA7588">
        <w:t>’</w:t>
      </w:r>
      <w:r>
        <w:t>énergie que les consommateurs achètent sous forme d</w:t>
      </w:r>
      <w:r w:rsidR="00EA7588">
        <w:t>’</w:t>
      </w:r>
      <w:r>
        <w:t>électricité, de carburants ou d</w:t>
      </w:r>
      <w:r w:rsidR="00EA7588">
        <w:t>’</w:t>
      </w:r>
      <w:r>
        <w:t>autres combustibles utilisés de manière directe. En fonction de l’origine de sa production, l</w:t>
      </w:r>
      <w:r w:rsidR="00EA7588">
        <w:t>’</w:t>
      </w:r>
      <w:r>
        <w:rPr>
          <w:i/>
          <w:iCs/>
        </w:rPr>
        <w:t>énergie finale</w:t>
      </w:r>
      <w:r>
        <w:t xml:space="preserve"> peut être caractérisée de trois manières:</w:t>
      </w:r>
    </w:p>
    <w:p w14:paraId="2233943F" w14:textId="6113CEB4" w:rsidR="00037CDA" w:rsidRPr="00937C8B" w:rsidRDefault="00037CDA" w:rsidP="00425ADA">
      <w:pPr>
        <w:pStyle w:val="CTENormal"/>
        <w:numPr>
          <w:ilvl w:val="0"/>
          <w:numId w:val="13"/>
        </w:numPr>
        <w:spacing w:before="0" w:after="0"/>
        <w:ind w:left="714" w:hanging="357"/>
        <w:jc w:val="both"/>
      </w:pPr>
      <w:r>
        <w:rPr>
          <w:i/>
          <w:iCs/>
        </w:rPr>
        <w:t>sur site</w:t>
      </w:r>
      <w:r>
        <w:t>, si elle est générée dans le bâtiment ou sur la parcelle du bâtiment, qu’elle soit de type photovoltaïque, solaire thermique, thermique extraite de l</w:t>
      </w:r>
      <w:r w:rsidR="00EA7588">
        <w:t>’</w:t>
      </w:r>
      <w:r>
        <w:t>environnement, etc.;</w:t>
      </w:r>
    </w:p>
    <w:p w14:paraId="2FCB0BF4" w14:textId="6FE5FB89" w:rsidR="00037CDA" w:rsidRPr="00937C8B" w:rsidRDefault="00037CDA" w:rsidP="00425ADA">
      <w:pPr>
        <w:pStyle w:val="CTENormal"/>
        <w:numPr>
          <w:ilvl w:val="0"/>
          <w:numId w:val="13"/>
        </w:numPr>
        <w:spacing w:before="0" w:after="0"/>
        <w:ind w:left="714" w:hanging="357"/>
        <w:jc w:val="both"/>
      </w:pPr>
      <w:r>
        <w:lastRenderedPageBreak/>
        <w:t>à proximité du bâtiment, si elle est générée via des sources locales ou avoisinantes, comme la biomasse solide, les systèmes de chauffage ou de refroidissement urbains, l</w:t>
      </w:r>
      <w:r w:rsidR="00EA7588">
        <w:t>’</w:t>
      </w:r>
      <w:r>
        <w:t>électricité produite à proximité du bâtiment, etc.;</w:t>
      </w:r>
    </w:p>
    <w:p w14:paraId="1B966C08" w14:textId="5B372108" w:rsidR="00037CDA" w:rsidRPr="00937C8B" w:rsidRDefault="00037CDA" w:rsidP="00425ADA">
      <w:pPr>
        <w:pStyle w:val="CTENormal"/>
        <w:numPr>
          <w:ilvl w:val="0"/>
          <w:numId w:val="13"/>
        </w:numPr>
        <w:spacing w:before="0" w:after="0"/>
        <w:ind w:left="714" w:hanging="357"/>
        <w:jc w:val="both"/>
      </w:pPr>
      <w:r>
        <w:t>éloignée, si elle est générée par un autre moyen, par exemple depuis des combustibles fossiles ou via l</w:t>
      </w:r>
      <w:r w:rsidR="00EA7588">
        <w:t>’</w:t>
      </w:r>
      <w:r>
        <w:t>électricité de réseau.</w:t>
      </w:r>
    </w:p>
    <w:p w14:paraId="74BB20F5" w14:textId="3CEECA9D" w:rsidR="00037CDA" w:rsidRPr="00937C8B" w:rsidRDefault="00037CDA" w:rsidP="00D27646">
      <w:pPr>
        <w:pStyle w:val="CTENormal"/>
        <w:keepNext/>
        <w:jc w:val="both"/>
      </w:pPr>
      <w:r>
        <w:rPr>
          <w:rStyle w:val="CteAnejo-DefinicionCar"/>
        </w:rPr>
        <w:t>Énergie primaire</w:t>
      </w:r>
      <w:r>
        <w:t>: énergie fournie au bâtiment provenant de sources renouvelables et non renouvelables n</w:t>
      </w:r>
      <w:r w:rsidR="00EA7588">
        <w:t>’</w:t>
      </w:r>
      <w:r>
        <w:t>ayant subi aucun processus de conversion ou de transformation préalable. Il s</w:t>
      </w:r>
      <w:r w:rsidR="00EA7588">
        <w:t>’</w:t>
      </w:r>
      <w:r>
        <w:t>agit de l</w:t>
      </w:r>
      <w:r w:rsidR="00EA7588">
        <w:t>’</w:t>
      </w:r>
      <w:r>
        <w:t>énergie contenue dans les combustibles et autres sources d</w:t>
      </w:r>
      <w:r w:rsidR="00EA7588">
        <w:t>’</w:t>
      </w:r>
      <w:r>
        <w:t>énergie et comprenant l</w:t>
      </w:r>
      <w:r w:rsidR="00EA7588">
        <w:t>’</w:t>
      </w:r>
      <w:r>
        <w:t>énergie nécessaire pour générer l</w:t>
      </w:r>
      <w:r w:rsidR="00EA7588">
        <w:t>’</w:t>
      </w:r>
      <w:r>
        <w:rPr>
          <w:i/>
          <w:iCs/>
        </w:rPr>
        <w:t>énergie finale</w:t>
      </w:r>
      <w:r>
        <w:t xml:space="preserve"> consommée, y compris les pertes subies au cours du transport jusqu</w:t>
      </w:r>
      <w:r w:rsidR="00EA7588">
        <w:t>’</w:t>
      </w:r>
      <w:r>
        <w:t>au bâtiment, lieu de stockage, etc.</w:t>
      </w:r>
    </w:p>
    <w:p w14:paraId="49EC3DBB" w14:textId="77777777" w:rsidR="00037CDA" w:rsidRPr="00937C8B" w:rsidRDefault="00037CDA" w:rsidP="00037CDA">
      <w:pPr>
        <w:pStyle w:val="CTENormal"/>
        <w:jc w:val="center"/>
        <w:rPr>
          <w:bCs/>
        </w:rPr>
      </w:pPr>
      <w:r>
        <w:rPr>
          <w:i/>
          <w:iCs/>
        </w:rPr>
        <w:t>Énergie primaire</w:t>
      </w:r>
      <w:r>
        <w:t xml:space="preserve"> = </w:t>
      </w:r>
      <w:r>
        <w:rPr>
          <w:i/>
          <w:iCs/>
        </w:rPr>
        <w:t>Énergie finale</w:t>
      </w:r>
      <w:r>
        <w:t xml:space="preserve"> + Pertes au cours du processus de transformation + Pertes au cours du transport</w:t>
      </w:r>
    </w:p>
    <w:p w14:paraId="070909FA" w14:textId="77777777" w:rsidR="00037CDA" w:rsidRPr="00937C8B" w:rsidRDefault="00A03C86" w:rsidP="00037CDA">
      <w:pPr>
        <w:pStyle w:val="CTENormal"/>
        <w:jc w:val="center"/>
      </w:pPr>
      <w:r>
        <w:rPr>
          <w:noProof/>
        </w:rPr>
        <w:drawing>
          <wp:inline distT="0" distB="0" distL="0" distR="0" wp14:anchorId="225805AB" wp14:editId="25DE2FEA">
            <wp:extent cx="5562600" cy="1000125"/>
            <wp:effectExtent l="0" t="0" r="0"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2">
                      <a:extLst>
                        <a:ext uri="{28A0092B-C50C-407E-A947-70E740481C1C}">
                          <a14:useLocalDpi xmlns:a14="http://schemas.microsoft.com/office/drawing/2010/main" val="0"/>
                        </a:ext>
                      </a:extLst>
                    </a:blip>
                    <a:srcRect t="34576" b="41402"/>
                    <a:stretch>
                      <a:fillRect/>
                    </a:stretch>
                  </pic:blipFill>
                  <pic:spPr bwMode="auto">
                    <a:xfrm>
                      <a:off x="0" y="0"/>
                      <a:ext cx="5562600" cy="1000125"/>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5211"/>
        <w:gridCol w:w="5211"/>
      </w:tblGrid>
      <w:tr w:rsidR="007B282B" w:rsidRPr="00937C8B" w14:paraId="402C1AB7" w14:textId="77777777" w:rsidTr="007B282B">
        <w:trPr>
          <w:hidden/>
        </w:trPr>
        <w:tc>
          <w:tcPr>
            <w:tcW w:w="5211" w:type="dxa"/>
          </w:tcPr>
          <w:p w14:paraId="00D06389" w14:textId="77777777" w:rsidR="007B282B" w:rsidRPr="00937C8B" w:rsidRDefault="007B282B" w:rsidP="007B282B">
            <w:pPr>
              <w:pStyle w:val="CTENormal"/>
              <w:spacing w:before="0" w:after="0"/>
              <w:rPr>
                <w:bCs/>
                <w:vanish/>
              </w:rPr>
            </w:pPr>
            <w:r>
              <w:rPr>
                <w:bCs/>
                <w:vanish/>
              </w:rPr>
              <w:t>ENERGÍA PRIMARIA</w:t>
            </w:r>
          </w:p>
        </w:tc>
        <w:tc>
          <w:tcPr>
            <w:tcW w:w="5211" w:type="dxa"/>
          </w:tcPr>
          <w:p w14:paraId="55873C96" w14:textId="77777777" w:rsidR="007B282B" w:rsidRPr="00937C8B" w:rsidRDefault="007B282B" w:rsidP="007B282B">
            <w:pPr>
              <w:pStyle w:val="CTENormal"/>
              <w:spacing w:before="0" w:after="0"/>
              <w:rPr>
                <w:bCs/>
              </w:rPr>
            </w:pPr>
            <w:r>
              <w:t>ÉNERGIE PRIMAIRE</w:t>
            </w:r>
          </w:p>
        </w:tc>
      </w:tr>
      <w:tr w:rsidR="007B282B" w:rsidRPr="00937C8B" w14:paraId="23150F67" w14:textId="77777777" w:rsidTr="007B282B">
        <w:trPr>
          <w:hidden/>
        </w:trPr>
        <w:tc>
          <w:tcPr>
            <w:tcW w:w="5211" w:type="dxa"/>
          </w:tcPr>
          <w:p w14:paraId="7709A3B6" w14:textId="77777777" w:rsidR="007B282B" w:rsidRPr="00937C8B" w:rsidRDefault="007B282B" w:rsidP="007B282B">
            <w:pPr>
              <w:pStyle w:val="CTENormal"/>
              <w:spacing w:before="0" w:after="0"/>
              <w:rPr>
                <w:bCs/>
                <w:vanish/>
              </w:rPr>
            </w:pPr>
            <w:r>
              <w:rPr>
                <w:bCs/>
                <w:vanish/>
              </w:rPr>
              <w:t>Pérdidas</w:t>
            </w:r>
          </w:p>
        </w:tc>
        <w:tc>
          <w:tcPr>
            <w:tcW w:w="5211" w:type="dxa"/>
          </w:tcPr>
          <w:p w14:paraId="47DA7706" w14:textId="77777777" w:rsidR="007B282B" w:rsidRPr="00937C8B" w:rsidRDefault="007B282B" w:rsidP="007B282B">
            <w:pPr>
              <w:pStyle w:val="CTENormal"/>
              <w:spacing w:before="0" w:after="0"/>
              <w:rPr>
                <w:bCs/>
              </w:rPr>
            </w:pPr>
            <w:r>
              <w:t>Pertes</w:t>
            </w:r>
          </w:p>
        </w:tc>
      </w:tr>
      <w:tr w:rsidR="007B282B" w:rsidRPr="00937C8B" w14:paraId="39A98C62" w14:textId="77777777" w:rsidTr="007B282B">
        <w:trPr>
          <w:hidden/>
        </w:trPr>
        <w:tc>
          <w:tcPr>
            <w:tcW w:w="5211" w:type="dxa"/>
          </w:tcPr>
          <w:p w14:paraId="79FC9D4F" w14:textId="77777777" w:rsidR="007B282B" w:rsidRPr="00937C8B" w:rsidRDefault="007B282B" w:rsidP="007B282B">
            <w:pPr>
              <w:pStyle w:val="CTENormal"/>
              <w:spacing w:before="0" w:after="0"/>
              <w:rPr>
                <w:bCs/>
                <w:vanish/>
              </w:rPr>
            </w:pPr>
            <w:r>
              <w:rPr>
                <w:bCs/>
                <w:vanish/>
              </w:rPr>
              <w:t>Procesos de:</w:t>
            </w:r>
          </w:p>
          <w:p w14:paraId="6B2BD70F" w14:textId="77777777" w:rsidR="007B282B" w:rsidRPr="00937C8B" w:rsidRDefault="007B282B" w:rsidP="007B282B">
            <w:pPr>
              <w:pStyle w:val="CTENormal"/>
              <w:spacing w:before="0" w:after="0"/>
              <w:rPr>
                <w:bCs/>
                <w:vanish/>
              </w:rPr>
            </w:pPr>
            <w:r>
              <w:rPr>
                <w:bCs/>
                <w:vanish/>
              </w:rPr>
              <w:t>- Transformación</w:t>
            </w:r>
          </w:p>
          <w:p w14:paraId="0BE641EE" w14:textId="77777777" w:rsidR="007B282B" w:rsidRPr="00937C8B" w:rsidRDefault="007B282B" w:rsidP="007B282B">
            <w:pPr>
              <w:pStyle w:val="CTENormal"/>
              <w:spacing w:before="0" w:after="0"/>
              <w:rPr>
                <w:bCs/>
                <w:vanish/>
              </w:rPr>
            </w:pPr>
            <w:r>
              <w:rPr>
                <w:bCs/>
                <w:vanish/>
              </w:rPr>
              <w:t>- Transporte</w:t>
            </w:r>
          </w:p>
          <w:p w14:paraId="1B7BF518" w14:textId="77777777" w:rsidR="007B282B" w:rsidRPr="00937C8B" w:rsidRDefault="007B282B" w:rsidP="007B282B">
            <w:pPr>
              <w:pStyle w:val="CTENormal"/>
              <w:spacing w:before="0" w:after="0"/>
              <w:rPr>
                <w:bCs/>
                <w:vanish/>
              </w:rPr>
            </w:pPr>
            <w:r>
              <w:rPr>
                <w:bCs/>
                <w:vanish/>
              </w:rPr>
              <w:t>- Distribución</w:t>
            </w:r>
          </w:p>
        </w:tc>
        <w:tc>
          <w:tcPr>
            <w:tcW w:w="5211" w:type="dxa"/>
          </w:tcPr>
          <w:p w14:paraId="7D7664F1" w14:textId="77777777" w:rsidR="007B282B" w:rsidRPr="00937C8B" w:rsidRDefault="007B282B" w:rsidP="007B282B">
            <w:pPr>
              <w:pStyle w:val="CTENormal"/>
              <w:spacing w:before="0" w:after="0"/>
              <w:rPr>
                <w:bCs/>
              </w:rPr>
            </w:pPr>
            <w:r>
              <w:t>Processus de:</w:t>
            </w:r>
          </w:p>
          <w:p w14:paraId="420B7FD7" w14:textId="77777777" w:rsidR="007B282B" w:rsidRPr="00937C8B" w:rsidRDefault="007B282B" w:rsidP="007B282B">
            <w:pPr>
              <w:pStyle w:val="CTENormal"/>
              <w:spacing w:before="0" w:after="0"/>
              <w:rPr>
                <w:bCs/>
              </w:rPr>
            </w:pPr>
            <w:r>
              <w:t>- Transformation</w:t>
            </w:r>
          </w:p>
          <w:p w14:paraId="4E34328C" w14:textId="77777777" w:rsidR="007B282B" w:rsidRPr="00937C8B" w:rsidRDefault="007B282B" w:rsidP="007B282B">
            <w:pPr>
              <w:pStyle w:val="CTENormal"/>
              <w:spacing w:before="0" w:after="0"/>
              <w:rPr>
                <w:bCs/>
              </w:rPr>
            </w:pPr>
            <w:r>
              <w:t>- Transport</w:t>
            </w:r>
          </w:p>
          <w:p w14:paraId="4383FDB9" w14:textId="77777777" w:rsidR="007B282B" w:rsidRPr="00937C8B" w:rsidRDefault="007B282B" w:rsidP="007B282B">
            <w:pPr>
              <w:pStyle w:val="CTENormal"/>
              <w:spacing w:before="0" w:after="0"/>
              <w:rPr>
                <w:bCs/>
              </w:rPr>
            </w:pPr>
            <w:r>
              <w:t>- Distribution</w:t>
            </w:r>
          </w:p>
        </w:tc>
      </w:tr>
      <w:tr w:rsidR="007B282B" w:rsidRPr="00937C8B" w14:paraId="7C465409" w14:textId="77777777" w:rsidTr="007B282B">
        <w:trPr>
          <w:hidden/>
        </w:trPr>
        <w:tc>
          <w:tcPr>
            <w:tcW w:w="5211" w:type="dxa"/>
          </w:tcPr>
          <w:p w14:paraId="387B4DD7" w14:textId="77777777" w:rsidR="007B282B" w:rsidRPr="00937C8B" w:rsidRDefault="007B282B" w:rsidP="007B282B">
            <w:pPr>
              <w:pStyle w:val="CTENormal"/>
              <w:spacing w:before="0" w:after="0"/>
              <w:rPr>
                <w:bCs/>
                <w:vanish/>
              </w:rPr>
            </w:pPr>
            <w:r>
              <w:rPr>
                <w:bCs/>
                <w:vanish/>
              </w:rPr>
              <w:t>ENERGÍAS FINALES</w:t>
            </w:r>
          </w:p>
        </w:tc>
        <w:tc>
          <w:tcPr>
            <w:tcW w:w="5211" w:type="dxa"/>
          </w:tcPr>
          <w:p w14:paraId="6D65FA75" w14:textId="77777777" w:rsidR="007B282B" w:rsidRPr="00937C8B" w:rsidRDefault="007B282B" w:rsidP="007B282B">
            <w:pPr>
              <w:pStyle w:val="CTENormal"/>
              <w:spacing w:before="0" w:after="0"/>
              <w:rPr>
                <w:bCs/>
              </w:rPr>
            </w:pPr>
            <w:r>
              <w:t>ÉNERGIES FINALES</w:t>
            </w:r>
          </w:p>
        </w:tc>
      </w:tr>
      <w:tr w:rsidR="007B282B" w:rsidRPr="00937C8B" w14:paraId="5AD01A06" w14:textId="77777777" w:rsidTr="007B282B">
        <w:trPr>
          <w:hidden/>
        </w:trPr>
        <w:tc>
          <w:tcPr>
            <w:tcW w:w="5211" w:type="dxa"/>
          </w:tcPr>
          <w:p w14:paraId="3112CF16" w14:textId="77777777" w:rsidR="007B282B" w:rsidRPr="00937C8B" w:rsidRDefault="007B282B" w:rsidP="007B282B">
            <w:pPr>
              <w:pStyle w:val="CTENormal"/>
              <w:spacing w:before="0" w:after="0"/>
              <w:rPr>
                <w:bCs/>
                <w:vanish/>
              </w:rPr>
            </w:pPr>
            <w:r>
              <w:rPr>
                <w:bCs/>
                <w:vanish/>
              </w:rPr>
              <w:t>Sistemas técnicos</w:t>
            </w:r>
          </w:p>
          <w:p w14:paraId="399F5589" w14:textId="77777777" w:rsidR="007B282B" w:rsidRPr="00937C8B" w:rsidRDefault="007B282B" w:rsidP="007B282B">
            <w:pPr>
              <w:pStyle w:val="CTENormal"/>
              <w:spacing w:before="0" w:after="0"/>
              <w:rPr>
                <w:bCs/>
                <w:vanish/>
              </w:rPr>
            </w:pPr>
            <w:r>
              <w:rPr>
                <w:bCs/>
                <w:vanish/>
              </w:rPr>
              <w:t>Demande de:</w:t>
            </w:r>
          </w:p>
          <w:p w14:paraId="30A13ABE" w14:textId="77777777" w:rsidR="007B282B" w:rsidRPr="00937C8B" w:rsidRDefault="007B282B" w:rsidP="007B282B">
            <w:pPr>
              <w:pStyle w:val="CTENormal"/>
              <w:spacing w:before="0" w:after="0"/>
              <w:rPr>
                <w:bCs/>
                <w:vanish/>
              </w:rPr>
            </w:pPr>
            <w:r>
              <w:rPr>
                <w:bCs/>
                <w:vanish/>
              </w:rPr>
              <w:t>- Calefacción</w:t>
            </w:r>
          </w:p>
          <w:p w14:paraId="345759ED" w14:textId="77777777" w:rsidR="007B282B" w:rsidRPr="00937C8B" w:rsidRDefault="007B282B" w:rsidP="007B282B">
            <w:pPr>
              <w:pStyle w:val="CTENormal"/>
              <w:spacing w:before="0" w:after="0"/>
              <w:rPr>
                <w:bCs/>
                <w:vanish/>
              </w:rPr>
            </w:pPr>
            <w:r>
              <w:rPr>
                <w:bCs/>
                <w:vanish/>
              </w:rPr>
              <w:t>- Refrigeración</w:t>
            </w:r>
          </w:p>
          <w:p w14:paraId="162196D7" w14:textId="77777777" w:rsidR="007B282B" w:rsidRPr="00937C8B" w:rsidRDefault="007B282B" w:rsidP="007B282B">
            <w:pPr>
              <w:pStyle w:val="CTENormal"/>
              <w:spacing w:before="0" w:after="0"/>
              <w:rPr>
                <w:bCs/>
                <w:vanish/>
              </w:rPr>
            </w:pPr>
            <w:r>
              <w:rPr>
                <w:bCs/>
                <w:vanish/>
              </w:rPr>
              <w:t>- ACS</w:t>
            </w:r>
          </w:p>
          <w:p w14:paraId="21A4835C" w14:textId="77777777" w:rsidR="007B282B" w:rsidRPr="00937C8B" w:rsidRDefault="007B282B" w:rsidP="007B282B">
            <w:pPr>
              <w:pStyle w:val="CTENormal"/>
              <w:spacing w:before="0" w:after="0"/>
              <w:rPr>
                <w:bCs/>
                <w:vanish/>
              </w:rPr>
            </w:pPr>
            <w:r>
              <w:rPr>
                <w:bCs/>
                <w:vanish/>
              </w:rPr>
              <w:t>- Illminación</w:t>
            </w:r>
          </w:p>
          <w:p w14:paraId="3F501E50" w14:textId="77777777" w:rsidR="007B282B" w:rsidRPr="00937C8B" w:rsidRDefault="007B282B" w:rsidP="007B282B">
            <w:pPr>
              <w:pStyle w:val="CTENormal"/>
              <w:spacing w:before="0" w:after="0"/>
              <w:rPr>
                <w:bCs/>
                <w:vanish/>
              </w:rPr>
            </w:pPr>
            <w:r>
              <w:rPr>
                <w:bCs/>
                <w:vanish/>
              </w:rPr>
              <w:t>- Ventilación</w:t>
            </w:r>
          </w:p>
          <w:p w14:paraId="7FA7BE3F" w14:textId="77777777" w:rsidR="007B282B" w:rsidRPr="00937C8B" w:rsidRDefault="007B282B" w:rsidP="007B282B">
            <w:pPr>
              <w:pStyle w:val="CTENormal"/>
              <w:spacing w:before="0" w:after="0"/>
              <w:rPr>
                <w:bCs/>
                <w:vanish/>
              </w:rPr>
            </w:pPr>
            <w:r>
              <w:rPr>
                <w:bCs/>
                <w:vanish/>
              </w:rPr>
              <w:t>- Control de humedad</w:t>
            </w:r>
          </w:p>
        </w:tc>
        <w:tc>
          <w:tcPr>
            <w:tcW w:w="5211" w:type="dxa"/>
          </w:tcPr>
          <w:p w14:paraId="613A7943" w14:textId="77777777" w:rsidR="007B282B" w:rsidRPr="00937C8B" w:rsidRDefault="007B282B" w:rsidP="007B282B">
            <w:pPr>
              <w:pStyle w:val="CTENormal"/>
              <w:spacing w:before="0" w:after="0"/>
              <w:rPr>
                <w:bCs/>
              </w:rPr>
            </w:pPr>
            <w:r>
              <w:t>Systèmes techniques</w:t>
            </w:r>
          </w:p>
          <w:p w14:paraId="1B4ADB48" w14:textId="77777777" w:rsidR="007B282B" w:rsidRPr="00937C8B" w:rsidRDefault="007B282B" w:rsidP="007B282B">
            <w:pPr>
              <w:pStyle w:val="CTENormal"/>
              <w:spacing w:before="0" w:after="0"/>
              <w:rPr>
                <w:bCs/>
              </w:rPr>
            </w:pPr>
            <w:r>
              <w:t>Demande de:</w:t>
            </w:r>
          </w:p>
          <w:p w14:paraId="21CB07C4" w14:textId="77777777" w:rsidR="007B282B" w:rsidRPr="00937C8B" w:rsidRDefault="007B282B" w:rsidP="007B282B">
            <w:pPr>
              <w:pStyle w:val="CTENormal"/>
              <w:spacing w:before="0" w:after="0"/>
              <w:rPr>
                <w:bCs/>
              </w:rPr>
            </w:pPr>
            <w:r>
              <w:t>- Chauffage</w:t>
            </w:r>
          </w:p>
          <w:p w14:paraId="04F59CEF" w14:textId="77777777" w:rsidR="007B282B" w:rsidRPr="00937C8B" w:rsidRDefault="007B282B" w:rsidP="007B282B">
            <w:pPr>
              <w:pStyle w:val="CTENormal"/>
              <w:spacing w:before="0" w:after="0"/>
              <w:rPr>
                <w:bCs/>
              </w:rPr>
            </w:pPr>
            <w:r>
              <w:t>- Refroidissement</w:t>
            </w:r>
          </w:p>
          <w:p w14:paraId="5D922F2D" w14:textId="77777777" w:rsidR="007B282B" w:rsidRPr="00937C8B" w:rsidRDefault="007B282B" w:rsidP="007B282B">
            <w:pPr>
              <w:pStyle w:val="CTENormal"/>
              <w:spacing w:before="0" w:after="0"/>
              <w:rPr>
                <w:bCs/>
              </w:rPr>
            </w:pPr>
            <w:r>
              <w:t>- Eau chaude sanitaire (ECS)</w:t>
            </w:r>
          </w:p>
          <w:p w14:paraId="4C28AD95" w14:textId="77777777" w:rsidR="007B282B" w:rsidRPr="00937C8B" w:rsidRDefault="007B282B" w:rsidP="007B282B">
            <w:pPr>
              <w:pStyle w:val="CTENormal"/>
              <w:spacing w:before="0" w:after="0"/>
              <w:rPr>
                <w:bCs/>
              </w:rPr>
            </w:pPr>
            <w:r>
              <w:t>- Éclairage</w:t>
            </w:r>
          </w:p>
          <w:p w14:paraId="4F981DF8" w14:textId="77777777" w:rsidR="007B282B" w:rsidRPr="00937C8B" w:rsidRDefault="007B282B" w:rsidP="007B282B">
            <w:pPr>
              <w:pStyle w:val="CTENormal"/>
              <w:spacing w:before="0" w:after="0"/>
              <w:rPr>
                <w:bCs/>
              </w:rPr>
            </w:pPr>
            <w:r>
              <w:t>- Ventilation</w:t>
            </w:r>
          </w:p>
          <w:p w14:paraId="19C2A211" w14:textId="77777777" w:rsidR="007B282B" w:rsidRPr="00937C8B" w:rsidRDefault="007B282B" w:rsidP="007B282B">
            <w:pPr>
              <w:pStyle w:val="CTENormal"/>
              <w:spacing w:before="0" w:after="0"/>
              <w:rPr>
                <w:bCs/>
              </w:rPr>
            </w:pPr>
            <w:r>
              <w:t>- Contrôle de l’humidité</w:t>
            </w:r>
          </w:p>
        </w:tc>
      </w:tr>
      <w:tr w:rsidR="007B282B" w:rsidRPr="00937C8B" w14:paraId="396AC507" w14:textId="77777777" w:rsidTr="007B282B">
        <w:trPr>
          <w:hidden/>
        </w:trPr>
        <w:tc>
          <w:tcPr>
            <w:tcW w:w="5211" w:type="dxa"/>
          </w:tcPr>
          <w:p w14:paraId="7C834CB1" w14:textId="77777777" w:rsidR="007B282B" w:rsidRPr="00937C8B" w:rsidRDefault="007B282B" w:rsidP="007B282B">
            <w:pPr>
              <w:pStyle w:val="CTENormal"/>
              <w:spacing w:before="0" w:after="0"/>
              <w:rPr>
                <w:vanish/>
              </w:rPr>
            </w:pPr>
            <w:r>
              <w:rPr>
                <w:bCs/>
                <w:vanish/>
              </w:rPr>
              <w:t>ENERGÍA ÚTIL</w:t>
            </w:r>
          </w:p>
        </w:tc>
        <w:tc>
          <w:tcPr>
            <w:tcW w:w="5211" w:type="dxa"/>
          </w:tcPr>
          <w:p w14:paraId="54220D73" w14:textId="77777777" w:rsidR="007B282B" w:rsidRPr="00937C8B" w:rsidRDefault="007B282B" w:rsidP="007B282B">
            <w:pPr>
              <w:pStyle w:val="CTENormal"/>
              <w:spacing w:before="0" w:after="0"/>
            </w:pPr>
            <w:r>
              <w:t>ÉNERGIE UTILE</w:t>
            </w:r>
          </w:p>
        </w:tc>
      </w:tr>
    </w:tbl>
    <w:p w14:paraId="501565A0" w14:textId="342A553B" w:rsidR="00037CDA" w:rsidRPr="00937C8B" w:rsidRDefault="00037CDA" w:rsidP="00037CDA">
      <w:pPr>
        <w:pStyle w:val="CTENormal"/>
        <w:jc w:val="both"/>
        <w:rPr>
          <w:bCs/>
        </w:rPr>
      </w:pPr>
      <w:r>
        <w:t>L</w:t>
      </w:r>
      <w:r w:rsidR="00EA7588">
        <w:t>’</w:t>
      </w:r>
      <w:r>
        <w:rPr>
          <w:i/>
          <w:iCs/>
        </w:rPr>
        <w:t>énergie primaire</w:t>
      </w:r>
      <w:r>
        <w:t xml:space="preserve"> (totale) peut être décomposée en </w:t>
      </w:r>
      <w:r>
        <w:rPr>
          <w:i/>
          <w:iCs/>
        </w:rPr>
        <w:t>énergie primaire produite à partir de sources renouvelables</w:t>
      </w:r>
      <w:r>
        <w:t xml:space="preserve">, ou </w:t>
      </w:r>
      <w:r>
        <w:rPr>
          <w:i/>
          <w:iCs/>
        </w:rPr>
        <w:t>énergie primaire</w:t>
      </w:r>
      <w:r>
        <w:t xml:space="preserve"> renouvelable, et en </w:t>
      </w:r>
      <w:r>
        <w:rPr>
          <w:i/>
          <w:iCs/>
        </w:rPr>
        <w:t>énergie primaire</w:t>
      </w:r>
      <w:r>
        <w:t xml:space="preserve"> produite à partir de sources non renouvelables, ou </w:t>
      </w:r>
      <w:r>
        <w:rPr>
          <w:i/>
          <w:iCs/>
        </w:rPr>
        <w:t>énergie primaire</w:t>
      </w:r>
      <w:r>
        <w:t xml:space="preserve"> non renouvelable, conformément à la directive sur les énergies renouvelables (2009/28/CE).</w:t>
      </w:r>
    </w:p>
    <w:p w14:paraId="5FE87AEC" w14:textId="7CB6D2CC" w:rsidR="00037CDA" w:rsidRPr="00937C8B" w:rsidRDefault="00037CDA" w:rsidP="00037CDA">
      <w:pPr>
        <w:pStyle w:val="CTENormal"/>
        <w:spacing w:before="0"/>
        <w:jc w:val="both"/>
        <w:rPr>
          <w:bCs/>
        </w:rPr>
      </w:pPr>
      <w:r>
        <w:t>De manière simplifiée, la relation entre l</w:t>
      </w:r>
      <w:r w:rsidR="00EA7588">
        <w:t>’</w:t>
      </w:r>
      <w:r>
        <w:rPr>
          <w:i/>
          <w:iCs/>
        </w:rPr>
        <w:t>énergie finale</w:t>
      </w:r>
      <w:r>
        <w:t xml:space="preserve"> et l</w:t>
      </w:r>
      <w:r w:rsidR="00EA7588">
        <w:t>’</w:t>
      </w:r>
      <w:r>
        <w:rPr>
          <w:i/>
          <w:iCs/>
        </w:rPr>
        <w:t>énergie primaire</w:t>
      </w:r>
      <w:r>
        <w:t xml:space="preserve"> peut être exprimée par un facteur de conversion. Ce dernier reflète, pour une zone géographique donnée, l</w:t>
      </w:r>
      <w:r w:rsidR="00EA7588">
        <w:t>’</w:t>
      </w:r>
      <w:r>
        <w:t>effet des pertes de transformation et de transport pour chaque part de l</w:t>
      </w:r>
      <w:r w:rsidR="00EA7588">
        <w:t>’</w:t>
      </w:r>
      <w:r>
        <w:rPr>
          <w:i/>
          <w:iCs/>
        </w:rPr>
        <w:t>énergie primaire</w:t>
      </w:r>
      <w:r>
        <w:t xml:space="preserve"> (renouvelable et non renouvelable) de chaque vecteur énergétique.</w:t>
      </w:r>
    </w:p>
    <w:p w14:paraId="74C09ABB" w14:textId="295540B5" w:rsidR="00037CDA" w:rsidRPr="00937C8B" w:rsidRDefault="00037CDA" w:rsidP="00037CDA">
      <w:pPr>
        <w:pStyle w:val="Standard"/>
        <w:spacing w:after="120"/>
        <w:jc w:val="both"/>
      </w:pPr>
      <w:r>
        <w:rPr>
          <w:rStyle w:val="CteAnejo-DefinicionCar"/>
        </w:rPr>
        <w:t>Énergie provenant de sources renouvelables</w:t>
      </w:r>
      <w:r>
        <w:t>: énergie provenant de sources renouvelables non fossiles, à savoir l</w:t>
      </w:r>
      <w:r w:rsidR="00EA7588">
        <w:t>’</w:t>
      </w:r>
      <w:r>
        <w:t>énergie éolienne, solaire, aérothermique, géothermique, hydrothermique et océanique, hydraulique, la biomasse, les gaz de décharge, les gaz des stations d</w:t>
      </w:r>
      <w:r w:rsidR="00EA7588">
        <w:t>’</w:t>
      </w:r>
      <w:r>
        <w:t>épuration et le biogaz. Il convient de noter que toute l</w:t>
      </w:r>
      <w:r w:rsidR="00EA7588">
        <w:t>’</w:t>
      </w:r>
      <w:r>
        <w:t>énergie produite à partir de sources renouvelables n’est pas automatiquement réputée renouvelable. L</w:t>
      </w:r>
      <w:r w:rsidR="00EA7588">
        <w:t>’</w:t>
      </w:r>
      <w:r>
        <w:t>énergie produite à partir de sources renouvelables peut avoir, dans certains cas, une composante d</w:t>
      </w:r>
      <w:r w:rsidR="00EA7588">
        <w:t>’</w:t>
      </w:r>
      <w:r>
        <w:t>énergie non renouvelable qui doit être traitée comme telle dans le calcul de l</w:t>
      </w:r>
      <w:r w:rsidR="00EA7588">
        <w:t>’</w:t>
      </w:r>
      <w:r>
        <w:t>énergie.</w:t>
      </w:r>
    </w:p>
    <w:p w14:paraId="1BFCE076" w14:textId="77777777" w:rsidR="00B3445A" w:rsidRPr="00937C8B" w:rsidRDefault="00037CDA" w:rsidP="00037CDA">
      <w:pPr>
        <w:pStyle w:val="Standard"/>
        <w:jc w:val="both"/>
      </w:pPr>
      <w:r>
        <w:rPr>
          <w:b/>
          <w:bCs/>
          <w:i/>
          <w:iCs/>
        </w:rPr>
        <w:lastRenderedPageBreak/>
        <w:t>Enceinte (thermique)</w:t>
      </w:r>
      <w:r>
        <w:t>: voir l’annexe C.</w:t>
      </w:r>
    </w:p>
    <w:p w14:paraId="4F3BD154" w14:textId="77777777" w:rsidR="00037CDA" w:rsidRPr="00937C8B" w:rsidRDefault="00037CDA" w:rsidP="00037CDA">
      <w:pPr>
        <w:pStyle w:val="CTENormal"/>
        <w:spacing w:after="120"/>
        <w:jc w:val="both"/>
      </w:pPr>
      <w:r>
        <w:rPr>
          <w:rStyle w:val="CteAnejo-DefinicionCar"/>
        </w:rPr>
        <w:t>Espace habitable</w:t>
      </w:r>
      <w:r>
        <w:t xml:space="preserve">: espace formé par une ou plusieurs </w:t>
      </w:r>
      <w:r>
        <w:rPr>
          <w:i/>
          <w:iCs/>
        </w:rPr>
        <w:t>enceintes habitables</w:t>
      </w:r>
      <w:r>
        <w:t xml:space="preserve"> contiguës destinées à un même usage et présentant des conditions thermiques équivalentes regroupées à des fins de calcul énergétique.</w:t>
      </w:r>
    </w:p>
    <w:p w14:paraId="44DA61C7" w14:textId="0AF3D7B9" w:rsidR="00037CDA" w:rsidRPr="00937C8B" w:rsidRDefault="00037CDA" w:rsidP="00037CDA">
      <w:pPr>
        <w:pStyle w:val="CTENormal"/>
        <w:spacing w:before="0"/>
        <w:jc w:val="both"/>
      </w:pPr>
      <w:r>
        <w:t xml:space="preserve">En fonction de sa </w:t>
      </w:r>
      <w:r>
        <w:rPr>
          <w:i/>
          <w:iCs/>
        </w:rPr>
        <w:t>charge interne</w:t>
      </w:r>
      <w:r>
        <w:t xml:space="preserve">, un </w:t>
      </w:r>
      <w:r>
        <w:rPr>
          <w:i/>
          <w:iCs/>
        </w:rPr>
        <w:t>espace habitable</w:t>
      </w:r>
      <w:r>
        <w:t xml:space="preserve"> est classé comme </w:t>
      </w:r>
      <w:r>
        <w:rPr>
          <w:i/>
          <w:iCs/>
        </w:rPr>
        <w:t>espace habitable</w:t>
      </w:r>
      <w:r>
        <w:t xml:space="preserve"> à </w:t>
      </w:r>
      <w:r>
        <w:rPr>
          <w:i/>
          <w:iCs/>
        </w:rPr>
        <w:t>charge interne</w:t>
      </w:r>
      <w:r>
        <w:t xml:space="preserve"> faible, moyenne, élevée ou très élevée, conformément au tableau a de l</w:t>
      </w:r>
      <w:r w:rsidR="00EA7588">
        <w:t>’</w:t>
      </w:r>
      <w:r>
        <w:t>annexe A.</w:t>
      </w:r>
    </w:p>
    <w:p w14:paraId="08E5D61B" w14:textId="01ED4C2A" w:rsidR="00037CDA" w:rsidRPr="00937C8B" w:rsidRDefault="00037CDA" w:rsidP="00037CDA">
      <w:pPr>
        <w:pStyle w:val="CTENormal"/>
        <w:jc w:val="both"/>
      </w:pPr>
      <w:r>
        <w:rPr>
          <w:rStyle w:val="CteAnejo-DefinicionCar"/>
        </w:rPr>
        <w:t>Espace habitable</w:t>
      </w:r>
      <w:r>
        <w:rPr>
          <w:b/>
          <w:bCs/>
          <w:i/>
        </w:rPr>
        <w:t xml:space="preserve"> </w:t>
      </w:r>
      <w:r>
        <w:rPr>
          <w:rStyle w:val="CteAnejo-DefinicionCar"/>
          <w:bCs w:val="0"/>
          <w:iCs w:val="0"/>
        </w:rPr>
        <w:t>climatisé</w:t>
      </w:r>
      <w:r>
        <w:t xml:space="preserve">: </w:t>
      </w:r>
      <w:r>
        <w:rPr>
          <w:i/>
          <w:iCs/>
        </w:rPr>
        <w:t>espace habitable</w:t>
      </w:r>
      <w:r>
        <w:t xml:space="preserve"> devant maintenir certaines conditions opérationnelles pour le bien-être thermique de ses occupants. En usage résidentiel privé, tous les espaces intérieurs des logements sont considérés comme climatisés et doivent respecter les conditions opérationnelles définies à l</w:t>
      </w:r>
      <w:r w:rsidR="00EA7588">
        <w:t>’</w:t>
      </w:r>
      <w:r>
        <w:t>annexe D.</w:t>
      </w:r>
    </w:p>
    <w:p w14:paraId="74536FDF" w14:textId="75A5950A" w:rsidR="00037CDA" w:rsidRPr="00937C8B" w:rsidRDefault="00037CDA" w:rsidP="00037CDA">
      <w:pPr>
        <w:pStyle w:val="CTENormal"/>
        <w:spacing w:before="0"/>
        <w:jc w:val="both"/>
      </w:pPr>
      <w:r>
        <w:t>À des fins de calcul, de manière simplifiée, d</w:t>
      </w:r>
      <w:r w:rsidR="00EA7588">
        <w:t>’</w:t>
      </w:r>
      <w:r>
        <w:t>autres espaces de vie, tels que des couloirs, des escaliers et d</w:t>
      </w:r>
      <w:r w:rsidR="00EA7588">
        <w:t>’</w:t>
      </w:r>
      <w:r>
        <w:t xml:space="preserve">autres zones communes, peuvent également être réputés </w:t>
      </w:r>
      <w:r>
        <w:rPr>
          <w:i/>
          <w:iCs/>
        </w:rPr>
        <w:t>habitables</w:t>
      </w:r>
      <w:r>
        <w:t>.</w:t>
      </w:r>
    </w:p>
    <w:p w14:paraId="3FF7A257" w14:textId="675EF3EF" w:rsidR="00037CDA" w:rsidRPr="00937C8B" w:rsidRDefault="00037CDA" w:rsidP="00037CDA">
      <w:pPr>
        <w:pStyle w:val="CTENormal"/>
        <w:jc w:val="both"/>
      </w:pPr>
      <w:r>
        <w:rPr>
          <w:rStyle w:val="CteAnejo-DefinicionCar"/>
        </w:rPr>
        <w:t>Espace habitable</w:t>
      </w:r>
      <w:r>
        <w:rPr>
          <w:b/>
          <w:bCs/>
          <w:i/>
        </w:rPr>
        <w:t xml:space="preserve"> </w:t>
      </w:r>
      <w:r>
        <w:rPr>
          <w:rStyle w:val="CteAnejo-DefinicionCar"/>
          <w:bCs w:val="0"/>
          <w:iCs w:val="0"/>
        </w:rPr>
        <w:t>non climatisé</w:t>
      </w:r>
      <w:r>
        <w:t xml:space="preserve">: </w:t>
      </w:r>
      <w:r>
        <w:rPr>
          <w:i/>
          <w:iCs/>
        </w:rPr>
        <w:t>espace habitable</w:t>
      </w:r>
      <w:r>
        <w:t xml:space="preserve"> pour lequel il est prévu que, pendant la durée de vie utile du bâtiment, aucune condition particulière de température ne s’applique pour maintenir le bien-être thermique de ses occupants. Étant donné qu</w:t>
      </w:r>
      <w:r w:rsidR="00EA7588">
        <w:t>’</w:t>
      </w:r>
      <w:r>
        <w:t>il s</w:t>
      </w:r>
      <w:r w:rsidR="00EA7588">
        <w:t>’</w:t>
      </w:r>
      <w:r>
        <w:t>agit d</w:t>
      </w:r>
      <w:r w:rsidR="00EA7588">
        <w:t>’</w:t>
      </w:r>
      <w:r>
        <w:t>un espace habitable, il dispose néanmoins de sources internes (éclairage, occupation, équipements).</w:t>
      </w:r>
    </w:p>
    <w:p w14:paraId="1A1BC5D7" w14:textId="49AFA2A1" w:rsidR="00037CDA" w:rsidRPr="00937C8B" w:rsidRDefault="00037CDA" w:rsidP="00037CDA">
      <w:pPr>
        <w:pStyle w:val="CTENormal"/>
        <w:jc w:val="both"/>
      </w:pPr>
      <w:r>
        <w:rPr>
          <w:rStyle w:val="CteAnejo-DefinicionCar"/>
        </w:rPr>
        <w:t>Espace non habitable</w:t>
      </w:r>
      <w:r>
        <w:t xml:space="preserve">:espace formé par une ou plusieurs enceintes non habitables contigües destinées au même usage et présentant des conditions thermiques équivalentes regroupées aux fins du calcul de la </w:t>
      </w:r>
      <w:r>
        <w:rPr>
          <w:i/>
        </w:rPr>
        <w:t>demande d</w:t>
      </w:r>
      <w:r w:rsidR="00EA7588">
        <w:rPr>
          <w:i/>
        </w:rPr>
        <w:t>’</w:t>
      </w:r>
      <w:r>
        <w:rPr>
          <w:i/>
        </w:rPr>
        <w:t>énergie</w:t>
      </w:r>
      <w:r>
        <w:t>. Cette catégorie regroupe notamment les garages, les parkings, les caves, les locaux à poubelle et les installations (voir</w:t>
      </w:r>
      <w:r>
        <w:rPr>
          <w:i/>
          <w:iCs/>
        </w:rPr>
        <w:t xml:space="preserve"> enceintes habitables</w:t>
      </w:r>
      <w:r>
        <w:t>).</w:t>
      </w:r>
    </w:p>
    <w:p w14:paraId="3681819A" w14:textId="4A72E2E8" w:rsidR="00037CDA" w:rsidRPr="00937C8B" w:rsidRDefault="00037CDA" w:rsidP="00037CDA">
      <w:pPr>
        <w:pStyle w:val="CTENormal"/>
        <w:jc w:val="both"/>
      </w:pPr>
      <w:r>
        <w:rPr>
          <w:rStyle w:val="CteAnejo-DefinicionCar"/>
        </w:rPr>
        <w:t>Façade</w:t>
      </w:r>
      <w:r>
        <w:t>: cloison en contact avec l</w:t>
      </w:r>
      <w:r w:rsidR="00EA7588">
        <w:t>’</w:t>
      </w:r>
      <w:r>
        <w:t>air extérieur dont l</w:t>
      </w:r>
      <w:r w:rsidR="00EA7588">
        <w:t>’</w:t>
      </w:r>
      <w:r>
        <w:t>inclinaison est supérieure à 60° par rapport à l</w:t>
      </w:r>
      <w:r w:rsidR="00EA7588">
        <w:t>’</w:t>
      </w:r>
      <w:r>
        <w:t>horizontale. Elle se compose d</w:t>
      </w:r>
      <w:r w:rsidR="00EA7588">
        <w:t>’</w:t>
      </w:r>
      <w:r>
        <w:t>une partie opaque (mur) et d</w:t>
      </w:r>
      <w:r w:rsidR="00EA7588">
        <w:t>’</w:t>
      </w:r>
      <w:r>
        <w:t>une partie semi-transparente (</w:t>
      </w:r>
      <w:r>
        <w:rPr>
          <w:i/>
          <w:iCs/>
        </w:rPr>
        <w:t>ouvertures</w:t>
      </w:r>
      <w:r>
        <w:t>).</w:t>
      </w:r>
    </w:p>
    <w:p w14:paraId="2155C923" w14:textId="3916C1B1" w:rsidR="00037CDA" w:rsidRPr="00937C8B" w:rsidRDefault="00037CDA" w:rsidP="00037CDA">
      <w:pPr>
        <w:pStyle w:val="CTENormal"/>
        <w:jc w:val="both"/>
      </w:pPr>
      <w:r>
        <w:rPr>
          <w:rStyle w:val="CteAnejo-DefinicionCar"/>
          <w:i w:val="0"/>
          <w:iCs w:val="0"/>
        </w:rPr>
        <w:t>Facteur de maintenance (F</w:t>
      </w:r>
      <w:r>
        <w:rPr>
          <w:rStyle w:val="CteAnejo-DefinicionCar"/>
          <w:i w:val="0"/>
          <w:iCs w:val="0"/>
          <w:vertAlign w:val="subscript"/>
        </w:rPr>
        <w:t>m</w:t>
      </w:r>
      <w:r>
        <w:rPr>
          <w:rStyle w:val="CteAnejo-DefinicionCar"/>
          <w:i w:val="0"/>
          <w:iCs w:val="0"/>
        </w:rPr>
        <w:t>)</w:t>
      </w:r>
      <w:r>
        <w:rPr>
          <w:rStyle w:val="CteAnejo-DefinicionCar"/>
          <w:b w:val="0"/>
          <w:bCs w:val="0"/>
          <w:i w:val="0"/>
          <w:iCs w:val="0"/>
        </w:rPr>
        <w:t>: rapport entre l</w:t>
      </w:r>
      <w:r w:rsidR="00EA7588">
        <w:rPr>
          <w:rStyle w:val="CteAnejo-DefinicionCar"/>
          <w:b w:val="0"/>
          <w:bCs w:val="0"/>
          <w:i w:val="0"/>
          <w:iCs w:val="0"/>
        </w:rPr>
        <w:t>’</w:t>
      </w:r>
      <w:r>
        <w:rPr>
          <w:rStyle w:val="CteAnejo-DefinicionCar"/>
          <w:b w:val="0"/>
          <w:bCs w:val="0"/>
        </w:rPr>
        <w:t>éclairement</w:t>
      </w:r>
      <w:r>
        <w:rPr>
          <w:rStyle w:val="CteAnejo-DefinicionCar"/>
          <w:b w:val="0"/>
          <w:bCs w:val="0"/>
          <w:i w:val="0"/>
          <w:iCs w:val="0"/>
        </w:rPr>
        <w:t xml:space="preserve"> moyen sur le plan de travail après un certain temps d</w:t>
      </w:r>
      <w:r w:rsidR="00EA7588">
        <w:rPr>
          <w:rStyle w:val="CteAnejo-DefinicionCar"/>
          <w:b w:val="0"/>
          <w:bCs w:val="0"/>
          <w:i w:val="0"/>
          <w:iCs w:val="0"/>
        </w:rPr>
        <w:t>’</w:t>
      </w:r>
      <w:r>
        <w:rPr>
          <w:rStyle w:val="CteAnejo-DefinicionCar"/>
          <w:b w:val="0"/>
          <w:bCs w:val="0"/>
          <w:i w:val="0"/>
          <w:iCs w:val="0"/>
        </w:rPr>
        <w:t>utilisation d</w:t>
      </w:r>
      <w:r w:rsidR="00EA7588">
        <w:rPr>
          <w:rStyle w:val="CteAnejo-DefinicionCar"/>
          <w:b w:val="0"/>
          <w:bCs w:val="0"/>
          <w:i w:val="0"/>
          <w:iCs w:val="0"/>
        </w:rPr>
        <w:t>’</w:t>
      </w:r>
      <w:r>
        <w:rPr>
          <w:rStyle w:val="CteAnejo-DefinicionCar"/>
          <w:b w:val="0"/>
          <w:bCs w:val="0"/>
          <w:i w:val="0"/>
          <w:iCs w:val="0"/>
        </w:rPr>
        <w:t>une installation d</w:t>
      </w:r>
      <w:r w:rsidR="00EA7588">
        <w:rPr>
          <w:rStyle w:val="CteAnejo-DefinicionCar"/>
          <w:b w:val="0"/>
          <w:bCs w:val="0"/>
          <w:i w:val="0"/>
          <w:iCs w:val="0"/>
        </w:rPr>
        <w:t>’</w:t>
      </w:r>
      <w:r>
        <w:rPr>
          <w:rStyle w:val="CteAnejo-DefinicionCar"/>
          <w:b w:val="0"/>
          <w:bCs w:val="0"/>
          <w:i w:val="0"/>
          <w:iCs w:val="0"/>
        </w:rPr>
        <w:t>éclairage et l</w:t>
      </w:r>
      <w:r w:rsidR="00EA7588">
        <w:rPr>
          <w:rStyle w:val="CteAnejo-DefinicionCar"/>
          <w:b w:val="0"/>
          <w:bCs w:val="0"/>
          <w:i w:val="0"/>
          <w:iCs w:val="0"/>
        </w:rPr>
        <w:t>’</w:t>
      </w:r>
      <w:r>
        <w:rPr>
          <w:rStyle w:val="CteAnejo-DefinicionCar"/>
          <w:b w:val="0"/>
          <w:bCs w:val="0"/>
        </w:rPr>
        <w:t>éclairement</w:t>
      </w:r>
      <w:r>
        <w:rPr>
          <w:rStyle w:val="CteAnejo-DefinicionCar"/>
          <w:b w:val="0"/>
          <w:bCs w:val="0"/>
          <w:i w:val="0"/>
          <w:iCs w:val="0"/>
        </w:rPr>
        <w:t xml:space="preserve"> moyen obtenu dans les mêmes conditions pour l</w:t>
      </w:r>
      <w:r w:rsidR="00EA7588">
        <w:rPr>
          <w:rStyle w:val="CteAnejo-DefinicionCar"/>
          <w:b w:val="0"/>
          <w:bCs w:val="0"/>
          <w:i w:val="0"/>
          <w:iCs w:val="0"/>
        </w:rPr>
        <w:t>’</w:t>
      </w:r>
      <w:r>
        <w:rPr>
          <w:rStyle w:val="CteAnejo-DefinicionCar"/>
          <w:b w:val="0"/>
          <w:bCs w:val="0"/>
          <w:i w:val="0"/>
          <w:iCs w:val="0"/>
        </w:rPr>
        <w:t>installation considérée comme neuve.</w:t>
      </w:r>
    </w:p>
    <w:p w14:paraId="73121589" w14:textId="0106B5FE" w:rsidR="00037CDA" w:rsidRPr="00937C8B" w:rsidRDefault="00037CDA" w:rsidP="00037CDA">
      <w:pPr>
        <w:pStyle w:val="CTENormal"/>
        <w:jc w:val="both"/>
      </w:pPr>
      <w:r>
        <w:rPr>
          <w:rStyle w:val="CteAnejo-DefinicionCar"/>
        </w:rPr>
        <w:t>Facteur d’ombre (F</w:t>
      </w:r>
      <w:r>
        <w:rPr>
          <w:rStyle w:val="CteAnejo-DefinicionCar"/>
          <w:vertAlign w:val="subscript"/>
        </w:rPr>
        <w:t>s</w:t>
      </w:r>
      <w:r>
        <w:rPr>
          <w:rStyle w:val="CteAnejo-DefinicionCar"/>
        </w:rPr>
        <w:t>)</w:t>
      </w:r>
      <w:r>
        <w:t xml:space="preserve">: pourcentage du rayonnement incident sur une </w:t>
      </w:r>
      <w:r>
        <w:rPr>
          <w:i/>
          <w:iCs/>
        </w:rPr>
        <w:t>ouverture</w:t>
      </w:r>
      <w:r>
        <w:t xml:space="preserve"> qui n</w:t>
      </w:r>
      <w:r w:rsidR="00EA7588">
        <w:t>’</w:t>
      </w:r>
      <w:r>
        <w:t>est pas bloqué par la présence d</w:t>
      </w:r>
      <w:r w:rsidR="00EA7588">
        <w:t>’</w:t>
      </w:r>
      <w:r>
        <w:t>obstacles au niveau de la façade tels que: retraits, saillies, auvents, saillies latérales ou autres.</w:t>
      </w:r>
    </w:p>
    <w:p w14:paraId="17D11019" w14:textId="15C38485" w:rsidR="00037CDA" w:rsidRPr="00937C8B" w:rsidRDefault="00037CDA" w:rsidP="00037CDA">
      <w:pPr>
        <w:pStyle w:val="CTENormal"/>
        <w:jc w:val="both"/>
      </w:pPr>
      <w:r>
        <w:rPr>
          <w:rStyle w:val="CteAnejo-DefinicionCar"/>
        </w:rPr>
        <w:t>Facteur solaire (g</w:t>
      </w:r>
      <w:r>
        <w:rPr>
          <w:rStyle w:val="CteAnejo-DefinicionCar"/>
          <w:vertAlign w:val="subscript"/>
        </w:rPr>
        <w:t>┴</w:t>
      </w:r>
      <w:r>
        <w:rPr>
          <w:rStyle w:val="CteAnejo-DefinicionCar"/>
        </w:rPr>
        <w:t>)</w:t>
      </w:r>
      <w:r>
        <w:t>: rapport entre le rayonnement solaire à incidence normale qui s</w:t>
      </w:r>
      <w:r w:rsidR="00EA7588">
        <w:t>’</w:t>
      </w:r>
      <w:r>
        <w:t>introduit dans le bâtiment à travers le vitrage et celui qui s</w:t>
      </w:r>
      <w:r w:rsidR="00EA7588">
        <w:t>’</w:t>
      </w:r>
      <w:r>
        <w:t xml:space="preserve">introduirait si le vitrage était remplacé par une </w:t>
      </w:r>
      <w:r>
        <w:rPr>
          <w:i/>
          <w:iCs/>
        </w:rPr>
        <w:t>ouverture</w:t>
      </w:r>
      <w:r>
        <w:t xml:space="preserve"> totalement transparente. Ce terme se réfère exclusivement à la partie semi-transparente d</w:t>
      </w:r>
      <w:r w:rsidR="00EA7588">
        <w:t>’</w:t>
      </w:r>
      <w:r>
        <w:t xml:space="preserve">une </w:t>
      </w:r>
      <w:r>
        <w:rPr>
          <w:i/>
          <w:iCs/>
        </w:rPr>
        <w:t>ouverture</w:t>
      </w:r>
      <w:r>
        <w:t>.</w:t>
      </w:r>
    </w:p>
    <w:p w14:paraId="4A635524" w14:textId="470F77C6" w:rsidR="00037CDA" w:rsidRPr="00937C8B" w:rsidRDefault="00037CDA" w:rsidP="00037CDA">
      <w:pPr>
        <w:pStyle w:val="CTENumeracion"/>
        <w:ind w:left="0" w:firstLine="0"/>
        <w:rPr>
          <w:rFonts w:cs="Arial"/>
          <w:sz w:val="22"/>
          <w:szCs w:val="22"/>
        </w:rPr>
      </w:pPr>
      <w:r>
        <w:rPr>
          <w:rStyle w:val="CteAnejo-DefinicionCar"/>
          <w:sz w:val="22"/>
          <w:szCs w:val="22"/>
        </w:rPr>
        <w:t>Heures hors consigne</w:t>
      </w:r>
      <w:r>
        <w:rPr>
          <w:bCs/>
          <w:sz w:val="22"/>
          <w:szCs w:val="22"/>
        </w:rPr>
        <w:t>: nombre d</w:t>
      </w:r>
      <w:r w:rsidR="00EA7588">
        <w:rPr>
          <w:bCs/>
          <w:sz w:val="22"/>
          <w:szCs w:val="22"/>
        </w:rPr>
        <w:t>’</w:t>
      </w:r>
      <w:r>
        <w:rPr>
          <w:bCs/>
          <w:sz w:val="22"/>
          <w:szCs w:val="22"/>
        </w:rPr>
        <w:t>heures, tout au long de l</w:t>
      </w:r>
      <w:r w:rsidR="00EA7588">
        <w:rPr>
          <w:bCs/>
          <w:sz w:val="22"/>
          <w:szCs w:val="22"/>
        </w:rPr>
        <w:t>’</w:t>
      </w:r>
      <w:r>
        <w:rPr>
          <w:bCs/>
          <w:sz w:val="22"/>
          <w:szCs w:val="22"/>
        </w:rPr>
        <w:t>année, pendant lesquelles l</w:t>
      </w:r>
      <w:r w:rsidR="00EA7588">
        <w:rPr>
          <w:bCs/>
          <w:sz w:val="22"/>
          <w:szCs w:val="22"/>
        </w:rPr>
        <w:t>’</w:t>
      </w:r>
      <w:r>
        <w:rPr>
          <w:bCs/>
          <w:sz w:val="22"/>
          <w:szCs w:val="22"/>
        </w:rPr>
        <w:t xml:space="preserve">un des </w:t>
      </w:r>
      <w:r>
        <w:rPr>
          <w:bCs/>
          <w:i/>
          <w:iCs/>
          <w:sz w:val="22"/>
          <w:szCs w:val="22"/>
        </w:rPr>
        <w:t xml:space="preserve">espaces habitables climatisés </w:t>
      </w:r>
      <w:r>
        <w:rPr>
          <w:bCs/>
          <w:sz w:val="22"/>
          <w:szCs w:val="22"/>
        </w:rPr>
        <w:t>du bâtiment ou, le cas échéant, d’une partie du bâtiment, se trouve, pendant les périodes d</w:t>
      </w:r>
      <w:r w:rsidR="00EA7588">
        <w:rPr>
          <w:bCs/>
          <w:sz w:val="22"/>
          <w:szCs w:val="22"/>
        </w:rPr>
        <w:t>’</w:t>
      </w:r>
      <w:r>
        <w:rPr>
          <w:bCs/>
          <w:sz w:val="22"/>
          <w:szCs w:val="22"/>
        </w:rPr>
        <w:t>occupation, en dehors de la plage de températures de consigne de chauffage ou de refroidissement, avec une marge supérieure à 1</w:t>
      </w:r>
      <w:r w:rsidR="00EA7588">
        <w:rPr>
          <w:bCs/>
          <w:sz w:val="22"/>
          <w:szCs w:val="22"/>
        </w:rPr>
        <w:t> </w:t>
      </w:r>
      <w:r>
        <w:rPr>
          <w:bCs/>
          <w:sz w:val="22"/>
          <w:szCs w:val="22"/>
        </w:rPr>
        <w:t xml:space="preserve">ºC, telle que définie dans ses </w:t>
      </w:r>
      <w:r>
        <w:rPr>
          <w:bCs/>
          <w:i/>
          <w:iCs/>
          <w:sz w:val="22"/>
          <w:szCs w:val="22"/>
        </w:rPr>
        <w:t>conditions opérationnelles</w:t>
      </w:r>
      <w:r>
        <w:rPr>
          <w:bCs/>
          <w:sz w:val="22"/>
          <w:szCs w:val="22"/>
        </w:rPr>
        <w:t>.</w:t>
      </w:r>
    </w:p>
    <w:p w14:paraId="5FC6198C" w14:textId="03224AA3" w:rsidR="00037CDA" w:rsidRPr="00937C8B" w:rsidRDefault="00037CDA" w:rsidP="00037CDA">
      <w:pPr>
        <w:pStyle w:val="CTENormal"/>
        <w:jc w:val="both"/>
        <w:rPr>
          <w:szCs w:val="22"/>
        </w:rPr>
      </w:pPr>
      <w:r>
        <w:rPr>
          <w:rStyle w:val="CteAnejo-DefinicionCar"/>
          <w:szCs w:val="22"/>
        </w:rPr>
        <w:t>Ouverture</w:t>
      </w:r>
      <w:r>
        <w:t xml:space="preserve">: tout élément transparent ou semi-transparent de </w:t>
      </w:r>
      <w:r>
        <w:rPr>
          <w:i/>
          <w:iCs/>
          <w:szCs w:val="22"/>
        </w:rPr>
        <w:t>l</w:t>
      </w:r>
      <w:r w:rsidR="00EA7588">
        <w:rPr>
          <w:i/>
          <w:iCs/>
          <w:szCs w:val="22"/>
        </w:rPr>
        <w:t>’</w:t>
      </w:r>
      <w:r>
        <w:rPr>
          <w:i/>
          <w:iCs/>
          <w:szCs w:val="22"/>
        </w:rPr>
        <w:t xml:space="preserve">enceinte thermique </w:t>
      </w:r>
      <w:r>
        <w:t>du bâtiment. Ce terme comprend les fenêtres, les lucarnes (</w:t>
      </w:r>
      <w:r>
        <w:rPr>
          <w:i/>
          <w:iCs/>
        </w:rPr>
        <w:t>ouvertures</w:t>
      </w:r>
      <w:r>
        <w:t xml:space="preserve"> de toiture) ainsi que les portes vitrées dont la surface semi-transparente est supérieure à 50 %.</w:t>
      </w:r>
    </w:p>
    <w:p w14:paraId="4DCEF709" w14:textId="773CCE9C" w:rsidR="00037CDA" w:rsidRPr="00937C8B" w:rsidRDefault="00037CDA" w:rsidP="00037CDA">
      <w:pPr>
        <w:pStyle w:val="CTENormal"/>
        <w:jc w:val="both"/>
      </w:pPr>
      <w:r>
        <w:rPr>
          <w:rStyle w:val="CteAnejo-DefinicionCar"/>
        </w:rPr>
        <w:t>Éclairement</w:t>
      </w:r>
      <w:r>
        <w:t>: rapport entre le flux lumineux d</w:t>
      </w:r>
      <w:r>
        <w:rPr>
          <w:rFonts w:ascii="Symbol" w:hAnsi="Symbol"/>
        </w:rPr>
        <w:t></w:t>
      </w:r>
      <w:r>
        <w:t xml:space="preserve"> incident sur un élément de la surface qui contient le point et la surface dA de cet élément, l</w:t>
      </w:r>
      <w:r w:rsidR="00EA7588">
        <w:t>’</w:t>
      </w:r>
      <w:r>
        <w:t>unité de mesure étant le lux.</w:t>
      </w:r>
    </w:p>
    <w:p w14:paraId="17E7F2AF" w14:textId="114B2EC7" w:rsidR="00037CDA" w:rsidRPr="00937C8B" w:rsidRDefault="00037CDA" w:rsidP="00037CDA">
      <w:pPr>
        <w:pStyle w:val="CTENormal"/>
        <w:jc w:val="both"/>
      </w:pPr>
      <w:r>
        <w:rPr>
          <w:rStyle w:val="CteAnejo-DefinicionCar"/>
        </w:rPr>
        <w:t>Éclairement initial (E</w:t>
      </w:r>
      <w:r>
        <w:rPr>
          <w:rStyle w:val="CteAnejo-DefinicionCar"/>
          <w:vertAlign w:val="subscript"/>
        </w:rPr>
        <w:t>initial</w:t>
      </w:r>
      <w:r>
        <w:rPr>
          <w:rStyle w:val="CteAnejo-DefinicionCar"/>
        </w:rPr>
        <w:t>)</w:t>
      </w:r>
      <w:r>
        <w:t xml:space="preserve">: </w:t>
      </w:r>
      <w:r>
        <w:rPr>
          <w:i/>
        </w:rPr>
        <w:t>éclairement</w:t>
      </w:r>
      <w:r>
        <w:t xml:space="preserve"> moyen d</w:t>
      </w:r>
      <w:r w:rsidR="00EA7588">
        <w:t>’</w:t>
      </w:r>
      <w:r>
        <w:t>une installation neuve. Il est exprimé en lux (lx).</w:t>
      </w:r>
    </w:p>
    <w:p w14:paraId="3855D1F5" w14:textId="77777777" w:rsidR="00037CDA" w:rsidRPr="00937C8B" w:rsidRDefault="00037CDA" w:rsidP="00037CDA">
      <w:pPr>
        <w:pStyle w:val="CTENormal"/>
        <w:jc w:val="both"/>
      </w:pPr>
      <w:r>
        <w:rPr>
          <w:rStyle w:val="CteAnejo-DefinicionCar"/>
        </w:rPr>
        <w:t>Éclairement moyen sur le plan horizontal (E)</w:t>
      </w:r>
      <w:r>
        <w:t xml:space="preserve">: </w:t>
      </w:r>
      <w:r>
        <w:rPr>
          <w:i/>
        </w:rPr>
        <w:t>éclairement</w:t>
      </w:r>
      <w:r>
        <w:t xml:space="preserve"> moyen sur la zone donnée. Il est exprimé en lux (lx).</w:t>
      </w:r>
    </w:p>
    <w:p w14:paraId="4F646830" w14:textId="7C00A411" w:rsidR="00037CDA" w:rsidRPr="00937C8B" w:rsidRDefault="00037CDA" w:rsidP="00037CDA">
      <w:pPr>
        <w:pStyle w:val="CTENormal"/>
        <w:jc w:val="both"/>
      </w:pPr>
      <w:r>
        <w:lastRenderedPageBreak/>
        <w:t>Le nombre minimal de points à prendre en compte dans le calcul dépend de l</w:t>
      </w:r>
      <w:r w:rsidR="00EA7588">
        <w:t>’</w:t>
      </w:r>
      <w:r>
        <w:t>indice du local (K) et de l</w:t>
      </w:r>
      <w:r w:rsidR="00EA7588">
        <w:t>’</w:t>
      </w:r>
      <w:r>
        <w:t>obtention d</w:t>
      </w:r>
      <w:r w:rsidR="00EA7588">
        <w:t>’</w:t>
      </w:r>
      <w:r>
        <w:t>une distribution quadrillée symétrique.</w:t>
      </w:r>
    </w:p>
    <w:p w14:paraId="59FDDE84" w14:textId="77777777" w:rsidR="004A742D" w:rsidRPr="00937C8B" w:rsidRDefault="00037CDA" w:rsidP="00935676">
      <w:pPr>
        <w:pStyle w:val="CTENormal"/>
        <w:spacing w:before="0" w:after="0"/>
        <w:ind w:left="630" w:hanging="346"/>
      </w:pPr>
      <w:r>
        <w:t>a)</w:t>
      </w:r>
      <w:r>
        <w:tab/>
        <w:t>4 points si K &lt; 1</w:t>
      </w:r>
    </w:p>
    <w:p w14:paraId="7B4E4910" w14:textId="77777777" w:rsidR="004A742D" w:rsidRPr="00937C8B" w:rsidRDefault="00037CDA" w:rsidP="00935676">
      <w:pPr>
        <w:pStyle w:val="CTENormal"/>
        <w:spacing w:before="0" w:after="0"/>
        <w:ind w:left="630" w:hanging="346"/>
      </w:pPr>
      <w:r>
        <w:t>b)</w:t>
      </w:r>
      <w:r>
        <w:tab/>
        <w:t>9 points si 1 ≤ K &lt; 2</w:t>
      </w:r>
    </w:p>
    <w:p w14:paraId="0555E639" w14:textId="77777777" w:rsidR="004A742D" w:rsidRPr="00937C8B" w:rsidRDefault="00037CDA" w:rsidP="00935676">
      <w:pPr>
        <w:pStyle w:val="CTENormal"/>
        <w:spacing w:before="0" w:after="0"/>
        <w:ind w:left="630" w:hanging="346"/>
      </w:pPr>
      <w:r>
        <w:t>c)</w:t>
      </w:r>
      <w:r>
        <w:tab/>
        <w:t>16 points si 2 ≤ K &lt; 3</w:t>
      </w:r>
    </w:p>
    <w:p w14:paraId="4B6DD27A" w14:textId="77777777" w:rsidR="00037CDA" w:rsidRPr="00937C8B" w:rsidRDefault="00037CDA" w:rsidP="00935676">
      <w:pPr>
        <w:pStyle w:val="CTENormal"/>
        <w:spacing w:before="0" w:after="0"/>
        <w:ind w:left="630" w:hanging="346"/>
      </w:pPr>
      <w:r>
        <w:t>d)</w:t>
      </w:r>
      <w:r>
        <w:tab/>
        <w:t>25 points si K ≥ 3</w:t>
      </w:r>
    </w:p>
    <w:p w14:paraId="4F306DE2" w14:textId="77777777" w:rsidR="00037CDA" w:rsidRPr="00937C8B" w:rsidRDefault="00037CDA" w:rsidP="00037CDA">
      <w:pPr>
        <w:pStyle w:val="CTENormal"/>
        <w:spacing w:before="0" w:after="0"/>
        <w:ind w:left="284"/>
      </w:pPr>
    </w:p>
    <w:p w14:paraId="0FF44F98" w14:textId="77777777" w:rsidR="00037CDA" w:rsidRPr="00937C8B" w:rsidRDefault="00037CDA" w:rsidP="00D27646">
      <w:pPr>
        <w:pStyle w:val="CTENormal"/>
        <w:keepNext/>
        <w:spacing w:before="0" w:after="0"/>
      </w:pPr>
      <w:r>
        <w:t>où:</w:t>
      </w:r>
    </w:p>
    <w:p w14:paraId="2A9E418D" w14:textId="0B7FC252" w:rsidR="00037CDA" w:rsidRPr="00937C8B" w:rsidRDefault="00037CDA" w:rsidP="004A742D">
      <w:pPr>
        <w:pStyle w:val="CTENormal"/>
        <w:spacing w:before="0" w:after="0"/>
        <w:ind w:left="709"/>
      </w:pPr>
      <w:r>
        <w:t>K = L · A</w:t>
      </w:r>
      <w:r w:rsidR="00EA7588">
        <w:t>/</w:t>
      </w:r>
      <w:r>
        <w:t>(H · (L + A))</w:t>
      </w:r>
    </w:p>
    <w:p w14:paraId="14459511" w14:textId="77777777" w:rsidR="00037CDA" w:rsidRPr="00937C8B" w:rsidRDefault="00037CDA" w:rsidP="00D27646">
      <w:pPr>
        <w:pStyle w:val="CTENormal"/>
        <w:keepNext/>
        <w:spacing w:before="0" w:after="0"/>
      </w:pPr>
      <w:r>
        <w:t>où:</w:t>
      </w:r>
    </w:p>
    <w:p w14:paraId="4C7474A8" w14:textId="77777777" w:rsidR="004A742D" w:rsidRPr="00937C8B" w:rsidRDefault="00037CDA" w:rsidP="00935676">
      <w:pPr>
        <w:pStyle w:val="CTENormal"/>
        <w:spacing w:before="0" w:after="0"/>
        <w:ind w:left="1170" w:hanging="461"/>
      </w:pPr>
      <w:r>
        <w:t xml:space="preserve">L </w:t>
      </w:r>
      <w:r>
        <w:tab/>
        <w:t>est la longueur du local en mètres;</w:t>
      </w:r>
    </w:p>
    <w:p w14:paraId="2AAC35D0" w14:textId="77777777" w:rsidR="004A742D" w:rsidRPr="00937C8B" w:rsidRDefault="00037CDA" w:rsidP="00935676">
      <w:pPr>
        <w:pStyle w:val="CTENormal"/>
        <w:spacing w:before="0" w:after="0"/>
        <w:ind w:left="1170" w:hanging="461"/>
      </w:pPr>
      <w:r>
        <w:t xml:space="preserve">A </w:t>
      </w:r>
      <w:r>
        <w:tab/>
        <w:t>est la largeur du local en mètres;</w:t>
      </w:r>
    </w:p>
    <w:p w14:paraId="2B992BCE" w14:textId="77777777" w:rsidR="00037CDA" w:rsidRPr="00937C8B" w:rsidRDefault="00037CDA" w:rsidP="00935676">
      <w:pPr>
        <w:pStyle w:val="CTENormal"/>
        <w:spacing w:before="0" w:after="0"/>
        <w:ind w:left="1170" w:hanging="461"/>
      </w:pPr>
      <w:r>
        <w:t xml:space="preserve">H </w:t>
      </w:r>
      <w:r>
        <w:tab/>
        <w:t xml:space="preserve">est la distance entre le plan de travail et les </w:t>
      </w:r>
      <w:r>
        <w:rPr>
          <w:i/>
        </w:rPr>
        <w:t xml:space="preserve">luminaires </w:t>
      </w:r>
      <w:r>
        <w:t>en mètres.</w:t>
      </w:r>
    </w:p>
    <w:p w14:paraId="2E323D00" w14:textId="4D8387FD" w:rsidR="00037CDA" w:rsidRPr="00937C8B" w:rsidRDefault="00037CDA" w:rsidP="00037CDA">
      <w:pPr>
        <w:pStyle w:val="CTENormal"/>
        <w:jc w:val="both"/>
      </w:pPr>
      <w:r>
        <w:rPr>
          <w:rStyle w:val="CteAnejo-DefinicionCar"/>
        </w:rPr>
        <w:t>Éclairement horizontal moyen à maintenir (E</w:t>
      </w:r>
      <w:r>
        <w:rPr>
          <w:rStyle w:val="CteAnejo-DefinicionCar"/>
          <w:vertAlign w:val="subscript"/>
        </w:rPr>
        <w:t>m</w:t>
      </w:r>
      <w:r>
        <w:rPr>
          <w:rStyle w:val="CteAnejo-DefinicionCar"/>
        </w:rPr>
        <w:t>)</w:t>
      </w:r>
      <w:r>
        <w:t>: valeur en dessous de laquelle l</w:t>
      </w:r>
      <w:r w:rsidR="00EA7588">
        <w:t>’</w:t>
      </w:r>
      <w:r>
        <w:rPr>
          <w:i/>
        </w:rPr>
        <w:t>éclairement</w:t>
      </w:r>
      <w:r>
        <w:t xml:space="preserve"> moyen ne doit pas descendre dans la zone considérée. Il s</w:t>
      </w:r>
      <w:r w:rsidR="00EA7588">
        <w:t>’</w:t>
      </w:r>
      <w:r>
        <w:t>agit de l</w:t>
      </w:r>
      <w:r w:rsidR="00EA7588">
        <w:t>’</w:t>
      </w:r>
      <w:r>
        <w:rPr>
          <w:i/>
        </w:rPr>
        <w:t>éclairement</w:t>
      </w:r>
      <w:r>
        <w:t xml:space="preserve"> moyen sur la période au cours de laquelle la maintenance doit être réalisée. Il est exprimé en lux (lx).</w:t>
      </w:r>
    </w:p>
    <w:p w14:paraId="585B078F" w14:textId="05FFA627" w:rsidR="00037CDA" w:rsidRPr="00937C8B" w:rsidRDefault="00037CDA" w:rsidP="00037CDA">
      <w:pPr>
        <w:pStyle w:val="CTENormal"/>
        <w:jc w:val="both"/>
      </w:pPr>
      <w:r>
        <w:rPr>
          <w:rStyle w:val="CteAnejo-DefinicionCar"/>
        </w:rPr>
        <w:t>Taux d</w:t>
      </w:r>
      <w:r w:rsidR="00EA7588">
        <w:rPr>
          <w:rStyle w:val="CteAnejo-DefinicionCar"/>
        </w:rPr>
        <w:t>’</w:t>
      </w:r>
      <w:r>
        <w:rPr>
          <w:rStyle w:val="CteAnejo-DefinicionCar"/>
        </w:rPr>
        <w:t>éblouissement unifié (UGR)</w:t>
      </w:r>
      <w:r>
        <w:t>: taux d</w:t>
      </w:r>
      <w:r w:rsidR="00EA7588">
        <w:t>’</w:t>
      </w:r>
      <w:r>
        <w:t xml:space="preserve">éblouissement gênant provenant directement des </w:t>
      </w:r>
      <w:r>
        <w:rPr>
          <w:i/>
        </w:rPr>
        <w:t>luminaires</w:t>
      </w:r>
      <w:r>
        <w:t xml:space="preserve"> d</w:t>
      </w:r>
      <w:r w:rsidR="00EA7588">
        <w:t>’</w:t>
      </w:r>
      <w:r>
        <w:t>une installation d</w:t>
      </w:r>
      <w:r w:rsidR="00EA7588">
        <w:t>’</w:t>
      </w:r>
      <w:r>
        <w:t>éclairage intérieure, défini dans la publication n° 117 du CIE (Comisión Internacional de Alumbrado - Comité national de l</w:t>
      </w:r>
      <w:r w:rsidR="00EA7588">
        <w:t>’</w:t>
      </w:r>
      <w:r>
        <w:t>éclairage).</w:t>
      </w:r>
    </w:p>
    <w:p w14:paraId="373DDBA1" w14:textId="2FD093F5" w:rsidR="00037CDA" w:rsidRPr="00937C8B" w:rsidRDefault="00037CDA" w:rsidP="00037CDA">
      <w:pPr>
        <w:pStyle w:val="CTENormal"/>
        <w:jc w:val="both"/>
      </w:pPr>
      <w:r>
        <w:rPr>
          <w:rStyle w:val="CteAnejo-DefinicionCar"/>
        </w:rPr>
        <w:t>Indice de rendu des couleurs (R</w:t>
      </w:r>
      <w:r>
        <w:rPr>
          <w:rStyle w:val="CteAnejo-DefinicionCar"/>
          <w:vertAlign w:val="subscript"/>
        </w:rPr>
        <w:t>a</w:t>
      </w:r>
      <w:r>
        <w:rPr>
          <w:rStyle w:val="CteAnejo-DefinicionCar"/>
        </w:rPr>
        <w:t>)</w:t>
      </w:r>
      <w:r>
        <w:t>: effet d</w:t>
      </w:r>
      <w:r w:rsidR="00EA7588">
        <w:t>’</w:t>
      </w:r>
      <w:r>
        <w:t>un éclairage sur l</w:t>
      </w:r>
      <w:r w:rsidR="00EA7588">
        <w:t>’</w:t>
      </w:r>
      <w:r>
        <w:t>aspect chromatique des objets qu</w:t>
      </w:r>
      <w:r w:rsidR="00EA7588">
        <w:t>’</w:t>
      </w:r>
      <w:r>
        <w:t>il éclaire comparé à son aspect sous un éclairage de référence. La forme sous laquelle la lumière d</w:t>
      </w:r>
      <w:r w:rsidR="00EA7588">
        <w:t>’</w:t>
      </w:r>
      <w:r>
        <w:t xml:space="preserve">une </w:t>
      </w:r>
      <w:r>
        <w:rPr>
          <w:i/>
        </w:rPr>
        <w:t>lampe</w:t>
      </w:r>
      <w:r>
        <w:t xml:space="preserve"> reproduit les couleurs des objets éclairés s</w:t>
      </w:r>
      <w:r w:rsidR="00EA7588">
        <w:t>’</w:t>
      </w:r>
      <w:r>
        <w:t>appelle l</w:t>
      </w:r>
      <w:r w:rsidR="00EA7588">
        <w:t>’</w:t>
      </w:r>
      <w:r>
        <w:rPr>
          <w:i/>
        </w:rPr>
        <w:t>indice de rendu des couleurs</w:t>
      </w:r>
      <w:r>
        <w:t xml:space="preserve"> (R</w:t>
      </w:r>
      <w:r>
        <w:rPr>
          <w:vertAlign w:val="subscript"/>
        </w:rPr>
        <w:t>a</w:t>
      </w:r>
      <w:r>
        <w:t>). La couleur d</w:t>
      </w:r>
      <w:r w:rsidR="00EA7588">
        <w:t>’</w:t>
      </w:r>
      <w:r>
        <w:t>un objet dépend de la répartition de l</w:t>
      </w:r>
      <w:r w:rsidR="00EA7588">
        <w:t>’</w:t>
      </w:r>
      <w:r>
        <w:t>énergie spectrale de la lumière qui l</w:t>
      </w:r>
      <w:r w:rsidR="00EA7588">
        <w:t>’</w:t>
      </w:r>
      <w:r>
        <w:t>éclaire et des caractéristiques réfléchissantes sélectives de cet objet.</w:t>
      </w:r>
    </w:p>
    <w:p w14:paraId="5B1F91CB" w14:textId="1FFFD113" w:rsidR="00037CDA" w:rsidRPr="00937C8B" w:rsidRDefault="00037CDA" w:rsidP="00037CDA">
      <w:pPr>
        <w:pStyle w:val="CTENormal"/>
        <w:jc w:val="both"/>
      </w:pPr>
      <w:r>
        <w:rPr>
          <w:b/>
          <w:bCs/>
          <w:i/>
          <w:iCs/>
        </w:rPr>
        <w:t>Inertie thermique</w:t>
      </w:r>
      <w:r>
        <w:t>: capacité du bâtiment à amortir et à retarder l</w:t>
      </w:r>
      <w:r w:rsidR="00EA7588">
        <w:t>’</w:t>
      </w:r>
      <w:r>
        <w:t>effet des fluctuations de la température extérieure à l</w:t>
      </w:r>
      <w:r w:rsidR="00EA7588">
        <w:t>’</w:t>
      </w:r>
      <w:r>
        <w:t xml:space="preserve">intérieur du bâtiment en raison de la capacité du bâtiment à conduire et à stocker la chaleur. La quantité de chaleur stockée dépend de la </w:t>
      </w:r>
      <w:r>
        <w:rPr>
          <w:i/>
          <w:iCs/>
        </w:rPr>
        <w:t>masse thermique</w:t>
      </w:r>
      <w:r>
        <w:t xml:space="preserve"> des matériaux, tandis que le taux d</w:t>
      </w:r>
      <w:r w:rsidR="00EA7588">
        <w:t>’</w:t>
      </w:r>
      <w:r>
        <w:t>échange de chaleur avec l</w:t>
      </w:r>
      <w:r w:rsidR="00EA7588">
        <w:t>’</w:t>
      </w:r>
      <w:r>
        <w:t>environnement dépend de sa conductivité thermique.</w:t>
      </w:r>
    </w:p>
    <w:p w14:paraId="6528FE92" w14:textId="58C55BF1" w:rsidR="00037CDA" w:rsidRPr="00937C8B" w:rsidRDefault="00037CDA" w:rsidP="00037CDA">
      <w:pPr>
        <w:pStyle w:val="CTENormal"/>
        <w:jc w:val="both"/>
      </w:pPr>
      <w:r>
        <w:rPr>
          <w:rStyle w:val="CteAnejo-DefinicionCar"/>
        </w:rPr>
        <w:t>Serre adossée</w:t>
      </w:r>
      <w:r>
        <w:t>: enceinte non climatisée composée d</w:t>
      </w:r>
      <w:r w:rsidR="00EA7588">
        <w:t>’</w:t>
      </w:r>
      <w:r>
        <w:t xml:space="preserve">une </w:t>
      </w:r>
      <w:r>
        <w:rPr>
          <w:i/>
          <w:iCs/>
        </w:rPr>
        <w:t>cloison</w:t>
      </w:r>
      <w:r>
        <w:t xml:space="preserve"> séparée avec un pourcentage important de surface vitrée qui est placée de manière adjacente aux façades d</w:t>
      </w:r>
      <w:r w:rsidR="00EA7588">
        <w:t>’</w:t>
      </w:r>
      <w:r>
        <w:t>un bâtiment. L</w:t>
      </w:r>
      <w:r w:rsidR="00EA7588">
        <w:t>’</w:t>
      </w:r>
      <w:r>
        <w:t>élément de façade qui sert de séparation entre la serre et les zones intérieures du bâtiment peut également être vitré. La présence d</w:t>
      </w:r>
      <w:r w:rsidR="00EA7588">
        <w:t>’</w:t>
      </w:r>
      <w:r>
        <w:t>une circulation d</w:t>
      </w:r>
      <w:r w:rsidR="00EA7588">
        <w:t>’</w:t>
      </w:r>
      <w:r>
        <w:t>air généralement forcé à travers cette enceinte est possible sous forme de recirculation de l</w:t>
      </w:r>
      <w:r w:rsidR="00EA7588">
        <w:t>’</w:t>
      </w:r>
      <w:r>
        <w:t>air intérieur ou de préchauffage de l</w:t>
      </w:r>
      <w:r w:rsidR="00EA7588">
        <w:t>’</w:t>
      </w:r>
      <w:r>
        <w:t>air extérieur utilisé pour la ventilation. Les galeries et les balcons vitrés entrent également dans cette catégorie.</w:t>
      </w:r>
    </w:p>
    <w:p w14:paraId="70BB2178" w14:textId="77777777" w:rsidR="00B3445A" w:rsidRPr="00937C8B" w:rsidRDefault="00037CDA" w:rsidP="00037CDA">
      <w:pPr>
        <w:pStyle w:val="CTENormal"/>
        <w:jc w:val="both"/>
      </w:pPr>
      <w:r>
        <w:rPr>
          <w:rStyle w:val="CteAnejo-DefinicionCar"/>
        </w:rPr>
        <w:t>Lampe</w:t>
      </w:r>
      <w:r>
        <w:t>: source conçue dans le but de produire un rayonnement optique généralement visible.</w:t>
      </w:r>
    </w:p>
    <w:p w14:paraId="55FFF127" w14:textId="106D5111" w:rsidR="00037CDA" w:rsidRPr="00937C8B" w:rsidRDefault="00037CDA" w:rsidP="00037CDA">
      <w:pPr>
        <w:pStyle w:val="CTENormal"/>
        <w:jc w:val="both"/>
      </w:pPr>
      <w:r>
        <w:rPr>
          <w:rStyle w:val="CteAnejo-DefinicionCar"/>
        </w:rPr>
        <w:t>Luminaire</w:t>
      </w:r>
      <w:r>
        <w:t xml:space="preserve">: appareil qui distribue, filtre ou transforme la lumière émise par une ou plusieurs </w:t>
      </w:r>
      <w:r>
        <w:rPr>
          <w:i/>
        </w:rPr>
        <w:t>lampes</w:t>
      </w:r>
      <w:r>
        <w:t xml:space="preserve"> et qui, en plus des accessoires nécessaires à leur fixation, protection et raccordement au circuit électrique d</w:t>
      </w:r>
      <w:r w:rsidR="00EA7588">
        <w:t>’</w:t>
      </w:r>
      <w:r>
        <w:t>alimentation, comporte, selon le cas, les équipements auxiliaires nécessaires à leur fonctionnement, conformément à la norme UNE EN 60598-1:2015.</w:t>
      </w:r>
    </w:p>
    <w:p w14:paraId="56D3490C" w14:textId="77777777" w:rsidR="00037CDA" w:rsidRPr="00937C8B" w:rsidRDefault="00037CDA" w:rsidP="00037CDA">
      <w:pPr>
        <w:pStyle w:val="CTENormal"/>
        <w:jc w:val="both"/>
      </w:pPr>
      <w:r>
        <w:rPr>
          <w:rStyle w:val="CteAnejo-DefinicionCar"/>
        </w:rPr>
        <w:t>Masse thermique</w:t>
      </w:r>
      <w:r>
        <w:t xml:space="preserve">: capacité des </w:t>
      </w:r>
      <w:r>
        <w:rPr>
          <w:i/>
          <w:iCs/>
        </w:rPr>
        <w:t>matériaux</w:t>
      </w:r>
      <w:r>
        <w:t xml:space="preserve"> à stocker la chaleur. La quantité de chaleur stockée dépend de la densité du </w:t>
      </w:r>
      <w:r>
        <w:rPr>
          <w:i/>
          <w:iCs/>
        </w:rPr>
        <w:t>matériau</w:t>
      </w:r>
      <w:r>
        <w:t xml:space="preserve"> et de sa chaleur spécifique.</w:t>
      </w:r>
    </w:p>
    <w:p w14:paraId="02A63013" w14:textId="3E887EDF" w:rsidR="00037CDA" w:rsidRPr="00937C8B" w:rsidRDefault="00037CDA" w:rsidP="00037CDA">
      <w:pPr>
        <w:pStyle w:val="CTENormal"/>
        <w:jc w:val="both"/>
      </w:pPr>
      <w:r>
        <w:rPr>
          <w:rStyle w:val="CteAnejo-DefinicionCar"/>
        </w:rPr>
        <w:t>Matériau</w:t>
      </w:r>
      <w:r>
        <w:t>: partie d</w:t>
      </w:r>
      <w:r w:rsidR="00EA7588">
        <w:t>’</w:t>
      </w:r>
      <w:r>
        <w:t>un produit, indépendamment de son mode de livraison, de sa forme et de ses dimensions, sans revêtement ou recouvrement.</w:t>
      </w:r>
    </w:p>
    <w:p w14:paraId="3C8EECCB" w14:textId="77777777" w:rsidR="00037CDA" w:rsidRPr="00937C8B" w:rsidRDefault="00037CDA" w:rsidP="00037CDA">
      <w:pPr>
        <w:pStyle w:val="CTENormal"/>
        <w:jc w:val="both"/>
      </w:pPr>
      <w:r>
        <w:rPr>
          <w:rStyle w:val="CteAnejo-DefinicionCar"/>
        </w:rPr>
        <w:lastRenderedPageBreak/>
        <w:t>Mur mitoyen</w:t>
      </w:r>
      <w:r>
        <w:t xml:space="preserve">: </w:t>
      </w:r>
      <w:r>
        <w:rPr>
          <w:i/>
          <w:iCs/>
        </w:rPr>
        <w:t>cloison</w:t>
      </w:r>
      <w:r>
        <w:t xml:space="preserve"> qui est attenante à un autre bâtiment déjà construit ou qui se construit simultanément et qui constitue une division commune. Si le bâtiment est construit postérieurement, la </w:t>
      </w:r>
      <w:r>
        <w:rPr>
          <w:i/>
          <w:iCs/>
        </w:rPr>
        <w:t>cloison</w:t>
      </w:r>
      <w:r>
        <w:t xml:space="preserve"> sera considérée, à des fins thermiques, comme une façade.</w:t>
      </w:r>
    </w:p>
    <w:p w14:paraId="521F01D0" w14:textId="3F970157" w:rsidR="00037CDA" w:rsidRPr="00937C8B" w:rsidRDefault="00037CDA" w:rsidP="00037CDA">
      <w:pPr>
        <w:pStyle w:val="CTENormal"/>
        <w:jc w:val="both"/>
      </w:pPr>
      <w:r>
        <w:rPr>
          <w:rStyle w:val="CteAnejo-DefinicionCar"/>
        </w:rPr>
        <w:t>Mur</w:t>
      </w:r>
      <w:r>
        <w:t xml:space="preserve">: </w:t>
      </w:r>
      <w:r>
        <w:rPr>
          <w:i/>
          <w:iCs/>
        </w:rPr>
        <w:t>cloison</w:t>
      </w:r>
      <w:r>
        <w:t xml:space="preserve"> opaque en contact avec l</w:t>
      </w:r>
      <w:r w:rsidR="00EA7588">
        <w:t>’</w:t>
      </w:r>
      <w:r>
        <w:t>air extérieur ou avec le terrain dont l</w:t>
      </w:r>
      <w:r w:rsidR="00EA7588">
        <w:t>’</w:t>
      </w:r>
      <w:r>
        <w:t>inclinaison est supérieure à 60° par rapport à l</w:t>
      </w:r>
      <w:r w:rsidR="00EA7588">
        <w:t>’</w:t>
      </w:r>
      <w:r>
        <w:t xml:space="preserve">horizontale (voir </w:t>
      </w:r>
      <w:r>
        <w:rPr>
          <w:i/>
          <w:iCs/>
        </w:rPr>
        <w:t>Façade</w:t>
      </w:r>
      <w:r>
        <w:t>).</w:t>
      </w:r>
    </w:p>
    <w:p w14:paraId="0A955FC8" w14:textId="630453ED" w:rsidR="00037CDA" w:rsidRPr="00937C8B" w:rsidRDefault="00037CDA" w:rsidP="00037CDA">
      <w:pPr>
        <w:pStyle w:val="CTENormal"/>
        <w:jc w:val="both"/>
      </w:pPr>
      <w:r>
        <w:rPr>
          <w:rStyle w:val="CteAnejo-DefinicionCar"/>
        </w:rPr>
        <w:t>Mur pariéto-dynamique</w:t>
      </w:r>
      <w:r>
        <w:t xml:space="preserve">: </w:t>
      </w:r>
      <w:r>
        <w:rPr>
          <w:i/>
        </w:rPr>
        <w:t>cloison</w:t>
      </w:r>
      <w:r>
        <w:t xml:space="preserve"> qui utilise l</w:t>
      </w:r>
      <w:r w:rsidR="00EA7588">
        <w:t>’</w:t>
      </w:r>
      <w:r>
        <w:t>énergie solaire pour le préchauffage de l</w:t>
      </w:r>
      <w:r w:rsidR="00EA7588">
        <w:t>’</w:t>
      </w:r>
      <w:r>
        <w:t>air extérieur de ventilation. Il est généralement constitué d</w:t>
      </w:r>
      <w:r w:rsidR="00EA7588">
        <w:t>’</w:t>
      </w:r>
      <w:r>
        <w:t>une lame intérieure, d</w:t>
      </w:r>
      <w:r w:rsidR="00EA7588">
        <w:t>’</w:t>
      </w:r>
      <w:r>
        <w:t>une chambre à air et d</w:t>
      </w:r>
      <w:r w:rsidR="00EA7588">
        <w:t>’</w:t>
      </w:r>
      <w:r>
        <w:t>une lame extérieure vitrée ou métallique qui absorbe le rayonnement solaire. La circulation de l</w:t>
      </w:r>
      <w:r w:rsidR="00EA7588">
        <w:t>’</w:t>
      </w:r>
      <w:r>
        <w:t>air peut être naturelle (thermosiphon) ou forcée.</w:t>
      </w:r>
    </w:p>
    <w:p w14:paraId="1F883F9E" w14:textId="43890291" w:rsidR="00037CDA" w:rsidRPr="00937C8B" w:rsidRDefault="00037CDA" w:rsidP="00037CDA">
      <w:pPr>
        <w:pStyle w:val="CTENormal"/>
        <w:jc w:val="both"/>
      </w:pPr>
      <w:r>
        <w:rPr>
          <w:rStyle w:val="CteAnejo-DefinicionCar"/>
        </w:rPr>
        <w:t>Mur Trombe</w:t>
      </w:r>
      <w:r>
        <w:t xml:space="preserve">: </w:t>
      </w:r>
      <w:r>
        <w:rPr>
          <w:i/>
        </w:rPr>
        <w:t>cloison</w:t>
      </w:r>
      <w:r>
        <w:t xml:space="preserve"> qui utilise l</w:t>
      </w:r>
      <w:r w:rsidR="00EA7588">
        <w:t>’</w:t>
      </w:r>
      <w:r>
        <w:t>énergie solaire pour le chauffage par recirculation de l</w:t>
      </w:r>
      <w:r w:rsidR="00EA7588">
        <w:t>’</w:t>
      </w:r>
      <w:r>
        <w:t>air intérieur du bâtiment. Il est généralement constitué d</w:t>
      </w:r>
      <w:r w:rsidR="00EA7588">
        <w:t>’</w:t>
      </w:r>
      <w:r>
        <w:t>une lame intérieure, d</w:t>
      </w:r>
      <w:r w:rsidR="00EA7588">
        <w:t>’</w:t>
      </w:r>
      <w:r>
        <w:t>une chambre à air et d</w:t>
      </w:r>
      <w:r w:rsidR="00EA7588">
        <w:t>’</w:t>
      </w:r>
      <w:r>
        <w:t>un vitrage extérieur. La circulation de l</w:t>
      </w:r>
      <w:r w:rsidR="00EA7588">
        <w:t>’</w:t>
      </w:r>
      <w:r>
        <w:t>air peut être naturelle (thermosiphon) ou forcée. Il est également connu sous le nom de mur solaire ventilé.</w:t>
      </w:r>
    </w:p>
    <w:p w14:paraId="48FD6092" w14:textId="44AC2481" w:rsidR="00037CDA" w:rsidRPr="00937C8B" w:rsidRDefault="00037CDA" w:rsidP="00037CDA">
      <w:pPr>
        <w:pStyle w:val="CTENormal"/>
        <w:jc w:val="both"/>
      </w:pPr>
      <w:r>
        <w:rPr>
          <w:rStyle w:val="CteAnejo-DefinicionCar"/>
        </w:rPr>
        <w:t>Séparation intérieure</w:t>
      </w:r>
      <w:r>
        <w:t>: élément de construction du bâtiment qui divise l</w:t>
      </w:r>
      <w:r w:rsidR="00EA7588">
        <w:t>’</w:t>
      </w:r>
      <w:r>
        <w:t>intérieur en enceintes indépendantes. Elles peuvent être verticales ou horizontales (sols et toits).</w:t>
      </w:r>
    </w:p>
    <w:p w14:paraId="3B6EA884" w14:textId="1ACF7BC2" w:rsidR="00037CDA" w:rsidRPr="00937C8B" w:rsidRDefault="00037CDA" w:rsidP="00037CDA">
      <w:pPr>
        <w:pStyle w:val="CTENormal"/>
        <w:spacing w:before="0"/>
        <w:jc w:val="both"/>
      </w:pPr>
      <w:r>
        <w:t>Dans le cas d</w:t>
      </w:r>
      <w:r w:rsidR="00EA7588">
        <w:t>’</w:t>
      </w:r>
      <w:r>
        <w:t>une intervention sur des bâtiments existants, lorsqu</w:t>
      </w:r>
      <w:r w:rsidR="00EA7588">
        <w:t>’</w:t>
      </w:r>
      <w:r>
        <w:t xml:space="preserve">un élément de </w:t>
      </w:r>
      <w:r>
        <w:rPr>
          <w:i/>
          <w:iCs/>
        </w:rPr>
        <w:t>cloison</w:t>
      </w:r>
      <w:r>
        <w:t xml:space="preserve"> sépare une extension d</w:t>
      </w:r>
      <w:r w:rsidR="00EA7588">
        <w:t>’</w:t>
      </w:r>
      <w:r>
        <w:t>une autre extension existante, celle-ci est considérée comme appartenant à l</w:t>
      </w:r>
      <w:r w:rsidR="00EA7588">
        <w:t>’</w:t>
      </w:r>
      <w:r>
        <w:t>extension.</w:t>
      </w:r>
    </w:p>
    <w:p w14:paraId="1F43A3E0" w14:textId="211152BC" w:rsidR="00037CDA" w:rsidRPr="00937C8B" w:rsidRDefault="00037CDA" w:rsidP="00037CDA">
      <w:pPr>
        <w:pStyle w:val="CTENormal"/>
        <w:jc w:val="both"/>
      </w:pPr>
      <w:r>
        <w:rPr>
          <w:rStyle w:val="CteAnejo-DefinicionCar"/>
        </w:rPr>
        <w:t>Profil d</w:t>
      </w:r>
      <w:r w:rsidR="00EA7588">
        <w:rPr>
          <w:rStyle w:val="CteAnejo-DefinicionCar"/>
        </w:rPr>
        <w:t>’</w:t>
      </w:r>
      <w:r>
        <w:rPr>
          <w:rStyle w:val="CteAnejo-DefinicionCar"/>
        </w:rPr>
        <w:t>utilisation</w:t>
      </w:r>
      <w:r>
        <w:t xml:space="preserve">: description heure par heure, par année type, des </w:t>
      </w:r>
      <w:r>
        <w:rPr>
          <w:bCs/>
          <w:i/>
        </w:rPr>
        <w:t>charges internes</w:t>
      </w:r>
      <w:r>
        <w:t xml:space="preserve"> (charge sensible due à l</w:t>
      </w:r>
      <w:r w:rsidR="00EA7588">
        <w:t>’</w:t>
      </w:r>
      <w:r>
        <w:t>occupation, charge latente due à l</w:t>
      </w:r>
      <w:r w:rsidR="00EA7588">
        <w:t>’</w:t>
      </w:r>
      <w:r>
        <w:t>occupation, aux équipements, à l</w:t>
      </w:r>
      <w:r w:rsidR="00EA7588">
        <w:t>’</w:t>
      </w:r>
      <w:r>
        <w:t>éclairage et à la ventilation).</w:t>
      </w:r>
    </w:p>
    <w:p w14:paraId="00F28CA4" w14:textId="2113F3DA" w:rsidR="00037CDA" w:rsidRPr="00937C8B" w:rsidRDefault="00037CDA" w:rsidP="00037CDA">
      <w:pPr>
        <w:pStyle w:val="CTENormal"/>
        <w:jc w:val="both"/>
      </w:pPr>
      <w:r>
        <w:rPr>
          <w:rStyle w:val="CteAnejo-DefinicionCar"/>
        </w:rPr>
        <w:t>Période d</w:t>
      </w:r>
      <w:r w:rsidR="00EA7588">
        <w:rPr>
          <w:rStyle w:val="CteAnejo-DefinicionCar"/>
        </w:rPr>
        <w:t>’</w:t>
      </w:r>
      <w:r>
        <w:rPr>
          <w:rStyle w:val="CteAnejo-DefinicionCar"/>
        </w:rPr>
        <w:t>utilisation</w:t>
      </w:r>
      <w:r>
        <w:t>: durée caractéristique d</w:t>
      </w:r>
      <w:r w:rsidR="00EA7588">
        <w:t>’</w:t>
      </w:r>
      <w:r>
        <w:t>utilisation d</w:t>
      </w:r>
      <w:r w:rsidR="00EA7588">
        <w:t>’</w:t>
      </w:r>
      <w:r>
        <w:t xml:space="preserve">un </w:t>
      </w:r>
      <w:r>
        <w:rPr>
          <w:i/>
        </w:rPr>
        <w:t>espace habitable</w:t>
      </w:r>
      <w:r>
        <w:t xml:space="preserve"> ou du bâtiment. Aux fins de la définition de </w:t>
      </w:r>
      <w:r>
        <w:rPr>
          <w:i/>
        </w:rPr>
        <w:t>profils d</w:t>
      </w:r>
      <w:r w:rsidR="00EA7588">
        <w:rPr>
          <w:i/>
        </w:rPr>
        <w:t>’</w:t>
      </w:r>
      <w:r>
        <w:rPr>
          <w:i/>
        </w:rPr>
        <w:t>utilisation</w:t>
      </w:r>
      <w:r>
        <w:t xml:space="preserve">, des </w:t>
      </w:r>
      <w:r>
        <w:rPr>
          <w:i/>
          <w:iCs/>
        </w:rPr>
        <w:t>durées d</w:t>
      </w:r>
      <w:r w:rsidR="00EA7588">
        <w:rPr>
          <w:i/>
          <w:iCs/>
        </w:rPr>
        <w:t>’</w:t>
      </w:r>
      <w:r>
        <w:rPr>
          <w:i/>
          <w:iCs/>
        </w:rPr>
        <w:t>utilisation</w:t>
      </w:r>
      <w:r>
        <w:t xml:space="preserve"> type de 8h, 12h, 16h et 24h sont définies.</w:t>
      </w:r>
    </w:p>
    <w:p w14:paraId="740A0EE5" w14:textId="3BC54E2F" w:rsidR="00037CDA" w:rsidRPr="00937C8B" w:rsidRDefault="00037CDA" w:rsidP="00037CDA">
      <w:pPr>
        <w:pStyle w:val="CTENormal"/>
        <w:spacing w:before="0"/>
        <w:jc w:val="both"/>
      </w:pPr>
      <w:r>
        <w:t xml:space="preserve">Dans le cas de bâtiments à usage résidentiel privé, une </w:t>
      </w:r>
      <w:r>
        <w:rPr>
          <w:i/>
          <w:iCs/>
        </w:rPr>
        <w:t>durée d</w:t>
      </w:r>
      <w:r w:rsidR="00EA7588">
        <w:rPr>
          <w:i/>
          <w:iCs/>
        </w:rPr>
        <w:t>’</w:t>
      </w:r>
      <w:r>
        <w:rPr>
          <w:i/>
          <w:iCs/>
        </w:rPr>
        <w:t>utilisation</w:t>
      </w:r>
      <w:r>
        <w:t xml:space="preserve"> de 24 h est définie.</w:t>
      </w:r>
    </w:p>
    <w:p w14:paraId="40EA648C" w14:textId="4FA5225F" w:rsidR="00B3445A" w:rsidRPr="00937C8B" w:rsidRDefault="00037CDA" w:rsidP="00037CDA">
      <w:pPr>
        <w:pStyle w:val="CTENormal"/>
        <w:jc w:val="both"/>
      </w:pPr>
      <w:r>
        <w:rPr>
          <w:rStyle w:val="CteAnejo-DefinicionCar"/>
        </w:rPr>
        <w:t>Perméabilité à l’air</w:t>
      </w:r>
      <w:r>
        <w:t>: propriété d</w:t>
      </w:r>
      <w:r w:rsidR="00EA7588">
        <w:t>’</w:t>
      </w:r>
      <w:r>
        <w:t>une surface (par exemple d</w:t>
      </w:r>
      <w:r w:rsidR="00EA7588">
        <w:t>’</w:t>
      </w:r>
      <w:r>
        <w:t>une fenêtre ou d</w:t>
      </w:r>
      <w:r w:rsidR="00EA7588">
        <w:t>’</w:t>
      </w:r>
      <w:r>
        <w:t>une porte) qui laisse passer l</w:t>
      </w:r>
      <w:r w:rsidR="00EA7588">
        <w:t>’</w:t>
      </w:r>
      <w:r>
        <w:t>air lorsqu</w:t>
      </w:r>
      <w:r w:rsidR="00EA7588">
        <w:t>’</w:t>
      </w:r>
      <w:r>
        <w:t>elle est soumise à une pression différentielle entre ses faces. L</w:t>
      </w:r>
      <w:r w:rsidR="00EA7588">
        <w:t>’</w:t>
      </w:r>
      <w:r>
        <w:rPr>
          <w:i/>
          <w:iCs/>
        </w:rPr>
        <w:t>étanchéité à l</w:t>
      </w:r>
      <w:r w:rsidR="00EA7588">
        <w:rPr>
          <w:i/>
          <w:iCs/>
        </w:rPr>
        <w:t>’</w:t>
      </w:r>
      <w:r>
        <w:rPr>
          <w:i/>
          <w:iCs/>
        </w:rPr>
        <w:t>air</w:t>
      </w:r>
      <w:r>
        <w:t xml:space="preserve"> se caractérise par la capacité de passage de l</w:t>
      </w:r>
      <w:r w:rsidR="00EA7588">
        <w:t>’</w:t>
      </w:r>
      <w:r>
        <w:t>air exprimée en m</w:t>
      </w:r>
      <w:r>
        <w:rPr>
          <w:vertAlign w:val="superscript"/>
        </w:rPr>
        <w:t>3</w:t>
      </w:r>
      <w:r>
        <w:t>/h par m</w:t>
      </w:r>
      <w:r>
        <w:rPr>
          <w:vertAlign w:val="superscript"/>
        </w:rPr>
        <w:t>2</w:t>
      </w:r>
      <w:r>
        <w:t>, en fonction de la différence de pression.</w:t>
      </w:r>
    </w:p>
    <w:p w14:paraId="7B202FE3" w14:textId="6C5CE5DF" w:rsidR="00037CDA" w:rsidRPr="00937C8B" w:rsidRDefault="00037CDA" w:rsidP="00037CDA">
      <w:pPr>
        <w:pStyle w:val="CTENormal"/>
        <w:jc w:val="both"/>
      </w:pPr>
      <w:r>
        <w:rPr>
          <w:b/>
          <w:bCs/>
          <w:i/>
          <w:iCs/>
        </w:rPr>
        <w:t>Puissance à installer</w:t>
      </w:r>
      <w:r>
        <w:t>: la puissance installée correspondra à la puissance active maximale qu</w:t>
      </w:r>
      <w:r w:rsidR="00EA7588">
        <w:t>’</w:t>
      </w:r>
      <w:r>
        <w:t>une unité de production peut atteindre. Elle est déterminée par la puissance inférieure parmi celles spécifiées sur les plaques signalétiques des groupes de moteurs, de turbines ou d’alternateurs installés en série ou, le cas échéant, si l</w:t>
      </w:r>
      <w:r w:rsidR="00EA7588">
        <w:t>’</w:t>
      </w:r>
      <w:r>
        <w:t>installation est configurée par plusieurs moteurs, turbines ou alternateurs en parallèle, par la moindre des sommes des puissances des plaques signalétiques des moteurs, turbines ou alternateurs installés en parallèle.</w:t>
      </w:r>
    </w:p>
    <w:p w14:paraId="1CDA2049" w14:textId="77777777" w:rsidR="00037CDA" w:rsidRPr="00937C8B" w:rsidRDefault="00037CDA" w:rsidP="00037CDA">
      <w:pPr>
        <w:pStyle w:val="CTENormal"/>
        <w:jc w:val="both"/>
      </w:pPr>
      <w:r>
        <w:t>Dans le cas des installations photovoltaïques, la puissance installée sera la somme des puissances unitaires maximales des modules photovoltaïques qui composent ladite installation, mesurées dans des conditions standard selon la norme UNE-EN 61215:2006 pour les modules en silicium cristallin ou la norme UNE-EN 61646:2009 pour les modules à feuille mince.</w:t>
      </w:r>
    </w:p>
    <w:p w14:paraId="77155E11" w14:textId="15C5EB7E" w:rsidR="00037CDA" w:rsidRPr="00937C8B" w:rsidRDefault="00037CDA" w:rsidP="00037CDA">
      <w:pPr>
        <w:pStyle w:val="CTENormal"/>
        <w:jc w:val="both"/>
      </w:pPr>
      <w:r>
        <w:rPr>
          <w:rStyle w:val="CteAnejo-DefinicionCar"/>
        </w:rPr>
        <w:t>Puissance de l</w:t>
      </w:r>
      <w:r w:rsidR="00EA7588">
        <w:rPr>
          <w:rStyle w:val="CteAnejo-DefinicionCar"/>
        </w:rPr>
        <w:t>’</w:t>
      </w:r>
      <w:r>
        <w:rPr>
          <w:rStyle w:val="CteAnejo-DefinicionCar"/>
        </w:rPr>
        <w:t>ensemble lampe et équipement auxiliaire</w:t>
      </w:r>
      <w:r>
        <w:rPr>
          <w:rStyle w:val="CteAnejo-DefinicionCar"/>
          <w:b w:val="0"/>
          <w:bCs w:val="0"/>
          <w:i w:val="0"/>
          <w:iCs w:val="0"/>
        </w:rPr>
        <w:t>: puissance nominale d</w:t>
      </w:r>
      <w:r w:rsidR="00EA7588">
        <w:rPr>
          <w:rStyle w:val="CteAnejo-DefinicionCar"/>
          <w:b w:val="0"/>
          <w:bCs w:val="0"/>
          <w:i w:val="0"/>
          <w:iCs w:val="0"/>
        </w:rPr>
        <w:t>’</w:t>
      </w:r>
      <w:r>
        <w:rPr>
          <w:rStyle w:val="CteAnejo-DefinicionCar"/>
          <w:b w:val="0"/>
          <w:bCs w:val="0"/>
          <w:i w:val="0"/>
          <w:iCs w:val="0"/>
        </w:rPr>
        <w:t>entrée de l</w:t>
      </w:r>
      <w:r w:rsidR="00EA7588">
        <w:rPr>
          <w:rStyle w:val="CteAnejo-DefinicionCar"/>
          <w:b w:val="0"/>
          <w:bCs w:val="0"/>
          <w:i w:val="0"/>
          <w:iCs w:val="0"/>
        </w:rPr>
        <w:t>’</w:t>
      </w:r>
      <w:r>
        <w:rPr>
          <w:rStyle w:val="CteAnejo-DefinicionCar"/>
          <w:b w:val="0"/>
          <w:bCs w:val="0"/>
          <w:i w:val="0"/>
          <w:iCs w:val="0"/>
        </w:rPr>
        <w:t xml:space="preserve">ensemble </w:t>
      </w:r>
      <w:r>
        <w:rPr>
          <w:rStyle w:val="CteAnejo-DefinicionCar"/>
          <w:b w:val="0"/>
          <w:bCs w:val="0"/>
        </w:rPr>
        <w:t>équipement auxiliaire-lampe</w:t>
      </w:r>
      <w:r>
        <w:rPr>
          <w:rStyle w:val="CteAnejo-DefinicionCar"/>
          <w:b w:val="0"/>
          <w:bCs w:val="0"/>
          <w:i w:val="0"/>
          <w:iCs w:val="0"/>
        </w:rPr>
        <w:t>, où l</w:t>
      </w:r>
      <w:r w:rsidR="00EA7588">
        <w:rPr>
          <w:rStyle w:val="CteAnejo-DefinicionCar"/>
          <w:b w:val="0"/>
          <w:bCs w:val="0"/>
          <w:i w:val="0"/>
          <w:iCs w:val="0"/>
        </w:rPr>
        <w:t>’</w:t>
      </w:r>
      <w:r>
        <w:rPr>
          <w:rStyle w:val="CteAnejo-DefinicionCar"/>
          <w:b w:val="0"/>
          <w:bCs w:val="0"/>
          <w:i w:val="0"/>
          <w:iCs w:val="0"/>
        </w:rPr>
        <w:t>équipement auxiliaire constitue l</w:t>
      </w:r>
      <w:r w:rsidR="00EA7588">
        <w:rPr>
          <w:rStyle w:val="CteAnejo-DefinicionCar"/>
          <w:b w:val="0"/>
          <w:bCs w:val="0"/>
          <w:i w:val="0"/>
          <w:iCs w:val="0"/>
        </w:rPr>
        <w:t>’</w:t>
      </w:r>
      <w:r>
        <w:rPr>
          <w:rStyle w:val="CteAnejo-DefinicionCar"/>
          <w:b w:val="0"/>
          <w:bCs w:val="0"/>
          <w:i w:val="0"/>
          <w:iCs w:val="0"/>
        </w:rPr>
        <w:t xml:space="preserve">ensemble des équipements électriques ou électroniques associés à la </w:t>
      </w:r>
      <w:r>
        <w:rPr>
          <w:rStyle w:val="CteAnejo-DefinicionCar"/>
          <w:b w:val="0"/>
          <w:bCs w:val="0"/>
        </w:rPr>
        <w:t>lampe</w:t>
      </w:r>
      <w:r>
        <w:rPr>
          <w:rStyle w:val="CteAnejo-DefinicionCar"/>
          <w:b w:val="0"/>
          <w:bCs w:val="0"/>
          <w:i w:val="0"/>
          <w:iCs w:val="0"/>
        </w:rPr>
        <w:t xml:space="preserve">, propres à chaque type de </w:t>
      </w:r>
      <w:r>
        <w:rPr>
          <w:rStyle w:val="CteAnejo-DefinicionCar"/>
          <w:b w:val="0"/>
          <w:bCs w:val="0"/>
        </w:rPr>
        <w:t>lampe</w:t>
      </w:r>
      <w:r>
        <w:rPr>
          <w:rStyle w:val="CteAnejo-DefinicionCar"/>
          <w:b w:val="0"/>
          <w:bCs w:val="0"/>
          <w:i w:val="0"/>
          <w:iCs w:val="0"/>
        </w:rPr>
        <w:t>, destinés à l</w:t>
      </w:r>
      <w:r w:rsidR="00EA7588">
        <w:rPr>
          <w:rStyle w:val="CteAnejo-DefinicionCar"/>
          <w:b w:val="0"/>
          <w:bCs w:val="0"/>
          <w:i w:val="0"/>
          <w:iCs w:val="0"/>
        </w:rPr>
        <w:t>’</w:t>
      </w:r>
      <w:r>
        <w:rPr>
          <w:rStyle w:val="CteAnejo-DefinicionCar"/>
          <w:b w:val="0"/>
          <w:bCs w:val="0"/>
          <w:i w:val="0"/>
          <w:iCs w:val="0"/>
        </w:rPr>
        <w:t xml:space="preserve">éclairage et au contrôle des conditions de fonctionnement d’une </w:t>
      </w:r>
      <w:r>
        <w:rPr>
          <w:rStyle w:val="CteAnejo-DefinicionCar"/>
          <w:b w:val="0"/>
          <w:bCs w:val="0"/>
        </w:rPr>
        <w:t>lampe</w:t>
      </w:r>
      <w:r>
        <w:rPr>
          <w:rStyle w:val="CteAnejo-DefinicionCar"/>
          <w:b w:val="0"/>
          <w:bCs w:val="0"/>
          <w:i w:val="0"/>
          <w:iCs w:val="0"/>
        </w:rPr>
        <w:t>.</w:t>
      </w:r>
    </w:p>
    <w:p w14:paraId="09C6B24F" w14:textId="2411E823" w:rsidR="00037CDA" w:rsidRPr="00937C8B" w:rsidRDefault="00037CDA" w:rsidP="00037CDA">
      <w:pPr>
        <w:pStyle w:val="CTENormal"/>
        <w:jc w:val="both"/>
      </w:pPr>
      <w:r>
        <w:rPr>
          <w:rStyle w:val="CteAnejo-DefinicionCar"/>
        </w:rPr>
        <w:t>Puissance totale de l</w:t>
      </w:r>
      <w:r w:rsidR="00EA7588">
        <w:rPr>
          <w:rStyle w:val="CteAnejo-DefinicionCar"/>
        </w:rPr>
        <w:t>’</w:t>
      </w:r>
      <w:r>
        <w:rPr>
          <w:rStyle w:val="CteAnejo-DefinicionCar"/>
        </w:rPr>
        <w:t>ensemble lampe et équipement auxiliaire</w:t>
      </w:r>
      <w:r>
        <w:rPr>
          <w:rStyle w:val="CteAnejo-DefinicionCar"/>
          <w:b w:val="0"/>
          <w:bCs w:val="0"/>
          <w:i w:val="0"/>
          <w:iCs w:val="0"/>
        </w:rPr>
        <w:t>: puissance d</w:t>
      </w:r>
      <w:r w:rsidR="00EA7588">
        <w:rPr>
          <w:rStyle w:val="CteAnejo-DefinicionCar"/>
          <w:b w:val="0"/>
          <w:bCs w:val="0"/>
          <w:i w:val="0"/>
          <w:iCs w:val="0"/>
        </w:rPr>
        <w:t>’</w:t>
      </w:r>
      <w:r>
        <w:rPr>
          <w:rStyle w:val="CteAnejo-DefinicionCar"/>
          <w:b w:val="0"/>
          <w:bCs w:val="0"/>
          <w:i w:val="0"/>
          <w:iCs w:val="0"/>
        </w:rPr>
        <w:t>entrée maximale des circuits de l</w:t>
      </w:r>
      <w:r w:rsidR="00EA7588">
        <w:rPr>
          <w:rStyle w:val="CteAnejo-DefinicionCar"/>
          <w:b w:val="0"/>
          <w:bCs w:val="0"/>
          <w:i w:val="0"/>
          <w:iCs w:val="0"/>
        </w:rPr>
        <w:t>’</w:t>
      </w:r>
      <w:r>
        <w:rPr>
          <w:rStyle w:val="CteAnejo-DefinicionCar"/>
          <w:b w:val="0"/>
          <w:bCs w:val="0"/>
          <w:i w:val="0"/>
          <w:iCs w:val="0"/>
        </w:rPr>
        <w:t xml:space="preserve">ensemble </w:t>
      </w:r>
      <w:r>
        <w:rPr>
          <w:rStyle w:val="CteAnejo-DefinicionCar"/>
          <w:b w:val="0"/>
          <w:bCs w:val="0"/>
        </w:rPr>
        <w:t>équipement auxiliaire-lampe</w:t>
      </w:r>
      <w:r>
        <w:rPr>
          <w:rStyle w:val="CteAnejo-DefinicionCar"/>
          <w:b w:val="0"/>
          <w:bCs w:val="0"/>
          <w:i w:val="0"/>
          <w:iCs w:val="0"/>
        </w:rPr>
        <w:t>, mesurée selon les conditions définies dans les normes UNE EN 50294:1999 et UNE en 60923:2006.</w:t>
      </w:r>
    </w:p>
    <w:p w14:paraId="26B32531" w14:textId="03C0C1AA" w:rsidR="00037CDA" w:rsidRPr="00937C8B" w:rsidRDefault="00037CDA" w:rsidP="00037CDA">
      <w:pPr>
        <w:pStyle w:val="CTENormal"/>
        <w:jc w:val="both"/>
      </w:pPr>
      <w:r>
        <w:rPr>
          <w:rStyle w:val="CteAnejo-DefinicionCar"/>
        </w:rPr>
        <w:lastRenderedPageBreak/>
        <w:t>Produit</w:t>
      </w:r>
      <w:r>
        <w:t>:</w:t>
      </w:r>
      <w:r>
        <w:rPr>
          <w:b/>
          <w:bCs/>
        </w:rPr>
        <w:t xml:space="preserve"> </w:t>
      </w:r>
      <w:r>
        <w:t>forme finale d</w:t>
      </w:r>
      <w:r w:rsidR="00EA7588">
        <w:t>’</w:t>
      </w:r>
      <w:r>
        <w:t xml:space="preserve">un </w:t>
      </w:r>
      <w:r>
        <w:rPr>
          <w:i/>
          <w:iCs/>
        </w:rPr>
        <w:t>matériau</w:t>
      </w:r>
      <w:r>
        <w:t xml:space="preserve"> prêt à l</w:t>
      </w:r>
      <w:r w:rsidR="00EA7588">
        <w:t>’</w:t>
      </w:r>
      <w:r>
        <w:t>emploi, de forme et dimensions données, et doté d</w:t>
      </w:r>
      <w:r w:rsidR="00EA7588">
        <w:t>’</w:t>
      </w:r>
      <w:r>
        <w:t>un revêtement ou recouvrement.</w:t>
      </w:r>
    </w:p>
    <w:p w14:paraId="41A68DE3" w14:textId="0EB77F6F" w:rsidR="00037CDA" w:rsidRPr="00937C8B" w:rsidRDefault="00037CDA" w:rsidP="00037CDA">
      <w:pPr>
        <w:pStyle w:val="CTENormal"/>
        <w:spacing w:after="60"/>
        <w:jc w:val="both"/>
      </w:pPr>
      <w:r>
        <w:rPr>
          <w:rStyle w:val="CteAnejo-DefinicionCar"/>
        </w:rPr>
        <w:t>Pont thermique</w:t>
      </w:r>
      <w:r>
        <w:t>: zone de l’</w:t>
      </w:r>
      <w:r>
        <w:rPr>
          <w:i/>
        </w:rPr>
        <w:t>enceinte thermique</w:t>
      </w:r>
      <w:r>
        <w:t xml:space="preserve"> du bâtiment dans laquelle une variation de l</w:t>
      </w:r>
      <w:r w:rsidR="00EA7588">
        <w:t>’</w:t>
      </w:r>
      <w:r>
        <w:t>uniformité de la construction est mise en évidence, soit en raison d</w:t>
      </w:r>
      <w:r w:rsidR="00EA7588">
        <w:t>’</w:t>
      </w:r>
      <w:r>
        <w:t>une modification de l</w:t>
      </w:r>
      <w:r w:rsidR="00EA7588">
        <w:t>’</w:t>
      </w:r>
      <w:r>
        <w:t xml:space="preserve">épaisseur de la </w:t>
      </w:r>
      <w:r>
        <w:rPr>
          <w:i/>
        </w:rPr>
        <w:t>cloison</w:t>
      </w:r>
      <w:r>
        <w:t xml:space="preserve"> ou des matériaux utilisés, soit en raison de la pénétration complète ou partielle d</w:t>
      </w:r>
      <w:r w:rsidR="00EA7588">
        <w:t>’</w:t>
      </w:r>
      <w:r>
        <w:t>éléments de construction ayant une conductivité différente, soit en raison de la différence entre la surface externe et interne de l</w:t>
      </w:r>
      <w:r w:rsidR="00EA7588">
        <w:t>’</w:t>
      </w:r>
      <w:r>
        <w:t>élément, etc., qui entraîne une diminution de la résistance thermique par rapport au reste de la cloison.</w:t>
      </w:r>
    </w:p>
    <w:p w14:paraId="2D9E0313" w14:textId="77777777" w:rsidR="00037CDA" w:rsidRPr="00937C8B" w:rsidRDefault="00037CDA" w:rsidP="00037CDA">
      <w:pPr>
        <w:pStyle w:val="CTENormal"/>
        <w:spacing w:before="0" w:after="0"/>
        <w:jc w:val="both"/>
      </w:pPr>
      <w:r>
        <w:t>Les ponts thermiques sont des parties sensibles des bâtiments dans lesquelles la probabilité de production de condensations augmente.</w:t>
      </w:r>
    </w:p>
    <w:p w14:paraId="21E8BFEE" w14:textId="77777777" w:rsidR="00037CDA" w:rsidRPr="00937C8B" w:rsidRDefault="00037CDA" w:rsidP="00D27646">
      <w:pPr>
        <w:pStyle w:val="CTENormal"/>
        <w:keepNext/>
        <w:spacing w:before="120"/>
        <w:jc w:val="both"/>
      </w:pPr>
      <w:r>
        <w:t xml:space="preserve">Les </w:t>
      </w:r>
      <w:r>
        <w:rPr>
          <w:i/>
          <w:iCs/>
        </w:rPr>
        <w:t>ponts thermiques</w:t>
      </w:r>
      <w:r>
        <w:t xml:space="preserve"> les plus communs sont les suivants:</w:t>
      </w:r>
    </w:p>
    <w:p w14:paraId="7917C0A2" w14:textId="77777777" w:rsidR="00037CDA" w:rsidRPr="00937C8B" w:rsidRDefault="00037CDA" w:rsidP="00D27646">
      <w:pPr>
        <w:pStyle w:val="CTENumeracion"/>
        <w:keepNext/>
        <w:ind w:left="567" w:hanging="283"/>
        <w:rPr>
          <w:rFonts w:cs="Arial"/>
          <w:sz w:val="22"/>
          <w:szCs w:val="22"/>
        </w:rPr>
      </w:pPr>
      <w:r>
        <w:rPr>
          <w:sz w:val="22"/>
          <w:szCs w:val="22"/>
        </w:rPr>
        <w:t>a)</w:t>
      </w:r>
      <w:r>
        <w:rPr>
          <w:sz w:val="22"/>
          <w:szCs w:val="22"/>
        </w:rPr>
        <w:tab/>
      </w:r>
      <w:r>
        <w:rPr>
          <w:i/>
          <w:iCs/>
          <w:sz w:val="22"/>
          <w:szCs w:val="22"/>
        </w:rPr>
        <w:t>Ponts thermiques</w:t>
      </w:r>
      <w:r>
        <w:rPr>
          <w:sz w:val="22"/>
          <w:szCs w:val="22"/>
        </w:rPr>
        <w:t xml:space="preserve"> intégrés aux </w:t>
      </w:r>
      <w:r>
        <w:rPr>
          <w:i/>
          <w:sz w:val="22"/>
          <w:szCs w:val="22"/>
        </w:rPr>
        <w:t>cloisons</w:t>
      </w:r>
      <w:r>
        <w:rPr>
          <w:sz w:val="22"/>
          <w:szCs w:val="22"/>
        </w:rPr>
        <w:t>:</w:t>
      </w:r>
    </w:p>
    <w:p w14:paraId="1F460961" w14:textId="77777777" w:rsidR="00037CDA" w:rsidRPr="00937C8B" w:rsidRDefault="00037CDA" w:rsidP="00037CDA">
      <w:pPr>
        <w:pStyle w:val="CTENumeracion"/>
        <w:tabs>
          <w:tab w:val="left" w:pos="993"/>
        </w:tabs>
        <w:ind w:left="709" w:firstLine="0"/>
        <w:rPr>
          <w:rFonts w:cs="Arial"/>
          <w:sz w:val="22"/>
          <w:szCs w:val="22"/>
        </w:rPr>
      </w:pPr>
      <w:r>
        <w:rPr>
          <w:sz w:val="22"/>
          <w:szCs w:val="22"/>
        </w:rPr>
        <w:t>i)</w:t>
      </w:r>
      <w:r>
        <w:rPr>
          <w:sz w:val="22"/>
          <w:szCs w:val="22"/>
        </w:rPr>
        <w:tab/>
        <w:t>piliers intégrés aux cloisons des façades;</w:t>
      </w:r>
    </w:p>
    <w:p w14:paraId="5CE291E6" w14:textId="1A4F3F3B" w:rsidR="00037CDA" w:rsidRPr="00937C8B" w:rsidRDefault="00037CDA" w:rsidP="00037CDA">
      <w:pPr>
        <w:pStyle w:val="CTENumeracion"/>
        <w:tabs>
          <w:tab w:val="left" w:pos="993"/>
        </w:tabs>
        <w:ind w:left="709" w:firstLine="0"/>
        <w:rPr>
          <w:rFonts w:cs="Arial"/>
          <w:sz w:val="22"/>
          <w:szCs w:val="22"/>
        </w:rPr>
      </w:pPr>
      <w:r>
        <w:rPr>
          <w:sz w:val="22"/>
          <w:szCs w:val="22"/>
        </w:rPr>
        <w:t>ii)</w:t>
      </w:r>
      <w:r>
        <w:rPr>
          <w:sz w:val="22"/>
          <w:szCs w:val="22"/>
        </w:rPr>
        <w:tab/>
        <w:t>contour d</w:t>
      </w:r>
      <w:r w:rsidR="00EA7588">
        <w:rPr>
          <w:sz w:val="22"/>
          <w:szCs w:val="22"/>
        </w:rPr>
        <w:t>’</w:t>
      </w:r>
      <w:r>
        <w:rPr>
          <w:i/>
          <w:iCs/>
          <w:sz w:val="22"/>
          <w:szCs w:val="22"/>
        </w:rPr>
        <w:t>ouvertures</w:t>
      </w:r>
      <w:r>
        <w:rPr>
          <w:sz w:val="22"/>
          <w:szCs w:val="22"/>
        </w:rPr>
        <w:t xml:space="preserve"> et de lucarnes;</w:t>
      </w:r>
    </w:p>
    <w:p w14:paraId="7B03FF37" w14:textId="77777777" w:rsidR="00037CDA" w:rsidRPr="00937C8B" w:rsidRDefault="00037CDA" w:rsidP="00037CDA">
      <w:pPr>
        <w:pStyle w:val="CTENumeracion"/>
        <w:tabs>
          <w:tab w:val="left" w:pos="993"/>
        </w:tabs>
        <w:ind w:left="709" w:firstLine="0"/>
        <w:rPr>
          <w:rFonts w:cs="Arial"/>
          <w:sz w:val="22"/>
          <w:szCs w:val="22"/>
        </w:rPr>
      </w:pPr>
      <w:r>
        <w:rPr>
          <w:sz w:val="22"/>
          <w:szCs w:val="22"/>
        </w:rPr>
        <w:t>iii)</w:t>
      </w:r>
      <w:r>
        <w:rPr>
          <w:sz w:val="22"/>
          <w:szCs w:val="22"/>
        </w:rPr>
        <w:tab/>
        <w:t>armoire à persiennes;</w:t>
      </w:r>
    </w:p>
    <w:p w14:paraId="6362D8F0" w14:textId="77777777" w:rsidR="00037CDA" w:rsidRPr="00937C8B" w:rsidRDefault="00037CDA" w:rsidP="00037CDA">
      <w:pPr>
        <w:pStyle w:val="CTENumeracion"/>
        <w:tabs>
          <w:tab w:val="left" w:pos="993"/>
        </w:tabs>
        <w:ind w:left="709" w:firstLine="0"/>
        <w:rPr>
          <w:rFonts w:cs="Arial"/>
          <w:sz w:val="22"/>
          <w:szCs w:val="22"/>
        </w:rPr>
      </w:pPr>
      <w:r>
        <w:rPr>
          <w:sz w:val="22"/>
          <w:szCs w:val="22"/>
        </w:rPr>
        <w:t>iv)</w:t>
      </w:r>
      <w:r>
        <w:rPr>
          <w:sz w:val="22"/>
          <w:szCs w:val="22"/>
        </w:rPr>
        <w:tab/>
        <w:t xml:space="preserve">autres </w:t>
      </w:r>
      <w:r>
        <w:rPr>
          <w:i/>
          <w:iCs/>
          <w:sz w:val="22"/>
          <w:szCs w:val="22"/>
        </w:rPr>
        <w:t>ponts thermiques</w:t>
      </w:r>
      <w:r>
        <w:rPr>
          <w:sz w:val="22"/>
          <w:szCs w:val="22"/>
        </w:rPr>
        <w:t xml:space="preserve"> intégrés;</w:t>
      </w:r>
    </w:p>
    <w:p w14:paraId="6229680C" w14:textId="77777777" w:rsidR="00037CDA" w:rsidRPr="00937C8B" w:rsidRDefault="00037CDA" w:rsidP="00D27646">
      <w:pPr>
        <w:pStyle w:val="CTENumeracion"/>
        <w:keepNext/>
        <w:ind w:left="567" w:hanging="283"/>
        <w:rPr>
          <w:rFonts w:cs="Arial"/>
          <w:sz w:val="22"/>
          <w:szCs w:val="22"/>
        </w:rPr>
      </w:pPr>
      <w:r>
        <w:rPr>
          <w:sz w:val="22"/>
          <w:szCs w:val="22"/>
        </w:rPr>
        <w:t>b)</w:t>
      </w:r>
      <w:r>
        <w:rPr>
          <w:sz w:val="22"/>
          <w:szCs w:val="22"/>
        </w:rPr>
        <w:tab/>
      </w:r>
      <w:r>
        <w:rPr>
          <w:i/>
          <w:iCs/>
          <w:sz w:val="22"/>
          <w:szCs w:val="22"/>
        </w:rPr>
        <w:t>Ponts thermiques</w:t>
      </w:r>
      <w:r>
        <w:rPr>
          <w:sz w:val="22"/>
          <w:szCs w:val="22"/>
        </w:rPr>
        <w:t xml:space="preserve"> formés par la jonction de </w:t>
      </w:r>
      <w:r>
        <w:rPr>
          <w:i/>
          <w:sz w:val="22"/>
          <w:szCs w:val="22"/>
        </w:rPr>
        <w:t>cloisons</w:t>
      </w:r>
      <w:r>
        <w:rPr>
          <w:sz w:val="22"/>
          <w:szCs w:val="22"/>
        </w:rPr>
        <w:t>:</w:t>
      </w:r>
    </w:p>
    <w:p w14:paraId="69896DAC" w14:textId="77777777" w:rsidR="00037CDA" w:rsidRPr="00937C8B" w:rsidRDefault="00037CDA" w:rsidP="00037CDA">
      <w:pPr>
        <w:pStyle w:val="CTENumeracion"/>
        <w:tabs>
          <w:tab w:val="left" w:pos="993"/>
        </w:tabs>
        <w:ind w:left="709" w:firstLine="0"/>
        <w:rPr>
          <w:rFonts w:cs="Arial"/>
          <w:sz w:val="22"/>
          <w:szCs w:val="22"/>
        </w:rPr>
      </w:pPr>
      <w:r>
        <w:rPr>
          <w:sz w:val="22"/>
          <w:szCs w:val="22"/>
        </w:rPr>
        <w:t>i)</w:t>
      </w:r>
      <w:r>
        <w:rPr>
          <w:sz w:val="22"/>
          <w:szCs w:val="22"/>
        </w:rPr>
        <w:tab/>
        <w:t>avants de hourdis au niveau des façades;</w:t>
      </w:r>
    </w:p>
    <w:p w14:paraId="58414D1A" w14:textId="77777777" w:rsidR="00037CDA" w:rsidRPr="00937C8B" w:rsidRDefault="00037CDA" w:rsidP="00037CDA">
      <w:pPr>
        <w:pStyle w:val="CTENumeracion"/>
        <w:tabs>
          <w:tab w:val="left" w:pos="993"/>
        </w:tabs>
        <w:ind w:left="709" w:firstLine="0"/>
        <w:rPr>
          <w:rFonts w:cs="Arial"/>
          <w:sz w:val="22"/>
          <w:szCs w:val="22"/>
        </w:rPr>
      </w:pPr>
      <w:r>
        <w:rPr>
          <w:sz w:val="22"/>
          <w:szCs w:val="22"/>
        </w:rPr>
        <w:t>ii)</w:t>
      </w:r>
      <w:r>
        <w:rPr>
          <w:sz w:val="22"/>
          <w:szCs w:val="22"/>
        </w:rPr>
        <w:tab/>
        <w:t>jonctions entre toitures avec façades;</w:t>
      </w:r>
    </w:p>
    <w:p w14:paraId="5C37D4AE" w14:textId="77777777" w:rsidR="00037CDA" w:rsidRPr="00937C8B" w:rsidRDefault="00037CDA" w:rsidP="00037CDA">
      <w:pPr>
        <w:pStyle w:val="CTENumeracion"/>
        <w:tabs>
          <w:tab w:val="left" w:pos="993"/>
        </w:tabs>
        <w:ind w:left="709" w:firstLine="0"/>
        <w:rPr>
          <w:rFonts w:cs="Arial"/>
          <w:sz w:val="22"/>
          <w:szCs w:val="22"/>
        </w:rPr>
      </w:pPr>
      <w:r>
        <w:rPr>
          <w:sz w:val="22"/>
          <w:szCs w:val="22"/>
        </w:rPr>
        <w:t>iii)</w:t>
      </w:r>
      <w:r>
        <w:rPr>
          <w:sz w:val="22"/>
          <w:szCs w:val="22"/>
        </w:rPr>
        <w:tab/>
        <w:t>toitures avec garde-corps;</w:t>
      </w:r>
    </w:p>
    <w:p w14:paraId="64E7092D" w14:textId="77777777" w:rsidR="00037CDA" w:rsidRPr="00937C8B" w:rsidRDefault="00037CDA" w:rsidP="00037CDA">
      <w:pPr>
        <w:pStyle w:val="CTENumeracion"/>
        <w:tabs>
          <w:tab w:val="left" w:pos="993"/>
        </w:tabs>
        <w:ind w:left="709" w:firstLine="0"/>
        <w:rPr>
          <w:rFonts w:cs="Arial"/>
          <w:sz w:val="22"/>
          <w:szCs w:val="22"/>
        </w:rPr>
      </w:pPr>
      <w:r>
        <w:rPr>
          <w:sz w:val="22"/>
          <w:szCs w:val="22"/>
        </w:rPr>
        <w:t>iv)</w:t>
      </w:r>
      <w:r>
        <w:rPr>
          <w:sz w:val="22"/>
          <w:szCs w:val="22"/>
        </w:rPr>
        <w:tab/>
        <w:t>toitures sans garde-corps;</w:t>
      </w:r>
    </w:p>
    <w:p w14:paraId="0E57E7C1" w14:textId="77777777" w:rsidR="00037CDA" w:rsidRPr="00937C8B" w:rsidRDefault="00037CDA" w:rsidP="00037CDA">
      <w:pPr>
        <w:pStyle w:val="CTENumeracion"/>
        <w:tabs>
          <w:tab w:val="left" w:pos="993"/>
        </w:tabs>
        <w:ind w:left="709" w:firstLine="0"/>
        <w:rPr>
          <w:rFonts w:cs="Arial"/>
          <w:sz w:val="22"/>
          <w:szCs w:val="22"/>
        </w:rPr>
      </w:pPr>
      <w:r>
        <w:rPr>
          <w:sz w:val="22"/>
          <w:szCs w:val="22"/>
        </w:rPr>
        <w:t>v)</w:t>
      </w:r>
      <w:r>
        <w:rPr>
          <w:sz w:val="22"/>
          <w:szCs w:val="22"/>
        </w:rPr>
        <w:tab/>
        <w:t>jonctions entre façades avec des cloisons en contact avec le terrain;</w:t>
      </w:r>
    </w:p>
    <w:p w14:paraId="5D6299DF" w14:textId="77777777" w:rsidR="00037CDA" w:rsidRPr="00937C8B" w:rsidRDefault="00037CDA" w:rsidP="00037CDA">
      <w:pPr>
        <w:pStyle w:val="CTENumeracion"/>
        <w:tabs>
          <w:tab w:val="left" w:pos="993"/>
        </w:tabs>
        <w:ind w:left="709" w:firstLine="0"/>
        <w:rPr>
          <w:rFonts w:cs="Arial"/>
          <w:sz w:val="22"/>
          <w:szCs w:val="22"/>
        </w:rPr>
      </w:pPr>
      <w:r>
        <w:rPr>
          <w:sz w:val="22"/>
          <w:szCs w:val="22"/>
        </w:rPr>
        <w:t>vi)</w:t>
      </w:r>
      <w:r>
        <w:rPr>
          <w:sz w:val="22"/>
          <w:szCs w:val="22"/>
        </w:rPr>
        <w:tab/>
        <w:t>jonction entre des façades avec dalle ou radier;</w:t>
      </w:r>
    </w:p>
    <w:p w14:paraId="2AB5FA25" w14:textId="77777777" w:rsidR="00037CDA" w:rsidRPr="00937C8B" w:rsidRDefault="00037CDA" w:rsidP="00037CDA">
      <w:pPr>
        <w:pStyle w:val="CTENumeracion"/>
        <w:tabs>
          <w:tab w:val="left" w:pos="993"/>
        </w:tabs>
        <w:ind w:left="709" w:firstLine="0"/>
        <w:rPr>
          <w:rFonts w:cs="Arial"/>
          <w:sz w:val="22"/>
          <w:szCs w:val="22"/>
        </w:rPr>
      </w:pPr>
      <w:r>
        <w:rPr>
          <w:sz w:val="22"/>
          <w:szCs w:val="22"/>
        </w:rPr>
        <w:t>vii)</w:t>
      </w:r>
      <w:r>
        <w:rPr>
          <w:sz w:val="22"/>
          <w:szCs w:val="22"/>
        </w:rPr>
        <w:tab/>
        <w:t>jonction entre des façades avec mur enterré ou écran;</w:t>
      </w:r>
    </w:p>
    <w:p w14:paraId="224A3A21" w14:textId="4F23565A" w:rsidR="00037CDA" w:rsidRPr="00937C8B" w:rsidRDefault="00037CDA" w:rsidP="00D27646">
      <w:pPr>
        <w:pStyle w:val="CTENumeracion"/>
        <w:keepNext/>
        <w:ind w:left="567" w:hanging="283"/>
        <w:rPr>
          <w:rFonts w:cs="Arial"/>
          <w:sz w:val="22"/>
          <w:szCs w:val="22"/>
        </w:rPr>
      </w:pPr>
      <w:r>
        <w:rPr>
          <w:sz w:val="22"/>
          <w:szCs w:val="22"/>
        </w:rPr>
        <w:t>c)</w:t>
      </w:r>
      <w:r>
        <w:rPr>
          <w:sz w:val="22"/>
          <w:szCs w:val="22"/>
        </w:rPr>
        <w:tab/>
        <w:t>Angles ou jonctions de façades qui, en fonction de la position de l</w:t>
      </w:r>
      <w:r w:rsidR="00EA7588">
        <w:rPr>
          <w:sz w:val="22"/>
          <w:szCs w:val="22"/>
        </w:rPr>
        <w:t>’</w:t>
      </w:r>
      <w:r>
        <w:rPr>
          <w:sz w:val="22"/>
          <w:szCs w:val="22"/>
        </w:rPr>
        <w:t>environnement extérieur, se subdivisent en:</w:t>
      </w:r>
    </w:p>
    <w:p w14:paraId="14A4D1EB" w14:textId="77777777" w:rsidR="00037CDA" w:rsidRPr="00831252" w:rsidRDefault="00037CDA" w:rsidP="00037CDA">
      <w:pPr>
        <w:pStyle w:val="CTENumeracion"/>
        <w:tabs>
          <w:tab w:val="left" w:pos="993"/>
        </w:tabs>
        <w:ind w:left="709" w:firstLine="0"/>
        <w:rPr>
          <w:rFonts w:cs="Arial"/>
          <w:sz w:val="22"/>
          <w:szCs w:val="22"/>
        </w:rPr>
      </w:pPr>
      <w:r>
        <w:rPr>
          <w:sz w:val="22"/>
          <w:szCs w:val="22"/>
        </w:rPr>
        <w:t>i)</w:t>
      </w:r>
      <w:r>
        <w:rPr>
          <w:sz w:val="22"/>
          <w:szCs w:val="22"/>
        </w:rPr>
        <w:tab/>
        <w:t>angles rentrants;</w:t>
      </w:r>
    </w:p>
    <w:p w14:paraId="1215D441" w14:textId="77777777" w:rsidR="00037CDA" w:rsidRPr="00831252" w:rsidRDefault="00037CDA" w:rsidP="00037CDA">
      <w:pPr>
        <w:pStyle w:val="CTENumeracion"/>
        <w:tabs>
          <w:tab w:val="left" w:pos="993"/>
        </w:tabs>
        <w:ind w:left="709" w:firstLine="0"/>
        <w:rPr>
          <w:rFonts w:cs="Arial"/>
          <w:sz w:val="22"/>
          <w:szCs w:val="22"/>
        </w:rPr>
      </w:pPr>
      <w:r>
        <w:rPr>
          <w:sz w:val="22"/>
          <w:szCs w:val="22"/>
        </w:rPr>
        <w:t>ii)</w:t>
      </w:r>
      <w:r>
        <w:rPr>
          <w:sz w:val="22"/>
          <w:szCs w:val="22"/>
        </w:rPr>
        <w:tab/>
        <w:t>angles saillants;</w:t>
      </w:r>
    </w:p>
    <w:p w14:paraId="6A7C77B6" w14:textId="77777777" w:rsidR="00037CDA" w:rsidRPr="00937C8B" w:rsidRDefault="00037CDA" w:rsidP="00037CDA">
      <w:pPr>
        <w:pStyle w:val="CTENumeracion"/>
        <w:ind w:left="567" w:hanging="283"/>
        <w:rPr>
          <w:rFonts w:cs="Arial"/>
          <w:sz w:val="22"/>
          <w:szCs w:val="22"/>
        </w:rPr>
      </w:pPr>
      <w:r>
        <w:rPr>
          <w:sz w:val="22"/>
          <w:szCs w:val="22"/>
        </w:rPr>
        <w:t>d)</w:t>
      </w:r>
      <w:r>
        <w:rPr>
          <w:sz w:val="22"/>
          <w:szCs w:val="22"/>
        </w:rPr>
        <w:tab/>
        <w:t>Jonctions de saillies de façades;</w:t>
      </w:r>
    </w:p>
    <w:p w14:paraId="44096080" w14:textId="77777777" w:rsidR="00037CDA" w:rsidRPr="00937C8B" w:rsidRDefault="00037CDA" w:rsidP="00037CDA">
      <w:pPr>
        <w:pStyle w:val="CTENumeracion"/>
        <w:ind w:left="567" w:hanging="283"/>
        <w:rPr>
          <w:rFonts w:cs="Arial"/>
          <w:sz w:val="22"/>
          <w:szCs w:val="22"/>
        </w:rPr>
      </w:pPr>
      <w:r>
        <w:rPr>
          <w:sz w:val="22"/>
          <w:szCs w:val="22"/>
        </w:rPr>
        <w:t>e)</w:t>
      </w:r>
      <w:r>
        <w:rPr>
          <w:sz w:val="22"/>
          <w:szCs w:val="22"/>
        </w:rPr>
        <w:tab/>
        <w:t xml:space="preserve">Jonctions entre des cloisons intérieures et des </w:t>
      </w:r>
      <w:r>
        <w:rPr>
          <w:i/>
          <w:sz w:val="22"/>
          <w:szCs w:val="22"/>
        </w:rPr>
        <w:t>cloisons</w:t>
      </w:r>
      <w:r>
        <w:rPr>
          <w:sz w:val="22"/>
          <w:szCs w:val="22"/>
        </w:rPr>
        <w:t xml:space="preserve"> extérieures.</w:t>
      </w:r>
    </w:p>
    <w:p w14:paraId="36C7F11B" w14:textId="77777777" w:rsidR="00037CDA" w:rsidRPr="00937C8B" w:rsidRDefault="00037CDA" w:rsidP="00037CDA">
      <w:pPr>
        <w:pStyle w:val="CTENormal"/>
        <w:jc w:val="both"/>
      </w:pPr>
      <w:r>
        <w:rPr>
          <w:rStyle w:val="CteAnejo-DefinicionCar"/>
        </w:rPr>
        <w:t>Pont thermique linéaire</w:t>
      </w:r>
      <w:r>
        <w:t xml:space="preserve">: </w:t>
      </w:r>
      <w:r>
        <w:rPr>
          <w:i/>
          <w:iCs/>
        </w:rPr>
        <w:t>pont thermique</w:t>
      </w:r>
      <w:r>
        <w:t xml:space="preserve"> présentant une section transversale uniforme dans une direction.</w:t>
      </w:r>
    </w:p>
    <w:p w14:paraId="2F797426" w14:textId="77777777" w:rsidR="00037CDA" w:rsidRPr="00937C8B" w:rsidRDefault="00037CDA" w:rsidP="00037CDA">
      <w:pPr>
        <w:pStyle w:val="CTENormal"/>
        <w:jc w:val="both"/>
        <w:rPr>
          <w:rStyle w:val="CteAnejo-DefinicionCar"/>
          <w:b w:val="0"/>
          <w:i w:val="0"/>
        </w:rPr>
      </w:pPr>
      <w:r>
        <w:rPr>
          <w:rStyle w:val="CteAnejo-DefinicionCar"/>
        </w:rPr>
        <w:t>Enceinte</w:t>
      </w:r>
      <w:r>
        <w:rPr>
          <w:rStyle w:val="CteAnejo-DefinicionCar"/>
          <w:b w:val="0"/>
          <w:i w:val="0"/>
        </w:rPr>
        <w:t>: espace du bâtiment limité par des cloisons, des séparations ou tout autre élément de séparation.</w:t>
      </w:r>
    </w:p>
    <w:p w14:paraId="61699963" w14:textId="49025ADE" w:rsidR="00037CDA" w:rsidRPr="00937C8B" w:rsidRDefault="00037CDA" w:rsidP="00D27646">
      <w:pPr>
        <w:pStyle w:val="CTENormal"/>
        <w:keepNext/>
        <w:jc w:val="both"/>
        <w:rPr>
          <w:szCs w:val="22"/>
        </w:rPr>
      </w:pPr>
      <w:r>
        <w:rPr>
          <w:rStyle w:val="CteAnejo-DefinicionCar"/>
        </w:rPr>
        <w:t>Enceinte habitable</w:t>
      </w:r>
      <w:r>
        <w:t>: enceinte intérieure destinée à l</w:t>
      </w:r>
      <w:r w:rsidR="00EA7588">
        <w:t>’</w:t>
      </w:r>
      <w:r>
        <w:t>usage par des personnes dont la densité d</w:t>
      </w:r>
      <w:r w:rsidR="00EA7588">
        <w:t>’</w:t>
      </w:r>
      <w:r>
        <w:t xml:space="preserve">occupation et le temps de séjour exigent des conditions acoustiques, thermiques et de salubrité appropriées. Les lieux suivants sont considérés comme des </w:t>
      </w:r>
      <w:r>
        <w:rPr>
          <w:i/>
          <w:iCs/>
        </w:rPr>
        <w:t>enceintes habitables</w:t>
      </w:r>
      <w:r>
        <w:t>:</w:t>
      </w:r>
    </w:p>
    <w:p w14:paraId="2B2E6506" w14:textId="77777777" w:rsidR="00037CDA" w:rsidRPr="00937C8B" w:rsidRDefault="00037CDA" w:rsidP="00037CDA">
      <w:pPr>
        <w:pStyle w:val="CTENumeracion"/>
        <w:ind w:left="567" w:hanging="283"/>
        <w:rPr>
          <w:rFonts w:cs="Arial"/>
          <w:sz w:val="22"/>
          <w:szCs w:val="22"/>
        </w:rPr>
      </w:pPr>
      <w:r>
        <w:rPr>
          <w:sz w:val="22"/>
          <w:szCs w:val="22"/>
        </w:rPr>
        <w:t>a)</w:t>
      </w:r>
      <w:r>
        <w:rPr>
          <w:sz w:val="22"/>
          <w:szCs w:val="22"/>
        </w:rPr>
        <w:tab/>
        <w:t>pièces (chambres, salles à manger, bibliothèques, salons, etc.) des bâtiments résidentiels;</w:t>
      </w:r>
    </w:p>
    <w:p w14:paraId="2DE66CE6" w14:textId="066036F3" w:rsidR="00037CDA" w:rsidRPr="00937C8B" w:rsidRDefault="00037CDA" w:rsidP="00037CDA">
      <w:pPr>
        <w:pStyle w:val="CTENumeracion"/>
        <w:ind w:left="567" w:hanging="283"/>
        <w:rPr>
          <w:rFonts w:cs="Arial"/>
          <w:sz w:val="22"/>
          <w:szCs w:val="22"/>
        </w:rPr>
      </w:pPr>
      <w:r>
        <w:rPr>
          <w:sz w:val="22"/>
          <w:szCs w:val="22"/>
        </w:rPr>
        <w:t>b)</w:t>
      </w:r>
      <w:r>
        <w:rPr>
          <w:sz w:val="22"/>
          <w:szCs w:val="22"/>
        </w:rPr>
        <w:tab/>
        <w:t>salles, bibliothèques, bureaux de bâtiments d</w:t>
      </w:r>
      <w:r w:rsidR="00EA7588">
        <w:rPr>
          <w:sz w:val="22"/>
          <w:szCs w:val="22"/>
        </w:rPr>
        <w:t>’</w:t>
      </w:r>
      <w:r>
        <w:rPr>
          <w:sz w:val="22"/>
          <w:szCs w:val="22"/>
        </w:rPr>
        <w:t>enseignement;</w:t>
      </w:r>
    </w:p>
    <w:p w14:paraId="7BEC8599" w14:textId="1C750D3B" w:rsidR="00037CDA" w:rsidRPr="00937C8B" w:rsidRDefault="00037CDA" w:rsidP="00037CDA">
      <w:pPr>
        <w:pStyle w:val="CTENumeracion"/>
        <w:ind w:left="567" w:hanging="283"/>
        <w:rPr>
          <w:rFonts w:cs="Arial"/>
          <w:sz w:val="22"/>
          <w:szCs w:val="22"/>
        </w:rPr>
      </w:pPr>
      <w:r>
        <w:rPr>
          <w:sz w:val="22"/>
          <w:szCs w:val="22"/>
        </w:rPr>
        <w:t>c)</w:t>
      </w:r>
      <w:r>
        <w:rPr>
          <w:sz w:val="22"/>
          <w:szCs w:val="22"/>
        </w:rPr>
        <w:tab/>
        <w:t>blocs opératoires, chambres, salles d</w:t>
      </w:r>
      <w:r w:rsidR="00EA7588">
        <w:rPr>
          <w:sz w:val="22"/>
          <w:szCs w:val="22"/>
        </w:rPr>
        <w:t>’</w:t>
      </w:r>
      <w:r>
        <w:rPr>
          <w:sz w:val="22"/>
          <w:szCs w:val="22"/>
        </w:rPr>
        <w:t>attente de bâtiments à usage sanitaire;</w:t>
      </w:r>
    </w:p>
    <w:p w14:paraId="3BCE3AD0" w14:textId="77777777" w:rsidR="00037CDA" w:rsidRPr="00937C8B" w:rsidRDefault="00037CDA" w:rsidP="00037CDA">
      <w:pPr>
        <w:pStyle w:val="CTENumeracion"/>
        <w:ind w:left="567" w:hanging="283"/>
        <w:rPr>
          <w:rFonts w:cs="Arial"/>
          <w:sz w:val="22"/>
          <w:szCs w:val="22"/>
        </w:rPr>
      </w:pPr>
      <w:r>
        <w:rPr>
          <w:sz w:val="22"/>
          <w:szCs w:val="22"/>
        </w:rPr>
        <w:t>d)</w:t>
      </w:r>
      <w:r>
        <w:rPr>
          <w:sz w:val="22"/>
          <w:szCs w:val="22"/>
        </w:rPr>
        <w:tab/>
        <w:t>bureaux, salles de réunion de bâtiments à usage administratif;</w:t>
      </w:r>
    </w:p>
    <w:p w14:paraId="71B31DB1" w14:textId="77777777" w:rsidR="00037CDA" w:rsidRPr="00937C8B" w:rsidRDefault="00037CDA" w:rsidP="00037CDA">
      <w:pPr>
        <w:pStyle w:val="CTENumeracion"/>
        <w:ind w:left="567" w:hanging="283"/>
        <w:rPr>
          <w:rFonts w:cs="Arial"/>
          <w:sz w:val="22"/>
          <w:szCs w:val="22"/>
        </w:rPr>
      </w:pPr>
      <w:r>
        <w:rPr>
          <w:sz w:val="22"/>
          <w:szCs w:val="22"/>
        </w:rPr>
        <w:t>e)</w:t>
      </w:r>
      <w:r>
        <w:rPr>
          <w:sz w:val="22"/>
          <w:szCs w:val="22"/>
        </w:rPr>
        <w:tab/>
        <w:t>cuisines, salles de bain, toilettes, couloirs et dégagements de bâtiments à tout usage;</w:t>
      </w:r>
    </w:p>
    <w:p w14:paraId="7F871139" w14:textId="1E771FD9" w:rsidR="00037CDA" w:rsidRPr="00937C8B" w:rsidRDefault="00037CDA" w:rsidP="00037CDA">
      <w:pPr>
        <w:pStyle w:val="CTENumeracion"/>
        <w:ind w:left="567" w:hanging="283"/>
        <w:rPr>
          <w:rFonts w:cs="Arial"/>
          <w:sz w:val="22"/>
          <w:szCs w:val="22"/>
        </w:rPr>
      </w:pPr>
      <w:r>
        <w:rPr>
          <w:sz w:val="22"/>
          <w:szCs w:val="22"/>
        </w:rPr>
        <w:t>f)</w:t>
      </w:r>
      <w:r>
        <w:rPr>
          <w:sz w:val="22"/>
          <w:szCs w:val="22"/>
        </w:rPr>
        <w:tab/>
      </w:r>
      <w:r>
        <w:rPr>
          <w:i/>
          <w:iCs/>
          <w:sz w:val="22"/>
          <w:szCs w:val="22"/>
        </w:rPr>
        <w:t>zones communes</w:t>
      </w:r>
      <w:r>
        <w:rPr>
          <w:sz w:val="22"/>
          <w:szCs w:val="22"/>
        </w:rPr>
        <w:t xml:space="preserve"> de circulation à l</w:t>
      </w:r>
      <w:r w:rsidR="00EA7588">
        <w:rPr>
          <w:sz w:val="22"/>
          <w:szCs w:val="22"/>
        </w:rPr>
        <w:t>’</w:t>
      </w:r>
      <w:r>
        <w:rPr>
          <w:sz w:val="22"/>
          <w:szCs w:val="22"/>
        </w:rPr>
        <w:t>intérieur des bâtiments;</w:t>
      </w:r>
    </w:p>
    <w:p w14:paraId="7BACB6B5" w14:textId="77777777" w:rsidR="00037CDA" w:rsidRPr="00937C8B" w:rsidRDefault="00037CDA" w:rsidP="00037CDA">
      <w:pPr>
        <w:pStyle w:val="CTENumeracion"/>
        <w:ind w:left="567" w:hanging="283"/>
        <w:rPr>
          <w:rFonts w:cs="Arial"/>
          <w:sz w:val="22"/>
          <w:szCs w:val="22"/>
        </w:rPr>
      </w:pPr>
      <w:r>
        <w:rPr>
          <w:sz w:val="22"/>
          <w:szCs w:val="22"/>
        </w:rPr>
        <w:t>g)</w:t>
      </w:r>
      <w:r>
        <w:rPr>
          <w:sz w:val="22"/>
          <w:szCs w:val="22"/>
        </w:rPr>
        <w:tab/>
        <w:t>tout autre lieu destiné à un usage équivalent à ceux évoqués ci-dessus.</w:t>
      </w:r>
    </w:p>
    <w:p w14:paraId="2BEA3976" w14:textId="309947DA" w:rsidR="00037CDA" w:rsidRPr="00937C8B" w:rsidRDefault="00037CDA" w:rsidP="00037CDA">
      <w:pPr>
        <w:pStyle w:val="CTENormal"/>
        <w:jc w:val="both"/>
      </w:pPr>
      <w:r>
        <w:lastRenderedPageBreak/>
        <w:t xml:space="preserve">Une enceinte est réputée </w:t>
      </w:r>
      <w:r>
        <w:rPr>
          <w:szCs w:val="22"/>
        </w:rPr>
        <w:t xml:space="preserve">non habitable si elle </w:t>
      </w:r>
      <w:r>
        <w:t>n’est pas destinée à un usage permanent par des personnes ou dont l</w:t>
      </w:r>
      <w:r w:rsidR="00EA7588">
        <w:t>’</w:t>
      </w:r>
      <w:r>
        <w:t xml:space="preserve">occupation, occasionnelle ou exceptionnelle ou de courte durée, exige uniquement des conditions de salubrité appropriées. Cette catégorie inclut explicitement les garages, débarras, </w:t>
      </w:r>
      <w:r>
        <w:rPr>
          <w:i/>
          <w:iCs/>
        </w:rPr>
        <w:t>salles techniques</w:t>
      </w:r>
      <w:r>
        <w:t xml:space="preserve"> et greniers non climatisés ainsi que leurs </w:t>
      </w:r>
      <w:r>
        <w:rPr>
          <w:i/>
          <w:iCs/>
        </w:rPr>
        <w:t>zones communes</w:t>
      </w:r>
      <w:r>
        <w:t>.</w:t>
      </w:r>
    </w:p>
    <w:p w14:paraId="53AB3982" w14:textId="77777777" w:rsidR="00037CDA" w:rsidRPr="00937C8B" w:rsidRDefault="00037CDA" w:rsidP="00037CDA">
      <w:pPr>
        <w:pStyle w:val="CTENormal"/>
        <w:jc w:val="both"/>
      </w:pPr>
      <w:r>
        <w:rPr>
          <w:rStyle w:val="CteAnejo-DefinicionCar"/>
        </w:rPr>
        <w:t>Réflectance</w:t>
      </w:r>
      <w:r>
        <w:t>: rapport entre le flux de rayonnement ou lumineux réfléchi et le flux incident dans des conditions données. Il est exprimé en unité ou en pourcentage.</w:t>
      </w:r>
    </w:p>
    <w:p w14:paraId="6ACA21AA" w14:textId="4B371643" w:rsidR="00037CDA" w:rsidRPr="00937C8B" w:rsidRDefault="00037CDA" w:rsidP="00037CDA">
      <w:pPr>
        <w:pStyle w:val="CTENormal"/>
        <w:jc w:val="both"/>
      </w:pPr>
      <w:r>
        <w:rPr>
          <w:b/>
          <w:bCs/>
          <w:i/>
          <w:iCs/>
        </w:rPr>
        <w:t>Taux de renouvellement d</w:t>
      </w:r>
      <w:r w:rsidR="00EA7588">
        <w:rPr>
          <w:b/>
          <w:bCs/>
          <w:i/>
          <w:iCs/>
        </w:rPr>
        <w:t>’</w:t>
      </w:r>
      <w:r>
        <w:rPr>
          <w:b/>
          <w:bCs/>
          <w:i/>
          <w:iCs/>
        </w:rPr>
        <w:t>air</w:t>
      </w:r>
      <w:r>
        <w:t>: rapport entre le débit d</w:t>
      </w:r>
      <w:r w:rsidR="00EA7588">
        <w:t>’</w:t>
      </w:r>
      <w:r>
        <w:t>air à travers l</w:t>
      </w:r>
      <w:r w:rsidR="00EA7588">
        <w:t>’</w:t>
      </w:r>
      <w:r>
        <w:rPr>
          <w:i/>
          <w:iCs/>
        </w:rPr>
        <w:t>enceinte thermique</w:t>
      </w:r>
      <w:r>
        <w:t xml:space="preserve"> du bâtiment et son volume intérieur. Dans le cadre de ce DB, il convient de retenir la valeur obtenue pour une pression différentielle à travers l</w:t>
      </w:r>
      <w:r w:rsidR="00EA7588">
        <w:t>’</w:t>
      </w:r>
      <w:r>
        <w:t>enceinte de 50</w:t>
      </w:r>
      <w:r w:rsidR="00EA7588">
        <w:t> </w:t>
      </w:r>
      <w:r>
        <w:t>Pa, n</w:t>
      </w:r>
      <w:r>
        <w:rPr>
          <w:vertAlign w:val="subscript"/>
        </w:rPr>
        <w:t>50</w:t>
      </w:r>
      <w:r>
        <w:t>.</w:t>
      </w:r>
    </w:p>
    <w:p w14:paraId="677A771C" w14:textId="0EBCA08C" w:rsidR="00037CDA" w:rsidRPr="00937C8B" w:rsidRDefault="00037CDA" w:rsidP="00037CDA">
      <w:pPr>
        <w:pStyle w:val="CTENormal"/>
        <w:jc w:val="both"/>
      </w:pPr>
      <w:r>
        <w:rPr>
          <w:rStyle w:val="CteAnejo-DefinicionCar"/>
        </w:rPr>
        <w:t>Salles techniques</w:t>
      </w:r>
      <w:r>
        <w:t>: salles dans lesquelles se trouvent des installations qui fournissent des services au bâtiment telles que les salles des chaudières, salles de pompage, centres de transformation, salles des tableaux électriques, salles des compteurs, salles des systèmes d</w:t>
      </w:r>
      <w:r w:rsidR="00EA7588">
        <w:t>’</w:t>
      </w:r>
      <w:r>
        <w:t>alimentation sans coupure ou toute autre salle de machines, ainsi que les salles des photocopieuses ou de reprographie, salle de fax, centrale téléphonique, salle du courrier et de conditionnement.</w:t>
      </w:r>
    </w:p>
    <w:p w14:paraId="60384CDB" w14:textId="11FA37FE" w:rsidR="00037CDA" w:rsidRPr="00937C8B" w:rsidRDefault="00037CDA" w:rsidP="00D27646">
      <w:pPr>
        <w:pStyle w:val="CTENormal"/>
        <w:keepNext/>
        <w:jc w:val="both"/>
      </w:pPr>
      <w:r>
        <w:rPr>
          <w:rStyle w:val="CteAnejo-DefinicionCar"/>
        </w:rPr>
        <w:t>Système de contrôle et de réglage</w:t>
      </w:r>
      <w:r>
        <w:t>: ensemble des dispositifs, du câblage et des composants destinés à contrôler de manière automatique ou manuelle l</w:t>
      </w:r>
      <w:r w:rsidR="00EA7588">
        <w:t>’</w:t>
      </w:r>
      <w:r>
        <w:t>allumage et l</w:t>
      </w:r>
      <w:r w:rsidR="00EA7588">
        <w:t>’</w:t>
      </w:r>
      <w:r>
        <w:t>extinction ou le flux lumineux d</w:t>
      </w:r>
      <w:r w:rsidR="00EA7588">
        <w:t>’</w:t>
      </w:r>
      <w:r>
        <w:t>une installation d</w:t>
      </w:r>
      <w:r w:rsidR="00EA7588">
        <w:t>’</w:t>
      </w:r>
      <w:r>
        <w:t>éclairage. Il existe essentiellement 4 types de systèmes:</w:t>
      </w:r>
    </w:p>
    <w:p w14:paraId="6AE945AC" w14:textId="14C3F3D7" w:rsidR="00037CDA" w:rsidRPr="00937C8B" w:rsidRDefault="00037CDA" w:rsidP="00037CDA">
      <w:pPr>
        <w:pStyle w:val="CTENormal"/>
        <w:spacing w:before="0" w:after="0"/>
        <w:ind w:left="568" w:hanging="284"/>
        <w:jc w:val="both"/>
        <w:rPr>
          <w:szCs w:val="22"/>
        </w:rPr>
      </w:pPr>
      <w:r>
        <w:t>a)</w:t>
      </w:r>
      <w:r>
        <w:tab/>
        <w:t>réglage et contrôle sur demande de l</w:t>
      </w:r>
      <w:r w:rsidR="00EA7588">
        <w:t>’</w:t>
      </w:r>
      <w:r>
        <w:t>usager au moyen d</w:t>
      </w:r>
      <w:r w:rsidR="00EA7588">
        <w:t>’</w:t>
      </w:r>
      <w:r>
        <w:t>un interrupteur manuel, d</w:t>
      </w:r>
      <w:r w:rsidR="00EA7588">
        <w:t>’</w:t>
      </w:r>
      <w:r>
        <w:t>un bouton, d</w:t>
      </w:r>
      <w:r w:rsidR="00EA7588">
        <w:t>’</w:t>
      </w:r>
      <w:r>
        <w:t>un potentiomètre ou d</w:t>
      </w:r>
      <w:r w:rsidR="00EA7588">
        <w:t>’</w:t>
      </w:r>
      <w:r>
        <w:t>une télécommande;</w:t>
      </w:r>
    </w:p>
    <w:p w14:paraId="1222C8B4" w14:textId="1CD0E4B8" w:rsidR="00037CDA" w:rsidRPr="00937C8B" w:rsidRDefault="00037CDA" w:rsidP="00037CDA">
      <w:pPr>
        <w:pStyle w:val="CTENormal"/>
        <w:spacing w:before="0" w:after="0"/>
        <w:ind w:left="568" w:hanging="284"/>
        <w:jc w:val="both"/>
        <w:rPr>
          <w:szCs w:val="22"/>
        </w:rPr>
      </w:pPr>
      <w:r>
        <w:t>b)</w:t>
      </w:r>
      <w:r>
        <w:tab/>
        <w:t>réglage de l</w:t>
      </w:r>
      <w:r w:rsidR="00EA7588">
        <w:t>’</w:t>
      </w:r>
      <w:r>
        <w:t>éclairage artificiel en fonction de l</w:t>
      </w:r>
      <w:r w:rsidR="00EA7588">
        <w:t>’</w:t>
      </w:r>
      <w:r>
        <w:t>apport de lumière naturelle par les fenêtres, les portes vitrées ou les lucarnes;</w:t>
      </w:r>
    </w:p>
    <w:p w14:paraId="5B7A668C" w14:textId="034A1C2A" w:rsidR="00037CDA" w:rsidRPr="00937C8B" w:rsidRDefault="00037CDA" w:rsidP="00037CDA">
      <w:pPr>
        <w:pStyle w:val="CTENormal"/>
        <w:spacing w:before="0" w:after="0"/>
        <w:ind w:left="568" w:hanging="284"/>
        <w:jc w:val="both"/>
        <w:rPr>
          <w:szCs w:val="22"/>
        </w:rPr>
      </w:pPr>
      <w:r>
        <w:t>c)</w:t>
      </w:r>
      <w:r>
        <w:tab/>
        <w:t>contrôle de l</w:t>
      </w:r>
      <w:r w:rsidR="00EA7588">
        <w:t>’</w:t>
      </w:r>
      <w:r>
        <w:t>allumage et de l</w:t>
      </w:r>
      <w:r w:rsidR="00EA7588">
        <w:t>’</w:t>
      </w:r>
      <w:r>
        <w:t>extinction avec détection de la présence dans la zone;</w:t>
      </w:r>
    </w:p>
    <w:p w14:paraId="01BCFBCE" w14:textId="72AD9F52" w:rsidR="00037CDA" w:rsidRPr="00937C8B" w:rsidRDefault="00037CDA" w:rsidP="00037CDA">
      <w:pPr>
        <w:pStyle w:val="CTENormal"/>
        <w:spacing w:before="0" w:after="0"/>
        <w:ind w:left="568" w:hanging="284"/>
        <w:jc w:val="both"/>
        <w:rPr>
          <w:szCs w:val="22"/>
        </w:rPr>
      </w:pPr>
      <w:r>
        <w:t>d)</w:t>
      </w:r>
      <w:r>
        <w:tab/>
        <w:t>réglage et contrôle au moyen d</w:t>
      </w:r>
      <w:r w:rsidR="00EA7588">
        <w:t>’</w:t>
      </w:r>
      <w:r>
        <w:t>un système de gestion centralisé.</w:t>
      </w:r>
    </w:p>
    <w:p w14:paraId="4A14B360" w14:textId="0CDDF066" w:rsidR="00037CDA" w:rsidRPr="00937C8B" w:rsidRDefault="00037CDA" w:rsidP="00D27646">
      <w:pPr>
        <w:pStyle w:val="CTENormal"/>
        <w:keepNext/>
        <w:jc w:val="both"/>
      </w:pPr>
      <w:r>
        <w:rPr>
          <w:rStyle w:val="CteAnejo-DefinicionCar"/>
        </w:rPr>
        <w:t>Système d</w:t>
      </w:r>
      <w:r w:rsidR="00EA7588">
        <w:rPr>
          <w:rStyle w:val="CteAnejo-DefinicionCar"/>
        </w:rPr>
        <w:t>’</w:t>
      </w:r>
      <w:r>
        <w:rPr>
          <w:rStyle w:val="CteAnejo-DefinicionCar"/>
        </w:rPr>
        <w:t>exploitation de la lumière naturelle</w:t>
      </w:r>
      <w:r>
        <w:t>: ensemble des dispositifs, du câblage et des composants destinés à régler de manière automatique le flux lumineux d</w:t>
      </w:r>
      <w:r w:rsidR="00EA7588">
        <w:t>’</w:t>
      </w:r>
      <w:r>
        <w:t>une installation d</w:t>
      </w:r>
      <w:r w:rsidR="00EA7588">
        <w:t>’</w:t>
      </w:r>
      <w:r>
        <w:t>éclairage en fonction du flux lumineux apporté par la lumière naturelle à la zone de façon, à ce que les deux flux apportent un niveau d</w:t>
      </w:r>
      <w:r w:rsidR="00EA7588">
        <w:t>’</w:t>
      </w:r>
      <w:r>
        <w:t>éclairage fixe à un endroit où le capteur de lumière serait installé. Il existe essentiellement 2 types de réglage:</w:t>
      </w:r>
    </w:p>
    <w:p w14:paraId="173243CB" w14:textId="364A0769" w:rsidR="00037CDA" w:rsidRPr="00937C8B" w:rsidRDefault="00037CDA" w:rsidP="00037CDA">
      <w:pPr>
        <w:pStyle w:val="CTENormal"/>
        <w:spacing w:before="0" w:after="0"/>
        <w:ind w:left="568" w:hanging="284"/>
        <w:jc w:val="both"/>
      </w:pPr>
      <w:r>
        <w:t>a)</w:t>
      </w:r>
      <w:r>
        <w:tab/>
        <w:t>le système d</w:t>
      </w:r>
      <w:r w:rsidR="00EA7588">
        <w:t>’</w:t>
      </w:r>
      <w:r>
        <w:t>éclairage s</w:t>
      </w:r>
      <w:r w:rsidR="00EA7588">
        <w:t>’</w:t>
      </w:r>
      <w:r>
        <w:t>allume ou s</w:t>
      </w:r>
      <w:r w:rsidR="00EA7588">
        <w:t>’</w:t>
      </w:r>
      <w:r>
        <w:t>éteint en dessous ou au-dessus d</w:t>
      </w:r>
      <w:r w:rsidR="00EA7588">
        <w:t>’</w:t>
      </w:r>
      <w:r>
        <w:t>un niveau d</w:t>
      </w:r>
      <w:r w:rsidR="00EA7588">
        <w:t>’</w:t>
      </w:r>
      <w:r>
        <w:t>éclairage prédéfini;</w:t>
      </w:r>
    </w:p>
    <w:p w14:paraId="7E5F8C06" w14:textId="1CC8F263" w:rsidR="00037CDA" w:rsidRPr="00937C8B" w:rsidRDefault="00037CDA" w:rsidP="00037CDA">
      <w:pPr>
        <w:pStyle w:val="CTENormal"/>
        <w:spacing w:before="0" w:after="0"/>
        <w:ind w:left="568" w:hanging="284"/>
        <w:jc w:val="both"/>
      </w:pPr>
      <w:r>
        <w:t>b)</w:t>
      </w:r>
      <w:r>
        <w:tab/>
        <w:t>le système d</w:t>
      </w:r>
      <w:r w:rsidR="00EA7588">
        <w:t>’</w:t>
      </w:r>
      <w:r>
        <w:t>éclairage se règle de manière progressive en fonction de l</w:t>
      </w:r>
      <w:r w:rsidR="00EA7588">
        <w:t>’</w:t>
      </w:r>
      <w:r>
        <w:t>apport de lumière naturelle jusqu</w:t>
      </w:r>
      <w:r w:rsidR="00EA7588">
        <w:t>’</w:t>
      </w:r>
      <w:r>
        <w:t>à atteindre le niveau d</w:t>
      </w:r>
      <w:r w:rsidR="00EA7588">
        <w:t>’</w:t>
      </w:r>
      <w:r>
        <w:t>éclairage prédéfini.</w:t>
      </w:r>
    </w:p>
    <w:p w14:paraId="328BB4BF" w14:textId="2C891F81" w:rsidR="00037CDA" w:rsidRPr="00937C8B" w:rsidRDefault="00037CDA" w:rsidP="00D27646">
      <w:pPr>
        <w:pStyle w:val="CTENormal"/>
        <w:keepNext/>
        <w:jc w:val="both"/>
      </w:pPr>
      <w:r>
        <w:rPr>
          <w:rStyle w:val="CteAnejo-DefinicionCar"/>
        </w:rPr>
        <w:t>Système de détection de présence</w:t>
      </w:r>
      <w:r>
        <w:t>: ensemble des dispositifs, du câblage et des composants destinés à contrôler de manière automatique l</w:t>
      </w:r>
      <w:r w:rsidR="00EA7588">
        <w:t>’</w:t>
      </w:r>
      <w:r>
        <w:t>allumage et l</w:t>
      </w:r>
      <w:r w:rsidR="00EA7588">
        <w:t>’</w:t>
      </w:r>
      <w:r>
        <w:t>extinction d</w:t>
      </w:r>
      <w:r w:rsidR="00EA7588">
        <w:t>’</w:t>
      </w:r>
      <w:r>
        <w:t>une installation d</w:t>
      </w:r>
      <w:r w:rsidR="00EA7588">
        <w:t>’</w:t>
      </w:r>
      <w:r>
        <w:t>éclairage en fonction de la présence ou non de personnes dans la zone. Il existe essentiellement 4 types de systèmes de détection:</w:t>
      </w:r>
    </w:p>
    <w:p w14:paraId="34A1D2E3" w14:textId="77777777" w:rsidR="00037CDA" w:rsidRPr="00937C8B" w:rsidRDefault="00037CDA" w:rsidP="00BE0B9A">
      <w:pPr>
        <w:pStyle w:val="CTENormal"/>
        <w:spacing w:before="0" w:after="0"/>
        <w:ind w:left="567" w:hanging="283"/>
        <w:jc w:val="both"/>
      </w:pPr>
      <w:r>
        <w:t>a)</w:t>
      </w:r>
      <w:r>
        <w:tab/>
        <w:t>à infrarouge;</w:t>
      </w:r>
    </w:p>
    <w:p w14:paraId="3F241D97" w14:textId="77777777" w:rsidR="00037CDA" w:rsidRPr="00937C8B" w:rsidRDefault="00037CDA" w:rsidP="00BE0B9A">
      <w:pPr>
        <w:pStyle w:val="CTENormal"/>
        <w:spacing w:before="0" w:after="0"/>
        <w:ind w:left="567" w:hanging="283"/>
        <w:jc w:val="both"/>
      </w:pPr>
      <w:r>
        <w:t>b)</w:t>
      </w:r>
      <w:r>
        <w:tab/>
        <w:t>acoustiques par ultrason;</w:t>
      </w:r>
    </w:p>
    <w:p w14:paraId="678FFC80" w14:textId="679E3F28" w:rsidR="00037CDA" w:rsidRPr="00937C8B" w:rsidRDefault="00037CDA" w:rsidP="00BE0B9A">
      <w:pPr>
        <w:pStyle w:val="CTENormal"/>
        <w:spacing w:before="0" w:after="0"/>
        <w:ind w:left="567" w:hanging="283"/>
        <w:jc w:val="both"/>
      </w:pPr>
      <w:r>
        <w:t>c)</w:t>
      </w:r>
      <w:r>
        <w:tab/>
        <w:t>par micro-ondes;</w:t>
      </w:r>
    </w:p>
    <w:p w14:paraId="19D6A1C1" w14:textId="77777777" w:rsidR="00037CDA" w:rsidRPr="00937C8B" w:rsidRDefault="00037CDA" w:rsidP="00BE0B9A">
      <w:pPr>
        <w:pStyle w:val="CTENormal"/>
        <w:spacing w:before="0" w:after="0"/>
        <w:ind w:left="567" w:hanging="283"/>
        <w:jc w:val="both"/>
      </w:pPr>
      <w:r>
        <w:t>d)</w:t>
      </w:r>
      <w:r>
        <w:tab/>
        <w:t>combinaison des systèmes précédents.</w:t>
      </w:r>
    </w:p>
    <w:p w14:paraId="5A082820" w14:textId="021E179C" w:rsidR="00037CDA" w:rsidRPr="00937C8B" w:rsidRDefault="00037CDA" w:rsidP="00037CDA">
      <w:pPr>
        <w:pStyle w:val="CTENormal"/>
        <w:jc w:val="both"/>
      </w:pPr>
      <w:r>
        <w:rPr>
          <w:rStyle w:val="CteAnejo-DefinicionCar"/>
        </w:rPr>
        <w:t>Système de temporisation</w:t>
      </w:r>
      <w:r>
        <w:t>:ensemble des dispositifs, du câblage et des composants destinés à contrôler de manière automatique l</w:t>
      </w:r>
      <w:r w:rsidR="00EA7588">
        <w:t>’</w:t>
      </w:r>
      <w:r>
        <w:t>extinction d</w:t>
      </w:r>
      <w:r w:rsidR="00EA7588">
        <w:t>’</w:t>
      </w:r>
      <w:r>
        <w:t>une installation d</w:t>
      </w:r>
      <w:r w:rsidR="00EA7588">
        <w:t>’</w:t>
      </w:r>
      <w:r>
        <w:t>éclairage pendant une durée prédéfinie.</w:t>
      </w:r>
    </w:p>
    <w:p w14:paraId="05F84A9D" w14:textId="5C6D4EB8" w:rsidR="00037CDA" w:rsidRPr="00937C8B" w:rsidRDefault="00037CDA" w:rsidP="00037CDA">
      <w:pPr>
        <w:pStyle w:val="CTENormal"/>
        <w:jc w:val="both"/>
      </w:pPr>
      <w:r>
        <w:rPr>
          <w:rStyle w:val="CteAnejo-DefinicionCar"/>
        </w:rPr>
        <w:t>Système dimensionnel</w:t>
      </w:r>
      <w:r>
        <w:t>: système qui détermine la méthode de calcul de la longueur (ou autre grandeur) caractéristique d</w:t>
      </w:r>
      <w:r w:rsidR="00EA7588">
        <w:t>’</w:t>
      </w:r>
      <w:r>
        <w:t>un élément de construction.</w:t>
      </w:r>
    </w:p>
    <w:p w14:paraId="21532D99" w14:textId="5D507CD6" w:rsidR="00037CDA" w:rsidRPr="00937C8B" w:rsidRDefault="00037CDA" w:rsidP="00037CDA">
      <w:pPr>
        <w:pStyle w:val="CTENormal"/>
        <w:jc w:val="both"/>
      </w:pPr>
      <w:r>
        <w:rPr>
          <w:rStyle w:val="CteAnejo-DefinicionCar"/>
        </w:rPr>
        <w:t>Système de chauffage urbain (ou système de refroidissement urbain)</w:t>
      </w:r>
      <w:r>
        <w:t>: distribution d</w:t>
      </w:r>
      <w:r w:rsidR="00EA7588">
        <w:t>’</w:t>
      </w:r>
      <w:r>
        <w:t>énergie thermique sous forme de vapeur, d</w:t>
      </w:r>
      <w:r w:rsidR="00EA7588">
        <w:t>’</w:t>
      </w:r>
      <w:r>
        <w:t>eau chaude ou de fluides de refroidissement, d</w:t>
      </w:r>
      <w:r w:rsidR="00EA7588">
        <w:t>’</w:t>
      </w:r>
      <w:r>
        <w:t xml:space="preserve">une source de production centrale </w:t>
      </w:r>
      <w:r>
        <w:lastRenderedPageBreak/>
        <w:t>via un réseau à plusieurs bâtiments ou emplacements, pour le chauffage ou le refroidissement d’espaces ou de processus.</w:t>
      </w:r>
    </w:p>
    <w:p w14:paraId="0F0901C7" w14:textId="77777777" w:rsidR="00037CDA" w:rsidRPr="00937C8B" w:rsidRDefault="00037CDA" w:rsidP="00037CDA">
      <w:pPr>
        <w:pStyle w:val="CTENormal"/>
        <w:jc w:val="both"/>
      </w:pPr>
      <w:r>
        <w:rPr>
          <w:rStyle w:val="CteAnejo-DefinicionCar"/>
        </w:rPr>
        <w:t>Sollicitations extérieures</w:t>
      </w:r>
      <w:r>
        <w:t>: actions extérieures au bâtiment qui ont un effet sur son comportement thermique. Elles comprennent essentiellement les charges thermiques dues au climat.</w:t>
      </w:r>
    </w:p>
    <w:p w14:paraId="6795F5CC" w14:textId="77777777" w:rsidR="00037CDA" w:rsidRPr="00937C8B" w:rsidRDefault="00037CDA" w:rsidP="00037CDA">
      <w:pPr>
        <w:pStyle w:val="CTENormal"/>
        <w:jc w:val="both"/>
      </w:pPr>
      <w:r>
        <w:t xml:space="preserve">Pour caractériser ces actions à des fins de calcul, différentes </w:t>
      </w:r>
      <w:r>
        <w:rPr>
          <w:i/>
          <w:iCs/>
        </w:rPr>
        <w:t>zones climatiques</w:t>
      </w:r>
      <w:r>
        <w:t xml:space="preserve"> sont définies en fonction des besoins conventionnels de chauffage et de refroidissement.</w:t>
      </w:r>
    </w:p>
    <w:p w14:paraId="7F039063" w14:textId="7BD9EC52" w:rsidR="00037CDA" w:rsidRPr="00937C8B" w:rsidRDefault="00037CDA" w:rsidP="00037CDA">
      <w:pPr>
        <w:pStyle w:val="CTENormal"/>
        <w:jc w:val="both"/>
      </w:pPr>
      <w:r>
        <w:rPr>
          <w:rStyle w:val="CteAnejo-DefinicionCar"/>
        </w:rPr>
        <w:t>Sollicitations intérieures</w:t>
      </w:r>
      <w:r>
        <w:t>: actions intérieures au bâtiment qui ont un effet sur son comportement thermique. Elles comprennent essentiellement les charges thermiques, dépendantes de l</w:t>
      </w:r>
      <w:r w:rsidR="00EA7588">
        <w:t>’</w:t>
      </w:r>
      <w:r>
        <w:t>usage, dues aux apports d</w:t>
      </w:r>
      <w:r w:rsidR="00EA7588">
        <w:t>’</w:t>
      </w:r>
      <w:r>
        <w:t>énergie des occupants, des équipements et de l</w:t>
      </w:r>
      <w:r w:rsidR="00EA7588">
        <w:t>’</w:t>
      </w:r>
      <w:r>
        <w:t>éclairage.</w:t>
      </w:r>
    </w:p>
    <w:p w14:paraId="46C71AC7" w14:textId="2D48F2E2" w:rsidR="00037CDA" w:rsidRPr="00937C8B" w:rsidRDefault="00037CDA" w:rsidP="00D27646">
      <w:pPr>
        <w:pStyle w:val="Standard"/>
        <w:keepNext/>
        <w:jc w:val="both"/>
      </w:pPr>
      <w:r>
        <w:t xml:space="preserve">Elles se caractérisent par un </w:t>
      </w:r>
      <w:r>
        <w:rPr>
          <w:i/>
          <w:iCs/>
        </w:rPr>
        <w:t>profil d</w:t>
      </w:r>
      <w:r w:rsidR="00EA7588">
        <w:rPr>
          <w:i/>
          <w:iCs/>
        </w:rPr>
        <w:t>’</w:t>
      </w:r>
      <w:r>
        <w:rPr>
          <w:i/>
          <w:iCs/>
        </w:rPr>
        <w:t>utilisation</w:t>
      </w:r>
      <w:r>
        <w:t xml:space="preserve"> qui décrit, heure par heure, pour une année type et pour chaque type d</w:t>
      </w:r>
      <w:r w:rsidR="00EA7588">
        <w:t>’</w:t>
      </w:r>
      <w:r>
        <w:t>espace:</w:t>
      </w:r>
    </w:p>
    <w:p w14:paraId="5F5B2506" w14:textId="5CCB5FB1" w:rsidR="00037CDA" w:rsidRPr="00937C8B" w:rsidRDefault="00037CDA" w:rsidP="00BE0B9A">
      <w:pPr>
        <w:pStyle w:val="Standard"/>
        <w:ind w:left="567" w:hanging="283"/>
        <w:jc w:val="both"/>
        <w:rPr>
          <w:bCs/>
          <w:szCs w:val="20"/>
        </w:rPr>
      </w:pPr>
      <w:r>
        <w:t>a)</w:t>
      </w:r>
      <w:r>
        <w:tab/>
        <w:t xml:space="preserve">la </w:t>
      </w:r>
      <w:r>
        <w:rPr>
          <w:i/>
          <w:iCs/>
        </w:rPr>
        <w:t>charge interne</w:t>
      </w:r>
      <w:r>
        <w:t xml:space="preserve"> due à l</w:t>
      </w:r>
      <w:r w:rsidR="00EA7588">
        <w:t>’</w:t>
      </w:r>
      <w:r>
        <w:t xml:space="preserve">occupation (uniquement pour les </w:t>
      </w:r>
      <w:r>
        <w:rPr>
          <w:i/>
          <w:iCs/>
        </w:rPr>
        <w:t>espaces habitables</w:t>
      </w:r>
      <w:r>
        <w:t>);</w:t>
      </w:r>
    </w:p>
    <w:p w14:paraId="46A84420" w14:textId="36B4FC9B" w:rsidR="00037CDA" w:rsidRPr="00937C8B" w:rsidRDefault="00037CDA" w:rsidP="00BE0B9A">
      <w:pPr>
        <w:pStyle w:val="Standard"/>
        <w:ind w:left="567" w:hanging="283"/>
        <w:jc w:val="both"/>
        <w:rPr>
          <w:bCs/>
          <w:szCs w:val="20"/>
        </w:rPr>
      </w:pPr>
      <w:r>
        <w:t>b)</w:t>
      </w:r>
      <w:r>
        <w:tab/>
        <w:t xml:space="preserve">la </w:t>
      </w:r>
      <w:r>
        <w:rPr>
          <w:bCs/>
          <w:i/>
          <w:szCs w:val="20"/>
        </w:rPr>
        <w:t>charge interne</w:t>
      </w:r>
      <w:r>
        <w:t xml:space="preserve"> due à l</w:t>
      </w:r>
      <w:r w:rsidR="00EA7588">
        <w:t>’</w:t>
      </w:r>
      <w:r>
        <w:t>éclairage;</w:t>
      </w:r>
    </w:p>
    <w:p w14:paraId="404A5D83" w14:textId="77777777" w:rsidR="00037CDA" w:rsidRPr="00937C8B" w:rsidRDefault="00037CDA" w:rsidP="00BE0B9A">
      <w:pPr>
        <w:pStyle w:val="Standard"/>
        <w:ind w:left="567" w:hanging="283"/>
        <w:jc w:val="both"/>
        <w:rPr>
          <w:szCs w:val="20"/>
        </w:rPr>
      </w:pPr>
      <w:r>
        <w:t>c)</w:t>
      </w:r>
      <w:r>
        <w:tab/>
        <w:t xml:space="preserve">la </w:t>
      </w:r>
      <w:r>
        <w:rPr>
          <w:bCs/>
          <w:i/>
          <w:szCs w:val="20"/>
        </w:rPr>
        <w:t>charge interne</w:t>
      </w:r>
      <w:r>
        <w:t xml:space="preserve"> due aux équipements.</w:t>
      </w:r>
    </w:p>
    <w:p w14:paraId="7FF234EA" w14:textId="6942E3D1" w:rsidR="00037CDA" w:rsidRPr="00937C8B" w:rsidRDefault="00037CDA" w:rsidP="00037CDA">
      <w:pPr>
        <w:pStyle w:val="CTENormal"/>
        <w:jc w:val="both"/>
      </w:pPr>
      <w:r>
        <w:rPr>
          <w:rStyle w:val="CteAnejo-DefinicionCar"/>
        </w:rPr>
        <w:t>Sol</w:t>
      </w:r>
      <w:r>
        <w:t xml:space="preserve">: </w:t>
      </w:r>
      <w:r>
        <w:rPr>
          <w:i/>
        </w:rPr>
        <w:t>cloison</w:t>
      </w:r>
      <w:r>
        <w:t xml:space="preserve"> horizontale ou légèrement inclinée qui est en contact, au niveau de sa face inférieure, avec l</w:t>
      </w:r>
      <w:r w:rsidR="00EA7588">
        <w:t>’</w:t>
      </w:r>
      <w:r>
        <w:t>air, le terrain ou un espace non habitable.</w:t>
      </w:r>
    </w:p>
    <w:p w14:paraId="09E4FC68" w14:textId="6FCF470D" w:rsidR="00037CDA" w:rsidRPr="00937C8B" w:rsidRDefault="00037CDA" w:rsidP="00037CDA">
      <w:pPr>
        <w:pStyle w:val="CTENormal"/>
        <w:jc w:val="both"/>
      </w:pPr>
      <w:r>
        <w:rPr>
          <w:rStyle w:val="CteAnejo-DefinicionCar"/>
        </w:rPr>
        <w:t>Température de consigne</w:t>
      </w:r>
      <w:r>
        <w:t xml:space="preserve">: température ou intervalle de températures prises en compte dans le calcul de la </w:t>
      </w:r>
      <w:r>
        <w:rPr>
          <w:i/>
        </w:rPr>
        <w:t>demande d</w:t>
      </w:r>
      <w:r w:rsidR="00EA7588">
        <w:rPr>
          <w:i/>
        </w:rPr>
        <w:t>’</w:t>
      </w:r>
      <w:r>
        <w:rPr>
          <w:i/>
        </w:rPr>
        <w:t>énergie</w:t>
      </w:r>
      <w:r>
        <w:t xml:space="preserve"> fixant la limite de la température intérieure à partir de laquelle les systèmes de climatisation du bâtiment se mettent à fonctionner, exigeant des apports énergétiques.</w:t>
      </w:r>
    </w:p>
    <w:p w14:paraId="30B3DDF3" w14:textId="6D4A51BE" w:rsidR="00037CDA" w:rsidRPr="00937C8B" w:rsidRDefault="00037CDA" w:rsidP="00037CDA">
      <w:pPr>
        <w:pStyle w:val="CTENormal"/>
        <w:jc w:val="both"/>
      </w:pPr>
      <w:r>
        <w:rPr>
          <w:rStyle w:val="CteAnejo-DefinicionCar"/>
        </w:rPr>
        <w:t xml:space="preserve">Transmission thermique </w:t>
      </w:r>
      <w:r>
        <w:rPr>
          <w:rStyle w:val="CteAnejo-DefinicionCar"/>
          <w:i w:val="0"/>
        </w:rPr>
        <w:t>(U)</w:t>
      </w:r>
      <w:r>
        <w:t>: flux de chaleur, à régime stationnaire, pour une surface et différence de températures unitaires des environnements situés de chaque côté de l</w:t>
      </w:r>
      <w:r w:rsidR="00EA7588">
        <w:t>’</w:t>
      </w:r>
      <w:r>
        <w:t>élément considéré.</w:t>
      </w:r>
    </w:p>
    <w:p w14:paraId="7F5687A5" w14:textId="3ACAAD45" w:rsidR="00037CDA" w:rsidRPr="00937C8B" w:rsidRDefault="00037CDA" w:rsidP="00037CDA">
      <w:pPr>
        <w:pStyle w:val="CTENormal"/>
        <w:jc w:val="both"/>
      </w:pPr>
      <w:r>
        <w:rPr>
          <w:rStyle w:val="CteAnejo-DefinicionCar"/>
        </w:rPr>
        <w:t>Transmission thermique linéaire</w:t>
      </w:r>
      <w:r>
        <w:t>: flux de chaleur, à régime stationnaire, pour une longueur et différence de températures unitaires des environnements situés de chaque côté de l</w:t>
      </w:r>
      <w:r w:rsidR="00EA7588">
        <w:t>’</w:t>
      </w:r>
      <w:r>
        <w:t>élément considéré.</w:t>
      </w:r>
    </w:p>
    <w:p w14:paraId="359EB303" w14:textId="2F133EF1" w:rsidR="00037CDA" w:rsidRPr="00937C8B" w:rsidRDefault="00037CDA" w:rsidP="00D27646">
      <w:pPr>
        <w:pStyle w:val="CTENormal"/>
        <w:keepNext/>
        <w:jc w:val="both"/>
        <w:rPr>
          <w:szCs w:val="22"/>
        </w:rPr>
      </w:pPr>
      <w:r>
        <w:rPr>
          <w:rStyle w:val="CteAnejo-DefinicionCar"/>
        </w:rPr>
        <w:t>Unité d</w:t>
      </w:r>
      <w:r w:rsidR="00EA7588">
        <w:rPr>
          <w:rStyle w:val="CteAnejo-DefinicionCar"/>
        </w:rPr>
        <w:t>’</w:t>
      </w:r>
      <w:r>
        <w:rPr>
          <w:rStyle w:val="CteAnejo-DefinicionCar"/>
        </w:rPr>
        <w:t>utilisation</w:t>
      </w:r>
      <w:r>
        <w:t>: bâtiment ou partie de celui-ci destiné(e) à un usage spécifique dans lequel/laquelle les usagers sont liés entre eux en raison de leur appartenance à une même unité familiale, entreprise ou corporation ou parce qu</w:t>
      </w:r>
      <w:r w:rsidR="00EA7588">
        <w:t>’</w:t>
      </w:r>
      <w:r>
        <w:t>ils font partie d</w:t>
      </w:r>
      <w:r w:rsidR="00EA7588">
        <w:t>’</w:t>
      </w:r>
      <w:r>
        <w:t>un groupe ou d</w:t>
      </w:r>
      <w:r w:rsidR="00EA7588">
        <w:t>’</w:t>
      </w:r>
      <w:r>
        <w:t xml:space="preserve">un collectif exerçant la même activité. Dans le cadre du présent document de base, différentes </w:t>
      </w:r>
      <w:r>
        <w:rPr>
          <w:i/>
          <w:iCs/>
        </w:rPr>
        <w:t>unités d</w:t>
      </w:r>
      <w:r w:rsidR="00EA7588">
        <w:rPr>
          <w:i/>
          <w:iCs/>
        </w:rPr>
        <w:t>’</w:t>
      </w:r>
      <w:r>
        <w:rPr>
          <w:i/>
          <w:iCs/>
        </w:rPr>
        <w:t>utilisation</w:t>
      </w:r>
      <w:r>
        <w:t xml:space="preserve"> sont considérées, par exemple:</w:t>
      </w:r>
    </w:p>
    <w:p w14:paraId="24464D7D" w14:textId="2C3DA4D7" w:rsidR="00037CDA" w:rsidRPr="00937C8B" w:rsidRDefault="00037CDA" w:rsidP="00BE0B9A">
      <w:pPr>
        <w:pStyle w:val="CTENumeracion"/>
        <w:numPr>
          <w:ilvl w:val="0"/>
          <w:numId w:val="12"/>
        </w:numPr>
        <w:ind w:left="567" w:hanging="283"/>
        <w:rPr>
          <w:rFonts w:cs="Arial"/>
          <w:sz w:val="22"/>
          <w:szCs w:val="22"/>
        </w:rPr>
      </w:pPr>
      <w:r>
        <w:rPr>
          <w:sz w:val="22"/>
          <w:szCs w:val="22"/>
        </w:rPr>
        <w:t>chaque logement des bâtiments à usage d</w:t>
      </w:r>
      <w:r w:rsidR="00EA7588">
        <w:rPr>
          <w:sz w:val="22"/>
          <w:szCs w:val="22"/>
        </w:rPr>
        <w:t>’</w:t>
      </w:r>
      <w:r>
        <w:rPr>
          <w:sz w:val="22"/>
          <w:szCs w:val="22"/>
        </w:rPr>
        <w:t>habitation.</w:t>
      </w:r>
    </w:p>
    <w:p w14:paraId="38176E41" w14:textId="77777777" w:rsidR="00037CDA" w:rsidRPr="00937C8B" w:rsidRDefault="00037CDA" w:rsidP="00BE0B9A">
      <w:pPr>
        <w:pStyle w:val="CTENumeracion"/>
        <w:numPr>
          <w:ilvl w:val="0"/>
          <w:numId w:val="12"/>
        </w:numPr>
        <w:ind w:left="567" w:hanging="283"/>
        <w:rPr>
          <w:rFonts w:cs="Arial"/>
          <w:sz w:val="22"/>
          <w:szCs w:val="22"/>
        </w:rPr>
      </w:pPr>
      <w:r>
        <w:rPr>
          <w:sz w:val="22"/>
          <w:szCs w:val="22"/>
        </w:rPr>
        <w:t>chaque établissement ou local commercial indépendant pour les autres bâtiments.</w:t>
      </w:r>
    </w:p>
    <w:p w14:paraId="75ED9624" w14:textId="7DD246E7" w:rsidR="00037CDA" w:rsidRPr="00937C8B" w:rsidRDefault="00037CDA" w:rsidP="00037CDA">
      <w:pPr>
        <w:pStyle w:val="CTENumeracion"/>
        <w:spacing w:before="360"/>
        <w:ind w:left="0" w:firstLine="0"/>
        <w:rPr>
          <w:rFonts w:cs="Arial"/>
          <w:sz w:val="22"/>
          <w:szCs w:val="22"/>
        </w:rPr>
      </w:pPr>
      <w:r>
        <w:rPr>
          <w:rStyle w:val="CteAnejo-DefinicionCar"/>
          <w:sz w:val="22"/>
          <w:szCs w:val="22"/>
        </w:rPr>
        <w:t>Valeur d</w:t>
      </w:r>
      <w:r w:rsidR="00EA7588">
        <w:rPr>
          <w:rStyle w:val="CteAnejo-DefinicionCar"/>
          <w:sz w:val="22"/>
          <w:szCs w:val="22"/>
        </w:rPr>
        <w:t>’</w:t>
      </w:r>
      <w:r>
        <w:rPr>
          <w:rStyle w:val="CteAnejo-DefinicionCar"/>
          <w:sz w:val="22"/>
          <w:szCs w:val="22"/>
        </w:rPr>
        <w:t>efficacité énergétique de l</w:t>
      </w:r>
      <w:r w:rsidR="00EA7588">
        <w:rPr>
          <w:rStyle w:val="CteAnejo-DefinicionCar"/>
          <w:sz w:val="22"/>
          <w:szCs w:val="22"/>
        </w:rPr>
        <w:t>’</w:t>
      </w:r>
      <w:r>
        <w:rPr>
          <w:rStyle w:val="CteAnejo-DefinicionCar"/>
          <w:sz w:val="22"/>
          <w:szCs w:val="22"/>
        </w:rPr>
        <w:t>installation (VEEI)</w:t>
      </w:r>
      <w:r>
        <w:rPr>
          <w:sz w:val="22"/>
          <w:szCs w:val="22"/>
        </w:rPr>
        <w:t>: mesure de l</w:t>
      </w:r>
      <w:r w:rsidR="00EA7588">
        <w:rPr>
          <w:sz w:val="22"/>
          <w:szCs w:val="22"/>
        </w:rPr>
        <w:t>’</w:t>
      </w:r>
      <w:r>
        <w:rPr>
          <w:sz w:val="22"/>
          <w:szCs w:val="22"/>
        </w:rPr>
        <w:t>efficacité énergétique d</w:t>
      </w:r>
      <w:r w:rsidR="00EA7588">
        <w:rPr>
          <w:sz w:val="22"/>
          <w:szCs w:val="22"/>
        </w:rPr>
        <w:t>’</w:t>
      </w:r>
      <w:r>
        <w:rPr>
          <w:sz w:val="22"/>
          <w:szCs w:val="22"/>
        </w:rPr>
        <w:t>une installation d</w:t>
      </w:r>
      <w:r w:rsidR="00EA7588">
        <w:rPr>
          <w:sz w:val="22"/>
          <w:szCs w:val="22"/>
        </w:rPr>
        <w:t>’</w:t>
      </w:r>
      <w:r>
        <w:rPr>
          <w:sz w:val="22"/>
          <w:szCs w:val="22"/>
        </w:rPr>
        <w:t>éclairage dans un espace ou des locaux correspondant à un certain usage, dont dépendent des paramètres d</w:t>
      </w:r>
      <w:r w:rsidR="00EA7588">
        <w:rPr>
          <w:sz w:val="22"/>
          <w:szCs w:val="22"/>
        </w:rPr>
        <w:t>’</w:t>
      </w:r>
      <w:r>
        <w:rPr>
          <w:sz w:val="22"/>
          <w:szCs w:val="22"/>
        </w:rPr>
        <w:t>éclairage. Cette valeur d</w:t>
      </w:r>
      <w:r w:rsidR="00EA7588">
        <w:rPr>
          <w:sz w:val="22"/>
          <w:szCs w:val="22"/>
        </w:rPr>
        <w:t>’</w:t>
      </w:r>
      <w:r>
        <w:rPr>
          <w:sz w:val="22"/>
          <w:szCs w:val="22"/>
        </w:rPr>
        <w:t>efficacité ne comprend pas les installations d</w:t>
      </w:r>
      <w:r w:rsidR="00EA7588">
        <w:rPr>
          <w:sz w:val="22"/>
          <w:szCs w:val="22"/>
        </w:rPr>
        <w:t>’</w:t>
      </w:r>
      <w:r>
        <w:rPr>
          <w:sz w:val="22"/>
          <w:szCs w:val="22"/>
        </w:rPr>
        <w:t>éclairage des vitrines ou des espaces destinés à exposer des produits au public (espaces d</w:t>
      </w:r>
      <w:r w:rsidR="00EA7588">
        <w:rPr>
          <w:sz w:val="22"/>
          <w:szCs w:val="22"/>
        </w:rPr>
        <w:t>’</w:t>
      </w:r>
      <w:r>
        <w:rPr>
          <w:sz w:val="22"/>
          <w:szCs w:val="22"/>
        </w:rPr>
        <w:t>exposition), les éclairages de secours, ni l</w:t>
      </w:r>
      <w:r w:rsidR="00EA7588">
        <w:rPr>
          <w:sz w:val="22"/>
          <w:szCs w:val="22"/>
        </w:rPr>
        <w:t>’</w:t>
      </w:r>
      <w:r>
        <w:rPr>
          <w:sz w:val="22"/>
          <w:szCs w:val="22"/>
        </w:rPr>
        <w:t xml:space="preserve">éclairage des </w:t>
      </w:r>
      <w:r>
        <w:rPr>
          <w:i/>
          <w:iCs/>
          <w:sz w:val="22"/>
          <w:szCs w:val="22"/>
        </w:rPr>
        <w:t>unités d’utilisation</w:t>
      </w:r>
      <w:r>
        <w:rPr>
          <w:sz w:val="22"/>
          <w:szCs w:val="22"/>
        </w:rPr>
        <w:t xml:space="preserve"> résidentielles privées.</w:t>
      </w:r>
    </w:p>
    <w:p w14:paraId="36A5DDD0" w14:textId="77777777" w:rsidR="00037CDA" w:rsidRPr="00937C8B" w:rsidRDefault="00037CDA" w:rsidP="00D27646">
      <w:pPr>
        <w:pStyle w:val="CTENormal"/>
        <w:keepNext/>
        <w:jc w:val="both"/>
      </w:pPr>
      <w:r>
        <w:t>Elle s’exprime en W/m</w:t>
      </w:r>
      <w:r>
        <w:rPr>
          <w:vertAlign w:val="superscript"/>
        </w:rPr>
        <w:t>2</w:t>
      </w:r>
      <w:r>
        <w:t xml:space="preserve"> pour 100 lux et se déduit de la formule</w:t>
      </w:r>
    </w:p>
    <w:p w14:paraId="143B3C6C" w14:textId="40C9574C" w:rsidR="00037CDA" w:rsidRPr="00937C8B" w:rsidRDefault="00037CDA" w:rsidP="00935676">
      <w:pPr>
        <w:pStyle w:val="CTENormal"/>
        <w:ind w:left="720"/>
        <w:jc w:val="both"/>
      </w:pPr>
      <w:r>
        <w:t>VEEI = 100 · P</w:t>
      </w:r>
      <w:r w:rsidR="00EA7588">
        <w:t>/</w:t>
      </w:r>
      <w:r>
        <w:t>(S · E</w:t>
      </w:r>
      <w:r>
        <w:rPr>
          <w:vertAlign w:val="subscript"/>
        </w:rPr>
        <w:t>m</w:t>
      </w:r>
      <w:r>
        <w:t>)</w:t>
      </w:r>
    </w:p>
    <w:p w14:paraId="3F89B621" w14:textId="77777777" w:rsidR="00037CDA" w:rsidRPr="00937C8B" w:rsidRDefault="00037CDA" w:rsidP="00D27646">
      <w:pPr>
        <w:pStyle w:val="NumeracinCTE"/>
        <w:keepNext/>
        <w:jc w:val="both"/>
      </w:pPr>
      <w:r>
        <w:t xml:space="preserve">où </w:t>
      </w:r>
    </w:p>
    <w:p w14:paraId="211CE0FD" w14:textId="4B5FD80D" w:rsidR="00037CDA" w:rsidRPr="00937C8B" w:rsidRDefault="00037CDA" w:rsidP="00935676">
      <w:pPr>
        <w:pStyle w:val="NumeracinCTE"/>
        <w:ind w:left="720"/>
        <w:jc w:val="both"/>
      </w:pPr>
      <w:r>
        <w:t xml:space="preserve">P est la puissance de la </w:t>
      </w:r>
      <w:r>
        <w:rPr>
          <w:i/>
        </w:rPr>
        <w:t>lampe</w:t>
      </w:r>
      <w:r>
        <w:t xml:space="preserve"> plus l</w:t>
      </w:r>
      <w:r w:rsidR="00EA7588">
        <w:t>’</w:t>
      </w:r>
      <w:r>
        <w:rPr>
          <w:i/>
        </w:rPr>
        <w:t>équipement auxiliaire</w:t>
      </w:r>
      <w:r>
        <w:t xml:space="preserve"> [W], </w:t>
      </w:r>
    </w:p>
    <w:p w14:paraId="6BF00AF2" w14:textId="77777777" w:rsidR="00037CDA" w:rsidRPr="00937C8B" w:rsidRDefault="00037CDA" w:rsidP="00935676">
      <w:pPr>
        <w:pStyle w:val="NumeracinCTE"/>
        <w:ind w:left="720"/>
        <w:jc w:val="both"/>
      </w:pPr>
      <w:r>
        <w:t>S est la surface élcairée [m²],</w:t>
      </w:r>
    </w:p>
    <w:p w14:paraId="72E0D93A" w14:textId="3977C603" w:rsidR="00037CDA" w:rsidRPr="00937C8B" w:rsidRDefault="00037CDA" w:rsidP="00935676">
      <w:pPr>
        <w:pStyle w:val="NumeracinCTE"/>
        <w:ind w:left="720"/>
        <w:jc w:val="both"/>
      </w:pPr>
      <w:r>
        <w:t>E</w:t>
      </w:r>
      <w:r>
        <w:rPr>
          <w:vertAlign w:val="subscript"/>
        </w:rPr>
        <w:t>m</w:t>
      </w:r>
      <w:r>
        <w:t xml:space="preserve"> est l</w:t>
      </w:r>
      <w:r w:rsidR="00EA7588">
        <w:t>’</w:t>
      </w:r>
      <w:r>
        <w:rPr>
          <w:i/>
        </w:rPr>
        <w:t>éclairement horizontal moyen à maintenir</w:t>
      </w:r>
      <w:r>
        <w:t xml:space="preserve"> [lux].</w:t>
      </w:r>
    </w:p>
    <w:p w14:paraId="36FA74E4" w14:textId="08DEE006" w:rsidR="00037CDA" w:rsidRPr="00937C8B" w:rsidRDefault="00037CDA" w:rsidP="00037CDA">
      <w:pPr>
        <w:pStyle w:val="CTENormal"/>
        <w:jc w:val="both"/>
      </w:pPr>
      <w:r>
        <w:rPr>
          <w:rStyle w:val="CteAnejo-DefinicionCar"/>
        </w:rPr>
        <w:lastRenderedPageBreak/>
        <w:t>Zone climatique</w:t>
      </w:r>
      <w:r>
        <w:t>: zone pour laquelle des sollicitations externes communes sont définies. Celle-ci est identifiée au moyen d</w:t>
      </w:r>
      <w:r w:rsidR="00EA7588">
        <w:t>’</w:t>
      </w:r>
      <w:r>
        <w:t>une lettre correspondant à la zone climatique en hiver et d</w:t>
      </w:r>
      <w:r w:rsidR="00EA7588">
        <w:t>’</w:t>
      </w:r>
      <w:r>
        <w:t>un chiffre correspondant à la zone climatique en été.</w:t>
      </w:r>
    </w:p>
    <w:p w14:paraId="41631B2E" w14:textId="141C6B5F" w:rsidR="00037CDA" w:rsidRPr="00937C8B" w:rsidRDefault="00037CDA" w:rsidP="00037CDA">
      <w:pPr>
        <w:pStyle w:val="CTENormal"/>
        <w:jc w:val="both"/>
      </w:pPr>
      <w:r>
        <w:t>Outre les zones identifiées dans les</w:t>
      </w:r>
      <w:r>
        <w:rPr>
          <w:i/>
          <w:iCs/>
        </w:rPr>
        <w:t xml:space="preserve"> documents reconnus</w:t>
      </w:r>
      <w:r>
        <w:t xml:space="preserve"> préparés par les communautés autonomes, l</w:t>
      </w:r>
      <w:r w:rsidR="00EA7588">
        <w:t>’</w:t>
      </w:r>
      <w:r>
        <w:t xml:space="preserve">annexe B permet de déterminer la </w:t>
      </w:r>
      <w:r>
        <w:rPr>
          <w:i/>
          <w:iCs/>
        </w:rPr>
        <w:t>zone climatique</w:t>
      </w:r>
      <w:r>
        <w:t xml:space="preserve"> de chaque localité, et son </w:t>
      </w:r>
      <w:r>
        <w:rPr>
          <w:i/>
          <w:iCs/>
        </w:rPr>
        <w:t>climat de référence</w:t>
      </w:r>
      <w:r>
        <w:t>.</w:t>
      </w:r>
    </w:p>
    <w:p w14:paraId="12169113" w14:textId="117C06C7" w:rsidR="00037CDA" w:rsidRPr="00937C8B" w:rsidRDefault="00037CDA" w:rsidP="00037CDA">
      <w:pPr>
        <w:pStyle w:val="CTENormal"/>
        <w:jc w:val="both"/>
      </w:pPr>
      <w:r>
        <w:rPr>
          <w:rStyle w:val="CteAnejo-DefinicionCar"/>
        </w:rPr>
        <w:t>Zone commune:</w:t>
      </w:r>
      <w:r>
        <w:t xml:space="preserve"> </w:t>
      </w:r>
      <w:r w:rsidR="00880E3A">
        <w:t>z</w:t>
      </w:r>
      <w:r>
        <w:t xml:space="preserve">one ou zones qui desservent diverses </w:t>
      </w:r>
      <w:r>
        <w:rPr>
          <w:i/>
          <w:iCs/>
        </w:rPr>
        <w:t>unités d</w:t>
      </w:r>
      <w:r w:rsidR="00EA7588">
        <w:rPr>
          <w:i/>
          <w:iCs/>
        </w:rPr>
        <w:t>’</w:t>
      </w:r>
      <w:r>
        <w:rPr>
          <w:i/>
          <w:iCs/>
        </w:rPr>
        <w:t>utilisation</w:t>
      </w:r>
      <w:r>
        <w:t>.</w:t>
      </w:r>
    </w:p>
    <w:p w14:paraId="06C845D2" w14:textId="2B55DEF8" w:rsidR="00230F35" w:rsidRPr="00937C8B" w:rsidRDefault="00037CDA" w:rsidP="00B3445A">
      <w:pPr>
        <w:pStyle w:val="CTENumeracion"/>
        <w:spacing w:before="120"/>
        <w:ind w:left="0" w:firstLine="0"/>
        <w:rPr>
          <w:rFonts w:cs="Arial"/>
        </w:rPr>
      </w:pPr>
      <w:r>
        <w:rPr>
          <w:b/>
          <w:i/>
          <w:sz w:val="22"/>
          <w:szCs w:val="22"/>
        </w:rPr>
        <w:t xml:space="preserve">Zone thermique: </w:t>
      </w:r>
      <w:r w:rsidR="00880E3A">
        <w:rPr>
          <w:sz w:val="22"/>
          <w:szCs w:val="22"/>
        </w:rPr>
        <w:t>e</w:t>
      </w:r>
      <w:r>
        <w:rPr>
          <w:sz w:val="22"/>
          <w:szCs w:val="22"/>
        </w:rPr>
        <w:t>space formé par une ou plusieurs enceintes dans lesquelles les températures peuvent être considérées comme identiques, et qui sont desservies par le même sous-système de climatisation. Chaque enceinte peut disposer de systèmes de contrôle qui ajustent les contributions thermiques.</w:t>
      </w:r>
    </w:p>
    <w:p w14:paraId="4C2B3A71" w14:textId="77777777" w:rsidR="00B3445A" w:rsidRPr="00831252" w:rsidRDefault="00B3445A" w:rsidP="0084739B">
      <w:pPr>
        <w:pStyle w:val="CteTtuloSeccion"/>
        <w:pageBreakBefore/>
        <w:rPr>
          <w:rFonts w:cs="Arial"/>
          <w:color w:val="auto"/>
        </w:rPr>
      </w:pPr>
      <w:bookmarkStart w:id="260" w:name="_Toc39157975"/>
      <w:bookmarkStart w:id="261" w:name="_Toc39158141"/>
      <w:r>
        <w:rPr>
          <w:color w:val="auto"/>
        </w:rPr>
        <w:lastRenderedPageBreak/>
        <w:t xml:space="preserve">Annexe B </w:t>
      </w:r>
      <w:r>
        <w:rPr>
          <w:color w:val="auto"/>
        </w:rPr>
        <w:tab/>
        <w:t xml:space="preserve"> Zones climatiques</w:t>
      </w:r>
      <w:bookmarkEnd w:id="260"/>
      <w:bookmarkEnd w:id="261"/>
    </w:p>
    <w:p w14:paraId="316DE0E3" w14:textId="77777777" w:rsidR="008242B3" w:rsidRPr="00831252" w:rsidRDefault="008242B3" w:rsidP="00786EBA">
      <w:pPr>
        <w:spacing w:before="240" w:after="120"/>
        <w:rPr>
          <w:rFonts w:ascii="Arial" w:hAnsi="Arial" w:cs="Arial"/>
          <w:b/>
          <w:sz w:val="28"/>
          <w:szCs w:val="28"/>
        </w:rPr>
      </w:pPr>
      <w:bookmarkStart w:id="262" w:name="_Toc530395131"/>
      <w:bookmarkStart w:id="263" w:name="_Toc530395306"/>
      <w:bookmarkStart w:id="264" w:name="_Toc530396091"/>
      <w:bookmarkStart w:id="265" w:name="_Toc530396185"/>
      <w:bookmarkStart w:id="266" w:name="_Toc39157976"/>
      <w:bookmarkStart w:id="267" w:name="_Toc39158142"/>
      <w:r>
        <w:rPr>
          <w:rFonts w:ascii="Arial" w:hAnsi="Arial"/>
          <w:b/>
          <w:sz w:val="28"/>
          <w:szCs w:val="28"/>
        </w:rPr>
        <w:t>1</w:t>
      </w:r>
      <w:r>
        <w:rPr>
          <w:rFonts w:ascii="Arial" w:hAnsi="Arial"/>
          <w:b/>
          <w:sz w:val="28"/>
          <w:szCs w:val="28"/>
        </w:rPr>
        <w:tab/>
        <w:t>Zones climatiques</w:t>
      </w:r>
      <w:bookmarkEnd w:id="262"/>
      <w:bookmarkEnd w:id="263"/>
      <w:bookmarkEnd w:id="264"/>
      <w:bookmarkEnd w:id="265"/>
      <w:bookmarkEnd w:id="266"/>
      <w:bookmarkEnd w:id="267"/>
    </w:p>
    <w:p w14:paraId="5F592427" w14:textId="10A4A1A9" w:rsidR="008242B3" w:rsidRPr="00937C8B" w:rsidRDefault="008242B3" w:rsidP="008242B3">
      <w:pPr>
        <w:pStyle w:val="CTENumeracion"/>
        <w:rPr>
          <w:rFonts w:cs="Arial"/>
          <w:sz w:val="22"/>
          <w:szCs w:val="22"/>
        </w:rPr>
      </w:pPr>
      <w:r>
        <w:rPr>
          <w:sz w:val="22"/>
          <w:szCs w:val="22"/>
        </w:rPr>
        <w:t>1</w:t>
      </w:r>
      <w:r>
        <w:rPr>
          <w:sz w:val="22"/>
          <w:szCs w:val="22"/>
        </w:rPr>
        <w:tab/>
        <w:t xml:space="preserve">Le tableau a de l’annexe B permet de déterminer la </w:t>
      </w:r>
      <w:r>
        <w:rPr>
          <w:i/>
          <w:iCs/>
          <w:sz w:val="22"/>
          <w:szCs w:val="22"/>
        </w:rPr>
        <w:t>zone climatique</w:t>
      </w:r>
      <w:r>
        <w:rPr>
          <w:sz w:val="22"/>
          <w:szCs w:val="22"/>
        </w:rPr>
        <w:t xml:space="preserve"> (Z.C) d</w:t>
      </w:r>
      <w:r w:rsidR="00EA7588">
        <w:rPr>
          <w:sz w:val="22"/>
          <w:szCs w:val="22"/>
        </w:rPr>
        <w:t>’</w:t>
      </w:r>
      <w:r>
        <w:rPr>
          <w:sz w:val="22"/>
          <w:szCs w:val="22"/>
        </w:rPr>
        <w:t>un lieu en fonction de sa province et de son altitude par rapport au niveau de la mer (h):</w:t>
      </w:r>
    </w:p>
    <w:p w14:paraId="79CCD524" w14:textId="77777777" w:rsidR="008242B3" w:rsidRPr="00937C8B" w:rsidRDefault="008242B3" w:rsidP="008242B3">
      <w:pPr>
        <w:pStyle w:val="CTENumeracion"/>
        <w:spacing w:before="120" w:after="120"/>
        <w:jc w:val="center"/>
        <w:rPr>
          <w:rFonts w:cs="Arial"/>
        </w:rPr>
      </w:pPr>
      <w:r>
        <w:rPr>
          <w:b/>
          <w:sz w:val="18"/>
          <w:szCs w:val="18"/>
        </w:rPr>
        <w:t>Tableau a-Annexe B.</w:t>
      </w:r>
      <w:r>
        <w:rPr>
          <w:sz w:val="18"/>
          <w:szCs w:val="18"/>
        </w:rPr>
        <w:t xml:space="preserve"> Zones climatiques</w:t>
      </w:r>
    </w:p>
    <w:tbl>
      <w:tblPr>
        <w:tblW w:w="9627" w:type="dxa"/>
        <w:jc w:val="center"/>
        <w:tblBorders>
          <w:bottom w:val="single" w:sz="4" w:space="0" w:color="000000"/>
          <w:insideH w:val="single" w:sz="4" w:space="0" w:color="000000"/>
        </w:tblBorders>
        <w:tblCellMar>
          <w:left w:w="0" w:type="dxa"/>
          <w:right w:w="0" w:type="dxa"/>
        </w:tblCellMar>
        <w:tblLook w:val="0400" w:firstRow="0" w:lastRow="0" w:firstColumn="0" w:lastColumn="0" w:noHBand="0" w:noVBand="1"/>
      </w:tblPr>
      <w:tblGrid>
        <w:gridCol w:w="2213"/>
        <w:gridCol w:w="606"/>
        <w:gridCol w:w="22"/>
        <w:gridCol w:w="311"/>
        <w:gridCol w:w="28"/>
        <w:gridCol w:w="27"/>
        <w:gridCol w:w="265"/>
        <w:gridCol w:w="20"/>
        <w:gridCol w:w="265"/>
        <w:gridCol w:w="15"/>
        <w:gridCol w:w="270"/>
        <w:gridCol w:w="287"/>
        <w:gridCol w:w="287"/>
        <w:gridCol w:w="7"/>
        <w:gridCol w:w="277"/>
        <w:gridCol w:w="30"/>
        <w:gridCol w:w="254"/>
        <w:gridCol w:w="287"/>
        <w:gridCol w:w="286"/>
        <w:gridCol w:w="274"/>
        <w:gridCol w:w="11"/>
        <w:gridCol w:w="19"/>
        <w:gridCol w:w="252"/>
        <w:gridCol w:w="15"/>
        <w:gridCol w:w="284"/>
        <w:gridCol w:w="23"/>
        <w:gridCol w:w="263"/>
        <w:gridCol w:w="287"/>
        <w:gridCol w:w="286"/>
        <w:gridCol w:w="285"/>
        <w:gridCol w:w="284"/>
        <w:gridCol w:w="277"/>
        <w:gridCol w:w="282"/>
        <w:gridCol w:w="29"/>
        <w:gridCol w:w="291"/>
        <w:gridCol w:w="286"/>
        <w:gridCol w:w="422"/>
      </w:tblGrid>
      <w:tr w:rsidR="008242B3" w:rsidRPr="00937C8B" w14:paraId="17BBF29A" w14:textId="77777777" w:rsidTr="00935676">
        <w:trPr>
          <w:jc w:val="center"/>
        </w:trPr>
        <w:tc>
          <w:tcPr>
            <w:tcW w:w="2274" w:type="dxa"/>
            <w:tcBorders>
              <w:bottom w:val="single" w:sz="4" w:space="0" w:color="000000"/>
            </w:tcBorders>
            <w:shd w:val="clear" w:color="auto" w:fill="auto"/>
            <w:vAlign w:val="center"/>
          </w:tcPr>
          <w:p w14:paraId="4219B246" w14:textId="77777777" w:rsidR="008242B3" w:rsidRPr="00937C8B" w:rsidRDefault="008242B3" w:rsidP="003E38D0">
            <w:pPr>
              <w:rPr>
                <w:rFonts w:ascii="Arial" w:hAnsi="Arial" w:cs="Arial"/>
                <w:b/>
                <w:bCs/>
                <w:sz w:val="14"/>
                <w:szCs w:val="14"/>
              </w:rPr>
            </w:pPr>
          </w:p>
        </w:tc>
        <w:tc>
          <w:tcPr>
            <w:tcW w:w="7353" w:type="dxa"/>
            <w:gridSpan w:val="36"/>
            <w:tcBorders>
              <w:top w:val="single" w:sz="4" w:space="0" w:color="000000"/>
              <w:left w:val="single" w:sz="8" w:space="0" w:color="000000"/>
              <w:bottom w:val="single" w:sz="8" w:space="0" w:color="000000"/>
              <w:right w:val="single" w:sz="8" w:space="0" w:color="000000"/>
            </w:tcBorders>
            <w:shd w:val="clear" w:color="auto" w:fill="auto"/>
            <w:vAlign w:val="center"/>
          </w:tcPr>
          <w:p w14:paraId="6ED90C5B" w14:textId="77777777" w:rsidR="008242B3" w:rsidRPr="00937C8B" w:rsidRDefault="008242B3" w:rsidP="003E38D0">
            <w:pPr>
              <w:jc w:val="center"/>
              <w:rPr>
                <w:rFonts w:ascii="Arial" w:hAnsi="Arial" w:cs="Arial"/>
                <w:b/>
                <w:bCs/>
                <w:sz w:val="12"/>
                <w:szCs w:val="12"/>
              </w:rPr>
            </w:pPr>
            <w:r>
              <w:rPr>
                <w:rFonts w:ascii="Arial" w:hAnsi="Arial"/>
                <w:b/>
                <w:bCs/>
                <w:sz w:val="12"/>
                <w:szCs w:val="12"/>
              </w:rPr>
              <w:t>Altitude par rapport au niveau de la mer (h)</w:t>
            </w:r>
          </w:p>
        </w:tc>
      </w:tr>
      <w:tr w:rsidR="008242B3" w:rsidRPr="00937C8B" w14:paraId="746894BD"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56B505" w14:textId="77777777" w:rsidR="008242B3" w:rsidRPr="00937C8B" w:rsidRDefault="008242B3" w:rsidP="003E38D0">
            <w:pPr>
              <w:rPr>
                <w:rFonts w:ascii="Arial" w:hAnsi="Arial" w:cs="Arial"/>
              </w:rPr>
            </w:pPr>
            <w:r>
              <w:rPr>
                <w:rFonts w:ascii="Arial" w:hAnsi="Arial"/>
                <w:b/>
                <w:bCs/>
                <w:sz w:val="14"/>
                <w:szCs w:val="14"/>
              </w:rPr>
              <w:t>Province</w:t>
            </w:r>
          </w:p>
        </w:tc>
        <w:tc>
          <w:tcPr>
            <w:tcW w:w="641" w:type="dxa"/>
            <w:gridSpan w:val="2"/>
            <w:tcBorders>
              <w:top w:val="single" w:sz="8" w:space="0" w:color="000000"/>
              <w:left w:val="single" w:sz="8" w:space="0" w:color="000000"/>
              <w:bottom w:val="single" w:sz="8" w:space="0" w:color="000000"/>
              <w:right w:val="single" w:sz="4" w:space="0" w:color="000000"/>
            </w:tcBorders>
            <w:shd w:val="clear" w:color="auto" w:fill="D9D9D9"/>
            <w:vAlign w:val="center"/>
          </w:tcPr>
          <w:p w14:paraId="396B47B3" w14:textId="7967CB26" w:rsidR="008242B3" w:rsidRPr="00937C8B" w:rsidRDefault="00447DB2" w:rsidP="00935676">
            <w:pPr>
              <w:jc w:val="center"/>
              <w:rPr>
                <w:rFonts w:ascii="Arial" w:hAnsi="Arial" w:cs="Arial"/>
                <w:b/>
                <w:bCs/>
                <w:sz w:val="12"/>
                <w:szCs w:val="12"/>
              </w:rPr>
            </w:pPr>
            <w:r>
              <w:rPr>
                <w:rFonts w:ascii="Arial" w:hAnsi="Arial"/>
                <w:b/>
                <w:bCs/>
                <w:sz w:val="12"/>
                <w:szCs w:val="12"/>
              </w:rPr>
              <w:t>≤ 50</w:t>
            </w:r>
            <w:r w:rsidR="00EA7588">
              <w:rPr>
                <w:rFonts w:ascii="Arial" w:hAnsi="Arial"/>
                <w:b/>
                <w:bCs/>
                <w:sz w:val="12"/>
                <w:szCs w:val="12"/>
              </w:rPr>
              <w:t> </w:t>
            </w:r>
            <w:r>
              <w:rPr>
                <w:rFonts w:ascii="Arial" w:hAnsi="Arial"/>
                <w:b/>
                <w:bCs/>
                <w:sz w:val="12"/>
                <w:szCs w:val="12"/>
              </w:rPr>
              <w:t>m</w:t>
            </w:r>
          </w:p>
        </w:tc>
        <w:tc>
          <w:tcPr>
            <w:tcW w:w="345" w:type="dxa"/>
            <w:gridSpan w:val="2"/>
            <w:tcBorders>
              <w:top w:val="single" w:sz="8" w:space="0" w:color="000000"/>
              <w:left w:val="single" w:sz="8" w:space="0" w:color="000000"/>
              <w:bottom w:val="single" w:sz="8" w:space="0" w:color="000000"/>
              <w:right w:val="single" w:sz="4" w:space="0" w:color="000000"/>
            </w:tcBorders>
            <w:shd w:val="clear" w:color="auto" w:fill="D9D9D9"/>
            <w:vAlign w:val="center"/>
          </w:tcPr>
          <w:p w14:paraId="63AA716C" w14:textId="77777777" w:rsidR="008242B3" w:rsidRPr="00937C8B" w:rsidRDefault="00AE2A37" w:rsidP="00935676">
            <w:pPr>
              <w:jc w:val="center"/>
              <w:rPr>
                <w:rFonts w:ascii="Arial" w:hAnsi="Arial" w:cs="Arial"/>
                <w:b/>
                <w:bCs/>
                <w:sz w:val="12"/>
                <w:szCs w:val="12"/>
              </w:rPr>
            </w:pPr>
            <w:r>
              <w:rPr>
                <w:rFonts w:ascii="Arial" w:hAnsi="Arial"/>
                <w:b/>
                <w:bCs/>
                <w:sz w:val="12"/>
                <w:szCs w:val="12"/>
              </w:rPr>
              <w:t>51 - 100 m</w:t>
            </w:r>
          </w:p>
        </w:tc>
        <w:tc>
          <w:tcPr>
            <w:tcW w:w="295"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1CCE1C72" w14:textId="77777777" w:rsidR="008242B3" w:rsidRPr="00937C8B" w:rsidRDefault="008242B3" w:rsidP="003E38D0">
            <w:pPr>
              <w:jc w:val="center"/>
              <w:rPr>
                <w:rFonts w:ascii="Arial" w:hAnsi="Arial" w:cs="Arial"/>
                <w:b/>
                <w:bCs/>
                <w:sz w:val="12"/>
                <w:szCs w:val="12"/>
              </w:rPr>
            </w:pPr>
            <w:r>
              <w:rPr>
                <w:rFonts w:ascii="Arial" w:hAnsi="Arial"/>
                <w:b/>
                <w:bCs/>
                <w:sz w:val="12"/>
                <w:szCs w:val="12"/>
              </w:rPr>
              <w:t>101 - 150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2A25FD95" w14:textId="77777777" w:rsidR="008242B3" w:rsidRPr="00937C8B" w:rsidRDefault="008242B3" w:rsidP="003E38D0">
            <w:pPr>
              <w:jc w:val="center"/>
              <w:rPr>
                <w:rFonts w:ascii="Arial" w:hAnsi="Arial" w:cs="Arial"/>
                <w:b/>
                <w:bCs/>
                <w:sz w:val="12"/>
                <w:szCs w:val="12"/>
              </w:rPr>
            </w:pPr>
            <w:r>
              <w:rPr>
                <w:rFonts w:ascii="Arial" w:hAnsi="Arial"/>
                <w:b/>
                <w:bCs/>
                <w:sz w:val="12"/>
                <w:szCs w:val="12"/>
              </w:rPr>
              <w:t>111 - 200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0E7E1180" w14:textId="77777777" w:rsidR="008242B3" w:rsidRPr="00937C8B" w:rsidRDefault="008242B3" w:rsidP="003E38D0">
            <w:pPr>
              <w:jc w:val="center"/>
              <w:rPr>
                <w:rFonts w:ascii="Arial" w:hAnsi="Arial" w:cs="Arial"/>
                <w:b/>
                <w:bCs/>
                <w:sz w:val="12"/>
                <w:szCs w:val="12"/>
              </w:rPr>
            </w:pPr>
            <w:r>
              <w:rPr>
                <w:rFonts w:ascii="Arial" w:hAnsi="Arial"/>
                <w:b/>
                <w:bCs/>
                <w:sz w:val="12"/>
                <w:szCs w:val="12"/>
              </w:rPr>
              <w:t xml:space="preserve">201 - 250 m </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15722336" w14:textId="77777777" w:rsidR="008242B3" w:rsidRPr="00937C8B" w:rsidRDefault="008242B3" w:rsidP="003E38D0">
            <w:pPr>
              <w:jc w:val="center"/>
              <w:rPr>
                <w:rFonts w:ascii="Arial" w:hAnsi="Arial" w:cs="Arial"/>
                <w:b/>
                <w:bCs/>
                <w:sz w:val="12"/>
                <w:szCs w:val="12"/>
              </w:rPr>
            </w:pPr>
            <w:r>
              <w:rPr>
                <w:rFonts w:ascii="Arial" w:hAnsi="Arial"/>
                <w:b/>
                <w:bCs/>
                <w:sz w:val="12"/>
                <w:szCs w:val="12"/>
              </w:rPr>
              <w:t>251 - 300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56BD7B93" w14:textId="77777777" w:rsidR="008242B3" w:rsidRPr="00937C8B" w:rsidRDefault="008242B3" w:rsidP="003E38D0">
            <w:pPr>
              <w:jc w:val="center"/>
              <w:rPr>
                <w:rFonts w:ascii="Arial" w:hAnsi="Arial" w:cs="Arial"/>
                <w:b/>
                <w:bCs/>
                <w:sz w:val="12"/>
                <w:szCs w:val="12"/>
              </w:rPr>
            </w:pPr>
            <w:r>
              <w:rPr>
                <w:rFonts w:ascii="Arial" w:hAnsi="Arial"/>
                <w:b/>
                <w:bCs/>
                <w:sz w:val="12"/>
                <w:szCs w:val="12"/>
              </w:rPr>
              <w:t>301 - 350 m</w:t>
            </w:r>
          </w:p>
        </w:tc>
        <w:tc>
          <w:tcPr>
            <w:tcW w:w="287"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3E3A8FA4" w14:textId="77777777" w:rsidR="008242B3" w:rsidRPr="00937C8B" w:rsidRDefault="008242B3" w:rsidP="003E38D0">
            <w:pPr>
              <w:jc w:val="center"/>
              <w:rPr>
                <w:rFonts w:ascii="Arial" w:hAnsi="Arial" w:cs="Arial"/>
                <w:b/>
                <w:bCs/>
                <w:sz w:val="12"/>
                <w:szCs w:val="12"/>
              </w:rPr>
            </w:pPr>
            <w:r>
              <w:rPr>
                <w:rFonts w:ascii="Arial" w:hAnsi="Arial"/>
                <w:b/>
                <w:bCs/>
                <w:sz w:val="12"/>
                <w:szCs w:val="12"/>
              </w:rPr>
              <w:t>351 - 400 m</w:t>
            </w:r>
          </w:p>
        </w:tc>
        <w:tc>
          <w:tcPr>
            <w:tcW w:w="287"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67A56D3A" w14:textId="77777777" w:rsidR="008242B3" w:rsidRPr="00937C8B" w:rsidRDefault="008242B3" w:rsidP="003E38D0">
            <w:pPr>
              <w:jc w:val="center"/>
              <w:rPr>
                <w:rFonts w:ascii="Arial" w:hAnsi="Arial" w:cs="Arial"/>
                <w:b/>
                <w:bCs/>
                <w:sz w:val="12"/>
                <w:szCs w:val="12"/>
              </w:rPr>
            </w:pPr>
            <w:r>
              <w:rPr>
                <w:rFonts w:ascii="Arial" w:hAnsi="Arial"/>
                <w:b/>
                <w:bCs/>
                <w:sz w:val="12"/>
                <w:szCs w:val="12"/>
              </w:rPr>
              <w:t>401 - 450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505C446D" w14:textId="77777777" w:rsidR="008242B3" w:rsidRPr="00937C8B" w:rsidRDefault="008242B3" w:rsidP="003E38D0">
            <w:pPr>
              <w:jc w:val="center"/>
              <w:rPr>
                <w:rFonts w:ascii="Arial" w:hAnsi="Arial" w:cs="Arial"/>
                <w:b/>
                <w:bCs/>
                <w:sz w:val="12"/>
                <w:szCs w:val="12"/>
              </w:rPr>
            </w:pPr>
            <w:r>
              <w:rPr>
                <w:rFonts w:ascii="Arial" w:hAnsi="Arial"/>
                <w:b/>
                <w:bCs/>
                <w:sz w:val="12"/>
                <w:szCs w:val="12"/>
              </w:rPr>
              <w:t>451 - 500 m</w:t>
            </w:r>
          </w:p>
        </w:tc>
        <w:tc>
          <w:tcPr>
            <w:tcW w:w="289"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7EB9FB2F" w14:textId="77777777" w:rsidR="008242B3" w:rsidRPr="00937C8B" w:rsidRDefault="008242B3" w:rsidP="003E38D0">
            <w:pPr>
              <w:jc w:val="center"/>
              <w:rPr>
                <w:rFonts w:ascii="Arial" w:hAnsi="Arial" w:cs="Arial"/>
                <w:b/>
                <w:bCs/>
                <w:sz w:val="12"/>
                <w:szCs w:val="12"/>
              </w:rPr>
            </w:pPr>
            <w:r>
              <w:rPr>
                <w:rFonts w:ascii="Arial" w:hAnsi="Arial"/>
                <w:b/>
                <w:bCs/>
                <w:sz w:val="12"/>
                <w:szCs w:val="12"/>
              </w:rPr>
              <w:t>501 - 550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3FE6485D" w14:textId="77777777" w:rsidR="008242B3" w:rsidRPr="00937C8B" w:rsidRDefault="008242B3" w:rsidP="003E38D0">
            <w:pPr>
              <w:jc w:val="center"/>
              <w:rPr>
                <w:rFonts w:ascii="Arial" w:hAnsi="Arial" w:cs="Arial"/>
                <w:b/>
                <w:bCs/>
                <w:sz w:val="12"/>
                <w:szCs w:val="12"/>
              </w:rPr>
            </w:pPr>
            <w:r>
              <w:rPr>
                <w:rFonts w:ascii="Arial" w:hAnsi="Arial"/>
                <w:b/>
                <w:bCs/>
                <w:sz w:val="12"/>
                <w:szCs w:val="12"/>
              </w:rPr>
              <w:t>551 - 600 m</w:t>
            </w:r>
          </w:p>
        </w:tc>
        <w:tc>
          <w:tcPr>
            <w:tcW w:w="289" w:type="dxa"/>
            <w:gridSpan w:val="3"/>
            <w:tcBorders>
              <w:top w:val="single" w:sz="8" w:space="0" w:color="000000"/>
              <w:left w:val="single" w:sz="4" w:space="0" w:color="000000"/>
              <w:bottom w:val="single" w:sz="8" w:space="0" w:color="000000"/>
              <w:right w:val="single" w:sz="4" w:space="0" w:color="000000"/>
            </w:tcBorders>
            <w:shd w:val="clear" w:color="auto" w:fill="D9D9D9"/>
            <w:vAlign w:val="center"/>
          </w:tcPr>
          <w:p w14:paraId="0072EF3B" w14:textId="77777777" w:rsidR="008242B3" w:rsidRPr="00937C8B" w:rsidRDefault="008242B3" w:rsidP="003E38D0">
            <w:pPr>
              <w:jc w:val="center"/>
              <w:rPr>
                <w:rFonts w:ascii="Arial" w:hAnsi="Arial" w:cs="Arial"/>
                <w:b/>
                <w:bCs/>
                <w:sz w:val="12"/>
                <w:szCs w:val="12"/>
              </w:rPr>
            </w:pPr>
            <w:r>
              <w:rPr>
                <w:rFonts w:ascii="Arial" w:hAnsi="Arial"/>
                <w:b/>
                <w:bCs/>
                <w:sz w:val="12"/>
                <w:szCs w:val="12"/>
              </w:rPr>
              <w:t>601 - 650 m</w:t>
            </w:r>
          </w:p>
        </w:tc>
        <w:tc>
          <w:tcPr>
            <w:tcW w:w="287"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54505CEF" w14:textId="77777777" w:rsidR="008242B3" w:rsidRPr="00937C8B" w:rsidRDefault="008242B3" w:rsidP="003E38D0">
            <w:pPr>
              <w:jc w:val="center"/>
              <w:rPr>
                <w:rFonts w:ascii="Arial" w:hAnsi="Arial" w:cs="Arial"/>
                <w:b/>
                <w:bCs/>
                <w:sz w:val="12"/>
                <w:szCs w:val="12"/>
              </w:rPr>
            </w:pPr>
            <w:r>
              <w:rPr>
                <w:rFonts w:ascii="Arial" w:hAnsi="Arial"/>
                <w:b/>
                <w:bCs/>
                <w:sz w:val="12"/>
                <w:szCs w:val="12"/>
              </w:rPr>
              <w:t>651 - 700 m</w:t>
            </w:r>
          </w:p>
        </w:tc>
        <w:tc>
          <w:tcPr>
            <w:tcW w:w="289"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2A0A2700" w14:textId="77777777" w:rsidR="008242B3" w:rsidRPr="00937C8B" w:rsidRDefault="008242B3" w:rsidP="003E38D0">
            <w:pPr>
              <w:jc w:val="center"/>
              <w:rPr>
                <w:rFonts w:ascii="Arial" w:hAnsi="Arial" w:cs="Arial"/>
                <w:b/>
                <w:bCs/>
                <w:sz w:val="12"/>
                <w:szCs w:val="12"/>
              </w:rPr>
            </w:pPr>
            <w:r>
              <w:rPr>
                <w:rFonts w:ascii="Arial" w:hAnsi="Arial"/>
                <w:b/>
                <w:bCs/>
                <w:sz w:val="12"/>
                <w:szCs w:val="12"/>
              </w:rPr>
              <w:t>701 - 750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6286F8B3" w14:textId="77777777" w:rsidR="008242B3" w:rsidRPr="00937C8B" w:rsidRDefault="008242B3" w:rsidP="003E38D0">
            <w:pPr>
              <w:jc w:val="center"/>
              <w:rPr>
                <w:rFonts w:ascii="Arial" w:hAnsi="Arial" w:cs="Arial"/>
                <w:b/>
                <w:bCs/>
                <w:sz w:val="12"/>
                <w:szCs w:val="12"/>
              </w:rPr>
            </w:pPr>
            <w:r>
              <w:rPr>
                <w:rFonts w:ascii="Arial" w:hAnsi="Arial"/>
                <w:b/>
                <w:bCs/>
                <w:sz w:val="12"/>
                <w:szCs w:val="12"/>
              </w:rPr>
              <w:t>751 - 800 m</w:t>
            </w:r>
          </w:p>
        </w:tc>
        <w:tc>
          <w:tcPr>
            <w:tcW w:w="289"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6EFFD2BA" w14:textId="77777777" w:rsidR="008242B3" w:rsidRPr="00937C8B" w:rsidRDefault="008242B3" w:rsidP="003E38D0">
            <w:pPr>
              <w:jc w:val="center"/>
              <w:rPr>
                <w:rFonts w:ascii="Arial" w:hAnsi="Arial" w:cs="Arial"/>
                <w:b/>
                <w:bCs/>
                <w:sz w:val="12"/>
                <w:szCs w:val="12"/>
              </w:rPr>
            </w:pPr>
            <w:r>
              <w:rPr>
                <w:rFonts w:ascii="Arial" w:hAnsi="Arial"/>
                <w:b/>
                <w:bCs/>
                <w:sz w:val="12"/>
                <w:szCs w:val="12"/>
              </w:rPr>
              <w:t>801 - 850 m</w:t>
            </w:r>
          </w:p>
        </w:tc>
        <w:tc>
          <w:tcPr>
            <w:tcW w:w="288"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67441265" w14:textId="77777777" w:rsidR="008242B3" w:rsidRPr="00937C8B" w:rsidRDefault="008242B3" w:rsidP="003E38D0">
            <w:pPr>
              <w:jc w:val="center"/>
              <w:rPr>
                <w:rFonts w:ascii="Arial" w:hAnsi="Arial" w:cs="Arial"/>
                <w:b/>
                <w:bCs/>
                <w:sz w:val="12"/>
                <w:szCs w:val="12"/>
              </w:rPr>
            </w:pPr>
            <w:r>
              <w:rPr>
                <w:rFonts w:ascii="Arial" w:hAnsi="Arial"/>
                <w:b/>
                <w:bCs/>
                <w:sz w:val="12"/>
                <w:szCs w:val="12"/>
              </w:rPr>
              <w:t>851 - 900 m</w:t>
            </w:r>
          </w:p>
        </w:tc>
        <w:tc>
          <w:tcPr>
            <w:tcW w:w="287"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39828B07" w14:textId="77777777" w:rsidR="008242B3" w:rsidRPr="00937C8B" w:rsidRDefault="008242B3" w:rsidP="003E38D0">
            <w:pPr>
              <w:jc w:val="center"/>
              <w:rPr>
                <w:rFonts w:ascii="Arial" w:hAnsi="Arial" w:cs="Arial"/>
                <w:b/>
                <w:bCs/>
                <w:sz w:val="12"/>
                <w:szCs w:val="12"/>
              </w:rPr>
            </w:pPr>
            <w:r>
              <w:rPr>
                <w:rFonts w:ascii="Arial" w:hAnsi="Arial"/>
                <w:b/>
                <w:bCs/>
                <w:sz w:val="12"/>
                <w:szCs w:val="12"/>
              </w:rPr>
              <w:t>901 - 950 m</w:t>
            </w:r>
          </w:p>
        </w:tc>
        <w:tc>
          <w:tcPr>
            <w:tcW w:w="277"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601C5951" w14:textId="77777777" w:rsidR="008242B3" w:rsidRPr="00937C8B" w:rsidRDefault="008242B3" w:rsidP="003E38D0">
            <w:pPr>
              <w:jc w:val="center"/>
              <w:rPr>
                <w:rFonts w:ascii="Arial" w:hAnsi="Arial" w:cs="Arial"/>
                <w:b/>
                <w:bCs/>
                <w:sz w:val="12"/>
                <w:szCs w:val="12"/>
              </w:rPr>
            </w:pPr>
            <w:r>
              <w:rPr>
                <w:rFonts w:ascii="Arial" w:hAnsi="Arial"/>
                <w:b/>
                <w:bCs/>
                <w:sz w:val="12"/>
                <w:szCs w:val="12"/>
              </w:rPr>
              <w:t>951 - 1000 m</w:t>
            </w:r>
          </w:p>
        </w:tc>
        <w:tc>
          <w:tcPr>
            <w:tcW w:w="312"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3A9B6718" w14:textId="77777777" w:rsidR="008242B3" w:rsidRPr="00937C8B" w:rsidRDefault="008242B3" w:rsidP="003E38D0">
            <w:pPr>
              <w:jc w:val="center"/>
              <w:rPr>
                <w:rFonts w:ascii="Arial" w:hAnsi="Arial" w:cs="Arial"/>
                <w:b/>
                <w:bCs/>
                <w:sz w:val="12"/>
                <w:szCs w:val="12"/>
              </w:rPr>
            </w:pPr>
            <w:r>
              <w:rPr>
                <w:rFonts w:ascii="Arial" w:hAnsi="Arial"/>
                <w:b/>
                <w:bCs/>
                <w:sz w:val="12"/>
                <w:szCs w:val="12"/>
              </w:rPr>
              <w:t>1001 - 1050 m</w:t>
            </w:r>
          </w:p>
        </w:tc>
        <w:tc>
          <w:tcPr>
            <w:tcW w:w="292"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76CEE86B" w14:textId="77777777" w:rsidR="008242B3" w:rsidRPr="00937C8B" w:rsidRDefault="008242B3" w:rsidP="003E38D0">
            <w:pPr>
              <w:jc w:val="center"/>
              <w:rPr>
                <w:rFonts w:ascii="Arial" w:hAnsi="Arial" w:cs="Arial"/>
                <w:b/>
                <w:bCs/>
                <w:sz w:val="12"/>
                <w:szCs w:val="12"/>
              </w:rPr>
            </w:pPr>
            <w:r>
              <w:rPr>
                <w:rFonts w:ascii="Arial" w:hAnsi="Arial"/>
                <w:b/>
                <w:bCs/>
                <w:sz w:val="12"/>
                <w:szCs w:val="12"/>
              </w:rPr>
              <w:t>1051 - 1250 m</w:t>
            </w:r>
          </w:p>
        </w:tc>
        <w:tc>
          <w:tcPr>
            <w:tcW w:w="289" w:type="dxa"/>
            <w:tcBorders>
              <w:top w:val="single" w:sz="8" w:space="0" w:color="000000"/>
              <w:bottom w:val="single" w:sz="8" w:space="0" w:color="000000"/>
            </w:tcBorders>
            <w:shd w:val="clear" w:color="auto" w:fill="D9D9D9"/>
            <w:vAlign w:val="center"/>
          </w:tcPr>
          <w:p w14:paraId="7AB755DE" w14:textId="77777777" w:rsidR="008242B3" w:rsidRPr="00937C8B" w:rsidRDefault="008242B3" w:rsidP="003E38D0">
            <w:pPr>
              <w:ind w:left="-54"/>
              <w:jc w:val="center"/>
              <w:rPr>
                <w:rFonts w:ascii="Arial" w:hAnsi="Arial" w:cs="Arial"/>
                <w:b/>
                <w:bCs/>
                <w:sz w:val="12"/>
                <w:szCs w:val="12"/>
              </w:rPr>
            </w:pPr>
            <w:r>
              <w:rPr>
                <w:rFonts w:ascii="Arial" w:hAnsi="Arial"/>
                <w:b/>
                <w:bCs/>
                <w:sz w:val="12"/>
                <w:szCs w:val="12"/>
              </w:rPr>
              <w:t>1251 - 1300 m</w:t>
            </w:r>
          </w:p>
        </w:tc>
        <w:tc>
          <w:tcPr>
            <w:tcW w:w="286"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66660F5F" w14:textId="77777777" w:rsidR="008242B3" w:rsidRPr="00937C8B" w:rsidRDefault="008242B3" w:rsidP="003E38D0">
            <w:pPr>
              <w:jc w:val="center"/>
              <w:rPr>
                <w:rFonts w:ascii="Arial" w:hAnsi="Arial" w:cs="Arial"/>
                <w:b/>
                <w:bCs/>
                <w:sz w:val="12"/>
                <w:szCs w:val="12"/>
              </w:rPr>
            </w:pPr>
            <w:r>
              <w:rPr>
                <w:rFonts w:ascii="Arial" w:hAnsi="Arial"/>
                <w:b/>
                <w:bCs/>
                <w:sz w:val="12"/>
                <w:szCs w:val="12"/>
              </w:rPr>
              <w:t>≥ 1301 m</w:t>
            </w:r>
          </w:p>
        </w:tc>
      </w:tr>
      <w:tr w:rsidR="008242B3" w:rsidRPr="00937C8B" w14:paraId="1A307E64" w14:textId="77777777" w:rsidTr="00935676">
        <w:trPr>
          <w:jc w:val="center"/>
        </w:trPr>
        <w:tc>
          <w:tcPr>
            <w:tcW w:w="2274" w:type="dxa"/>
            <w:tcBorders>
              <w:top w:val="single" w:sz="4" w:space="0" w:color="000000"/>
              <w:bottom w:val="single" w:sz="4" w:space="0" w:color="000000"/>
            </w:tcBorders>
            <w:shd w:val="clear" w:color="auto" w:fill="auto"/>
            <w:tcMar>
              <w:left w:w="70" w:type="dxa"/>
              <w:right w:w="70" w:type="dxa"/>
            </w:tcMar>
            <w:vAlign w:val="center"/>
          </w:tcPr>
          <w:p w14:paraId="6B1EFFB5" w14:textId="77777777" w:rsidR="008242B3" w:rsidRPr="00937C8B" w:rsidRDefault="008242B3" w:rsidP="003E38D0">
            <w:pPr>
              <w:jc w:val="center"/>
              <w:rPr>
                <w:rFonts w:ascii="Arial" w:hAnsi="Arial" w:cs="Arial"/>
                <w:b/>
                <w:bCs/>
                <w:sz w:val="14"/>
                <w:szCs w:val="14"/>
              </w:rPr>
            </w:pPr>
          </w:p>
        </w:tc>
        <w:tc>
          <w:tcPr>
            <w:tcW w:w="641" w:type="dxa"/>
            <w:gridSpan w:val="2"/>
            <w:tcBorders>
              <w:top w:val="single" w:sz="4" w:space="0" w:color="000000"/>
              <w:bottom w:val="single" w:sz="4" w:space="0" w:color="000000"/>
            </w:tcBorders>
            <w:shd w:val="clear" w:color="auto" w:fill="auto"/>
            <w:tcMar>
              <w:left w:w="70" w:type="dxa"/>
              <w:right w:w="70" w:type="dxa"/>
            </w:tcMar>
            <w:vAlign w:val="center"/>
          </w:tcPr>
          <w:p w14:paraId="1F44B612" w14:textId="77777777" w:rsidR="008242B3" w:rsidRPr="00937C8B" w:rsidRDefault="008242B3" w:rsidP="003E38D0">
            <w:pPr>
              <w:rPr>
                <w:rFonts w:ascii="Arial" w:hAnsi="Arial" w:cs="Arial"/>
                <w:sz w:val="14"/>
                <w:szCs w:val="14"/>
              </w:rPr>
            </w:pPr>
          </w:p>
        </w:tc>
        <w:tc>
          <w:tcPr>
            <w:tcW w:w="345" w:type="dxa"/>
            <w:gridSpan w:val="2"/>
            <w:tcBorders>
              <w:top w:val="single" w:sz="4" w:space="0" w:color="000000"/>
              <w:bottom w:val="single" w:sz="4" w:space="0" w:color="000000"/>
            </w:tcBorders>
            <w:shd w:val="clear" w:color="auto" w:fill="auto"/>
            <w:tcMar>
              <w:left w:w="70" w:type="dxa"/>
              <w:right w:w="70" w:type="dxa"/>
            </w:tcMar>
            <w:vAlign w:val="center"/>
          </w:tcPr>
          <w:p w14:paraId="2A0998FF" w14:textId="77777777" w:rsidR="008242B3" w:rsidRPr="00937C8B" w:rsidRDefault="008242B3" w:rsidP="003E38D0">
            <w:pPr>
              <w:rPr>
                <w:rFonts w:ascii="Arial" w:hAnsi="Arial" w:cs="Arial"/>
                <w:sz w:val="14"/>
                <w:szCs w:val="14"/>
              </w:rPr>
            </w:pPr>
          </w:p>
        </w:tc>
        <w:tc>
          <w:tcPr>
            <w:tcW w:w="295" w:type="dxa"/>
            <w:gridSpan w:val="2"/>
            <w:tcBorders>
              <w:top w:val="single" w:sz="4" w:space="0" w:color="000000"/>
              <w:bottom w:val="single" w:sz="4" w:space="0" w:color="000000"/>
            </w:tcBorders>
            <w:shd w:val="clear" w:color="auto" w:fill="auto"/>
            <w:tcMar>
              <w:left w:w="70" w:type="dxa"/>
              <w:right w:w="70" w:type="dxa"/>
            </w:tcMar>
            <w:vAlign w:val="center"/>
          </w:tcPr>
          <w:p w14:paraId="4D3F3AEA" w14:textId="77777777" w:rsidR="008242B3" w:rsidRPr="00937C8B" w:rsidRDefault="008242B3" w:rsidP="003E38D0">
            <w:pPr>
              <w:rPr>
                <w:rFonts w:ascii="Arial" w:hAnsi="Arial" w:cs="Arial"/>
                <w:sz w:val="14"/>
                <w:szCs w:val="14"/>
              </w:rPr>
            </w:pPr>
          </w:p>
        </w:tc>
        <w:tc>
          <w:tcPr>
            <w:tcW w:w="288" w:type="dxa"/>
            <w:gridSpan w:val="2"/>
            <w:tcBorders>
              <w:top w:val="single" w:sz="4" w:space="0" w:color="000000"/>
              <w:bottom w:val="single" w:sz="4" w:space="0" w:color="000000"/>
            </w:tcBorders>
            <w:shd w:val="clear" w:color="auto" w:fill="auto"/>
            <w:tcMar>
              <w:left w:w="70" w:type="dxa"/>
              <w:right w:w="70" w:type="dxa"/>
            </w:tcMar>
            <w:vAlign w:val="center"/>
          </w:tcPr>
          <w:p w14:paraId="0DC3F967" w14:textId="77777777" w:rsidR="008242B3" w:rsidRPr="00937C8B" w:rsidRDefault="008242B3" w:rsidP="003E38D0">
            <w:pPr>
              <w:rPr>
                <w:rFonts w:ascii="Arial" w:hAnsi="Arial" w:cs="Arial"/>
                <w:sz w:val="14"/>
                <w:szCs w:val="14"/>
              </w:rPr>
            </w:pPr>
          </w:p>
        </w:tc>
        <w:tc>
          <w:tcPr>
            <w:tcW w:w="288" w:type="dxa"/>
            <w:gridSpan w:val="2"/>
            <w:tcBorders>
              <w:top w:val="single" w:sz="4" w:space="0" w:color="000000"/>
              <w:bottom w:val="single" w:sz="4" w:space="0" w:color="000000"/>
            </w:tcBorders>
            <w:shd w:val="clear" w:color="auto" w:fill="auto"/>
            <w:tcMar>
              <w:left w:w="70" w:type="dxa"/>
              <w:right w:w="70" w:type="dxa"/>
            </w:tcMar>
            <w:vAlign w:val="center"/>
          </w:tcPr>
          <w:p w14:paraId="3243A874" w14:textId="77777777" w:rsidR="008242B3" w:rsidRPr="00937C8B" w:rsidRDefault="008242B3" w:rsidP="003E38D0">
            <w:pPr>
              <w:rPr>
                <w:rFonts w:ascii="Arial" w:hAnsi="Arial" w:cs="Arial"/>
                <w:sz w:val="14"/>
                <w:szCs w:val="14"/>
              </w:rPr>
            </w:pPr>
          </w:p>
        </w:tc>
        <w:tc>
          <w:tcPr>
            <w:tcW w:w="290" w:type="dxa"/>
            <w:tcBorders>
              <w:top w:val="single" w:sz="4" w:space="0" w:color="000000"/>
              <w:bottom w:val="single" w:sz="4" w:space="0" w:color="000000"/>
            </w:tcBorders>
            <w:shd w:val="clear" w:color="auto" w:fill="auto"/>
            <w:tcMar>
              <w:left w:w="70" w:type="dxa"/>
              <w:right w:w="70" w:type="dxa"/>
            </w:tcMar>
            <w:vAlign w:val="center"/>
          </w:tcPr>
          <w:p w14:paraId="68A24148" w14:textId="77777777" w:rsidR="008242B3" w:rsidRPr="00937C8B" w:rsidRDefault="008242B3" w:rsidP="003E38D0">
            <w:pPr>
              <w:rPr>
                <w:rFonts w:ascii="Arial" w:hAnsi="Arial" w:cs="Arial"/>
                <w:sz w:val="14"/>
                <w:szCs w:val="14"/>
              </w:rPr>
            </w:pPr>
          </w:p>
        </w:tc>
        <w:tc>
          <w:tcPr>
            <w:tcW w:w="290" w:type="dxa"/>
            <w:tcBorders>
              <w:top w:val="single" w:sz="4" w:space="0" w:color="000000"/>
              <w:bottom w:val="single" w:sz="4" w:space="0" w:color="000000"/>
            </w:tcBorders>
            <w:shd w:val="clear" w:color="auto" w:fill="auto"/>
            <w:tcMar>
              <w:left w:w="70" w:type="dxa"/>
              <w:right w:w="70" w:type="dxa"/>
            </w:tcMar>
            <w:vAlign w:val="center"/>
          </w:tcPr>
          <w:p w14:paraId="33AF4A83" w14:textId="77777777" w:rsidR="008242B3" w:rsidRPr="00937C8B" w:rsidRDefault="008242B3" w:rsidP="003E38D0">
            <w:pPr>
              <w:rPr>
                <w:rFonts w:ascii="Arial" w:hAnsi="Arial" w:cs="Arial"/>
                <w:sz w:val="14"/>
                <w:szCs w:val="14"/>
              </w:rPr>
            </w:pPr>
          </w:p>
        </w:tc>
        <w:tc>
          <w:tcPr>
            <w:tcW w:w="287" w:type="dxa"/>
            <w:gridSpan w:val="2"/>
            <w:tcBorders>
              <w:top w:val="single" w:sz="4" w:space="0" w:color="000000"/>
              <w:bottom w:val="single" w:sz="4" w:space="0" w:color="000000"/>
            </w:tcBorders>
            <w:shd w:val="clear" w:color="auto" w:fill="auto"/>
            <w:tcMar>
              <w:left w:w="70" w:type="dxa"/>
              <w:right w:w="70" w:type="dxa"/>
            </w:tcMar>
            <w:vAlign w:val="center"/>
          </w:tcPr>
          <w:p w14:paraId="66CA57E2" w14:textId="77777777" w:rsidR="008242B3" w:rsidRPr="00937C8B" w:rsidRDefault="008242B3" w:rsidP="003E38D0">
            <w:pPr>
              <w:rPr>
                <w:rFonts w:ascii="Arial" w:hAnsi="Arial" w:cs="Arial"/>
                <w:sz w:val="14"/>
                <w:szCs w:val="14"/>
              </w:rPr>
            </w:pPr>
          </w:p>
        </w:tc>
        <w:tc>
          <w:tcPr>
            <w:tcW w:w="287" w:type="dxa"/>
            <w:gridSpan w:val="2"/>
            <w:tcBorders>
              <w:top w:val="single" w:sz="4" w:space="0" w:color="000000"/>
              <w:bottom w:val="single" w:sz="4" w:space="0" w:color="000000"/>
            </w:tcBorders>
            <w:shd w:val="clear" w:color="auto" w:fill="auto"/>
            <w:tcMar>
              <w:left w:w="70" w:type="dxa"/>
              <w:right w:w="70" w:type="dxa"/>
            </w:tcMar>
            <w:vAlign w:val="center"/>
          </w:tcPr>
          <w:p w14:paraId="7B9A6033" w14:textId="77777777" w:rsidR="008242B3" w:rsidRPr="00937C8B" w:rsidRDefault="008242B3" w:rsidP="003E38D0">
            <w:pPr>
              <w:rPr>
                <w:rFonts w:ascii="Arial" w:hAnsi="Arial" w:cs="Arial"/>
                <w:sz w:val="14"/>
                <w:szCs w:val="14"/>
              </w:rPr>
            </w:pPr>
          </w:p>
        </w:tc>
        <w:tc>
          <w:tcPr>
            <w:tcW w:w="290" w:type="dxa"/>
            <w:tcBorders>
              <w:top w:val="single" w:sz="4" w:space="0" w:color="000000"/>
              <w:bottom w:val="single" w:sz="4" w:space="0" w:color="000000"/>
            </w:tcBorders>
            <w:shd w:val="clear" w:color="auto" w:fill="auto"/>
            <w:tcMar>
              <w:left w:w="70" w:type="dxa"/>
              <w:right w:w="70" w:type="dxa"/>
            </w:tcMar>
            <w:vAlign w:val="center"/>
          </w:tcPr>
          <w:p w14:paraId="6C698254" w14:textId="77777777" w:rsidR="008242B3" w:rsidRPr="00937C8B" w:rsidRDefault="008242B3" w:rsidP="003E38D0">
            <w:pPr>
              <w:rPr>
                <w:rFonts w:ascii="Arial" w:hAnsi="Arial" w:cs="Arial"/>
                <w:sz w:val="14"/>
                <w:szCs w:val="14"/>
              </w:rPr>
            </w:pPr>
          </w:p>
        </w:tc>
        <w:tc>
          <w:tcPr>
            <w:tcW w:w="289" w:type="dxa"/>
            <w:tcBorders>
              <w:top w:val="single" w:sz="4" w:space="0" w:color="000000"/>
              <w:bottom w:val="single" w:sz="4" w:space="0" w:color="000000"/>
            </w:tcBorders>
            <w:shd w:val="clear" w:color="auto" w:fill="auto"/>
            <w:tcMar>
              <w:left w:w="70" w:type="dxa"/>
              <w:right w:w="70" w:type="dxa"/>
            </w:tcMar>
            <w:vAlign w:val="center"/>
          </w:tcPr>
          <w:p w14:paraId="26B9CFD2" w14:textId="77777777" w:rsidR="008242B3" w:rsidRPr="00937C8B" w:rsidRDefault="008242B3" w:rsidP="003E38D0">
            <w:pPr>
              <w:rPr>
                <w:rFonts w:ascii="Arial" w:hAnsi="Arial" w:cs="Arial"/>
                <w:sz w:val="14"/>
                <w:szCs w:val="14"/>
              </w:rPr>
            </w:pPr>
          </w:p>
        </w:tc>
        <w:tc>
          <w:tcPr>
            <w:tcW w:w="288" w:type="dxa"/>
            <w:gridSpan w:val="2"/>
            <w:tcBorders>
              <w:top w:val="single" w:sz="4" w:space="0" w:color="000000"/>
              <w:bottom w:val="single" w:sz="4" w:space="0" w:color="000000"/>
            </w:tcBorders>
            <w:shd w:val="clear" w:color="auto" w:fill="auto"/>
            <w:tcMar>
              <w:left w:w="70" w:type="dxa"/>
              <w:right w:w="70" w:type="dxa"/>
            </w:tcMar>
            <w:vAlign w:val="center"/>
          </w:tcPr>
          <w:p w14:paraId="41667625" w14:textId="77777777" w:rsidR="008242B3" w:rsidRPr="00937C8B" w:rsidRDefault="008242B3" w:rsidP="003E38D0">
            <w:pPr>
              <w:rPr>
                <w:rFonts w:ascii="Arial" w:hAnsi="Arial" w:cs="Arial"/>
                <w:sz w:val="14"/>
                <w:szCs w:val="14"/>
              </w:rPr>
            </w:pPr>
          </w:p>
        </w:tc>
        <w:tc>
          <w:tcPr>
            <w:tcW w:w="289" w:type="dxa"/>
            <w:gridSpan w:val="3"/>
            <w:tcBorders>
              <w:top w:val="single" w:sz="4" w:space="0" w:color="000000"/>
              <w:bottom w:val="single" w:sz="4" w:space="0" w:color="000000"/>
            </w:tcBorders>
            <w:shd w:val="clear" w:color="auto" w:fill="auto"/>
            <w:tcMar>
              <w:left w:w="70" w:type="dxa"/>
              <w:right w:w="70" w:type="dxa"/>
            </w:tcMar>
            <w:vAlign w:val="center"/>
          </w:tcPr>
          <w:p w14:paraId="12CF2E87" w14:textId="77777777" w:rsidR="008242B3" w:rsidRPr="00937C8B" w:rsidRDefault="008242B3" w:rsidP="003E38D0">
            <w:pPr>
              <w:rPr>
                <w:rFonts w:ascii="Arial" w:hAnsi="Arial" w:cs="Arial"/>
                <w:sz w:val="14"/>
                <w:szCs w:val="14"/>
              </w:rPr>
            </w:pPr>
          </w:p>
        </w:tc>
        <w:tc>
          <w:tcPr>
            <w:tcW w:w="287" w:type="dxa"/>
            <w:tcBorders>
              <w:top w:val="single" w:sz="4" w:space="0" w:color="000000"/>
              <w:bottom w:val="single" w:sz="4" w:space="0" w:color="000000"/>
            </w:tcBorders>
            <w:shd w:val="clear" w:color="auto" w:fill="auto"/>
            <w:tcMar>
              <w:left w:w="70" w:type="dxa"/>
              <w:right w:w="70" w:type="dxa"/>
            </w:tcMar>
            <w:vAlign w:val="center"/>
          </w:tcPr>
          <w:p w14:paraId="3138B6A7" w14:textId="77777777" w:rsidR="008242B3" w:rsidRPr="00937C8B" w:rsidRDefault="008242B3" w:rsidP="003E38D0">
            <w:pPr>
              <w:rPr>
                <w:rFonts w:ascii="Arial" w:hAnsi="Arial" w:cs="Arial"/>
                <w:sz w:val="14"/>
                <w:szCs w:val="14"/>
              </w:rPr>
            </w:pPr>
          </w:p>
        </w:tc>
        <w:tc>
          <w:tcPr>
            <w:tcW w:w="289" w:type="dxa"/>
            <w:gridSpan w:val="2"/>
            <w:tcBorders>
              <w:top w:val="single" w:sz="4" w:space="0" w:color="000000"/>
              <w:bottom w:val="single" w:sz="4" w:space="0" w:color="000000"/>
            </w:tcBorders>
            <w:shd w:val="clear" w:color="auto" w:fill="auto"/>
            <w:tcMar>
              <w:left w:w="70" w:type="dxa"/>
              <w:right w:w="70" w:type="dxa"/>
            </w:tcMar>
            <w:vAlign w:val="center"/>
          </w:tcPr>
          <w:p w14:paraId="67C3F4B0" w14:textId="77777777" w:rsidR="008242B3" w:rsidRPr="00937C8B" w:rsidRDefault="008242B3" w:rsidP="003E38D0">
            <w:pPr>
              <w:rPr>
                <w:rFonts w:ascii="Arial" w:hAnsi="Arial" w:cs="Arial"/>
                <w:sz w:val="14"/>
                <w:szCs w:val="14"/>
              </w:rPr>
            </w:pPr>
          </w:p>
        </w:tc>
        <w:tc>
          <w:tcPr>
            <w:tcW w:w="290" w:type="dxa"/>
            <w:tcBorders>
              <w:top w:val="single" w:sz="4" w:space="0" w:color="000000"/>
              <w:bottom w:val="single" w:sz="4" w:space="0" w:color="000000"/>
            </w:tcBorders>
            <w:shd w:val="clear" w:color="auto" w:fill="auto"/>
            <w:tcMar>
              <w:left w:w="70" w:type="dxa"/>
              <w:right w:w="70" w:type="dxa"/>
            </w:tcMar>
            <w:vAlign w:val="center"/>
          </w:tcPr>
          <w:p w14:paraId="638F03D7" w14:textId="77777777" w:rsidR="008242B3" w:rsidRPr="00937C8B" w:rsidRDefault="008242B3" w:rsidP="003E38D0">
            <w:pPr>
              <w:rPr>
                <w:rFonts w:ascii="Arial" w:hAnsi="Arial" w:cs="Arial"/>
                <w:sz w:val="14"/>
                <w:szCs w:val="14"/>
              </w:rPr>
            </w:pPr>
          </w:p>
        </w:tc>
        <w:tc>
          <w:tcPr>
            <w:tcW w:w="289" w:type="dxa"/>
            <w:tcBorders>
              <w:top w:val="single" w:sz="4" w:space="0" w:color="000000"/>
              <w:bottom w:val="single" w:sz="4" w:space="0" w:color="000000"/>
            </w:tcBorders>
            <w:shd w:val="clear" w:color="auto" w:fill="auto"/>
            <w:tcMar>
              <w:left w:w="70" w:type="dxa"/>
              <w:right w:w="70" w:type="dxa"/>
            </w:tcMar>
            <w:vAlign w:val="center"/>
          </w:tcPr>
          <w:p w14:paraId="00932B45" w14:textId="77777777" w:rsidR="008242B3" w:rsidRPr="00937C8B" w:rsidRDefault="008242B3" w:rsidP="003E38D0">
            <w:pPr>
              <w:rPr>
                <w:rFonts w:ascii="Arial" w:hAnsi="Arial" w:cs="Arial"/>
                <w:sz w:val="14"/>
                <w:szCs w:val="14"/>
              </w:rPr>
            </w:pPr>
          </w:p>
        </w:tc>
        <w:tc>
          <w:tcPr>
            <w:tcW w:w="288" w:type="dxa"/>
            <w:tcBorders>
              <w:top w:val="single" w:sz="4" w:space="0" w:color="000000"/>
              <w:bottom w:val="single" w:sz="4" w:space="0" w:color="000000"/>
            </w:tcBorders>
            <w:shd w:val="clear" w:color="auto" w:fill="auto"/>
            <w:tcMar>
              <w:left w:w="70" w:type="dxa"/>
              <w:right w:w="70" w:type="dxa"/>
            </w:tcMar>
            <w:vAlign w:val="center"/>
          </w:tcPr>
          <w:p w14:paraId="28EFB994" w14:textId="77777777" w:rsidR="008242B3" w:rsidRPr="00937C8B" w:rsidRDefault="008242B3" w:rsidP="003E38D0">
            <w:pPr>
              <w:rPr>
                <w:rFonts w:ascii="Arial" w:hAnsi="Arial" w:cs="Arial"/>
                <w:sz w:val="14"/>
                <w:szCs w:val="14"/>
              </w:rPr>
            </w:pPr>
          </w:p>
        </w:tc>
        <w:tc>
          <w:tcPr>
            <w:tcW w:w="287" w:type="dxa"/>
            <w:tcBorders>
              <w:top w:val="single" w:sz="4" w:space="0" w:color="000000"/>
              <w:bottom w:val="single" w:sz="4" w:space="0" w:color="000000"/>
            </w:tcBorders>
            <w:shd w:val="clear" w:color="auto" w:fill="auto"/>
            <w:tcMar>
              <w:left w:w="70" w:type="dxa"/>
              <w:right w:w="70" w:type="dxa"/>
            </w:tcMar>
            <w:vAlign w:val="center"/>
          </w:tcPr>
          <w:p w14:paraId="0FAF2F7F" w14:textId="77777777" w:rsidR="008242B3" w:rsidRPr="00937C8B" w:rsidRDefault="008242B3" w:rsidP="003E38D0">
            <w:pPr>
              <w:rPr>
                <w:rFonts w:ascii="Arial" w:hAnsi="Arial" w:cs="Arial"/>
                <w:sz w:val="14"/>
                <w:szCs w:val="14"/>
              </w:rPr>
            </w:pPr>
          </w:p>
        </w:tc>
        <w:tc>
          <w:tcPr>
            <w:tcW w:w="277" w:type="dxa"/>
            <w:tcBorders>
              <w:top w:val="single" w:sz="4" w:space="0" w:color="000000"/>
              <w:bottom w:val="single" w:sz="4" w:space="0" w:color="000000"/>
            </w:tcBorders>
            <w:shd w:val="clear" w:color="auto" w:fill="auto"/>
            <w:tcMar>
              <w:left w:w="70" w:type="dxa"/>
              <w:right w:w="70" w:type="dxa"/>
            </w:tcMar>
            <w:vAlign w:val="center"/>
          </w:tcPr>
          <w:p w14:paraId="4EBDDA1D" w14:textId="77777777" w:rsidR="008242B3" w:rsidRPr="00937C8B" w:rsidRDefault="008242B3" w:rsidP="003E38D0">
            <w:pPr>
              <w:rPr>
                <w:rFonts w:ascii="Arial" w:hAnsi="Arial" w:cs="Arial"/>
                <w:sz w:val="14"/>
                <w:szCs w:val="14"/>
              </w:rPr>
            </w:pPr>
          </w:p>
        </w:tc>
        <w:tc>
          <w:tcPr>
            <w:tcW w:w="312" w:type="dxa"/>
            <w:gridSpan w:val="2"/>
            <w:tcBorders>
              <w:top w:val="single" w:sz="4" w:space="0" w:color="000000"/>
              <w:bottom w:val="single" w:sz="4" w:space="0" w:color="000000"/>
            </w:tcBorders>
            <w:shd w:val="clear" w:color="auto" w:fill="auto"/>
            <w:tcMar>
              <w:left w:w="70" w:type="dxa"/>
              <w:right w:w="70" w:type="dxa"/>
            </w:tcMar>
            <w:vAlign w:val="center"/>
          </w:tcPr>
          <w:p w14:paraId="64656ADB" w14:textId="77777777" w:rsidR="008242B3" w:rsidRPr="00937C8B" w:rsidRDefault="008242B3" w:rsidP="003E38D0">
            <w:pPr>
              <w:rPr>
                <w:rFonts w:ascii="Arial" w:hAnsi="Arial" w:cs="Arial"/>
                <w:sz w:val="14"/>
                <w:szCs w:val="14"/>
              </w:rPr>
            </w:pPr>
          </w:p>
        </w:tc>
        <w:tc>
          <w:tcPr>
            <w:tcW w:w="292" w:type="dxa"/>
            <w:tcBorders>
              <w:top w:val="single" w:sz="4" w:space="0" w:color="000000"/>
              <w:bottom w:val="single" w:sz="4" w:space="0" w:color="000000"/>
            </w:tcBorders>
            <w:shd w:val="clear" w:color="auto" w:fill="auto"/>
            <w:tcMar>
              <w:left w:w="70" w:type="dxa"/>
              <w:right w:w="70" w:type="dxa"/>
            </w:tcMar>
            <w:vAlign w:val="center"/>
          </w:tcPr>
          <w:p w14:paraId="21C12D53" w14:textId="77777777" w:rsidR="008242B3" w:rsidRPr="00937C8B" w:rsidRDefault="008242B3" w:rsidP="003E38D0">
            <w:pPr>
              <w:rPr>
                <w:rFonts w:ascii="Arial" w:hAnsi="Arial" w:cs="Arial"/>
                <w:sz w:val="14"/>
                <w:szCs w:val="14"/>
              </w:rPr>
            </w:pPr>
          </w:p>
        </w:tc>
        <w:tc>
          <w:tcPr>
            <w:tcW w:w="289" w:type="dxa"/>
            <w:tcBorders>
              <w:top w:val="single" w:sz="4" w:space="0" w:color="000000"/>
              <w:bottom w:val="single" w:sz="4" w:space="0" w:color="000000"/>
            </w:tcBorders>
            <w:shd w:val="clear" w:color="auto" w:fill="auto"/>
            <w:tcMar>
              <w:left w:w="70" w:type="dxa"/>
              <w:right w:w="70" w:type="dxa"/>
            </w:tcMar>
            <w:vAlign w:val="center"/>
          </w:tcPr>
          <w:p w14:paraId="0AF493DC" w14:textId="77777777" w:rsidR="008242B3" w:rsidRPr="00937C8B" w:rsidRDefault="008242B3" w:rsidP="003E38D0">
            <w:pPr>
              <w:rPr>
                <w:rFonts w:ascii="Arial" w:hAnsi="Arial" w:cs="Arial"/>
                <w:sz w:val="14"/>
                <w:szCs w:val="14"/>
              </w:rPr>
            </w:pPr>
          </w:p>
        </w:tc>
        <w:tc>
          <w:tcPr>
            <w:tcW w:w="286" w:type="dxa"/>
            <w:tcBorders>
              <w:top w:val="single" w:sz="4" w:space="0" w:color="000000"/>
              <w:bottom w:val="single" w:sz="4" w:space="0" w:color="000000"/>
            </w:tcBorders>
            <w:shd w:val="clear" w:color="auto" w:fill="auto"/>
            <w:tcMar>
              <w:left w:w="70" w:type="dxa"/>
              <w:right w:w="70" w:type="dxa"/>
            </w:tcMar>
            <w:vAlign w:val="center"/>
          </w:tcPr>
          <w:p w14:paraId="63D91611" w14:textId="77777777" w:rsidR="008242B3" w:rsidRPr="00937C8B" w:rsidRDefault="008242B3" w:rsidP="003E38D0">
            <w:pPr>
              <w:rPr>
                <w:rFonts w:ascii="Arial" w:hAnsi="Arial" w:cs="Arial"/>
                <w:sz w:val="14"/>
                <w:szCs w:val="14"/>
              </w:rPr>
            </w:pPr>
          </w:p>
        </w:tc>
      </w:tr>
      <w:tr w:rsidR="008242B3" w:rsidRPr="00937C8B" w14:paraId="30EF7BC7"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14:paraId="516D919A" w14:textId="77777777" w:rsidR="008242B3" w:rsidRPr="00937C8B" w:rsidRDefault="008242B3" w:rsidP="003E38D0">
            <w:pPr>
              <w:rPr>
                <w:rFonts w:ascii="Arial" w:hAnsi="Arial" w:cs="Arial"/>
                <w:sz w:val="14"/>
                <w:szCs w:val="14"/>
              </w:rPr>
            </w:pPr>
            <w:r>
              <w:rPr>
                <w:rFonts w:ascii="Arial" w:hAnsi="Arial"/>
                <w:sz w:val="14"/>
                <w:szCs w:val="14"/>
              </w:rPr>
              <w:t>Albacete</w:t>
            </w:r>
          </w:p>
        </w:tc>
        <w:tc>
          <w:tcPr>
            <w:tcW w:w="3011" w:type="dxa"/>
            <w:gridSpan w:val="16"/>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14:paraId="7377A186"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2886"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4F7C970D"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c>
          <w:tcPr>
            <w:tcW w:w="1456" w:type="dxa"/>
            <w:gridSpan w:val="6"/>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79BBB3D9"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18350129"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C4327" w14:textId="77777777" w:rsidR="008242B3" w:rsidRPr="00937C8B" w:rsidRDefault="008242B3" w:rsidP="003E38D0">
            <w:pPr>
              <w:rPr>
                <w:rFonts w:ascii="Arial" w:hAnsi="Arial" w:cs="Arial"/>
                <w:sz w:val="14"/>
                <w:szCs w:val="14"/>
              </w:rPr>
            </w:pPr>
            <w:r>
              <w:rPr>
                <w:rFonts w:ascii="Arial" w:hAnsi="Arial"/>
                <w:sz w:val="14"/>
                <w:szCs w:val="14"/>
              </w:rPr>
              <w:t>Alicante</w:t>
            </w:r>
          </w:p>
        </w:tc>
        <w:tc>
          <w:tcPr>
            <w:tcW w:w="1857" w:type="dxa"/>
            <w:gridSpan w:val="10"/>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14:paraId="4A592268" w14:textId="77777777" w:rsidR="008242B3" w:rsidRPr="00937C8B" w:rsidRDefault="008242B3" w:rsidP="003E38D0">
            <w:pPr>
              <w:jc w:val="center"/>
              <w:rPr>
                <w:rFonts w:ascii="Arial" w:hAnsi="Arial" w:cs="Arial"/>
                <w:bCs/>
                <w:sz w:val="14"/>
                <w:szCs w:val="14"/>
              </w:rPr>
            </w:pPr>
            <w:r>
              <w:rPr>
                <w:rFonts w:ascii="Arial" w:hAnsi="Arial"/>
                <w:bCs/>
                <w:sz w:val="14"/>
                <w:szCs w:val="14"/>
              </w:rPr>
              <w:t>B4</w:t>
            </w:r>
          </w:p>
        </w:tc>
        <w:tc>
          <w:tcPr>
            <w:tcW w:w="2597"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5889D7B5"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2899" w:type="dxa"/>
            <w:gridSpan w:val="12"/>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3B25121F"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r>
      <w:tr w:rsidR="008242B3" w:rsidRPr="00937C8B" w14:paraId="569B58B0"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14:paraId="447A49D3" w14:textId="77777777" w:rsidR="008242B3" w:rsidRPr="00937C8B" w:rsidRDefault="008242B3" w:rsidP="003E38D0">
            <w:pPr>
              <w:rPr>
                <w:rFonts w:ascii="Arial" w:hAnsi="Arial" w:cs="Arial"/>
                <w:sz w:val="14"/>
                <w:szCs w:val="14"/>
              </w:rPr>
            </w:pPr>
            <w:r>
              <w:rPr>
                <w:rFonts w:ascii="Arial" w:hAnsi="Arial"/>
                <w:sz w:val="14"/>
                <w:szCs w:val="14"/>
              </w:rPr>
              <w:t>Almería</w:t>
            </w:r>
          </w:p>
        </w:tc>
        <w:tc>
          <w:tcPr>
            <w:tcW w:w="986" w:type="dxa"/>
            <w:gridSpan w:val="4"/>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14:paraId="226F0BE1" w14:textId="77777777" w:rsidR="008242B3" w:rsidRPr="00937C8B" w:rsidRDefault="008242B3" w:rsidP="003E38D0">
            <w:pPr>
              <w:jc w:val="center"/>
              <w:rPr>
                <w:rFonts w:ascii="Arial" w:hAnsi="Arial" w:cs="Arial"/>
                <w:bCs/>
                <w:sz w:val="14"/>
                <w:szCs w:val="14"/>
              </w:rPr>
            </w:pPr>
            <w:r>
              <w:rPr>
                <w:rFonts w:ascii="Arial" w:hAnsi="Arial"/>
                <w:bCs/>
                <w:sz w:val="14"/>
                <w:szCs w:val="14"/>
              </w:rPr>
              <w:t>A4</w:t>
            </w:r>
          </w:p>
        </w:tc>
        <w:tc>
          <w:tcPr>
            <w:tcW w:w="871" w:type="dxa"/>
            <w:gridSpan w:val="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1927839E" w14:textId="77777777" w:rsidR="008242B3" w:rsidRPr="00937C8B" w:rsidRDefault="008242B3" w:rsidP="003E38D0">
            <w:pPr>
              <w:jc w:val="center"/>
              <w:rPr>
                <w:rFonts w:ascii="Arial" w:hAnsi="Arial" w:cs="Arial"/>
                <w:bCs/>
                <w:sz w:val="14"/>
                <w:szCs w:val="14"/>
              </w:rPr>
            </w:pPr>
            <w:r>
              <w:rPr>
                <w:rFonts w:ascii="Arial" w:hAnsi="Arial"/>
                <w:bCs/>
                <w:sz w:val="14"/>
                <w:szCs w:val="14"/>
              </w:rPr>
              <w:t>B4</w:t>
            </w:r>
          </w:p>
        </w:tc>
        <w:tc>
          <w:tcPr>
            <w:tcW w:w="867" w:type="dxa"/>
            <w:gridSpan w:val="4"/>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1BF105D0" w14:textId="77777777" w:rsidR="008242B3" w:rsidRPr="00937C8B" w:rsidRDefault="008242B3" w:rsidP="003E38D0">
            <w:pPr>
              <w:jc w:val="center"/>
              <w:rPr>
                <w:rFonts w:ascii="Arial" w:hAnsi="Arial" w:cs="Arial"/>
                <w:bCs/>
                <w:sz w:val="14"/>
                <w:szCs w:val="14"/>
              </w:rPr>
            </w:pPr>
            <w:r>
              <w:rPr>
                <w:rFonts w:ascii="Arial" w:hAnsi="Arial"/>
                <w:bCs/>
                <w:sz w:val="14"/>
                <w:szCs w:val="14"/>
              </w:rPr>
              <w:t>B3</w:t>
            </w:r>
          </w:p>
        </w:tc>
        <w:tc>
          <w:tcPr>
            <w:tcW w:w="2309" w:type="dxa"/>
            <w:gridSpan w:val="13"/>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14:paraId="0878C5FF"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BFBFBF"/>
            <w:tcMar>
              <w:left w:w="60" w:type="dxa"/>
              <w:right w:w="70" w:type="dxa"/>
            </w:tcMar>
            <w:vAlign w:val="center"/>
          </w:tcPr>
          <w:p w14:paraId="1C507B6A"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r>
      <w:tr w:rsidR="008242B3" w:rsidRPr="00937C8B" w14:paraId="5A96467A"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64735" w14:textId="77777777" w:rsidR="008242B3" w:rsidRPr="00937C8B" w:rsidRDefault="008242B3" w:rsidP="003E38D0">
            <w:pPr>
              <w:rPr>
                <w:rFonts w:ascii="Arial" w:hAnsi="Arial" w:cs="Arial"/>
                <w:sz w:val="14"/>
                <w:szCs w:val="14"/>
              </w:rPr>
            </w:pPr>
            <w:r>
              <w:rPr>
                <w:rFonts w:ascii="Arial" w:hAnsi="Arial"/>
                <w:sz w:val="14"/>
                <w:szCs w:val="14"/>
              </w:rPr>
              <w:t>Araba/Álava</w:t>
            </w:r>
          </w:p>
        </w:tc>
        <w:tc>
          <w:tcPr>
            <w:tcW w:w="3867" w:type="dxa"/>
            <w:gridSpan w:val="19"/>
            <w:tcBorders>
              <w:top w:val="single" w:sz="4" w:space="0" w:color="000000"/>
              <w:left w:val="single" w:sz="4" w:space="0" w:color="000000"/>
              <w:bottom w:val="single" w:sz="4" w:space="0" w:color="000000"/>
            </w:tcBorders>
            <w:shd w:val="clear" w:color="F2F2F2" w:fill="FFFFFF"/>
            <w:tcMar>
              <w:left w:w="60" w:type="dxa"/>
              <w:right w:w="70" w:type="dxa"/>
            </w:tcMar>
            <w:vAlign w:val="center"/>
          </w:tcPr>
          <w:p w14:paraId="26068BFB" w14:textId="77777777" w:rsidR="008242B3" w:rsidRPr="00937C8B" w:rsidRDefault="008242B3" w:rsidP="003E38D0">
            <w:pPr>
              <w:jc w:val="center"/>
              <w:rPr>
                <w:rFonts w:ascii="Arial" w:hAnsi="Arial" w:cs="Arial"/>
              </w:rPr>
            </w:pPr>
            <w:r>
              <w:rPr>
                <w:rFonts w:ascii="Arial" w:hAnsi="Arial"/>
                <w:bCs/>
                <w:sz w:val="14"/>
                <w:szCs w:val="14"/>
              </w:rPr>
              <w:t>D1</w:t>
            </w:r>
          </w:p>
        </w:tc>
        <w:tc>
          <w:tcPr>
            <w:tcW w:w="3486" w:type="dxa"/>
            <w:gridSpan w:val="17"/>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6434D9D9"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4F87B4C1"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521A9EB2" w14:textId="77777777" w:rsidR="008242B3" w:rsidRPr="00937C8B" w:rsidRDefault="008242B3" w:rsidP="003E38D0">
            <w:pPr>
              <w:rPr>
                <w:rFonts w:ascii="Arial" w:hAnsi="Arial" w:cs="Arial"/>
                <w:sz w:val="14"/>
                <w:szCs w:val="14"/>
              </w:rPr>
            </w:pPr>
            <w:r>
              <w:rPr>
                <w:rFonts w:ascii="Arial" w:hAnsi="Arial"/>
                <w:sz w:val="14"/>
                <w:szCs w:val="14"/>
              </w:rPr>
              <w:t>Asturies</w:t>
            </w:r>
          </w:p>
        </w:tc>
        <w:tc>
          <w:tcPr>
            <w:tcW w:w="618" w:type="dxa"/>
            <w:tcBorders>
              <w:top w:val="single" w:sz="4" w:space="0" w:color="000000"/>
              <w:left w:val="single" w:sz="4" w:space="0" w:color="000000"/>
              <w:bottom w:val="single" w:sz="4" w:space="0" w:color="000000"/>
            </w:tcBorders>
            <w:shd w:val="clear" w:color="F2F2F2" w:fill="FFFFFF"/>
            <w:tcMar>
              <w:left w:w="60" w:type="dxa"/>
              <w:right w:w="70" w:type="dxa"/>
            </w:tcMar>
            <w:vAlign w:val="center"/>
          </w:tcPr>
          <w:p w14:paraId="6246ED7A" w14:textId="77777777" w:rsidR="008242B3" w:rsidRPr="00937C8B" w:rsidRDefault="008242B3" w:rsidP="003E38D0">
            <w:pPr>
              <w:jc w:val="center"/>
              <w:rPr>
                <w:rFonts w:ascii="Arial" w:hAnsi="Arial" w:cs="Arial"/>
              </w:rPr>
            </w:pPr>
            <w:r>
              <w:rPr>
                <w:rFonts w:ascii="Arial" w:hAnsi="Arial"/>
                <w:bCs/>
                <w:sz w:val="14"/>
                <w:szCs w:val="14"/>
              </w:rPr>
              <w:t>C1</w:t>
            </w:r>
          </w:p>
        </w:tc>
        <w:tc>
          <w:tcPr>
            <w:tcW w:w="2972" w:type="dxa"/>
            <w:gridSpan w:val="17"/>
            <w:tcBorders>
              <w:top w:val="single" w:sz="4" w:space="0" w:color="000000"/>
              <w:left w:val="single" w:sz="4" w:space="0" w:color="000000"/>
              <w:bottom w:val="single" w:sz="4" w:space="0" w:color="000000"/>
            </w:tcBorders>
            <w:shd w:val="clear" w:color="auto" w:fill="E7E6E6"/>
            <w:tcMar>
              <w:left w:w="60" w:type="dxa"/>
              <w:right w:w="70" w:type="dxa"/>
            </w:tcMar>
            <w:vAlign w:val="center"/>
          </w:tcPr>
          <w:p w14:paraId="561140DA" w14:textId="77777777" w:rsidR="008242B3" w:rsidRPr="00937C8B" w:rsidRDefault="008242B3" w:rsidP="003E38D0">
            <w:pPr>
              <w:jc w:val="center"/>
              <w:rPr>
                <w:rFonts w:ascii="Arial" w:hAnsi="Arial" w:cs="Arial"/>
              </w:rPr>
            </w:pPr>
            <w:r>
              <w:rPr>
                <w:rFonts w:ascii="Arial" w:hAnsi="Arial"/>
                <w:bCs/>
                <w:sz w:val="14"/>
                <w:szCs w:val="14"/>
              </w:rPr>
              <w:t>D1</w:t>
            </w:r>
          </w:p>
        </w:tc>
        <w:tc>
          <w:tcPr>
            <w:tcW w:w="3763" w:type="dxa"/>
            <w:gridSpan w:val="18"/>
            <w:tcBorders>
              <w:top w:val="single" w:sz="4" w:space="0" w:color="000000"/>
              <w:left w:val="single" w:sz="4" w:space="0" w:color="000000"/>
              <w:bottom w:val="single" w:sz="4" w:space="0" w:color="000000"/>
              <w:right w:val="single" w:sz="4" w:space="0" w:color="000000"/>
            </w:tcBorders>
            <w:shd w:val="clear" w:color="auto" w:fill="D9D9D9"/>
            <w:tcMar>
              <w:left w:w="65" w:type="dxa"/>
              <w:right w:w="70" w:type="dxa"/>
            </w:tcMar>
            <w:vAlign w:val="center"/>
          </w:tcPr>
          <w:p w14:paraId="6EF1DBBC"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2F63DC4C"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E3AE3" w14:textId="77777777" w:rsidR="008242B3" w:rsidRPr="00937C8B" w:rsidRDefault="008242B3" w:rsidP="003E38D0">
            <w:pPr>
              <w:rPr>
                <w:rFonts w:ascii="Arial" w:hAnsi="Arial" w:cs="Arial"/>
                <w:sz w:val="14"/>
                <w:szCs w:val="14"/>
              </w:rPr>
            </w:pPr>
            <w:r>
              <w:rPr>
                <w:rFonts w:ascii="Arial" w:hAnsi="Arial"/>
                <w:sz w:val="14"/>
                <w:szCs w:val="14"/>
              </w:rPr>
              <w:t>Ávila</w:t>
            </w:r>
          </w:p>
        </w:tc>
        <w:tc>
          <w:tcPr>
            <w:tcW w:w="3590" w:type="dxa"/>
            <w:gridSpan w:val="18"/>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14:paraId="1C95EA16"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1732" w:type="dxa"/>
            <w:gridSpan w:val="10"/>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3E421CBE" w14:textId="77777777" w:rsidR="008242B3" w:rsidRPr="00937C8B" w:rsidRDefault="008242B3" w:rsidP="003E38D0">
            <w:pPr>
              <w:jc w:val="center"/>
              <w:rPr>
                <w:rFonts w:ascii="Arial" w:hAnsi="Arial" w:cs="Arial"/>
                <w:bCs/>
                <w:sz w:val="14"/>
                <w:szCs w:val="14"/>
              </w:rPr>
            </w:pPr>
            <w:r>
              <w:rPr>
                <w:rFonts w:ascii="Arial" w:hAnsi="Arial"/>
                <w:bCs/>
                <w:sz w:val="14"/>
                <w:szCs w:val="14"/>
              </w:rPr>
              <w:t>D1</w:t>
            </w:r>
          </w:p>
        </w:tc>
        <w:tc>
          <w:tcPr>
            <w:tcW w:w="2031" w:type="dxa"/>
            <w:gridSpan w:val="8"/>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09557B32"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02183443"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14:paraId="25070CC1" w14:textId="77777777" w:rsidR="008242B3" w:rsidRPr="00937C8B" w:rsidRDefault="008242B3" w:rsidP="003E38D0">
            <w:pPr>
              <w:rPr>
                <w:rFonts w:ascii="Arial" w:hAnsi="Arial" w:cs="Arial"/>
                <w:sz w:val="14"/>
                <w:szCs w:val="14"/>
              </w:rPr>
            </w:pPr>
            <w:r>
              <w:rPr>
                <w:rFonts w:ascii="Arial" w:hAnsi="Arial"/>
                <w:sz w:val="14"/>
                <w:szCs w:val="14"/>
              </w:rPr>
              <w:t>Badajoz</w:t>
            </w:r>
          </w:p>
        </w:tc>
        <w:tc>
          <w:tcPr>
            <w:tcW w:w="2724" w:type="dxa"/>
            <w:gridSpan w:val="14"/>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14:paraId="1A8103FC" w14:textId="77777777" w:rsidR="008242B3" w:rsidRPr="00937C8B" w:rsidRDefault="008242B3" w:rsidP="003E38D0">
            <w:pPr>
              <w:jc w:val="center"/>
              <w:rPr>
                <w:rFonts w:ascii="Arial" w:hAnsi="Arial" w:cs="Arial"/>
                <w:bCs/>
                <w:sz w:val="14"/>
                <w:szCs w:val="14"/>
              </w:rPr>
            </w:pPr>
            <w:r>
              <w:rPr>
                <w:rFonts w:ascii="Arial" w:hAnsi="Arial"/>
                <w:bCs/>
                <w:sz w:val="14"/>
                <w:szCs w:val="14"/>
              </w:rPr>
              <w:t>C4</w:t>
            </w:r>
          </w:p>
        </w:tc>
        <w:tc>
          <w:tcPr>
            <w:tcW w:w="28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6282930B"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4342" w:type="dxa"/>
            <w:gridSpan w:val="20"/>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464FE530"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r>
      <w:tr w:rsidR="008242B3" w:rsidRPr="00937C8B" w14:paraId="28F96959"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9AF4D" w14:textId="77777777" w:rsidR="008242B3" w:rsidRPr="00937C8B" w:rsidRDefault="008242B3" w:rsidP="003E38D0">
            <w:pPr>
              <w:rPr>
                <w:rFonts w:ascii="Arial" w:hAnsi="Arial" w:cs="Arial"/>
              </w:rPr>
            </w:pPr>
            <w:r>
              <w:rPr>
                <w:rFonts w:ascii="Arial" w:hAnsi="Arial"/>
                <w:sz w:val="14"/>
                <w:szCs w:val="14"/>
              </w:rPr>
              <w:t>Baléares, îles</w:t>
            </w:r>
          </w:p>
        </w:tc>
        <w:tc>
          <w:tcPr>
            <w:tcW w:w="1857" w:type="dxa"/>
            <w:gridSpan w:val="10"/>
            <w:tcBorders>
              <w:top w:val="single" w:sz="4" w:space="0" w:color="000000"/>
              <w:left w:val="single" w:sz="4" w:space="0" w:color="000000"/>
              <w:bottom w:val="single" w:sz="4" w:space="0" w:color="000000"/>
            </w:tcBorders>
            <w:shd w:val="clear" w:color="F2F2F2" w:fill="FFFFFF"/>
            <w:tcMar>
              <w:left w:w="60" w:type="dxa"/>
              <w:right w:w="70" w:type="dxa"/>
            </w:tcMar>
            <w:vAlign w:val="center"/>
          </w:tcPr>
          <w:p w14:paraId="23E70953" w14:textId="77777777" w:rsidR="008242B3" w:rsidRPr="00937C8B" w:rsidRDefault="008242B3" w:rsidP="003E38D0">
            <w:pPr>
              <w:jc w:val="center"/>
              <w:rPr>
                <w:rFonts w:ascii="Arial" w:hAnsi="Arial" w:cs="Arial"/>
              </w:rPr>
            </w:pPr>
            <w:r>
              <w:rPr>
                <w:rFonts w:ascii="Arial" w:hAnsi="Arial"/>
                <w:bCs/>
                <w:sz w:val="14"/>
                <w:szCs w:val="14"/>
              </w:rPr>
              <w:t>B3</w:t>
            </w:r>
          </w:p>
        </w:tc>
        <w:tc>
          <w:tcPr>
            <w:tcW w:w="5496" w:type="dxa"/>
            <w:gridSpan w:val="2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715D725E" w14:textId="77777777" w:rsidR="008242B3" w:rsidRPr="00937C8B" w:rsidRDefault="008242B3" w:rsidP="003E38D0">
            <w:pPr>
              <w:jc w:val="center"/>
              <w:rPr>
                <w:rFonts w:ascii="Arial" w:hAnsi="Arial" w:cs="Arial"/>
              </w:rPr>
            </w:pPr>
            <w:r>
              <w:rPr>
                <w:rFonts w:ascii="Arial" w:hAnsi="Arial"/>
                <w:bCs/>
                <w:sz w:val="14"/>
                <w:szCs w:val="14"/>
              </w:rPr>
              <w:t>C3</w:t>
            </w:r>
          </w:p>
        </w:tc>
      </w:tr>
      <w:tr w:rsidR="008242B3" w:rsidRPr="00937C8B" w14:paraId="6FCA3E0C"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34B5613" w14:textId="77777777" w:rsidR="008242B3" w:rsidRPr="00937C8B" w:rsidRDefault="008242B3" w:rsidP="003E38D0">
            <w:pPr>
              <w:rPr>
                <w:rFonts w:ascii="Arial" w:hAnsi="Arial" w:cs="Arial"/>
                <w:sz w:val="14"/>
                <w:szCs w:val="14"/>
              </w:rPr>
            </w:pPr>
            <w:r>
              <w:rPr>
                <w:rFonts w:ascii="Arial" w:hAnsi="Arial"/>
                <w:sz w:val="14"/>
                <w:szCs w:val="14"/>
              </w:rPr>
              <w:t>Barcelone</w:t>
            </w:r>
          </w:p>
        </w:tc>
        <w:tc>
          <w:tcPr>
            <w:tcW w:w="1857" w:type="dxa"/>
            <w:gridSpan w:val="10"/>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14:paraId="7C31C91A" w14:textId="77777777" w:rsidR="008242B3" w:rsidRPr="00937C8B" w:rsidRDefault="008242B3" w:rsidP="003E38D0">
            <w:pPr>
              <w:jc w:val="center"/>
              <w:rPr>
                <w:rFonts w:ascii="Arial" w:hAnsi="Arial" w:cs="Arial"/>
                <w:bCs/>
                <w:sz w:val="14"/>
                <w:szCs w:val="14"/>
              </w:rPr>
            </w:pPr>
            <w:r>
              <w:rPr>
                <w:rFonts w:ascii="Arial" w:hAnsi="Arial"/>
                <w:bCs/>
                <w:sz w:val="14"/>
                <w:szCs w:val="14"/>
              </w:rPr>
              <w:t>C2</w:t>
            </w:r>
          </w:p>
        </w:tc>
        <w:tc>
          <w:tcPr>
            <w:tcW w:w="1154" w:type="dxa"/>
            <w:gridSpan w:val="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1CFCDF1D"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1732" w:type="dxa"/>
            <w:gridSpan w:val="10"/>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2C081EE6" w14:textId="77777777" w:rsidR="008242B3" w:rsidRPr="00937C8B" w:rsidRDefault="008242B3" w:rsidP="003E38D0">
            <w:pPr>
              <w:jc w:val="center"/>
              <w:rPr>
                <w:rFonts w:ascii="Arial" w:hAnsi="Arial" w:cs="Arial"/>
                <w:bCs/>
                <w:sz w:val="14"/>
                <w:szCs w:val="14"/>
              </w:rPr>
            </w:pPr>
            <w:r>
              <w:rPr>
                <w:rFonts w:ascii="Arial" w:hAnsi="Arial"/>
                <w:bCs/>
                <w:sz w:val="14"/>
                <w:szCs w:val="14"/>
              </w:rPr>
              <w:t>D1</w:t>
            </w:r>
          </w:p>
        </w:tc>
        <w:tc>
          <w:tcPr>
            <w:tcW w:w="2610" w:type="dxa"/>
            <w:gridSpan w:val="10"/>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14:paraId="4E961C58"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228D106F"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B49A5" w14:textId="77777777" w:rsidR="008242B3" w:rsidRPr="00937C8B" w:rsidRDefault="008242B3" w:rsidP="003E38D0">
            <w:pPr>
              <w:rPr>
                <w:rFonts w:ascii="Arial" w:hAnsi="Arial" w:cs="Arial"/>
              </w:rPr>
            </w:pPr>
            <w:r>
              <w:rPr>
                <w:rFonts w:ascii="Arial" w:hAnsi="Arial"/>
                <w:sz w:val="14"/>
                <w:szCs w:val="14"/>
              </w:rPr>
              <w:t>Bizkaia</w:t>
            </w:r>
          </w:p>
        </w:tc>
        <w:tc>
          <w:tcPr>
            <w:tcW w:w="1857" w:type="dxa"/>
            <w:gridSpan w:val="10"/>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14:paraId="78051F5F" w14:textId="77777777" w:rsidR="008242B3" w:rsidRPr="00937C8B" w:rsidRDefault="008242B3" w:rsidP="003E38D0">
            <w:pPr>
              <w:jc w:val="center"/>
              <w:rPr>
                <w:rFonts w:ascii="Arial" w:hAnsi="Arial" w:cs="Arial"/>
                <w:bCs/>
                <w:sz w:val="14"/>
                <w:szCs w:val="14"/>
              </w:rPr>
            </w:pPr>
            <w:r>
              <w:rPr>
                <w:rFonts w:ascii="Arial" w:hAnsi="Arial"/>
                <w:bCs/>
                <w:sz w:val="14"/>
                <w:szCs w:val="14"/>
              </w:rPr>
              <w:t>C1</w:t>
            </w:r>
          </w:p>
        </w:tc>
        <w:tc>
          <w:tcPr>
            <w:tcW w:w="5496" w:type="dxa"/>
            <w:gridSpan w:val="2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779176F2" w14:textId="77777777" w:rsidR="008242B3" w:rsidRPr="00937C8B" w:rsidRDefault="008242B3" w:rsidP="003E38D0">
            <w:pPr>
              <w:jc w:val="center"/>
              <w:rPr>
                <w:rFonts w:ascii="Arial" w:hAnsi="Arial" w:cs="Arial"/>
                <w:bCs/>
                <w:sz w:val="14"/>
                <w:szCs w:val="14"/>
              </w:rPr>
            </w:pPr>
            <w:r>
              <w:rPr>
                <w:rFonts w:ascii="Arial" w:hAnsi="Arial"/>
                <w:bCs/>
                <w:sz w:val="14"/>
                <w:szCs w:val="14"/>
              </w:rPr>
              <w:t>D1</w:t>
            </w:r>
          </w:p>
        </w:tc>
      </w:tr>
      <w:tr w:rsidR="008242B3" w:rsidRPr="00937C8B" w14:paraId="280D0050"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8BC492B" w14:textId="77777777" w:rsidR="008242B3" w:rsidRPr="00937C8B" w:rsidRDefault="008242B3" w:rsidP="003E38D0">
            <w:pPr>
              <w:rPr>
                <w:rFonts w:ascii="Arial" w:hAnsi="Arial" w:cs="Arial"/>
                <w:sz w:val="14"/>
                <w:szCs w:val="14"/>
              </w:rPr>
            </w:pPr>
            <w:r>
              <w:rPr>
                <w:rFonts w:ascii="Arial" w:hAnsi="Arial"/>
                <w:sz w:val="14"/>
                <w:szCs w:val="14"/>
              </w:rPr>
              <w:t>Burgos</w:t>
            </w:r>
          </w:p>
        </w:tc>
        <w:tc>
          <w:tcPr>
            <w:tcW w:w="3878" w:type="dxa"/>
            <w:gridSpan w:val="20"/>
            <w:tcBorders>
              <w:top w:val="single" w:sz="4" w:space="0" w:color="000000"/>
              <w:left w:val="single" w:sz="4" w:space="0" w:color="000000"/>
              <w:bottom w:val="single" w:sz="4" w:space="0" w:color="000000"/>
              <w:right w:val="single" w:sz="4" w:space="0" w:color="000000"/>
            </w:tcBorders>
            <w:shd w:val="clear" w:color="auto" w:fill="auto"/>
            <w:tcMar>
              <w:left w:w="55" w:type="dxa"/>
              <w:right w:w="70" w:type="dxa"/>
            </w:tcMar>
            <w:vAlign w:val="center"/>
          </w:tcPr>
          <w:p w14:paraId="0A4FBE1B" w14:textId="77777777" w:rsidR="008242B3" w:rsidRPr="00937C8B" w:rsidRDefault="008242B3" w:rsidP="003E38D0">
            <w:pPr>
              <w:jc w:val="center"/>
              <w:rPr>
                <w:rFonts w:ascii="Arial" w:hAnsi="Arial" w:cs="Arial"/>
                <w:bCs/>
                <w:sz w:val="14"/>
                <w:szCs w:val="14"/>
              </w:rPr>
            </w:pPr>
            <w:r>
              <w:rPr>
                <w:rFonts w:ascii="Arial" w:hAnsi="Arial"/>
                <w:bCs/>
                <w:sz w:val="14"/>
                <w:szCs w:val="14"/>
              </w:rPr>
              <w:t>D1</w:t>
            </w:r>
          </w:p>
        </w:tc>
        <w:tc>
          <w:tcPr>
            <w:tcW w:w="3475" w:type="dxa"/>
            <w:gridSpan w:val="1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303CD03A"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1ED032ED"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1BC3B" w14:textId="77777777" w:rsidR="008242B3" w:rsidRPr="00937C8B" w:rsidRDefault="008242B3" w:rsidP="003E38D0">
            <w:pPr>
              <w:rPr>
                <w:rFonts w:ascii="Arial" w:hAnsi="Arial" w:cs="Arial"/>
                <w:sz w:val="14"/>
                <w:szCs w:val="14"/>
              </w:rPr>
            </w:pPr>
            <w:r>
              <w:rPr>
                <w:rFonts w:ascii="Arial" w:hAnsi="Arial"/>
                <w:sz w:val="14"/>
                <w:szCs w:val="14"/>
              </w:rPr>
              <w:t>Cáceres</w:t>
            </w:r>
          </w:p>
        </w:tc>
        <w:tc>
          <w:tcPr>
            <w:tcW w:w="3878" w:type="dxa"/>
            <w:gridSpan w:val="20"/>
            <w:tcBorders>
              <w:top w:val="single" w:sz="4" w:space="0" w:color="000000"/>
              <w:left w:val="single" w:sz="4" w:space="0" w:color="000000"/>
              <w:bottom w:val="single" w:sz="4" w:space="0" w:color="000000"/>
              <w:right w:val="single" w:sz="4" w:space="0" w:color="000000"/>
            </w:tcBorders>
            <w:shd w:val="clear" w:color="F2F2F2" w:fill="FFFFFF"/>
            <w:tcMar>
              <w:left w:w="55" w:type="dxa"/>
              <w:right w:w="70" w:type="dxa"/>
            </w:tcMar>
            <w:vAlign w:val="center"/>
          </w:tcPr>
          <w:p w14:paraId="2A2EDBA2" w14:textId="77777777" w:rsidR="008242B3" w:rsidRPr="00937C8B" w:rsidRDefault="008242B3" w:rsidP="003E38D0">
            <w:pPr>
              <w:jc w:val="center"/>
              <w:rPr>
                <w:rFonts w:ascii="Arial" w:hAnsi="Arial" w:cs="Arial"/>
                <w:bCs/>
                <w:sz w:val="14"/>
                <w:szCs w:val="14"/>
              </w:rPr>
            </w:pPr>
            <w:r>
              <w:rPr>
                <w:rFonts w:ascii="Arial" w:hAnsi="Arial"/>
                <w:bCs/>
                <w:sz w:val="14"/>
                <w:szCs w:val="14"/>
              </w:rPr>
              <w:t>C4</w:t>
            </w:r>
          </w:p>
        </w:tc>
        <w:tc>
          <w:tcPr>
            <w:tcW w:w="2608" w:type="dxa"/>
            <w:gridSpan w:val="13"/>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62AC922B"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c>
          <w:tcPr>
            <w:tcW w:w="867" w:type="dxa"/>
            <w:gridSpan w:val="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11705DEE"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5D1A03AF"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43E822B" w14:textId="77777777" w:rsidR="008242B3" w:rsidRPr="00937C8B" w:rsidRDefault="008242B3" w:rsidP="003E38D0">
            <w:pPr>
              <w:rPr>
                <w:rFonts w:ascii="Arial" w:hAnsi="Arial" w:cs="Arial"/>
                <w:sz w:val="14"/>
                <w:szCs w:val="14"/>
              </w:rPr>
            </w:pPr>
            <w:r>
              <w:rPr>
                <w:rFonts w:ascii="Arial" w:hAnsi="Arial"/>
                <w:sz w:val="14"/>
                <w:szCs w:val="14"/>
              </w:rPr>
              <w:t>Cadix</w:t>
            </w:r>
          </w:p>
        </w:tc>
        <w:tc>
          <w:tcPr>
            <w:tcW w:w="1281" w:type="dxa"/>
            <w:gridSpan w:val="6"/>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5D147DD1" w14:textId="77777777" w:rsidR="008242B3" w:rsidRPr="00937C8B" w:rsidRDefault="008242B3" w:rsidP="003E38D0">
            <w:pPr>
              <w:jc w:val="center"/>
              <w:rPr>
                <w:rFonts w:ascii="Arial" w:hAnsi="Arial" w:cs="Arial"/>
                <w:bCs/>
                <w:sz w:val="14"/>
                <w:szCs w:val="14"/>
              </w:rPr>
            </w:pPr>
            <w:r>
              <w:rPr>
                <w:rFonts w:ascii="Arial" w:hAnsi="Arial"/>
                <w:bCs/>
                <w:sz w:val="14"/>
                <w:szCs w:val="14"/>
              </w:rPr>
              <w:t>A3</w:t>
            </w:r>
          </w:p>
        </w:tc>
        <w:tc>
          <w:tcPr>
            <w:tcW w:w="1730" w:type="dxa"/>
            <w:gridSpan w:val="10"/>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762B9EBA" w14:textId="77777777" w:rsidR="008242B3" w:rsidRPr="00937C8B" w:rsidRDefault="008242B3" w:rsidP="003E38D0">
            <w:pPr>
              <w:jc w:val="center"/>
              <w:rPr>
                <w:rFonts w:ascii="Arial" w:hAnsi="Arial" w:cs="Arial"/>
                <w:bCs/>
                <w:sz w:val="14"/>
                <w:szCs w:val="14"/>
              </w:rPr>
            </w:pPr>
            <w:r>
              <w:rPr>
                <w:rFonts w:ascii="Arial" w:hAnsi="Arial"/>
                <w:bCs/>
                <w:sz w:val="14"/>
                <w:szCs w:val="14"/>
              </w:rPr>
              <w:t>B3</w:t>
            </w:r>
          </w:p>
        </w:tc>
        <w:tc>
          <w:tcPr>
            <w:tcW w:w="867" w:type="dxa"/>
            <w:gridSpan w:val="4"/>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027543AE"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1444" w:type="dxa"/>
            <w:gridSpan w:val="8"/>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14:paraId="67B2124C" w14:textId="77777777" w:rsidR="008242B3" w:rsidRPr="00937C8B" w:rsidRDefault="008242B3" w:rsidP="003E38D0">
            <w:pPr>
              <w:jc w:val="center"/>
              <w:rPr>
                <w:rFonts w:ascii="Arial" w:hAnsi="Arial" w:cs="Arial"/>
                <w:bCs/>
                <w:sz w:val="14"/>
                <w:szCs w:val="14"/>
              </w:rPr>
            </w:pPr>
            <w:r>
              <w:rPr>
                <w:rFonts w:ascii="Arial" w:hAnsi="Arial"/>
                <w:bCs/>
                <w:sz w:val="14"/>
                <w:szCs w:val="14"/>
              </w:rPr>
              <w:t>C2</w:t>
            </w:r>
          </w:p>
        </w:tc>
        <w:tc>
          <w:tcPr>
            <w:tcW w:w="2031" w:type="dxa"/>
            <w:gridSpan w:val="8"/>
            <w:tcBorders>
              <w:top w:val="single" w:sz="4" w:space="0" w:color="000000"/>
              <w:left w:val="single" w:sz="4" w:space="0" w:color="000000"/>
              <w:bottom w:val="single" w:sz="4" w:space="0" w:color="000000"/>
              <w:right w:val="single" w:sz="4" w:space="0" w:color="000000"/>
            </w:tcBorders>
            <w:shd w:val="clear" w:color="auto" w:fill="BFBFBF"/>
            <w:tcMar>
              <w:left w:w="60" w:type="dxa"/>
              <w:right w:w="70" w:type="dxa"/>
            </w:tcMar>
            <w:vAlign w:val="center"/>
          </w:tcPr>
          <w:p w14:paraId="3574CE45"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r>
      <w:tr w:rsidR="008242B3" w:rsidRPr="00937C8B" w14:paraId="1C097CD0"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C2984" w14:textId="77777777" w:rsidR="008242B3" w:rsidRPr="00937C8B" w:rsidRDefault="008242B3" w:rsidP="003E38D0">
            <w:pPr>
              <w:rPr>
                <w:rFonts w:ascii="Arial" w:hAnsi="Arial" w:cs="Arial"/>
              </w:rPr>
            </w:pPr>
            <w:r>
              <w:rPr>
                <w:rFonts w:ascii="Arial" w:hAnsi="Arial"/>
                <w:sz w:val="14"/>
                <w:szCs w:val="14"/>
              </w:rPr>
              <w:t>Cantabrie</w:t>
            </w:r>
          </w:p>
        </w:tc>
        <w:tc>
          <w:tcPr>
            <w:tcW w:w="1301" w:type="dxa"/>
            <w:gridSpan w:val="7"/>
            <w:tcBorders>
              <w:top w:val="single" w:sz="4" w:space="0" w:color="000000"/>
              <w:left w:val="single" w:sz="4" w:space="0" w:color="000000"/>
              <w:bottom w:val="single" w:sz="4" w:space="0" w:color="000000"/>
            </w:tcBorders>
            <w:shd w:val="clear" w:color="F2F2F2" w:fill="FFFFFF"/>
            <w:vAlign w:val="center"/>
          </w:tcPr>
          <w:p w14:paraId="4FA177BB" w14:textId="77777777" w:rsidR="008242B3" w:rsidRPr="00937C8B" w:rsidRDefault="008242B3" w:rsidP="003E38D0">
            <w:pPr>
              <w:jc w:val="center"/>
              <w:rPr>
                <w:rFonts w:ascii="Arial" w:hAnsi="Arial" w:cs="Arial"/>
              </w:rPr>
            </w:pPr>
            <w:r>
              <w:rPr>
                <w:rFonts w:ascii="Arial" w:hAnsi="Arial"/>
                <w:bCs/>
                <w:sz w:val="14"/>
                <w:szCs w:val="14"/>
              </w:rPr>
              <w:t>C1</w:t>
            </w:r>
          </w:p>
        </w:tc>
        <w:tc>
          <w:tcPr>
            <w:tcW w:w="2851" w:type="dxa"/>
            <w:gridSpan w:val="15"/>
            <w:tcBorders>
              <w:top w:val="single" w:sz="4" w:space="0" w:color="000000"/>
              <w:left w:val="single" w:sz="4" w:space="0" w:color="000000"/>
              <w:bottom w:val="single" w:sz="4" w:space="0" w:color="000000"/>
            </w:tcBorders>
            <w:shd w:val="clear" w:color="auto" w:fill="E7E6E6"/>
            <w:vAlign w:val="center"/>
          </w:tcPr>
          <w:p w14:paraId="007B256B" w14:textId="77777777" w:rsidR="008242B3" w:rsidRPr="00937C8B" w:rsidRDefault="008242B3" w:rsidP="003E38D0">
            <w:pPr>
              <w:jc w:val="center"/>
              <w:rPr>
                <w:rFonts w:ascii="Arial" w:hAnsi="Arial" w:cs="Arial"/>
              </w:rPr>
            </w:pPr>
            <w:r>
              <w:rPr>
                <w:rFonts w:ascii="Arial" w:hAnsi="Arial"/>
                <w:bCs/>
                <w:sz w:val="14"/>
                <w:szCs w:val="14"/>
              </w:rPr>
              <w:t>D1</w:t>
            </w:r>
          </w:p>
        </w:tc>
        <w:tc>
          <w:tcPr>
            <w:tcW w:w="3201" w:type="dxa"/>
            <w:gridSpan w:val="14"/>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0F571D3E"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296B1948"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14:paraId="3305F9C3" w14:textId="77777777" w:rsidR="008242B3" w:rsidRPr="00937C8B" w:rsidRDefault="008242B3" w:rsidP="003E38D0">
            <w:pPr>
              <w:rPr>
                <w:rFonts w:ascii="Arial" w:hAnsi="Arial" w:cs="Arial"/>
              </w:rPr>
            </w:pPr>
            <w:r>
              <w:rPr>
                <w:rFonts w:ascii="Arial" w:hAnsi="Arial"/>
                <w:sz w:val="14"/>
                <w:szCs w:val="14"/>
              </w:rPr>
              <w:t>Castellón</w:t>
            </w:r>
          </w:p>
        </w:tc>
        <w:tc>
          <w:tcPr>
            <w:tcW w:w="1013" w:type="dxa"/>
            <w:gridSpan w:val="5"/>
            <w:tcBorders>
              <w:top w:val="single" w:sz="4" w:space="0" w:color="000000"/>
              <w:left w:val="single" w:sz="4" w:space="0" w:color="000000"/>
              <w:bottom w:val="single" w:sz="4" w:space="0" w:color="000000"/>
            </w:tcBorders>
            <w:shd w:val="clear" w:color="F2F2F2" w:fill="FFFFFF"/>
            <w:vAlign w:val="center"/>
          </w:tcPr>
          <w:p w14:paraId="074B86E5" w14:textId="77777777" w:rsidR="008242B3" w:rsidRPr="00937C8B" w:rsidRDefault="008242B3" w:rsidP="003E38D0">
            <w:pPr>
              <w:jc w:val="center"/>
              <w:rPr>
                <w:rFonts w:ascii="Arial" w:hAnsi="Arial" w:cs="Arial"/>
                <w:bCs/>
                <w:sz w:val="14"/>
                <w:szCs w:val="14"/>
              </w:rPr>
            </w:pPr>
            <w:r>
              <w:rPr>
                <w:rFonts w:ascii="Arial" w:hAnsi="Arial"/>
                <w:bCs/>
                <w:sz w:val="14"/>
                <w:szCs w:val="14"/>
              </w:rPr>
              <w:t>B3</w:t>
            </w:r>
          </w:p>
        </w:tc>
        <w:tc>
          <w:tcPr>
            <w:tcW w:w="2288" w:type="dxa"/>
            <w:gridSpan w:val="12"/>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7782C13D" w14:textId="77777777" w:rsidR="008242B3" w:rsidRPr="00937C8B" w:rsidRDefault="008242B3" w:rsidP="003E38D0">
            <w:pPr>
              <w:jc w:val="center"/>
              <w:rPr>
                <w:rFonts w:ascii="Arial" w:hAnsi="Arial" w:cs="Arial"/>
              </w:rPr>
            </w:pPr>
            <w:r>
              <w:rPr>
                <w:rFonts w:ascii="Arial" w:hAnsi="Arial"/>
                <w:bCs/>
                <w:sz w:val="14"/>
                <w:szCs w:val="14"/>
              </w:rPr>
              <w:t>C3</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6E3C32A3"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c>
          <w:tcPr>
            <w:tcW w:w="2296" w:type="dxa"/>
            <w:gridSpan w:val="11"/>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14:paraId="166F87FC"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BFBFBF"/>
            <w:tcMar>
              <w:left w:w="60" w:type="dxa"/>
              <w:right w:w="70" w:type="dxa"/>
            </w:tcMar>
            <w:vAlign w:val="center"/>
          </w:tcPr>
          <w:p w14:paraId="4FC09042"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6FEEB7B4"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5A8D0" w14:textId="77777777" w:rsidR="008242B3" w:rsidRPr="00937C8B" w:rsidRDefault="008242B3" w:rsidP="003E38D0">
            <w:pPr>
              <w:rPr>
                <w:rFonts w:ascii="Arial" w:hAnsi="Arial" w:cs="Arial"/>
                <w:sz w:val="14"/>
                <w:szCs w:val="14"/>
              </w:rPr>
            </w:pPr>
            <w:r>
              <w:rPr>
                <w:rFonts w:ascii="Arial" w:hAnsi="Arial"/>
                <w:sz w:val="14"/>
                <w:szCs w:val="14"/>
              </w:rPr>
              <w:t>Ceuta</w:t>
            </w:r>
          </w:p>
        </w:tc>
        <w:tc>
          <w:tcPr>
            <w:tcW w:w="7353" w:type="dxa"/>
            <w:gridSpan w:val="36"/>
            <w:tcBorders>
              <w:top w:val="single" w:sz="4" w:space="0" w:color="000000"/>
              <w:left w:val="single" w:sz="4" w:space="0" w:color="000000"/>
              <w:bottom w:val="single" w:sz="4" w:space="0" w:color="000000"/>
              <w:right w:val="single" w:sz="4" w:space="0" w:color="000000"/>
            </w:tcBorders>
            <w:shd w:val="clear" w:color="auto" w:fill="auto"/>
            <w:tcMar>
              <w:left w:w="55" w:type="dxa"/>
              <w:right w:w="70" w:type="dxa"/>
            </w:tcMar>
            <w:vAlign w:val="center"/>
          </w:tcPr>
          <w:p w14:paraId="3019FC3F" w14:textId="77777777" w:rsidR="008242B3" w:rsidRPr="00937C8B" w:rsidRDefault="008242B3" w:rsidP="003E38D0">
            <w:pPr>
              <w:jc w:val="center"/>
              <w:rPr>
                <w:rFonts w:ascii="Arial" w:hAnsi="Arial" w:cs="Arial"/>
                <w:bCs/>
                <w:sz w:val="14"/>
                <w:szCs w:val="14"/>
              </w:rPr>
            </w:pPr>
            <w:r>
              <w:rPr>
                <w:rFonts w:ascii="Arial" w:hAnsi="Arial"/>
                <w:bCs/>
                <w:sz w:val="14"/>
                <w:szCs w:val="14"/>
              </w:rPr>
              <w:t>B3</w:t>
            </w:r>
          </w:p>
        </w:tc>
      </w:tr>
      <w:tr w:rsidR="008242B3" w:rsidRPr="00937C8B" w14:paraId="7A352401"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14:paraId="340A64C9" w14:textId="77777777" w:rsidR="008242B3" w:rsidRPr="00937C8B" w:rsidRDefault="008242B3" w:rsidP="003E38D0">
            <w:pPr>
              <w:rPr>
                <w:rFonts w:ascii="Arial" w:hAnsi="Arial" w:cs="Arial"/>
                <w:sz w:val="14"/>
                <w:szCs w:val="14"/>
              </w:rPr>
            </w:pPr>
            <w:r>
              <w:rPr>
                <w:rFonts w:ascii="Arial" w:hAnsi="Arial"/>
                <w:sz w:val="14"/>
                <w:szCs w:val="14"/>
              </w:rPr>
              <w:t>Ciudad Real</w:t>
            </w:r>
          </w:p>
        </w:tc>
        <w:tc>
          <w:tcPr>
            <w:tcW w:w="3011" w:type="dxa"/>
            <w:gridSpan w:val="16"/>
            <w:tcBorders>
              <w:top w:val="single" w:sz="4" w:space="0" w:color="000000"/>
              <w:left w:val="single" w:sz="4" w:space="0" w:color="000000"/>
              <w:bottom w:val="single" w:sz="4" w:space="0" w:color="000000"/>
              <w:right w:val="single" w:sz="4" w:space="0" w:color="000000"/>
            </w:tcBorders>
            <w:shd w:val="clear" w:color="F2F2F2" w:fill="FFFFFF"/>
            <w:tcMar>
              <w:left w:w="55" w:type="dxa"/>
              <w:right w:w="70" w:type="dxa"/>
            </w:tcMar>
            <w:vAlign w:val="center"/>
          </w:tcPr>
          <w:p w14:paraId="0DC9382F" w14:textId="77777777" w:rsidR="008242B3" w:rsidRPr="00937C8B" w:rsidRDefault="008242B3" w:rsidP="003E38D0">
            <w:pPr>
              <w:jc w:val="center"/>
              <w:rPr>
                <w:rFonts w:ascii="Arial" w:hAnsi="Arial" w:cs="Arial"/>
                <w:bCs/>
                <w:sz w:val="14"/>
                <w:szCs w:val="14"/>
              </w:rPr>
            </w:pPr>
            <w:r>
              <w:rPr>
                <w:rFonts w:ascii="Arial" w:hAnsi="Arial"/>
                <w:bCs/>
                <w:sz w:val="14"/>
                <w:szCs w:val="14"/>
              </w:rPr>
              <w:t>C4</w:t>
            </w:r>
          </w:p>
        </w:tc>
        <w:tc>
          <w:tcPr>
            <w:tcW w:w="29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B7D0949"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4052" w:type="dxa"/>
            <w:gridSpan w:val="19"/>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06DA27CA"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r>
      <w:tr w:rsidR="008242B3" w:rsidRPr="00937C8B" w14:paraId="533DFD3B"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34055" w14:textId="77777777" w:rsidR="008242B3" w:rsidRPr="00937C8B" w:rsidRDefault="008242B3" w:rsidP="003E38D0">
            <w:pPr>
              <w:rPr>
                <w:rFonts w:ascii="Arial" w:hAnsi="Arial" w:cs="Arial"/>
                <w:sz w:val="14"/>
                <w:szCs w:val="14"/>
              </w:rPr>
            </w:pPr>
            <w:r>
              <w:rPr>
                <w:rFonts w:ascii="Arial" w:hAnsi="Arial"/>
                <w:sz w:val="14"/>
                <w:szCs w:val="14"/>
              </w:rPr>
              <w:t>Cordoue</w:t>
            </w:r>
          </w:p>
        </w:tc>
        <w:tc>
          <w:tcPr>
            <w:tcW w:w="1281" w:type="dxa"/>
            <w:gridSpan w:val="6"/>
            <w:tcBorders>
              <w:top w:val="single" w:sz="4" w:space="0" w:color="000000"/>
              <w:left w:val="single" w:sz="4" w:space="0" w:color="000000"/>
              <w:bottom w:val="single" w:sz="4" w:space="0" w:color="000000"/>
              <w:right w:val="single" w:sz="4" w:space="0" w:color="000000"/>
            </w:tcBorders>
            <w:shd w:val="clear" w:color="auto" w:fill="auto"/>
            <w:tcMar>
              <w:left w:w="55" w:type="dxa"/>
              <w:right w:w="70" w:type="dxa"/>
            </w:tcMar>
            <w:vAlign w:val="center"/>
          </w:tcPr>
          <w:p w14:paraId="6EB7F463" w14:textId="77777777" w:rsidR="008242B3" w:rsidRPr="00937C8B" w:rsidRDefault="008242B3" w:rsidP="003E38D0">
            <w:pPr>
              <w:jc w:val="center"/>
              <w:rPr>
                <w:rFonts w:ascii="Arial" w:hAnsi="Arial" w:cs="Arial"/>
                <w:bCs/>
                <w:sz w:val="14"/>
                <w:szCs w:val="14"/>
              </w:rPr>
            </w:pPr>
            <w:r>
              <w:rPr>
                <w:rFonts w:ascii="Arial" w:hAnsi="Arial"/>
                <w:bCs/>
                <w:sz w:val="14"/>
                <w:szCs w:val="14"/>
              </w:rPr>
              <w:t>B4</w:t>
            </w:r>
          </w:p>
        </w:tc>
        <w:tc>
          <w:tcPr>
            <w:tcW w:w="2309" w:type="dxa"/>
            <w:gridSpan w:val="12"/>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22276F4E" w14:textId="77777777" w:rsidR="008242B3" w:rsidRPr="00937C8B" w:rsidRDefault="008242B3" w:rsidP="003E38D0">
            <w:pPr>
              <w:jc w:val="center"/>
              <w:rPr>
                <w:rFonts w:ascii="Arial" w:hAnsi="Arial" w:cs="Arial"/>
                <w:bCs/>
                <w:sz w:val="14"/>
                <w:szCs w:val="14"/>
              </w:rPr>
            </w:pPr>
            <w:r>
              <w:rPr>
                <w:rFonts w:ascii="Arial" w:hAnsi="Arial"/>
                <w:bCs/>
                <w:sz w:val="14"/>
                <w:szCs w:val="14"/>
              </w:rPr>
              <w:t>C4</w:t>
            </w:r>
          </w:p>
        </w:tc>
        <w:tc>
          <w:tcPr>
            <w:tcW w:w="3763" w:type="dxa"/>
            <w:gridSpan w:val="18"/>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5DE5C832"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r>
      <w:tr w:rsidR="008242B3" w:rsidRPr="00937C8B" w14:paraId="2B5395DD"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14:paraId="0C289CD3" w14:textId="77777777" w:rsidR="008242B3" w:rsidRPr="00937C8B" w:rsidRDefault="008242B3" w:rsidP="003E38D0">
            <w:pPr>
              <w:rPr>
                <w:rFonts w:ascii="Arial" w:hAnsi="Arial" w:cs="Arial"/>
              </w:rPr>
            </w:pPr>
            <w:r>
              <w:rPr>
                <w:rFonts w:ascii="Arial" w:hAnsi="Arial"/>
                <w:sz w:val="14"/>
                <w:szCs w:val="14"/>
              </w:rPr>
              <w:t>Corogne, La</w:t>
            </w:r>
          </w:p>
        </w:tc>
        <w:tc>
          <w:tcPr>
            <w:tcW w:w="1569" w:type="dxa"/>
            <w:gridSpan w:val="8"/>
            <w:tcBorders>
              <w:top w:val="single" w:sz="4" w:space="0" w:color="000000"/>
              <w:left w:val="single" w:sz="4" w:space="0" w:color="000000"/>
              <w:bottom w:val="single" w:sz="4" w:space="0" w:color="000000"/>
              <w:right w:val="single" w:sz="4" w:space="0" w:color="000000"/>
            </w:tcBorders>
            <w:shd w:val="clear" w:color="F2F2F2" w:fill="FFFFFF"/>
            <w:tcMar>
              <w:left w:w="55" w:type="dxa"/>
              <w:right w:w="70" w:type="dxa"/>
            </w:tcMar>
            <w:vAlign w:val="center"/>
          </w:tcPr>
          <w:p w14:paraId="0D14FCB5" w14:textId="77777777" w:rsidR="008242B3" w:rsidRPr="00937C8B" w:rsidRDefault="008242B3" w:rsidP="003E38D0">
            <w:pPr>
              <w:jc w:val="center"/>
              <w:rPr>
                <w:rFonts w:ascii="Arial" w:hAnsi="Arial" w:cs="Arial"/>
                <w:bCs/>
                <w:sz w:val="14"/>
                <w:szCs w:val="14"/>
              </w:rPr>
            </w:pPr>
            <w:r>
              <w:rPr>
                <w:rFonts w:ascii="Arial" w:hAnsi="Arial"/>
                <w:bCs/>
                <w:sz w:val="14"/>
                <w:szCs w:val="14"/>
              </w:rPr>
              <w:t>C1</w:t>
            </w:r>
          </w:p>
        </w:tc>
        <w:tc>
          <w:tcPr>
            <w:tcW w:w="5784" w:type="dxa"/>
            <w:gridSpan w:val="28"/>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792F6C1D" w14:textId="77777777" w:rsidR="008242B3" w:rsidRPr="00937C8B" w:rsidRDefault="008242B3" w:rsidP="003E38D0">
            <w:pPr>
              <w:jc w:val="center"/>
              <w:rPr>
                <w:rFonts w:ascii="Arial" w:hAnsi="Arial" w:cs="Arial"/>
                <w:bCs/>
                <w:sz w:val="14"/>
                <w:szCs w:val="14"/>
              </w:rPr>
            </w:pPr>
            <w:r>
              <w:rPr>
                <w:rFonts w:ascii="Arial" w:hAnsi="Arial"/>
                <w:bCs/>
                <w:sz w:val="14"/>
                <w:szCs w:val="14"/>
              </w:rPr>
              <w:t>D1</w:t>
            </w:r>
          </w:p>
        </w:tc>
      </w:tr>
      <w:tr w:rsidR="008242B3" w:rsidRPr="00937C8B" w14:paraId="3BAD0E50"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9068B" w14:textId="77777777" w:rsidR="008242B3" w:rsidRPr="00937C8B" w:rsidRDefault="008242B3" w:rsidP="003E38D0">
            <w:pPr>
              <w:rPr>
                <w:rFonts w:ascii="Arial" w:hAnsi="Arial" w:cs="Arial"/>
                <w:sz w:val="14"/>
                <w:szCs w:val="14"/>
              </w:rPr>
            </w:pPr>
            <w:r>
              <w:rPr>
                <w:rFonts w:ascii="Arial" w:hAnsi="Arial"/>
                <w:sz w:val="14"/>
                <w:szCs w:val="14"/>
              </w:rPr>
              <w:t>Cuenca</w:t>
            </w:r>
          </w:p>
        </w:tc>
        <w:tc>
          <w:tcPr>
            <w:tcW w:w="5033" w:type="dxa"/>
            <w:gridSpan w:val="27"/>
            <w:tcBorders>
              <w:top w:val="single" w:sz="4" w:space="0" w:color="000000"/>
              <w:left w:val="single" w:sz="4" w:space="0" w:color="000000"/>
              <w:bottom w:val="single" w:sz="4" w:space="0" w:color="000000"/>
              <w:right w:val="single" w:sz="4" w:space="0" w:color="000000"/>
            </w:tcBorders>
            <w:shd w:val="clear" w:color="auto" w:fill="auto"/>
            <w:tcMar>
              <w:left w:w="55" w:type="dxa"/>
              <w:right w:w="70" w:type="dxa"/>
            </w:tcMar>
            <w:vAlign w:val="center"/>
          </w:tcPr>
          <w:p w14:paraId="2F6CD25F"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c>
          <w:tcPr>
            <w:tcW w:w="1453" w:type="dxa"/>
            <w:gridSpan w:val="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7CCF521C"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867" w:type="dxa"/>
            <w:gridSpan w:val="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388E06F1"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47BAD38F"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14:paraId="790AE6D4" w14:textId="77777777" w:rsidR="008242B3" w:rsidRPr="00937C8B" w:rsidRDefault="008242B3" w:rsidP="003E38D0">
            <w:pPr>
              <w:rPr>
                <w:rFonts w:ascii="Arial" w:hAnsi="Arial" w:cs="Arial"/>
              </w:rPr>
            </w:pPr>
            <w:r>
              <w:rPr>
                <w:rFonts w:ascii="Arial" w:hAnsi="Arial"/>
                <w:sz w:val="14"/>
                <w:szCs w:val="14"/>
              </w:rPr>
              <w:t>Gipuzkoa</w:t>
            </w:r>
          </w:p>
        </w:tc>
        <w:tc>
          <w:tcPr>
            <w:tcW w:w="2754" w:type="dxa"/>
            <w:gridSpan w:val="15"/>
            <w:tcBorders>
              <w:top w:val="single" w:sz="4" w:space="0" w:color="000000"/>
              <w:left w:val="single" w:sz="4" w:space="0" w:color="000000"/>
              <w:bottom w:val="single" w:sz="4" w:space="0" w:color="000000"/>
            </w:tcBorders>
            <w:shd w:val="clear" w:color="auto" w:fill="auto"/>
            <w:vAlign w:val="center"/>
          </w:tcPr>
          <w:p w14:paraId="32465611" w14:textId="77777777" w:rsidR="008242B3" w:rsidRPr="00937C8B" w:rsidRDefault="008242B3" w:rsidP="003E38D0">
            <w:pPr>
              <w:jc w:val="center"/>
              <w:rPr>
                <w:rFonts w:ascii="Arial" w:hAnsi="Arial" w:cs="Arial"/>
              </w:rPr>
            </w:pPr>
            <w:r>
              <w:rPr>
                <w:rFonts w:ascii="Arial" w:hAnsi="Arial"/>
                <w:bCs/>
                <w:sz w:val="14"/>
                <w:szCs w:val="14"/>
              </w:rPr>
              <w:t>D1</w:t>
            </w:r>
          </w:p>
        </w:tc>
        <w:tc>
          <w:tcPr>
            <w:tcW w:w="4599" w:type="dxa"/>
            <w:gridSpan w:val="21"/>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4F60982D"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60CBB43B"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2ED4A" w14:textId="77777777" w:rsidR="008242B3" w:rsidRPr="00937C8B" w:rsidRDefault="008242B3" w:rsidP="003E38D0">
            <w:pPr>
              <w:rPr>
                <w:rFonts w:ascii="Arial" w:hAnsi="Arial" w:cs="Arial"/>
              </w:rPr>
            </w:pPr>
            <w:r>
              <w:rPr>
                <w:rFonts w:ascii="Arial" w:hAnsi="Arial"/>
                <w:sz w:val="14"/>
                <w:szCs w:val="14"/>
              </w:rPr>
              <w:t>Gérone</w:t>
            </w:r>
          </w:p>
        </w:tc>
        <w:tc>
          <w:tcPr>
            <w:tcW w:w="1013" w:type="dxa"/>
            <w:gridSpan w:val="5"/>
            <w:tcBorders>
              <w:top w:val="single" w:sz="4" w:space="0" w:color="000000"/>
              <w:left w:val="single" w:sz="4" w:space="0" w:color="000000"/>
              <w:bottom w:val="single" w:sz="4" w:space="0" w:color="000000"/>
            </w:tcBorders>
            <w:shd w:val="clear" w:color="auto" w:fill="auto"/>
            <w:vAlign w:val="center"/>
          </w:tcPr>
          <w:p w14:paraId="39660FA4" w14:textId="77777777" w:rsidR="008242B3" w:rsidRPr="00937C8B" w:rsidRDefault="008242B3" w:rsidP="003E38D0">
            <w:pPr>
              <w:jc w:val="center"/>
              <w:rPr>
                <w:rFonts w:ascii="Arial" w:hAnsi="Arial" w:cs="Arial"/>
              </w:rPr>
            </w:pPr>
            <w:r>
              <w:rPr>
                <w:rFonts w:ascii="Arial" w:hAnsi="Arial"/>
                <w:bCs/>
                <w:sz w:val="14"/>
                <w:szCs w:val="14"/>
              </w:rPr>
              <w:t>C2</w:t>
            </w:r>
          </w:p>
        </w:tc>
        <w:tc>
          <w:tcPr>
            <w:tcW w:w="2865" w:type="dxa"/>
            <w:gridSpan w:val="15"/>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1B72E5AA" w14:textId="77777777" w:rsidR="008242B3" w:rsidRPr="00937C8B" w:rsidRDefault="008242B3" w:rsidP="003E38D0">
            <w:pPr>
              <w:jc w:val="center"/>
              <w:rPr>
                <w:rFonts w:ascii="Arial" w:hAnsi="Arial" w:cs="Arial"/>
              </w:rPr>
            </w:pPr>
            <w:r>
              <w:rPr>
                <w:rFonts w:ascii="Arial" w:hAnsi="Arial"/>
                <w:bCs/>
                <w:sz w:val="14"/>
                <w:szCs w:val="14"/>
              </w:rPr>
              <w:t>D2</w:t>
            </w:r>
          </w:p>
        </w:tc>
        <w:tc>
          <w:tcPr>
            <w:tcW w:w="3475" w:type="dxa"/>
            <w:gridSpan w:val="16"/>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21E1717E"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113B8470"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1CE23E3" w14:textId="77777777" w:rsidR="008242B3" w:rsidRPr="00937C8B" w:rsidRDefault="008242B3" w:rsidP="003E38D0">
            <w:pPr>
              <w:rPr>
                <w:rFonts w:ascii="Arial" w:hAnsi="Arial" w:cs="Arial"/>
                <w:sz w:val="14"/>
                <w:szCs w:val="14"/>
              </w:rPr>
            </w:pPr>
            <w:r>
              <w:rPr>
                <w:rFonts w:ascii="Arial" w:hAnsi="Arial"/>
                <w:sz w:val="14"/>
                <w:szCs w:val="14"/>
              </w:rPr>
              <w:t>Grenade</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376E2" w14:textId="77777777" w:rsidR="008242B3" w:rsidRPr="00937C8B" w:rsidRDefault="008242B3" w:rsidP="003E38D0">
            <w:pPr>
              <w:jc w:val="center"/>
              <w:rPr>
                <w:rFonts w:ascii="Arial" w:hAnsi="Arial" w:cs="Arial"/>
                <w:bCs/>
                <w:sz w:val="14"/>
                <w:szCs w:val="14"/>
              </w:rPr>
            </w:pPr>
            <w:r>
              <w:rPr>
                <w:rFonts w:ascii="Arial" w:hAnsi="Arial"/>
                <w:bCs/>
                <w:sz w:val="14"/>
                <w:szCs w:val="14"/>
              </w:rPr>
              <w:t>A4</w:t>
            </w:r>
          </w:p>
        </w:tc>
        <w:tc>
          <w:tcPr>
            <w:tcW w:w="1796" w:type="dxa"/>
            <w:gridSpan w:val="10"/>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23349785" w14:textId="77777777" w:rsidR="008242B3" w:rsidRPr="00937C8B" w:rsidRDefault="008242B3" w:rsidP="003E38D0">
            <w:pPr>
              <w:jc w:val="center"/>
              <w:rPr>
                <w:rFonts w:ascii="Arial" w:hAnsi="Arial" w:cs="Arial"/>
                <w:bCs/>
                <w:sz w:val="14"/>
                <w:szCs w:val="14"/>
              </w:rPr>
            </w:pPr>
            <w:r>
              <w:rPr>
                <w:rFonts w:ascii="Arial" w:hAnsi="Arial"/>
                <w:bCs/>
                <w:sz w:val="14"/>
                <w:szCs w:val="14"/>
              </w:rPr>
              <w:t>B4</w:t>
            </w:r>
          </w:p>
        </w:tc>
        <w:tc>
          <w:tcPr>
            <w:tcW w:w="1441" w:type="dxa"/>
            <w:gridSpan w:val="8"/>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33A58483" w14:textId="77777777" w:rsidR="008242B3" w:rsidRPr="00937C8B" w:rsidRDefault="008242B3" w:rsidP="003E38D0">
            <w:pPr>
              <w:jc w:val="center"/>
              <w:rPr>
                <w:rFonts w:ascii="Arial" w:hAnsi="Arial" w:cs="Arial"/>
                <w:bCs/>
                <w:sz w:val="14"/>
                <w:szCs w:val="14"/>
              </w:rPr>
            </w:pPr>
            <w:r>
              <w:rPr>
                <w:rFonts w:ascii="Arial" w:hAnsi="Arial"/>
                <w:bCs/>
                <w:sz w:val="14"/>
                <w:szCs w:val="14"/>
              </w:rPr>
              <w:t>C4</w:t>
            </w:r>
          </w:p>
        </w:tc>
        <w:tc>
          <w:tcPr>
            <w:tcW w:w="1155" w:type="dxa"/>
            <w:gridSpan w:val="7"/>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14:paraId="6FD95C18"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2034" w:type="dxa"/>
            <w:gridSpan w:val="8"/>
            <w:tcBorders>
              <w:top w:val="single" w:sz="4" w:space="0" w:color="000000"/>
              <w:left w:val="single" w:sz="4" w:space="0" w:color="000000"/>
              <w:bottom w:val="single" w:sz="4" w:space="0" w:color="000000"/>
              <w:right w:val="single" w:sz="4" w:space="0" w:color="000000"/>
            </w:tcBorders>
            <w:shd w:val="clear" w:color="auto" w:fill="BFBFBF"/>
            <w:tcMar>
              <w:left w:w="60" w:type="dxa"/>
              <w:right w:w="70" w:type="dxa"/>
            </w:tcMar>
            <w:vAlign w:val="center"/>
          </w:tcPr>
          <w:p w14:paraId="00AF0201"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c>
          <w:tcPr>
            <w:tcW w:w="286" w:type="dxa"/>
            <w:tcBorders>
              <w:top w:val="single" w:sz="4" w:space="0" w:color="000000"/>
              <w:left w:val="single" w:sz="4" w:space="0" w:color="000000"/>
              <w:bottom w:val="single" w:sz="4" w:space="0" w:color="000000"/>
              <w:right w:val="single" w:sz="4" w:space="0" w:color="000000"/>
            </w:tcBorders>
            <w:shd w:val="clear" w:color="auto" w:fill="A6A6A6"/>
            <w:tcMar>
              <w:left w:w="60" w:type="dxa"/>
              <w:right w:w="70" w:type="dxa"/>
            </w:tcMar>
            <w:vAlign w:val="center"/>
          </w:tcPr>
          <w:p w14:paraId="54EC8873" w14:textId="77777777" w:rsidR="008242B3" w:rsidRPr="00937C8B" w:rsidRDefault="008242B3" w:rsidP="003E38D0">
            <w:pPr>
              <w:ind w:left="-53"/>
              <w:rPr>
                <w:rFonts w:ascii="Arial" w:hAnsi="Arial" w:cs="Arial"/>
                <w:bCs/>
                <w:sz w:val="14"/>
                <w:szCs w:val="14"/>
              </w:rPr>
            </w:pPr>
            <w:r>
              <w:rPr>
                <w:rFonts w:ascii="Arial" w:hAnsi="Arial"/>
                <w:bCs/>
                <w:sz w:val="14"/>
                <w:szCs w:val="14"/>
              </w:rPr>
              <w:t>E1</w:t>
            </w:r>
          </w:p>
        </w:tc>
      </w:tr>
      <w:tr w:rsidR="008242B3" w:rsidRPr="00937C8B" w14:paraId="338DC839"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487C4" w14:textId="77777777" w:rsidR="008242B3" w:rsidRPr="00937C8B" w:rsidRDefault="008242B3" w:rsidP="003E38D0">
            <w:pPr>
              <w:rPr>
                <w:rFonts w:ascii="Arial" w:hAnsi="Arial" w:cs="Arial"/>
                <w:sz w:val="14"/>
                <w:szCs w:val="14"/>
              </w:rPr>
            </w:pPr>
            <w:r>
              <w:rPr>
                <w:rFonts w:ascii="Arial" w:hAnsi="Arial"/>
                <w:sz w:val="14"/>
                <w:szCs w:val="14"/>
              </w:rPr>
              <w:t>Guadalajara</w:t>
            </w:r>
          </w:p>
        </w:tc>
        <w:tc>
          <w:tcPr>
            <w:tcW w:w="5897"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14:paraId="4CE94431"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c>
          <w:tcPr>
            <w:tcW w:w="27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E9EB69"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7F8EC4B"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6921A690"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6146F76A" w14:textId="77777777" w:rsidR="008242B3" w:rsidRPr="00937C8B" w:rsidRDefault="008242B3" w:rsidP="003E38D0">
            <w:pPr>
              <w:rPr>
                <w:rFonts w:ascii="Arial" w:hAnsi="Arial" w:cs="Arial"/>
                <w:sz w:val="14"/>
                <w:szCs w:val="14"/>
              </w:rPr>
            </w:pPr>
            <w:r>
              <w:rPr>
                <w:rFonts w:ascii="Arial" w:hAnsi="Arial"/>
                <w:sz w:val="14"/>
                <w:szCs w:val="14"/>
              </w:rPr>
              <w:t>Huelva</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8E8CFF" w14:textId="77777777" w:rsidR="008242B3" w:rsidRPr="00937C8B" w:rsidRDefault="008242B3" w:rsidP="003E38D0">
            <w:pPr>
              <w:jc w:val="center"/>
              <w:rPr>
                <w:rFonts w:ascii="Arial" w:hAnsi="Arial" w:cs="Arial"/>
                <w:bCs/>
                <w:sz w:val="14"/>
                <w:szCs w:val="14"/>
              </w:rPr>
            </w:pPr>
            <w:r>
              <w:rPr>
                <w:rFonts w:ascii="Arial" w:hAnsi="Arial"/>
                <w:bCs/>
                <w:sz w:val="14"/>
                <w:szCs w:val="14"/>
              </w:rPr>
              <w:t>A4</w:t>
            </w:r>
          </w:p>
        </w:tc>
        <w:tc>
          <w:tcPr>
            <w:tcW w:w="640"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49C41DA1" w14:textId="77777777" w:rsidR="008242B3" w:rsidRPr="00937C8B" w:rsidRDefault="008242B3" w:rsidP="003E38D0">
            <w:pPr>
              <w:jc w:val="center"/>
              <w:rPr>
                <w:rFonts w:ascii="Arial" w:hAnsi="Arial" w:cs="Arial"/>
                <w:bCs/>
                <w:sz w:val="14"/>
                <w:szCs w:val="14"/>
              </w:rPr>
            </w:pPr>
            <w:r>
              <w:rPr>
                <w:rFonts w:ascii="Arial" w:hAnsi="Arial"/>
                <w:bCs/>
                <w:sz w:val="14"/>
                <w:szCs w:val="14"/>
              </w:rPr>
              <w:t>B4</w:t>
            </w:r>
          </w:p>
        </w:tc>
        <w:tc>
          <w:tcPr>
            <w:tcW w:w="1156"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3B1813C" w14:textId="77777777" w:rsidR="008242B3" w:rsidRPr="00937C8B" w:rsidRDefault="008242B3" w:rsidP="003E38D0">
            <w:pPr>
              <w:jc w:val="center"/>
              <w:rPr>
                <w:rFonts w:ascii="Arial" w:hAnsi="Arial" w:cs="Arial"/>
                <w:bCs/>
                <w:sz w:val="14"/>
                <w:szCs w:val="14"/>
              </w:rPr>
            </w:pPr>
            <w:r>
              <w:rPr>
                <w:rFonts w:ascii="Arial" w:hAnsi="Arial"/>
                <w:bCs/>
                <w:sz w:val="14"/>
                <w:szCs w:val="14"/>
              </w:rPr>
              <w:t>B3</w:t>
            </w:r>
          </w:p>
        </w:tc>
        <w:tc>
          <w:tcPr>
            <w:tcW w:w="2596" w:type="dxa"/>
            <w:gridSpan w:val="15"/>
            <w:tcBorders>
              <w:top w:val="single" w:sz="4" w:space="0" w:color="000000"/>
              <w:left w:val="single" w:sz="4" w:space="0" w:color="000000"/>
              <w:bottom w:val="single" w:sz="4" w:space="0" w:color="000000"/>
              <w:right w:val="single" w:sz="4" w:space="0" w:color="000000"/>
            </w:tcBorders>
            <w:shd w:val="clear" w:color="auto" w:fill="D0CECE"/>
            <w:vAlign w:val="center"/>
          </w:tcPr>
          <w:p w14:paraId="4BB782CF"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BFBFBF"/>
            <w:vAlign w:val="center"/>
          </w:tcPr>
          <w:p w14:paraId="5A2218E3"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r>
      <w:tr w:rsidR="008242B3" w:rsidRPr="00937C8B" w14:paraId="4D56F761"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FC3F2" w14:textId="77777777" w:rsidR="008242B3" w:rsidRPr="00937C8B" w:rsidRDefault="008242B3" w:rsidP="003E38D0">
            <w:pPr>
              <w:rPr>
                <w:rFonts w:ascii="Arial" w:hAnsi="Arial" w:cs="Arial"/>
                <w:sz w:val="14"/>
                <w:szCs w:val="14"/>
              </w:rPr>
            </w:pPr>
            <w:r>
              <w:rPr>
                <w:rFonts w:ascii="Arial" w:hAnsi="Arial"/>
                <w:sz w:val="14"/>
                <w:szCs w:val="14"/>
              </w:rPr>
              <w:t>Huesca</w:t>
            </w:r>
          </w:p>
        </w:tc>
        <w:tc>
          <w:tcPr>
            <w:tcW w:w="15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10CE864"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1155"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tcPr>
          <w:p w14:paraId="773C171F"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c>
          <w:tcPr>
            <w:tcW w:w="1730"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574FF573"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2899" w:type="dxa"/>
            <w:gridSpan w:val="12"/>
            <w:tcBorders>
              <w:top w:val="single" w:sz="4" w:space="0" w:color="000000"/>
              <w:left w:val="single" w:sz="4" w:space="0" w:color="000000"/>
              <w:bottom w:val="single" w:sz="4" w:space="0" w:color="000000"/>
              <w:right w:val="single" w:sz="4" w:space="0" w:color="000000"/>
            </w:tcBorders>
            <w:shd w:val="clear" w:color="auto" w:fill="D0CECE"/>
            <w:vAlign w:val="center"/>
          </w:tcPr>
          <w:p w14:paraId="318819EA"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6CC682FB"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C5D281F" w14:textId="77777777" w:rsidR="008242B3" w:rsidRPr="00937C8B" w:rsidRDefault="008242B3" w:rsidP="003E38D0">
            <w:pPr>
              <w:rPr>
                <w:rFonts w:ascii="Arial" w:hAnsi="Arial" w:cs="Arial"/>
                <w:sz w:val="14"/>
                <w:szCs w:val="14"/>
              </w:rPr>
            </w:pPr>
            <w:r>
              <w:rPr>
                <w:rFonts w:ascii="Arial" w:hAnsi="Arial"/>
                <w:sz w:val="14"/>
                <w:szCs w:val="14"/>
              </w:rPr>
              <w:t>Jaén</w:t>
            </w:r>
          </w:p>
        </w:tc>
        <w:tc>
          <w:tcPr>
            <w:tcW w:w="243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CD8E59C" w14:textId="77777777" w:rsidR="008242B3" w:rsidRPr="00937C8B" w:rsidRDefault="008242B3" w:rsidP="003E38D0">
            <w:pPr>
              <w:jc w:val="center"/>
              <w:rPr>
                <w:rFonts w:ascii="Arial" w:hAnsi="Arial" w:cs="Arial"/>
                <w:bCs/>
                <w:sz w:val="14"/>
                <w:szCs w:val="14"/>
              </w:rPr>
            </w:pPr>
            <w:r>
              <w:rPr>
                <w:rFonts w:ascii="Arial" w:hAnsi="Arial"/>
                <w:bCs/>
                <w:sz w:val="14"/>
                <w:szCs w:val="14"/>
              </w:rPr>
              <w:t>B4</w:t>
            </w:r>
          </w:p>
        </w:tc>
        <w:tc>
          <w:tcPr>
            <w:tcW w:w="2306" w:type="dxa"/>
            <w:gridSpan w:val="14"/>
            <w:tcBorders>
              <w:top w:val="single" w:sz="4" w:space="0" w:color="000000"/>
              <w:left w:val="single" w:sz="4" w:space="0" w:color="000000"/>
              <w:bottom w:val="single" w:sz="4" w:space="0" w:color="000000"/>
              <w:right w:val="single" w:sz="4" w:space="0" w:color="000000"/>
            </w:tcBorders>
            <w:shd w:val="clear" w:color="auto" w:fill="E7E6E6"/>
            <w:vAlign w:val="center"/>
          </w:tcPr>
          <w:p w14:paraId="67ED5BEC" w14:textId="77777777" w:rsidR="008242B3" w:rsidRPr="00937C8B" w:rsidRDefault="008242B3" w:rsidP="003E38D0">
            <w:pPr>
              <w:jc w:val="center"/>
              <w:rPr>
                <w:rFonts w:ascii="Arial" w:hAnsi="Arial" w:cs="Arial"/>
                <w:bCs/>
                <w:sz w:val="14"/>
                <w:szCs w:val="14"/>
              </w:rPr>
            </w:pPr>
            <w:r>
              <w:rPr>
                <w:rFonts w:ascii="Arial" w:hAnsi="Arial"/>
                <w:bCs/>
                <w:sz w:val="14"/>
                <w:szCs w:val="14"/>
              </w:rPr>
              <w:t>C4</w:t>
            </w:r>
          </w:p>
        </w:tc>
        <w:tc>
          <w:tcPr>
            <w:tcW w:w="2035"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17EC6D2A"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c>
          <w:tcPr>
            <w:tcW w:w="5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424A478"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7792B7C7"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BCCE6" w14:textId="77777777" w:rsidR="008242B3" w:rsidRPr="00937C8B" w:rsidRDefault="008242B3" w:rsidP="003E38D0">
            <w:pPr>
              <w:rPr>
                <w:rFonts w:ascii="Arial" w:hAnsi="Arial" w:cs="Arial"/>
                <w:sz w:val="14"/>
                <w:szCs w:val="14"/>
              </w:rPr>
            </w:pPr>
            <w:r>
              <w:rPr>
                <w:rFonts w:ascii="Arial" w:hAnsi="Arial"/>
                <w:sz w:val="14"/>
                <w:szCs w:val="14"/>
              </w:rPr>
              <w:t>León</w:t>
            </w:r>
          </w:p>
        </w:tc>
        <w:tc>
          <w:tcPr>
            <w:tcW w:w="7353" w:type="dxa"/>
            <w:gridSpan w:val="36"/>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721054D1"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57C09363"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52A15630" w14:textId="77777777" w:rsidR="008242B3" w:rsidRPr="00937C8B" w:rsidRDefault="008242B3" w:rsidP="003E38D0">
            <w:pPr>
              <w:rPr>
                <w:rFonts w:ascii="Arial" w:hAnsi="Arial" w:cs="Arial"/>
                <w:sz w:val="14"/>
                <w:szCs w:val="14"/>
              </w:rPr>
            </w:pPr>
            <w:r>
              <w:rPr>
                <w:rFonts w:ascii="Arial" w:hAnsi="Arial"/>
                <w:sz w:val="14"/>
                <w:szCs w:val="14"/>
              </w:rPr>
              <w:t>Lleida</w:t>
            </w:r>
          </w:p>
        </w:tc>
        <w:tc>
          <w:tcPr>
            <w:tcW w:w="9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27443E3"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2892" w:type="dxa"/>
            <w:gridSpan w:val="16"/>
            <w:tcBorders>
              <w:top w:val="single" w:sz="4" w:space="0" w:color="000000"/>
              <w:left w:val="single" w:sz="4" w:space="0" w:color="000000"/>
              <w:bottom w:val="single" w:sz="4" w:space="0" w:color="000000"/>
              <w:right w:val="single" w:sz="4" w:space="0" w:color="000000"/>
            </w:tcBorders>
            <w:shd w:val="clear" w:color="auto" w:fill="E7E6E6"/>
            <w:vAlign w:val="center"/>
          </w:tcPr>
          <w:p w14:paraId="115D03C8"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c>
          <w:tcPr>
            <w:tcW w:w="3475" w:type="dxa"/>
            <w:gridSpan w:val="16"/>
            <w:tcBorders>
              <w:top w:val="single" w:sz="4" w:space="0" w:color="000000"/>
              <w:left w:val="single" w:sz="4" w:space="0" w:color="000000"/>
              <w:bottom w:val="single" w:sz="4" w:space="0" w:color="000000"/>
              <w:right w:val="single" w:sz="4" w:space="0" w:color="000000"/>
            </w:tcBorders>
            <w:shd w:val="clear" w:color="auto" w:fill="D9D9D9"/>
            <w:vAlign w:val="center"/>
          </w:tcPr>
          <w:p w14:paraId="3866B87E"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262E76C5"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2019" w14:textId="77777777" w:rsidR="008242B3" w:rsidRPr="00937C8B" w:rsidRDefault="008242B3" w:rsidP="003E38D0">
            <w:pPr>
              <w:rPr>
                <w:rFonts w:ascii="Arial" w:hAnsi="Arial" w:cs="Arial"/>
              </w:rPr>
            </w:pPr>
            <w:r>
              <w:rPr>
                <w:rFonts w:ascii="Arial" w:hAnsi="Arial"/>
                <w:sz w:val="14"/>
                <w:szCs w:val="14"/>
              </w:rPr>
              <w:t>Lugo</w:t>
            </w:r>
          </w:p>
        </w:tc>
        <w:tc>
          <w:tcPr>
            <w:tcW w:w="3301"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51531E78" w14:textId="77777777" w:rsidR="008242B3" w:rsidRPr="00937C8B" w:rsidRDefault="008242B3" w:rsidP="003E38D0">
            <w:pPr>
              <w:jc w:val="center"/>
              <w:rPr>
                <w:rFonts w:ascii="Arial" w:hAnsi="Arial" w:cs="Arial"/>
                <w:bCs/>
                <w:sz w:val="14"/>
                <w:szCs w:val="14"/>
              </w:rPr>
            </w:pPr>
            <w:r>
              <w:rPr>
                <w:rFonts w:ascii="Arial" w:hAnsi="Arial"/>
                <w:bCs/>
                <w:sz w:val="14"/>
                <w:szCs w:val="14"/>
              </w:rPr>
              <w:t>D1</w:t>
            </w:r>
          </w:p>
        </w:tc>
        <w:tc>
          <w:tcPr>
            <w:tcW w:w="4052" w:type="dxa"/>
            <w:gridSpan w:val="19"/>
            <w:tcBorders>
              <w:top w:val="single" w:sz="4" w:space="0" w:color="000000"/>
              <w:left w:val="single" w:sz="4" w:space="0" w:color="000000"/>
              <w:bottom w:val="single" w:sz="4" w:space="0" w:color="000000"/>
              <w:right w:val="single" w:sz="4" w:space="0" w:color="000000"/>
            </w:tcBorders>
            <w:shd w:val="clear" w:color="auto" w:fill="E7E6E6"/>
            <w:vAlign w:val="center"/>
          </w:tcPr>
          <w:p w14:paraId="7CC4D50E"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115BD237"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14:paraId="5F8F20A2" w14:textId="77777777" w:rsidR="008242B3" w:rsidRPr="00937C8B" w:rsidRDefault="008242B3" w:rsidP="003E38D0">
            <w:pPr>
              <w:rPr>
                <w:rFonts w:ascii="Arial" w:hAnsi="Arial" w:cs="Arial"/>
                <w:sz w:val="14"/>
                <w:szCs w:val="14"/>
              </w:rPr>
            </w:pPr>
            <w:r>
              <w:rPr>
                <w:rFonts w:ascii="Arial" w:hAnsi="Arial"/>
                <w:sz w:val="14"/>
                <w:szCs w:val="14"/>
              </w:rPr>
              <w:t>Madrid</w:t>
            </w:r>
          </w:p>
        </w:tc>
        <w:tc>
          <w:tcPr>
            <w:tcW w:w="3301"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10E3C21E"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2596" w:type="dxa"/>
            <w:gridSpan w:val="13"/>
            <w:tcBorders>
              <w:top w:val="single" w:sz="4" w:space="0" w:color="000000"/>
              <w:left w:val="single" w:sz="4" w:space="0" w:color="000000"/>
              <w:bottom w:val="single" w:sz="4" w:space="0" w:color="000000"/>
              <w:right w:val="single" w:sz="4" w:space="0" w:color="000000"/>
            </w:tcBorders>
            <w:shd w:val="clear" w:color="auto" w:fill="E7E6E6"/>
            <w:vAlign w:val="center"/>
          </w:tcPr>
          <w:p w14:paraId="0C9AB585"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c>
          <w:tcPr>
            <w:tcW w:w="2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260C5"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75B73AE8"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63A97770"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4C3E" w14:textId="77777777" w:rsidR="008242B3" w:rsidRPr="00937C8B" w:rsidRDefault="008242B3" w:rsidP="003E38D0">
            <w:pPr>
              <w:rPr>
                <w:rFonts w:ascii="Arial" w:hAnsi="Arial" w:cs="Arial"/>
              </w:rPr>
            </w:pPr>
            <w:r>
              <w:rPr>
                <w:rFonts w:ascii="Arial" w:hAnsi="Arial"/>
                <w:sz w:val="14"/>
                <w:szCs w:val="14"/>
              </w:rPr>
              <w:t>Malaga</w:t>
            </w:r>
          </w:p>
        </w:tc>
        <w:tc>
          <w:tcPr>
            <w:tcW w:w="957" w:type="dxa"/>
            <w:gridSpan w:val="3"/>
            <w:tcBorders>
              <w:top w:val="single" w:sz="4" w:space="0" w:color="000000"/>
              <w:left w:val="single" w:sz="4" w:space="0" w:color="000000"/>
              <w:bottom w:val="single" w:sz="4" w:space="0" w:color="000000"/>
            </w:tcBorders>
            <w:shd w:val="clear" w:color="auto" w:fill="auto"/>
            <w:vAlign w:val="center"/>
          </w:tcPr>
          <w:p w14:paraId="2925AC35" w14:textId="77777777" w:rsidR="008242B3" w:rsidRPr="00937C8B" w:rsidRDefault="008242B3" w:rsidP="003E38D0">
            <w:pPr>
              <w:jc w:val="center"/>
              <w:rPr>
                <w:rFonts w:ascii="Arial" w:hAnsi="Arial" w:cs="Arial"/>
                <w:bCs/>
                <w:sz w:val="14"/>
                <w:szCs w:val="14"/>
              </w:rPr>
            </w:pPr>
            <w:r>
              <w:rPr>
                <w:rFonts w:ascii="Arial" w:hAnsi="Arial"/>
                <w:bCs/>
                <w:sz w:val="14"/>
                <w:szCs w:val="14"/>
              </w:rPr>
              <w:t>A3</w:t>
            </w:r>
          </w:p>
        </w:tc>
        <w:tc>
          <w:tcPr>
            <w:tcW w:w="1190" w:type="dxa"/>
            <w:gridSpan w:val="8"/>
            <w:tcBorders>
              <w:top w:val="single" w:sz="4" w:space="0" w:color="000000"/>
              <w:left w:val="single" w:sz="4" w:space="0" w:color="000000"/>
              <w:bottom w:val="single" w:sz="4" w:space="0" w:color="000000"/>
              <w:right w:val="single" w:sz="4" w:space="0" w:color="000000"/>
            </w:tcBorders>
            <w:shd w:val="clear" w:color="auto" w:fill="E7E6E6"/>
            <w:vAlign w:val="center"/>
          </w:tcPr>
          <w:p w14:paraId="254C443F" w14:textId="77777777" w:rsidR="008242B3" w:rsidRPr="00937C8B" w:rsidRDefault="008242B3" w:rsidP="003E38D0">
            <w:pPr>
              <w:jc w:val="center"/>
              <w:rPr>
                <w:rFonts w:ascii="Arial" w:hAnsi="Arial" w:cs="Arial"/>
              </w:rPr>
            </w:pPr>
            <w:r>
              <w:rPr>
                <w:rFonts w:ascii="Arial" w:hAnsi="Arial"/>
                <w:bCs/>
                <w:sz w:val="14"/>
                <w:szCs w:val="14"/>
              </w:rPr>
              <w:t>B3</w:t>
            </w:r>
          </w:p>
        </w:tc>
        <w:tc>
          <w:tcPr>
            <w:tcW w:w="2307" w:type="dxa"/>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14:paraId="79E2FA4D"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2899" w:type="dxa"/>
            <w:gridSpan w:val="12"/>
            <w:tcBorders>
              <w:top w:val="single" w:sz="4" w:space="0" w:color="000000"/>
              <w:left w:val="single" w:sz="4" w:space="0" w:color="000000"/>
              <w:bottom w:val="single" w:sz="4" w:space="0" w:color="000000"/>
              <w:right w:val="single" w:sz="4" w:space="0" w:color="000000"/>
            </w:tcBorders>
            <w:shd w:val="clear" w:color="auto" w:fill="D0CECE"/>
            <w:vAlign w:val="center"/>
          </w:tcPr>
          <w:p w14:paraId="13A95EE0"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r>
      <w:tr w:rsidR="008242B3" w:rsidRPr="00937C8B" w14:paraId="17B94400"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14:paraId="7757E923" w14:textId="77777777" w:rsidR="008242B3" w:rsidRPr="00937C8B" w:rsidRDefault="008242B3" w:rsidP="003E38D0">
            <w:pPr>
              <w:rPr>
                <w:rFonts w:ascii="Arial" w:hAnsi="Arial" w:cs="Arial"/>
                <w:sz w:val="14"/>
                <w:szCs w:val="14"/>
              </w:rPr>
            </w:pPr>
            <w:r>
              <w:rPr>
                <w:rFonts w:ascii="Arial" w:hAnsi="Arial"/>
                <w:sz w:val="14"/>
                <w:szCs w:val="14"/>
              </w:rPr>
              <w:t>Melilla</w:t>
            </w:r>
          </w:p>
        </w:tc>
        <w:tc>
          <w:tcPr>
            <w:tcW w:w="7353" w:type="dxa"/>
            <w:gridSpan w:val="36"/>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0297E1AC" w14:textId="77777777" w:rsidR="008242B3" w:rsidRPr="00937C8B" w:rsidRDefault="008242B3" w:rsidP="003E38D0">
            <w:pPr>
              <w:jc w:val="center"/>
              <w:rPr>
                <w:rFonts w:ascii="Arial" w:hAnsi="Arial" w:cs="Arial"/>
                <w:bCs/>
                <w:sz w:val="14"/>
                <w:szCs w:val="14"/>
              </w:rPr>
            </w:pPr>
            <w:r>
              <w:rPr>
                <w:rFonts w:ascii="Arial" w:hAnsi="Arial"/>
                <w:bCs/>
                <w:sz w:val="14"/>
                <w:szCs w:val="14"/>
              </w:rPr>
              <w:t>A3</w:t>
            </w:r>
          </w:p>
        </w:tc>
      </w:tr>
      <w:tr w:rsidR="008242B3" w:rsidRPr="00937C8B" w14:paraId="536D0696"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768A" w14:textId="77777777" w:rsidR="008242B3" w:rsidRPr="00937C8B" w:rsidRDefault="008242B3" w:rsidP="003E38D0">
            <w:pPr>
              <w:rPr>
                <w:rFonts w:ascii="Arial" w:hAnsi="Arial" w:cs="Arial"/>
                <w:sz w:val="14"/>
                <w:szCs w:val="14"/>
              </w:rPr>
            </w:pPr>
            <w:r>
              <w:rPr>
                <w:rFonts w:ascii="Arial" w:hAnsi="Arial"/>
                <w:sz w:val="14"/>
                <w:szCs w:val="14"/>
              </w:rPr>
              <w:t>Murcie</w:t>
            </w:r>
          </w:p>
        </w:tc>
        <w:tc>
          <w:tcPr>
            <w:tcW w:w="986" w:type="dxa"/>
            <w:gridSpan w:val="4"/>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773A61FF" w14:textId="77777777" w:rsidR="008242B3" w:rsidRPr="00937C8B" w:rsidRDefault="008242B3" w:rsidP="003E38D0">
            <w:pPr>
              <w:jc w:val="center"/>
              <w:rPr>
                <w:rFonts w:ascii="Arial" w:hAnsi="Arial" w:cs="Arial"/>
                <w:bCs/>
                <w:sz w:val="14"/>
                <w:szCs w:val="14"/>
              </w:rPr>
            </w:pPr>
            <w:r>
              <w:rPr>
                <w:rFonts w:ascii="Arial" w:hAnsi="Arial"/>
                <w:bCs/>
                <w:sz w:val="14"/>
                <w:szCs w:val="14"/>
              </w:rPr>
              <w:t>B3</w:t>
            </w:r>
          </w:p>
        </w:tc>
        <w:tc>
          <w:tcPr>
            <w:tcW w:w="2604"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15CE79FC"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3763" w:type="dxa"/>
            <w:gridSpan w:val="18"/>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2D2A8640"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r>
      <w:tr w:rsidR="008242B3" w:rsidRPr="00937C8B" w14:paraId="3E2F4EFC"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8A29152" w14:textId="77777777" w:rsidR="008242B3" w:rsidRPr="00937C8B" w:rsidRDefault="008242B3" w:rsidP="003E38D0">
            <w:pPr>
              <w:rPr>
                <w:rFonts w:ascii="Arial" w:hAnsi="Arial" w:cs="Arial"/>
                <w:sz w:val="14"/>
                <w:szCs w:val="14"/>
              </w:rPr>
            </w:pPr>
            <w:r>
              <w:rPr>
                <w:rFonts w:ascii="Arial" w:hAnsi="Arial"/>
                <w:sz w:val="14"/>
                <w:szCs w:val="14"/>
              </w:rPr>
              <w:t>Navarre</w:t>
            </w:r>
          </w:p>
        </w:tc>
        <w:tc>
          <w:tcPr>
            <w:tcW w:w="986" w:type="dxa"/>
            <w:gridSpan w:val="4"/>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2FADAEB0" w14:textId="77777777" w:rsidR="008242B3" w:rsidRPr="00937C8B" w:rsidRDefault="008242B3" w:rsidP="003E38D0">
            <w:pPr>
              <w:jc w:val="center"/>
              <w:rPr>
                <w:rFonts w:ascii="Arial" w:hAnsi="Arial" w:cs="Arial"/>
              </w:rPr>
            </w:pPr>
            <w:r>
              <w:rPr>
                <w:rFonts w:ascii="Arial" w:hAnsi="Arial"/>
                <w:bCs/>
                <w:sz w:val="14"/>
                <w:szCs w:val="14"/>
              </w:rPr>
              <w:t>C2</w:t>
            </w:r>
          </w:p>
        </w:tc>
        <w:tc>
          <w:tcPr>
            <w:tcW w:w="1458" w:type="dxa"/>
            <w:gridSpan w:val="9"/>
            <w:tcBorders>
              <w:top w:val="single" w:sz="4" w:space="0" w:color="000000"/>
              <w:left w:val="single" w:sz="4" w:space="0" w:color="000000"/>
              <w:bottom w:val="single" w:sz="4" w:space="0" w:color="000000"/>
            </w:tcBorders>
            <w:shd w:val="clear" w:color="auto" w:fill="E7E6E6"/>
            <w:tcMar>
              <w:left w:w="60" w:type="dxa"/>
              <w:right w:w="70" w:type="dxa"/>
            </w:tcMar>
            <w:vAlign w:val="center"/>
          </w:tcPr>
          <w:p w14:paraId="35135CBF" w14:textId="77777777" w:rsidR="008242B3" w:rsidRPr="00937C8B" w:rsidRDefault="008242B3" w:rsidP="003E38D0">
            <w:pPr>
              <w:jc w:val="center"/>
              <w:rPr>
                <w:rFonts w:ascii="Arial" w:hAnsi="Arial" w:cs="Arial"/>
              </w:rPr>
            </w:pPr>
            <w:r>
              <w:rPr>
                <w:rFonts w:ascii="Arial" w:hAnsi="Arial"/>
                <w:bCs/>
                <w:sz w:val="14"/>
                <w:szCs w:val="14"/>
              </w:rPr>
              <w:t>D2</w:t>
            </w:r>
          </w:p>
        </w:tc>
        <w:tc>
          <w:tcPr>
            <w:tcW w:w="1453" w:type="dxa"/>
            <w:gridSpan w:val="8"/>
            <w:tcBorders>
              <w:top w:val="single" w:sz="4" w:space="0" w:color="000000"/>
              <w:left w:val="single" w:sz="4" w:space="0" w:color="000000"/>
              <w:bottom w:val="single" w:sz="4" w:space="0" w:color="000000"/>
            </w:tcBorders>
            <w:shd w:val="clear" w:color="auto" w:fill="E7E6E6"/>
            <w:tcMar>
              <w:left w:w="60" w:type="dxa"/>
              <w:right w:w="70" w:type="dxa"/>
            </w:tcMar>
            <w:vAlign w:val="center"/>
          </w:tcPr>
          <w:p w14:paraId="42D9D7D0" w14:textId="77777777" w:rsidR="008242B3" w:rsidRPr="00937C8B" w:rsidRDefault="008242B3" w:rsidP="003E38D0">
            <w:pPr>
              <w:jc w:val="center"/>
              <w:rPr>
                <w:rFonts w:ascii="Arial" w:hAnsi="Arial" w:cs="Arial"/>
              </w:rPr>
            </w:pPr>
            <w:r>
              <w:rPr>
                <w:rFonts w:ascii="Arial" w:hAnsi="Arial"/>
                <w:bCs/>
                <w:sz w:val="14"/>
                <w:szCs w:val="14"/>
              </w:rPr>
              <w:t>D1</w:t>
            </w:r>
          </w:p>
        </w:tc>
        <w:tc>
          <w:tcPr>
            <w:tcW w:w="3456" w:type="dxa"/>
            <w:gridSpan w:val="15"/>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3A392AE4" w14:textId="77777777" w:rsidR="008242B3" w:rsidRPr="00937C8B" w:rsidRDefault="008242B3" w:rsidP="003E38D0">
            <w:pPr>
              <w:jc w:val="center"/>
              <w:rPr>
                <w:rFonts w:ascii="Arial" w:hAnsi="Arial" w:cs="Arial"/>
              </w:rPr>
            </w:pPr>
            <w:r>
              <w:rPr>
                <w:rFonts w:ascii="Arial" w:hAnsi="Arial"/>
                <w:bCs/>
                <w:sz w:val="14"/>
                <w:szCs w:val="14"/>
              </w:rPr>
              <w:t>E1</w:t>
            </w:r>
          </w:p>
        </w:tc>
      </w:tr>
      <w:tr w:rsidR="008242B3" w:rsidRPr="00937C8B" w14:paraId="6EF89A21"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5F170" w14:textId="77777777" w:rsidR="008242B3" w:rsidRPr="00937C8B" w:rsidRDefault="008242B3" w:rsidP="003E38D0">
            <w:pPr>
              <w:rPr>
                <w:rFonts w:ascii="Arial" w:hAnsi="Arial" w:cs="Arial"/>
              </w:rPr>
            </w:pPr>
            <w:r>
              <w:rPr>
                <w:rFonts w:ascii="Arial" w:hAnsi="Arial"/>
                <w:sz w:val="14"/>
                <w:szCs w:val="14"/>
              </w:rPr>
              <w:t>Ourense</w:t>
            </w:r>
          </w:p>
        </w:tc>
        <w:tc>
          <w:tcPr>
            <w:tcW w:w="1281" w:type="dxa"/>
            <w:gridSpan w:val="6"/>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713C31FF"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866" w:type="dxa"/>
            <w:gridSpan w:val="5"/>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2D56FB73" w14:textId="77777777" w:rsidR="008242B3" w:rsidRPr="00937C8B" w:rsidRDefault="008242B3" w:rsidP="003E38D0">
            <w:pPr>
              <w:jc w:val="center"/>
              <w:rPr>
                <w:rFonts w:ascii="Arial" w:hAnsi="Arial" w:cs="Arial"/>
                <w:bCs/>
                <w:sz w:val="14"/>
                <w:szCs w:val="14"/>
              </w:rPr>
            </w:pPr>
            <w:r>
              <w:rPr>
                <w:rFonts w:ascii="Arial" w:hAnsi="Arial"/>
                <w:bCs/>
                <w:color w:val="000000"/>
                <w:sz w:val="14"/>
                <w:szCs w:val="14"/>
              </w:rPr>
              <w:t>C2</w:t>
            </w:r>
          </w:p>
        </w:tc>
        <w:tc>
          <w:tcPr>
            <w:tcW w:w="2886" w:type="dxa"/>
            <w:gridSpan w:val="16"/>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7CF92F55"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14:paraId="7E99D7CC"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69D058A3"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14:paraId="523DC8EA" w14:textId="77777777" w:rsidR="008242B3" w:rsidRPr="00937C8B" w:rsidRDefault="008242B3" w:rsidP="003E38D0">
            <w:pPr>
              <w:rPr>
                <w:rFonts w:ascii="Arial" w:hAnsi="Arial" w:cs="Arial"/>
                <w:sz w:val="14"/>
                <w:szCs w:val="14"/>
              </w:rPr>
            </w:pPr>
            <w:r>
              <w:rPr>
                <w:rFonts w:ascii="Arial" w:hAnsi="Arial"/>
                <w:sz w:val="14"/>
                <w:szCs w:val="14"/>
              </w:rPr>
              <w:t>Palencia</w:t>
            </w:r>
          </w:p>
        </w:tc>
        <w:tc>
          <w:tcPr>
            <w:tcW w:w="5033" w:type="dxa"/>
            <w:gridSpan w:val="27"/>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2751ACA0" w14:textId="77777777" w:rsidR="008242B3" w:rsidRPr="00937C8B" w:rsidRDefault="008242B3" w:rsidP="003E38D0">
            <w:pPr>
              <w:jc w:val="center"/>
              <w:rPr>
                <w:rFonts w:ascii="Arial" w:hAnsi="Arial" w:cs="Arial"/>
                <w:bCs/>
                <w:sz w:val="14"/>
                <w:szCs w:val="14"/>
              </w:rPr>
            </w:pPr>
            <w:r>
              <w:rPr>
                <w:rFonts w:ascii="Arial" w:hAnsi="Arial"/>
                <w:bCs/>
                <w:sz w:val="14"/>
                <w:szCs w:val="14"/>
              </w:rPr>
              <w:t>D1</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03583405"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10D1518E"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56796" w14:textId="77777777" w:rsidR="008242B3" w:rsidRPr="00937C8B" w:rsidRDefault="008242B3" w:rsidP="003E38D0">
            <w:pPr>
              <w:rPr>
                <w:rFonts w:ascii="Arial" w:hAnsi="Arial" w:cs="Arial"/>
              </w:rPr>
            </w:pPr>
            <w:r>
              <w:rPr>
                <w:rFonts w:ascii="Arial" w:hAnsi="Arial"/>
                <w:sz w:val="14"/>
                <w:szCs w:val="14"/>
              </w:rPr>
              <w:t>Palmas, Las</w:t>
            </w:r>
          </w:p>
        </w:tc>
        <w:tc>
          <w:tcPr>
            <w:tcW w:w="2437" w:type="dxa"/>
            <w:gridSpan w:val="12"/>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13C3E7CC" w14:textId="77777777" w:rsidR="008242B3" w:rsidRPr="00937C8B" w:rsidRDefault="008242B3" w:rsidP="003E38D0">
            <w:pPr>
              <w:jc w:val="center"/>
              <w:rPr>
                <w:rFonts w:ascii="Arial" w:hAnsi="Arial" w:cs="Arial"/>
                <w:bCs/>
                <w:sz w:val="14"/>
                <w:szCs w:val="14"/>
              </w:rPr>
            </w:pPr>
            <w:r>
              <w:rPr>
                <w:rFonts w:ascii="Arial" w:hAnsi="Arial"/>
                <w:sz w:val="14"/>
                <w:szCs w:val="14"/>
              </w:rPr>
              <w:t>α3</w:t>
            </w:r>
          </w:p>
        </w:tc>
        <w:tc>
          <w:tcPr>
            <w:tcW w:w="2306"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5DA02BCA" w14:textId="77777777" w:rsidR="008242B3" w:rsidRPr="00937C8B" w:rsidRDefault="008242B3" w:rsidP="003E38D0">
            <w:pPr>
              <w:jc w:val="center"/>
              <w:rPr>
                <w:rFonts w:ascii="Arial" w:hAnsi="Arial" w:cs="Arial"/>
                <w:bCs/>
                <w:sz w:val="14"/>
                <w:szCs w:val="14"/>
              </w:rPr>
            </w:pPr>
            <w:r>
              <w:rPr>
                <w:rFonts w:ascii="Arial" w:hAnsi="Arial"/>
                <w:sz w:val="14"/>
                <w:szCs w:val="14"/>
              </w:rPr>
              <w:t>A2</w:t>
            </w:r>
          </w:p>
        </w:tc>
        <w:tc>
          <w:tcPr>
            <w:tcW w:w="1431" w:type="dxa"/>
            <w:gridSpan w:val="5"/>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64BCC470" w14:textId="77777777" w:rsidR="008242B3" w:rsidRPr="00937C8B" w:rsidRDefault="008242B3" w:rsidP="003E38D0">
            <w:pPr>
              <w:jc w:val="center"/>
              <w:rPr>
                <w:rFonts w:ascii="Arial" w:hAnsi="Arial" w:cs="Arial"/>
                <w:bCs/>
                <w:sz w:val="14"/>
                <w:szCs w:val="14"/>
              </w:rPr>
            </w:pPr>
            <w:r>
              <w:rPr>
                <w:rFonts w:ascii="Arial" w:hAnsi="Arial"/>
                <w:sz w:val="14"/>
                <w:szCs w:val="14"/>
              </w:rPr>
              <w:t>B2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14:paraId="38C8F7A5" w14:textId="77777777" w:rsidR="008242B3" w:rsidRPr="00937C8B" w:rsidRDefault="008242B3" w:rsidP="003E38D0">
            <w:pPr>
              <w:jc w:val="center"/>
              <w:rPr>
                <w:rFonts w:ascii="Arial" w:hAnsi="Arial" w:cs="Arial"/>
                <w:bCs/>
                <w:sz w:val="14"/>
                <w:szCs w:val="14"/>
              </w:rPr>
            </w:pPr>
            <w:r>
              <w:rPr>
                <w:rFonts w:ascii="Arial" w:hAnsi="Arial"/>
                <w:sz w:val="14"/>
                <w:szCs w:val="14"/>
              </w:rPr>
              <w:t>C2</w:t>
            </w:r>
          </w:p>
        </w:tc>
      </w:tr>
      <w:tr w:rsidR="008242B3" w:rsidRPr="00937C8B" w14:paraId="042738A3"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327B8B" w14:textId="77777777" w:rsidR="008242B3" w:rsidRPr="00937C8B" w:rsidRDefault="008242B3" w:rsidP="003E38D0">
            <w:pPr>
              <w:rPr>
                <w:rFonts w:ascii="Arial" w:hAnsi="Arial" w:cs="Arial"/>
                <w:sz w:val="14"/>
                <w:szCs w:val="14"/>
              </w:rPr>
            </w:pPr>
            <w:r>
              <w:rPr>
                <w:rFonts w:ascii="Arial" w:hAnsi="Arial"/>
                <w:sz w:val="14"/>
                <w:szCs w:val="14"/>
              </w:rPr>
              <w:t>Pontevedra</w:t>
            </w:r>
          </w:p>
        </w:tc>
        <w:tc>
          <w:tcPr>
            <w:tcW w:w="2437" w:type="dxa"/>
            <w:gridSpan w:val="12"/>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30BA5DDC" w14:textId="77777777" w:rsidR="008242B3" w:rsidRPr="00937C8B" w:rsidRDefault="008242B3" w:rsidP="003E38D0">
            <w:pPr>
              <w:jc w:val="center"/>
              <w:rPr>
                <w:rFonts w:ascii="Arial" w:hAnsi="Arial" w:cs="Arial"/>
                <w:bCs/>
                <w:sz w:val="14"/>
                <w:szCs w:val="14"/>
              </w:rPr>
            </w:pPr>
            <w:r>
              <w:rPr>
                <w:rFonts w:ascii="Arial" w:hAnsi="Arial"/>
                <w:bCs/>
                <w:sz w:val="14"/>
                <w:szCs w:val="14"/>
              </w:rPr>
              <w:t>C1</w:t>
            </w:r>
          </w:p>
        </w:tc>
        <w:tc>
          <w:tcPr>
            <w:tcW w:w="4916" w:type="dxa"/>
            <w:gridSpan w:val="2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78AF9D01" w14:textId="77777777" w:rsidR="008242B3" w:rsidRPr="00937C8B" w:rsidRDefault="008242B3" w:rsidP="003E38D0">
            <w:pPr>
              <w:jc w:val="center"/>
              <w:rPr>
                <w:rFonts w:ascii="Arial" w:hAnsi="Arial" w:cs="Arial"/>
                <w:bCs/>
                <w:sz w:val="14"/>
                <w:szCs w:val="14"/>
              </w:rPr>
            </w:pPr>
            <w:r>
              <w:rPr>
                <w:rFonts w:ascii="Arial" w:hAnsi="Arial"/>
                <w:bCs/>
                <w:sz w:val="14"/>
                <w:szCs w:val="14"/>
              </w:rPr>
              <w:t>D1</w:t>
            </w:r>
          </w:p>
        </w:tc>
      </w:tr>
      <w:tr w:rsidR="008242B3" w:rsidRPr="00937C8B" w14:paraId="3704CD93"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46FB2" w14:textId="77777777" w:rsidR="008242B3" w:rsidRPr="00937C8B" w:rsidRDefault="008242B3" w:rsidP="003E38D0">
            <w:pPr>
              <w:rPr>
                <w:rFonts w:ascii="Arial" w:hAnsi="Arial" w:cs="Arial"/>
              </w:rPr>
            </w:pPr>
            <w:r>
              <w:rPr>
                <w:rFonts w:ascii="Arial" w:hAnsi="Arial"/>
                <w:sz w:val="14"/>
                <w:szCs w:val="14"/>
              </w:rPr>
              <w:t>Rioja, La</w:t>
            </w:r>
          </w:p>
        </w:tc>
        <w:tc>
          <w:tcPr>
            <w:tcW w:w="1584" w:type="dxa"/>
            <w:gridSpan w:val="9"/>
            <w:tcBorders>
              <w:top w:val="single" w:sz="4" w:space="0" w:color="000000"/>
              <w:left w:val="single" w:sz="4" w:space="0" w:color="000000"/>
              <w:bottom w:val="single" w:sz="4" w:space="0" w:color="000000"/>
            </w:tcBorders>
            <w:shd w:val="clear" w:color="auto" w:fill="auto"/>
            <w:tcMar>
              <w:left w:w="60" w:type="dxa"/>
              <w:right w:w="70" w:type="dxa"/>
            </w:tcMar>
            <w:vAlign w:val="center"/>
          </w:tcPr>
          <w:p w14:paraId="782DFF7D" w14:textId="77777777" w:rsidR="008242B3" w:rsidRPr="00937C8B" w:rsidRDefault="008242B3" w:rsidP="003E38D0">
            <w:pPr>
              <w:jc w:val="center"/>
              <w:rPr>
                <w:rFonts w:ascii="Arial" w:hAnsi="Arial" w:cs="Arial"/>
              </w:rPr>
            </w:pPr>
            <w:r>
              <w:rPr>
                <w:rFonts w:ascii="Arial" w:hAnsi="Arial"/>
                <w:bCs/>
                <w:sz w:val="14"/>
                <w:szCs w:val="14"/>
              </w:rPr>
              <w:t>C2</w:t>
            </w:r>
          </w:p>
        </w:tc>
        <w:tc>
          <w:tcPr>
            <w:tcW w:w="2893" w:type="dxa"/>
            <w:gridSpan w:val="16"/>
            <w:tcBorders>
              <w:top w:val="single" w:sz="4" w:space="0" w:color="000000"/>
              <w:left w:val="single" w:sz="4" w:space="0" w:color="000000"/>
              <w:bottom w:val="single" w:sz="4" w:space="0" w:color="000000"/>
            </w:tcBorders>
            <w:shd w:val="clear" w:color="auto" w:fill="E7E6E6"/>
            <w:tcMar>
              <w:left w:w="60" w:type="dxa"/>
              <w:right w:w="70" w:type="dxa"/>
            </w:tcMar>
            <w:vAlign w:val="center"/>
          </w:tcPr>
          <w:p w14:paraId="17AF5A1F" w14:textId="77777777" w:rsidR="008242B3" w:rsidRPr="00937C8B" w:rsidRDefault="008242B3" w:rsidP="003E38D0">
            <w:pPr>
              <w:jc w:val="center"/>
              <w:rPr>
                <w:rFonts w:ascii="Arial" w:hAnsi="Arial" w:cs="Arial"/>
              </w:rPr>
            </w:pPr>
            <w:r>
              <w:rPr>
                <w:rFonts w:ascii="Arial" w:hAnsi="Arial"/>
                <w:bCs/>
                <w:sz w:val="14"/>
                <w:szCs w:val="14"/>
              </w:rPr>
              <w:t>D2</w:t>
            </w:r>
          </w:p>
        </w:tc>
        <w:tc>
          <w:tcPr>
            <w:tcW w:w="2876" w:type="dxa"/>
            <w:gridSpan w:val="11"/>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3D21068B"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2BED0F38"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E4F5A64" w14:textId="77777777" w:rsidR="008242B3" w:rsidRPr="00937C8B" w:rsidRDefault="008242B3" w:rsidP="003E38D0">
            <w:pPr>
              <w:rPr>
                <w:rFonts w:ascii="Arial" w:hAnsi="Arial" w:cs="Arial"/>
                <w:sz w:val="14"/>
                <w:szCs w:val="14"/>
              </w:rPr>
            </w:pPr>
            <w:r>
              <w:rPr>
                <w:rFonts w:ascii="Arial" w:hAnsi="Arial"/>
                <w:sz w:val="14"/>
                <w:szCs w:val="14"/>
              </w:rPr>
              <w:t>Salamanque</w:t>
            </w:r>
          </w:p>
        </w:tc>
        <w:tc>
          <w:tcPr>
            <w:tcW w:w="5322" w:type="dxa"/>
            <w:gridSpan w:val="28"/>
            <w:tcBorders>
              <w:top w:val="single" w:sz="4" w:space="0" w:color="000000"/>
              <w:left w:val="single" w:sz="4" w:space="0" w:color="000000"/>
              <w:bottom w:val="single" w:sz="4" w:space="0" w:color="000000"/>
            </w:tcBorders>
            <w:shd w:val="clear" w:color="F2F2F2" w:fill="FFFFFF"/>
            <w:tcMar>
              <w:left w:w="60" w:type="dxa"/>
              <w:right w:w="70" w:type="dxa"/>
            </w:tcMar>
            <w:vAlign w:val="center"/>
          </w:tcPr>
          <w:p w14:paraId="554B8DF0"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2031" w:type="dxa"/>
            <w:gridSpan w:val="8"/>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4E910156" w14:textId="77777777" w:rsidR="008242B3" w:rsidRPr="00937C8B" w:rsidRDefault="008242B3" w:rsidP="003E38D0">
            <w:pPr>
              <w:jc w:val="center"/>
              <w:rPr>
                <w:rFonts w:ascii="Arial" w:hAnsi="Arial" w:cs="Arial"/>
              </w:rPr>
            </w:pPr>
            <w:r>
              <w:rPr>
                <w:rFonts w:ascii="Arial" w:hAnsi="Arial"/>
                <w:bCs/>
                <w:sz w:val="14"/>
                <w:szCs w:val="14"/>
              </w:rPr>
              <w:t>E1</w:t>
            </w:r>
          </w:p>
        </w:tc>
      </w:tr>
      <w:tr w:rsidR="008242B3" w:rsidRPr="00937C8B" w14:paraId="2D53CDE7"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D9C0E" w14:textId="77777777" w:rsidR="008242B3" w:rsidRPr="00937C8B" w:rsidRDefault="008242B3" w:rsidP="003E38D0">
            <w:pPr>
              <w:rPr>
                <w:rFonts w:ascii="Arial" w:hAnsi="Arial" w:cs="Arial"/>
                <w:sz w:val="14"/>
                <w:szCs w:val="14"/>
              </w:rPr>
            </w:pPr>
            <w:r>
              <w:rPr>
                <w:rFonts w:ascii="Arial" w:hAnsi="Arial"/>
                <w:sz w:val="14"/>
                <w:szCs w:val="14"/>
              </w:rPr>
              <w:t>Santa Cruz de Tenerife</w:t>
            </w:r>
          </w:p>
        </w:tc>
        <w:tc>
          <w:tcPr>
            <w:tcW w:w="2437" w:type="dxa"/>
            <w:gridSpan w:val="12"/>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48088E37" w14:textId="77777777" w:rsidR="008242B3" w:rsidRPr="00937C8B" w:rsidRDefault="008242B3" w:rsidP="003E38D0">
            <w:pPr>
              <w:jc w:val="center"/>
              <w:rPr>
                <w:rFonts w:ascii="Arial" w:hAnsi="Arial" w:cs="Arial"/>
                <w:bCs/>
                <w:sz w:val="14"/>
                <w:szCs w:val="14"/>
              </w:rPr>
            </w:pPr>
            <w:r>
              <w:rPr>
                <w:rFonts w:ascii="Arial" w:hAnsi="Arial"/>
                <w:sz w:val="14"/>
                <w:szCs w:val="14"/>
              </w:rPr>
              <w:t>α3</w:t>
            </w:r>
          </w:p>
        </w:tc>
        <w:tc>
          <w:tcPr>
            <w:tcW w:w="2306"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0B44B89D" w14:textId="77777777" w:rsidR="008242B3" w:rsidRPr="00937C8B" w:rsidRDefault="008242B3" w:rsidP="003E38D0">
            <w:pPr>
              <w:jc w:val="center"/>
              <w:rPr>
                <w:rFonts w:ascii="Arial" w:hAnsi="Arial" w:cs="Arial"/>
                <w:bCs/>
                <w:sz w:val="14"/>
                <w:szCs w:val="14"/>
              </w:rPr>
            </w:pPr>
            <w:r>
              <w:rPr>
                <w:rFonts w:ascii="Arial" w:hAnsi="Arial"/>
                <w:sz w:val="14"/>
                <w:szCs w:val="14"/>
              </w:rPr>
              <w:t>A2</w:t>
            </w:r>
          </w:p>
        </w:tc>
        <w:tc>
          <w:tcPr>
            <w:tcW w:w="1431" w:type="dxa"/>
            <w:gridSpan w:val="5"/>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666B1056" w14:textId="77777777" w:rsidR="008242B3" w:rsidRPr="00937C8B" w:rsidRDefault="008242B3" w:rsidP="003E38D0">
            <w:pPr>
              <w:jc w:val="center"/>
              <w:rPr>
                <w:rFonts w:ascii="Arial" w:hAnsi="Arial" w:cs="Arial"/>
                <w:bCs/>
                <w:sz w:val="14"/>
                <w:szCs w:val="14"/>
              </w:rPr>
            </w:pPr>
            <w:r>
              <w:rPr>
                <w:rFonts w:ascii="Arial" w:hAnsi="Arial"/>
                <w:sz w:val="14"/>
                <w:szCs w:val="14"/>
              </w:rPr>
              <w:t>B2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14:paraId="345EA103" w14:textId="77777777" w:rsidR="008242B3" w:rsidRPr="00937C8B" w:rsidRDefault="008242B3" w:rsidP="003E38D0">
            <w:pPr>
              <w:jc w:val="center"/>
              <w:rPr>
                <w:rFonts w:ascii="Arial" w:hAnsi="Arial" w:cs="Arial"/>
                <w:bCs/>
                <w:sz w:val="14"/>
                <w:szCs w:val="14"/>
              </w:rPr>
            </w:pPr>
            <w:r>
              <w:rPr>
                <w:rFonts w:ascii="Arial" w:hAnsi="Arial"/>
                <w:sz w:val="14"/>
                <w:szCs w:val="14"/>
              </w:rPr>
              <w:t>C2</w:t>
            </w:r>
          </w:p>
        </w:tc>
      </w:tr>
      <w:tr w:rsidR="008242B3" w:rsidRPr="00937C8B" w14:paraId="3C079990"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0EDA48" w14:textId="77777777" w:rsidR="008242B3" w:rsidRPr="00937C8B" w:rsidRDefault="008242B3" w:rsidP="003E38D0">
            <w:pPr>
              <w:rPr>
                <w:rFonts w:ascii="Arial" w:hAnsi="Arial" w:cs="Arial"/>
                <w:sz w:val="14"/>
                <w:szCs w:val="14"/>
              </w:rPr>
            </w:pPr>
            <w:r>
              <w:rPr>
                <w:rFonts w:ascii="Arial" w:hAnsi="Arial"/>
                <w:sz w:val="14"/>
                <w:szCs w:val="14"/>
              </w:rPr>
              <w:t>Ségovie</w:t>
            </w:r>
          </w:p>
        </w:tc>
        <w:tc>
          <w:tcPr>
            <w:tcW w:w="6457" w:type="dxa"/>
            <w:gridSpan w:val="32"/>
            <w:tcBorders>
              <w:top w:val="single" w:sz="4" w:space="0" w:color="000000"/>
              <w:left w:val="single" w:sz="4" w:space="0" w:color="000000"/>
              <w:bottom w:val="single" w:sz="4" w:space="0" w:color="000000"/>
            </w:tcBorders>
            <w:shd w:val="clear" w:color="auto" w:fill="auto"/>
            <w:tcMar>
              <w:left w:w="60" w:type="dxa"/>
              <w:right w:w="70" w:type="dxa"/>
            </w:tcMar>
            <w:vAlign w:val="center"/>
          </w:tcPr>
          <w:p w14:paraId="6BD8BAF2"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896" w:type="dxa"/>
            <w:gridSpan w:val="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7488B7FF" w14:textId="77777777" w:rsidR="008242B3" w:rsidRPr="00937C8B" w:rsidRDefault="008242B3" w:rsidP="003E38D0">
            <w:pPr>
              <w:jc w:val="center"/>
              <w:rPr>
                <w:rFonts w:ascii="Arial" w:hAnsi="Arial" w:cs="Arial"/>
              </w:rPr>
            </w:pPr>
            <w:r>
              <w:rPr>
                <w:rFonts w:ascii="Arial" w:hAnsi="Arial"/>
                <w:bCs/>
                <w:sz w:val="14"/>
                <w:szCs w:val="14"/>
              </w:rPr>
              <w:t>E1</w:t>
            </w:r>
          </w:p>
        </w:tc>
      </w:tr>
      <w:tr w:rsidR="008242B3" w:rsidRPr="00937C8B" w14:paraId="2945BCF3"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B00C2" w14:textId="77777777" w:rsidR="008242B3" w:rsidRPr="00937C8B" w:rsidRDefault="008242B3" w:rsidP="003E38D0">
            <w:pPr>
              <w:rPr>
                <w:rFonts w:ascii="Arial" w:hAnsi="Arial" w:cs="Arial"/>
                <w:sz w:val="14"/>
                <w:szCs w:val="14"/>
              </w:rPr>
            </w:pPr>
            <w:r>
              <w:rPr>
                <w:rFonts w:ascii="Arial" w:hAnsi="Arial"/>
                <w:sz w:val="14"/>
                <w:szCs w:val="14"/>
              </w:rPr>
              <w:t>Séville</w:t>
            </w:r>
          </w:p>
        </w:tc>
        <w:tc>
          <w:tcPr>
            <w:tcW w:w="1569" w:type="dxa"/>
            <w:gridSpan w:val="8"/>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7778C4FA" w14:textId="77777777" w:rsidR="008242B3" w:rsidRPr="00937C8B" w:rsidRDefault="008242B3" w:rsidP="003E38D0">
            <w:pPr>
              <w:jc w:val="center"/>
              <w:rPr>
                <w:rFonts w:ascii="Arial" w:hAnsi="Arial" w:cs="Arial"/>
                <w:bCs/>
                <w:sz w:val="14"/>
                <w:szCs w:val="14"/>
              </w:rPr>
            </w:pPr>
            <w:r>
              <w:rPr>
                <w:rFonts w:ascii="Arial" w:hAnsi="Arial"/>
                <w:bCs/>
                <w:sz w:val="14"/>
                <w:szCs w:val="14"/>
              </w:rPr>
              <w:t>B4</w:t>
            </w:r>
          </w:p>
        </w:tc>
        <w:tc>
          <w:tcPr>
            <w:tcW w:w="5784" w:type="dxa"/>
            <w:gridSpan w:val="28"/>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6F2994FE" w14:textId="77777777" w:rsidR="008242B3" w:rsidRPr="00937C8B" w:rsidRDefault="008242B3" w:rsidP="003E38D0">
            <w:pPr>
              <w:jc w:val="center"/>
              <w:rPr>
                <w:rFonts w:ascii="Arial" w:hAnsi="Arial" w:cs="Arial"/>
                <w:bCs/>
                <w:sz w:val="14"/>
                <w:szCs w:val="14"/>
              </w:rPr>
            </w:pPr>
            <w:r>
              <w:rPr>
                <w:rFonts w:ascii="Arial" w:hAnsi="Arial"/>
                <w:bCs/>
                <w:sz w:val="14"/>
                <w:szCs w:val="14"/>
              </w:rPr>
              <w:t>C4</w:t>
            </w:r>
          </w:p>
        </w:tc>
      </w:tr>
      <w:tr w:rsidR="008242B3" w:rsidRPr="00937C8B" w14:paraId="792CE8A4"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36E86AC" w14:textId="77777777" w:rsidR="008242B3" w:rsidRPr="00937C8B" w:rsidRDefault="008242B3" w:rsidP="003E38D0">
            <w:pPr>
              <w:rPr>
                <w:rFonts w:ascii="Arial" w:hAnsi="Arial" w:cs="Arial"/>
                <w:sz w:val="14"/>
                <w:szCs w:val="14"/>
              </w:rPr>
            </w:pPr>
            <w:r>
              <w:rPr>
                <w:rFonts w:ascii="Arial" w:hAnsi="Arial"/>
                <w:sz w:val="14"/>
                <w:szCs w:val="14"/>
              </w:rPr>
              <w:t>Soria</w:t>
            </w:r>
          </w:p>
        </w:tc>
        <w:tc>
          <w:tcPr>
            <w:tcW w:w="4743" w:type="dxa"/>
            <w:gridSpan w:val="26"/>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723170DD"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29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C3BC34" w14:textId="77777777" w:rsidR="008242B3" w:rsidRPr="00937C8B" w:rsidRDefault="008242B3" w:rsidP="003E38D0">
            <w:pPr>
              <w:jc w:val="center"/>
              <w:rPr>
                <w:rFonts w:ascii="Arial" w:hAnsi="Arial" w:cs="Arial"/>
                <w:bCs/>
                <w:sz w:val="14"/>
                <w:szCs w:val="14"/>
              </w:rPr>
            </w:pPr>
            <w:r>
              <w:rPr>
                <w:rFonts w:ascii="Arial" w:hAnsi="Arial"/>
                <w:bCs/>
                <w:sz w:val="14"/>
                <w:szCs w:val="14"/>
              </w:rPr>
              <w:t>D1</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091802B7"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4A6142A1"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5C454" w14:textId="77777777" w:rsidR="008242B3" w:rsidRPr="00937C8B" w:rsidRDefault="008242B3" w:rsidP="003E38D0">
            <w:pPr>
              <w:rPr>
                <w:rFonts w:ascii="Arial" w:hAnsi="Arial" w:cs="Arial"/>
                <w:sz w:val="14"/>
                <w:szCs w:val="14"/>
              </w:rPr>
            </w:pPr>
            <w:r>
              <w:rPr>
                <w:rFonts w:ascii="Arial" w:hAnsi="Arial"/>
                <w:sz w:val="14"/>
                <w:szCs w:val="14"/>
              </w:rPr>
              <w:t>Tarragone</w:t>
            </w:r>
          </w:p>
        </w:tc>
        <w:tc>
          <w:tcPr>
            <w:tcW w:w="986" w:type="dxa"/>
            <w:gridSpan w:val="4"/>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6BA9A1F4" w14:textId="77777777" w:rsidR="008242B3" w:rsidRPr="00937C8B" w:rsidRDefault="008242B3" w:rsidP="003E38D0">
            <w:pPr>
              <w:jc w:val="center"/>
              <w:rPr>
                <w:rFonts w:ascii="Arial" w:hAnsi="Arial" w:cs="Arial"/>
                <w:bCs/>
                <w:sz w:val="14"/>
                <w:szCs w:val="14"/>
              </w:rPr>
            </w:pPr>
            <w:r>
              <w:rPr>
                <w:rFonts w:ascii="Arial" w:hAnsi="Arial"/>
                <w:bCs/>
                <w:sz w:val="14"/>
                <w:szCs w:val="14"/>
              </w:rPr>
              <w:t>B3</w:t>
            </w:r>
          </w:p>
        </w:tc>
        <w:tc>
          <w:tcPr>
            <w:tcW w:w="2315" w:type="dxa"/>
            <w:gridSpan w:val="13"/>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65B70CDE"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4052" w:type="dxa"/>
            <w:gridSpan w:val="19"/>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3A758AF9"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r>
      <w:tr w:rsidR="008242B3" w:rsidRPr="00937C8B" w14:paraId="2B5867D2"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04601F8" w14:textId="77777777" w:rsidR="008242B3" w:rsidRPr="00937C8B" w:rsidRDefault="008242B3" w:rsidP="003E38D0">
            <w:pPr>
              <w:rPr>
                <w:rFonts w:ascii="Arial" w:hAnsi="Arial" w:cs="Arial"/>
                <w:sz w:val="14"/>
                <w:szCs w:val="14"/>
              </w:rPr>
            </w:pPr>
            <w:r>
              <w:rPr>
                <w:rFonts w:ascii="Arial" w:hAnsi="Arial"/>
                <w:sz w:val="14"/>
                <w:szCs w:val="14"/>
              </w:rPr>
              <w:t>Teruel</w:t>
            </w:r>
          </w:p>
        </w:tc>
        <w:tc>
          <w:tcPr>
            <w:tcW w:w="3011"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68C634A6"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29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6DEAEEE" w14:textId="77777777" w:rsidR="008242B3" w:rsidRPr="00937C8B" w:rsidRDefault="008242B3" w:rsidP="003E38D0">
            <w:pPr>
              <w:jc w:val="center"/>
              <w:rPr>
                <w:rFonts w:ascii="Arial" w:hAnsi="Arial" w:cs="Arial"/>
                <w:bCs/>
                <w:sz w:val="14"/>
                <w:szCs w:val="14"/>
              </w:rPr>
            </w:pPr>
            <w:r>
              <w:rPr>
                <w:rFonts w:ascii="Arial" w:hAnsi="Arial"/>
                <w:bCs/>
                <w:sz w:val="14"/>
                <w:szCs w:val="14"/>
              </w:rPr>
              <w:t>C2</w:t>
            </w:r>
          </w:p>
        </w:tc>
        <w:tc>
          <w:tcPr>
            <w:tcW w:w="2873" w:type="dxa"/>
            <w:gridSpan w:val="14"/>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77E9A624"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14:paraId="5997B06F"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20DB9775"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A06D" w14:textId="77777777" w:rsidR="008242B3" w:rsidRPr="00937C8B" w:rsidRDefault="008242B3" w:rsidP="003E38D0">
            <w:pPr>
              <w:rPr>
                <w:rFonts w:ascii="Arial" w:hAnsi="Arial" w:cs="Arial"/>
                <w:sz w:val="14"/>
                <w:szCs w:val="14"/>
              </w:rPr>
            </w:pPr>
            <w:r>
              <w:rPr>
                <w:rFonts w:ascii="Arial" w:hAnsi="Arial"/>
                <w:sz w:val="14"/>
                <w:szCs w:val="14"/>
              </w:rPr>
              <w:t>Tolède</w:t>
            </w:r>
          </w:p>
        </w:tc>
        <w:tc>
          <w:tcPr>
            <w:tcW w:w="3301"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2F7E7E31" w14:textId="77777777" w:rsidR="008242B3" w:rsidRPr="00937C8B" w:rsidRDefault="008242B3" w:rsidP="003E38D0">
            <w:pPr>
              <w:jc w:val="center"/>
              <w:rPr>
                <w:rFonts w:ascii="Arial" w:hAnsi="Arial" w:cs="Arial"/>
                <w:bCs/>
                <w:sz w:val="14"/>
                <w:szCs w:val="14"/>
              </w:rPr>
            </w:pPr>
            <w:r>
              <w:rPr>
                <w:rFonts w:ascii="Arial" w:hAnsi="Arial"/>
                <w:bCs/>
                <w:sz w:val="14"/>
                <w:szCs w:val="14"/>
              </w:rPr>
              <w:t>C4</w:t>
            </w:r>
          </w:p>
        </w:tc>
        <w:tc>
          <w:tcPr>
            <w:tcW w:w="4052" w:type="dxa"/>
            <w:gridSpan w:val="19"/>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22BBFCBD"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r>
      <w:tr w:rsidR="008242B3" w:rsidRPr="00937C8B" w14:paraId="3AF108A1"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34E3135" w14:textId="77777777" w:rsidR="008242B3" w:rsidRPr="00937C8B" w:rsidRDefault="008242B3" w:rsidP="003E38D0">
            <w:pPr>
              <w:rPr>
                <w:rFonts w:ascii="Arial" w:hAnsi="Arial" w:cs="Arial"/>
                <w:sz w:val="14"/>
                <w:szCs w:val="14"/>
              </w:rPr>
            </w:pPr>
            <w:r>
              <w:rPr>
                <w:rFonts w:ascii="Arial" w:hAnsi="Arial"/>
                <w:sz w:val="14"/>
                <w:szCs w:val="14"/>
              </w:rPr>
              <w:t>Valence</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C27F98" w14:textId="77777777" w:rsidR="008242B3" w:rsidRPr="00937C8B" w:rsidRDefault="008242B3" w:rsidP="003E38D0">
            <w:pPr>
              <w:jc w:val="center"/>
              <w:rPr>
                <w:rFonts w:ascii="Arial" w:hAnsi="Arial" w:cs="Arial"/>
                <w:bCs/>
                <w:sz w:val="14"/>
                <w:szCs w:val="14"/>
              </w:rPr>
            </w:pPr>
            <w:r>
              <w:rPr>
                <w:rFonts w:ascii="Arial" w:hAnsi="Arial"/>
                <w:bCs/>
                <w:sz w:val="14"/>
                <w:szCs w:val="14"/>
              </w:rPr>
              <w:t>B3</w:t>
            </w:r>
          </w:p>
        </w:tc>
        <w:tc>
          <w:tcPr>
            <w:tcW w:w="2660" w:type="dxa"/>
            <w:gridSpan w:val="15"/>
            <w:tcBorders>
              <w:top w:val="single" w:sz="4" w:space="0" w:color="000000"/>
              <w:left w:val="single" w:sz="4" w:space="0" w:color="000000"/>
              <w:bottom w:val="single" w:sz="4" w:space="0" w:color="000000"/>
              <w:right w:val="single" w:sz="4" w:space="0" w:color="000000"/>
            </w:tcBorders>
            <w:shd w:val="clear" w:color="auto" w:fill="E7E6E6"/>
            <w:vAlign w:val="center"/>
          </w:tcPr>
          <w:p w14:paraId="05A5ACAF"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2596" w:type="dxa"/>
            <w:gridSpan w:val="1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3FDE6D79"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1456" w:type="dxa"/>
            <w:gridSpan w:val="6"/>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14:paraId="531A81C3"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6B6F23A0"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ECD1" w14:textId="77777777" w:rsidR="008242B3" w:rsidRPr="00937C8B" w:rsidRDefault="008242B3" w:rsidP="003E38D0">
            <w:pPr>
              <w:rPr>
                <w:rFonts w:ascii="Arial" w:hAnsi="Arial" w:cs="Arial"/>
                <w:sz w:val="14"/>
                <w:szCs w:val="14"/>
              </w:rPr>
            </w:pPr>
            <w:r>
              <w:rPr>
                <w:rFonts w:ascii="Arial" w:hAnsi="Arial"/>
                <w:sz w:val="14"/>
                <w:szCs w:val="14"/>
              </w:rPr>
              <w:t>Valladolid</w:t>
            </w:r>
          </w:p>
        </w:tc>
        <w:tc>
          <w:tcPr>
            <w:tcW w:w="5033" w:type="dxa"/>
            <w:gridSpan w:val="27"/>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285DF015"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36D02D85"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4E67A592"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1B6A8F0" w14:textId="77777777" w:rsidR="008242B3" w:rsidRPr="00937C8B" w:rsidRDefault="008242B3" w:rsidP="003E38D0">
            <w:pPr>
              <w:rPr>
                <w:rFonts w:ascii="Arial" w:hAnsi="Arial" w:cs="Arial"/>
                <w:sz w:val="14"/>
                <w:szCs w:val="14"/>
              </w:rPr>
            </w:pPr>
            <w:r>
              <w:rPr>
                <w:rFonts w:ascii="Arial" w:hAnsi="Arial"/>
                <w:sz w:val="14"/>
                <w:szCs w:val="14"/>
              </w:rPr>
              <w:t>Zamora</w:t>
            </w:r>
          </w:p>
        </w:tc>
        <w:tc>
          <w:tcPr>
            <w:tcW w:w="5033" w:type="dxa"/>
            <w:gridSpan w:val="27"/>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777BC3BE" w14:textId="77777777" w:rsidR="008242B3" w:rsidRPr="00937C8B" w:rsidRDefault="008242B3" w:rsidP="003E38D0">
            <w:pPr>
              <w:jc w:val="center"/>
              <w:rPr>
                <w:rFonts w:ascii="Arial" w:hAnsi="Arial" w:cs="Arial"/>
                <w:bCs/>
                <w:sz w:val="14"/>
                <w:szCs w:val="14"/>
              </w:rPr>
            </w:pPr>
            <w:r>
              <w:rPr>
                <w:rFonts w:ascii="Arial" w:hAnsi="Arial"/>
                <w:bCs/>
                <w:sz w:val="14"/>
                <w:szCs w:val="14"/>
              </w:rPr>
              <w:t>D2</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621157F1"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3B413D86"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7B6E4" w14:textId="77777777" w:rsidR="008242B3" w:rsidRPr="00937C8B" w:rsidRDefault="008242B3" w:rsidP="003E38D0">
            <w:pPr>
              <w:rPr>
                <w:rFonts w:ascii="Arial" w:hAnsi="Arial" w:cs="Arial"/>
                <w:sz w:val="14"/>
                <w:szCs w:val="14"/>
              </w:rPr>
            </w:pPr>
            <w:r>
              <w:rPr>
                <w:rFonts w:ascii="Arial" w:hAnsi="Arial"/>
                <w:sz w:val="14"/>
                <w:szCs w:val="14"/>
              </w:rPr>
              <w:t>Saragosse</w:t>
            </w:r>
          </w:p>
        </w:tc>
        <w:tc>
          <w:tcPr>
            <w:tcW w:w="1569" w:type="dxa"/>
            <w:gridSpan w:val="8"/>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14:paraId="4F403566" w14:textId="77777777" w:rsidR="008242B3" w:rsidRPr="00937C8B" w:rsidRDefault="008242B3" w:rsidP="003E38D0">
            <w:pPr>
              <w:jc w:val="center"/>
              <w:rPr>
                <w:rFonts w:ascii="Arial" w:hAnsi="Arial" w:cs="Arial"/>
                <w:bCs/>
                <w:sz w:val="14"/>
                <w:szCs w:val="14"/>
              </w:rPr>
            </w:pPr>
            <w:r>
              <w:rPr>
                <w:rFonts w:ascii="Arial" w:hAnsi="Arial"/>
                <w:bCs/>
                <w:sz w:val="14"/>
                <w:szCs w:val="14"/>
              </w:rPr>
              <w:t>C3</w:t>
            </w:r>
          </w:p>
        </w:tc>
        <w:tc>
          <w:tcPr>
            <w:tcW w:w="2598" w:type="dxa"/>
            <w:gridSpan w:val="15"/>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14:paraId="6D4D6B89" w14:textId="77777777" w:rsidR="008242B3" w:rsidRPr="00937C8B" w:rsidRDefault="008242B3" w:rsidP="003E38D0">
            <w:pPr>
              <w:jc w:val="center"/>
              <w:rPr>
                <w:rFonts w:ascii="Arial" w:hAnsi="Arial" w:cs="Arial"/>
                <w:bCs/>
                <w:sz w:val="14"/>
                <w:szCs w:val="14"/>
              </w:rPr>
            </w:pPr>
            <w:r>
              <w:rPr>
                <w:rFonts w:ascii="Arial" w:hAnsi="Arial"/>
                <w:bCs/>
                <w:sz w:val="14"/>
                <w:szCs w:val="14"/>
              </w:rPr>
              <w:t>D3</w:t>
            </w:r>
          </w:p>
        </w:tc>
        <w:tc>
          <w:tcPr>
            <w:tcW w:w="3186" w:type="dxa"/>
            <w:gridSpan w:val="1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14:paraId="4E234CAC" w14:textId="77777777" w:rsidR="008242B3" w:rsidRPr="00937C8B" w:rsidRDefault="008242B3" w:rsidP="003E38D0">
            <w:pPr>
              <w:jc w:val="center"/>
              <w:rPr>
                <w:rFonts w:ascii="Arial" w:hAnsi="Arial" w:cs="Arial"/>
                <w:bCs/>
                <w:sz w:val="14"/>
                <w:szCs w:val="14"/>
              </w:rPr>
            </w:pPr>
            <w:r>
              <w:rPr>
                <w:rFonts w:ascii="Arial" w:hAnsi="Arial"/>
                <w:bCs/>
                <w:sz w:val="14"/>
                <w:szCs w:val="14"/>
              </w:rPr>
              <w:t>E1</w:t>
            </w:r>
          </w:p>
        </w:tc>
      </w:tr>
      <w:tr w:rsidR="008242B3" w:rsidRPr="00937C8B" w14:paraId="18DAB502" w14:textId="77777777"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E20BC1" w14:textId="77777777" w:rsidR="008242B3" w:rsidRPr="00937C8B" w:rsidRDefault="008242B3" w:rsidP="003E38D0">
            <w:pPr>
              <w:rPr>
                <w:rFonts w:ascii="Arial" w:hAnsi="Arial" w:cs="Arial"/>
                <w:b/>
                <w:bCs/>
                <w:sz w:val="14"/>
                <w:szCs w:val="14"/>
              </w:rPr>
            </w:pPr>
            <w:r>
              <w:rPr>
                <w:rFonts w:ascii="Arial" w:hAnsi="Arial"/>
                <w:b/>
                <w:bCs/>
                <w:sz w:val="14"/>
                <w:szCs w:val="14"/>
              </w:rPr>
              <w:t>Province</w:t>
            </w:r>
          </w:p>
        </w:tc>
        <w:tc>
          <w:tcPr>
            <w:tcW w:w="641" w:type="dxa"/>
            <w:gridSpan w:val="2"/>
            <w:tcBorders>
              <w:top w:val="single" w:sz="8" w:space="0" w:color="000000"/>
              <w:left w:val="single" w:sz="8" w:space="0" w:color="000000"/>
              <w:bottom w:val="single" w:sz="8" w:space="0" w:color="000000"/>
              <w:right w:val="single" w:sz="4" w:space="0" w:color="000000"/>
            </w:tcBorders>
            <w:shd w:val="clear" w:color="auto" w:fill="D9D9D9"/>
            <w:vAlign w:val="center"/>
          </w:tcPr>
          <w:p w14:paraId="0AE9CF4C" w14:textId="77777777" w:rsidR="008242B3" w:rsidRPr="00937C8B" w:rsidRDefault="00447DB2" w:rsidP="00935676">
            <w:pPr>
              <w:jc w:val="center"/>
              <w:rPr>
                <w:rFonts w:ascii="Arial" w:hAnsi="Arial" w:cs="Arial"/>
                <w:b/>
                <w:bCs/>
                <w:sz w:val="12"/>
                <w:szCs w:val="12"/>
              </w:rPr>
            </w:pPr>
            <w:r>
              <w:rPr>
                <w:rFonts w:ascii="Arial" w:hAnsi="Arial"/>
                <w:b/>
                <w:bCs/>
                <w:sz w:val="12"/>
                <w:szCs w:val="12"/>
              </w:rPr>
              <w:t>≤ 50m</w:t>
            </w:r>
          </w:p>
        </w:tc>
        <w:tc>
          <w:tcPr>
            <w:tcW w:w="345" w:type="dxa"/>
            <w:gridSpan w:val="2"/>
            <w:tcBorders>
              <w:top w:val="single" w:sz="8" w:space="0" w:color="000000"/>
              <w:left w:val="single" w:sz="8" w:space="0" w:color="000000"/>
              <w:bottom w:val="single" w:sz="8" w:space="0" w:color="000000"/>
              <w:right w:val="single" w:sz="4" w:space="0" w:color="000000"/>
            </w:tcBorders>
            <w:shd w:val="clear" w:color="auto" w:fill="D9D9D9"/>
            <w:vAlign w:val="center"/>
          </w:tcPr>
          <w:p w14:paraId="46C24477" w14:textId="77777777" w:rsidR="008242B3" w:rsidRPr="00937C8B" w:rsidRDefault="00AE2A37" w:rsidP="00935676">
            <w:pPr>
              <w:jc w:val="center"/>
              <w:rPr>
                <w:rFonts w:ascii="Arial" w:hAnsi="Arial" w:cs="Arial"/>
                <w:b/>
                <w:bCs/>
                <w:sz w:val="12"/>
                <w:szCs w:val="12"/>
              </w:rPr>
            </w:pPr>
            <w:r>
              <w:rPr>
                <w:rFonts w:ascii="Arial" w:hAnsi="Arial"/>
                <w:b/>
                <w:bCs/>
                <w:sz w:val="12"/>
                <w:szCs w:val="12"/>
              </w:rPr>
              <w:t>51 - 100 m</w:t>
            </w:r>
          </w:p>
        </w:tc>
        <w:tc>
          <w:tcPr>
            <w:tcW w:w="295"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25C9695E" w14:textId="77777777" w:rsidR="008242B3" w:rsidRPr="00937C8B" w:rsidRDefault="008242B3" w:rsidP="003E38D0">
            <w:pPr>
              <w:jc w:val="center"/>
              <w:rPr>
                <w:rFonts w:ascii="Arial" w:hAnsi="Arial" w:cs="Arial"/>
                <w:b/>
                <w:bCs/>
                <w:sz w:val="12"/>
                <w:szCs w:val="12"/>
              </w:rPr>
            </w:pPr>
            <w:r>
              <w:rPr>
                <w:rFonts w:ascii="Arial" w:hAnsi="Arial"/>
                <w:b/>
                <w:bCs/>
                <w:sz w:val="12"/>
                <w:szCs w:val="12"/>
              </w:rPr>
              <w:t>101 - 150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3ADBF059" w14:textId="77777777" w:rsidR="008242B3" w:rsidRPr="00937C8B" w:rsidRDefault="008242B3" w:rsidP="003E38D0">
            <w:pPr>
              <w:jc w:val="center"/>
              <w:rPr>
                <w:rFonts w:ascii="Arial" w:hAnsi="Arial" w:cs="Arial"/>
                <w:b/>
                <w:bCs/>
                <w:sz w:val="12"/>
                <w:szCs w:val="12"/>
              </w:rPr>
            </w:pPr>
            <w:r>
              <w:rPr>
                <w:rFonts w:ascii="Arial" w:hAnsi="Arial"/>
                <w:b/>
                <w:bCs/>
                <w:sz w:val="12"/>
                <w:szCs w:val="12"/>
              </w:rPr>
              <w:t>111 - 200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22A05ED3" w14:textId="77777777" w:rsidR="008242B3" w:rsidRPr="00937C8B" w:rsidRDefault="008242B3" w:rsidP="003E38D0">
            <w:pPr>
              <w:jc w:val="center"/>
              <w:rPr>
                <w:rFonts w:ascii="Arial" w:hAnsi="Arial" w:cs="Arial"/>
                <w:b/>
                <w:bCs/>
                <w:sz w:val="12"/>
                <w:szCs w:val="12"/>
              </w:rPr>
            </w:pPr>
            <w:r>
              <w:rPr>
                <w:rFonts w:ascii="Arial" w:hAnsi="Arial"/>
                <w:b/>
                <w:bCs/>
                <w:sz w:val="12"/>
                <w:szCs w:val="12"/>
              </w:rPr>
              <w:t xml:space="preserve">201 - 250 m </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7D628BFB" w14:textId="77777777" w:rsidR="008242B3" w:rsidRPr="00937C8B" w:rsidRDefault="008242B3" w:rsidP="003E38D0">
            <w:pPr>
              <w:jc w:val="center"/>
              <w:rPr>
                <w:rFonts w:ascii="Arial" w:hAnsi="Arial" w:cs="Arial"/>
                <w:b/>
                <w:bCs/>
                <w:sz w:val="12"/>
                <w:szCs w:val="12"/>
              </w:rPr>
            </w:pPr>
            <w:r>
              <w:rPr>
                <w:rFonts w:ascii="Arial" w:hAnsi="Arial"/>
                <w:b/>
                <w:bCs/>
                <w:sz w:val="12"/>
                <w:szCs w:val="12"/>
              </w:rPr>
              <w:t>251 - 300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48A11963" w14:textId="77777777" w:rsidR="008242B3" w:rsidRPr="00937C8B" w:rsidRDefault="008242B3" w:rsidP="003E38D0">
            <w:pPr>
              <w:jc w:val="center"/>
              <w:rPr>
                <w:rFonts w:ascii="Arial" w:hAnsi="Arial" w:cs="Arial"/>
                <w:b/>
                <w:bCs/>
                <w:sz w:val="12"/>
                <w:szCs w:val="12"/>
              </w:rPr>
            </w:pPr>
            <w:r>
              <w:rPr>
                <w:rFonts w:ascii="Arial" w:hAnsi="Arial"/>
                <w:b/>
                <w:bCs/>
                <w:sz w:val="12"/>
                <w:szCs w:val="12"/>
              </w:rPr>
              <w:t>301 - 350 m</w:t>
            </w:r>
          </w:p>
        </w:tc>
        <w:tc>
          <w:tcPr>
            <w:tcW w:w="287"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6757D8E2" w14:textId="77777777" w:rsidR="008242B3" w:rsidRPr="00937C8B" w:rsidRDefault="008242B3" w:rsidP="003E38D0">
            <w:pPr>
              <w:jc w:val="center"/>
              <w:rPr>
                <w:rFonts w:ascii="Arial" w:hAnsi="Arial" w:cs="Arial"/>
                <w:b/>
                <w:bCs/>
                <w:sz w:val="12"/>
                <w:szCs w:val="12"/>
              </w:rPr>
            </w:pPr>
            <w:r>
              <w:rPr>
                <w:rFonts w:ascii="Arial" w:hAnsi="Arial"/>
                <w:b/>
                <w:bCs/>
                <w:sz w:val="12"/>
                <w:szCs w:val="12"/>
              </w:rPr>
              <w:t>351 - 400 m</w:t>
            </w:r>
          </w:p>
        </w:tc>
        <w:tc>
          <w:tcPr>
            <w:tcW w:w="287"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302841DA" w14:textId="77777777" w:rsidR="008242B3" w:rsidRPr="00937C8B" w:rsidRDefault="008242B3" w:rsidP="003E38D0">
            <w:pPr>
              <w:jc w:val="center"/>
              <w:rPr>
                <w:rFonts w:ascii="Arial" w:hAnsi="Arial" w:cs="Arial"/>
                <w:b/>
                <w:bCs/>
                <w:sz w:val="12"/>
                <w:szCs w:val="12"/>
              </w:rPr>
            </w:pPr>
            <w:r>
              <w:rPr>
                <w:rFonts w:ascii="Arial" w:hAnsi="Arial"/>
                <w:b/>
                <w:bCs/>
                <w:sz w:val="12"/>
                <w:szCs w:val="12"/>
              </w:rPr>
              <w:t>401 - 450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13730351" w14:textId="77777777" w:rsidR="008242B3" w:rsidRPr="00937C8B" w:rsidRDefault="008242B3" w:rsidP="003E38D0">
            <w:pPr>
              <w:jc w:val="center"/>
              <w:rPr>
                <w:rFonts w:ascii="Arial" w:hAnsi="Arial" w:cs="Arial"/>
                <w:b/>
                <w:bCs/>
                <w:sz w:val="12"/>
                <w:szCs w:val="12"/>
              </w:rPr>
            </w:pPr>
            <w:r>
              <w:rPr>
                <w:rFonts w:ascii="Arial" w:hAnsi="Arial"/>
                <w:b/>
                <w:bCs/>
                <w:sz w:val="12"/>
                <w:szCs w:val="12"/>
              </w:rPr>
              <w:t>451 - 500 m</w:t>
            </w:r>
          </w:p>
        </w:tc>
        <w:tc>
          <w:tcPr>
            <w:tcW w:w="289"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3E52F9F7" w14:textId="77777777" w:rsidR="008242B3" w:rsidRPr="00937C8B" w:rsidRDefault="008242B3" w:rsidP="003E38D0">
            <w:pPr>
              <w:jc w:val="center"/>
              <w:rPr>
                <w:rFonts w:ascii="Arial" w:hAnsi="Arial" w:cs="Arial"/>
                <w:b/>
                <w:bCs/>
                <w:sz w:val="12"/>
                <w:szCs w:val="12"/>
              </w:rPr>
            </w:pPr>
            <w:r>
              <w:rPr>
                <w:rFonts w:ascii="Arial" w:hAnsi="Arial"/>
                <w:b/>
                <w:bCs/>
                <w:sz w:val="12"/>
                <w:szCs w:val="12"/>
              </w:rPr>
              <w:t>501 - 550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104C53C6" w14:textId="77777777" w:rsidR="008242B3" w:rsidRPr="00937C8B" w:rsidRDefault="008242B3" w:rsidP="003E38D0">
            <w:pPr>
              <w:jc w:val="center"/>
              <w:rPr>
                <w:rFonts w:ascii="Arial" w:hAnsi="Arial" w:cs="Arial"/>
                <w:b/>
                <w:bCs/>
                <w:sz w:val="12"/>
                <w:szCs w:val="12"/>
              </w:rPr>
            </w:pPr>
            <w:r>
              <w:rPr>
                <w:rFonts w:ascii="Arial" w:hAnsi="Arial"/>
                <w:b/>
                <w:bCs/>
                <w:sz w:val="12"/>
                <w:szCs w:val="12"/>
              </w:rPr>
              <w:t>551 - 600 m</w:t>
            </w:r>
          </w:p>
        </w:tc>
        <w:tc>
          <w:tcPr>
            <w:tcW w:w="289" w:type="dxa"/>
            <w:gridSpan w:val="3"/>
            <w:tcBorders>
              <w:top w:val="single" w:sz="8" w:space="0" w:color="000000"/>
              <w:left w:val="single" w:sz="4" w:space="0" w:color="000000"/>
              <w:bottom w:val="single" w:sz="8" w:space="0" w:color="000000"/>
              <w:right w:val="single" w:sz="4" w:space="0" w:color="000000"/>
            </w:tcBorders>
            <w:shd w:val="clear" w:color="auto" w:fill="D9D9D9"/>
            <w:vAlign w:val="center"/>
          </w:tcPr>
          <w:p w14:paraId="5B367AA4" w14:textId="77777777" w:rsidR="008242B3" w:rsidRPr="00937C8B" w:rsidRDefault="008242B3" w:rsidP="003E38D0">
            <w:pPr>
              <w:jc w:val="center"/>
              <w:rPr>
                <w:rFonts w:ascii="Arial" w:hAnsi="Arial" w:cs="Arial"/>
                <w:b/>
                <w:bCs/>
                <w:sz w:val="12"/>
                <w:szCs w:val="12"/>
              </w:rPr>
            </w:pPr>
            <w:r>
              <w:rPr>
                <w:rFonts w:ascii="Arial" w:hAnsi="Arial"/>
                <w:b/>
                <w:bCs/>
                <w:sz w:val="12"/>
                <w:szCs w:val="12"/>
              </w:rPr>
              <w:t>601 - 650 m</w:t>
            </w:r>
          </w:p>
        </w:tc>
        <w:tc>
          <w:tcPr>
            <w:tcW w:w="287"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540BC9C2" w14:textId="77777777" w:rsidR="008242B3" w:rsidRPr="00937C8B" w:rsidRDefault="008242B3" w:rsidP="003E38D0">
            <w:pPr>
              <w:jc w:val="center"/>
              <w:rPr>
                <w:rFonts w:ascii="Arial" w:hAnsi="Arial" w:cs="Arial"/>
                <w:b/>
                <w:bCs/>
                <w:sz w:val="12"/>
                <w:szCs w:val="12"/>
              </w:rPr>
            </w:pPr>
            <w:r>
              <w:rPr>
                <w:rFonts w:ascii="Arial" w:hAnsi="Arial"/>
                <w:b/>
                <w:bCs/>
                <w:sz w:val="12"/>
                <w:szCs w:val="12"/>
              </w:rPr>
              <w:t>651 - 700 m</w:t>
            </w:r>
          </w:p>
        </w:tc>
        <w:tc>
          <w:tcPr>
            <w:tcW w:w="289"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6347EBB2" w14:textId="77777777" w:rsidR="008242B3" w:rsidRPr="00937C8B" w:rsidRDefault="008242B3" w:rsidP="003E38D0">
            <w:pPr>
              <w:jc w:val="center"/>
              <w:rPr>
                <w:rFonts w:ascii="Arial" w:hAnsi="Arial" w:cs="Arial"/>
                <w:b/>
                <w:bCs/>
                <w:sz w:val="12"/>
                <w:szCs w:val="12"/>
              </w:rPr>
            </w:pPr>
            <w:r>
              <w:rPr>
                <w:rFonts w:ascii="Arial" w:hAnsi="Arial"/>
                <w:b/>
                <w:bCs/>
                <w:sz w:val="12"/>
                <w:szCs w:val="12"/>
              </w:rPr>
              <w:t>701 - 750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5929EBCC" w14:textId="77777777" w:rsidR="008242B3" w:rsidRPr="00937C8B" w:rsidRDefault="008242B3" w:rsidP="003E38D0">
            <w:pPr>
              <w:jc w:val="center"/>
              <w:rPr>
                <w:rFonts w:ascii="Arial" w:hAnsi="Arial" w:cs="Arial"/>
                <w:b/>
                <w:bCs/>
                <w:sz w:val="12"/>
                <w:szCs w:val="12"/>
              </w:rPr>
            </w:pPr>
            <w:r>
              <w:rPr>
                <w:rFonts w:ascii="Arial" w:hAnsi="Arial"/>
                <w:b/>
                <w:bCs/>
                <w:sz w:val="12"/>
                <w:szCs w:val="12"/>
              </w:rPr>
              <w:t>751 - 800 m</w:t>
            </w:r>
          </w:p>
        </w:tc>
        <w:tc>
          <w:tcPr>
            <w:tcW w:w="289"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3847CCAC" w14:textId="77777777" w:rsidR="008242B3" w:rsidRPr="00937C8B" w:rsidRDefault="008242B3" w:rsidP="003E38D0">
            <w:pPr>
              <w:jc w:val="center"/>
              <w:rPr>
                <w:rFonts w:ascii="Arial" w:hAnsi="Arial" w:cs="Arial"/>
                <w:b/>
                <w:bCs/>
                <w:sz w:val="12"/>
                <w:szCs w:val="12"/>
              </w:rPr>
            </w:pPr>
            <w:r>
              <w:rPr>
                <w:rFonts w:ascii="Arial" w:hAnsi="Arial"/>
                <w:b/>
                <w:bCs/>
                <w:sz w:val="12"/>
                <w:szCs w:val="12"/>
              </w:rPr>
              <w:t>801 - 850 m</w:t>
            </w:r>
          </w:p>
        </w:tc>
        <w:tc>
          <w:tcPr>
            <w:tcW w:w="288"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3583BAFA" w14:textId="77777777" w:rsidR="008242B3" w:rsidRPr="00937C8B" w:rsidRDefault="008242B3" w:rsidP="003E38D0">
            <w:pPr>
              <w:jc w:val="center"/>
              <w:rPr>
                <w:rFonts w:ascii="Arial" w:hAnsi="Arial" w:cs="Arial"/>
                <w:b/>
                <w:bCs/>
                <w:sz w:val="12"/>
                <w:szCs w:val="12"/>
              </w:rPr>
            </w:pPr>
            <w:r>
              <w:rPr>
                <w:rFonts w:ascii="Arial" w:hAnsi="Arial"/>
                <w:b/>
                <w:bCs/>
                <w:sz w:val="12"/>
                <w:szCs w:val="12"/>
              </w:rPr>
              <w:t>851 - 900 m</w:t>
            </w:r>
          </w:p>
        </w:tc>
        <w:tc>
          <w:tcPr>
            <w:tcW w:w="287"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19A8D028" w14:textId="77777777" w:rsidR="008242B3" w:rsidRPr="00937C8B" w:rsidRDefault="008242B3" w:rsidP="003E38D0">
            <w:pPr>
              <w:jc w:val="center"/>
              <w:rPr>
                <w:rFonts w:ascii="Arial" w:hAnsi="Arial" w:cs="Arial"/>
                <w:b/>
                <w:bCs/>
                <w:sz w:val="12"/>
                <w:szCs w:val="12"/>
              </w:rPr>
            </w:pPr>
            <w:r>
              <w:rPr>
                <w:rFonts w:ascii="Arial" w:hAnsi="Arial"/>
                <w:b/>
                <w:bCs/>
                <w:sz w:val="12"/>
                <w:szCs w:val="12"/>
              </w:rPr>
              <w:t>901 - 950 m</w:t>
            </w:r>
          </w:p>
        </w:tc>
        <w:tc>
          <w:tcPr>
            <w:tcW w:w="277"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7C463F02" w14:textId="77777777" w:rsidR="008242B3" w:rsidRPr="00937C8B" w:rsidRDefault="008242B3" w:rsidP="003E38D0">
            <w:pPr>
              <w:jc w:val="center"/>
              <w:rPr>
                <w:rFonts w:ascii="Arial" w:hAnsi="Arial" w:cs="Arial"/>
                <w:b/>
                <w:bCs/>
                <w:sz w:val="12"/>
                <w:szCs w:val="12"/>
              </w:rPr>
            </w:pPr>
            <w:r>
              <w:rPr>
                <w:rFonts w:ascii="Arial" w:hAnsi="Arial"/>
                <w:b/>
                <w:bCs/>
                <w:sz w:val="12"/>
                <w:szCs w:val="12"/>
              </w:rPr>
              <w:t>951 - 1000 m</w:t>
            </w:r>
          </w:p>
        </w:tc>
        <w:tc>
          <w:tcPr>
            <w:tcW w:w="312"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14:paraId="2DEC1D93" w14:textId="77777777" w:rsidR="008242B3" w:rsidRPr="00937C8B" w:rsidRDefault="008242B3" w:rsidP="003E38D0">
            <w:pPr>
              <w:jc w:val="center"/>
              <w:rPr>
                <w:rFonts w:ascii="Arial" w:hAnsi="Arial" w:cs="Arial"/>
                <w:b/>
                <w:bCs/>
                <w:sz w:val="12"/>
                <w:szCs w:val="12"/>
              </w:rPr>
            </w:pPr>
            <w:r>
              <w:rPr>
                <w:rFonts w:ascii="Arial" w:hAnsi="Arial"/>
                <w:b/>
                <w:bCs/>
                <w:sz w:val="12"/>
                <w:szCs w:val="12"/>
              </w:rPr>
              <w:t>1001 - 1050 m</w:t>
            </w:r>
          </w:p>
        </w:tc>
        <w:tc>
          <w:tcPr>
            <w:tcW w:w="292"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56374EF7" w14:textId="77777777" w:rsidR="008242B3" w:rsidRPr="00937C8B" w:rsidRDefault="008242B3" w:rsidP="003E38D0">
            <w:pPr>
              <w:jc w:val="center"/>
              <w:rPr>
                <w:rFonts w:ascii="Arial" w:hAnsi="Arial" w:cs="Arial"/>
                <w:b/>
                <w:bCs/>
                <w:sz w:val="12"/>
                <w:szCs w:val="12"/>
              </w:rPr>
            </w:pPr>
            <w:r>
              <w:rPr>
                <w:rFonts w:ascii="Arial" w:hAnsi="Arial"/>
                <w:b/>
                <w:bCs/>
                <w:sz w:val="12"/>
                <w:szCs w:val="12"/>
              </w:rPr>
              <w:t>1051 - 1250 m</w:t>
            </w:r>
          </w:p>
        </w:tc>
        <w:tc>
          <w:tcPr>
            <w:tcW w:w="289" w:type="dxa"/>
            <w:tcBorders>
              <w:top w:val="single" w:sz="8" w:space="0" w:color="000000"/>
              <w:bottom w:val="single" w:sz="8" w:space="0" w:color="000000"/>
            </w:tcBorders>
            <w:shd w:val="clear" w:color="auto" w:fill="D9D9D9"/>
            <w:vAlign w:val="center"/>
          </w:tcPr>
          <w:p w14:paraId="22DD4D46" w14:textId="77777777" w:rsidR="008242B3" w:rsidRPr="00937C8B" w:rsidRDefault="008242B3" w:rsidP="003E38D0">
            <w:pPr>
              <w:ind w:left="-54"/>
              <w:jc w:val="center"/>
              <w:rPr>
                <w:rFonts w:ascii="Arial" w:hAnsi="Arial" w:cs="Arial"/>
                <w:b/>
                <w:bCs/>
                <w:sz w:val="12"/>
                <w:szCs w:val="12"/>
              </w:rPr>
            </w:pPr>
            <w:r>
              <w:rPr>
                <w:rFonts w:ascii="Arial" w:hAnsi="Arial"/>
                <w:b/>
                <w:bCs/>
                <w:sz w:val="12"/>
                <w:szCs w:val="12"/>
              </w:rPr>
              <w:t>1251 - 1300 m</w:t>
            </w:r>
          </w:p>
        </w:tc>
        <w:tc>
          <w:tcPr>
            <w:tcW w:w="286"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1EEA2D5B" w14:textId="20EBBCAE" w:rsidR="008242B3" w:rsidRPr="00937C8B" w:rsidRDefault="008242B3" w:rsidP="003E38D0">
            <w:pPr>
              <w:jc w:val="center"/>
              <w:rPr>
                <w:rFonts w:ascii="Arial" w:hAnsi="Arial" w:cs="Arial"/>
                <w:b/>
                <w:bCs/>
                <w:sz w:val="12"/>
                <w:szCs w:val="12"/>
              </w:rPr>
            </w:pPr>
            <w:r>
              <w:rPr>
                <w:rFonts w:ascii="Arial" w:hAnsi="Arial"/>
                <w:b/>
                <w:bCs/>
                <w:sz w:val="12"/>
                <w:szCs w:val="12"/>
              </w:rPr>
              <w:t>≥ 1301</w:t>
            </w:r>
            <w:r w:rsidR="00EA7588">
              <w:rPr>
                <w:rFonts w:ascii="Arial" w:hAnsi="Arial"/>
                <w:b/>
                <w:bCs/>
                <w:sz w:val="12"/>
                <w:szCs w:val="12"/>
              </w:rPr>
              <w:t> </w:t>
            </w:r>
            <w:r>
              <w:rPr>
                <w:rFonts w:ascii="Arial" w:hAnsi="Arial"/>
                <w:b/>
                <w:bCs/>
                <w:sz w:val="12"/>
                <w:szCs w:val="12"/>
              </w:rPr>
              <w:t>m</w:t>
            </w:r>
          </w:p>
        </w:tc>
      </w:tr>
    </w:tbl>
    <w:p w14:paraId="195EC301" w14:textId="77777777" w:rsidR="008242B3" w:rsidRPr="00786EBA" w:rsidRDefault="008242B3" w:rsidP="00786EBA">
      <w:pPr>
        <w:keepNext/>
        <w:spacing w:before="240" w:after="120"/>
        <w:rPr>
          <w:rFonts w:ascii="Arial" w:hAnsi="Arial" w:cs="Arial"/>
          <w:b/>
          <w:sz w:val="28"/>
          <w:szCs w:val="28"/>
        </w:rPr>
      </w:pPr>
      <w:bookmarkStart w:id="268" w:name="_Toc530395132"/>
      <w:bookmarkStart w:id="269" w:name="_Toc530395307"/>
      <w:bookmarkStart w:id="270" w:name="_Toc530396092"/>
      <w:bookmarkStart w:id="271" w:name="_Toc530396186"/>
      <w:bookmarkStart w:id="272" w:name="_Toc39157977"/>
      <w:bookmarkStart w:id="273" w:name="_Toc39158143"/>
      <w:r>
        <w:rPr>
          <w:rFonts w:ascii="Arial" w:hAnsi="Arial"/>
          <w:b/>
          <w:sz w:val="28"/>
          <w:szCs w:val="28"/>
        </w:rPr>
        <w:lastRenderedPageBreak/>
        <w:t>2</w:t>
      </w:r>
      <w:r>
        <w:rPr>
          <w:rFonts w:ascii="Arial" w:hAnsi="Arial"/>
          <w:b/>
          <w:sz w:val="28"/>
          <w:szCs w:val="28"/>
        </w:rPr>
        <w:tab/>
        <w:t>Climat de référence</w:t>
      </w:r>
      <w:bookmarkEnd w:id="268"/>
      <w:bookmarkEnd w:id="269"/>
      <w:bookmarkEnd w:id="270"/>
      <w:bookmarkEnd w:id="271"/>
      <w:bookmarkEnd w:id="272"/>
      <w:bookmarkEnd w:id="273"/>
    </w:p>
    <w:p w14:paraId="636BB675" w14:textId="4720D0B5" w:rsidR="00AE2A37" w:rsidRPr="00937C8B" w:rsidRDefault="008242B3" w:rsidP="006C641F">
      <w:pPr>
        <w:pStyle w:val="CTENumeracion"/>
        <w:spacing w:before="120"/>
        <w:rPr>
          <w:rFonts w:cs="Arial"/>
          <w:sz w:val="22"/>
          <w:szCs w:val="22"/>
        </w:rPr>
      </w:pPr>
      <w:r>
        <w:rPr>
          <w:sz w:val="22"/>
          <w:szCs w:val="22"/>
        </w:rPr>
        <w:t>1</w:t>
      </w:r>
      <w:r>
        <w:rPr>
          <w:sz w:val="22"/>
          <w:szCs w:val="22"/>
        </w:rPr>
        <w:tab/>
        <w:t>La Direction générale de l</w:t>
      </w:r>
      <w:r w:rsidR="00EA7588">
        <w:rPr>
          <w:sz w:val="22"/>
          <w:szCs w:val="22"/>
        </w:rPr>
        <w:t>’</w:t>
      </w:r>
      <w:r>
        <w:rPr>
          <w:sz w:val="22"/>
          <w:szCs w:val="22"/>
        </w:rPr>
        <w:t>architecture, du logement et des sols du ministère de l</w:t>
      </w:r>
      <w:r w:rsidR="00EA7588">
        <w:rPr>
          <w:sz w:val="22"/>
          <w:szCs w:val="22"/>
        </w:rPr>
        <w:t>’</w:t>
      </w:r>
      <w:r>
        <w:rPr>
          <w:sz w:val="22"/>
          <w:szCs w:val="22"/>
        </w:rPr>
        <w:t xml:space="preserve">équipement publiera sous un format informatique les données qui définissent le </w:t>
      </w:r>
      <w:r>
        <w:rPr>
          <w:i/>
          <w:sz w:val="22"/>
          <w:szCs w:val="22"/>
        </w:rPr>
        <w:t>climat de référence</w:t>
      </w:r>
      <w:r>
        <w:rPr>
          <w:sz w:val="22"/>
          <w:szCs w:val="22"/>
        </w:rPr>
        <w:t xml:space="preserve"> de chaque </w:t>
      </w:r>
      <w:r>
        <w:rPr>
          <w:i/>
          <w:iCs/>
          <w:sz w:val="22"/>
          <w:szCs w:val="22"/>
        </w:rPr>
        <w:t>zone climatique</w:t>
      </w:r>
      <w:r>
        <w:rPr>
          <w:sz w:val="22"/>
          <w:szCs w:val="22"/>
        </w:rPr>
        <w:t>, établissant les conditions extérieur</w:t>
      </w:r>
      <w:r w:rsidR="00880E3A">
        <w:rPr>
          <w:sz w:val="22"/>
          <w:szCs w:val="22"/>
        </w:rPr>
        <w:t>e</w:t>
      </w:r>
      <w:r>
        <w:rPr>
          <w:sz w:val="22"/>
          <w:szCs w:val="22"/>
        </w:rPr>
        <w:t>s de calcul</w:t>
      </w:r>
      <w:r w:rsidR="00880E3A">
        <w:rPr>
          <w:sz w:val="22"/>
          <w:szCs w:val="22"/>
        </w:rPr>
        <w:t>.</w:t>
      </w:r>
    </w:p>
    <w:p w14:paraId="36439014" w14:textId="77777777" w:rsidR="00AE2A37" w:rsidRPr="00937C8B" w:rsidRDefault="00AE2A37" w:rsidP="0084739B">
      <w:pPr>
        <w:pStyle w:val="CteTtuloSeccion"/>
        <w:pageBreakBefore/>
        <w:rPr>
          <w:rFonts w:cs="Arial"/>
        </w:rPr>
      </w:pPr>
      <w:bookmarkStart w:id="274" w:name="_Toc39157978"/>
      <w:bookmarkStart w:id="275" w:name="_Toc39158144"/>
      <w:r>
        <w:rPr>
          <w:color w:val="auto"/>
        </w:rPr>
        <w:lastRenderedPageBreak/>
        <w:t>Annexe C</w:t>
      </w:r>
      <w:r>
        <w:rPr>
          <w:color w:val="auto"/>
        </w:rPr>
        <w:tab/>
        <w:t>Caractéristiques liées à la définition de l’</w:t>
      </w:r>
      <w:r>
        <w:rPr>
          <w:i/>
          <w:color w:val="auto"/>
        </w:rPr>
        <w:t>enceinte thermique</w:t>
      </w:r>
      <w:bookmarkEnd w:id="274"/>
      <w:bookmarkEnd w:id="275"/>
    </w:p>
    <w:p w14:paraId="58FB267B" w14:textId="77777777" w:rsidR="00A32FE4" w:rsidRPr="00937C8B" w:rsidRDefault="00A32FE4" w:rsidP="00A32FE4">
      <w:pPr>
        <w:pStyle w:val="Standard"/>
        <w:ind w:left="397" w:hanging="397"/>
        <w:rPr>
          <w:rStyle w:val="CteAnejo-DefinicionCar"/>
          <w:b w:val="0"/>
          <w:i w:val="0"/>
          <w:iCs w:val="0"/>
          <w:szCs w:val="22"/>
        </w:rPr>
      </w:pPr>
    </w:p>
    <w:p w14:paraId="36002702" w14:textId="58FC9367" w:rsidR="00A32FE4" w:rsidRPr="00937C8B" w:rsidRDefault="00AE2A37" w:rsidP="00AE2A37">
      <w:pPr>
        <w:pStyle w:val="CTENumeracion"/>
        <w:ind w:left="284" w:hanging="284"/>
        <w:rPr>
          <w:rStyle w:val="CteAnejo-DefinicionCar"/>
          <w:b w:val="0"/>
          <w:bCs w:val="0"/>
          <w:i w:val="0"/>
          <w:iCs w:val="0"/>
          <w:sz w:val="22"/>
          <w:szCs w:val="22"/>
        </w:rPr>
      </w:pPr>
      <w:r>
        <w:rPr>
          <w:rStyle w:val="CteAnejo-DefinicionCar"/>
          <w:b w:val="0"/>
          <w:i w:val="0"/>
          <w:iCs w:val="0"/>
          <w:sz w:val="22"/>
          <w:szCs w:val="22"/>
        </w:rPr>
        <w:t>1</w:t>
      </w:r>
      <w:r>
        <w:rPr>
          <w:rStyle w:val="CteAnejo-DefinicionCar"/>
          <w:b w:val="0"/>
          <w:i w:val="0"/>
          <w:iCs w:val="0"/>
          <w:sz w:val="22"/>
          <w:szCs w:val="22"/>
        </w:rPr>
        <w:tab/>
        <w:t>L</w:t>
      </w:r>
      <w:r w:rsidR="00EA7588">
        <w:rPr>
          <w:rStyle w:val="CteAnejo-DefinicionCar"/>
          <w:b w:val="0"/>
          <w:i w:val="0"/>
          <w:iCs w:val="0"/>
          <w:sz w:val="22"/>
          <w:szCs w:val="22"/>
        </w:rPr>
        <w:t>’</w:t>
      </w:r>
      <w:r>
        <w:rPr>
          <w:rStyle w:val="CteAnejo-DefinicionCar"/>
          <w:b w:val="0"/>
          <w:sz w:val="22"/>
          <w:szCs w:val="22"/>
        </w:rPr>
        <w:t>enceinte thermique</w:t>
      </w:r>
      <w:r>
        <w:rPr>
          <w:rStyle w:val="CteAnejo-DefinicionCar"/>
          <w:b w:val="0"/>
          <w:i w:val="0"/>
          <w:iCs w:val="0"/>
          <w:sz w:val="22"/>
          <w:szCs w:val="22"/>
        </w:rPr>
        <w:t xml:space="preserve"> est composée de </w:t>
      </w:r>
      <w:r>
        <w:rPr>
          <w:sz w:val="22"/>
          <w:szCs w:val="22"/>
        </w:rPr>
        <w:t xml:space="preserve">toutes les </w:t>
      </w:r>
      <w:r>
        <w:rPr>
          <w:i/>
          <w:iCs/>
          <w:sz w:val="22"/>
          <w:szCs w:val="22"/>
        </w:rPr>
        <w:t>cloisons</w:t>
      </w:r>
      <w:r>
        <w:rPr>
          <w:sz w:val="22"/>
          <w:szCs w:val="22"/>
        </w:rPr>
        <w:t xml:space="preserve"> et </w:t>
      </w:r>
      <w:r>
        <w:rPr>
          <w:i/>
          <w:iCs/>
          <w:sz w:val="22"/>
          <w:szCs w:val="22"/>
        </w:rPr>
        <w:t>séparations intérieures</w:t>
      </w:r>
      <w:r>
        <w:rPr>
          <w:sz w:val="22"/>
          <w:szCs w:val="22"/>
        </w:rPr>
        <w:t>, y compris les</w:t>
      </w:r>
      <w:r>
        <w:rPr>
          <w:i/>
          <w:iCs/>
          <w:sz w:val="22"/>
          <w:szCs w:val="22"/>
        </w:rPr>
        <w:t xml:space="preserve"> ponts thermiques</w:t>
      </w:r>
      <w:r>
        <w:rPr>
          <w:sz w:val="22"/>
          <w:szCs w:val="22"/>
        </w:rPr>
        <w:t xml:space="preserve">, qui délimitent </w:t>
      </w:r>
      <w:r>
        <w:rPr>
          <w:rStyle w:val="CteAnejo-DefinicionCar"/>
          <w:b w:val="0"/>
          <w:i w:val="0"/>
          <w:iCs w:val="0"/>
          <w:sz w:val="22"/>
          <w:szCs w:val="22"/>
        </w:rPr>
        <w:t xml:space="preserve">tous les </w:t>
      </w:r>
      <w:r>
        <w:rPr>
          <w:rStyle w:val="CteAnejo-DefinicionCar"/>
          <w:b w:val="0"/>
          <w:sz w:val="22"/>
          <w:szCs w:val="22"/>
        </w:rPr>
        <w:t>espaces habitables</w:t>
      </w:r>
      <w:r>
        <w:rPr>
          <w:rStyle w:val="CteAnejo-DefinicionCar"/>
          <w:b w:val="0"/>
          <w:i w:val="0"/>
          <w:iCs w:val="0"/>
          <w:sz w:val="22"/>
          <w:szCs w:val="22"/>
        </w:rPr>
        <w:t xml:space="preserve"> du bâtiment ou d</w:t>
      </w:r>
      <w:r w:rsidR="00EA7588">
        <w:rPr>
          <w:rStyle w:val="CteAnejo-DefinicionCar"/>
          <w:b w:val="0"/>
          <w:i w:val="0"/>
          <w:iCs w:val="0"/>
          <w:sz w:val="22"/>
          <w:szCs w:val="22"/>
        </w:rPr>
        <w:t>’</w:t>
      </w:r>
      <w:r>
        <w:rPr>
          <w:rStyle w:val="CteAnejo-DefinicionCar"/>
          <w:b w:val="0"/>
          <w:i w:val="0"/>
          <w:iCs w:val="0"/>
          <w:sz w:val="22"/>
          <w:szCs w:val="22"/>
        </w:rPr>
        <w:t>une partie du bâtiment</w:t>
      </w:r>
      <w:r>
        <w:rPr>
          <w:rStyle w:val="CteAnejo-DefinicionCar"/>
          <w:b w:val="0"/>
          <w:bCs w:val="0"/>
          <w:i w:val="0"/>
          <w:iCs w:val="0"/>
          <w:sz w:val="22"/>
          <w:szCs w:val="22"/>
        </w:rPr>
        <w:t>. Cependant, à la discrétion du concepteur:</w:t>
      </w:r>
    </w:p>
    <w:p w14:paraId="3EE547E6" w14:textId="6CAFBD24" w:rsidR="00A32FE4" w:rsidRPr="00937C8B" w:rsidRDefault="00A32FE4" w:rsidP="00425ADA">
      <w:pPr>
        <w:pStyle w:val="CTENormal"/>
        <w:numPr>
          <w:ilvl w:val="0"/>
          <w:numId w:val="15"/>
        </w:numPr>
        <w:spacing w:before="0" w:after="0"/>
        <w:ind w:left="567" w:hanging="283"/>
        <w:jc w:val="both"/>
        <w:rPr>
          <w:szCs w:val="22"/>
        </w:rPr>
      </w:pPr>
      <w:r>
        <w:t xml:space="preserve">certains ou tous les espaces non habitables </w:t>
      </w:r>
      <w:r>
        <w:rPr>
          <w:rStyle w:val="CteAnejo-DefinicionCar"/>
          <w:b w:val="0"/>
          <w:bCs w:val="0"/>
          <w:i w:val="0"/>
          <w:iCs w:val="0"/>
          <w:szCs w:val="22"/>
        </w:rPr>
        <w:t xml:space="preserve">pourront </w:t>
      </w:r>
      <w:r>
        <w:t>y être inclus;</w:t>
      </w:r>
    </w:p>
    <w:p w14:paraId="7D042A07" w14:textId="77777777" w:rsidR="00A32FE4" w:rsidRPr="00937C8B" w:rsidRDefault="00A32FE4" w:rsidP="00425ADA">
      <w:pPr>
        <w:pStyle w:val="CTENormal"/>
        <w:numPr>
          <w:ilvl w:val="0"/>
          <w:numId w:val="15"/>
        </w:numPr>
        <w:spacing w:before="0" w:after="0"/>
        <w:ind w:left="567" w:hanging="283"/>
        <w:jc w:val="both"/>
        <w:rPr>
          <w:szCs w:val="22"/>
        </w:rPr>
      </w:pPr>
      <w:r>
        <w:rPr>
          <w:rStyle w:val="CteAnejo-DefinicionCar"/>
          <w:b w:val="0"/>
          <w:bCs w:val="0"/>
          <w:i w:val="0"/>
          <w:iCs w:val="0"/>
          <w:szCs w:val="22"/>
        </w:rPr>
        <w:t>les espaces suivants pourront en être exclus:</w:t>
      </w:r>
    </w:p>
    <w:p w14:paraId="23CD48D4" w14:textId="77777777" w:rsidR="00A32FE4" w:rsidRPr="00937C8B" w:rsidRDefault="00A32FE4" w:rsidP="00A32FE4">
      <w:pPr>
        <w:pStyle w:val="Textbody"/>
        <w:spacing w:after="57" w:line="240" w:lineRule="auto"/>
        <w:ind w:left="993" w:hanging="284"/>
        <w:jc w:val="both"/>
        <w:rPr>
          <w:szCs w:val="22"/>
        </w:rPr>
      </w:pPr>
      <w:r>
        <w:t>i)</w:t>
      </w:r>
      <w:r>
        <w:tab/>
        <w:t xml:space="preserve">les </w:t>
      </w:r>
      <w:r>
        <w:rPr>
          <w:i/>
          <w:iCs/>
        </w:rPr>
        <w:t>espaces habitables</w:t>
      </w:r>
      <w:r>
        <w:t xml:space="preserve"> qui ne seront pas climatisés pendant toute la durée de vie du bâtiment, tels que les escaliers, les ascenseurs ou les couloirs non climatisés,</w:t>
      </w:r>
    </w:p>
    <w:p w14:paraId="156FB147" w14:textId="6080DBBD" w:rsidR="00A32FE4" w:rsidRPr="00937C8B" w:rsidRDefault="00A32FE4" w:rsidP="00A32FE4">
      <w:pPr>
        <w:pStyle w:val="Textbody"/>
        <w:spacing w:after="57" w:line="240" w:lineRule="auto"/>
        <w:ind w:left="993" w:hanging="284"/>
        <w:jc w:val="both"/>
        <w:rPr>
          <w:szCs w:val="22"/>
        </w:rPr>
      </w:pPr>
      <w:r>
        <w:t>ii)</w:t>
      </w:r>
      <w:r>
        <w:tab/>
        <w:t>les espaces très ventilés, dont la ventilation permanente est supérieure ou égale à 10</w:t>
      </w:r>
      <w:r w:rsidR="00EA7588">
        <w:t> </w:t>
      </w:r>
      <w:r>
        <w:t>dm</w:t>
      </w:r>
      <w:r>
        <w:rPr>
          <w:vertAlign w:val="superscript"/>
        </w:rPr>
        <w:t>3</w:t>
      </w:r>
      <w:r>
        <w:t>/s par m</w:t>
      </w:r>
      <w:r>
        <w:rPr>
          <w:vertAlign w:val="superscript"/>
        </w:rPr>
        <w:t>2</w:t>
      </w:r>
      <w:r>
        <w:t xml:space="preserve"> de surface utile dudit espace,</w:t>
      </w:r>
    </w:p>
    <w:p w14:paraId="78F0B679" w14:textId="6204C8D5" w:rsidR="00037CDA" w:rsidRPr="00937C8B" w:rsidRDefault="00447DB2" w:rsidP="00447DB2">
      <w:pPr>
        <w:pStyle w:val="Textbody"/>
        <w:spacing w:after="57" w:line="240" w:lineRule="auto"/>
        <w:ind w:left="993" w:hanging="284"/>
        <w:jc w:val="both"/>
        <w:rPr>
          <w:szCs w:val="22"/>
        </w:rPr>
      </w:pPr>
      <w:r>
        <w:t>iii)</w:t>
      </w:r>
      <w:r>
        <w:tab/>
        <w:t>les espaces avec de grandes ouvertures permanentes vers l</w:t>
      </w:r>
      <w:r w:rsidR="00EA7588">
        <w:t>’</w:t>
      </w:r>
      <w:r>
        <w:t>extérieur, d</w:t>
      </w:r>
      <w:r w:rsidR="00EA7588">
        <w:t>’</w:t>
      </w:r>
      <w:r>
        <w:t>au moins 0,003</w:t>
      </w:r>
      <w:r w:rsidR="00EA7588">
        <w:t> </w:t>
      </w:r>
      <w:r>
        <w:t>m</w:t>
      </w:r>
      <w:r>
        <w:rPr>
          <w:vertAlign w:val="superscript"/>
        </w:rPr>
        <w:t>2</w:t>
      </w:r>
      <w:r>
        <w:t xml:space="preserve"> par m</w:t>
      </w:r>
      <w:r>
        <w:rPr>
          <w:vertAlign w:val="superscript"/>
        </w:rPr>
        <w:t>2</w:t>
      </w:r>
      <w:r>
        <w:t xml:space="preserve"> de surface utile dudit espace.</w:t>
      </w:r>
    </w:p>
    <w:p w14:paraId="45953D50" w14:textId="77777777" w:rsidR="00AE2A37" w:rsidRPr="00937C8B" w:rsidRDefault="00AE2A37" w:rsidP="0084739B">
      <w:pPr>
        <w:pStyle w:val="CteTtuloSeccion"/>
        <w:pageBreakBefore/>
        <w:rPr>
          <w:rFonts w:cs="Arial"/>
          <w:color w:val="auto"/>
        </w:rPr>
      </w:pPr>
      <w:bookmarkStart w:id="276" w:name="_Toc39157979"/>
      <w:bookmarkStart w:id="277" w:name="_Toc39158145"/>
      <w:r>
        <w:rPr>
          <w:color w:val="auto"/>
        </w:rPr>
        <w:lastRenderedPageBreak/>
        <w:t>Annexe D</w:t>
      </w:r>
      <w:r>
        <w:rPr>
          <w:color w:val="auto"/>
        </w:rPr>
        <w:tab/>
        <w:t>Conditions opérationnelles et profils d’utilisation</w:t>
      </w:r>
      <w:bookmarkEnd w:id="276"/>
      <w:bookmarkEnd w:id="277"/>
    </w:p>
    <w:p w14:paraId="095DFB8F" w14:textId="77777777" w:rsidR="00CA4204" w:rsidRPr="00937C8B" w:rsidRDefault="00CA4204" w:rsidP="00CA4204">
      <w:pPr>
        <w:rPr>
          <w:rFonts w:ascii="Arial" w:hAnsi="Arial" w:cs="Arial"/>
        </w:rPr>
      </w:pPr>
    </w:p>
    <w:p w14:paraId="75885A16" w14:textId="701961DD" w:rsidR="00CA4204" w:rsidRPr="00937C8B" w:rsidRDefault="00CA4204" w:rsidP="00CA4204">
      <w:pPr>
        <w:pStyle w:val="CTENumeracion"/>
        <w:spacing w:before="120"/>
        <w:rPr>
          <w:rFonts w:cs="Arial"/>
          <w:sz w:val="22"/>
          <w:szCs w:val="22"/>
        </w:rPr>
      </w:pPr>
      <w:r>
        <w:rPr>
          <w:sz w:val="22"/>
          <w:szCs w:val="22"/>
        </w:rPr>
        <w:t>1</w:t>
      </w:r>
      <w:r>
        <w:rPr>
          <w:sz w:val="22"/>
          <w:szCs w:val="22"/>
        </w:rPr>
        <w:tab/>
        <w:t xml:space="preserve">Les espaces du modèle thermique répondent à des </w:t>
      </w:r>
      <w:r>
        <w:rPr>
          <w:i/>
          <w:iCs/>
          <w:sz w:val="22"/>
          <w:szCs w:val="22"/>
        </w:rPr>
        <w:t>conditions opérationnelles</w:t>
      </w:r>
      <w:r>
        <w:rPr>
          <w:sz w:val="22"/>
          <w:szCs w:val="22"/>
        </w:rPr>
        <w:t xml:space="preserve"> et à des </w:t>
      </w:r>
      <w:r>
        <w:rPr>
          <w:i/>
          <w:iCs/>
          <w:sz w:val="22"/>
          <w:szCs w:val="22"/>
        </w:rPr>
        <w:t>profils d</w:t>
      </w:r>
      <w:r w:rsidR="00EA7588">
        <w:rPr>
          <w:i/>
          <w:iCs/>
          <w:sz w:val="22"/>
          <w:szCs w:val="22"/>
        </w:rPr>
        <w:t>’</w:t>
      </w:r>
      <w:r>
        <w:rPr>
          <w:i/>
          <w:iCs/>
          <w:sz w:val="22"/>
          <w:szCs w:val="22"/>
        </w:rPr>
        <w:t>utilisation</w:t>
      </w:r>
      <w:r>
        <w:rPr>
          <w:sz w:val="22"/>
          <w:szCs w:val="22"/>
        </w:rPr>
        <w:t xml:space="preserve"> associés en fonction de leur usage spécifique.</w:t>
      </w:r>
    </w:p>
    <w:p w14:paraId="0AF50697" w14:textId="4DD20B07" w:rsidR="00CA4204" w:rsidRPr="00937C8B" w:rsidRDefault="00CA4204" w:rsidP="00CA4204">
      <w:pPr>
        <w:pStyle w:val="CTENumeracion"/>
        <w:spacing w:before="120"/>
        <w:rPr>
          <w:rFonts w:cs="Arial"/>
          <w:sz w:val="22"/>
          <w:szCs w:val="22"/>
        </w:rPr>
      </w:pPr>
      <w:r>
        <w:rPr>
          <w:sz w:val="22"/>
          <w:szCs w:val="22"/>
        </w:rPr>
        <w:t>2</w:t>
      </w:r>
      <w:r>
        <w:rPr>
          <w:sz w:val="22"/>
          <w:szCs w:val="22"/>
        </w:rPr>
        <w:tab/>
      </w:r>
      <w:r>
        <w:rPr>
          <w:rStyle w:val="CteAnejo-DefinicionCar"/>
          <w:b w:val="0"/>
          <w:bCs w:val="0"/>
          <w:i w:val="0"/>
          <w:sz w:val="22"/>
          <w:szCs w:val="22"/>
        </w:rPr>
        <w:t>Les températures de consigne définies dans l</w:t>
      </w:r>
      <w:r>
        <w:rPr>
          <w:sz w:val="22"/>
          <w:szCs w:val="22"/>
        </w:rPr>
        <w:t xml:space="preserve">es </w:t>
      </w:r>
      <w:r>
        <w:rPr>
          <w:i/>
          <w:iCs/>
          <w:sz w:val="22"/>
          <w:szCs w:val="22"/>
        </w:rPr>
        <w:t>conditions opérationnelles</w:t>
      </w:r>
      <w:r>
        <w:rPr>
          <w:sz w:val="22"/>
          <w:szCs w:val="22"/>
        </w:rPr>
        <w:t xml:space="preserve"> et dans le </w:t>
      </w:r>
      <w:r>
        <w:rPr>
          <w:i/>
          <w:iCs/>
          <w:sz w:val="22"/>
          <w:szCs w:val="22"/>
        </w:rPr>
        <w:t>profil d</w:t>
      </w:r>
      <w:r w:rsidR="00EA7588">
        <w:rPr>
          <w:i/>
          <w:iCs/>
          <w:sz w:val="22"/>
          <w:szCs w:val="22"/>
        </w:rPr>
        <w:t>’</w:t>
      </w:r>
      <w:r>
        <w:rPr>
          <w:i/>
          <w:iCs/>
          <w:sz w:val="22"/>
          <w:szCs w:val="22"/>
        </w:rPr>
        <w:t>utilisation</w:t>
      </w:r>
      <w:r>
        <w:rPr>
          <w:sz w:val="22"/>
          <w:szCs w:val="22"/>
        </w:rPr>
        <w:t xml:space="preserve"> des espaces à usage résidentiel privé, aux fins du calcul de la demande énergétique, doivent se conformer à celles établies dans le tableau a de l</w:t>
      </w:r>
      <w:r w:rsidR="00EA7588">
        <w:rPr>
          <w:sz w:val="22"/>
          <w:szCs w:val="22"/>
        </w:rPr>
        <w:t>’</w:t>
      </w:r>
      <w:r>
        <w:rPr>
          <w:sz w:val="22"/>
          <w:szCs w:val="22"/>
        </w:rPr>
        <w:t>annexe D, le tableau b de l</w:t>
      </w:r>
      <w:r w:rsidR="00EA7588">
        <w:rPr>
          <w:sz w:val="22"/>
          <w:szCs w:val="22"/>
        </w:rPr>
        <w:t>’</w:t>
      </w:r>
      <w:r>
        <w:rPr>
          <w:sz w:val="22"/>
          <w:szCs w:val="22"/>
        </w:rPr>
        <w:t>annexe D et le tableau c de l</w:t>
      </w:r>
      <w:r w:rsidR="00EA7588">
        <w:rPr>
          <w:sz w:val="22"/>
          <w:szCs w:val="22"/>
        </w:rPr>
        <w:t>’</w:t>
      </w:r>
      <w:r>
        <w:rPr>
          <w:sz w:val="22"/>
          <w:szCs w:val="22"/>
        </w:rPr>
        <w:t>annexe D:</w:t>
      </w:r>
    </w:p>
    <w:p w14:paraId="750A876C" w14:textId="77777777" w:rsidR="00CA4204" w:rsidRPr="00937C8B" w:rsidRDefault="00CA4204" w:rsidP="00CA4204">
      <w:pPr>
        <w:pStyle w:val="CTEtabla-Titulo"/>
      </w:pPr>
      <w:r>
        <w:t xml:space="preserve">Tableau a-Annexe D. </w:t>
      </w:r>
      <w:r>
        <w:rPr>
          <w:i/>
        </w:rPr>
        <w:t xml:space="preserve">Conditions opérationnelles </w:t>
      </w:r>
      <w:r>
        <w:t>des espaces climatisés à usage résidentiel privé</w:t>
      </w:r>
    </w:p>
    <w:tbl>
      <w:tblPr>
        <w:tblW w:w="8618" w:type="dxa"/>
        <w:jc w:val="center"/>
        <w:tblCellMar>
          <w:left w:w="15" w:type="dxa"/>
          <w:right w:w="10" w:type="dxa"/>
        </w:tblCellMar>
        <w:tblLook w:val="04A0" w:firstRow="1" w:lastRow="0" w:firstColumn="1" w:lastColumn="0" w:noHBand="0" w:noVBand="1"/>
      </w:tblPr>
      <w:tblGrid>
        <w:gridCol w:w="394"/>
        <w:gridCol w:w="1584"/>
        <w:gridCol w:w="2091"/>
        <w:gridCol w:w="1158"/>
        <w:gridCol w:w="1130"/>
        <w:gridCol w:w="1131"/>
        <w:gridCol w:w="1130"/>
      </w:tblGrid>
      <w:tr w:rsidR="00CA4204" w:rsidRPr="00937C8B" w14:paraId="74BEF1F6" w14:textId="77777777" w:rsidTr="00935676">
        <w:trPr>
          <w:jc w:val="center"/>
        </w:trPr>
        <w:tc>
          <w:tcPr>
            <w:tcW w:w="1978" w:type="dxa"/>
            <w:gridSpan w:val="2"/>
            <w:shd w:val="clear" w:color="auto" w:fill="auto"/>
          </w:tcPr>
          <w:p w14:paraId="2FFA3FC2" w14:textId="77777777" w:rsidR="00CA4204" w:rsidRPr="00937C8B" w:rsidRDefault="00CA4204" w:rsidP="003E38D0">
            <w:pPr>
              <w:pStyle w:val="CTEtabla-texto"/>
              <w:jc w:val="left"/>
              <w:rPr>
                <w:rFonts w:cs="Arial"/>
                <w:b/>
                <w:bCs/>
                <w:i/>
                <w:iCs/>
              </w:rPr>
            </w:pPr>
          </w:p>
        </w:tc>
        <w:tc>
          <w:tcPr>
            <w:tcW w:w="2091" w:type="dxa"/>
            <w:vMerge w:val="restart"/>
            <w:tcBorders>
              <w:right w:val="single" w:sz="4" w:space="0" w:color="auto"/>
            </w:tcBorders>
            <w:shd w:val="clear" w:color="auto" w:fill="auto"/>
            <w:tcMar>
              <w:top w:w="55" w:type="dxa"/>
              <w:left w:w="45" w:type="dxa"/>
              <w:bottom w:w="55" w:type="dxa"/>
              <w:right w:w="55" w:type="dxa"/>
            </w:tcMar>
            <w:vAlign w:val="center"/>
          </w:tcPr>
          <w:p w14:paraId="2E6CC354" w14:textId="77777777" w:rsidR="00CA4204" w:rsidRPr="00937C8B" w:rsidRDefault="00CA4204" w:rsidP="003E38D0">
            <w:pPr>
              <w:pStyle w:val="CTEtabla-texto"/>
              <w:jc w:val="left"/>
              <w:rPr>
                <w:rFonts w:cs="Arial"/>
                <w:b/>
                <w:bCs/>
                <w:i/>
                <w:iCs/>
              </w:rPr>
            </w:pPr>
          </w:p>
        </w:tc>
        <w:tc>
          <w:tcPr>
            <w:tcW w:w="4549" w:type="dxa"/>
            <w:gridSpan w:val="4"/>
            <w:tcBorders>
              <w:left w:val="single" w:sz="4" w:space="0" w:color="auto"/>
            </w:tcBorders>
            <w:shd w:val="clear" w:color="auto" w:fill="auto"/>
            <w:tcMar>
              <w:top w:w="55" w:type="dxa"/>
              <w:left w:w="40" w:type="dxa"/>
              <w:bottom w:w="55" w:type="dxa"/>
              <w:right w:w="55" w:type="dxa"/>
            </w:tcMar>
            <w:vAlign w:val="center"/>
          </w:tcPr>
          <w:p w14:paraId="1D8E3CCB" w14:textId="77777777" w:rsidR="00CA4204" w:rsidRPr="00937C8B" w:rsidRDefault="00CA4204" w:rsidP="003E38D0">
            <w:pPr>
              <w:pStyle w:val="CTEtabla-texto"/>
              <w:rPr>
                <w:rFonts w:cs="Arial"/>
                <w:b/>
                <w:bCs/>
              </w:rPr>
            </w:pPr>
            <w:r>
              <w:rPr>
                <w:b/>
                <w:bCs/>
              </w:rPr>
              <w:t>Horaires (semaine type)</w:t>
            </w:r>
          </w:p>
        </w:tc>
      </w:tr>
      <w:tr w:rsidR="00CA4204" w:rsidRPr="00937C8B" w14:paraId="677C24FF" w14:textId="77777777" w:rsidTr="00935676">
        <w:trPr>
          <w:gridBefore w:val="1"/>
          <w:wBefore w:w="394" w:type="dxa"/>
          <w:jc w:val="center"/>
        </w:trPr>
        <w:tc>
          <w:tcPr>
            <w:tcW w:w="1584" w:type="dxa"/>
            <w:tcBorders>
              <w:bottom w:val="single" w:sz="4" w:space="0" w:color="000000"/>
            </w:tcBorders>
            <w:shd w:val="clear" w:color="auto" w:fill="auto"/>
          </w:tcPr>
          <w:p w14:paraId="5C556FBD" w14:textId="77777777" w:rsidR="00CA4204" w:rsidRPr="00937C8B" w:rsidRDefault="00CA4204" w:rsidP="003E38D0">
            <w:pPr>
              <w:rPr>
                <w:rFonts w:ascii="Arial" w:hAnsi="Arial" w:cs="Arial"/>
              </w:rPr>
            </w:pPr>
          </w:p>
        </w:tc>
        <w:tc>
          <w:tcPr>
            <w:tcW w:w="2091" w:type="dxa"/>
            <w:vMerge/>
            <w:tcBorders>
              <w:bottom w:val="single" w:sz="4" w:space="0" w:color="000000"/>
              <w:right w:val="single" w:sz="4" w:space="0" w:color="000000"/>
            </w:tcBorders>
            <w:shd w:val="clear" w:color="auto" w:fill="auto"/>
            <w:tcMar>
              <w:top w:w="55" w:type="dxa"/>
              <w:left w:w="45" w:type="dxa"/>
              <w:bottom w:w="55" w:type="dxa"/>
              <w:right w:w="55" w:type="dxa"/>
            </w:tcMar>
            <w:vAlign w:val="center"/>
          </w:tcPr>
          <w:p w14:paraId="54AC8BC9" w14:textId="77777777" w:rsidR="00CA4204" w:rsidRPr="00937C8B" w:rsidRDefault="00CA4204" w:rsidP="003E38D0">
            <w:pPr>
              <w:rPr>
                <w:rFonts w:ascii="Arial" w:hAnsi="Arial" w:cs="Arial"/>
              </w:rPr>
            </w:pPr>
          </w:p>
        </w:tc>
        <w:tc>
          <w:tcPr>
            <w:tcW w:w="1158" w:type="dxa"/>
            <w:tcBorders>
              <w:left w:val="single" w:sz="4" w:space="0" w:color="000000"/>
              <w:bottom w:val="single" w:sz="4" w:space="0" w:color="000000"/>
            </w:tcBorders>
            <w:shd w:val="clear" w:color="auto" w:fill="auto"/>
            <w:tcMar>
              <w:top w:w="55" w:type="dxa"/>
              <w:left w:w="40" w:type="dxa"/>
              <w:bottom w:w="55" w:type="dxa"/>
              <w:right w:w="55" w:type="dxa"/>
            </w:tcMar>
            <w:vAlign w:val="center"/>
          </w:tcPr>
          <w:p w14:paraId="7A7B8DF6" w14:textId="77777777" w:rsidR="00CA4204" w:rsidRPr="00937C8B" w:rsidRDefault="00CA4204" w:rsidP="003E38D0">
            <w:pPr>
              <w:pStyle w:val="CTEtabla-texto"/>
              <w:rPr>
                <w:rFonts w:cs="Arial"/>
                <w:b/>
                <w:bCs/>
                <w:strike/>
              </w:rPr>
            </w:pPr>
            <w:r>
              <w:rPr>
                <w:b/>
                <w:bCs/>
              </w:rPr>
              <w:t>0h-6h59</w:t>
            </w:r>
          </w:p>
        </w:tc>
        <w:tc>
          <w:tcPr>
            <w:tcW w:w="1130" w:type="dxa"/>
            <w:tcBorders>
              <w:bottom w:val="single" w:sz="4" w:space="0" w:color="000000"/>
            </w:tcBorders>
            <w:shd w:val="clear" w:color="auto" w:fill="auto"/>
            <w:tcMar>
              <w:top w:w="55" w:type="dxa"/>
              <w:left w:w="40" w:type="dxa"/>
              <w:bottom w:w="55" w:type="dxa"/>
              <w:right w:w="55" w:type="dxa"/>
            </w:tcMar>
            <w:vAlign w:val="center"/>
          </w:tcPr>
          <w:p w14:paraId="7101FE71" w14:textId="77777777" w:rsidR="00CA4204" w:rsidRPr="00937C8B" w:rsidRDefault="00CA4204" w:rsidP="003E38D0">
            <w:pPr>
              <w:pStyle w:val="CTEtabla-texto"/>
              <w:rPr>
                <w:rFonts w:cs="Arial"/>
                <w:b/>
                <w:bCs/>
                <w:strike/>
              </w:rPr>
            </w:pPr>
            <w:r>
              <w:rPr>
                <w:b/>
                <w:bCs/>
              </w:rPr>
              <w:t>7h-14h59</w:t>
            </w:r>
          </w:p>
        </w:tc>
        <w:tc>
          <w:tcPr>
            <w:tcW w:w="1131" w:type="dxa"/>
            <w:tcBorders>
              <w:bottom w:val="single" w:sz="4" w:space="0" w:color="000000"/>
            </w:tcBorders>
            <w:shd w:val="clear" w:color="auto" w:fill="auto"/>
            <w:tcMar>
              <w:top w:w="55" w:type="dxa"/>
              <w:left w:w="40" w:type="dxa"/>
              <w:bottom w:w="55" w:type="dxa"/>
              <w:right w:w="55" w:type="dxa"/>
            </w:tcMar>
            <w:vAlign w:val="center"/>
          </w:tcPr>
          <w:p w14:paraId="748B1A6D" w14:textId="77777777" w:rsidR="00CA4204" w:rsidRPr="00937C8B" w:rsidRDefault="00CA4204" w:rsidP="003E38D0">
            <w:pPr>
              <w:pStyle w:val="CTEtabla-texto"/>
              <w:rPr>
                <w:rFonts w:cs="Arial"/>
                <w:b/>
                <w:bCs/>
                <w:strike/>
              </w:rPr>
            </w:pPr>
            <w:r>
              <w:rPr>
                <w:b/>
                <w:bCs/>
              </w:rPr>
              <w:t>15h-22h59</w:t>
            </w:r>
          </w:p>
        </w:tc>
        <w:tc>
          <w:tcPr>
            <w:tcW w:w="1130" w:type="dxa"/>
            <w:tcBorders>
              <w:bottom w:val="single" w:sz="4" w:space="0" w:color="000000"/>
            </w:tcBorders>
            <w:shd w:val="clear" w:color="auto" w:fill="auto"/>
            <w:tcMar>
              <w:top w:w="55" w:type="dxa"/>
              <w:left w:w="40" w:type="dxa"/>
              <w:bottom w:w="55" w:type="dxa"/>
              <w:right w:w="55" w:type="dxa"/>
            </w:tcMar>
            <w:vAlign w:val="center"/>
          </w:tcPr>
          <w:p w14:paraId="1781BEA9" w14:textId="77777777" w:rsidR="00CA4204" w:rsidRPr="00937C8B" w:rsidRDefault="00CA4204" w:rsidP="003E38D0">
            <w:pPr>
              <w:pStyle w:val="CTEtabla-texto"/>
              <w:rPr>
                <w:rFonts w:cs="Arial"/>
                <w:b/>
                <w:bCs/>
                <w:strike/>
              </w:rPr>
            </w:pPr>
            <w:r>
              <w:rPr>
                <w:b/>
                <w:bCs/>
              </w:rPr>
              <w:t>23h-23h59</w:t>
            </w:r>
          </w:p>
        </w:tc>
      </w:tr>
      <w:tr w:rsidR="00804EB4" w:rsidRPr="00937C8B" w14:paraId="1D93F7D5" w14:textId="77777777" w:rsidTr="00935676">
        <w:trPr>
          <w:jc w:val="center"/>
        </w:trPr>
        <w:tc>
          <w:tcPr>
            <w:tcW w:w="1978" w:type="dxa"/>
            <w:gridSpan w:val="2"/>
            <w:vMerge w:val="restart"/>
            <w:tcBorders>
              <w:top w:val="single" w:sz="4" w:space="0" w:color="000000"/>
            </w:tcBorders>
            <w:shd w:val="clear" w:color="auto" w:fill="auto"/>
            <w:vAlign w:val="center"/>
          </w:tcPr>
          <w:p w14:paraId="20A42F0B" w14:textId="77777777" w:rsidR="00804EB4" w:rsidRPr="00937C8B" w:rsidRDefault="00804EB4" w:rsidP="003E38D0">
            <w:pPr>
              <w:pStyle w:val="CTEtabla-texto"/>
              <w:jc w:val="left"/>
              <w:rPr>
                <w:rFonts w:cs="Arial"/>
                <w:iCs/>
              </w:rPr>
            </w:pPr>
            <w:r>
              <w:rPr>
                <w:b/>
                <w:bCs/>
                <w:iCs/>
              </w:rPr>
              <w:t>Température de consigne élevée (°C)</w:t>
            </w:r>
          </w:p>
        </w:tc>
        <w:tc>
          <w:tcPr>
            <w:tcW w:w="2091" w:type="dxa"/>
            <w:tcBorders>
              <w:top w:val="single" w:sz="4" w:space="0" w:color="000000"/>
              <w:right w:val="single" w:sz="4" w:space="0" w:color="000000"/>
            </w:tcBorders>
            <w:shd w:val="clear" w:color="auto" w:fill="auto"/>
            <w:tcMar>
              <w:top w:w="55" w:type="dxa"/>
              <w:left w:w="40" w:type="dxa"/>
              <w:bottom w:w="55" w:type="dxa"/>
              <w:right w:w="55" w:type="dxa"/>
            </w:tcMar>
            <w:vAlign w:val="center"/>
          </w:tcPr>
          <w:p w14:paraId="55AD7BC2" w14:textId="77777777" w:rsidR="00804EB4" w:rsidRPr="00937C8B" w:rsidRDefault="00804EB4" w:rsidP="003E38D0">
            <w:pPr>
              <w:pStyle w:val="CTEtabla-texto"/>
              <w:jc w:val="left"/>
              <w:rPr>
                <w:rFonts w:cs="Arial"/>
                <w:iCs/>
              </w:rPr>
            </w:pPr>
            <w:r>
              <w:t>De janvier à mai</w:t>
            </w:r>
          </w:p>
        </w:tc>
        <w:tc>
          <w:tcPr>
            <w:tcW w:w="1158" w:type="dxa"/>
            <w:tcBorders>
              <w:top w:val="single" w:sz="4" w:space="0" w:color="000000"/>
              <w:left w:val="single" w:sz="4" w:space="0" w:color="000000"/>
            </w:tcBorders>
            <w:shd w:val="clear" w:color="auto" w:fill="auto"/>
            <w:tcMar>
              <w:top w:w="55" w:type="dxa"/>
              <w:left w:w="40" w:type="dxa"/>
              <w:bottom w:w="55" w:type="dxa"/>
              <w:right w:w="55" w:type="dxa"/>
            </w:tcMar>
            <w:vAlign w:val="center"/>
          </w:tcPr>
          <w:p w14:paraId="7B71953E" w14:textId="77777777" w:rsidR="00804EB4" w:rsidRPr="00937C8B" w:rsidRDefault="00804EB4" w:rsidP="003E38D0">
            <w:pPr>
              <w:pStyle w:val="CTEtabla-texto"/>
              <w:rPr>
                <w:rFonts w:cs="Arial"/>
              </w:rPr>
            </w:pPr>
            <w:r>
              <w:t>–</w:t>
            </w:r>
          </w:p>
        </w:tc>
        <w:tc>
          <w:tcPr>
            <w:tcW w:w="1130" w:type="dxa"/>
            <w:tcBorders>
              <w:top w:val="single" w:sz="4" w:space="0" w:color="000000"/>
            </w:tcBorders>
            <w:shd w:val="clear" w:color="auto" w:fill="auto"/>
            <w:tcMar>
              <w:top w:w="55" w:type="dxa"/>
              <w:left w:w="40" w:type="dxa"/>
              <w:bottom w:w="55" w:type="dxa"/>
              <w:right w:w="55" w:type="dxa"/>
            </w:tcMar>
            <w:vAlign w:val="center"/>
          </w:tcPr>
          <w:p w14:paraId="4F776E93" w14:textId="77777777" w:rsidR="00804EB4" w:rsidRPr="00937C8B" w:rsidRDefault="00804EB4" w:rsidP="003E38D0">
            <w:pPr>
              <w:pStyle w:val="CTEtabla-texto"/>
              <w:rPr>
                <w:rFonts w:cs="Arial"/>
              </w:rPr>
            </w:pPr>
            <w:r>
              <w:t>–</w:t>
            </w:r>
          </w:p>
        </w:tc>
        <w:tc>
          <w:tcPr>
            <w:tcW w:w="1131" w:type="dxa"/>
            <w:tcBorders>
              <w:top w:val="single" w:sz="4" w:space="0" w:color="000000"/>
            </w:tcBorders>
            <w:shd w:val="clear" w:color="auto" w:fill="auto"/>
            <w:tcMar>
              <w:top w:w="55" w:type="dxa"/>
              <w:left w:w="40" w:type="dxa"/>
              <w:bottom w:w="55" w:type="dxa"/>
              <w:right w:w="55" w:type="dxa"/>
            </w:tcMar>
            <w:vAlign w:val="center"/>
          </w:tcPr>
          <w:p w14:paraId="33D9CB67" w14:textId="77777777" w:rsidR="00804EB4" w:rsidRPr="00937C8B" w:rsidRDefault="00804EB4" w:rsidP="003E38D0">
            <w:pPr>
              <w:pStyle w:val="CTEtabla-texto"/>
              <w:rPr>
                <w:rFonts w:cs="Arial"/>
              </w:rPr>
            </w:pPr>
            <w:r>
              <w:t>–</w:t>
            </w:r>
          </w:p>
        </w:tc>
        <w:tc>
          <w:tcPr>
            <w:tcW w:w="1130" w:type="dxa"/>
            <w:tcBorders>
              <w:top w:val="single" w:sz="4" w:space="0" w:color="000000"/>
            </w:tcBorders>
            <w:shd w:val="clear" w:color="auto" w:fill="auto"/>
            <w:tcMar>
              <w:top w:w="55" w:type="dxa"/>
              <w:left w:w="40" w:type="dxa"/>
              <w:bottom w:w="55" w:type="dxa"/>
              <w:right w:w="55" w:type="dxa"/>
            </w:tcMar>
            <w:vAlign w:val="center"/>
          </w:tcPr>
          <w:p w14:paraId="455D0BA1" w14:textId="77777777" w:rsidR="00804EB4" w:rsidRPr="00937C8B" w:rsidRDefault="00804EB4" w:rsidP="003E38D0">
            <w:pPr>
              <w:pStyle w:val="CTEtabla-texto"/>
              <w:rPr>
                <w:rFonts w:cs="Arial"/>
              </w:rPr>
            </w:pPr>
            <w:r>
              <w:t>–</w:t>
            </w:r>
          </w:p>
        </w:tc>
      </w:tr>
      <w:tr w:rsidR="00804EB4" w:rsidRPr="00937C8B" w14:paraId="31D0CA94" w14:textId="77777777" w:rsidTr="00935676">
        <w:trPr>
          <w:jc w:val="center"/>
        </w:trPr>
        <w:tc>
          <w:tcPr>
            <w:tcW w:w="1978" w:type="dxa"/>
            <w:gridSpan w:val="2"/>
            <w:vMerge/>
            <w:shd w:val="clear" w:color="auto" w:fill="auto"/>
          </w:tcPr>
          <w:p w14:paraId="50975FC6" w14:textId="77777777" w:rsidR="00804EB4" w:rsidRPr="00937C8B" w:rsidRDefault="00804EB4" w:rsidP="003E38D0">
            <w:pPr>
              <w:pStyle w:val="CTEtabla-texto"/>
              <w:jc w:val="left"/>
              <w:rPr>
                <w:rFonts w:cs="Arial"/>
                <w:iCs/>
              </w:rPr>
            </w:pPr>
          </w:p>
        </w:tc>
        <w:tc>
          <w:tcPr>
            <w:tcW w:w="2091" w:type="dxa"/>
            <w:tcBorders>
              <w:right w:val="single" w:sz="4" w:space="0" w:color="000000"/>
            </w:tcBorders>
            <w:shd w:val="clear" w:color="auto" w:fill="auto"/>
            <w:tcMar>
              <w:top w:w="55" w:type="dxa"/>
              <w:left w:w="40" w:type="dxa"/>
              <w:bottom w:w="55" w:type="dxa"/>
              <w:right w:w="55" w:type="dxa"/>
            </w:tcMar>
            <w:vAlign w:val="center"/>
          </w:tcPr>
          <w:p w14:paraId="5A420E03" w14:textId="77777777" w:rsidR="00804EB4" w:rsidRPr="00937C8B" w:rsidRDefault="00804EB4" w:rsidP="003E38D0">
            <w:pPr>
              <w:pStyle w:val="CTEtabla-texto"/>
              <w:jc w:val="left"/>
              <w:rPr>
                <w:rFonts w:cs="Arial"/>
                <w:iCs/>
              </w:rPr>
            </w:pPr>
            <w:r>
              <w:t>De juin à septembre</w:t>
            </w:r>
          </w:p>
        </w:tc>
        <w:tc>
          <w:tcPr>
            <w:tcW w:w="1158" w:type="dxa"/>
            <w:tcBorders>
              <w:left w:val="single" w:sz="4" w:space="0" w:color="000000"/>
            </w:tcBorders>
            <w:shd w:val="clear" w:color="auto" w:fill="auto"/>
            <w:tcMar>
              <w:top w:w="55" w:type="dxa"/>
              <w:left w:w="40" w:type="dxa"/>
              <w:bottom w:w="55" w:type="dxa"/>
              <w:right w:w="55" w:type="dxa"/>
            </w:tcMar>
            <w:vAlign w:val="center"/>
          </w:tcPr>
          <w:p w14:paraId="33207630" w14:textId="77777777" w:rsidR="00804EB4" w:rsidRPr="00937C8B" w:rsidRDefault="00804EB4" w:rsidP="003E38D0">
            <w:pPr>
              <w:pStyle w:val="CTEtabla-texto"/>
              <w:rPr>
                <w:rFonts w:cs="Arial"/>
              </w:rPr>
            </w:pPr>
            <w:r>
              <w:t>27</w:t>
            </w:r>
          </w:p>
        </w:tc>
        <w:tc>
          <w:tcPr>
            <w:tcW w:w="1130" w:type="dxa"/>
            <w:shd w:val="clear" w:color="auto" w:fill="auto"/>
            <w:tcMar>
              <w:top w:w="55" w:type="dxa"/>
              <w:left w:w="40" w:type="dxa"/>
              <w:bottom w:w="55" w:type="dxa"/>
              <w:right w:w="55" w:type="dxa"/>
            </w:tcMar>
            <w:vAlign w:val="center"/>
          </w:tcPr>
          <w:p w14:paraId="7F62D4E4" w14:textId="77777777" w:rsidR="00804EB4" w:rsidRPr="00937C8B" w:rsidRDefault="00804EB4" w:rsidP="003E38D0">
            <w:pPr>
              <w:pStyle w:val="CTEtabla-texto"/>
              <w:rPr>
                <w:rFonts w:cs="Arial"/>
              </w:rPr>
            </w:pPr>
            <w:r>
              <w:t>–</w:t>
            </w:r>
          </w:p>
        </w:tc>
        <w:tc>
          <w:tcPr>
            <w:tcW w:w="1131" w:type="dxa"/>
            <w:shd w:val="clear" w:color="auto" w:fill="auto"/>
            <w:tcMar>
              <w:top w:w="55" w:type="dxa"/>
              <w:left w:w="40" w:type="dxa"/>
              <w:bottom w:w="55" w:type="dxa"/>
              <w:right w:w="55" w:type="dxa"/>
            </w:tcMar>
            <w:vAlign w:val="center"/>
          </w:tcPr>
          <w:p w14:paraId="0D8E3DA5" w14:textId="77777777" w:rsidR="00804EB4" w:rsidRPr="00937C8B" w:rsidRDefault="00804EB4" w:rsidP="003E38D0">
            <w:pPr>
              <w:pStyle w:val="CTEtabla-texto"/>
              <w:rPr>
                <w:rFonts w:cs="Arial"/>
              </w:rPr>
            </w:pPr>
            <w:r>
              <w:t>25</w:t>
            </w:r>
          </w:p>
        </w:tc>
        <w:tc>
          <w:tcPr>
            <w:tcW w:w="1130" w:type="dxa"/>
            <w:shd w:val="clear" w:color="auto" w:fill="auto"/>
            <w:tcMar>
              <w:top w:w="55" w:type="dxa"/>
              <w:left w:w="40" w:type="dxa"/>
              <w:bottom w:w="55" w:type="dxa"/>
              <w:right w:w="55" w:type="dxa"/>
            </w:tcMar>
            <w:vAlign w:val="center"/>
          </w:tcPr>
          <w:p w14:paraId="24DF9E83" w14:textId="77777777" w:rsidR="00804EB4" w:rsidRPr="00937C8B" w:rsidRDefault="00804EB4" w:rsidP="003E38D0">
            <w:pPr>
              <w:pStyle w:val="CTEtabla-texto"/>
              <w:rPr>
                <w:rFonts w:cs="Arial"/>
              </w:rPr>
            </w:pPr>
            <w:r>
              <w:t>27</w:t>
            </w:r>
          </w:p>
        </w:tc>
      </w:tr>
      <w:tr w:rsidR="00804EB4" w:rsidRPr="00937C8B" w14:paraId="4CF697E2" w14:textId="77777777" w:rsidTr="00935676">
        <w:trPr>
          <w:jc w:val="center"/>
        </w:trPr>
        <w:tc>
          <w:tcPr>
            <w:tcW w:w="1978" w:type="dxa"/>
            <w:gridSpan w:val="2"/>
            <w:vMerge/>
            <w:tcBorders>
              <w:bottom w:val="single" w:sz="4" w:space="0" w:color="000000"/>
            </w:tcBorders>
            <w:shd w:val="clear" w:color="auto" w:fill="auto"/>
          </w:tcPr>
          <w:p w14:paraId="31F85214" w14:textId="77777777" w:rsidR="00804EB4" w:rsidRPr="00937C8B" w:rsidRDefault="00804EB4" w:rsidP="003E38D0">
            <w:pPr>
              <w:pStyle w:val="CTEtabla-texto"/>
              <w:jc w:val="left"/>
              <w:rPr>
                <w:rFonts w:cs="Arial"/>
                <w:iCs/>
              </w:rPr>
            </w:pPr>
          </w:p>
        </w:tc>
        <w:tc>
          <w:tcPr>
            <w:tcW w:w="2091" w:type="dxa"/>
            <w:tcBorders>
              <w:bottom w:val="single" w:sz="4" w:space="0" w:color="000000"/>
              <w:right w:val="single" w:sz="4" w:space="0" w:color="000000"/>
            </w:tcBorders>
            <w:shd w:val="clear" w:color="auto" w:fill="auto"/>
            <w:tcMar>
              <w:top w:w="55" w:type="dxa"/>
              <w:left w:w="40" w:type="dxa"/>
              <w:bottom w:w="55" w:type="dxa"/>
              <w:right w:w="55" w:type="dxa"/>
            </w:tcMar>
            <w:vAlign w:val="center"/>
          </w:tcPr>
          <w:p w14:paraId="1E719997" w14:textId="615E2660" w:rsidR="00804EB4" w:rsidRPr="00937C8B" w:rsidRDefault="00804EB4" w:rsidP="003E38D0">
            <w:pPr>
              <w:pStyle w:val="CTEtabla-texto"/>
              <w:jc w:val="left"/>
              <w:rPr>
                <w:rFonts w:cs="Arial"/>
                <w:iCs/>
              </w:rPr>
            </w:pPr>
            <w:r>
              <w:t>D</w:t>
            </w:r>
            <w:r w:rsidR="00EA7588">
              <w:t>’</w:t>
            </w:r>
            <w:r>
              <w:t>octobre à décembre</w:t>
            </w:r>
          </w:p>
        </w:tc>
        <w:tc>
          <w:tcPr>
            <w:tcW w:w="1158" w:type="dxa"/>
            <w:tcBorders>
              <w:left w:val="single" w:sz="4" w:space="0" w:color="000000"/>
              <w:bottom w:val="single" w:sz="4" w:space="0" w:color="000000"/>
            </w:tcBorders>
            <w:shd w:val="clear" w:color="auto" w:fill="auto"/>
            <w:tcMar>
              <w:top w:w="55" w:type="dxa"/>
              <w:left w:w="40" w:type="dxa"/>
              <w:bottom w:w="55" w:type="dxa"/>
              <w:right w:w="55" w:type="dxa"/>
            </w:tcMar>
            <w:vAlign w:val="center"/>
          </w:tcPr>
          <w:p w14:paraId="071E04E9" w14:textId="77777777" w:rsidR="00804EB4" w:rsidRPr="00937C8B" w:rsidRDefault="00804EB4" w:rsidP="003E38D0">
            <w:pPr>
              <w:pStyle w:val="CTEtabla-texto"/>
              <w:rPr>
                <w:rFonts w:cs="Arial"/>
              </w:rPr>
            </w:pPr>
            <w:r>
              <w:t>–</w:t>
            </w:r>
          </w:p>
        </w:tc>
        <w:tc>
          <w:tcPr>
            <w:tcW w:w="1130" w:type="dxa"/>
            <w:tcBorders>
              <w:bottom w:val="single" w:sz="4" w:space="0" w:color="000000"/>
            </w:tcBorders>
            <w:shd w:val="clear" w:color="auto" w:fill="auto"/>
            <w:tcMar>
              <w:top w:w="55" w:type="dxa"/>
              <w:left w:w="40" w:type="dxa"/>
              <w:bottom w:w="55" w:type="dxa"/>
              <w:right w:w="55" w:type="dxa"/>
            </w:tcMar>
            <w:vAlign w:val="center"/>
          </w:tcPr>
          <w:p w14:paraId="25AF03F6" w14:textId="77777777" w:rsidR="00804EB4" w:rsidRPr="00937C8B" w:rsidRDefault="00804EB4" w:rsidP="003E38D0">
            <w:pPr>
              <w:pStyle w:val="CTEtabla-texto"/>
              <w:rPr>
                <w:rFonts w:cs="Arial"/>
              </w:rPr>
            </w:pPr>
            <w:r>
              <w:t>–</w:t>
            </w:r>
          </w:p>
        </w:tc>
        <w:tc>
          <w:tcPr>
            <w:tcW w:w="1131" w:type="dxa"/>
            <w:tcBorders>
              <w:bottom w:val="single" w:sz="4" w:space="0" w:color="000000"/>
            </w:tcBorders>
            <w:shd w:val="clear" w:color="auto" w:fill="auto"/>
            <w:tcMar>
              <w:top w:w="55" w:type="dxa"/>
              <w:left w:w="40" w:type="dxa"/>
              <w:bottom w:w="55" w:type="dxa"/>
              <w:right w:w="55" w:type="dxa"/>
            </w:tcMar>
            <w:vAlign w:val="center"/>
          </w:tcPr>
          <w:p w14:paraId="4637B960" w14:textId="77777777" w:rsidR="00804EB4" w:rsidRPr="00937C8B" w:rsidRDefault="00804EB4" w:rsidP="003E38D0">
            <w:pPr>
              <w:pStyle w:val="CTEtabla-texto"/>
              <w:rPr>
                <w:rFonts w:cs="Arial"/>
              </w:rPr>
            </w:pPr>
            <w:r>
              <w:t>–</w:t>
            </w:r>
          </w:p>
        </w:tc>
        <w:tc>
          <w:tcPr>
            <w:tcW w:w="1130" w:type="dxa"/>
            <w:tcBorders>
              <w:bottom w:val="single" w:sz="4" w:space="0" w:color="000000"/>
            </w:tcBorders>
            <w:shd w:val="clear" w:color="auto" w:fill="auto"/>
            <w:tcMar>
              <w:top w:w="55" w:type="dxa"/>
              <w:left w:w="40" w:type="dxa"/>
              <w:bottom w:w="55" w:type="dxa"/>
              <w:right w:w="55" w:type="dxa"/>
            </w:tcMar>
            <w:vAlign w:val="center"/>
          </w:tcPr>
          <w:p w14:paraId="62CF7CE0" w14:textId="77777777" w:rsidR="00804EB4" w:rsidRPr="00937C8B" w:rsidRDefault="00804EB4" w:rsidP="003E38D0">
            <w:pPr>
              <w:pStyle w:val="CTEtabla-texto"/>
              <w:rPr>
                <w:rFonts w:cs="Arial"/>
              </w:rPr>
            </w:pPr>
            <w:r>
              <w:t>–</w:t>
            </w:r>
          </w:p>
        </w:tc>
      </w:tr>
      <w:tr w:rsidR="00804EB4" w:rsidRPr="00937C8B" w14:paraId="7A247063" w14:textId="77777777" w:rsidTr="00935676">
        <w:trPr>
          <w:jc w:val="center"/>
        </w:trPr>
        <w:tc>
          <w:tcPr>
            <w:tcW w:w="1978" w:type="dxa"/>
            <w:gridSpan w:val="2"/>
            <w:vMerge w:val="restart"/>
            <w:tcBorders>
              <w:top w:val="single" w:sz="4" w:space="0" w:color="000000"/>
            </w:tcBorders>
            <w:shd w:val="clear" w:color="auto" w:fill="auto"/>
            <w:vAlign w:val="center"/>
          </w:tcPr>
          <w:p w14:paraId="2B2D9245" w14:textId="77777777" w:rsidR="00804EB4" w:rsidRPr="00937C8B" w:rsidRDefault="00804EB4" w:rsidP="003E38D0">
            <w:pPr>
              <w:pStyle w:val="CTEtabla-texto"/>
              <w:jc w:val="left"/>
              <w:rPr>
                <w:rFonts w:cs="Arial"/>
                <w:b/>
                <w:bCs/>
                <w:iCs/>
              </w:rPr>
            </w:pPr>
            <w:r>
              <w:rPr>
                <w:b/>
                <w:bCs/>
                <w:iCs/>
              </w:rPr>
              <w:t>Température de consigne basse (°C)</w:t>
            </w:r>
          </w:p>
        </w:tc>
        <w:tc>
          <w:tcPr>
            <w:tcW w:w="2091" w:type="dxa"/>
            <w:tcBorders>
              <w:top w:val="single" w:sz="4" w:space="0" w:color="000000"/>
              <w:left w:val="nil"/>
              <w:right w:val="single" w:sz="4" w:space="0" w:color="000000"/>
            </w:tcBorders>
            <w:shd w:val="clear" w:color="auto" w:fill="auto"/>
            <w:tcMar>
              <w:top w:w="55" w:type="dxa"/>
              <w:left w:w="40" w:type="dxa"/>
              <w:bottom w:w="55" w:type="dxa"/>
              <w:right w:w="55" w:type="dxa"/>
            </w:tcMar>
            <w:vAlign w:val="center"/>
          </w:tcPr>
          <w:p w14:paraId="0E511A64" w14:textId="77777777" w:rsidR="00804EB4" w:rsidRPr="00937C8B" w:rsidRDefault="00804EB4" w:rsidP="003E38D0">
            <w:pPr>
              <w:pStyle w:val="CTEtabla-texto"/>
              <w:jc w:val="left"/>
              <w:rPr>
                <w:rFonts w:cs="Arial"/>
                <w:iCs/>
              </w:rPr>
            </w:pPr>
            <w:r>
              <w:t>De janvier à mai</w:t>
            </w:r>
          </w:p>
        </w:tc>
        <w:tc>
          <w:tcPr>
            <w:tcW w:w="1158" w:type="dxa"/>
            <w:tcBorders>
              <w:top w:val="single" w:sz="4" w:space="0" w:color="000000"/>
              <w:left w:val="single" w:sz="4" w:space="0" w:color="000000"/>
            </w:tcBorders>
            <w:shd w:val="clear" w:color="auto" w:fill="auto"/>
            <w:tcMar>
              <w:top w:w="55" w:type="dxa"/>
              <w:left w:w="40" w:type="dxa"/>
              <w:bottom w:w="55" w:type="dxa"/>
              <w:right w:w="55" w:type="dxa"/>
            </w:tcMar>
            <w:vAlign w:val="center"/>
          </w:tcPr>
          <w:p w14:paraId="586E2014" w14:textId="77777777" w:rsidR="00804EB4" w:rsidRPr="00937C8B" w:rsidRDefault="00804EB4" w:rsidP="003E38D0">
            <w:pPr>
              <w:pStyle w:val="CTEtabla-texto"/>
              <w:rPr>
                <w:rFonts w:cs="Arial"/>
              </w:rPr>
            </w:pPr>
            <w:r>
              <w:t>17</w:t>
            </w:r>
          </w:p>
        </w:tc>
        <w:tc>
          <w:tcPr>
            <w:tcW w:w="1130" w:type="dxa"/>
            <w:tcBorders>
              <w:top w:val="single" w:sz="4" w:space="0" w:color="000000"/>
            </w:tcBorders>
            <w:shd w:val="clear" w:color="auto" w:fill="auto"/>
            <w:tcMar>
              <w:top w:w="55" w:type="dxa"/>
              <w:left w:w="40" w:type="dxa"/>
              <w:bottom w:w="55" w:type="dxa"/>
              <w:right w:w="55" w:type="dxa"/>
            </w:tcMar>
            <w:vAlign w:val="center"/>
          </w:tcPr>
          <w:p w14:paraId="13D1907C" w14:textId="77777777" w:rsidR="00804EB4" w:rsidRPr="00937C8B" w:rsidRDefault="00804EB4" w:rsidP="003E38D0">
            <w:pPr>
              <w:pStyle w:val="CTEtabla-texto"/>
              <w:rPr>
                <w:rFonts w:cs="Arial"/>
                <w:bCs/>
                <w:iCs/>
              </w:rPr>
            </w:pPr>
            <w:r>
              <w:t>20</w:t>
            </w:r>
          </w:p>
        </w:tc>
        <w:tc>
          <w:tcPr>
            <w:tcW w:w="1131" w:type="dxa"/>
            <w:tcBorders>
              <w:top w:val="single" w:sz="4" w:space="0" w:color="000000"/>
            </w:tcBorders>
            <w:shd w:val="clear" w:color="auto" w:fill="auto"/>
            <w:tcMar>
              <w:top w:w="55" w:type="dxa"/>
              <w:left w:w="40" w:type="dxa"/>
              <w:bottom w:w="55" w:type="dxa"/>
              <w:right w:w="55" w:type="dxa"/>
            </w:tcMar>
            <w:vAlign w:val="center"/>
          </w:tcPr>
          <w:p w14:paraId="69A0AA21" w14:textId="77777777" w:rsidR="00804EB4" w:rsidRPr="00937C8B" w:rsidRDefault="00804EB4" w:rsidP="003E38D0">
            <w:pPr>
              <w:pStyle w:val="CTEtabla-texto"/>
              <w:rPr>
                <w:rFonts w:cs="Arial"/>
                <w:bCs/>
                <w:iCs/>
              </w:rPr>
            </w:pPr>
            <w:r>
              <w:t>20</w:t>
            </w:r>
          </w:p>
        </w:tc>
        <w:tc>
          <w:tcPr>
            <w:tcW w:w="1130" w:type="dxa"/>
            <w:tcBorders>
              <w:top w:val="single" w:sz="4" w:space="0" w:color="000000"/>
            </w:tcBorders>
            <w:shd w:val="clear" w:color="auto" w:fill="auto"/>
            <w:tcMar>
              <w:top w:w="55" w:type="dxa"/>
              <w:left w:w="40" w:type="dxa"/>
              <w:bottom w:w="55" w:type="dxa"/>
              <w:right w:w="55" w:type="dxa"/>
            </w:tcMar>
            <w:vAlign w:val="center"/>
          </w:tcPr>
          <w:p w14:paraId="53AB9FF6" w14:textId="77777777" w:rsidR="00804EB4" w:rsidRPr="00937C8B" w:rsidRDefault="00804EB4" w:rsidP="003E38D0">
            <w:pPr>
              <w:pStyle w:val="CTEtabla-texto"/>
              <w:rPr>
                <w:rFonts w:cs="Arial"/>
                <w:bCs/>
                <w:iCs/>
              </w:rPr>
            </w:pPr>
            <w:r>
              <w:t>17</w:t>
            </w:r>
          </w:p>
        </w:tc>
      </w:tr>
      <w:tr w:rsidR="00804EB4" w:rsidRPr="00937C8B" w14:paraId="1E1DF524" w14:textId="77777777" w:rsidTr="00935676">
        <w:trPr>
          <w:jc w:val="center"/>
        </w:trPr>
        <w:tc>
          <w:tcPr>
            <w:tcW w:w="1978" w:type="dxa"/>
            <w:gridSpan w:val="2"/>
            <w:vMerge/>
            <w:shd w:val="clear" w:color="auto" w:fill="auto"/>
            <w:vAlign w:val="center"/>
          </w:tcPr>
          <w:p w14:paraId="62F885DE" w14:textId="77777777" w:rsidR="00804EB4" w:rsidRPr="00937C8B" w:rsidRDefault="00804EB4" w:rsidP="003E38D0">
            <w:pPr>
              <w:pStyle w:val="CTEtabla-texto"/>
              <w:jc w:val="left"/>
              <w:rPr>
                <w:rFonts w:cs="Arial"/>
                <w:iCs/>
              </w:rPr>
            </w:pPr>
          </w:p>
        </w:tc>
        <w:tc>
          <w:tcPr>
            <w:tcW w:w="2091" w:type="dxa"/>
            <w:tcBorders>
              <w:left w:val="nil"/>
              <w:right w:val="single" w:sz="4" w:space="0" w:color="000000"/>
            </w:tcBorders>
            <w:shd w:val="clear" w:color="auto" w:fill="auto"/>
            <w:tcMar>
              <w:top w:w="55" w:type="dxa"/>
              <w:left w:w="40" w:type="dxa"/>
              <w:bottom w:w="55" w:type="dxa"/>
              <w:right w:w="55" w:type="dxa"/>
            </w:tcMar>
            <w:vAlign w:val="center"/>
          </w:tcPr>
          <w:p w14:paraId="733471E2" w14:textId="77777777" w:rsidR="00804EB4" w:rsidRPr="00937C8B" w:rsidRDefault="00804EB4" w:rsidP="003E38D0">
            <w:pPr>
              <w:pStyle w:val="CTEtabla-texto"/>
              <w:jc w:val="left"/>
              <w:rPr>
                <w:rFonts w:cs="Arial"/>
                <w:iCs/>
              </w:rPr>
            </w:pPr>
            <w:r>
              <w:t>De juin à septembre</w:t>
            </w:r>
          </w:p>
        </w:tc>
        <w:tc>
          <w:tcPr>
            <w:tcW w:w="1158" w:type="dxa"/>
            <w:tcBorders>
              <w:left w:val="single" w:sz="4" w:space="0" w:color="000000"/>
            </w:tcBorders>
            <w:shd w:val="clear" w:color="auto" w:fill="auto"/>
            <w:tcMar>
              <w:top w:w="55" w:type="dxa"/>
              <w:left w:w="40" w:type="dxa"/>
              <w:bottom w:w="55" w:type="dxa"/>
              <w:right w:w="55" w:type="dxa"/>
            </w:tcMar>
            <w:vAlign w:val="center"/>
          </w:tcPr>
          <w:p w14:paraId="3E01DBF2" w14:textId="77777777" w:rsidR="00804EB4" w:rsidRPr="00937C8B" w:rsidRDefault="00804EB4" w:rsidP="003E38D0">
            <w:pPr>
              <w:pStyle w:val="CTEtabla-texto"/>
              <w:rPr>
                <w:rFonts w:cs="Arial"/>
              </w:rPr>
            </w:pPr>
            <w:r>
              <w:t>–</w:t>
            </w:r>
          </w:p>
        </w:tc>
        <w:tc>
          <w:tcPr>
            <w:tcW w:w="1130" w:type="dxa"/>
            <w:shd w:val="clear" w:color="auto" w:fill="auto"/>
            <w:tcMar>
              <w:top w:w="55" w:type="dxa"/>
              <w:left w:w="40" w:type="dxa"/>
              <w:bottom w:w="55" w:type="dxa"/>
              <w:right w:w="55" w:type="dxa"/>
            </w:tcMar>
            <w:vAlign w:val="center"/>
          </w:tcPr>
          <w:p w14:paraId="685F9BAB" w14:textId="77777777" w:rsidR="00804EB4" w:rsidRPr="00937C8B" w:rsidRDefault="00804EB4" w:rsidP="003E38D0">
            <w:pPr>
              <w:pStyle w:val="CTEtabla-texto"/>
              <w:rPr>
                <w:rFonts w:cs="Arial"/>
              </w:rPr>
            </w:pPr>
            <w:r>
              <w:t>–</w:t>
            </w:r>
          </w:p>
        </w:tc>
        <w:tc>
          <w:tcPr>
            <w:tcW w:w="1131" w:type="dxa"/>
            <w:shd w:val="clear" w:color="auto" w:fill="auto"/>
            <w:tcMar>
              <w:top w:w="55" w:type="dxa"/>
              <w:left w:w="40" w:type="dxa"/>
              <w:bottom w:w="55" w:type="dxa"/>
              <w:right w:w="55" w:type="dxa"/>
            </w:tcMar>
            <w:vAlign w:val="center"/>
          </w:tcPr>
          <w:p w14:paraId="36E3D746" w14:textId="77777777" w:rsidR="00804EB4" w:rsidRPr="00937C8B" w:rsidRDefault="00804EB4" w:rsidP="003E38D0">
            <w:pPr>
              <w:pStyle w:val="CTEtabla-texto"/>
              <w:rPr>
                <w:rFonts w:cs="Arial"/>
              </w:rPr>
            </w:pPr>
            <w:r>
              <w:t>–</w:t>
            </w:r>
          </w:p>
        </w:tc>
        <w:tc>
          <w:tcPr>
            <w:tcW w:w="1130" w:type="dxa"/>
            <w:shd w:val="clear" w:color="auto" w:fill="auto"/>
            <w:tcMar>
              <w:top w:w="55" w:type="dxa"/>
              <w:left w:w="40" w:type="dxa"/>
              <w:bottom w:w="55" w:type="dxa"/>
              <w:right w:w="55" w:type="dxa"/>
            </w:tcMar>
            <w:vAlign w:val="center"/>
          </w:tcPr>
          <w:p w14:paraId="5DC65E56" w14:textId="77777777" w:rsidR="00804EB4" w:rsidRPr="00937C8B" w:rsidRDefault="00804EB4" w:rsidP="003E38D0">
            <w:pPr>
              <w:pStyle w:val="CTEtabla-texto"/>
              <w:rPr>
                <w:rFonts w:cs="Arial"/>
              </w:rPr>
            </w:pPr>
            <w:r>
              <w:t>–</w:t>
            </w:r>
          </w:p>
        </w:tc>
      </w:tr>
      <w:tr w:rsidR="00804EB4" w:rsidRPr="00937C8B" w14:paraId="29FAC256" w14:textId="77777777" w:rsidTr="00935676">
        <w:trPr>
          <w:jc w:val="center"/>
        </w:trPr>
        <w:tc>
          <w:tcPr>
            <w:tcW w:w="1978" w:type="dxa"/>
            <w:gridSpan w:val="2"/>
            <w:vMerge/>
            <w:shd w:val="clear" w:color="auto" w:fill="auto"/>
            <w:vAlign w:val="center"/>
          </w:tcPr>
          <w:p w14:paraId="7E522F21" w14:textId="77777777" w:rsidR="00804EB4" w:rsidRPr="00937C8B" w:rsidRDefault="00804EB4" w:rsidP="003E38D0">
            <w:pPr>
              <w:pStyle w:val="CTEtabla-texto"/>
              <w:jc w:val="left"/>
              <w:rPr>
                <w:rFonts w:cs="Arial"/>
                <w:iCs/>
              </w:rPr>
            </w:pPr>
          </w:p>
        </w:tc>
        <w:tc>
          <w:tcPr>
            <w:tcW w:w="2091" w:type="dxa"/>
            <w:tcBorders>
              <w:left w:val="nil"/>
              <w:right w:val="single" w:sz="4" w:space="0" w:color="000000"/>
            </w:tcBorders>
            <w:shd w:val="clear" w:color="auto" w:fill="auto"/>
            <w:tcMar>
              <w:top w:w="55" w:type="dxa"/>
              <w:left w:w="40" w:type="dxa"/>
              <w:bottom w:w="55" w:type="dxa"/>
              <w:right w:w="55" w:type="dxa"/>
            </w:tcMar>
            <w:vAlign w:val="center"/>
          </w:tcPr>
          <w:p w14:paraId="31E70903" w14:textId="4E8A192B" w:rsidR="00804EB4" w:rsidRPr="00937C8B" w:rsidRDefault="00804EB4" w:rsidP="003E38D0">
            <w:pPr>
              <w:pStyle w:val="CTEtabla-texto"/>
              <w:jc w:val="left"/>
              <w:rPr>
                <w:rFonts w:cs="Arial"/>
                <w:iCs/>
              </w:rPr>
            </w:pPr>
            <w:r>
              <w:t>D</w:t>
            </w:r>
            <w:r w:rsidR="00EA7588">
              <w:t>’</w:t>
            </w:r>
            <w:r>
              <w:t>octobre à décembre</w:t>
            </w:r>
          </w:p>
        </w:tc>
        <w:tc>
          <w:tcPr>
            <w:tcW w:w="1158" w:type="dxa"/>
            <w:tcBorders>
              <w:left w:val="single" w:sz="4" w:space="0" w:color="000000"/>
            </w:tcBorders>
            <w:shd w:val="clear" w:color="auto" w:fill="auto"/>
            <w:tcMar>
              <w:top w:w="55" w:type="dxa"/>
              <w:left w:w="40" w:type="dxa"/>
              <w:bottom w:w="55" w:type="dxa"/>
              <w:right w:w="55" w:type="dxa"/>
            </w:tcMar>
            <w:vAlign w:val="center"/>
          </w:tcPr>
          <w:p w14:paraId="07519408" w14:textId="77777777" w:rsidR="00804EB4" w:rsidRPr="00937C8B" w:rsidRDefault="00804EB4" w:rsidP="003E38D0">
            <w:pPr>
              <w:pStyle w:val="CTEtabla-texto"/>
              <w:rPr>
                <w:rFonts w:cs="Arial"/>
              </w:rPr>
            </w:pPr>
            <w:r>
              <w:t>17</w:t>
            </w:r>
          </w:p>
        </w:tc>
        <w:tc>
          <w:tcPr>
            <w:tcW w:w="1130" w:type="dxa"/>
            <w:shd w:val="clear" w:color="auto" w:fill="auto"/>
            <w:tcMar>
              <w:top w:w="55" w:type="dxa"/>
              <w:left w:w="40" w:type="dxa"/>
              <w:bottom w:w="55" w:type="dxa"/>
              <w:right w:w="55" w:type="dxa"/>
            </w:tcMar>
            <w:vAlign w:val="center"/>
          </w:tcPr>
          <w:p w14:paraId="5FA8A583" w14:textId="77777777" w:rsidR="00804EB4" w:rsidRPr="00937C8B" w:rsidRDefault="00804EB4" w:rsidP="003E38D0">
            <w:pPr>
              <w:pStyle w:val="CTEtabla-texto"/>
              <w:rPr>
                <w:rFonts w:cs="Arial"/>
              </w:rPr>
            </w:pPr>
            <w:r>
              <w:t>20</w:t>
            </w:r>
          </w:p>
        </w:tc>
        <w:tc>
          <w:tcPr>
            <w:tcW w:w="1131" w:type="dxa"/>
            <w:shd w:val="clear" w:color="auto" w:fill="auto"/>
            <w:tcMar>
              <w:top w:w="55" w:type="dxa"/>
              <w:left w:w="40" w:type="dxa"/>
              <w:bottom w:w="55" w:type="dxa"/>
              <w:right w:w="55" w:type="dxa"/>
            </w:tcMar>
            <w:vAlign w:val="center"/>
          </w:tcPr>
          <w:p w14:paraId="63E26BAD" w14:textId="77777777" w:rsidR="00804EB4" w:rsidRPr="00937C8B" w:rsidRDefault="00804EB4" w:rsidP="003E38D0">
            <w:pPr>
              <w:pStyle w:val="CTEtabla-texto"/>
              <w:rPr>
                <w:rFonts w:cs="Arial"/>
              </w:rPr>
            </w:pPr>
            <w:r>
              <w:t>20</w:t>
            </w:r>
          </w:p>
        </w:tc>
        <w:tc>
          <w:tcPr>
            <w:tcW w:w="1130" w:type="dxa"/>
            <w:shd w:val="clear" w:color="auto" w:fill="auto"/>
            <w:tcMar>
              <w:top w:w="55" w:type="dxa"/>
              <w:left w:w="40" w:type="dxa"/>
              <w:bottom w:w="55" w:type="dxa"/>
              <w:right w:w="55" w:type="dxa"/>
            </w:tcMar>
            <w:vAlign w:val="center"/>
          </w:tcPr>
          <w:p w14:paraId="0049CAEE" w14:textId="77777777" w:rsidR="00804EB4" w:rsidRPr="00937C8B" w:rsidRDefault="00804EB4" w:rsidP="003E38D0">
            <w:pPr>
              <w:pStyle w:val="CTEtabla-texto"/>
              <w:rPr>
                <w:rFonts w:cs="Arial"/>
              </w:rPr>
            </w:pPr>
            <w:r>
              <w:t>17</w:t>
            </w:r>
          </w:p>
        </w:tc>
      </w:tr>
    </w:tbl>
    <w:p w14:paraId="13FE27BA" w14:textId="77777777" w:rsidR="00CA4204" w:rsidRPr="00937C8B" w:rsidRDefault="00CA4204" w:rsidP="00CA4204">
      <w:pPr>
        <w:pStyle w:val="CTEtabla-Titulo"/>
        <w:rPr>
          <w:sz w:val="4"/>
          <w:szCs w:val="20"/>
        </w:rPr>
      </w:pPr>
    </w:p>
    <w:p w14:paraId="1846BB34" w14:textId="77777777" w:rsidR="00CA4204" w:rsidRPr="00937C8B" w:rsidRDefault="00CA4204" w:rsidP="00D27646">
      <w:pPr>
        <w:pStyle w:val="CTEtabla-Titulo"/>
      </w:pPr>
      <w:r>
        <w:t xml:space="preserve">Tableau b-Annexe D. </w:t>
      </w:r>
      <w:r>
        <w:rPr>
          <w:i/>
          <w:szCs w:val="20"/>
        </w:rPr>
        <w:t xml:space="preserve">Profil d’utilisation </w:t>
      </w:r>
      <w:r>
        <w:t>des espaces à usage résidentiel privé</w:t>
      </w:r>
    </w:p>
    <w:tbl>
      <w:tblPr>
        <w:tblW w:w="8620" w:type="dxa"/>
        <w:jc w:val="center"/>
        <w:tblCellMar>
          <w:left w:w="10" w:type="dxa"/>
          <w:right w:w="10" w:type="dxa"/>
        </w:tblCellMar>
        <w:tblLook w:val="04A0" w:firstRow="1" w:lastRow="0" w:firstColumn="1" w:lastColumn="0" w:noHBand="0" w:noVBand="1"/>
      </w:tblPr>
      <w:tblGrid>
        <w:gridCol w:w="1878"/>
        <w:gridCol w:w="677"/>
        <w:gridCol w:w="891"/>
        <w:gridCol w:w="991"/>
        <w:gridCol w:w="1092"/>
        <w:gridCol w:w="999"/>
        <w:gridCol w:w="1002"/>
        <w:gridCol w:w="1090"/>
      </w:tblGrid>
      <w:tr w:rsidR="00CA4204" w:rsidRPr="00937C8B" w14:paraId="542F3258" w14:textId="77777777" w:rsidTr="00935676">
        <w:trPr>
          <w:jc w:val="center"/>
        </w:trPr>
        <w:tc>
          <w:tcPr>
            <w:tcW w:w="1877" w:type="dxa"/>
            <w:shd w:val="clear" w:color="auto" w:fill="auto"/>
          </w:tcPr>
          <w:p w14:paraId="6C8868F1" w14:textId="77777777" w:rsidR="00CA4204" w:rsidRPr="00937C8B" w:rsidRDefault="00CA4204" w:rsidP="00D27646">
            <w:pPr>
              <w:pStyle w:val="CTEtabla-texto"/>
              <w:keepNext/>
              <w:jc w:val="left"/>
              <w:rPr>
                <w:rFonts w:cs="Arial"/>
                <w:b/>
                <w:bCs/>
                <w:i/>
                <w:iCs/>
              </w:rPr>
            </w:pPr>
          </w:p>
        </w:tc>
        <w:tc>
          <w:tcPr>
            <w:tcW w:w="677" w:type="dxa"/>
            <w:vMerge w:val="restart"/>
            <w:tcBorders>
              <w:right w:val="single" w:sz="4" w:space="0" w:color="auto"/>
            </w:tcBorders>
            <w:shd w:val="clear" w:color="auto" w:fill="auto"/>
            <w:tcMar>
              <w:top w:w="55" w:type="dxa"/>
              <w:left w:w="45" w:type="dxa"/>
              <w:bottom w:w="55" w:type="dxa"/>
              <w:right w:w="55" w:type="dxa"/>
            </w:tcMar>
            <w:vAlign w:val="center"/>
          </w:tcPr>
          <w:p w14:paraId="482EE873" w14:textId="77777777" w:rsidR="00CA4204" w:rsidRPr="00937C8B" w:rsidRDefault="00CA4204" w:rsidP="00D27646">
            <w:pPr>
              <w:pStyle w:val="CTEtabla-texto"/>
              <w:keepNext/>
              <w:jc w:val="left"/>
              <w:rPr>
                <w:rFonts w:cs="Arial"/>
                <w:b/>
                <w:bCs/>
                <w:i/>
                <w:iCs/>
              </w:rPr>
            </w:pPr>
          </w:p>
        </w:tc>
        <w:tc>
          <w:tcPr>
            <w:tcW w:w="6065" w:type="dxa"/>
            <w:gridSpan w:val="6"/>
            <w:tcBorders>
              <w:left w:val="single" w:sz="4" w:space="0" w:color="auto"/>
            </w:tcBorders>
            <w:shd w:val="clear" w:color="auto" w:fill="auto"/>
          </w:tcPr>
          <w:p w14:paraId="4A986A34" w14:textId="77777777" w:rsidR="00CA4204" w:rsidRPr="00937C8B" w:rsidRDefault="00CA4204" w:rsidP="00D27646">
            <w:pPr>
              <w:pStyle w:val="CTEtabla-texto"/>
              <w:keepNext/>
              <w:rPr>
                <w:rFonts w:cs="Arial"/>
                <w:b/>
                <w:bCs/>
              </w:rPr>
            </w:pPr>
            <w:r>
              <w:rPr>
                <w:b/>
                <w:bCs/>
              </w:rPr>
              <w:t>Horaires (semaine type)</w:t>
            </w:r>
          </w:p>
        </w:tc>
      </w:tr>
      <w:tr w:rsidR="00CA4204" w:rsidRPr="00937C8B" w14:paraId="11C49ABC" w14:textId="77777777" w:rsidTr="00935676">
        <w:trPr>
          <w:jc w:val="center"/>
        </w:trPr>
        <w:tc>
          <w:tcPr>
            <w:tcW w:w="1877" w:type="dxa"/>
            <w:tcBorders>
              <w:bottom w:val="single" w:sz="4" w:space="0" w:color="000000"/>
            </w:tcBorders>
            <w:shd w:val="clear" w:color="auto" w:fill="auto"/>
          </w:tcPr>
          <w:p w14:paraId="31AB3190" w14:textId="77777777" w:rsidR="00CA4204" w:rsidRPr="00937C8B" w:rsidRDefault="00CA4204" w:rsidP="00D27646">
            <w:pPr>
              <w:keepNext/>
              <w:rPr>
                <w:rFonts w:ascii="Arial" w:hAnsi="Arial" w:cs="Arial"/>
                <w:b/>
              </w:rPr>
            </w:pPr>
            <w:r>
              <w:rPr>
                <w:rFonts w:ascii="Arial" w:hAnsi="Arial"/>
                <w:b/>
                <w:sz w:val="18"/>
              </w:rPr>
              <w:t>Charge interne W/m</w:t>
            </w:r>
            <w:r>
              <w:rPr>
                <w:rFonts w:ascii="Arial" w:hAnsi="Arial"/>
                <w:b/>
                <w:sz w:val="18"/>
                <w:vertAlign w:val="superscript"/>
              </w:rPr>
              <w:t>2</w:t>
            </w:r>
          </w:p>
        </w:tc>
        <w:tc>
          <w:tcPr>
            <w:tcW w:w="677" w:type="dxa"/>
            <w:vMerge/>
            <w:tcBorders>
              <w:bottom w:val="single" w:sz="4" w:space="0" w:color="000000"/>
              <w:right w:val="single" w:sz="4" w:space="0" w:color="000000"/>
            </w:tcBorders>
            <w:shd w:val="clear" w:color="auto" w:fill="auto"/>
            <w:tcMar>
              <w:top w:w="55" w:type="dxa"/>
              <w:left w:w="45" w:type="dxa"/>
              <w:bottom w:w="55" w:type="dxa"/>
              <w:right w:w="55" w:type="dxa"/>
            </w:tcMar>
            <w:vAlign w:val="center"/>
          </w:tcPr>
          <w:p w14:paraId="0F9921C1" w14:textId="77777777" w:rsidR="00CA4204" w:rsidRPr="00937C8B" w:rsidRDefault="00CA4204" w:rsidP="00D27646">
            <w:pPr>
              <w:keepNext/>
              <w:rPr>
                <w:rFonts w:ascii="Arial" w:hAnsi="Arial" w:cs="Arial"/>
              </w:rPr>
            </w:pPr>
          </w:p>
        </w:tc>
        <w:tc>
          <w:tcPr>
            <w:tcW w:w="891" w:type="dxa"/>
            <w:tcBorders>
              <w:left w:val="single" w:sz="4" w:space="0" w:color="000000"/>
              <w:bottom w:val="single" w:sz="4" w:space="0" w:color="000000"/>
            </w:tcBorders>
            <w:shd w:val="clear" w:color="auto" w:fill="auto"/>
            <w:tcMar>
              <w:top w:w="55" w:type="dxa"/>
              <w:left w:w="40" w:type="dxa"/>
              <w:bottom w:w="55" w:type="dxa"/>
              <w:right w:w="55" w:type="dxa"/>
            </w:tcMar>
            <w:vAlign w:val="center"/>
          </w:tcPr>
          <w:p w14:paraId="00B0A4AF" w14:textId="77777777" w:rsidR="00CA4204" w:rsidRPr="00937C8B" w:rsidRDefault="00CA4204" w:rsidP="00D27646">
            <w:pPr>
              <w:pStyle w:val="CTEtabla-texto"/>
              <w:keepNext/>
              <w:rPr>
                <w:rFonts w:cs="Arial"/>
                <w:b/>
                <w:bCs/>
              </w:rPr>
            </w:pPr>
            <w:r>
              <w:rPr>
                <w:b/>
                <w:bCs/>
              </w:rPr>
              <w:t>0h - 6h59</w:t>
            </w:r>
          </w:p>
        </w:tc>
        <w:tc>
          <w:tcPr>
            <w:tcW w:w="991" w:type="dxa"/>
            <w:tcBorders>
              <w:bottom w:val="single" w:sz="4" w:space="0" w:color="000000"/>
            </w:tcBorders>
            <w:shd w:val="clear" w:color="auto" w:fill="auto"/>
            <w:tcMar>
              <w:top w:w="55" w:type="dxa"/>
              <w:left w:w="40" w:type="dxa"/>
              <w:bottom w:w="55" w:type="dxa"/>
              <w:right w:w="55" w:type="dxa"/>
            </w:tcMar>
            <w:vAlign w:val="center"/>
          </w:tcPr>
          <w:p w14:paraId="13AA9090" w14:textId="77777777" w:rsidR="00CA4204" w:rsidRPr="00937C8B" w:rsidRDefault="00CA4204" w:rsidP="00D27646">
            <w:pPr>
              <w:pStyle w:val="CTEtabla-texto"/>
              <w:keepNext/>
              <w:rPr>
                <w:rFonts w:cs="Arial"/>
                <w:b/>
                <w:bCs/>
              </w:rPr>
            </w:pPr>
            <w:r>
              <w:rPr>
                <w:b/>
                <w:bCs/>
              </w:rPr>
              <w:t>7h - 14h59</w:t>
            </w:r>
          </w:p>
        </w:tc>
        <w:tc>
          <w:tcPr>
            <w:tcW w:w="1092" w:type="dxa"/>
            <w:tcBorders>
              <w:bottom w:val="single" w:sz="4" w:space="0" w:color="000000"/>
            </w:tcBorders>
            <w:shd w:val="clear" w:color="auto" w:fill="auto"/>
            <w:tcMar>
              <w:top w:w="55" w:type="dxa"/>
              <w:left w:w="40" w:type="dxa"/>
              <w:bottom w:w="55" w:type="dxa"/>
              <w:right w:w="55" w:type="dxa"/>
            </w:tcMar>
            <w:vAlign w:val="center"/>
          </w:tcPr>
          <w:p w14:paraId="1178A6A1" w14:textId="77777777" w:rsidR="00CA4204" w:rsidRPr="00937C8B" w:rsidRDefault="00CA4204" w:rsidP="00D27646">
            <w:pPr>
              <w:pStyle w:val="CTEtabla-texto"/>
              <w:keepNext/>
              <w:rPr>
                <w:rFonts w:cs="Arial"/>
                <w:b/>
                <w:bCs/>
              </w:rPr>
            </w:pPr>
            <w:r>
              <w:rPr>
                <w:b/>
                <w:bCs/>
              </w:rPr>
              <w:t>15h - 17h59</w:t>
            </w:r>
          </w:p>
        </w:tc>
        <w:tc>
          <w:tcPr>
            <w:tcW w:w="999" w:type="dxa"/>
            <w:tcBorders>
              <w:bottom w:val="single" w:sz="4" w:space="0" w:color="000000"/>
            </w:tcBorders>
            <w:shd w:val="clear" w:color="auto" w:fill="auto"/>
            <w:vAlign w:val="center"/>
          </w:tcPr>
          <w:p w14:paraId="5C9D23F3" w14:textId="77777777" w:rsidR="00CA4204" w:rsidRPr="00937C8B" w:rsidRDefault="00CA4204" w:rsidP="00D27646">
            <w:pPr>
              <w:pStyle w:val="CTEtabla-texto"/>
              <w:keepNext/>
              <w:rPr>
                <w:rFonts w:cs="Arial"/>
                <w:b/>
                <w:bCs/>
              </w:rPr>
            </w:pPr>
            <w:r>
              <w:rPr>
                <w:b/>
                <w:bCs/>
              </w:rPr>
              <w:t>18h - 18h59</w:t>
            </w:r>
          </w:p>
        </w:tc>
        <w:tc>
          <w:tcPr>
            <w:tcW w:w="1002" w:type="dxa"/>
            <w:tcBorders>
              <w:bottom w:val="single" w:sz="4" w:space="0" w:color="000000"/>
            </w:tcBorders>
            <w:shd w:val="clear" w:color="auto" w:fill="auto"/>
            <w:vAlign w:val="center"/>
          </w:tcPr>
          <w:p w14:paraId="1378FEFA" w14:textId="77777777" w:rsidR="00CA4204" w:rsidRPr="00937C8B" w:rsidRDefault="00CA4204" w:rsidP="00D27646">
            <w:pPr>
              <w:pStyle w:val="CTEtabla-texto"/>
              <w:keepNext/>
              <w:rPr>
                <w:rFonts w:cs="Arial"/>
                <w:b/>
                <w:bCs/>
              </w:rPr>
            </w:pPr>
            <w:r>
              <w:rPr>
                <w:b/>
                <w:bCs/>
              </w:rPr>
              <w:t>19h - 22h59</w:t>
            </w:r>
          </w:p>
        </w:tc>
        <w:tc>
          <w:tcPr>
            <w:tcW w:w="1090" w:type="dxa"/>
            <w:tcBorders>
              <w:bottom w:val="single" w:sz="4" w:space="0" w:color="000000"/>
            </w:tcBorders>
            <w:shd w:val="clear" w:color="auto" w:fill="auto"/>
            <w:tcMar>
              <w:top w:w="55" w:type="dxa"/>
              <w:left w:w="40" w:type="dxa"/>
              <w:bottom w:w="55" w:type="dxa"/>
              <w:right w:w="55" w:type="dxa"/>
            </w:tcMar>
            <w:vAlign w:val="center"/>
          </w:tcPr>
          <w:p w14:paraId="23DA88F3" w14:textId="77777777" w:rsidR="00CA4204" w:rsidRPr="00937C8B" w:rsidRDefault="00CA4204" w:rsidP="00D27646">
            <w:pPr>
              <w:pStyle w:val="CTEtabla-texto"/>
              <w:keepNext/>
              <w:rPr>
                <w:rFonts w:cs="Arial"/>
                <w:b/>
                <w:bCs/>
              </w:rPr>
            </w:pPr>
            <w:r>
              <w:rPr>
                <w:b/>
                <w:bCs/>
              </w:rPr>
              <w:t>23h - 23h59</w:t>
            </w:r>
          </w:p>
        </w:tc>
      </w:tr>
      <w:tr w:rsidR="00CA4204" w:rsidRPr="00937C8B" w14:paraId="4BF0E107" w14:textId="77777777" w:rsidTr="00935676">
        <w:trPr>
          <w:jc w:val="center"/>
        </w:trPr>
        <w:tc>
          <w:tcPr>
            <w:tcW w:w="1877" w:type="dxa"/>
            <w:vMerge w:val="restart"/>
            <w:tcBorders>
              <w:top w:val="single" w:sz="4" w:space="0" w:color="000000"/>
            </w:tcBorders>
            <w:shd w:val="clear" w:color="auto" w:fill="auto"/>
            <w:tcMar>
              <w:left w:w="13" w:type="dxa"/>
              <w:right w:w="28" w:type="dxa"/>
            </w:tcMar>
            <w:vAlign w:val="center"/>
          </w:tcPr>
          <w:p w14:paraId="3E70EA93" w14:textId="77777777" w:rsidR="00CA4204" w:rsidRPr="00937C8B" w:rsidRDefault="00CA4204" w:rsidP="003E38D0">
            <w:pPr>
              <w:pStyle w:val="CTEtabla-texto"/>
              <w:jc w:val="left"/>
              <w:rPr>
                <w:rFonts w:cs="Arial"/>
                <w:iCs/>
              </w:rPr>
            </w:pPr>
            <w:r>
              <w:rPr>
                <w:b/>
                <w:bCs/>
                <w:iCs/>
              </w:rPr>
              <w:t xml:space="preserve">Occupation (sensible) </w:t>
            </w:r>
          </w:p>
        </w:tc>
        <w:tc>
          <w:tcPr>
            <w:tcW w:w="677" w:type="dxa"/>
            <w:tcBorders>
              <w:top w:val="single" w:sz="4" w:space="0" w:color="000000"/>
              <w:right w:val="single" w:sz="4" w:space="0" w:color="000000"/>
            </w:tcBorders>
            <w:shd w:val="clear" w:color="auto" w:fill="auto"/>
            <w:tcMar>
              <w:top w:w="28" w:type="dxa"/>
              <w:left w:w="13" w:type="dxa"/>
              <w:bottom w:w="28" w:type="dxa"/>
              <w:right w:w="28" w:type="dxa"/>
            </w:tcMar>
            <w:vAlign w:val="center"/>
          </w:tcPr>
          <w:p w14:paraId="0CE3DFCC" w14:textId="77777777" w:rsidR="00CA4204" w:rsidRPr="00937C8B" w:rsidRDefault="00CA4204" w:rsidP="003E38D0">
            <w:pPr>
              <w:pStyle w:val="CTEtabla-texto"/>
              <w:jc w:val="left"/>
              <w:rPr>
                <w:rFonts w:cs="Arial"/>
                <w:iCs/>
              </w:rPr>
            </w:pPr>
            <w:r>
              <w:t>O</w:t>
            </w:r>
          </w:p>
        </w:tc>
        <w:tc>
          <w:tcPr>
            <w:tcW w:w="891" w:type="dxa"/>
            <w:tcBorders>
              <w:top w:val="single" w:sz="4" w:space="0" w:color="000000"/>
              <w:left w:val="single" w:sz="4" w:space="0" w:color="000000"/>
            </w:tcBorders>
            <w:shd w:val="clear" w:color="auto" w:fill="auto"/>
            <w:tcMar>
              <w:top w:w="28" w:type="dxa"/>
              <w:left w:w="13" w:type="dxa"/>
              <w:bottom w:w="28" w:type="dxa"/>
              <w:right w:w="28" w:type="dxa"/>
            </w:tcMar>
            <w:vAlign w:val="center"/>
          </w:tcPr>
          <w:p w14:paraId="1D0D5926" w14:textId="77777777" w:rsidR="00CA4204" w:rsidRPr="00937C8B" w:rsidRDefault="00CA4204" w:rsidP="003E38D0">
            <w:pPr>
              <w:pStyle w:val="CTEtabla-texto"/>
              <w:rPr>
                <w:rFonts w:cs="Arial"/>
              </w:rPr>
            </w:pPr>
            <w:r>
              <w:t>2,15</w:t>
            </w:r>
          </w:p>
        </w:tc>
        <w:tc>
          <w:tcPr>
            <w:tcW w:w="991" w:type="dxa"/>
            <w:tcBorders>
              <w:top w:val="single" w:sz="4" w:space="0" w:color="000000"/>
            </w:tcBorders>
            <w:shd w:val="clear" w:color="auto" w:fill="auto"/>
            <w:tcMar>
              <w:top w:w="28" w:type="dxa"/>
              <w:left w:w="13" w:type="dxa"/>
              <w:bottom w:w="28" w:type="dxa"/>
              <w:right w:w="28" w:type="dxa"/>
            </w:tcMar>
            <w:vAlign w:val="center"/>
          </w:tcPr>
          <w:p w14:paraId="2421B796" w14:textId="77777777" w:rsidR="00CA4204" w:rsidRPr="00937C8B" w:rsidRDefault="00CA4204" w:rsidP="003E38D0">
            <w:pPr>
              <w:pStyle w:val="CTEtabla-texto"/>
              <w:rPr>
                <w:rFonts w:cs="Arial"/>
              </w:rPr>
            </w:pPr>
            <w:r>
              <w:t>0,54</w:t>
            </w:r>
          </w:p>
        </w:tc>
        <w:tc>
          <w:tcPr>
            <w:tcW w:w="1092" w:type="dxa"/>
            <w:tcBorders>
              <w:top w:val="single" w:sz="4" w:space="0" w:color="000000"/>
            </w:tcBorders>
            <w:shd w:val="clear" w:color="auto" w:fill="auto"/>
            <w:tcMar>
              <w:top w:w="28" w:type="dxa"/>
              <w:left w:w="13" w:type="dxa"/>
              <w:bottom w:w="28" w:type="dxa"/>
              <w:right w:w="28" w:type="dxa"/>
            </w:tcMar>
            <w:vAlign w:val="center"/>
          </w:tcPr>
          <w:p w14:paraId="3C8CB27C" w14:textId="77777777" w:rsidR="00CA4204" w:rsidRPr="00937C8B" w:rsidRDefault="00CA4204" w:rsidP="003E38D0">
            <w:pPr>
              <w:pStyle w:val="CTEtabla-texto"/>
              <w:rPr>
                <w:rFonts w:cs="Arial"/>
              </w:rPr>
            </w:pPr>
            <w:r>
              <w:t>1,08</w:t>
            </w:r>
          </w:p>
        </w:tc>
        <w:tc>
          <w:tcPr>
            <w:tcW w:w="999" w:type="dxa"/>
            <w:tcBorders>
              <w:top w:val="single" w:sz="4" w:space="0" w:color="000000"/>
            </w:tcBorders>
            <w:shd w:val="clear" w:color="auto" w:fill="auto"/>
            <w:vAlign w:val="center"/>
          </w:tcPr>
          <w:p w14:paraId="7CA81356" w14:textId="77777777" w:rsidR="00CA4204" w:rsidRPr="00937C8B" w:rsidRDefault="00CA4204" w:rsidP="003E38D0">
            <w:pPr>
              <w:pStyle w:val="CTEtabla-texto"/>
              <w:rPr>
                <w:rFonts w:cs="Arial"/>
              </w:rPr>
            </w:pPr>
            <w:r>
              <w:t>1,08</w:t>
            </w:r>
          </w:p>
        </w:tc>
        <w:tc>
          <w:tcPr>
            <w:tcW w:w="1002" w:type="dxa"/>
            <w:tcBorders>
              <w:top w:val="single" w:sz="4" w:space="0" w:color="000000"/>
            </w:tcBorders>
            <w:shd w:val="clear" w:color="auto" w:fill="auto"/>
            <w:vAlign w:val="center"/>
          </w:tcPr>
          <w:p w14:paraId="56FAD7B5" w14:textId="77777777" w:rsidR="00CA4204" w:rsidRPr="00937C8B" w:rsidRDefault="00CA4204" w:rsidP="003E38D0">
            <w:pPr>
              <w:pStyle w:val="CTEtabla-texto"/>
              <w:rPr>
                <w:rFonts w:cs="Arial"/>
              </w:rPr>
            </w:pPr>
            <w:r>
              <w:t>1,08</w:t>
            </w:r>
          </w:p>
        </w:tc>
        <w:tc>
          <w:tcPr>
            <w:tcW w:w="1090" w:type="dxa"/>
            <w:tcBorders>
              <w:top w:val="single" w:sz="4" w:space="0" w:color="000000"/>
            </w:tcBorders>
            <w:shd w:val="clear" w:color="auto" w:fill="auto"/>
            <w:tcMar>
              <w:top w:w="28" w:type="dxa"/>
              <w:left w:w="13" w:type="dxa"/>
              <w:bottom w:w="28" w:type="dxa"/>
              <w:right w:w="28" w:type="dxa"/>
            </w:tcMar>
            <w:vAlign w:val="center"/>
          </w:tcPr>
          <w:p w14:paraId="70321231" w14:textId="77777777" w:rsidR="00CA4204" w:rsidRPr="00937C8B" w:rsidRDefault="00CA4204" w:rsidP="003E38D0">
            <w:pPr>
              <w:pStyle w:val="CTEtabla-texto"/>
              <w:rPr>
                <w:rFonts w:cs="Arial"/>
              </w:rPr>
            </w:pPr>
            <w:r>
              <w:t>2,15</w:t>
            </w:r>
          </w:p>
        </w:tc>
      </w:tr>
      <w:tr w:rsidR="00CA4204" w:rsidRPr="00937C8B" w14:paraId="0D7230E4" w14:textId="77777777" w:rsidTr="00935676">
        <w:trPr>
          <w:jc w:val="center"/>
        </w:trPr>
        <w:tc>
          <w:tcPr>
            <w:tcW w:w="1877" w:type="dxa"/>
            <w:vMerge/>
            <w:shd w:val="clear" w:color="auto" w:fill="auto"/>
            <w:tcMar>
              <w:left w:w="13" w:type="dxa"/>
              <w:right w:w="28" w:type="dxa"/>
            </w:tcMar>
            <w:vAlign w:val="center"/>
          </w:tcPr>
          <w:p w14:paraId="72F5B3DD" w14:textId="77777777" w:rsidR="00CA4204" w:rsidRPr="00937C8B" w:rsidRDefault="00CA4204" w:rsidP="003E38D0">
            <w:pPr>
              <w:pStyle w:val="CTEtabla-texto"/>
              <w:jc w:val="left"/>
              <w:rPr>
                <w:rFonts w:cs="Arial"/>
                <w:iCs/>
              </w:rPr>
            </w:pPr>
          </w:p>
        </w:tc>
        <w:tc>
          <w:tcPr>
            <w:tcW w:w="677" w:type="dxa"/>
            <w:tcBorders>
              <w:right w:val="single" w:sz="4" w:space="0" w:color="000000"/>
            </w:tcBorders>
            <w:shd w:val="clear" w:color="auto" w:fill="auto"/>
            <w:tcMar>
              <w:top w:w="28" w:type="dxa"/>
              <w:left w:w="13" w:type="dxa"/>
              <w:bottom w:w="28" w:type="dxa"/>
              <w:right w:w="28" w:type="dxa"/>
            </w:tcMar>
            <w:vAlign w:val="center"/>
          </w:tcPr>
          <w:p w14:paraId="57021BD2" w14:textId="77777777" w:rsidR="00CA4204" w:rsidRPr="00937C8B" w:rsidRDefault="00CA4204" w:rsidP="003E38D0">
            <w:pPr>
              <w:pStyle w:val="CTEtabla-texto"/>
              <w:jc w:val="left"/>
              <w:rPr>
                <w:rFonts w:cs="Arial"/>
                <w:iCs/>
              </w:rPr>
            </w:pPr>
            <w:r>
              <w:t>S et F</w:t>
            </w:r>
          </w:p>
        </w:tc>
        <w:tc>
          <w:tcPr>
            <w:tcW w:w="891" w:type="dxa"/>
            <w:tcBorders>
              <w:left w:val="single" w:sz="4" w:space="0" w:color="000000"/>
            </w:tcBorders>
            <w:shd w:val="clear" w:color="auto" w:fill="auto"/>
            <w:tcMar>
              <w:top w:w="28" w:type="dxa"/>
              <w:left w:w="13" w:type="dxa"/>
              <w:bottom w:w="28" w:type="dxa"/>
              <w:right w:w="28" w:type="dxa"/>
            </w:tcMar>
            <w:vAlign w:val="center"/>
          </w:tcPr>
          <w:p w14:paraId="06F22EEB" w14:textId="77777777" w:rsidR="00CA4204" w:rsidRPr="00937C8B" w:rsidRDefault="00CA4204" w:rsidP="003E38D0">
            <w:pPr>
              <w:pStyle w:val="CTEtabla-texto"/>
              <w:rPr>
                <w:rFonts w:cs="Arial"/>
              </w:rPr>
            </w:pPr>
            <w:r>
              <w:t>2,15</w:t>
            </w:r>
          </w:p>
        </w:tc>
        <w:tc>
          <w:tcPr>
            <w:tcW w:w="991" w:type="dxa"/>
            <w:shd w:val="clear" w:color="auto" w:fill="auto"/>
            <w:tcMar>
              <w:top w:w="28" w:type="dxa"/>
              <w:left w:w="13" w:type="dxa"/>
              <w:bottom w:w="28" w:type="dxa"/>
              <w:right w:w="28" w:type="dxa"/>
            </w:tcMar>
            <w:vAlign w:val="center"/>
          </w:tcPr>
          <w:p w14:paraId="13FEA8DE" w14:textId="77777777" w:rsidR="00CA4204" w:rsidRPr="00937C8B" w:rsidRDefault="00CA4204" w:rsidP="003E38D0">
            <w:pPr>
              <w:pStyle w:val="CTEtabla-texto"/>
              <w:rPr>
                <w:rFonts w:cs="Arial"/>
              </w:rPr>
            </w:pPr>
            <w:r>
              <w:t>2,15</w:t>
            </w:r>
          </w:p>
        </w:tc>
        <w:tc>
          <w:tcPr>
            <w:tcW w:w="1092" w:type="dxa"/>
            <w:shd w:val="clear" w:color="auto" w:fill="auto"/>
            <w:tcMar>
              <w:top w:w="28" w:type="dxa"/>
              <w:left w:w="13" w:type="dxa"/>
              <w:bottom w:w="28" w:type="dxa"/>
              <w:right w:w="28" w:type="dxa"/>
            </w:tcMar>
            <w:vAlign w:val="center"/>
          </w:tcPr>
          <w:p w14:paraId="2BA108AB" w14:textId="77777777" w:rsidR="00CA4204" w:rsidRPr="00937C8B" w:rsidRDefault="00CA4204" w:rsidP="003E38D0">
            <w:pPr>
              <w:pStyle w:val="CTEtabla-texto"/>
              <w:rPr>
                <w:rFonts w:cs="Arial"/>
              </w:rPr>
            </w:pPr>
            <w:r>
              <w:t>2,15</w:t>
            </w:r>
          </w:p>
        </w:tc>
        <w:tc>
          <w:tcPr>
            <w:tcW w:w="999" w:type="dxa"/>
            <w:shd w:val="clear" w:color="auto" w:fill="auto"/>
            <w:vAlign w:val="center"/>
          </w:tcPr>
          <w:p w14:paraId="5BD64E8D" w14:textId="77777777" w:rsidR="00CA4204" w:rsidRPr="00937C8B" w:rsidRDefault="00CA4204" w:rsidP="003E38D0">
            <w:pPr>
              <w:pStyle w:val="CTEtabla-texto"/>
              <w:rPr>
                <w:rFonts w:cs="Arial"/>
              </w:rPr>
            </w:pPr>
            <w:r>
              <w:t>2,15</w:t>
            </w:r>
          </w:p>
        </w:tc>
        <w:tc>
          <w:tcPr>
            <w:tcW w:w="1002" w:type="dxa"/>
            <w:shd w:val="clear" w:color="auto" w:fill="auto"/>
            <w:vAlign w:val="center"/>
          </w:tcPr>
          <w:p w14:paraId="47906D89" w14:textId="77777777" w:rsidR="00CA4204" w:rsidRPr="00937C8B" w:rsidRDefault="00CA4204" w:rsidP="003E38D0">
            <w:pPr>
              <w:pStyle w:val="CTEtabla-texto"/>
              <w:rPr>
                <w:rFonts w:cs="Arial"/>
              </w:rPr>
            </w:pPr>
            <w:r>
              <w:t>2,15</w:t>
            </w:r>
          </w:p>
        </w:tc>
        <w:tc>
          <w:tcPr>
            <w:tcW w:w="1090" w:type="dxa"/>
            <w:shd w:val="clear" w:color="auto" w:fill="auto"/>
            <w:tcMar>
              <w:top w:w="28" w:type="dxa"/>
              <w:left w:w="13" w:type="dxa"/>
              <w:bottom w:w="28" w:type="dxa"/>
              <w:right w:w="28" w:type="dxa"/>
            </w:tcMar>
            <w:vAlign w:val="center"/>
          </w:tcPr>
          <w:p w14:paraId="0AC6F358" w14:textId="77777777" w:rsidR="00CA4204" w:rsidRPr="00937C8B" w:rsidRDefault="00CA4204" w:rsidP="003E38D0">
            <w:pPr>
              <w:pStyle w:val="CTEtabla-texto"/>
              <w:rPr>
                <w:rFonts w:cs="Arial"/>
              </w:rPr>
            </w:pPr>
            <w:r>
              <w:t>2,15</w:t>
            </w:r>
          </w:p>
        </w:tc>
      </w:tr>
      <w:tr w:rsidR="00CA4204" w:rsidRPr="00937C8B" w14:paraId="1CAE7F96" w14:textId="77777777" w:rsidTr="00935676">
        <w:trPr>
          <w:jc w:val="center"/>
        </w:trPr>
        <w:tc>
          <w:tcPr>
            <w:tcW w:w="1877" w:type="dxa"/>
            <w:vMerge w:val="restart"/>
            <w:shd w:val="clear" w:color="auto" w:fill="auto"/>
            <w:tcMar>
              <w:left w:w="13" w:type="dxa"/>
              <w:right w:w="28" w:type="dxa"/>
            </w:tcMar>
            <w:vAlign w:val="center"/>
          </w:tcPr>
          <w:p w14:paraId="70CA5DF6" w14:textId="77777777" w:rsidR="00CA4204" w:rsidRPr="00937C8B" w:rsidRDefault="00CA4204" w:rsidP="003E38D0">
            <w:pPr>
              <w:pStyle w:val="CTEtabla-texto"/>
              <w:jc w:val="left"/>
              <w:rPr>
                <w:rFonts w:cs="Arial"/>
                <w:iCs/>
              </w:rPr>
            </w:pPr>
            <w:r>
              <w:rPr>
                <w:b/>
                <w:bCs/>
                <w:iCs/>
              </w:rPr>
              <w:t xml:space="preserve">Occupation (latente) </w:t>
            </w:r>
          </w:p>
        </w:tc>
        <w:tc>
          <w:tcPr>
            <w:tcW w:w="677" w:type="dxa"/>
            <w:tcBorders>
              <w:right w:val="single" w:sz="4" w:space="0" w:color="000000"/>
            </w:tcBorders>
            <w:shd w:val="clear" w:color="auto" w:fill="auto"/>
            <w:tcMar>
              <w:top w:w="28" w:type="dxa"/>
              <w:left w:w="13" w:type="dxa"/>
              <w:bottom w:w="28" w:type="dxa"/>
              <w:right w:w="28" w:type="dxa"/>
            </w:tcMar>
            <w:vAlign w:val="center"/>
          </w:tcPr>
          <w:p w14:paraId="1E839CFB" w14:textId="77777777" w:rsidR="00CA4204" w:rsidRPr="00937C8B" w:rsidRDefault="00CA4204" w:rsidP="003E38D0">
            <w:pPr>
              <w:pStyle w:val="CTEtabla-texto"/>
              <w:jc w:val="left"/>
              <w:rPr>
                <w:rFonts w:cs="Arial"/>
                <w:iCs/>
              </w:rPr>
            </w:pPr>
            <w:r>
              <w:t>O</w:t>
            </w:r>
          </w:p>
        </w:tc>
        <w:tc>
          <w:tcPr>
            <w:tcW w:w="891" w:type="dxa"/>
            <w:tcBorders>
              <w:left w:val="single" w:sz="4" w:space="0" w:color="000000"/>
            </w:tcBorders>
            <w:shd w:val="clear" w:color="auto" w:fill="auto"/>
            <w:tcMar>
              <w:top w:w="28" w:type="dxa"/>
              <w:left w:w="13" w:type="dxa"/>
              <w:bottom w:w="28" w:type="dxa"/>
              <w:right w:w="28" w:type="dxa"/>
            </w:tcMar>
            <w:vAlign w:val="center"/>
          </w:tcPr>
          <w:p w14:paraId="3A2A1157" w14:textId="77777777" w:rsidR="00CA4204" w:rsidRPr="00937C8B" w:rsidRDefault="00CA4204" w:rsidP="003E38D0">
            <w:pPr>
              <w:pStyle w:val="CTEtabla-texto"/>
              <w:rPr>
                <w:rFonts w:cs="Arial"/>
              </w:rPr>
            </w:pPr>
            <w:r>
              <w:t>1,36</w:t>
            </w:r>
          </w:p>
        </w:tc>
        <w:tc>
          <w:tcPr>
            <w:tcW w:w="991" w:type="dxa"/>
            <w:shd w:val="clear" w:color="auto" w:fill="auto"/>
            <w:tcMar>
              <w:top w:w="28" w:type="dxa"/>
              <w:left w:w="13" w:type="dxa"/>
              <w:bottom w:w="28" w:type="dxa"/>
              <w:right w:w="28" w:type="dxa"/>
            </w:tcMar>
            <w:vAlign w:val="center"/>
          </w:tcPr>
          <w:p w14:paraId="7AE80D5F" w14:textId="77777777" w:rsidR="00CA4204" w:rsidRPr="00937C8B" w:rsidRDefault="00CA4204" w:rsidP="003E38D0">
            <w:pPr>
              <w:pStyle w:val="CTEtabla-texto"/>
              <w:rPr>
                <w:rFonts w:cs="Arial"/>
              </w:rPr>
            </w:pPr>
            <w:r>
              <w:t>0,34</w:t>
            </w:r>
          </w:p>
        </w:tc>
        <w:tc>
          <w:tcPr>
            <w:tcW w:w="1092" w:type="dxa"/>
            <w:shd w:val="clear" w:color="auto" w:fill="auto"/>
            <w:tcMar>
              <w:top w:w="28" w:type="dxa"/>
              <w:left w:w="13" w:type="dxa"/>
              <w:bottom w:w="28" w:type="dxa"/>
              <w:right w:w="28" w:type="dxa"/>
            </w:tcMar>
            <w:vAlign w:val="center"/>
          </w:tcPr>
          <w:p w14:paraId="3355DC64" w14:textId="77777777" w:rsidR="00CA4204" w:rsidRPr="00937C8B" w:rsidRDefault="00CA4204" w:rsidP="003E38D0">
            <w:pPr>
              <w:pStyle w:val="CTEtabla-texto"/>
              <w:rPr>
                <w:rFonts w:cs="Arial"/>
              </w:rPr>
            </w:pPr>
            <w:r>
              <w:t>0,68</w:t>
            </w:r>
          </w:p>
        </w:tc>
        <w:tc>
          <w:tcPr>
            <w:tcW w:w="999" w:type="dxa"/>
            <w:shd w:val="clear" w:color="auto" w:fill="auto"/>
            <w:vAlign w:val="center"/>
          </w:tcPr>
          <w:p w14:paraId="7FF4AAF0" w14:textId="77777777" w:rsidR="00CA4204" w:rsidRPr="00937C8B" w:rsidRDefault="00CA4204" w:rsidP="003E38D0">
            <w:pPr>
              <w:pStyle w:val="CTEtabla-texto"/>
              <w:rPr>
                <w:rFonts w:cs="Arial"/>
              </w:rPr>
            </w:pPr>
            <w:r>
              <w:t>0,68</w:t>
            </w:r>
          </w:p>
        </w:tc>
        <w:tc>
          <w:tcPr>
            <w:tcW w:w="1002" w:type="dxa"/>
            <w:shd w:val="clear" w:color="auto" w:fill="auto"/>
            <w:vAlign w:val="center"/>
          </w:tcPr>
          <w:p w14:paraId="684EA562" w14:textId="77777777" w:rsidR="00CA4204" w:rsidRPr="00937C8B" w:rsidRDefault="00CA4204" w:rsidP="003E38D0">
            <w:pPr>
              <w:pStyle w:val="CTEtabla-texto"/>
              <w:rPr>
                <w:rFonts w:cs="Arial"/>
              </w:rPr>
            </w:pPr>
            <w:r>
              <w:t>0,68</w:t>
            </w:r>
          </w:p>
        </w:tc>
        <w:tc>
          <w:tcPr>
            <w:tcW w:w="1090" w:type="dxa"/>
            <w:shd w:val="clear" w:color="auto" w:fill="auto"/>
            <w:tcMar>
              <w:top w:w="28" w:type="dxa"/>
              <w:left w:w="13" w:type="dxa"/>
              <w:bottom w:w="28" w:type="dxa"/>
              <w:right w:w="28" w:type="dxa"/>
            </w:tcMar>
            <w:vAlign w:val="center"/>
          </w:tcPr>
          <w:p w14:paraId="2C2B8588" w14:textId="77777777" w:rsidR="00CA4204" w:rsidRPr="00937C8B" w:rsidRDefault="00CA4204" w:rsidP="003E38D0">
            <w:pPr>
              <w:pStyle w:val="CTEtabla-texto"/>
              <w:rPr>
                <w:rFonts w:cs="Arial"/>
              </w:rPr>
            </w:pPr>
            <w:r>
              <w:t>1,36</w:t>
            </w:r>
          </w:p>
        </w:tc>
      </w:tr>
      <w:tr w:rsidR="00CA4204" w:rsidRPr="00937C8B" w14:paraId="66C58B4B" w14:textId="77777777" w:rsidTr="00935676">
        <w:trPr>
          <w:jc w:val="center"/>
        </w:trPr>
        <w:tc>
          <w:tcPr>
            <w:tcW w:w="1877" w:type="dxa"/>
            <w:vMerge/>
            <w:shd w:val="clear" w:color="auto" w:fill="auto"/>
            <w:tcMar>
              <w:left w:w="13" w:type="dxa"/>
              <w:right w:w="28" w:type="dxa"/>
            </w:tcMar>
            <w:vAlign w:val="center"/>
          </w:tcPr>
          <w:p w14:paraId="6D61546A" w14:textId="77777777" w:rsidR="00CA4204" w:rsidRPr="00937C8B" w:rsidRDefault="00CA4204" w:rsidP="003E38D0">
            <w:pPr>
              <w:pStyle w:val="CTEtabla-texto"/>
              <w:jc w:val="left"/>
              <w:rPr>
                <w:rFonts w:cs="Arial"/>
                <w:iCs/>
              </w:rPr>
            </w:pPr>
          </w:p>
        </w:tc>
        <w:tc>
          <w:tcPr>
            <w:tcW w:w="677" w:type="dxa"/>
            <w:tcBorders>
              <w:right w:val="single" w:sz="4" w:space="0" w:color="000000"/>
            </w:tcBorders>
            <w:shd w:val="clear" w:color="auto" w:fill="auto"/>
            <w:tcMar>
              <w:top w:w="28" w:type="dxa"/>
              <w:left w:w="13" w:type="dxa"/>
              <w:bottom w:w="28" w:type="dxa"/>
              <w:right w:w="28" w:type="dxa"/>
            </w:tcMar>
            <w:vAlign w:val="center"/>
          </w:tcPr>
          <w:p w14:paraId="49F045D1" w14:textId="77777777" w:rsidR="00CA4204" w:rsidRPr="00937C8B" w:rsidRDefault="00CA4204" w:rsidP="003E38D0">
            <w:pPr>
              <w:pStyle w:val="CTEtabla-texto"/>
              <w:jc w:val="left"/>
              <w:rPr>
                <w:rFonts w:cs="Arial"/>
                <w:iCs/>
              </w:rPr>
            </w:pPr>
            <w:r>
              <w:t>S et F</w:t>
            </w:r>
          </w:p>
        </w:tc>
        <w:tc>
          <w:tcPr>
            <w:tcW w:w="891" w:type="dxa"/>
            <w:tcBorders>
              <w:left w:val="single" w:sz="4" w:space="0" w:color="000000"/>
            </w:tcBorders>
            <w:shd w:val="clear" w:color="auto" w:fill="auto"/>
            <w:tcMar>
              <w:top w:w="28" w:type="dxa"/>
              <w:left w:w="13" w:type="dxa"/>
              <w:bottom w:w="28" w:type="dxa"/>
              <w:right w:w="28" w:type="dxa"/>
            </w:tcMar>
            <w:vAlign w:val="center"/>
          </w:tcPr>
          <w:p w14:paraId="21B33E91" w14:textId="77777777" w:rsidR="00CA4204" w:rsidRPr="00937C8B" w:rsidRDefault="00CA4204" w:rsidP="003E38D0">
            <w:pPr>
              <w:pStyle w:val="CTEtabla-texto"/>
              <w:rPr>
                <w:rFonts w:cs="Arial"/>
              </w:rPr>
            </w:pPr>
            <w:r>
              <w:t>1,36</w:t>
            </w:r>
          </w:p>
        </w:tc>
        <w:tc>
          <w:tcPr>
            <w:tcW w:w="991" w:type="dxa"/>
            <w:shd w:val="clear" w:color="auto" w:fill="auto"/>
            <w:tcMar>
              <w:top w:w="28" w:type="dxa"/>
              <w:left w:w="13" w:type="dxa"/>
              <w:bottom w:w="28" w:type="dxa"/>
              <w:right w:w="28" w:type="dxa"/>
            </w:tcMar>
            <w:vAlign w:val="center"/>
          </w:tcPr>
          <w:p w14:paraId="7473F9C5" w14:textId="77777777" w:rsidR="00CA4204" w:rsidRPr="00937C8B" w:rsidRDefault="00CA4204" w:rsidP="003E38D0">
            <w:pPr>
              <w:pStyle w:val="CTEtabla-texto"/>
              <w:rPr>
                <w:rFonts w:cs="Arial"/>
              </w:rPr>
            </w:pPr>
            <w:r>
              <w:t>1,36</w:t>
            </w:r>
          </w:p>
        </w:tc>
        <w:tc>
          <w:tcPr>
            <w:tcW w:w="1092" w:type="dxa"/>
            <w:shd w:val="clear" w:color="auto" w:fill="auto"/>
            <w:tcMar>
              <w:top w:w="28" w:type="dxa"/>
              <w:left w:w="13" w:type="dxa"/>
              <w:bottom w:w="28" w:type="dxa"/>
              <w:right w:w="28" w:type="dxa"/>
            </w:tcMar>
            <w:vAlign w:val="center"/>
          </w:tcPr>
          <w:p w14:paraId="2041E425" w14:textId="77777777" w:rsidR="00CA4204" w:rsidRPr="00937C8B" w:rsidRDefault="00CA4204" w:rsidP="003E38D0">
            <w:pPr>
              <w:pStyle w:val="CTEtabla-texto"/>
              <w:rPr>
                <w:rFonts w:cs="Arial"/>
              </w:rPr>
            </w:pPr>
            <w:r>
              <w:t>1,36</w:t>
            </w:r>
          </w:p>
        </w:tc>
        <w:tc>
          <w:tcPr>
            <w:tcW w:w="999" w:type="dxa"/>
            <w:shd w:val="clear" w:color="auto" w:fill="auto"/>
            <w:vAlign w:val="center"/>
          </w:tcPr>
          <w:p w14:paraId="1ADA105F" w14:textId="77777777" w:rsidR="00CA4204" w:rsidRPr="00937C8B" w:rsidRDefault="00CA4204" w:rsidP="003E38D0">
            <w:pPr>
              <w:pStyle w:val="CTEtabla-texto"/>
              <w:rPr>
                <w:rFonts w:cs="Arial"/>
              </w:rPr>
            </w:pPr>
            <w:r>
              <w:t>1,36</w:t>
            </w:r>
          </w:p>
        </w:tc>
        <w:tc>
          <w:tcPr>
            <w:tcW w:w="1002" w:type="dxa"/>
            <w:shd w:val="clear" w:color="auto" w:fill="auto"/>
            <w:vAlign w:val="center"/>
          </w:tcPr>
          <w:p w14:paraId="3AB2D771" w14:textId="77777777" w:rsidR="00CA4204" w:rsidRPr="00937C8B" w:rsidRDefault="00CA4204" w:rsidP="003E38D0">
            <w:pPr>
              <w:pStyle w:val="CTEtabla-texto"/>
              <w:rPr>
                <w:rFonts w:cs="Arial"/>
              </w:rPr>
            </w:pPr>
            <w:r>
              <w:t>1,36</w:t>
            </w:r>
          </w:p>
        </w:tc>
        <w:tc>
          <w:tcPr>
            <w:tcW w:w="1090" w:type="dxa"/>
            <w:shd w:val="clear" w:color="auto" w:fill="auto"/>
            <w:tcMar>
              <w:top w:w="28" w:type="dxa"/>
              <w:left w:w="13" w:type="dxa"/>
              <w:bottom w:w="28" w:type="dxa"/>
              <w:right w:w="28" w:type="dxa"/>
            </w:tcMar>
            <w:vAlign w:val="center"/>
          </w:tcPr>
          <w:p w14:paraId="79FFD61A" w14:textId="77777777" w:rsidR="00CA4204" w:rsidRPr="00937C8B" w:rsidRDefault="00CA4204" w:rsidP="003E38D0">
            <w:pPr>
              <w:pStyle w:val="CTEtabla-texto"/>
              <w:rPr>
                <w:rFonts w:cs="Arial"/>
              </w:rPr>
            </w:pPr>
            <w:r>
              <w:t>1,36</w:t>
            </w:r>
          </w:p>
        </w:tc>
      </w:tr>
      <w:tr w:rsidR="00CA4204" w:rsidRPr="00937C8B" w14:paraId="3A54EFF8" w14:textId="77777777" w:rsidTr="00935676">
        <w:trPr>
          <w:jc w:val="center"/>
        </w:trPr>
        <w:tc>
          <w:tcPr>
            <w:tcW w:w="1877" w:type="dxa"/>
            <w:shd w:val="clear" w:color="auto" w:fill="auto"/>
            <w:tcMar>
              <w:left w:w="13" w:type="dxa"/>
              <w:right w:w="28" w:type="dxa"/>
            </w:tcMar>
            <w:vAlign w:val="center"/>
          </w:tcPr>
          <w:p w14:paraId="437DB328" w14:textId="77777777" w:rsidR="00CA4204" w:rsidRPr="00937C8B" w:rsidRDefault="00CA4204" w:rsidP="003E38D0">
            <w:pPr>
              <w:pStyle w:val="CTEtabla-texto"/>
              <w:jc w:val="left"/>
              <w:rPr>
                <w:rFonts w:cs="Arial"/>
                <w:iCs/>
              </w:rPr>
            </w:pPr>
            <w:r>
              <w:rPr>
                <w:b/>
                <w:bCs/>
                <w:iCs/>
              </w:rPr>
              <w:t xml:space="preserve">Éclairage </w:t>
            </w:r>
          </w:p>
        </w:tc>
        <w:tc>
          <w:tcPr>
            <w:tcW w:w="677" w:type="dxa"/>
            <w:tcBorders>
              <w:right w:val="single" w:sz="4" w:space="0" w:color="000000"/>
            </w:tcBorders>
            <w:shd w:val="clear" w:color="auto" w:fill="auto"/>
            <w:tcMar>
              <w:top w:w="28" w:type="dxa"/>
              <w:left w:w="13" w:type="dxa"/>
              <w:bottom w:w="28" w:type="dxa"/>
              <w:right w:w="28" w:type="dxa"/>
            </w:tcMar>
            <w:vAlign w:val="center"/>
          </w:tcPr>
          <w:p w14:paraId="484EE97C" w14:textId="77777777" w:rsidR="00CA4204" w:rsidRPr="00937C8B" w:rsidRDefault="00CA4204" w:rsidP="003E38D0">
            <w:pPr>
              <w:pStyle w:val="CTEtabla-texto"/>
              <w:jc w:val="left"/>
              <w:rPr>
                <w:rFonts w:cs="Arial"/>
                <w:iCs/>
              </w:rPr>
            </w:pPr>
            <w:r>
              <w:t>O, S et F</w:t>
            </w:r>
          </w:p>
        </w:tc>
        <w:tc>
          <w:tcPr>
            <w:tcW w:w="891" w:type="dxa"/>
            <w:tcBorders>
              <w:left w:val="single" w:sz="4" w:space="0" w:color="000000"/>
            </w:tcBorders>
            <w:shd w:val="clear" w:color="auto" w:fill="auto"/>
            <w:tcMar>
              <w:top w:w="28" w:type="dxa"/>
              <w:left w:w="13" w:type="dxa"/>
              <w:bottom w:w="28" w:type="dxa"/>
              <w:right w:w="28" w:type="dxa"/>
            </w:tcMar>
            <w:vAlign w:val="center"/>
          </w:tcPr>
          <w:p w14:paraId="16601FBA" w14:textId="77777777" w:rsidR="00CA4204" w:rsidRPr="00937C8B" w:rsidRDefault="00CA4204" w:rsidP="003E38D0">
            <w:pPr>
              <w:pStyle w:val="CTEtabla-texto"/>
              <w:rPr>
                <w:rFonts w:cs="Arial"/>
              </w:rPr>
            </w:pPr>
            <w:r>
              <w:t>0,44</w:t>
            </w:r>
          </w:p>
        </w:tc>
        <w:tc>
          <w:tcPr>
            <w:tcW w:w="991" w:type="dxa"/>
            <w:shd w:val="clear" w:color="auto" w:fill="auto"/>
            <w:tcMar>
              <w:top w:w="28" w:type="dxa"/>
              <w:left w:w="13" w:type="dxa"/>
              <w:bottom w:w="28" w:type="dxa"/>
              <w:right w:w="28" w:type="dxa"/>
            </w:tcMar>
            <w:vAlign w:val="center"/>
          </w:tcPr>
          <w:p w14:paraId="00ADE8B5" w14:textId="77777777" w:rsidR="00CA4204" w:rsidRPr="00937C8B" w:rsidRDefault="00CA4204" w:rsidP="003E38D0">
            <w:pPr>
              <w:pStyle w:val="CTEtabla-texto"/>
              <w:rPr>
                <w:rFonts w:cs="Arial"/>
              </w:rPr>
            </w:pPr>
            <w:r>
              <w:t>1,32</w:t>
            </w:r>
          </w:p>
        </w:tc>
        <w:tc>
          <w:tcPr>
            <w:tcW w:w="1092" w:type="dxa"/>
            <w:shd w:val="clear" w:color="auto" w:fill="auto"/>
            <w:tcMar>
              <w:top w:w="28" w:type="dxa"/>
              <w:left w:w="13" w:type="dxa"/>
              <w:bottom w:w="28" w:type="dxa"/>
              <w:right w:w="28" w:type="dxa"/>
            </w:tcMar>
            <w:vAlign w:val="center"/>
          </w:tcPr>
          <w:p w14:paraId="2AC51BD5" w14:textId="77777777" w:rsidR="00CA4204" w:rsidRPr="00937C8B" w:rsidRDefault="00CA4204" w:rsidP="003E38D0">
            <w:pPr>
              <w:pStyle w:val="CTEtabla-texto"/>
              <w:rPr>
                <w:rFonts w:cs="Arial"/>
              </w:rPr>
            </w:pPr>
            <w:r>
              <w:t>1,32</w:t>
            </w:r>
          </w:p>
        </w:tc>
        <w:tc>
          <w:tcPr>
            <w:tcW w:w="999" w:type="dxa"/>
            <w:shd w:val="clear" w:color="auto" w:fill="auto"/>
            <w:vAlign w:val="center"/>
          </w:tcPr>
          <w:p w14:paraId="66C97712" w14:textId="77777777" w:rsidR="00CA4204" w:rsidRPr="00937C8B" w:rsidRDefault="00CA4204" w:rsidP="003E38D0">
            <w:pPr>
              <w:pStyle w:val="CTEtabla-texto"/>
              <w:rPr>
                <w:rFonts w:cs="Arial"/>
              </w:rPr>
            </w:pPr>
            <w:r>
              <w:t>2,20</w:t>
            </w:r>
          </w:p>
        </w:tc>
        <w:tc>
          <w:tcPr>
            <w:tcW w:w="1002" w:type="dxa"/>
            <w:shd w:val="clear" w:color="auto" w:fill="auto"/>
            <w:vAlign w:val="center"/>
          </w:tcPr>
          <w:p w14:paraId="59E9D7D3" w14:textId="77777777" w:rsidR="00CA4204" w:rsidRPr="00937C8B" w:rsidRDefault="00CA4204" w:rsidP="003E38D0">
            <w:pPr>
              <w:pStyle w:val="CTEtabla-texto"/>
              <w:rPr>
                <w:rFonts w:cs="Arial"/>
              </w:rPr>
            </w:pPr>
            <w:r>
              <w:t>4,40</w:t>
            </w:r>
          </w:p>
        </w:tc>
        <w:tc>
          <w:tcPr>
            <w:tcW w:w="1090" w:type="dxa"/>
            <w:shd w:val="clear" w:color="auto" w:fill="auto"/>
            <w:tcMar>
              <w:top w:w="28" w:type="dxa"/>
              <w:left w:w="13" w:type="dxa"/>
              <w:bottom w:w="28" w:type="dxa"/>
              <w:right w:w="28" w:type="dxa"/>
            </w:tcMar>
            <w:vAlign w:val="center"/>
          </w:tcPr>
          <w:p w14:paraId="7B09998F" w14:textId="77777777" w:rsidR="00CA4204" w:rsidRPr="00937C8B" w:rsidRDefault="00CA4204" w:rsidP="003E38D0">
            <w:pPr>
              <w:pStyle w:val="CTEtabla-texto"/>
              <w:rPr>
                <w:rFonts w:cs="Arial"/>
              </w:rPr>
            </w:pPr>
            <w:r>
              <w:t>2,20</w:t>
            </w:r>
          </w:p>
        </w:tc>
      </w:tr>
      <w:tr w:rsidR="00CA4204" w:rsidRPr="00937C8B" w14:paraId="00902CE9" w14:textId="77777777" w:rsidTr="00935676">
        <w:trPr>
          <w:jc w:val="center"/>
        </w:trPr>
        <w:tc>
          <w:tcPr>
            <w:tcW w:w="1877" w:type="dxa"/>
            <w:shd w:val="clear" w:color="auto" w:fill="auto"/>
            <w:tcMar>
              <w:left w:w="13" w:type="dxa"/>
              <w:right w:w="28" w:type="dxa"/>
            </w:tcMar>
            <w:vAlign w:val="center"/>
          </w:tcPr>
          <w:p w14:paraId="6786E205" w14:textId="77777777" w:rsidR="00CA4204" w:rsidRPr="00937C8B" w:rsidRDefault="00CA4204" w:rsidP="003E38D0">
            <w:pPr>
              <w:pStyle w:val="CTEtabla-texto"/>
              <w:jc w:val="left"/>
              <w:rPr>
                <w:rFonts w:cs="Arial"/>
                <w:iCs/>
              </w:rPr>
            </w:pPr>
            <w:r>
              <w:rPr>
                <w:b/>
                <w:bCs/>
                <w:iCs/>
              </w:rPr>
              <w:t xml:space="preserve">Équipements </w:t>
            </w:r>
          </w:p>
        </w:tc>
        <w:tc>
          <w:tcPr>
            <w:tcW w:w="677" w:type="dxa"/>
            <w:tcBorders>
              <w:right w:val="single" w:sz="4" w:space="0" w:color="000000"/>
            </w:tcBorders>
            <w:shd w:val="clear" w:color="auto" w:fill="auto"/>
            <w:tcMar>
              <w:top w:w="28" w:type="dxa"/>
              <w:left w:w="13" w:type="dxa"/>
              <w:bottom w:w="28" w:type="dxa"/>
              <w:right w:w="28" w:type="dxa"/>
            </w:tcMar>
            <w:vAlign w:val="center"/>
          </w:tcPr>
          <w:p w14:paraId="3C99CD5B" w14:textId="77777777" w:rsidR="00CA4204" w:rsidRPr="00937C8B" w:rsidRDefault="00CA4204" w:rsidP="003E38D0">
            <w:pPr>
              <w:pStyle w:val="CTEtabla-texto"/>
              <w:jc w:val="left"/>
              <w:rPr>
                <w:rFonts w:cs="Arial"/>
                <w:iCs/>
              </w:rPr>
            </w:pPr>
            <w:r>
              <w:t>O, S et F</w:t>
            </w:r>
          </w:p>
        </w:tc>
        <w:tc>
          <w:tcPr>
            <w:tcW w:w="891" w:type="dxa"/>
            <w:tcBorders>
              <w:left w:val="single" w:sz="4" w:space="0" w:color="000000"/>
            </w:tcBorders>
            <w:shd w:val="clear" w:color="auto" w:fill="auto"/>
            <w:tcMar>
              <w:top w:w="28" w:type="dxa"/>
              <w:left w:w="13" w:type="dxa"/>
              <w:bottom w:w="28" w:type="dxa"/>
              <w:right w:w="28" w:type="dxa"/>
            </w:tcMar>
            <w:vAlign w:val="center"/>
          </w:tcPr>
          <w:p w14:paraId="7367F957" w14:textId="77777777" w:rsidR="00CA4204" w:rsidRPr="00937C8B" w:rsidRDefault="00CA4204" w:rsidP="003E38D0">
            <w:pPr>
              <w:pStyle w:val="CTEtabla-texto"/>
              <w:rPr>
                <w:rFonts w:cs="Arial"/>
              </w:rPr>
            </w:pPr>
            <w:r>
              <w:t>0,44</w:t>
            </w:r>
          </w:p>
        </w:tc>
        <w:tc>
          <w:tcPr>
            <w:tcW w:w="991" w:type="dxa"/>
            <w:shd w:val="clear" w:color="auto" w:fill="auto"/>
            <w:tcMar>
              <w:top w:w="28" w:type="dxa"/>
              <w:left w:w="13" w:type="dxa"/>
              <w:bottom w:w="28" w:type="dxa"/>
              <w:right w:w="28" w:type="dxa"/>
            </w:tcMar>
            <w:vAlign w:val="center"/>
          </w:tcPr>
          <w:p w14:paraId="76D58446" w14:textId="77777777" w:rsidR="00CA4204" w:rsidRPr="00937C8B" w:rsidRDefault="00CA4204" w:rsidP="003E38D0">
            <w:pPr>
              <w:pStyle w:val="CTEtabla-texto"/>
              <w:rPr>
                <w:rFonts w:cs="Arial"/>
              </w:rPr>
            </w:pPr>
            <w:r>
              <w:t>1,32</w:t>
            </w:r>
          </w:p>
        </w:tc>
        <w:tc>
          <w:tcPr>
            <w:tcW w:w="1092" w:type="dxa"/>
            <w:shd w:val="clear" w:color="auto" w:fill="auto"/>
            <w:tcMar>
              <w:top w:w="28" w:type="dxa"/>
              <w:left w:w="13" w:type="dxa"/>
              <w:bottom w:w="28" w:type="dxa"/>
              <w:right w:w="28" w:type="dxa"/>
            </w:tcMar>
            <w:vAlign w:val="center"/>
          </w:tcPr>
          <w:p w14:paraId="7840736D" w14:textId="77777777" w:rsidR="00CA4204" w:rsidRPr="00937C8B" w:rsidRDefault="00CA4204" w:rsidP="003E38D0">
            <w:pPr>
              <w:pStyle w:val="CTEtabla-texto"/>
              <w:rPr>
                <w:rFonts w:cs="Arial"/>
              </w:rPr>
            </w:pPr>
            <w:r>
              <w:t>1,32</w:t>
            </w:r>
          </w:p>
        </w:tc>
        <w:tc>
          <w:tcPr>
            <w:tcW w:w="999" w:type="dxa"/>
            <w:shd w:val="clear" w:color="auto" w:fill="auto"/>
            <w:vAlign w:val="center"/>
          </w:tcPr>
          <w:p w14:paraId="5B99227E" w14:textId="77777777" w:rsidR="00CA4204" w:rsidRPr="00937C8B" w:rsidRDefault="00CA4204" w:rsidP="003E38D0">
            <w:pPr>
              <w:pStyle w:val="CTEtabla-texto"/>
              <w:rPr>
                <w:rFonts w:cs="Arial"/>
              </w:rPr>
            </w:pPr>
            <w:r>
              <w:t>2,20</w:t>
            </w:r>
          </w:p>
        </w:tc>
        <w:tc>
          <w:tcPr>
            <w:tcW w:w="1002" w:type="dxa"/>
            <w:shd w:val="clear" w:color="auto" w:fill="auto"/>
            <w:vAlign w:val="center"/>
          </w:tcPr>
          <w:p w14:paraId="1CCD2C65" w14:textId="77777777" w:rsidR="00CA4204" w:rsidRPr="00937C8B" w:rsidRDefault="00CA4204" w:rsidP="003E38D0">
            <w:pPr>
              <w:pStyle w:val="CTEtabla-texto"/>
              <w:rPr>
                <w:rFonts w:cs="Arial"/>
              </w:rPr>
            </w:pPr>
            <w:r>
              <w:t>4,40</w:t>
            </w:r>
          </w:p>
        </w:tc>
        <w:tc>
          <w:tcPr>
            <w:tcW w:w="1090" w:type="dxa"/>
            <w:shd w:val="clear" w:color="auto" w:fill="auto"/>
            <w:tcMar>
              <w:top w:w="28" w:type="dxa"/>
              <w:left w:w="13" w:type="dxa"/>
              <w:bottom w:w="28" w:type="dxa"/>
              <w:right w:w="28" w:type="dxa"/>
            </w:tcMar>
            <w:vAlign w:val="center"/>
          </w:tcPr>
          <w:p w14:paraId="062CD265" w14:textId="77777777" w:rsidR="00CA4204" w:rsidRPr="00937C8B" w:rsidRDefault="00CA4204" w:rsidP="003E38D0">
            <w:pPr>
              <w:pStyle w:val="CTEtabla-texto"/>
              <w:rPr>
                <w:rFonts w:cs="Arial"/>
              </w:rPr>
            </w:pPr>
            <w:r>
              <w:t>2,20</w:t>
            </w:r>
          </w:p>
        </w:tc>
      </w:tr>
      <w:tr w:rsidR="00CA4204" w:rsidRPr="00937C8B" w14:paraId="4094DF0D" w14:textId="77777777" w:rsidTr="00935676">
        <w:trPr>
          <w:jc w:val="center"/>
        </w:trPr>
        <w:tc>
          <w:tcPr>
            <w:tcW w:w="8619" w:type="dxa"/>
            <w:gridSpan w:val="8"/>
            <w:shd w:val="clear" w:color="auto" w:fill="auto"/>
            <w:tcMar>
              <w:left w:w="28" w:type="dxa"/>
              <w:right w:w="28" w:type="dxa"/>
            </w:tcMar>
            <w:vAlign w:val="center"/>
          </w:tcPr>
          <w:p w14:paraId="36178D4F" w14:textId="77777777" w:rsidR="00CA4204" w:rsidRPr="00937C8B" w:rsidRDefault="00CA4204" w:rsidP="003E38D0">
            <w:pPr>
              <w:pStyle w:val="CTETabla-nota"/>
              <w:ind w:left="0" w:hanging="4"/>
            </w:pPr>
            <w:r>
              <w:t>L: jour ouvrable, S: samedi, F: dimanche et férié.</w:t>
            </w:r>
          </w:p>
        </w:tc>
      </w:tr>
    </w:tbl>
    <w:p w14:paraId="2A3DC260" w14:textId="77777777" w:rsidR="00804EB4" w:rsidRPr="00937C8B" w:rsidRDefault="00804EB4" w:rsidP="00804EB4">
      <w:pPr>
        <w:pStyle w:val="CTEtabla-Titulo"/>
        <w:jc w:val="left"/>
        <w:rPr>
          <w:sz w:val="4"/>
          <w:szCs w:val="20"/>
        </w:rPr>
      </w:pPr>
    </w:p>
    <w:p w14:paraId="1E56AFC0" w14:textId="77777777" w:rsidR="00CA4204" w:rsidRPr="00937C8B" w:rsidRDefault="00CA4204" w:rsidP="00D27646">
      <w:pPr>
        <w:pStyle w:val="CTEtabla-Titulo"/>
      </w:pPr>
      <w:r>
        <w:t xml:space="preserve">Tableau c-Annexe D. </w:t>
      </w:r>
      <w:r>
        <w:rPr>
          <w:i/>
          <w:szCs w:val="20"/>
        </w:rPr>
        <w:t xml:space="preserve">Profil d’utilisation </w:t>
      </w:r>
      <w:r>
        <w:t>de l’ECS des espaces à usage résidentiel privé</w:t>
      </w:r>
    </w:p>
    <w:tbl>
      <w:tblPr>
        <w:tblW w:w="8248" w:type="dxa"/>
        <w:jc w:val="center"/>
        <w:tblCellMar>
          <w:top w:w="55" w:type="dxa"/>
          <w:left w:w="50" w:type="dxa"/>
          <w:bottom w:w="55" w:type="dxa"/>
          <w:right w:w="55" w:type="dxa"/>
        </w:tblCellMar>
        <w:tblLook w:val="04A0" w:firstRow="1" w:lastRow="0" w:firstColumn="1" w:lastColumn="0" w:noHBand="0" w:noVBand="1"/>
      </w:tblPr>
      <w:tblGrid>
        <w:gridCol w:w="892"/>
        <w:gridCol w:w="992"/>
        <w:gridCol w:w="1092"/>
        <w:gridCol w:w="1002"/>
        <w:gridCol w:w="1001"/>
        <w:gridCol w:w="1092"/>
        <w:gridCol w:w="1091"/>
        <w:gridCol w:w="1086"/>
      </w:tblGrid>
      <w:tr w:rsidR="00CA4204" w:rsidRPr="00937C8B" w14:paraId="775E9BFD" w14:textId="77777777" w:rsidTr="00935676">
        <w:trPr>
          <w:jc w:val="center"/>
        </w:trPr>
        <w:tc>
          <w:tcPr>
            <w:tcW w:w="891" w:type="dxa"/>
            <w:tcBorders>
              <w:bottom w:val="single" w:sz="4" w:space="0" w:color="000000"/>
            </w:tcBorders>
            <w:shd w:val="clear" w:color="auto" w:fill="auto"/>
            <w:vAlign w:val="center"/>
          </w:tcPr>
          <w:p w14:paraId="7EA1082D" w14:textId="77777777" w:rsidR="00CA4204" w:rsidRPr="00937C8B" w:rsidRDefault="00CA4204" w:rsidP="00D27646">
            <w:pPr>
              <w:pStyle w:val="CTEtabla-texto"/>
              <w:keepNext/>
              <w:rPr>
                <w:rFonts w:cs="Arial"/>
                <w:b/>
                <w:bCs/>
              </w:rPr>
            </w:pPr>
            <w:r>
              <w:rPr>
                <w:b/>
                <w:bCs/>
              </w:rPr>
              <w:t>Heure</w:t>
            </w:r>
          </w:p>
        </w:tc>
        <w:tc>
          <w:tcPr>
            <w:tcW w:w="992" w:type="dxa"/>
            <w:tcBorders>
              <w:bottom w:val="single" w:sz="4" w:space="0" w:color="000000"/>
            </w:tcBorders>
            <w:shd w:val="clear" w:color="auto" w:fill="auto"/>
            <w:vAlign w:val="center"/>
          </w:tcPr>
          <w:p w14:paraId="02C3A5BB" w14:textId="77777777" w:rsidR="00CA4204" w:rsidRPr="00937C8B" w:rsidRDefault="00CA4204" w:rsidP="00D27646">
            <w:pPr>
              <w:pStyle w:val="CTEtabla-texto"/>
              <w:keepNext/>
              <w:rPr>
                <w:rFonts w:cs="Arial"/>
                <w:b/>
                <w:bCs/>
              </w:rPr>
            </w:pPr>
            <w:r>
              <w:rPr>
                <w:b/>
                <w:bCs/>
              </w:rPr>
              <w:t>%</w:t>
            </w:r>
          </w:p>
        </w:tc>
        <w:tc>
          <w:tcPr>
            <w:tcW w:w="1092" w:type="dxa"/>
            <w:tcBorders>
              <w:bottom w:val="single" w:sz="4" w:space="0" w:color="000000"/>
            </w:tcBorders>
            <w:shd w:val="clear" w:color="auto" w:fill="auto"/>
            <w:vAlign w:val="center"/>
          </w:tcPr>
          <w:p w14:paraId="26B9A252" w14:textId="77777777" w:rsidR="00CA4204" w:rsidRPr="00937C8B" w:rsidRDefault="00CA4204" w:rsidP="00D27646">
            <w:pPr>
              <w:pStyle w:val="CTEtabla-texto"/>
              <w:keepNext/>
              <w:rPr>
                <w:rFonts w:cs="Arial"/>
                <w:b/>
                <w:bCs/>
              </w:rPr>
            </w:pPr>
            <w:r>
              <w:rPr>
                <w:b/>
                <w:bCs/>
              </w:rPr>
              <w:t>Heure</w:t>
            </w:r>
          </w:p>
        </w:tc>
        <w:tc>
          <w:tcPr>
            <w:tcW w:w="1002" w:type="dxa"/>
            <w:tcBorders>
              <w:bottom w:val="single" w:sz="4" w:space="0" w:color="000000"/>
            </w:tcBorders>
            <w:shd w:val="clear" w:color="auto" w:fill="auto"/>
            <w:tcMar>
              <w:top w:w="0" w:type="dxa"/>
              <w:left w:w="-5" w:type="dxa"/>
              <w:bottom w:w="0" w:type="dxa"/>
              <w:right w:w="10" w:type="dxa"/>
            </w:tcMar>
            <w:vAlign w:val="center"/>
          </w:tcPr>
          <w:p w14:paraId="3A94DDC9" w14:textId="77777777" w:rsidR="00CA4204" w:rsidRPr="00937C8B" w:rsidRDefault="00CA4204" w:rsidP="00D27646">
            <w:pPr>
              <w:pStyle w:val="CTEtabla-texto"/>
              <w:keepNext/>
              <w:rPr>
                <w:rFonts w:cs="Arial"/>
                <w:b/>
                <w:bCs/>
              </w:rPr>
            </w:pPr>
            <w:r>
              <w:rPr>
                <w:b/>
                <w:bCs/>
              </w:rPr>
              <w:t>%</w:t>
            </w:r>
          </w:p>
        </w:tc>
        <w:tc>
          <w:tcPr>
            <w:tcW w:w="1001" w:type="dxa"/>
            <w:tcBorders>
              <w:bottom w:val="single" w:sz="4" w:space="0" w:color="000000"/>
            </w:tcBorders>
            <w:shd w:val="clear" w:color="auto" w:fill="auto"/>
            <w:tcMar>
              <w:top w:w="0" w:type="dxa"/>
              <w:left w:w="-5" w:type="dxa"/>
              <w:bottom w:w="0" w:type="dxa"/>
              <w:right w:w="10" w:type="dxa"/>
            </w:tcMar>
            <w:vAlign w:val="center"/>
          </w:tcPr>
          <w:p w14:paraId="7C0D4920" w14:textId="77777777" w:rsidR="00CA4204" w:rsidRPr="00937C8B" w:rsidRDefault="00CA4204" w:rsidP="00D27646">
            <w:pPr>
              <w:pStyle w:val="CTEtabla-texto"/>
              <w:keepNext/>
              <w:rPr>
                <w:rFonts w:cs="Arial"/>
                <w:b/>
                <w:bCs/>
              </w:rPr>
            </w:pPr>
            <w:r>
              <w:rPr>
                <w:b/>
                <w:bCs/>
              </w:rPr>
              <w:t>Heure</w:t>
            </w:r>
          </w:p>
        </w:tc>
        <w:tc>
          <w:tcPr>
            <w:tcW w:w="1092" w:type="dxa"/>
            <w:tcBorders>
              <w:bottom w:val="single" w:sz="4" w:space="0" w:color="000000"/>
            </w:tcBorders>
            <w:shd w:val="clear" w:color="auto" w:fill="auto"/>
            <w:vAlign w:val="center"/>
          </w:tcPr>
          <w:p w14:paraId="24BB3A0D" w14:textId="77777777" w:rsidR="00CA4204" w:rsidRPr="00937C8B" w:rsidRDefault="00CA4204" w:rsidP="00D27646">
            <w:pPr>
              <w:pStyle w:val="CTEtabla-texto"/>
              <w:keepNext/>
              <w:rPr>
                <w:rFonts w:cs="Arial"/>
                <w:b/>
                <w:bCs/>
              </w:rPr>
            </w:pPr>
            <w:r>
              <w:rPr>
                <w:b/>
                <w:bCs/>
              </w:rPr>
              <w:t>%</w:t>
            </w:r>
          </w:p>
        </w:tc>
        <w:tc>
          <w:tcPr>
            <w:tcW w:w="1091" w:type="dxa"/>
            <w:tcBorders>
              <w:bottom w:val="single" w:sz="4" w:space="0" w:color="000000"/>
            </w:tcBorders>
            <w:shd w:val="clear" w:color="auto" w:fill="auto"/>
            <w:tcMar>
              <w:top w:w="0" w:type="dxa"/>
              <w:left w:w="-5" w:type="dxa"/>
              <w:bottom w:w="0" w:type="dxa"/>
              <w:right w:w="10" w:type="dxa"/>
            </w:tcMar>
            <w:vAlign w:val="center"/>
          </w:tcPr>
          <w:p w14:paraId="3DAECE14" w14:textId="77777777" w:rsidR="00CA4204" w:rsidRPr="00937C8B" w:rsidRDefault="00CA4204" w:rsidP="00D27646">
            <w:pPr>
              <w:pStyle w:val="CTEtabla-texto"/>
              <w:keepNext/>
              <w:rPr>
                <w:rFonts w:cs="Arial"/>
                <w:b/>
                <w:bCs/>
              </w:rPr>
            </w:pPr>
            <w:r>
              <w:rPr>
                <w:b/>
                <w:bCs/>
              </w:rPr>
              <w:t>Heure</w:t>
            </w:r>
          </w:p>
        </w:tc>
        <w:tc>
          <w:tcPr>
            <w:tcW w:w="1086" w:type="dxa"/>
            <w:tcBorders>
              <w:bottom w:val="single" w:sz="4" w:space="0" w:color="000000"/>
            </w:tcBorders>
            <w:shd w:val="clear" w:color="auto" w:fill="auto"/>
            <w:tcMar>
              <w:top w:w="0" w:type="dxa"/>
              <w:left w:w="-5" w:type="dxa"/>
              <w:bottom w:w="0" w:type="dxa"/>
              <w:right w:w="10" w:type="dxa"/>
            </w:tcMar>
            <w:vAlign w:val="center"/>
          </w:tcPr>
          <w:p w14:paraId="7624A86F" w14:textId="77777777" w:rsidR="00CA4204" w:rsidRPr="00937C8B" w:rsidRDefault="00CA4204" w:rsidP="00D27646">
            <w:pPr>
              <w:pStyle w:val="CTEtabla-texto"/>
              <w:keepNext/>
              <w:rPr>
                <w:rFonts w:cs="Arial"/>
                <w:b/>
                <w:bCs/>
              </w:rPr>
            </w:pPr>
            <w:r>
              <w:rPr>
                <w:b/>
                <w:bCs/>
              </w:rPr>
              <w:t>%</w:t>
            </w:r>
          </w:p>
        </w:tc>
      </w:tr>
      <w:tr w:rsidR="00CA4204" w:rsidRPr="00937C8B" w14:paraId="32241653" w14:textId="77777777" w:rsidTr="00935676">
        <w:trPr>
          <w:jc w:val="center"/>
        </w:trPr>
        <w:tc>
          <w:tcPr>
            <w:tcW w:w="891" w:type="dxa"/>
            <w:tcBorders>
              <w:top w:val="single" w:sz="4" w:space="0" w:color="000000"/>
            </w:tcBorders>
            <w:shd w:val="clear" w:color="auto" w:fill="auto"/>
            <w:tcMar>
              <w:top w:w="28" w:type="dxa"/>
              <w:left w:w="13" w:type="dxa"/>
              <w:bottom w:w="28" w:type="dxa"/>
              <w:right w:w="28" w:type="dxa"/>
            </w:tcMar>
            <w:vAlign w:val="center"/>
          </w:tcPr>
          <w:p w14:paraId="039327E2" w14:textId="77777777" w:rsidR="00CA4204" w:rsidRPr="00937C8B" w:rsidRDefault="00CA4204" w:rsidP="003E38D0">
            <w:pPr>
              <w:pStyle w:val="CTEtabla-texto"/>
              <w:rPr>
                <w:rFonts w:cs="Arial"/>
              </w:rPr>
            </w:pPr>
            <w:r>
              <w:t>0h</w:t>
            </w:r>
          </w:p>
        </w:tc>
        <w:tc>
          <w:tcPr>
            <w:tcW w:w="992" w:type="dxa"/>
            <w:tcBorders>
              <w:top w:val="single" w:sz="4" w:space="0" w:color="000000"/>
            </w:tcBorders>
            <w:shd w:val="clear" w:color="auto" w:fill="auto"/>
            <w:tcMar>
              <w:top w:w="28" w:type="dxa"/>
              <w:left w:w="13" w:type="dxa"/>
              <w:bottom w:w="28" w:type="dxa"/>
              <w:right w:w="28" w:type="dxa"/>
            </w:tcMar>
            <w:vAlign w:val="center"/>
          </w:tcPr>
          <w:p w14:paraId="3F6DBD07" w14:textId="77777777" w:rsidR="00CA4204" w:rsidRPr="00937C8B" w:rsidRDefault="00CA4204" w:rsidP="003E38D0">
            <w:pPr>
              <w:pStyle w:val="CTEtabla-texto"/>
              <w:rPr>
                <w:rFonts w:cs="Arial"/>
              </w:rPr>
            </w:pPr>
            <w:r>
              <w:t>1</w:t>
            </w:r>
          </w:p>
        </w:tc>
        <w:tc>
          <w:tcPr>
            <w:tcW w:w="1092" w:type="dxa"/>
            <w:tcBorders>
              <w:top w:val="single" w:sz="4" w:space="0" w:color="000000"/>
            </w:tcBorders>
            <w:shd w:val="clear" w:color="auto" w:fill="auto"/>
            <w:tcMar>
              <w:top w:w="28" w:type="dxa"/>
              <w:left w:w="13" w:type="dxa"/>
              <w:bottom w:w="28" w:type="dxa"/>
              <w:right w:w="28" w:type="dxa"/>
            </w:tcMar>
            <w:vAlign w:val="center"/>
          </w:tcPr>
          <w:p w14:paraId="6FF98AA9" w14:textId="77777777" w:rsidR="00CA4204" w:rsidRPr="00937C8B" w:rsidRDefault="00CA4204" w:rsidP="003E38D0">
            <w:pPr>
              <w:pStyle w:val="CTEtabla-texto"/>
              <w:rPr>
                <w:rFonts w:cs="Arial"/>
              </w:rPr>
            </w:pPr>
            <w:r>
              <w:t>6h</w:t>
            </w:r>
          </w:p>
        </w:tc>
        <w:tc>
          <w:tcPr>
            <w:tcW w:w="1002" w:type="dxa"/>
            <w:tcBorders>
              <w:top w:val="single" w:sz="4" w:space="0" w:color="000000"/>
            </w:tcBorders>
            <w:shd w:val="clear" w:color="auto" w:fill="auto"/>
            <w:tcMar>
              <w:top w:w="0" w:type="dxa"/>
              <w:left w:w="-5" w:type="dxa"/>
              <w:bottom w:w="0" w:type="dxa"/>
              <w:right w:w="10" w:type="dxa"/>
            </w:tcMar>
            <w:vAlign w:val="center"/>
          </w:tcPr>
          <w:p w14:paraId="53495C6C" w14:textId="77777777" w:rsidR="00CA4204" w:rsidRPr="00937C8B" w:rsidRDefault="00CA4204" w:rsidP="003E38D0">
            <w:pPr>
              <w:pStyle w:val="CTEtabla-texto"/>
              <w:rPr>
                <w:rFonts w:cs="Arial"/>
              </w:rPr>
            </w:pPr>
            <w:r>
              <w:t>3</w:t>
            </w:r>
          </w:p>
        </w:tc>
        <w:tc>
          <w:tcPr>
            <w:tcW w:w="1001" w:type="dxa"/>
            <w:tcBorders>
              <w:top w:val="single" w:sz="4" w:space="0" w:color="000000"/>
            </w:tcBorders>
            <w:shd w:val="clear" w:color="auto" w:fill="auto"/>
            <w:tcMar>
              <w:top w:w="0" w:type="dxa"/>
              <w:left w:w="-5" w:type="dxa"/>
              <w:bottom w:w="0" w:type="dxa"/>
              <w:right w:w="10" w:type="dxa"/>
            </w:tcMar>
            <w:vAlign w:val="center"/>
          </w:tcPr>
          <w:p w14:paraId="406B6BC8" w14:textId="77777777" w:rsidR="00CA4204" w:rsidRPr="00937C8B" w:rsidRDefault="00CA4204" w:rsidP="003E38D0">
            <w:pPr>
              <w:pStyle w:val="CTEtabla-texto"/>
              <w:rPr>
                <w:rFonts w:cs="Arial"/>
              </w:rPr>
            </w:pPr>
            <w:r>
              <w:t>12h</w:t>
            </w:r>
          </w:p>
        </w:tc>
        <w:tc>
          <w:tcPr>
            <w:tcW w:w="1092" w:type="dxa"/>
            <w:tcBorders>
              <w:top w:val="single" w:sz="4" w:space="0" w:color="000000"/>
            </w:tcBorders>
            <w:shd w:val="clear" w:color="auto" w:fill="auto"/>
            <w:tcMar>
              <w:top w:w="28" w:type="dxa"/>
              <w:left w:w="13" w:type="dxa"/>
              <w:bottom w:w="28" w:type="dxa"/>
              <w:right w:w="28" w:type="dxa"/>
            </w:tcMar>
            <w:vAlign w:val="center"/>
          </w:tcPr>
          <w:p w14:paraId="7412BB9C" w14:textId="77777777" w:rsidR="00CA4204" w:rsidRPr="00937C8B" w:rsidRDefault="00CA4204" w:rsidP="003E38D0">
            <w:pPr>
              <w:pStyle w:val="CTEtabla-texto"/>
              <w:rPr>
                <w:rFonts w:cs="Arial"/>
              </w:rPr>
            </w:pPr>
            <w:r>
              <w:t>5</w:t>
            </w:r>
          </w:p>
        </w:tc>
        <w:tc>
          <w:tcPr>
            <w:tcW w:w="1091" w:type="dxa"/>
            <w:tcBorders>
              <w:top w:val="single" w:sz="4" w:space="0" w:color="000000"/>
            </w:tcBorders>
            <w:shd w:val="clear" w:color="auto" w:fill="auto"/>
            <w:tcMar>
              <w:top w:w="0" w:type="dxa"/>
              <w:left w:w="-5" w:type="dxa"/>
              <w:bottom w:w="0" w:type="dxa"/>
              <w:right w:w="10" w:type="dxa"/>
            </w:tcMar>
            <w:vAlign w:val="center"/>
          </w:tcPr>
          <w:p w14:paraId="0DB4355A" w14:textId="77777777" w:rsidR="00CA4204" w:rsidRPr="00937C8B" w:rsidRDefault="00CA4204" w:rsidP="003E38D0">
            <w:pPr>
              <w:pStyle w:val="CTEtabla-texto"/>
              <w:rPr>
                <w:rFonts w:cs="Arial"/>
              </w:rPr>
            </w:pPr>
            <w:r>
              <w:t>18h</w:t>
            </w:r>
          </w:p>
        </w:tc>
        <w:tc>
          <w:tcPr>
            <w:tcW w:w="1086" w:type="dxa"/>
            <w:tcBorders>
              <w:top w:val="single" w:sz="4" w:space="0" w:color="000000"/>
            </w:tcBorders>
            <w:shd w:val="clear" w:color="auto" w:fill="auto"/>
            <w:tcMar>
              <w:top w:w="0" w:type="dxa"/>
              <w:left w:w="-5" w:type="dxa"/>
              <w:bottom w:w="0" w:type="dxa"/>
              <w:right w:w="10" w:type="dxa"/>
            </w:tcMar>
            <w:vAlign w:val="center"/>
          </w:tcPr>
          <w:p w14:paraId="556F83E7" w14:textId="77777777" w:rsidR="00CA4204" w:rsidRPr="00937C8B" w:rsidRDefault="00CA4204" w:rsidP="003E38D0">
            <w:pPr>
              <w:pStyle w:val="CTEtabla-texto"/>
              <w:rPr>
                <w:rFonts w:cs="Arial"/>
              </w:rPr>
            </w:pPr>
            <w:r>
              <w:t>5</w:t>
            </w:r>
          </w:p>
        </w:tc>
      </w:tr>
      <w:tr w:rsidR="00CA4204" w:rsidRPr="00937C8B" w14:paraId="1E0A656C" w14:textId="77777777" w:rsidTr="00935676">
        <w:trPr>
          <w:jc w:val="center"/>
        </w:trPr>
        <w:tc>
          <w:tcPr>
            <w:tcW w:w="891" w:type="dxa"/>
            <w:shd w:val="clear" w:color="auto" w:fill="auto"/>
            <w:tcMar>
              <w:top w:w="28" w:type="dxa"/>
              <w:left w:w="13" w:type="dxa"/>
              <w:bottom w:w="28" w:type="dxa"/>
              <w:right w:w="28" w:type="dxa"/>
            </w:tcMar>
            <w:vAlign w:val="center"/>
          </w:tcPr>
          <w:p w14:paraId="2D794D17" w14:textId="77777777" w:rsidR="00CA4204" w:rsidRPr="00937C8B" w:rsidRDefault="00CA4204" w:rsidP="003E38D0">
            <w:pPr>
              <w:pStyle w:val="CTEtabla-texto"/>
              <w:rPr>
                <w:rFonts w:cs="Arial"/>
              </w:rPr>
            </w:pPr>
            <w:r>
              <w:t>1h</w:t>
            </w:r>
          </w:p>
        </w:tc>
        <w:tc>
          <w:tcPr>
            <w:tcW w:w="992" w:type="dxa"/>
            <w:shd w:val="clear" w:color="auto" w:fill="auto"/>
            <w:tcMar>
              <w:top w:w="28" w:type="dxa"/>
              <w:left w:w="13" w:type="dxa"/>
              <w:bottom w:w="28" w:type="dxa"/>
              <w:right w:w="28" w:type="dxa"/>
            </w:tcMar>
            <w:vAlign w:val="center"/>
          </w:tcPr>
          <w:p w14:paraId="218F2427" w14:textId="77777777" w:rsidR="00CA4204" w:rsidRPr="00937C8B" w:rsidRDefault="00CA4204" w:rsidP="003E38D0">
            <w:pPr>
              <w:pStyle w:val="CTEtabla-texto"/>
              <w:rPr>
                <w:rFonts w:cs="Arial"/>
              </w:rPr>
            </w:pPr>
            <w:r>
              <w:t>0</w:t>
            </w:r>
          </w:p>
        </w:tc>
        <w:tc>
          <w:tcPr>
            <w:tcW w:w="1092" w:type="dxa"/>
            <w:shd w:val="clear" w:color="auto" w:fill="auto"/>
            <w:tcMar>
              <w:top w:w="28" w:type="dxa"/>
              <w:left w:w="13" w:type="dxa"/>
              <w:bottom w:w="28" w:type="dxa"/>
              <w:right w:w="28" w:type="dxa"/>
            </w:tcMar>
            <w:vAlign w:val="center"/>
          </w:tcPr>
          <w:p w14:paraId="0B6AB9DF" w14:textId="77777777" w:rsidR="00CA4204" w:rsidRPr="00937C8B" w:rsidRDefault="00CA4204" w:rsidP="003E38D0">
            <w:pPr>
              <w:pStyle w:val="CTEtabla-texto"/>
              <w:rPr>
                <w:rFonts w:cs="Arial"/>
              </w:rPr>
            </w:pPr>
            <w:r>
              <w:t>7h</w:t>
            </w:r>
          </w:p>
        </w:tc>
        <w:tc>
          <w:tcPr>
            <w:tcW w:w="1002" w:type="dxa"/>
            <w:shd w:val="clear" w:color="auto" w:fill="auto"/>
            <w:tcMar>
              <w:top w:w="0" w:type="dxa"/>
              <w:left w:w="-5" w:type="dxa"/>
              <w:bottom w:w="0" w:type="dxa"/>
              <w:right w:w="10" w:type="dxa"/>
            </w:tcMar>
            <w:vAlign w:val="center"/>
          </w:tcPr>
          <w:p w14:paraId="1869615A" w14:textId="77777777" w:rsidR="00CA4204" w:rsidRPr="00937C8B" w:rsidRDefault="00CA4204" w:rsidP="003E38D0">
            <w:pPr>
              <w:pStyle w:val="CTEtabla-texto"/>
              <w:rPr>
                <w:rFonts w:cs="Arial"/>
              </w:rPr>
            </w:pPr>
            <w:r>
              <w:t>10</w:t>
            </w:r>
          </w:p>
        </w:tc>
        <w:tc>
          <w:tcPr>
            <w:tcW w:w="1001" w:type="dxa"/>
            <w:shd w:val="clear" w:color="auto" w:fill="auto"/>
            <w:tcMar>
              <w:top w:w="0" w:type="dxa"/>
              <w:left w:w="-5" w:type="dxa"/>
              <w:bottom w:w="0" w:type="dxa"/>
              <w:right w:w="10" w:type="dxa"/>
            </w:tcMar>
            <w:vAlign w:val="center"/>
          </w:tcPr>
          <w:p w14:paraId="1DC87C29" w14:textId="77777777" w:rsidR="00CA4204" w:rsidRPr="00937C8B" w:rsidRDefault="00CA4204" w:rsidP="003E38D0">
            <w:pPr>
              <w:pStyle w:val="CTEtabla-texto"/>
              <w:rPr>
                <w:rFonts w:cs="Arial"/>
              </w:rPr>
            </w:pPr>
            <w:r>
              <w:t>13h</w:t>
            </w:r>
          </w:p>
        </w:tc>
        <w:tc>
          <w:tcPr>
            <w:tcW w:w="1092" w:type="dxa"/>
            <w:shd w:val="clear" w:color="auto" w:fill="auto"/>
            <w:tcMar>
              <w:top w:w="28" w:type="dxa"/>
              <w:left w:w="13" w:type="dxa"/>
              <w:bottom w:w="28" w:type="dxa"/>
              <w:right w:w="28" w:type="dxa"/>
            </w:tcMar>
            <w:vAlign w:val="center"/>
          </w:tcPr>
          <w:p w14:paraId="2F4FE8CB" w14:textId="77777777" w:rsidR="00CA4204" w:rsidRPr="00937C8B" w:rsidRDefault="00CA4204" w:rsidP="003E38D0">
            <w:pPr>
              <w:pStyle w:val="CTEtabla-texto"/>
              <w:rPr>
                <w:rFonts w:cs="Arial"/>
              </w:rPr>
            </w:pPr>
            <w:r>
              <w:t>5</w:t>
            </w:r>
          </w:p>
        </w:tc>
        <w:tc>
          <w:tcPr>
            <w:tcW w:w="1091" w:type="dxa"/>
            <w:shd w:val="clear" w:color="auto" w:fill="auto"/>
            <w:tcMar>
              <w:top w:w="0" w:type="dxa"/>
              <w:left w:w="-5" w:type="dxa"/>
              <w:bottom w:w="0" w:type="dxa"/>
              <w:right w:w="10" w:type="dxa"/>
            </w:tcMar>
            <w:vAlign w:val="center"/>
          </w:tcPr>
          <w:p w14:paraId="27A27A8E" w14:textId="77777777" w:rsidR="00CA4204" w:rsidRPr="00937C8B" w:rsidRDefault="00CA4204" w:rsidP="003E38D0">
            <w:pPr>
              <w:pStyle w:val="CTEtabla-texto"/>
              <w:rPr>
                <w:rFonts w:cs="Arial"/>
              </w:rPr>
            </w:pPr>
            <w:r>
              <w:t>19h</w:t>
            </w:r>
          </w:p>
        </w:tc>
        <w:tc>
          <w:tcPr>
            <w:tcW w:w="1086" w:type="dxa"/>
            <w:shd w:val="clear" w:color="auto" w:fill="auto"/>
            <w:tcMar>
              <w:top w:w="0" w:type="dxa"/>
              <w:left w:w="-5" w:type="dxa"/>
              <w:bottom w:w="0" w:type="dxa"/>
              <w:right w:w="10" w:type="dxa"/>
            </w:tcMar>
            <w:vAlign w:val="center"/>
          </w:tcPr>
          <w:p w14:paraId="1F446604" w14:textId="77777777" w:rsidR="00CA4204" w:rsidRPr="00937C8B" w:rsidRDefault="00CA4204" w:rsidP="003E38D0">
            <w:pPr>
              <w:pStyle w:val="CTEtabla-texto"/>
              <w:rPr>
                <w:rFonts w:cs="Arial"/>
              </w:rPr>
            </w:pPr>
            <w:r>
              <w:t>7</w:t>
            </w:r>
          </w:p>
        </w:tc>
      </w:tr>
      <w:tr w:rsidR="00CA4204" w:rsidRPr="00937C8B" w14:paraId="3AB8B4D0" w14:textId="77777777" w:rsidTr="00935676">
        <w:trPr>
          <w:jc w:val="center"/>
        </w:trPr>
        <w:tc>
          <w:tcPr>
            <w:tcW w:w="891" w:type="dxa"/>
            <w:shd w:val="clear" w:color="auto" w:fill="auto"/>
            <w:tcMar>
              <w:top w:w="28" w:type="dxa"/>
              <w:left w:w="13" w:type="dxa"/>
              <w:bottom w:w="28" w:type="dxa"/>
              <w:right w:w="28" w:type="dxa"/>
            </w:tcMar>
            <w:vAlign w:val="center"/>
          </w:tcPr>
          <w:p w14:paraId="0FE19C08" w14:textId="77777777" w:rsidR="00CA4204" w:rsidRPr="00937C8B" w:rsidRDefault="00CA4204" w:rsidP="003E38D0">
            <w:pPr>
              <w:pStyle w:val="CTEtabla-texto"/>
              <w:rPr>
                <w:rFonts w:cs="Arial"/>
              </w:rPr>
            </w:pPr>
            <w:r>
              <w:lastRenderedPageBreak/>
              <w:t>2h</w:t>
            </w:r>
          </w:p>
        </w:tc>
        <w:tc>
          <w:tcPr>
            <w:tcW w:w="992" w:type="dxa"/>
            <w:shd w:val="clear" w:color="auto" w:fill="auto"/>
            <w:tcMar>
              <w:top w:w="28" w:type="dxa"/>
              <w:left w:w="13" w:type="dxa"/>
              <w:bottom w:w="28" w:type="dxa"/>
              <w:right w:w="28" w:type="dxa"/>
            </w:tcMar>
            <w:vAlign w:val="center"/>
          </w:tcPr>
          <w:p w14:paraId="5D2B906F" w14:textId="77777777" w:rsidR="00CA4204" w:rsidRPr="00937C8B" w:rsidRDefault="00CA4204" w:rsidP="003E38D0">
            <w:pPr>
              <w:pStyle w:val="CTEtabla-texto"/>
              <w:rPr>
                <w:rFonts w:cs="Arial"/>
              </w:rPr>
            </w:pPr>
            <w:r>
              <w:t>0</w:t>
            </w:r>
          </w:p>
        </w:tc>
        <w:tc>
          <w:tcPr>
            <w:tcW w:w="1092" w:type="dxa"/>
            <w:shd w:val="clear" w:color="auto" w:fill="auto"/>
            <w:tcMar>
              <w:top w:w="28" w:type="dxa"/>
              <w:left w:w="13" w:type="dxa"/>
              <w:bottom w:w="28" w:type="dxa"/>
              <w:right w:w="28" w:type="dxa"/>
            </w:tcMar>
            <w:vAlign w:val="center"/>
          </w:tcPr>
          <w:p w14:paraId="6B50CEA2" w14:textId="77777777" w:rsidR="00CA4204" w:rsidRPr="00937C8B" w:rsidRDefault="00CA4204" w:rsidP="003E38D0">
            <w:pPr>
              <w:pStyle w:val="CTEtabla-texto"/>
              <w:rPr>
                <w:rFonts w:cs="Arial"/>
              </w:rPr>
            </w:pPr>
            <w:r>
              <w:t>8h</w:t>
            </w:r>
          </w:p>
        </w:tc>
        <w:tc>
          <w:tcPr>
            <w:tcW w:w="1002" w:type="dxa"/>
            <w:shd w:val="clear" w:color="auto" w:fill="auto"/>
            <w:tcMar>
              <w:top w:w="0" w:type="dxa"/>
              <w:left w:w="-5" w:type="dxa"/>
              <w:bottom w:w="0" w:type="dxa"/>
              <w:right w:w="10" w:type="dxa"/>
            </w:tcMar>
            <w:vAlign w:val="center"/>
          </w:tcPr>
          <w:p w14:paraId="161414AA" w14:textId="77777777" w:rsidR="00CA4204" w:rsidRPr="00937C8B" w:rsidRDefault="00CA4204" w:rsidP="003E38D0">
            <w:pPr>
              <w:pStyle w:val="CTEtabla-texto"/>
              <w:rPr>
                <w:rFonts w:cs="Arial"/>
              </w:rPr>
            </w:pPr>
            <w:r>
              <w:t>7</w:t>
            </w:r>
          </w:p>
        </w:tc>
        <w:tc>
          <w:tcPr>
            <w:tcW w:w="1001" w:type="dxa"/>
            <w:shd w:val="clear" w:color="auto" w:fill="auto"/>
            <w:tcMar>
              <w:top w:w="0" w:type="dxa"/>
              <w:left w:w="-5" w:type="dxa"/>
              <w:bottom w:w="0" w:type="dxa"/>
              <w:right w:w="10" w:type="dxa"/>
            </w:tcMar>
            <w:vAlign w:val="center"/>
          </w:tcPr>
          <w:p w14:paraId="1B698252" w14:textId="77777777" w:rsidR="00CA4204" w:rsidRPr="00937C8B" w:rsidRDefault="00CA4204" w:rsidP="003E38D0">
            <w:pPr>
              <w:pStyle w:val="CTEtabla-texto"/>
              <w:rPr>
                <w:rFonts w:cs="Arial"/>
              </w:rPr>
            </w:pPr>
            <w:r>
              <w:t>14h</w:t>
            </w:r>
          </w:p>
        </w:tc>
        <w:tc>
          <w:tcPr>
            <w:tcW w:w="1092" w:type="dxa"/>
            <w:shd w:val="clear" w:color="auto" w:fill="auto"/>
            <w:tcMar>
              <w:top w:w="28" w:type="dxa"/>
              <w:left w:w="13" w:type="dxa"/>
              <w:bottom w:w="28" w:type="dxa"/>
              <w:right w:w="28" w:type="dxa"/>
            </w:tcMar>
            <w:vAlign w:val="center"/>
          </w:tcPr>
          <w:p w14:paraId="39B93EFC" w14:textId="77777777" w:rsidR="00CA4204" w:rsidRPr="00937C8B" w:rsidRDefault="00CA4204" w:rsidP="003E38D0">
            <w:pPr>
              <w:pStyle w:val="CTEtabla-texto"/>
              <w:rPr>
                <w:rFonts w:cs="Arial"/>
              </w:rPr>
            </w:pPr>
            <w:r>
              <w:t>4</w:t>
            </w:r>
          </w:p>
        </w:tc>
        <w:tc>
          <w:tcPr>
            <w:tcW w:w="1091" w:type="dxa"/>
            <w:shd w:val="clear" w:color="auto" w:fill="auto"/>
            <w:tcMar>
              <w:top w:w="0" w:type="dxa"/>
              <w:left w:w="-5" w:type="dxa"/>
              <w:bottom w:w="0" w:type="dxa"/>
              <w:right w:w="10" w:type="dxa"/>
            </w:tcMar>
            <w:vAlign w:val="center"/>
          </w:tcPr>
          <w:p w14:paraId="12B2100F" w14:textId="77777777" w:rsidR="00CA4204" w:rsidRPr="00937C8B" w:rsidRDefault="00CA4204" w:rsidP="003E38D0">
            <w:pPr>
              <w:pStyle w:val="CTEtabla-texto"/>
              <w:rPr>
                <w:rFonts w:cs="Arial"/>
              </w:rPr>
            </w:pPr>
            <w:r>
              <w:t>20h</w:t>
            </w:r>
          </w:p>
        </w:tc>
        <w:tc>
          <w:tcPr>
            <w:tcW w:w="1086" w:type="dxa"/>
            <w:shd w:val="clear" w:color="auto" w:fill="auto"/>
            <w:tcMar>
              <w:top w:w="0" w:type="dxa"/>
              <w:left w:w="-5" w:type="dxa"/>
              <w:bottom w:w="0" w:type="dxa"/>
              <w:right w:w="10" w:type="dxa"/>
            </w:tcMar>
            <w:vAlign w:val="center"/>
          </w:tcPr>
          <w:p w14:paraId="541EC000" w14:textId="77777777" w:rsidR="00CA4204" w:rsidRPr="00937C8B" w:rsidRDefault="00CA4204" w:rsidP="003E38D0">
            <w:pPr>
              <w:pStyle w:val="CTEtabla-texto"/>
              <w:rPr>
                <w:rFonts w:cs="Arial"/>
              </w:rPr>
            </w:pPr>
            <w:r>
              <w:t>6</w:t>
            </w:r>
          </w:p>
        </w:tc>
      </w:tr>
      <w:tr w:rsidR="00CA4204" w:rsidRPr="00937C8B" w14:paraId="45C64636" w14:textId="77777777" w:rsidTr="00935676">
        <w:trPr>
          <w:jc w:val="center"/>
        </w:trPr>
        <w:tc>
          <w:tcPr>
            <w:tcW w:w="891" w:type="dxa"/>
            <w:shd w:val="clear" w:color="auto" w:fill="auto"/>
            <w:tcMar>
              <w:top w:w="28" w:type="dxa"/>
              <w:left w:w="13" w:type="dxa"/>
              <w:bottom w:w="28" w:type="dxa"/>
              <w:right w:w="28" w:type="dxa"/>
            </w:tcMar>
            <w:vAlign w:val="center"/>
          </w:tcPr>
          <w:p w14:paraId="5AFD7038" w14:textId="77777777" w:rsidR="00CA4204" w:rsidRPr="00937C8B" w:rsidRDefault="00CA4204" w:rsidP="003E38D0">
            <w:pPr>
              <w:pStyle w:val="CTEtabla-texto"/>
              <w:rPr>
                <w:rFonts w:cs="Arial"/>
              </w:rPr>
            </w:pPr>
            <w:r>
              <w:t>3h</w:t>
            </w:r>
          </w:p>
        </w:tc>
        <w:tc>
          <w:tcPr>
            <w:tcW w:w="992" w:type="dxa"/>
            <w:shd w:val="clear" w:color="auto" w:fill="auto"/>
            <w:tcMar>
              <w:top w:w="28" w:type="dxa"/>
              <w:left w:w="13" w:type="dxa"/>
              <w:bottom w:w="28" w:type="dxa"/>
              <w:right w:w="28" w:type="dxa"/>
            </w:tcMar>
            <w:vAlign w:val="center"/>
          </w:tcPr>
          <w:p w14:paraId="47C6FA52" w14:textId="77777777" w:rsidR="00CA4204" w:rsidRPr="00937C8B" w:rsidRDefault="00CA4204" w:rsidP="003E38D0">
            <w:pPr>
              <w:pStyle w:val="CTEtabla-texto"/>
              <w:rPr>
                <w:rFonts w:cs="Arial"/>
              </w:rPr>
            </w:pPr>
            <w:r>
              <w:t>0</w:t>
            </w:r>
          </w:p>
        </w:tc>
        <w:tc>
          <w:tcPr>
            <w:tcW w:w="1092" w:type="dxa"/>
            <w:shd w:val="clear" w:color="auto" w:fill="auto"/>
            <w:tcMar>
              <w:top w:w="28" w:type="dxa"/>
              <w:left w:w="13" w:type="dxa"/>
              <w:bottom w:w="28" w:type="dxa"/>
              <w:right w:w="28" w:type="dxa"/>
            </w:tcMar>
            <w:vAlign w:val="center"/>
          </w:tcPr>
          <w:p w14:paraId="377DFDCC" w14:textId="77777777" w:rsidR="00CA4204" w:rsidRPr="00937C8B" w:rsidRDefault="00CA4204" w:rsidP="003E38D0">
            <w:pPr>
              <w:pStyle w:val="CTEtabla-texto"/>
              <w:rPr>
                <w:rFonts w:cs="Arial"/>
              </w:rPr>
            </w:pPr>
            <w:r>
              <w:t>9h</w:t>
            </w:r>
          </w:p>
        </w:tc>
        <w:tc>
          <w:tcPr>
            <w:tcW w:w="1002" w:type="dxa"/>
            <w:shd w:val="clear" w:color="auto" w:fill="auto"/>
            <w:tcMar>
              <w:top w:w="0" w:type="dxa"/>
              <w:left w:w="-5" w:type="dxa"/>
              <w:bottom w:w="0" w:type="dxa"/>
              <w:right w:w="10" w:type="dxa"/>
            </w:tcMar>
            <w:vAlign w:val="center"/>
          </w:tcPr>
          <w:p w14:paraId="777E450F" w14:textId="77777777" w:rsidR="00CA4204" w:rsidRPr="00937C8B" w:rsidRDefault="00CA4204" w:rsidP="003E38D0">
            <w:pPr>
              <w:pStyle w:val="CTEtabla-texto"/>
              <w:rPr>
                <w:rFonts w:cs="Arial"/>
              </w:rPr>
            </w:pPr>
            <w:r>
              <w:t>7</w:t>
            </w:r>
          </w:p>
        </w:tc>
        <w:tc>
          <w:tcPr>
            <w:tcW w:w="1001" w:type="dxa"/>
            <w:shd w:val="clear" w:color="auto" w:fill="auto"/>
            <w:tcMar>
              <w:top w:w="0" w:type="dxa"/>
              <w:left w:w="-5" w:type="dxa"/>
              <w:bottom w:w="0" w:type="dxa"/>
              <w:right w:w="10" w:type="dxa"/>
            </w:tcMar>
            <w:vAlign w:val="center"/>
          </w:tcPr>
          <w:p w14:paraId="422C5B5E" w14:textId="77777777" w:rsidR="00CA4204" w:rsidRPr="00937C8B" w:rsidRDefault="00CA4204" w:rsidP="003E38D0">
            <w:pPr>
              <w:pStyle w:val="CTEtabla-texto"/>
              <w:rPr>
                <w:rFonts w:cs="Arial"/>
              </w:rPr>
            </w:pPr>
            <w:r>
              <w:t>15h</w:t>
            </w:r>
          </w:p>
        </w:tc>
        <w:tc>
          <w:tcPr>
            <w:tcW w:w="1092" w:type="dxa"/>
            <w:shd w:val="clear" w:color="auto" w:fill="auto"/>
            <w:tcMar>
              <w:top w:w="28" w:type="dxa"/>
              <w:left w:w="13" w:type="dxa"/>
              <w:bottom w:w="28" w:type="dxa"/>
              <w:right w:w="28" w:type="dxa"/>
            </w:tcMar>
            <w:vAlign w:val="center"/>
          </w:tcPr>
          <w:p w14:paraId="3AB9F5FF" w14:textId="77777777" w:rsidR="00CA4204" w:rsidRPr="00937C8B" w:rsidRDefault="00CA4204" w:rsidP="003E38D0">
            <w:pPr>
              <w:pStyle w:val="CTEtabla-texto"/>
              <w:rPr>
                <w:rFonts w:cs="Arial"/>
              </w:rPr>
            </w:pPr>
            <w:r>
              <w:t>3</w:t>
            </w:r>
          </w:p>
        </w:tc>
        <w:tc>
          <w:tcPr>
            <w:tcW w:w="1091" w:type="dxa"/>
            <w:shd w:val="clear" w:color="auto" w:fill="auto"/>
            <w:tcMar>
              <w:top w:w="0" w:type="dxa"/>
              <w:left w:w="-5" w:type="dxa"/>
              <w:bottom w:w="0" w:type="dxa"/>
              <w:right w:w="10" w:type="dxa"/>
            </w:tcMar>
            <w:vAlign w:val="center"/>
          </w:tcPr>
          <w:p w14:paraId="0B1F111B" w14:textId="77777777" w:rsidR="00CA4204" w:rsidRPr="00937C8B" w:rsidRDefault="00CA4204" w:rsidP="003E38D0">
            <w:pPr>
              <w:pStyle w:val="CTEtabla-texto"/>
              <w:rPr>
                <w:rFonts w:cs="Arial"/>
              </w:rPr>
            </w:pPr>
            <w:r>
              <w:t>21h</w:t>
            </w:r>
          </w:p>
        </w:tc>
        <w:tc>
          <w:tcPr>
            <w:tcW w:w="1086" w:type="dxa"/>
            <w:shd w:val="clear" w:color="auto" w:fill="auto"/>
            <w:tcMar>
              <w:top w:w="0" w:type="dxa"/>
              <w:left w:w="-5" w:type="dxa"/>
              <w:bottom w:w="0" w:type="dxa"/>
              <w:right w:w="10" w:type="dxa"/>
            </w:tcMar>
            <w:vAlign w:val="center"/>
          </w:tcPr>
          <w:p w14:paraId="41DFE7A4" w14:textId="77777777" w:rsidR="00CA4204" w:rsidRPr="00937C8B" w:rsidRDefault="00CA4204" w:rsidP="003E38D0">
            <w:pPr>
              <w:pStyle w:val="CTEtabla-texto"/>
              <w:rPr>
                <w:rFonts w:cs="Arial"/>
              </w:rPr>
            </w:pPr>
            <w:r>
              <w:t>6</w:t>
            </w:r>
          </w:p>
        </w:tc>
      </w:tr>
      <w:tr w:rsidR="00CA4204" w:rsidRPr="00937C8B" w14:paraId="39B6EB8B" w14:textId="77777777" w:rsidTr="00935676">
        <w:trPr>
          <w:jc w:val="center"/>
        </w:trPr>
        <w:tc>
          <w:tcPr>
            <w:tcW w:w="891" w:type="dxa"/>
            <w:shd w:val="clear" w:color="auto" w:fill="auto"/>
            <w:tcMar>
              <w:top w:w="28" w:type="dxa"/>
              <w:left w:w="13" w:type="dxa"/>
              <w:bottom w:w="28" w:type="dxa"/>
              <w:right w:w="28" w:type="dxa"/>
            </w:tcMar>
            <w:vAlign w:val="center"/>
          </w:tcPr>
          <w:p w14:paraId="628051F8" w14:textId="77777777" w:rsidR="00CA4204" w:rsidRPr="00937C8B" w:rsidRDefault="00CA4204" w:rsidP="003E38D0">
            <w:pPr>
              <w:pStyle w:val="CTEtabla-texto"/>
              <w:rPr>
                <w:rFonts w:cs="Arial"/>
              </w:rPr>
            </w:pPr>
            <w:r>
              <w:t>4h</w:t>
            </w:r>
          </w:p>
        </w:tc>
        <w:tc>
          <w:tcPr>
            <w:tcW w:w="992" w:type="dxa"/>
            <w:shd w:val="clear" w:color="auto" w:fill="auto"/>
            <w:tcMar>
              <w:top w:w="28" w:type="dxa"/>
              <w:left w:w="13" w:type="dxa"/>
              <w:bottom w:w="28" w:type="dxa"/>
              <w:right w:w="28" w:type="dxa"/>
            </w:tcMar>
            <w:vAlign w:val="center"/>
          </w:tcPr>
          <w:p w14:paraId="6FD57474" w14:textId="77777777" w:rsidR="00CA4204" w:rsidRPr="00937C8B" w:rsidRDefault="00CA4204" w:rsidP="003E38D0">
            <w:pPr>
              <w:pStyle w:val="CTEtabla-texto"/>
              <w:rPr>
                <w:rFonts w:cs="Arial"/>
              </w:rPr>
            </w:pPr>
            <w:r>
              <w:t>0</w:t>
            </w:r>
          </w:p>
        </w:tc>
        <w:tc>
          <w:tcPr>
            <w:tcW w:w="1092" w:type="dxa"/>
            <w:shd w:val="clear" w:color="auto" w:fill="auto"/>
            <w:tcMar>
              <w:top w:w="28" w:type="dxa"/>
              <w:left w:w="13" w:type="dxa"/>
              <w:bottom w:w="28" w:type="dxa"/>
              <w:right w:w="28" w:type="dxa"/>
            </w:tcMar>
            <w:vAlign w:val="center"/>
          </w:tcPr>
          <w:p w14:paraId="6AE16C6A" w14:textId="77777777" w:rsidR="00CA4204" w:rsidRPr="00937C8B" w:rsidRDefault="00CA4204" w:rsidP="003E38D0">
            <w:pPr>
              <w:pStyle w:val="CTEtabla-texto"/>
              <w:rPr>
                <w:rFonts w:cs="Arial"/>
              </w:rPr>
            </w:pPr>
            <w:r>
              <w:t>10h</w:t>
            </w:r>
          </w:p>
        </w:tc>
        <w:tc>
          <w:tcPr>
            <w:tcW w:w="1002" w:type="dxa"/>
            <w:shd w:val="clear" w:color="auto" w:fill="auto"/>
            <w:tcMar>
              <w:top w:w="0" w:type="dxa"/>
              <w:left w:w="-5" w:type="dxa"/>
              <w:bottom w:w="0" w:type="dxa"/>
              <w:right w:w="10" w:type="dxa"/>
            </w:tcMar>
            <w:vAlign w:val="center"/>
          </w:tcPr>
          <w:p w14:paraId="65091C76" w14:textId="77777777" w:rsidR="00CA4204" w:rsidRPr="00937C8B" w:rsidRDefault="00CA4204" w:rsidP="003E38D0">
            <w:pPr>
              <w:pStyle w:val="CTEtabla-texto"/>
              <w:rPr>
                <w:rFonts w:cs="Arial"/>
              </w:rPr>
            </w:pPr>
            <w:r>
              <w:t>6</w:t>
            </w:r>
          </w:p>
        </w:tc>
        <w:tc>
          <w:tcPr>
            <w:tcW w:w="1001" w:type="dxa"/>
            <w:shd w:val="clear" w:color="auto" w:fill="auto"/>
            <w:tcMar>
              <w:top w:w="0" w:type="dxa"/>
              <w:left w:w="-5" w:type="dxa"/>
              <w:bottom w:w="0" w:type="dxa"/>
              <w:right w:w="10" w:type="dxa"/>
            </w:tcMar>
            <w:vAlign w:val="center"/>
          </w:tcPr>
          <w:p w14:paraId="2995C1BF" w14:textId="77777777" w:rsidR="00CA4204" w:rsidRPr="00937C8B" w:rsidRDefault="00CA4204" w:rsidP="003E38D0">
            <w:pPr>
              <w:pStyle w:val="CTEtabla-texto"/>
              <w:rPr>
                <w:rFonts w:cs="Arial"/>
              </w:rPr>
            </w:pPr>
            <w:r>
              <w:t>16h</w:t>
            </w:r>
          </w:p>
        </w:tc>
        <w:tc>
          <w:tcPr>
            <w:tcW w:w="1092" w:type="dxa"/>
            <w:shd w:val="clear" w:color="auto" w:fill="auto"/>
            <w:tcMar>
              <w:top w:w="28" w:type="dxa"/>
              <w:left w:w="13" w:type="dxa"/>
              <w:bottom w:w="28" w:type="dxa"/>
              <w:right w:w="28" w:type="dxa"/>
            </w:tcMar>
            <w:vAlign w:val="center"/>
          </w:tcPr>
          <w:p w14:paraId="71367EEC" w14:textId="77777777" w:rsidR="00CA4204" w:rsidRPr="00937C8B" w:rsidRDefault="00CA4204" w:rsidP="003E38D0">
            <w:pPr>
              <w:pStyle w:val="CTEtabla-texto"/>
              <w:rPr>
                <w:rFonts w:cs="Arial"/>
              </w:rPr>
            </w:pPr>
            <w:r>
              <w:t>4</w:t>
            </w:r>
          </w:p>
        </w:tc>
        <w:tc>
          <w:tcPr>
            <w:tcW w:w="1091" w:type="dxa"/>
            <w:shd w:val="clear" w:color="auto" w:fill="auto"/>
            <w:tcMar>
              <w:top w:w="0" w:type="dxa"/>
              <w:left w:w="-5" w:type="dxa"/>
              <w:bottom w:w="0" w:type="dxa"/>
              <w:right w:w="10" w:type="dxa"/>
            </w:tcMar>
            <w:vAlign w:val="center"/>
          </w:tcPr>
          <w:p w14:paraId="52B008F6" w14:textId="77777777" w:rsidR="00CA4204" w:rsidRPr="00937C8B" w:rsidRDefault="00CA4204" w:rsidP="003E38D0">
            <w:pPr>
              <w:pStyle w:val="CTEtabla-texto"/>
              <w:rPr>
                <w:rFonts w:cs="Arial"/>
              </w:rPr>
            </w:pPr>
            <w:r>
              <w:t>22h</w:t>
            </w:r>
          </w:p>
        </w:tc>
        <w:tc>
          <w:tcPr>
            <w:tcW w:w="1086" w:type="dxa"/>
            <w:shd w:val="clear" w:color="auto" w:fill="auto"/>
            <w:tcMar>
              <w:top w:w="0" w:type="dxa"/>
              <w:left w:w="-5" w:type="dxa"/>
              <w:bottom w:w="0" w:type="dxa"/>
              <w:right w:w="10" w:type="dxa"/>
            </w:tcMar>
            <w:vAlign w:val="center"/>
          </w:tcPr>
          <w:p w14:paraId="4654AE7E" w14:textId="77777777" w:rsidR="00CA4204" w:rsidRPr="00937C8B" w:rsidRDefault="00CA4204" w:rsidP="003E38D0">
            <w:pPr>
              <w:pStyle w:val="CTEtabla-texto"/>
              <w:rPr>
                <w:rFonts w:cs="Arial"/>
              </w:rPr>
            </w:pPr>
            <w:r>
              <w:t>5</w:t>
            </w:r>
          </w:p>
        </w:tc>
      </w:tr>
      <w:tr w:rsidR="00CA4204" w:rsidRPr="00937C8B" w14:paraId="33272408" w14:textId="77777777" w:rsidTr="00935676">
        <w:trPr>
          <w:jc w:val="center"/>
        </w:trPr>
        <w:tc>
          <w:tcPr>
            <w:tcW w:w="891" w:type="dxa"/>
            <w:shd w:val="clear" w:color="auto" w:fill="auto"/>
            <w:tcMar>
              <w:top w:w="28" w:type="dxa"/>
              <w:left w:w="13" w:type="dxa"/>
              <w:bottom w:w="28" w:type="dxa"/>
              <w:right w:w="28" w:type="dxa"/>
            </w:tcMar>
            <w:vAlign w:val="center"/>
          </w:tcPr>
          <w:p w14:paraId="3977102F" w14:textId="77777777" w:rsidR="00CA4204" w:rsidRPr="00937C8B" w:rsidRDefault="00CA4204" w:rsidP="003E38D0">
            <w:pPr>
              <w:pStyle w:val="CTEtabla-texto"/>
              <w:rPr>
                <w:rFonts w:cs="Arial"/>
              </w:rPr>
            </w:pPr>
            <w:r>
              <w:t>5h</w:t>
            </w:r>
          </w:p>
        </w:tc>
        <w:tc>
          <w:tcPr>
            <w:tcW w:w="992" w:type="dxa"/>
            <w:shd w:val="clear" w:color="auto" w:fill="auto"/>
            <w:tcMar>
              <w:top w:w="28" w:type="dxa"/>
              <w:left w:w="13" w:type="dxa"/>
              <w:bottom w:w="28" w:type="dxa"/>
              <w:right w:w="28" w:type="dxa"/>
            </w:tcMar>
            <w:vAlign w:val="center"/>
          </w:tcPr>
          <w:p w14:paraId="27B4A900" w14:textId="77777777" w:rsidR="00CA4204" w:rsidRPr="00937C8B" w:rsidRDefault="00CA4204" w:rsidP="003E38D0">
            <w:pPr>
              <w:pStyle w:val="CTEtabla-texto"/>
              <w:rPr>
                <w:rFonts w:cs="Arial"/>
              </w:rPr>
            </w:pPr>
            <w:r>
              <w:t>1</w:t>
            </w:r>
          </w:p>
        </w:tc>
        <w:tc>
          <w:tcPr>
            <w:tcW w:w="1092" w:type="dxa"/>
            <w:shd w:val="clear" w:color="auto" w:fill="auto"/>
            <w:tcMar>
              <w:top w:w="28" w:type="dxa"/>
              <w:left w:w="13" w:type="dxa"/>
              <w:bottom w:w="28" w:type="dxa"/>
              <w:right w:w="28" w:type="dxa"/>
            </w:tcMar>
            <w:vAlign w:val="center"/>
          </w:tcPr>
          <w:p w14:paraId="58C43B3E" w14:textId="77777777" w:rsidR="00CA4204" w:rsidRPr="00937C8B" w:rsidRDefault="00CA4204" w:rsidP="003E38D0">
            <w:pPr>
              <w:pStyle w:val="CTEtabla-texto"/>
              <w:rPr>
                <w:rFonts w:cs="Arial"/>
              </w:rPr>
            </w:pPr>
            <w:r>
              <w:t>11h</w:t>
            </w:r>
          </w:p>
        </w:tc>
        <w:tc>
          <w:tcPr>
            <w:tcW w:w="1002" w:type="dxa"/>
            <w:shd w:val="clear" w:color="auto" w:fill="auto"/>
            <w:tcMar>
              <w:top w:w="0" w:type="dxa"/>
              <w:left w:w="-5" w:type="dxa"/>
              <w:bottom w:w="0" w:type="dxa"/>
              <w:right w:w="10" w:type="dxa"/>
            </w:tcMar>
            <w:vAlign w:val="center"/>
          </w:tcPr>
          <w:p w14:paraId="7B2195FB" w14:textId="77777777" w:rsidR="00CA4204" w:rsidRPr="00937C8B" w:rsidRDefault="00CA4204" w:rsidP="003E38D0">
            <w:pPr>
              <w:pStyle w:val="CTEtabla-texto"/>
              <w:rPr>
                <w:rFonts w:cs="Arial"/>
              </w:rPr>
            </w:pPr>
            <w:r>
              <w:t>6</w:t>
            </w:r>
          </w:p>
        </w:tc>
        <w:tc>
          <w:tcPr>
            <w:tcW w:w="1001" w:type="dxa"/>
            <w:shd w:val="clear" w:color="auto" w:fill="auto"/>
            <w:tcMar>
              <w:top w:w="0" w:type="dxa"/>
              <w:left w:w="-5" w:type="dxa"/>
              <w:bottom w:w="0" w:type="dxa"/>
              <w:right w:w="10" w:type="dxa"/>
            </w:tcMar>
            <w:vAlign w:val="center"/>
          </w:tcPr>
          <w:p w14:paraId="5283C3EE" w14:textId="77777777" w:rsidR="00CA4204" w:rsidRPr="00937C8B" w:rsidRDefault="00CA4204" w:rsidP="003E38D0">
            <w:pPr>
              <w:pStyle w:val="CTEtabla-texto"/>
              <w:rPr>
                <w:rFonts w:cs="Arial"/>
              </w:rPr>
            </w:pPr>
            <w:r>
              <w:t>17h</w:t>
            </w:r>
          </w:p>
        </w:tc>
        <w:tc>
          <w:tcPr>
            <w:tcW w:w="1092" w:type="dxa"/>
            <w:shd w:val="clear" w:color="auto" w:fill="auto"/>
            <w:tcMar>
              <w:top w:w="28" w:type="dxa"/>
              <w:left w:w="13" w:type="dxa"/>
              <w:bottom w:w="28" w:type="dxa"/>
              <w:right w:w="28" w:type="dxa"/>
            </w:tcMar>
            <w:vAlign w:val="center"/>
          </w:tcPr>
          <w:p w14:paraId="24006425" w14:textId="77777777" w:rsidR="00CA4204" w:rsidRPr="00937C8B" w:rsidRDefault="00CA4204" w:rsidP="003E38D0">
            <w:pPr>
              <w:pStyle w:val="CTEtabla-texto"/>
              <w:rPr>
                <w:rFonts w:cs="Arial"/>
              </w:rPr>
            </w:pPr>
            <w:r>
              <w:t>4</w:t>
            </w:r>
          </w:p>
        </w:tc>
        <w:tc>
          <w:tcPr>
            <w:tcW w:w="1091" w:type="dxa"/>
            <w:shd w:val="clear" w:color="auto" w:fill="auto"/>
            <w:tcMar>
              <w:top w:w="0" w:type="dxa"/>
              <w:left w:w="-5" w:type="dxa"/>
              <w:bottom w:w="0" w:type="dxa"/>
              <w:right w:w="10" w:type="dxa"/>
            </w:tcMar>
            <w:vAlign w:val="center"/>
          </w:tcPr>
          <w:p w14:paraId="3E0E9B62" w14:textId="77777777" w:rsidR="00CA4204" w:rsidRPr="00937C8B" w:rsidRDefault="00CA4204" w:rsidP="003E38D0">
            <w:pPr>
              <w:pStyle w:val="CTEtabla-texto"/>
              <w:rPr>
                <w:rFonts w:cs="Arial"/>
              </w:rPr>
            </w:pPr>
            <w:r>
              <w:t>23h</w:t>
            </w:r>
          </w:p>
        </w:tc>
        <w:tc>
          <w:tcPr>
            <w:tcW w:w="1086" w:type="dxa"/>
            <w:shd w:val="clear" w:color="auto" w:fill="auto"/>
            <w:tcMar>
              <w:top w:w="0" w:type="dxa"/>
              <w:left w:w="-5" w:type="dxa"/>
              <w:bottom w:w="0" w:type="dxa"/>
              <w:right w:w="10" w:type="dxa"/>
            </w:tcMar>
            <w:vAlign w:val="center"/>
          </w:tcPr>
          <w:p w14:paraId="516BE46E" w14:textId="77777777" w:rsidR="00CA4204" w:rsidRPr="00937C8B" w:rsidRDefault="00CA4204" w:rsidP="003E38D0">
            <w:pPr>
              <w:pStyle w:val="CTEtabla-texto"/>
              <w:rPr>
                <w:rFonts w:cs="Arial"/>
              </w:rPr>
            </w:pPr>
            <w:r>
              <w:t>5</w:t>
            </w:r>
          </w:p>
        </w:tc>
      </w:tr>
      <w:tr w:rsidR="00CA4204" w:rsidRPr="00937C8B" w14:paraId="6F35DE3F" w14:textId="77777777" w:rsidTr="00935676">
        <w:trPr>
          <w:jc w:val="center"/>
        </w:trPr>
        <w:tc>
          <w:tcPr>
            <w:tcW w:w="8247" w:type="dxa"/>
            <w:gridSpan w:val="8"/>
            <w:shd w:val="clear" w:color="auto" w:fill="auto"/>
            <w:tcMar>
              <w:top w:w="28" w:type="dxa"/>
              <w:left w:w="18" w:type="dxa"/>
              <w:bottom w:w="28" w:type="dxa"/>
              <w:right w:w="28" w:type="dxa"/>
            </w:tcMar>
            <w:vAlign w:val="center"/>
          </w:tcPr>
          <w:p w14:paraId="7F9E1919" w14:textId="15395420" w:rsidR="00CA4204" w:rsidRPr="00937C8B" w:rsidRDefault="00CA4204" w:rsidP="003E38D0">
            <w:pPr>
              <w:pStyle w:val="CTETabla-nota"/>
              <w:ind w:left="-4" w:firstLine="0"/>
            </w:pPr>
            <w:r>
              <w:t>Le % fait référence au pourcentage par rapport à la demande quotidienne d</w:t>
            </w:r>
            <w:r w:rsidR="00EA7588">
              <w:t>’</w:t>
            </w:r>
            <w:r>
              <w:t>ECS.</w:t>
            </w:r>
          </w:p>
        </w:tc>
      </w:tr>
    </w:tbl>
    <w:p w14:paraId="009C14FF" w14:textId="5CFD0144" w:rsidR="00CA4204" w:rsidRPr="00937C8B" w:rsidRDefault="00CA4204" w:rsidP="00CA4204">
      <w:pPr>
        <w:pStyle w:val="CTENumeracion"/>
        <w:spacing w:before="120"/>
        <w:rPr>
          <w:rFonts w:cs="Arial"/>
          <w:sz w:val="22"/>
          <w:szCs w:val="22"/>
        </w:rPr>
      </w:pPr>
      <w:r>
        <w:rPr>
          <w:sz w:val="22"/>
          <w:szCs w:val="22"/>
        </w:rPr>
        <w:t>3</w:t>
      </w:r>
      <w:r>
        <w:rPr>
          <w:sz w:val="22"/>
          <w:szCs w:val="22"/>
        </w:rPr>
        <w:tab/>
        <w:t xml:space="preserve">Les </w:t>
      </w:r>
      <w:r>
        <w:rPr>
          <w:i/>
          <w:iCs/>
          <w:sz w:val="22"/>
          <w:szCs w:val="22"/>
        </w:rPr>
        <w:t>conditions opérationnelles</w:t>
      </w:r>
      <w:r>
        <w:rPr>
          <w:sz w:val="22"/>
          <w:szCs w:val="22"/>
        </w:rPr>
        <w:t xml:space="preserve"> et le </w:t>
      </w:r>
      <w:r>
        <w:rPr>
          <w:i/>
          <w:iCs/>
          <w:sz w:val="22"/>
          <w:szCs w:val="22"/>
        </w:rPr>
        <w:t>profil d</w:t>
      </w:r>
      <w:r w:rsidR="00EA7588">
        <w:rPr>
          <w:i/>
          <w:iCs/>
          <w:sz w:val="22"/>
          <w:szCs w:val="22"/>
        </w:rPr>
        <w:t>’</w:t>
      </w:r>
      <w:r>
        <w:rPr>
          <w:i/>
          <w:iCs/>
          <w:sz w:val="22"/>
          <w:szCs w:val="22"/>
        </w:rPr>
        <w:t>utilisation</w:t>
      </w:r>
      <w:r>
        <w:rPr>
          <w:sz w:val="22"/>
          <w:szCs w:val="22"/>
        </w:rPr>
        <w:t xml:space="preserve"> pour les autres usages seront déterminés dans le projet. Il est possible d’utiliser des </w:t>
      </w:r>
      <w:r>
        <w:rPr>
          <w:i/>
          <w:iCs/>
          <w:sz w:val="22"/>
          <w:szCs w:val="22"/>
        </w:rPr>
        <w:t>conditions opérationnelles</w:t>
      </w:r>
      <w:r>
        <w:rPr>
          <w:sz w:val="22"/>
          <w:szCs w:val="22"/>
        </w:rPr>
        <w:t xml:space="preserve"> et des </w:t>
      </w:r>
      <w:r>
        <w:rPr>
          <w:i/>
          <w:iCs/>
          <w:sz w:val="22"/>
          <w:szCs w:val="22"/>
        </w:rPr>
        <w:t>profils d’utilisation</w:t>
      </w:r>
      <w:r>
        <w:rPr>
          <w:sz w:val="22"/>
          <w:szCs w:val="22"/>
        </w:rPr>
        <w:t xml:space="preserve"> standardisés lorsque les conditions d</w:t>
      </w:r>
      <w:r w:rsidR="00EA7588">
        <w:rPr>
          <w:sz w:val="22"/>
          <w:szCs w:val="22"/>
        </w:rPr>
        <w:t>’</w:t>
      </w:r>
      <w:r>
        <w:rPr>
          <w:sz w:val="22"/>
          <w:szCs w:val="22"/>
        </w:rPr>
        <w:t>utilisation des espaces sont assimilées.</w:t>
      </w:r>
    </w:p>
    <w:p w14:paraId="7EDE22B8" w14:textId="5310A4DD" w:rsidR="00A32FE4" w:rsidRPr="00937C8B" w:rsidRDefault="00CA4204" w:rsidP="006C641F">
      <w:pPr>
        <w:pStyle w:val="CTENumeracion"/>
        <w:spacing w:before="120"/>
        <w:rPr>
          <w:rFonts w:cs="Arial"/>
        </w:rPr>
      </w:pPr>
      <w:r>
        <w:rPr>
          <w:sz w:val="22"/>
          <w:szCs w:val="22"/>
        </w:rPr>
        <w:t>4</w:t>
      </w:r>
      <w:r>
        <w:rPr>
          <w:sz w:val="22"/>
          <w:szCs w:val="22"/>
        </w:rPr>
        <w:tab/>
        <w:t>Le document reconnu qui établit les conditions techniques des procédures d</w:t>
      </w:r>
      <w:r w:rsidR="00EA7588">
        <w:rPr>
          <w:sz w:val="22"/>
          <w:szCs w:val="22"/>
        </w:rPr>
        <w:t>’</w:t>
      </w:r>
      <w:r>
        <w:rPr>
          <w:sz w:val="22"/>
          <w:szCs w:val="22"/>
        </w:rPr>
        <w:t>évaluation de l</w:t>
      </w:r>
      <w:r w:rsidR="00EA7588">
        <w:rPr>
          <w:sz w:val="22"/>
          <w:szCs w:val="22"/>
        </w:rPr>
        <w:t>’</w:t>
      </w:r>
      <w:r>
        <w:rPr>
          <w:sz w:val="22"/>
          <w:szCs w:val="22"/>
        </w:rPr>
        <w:t>efficacité énergétique des bâtiments définit un ensemble de profils standardisés, en fonction de l</w:t>
      </w:r>
      <w:r w:rsidR="00EA7588">
        <w:rPr>
          <w:sz w:val="22"/>
          <w:szCs w:val="22"/>
        </w:rPr>
        <w:t>’</w:t>
      </w:r>
      <w:r>
        <w:rPr>
          <w:sz w:val="22"/>
          <w:szCs w:val="22"/>
        </w:rPr>
        <w:t>utilisation, de la charge interne (faible, moyenne ou élevée) et de la période d</w:t>
      </w:r>
      <w:r w:rsidR="00880E3A">
        <w:rPr>
          <w:sz w:val="22"/>
          <w:szCs w:val="22"/>
        </w:rPr>
        <w:t>’</w:t>
      </w:r>
      <w:r>
        <w:rPr>
          <w:sz w:val="22"/>
          <w:szCs w:val="22"/>
        </w:rPr>
        <w:t>utilisation (8, 12, 16 ou 24h).</w:t>
      </w:r>
    </w:p>
    <w:p w14:paraId="2AE6F3DE" w14:textId="77777777" w:rsidR="00447DB2" w:rsidRPr="00937C8B" w:rsidRDefault="00447DB2" w:rsidP="0084739B">
      <w:pPr>
        <w:pStyle w:val="CteTtuloSeccion"/>
        <w:pageBreakBefore/>
        <w:rPr>
          <w:rFonts w:cs="Arial"/>
          <w:color w:val="auto"/>
        </w:rPr>
      </w:pPr>
      <w:bookmarkStart w:id="278" w:name="_Toc39157980"/>
      <w:bookmarkStart w:id="279" w:name="_Toc39158146"/>
      <w:r>
        <w:rPr>
          <w:color w:val="auto"/>
        </w:rPr>
        <w:lastRenderedPageBreak/>
        <w:t>Annexe E</w:t>
      </w:r>
      <w:r>
        <w:rPr>
          <w:color w:val="auto"/>
        </w:rPr>
        <w:tab/>
        <w:t>Valeurs indicatives de transmission</w:t>
      </w:r>
      <w:bookmarkEnd w:id="278"/>
      <w:bookmarkEnd w:id="279"/>
    </w:p>
    <w:p w14:paraId="792656CC" w14:textId="77777777" w:rsidR="00CA4204" w:rsidRPr="00937C8B" w:rsidRDefault="00CA4204" w:rsidP="00CA4204">
      <w:pPr>
        <w:pStyle w:val="CTENormal"/>
      </w:pPr>
    </w:p>
    <w:p w14:paraId="4EDCD76E" w14:textId="3CC4F480" w:rsidR="00CA4204" w:rsidRPr="00937C8B" w:rsidRDefault="00CA4204" w:rsidP="00CA4204">
      <w:pPr>
        <w:pStyle w:val="CTENumeracion"/>
        <w:rPr>
          <w:rFonts w:cs="Arial"/>
          <w:sz w:val="22"/>
          <w:szCs w:val="22"/>
        </w:rPr>
      </w:pPr>
      <w:r>
        <w:rPr>
          <w:sz w:val="22"/>
          <w:szCs w:val="22"/>
        </w:rPr>
        <w:t>1</w:t>
      </w:r>
      <w:r>
        <w:rPr>
          <w:sz w:val="22"/>
          <w:szCs w:val="22"/>
        </w:rPr>
        <w:tab/>
        <w:t>Le tableau a de l</w:t>
      </w:r>
      <w:r w:rsidR="00EA7588">
        <w:rPr>
          <w:sz w:val="22"/>
          <w:szCs w:val="22"/>
        </w:rPr>
        <w:t>’</w:t>
      </w:r>
      <w:r>
        <w:rPr>
          <w:sz w:val="22"/>
          <w:szCs w:val="22"/>
        </w:rPr>
        <w:t>annexe E fournit des valeurs indicatives des paramètres caractéristiques de l</w:t>
      </w:r>
      <w:r w:rsidR="00EA7588">
        <w:rPr>
          <w:sz w:val="22"/>
          <w:szCs w:val="22"/>
        </w:rPr>
        <w:t>’</w:t>
      </w:r>
      <w:r>
        <w:rPr>
          <w:i/>
          <w:iCs/>
          <w:sz w:val="22"/>
          <w:szCs w:val="22"/>
        </w:rPr>
        <w:t>enceinte thermique</w:t>
      </w:r>
      <w:r>
        <w:rPr>
          <w:sz w:val="22"/>
          <w:szCs w:val="22"/>
        </w:rPr>
        <w:t xml:space="preserve"> qui peuvent être utiles pour le dimensionnement préalable des solutions de construction de bâtiments à usage résidentiel privé, afin de respecter les conditions établies pour le </w:t>
      </w:r>
      <w:r>
        <w:rPr>
          <w:i/>
          <w:iCs/>
          <w:sz w:val="22"/>
          <w:szCs w:val="22"/>
        </w:rPr>
        <w:t>coefficient global de transmission de chaleur</w:t>
      </w:r>
      <w:r>
        <w:rPr>
          <w:sz w:val="22"/>
          <w:szCs w:val="22"/>
        </w:rPr>
        <w:t xml:space="preserve"> à travers l</w:t>
      </w:r>
      <w:r w:rsidR="00EA7588">
        <w:rPr>
          <w:sz w:val="22"/>
          <w:szCs w:val="22"/>
        </w:rPr>
        <w:t>’</w:t>
      </w:r>
      <w:r>
        <w:rPr>
          <w:sz w:val="22"/>
          <w:szCs w:val="22"/>
        </w:rPr>
        <w:t>enceinte (article 3.1.1 - HE1):</w:t>
      </w:r>
    </w:p>
    <w:p w14:paraId="0941729A" w14:textId="77777777" w:rsidR="00CA4204" w:rsidRPr="00937C8B" w:rsidRDefault="00CA4204" w:rsidP="00935676">
      <w:pPr>
        <w:pStyle w:val="CTEtabla-Titulo"/>
        <w:spacing w:after="0"/>
      </w:pPr>
      <w:r>
        <w:t xml:space="preserve">Tableau a-Annexe E. </w:t>
      </w:r>
      <w:r>
        <w:rPr>
          <w:i/>
        </w:rPr>
        <w:t>Transmission thermique</w:t>
      </w:r>
      <w:r>
        <w:t xml:space="preserve"> de l’élément, U [W/m</w:t>
      </w:r>
      <w:r>
        <w:rPr>
          <w:vertAlign w:val="superscript"/>
        </w:rPr>
        <w:t xml:space="preserve">2 </w:t>
      </w:r>
      <w:r>
        <w:t>K]</w:t>
      </w:r>
    </w:p>
    <w:tbl>
      <w:tblPr>
        <w:tblW w:w="0" w:type="auto"/>
        <w:jc w:val="center"/>
        <w:tblBorders>
          <w:right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6118"/>
        <w:gridCol w:w="461"/>
        <w:gridCol w:w="461"/>
        <w:gridCol w:w="461"/>
        <w:gridCol w:w="461"/>
        <w:gridCol w:w="461"/>
        <w:gridCol w:w="461"/>
      </w:tblGrid>
      <w:tr w:rsidR="00CA4204" w:rsidRPr="00937C8B" w14:paraId="08B31C79" w14:textId="77777777" w:rsidTr="00935676">
        <w:trPr>
          <w:jc w:val="center"/>
        </w:trPr>
        <w:tc>
          <w:tcPr>
            <w:tcW w:w="0" w:type="auto"/>
            <w:tcBorders>
              <w:top w:val="nil"/>
              <w:bottom w:val="nil"/>
              <w:right w:val="single" w:sz="4" w:space="0" w:color="000000"/>
            </w:tcBorders>
            <w:shd w:val="clear" w:color="auto" w:fill="FFFFFF"/>
          </w:tcPr>
          <w:p w14:paraId="2ED6370B" w14:textId="77777777" w:rsidR="00CA4204" w:rsidRPr="00937C8B" w:rsidRDefault="00CA4204" w:rsidP="003E38D0">
            <w:pPr>
              <w:pStyle w:val="Standard"/>
              <w:keepNext/>
              <w:snapToGrid w:val="0"/>
              <w:spacing w:before="40"/>
              <w:rPr>
                <w:b/>
                <w:bCs/>
                <w:sz w:val="16"/>
                <w:szCs w:val="16"/>
              </w:rPr>
            </w:pPr>
          </w:p>
        </w:tc>
        <w:tc>
          <w:tcPr>
            <w:tcW w:w="0" w:type="auto"/>
            <w:gridSpan w:val="6"/>
            <w:tcBorders>
              <w:top w:val="nil"/>
              <w:left w:val="single" w:sz="4" w:space="0" w:color="000000"/>
              <w:bottom w:val="nil"/>
              <w:right w:val="nil"/>
            </w:tcBorders>
            <w:shd w:val="clear" w:color="auto" w:fill="FFFFFF"/>
          </w:tcPr>
          <w:p w14:paraId="6B0A6434" w14:textId="77777777" w:rsidR="00CA4204" w:rsidRPr="00937C8B" w:rsidRDefault="00CA4204" w:rsidP="003E38D0">
            <w:pPr>
              <w:pStyle w:val="CTEtabla-texto"/>
              <w:rPr>
                <w:rFonts w:cs="Arial"/>
                <w:b/>
              </w:rPr>
            </w:pPr>
            <w:r>
              <w:rPr>
                <w:b/>
              </w:rPr>
              <w:t>Zone climatique en hiver</w:t>
            </w:r>
          </w:p>
        </w:tc>
      </w:tr>
      <w:tr w:rsidR="00CA4204" w:rsidRPr="00937C8B" w14:paraId="7232FF1C" w14:textId="77777777" w:rsidTr="00935676">
        <w:trPr>
          <w:jc w:val="center"/>
        </w:trPr>
        <w:tc>
          <w:tcPr>
            <w:tcW w:w="0" w:type="auto"/>
            <w:tcBorders>
              <w:top w:val="nil"/>
              <w:bottom w:val="single" w:sz="4" w:space="0" w:color="000000"/>
              <w:right w:val="single" w:sz="4" w:space="0" w:color="000000"/>
            </w:tcBorders>
            <w:shd w:val="clear" w:color="auto" w:fill="FFFFFF"/>
          </w:tcPr>
          <w:p w14:paraId="5A5811EA" w14:textId="77777777" w:rsidR="00CA4204" w:rsidRPr="00937C8B" w:rsidRDefault="00CA4204" w:rsidP="003E38D0">
            <w:pPr>
              <w:pStyle w:val="Standard"/>
              <w:keepNext/>
              <w:snapToGrid w:val="0"/>
              <w:spacing w:before="40"/>
            </w:pPr>
          </w:p>
        </w:tc>
        <w:tc>
          <w:tcPr>
            <w:tcW w:w="0" w:type="auto"/>
            <w:tcBorders>
              <w:top w:val="nil"/>
              <w:left w:val="single" w:sz="4" w:space="0" w:color="000000"/>
              <w:bottom w:val="single" w:sz="4" w:space="0" w:color="000000"/>
              <w:right w:val="nil"/>
            </w:tcBorders>
            <w:shd w:val="clear" w:color="auto" w:fill="FFFFFF"/>
            <w:vAlign w:val="center"/>
          </w:tcPr>
          <w:p w14:paraId="7FB4348A" w14:textId="77777777" w:rsidR="00CA4204" w:rsidRPr="00937C8B" w:rsidRDefault="00CA4204" w:rsidP="003E38D0">
            <w:pPr>
              <w:pStyle w:val="CTEtabla-texto"/>
              <w:rPr>
                <w:rFonts w:cs="Arial"/>
                <w:b/>
              </w:rPr>
            </w:pPr>
            <w:r>
              <w:rPr>
                <w:b/>
              </w:rPr>
              <w:t>α</w:t>
            </w:r>
          </w:p>
        </w:tc>
        <w:tc>
          <w:tcPr>
            <w:tcW w:w="0" w:type="auto"/>
            <w:tcBorders>
              <w:top w:val="nil"/>
              <w:left w:val="nil"/>
              <w:bottom w:val="single" w:sz="4" w:space="0" w:color="000000"/>
              <w:right w:val="nil"/>
            </w:tcBorders>
            <w:shd w:val="clear" w:color="auto" w:fill="FFFFFF"/>
            <w:vAlign w:val="center"/>
          </w:tcPr>
          <w:p w14:paraId="3F509FF9" w14:textId="77777777" w:rsidR="00CA4204" w:rsidRPr="00937C8B" w:rsidRDefault="00CA4204" w:rsidP="003E38D0">
            <w:pPr>
              <w:pStyle w:val="CTEtabla-texto"/>
              <w:rPr>
                <w:rFonts w:cs="Arial"/>
                <w:b/>
              </w:rPr>
            </w:pPr>
            <w:r>
              <w:rPr>
                <w:b/>
              </w:rPr>
              <w:t>A</w:t>
            </w:r>
          </w:p>
        </w:tc>
        <w:tc>
          <w:tcPr>
            <w:tcW w:w="0" w:type="auto"/>
            <w:tcBorders>
              <w:top w:val="nil"/>
              <w:left w:val="nil"/>
              <w:bottom w:val="single" w:sz="4" w:space="0" w:color="000000"/>
              <w:right w:val="nil"/>
            </w:tcBorders>
            <w:shd w:val="clear" w:color="auto" w:fill="FFFFFF"/>
            <w:vAlign w:val="center"/>
          </w:tcPr>
          <w:p w14:paraId="1315E774" w14:textId="77777777" w:rsidR="00CA4204" w:rsidRPr="00937C8B" w:rsidRDefault="00CA4204" w:rsidP="003E38D0">
            <w:pPr>
              <w:pStyle w:val="CTEtabla-texto"/>
              <w:rPr>
                <w:rFonts w:cs="Arial"/>
                <w:b/>
              </w:rPr>
            </w:pPr>
            <w:r>
              <w:rPr>
                <w:b/>
              </w:rPr>
              <w:t>B</w:t>
            </w:r>
          </w:p>
        </w:tc>
        <w:tc>
          <w:tcPr>
            <w:tcW w:w="0" w:type="auto"/>
            <w:tcBorders>
              <w:top w:val="nil"/>
              <w:left w:val="nil"/>
              <w:bottom w:val="single" w:sz="4" w:space="0" w:color="000000"/>
              <w:right w:val="nil"/>
            </w:tcBorders>
            <w:shd w:val="clear" w:color="auto" w:fill="FFFFFF"/>
            <w:vAlign w:val="center"/>
          </w:tcPr>
          <w:p w14:paraId="4A5D185E" w14:textId="77777777" w:rsidR="00CA4204" w:rsidRPr="00937C8B" w:rsidRDefault="00CA4204" w:rsidP="003E38D0">
            <w:pPr>
              <w:pStyle w:val="CTEtabla-texto"/>
              <w:rPr>
                <w:rFonts w:cs="Arial"/>
                <w:b/>
              </w:rPr>
            </w:pPr>
            <w:r>
              <w:rPr>
                <w:b/>
              </w:rPr>
              <w:t>C</w:t>
            </w:r>
          </w:p>
        </w:tc>
        <w:tc>
          <w:tcPr>
            <w:tcW w:w="0" w:type="auto"/>
            <w:tcBorders>
              <w:top w:val="nil"/>
              <w:left w:val="nil"/>
              <w:bottom w:val="single" w:sz="4" w:space="0" w:color="000000"/>
              <w:right w:val="nil"/>
            </w:tcBorders>
            <w:shd w:val="clear" w:color="auto" w:fill="FFFFFF"/>
            <w:vAlign w:val="center"/>
          </w:tcPr>
          <w:p w14:paraId="707CB612" w14:textId="77777777" w:rsidR="00CA4204" w:rsidRPr="00937C8B" w:rsidRDefault="00CA4204" w:rsidP="003E38D0">
            <w:pPr>
              <w:pStyle w:val="CTEtabla-texto"/>
              <w:rPr>
                <w:rFonts w:cs="Arial"/>
                <w:b/>
              </w:rPr>
            </w:pPr>
            <w:r>
              <w:rPr>
                <w:b/>
              </w:rPr>
              <w:t>D</w:t>
            </w:r>
          </w:p>
        </w:tc>
        <w:tc>
          <w:tcPr>
            <w:tcW w:w="0" w:type="auto"/>
            <w:tcBorders>
              <w:top w:val="nil"/>
              <w:left w:val="nil"/>
              <w:bottom w:val="single" w:sz="4" w:space="0" w:color="000000"/>
              <w:right w:val="nil"/>
            </w:tcBorders>
            <w:shd w:val="clear" w:color="auto" w:fill="FFFFFF"/>
            <w:vAlign w:val="center"/>
          </w:tcPr>
          <w:p w14:paraId="7B61CE44" w14:textId="77777777" w:rsidR="00CA4204" w:rsidRPr="00937C8B" w:rsidRDefault="00CA4204" w:rsidP="003E38D0">
            <w:pPr>
              <w:pStyle w:val="CTEtabla-texto"/>
              <w:rPr>
                <w:rFonts w:cs="Arial"/>
                <w:b/>
              </w:rPr>
            </w:pPr>
            <w:r>
              <w:rPr>
                <w:b/>
              </w:rPr>
              <w:t>E</w:t>
            </w:r>
          </w:p>
        </w:tc>
      </w:tr>
      <w:tr w:rsidR="00CA4204" w:rsidRPr="00937C8B" w14:paraId="2D04EE6F" w14:textId="77777777" w:rsidTr="00935676">
        <w:trPr>
          <w:jc w:val="center"/>
        </w:trPr>
        <w:tc>
          <w:tcPr>
            <w:tcW w:w="0" w:type="auto"/>
            <w:tcBorders>
              <w:top w:val="single" w:sz="4" w:space="0" w:color="000000"/>
              <w:left w:val="nil"/>
              <w:bottom w:val="nil"/>
              <w:right w:val="single" w:sz="4" w:space="0" w:color="000000"/>
            </w:tcBorders>
            <w:shd w:val="clear" w:color="auto" w:fill="FFFFFF"/>
            <w:tcMar>
              <w:left w:w="13" w:type="dxa"/>
              <w:right w:w="28" w:type="dxa"/>
            </w:tcMar>
            <w:vAlign w:val="center"/>
          </w:tcPr>
          <w:p w14:paraId="2971D17B" w14:textId="77777777" w:rsidR="00CA4204" w:rsidRPr="00937C8B" w:rsidRDefault="00CA4204" w:rsidP="003E38D0">
            <w:pPr>
              <w:pStyle w:val="CTEtabla-texto"/>
              <w:jc w:val="left"/>
              <w:rPr>
                <w:rFonts w:cs="Arial"/>
              </w:rPr>
            </w:pPr>
            <w:r>
              <w:t>Murs et sols en contact avec l’air extérieur, U</w:t>
            </w:r>
            <w:r>
              <w:rPr>
                <w:vertAlign w:val="subscript"/>
              </w:rPr>
              <w:t>M,</w:t>
            </w:r>
            <w:r>
              <w:t xml:space="preserve"> U</w:t>
            </w:r>
            <w:r>
              <w:rPr>
                <w:vertAlign w:val="subscript"/>
              </w:rPr>
              <w:t>S</w:t>
            </w:r>
          </w:p>
        </w:tc>
        <w:tc>
          <w:tcPr>
            <w:tcW w:w="0" w:type="auto"/>
            <w:tcBorders>
              <w:top w:val="single" w:sz="4" w:space="0" w:color="000000"/>
              <w:left w:val="single" w:sz="4" w:space="0" w:color="000000"/>
              <w:bottom w:val="nil"/>
              <w:right w:val="nil"/>
            </w:tcBorders>
            <w:shd w:val="clear" w:color="auto" w:fill="FFFFFF"/>
            <w:vAlign w:val="center"/>
          </w:tcPr>
          <w:p w14:paraId="0E7E1C5A" w14:textId="77777777" w:rsidR="00CA4204" w:rsidRPr="00937C8B" w:rsidRDefault="00CA4204" w:rsidP="003E38D0">
            <w:pPr>
              <w:pStyle w:val="CTEtabla-texto"/>
              <w:rPr>
                <w:rFonts w:cs="Arial"/>
              </w:rPr>
            </w:pPr>
            <w:r>
              <w:t>0,56</w:t>
            </w:r>
          </w:p>
        </w:tc>
        <w:tc>
          <w:tcPr>
            <w:tcW w:w="0" w:type="auto"/>
            <w:tcBorders>
              <w:top w:val="single" w:sz="4" w:space="0" w:color="000000"/>
              <w:left w:val="nil"/>
              <w:bottom w:val="nil"/>
              <w:right w:val="nil"/>
            </w:tcBorders>
            <w:shd w:val="clear" w:color="auto" w:fill="FFFFFF"/>
            <w:vAlign w:val="center"/>
          </w:tcPr>
          <w:p w14:paraId="171252CF" w14:textId="77777777" w:rsidR="00CA4204" w:rsidRPr="00937C8B" w:rsidRDefault="00CA4204" w:rsidP="003E38D0">
            <w:pPr>
              <w:pStyle w:val="CTEtabla-texto"/>
              <w:rPr>
                <w:rFonts w:cs="Arial"/>
              </w:rPr>
            </w:pPr>
            <w:r>
              <w:t>0,50</w:t>
            </w:r>
          </w:p>
        </w:tc>
        <w:tc>
          <w:tcPr>
            <w:tcW w:w="0" w:type="auto"/>
            <w:tcBorders>
              <w:top w:val="single" w:sz="4" w:space="0" w:color="000000"/>
              <w:left w:val="nil"/>
              <w:bottom w:val="nil"/>
              <w:right w:val="nil"/>
            </w:tcBorders>
            <w:shd w:val="clear" w:color="auto" w:fill="FFFFFF"/>
            <w:vAlign w:val="center"/>
          </w:tcPr>
          <w:p w14:paraId="34FF85D3" w14:textId="77777777" w:rsidR="00CA4204" w:rsidRPr="00937C8B" w:rsidRDefault="00CA4204" w:rsidP="003E38D0">
            <w:pPr>
              <w:pStyle w:val="CTEtabla-texto"/>
              <w:rPr>
                <w:rFonts w:cs="Arial"/>
              </w:rPr>
            </w:pPr>
            <w:r>
              <w:t>0,38</w:t>
            </w:r>
          </w:p>
        </w:tc>
        <w:tc>
          <w:tcPr>
            <w:tcW w:w="0" w:type="auto"/>
            <w:tcBorders>
              <w:top w:val="single" w:sz="4" w:space="0" w:color="000000"/>
              <w:left w:val="nil"/>
              <w:bottom w:val="nil"/>
              <w:right w:val="nil"/>
            </w:tcBorders>
            <w:shd w:val="clear" w:color="auto" w:fill="FFFFFF"/>
            <w:vAlign w:val="center"/>
          </w:tcPr>
          <w:p w14:paraId="49BDB316" w14:textId="77777777" w:rsidR="00CA4204" w:rsidRPr="00937C8B" w:rsidRDefault="00CA4204" w:rsidP="003E38D0">
            <w:pPr>
              <w:pStyle w:val="CTEtabla-texto"/>
              <w:rPr>
                <w:rFonts w:cs="Arial"/>
              </w:rPr>
            </w:pPr>
            <w:r>
              <w:t>0,29</w:t>
            </w:r>
          </w:p>
        </w:tc>
        <w:tc>
          <w:tcPr>
            <w:tcW w:w="0" w:type="auto"/>
            <w:tcBorders>
              <w:top w:val="single" w:sz="4" w:space="0" w:color="000000"/>
              <w:left w:val="nil"/>
              <w:bottom w:val="nil"/>
              <w:right w:val="nil"/>
            </w:tcBorders>
            <w:shd w:val="clear" w:color="auto" w:fill="FFFFFF"/>
            <w:vAlign w:val="center"/>
          </w:tcPr>
          <w:p w14:paraId="0D8C3F1E" w14:textId="77777777" w:rsidR="00CA4204" w:rsidRPr="00937C8B" w:rsidRDefault="00CA4204" w:rsidP="003E38D0">
            <w:pPr>
              <w:pStyle w:val="CTEtabla-texto"/>
              <w:rPr>
                <w:rFonts w:cs="Arial"/>
              </w:rPr>
            </w:pPr>
            <w:r>
              <w:t>0,27</w:t>
            </w:r>
          </w:p>
        </w:tc>
        <w:tc>
          <w:tcPr>
            <w:tcW w:w="0" w:type="auto"/>
            <w:tcBorders>
              <w:top w:val="single" w:sz="4" w:space="0" w:color="000000"/>
              <w:left w:val="nil"/>
              <w:bottom w:val="nil"/>
              <w:right w:val="nil"/>
            </w:tcBorders>
            <w:shd w:val="clear" w:color="auto" w:fill="FFFFFF"/>
            <w:vAlign w:val="center"/>
          </w:tcPr>
          <w:p w14:paraId="585E197E" w14:textId="77777777" w:rsidR="00CA4204" w:rsidRPr="00937C8B" w:rsidRDefault="00CA4204" w:rsidP="003E38D0">
            <w:pPr>
              <w:pStyle w:val="CTEtabla-texto"/>
              <w:rPr>
                <w:rFonts w:cs="Arial"/>
              </w:rPr>
            </w:pPr>
            <w:r>
              <w:t>0,23</w:t>
            </w:r>
          </w:p>
        </w:tc>
      </w:tr>
      <w:tr w:rsidR="00CA4204" w:rsidRPr="00937C8B" w14:paraId="3818B2B3" w14:textId="77777777" w:rsidTr="00935676">
        <w:trPr>
          <w:jc w:val="center"/>
        </w:trPr>
        <w:tc>
          <w:tcPr>
            <w:tcW w:w="0" w:type="auto"/>
            <w:tcBorders>
              <w:top w:val="nil"/>
              <w:left w:val="nil"/>
              <w:bottom w:val="nil"/>
              <w:right w:val="single" w:sz="4" w:space="0" w:color="000000"/>
            </w:tcBorders>
            <w:shd w:val="clear" w:color="auto" w:fill="FFFFFF"/>
            <w:tcMar>
              <w:left w:w="13" w:type="dxa"/>
              <w:right w:w="28" w:type="dxa"/>
            </w:tcMar>
            <w:vAlign w:val="center"/>
          </w:tcPr>
          <w:p w14:paraId="313BF53D" w14:textId="77777777" w:rsidR="00CA4204" w:rsidRPr="00937C8B" w:rsidRDefault="00CA4204" w:rsidP="003E38D0">
            <w:pPr>
              <w:pStyle w:val="CTEtabla-texto"/>
              <w:jc w:val="left"/>
              <w:rPr>
                <w:rFonts w:cs="Arial"/>
              </w:rPr>
            </w:pPr>
            <w:r>
              <w:t>Toitures en contact avec l’air extérieur, U</w:t>
            </w:r>
            <w:r>
              <w:rPr>
                <w:vertAlign w:val="subscript"/>
              </w:rPr>
              <w:t>C</w:t>
            </w:r>
          </w:p>
        </w:tc>
        <w:tc>
          <w:tcPr>
            <w:tcW w:w="0" w:type="auto"/>
            <w:tcBorders>
              <w:top w:val="nil"/>
              <w:left w:val="single" w:sz="4" w:space="0" w:color="000000"/>
              <w:bottom w:val="nil"/>
              <w:right w:val="nil"/>
            </w:tcBorders>
            <w:shd w:val="clear" w:color="auto" w:fill="FFFFFF"/>
            <w:vAlign w:val="center"/>
          </w:tcPr>
          <w:p w14:paraId="643BE1A0" w14:textId="77777777" w:rsidR="00CA4204" w:rsidRPr="00937C8B" w:rsidRDefault="00CA4204" w:rsidP="003E38D0">
            <w:pPr>
              <w:pStyle w:val="CTEtabla-texto"/>
              <w:rPr>
                <w:rFonts w:cs="Arial"/>
              </w:rPr>
            </w:pPr>
            <w:r>
              <w:t>0,50</w:t>
            </w:r>
          </w:p>
        </w:tc>
        <w:tc>
          <w:tcPr>
            <w:tcW w:w="0" w:type="auto"/>
            <w:tcBorders>
              <w:top w:val="nil"/>
              <w:left w:val="nil"/>
              <w:bottom w:val="nil"/>
              <w:right w:val="nil"/>
            </w:tcBorders>
            <w:shd w:val="clear" w:color="auto" w:fill="FFFFFF"/>
            <w:vAlign w:val="center"/>
          </w:tcPr>
          <w:p w14:paraId="684BA75E" w14:textId="77777777" w:rsidR="00CA4204" w:rsidRPr="00937C8B" w:rsidRDefault="00CA4204" w:rsidP="003E38D0">
            <w:pPr>
              <w:pStyle w:val="CTEtabla-texto"/>
              <w:rPr>
                <w:rFonts w:cs="Arial"/>
              </w:rPr>
            </w:pPr>
            <w:r>
              <w:t>0,44</w:t>
            </w:r>
          </w:p>
        </w:tc>
        <w:tc>
          <w:tcPr>
            <w:tcW w:w="0" w:type="auto"/>
            <w:tcBorders>
              <w:top w:val="nil"/>
              <w:left w:val="nil"/>
              <w:bottom w:val="nil"/>
              <w:right w:val="nil"/>
            </w:tcBorders>
            <w:shd w:val="clear" w:color="auto" w:fill="FFFFFF"/>
            <w:vAlign w:val="center"/>
          </w:tcPr>
          <w:p w14:paraId="39609EBC" w14:textId="77777777" w:rsidR="00CA4204" w:rsidRPr="00937C8B" w:rsidRDefault="00CA4204" w:rsidP="003E38D0">
            <w:pPr>
              <w:pStyle w:val="CTEtabla-texto"/>
              <w:rPr>
                <w:rFonts w:cs="Arial"/>
              </w:rPr>
            </w:pPr>
            <w:r>
              <w:t>0,33</w:t>
            </w:r>
          </w:p>
        </w:tc>
        <w:tc>
          <w:tcPr>
            <w:tcW w:w="0" w:type="auto"/>
            <w:tcBorders>
              <w:top w:val="nil"/>
              <w:left w:val="nil"/>
              <w:bottom w:val="nil"/>
              <w:right w:val="nil"/>
            </w:tcBorders>
            <w:shd w:val="clear" w:color="auto" w:fill="FFFFFF"/>
            <w:vAlign w:val="center"/>
          </w:tcPr>
          <w:p w14:paraId="4AB6671E" w14:textId="77777777" w:rsidR="00CA4204" w:rsidRPr="00937C8B" w:rsidRDefault="00CA4204" w:rsidP="003E38D0">
            <w:pPr>
              <w:pStyle w:val="CTEtabla-texto"/>
              <w:rPr>
                <w:rFonts w:cs="Arial"/>
              </w:rPr>
            </w:pPr>
            <w:r>
              <w:t>0,23</w:t>
            </w:r>
          </w:p>
        </w:tc>
        <w:tc>
          <w:tcPr>
            <w:tcW w:w="0" w:type="auto"/>
            <w:tcBorders>
              <w:top w:val="nil"/>
              <w:left w:val="nil"/>
              <w:bottom w:val="nil"/>
              <w:right w:val="nil"/>
            </w:tcBorders>
            <w:shd w:val="clear" w:color="auto" w:fill="FFFFFF"/>
            <w:vAlign w:val="center"/>
          </w:tcPr>
          <w:p w14:paraId="529EB50D" w14:textId="77777777" w:rsidR="00CA4204" w:rsidRPr="00937C8B" w:rsidRDefault="00CA4204" w:rsidP="003E38D0">
            <w:pPr>
              <w:pStyle w:val="CTEtabla-texto"/>
              <w:rPr>
                <w:rFonts w:cs="Arial"/>
              </w:rPr>
            </w:pPr>
            <w:r>
              <w:t>0,22</w:t>
            </w:r>
          </w:p>
        </w:tc>
        <w:tc>
          <w:tcPr>
            <w:tcW w:w="0" w:type="auto"/>
            <w:tcBorders>
              <w:top w:val="nil"/>
              <w:left w:val="nil"/>
              <w:bottom w:val="nil"/>
              <w:right w:val="nil"/>
            </w:tcBorders>
            <w:shd w:val="clear" w:color="auto" w:fill="FFFFFF"/>
            <w:vAlign w:val="center"/>
          </w:tcPr>
          <w:p w14:paraId="2D9494AE" w14:textId="77777777" w:rsidR="00CA4204" w:rsidRPr="00937C8B" w:rsidRDefault="00CA4204" w:rsidP="003E38D0">
            <w:pPr>
              <w:pStyle w:val="CTEtabla-texto"/>
              <w:rPr>
                <w:rFonts w:cs="Arial"/>
              </w:rPr>
            </w:pPr>
            <w:r>
              <w:t>0,19</w:t>
            </w:r>
          </w:p>
        </w:tc>
      </w:tr>
      <w:tr w:rsidR="00CA4204" w:rsidRPr="00937C8B" w14:paraId="50B783E4" w14:textId="77777777" w:rsidTr="00935676">
        <w:trPr>
          <w:jc w:val="center"/>
        </w:trPr>
        <w:tc>
          <w:tcPr>
            <w:tcW w:w="0" w:type="auto"/>
            <w:tcBorders>
              <w:top w:val="nil"/>
              <w:left w:val="nil"/>
              <w:bottom w:val="nil"/>
              <w:right w:val="single" w:sz="4" w:space="0" w:color="000000"/>
            </w:tcBorders>
            <w:shd w:val="clear" w:color="auto" w:fill="FFFFFF"/>
            <w:tcMar>
              <w:left w:w="13" w:type="dxa"/>
              <w:right w:w="28" w:type="dxa"/>
            </w:tcMar>
            <w:vAlign w:val="center"/>
          </w:tcPr>
          <w:p w14:paraId="268C4E8D" w14:textId="77777777" w:rsidR="00CA4204" w:rsidRPr="00937C8B" w:rsidRDefault="00CA4204" w:rsidP="003E38D0">
            <w:pPr>
              <w:pStyle w:val="CTEtabla-texto"/>
              <w:jc w:val="left"/>
              <w:rPr>
                <w:rFonts w:cs="Arial"/>
              </w:rPr>
            </w:pPr>
            <w:r>
              <w:t>Éléments en contact avec des espaces non habitables ou avec le terrain, U</w:t>
            </w:r>
            <w:r>
              <w:rPr>
                <w:vertAlign w:val="subscript"/>
              </w:rPr>
              <w:t>T</w:t>
            </w:r>
          </w:p>
        </w:tc>
        <w:tc>
          <w:tcPr>
            <w:tcW w:w="0" w:type="auto"/>
            <w:tcBorders>
              <w:top w:val="nil"/>
              <w:left w:val="single" w:sz="4" w:space="0" w:color="000000"/>
              <w:bottom w:val="nil"/>
              <w:right w:val="nil"/>
            </w:tcBorders>
            <w:shd w:val="clear" w:color="auto" w:fill="FFFFFF"/>
            <w:vAlign w:val="center"/>
          </w:tcPr>
          <w:p w14:paraId="6FAE42AC" w14:textId="77777777" w:rsidR="00CA4204" w:rsidRPr="00937C8B" w:rsidRDefault="00CA4204" w:rsidP="003E38D0">
            <w:pPr>
              <w:pStyle w:val="CTEtabla-texto"/>
              <w:rPr>
                <w:rFonts w:cs="Arial"/>
              </w:rPr>
            </w:pPr>
            <w:r>
              <w:t>0,80</w:t>
            </w:r>
          </w:p>
        </w:tc>
        <w:tc>
          <w:tcPr>
            <w:tcW w:w="0" w:type="auto"/>
            <w:tcBorders>
              <w:top w:val="nil"/>
              <w:left w:val="nil"/>
              <w:bottom w:val="nil"/>
              <w:right w:val="nil"/>
            </w:tcBorders>
            <w:shd w:val="clear" w:color="auto" w:fill="FFFFFF"/>
            <w:vAlign w:val="center"/>
          </w:tcPr>
          <w:p w14:paraId="0B40BD52" w14:textId="77777777" w:rsidR="00CA4204" w:rsidRPr="00937C8B" w:rsidRDefault="00CA4204" w:rsidP="003E38D0">
            <w:pPr>
              <w:pStyle w:val="CTEtabla-texto"/>
              <w:rPr>
                <w:rFonts w:cs="Arial"/>
              </w:rPr>
            </w:pPr>
            <w:r>
              <w:t>0,80</w:t>
            </w:r>
          </w:p>
        </w:tc>
        <w:tc>
          <w:tcPr>
            <w:tcW w:w="0" w:type="auto"/>
            <w:tcBorders>
              <w:top w:val="nil"/>
              <w:left w:val="nil"/>
              <w:bottom w:val="nil"/>
              <w:right w:val="nil"/>
            </w:tcBorders>
            <w:shd w:val="clear" w:color="auto" w:fill="FFFFFF"/>
            <w:vAlign w:val="center"/>
          </w:tcPr>
          <w:p w14:paraId="4DAB9794" w14:textId="77777777" w:rsidR="00CA4204" w:rsidRPr="00937C8B" w:rsidRDefault="00CA4204" w:rsidP="003E38D0">
            <w:pPr>
              <w:pStyle w:val="CTEtabla-texto"/>
              <w:rPr>
                <w:rFonts w:cs="Arial"/>
              </w:rPr>
            </w:pPr>
            <w:r>
              <w:t>0,69</w:t>
            </w:r>
          </w:p>
        </w:tc>
        <w:tc>
          <w:tcPr>
            <w:tcW w:w="0" w:type="auto"/>
            <w:tcBorders>
              <w:top w:val="nil"/>
              <w:left w:val="nil"/>
              <w:bottom w:val="nil"/>
              <w:right w:val="nil"/>
            </w:tcBorders>
            <w:shd w:val="clear" w:color="auto" w:fill="FFFFFF"/>
            <w:vAlign w:val="center"/>
          </w:tcPr>
          <w:p w14:paraId="4AE2E9B9" w14:textId="77777777" w:rsidR="00CA4204" w:rsidRPr="00937C8B" w:rsidRDefault="00CA4204" w:rsidP="003E38D0">
            <w:pPr>
              <w:pStyle w:val="CTEtabla-texto"/>
              <w:rPr>
                <w:rFonts w:cs="Arial"/>
              </w:rPr>
            </w:pPr>
            <w:r>
              <w:t>0,48</w:t>
            </w:r>
          </w:p>
        </w:tc>
        <w:tc>
          <w:tcPr>
            <w:tcW w:w="0" w:type="auto"/>
            <w:tcBorders>
              <w:top w:val="nil"/>
              <w:left w:val="nil"/>
              <w:bottom w:val="nil"/>
              <w:right w:val="nil"/>
            </w:tcBorders>
            <w:shd w:val="clear" w:color="auto" w:fill="FFFFFF"/>
            <w:vAlign w:val="center"/>
          </w:tcPr>
          <w:p w14:paraId="7E2D39B1" w14:textId="77777777" w:rsidR="00CA4204" w:rsidRPr="00937C8B" w:rsidRDefault="00CA4204" w:rsidP="003E38D0">
            <w:pPr>
              <w:pStyle w:val="CTEtabla-texto"/>
              <w:rPr>
                <w:rFonts w:cs="Arial"/>
              </w:rPr>
            </w:pPr>
            <w:r>
              <w:t>0,48</w:t>
            </w:r>
          </w:p>
        </w:tc>
        <w:tc>
          <w:tcPr>
            <w:tcW w:w="0" w:type="auto"/>
            <w:tcBorders>
              <w:top w:val="nil"/>
              <w:left w:val="nil"/>
              <w:bottom w:val="nil"/>
              <w:right w:val="nil"/>
            </w:tcBorders>
            <w:shd w:val="clear" w:color="auto" w:fill="FFFFFF"/>
            <w:vAlign w:val="center"/>
          </w:tcPr>
          <w:p w14:paraId="280B3330" w14:textId="77777777" w:rsidR="00CA4204" w:rsidRPr="00937C8B" w:rsidRDefault="00CA4204" w:rsidP="003E38D0">
            <w:pPr>
              <w:pStyle w:val="CTEtabla-texto"/>
              <w:rPr>
                <w:rFonts w:cs="Arial"/>
              </w:rPr>
            </w:pPr>
            <w:r>
              <w:t>0,48</w:t>
            </w:r>
          </w:p>
        </w:tc>
      </w:tr>
      <w:tr w:rsidR="00CA4204" w:rsidRPr="00937C8B" w14:paraId="1F7925D4" w14:textId="77777777" w:rsidTr="00935676">
        <w:trPr>
          <w:jc w:val="center"/>
        </w:trPr>
        <w:tc>
          <w:tcPr>
            <w:tcW w:w="0" w:type="auto"/>
            <w:tcBorders>
              <w:top w:val="nil"/>
              <w:left w:val="nil"/>
              <w:bottom w:val="nil"/>
              <w:right w:val="single" w:sz="4" w:space="0" w:color="000000"/>
            </w:tcBorders>
            <w:shd w:val="clear" w:color="auto" w:fill="FFFFFF"/>
            <w:tcMar>
              <w:left w:w="13" w:type="dxa"/>
              <w:right w:w="28" w:type="dxa"/>
            </w:tcMar>
            <w:vAlign w:val="center"/>
          </w:tcPr>
          <w:p w14:paraId="2B4B984C" w14:textId="77777777" w:rsidR="00CA4204" w:rsidRPr="00937C8B" w:rsidRDefault="00CA4204" w:rsidP="003E38D0">
            <w:pPr>
              <w:pStyle w:val="CTEtabla-texto"/>
              <w:jc w:val="left"/>
              <w:rPr>
                <w:rFonts w:cs="Arial"/>
              </w:rPr>
            </w:pPr>
            <w:r>
              <w:t>Ouvertures (ensemble de cadre, vitre et, le cas échéant, bloc-fermeture), U</w:t>
            </w:r>
            <w:r>
              <w:rPr>
                <w:vertAlign w:val="subscript"/>
              </w:rPr>
              <w:t>H</w:t>
            </w:r>
          </w:p>
        </w:tc>
        <w:tc>
          <w:tcPr>
            <w:tcW w:w="0" w:type="auto"/>
            <w:tcBorders>
              <w:top w:val="nil"/>
              <w:left w:val="single" w:sz="4" w:space="0" w:color="000000"/>
              <w:bottom w:val="nil"/>
              <w:right w:val="nil"/>
            </w:tcBorders>
            <w:shd w:val="clear" w:color="auto" w:fill="FFFFFF"/>
            <w:vAlign w:val="center"/>
          </w:tcPr>
          <w:p w14:paraId="0E1E669E" w14:textId="77777777" w:rsidR="00CA4204" w:rsidRPr="00937C8B" w:rsidRDefault="00CA4204" w:rsidP="003E38D0">
            <w:pPr>
              <w:pStyle w:val="CTEtabla-texto"/>
              <w:rPr>
                <w:rFonts w:cs="Arial"/>
              </w:rPr>
            </w:pPr>
            <w:r>
              <w:t>2,7</w:t>
            </w:r>
          </w:p>
        </w:tc>
        <w:tc>
          <w:tcPr>
            <w:tcW w:w="0" w:type="auto"/>
            <w:tcBorders>
              <w:top w:val="nil"/>
              <w:left w:val="nil"/>
              <w:bottom w:val="nil"/>
              <w:right w:val="nil"/>
            </w:tcBorders>
            <w:shd w:val="clear" w:color="auto" w:fill="FFFFFF"/>
            <w:vAlign w:val="center"/>
          </w:tcPr>
          <w:p w14:paraId="3F53680E" w14:textId="77777777" w:rsidR="00CA4204" w:rsidRPr="00937C8B" w:rsidRDefault="00CA4204" w:rsidP="003E38D0">
            <w:pPr>
              <w:pStyle w:val="CTEtabla-texto"/>
              <w:rPr>
                <w:rFonts w:cs="Arial"/>
              </w:rPr>
            </w:pPr>
            <w:r>
              <w:t>2,7</w:t>
            </w:r>
          </w:p>
        </w:tc>
        <w:tc>
          <w:tcPr>
            <w:tcW w:w="0" w:type="auto"/>
            <w:tcBorders>
              <w:top w:val="nil"/>
              <w:left w:val="nil"/>
              <w:bottom w:val="nil"/>
              <w:right w:val="nil"/>
            </w:tcBorders>
            <w:shd w:val="clear" w:color="auto" w:fill="FFFFFF"/>
            <w:vAlign w:val="center"/>
          </w:tcPr>
          <w:p w14:paraId="7DCBC4D0" w14:textId="77777777" w:rsidR="00CA4204" w:rsidRPr="00937C8B" w:rsidRDefault="00CA4204" w:rsidP="003E38D0">
            <w:pPr>
              <w:pStyle w:val="CTEtabla-texto"/>
              <w:rPr>
                <w:rFonts w:cs="Arial"/>
              </w:rPr>
            </w:pPr>
            <w:r>
              <w:t>2,0</w:t>
            </w:r>
          </w:p>
        </w:tc>
        <w:tc>
          <w:tcPr>
            <w:tcW w:w="0" w:type="auto"/>
            <w:tcBorders>
              <w:top w:val="nil"/>
              <w:left w:val="nil"/>
              <w:bottom w:val="nil"/>
              <w:right w:val="nil"/>
            </w:tcBorders>
            <w:shd w:val="clear" w:color="auto" w:fill="FFFFFF"/>
            <w:vAlign w:val="center"/>
          </w:tcPr>
          <w:p w14:paraId="0D4A56B4" w14:textId="77777777" w:rsidR="00CA4204" w:rsidRPr="00937C8B" w:rsidRDefault="00CA4204" w:rsidP="003E38D0">
            <w:pPr>
              <w:pStyle w:val="CTEtabla-texto"/>
              <w:rPr>
                <w:rFonts w:cs="Arial"/>
              </w:rPr>
            </w:pPr>
            <w:r>
              <w:t>2,0</w:t>
            </w:r>
          </w:p>
        </w:tc>
        <w:tc>
          <w:tcPr>
            <w:tcW w:w="0" w:type="auto"/>
            <w:tcBorders>
              <w:top w:val="nil"/>
              <w:left w:val="nil"/>
              <w:bottom w:val="nil"/>
              <w:right w:val="nil"/>
            </w:tcBorders>
            <w:shd w:val="clear" w:color="auto" w:fill="FFFFFF"/>
            <w:vAlign w:val="center"/>
          </w:tcPr>
          <w:p w14:paraId="77ECE3AC" w14:textId="77777777" w:rsidR="00CA4204" w:rsidRPr="00937C8B" w:rsidRDefault="00CA4204" w:rsidP="003E38D0">
            <w:pPr>
              <w:pStyle w:val="CTEtabla-texto"/>
              <w:rPr>
                <w:rFonts w:cs="Arial"/>
              </w:rPr>
            </w:pPr>
            <w:r>
              <w:t>1,6</w:t>
            </w:r>
          </w:p>
        </w:tc>
        <w:tc>
          <w:tcPr>
            <w:tcW w:w="0" w:type="auto"/>
            <w:tcBorders>
              <w:top w:val="nil"/>
              <w:left w:val="nil"/>
              <w:bottom w:val="nil"/>
              <w:right w:val="nil"/>
            </w:tcBorders>
            <w:shd w:val="clear" w:color="auto" w:fill="FFFFFF"/>
            <w:vAlign w:val="center"/>
          </w:tcPr>
          <w:p w14:paraId="55E724BC" w14:textId="77777777" w:rsidR="00CA4204" w:rsidRPr="00937C8B" w:rsidRDefault="00CA4204" w:rsidP="003E38D0">
            <w:pPr>
              <w:pStyle w:val="CTEtabla-texto"/>
              <w:rPr>
                <w:rFonts w:cs="Arial"/>
              </w:rPr>
            </w:pPr>
            <w:r>
              <w:t>1,5</w:t>
            </w:r>
          </w:p>
        </w:tc>
      </w:tr>
    </w:tbl>
    <w:p w14:paraId="05ACEE37" w14:textId="77777777" w:rsidR="00CA4204" w:rsidRPr="00937C8B" w:rsidRDefault="00CA4204" w:rsidP="00CA4204">
      <w:pPr>
        <w:pStyle w:val="Standard"/>
        <w:rPr>
          <w:szCs w:val="22"/>
        </w:rPr>
      </w:pPr>
    </w:p>
    <w:p w14:paraId="563B704C" w14:textId="77777777" w:rsidR="00A32FE4" w:rsidRPr="00937C8B" w:rsidRDefault="00CA4204" w:rsidP="00CA4204">
      <w:pPr>
        <w:pStyle w:val="CTENumeracion"/>
        <w:spacing w:before="120"/>
        <w:rPr>
          <w:rFonts w:cs="Arial"/>
        </w:rPr>
      </w:pPr>
      <w:r>
        <w:rPr>
          <w:sz w:val="22"/>
          <w:szCs w:val="22"/>
        </w:rPr>
        <w:t>2</w:t>
      </w:r>
      <w:r>
        <w:rPr>
          <w:sz w:val="22"/>
          <w:szCs w:val="22"/>
        </w:rPr>
        <w:tab/>
        <w:t xml:space="preserve">Les valeurs ci-dessus supposent un traitement correct des </w:t>
      </w:r>
      <w:r>
        <w:rPr>
          <w:i/>
          <w:iCs/>
          <w:sz w:val="22"/>
          <w:szCs w:val="22"/>
        </w:rPr>
        <w:t>ponts thermiques</w:t>
      </w:r>
    </w:p>
    <w:p w14:paraId="414FF5EA" w14:textId="77777777" w:rsidR="00447DB2" w:rsidRPr="00937C8B" w:rsidRDefault="00447DB2" w:rsidP="0084739B">
      <w:pPr>
        <w:pStyle w:val="CteTtuloSeccion"/>
        <w:pageBreakBefore/>
        <w:spacing w:before="240"/>
        <w:rPr>
          <w:rFonts w:cs="Arial"/>
          <w:color w:val="auto"/>
        </w:rPr>
      </w:pPr>
      <w:bookmarkStart w:id="280" w:name="_Toc39157981"/>
      <w:bookmarkStart w:id="281" w:name="_Toc39158147"/>
      <w:bookmarkStart w:id="282" w:name="_Toc530395311"/>
      <w:bookmarkStart w:id="283" w:name="_Toc530396190"/>
      <w:r>
        <w:rPr>
          <w:color w:val="auto"/>
        </w:rPr>
        <w:lastRenderedPageBreak/>
        <w:t>Annexe F</w:t>
      </w:r>
      <w:r>
        <w:rPr>
          <w:color w:val="auto"/>
        </w:rPr>
        <w:tab/>
        <w:t>Demande de référence d’ECS</w:t>
      </w:r>
      <w:bookmarkEnd w:id="280"/>
      <w:bookmarkEnd w:id="281"/>
    </w:p>
    <w:bookmarkEnd w:id="282"/>
    <w:bookmarkEnd w:id="283"/>
    <w:p w14:paraId="3399F7D6" w14:textId="77777777" w:rsidR="00024602" w:rsidRPr="00937C8B" w:rsidRDefault="00024602" w:rsidP="00024602">
      <w:pPr>
        <w:pStyle w:val="CTENumeracion"/>
        <w:rPr>
          <w:rFonts w:cs="Arial"/>
        </w:rPr>
      </w:pPr>
    </w:p>
    <w:p w14:paraId="34C5A0D0" w14:textId="6C998904" w:rsidR="00024602" w:rsidRPr="00937C8B" w:rsidRDefault="00024602" w:rsidP="0059129F">
      <w:pPr>
        <w:pStyle w:val="CTENumeracion"/>
        <w:numPr>
          <w:ilvl w:val="0"/>
          <w:numId w:val="70"/>
        </w:numPr>
        <w:rPr>
          <w:rFonts w:cs="Arial"/>
          <w:sz w:val="22"/>
          <w:szCs w:val="22"/>
        </w:rPr>
      </w:pPr>
      <w:r>
        <w:rPr>
          <w:sz w:val="22"/>
          <w:szCs w:val="22"/>
        </w:rPr>
        <w:t>La demande de référence d’ECS pour les bâtiments à usage résidentiel privé découle des critères suivants: un besoin de 28 litres/jour par personne (à 60</w:t>
      </w:r>
      <w:r w:rsidR="00EA7588">
        <w:rPr>
          <w:sz w:val="22"/>
          <w:szCs w:val="22"/>
        </w:rPr>
        <w:t> </w:t>
      </w:r>
      <w:r>
        <w:rPr>
          <w:sz w:val="22"/>
          <w:szCs w:val="22"/>
        </w:rPr>
        <w:t>ºC), une occupation au moins égale au minimum établi dans le tableau a de l</w:t>
      </w:r>
      <w:r w:rsidR="00EA7588">
        <w:rPr>
          <w:sz w:val="22"/>
          <w:szCs w:val="22"/>
        </w:rPr>
        <w:t>’</w:t>
      </w:r>
      <w:r>
        <w:rPr>
          <w:sz w:val="22"/>
          <w:szCs w:val="22"/>
        </w:rPr>
        <w:t>annexe F et, dans le cas des logements multifamiliaux, un facteur de centralisation conforme au tableau b de l</w:t>
      </w:r>
      <w:r w:rsidR="00EA7588">
        <w:rPr>
          <w:sz w:val="22"/>
          <w:szCs w:val="22"/>
        </w:rPr>
        <w:t>’</w:t>
      </w:r>
      <w:r>
        <w:rPr>
          <w:sz w:val="22"/>
          <w:szCs w:val="22"/>
        </w:rPr>
        <w:t>annexe F, augmenté en fonction des pertes thermiques dues à la distribution, à l</w:t>
      </w:r>
      <w:r w:rsidR="00EA7588">
        <w:rPr>
          <w:sz w:val="22"/>
          <w:szCs w:val="22"/>
        </w:rPr>
        <w:t>’</w:t>
      </w:r>
      <w:r>
        <w:rPr>
          <w:sz w:val="22"/>
          <w:szCs w:val="22"/>
        </w:rPr>
        <w:t>accumulation et à la recirculation.</w:t>
      </w:r>
    </w:p>
    <w:p w14:paraId="1CB71DC3" w14:textId="05CAA30E" w:rsidR="00024602" w:rsidRPr="00937C8B" w:rsidRDefault="00024602" w:rsidP="00024602">
      <w:pPr>
        <w:pStyle w:val="CTEtabla-Titulo"/>
      </w:pPr>
      <w:r>
        <w:t>Tableau a-Annexe F.</w:t>
      </w:r>
      <w:r>
        <w:tab/>
        <w:t>Valeurs minimales d</w:t>
      </w:r>
      <w:r w:rsidR="00EA7588">
        <w:t>’</w:t>
      </w:r>
      <w:r>
        <w:t>occupation théorique en usage résidentiel privé</w:t>
      </w:r>
    </w:p>
    <w:tbl>
      <w:tblPr>
        <w:tblW w:w="5672" w:type="dxa"/>
        <w:jc w:val="center"/>
        <w:tblCellMar>
          <w:left w:w="103" w:type="dxa"/>
        </w:tblCellMar>
        <w:tblLook w:val="04A0" w:firstRow="1" w:lastRow="0" w:firstColumn="1" w:lastColumn="0" w:noHBand="0" w:noVBand="1"/>
      </w:tblPr>
      <w:tblGrid>
        <w:gridCol w:w="2314"/>
        <w:gridCol w:w="479"/>
        <w:gridCol w:w="480"/>
        <w:gridCol w:w="479"/>
        <w:gridCol w:w="481"/>
        <w:gridCol w:w="480"/>
        <w:gridCol w:w="481"/>
        <w:gridCol w:w="478"/>
      </w:tblGrid>
      <w:tr w:rsidR="00024602" w:rsidRPr="00937C8B" w14:paraId="3FDA477A" w14:textId="77777777" w:rsidTr="00935676">
        <w:trPr>
          <w:jc w:val="center"/>
        </w:trPr>
        <w:tc>
          <w:tcPr>
            <w:tcW w:w="2313" w:type="dxa"/>
            <w:tcBorders>
              <w:bottom w:val="single" w:sz="4" w:space="0" w:color="000000"/>
              <w:right w:val="single" w:sz="4" w:space="0" w:color="000000"/>
            </w:tcBorders>
            <w:shd w:val="clear" w:color="auto" w:fill="FFFFFF"/>
            <w:vAlign w:val="center"/>
          </w:tcPr>
          <w:p w14:paraId="37FD7F48" w14:textId="77777777" w:rsidR="00024602" w:rsidRPr="00937C8B" w:rsidRDefault="00024602" w:rsidP="003E38D0">
            <w:pPr>
              <w:pStyle w:val="CTEtabla-texto"/>
              <w:keepNext/>
              <w:keepLines/>
              <w:snapToGrid w:val="0"/>
              <w:jc w:val="left"/>
              <w:rPr>
                <w:rFonts w:cs="Arial"/>
                <w:b/>
              </w:rPr>
            </w:pPr>
            <w:r>
              <w:rPr>
                <w:b/>
              </w:rPr>
              <w:t>Nombre de chambres</w:t>
            </w:r>
          </w:p>
        </w:tc>
        <w:tc>
          <w:tcPr>
            <w:tcW w:w="479" w:type="dxa"/>
            <w:tcBorders>
              <w:left w:val="single" w:sz="4" w:space="0" w:color="000000"/>
              <w:bottom w:val="single" w:sz="4" w:space="0" w:color="000000"/>
            </w:tcBorders>
            <w:shd w:val="clear" w:color="auto" w:fill="FFFFFF"/>
            <w:vAlign w:val="center"/>
          </w:tcPr>
          <w:p w14:paraId="1308C4E6" w14:textId="77777777" w:rsidR="00024602" w:rsidRPr="00937C8B" w:rsidRDefault="00024602" w:rsidP="003E38D0">
            <w:pPr>
              <w:pStyle w:val="CTEtabla-texto"/>
              <w:keepNext/>
              <w:keepLines/>
              <w:snapToGrid w:val="0"/>
              <w:rPr>
                <w:rFonts w:cs="Arial"/>
                <w:b/>
              </w:rPr>
            </w:pPr>
            <w:r>
              <w:rPr>
                <w:b/>
              </w:rPr>
              <w:t>1</w:t>
            </w:r>
          </w:p>
        </w:tc>
        <w:tc>
          <w:tcPr>
            <w:tcW w:w="480" w:type="dxa"/>
            <w:tcBorders>
              <w:bottom w:val="single" w:sz="4" w:space="0" w:color="000000"/>
            </w:tcBorders>
            <w:shd w:val="clear" w:color="auto" w:fill="FFFFFF"/>
            <w:vAlign w:val="center"/>
          </w:tcPr>
          <w:p w14:paraId="527679EE" w14:textId="77777777" w:rsidR="00024602" w:rsidRPr="00937C8B" w:rsidRDefault="00024602" w:rsidP="003E38D0">
            <w:pPr>
              <w:pStyle w:val="CTEtabla-texto"/>
              <w:keepNext/>
              <w:keepLines/>
              <w:snapToGrid w:val="0"/>
              <w:rPr>
                <w:rFonts w:cs="Arial"/>
                <w:b/>
              </w:rPr>
            </w:pPr>
            <w:r>
              <w:rPr>
                <w:b/>
              </w:rPr>
              <w:t>2</w:t>
            </w:r>
          </w:p>
        </w:tc>
        <w:tc>
          <w:tcPr>
            <w:tcW w:w="479" w:type="dxa"/>
            <w:tcBorders>
              <w:bottom w:val="single" w:sz="4" w:space="0" w:color="000000"/>
            </w:tcBorders>
            <w:shd w:val="clear" w:color="auto" w:fill="FFFFFF"/>
            <w:vAlign w:val="center"/>
          </w:tcPr>
          <w:p w14:paraId="26307927" w14:textId="77777777" w:rsidR="00024602" w:rsidRPr="00937C8B" w:rsidRDefault="00024602" w:rsidP="003E38D0">
            <w:pPr>
              <w:pStyle w:val="CTEtabla-texto"/>
              <w:keepNext/>
              <w:keepLines/>
              <w:snapToGrid w:val="0"/>
              <w:rPr>
                <w:rFonts w:cs="Arial"/>
                <w:b/>
              </w:rPr>
            </w:pPr>
            <w:r>
              <w:rPr>
                <w:b/>
              </w:rPr>
              <w:t>3</w:t>
            </w:r>
          </w:p>
        </w:tc>
        <w:tc>
          <w:tcPr>
            <w:tcW w:w="481" w:type="dxa"/>
            <w:tcBorders>
              <w:bottom w:val="single" w:sz="4" w:space="0" w:color="000000"/>
            </w:tcBorders>
            <w:shd w:val="clear" w:color="auto" w:fill="FFFFFF"/>
            <w:vAlign w:val="center"/>
          </w:tcPr>
          <w:p w14:paraId="2CA490E8" w14:textId="77777777" w:rsidR="00024602" w:rsidRPr="00937C8B" w:rsidRDefault="00024602" w:rsidP="003E38D0">
            <w:pPr>
              <w:pStyle w:val="CTEtabla-texto"/>
              <w:keepNext/>
              <w:keepLines/>
              <w:snapToGrid w:val="0"/>
              <w:rPr>
                <w:rFonts w:cs="Arial"/>
                <w:b/>
              </w:rPr>
            </w:pPr>
            <w:r>
              <w:rPr>
                <w:b/>
              </w:rPr>
              <w:t>4</w:t>
            </w:r>
          </w:p>
        </w:tc>
        <w:tc>
          <w:tcPr>
            <w:tcW w:w="480" w:type="dxa"/>
            <w:tcBorders>
              <w:bottom w:val="single" w:sz="4" w:space="0" w:color="000000"/>
            </w:tcBorders>
            <w:shd w:val="clear" w:color="auto" w:fill="FFFFFF"/>
            <w:vAlign w:val="center"/>
          </w:tcPr>
          <w:p w14:paraId="4057CF8D" w14:textId="77777777" w:rsidR="00024602" w:rsidRPr="00937C8B" w:rsidRDefault="00024602" w:rsidP="003E38D0">
            <w:pPr>
              <w:pStyle w:val="CTEtabla-texto"/>
              <w:keepNext/>
              <w:keepLines/>
              <w:snapToGrid w:val="0"/>
              <w:rPr>
                <w:rFonts w:cs="Arial"/>
                <w:b/>
              </w:rPr>
            </w:pPr>
            <w:r>
              <w:rPr>
                <w:b/>
              </w:rPr>
              <w:t>5</w:t>
            </w:r>
          </w:p>
        </w:tc>
        <w:tc>
          <w:tcPr>
            <w:tcW w:w="481" w:type="dxa"/>
            <w:tcBorders>
              <w:bottom w:val="single" w:sz="4" w:space="0" w:color="000000"/>
            </w:tcBorders>
            <w:shd w:val="clear" w:color="auto" w:fill="FFFFFF"/>
            <w:vAlign w:val="center"/>
          </w:tcPr>
          <w:p w14:paraId="03C221B4" w14:textId="77777777" w:rsidR="00024602" w:rsidRPr="00937C8B" w:rsidRDefault="00024602" w:rsidP="003E38D0">
            <w:pPr>
              <w:pStyle w:val="CTEtabla-texto"/>
              <w:keepNext/>
              <w:keepLines/>
              <w:snapToGrid w:val="0"/>
              <w:rPr>
                <w:rFonts w:cs="Arial"/>
                <w:b/>
              </w:rPr>
            </w:pPr>
            <w:r>
              <w:rPr>
                <w:b/>
              </w:rPr>
              <w:t>6</w:t>
            </w:r>
          </w:p>
        </w:tc>
        <w:tc>
          <w:tcPr>
            <w:tcW w:w="478" w:type="dxa"/>
            <w:tcBorders>
              <w:bottom w:val="single" w:sz="4" w:space="0" w:color="000000"/>
            </w:tcBorders>
            <w:shd w:val="clear" w:color="auto" w:fill="FFFFFF"/>
            <w:vAlign w:val="center"/>
          </w:tcPr>
          <w:p w14:paraId="4993A2D3" w14:textId="77777777" w:rsidR="00024602" w:rsidRPr="00937C8B" w:rsidRDefault="00024602" w:rsidP="003E38D0">
            <w:pPr>
              <w:pStyle w:val="CTEtabla-texto"/>
              <w:keepNext/>
              <w:keepLines/>
              <w:snapToGrid w:val="0"/>
              <w:rPr>
                <w:rFonts w:cs="Arial"/>
              </w:rPr>
            </w:pPr>
            <w:r>
              <w:rPr>
                <w:b/>
              </w:rPr>
              <w:t>≥6</w:t>
            </w:r>
          </w:p>
        </w:tc>
      </w:tr>
      <w:tr w:rsidR="00024602" w:rsidRPr="00937C8B" w14:paraId="5D670250" w14:textId="77777777" w:rsidTr="00935676">
        <w:trPr>
          <w:jc w:val="center"/>
        </w:trPr>
        <w:tc>
          <w:tcPr>
            <w:tcW w:w="2313" w:type="dxa"/>
            <w:tcBorders>
              <w:top w:val="single" w:sz="4" w:space="0" w:color="000000"/>
              <w:right w:val="single" w:sz="4" w:space="0" w:color="000000"/>
            </w:tcBorders>
            <w:shd w:val="clear" w:color="auto" w:fill="FFFFFF"/>
            <w:vAlign w:val="center"/>
          </w:tcPr>
          <w:p w14:paraId="33F4F075" w14:textId="77777777" w:rsidR="00024602" w:rsidRPr="00937C8B" w:rsidRDefault="00024602" w:rsidP="003E38D0">
            <w:pPr>
              <w:pStyle w:val="CTEtabla-texto"/>
              <w:keepNext/>
              <w:keepLines/>
              <w:snapToGrid w:val="0"/>
              <w:jc w:val="left"/>
              <w:rPr>
                <w:rFonts w:cs="Arial"/>
              </w:rPr>
            </w:pPr>
            <w:r>
              <w:t>Nombre de personnes</w:t>
            </w:r>
          </w:p>
        </w:tc>
        <w:tc>
          <w:tcPr>
            <w:tcW w:w="479" w:type="dxa"/>
            <w:tcBorders>
              <w:top w:val="single" w:sz="4" w:space="0" w:color="000000"/>
              <w:left w:val="single" w:sz="4" w:space="0" w:color="000000"/>
            </w:tcBorders>
            <w:shd w:val="clear" w:color="auto" w:fill="FFFFFF"/>
            <w:vAlign w:val="center"/>
          </w:tcPr>
          <w:p w14:paraId="56B989E0" w14:textId="77777777" w:rsidR="00024602" w:rsidRPr="00937C8B" w:rsidRDefault="00024602" w:rsidP="003E38D0">
            <w:pPr>
              <w:pStyle w:val="CTEtabla-texto"/>
              <w:keepNext/>
              <w:keepLines/>
              <w:snapToGrid w:val="0"/>
              <w:rPr>
                <w:rFonts w:cs="Arial"/>
              </w:rPr>
            </w:pPr>
            <w:r>
              <w:t>1,5</w:t>
            </w:r>
          </w:p>
        </w:tc>
        <w:tc>
          <w:tcPr>
            <w:tcW w:w="480" w:type="dxa"/>
            <w:tcBorders>
              <w:top w:val="single" w:sz="4" w:space="0" w:color="000000"/>
            </w:tcBorders>
            <w:shd w:val="clear" w:color="auto" w:fill="FFFFFF"/>
            <w:vAlign w:val="center"/>
          </w:tcPr>
          <w:p w14:paraId="26EB3A42" w14:textId="77777777" w:rsidR="00024602" w:rsidRPr="00937C8B" w:rsidRDefault="00024602" w:rsidP="003E38D0">
            <w:pPr>
              <w:pStyle w:val="CTEtabla-texto"/>
              <w:keepNext/>
              <w:keepLines/>
              <w:snapToGrid w:val="0"/>
              <w:rPr>
                <w:rFonts w:cs="Arial"/>
              </w:rPr>
            </w:pPr>
            <w:r>
              <w:t>3</w:t>
            </w:r>
          </w:p>
        </w:tc>
        <w:tc>
          <w:tcPr>
            <w:tcW w:w="479" w:type="dxa"/>
            <w:tcBorders>
              <w:top w:val="single" w:sz="4" w:space="0" w:color="000000"/>
            </w:tcBorders>
            <w:shd w:val="clear" w:color="auto" w:fill="FFFFFF"/>
            <w:vAlign w:val="center"/>
          </w:tcPr>
          <w:p w14:paraId="2926AE53" w14:textId="77777777" w:rsidR="00024602" w:rsidRPr="00937C8B" w:rsidRDefault="00024602" w:rsidP="003E38D0">
            <w:pPr>
              <w:pStyle w:val="CTEtabla-texto"/>
              <w:keepNext/>
              <w:keepLines/>
              <w:snapToGrid w:val="0"/>
              <w:rPr>
                <w:rFonts w:cs="Arial"/>
              </w:rPr>
            </w:pPr>
            <w:r>
              <w:t>4</w:t>
            </w:r>
          </w:p>
        </w:tc>
        <w:tc>
          <w:tcPr>
            <w:tcW w:w="481" w:type="dxa"/>
            <w:tcBorders>
              <w:top w:val="single" w:sz="4" w:space="0" w:color="000000"/>
            </w:tcBorders>
            <w:shd w:val="clear" w:color="auto" w:fill="FFFFFF"/>
            <w:vAlign w:val="center"/>
          </w:tcPr>
          <w:p w14:paraId="4BFA7068" w14:textId="77777777" w:rsidR="00024602" w:rsidRPr="00937C8B" w:rsidRDefault="00024602" w:rsidP="003E38D0">
            <w:pPr>
              <w:pStyle w:val="CTEtabla-texto"/>
              <w:keepNext/>
              <w:keepLines/>
              <w:snapToGrid w:val="0"/>
              <w:rPr>
                <w:rFonts w:cs="Arial"/>
              </w:rPr>
            </w:pPr>
            <w:r>
              <w:t>5</w:t>
            </w:r>
          </w:p>
        </w:tc>
        <w:tc>
          <w:tcPr>
            <w:tcW w:w="480" w:type="dxa"/>
            <w:tcBorders>
              <w:top w:val="single" w:sz="4" w:space="0" w:color="000000"/>
            </w:tcBorders>
            <w:shd w:val="clear" w:color="auto" w:fill="FFFFFF"/>
            <w:vAlign w:val="center"/>
          </w:tcPr>
          <w:p w14:paraId="61B71FD8" w14:textId="77777777" w:rsidR="00024602" w:rsidRPr="00937C8B" w:rsidRDefault="00024602" w:rsidP="003E38D0">
            <w:pPr>
              <w:pStyle w:val="CTEtabla-texto"/>
              <w:keepNext/>
              <w:keepLines/>
              <w:snapToGrid w:val="0"/>
              <w:rPr>
                <w:rFonts w:cs="Arial"/>
              </w:rPr>
            </w:pPr>
            <w:r>
              <w:t>6</w:t>
            </w:r>
          </w:p>
        </w:tc>
        <w:tc>
          <w:tcPr>
            <w:tcW w:w="481" w:type="dxa"/>
            <w:tcBorders>
              <w:top w:val="single" w:sz="4" w:space="0" w:color="000000"/>
            </w:tcBorders>
            <w:shd w:val="clear" w:color="auto" w:fill="FFFFFF"/>
            <w:vAlign w:val="center"/>
          </w:tcPr>
          <w:p w14:paraId="494D880C" w14:textId="77777777" w:rsidR="00024602" w:rsidRPr="00937C8B" w:rsidRDefault="00024602" w:rsidP="003E38D0">
            <w:pPr>
              <w:pStyle w:val="CTEtabla-texto"/>
              <w:keepNext/>
              <w:keepLines/>
              <w:snapToGrid w:val="0"/>
              <w:rPr>
                <w:rFonts w:cs="Arial"/>
              </w:rPr>
            </w:pPr>
            <w:r>
              <w:t>6</w:t>
            </w:r>
          </w:p>
        </w:tc>
        <w:tc>
          <w:tcPr>
            <w:tcW w:w="478" w:type="dxa"/>
            <w:tcBorders>
              <w:top w:val="single" w:sz="4" w:space="0" w:color="000000"/>
            </w:tcBorders>
            <w:shd w:val="clear" w:color="auto" w:fill="FFFFFF"/>
            <w:vAlign w:val="center"/>
          </w:tcPr>
          <w:p w14:paraId="3E690163" w14:textId="77777777" w:rsidR="00024602" w:rsidRPr="00937C8B" w:rsidRDefault="00024602" w:rsidP="003E38D0">
            <w:pPr>
              <w:pStyle w:val="CTEtabla-texto"/>
              <w:keepNext/>
              <w:keepLines/>
              <w:snapToGrid w:val="0"/>
              <w:rPr>
                <w:rFonts w:cs="Arial"/>
              </w:rPr>
            </w:pPr>
            <w:r>
              <w:t>7</w:t>
            </w:r>
          </w:p>
        </w:tc>
      </w:tr>
    </w:tbl>
    <w:p w14:paraId="53D09E9D" w14:textId="77777777" w:rsidR="00024602" w:rsidRPr="00937C8B" w:rsidRDefault="00024602" w:rsidP="00024602">
      <w:pPr>
        <w:pStyle w:val="CTEtabla-Titulo"/>
        <w:spacing w:before="240"/>
      </w:pPr>
      <w:r>
        <w:t>Tableau b-Annexe F.</w:t>
      </w:r>
      <w:r>
        <w:tab/>
        <w:t>Valeur du facteur de centralisation dans les logements multifamiliaux</w:t>
      </w:r>
    </w:p>
    <w:tbl>
      <w:tblPr>
        <w:tblW w:w="8670" w:type="dxa"/>
        <w:jc w:val="center"/>
        <w:tblBorders>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2039"/>
        <w:gridCol w:w="947"/>
        <w:gridCol w:w="948"/>
        <w:gridCol w:w="949"/>
        <w:gridCol w:w="947"/>
        <w:gridCol w:w="947"/>
        <w:gridCol w:w="947"/>
        <w:gridCol w:w="946"/>
      </w:tblGrid>
      <w:tr w:rsidR="00024602" w:rsidRPr="00937C8B" w14:paraId="6C96B8AB" w14:textId="77777777" w:rsidTr="00935676">
        <w:trPr>
          <w:jc w:val="center"/>
        </w:trPr>
        <w:tc>
          <w:tcPr>
            <w:tcW w:w="2038" w:type="dxa"/>
            <w:shd w:val="clear" w:color="auto" w:fill="auto"/>
            <w:vAlign w:val="center"/>
          </w:tcPr>
          <w:p w14:paraId="0561C7ED" w14:textId="77777777" w:rsidR="00024602" w:rsidRPr="00937C8B" w:rsidRDefault="00024602" w:rsidP="003E38D0">
            <w:pPr>
              <w:pStyle w:val="Standard"/>
              <w:rPr>
                <w:b/>
                <w:sz w:val="18"/>
                <w:szCs w:val="18"/>
              </w:rPr>
            </w:pPr>
            <w:r>
              <w:rPr>
                <w:b/>
                <w:sz w:val="18"/>
                <w:szCs w:val="18"/>
              </w:rPr>
              <w:t>Nombre de logements</w:t>
            </w:r>
          </w:p>
        </w:tc>
        <w:tc>
          <w:tcPr>
            <w:tcW w:w="947" w:type="dxa"/>
            <w:tcBorders>
              <w:top w:val="nil"/>
              <w:bottom w:val="single" w:sz="4" w:space="0" w:color="000000"/>
              <w:right w:val="nil"/>
            </w:tcBorders>
            <w:shd w:val="clear" w:color="auto" w:fill="auto"/>
            <w:vAlign w:val="center"/>
          </w:tcPr>
          <w:p w14:paraId="133F8F3D" w14:textId="77777777" w:rsidR="00024602" w:rsidRPr="00937C8B" w:rsidRDefault="00024602" w:rsidP="003E38D0">
            <w:pPr>
              <w:pStyle w:val="Standard"/>
              <w:jc w:val="center"/>
              <w:rPr>
                <w:b/>
                <w:bCs/>
                <w:sz w:val="18"/>
                <w:szCs w:val="20"/>
              </w:rPr>
            </w:pPr>
            <w:r>
              <w:rPr>
                <w:b/>
                <w:bCs/>
                <w:sz w:val="18"/>
                <w:szCs w:val="20"/>
              </w:rPr>
              <w:t>N≤3</w:t>
            </w:r>
          </w:p>
        </w:tc>
        <w:tc>
          <w:tcPr>
            <w:tcW w:w="948" w:type="dxa"/>
            <w:tcBorders>
              <w:top w:val="nil"/>
              <w:left w:val="nil"/>
              <w:bottom w:val="single" w:sz="4" w:space="0" w:color="000000"/>
              <w:right w:val="nil"/>
            </w:tcBorders>
            <w:shd w:val="clear" w:color="auto" w:fill="auto"/>
            <w:vAlign w:val="center"/>
          </w:tcPr>
          <w:p w14:paraId="0866DD39" w14:textId="77777777" w:rsidR="00024602" w:rsidRPr="00937C8B" w:rsidRDefault="00024602" w:rsidP="003E38D0">
            <w:pPr>
              <w:pStyle w:val="Standard"/>
              <w:jc w:val="center"/>
              <w:rPr>
                <w:b/>
                <w:bCs/>
                <w:sz w:val="18"/>
                <w:szCs w:val="20"/>
              </w:rPr>
            </w:pPr>
            <w:r>
              <w:rPr>
                <w:b/>
                <w:bCs/>
                <w:sz w:val="18"/>
                <w:szCs w:val="20"/>
              </w:rPr>
              <w:t>4≤N≤10</w:t>
            </w:r>
          </w:p>
        </w:tc>
        <w:tc>
          <w:tcPr>
            <w:tcW w:w="949" w:type="dxa"/>
            <w:tcBorders>
              <w:top w:val="nil"/>
              <w:left w:val="nil"/>
              <w:bottom w:val="single" w:sz="4" w:space="0" w:color="000000"/>
              <w:right w:val="nil"/>
            </w:tcBorders>
            <w:shd w:val="clear" w:color="auto" w:fill="auto"/>
            <w:vAlign w:val="center"/>
          </w:tcPr>
          <w:p w14:paraId="6D4180D0" w14:textId="77777777" w:rsidR="00024602" w:rsidRPr="00937C8B" w:rsidRDefault="00024602" w:rsidP="003E38D0">
            <w:pPr>
              <w:pStyle w:val="Standard"/>
              <w:jc w:val="center"/>
              <w:rPr>
                <w:b/>
                <w:bCs/>
                <w:sz w:val="18"/>
                <w:szCs w:val="20"/>
              </w:rPr>
            </w:pPr>
            <w:r>
              <w:rPr>
                <w:b/>
                <w:bCs/>
                <w:sz w:val="18"/>
                <w:szCs w:val="20"/>
              </w:rPr>
              <w:t>11≤N≤20</w:t>
            </w:r>
          </w:p>
        </w:tc>
        <w:tc>
          <w:tcPr>
            <w:tcW w:w="947" w:type="dxa"/>
            <w:tcBorders>
              <w:top w:val="nil"/>
              <w:left w:val="nil"/>
              <w:bottom w:val="single" w:sz="4" w:space="0" w:color="000000"/>
              <w:right w:val="nil"/>
            </w:tcBorders>
            <w:shd w:val="clear" w:color="auto" w:fill="auto"/>
            <w:vAlign w:val="center"/>
          </w:tcPr>
          <w:p w14:paraId="04F792BE" w14:textId="77777777" w:rsidR="00024602" w:rsidRPr="00937C8B" w:rsidRDefault="00024602" w:rsidP="003E38D0">
            <w:pPr>
              <w:pStyle w:val="Standard"/>
              <w:jc w:val="center"/>
              <w:rPr>
                <w:b/>
                <w:bCs/>
                <w:sz w:val="18"/>
                <w:szCs w:val="20"/>
              </w:rPr>
            </w:pPr>
            <w:r>
              <w:rPr>
                <w:b/>
                <w:bCs/>
                <w:sz w:val="18"/>
                <w:szCs w:val="20"/>
              </w:rPr>
              <w:t>21≤N≤50</w:t>
            </w:r>
          </w:p>
        </w:tc>
        <w:tc>
          <w:tcPr>
            <w:tcW w:w="947" w:type="dxa"/>
            <w:tcBorders>
              <w:top w:val="nil"/>
              <w:left w:val="nil"/>
              <w:bottom w:val="single" w:sz="4" w:space="0" w:color="000000"/>
              <w:right w:val="nil"/>
            </w:tcBorders>
            <w:shd w:val="clear" w:color="auto" w:fill="auto"/>
            <w:vAlign w:val="center"/>
          </w:tcPr>
          <w:p w14:paraId="28C53B25" w14:textId="77777777" w:rsidR="00024602" w:rsidRPr="00937C8B" w:rsidRDefault="00024602" w:rsidP="003E38D0">
            <w:pPr>
              <w:pStyle w:val="Standard"/>
              <w:jc w:val="center"/>
              <w:rPr>
                <w:b/>
                <w:bCs/>
                <w:sz w:val="18"/>
                <w:szCs w:val="20"/>
              </w:rPr>
            </w:pPr>
            <w:r>
              <w:rPr>
                <w:b/>
                <w:bCs/>
                <w:sz w:val="18"/>
                <w:szCs w:val="20"/>
              </w:rPr>
              <w:t>51≤N≤75</w:t>
            </w:r>
          </w:p>
        </w:tc>
        <w:tc>
          <w:tcPr>
            <w:tcW w:w="947" w:type="dxa"/>
            <w:tcBorders>
              <w:top w:val="nil"/>
              <w:left w:val="nil"/>
              <w:bottom w:val="single" w:sz="4" w:space="0" w:color="000000"/>
              <w:right w:val="nil"/>
            </w:tcBorders>
            <w:shd w:val="clear" w:color="auto" w:fill="auto"/>
            <w:vAlign w:val="center"/>
          </w:tcPr>
          <w:p w14:paraId="317AD628" w14:textId="77777777" w:rsidR="00024602" w:rsidRPr="00937C8B" w:rsidRDefault="00024602" w:rsidP="003E38D0">
            <w:pPr>
              <w:pStyle w:val="Standard"/>
              <w:jc w:val="center"/>
              <w:rPr>
                <w:b/>
                <w:bCs/>
                <w:sz w:val="18"/>
                <w:szCs w:val="20"/>
              </w:rPr>
            </w:pPr>
            <w:r>
              <w:rPr>
                <w:b/>
                <w:bCs/>
                <w:sz w:val="18"/>
                <w:szCs w:val="20"/>
              </w:rPr>
              <w:t>76≤N≤100</w:t>
            </w:r>
          </w:p>
        </w:tc>
        <w:tc>
          <w:tcPr>
            <w:tcW w:w="946" w:type="dxa"/>
            <w:tcBorders>
              <w:top w:val="nil"/>
              <w:left w:val="nil"/>
              <w:bottom w:val="single" w:sz="4" w:space="0" w:color="000000"/>
            </w:tcBorders>
            <w:shd w:val="clear" w:color="auto" w:fill="auto"/>
            <w:vAlign w:val="center"/>
          </w:tcPr>
          <w:p w14:paraId="50767C98" w14:textId="77777777" w:rsidR="00024602" w:rsidRPr="00937C8B" w:rsidRDefault="00024602" w:rsidP="003E38D0">
            <w:pPr>
              <w:pStyle w:val="Standard"/>
              <w:jc w:val="center"/>
              <w:rPr>
                <w:b/>
                <w:bCs/>
                <w:sz w:val="18"/>
                <w:szCs w:val="20"/>
              </w:rPr>
            </w:pPr>
            <w:r>
              <w:rPr>
                <w:b/>
                <w:bCs/>
                <w:sz w:val="18"/>
                <w:szCs w:val="20"/>
              </w:rPr>
              <w:t>N≥101</w:t>
            </w:r>
          </w:p>
        </w:tc>
      </w:tr>
      <w:tr w:rsidR="00024602" w:rsidRPr="00937C8B" w14:paraId="2D142618" w14:textId="77777777" w:rsidTr="00935676">
        <w:trPr>
          <w:jc w:val="center"/>
        </w:trPr>
        <w:tc>
          <w:tcPr>
            <w:tcW w:w="2038" w:type="dxa"/>
            <w:shd w:val="clear" w:color="auto" w:fill="auto"/>
            <w:vAlign w:val="center"/>
          </w:tcPr>
          <w:p w14:paraId="6D377613" w14:textId="77777777" w:rsidR="00024602" w:rsidRPr="00937C8B" w:rsidRDefault="00024602" w:rsidP="003E38D0">
            <w:pPr>
              <w:pStyle w:val="CTEtabla-texto"/>
              <w:jc w:val="left"/>
              <w:rPr>
                <w:rFonts w:cs="Arial"/>
              </w:rPr>
            </w:pPr>
            <w:r>
              <w:t>Facteur de centralisation</w:t>
            </w:r>
          </w:p>
        </w:tc>
        <w:tc>
          <w:tcPr>
            <w:tcW w:w="947" w:type="dxa"/>
            <w:tcBorders>
              <w:top w:val="single" w:sz="4" w:space="0" w:color="000000"/>
              <w:bottom w:val="nil"/>
              <w:right w:val="nil"/>
            </w:tcBorders>
            <w:shd w:val="clear" w:color="auto" w:fill="auto"/>
            <w:vAlign w:val="center"/>
          </w:tcPr>
          <w:p w14:paraId="03B99DC8" w14:textId="77777777" w:rsidR="00024602" w:rsidRPr="00937C8B" w:rsidRDefault="00024602" w:rsidP="003E38D0">
            <w:pPr>
              <w:pStyle w:val="CTEtabla-texto"/>
              <w:rPr>
                <w:rFonts w:cs="Arial"/>
              </w:rPr>
            </w:pPr>
            <w:r>
              <w:t>1</w:t>
            </w:r>
          </w:p>
        </w:tc>
        <w:tc>
          <w:tcPr>
            <w:tcW w:w="948" w:type="dxa"/>
            <w:tcBorders>
              <w:top w:val="single" w:sz="4" w:space="0" w:color="000000"/>
              <w:left w:val="nil"/>
              <w:bottom w:val="nil"/>
              <w:right w:val="nil"/>
            </w:tcBorders>
            <w:shd w:val="clear" w:color="auto" w:fill="auto"/>
            <w:vAlign w:val="center"/>
          </w:tcPr>
          <w:p w14:paraId="02E6C446" w14:textId="77777777" w:rsidR="00024602" w:rsidRPr="00937C8B" w:rsidRDefault="00024602" w:rsidP="003E38D0">
            <w:pPr>
              <w:pStyle w:val="CTEtabla-texto"/>
              <w:rPr>
                <w:rFonts w:cs="Arial"/>
              </w:rPr>
            </w:pPr>
            <w:r>
              <w:t>0,95</w:t>
            </w:r>
          </w:p>
        </w:tc>
        <w:tc>
          <w:tcPr>
            <w:tcW w:w="949" w:type="dxa"/>
            <w:tcBorders>
              <w:top w:val="single" w:sz="4" w:space="0" w:color="000000"/>
              <w:left w:val="nil"/>
              <w:bottom w:val="nil"/>
              <w:right w:val="nil"/>
            </w:tcBorders>
            <w:shd w:val="clear" w:color="auto" w:fill="auto"/>
            <w:vAlign w:val="center"/>
          </w:tcPr>
          <w:p w14:paraId="6A0450E6" w14:textId="77777777" w:rsidR="00024602" w:rsidRPr="00937C8B" w:rsidRDefault="00024602" w:rsidP="003E38D0">
            <w:pPr>
              <w:pStyle w:val="CTEtabla-texto"/>
              <w:rPr>
                <w:rFonts w:cs="Arial"/>
              </w:rPr>
            </w:pPr>
            <w:r>
              <w:t>0,90</w:t>
            </w:r>
          </w:p>
        </w:tc>
        <w:tc>
          <w:tcPr>
            <w:tcW w:w="947" w:type="dxa"/>
            <w:tcBorders>
              <w:top w:val="single" w:sz="4" w:space="0" w:color="000000"/>
              <w:left w:val="nil"/>
              <w:bottom w:val="nil"/>
              <w:right w:val="nil"/>
            </w:tcBorders>
            <w:shd w:val="clear" w:color="auto" w:fill="auto"/>
            <w:vAlign w:val="center"/>
          </w:tcPr>
          <w:p w14:paraId="42A06C7C" w14:textId="77777777" w:rsidR="00024602" w:rsidRPr="00937C8B" w:rsidRDefault="00024602" w:rsidP="003E38D0">
            <w:pPr>
              <w:pStyle w:val="CTEtabla-texto"/>
              <w:rPr>
                <w:rFonts w:cs="Arial"/>
              </w:rPr>
            </w:pPr>
            <w:r>
              <w:t>0,85</w:t>
            </w:r>
          </w:p>
        </w:tc>
        <w:tc>
          <w:tcPr>
            <w:tcW w:w="947" w:type="dxa"/>
            <w:tcBorders>
              <w:top w:val="single" w:sz="4" w:space="0" w:color="000000"/>
              <w:left w:val="nil"/>
              <w:bottom w:val="nil"/>
              <w:right w:val="nil"/>
            </w:tcBorders>
            <w:shd w:val="clear" w:color="auto" w:fill="auto"/>
            <w:vAlign w:val="center"/>
          </w:tcPr>
          <w:p w14:paraId="1F6EB53A" w14:textId="77777777" w:rsidR="00024602" w:rsidRPr="00937C8B" w:rsidRDefault="00024602" w:rsidP="003E38D0">
            <w:pPr>
              <w:pStyle w:val="CTEtabla-texto"/>
              <w:rPr>
                <w:rFonts w:cs="Arial"/>
              </w:rPr>
            </w:pPr>
            <w:r>
              <w:t>0,80</w:t>
            </w:r>
          </w:p>
        </w:tc>
        <w:tc>
          <w:tcPr>
            <w:tcW w:w="947" w:type="dxa"/>
            <w:tcBorders>
              <w:top w:val="single" w:sz="4" w:space="0" w:color="000000"/>
              <w:left w:val="nil"/>
              <w:bottom w:val="nil"/>
              <w:right w:val="nil"/>
            </w:tcBorders>
            <w:shd w:val="clear" w:color="auto" w:fill="auto"/>
            <w:vAlign w:val="center"/>
          </w:tcPr>
          <w:p w14:paraId="752B4649" w14:textId="77777777" w:rsidR="00024602" w:rsidRPr="00937C8B" w:rsidRDefault="00024602" w:rsidP="003E38D0">
            <w:pPr>
              <w:pStyle w:val="CTEtabla-texto"/>
              <w:rPr>
                <w:rFonts w:cs="Arial"/>
              </w:rPr>
            </w:pPr>
            <w:r>
              <w:t>0,75</w:t>
            </w:r>
          </w:p>
        </w:tc>
        <w:tc>
          <w:tcPr>
            <w:tcW w:w="946" w:type="dxa"/>
            <w:tcBorders>
              <w:top w:val="single" w:sz="4" w:space="0" w:color="000000"/>
              <w:left w:val="nil"/>
              <w:bottom w:val="nil"/>
            </w:tcBorders>
            <w:shd w:val="clear" w:color="auto" w:fill="auto"/>
            <w:vAlign w:val="center"/>
          </w:tcPr>
          <w:p w14:paraId="18346505" w14:textId="77777777" w:rsidR="00024602" w:rsidRPr="00937C8B" w:rsidRDefault="00024602" w:rsidP="003E38D0">
            <w:pPr>
              <w:pStyle w:val="CTEtabla-texto"/>
              <w:rPr>
                <w:rFonts w:cs="Arial"/>
              </w:rPr>
            </w:pPr>
            <w:r>
              <w:t>0,70</w:t>
            </w:r>
          </w:p>
        </w:tc>
      </w:tr>
    </w:tbl>
    <w:p w14:paraId="79061FD0" w14:textId="592A3F09" w:rsidR="00024602" w:rsidRPr="00937C8B" w:rsidRDefault="00024602" w:rsidP="0059129F">
      <w:pPr>
        <w:pStyle w:val="CTENumeracion"/>
        <w:numPr>
          <w:ilvl w:val="0"/>
          <w:numId w:val="70"/>
        </w:numPr>
        <w:rPr>
          <w:rFonts w:cs="Arial"/>
          <w:sz w:val="22"/>
          <w:szCs w:val="22"/>
        </w:rPr>
      </w:pPr>
      <w:r>
        <w:rPr>
          <w:sz w:val="22"/>
          <w:szCs w:val="22"/>
        </w:rPr>
        <w:t>Pour le calcul de la demande de référence d’ECS pour les bâtiments à usage autre que résidentiel privé, les valeurs indicatives correspondantes du tableau c de l</w:t>
      </w:r>
      <w:r w:rsidR="00EA7588">
        <w:rPr>
          <w:sz w:val="22"/>
          <w:szCs w:val="22"/>
        </w:rPr>
        <w:t>’</w:t>
      </w:r>
      <w:r>
        <w:rPr>
          <w:sz w:val="22"/>
          <w:szCs w:val="22"/>
        </w:rPr>
        <w:t>annexe F, augmentées en fonction des pertes thermiques dues à la distribution, l</w:t>
      </w:r>
      <w:r w:rsidR="00EA7588">
        <w:rPr>
          <w:sz w:val="22"/>
          <w:szCs w:val="22"/>
        </w:rPr>
        <w:t>’</w:t>
      </w:r>
      <w:r>
        <w:rPr>
          <w:sz w:val="22"/>
          <w:szCs w:val="22"/>
        </w:rPr>
        <w:t>accumulation et la recirculation, sont considérées comme acceptables à une température de référence de 60</w:t>
      </w:r>
      <w:r w:rsidR="00EA7588">
        <w:rPr>
          <w:sz w:val="22"/>
          <w:szCs w:val="22"/>
        </w:rPr>
        <w:t> </w:t>
      </w:r>
      <w:r>
        <w:rPr>
          <w:sz w:val="22"/>
          <w:szCs w:val="22"/>
        </w:rPr>
        <w:t>°C. La demande de référence d’ECS pour les cas non inclus dans le tableau c de l</w:t>
      </w:r>
      <w:r w:rsidR="00EA7588">
        <w:rPr>
          <w:sz w:val="22"/>
          <w:szCs w:val="22"/>
        </w:rPr>
        <w:t>’</w:t>
      </w:r>
      <w:r>
        <w:rPr>
          <w:sz w:val="22"/>
          <w:szCs w:val="22"/>
        </w:rPr>
        <w:t>annexe F est obtenue à partir des besoins d’ECS vérifiés par l</w:t>
      </w:r>
      <w:r w:rsidR="00EA7588">
        <w:rPr>
          <w:sz w:val="22"/>
          <w:szCs w:val="22"/>
        </w:rPr>
        <w:t>’</w:t>
      </w:r>
      <w:r>
        <w:rPr>
          <w:sz w:val="22"/>
          <w:szCs w:val="22"/>
        </w:rPr>
        <w:t>expérience ou collectés par des sources fiables.</w:t>
      </w:r>
    </w:p>
    <w:p w14:paraId="7AFF5822" w14:textId="77777777" w:rsidR="00024602" w:rsidRPr="00937C8B" w:rsidRDefault="00024602" w:rsidP="00D27646">
      <w:pPr>
        <w:pStyle w:val="CTEtabla-Titulo"/>
        <w:ind w:right="-1"/>
      </w:pPr>
      <w:r>
        <w:t>Tableau c-Annexe F Demande indicative d’ECS pour des utilisations autres que résidentielles privées</w:t>
      </w:r>
    </w:p>
    <w:tbl>
      <w:tblPr>
        <w:tblW w:w="6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3851"/>
        <w:gridCol w:w="2566"/>
      </w:tblGrid>
      <w:tr w:rsidR="00024602" w:rsidRPr="00937C8B" w14:paraId="518231F4" w14:textId="77777777" w:rsidTr="00935676">
        <w:trPr>
          <w:jc w:val="center"/>
        </w:trPr>
        <w:tc>
          <w:tcPr>
            <w:tcW w:w="3851" w:type="dxa"/>
            <w:tcBorders>
              <w:top w:val="nil"/>
              <w:left w:val="nil"/>
              <w:bottom w:val="single" w:sz="4" w:space="0" w:color="000000"/>
              <w:right w:val="single" w:sz="4" w:space="0" w:color="000000"/>
            </w:tcBorders>
            <w:shd w:val="clear" w:color="auto" w:fill="auto"/>
            <w:vAlign w:val="center"/>
          </w:tcPr>
          <w:p w14:paraId="30E50E02" w14:textId="77777777" w:rsidR="00024602" w:rsidRPr="00937C8B" w:rsidRDefault="00024602" w:rsidP="00D27646">
            <w:pPr>
              <w:pStyle w:val="CTEtabla-texto"/>
              <w:keepNext/>
              <w:jc w:val="left"/>
              <w:rPr>
                <w:rFonts w:cs="Arial"/>
                <w:b/>
                <w:bCs/>
              </w:rPr>
            </w:pPr>
            <w:r>
              <w:rPr>
                <w:b/>
                <w:bCs/>
              </w:rPr>
              <w:t>Critère de la demande</w:t>
            </w:r>
          </w:p>
        </w:tc>
        <w:tc>
          <w:tcPr>
            <w:tcW w:w="2566" w:type="dxa"/>
            <w:tcBorders>
              <w:top w:val="nil"/>
              <w:left w:val="single" w:sz="4" w:space="0" w:color="000000"/>
              <w:bottom w:val="single" w:sz="4" w:space="0" w:color="000000"/>
              <w:right w:val="nil"/>
            </w:tcBorders>
            <w:shd w:val="clear" w:color="auto" w:fill="auto"/>
            <w:vAlign w:val="center"/>
          </w:tcPr>
          <w:p w14:paraId="5E572DBA" w14:textId="77777777" w:rsidR="00024602" w:rsidRPr="00937C8B" w:rsidRDefault="00024602" w:rsidP="00D27646">
            <w:pPr>
              <w:pStyle w:val="CTEtabla-texto"/>
              <w:keepNext/>
              <w:rPr>
                <w:rFonts w:cs="Arial"/>
                <w:b/>
                <w:bCs/>
              </w:rPr>
            </w:pPr>
            <w:r>
              <w:rPr>
                <w:b/>
                <w:bCs/>
              </w:rPr>
              <w:t>Litres/jour par personne</w:t>
            </w:r>
          </w:p>
        </w:tc>
      </w:tr>
      <w:tr w:rsidR="00024602" w:rsidRPr="00937C8B" w14:paraId="11248505" w14:textId="77777777" w:rsidTr="00935676">
        <w:trPr>
          <w:jc w:val="center"/>
        </w:trPr>
        <w:tc>
          <w:tcPr>
            <w:tcW w:w="3851" w:type="dxa"/>
            <w:tcBorders>
              <w:top w:val="single" w:sz="4" w:space="0" w:color="000000"/>
              <w:left w:val="nil"/>
              <w:bottom w:val="nil"/>
              <w:right w:val="single" w:sz="4" w:space="0" w:color="000000"/>
            </w:tcBorders>
            <w:shd w:val="clear" w:color="auto" w:fill="auto"/>
            <w:vAlign w:val="center"/>
          </w:tcPr>
          <w:p w14:paraId="0AC34160" w14:textId="77777777" w:rsidR="00024602" w:rsidRPr="00937C8B" w:rsidRDefault="00024602" w:rsidP="003E38D0">
            <w:pPr>
              <w:pStyle w:val="CTEtabla-texto"/>
              <w:jc w:val="left"/>
              <w:rPr>
                <w:rFonts w:cs="Arial"/>
              </w:rPr>
            </w:pPr>
            <w:r>
              <w:t>Hôpitaux et cliniques</w:t>
            </w:r>
          </w:p>
        </w:tc>
        <w:tc>
          <w:tcPr>
            <w:tcW w:w="2566" w:type="dxa"/>
            <w:tcBorders>
              <w:top w:val="single" w:sz="4" w:space="0" w:color="000000"/>
              <w:left w:val="single" w:sz="4" w:space="0" w:color="000000"/>
              <w:bottom w:val="nil"/>
              <w:right w:val="nil"/>
            </w:tcBorders>
            <w:shd w:val="clear" w:color="auto" w:fill="auto"/>
            <w:vAlign w:val="center"/>
          </w:tcPr>
          <w:p w14:paraId="7FAFAA48" w14:textId="77777777" w:rsidR="00024602" w:rsidRPr="00937C8B" w:rsidRDefault="00024602" w:rsidP="003E38D0">
            <w:pPr>
              <w:pStyle w:val="CTEtabla-texto"/>
              <w:rPr>
                <w:rFonts w:cs="Arial"/>
              </w:rPr>
            </w:pPr>
            <w:r>
              <w:t>55</w:t>
            </w:r>
          </w:p>
        </w:tc>
      </w:tr>
      <w:tr w:rsidR="00024602" w:rsidRPr="00937C8B" w14:paraId="646F8F6A" w14:textId="77777777" w:rsidTr="00935676">
        <w:trPr>
          <w:jc w:val="center"/>
        </w:trPr>
        <w:tc>
          <w:tcPr>
            <w:tcW w:w="3851" w:type="dxa"/>
            <w:tcBorders>
              <w:top w:val="nil"/>
              <w:left w:val="nil"/>
              <w:bottom w:val="nil"/>
              <w:right w:val="single" w:sz="4" w:space="0" w:color="000000"/>
            </w:tcBorders>
            <w:shd w:val="clear" w:color="auto" w:fill="auto"/>
            <w:vAlign w:val="center"/>
          </w:tcPr>
          <w:p w14:paraId="410FC3D8" w14:textId="77777777" w:rsidR="00024602" w:rsidRPr="00937C8B" w:rsidRDefault="00024602" w:rsidP="003E38D0">
            <w:pPr>
              <w:pStyle w:val="CTEtabla-texto"/>
              <w:jc w:val="left"/>
              <w:rPr>
                <w:rFonts w:cs="Arial"/>
              </w:rPr>
            </w:pPr>
            <w:r>
              <w:t>Ambulatoire et centre de santé</w:t>
            </w:r>
          </w:p>
        </w:tc>
        <w:tc>
          <w:tcPr>
            <w:tcW w:w="2566" w:type="dxa"/>
            <w:tcBorders>
              <w:top w:val="nil"/>
              <w:left w:val="single" w:sz="4" w:space="0" w:color="000000"/>
              <w:bottom w:val="nil"/>
              <w:right w:val="nil"/>
            </w:tcBorders>
            <w:shd w:val="clear" w:color="auto" w:fill="auto"/>
            <w:vAlign w:val="center"/>
          </w:tcPr>
          <w:p w14:paraId="14D903B2" w14:textId="77777777" w:rsidR="00024602" w:rsidRPr="00937C8B" w:rsidRDefault="00024602" w:rsidP="003E38D0">
            <w:pPr>
              <w:pStyle w:val="CTEtabla-texto"/>
              <w:rPr>
                <w:rFonts w:cs="Arial"/>
              </w:rPr>
            </w:pPr>
            <w:r>
              <w:t>41</w:t>
            </w:r>
          </w:p>
        </w:tc>
      </w:tr>
      <w:tr w:rsidR="00024602" w:rsidRPr="00937C8B" w14:paraId="70B030FF" w14:textId="77777777" w:rsidTr="00935676">
        <w:trPr>
          <w:jc w:val="center"/>
        </w:trPr>
        <w:tc>
          <w:tcPr>
            <w:tcW w:w="3851" w:type="dxa"/>
            <w:tcBorders>
              <w:top w:val="nil"/>
              <w:left w:val="nil"/>
              <w:bottom w:val="nil"/>
              <w:right w:val="single" w:sz="4" w:space="0" w:color="000000"/>
            </w:tcBorders>
            <w:shd w:val="clear" w:color="auto" w:fill="auto"/>
            <w:vAlign w:val="center"/>
          </w:tcPr>
          <w:p w14:paraId="26DDC7DA" w14:textId="77777777" w:rsidR="00024602" w:rsidRPr="00937C8B" w:rsidRDefault="00024602" w:rsidP="003E38D0">
            <w:pPr>
              <w:pStyle w:val="CTEtabla-texto"/>
              <w:jc w:val="left"/>
              <w:rPr>
                <w:rFonts w:cs="Arial"/>
              </w:rPr>
            </w:pPr>
            <w:r>
              <w:t>Hôtel *****</w:t>
            </w:r>
          </w:p>
        </w:tc>
        <w:tc>
          <w:tcPr>
            <w:tcW w:w="2566" w:type="dxa"/>
            <w:tcBorders>
              <w:top w:val="nil"/>
              <w:left w:val="single" w:sz="4" w:space="0" w:color="000000"/>
              <w:bottom w:val="nil"/>
              <w:right w:val="nil"/>
            </w:tcBorders>
            <w:shd w:val="clear" w:color="auto" w:fill="auto"/>
            <w:vAlign w:val="center"/>
          </w:tcPr>
          <w:p w14:paraId="2548B0B7" w14:textId="77777777" w:rsidR="00024602" w:rsidRPr="00937C8B" w:rsidRDefault="00024602" w:rsidP="003E38D0">
            <w:pPr>
              <w:pStyle w:val="CTEtabla-texto"/>
              <w:rPr>
                <w:rFonts w:cs="Arial"/>
              </w:rPr>
            </w:pPr>
            <w:r>
              <w:t>69</w:t>
            </w:r>
          </w:p>
        </w:tc>
      </w:tr>
      <w:tr w:rsidR="00024602" w:rsidRPr="00937C8B" w14:paraId="677CFCAD" w14:textId="77777777" w:rsidTr="00935676">
        <w:trPr>
          <w:jc w:val="center"/>
        </w:trPr>
        <w:tc>
          <w:tcPr>
            <w:tcW w:w="3851" w:type="dxa"/>
            <w:tcBorders>
              <w:top w:val="nil"/>
              <w:left w:val="nil"/>
              <w:bottom w:val="nil"/>
              <w:right w:val="single" w:sz="4" w:space="0" w:color="000000"/>
            </w:tcBorders>
            <w:shd w:val="clear" w:color="auto" w:fill="auto"/>
            <w:vAlign w:val="center"/>
          </w:tcPr>
          <w:p w14:paraId="3254A2A5" w14:textId="77777777" w:rsidR="00024602" w:rsidRPr="00937C8B" w:rsidRDefault="00024602" w:rsidP="003E38D0">
            <w:pPr>
              <w:pStyle w:val="CTEtabla-texto"/>
              <w:jc w:val="left"/>
              <w:rPr>
                <w:rFonts w:cs="Arial"/>
              </w:rPr>
            </w:pPr>
            <w:r>
              <w:t>Hôtel ****</w:t>
            </w:r>
          </w:p>
        </w:tc>
        <w:tc>
          <w:tcPr>
            <w:tcW w:w="2566" w:type="dxa"/>
            <w:tcBorders>
              <w:top w:val="nil"/>
              <w:left w:val="single" w:sz="4" w:space="0" w:color="000000"/>
              <w:bottom w:val="nil"/>
              <w:right w:val="nil"/>
            </w:tcBorders>
            <w:shd w:val="clear" w:color="auto" w:fill="auto"/>
            <w:vAlign w:val="center"/>
          </w:tcPr>
          <w:p w14:paraId="73F05F17" w14:textId="77777777" w:rsidR="00024602" w:rsidRPr="00937C8B" w:rsidRDefault="00024602" w:rsidP="003E38D0">
            <w:pPr>
              <w:pStyle w:val="CTEtabla-texto"/>
              <w:rPr>
                <w:rFonts w:cs="Arial"/>
              </w:rPr>
            </w:pPr>
            <w:r>
              <w:t>55</w:t>
            </w:r>
          </w:p>
        </w:tc>
      </w:tr>
      <w:tr w:rsidR="00024602" w:rsidRPr="00937C8B" w14:paraId="2A315670" w14:textId="77777777" w:rsidTr="00935676">
        <w:trPr>
          <w:jc w:val="center"/>
        </w:trPr>
        <w:tc>
          <w:tcPr>
            <w:tcW w:w="3851" w:type="dxa"/>
            <w:tcBorders>
              <w:top w:val="nil"/>
              <w:left w:val="nil"/>
              <w:bottom w:val="nil"/>
              <w:right w:val="single" w:sz="4" w:space="0" w:color="000000"/>
            </w:tcBorders>
            <w:shd w:val="clear" w:color="auto" w:fill="auto"/>
            <w:vAlign w:val="center"/>
          </w:tcPr>
          <w:p w14:paraId="40F6547C" w14:textId="77777777" w:rsidR="00024602" w:rsidRPr="00937C8B" w:rsidRDefault="00024602" w:rsidP="003E38D0">
            <w:pPr>
              <w:pStyle w:val="CTEtabla-texto"/>
              <w:jc w:val="left"/>
              <w:rPr>
                <w:rFonts w:cs="Arial"/>
              </w:rPr>
            </w:pPr>
            <w:r>
              <w:t>Hôtel ***</w:t>
            </w:r>
          </w:p>
        </w:tc>
        <w:tc>
          <w:tcPr>
            <w:tcW w:w="2566" w:type="dxa"/>
            <w:tcBorders>
              <w:top w:val="nil"/>
              <w:left w:val="single" w:sz="4" w:space="0" w:color="000000"/>
              <w:bottom w:val="nil"/>
              <w:right w:val="nil"/>
            </w:tcBorders>
            <w:shd w:val="clear" w:color="auto" w:fill="auto"/>
            <w:vAlign w:val="center"/>
          </w:tcPr>
          <w:p w14:paraId="4513F881" w14:textId="77777777" w:rsidR="00024602" w:rsidRPr="00937C8B" w:rsidRDefault="00024602" w:rsidP="003E38D0">
            <w:pPr>
              <w:pStyle w:val="CTEtabla-texto"/>
              <w:rPr>
                <w:rFonts w:cs="Arial"/>
              </w:rPr>
            </w:pPr>
            <w:r>
              <w:t>41</w:t>
            </w:r>
          </w:p>
        </w:tc>
      </w:tr>
      <w:tr w:rsidR="00024602" w:rsidRPr="00937C8B" w14:paraId="135607B3" w14:textId="77777777" w:rsidTr="00935676">
        <w:trPr>
          <w:jc w:val="center"/>
        </w:trPr>
        <w:tc>
          <w:tcPr>
            <w:tcW w:w="3851" w:type="dxa"/>
            <w:tcBorders>
              <w:top w:val="nil"/>
              <w:left w:val="nil"/>
              <w:bottom w:val="nil"/>
              <w:right w:val="single" w:sz="4" w:space="0" w:color="000000"/>
            </w:tcBorders>
            <w:shd w:val="clear" w:color="auto" w:fill="auto"/>
            <w:vAlign w:val="center"/>
          </w:tcPr>
          <w:p w14:paraId="41CDDDE7" w14:textId="77777777" w:rsidR="00024602" w:rsidRPr="00937C8B" w:rsidRDefault="00024602" w:rsidP="003E38D0">
            <w:pPr>
              <w:pStyle w:val="CTEtabla-texto"/>
              <w:jc w:val="left"/>
              <w:rPr>
                <w:rFonts w:cs="Arial"/>
              </w:rPr>
            </w:pPr>
            <w:r>
              <w:t>Hôtel **</w:t>
            </w:r>
          </w:p>
        </w:tc>
        <w:tc>
          <w:tcPr>
            <w:tcW w:w="2566" w:type="dxa"/>
            <w:tcBorders>
              <w:top w:val="nil"/>
              <w:left w:val="single" w:sz="4" w:space="0" w:color="000000"/>
              <w:bottom w:val="nil"/>
              <w:right w:val="nil"/>
            </w:tcBorders>
            <w:shd w:val="clear" w:color="auto" w:fill="auto"/>
            <w:vAlign w:val="center"/>
          </w:tcPr>
          <w:p w14:paraId="11C6D13F" w14:textId="77777777" w:rsidR="00024602" w:rsidRPr="00937C8B" w:rsidRDefault="00024602" w:rsidP="003E38D0">
            <w:pPr>
              <w:pStyle w:val="CTEtabla-texto"/>
              <w:rPr>
                <w:rFonts w:cs="Arial"/>
              </w:rPr>
            </w:pPr>
            <w:r>
              <w:t>34</w:t>
            </w:r>
          </w:p>
        </w:tc>
      </w:tr>
      <w:tr w:rsidR="00024602" w:rsidRPr="00937C8B" w14:paraId="769ED042" w14:textId="77777777" w:rsidTr="00935676">
        <w:trPr>
          <w:jc w:val="center"/>
        </w:trPr>
        <w:tc>
          <w:tcPr>
            <w:tcW w:w="3851" w:type="dxa"/>
            <w:tcBorders>
              <w:top w:val="nil"/>
              <w:left w:val="nil"/>
              <w:bottom w:val="nil"/>
              <w:right w:val="single" w:sz="4" w:space="0" w:color="000000"/>
            </w:tcBorders>
            <w:shd w:val="clear" w:color="auto" w:fill="auto"/>
            <w:vAlign w:val="center"/>
          </w:tcPr>
          <w:p w14:paraId="66721F23" w14:textId="77777777" w:rsidR="00024602" w:rsidRPr="00937C8B" w:rsidRDefault="00024602" w:rsidP="003E38D0">
            <w:pPr>
              <w:pStyle w:val="CTEtabla-texto"/>
              <w:jc w:val="left"/>
              <w:rPr>
                <w:rFonts w:cs="Arial"/>
              </w:rPr>
            </w:pPr>
            <w:r>
              <w:t>Camping</w:t>
            </w:r>
          </w:p>
        </w:tc>
        <w:tc>
          <w:tcPr>
            <w:tcW w:w="2566" w:type="dxa"/>
            <w:tcBorders>
              <w:top w:val="nil"/>
              <w:left w:val="single" w:sz="4" w:space="0" w:color="000000"/>
              <w:bottom w:val="nil"/>
              <w:right w:val="nil"/>
            </w:tcBorders>
            <w:shd w:val="clear" w:color="auto" w:fill="auto"/>
            <w:vAlign w:val="center"/>
          </w:tcPr>
          <w:p w14:paraId="43217BFF" w14:textId="77777777" w:rsidR="00024602" w:rsidRPr="00937C8B" w:rsidRDefault="00024602" w:rsidP="003E38D0">
            <w:pPr>
              <w:pStyle w:val="CTEtabla-texto"/>
              <w:rPr>
                <w:rFonts w:cs="Arial"/>
              </w:rPr>
            </w:pPr>
            <w:r>
              <w:t>21</w:t>
            </w:r>
          </w:p>
        </w:tc>
      </w:tr>
      <w:tr w:rsidR="00024602" w:rsidRPr="00937C8B" w14:paraId="19383626" w14:textId="77777777" w:rsidTr="00935676">
        <w:trPr>
          <w:jc w:val="center"/>
        </w:trPr>
        <w:tc>
          <w:tcPr>
            <w:tcW w:w="3851" w:type="dxa"/>
            <w:tcBorders>
              <w:top w:val="nil"/>
              <w:left w:val="nil"/>
              <w:bottom w:val="nil"/>
              <w:right w:val="single" w:sz="4" w:space="0" w:color="000000"/>
            </w:tcBorders>
            <w:shd w:val="clear" w:color="auto" w:fill="auto"/>
            <w:vAlign w:val="center"/>
          </w:tcPr>
          <w:p w14:paraId="45A86006" w14:textId="77777777" w:rsidR="00024602" w:rsidRPr="00937C8B" w:rsidRDefault="00024602" w:rsidP="003E38D0">
            <w:pPr>
              <w:pStyle w:val="CTEtabla-texto"/>
              <w:jc w:val="left"/>
              <w:rPr>
                <w:rFonts w:cs="Arial"/>
              </w:rPr>
            </w:pPr>
            <w:r>
              <w:t>Hôtel/pension *</w:t>
            </w:r>
          </w:p>
        </w:tc>
        <w:tc>
          <w:tcPr>
            <w:tcW w:w="2566" w:type="dxa"/>
            <w:tcBorders>
              <w:top w:val="nil"/>
              <w:left w:val="single" w:sz="4" w:space="0" w:color="000000"/>
              <w:bottom w:val="nil"/>
              <w:right w:val="nil"/>
            </w:tcBorders>
            <w:shd w:val="clear" w:color="auto" w:fill="auto"/>
            <w:vAlign w:val="center"/>
          </w:tcPr>
          <w:p w14:paraId="67789D52" w14:textId="77777777" w:rsidR="00024602" w:rsidRPr="00937C8B" w:rsidRDefault="00024602" w:rsidP="003E38D0">
            <w:pPr>
              <w:pStyle w:val="CTEtabla-texto"/>
              <w:rPr>
                <w:rFonts w:cs="Arial"/>
              </w:rPr>
            </w:pPr>
            <w:r>
              <w:t>28</w:t>
            </w:r>
          </w:p>
        </w:tc>
      </w:tr>
      <w:tr w:rsidR="00024602" w:rsidRPr="00937C8B" w14:paraId="2EB2AC7F" w14:textId="77777777" w:rsidTr="00935676">
        <w:trPr>
          <w:jc w:val="center"/>
        </w:trPr>
        <w:tc>
          <w:tcPr>
            <w:tcW w:w="3851" w:type="dxa"/>
            <w:tcBorders>
              <w:top w:val="nil"/>
              <w:left w:val="nil"/>
              <w:bottom w:val="nil"/>
              <w:right w:val="single" w:sz="4" w:space="0" w:color="000000"/>
            </w:tcBorders>
            <w:shd w:val="clear" w:color="auto" w:fill="auto"/>
            <w:vAlign w:val="center"/>
          </w:tcPr>
          <w:p w14:paraId="1C81FDBD" w14:textId="77777777" w:rsidR="00024602" w:rsidRPr="00937C8B" w:rsidRDefault="00024602" w:rsidP="003E38D0">
            <w:pPr>
              <w:pStyle w:val="CTEtabla-texto"/>
              <w:jc w:val="left"/>
              <w:rPr>
                <w:rFonts w:cs="Arial"/>
              </w:rPr>
            </w:pPr>
            <w:r>
              <w:t>Résidence</w:t>
            </w:r>
          </w:p>
        </w:tc>
        <w:tc>
          <w:tcPr>
            <w:tcW w:w="2566" w:type="dxa"/>
            <w:tcBorders>
              <w:top w:val="nil"/>
              <w:left w:val="single" w:sz="4" w:space="0" w:color="000000"/>
              <w:bottom w:val="nil"/>
              <w:right w:val="nil"/>
            </w:tcBorders>
            <w:shd w:val="clear" w:color="auto" w:fill="auto"/>
            <w:vAlign w:val="center"/>
          </w:tcPr>
          <w:p w14:paraId="41EFFC66" w14:textId="77777777" w:rsidR="00024602" w:rsidRPr="00937C8B" w:rsidRDefault="00024602" w:rsidP="003E38D0">
            <w:pPr>
              <w:pStyle w:val="CTEtabla-texto"/>
              <w:rPr>
                <w:rFonts w:cs="Arial"/>
              </w:rPr>
            </w:pPr>
            <w:r>
              <w:t>41</w:t>
            </w:r>
          </w:p>
        </w:tc>
      </w:tr>
      <w:tr w:rsidR="00024602" w:rsidRPr="00937C8B" w14:paraId="51828795" w14:textId="77777777" w:rsidTr="00935676">
        <w:trPr>
          <w:jc w:val="center"/>
        </w:trPr>
        <w:tc>
          <w:tcPr>
            <w:tcW w:w="3851" w:type="dxa"/>
            <w:tcBorders>
              <w:top w:val="nil"/>
              <w:left w:val="nil"/>
              <w:bottom w:val="nil"/>
              <w:right w:val="single" w:sz="4" w:space="0" w:color="000000"/>
            </w:tcBorders>
            <w:shd w:val="clear" w:color="auto" w:fill="auto"/>
            <w:vAlign w:val="center"/>
          </w:tcPr>
          <w:p w14:paraId="17905D01" w14:textId="77777777" w:rsidR="00024602" w:rsidRPr="00937C8B" w:rsidRDefault="00024602" w:rsidP="003E38D0">
            <w:pPr>
              <w:pStyle w:val="CTEtabla-texto"/>
              <w:jc w:val="left"/>
              <w:rPr>
                <w:rFonts w:cs="Arial"/>
              </w:rPr>
            </w:pPr>
            <w:r>
              <w:t>Centre pénitentiaire</w:t>
            </w:r>
          </w:p>
        </w:tc>
        <w:tc>
          <w:tcPr>
            <w:tcW w:w="2566" w:type="dxa"/>
            <w:tcBorders>
              <w:top w:val="nil"/>
              <w:left w:val="single" w:sz="4" w:space="0" w:color="000000"/>
              <w:bottom w:val="nil"/>
              <w:right w:val="nil"/>
            </w:tcBorders>
            <w:shd w:val="clear" w:color="auto" w:fill="auto"/>
            <w:vAlign w:val="center"/>
          </w:tcPr>
          <w:p w14:paraId="184CB32D" w14:textId="77777777" w:rsidR="00024602" w:rsidRPr="00937C8B" w:rsidRDefault="00024602" w:rsidP="003E38D0">
            <w:pPr>
              <w:pStyle w:val="CTEtabla-texto"/>
              <w:rPr>
                <w:rFonts w:cs="Arial"/>
              </w:rPr>
            </w:pPr>
            <w:r>
              <w:t>28</w:t>
            </w:r>
          </w:p>
        </w:tc>
      </w:tr>
      <w:tr w:rsidR="00024602" w:rsidRPr="00937C8B" w14:paraId="5FC127AA" w14:textId="77777777" w:rsidTr="00935676">
        <w:trPr>
          <w:jc w:val="center"/>
        </w:trPr>
        <w:tc>
          <w:tcPr>
            <w:tcW w:w="3851" w:type="dxa"/>
            <w:tcBorders>
              <w:top w:val="nil"/>
              <w:left w:val="nil"/>
              <w:bottom w:val="nil"/>
              <w:right w:val="single" w:sz="4" w:space="0" w:color="000000"/>
            </w:tcBorders>
            <w:shd w:val="clear" w:color="auto" w:fill="auto"/>
            <w:vAlign w:val="center"/>
          </w:tcPr>
          <w:p w14:paraId="17984EDA" w14:textId="77777777" w:rsidR="00024602" w:rsidRPr="00937C8B" w:rsidRDefault="00024602" w:rsidP="003E38D0">
            <w:pPr>
              <w:pStyle w:val="CTEtabla-texto"/>
              <w:jc w:val="left"/>
              <w:rPr>
                <w:rFonts w:cs="Arial"/>
              </w:rPr>
            </w:pPr>
            <w:r>
              <w:t>Auberge</w:t>
            </w:r>
          </w:p>
        </w:tc>
        <w:tc>
          <w:tcPr>
            <w:tcW w:w="2566" w:type="dxa"/>
            <w:tcBorders>
              <w:top w:val="nil"/>
              <w:left w:val="single" w:sz="4" w:space="0" w:color="000000"/>
              <w:bottom w:val="nil"/>
              <w:right w:val="nil"/>
            </w:tcBorders>
            <w:shd w:val="clear" w:color="auto" w:fill="auto"/>
            <w:vAlign w:val="center"/>
          </w:tcPr>
          <w:p w14:paraId="4915AE01" w14:textId="77777777" w:rsidR="00024602" w:rsidRPr="00937C8B" w:rsidRDefault="00024602" w:rsidP="003E38D0">
            <w:pPr>
              <w:pStyle w:val="CTEtabla-texto"/>
              <w:rPr>
                <w:rFonts w:cs="Arial"/>
              </w:rPr>
            </w:pPr>
            <w:r>
              <w:t>24</w:t>
            </w:r>
          </w:p>
        </w:tc>
      </w:tr>
      <w:tr w:rsidR="00024602" w:rsidRPr="00937C8B" w14:paraId="44532347" w14:textId="77777777" w:rsidTr="00935676">
        <w:trPr>
          <w:jc w:val="center"/>
        </w:trPr>
        <w:tc>
          <w:tcPr>
            <w:tcW w:w="3851" w:type="dxa"/>
            <w:tcBorders>
              <w:top w:val="nil"/>
              <w:left w:val="nil"/>
              <w:bottom w:val="nil"/>
              <w:right w:val="single" w:sz="4" w:space="0" w:color="000000"/>
            </w:tcBorders>
            <w:shd w:val="clear" w:color="auto" w:fill="auto"/>
            <w:vAlign w:val="center"/>
          </w:tcPr>
          <w:p w14:paraId="101B93A8" w14:textId="77777777" w:rsidR="00024602" w:rsidRPr="00937C8B" w:rsidRDefault="00024602" w:rsidP="003E38D0">
            <w:pPr>
              <w:pStyle w:val="CTEtabla-texto"/>
              <w:jc w:val="left"/>
              <w:rPr>
                <w:rFonts w:cs="Arial"/>
              </w:rPr>
            </w:pPr>
            <w:r>
              <w:t>Vestiaires/Douches collectives</w:t>
            </w:r>
          </w:p>
        </w:tc>
        <w:tc>
          <w:tcPr>
            <w:tcW w:w="2566" w:type="dxa"/>
            <w:tcBorders>
              <w:top w:val="nil"/>
              <w:left w:val="single" w:sz="4" w:space="0" w:color="000000"/>
              <w:bottom w:val="nil"/>
              <w:right w:val="nil"/>
            </w:tcBorders>
            <w:shd w:val="clear" w:color="auto" w:fill="auto"/>
            <w:vAlign w:val="center"/>
          </w:tcPr>
          <w:p w14:paraId="0CFC40EB" w14:textId="77777777" w:rsidR="00024602" w:rsidRPr="00937C8B" w:rsidRDefault="00024602" w:rsidP="003E38D0">
            <w:pPr>
              <w:pStyle w:val="CTEtabla-texto"/>
              <w:rPr>
                <w:rFonts w:cs="Arial"/>
              </w:rPr>
            </w:pPr>
            <w:r>
              <w:t>21</w:t>
            </w:r>
          </w:p>
        </w:tc>
      </w:tr>
      <w:tr w:rsidR="00024602" w:rsidRPr="00937C8B" w14:paraId="5505F55C" w14:textId="77777777" w:rsidTr="00935676">
        <w:trPr>
          <w:jc w:val="center"/>
        </w:trPr>
        <w:tc>
          <w:tcPr>
            <w:tcW w:w="3851" w:type="dxa"/>
            <w:tcBorders>
              <w:top w:val="nil"/>
              <w:left w:val="nil"/>
              <w:bottom w:val="nil"/>
              <w:right w:val="single" w:sz="4" w:space="0" w:color="000000"/>
            </w:tcBorders>
            <w:shd w:val="clear" w:color="auto" w:fill="auto"/>
            <w:vAlign w:val="center"/>
          </w:tcPr>
          <w:p w14:paraId="447D4591" w14:textId="77777777" w:rsidR="00024602" w:rsidRPr="00937C8B" w:rsidRDefault="00024602" w:rsidP="003E38D0">
            <w:pPr>
              <w:pStyle w:val="CTEtabla-texto"/>
              <w:jc w:val="left"/>
              <w:rPr>
                <w:rFonts w:cs="Arial"/>
              </w:rPr>
            </w:pPr>
            <w:r>
              <w:t>École non équipée de douches</w:t>
            </w:r>
          </w:p>
        </w:tc>
        <w:tc>
          <w:tcPr>
            <w:tcW w:w="2566" w:type="dxa"/>
            <w:tcBorders>
              <w:top w:val="nil"/>
              <w:left w:val="single" w:sz="4" w:space="0" w:color="000000"/>
              <w:bottom w:val="nil"/>
              <w:right w:val="nil"/>
            </w:tcBorders>
            <w:shd w:val="clear" w:color="auto" w:fill="auto"/>
            <w:vAlign w:val="center"/>
          </w:tcPr>
          <w:p w14:paraId="14E29F4C" w14:textId="77777777" w:rsidR="00024602" w:rsidRPr="00937C8B" w:rsidRDefault="00024602" w:rsidP="003E38D0">
            <w:pPr>
              <w:pStyle w:val="CTEtabla-texto"/>
              <w:rPr>
                <w:rFonts w:cs="Arial"/>
              </w:rPr>
            </w:pPr>
            <w:r>
              <w:t>4</w:t>
            </w:r>
          </w:p>
        </w:tc>
      </w:tr>
      <w:tr w:rsidR="00024602" w:rsidRPr="00937C8B" w14:paraId="0A4FB7D7" w14:textId="77777777" w:rsidTr="00935676">
        <w:trPr>
          <w:jc w:val="center"/>
        </w:trPr>
        <w:tc>
          <w:tcPr>
            <w:tcW w:w="3851" w:type="dxa"/>
            <w:tcBorders>
              <w:top w:val="nil"/>
              <w:left w:val="nil"/>
              <w:bottom w:val="nil"/>
              <w:right w:val="single" w:sz="4" w:space="0" w:color="000000"/>
            </w:tcBorders>
            <w:shd w:val="clear" w:color="auto" w:fill="auto"/>
            <w:vAlign w:val="center"/>
          </w:tcPr>
          <w:p w14:paraId="60A2A096" w14:textId="77777777" w:rsidR="00024602" w:rsidRPr="00937C8B" w:rsidRDefault="00024602" w:rsidP="003E38D0">
            <w:pPr>
              <w:pStyle w:val="CTEtabla-texto"/>
              <w:jc w:val="left"/>
              <w:rPr>
                <w:rFonts w:cs="Arial"/>
              </w:rPr>
            </w:pPr>
            <w:r>
              <w:t>École équipée de douches</w:t>
            </w:r>
          </w:p>
        </w:tc>
        <w:tc>
          <w:tcPr>
            <w:tcW w:w="2566" w:type="dxa"/>
            <w:tcBorders>
              <w:top w:val="nil"/>
              <w:left w:val="single" w:sz="4" w:space="0" w:color="000000"/>
              <w:bottom w:val="nil"/>
              <w:right w:val="nil"/>
            </w:tcBorders>
            <w:shd w:val="clear" w:color="auto" w:fill="auto"/>
            <w:vAlign w:val="center"/>
          </w:tcPr>
          <w:p w14:paraId="59F79659" w14:textId="77777777" w:rsidR="00024602" w:rsidRPr="00937C8B" w:rsidRDefault="00024602" w:rsidP="003E38D0">
            <w:pPr>
              <w:pStyle w:val="CTEtabla-texto"/>
              <w:rPr>
                <w:rFonts w:cs="Arial"/>
              </w:rPr>
            </w:pPr>
            <w:r>
              <w:t>21</w:t>
            </w:r>
          </w:p>
        </w:tc>
      </w:tr>
      <w:tr w:rsidR="00F53224" w:rsidRPr="00937C8B" w14:paraId="11866C9F" w14:textId="77777777" w:rsidTr="00935676">
        <w:trPr>
          <w:jc w:val="center"/>
        </w:trPr>
        <w:tc>
          <w:tcPr>
            <w:tcW w:w="3851" w:type="dxa"/>
            <w:tcBorders>
              <w:top w:val="nil"/>
              <w:left w:val="nil"/>
              <w:bottom w:val="nil"/>
              <w:right w:val="single" w:sz="4" w:space="0" w:color="000000"/>
            </w:tcBorders>
            <w:shd w:val="clear" w:color="auto" w:fill="auto"/>
            <w:vAlign w:val="center"/>
          </w:tcPr>
          <w:p w14:paraId="2F4C6EF9" w14:textId="77777777" w:rsidR="00F53224" w:rsidRPr="00937C8B" w:rsidRDefault="00F53224" w:rsidP="00F60ADA">
            <w:pPr>
              <w:pStyle w:val="CTEtabla-texto"/>
              <w:jc w:val="left"/>
              <w:rPr>
                <w:rFonts w:cs="Arial"/>
              </w:rPr>
            </w:pPr>
            <w:r>
              <w:lastRenderedPageBreak/>
              <w:t>Casernes</w:t>
            </w:r>
          </w:p>
        </w:tc>
        <w:tc>
          <w:tcPr>
            <w:tcW w:w="2566" w:type="dxa"/>
            <w:tcBorders>
              <w:top w:val="nil"/>
              <w:left w:val="single" w:sz="4" w:space="0" w:color="000000"/>
              <w:bottom w:val="nil"/>
              <w:right w:val="nil"/>
            </w:tcBorders>
            <w:shd w:val="clear" w:color="auto" w:fill="auto"/>
            <w:vAlign w:val="center"/>
          </w:tcPr>
          <w:p w14:paraId="224A2552" w14:textId="77777777" w:rsidR="00F53224" w:rsidRPr="00937C8B" w:rsidRDefault="00F53224" w:rsidP="00F60ADA">
            <w:pPr>
              <w:pStyle w:val="CTEtabla-texto"/>
              <w:rPr>
                <w:rFonts w:cs="Arial"/>
              </w:rPr>
            </w:pPr>
            <w:r>
              <w:t>28</w:t>
            </w:r>
          </w:p>
        </w:tc>
      </w:tr>
      <w:tr w:rsidR="00F53224" w:rsidRPr="00937C8B" w14:paraId="7D6F9E8A" w14:textId="77777777" w:rsidTr="00935676">
        <w:trPr>
          <w:jc w:val="center"/>
        </w:trPr>
        <w:tc>
          <w:tcPr>
            <w:tcW w:w="3851" w:type="dxa"/>
            <w:tcBorders>
              <w:top w:val="nil"/>
              <w:left w:val="nil"/>
              <w:bottom w:val="nil"/>
              <w:right w:val="single" w:sz="4" w:space="0" w:color="000000"/>
            </w:tcBorders>
            <w:shd w:val="clear" w:color="auto" w:fill="auto"/>
            <w:vAlign w:val="center"/>
          </w:tcPr>
          <w:p w14:paraId="6D01BB38" w14:textId="77777777" w:rsidR="00F53224" w:rsidRPr="00937C8B" w:rsidRDefault="00F53224" w:rsidP="00F60ADA">
            <w:pPr>
              <w:pStyle w:val="CTEtabla-texto"/>
              <w:jc w:val="left"/>
              <w:rPr>
                <w:rFonts w:cs="Arial"/>
              </w:rPr>
            </w:pPr>
            <w:r>
              <w:t>Usines et ateliers</w:t>
            </w:r>
          </w:p>
        </w:tc>
        <w:tc>
          <w:tcPr>
            <w:tcW w:w="2566" w:type="dxa"/>
            <w:tcBorders>
              <w:top w:val="nil"/>
              <w:left w:val="single" w:sz="4" w:space="0" w:color="000000"/>
              <w:bottom w:val="nil"/>
              <w:right w:val="nil"/>
            </w:tcBorders>
            <w:shd w:val="clear" w:color="auto" w:fill="auto"/>
            <w:vAlign w:val="center"/>
          </w:tcPr>
          <w:p w14:paraId="76783AAB" w14:textId="77777777" w:rsidR="00F53224" w:rsidRPr="00937C8B" w:rsidRDefault="00F53224" w:rsidP="00F60ADA">
            <w:pPr>
              <w:pStyle w:val="CTEtabla-texto"/>
              <w:rPr>
                <w:rFonts w:cs="Arial"/>
              </w:rPr>
            </w:pPr>
            <w:r>
              <w:t>21</w:t>
            </w:r>
          </w:p>
        </w:tc>
      </w:tr>
      <w:tr w:rsidR="00F53224" w:rsidRPr="00937C8B" w14:paraId="72AC2373" w14:textId="77777777" w:rsidTr="00935676">
        <w:trPr>
          <w:jc w:val="center"/>
        </w:trPr>
        <w:tc>
          <w:tcPr>
            <w:tcW w:w="3851" w:type="dxa"/>
            <w:tcBorders>
              <w:top w:val="nil"/>
              <w:left w:val="nil"/>
              <w:bottom w:val="nil"/>
              <w:right w:val="single" w:sz="4" w:space="0" w:color="000000"/>
            </w:tcBorders>
            <w:shd w:val="clear" w:color="auto" w:fill="auto"/>
            <w:vAlign w:val="center"/>
          </w:tcPr>
          <w:p w14:paraId="3E220E0B" w14:textId="77777777" w:rsidR="00F53224" w:rsidRPr="00937C8B" w:rsidRDefault="00F53224" w:rsidP="00F60ADA">
            <w:pPr>
              <w:pStyle w:val="CTEtabla-texto"/>
              <w:jc w:val="left"/>
              <w:rPr>
                <w:rFonts w:cs="Arial"/>
              </w:rPr>
            </w:pPr>
            <w:r>
              <w:t>Bureaux</w:t>
            </w:r>
          </w:p>
        </w:tc>
        <w:tc>
          <w:tcPr>
            <w:tcW w:w="2566" w:type="dxa"/>
            <w:tcBorders>
              <w:top w:val="nil"/>
              <w:left w:val="single" w:sz="4" w:space="0" w:color="000000"/>
              <w:bottom w:val="nil"/>
              <w:right w:val="nil"/>
            </w:tcBorders>
            <w:shd w:val="clear" w:color="auto" w:fill="auto"/>
            <w:vAlign w:val="center"/>
          </w:tcPr>
          <w:p w14:paraId="3B8183DA" w14:textId="77777777" w:rsidR="00F53224" w:rsidRPr="00937C8B" w:rsidRDefault="00F53224" w:rsidP="00F60ADA">
            <w:pPr>
              <w:pStyle w:val="CTEtabla-texto"/>
              <w:rPr>
                <w:rFonts w:cs="Arial"/>
              </w:rPr>
            </w:pPr>
            <w:r>
              <w:t>2</w:t>
            </w:r>
          </w:p>
        </w:tc>
      </w:tr>
      <w:tr w:rsidR="00F53224" w:rsidRPr="00937C8B" w14:paraId="5761B3B8" w14:textId="77777777" w:rsidTr="00935676">
        <w:trPr>
          <w:jc w:val="center"/>
        </w:trPr>
        <w:tc>
          <w:tcPr>
            <w:tcW w:w="3851" w:type="dxa"/>
            <w:tcBorders>
              <w:top w:val="nil"/>
              <w:left w:val="nil"/>
              <w:bottom w:val="nil"/>
              <w:right w:val="single" w:sz="4" w:space="0" w:color="000000"/>
            </w:tcBorders>
            <w:shd w:val="clear" w:color="auto" w:fill="auto"/>
            <w:vAlign w:val="center"/>
          </w:tcPr>
          <w:p w14:paraId="50D8EA23" w14:textId="77777777" w:rsidR="00F53224" w:rsidRPr="00937C8B" w:rsidRDefault="00F53224" w:rsidP="00F60ADA">
            <w:pPr>
              <w:pStyle w:val="CTEtabla-texto"/>
              <w:jc w:val="left"/>
              <w:rPr>
                <w:rFonts w:cs="Arial"/>
              </w:rPr>
            </w:pPr>
            <w:r>
              <w:t>Gymnases</w:t>
            </w:r>
          </w:p>
        </w:tc>
        <w:tc>
          <w:tcPr>
            <w:tcW w:w="2566" w:type="dxa"/>
            <w:tcBorders>
              <w:top w:val="nil"/>
              <w:left w:val="single" w:sz="4" w:space="0" w:color="000000"/>
              <w:bottom w:val="nil"/>
              <w:right w:val="nil"/>
            </w:tcBorders>
            <w:shd w:val="clear" w:color="auto" w:fill="auto"/>
            <w:vAlign w:val="center"/>
          </w:tcPr>
          <w:p w14:paraId="2C9B2831" w14:textId="77777777" w:rsidR="00F53224" w:rsidRPr="00937C8B" w:rsidRDefault="00F53224" w:rsidP="00F60ADA">
            <w:pPr>
              <w:pStyle w:val="CTEtabla-texto"/>
              <w:rPr>
                <w:rFonts w:cs="Arial"/>
              </w:rPr>
            </w:pPr>
            <w:r>
              <w:t>21</w:t>
            </w:r>
          </w:p>
        </w:tc>
      </w:tr>
      <w:tr w:rsidR="00F53224" w:rsidRPr="00937C8B" w14:paraId="11BD3BCA" w14:textId="77777777" w:rsidTr="00935676">
        <w:trPr>
          <w:jc w:val="center"/>
        </w:trPr>
        <w:tc>
          <w:tcPr>
            <w:tcW w:w="3851" w:type="dxa"/>
            <w:tcBorders>
              <w:top w:val="nil"/>
              <w:left w:val="nil"/>
              <w:bottom w:val="nil"/>
              <w:right w:val="single" w:sz="4" w:space="0" w:color="000000"/>
            </w:tcBorders>
            <w:shd w:val="clear" w:color="auto" w:fill="auto"/>
            <w:vAlign w:val="center"/>
          </w:tcPr>
          <w:p w14:paraId="5A388477" w14:textId="77777777" w:rsidR="00F53224" w:rsidRPr="00937C8B" w:rsidRDefault="00F53224" w:rsidP="00F60ADA">
            <w:pPr>
              <w:pStyle w:val="CTEtabla-texto"/>
              <w:jc w:val="left"/>
              <w:rPr>
                <w:rFonts w:cs="Arial"/>
              </w:rPr>
            </w:pPr>
            <w:r>
              <w:t>Restaurants</w:t>
            </w:r>
          </w:p>
        </w:tc>
        <w:tc>
          <w:tcPr>
            <w:tcW w:w="2566" w:type="dxa"/>
            <w:tcBorders>
              <w:top w:val="nil"/>
              <w:left w:val="single" w:sz="4" w:space="0" w:color="000000"/>
              <w:bottom w:val="nil"/>
              <w:right w:val="nil"/>
            </w:tcBorders>
            <w:shd w:val="clear" w:color="auto" w:fill="auto"/>
            <w:vAlign w:val="center"/>
          </w:tcPr>
          <w:p w14:paraId="453EB547" w14:textId="77777777" w:rsidR="00F53224" w:rsidRPr="00937C8B" w:rsidRDefault="00F53224" w:rsidP="00F60ADA">
            <w:pPr>
              <w:pStyle w:val="CTEtabla-texto"/>
              <w:rPr>
                <w:rFonts w:cs="Arial"/>
              </w:rPr>
            </w:pPr>
            <w:r>
              <w:t>8</w:t>
            </w:r>
          </w:p>
        </w:tc>
      </w:tr>
      <w:tr w:rsidR="00F53224" w:rsidRPr="00937C8B" w14:paraId="42001D0F" w14:textId="77777777" w:rsidTr="00935676">
        <w:trPr>
          <w:jc w:val="center"/>
        </w:trPr>
        <w:tc>
          <w:tcPr>
            <w:tcW w:w="3851" w:type="dxa"/>
            <w:tcBorders>
              <w:top w:val="nil"/>
              <w:left w:val="nil"/>
              <w:bottom w:val="nil"/>
              <w:right w:val="single" w:sz="4" w:space="0" w:color="000000"/>
            </w:tcBorders>
            <w:shd w:val="clear" w:color="auto" w:fill="auto"/>
            <w:vAlign w:val="center"/>
          </w:tcPr>
          <w:p w14:paraId="23AB6371" w14:textId="77777777" w:rsidR="00F53224" w:rsidRPr="00937C8B" w:rsidRDefault="00F53224" w:rsidP="00F60ADA">
            <w:pPr>
              <w:pStyle w:val="CTEtabla-texto"/>
              <w:jc w:val="left"/>
              <w:rPr>
                <w:rFonts w:cs="Arial"/>
              </w:rPr>
            </w:pPr>
            <w:r>
              <w:t>Cafétérias</w:t>
            </w:r>
          </w:p>
        </w:tc>
        <w:tc>
          <w:tcPr>
            <w:tcW w:w="2566" w:type="dxa"/>
            <w:tcBorders>
              <w:top w:val="nil"/>
              <w:left w:val="single" w:sz="4" w:space="0" w:color="000000"/>
              <w:bottom w:val="nil"/>
              <w:right w:val="nil"/>
            </w:tcBorders>
            <w:shd w:val="clear" w:color="auto" w:fill="auto"/>
            <w:vAlign w:val="center"/>
          </w:tcPr>
          <w:p w14:paraId="01129C3A" w14:textId="77777777" w:rsidR="00F53224" w:rsidRPr="00937C8B" w:rsidRDefault="00F53224" w:rsidP="00F60ADA">
            <w:pPr>
              <w:pStyle w:val="CTEtabla-texto"/>
              <w:rPr>
                <w:rFonts w:cs="Arial"/>
              </w:rPr>
            </w:pPr>
            <w:r>
              <w:t>1</w:t>
            </w:r>
          </w:p>
        </w:tc>
      </w:tr>
    </w:tbl>
    <w:p w14:paraId="1967A6F0" w14:textId="44C11B5B" w:rsidR="00024602" w:rsidRPr="00937C8B" w:rsidRDefault="00024602" w:rsidP="00D27646">
      <w:pPr>
        <w:pStyle w:val="CTENumeracion"/>
        <w:keepNext/>
        <w:numPr>
          <w:ilvl w:val="0"/>
          <w:numId w:val="70"/>
        </w:numPr>
        <w:rPr>
          <w:rFonts w:cs="Arial"/>
          <w:sz w:val="22"/>
          <w:szCs w:val="22"/>
        </w:rPr>
      </w:pPr>
      <w:r>
        <w:rPr>
          <w:sz w:val="22"/>
          <w:szCs w:val="22"/>
        </w:rPr>
        <w:t>La consommation d</w:t>
      </w:r>
      <w:r w:rsidR="00EA7588">
        <w:rPr>
          <w:sz w:val="22"/>
          <w:szCs w:val="22"/>
        </w:rPr>
        <w:t>’</w:t>
      </w:r>
      <w:r>
        <w:rPr>
          <w:sz w:val="22"/>
          <w:szCs w:val="22"/>
        </w:rPr>
        <w:t>ECS à une température (T), de préparation, de distribution ou d</w:t>
      </w:r>
      <w:r w:rsidR="00EA7588">
        <w:rPr>
          <w:sz w:val="22"/>
          <w:szCs w:val="22"/>
        </w:rPr>
        <w:t>’</w:t>
      </w:r>
      <w:r>
        <w:rPr>
          <w:sz w:val="22"/>
          <w:szCs w:val="22"/>
        </w:rPr>
        <w:t>utilisation, autre que la température de référence (60</w:t>
      </w:r>
      <w:r w:rsidR="00EA7588">
        <w:rPr>
          <w:sz w:val="22"/>
          <w:szCs w:val="22"/>
        </w:rPr>
        <w:t> </w:t>
      </w:r>
      <w:r>
        <w:rPr>
          <w:sz w:val="22"/>
          <w:szCs w:val="22"/>
        </w:rPr>
        <w:t>ºC), peut être déduite de la consommation d</w:t>
      </w:r>
      <w:r w:rsidR="00EA7588">
        <w:rPr>
          <w:sz w:val="22"/>
          <w:szCs w:val="22"/>
        </w:rPr>
        <w:t>’</w:t>
      </w:r>
      <w:r>
        <w:rPr>
          <w:sz w:val="22"/>
          <w:szCs w:val="22"/>
        </w:rPr>
        <w:t>ECS à la température de référence au moyen des formules suivantes:</w:t>
      </w:r>
    </w:p>
    <w:tbl>
      <w:tblPr>
        <w:tblW w:w="178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50"/>
        <w:gridCol w:w="191"/>
        <w:gridCol w:w="471"/>
      </w:tblGrid>
      <w:tr w:rsidR="005E4ABF" w:rsidRPr="00937C8B" w14:paraId="14AC772C" w14:textId="77777777" w:rsidTr="00935676">
        <w:trPr>
          <w:trHeight w:hRule="exact" w:val="284"/>
        </w:trPr>
        <w:tc>
          <w:tcPr>
            <w:tcW w:w="700" w:type="dxa"/>
            <w:vMerge w:val="restart"/>
            <w:tcBorders>
              <w:top w:val="nil"/>
              <w:left w:val="nil"/>
              <w:bottom w:val="nil"/>
              <w:right w:val="nil"/>
            </w:tcBorders>
            <w:shd w:val="clear" w:color="auto" w:fill="auto"/>
            <w:tcMar>
              <w:left w:w="0" w:type="dxa"/>
              <w:right w:w="0" w:type="dxa"/>
            </w:tcMar>
            <w:vAlign w:val="center"/>
          </w:tcPr>
          <w:p w14:paraId="387C0600" w14:textId="77777777" w:rsidR="005E4ABF" w:rsidRPr="00937C8B" w:rsidRDefault="005E4ABF" w:rsidP="00363EFE">
            <w:pPr>
              <w:pStyle w:val="CTENumeracion"/>
              <w:ind w:left="0" w:firstLine="0"/>
              <w:jc w:val="right"/>
              <w:rPr>
                <w:rFonts w:cs="Arial"/>
                <w:sz w:val="22"/>
                <w:szCs w:val="22"/>
              </w:rPr>
            </w:pPr>
            <w:r w:rsidRPr="00937C8B">
              <w:rPr>
                <w:rFonts w:cs="Arial"/>
                <w:sz w:val="22"/>
                <w:szCs w:val="22"/>
              </w:rPr>
              <w:fldChar w:fldCharType="begin"/>
            </w:r>
            <w:r w:rsidRPr="00937C8B">
              <w:rPr>
                <w:rFonts w:cs="Arial"/>
                <w:sz w:val="22"/>
                <w:szCs w:val="22"/>
              </w:rPr>
              <w:instrText xml:space="preserve"> QUOTE  </w:instrText>
            </w:r>
            <m:oMath>
              <m:r>
                <m:rPr>
                  <m:sty m:val="p"/>
                </m:rPr>
                <w:rPr>
                  <w:rFonts w:ascii="Cambria Math" w:hAnsi="Cambria Math"/>
                </w:rPr>
                <m:t>D</m:t>
              </m:r>
              <m:d>
                <m:dPr>
                  <m:ctrlPr>
                    <w:rPr>
                      <w:rFonts w:ascii="Cambria Math" w:hAnsi="Cambria Math"/>
                    </w:rPr>
                  </m:ctrlPr>
                </m:dPr>
                <m:e>
                  <m:r>
                    <m:rPr>
                      <m:sty m:val="p"/>
                    </m:rPr>
                    <w:rPr>
                      <w:rFonts w:ascii="Cambria Math" w:hAnsi="Cambria Math"/>
                    </w:rPr>
                    <m:t>T</m:t>
                  </m:r>
                </m:e>
              </m:d>
              <m:r>
                <m:rPr>
                  <m:sty m:val="p"/>
                </m:rPr>
                <w:rPr>
                  <w:rFonts w:ascii="Cambria Math" w:hAnsi="Cambria Math"/>
                </w:rPr>
                <m:t>=</m:t>
              </m:r>
              <m:nary>
                <m:naryPr>
                  <m:chr m:val="∑"/>
                  <m:ctrlPr>
                    <w:rPr>
                      <w:rFonts w:ascii="Cambria Math" w:hAnsi="Cambria Math"/>
                    </w:rPr>
                  </m:ctrlPr>
                </m:naryPr>
                <m:sub>
                  <m:r>
                    <m:rPr>
                      <m:lit/>
                      <m:nor/>
                    </m:rPr>
                    <w:rPr>
                      <w:rFonts w:ascii="Cambria Math" w:hAnsi="Cambria Math"/>
                    </w:rPr>
                    <m:t>i=</m:t>
                  </m:r>
                  <m:r>
                    <m:rPr>
                      <m:sty m:val="p"/>
                    </m:rPr>
                    <w:rPr>
                      <w:rFonts w:ascii="Cambria Math" w:hAnsi="Cambria Math"/>
                    </w:rPr>
                    <m:t>1</m:t>
                  </m:r>
                </m:sub>
                <m:sup>
                  <m:r>
                    <m:rPr>
                      <m:lit/>
                      <m:nor/>
                    </m:rPr>
                    <w:rPr>
                      <w:rFonts w:ascii="Cambria Math" w:hAnsi="Cambria Math"/>
                    </w:rPr>
                    <m:t>12</m:t>
                  </m:r>
                </m:sup>
                <m:e>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e>
              </m:nary>
              <m:d>
                <m:dPr>
                  <m:ctrlPr>
                    <w:rPr>
                      <w:rFonts w:ascii="Cambria Math" w:hAnsi="Cambria Math"/>
                    </w:rPr>
                  </m:ctrlPr>
                </m:dPr>
                <m:e>
                  <m:r>
                    <m:rPr>
                      <m:sty m:val="p"/>
                    </m:rPr>
                    <w:rPr>
                      <w:rFonts w:ascii="Cambria Math" w:hAnsi="Cambria Math"/>
                    </w:rPr>
                    <m:t>T</m:t>
                  </m:r>
                </m:e>
              </m:d>
            </m:oMath>
            <w:r w:rsidR="00E93486">
              <w:rPr>
                <w:rFonts w:cs="Arial"/>
                <w:sz w:val="22"/>
                <w:szCs w:val="22"/>
              </w:rPr>
              <w:fldChar w:fldCharType="separate"/>
            </w:r>
            <m:oMath>
              <m:r>
                <m:rPr>
                  <m:sty m:val="p"/>
                </m:rPr>
                <w:rPr>
                  <w:rFonts w:ascii="Cambria Math" w:hAnsi="Cambria Math"/>
                </w:rPr>
                <m:t>D</m:t>
              </m:r>
              <m:d>
                <m:dPr>
                  <m:ctrlPr>
                    <w:rPr>
                      <w:rFonts w:ascii="Cambria Math" w:hAnsi="Cambria Math"/>
                    </w:rPr>
                  </m:ctrlPr>
                </m:dPr>
                <m:e>
                  <m:r>
                    <m:rPr>
                      <m:sty m:val="p"/>
                    </m:rPr>
                    <w:rPr>
                      <w:rFonts w:ascii="Cambria Math" w:hAnsi="Cambria Math"/>
                    </w:rPr>
                    <m:t>T</m:t>
                  </m:r>
                </m:e>
              </m:d>
              <m:r>
                <m:rPr>
                  <m:sty m:val="p"/>
                </m:rPr>
                <w:rPr>
                  <w:rFonts w:ascii="Cambria Math" w:hAnsi="Cambria Math"/>
                </w:rPr>
                <m:t>=</m:t>
              </m:r>
              <m:nary>
                <m:naryPr>
                  <m:chr m:val="∑"/>
                  <m:ctrlPr>
                    <w:rPr>
                      <w:rFonts w:ascii="Cambria Math" w:hAnsi="Cambria Math"/>
                    </w:rPr>
                  </m:ctrlPr>
                </m:naryPr>
                <m:sub>
                  <m:r>
                    <m:rPr>
                      <m:lit/>
                      <m:nor/>
                    </m:rPr>
                    <w:rPr>
                      <w:rFonts w:ascii="Cambria Math" w:hAnsi="Cambria Math"/>
                    </w:rPr>
                    <m:t>i=</m:t>
                  </m:r>
                  <m:r>
                    <m:rPr>
                      <m:sty m:val="p"/>
                    </m:rPr>
                    <w:rPr>
                      <w:rFonts w:ascii="Cambria Math" w:hAnsi="Cambria Math"/>
                    </w:rPr>
                    <m:t>1</m:t>
                  </m:r>
                </m:sub>
                <m:sup>
                  <m:r>
                    <m:rPr>
                      <m:lit/>
                      <m:nor/>
                    </m:rPr>
                    <w:rPr>
                      <w:rFonts w:ascii="Cambria Math" w:hAnsi="Cambria Math"/>
                    </w:rPr>
                    <m:t>12</m:t>
                  </m:r>
                </m:sup>
                <m:e>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e>
              </m:nary>
              <m:d>
                <m:dPr>
                  <m:ctrlPr>
                    <w:rPr>
                      <w:rFonts w:ascii="Cambria Math" w:hAnsi="Cambria Math"/>
                    </w:rPr>
                  </m:ctrlPr>
                </m:dPr>
                <m:e>
                  <m:r>
                    <m:rPr>
                      <m:sty m:val="p"/>
                    </m:rPr>
                    <w:rPr>
                      <w:rFonts w:ascii="Cambria Math" w:hAnsi="Cambria Math"/>
                    </w:rPr>
                    <m:t>T</m:t>
                  </m:r>
                </m:e>
              </m:d>
            </m:oMath>
            <w:r w:rsidRPr="00937C8B">
              <w:rPr>
                <w:rFonts w:cs="Arial"/>
                <w:sz w:val="22"/>
                <w:szCs w:val="22"/>
              </w:rPr>
              <w:fldChar w:fldCharType="end"/>
            </w:r>
            <w:r>
              <w:rPr>
                <w:sz w:val="22"/>
                <w:szCs w:val="22"/>
              </w:rPr>
              <w:t xml:space="preserve">D(T) = </w:t>
            </w:r>
          </w:p>
        </w:tc>
        <w:tc>
          <w:tcPr>
            <w:tcW w:w="242" w:type="dxa"/>
            <w:vMerge w:val="restart"/>
            <w:tcBorders>
              <w:top w:val="nil"/>
              <w:left w:val="nil"/>
              <w:bottom w:val="nil"/>
              <w:right w:val="nil"/>
            </w:tcBorders>
            <w:shd w:val="clear" w:color="auto" w:fill="auto"/>
            <w:noWrap/>
            <w:tcMar>
              <w:left w:w="0" w:type="dxa"/>
              <w:right w:w="0" w:type="dxa"/>
            </w:tcMar>
            <w:vAlign w:val="center"/>
          </w:tcPr>
          <w:p w14:paraId="08FF0C6A" w14:textId="77777777" w:rsidR="005E4ABF" w:rsidRPr="00937C8B" w:rsidRDefault="005E4ABF" w:rsidP="00363EFE">
            <w:pPr>
              <w:pStyle w:val="CTENumeracion"/>
              <w:spacing w:before="40"/>
              <w:ind w:left="0" w:firstLine="0"/>
              <w:rPr>
                <w:rFonts w:cs="Arial"/>
                <w:sz w:val="22"/>
                <w:szCs w:val="22"/>
              </w:rPr>
            </w:pPr>
            <w:r>
              <w:t xml:space="preserve"> ∑</w:t>
            </w:r>
          </w:p>
        </w:tc>
        <w:tc>
          <w:tcPr>
            <w:tcW w:w="201" w:type="dxa"/>
            <w:tcBorders>
              <w:top w:val="nil"/>
              <w:left w:val="nil"/>
              <w:bottom w:val="nil"/>
              <w:right w:val="nil"/>
            </w:tcBorders>
            <w:shd w:val="clear" w:color="auto" w:fill="auto"/>
            <w:tcMar>
              <w:left w:w="0" w:type="dxa"/>
              <w:right w:w="0" w:type="dxa"/>
            </w:tcMar>
            <w:vAlign w:val="center"/>
          </w:tcPr>
          <w:p w14:paraId="3B8BECE4" w14:textId="77777777" w:rsidR="005E4ABF" w:rsidRPr="00937C8B" w:rsidRDefault="005E4ABF" w:rsidP="00363EFE">
            <w:pPr>
              <w:pStyle w:val="CTENumeracion"/>
              <w:spacing w:before="40"/>
              <w:ind w:left="0" w:firstLine="0"/>
              <w:rPr>
                <w:rFonts w:cs="Arial"/>
                <w:sz w:val="22"/>
                <w:szCs w:val="22"/>
                <w:vertAlign w:val="subscript"/>
              </w:rPr>
            </w:pPr>
            <w:r>
              <w:rPr>
                <w:sz w:val="22"/>
                <w:szCs w:val="22"/>
                <w:vertAlign w:val="subscript"/>
              </w:rPr>
              <w:t>12</w:t>
            </w:r>
          </w:p>
        </w:tc>
        <w:tc>
          <w:tcPr>
            <w:tcW w:w="638" w:type="dxa"/>
            <w:vMerge w:val="restart"/>
            <w:tcBorders>
              <w:top w:val="nil"/>
              <w:left w:val="nil"/>
              <w:bottom w:val="nil"/>
              <w:right w:val="nil"/>
            </w:tcBorders>
            <w:shd w:val="clear" w:color="auto" w:fill="auto"/>
            <w:tcMar>
              <w:left w:w="0" w:type="dxa"/>
              <w:right w:w="0" w:type="dxa"/>
            </w:tcMar>
            <w:vAlign w:val="center"/>
          </w:tcPr>
          <w:p w14:paraId="020BAB04" w14:textId="77777777" w:rsidR="005E4ABF" w:rsidRPr="00937C8B" w:rsidRDefault="005E4ABF" w:rsidP="00363EFE">
            <w:pPr>
              <w:pStyle w:val="CTENumeracion"/>
              <w:ind w:left="0" w:firstLine="0"/>
              <w:rPr>
                <w:rFonts w:cs="Arial"/>
                <w:sz w:val="22"/>
                <w:szCs w:val="22"/>
              </w:rPr>
            </w:pPr>
            <w:r>
              <w:rPr>
                <w:sz w:val="22"/>
                <w:szCs w:val="22"/>
              </w:rPr>
              <w:t xml:space="preserve"> D</w:t>
            </w:r>
            <w:r>
              <w:rPr>
                <w:sz w:val="22"/>
                <w:szCs w:val="22"/>
                <w:vertAlign w:val="subscript"/>
              </w:rPr>
              <w:t>i</w:t>
            </w:r>
            <w:r>
              <w:rPr>
                <w:sz w:val="22"/>
                <w:szCs w:val="22"/>
              </w:rPr>
              <w:t>(T)</w:t>
            </w:r>
          </w:p>
        </w:tc>
      </w:tr>
      <w:tr w:rsidR="005E4ABF" w:rsidRPr="00937C8B" w14:paraId="4A720A8F" w14:textId="77777777" w:rsidTr="00935676">
        <w:trPr>
          <w:trHeight w:hRule="exact" w:val="340"/>
        </w:trPr>
        <w:tc>
          <w:tcPr>
            <w:tcW w:w="700" w:type="dxa"/>
            <w:vMerge/>
            <w:tcBorders>
              <w:top w:val="nil"/>
              <w:left w:val="nil"/>
              <w:bottom w:val="nil"/>
              <w:right w:val="nil"/>
            </w:tcBorders>
            <w:shd w:val="clear" w:color="auto" w:fill="auto"/>
          </w:tcPr>
          <w:p w14:paraId="376487BD" w14:textId="77777777" w:rsidR="005E4ABF" w:rsidRPr="00937C8B" w:rsidRDefault="005E4ABF" w:rsidP="00363EFE">
            <w:pPr>
              <w:pStyle w:val="CTENumeracion"/>
              <w:ind w:left="0" w:firstLine="0"/>
              <w:rPr>
                <w:rFonts w:cs="Arial"/>
                <w:sz w:val="22"/>
                <w:szCs w:val="22"/>
                <w:lang w:val="en-US"/>
              </w:rPr>
            </w:pPr>
          </w:p>
        </w:tc>
        <w:tc>
          <w:tcPr>
            <w:tcW w:w="242" w:type="dxa"/>
            <w:vMerge/>
            <w:tcBorders>
              <w:top w:val="nil"/>
              <w:left w:val="nil"/>
              <w:bottom w:val="nil"/>
              <w:right w:val="nil"/>
            </w:tcBorders>
            <w:shd w:val="clear" w:color="auto" w:fill="auto"/>
          </w:tcPr>
          <w:p w14:paraId="26B82358" w14:textId="77777777" w:rsidR="005E4ABF" w:rsidRPr="00937C8B" w:rsidRDefault="005E4ABF" w:rsidP="00363EFE">
            <w:pPr>
              <w:pStyle w:val="CTENumeracion"/>
              <w:ind w:left="0" w:firstLine="0"/>
              <w:rPr>
                <w:rFonts w:cs="Arial"/>
                <w:sz w:val="22"/>
                <w:szCs w:val="22"/>
                <w:lang w:val="en-US"/>
              </w:rPr>
            </w:pPr>
          </w:p>
        </w:tc>
        <w:tc>
          <w:tcPr>
            <w:tcW w:w="201" w:type="dxa"/>
            <w:tcBorders>
              <w:top w:val="nil"/>
              <w:left w:val="nil"/>
              <w:bottom w:val="nil"/>
              <w:right w:val="nil"/>
            </w:tcBorders>
            <w:shd w:val="clear" w:color="auto" w:fill="auto"/>
            <w:tcMar>
              <w:left w:w="0" w:type="dxa"/>
              <w:right w:w="0" w:type="dxa"/>
            </w:tcMar>
          </w:tcPr>
          <w:p w14:paraId="0130BDF7" w14:textId="77777777" w:rsidR="005E4ABF" w:rsidRPr="00937C8B" w:rsidRDefault="005E4ABF" w:rsidP="00363EFE">
            <w:pPr>
              <w:pStyle w:val="CTENumeracion"/>
              <w:spacing w:before="40"/>
              <w:ind w:left="0" w:firstLine="0"/>
              <w:rPr>
                <w:rFonts w:cs="Arial"/>
                <w:sz w:val="22"/>
                <w:szCs w:val="22"/>
                <w:vertAlign w:val="superscript"/>
              </w:rPr>
            </w:pPr>
            <w:r>
              <w:rPr>
                <w:sz w:val="22"/>
                <w:szCs w:val="22"/>
                <w:vertAlign w:val="superscript"/>
              </w:rPr>
              <w:t>i=1</w:t>
            </w:r>
          </w:p>
        </w:tc>
        <w:tc>
          <w:tcPr>
            <w:tcW w:w="638" w:type="dxa"/>
            <w:vMerge/>
            <w:tcBorders>
              <w:top w:val="nil"/>
              <w:left w:val="nil"/>
              <w:bottom w:val="nil"/>
              <w:right w:val="nil"/>
            </w:tcBorders>
            <w:shd w:val="clear" w:color="auto" w:fill="auto"/>
          </w:tcPr>
          <w:p w14:paraId="45F45BC9" w14:textId="77777777" w:rsidR="005E4ABF" w:rsidRPr="00937C8B" w:rsidRDefault="005E4ABF" w:rsidP="00363EFE">
            <w:pPr>
              <w:pStyle w:val="CTENumeracion"/>
              <w:ind w:left="0" w:firstLine="0"/>
              <w:rPr>
                <w:rFonts w:cs="Arial"/>
                <w:sz w:val="22"/>
                <w:szCs w:val="22"/>
                <w:lang w:val="en-US"/>
              </w:rPr>
            </w:pPr>
          </w:p>
        </w:tc>
      </w:tr>
    </w:tbl>
    <w:p w14:paraId="140BDB68" w14:textId="77777777" w:rsidR="00024602" w:rsidRPr="00937C8B" w:rsidRDefault="00024602" w:rsidP="00024602">
      <w:pPr>
        <w:pStyle w:val="CTENumeracion"/>
        <w:ind w:left="714"/>
        <w:rPr>
          <w:rFonts w:cs="Arial"/>
          <w:sz w:val="22"/>
          <w:szCs w:val="22"/>
        </w:rPr>
      </w:pPr>
      <w:r w:rsidRPr="00937C8B">
        <w:rPr>
          <w:rFonts w:cs="Arial"/>
          <w:sz w:val="22"/>
          <w:szCs w:val="22"/>
        </w:rPr>
        <w:fldChar w:fldCharType="begin"/>
      </w:r>
      <w:r w:rsidRPr="00937C8B">
        <w:rPr>
          <w:rFonts w:cs="Arial"/>
          <w:sz w:val="22"/>
          <w:szCs w:val="22"/>
        </w:rPr>
        <w:instrText xml:space="preserve"> QUOTE  </w:instrText>
      </w:r>
      <m:oMath>
        <m:r>
          <m:rPr>
            <m:sty m:val="p"/>
          </m:rPr>
          <w:rPr>
            <w:rFonts w:ascii="Cambria Math" w:hAnsi="Cambria Math"/>
          </w:rPr>
          <m:t>D</m:t>
        </m:r>
        <m:d>
          <m:dPr>
            <m:ctrlPr>
              <w:rPr>
                <w:rFonts w:ascii="Cambria Math" w:hAnsi="Cambria Math"/>
              </w:rPr>
            </m:ctrlPr>
          </m:dPr>
          <m:e>
            <m:r>
              <m:rPr>
                <m:sty m:val="p"/>
              </m:rPr>
              <w:rPr>
                <w:rFonts w:ascii="Cambria Math" w:hAnsi="Cambria Math"/>
              </w:rPr>
              <m:t>T</m:t>
            </m:r>
          </m:e>
        </m:d>
        <m:r>
          <m:rPr>
            <m:sty m:val="p"/>
          </m:rPr>
          <w:rPr>
            <w:rFonts w:ascii="Cambria Math" w:hAnsi="Cambria Math"/>
          </w:rPr>
          <m:t>=</m:t>
        </m:r>
        <m:nary>
          <m:naryPr>
            <m:chr m:val="∑"/>
            <m:ctrlPr>
              <w:rPr>
                <w:rFonts w:ascii="Cambria Math" w:hAnsi="Cambria Math"/>
              </w:rPr>
            </m:ctrlPr>
          </m:naryPr>
          <m:sub>
            <m:r>
              <m:rPr>
                <m:lit/>
                <m:nor/>
              </m:rPr>
              <w:rPr>
                <w:rFonts w:ascii="Cambria Math" w:hAnsi="Cambria Math"/>
              </w:rPr>
              <m:t>i=</m:t>
            </m:r>
            <m:r>
              <m:rPr>
                <m:sty m:val="p"/>
              </m:rPr>
              <w:rPr>
                <w:rFonts w:ascii="Cambria Math" w:hAnsi="Cambria Math"/>
              </w:rPr>
              <m:t>1</m:t>
            </m:r>
          </m:sub>
          <m:sup>
            <m:r>
              <m:rPr>
                <m:lit/>
                <m:nor/>
              </m:rPr>
              <w:rPr>
                <w:rFonts w:ascii="Cambria Math" w:hAnsi="Cambria Math"/>
              </w:rPr>
              <m:t>12</m:t>
            </m:r>
          </m:sup>
          <m:e>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e>
        </m:nary>
        <m:d>
          <m:dPr>
            <m:ctrlPr>
              <w:rPr>
                <w:rFonts w:ascii="Cambria Math" w:hAnsi="Cambria Math"/>
              </w:rPr>
            </m:ctrlPr>
          </m:dPr>
          <m:e>
            <m:r>
              <m:rPr>
                <m:sty m:val="p"/>
              </m:rPr>
              <w:rPr>
                <w:rFonts w:ascii="Cambria Math" w:hAnsi="Cambria Math"/>
              </w:rPr>
              <m:t>T</m:t>
            </m:r>
          </m:e>
        </m:d>
      </m:oMath>
      <w:r w:rsidR="00E93486">
        <w:rPr>
          <w:rFonts w:cs="Arial"/>
          <w:sz w:val="22"/>
          <w:szCs w:val="22"/>
        </w:rPr>
        <w:fldChar w:fldCharType="separate"/>
      </w:r>
      <m:oMath>
        <m:r>
          <m:rPr>
            <m:sty m:val="p"/>
          </m:rPr>
          <w:rPr>
            <w:rFonts w:ascii="Cambria Math" w:hAnsi="Cambria Math"/>
          </w:rPr>
          <m:t>D</m:t>
        </m:r>
        <m:d>
          <m:dPr>
            <m:ctrlPr>
              <w:rPr>
                <w:rFonts w:ascii="Cambria Math" w:hAnsi="Cambria Math"/>
              </w:rPr>
            </m:ctrlPr>
          </m:dPr>
          <m:e>
            <m:r>
              <m:rPr>
                <m:sty m:val="p"/>
              </m:rPr>
              <w:rPr>
                <w:rFonts w:ascii="Cambria Math" w:hAnsi="Cambria Math"/>
              </w:rPr>
              <m:t>T</m:t>
            </m:r>
          </m:e>
        </m:d>
        <m:r>
          <m:rPr>
            <m:sty m:val="p"/>
          </m:rPr>
          <w:rPr>
            <w:rFonts w:ascii="Cambria Math" w:hAnsi="Cambria Math"/>
          </w:rPr>
          <m:t>=</m:t>
        </m:r>
        <m:nary>
          <m:naryPr>
            <m:chr m:val="∑"/>
            <m:ctrlPr>
              <w:rPr>
                <w:rFonts w:ascii="Cambria Math" w:hAnsi="Cambria Math"/>
              </w:rPr>
            </m:ctrlPr>
          </m:naryPr>
          <m:sub>
            <m:r>
              <m:rPr>
                <m:lit/>
                <m:nor/>
              </m:rPr>
              <w:rPr>
                <w:rFonts w:ascii="Cambria Math" w:hAnsi="Cambria Math"/>
              </w:rPr>
              <m:t>i=</m:t>
            </m:r>
            <m:r>
              <m:rPr>
                <m:sty m:val="p"/>
              </m:rPr>
              <w:rPr>
                <w:rFonts w:ascii="Cambria Math" w:hAnsi="Cambria Math"/>
              </w:rPr>
              <m:t>1</m:t>
            </m:r>
          </m:sub>
          <m:sup>
            <m:r>
              <m:rPr>
                <m:lit/>
                <m:nor/>
              </m:rPr>
              <w:rPr>
                <w:rFonts w:ascii="Cambria Math" w:hAnsi="Cambria Math"/>
              </w:rPr>
              <m:t>12</m:t>
            </m:r>
          </m:sup>
          <m:e>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e>
        </m:nary>
        <m:d>
          <m:dPr>
            <m:ctrlPr>
              <w:rPr>
                <w:rFonts w:ascii="Cambria Math" w:hAnsi="Cambria Math"/>
              </w:rPr>
            </m:ctrlPr>
          </m:dPr>
          <m:e>
            <m:r>
              <m:rPr>
                <m:sty m:val="p"/>
              </m:rPr>
              <w:rPr>
                <w:rFonts w:ascii="Cambria Math" w:hAnsi="Cambria Math"/>
              </w:rPr>
              <m:t>T</m:t>
            </m:r>
          </m:e>
        </m:d>
      </m:oMath>
      <w:r w:rsidRPr="00937C8B">
        <w:rPr>
          <w:rFonts w:cs="Arial"/>
          <w:sz w:val="22"/>
          <w:szCs w:val="22"/>
        </w:rPr>
        <w:fldChar w:fldCharType="end"/>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454"/>
      </w:tblGrid>
      <w:tr w:rsidR="005E4ABF" w:rsidRPr="00937C8B" w14:paraId="3950759D" w14:textId="77777777" w:rsidTr="00363EFE">
        <w:trPr>
          <w:trHeight w:hRule="exact" w:val="227"/>
        </w:trPr>
        <w:tc>
          <w:tcPr>
            <w:tcW w:w="1593" w:type="dxa"/>
            <w:vMerge w:val="restart"/>
            <w:tcBorders>
              <w:top w:val="nil"/>
              <w:left w:val="nil"/>
              <w:bottom w:val="nil"/>
              <w:right w:val="nil"/>
            </w:tcBorders>
            <w:shd w:val="clear" w:color="auto" w:fill="auto"/>
            <w:tcMar>
              <w:left w:w="0" w:type="dxa"/>
              <w:right w:w="0" w:type="dxa"/>
            </w:tcMar>
            <w:vAlign w:val="center"/>
          </w:tcPr>
          <w:p w14:paraId="25ECD4E3" w14:textId="3F4338CB" w:rsidR="005E4ABF" w:rsidRPr="00937C8B" w:rsidRDefault="005E4ABF" w:rsidP="00363EFE">
            <w:pPr>
              <w:pStyle w:val="CTENumeracion"/>
              <w:ind w:left="0" w:firstLine="0"/>
              <w:rPr>
                <w:rFonts w:cs="Arial"/>
                <w:sz w:val="22"/>
                <w:szCs w:val="22"/>
              </w:rPr>
            </w:pPr>
            <w:r>
              <w:rPr>
                <w:sz w:val="22"/>
                <w:szCs w:val="22"/>
              </w:rPr>
              <w:t>D</w:t>
            </w:r>
            <w:r>
              <w:rPr>
                <w:sz w:val="22"/>
                <w:szCs w:val="22"/>
                <w:vertAlign w:val="subscript"/>
              </w:rPr>
              <w:t>i</w:t>
            </w:r>
            <w:r>
              <w:rPr>
                <w:sz w:val="22"/>
                <w:szCs w:val="22"/>
              </w:rPr>
              <w:t>(T) = D</w:t>
            </w:r>
            <w:r>
              <w:rPr>
                <w:sz w:val="22"/>
                <w:szCs w:val="22"/>
                <w:vertAlign w:val="subscript"/>
              </w:rPr>
              <w:t>i</w:t>
            </w:r>
            <w:r>
              <w:rPr>
                <w:sz w:val="22"/>
                <w:szCs w:val="22"/>
              </w:rPr>
              <w:t>(60</w:t>
            </w:r>
            <w:r w:rsidR="00EA7588">
              <w:rPr>
                <w:sz w:val="22"/>
                <w:szCs w:val="22"/>
              </w:rPr>
              <w:t> </w:t>
            </w:r>
            <w:r>
              <w:rPr>
                <w:sz w:val="22"/>
                <w:szCs w:val="22"/>
              </w:rPr>
              <w:t>ºC)</w:t>
            </w:r>
          </w:p>
        </w:tc>
        <w:tc>
          <w:tcPr>
            <w:tcW w:w="454" w:type="dxa"/>
            <w:tcBorders>
              <w:top w:val="nil"/>
              <w:left w:val="nil"/>
              <w:bottom w:val="single" w:sz="12" w:space="0" w:color="auto"/>
              <w:right w:val="nil"/>
            </w:tcBorders>
            <w:shd w:val="clear" w:color="auto" w:fill="auto"/>
            <w:tcMar>
              <w:left w:w="0" w:type="dxa"/>
              <w:right w:w="0" w:type="dxa"/>
            </w:tcMar>
            <w:vAlign w:val="bottom"/>
          </w:tcPr>
          <w:p w14:paraId="09AFD379" w14:textId="77777777" w:rsidR="005E4ABF" w:rsidRPr="00937C8B" w:rsidRDefault="005E4ABF" w:rsidP="00363EFE">
            <w:pPr>
              <w:pStyle w:val="CTENumeracion"/>
              <w:spacing w:before="40"/>
              <w:ind w:left="0" w:firstLine="0"/>
              <w:jc w:val="center"/>
              <w:rPr>
                <w:rFonts w:cs="Arial"/>
                <w:sz w:val="16"/>
                <w:szCs w:val="16"/>
              </w:rPr>
            </w:pPr>
            <w:r>
              <w:rPr>
                <w:sz w:val="16"/>
                <w:szCs w:val="16"/>
              </w:rPr>
              <w:t>60-T</w:t>
            </w:r>
            <w:r>
              <w:rPr>
                <w:sz w:val="16"/>
                <w:szCs w:val="16"/>
                <w:vertAlign w:val="subscript"/>
              </w:rPr>
              <w:t>i</w:t>
            </w:r>
          </w:p>
        </w:tc>
      </w:tr>
      <w:tr w:rsidR="005E4ABF" w:rsidRPr="00937C8B" w14:paraId="6D52DF50" w14:textId="77777777" w:rsidTr="00363EFE">
        <w:trPr>
          <w:trHeight w:hRule="exact" w:val="198"/>
        </w:trPr>
        <w:tc>
          <w:tcPr>
            <w:tcW w:w="1593" w:type="dxa"/>
            <w:vMerge/>
            <w:tcBorders>
              <w:top w:val="nil"/>
              <w:left w:val="nil"/>
              <w:bottom w:val="nil"/>
              <w:right w:val="nil"/>
            </w:tcBorders>
            <w:shd w:val="clear" w:color="auto" w:fill="auto"/>
          </w:tcPr>
          <w:p w14:paraId="5EBCEBC3" w14:textId="77777777" w:rsidR="005E4ABF" w:rsidRPr="00937C8B" w:rsidRDefault="005E4ABF" w:rsidP="00363EFE">
            <w:pPr>
              <w:pStyle w:val="CTENumeracion"/>
              <w:ind w:left="0" w:firstLine="0"/>
              <w:rPr>
                <w:rFonts w:cs="Arial"/>
                <w:sz w:val="22"/>
                <w:szCs w:val="22"/>
                <w:lang w:val="en-US"/>
              </w:rPr>
            </w:pPr>
          </w:p>
        </w:tc>
        <w:tc>
          <w:tcPr>
            <w:tcW w:w="454" w:type="dxa"/>
            <w:tcBorders>
              <w:top w:val="single" w:sz="12" w:space="0" w:color="auto"/>
              <w:left w:val="nil"/>
              <w:bottom w:val="nil"/>
              <w:right w:val="nil"/>
            </w:tcBorders>
            <w:shd w:val="clear" w:color="auto" w:fill="auto"/>
            <w:tcMar>
              <w:left w:w="0" w:type="dxa"/>
              <w:right w:w="0" w:type="dxa"/>
            </w:tcMar>
          </w:tcPr>
          <w:p w14:paraId="10AD8EFB" w14:textId="77777777" w:rsidR="005E4ABF" w:rsidRPr="00937C8B" w:rsidRDefault="005E4ABF" w:rsidP="00363EFE">
            <w:pPr>
              <w:pStyle w:val="CTENumeracion"/>
              <w:spacing w:before="0"/>
              <w:ind w:left="0" w:firstLine="0"/>
              <w:jc w:val="center"/>
              <w:rPr>
                <w:rFonts w:cs="Arial"/>
                <w:sz w:val="16"/>
                <w:szCs w:val="16"/>
              </w:rPr>
            </w:pPr>
            <w:r>
              <w:rPr>
                <w:sz w:val="16"/>
                <w:szCs w:val="16"/>
              </w:rPr>
              <w:t>T-T</w:t>
            </w:r>
            <w:r>
              <w:rPr>
                <w:sz w:val="16"/>
                <w:szCs w:val="16"/>
                <w:vertAlign w:val="subscript"/>
              </w:rPr>
              <w:t>i</w:t>
            </w:r>
          </w:p>
        </w:tc>
      </w:tr>
    </w:tbl>
    <w:p w14:paraId="1F4DFFBE" w14:textId="77777777" w:rsidR="00024602" w:rsidRPr="00937C8B" w:rsidRDefault="00024602" w:rsidP="00024602">
      <w:pPr>
        <w:ind w:left="357"/>
        <w:rPr>
          <w:rFonts w:ascii="Arial" w:hAnsi="Arial" w:cs="Arial"/>
          <w:sz w:val="22"/>
          <w:szCs w:val="22"/>
        </w:rPr>
      </w:pPr>
      <w:r w:rsidRPr="00937C8B">
        <w:rPr>
          <w:rFonts w:ascii="Arial" w:hAnsi="Arial" w:cs="Arial"/>
          <w:sz w:val="22"/>
          <w:szCs w:val="22"/>
        </w:rPr>
        <w:fldChar w:fldCharType="begin"/>
      </w:r>
      <w:r w:rsidRPr="00937C8B">
        <w:rPr>
          <w:rFonts w:ascii="Arial" w:hAnsi="Arial" w:cs="Arial"/>
          <w:sz w:val="22"/>
          <w:szCs w:val="22"/>
        </w:rPr>
        <w:instrText xml:space="preserve"> QUOTE  </w:instrTex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d>
          <m:dPr>
            <m:ctrlPr>
              <w:rPr>
                <w:rFonts w:ascii="Cambria Math" w:hAnsi="Cambria Math"/>
              </w:rPr>
            </m:ctrlPr>
          </m:dPr>
          <m:e>
            <m:r>
              <m:rPr>
                <m:sty m:val="p"/>
              </m:rPr>
              <w:rPr>
                <w:rFonts w:ascii="Cambria Math" w:hAnsi="Cambria Math"/>
              </w:rPr>
              <m:t>T</m:t>
            </m:r>
          </m:e>
        </m:d>
        <m:sSub>
          <m:sSubPr>
            <m:ctrlPr>
              <w:rPr>
                <w:rFonts w:ascii="Cambria Math" w:hAnsi="Cambria Math"/>
              </w:rPr>
            </m:ctrlPr>
          </m:sSubPr>
          <m:e>
            <m:r>
              <m:rPr>
                <m:lit/>
                <m:nor/>
              </m:rPr>
              <w:rPr>
                <w:rFonts w:ascii="Cambria Math" w:hAnsi="Cambria Math"/>
              </w:rPr>
              <m:t>=D</m:t>
            </m:r>
          </m:e>
          <m:sub>
            <m:r>
              <m:rPr>
                <m:sty m:val="p"/>
              </m:rPr>
              <w:rPr>
                <w:rFonts w:ascii="Cambria Math" w:hAnsi="Cambria Math"/>
              </w:rPr>
              <m:t>i</m:t>
            </m:r>
          </m:sub>
        </m:sSub>
        <m:d>
          <m:dPr>
            <m:ctrlPr>
              <w:rPr>
                <w:rFonts w:ascii="Cambria Math" w:hAnsi="Cambria Math"/>
              </w:rPr>
            </m:ctrlPr>
          </m:dPr>
          <m:e>
            <m:r>
              <m:rPr>
                <m:lit/>
                <m:nor/>
              </m:rPr>
              <w:rPr>
                <w:rFonts w:ascii="Cambria Math" w:hAnsi="Cambria Math"/>
              </w:rPr>
              <m:t>60ºC</m:t>
            </m:r>
          </m:e>
        </m:d>
        <m:f>
          <m:fPr>
            <m:ctrlPr>
              <w:rPr>
                <w:rFonts w:ascii="Cambria Math" w:hAnsi="Cambria Math"/>
              </w:rPr>
            </m:ctrlPr>
          </m:fPr>
          <m:num>
            <m:r>
              <m:rPr>
                <m:lit/>
                <m:nor/>
              </m:rPr>
              <w:rPr>
                <w:rFonts w:ascii="Cambria Math" w:hAnsi="Cambria Math"/>
              </w:rPr>
              <m:t>60</m:t>
            </m:r>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num>
          <m:den>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den>
        </m:f>
      </m:oMath>
      <w:r w:rsidR="00E93486">
        <w:rPr>
          <w:rFonts w:ascii="Arial" w:hAnsi="Arial" w:cs="Arial"/>
          <w:sz w:val="22"/>
          <w:szCs w:val="22"/>
        </w:rPr>
        <w:fldChar w:fldCharType="separate"/>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d>
          <m:dPr>
            <m:ctrlPr>
              <w:rPr>
                <w:rFonts w:ascii="Cambria Math" w:hAnsi="Cambria Math"/>
              </w:rPr>
            </m:ctrlPr>
          </m:dPr>
          <m:e>
            <m:r>
              <m:rPr>
                <m:sty m:val="p"/>
              </m:rPr>
              <w:rPr>
                <w:rFonts w:ascii="Cambria Math" w:hAnsi="Cambria Math"/>
              </w:rPr>
              <m:t>T</m:t>
            </m:r>
          </m:e>
        </m:d>
        <m:sSub>
          <m:sSubPr>
            <m:ctrlPr>
              <w:rPr>
                <w:rFonts w:ascii="Cambria Math" w:hAnsi="Cambria Math"/>
              </w:rPr>
            </m:ctrlPr>
          </m:sSubPr>
          <m:e>
            <m:r>
              <m:rPr>
                <m:lit/>
                <m:nor/>
              </m:rPr>
              <w:rPr>
                <w:rFonts w:ascii="Cambria Math" w:hAnsi="Cambria Math"/>
              </w:rPr>
              <m:t>=D</m:t>
            </m:r>
          </m:e>
          <m:sub>
            <m:r>
              <m:rPr>
                <m:sty m:val="p"/>
              </m:rPr>
              <w:rPr>
                <w:rFonts w:ascii="Cambria Math" w:hAnsi="Cambria Math"/>
              </w:rPr>
              <m:t>i</m:t>
            </m:r>
          </m:sub>
        </m:sSub>
        <m:d>
          <m:dPr>
            <m:ctrlPr>
              <w:rPr>
                <w:rFonts w:ascii="Cambria Math" w:hAnsi="Cambria Math"/>
              </w:rPr>
            </m:ctrlPr>
          </m:dPr>
          <m:e>
            <m:r>
              <m:rPr>
                <m:lit/>
                <m:nor/>
              </m:rPr>
              <w:rPr>
                <w:rFonts w:ascii="Cambria Math" w:hAnsi="Cambria Math"/>
              </w:rPr>
              <m:t>60ºC</m:t>
            </m:r>
          </m:e>
        </m:d>
        <m:f>
          <m:fPr>
            <m:ctrlPr>
              <w:rPr>
                <w:rFonts w:ascii="Cambria Math" w:hAnsi="Cambria Math"/>
              </w:rPr>
            </m:ctrlPr>
          </m:fPr>
          <m:num>
            <m:r>
              <m:rPr>
                <m:lit/>
                <m:nor/>
              </m:rPr>
              <w:rPr>
                <w:rFonts w:ascii="Cambria Math" w:hAnsi="Cambria Math"/>
              </w:rPr>
              <m:t>60</m:t>
            </m:r>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num>
          <m:den>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den>
        </m:f>
      </m:oMath>
      <w:r w:rsidRPr="00937C8B">
        <w:rPr>
          <w:rFonts w:ascii="Arial" w:hAnsi="Arial" w:cs="Arial"/>
          <w:sz w:val="22"/>
          <w:szCs w:val="22"/>
        </w:rPr>
        <w:fldChar w:fldCharType="end"/>
      </w:r>
    </w:p>
    <w:p w14:paraId="0E58E349" w14:textId="77777777" w:rsidR="00024602" w:rsidRPr="00937C8B" w:rsidRDefault="002F740E" w:rsidP="00D27646">
      <w:pPr>
        <w:keepNext/>
        <w:ind w:left="426" w:hanging="69"/>
        <w:rPr>
          <w:rFonts w:ascii="Arial" w:hAnsi="Arial" w:cs="Arial"/>
          <w:sz w:val="22"/>
          <w:szCs w:val="22"/>
        </w:rPr>
      </w:pPr>
      <w:r>
        <w:rPr>
          <w:rFonts w:ascii="Arial" w:hAnsi="Arial"/>
          <w:sz w:val="22"/>
          <w:szCs w:val="22"/>
        </w:rPr>
        <w:t>où:</w:t>
      </w:r>
    </w:p>
    <w:p w14:paraId="03141109" w14:textId="77777777" w:rsidR="00F53224" w:rsidRPr="00937C8B" w:rsidRDefault="00F53224" w:rsidP="00D27646">
      <w:pPr>
        <w:keepNext/>
        <w:ind w:left="426" w:hanging="69"/>
        <w:rPr>
          <w:rFonts w:ascii="Arial" w:hAnsi="Arial" w:cs="Arial"/>
          <w:sz w:val="22"/>
          <w:szCs w:val="22"/>
        </w:rPr>
      </w:pPr>
    </w:p>
    <w:p w14:paraId="33DE2B83" w14:textId="53DB09F8" w:rsidR="005E4ABF" w:rsidRPr="00937C8B" w:rsidRDefault="005E4ABF" w:rsidP="005E4ABF">
      <w:pPr>
        <w:ind w:left="1701" w:hanging="993"/>
        <w:rPr>
          <w:rFonts w:ascii="Arial" w:hAnsi="Arial" w:cs="Arial"/>
          <w:sz w:val="22"/>
          <w:szCs w:val="22"/>
        </w:rPr>
      </w:pPr>
      <w:r>
        <w:rPr>
          <w:rFonts w:ascii="Arial" w:hAnsi="Arial"/>
          <w:sz w:val="22"/>
          <w:szCs w:val="22"/>
        </w:rPr>
        <w:t>D(T)</w:t>
      </w:r>
      <w:r>
        <w:rPr>
          <w:rFonts w:ascii="Arial" w:hAnsi="Arial"/>
          <w:sz w:val="22"/>
          <w:szCs w:val="22"/>
        </w:rPr>
        <w:tab/>
        <w:t>Demande d</w:t>
      </w:r>
      <w:r w:rsidR="00EA7588">
        <w:rPr>
          <w:rFonts w:ascii="Arial" w:hAnsi="Arial"/>
          <w:sz w:val="22"/>
          <w:szCs w:val="22"/>
        </w:rPr>
        <w:t>’</w:t>
      </w:r>
      <w:r>
        <w:rPr>
          <w:rFonts w:ascii="Arial" w:hAnsi="Arial"/>
          <w:sz w:val="22"/>
          <w:szCs w:val="22"/>
        </w:rPr>
        <w:t>eau chaude sanitaire annuelle à la température T choisie;</w:t>
      </w:r>
    </w:p>
    <w:p w14:paraId="6D37FEA1" w14:textId="2D4FE048" w:rsidR="005E4ABF" w:rsidRPr="00937C8B" w:rsidRDefault="005E4ABF" w:rsidP="005E4ABF">
      <w:pPr>
        <w:ind w:left="1701" w:hanging="993"/>
        <w:rPr>
          <w:rFonts w:ascii="Arial" w:hAnsi="Arial" w:cs="Arial"/>
          <w:sz w:val="22"/>
          <w:szCs w:val="22"/>
        </w:rPr>
      </w:pPr>
      <w:r>
        <w:rPr>
          <w:rFonts w:ascii="Arial" w:hAnsi="Arial"/>
          <w:sz w:val="22"/>
          <w:szCs w:val="22"/>
        </w:rPr>
        <w:t>D</w:t>
      </w:r>
      <w:r>
        <w:rPr>
          <w:rFonts w:ascii="Arial" w:hAnsi="Arial"/>
          <w:sz w:val="22"/>
          <w:szCs w:val="22"/>
          <w:vertAlign w:val="subscript"/>
        </w:rPr>
        <w:t>i</w:t>
      </w:r>
      <w:r>
        <w:rPr>
          <w:rFonts w:ascii="Arial" w:hAnsi="Arial"/>
          <w:sz w:val="22"/>
          <w:szCs w:val="22"/>
        </w:rPr>
        <w:t>(T)</w:t>
      </w:r>
      <w:r>
        <w:rPr>
          <w:rFonts w:ascii="Arial" w:hAnsi="Arial"/>
          <w:sz w:val="22"/>
          <w:szCs w:val="22"/>
        </w:rPr>
        <w:tab/>
        <w:t>Demande d</w:t>
      </w:r>
      <w:r w:rsidR="00EA7588">
        <w:rPr>
          <w:rFonts w:ascii="Arial" w:hAnsi="Arial"/>
          <w:sz w:val="22"/>
          <w:szCs w:val="22"/>
        </w:rPr>
        <w:t>’</w:t>
      </w:r>
      <w:r>
        <w:rPr>
          <w:rFonts w:ascii="Arial" w:hAnsi="Arial"/>
          <w:sz w:val="22"/>
          <w:szCs w:val="22"/>
        </w:rPr>
        <w:t>eau chaude sanitaire pour le mois i à la température T choisie;</w:t>
      </w:r>
    </w:p>
    <w:p w14:paraId="1830669E" w14:textId="1E35204A" w:rsidR="005E4ABF" w:rsidRPr="00937C8B" w:rsidRDefault="005E4ABF" w:rsidP="005E4ABF">
      <w:pPr>
        <w:ind w:left="1701" w:hanging="993"/>
        <w:rPr>
          <w:rFonts w:ascii="Arial" w:hAnsi="Arial" w:cs="Arial"/>
          <w:sz w:val="22"/>
          <w:szCs w:val="22"/>
        </w:rPr>
      </w:pPr>
      <w:r>
        <w:rPr>
          <w:rFonts w:ascii="Arial" w:hAnsi="Arial"/>
          <w:sz w:val="22"/>
          <w:szCs w:val="22"/>
        </w:rPr>
        <w:t>D</w:t>
      </w:r>
      <w:r>
        <w:rPr>
          <w:rFonts w:ascii="Arial" w:hAnsi="Arial"/>
          <w:sz w:val="22"/>
          <w:szCs w:val="22"/>
          <w:vertAlign w:val="subscript"/>
        </w:rPr>
        <w:t>i</w:t>
      </w:r>
      <w:r>
        <w:rPr>
          <w:rFonts w:ascii="Arial" w:hAnsi="Arial"/>
          <w:sz w:val="22"/>
          <w:szCs w:val="22"/>
        </w:rPr>
        <w:t>(60 ºC)</w:t>
      </w:r>
      <w:r>
        <w:rPr>
          <w:rFonts w:ascii="Arial" w:hAnsi="Arial"/>
          <w:sz w:val="22"/>
          <w:szCs w:val="22"/>
        </w:rPr>
        <w:tab/>
        <w:t>Demande d</w:t>
      </w:r>
      <w:r w:rsidR="00EA7588">
        <w:rPr>
          <w:rFonts w:ascii="Arial" w:hAnsi="Arial"/>
          <w:sz w:val="22"/>
          <w:szCs w:val="22"/>
        </w:rPr>
        <w:t>’</w:t>
      </w:r>
      <w:r>
        <w:rPr>
          <w:rFonts w:ascii="Arial" w:hAnsi="Arial"/>
          <w:sz w:val="22"/>
          <w:szCs w:val="22"/>
        </w:rPr>
        <w:t>eau chaude sanitaire pour le mois i à la température de 60 °C;</w:t>
      </w:r>
    </w:p>
    <w:p w14:paraId="13DD8641" w14:textId="4D4483BF" w:rsidR="005E4ABF" w:rsidRPr="00937C8B" w:rsidRDefault="005E4ABF" w:rsidP="005E4ABF">
      <w:pPr>
        <w:ind w:left="1701" w:hanging="993"/>
        <w:rPr>
          <w:rFonts w:ascii="Arial" w:hAnsi="Arial" w:cs="Arial"/>
          <w:sz w:val="22"/>
          <w:szCs w:val="22"/>
        </w:rPr>
      </w:pPr>
      <w:r>
        <w:rPr>
          <w:rFonts w:ascii="Arial" w:hAnsi="Arial"/>
          <w:sz w:val="22"/>
          <w:szCs w:val="22"/>
        </w:rPr>
        <w:t>T</w:t>
      </w:r>
      <w:r>
        <w:rPr>
          <w:rFonts w:ascii="Arial" w:hAnsi="Arial"/>
          <w:sz w:val="22"/>
          <w:szCs w:val="22"/>
        </w:rPr>
        <w:tab/>
        <w:t>Température de l</w:t>
      </w:r>
      <w:r w:rsidR="00EA7588">
        <w:rPr>
          <w:rFonts w:ascii="Arial" w:hAnsi="Arial"/>
          <w:sz w:val="22"/>
          <w:szCs w:val="22"/>
        </w:rPr>
        <w:t>’</w:t>
      </w:r>
      <w:r>
        <w:rPr>
          <w:rFonts w:ascii="Arial" w:hAnsi="Arial"/>
          <w:sz w:val="22"/>
          <w:szCs w:val="22"/>
        </w:rPr>
        <w:t>accumulateur final;</w:t>
      </w:r>
    </w:p>
    <w:p w14:paraId="347430B3" w14:textId="0399D640" w:rsidR="00CA4204" w:rsidRPr="00937C8B" w:rsidRDefault="005E4ABF" w:rsidP="005E4ABF">
      <w:pPr>
        <w:ind w:left="1701" w:hanging="993"/>
        <w:rPr>
          <w:rFonts w:cs="Arial"/>
          <w:sz w:val="22"/>
          <w:szCs w:val="22"/>
        </w:rPr>
      </w:pPr>
      <w:r>
        <w:rPr>
          <w:rFonts w:ascii="Arial" w:hAnsi="Arial"/>
          <w:sz w:val="22"/>
          <w:szCs w:val="22"/>
        </w:rPr>
        <w:t>T</w:t>
      </w:r>
      <w:r>
        <w:rPr>
          <w:rFonts w:ascii="Arial" w:hAnsi="Arial"/>
          <w:sz w:val="22"/>
          <w:szCs w:val="22"/>
          <w:vertAlign w:val="subscript"/>
        </w:rPr>
        <w:t>i</w:t>
      </w:r>
      <w:r>
        <w:rPr>
          <w:rFonts w:ascii="Arial" w:hAnsi="Arial"/>
          <w:sz w:val="22"/>
          <w:szCs w:val="22"/>
          <w:vertAlign w:val="subscript"/>
        </w:rPr>
        <w:tab/>
      </w:r>
      <w:r>
        <w:rPr>
          <w:rFonts w:ascii="Arial" w:hAnsi="Arial"/>
          <w:sz w:val="22"/>
          <w:szCs w:val="22"/>
        </w:rPr>
        <w:t>Température moyenne de l</w:t>
      </w:r>
      <w:r w:rsidR="00EA7588">
        <w:rPr>
          <w:rFonts w:ascii="Arial" w:hAnsi="Arial"/>
          <w:sz w:val="22"/>
          <w:szCs w:val="22"/>
        </w:rPr>
        <w:t>’</w:t>
      </w:r>
      <w:r>
        <w:rPr>
          <w:rFonts w:ascii="Arial" w:hAnsi="Arial"/>
          <w:sz w:val="22"/>
          <w:szCs w:val="22"/>
        </w:rPr>
        <w:t>eau froide pour le mois i (selon l</w:t>
      </w:r>
      <w:r w:rsidR="00EA7588">
        <w:rPr>
          <w:rFonts w:ascii="Arial" w:hAnsi="Arial"/>
          <w:sz w:val="22"/>
          <w:szCs w:val="22"/>
        </w:rPr>
        <w:t>’</w:t>
      </w:r>
      <w:r>
        <w:rPr>
          <w:rFonts w:ascii="Arial" w:hAnsi="Arial"/>
          <w:sz w:val="22"/>
          <w:szCs w:val="22"/>
        </w:rPr>
        <w:t>annexe G).</w:t>
      </w:r>
      <w:r>
        <w:rPr>
          <w:rFonts w:ascii="Arial" w:hAnsi="Arial"/>
          <w:sz w:val="22"/>
          <w:szCs w:val="22"/>
        </w:rPr>
        <w:tab/>
      </w:r>
    </w:p>
    <w:p w14:paraId="687D08A2" w14:textId="4F8C35B1" w:rsidR="008242B3" w:rsidRPr="00937C8B" w:rsidRDefault="00F53224" w:rsidP="0084739B">
      <w:pPr>
        <w:pStyle w:val="CteTtuloSeccion"/>
        <w:pageBreakBefore/>
        <w:rPr>
          <w:rFonts w:cs="Arial"/>
          <w:color w:val="auto"/>
        </w:rPr>
      </w:pPr>
      <w:bookmarkStart w:id="284" w:name="_Toc39157982"/>
      <w:bookmarkStart w:id="285" w:name="_Toc39158148"/>
      <w:r>
        <w:rPr>
          <w:color w:val="auto"/>
        </w:rPr>
        <w:lastRenderedPageBreak/>
        <w:t>Annexe G</w:t>
      </w:r>
      <w:r>
        <w:rPr>
          <w:color w:val="auto"/>
        </w:rPr>
        <w:tab/>
        <w:t>Température de l</w:t>
      </w:r>
      <w:r w:rsidR="00EA7588">
        <w:rPr>
          <w:color w:val="auto"/>
        </w:rPr>
        <w:t>’</w:t>
      </w:r>
      <w:r>
        <w:rPr>
          <w:color w:val="auto"/>
        </w:rPr>
        <w:t>eau du réseau</w:t>
      </w:r>
      <w:bookmarkEnd w:id="284"/>
      <w:bookmarkEnd w:id="285"/>
    </w:p>
    <w:p w14:paraId="1FC1253E" w14:textId="5768CAA0" w:rsidR="00C331B9" w:rsidRPr="00786EBA" w:rsidRDefault="00C331B9" w:rsidP="00786EBA">
      <w:pPr>
        <w:spacing w:before="240" w:after="120"/>
        <w:rPr>
          <w:rFonts w:ascii="Arial" w:hAnsi="Arial" w:cs="Arial"/>
          <w:b/>
          <w:sz w:val="28"/>
          <w:szCs w:val="28"/>
        </w:rPr>
      </w:pPr>
      <w:bookmarkStart w:id="286" w:name="__RefHeading___Toc17029_1826119949"/>
      <w:bookmarkStart w:id="287" w:name="_Toc530395138"/>
      <w:bookmarkStart w:id="288" w:name="_Toc530395313"/>
      <w:bookmarkStart w:id="289" w:name="_Toc530396098"/>
      <w:bookmarkStart w:id="290" w:name="_Toc530396192"/>
      <w:bookmarkStart w:id="291" w:name="_Toc39157983"/>
      <w:bookmarkStart w:id="292" w:name="_Toc39158149"/>
      <w:bookmarkEnd w:id="286"/>
      <w:r>
        <w:rPr>
          <w:rFonts w:ascii="Arial" w:hAnsi="Arial"/>
          <w:b/>
          <w:sz w:val="28"/>
          <w:szCs w:val="28"/>
        </w:rPr>
        <w:t>1</w:t>
      </w:r>
      <w:r>
        <w:rPr>
          <w:rFonts w:ascii="Arial" w:hAnsi="Arial"/>
          <w:b/>
          <w:sz w:val="28"/>
          <w:szCs w:val="28"/>
        </w:rPr>
        <w:tab/>
        <w:t>Température mensuelle moyenne de l</w:t>
      </w:r>
      <w:r w:rsidR="00EA7588">
        <w:rPr>
          <w:rFonts w:ascii="Arial" w:hAnsi="Arial"/>
          <w:b/>
          <w:sz w:val="28"/>
          <w:szCs w:val="28"/>
        </w:rPr>
        <w:t>’</w:t>
      </w:r>
      <w:r>
        <w:rPr>
          <w:rFonts w:ascii="Arial" w:hAnsi="Arial"/>
          <w:b/>
          <w:sz w:val="28"/>
          <w:szCs w:val="28"/>
        </w:rPr>
        <w:t>eau du réseau</w:t>
      </w:r>
      <w:bookmarkEnd w:id="287"/>
      <w:bookmarkEnd w:id="288"/>
      <w:bookmarkEnd w:id="289"/>
      <w:bookmarkEnd w:id="290"/>
      <w:bookmarkEnd w:id="291"/>
      <w:bookmarkEnd w:id="292"/>
    </w:p>
    <w:p w14:paraId="4FBE6EB3" w14:textId="0F344EE9" w:rsidR="00C331B9" w:rsidRPr="00937C8B" w:rsidRDefault="00C331B9" w:rsidP="00C331B9">
      <w:pPr>
        <w:pStyle w:val="CTENumeracion"/>
        <w:rPr>
          <w:rFonts w:cs="Arial"/>
          <w:sz w:val="22"/>
          <w:szCs w:val="22"/>
        </w:rPr>
      </w:pPr>
      <w:r>
        <w:rPr>
          <w:sz w:val="22"/>
          <w:szCs w:val="22"/>
        </w:rPr>
        <w:t>1</w:t>
      </w:r>
      <w:r>
        <w:rPr>
          <w:sz w:val="22"/>
          <w:szCs w:val="22"/>
        </w:rPr>
        <w:tab/>
        <w:t>Le tableau a de l</w:t>
      </w:r>
      <w:r w:rsidR="00EA7588">
        <w:rPr>
          <w:sz w:val="22"/>
          <w:szCs w:val="22"/>
        </w:rPr>
        <w:t>’</w:t>
      </w:r>
      <w:r>
        <w:rPr>
          <w:sz w:val="22"/>
          <w:szCs w:val="22"/>
        </w:rPr>
        <w:t>annexe G présente la température quotidienne moyenne mensuelle (ºC) de l</w:t>
      </w:r>
      <w:r w:rsidR="00EA7588">
        <w:rPr>
          <w:sz w:val="22"/>
          <w:szCs w:val="22"/>
        </w:rPr>
        <w:t>’</w:t>
      </w:r>
      <w:r>
        <w:rPr>
          <w:sz w:val="22"/>
          <w:szCs w:val="22"/>
        </w:rPr>
        <w:t>eau froide du réseau pour les capitales provinciales, permettant de calculer la consommation d</w:t>
      </w:r>
      <w:r w:rsidR="00EA7588">
        <w:rPr>
          <w:sz w:val="22"/>
          <w:szCs w:val="22"/>
        </w:rPr>
        <w:t>’</w:t>
      </w:r>
      <w:r>
        <w:rPr>
          <w:sz w:val="22"/>
          <w:szCs w:val="22"/>
        </w:rPr>
        <w:t>ECS:</w:t>
      </w:r>
    </w:p>
    <w:p w14:paraId="57A9A530" w14:textId="4BD2626F" w:rsidR="00C331B9" w:rsidRPr="00937C8B" w:rsidRDefault="00C331B9" w:rsidP="00C331B9">
      <w:pPr>
        <w:pStyle w:val="CTEtabla-Titulo"/>
      </w:pPr>
      <w:r>
        <w:t>Tableau a-Annexe G. Température journalière moyenne mensuelle de l</w:t>
      </w:r>
      <w:r w:rsidR="00EA7588">
        <w:t>’</w:t>
      </w:r>
      <w:r>
        <w:t>eau froide (°C)</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541"/>
        <w:gridCol w:w="881"/>
        <w:gridCol w:w="505"/>
        <w:gridCol w:w="505"/>
        <w:gridCol w:w="510"/>
        <w:gridCol w:w="507"/>
        <w:gridCol w:w="506"/>
        <w:gridCol w:w="506"/>
        <w:gridCol w:w="506"/>
        <w:gridCol w:w="508"/>
        <w:gridCol w:w="509"/>
        <w:gridCol w:w="507"/>
        <w:gridCol w:w="507"/>
        <w:gridCol w:w="500"/>
      </w:tblGrid>
      <w:tr w:rsidR="00C331B9" w:rsidRPr="00937C8B" w14:paraId="5F171D3B" w14:textId="77777777" w:rsidTr="00935676">
        <w:trPr>
          <w:tblHeade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30C50" w14:textId="77777777" w:rsidR="00C331B9" w:rsidRPr="00937C8B" w:rsidRDefault="00C331B9" w:rsidP="003E38D0">
            <w:pPr>
              <w:pStyle w:val="CTEtabla-texto"/>
              <w:snapToGrid w:val="0"/>
              <w:jc w:val="left"/>
              <w:rPr>
                <w:rFonts w:cs="Arial"/>
              </w:rPr>
            </w:pPr>
            <w:r>
              <w:rPr>
                <w:b/>
              </w:rPr>
              <w:t>Capitale de province</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C25CB" w14:textId="77777777" w:rsidR="00C331B9" w:rsidRPr="00937C8B" w:rsidRDefault="00C331B9" w:rsidP="003E38D0">
            <w:pPr>
              <w:pStyle w:val="CTEtabla-texto"/>
              <w:snapToGrid w:val="0"/>
              <w:rPr>
                <w:rFonts w:cs="Arial"/>
                <w:b/>
              </w:rPr>
            </w:pPr>
            <w:r>
              <w:rPr>
                <w:b/>
              </w:rPr>
              <w:t>Altitude</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29039" w14:textId="77777777" w:rsidR="00C331B9" w:rsidRPr="00937C8B" w:rsidRDefault="00C331B9" w:rsidP="003E38D0">
            <w:pPr>
              <w:pStyle w:val="CTEtabla-texto"/>
              <w:snapToGrid w:val="0"/>
              <w:rPr>
                <w:rFonts w:cs="Arial"/>
              </w:rPr>
            </w:pPr>
            <w:r>
              <w:rPr>
                <w:b/>
              </w:rPr>
              <w:t>JA</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3AC61" w14:textId="77777777" w:rsidR="00C331B9" w:rsidRPr="00937C8B" w:rsidRDefault="00C331B9" w:rsidP="003E38D0">
            <w:pPr>
              <w:pStyle w:val="CTEtabla-texto"/>
              <w:snapToGrid w:val="0"/>
              <w:rPr>
                <w:rFonts w:cs="Arial"/>
                <w:b/>
              </w:rPr>
            </w:pPr>
            <w:r>
              <w:rPr>
                <w:b/>
              </w:rPr>
              <w:t>FE</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8DEA0" w14:textId="77777777" w:rsidR="00C331B9" w:rsidRPr="00937C8B" w:rsidRDefault="00C331B9" w:rsidP="003E38D0">
            <w:pPr>
              <w:pStyle w:val="CTEtabla-texto"/>
              <w:snapToGrid w:val="0"/>
              <w:rPr>
                <w:rFonts w:cs="Arial"/>
                <w:b/>
              </w:rPr>
            </w:pPr>
            <w:r>
              <w:rPr>
                <w:b/>
              </w:rPr>
              <w:t>MA</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194B6" w14:textId="77777777" w:rsidR="00C331B9" w:rsidRPr="00937C8B" w:rsidRDefault="00C331B9" w:rsidP="003E38D0">
            <w:pPr>
              <w:pStyle w:val="CTEtabla-texto"/>
              <w:snapToGrid w:val="0"/>
              <w:rPr>
                <w:rFonts w:cs="Arial"/>
                <w:b/>
              </w:rPr>
            </w:pPr>
            <w:r>
              <w:rPr>
                <w:b/>
              </w:rPr>
              <w:t>AV</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2FC3B" w14:textId="77777777" w:rsidR="00C331B9" w:rsidRPr="00937C8B" w:rsidRDefault="00C331B9" w:rsidP="003E38D0">
            <w:pPr>
              <w:pStyle w:val="CTEtabla-texto"/>
              <w:snapToGrid w:val="0"/>
              <w:rPr>
                <w:rFonts w:cs="Arial"/>
                <w:b/>
              </w:rPr>
            </w:pPr>
            <w:r>
              <w:rPr>
                <w:b/>
              </w:rPr>
              <w:t>MI</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355DA" w14:textId="77777777" w:rsidR="00C331B9" w:rsidRPr="00937C8B" w:rsidRDefault="00C331B9" w:rsidP="003E38D0">
            <w:pPr>
              <w:pStyle w:val="CTEtabla-texto"/>
              <w:snapToGrid w:val="0"/>
              <w:rPr>
                <w:rFonts w:cs="Arial"/>
                <w:b/>
              </w:rPr>
            </w:pPr>
            <w:r>
              <w:rPr>
                <w:b/>
              </w:rPr>
              <w:t>JN</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14DC3" w14:textId="77777777" w:rsidR="00C331B9" w:rsidRPr="00937C8B" w:rsidRDefault="00C331B9" w:rsidP="003E38D0">
            <w:pPr>
              <w:pStyle w:val="CTEtabla-texto"/>
              <w:snapToGrid w:val="0"/>
              <w:rPr>
                <w:rFonts w:cs="Arial"/>
                <w:b/>
              </w:rPr>
            </w:pPr>
            <w:r>
              <w:rPr>
                <w:b/>
              </w:rPr>
              <w:t>JL</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0E2D7" w14:textId="77777777" w:rsidR="00C331B9" w:rsidRPr="00937C8B" w:rsidRDefault="00C331B9" w:rsidP="003E38D0">
            <w:pPr>
              <w:pStyle w:val="CTEtabla-texto"/>
              <w:snapToGrid w:val="0"/>
              <w:rPr>
                <w:rFonts w:cs="Arial"/>
                <w:b/>
              </w:rPr>
            </w:pPr>
            <w:r>
              <w:rPr>
                <w:b/>
              </w:rPr>
              <w:t>AO</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B4A5E" w14:textId="77777777" w:rsidR="00C331B9" w:rsidRPr="00937C8B" w:rsidRDefault="00C331B9" w:rsidP="003E38D0">
            <w:pPr>
              <w:pStyle w:val="CTEtabla-texto"/>
              <w:snapToGrid w:val="0"/>
              <w:rPr>
                <w:rFonts w:cs="Arial"/>
                <w:b/>
              </w:rPr>
            </w:pPr>
            <w:r>
              <w:rPr>
                <w:b/>
              </w:rPr>
              <w:t>SE</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0C014" w14:textId="77777777" w:rsidR="00C331B9" w:rsidRPr="00937C8B" w:rsidRDefault="00C331B9" w:rsidP="003E38D0">
            <w:pPr>
              <w:pStyle w:val="CTEtabla-texto"/>
              <w:snapToGrid w:val="0"/>
              <w:rPr>
                <w:rFonts w:cs="Arial"/>
                <w:b/>
              </w:rPr>
            </w:pPr>
            <w:r>
              <w:rPr>
                <w:b/>
              </w:rPr>
              <w:t>OC</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5A77D" w14:textId="77777777" w:rsidR="00C331B9" w:rsidRPr="00937C8B" w:rsidRDefault="00C331B9" w:rsidP="003E38D0">
            <w:pPr>
              <w:pStyle w:val="CTEtabla-texto"/>
              <w:snapToGrid w:val="0"/>
              <w:rPr>
                <w:rFonts w:cs="Arial"/>
                <w:b/>
              </w:rPr>
            </w:pPr>
            <w:r>
              <w:rPr>
                <w:b/>
              </w:rPr>
              <w:t>NO</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759A7" w14:textId="77777777" w:rsidR="00C331B9" w:rsidRPr="00937C8B" w:rsidRDefault="00C331B9" w:rsidP="003E38D0">
            <w:pPr>
              <w:pStyle w:val="CTEtabla-texto"/>
              <w:snapToGrid w:val="0"/>
              <w:rPr>
                <w:rFonts w:cs="Arial"/>
                <w:b/>
              </w:rPr>
            </w:pPr>
            <w:r>
              <w:rPr>
                <w:b/>
              </w:rPr>
              <w:t>DE</w:t>
            </w:r>
          </w:p>
        </w:tc>
      </w:tr>
      <w:tr w:rsidR="00C331B9" w:rsidRPr="00937C8B" w14:paraId="059D741D"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937CE" w14:textId="77777777" w:rsidR="00C331B9" w:rsidRPr="00937C8B" w:rsidRDefault="00C331B9" w:rsidP="003E38D0">
            <w:pPr>
              <w:pStyle w:val="CTEtabla-texto"/>
              <w:snapToGrid w:val="0"/>
              <w:jc w:val="left"/>
              <w:rPr>
                <w:rFonts w:cs="Arial"/>
              </w:rPr>
            </w:pPr>
            <w:r>
              <w:t>La Corogne</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E8560" w14:textId="77777777" w:rsidR="00C331B9" w:rsidRPr="00937C8B" w:rsidRDefault="00C331B9" w:rsidP="003E38D0">
            <w:pPr>
              <w:pStyle w:val="CTEtabla-texto"/>
              <w:snapToGrid w:val="0"/>
              <w:rPr>
                <w:rFonts w:cs="Arial"/>
              </w:rPr>
            </w:pPr>
            <w:r>
              <w:t>26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F5571" w14:textId="77777777"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DB846" w14:textId="77777777"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348AC"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7AFE5"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3D3FC"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844AF"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FDB1E" w14:textId="77777777" w:rsidR="00C331B9" w:rsidRPr="00937C8B" w:rsidRDefault="00C331B9" w:rsidP="003E38D0">
            <w:pPr>
              <w:pStyle w:val="CTEtabla-texto"/>
              <w:snapToGrid w:val="0"/>
              <w:rPr>
                <w:rFonts w:cs="Arial"/>
              </w:rPr>
            </w:pPr>
            <w:r>
              <w:t>16</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5FD2A" w14:textId="77777777"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E2A57"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B55FF"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F045B" w14:textId="77777777"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70666" w14:textId="77777777" w:rsidR="00C331B9" w:rsidRPr="00937C8B" w:rsidRDefault="00C331B9" w:rsidP="003E38D0">
            <w:pPr>
              <w:pStyle w:val="CTEtabla-texto"/>
              <w:snapToGrid w:val="0"/>
              <w:rPr>
                <w:rFonts w:cs="Arial"/>
              </w:rPr>
            </w:pPr>
            <w:r>
              <w:t>11</w:t>
            </w:r>
          </w:p>
        </w:tc>
      </w:tr>
      <w:tr w:rsidR="00C331B9" w:rsidRPr="00937C8B" w14:paraId="46E30CC0"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7C3616" w14:textId="77777777" w:rsidR="00C331B9" w:rsidRPr="00937C8B" w:rsidRDefault="00C331B9" w:rsidP="003E38D0">
            <w:pPr>
              <w:pStyle w:val="CTEtabla-texto"/>
              <w:snapToGrid w:val="0"/>
              <w:jc w:val="left"/>
              <w:rPr>
                <w:rFonts w:cs="Arial"/>
              </w:rPr>
            </w:pPr>
            <w:r>
              <w:t>Albacete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338A4A" w14:textId="77777777" w:rsidR="00C331B9" w:rsidRPr="00937C8B" w:rsidRDefault="00C331B9" w:rsidP="003E38D0">
            <w:pPr>
              <w:pStyle w:val="CTEtabla-texto"/>
              <w:snapToGrid w:val="0"/>
              <w:rPr>
                <w:rFonts w:cs="Arial"/>
              </w:rPr>
            </w:pPr>
            <w:r>
              <w:t>686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CF75F" w14:textId="77777777"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BAE415" w14:textId="77777777"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CCDB0A" w14:textId="77777777"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FBC735"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15F50D"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6C16C"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733EF" w14:textId="77777777"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3040A6" w14:textId="77777777"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CFE91"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2EC77C"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A7AC79" w14:textId="77777777"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908249" w14:textId="77777777" w:rsidR="00C331B9" w:rsidRPr="00937C8B" w:rsidRDefault="00C331B9" w:rsidP="003E38D0">
            <w:pPr>
              <w:pStyle w:val="CTEtabla-texto"/>
              <w:snapToGrid w:val="0"/>
              <w:rPr>
                <w:rFonts w:cs="Arial"/>
              </w:rPr>
            </w:pPr>
            <w:r>
              <w:t>7</w:t>
            </w:r>
          </w:p>
        </w:tc>
      </w:tr>
      <w:tr w:rsidR="00C331B9" w:rsidRPr="00937C8B" w14:paraId="75D0F161"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D009D" w14:textId="77777777" w:rsidR="00C331B9" w:rsidRPr="00937C8B" w:rsidRDefault="00C331B9" w:rsidP="003E38D0">
            <w:pPr>
              <w:pStyle w:val="CTEtabla-texto"/>
              <w:snapToGrid w:val="0"/>
              <w:jc w:val="left"/>
              <w:rPr>
                <w:rFonts w:cs="Arial"/>
              </w:rPr>
            </w:pPr>
            <w:r>
              <w:t>Alicante</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D38DC" w14:textId="77777777"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B481B" w14:textId="77777777"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A1B23" w14:textId="77777777" w:rsidR="00C331B9" w:rsidRPr="00937C8B" w:rsidRDefault="00C331B9" w:rsidP="003E38D0">
            <w:pPr>
              <w:pStyle w:val="CTEtabla-texto"/>
              <w:snapToGrid w:val="0"/>
              <w:rPr>
                <w:rFonts w:cs="Arial"/>
              </w:rPr>
            </w:pPr>
            <w:r>
              <w:t>12</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FD3C6"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2666"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9FE3B"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AFBEB"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F4215"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7060F"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02C8A"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981BA"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27D02" w14:textId="77777777" w:rsidR="00C331B9" w:rsidRPr="00937C8B" w:rsidRDefault="00C331B9" w:rsidP="003E38D0">
            <w:pPr>
              <w:pStyle w:val="CTEtabla-texto"/>
              <w:snapToGrid w:val="0"/>
              <w:rPr>
                <w:rFonts w:cs="Arial"/>
              </w:rPr>
            </w:pPr>
            <w:r>
              <w:t>13</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297A8" w14:textId="77777777" w:rsidR="00C331B9" w:rsidRPr="00937C8B" w:rsidRDefault="00C331B9" w:rsidP="003E38D0">
            <w:pPr>
              <w:pStyle w:val="CTEtabla-texto"/>
              <w:snapToGrid w:val="0"/>
              <w:rPr>
                <w:rFonts w:cs="Arial"/>
              </w:rPr>
            </w:pPr>
            <w:r>
              <w:t>12</w:t>
            </w:r>
          </w:p>
        </w:tc>
      </w:tr>
      <w:tr w:rsidR="00C331B9" w:rsidRPr="00937C8B" w14:paraId="748A7B05"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C8FEE9" w14:textId="77777777" w:rsidR="00C331B9" w:rsidRPr="00937C8B" w:rsidRDefault="00C331B9" w:rsidP="003E38D0">
            <w:pPr>
              <w:pStyle w:val="CTEtabla-texto"/>
              <w:snapToGrid w:val="0"/>
              <w:jc w:val="left"/>
              <w:rPr>
                <w:rFonts w:cs="Arial"/>
              </w:rPr>
            </w:pPr>
            <w:r>
              <w:t>Almería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E82769" w14:textId="77777777" w:rsidR="00C331B9" w:rsidRPr="00937C8B" w:rsidRDefault="00C331B9" w:rsidP="003E38D0">
            <w:pPr>
              <w:pStyle w:val="CTEtabla-texto"/>
              <w:snapToGrid w:val="0"/>
              <w:rPr>
                <w:rFonts w:cs="Arial"/>
              </w:rPr>
            </w:pPr>
            <w:r>
              <w:t>16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3C96E0" w14:textId="77777777"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4DDE7" w14:textId="77777777" w:rsidR="00C331B9" w:rsidRPr="00937C8B" w:rsidRDefault="00C331B9" w:rsidP="003E38D0">
            <w:pPr>
              <w:pStyle w:val="CTEtabla-texto"/>
              <w:snapToGrid w:val="0"/>
              <w:rPr>
                <w:rFonts w:cs="Arial"/>
              </w:rPr>
            </w:pPr>
            <w:r>
              <w:t>12</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71A82D"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4DCE92"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FA7335"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228CA0"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9A956"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6203E3" w14:textId="77777777" w:rsidR="00C331B9" w:rsidRPr="00937C8B" w:rsidRDefault="00C331B9" w:rsidP="003E38D0">
            <w:pPr>
              <w:pStyle w:val="CTEtabla-texto"/>
              <w:snapToGrid w:val="0"/>
              <w:rPr>
                <w:rFonts w:cs="Arial"/>
              </w:rPr>
            </w:pPr>
            <w:r>
              <w:t>21</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3BE56B"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DD1E6C"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E50C4B" w14:textId="77777777" w:rsidR="00C331B9" w:rsidRPr="00937C8B" w:rsidRDefault="00C331B9" w:rsidP="003E38D0">
            <w:pPr>
              <w:pStyle w:val="CTEtabla-texto"/>
              <w:snapToGrid w:val="0"/>
              <w:rPr>
                <w:rFonts w:cs="Arial"/>
              </w:rPr>
            </w:pPr>
            <w:r>
              <w:t>14</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58B37" w14:textId="77777777" w:rsidR="00C331B9" w:rsidRPr="00937C8B" w:rsidRDefault="00C331B9" w:rsidP="003E38D0">
            <w:pPr>
              <w:pStyle w:val="CTEtabla-texto"/>
              <w:snapToGrid w:val="0"/>
              <w:rPr>
                <w:rFonts w:cs="Arial"/>
              </w:rPr>
            </w:pPr>
            <w:r>
              <w:t>12</w:t>
            </w:r>
          </w:p>
        </w:tc>
      </w:tr>
      <w:tr w:rsidR="00C331B9" w:rsidRPr="00937C8B" w14:paraId="7C137192"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E57F0" w14:textId="77777777" w:rsidR="00C331B9" w:rsidRPr="00937C8B" w:rsidRDefault="00C331B9" w:rsidP="003E38D0">
            <w:pPr>
              <w:pStyle w:val="CTEtabla-texto"/>
              <w:snapToGrid w:val="0"/>
              <w:jc w:val="left"/>
              <w:rPr>
                <w:rFonts w:cs="Arial"/>
              </w:rPr>
            </w:pPr>
            <w:r>
              <w:t>Ávila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8C64" w14:textId="77777777" w:rsidR="00C331B9" w:rsidRPr="00937C8B" w:rsidRDefault="00C331B9" w:rsidP="003E38D0">
            <w:pPr>
              <w:pStyle w:val="CTEtabla-texto"/>
              <w:snapToGrid w:val="0"/>
              <w:rPr>
                <w:rFonts w:cs="Arial"/>
              </w:rPr>
            </w:pPr>
            <w:r>
              <w:t>1131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6E26C" w14:textId="77777777"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91A15" w14:textId="77777777" w:rsidR="00C331B9" w:rsidRPr="00937C8B" w:rsidRDefault="00C331B9" w:rsidP="003E38D0">
            <w:pPr>
              <w:pStyle w:val="CTEtabla-texto"/>
              <w:snapToGrid w:val="0"/>
              <w:rPr>
                <w:rFonts w:cs="Arial"/>
              </w:rPr>
            </w:pPr>
            <w:r>
              <w:t>6</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A7117" w14:textId="77777777" w:rsidR="00C331B9" w:rsidRPr="00937C8B" w:rsidRDefault="00C331B9" w:rsidP="003E38D0">
            <w:pPr>
              <w:pStyle w:val="CTEtabla-texto"/>
              <w:snapToGrid w:val="0"/>
              <w:rPr>
                <w:rFonts w:cs="Arial"/>
              </w:rPr>
            </w:pPr>
            <w:r>
              <w:t>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17AE9" w14:textId="77777777"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52AA4"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1A1EF"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E04D2" w14:textId="77777777"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BD291" w14:textId="77777777"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9E7A7"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8EFED"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90D20" w14:textId="77777777"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936AD" w14:textId="77777777" w:rsidR="00C331B9" w:rsidRPr="00937C8B" w:rsidRDefault="00C331B9" w:rsidP="003E38D0">
            <w:pPr>
              <w:pStyle w:val="CTEtabla-texto"/>
              <w:snapToGrid w:val="0"/>
              <w:rPr>
                <w:rFonts w:cs="Arial"/>
              </w:rPr>
            </w:pPr>
            <w:r>
              <w:t>6</w:t>
            </w:r>
          </w:p>
        </w:tc>
      </w:tr>
      <w:tr w:rsidR="00C331B9" w:rsidRPr="00937C8B" w14:paraId="49ADA452"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8EF5E" w14:textId="77777777" w:rsidR="00C331B9" w:rsidRPr="00937C8B" w:rsidRDefault="00C331B9" w:rsidP="003E38D0">
            <w:pPr>
              <w:pStyle w:val="CTEtabla-texto"/>
              <w:snapToGrid w:val="0"/>
              <w:jc w:val="left"/>
              <w:rPr>
                <w:rFonts w:cs="Arial"/>
              </w:rPr>
            </w:pPr>
            <w:r>
              <w:t>Badajoz</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03B068" w14:textId="77777777" w:rsidR="00C331B9" w:rsidRPr="00937C8B" w:rsidRDefault="00C331B9" w:rsidP="003E38D0">
            <w:pPr>
              <w:pStyle w:val="CTEtabla-texto"/>
              <w:snapToGrid w:val="0"/>
              <w:rPr>
                <w:rFonts w:cs="Arial"/>
              </w:rPr>
            </w:pPr>
            <w:r>
              <w:t>186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355A7" w14:textId="77777777"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49D9A1" w14:textId="77777777"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2F0041"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A6BD"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E746F"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F57CA5"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BBBA3A"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E43FAD"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BAC62"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C111F3"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A9C47" w14:textId="77777777"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A1327" w14:textId="77777777" w:rsidR="00C331B9" w:rsidRPr="00937C8B" w:rsidRDefault="00C331B9" w:rsidP="003E38D0">
            <w:pPr>
              <w:pStyle w:val="CTEtabla-texto"/>
              <w:snapToGrid w:val="0"/>
              <w:rPr>
                <w:rFonts w:cs="Arial"/>
              </w:rPr>
            </w:pPr>
            <w:r>
              <w:t>9</w:t>
            </w:r>
          </w:p>
        </w:tc>
      </w:tr>
      <w:tr w:rsidR="00C331B9" w:rsidRPr="00937C8B" w14:paraId="45287270"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5BFDF" w14:textId="77777777" w:rsidR="00C331B9" w:rsidRPr="00937C8B" w:rsidRDefault="00C331B9" w:rsidP="003E38D0">
            <w:pPr>
              <w:pStyle w:val="CTEtabla-texto"/>
              <w:snapToGrid w:val="0"/>
              <w:jc w:val="left"/>
              <w:rPr>
                <w:rFonts w:cs="Arial"/>
              </w:rPr>
            </w:pPr>
            <w:r>
              <w:t>Barcelone</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E9EF0" w14:textId="77777777"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41743" w14:textId="77777777"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D100C" w14:textId="77777777"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D8ABB"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FF0C4"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457F6"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F3A28"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6D671" w14:textId="77777777"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7296" w14:textId="77777777"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1AD8D"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BB185"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6171B" w14:textId="77777777"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12DD7" w14:textId="77777777" w:rsidR="00C331B9" w:rsidRPr="00937C8B" w:rsidRDefault="00C331B9" w:rsidP="003E38D0">
            <w:pPr>
              <w:pStyle w:val="CTEtabla-texto"/>
              <w:snapToGrid w:val="0"/>
              <w:rPr>
                <w:rFonts w:cs="Arial"/>
              </w:rPr>
            </w:pPr>
            <w:r>
              <w:t>10</w:t>
            </w:r>
          </w:p>
        </w:tc>
      </w:tr>
      <w:tr w:rsidR="00C331B9" w:rsidRPr="00937C8B" w14:paraId="639F22B3"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B0AA7" w14:textId="77777777" w:rsidR="00C331B9" w:rsidRPr="00937C8B" w:rsidRDefault="00C331B9" w:rsidP="003E38D0">
            <w:pPr>
              <w:pStyle w:val="CTEtabla-texto"/>
              <w:snapToGrid w:val="0"/>
              <w:jc w:val="left"/>
              <w:rPr>
                <w:rFonts w:cs="Arial"/>
              </w:rPr>
            </w:pPr>
            <w:r>
              <w:t>Bilbao</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948BF3" w14:textId="77777777"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C9B69B" w14:textId="77777777"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F1D2A" w14:textId="77777777"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BED1AF"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7F2979"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66ED63"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DAE0D"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FB26AE" w14:textId="77777777"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07A1A5" w14:textId="77777777" w:rsidR="00C331B9" w:rsidRPr="00937C8B" w:rsidRDefault="00C331B9" w:rsidP="003E38D0">
            <w:pPr>
              <w:pStyle w:val="CTEtabla-texto"/>
              <w:snapToGrid w:val="0"/>
              <w:rPr>
                <w:rFonts w:cs="Arial"/>
              </w:rPr>
            </w:pPr>
            <w: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13F3D"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73CA38"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21B5FD" w14:textId="77777777" w:rsidR="00C331B9" w:rsidRPr="00937C8B" w:rsidRDefault="00C331B9" w:rsidP="003E38D0">
            <w:pPr>
              <w:pStyle w:val="CTEtabla-texto"/>
              <w:snapToGrid w:val="0"/>
              <w:rPr>
                <w:rFonts w:cs="Arial"/>
              </w:rPr>
            </w:pPr>
            <w:r>
              <w:t>11</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4F7743" w14:textId="77777777" w:rsidR="00C331B9" w:rsidRPr="00937C8B" w:rsidRDefault="00C331B9" w:rsidP="003E38D0">
            <w:pPr>
              <w:pStyle w:val="CTEtabla-texto"/>
              <w:snapToGrid w:val="0"/>
              <w:rPr>
                <w:rFonts w:cs="Arial"/>
              </w:rPr>
            </w:pPr>
            <w:r>
              <w:t>10</w:t>
            </w:r>
          </w:p>
        </w:tc>
      </w:tr>
      <w:tr w:rsidR="00C331B9" w:rsidRPr="00937C8B" w14:paraId="37D8F2F6"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3134D" w14:textId="77777777" w:rsidR="00C331B9" w:rsidRPr="00937C8B" w:rsidRDefault="00C331B9" w:rsidP="003E38D0">
            <w:pPr>
              <w:pStyle w:val="CTEtabla-texto"/>
              <w:snapToGrid w:val="0"/>
              <w:jc w:val="left"/>
              <w:rPr>
                <w:rFonts w:cs="Arial"/>
              </w:rPr>
            </w:pPr>
            <w:r>
              <w:t>Burgos</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86ED9" w14:textId="77777777" w:rsidR="00C331B9" w:rsidRPr="00937C8B" w:rsidRDefault="00C331B9" w:rsidP="003E38D0">
            <w:pPr>
              <w:pStyle w:val="CTEtabla-texto"/>
              <w:snapToGrid w:val="0"/>
              <w:rPr>
                <w:rFonts w:cs="Arial"/>
              </w:rPr>
            </w:pPr>
            <w:r>
              <w:t>929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18108" w14:textId="77777777" w:rsidR="00C331B9" w:rsidRPr="00937C8B" w:rsidRDefault="00C331B9" w:rsidP="003E38D0">
            <w:pPr>
              <w:pStyle w:val="CTEtabla-texto"/>
              <w:snapToGrid w:val="0"/>
              <w:rPr>
                <w:rFonts w:cs="Arial"/>
              </w:rPr>
            </w:pPr>
            <w:r>
              <w:t>5</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FCFAB" w14:textId="77777777" w:rsidR="00C331B9" w:rsidRPr="00937C8B" w:rsidRDefault="00C331B9" w:rsidP="003E38D0">
            <w:pPr>
              <w:pStyle w:val="CTEtabla-texto"/>
              <w:snapToGrid w:val="0"/>
              <w:rPr>
                <w:rFonts w:cs="Arial"/>
              </w:rPr>
            </w:pPr>
            <w:r>
              <w:t>6</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EC311" w14:textId="77777777" w:rsidR="00C331B9" w:rsidRPr="00937C8B" w:rsidRDefault="00C331B9" w:rsidP="003E38D0">
            <w:pPr>
              <w:pStyle w:val="CTEtabla-texto"/>
              <w:snapToGrid w:val="0"/>
              <w:rPr>
                <w:rFonts w:cs="Arial"/>
              </w:rPr>
            </w:pPr>
            <w:r>
              <w:t>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E250A" w14:textId="77777777"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FBD82"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60C01"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74BCB" w14:textId="77777777" w:rsidR="00C331B9" w:rsidRPr="00937C8B" w:rsidRDefault="00C331B9" w:rsidP="003E38D0">
            <w:pPr>
              <w:pStyle w:val="CTEtabla-texto"/>
              <w:snapToGrid w:val="0"/>
              <w:rPr>
                <w:rFonts w:cs="Arial"/>
              </w:rPr>
            </w:pPr>
            <w:r>
              <w:t>16</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384E2" w14:textId="77777777"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DBFA6"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E0C37"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74357" w14:textId="77777777" w:rsidR="00C331B9" w:rsidRPr="00937C8B" w:rsidRDefault="00C331B9" w:rsidP="003E38D0">
            <w:pPr>
              <w:pStyle w:val="CTEtabla-texto"/>
              <w:snapToGrid w:val="0"/>
              <w:rPr>
                <w:rFonts w:cs="Arial"/>
              </w:rPr>
            </w:pPr>
            <w:r>
              <w:t>7</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F44A3" w14:textId="77777777" w:rsidR="00C331B9" w:rsidRPr="00937C8B" w:rsidRDefault="00C331B9" w:rsidP="003E38D0">
            <w:pPr>
              <w:pStyle w:val="CTEtabla-texto"/>
              <w:snapToGrid w:val="0"/>
              <w:rPr>
                <w:rFonts w:cs="Arial"/>
              </w:rPr>
            </w:pPr>
            <w:r>
              <w:t>6</w:t>
            </w:r>
          </w:p>
        </w:tc>
      </w:tr>
      <w:tr w:rsidR="00C331B9" w:rsidRPr="00937C8B" w14:paraId="085C9A47"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EDA7BA" w14:textId="77777777" w:rsidR="00C331B9" w:rsidRPr="00937C8B" w:rsidRDefault="00C331B9" w:rsidP="003E38D0">
            <w:pPr>
              <w:pStyle w:val="CTEtabla-texto"/>
              <w:snapToGrid w:val="0"/>
              <w:jc w:val="left"/>
              <w:rPr>
                <w:rFonts w:cs="Arial"/>
              </w:rPr>
            </w:pPr>
            <w:r>
              <w:t>Cáceres</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54AC" w14:textId="77777777" w:rsidR="00C331B9" w:rsidRPr="00937C8B" w:rsidRDefault="00C331B9" w:rsidP="003E38D0">
            <w:pPr>
              <w:pStyle w:val="CTEtabla-texto"/>
              <w:snapToGrid w:val="0"/>
              <w:rPr>
                <w:rFonts w:cs="Arial"/>
              </w:rPr>
            </w:pPr>
            <w:r>
              <w:t>459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E53CFA" w14:textId="77777777"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10B46" w14:textId="77777777"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FA6F13"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83DC16"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9EE399"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8E59D9"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1997A5" w14:textId="77777777" w:rsidR="00C331B9" w:rsidRPr="00937C8B" w:rsidRDefault="00C331B9" w:rsidP="003E38D0">
            <w:pPr>
              <w:pStyle w:val="CTEtabla-texto"/>
              <w:snapToGrid w:val="0"/>
              <w:rPr>
                <w:rFonts w:cs="Arial"/>
              </w:rPr>
            </w:pPr>
            <w:r>
              <w:t>21</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DB8F86"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1DE7D1"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52F221"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F8E1E" w14:textId="77777777" w:rsidR="00C331B9" w:rsidRPr="00937C8B" w:rsidRDefault="00C331B9" w:rsidP="003E38D0">
            <w:pPr>
              <w:pStyle w:val="CTEtabla-texto"/>
              <w:snapToGrid w:val="0"/>
              <w:rPr>
                <w:rFonts w:cs="Arial"/>
              </w:rPr>
            </w:pPr>
            <w:r>
              <w:t>11</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9BDC3B" w14:textId="77777777" w:rsidR="00C331B9" w:rsidRPr="00937C8B" w:rsidRDefault="00C331B9" w:rsidP="003E38D0">
            <w:pPr>
              <w:pStyle w:val="CTEtabla-texto"/>
              <w:snapToGrid w:val="0"/>
              <w:rPr>
                <w:rFonts w:cs="Arial"/>
              </w:rPr>
            </w:pPr>
            <w:r>
              <w:t>9</w:t>
            </w:r>
          </w:p>
        </w:tc>
      </w:tr>
      <w:tr w:rsidR="00C331B9" w:rsidRPr="00937C8B" w14:paraId="71EA30B6"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75D46" w14:textId="77777777" w:rsidR="00C331B9" w:rsidRPr="00937C8B" w:rsidRDefault="00C331B9" w:rsidP="003E38D0">
            <w:pPr>
              <w:pStyle w:val="CTEtabla-texto"/>
              <w:snapToGrid w:val="0"/>
              <w:jc w:val="left"/>
              <w:rPr>
                <w:rFonts w:cs="Arial"/>
              </w:rPr>
            </w:pPr>
            <w:r>
              <w:t>Cadix</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2B35" w14:textId="77777777" w:rsidR="00C331B9" w:rsidRPr="00937C8B" w:rsidRDefault="00C331B9" w:rsidP="003E38D0">
            <w:pPr>
              <w:pStyle w:val="CTEtabla-texto"/>
              <w:snapToGrid w:val="0"/>
              <w:rPr>
                <w:rFonts w:cs="Arial"/>
              </w:rPr>
            </w:pPr>
            <w:r>
              <w:t>14</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075DB" w14:textId="77777777"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63817" w14:textId="77777777" w:rsidR="00C331B9" w:rsidRPr="00937C8B" w:rsidRDefault="00C331B9" w:rsidP="003E38D0">
            <w:pPr>
              <w:pStyle w:val="CTEtabla-texto"/>
              <w:snapToGrid w:val="0"/>
              <w:rPr>
                <w:rFonts w:cs="Arial"/>
              </w:rPr>
            </w:pPr>
            <w:r>
              <w:t>12</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2828C"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73DE6"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EA94D"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1B57B"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C0699" w14:textId="77777777"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61064"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FD35A"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BE376"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1EF73" w14:textId="77777777" w:rsidR="00C331B9" w:rsidRPr="00937C8B" w:rsidRDefault="00C331B9" w:rsidP="003E38D0">
            <w:pPr>
              <w:pStyle w:val="CTEtabla-texto"/>
              <w:snapToGrid w:val="0"/>
              <w:rPr>
                <w:rFonts w:cs="Arial"/>
              </w:rPr>
            </w:pPr>
            <w:r>
              <w:t>14</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BD07C" w14:textId="77777777" w:rsidR="00C331B9" w:rsidRPr="00937C8B" w:rsidRDefault="00C331B9" w:rsidP="003E38D0">
            <w:pPr>
              <w:pStyle w:val="CTEtabla-texto"/>
              <w:snapToGrid w:val="0"/>
              <w:rPr>
                <w:rFonts w:cs="Arial"/>
              </w:rPr>
            </w:pPr>
            <w:r>
              <w:t>12</w:t>
            </w:r>
          </w:p>
        </w:tc>
      </w:tr>
      <w:tr w:rsidR="00C331B9" w:rsidRPr="00937C8B" w14:paraId="74A56D4B"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5BA623" w14:textId="77777777" w:rsidR="00C331B9" w:rsidRPr="00937C8B" w:rsidRDefault="00C331B9" w:rsidP="003E38D0">
            <w:pPr>
              <w:pStyle w:val="CTEtabla-texto"/>
              <w:snapToGrid w:val="0"/>
              <w:jc w:val="left"/>
              <w:rPr>
                <w:rFonts w:cs="Arial"/>
              </w:rPr>
            </w:pPr>
            <w:r>
              <w:t>Castellón</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015579" w14:textId="77777777" w:rsidR="00C331B9" w:rsidRPr="00937C8B" w:rsidRDefault="00C331B9" w:rsidP="003E38D0">
            <w:pPr>
              <w:pStyle w:val="CTEtabla-texto"/>
              <w:snapToGrid w:val="0"/>
              <w:rPr>
                <w:rFonts w:cs="Arial"/>
              </w:rPr>
            </w:pPr>
            <w:r>
              <w:t>27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38C4BF" w14:textId="77777777"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E0994D" w14:textId="77777777"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65BE25"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3C5A7F"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68AECC"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6C144"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142F8" w14:textId="77777777"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E2E1D6"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FE9BFF"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B34386"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326D3A" w14:textId="77777777"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54C85" w14:textId="77777777" w:rsidR="00C331B9" w:rsidRPr="00937C8B" w:rsidRDefault="00C331B9" w:rsidP="003E38D0">
            <w:pPr>
              <w:pStyle w:val="CTEtabla-texto"/>
              <w:snapToGrid w:val="0"/>
              <w:rPr>
                <w:rFonts w:cs="Arial"/>
              </w:rPr>
            </w:pPr>
            <w:r>
              <w:t>11</w:t>
            </w:r>
          </w:p>
        </w:tc>
      </w:tr>
      <w:tr w:rsidR="00C331B9" w:rsidRPr="00937C8B" w14:paraId="5CAD3AB8"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ED46E" w14:textId="77777777" w:rsidR="00C331B9" w:rsidRPr="00937C8B" w:rsidRDefault="00C331B9" w:rsidP="003E38D0">
            <w:pPr>
              <w:pStyle w:val="CTEtabla-texto"/>
              <w:snapToGrid w:val="0"/>
              <w:jc w:val="left"/>
              <w:rPr>
                <w:rFonts w:cs="Arial"/>
              </w:rPr>
            </w:pPr>
            <w:r>
              <w:t>Ceuta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82EF2" w14:textId="77777777" w:rsidR="00C331B9" w:rsidRPr="00937C8B" w:rsidRDefault="00C331B9" w:rsidP="003E38D0">
            <w:pPr>
              <w:pStyle w:val="CTEtabla-texto"/>
              <w:snapToGrid w:val="0"/>
              <w:rPr>
                <w:rFonts w:cs="Arial"/>
              </w:rPr>
            </w:pPr>
            <w:r>
              <w:t>40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A91E" w14:textId="77777777"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DCE5F" w14:textId="77777777"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2F0A0"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5E300"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2254E"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E04EC"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F8536" w14:textId="77777777"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63A49" w14:textId="77777777"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70245"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F05BC"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BA9A7" w14:textId="77777777" w:rsidR="00C331B9" w:rsidRPr="00937C8B" w:rsidRDefault="00C331B9" w:rsidP="003E38D0">
            <w:pPr>
              <w:pStyle w:val="CTEtabla-texto"/>
              <w:snapToGrid w:val="0"/>
              <w:rPr>
                <w:rFonts w:cs="Arial"/>
              </w:rPr>
            </w:pPr>
            <w:r>
              <w:t>13</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859E2" w14:textId="77777777" w:rsidR="00C331B9" w:rsidRPr="00937C8B" w:rsidRDefault="00C331B9" w:rsidP="003E38D0">
            <w:pPr>
              <w:pStyle w:val="CTEtabla-texto"/>
              <w:snapToGrid w:val="0"/>
              <w:rPr>
                <w:rFonts w:cs="Arial"/>
              </w:rPr>
            </w:pPr>
            <w:r>
              <w:t>12</w:t>
            </w:r>
          </w:p>
        </w:tc>
      </w:tr>
      <w:tr w:rsidR="00C331B9" w:rsidRPr="00937C8B" w14:paraId="2CF96C1A"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B29C5A" w14:textId="77777777" w:rsidR="00C331B9" w:rsidRPr="00937C8B" w:rsidRDefault="00C331B9" w:rsidP="003E38D0">
            <w:pPr>
              <w:pStyle w:val="CTEtabla-texto"/>
              <w:snapToGrid w:val="0"/>
              <w:jc w:val="left"/>
              <w:rPr>
                <w:rFonts w:cs="Arial"/>
              </w:rPr>
            </w:pPr>
            <w:r>
              <w:t>Ciudad Real</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251E08" w14:textId="77777777" w:rsidR="00C331B9" w:rsidRPr="00937C8B" w:rsidRDefault="00C331B9" w:rsidP="003E38D0">
            <w:pPr>
              <w:pStyle w:val="CTEtabla-texto"/>
              <w:snapToGrid w:val="0"/>
              <w:rPr>
                <w:rFonts w:cs="Arial"/>
              </w:rPr>
            </w:pPr>
            <w:r>
              <w:t>628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FE0422" w14:textId="77777777"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13D21" w14:textId="77777777"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C2FE57"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44A69"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C79343"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692126"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295DF0"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057D55"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A5E1BE"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D23B3F"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37B83A" w14:textId="77777777"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A368D5" w14:textId="77777777" w:rsidR="00C331B9" w:rsidRPr="00937C8B" w:rsidRDefault="00C331B9" w:rsidP="003E38D0">
            <w:pPr>
              <w:pStyle w:val="CTEtabla-texto"/>
              <w:snapToGrid w:val="0"/>
              <w:rPr>
                <w:rFonts w:cs="Arial"/>
              </w:rPr>
            </w:pPr>
            <w:r>
              <w:t>7</w:t>
            </w:r>
          </w:p>
        </w:tc>
      </w:tr>
      <w:tr w:rsidR="00C331B9" w:rsidRPr="00937C8B" w14:paraId="0E660F1A"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4E82D" w14:textId="77777777" w:rsidR="00C331B9" w:rsidRPr="00937C8B" w:rsidRDefault="00C331B9" w:rsidP="003E38D0">
            <w:pPr>
              <w:pStyle w:val="CTEtabla-texto"/>
              <w:snapToGrid w:val="0"/>
              <w:jc w:val="left"/>
              <w:rPr>
                <w:rFonts w:cs="Arial"/>
              </w:rPr>
            </w:pPr>
            <w:r>
              <w:t>Cordoue</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BF22B" w14:textId="77777777" w:rsidR="00C331B9" w:rsidRPr="00937C8B" w:rsidRDefault="00C331B9" w:rsidP="003E38D0">
            <w:pPr>
              <w:pStyle w:val="CTEtabla-texto"/>
              <w:snapToGrid w:val="0"/>
              <w:rPr>
                <w:rFonts w:cs="Arial"/>
              </w:rPr>
            </w:pPr>
            <w:r>
              <w:t>106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64426" w14:textId="77777777"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12844" w14:textId="77777777"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296F6"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65401"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16EC7"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3758D"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170FA" w14:textId="77777777" w:rsidR="00C331B9" w:rsidRPr="00937C8B" w:rsidRDefault="00C331B9" w:rsidP="003E38D0">
            <w:pPr>
              <w:pStyle w:val="CTEtabla-texto"/>
              <w:snapToGrid w:val="0"/>
              <w:rPr>
                <w:rFonts w:cs="Arial"/>
              </w:rPr>
            </w:pPr>
            <w:r>
              <w:t>21</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7D6A0" w14:textId="77777777" w:rsidR="00C331B9" w:rsidRPr="00937C8B" w:rsidRDefault="00C331B9" w:rsidP="003E38D0">
            <w:pPr>
              <w:pStyle w:val="CTEtabla-texto"/>
              <w:snapToGrid w:val="0"/>
              <w:rPr>
                <w:rFonts w:cs="Arial"/>
              </w:rPr>
            </w:pPr>
            <w:r>
              <w:t>21</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18D9E"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2C9E8"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88525" w14:textId="77777777"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8E1A9" w14:textId="77777777" w:rsidR="00C331B9" w:rsidRPr="00937C8B" w:rsidRDefault="00C331B9" w:rsidP="003E38D0">
            <w:pPr>
              <w:pStyle w:val="CTEtabla-texto"/>
              <w:snapToGrid w:val="0"/>
              <w:rPr>
                <w:rFonts w:cs="Arial"/>
              </w:rPr>
            </w:pPr>
            <w:r>
              <w:t>10</w:t>
            </w:r>
          </w:p>
        </w:tc>
      </w:tr>
      <w:tr w:rsidR="00C331B9" w:rsidRPr="00937C8B" w14:paraId="496A8CFA"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5E11E9" w14:textId="77777777" w:rsidR="00C331B9" w:rsidRPr="00937C8B" w:rsidRDefault="00C331B9" w:rsidP="003E38D0">
            <w:pPr>
              <w:pStyle w:val="CTEtabla-texto"/>
              <w:snapToGrid w:val="0"/>
              <w:jc w:val="left"/>
              <w:rPr>
                <w:rFonts w:cs="Arial"/>
              </w:rPr>
            </w:pPr>
            <w:r>
              <w:t>Cuenca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2240F" w14:textId="77777777" w:rsidR="00C331B9" w:rsidRPr="00937C8B" w:rsidRDefault="00C331B9" w:rsidP="003E38D0">
            <w:pPr>
              <w:pStyle w:val="CTEtabla-texto"/>
              <w:snapToGrid w:val="0"/>
              <w:rPr>
                <w:rFonts w:cs="Arial"/>
              </w:rPr>
            </w:pPr>
            <w:r>
              <w:t>999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8E3C92" w14:textId="77777777"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6A72D" w14:textId="77777777" w:rsidR="00C331B9" w:rsidRPr="00937C8B" w:rsidRDefault="00C331B9" w:rsidP="003E38D0">
            <w:pPr>
              <w:pStyle w:val="CTEtabla-texto"/>
              <w:snapToGrid w:val="0"/>
              <w:rPr>
                <w:rFonts w:cs="Arial"/>
              </w:rPr>
            </w:pPr>
            <w: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81FAD" w14:textId="77777777"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23D769"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BAD65"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07A26E"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F2C47" w14:textId="77777777"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290DC" w14:textId="77777777"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FC256E"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34E12E"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F4AA0" w14:textId="77777777"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CE9659" w14:textId="77777777" w:rsidR="00C331B9" w:rsidRPr="00937C8B" w:rsidRDefault="00C331B9" w:rsidP="003E38D0">
            <w:pPr>
              <w:pStyle w:val="CTEtabla-texto"/>
              <w:snapToGrid w:val="0"/>
              <w:rPr>
                <w:rFonts w:cs="Arial"/>
              </w:rPr>
            </w:pPr>
            <w:r>
              <w:t>7</w:t>
            </w:r>
          </w:p>
        </w:tc>
      </w:tr>
      <w:tr w:rsidR="00C331B9" w:rsidRPr="00937C8B" w14:paraId="2363E3C0"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F38F3" w14:textId="77777777" w:rsidR="00C331B9" w:rsidRPr="00937C8B" w:rsidRDefault="00C331B9" w:rsidP="003E38D0">
            <w:pPr>
              <w:pStyle w:val="CTEtabla-texto"/>
              <w:snapToGrid w:val="0"/>
              <w:jc w:val="left"/>
              <w:rPr>
                <w:rFonts w:cs="Arial"/>
              </w:rPr>
            </w:pPr>
            <w:r>
              <w:t>Gérone</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88BDC" w14:textId="77777777" w:rsidR="00C331B9" w:rsidRPr="00937C8B" w:rsidRDefault="00C331B9" w:rsidP="003E38D0">
            <w:pPr>
              <w:pStyle w:val="CTEtabla-texto"/>
              <w:snapToGrid w:val="0"/>
              <w:rPr>
                <w:rFonts w:cs="Arial"/>
              </w:rPr>
            </w:pPr>
            <w:r>
              <w:t>70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A38A3" w14:textId="77777777"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B8427" w14:textId="77777777"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9BC2F"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54632"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AE08"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B0F6B"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B63A6" w14:textId="77777777"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AA0BC" w14:textId="77777777"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52670"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05DDF"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DFCEB" w14:textId="77777777"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C9317" w14:textId="77777777" w:rsidR="00C331B9" w:rsidRPr="00937C8B" w:rsidRDefault="00C331B9" w:rsidP="003E38D0">
            <w:pPr>
              <w:pStyle w:val="CTEtabla-texto"/>
              <w:snapToGrid w:val="0"/>
              <w:rPr>
                <w:rFonts w:cs="Arial"/>
              </w:rPr>
            </w:pPr>
            <w:r>
              <w:t>9</w:t>
            </w:r>
          </w:p>
        </w:tc>
      </w:tr>
      <w:tr w:rsidR="00C331B9" w:rsidRPr="00937C8B" w14:paraId="172F203C"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25031B" w14:textId="77777777" w:rsidR="00C331B9" w:rsidRPr="00937C8B" w:rsidRDefault="00C331B9" w:rsidP="003E38D0">
            <w:pPr>
              <w:pStyle w:val="CTEtabla-texto"/>
              <w:snapToGrid w:val="0"/>
              <w:jc w:val="left"/>
              <w:rPr>
                <w:rFonts w:cs="Arial"/>
              </w:rPr>
            </w:pPr>
            <w:r>
              <w:t>Grenade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51228" w14:textId="77777777" w:rsidR="00C331B9" w:rsidRPr="00937C8B" w:rsidRDefault="00C331B9" w:rsidP="003E38D0">
            <w:pPr>
              <w:pStyle w:val="CTEtabla-texto"/>
              <w:snapToGrid w:val="0"/>
              <w:rPr>
                <w:rFonts w:cs="Arial"/>
              </w:rPr>
            </w:pPr>
            <w:r>
              <w:t>683</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638DC" w14:textId="77777777"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802FD5" w14:textId="77777777"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7C50A"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ECF1F"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2CC4D6"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800CA"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92FDF4"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2558CE" w14:textId="77777777"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CC7E2D"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1145B0"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3367" w14:textId="77777777" w:rsidR="00C331B9" w:rsidRPr="00937C8B" w:rsidRDefault="00C331B9" w:rsidP="003E38D0">
            <w:pPr>
              <w:pStyle w:val="CTEtabla-texto"/>
              <w:snapToGrid w:val="0"/>
              <w:rPr>
                <w:rFonts w:cs="Arial"/>
              </w:rPr>
            </w:pPr>
            <w:r>
              <w:t>11</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DFAE50" w14:textId="77777777" w:rsidR="00C331B9" w:rsidRPr="00937C8B" w:rsidRDefault="00C331B9" w:rsidP="003E38D0">
            <w:pPr>
              <w:pStyle w:val="CTEtabla-texto"/>
              <w:snapToGrid w:val="0"/>
              <w:rPr>
                <w:rFonts w:cs="Arial"/>
              </w:rPr>
            </w:pPr>
            <w:r>
              <w:t>8</w:t>
            </w:r>
          </w:p>
        </w:tc>
      </w:tr>
      <w:tr w:rsidR="00C331B9" w:rsidRPr="00937C8B" w14:paraId="03879DE1"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46A3A" w14:textId="77777777" w:rsidR="00C331B9" w:rsidRPr="00937C8B" w:rsidRDefault="00C331B9" w:rsidP="003E38D0">
            <w:pPr>
              <w:pStyle w:val="CTEtabla-texto"/>
              <w:snapToGrid w:val="0"/>
              <w:jc w:val="left"/>
              <w:rPr>
                <w:rFonts w:cs="Arial"/>
              </w:rPr>
            </w:pPr>
            <w:r>
              <w:t>Guadalajara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BF10A" w14:textId="77777777" w:rsidR="00C331B9" w:rsidRPr="00937C8B" w:rsidRDefault="00C331B9" w:rsidP="003E38D0">
            <w:pPr>
              <w:pStyle w:val="CTEtabla-texto"/>
              <w:snapToGrid w:val="0"/>
              <w:rPr>
                <w:rFonts w:cs="Arial"/>
              </w:rPr>
            </w:pPr>
            <w:r>
              <w:t>685</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AC86D" w14:textId="77777777"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7D57D" w14:textId="77777777"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5F8B9" w14:textId="77777777"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A2A7"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3CB84"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361B1"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79BDE" w14:textId="77777777"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361F3" w14:textId="77777777"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17A01"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219DA"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6C7D2" w14:textId="77777777"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C6E13" w14:textId="77777777" w:rsidR="00C331B9" w:rsidRPr="00937C8B" w:rsidRDefault="00C331B9" w:rsidP="003E38D0">
            <w:pPr>
              <w:pStyle w:val="CTEtabla-texto"/>
              <w:snapToGrid w:val="0"/>
              <w:rPr>
                <w:rFonts w:cs="Arial"/>
              </w:rPr>
            </w:pPr>
            <w:r>
              <w:t>7</w:t>
            </w:r>
          </w:p>
        </w:tc>
      </w:tr>
      <w:tr w:rsidR="00C331B9" w:rsidRPr="00937C8B" w14:paraId="7CDAE618"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C08574" w14:textId="77777777" w:rsidR="00C331B9" w:rsidRPr="00937C8B" w:rsidRDefault="00C331B9" w:rsidP="003E38D0">
            <w:pPr>
              <w:pStyle w:val="CTEtabla-texto"/>
              <w:snapToGrid w:val="0"/>
              <w:jc w:val="left"/>
              <w:rPr>
                <w:rFonts w:cs="Arial"/>
              </w:rPr>
            </w:pPr>
            <w:r>
              <w:t>Huelva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C55E8" w14:textId="77777777" w:rsidR="00C331B9" w:rsidRPr="00937C8B" w:rsidRDefault="00C331B9" w:rsidP="003E38D0">
            <w:pPr>
              <w:pStyle w:val="CTEtabla-texto"/>
              <w:snapToGrid w:val="0"/>
              <w:rPr>
                <w:rFonts w:cs="Arial"/>
              </w:rPr>
            </w:pPr>
            <w:r>
              <w:t>30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0889EA" w14:textId="77777777"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9F8750" w14:textId="77777777" w:rsidR="00C331B9" w:rsidRPr="00937C8B" w:rsidRDefault="00C331B9" w:rsidP="003E38D0">
            <w:pPr>
              <w:pStyle w:val="CTEtabla-texto"/>
              <w:snapToGrid w:val="0"/>
              <w:rPr>
                <w:rFonts w:cs="Arial"/>
              </w:rPr>
            </w:pPr>
            <w:r>
              <w:t>12</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16CF79"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22369"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B52D70"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9D07AA"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3BE6C4"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0B728"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F5E15"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D942B1"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E04BD3" w14:textId="77777777" w:rsidR="00C331B9" w:rsidRPr="00937C8B" w:rsidRDefault="00C331B9" w:rsidP="003E38D0">
            <w:pPr>
              <w:pStyle w:val="CTEtabla-texto"/>
              <w:snapToGrid w:val="0"/>
              <w:rPr>
                <w:rFonts w:cs="Arial"/>
              </w:rPr>
            </w:pPr>
            <w:r>
              <w:t>14</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C9E174" w14:textId="77777777" w:rsidR="00C331B9" w:rsidRPr="00937C8B" w:rsidRDefault="00C331B9" w:rsidP="003E38D0">
            <w:pPr>
              <w:pStyle w:val="CTEtabla-texto"/>
              <w:snapToGrid w:val="0"/>
              <w:rPr>
                <w:rFonts w:cs="Arial"/>
              </w:rPr>
            </w:pPr>
            <w:r>
              <w:t>12</w:t>
            </w:r>
          </w:p>
        </w:tc>
      </w:tr>
      <w:tr w:rsidR="00C331B9" w:rsidRPr="00937C8B" w14:paraId="31C42B07"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A2771" w14:textId="77777777" w:rsidR="00C331B9" w:rsidRPr="00937C8B" w:rsidRDefault="00C331B9" w:rsidP="003E38D0">
            <w:pPr>
              <w:pStyle w:val="CTEtabla-texto"/>
              <w:snapToGrid w:val="0"/>
              <w:jc w:val="left"/>
              <w:rPr>
                <w:rFonts w:cs="Arial"/>
              </w:rPr>
            </w:pPr>
            <w:r>
              <w:t>Huesca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81CA7" w14:textId="77777777" w:rsidR="00C331B9" w:rsidRPr="00937C8B" w:rsidRDefault="00C331B9" w:rsidP="003E38D0">
            <w:pPr>
              <w:pStyle w:val="CTEtabla-texto"/>
              <w:snapToGrid w:val="0"/>
              <w:rPr>
                <w:rFonts w:cs="Arial"/>
              </w:rPr>
            </w:pPr>
            <w:r>
              <w:t>488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FFD39" w14:textId="77777777"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24348" w14:textId="77777777"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BF73F"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920C7"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B338F"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5B071"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EC16F" w14:textId="77777777"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F85D6" w14:textId="77777777"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E134C"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71910"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9351B" w14:textId="77777777"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732C9" w14:textId="77777777" w:rsidR="00C331B9" w:rsidRPr="00937C8B" w:rsidRDefault="00C331B9" w:rsidP="003E38D0">
            <w:pPr>
              <w:pStyle w:val="CTEtabla-texto"/>
              <w:snapToGrid w:val="0"/>
              <w:rPr>
                <w:rFonts w:cs="Arial"/>
              </w:rPr>
            </w:pPr>
            <w:r>
              <w:t>7</w:t>
            </w:r>
          </w:p>
        </w:tc>
      </w:tr>
      <w:tr w:rsidR="00C331B9" w:rsidRPr="00937C8B" w14:paraId="150C4327"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B3757F" w14:textId="77777777" w:rsidR="00C331B9" w:rsidRPr="00937C8B" w:rsidRDefault="00C331B9" w:rsidP="003E38D0">
            <w:pPr>
              <w:pStyle w:val="CTEtabla-texto"/>
              <w:snapToGrid w:val="0"/>
              <w:jc w:val="left"/>
              <w:rPr>
                <w:rFonts w:cs="Arial"/>
              </w:rPr>
            </w:pPr>
            <w:r>
              <w:t>Jaén</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F6DB0" w14:textId="77777777" w:rsidR="00C331B9" w:rsidRPr="00937C8B" w:rsidRDefault="00C331B9" w:rsidP="003E38D0">
            <w:pPr>
              <w:pStyle w:val="CTEtabla-texto"/>
              <w:snapToGrid w:val="0"/>
              <w:rPr>
                <w:rFonts w:cs="Arial"/>
              </w:rPr>
            </w:pPr>
            <w:r>
              <w:t>568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0FEFFF" w14:textId="77777777"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76FB9A" w14:textId="77777777"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F276C"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B84A54"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8482B"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C55051"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A72432" w14:textId="77777777" w:rsidR="00C331B9" w:rsidRPr="00937C8B" w:rsidRDefault="00C331B9" w:rsidP="003E38D0">
            <w:pPr>
              <w:pStyle w:val="CTEtabla-texto"/>
              <w:snapToGrid w:val="0"/>
              <w:rPr>
                <w:rFonts w:cs="Arial"/>
              </w:rPr>
            </w:pPr>
            <w:r>
              <w:t>21</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453CD" w14:textId="77777777" w:rsidR="00C331B9" w:rsidRPr="00937C8B" w:rsidRDefault="00C331B9" w:rsidP="003E38D0">
            <w:pPr>
              <w:pStyle w:val="CTEtabla-texto"/>
              <w:snapToGrid w:val="0"/>
              <w:rPr>
                <w:rFonts w:cs="Arial"/>
              </w:rPr>
            </w:pPr>
            <w:r>
              <w:t>21</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FBDCF"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117BFA"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DEE21" w14:textId="77777777"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352654" w14:textId="77777777" w:rsidR="00C331B9" w:rsidRPr="00937C8B" w:rsidRDefault="00C331B9" w:rsidP="003E38D0">
            <w:pPr>
              <w:pStyle w:val="CTEtabla-texto"/>
              <w:snapToGrid w:val="0"/>
              <w:rPr>
                <w:rFonts w:cs="Arial"/>
              </w:rPr>
            </w:pPr>
            <w:r>
              <w:t>9</w:t>
            </w:r>
          </w:p>
        </w:tc>
      </w:tr>
      <w:tr w:rsidR="00C331B9" w:rsidRPr="00937C8B" w14:paraId="523F1B33"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F275" w14:textId="77777777" w:rsidR="00C331B9" w:rsidRPr="00937C8B" w:rsidRDefault="00C331B9" w:rsidP="003E38D0">
            <w:pPr>
              <w:pStyle w:val="CTEtabla-texto"/>
              <w:snapToGrid w:val="0"/>
              <w:jc w:val="left"/>
              <w:rPr>
                <w:rFonts w:cs="Arial"/>
              </w:rPr>
            </w:pPr>
            <w:r>
              <w:t>Las Palmas de Gran Canaria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A2A53" w14:textId="77777777" w:rsidR="00C331B9" w:rsidRPr="00937C8B" w:rsidRDefault="00C331B9" w:rsidP="003E38D0">
            <w:pPr>
              <w:pStyle w:val="CTEtabla-texto"/>
              <w:snapToGrid w:val="0"/>
              <w:rPr>
                <w:rFonts w:cs="Arial"/>
              </w:rPr>
            </w:pPr>
            <w:r>
              <w:t>13</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6985B" w14:textId="77777777" w:rsidR="00C331B9" w:rsidRPr="00937C8B" w:rsidRDefault="00C331B9" w:rsidP="003E38D0">
            <w:pPr>
              <w:pStyle w:val="CTEtabla-texto"/>
              <w:snapToGrid w:val="0"/>
              <w:rPr>
                <w:rFonts w:cs="Arial"/>
              </w:rPr>
            </w:pPr>
            <w:r>
              <w:t>15</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FAB9B" w14:textId="77777777" w:rsidR="00C331B9" w:rsidRPr="00937C8B" w:rsidRDefault="00C331B9" w:rsidP="003E38D0">
            <w:pPr>
              <w:pStyle w:val="CTEtabla-texto"/>
              <w:snapToGrid w:val="0"/>
              <w:rPr>
                <w:rFonts w:cs="Arial"/>
              </w:rPr>
            </w:pPr>
            <w:r>
              <w:t>15</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73D43"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61904"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9B06"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A1696"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1576D" w14:textId="77777777"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3CFC3" w14:textId="77777777"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6132E"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A8D0D"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1F9AF" w14:textId="77777777" w:rsidR="00C331B9" w:rsidRPr="00937C8B" w:rsidRDefault="00C331B9" w:rsidP="003E38D0">
            <w:pPr>
              <w:pStyle w:val="CTEtabla-texto"/>
              <w:snapToGrid w:val="0"/>
              <w:rPr>
                <w:rFonts w:cs="Arial"/>
              </w:rPr>
            </w:pPr>
            <w:r>
              <w:t>17</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49B85" w14:textId="77777777" w:rsidR="00C331B9" w:rsidRPr="00937C8B" w:rsidRDefault="00C331B9" w:rsidP="003E38D0">
            <w:pPr>
              <w:pStyle w:val="CTEtabla-texto"/>
              <w:snapToGrid w:val="0"/>
              <w:rPr>
                <w:rFonts w:cs="Arial"/>
              </w:rPr>
            </w:pPr>
            <w:r>
              <w:t>16</w:t>
            </w:r>
          </w:p>
        </w:tc>
      </w:tr>
      <w:tr w:rsidR="00C331B9" w:rsidRPr="00937C8B" w14:paraId="05ADCA6E"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6438" w14:textId="77777777" w:rsidR="00C331B9" w:rsidRPr="00937C8B" w:rsidRDefault="00C331B9" w:rsidP="003E38D0">
            <w:pPr>
              <w:pStyle w:val="CTEtabla-texto"/>
              <w:snapToGrid w:val="0"/>
              <w:jc w:val="left"/>
              <w:rPr>
                <w:rFonts w:cs="Arial"/>
              </w:rPr>
            </w:pPr>
            <w:r>
              <w:t>León</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89960" w14:textId="77777777" w:rsidR="00C331B9" w:rsidRPr="00937C8B" w:rsidRDefault="00C331B9" w:rsidP="003E38D0">
            <w:pPr>
              <w:pStyle w:val="CTEtabla-texto"/>
              <w:snapToGrid w:val="0"/>
              <w:rPr>
                <w:rFonts w:cs="Arial"/>
              </w:rPr>
            </w:pPr>
            <w:r>
              <w:t>838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0DA54" w14:textId="77777777"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4BC48" w14:textId="77777777" w:rsidR="00C331B9" w:rsidRPr="00937C8B" w:rsidRDefault="00C331B9" w:rsidP="003E38D0">
            <w:pPr>
              <w:pStyle w:val="CTEtabla-texto"/>
              <w:snapToGrid w:val="0"/>
              <w:rPr>
                <w:rFonts w:cs="Arial"/>
              </w:rPr>
            </w:pPr>
            <w:r>
              <w:t>6</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87E1FD" w14:textId="77777777"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F5537E" w14:textId="77777777"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90E589"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C29920"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95118" w14:textId="77777777" w:rsidR="00C331B9" w:rsidRPr="00937C8B" w:rsidRDefault="00C331B9" w:rsidP="003E38D0">
            <w:pPr>
              <w:pStyle w:val="CTEtabla-texto"/>
              <w:snapToGrid w:val="0"/>
              <w:rPr>
                <w:rFonts w:cs="Arial"/>
              </w:rPr>
            </w:pPr>
            <w:r>
              <w:t>16</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28D1ED" w14:textId="77777777"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0A1A29"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9A5F0D"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3D5AE0" w14:textId="77777777"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D42575" w14:textId="77777777" w:rsidR="00C331B9" w:rsidRPr="00937C8B" w:rsidRDefault="00C331B9" w:rsidP="003E38D0">
            <w:pPr>
              <w:pStyle w:val="CTEtabla-texto"/>
              <w:snapToGrid w:val="0"/>
              <w:rPr>
                <w:rFonts w:cs="Arial"/>
              </w:rPr>
            </w:pPr>
            <w:r>
              <w:t>6</w:t>
            </w:r>
          </w:p>
        </w:tc>
      </w:tr>
      <w:tr w:rsidR="00C331B9" w:rsidRPr="00937C8B" w14:paraId="18D4EC68"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B9807" w14:textId="77777777" w:rsidR="00C331B9" w:rsidRPr="00937C8B" w:rsidRDefault="00C331B9" w:rsidP="003E38D0">
            <w:pPr>
              <w:pStyle w:val="CTEtabla-texto"/>
              <w:snapToGrid w:val="0"/>
              <w:jc w:val="left"/>
              <w:rPr>
                <w:rFonts w:cs="Arial"/>
              </w:rPr>
            </w:pPr>
            <w:r>
              <w:t>Lleida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43BFB" w14:textId="77777777" w:rsidR="00C331B9" w:rsidRPr="00937C8B" w:rsidRDefault="00C331B9" w:rsidP="003E38D0">
            <w:pPr>
              <w:pStyle w:val="CTEtabla-texto"/>
              <w:snapToGrid w:val="0"/>
              <w:rPr>
                <w:rFonts w:cs="Arial"/>
              </w:rPr>
            </w:pPr>
            <w:r>
              <w:t>182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DD458" w14:textId="77777777"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7E45F" w14:textId="77777777"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0F763"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F79F1"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5D875"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EC66"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2F47A"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9A3B0" w14:textId="77777777"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9A00F"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2283"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EC4DF" w14:textId="77777777"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36B36" w14:textId="77777777" w:rsidR="00C331B9" w:rsidRPr="00937C8B" w:rsidRDefault="00C331B9" w:rsidP="003E38D0">
            <w:pPr>
              <w:pStyle w:val="CTEtabla-texto"/>
              <w:snapToGrid w:val="0"/>
              <w:rPr>
                <w:rFonts w:cs="Arial"/>
              </w:rPr>
            </w:pPr>
            <w:r>
              <w:t>7</w:t>
            </w:r>
          </w:p>
        </w:tc>
      </w:tr>
      <w:tr w:rsidR="00C331B9" w:rsidRPr="00937C8B" w14:paraId="4DE441C7"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7E19F0" w14:textId="77777777" w:rsidR="00C331B9" w:rsidRPr="00937C8B" w:rsidRDefault="00C331B9" w:rsidP="003E38D0">
            <w:pPr>
              <w:pStyle w:val="CTEtabla-texto"/>
              <w:snapToGrid w:val="0"/>
              <w:jc w:val="left"/>
              <w:rPr>
                <w:rFonts w:cs="Arial"/>
              </w:rPr>
            </w:pPr>
            <w:r>
              <w:t>Logroño</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B5E2F4" w14:textId="77777777" w:rsidR="00C331B9" w:rsidRPr="00937C8B" w:rsidRDefault="00C331B9" w:rsidP="003E38D0">
            <w:pPr>
              <w:pStyle w:val="CTEtabla-texto"/>
              <w:snapToGrid w:val="0"/>
              <w:rPr>
                <w:rFonts w:cs="Arial"/>
              </w:rPr>
            </w:pPr>
            <w:r>
              <w:t>385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D09185" w14:textId="77777777"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6B5DED" w14:textId="77777777"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FF394C"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5D72D"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CA686"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6D3FF7"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3BC60B" w14:textId="77777777"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94946" w14:textId="77777777"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ECBB87"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E2ED41"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B4ADD4" w14:textId="77777777"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7D8857" w14:textId="77777777" w:rsidR="00C331B9" w:rsidRPr="00937C8B" w:rsidRDefault="00C331B9" w:rsidP="003E38D0">
            <w:pPr>
              <w:pStyle w:val="CTEtabla-texto"/>
              <w:snapToGrid w:val="0"/>
              <w:rPr>
                <w:rFonts w:cs="Arial"/>
              </w:rPr>
            </w:pPr>
            <w:r>
              <w:t>8</w:t>
            </w:r>
          </w:p>
        </w:tc>
      </w:tr>
      <w:tr w:rsidR="00C331B9" w:rsidRPr="00937C8B" w14:paraId="08139153"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C56C5" w14:textId="77777777" w:rsidR="00C331B9" w:rsidRPr="00937C8B" w:rsidRDefault="00C331B9" w:rsidP="003E38D0">
            <w:pPr>
              <w:pStyle w:val="CTEtabla-texto"/>
              <w:snapToGrid w:val="0"/>
              <w:jc w:val="left"/>
              <w:rPr>
                <w:rFonts w:cs="Arial"/>
              </w:rPr>
            </w:pPr>
            <w:r>
              <w:t>Lugo</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9977C" w14:textId="77777777" w:rsidR="00C331B9" w:rsidRPr="00937C8B" w:rsidRDefault="00C331B9" w:rsidP="003E38D0">
            <w:pPr>
              <w:pStyle w:val="CTEtabla-texto"/>
              <w:snapToGrid w:val="0"/>
              <w:rPr>
                <w:rFonts w:cs="Arial"/>
              </w:rPr>
            </w:pPr>
            <w:r>
              <w:t>454</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55AAC" w14:textId="77777777"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43E3F" w14:textId="77777777"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4AE7B" w14:textId="77777777"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69C58"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8B8E1"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97291"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D14EB" w14:textId="77777777" w:rsidR="00C331B9" w:rsidRPr="00937C8B" w:rsidRDefault="00C331B9" w:rsidP="003E38D0">
            <w:pPr>
              <w:pStyle w:val="CTEtabla-texto"/>
              <w:snapToGrid w:val="0"/>
              <w:rPr>
                <w:rFonts w:cs="Arial"/>
              </w:rPr>
            </w:pPr>
            <w:r>
              <w:t>15</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858F6" w14:textId="77777777" w:rsidR="00C331B9" w:rsidRPr="00937C8B" w:rsidRDefault="00C331B9" w:rsidP="003E38D0">
            <w:pPr>
              <w:pStyle w:val="CTEtabla-texto"/>
              <w:snapToGrid w:val="0"/>
              <w:rPr>
                <w:rFonts w:cs="Arial"/>
              </w:rPr>
            </w:pPr>
            <w:r>
              <w:t>15</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983D2"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00CE"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2BFCB" w14:textId="77777777"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4AA3B" w14:textId="77777777" w:rsidR="00C331B9" w:rsidRPr="00937C8B" w:rsidRDefault="00C331B9" w:rsidP="003E38D0">
            <w:pPr>
              <w:pStyle w:val="CTEtabla-texto"/>
              <w:snapToGrid w:val="0"/>
              <w:rPr>
                <w:rFonts w:cs="Arial"/>
              </w:rPr>
            </w:pPr>
            <w:r>
              <w:t>8</w:t>
            </w:r>
          </w:p>
        </w:tc>
      </w:tr>
      <w:tr w:rsidR="00C331B9" w:rsidRPr="00937C8B" w14:paraId="6AF2C8DB"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BAC23D" w14:textId="77777777" w:rsidR="00C331B9" w:rsidRPr="00937C8B" w:rsidRDefault="00C331B9" w:rsidP="003E38D0">
            <w:pPr>
              <w:pStyle w:val="CTEtabla-texto"/>
              <w:snapToGrid w:val="0"/>
              <w:jc w:val="left"/>
              <w:rPr>
                <w:rFonts w:cs="Arial"/>
              </w:rPr>
            </w:pPr>
            <w:r>
              <w:t>Madrid</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BA9AFE" w14:textId="77777777" w:rsidR="00C331B9" w:rsidRPr="00937C8B" w:rsidRDefault="00C331B9" w:rsidP="003E38D0">
            <w:pPr>
              <w:pStyle w:val="CTEtabla-texto"/>
              <w:snapToGrid w:val="0"/>
              <w:rPr>
                <w:rFonts w:cs="Arial"/>
              </w:rPr>
            </w:pPr>
            <w:r>
              <w:t>655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8CD6E" w14:textId="77777777"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DAF8F" w14:textId="77777777"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4B614"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D9C86D"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AC90C"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CE31"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5F8F4"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2C899A" w14:textId="77777777"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78E11"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021A0F"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EA344" w14:textId="77777777"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BA3E40" w14:textId="77777777" w:rsidR="00C331B9" w:rsidRPr="00937C8B" w:rsidRDefault="00C331B9" w:rsidP="003E38D0">
            <w:pPr>
              <w:pStyle w:val="CTEtabla-texto"/>
              <w:snapToGrid w:val="0"/>
              <w:rPr>
                <w:rFonts w:cs="Arial"/>
              </w:rPr>
            </w:pPr>
            <w:r>
              <w:t>8</w:t>
            </w:r>
          </w:p>
        </w:tc>
      </w:tr>
      <w:tr w:rsidR="00C331B9" w:rsidRPr="00937C8B" w14:paraId="67C523AF"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06ED1" w14:textId="77777777" w:rsidR="00C331B9" w:rsidRPr="00937C8B" w:rsidRDefault="00C331B9" w:rsidP="003E38D0">
            <w:pPr>
              <w:pStyle w:val="CTEtabla-texto"/>
              <w:snapToGrid w:val="0"/>
              <w:jc w:val="left"/>
              <w:rPr>
                <w:rFonts w:cs="Arial"/>
              </w:rPr>
            </w:pPr>
            <w:r>
              <w:t>Malaga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85278" w14:textId="77777777"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099E4" w14:textId="77777777"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C8091" w14:textId="77777777" w:rsidR="00C331B9" w:rsidRPr="00937C8B" w:rsidRDefault="00C331B9" w:rsidP="003E38D0">
            <w:pPr>
              <w:pStyle w:val="CTEtabla-texto"/>
              <w:snapToGrid w:val="0"/>
              <w:rPr>
                <w:rFonts w:cs="Arial"/>
              </w:rPr>
            </w:pPr>
            <w:r>
              <w:t>12</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D121F"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CE1C4"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DE004"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7BBB0"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83EA9"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88646"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42411"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86496"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7A21E" w14:textId="77777777" w:rsidR="00C331B9" w:rsidRPr="00937C8B" w:rsidRDefault="00C331B9" w:rsidP="003E38D0">
            <w:pPr>
              <w:pStyle w:val="CTEtabla-texto"/>
              <w:snapToGrid w:val="0"/>
              <w:rPr>
                <w:rFonts w:cs="Arial"/>
              </w:rPr>
            </w:pPr>
            <w:r>
              <w:t>14</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30149" w14:textId="77777777" w:rsidR="00C331B9" w:rsidRPr="00937C8B" w:rsidRDefault="00C331B9" w:rsidP="003E38D0">
            <w:pPr>
              <w:pStyle w:val="CTEtabla-texto"/>
              <w:snapToGrid w:val="0"/>
              <w:rPr>
                <w:rFonts w:cs="Arial"/>
              </w:rPr>
            </w:pPr>
            <w:r>
              <w:t>12</w:t>
            </w:r>
          </w:p>
        </w:tc>
      </w:tr>
      <w:tr w:rsidR="00C331B9" w:rsidRPr="00937C8B" w14:paraId="3E66C450"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6EC6F" w14:textId="77777777" w:rsidR="00C331B9" w:rsidRPr="00937C8B" w:rsidRDefault="00C331B9" w:rsidP="003E38D0">
            <w:pPr>
              <w:pStyle w:val="CTEtabla-texto"/>
              <w:snapToGrid w:val="0"/>
              <w:jc w:val="left"/>
              <w:rPr>
                <w:rFonts w:cs="Arial"/>
              </w:rPr>
            </w:pPr>
            <w:r>
              <w:t>Melilla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D91B77" w14:textId="77777777" w:rsidR="00C331B9" w:rsidRPr="00937C8B" w:rsidRDefault="00C331B9" w:rsidP="003E38D0">
            <w:pPr>
              <w:pStyle w:val="CTEtabla-texto"/>
              <w:snapToGrid w:val="0"/>
              <w:rPr>
                <w:rFonts w:cs="Arial"/>
              </w:rPr>
            </w:pPr>
            <w:r>
              <w:t>15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FF8677" w14:textId="77777777"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D63BCE" w14:textId="77777777" w:rsidR="00C331B9" w:rsidRPr="00937C8B" w:rsidRDefault="00C331B9" w:rsidP="003E38D0">
            <w:pPr>
              <w:pStyle w:val="CTEtabla-texto"/>
              <w:snapToGrid w:val="0"/>
              <w:rPr>
                <w:rFonts w:cs="Arial"/>
              </w:rPr>
            </w:pPr>
            <w:r>
              <w:t>13</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C106A1"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598F"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07B38"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3FCFD"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8D7A74"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FC0C9"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B39040"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B1A7B1"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AECDF" w14:textId="77777777" w:rsidR="00C331B9" w:rsidRPr="00937C8B" w:rsidRDefault="00C331B9" w:rsidP="003E38D0">
            <w:pPr>
              <w:pStyle w:val="CTEtabla-texto"/>
              <w:snapToGrid w:val="0"/>
              <w:rPr>
                <w:rFonts w:cs="Arial"/>
              </w:rPr>
            </w:pPr>
            <w:r>
              <w:t>14</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DE9FF" w14:textId="77777777" w:rsidR="00C331B9" w:rsidRPr="00937C8B" w:rsidRDefault="00C331B9" w:rsidP="003E38D0">
            <w:pPr>
              <w:pStyle w:val="CTEtabla-texto"/>
              <w:snapToGrid w:val="0"/>
              <w:rPr>
                <w:rFonts w:cs="Arial"/>
              </w:rPr>
            </w:pPr>
            <w:r>
              <w:t>13</w:t>
            </w:r>
          </w:p>
        </w:tc>
      </w:tr>
      <w:tr w:rsidR="00C331B9" w:rsidRPr="00937C8B" w14:paraId="540A0863"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60164" w14:textId="77777777" w:rsidR="00C331B9" w:rsidRPr="00937C8B" w:rsidRDefault="00C331B9" w:rsidP="003E38D0">
            <w:pPr>
              <w:pStyle w:val="CTEtabla-texto"/>
              <w:snapToGrid w:val="0"/>
              <w:jc w:val="left"/>
              <w:rPr>
                <w:rFonts w:cs="Arial"/>
              </w:rPr>
            </w:pPr>
            <w:r>
              <w:t>Murcie</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00204" w14:textId="77777777" w:rsidR="00C331B9" w:rsidRPr="00937C8B" w:rsidRDefault="00C331B9" w:rsidP="003E38D0">
            <w:pPr>
              <w:pStyle w:val="CTEtabla-texto"/>
              <w:snapToGrid w:val="0"/>
              <w:rPr>
                <w:rFonts w:cs="Arial"/>
              </w:rPr>
            </w:pPr>
            <w:r>
              <w:t>39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1F22" w14:textId="77777777"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9205C" w14:textId="77777777"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B4E6C"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C7FBD"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D752F"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59220"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38773" w14:textId="77777777"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03EF7"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C4AB1"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A54A6"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E30CF" w14:textId="77777777" w:rsidR="00C331B9" w:rsidRPr="00937C8B" w:rsidRDefault="00C331B9" w:rsidP="003E38D0">
            <w:pPr>
              <w:pStyle w:val="CTEtabla-texto"/>
              <w:snapToGrid w:val="0"/>
              <w:rPr>
                <w:rFonts w:cs="Arial"/>
              </w:rPr>
            </w:pPr>
            <w:r>
              <w:t>13</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33A21" w14:textId="77777777" w:rsidR="00C331B9" w:rsidRPr="00937C8B" w:rsidRDefault="00C331B9" w:rsidP="003E38D0">
            <w:pPr>
              <w:pStyle w:val="CTEtabla-texto"/>
              <w:snapToGrid w:val="0"/>
              <w:rPr>
                <w:rFonts w:cs="Arial"/>
              </w:rPr>
            </w:pPr>
            <w:r>
              <w:t>11</w:t>
            </w:r>
          </w:p>
        </w:tc>
      </w:tr>
      <w:tr w:rsidR="00C331B9" w:rsidRPr="00937C8B" w14:paraId="092903AA"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0964F" w14:textId="77777777" w:rsidR="00C331B9" w:rsidRPr="00937C8B" w:rsidRDefault="00C331B9" w:rsidP="003E38D0">
            <w:pPr>
              <w:pStyle w:val="CTEtabla-texto"/>
              <w:snapToGrid w:val="0"/>
              <w:jc w:val="left"/>
              <w:rPr>
                <w:rFonts w:cs="Arial"/>
              </w:rPr>
            </w:pPr>
            <w:r>
              <w:t>Ourense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C30E18" w14:textId="77777777" w:rsidR="00C331B9" w:rsidRPr="00937C8B" w:rsidRDefault="00C331B9" w:rsidP="003E38D0">
            <w:pPr>
              <w:pStyle w:val="CTEtabla-texto"/>
              <w:snapToGrid w:val="0"/>
              <w:rPr>
                <w:rFonts w:cs="Arial"/>
              </w:rPr>
            </w:pPr>
            <w:r>
              <w:t>139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08DCE" w14:textId="77777777"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4CDEA4" w14:textId="77777777"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062C5F"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E0F67A"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5C887A"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EC8836"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325BEE" w14:textId="77777777"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FD8AE9" w14:textId="77777777"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6D120"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51B993"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492D78" w14:textId="77777777" w:rsidR="00C331B9" w:rsidRPr="00937C8B" w:rsidRDefault="00C331B9" w:rsidP="003E38D0">
            <w:pPr>
              <w:pStyle w:val="CTEtabla-texto"/>
              <w:snapToGrid w:val="0"/>
              <w:rPr>
                <w:rFonts w:cs="Arial"/>
              </w:rPr>
            </w:pPr>
            <w:r>
              <w:t>11</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62321B" w14:textId="77777777" w:rsidR="00C331B9" w:rsidRPr="00937C8B" w:rsidRDefault="00C331B9" w:rsidP="003E38D0">
            <w:pPr>
              <w:pStyle w:val="CTEtabla-texto"/>
              <w:snapToGrid w:val="0"/>
              <w:rPr>
                <w:rFonts w:cs="Arial"/>
              </w:rPr>
            </w:pPr>
            <w:r>
              <w:t>9</w:t>
            </w:r>
          </w:p>
        </w:tc>
      </w:tr>
      <w:tr w:rsidR="00C331B9" w:rsidRPr="00937C8B" w14:paraId="49B465B8"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E39AC" w14:textId="77777777" w:rsidR="00C331B9" w:rsidRPr="00937C8B" w:rsidRDefault="00C331B9" w:rsidP="003E38D0">
            <w:pPr>
              <w:pStyle w:val="CTEtabla-texto"/>
              <w:snapToGrid w:val="0"/>
              <w:jc w:val="left"/>
              <w:rPr>
                <w:rFonts w:cs="Arial"/>
              </w:rPr>
            </w:pPr>
            <w:r>
              <w:lastRenderedPageBreak/>
              <w:t>Oviedo</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735B4" w14:textId="77777777" w:rsidR="00C331B9" w:rsidRPr="00937C8B" w:rsidRDefault="00C331B9" w:rsidP="003E38D0">
            <w:pPr>
              <w:pStyle w:val="CTEtabla-texto"/>
              <w:snapToGrid w:val="0"/>
              <w:rPr>
                <w:rFonts w:cs="Arial"/>
              </w:rPr>
            </w:pPr>
            <w:r>
              <w:t>232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1967" w14:textId="77777777"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442E" w14:textId="77777777"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88A8"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56BE"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69C54"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80C2C"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7BCA9" w14:textId="77777777" w:rsidR="00C331B9" w:rsidRPr="00937C8B" w:rsidRDefault="00C331B9" w:rsidP="003E38D0">
            <w:pPr>
              <w:pStyle w:val="CTEtabla-texto"/>
              <w:snapToGrid w:val="0"/>
              <w:rPr>
                <w:rFonts w:cs="Arial"/>
              </w:rPr>
            </w:pPr>
            <w:r>
              <w:t>15</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DA6F1" w14:textId="77777777"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A35A8"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93A28"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8FF5A" w14:textId="77777777"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8EC0B" w14:textId="77777777" w:rsidR="00C331B9" w:rsidRPr="00937C8B" w:rsidRDefault="00C331B9" w:rsidP="003E38D0">
            <w:pPr>
              <w:pStyle w:val="CTEtabla-texto"/>
              <w:snapToGrid w:val="0"/>
              <w:rPr>
                <w:rFonts w:cs="Arial"/>
              </w:rPr>
            </w:pPr>
            <w:r>
              <w:t>9</w:t>
            </w:r>
          </w:p>
        </w:tc>
      </w:tr>
      <w:tr w:rsidR="00C331B9" w:rsidRPr="00937C8B" w14:paraId="4E0699B8"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F2A46" w14:textId="77777777" w:rsidR="00C331B9" w:rsidRPr="00937C8B" w:rsidRDefault="00C331B9" w:rsidP="003E38D0">
            <w:pPr>
              <w:pStyle w:val="CTEtabla-texto"/>
              <w:snapToGrid w:val="0"/>
              <w:jc w:val="left"/>
              <w:rPr>
                <w:rFonts w:cs="Arial"/>
              </w:rPr>
            </w:pPr>
            <w:r>
              <w:t>Palencia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F57E84" w14:textId="77777777" w:rsidR="00C331B9" w:rsidRPr="00937C8B" w:rsidRDefault="00C331B9" w:rsidP="003E38D0">
            <w:pPr>
              <w:pStyle w:val="CTEtabla-texto"/>
              <w:snapToGrid w:val="0"/>
              <w:rPr>
                <w:rFonts w:cs="Arial"/>
              </w:rPr>
            </w:pPr>
            <w:r>
              <w:t>734</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038BE7" w14:textId="77777777"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B2A15" w14:textId="77777777" w:rsidR="00C331B9" w:rsidRPr="00937C8B" w:rsidRDefault="00C331B9" w:rsidP="003E38D0">
            <w:pPr>
              <w:pStyle w:val="CTEtabla-texto"/>
              <w:snapToGrid w:val="0"/>
              <w:rPr>
                <w:rFonts w:cs="Arial"/>
              </w:rPr>
            </w:pPr>
            <w: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2A4990" w14:textId="77777777"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54DC4C"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94384A"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4018D7"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05E585" w14:textId="77777777"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42EAFF" w14:textId="77777777" w:rsidR="00C331B9" w:rsidRPr="00937C8B" w:rsidRDefault="00C331B9" w:rsidP="003E38D0">
            <w:pPr>
              <w:pStyle w:val="CTEtabla-texto"/>
              <w:snapToGrid w:val="0"/>
              <w:rPr>
                <w:rFonts w:cs="Arial"/>
              </w:rPr>
            </w:pPr>
            <w: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3DFDA5"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3887F2"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230F" w14:textId="77777777"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1CF9D" w14:textId="77777777" w:rsidR="00C331B9" w:rsidRPr="00937C8B" w:rsidRDefault="00C331B9" w:rsidP="003E38D0">
            <w:pPr>
              <w:pStyle w:val="CTEtabla-texto"/>
              <w:snapToGrid w:val="0"/>
              <w:rPr>
                <w:rFonts w:cs="Arial"/>
              </w:rPr>
            </w:pPr>
            <w:r>
              <w:t>6</w:t>
            </w:r>
          </w:p>
        </w:tc>
      </w:tr>
      <w:tr w:rsidR="00C331B9" w:rsidRPr="00937C8B" w14:paraId="5B603448"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3FFF5" w14:textId="77777777" w:rsidR="00C331B9" w:rsidRPr="00937C8B" w:rsidRDefault="00C331B9" w:rsidP="003E38D0">
            <w:pPr>
              <w:pStyle w:val="CTEtabla-texto"/>
              <w:snapToGrid w:val="0"/>
              <w:jc w:val="left"/>
              <w:rPr>
                <w:rFonts w:cs="Arial"/>
              </w:rPr>
            </w:pPr>
            <w:r>
              <w:t>Palma de Majorque</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F4B39" w14:textId="77777777" w:rsidR="00C331B9" w:rsidRPr="00937C8B" w:rsidRDefault="00C331B9" w:rsidP="003E38D0">
            <w:pPr>
              <w:pStyle w:val="CTEtabla-texto"/>
              <w:snapToGrid w:val="0"/>
              <w:rPr>
                <w:rFonts w:cs="Arial"/>
              </w:rPr>
            </w:pPr>
            <w:r>
              <w:t>15</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58EDD" w14:textId="77777777"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A739" w14:textId="77777777"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A27F9"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C555E"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3F626"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70B83"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1763C"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A6E0"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BB95D"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30464"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C67D6" w14:textId="77777777" w:rsidR="00C331B9" w:rsidRPr="00937C8B" w:rsidRDefault="00C331B9" w:rsidP="003E38D0">
            <w:pPr>
              <w:pStyle w:val="CTEtabla-texto"/>
              <w:snapToGrid w:val="0"/>
              <w:rPr>
                <w:rFonts w:cs="Arial"/>
              </w:rPr>
            </w:pPr>
            <w:r>
              <w:t>14</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87229" w14:textId="77777777" w:rsidR="00C331B9" w:rsidRPr="00937C8B" w:rsidRDefault="00C331B9" w:rsidP="003E38D0">
            <w:pPr>
              <w:pStyle w:val="CTEtabla-texto"/>
              <w:snapToGrid w:val="0"/>
              <w:rPr>
                <w:rFonts w:cs="Arial"/>
              </w:rPr>
            </w:pPr>
            <w:r>
              <w:t>12</w:t>
            </w:r>
          </w:p>
        </w:tc>
      </w:tr>
      <w:tr w:rsidR="00C331B9" w:rsidRPr="00937C8B" w14:paraId="2D20D5F1"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C2A080" w14:textId="77777777" w:rsidR="00C331B9" w:rsidRPr="00937C8B" w:rsidRDefault="00C331B9" w:rsidP="003E38D0">
            <w:pPr>
              <w:pStyle w:val="CTEtabla-texto"/>
              <w:snapToGrid w:val="0"/>
              <w:jc w:val="left"/>
              <w:rPr>
                <w:rFonts w:cs="Arial"/>
              </w:rPr>
            </w:pPr>
            <w:r>
              <w:t>Pampelune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940906" w14:textId="77777777" w:rsidR="00C331B9" w:rsidRPr="00937C8B" w:rsidRDefault="00C331B9" w:rsidP="003E38D0">
            <w:pPr>
              <w:pStyle w:val="CTEtabla-texto"/>
              <w:snapToGrid w:val="0"/>
              <w:rPr>
                <w:rFonts w:cs="Arial"/>
              </w:rPr>
            </w:pPr>
            <w:r>
              <w:t>490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AD957" w14:textId="77777777"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E08DE2" w14:textId="77777777"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B0088B" w14:textId="77777777"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4496A3"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B265"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EFBBF6"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A9C17" w14:textId="77777777"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130262" w14:textId="77777777" w:rsidR="00C331B9" w:rsidRPr="00937C8B" w:rsidRDefault="00C331B9" w:rsidP="003E38D0">
            <w:pPr>
              <w:pStyle w:val="CTEtabla-texto"/>
              <w:snapToGrid w:val="0"/>
              <w:rPr>
                <w:rFonts w:cs="Arial"/>
              </w:rPr>
            </w:pPr>
            <w: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F5653"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AF7723"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A2A0B" w14:textId="77777777"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ABC7E7" w14:textId="77777777" w:rsidR="00C331B9" w:rsidRPr="00937C8B" w:rsidRDefault="00C331B9" w:rsidP="003E38D0">
            <w:pPr>
              <w:pStyle w:val="CTEtabla-texto"/>
              <w:snapToGrid w:val="0"/>
              <w:rPr>
                <w:rFonts w:cs="Arial"/>
              </w:rPr>
            </w:pPr>
            <w:r>
              <w:t>7</w:t>
            </w:r>
          </w:p>
        </w:tc>
      </w:tr>
      <w:tr w:rsidR="00C331B9" w:rsidRPr="00937C8B" w14:paraId="5E306E4E"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C3D0A" w14:textId="77777777" w:rsidR="00C331B9" w:rsidRPr="00937C8B" w:rsidRDefault="00C331B9" w:rsidP="003E38D0">
            <w:pPr>
              <w:pStyle w:val="CTEtabla-texto"/>
              <w:snapToGrid w:val="0"/>
              <w:jc w:val="left"/>
              <w:rPr>
                <w:rFonts w:cs="Arial"/>
              </w:rPr>
            </w:pPr>
            <w:r>
              <w:t>Pontevedra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E9534" w14:textId="77777777" w:rsidR="00C331B9" w:rsidRPr="00937C8B" w:rsidRDefault="00C331B9" w:rsidP="003E38D0">
            <w:pPr>
              <w:pStyle w:val="CTEtabla-texto"/>
              <w:snapToGrid w:val="0"/>
              <w:rPr>
                <w:rFonts w:cs="Arial"/>
              </w:rPr>
            </w:pPr>
            <w:r>
              <w:t>27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ECD4C" w14:textId="77777777"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6BB8B" w14:textId="77777777"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5A2A8"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DD4BC"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6F1A3"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0BCAE"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3171C" w14:textId="77777777"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A53FA" w14:textId="77777777" w:rsidR="00C331B9" w:rsidRPr="00937C8B" w:rsidRDefault="00C331B9" w:rsidP="003E38D0">
            <w:pPr>
              <w:pStyle w:val="CTEtabla-texto"/>
              <w:snapToGrid w:val="0"/>
              <w:rPr>
                <w:rFonts w:cs="Arial"/>
              </w:rPr>
            </w:pPr>
            <w:r>
              <w:t>17</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4909B"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C9500"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D033C" w14:textId="77777777"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CD5F" w14:textId="77777777" w:rsidR="00C331B9" w:rsidRPr="00937C8B" w:rsidRDefault="00C331B9" w:rsidP="003E38D0">
            <w:pPr>
              <w:pStyle w:val="CTEtabla-texto"/>
              <w:snapToGrid w:val="0"/>
              <w:rPr>
                <w:rFonts w:cs="Arial"/>
              </w:rPr>
            </w:pPr>
            <w:r>
              <w:t>10</w:t>
            </w:r>
          </w:p>
        </w:tc>
      </w:tr>
      <w:tr w:rsidR="00C331B9" w:rsidRPr="00937C8B" w14:paraId="66462E7B"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49A67" w14:textId="77777777" w:rsidR="00C331B9" w:rsidRPr="00937C8B" w:rsidRDefault="00C331B9" w:rsidP="003E38D0">
            <w:pPr>
              <w:pStyle w:val="CTEtabla-texto"/>
              <w:snapToGrid w:val="0"/>
              <w:jc w:val="left"/>
              <w:rPr>
                <w:rFonts w:cs="Arial"/>
              </w:rPr>
            </w:pPr>
            <w:r>
              <w:t>Salamanque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422C1" w14:textId="77777777" w:rsidR="00C331B9" w:rsidRPr="00937C8B" w:rsidRDefault="00C331B9" w:rsidP="003E38D0">
            <w:pPr>
              <w:pStyle w:val="CTEtabla-texto"/>
              <w:snapToGrid w:val="0"/>
              <w:rPr>
                <w:rFonts w:cs="Arial"/>
              </w:rPr>
            </w:pPr>
            <w:r>
              <w:t>800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62EF1" w14:textId="77777777"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D3A274" w14:textId="77777777" w:rsidR="00C331B9" w:rsidRPr="00937C8B" w:rsidRDefault="00C331B9" w:rsidP="003E38D0">
            <w:pPr>
              <w:pStyle w:val="CTEtabla-texto"/>
              <w:snapToGrid w:val="0"/>
              <w:rPr>
                <w:rFonts w:cs="Arial"/>
              </w:rPr>
            </w:pPr>
            <w: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0BF9E2" w14:textId="77777777"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205A"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C00F3"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D4577"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4EC23E" w14:textId="77777777"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7EA077" w14:textId="77777777" w:rsidR="00C331B9" w:rsidRPr="00937C8B" w:rsidRDefault="00C331B9" w:rsidP="003E38D0">
            <w:pPr>
              <w:pStyle w:val="CTEtabla-texto"/>
              <w:snapToGrid w:val="0"/>
              <w:rPr>
                <w:rFonts w:cs="Arial"/>
              </w:rPr>
            </w:pPr>
            <w: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DEA3D6"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4021D5"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5EC119" w14:textId="77777777"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291F5" w14:textId="77777777" w:rsidR="00C331B9" w:rsidRPr="00937C8B" w:rsidRDefault="00C331B9" w:rsidP="003E38D0">
            <w:pPr>
              <w:pStyle w:val="CTEtabla-texto"/>
              <w:snapToGrid w:val="0"/>
              <w:rPr>
                <w:rFonts w:cs="Arial"/>
              </w:rPr>
            </w:pPr>
            <w:r>
              <w:t>6</w:t>
            </w:r>
          </w:p>
        </w:tc>
      </w:tr>
      <w:tr w:rsidR="00C331B9" w:rsidRPr="00937C8B" w14:paraId="45D76470"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213A7" w14:textId="77777777" w:rsidR="00C331B9" w:rsidRPr="00937C8B" w:rsidRDefault="00C331B9" w:rsidP="003E38D0">
            <w:pPr>
              <w:pStyle w:val="CTEtabla-texto"/>
              <w:snapToGrid w:val="0"/>
              <w:jc w:val="left"/>
              <w:rPr>
                <w:rFonts w:cs="Arial"/>
              </w:rPr>
            </w:pPr>
            <w:r>
              <w:t>Saint Sébastien</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8C7E3" w14:textId="77777777"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8F741" w14:textId="77777777"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23D65" w14:textId="77777777"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A4228"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8B2C0"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E4EC2"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04E9B"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459E3" w14:textId="77777777" w:rsidR="00C331B9" w:rsidRPr="00937C8B" w:rsidRDefault="00C331B9" w:rsidP="003E38D0">
            <w:pPr>
              <w:pStyle w:val="CTEtabla-texto"/>
              <w:snapToGrid w:val="0"/>
              <w:rPr>
                <w:rFonts w:cs="Arial"/>
              </w:rPr>
            </w:pPr>
            <w:r>
              <w:t>16</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9418A" w14:textId="77777777"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43070"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30258"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DB2A7" w14:textId="77777777" w:rsidR="00C331B9" w:rsidRPr="00937C8B" w:rsidRDefault="00C331B9" w:rsidP="003E38D0">
            <w:pPr>
              <w:pStyle w:val="CTEtabla-texto"/>
              <w:snapToGrid w:val="0"/>
              <w:rPr>
                <w:rFonts w:cs="Arial"/>
              </w:rPr>
            </w:pPr>
            <w:r>
              <w:t>11</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6B7D" w14:textId="77777777" w:rsidR="00C331B9" w:rsidRPr="00937C8B" w:rsidRDefault="00C331B9" w:rsidP="003E38D0">
            <w:pPr>
              <w:pStyle w:val="CTEtabla-texto"/>
              <w:snapToGrid w:val="0"/>
              <w:rPr>
                <w:rFonts w:cs="Arial"/>
              </w:rPr>
            </w:pPr>
            <w:r>
              <w:t>9</w:t>
            </w:r>
          </w:p>
        </w:tc>
      </w:tr>
      <w:tr w:rsidR="00C331B9" w:rsidRPr="00937C8B" w14:paraId="1892E709"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350835" w14:textId="77777777" w:rsidR="00C331B9" w:rsidRPr="00937C8B" w:rsidRDefault="00C331B9" w:rsidP="003E38D0">
            <w:pPr>
              <w:pStyle w:val="CTEtabla-texto"/>
              <w:snapToGrid w:val="0"/>
              <w:jc w:val="left"/>
              <w:rPr>
                <w:rFonts w:cs="Arial"/>
              </w:rPr>
            </w:pPr>
            <w:r>
              <w:t>Santa Cruz de Tenerife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88CC31" w14:textId="77777777" w:rsidR="00C331B9" w:rsidRPr="00937C8B" w:rsidRDefault="00C331B9" w:rsidP="003E38D0">
            <w:pPr>
              <w:pStyle w:val="CTEtabla-texto"/>
              <w:snapToGrid w:val="0"/>
              <w:rPr>
                <w:rFonts w:cs="Arial"/>
              </w:rPr>
            </w:pPr>
            <w:r>
              <w:t>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0E6638" w14:textId="77777777" w:rsidR="00C331B9" w:rsidRPr="00937C8B" w:rsidRDefault="00C331B9" w:rsidP="003E38D0">
            <w:pPr>
              <w:pStyle w:val="CTEtabla-texto"/>
              <w:snapToGrid w:val="0"/>
              <w:rPr>
                <w:rFonts w:cs="Arial"/>
              </w:rPr>
            </w:pPr>
            <w:r>
              <w:t>15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7433D6" w14:textId="77777777" w:rsidR="00C331B9" w:rsidRPr="00937C8B" w:rsidRDefault="00C331B9" w:rsidP="003E38D0">
            <w:pPr>
              <w:pStyle w:val="CTEtabla-texto"/>
              <w:snapToGrid w:val="0"/>
              <w:rPr>
                <w:rFonts w:cs="Arial"/>
              </w:rPr>
            </w:pPr>
            <w:r>
              <w:t>15</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F542C7"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0FA251"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D29E9F"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1BFF25"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80FED"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27B6A4"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966641" w14:textId="77777777" w:rsidR="00C331B9" w:rsidRPr="00937C8B" w:rsidRDefault="00C331B9" w:rsidP="003E38D0">
            <w:pPr>
              <w:pStyle w:val="CTEtabla-texto"/>
              <w:snapToGrid w:val="0"/>
              <w:rPr>
                <w:rFonts w:cs="Arial"/>
              </w:rPr>
            </w:pPr>
            <w:r>
              <w:t>20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D99B0"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5DD91E" w14:textId="77777777" w:rsidR="00C331B9" w:rsidRPr="00937C8B" w:rsidRDefault="00C331B9" w:rsidP="003E38D0">
            <w:pPr>
              <w:pStyle w:val="CTEtabla-texto"/>
              <w:snapToGrid w:val="0"/>
              <w:rPr>
                <w:rFonts w:cs="Arial"/>
              </w:rPr>
            </w:pPr>
            <w:r>
              <w:t>17</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F281D" w14:textId="77777777" w:rsidR="00C331B9" w:rsidRPr="00937C8B" w:rsidRDefault="00C331B9" w:rsidP="003E38D0">
            <w:pPr>
              <w:pStyle w:val="CTEtabla-texto"/>
              <w:snapToGrid w:val="0"/>
              <w:rPr>
                <w:rFonts w:cs="Arial"/>
              </w:rPr>
            </w:pPr>
            <w:r>
              <w:t>16</w:t>
            </w:r>
          </w:p>
        </w:tc>
      </w:tr>
      <w:tr w:rsidR="00C331B9" w:rsidRPr="00937C8B" w14:paraId="4AFC7587"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5F98B" w14:textId="77777777" w:rsidR="00C331B9" w:rsidRPr="00937C8B" w:rsidRDefault="00C331B9" w:rsidP="003E38D0">
            <w:pPr>
              <w:pStyle w:val="CTEtabla-texto"/>
              <w:snapToGrid w:val="0"/>
              <w:jc w:val="left"/>
              <w:rPr>
                <w:rFonts w:cs="Arial"/>
              </w:rPr>
            </w:pPr>
            <w:r>
              <w:t>Santander</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328F5" w14:textId="77777777"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0237" w14:textId="77777777"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CCF33" w14:textId="77777777"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59B7E"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ADA95"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6D9B"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9B518"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50ED9" w14:textId="77777777" w:rsidR="00C331B9" w:rsidRPr="00937C8B" w:rsidRDefault="00C331B9" w:rsidP="003E38D0">
            <w:pPr>
              <w:pStyle w:val="CTEtabla-texto"/>
              <w:snapToGrid w:val="0"/>
              <w:rPr>
                <w:rFonts w:cs="Arial"/>
              </w:rPr>
            </w:pPr>
            <w:r>
              <w:t>16</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745FE" w14:textId="77777777"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4ECBA"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A720B"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5B4A3" w14:textId="77777777"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A43B" w14:textId="77777777" w:rsidR="00C331B9" w:rsidRPr="00937C8B" w:rsidRDefault="00C331B9" w:rsidP="003E38D0">
            <w:pPr>
              <w:pStyle w:val="CTEtabla-texto"/>
              <w:snapToGrid w:val="0"/>
              <w:rPr>
                <w:rFonts w:cs="Arial"/>
              </w:rPr>
            </w:pPr>
            <w:r>
              <w:t>10</w:t>
            </w:r>
          </w:p>
        </w:tc>
      </w:tr>
      <w:tr w:rsidR="00C331B9" w:rsidRPr="00937C8B" w14:paraId="71E654D6"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358CE4" w14:textId="77777777" w:rsidR="00C331B9" w:rsidRPr="00937C8B" w:rsidRDefault="00C331B9" w:rsidP="003E38D0">
            <w:pPr>
              <w:pStyle w:val="CTEtabla-texto"/>
              <w:snapToGrid w:val="0"/>
              <w:jc w:val="left"/>
              <w:rPr>
                <w:rFonts w:cs="Arial"/>
              </w:rPr>
            </w:pPr>
            <w:r>
              <w:t>Ségovie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6AE04A" w14:textId="77777777" w:rsidR="00C331B9" w:rsidRPr="00937C8B" w:rsidRDefault="00C331B9" w:rsidP="003E38D0">
            <w:pPr>
              <w:pStyle w:val="CTEtabla-texto"/>
              <w:snapToGrid w:val="0"/>
              <w:rPr>
                <w:rFonts w:cs="Arial"/>
              </w:rPr>
            </w:pPr>
            <w:r>
              <w:t>1002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2B7270" w14:textId="77777777"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D220C1" w14:textId="77777777" w:rsidR="00C331B9" w:rsidRPr="00937C8B" w:rsidRDefault="00C331B9" w:rsidP="003E38D0">
            <w:pPr>
              <w:pStyle w:val="CTEtabla-texto"/>
              <w:snapToGrid w:val="0"/>
              <w:rPr>
                <w:rFonts w:cs="Arial"/>
              </w:rPr>
            </w:pPr>
            <w: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3F85E0" w14:textId="77777777"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FF9C39"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8F2DF"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A4FBF"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421A3E" w14:textId="77777777"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59DC8" w14:textId="77777777"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B2D2A7"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483812"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9BD77E" w14:textId="77777777"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A6C528" w14:textId="77777777" w:rsidR="00C331B9" w:rsidRPr="00937C8B" w:rsidRDefault="00C331B9" w:rsidP="003E38D0">
            <w:pPr>
              <w:pStyle w:val="CTEtabla-texto"/>
              <w:snapToGrid w:val="0"/>
              <w:rPr>
                <w:rFonts w:cs="Arial"/>
              </w:rPr>
            </w:pPr>
            <w:r>
              <w:t>6</w:t>
            </w:r>
          </w:p>
        </w:tc>
      </w:tr>
      <w:tr w:rsidR="00C331B9" w:rsidRPr="00937C8B" w14:paraId="1989366C"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1969F" w14:textId="77777777" w:rsidR="00C331B9" w:rsidRPr="00937C8B" w:rsidRDefault="00C331B9" w:rsidP="003E38D0">
            <w:pPr>
              <w:pStyle w:val="CTEtabla-texto"/>
              <w:snapToGrid w:val="0"/>
              <w:jc w:val="left"/>
              <w:rPr>
                <w:rFonts w:cs="Arial"/>
              </w:rPr>
            </w:pPr>
            <w:r>
              <w:t>Séville</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C156C" w14:textId="77777777"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EAAE6" w14:textId="77777777"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F0B26" w14:textId="77777777"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BA997"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5D834"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40E44"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3C92"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455CC" w14:textId="77777777" w:rsidR="00C331B9" w:rsidRPr="00937C8B" w:rsidRDefault="00C331B9" w:rsidP="003E38D0">
            <w:pPr>
              <w:pStyle w:val="CTEtabla-texto"/>
              <w:snapToGrid w:val="0"/>
              <w:rPr>
                <w:rFonts w:cs="Arial"/>
              </w:rPr>
            </w:pPr>
            <w:r>
              <w:t>21</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C6C1E" w14:textId="77777777" w:rsidR="00C331B9" w:rsidRPr="00937C8B" w:rsidRDefault="00C331B9" w:rsidP="003E38D0">
            <w:pPr>
              <w:pStyle w:val="CTEtabla-texto"/>
              <w:snapToGrid w:val="0"/>
              <w:rPr>
                <w:rFonts w:cs="Arial"/>
              </w:rPr>
            </w:pPr>
            <w:r>
              <w:t>21</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CA239" w14:textId="77777777" w:rsidR="00C331B9" w:rsidRPr="00937C8B" w:rsidRDefault="00C331B9" w:rsidP="003E38D0">
            <w:pPr>
              <w:pStyle w:val="CTEtabla-texto"/>
              <w:snapToGrid w:val="0"/>
              <w:rPr>
                <w:rFonts w:cs="Arial"/>
              </w:rPr>
            </w:pPr>
            <w:r>
              <w:t>20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8510E"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A5297" w14:textId="77777777" w:rsidR="00C331B9" w:rsidRPr="00937C8B" w:rsidRDefault="00C331B9" w:rsidP="003E38D0">
            <w:pPr>
              <w:pStyle w:val="CTEtabla-texto"/>
              <w:snapToGrid w:val="0"/>
              <w:rPr>
                <w:rFonts w:cs="Arial"/>
              </w:rPr>
            </w:pPr>
            <w:r>
              <w:t>13</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F2FCA" w14:textId="77777777" w:rsidR="00C331B9" w:rsidRPr="00937C8B" w:rsidRDefault="00C331B9" w:rsidP="003E38D0">
            <w:pPr>
              <w:pStyle w:val="CTEtabla-texto"/>
              <w:snapToGrid w:val="0"/>
              <w:rPr>
                <w:rFonts w:cs="Arial"/>
              </w:rPr>
            </w:pPr>
            <w:r>
              <w:t>11</w:t>
            </w:r>
          </w:p>
        </w:tc>
      </w:tr>
      <w:tr w:rsidR="00C331B9" w:rsidRPr="00937C8B" w14:paraId="215E39D0"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F97F23" w14:textId="77777777" w:rsidR="00C331B9" w:rsidRPr="00937C8B" w:rsidRDefault="00C331B9" w:rsidP="003E38D0">
            <w:pPr>
              <w:pStyle w:val="CTEtabla-texto"/>
              <w:snapToGrid w:val="0"/>
              <w:jc w:val="left"/>
              <w:rPr>
                <w:rFonts w:cs="Arial"/>
              </w:rPr>
            </w:pPr>
            <w:r>
              <w:t>Soria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8F3A81" w14:textId="77777777" w:rsidR="00C331B9" w:rsidRPr="00937C8B" w:rsidRDefault="00C331B9" w:rsidP="003E38D0">
            <w:pPr>
              <w:pStyle w:val="CTEtabla-texto"/>
              <w:snapToGrid w:val="0"/>
              <w:rPr>
                <w:rFonts w:cs="Arial"/>
              </w:rPr>
            </w:pPr>
            <w:r>
              <w:t>1063</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44A11" w14:textId="77777777" w:rsidR="00C331B9" w:rsidRPr="00937C8B" w:rsidRDefault="00C331B9" w:rsidP="003E38D0">
            <w:pPr>
              <w:pStyle w:val="CTEtabla-texto"/>
              <w:snapToGrid w:val="0"/>
              <w:rPr>
                <w:rFonts w:cs="Arial"/>
              </w:rPr>
            </w:pPr>
            <w:r>
              <w:t>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5A5AE5" w14:textId="77777777" w:rsidR="00C331B9" w:rsidRPr="00937C8B" w:rsidRDefault="00C331B9" w:rsidP="003E38D0">
            <w:pPr>
              <w:pStyle w:val="CTEtabla-texto"/>
              <w:snapToGrid w:val="0"/>
              <w:rPr>
                <w:rFonts w:cs="Arial"/>
              </w:rPr>
            </w:pPr>
            <w:r>
              <w:t>6</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5DF289" w14:textId="77777777" w:rsidR="00C331B9" w:rsidRPr="00937C8B" w:rsidRDefault="00C331B9" w:rsidP="003E38D0">
            <w:pPr>
              <w:pStyle w:val="CTEtabla-texto"/>
              <w:snapToGrid w:val="0"/>
              <w:rPr>
                <w:rFonts w:cs="Arial"/>
              </w:rPr>
            </w:pPr>
            <w:r>
              <w:t>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2E4877" w14:textId="77777777"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9EB6C6"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D6B6F3"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356D34" w14:textId="77777777"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AB5782" w14:textId="77777777"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48D432"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13DF6"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2B7E6" w14:textId="77777777"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45A882" w14:textId="77777777" w:rsidR="00C331B9" w:rsidRPr="00937C8B" w:rsidRDefault="00C331B9" w:rsidP="003E38D0">
            <w:pPr>
              <w:pStyle w:val="CTEtabla-texto"/>
              <w:snapToGrid w:val="0"/>
              <w:rPr>
                <w:rFonts w:cs="Arial"/>
              </w:rPr>
            </w:pPr>
            <w:r>
              <w:t>6</w:t>
            </w:r>
          </w:p>
        </w:tc>
      </w:tr>
      <w:tr w:rsidR="00C331B9" w:rsidRPr="00937C8B" w14:paraId="71A9CAB0"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CB3B2" w14:textId="77777777" w:rsidR="00C331B9" w:rsidRPr="00937C8B" w:rsidRDefault="00C331B9" w:rsidP="003E38D0">
            <w:pPr>
              <w:pStyle w:val="CTEtabla-texto"/>
              <w:snapToGrid w:val="0"/>
              <w:jc w:val="left"/>
              <w:rPr>
                <w:rFonts w:cs="Arial"/>
              </w:rPr>
            </w:pPr>
            <w:r>
              <w:t>Tarragone</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68EAA" w14:textId="77777777" w:rsidR="00C331B9" w:rsidRPr="00937C8B" w:rsidRDefault="00C331B9" w:rsidP="003E38D0">
            <w:pPr>
              <w:pStyle w:val="CTEtabla-texto"/>
              <w:snapToGrid w:val="0"/>
              <w:rPr>
                <w:rFonts w:cs="Arial"/>
              </w:rPr>
            </w:pPr>
            <w:r>
              <w:t>69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BED91" w14:textId="77777777"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5BD66" w14:textId="77777777"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FD735"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FEE57"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72A2A"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96DB1"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1F060"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F5AE1"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E58F0" w14:textId="77777777"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9194"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BC2EA" w14:textId="77777777"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17747" w14:textId="77777777" w:rsidR="00C331B9" w:rsidRPr="00937C8B" w:rsidRDefault="00C331B9" w:rsidP="003E38D0">
            <w:pPr>
              <w:pStyle w:val="CTEtabla-texto"/>
              <w:snapToGrid w:val="0"/>
              <w:rPr>
                <w:rFonts w:cs="Arial"/>
              </w:rPr>
            </w:pPr>
            <w:r>
              <w:t>11</w:t>
            </w:r>
          </w:p>
        </w:tc>
      </w:tr>
      <w:tr w:rsidR="00C331B9" w:rsidRPr="00937C8B" w14:paraId="4A40AAA7"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1B15C" w14:textId="77777777" w:rsidR="00C331B9" w:rsidRPr="00937C8B" w:rsidRDefault="00C331B9" w:rsidP="003E38D0">
            <w:pPr>
              <w:pStyle w:val="CTEtabla-texto"/>
              <w:snapToGrid w:val="0"/>
              <w:jc w:val="left"/>
              <w:rPr>
                <w:rFonts w:cs="Arial"/>
              </w:rPr>
            </w:pPr>
            <w:r>
              <w:t>Teruel</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8DCDCC" w14:textId="77777777" w:rsidR="00C331B9" w:rsidRPr="00937C8B" w:rsidRDefault="00C331B9" w:rsidP="003E38D0">
            <w:pPr>
              <w:pStyle w:val="CTEtabla-texto"/>
              <w:snapToGrid w:val="0"/>
              <w:rPr>
                <w:rFonts w:cs="Arial"/>
              </w:rPr>
            </w:pPr>
            <w:r>
              <w:t>912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1CC781" w14:textId="77777777"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1E62C5" w14:textId="77777777" w:rsidR="00C331B9" w:rsidRPr="00937C8B" w:rsidRDefault="00C331B9" w:rsidP="003E38D0">
            <w:pPr>
              <w:pStyle w:val="CTEtabla-texto"/>
              <w:snapToGrid w:val="0"/>
              <w:rPr>
                <w:rFonts w:cs="Arial"/>
              </w:rPr>
            </w:pPr>
            <w: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C027A4" w14:textId="77777777"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BD6CA9"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FE5E12"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A7BD"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ED745" w14:textId="77777777"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57B90" w14:textId="77777777" w:rsidR="00C331B9" w:rsidRPr="00937C8B" w:rsidRDefault="00C331B9" w:rsidP="003E38D0">
            <w:pPr>
              <w:pStyle w:val="CTEtabla-texto"/>
              <w:snapToGrid w:val="0"/>
              <w:rPr>
                <w:rFonts w:cs="Arial"/>
              </w:rPr>
            </w:pPr>
            <w: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4202C6"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71605C"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AA1FC" w14:textId="77777777"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74FDFD" w14:textId="77777777" w:rsidR="00C331B9" w:rsidRPr="00937C8B" w:rsidRDefault="00C331B9" w:rsidP="003E38D0">
            <w:pPr>
              <w:pStyle w:val="CTEtabla-texto"/>
              <w:snapToGrid w:val="0"/>
              <w:rPr>
                <w:rFonts w:cs="Arial"/>
              </w:rPr>
            </w:pPr>
            <w:r>
              <w:t>6</w:t>
            </w:r>
          </w:p>
        </w:tc>
      </w:tr>
      <w:tr w:rsidR="00C331B9" w:rsidRPr="00937C8B" w14:paraId="00369A48"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F970B" w14:textId="77777777" w:rsidR="00C331B9" w:rsidRPr="00937C8B" w:rsidRDefault="00C331B9" w:rsidP="003E38D0">
            <w:pPr>
              <w:pStyle w:val="CTEtabla-texto"/>
              <w:snapToGrid w:val="0"/>
              <w:jc w:val="left"/>
              <w:rPr>
                <w:rFonts w:cs="Arial"/>
              </w:rPr>
            </w:pPr>
            <w:r>
              <w:t>Tolède</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25AAF" w14:textId="77777777" w:rsidR="00C331B9" w:rsidRPr="00937C8B" w:rsidRDefault="00C331B9" w:rsidP="003E38D0">
            <w:pPr>
              <w:pStyle w:val="CTEtabla-texto"/>
              <w:snapToGrid w:val="0"/>
              <w:rPr>
                <w:rFonts w:cs="Arial"/>
              </w:rPr>
            </w:pPr>
            <w:r>
              <w:t>629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DD5AC" w14:textId="77777777"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B091F" w14:textId="77777777"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99160" w14:textId="77777777"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AE2AC"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6C650"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2BF21"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B4D8C" w14:textId="77777777" w:rsidR="00C331B9" w:rsidRPr="00937C8B" w:rsidRDefault="00C331B9" w:rsidP="003E38D0">
            <w:pPr>
              <w:pStyle w:val="CTEtabla-texto"/>
              <w:snapToGrid w:val="0"/>
              <w:rPr>
                <w:rFonts w:cs="Arial"/>
              </w:rPr>
            </w:pPr>
            <w:r>
              <w:t>21</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D7AA"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06C7F"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F38E0"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C310" w14:textId="77777777" w:rsidR="00C331B9" w:rsidRPr="00937C8B" w:rsidRDefault="00C331B9" w:rsidP="003E38D0">
            <w:pPr>
              <w:pStyle w:val="CTEtabla-texto"/>
              <w:snapToGrid w:val="0"/>
              <w:rPr>
                <w:rFonts w:cs="Arial"/>
              </w:rPr>
            </w:pPr>
            <w:r>
              <w:t>11</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926EA" w14:textId="77777777" w:rsidR="00C331B9" w:rsidRPr="00937C8B" w:rsidRDefault="00C331B9" w:rsidP="003E38D0">
            <w:pPr>
              <w:pStyle w:val="CTEtabla-texto"/>
              <w:snapToGrid w:val="0"/>
              <w:rPr>
                <w:rFonts w:cs="Arial"/>
              </w:rPr>
            </w:pPr>
            <w:r>
              <w:t>8</w:t>
            </w:r>
          </w:p>
        </w:tc>
      </w:tr>
      <w:tr w:rsidR="00C331B9" w:rsidRPr="00937C8B" w14:paraId="5214E507"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C96345" w14:textId="77777777" w:rsidR="00C331B9" w:rsidRPr="00937C8B" w:rsidRDefault="00C331B9" w:rsidP="003E38D0">
            <w:pPr>
              <w:pStyle w:val="CTEtabla-texto"/>
              <w:snapToGrid w:val="0"/>
              <w:jc w:val="left"/>
              <w:rPr>
                <w:rFonts w:cs="Arial"/>
              </w:rPr>
            </w:pPr>
            <w:r>
              <w:t>Valence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220DD" w14:textId="77777777" w:rsidR="00C331B9" w:rsidRPr="00937C8B" w:rsidRDefault="00C331B9" w:rsidP="003E38D0">
            <w:pPr>
              <w:pStyle w:val="CTEtabla-texto"/>
              <w:snapToGrid w:val="0"/>
              <w:rPr>
                <w:rFonts w:cs="Arial"/>
              </w:rPr>
            </w:pPr>
            <w:r>
              <w:t>13</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E39B7F" w14:textId="77777777"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12F7B" w14:textId="77777777"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173B14"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424D59"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9E3C6D"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10D6B"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ECAA52" w14:textId="77777777"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EED93" w14:textId="77777777"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FCD573" w14:textId="77777777"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958DB2"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69B551" w14:textId="77777777" w:rsidR="00C331B9" w:rsidRPr="00937C8B" w:rsidRDefault="00C331B9" w:rsidP="003E38D0">
            <w:pPr>
              <w:pStyle w:val="CTEtabla-texto"/>
              <w:snapToGrid w:val="0"/>
              <w:rPr>
                <w:rFonts w:cs="Arial"/>
              </w:rPr>
            </w:pPr>
            <w:r>
              <w:t>13</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D9B1F" w14:textId="77777777" w:rsidR="00C331B9" w:rsidRPr="00937C8B" w:rsidRDefault="00C331B9" w:rsidP="003E38D0">
            <w:pPr>
              <w:pStyle w:val="CTEtabla-texto"/>
              <w:snapToGrid w:val="0"/>
              <w:rPr>
                <w:rFonts w:cs="Arial"/>
              </w:rPr>
            </w:pPr>
            <w:r>
              <w:t>11</w:t>
            </w:r>
          </w:p>
        </w:tc>
      </w:tr>
      <w:tr w:rsidR="00C331B9" w:rsidRPr="00937C8B" w14:paraId="65012E60"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3259F" w14:textId="77777777" w:rsidR="00C331B9" w:rsidRPr="00937C8B" w:rsidRDefault="00C331B9" w:rsidP="003E38D0">
            <w:pPr>
              <w:pStyle w:val="CTEtabla-texto"/>
              <w:snapToGrid w:val="0"/>
              <w:jc w:val="left"/>
              <w:rPr>
                <w:rFonts w:cs="Arial"/>
              </w:rPr>
            </w:pPr>
            <w:r>
              <w:t>Valladolid</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703B4" w14:textId="77777777" w:rsidR="00C331B9" w:rsidRPr="00937C8B" w:rsidRDefault="00C331B9" w:rsidP="003E38D0">
            <w:pPr>
              <w:pStyle w:val="CTEtabla-texto"/>
              <w:snapToGrid w:val="0"/>
              <w:rPr>
                <w:rFonts w:cs="Arial"/>
              </w:rPr>
            </w:pPr>
            <w:r>
              <w:t>698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5DA0C" w14:textId="77777777"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C70A" w14:textId="77777777"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2ABD0" w14:textId="77777777"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63AF4"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08E29"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AADD5"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BB6CB" w14:textId="77777777"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07199" w14:textId="77777777"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2CAFB"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1D534"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CF372" w14:textId="77777777"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4482A" w14:textId="77777777" w:rsidR="00C331B9" w:rsidRPr="00937C8B" w:rsidRDefault="00C331B9" w:rsidP="003E38D0">
            <w:pPr>
              <w:pStyle w:val="CTEtabla-texto"/>
              <w:snapToGrid w:val="0"/>
              <w:rPr>
                <w:rFonts w:cs="Arial"/>
              </w:rPr>
            </w:pPr>
            <w:r>
              <w:t>7</w:t>
            </w:r>
          </w:p>
        </w:tc>
      </w:tr>
      <w:tr w:rsidR="00C331B9" w:rsidRPr="00937C8B" w14:paraId="478A661C"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CFEC7" w14:textId="77777777" w:rsidR="00C331B9" w:rsidRPr="00937C8B" w:rsidRDefault="00C331B9" w:rsidP="003E38D0">
            <w:pPr>
              <w:pStyle w:val="CTEtabla-texto"/>
              <w:snapToGrid w:val="0"/>
              <w:jc w:val="left"/>
              <w:rPr>
                <w:rFonts w:cs="Arial"/>
              </w:rPr>
            </w:pPr>
            <w:r>
              <w:t>Vitoria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6FECB" w14:textId="77777777" w:rsidR="00C331B9" w:rsidRPr="00937C8B" w:rsidRDefault="00C331B9" w:rsidP="003E38D0">
            <w:pPr>
              <w:pStyle w:val="CTEtabla-texto"/>
              <w:snapToGrid w:val="0"/>
              <w:rPr>
                <w:rFonts w:cs="Arial"/>
              </w:rPr>
            </w:pPr>
            <w:r>
              <w:t>540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899E2B" w14:textId="77777777"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85AB2A" w14:textId="77777777" w:rsidR="00C331B9" w:rsidRPr="00937C8B" w:rsidRDefault="00C331B9" w:rsidP="003E38D0">
            <w:pPr>
              <w:pStyle w:val="CTEtabla-texto"/>
              <w:snapToGrid w:val="0"/>
              <w:rPr>
                <w:rFonts w:cs="Arial"/>
              </w:rPr>
            </w:pPr>
            <w: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45868" w14:textId="77777777"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C041DB"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B519E"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66D2D2"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B29383" w14:textId="77777777" w:rsidR="00C331B9" w:rsidRPr="00937C8B" w:rsidRDefault="00C331B9" w:rsidP="003E38D0">
            <w:pPr>
              <w:pStyle w:val="CTEtabla-texto"/>
              <w:snapToGrid w:val="0"/>
              <w:rPr>
                <w:rFonts w:cs="Arial"/>
              </w:rPr>
            </w:pPr>
            <w:r>
              <w:t>16</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D1DE87" w14:textId="77777777"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2EE5C"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8F0914"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5C0CF2" w14:textId="77777777"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9811A" w14:textId="77777777" w:rsidR="00C331B9" w:rsidRPr="00937C8B" w:rsidRDefault="00C331B9" w:rsidP="003E38D0">
            <w:pPr>
              <w:pStyle w:val="CTEtabla-texto"/>
              <w:snapToGrid w:val="0"/>
              <w:rPr>
                <w:rFonts w:cs="Arial"/>
              </w:rPr>
            </w:pPr>
            <w:r>
              <w:t>7</w:t>
            </w:r>
          </w:p>
        </w:tc>
      </w:tr>
      <w:tr w:rsidR="00C331B9" w:rsidRPr="00937C8B" w14:paraId="6FE2E9F4"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C2BB2" w14:textId="77777777" w:rsidR="00C331B9" w:rsidRPr="00937C8B" w:rsidRDefault="00C331B9" w:rsidP="003E38D0">
            <w:pPr>
              <w:pStyle w:val="CTEtabla-texto"/>
              <w:snapToGrid w:val="0"/>
              <w:jc w:val="left"/>
              <w:rPr>
                <w:rFonts w:cs="Arial"/>
              </w:rPr>
            </w:pPr>
            <w:r>
              <w:t>Zamora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523B4" w14:textId="77777777" w:rsidR="00C331B9" w:rsidRPr="00937C8B" w:rsidRDefault="00C331B9" w:rsidP="003E38D0">
            <w:pPr>
              <w:pStyle w:val="CTEtabla-texto"/>
              <w:snapToGrid w:val="0"/>
              <w:rPr>
                <w:rFonts w:cs="Arial"/>
              </w:rPr>
            </w:pPr>
            <w:r>
              <w:t>649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79AA3" w14:textId="77777777"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44EF0" w14:textId="77777777"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4FA12" w14:textId="77777777"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A56D0"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144FA" w14:textId="77777777"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FF55F"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53374" w14:textId="77777777"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398DF" w14:textId="77777777"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C7189" w14:textId="77777777"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C7C65"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D108D" w14:textId="77777777"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0AD3E" w14:textId="77777777" w:rsidR="00C331B9" w:rsidRPr="00937C8B" w:rsidRDefault="00C331B9" w:rsidP="003E38D0">
            <w:pPr>
              <w:pStyle w:val="CTEtabla-texto"/>
              <w:snapToGrid w:val="0"/>
              <w:rPr>
                <w:rFonts w:cs="Arial"/>
              </w:rPr>
            </w:pPr>
            <w:r>
              <w:t>7</w:t>
            </w:r>
          </w:p>
        </w:tc>
      </w:tr>
      <w:tr w:rsidR="00C331B9" w:rsidRPr="00937C8B" w14:paraId="54D51A22" w14:textId="77777777"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362BF3" w14:textId="77777777" w:rsidR="00C331B9" w:rsidRPr="00937C8B" w:rsidRDefault="00C331B9" w:rsidP="003E38D0">
            <w:pPr>
              <w:pStyle w:val="CTEtabla-texto"/>
              <w:snapToGrid w:val="0"/>
              <w:jc w:val="left"/>
              <w:rPr>
                <w:rFonts w:cs="Arial"/>
              </w:rPr>
            </w:pPr>
            <w:r>
              <w:t>Saragosse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1024A" w14:textId="77777777" w:rsidR="00C331B9" w:rsidRPr="00937C8B" w:rsidRDefault="00C331B9" w:rsidP="003E38D0">
            <w:pPr>
              <w:pStyle w:val="CTEtabla-texto"/>
              <w:snapToGrid w:val="0"/>
              <w:rPr>
                <w:rFonts w:cs="Arial"/>
              </w:rPr>
            </w:pPr>
            <w:r>
              <w:t>199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191D9" w14:textId="77777777"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44F7D1" w14:textId="77777777"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E3D96E" w14:textId="77777777"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1915E5" w14:textId="77777777"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69D03B" w14:textId="77777777"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61956"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E6D109" w14:textId="77777777"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EE031C" w14:textId="77777777"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FA35E4" w14:textId="77777777"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25B2D" w14:textId="77777777"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A07DAC" w14:textId="77777777"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0235C2" w14:textId="77777777" w:rsidR="00C331B9" w:rsidRPr="00937C8B" w:rsidRDefault="00C331B9" w:rsidP="003E38D0">
            <w:pPr>
              <w:pStyle w:val="CTEtabla-texto"/>
              <w:snapToGrid w:val="0"/>
              <w:rPr>
                <w:rFonts w:cs="Arial"/>
              </w:rPr>
            </w:pPr>
            <w:r>
              <w:t>8</w:t>
            </w:r>
          </w:p>
        </w:tc>
      </w:tr>
    </w:tbl>
    <w:p w14:paraId="0E586F35" w14:textId="77777777" w:rsidR="00C331B9" w:rsidRPr="00937C8B" w:rsidRDefault="00C331B9" w:rsidP="00C331B9">
      <w:pPr>
        <w:pStyle w:val="CTENumeracion"/>
        <w:spacing w:before="120"/>
        <w:rPr>
          <w:rFonts w:cs="Arial"/>
          <w:sz w:val="22"/>
          <w:szCs w:val="22"/>
        </w:rPr>
      </w:pPr>
    </w:p>
    <w:p w14:paraId="71AF0A76" w14:textId="72F29121" w:rsidR="00C331B9" w:rsidRPr="00937C8B" w:rsidRDefault="00C331B9" w:rsidP="00D27646">
      <w:pPr>
        <w:pStyle w:val="CTENumeracion"/>
        <w:keepNext/>
        <w:spacing w:before="120"/>
        <w:rPr>
          <w:rFonts w:cs="Arial"/>
          <w:sz w:val="22"/>
          <w:szCs w:val="22"/>
        </w:rPr>
      </w:pPr>
      <w:r>
        <w:rPr>
          <w:sz w:val="22"/>
          <w:szCs w:val="22"/>
        </w:rPr>
        <w:t>2</w:t>
      </w:r>
      <w:r>
        <w:rPr>
          <w:sz w:val="22"/>
          <w:szCs w:val="22"/>
        </w:rPr>
        <w:tab/>
        <w:t>Pour les localités qui ne sont pas répertoriées dans le tableau a de l</w:t>
      </w:r>
      <w:r w:rsidR="00EA7588">
        <w:rPr>
          <w:sz w:val="22"/>
          <w:szCs w:val="22"/>
        </w:rPr>
        <w:t>’</w:t>
      </w:r>
      <w:r>
        <w:rPr>
          <w:sz w:val="22"/>
          <w:szCs w:val="22"/>
        </w:rPr>
        <w:t>annexe G, la température de l</w:t>
      </w:r>
      <w:r w:rsidR="00EA7588">
        <w:rPr>
          <w:sz w:val="22"/>
          <w:szCs w:val="22"/>
        </w:rPr>
        <w:t>’</w:t>
      </w:r>
      <w:r>
        <w:rPr>
          <w:sz w:val="22"/>
          <w:szCs w:val="22"/>
        </w:rPr>
        <w:t>eau froide du réseau (T</w:t>
      </w:r>
      <w:r>
        <w:rPr>
          <w:sz w:val="22"/>
          <w:szCs w:val="22"/>
          <w:vertAlign w:val="subscript"/>
        </w:rPr>
        <w:t>AFY</w:t>
      </w:r>
      <w:r>
        <w:rPr>
          <w:sz w:val="22"/>
          <w:szCs w:val="22"/>
        </w:rPr>
        <w:t>) peut être obtenue au moyen de la formule suivante:</w:t>
      </w:r>
    </w:p>
    <w:p w14:paraId="63313246" w14:textId="77777777" w:rsidR="00C331B9" w:rsidRPr="00937C8B" w:rsidRDefault="00C331B9" w:rsidP="00C331B9">
      <w:pPr>
        <w:pStyle w:val="CTETabla-nota"/>
        <w:spacing w:before="120" w:after="120"/>
        <w:ind w:firstLine="119"/>
        <w:rPr>
          <w:sz w:val="22"/>
          <w:szCs w:val="22"/>
        </w:rPr>
      </w:pPr>
      <w:r>
        <w:rPr>
          <w:bCs/>
          <w:sz w:val="22"/>
          <w:szCs w:val="22"/>
        </w:rPr>
        <w:t>T</w:t>
      </w:r>
      <w:r>
        <w:rPr>
          <w:bCs/>
          <w:sz w:val="22"/>
          <w:szCs w:val="22"/>
          <w:vertAlign w:val="subscript"/>
        </w:rPr>
        <w:t>AFY</w:t>
      </w:r>
      <w:r>
        <w:rPr>
          <w:bCs/>
          <w:sz w:val="22"/>
          <w:szCs w:val="22"/>
        </w:rPr>
        <w:t xml:space="preserve"> = T</w:t>
      </w:r>
      <w:r>
        <w:rPr>
          <w:bCs/>
          <w:sz w:val="22"/>
          <w:szCs w:val="22"/>
          <w:vertAlign w:val="subscript"/>
        </w:rPr>
        <w:t>AFCP</w:t>
      </w:r>
      <w:r>
        <w:rPr>
          <w:bCs/>
          <w:sz w:val="22"/>
          <w:szCs w:val="22"/>
        </w:rPr>
        <w:t xml:space="preserve"> - B · A</w:t>
      </w:r>
      <w:r>
        <w:rPr>
          <w:bCs/>
          <w:sz w:val="22"/>
          <w:szCs w:val="22"/>
          <w:vertAlign w:val="subscript"/>
        </w:rPr>
        <w:t>z</w:t>
      </w:r>
    </w:p>
    <w:p w14:paraId="7162865C" w14:textId="77777777" w:rsidR="00C331B9" w:rsidRPr="00937C8B" w:rsidRDefault="00C331B9" w:rsidP="00D27646">
      <w:pPr>
        <w:pStyle w:val="CTENumeracion"/>
        <w:keepNext/>
        <w:ind w:firstLine="3"/>
        <w:rPr>
          <w:rFonts w:cs="Arial"/>
          <w:sz w:val="22"/>
          <w:szCs w:val="22"/>
        </w:rPr>
      </w:pPr>
      <w:r>
        <w:rPr>
          <w:bCs/>
          <w:sz w:val="22"/>
          <w:szCs w:val="22"/>
        </w:rPr>
        <w:t>où:</w:t>
      </w:r>
    </w:p>
    <w:p w14:paraId="6BC97CF1" w14:textId="04CE0622" w:rsidR="00C331B9" w:rsidRPr="00937C8B" w:rsidRDefault="00C331B9" w:rsidP="00C331B9">
      <w:pPr>
        <w:pStyle w:val="CTENumeracion"/>
        <w:ind w:left="1418" w:hanging="709"/>
        <w:rPr>
          <w:rFonts w:cs="Arial"/>
          <w:sz w:val="22"/>
          <w:szCs w:val="22"/>
        </w:rPr>
      </w:pPr>
      <w:r>
        <w:rPr>
          <w:bCs/>
          <w:sz w:val="22"/>
          <w:szCs w:val="22"/>
        </w:rPr>
        <w:t>T</w:t>
      </w:r>
      <w:r>
        <w:rPr>
          <w:bCs/>
          <w:sz w:val="22"/>
          <w:szCs w:val="22"/>
          <w:vertAlign w:val="subscript"/>
        </w:rPr>
        <w:t>AFCP</w:t>
      </w:r>
      <w:r>
        <w:rPr>
          <w:bCs/>
          <w:sz w:val="22"/>
          <w:szCs w:val="22"/>
        </w:rPr>
        <w:tab/>
        <w:t>est la température mensuelle moyenne de l</w:t>
      </w:r>
      <w:r w:rsidR="00EA7588">
        <w:rPr>
          <w:bCs/>
          <w:sz w:val="22"/>
          <w:szCs w:val="22"/>
        </w:rPr>
        <w:t>’</w:t>
      </w:r>
      <w:r>
        <w:rPr>
          <w:bCs/>
          <w:sz w:val="22"/>
          <w:szCs w:val="22"/>
        </w:rPr>
        <w:t>eau froide de la capitale de la province, obtenue à partir du tableau a de l</w:t>
      </w:r>
      <w:r w:rsidR="00EA7588">
        <w:rPr>
          <w:bCs/>
          <w:sz w:val="22"/>
          <w:szCs w:val="22"/>
        </w:rPr>
        <w:t>’</w:t>
      </w:r>
      <w:r>
        <w:rPr>
          <w:bCs/>
          <w:sz w:val="22"/>
          <w:szCs w:val="22"/>
        </w:rPr>
        <w:t>annexe G;</w:t>
      </w:r>
    </w:p>
    <w:p w14:paraId="2BCB1DC4" w14:textId="0E4EB90F" w:rsidR="00C331B9" w:rsidRPr="00937C8B" w:rsidRDefault="00C331B9" w:rsidP="00C331B9">
      <w:pPr>
        <w:pStyle w:val="CTENumeracion"/>
        <w:ind w:left="1418" w:hanging="709"/>
        <w:rPr>
          <w:rFonts w:cs="Arial"/>
          <w:bCs/>
          <w:sz w:val="22"/>
          <w:szCs w:val="22"/>
        </w:rPr>
      </w:pPr>
      <w:r>
        <w:rPr>
          <w:bCs/>
          <w:sz w:val="22"/>
          <w:szCs w:val="22"/>
        </w:rPr>
        <w:t>B</w:t>
      </w:r>
      <w:r>
        <w:rPr>
          <w:bCs/>
          <w:sz w:val="22"/>
          <w:szCs w:val="22"/>
        </w:rPr>
        <w:tab/>
        <w:t>est un coefficient de valeur de 0,0066 pour les mois d</w:t>
      </w:r>
      <w:r w:rsidR="00EA7588">
        <w:rPr>
          <w:bCs/>
          <w:sz w:val="22"/>
          <w:szCs w:val="22"/>
        </w:rPr>
        <w:t>’</w:t>
      </w:r>
      <w:r>
        <w:rPr>
          <w:bCs/>
          <w:sz w:val="22"/>
          <w:szCs w:val="22"/>
        </w:rPr>
        <w:t>octobre à mars et de 0,0033 pour les mois d</w:t>
      </w:r>
      <w:r w:rsidR="00EA7588">
        <w:rPr>
          <w:bCs/>
          <w:sz w:val="22"/>
          <w:szCs w:val="22"/>
        </w:rPr>
        <w:t>’</w:t>
      </w:r>
      <w:r>
        <w:rPr>
          <w:bCs/>
          <w:sz w:val="22"/>
          <w:szCs w:val="22"/>
        </w:rPr>
        <w:t>avril à septembre;</w:t>
      </w:r>
    </w:p>
    <w:p w14:paraId="2A41B78E" w14:textId="098C99A9" w:rsidR="00C331B9" w:rsidRPr="00937C8B" w:rsidRDefault="00C331B9" w:rsidP="00C331B9">
      <w:pPr>
        <w:pStyle w:val="CTENumeracion"/>
        <w:ind w:left="1418" w:hanging="709"/>
        <w:rPr>
          <w:rFonts w:cs="Arial"/>
          <w:bCs/>
          <w:sz w:val="22"/>
          <w:szCs w:val="22"/>
        </w:rPr>
      </w:pPr>
      <w:r>
        <w:rPr>
          <w:bCs/>
          <w:sz w:val="22"/>
          <w:szCs w:val="22"/>
        </w:rPr>
        <w:t>A</w:t>
      </w:r>
      <w:r>
        <w:rPr>
          <w:bCs/>
          <w:sz w:val="22"/>
          <w:szCs w:val="22"/>
          <w:vertAlign w:val="subscript"/>
        </w:rPr>
        <w:t>z</w:t>
      </w:r>
      <w:r>
        <w:rPr>
          <w:bCs/>
          <w:sz w:val="22"/>
          <w:szCs w:val="22"/>
        </w:rPr>
        <w:tab/>
        <w:t>est la différence entre l</w:t>
      </w:r>
      <w:r w:rsidR="00EA7588">
        <w:rPr>
          <w:bCs/>
          <w:sz w:val="22"/>
          <w:szCs w:val="22"/>
        </w:rPr>
        <w:t>’</w:t>
      </w:r>
      <w:r>
        <w:rPr>
          <w:bCs/>
          <w:sz w:val="22"/>
          <w:szCs w:val="22"/>
        </w:rPr>
        <w:t xml:space="preserve">altitude de la localité et de la capitale provinciale </w:t>
      </w:r>
    </w:p>
    <w:p w14:paraId="362B83C6" w14:textId="77777777" w:rsidR="00C331B9" w:rsidRPr="00937C8B" w:rsidRDefault="00C331B9" w:rsidP="00C331B9">
      <w:pPr>
        <w:pStyle w:val="CTENumeracion"/>
        <w:ind w:left="1418" w:firstLine="0"/>
        <w:rPr>
          <w:rFonts w:cs="Arial"/>
          <w:bCs/>
          <w:sz w:val="22"/>
          <w:szCs w:val="22"/>
        </w:rPr>
      </w:pPr>
      <w:r>
        <w:rPr>
          <w:bCs/>
          <w:sz w:val="22"/>
          <w:szCs w:val="22"/>
        </w:rPr>
        <w:t>(Az = Altitudelocalité – Altitudecapitale).</w:t>
      </w:r>
    </w:p>
    <w:p w14:paraId="3E6B1DD1" w14:textId="77777777" w:rsidR="00C331B9" w:rsidRPr="00937C8B" w:rsidRDefault="00C331B9" w:rsidP="00C331B9">
      <w:pPr>
        <w:pStyle w:val="CTENumeracion"/>
        <w:ind w:left="340" w:hanging="340"/>
        <w:rPr>
          <w:rFonts w:cs="Arial"/>
          <w:sz w:val="22"/>
          <w:szCs w:val="22"/>
        </w:rPr>
      </w:pPr>
    </w:p>
    <w:p w14:paraId="2E63C16E" w14:textId="4005C044" w:rsidR="008242B3" w:rsidRPr="00937C8B" w:rsidRDefault="00C331B9" w:rsidP="00C331B9">
      <w:pPr>
        <w:pStyle w:val="CTENumeracion"/>
        <w:spacing w:before="120"/>
        <w:rPr>
          <w:rFonts w:cs="Arial"/>
          <w:sz w:val="22"/>
          <w:szCs w:val="22"/>
        </w:rPr>
      </w:pPr>
      <w:r>
        <w:rPr>
          <w:sz w:val="22"/>
          <w:szCs w:val="22"/>
        </w:rPr>
        <w:t>3</w:t>
      </w:r>
      <w:r>
        <w:rPr>
          <w:sz w:val="22"/>
          <w:szCs w:val="22"/>
        </w:rPr>
        <w:tab/>
        <w:t>D</w:t>
      </w:r>
      <w:r w:rsidR="00EA7588">
        <w:rPr>
          <w:sz w:val="22"/>
          <w:szCs w:val="22"/>
        </w:rPr>
        <w:t>’</w:t>
      </w:r>
      <w:r>
        <w:rPr>
          <w:sz w:val="22"/>
          <w:szCs w:val="22"/>
        </w:rPr>
        <w:t>autres températures de l</w:t>
      </w:r>
      <w:r w:rsidR="00EA7588">
        <w:rPr>
          <w:sz w:val="22"/>
          <w:szCs w:val="22"/>
        </w:rPr>
        <w:t>’</w:t>
      </w:r>
      <w:r>
        <w:rPr>
          <w:sz w:val="22"/>
          <w:szCs w:val="22"/>
        </w:rPr>
        <w:t>eau du réseau, collectées par des sources reconnues, peuvent être utilisées à la place des valeurs indiquées dans le tableau a de l</w:t>
      </w:r>
      <w:r w:rsidR="00EA7588">
        <w:rPr>
          <w:sz w:val="22"/>
          <w:szCs w:val="22"/>
        </w:rPr>
        <w:t>’</w:t>
      </w:r>
      <w:r>
        <w:rPr>
          <w:sz w:val="22"/>
          <w:szCs w:val="22"/>
        </w:rPr>
        <w:t>annexe G.</w:t>
      </w:r>
    </w:p>
    <w:p w14:paraId="44005F05" w14:textId="77777777" w:rsidR="009346E1" w:rsidRPr="00937C8B" w:rsidRDefault="009346E1" w:rsidP="0084739B">
      <w:pPr>
        <w:pStyle w:val="CteTtuloSeccion"/>
        <w:pageBreakBefore/>
        <w:rPr>
          <w:rFonts w:cs="Arial"/>
        </w:rPr>
      </w:pPr>
      <w:bookmarkStart w:id="293" w:name="_Toc39157984"/>
      <w:bookmarkStart w:id="294" w:name="_Toc39158150"/>
      <w:r>
        <w:rPr>
          <w:color w:val="auto"/>
        </w:rPr>
        <w:lastRenderedPageBreak/>
        <w:t>Annexe H</w:t>
      </w:r>
      <w:r>
        <w:rPr>
          <w:color w:val="auto"/>
        </w:rPr>
        <w:tab/>
        <w:t>Détermination de la perméabilité à l’air du bâtiment</w:t>
      </w:r>
      <w:bookmarkEnd w:id="293"/>
      <w:bookmarkEnd w:id="294"/>
    </w:p>
    <w:p w14:paraId="5D4A1649" w14:textId="77777777" w:rsidR="00AA28BA" w:rsidRPr="00786EBA" w:rsidRDefault="00AA28BA" w:rsidP="00786EBA">
      <w:pPr>
        <w:spacing w:before="240" w:after="120"/>
        <w:rPr>
          <w:rFonts w:ascii="Arial" w:hAnsi="Arial" w:cs="Arial"/>
          <w:b/>
          <w:sz w:val="28"/>
          <w:szCs w:val="28"/>
        </w:rPr>
      </w:pPr>
      <w:bookmarkStart w:id="295" w:name="_Toc530395140"/>
      <w:bookmarkStart w:id="296" w:name="_Toc530395315"/>
      <w:bookmarkStart w:id="297" w:name="_Toc530396100"/>
      <w:bookmarkStart w:id="298" w:name="_Toc530396194"/>
      <w:bookmarkStart w:id="299" w:name="_Toc39157985"/>
      <w:bookmarkStart w:id="300" w:name="_Toc39158151"/>
      <w:r>
        <w:rPr>
          <w:rFonts w:ascii="Arial" w:hAnsi="Arial"/>
          <w:b/>
          <w:sz w:val="28"/>
          <w:szCs w:val="28"/>
        </w:rPr>
        <w:t>1</w:t>
      </w:r>
      <w:r>
        <w:rPr>
          <w:rFonts w:ascii="Arial" w:hAnsi="Arial"/>
          <w:b/>
          <w:sz w:val="28"/>
          <w:szCs w:val="28"/>
        </w:rPr>
        <w:tab/>
        <w:t>Détermination par test</w:t>
      </w:r>
      <w:bookmarkEnd w:id="295"/>
      <w:bookmarkEnd w:id="296"/>
      <w:bookmarkEnd w:id="297"/>
      <w:bookmarkEnd w:id="298"/>
      <w:bookmarkEnd w:id="299"/>
      <w:bookmarkEnd w:id="300"/>
    </w:p>
    <w:p w14:paraId="7E45D5B1" w14:textId="6443AE90" w:rsidR="00AA28BA" w:rsidRPr="00937C8B" w:rsidRDefault="00AA28BA" w:rsidP="009346E1">
      <w:pPr>
        <w:ind w:left="426" w:hanging="426"/>
        <w:jc w:val="both"/>
        <w:rPr>
          <w:rFonts w:ascii="Arial" w:hAnsi="Arial" w:cs="Arial"/>
          <w:sz w:val="22"/>
          <w:szCs w:val="22"/>
        </w:rPr>
      </w:pPr>
      <w:r>
        <w:rPr>
          <w:rFonts w:ascii="Arial" w:hAnsi="Arial"/>
          <w:sz w:val="22"/>
          <w:szCs w:val="22"/>
        </w:rPr>
        <w:t>1</w:t>
      </w:r>
      <w:r>
        <w:rPr>
          <w:rFonts w:ascii="Arial" w:hAnsi="Arial"/>
          <w:sz w:val="22"/>
          <w:szCs w:val="22"/>
        </w:rPr>
        <w:tab/>
        <w:t xml:space="preserve">La valeur du </w:t>
      </w:r>
      <w:r>
        <w:rPr>
          <w:rFonts w:ascii="Arial" w:hAnsi="Arial"/>
          <w:i/>
          <w:iCs/>
          <w:sz w:val="22"/>
          <w:szCs w:val="22"/>
        </w:rPr>
        <w:t>taux de renouvellement d</w:t>
      </w:r>
      <w:r w:rsidR="00EA7588">
        <w:rPr>
          <w:rFonts w:ascii="Arial" w:hAnsi="Arial"/>
          <w:i/>
          <w:iCs/>
          <w:sz w:val="22"/>
          <w:szCs w:val="22"/>
        </w:rPr>
        <w:t>’</w:t>
      </w:r>
      <w:r>
        <w:rPr>
          <w:rFonts w:ascii="Arial" w:hAnsi="Arial"/>
          <w:i/>
          <w:iCs/>
          <w:sz w:val="22"/>
          <w:szCs w:val="22"/>
        </w:rPr>
        <w:t>air</w:t>
      </w:r>
      <w:r>
        <w:rPr>
          <w:rFonts w:ascii="Arial" w:hAnsi="Arial"/>
          <w:sz w:val="22"/>
          <w:szCs w:val="22"/>
        </w:rPr>
        <w:t xml:space="preserve"> à 50 Pa, n</w:t>
      </w:r>
      <w:r>
        <w:rPr>
          <w:rFonts w:ascii="Arial" w:hAnsi="Arial"/>
          <w:sz w:val="22"/>
          <w:szCs w:val="22"/>
          <w:vertAlign w:val="subscript"/>
        </w:rPr>
        <w:t>50</w:t>
      </w:r>
      <w:r>
        <w:rPr>
          <w:rFonts w:ascii="Arial" w:hAnsi="Arial"/>
          <w:sz w:val="22"/>
          <w:szCs w:val="22"/>
        </w:rPr>
        <w:t>, peut être obtenue au moyen d</w:t>
      </w:r>
      <w:r w:rsidR="00EA7588">
        <w:rPr>
          <w:rFonts w:ascii="Arial" w:hAnsi="Arial"/>
          <w:sz w:val="22"/>
          <w:szCs w:val="22"/>
        </w:rPr>
        <w:t>’</w:t>
      </w:r>
      <w:r>
        <w:rPr>
          <w:rFonts w:ascii="Arial" w:hAnsi="Arial"/>
          <w:sz w:val="22"/>
          <w:szCs w:val="22"/>
        </w:rPr>
        <w:t xml:space="preserve">un test effectué selon la méthode B de la norme UNE-EN 13829:2002 </w:t>
      </w:r>
      <w:r>
        <w:rPr>
          <w:rFonts w:ascii="Arial" w:hAnsi="Arial"/>
          <w:i/>
          <w:iCs/>
          <w:sz w:val="22"/>
          <w:szCs w:val="22"/>
        </w:rPr>
        <w:t>Détermination de la perméabilité à l</w:t>
      </w:r>
      <w:r w:rsidR="00EA7588">
        <w:rPr>
          <w:rFonts w:ascii="Arial" w:hAnsi="Arial"/>
          <w:i/>
          <w:iCs/>
          <w:sz w:val="22"/>
          <w:szCs w:val="22"/>
        </w:rPr>
        <w:t>’</w:t>
      </w:r>
      <w:r>
        <w:rPr>
          <w:rFonts w:ascii="Arial" w:hAnsi="Arial"/>
          <w:i/>
          <w:iCs/>
          <w:sz w:val="22"/>
          <w:szCs w:val="22"/>
        </w:rPr>
        <w:t>air des bâtiments -</w:t>
      </w:r>
      <w:r>
        <w:rPr>
          <w:rFonts w:ascii="Arial" w:hAnsi="Arial"/>
          <w:i/>
          <w:sz w:val="22"/>
          <w:szCs w:val="22"/>
        </w:rPr>
        <w:t xml:space="preserve"> </w:t>
      </w:r>
      <w:r>
        <w:rPr>
          <w:rFonts w:ascii="Arial" w:hAnsi="Arial"/>
          <w:i/>
          <w:iCs/>
          <w:sz w:val="22"/>
          <w:szCs w:val="22"/>
        </w:rPr>
        <w:t>Méthode de pressurisation par ventilateur.</w:t>
      </w:r>
    </w:p>
    <w:p w14:paraId="5823EC13" w14:textId="77777777" w:rsidR="00AA28BA" w:rsidRPr="00786EBA" w:rsidRDefault="00AA28BA" w:rsidP="00786EBA">
      <w:pPr>
        <w:spacing w:before="240" w:after="120"/>
        <w:rPr>
          <w:rFonts w:ascii="Arial" w:hAnsi="Arial" w:cs="Arial"/>
          <w:b/>
          <w:sz w:val="28"/>
          <w:szCs w:val="28"/>
        </w:rPr>
      </w:pPr>
      <w:bookmarkStart w:id="301" w:name="_Toc530395141"/>
      <w:bookmarkStart w:id="302" w:name="_Toc530395316"/>
      <w:bookmarkStart w:id="303" w:name="_Toc530396101"/>
      <w:bookmarkStart w:id="304" w:name="_Toc530396195"/>
      <w:bookmarkStart w:id="305" w:name="_Toc39157986"/>
      <w:bookmarkStart w:id="306" w:name="_Toc39158152"/>
      <w:r>
        <w:rPr>
          <w:rFonts w:ascii="Arial" w:hAnsi="Arial"/>
          <w:b/>
          <w:sz w:val="28"/>
          <w:szCs w:val="28"/>
        </w:rPr>
        <w:t>2</w:t>
      </w:r>
      <w:r>
        <w:rPr>
          <w:rFonts w:ascii="Arial" w:hAnsi="Arial"/>
          <w:b/>
          <w:sz w:val="28"/>
          <w:szCs w:val="28"/>
        </w:rPr>
        <w:tab/>
        <w:t>Détermination par des valeurs de référence</w:t>
      </w:r>
      <w:bookmarkEnd w:id="301"/>
      <w:bookmarkEnd w:id="302"/>
      <w:bookmarkEnd w:id="303"/>
      <w:bookmarkEnd w:id="304"/>
      <w:bookmarkEnd w:id="305"/>
      <w:bookmarkEnd w:id="306"/>
    </w:p>
    <w:p w14:paraId="752469A5" w14:textId="19F48AA1" w:rsidR="00AA28BA" w:rsidRPr="00937C8B" w:rsidRDefault="00AA28BA" w:rsidP="009346E1">
      <w:pPr>
        <w:ind w:left="426" w:hanging="426"/>
        <w:jc w:val="both"/>
        <w:rPr>
          <w:rFonts w:ascii="Arial" w:hAnsi="Arial" w:cs="Arial"/>
          <w:sz w:val="22"/>
          <w:szCs w:val="22"/>
        </w:rPr>
      </w:pPr>
      <w:r>
        <w:rPr>
          <w:rFonts w:ascii="Arial" w:hAnsi="Arial"/>
        </w:rPr>
        <w:t>2</w:t>
      </w:r>
      <w:r>
        <w:rPr>
          <w:rFonts w:ascii="Arial" w:hAnsi="Arial"/>
        </w:rPr>
        <w:tab/>
        <w:t xml:space="preserve">La valeur du </w:t>
      </w:r>
      <w:r>
        <w:rPr>
          <w:rFonts w:ascii="Arial" w:hAnsi="Arial"/>
          <w:i/>
          <w:iCs/>
        </w:rPr>
        <w:t>taux de renouvellement d</w:t>
      </w:r>
      <w:r w:rsidR="00EA7588">
        <w:rPr>
          <w:rFonts w:ascii="Arial" w:hAnsi="Arial"/>
          <w:i/>
          <w:iCs/>
        </w:rPr>
        <w:t>’</w:t>
      </w:r>
      <w:r>
        <w:rPr>
          <w:rFonts w:ascii="Arial" w:hAnsi="Arial"/>
          <w:i/>
          <w:iCs/>
        </w:rPr>
        <w:t>air</w:t>
      </w:r>
      <w:r>
        <w:rPr>
          <w:rFonts w:ascii="Arial" w:hAnsi="Arial"/>
        </w:rPr>
        <w:t xml:space="preserve"> à 50 Pa, n</w:t>
      </w:r>
      <w:r>
        <w:rPr>
          <w:rFonts w:ascii="Arial" w:hAnsi="Arial"/>
          <w:vertAlign w:val="subscript"/>
        </w:rPr>
        <w:t>50</w:t>
      </w:r>
      <w:r>
        <w:rPr>
          <w:rFonts w:ascii="Arial" w:hAnsi="Arial"/>
        </w:rPr>
        <w:t>, peut être calculée à partir de la formule suivante:</w:t>
      </w:r>
    </w:p>
    <w:p w14:paraId="10F5C97E" w14:textId="77777777" w:rsidR="00AA28BA" w:rsidRPr="00937C8B" w:rsidRDefault="00AA28BA" w:rsidP="00AA28BA">
      <w:pPr>
        <w:rPr>
          <w:rFonts w:ascii="Arial" w:hAnsi="Arial" w:cs="Arial"/>
          <w:sz w:val="22"/>
          <w:szCs w:val="22"/>
        </w:rPr>
      </w:pPr>
    </w:p>
    <w:p w14:paraId="403FA5A3" w14:textId="77F16975" w:rsidR="00AA28BA" w:rsidRPr="00E93486" w:rsidRDefault="00AA28BA" w:rsidP="005F61FB">
      <w:pPr>
        <w:jc w:val="center"/>
        <w:rPr>
          <w:rFonts w:ascii="Arial" w:hAnsi="Arial" w:cs="Arial"/>
          <w:sz w:val="22"/>
          <w:szCs w:val="22"/>
          <w:lang w:val="en-US"/>
        </w:rPr>
      </w:pPr>
      <w:r w:rsidRPr="00E93486">
        <w:rPr>
          <w:rFonts w:ascii="Arial" w:hAnsi="Arial"/>
          <w:sz w:val="22"/>
          <w:szCs w:val="22"/>
          <w:lang w:val="en-US"/>
        </w:rPr>
        <w:t>n</w:t>
      </w:r>
      <w:r w:rsidRPr="00E93486">
        <w:rPr>
          <w:rFonts w:ascii="Arial" w:hAnsi="Arial"/>
          <w:sz w:val="22"/>
          <w:szCs w:val="22"/>
          <w:vertAlign w:val="subscript"/>
          <w:lang w:val="en-US"/>
        </w:rPr>
        <w:t>50</w:t>
      </w:r>
      <w:r w:rsidRPr="00E93486">
        <w:rPr>
          <w:rFonts w:ascii="Arial" w:hAnsi="Arial"/>
          <w:sz w:val="22"/>
          <w:szCs w:val="22"/>
          <w:lang w:val="en-US"/>
        </w:rPr>
        <w:t xml:space="preserve"> = 0,629 · (C</w:t>
      </w:r>
      <w:r w:rsidRPr="00E93486">
        <w:rPr>
          <w:rFonts w:ascii="Arial" w:hAnsi="Arial"/>
          <w:sz w:val="22"/>
          <w:szCs w:val="22"/>
          <w:vertAlign w:val="subscript"/>
          <w:lang w:val="en-US"/>
        </w:rPr>
        <w:t>o</w:t>
      </w:r>
      <w:r w:rsidRPr="00E93486">
        <w:rPr>
          <w:rFonts w:ascii="Arial" w:hAnsi="Arial"/>
          <w:sz w:val="22"/>
          <w:szCs w:val="22"/>
          <w:lang w:val="en-US"/>
        </w:rPr>
        <w:t xml:space="preserve"> · A</w:t>
      </w:r>
      <w:r w:rsidRPr="00E93486">
        <w:rPr>
          <w:rFonts w:ascii="Arial" w:hAnsi="Arial"/>
          <w:sz w:val="22"/>
          <w:szCs w:val="22"/>
          <w:vertAlign w:val="subscript"/>
          <w:lang w:val="en-US"/>
        </w:rPr>
        <w:t>o</w:t>
      </w:r>
      <w:r w:rsidRPr="00E93486">
        <w:rPr>
          <w:rFonts w:ascii="Arial" w:hAnsi="Arial"/>
          <w:sz w:val="22"/>
          <w:szCs w:val="22"/>
          <w:lang w:val="en-US"/>
        </w:rPr>
        <w:t xml:space="preserve"> + C</w:t>
      </w:r>
      <w:r w:rsidRPr="00E93486">
        <w:rPr>
          <w:rFonts w:ascii="Arial" w:hAnsi="Arial"/>
          <w:sz w:val="22"/>
          <w:szCs w:val="22"/>
          <w:vertAlign w:val="subscript"/>
          <w:lang w:val="en-US"/>
        </w:rPr>
        <w:t>h</w:t>
      </w:r>
      <w:r w:rsidRPr="00E93486">
        <w:rPr>
          <w:rFonts w:ascii="Arial" w:hAnsi="Arial"/>
          <w:sz w:val="22"/>
          <w:szCs w:val="22"/>
          <w:lang w:val="en-US"/>
        </w:rPr>
        <w:t xml:space="preserve"> · A</w:t>
      </w:r>
      <w:r w:rsidRPr="00E93486">
        <w:rPr>
          <w:rFonts w:ascii="Arial" w:hAnsi="Arial"/>
          <w:sz w:val="22"/>
          <w:szCs w:val="22"/>
          <w:vertAlign w:val="subscript"/>
          <w:lang w:val="en-US"/>
        </w:rPr>
        <w:t>h</w:t>
      </w:r>
      <w:r w:rsidRPr="00E93486">
        <w:rPr>
          <w:rFonts w:ascii="Arial" w:hAnsi="Arial"/>
          <w:sz w:val="22"/>
          <w:szCs w:val="22"/>
          <w:lang w:val="en-US"/>
        </w:rPr>
        <w:t>)</w:t>
      </w:r>
      <w:r w:rsidR="00EA7588">
        <w:rPr>
          <w:rFonts w:ascii="Arial" w:hAnsi="Arial"/>
          <w:sz w:val="22"/>
          <w:szCs w:val="22"/>
          <w:lang w:val="en-US"/>
        </w:rPr>
        <w:t>/</w:t>
      </w:r>
      <w:r w:rsidRPr="00E93486">
        <w:rPr>
          <w:rFonts w:ascii="Arial" w:hAnsi="Arial"/>
          <w:sz w:val="22"/>
          <w:szCs w:val="22"/>
          <w:lang w:val="en-US"/>
        </w:rPr>
        <w:t>V</w:t>
      </w:r>
    </w:p>
    <w:p w14:paraId="64C24743" w14:textId="77777777" w:rsidR="00AA28BA" w:rsidRPr="00937C8B" w:rsidRDefault="00AA28BA" w:rsidP="00AA28BA">
      <w:pPr>
        <w:rPr>
          <w:rFonts w:ascii="Arial" w:hAnsi="Arial" w:cs="Arial"/>
          <w:sz w:val="22"/>
          <w:szCs w:val="22"/>
          <w:lang w:val="pt-PT"/>
        </w:rPr>
      </w:pPr>
    </w:p>
    <w:p w14:paraId="0C34C882" w14:textId="77777777" w:rsidR="00AA28BA" w:rsidRPr="00E93486" w:rsidRDefault="00AA28BA" w:rsidP="009346E1">
      <w:pPr>
        <w:ind w:left="426"/>
        <w:rPr>
          <w:rFonts w:ascii="Arial" w:hAnsi="Arial" w:cs="Arial"/>
          <w:sz w:val="22"/>
          <w:szCs w:val="22"/>
          <w:lang w:val="en-US"/>
        </w:rPr>
      </w:pPr>
      <w:r w:rsidRPr="00E93486">
        <w:rPr>
          <w:rFonts w:ascii="Arial" w:hAnsi="Arial"/>
          <w:sz w:val="22"/>
          <w:szCs w:val="22"/>
          <w:lang w:val="en-US"/>
        </w:rPr>
        <w:t>où:</w:t>
      </w:r>
    </w:p>
    <w:p w14:paraId="5FFCDDAB" w14:textId="77777777" w:rsidR="009346E1" w:rsidRPr="00937C8B" w:rsidRDefault="009346E1" w:rsidP="009346E1">
      <w:pPr>
        <w:ind w:left="426"/>
        <w:rPr>
          <w:rFonts w:ascii="Arial" w:hAnsi="Arial" w:cs="Arial"/>
          <w:sz w:val="22"/>
          <w:szCs w:val="22"/>
          <w:lang w:val="pt-PT"/>
        </w:rPr>
      </w:pPr>
    </w:p>
    <w:p w14:paraId="02D0DD0A" w14:textId="77777777" w:rsidR="00AA28BA" w:rsidRPr="00937C8B" w:rsidRDefault="00AA28BA" w:rsidP="00935676">
      <w:pPr>
        <w:tabs>
          <w:tab w:val="left" w:pos="720"/>
        </w:tabs>
        <w:ind w:left="1440" w:hanging="720"/>
        <w:jc w:val="both"/>
        <w:rPr>
          <w:rFonts w:ascii="Arial" w:hAnsi="Arial" w:cs="Arial"/>
          <w:sz w:val="22"/>
          <w:szCs w:val="22"/>
        </w:rPr>
      </w:pPr>
      <w:r>
        <w:rPr>
          <w:rFonts w:ascii="Arial" w:hAnsi="Arial"/>
          <w:sz w:val="22"/>
          <w:szCs w:val="22"/>
        </w:rPr>
        <w:t>n</w:t>
      </w:r>
      <w:r>
        <w:rPr>
          <w:rFonts w:ascii="Arial" w:hAnsi="Arial"/>
          <w:sz w:val="22"/>
          <w:szCs w:val="22"/>
          <w:vertAlign w:val="subscript"/>
        </w:rPr>
        <w:t>50</w:t>
      </w:r>
      <w:r>
        <w:rPr>
          <w:rFonts w:ascii="Arial" w:hAnsi="Arial"/>
          <w:sz w:val="22"/>
          <w:szCs w:val="22"/>
        </w:rPr>
        <w:tab/>
        <w:t>est la valeur du</w:t>
      </w:r>
      <w:r>
        <w:rPr>
          <w:rFonts w:ascii="Arial" w:hAnsi="Arial"/>
          <w:i/>
          <w:iCs/>
          <w:sz w:val="22"/>
          <w:szCs w:val="22"/>
        </w:rPr>
        <w:t xml:space="preserve"> taux de renouvellement d’air</w:t>
      </w:r>
      <w:r>
        <w:rPr>
          <w:rFonts w:ascii="Arial" w:hAnsi="Arial"/>
          <w:sz w:val="22"/>
          <w:szCs w:val="22"/>
        </w:rPr>
        <w:t xml:space="preserve"> à 50Pa;</w:t>
      </w:r>
    </w:p>
    <w:p w14:paraId="21BC7C09" w14:textId="77777777" w:rsidR="00AA28BA" w:rsidRPr="00937C8B" w:rsidRDefault="00AA28BA" w:rsidP="00935676">
      <w:pPr>
        <w:tabs>
          <w:tab w:val="left" w:pos="720"/>
        </w:tabs>
        <w:ind w:left="1440" w:hanging="720"/>
        <w:jc w:val="both"/>
        <w:rPr>
          <w:rFonts w:ascii="Arial" w:hAnsi="Arial" w:cs="Arial"/>
          <w:sz w:val="22"/>
          <w:szCs w:val="22"/>
        </w:rPr>
      </w:pPr>
      <w:r>
        <w:rPr>
          <w:rFonts w:ascii="Arial" w:hAnsi="Arial"/>
          <w:sz w:val="22"/>
          <w:szCs w:val="22"/>
        </w:rPr>
        <w:t>V</w:t>
      </w:r>
      <w:r>
        <w:rPr>
          <w:rFonts w:ascii="Arial" w:hAnsi="Arial"/>
          <w:sz w:val="22"/>
          <w:szCs w:val="22"/>
        </w:rPr>
        <w:tab/>
        <w:t>est le volume interne de l’</w:t>
      </w:r>
      <w:r>
        <w:rPr>
          <w:rFonts w:ascii="Arial" w:hAnsi="Arial"/>
          <w:i/>
          <w:sz w:val="22"/>
          <w:szCs w:val="22"/>
        </w:rPr>
        <w:t>enceinte thermique</w:t>
      </w:r>
      <w:r>
        <w:rPr>
          <w:rFonts w:ascii="Arial" w:hAnsi="Arial"/>
          <w:sz w:val="22"/>
          <w:szCs w:val="22"/>
        </w:rPr>
        <w:t>, en [m</w:t>
      </w:r>
      <w:r>
        <w:rPr>
          <w:rFonts w:ascii="Arial" w:hAnsi="Arial"/>
          <w:sz w:val="22"/>
          <w:szCs w:val="22"/>
          <w:vertAlign w:val="superscript"/>
        </w:rPr>
        <w:t>3</w:t>
      </w:r>
      <w:r>
        <w:rPr>
          <w:rFonts w:ascii="Arial" w:hAnsi="Arial"/>
          <w:sz w:val="22"/>
          <w:szCs w:val="22"/>
        </w:rPr>
        <w:t>];</w:t>
      </w:r>
    </w:p>
    <w:p w14:paraId="56EF2FF9" w14:textId="49E12B27" w:rsidR="00AA28BA" w:rsidRPr="00937C8B" w:rsidRDefault="00AA28BA" w:rsidP="00935676">
      <w:pPr>
        <w:tabs>
          <w:tab w:val="left" w:pos="720"/>
        </w:tabs>
        <w:ind w:left="1440" w:hanging="720"/>
        <w:jc w:val="both"/>
        <w:rPr>
          <w:rFonts w:ascii="Arial" w:hAnsi="Arial" w:cs="Arial"/>
          <w:sz w:val="22"/>
          <w:szCs w:val="22"/>
        </w:rPr>
      </w:pPr>
      <w:r>
        <w:rPr>
          <w:rFonts w:ascii="Arial" w:hAnsi="Arial"/>
          <w:sz w:val="22"/>
          <w:szCs w:val="22"/>
        </w:rPr>
        <w:t>C</w:t>
      </w:r>
      <w:r>
        <w:rPr>
          <w:rFonts w:ascii="Arial" w:hAnsi="Arial"/>
          <w:sz w:val="22"/>
          <w:szCs w:val="22"/>
          <w:vertAlign w:val="subscript"/>
        </w:rPr>
        <w:t>o</w:t>
      </w:r>
      <w:r>
        <w:rPr>
          <w:rFonts w:ascii="Arial" w:hAnsi="Arial"/>
          <w:sz w:val="22"/>
          <w:szCs w:val="22"/>
        </w:rPr>
        <w:tab/>
        <w:t>est le coefficient de débit d</w:t>
      </w:r>
      <w:r w:rsidR="00EA7588">
        <w:rPr>
          <w:rFonts w:ascii="Arial" w:hAnsi="Arial"/>
          <w:sz w:val="22"/>
          <w:szCs w:val="22"/>
        </w:rPr>
        <w:t>’</w:t>
      </w:r>
      <w:r>
        <w:rPr>
          <w:rFonts w:ascii="Arial" w:hAnsi="Arial"/>
          <w:sz w:val="22"/>
          <w:szCs w:val="22"/>
        </w:rPr>
        <w:t>air de la partie opaque de l</w:t>
      </w:r>
      <w:r w:rsidR="00EA7588">
        <w:rPr>
          <w:rFonts w:ascii="Arial" w:hAnsi="Arial"/>
          <w:sz w:val="22"/>
          <w:szCs w:val="22"/>
        </w:rPr>
        <w:t>’</w:t>
      </w:r>
      <w:r>
        <w:rPr>
          <w:rFonts w:ascii="Arial" w:hAnsi="Arial"/>
          <w:i/>
          <w:iCs/>
          <w:sz w:val="22"/>
          <w:szCs w:val="22"/>
        </w:rPr>
        <w:t>enceinte thermique</w:t>
      </w:r>
      <w:r>
        <w:rPr>
          <w:rFonts w:ascii="Arial" w:hAnsi="Arial"/>
          <w:sz w:val="22"/>
          <w:szCs w:val="22"/>
        </w:rPr>
        <w:t>, exprimé à 100 Pa, en [m</w:t>
      </w:r>
      <w:r>
        <w:rPr>
          <w:rFonts w:ascii="Arial" w:hAnsi="Arial"/>
          <w:sz w:val="22"/>
          <w:szCs w:val="22"/>
          <w:vertAlign w:val="superscript"/>
        </w:rPr>
        <w:t>3</w:t>
      </w:r>
      <w:r>
        <w:rPr>
          <w:rFonts w:ascii="Arial" w:hAnsi="Arial"/>
          <w:sz w:val="22"/>
          <w:szCs w:val="22"/>
        </w:rPr>
        <w:t>/hm</w:t>
      </w:r>
      <w:r>
        <w:rPr>
          <w:rFonts w:ascii="Arial" w:hAnsi="Arial"/>
          <w:sz w:val="22"/>
          <w:szCs w:val="22"/>
          <w:vertAlign w:val="superscript"/>
        </w:rPr>
        <w:t>2</w:t>
      </w:r>
      <w:r>
        <w:rPr>
          <w:rFonts w:ascii="Arial" w:hAnsi="Arial"/>
          <w:sz w:val="22"/>
          <w:szCs w:val="22"/>
        </w:rPr>
        <w:t>], déduit du tableau a de l</w:t>
      </w:r>
      <w:r w:rsidR="00EA7588">
        <w:rPr>
          <w:rFonts w:ascii="Arial" w:hAnsi="Arial"/>
          <w:sz w:val="22"/>
          <w:szCs w:val="22"/>
        </w:rPr>
        <w:t>’</w:t>
      </w:r>
      <w:r>
        <w:rPr>
          <w:rFonts w:ascii="Arial" w:hAnsi="Arial"/>
          <w:sz w:val="22"/>
          <w:szCs w:val="22"/>
        </w:rPr>
        <w:t>annexe H;</w:t>
      </w:r>
    </w:p>
    <w:p w14:paraId="311057F9" w14:textId="0D2EEFFC" w:rsidR="00AA28BA" w:rsidRPr="00937C8B" w:rsidRDefault="00AA28BA" w:rsidP="00935676">
      <w:pPr>
        <w:tabs>
          <w:tab w:val="left" w:pos="720"/>
        </w:tabs>
        <w:ind w:left="1440" w:hanging="720"/>
        <w:jc w:val="both"/>
        <w:rPr>
          <w:rFonts w:ascii="Arial" w:hAnsi="Arial" w:cs="Arial"/>
          <w:sz w:val="22"/>
          <w:szCs w:val="22"/>
        </w:rPr>
      </w:pPr>
      <w:r>
        <w:rPr>
          <w:rFonts w:ascii="Arial" w:hAnsi="Arial"/>
          <w:sz w:val="22"/>
          <w:szCs w:val="22"/>
        </w:rPr>
        <w:t>A</w:t>
      </w:r>
      <w:r>
        <w:rPr>
          <w:rFonts w:ascii="Arial" w:hAnsi="Arial"/>
          <w:sz w:val="22"/>
          <w:szCs w:val="22"/>
          <w:vertAlign w:val="subscript"/>
        </w:rPr>
        <w:t>o</w:t>
      </w:r>
      <w:r>
        <w:rPr>
          <w:rFonts w:ascii="Arial" w:hAnsi="Arial"/>
          <w:sz w:val="22"/>
          <w:szCs w:val="22"/>
        </w:rPr>
        <w:tab/>
        <w:t>est la surface de la partie opaque de l</w:t>
      </w:r>
      <w:r w:rsidR="00EA7588">
        <w:rPr>
          <w:rFonts w:ascii="Arial" w:hAnsi="Arial"/>
          <w:sz w:val="22"/>
          <w:szCs w:val="22"/>
        </w:rPr>
        <w:t>’</w:t>
      </w:r>
      <w:r>
        <w:rPr>
          <w:rFonts w:ascii="Arial" w:hAnsi="Arial"/>
          <w:i/>
          <w:iCs/>
          <w:sz w:val="22"/>
          <w:szCs w:val="22"/>
        </w:rPr>
        <w:t>enceinte thermique</w:t>
      </w:r>
      <w:r>
        <w:rPr>
          <w:rFonts w:ascii="Arial" w:hAnsi="Arial"/>
          <w:sz w:val="22"/>
          <w:szCs w:val="22"/>
        </w:rPr>
        <w:t>, en [m</w:t>
      </w:r>
      <w:r>
        <w:rPr>
          <w:rFonts w:ascii="Arial" w:hAnsi="Arial"/>
          <w:sz w:val="22"/>
          <w:szCs w:val="22"/>
          <w:vertAlign w:val="superscript"/>
        </w:rPr>
        <w:t>2</w:t>
      </w:r>
      <w:r>
        <w:rPr>
          <w:rFonts w:ascii="Arial" w:hAnsi="Arial"/>
          <w:sz w:val="22"/>
          <w:szCs w:val="22"/>
        </w:rPr>
        <w:t>];</w:t>
      </w:r>
    </w:p>
    <w:p w14:paraId="5B0BB03D" w14:textId="1D5CD406" w:rsidR="00AA28BA" w:rsidRPr="00937C8B" w:rsidRDefault="00AA28BA" w:rsidP="00935676">
      <w:pPr>
        <w:tabs>
          <w:tab w:val="left" w:pos="720"/>
        </w:tabs>
        <w:ind w:left="1440" w:hanging="720"/>
        <w:jc w:val="both"/>
        <w:rPr>
          <w:rFonts w:ascii="Arial" w:hAnsi="Arial" w:cs="Arial"/>
          <w:sz w:val="22"/>
          <w:szCs w:val="22"/>
        </w:rPr>
      </w:pPr>
      <w:r>
        <w:rPr>
          <w:rFonts w:ascii="Arial" w:hAnsi="Arial"/>
          <w:sz w:val="22"/>
          <w:szCs w:val="22"/>
        </w:rPr>
        <w:t>C</w:t>
      </w:r>
      <w:r>
        <w:rPr>
          <w:rFonts w:ascii="Arial" w:hAnsi="Arial"/>
          <w:sz w:val="22"/>
          <w:szCs w:val="22"/>
          <w:vertAlign w:val="subscript"/>
        </w:rPr>
        <w:t>h</w:t>
      </w:r>
      <w:r>
        <w:rPr>
          <w:rFonts w:ascii="Arial" w:hAnsi="Arial"/>
          <w:sz w:val="22"/>
          <w:szCs w:val="22"/>
        </w:rPr>
        <w:tab/>
        <w:t>est la perméabilité des ouvertures de l</w:t>
      </w:r>
      <w:r w:rsidR="00EA7588">
        <w:rPr>
          <w:rFonts w:ascii="Arial" w:hAnsi="Arial"/>
          <w:sz w:val="22"/>
          <w:szCs w:val="22"/>
        </w:rPr>
        <w:t>’</w:t>
      </w:r>
      <w:r>
        <w:rPr>
          <w:rFonts w:ascii="Arial" w:hAnsi="Arial"/>
          <w:i/>
          <w:iCs/>
          <w:sz w:val="22"/>
          <w:szCs w:val="22"/>
        </w:rPr>
        <w:t>enceinte thermique</w:t>
      </w:r>
      <w:r>
        <w:rPr>
          <w:rFonts w:ascii="Arial" w:hAnsi="Arial"/>
          <w:sz w:val="22"/>
          <w:szCs w:val="22"/>
        </w:rPr>
        <w:t>, exprimée à 100 Pa, en [m</w:t>
      </w:r>
      <w:r>
        <w:rPr>
          <w:rFonts w:ascii="Arial" w:hAnsi="Arial"/>
          <w:sz w:val="22"/>
          <w:szCs w:val="22"/>
          <w:vertAlign w:val="superscript"/>
        </w:rPr>
        <w:t>3</w:t>
      </w:r>
      <w:r>
        <w:rPr>
          <w:rFonts w:ascii="Arial" w:hAnsi="Arial"/>
          <w:sz w:val="22"/>
          <w:szCs w:val="22"/>
        </w:rPr>
        <w:t>/hm</w:t>
      </w:r>
      <w:r>
        <w:rPr>
          <w:rFonts w:ascii="Arial" w:hAnsi="Arial"/>
          <w:sz w:val="22"/>
          <w:szCs w:val="22"/>
          <w:vertAlign w:val="superscript"/>
        </w:rPr>
        <w:t>2</w:t>
      </w:r>
      <w:r>
        <w:rPr>
          <w:rFonts w:ascii="Arial" w:hAnsi="Arial"/>
          <w:sz w:val="22"/>
          <w:szCs w:val="22"/>
        </w:rPr>
        <w:t>], selon sa valeur d</w:t>
      </w:r>
      <w:r w:rsidR="00EA7588">
        <w:rPr>
          <w:rFonts w:ascii="Arial" w:hAnsi="Arial"/>
          <w:sz w:val="22"/>
          <w:szCs w:val="22"/>
        </w:rPr>
        <w:t>’</w:t>
      </w:r>
      <w:r>
        <w:rPr>
          <w:rFonts w:ascii="Arial" w:hAnsi="Arial"/>
          <w:sz w:val="22"/>
          <w:szCs w:val="22"/>
        </w:rPr>
        <w:t>essai;</w:t>
      </w:r>
    </w:p>
    <w:p w14:paraId="6A750A9F" w14:textId="3946A445" w:rsidR="00AA28BA" w:rsidRPr="00937C8B" w:rsidRDefault="00AA28BA" w:rsidP="00935676">
      <w:pPr>
        <w:tabs>
          <w:tab w:val="left" w:pos="720"/>
        </w:tabs>
        <w:ind w:left="1440" w:hanging="720"/>
        <w:jc w:val="both"/>
        <w:rPr>
          <w:rFonts w:ascii="Arial" w:hAnsi="Arial" w:cs="Arial"/>
          <w:sz w:val="22"/>
          <w:szCs w:val="22"/>
        </w:rPr>
      </w:pPr>
      <w:r>
        <w:rPr>
          <w:rFonts w:ascii="Arial" w:hAnsi="Arial"/>
          <w:sz w:val="22"/>
          <w:szCs w:val="22"/>
        </w:rPr>
        <w:t>A‏</w:t>
      </w:r>
      <w:r>
        <w:rPr>
          <w:rFonts w:ascii="Arial" w:hAnsi="Arial"/>
          <w:sz w:val="22"/>
          <w:szCs w:val="22"/>
          <w:vertAlign w:val="subscript"/>
        </w:rPr>
        <w:t>h</w:t>
      </w:r>
      <w:r>
        <w:rPr>
          <w:rFonts w:ascii="Arial" w:hAnsi="Arial"/>
          <w:sz w:val="22"/>
          <w:szCs w:val="22"/>
        </w:rPr>
        <w:tab/>
        <w:t xml:space="preserve">est la surface des </w:t>
      </w:r>
      <w:r>
        <w:rPr>
          <w:rFonts w:ascii="Arial" w:hAnsi="Arial"/>
          <w:i/>
          <w:iCs/>
          <w:sz w:val="22"/>
          <w:szCs w:val="22"/>
        </w:rPr>
        <w:t>ouvertures</w:t>
      </w:r>
      <w:r>
        <w:rPr>
          <w:rFonts w:ascii="Arial" w:hAnsi="Arial"/>
          <w:sz w:val="22"/>
          <w:szCs w:val="22"/>
        </w:rPr>
        <w:t xml:space="preserve"> de l</w:t>
      </w:r>
      <w:r w:rsidR="00EA7588">
        <w:rPr>
          <w:rFonts w:ascii="Arial" w:hAnsi="Arial"/>
          <w:sz w:val="22"/>
          <w:szCs w:val="22"/>
        </w:rPr>
        <w:t>’</w:t>
      </w:r>
      <w:r>
        <w:rPr>
          <w:rFonts w:ascii="Arial" w:hAnsi="Arial"/>
          <w:i/>
          <w:iCs/>
          <w:sz w:val="22"/>
          <w:szCs w:val="22"/>
        </w:rPr>
        <w:t>enceinte thermique</w:t>
      </w:r>
      <w:r>
        <w:rPr>
          <w:rFonts w:ascii="Arial" w:hAnsi="Arial"/>
          <w:sz w:val="22"/>
          <w:szCs w:val="22"/>
        </w:rPr>
        <w:t>, en [m²].</w:t>
      </w:r>
    </w:p>
    <w:p w14:paraId="27255645" w14:textId="69BEE5E6" w:rsidR="00AA28BA" w:rsidRPr="00937C8B" w:rsidRDefault="00AA28BA" w:rsidP="009346E1">
      <w:pPr>
        <w:pStyle w:val="CTEtabla-Titulo"/>
        <w:ind w:left="1560" w:right="1785"/>
      </w:pPr>
      <w:r>
        <w:t>Tableau a-Annexe H. Valeurs de référence du coefficient de débit d</w:t>
      </w:r>
      <w:r w:rsidR="00EA7588">
        <w:t>’</w:t>
      </w:r>
      <w:r>
        <w:t>air pour la partie opaque de l</w:t>
      </w:r>
      <w:r w:rsidR="00EA7588">
        <w:t>’</w:t>
      </w:r>
      <w:r>
        <w:t>enceinte thermique, C</w:t>
      </w:r>
      <w:r>
        <w:rPr>
          <w:vertAlign w:val="subscript"/>
        </w:rPr>
        <w:t>o</w:t>
      </w:r>
      <w:r>
        <w:t xml:space="preserve"> [m</w:t>
      </w:r>
      <w:r>
        <w:rPr>
          <w:vertAlign w:val="superscript"/>
        </w:rPr>
        <w:t>3</w:t>
      </w:r>
      <w:r>
        <w:t>/h·m</w:t>
      </w:r>
      <w:r>
        <w:rPr>
          <w:vertAlign w:val="superscript"/>
        </w:rPr>
        <w:t>2</w:t>
      </w:r>
      <w:r>
        <w:t>] (100 Pa)</w:t>
      </w:r>
    </w:p>
    <w:tbl>
      <w:tblPr>
        <w:tblW w:w="6576" w:type="dxa"/>
        <w:jc w:val="center"/>
        <w:tblBorders>
          <w:insideH w:val="single" w:sz="4" w:space="0" w:color="000000"/>
          <w:insideV w:val="single" w:sz="4" w:space="0" w:color="000000"/>
        </w:tblBorders>
        <w:tblCellMar>
          <w:left w:w="0" w:type="dxa"/>
          <w:bottom w:w="28" w:type="dxa"/>
          <w:right w:w="28" w:type="dxa"/>
        </w:tblCellMar>
        <w:tblLook w:val="04A0" w:firstRow="1" w:lastRow="0" w:firstColumn="1" w:lastColumn="0" w:noHBand="0" w:noVBand="1"/>
      </w:tblPr>
      <w:tblGrid>
        <w:gridCol w:w="4368"/>
        <w:gridCol w:w="2208"/>
      </w:tblGrid>
      <w:tr w:rsidR="00AA28BA" w:rsidRPr="00937C8B" w14:paraId="398DFBA8" w14:textId="77777777" w:rsidTr="00935676">
        <w:trPr>
          <w:jc w:val="center"/>
        </w:trPr>
        <w:tc>
          <w:tcPr>
            <w:tcW w:w="4367" w:type="dxa"/>
            <w:tcBorders>
              <w:bottom w:val="single" w:sz="4" w:space="0" w:color="000000"/>
            </w:tcBorders>
            <w:shd w:val="clear" w:color="auto" w:fill="auto"/>
            <w:vAlign w:val="bottom"/>
          </w:tcPr>
          <w:p w14:paraId="5E6B6D1B" w14:textId="77777777" w:rsidR="00AA28BA" w:rsidRPr="00937C8B" w:rsidRDefault="00AA28BA" w:rsidP="003E38D0">
            <w:pPr>
              <w:pStyle w:val="CTEtabla-texto"/>
              <w:rPr>
                <w:rFonts w:cs="Arial"/>
                <w:b/>
              </w:rPr>
            </w:pPr>
            <w:r>
              <w:rPr>
                <w:b/>
              </w:rPr>
              <w:t>Type de bâtiment</w:t>
            </w:r>
          </w:p>
        </w:tc>
        <w:tc>
          <w:tcPr>
            <w:tcW w:w="2208" w:type="dxa"/>
            <w:tcBorders>
              <w:bottom w:val="single" w:sz="4" w:space="0" w:color="000000"/>
            </w:tcBorders>
            <w:shd w:val="clear" w:color="auto" w:fill="auto"/>
            <w:tcMar>
              <w:right w:w="0" w:type="dxa"/>
            </w:tcMar>
            <w:vAlign w:val="bottom"/>
          </w:tcPr>
          <w:p w14:paraId="5A458F0E" w14:textId="77777777" w:rsidR="00AA28BA" w:rsidRPr="00937C8B" w:rsidRDefault="00AA28BA" w:rsidP="003E38D0">
            <w:pPr>
              <w:pStyle w:val="CTEtabla-texto"/>
              <w:rPr>
                <w:rFonts w:cs="Arial"/>
                <w:b/>
              </w:rPr>
            </w:pPr>
            <w:r>
              <w:rPr>
                <w:b/>
              </w:rPr>
              <w:t>Co</w:t>
            </w:r>
          </w:p>
        </w:tc>
      </w:tr>
      <w:tr w:rsidR="00AA28BA" w:rsidRPr="00937C8B" w14:paraId="2C5DBC08" w14:textId="77777777" w:rsidTr="00935676">
        <w:trPr>
          <w:jc w:val="center"/>
        </w:trPr>
        <w:tc>
          <w:tcPr>
            <w:tcW w:w="4367" w:type="dxa"/>
            <w:tcBorders>
              <w:top w:val="single" w:sz="4" w:space="0" w:color="000000"/>
              <w:bottom w:val="nil"/>
            </w:tcBorders>
            <w:shd w:val="clear" w:color="auto" w:fill="auto"/>
            <w:tcMar>
              <w:bottom w:w="0" w:type="dxa"/>
            </w:tcMar>
            <w:vAlign w:val="bottom"/>
          </w:tcPr>
          <w:p w14:paraId="16FC2145" w14:textId="77777777" w:rsidR="00AA28BA" w:rsidRPr="00937C8B" w:rsidRDefault="00AA28BA" w:rsidP="003E38D0">
            <w:pPr>
              <w:pStyle w:val="CTEtabla-texto"/>
              <w:jc w:val="left"/>
              <w:rPr>
                <w:rFonts w:cs="Arial"/>
              </w:rPr>
            </w:pPr>
            <w:r>
              <w:t>Nouveau ou existant avec une perméabilité améliorée</w:t>
            </w:r>
          </w:p>
        </w:tc>
        <w:tc>
          <w:tcPr>
            <w:tcW w:w="2208" w:type="dxa"/>
            <w:tcBorders>
              <w:top w:val="single" w:sz="4" w:space="0" w:color="000000"/>
              <w:bottom w:val="nil"/>
            </w:tcBorders>
            <w:shd w:val="clear" w:color="auto" w:fill="auto"/>
            <w:tcMar>
              <w:bottom w:w="0" w:type="dxa"/>
              <w:right w:w="0" w:type="dxa"/>
            </w:tcMar>
            <w:vAlign w:val="bottom"/>
          </w:tcPr>
          <w:p w14:paraId="6195013F" w14:textId="77777777" w:rsidR="00AA28BA" w:rsidRPr="00937C8B" w:rsidRDefault="00AA28BA" w:rsidP="003E38D0">
            <w:pPr>
              <w:pStyle w:val="CTEtabla-texto"/>
              <w:rPr>
                <w:rFonts w:cs="Arial"/>
              </w:rPr>
            </w:pPr>
            <w:r>
              <w:t>16</w:t>
            </w:r>
          </w:p>
        </w:tc>
      </w:tr>
      <w:tr w:rsidR="00AA28BA" w:rsidRPr="00937C8B" w14:paraId="5321B92F" w14:textId="77777777" w:rsidTr="00935676">
        <w:trPr>
          <w:jc w:val="center"/>
        </w:trPr>
        <w:tc>
          <w:tcPr>
            <w:tcW w:w="4367" w:type="dxa"/>
            <w:tcBorders>
              <w:top w:val="nil"/>
              <w:bottom w:val="nil"/>
            </w:tcBorders>
            <w:shd w:val="clear" w:color="auto" w:fill="auto"/>
            <w:tcMar>
              <w:bottom w:w="0" w:type="dxa"/>
            </w:tcMar>
            <w:vAlign w:val="bottom"/>
          </w:tcPr>
          <w:p w14:paraId="23035932" w14:textId="77777777" w:rsidR="00AA28BA" w:rsidRPr="00937C8B" w:rsidRDefault="00AA28BA" w:rsidP="003E38D0">
            <w:pPr>
              <w:pStyle w:val="CTEtabla-texto"/>
              <w:jc w:val="left"/>
              <w:rPr>
                <w:rFonts w:cs="Arial"/>
              </w:rPr>
            </w:pPr>
            <w:r>
              <w:t>Existant</w:t>
            </w:r>
          </w:p>
        </w:tc>
        <w:tc>
          <w:tcPr>
            <w:tcW w:w="2208" w:type="dxa"/>
            <w:tcBorders>
              <w:top w:val="nil"/>
              <w:bottom w:val="nil"/>
            </w:tcBorders>
            <w:shd w:val="clear" w:color="auto" w:fill="auto"/>
            <w:tcMar>
              <w:bottom w:w="0" w:type="dxa"/>
              <w:right w:w="0" w:type="dxa"/>
            </w:tcMar>
            <w:vAlign w:val="bottom"/>
          </w:tcPr>
          <w:p w14:paraId="5281A848" w14:textId="77777777" w:rsidR="00AA28BA" w:rsidRPr="00937C8B" w:rsidRDefault="00AA28BA" w:rsidP="003E38D0">
            <w:pPr>
              <w:pStyle w:val="CTEtabla-texto"/>
              <w:rPr>
                <w:rFonts w:cs="Arial"/>
              </w:rPr>
            </w:pPr>
            <w:r>
              <w:t>29</w:t>
            </w:r>
          </w:p>
        </w:tc>
      </w:tr>
      <w:bookmarkEnd w:id="22"/>
    </w:tbl>
    <w:p w14:paraId="4FCA108C" w14:textId="77777777" w:rsidR="00831B50" w:rsidRPr="00937C8B" w:rsidRDefault="00831B50" w:rsidP="00431690">
      <w:pPr>
        <w:pStyle w:val="CTENumeracion"/>
        <w:spacing w:before="120"/>
        <w:jc w:val="center"/>
        <w:rPr>
          <w:rFonts w:cs="Arial"/>
        </w:rPr>
      </w:pPr>
    </w:p>
    <w:p w14:paraId="15E9A7D9" w14:textId="77777777" w:rsidR="00C331B9" w:rsidRPr="00937C8B" w:rsidRDefault="00431690" w:rsidP="0084739B">
      <w:pPr>
        <w:pStyle w:val="CTENumeracion"/>
        <w:pageBreakBefore/>
        <w:spacing w:before="120"/>
        <w:ind w:left="360" w:hanging="360"/>
        <w:jc w:val="center"/>
      </w:pPr>
      <w:r>
        <w:rPr>
          <w:color w:val="000000"/>
          <w:sz w:val="40"/>
          <w:szCs w:val="40"/>
        </w:rPr>
        <w:lastRenderedPageBreak/>
        <w:t>ANNEXE II</w:t>
      </w:r>
    </w:p>
    <w:p w14:paraId="3FD8F345" w14:textId="77777777" w:rsidR="00C331B9" w:rsidRPr="00937C8B" w:rsidRDefault="00C331B9" w:rsidP="006C641F">
      <w:pPr>
        <w:pStyle w:val="CTENumeracion"/>
        <w:spacing w:before="120"/>
      </w:pPr>
    </w:p>
    <w:p w14:paraId="00F963D4" w14:textId="77777777" w:rsidR="00431690" w:rsidRPr="00937C8B" w:rsidRDefault="00431690" w:rsidP="00935676">
      <w:pPr>
        <w:pStyle w:val="CteTtuloSeccion"/>
      </w:pPr>
      <w:bookmarkStart w:id="307" w:name="_Toc39157987"/>
      <w:bookmarkStart w:id="308" w:name="_Toc39158153"/>
      <w:r>
        <w:t>Chapitre HS 6</w:t>
      </w:r>
      <w:r>
        <w:br/>
        <w:t>Protection contre l’</w:t>
      </w:r>
      <w:r>
        <w:rPr>
          <w:i/>
          <w:iCs/>
        </w:rPr>
        <w:t>exposition au radon</w:t>
      </w:r>
      <w:bookmarkEnd w:id="307"/>
      <w:bookmarkEnd w:id="308"/>
    </w:p>
    <w:p w14:paraId="7A77739C" w14:textId="77777777" w:rsidR="00431690" w:rsidRPr="00937C8B" w:rsidRDefault="00431690" w:rsidP="00431690">
      <w:pPr>
        <w:keepNext/>
        <w:tabs>
          <w:tab w:val="left" w:pos="426"/>
        </w:tabs>
        <w:spacing w:before="480" w:after="160"/>
        <w:outlineLvl w:val="0"/>
        <w:rPr>
          <w:rFonts w:ascii="Arial" w:eastAsia="Calibri" w:hAnsi="Arial" w:cs="Arial"/>
          <w:b/>
          <w:bCs/>
          <w:noProof/>
          <w:kern w:val="32"/>
          <w:sz w:val="28"/>
          <w:szCs w:val="28"/>
        </w:rPr>
      </w:pPr>
      <w:bookmarkStart w:id="309" w:name="_Toc4126485"/>
      <w:bookmarkStart w:id="310" w:name="_Toc4230589"/>
      <w:bookmarkStart w:id="311" w:name="_Toc13479273"/>
      <w:bookmarkStart w:id="312" w:name="_Toc19938787"/>
      <w:bookmarkStart w:id="313" w:name="_Toc20895853"/>
      <w:bookmarkStart w:id="314" w:name="_Toc20896046"/>
      <w:bookmarkStart w:id="315" w:name="_Toc20896075"/>
      <w:bookmarkStart w:id="316" w:name="_Toc20896457"/>
      <w:bookmarkStart w:id="317" w:name="_Toc20896638"/>
      <w:bookmarkStart w:id="318" w:name="_Toc20897060"/>
      <w:bookmarkStart w:id="319" w:name="_Toc20897272"/>
      <w:bookmarkStart w:id="320" w:name="_Toc20900255"/>
      <w:bookmarkStart w:id="321" w:name="_Toc21170241"/>
      <w:bookmarkStart w:id="322" w:name="_Toc35922732"/>
      <w:bookmarkStart w:id="323" w:name="_Toc35923370"/>
      <w:bookmarkStart w:id="324" w:name="_Toc42661002"/>
      <w:bookmarkStart w:id="325" w:name="_Toc44391430"/>
      <w:bookmarkStart w:id="326" w:name="_Toc44391523"/>
      <w:bookmarkStart w:id="327" w:name="_Toc305147191"/>
      <w:bookmarkStart w:id="328" w:name="_Toc305154243"/>
      <w:bookmarkStart w:id="329" w:name="_Toc307583280"/>
      <w:bookmarkStart w:id="330" w:name="_Toc307583411"/>
      <w:bookmarkStart w:id="331" w:name="_Toc307584247"/>
      <w:bookmarkStart w:id="332" w:name="_Toc308435811"/>
      <w:bookmarkStart w:id="333" w:name="_Toc308437023"/>
      <w:bookmarkStart w:id="334" w:name="_Toc309985217"/>
      <w:bookmarkStart w:id="335" w:name="_Toc348517944"/>
      <w:bookmarkStart w:id="336" w:name="_Toc39157988"/>
      <w:bookmarkStart w:id="337" w:name="_Toc39158154"/>
      <w:r>
        <w:rPr>
          <w:rFonts w:ascii="Arial" w:hAnsi="Arial"/>
          <w:b/>
          <w:bCs/>
          <w:sz w:val="28"/>
          <w:szCs w:val="28"/>
        </w:rPr>
        <w:t>1</w:t>
      </w:r>
      <w:r>
        <w:rPr>
          <w:rFonts w:ascii="Arial" w:hAnsi="Arial"/>
          <w:b/>
          <w:bCs/>
          <w:sz w:val="28"/>
          <w:szCs w:val="28"/>
        </w:rPr>
        <w:tab/>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rFonts w:ascii="Arial" w:hAnsi="Arial"/>
          <w:b/>
          <w:bCs/>
          <w:sz w:val="28"/>
          <w:szCs w:val="28"/>
        </w:rPr>
        <w:t>Champ d’application</w:t>
      </w:r>
      <w:bookmarkEnd w:id="336"/>
      <w:bookmarkEnd w:id="337"/>
    </w:p>
    <w:p w14:paraId="539B1F55" w14:textId="5581201F" w:rsidR="00431690" w:rsidRPr="00937C8B" w:rsidRDefault="00431690" w:rsidP="00425ADA">
      <w:pPr>
        <w:pStyle w:val="CTENumeracion"/>
        <w:numPr>
          <w:ilvl w:val="0"/>
          <w:numId w:val="27"/>
        </w:numPr>
        <w:tabs>
          <w:tab w:val="clear" w:pos="567"/>
          <w:tab w:val="num" w:pos="426"/>
        </w:tabs>
        <w:suppressAutoHyphens/>
        <w:spacing w:before="0"/>
        <w:ind w:left="426" w:hanging="426"/>
        <w:rPr>
          <w:szCs w:val="20"/>
        </w:rPr>
      </w:pPr>
      <w:bookmarkStart w:id="338" w:name="_Toc4230591"/>
      <w:r>
        <w:t>Ce chapitre concerne les bâtiments situés dans les termes municipaux inclus à l</w:t>
      </w:r>
      <w:r w:rsidR="00EA7588">
        <w:t>’</w:t>
      </w:r>
      <w:r>
        <w:t>annexe B, et s’applique:</w:t>
      </w:r>
    </w:p>
    <w:p w14:paraId="010DE868" w14:textId="77777777" w:rsidR="00431690" w:rsidRPr="00937C8B" w:rsidRDefault="00431690" w:rsidP="00425ADA">
      <w:pPr>
        <w:pStyle w:val="Paragraphedeliste"/>
        <w:numPr>
          <w:ilvl w:val="0"/>
          <w:numId w:val="28"/>
        </w:numPr>
        <w:tabs>
          <w:tab w:val="num" w:pos="851"/>
        </w:tabs>
        <w:autoSpaceDE w:val="0"/>
        <w:autoSpaceDN w:val="0"/>
        <w:adjustRightInd w:val="0"/>
        <w:spacing w:after="60" w:line="240" w:lineRule="auto"/>
        <w:ind w:left="851" w:hanging="426"/>
        <w:rPr>
          <w:rFonts w:ascii="Arial" w:hAnsi="Arial" w:cs="Arial"/>
          <w:sz w:val="20"/>
          <w:szCs w:val="20"/>
        </w:rPr>
      </w:pPr>
      <w:r>
        <w:rPr>
          <w:rFonts w:ascii="Arial" w:hAnsi="Arial"/>
          <w:sz w:val="20"/>
          <w:szCs w:val="20"/>
        </w:rPr>
        <w:t>aux bâtiments de construction neuve;</w:t>
      </w:r>
    </w:p>
    <w:p w14:paraId="0D99A02C" w14:textId="77777777" w:rsidR="00431690" w:rsidRPr="00937C8B" w:rsidRDefault="00431690" w:rsidP="00425ADA">
      <w:pPr>
        <w:pStyle w:val="Paragraphedeliste"/>
        <w:numPr>
          <w:ilvl w:val="0"/>
          <w:numId w:val="28"/>
        </w:numPr>
        <w:tabs>
          <w:tab w:val="num" w:pos="851"/>
        </w:tabs>
        <w:autoSpaceDE w:val="0"/>
        <w:autoSpaceDN w:val="0"/>
        <w:adjustRightInd w:val="0"/>
        <w:spacing w:after="60" w:line="240" w:lineRule="auto"/>
        <w:ind w:left="851" w:hanging="426"/>
        <w:rPr>
          <w:rFonts w:ascii="Arial" w:hAnsi="Arial" w:cs="Arial"/>
          <w:sz w:val="20"/>
          <w:szCs w:val="20"/>
        </w:rPr>
      </w:pPr>
      <w:r>
        <w:rPr>
          <w:rFonts w:ascii="Arial" w:hAnsi="Arial"/>
          <w:sz w:val="20"/>
          <w:szCs w:val="20"/>
        </w:rPr>
        <w:t>dans le cas d’interventions sur des bâtiments existants:</w:t>
      </w:r>
    </w:p>
    <w:p w14:paraId="59A268EA" w14:textId="77777777" w:rsidR="00431690" w:rsidRPr="00937C8B" w:rsidRDefault="00431690" w:rsidP="00425ADA">
      <w:pPr>
        <w:pStyle w:val="CTENumeracion"/>
        <w:numPr>
          <w:ilvl w:val="0"/>
          <w:numId w:val="32"/>
        </w:numPr>
        <w:tabs>
          <w:tab w:val="num" w:pos="1276"/>
        </w:tabs>
        <w:suppressAutoHyphens/>
        <w:spacing w:before="0"/>
        <w:ind w:left="1276" w:hanging="283"/>
        <w:rPr>
          <w:rFonts w:cs="Arial"/>
          <w:szCs w:val="20"/>
        </w:rPr>
      </w:pPr>
      <w:r>
        <w:t>à la partie nouvelle des extensions;</w:t>
      </w:r>
    </w:p>
    <w:p w14:paraId="469FAF70" w14:textId="5C37D5E5" w:rsidR="00431690" w:rsidRPr="00937C8B" w:rsidRDefault="00431690" w:rsidP="00425ADA">
      <w:pPr>
        <w:pStyle w:val="CTENumeracion"/>
        <w:numPr>
          <w:ilvl w:val="0"/>
          <w:numId w:val="32"/>
        </w:numPr>
        <w:suppressAutoHyphens/>
        <w:spacing w:before="0"/>
        <w:ind w:left="1276" w:hanging="283"/>
        <w:rPr>
          <w:rFonts w:cs="Arial"/>
          <w:szCs w:val="20"/>
        </w:rPr>
      </w:pPr>
      <w:r>
        <w:t>si l</w:t>
      </w:r>
      <w:r w:rsidR="00EA7588">
        <w:t>’</w:t>
      </w:r>
      <w:r>
        <w:t>usage est modifié, à l</w:t>
      </w:r>
      <w:r w:rsidR="00EA7588">
        <w:t>’</w:t>
      </w:r>
      <w:r>
        <w:t>ensemble du bâtiment s</w:t>
      </w:r>
      <w:r w:rsidR="00EA7588">
        <w:t>’</w:t>
      </w:r>
      <w:r>
        <w:t>il s</w:t>
      </w:r>
      <w:r w:rsidR="00EA7588">
        <w:t>’</w:t>
      </w:r>
      <w:r>
        <w:t>agit d</w:t>
      </w:r>
      <w:r w:rsidR="00EA7588">
        <w:t>’</w:t>
      </w:r>
      <w:r>
        <w:t>un changement d</w:t>
      </w:r>
      <w:r w:rsidR="00EA7588">
        <w:t>’</w:t>
      </w:r>
      <w:r>
        <w:t>usage caractéristique ou à la zone affectée si la modification ne concerne qu</w:t>
      </w:r>
      <w:r w:rsidR="00EA7588">
        <w:t>’</w:t>
      </w:r>
      <w:r>
        <w:t>une partie d</w:t>
      </w:r>
      <w:r w:rsidR="00EA7588">
        <w:t>’</w:t>
      </w:r>
      <w:r>
        <w:t>un bâtiment ou d</w:t>
      </w:r>
      <w:r w:rsidR="00EA7588">
        <w:t>’</w:t>
      </w:r>
      <w:r>
        <w:t>un établissement;</w:t>
      </w:r>
    </w:p>
    <w:p w14:paraId="771A3659" w14:textId="77777777" w:rsidR="00431690" w:rsidRPr="00937C8B" w:rsidRDefault="00431690" w:rsidP="00425ADA">
      <w:pPr>
        <w:pStyle w:val="CTENumeracion"/>
        <w:numPr>
          <w:ilvl w:val="0"/>
          <w:numId w:val="32"/>
        </w:numPr>
        <w:suppressAutoHyphens/>
        <w:spacing w:before="0"/>
        <w:ind w:left="1276" w:hanging="283"/>
        <w:rPr>
          <w:rFonts w:cs="Arial"/>
          <w:szCs w:val="20"/>
        </w:rPr>
      </w:pPr>
      <w:r>
        <w:t>en cas de travaux de rénovation, à la zone affectée, lorsque des modifications sont apportées pour augmenter la protection contre le radon ou modifier la protection initiale.</w:t>
      </w:r>
    </w:p>
    <w:p w14:paraId="43A3EC4B" w14:textId="77777777" w:rsidR="00431690" w:rsidRPr="00937C8B" w:rsidRDefault="00431690" w:rsidP="00425ADA">
      <w:pPr>
        <w:pStyle w:val="CTENumeracion"/>
        <w:numPr>
          <w:ilvl w:val="0"/>
          <w:numId w:val="27"/>
        </w:numPr>
        <w:tabs>
          <w:tab w:val="clear" w:pos="567"/>
          <w:tab w:val="num" w:pos="426"/>
        </w:tabs>
        <w:suppressAutoHyphens/>
        <w:spacing w:before="0"/>
        <w:rPr>
          <w:szCs w:val="20"/>
        </w:rPr>
      </w:pPr>
      <w:r>
        <w:t>Ce chapitre ne s’applique pas:</w:t>
      </w:r>
    </w:p>
    <w:p w14:paraId="02ACCBBF" w14:textId="77777777" w:rsidR="00431690" w:rsidRPr="00937C8B" w:rsidRDefault="00431690" w:rsidP="00425ADA">
      <w:pPr>
        <w:pStyle w:val="CTENormal"/>
        <w:numPr>
          <w:ilvl w:val="6"/>
          <w:numId w:val="26"/>
        </w:numPr>
        <w:tabs>
          <w:tab w:val="clear" w:pos="723"/>
          <w:tab w:val="num" w:pos="851"/>
        </w:tabs>
        <w:spacing w:before="0" w:after="60"/>
        <w:ind w:left="851" w:hanging="426"/>
        <w:jc w:val="both"/>
        <w:rPr>
          <w:sz w:val="20"/>
          <w:szCs w:val="20"/>
        </w:rPr>
      </w:pPr>
      <w:r>
        <w:rPr>
          <w:sz w:val="20"/>
          <w:szCs w:val="20"/>
        </w:rPr>
        <w:t xml:space="preserve">aux </w:t>
      </w:r>
      <w:r>
        <w:rPr>
          <w:i/>
          <w:iCs/>
          <w:sz w:val="20"/>
          <w:szCs w:val="20"/>
        </w:rPr>
        <w:t>enceintes non habitables</w:t>
      </w:r>
      <w:r>
        <w:rPr>
          <w:sz w:val="20"/>
          <w:szCs w:val="20"/>
        </w:rPr>
        <w:t>, où la permanence est faible;</w:t>
      </w:r>
    </w:p>
    <w:p w14:paraId="3A111157" w14:textId="0708BC50" w:rsidR="00431690" w:rsidRPr="00937C8B" w:rsidRDefault="00431690" w:rsidP="00425ADA">
      <w:pPr>
        <w:pStyle w:val="CTENormal"/>
        <w:numPr>
          <w:ilvl w:val="6"/>
          <w:numId w:val="26"/>
        </w:numPr>
        <w:tabs>
          <w:tab w:val="clear" w:pos="723"/>
          <w:tab w:val="num" w:pos="851"/>
        </w:tabs>
        <w:spacing w:before="0" w:after="60"/>
        <w:ind w:left="851" w:hanging="426"/>
        <w:jc w:val="both"/>
        <w:rPr>
          <w:sz w:val="20"/>
          <w:szCs w:val="20"/>
        </w:rPr>
      </w:pPr>
      <w:r>
        <w:rPr>
          <w:sz w:val="20"/>
          <w:szCs w:val="20"/>
        </w:rPr>
        <w:t xml:space="preserve">aux </w:t>
      </w:r>
      <w:r>
        <w:rPr>
          <w:i/>
          <w:iCs/>
          <w:sz w:val="20"/>
          <w:szCs w:val="20"/>
        </w:rPr>
        <w:t>enceintes habitables</w:t>
      </w:r>
      <w:r>
        <w:rPr>
          <w:sz w:val="20"/>
          <w:szCs w:val="20"/>
        </w:rPr>
        <w:t xml:space="preserve"> effectivement séparées du terrain par des espaces ouverts intermédiaires dont le niveau de ventilation est analogue à celui de l</w:t>
      </w:r>
      <w:r w:rsidR="00EA7588">
        <w:rPr>
          <w:sz w:val="20"/>
          <w:szCs w:val="20"/>
        </w:rPr>
        <w:t>’</w:t>
      </w:r>
      <w:r>
        <w:rPr>
          <w:sz w:val="20"/>
          <w:szCs w:val="20"/>
        </w:rPr>
        <w:t>environnement extérieur.</w:t>
      </w:r>
    </w:p>
    <w:p w14:paraId="3BD2FDDD" w14:textId="5C6D8E72" w:rsidR="00431690" w:rsidRPr="00937C8B" w:rsidRDefault="00431690" w:rsidP="00431690">
      <w:pPr>
        <w:keepNext/>
        <w:tabs>
          <w:tab w:val="left" w:pos="426"/>
        </w:tabs>
        <w:spacing w:before="480" w:after="160"/>
        <w:outlineLvl w:val="0"/>
        <w:rPr>
          <w:rFonts w:ascii="Arial" w:eastAsia="Calibri" w:hAnsi="Arial" w:cs="Arial"/>
          <w:b/>
          <w:bCs/>
          <w:noProof/>
          <w:kern w:val="32"/>
          <w:sz w:val="28"/>
          <w:szCs w:val="28"/>
        </w:rPr>
      </w:pPr>
      <w:bookmarkStart w:id="339" w:name="_Toc39157989"/>
      <w:bookmarkStart w:id="340" w:name="_Toc39158155"/>
      <w:r>
        <w:rPr>
          <w:rFonts w:ascii="Arial" w:hAnsi="Arial"/>
          <w:b/>
          <w:bCs/>
          <w:sz w:val="28"/>
          <w:szCs w:val="28"/>
        </w:rPr>
        <w:t>2</w:t>
      </w:r>
      <w:r>
        <w:rPr>
          <w:rFonts w:ascii="Arial" w:hAnsi="Arial"/>
          <w:b/>
          <w:bCs/>
          <w:sz w:val="28"/>
          <w:szCs w:val="28"/>
        </w:rPr>
        <w:tab/>
        <w:t>Caractérisation et quantification de l</w:t>
      </w:r>
      <w:r w:rsidR="00EA7588">
        <w:rPr>
          <w:rFonts w:ascii="Arial" w:hAnsi="Arial"/>
          <w:b/>
          <w:bCs/>
          <w:sz w:val="28"/>
          <w:szCs w:val="28"/>
        </w:rPr>
        <w:t>’</w:t>
      </w:r>
      <w:r>
        <w:rPr>
          <w:rFonts w:ascii="Arial" w:hAnsi="Arial"/>
          <w:b/>
          <w:bCs/>
          <w:sz w:val="28"/>
          <w:szCs w:val="28"/>
        </w:rPr>
        <w:t>exigence</w:t>
      </w:r>
      <w:bookmarkEnd w:id="339"/>
      <w:bookmarkEnd w:id="340"/>
    </w:p>
    <w:p w14:paraId="2861EE2A" w14:textId="0EE1D2EC" w:rsidR="00431690" w:rsidRPr="00937C8B" w:rsidRDefault="00431690" w:rsidP="00431690">
      <w:pPr>
        <w:pStyle w:val="CTENumeracion"/>
        <w:numPr>
          <w:ilvl w:val="0"/>
          <w:numId w:val="38"/>
        </w:numPr>
        <w:tabs>
          <w:tab w:val="clear" w:pos="567"/>
          <w:tab w:val="num" w:pos="426"/>
        </w:tabs>
        <w:suppressAutoHyphens/>
        <w:spacing w:before="0"/>
        <w:ind w:left="425" w:hanging="425"/>
        <w:rPr>
          <w:szCs w:val="20"/>
        </w:rPr>
      </w:pPr>
      <w:r>
        <w:t>Afin de limiter le risque d</w:t>
      </w:r>
      <w:r w:rsidR="00EA7588">
        <w:t>’</w:t>
      </w:r>
      <w:r>
        <w:t>exposition des utilisateurs à des concentrations inadéquates de radon provenant du sol à l</w:t>
      </w:r>
      <w:r w:rsidR="00EA7588">
        <w:t>’</w:t>
      </w:r>
      <w:r>
        <w:t xml:space="preserve">intérieur des </w:t>
      </w:r>
      <w:r>
        <w:rPr>
          <w:i/>
          <w:iCs/>
        </w:rPr>
        <w:t>enceintes habitables</w:t>
      </w:r>
      <w:r>
        <w:t xml:space="preserve">, un </w:t>
      </w:r>
      <w:r>
        <w:rPr>
          <w:i/>
          <w:iCs/>
        </w:rPr>
        <w:t>niveau de référence</w:t>
      </w:r>
      <w:r>
        <w:t xml:space="preserve"> de 300 Bq/m</w:t>
      </w:r>
      <w:r>
        <w:rPr>
          <w:vertAlign w:val="superscript"/>
        </w:rPr>
        <w:t>3</w:t>
      </w:r>
      <w:r>
        <w:t xml:space="preserve"> est établi pour la </w:t>
      </w:r>
      <w:r>
        <w:rPr>
          <w:i/>
          <w:iCs/>
        </w:rPr>
        <w:t>moyenne annuelle de concentration de radon</w:t>
      </w:r>
      <w:r>
        <w:t xml:space="preserve"> à l</w:t>
      </w:r>
      <w:r w:rsidR="00EA7588">
        <w:t>’</w:t>
      </w:r>
      <w:r>
        <w:t>intérieur de ces derniers.</w:t>
      </w:r>
    </w:p>
    <w:p w14:paraId="4FFA83CB" w14:textId="77777777" w:rsidR="00431690" w:rsidRPr="00937C8B" w:rsidRDefault="00831B50" w:rsidP="00831B50">
      <w:pPr>
        <w:keepNext/>
        <w:tabs>
          <w:tab w:val="left" w:pos="426"/>
        </w:tabs>
        <w:spacing w:before="480" w:after="160"/>
        <w:outlineLvl w:val="0"/>
        <w:rPr>
          <w:rFonts w:ascii="Arial" w:eastAsia="Calibri" w:hAnsi="Arial" w:cs="Arial"/>
          <w:b/>
          <w:bCs/>
          <w:noProof/>
          <w:kern w:val="32"/>
          <w:sz w:val="28"/>
          <w:szCs w:val="28"/>
        </w:rPr>
      </w:pPr>
      <w:bookmarkStart w:id="341" w:name="_Toc39157990"/>
      <w:bookmarkStart w:id="342" w:name="_Toc39158156"/>
      <w:r>
        <w:rPr>
          <w:rFonts w:ascii="Arial" w:hAnsi="Arial"/>
          <w:b/>
          <w:bCs/>
          <w:sz w:val="28"/>
          <w:szCs w:val="28"/>
        </w:rPr>
        <w:t>3</w:t>
      </w:r>
      <w:r>
        <w:rPr>
          <w:rFonts w:ascii="Arial" w:hAnsi="Arial"/>
          <w:b/>
          <w:bCs/>
          <w:sz w:val="28"/>
          <w:szCs w:val="28"/>
        </w:rPr>
        <w:tab/>
        <w:t>Vérification et justification du respect de l’exigence</w:t>
      </w:r>
      <w:bookmarkEnd w:id="341"/>
      <w:bookmarkEnd w:id="342"/>
    </w:p>
    <w:p w14:paraId="589EE7F9" w14:textId="3042EF29" w:rsidR="00431690" w:rsidRPr="00937C8B" w:rsidRDefault="00431690" w:rsidP="00D27646">
      <w:pPr>
        <w:pStyle w:val="CTENumeracion"/>
        <w:keepNext/>
        <w:numPr>
          <w:ilvl w:val="0"/>
          <w:numId w:val="39"/>
        </w:numPr>
        <w:tabs>
          <w:tab w:val="clear" w:pos="567"/>
          <w:tab w:val="num" w:pos="426"/>
        </w:tabs>
        <w:suppressAutoHyphens/>
        <w:spacing w:before="0"/>
        <w:ind w:left="426" w:hanging="426"/>
        <w:rPr>
          <w:szCs w:val="20"/>
        </w:rPr>
      </w:pPr>
      <w:r>
        <w:t xml:space="preserve">Pour vérifier le respect du </w:t>
      </w:r>
      <w:r>
        <w:rPr>
          <w:i/>
          <w:iCs/>
        </w:rPr>
        <w:t>niveau de référence</w:t>
      </w:r>
      <w:r>
        <w:t xml:space="preserve"> dans les bâtiments situés dans les termes municipaux inclus à l</w:t>
      </w:r>
      <w:r w:rsidR="00EA7588">
        <w:t>’</w:t>
      </w:r>
      <w:r>
        <w:t>annexe B, selon la zone à laquelle appartient la commune, les solutions suivantes doivent être mises en œuvre, ou, à défaut, d</w:t>
      </w:r>
      <w:r w:rsidR="00EA7588">
        <w:t>’</w:t>
      </w:r>
      <w:r>
        <w:t>autres solutions qui offrent un niveau de protection analogue ou supérieur:</w:t>
      </w:r>
    </w:p>
    <w:p w14:paraId="63362481" w14:textId="77777777" w:rsidR="00431690" w:rsidRPr="00937C8B" w:rsidRDefault="00431690" w:rsidP="00255D36">
      <w:pPr>
        <w:pStyle w:val="CTENormal"/>
        <w:numPr>
          <w:ilvl w:val="0"/>
          <w:numId w:val="30"/>
        </w:numPr>
        <w:spacing w:before="0" w:after="60"/>
        <w:ind w:left="851" w:hanging="425"/>
        <w:jc w:val="both"/>
        <w:rPr>
          <w:rFonts w:ascii="Calibri" w:eastAsia="Calibri" w:hAnsi="Calibri"/>
          <w:sz w:val="20"/>
          <w:szCs w:val="20"/>
        </w:rPr>
      </w:pPr>
      <w:r>
        <w:rPr>
          <w:sz w:val="20"/>
          <w:szCs w:val="20"/>
        </w:rPr>
        <w:t xml:space="preserve">Dans les communes de la zone I, il convient de prévoir une </w:t>
      </w:r>
      <w:r>
        <w:rPr>
          <w:i/>
          <w:iCs/>
          <w:sz w:val="20"/>
          <w:szCs w:val="20"/>
        </w:rPr>
        <w:t>barrière de protection</w:t>
      </w:r>
      <w:r>
        <w:rPr>
          <w:sz w:val="20"/>
          <w:szCs w:val="20"/>
        </w:rPr>
        <w:t xml:space="preserve">, répondant aux caractéristiques indiquées à l’article 3.1, entre le terrain et les </w:t>
      </w:r>
      <w:r>
        <w:rPr>
          <w:i/>
          <w:iCs/>
          <w:sz w:val="20"/>
          <w:szCs w:val="20"/>
        </w:rPr>
        <w:t>enceintes habitables</w:t>
      </w:r>
      <w:r>
        <w:rPr>
          <w:sz w:val="20"/>
          <w:szCs w:val="20"/>
        </w:rPr>
        <w:t xml:space="preserve"> du bâtiment, afin de limiter le passage des gaz provenant du terrain.</w:t>
      </w:r>
    </w:p>
    <w:p w14:paraId="2F235C08" w14:textId="5A27F024" w:rsidR="00431690" w:rsidRPr="00937C8B" w:rsidRDefault="00431690" w:rsidP="00831B50">
      <w:pPr>
        <w:pStyle w:val="CTENormal"/>
        <w:spacing w:before="0" w:after="60"/>
        <w:ind w:left="851"/>
        <w:jc w:val="both"/>
        <w:rPr>
          <w:rFonts w:eastAsia="Calibri"/>
          <w:sz w:val="20"/>
          <w:szCs w:val="20"/>
        </w:rPr>
      </w:pPr>
      <w:r>
        <w:rPr>
          <w:sz w:val="20"/>
          <w:szCs w:val="20"/>
        </w:rPr>
        <w:t xml:space="preserve">Une autre option est d’aménager une chambre de ventilation entre le terrain et les </w:t>
      </w:r>
      <w:r>
        <w:rPr>
          <w:i/>
          <w:iCs/>
          <w:sz w:val="20"/>
          <w:szCs w:val="20"/>
        </w:rPr>
        <w:t>enceintes habitables</w:t>
      </w:r>
      <w:r>
        <w:rPr>
          <w:sz w:val="20"/>
          <w:szCs w:val="20"/>
        </w:rPr>
        <w:t xml:space="preserve"> du bâtiment afin de limiter l</w:t>
      </w:r>
      <w:r w:rsidR="00EA7588">
        <w:rPr>
          <w:sz w:val="20"/>
          <w:szCs w:val="20"/>
        </w:rPr>
        <w:t>’</w:t>
      </w:r>
      <w:r>
        <w:rPr>
          <w:sz w:val="20"/>
          <w:szCs w:val="20"/>
        </w:rPr>
        <w:t xml:space="preserve">entrée de radon dans ces locaux. Une telle chambre doit être ventilée selon les indications contenues dans l’article 3.2 et séparée des </w:t>
      </w:r>
      <w:r>
        <w:rPr>
          <w:i/>
          <w:iCs/>
          <w:sz w:val="20"/>
          <w:szCs w:val="20"/>
        </w:rPr>
        <w:t>enceintes habitables</w:t>
      </w:r>
      <w:r>
        <w:rPr>
          <w:sz w:val="20"/>
          <w:szCs w:val="20"/>
        </w:rPr>
        <w:t xml:space="preserve"> au moyen d</w:t>
      </w:r>
      <w:r w:rsidR="00EA7588">
        <w:rPr>
          <w:sz w:val="20"/>
          <w:szCs w:val="20"/>
        </w:rPr>
        <w:t>’</w:t>
      </w:r>
      <w:r>
        <w:rPr>
          <w:sz w:val="20"/>
          <w:szCs w:val="20"/>
        </w:rPr>
        <w:t>une cloison sans fissures ni discontinuités entre les éléments et les systèmes de construction susceptibles de permettre le passage du radon.</w:t>
      </w:r>
    </w:p>
    <w:p w14:paraId="7A8E5959" w14:textId="7E4D5F7C" w:rsidR="00431690" w:rsidRPr="00937C8B" w:rsidRDefault="00431690" w:rsidP="00D27646">
      <w:pPr>
        <w:pStyle w:val="CTENormal"/>
        <w:keepNext/>
        <w:numPr>
          <w:ilvl w:val="0"/>
          <w:numId w:val="30"/>
        </w:numPr>
        <w:spacing w:before="0" w:after="60"/>
        <w:ind w:left="709" w:hanging="284"/>
        <w:jc w:val="both"/>
        <w:rPr>
          <w:rFonts w:eastAsia="Calibri"/>
          <w:sz w:val="20"/>
          <w:szCs w:val="20"/>
        </w:rPr>
      </w:pPr>
      <w:r>
        <w:rPr>
          <w:sz w:val="20"/>
          <w:szCs w:val="20"/>
        </w:rPr>
        <w:t xml:space="preserve">Dans les communes de la zone II, il convient de prévoir une </w:t>
      </w:r>
      <w:r>
        <w:rPr>
          <w:i/>
          <w:iCs/>
          <w:sz w:val="20"/>
          <w:szCs w:val="20"/>
        </w:rPr>
        <w:t>barrière de protection</w:t>
      </w:r>
      <w:r>
        <w:rPr>
          <w:sz w:val="20"/>
          <w:szCs w:val="20"/>
        </w:rPr>
        <w:t>, répondant aux caractéristiques indiquées à l’article 3.1, ainsi qu</w:t>
      </w:r>
      <w:r w:rsidR="00EA7588">
        <w:rPr>
          <w:sz w:val="20"/>
          <w:szCs w:val="20"/>
        </w:rPr>
        <w:t>’</w:t>
      </w:r>
      <w:r>
        <w:rPr>
          <w:sz w:val="20"/>
          <w:szCs w:val="20"/>
        </w:rPr>
        <w:t xml:space="preserve">un système supplémentaire sous </w:t>
      </w:r>
      <w:r w:rsidR="00880E3A">
        <w:rPr>
          <w:sz w:val="20"/>
          <w:szCs w:val="20"/>
        </w:rPr>
        <w:t xml:space="preserve">la </w:t>
      </w:r>
      <w:r>
        <w:rPr>
          <w:sz w:val="20"/>
          <w:szCs w:val="20"/>
        </w:rPr>
        <w:t>forme:</w:t>
      </w:r>
    </w:p>
    <w:p w14:paraId="42069F3F" w14:textId="22D64780" w:rsidR="00431690" w:rsidRPr="00937C8B" w:rsidRDefault="00431690" w:rsidP="00425ADA">
      <w:pPr>
        <w:pStyle w:val="CTENormal"/>
        <w:numPr>
          <w:ilvl w:val="0"/>
          <w:numId w:val="37"/>
        </w:numPr>
        <w:tabs>
          <w:tab w:val="left" w:pos="1276"/>
        </w:tabs>
        <w:spacing w:before="0" w:after="60"/>
        <w:ind w:left="1276" w:hanging="283"/>
        <w:jc w:val="both"/>
        <w:rPr>
          <w:rFonts w:eastAsia="Calibri"/>
          <w:sz w:val="20"/>
          <w:szCs w:val="20"/>
        </w:rPr>
      </w:pPr>
      <w:r>
        <w:rPr>
          <w:sz w:val="20"/>
          <w:szCs w:val="20"/>
        </w:rPr>
        <w:t xml:space="preserve">d’un </w:t>
      </w:r>
      <w:r>
        <w:rPr>
          <w:i/>
          <w:iCs/>
          <w:sz w:val="20"/>
          <w:szCs w:val="20"/>
        </w:rPr>
        <w:t>espace de contention ventilé</w:t>
      </w:r>
      <w:r>
        <w:rPr>
          <w:sz w:val="20"/>
          <w:szCs w:val="20"/>
        </w:rPr>
        <w:t xml:space="preserve"> répondant aux caractéristiques indiquées à l’article 3.2, situé entre le terrain et les locaux à protéger, pour limiter l</w:t>
      </w:r>
      <w:r w:rsidR="00EA7588">
        <w:rPr>
          <w:sz w:val="20"/>
          <w:szCs w:val="20"/>
        </w:rPr>
        <w:t>’</w:t>
      </w:r>
      <w:r>
        <w:rPr>
          <w:sz w:val="20"/>
          <w:szCs w:val="20"/>
        </w:rPr>
        <w:t xml:space="preserve">entrée de radon provenant du sol dans les </w:t>
      </w:r>
      <w:r>
        <w:rPr>
          <w:i/>
          <w:iCs/>
          <w:sz w:val="20"/>
          <w:szCs w:val="20"/>
        </w:rPr>
        <w:t>enceintes habitables</w:t>
      </w:r>
      <w:r>
        <w:rPr>
          <w:sz w:val="20"/>
          <w:szCs w:val="20"/>
        </w:rPr>
        <w:t xml:space="preserve"> au moyen d</w:t>
      </w:r>
      <w:r w:rsidR="00EA7588">
        <w:rPr>
          <w:sz w:val="20"/>
          <w:szCs w:val="20"/>
        </w:rPr>
        <w:t>’</w:t>
      </w:r>
      <w:r>
        <w:rPr>
          <w:sz w:val="20"/>
          <w:szCs w:val="20"/>
        </w:rPr>
        <w:t>une ventilation naturelle ou mécanique; ou</w:t>
      </w:r>
    </w:p>
    <w:p w14:paraId="13180DBB" w14:textId="77777777" w:rsidR="00431690" w:rsidRPr="00937C8B" w:rsidRDefault="00431690" w:rsidP="00425ADA">
      <w:pPr>
        <w:pStyle w:val="CTENormal"/>
        <w:numPr>
          <w:ilvl w:val="0"/>
          <w:numId w:val="37"/>
        </w:numPr>
        <w:tabs>
          <w:tab w:val="left" w:pos="1276"/>
        </w:tabs>
        <w:spacing w:before="0" w:after="60"/>
        <w:ind w:left="1276" w:hanging="283"/>
        <w:jc w:val="both"/>
        <w:rPr>
          <w:rFonts w:eastAsia="Calibri"/>
          <w:sz w:val="20"/>
          <w:szCs w:val="20"/>
        </w:rPr>
      </w:pPr>
      <w:r>
        <w:rPr>
          <w:sz w:val="20"/>
          <w:szCs w:val="20"/>
        </w:rPr>
        <w:t xml:space="preserve">d’un système de </w:t>
      </w:r>
      <w:r>
        <w:rPr>
          <w:i/>
          <w:iCs/>
          <w:sz w:val="20"/>
          <w:szCs w:val="20"/>
        </w:rPr>
        <w:t>dépressurisation du terrain</w:t>
      </w:r>
      <w:r>
        <w:rPr>
          <w:sz w:val="20"/>
          <w:szCs w:val="20"/>
        </w:rPr>
        <w:t xml:space="preserve"> répondant aux caractéristiques indiquées à l’article 3.3, pour extraire les gaz contenus dans le terrain adjacent au bâtiment.</w:t>
      </w:r>
    </w:p>
    <w:p w14:paraId="1CD36A3F" w14:textId="595CB073" w:rsidR="00431690" w:rsidRPr="00937C8B" w:rsidRDefault="00431690" w:rsidP="00425ADA">
      <w:pPr>
        <w:pStyle w:val="CTENumeracion"/>
        <w:numPr>
          <w:ilvl w:val="0"/>
          <w:numId w:val="39"/>
        </w:numPr>
        <w:tabs>
          <w:tab w:val="clear" w:pos="567"/>
          <w:tab w:val="num" w:pos="426"/>
        </w:tabs>
        <w:suppressAutoHyphens/>
        <w:spacing w:before="0"/>
        <w:ind w:left="426" w:hanging="426"/>
        <w:rPr>
          <w:szCs w:val="20"/>
        </w:rPr>
      </w:pPr>
      <w:r>
        <w:lastRenderedPageBreak/>
        <w:t xml:space="preserve">Pour les </w:t>
      </w:r>
      <w:r>
        <w:rPr>
          <w:i/>
          <w:iCs/>
        </w:rPr>
        <w:t>enceintes habitables</w:t>
      </w:r>
      <w:r>
        <w:t xml:space="preserve"> situées dans de grandes zones non protégées, tels que les cabines de sécurité dans les garages, il est possible d’envisager la création d</w:t>
      </w:r>
      <w:r w:rsidR="00EA7588">
        <w:t>’</w:t>
      </w:r>
      <w:r>
        <w:t>une surpression à l</w:t>
      </w:r>
      <w:r w:rsidR="00EA7588">
        <w:t>’</w:t>
      </w:r>
      <w:r>
        <w:t>intérieur de l’</w:t>
      </w:r>
      <w:r>
        <w:rPr>
          <w:i/>
          <w:iCs/>
        </w:rPr>
        <w:t>enceinte habitable</w:t>
      </w:r>
      <w:r>
        <w:t xml:space="preserve"> en y introduisant de l</w:t>
      </w:r>
      <w:r w:rsidR="00EA7588">
        <w:t>’</w:t>
      </w:r>
      <w:r>
        <w:t>air extérieur comme solution de protection alternative à celles énoncées ci-dessus.</w:t>
      </w:r>
    </w:p>
    <w:p w14:paraId="759FA5E9" w14:textId="6E13C17B" w:rsidR="00431690" w:rsidRPr="00937C8B" w:rsidRDefault="00431690" w:rsidP="00425ADA">
      <w:pPr>
        <w:pStyle w:val="CTENumeracion"/>
        <w:numPr>
          <w:ilvl w:val="0"/>
          <w:numId w:val="39"/>
        </w:numPr>
        <w:tabs>
          <w:tab w:val="clear" w:pos="567"/>
          <w:tab w:val="num" w:pos="426"/>
        </w:tabs>
        <w:suppressAutoHyphens/>
        <w:spacing w:before="0"/>
        <w:ind w:left="426" w:hanging="426"/>
        <w:rPr>
          <w:szCs w:val="20"/>
        </w:rPr>
      </w:pPr>
      <w:r>
        <w:t>Pour les interventions dans des bâtiments existants, l</w:t>
      </w:r>
      <w:r w:rsidR="00EA7588">
        <w:t>’</w:t>
      </w:r>
      <w:r>
        <w:t>application des solutions ci-dessus peut être ajustée en utilisant des solutions alternatives qui permettent, conjointement, une limitation adéquate de l</w:t>
      </w:r>
      <w:r w:rsidR="00EA7588">
        <w:t>’</w:t>
      </w:r>
      <w:r>
        <w:t xml:space="preserve">entrée de radon. Dans tous les cas, les </w:t>
      </w:r>
      <w:r>
        <w:rPr>
          <w:i/>
          <w:iCs/>
        </w:rPr>
        <w:t>enceintes habitables</w:t>
      </w:r>
      <w:r>
        <w:t xml:space="preserve"> doivent obligatoirement disposer d’un niveau de ventilation intérieure conforme aux réglementations en vigueur en matière de qualité de l</w:t>
      </w:r>
      <w:r w:rsidR="00EA7588">
        <w:t>’</w:t>
      </w:r>
      <w:r>
        <w:t>air.</w:t>
      </w:r>
    </w:p>
    <w:p w14:paraId="08ACD03D" w14:textId="5A36B061" w:rsidR="00431690" w:rsidRPr="00937C8B" w:rsidRDefault="00431690" w:rsidP="00D27646">
      <w:pPr>
        <w:pStyle w:val="CTENumeracion"/>
        <w:keepNext/>
        <w:numPr>
          <w:ilvl w:val="0"/>
          <w:numId w:val="39"/>
        </w:numPr>
        <w:tabs>
          <w:tab w:val="clear" w:pos="567"/>
          <w:tab w:val="num" w:pos="426"/>
        </w:tabs>
        <w:suppressAutoHyphens/>
        <w:spacing w:before="0"/>
        <w:ind w:left="426" w:hanging="426"/>
        <w:rPr>
          <w:szCs w:val="20"/>
        </w:rPr>
      </w:pPr>
      <w:r>
        <w:t>Pour les interventions dans des bâtiments existants pour lesquels des valeurs mesurées et obtenues conformément à l</w:t>
      </w:r>
      <w:r w:rsidR="00EA7588">
        <w:t>’</w:t>
      </w:r>
      <w:r>
        <w:t xml:space="preserve">annexe C de la </w:t>
      </w:r>
      <w:r>
        <w:rPr>
          <w:i/>
          <w:iCs/>
        </w:rPr>
        <w:t>moyenne annuelle de concentration de radon</w:t>
      </w:r>
      <w:r>
        <w:t xml:space="preserve"> sont disponibles, et où l</w:t>
      </w:r>
      <w:r w:rsidR="00EA7588">
        <w:t>’</w:t>
      </w:r>
      <w:r>
        <w:t>une des zones d</w:t>
      </w:r>
      <w:r w:rsidR="00EA7588">
        <w:t>’</w:t>
      </w:r>
      <w:r>
        <w:t xml:space="preserve">échantillonnage établies conformément à ladite annexe dépasse le </w:t>
      </w:r>
      <w:r>
        <w:rPr>
          <w:i/>
          <w:iCs/>
        </w:rPr>
        <w:t>niveau de référence</w:t>
      </w:r>
      <w:r>
        <w:t>, il convient de tenir compte des éléments suivants:</w:t>
      </w:r>
    </w:p>
    <w:p w14:paraId="68BD598C" w14:textId="77777777" w:rsidR="00431690" w:rsidRPr="00937C8B" w:rsidRDefault="00431690" w:rsidP="00425ADA">
      <w:pPr>
        <w:pStyle w:val="CTENormal"/>
        <w:numPr>
          <w:ilvl w:val="1"/>
          <w:numId w:val="39"/>
        </w:numPr>
        <w:tabs>
          <w:tab w:val="clear" w:pos="1134"/>
          <w:tab w:val="num" w:pos="851"/>
        </w:tabs>
        <w:spacing w:before="0" w:after="60"/>
        <w:ind w:left="851" w:hanging="425"/>
        <w:jc w:val="both"/>
        <w:rPr>
          <w:rFonts w:eastAsia="Calibri"/>
          <w:sz w:val="20"/>
          <w:szCs w:val="20"/>
        </w:rPr>
      </w:pPr>
      <w:r>
        <w:rPr>
          <w:sz w:val="20"/>
          <w:szCs w:val="20"/>
        </w:rPr>
        <w:t xml:space="preserve">si certaines valeurs présentées sont comprises entre 1 et 2 fois le </w:t>
      </w:r>
      <w:r>
        <w:rPr>
          <w:i/>
          <w:iCs/>
          <w:sz w:val="20"/>
          <w:szCs w:val="20"/>
        </w:rPr>
        <w:t>niveau de référence</w:t>
      </w:r>
      <w:r>
        <w:rPr>
          <w:sz w:val="20"/>
          <w:szCs w:val="20"/>
        </w:rPr>
        <w:t>, il convient d’adopter les solutions correspondant aux communes de la zone I;</w:t>
      </w:r>
    </w:p>
    <w:p w14:paraId="43214233" w14:textId="77777777" w:rsidR="00431690" w:rsidRPr="00937C8B" w:rsidRDefault="00431690" w:rsidP="00425ADA">
      <w:pPr>
        <w:pStyle w:val="CTENormal"/>
        <w:numPr>
          <w:ilvl w:val="1"/>
          <w:numId w:val="39"/>
        </w:numPr>
        <w:tabs>
          <w:tab w:val="clear" w:pos="1134"/>
          <w:tab w:val="num" w:pos="851"/>
        </w:tabs>
        <w:spacing w:before="0" w:after="60"/>
        <w:ind w:left="851" w:hanging="425"/>
        <w:jc w:val="both"/>
        <w:rPr>
          <w:rFonts w:eastAsia="Calibri"/>
          <w:sz w:val="20"/>
          <w:szCs w:val="20"/>
        </w:rPr>
      </w:pPr>
      <w:r>
        <w:rPr>
          <w:sz w:val="20"/>
          <w:szCs w:val="20"/>
        </w:rPr>
        <w:t xml:space="preserve">si certaines valeurs présentées sont supérieures à 2 fois le </w:t>
      </w:r>
      <w:r>
        <w:rPr>
          <w:i/>
          <w:iCs/>
          <w:sz w:val="20"/>
          <w:szCs w:val="20"/>
        </w:rPr>
        <w:t>niveau de référence</w:t>
      </w:r>
      <w:r>
        <w:rPr>
          <w:sz w:val="20"/>
          <w:szCs w:val="20"/>
        </w:rPr>
        <w:t>, il convient d’adopter les solutions correspondant aux communes de la zone II;</w:t>
      </w:r>
    </w:p>
    <w:p w14:paraId="6DF57F68" w14:textId="77777777" w:rsidR="00431690" w:rsidRPr="00937C8B" w:rsidRDefault="00431690" w:rsidP="00431690">
      <w:pPr>
        <w:pStyle w:val="CteTtulo2"/>
        <w:tabs>
          <w:tab w:val="left" w:pos="454"/>
        </w:tabs>
        <w:spacing w:before="280"/>
        <w:rPr>
          <w:szCs w:val="24"/>
        </w:rPr>
      </w:pPr>
      <w:bookmarkStart w:id="343" w:name="_Toc39157991"/>
      <w:bookmarkStart w:id="344" w:name="_Toc39158157"/>
      <w:r>
        <w:t xml:space="preserve">3.1 </w:t>
      </w:r>
      <w:r>
        <w:rPr>
          <w:i/>
          <w:iCs/>
        </w:rPr>
        <w:t>Barrière de protection</w:t>
      </w:r>
      <w:bookmarkEnd w:id="343"/>
      <w:bookmarkEnd w:id="344"/>
    </w:p>
    <w:p w14:paraId="7E25B3A9" w14:textId="77777777" w:rsidR="00431690" w:rsidRPr="00937C8B" w:rsidRDefault="00431690" w:rsidP="00431690">
      <w:pPr>
        <w:pStyle w:val="Ttulo3CTE"/>
      </w:pPr>
      <w:bookmarkStart w:id="345" w:name="_Toc39157992"/>
      <w:r>
        <w:t>3.1.1 Caractéristiques de la barrière</w:t>
      </w:r>
      <w:bookmarkEnd w:id="345"/>
    </w:p>
    <w:p w14:paraId="076A5668" w14:textId="097B191B" w:rsidR="00431690" w:rsidRPr="00937C8B" w:rsidRDefault="00431690" w:rsidP="00425ADA">
      <w:pPr>
        <w:pStyle w:val="CTENumeracion"/>
        <w:numPr>
          <w:ilvl w:val="0"/>
          <w:numId w:val="63"/>
        </w:numPr>
        <w:tabs>
          <w:tab w:val="clear" w:pos="993"/>
          <w:tab w:val="num" w:pos="426"/>
        </w:tabs>
        <w:suppressAutoHyphens/>
        <w:spacing w:before="0"/>
        <w:ind w:left="426" w:hanging="426"/>
        <w:rPr>
          <w:szCs w:val="20"/>
        </w:rPr>
      </w:pPr>
      <w:r>
        <w:t xml:space="preserve">La </w:t>
      </w:r>
      <w:r>
        <w:rPr>
          <w:i/>
          <w:iCs/>
        </w:rPr>
        <w:t>barrière de protection</w:t>
      </w:r>
      <w:r>
        <w:t xml:space="preserve"> désigne tout élément limitant le passage des gaz provenant du terrain et dont l</w:t>
      </w:r>
      <w:r w:rsidR="00EA7588">
        <w:t>’</w:t>
      </w:r>
      <w:r>
        <w:t>efficacité peut être démontrée.</w:t>
      </w:r>
    </w:p>
    <w:p w14:paraId="15817893" w14:textId="66638909" w:rsidR="00431690" w:rsidRPr="00937C8B" w:rsidRDefault="00431690" w:rsidP="00425ADA">
      <w:pPr>
        <w:pStyle w:val="CTENumeracion"/>
        <w:numPr>
          <w:ilvl w:val="0"/>
          <w:numId w:val="63"/>
        </w:numPr>
        <w:tabs>
          <w:tab w:val="clear" w:pos="993"/>
          <w:tab w:val="num" w:pos="426"/>
        </w:tabs>
        <w:suppressAutoHyphens/>
        <w:spacing w:before="0"/>
        <w:ind w:left="426" w:hanging="426"/>
        <w:rPr>
          <w:szCs w:val="20"/>
        </w:rPr>
      </w:pPr>
      <w:r>
        <w:t xml:space="preserve">Les dimensions de la barrière peuvent se conformer aux critères décrits à l’article 3.1.2. Toutefois, les barrières à lame avec un </w:t>
      </w:r>
      <w:r>
        <w:rPr>
          <w:i/>
          <w:iCs/>
        </w:rPr>
        <w:t>coefficient de diffusion</w:t>
      </w:r>
      <w:r>
        <w:t xml:space="preserve"> du radon inférieur à 10</w:t>
      </w:r>
      <w:r>
        <w:rPr>
          <w:vertAlign w:val="superscript"/>
        </w:rPr>
        <w:t>-11</w:t>
      </w:r>
      <w:r>
        <w:t xml:space="preserve"> m</w:t>
      </w:r>
      <w:r>
        <w:rPr>
          <w:vertAlign w:val="superscript"/>
        </w:rPr>
        <w:t>2</w:t>
      </w:r>
      <w:r>
        <w:t>/s et une épaisseur minimale de 2 mm sont validées (sans faire l</w:t>
      </w:r>
      <w:r w:rsidR="00EA7588">
        <w:t>’</w:t>
      </w:r>
      <w:r>
        <w:t>objet de calcul supplémentaire).</w:t>
      </w:r>
    </w:p>
    <w:p w14:paraId="22FB5A00" w14:textId="77777777" w:rsidR="00431690" w:rsidRPr="00937C8B" w:rsidRDefault="00431690" w:rsidP="00D27646">
      <w:pPr>
        <w:pStyle w:val="CTENumeracion"/>
        <w:keepNext/>
        <w:numPr>
          <w:ilvl w:val="0"/>
          <w:numId w:val="63"/>
        </w:numPr>
        <w:tabs>
          <w:tab w:val="clear" w:pos="993"/>
          <w:tab w:val="num" w:pos="426"/>
        </w:tabs>
        <w:suppressAutoHyphens/>
        <w:spacing w:before="0"/>
        <w:ind w:left="426" w:hanging="426"/>
        <w:rPr>
          <w:szCs w:val="20"/>
        </w:rPr>
      </w:pPr>
      <w:r>
        <w:t xml:space="preserve">La </w:t>
      </w:r>
      <w:r>
        <w:rPr>
          <w:i/>
          <w:iCs/>
        </w:rPr>
        <w:t>barrière de protection</w:t>
      </w:r>
      <w:r>
        <w:t xml:space="preserve"> doit également répondre aux caractéristiques suivantes:</w:t>
      </w:r>
    </w:p>
    <w:p w14:paraId="1FB86720" w14:textId="77777777" w:rsidR="00431690" w:rsidRPr="00937C8B" w:rsidRDefault="00431690" w:rsidP="00425ADA">
      <w:pPr>
        <w:pStyle w:val="CTENormal"/>
        <w:numPr>
          <w:ilvl w:val="0"/>
          <w:numId w:val="31"/>
        </w:numPr>
        <w:spacing w:before="0" w:after="60"/>
        <w:ind w:left="851" w:hanging="425"/>
        <w:jc w:val="both"/>
        <w:rPr>
          <w:rFonts w:eastAsia="Calibri"/>
          <w:sz w:val="20"/>
          <w:szCs w:val="20"/>
        </w:rPr>
      </w:pPr>
      <w:r>
        <w:rPr>
          <w:sz w:val="20"/>
          <w:szCs w:val="20"/>
        </w:rPr>
        <w:t>continuité: joints et jonctions scellés;</w:t>
      </w:r>
    </w:p>
    <w:p w14:paraId="00590827" w14:textId="241C8491" w:rsidR="00431690" w:rsidRPr="00937C8B" w:rsidRDefault="00431690" w:rsidP="00880E3A">
      <w:pPr>
        <w:pStyle w:val="CTENormal"/>
        <w:numPr>
          <w:ilvl w:val="0"/>
          <w:numId w:val="31"/>
        </w:numPr>
        <w:spacing w:before="0" w:after="60"/>
        <w:ind w:left="851" w:hanging="425"/>
        <w:jc w:val="both"/>
        <w:rPr>
          <w:rFonts w:eastAsia="Calibri"/>
          <w:sz w:val="20"/>
          <w:szCs w:val="20"/>
        </w:rPr>
      </w:pPr>
      <w:r>
        <w:rPr>
          <w:sz w:val="20"/>
          <w:szCs w:val="20"/>
        </w:rPr>
        <w:t>hermétisme des jonctions avec les éléments qui l</w:t>
      </w:r>
      <w:r w:rsidR="00EA7588">
        <w:rPr>
          <w:sz w:val="20"/>
          <w:szCs w:val="20"/>
        </w:rPr>
        <w:t>’</w:t>
      </w:r>
      <w:r>
        <w:rPr>
          <w:sz w:val="20"/>
          <w:szCs w:val="20"/>
        </w:rPr>
        <w:t>interrompent, tels que des passages de conductions ou éléments assimilés;</w:t>
      </w:r>
    </w:p>
    <w:p w14:paraId="729A6541" w14:textId="77777777" w:rsidR="00431690" w:rsidRPr="00937C8B" w:rsidRDefault="00431690" w:rsidP="00425ADA">
      <w:pPr>
        <w:pStyle w:val="CTENormal"/>
        <w:numPr>
          <w:ilvl w:val="0"/>
          <w:numId w:val="31"/>
        </w:numPr>
        <w:spacing w:before="0" w:after="60"/>
        <w:ind w:left="851" w:hanging="425"/>
        <w:jc w:val="both"/>
        <w:rPr>
          <w:rFonts w:eastAsia="Calibri"/>
          <w:sz w:val="20"/>
          <w:szCs w:val="20"/>
        </w:rPr>
      </w:pPr>
      <w:r>
        <w:rPr>
          <w:sz w:val="20"/>
          <w:szCs w:val="20"/>
        </w:rPr>
        <w:t>étanchéité et possibilité de fermeture automatique des portes de communication qui interrompent la continuité de la barrière;</w:t>
      </w:r>
    </w:p>
    <w:p w14:paraId="282B6B72" w14:textId="77777777" w:rsidR="00831B50" w:rsidRPr="00937C8B" w:rsidRDefault="00431690" w:rsidP="00831B50">
      <w:pPr>
        <w:pStyle w:val="CTENormal"/>
        <w:numPr>
          <w:ilvl w:val="0"/>
          <w:numId w:val="31"/>
        </w:numPr>
        <w:spacing w:before="0" w:after="60"/>
        <w:ind w:left="851" w:hanging="425"/>
        <w:jc w:val="both"/>
        <w:rPr>
          <w:rFonts w:eastAsia="Calibri"/>
          <w:sz w:val="20"/>
          <w:szCs w:val="20"/>
        </w:rPr>
      </w:pPr>
      <w:r>
        <w:rPr>
          <w:sz w:val="20"/>
          <w:szCs w:val="20"/>
        </w:rPr>
        <w:t>absence de fissures susceptibles de permettre le passage du radon du terrain par convection;</w:t>
      </w:r>
    </w:p>
    <w:p w14:paraId="24C5CDCE" w14:textId="77777777" w:rsidR="00431690" w:rsidRPr="00937C8B" w:rsidRDefault="00431690" w:rsidP="00425ADA">
      <w:pPr>
        <w:pStyle w:val="CTENormal"/>
        <w:numPr>
          <w:ilvl w:val="0"/>
          <w:numId w:val="31"/>
        </w:numPr>
        <w:spacing w:before="0" w:after="60"/>
        <w:ind w:left="851" w:hanging="425"/>
        <w:jc w:val="both"/>
        <w:rPr>
          <w:rFonts w:eastAsia="Calibri"/>
          <w:sz w:val="20"/>
          <w:szCs w:val="20"/>
        </w:rPr>
      </w:pPr>
      <w:r>
        <w:rPr>
          <w:sz w:val="20"/>
          <w:szCs w:val="20"/>
        </w:rPr>
        <w:t>durabilité adaptée à la durée de vie utile du bâtiment, à ses conditions et aux opérations de maintenance prévues.</w:t>
      </w:r>
    </w:p>
    <w:p w14:paraId="5375260F" w14:textId="2401422A" w:rsidR="00431690" w:rsidRPr="00937C8B" w:rsidRDefault="00431690" w:rsidP="00425ADA">
      <w:pPr>
        <w:pStyle w:val="CTENumeracion"/>
        <w:numPr>
          <w:ilvl w:val="0"/>
          <w:numId w:val="40"/>
        </w:numPr>
        <w:tabs>
          <w:tab w:val="clear" w:pos="567"/>
        </w:tabs>
        <w:suppressAutoHyphens/>
        <w:spacing w:before="0"/>
        <w:ind w:left="425" w:hanging="425"/>
        <w:rPr>
          <w:szCs w:val="20"/>
        </w:rPr>
      </w:pPr>
      <w:r>
        <w:t>Dans le cas d’interventions sur des bâtiments existants, si la mise en place d</w:t>
      </w:r>
      <w:r w:rsidR="00EA7588">
        <w:t>’</w:t>
      </w:r>
      <w:r>
        <w:t>une barrière avec les caractéristiques indiquées dans cet article n</w:t>
      </w:r>
      <w:r w:rsidR="00EA7588">
        <w:t>’</w:t>
      </w:r>
      <w:r>
        <w:t xml:space="preserve">est pas possible, les cloisons situées entre le terrain et les </w:t>
      </w:r>
      <w:r>
        <w:rPr>
          <w:i/>
          <w:iCs/>
        </w:rPr>
        <w:t>enceintes habitables</w:t>
      </w:r>
      <w:r>
        <w:t xml:space="preserve"> doivent fonctionner comme une barrière. Les fissures et joints de ces fermetures doivent être soigneusement scellés, et les critères émis aux points b) et c) du paragraphe précédent doivent être respectés.</w:t>
      </w:r>
    </w:p>
    <w:p w14:paraId="5041FF90" w14:textId="77777777" w:rsidR="00431690" w:rsidRPr="00937C8B" w:rsidRDefault="00431690" w:rsidP="00431690">
      <w:pPr>
        <w:pStyle w:val="Ttulo3CTE"/>
      </w:pPr>
      <w:bookmarkStart w:id="346" w:name="_Toc39157993"/>
      <w:r>
        <w:t>3.1.2 Dimensions de la barrière</w:t>
      </w:r>
      <w:bookmarkEnd w:id="346"/>
    </w:p>
    <w:p w14:paraId="0EF629A8" w14:textId="24A4B74B" w:rsidR="00431690" w:rsidRPr="00937C8B" w:rsidRDefault="00431690" w:rsidP="00425ADA">
      <w:pPr>
        <w:pStyle w:val="CTENumeracion"/>
        <w:numPr>
          <w:ilvl w:val="0"/>
          <w:numId w:val="64"/>
        </w:numPr>
        <w:tabs>
          <w:tab w:val="clear" w:pos="993"/>
          <w:tab w:val="num" w:pos="426"/>
        </w:tabs>
        <w:suppressAutoHyphens/>
        <w:spacing w:before="0"/>
        <w:ind w:left="426" w:hanging="426"/>
        <w:rPr>
          <w:szCs w:val="20"/>
        </w:rPr>
      </w:pPr>
      <w:r>
        <w:t xml:space="preserve">L’épaisseur et le </w:t>
      </w:r>
      <w:r>
        <w:rPr>
          <w:i/>
          <w:iCs/>
        </w:rPr>
        <w:t>coefficient de diffusion</w:t>
      </w:r>
      <w:r>
        <w:t xml:space="preserve"> de la barrière doivent garantir que l</w:t>
      </w:r>
      <w:r w:rsidR="00EA7588">
        <w:t>’</w:t>
      </w:r>
      <w:r>
        <w:t>exhalaison du radon attendue à travers la barrière (E) soit inférieure à l</w:t>
      </w:r>
      <w:r w:rsidR="00EA7588">
        <w:t>’</w:t>
      </w:r>
      <w:r>
        <w:t>exhalaison limite (E</w:t>
      </w:r>
      <w:r>
        <w:rPr>
          <w:vertAlign w:val="subscript"/>
        </w:rPr>
        <w:t>lim</w:t>
      </w:r>
      <w:r>
        <w:t>).</w:t>
      </w:r>
    </w:p>
    <w:p w14:paraId="14A8CC8E" w14:textId="6C1CD087" w:rsidR="00431690" w:rsidRPr="00937C8B" w:rsidRDefault="00431690" w:rsidP="00D27646">
      <w:pPr>
        <w:pStyle w:val="CTENumeracion"/>
        <w:keepNext/>
        <w:numPr>
          <w:ilvl w:val="0"/>
          <w:numId w:val="64"/>
        </w:numPr>
        <w:tabs>
          <w:tab w:val="clear" w:pos="993"/>
          <w:tab w:val="num" w:pos="426"/>
        </w:tabs>
        <w:suppressAutoHyphens/>
        <w:spacing w:before="0"/>
        <w:ind w:left="426" w:hanging="426"/>
        <w:rPr>
          <w:szCs w:val="20"/>
        </w:rPr>
      </w:pPr>
      <w:r>
        <w:t>L</w:t>
      </w:r>
      <w:r w:rsidR="00EA7588">
        <w:t>’</w:t>
      </w:r>
      <w:r>
        <w:t>exhalaison limite (E</w:t>
      </w:r>
      <w:r>
        <w:rPr>
          <w:vertAlign w:val="subscript"/>
        </w:rPr>
        <w:t>lim</w:t>
      </w:r>
      <w:r>
        <w:t>) est données par la formule suivante:</w:t>
      </w:r>
    </w:p>
    <w:p w14:paraId="2ABC11BE" w14:textId="77777777" w:rsidR="00431690" w:rsidRPr="00E93486" w:rsidRDefault="00E93486" w:rsidP="00431690">
      <w:pPr>
        <w:pStyle w:val="CTENormal"/>
        <w:tabs>
          <w:tab w:val="left" w:pos="8789"/>
        </w:tabs>
        <w:spacing w:before="0" w:after="60"/>
        <w:ind w:left="426"/>
        <w:rPr>
          <w:szCs w:val="20"/>
          <w:lang w:val="en-US"/>
        </w:rPr>
      </w:pPr>
      <m:oMath>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lim</m:t>
            </m:r>
          </m:sub>
        </m:sSub>
        <m:r>
          <w:rPr>
            <w:rFonts w:ascii="Cambria Math" w:hAnsi="Cambria Math"/>
            <w:szCs w:val="20"/>
            <w:lang w:val="pt-PT"/>
          </w:rPr>
          <m:t>=</m:t>
        </m:r>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d</m:t>
            </m:r>
          </m:sub>
        </m:sSub>
        <m:r>
          <w:rPr>
            <w:rFonts w:ascii="Cambria Math" w:hAnsi="Cambria Math"/>
            <w:szCs w:val="20"/>
            <w:lang w:val="pt-PT"/>
          </w:rPr>
          <m:t>·</m:t>
        </m:r>
        <m:f>
          <m:fPr>
            <m:ctrlPr>
              <w:rPr>
                <w:rFonts w:ascii="Cambria Math" w:hAnsi="Cambria Math"/>
                <w:i/>
                <w:szCs w:val="20"/>
                <w:lang w:val="en-GB"/>
              </w:rPr>
            </m:ctrlPr>
          </m:fPr>
          <m:num>
            <m:r>
              <w:rPr>
                <w:rFonts w:ascii="Cambria Math" w:hAnsi="Cambria Math"/>
                <w:szCs w:val="20"/>
                <w:lang w:val="en-GB"/>
              </w:rPr>
              <m:t>Q</m:t>
            </m:r>
          </m:num>
          <m:den>
            <m:r>
              <w:rPr>
                <w:rFonts w:ascii="Cambria Math" w:hAnsi="Cambria Math"/>
                <w:szCs w:val="20"/>
                <w:lang w:val="en-GB"/>
              </w:rPr>
              <m:t>A</m:t>
            </m:r>
          </m:den>
        </m:f>
      </m:oMath>
      <w:r w:rsidR="00831252" w:rsidRPr="00E93486">
        <w:rPr>
          <w:lang w:val="en-US"/>
        </w:rPr>
        <w:t xml:space="preserve">  [Bq/m</w:t>
      </w:r>
      <w:r w:rsidR="00831252" w:rsidRPr="00E93486">
        <w:rPr>
          <w:szCs w:val="20"/>
          <w:vertAlign w:val="superscript"/>
          <w:lang w:val="en-US"/>
        </w:rPr>
        <w:t>2</w:t>
      </w:r>
      <w:r w:rsidR="00831252" w:rsidRPr="00E93486">
        <w:rPr>
          <w:lang w:val="en-US"/>
        </w:rPr>
        <w:t>·h]</w:t>
      </w:r>
      <w:r w:rsidR="00831252" w:rsidRPr="00E93486">
        <w:rPr>
          <w:lang w:val="en-US"/>
        </w:rPr>
        <w:tab/>
        <w:t>(3.1)</w:t>
      </w:r>
    </w:p>
    <w:p w14:paraId="0C017BAC" w14:textId="77777777" w:rsidR="00431690" w:rsidRPr="00937C8B" w:rsidRDefault="00431690" w:rsidP="00431690">
      <w:pPr>
        <w:pStyle w:val="CTENormal"/>
        <w:spacing w:before="0" w:after="60"/>
        <w:ind w:left="426"/>
        <w:rPr>
          <w:rFonts w:eastAsia="Calibri"/>
          <w:sz w:val="20"/>
          <w:szCs w:val="20"/>
        </w:rPr>
      </w:pPr>
      <w:r>
        <w:rPr>
          <w:sz w:val="20"/>
          <w:szCs w:val="20"/>
        </w:rPr>
        <w:t>où</w:t>
      </w:r>
    </w:p>
    <w:p w14:paraId="2FF21A33" w14:textId="57428CDB" w:rsidR="00431690" w:rsidRPr="00937C8B" w:rsidRDefault="00431690" w:rsidP="00431690">
      <w:pPr>
        <w:tabs>
          <w:tab w:val="left" w:pos="851"/>
        </w:tabs>
        <w:suppressAutoHyphens/>
        <w:spacing w:after="60"/>
        <w:ind w:left="851" w:hanging="425"/>
        <w:rPr>
          <w:rFonts w:ascii="Arial" w:hAnsi="Arial" w:cs="Arial"/>
          <w:sz w:val="20"/>
          <w:szCs w:val="20"/>
        </w:rPr>
      </w:pPr>
      <w:r>
        <w:rPr>
          <w:rFonts w:ascii="Arial" w:hAnsi="Arial"/>
          <w:sz w:val="20"/>
          <w:szCs w:val="20"/>
        </w:rPr>
        <w:t>C</w:t>
      </w:r>
      <w:r>
        <w:rPr>
          <w:rFonts w:ascii="Arial" w:hAnsi="Arial"/>
          <w:sz w:val="20"/>
          <w:szCs w:val="20"/>
          <w:vertAlign w:val="subscript"/>
        </w:rPr>
        <w:t>d</w:t>
      </w:r>
      <w:r>
        <w:rPr>
          <w:rFonts w:ascii="Arial" w:hAnsi="Arial"/>
          <w:sz w:val="20"/>
          <w:szCs w:val="20"/>
        </w:rPr>
        <w:tab/>
        <w:t>est la concentration théorique, qui correspond à 10</w:t>
      </w:r>
      <w:r w:rsidR="00EA7588">
        <w:rPr>
          <w:rFonts w:ascii="Arial" w:hAnsi="Arial"/>
          <w:sz w:val="20"/>
          <w:szCs w:val="20"/>
        </w:rPr>
        <w:t> </w:t>
      </w:r>
      <w:r>
        <w:rPr>
          <w:rFonts w:ascii="Arial" w:hAnsi="Arial"/>
          <w:sz w:val="20"/>
          <w:szCs w:val="20"/>
        </w:rPr>
        <w:t xml:space="preserve">% du </w:t>
      </w:r>
      <w:r>
        <w:rPr>
          <w:rFonts w:ascii="Arial" w:hAnsi="Arial"/>
          <w:i/>
          <w:iCs/>
          <w:sz w:val="20"/>
          <w:szCs w:val="20"/>
        </w:rPr>
        <w:t>niveau de référence</w:t>
      </w:r>
      <w:r>
        <w:rPr>
          <w:rFonts w:ascii="Arial" w:hAnsi="Arial"/>
          <w:sz w:val="20"/>
          <w:szCs w:val="20"/>
        </w:rPr>
        <w:t xml:space="preserve"> [Bq/m</w:t>
      </w:r>
      <w:r>
        <w:rPr>
          <w:rFonts w:ascii="Arial" w:hAnsi="Arial"/>
          <w:sz w:val="20"/>
          <w:szCs w:val="20"/>
          <w:vertAlign w:val="superscript"/>
        </w:rPr>
        <w:t>3</w:t>
      </w:r>
      <w:r>
        <w:rPr>
          <w:rFonts w:ascii="Arial" w:hAnsi="Arial"/>
          <w:sz w:val="20"/>
          <w:szCs w:val="20"/>
        </w:rPr>
        <w:t>];</w:t>
      </w:r>
    </w:p>
    <w:p w14:paraId="75E3F083" w14:textId="77777777" w:rsidR="00431690" w:rsidRPr="00937C8B" w:rsidRDefault="00431690" w:rsidP="00431690">
      <w:pPr>
        <w:tabs>
          <w:tab w:val="left" w:pos="851"/>
        </w:tabs>
        <w:suppressAutoHyphens/>
        <w:spacing w:after="60"/>
        <w:ind w:left="851" w:hanging="425"/>
        <w:rPr>
          <w:rFonts w:ascii="Arial" w:hAnsi="Arial" w:cs="Arial"/>
          <w:sz w:val="20"/>
          <w:szCs w:val="20"/>
        </w:rPr>
      </w:pPr>
      <w:r>
        <w:rPr>
          <w:rFonts w:ascii="Arial" w:hAnsi="Arial"/>
          <w:sz w:val="20"/>
          <w:szCs w:val="20"/>
        </w:rPr>
        <w:t>Q</w:t>
      </w:r>
      <w:r>
        <w:rPr>
          <w:rFonts w:ascii="Arial" w:hAnsi="Arial"/>
          <w:sz w:val="20"/>
          <w:szCs w:val="20"/>
        </w:rPr>
        <w:tab/>
        <w:t>le débit de ventilation des locaux à protéger [m</w:t>
      </w:r>
      <w:r>
        <w:rPr>
          <w:rFonts w:ascii="Arial" w:hAnsi="Arial"/>
          <w:sz w:val="20"/>
          <w:szCs w:val="20"/>
          <w:vertAlign w:val="superscript"/>
        </w:rPr>
        <w:t>3</w:t>
      </w:r>
      <w:r>
        <w:rPr>
          <w:rFonts w:ascii="Arial" w:hAnsi="Arial"/>
          <w:sz w:val="20"/>
          <w:szCs w:val="20"/>
        </w:rPr>
        <w:t>/h]. Si sa valeur de ventilation est inconnue, un flux de calcul correspondant à 0,1 renouvellements/heure peut être envisagé;</w:t>
      </w:r>
    </w:p>
    <w:p w14:paraId="448ED790" w14:textId="77777777" w:rsidR="00431690" w:rsidRPr="00937C8B" w:rsidRDefault="00431690" w:rsidP="00431690">
      <w:pPr>
        <w:tabs>
          <w:tab w:val="left" w:pos="851"/>
        </w:tabs>
        <w:suppressAutoHyphens/>
        <w:spacing w:after="60"/>
        <w:ind w:left="851" w:hanging="425"/>
        <w:rPr>
          <w:rFonts w:ascii="Arial" w:hAnsi="Arial" w:cs="Arial"/>
          <w:sz w:val="20"/>
          <w:szCs w:val="20"/>
        </w:rPr>
      </w:pPr>
      <w:r>
        <w:rPr>
          <w:rFonts w:ascii="Arial" w:hAnsi="Arial"/>
          <w:sz w:val="20"/>
          <w:szCs w:val="20"/>
        </w:rPr>
        <w:t>A</w:t>
      </w:r>
      <w:r>
        <w:rPr>
          <w:rFonts w:ascii="Arial" w:hAnsi="Arial"/>
          <w:sz w:val="20"/>
          <w:szCs w:val="20"/>
        </w:rPr>
        <w:tab/>
        <w:t>la surface de la barrière [m</w:t>
      </w:r>
      <w:r>
        <w:rPr>
          <w:rFonts w:ascii="Arial" w:hAnsi="Arial"/>
          <w:sz w:val="20"/>
          <w:szCs w:val="20"/>
          <w:vertAlign w:val="superscript"/>
        </w:rPr>
        <w:t>2</w:t>
      </w:r>
      <w:r>
        <w:rPr>
          <w:rFonts w:ascii="Arial" w:hAnsi="Arial"/>
          <w:sz w:val="20"/>
          <w:szCs w:val="20"/>
        </w:rPr>
        <w:t>].</w:t>
      </w:r>
    </w:p>
    <w:p w14:paraId="36F08076" w14:textId="17505708" w:rsidR="00431690" w:rsidRPr="00937C8B" w:rsidRDefault="00431690" w:rsidP="00D27646">
      <w:pPr>
        <w:pStyle w:val="CTENumeracion"/>
        <w:keepNext/>
        <w:numPr>
          <w:ilvl w:val="0"/>
          <w:numId w:val="64"/>
        </w:numPr>
        <w:tabs>
          <w:tab w:val="clear" w:pos="993"/>
          <w:tab w:val="num" w:pos="426"/>
        </w:tabs>
        <w:suppressAutoHyphens/>
        <w:spacing w:before="0"/>
        <w:ind w:left="426" w:hanging="426"/>
        <w:rPr>
          <w:szCs w:val="20"/>
        </w:rPr>
      </w:pPr>
      <w:r>
        <w:lastRenderedPageBreak/>
        <w:t>En l</w:t>
      </w:r>
      <w:r w:rsidR="00EA7588">
        <w:t>’</w:t>
      </w:r>
      <w:r>
        <w:t>absence d</w:t>
      </w:r>
      <w:r w:rsidR="00EA7588">
        <w:t>’</w:t>
      </w:r>
      <w:r>
        <w:t>études spécifiques, l</w:t>
      </w:r>
      <w:r w:rsidR="00EA7588">
        <w:t>’</w:t>
      </w:r>
      <w:r>
        <w:t>exhalaison attendue du radon à travers la barrière (E) peut être estimée à partir de la formule suivante:</w:t>
      </w:r>
    </w:p>
    <w:p w14:paraId="437CFDD7" w14:textId="77777777" w:rsidR="00431690" w:rsidRPr="00E93486" w:rsidRDefault="00A03C86" w:rsidP="00431690">
      <w:pPr>
        <w:pStyle w:val="CTENormal"/>
        <w:tabs>
          <w:tab w:val="left" w:pos="8789"/>
        </w:tabs>
        <w:spacing w:before="0" w:after="60"/>
        <w:ind w:left="284" w:firstLine="142"/>
        <w:rPr>
          <w:szCs w:val="20"/>
          <w:lang w:val="en-US"/>
        </w:rPr>
      </w:pPr>
      <m:oMath>
        <m:r>
          <w:rPr>
            <w:rFonts w:ascii="Cambria Math" w:hAnsi="Cambria Math"/>
            <w:szCs w:val="20"/>
          </w:rPr>
          <m:t>E</m:t>
        </m:r>
        <m:r>
          <w:rPr>
            <w:rFonts w:ascii="Cambria Math" w:hAnsi="Cambria Math"/>
            <w:szCs w:val="20"/>
            <w:lang w:val="pt-PT"/>
          </w:rPr>
          <m:t>=</m:t>
        </m:r>
        <m:f>
          <m:fPr>
            <m:ctrlPr>
              <w:rPr>
                <w:rFonts w:ascii="Cambria Math" w:hAnsi="Cambria Math"/>
                <w:i/>
                <w:szCs w:val="20"/>
              </w:rPr>
            </m:ctrlPr>
          </m:fPr>
          <m:num>
            <m:r>
              <w:rPr>
                <w:rFonts w:ascii="Cambria Math" w:hAnsi="Cambria Math"/>
                <w:szCs w:val="20"/>
                <w:lang w:val="pt-PT"/>
              </w:rPr>
              <m:t>3·</m:t>
            </m:r>
            <m:sSup>
              <m:sSupPr>
                <m:ctrlPr>
                  <w:rPr>
                    <w:rFonts w:ascii="Cambria Math" w:hAnsi="Cambria Math"/>
                    <w:i/>
                    <w:szCs w:val="20"/>
                  </w:rPr>
                </m:ctrlPr>
              </m:sSupPr>
              <m:e>
                <m:r>
                  <w:rPr>
                    <w:rFonts w:ascii="Cambria Math" w:hAnsi="Cambria Math"/>
                    <w:szCs w:val="20"/>
                    <w:lang w:val="pt-PT"/>
                  </w:rPr>
                  <m:t>10</m:t>
                </m:r>
              </m:e>
              <m:sup>
                <m:r>
                  <w:rPr>
                    <w:rFonts w:ascii="Cambria Math" w:hAnsi="Cambria Math"/>
                    <w:szCs w:val="20"/>
                    <w:lang w:val="pt-PT"/>
                  </w:rPr>
                  <m:t>5</m:t>
                </m:r>
              </m:sup>
            </m:sSup>
            <m:r>
              <w:rPr>
                <w:rFonts w:ascii="Cambria Math" w:hAnsi="Cambria Math"/>
                <w:szCs w:val="20"/>
                <w:lang w:val="pt-PT"/>
              </w:rPr>
              <m:t>·</m:t>
            </m:r>
            <m:r>
              <w:rPr>
                <w:rFonts w:ascii="Cambria Math" w:hAnsi="Cambria Math"/>
                <w:szCs w:val="20"/>
              </w:rPr>
              <m:t>λ</m:t>
            </m:r>
            <m:r>
              <w:rPr>
                <w:rFonts w:ascii="Cambria Math" w:hAnsi="Cambria Math"/>
                <w:szCs w:val="20"/>
                <w:lang w:val="pt-PT"/>
              </w:rPr>
              <m:t>·</m:t>
            </m:r>
            <m:r>
              <w:rPr>
                <w:rFonts w:ascii="Cambria Math" w:hAnsi="Cambria Math"/>
                <w:szCs w:val="20"/>
              </w:rPr>
              <m:t>l</m:t>
            </m:r>
          </m:num>
          <m:den>
            <m:r>
              <w:rPr>
                <w:rFonts w:ascii="Cambria Math" w:hAnsi="Cambria Math"/>
                <w:szCs w:val="20"/>
              </w:rPr>
              <m:t>sen</m:t>
            </m:r>
            <m:r>
              <w:rPr>
                <w:rFonts w:ascii="Cambria Math" w:hAnsi="Cambria Math"/>
                <w:szCs w:val="20"/>
                <w:lang w:val="pt-PT"/>
              </w:rPr>
              <m:t>h</m:t>
            </m:r>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d</m:t>
                    </m:r>
                  </m:num>
                  <m:den>
                    <m:r>
                      <w:rPr>
                        <w:rFonts w:ascii="Cambria Math" w:hAnsi="Cambria Math"/>
                        <w:szCs w:val="20"/>
                      </w:rPr>
                      <m:t>l</m:t>
                    </m:r>
                  </m:den>
                </m:f>
              </m:e>
            </m:d>
          </m:den>
        </m:f>
      </m:oMath>
      <w:r w:rsidRPr="00E93486">
        <w:rPr>
          <w:lang w:val="en-US"/>
        </w:rPr>
        <w:t xml:space="preserve">  [Bq/m</w:t>
      </w:r>
      <w:r w:rsidRPr="00E93486">
        <w:rPr>
          <w:szCs w:val="20"/>
          <w:vertAlign w:val="superscript"/>
          <w:lang w:val="en-US"/>
        </w:rPr>
        <w:t>2</w:t>
      </w:r>
      <w:r w:rsidRPr="00E93486">
        <w:rPr>
          <w:lang w:val="en-US"/>
        </w:rPr>
        <w:t>·h]</w:t>
      </w:r>
      <w:r w:rsidRPr="00E93486">
        <w:rPr>
          <w:lang w:val="en-US"/>
        </w:rPr>
        <w:tab/>
        <w:t>(3.2)</w:t>
      </w:r>
    </w:p>
    <w:p w14:paraId="2D230C2E" w14:textId="77777777" w:rsidR="00431690" w:rsidRPr="00937C8B" w:rsidRDefault="00431690" w:rsidP="00431690">
      <w:pPr>
        <w:pStyle w:val="CTENormal"/>
        <w:tabs>
          <w:tab w:val="left" w:pos="8626"/>
        </w:tabs>
        <w:spacing w:before="0" w:after="60"/>
        <w:ind w:left="426"/>
        <w:rPr>
          <w:rFonts w:eastAsia="Calibri"/>
          <w:sz w:val="20"/>
          <w:szCs w:val="20"/>
        </w:rPr>
      </w:pPr>
      <w:r>
        <w:rPr>
          <w:sz w:val="20"/>
          <w:szCs w:val="20"/>
        </w:rPr>
        <w:t>où</w:t>
      </w:r>
      <w:r>
        <w:rPr>
          <w:sz w:val="20"/>
          <w:szCs w:val="20"/>
        </w:rPr>
        <w:tab/>
      </w:r>
    </w:p>
    <w:p w14:paraId="349709D8" w14:textId="77777777" w:rsidR="00431690" w:rsidRPr="00937C8B" w:rsidRDefault="00431690" w:rsidP="00431690">
      <w:pPr>
        <w:tabs>
          <w:tab w:val="left" w:pos="851"/>
        </w:tabs>
        <w:suppressAutoHyphens/>
        <w:spacing w:after="60"/>
        <w:ind w:left="426"/>
        <w:rPr>
          <w:rFonts w:ascii="Arial" w:hAnsi="Arial" w:cs="Arial"/>
          <w:sz w:val="20"/>
          <w:szCs w:val="20"/>
        </w:rPr>
      </w:pPr>
      <w:r>
        <w:rPr>
          <w:rFonts w:ascii="Arial" w:hAnsi="Arial"/>
          <w:sz w:val="20"/>
          <w:szCs w:val="20"/>
        </w:rPr>
        <w:t>λ</w:t>
      </w:r>
      <w:r>
        <w:rPr>
          <w:rFonts w:ascii="Arial" w:hAnsi="Arial"/>
          <w:sz w:val="20"/>
          <w:szCs w:val="20"/>
        </w:rPr>
        <w:tab/>
        <w:t>est la constante de désintégration du radon 7,56 ·10</w:t>
      </w:r>
      <w:r>
        <w:rPr>
          <w:rFonts w:ascii="Arial" w:hAnsi="Arial"/>
          <w:sz w:val="20"/>
          <w:szCs w:val="20"/>
          <w:vertAlign w:val="superscript"/>
        </w:rPr>
        <w:t>-3</w:t>
      </w:r>
      <w:r>
        <w:rPr>
          <w:rFonts w:ascii="Arial" w:hAnsi="Arial"/>
          <w:sz w:val="20"/>
          <w:szCs w:val="20"/>
        </w:rPr>
        <w:t xml:space="preserve"> [h</w:t>
      </w:r>
      <w:r>
        <w:rPr>
          <w:rFonts w:ascii="Arial" w:hAnsi="Arial"/>
          <w:sz w:val="20"/>
          <w:szCs w:val="20"/>
          <w:vertAlign w:val="superscript"/>
        </w:rPr>
        <w:t>-1</w:t>
      </w:r>
      <w:r>
        <w:rPr>
          <w:rFonts w:ascii="Arial" w:hAnsi="Arial"/>
          <w:sz w:val="20"/>
          <w:szCs w:val="20"/>
        </w:rPr>
        <w:t>];</w:t>
      </w:r>
    </w:p>
    <w:p w14:paraId="216161BD" w14:textId="77777777" w:rsidR="00431690" w:rsidRPr="00937C8B" w:rsidRDefault="00431690" w:rsidP="00431690">
      <w:pPr>
        <w:tabs>
          <w:tab w:val="left" w:pos="851"/>
        </w:tabs>
        <w:suppressAutoHyphens/>
        <w:spacing w:after="60"/>
        <w:ind w:left="426"/>
        <w:rPr>
          <w:rFonts w:ascii="Arial" w:hAnsi="Arial" w:cs="Arial"/>
          <w:sz w:val="20"/>
          <w:szCs w:val="20"/>
        </w:rPr>
      </w:pPr>
      <w:r>
        <w:rPr>
          <w:rFonts w:ascii="Arial" w:hAnsi="Arial"/>
          <w:sz w:val="20"/>
          <w:szCs w:val="20"/>
        </w:rPr>
        <w:t>d</w:t>
      </w:r>
      <w:r>
        <w:rPr>
          <w:rFonts w:ascii="Arial" w:hAnsi="Arial"/>
          <w:sz w:val="20"/>
          <w:szCs w:val="20"/>
        </w:rPr>
        <w:tab/>
        <w:t>est l’épaisseur de la barrière [m];</w:t>
      </w:r>
    </w:p>
    <w:p w14:paraId="2FEF40F7" w14:textId="77777777" w:rsidR="00431690" w:rsidRPr="00937C8B" w:rsidRDefault="00431690" w:rsidP="00D27646">
      <w:pPr>
        <w:keepNext/>
        <w:tabs>
          <w:tab w:val="left" w:pos="851"/>
        </w:tabs>
        <w:suppressAutoHyphens/>
        <w:spacing w:after="60"/>
        <w:ind w:left="426"/>
        <w:rPr>
          <w:rFonts w:ascii="Arial" w:hAnsi="Arial" w:cs="Arial"/>
          <w:sz w:val="20"/>
          <w:szCs w:val="20"/>
        </w:rPr>
      </w:pPr>
      <w:r>
        <w:rPr>
          <w:rFonts w:ascii="Arial" w:hAnsi="Arial"/>
          <w:sz w:val="20"/>
          <w:szCs w:val="20"/>
        </w:rPr>
        <w:t>l</w:t>
      </w:r>
      <w:r>
        <w:rPr>
          <w:rFonts w:ascii="Arial" w:hAnsi="Arial"/>
          <w:sz w:val="20"/>
          <w:szCs w:val="20"/>
        </w:rPr>
        <w:tab/>
        <w:t>est la longueur de diffusion du radon dans la barrière, selon la formule suivante:</w:t>
      </w:r>
    </w:p>
    <w:p w14:paraId="089C0B24" w14:textId="77777777" w:rsidR="00431690" w:rsidRPr="00937C8B" w:rsidRDefault="00431690" w:rsidP="00431690">
      <w:pPr>
        <w:tabs>
          <w:tab w:val="left" w:pos="851"/>
          <w:tab w:val="left" w:pos="8789"/>
        </w:tabs>
        <w:suppressAutoHyphens/>
        <w:spacing w:after="60"/>
        <w:ind w:left="851" w:hanging="284"/>
        <w:rPr>
          <w:szCs w:val="20"/>
        </w:rPr>
      </w:pPr>
      <w:r>
        <w:tab/>
      </w:r>
      <m:oMath>
        <m:r>
          <w:rPr>
            <w:rFonts w:ascii="Cambria Math" w:hAnsi="Cambria Math"/>
            <w:szCs w:val="20"/>
            <w:vertAlign w:val="superscript"/>
          </w:rPr>
          <m:t>l=</m:t>
        </m:r>
        <m:rad>
          <m:radPr>
            <m:degHide m:val="1"/>
            <m:ctrlPr>
              <w:rPr>
                <w:rFonts w:ascii="Cambria Math" w:hAnsi="Cambria Math"/>
                <w:i/>
                <w:szCs w:val="20"/>
                <w:vertAlign w:val="superscript"/>
              </w:rPr>
            </m:ctrlPr>
          </m:radPr>
          <m:deg/>
          <m:e>
            <m:f>
              <m:fPr>
                <m:ctrlPr>
                  <w:rPr>
                    <w:rFonts w:ascii="Cambria Math" w:hAnsi="Cambria Math"/>
                    <w:i/>
                    <w:szCs w:val="20"/>
                    <w:vertAlign w:val="superscript"/>
                  </w:rPr>
                </m:ctrlPr>
              </m:fPr>
              <m:num>
                <m:r>
                  <w:rPr>
                    <w:rFonts w:ascii="Cambria Math" w:hAnsi="Cambria Math"/>
                    <w:szCs w:val="20"/>
                    <w:vertAlign w:val="superscript"/>
                  </w:rPr>
                  <m:t>D·3600</m:t>
                </m:r>
              </m:num>
              <m:den>
                <m:r>
                  <w:rPr>
                    <w:rFonts w:ascii="Cambria Math" w:hAnsi="Cambria Math"/>
                    <w:szCs w:val="20"/>
                    <w:vertAlign w:val="superscript"/>
                  </w:rPr>
                  <m:t>λ</m:t>
                </m:r>
              </m:den>
            </m:f>
          </m:e>
        </m:rad>
      </m:oMath>
      <w:r>
        <w:t xml:space="preserve">  [m]</w:t>
      </w:r>
      <w:r>
        <w:tab/>
      </w:r>
      <w:r>
        <w:rPr>
          <w:rFonts w:ascii="Arial" w:hAnsi="Arial"/>
          <w:sz w:val="22"/>
          <w:szCs w:val="22"/>
        </w:rPr>
        <w:t>(3.3)</w:t>
      </w:r>
    </w:p>
    <w:p w14:paraId="65641B86" w14:textId="77777777" w:rsidR="00431690" w:rsidRPr="00937C8B" w:rsidRDefault="00431690" w:rsidP="00431690">
      <w:pPr>
        <w:tabs>
          <w:tab w:val="left" w:pos="1418"/>
        </w:tabs>
        <w:suppressAutoHyphens/>
        <w:spacing w:after="60"/>
        <w:ind w:left="851"/>
        <w:rPr>
          <w:rFonts w:ascii="Arial" w:hAnsi="Arial" w:cs="Arial"/>
          <w:sz w:val="20"/>
          <w:szCs w:val="20"/>
        </w:rPr>
      </w:pPr>
      <w:r>
        <w:rPr>
          <w:rFonts w:ascii="Arial" w:hAnsi="Arial"/>
          <w:sz w:val="20"/>
          <w:szCs w:val="20"/>
        </w:rPr>
        <w:t>où</w:t>
      </w:r>
    </w:p>
    <w:p w14:paraId="4C80CD67" w14:textId="77777777" w:rsidR="00431690" w:rsidRPr="00937C8B" w:rsidRDefault="00431690" w:rsidP="00431690">
      <w:pPr>
        <w:tabs>
          <w:tab w:val="left" w:pos="1418"/>
        </w:tabs>
        <w:suppressAutoHyphens/>
        <w:spacing w:after="60"/>
        <w:ind w:left="851"/>
        <w:rPr>
          <w:rFonts w:ascii="Arial" w:hAnsi="Arial" w:cs="Arial"/>
          <w:sz w:val="20"/>
          <w:szCs w:val="20"/>
        </w:rPr>
      </w:pPr>
      <w:r>
        <w:rPr>
          <w:rFonts w:ascii="Arial" w:hAnsi="Arial"/>
          <w:sz w:val="20"/>
          <w:szCs w:val="20"/>
        </w:rPr>
        <w:t>D</w:t>
      </w:r>
      <w:r>
        <w:rPr>
          <w:rFonts w:ascii="Arial" w:hAnsi="Arial"/>
          <w:sz w:val="20"/>
          <w:szCs w:val="20"/>
        </w:rPr>
        <w:tab/>
        <w:t xml:space="preserve">est le </w:t>
      </w:r>
      <w:r>
        <w:rPr>
          <w:rFonts w:ascii="Arial" w:hAnsi="Arial"/>
          <w:i/>
          <w:iCs/>
          <w:sz w:val="20"/>
          <w:szCs w:val="20"/>
        </w:rPr>
        <w:t>coefficient de diffusion</w:t>
      </w:r>
      <w:r>
        <w:rPr>
          <w:rFonts w:ascii="Arial" w:hAnsi="Arial"/>
          <w:sz w:val="20"/>
          <w:szCs w:val="20"/>
        </w:rPr>
        <w:t xml:space="preserve"> du radon de la barrière [m</w:t>
      </w:r>
      <w:r>
        <w:rPr>
          <w:rFonts w:ascii="Arial" w:hAnsi="Arial"/>
          <w:sz w:val="20"/>
          <w:szCs w:val="20"/>
          <w:vertAlign w:val="superscript"/>
        </w:rPr>
        <w:t>2</w:t>
      </w:r>
      <w:r>
        <w:rPr>
          <w:rFonts w:ascii="Arial" w:hAnsi="Arial"/>
          <w:sz w:val="20"/>
          <w:szCs w:val="20"/>
        </w:rPr>
        <w:t>/s].</w:t>
      </w:r>
    </w:p>
    <w:p w14:paraId="0454CD93" w14:textId="77777777" w:rsidR="00431690" w:rsidRPr="00937C8B" w:rsidRDefault="00431690" w:rsidP="00431690">
      <w:pPr>
        <w:pStyle w:val="CteTtulo2"/>
        <w:tabs>
          <w:tab w:val="left" w:pos="454"/>
        </w:tabs>
        <w:spacing w:before="280"/>
        <w:rPr>
          <w:szCs w:val="24"/>
        </w:rPr>
      </w:pPr>
      <w:bookmarkStart w:id="347" w:name="_Toc39157994"/>
      <w:bookmarkStart w:id="348" w:name="_Toc39158158"/>
      <w:r>
        <w:t>3.2</w:t>
      </w:r>
      <w:r>
        <w:tab/>
      </w:r>
      <w:r>
        <w:rPr>
          <w:i/>
          <w:iCs/>
        </w:rPr>
        <w:t>Espace de contention ventilé</w:t>
      </w:r>
      <w:bookmarkEnd w:id="347"/>
      <w:bookmarkEnd w:id="348"/>
    </w:p>
    <w:p w14:paraId="445F3C1F" w14:textId="0C6B1C95" w:rsidR="00431690" w:rsidRPr="00937C8B" w:rsidRDefault="00431690" w:rsidP="00425ADA">
      <w:pPr>
        <w:pStyle w:val="CTENumeracion"/>
        <w:numPr>
          <w:ilvl w:val="0"/>
          <w:numId w:val="59"/>
        </w:numPr>
        <w:tabs>
          <w:tab w:val="clear" w:pos="567"/>
          <w:tab w:val="num" w:pos="426"/>
        </w:tabs>
        <w:suppressAutoHyphens/>
        <w:spacing w:before="0"/>
        <w:ind w:left="426" w:hanging="426"/>
        <w:rPr>
          <w:szCs w:val="20"/>
        </w:rPr>
      </w:pPr>
      <w:r>
        <w:t>L</w:t>
      </w:r>
      <w:r w:rsidR="00EA7588">
        <w:t>’</w:t>
      </w:r>
      <w:r>
        <w:t>espace de contention se compose d</w:t>
      </w:r>
      <w:r w:rsidR="00EA7588">
        <w:t>’</w:t>
      </w:r>
      <w:r>
        <w:t>une chambre de ventilation, qui peut être verticale ou horizontale selon la cloison à protéger, ou d</w:t>
      </w:r>
      <w:r w:rsidR="00EA7588">
        <w:t>’</w:t>
      </w:r>
      <w:r>
        <w:t xml:space="preserve">une </w:t>
      </w:r>
      <w:r>
        <w:rPr>
          <w:i/>
          <w:iCs/>
        </w:rPr>
        <w:t>enceinte non habitable</w:t>
      </w:r>
      <w:r>
        <w:t>. Cet espace doit obligatoirement bénéficier d</w:t>
      </w:r>
      <w:r w:rsidR="00EA7588">
        <w:t>’</w:t>
      </w:r>
      <w:r>
        <w:t xml:space="preserve">une </w:t>
      </w:r>
      <w:r>
        <w:rPr>
          <w:i/>
          <w:iCs/>
        </w:rPr>
        <w:t>ventilation naturelle</w:t>
      </w:r>
      <w:r>
        <w:t xml:space="preserve"> ou mécanique.</w:t>
      </w:r>
    </w:p>
    <w:p w14:paraId="14924230" w14:textId="46525A75" w:rsidR="00431690" w:rsidRPr="00937C8B" w:rsidRDefault="00431690" w:rsidP="00425ADA">
      <w:pPr>
        <w:pStyle w:val="CTENumeracion"/>
        <w:numPr>
          <w:ilvl w:val="0"/>
          <w:numId w:val="59"/>
        </w:numPr>
        <w:tabs>
          <w:tab w:val="clear" w:pos="567"/>
          <w:tab w:val="num" w:pos="426"/>
        </w:tabs>
        <w:suppressAutoHyphens/>
        <w:spacing w:before="0"/>
        <w:ind w:left="425" w:hanging="425"/>
        <w:rPr>
          <w:szCs w:val="20"/>
        </w:rPr>
      </w:pPr>
      <w:r>
        <w:t>Pour assurer la ventilation, l</w:t>
      </w:r>
      <w:r w:rsidR="00EA7588">
        <w:t>’</w:t>
      </w:r>
      <w:r>
        <w:t>espace de contention doit être relié à l</w:t>
      </w:r>
      <w:r w:rsidR="00EA7588">
        <w:t>’</w:t>
      </w:r>
      <w:r>
        <w:t>extérieur par des ouvertures de ventilation, qui doivent être maintenues libres de toute obstruction.</w:t>
      </w:r>
    </w:p>
    <w:p w14:paraId="4A01E582" w14:textId="1CCF7921" w:rsidR="00431690" w:rsidRPr="00937C8B" w:rsidRDefault="00431690" w:rsidP="00425ADA">
      <w:pPr>
        <w:pStyle w:val="CTENumeracion"/>
        <w:numPr>
          <w:ilvl w:val="0"/>
          <w:numId w:val="59"/>
        </w:numPr>
        <w:tabs>
          <w:tab w:val="clear" w:pos="567"/>
          <w:tab w:val="num" w:pos="426"/>
        </w:tabs>
        <w:suppressAutoHyphens/>
        <w:spacing w:before="0"/>
        <w:ind w:left="426" w:hanging="426"/>
        <w:rPr>
          <w:szCs w:val="20"/>
        </w:rPr>
      </w:pPr>
      <w:r>
        <w:t xml:space="preserve">Pour la </w:t>
      </w:r>
      <w:r>
        <w:rPr>
          <w:i/>
          <w:iCs/>
        </w:rPr>
        <w:t>ventilation naturelle</w:t>
      </w:r>
      <w:r>
        <w:t xml:space="preserve"> d</w:t>
      </w:r>
      <w:r w:rsidR="00EA7588">
        <w:t>’</w:t>
      </w:r>
      <w:r>
        <w:t>une chambre de ventilation horizontale, sauf si une autre distribution est justifiée par des études spécifiques, il convient de disposer les ouvertures de ventilation sur toutes les façades de manière homogène, la surface de l</w:t>
      </w:r>
      <w:r w:rsidR="00EA7588">
        <w:t>’</w:t>
      </w:r>
      <w:r>
        <w:t>ensemble des ouvertures représentant au moins 10 cm</w:t>
      </w:r>
      <w:r>
        <w:rPr>
          <w:vertAlign w:val="superscript"/>
        </w:rPr>
        <w:t>2</w:t>
      </w:r>
      <w:r>
        <w:t xml:space="preserve"> par mètre linéaire du périmètre de la chambre. Pour les surfaces de moins de 100 m</w:t>
      </w:r>
      <w:r>
        <w:rPr>
          <w:vertAlign w:val="superscript"/>
        </w:rPr>
        <w:t>2</w:t>
      </w:r>
      <w:r>
        <w:t>, les ouvertures peuvent être disposées sur la même façade à condition qu</w:t>
      </w:r>
      <w:r w:rsidR="00EA7588">
        <w:t>’</w:t>
      </w:r>
      <w:r>
        <w:t>aucun point de la chambre ne soit situé à plus de 10 m de l</w:t>
      </w:r>
      <w:r w:rsidR="00EA7588">
        <w:t>’</w:t>
      </w:r>
      <w:r>
        <w:t>une d</w:t>
      </w:r>
      <w:r w:rsidR="00EA7588">
        <w:t>’</w:t>
      </w:r>
      <w:r>
        <w:t>entre elles. S</w:t>
      </w:r>
      <w:r w:rsidR="00EA7588">
        <w:t>’</w:t>
      </w:r>
      <w:r>
        <w:t>il des obstacles entravent la libre circulation de l</w:t>
      </w:r>
      <w:r w:rsidR="00EA7588">
        <w:t>’</w:t>
      </w:r>
      <w:r>
        <w:t>air à l</w:t>
      </w:r>
      <w:r w:rsidR="00EA7588">
        <w:t>’</w:t>
      </w:r>
      <w:r>
        <w:t>intérieur de la chambre, il convient de prévoir des ouvertures pour y remédier.</w:t>
      </w:r>
    </w:p>
    <w:p w14:paraId="45CE7D4D" w14:textId="45756071" w:rsidR="00431690" w:rsidRPr="00937C8B" w:rsidRDefault="00431690" w:rsidP="00425ADA">
      <w:pPr>
        <w:pStyle w:val="CTENumeracion"/>
        <w:numPr>
          <w:ilvl w:val="0"/>
          <w:numId w:val="59"/>
        </w:numPr>
        <w:tabs>
          <w:tab w:val="clear" w:pos="567"/>
        </w:tabs>
        <w:suppressAutoHyphens/>
        <w:spacing w:before="0"/>
        <w:ind w:left="425" w:hanging="425"/>
        <w:rPr>
          <w:szCs w:val="20"/>
        </w:rPr>
      </w:pPr>
      <w:r>
        <w:t xml:space="preserve">Pour la </w:t>
      </w:r>
      <w:r>
        <w:rPr>
          <w:i/>
          <w:iCs/>
        </w:rPr>
        <w:t>ventilation naturelle</w:t>
      </w:r>
      <w:r>
        <w:t xml:space="preserve"> d</w:t>
      </w:r>
      <w:r w:rsidR="00EA7588">
        <w:t>’</w:t>
      </w:r>
      <w:r>
        <w:t>une chambre de ventilation verticale, sauf si une autre distribution est justifiée par des études spécifiques, il convient de disposer les ouvertures de ventilation dans la partie supérieure de ladite chambre, à proximité de la face extérieure du mur à protéger, de sorte que l</w:t>
      </w:r>
      <w:r w:rsidR="00EA7588">
        <w:t>’</w:t>
      </w:r>
      <w:r>
        <w:t>ensemble des ouvertures représente au moins 10 cm</w:t>
      </w:r>
      <w:r>
        <w:rPr>
          <w:vertAlign w:val="superscript"/>
        </w:rPr>
        <w:t>2</w:t>
      </w:r>
      <w:r>
        <w:t xml:space="preserve"> par mètre linéaire.</w:t>
      </w:r>
    </w:p>
    <w:p w14:paraId="1DA9BAFB" w14:textId="77777777" w:rsidR="00431690" w:rsidRPr="00937C8B" w:rsidRDefault="00431690" w:rsidP="00425ADA">
      <w:pPr>
        <w:pStyle w:val="CTENumeracion"/>
        <w:numPr>
          <w:ilvl w:val="0"/>
          <w:numId w:val="59"/>
        </w:numPr>
        <w:tabs>
          <w:tab w:val="clear" w:pos="567"/>
          <w:tab w:val="num" w:pos="426"/>
        </w:tabs>
        <w:suppressAutoHyphens/>
        <w:spacing w:before="0"/>
        <w:ind w:left="425" w:hanging="425"/>
        <w:rPr>
          <w:szCs w:val="20"/>
        </w:rPr>
      </w:pPr>
      <w:r>
        <w:t xml:space="preserve">Si des </w:t>
      </w:r>
      <w:r>
        <w:rPr>
          <w:i/>
          <w:iCs/>
        </w:rPr>
        <w:t>enceintes non habitables</w:t>
      </w:r>
      <w:r>
        <w:t xml:space="preserve"> sont utilisées comme espaces de contention, la ventilation minimale établie par le DB HS3 ou par le RITE, selon le cas, s’applique.</w:t>
      </w:r>
    </w:p>
    <w:p w14:paraId="1376F804" w14:textId="0F5AF4C0" w:rsidR="00431690" w:rsidRPr="00937C8B" w:rsidRDefault="00431690" w:rsidP="00425ADA">
      <w:pPr>
        <w:pStyle w:val="CTENumeracion"/>
        <w:numPr>
          <w:ilvl w:val="0"/>
          <w:numId w:val="59"/>
        </w:numPr>
        <w:tabs>
          <w:tab w:val="clear" w:pos="567"/>
          <w:tab w:val="num" w:pos="426"/>
        </w:tabs>
        <w:suppressAutoHyphens/>
        <w:spacing w:before="0"/>
        <w:ind w:left="425" w:hanging="425"/>
        <w:rPr>
          <w:szCs w:val="20"/>
        </w:rPr>
      </w:pPr>
      <w:r>
        <w:t>Pour les bâtiments existants ne disposant pas de chambre de ventilation, une chambre peut être aménagée qui, sans nécessairement regrouper les mêmes caractéristiques, améliore la protection contre le radon. Une telle chambre peut être construite à l</w:t>
      </w:r>
      <w:r w:rsidR="00EA7588">
        <w:t>’</w:t>
      </w:r>
      <w:r>
        <w:t>intérieur de la cloison en contact avec le terrain. Elle doit être continue et couvrir toute la surface à protéger. Elle doit également être connectée à l</w:t>
      </w:r>
      <w:r w:rsidR="00EA7588">
        <w:t>’</w:t>
      </w:r>
      <w:r>
        <w:t>extérieur et avoir une hauteur ou une épaisseur d</w:t>
      </w:r>
      <w:r w:rsidR="00EA7588">
        <w:t>’</w:t>
      </w:r>
      <w:r>
        <w:t>au moins 5 cm.</w:t>
      </w:r>
    </w:p>
    <w:p w14:paraId="56157A35" w14:textId="1B201DCF" w:rsidR="00431690" w:rsidRPr="00937C8B" w:rsidRDefault="00431690" w:rsidP="00425ADA">
      <w:pPr>
        <w:pStyle w:val="CTENumeracion"/>
        <w:numPr>
          <w:ilvl w:val="0"/>
          <w:numId w:val="59"/>
        </w:numPr>
        <w:tabs>
          <w:tab w:val="clear" w:pos="567"/>
          <w:tab w:val="num" w:pos="426"/>
        </w:tabs>
        <w:suppressAutoHyphens/>
        <w:spacing w:before="0"/>
        <w:ind w:left="425" w:hanging="425"/>
        <w:rPr>
          <w:szCs w:val="20"/>
        </w:rPr>
      </w:pPr>
      <w:r>
        <w:t>L</w:t>
      </w:r>
      <w:r w:rsidR="00EA7588">
        <w:t>’</w:t>
      </w:r>
      <w:r>
        <w:t xml:space="preserve">efficacité de la solution doit être vérifiée expérimentalement au moyen de mesures de </w:t>
      </w:r>
      <w:r>
        <w:rPr>
          <w:i/>
          <w:iCs/>
        </w:rPr>
        <w:t>concentration de radon</w:t>
      </w:r>
      <w:r>
        <w:t xml:space="preserve"> après l’intervention, conformément à l</w:t>
      </w:r>
      <w:r w:rsidR="00EA7588">
        <w:t>’</w:t>
      </w:r>
      <w:r>
        <w:t xml:space="preserve">annexe C. </w:t>
      </w:r>
    </w:p>
    <w:p w14:paraId="10FE2B68" w14:textId="112D6FFA" w:rsidR="00431690" w:rsidRPr="00937C8B" w:rsidRDefault="00431690" w:rsidP="00425ADA">
      <w:pPr>
        <w:pStyle w:val="CTENumeracion"/>
        <w:numPr>
          <w:ilvl w:val="0"/>
          <w:numId w:val="59"/>
        </w:numPr>
        <w:tabs>
          <w:tab w:val="clear" w:pos="567"/>
          <w:tab w:val="num" w:pos="426"/>
        </w:tabs>
        <w:suppressAutoHyphens/>
        <w:spacing w:before="0"/>
        <w:ind w:left="425" w:hanging="425"/>
        <w:rPr>
          <w:szCs w:val="20"/>
        </w:rPr>
      </w:pPr>
      <w:r>
        <w:t>Si les conditions nécessaires à la mise en place d</w:t>
      </w:r>
      <w:r w:rsidR="00EA7588">
        <w:t>’</w:t>
      </w:r>
      <w:r>
        <w:t xml:space="preserve">une </w:t>
      </w:r>
      <w:r>
        <w:rPr>
          <w:i/>
          <w:iCs/>
        </w:rPr>
        <w:t>ventilation naturelle</w:t>
      </w:r>
      <w:r>
        <w:t xml:space="preserve"> ne sont pas remplies, ou s</w:t>
      </w:r>
      <w:r w:rsidR="00EA7588">
        <w:t>’</w:t>
      </w:r>
      <w:r>
        <w:t>il est jugé nécessaire d</w:t>
      </w:r>
      <w:r w:rsidR="00EA7588">
        <w:t>’</w:t>
      </w:r>
      <w:r>
        <w:t>améliorer l</w:t>
      </w:r>
      <w:r w:rsidR="00EA7588">
        <w:t>’</w:t>
      </w:r>
      <w:r>
        <w:t>efficacité de l</w:t>
      </w:r>
      <w:r w:rsidR="00EA7588">
        <w:t>’</w:t>
      </w:r>
      <w:r>
        <w:t xml:space="preserve">installation dans le cas où les mesures de </w:t>
      </w:r>
      <w:r>
        <w:rPr>
          <w:i/>
          <w:iCs/>
        </w:rPr>
        <w:t>concentration de radon</w:t>
      </w:r>
      <w:r>
        <w:t xml:space="preserve"> après l</w:t>
      </w:r>
      <w:r w:rsidR="00EA7588">
        <w:t>’</w:t>
      </w:r>
      <w:r>
        <w:t>intervention ne sont pas acceptables, il convient de disposer des extracteurs mécaniques. Dans ce cas, les ouvertures seront dimensionnées en fonction des caractéristiques spécifiques de la chambre, et les ouvertures d</w:t>
      </w:r>
      <w:r w:rsidR="00EA7588">
        <w:t>’</w:t>
      </w:r>
      <w:r>
        <w:t>admission seront situées le plus loin possible de l</w:t>
      </w:r>
      <w:r w:rsidR="00EA7588">
        <w:t>’</w:t>
      </w:r>
      <w:r>
        <w:t>ouverture d</w:t>
      </w:r>
      <w:r w:rsidR="00EA7588">
        <w:t>’</w:t>
      </w:r>
      <w:r>
        <w:t>extraction pour faciliter la ventilation de l</w:t>
      </w:r>
      <w:r w:rsidR="00EA7588">
        <w:t>’</w:t>
      </w:r>
      <w:r>
        <w:t>espace. L’emplacement des bouches d’extraction doit se conformer aux spécifications de l’article 3.2.1 du DB HS3, à l</w:t>
      </w:r>
      <w:r w:rsidR="00EA7588">
        <w:t>’</w:t>
      </w:r>
      <w:r>
        <w:t>exception de la disposition sur la toiture, qui est facultative.</w:t>
      </w:r>
    </w:p>
    <w:p w14:paraId="01D3FAB2" w14:textId="77777777" w:rsidR="00431690" w:rsidRPr="00937C8B" w:rsidRDefault="00431690" w:rsidP="00431690">
      <w:pPr>
        <w:pStyle w:val="CteTtulo2"/>
        <w:tabs>
          <w:tab w:val="left" w:pos="454"/>
        </w:tabs>
        <w:spacing w:before="280"/>
        <w:rPr>
          <w:szCs w:val="24"/>
        </w:rPr>
      </w:pPr>
      <w:bookmarkStart w:id="349" w:name="_Toc39157995"/>
      <w:bookmarkStart w:id="350" w:name="_Toc39158159"/>
      <w:r>
        <w:t>3.3</w:t>
      </w:r>
      <w:r>
        <w:tab/>
      </w:r>
      <w:r>
        <w:rPr>
          <w:i/>
          <w:iCs/>
        </w:rPr>
        <w:t>Dépressurisation du terrain</w:t>
      </w:r>
      <w:bookmarkEnd w:id="349"/>
      <w:bookmarkEnd w:id="350"/>
    </w:p>
    <w:p w14:paraId="3C451DD6" w14:textId="2D511D7C" w:rsidR="00431690" w:rsidRPr="00937C8B" w:rsidRDefault="00431690" w:rsidP="00425ADA">
      <w:pPr>
        <w:pStyle w:val="CTENumeracion"/>
        <w:numPr>
          <w:ilvl w:val="0"/>
          <w:numId w:val="41"/>
        </w:numPr>
        <w:tabs>
          <w:tab w:val="clear" w:pos="567"/>
        </w:tabs>
        <w:suppressAutoHyphens/>
        <w:spacing w:before="0"/>
        <w:ind w:left="425" w:hanging="425"/>
        <w:rPr>
          <w:szCs w:val="20"/>
        </w:rPr>
      </w:pPr>
      <w:r>
        <w:t xml:space="preserve">Le système de </w:t>
      </w:r>
      <w:r>
        <w:rPr>
          <w:i/>
          <w:iCs/>
        </w:rPr>
        <w:t>dépressurisation du terrain</w:t>
      </w:r>
      <w:r>
        <w:t xml:space="preserve"> sera configuré au moyen d</w:t>
      </w:r>
      <w:r w:rsidR="00EA7588">
        <w:t>’</w:t>
      </w:r>
      <w:r>
        <w:t>un réseau d</w:t>
      </w:r>
      <w:r w:rsidR="00EA7588">
        <w:t>’</w:t>
      </w:r>
      <w:r>
        <w:t>éléments de captage, constitué de puisards ou de tuyaux perforés installés dans une couche de remblai granulaire favorisant la circulation de l</w:t>
      </w:r>
      <w:r w:rsidR="00EA7588">
        <w:t>’</w:t>
      </w:r>
      <w:r>
        <w:t>air, situé sous le bâtiment, relié à un conduit d</w:t>
      </w:r>
      <w:r w:rsidR="00EA7588">
        <w:t>’</w:t>
      </w:r>
      <w:r>
        <w:t>extraction et à un système d’extraction mécanique.</w:t>
      </w:r>
    </w:p>
    <w:p w14:paraId="429663CD" w14:textId="36D635DE" w:rsidR="00431690" w:rsidRPr="00937C8B" w:rsidRDefault="00431690" w:rsidP="00425ADA">
      <w:pPr>
        <w:pStyle w:val="CTENumeracion"/>
        <w:numPr>
          <w:ilvl w:val="0"/>
          <w:numId w:val="41"/>
        </w:numPr>
        <w:tabs>
          <w:tab w:val="clear" w:pos="567"/>
        </w:tabs>
        <w:suppressAutoHyphens/>
        <w:spacing w:before="0"/>
        <w:ind w:left="425" w:hanging="425"/>
        <w:rPr>
          <w:szCs w:val="20"/>
        </w:rPr>
      </w:pPr>
      <w:r>
        <w:lastRenderedPageBreak/>
        <w:t>L’emplacement des bouches d’extraction doit se conformer aux spécifications de l’article 3.2.1 du DB HS3. S</w:t>
      </w:r>
      <w:r w:rsidR="00EA7588">
        <w:t>’</w:t>
      </w:r>
      <w:r>
        <w:t>il n’est pas possible de les disposer sur la toiture, les autres conditions décrites dans ledit article doivent être remplies.</w:t>
      </w:r>
    </w:p>
    <w:p w14:paraId="1E7F7DC6" w14:textId="2D35A3A3" w:rsidR="00431690" w:rsidRPr="00937C8B" w:rsidRDefault="00431690" w:rsidP="00425ADA">
      <w:pPr>
        <w:pStyle w:val="CTENumeracion"/>
        <w:numPr>
          <w:ilvl w:val="0"/>
          <w:numId w:val="41"/>
        </w:numPr>
        <w:tabs>
          <w:tab w:val="clear" w:pos="567"/>
        </w:tabs>
        <w:suppressAutoHyphens/>
        <w:spacing w:before="0"/>
        <w:ind w:left="425" w:hanging="425"/>
        <w:rPr>
          <w:szCs w:val="20"/>
        </w:rPr>
      </w:pPr>
      <w:r>
        <w:t>Dans le cas d</w:t>
      </w:r>
      <w:r w:rsidR="00EA7588">
        <w:t>’</w:t>
      </w:r>
      <w:r>
        <w:t>interventions sur des bâtiments existants, s</w:t>
      </w:r>
      <w:r w:rsidR="00EA7588">
        <w:t>’</w:t>
      </w:r>
      <w:r>
        <w:t>il n</w:t>
      </w:r>
      <w:r w:rsidR="00EA7588">
        <w:t>’</w:t>
      </w:r>
      <w:r>
        <w:t>est pas possible d</w:t>
      </w:r>
      <w:r w:rsidR="00EA7588">
        <w:t>’</w:t>
      </w:r>
      <w:r>
        <w:t>installer le système sous le bâtiment depuis le sol ou depuis l</w:t>
      </w:r>
      <w:r w:rsidR="00EA7588">
        <w:t>’</w:t>
      </w:r>
      <w:r>
        <w:t>extérieur, il peut être installé autour de ce dernier, sur le terrain extérieur jouxtant le bâtiment. Dans tous ces cas, il est obligatoire de procéder à une étude spécifique des fondations et de la circulation de l</w:t>
      </w:r>
      <w:r w:rsidR="00EA7588">
        <w:t>’</w:t>
      </w:r>
      <w:r>
        <w:t>air sous le bâtiment.</w:t>
      </w:r>
    </w:p>
    <w:p w14:paraId="1C08E7A7" w14:textId="64561483" w:rsidR="00431690" w:rsidRPr="00937C8B" w:rsidRDefault="00431690" w:rsidP="00425ADA">
      <w:pPr>
        <w:pStyle w:val="CTENumeracion"/>
        <w:numPr>
          <w:ilvl w:val="0"/>
          <w:numId w:val="41"/>
        </w:numPr>
        <w:tabs>
          <w:tab w:val="clear" w:pos="567"/>
          <w:tab w:val="num" w:pos="426"/>
        </w:tabs>
        <w:suppressAutoHyphens/>
        <w:spacing w:before="0"/>
        <w:ind w:left="425" w:hanging="425"/>
        <w:rPr>
          <w:szCs w:val="20"/>
        </w:rPr>
      </w:pPr>
      <w:r>
        <w:t>Si la couche de remblai n</w:t>
      </w:r>
      <w:r w:rsidR="00EA7588">
        <w:t>’</w:t>
      </w:r>
      <w:r>
        <w:t>est pas continue sous le sol en raison de la présence d</w:t>
      </w:r>
      <w:r w:rsidR="00EA7588">
        <w:t>’</w:t>
      </w:r>
      <w:r>
        <w:t>obstacles, tels que des éléments de la fondation, cette continuité doit être facilitée en ouvrant des espaces dans ces derniers, ou, si cela n</w:t>
      </w:r>
      <w:r w:rsidR="00EA7588">
        <w:t>’</w:t>
      </w:r>
      <w:r>
        <w:t>est pas possible, en plaçant des éléments de captage dans chacune des zones.</w:t>
      </w:r>
    </w:p>
    <w:p w14:paraId="1CABB987" w14:textId="77777777" w:rsidR="00431690" w:rsidRPr="00937C8B" w:rsidRDefault="00431690" w:rsidP="00425ADA">
      <w:pPr>
        <w:pStyle w:val="CTENumeracion"/>
        <w:numPr>
          <w:ilvl w:val="0"/>
          <w:numId w:val="41"/>
        </w:numPr>
        <w:tabs>
          <w:tab w:val="clear" w:pos="567"/>
          <w:tab w:val="num" w:pos="426"/>
        </w:tabs>
        <w:suppressAutoHyphens/>
        <w:spacing w:before="0"/>
        <w:ind w:left="425" w:hanging="425"/>
        <w:rPr>
          <w:szCs w:val="20"/>
        </w:rPr>
      </w:pPr>
      <w:r>
        <w:t>Un système similaire peut être utilisé pour les murs, adapté à leurs caractéristiques particulières.</w:t>
      </w:r>
    </w:p>
    <w:p w14:paraId="02F92AF1" w14:textId="0A6775C4" w:rsidR="00431690" w:rsidRPr="00937C8B" w:rsidRDefault="00431690" w:rsidP="00431690">
      <w:pPr>
        <w:pStyle w:val="CTENumeracion"/>
        <w:suppressAutoHyphens/>
        <w:spacing w:before="0"/>
        <w:ind w:left="425" w:hanging="425"/>
        <w:rPr>
          <w:szCs w:val="20"/>
        </w:rPr>
      </w:pPr>
      <w:r>
        <w:t>6</w:t>
      </w:r>
      <w:r>
        <w:tab/>
        <w:t>L</w:t>
      </w:r>
      <w:r w:rsidR="00EA7588">
        <w:t>’</w:t>
      </w:r>
      <w:r>
        <w:t xml:space="preserve">efficacité du système doit être vérifié expérimentalement au moyen de mesures de </w:t>
      </w:r>
      <w:r>
        <w:rPr>
          <w:i/>
          <w:iCs/>
        </w:rPr>
        <w:t>concentration de radon</w:t>
      </w:r>
      <w:r>
        <w:t xml:space="preserve"> après l’intervention, conformément à l</w:t>
      </w:r>
      <w:r w:rsidR="00EA7588">
        <w:t>’</w:t>
      </w:r>
      <w:r>
        <w:t xml:space="preserve">annexe C. </w:t>
      </w:r>
    </w:p>
    <w:p w14:paraId="2BF10A30" w14:textId="7DFC00BE" w:rsidR="00431690" w:rsidRPr="00937C8B" w:rsidRDefault="00431690" w:rsidP="00431690">
      <w:pPr>
        <w:pStyle w:val="CTENumeracion"/>
        <w:suppressAutoHyphens/>
        <w:spacing w:before="0"/>
        <w:ind w:left="425" w:hanging="425"/>
        <w:rPr>
          <w:szCs w:val="20"/>
        </w:rPr>
      </w:pPr>
      <w:r>
        <w:t>7</w:t>
      </w:r>
      <w:r>
        <w:tab/>
        <w:t>Si les mesures n</w:t>
      </w:r>
      <w:r w:rsidR="00EA7588">
        <w:t>’</w:t>
      </w:r>
      <w:r>
        <w:t>offrent pas de valeurs acceptables et qu’il est jugé nécessaire d</w:t>
      </w:r>
      <w:r w:rsidR="00EA7588">
        <w:t>’</w:t>
      </w:r>
      <w:r>
        <w:t>améliorer l</w:t>
      </w:r>
      <w:r w:rsidR="00EA7588">
        <w:t>’</w:t>
      </w:r>
      <w:r>
        <w:t>efficacité de l</w:t>
      </w:r>
      <w:r w:rsidR="00EA7588">
        <w:t>’</w:t>
      </w:r>
      <w:r>
        <w:t>installation, il convient d’augmenter le débit d</w:t>
      </w:r>
      <w:r w:rsidR="00EA7588">
        <w:t>’</w:t>
      </w:r>
      <w:r>
        <w:t>extraction, d’introduire de nouveaux éléments de captage, ou de mettre en place d</w:t>
      </w:r>
      <w:r w:rsidR="00EA7588">
        <w:t>’</w:t>
      </w:r>
      <w:r>
        <w:t xml:space="preserve">autres solutions. </w:t>
      </w:r>
    </w:p>
    <w:p w14:paraId="5920947A" w14:textId="77777777" w:rsidR="00431690" w:rsidRPr="00937C8B" w:rsidRDefault="00431690" w:rsidP="00831B50">
      <w:pPr>
        <w:keepNext/>
        <w:tabs>
          <w:tab w:val="left" w:pos="426"/>
        </w:tabs>
        <w:spacing w:before="480" w:after="160"/>
        <w:outlineLvl w:val="0"/>
        <w:rPr>
          <w:rFonts w:ascii="Arial" w:eastAsia="Calibri" w:hAnsi="Arial" w:cs="Arial"/>
          <w:b/>
          <w:bCs/>
          <w:noProof/>
          <w:kern w:val="32"/>
          <w:sz w:val="28"/>
          <w:szCs w:val="28"/>
        </w:rPr>
      </w:pPr>
      <w:bookmarkStart w:id="351" w:name="_Toc39157996"/>
      <w:bookmarkStart w:id="352" w:name="_Toc39158160"/>
      <w:r>
        <w:rPr>
          <w:rFonts w:ascii="Arial" w:hAnsi="Arial"/>
          <w:b/>
          <w:bCs/>
          <w:sz w:val="28"/>
          <w:szCs w:val="28"/>
        </w:rPr>
        <w:t>4</w:t>
      </w:r>
      <w:r>
        <w:rPr>
          <w:rFonts w:ascii="Arial" w:hAnsi="Arial"/>
          <w:b/>
          <w:bCs/>
          <w:sz w:val="28"/>
          <w:szCs w:val="28"/>
        </w:rPr>
        <w:tab/>
        <w:t>Produits de construction</w:t>
      </w:r>
      <w:bookmarkEnd w:id="351"/>
      <w:bookmarkEnd w:id="352"/>
    </w:p>
    <w:p w14:paraId="51ECF046" w14:textId="77777777" w:rsidR="00431690" w:rsidRPr="00937C8B" w:rsidRDefault="00431690" w:rsidP="00431690">
      <w:pPr>
        <w:pStyle w:val="CteTtulo2"/>
        <w:tabs>
          <w:tab w:val="left" w:pos="454"/>
        </w:tabs>
        <w:spacing w:before="280"/>
        <w:rPr>
          <w:szCs w:val="24"/>
        </w:rPr>
      </w:pPr>
      <w:bookmarkStart w:id="353" w:name="_Toc39157997"/>
      <w:bookmarkStart w:id="354" w:name="_Toc39158161"/>
      <w:r>
        <w:t>4.1</w:t>
      </w:r>
      <w:r>
        <w:tab/>
        <w:t>Exigences relatives aux produits</w:t>
      </w:r>
      <w:bookmarkEnd w:id="353"/>
      <w:bookmarkEnd w:id="354"/>
    </w:p>
    <w:p w14:paraId="09CA931C" w14:textId="77777777" w:rsidR="00431690" w:rsidRPr="00937C8B" w:rsidRDefault="00431690" w:rsidP="00D27646">
      <w:pPr>
        <w:pStyle w:val="CTENumeracion"/>
        <w:keepNext/>
        <w:numPr>
          <w:ilvl w:val="0"/>
          <w:numId w:val="42"/>
        </w:numPr>
        <w:tabs>
          <w:tab w:val="clear" w:pos="567"/>
        </w:tabs>
        <w:suppressAutoHyphens/>
        <w:spacing w:before="0"/>
        <w:ind w:left="426" w:hanging="426"/>
        <w:rPr>
          <w:rFonts w:cs="Arial"/>
          <w:szCs w:val="20"/>
        </w:rPr>
      </w:pPr>
      <w:r>
        <w:t>De manière générale, tous les matériaux à utiliser dans les systèmes de protection contre le radon doivent:</w:t>
      </w:r>
    </w:p>
    <w:p w14:paraId="3B7A5F4E" w14:textId="77777777" w:rsidR="00431690" w:rsidRPr="00937C8B" w:rsidRDefault="00431690" w:rsidP="00425ADA">
      <w:pPr>
        <w:numPr>
          <w:ilvl w:val="6"/>
          <w:numId w:val="29"/>
        </w:numPr>
        <w:tabs>
          <w:tab w:val="clear" w:pos="720"/>
          <w:tab w:val="left" w:pos="1276"/>
        </w:tabs>
        <w:spacing w:after="60"/>
        <w:ind w:left="851" w:hanging="454"/>
        <w:jc w:val="both"/>
        <w:rPr>
          <w:rFonts w:ascii="Arial" w:hAnsi="Arial" w:cs="Arial"/>
          <w:sz w:val="20"/>
          <w:szCs w:val="20"/>
        </w:rPr>
      </w:pPr>
      <w:r>
        <w:rPr>
          <w:rFonts w:ascii="Arial" w:hAnsi="Arial"/>
          <w:sz w:val="20"/>
          <w:szCs w:val="20"/>
        </w:rPr>
        <w:t>se conformer aux dispositions des articles précédents;</w:t>
      </w:r>
    </w:p>
    <w:p w14:paraId="60A70DC6" w14:textId="77777777" w:rsidR="00431690" w:rsidRPr="00937C8B" w:rsidRDefault="00431690" w:rsidP="00425ADA">
      <w:pPr>
        <w:numPr>
          <w:ilvl w:val="6"/>
          <w:numId w:val="29"/>
        </w:numPr>
        <w:tabs>
          <w:tab w:val="clear" w:pos="720"/>
          <w:tab w:val="left" w:pos="1276"/>
        </w:tabs>
        <w:spacing w:after="60"/>
        <w:ind w:left="851" w:hanging="454"/>
        <w:jc w:val="both"/>
        <w:rPr>
          <w:rFonts w:ascii="Arial" w:hAnsi="Arial" w:cs="Arial"/>
          <w:sz w:val="20"/>
          <w:szCs w:val="20"/>
        </w:rPr>
      </w:pPr>
      <w:r>
        <w:rPr>
          <w:rFonts w:ascii="Arial" w:hAnsi="Arial"/>
          <w:sz w:val="20"/>
          <w:szCs w:val="20"/>
        </w:rPr>
        <w:t>se conformer aux dispositions de la législation en vigueur;</w:t>
      </w:r>
    </w:p>
    <w:p w14:paraId="03C847FD" w14:textId="77777777" w:rsidR="00431690" w:rsidRPr="00937C8B" w:rsidRDefault="00431690" w:rsidP="002D2C01">
      <w:pPr>
        <w:numPr>
          <w:ilvl w:val="6"/>
          <w:numId w:val="29"/>
        </w:numPr>
        <w:tabs>
          <w:tab w:val="clear" w:pos="720"/>
          <w:tab w:val="left" w:pos="1276"/>
        </w:tabs>
        <w:spacing w:after="60"/>
        <w:ind w:left="851" w:hanging="454"/>
        <w:jc w:val="both"/>
        <w:rPr>
          <w:rFonts w:ascii="Arial" w:hAnsi="Arial" w:cs="Arial"/>
          <w:sz w:val="20"/>
          <w:szCs w:val="20"/>
        </w:rPr>
      </w:pPr>
      <w:r>
        <w:rPr>
          <w:rFonts w:ascii="Arial" w:hAnsi="Arial"/>
          <w:sz w:val="20"/>
          <w:szCs w:val="20"/>
        </w:rPr>
        <w:t>être capables de fonctionner efficacement dans les conditions de service prévues.</w:t>
      </w:r>
    </w:p>
    <w:p w14:paraId="357E6D55" w14:textId="77777777" w:rsidR="00431690" w:rsidRPr="00937C8B" w:rsidRDefault="00431690" w:rsidP="00431690">
      <w:pPr>
        <w:pStyle w:val="CteTtulo2"/>
        <w:tabs>
          <w:tab w:val="left" w:pos="454"/>
        </w:tabs>
        <w:spacing w:before="280"/>
        <w:rPr>
          <w:szCs w:val="24"/>
        </w:rPr>
      </w:pPr>
      <w:bookmarkStart w:id="355" w:name="_Toc51478615"/>
      <w:bookmarkStart w:id="356" w:name="_Toc39157998"/>
      <w:bookmarkStart w:id="357" w:name="_Toc39158162"/>
      <w:r>
        <w:t>4.2</w:t>
      </w:r>
      <w:r>
        <w:tab/>
      </w:r>
      <w:bookmarkEnd w:id="355"/>
      <w:r>
        <w:t>Contrôle de la réception des produits sur le chantier</w:t>
      </w:r>
      <w:bookmarkEnd w:id="356"/>
      <w:bookmarkEnd w:id="357"/>
    </w:p>
    <w:p w14:paraId="4E35271A" w14:textId="14E4DB41" w:rsidR="00431690" w:rsidRPr="00937C8B" w:rsidRDefault="00431690" w:rsidP="002D2C01">
      <w:pPr>
        <w:pStyle w:val="CTENumeracion"/>
        <w:numPr>
          <w:ilvl w:val="0"/>
          <w:numId w:val="43"/>
        </w:numPr>
        <w:tabs>
          <w:tab w:val="clear" w:pos="567"/>
        </w:tabs>
        <w:suppressAutoHyphens/>
        <w:spacing w:before="0"/>
        <w:ind w:left="426" w:hanging="426"/>
        <w:rPr>
          <w:rFonts w:cs="Arial"/>
          <w:szCs w:val="20"/>
        </w:rPr>
      </w:pPr>
      <w:r>
        <w:t>Le cahier des charges du projet doit indiquer les conditions particulières du contrôle pour la réception des produits, y compris les essais nécessaires afin de vérifier qu</w:t>
      </w:r>
      <w:r w:rsidR="00EA7588">
        <w:t>’</w:t>
      </w:r>
      <w:r>
        <w:t>ils satisfont aux exigences des articles précédents.</w:t>
      </w:r>
    </w:p>
    <w:p w14:paraId="6829E663" w14:textId="77777777" w:rsidR="00431690" w:rsidRPr="00937C8B" w:rsidRDefault="00431690" w:rsidP="00D27646">
      <w:pPr>
        <w:pStyle w:val="CTENumeracion"/>
        <w:keepNext/>
        <w:numPr>
          <w:ilvl w:val="0"/>
          <w:numId w:val="43"/>
        </w:numPr>
        <w:tabs>
          <w:tab w:val="clear" w:pos="567"/>
          <w:tab w:val="num" w:pos="426"/>
        </w:tabs>
        <w:suppressAutoHyphens/>
        <w:spacing w:before="0"/>
        <w:rPr>
          <w:rFonts w:cs="Arial"/>
          <w:szCs w:val="20"/>
        </w:rPr>
      </w:pPr>
      <w:r>
        <w:t>Il convient de vérifier que les produits reçus:</w:t>
      </w:r>
    </w:p>
    <w:p w14:paraId="2A784AEB" w14:textId="77777777" w:rsidR="00431690" w:rsidRPr="00937C8B" w:rsidRDefault="00431690" w:rsidP="00425ADA">
      <w:pPr>
        <w:numPr>
          <w:ilvl w:val="6"/>
          <w:numId w:val="62"/>
        </w:numPr>
        <w:tabs>
          <w:tab w:val="clear" w:pos="5040"/>
          <w:tab w:val="left" w:pos="907"/>
          <w:tab w:val="num" w:pos="1276"/>
        </w:tabs>
        <w:spacing w:after="60"/>
        <w:ind w:left="851" w:hanging="425"/>
        <w:jc w:val="both"/>
        <w:rPr>
          <w:rFonts w:ascii="Arial" w:hAnsi="Arial" w:cs="Arial"/>
          <w:sz w:val="20"/>
          <w:szCs w:val="20"/>
        </w:rPr>
      </w:pPr>
      <w:r>
        <w:rPr>
          <w:rFonts w:ascii="Arial" w:hAnsi="Arial"/>
          <w:sz w:val="20"/>
          <w:szCs w:val="20"/>
        </w:rPr>
        <w:t>correspondent aux spécifications du cahier des charges;</w:t>
      </w:r>
    </w:p>
    <w:p w14:paraId="63DEE2E0" w14:textId="77777777" w:rsidR="00431690" w:rsidRPr="00937C8B" w:rsidRDefault="00431690" w:rsidP="00425ADA">
      <w:pPr>
        <w:numPr>
          <w:ilvl w:val="6"/>
          <w:numId w:val="62"/>
        </w:numPr>
        <w:tabs>
          <w:tab w:val="clear" w:pos="5040"/>
          <w:tab w:val="left" w:pos="907"/>
          <w:tab w:val="num" w:pos="1276"/>
        </w:tabs>
        <w:spacing w:after="60"/>
        <w:ind w:left="851" w:hanging="425"/>
        <w:jc w:val="both"/>
        <w:rPr>
          <w:rFonts w:ascii="Arial" w:hAnsi="Arial" w:cs="Arial"/>
          <w:sz w:val="20"/>
          <w:szCs w:val="20"/>
        </w:rPr>
      </w:pPr>
      <w:r>
        <w:rPr>
          <w:rFonts w:ascii="Arial" w:hAnsi="Arial"/>
          <w:sz w:val="20"/>
          <w:szCs w:val="20"/>
        </w:rPr>
        <w:t>sont accompagnés de la documentation exigée;</w:t>
      </w:r>
    </w:p>
    <w:p w14:paraId="78B28C7B" w14:textId="77777777" w:rsidR="00431690" w:rsidRPr="00937C8B" w:rsidRDefault="00431690" w:rsidP="00425ADA">
      <w:pPr>
        <w:numPr>
          <w:ilvl w:val="6"/>
          <w:numId w:val="62"/>
        </w:numPr>
        <w:tabs>
          <w:tab w:val="clear" w:pos="5040"/>
          <w:tab w:val="left" w:pos="907"/>
          <w:tab w:val="num" w:pos="1276"/>
        </w:tabs>
        <w:spacing w:after="60"/>
        <w:ind w:left="851" w:hanging="425"/>
        <w:jc w:val="both"/>
        <w:rPr>
          <w:rFonts w:ascii="Arial" w:hAnsi="Arial" w:cs="Arial"/>
          <w:sz w:val="20"/>
          <w:szCs w:val="20"/>
        </w:rPr>
      </w:pPr>
      <w:r>
        <w:rPr>
          <w:rFonts w:ascii="Arial" w:hAnsi="Arial"/>
          <w:sz w:val="20"/>
          <w:szCs w:val="20"/>
        </w:rPr>
        <w:t>se caractérisent par les propriétés exigées;</w:t>
      </w:r>
    </w:p>
    <w:p w14:paraId="74C4341B" w14:textId="33CF0188" w:rsidR="00431690" w:rsidRPr="00937C8B" w:rsidRDefault="00431690" w:rsidP="00425ADA">
      <w:pPr>
        <w:numPr>
          <w:ilvl w:val="6"/>
          <w:numId w:val="62"/>
        </w:numPr>
        <w:tabs>
          <w:tab w:val="clear" w:pos="5040"/>
          <w:tab w:val="left" w:pos="907"/>
          <w:tab w:val="num" w:pos="1276"/>
        </w:tabs>
        <w:spacing w:after="60"/>
        <w:ind w:left="851" w:hanging="425"/>
        <w:jc w:val="both"/>
        <w:rPr>
          <w:rFonts w:ascii="Arial" w:hAnsi="Arial" w:cs="Arial"/>
          <w:sz w:val="20"/>
          <w:szCs w:val="20"/>
        </w:rPr>
      </w:pPr>
      <w:r>
        <w:rPr>
          <w:rFonts w:ascii="Arial" w:hAnsi="Arial"/>
          <w:sz w:val="20"/>
          <w:szCs w:val="20"/>
        </w:rPr>
        <w:t>ont fait l</w:t>
      </w:r>
      <w:r w:rsidR="00EA7588">
        <w:rPr>
          <w:rFonts w:ascii="Arial" w:hAnsi="Arial"/>
          <w:sz w:val="20"/>
          <w:szCs w:val="20"/>
        </w:rPr>
        <w:t>’</w:t>
      </w:r>
      <w:r>
        <w:rPr>
          <w:rFonts w:ascii="Arial" w:hAnsi="Arial"/>
          <w:sz w:val="20"/>
          <w:szCs w:val="20"/>
        </w:rPr>
        <w:t>objet d</w:t>
      </w:r>
      <w:r w:rsidR="00EA7588">
        <w:rPr>
          <w:rFonts w:ascii="Arial" w:hAnsi="Arial"/>
          <w:sz w:val="20"/>
          <w:szCs w:val="20"/>
        </w:rPr>
        <w:t>’</w:t>
      </w:r>
      <w:r>
        <w:rPr>
          <w:rFonts w:ascii="Arial" w:hAnsi="Arial"/>
          <w:sz w:val="20"/>
          <w:szCs w:val="20"/>
        </w:rPr>
        <w:t>essais, comme indiqué dans le cahier des charges ou comme exigé par le directeur de l</w:t>
      </w:r>
      <w:r w:rsidR="00EA7588">
        <w:rPr>
          <w:rFonts w:ascii="Arial" w:hAnsi="Arial"/>
          <w:sz w:val="20"/>
          <w:szCs w:val="20"/>
        </w:rPr>
        <w:t>’</w:t>
      </w:r>
      <w:r>
        <w:rPr>
          <w:rFonts w:ascii="Arial" w:hAnsi="Arial"/>
          <w:sz w:val="20"/>
          <w:szCs w:val="20"/>
        </w:rPr>
        <w:t>exécution des travaux, avec l</w:t>
      </w:r>
      <w:r w:rsidR="00EA7588">
        <w:rPr>
          <w:rFonts w:ascii="Arial" w:hAnsi="Arial"/>
          <w:sz w:val="20"/>
          <w:szCs w:val="20"/>
        </w:rPr>
        <w:t>’</w:t>
      </w:r>
      <w:r>
        <w:rPr>
          <w:rFonts w:ascii="Arial" w:hAnsi="Arial"/>
          <w:sz w:val="20"/>
          <w:szCs w:val="20"/>
        </w:rPr>
        <w:t>accord du responsable des travaux, selon la fréquence établie.</w:t>
      </w:r>
    </w:p>
    <w:p w14:paraId="260FDF87" w14:textId="2582D6CF" w:rsidR="00431690" w:rsidRPr="00937C8B" w:rsidRDefault="00431690" w:rsidP="00425ADA">
      <w:pPr>
        <w:pStyle w:val="CTENumeracion"/>
        <w:numPr>
          <w:ilvl w:val="0"/>
          <w:numId w:val="43"/>
        </w:numPr>
        <w:tabs>
          <w:tab w:val="clear" w:pos="567"/>
        </w:tabs>
        <w:suppressAutoHyphens/>
        <w:spacing w:before="0"/>
        <w:ind w:left="426" w:hanging="426"/>
        <w:rPr>
          <w:rFonts w:cs="Arial"/>
          <w:szCs w:val="20"/>
        </w:rPr>
      </w:pPr>
      <w:r>
        <w:t>Le contrôle doit satisfaire aux exigences de l</w:t>
      </w:r>
      <w:r w:rsidR="00EA7588">
        <w:t>’</w:t>
      </w:r>
      <w:r>
        <w:t>article 7.2, partie I du CTE.</w:t>
      </w:r>
    </w:p>
    <w:p w14:paraId="49FF114A" w14:textId="77777777" w:rsidR="00431690" w:rsidRPr="00937C8B" w:rsidRDefault="00431690" w:rsidP="002D2C01">
      <w:pPr>
        <w:keepNext/>
        <w:tabs>
          <w:tab w:val="left" w:pos="426"/>
        </w:tabs>
        <w:spacing w:before="480" w:after="160"/>
        <w:outlineLvl w:val="0"/>
        <w:rPr>
          <w:rFonts w:ascii="Arial" w:eastAsia="Calibri" w:hAnsi="Arial" w:cs="Arial"/>
          <w:b/>
          <w:bCs/>
          <w:noProof/>
          <w:kern w:val="32"/>
          <w:sz w:val="28"/>
          <w:szCs w:val="28"/>
        </w:rPr>
      </w:pPr>
      <w:bookmarkStart w:id="358" w:name="_Toc39157999"/>
      <w:bookmarkStart w:id="359" w:name="_Toc39158163"/>
      <w:r>
        <w:rPr>
          <w:rFonts w:ascii="Arial" w:hAnsi="Arial"/>
          <w:b/>
          <w:bCs/>
          <w:sz w:val="28"/>
          <w:szCs w:val="28"/>
        </w:rPr>
        <w:t>5</w:t>
      </w:r>
      <w:r>
        <w:rPr>
          <w:rFonts w:ascii="Arial" w:hAnsi="Arial"/>
          <w:b/>
          <w:bCs/>
          <w:sz w:val="28"/>
          <w:szCs w:val="28"/>
        </w:rPr>
        <w:tab/>
        <w:t>Construction</w:t>
      </w:r>
      <w:bookmarkEnd w:id="358"/>
      <w:bookmarkEnd w:id="359"/>
    </w:p>
    <w:p w14:paraId="59471627" w14:textId="321582B6" w:rsidR="00431690" w:rsidRPr="00937C8B" w:rsidRDefault="00431690" w:rsidP="00425ADA">
      <w:pPr>
        <w:pStyle w:val="CTENumeracion"/>
        <w:numPr>
          <w:ilvl w:val="0"/>
          <w:numId w:val="44"/>
        </w:numPr>
        <w:tabs>
          <w:tab w:val="clear" w:pos="567"/>
          <w:tab w:val="num" w:pos="426"/>
        </w:tabs>
        <w:suppressAutoHyphens/>
        <w:spacing w:before="0"/>
        <w:ind w:left="425" w:hanging="425"/>
        <w:rPr>
          <w:szCs w:val="20"/>
        </w:rPr>
      </w:pPr>
      <w:bookmarkStart w:id="360" w:name="_Toc51478616"/>
      <w:r>
        <w:t>Le projet doit définir et justifier les caractéristiques techniques minimales auxquelles les produits doivent répondre, ainsi que les conditions d</w:t>
      </w:r>
      <w:r w:rsidR="00EA7588">
        <w:t>’</w:t>
      </w:r>
      <w:r>
        <w:t>exécution de chaque unité de travail, avec les vérifications et contrôles spécifiés pour vérifier leur conformité avec ce qui est indiqué dans ledit projet, comme indiqué dans l’article 6 de la partie I du CTE.</w:t>
      </w:r>
    </w:p>
    <w:p w14:paraId="1729C0F2" w14:textId="77777777" w:rsidR="00431690" w:rsidRPr="00937C8B" w:rsidRDefault="00431690" w:rsidP="00431690">
      <w:pPr>
        <w:pStyle w:val="CteTtulo2"/>
        <w:tabs>
          <w:tab w:val="left" w:pos="454"/>
        </w:tabs>
        <w:spacing w:before="280"/>
        <w:rPr>
          <w:szCs w:val="24"/>
        </w:rPr>
      </w:pPr>
      <w:bookmarkStart w:id="361" w:name="_Toc39158000"/>
      <w:bookmarkStart w:id="362" w:name="_Toc39158164"/>
      <w:r>
        <w:t>5.1</w:t>
      </w:r>
      <w:r>
        <w:tab/>
        <w:t>Exécution</w:t>
      </w:r>
      <w:bookmarkEnd w:id="360"/>
      <w:bookmarkEnd w:id="361"/>
      <w:bookmarkEnd w:id="362"/>
    </w:p>
    <w:p w14:paraId="37DBB12C" w14:textId="23439237" w:rsidR="00431690" w:rsidRPr="00937C8B" w:rsidRDefault="00431690" w:rsidP="00425ADA">
      <w:pPr>
        <w:pStyle w:val="CTENumeracion"/>
        <w:numPr>
          <w:ilvl w:val="0"/>
          <w:numId w:val="45"/>
        </w:numPr>
        <w:tabs>
          <w:tab w:val="clear" w:pos="567"/>
          <w:tab w:val="num" w:pos="426"/>
        </w:tabs>
        <w:suppressAutoHyphens/>
        <w:spacing w:before="0"/>
        <w:ind w:left="425" w:hanging="425"/>
        <w:rPr>
          <w:szCs w:val="20"/>
        </w:rPr>
      </w:pPr>
      <w:r>
        <w:t>Les travaux de construction du bâtiment mentionnés dans ce chapitre doivent être exécutés conformément au projet, à la législation en vigueur, aux normes relatives aux bonnes pratiques de construction et aux consignes du responsable des travaux et du directeur de l</w:t>
      </w:r>
      <w:r w:rsidR="00EA7588">
        <w:t>’</w:t>
      </w:r>
      <w:r>
        <w:t>exécution des travaux, en vertu des dispositions de l</w:t>
      </w:r>
      <w:r w:rsidR="00EA7588">
        <w:t>’</w:t>
      </w:r>
      <w:r>
        <w:t xml:space="preserve">article 7, partie I, du CTE. Le cahier des charges doit indiquer les conditions particulières de mise en œuvre des systèmes de protection contre le radon. </w:t>
      </w:r>
    </w:p>
    <w:p w14:paraId="0228B3BD" w14:textId="77777777" w:rsidR="00431690" w:rsidRPr="00937C8B" w:rsidRDefault="00431690" w:rsidP="00431690">
      <w:pPr>
        <w:pStyle w:val="Ttulo3CTE"/>
      </w:pPr>
      <w:bookmarkStart w:id="363" w:name="_Toc39158001"/>
      <w:r>
        <w:lastRenderedPageBreak/>
        <w:t>5.1.1</w:t>
      </w:r>
      <w:r>
        <w:tab/>
        <w:t>Barrière à lame</w:t>
      </w:r>
      <w:bookmarkEnd w:id="363"/>
    </w:p>
    <w:p w14:paraId="6E840976" w14:textId="77777777" w:rsidR="00431690" w:rsidRPr="00937C8B" w:rsidRDefault="00431690" w:rsidP="00425ADA">
      <w:pPr>
        <w:pStyle w:val="CTENumeracion"/>
        <w:numPr>
          <w:ilvl w:val="0"/>
          <w:numId w:val="46"/>
        </w:numPr>
        <w:tabs>
          <w:tab w:val="clear" w:pos="567"/>
          <w:tab w:val="num" w:pos="426"/>
        </w:tabs>
        <w:suppressAutoHyphens/>
        <w:spacing w:before="0"/>
        <w:ind w:left="426" w:hanging="426"/>
        <w:rPr>
          <w:szCs w:val="20"/>
        </w:rPr>
      </w:pPr>
      <w:r>
        <w:t>La barrière sera placée sur une surface propre et uniforme, de sorte qu’aucune fissure ne permette au radon de pénétrer.</w:t>
      </w:r>
    </w:p>
    <w:p w14:paraId="5A6BEFBA" w14:textId="1AE594E1" w:rsidR="00431690" w:rsidRPr="00937C8B" w:rsidRDefault="00431690" w:rsidP="00425ADA">
      <w:pPr>
        <w:pStyle w:val="CTENumeracion"/>
        <w:numPr>
          <w:ilvl w:val="0"/>
          <w:numId w:val="46"/>
        </w:numPr>
        <w:tabs>
          <w:tab w:val="clear" w:pos="567"/>
          <w:tab w:val="num" w:pos="426"/>
        </w:tabs>
        <w:suppressAutoHyphens/>
        <w:spacing w:before="0"/>
        <w:ind w:left="426" w:hanging="426"/>
        <w:rPr>
          <w:szCs w:val="20"/>
        </w:rPr>
      </w:pPr>
      <w:r>
        <w:t>Si la feuille doit être placée sur le terrain ou sur une couche de matériau granulaire, il convient de garantir l</w:t>
      </w:r>
      <w:r w:rsidR="00EA7588">
        <w:t>’</w:t>
      </w:r>
      <w:r>
        <w:t>uniformité et la propreté de la surface d</w:t>
      </w:r>
      <w:r w:rsidR="00EA7588">
        <w:t>’</w:t>
      </w:r>
      <w:r>
        <w:t>assise, en garantissant l</w:t>
      </w:r>
      <w:r w:rsidR="00EA7588">
        <w:t>’</w:t>
      </w:r>
      <w:r>
        <w:t>absence d</w:t>
      </w:r>
      <w:r w:rsidR="00EA7588">
        <w:t>’</w:t>
      </w:r>
      <w:r>
        <w:t>éléments susceptibles d</w:t>
      </w:r>
      <w:r w:rsidR="00EA7588">
        <w:t>’</w:t>
      </w:r>
      <w:r>
        <w:t>endommager la barrière. Une couche de béton de nettoyage ou de mortier de chaux hydraulique doit être prévue à cet effet.</w:t>
      </w:r>
    </w:p>
    <w:p w14:paraId="79D886B6" w14:textId="6BA6111E" w:rsidR="00431690" w:rsidRPr="00937C8B" w:rsidRDefault="00431690" w:rsidP="00425ADA">
      <w:pPr>
        <w:pStyle w:val="CTENumeracion"/>
        <w:numPr>
          <w:ilvl w:val="0"/>
          <w:numId w:val="46"/>
        </w:numPr>
        <w:tabs>
          <w:tab w:val="clear" w:pos="567"/>
          <w:tab w:val="num" w:pos="426"/>
        </w:tabs>
        <w:suppressAutoHyphens/>
        <w:spacing w:before="0"/>
        <w:ind w:left="426" w:hanging="426"/>
        <w:rPr>
          <w:szCs w:val="20"/>
        </w:rPr>
      </w:pPr>
      <w:r>
        <w:t>Si la barrière n</w:t>
      </w:r>
      <w:r w:rsidR="00EA7588">
        <w:t>’</w:t>
      </w:r>
      <w:r>
        <w:t xml:space="preserve">a pas de caractéristiques anti-perforation, il convient de placer des couches de protection </w:t>
      </w:r>
      <w:r>
        <w:rPr>
          <w:i/>
          <w:iCs/>
        </w:rPr>
        <w:t>anti-perforation</w:t>
      </w:r>
      <w:r>
        <w:t>.</w:t>
      </w:r>
    </w:p>
    <w:p w14:paraId="02B4F3A6" w14:textId="5755FD47" w:rsidR="00431690" w:rsidRPr="00937C8B" w:rsidRDefault="00431690" w:rsidP="00425ADA">
      <w:pPr>
        <w:pStyle w:val="CTENumeracion"/>
        <w:numPr>
          <w:ilvl w:val="0"/>
          <w:numId w:val="46"/>
        </w:numPr>
        <w:tabs>
          <w:tab w:val="clear" w:pos="567"/>
          <w:tab w:val="num" w:pos="426"/>
        </w:tabs>
        <w:suppressAutoHyphens/>
        <w:spacing w:before="0"/>
        <w:ind w:left="426" w:hanging="426"/>
        <w:rPr>
          <w:szCs w:val="20"/>
        </w:rPr>
      </w:pPr>
      <w:r>
        <w:t>La barrière doit être renforcée à tous les coins, angles et points où elle traverse les murs, aux points de passage des conduits et à d</w:t>
      </w:r>
      <w:r w:rsidR="00EA7588">
        <w:t>’</w:t>
      </w:r>
      <w:r>
        <w:t>autres points faibles susceptibles d’entraîner une réduction de ses propriétés, sous réserve de toute condition particulière établie dans les spécifications de la barrière.</w:t>
      </w:r>
    </w:p>
    <w:p w14:paraId="72F3E0C6" w14:textId="06AF61B2" w:rsidR="00431690" w:rsidRPr="00937C8B" w:rsidRDefault="00431690" w:rsidP="00425ADA">
      <w:pPr>
        <w:pStyle w:val="CTENumeracion"/>
        <w:numPr>
          <w:ilvl w:val="0"/>
          <w:numId w:val="46"/>
        </w:numPr>
        <w:tabs>
          <w:tab w:val="clear" w:pos="567"/>
          <w:tab w:val="num" w:pos="426"/>
        </w:tabs>
        <w:suppressAutoHyphens/>
        <w:spacing w:before="0"/>
        <w:ind w:left="426" w:hanging="426"/>
        <w:rPr>
          <w:szCs w:val="20"/>
        </w:rPr>
      </w:pPr>
      <w:r>
        <w:t>Les jonctions avec d</w:t>
      </w:r>
      <w:r w:rsidR="00EA7588">
        <w:t>’</w:t>
      </w:r>
      <w:r>
        <w:t>autres éléments, les points de passage des conduits, les chevauchements et les jonctions entre les différentes parties de la barrière doivent être convenablement scellés conformément aux spécifications de la barrière, afin d’éviter toute discontinuité entre les différentes sections. L</w:t>
      </w:r>
      <w:r w:rsidR="00EA7588">
        <w:t>’</w:t>
      </w:r>
      <w:r>
        <w:t>étanchéité doit être réalisée avec des produits garantissant l</w:t>
      </w:r>
      <w:r w:rsidR="00EA7588">
        <w:t>’</w:t>
      </w:r>
      <w:r>
        <w:t>étanchéité au radon, tels que des peintures isolantes, des revêtements de couches plastiques, des mastics souples, des profilés en caoutchouc, ou toute autre solution produisant le même effet.</w:t>
      </w:r>
    </w:p>
    <w:p w14:paraId="1102F1FD" w14:textId="37B46401" w:rsidR="00431690" w:rsidRPr="00937C8B" w:rsidRDefault="00431690" w:rsidP="00425ADA">
      <w:pPr>
        <w:pStyle w:val="CTENumeracion"/>
        <w:numPr>
          <w:ilvl w:val="0"/>
          <w:numId w:val="46"/>
        </w:numPr>
        <w:tabs>
          <w:tab w:val="clear" w:pos="567"/>
          <w:tab w:val="num" w:pos="426"/>
        </w:tabs>
        <w:suppressAutoHyphens/>
        <w:spacing w:before="0"/>
        <w:ind w:left="426" w:hanging="426"/>
        <w:rPr>
          <w:szCs w:val="20"/>
        </w:rPr>
      </w:pPr>
      <w:r>
        <w:t>La barrière horizontale doit s</w:t>
      </w:r>
      <w:r w:rsidR="00EA7588">
        <w:t>’</w:t>
      </w:r>
      <w:r>
        <w:t>étendre à travers les murs verticaux (murs, façades) jusqu</w:t>
      </w:r>
      <w:r w:rsidR="00EA7588">
        <w:t>’</w:t>
      </w:r>
      <w:r>
        <w:t>à 20 cm au-dessus de l</w:t>
      </w:r>
      <w:r w:rsidR="00EA7588">
        <w:t>’</w:t>
      </w:r>
      <w:r>
        <w:t>élévation extérieure du terrain.</w:t>
      </w:r>
    </w:p>
    <w:p w14:paraId="390A2A3D" w14:textId="77777777" w:rsidR="00431690" w:rsidRPr="00937C8B" w:rsidRDefault="00431690" w:rsidP="00D27646">
      <w:pPr>
        <w:pStyle w:val="CTENumeracion"/>
        <w:keepNext/>
        <w:numPr>
          <w:ilvl w:val="0"/>
          <w:numId w:val="46"/>
        </w:numPr>
        <w:tabs>
          <w:tab w:val="clear" w:pos="567"/>
          <w:tab w:val="num" w:pos="426"/>
        </w:tabs>
        <w:suppressAutoHyphens/>
        <w:spacing w:before="0"/>
        <w:ind w:left="426" w:hanging="426"/>
        <w:rPr>
          <w:szCs w:val="20"/>
        </w:rPr>
      </w:pPr>
      <w:r>
        <w:t>Les regards, puisards de raccordement, trous ou glissières en contact avec le terrain, et tous les éléments qui supposent une discontinuité de la barrière, doivent autant que possible être étanches aux gaz, et:</w:t>
      </w:r>
    </w:p>
    <w:p w14:paraId="560329E5" w14:textId="77777777" w:rsidR="00431690" w:rsidRPr="00937C8B" w:rsidRDefault="00431690" w:rsidP="00425ADA">
      <w:pPr>
        <w:pStyle w:val="Paragraphedeliste"/>
        <w:numPr>
          <w:ilvl w:val="2"/>
          <w:numId w:val="69"/>
        </w:numPr>
        <w:suppressAutoHyphens/>
        <w:spacing w:after="60" w:line="240" w:lineRule="auto"/>
        <w:ind w:left="851" w:hanging="425"/>
        <w:rPr>
          <w:rFonts w:ascii="Arial" w:hAnsi="Arial" w:cs="Arial"/>
          <w:sz w:val="20"/>
          <w:szCs w:val="20"/>
        </w:rPr>
      </w:pPr>
      <w:r>
        <w:rPr>
          <w:rFonts w:ascii="Arial" w:hAnsi="Arial"/>
          <w:sz w:val="20"/>
          <w:szCs w:val="20"/>
        </w:rPr>
        <w:t>être réalisés en béton armé étanche;</w:t>
      </w:r>
    </w:p>
    <w:p w14:paraId="526B17D2" w14:textId="77777777" w:rsidR="00E57BE8" w:rsidRPr="00937C8B" w:rsidRDefault="00431690" w:rsidP="00425ADA">
      <w:pPr>
        <w:pStyle w:val="Paragraphedeliste"/>
        <w:numPr>
          <w:ilvl w:val="2"/>
          <w:numId w:val="69"/>
        </w:numPr>
        <w:suppressAutoHyphens/>
        <w:spacing w:after="60" w:line="240" w:lineRule="auto"/>
        <w:ind w:left="851" w:hanging="425"/>
        <w:rPr>
          <w:rFonts w:ascii="Arial" w:hAnsi="Arial" w:cs="Arial"/>
          <w:sz w:val="20"/>
          <w:szCs w:val="20"/>
        </w:rPr>
      </w:pPr>
      <w:r>
        <w:rPr>
          <w:rFonts w:ascii="Arial" w:hAnsi="Arial"/>
          <w:sz w:val="20"/>
          <w:szCs w:val="20"/>
        </w:rPr>
        <w:t>être enrobés d’une couche de matériau imperméable; ou</w:t>
      </w:r>
    </w:p>
    <w:p w14:paraId="717DC720" w14:textId="77777777" w:rsidR="00431690" w:rsidRPr="00937C8B" w:rsidRDefault="00431690" w:rsidP="00E57BE8">
      <w:pPr>
        <w:pStyle w:val="Paragraphedeliste"/>
        <w:numPr>
          <w:ilvl w:val="2"/>
          <w:numId w:val="69"/>
        </w:numPr>
        <w:suppressAutoHyphens/>
        <w:spacing w:after="60" w:line="240" w:lineRule="auto"/>
        <w:ind w:left="851" w:hanging="425"/>
        <w:rPr>
          <w:rFonts w:ascii="Arial" w:hAnsi="Arial" w:cs="Arial"/>
          <w:sz w:val="20"/>
          <w:szCs w:val="20"/>
        </w:rPr>
      </w:pPr>
      <w:r>
        <w:rPr>
          <w:rFonts w:ascii="Arial" w:hAnsi="Arial"/>
          <w:sz w:val="20"/>
          <w:szCs w:val="20"/>
        </w:rPr>
        <w:t>disposer d’une barrière contre le radon.</w:t>
      </w:r>
    </w:p>
    <w:p w14:paraId="014D0FCA" w14:textId="77777777" w:rsidR="00431690" w:rsidRPr="00937C8B" w:rsidRDefault="00431690" w:rsidP="00431690">
      <w:pPr>
        <w:pStyle w:val="Ttulo3CTE"/>
      </w:pPr>
      <w:bookmarkStart w:id="364" w:name="_Toc39158002"/>
      <w:r>
        <w:t>5.1.2 Chambre de ventilation horizontale</w:t>
      </w:r>
      <w:bookmarkEnd w:id="364"/>
    </w:p>
    <w:p w14:paraId="046360EC" w14:textId="77777777" w:rsidR="00431690" w:rsidRPr="00937C8B" w:rsidRDefault="00431690" w:rsidP="00E57BE8">
      <w:pPr>
        <w:pStyle w:val="CTENumeracion"/>
        <w:numPr>
          <w:ilvl w:val="0"/>
          <w:numId w:val="47"/>
        </w:numPr>
        <w:tabs>
          <w:tab w:val="clear" w:pos="567"/>
        </w:tabs>
        <w:suppressAutoHyphens/>
        <w:spacing w:before="0"/>
        <w:ind w:left="425" w:hanging="425"/>
        <w:rPr>
          <w:szCs w:val="20"/>
        </w:rPr>
      </w:pPr>
      <w:r>
        <w:t>Il convient de disposer une couche de béton de nettoyage sur la surface du sol sous les chambres de ventilation horizontales.</w:t>
      </w:r>
    </w:p>
    <w:p w14:paraId="7389FB79" w14:textId="77777777" w:rsidR="00431690" w:rsidRPr="00937C8B" w:rsidRDefault="00431690" w:rsidP="00431690">
      <w:pPr>
        <w:pStyle w:val="Ttulo3CTE"/>
      </w:pPr>
      <w:bookmarkStart w:id="365" w:name="_Toc39158003"/>
      <w:r>
        <w:t>5.1.3 Chambre de ventilation verticale</w:t>
      </w:r>
      <w:bookmarkEnd w:id="365"/>
    </w:p>
    <w:p w14:paraId="0F815012" w14:textId="77777777" w:rsidR="00431690" w:rsidRPr="00937C8B" w:rsidRDefault="00431690" w:rsidP="00425ADA">
      <w:pPr>
        <w:pStyle w:val="CTENumeracion"/>
        <w:numPr>
          <w:ilvl w:val="0"/>
          <w:numId w:val="61"/>
        </w:numPr>
        <w:tabs>
          <w:tab w:val="clear" w:pos="567"/>
          <w:tab w:val="num" w:pos="426"/>
        </w:tabs>
        <w:suppressAutoHyphens/>
        <w:spacing w:before="0"/>
        <w:ind w:left="425" w:hanging="425"/>
        <w:rPr>
          <w:szCs w:val="20"/>
        </w:rPr>
      </w:pPr>
      <w:r>
        <w:t>Une chambre ou un patio de ventilation continus peuvent faire office de chambre de ventilation verticale, même s’ils ne sont pas complètement ouverts au sommet.</w:t>
      </w:r>
    </w:p>
    <w:p w14:paraId="6EE9878C" w14:textId="77777777" w:rsidR="00431690" w:rsidRPr="00937C8B" w:rsidRDefault="00431690" w:rsidP="00431690">
      <w:pPr>
        <w:pStyle w:val="Ttulo3CTE"/>
      </w:pPr>
      <w:bookmarkStart w:id="366" w:name="_Toc39158004"/>
      <w:r>
        <w:t>5.1.4 Systèmes de dépressurisation</w:t>
      </w:r>
      <w:bookmarkEnd w:id="366"/>
    </w:p>
    <w:p w14:paraId="1001EADE" w14:textId="18C03A1D" w:rsidR="00431690" w:rsidRPr="00937C8B" w:rsidRDefault="00431690" w:rsidP="00E57BE8">
      <w:pPr>
        <w:pStyle w:val="CTENumeracion"/>
        <w:numPr>
          <w:ilvl w:val="0"/>
          <w:numId w:val="48"/>
        </w:numPr>
        <w:tabs>
          <w:tab w:val="clear" w:pos="567"/>
        </w:tabs>
        <w:suppressAutoHyphens/>
        <w:spacing w:before="0"/>
        <w:ind w:left="425" w:hanging="425"/>
        <w:rPr>
          <w:szCs w:val="20"/>
        </w:rPr>
      </w:pPr>
      <w:r>
        <w:t>Les éléments de captage, puisards et tuyaux perforés, doivent être centrés dans l</w:t>
      </w:r>
      <w:r w:rsidR="00EA7588">
        <w:t>’</w:t>
      </w:r>
      <w:r>
        <w:t>épaisseur de la couche de remplissage décrite à l’article 3.3, afin d’utiliser toute leur surface pour l</w:t>
      </w:r>
      <w:r w:rsidR="00EA7588">
        <w:t>’</w:t>
      </w:r>
      <w:r>
        <w:t>extraction de l</w:t>
      </w:r>
      <w:r w:rsidR="00EA7588">
        <w:t>’</w:t>
      </w:r>
      <w:r>
        <w:t>air.</w:t>
      </w:r>
    </w:p>
    <w:p w14:paraId="349BF46E" w14:textId="77777777" w:rsidR="00431690" w:rsidRPr="00937C8B" w:rsidRDefault="00431690" w:rsidP="00E57BE8">
      <w:pPr>
        <w:pStyle w:val="CTENumeracion"/>
        <w:numPr>
          <w:ilvl w:val="0"/>
          <w:numId w:val="48"/>
        </w:numPr>
        <w:tabs>
          <w:tab w:val="clear" w:pos="567"/>
          <w:tab w:val="num" w:pos="426"/>
        </w:tabs>
        <w:suppressAutoHyphens/>
        <w:spacing w:before="0"/>
        <w:ind w:left="425" w:hanging="425"/>
        <w:rPr>
          <w:szCs w:val="20"/>
        </w:rPr>
      </w:pPr>
      <w:r>
        <w:t>Lorsque le béton de la chape est coulé directement sur la couche de remblai, il convient de le protéger, par exemple, par une couche de géotextile, pour éviter la saturation de ses ouvertures et permettre la mise en place de puisards ou de tuyaux perforés.</w:t>
      </w:r>
    </w:p>
    <w:p w14:paraId="5DFCF920" w14:textId="77777777" w:rsidR="00431690" w:rsidRPr="00937C8B" w:rsidRDefault="00431690" w:rsidP="00431690">
      <w:pPr>
        <w:pStyle w:val="CteTtulo2"/>
        <w:tabs>
          <w:tab w:val="left" w:pos="454"/>
        </w:tabs>
        <w:spacing w:before="280"/>
        <w:rPr>
          <w:szCs w:val="24"/>
        </w:rPr>
      </w:pPr>
      <w:bookmarkStart w:id="367" w:name="_Toc51478620"/>
      <w:bookmarkStart w:id="368" w:name="_Toc39158005"/>
      <w:bookmarkStart w:id="369" w:name="_Toc39158165"/>
      <w:r>
        <w:t>5.2</w:t>
      </w:r>
      <w:r>
        <w:tab/>
        <w:t>Contrôle de l’exécution</w:t>
      </w:r>
      <w:bookmarkEnd w:id="367"/>
      <w:bookmarkEnd w:id="368"/>
      <w:bookmarkEnd w:id="369"/>
    </w:p>
    <w:p w14:paraId="4CEE204F" w14:textId="0935D459" w:rsidR="00431690" w:rsidRPr="00937C8B" w:rsidRDefault="00431690" w:rsidP="00E57BE8">
      <w:pPr>
        <w:pStyle w:val="CTENumeracion"/>
        <w:numPr>
          <w:ilvl w:val="0"/>
          <w:numId w:val="49"/>
        </w:numPr>
        <w:tabs>
          <w:tab w:val="clear" w:pos="567"/>
          <w:tab w:val="num" w:pos="426"/>
        </w:tabs>
        <w:suppressAutoHyphens/>
        <w:spacing w:before="0"/>
        <w:ind w:left="425" w:hanging="425"/>
        <w:rPr>
          <w:szCs w:val="20"/>
        </w:rPr>
      </w:pPr>
      <w:bookmarkStart w:id="370" w:name="_Toc529156475"/>
      <w:bookmarkStart w:id="371" w:name="_Toc529328630"/>
      <w:bookmarkStart w:id="372" w:name="_Toc535122951"/>
      <w:bookmarkStart w:id="373" w:name="_Toc41274002"/>
      <w:r>
        <w:t>L</w:t>
      </w:r>
      <w:r w:rsidR="00EA7588">
        <w:t>’</w:t>
      </w:r>
      <w:r>
        <w:t>exécution des travaux doit être contrôlée conformément aux spécifications du projet, de ses annexes, aux modifications autorisées par le responsable des travaux et aux consignes du directeur de l</w:t>
      </w:r>
      <w:r w:rsidR="00EA7588">
        <w:t>’</w:t>
      </w:r>
      <w:r>
        <w:t>exécution des travaux, en vertu des dispositions de l</w:t>
      </w:r>
      <w:r w:rsidR="00EA7588">
        <w:t>’</w:t>
      </w:r>
      <w:r>
        <w:t>article 7.3 de la partie I du CTE et d</w:t>
      </w:r>
      <w:r w:rsidR="00EA7588">
        <w:t>’</w:t>
      </w:r>
      <w:r>
        <w:t>autres normes en vigueur.</w:t>
      </w:r>
    </w:p>
    <w:p w14:paraId="665A4ED0" w14:textId="779BBA66" w:rsidR="00431690" w:rsidRPr="00937C8B" w:rsidRDefault="00431690" w:rsidP="00E57BE8">
      <w:pPr>
        <w:pStyle w:val="CTENumeracion"/>
        <w:numPr>
          <w:ilvl w:val="0"/>
          <w:numId w:val="49"/>
        </w:numPr>
        <w:tabs>
          <w:tab w:val="clear" w:pos="567"/>
        </w:tabs>
        <w:suppressAutoHyphens/>
        <w:spacing w:before="0"/>
        <w:ind w:left="425" w:hanging="425"/>
        <w:rPr>
          <w:szCs w:val="20"/>
        </w:rPr>
      </w:pPr>
      <w:r>
        <w:t>La vérification doit porter sur l</w:t>
      </w:r>
      <w:r w:rsidR="00EA7588">
        <w:t>’</w:t>
      </w:r>
      <w:r>
        <w:t>exécution des travaux conformément aux contrôles et à leur fréquence définis dans le cahier des charges du projet.</w:t>
      </w:r>
    </w:p>
    <w:p w14:paraId="318E72C8" w14:textId="4FB03A60" w:rsidR="00431690" w:rsidRPr="00937C8B" w:rsidRDefault="00431690" w:rsidP="00E57BE8">
      <w:pPr>
        <w:pStyle w:val="CTENumeracion"/>
        <w:numPr>
          <w:ilvl w:val="0"/>
          <w:numId w:val="49"/>
        </w:numPr>
        <w:tabs>
          <w:tab w:val="clear" w:pos="567"/>
          <w:tab w:val="num" w:pos="426"/>
        </w:tabs>
        <w:suppressAutoHyphens/>
        <w:spacing w:before="0"/>
        <w:ind w:left="425" w:hanging="425"/>
        <w:rPr>
          <w:szCs w:val="20"/>
        </w:rPr>
      </w:pPr>
      <w:r>
        <w:t>Toute modification apportée dans le cadre de l</w:t>
      </w:r>
      <w:r w:rsidR="00EA7588">
        <w:t>’</w:t>
      </w:r>
      <w:r>
        <w:t>exécution des travaux doit être consignée dans la documentation relative aux travaux réalisés, toujours dans le strict respect des conditions minimales énoncées dans le présent chapitre.</w:t>
      </w:r>
    </w:p>
    <w:p w14:paraId="40D627BE" w14:textId="74748E00" w:rsidR="00431690" w:rsidRPr="00937C8B" w:rsidRDefault="00431690" w:rsidP="00431690">
      <w:pPr>
        <w:pStyle w:val="CteTtulo2"/>
        <w:tabs>
          <w:tab w:val="left" w:pos="454"/>
        </w:tabs>
        <w:spacing w:before="280"/>
        <w:rPr>
          <w:szCs w:val="24"/>
        </w:rPr>
      </w:pPr>
      <w:bookmarkStart w:id="374" w:name="_Toc39158006"/>
      <w:bookmarkStart w:id="375" w:name="_Toc39158166"/>
      <w:bookmarkEnd w:id="370"/>
      <w:bookmarkEnd w:id="371"/>
      <w:bookmarkEnd w:id="372"/>
      <w:bookmarkEnd w:id="373"/>
      <w:r>
        <w:t>5.3</w:t>
      </w:r>
      <w:r>
        <w:tab/>
        <w:t>Contrôle de l</w:t>
      </w:r>
      <w:r w:rsidR="00EA7588">
        <w:t>’</w:t>
      </w:r>
      <w:r>
        <w:t>ouvrage fini</w:t>
      </w:r>
      <w:bookmarkEnd w:id="374"/>
      <w:bookmarkEnd w:id="375"/>
    </w:p>
    <w:p w14:paraId="72BF69A1" w14:textId="471F28FE" w:rsidR="00431690" w:rsidRPr="00937C8B" w:rsidRDefault="00431690" w:rsidP="00425ADA">
      <w:pPr>
        <w:pStyle w:val="CTENumeracion"/>
        <w:numPr>
          <w:ilvl w:val="0"/>
          <w:numId w:val="50"/>
        </w:numPr>
        <w:tabs>
          <w:tab w:val="clear" w:pos="567"/>
          <w:tab w:val="num" w:pos="709"/>
        </w:tabs>
        <w:suppressAutoHyphens/>
        <w:spacing w:before="0"/>
        <w:ind w:left="425" w:hanging="425"/>
      </w:pPr>
      <w:r>
        <w:t>Le contrôle doit satisfaire aux exigences de l</w:t>
      </w:r>
      <w:r w:rsidR="00EA7588">
        <w:t>’</w:t>
      </w:r>
      <w:r>
        <w:t xml:space="preserve">article 7.4, partie I du CTE. </w:t>
      </w:r>
    </w:p>
    <w:p w14:paraId="34443BE0" w14:textId="77777777" w:rsidR="00431690" w:rsidRPr="00937C8B" w:rsidRDefault="00431690" w:rsidP="00E57BE8">
      <w:pPr>
        <w:keepNext/>
        <w:tabs>
          <w:tab w:val="left" w:pos="426"/>
        </w:tabs>
        <w:spacing w:before="480" w:after="160"/>
        <w:outlineLvl w:val="0"/>
        <w:rPr>
          <w:rFonts w:ascii="Arial" w:eastAsia="Calibri" w:hAnsi="Arial" w:cs="Arial"/>
          <w:b/>
          <w:bCs/>
          <w:noProof/>
          <w:kern w:val="32"/>
          <w:sz w:val="28"/>
          <w:szCs w:val="28"/>
        </w:rPr>
      </w:pPr>
      <w:bookmarkStart w:id="376" w:name="_Toc39158007"/>
      <w:bookmarkStart w:id="377" w:name="_Toc39158167"/>
      <w:r>
        <w:rPr>
          <w:rFonts w:ascii="Arial" w:hAnsi="Arial"/>
          <w:b/>
          <w:bCs/>
          <w:sz w:val="28"/>
          <w:szCs w:val="28"/>
        </w:rPr>
        <w:lastRenderedPageBreak/>
        <w:t>6</w:t>
      </w:r>
      <w:r>
        <w:rPr>
          <w:rFonts w:ascii="Arial" w:hAnsi="Arial"/>
          <w:b/>
          <w:bCs/>
          <w:sz w:val="28"/>
          <w:szCs w:val="28"/>
        </w:rPr>
        <w:tab/>
        <w:t>Maintenance et conservation</w:t>
      </w:r>
      <w:bookmarkEnd w:id="376"/>
      <w:bookmarkEnd w:id="377"/>
    </w:p>
    <w:p w14:paraId="38B9D9EA" w14:textId="77777777" w:rsidR="00431690" w:rsidRPr="00937C8B" w:rsidRDefault="00431690" w:rsidP="00425ADA">
      <w:pPr>
        <w:pStyle w:val="CTENumeracion"/>
        <w:numPr>
          <w:ilvl w:val="0"/>
          <w:numId w:val="51"/>
        </w:numPr>
        <w:tabs>
          <w:tab w:val="clear" w:pos="567"/>
        </w:tabs>
        <w:suppressAutoHyphens/>
        <w:spacing w:before="0"/>
        <w:ind w:left="425" w:hanging="425"/>
        <w:rPr>
          <w:szCs w:val="20"/>
        </w:rPr>
      </w:pPr>
      <w:r>
        <w:t>Un plan de maintenance récapitule les opérations nécessaires pendant la durée de vie des systèmes de protection contre le radon, pour en assurer le fonctionnement, améliorer leur fiabilité et prolonger leur durée.</w:t>
      </w:r>
    </w:p>
    <w:p w14:paraId="4CE9C22B" w14:textId="77777777" w:rsidR="00E57BE8" w:rsidRPr="00937C8B" w:rsidRDefault="00431690" w:rsidP="00D27646">
      <w:pPr>
        <w:pStyle w:val="CTENumeracion"/>
        <w:keepNext/>
        <w:numPr>
          <w:ilvl w:val="0"/>
          <w:numId w:val="51"/>
        </w:numPr>
        <w:tabs>
          <w:tab w:val="clear" w:pos="567"/>
          <w:tab w:val="num" w:pos="426"/>
        </w:tabs>
        <w:suppressAutoHyphens/>
        <w:spacing w:before="0"/>
        <w:ind w:left="425" w:hanging="425"/>
        <w:rPr>
          <w:szCs w:val="20"/>
        </w:rPr>
      </w:pPr>
      <w:r>
        <w:t>Il est obligatoire de mener les opérations de maintenance énumérées dans le tableau 6.1, en respectant la fréquence indiquée, et de procéder aux corrections pertinentes en cas de détection de défauts. Il convient également de se conformer aux spécifications des matériaux et des systèmes utilisés pour garantir la durabilité des systèmes de protection:</w:t>
      </w:r>
    </w:p>
    <w:p w14:paraId="3ECAD57F" w14:textId="77777777" w:rsidR="00431690" w:rsidRPr="00937C8B" w:rsidRDefault="00431690" w:rsidP="00D27646">
      <w:pPr>
        <w:pStyle w:val="CTENumeracion"/>
        <w:keepNext/>
        <w:suppressAutoHyphens/>
        <w:spacing w:before="0"/>
        <w:ind w:left="425" w:firstLine="0"/>
        <w:rPr>
          <w:szCs w:val="20"/>
        </w:rPr>
      </w:pPr>
    </w:p>
    <w:p w14:paraId="066D35DE" w14:textId="77777777" w:rsidR="00431690" w:rsidRPr="00937C8B" w:rsidRDefault="00431690" w:rsidP="00D27646">
      <w:pPr>
        <w:pStyle w:val="ttulofiguratablafrmulaCTE"/>
        <w:keepNext/>
        <w:rPr>
          <w:vertAlign w:val="superscript"/>
        </w:rPr>
      </w:pPr>
      <w:r>
        <w:t>Tableau 6.1 Opérations de maintenance</w:t>
      </w:r>
    </w:p>
    <w:tbl>
      <w:tblPr>
        <w:tblW w:w="8222" w:type="dxa"/>
        <w:tblInd w:w="659" w:type="dxa"/>
        <w:tblLook w:val="01E0" w:firstRow="1" w:lastRow="1" w:firstColumn="1" w:lastColumn="1" w:noHBand="0" w:noVBand="0"/>
      </w:tblPr>
      <w:tblGrid>
        <w:gridCol w:w="1968"/>
        <w:gridCol w:w="4411"/>
        <w:gridCol w:w="768"/>
        <w:gridCol w:w="1075"/>
      </w:tblGrid>
      <w:tr w:rsidR="00431690" w:rsidRPr="00937C8B" w14:paraId="19C7593A" w14:textId="77777777" w:rsidTr="00935676">
        <w:tc>
          <w:tcPr>
            <w:tcW w:w="1968" w:type="dxa"/>
            <w:tcBorders>
              <w:bottom w:val="single" w:sz="4" w:space="0" w:color="auto"/>
              <w:right w:val="single" w:sz="4" w:space="0" w:color="auto"/>
            </w:tcBorders>
            <w:vAlign w:val="center"/>
          </w:tcPr>
          <w:p w14:paraId="26B83920" w14:textId="77777777" w:rsidR="00431690" w:rsidRPr="00937C8B" w:rsidRDefault="00431690" w:rsidP="00D27646">
            <w:pPr>
              <w:keepNext/>
              <w:jc w:val="center"/>
              <w:rPr>
                <w:rFonts w:ascii="Arial" w:hAnsi="Arial" w:cs="Arial"/>
              </w:rPr>
            </w:pPr>
          </w:p>
        </w:tc>
        <w:tc>
          <w:tcPr>
            <w:tcW w:w="4411" w:type="dxa"/>
            <w:tcBorders>
              <w:top w:val="single" w:sz="4" w:space="0" w:color="auto"/>
              <w:left w:val="single" w:sz="4" w:space="0" w:color="auto"/>
              <w:bottom w:val="single" w:sz="4" w:space="0" w:color="auto"/>
              <w:right w:val="single" w:sz="4" w:space="0" w:color="auto"/>
            </w:tcBorders>
            <w:vAlign w:val="center"/>
          </w:tcPr>
          <w:p w14:paraId="0474524D" w14:textId="77777777" w:rsidR="00431690" w:rsidRPr="00937C8B" w:rsidRDefault="00431690" w:rsidP="00D27646">
            <w:pPr>
              <w:keepNext/>
              <w:jc w:val="center"/>
              <w:rPr>
                <w:rFonts w:ascii="Arial" w:hAnsi="Arial" w:cs="Arial"/>
                <w:b/>
                <w:sz w:val="18"/>
                <w:szCs w:val="18"/>
              </w:rPr>
            </w:pPr>
            <w:r>
              <w:rPr>
                <w:rFonts w:ascii="Arial" w:hAnsi="Arial"/>
                <w:b/>
                <w:sz w:val="18"/>
                <w:szCs w:val="18"/>
              </w:rPr>
              <w:t>Opération</w:t>
            </w:r>
          </w:p>
        </w:tc>
        <w:tc>
          <w:tcPr>
            <w:tcW w:w="1843" w:type="dxa"/>
            <w:gridSpan w:val="2"/>
            <w:tcBorders>
              <w:top w:val="single" w:sz="4" w:space="0" w:color="auto"/>
              <w:left w:val="single" w:sz="4" w:space="0" w:color="auto"/>
              <w:bottom w:val="single" w:sz="4" w:space="0" w:color="auto"/>
            </w:tcBorders>
            <w:vAlign w:val="center"/>
          </w:tcPr>
          <w:p w14:paraId="7D8606FF" w14:textId="77777777" w:rsidR="00431690" w:rsidRPr="00937C8B" w:rsidRDefault="00431690" w:rsidP="00D27646">
            <w:pPr>
              <w:keepNext/>
              <w:jc w:val="center"/>
              <w:rPr>
                <w:rFonts w:ascii="Arial" w:hAnsi="Arial" w:cs="Arial"/>
                <w:b/>
                <w:sz w:val="18"/>
                <w:szCs w:val="18"/>
              </w:rPr>
            </w:pPr>
            <w:r>
              <w:rPr>
                <w:rFonts w:ascii="Arial" w:hAnsi="Arial"/>
                <w:b/>
                <w:sz w:val="18"/>
                <w:szCs w:val="18"/>
              </w:rPr>
              <w:t>Fréquence</w:t>
            </w:r>
          </w:p>
        </w:tc>
      </w:tr>
      <w:tr w:rsidR="00431690" w:rsidRPr="00937C8B" w14:paraId="743C916B" w14:textId="77777777" w:rsidTr="00935676">
        <w:tc>
          <w:tcPr>
            <w:tcW w:w="1968" w:type="dxa"/>
            <w:vMerge w:val="restart"/>
            <w:tcBorders>
              <w:top w:val="single" w:sz="4" w:space="0" w:color="auto"/>
              <w:bottom w:val="single" w:sz="4" w:space="0" w:color="auto"/>
              <w:right w:val="single" w:sz="4" w:space="0" w:color="auto"/>
            </w:tcBorders>
            <w:vAlign w:val="center"/>
          </w:tcPr>
          <w:p w14:paraId="0FB6D1D3" w14:textId="77777777" w:rsidR="00431690" w:rsidRPr="00937C8B" w:rsidRDefault="00431690" w:rsidP="003E38D0">
            <w:pPr>
              <w:jc w:val="center"/>
              <w:rPr>
                <w:rFonts w:ascii="Arial" w:hAnsi="Arial" w:cs="Arial"/>
                <w:b/>
                <w:sz w:val="18"/>
                <w:szCs w:val="18"/>
              </w:rPr>
            </w:pPr>
            <w:r>
              <w:rPr>
                <w:rFonts w:ascii="Arial" w:hAnsi="Arial"/>
                <w:b/>
                <w:sz w:val="18"/>
                <w:szCs w:val="18"/>
              </w:rPr>
              <w:t>Conduits</w:t>
            </w:r>
          </w:p>
        </w:tc>
        <w:tc>
          <w:tcPr>
            <w:tcW w:w="4411" w:type="dxa"/>
            <w:tcBorders>
              <w:top w:val="single" w:sz="4" w:space="0" w:color="auto"/>
              <w:left w:val="single" w:sz="4" w:space="0" w:color="auto"/>
              <w:bottom w:val="single" w:sz="4" w:space="0" w:color="auto"/>
              <w:right w:val="single" w:sz="4" w:space="0" w:color="auto"/>
            </w:tcBorders>
            <w:vAlign w:val="center"/>
          </w:tcPr>
          <w:p w14:paraId="739C57A0" w14:textId="77777777" w:rsidR="00431690" w:rsidRPr="00937C8B" w:rsidRDefault="00431690" w:rsidP="003E38D0">
            <w:pPr>
              <w:rPr>
                <w:rFonts w:ascii="Arial" w:hAnsi="Arial" w:cs="Arial"/>
                <w:sz w:val="18"/>
                <w:szCs w:val="18"/>
              </w:rPr>
            </w:pPr>
            <w:r>
              <w:rPr>
                <w:rFonts w:ascii="Arial" w:hAnsi="Arial"/>
                <w:sz w:val="18"/>
                <w:szCs w:val="18"/>
              </w:rPr>
              <w:t>Nettoyage</w:t>
            </w:r>
          </w:p>
        </w:tc>
        <w:tc>
          <w:tcPr>
            <w:tcW w:w="768" w:type="dxa"/>
            <w:tcBorders>
              <w:top w:val="single" w:sz="4" w:space="0" w:color="auto"/>
              <w:left w:val="single" w:sz="4" w:space="0" w:color="auto"/>
              <w:bottom w:val="single" w:sz="4" w:space="0" w:color="auto"/>
            </w:tcBorders>
            <w:vAlign w:val="center"/>
          </w:tcPr>
          <w:p w14:paraId="4FDA9C5F" w14:textId="77777777" w:rsidR="00431690" w:rsidRPr="00937C8B" w:rsidRDefault="00431690" w:rsidP="003E38D0">
            <w:pPr>
              <w:jc w:val="right"/>
              <w:rPr>
                <w:rFonts w:ascii="Arial" w:hAnsi="Arial" w:cs="Arial"/>
              </w:rPr>
            </w:pPr>
            <w:r>
              <w:rPr>
                <w:rFonts w:ascii="Arial" w:hAnsi="Arial"/>
              </w:rPr>
              <w:t>1</w:t>
            </w:r>
          </w:p>
        </w:tc>
        <w:tc>
          <w:tcPr>
            <w:tcW w:w="1075" w:type="dxa"/>
            <w:tcBorders>
              <w:top w:val="single" w:sz="4" w:space="0" w:color="auto"/>
              <w:bottom w:val="single" w:sz="4" w:space="0" w:color="auto"/>
            </w:tcBorders>
            <w:vAlign w:val="center"/>
          </w:tcPr>
          <w:p w14:paraId="10ADBD1C" w14:textId="77777777" w:rsidR="00431690" w:rsidRPr="00937C8B" w:rsidRDefault="00431690" w:rsidP="003E38D0">
            <w:pPr>
              <w:rPr>
                <w:rFonts w:ascii="Arial" w:hAnsi="Arial" w:cs="Arial"/>
              </w:rPr>
            </w:pPr>
            <w:r>
              <w:rPr>
                <w:rFonts w:ascii="Arial" w:hAnsi="Arial"/>
              </w:rPr>
              <w:t>an</w:t>
            </w:r>
          </w:p>
        </w:tc>
      </w:tr>
      <w:tr w:rsidR="00431690" w:rsidRPr="00937C8B" w14:paraId="0715E86E" w14:textId="77777777" w:rsidTr="00935676">
        <w:tc>
          <w:tcPr>
            <w:tcW w:w="1968" w:type="dxa"/>
            <w:vMerge/>
            <w:tcBorders>
              <w:top w:val="single" w:sz="4" w:space="0" w:color="auto"/>
              <w:bottom w:val="single" w:sz="4" w:space="0" w:color="auto"/>
              <w:right w:val="single" w:sz="4" w:space="0" w:color="auto"/>
            </w:tcBorders>
            <w:vAlign w:val="center"/>
          </w:tcPr>
          <w:p w14:paraId="52A3A331" w14:textId="77777777" w:rsidR="00431690" w:rsidRPr="00937C8B" w:rsidRDefault="00431690" w:rsidP="003E38D0">
            <w:pPr>
              <w:jc w:val="center"/>
              <w:rPr>
                <w:rFonts w:ascii="Arial" w:hAnsi="Arial" w:cs="Arial"/>
                <w:b/>
                <w:sz w:val="18"/>
                <w:szCs w:val="18"/>
              </w:rPr>
            </w:pPr>
          </w:p>
        </w:tc>
        <w:tc>
          <w:tcPr>
            <w:tcW w:w="4411" w:type="dxa"/>
            <w:tcBorders>
              <w:top w:val="single" w:sz="4" w:space="0" w:color="auto"/>
              <w:left w:val="single" w:sz="4" w:space="0" w:color="auto"/>
              <w:bottom w:val="single" w:sz="4" w:space="0" w:color="auto"/>
              <w:right w:val="single" w:sz="4" w:space="0" w:color="auto"/>
            </w:tcBorders>
            <w:vAlign w:val="center"/>
          </w:tcPr>
          <w:p w14:paraId="6AB8693D" w14:textId="77777777" w:rsidR="00431690" w:rsidRPr="00937C8B" w:rsidRDefault="00431690" w:rsidP="003E38D0">
            <w:pPr>
              <w:rPr>
                <w:rFonts w:ascii="Arial" w:hAnsi="Arial" w:cs="Arial"/>
                <w:sz w:val="18"/>
                <w:szCs w:val="18"/>
              </w:rPr>
            </w:pPr>
            <w:r>
              <w:rPr>
                <w:rFonts w:ascii="Arial" w:hAnsi="Arial"/>
                <w:sz w:val="18"/>
                <w:szCs w:val="18"/>
              </w:rPr>
              <w:t>Vérification de l’étanchéité apparente</w:t>
            </w:r>
          </w:p>
        </w:tc>
        <w:tc>
          <w:tcPr>
            <w:tcW w:w="768" w:type="dxa"/>
            <w:tcBorders>
              <w:top w:val="single" w:sz="4" w:space="0" w:color="auto"/>
              <w:left w:val="single" w:sz="4" w:space="0" w:color="auto"/>
              <w:bottom w:val="single" w:sz="4" w:space="0" w:color="auto"/>
            </w:tcBorders>
            <w:vAlign w:val="center"/>
          </w:tcPr>
          <w:p w14:paraId="3FAA2C37" w14:textId="77777777" w:rsidR="00431690" w:rsidRPr="00937C8B" w:rsidRDefault="00431690" w:rsidP="003E38D0">
            <w:pPr>
              <w:jc w:val="right"/>
              <w:rPr>
                <w:rFonts w:ascii="Arial" w:hAnsi="Arial" w:cs="Arial"/>
              </w:rPr>
            </w:pPr>
            <w:r>
              <w:rPr>
                <w:rFonts w:ascii="Arial" w:hAnsi="Arial"/>
              </w:rPr>
              <w:t>5</w:t>
            </w:r>
          </w:p>
        </w:tc>
        <w:tc>
          <w:tcPr>
            <w:tcW w:w="1075" w:type="dxa"/>
            <w:tcBorders>
              <w:top w:val="single" w:sz="4" w:space="0" w:color="auto"/>
              <w:bottom w:val="single" w:sz="4" w:space="0" w:color="auto"/>
            </w:tcBorders>
            <w:vAlign w:val="center"/>
          </w:tcPr>
          <w:p w14:paraId="7E6F18C3" w14:textId="77777777" w:rsidR="00431690" w:rsidRPr="00937C8B" w:rsidRDefault="00431690" w:rsidP="003E38D0">
            <w:pPr>
              <w:rPr>
                <w:rFonts w:ascii="Arial" w:hAnsi="Arial" w:cs="Arial"/>
              </w:rPr>
            </w:pPr>
            <w:r>
              <w:rPr>
                <w:rFonts w:ascii="Arial" w:hAnsi="Arial"/>
              </w:rPr>
              <w:t>ans</w:t>
            </w:r>
          </w:p>
        </w:tc>
      </w:tr>
      <w:tr w:rsidR="00431690" w:rsidRPr="00937C8B" w14:paraId="00C6F5BC" w14:textId="77777777" w:rsidTr="00935676">
        <w:tc>
          <w:tcPr>
            <w:tcW w:w="1968" w:type="dxa"/>
            <w:tcBorders>
              <w:top w:val="single" w:sz="4" w:space="0" w:color="auto"/>
              <w:bottom w:val="single" w:sz="4" w:space="0" w:color="auto"/>
              <w:right w:val="single" w:sz="4" w:space="0" w:color="auto"/>
            </w:tcBorders>
            <w:vAlign w:val="center"/>
          </w:tcPr>
          <w:p w14:paraId="6E82738A" w14:textId="77777777" w:rsidR="00431690" w:rsidRPr="00937C8B" w:rsidRDefault="00431690" w:rsidP="003E38D0">
            <w:pPr>
              <w:jc w:val="center"/>
              <w:rPr>
                <w:rFonts w:ascii="Arial" w:hAnsi="Arial" w:cs="Arial"/>
                <w:b/>
                <w:sz w:val="18"/>
                <w:szCs w:val="18"/>
              </w:rPr>
            </w:pPr>
            <w:r>
              <w:rPr>
                <w:rFonts w:ascii="Arial" w:hAnsi="Arial"/>
                <w:b/>
                <w:sz w:val="18"/>
                <w:szCs w:val="18"/>
              </w:rPr>
              <w:t>Ouvertures</w:t>
            </w:r>
          </w:p>
        </w:tc>
        <w:tc>
          <w:tcPr>
            <w:tcW w:w="4411" w:type="dxa"/>
            <w:tcBorders>
              <w:top w:val="single" w:sz="4" w:space="0" w:color="auto"/>
              <w:left w:val="single" w:sz="4" w:space="0" w:color="auto"/>
              <w:bottom w:val="single" w:sz="4" w:space="0" w:color="auto"/>
              <w:right w:val="single" w:sz="4" w:space="0" w:color="auto"/>
            </w:tcBorders>
            <w:vAlign w:val="center"/>
          </w:tcPr>
          <w:p w14:paraId="1D975C16" w14:textId="77777777" w:rsidR="00431690" w:rsidRPr="00937C8B" w:rsidRDefault="00431690" w:rsidP="003E38D0">
            <w:pPr>
              <w:rPr>
                <w:rFonts w:ascii="Arial" w:hAnsi="Arial" w:cs="Arial"/>
                <w:sz w:val="18"/>
                <w:szCs w:val="18"/>
              </w:rPr>
            </w:pPr>
            <w:r>
              <w:rPr>
                <w:rFonts w:ascii="Arial" w:hAnsi="Arial"/>
                <w:sz w:val="18"/>
                <w:szCs w:val="18"/>
              </w:rPr>
              <w:t>Nettoyage</w:t>
            </w:r>
          </w:p>
        </w:tc>
        <w:tc>
          <w:tcPr>
            <w:tcW w:w="768" w:type="dxa"/>
            <w:tcBorders>
              <w:top w:val="single" w:sz="4" w:space="0" w:color="auto"/>
              <w:left w:val="single" w:sz="4" w:space="0" w:color="auto"/>
              <w:bottom w:val="single" w:sz="4" w:space="0" w:color="auto"/>
            </w:tcBorders>
            <w:vAlign w:val="center"/>
          </w:tcPr>
          <w:p w14:paraId="52B481A5" w14:textId="77777777" w:rsidR="00431690" w:rsidRPr="00937C8B" w:rsidRDefault="00431690" w:rsidP="003E38D0">
            <w:pPr>
              <w:jc w:val="right"/>
              <w:rPr>
                <w:rFonts w:ascii="Arial" w:hAnsi="Arial" w:cs="Arial"/>
              </w:rPr>
            </w:pPr>
            <w:r>
              <w:rPr>
                <w:rFonts w:ascii="Arial" w:hAnsi="Arial"/>
              </w:rPr>
              <w:t>1</w:t>
            </w:r>
          </w:p>
        </w:tc>
        <w:tc>
          <w:tcPr>
            <w:tcW w:w="1075" w:type="dxa"/>
            <w:tcBorders>
              <w:top w:val="single" w:sz="4" w:space="0" w:color="auto"/>
              <w:bottom w:val="single" w:sz="4" w:space="0" w:color="auto"/>
            </w:tcBorders>
            <w:vAlign w:val="center"/>
          </w:tcPr>
          <w:p w14:paraId="71DE85FB" w14:textId="77777777" w:rsidR="00431690" w:rsidRPr="00937C8B" w:rsidRDefault="00431690" w:rsidP="003E38D0">
            <w:pPr>
              <w:rPr>
                <w:rFonts w:ascii="Arial" w:hAnsi="Arial" w:cs="Arial"/>
              </w:rPr>
            </w:pPr>
            <w:r>
              <w:rPr>
                <w:rFonts w:ascii="Arial" w:hAnsi="Arial"/>
              </w:rPr>
              <w:t>an</w:t>
            </w:r>
          </w:p>
        </w:tc>
      </w:tr>
      <w:tr w:rsidR="00431690" w:rsidRPr="00937C8B" w14:paraId="6B038204" w14:textId="77777777" w:rsidTr="00935676">
        <w:tc>
          <w:tcPr>
            <w:tcW w:w="1968" w:type="dxa"/>
            <w:vMerge w:val="restart"/>
            <w:tcBorders>
              <w:top w:val="single" w:sz="4" w:space="0" w:color="auto"/>
              <w:bottom w:val="single" w:sz="4" w:space="0" w:color="auto"/>
              <w:right w:val="single" w:sz="4" w:space="0" w:color="auto"/>
            </w:tcBorders>
            <w:vAlign w:val="center"/>
          </w:tcPr>
          <w:p w14:paraId="6BCDD109" w14:textId="77777777" w:rsidR="00431690" w:rsidRPr="00937C8B" w:rsidRDefault="00431690" w:rsidP="003E38D0">
            <w:pPr>
              <w:jc w:val="center"/>
              <w:rPr>
                <w:rFonts w:ascii="Arial" w:hAnsi="Arial" w:cs="Arial"/>
                <w:b/>
                <w:i/>
                <w:iCs/>
                <w:sz w:val="18"/>
                <w:szCs w:val="18"/>
              </w:rPr>
            </w:pPr>
            <w:r>
              <w:rPr>
                <w:rFonts w:ascii="Arial" w:hAnsi="Arial"/>
                <w:b/>
                <w:i/>
                <w:iCs/>
                <w:sz w:val="18"/>
                <w:szCs w:val="18"/>
              </w:rPr>
              <w:t>Extracteurs</w:t>
            </w:r>
          </w:p>
        </w:tc>
        <w:tc>
          <w:tcPr>
            <w:tcW w:w="4411" w:type="dxa"/>
            <w:tcBorders>
              <w:top w:val="single" w:sz="4" w:space="0" w:color="auto"/>
              <w:left w:val="single" w:sz="4" w:space="0" w:color="auto"/>
              <w:bottom w:val="single" w:sz="4" w:space="0" w:color="auto"/>
              <w:right w:val="single" w:sz="4" w:space="0" w:color="auto"/>
            </w:tcBorders>
            <w:vAlign w:val="center"/>
          </w:tcPr>
          <w:p w14:paraId="51D938C3" w14:textId="77777777" w:rsidR="00431690" w:rsidRPr="00937C8B" w:rsidRDefault="00431690" w:rsidP="003E38D0">
            <w:pPr>
              <w:rPr>
                <w:rFonts w:ascii="Arial" w:hAnsi="Arial" w:cs="Arial"/>
                <w:sz w:val="18"/>
                <w:szCs w:val="18"/>
              </w:rPr>
            </w:pPr>
            <w:r>
              <w:rPr>
                <w:rFonts w:ascii="Arial" w:hAnsi="Arial"/>
                <w:sz w:val="18"/>
                <w:szCs w:val="18"/>
              </w:rPr>
              <w:t>Nettoyage</w:t>
            </w:r>
          </w:p>
        </w:tc>
        <w:tc>
          <w:tcPr>
            <w:tcW w:w="768" w:type="dxa"/>
            <w:tcBorders>
              <w:top w:val="single" w:sz="4" w:space="0" w:color="auto"/>
              <w:left w:val="single" w:sz="4" w:space="0" w:color="auto"/>
              <w:bottom w:val="single" w:sz="4" w:space="0" w:color="auto"/>
            </w:tcBorders>
            <w:vAlign w:val="center"/>
          </w:tcPr>
          <w:p w14:paraId="156364D6" w14:textId="77777777" w:rsidR="00431690" w:rsidRPr="00937C8B" w:rsidRDefault="00431690" w:rsidP="003E38D0">
            <w:pPr>
              <w:jc w:val="right"/>
              <w:rPr>
                <w:rFonts w:ascii="Arial" w:hAnsi="Arial" w:cs="Arial"/>
              </w:rPr>
            </w:pPr>
            <w:r>
              <w:rPr>
                <w:rFonts w:ascii="Arial" w:hAnsi="Arial"/>
              </w:rPr>
              <w:t>1</w:t>
            </w:r>
          </w:p>
        </w:tc>
        <w:tc>
          <w:tcPr>
            <w:tcW w:w="1075" w:type="dxa"/>
            <w:tcBorders>
              <w:top w:val="single" w:sz="4" w:space="0" w:color="auto"/>
              <w:bottom w:val="single" w:sz="4" w:space="0" w:color="auto"/>
            </w:tcBorders>
            <w:vAlign w:val="center"/>
          </w:tcPr>
          <w:p w14:paraId="212030F9" w14:textId="77777777" w:rsidR="00431690" w:rsidRPr="00937C8B" w:rsidRDefault="00431690" w:rsidP="003E38D0">
            <w:pPr>
              <w:rPr>
                <w:rFonts w:ascii="Arial" w:hAnsi="Arial" w:cs="Arial"/>
              </w:rPr>
            </w:pPr>
            <w:r>
              <w:rPr>
                <w:rFonts w:ascii="Arial" w:hAnsi="Arial"/>
              </w:rPr>
              <w:t>an</w:t>
            </w:r>
          </w:p>
        </w:tc>
      </w:tr>
      <w:tr w:rsidR="00431690" w:rsidRPr="00937C8B" w14:paraId="278ECC45" w14:textId="77777777" w:rsidTr="00935676">
        <w:tc>
          <w:tcPr>
            <w:tcW w:w="1968" w:type="dxa"/>
            <w:vMerge/>
            <w:tcBorders>
              <w:top w:val="single" w:sz="4" w:space="0" w:color="auto"/>
              <w:bottom w:val="single" w:sz="4" w:space="0" w:color="auto"/>
              <w:right w:val="single" w:sz="4" w:space="0" w:color="auto"/>
            </w:tcBorders>
            <w:vAlign w:val="center"/>
          </w:tcPr>
          <w:p w14:paraId="009FD130" w14:textId="77777777" w:rsidR="00431690" w:rsidRPr="00937C8B" w:rsidRDefault="00431690" w:rsidP="003E38D0">
            <w:pPr>
              <w:jc w:val="center"/>
              <w:rPr>
                <w:rFonts w:ascii="Arial" w:hAnsi="Arial" w:cs="Arial"/>
                <w:b/>
                <w:sz w:val="18"/>
                <w:szCs w:val="18"/>
              </w:rPr>
            </w:pPr>
          </w:p>
        </w:tc>
        <w:tc>
          <w:tcPr>
            <w:tcW w:w="4411" w:type="dxa"/>
            <w:tcBorders>
              <w:top w:val="single" w:sz="4" w:space="0" w:color="auto"/>
              <w:left w:val="single" w:sz="4" w:space="0" w:color="auto"/>
              <w:bottom w:val="single" w:sz="4" w:space="0" w:color="auto"/>
              <w:right w:val="single" w:sz="4" w:space="0" w:color="auto"/>
            </w:tcBorders>
            <w:vAlign w:val="center"/>
          </w:tcPr>
          <w:p w14:paraId="0E28CA20" w14:textId="77777777" w:rsidR="00431690" w:rsidRPr="00937C8B" w:rsidRDefault="00431690" w:rsidP="003E38D0">
            <w:pPr>
              <w:rPr>
                <w:rFonts w:ascii="Arial" w:hAnsi="Arial" w:cs="Arial"/>
                <w:sz w:val="18"/>
                <w:szCs w:val="18"/>
              </w:rPr>
            </w:pPr>
            <w:r>
              <w:rPr>
                <w:rFonts w:ascii="Arial" w:hAnsi="Arial"/>
                <w:sz w:val="18"/>
                <w:szCs w:val="18"/>
              </w:rPr>
              <w:t>Révision de l’état de fonctionnement</w:t>
            </w:r>
          </w:p>
        </w:tc>
        <w:tc>
          <w:tcPr>
            <w:tcW w:w="768" w:type="dxa"/>
            <w:tcBorders>
              <w:top w:val="single" w:sz="4" w:space="0" w:color="auto"/>
              <w:left w:val="single" w:sz="4" w:space="0" w:color="auto"/>
              <w:bottom w:val="single" w:sz="4" w:space="0" w:color="auto"/>
            </w:tcBorders>
            <w:vAlign w:val="center"/>
          </w:tcPr>
          <w:p w14:paraId="4DDEDD21" w14:textId="77777777" w:rsidR="00431690" w:rsidRPr="00937C8B" w:rsidRDefault="00431690" w:rsidP="003E38D0">
            <w:pPr>
              <w:jc w:val="right"/>
              <w:rPr>
                <w:rFonts w:ascii="Arial" w:hAnsi="Arial" w:cs="Arial"/>
              </w:rPr>
            </w:pPr>
            <w:r>
              <w:rPr>
                <w:rFonts w:ascii="Arial" w:hAnsi="Arial"/>
              </w:rPr>
              <w:t>5</w:t>
            </w:r>
          </w:p>
        </w:tc>
        <w:tc>
          <w:tcPr>
            <w:tcW w:w="1075" w:type="dxa"/>
            <w:tcBorders>
              <w:top w:val="single" w:sz="4" w:space="0" w:color="auto"/>
              <w:bottom w:val="single" w:sz="4" w:space="0" w:color="auto"/>
            </w:tcBorders>
            <w:vAlign w:val="center"/>
          </w:tcPr>
          <w:p w14:paraId="79D62678" w14:textId="77777777" w:rsidR="00431690" w:rsidRPr="00937C8B" w:rsidRDefault="00431690" w:rsidP="003E38D0">
            <w:pPr>
              <w:rPr>
                <w:rFonts w:ascii="Arial" w:hAnsi="Arial" w:cs="Arial"/>
              </w:rPr>
            </w:pPr>
            <w:r>
              <w:rPr>
                <w:rFonts w:ascii="Arial" w:hAnsi="Arial"/>
              </w:rPr>
              <w:t>ans</w:t>
            </w:r>
          </w:p>
        </w:tc>
      </w:tr>
      <w:tr w:rsidR="00431690" w:rsidRPr="00937C8B" w14:paraId="229536C7" w14:textId="77777777" w:rsidTr="00935676">
        <w:tc>
          <w:tcPr>
            <w:tcW w:w="1968" w:type="dxa"/>
            <w:vMerge w:val="restart"/>
            <w:tcBorders>
              <w:top w:val="single" w:sz="4" w:space="0" w:color="auto"/>
              <w:bottom w:val="single" w:sz="4" w:space="0" w:color="auto"/>
              <w:right w:val="single" w:sz="4" w:space="0" w:color="auto"/>
            </w:tcBorders>
            <w:vAlign w:val="center"/>
          </w:tcPr>
          <w:p w14:paraId="2C3F4484" w14:textId="77777777" w:rsidR="00431690" w:rsidRPr="00937C8B" w:rsidRDefault="00431690" w:rsidP="003E38D0">
            <w:pPr>
              <w:jc w:val="center"/>
              <w:rPr>
                <w:rFonts w:ascii="Arial" w:hAnsi="Arial" w:cs="Arial"/>
                <w:b/>
                <w:sz w:val="18"/>
                <w:szCs w:val="18"/>
              </w:rPr>
            </w:pPr>
            <w:r>
              <w:rPr>
                <w:rFonts w:ascii="Arial" w:hAnsi="Arial"/>
                <w:b/>
                <w:sz w:val="18"/>
                <w:szCs w:val="18"/>
              </w:rPr>
              <w:t>Filtres</w:t>
            </w:r>
          </w:p>
        </w:tc>
        <w:tc>
          <w:tcPr>
            <w:tcW w:w="4411" w:type="dxa"/>
            <w:tcBorders>
              <w:top w:val="single" w:sz="4" w:space="0" w:color="auto"/>
              <w:left w:val="single" w:sz="4" w:space="0" w:color="auto"/>
              <w:bottom w:val="single" w:sz="4" w:space="0" w:color="auto"/>
              <w:right w:val="single" w:sz="4" w:space="0" w:color="auto"/>
            </w:tcBorders>
            <w:vAlign w:val="center"/>
          </w:tcPr>
          <w:p w14:paraId="12344071" w14:textId="77777777" w:rsidR="00431690" w:rsidRPr="00937C8B" w:rsidRDefault="00431690" w:rsidP="003E38D0">
            <w:pPr>
              <w:rPr>
                <w:rFonts w:ascii="Arial" w:hAnsi="Arial" w:cs="Arial"/>
                <w:sz w:val="18"/>
                <w:szCs w:val="18"/>
              </w:rPr>
            </w:pPr>
            <w:r>
              <w:rPr>
                <w:rFonts w:ascii="Arial" w:hAnsi="Arial"/>
                <w:sz w:val="18"/>
                <w:szCs w:val="18"/>
              </w:rPr>
              <w:t>Révision de l’état</w:t>
            </w:r>
          </w:p>
        </w:tc>
        <w:tc>
          <w:tcPr>
            <w:tcW w:w="768" w:type="dxa"/>
            <w:tcBorders>
              <w:top w:val="single" w:sz="4" w:space="0" w:color="auto"/>
              <w:left w:val="single" w:sz="4" w:space="0" w:color="auto"/>
              <w:bottom w:val="single" w:sz="4" w:space="0" w:color="auto"/>
            </w:tcBorders>
            <w:vAlign w:val="center"/>
          </w:tcPr>
          <w:p w14:paraId="7998E346" w14:textId="77777777" w:rsidR="00431690" w:rsidRPr="00937C8B" w:rsidRDefault="00431690" w:rsidP="003E38D0">
            <w:pPr>
              <w:jc w:val="right"/>
              <w:rPr>
                <w:rFonts w:ascii="Arial" w:hAnsi="Arial" w:cs="Arial"/>
              </w:rPr>
            </w:pPr>
            <w:r>
              <w:rPr>
                <w:rFonts w:ascii="Arial" w:hAnsi="Arial"/>
              </w:rPr>
              <w:t>6</w:t>
            </w:r>
          </w:p>
        </w:tc>
        <w:tc>
          <w:tcPr>
            <w:tcW w:w="1075" w:type="dxa"/>
            <w:tcBorders>
              <w:top w:val="single" w:sz="4" w:space="0" w:color="auto"/>
              <w:bottom w:val="single" w:sz="4" w:space="0" w:color="auto"/>
            </w:tcBorders>
            <w:vAlign w:val="center"/>
          </w:tcPr>
          <w:p w14:paraId="7953E56B" w14:textId="77777777" w:rsidR="00431690" w:rsidRPr="00937C8B" w:rsidRDefault="00431690" w:rsidP="003E38D0">
            <w:pPr>
              <w:rPr>
                <w:rFonts w:ascii="Arial" w:hAnsi="Arial" w:cs="Arial"/>
              </w:rPr>
            </w:pPr>
            <w:r>
              <w:rPr>
                <w:rFonts w:ascii="Arial" w:hAnsi="Arial"/>
              </w:rPr>
              <w:t>mois</w:t>
            </w:r>
          </w:p>
        </w:tc>
      </w:tr>
      <w:tr w:rsidR="00431690" w:rsidRPr="00937C8B" w14:paraId="59200414" w14:textId="77777777" w:rsidTr="00935676">
        <w:tc>
          <w:tcPr>
            <w:tcW w:w="1968" w:type="dxa"/>
            <w:vMerge/>
            <w:tcBorders>
              <w:top w:val="single" w:sz="4" w:space="0" w:color="auto"/>
              <w:bottom w:val="single" w:sz="4" w:space="0" w:color="auto"/>
              <w:right w:val="single" w:sz="4" w:space="0" w:color="auto"/>
            </w:tcBorders>
            <w:vAlign w:val="center"/>
          </w:tcPr>
          <w:p w14:paraId="51634257" w14:textId="77777777" w:rsidR="00431690" w:rsidRPr="00937C8B" w:rsidRDefault="00431690" w:rsidP="003E38D0">
            <w:pPr>
              <w:jc w:val="center"/>
              <w:rPr>
                <w:rFonts w:ascii="Arial" w:hAnsi="Arial" w:cs="Arial"/>
                <w:b/>
                <w:sz w:val="18"/>
                <w:szCs w:val="18"/>
              </w:rPr>
            </w:pPr>
          </w:p>
        </w:tc>
        <w:tc>
          <w:tcPr>
            <w:tcW w:w="4411" w:type="dxa"/>
            <w:tcBorders>
              <w:top w:val="single" w:sz="4" w:space="0" w:color="auto"/>
              <w:left w:val="single" w:sz="4" w:space="0" w:color="auto"/>
              <w:bottom w:val="single" w:sz="4" w:space="0" w:color="auto"/>
              <w:right w:val="single" w:sz="4" w:space="0" w:color="auto"/>
            </w:tcBorders>
            <w:vAlign w:val="center"/>
          </w:tcPr>
          <w:p w14:paraId="67F4D979" w14:textId="77777777" w:rsidR="00431690" w:rsidRPr="00937C8B" w:rsidRDefault="00431690" w:rsidP="003E38D0">
            <w:pPr>
              <w:rPr>
                <w:rFonts w:ascii="Arial" w:hAnsi="Arial" w:cs="Arial"/>
                <w:sz w:val="18"/>
                <w:szCs w:val="18"/>
              </w:rPr>
            </w:pPr>
            <w:r>
              <w:rPr>
                <w:rFonts w:ascii="Arial" w:hAnsi="Arial"/>
                <w:sz w:val="18"/>
                <w:szCs w:val="18"/>
              </w:rPr>
              <w:t>Nettoyage ou remplacement</w:t>
            </w:r>
          </w:p>
        </w:tc>
        <w:tc>
          <w:tcPr>
            <w:tcW w:w="768" w:type="dxa"/>
            <w:tcBorders>
              <w:top w:val="single" w:sz="4" w:space="0" w:color="auto"/>
              <w:left w:val="single" w:sz="4" w:space="0" w:color="auto"/>
              <w:bottom w:val="single" w:sz="4" w:space="0" w:color="auto"/>
            </w:tcBorders>
            <w:vAlign w:val="center"/>
          </w:tcPr>
          <w:p w14:paraId="3747D6F1" w14:textId="77777777" w:rsidR="00431690" w:rsidRPr="00937C8B" w:rsidRDefault="00431690" w:rsidP="003E38D0">
            <w:pPr>
              <w:jc w:val="right"/>
              <w:rPr>
                <w:rFonts w:ascii="Arial" w:hAnsi="Arial" w:cs="Arial"/>
              </w:rPr>
            </w:pPr>
            <w:r>
              <w:rPr>
                <w:rFonts w:ascii="Arial" w:hAnsi="Arial"/>
              </w:rPr>
              <w:t>1</w:t>
            </w:r>
          </w:p>
        </w:tc>
        <w:tc>
          <w:tcPr>
            <w:tcW w:w="1075" w:type="dxa"/>
            <w:tcBorders>
              <w:top w:val="single" w:sz="4" w:space="0" w:color="auto"/>
              <w:bottom w:val="single" w:sz="4" w:space="0" w:color="auto"/>
            </w:tcBorders>
            <w:vAlign w:val="center"/>
          </w:tcPr>
          <w:p w14:paraId="5A0DA92D" w14:textId="77777777" w:rsidR="00431690" w:rsidRPr="00937C8B" w:rsidRDefault="00431690" w:rsidP="003E38D0">
            <w:pPr>
              <w:rPr>
                <w:rFonts w:ascii="Arial" w:hAnsi="Arial" w:cs="Arial"/>
              </w:rPr>
            </w:pPr>
            <w:r>
              <w:rPr>
                <w:rFonts w:ascii="Arial" w:hAnsi="Arial"/>
              </w:rPr>
              <w:t>an</w:t>
            </w:r>
          </w:p>
        </w:tc>
      </w:tr>
      <w:tr w:rsidR="00431690" w:rsidRPr="00937C8B" w14:paraId="2948A5D6" w14:textId="77777777" w:rsidTr="00935676">
        <w:tc>
          <w:tcPr>
            <w:tcW w:w="1968" w:type="dxa"/>
            <w:tcBorders>
              <w:top w:val="single" w:sz="4" w:space="0" w:color="auto"/>
              <w:bottom w:val="single" w:sz="4" w:space="0" w:color="auto"/>
              <w:right w:val="single" w:sz="4" w:space="0" w:color="auto"/>
            </w:tcBorders>
            <w:vAlign w:val="center"/>
          </w:tcPr>
          <w:p w14:paraId="3C496036" w14:textId="77777777" w:rsidR="00431690" w:rsidRPr="00937C8B" w:rsidRDefault="00431690" w:rsidP="003E38D0">
            <w:pPr>
              <w:jc w:val="center"/>
              <w:rPr>
                <w:rFonts w:ascii="Arial" w:hAnsi="Arial" w:cs="Arial"/>
                <w:b/>
                <w:sz w:val="18"/>
                <w:szCs w:val="18"/>
              </w:rPr>
            </w:pPr>
            <w:r>
              <w:rPr>
                <w:rFonts w:ascii="Arial" w:hAnsi="Arial"/>
                <w:b/>
                <w:sz w:val="18"/>
                <w:szCs w:val="18"/>
              </w:rPr>
              <w:t>Systèmes de contrôle</w:t>
            </w:r>
          </w:p>
        </w:tc>
        <w:tc>
          <w:tcPr>
            <w:tcW w:w="4411" w:type="dxa"/>
            <w:tcBorders>
              <w:top w:val="single" w:sz="4" w:space="0" w:color="auto"/>
              <w:left w:val="single" w:sz="4" w:space="0" w:color="auto"/>
              <w:bottom w:val="single" w:sz="4" w:space="0" w:color="auto"/>
              <w:right w:val="single" w:sz="4" w:space="0" w:color="auto"/>
            </w:tcBorders>
            <w:vAlign w:val="center"/>
          </w:tcPr>
          <w:p w14:paraId="65FCD580" w14:textId="77777777" w:rsidR="00431690" w:rsidRPr="00937C8B" w:rsidRDefault="00431690" w:rsidP="003E38D0">
            <w:pPr>
              <w:rPr>
                <w:rFonts w:ascii="Arial" w:hAnsi="Arial" w:cs="Arial"/>
                <w:sz w:val="18"/>
                <w:szCs w:val="18"/>
              </w:rPr>
            </w:pPr>
            <w:r>
              <w:rPr>
                <w:rFonts w:ascii="Arial" w:hAnsi="Arial"/>
                <w:sz w:val="18"/>
                <w:szCs w:val="18"/>
              </w:rPr>
              <w:t>Révision de l’état des automatismes</w:t>
            </w:r>
          </w:p>
        </w:tc>
        <w:tc>
          <w:tcPr>
            <w:tcW w:w="768" w:type="dxa"/>
            <w:tcBorders>
              <w:top w:val="single" w:sz="4" w:space="0" w:color="auto"/>
              <w:left w:val="single" w:sz="4" w:space="0" w:color="auto"/>
              <w:bottom w:val="single" w:sz="4" w:space="0" w:color="auto"/>
            </w:tcBorders>
            <w:vAlign w:val="center"/>
          </w:tcPr>
          <w:p w14:paraId="2F978032" w14:textId="77777777" w:rsidR="00431690" w:rsidRPr="00937C8B" w:rsidRDefault="00431690" w:rsidP="003E38D0">
            <w:pPr>
              <w:jc w:val="right"/>
              <w:rPr>
                <w:rFonts w:ascii="Arial" w:hAnsi="Arial" w:cs="Arial"/>
              </w:rPr>
            </w:pPr>
            <w:r>
              <w:rPr>
                <w:rFonts w:ascii="Arial" w:hAnsi="Arial"/>
              </w:rPr>
              <w:t>2</w:t>
            </w:r>
          </w:p>
        </w:tc>
        <w:tc>
          <w:tcPr>
            <w:tcW w:w="1075" w:type="dxa"/>
            <w:tcBorders>
              <w:top w:val="single" w:sz="4" w:space="0" w:color="auto"/>
              <w:bottom w:val="single" w:sz="4" w:space="0" w:color="auto"/>
            </w:tcBorders>
            <w:vAlign w:val="center"/>
          </w:tcPr>
          <w:p w14:paraId="621DB8D5" w14:textId="77777777" w:rsidR="00431690" w:rsidRPr="00937C8B" w:rsidRDefault="00431690" w:rsidP="003E38D0">
            <w:pPr>
              <w:rPr>
                <w:rFonts w:ascii="Arial" w:hAnsi="Arial" w:cs="Arial"/>
              </w:rPr>
            </w:pPr>
            <w:r>
              <w:rPr>
                <w:rFonts w:ascii="Arial" w:hAnsi="Arial"/>
              </w:rPr>
              <w:t>ans</w:t>
            </w:r>
          </w:p>
        </w:tc>
      </w:tr>
    </w:tbl>
    <w:p w14:paraId="630ED024" w14:textId="77777777" w:rsidR="00431690" w:rsidRPr="00937C8B" w:rsidRDefault="00431690" w:rsidP="0084739B">
      <w:pPr>
        <w:pStyle w:val="EstiloTtulo1CTEAntes24ptoDespus8pto"/>
      </w:pPr>
      <w:bookmarkStart w:id="378" w:name="_Toc309145612"/>
      <w:bookmarkStart w:id="379" w:name="_Toc39158008"/>
      <w:bookmarkStart w:id="380" w:name="_Toc39158168"/>
      <w:bookmarkEnd w:id="338"/>
      <w:r>
        <w:lastRenderedPageBreak/>
        <w:t>Annexe A Terminologie</w:t>
      </w:r>
      <w:bookmarkEnd w:id="378"/>
      <w:bookmarkEnd w:id="379"/>
      <w:bookmarkEnd w:id="380"/>
    </w:p>
    <w:p w14:paraId="4A53E745" w14:textId="1D3D5FBC" w:rsidR="00431690" w:rsidRPr="00937C8B" w:rsidRDefault="00431690" w:rsidP="00BB6ADF">
      <w:pPr>
        <w:spacing w:after="60"/>
        <w:jc w:val="both"/>
        <w:rPr>
          <w:rFonts w:ascii="Arial" w:hAnsi="Arial" w:cs="Arial"/>
          <w:sz w:val="20"/>
          <w:szCs w:val="20"/>
        </w:rPr>
      </w:pPr>
      <w:r>
        <w:rPr>
          <w:rFonts w:ascii="Arial" w:hAnsi="Arial"/>
          <w:b/>
          <w:sz w:val="20"/>
          <w:szCs w:val="20"/>
        </w:rPr>
        <w:t xml:space="preserve">Barrière de protection (contre le radon): </w:t>
      </w:r>
      <w:r w:rsidR="00880E3A">
        <w:rPr>
          <w:rFonts w:ascii="Arial" w:hAnsi="Arial"/>
          <w:sz w:val="20"/>
          <w:szCs w:val="20"/>
        </w:rPr>
        <w:t>b</w:t>
      </w:r>
      <w:r>
        <w:rPr>
          <w:rFonts w:ascii="Arial" w:hAnsi="Arial"/>
          <w:sz w:val="20"/>
          <w:szCs w:val="20"/>
        </w:rPr>
        <w:t>arrière située entre le terrain et les locaux à protéger qui, en raison de sa faible caractéristique d</w:t>
      </w:r>
      <w:r w:rsidR="00EA7588">
        <w:rPr>
          <w:rFonts w:ascii="Arial" w:hAnsi="Arial"/>
          <w:sz w:val="20"/>
          <w:szCs w:val="20"/>
        </w:rPr>
        <w:t>’</w:t>
      </w:r>
      <w:r>
        <w:rPr>
          <w:rFonts w:ascii="Arial" w:hAnsi="Arial"/>
          <w:sz w:val="20"/>
          <w:szCs w:val="20"/>
        </w:rPr>
        <w:t>exhalaison du radon, est capable d</w:t>
      </w:r>
      <w:r w:rsidR="00EA7588">
        <w:rPr>
          <w:rFonts w:ascii="Arial" w:hAnsi="Arial"/>
          <w:sz w:val="20"/>
          <w:szCs w:val="20"/>
        </w:rPr>
        <w:t>’</w:t>
      </w:r>
      <w:r>
        <w:rPr>
          <w:rFonts w:ascii="Arial" w:hAnsi="Arial"/>
          <w:sz w:val="20"/>
          <w:szCs w:val="20"/>
        </w:rPr>
        <w:t>arrêter le passage du radon, entravant ainsi le passage du radon dans le bâtiment.</w:t>
      </w:r>
    </w:p>
    <w:p w14:paraId="0FDC1504" w14:textId="77777777" w:rsidR="00431690" w:rsidRPr="00937C8B" w:rsidRDefault="00431690" w:rsidP="00BB6ADF">
      <w:pPr>
        <w:spacing w:after="60"/>
        <w:jc w:val="both"/>
        <w:rPr>
          <w:rFonts w:ascii="Arial" w:hAnsi="Arial" w:cs="Arial"/>
          <w:sz w:val="20"/>
          <w:szCs w:val="20"/>
        </w:rPr>
      </w:pPr>
      <w:r>
        <w:rPr>
          <w:rFonts w:ascii="Arial" w:hAnsi="Arial"/>
          <w:b/>
          <w:bCs/>
          <w:sz w:val="20"/>
          <w:szCs w:val="20"/>
        </w:rPr>
        <w:t>Couche anti-crevaison</w:t>
      </w:r>
      <w:r>
        <w:rPr>
          <w:rFonts w:ascii="Arial" w:hAnsi="Arial"/>
          <w:sz w:val="20"/>
          <w:szCs w:val="20"/>
        </w:rPr>
        <w:t>: couche de séparation interposée entre deux couches soumises à pression, afin de protéger la moins résistante d’entre elles et éviter sa rupture.</w:t>
      </w:r>
    </w:p>
    <w:p w14:paraId="091EF0DB" w14:textId="4820E575" w:rsidR="00431690" w:rsidRPr="00937C8B" w:rsidRDefault="00431690" w:rsidP="00BB6ADF">
      <w:pPr>
        <w:spacing w:after="60"/>
        <w:jc w:val="both"/>
        <w:rPr>
          <w:rFonts w:ascii="Arial" w:hAnsi="Arial" w:cs="Arial"/>
          <w:sz w:val="20"/>
          <w:szCs w:val="20"/>
        </w:rPr>
      </w:pPr>
      <w:r>
        <w:rPr>
          <w:rFonts w:ascii="Arial" w:hAnsi="Arial"/>
          <w:b/>
          <w:bCs/>
          <w:sz w:val="20"/>
          <w:szCs w:val="20"/>
        </w:rPr>
        <w:t>Coefficient de diffusion (du radon)</w:t>
      </w:r>
      <w:r>
        <w:rPr>
          <w:rFonts w:ascii="Arial" w:hAnsi="Arial"/>
          <w:sz w:val="20"/>
          <w:szCs w:val="20"/>
        </w:rPr>
        <w:t>: coefficient mesurant la facilité avec laquelle le radon se déplace à travers un matériau. Il peut être obtenu expérimentalement en utilisant l</w:t>
      </w:r>
      <w:r w:rsidR="00EA7588">
        <w:rPr>
          <w:rFonts w:ascii="Arial" w:hAnsi="Arial"/>
          <w:sz w:val="20"/>
          <w:szCs w:val="20"/>
        </w:rPr>
        <w:t>’</w:t>
      </w:r>
      <w:r>
        <w:rPr>
          <w:rFonts w:ascii="Arial" w:hAnsi="Arial"/>
          <w:sz w:val="20"/>
          <w:szCs w:val="20"/>
        </w:rPr>
        <w:t>une des procédures décrites dans la norme ISO/TS 11665-13: 2017, Mesurage de la radioactivité dans l</w:t>
      </w:r>
      <w:r w:rsidR="00EA7588">
        <w:rPr>
          <w:rFonts w:ascii="Arial" w:hAnsi="Arial"/>
          <w:sz w:val="20"/>
          <w:szCs w:val="20"/>
        </w:rPr>
        <w:t>’</w:t>
      </w:r>
      <w:r>
        <w:rPr>
          <w:rFonts w:ascii="Arial" w:hAnsi="Arial"/>
          <w:sz w:val="20"/>
          <w:szCs w:val="20"/>
        </w:rPr>
        <w:t>environnement — Air: radon 222 — Partie 13: Détermination du coefficient de diffusion des matériaux imperméables: méthode de mesurage de l</w:t>
      </w:r>
      <w:r w:rsidR="00EA7588">
        <w:rPr>
          <w:rFonts w:ascii="Arial" w:hAnsi="Arial"/>
          <w:sz w:val="20"/>
          <w:szCs w:val="20"/>
        </w:rPr>
        <w:t>’</w:t>
      </w:r>
      <w:r>
        <w:rPr>
          <w:rFonts w:ascii="Arial" w:hAnsi="Arial"/>
          <w:sz w:val="20"/>
          <w:szCs w:val="20"/>
        </w:rPr>
        <w:t>activité volumique des deux côtés de la membrane; ou dans la norme ISO/TS 11665-12:2018 Mesurage de la radioactivité dans l</w:t>
      </w:r>
      <w:r w:rsidR="00EA7588">
        <w:rPr>
          <w:rFonts w:ascii="Arial" w:hAnsi="Arial"/>
          <w:sz w:val="20"/>
          <w:szCs w:val="20"/>
        </w:rPr>
        <w:t>’</w:t>
      </w:r>
      <w:r>
        <w:rPr>
          <w:rFonts w:ascii="Arial" w:hAnsi="Arial"/>
          <w:sz w:val="20"/>
          <w:szCs w:val="20"/>
        </w:rPr>
        <w:t>environnement — Air: radon 222 — Partie 12: Détermination du coefficient de diffusion des matériaux imperméables: méthode de mesure de l</w:t>
      </w:r>
      <w:r w:rsidR="00EA7588">
        <w:rPr>
          <w:rFonts w:ascii="Arial" w:hAnsi="Arial"/>
          <w:sz w:val="20"/>
          <w:szCs w:val="20"/>
        </w:rPr>
        <w:t>’</w:t>
      </w:r>
      <w:r>
        <w:rPr>
          <w:rFonts w:ascii="Arial" w:hAnsi="Arial"/>
          <w:sz w:val="20"/>
          <w:szCs w:val="20"/>
        </w:rPr>
        <w:t>activité volumique d</w:t>
      </w:r>
      <w:r w:rsidR="00EA7588">
        <w:rPr>
          <w:rFonts w:ascii="Arial" w:hAnsi="Arial"/>
          <w:sz w:val="20"/>
          <w:szCs w:val="20"/>
        </w:rPr>
        <w:t>’</w:t>
      </w:r>
      <w:r>
        <w:rPr>
          <w:rFonts w:ascii="Arial" w:hAnsi="Arial"/>
          <w:sz w:val="20"/>
          <w:szCs w:val="20"/>
        </w:rPr>
        <w:t>un côté de la membrane.</w:t>
      </w:r>
    </w:p>
    <w:p w14:paraId="030AB018" w14:textId="01B27495" w:rsidR="00431690" w:rsidRPr="00937C8B" w:rsidRDefault="00431690" w:rsidP="00BB6ADF">
      <w:pPr>
        <w:spacing w:after="60"/>
        <w:jc w:val="both"/>
        <w:rPr>
          <w:rFonts w:ascii="Arial" w:hAnsi="Arial" w:cs="Arial"/>
          <w:b/>
          <w:sz w:val="20"/>
          <w:szCs w:val="20"/>
        </w:rPr>
      </w:pPr>
      <w:r>
        <w:rPr>
          <w:rFonts w:ascii="Arial" w:hAnsi="Arial"/>
          <w:b/>
          <w:sz w:val="20"/>
          <w:szCs w:val="20"/>
        </w:rPr>
        <w:t xml:space="preserve">Concentration de radon: </w:t>
      </w:r>
      <w:r w:rsidR="00880E3A">
        <w:rPr>
          <w:rFonts w:ascii="Arial" w:hAnsi="Arial"/>
          <w:sz w:val="20"/>
          <w:szCs w:val="20"/>
        </w:rPr>
        <w:t>a</w:t>
      </w:r>
      <w:r>
        <w:rPr>
          <w:rFonts w:ascii="Arial" w:hAnsi="Arial"/>
          <w:sz w:val="20"/>
          <w:szCs w:val="20"/>
        </w:rPr>
        <w:t>ctivité spécifique du radon (Rn-222) dans l</w:t>
      </w:r>
      <w:r w:rsidR="00EA7588">
        <w:rPr>
          <w:rFonts w:ascii="Arial" w:hAnsi="Arial"/>
          <w:sz w:val="20"/>
          <w:szCs w:val="20"/>
        </w:rPr>
        <w:t>’</w:t>
      </w:r>
      <w:r>
        <w:rPr>
          <w:rFonts w:ascii="Arial" w:hAnsi="Arial"/>
          <w:sz w:val="20"/>
          <w:szCs w:val="20"/>
        </w:rPr>
        <w:t>air. Elle est quantifiée en becquerel par mètre cube (Bq/m</w:t>
      </w:r>
      <w:r>
        <w:rPr>
          <w:rFonts w:ascii="Arial" w:hAnsi="Arial"/>
          <w:sz w:val="20"/>
          <w:szCs w:val="20"/>
          <w:vertAlign w:val="superscript"/>
        </w:rPr>
        <w:t>3</w:t>
      </w:r>
      <w:r>
        <w:rPr>
          <w:rFonts w:ascii="Arial" w:hAnsi="Arial"/>
          <w:sz w:val="20"/>
          <w:szCs w:val="20"/>
        </w:rPr>
        <w:t>), et renvoie au nombre de désintégrations par seconde par mètre cube d</w:t>
      </w:r>
      <w:r w:rsidR="00EA7588">
        <w:rPr>
          <w:rFonts w:ascii="Arial" w:hAnsi="Arial"/>
          <w:sz w:val="20"/>
          <w:szCs w:val="20"/>
        </w:rPr>
        <w:t>’</w:t>
      </w:r>
      <w:r>
        <w:rPr>
          <w:rFonts w:ascii="Arial" w:hAnsi="Arial"/>
          <w:sz w:val="20"/>
          <w:szCs w:val="20"/>
        </w:rPr>
        <w:t>air.</w:t>
      </w:r>
    </w:p>
    <w:p w14:paraId="4C12347A" w14:textId="7E217EFD" w:rsidR="00431690" w:rsidRPr="00937C8B" w:rsidRDefault="00431690" w:rsidP="00BB6ADF">
      <w:pPr>
        <w:spacing w:after="60"/>
        <w:jc w:val="both"/>
        <w:rPr>
          <w:rFonts w:ascii="Arial" w:hAnsi="Arial" w:cs="Arial"/>
          <w:b/>
          <w:sz w:val="20"/>
          <w:szCs w:val="20"/>
        </w:rPr>
      </w:pPr>
      <w:r>
        <w:rPr>
          <w:rFonts w:ascii="Arial" w:hAnsi="Arial"/>
          <w:b/>
          <w:sz w:val="20"/>
          <w:szCs w:val="20"/>
        </w:rPr>
        <w:t xml:space="preserve">Dépressurisation du terrain (système de): </w:t>
      </w:r>
      <w:r w:rsidR="00880E3A">
        <w:rPr>
          <w:rFonts w:ascii="Arial" w:hAnsi="Arial"/>
          <w:sz w:val="20"/>
          <w:szCs w:val="20"/>
        </w:rPr>
        <w:t>s</w:t>
      </w:r>
      <w:r>
        <w:rPr>
          <w:rFonts w:ascii="Arial" w:hAnsi="Arial"/>
          <w:sz w:val="20"/>
          <w:szCs w:val="20"/>
        </w:rPr>
        <w:t>ystème permettant d</w:t>
      </w:r>
      <w:r w:rsidR="00EA7588">
        <w:rPr>
          <w:rFonts w:ascii="Arial" w:hAnsi="Arial"/>
          <w:sz w:val="20"/>
          <w:szCs w:val="20"/>
        </w:rPr>
        <w:t>’</w:t>
      </w:r>
      <w:r>
        <w:rPr>
          <w:rFonts w:ascii="Arial" w:hAnsi="Arial"/>
          <w:sz w:val="20"/>
          <w:szCs w:val="20"/>
        </w:rPr>
        <w:t>extraire les gaz contenus dans le terrain adjacent au bâtiment, en créant une pression négative dans le terrain par rapport à l</w:t>
      </w:r>
      <w:r w:rsidR="00EA7588">
        <w:rPr>
          <w:rFonts w:ascii="Arial" w:hAnsi="Arial"/>
          <w:sz w:val="20"/>
          <w:szCs w:val="20"/>
        </w:rPr>
        <w:t>’</w:t>
      </w:r>
      <w:r>
        <w:rPr>
          <w:rFonts w:ascii="Arial" w:hAnsi="Arial"/>
          <w:sz w:val="20"/>
          <w:szCs w:val="20"/>
        </w:rPr>
        <w:t>intérieur du bâtiment, gênant ainsi le passage du radon dans le bâtiment.</w:t>
      </w:r>
    </w:p>
    <w:p w14:paraId="71740928" w14:textId="68285A36" w:rsidR="00431690" w:rsidRPr="00937C8B" w:rsidRDefault="00431690" w:rsidP="00BB6ADF">
      <w:pPr>
        <w:spacing w:after="60"/>
        <w:jc w:val="both"/>
        <w:rPr>
          <w:rFonts w:ascii="Arial" w:hAnsi="Arial" w:cs="Arial"/>
          <w:b/>
          <w:sz w:val="20"/>
          <w:szCs w:val="20"/>
        </w:rPr>
      </w:pPr>
      <w:r>
        <w:rPr>
          <w:rFonts w:ascii="Arial" w:hAnsi="Arial"/>
          <w:b/>
          <w:sz w:val="20"/>
          <w:szCs w:val="20"/>
        </w:rPr>
        <w:t xml:space="preserve">Détecteur (de radon) actif: </w:t>
      </w:r>
      <w:r w:rsidR="00880E3A">
        <w:rPr>
          <w:rFonts w:ascii="Arial" w:hAnsi="Arial"/>
          <w:sz w:val="20"/>
          <w:szCs w:val="20"/>
        </w:rPr>
        <w:t>i</w:t>
      </w:r>
      <w:r>
        <w:rPr>
          <w:rFonts w:ascii="Arial" w:hAnsi="Arial"/>
          <w:sz w:val="20"/>
          <w:szCs w:val="20"/>
        </w:rPr>
        <w:t>nstrument de détection de ce gaz ou de ses descendants éphémères, qui incorpore des composants actifs (tels que des pompes ou des écrans d</w:t>
      </w:r>
      <w:r w:rsidR="00EA7588">
        <w:rPr>
          <w:rFonts w:ascii="Arial" w:hAnsi="Arial"/>
          <w:sz w:val="20"/>
          <w:szCs w:val="20"/>
        </w:rPr>
        <w:t>’</w:t>
      </w:r>
      <w:r>
        <w:rPr>
          <w:rFonts w:ascii="Arial" w:hAnsi="Arial"/>
          <w:sz w:val="20"/>
          <w:szCs w:val="20"/>
        </w:rPr>
        <w:t>affichage), et nécessite donc l</w:t>
      </w:r>
      <w:r w:rsidR="00EA7588">
        <w:rPr>
          <w:rFonts w:ascii="Arial" w:hAnsi="Arial"/>
          <w:sz w:val="20"/>
          <w:szCs w:val="20"/>
        </w:rPr>
        <w:t>’</w:t>
      </w:r>
      <w:r>
        <w:rPr>
          <w:rFonts w:ascii="Arial" w:hAnsi="Arial"/>
          <w:sz w:val="20"/>
          <w:szCs w:val="20"/>
        </w:rPr>
        <w:t>utilisation de sources d</w:t>
      </w:r>
      <w:r w:rsidR="00EA7588">
        <w:rPr>
          <w:rFonts w:ascii="Arial" w:hAnsi="Arial"/>
          <w:sz w:val="20"/>
          <w:szCs w:val="20"/>
        </w:rPr>
        <w:t>’</w:t>
      </w:r>
      <w:r>
        <w:rPr>
          <w:rFonts w:ascii="Arial" w:hAnsi="Arial"/>
          <w:sz w:val="20"/>
          <w:szCs w:val="20"/>
        </w:rPr>
        <w:t>alimentation.</w:t>
      </w:r>
    </w:p>
    <w:p w14:paraId="0B903666" w14:textId="28BACD21" w:rsidR="00431690" w:rsidRPr="00937C8B" w:rsidRDefault="00431690" w:rsidP="00BB6ADF">
      <w:pPr>
        <w:spacing w:after="60"/>
        <w:jc w:val="both"/>
        <w:rPr>
          <w:rFonts w:ascii="Arial" w:hAnsi="Arial" w:cs="Arial"/>
          <w:sz w:val="20"/>
          <w:szCs w:val="20"/>
        </w:rPr>
      </w:pPr>
      <w:r>
        <w:rPr>
          <w:rFonts w:ascii="Arial" w:hAnsi="Arial"/>
          <w:b/>
          <w:sz w:val="20"/>
          <w:szCs w:val="20"/>
        </w:rPr>
        <w:t xml:space="preserve">Détecteur (de radon) passif: </w:t>
      </w:r>
      <w:r w:rsidR="00880E3A">
        <w:rPr>
          <w:rFonts w:ascii="Arial" w:hAnsi="Arial"/>
          <w:sz w:val="20"/>
          <w:szCs w:val="20"/>
        </w:rPr>
        <w:t>i</w:t>
      </w:r>
      <w:r>
        <w:rPr>
          <w:rFonts w:ascii="Arial" w:hAnsi="Arial"/>
          <w:sz w:val="20"/>
          <w:szCs w:val="20"/>
        </w:rPr>
        <w:t>nstrument de détection de ce gaz ou de ses descendants éphémères, qui n’incorpore pas de composants actifs (tels que des pompes ou des écrans d</w:t>
      </w:r>
      <w:r w:rsidR="00EA7588">
        <w:rPr>
          <w:rFonts w:ascii="Arial" w:hAnsi="Arial"/>
          <w:sz w:val="20"/>
          <w:szCs w:val="20"/>
        </w:rPr>
        <w:t>’</w:t>
      </w:r>
      <w:r>
        <w:rPr>
          <w:rFonts w:ascii="Arial" w:hAnsi="Arial"/>
          <w:sz w:val="20"/>
          <w:szCs w:val="20"/>
        </w:rPr>
        <w:t>affichage), et ne nécessite donc pas l</w:t>
      </w:r>
      <w:r w:rsidR="00EA7588">
        <w:rPr>
          <w:rFonts w:ascii="Arial" w:hAnsi="Arial"/>
          <w:sz w:val="20"/>
          <w:szCs w:val="20"/>
        </w:rPr>
        <w:t>’</w:t>
      </w:r>
      <w:r>
        <w:rPr>
          <w:rFonts w:ascii="Arial" w:hAnsi="Arial"/>
          <w:sz w:val="20"/>
          <w:szCs w:val="20"/>
        </w:rPr>
        <w:t>utilisation de sources d</w:t>
      </w:r>
      <w:r w:rsidR="00EA7588">
        <w:rPr>
          <w:rFonts w:ascii="Arial" w:hAnsi="Arial"/>
          <w:sz w:val="20"/>
          <w:szCs w:val="20"/>
        </w:rPr>
        <w:t>’</w:t>
      </w:r>
      <w:r>
        <w:rPr>
          <w:rFonts w:ascii="Arial" w:hAnsi="Arial"/>
          <w:sz w:val="20"/>
          <w:szCs w:val="20"/>
        </w:rPr>
        <w:t>alimentation.</w:t>
      </w:r>
    </w:p>
    <w:p w14:paraId="3683AC11" w14:textId="72A47EC9" w:rsidR="00431690" w:rsidRPr="00937C8B" w:rsidRDefault="00431690" w:rsidP="00BB6ADF">
      <w:pPr>
        <w:spacing w:after="60"/>
        <w:jc w:val="both"/>
        <w:rPr>
          <w:rFonts w:ascii="Arial" w:hAnsi="Arial" w:cs="Arial"/>
          <w:sz w:val="20"/>
          <w:szCs w:val="20"/>
        </w:rPr>
      </w:pPr>
      <w:r>
        <w:rPr>
          <w:rFonts w:ascii="Arial" w:hAnsi="Arial"/>
          <w:b/>
          <w:sz w:val="20"/>
          <w:szCs w:val="20"/>
        </w:rPr>
        <w:t>Espace de contention ventilé:</w:t>
      </w:r>
      <w:r>
        <w:rPr>
          <w:rFonts w:ascii="Arial" w:hAnsi="Arial"/>
          <w:sz w:val="20"/>
          <w:szCs w:val="20"/>
        </w:rPr>
        <w:t xml:space="preserve"> </w:t>
      </w:r>
      <w:r w:rsidR="00880E3A">
        <w:rPr>
          <w:rFonts w:ascii="Arial" w:hAnsi="Arial"/>
          <w:sz w:val="20"/>
          <w:szCs w:val="20"/>
        </w:rPr>
        <w:t>e</w:t>
      </w:r>
      <w:r>
        <w:rPr>
          <w:rFonts w:ascii="Arial" w:hAnsi="Arial"/>
          <w:sz w:val="20"/>
          <w:szCs w:val="20"/>
        </w:rPr>
        <w:t>space situé entre le terrain et les locaux à protéger, qui capte le radon provenant du terrain puis, au moyen d</w:t>
      </w:r>
      <w:r w:rsidR="00EA7588">
        <w:rPr>
          <w:rFonts w:ascii="Arial" w:hAnsi="Arial"/>
          <w:sz w:val="20"/>
          <w:szCs w:val="20"/>
        </w:rPr>
        <w:t>’</w:t>
      </w:r>
      <w:r>
        <w:rPr>
          <w:rFonts w:ascii="Arial" w:hAnsi="Arial"/>
          <w:sz w:val="20"/>
          <w:szCs w:val="20"/>
        </w:rPr>
        <w:t>une ventilation naturelle ou mécanique, l</w:t>
      </w:r>
      <w:r w:rsidR="00EA7588">
        <w:rPr>
          <w:rFonts w:ascii="Arial" w:hAnsi="Arial"/>
          <w:sz w:val="20"/>
          <w:szCs w:val="20"/>
        </w:rPr>
        <w:t>’</w:t>
      </w:r>
      <w:r>
        <w:rPr>
          <w:rFonts w:ascii="Arial" w:hAnsi="Arial"/>
          <w:sz w:val="20"/>
          <w:szCs w:val="20"/>
        </w:rPr>
        <w:t>expulse à l</w:t>
      </w:r>
      <w:r w:rsidR="00EA7588">
        <w:rPr>
          <w:rFonts w:ascii="Arial" w:hAnsi="Arial"/>
          <w:sz w:val="20"/>
          <w:szCs w:val="20"/>
        </w:rPr>
        <w:t>’</w:t>
      </w:r>
      <w:r>
        <w:rPr>
          <w:rFonts w:ascii="Arial" w:hAnsi="Arial"/>
          <w:sz w:val="20"/>
          <w:szCs w:val="20"/>
        </w:rPr>
        <w:t>extérieur du bâtiment, afin d’atténuer le passage du radon à l</w:t>
      </w:r>
      <w:r w:rsidR="00EA7588">
        <w:rPr>
          <w:rFonts w:ascii="Arial" w:hAnsi="Arial"/>
          <w:sz w:val="20"/>
          <w:szCs w:val="20"/>
        </w:rPr>
        <w:t>’</w:t>
      </w:r>
      <w:r>
        <w:rPr>
          <w:rFonts w:ascii="Arial" w:hAnsi="Arial"/>
          <w:sz w:val="20"/>
          <w:szCs w:val="20"/>
        </w:rPr>
        <w:t xml:space="preserve">intérieur des </w:t>
      </w:r>
      <w:r>
        <w:rPr>
          <w:rFonts w:ascii="Arial" w:hAnsi="Arial"/>
          <w:i/>
          <w:iCs/>
          <w:sz w:val="20"/>
          <w:szCs w:val="20"/>
        </w:rPr>
        <w:t>enceintes habitables</w:t>
      </w:r>
      <w:r>
        <w:rPr>
          <w:rFonts w:ascii="Arial" w:hAnsi="Arial"/>
          <w:sz w:val="20"/>
          <w:szCs w:val="20"/>
        </w:rPr>
        <w:t>.</w:t>
      </w:r>
    </w:p>
    <w:p w14:paraId="746CC6D0" w14:textId="7A4490E4" w:rsidR="00431690" w:rsidRPr="00937C8B" w:rsidRDefault="00431690" w:rsidP="00BB6ADF">
      <w:pPr>
        <w:spacing w:after="60"/>
        <w:jc w:val="both"/>
        <w:rPr>
          <w:rFonts w:ascii="Arial" w:hAnsi="Arial" w:cs="Arial"/>
          <w:sz w:val="20"/>
          <w:szCs w:val="20"/>
        </w:rPr>
      </w:pPr>
      <w:r>
        <w:rPr>
          <w:rFonts w:ascii="Arial" w:hAnsi="Arial"/>
          <w:b/>
          <w:sz w:val="20"/>
          <w:szCs w:val="20"/>
        </w:rPr>
        <w:t xml:space="preserve">Exposition au radon: </w:t>
      </w:r>
      <w:r w:rsidR="00880E3A">
        <w:rPr>
          <w:rFonts w:ascii="Arial" w:hAnsi="Arial"/>
          <w:sz w:val="20"/>
          <w:szCs w:val="20"/>
        </w:rPr>
        <w:t>a</w:t>
      </w:r>
      <w:r>
        <w:rPr>
          <w:rFonts w:ascii="Arial" w:hAnsi="Arial"/>
          <w:sz w:val="20"/>
          <w:szCs w:val="20"/>
        </w:rPr>
        <w:t>ctivité spécifique du radon (Rn-222) dans l</w:t>
      </w:r>
      <w:r w:rsidR="00EA7588">
        <w:rPr>
          <w:rFonts w:ascii="Arial" w:hAnsi="Arial"/>
          <w:sz w:val="20"/>
          <w:szCs w:val="20"/>
        </w:rPr>
        <w:t>’</w:t>
      </w:r>
      <w:r>
        <w:rPr>
          <w:rFonts w:ascii="Arial" w:hAnsi="Arial"/>
          <w:sz w:val="20"/>
          <w:szCs w:val="20"/>
        </w:rPr>
        <w:t>air intégrée dans le temps. Elle s’obtient en multipliant la concentration de radon par la période d</w:t>
      </w:r>
      <w:r w:rsidR="00EA7588">
        <w:rPr>
          <w:rFonts w:ascii="Arial" w:hAnsi="Arial"/>
          <w:sz w:val="20"/>
          <w:szCs w:val="20"/>
        </w:rPr>
        <w:t>’</w:t>
      </w:r>
      <w:r>
        <w:rPr>
          <w:rFonts w:ascii="Arial" w:hAnsi="Arial"/>
          <w:sz w:val="20"/>
          <w:szCs w:val="20"/>
        </w:rPr>
        <w:t>exposition.</w:t>
      </w:r>
    </w:p>
    <w:p w14:paraId="0C141413" w14:textId="77777777" w:rsidR="00431690" w:rsidRPr="00937C8B" w:rsidRDefault="00431690" w:rsidP="00E42FD8">
      <w:pPr>
        <w:keepNext/>
        <w:spacing w:after="60"/>
        <w:jc w:val="both"/>
        <w:rPr>
          <w:rFonts w:ascii="Arial" w:hAnsi="Arial" w:cs="Arial"/>
          <w:sz w:val="20"/>
          <w:szCs w:val="20"/>
        </w:rPr>
      </w:pPr>
      <w:r>
        <w:rPr>
          <w:rFonts w:ascii="Arial" w:hAnsi="Arial"/>
          <w:b/>
          <w:sz w:val="20"/>
          <w:szCs w:val="20"/>
        </w:rPr>
        <w:t xml:space="preserve">Enceinte habitable: </w:t>
      </w:r>
      <w:r>
        <w:rPr>
          <w:rFonts w:ascii="Arial" w:hAnsi="Arial"/>
          <w:sz w:val="20"/>
          <w:szCs w:val="20"/>
        </w:rPr>
        <w:t xml:space="preserve">enceinte intérieure destinée à l’usage par des personnes dont la densité d’occupation et le temps de séjour exigent des conditions acoustiques, thermiques et de salubrité appropriées. Les locaux suivants sont réputés être des </w:t>
      </w:r>
      <w:r>
        <w:rPr>
          <w:rFonts w:ascii="Arial" w:hAnsi="Arial"/>
          <w:i/>
          <w:iCs/>
          <w:sz w:val="20"/>
          <w:szCs w:val="20"/>
        </w:rPr>
        <w:t>enceintes habitables</w:t>
      </w:r>
      <w:r>
        <w:rPr>
          <w:rFonts w:ascii="Arial" w:hAnsi="Arial"/>
          <w:sz w:val="20"/>
          <w:szCs w:val="20"/>
        </w:rPr>
        <w:t xml:space="preserve"> dans le cadre de cet article:</w:t>
      </w:r>
    </w:p>
    <w:p w14:paraId="7952CFC7" w14:textId="77777777" w:rsidR="00431690" w:rsidRPr="00937C8B" w:rsidRDefault="00431690" w:rsidP="00BB6ADF">
      <w:pPr>
        <w:spacing w:after="60"/>
        <w:jc w:val="both"/>
        <w:rPr>
          <w:rFonts w:ascii="Arial" w:hAnsi="Arial" w:cs="Arial"/>
          <w:sz w:val="20"/>
          <w:szCs w:val="20"/>
        </w:rPr>
      </w:pPr>
      <w:r>
        <w:rPr>
          <w:rFonts w:ascii="Arial" w:hAnsi="Arial"/>
          <w:sz w:val="20"/>
          <w:szCs w:val="20"/>
        </w:rPr>
        <w:t>- chambres et séjours (chambres, salles à manger, salons, cuisines, salles de bains, toilettes, dégagements intérieurs des maisons, etc.);</w:t>
      </w:r>
    </w:p>
    <w:p w14:paraId="78F9EBF1" w14:textId="7698AAD8" w:rsidR="00431690" w:rsidRPr="00937C8B" w:rsidRDefault="00431690" w:rsidP="00BB6ADF">
      <w:pPr>
        <w:spacing w:after="60"/>
        <w:jc w:val="both"/>
        <w:rPr>
          <w:rFonts w:ascii="Arial" w:hAnsi="Arial" w:cs="Arial"/>
          <w:sz w:val="20"/>
          <w:szCs w:val="20"/>
        </w:rPr>
      </w:pPr>
      <w:r>
        <w:rPr>
          <w:rFonts w:ascii="Arial" w:hAnsi="Arial"/>
          <w:sz w:val="20"/>
          <w:szCs w:val="20"/>
        </w:rPr>
        <w:t>- lieux de travail ou ouverts au public tels que les salles de classe, les bibliothèques, les chambres d</w:t>
      </w:r>
      <w:r w:rsidR="00EA7588">
        <w:rPr>
          <w:rFonts w:ascii="Arial" w:hAnsi="Arial"/>
          <w:sz w:val="20"/>
          <w:szCs w:val="20"/>
        </w:rPr>
        <w:t>’</w:t>
      </w:r>
      <w:r>
        <w:rPr>
          <w:rFonts w:ascii="Arial" w:hAnsi="Arial"/>
          <w:sz w:val="20"/>
          <w:szCs w:val="20"/>
        </w:rPr>
        <w:t>hôpital, les bureaux, les salles d</w:t>
      </w:r>
      <w:r w:rsidR="00EA7588">
        <w:rPr>
          <w:rFonts w:ascii="Arial" w:hAnsi="Arial"/>
          <w:sz w:val="20"/>
          <w:szCs w:val="20"/>
        </w:rPr>
        <w:t>’</w:t>
      </w:r>
      <w:r>
        <w:rPr>
          <w:rFonts w:ascii="Arial" w:hAnsi="Arial"/>
          <w:sz w:val="20"/>
          <w:szCs w:val="20"/>
        </w:rPr>
        <w:t>attente ou de réunion, etc.</w:t>
      </w:r>
    </w:p>
    <w:p w14:paraId="26DD770F" w14:textId="612E8A0F" w:rsidR="00431690" w:rsidRPr="00937C8B" w:rsidRDefault="00431690" w:rsidP="00BB6ADF">
      <w:pPr>
        <w:spacing w:after="60"/>
        <w:jc w:val="both"/>
        <w:rPr>
          <w:rFonts w:ascii="Arial" w:hAnsi="Arial" w:cs="Arial"/>
          <w:sz w:val="20"/>
          <w:szCs w:val="20"/>
        </w:rPr>
      </w:pPr>
      <w:r>
        <w:rPr>
          <w:rFonts w:ascii="Arial" w:hAnsi="Arial"/>
          <w:b/>
          <w:sz w:val="20"/>
          <w:szCs w:val="20"/>
        </w:rPr>
        <w:t xml:space="preserve">Enceinte non habitable: </w:t>
      </w:r>
      <w:r w:rsidR="00880E3A">
        <w:rPr>
          <w:rFonts w:ascii="Arial" w:hAnsi="Arial"/>
          <w:sz w:val="20"/>
          <w:szCs w:val="20"/>
        </w:rPr>
        <w:t>e</w:t>
      </w:r>
      <w:r>
        <w:rPr>
          <w:rFonts w:ascii="Arial" w:hAnsi="Arial"/>
          <w:sz w:val="20"/>
          <w:szCs w:val="20"/>
        </w:rPr>
        <w:t>nceinte intérieure qui n</w:t>
      </w:r>
      <w:r w:rsidR="00EA7588">
        <w:rPr>
          <w:rFonts w:ascii="Arial" w:hAnsi="Arial"/>
          <w:sz w:val="20"/>
          <w:szCs w:val="20"/>
        </w:rPr>
        <w:t>’</w:t>
      </w:r>
      <w:r>
        <w:rPr>
          <w:rFonts w:ascii="Arial" w:hAnsi="Arial"/>
          <w:sz w:val="20"/>
          <w:szCs w:val="20"/>
        </w:rPr>
        <w:t xml:space="preserve">est pas destinée à un usage permanent par des personnes, et qui ne nécessite donc pas de conditions de protection spéciales dans le cadre du présent article. Les garages, caves et salles techniques sont réputés être des </w:t>
      </w:r>
      <w:r>
        <w:rPr>
          <w:rFonts w:ascii="Arial" w:hAnsi="Arial"/>
          <w:i/>
          <w:iCs/>
          <w:sz w:val="20"/>
          <w:szCs w:val="20"/>
        </w:rPr>
        <w:t>enceintes non habitables</w:t>
      </w:r>
      <w:r>
        <w:rPr>
          <w:rFonts w:ascii="Arial" w:hAnsi="Arial"/>
          <w:sz w:val="20"/>
          <w:szCs w:val="20"/>
        </w:rPr>
        <w:t xml:space="preserve"> dans le cadre de cet article.</w:t>
      </w:r>
    </w:p>
    <w:p w14:paraId="192D53B1" w14:textId="6C0B9606" w:rsidR="00431690" w:rsidRPr="00937C8B" w:rsidRDefault="00431690" w:rsidP="00BB6ADF">
      <w:pPr>
        <w:spacing w:after="60"/>
        <w:jc w:val="both"/>
        <w:rPr>
          <w:rFonts w:ascii="Arial" w:hAnsi="Arial" w:cs="Arial"/>
          <w:sz w:val="20"/>
          <w:szCs w:val="20"/>
        </w:rPr>
      </w:pPr>
      <w:r>
        <w:rPr>
          <w:rFonts w:ascii="Arial" w:hAnsi="Arial"/>
          <w:b/>
          <w:sz w:val="20"/>
          <w:szCs w:val="20"/>
        </w:rPr>
        <w:t xml:space="preserve">Niveau de référence: </w:t>
      </w:r>
      <w:r w:rsidR="00880E3A">
        <w:rPr>
          <w:rFonts w:ascii="Arial" w:hAnsi="Arial"/>
          <w:sz w:val="20"/>
          <w:szCs w:val="20"/>
        </w:rPr>
        <w:t>v</w:t>
      </w:r>
      <w:r>
        <w:rPr>
          <w:rFonts w:ascii="Arial" w:hAnsi="Arial"/>
          <w:sz w:val="20"/>
          <w:szCs w:val="20"/>
        </w:rPr>
        <w:t xml:space="preserve">aleur de la </w:t>
      </w:r>
      <w:r>
        <w:rPr>
          <w:rFonts w:ascii="Arial" w:hAnsi="Arial"/>
          <w:i/>
          <w:iCs/>
          <w:sz w:val="20"/>
          <w:szCs w:val="20"/>
        </w:rPr>
        <w:t>moyenne annuelle de concentration de radon</w:t>
      </w:r>
      <w:r>
        <w:rPr>
          <w:rFonts w:ascii="Arial" w:hAnsi="Arial"/>
          <w:sz w:val="20"/>
          <w:szCs w:val="20"/>
        </w:rPr>
        <w:t xml:space="preserve"> au-dessus de laquelle il est jugé inapproprié de permettre des expositions, même s’il ne s’agit pas d’une limite infranchissable.</w:t>
      </w:r>
    </w:p>
    <w:p w14:paraId="7AF06D96" w14:textId="4E51650F" w:rsidR="00431690" w:rsidRPr="00937C8B" w:rsidRDefault="00431690" w:rsidP="00BB6ADF">
      <w:pPr>
        <w:spacing w:after="60"/>
        <w:jc w:val="both"/>
        <w:rPr>
          <w:rFonts w:ascii="Arial" w:hAnsi="Arial" w:cs="Arial"/>
          <w:sz w:val="20"/>
          <w:szCs w:val="20"/>
        </w:rPr>
      </w:pPr>
      <w:r>
        <w:rPr>
          <w:rFonts w:ascii="Arial" w:hAnsi="Arial"/>
          <w:b/>
          <w:i/>
          <w:iCs/>
          <w:sz w:val="20"/>
          <w:szCs w:val="20"/>
        </w:rPr>
        <w:t>Moyenne annuelle de concentration de radon:</w:t>
      </w:r>
      <w:r>
        <w:rPr>
          <w:rFonts w:ascii="Arial" w:hAnsi="Arial"/>
          <w:b/>
          <w:sz w:val="20"/>
          <w:szCs w:val="20"/>
        </w:rPr>
        <w:t xml:space="preserve"> </w:t>
      </w:r>
      <w:r w:rsidR="00880E3A">
        <w:rPr>
          <w:rFonts w:ascii="Arial" w:hAnsi="Arial"/>
          <w:sz w:val="20"/>
          <w:szCs w:val="20"/>
        </w:rPr>
        <w:t>e</w:t>
      </w:r>
      <w:r>
        <w:rPr>
          <w:rFonts w:ascii="Arial" w:hAnsi="Arial"/>
          <w:sz w:val="20"/>
          <w:szCs w:val="20"/>
        </w:rPr>
        <w:t xml:space="preserve">stimation de la valeur moyenne de </w:t>
      </w:r>
      <w:r>
        <w:rPr>
          <w:rFonts w:ascii="Arial" w:hAnsi="Arial"/>
          <w:i/>
          <w:iCs/>
          <w:sz w:val="20"/>
          <w:szCs w:val="20"/>
        </w:rPr>
        <w:t>concentration de radon</w:t>
      </w:r>
      <w:r>
        <w:rPr>
          <w:rFonts w:ascii="Arial" w:hAnsi="Arial"/>
          <w:sz w:val="20"/>
          <w:szCs w:val="20"/>
        </w:rPr>
        <w:t xml:space="preserve"> indiquée à l</w:t>
      </w:r>
      <w:r w:rsidR="00EA7588">
        <w:rPr>
          <w:rFonts w:ascii="Arial" w:hAnsi="Arial"/>
          <w:sz w:val="20"/>
          <w:szCs w:val="20"/>
        </w:rPr>
        <w:t>’</w:t>
      </w:r>
      <w:r>
        <w:rPr>
          <w:rFonts w:ascii="Arial" w:hAnsi="Arial"/>
          <w:sz w:val="20"/>
          <w:szCs w:val="20"/>
        </w:rPr>
        <w:t>annexe C.</w:t>
      </w:r>
    </w:p>
    <w:p w14:paraId="74A90DD9" w14:textId="0471787C" w:rsidR="00431690" w:rsidRPr="00937C8B" w:rsidRDefault="00431690" w:rsidP="00BB6ADF">
      <w:pPr>
        <w:spacing w:after="60"/>
        <w:jc w:val="both"/>
        <w:rPr>
          <w:rFonts w:ascii="Arial" w:hAnsi="Arial" w:cs="Arial"/>
          <w:sz w:val="20"/>
          <w:szCs w:val="20"/>
        </w:rPr>
      </w:pPr>
      <w:r>
        <w:rPr>
          <w:rFonts w:ascii="Arial" w:hAnsi="Arial"/>
          <w:b/>
          <w:sz w:val="20"/>
          <w:szCs w:val="20"/>
        </w:rPr>
        <w:t xml:space="preserve">Radon: </w:t>
      </w:r>
      <w:r w:rsidR="00880E3A">
        <w:rPr>
          <w:rFonts w:ascii="Arial" w:hAnsi="Arial"/>
          <w:sz w:val="20"/>
          <w:szCs w:val="20"/>
        </w:rPr>
        <w:t>l</w:t>
      </w:r>
      <w:r>
        <w:rPr>
          <w:rFonts w:ascii="Arial" w:hAnsi="Arial"/>
          <w:sz w:val="20"/>
          <w:szCs w:val="20"/>
        </w:rPr>
        <w:t>e radon (radon-222) est un gaz radioactif naturel de la chaîne de désintégration de l</w:t>
      </w:r>
      <w:r w:rsidR="00EA7588">
        <w:rPr>
          <w:rFonts w:ascii="Arial" w:hAnsi="Arial"/>
          <w:sz w:val="20"/>
          <w:szCs w:val="20"/>
        </w:rPr>
        <w:t>’</w:t>
      </w:r>
      <w:r>
        <w:rPr>
          <w:rFonts w:ascii="Arial" w:hAnsi="Arial"/>
          <w:sz w:val="20"/>
          <w:szCs w:val="20"/>
        </w:rPr>
        <w:t>uranium-238. Il est donc omniprésent dans la nature. Il peut s’accumuler à l’intérieur des bâtiments. Ses produits de dégradation peuvent être inhalés et déposés dans les voies broncho-pulmonaires. Le radon est aujourd’hui considéré comme la principale source d</w:t>
      </w:r>
      <w:r w:rsidR="00EA7588">
        <w:rPr>
          <w:rFonts w:ascii="Arial" w:hAnsi="Arial"/>
          <w:sz w:val="20"/>
          <w:szCs w:val="20"/>
        </w:rPr>
        <w:t>’</w:t>
      </w:r>
      <w:r>
        <w:rPr>
          <w:rFonts w:ascii="Arial" w:hAnsi="Arial"/>
          <w:sz w:val="20"/>
          <w:szCs w:val="20"/>
        </w:rPr>
        <w:t>exposition au rayonnement naturel pour l</w:t>
      </w:r>
      <w:r w:rsidR="00EA7588">
        <w:rPr>
          <w:rFonts w:ascii="Arial" w:hAnsi="Arial"/>
          <w:sz w:val="20"/>
          <w:szCs w:val="20"/>
        </w:rPr>
        <w:t>’</w:t>
      </w:r>
      <w:r>
        <w:rPr>
          <w:rFonts w:ascii="Arial" w:hAnsi="Arial"/>
          <w:sz w:val="20"/>
          <w:szCs w:val="20"/>
        </w:rPr>
        <w:t>homme.</w:t>
      </w:r>
    </w:p>
    <w:p w14:paraId="14852F80" w14:textId="657E1745" w:rsidR="00431690" w:rsidRPr="00937C8B" w:rsidRDefault="00431690" w:rsidP="00E42FD8">
      <w:pPr>
        <w:keepNext/>
        <w:spacing w:after="60"/>
        <w:jc w:val="both"/>
        <w:rPr>
          <w:rFonts w:ascii="Arial" w:hAnsi="Arial" w:cs="Arial"/>
          <w:sz w:val="20"/>
          <w:szCs w:val="20"/>
        </w:rPr>
      </w:pPr>
      <w:r>
        <w:rPr>
          <w:rFonts w:ascii="Arial" w:hAnsi="Arial"/>
          <w:b/>
          <w:sz w:val="20"/>
          <w:szCs w:val="20"/>
        </w:rPr>
        <w:t>Unité d</w:t>
      </w:r>
      <w:r w:rsidR="00EA7588">
        <w:rPr>
          <w:rFonts w:ascii="Arial" w:hAnsi="Arial"/>
          <w:b/>
          <w:sz w:val="20"/>
          <w:szCs w:val="20"/>
        </w:rPr>
        <w:t>’</w:t>
      </w:r>
      <w:r>
        <w:rPr>
          <w:rFonts w:ascii="Arial" w:hAnsi="Arial"/>
          <w:b/>
          <w:sz w:val="20"/>
          <w:szCs w:val="20"/>
        </w:rPr>
        <w:t xml:space="preserve">utilisation: </w:t>
      </w:r>
      <w:r>
        <w:rPr>
          <w:rFonts w:ascii="Arial" w:hAnsi="Arial"/>
          <w:sz w:val="20"/>
          <w:szCs w:val="20"/>
        </w:rPr>
        <w:t>bâtiment ou partie de celui-ci destiné(e) à un usage spécifique dans lequel/laquelle les usagers sont liés entre eux en raison de leur appartenance à une même unité familiale, entreprise ou corporation ou parce qu</w:t>
      </w:r>
      <w:r w:rsidR="00EA7588">
        <w:rPr>
          <w:rFonts w:ascii="Arial" w:hAnsi="Arial"/>
          <w:sz w:val="20"/>
          <w:szCs w:val="20"/>
        </w:rPr>
        <w:t>’</w:t>
      </w:r>
      <w:r>
        <w:rPr>
          <w:rFonts w:ascii="Arial" w:hAnsi="Arial"/>
          <w:sz w:val="20"/>
          <w:szCs w:val="20"/>
        </w:rPr>
        <w:t>ils font partie d</w:t>
      </w:r>
      <w:r w:rsidR="00EA7588">
        <w:rPr>
          <w:rFonts w:ascii="Arial" w:hAnsi="Arial"/>
          <w:sz w:val="20"/>
          <w:szCs w:val="20"/>
        </w:rPr>
        <w:t>’</w:t>
      </w:r>
      <w:r>
        <w:rPr>
          <w:rFonts w:ascii="Arial" w:hAnsi="Arial"/>
          <w:sz w:val="20"/>
          <w:szCs w:val="20"/>
        </w:rPr>
        <w:t>un groupe ou d</w:t>
      </w:r>
      <w:r w:rsidR="00EA7588">
        <w:rPr>
          <w:rFonts w:ascii="Arial" w:hAnsi="Arial"/>
          <w:sz w:val="20"/>
          <w:szCs w:val="20"/>
        </w:rPr>
        <w:t>’</w:t>
      </w:r>
      <w:r>
        <w:rPr>
          <w:rFonts w:ascii="Arial" w:hAnsi="Arial"/>
          <w:sz w:val="20"/>
          <w:szCs w:val="20"/>
        </w:rPr>
        <w:t xml:space="preserve">un collectif exerçant la même activité. Aux fins du présent document, les éléments suivants sont réputés être des </w:t>
      </w:r>
      <w:r>
        <w:rPr>
          <w:rFonts w:ascii="Arial" w:hAnsi="Arial"/>
          <w:i/>
          <w:iCs/>
          <w:sz w:val="20"/>
          <w:szCs w:val="20"/>
        </w:rPr>
        <w:t>unités d</w:t>
      </w:r>
      <w:r w:rsidR="00EA7588">
        <w:rPr>
          <w:rFonts w:ascii="Arial" w:hAnsi="Arial"/>
          <w:i/>
          <w:iCs/>
          <w:sz w:val="20"/>
          <w:szCs w:val="20"/>
        </w:rPr>
        <w:t>’</w:t>
      </w:r>
      <w:r>
        <w:rPr>
          <w:rFonts w:ascii="Arial" w:hAnsi="Arial"/>
          <w:i/>
          <w:iCs/>
          <w:sz w:val="20"/>
          <w:szCs w:val="20"/>
        </w:rPr>
        <w:t>utilisation</w:t>
      </w:r>
      <w:r>
        <w:rPr>
          <w:rFonts w:ascii="Arial" w:hAnsi="Arial"/>
          <w:sz w:val="20"/>
          <w:szCs w:val="20"/>
        </w:rPr>
        <w:t>:</w:t>
      </w:r>
    </w:p>
    <w:p w14:paraId="547C0A1B" w14:textId="77777777" w:rsidR="00431690" w:rsidRPr="00937C8B" w:rsidRDefault="00431690" w:rsidP="00BB6ADF">
      <w:pPr>
        <w:spacing w:after="60"/>
        <w:jc w:val="both"/>
        <w:rPr>
          <w:rFonts w:ascii="Arial" w:hAnsi="Arial" w:cs="Arial"/>
          <w:sz w:val="20"/>
          <w:szCs w:val="20"/>
        </w:rPr>
      </w:pPr>
      <w:r>
        <w:rPr>
          <w:rFonts w:ascii="Arial" w:hAnsi="Arial"/>
          <w:sz w:val="20"/>
          <w:szCs w:val="20"/>
        </w:rPr>
        <w:t>a) chaque logement et, le cas échéant, chaque local commercial des bâtiments résidentiels;</w:t>
      </w:r>
    </w:p>
    <w:p w14:paraId="359C8806" w14:textId="77777777" w:rsidR="00431690" w:rsidRPr="00937C8B" w:rsidRDefault="00431690" w:rsidP="00BB6ADF">
      <w:pPr>
        <w:spacing w:after="60"/>
        <w:jc w:val="both"/>
        <w:rPr>
          <w:rFonts w:ascii="Arial" w:hAnsi="Arial" w:cs="Arial"/>
          <w:sz w:val="20"/>
          <w:szCs w:val="20"/>
        </w:rPr>
      </w:pPr>
      <w:r>
        <w:rPr>
          <w:rFonts w:ascii="Arial" w:hAnsi="Arial"/>
          <w:sz w:val="20"/>
          <w:szCs w:val="20"/>
        </w:rPr>
        <w:lastRenderedPageBreak/>
        <w:t>b) chaque établissement ou local commercial indépendant pour les autres bâtiments.</w:t>
      </w:r>
    </w:p>
    <w:p w14:paraId="511B1C54" w14:textId="25CF3BD7" w:rsidR="00431690" w:rsidRPr="00937C8B" w:rsidRDefault="00431690" w:rsidP="00BB6ADF">
      <w:pPr>
        <w:spacing w:after="60"/>
        <w:jc w:val="both"/>
        <w:rPr>
          <w:rFonts w:ascii="Arial" w:hAnsi="Arial" w:cs="Arial"/>
          <w:sz w:val="20"/>
          <w:szCs w:val="20"/>
        </w:rPr>
      </w:pPr>
      <w:r>
        <w:rPr>
          <w:rFonts w:ascii="Arial" w:hAnsi="Arial"/>
          <w:b/>
          <w:sz w:val="20"/>
          <w:szCs w:val="20"/>
        </w:rPr>
        <w:t xml:space="preserve">Ventilation naturelle: </w:t>
      </w:r>
      <w:r w:rsidR="00880E3A">
        <w:rPr>
          <w:rFonts w:ascii="Arial" w:hAnsi="Arial"/>
          <w:sz w:val="20"/>
          <w:szCs w:val="20"/>
        </w:rPr>
        <w:t>v</w:t>
      </w:r>
      <w:r>
        <w:rPr>
          <w:rFonts w:ascii="Arial" w:hAnsi="Arial"/>
          <w:sz w:val="20"/>
          <w:szCs w:val="20"/>
        </w:rPr>
        <w:t>entilation dans laquelle le renouvellement de l</w:t>
      </w:r>
      <w:r w:rsidR="00EA7588">
        <w:rPr>
          <w:rFonts w:ascii="Arial" w:hAnsi="Arial"/>
          <w:sz w:val="20"/>
          <w:szCs w:val="20"/>
        </w:rPr>
        <w:t>’</w:t>
      </w:r>
      <w:r>
        <w:rPr>
          <w:rFonts w:ascii="Arial" w:hAnsi="Arial"/>
          <w:sz w:val="20"/>
          <w:szCs w:val="20"/>
        </w:rPr>
        <w:t>air est produit exclusivement par l</w:t>
      </w:r>
      <w:r w:rsidR="00EA7588">
        <w:rPr>
          <w:rFonts w:ascii="Arial" w:hAnsi="Arial"/>
          <w:sz w:val="20"/>
          <w:szCs w:val="20"/>
        </w:rPr>
        <w:t>’</w:t>
      </w:r>
      <w:r>
        <w:rPr>
          <w:rFonts w:ascii="Arial" w:hAnsi="Arial"/>
          <w:sz w:val="20"/>
          <w:szCs w:val="20"/>
        </w:rPr>
        <w:t>action du vent ou par l</w:t>
      </w:r>
      <w:r w:rsidR="00EA7588">
        <w:rPr>
          <w:rFonts w:ascii="Arial" w:hAnsi="Arial"/>
          <w:sz w:val="20"/>
          <w:szCs w:val="20"/>
        </w:rPr>
        <w:t>’</w:t>
      </w:r>
      <w:r>
        <w:rPr>
          <w:rFonts w:ascii="Arial" w:hAnsi="Arial"/>
          <w:sz w:val="20"/>
          <w:szCs w:val="20"/>
        </w:rPr>
        <w:t>existence d</w:t>
      </w:r>
      <w:r w:rsidR="00EA7588">
        <w:rPr>
          <w:rFonts w:ascii="Arial" w:hAnsi="Arial"/>
          <w:sz w:val="20"/>
          <w:szCs w:val="20"/>
        </w:rPr>
        <w:t>’</w:t>
      </w:r>
      <w:r>
        <w:rPr>
          <w:rFonts w:ascii="Arial" w:hAnsi="Arial"/>
          <w:sz w:val="20"/>
          <w:szCs w:val="20"/>
        </w:rPr>
        <w:t>un gradient de températures ou de pressions entre le point d</w:t>
      </w:r>
      <w:r w:rsidR="00EA7588">
        <w:rPr>
          <w:rFonts w:ascii="Arial" w:hAnsi="Arial"/>
          <w:sz w:val="20"/>
          <w:szCs w:val="20"/>
        </w:rPr>
        <w:t>’</w:t>
      </w:r>
      <w:r>
        <w:rPr>
          <w:rFonts w:ascii="Arial" w:hAnsi="Arial"/>
          <w:sz w:val="20"/>
          <w:szCs w:val="20"/>
        </w:rPr>
        <w:t>entrée et le point de sortie.</w:t>
      </w:r>
    </w:p>
    <w:p w14:paraId="181AADAA" w14:textId="77777777" w:rsidR="009110ED" w:rsidRPr="00937C8B" w:rsidRDefault="009110ED" w:rsidP="0084739B">
      <w:pPr>
        <w:pStyle w:val="EstiloTtulo1CTEAntes24ptoDespus8pto"/>
      </w:pPr>
      <w:bookmarkStart w:id="381" w:name="_Toc39158009"/>
      <w:bookmarkStart w:id="382" w:name="_Toc39158169"/>
      <w:r>
        <w:lastRenderedPageBreak/>
        <w:t>Annexe B. Classification des communes en fonction du potentiel de radon</w:t>
      </w:r>
      <w:bookmarkEnd w:id="381"/>
      <w:bookmarkEnd w:id="382"/>
    </w:p>
    <w:p w14:paraId="528522DB" w14:textId="77777777" w:rsidR="009110ED" w:rsidRPr="00937C8B" w:rsidRDefault="009110ED" w:rsidP="009110ED">
      <w:pPr>
        <w:pStyle w:val="CTENumeracion"/>
        <w:numPr>
          <w:ilvl w:val="0"/>
          <w:numId w:val="52"/>
        </w:numPr>
        <w:tabs>
          <w:tab w:val="clear" w:pos="567"/>
          <w:tab w:val="num" w:pos="851"/>
        </w:tabs>
        <w:suppressAutoHyphens/>
        <w:ind w:left="426" w:hanging="426"/>
        <w:rPr>
          <w:szCs w:val="20"/>
        </w:rPr>
      </w:pPr>
      <w:r>
        <w:t xml:space="preserve">Cette annexe contient la liste des termes municipaux où, sur la base des mesures prises par le Conseil de sûreté nucléaire, il existe une forte probabilité que les bâtiments qui y sont construits sans solutions spécifiques de protection contre le radon présentent des </w:t>
      </w:r>
      <w:r>
        <w:rPr>
          <w:i/>
          <w:iCs/>
        </w:rPr>
        <w:t>concentrations de radon</w:t>
      </w:r>
      <w:r>
        <w:t xml:space="preserve"> supérieures au </w:t>
      </w:r>
      <w:r>
        <w:rPr>
          <w:i/>
          <w:iCs/>
        </w:rPr>
        <w:t>niveau de référence</w:t>
      </w:r>
      <w:r>
        <w:t xml:space="preserve">. </w:t>
      </w:r>
    </w:p>
    <w:p w14:paraId="58970C11" w14:textId="77777777" w:rsidR="009110ED" w:rsidRPr="00937C8B" w:rsidRDefault="009110ED" w:rsidP="009110ED">
      <w:pPr>
        <w:pStyle w:val="CTENumeracion"/>
        <w:numPr>
          <w:ilvl w:val="0"/>
          <w:numId w:val="52"/>
        </w:numPr>
        <w:tabs>
          <w:tab w:val="clear" w:pos="567"/>
          <w:tab w:val="num" w:pos="709"/>
        </w:tabs>
        <w:suppressAutoHyphens/>
        <w:ind w:left="426" w:hanging="426"/>
        <w:rPr>
          <w:szCs w:val="20"/>
        </w:rPr>
      </w:pPr>
      <w:r>
        <w:t>Elles sont réparties comme suit:</w:t>
      </w:r>
    </w:p>
    <w:p w14:paraId="35B6C038" w14:textId="77777777" w:rsidR="009110ED" w:rsidRPr="00937C8B" w:rsidRDefault="009110ED" w:rsidP="009110ED">
      <w:pPr>
        <w:pStyle w:val="CTENumeracion"/>
        <w:numPr>
          <w:ilvl w:val="7"/>
          <w:numId w:val="35"/>
        </w:numPr>
        <w:suppressAutoHyphens/>
        <w:ind w:left="851" w:hanging="425"/>
        <w:rPr>
          <w:szCs w:val="20"/>
        </w:rPr>
      </w:pPr>
      <w:r>
        <w:t>communes de zone I;</w:t>
      </w:r>
    </w:p>
    <w:p w14:paraId="3EF8E83B" w14:textId="77777777" w:rsidR="009110ED" w:rsidRPr="00937C8B" w:rsidRDefault="009110ED" w:rsidP="009110ED">
      <w:pPr>
        <w:pStyle w:val="CTENumeracion"/>
        <w:numPr>
          <w:ilvl w:val="7"/>
          <w:numId w:val="35"/>
        </w:numPr>
        <w:suppressAutoHyphens/>
        <w:ind w:left="851" w:hanging="425"/>
        <w:rPr>
          <w:szCs w:val="20"/>
        </w:rPr>
      </w:pPr>
      <w:r>
        <w:t>communes de zone II.</w:t>
      </w:r>
    </w:p>
    <w:p w14:paraId="6DF1E8A3" w14:textId="77777777" w:rsidR="002A4DDF" w:rsidRPr="00937C8B" w:rsidRDefault="002A4DDF" w:rsidP="00BB6ADF">
      <w:pPr>
        <w:spacing w:after="60"/>
        <w:jc w:val="both"/>
        <w:rPr>
          <w:rFonts w:ascii="Arial" w:hAnsi="Arial" w:cs="Arial"/>
          <w:sz w:val="20"/>
          <w:szCs w:val="20"/>
        </w:rPr>
      </w:pPr>
    </w:p>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937C8B" w14:paraId="329B8779" w14:textId="77777777" w:rsidTr="00935676">
        <w:trPr>
          <w:cantSplit/>
        </w:trPr>
        <w:tc>
          <w:tcPr>
            <w:tcW w:w="1696" w:type="dxa"/>
            <w:tcBorders>
              <w:top w:val="single" w:sz="4" w:space="0" w:color="auto"/>
              <w:left w:val="single" w:sz="4" w:space="0" w:color="auto"/>
              <w:bottom w:val="single" w:sz="4" w:space="0" w:color="auto"/>
            </w:tcBorders>
            <w:shd w:val="clear" w:color="auto" w:fill="D9D9D9"/>
            <w:vAlign w:val="center"/>
            <w:hideMark/>
          </w:tcPr>
          <w:p w14:paraId="7476A0CF" w14:textId="77777777" w:rsidR="002A4DDF" w:rsidRPr="00937C8B" w:rsidRDefault="002A4DDF" w:rsidP="009110ED">
            <w:pPr>
              <w:rPr>
                <w:rFonts w:ascii="Arial" w:hAnsi="Arial" w:cs="Arial"/>
                <w:b/>
                <w:bCs/>
                <w:sz w:val="12"/>
                <w:szCs w:val="12"/>
              </w:rPr>
            </w:pPr>
            <w:r>
              <w:rPr>
                <w:rFonts w:ascii="Arial" w:hAnsi="Arial"/>
                <w:b/>
                <w:bCs/>
                <w:sz w:val="12"/>
                <w:szCs w:val="12"/>
              </w:rPr>
              <w:t>Nom CCAA</w:t>
            </w:r>
          </w:p>
        </w:tc>
        <w:tc>
          <w:tcPr>
            <w:tcW w:w="1843" w:type="dxa"/>
            <w:tcBorders>
              <w:top w:val="single" w:sz="4" w:space="0" w:color="auto"/>
              <w:bottom w:val="single" w:sz="4" w:space="0" w:color="auto"/>
            </w:tcBorders>
            <w:shd w:val="clear" w:color="auto" w:fill="D9D9D9"/>
            <w:vAlign w:val="center"/>
            <w:hideMark/>
          </w:tcPr>
          <w:p w14:paraId="06041F1D" w14:textId="77777777" w:rsidR="002A4DDF" w:rsidRPr="00937C8B" w:rsidRDefault="002A4DDF" w:rsidP="009110ED">
            <w:pPr>
              <w:rPr>
                <w:rFonts w:ascii="Arial" w:hAnsi="Arial" w:cs="Arial"/>
                <w:b/>
                <w:bCs/>
                <w:sz w:val="12"/>
                <w:szCs w:val="12"/>
              </w:rPr>
            </w:pPr>
            <w:r>
              <w:rPr>
                <w:rFonts w:ascii="Arial" w:hAnsi="Arial"/>
                <w:b/>
                <w:bCs/>
                <w:sz w:val="12"/>
                <w:szCs w:val="12"/>
              </w:rPr>
              <w:t>Nom PROVINCES</w:t>
            </w:r>
          </w:p>
        </w:tc>
        <w:tc>
          <w:tcPr>
            <w:tcW w:w="2268" w:type="dxa"/>
            <w:tcBorders>
              <w:top w:val="single" w:sz="4" w:space="0" w:color="auto"/>
              <w:bottom w:val="single" w:sz="4" w:space="0" w:color="auto"/>
            </w:tcBorders>
            <w:shd w:val="clear" w:color="auto" w:fill="D9D9D9"/>
            <w:vAlign w:val="center"/>
            <w:hideMark/>
          </w:tcPr>
          <w:p w14:paraId="672A3D07" w14:textId="77777777" w:rsidR="002A4DDF" w:rsidRPr="00937C8B" w:rsidRDefault="002A4DDF" w:rsidP="009110ED">
            <w:pPr>
              <w:rPr>
                <w:rFonts w:ascii="Arial" w:hAnsi="Arial" w:cs="Arial"/>
                <w:b/>
                <w:bCs/>
                <w:sz w:val="12"/>
                <w:szCs w:val="12"/>
              </w:rPr>
            </w:pPr>
            <w:r>
              <w:rPr>
                <w:rFonts w:ascii="Arial" w:hAnsi="Arial"/>
                <w:b/>
                <w:bCs/>
                <w:sz w:val="12"/>
                <w:szCs w:val="12"/>
              </w:rPr>
              <w:t>Communes ZONE 1</w:t>
            </w:r>
          </w:p>
        </w:tc>
        <w:tc>
          <w:tcPr>
            <w:tcW w:w="2268" w:type="dxa"/>
            <w:tcBorders>
              <w:top w:val="single" w:sz="4" w:space="0" w:color="auto"/>
              <w:bottom w:val="single" w:sz="4" w:space="0" w:color="auto"/>
              <w:right w:val="single" w:sz="4" w:space="0" w:color="auto"/>
            </w:tcBorders>
            <w:shd w:val="clear" w:color="auto" w:fill="D9D9D9"/>
            <w:vAlign w:val="center"/>
            <w:hideMark/>
          </w:tcPr>
          <w:p w14:paraId="5A7416CC" w14:textId="77777777" w:rsidR="002A4DDF" w:rsidRPr="00937C8B" w:rsidRDefault="002A4DDF" w:rsidP="009110ED">
            <w:pPr>
              <w:rPr>
                <w:rFonts w:ascii="Arial" w:hAnsi="Arial" w:cs="Arial"/>
                <w:b/>
                <w:bCs/>
                <w:sz w:val="12"/>
                <w:szCs w:val="12"/>
              </w:rPr>
            </w:pPr>
            <w:r>
              <w:rPr>
                <w:rFonts w:ascii="Arial" w:hAnsi="Arial"/>
                <w:b/>
                <w:bCs/>
                <w:sz w:val="12"/>
                <w:szCs w:val="12"/>
              </w:rPr>
              <w:t>Communes ZONE 2</w:t>
            </w:r>
          </w:p>
        </w:tc>
      </w:tr>
      <w:tr w:rsidR="002A4DDF" w:rsidRPr="00937C8B" w14:paraId="7C98781B" w14:textId="77777777" w:rsidTr="00935676">
        <w:trPr>
          <w:cantSplit/>
        </w:trPr>
        <w:tc>
          <w:tcPr>
            <w:tcW w:w="1696" w:type="dxa"/>
            <w:tcBorders>
              <w:top w:val="single" w:sz="4" w:space="0" w:color="auto"/>
              <w:left w:val="single" w:sz="4" w:space="0" w:color="auto"/>
              <w:bottom w:val="single" w:sz="4" w:space="0" w:color="auto"/>
            </w:tcBorders>
            <w:shd w:val="clear" w:color="auto" w:fill="auto"/>
          </w:tcPr>
          <w:p w14:paraId="13A8EDFF"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tcPr>
          <w:p w14:paraId="52BF1C96"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auto"/>
          </w:tcPr>
          <w:p w14:paraId="08B8953D"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right w:val="single" w:sz="4" w:space="0" w:color="auto"/>
            </w:tcBorders>
            <w:shd w:val="clear" w:color="auto" w:fill="auto"/>
          </w:tcPr>
          <w:p w14:paraId="2C420A78" w14:textId="77777777" w:rsidR="002A4DDF" w:rsidRPr="00937C8B" w:rsidRDefault="002A4DDF" w:rsidP="009110ED">
            <w:pPr>
              <w:rPr>
                <w:rFonts w:ascii="Arial" w:hAnsi="Arial" w:cs="Arial"/>
                <w:sz w:val="12"/>
                <w:szCs w:val="12"/>
              </w:rPr>
            </w:pPr>
          </w:p>
        </w:tc>
      </w:tr>
      <w:tr w:rsidR="002A4DDF" w:rsidRPr="00937C8B" w14:paraId="1BB69C4D" w14:textId="77777777" w:rsidTr="00935676">
        <w:trPr>
          <w:cantSplit/>
        </w:trPr>
        <w:tc>
          <w:tcPr>
            <w:tcW w:w="1696" w:type="dxa"/>
            <w:tcBorders>
              <w:top w:val="single" w:sz="4" w:space="0" w:color="auto"/>
              <w:left w:val="single" w:sz="4" w:space="0" w:color="auto"/>
            </w:tcBorders>
            <w:shd w:val="clear" w:color="auto" w:fill="auto"/>
            <w:hideMark/>
          </w:tcPr>
          <w:p w14:paraId="00448DD6"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top w:val="single" w:sz="4" w:space="0" w:color="auto"/>
            </w:tcBorders>
            <w:shd w:val="clear" w:color="auto" w:fill="auto"/>
            <w:hideMark/>
          </w:tcPr>
          <w:p w14:paraId="6101FF1E" w14:textId="77777777" w:rsidR="002A4DDF" w:rsidRPr="00937C8B" w:rsidRDefault="002A4DDF" w:rsidP="009110ED">
            <w:pPr>
              <w:rPr>
                <w:rFonts w:ascii="Arial" w:hAnsi="Arial" w:cs="Arial"/>
                <w:sz w:val="12"/>
                <w:szCs w:val="12"/>
              </w:rPr>
            </w:pPr>
            <w:r>
              <w:rPr>
                <w:rFonts w:ascii="Arial" w:hAnsi="Arial"/>
                <w:sz w:val="12"/>
                <w:szCs w:val="12"/>
              </w:rPr>
              <w:t>Almería</w:t>
            </w:r>
          </w:p>
        </w:tc>
        <w:tc>
          <w:tcPr>
            <w:tcW w:w="2268" w:type="dxa"/>
            <w:tcBorders>
              <w:top w:val="single" w:sz="4" w:space="0" w:color="auto"/>
            </w:tcBorders>
            <w:shd w:val="clear" w:color="auto" w:fill="F2F2F2"/>
            <w:hideMark/>
          </w:tcPr>
          <w:p w14:paraId="24A4FA78" w14:textId="77777777" w:rsidR="002A4DDF" w:rsidRPr="00937C8B" w:rsidRDefault="002A4DDF" w:rsidP="009110ED">
            <w:pPr>
              <w:rPr>
                <w:rFonts w:ascii="Arial" w:hAnsi="Arial" w:cs="Arial"/>
                <w:sz w:val="12"/>
                <w:szCs w:val="12"/>
              </w:rPr>
            </w:pPr>
            <w:r>
              <w:rPr>
                <w:rFonts w:ascii="Arial" w:hAnsi="Arial"/>
                <w:sz w:val="12"/>
                <w:szCs w:val="12"/>
              </w:rPr>
              <w:t>Abla</w:t>
            </w:r>
          </w:p>
        </w:tc>
        <w:tc>
          <w:tcPr>
            <w:tcW w:w="2268" w:type="dxa"/>
            <w:tcBorders>
              <w:top w:val="single" w:sz="4" w:space="0" w:color="auto"/>
              <w:right w:val="single" w:sz="4" w:space="0" w:color="auto"/>
            </w:tcBorders>
            <w:shd w:val="clear" w:color="auto" w:fill="D9D9D9"/>
            <w:hideMark/>
          </w:tcPr>
          <w:p w14:paraId="682983EA" w14:textId="77777777" w:rsidR="002A4DDF" w:rsidRPr="00937C8B" w:rsidRDefault="002A4DDF" w:rsidP="009110ED">
            <w:pPr>
              <w:rPr>
                <w:rFonts w:ascii="Arial" w:hAnsi="Arial" w:cs="Arial"/>
                <w:sz w:val="12"/>
                <w:szCs w:val="12"/>
              </w:rPr>
            </w:pPr>
            <w:r>
              <w:rPr>
                <w:rFonts w:ascii="Arial" w:hAnsi="Arial"/>
                <w:sz w:val="12"/>
                <w:szCs w:val="12"/>
              </w:rPr>
              <w:t>Abrucena</w:t>
            </w:r>
          </w:p>
        </w:tc>
      </w:tr>
      <w:tr w:rsidR="002A4DDF" w:rsidRPr="00937C8B" w14:paraId="3C2DDFE0" w14:textId="77777777" w:rsidTr="00935676">
        <w:trPr>
          <w:cantSplit/>
        </w:trPr>
        <w:tc>
          <w:tcPr>
            <w:tcW w:w="1696" w:type="dxa"/>
            <w:tcBorders>
              <w:left w:val="single" w:sz="4" w:space="0" w:color="auto"/>
            </w:tcBorders>
            <w:shd w:val="clear" w:color="auto" w:fill="auto"/>
          </w:tcPr>
          <w:p w14:paraId="4796E5DA" w14:textId="77777777" w:rsidR="002A4DDF" w:rsidRPr="00937C8B" w:rsidRDefault="002A4DDF" w:rsidP="009110ED">
            <w:pPr>
              <w:rPr>
                <w:rFonts w:ascii="Arial" w:hAnsi="Arial" w:cs="Arial"/>
                <w:sz w:val="12"/>
                <w:szCs w:val="12"/>
              </w:rPr>
            </w:pPr>
          </w:p>
        </w:tc>
        <w:tc>
          <w:tcPr>
            <w:tcW w:w="1843" w:type="dxa"/>
            <w:shd w:val="clear" w:color="auto" w:fill="auto"/>
          </w:tcPr>
          <w:p w14:paraId="02FCB8A9" w14:textId="77777777" w:rsidR="002A4DDF" w:rsidRPr="00937C8B" w:rsidRDefault="002A4DDF" w:rsidP="009110ED">
            <w:pPr>
              <w:rPr>
                <w:rFonts w:ascii="Arial" w:hAnsi="Arial" w:cs="Arial"/>
                <w:sz w:val="12"/>
                <w:szCs w:val="12"/>
              </w:rPr>
            </w:pPr>
          </w:p>
        </w:tc>
        <w:tc>
          <w:tcPr>
            <w:tcW w:w="2268" w:type="dxa"/>
            <w:shd w:val="clear" w:color="auto" w:fill="F2F2F2"/>
            <w:hideMark/>
          </w:tcPr>
          <w:p w14:paraId="3444E46A" w14:textId="77777777" w:rsidR="002A4DDF" w:rsidRPr="00937C8B" w:rsidRDefault="002A4DDF" w:rsidP="009110ED">
            <w:pPr>
              <w:rPr>
                <w:rFonts w:ascii="Arial" w:hAnsi="Arial" w:cs="Arial"/>
                <w:sz w:val="12"/>
                <w:szCs w:val="12"/>
              </w:rPr>
            </w:pPr>
            <w:r>
              <w:rPr>
                <w:rFonts w:ascii="Arial" w:hAnsi="Arial"/>
                <w:sz w:val="12"/>
                <w:szCs w:val="12"/>
              </w:rPr>
              <w:t>Alcolea</w:t>
            </w:r>
          </w:p>
        </w:tc>
        <w:tc>
          <w:tcPr>
            <w:tcW w:w="2268" w:type="dxa"/>
            <w:tcBorders>
              <w:right w:val="single" w:sz="4" w:space="0" w:color="auto"/>
            </w:tcBorders>
            <w:shd w:val="clear" w:color="auto" w:fill="D9D9D9"/>
            <w:hideMark/>
          </w:tcPr>
          <w:p w14:paraId="51FB991D" w14:textId="77777777" w:rsidR="002A4DDF" w:rsidRPr="00937C8B" w:rsidRDefault="002A4DDF" w:rsidP="009110ED">
            <w:pPr>
              <w:rPr>
                <w:rFonts w:ascii="Arial" w:hAnsi="Arial" w:cs="Arial"/>
                <w:sz w:val="12"/>
                <w:szCs w:val="12"/>
              </w:rPr>
            </w:pPr>
            <w:r>
              <w:rPr>
                <w:rFonts w:ascii="Arial" w:hAnsi="Arial"/>
                <w:sz w:val="12"/>
                <w:szCs w:val="12"/>
              </w:rPr>
              <w:t>Alboloduy</w:t>
            </w:r>
          </w:p>
        </w:tc>
      </w:tr>
      <w:tr w:rsidR="002A4DDF" w:rsidRPr="00937C8B" w14:paraId="10077F4A" w14:textId="77777777" w:rsidTr="00935676">
        <w:trPr>
          <w:cantSplit/>
        </w:trPr>
        <w:tc>
          <w:tcPr>
            <w:tcW w:w="1696" w:type="dxa"/>
            <w:tcBorders>
              <w:left w:val="single" w:sz="4" w:space="0" w:color="auto"/>
            </w:tcBorders>
            <w:shd w:val="clear" w:color="auto" w:fill="auto"/>
          </w:tcPr>
          <w:p w14:paraId="46F27542" w14:textId="77777777" w:rsidR="002A4DDF" w:rsidRPr="00937C8B" w:rsidRDefault="002A4DDF" w:rsidP="009110ED">
            <w:pPr>
              <w:ind w:right="-45"/>
              <w:rPr>
                <w:rFonts w:ascii="Arial" w:hAnsi="Arial" w:cs="Arial"/>
                <w:sz w:val="12"/>
                <w:szCs w:val="12"/>
              </w:rPr>
            </w:pPr>
          </w:p>
        </w:tc>
        <w:tc>
          <w:tcPr>
            <w:tcW w:w="1843" w:type="dxa"/>
            <w:shd w:val="clear" w:color="auto" w:fill="auto"/>
          </w:tcPr>
          <w:p w14:paraId="5E89397E" w14:textId="77777777" w:rsidR="002A4DDF" w:rsidRPr="00937C8B" w:rsidRDefault="002A4DDF" w:rsidP="009110ED">
            <w:pPr>
              <w:rPr>
                <w:rFonts w:ascii="Arial" w:hAnsi="Arial" w:cs="Arial"/>
                <w:sz w:val="12"/>
                <w:szCs w:val="12"/>
              </w:rPr>
            </w:pPr>
          </w:p>
        </w:tc>
        <w:tc>
          <w:tcPr>
            <w:tcW w:w="2268" w:type="dxa"/>
            <w:shd w:val="clear" w:color="auto" w:fill="F2F2F2"/>
            <w:hideMark/>
          </w:tcPr>
          <w:p w14:paraId="516F92C7" w14:textId="77777777" w:rsidR="002A4DDF" w:rsidRPr="00937C8B" w:rsidRDefault="002A4DDF" w:rsidP="009110ED">
            <w:pPr>
              <w:rPr>
                <w:rFonts w:ascii="Arial" w:hAnsi="Arial" w:cs="Arial"/>
                <w:sz w:val="12"/>
                <w:szCs w:val="12"/>
              </w:rPr>
            </w:pPr>
            <w:r>
              <w:rPr>
                <w:rFonts w:ascii="Arial" w:hAnsi="Arial"/>
                <w:sz w:val="12"/>
                <w:szCs w:val="12"/>
              </w:rPr>
              <w:t>Alcóntar</w:t>
            </w:r>
          </w:p>
        </w:tc>
        <w:tc>
          <w:tcPr>
            <w:tcW w:w="2268" w:type="dxa"/>
            <w:tcBorders>
              <w:right w:val="single" w:sz="4" w:space="0" w:color="auto"/>
            </w:tcBorders>
            <w:shd w:val="clear" w:color="auto" w:fill="D9D9D9"/>
            <w:hideMark/>
          </w:tcPr>
          <w:p w14:paraId="405ECDBC" w14:textId="77777777" w:rsidR="002A4DDF" w:rsidRPr="00937C8B" w:rsidRDefault="002A4DDF" w:rsidP="009110ED">
            <w:pPr>
              <w:rPr>
                <w:rFonts w:ascii="Arial" w:hAnsi="Arial" w:cs="Arial"/>
                <w:sz w:val="12"/>
                <w:szCs w:val="12"/>
              </w:rPr>
            </w:pPr>
            <w:r>
              <w:rPr>
                <w:rFonts w:ascii="Arial" w:hAnsi="Arial"/>
                <w:sz w:val="12"/>
                <w:szCs w:val="12"/>
              </w:rPr>
              <w:t>Alcudia de Monteagud</w:t>
            </w:r>
          </w:p>
        </w:tc>
      </w:tr>
      <w:tr w:rsidR="002A4DDF" w:rsidRPr="00937C8B" w14:paraId="1340E24C" w14:textId="77777777" w:rsidTr="00935676">
        <w:trPr>
          <w:cantSplit/>
        </w:trPr>
        <w:tc>
          <w:tcPr>
            <w:tcW w:w="1696" w:type="dxa"/>
            <w:tcBorders>
              <w:left w:val="single" w:sz="4" w:space="0" w:color="auto"/>
            </w:tcBorders>
            <w:shd w:val="clear" w:color="auto" w:fill="auto"/>
          </w:tcPr>
          <w:p w14:paraId="0AAAF322" w14:textId="77777777" w:rsidR="002A4DDF" w:rsidRPr="00937C8B" w:rsidRDefault="002A4DDF" w:rsidP="009110ED">
            <w:pPr>
              <w:rPr>
                <w:rFonts w:ascii="Arial" w:hAnsi="Arial" w:cs="Arial"/>
                <w:sz w:val="12"/>
                <w:szCs w:val="12"/>
              </w:rPr>
            </w:pPr>
          </w:p>
        </w:tc>
        <w:tc>
          <w:tcPr>
            <w:tcW w:w="1843" w:type="dxa"/>
            <w:shd w:val="clear" w:color="auto" w:fill="auto"/>
          </w:tcPr>
          <w:p w14:paraId="5B3E0A22" w14:textId="77777777" w:rsidR="002A4DDF" w:rsidRPr="00937C8B" w:rsidRDefault="002A4DDF" w:rsidP="009110ED">
            <w:pPr>
              <w:rPr>
                <w:rFonts w:ascii="Arial" w:hAnsi="Arial" w:cs="Arial"/>
                <w:sz w:val="12"/>
                <w:szCs w:val="12"/>
              </w:rPr>
            </w:pPr>
          </w:p>
        </w:tc>
        <w:tc>
          <w:tcPr>
            <w:tcW w:w="2268" w:type="dxa"/>
            <w:shd w:val="clear" w:color="auto" w:fill="F2F2F2"/>
            <w:hideMark/>
          </w:tcPr>
          <w:p w14:paraId="7617AFB0" w14:textId="77777777" w:rsidR="002A4DDF" w:rsidRPr="00937C8B" w:rsidRDefault="002A4DDF" w:rsidP="009110ED">
            <w:pPr>
              <w:rPr>
                <w:rFonts w:ascii="Arial" w:hAnsi="Arial" w:cs="Arial"/>
                <w:sz w:val="12"/>
                <w:szCs w:val="12"/>
              </w:rPr>
            </w:pPr>
            <w:r>
              <w:rPr>
                <w:rFonts w:ascii="Arial" w:hAnsi="Arial"/>
                <w:sz w:val="12"/>
                <w:szCs w:val="12"/>
              </w:rPr>
              <w:t>Almócita</w:t>
            </w:r>
          </w:p>
        </w:tc>
        <w:tc>
          <w:tcPr>
            <w:tcW w:w="2268" w:type="dxa"/>
            <w:tcBorders>
              <w:right w:val="single" w:sz="4" w:space="0" w:color="auto"/>
            </w:tcBorders>
            <w:shd w:val="clear" w:color="auto" w:fill="D9D9D9"/>
            <w:hideMark/>
          </w:tcPr>
          <w:p w14:paraId="05BBDE04" w14:textId="77777777" w:rsidR="002A4DDF" w:rsidRPr="00937C8B" w:rsidRDefault="002A4DDF" w:rsidP="009110ED">
            <w:pPr>
              <w:rPr>
                <w:rFonts w:ascii="Arial" w:hAnsi="Arial" w:cs="Arial"/>
                <w:sz w:val="12"/>
                <w:szCs w:val="12"/>
              </w:rPr>
            </w:pPr>
            <w:r>
              <w:rPr>
                <w:rFonts w:ascii="Arial" w:hAnsi="Arial"/>
                <w:sz w:val="12"/>
                <w:szCs w:val="12"/>
              </w:rPr>
              <w:t>Bacares</w:t>
            </w:r>
          </w:p>
        </w:tc>
      </w:tr>
      <w:tr w:rsidR="002A4DDF" w:rsidRPr="00937C8B" w14:paraId="25F99E30" w14:textId="77777777" w:rsidTr="00935676">
        <w:trPr>
          <w:cantSplit/>
        </w:trPr>
        <w:tc>
          <w:tcPr>
            <w:tcW w:w="1696" w:type="dxa"/>
            <w:tcBorders>
              <w:left w:val="single" w:sz="4" w:space="0" w:color="auto"/>
            </w:tcBorders>
            <w:shd w:val="clear" w:color="auto" w:fill="auto"/>
          </w:tcPr>
          <w:p w14:paraId="3B3642D8" w14:textId="77777777" w:rsidR="002A4DDF" w:rsidRPr="00937C8B" w:rsidRDefault="002A4DDF" w:rsidP="009110ED">
            <w:pPr>
              <w:rPr>
                <w:rFonts w:ascii="Arial" w:hAnsi="Arial" w:cs="Arial"/>
                <w:sz w:val="12"/>
                <w:szCs w:val="12"/>
              </w:rPr>
            </w:pPr>
          </w:p>
        </w:tc>
        <w:tc>
          <w:tcPr>
            <w:tcW w:w="1843" w:type="dxa"/>
            <w:shd w:val="clear" w:color="auto" w:fill="auto"/>
          </w:tcPr>
          <w:p w14:paraId="2BAF2C04" w14:textId="77777777" w:rsidR="002A4DDF" w:rsidRPr="00937C8B" w:rsidRDefault="002A4DDF" w:rsidP="009110ED">
            <w:pPr>
              <w:rPr>
                <w:rFonts w:ascii="Arial" w:hAnsi="Arial" w:cs="Arial"/>
                <w:sz w:val="12"/>
                <w:szCs w:val="12"/>
              </w:rPr>
            </w:pPr>
          </w:p>
        </w:tc>
        <w:tc>
          <w:tcPr>
            <w:tcW w:w="2268" w:type="dxa"/>
            <w:shd w:val="clear" w:color="auto" w:fill="F2F2F2"/>
            <w:hideMark/>
          </w:tcPr>
          <w:p w14:paraId="7A385D3B" w14:textId="77777777" w:rsidR="002A4DDF" w:rsidRPr="00937C8B" w:rsidRDefault="002A4DDF" w:rsidP="009110ED">
            <w:pPr>
              <w:rPr>
                <w:rFonts w:ascii="Arial" w:hAnsi="Arial" w:cs="Arial"/>
                <w:sz w:val="12"/>
                <w:szCs w:val="12"/>
              </w:rPr>
            </w:pPr>
            <w:r>
              <w:rPr>
                <w:rFonts w:ascii="Arial" w:hAnsi="Arial"/>
                <w:sz w:val="12"/>
                <w:szCs w:val="12"/>
              </w:rPr>
              <w:t>Armuña de Almanzora</w:t>
            </w:r>
          </w:p>
        </w:tc>
        <w:tc>
          <w:tcPr>
            <w:tcW w:w="2268" w:type="dxa"/>
            <w:tcBorders>
              <w:right w:val="single" w:sz="4" w:space="0" w:color="auto"/>
            </w:tcBorders>
            <w:shd w:val="clear" w:color="auto" w:fill="D9D9D9"/>
            <w:hideMark/>
          </w:tcPr>
          <w:p w14:paraId="5F5DA115" w14:textId="77777777" w:rsidR="002A4DDF" w:rsidRPr="00937C8B" w:rsidRDefault="002A4DDF" w:rsidP="009110ED">
            <w:pPr>
              <w:rPr>
                <w:rFonts w:ascii="Arial" w:hAnsi="Arial" w:cs="Arial"/>
                <w:sz w:val="12"/>
                <w:szCs w:val="12"/>
              </w:rPr>
            </w:pPr>
            <w:r>
              <w:rPr>
                <w:rFonts w:ascii="Arial" w:hAnsi="Arial"/>
                <w:sz w:val="12"/>
                <w:szCs w:val="12"/>
              </w:rPr>
              <w:t>Bayárcal</w:t>
            </w:r>
          </w:p>
        </w:tc>
      </w:tr>
      <w:tr w:rsidR="002A4DDF" w:rsidRPr="00937C8B" w14:paraId="005455E5" w14:textId="77777777" w:rsidTr="00935676">
        <w:trPr>
          <w:cantSplit/>
        </w:trPr>
        <w:tc>
          <w:tcPr>
            <w:tcW w:w="1696" w:type="dxa"/>
            <w:tcBorders>
              <w:left w:val="single" w:sz="4" w:space="0" w:color="auto"/>
            </w:tcBorders>
            <w:shd w:val="clear" w:color="auto" w:fill="auto"/>
          </w:tcPr>
          <w:p w14:paraId="74365F11" w14:textId="77777777" w:rsidR="002A4DDF" w:rsidRPr="00937C8B" w:rsidRDefault="002A4DDF" w:rsidP="009110ED">
            <w:pPr>
              <w:rPr>
                <w:rFonts w:ascii="Arial" w:hAnsi="Arial" w:cs="Arial"/>
                <w:sz w:val="12"/>
                <w:szCs w:val="12"/>
              </w:rPr>
            </w:pPr>
          </w:p>
        </w:tc>
        <w:tc>
          <w:tcPr>
            <w:tcW w:w="1843" w:type="dxa"/>
            <w:shd w:val="clear" w:color="auto" w:fill="auto"/>
          </w:tcPr>
          <w:p w14:paraId="64EA01E4" w14:textId="77777777" w:rsidR="002A4DDF" w:rsidRPr="00937C8B" w:rsidRDefault="002A4DDF" w:rsidP="009110ED">
            <w:pPr>
              <w:rPr>
                <w:rFonts w:ascii="Arial" w:hAnsi="Arial" w:cs="Arial"/>
                <w:sz w:val="12"/>
                <w:szCs w:val="12"/>
              </w:rPr>
            </w:pPr>
          </w:p>
        </w:tc>
        <w:tc>
          <w:tcPr>
            <w:tcW w:w="2268" w:type="dxa"/>
            <w:shd w:val="clear" w:color="auto" w:fill="F2F2F2"/>
            <w:hideMark/>
          </w:tcPr>
          <w:p w14:paraId="00576545" w14:textId="77777777" w:rsidR="002A4DDF" w:rsidRPr="00937C8B" w:rsidRDefault="002A4DDF" w:rsidP="009110ED">
            <w:pPr>
              <w:rPr>
                <w:rFonts w:ascii="Arial" w:hAnsi="Arial" w:cs="Arial"/>
                <w:sz w:val="12"/>
                <w:szCs w:val="12"/>
              </w:rPr>
            </w:pPr>
            <w:r>
              <w:rPr>
                <w:rFonts w:ascii="Arial" w:hAnsi="Arial"/>
                <w:sz w:val="12"/>
                <w:szCs w:val="12"/>
              </w:rPr>
              <w:t>Bayarque</w:t>
            </w:r>
          </w:p>
        </w:tc>
        <w:tc>
          <w:tcPr>
            <w:tcW w:w="2268" w:type="dxa"/>
            <w:tcBorders>
              <w:right w:val="single" w:sz="4" w:space="0" w:color="auto"/>
            </w:tcBorders>
            <w:shd w:val="clear" w:color="auto" w:fill="D9D9D9"/>
            <w:hideMark/>
          </w:tcPr>
          <w:p w14:paraId="33D4A896" w14:textId="77777777" w:rsidR="002A4DDF" w:rsidRPr="00937C8B" w:rsidRDefault="002A4DDF" w:rsidP="009110ED">
            <w:pPr>
              <w:rPr>
                <w:rFonts w:ascii="Arial" w:hAnsi="Arial" w:cs="Arial"/>
                <w:sz w:val="12"/>
                <w:szCs w:val="12"/>
              </w:rPr>
            </w:pPr>
            <w:r>
              <w:rPr>
                <w:rFonts w:ascii="Arial" w:hAnsi="Arial"/>
                <w:sz w:val="12"/>
                <w:szCs w:val="12"/>
              </w:rPr>
              <w:t>Benitagla</w:t>
            </w:r>
          </w:p>
        </w:tc>
      </w:tr>
      <w:tr w:rsidR="002A4DDF" w:rsidRPr="00937C8B" w14:paraId="512053AC" w14:textId="77777777" w:rsidTr="00935676">
        <w:trPr>
          <w:cantSplit/>
        </w:trPr>
        <w:tc>
          <w:tcPr>
            <w:tcW w:w="1696" w:type="dxa"/>
            <w:tcBorders>
              <w:left w:val="single" w:sz="4" w:space="0" w:color="auto"/>
            </w:tcBorders>
            <w:shd w:val="clear" w:color="auto" w:fill="auto"/>
          </w:tcPr>
          <w:p w14:paraId="3E6FD40F" w14:textId="77777777" w:rsidR="002A4DDF" w:rsidRPr="00937C8B" w:rsidRDefault="002A4DDF" w:rsidP="009110ED">
            <w:pPr>
              <w:rPr>
                <w:rFonts w:ascii="Arial" w:hAnsi="Arial" w:cs="Arial"/>
                <w:sz w:val="12"/>
                <w:szCs w:val="12"/>
              </w:rPr>
            </w:pPr>
          </w:p>
        </w:tc>
        <w:tc>
          <w:tcPr>
            <w:tcW w:w="1843" w:type="dxa"/>
            <w:shd w:val="clear" w:color="auto" w:fill="auto"/>
          </w:tcPr>
          <w:p w14:paraId="6327212F" w14:textId="77777777" w:rsidR="002A4DDF" w:rsidRPr="00937C8B" w:rsidRDefault="002A4DDF" w:rsidP="009110ED">
            <w:pPr>
              <w:rPr>
                <w:rFonts w:ascii="Arial" w:hAnsi="Arial" w:cs="Arial"/>
                <w:sz w:val="12"/>
                <w:szCs w:val="12"/>
              </w:rPr>
            </w:pPr>
          </w:p>
        </w:tc>
        <w:tc>
          <w:tcPr>
            <w:tcW w:w="2268" w:type="dxa"/>
            <w:shd w:val="clear" w:color="auto" w:fill="F2F2F2"/>
            <w:hideMark/>
          </w:tcPr>
          <w:p w14:paraId="6F30F937" w14:textId="77777777" w:rsidR="002A4DDF" w:rsidRPr="00937C8B" w:rsidRDefault="002A4DDF" w:rsidP="009110ED">
            <w:pPr>
              <w:rPr>
                <w:rFonts w:ascii="Arial" w:hAnsi="Arial" w:cs="Arial"/>
                <w:sz w:val="12"/>
                <w:szCs w:val="12"/>
              </w:rPr>
            </w:pPr>
            <w:r>
              <w:rPr>
                <w:rFonts w:ascii="Arial" w:hAnsi="Arial"/>
                <w:sz w:val="12"/>
                <w:szCs w:val="12"/>
              </w:rPr>
              <w:t>Beires</w:t>
            </w:r>
          </w:p>
        </w:tc>
        <w:tc>
          <w:tcPr>
            <w:tcW w:w="2268" w:type="dxa"/>
            <w:tcBorders>
              <w:right w:val="single" w:sz="4" w:space="0" w:color="auto"/>
            </w:tcBorders>
            <w:shd w:val="clear" w:color="auto" w:fill="D9D9D9"/>
            <w:hideMark/>
          </w:tcPr>
          <w:p w14:paraId="44D59776" w14:textId="77777777" w:rsidR="002A4DDF" w:rsidRPr="00937C8B" w:rsidRDefault="002A4DDF" w:rsidP="009110ED">
            <w:pPr>
              <w:rPr>
                <w:rFonts w:ascii="Arial" w:hAnsi="Arial" w:cs="Arial"/>
                <w:sz w:val="12"/>
                <w:szCs w:val="12"/>
              </w:rPr>
            </w:pPr>
            <w:r>
              <w:rPr>
                <w:rFonts w:ascii="Arial" w:hAnsi="Arial"/>
                <w:sz w:val="12"/>
                <w:szCs w:val="12"/>
              </w:rPr>
              <w:t>Benizalón</w:t>
            </w:r>
          </w:p>
        </w:tc>
      </w:tr>
      <w:tr w:rsidR="002A4DDF" w:rsidRPr="00937C8B" w14:paraId="761B4197" w14:textId="77777777" w:rsidTr="00935676">
        <w:trPr>
          <w:cantSplit/>
        </w:trPr>
        <w:tc>
          <w:tcPr>
            <w:tcW w:w="1696" w:type="dxa"/>
            <w:tcBorders>
              <w:left w:val="single" w:sz="4" w:space="0" w:color="auto"/>
            </w:tcBorders>
            <w:shd w:val="clear" w:color="auto" w:fill="auto"/>
          </w:tcPr>
          <w:p w14:paraId="6036C41A" w14:textId="77777777" w:rsidR="002A4DDF" w:rsidRPr="00937C8B" w:rsidRDefault="002A4DDF" w:rsidP="009110ED">
            <w:pPr>
              <w:rPr>
                <w:rFonts w:ascii="Arial" w:hAnsi="Arial" w:cs="Arial"/>
                <w:sz w:val="12"/>
                <w:szCs w:val="12"/>
              </w:rPr>
            </w:pPr>
          </w:p>
        </w:tc>
        <w:tc>
          <w:tcPr>
            <w:tcW w:w="1843" w:type="dxa"/>
            <w:shd w:val="clear" w:color="auto" w:fill="auto"/>
          </w:tcPr>
          <w:p w14:paraId="300DF263" w14:textId="77777777" w:rsidR="002A4DDF" w:rsidRPr="00937C8B" w:rsidRDefault="002A4DDF" w:rsidP="009110ED">
            <w:pPr>
              <w:rPr>
                <w:rFonts w:ascii="Arial" w:hAnsi="Arial" w:cs="Arial"/>
                <w:sz w:val="12"/>
                <w:szCs w:val="12"/>
              </w:rPr>
            </w:pPr>
          </w:p>
        </w:tc>
        <w:tc>
          <w:tcPr>
            <w:tcW w:w="2268" w:type="dxa"/>
            <w:shd w:val="clear" w:color="auto" w:fill="F2F2F2"/>
            <w:hideMark/>
          </w:tcPr>
          <w:p w14:paraId="22188ABF" w14:textId="77777777" w:rsidR="002A4DDF" w:rsidRPr="00937C8B" w:rsidRDefault="002A4DDF" w:rsidP="009110ED">
            <w:pPr>
              <w:rPr>
                <w:rFonts w:ascii="Arial" w:hAnsi="Arial" w:cs="Arial"/>
                <w:sz w:val="12"/>
                <w:szCs w:val="12"/>
              </w:rPr>
            </w:pPr>
            <w:r>
              <w:rPr>
                <w:rFonts w:ascii="Arial" w:hAnsi="Arial"/>
                <w:sz w:val="12"/>
                <w:szCs w:val="12"/>
              </w:rPr>
              <w:t>Fiñana</w:t>
            </w:r>
          </w:p>
        </w:tc>
        <w:tc>
          <w:tcPr>
            <w:tcW w:w="2268" w:type="dxa"/>
            <w:tcBorders>
              <w:right w:val="single" w:sz="4" w:space="0" w:color="auto"/>
            </w:tcBorders>
            <w:shd w:val="clear" w:color="auto" w:fill="D9D9D9"/>
            <w:hideMark/>
          </w:tcPr>
          <w:p w14:paraId="228F7F81" w14:textId="77777777" w:rsidR="002A4DDF" w:rsidRPr="00937C8B" w:rsidRDefault="002A4DDF" w:rsidP="009110ED">
            <w:pPr>
              <w:rPr>
                <w:rFonts w:ascii="Arial" w:hAnsi="Arial" w:cs="Arial"/>
                <w:sz w:val="12"/>
                <w:szCs w:val="12"/>
              </w:rPr>
            </w:pPr>
            <w:r>
              <w:rPr>
                <w:rFonts w:ascii="Arial" w:hAnsi="Arial"/>
                <w:sz w:val="12"/>
                <w:szCs w:val="12"/>
              </w:rPr>
              <w:t>Castro de Filabres</w:t>
            </w:r>
          </w:p>
        </w:tc>
      </w:tr>
      <w:tr w:rsidR="002A4DDF" w:rsidRPr="00937C8B" w14:paraId="3668E80A" w14:textId="77777777" w:rsidTr="00935676">
        <w:trPr>
          <w:cantSplit/>
        </w:trPr>
        <w:tc>
          <w:tcPr>
            <w:tcW w:w="1696" w:type="dxa"/>
            <w:tcBorders>
              <w:left w:val="single" w:sz="4" w:space="0" w:color="auto"/>
            </w:tcBorders>
            <w:shd w:val="clear" w:color="auto" w:fill="auto"/>
          </w:tcPr>
          <w:p w14:paraId="0EB033DF" w14:textId="77777777" w:rsidR="002A4DDF" w:rsidRPr="00937C8B" w:rsidRDefault="002A4DDF" w:rsidP="009110ED">
            <w:pPr>
              <w:rPr>
                <w:rFonts w:ascii="Arial" w:hAnsi="Arial" w:cs="Arial"/>
                <w:sz w:val="12"/>
                <w:szCs w:val="12"/>
              </w:rPr>
            </w:pPr>
          </w:p>
        </w:tc>
        <w:tc>
          <w:tcPr>
            <w:tcW w:w="1843" w:type="dxa"/>
            <w:shd w:val="clear" w:color="auto" w:fill="auto"/>
          </w:tcPr>
          <w:p w14:paraId="18C2A8C9" w14:textId="77777777" w:rsidR="002A4DDF" w:rsidRPr="00937C8B" w:rsidRDefault="002A4DDF" w:rsidP="009110ED">
            <w:pPr>
              <w:rPr>
                <w:rFonts w:ascii="Arial" w:hAnsi="Arial" w:cs="Arial"/>
                <w:sz w:val="12"/>
                <w:szCs w:val="12"/>
              </w:rPr>
            </w:pPr>
          </w:p>
        </w:tc>
        <w:tc>
          <w:tcPr>
            <w:tcW w:w="2268" w:type="dxa"/>
            <w:shd w:val="clear" w:color="auto" w:fill="F2F2F2"/>
            <w:hideMark/>
          </w:tcPr>
          <w:p w14:paraId="7ED1F863" w14:textId="77777777" w:rsidR="002A4DDF" w:rsidRPr="00937C8B" w:rsidRDefault="002A4DDF" w:rsidP="009110ED">
            <w:pPr>
              <w:rPr>
                <w:rFonts w:ascii="Arial" w:hAnsi="Arial" w:cs="Arial"/>
                <w:sz w:val="12"/>
                <w:szCs w:val="12"/>
              </w:rPr>
            </w:pPr>
            <w:r>
              <w:rPr>
                <w:rFonts w:ascii="Arial" w:hAnsi="Arial"/>
                <w:sz w:val="12"/>
                <w:szCs w:val="12"/>
              </w:rPr>
              <w:t>Instinción</w:t>
            </w:r>
          </w:p>
        </w:tc>
        <w:tc>
          <w:tcPr>
            <w:tcW w:w="2268" w:type="dxa"/>
            <w:tcBorders>
              <w:right w:val="single" w:sz="4" w:space="0" w:color="auto"/>
            </w:tcBorders>
            <w:shd w:val="clear" w:color="auto" w:fill="D9D9D9"/>
            <w:hideMark/>
          </w:tcPr>
          <w:p w14:paraId="5832F835" w14:textId="77777777" w:rsidR="002A4DDF" w:rsidRPr="00937C8B" w:rsidRDefault="002A4DDF" w:rsidP="009110ED">
            <w:pPr>
              <w:rPr>
                <w:rFonts w:ascii="Arial" w:hAnsi="Arial" w:cs="Arial"/>
                <w:sz w:val="12"/>
                <w:szCs w:val="12"/>
              </w:rPr>
            </w:pPr>
            <w:r>
              <w:rPr>
                <w:rFonts w:ascii="Arial" w:hAnsi="Arial"/>
                <w:sz w:val="12"/>
                <w:szCs w:val="12"/>
              </w:rPr>
              <w:t>Chercos</w:t>
            </w:r>
          </w:p>
        </w:tc>
      </w:tr>
      <w:tr w:rsidR="002A4DDF" w:rsidRPr="00937C8B" w14:paraId="4E2F7C17" w14:textId="77777777" w:rsidTr="00935676">
        <w:trPr>
          <w:cantSplit/>
        </w:trPr>
        <w:tc>
          <w:tcPr>
            <w:tcW w:w="1696" w:type="dxa"/>
            <w:tcBorders>
              <w:left w:val="single" w:sz="4" w:space="0" w:color="auto"/>
            </w:tcBorders>
            <w:shd w:val="clear" w:color="auto" w:fill="auto"/>
          </w:tcPr>
          <w:p w14:paraId="719A98DA" w14:textId="77777777" w:rsidR="002A4DDF" w:rsidRPr="00937C8B" w:rsidRDefault="002A4DDF" w:rsidP="009110ED">
            <w:pPr>
              <w:rPr>
                <w:rFonts w:ascii="Arial" w:hAnsi="Arial" w:cs="Arial"/>
                <w:sz w:val="12"/>
                <w:szCs w:val="12"/>
              </w:rPr>
            </w:pPr>
          </w:p>
        </w:tc>
        <w:tc>
          <w:tcPr>
            <w:tcW w:w="1843" w:type="dxa"/>
            <w:shd w:val="clear" w:color="auto" w:fill="auto"/>
          </w:tcPr>
          <w:p w14:paraId="52E6DF80" w14:textId="77777777" w:rsidR="002A4DDF" w:rsidRPr="00937C8B" w:rsidRDefault="002A4DDF" w:rsidP="009110ED">
            <w:pPr>
              <w:rPr>
                <w:rFonts w:ascii="Arial" w:hAnsi="Arial" w:cs="Arial"/>
                <w:sz w:val="12"/>
                <w:szCs w:val="12"/>
              </w:rPr>
            </w:pPr>
          </w:p>
        </w:tc>
        <w:tc>
          <w:tcPr>
            <w:tcW w:w="2268" w:type="dxa"/>
            <w:shd w:val="clear" w:color="auto" w:fill="F2F2F2"/>
            <w:hideMark/>
          </w:tcPr>
          <w:p w14:paraId="7E191886" w14:textId="77777777" w:rsidR="002A4DDF" w:rsidRPr="00937C8B" w:rsidRDefault="002A4DDF" w:rsidP="009110ED">
            <w:pPr>
              <w:rPr>
                <w:rFonts w:ascii="Arial" w:hAnsi="Arial" w:cs="Arial"/>
                <w:sz w:val="12"/>
                <w:szCs w:val="12"/>
              </w:rPr>
            </w:pPr>
            <w:r>
              <w:rPr>
                <w:rFonts w:ascii="Arial" w:hAnsi="Arial"/>
                <w:sz w:val="12"/>
                <w:szCs w:val="12"/>
              </w:rPr>
              <w:t>Lúcar</w:t>
            </w:r>
          </w:p>
        </w:tc>
        <w:tc>
          <w:tcPr>
            <w:tcW w:w="2268" w:type="dxa"/>
            <w:tcBorders>
              <w:right w:val="single" w:sz="4" w:space="0" w:color="auto"/>
            </w:tcBorders>
            <w:shd w:val="clear" w:color="auto" w:fill="D9D9D9"/>
            <w:hideMark/>
          </w:tcPr>
          <w:p w14:paraId="23CEC385" w14:textId="77777777" w:rsidR="002A4DDF" w:rsidRPr="00937C8B" w:rsidRDefault="002A4DDF" w:rsidP="009110ED">
            <w:pPr>
              <w:rPr>
                <w:rFonts w:ascii="Arial" w:hAnsi="Arial" w:cs="Arial"/>
                <w:sz w:val="12"/>
                <w:szCs w:val="12"/>
              </w:rPr>
            </w:pPr>
            <w:r>
              <w:rPr>
                <w:rFonts w:ascii="Arial" w:hAnsi="Arial"/>
                <w:sz w:val="12"/>
                <w:szCs w:val="12"/>
              </w:rPr>
              <w:t>Gérgal</w:t>
            </w:r>
          </w:p>
        </w:tc>
      </w:tr>
      <w:tr w:rsidR="002A4DDF" w:rsidRPr="00937C8B" w14:paraId="32915CD3" w14:textId="77777777" w:rsidTr="00935676">
        <w:trPr>
          <w:cantSplit/>
        </w:trPr>
        <w:tc>
          <w:tcPr>
            <w:tcW w:w="1696" w:type="dxa"/>
            <w:tcBorders>
              <w:left w:val="single" w:sz="4" w:space="0" w:color="auto"/>
            </w:tcBorders>
            <w:shd w:val="clear" w:color="auto" w:fill="auto"/>
          </w:tcPr>
          <w:p w14:paraId="0EB84FBB" w14:textId="77777777" w:rsidR="002A4DDF" w:rsidRPr="00937C8B" w:rsidRDefault="002A4DDF" w:rsidP="009110ED">
            <w:pPr>
              <w:rPr>
                <w:rFonts w:ascii="Arial" w:hAnsi="Arial" w:cs="Arial"/>
                <w:sz w:val="12"/>
                <w:szCs w:val="12"/>
              </w:rPr>
            </w:pPr>
          </w:p>
        </w:tc>
        <w:tc>
          <w:tcPr>
            <w:tcW w:w="1843" w:type="dxa"/>
            <w:shd w:val="clear" w:color="auto" w:fill="auto"/>
          </w:tcPr>
          <w:p w14:paraId="4FD77673" w14:textId="77777777" w:rsidR="002A4DDF" w:rsidRPr="00937C8B" w:rsidRDefault="002A4DDF" w:rsidP="009110ED">
            <w:pPr>
              <w:rPr>
                <w:rFonts w:ascii="Arial" w:hAnsi="Arial" w:cs="Arial"/>
                <w:sz w:val="12"/>
                <w:szCs w:val="12"/>
              </w:rPr>
            </w:pPr>
          </w:p>
        </w:tc>
        <w:tc>
          <w:tcPr>
            <w:tcW w:w="2268" w:type="dxa"/>
            <w:shd w:val="clear" w:color="auto" w:fill="F2F2F2"/>
            <w:hideMark/>
          </w:tcPr>
          <w:p w14:paraId="17E7F87D" w14:textId="77777777" w:rsidR="002A4DDF" w:rsidRPr="00937C8B" w:rsidRDefault="002A4DDF" w:rsidP="009110ED">
            <w:pPr>
              <w:rPr>
                <w:rFonts w:ascii="Arial" w:hAnsi="Arial" w:cs="Arial"/>
                <w:sz w:val="12"/>
                <w:szCs w:val="12"/>
              </w:rPr>
            </w:pPr>
            <w:r>
              <w:rPr>
                <w:rFonts w:ascii="Arial" w:hAnsi="Arial"/>
                <w:sz w:val="12"/>
                <w:szCs w:val="12"/>
              </w:rPr>
              <w:t>Níjar</w:t>
            </w:r>
          </w:p>
        </w:tc>
        <w:tc>
          <w:tcPr>
            <w:tcW w:w="2268" w:type="dxa"/>
            <w:tcBorders>
              <w:right w:val="single" w:sz="4" w:space="0" w:color="auto"/>
            </w:tcBorders>
            <w:shd w:val="clear" w:color="auto" w:fill="D9D9D9"/>
            <w:hideMark/>
          </w:tcPr>
          <w:p w14:paraId="39349DAA" w14:textId="77777777" w:rsidR="002A4DDF" w:rsidRPr="00937C8B" w:rsidRDefault="002A4DDF" w:rsidP="009110ED">
            <w:pPr>
              <w:rPr>
                <w:rFonts w:ascii="Arial" w:hAnsi="Arial" w:cs="Arial"/>
                <w:sz w:val="12"/>
                <w:szCs w:val="12"/>
              </w:rPr>
            </w:pPr>
            <w:r>
              <w:rPr>
                <w:rFonts w:ascii="Arial" w:hAnsi="Arial"/>
                <w:sz w:val="12"/>
                <w:szCs w:val="12"/>
              </w:rPr>
              <w:t>Laroya</w:t>
            </w:r>
          </w:p>
        </w:tc>
      </w:tr>
      <w:tr w:rsidR="002A4DDF" w:rsidRPr="00937C8B" w14:paraId="101FD386" w14:textId="77777777" w:rsidTr="00935676">
        <w:trPr>
          <w:cantSplit/>
        </w:trPr>
        <w:tc>
          <w:tcPr>
            <w:tcW w:w="1696" w:type="dxa"/>
            <w:tcBorders>
              <w:left w:val="single" w:sz="4" w:space="0" w:color="auto"/>
            </w:tcBorders>
            <w:shd w:val="clear" w:color="auto" w:fill="auto"/>
          </w:tcPr>
          <w:p w14:paraId="0DA2CADF" w14:textId="77777777" w:rsidR="002A4DDF" w:rsidRPr="00937C8B" w:rsidRDefault="002A4DDF" w:rsidP="009110ED">
            <w:pPr>
              <w:rPr>
                <w:rFonts w:ascii="Arial" w:hAnsi="Arial" w:cs="Arial"/>
                <w:sz w:val="12"/>
                <w:szCs w:val="12"/>
              </w:rPr>
            </w:pPr>
          </w:p>
        </w:tc>
        <w:tc>
          <w:tcPr>
            <w:tcW w:w="1843" w:type="dxa"/>
            <w:shd w:val="clear" w:color="auto" w:fill="auto"/>
          </w:tcPr>
          <w:p w14:paraId="394D73AD" w14:textId="77777777" w:rsidR="002A4DDF" w:rsidRPr="00937C8B" w:rsidRDefault="002A4DDF" w:rsidP="009110ED">
            <w:pPr>
              <w:rPr>
                <w:rFonts w:ascii="Arial" w:hAnsi="Arial" w:cs="Arial"/>
                <w:sz w:val="12"/>
                <w:szCs w:val="12"/>
              </w:rPr>
            </w:pPr>
          </w:p>
        </w:tc>
        <w:tc>
          <w:tcPr>
            <w:tcW w:w="2268" w:type="dxa"/>
            <w:shd w:val="clear" w:color="auto" w:fill="F2F2F2"/>
            <w:hideMark/>
          </w:tcPr>
          <w:p w14:paraId="6B5B8332" w14:textId="77777777" w:rsidR="002A4DDF" w:rsidRPr="00937C8B" w:rsidRDefault="002A4DDF" w:rsidP="009110ED">
            <w:pPr>
              <w:rPr>
                <w:rFonts w:ascii="Arial" w:hAnsi="Arial" w:cs="Arial"/>
                <w:sz w:val="12"/>
                <w:szCs w:val="12"/>
              </w:rPr>
            </w:pPr>
            <w:r>
              <w:rPr>
                <w:rFonts w:ascii="Arial" w:hAnsi="Arial"/>
                <w:sz w:val="12"/>
                <w:szCs w:val="12"/>
              </w:rPr>
              <w:t>Oria</w:t>
            </w:r>
          </w:p>
        </w:tc>
        <w:tc>
          <w:tcPr>
            <w:tcW w:w="2268" w:type="dxa"/>
            <w:tcBorders>
              <w:right w:val="single" w:sz="4" w:space="0" w:color="auto"/>
            </w:tcBorders>
            <w:shd w:val="clear" w:color="auto" w:fill="D9D9D9"/>
            <w:hideMark/>
          </w:tcPr>
          <w:p w14:paraId="30C4FCB7" w14:textId="77777777" w:rsidR="002A4DDF" w:rsidRPr="00937C8B" w:rsidRDefault="002A4DDF" w:rsidP="009110ED">
            <w:pPr>
              <w:rPr>
                <w:rFonts w:ascii="Arial" w:hAnsi="Arial" w:cs="Arial"/>
                <w:sz w:val="12"/>
                <w:szCs w:val="12"/>
              </w:rPr>
            </w:pPr>
            <w:r>
              <w:rPr>
                <w:rFonts w:ascii="Arial" w:hAnsi="Arial"/>
                <w:sz w:val="12"/>
                <w:szCs w:val="12"/>
              </w:rPr>
              <w:t>Las Tres Villas</w:t>
            </w:r>
          </w:p>
        </w:tc>
      </w:tr>
      <w:tr w:rsidR="002A4DDF" w:rsidRPr="00937C8B" w14:paraId="7566116B" w14:textId="77777777" w:rsidTr="00935676">
        <w:trPr>
          <w:cantSplit/>
        </w:trPr>
        <w:tc>
          <w:tcPr>
            <w:tcW w:w="1696" w:type="dxa"/>
            <w:tcBorders>
              <w:left w:val="single" w:sz="4" w:space="0" w:color="auto"/>
            </w:tcBorders>
            <w:shd w:val="clear" w:color="auto" w:fill="auto"/>
          </w:tcPr>
          <w:p w14:paraId="30026365" w14:textId="77777777" w:rsidR="002A4DDF" w:rsidRPr="00937C8B" w:rsidRDefault="002A4DDF" w:rsidP="009110ED">
            <w:pPr>
              <w:rPr>
                <w:rFonts w:ascii="Arial" w:hAnsi="Arial" w:cs="Arial"/>
                <w:sz w:val="12"/>
                <w:szCs w:val="12"/>
              </w:rPr>
            </w:pPr>
          </w:p>
        </w:tc>
        <w:tc>
          <w:tcPr>
            <w:tcW w:w="1843" w:type="dxa"/>
            <w:shd w:val="clear" w:color="auto" w:fill="auto"/>
          </w:tcPr>
          <w:p w14:paraId="66ABD781" w14:textId="77777777" w:rsidR="002A4DDF" w:rsidRPr="00937C8B" w:rsidRDefault="002A4DDF" w:rsidP="009110ED">
            <w:pPr>
              <w:rPr>
                <w:rFonts w:ascii="Arial" w:hAnsi="Arial" w:cs="Arial"/>
                <w:sz w:val="12"/>
                <w:szCs w:val="12"/>
              </w:rPr>
            </w:pPr>
          </w:p>
        </w:tc>
        <w:tc>
          <w:tcPr>
            <w:tcW w:w="2268" w:type="dxa"/>
            <w:shd w:val="clear" w:color="auto" w:fill="F2F2F2"/>
            <w:hideMark/>
          </w:tcPr>
          <w:p w14:paraId="69776A72" w14:textId="77777777" w:rsidR="002A4DDF" w:rsidRPr="00937C8B" w:rsidRDefault="002A4DDF" w:rsidP="009110ED">
            <w:pPr>
              <w:rPr>
                <w:rFonts w:ascii="Arial" w:hAnsi="Arial" w:cs="Arial"/>
                <w:sz w:val="12"/>
                <w:szCs w:val="12"/>
              </w:rPr>
            </w:pPr>
            <w:r>
              <w:rPr>
                <w:rFonts w:ascii="Arial" w:hAnsi="Arial"/>
                <w:sz w:val="12"/>
                <w:szCs w:val="12"/>
              </w:rPr>
              <w:t>Padules</w:t>
            </w:r>
          </w:p>
        </w:tc>
        <w:tc>
          <w:tcPr>
            <w:tcW w:w="2268" w:type="dxa"/>
            <w:tcBorders>
              <w:right w:val="single" w:sz="4" w:space="0" w:color="auto"/>
            </w:tcBorders>
            <w:shd w:val="clear" w:color="auto" w:fill="D9D9D9"/>
            <w:hideMark/>
          </w:tcPr>
          <w:p w14:paraId="253B778D" w14:textId="77777777" w:rsidR="002A4DDF" w:rsidRPr="00937C8B" w:rsidRDefault="002A4DDF" w:rsidP="009110ED">
            <w:pPr>
              <w:rPr>
                <w:rFonts w:ascii="Arial" w:hAnsi="Arial" w:cs="Arial"/>
                <w:sz w:val="12"/>
                <w:szCs w:val="12"/>
              </w:rPr>
            </w:pPr>
            <w:r>
              <w:rPr>
                <w:rFonts w:ascii="Arial" w:hAnsi="Arial"/>
                <w:sz w:val="12"/>
                <w:szCs w:val="12"/>
              </w:rPr>
              <w:t>Lubrín</w:t>
            </w:r>
          </w:p>
        </w:tc>
      </w:tr>
      <w:tr w:rsidR="002A4DDF" w:rsidRPr="00937C8B" w14:paraId="238644D9" w14:textId="77777777" w:rsidTr="00935676">
        <w:trPr>
          <w:cantSplit/>
        </w:trPr>
        <w:tc>
          <w:tcPr>
            <w:tcW w:w="1696" w:type="dxa"/>
            <w:tcBorders>
              <w:left w:val="single" w:sz="4" w:space="0" w:color="auto"/>
            </w:tcBorders>
            <w:shd w:val="clear" w:color="auto" w:fill="auto"/>
          </w:tcPr>
          <w:p w14:paraId="67B734B9" w14:textId="77777777" w:rsidR="002A4DDF" w:rsidRPr="00937C8B" w:rsidRDefault="002A4DDF" w:rsidP="009110ED">
            <w:pPr>
              <w:rPr>
                <w:rFonts w:ascii="Arial" w:hAnsi="Arial" w:cs="Arial"/>
                <w:sz w:val="12"/>
                <w:szCs w:val="12"/>
              </w:rPr>
            </w:pPr>
          </w:p>
        </w:tc>
        <w:tc>
          <w:tcPr>
            <w:tcW w:w="1843" w:type="dxa"/>
            <w:shd w:val="clear" w:color="auto" w:fill="auto"/>
          </w:tcPr>
          <w:p w14:paraId="7A6E8AF9" w14:textId="77777777" w:rsidR="002A4DDF" w:rsidRPr="00937C8B" w:rsidRDefault="002A4DDF" w:rsidP="009110ED">
            <w:pPr>
              <w:rPr>
                <w:rFonts w:ascii="Arial" w:hAnsi="Arial" w:cs="Arial"/>
                <w:sz w:val="12"/>
                <w:szCs w:val="12"/>
              </w:rPr>
            </w:pPr>
          </w:p>
        </w:tc>
        <w:tc>
          <w:tcPr>
            <w:tcW w:w="2268" w:type="dxa"/>
            <w:shd w:val="clear" w:color="auto" w:fill="F2F2F2"/>
            <w:hideMark/>
          </w:tcPr>
          <w:p w14:paraId="7DD676A1" w14:textId="77777777" w:rsidR="002A4DDF" w:rsidRPr="00937C8B" w:rsidRDefault="002A4DDF" w:rsidP="009110ED">
            <w:pPr>
              <w:rPr>
                <w:rFonts w:ascii="Arial" w:hAnsi="Arial" w:cs="Arial"/>
                <w:sz w:val="12"/>
                <w:szCs w:val="12"/>
              </w:rPr>
            </w:pPr>
            <w:r>
              <w:rPr>
                <w:rFonts w:ascii="Arial" w:hAnsi="Arial"/>
                <w:sz w:val="12"/>
                <w:szCs w:val="12"/>
              </w:rPr>
              <w:t>Rágol</w:t>
            </w:r>
          </w:p>
        </w:tc>
        <w:tc>
          <w:tcPr>
            <w:tcW w:w="2268" w:type="dxa"/>
            <w:tcBorders>
              <w:right w:val="single" w:sz="4" w:space="0" w:color="auto"/>
            </w:tcBorders>
            <w:shd w:val="clear" w:color="auto" w:fill="D9D9D9"/>
            <w:hideMark/>
          </w:tcPr>
          <w:p w14:paraId="2791E837" w14:textId="77777777" w:rsidR="002A4DDF" w:rsidRPr="00937C8B" w:rsidRDefault="002A4DDF" w:rsidP="009110ED">
            <w:pPr>
              <w:rPr>
                <w:rFonts w:ascii="Arial" w:hAnsi="Arial" w:cs="Arial"/>
                <w:sz w:val="12"/>
                <w:szCs w:val="12"/>
              </w:rPr>
            </w:pPr>
            <w:r>
              <w:rPr>
                <w:rFonts w:ascii="Arial" w:hAnsi="Arial"/>
                <w:sz w:val="12"/>
                <w:szCs w:val="12"/>
              </w:rPr>
              <w:t>Nacimiento</w:t>
            </w:r>
          </w:p>
        </w:tc>
      </w:tr>
      <w:tr w:rsidR="002A4DDF" w:rsidRPr="00937C8B" w14:paraId="005815DE" w14:textId="77777777" w:rsidTr="00935676">
        <w:trPr>
          <w:cantSplit/>
        </w:trPr>
        <w:tc>
          <w:tcPr>
            <w:tcW w:w="1696" w:type="dxa"/>
            <w:tcBorders>
              <w:left w:val="single" w:sz="4" w:space="0" w:color="auto"/>
            </w:tcBorders>
            <w:shd w:val="clear" w:color="auto" w:fill="auto"/>
          </w:tcPr>
          <w:p w14:paraId="710BFB84" w14:textId="77777777" w:rsidR="002A4DDF" w:rsidRPr="00937C8B" w:rsidRDefault="002A4DDF" w:rsidP="009110ED">
            <w:pPr>
              <w:rPr>
                <w:rFonts w:ascii="Arial" w:hAnsi="Arial" w:cs="Arial"/>
                <w:sz w:val="12"/>
                <w:szCs w:val="12"/>
              </w:rPr>
            </w:pPr>
          </w:p>
        </w:tc>
        <w:tc>
          <w:tcPr>
            <w:tcW w:w="1843" w:type="dxa"/>
            <w:shd w:val="clear" w:color="auto" w:fill="auto"/>
          </w:tcPr>
          <w:p w14:paraId="73BCEA1D" w14:textId="77777777" w:rsidR="002A4DDF" w:rsidRPr="00937C8B" w:rsidRDefault="002A4DDF" w:rsidP="009110ED">
            <w:pPr>
              <w:rPr>
                <w:rFonts w:ascii="Arial" w:hAnsi="Arial" w:cs="Arial"/>
                <w:sz w:val="12"/>
                <w:szCs w:val="12"/>
              </w:rPr>
            </w:pPr>
          </w:p>
        </w:tc>
        <w:tc>
          <w:tcPr>
            <w:tcW w:w="2268" w:type="dxa"/>
            <w:shd w:val="clear" w:color="auto" w:fill="F2F2F2"/>
            <w:hideMark/>
          </w:tcPr>
          <w:p w14:paraId="316E61C8" w14:textId="77777777" w:rsidR="002A4DDF" w:rsidRPr="00937C8B" w:rsidRDefault="002A4DDF" w:rsidP="009110ED">
            <w:pPr>
              <w:rPr>
                <w:rFonts w:ascii="Arial" w:hAnsi="Arial" w:cs="Arial"/>
                <w:sz w:val="12"/>
                <w:szCs w:val="12"/>
              </w:rPr>
            </w:pPr>
            <w:r>
              <w:rPr>
                <w:rFonts w:ascii="Arial" w:hAnsi="Arial"/>
                <w:sz w:val="12"/>
                <w:szCs w:val="12"/>
              </w:rPr>
              <w:t>Sorbas</w:t>
            </w:r>
          </w:p>
        </w:tc>
        <w:tc>
          <w:tcPr>
            <w:tcW w:w="2268" w:type="dxa"/>
            <w:tcBorders>
              <w:right w:val="single" w:sz="4" w:space="0" w:color="auto"/>
            </w:tcBorders>
            <w:shd w:val="clear" w:color="auto" w:fill="D9D9D9"/>
            <w:hideMark/>
          </w:tcPr>
          <w:p w14:paraId="72AA0A3F" w14:textId="77777777" w:rsidR="002A4DDF" w:rsidRPr="00937C8B" w:rsidRDefault="002A4DDF" w:rsidP="009110ED">
            <w:pPr>
              <w:rPr>
                <w:rFonts w:ascii="Arial" w:hAnsi="Arial" w:cs="Arial"/>
                <w:sz w:val="12"/>
                <w:szCs w:val="12"/>
              </w:rPr>
            </w:pPr>
            <w:r>
              <w:rPr>
                <w:rFonts w:ascii="Arial" w:hAnsi="Arial"/>
                <w:sz w:val="12"/>
                <w:szCs w:val="12"/>
              </w:rPr>
              <w:t>Ohanes</w:t>
            </w:r>
          </w:p>
        </w:tc>
      </w:tr>
      <w:tr w:rsidR="002A4DDF" w:rsidRPr="00937C8B" w14:paraId="59239BD8" w14:textId="77777777" w:rsidTr="00935676">
        <w:trPr>
          <w:cantSplit/>
        </w:trPr>
        <w:tc>
          <w:tcPr>
            <w:tcW w:w="1696" w:type="dxa"/>
            <w:tcBorders>
              <w:left w:val="single" w:sz="4" w:space="0" w:color="auto"/>
            </w:tcBorders>
            <w:shd w:val="clear" w:color="auto" w:fill="auto"/>
          </w:tcPr>
          <w:p w14:paraId="4E4B863E" w14:textId="77777777" w:rsidR="002A4DDF" w:rsidRPr="00937C8B" w:rsidRDefault="002A4DDF" w:rsidP="009110ED">
            <w:pPr>
              <w:rPr>
                <w:rFonts w:ascii="Arial" w:hAnsi="Arial" w:cs="Arial"/>
                <w:sz w:val="12"/>
                <w:szCs w:val="12"/>
              </w:rPr>
            </w:pPr>
          </w:p>
        </w:tc>
        <w:tc>
          <w:tcPr>
            <w:tcW w:w="1843" w:type="dxa"/>
            <w:shd w:val="clear" w:color="auto" w:fill="auto"/>
          </w:tcPr>
          <w:p w14:paraId="4269D2E3" w14:textId="77777777" w:rsidR="002A4DDF" w:rsidRPr="00937C8B" w:rsidRDefault="002A4DDF" w:rsidP="009110ED">
            <w:pPr>
              <w:rPr>
                <w:rFonts w:ascii="Arial" w:hAnsi="Arial" w:cs="Arial"/>
                <w:sz w:val="12"/>
                <w:szCs w:val="12"/>
              </w:rPr>
            </w:pPr>
          </w:p>
        </w:tc>
        <w:tc>
          <w:tcPr>
            <w:tcW w:w="2268" w:type="dxa"/>
            <w:shd w:val="clear" w:color="auto" w:fill="F2F2F2"/>
            <w:hideMark/>
          </w:tcPr>
          <w:p w14:paraId="70CC38EF" w14:textId="77777777" w:rsidR="002A4DDF" w:rsidRPr="00937C8B" w:rsidRDefault="002A4DDF" w:rsidP="009110ED">
            <w:pPr>
              <w:rPr>
                <w:rFonts w:ascii="Arial" w:hAnsi="Arial" w:cs="Arial"/>
                <w:sz w:val="12"/>
                <w:szCs w:val="12"/>
              </w:rPr>
            </w:pPr>
            <w:r>
              <w:rPr>
                <w:rFonts w:ascii="Arial" w:hAnsi="Arial"/>
                <w:sz w:val="12"/>
                <w:szCs w:val="12"/>
              </w:rPr>
              <w:t>Suflí</w:t>
            </w:r>
          </w:p>
        </w:tc>
        <w:tc>
          <w:tcPr>
            <w:tcW w:w="2268" w:type="dxa"/>
            <w:tcBorders>
              <w:right w:val="single" w:sz="4" w:space="0" w:color="auto"/>
            </w:tcBorders>
            <w:shd w:val="clear" w:color="auto" w:fill="D9D9D9"/>
            <w:hideMark/>
          </w:tcPr>
          <w:p w14:paraId="65B12D4C" w14:textId="77777777" w:rsidR="002A4DDF" w:rsidRPr="00937C8B" w:rsidRDefault="002A4DDF" w:rsidP="009110ED">
            <w:pPr>
              <w:rPr>
                <w:rFonts w:ascii="Arial" w:hAnsi="Arial" w:cs="Arial"/>
                <w:sz w:val="12"/>
                <w:szCs w:val="12"/>
              </w:rPr>
            </w:pPr>
            <w:r>
              <w:rPr>
                <w:rFonts w:ascii="Arial" w:hAnsi="Arial"/>
                <w:sz w:val="12"/>
                <w:szCs w:val="12"/>
              </w:rPr>
              <w:t>Olula de Castro</w:t>
            </w:r>
          </w:p>
        </w:tc>
      </w:tr>
      <w:tr w:rsidR="002A4DDF" w:rsidRPr="00937C8B" w14:paraId="57B782BB" w14:textId="77777777" w:rsidTr="00935676">
        <w:trPr>
          <w:cantSplit/>
        </w:trPr>
        <w:tc>
          <w:tcPr>
            <w:tcW w:w="1696" w:type="dxa"/>
            <w:tcBorders>
              <w:left w:val="single" w:sz="4" w:space="0" w:color="auto"/>
            </w:tcBorders>
            <w:shd w:val="clear" w:color="auto" w:fill="auto"/>
          </w:tcPr>
          <w:p w14:paraId="461E8223" w14:textId="77777777" w:rsidR="002A4DDF" w:rsidRPr="00937C8B" w:rsidRDefault="002A4DDF" w:rsidP="009110ED">
            <w:pPr>
              <w:rPr>
                <w:rFonts w:ascii="Arial" w:hAnsi="Arial" w:cs="Arial"/>
                <w:sz w:val="12"/>
                <w:szCs w:val="12"/>
              </w:rPr>
            </w:pPr>
          </w:p>
        </w:tc>
        <w:tc>
          <w:tcPr>
            <w:tcW w:w="1843" w:type="dxa"/>
            <w:shd w:val="clear" w:color="auto" w:fill="auto"/>
          </w:tcPr>
          <w:p w14:paraId="1B735C4C" w14:textId="77777777" w:rsidR="002A4DDF" w:rsidRPr="00937C8B" w:rsidRDefault="002A4DDF" w:rsidP="009110ED">
            <w:pPr>
              <w:rPr>
                <w:rFonts w:ascii="Arial" w:hAnsi="Arial" w:cs="Arial"/>
                <w:sz w:val="12"/>
                <w:szCs w:val="12"/>
              </w:rPr>
            </w:pPr>
          </w:p>
        </w:tc>
        <w:tc>
          <w:tcPr>
            <w:tcW w:w="2268" w:type="dxa"/>
            <w:shd w:val="clear" w:color="auto" w:fill="F2F2F2"/>
            <w:hideMark/>
          </w:tcPr>
          <w:p w14:paraId="33A89272" w14:textId="77777777" w:rsidR="002A4DDF" w:rsidRPr="00937C8B" w:rsidRDefault="002A4DDF" w:rsidP="009110ED">
            <w:pPr>
              <w:rPr>
                <w:rFonts w:ascii="Arial" w:hAnsi="Arial" w:cs="Arial"/>
                <w:sz w:val="12"/>
                <w:szCs w:val="12"/>
              </w:rPr>
            </w:pPr>
            <w:r>
              <w:rPr>
                <w:rFonts w:ascii="Arial" w:hAnsi="Arial"/>
                <w:sz w:val="12"/>
                <w:szCs w:val="12"/>
              </w:rPr>
              <w:t>Tabernas</w:t>
            </w:r>
          </w:p>
        </w:tc>
        <w:tc>
          <w:tcPr>
            <w:tcW w:w="2268" w:type="dxa"/>
            <w:tcBorders>
              <w:right w:val="single" w:sz="4" w:space="0" w:color="auto"/>
            </w:tcBorders>
            <w:shd w:val="clear" w:color="auto" w:fill="D9D9D9"/>
            <w:hideMark/>
          </w:tcPr>
          <w:p w14:paraId="6506FA26" w14:textId="77777777" w:rsidR="002A4DDF" w:rsidRPr="00937C8B" w:rsidRDefault="002A4DDF" w:rsidP="009110ED">
            <w:pPr>
              <w:rPr>
                <w:rFonts w:ascii="Arial" w:hAnsi="Arial" w:cs="Arial"/>
                <w:sz w:val="12"/>
                <w:szCs w:val="12"/>
              </w:rPr>
            </w:pPr>
            <w:r>
              <w:rPr>
                <w:rFonts w:ascii="Arial" w:hAnsi="Arial"/>
                <w:sz w:val="12"/>
                <w:szCs w:val="12"/>
              </w:rPr>
              <w:t>Paterna del Río</w:t>
            </w:r>
          </w:p>
        </w:tc>
      </w:tr>
      <w:tr w:rsidR="002A4DDF" w:rsidRPr="00937C8B" w14:paraId="43C43172" w14:textId="77777777" w:rsidTr="00935676">
        <w:trPr>
          <w:cantSplit/>
        </w:trPr>
        <w:tc>
          <w:tcPr>
            <w:tcW w:w="1696" w:type="dxa"/>
            <w:tcBorders>
              <w:left w:val="single" w:sz="4" w:space="0" w:color="auto"/>
            </w:tcBorders>
            <w:shd w:val="clear" w:color="auto" w:fill="auto"/>
          </w:tcPr>
          <w:p w14:paraId="361F3499" w14:textId="77777777" w:rsidR="002A4DDF" w:rsidRPr="00937C8B" w:rsidRDefault="002A4DDF" w:rsidP="009110ED">
            <w:pPr>
              <w:rPr>
                <w:rFonts w:ascii="Arial" w:hAnsi="Arial" w:cs="Arial"/>
                <w:sz w:val="12"/>
                <w:szCs w:val="12"/>
              </w:rPr>
            </w:pPr>
          </w:p>
        </w:tc>
        <w:tc>
          <w:tcPr>
            <w:tcW w:w="1843" w:type="dxa"/>
            <w:shd w:val="clear" w:color="auto" w:fill="auto"/>
          </w:tcPr>
          <w:p w14:paraId="6631A44D" w14:textId="77777777" w:rsidR="002A4DDF" w:rsidRPr="00937C8B" w:rsidRDefault="002A4DDF" w:rsidP="009110ED">
            <w:pPr>
              <w:rPr>
                <w:rFonts w:ascii="Arial" w:hAnsi="Arial" w:cs="Arial"/>
                <w:sz w:val="12"/>
                <w:szCs w:val="12"/>
              </w:rPr>
            </w:pPr>
          </w:p>
        </w:tc>
        <w:tc>
          <w:tcPr>
            <w:tcW w:w="2268" w:type="dxa"/>
            <w:shd w:val="clear" w:color="auto" w:fill="F2F2F2"/>
            <w:hideMark/>
          </w:tcPr>
          <w:p w14:paraId="19790C32" w14:textId="77777777" w:rsidR="002A4DDF" w:rsidRPr="00937C8B" w:rsidRDefault="002A4DDF" w:rsidP="009110ED">
            <w:pPr>
              <w:rPr>
                <w:rFonts w:ascii="Arial" w:hAnsi="Arial" w:cs="Arial"/>
                <w:sz w:val="12"/>
                <w:szCs w:val="12"/>
              </w:rPr>
            </w:pPr>
            <w:r>
              <w:rPr>
                <w:rFonts w:ascii="Arial" w:hAnsi="Arial"/>
                <w:sz w:val="12"/>
                <w:szCs w:val="12"/>
              </w:rPr>
              <w:t>Taberno</w:t>
            </w:r>
          </w:p>
        </w:tc>
        <w:tc>
          <w:tcPr>
            <w:tcW w:w="2268" w:type="dxa"/>
            <w:tcBorders>
              <w:right w:val="single" w:sz="4" w:space="0" w:color="auto"/>
            </w:tcBorders>
            <w:shd w:val="clear" w:color="auto" w:fill="D9D9D9"/>
            <w:hideMark/>
          </w:tcPr>
          <w:p w14:paraId="53D5950F" w14:textId="77777777" w:rsidR="002A4DDF" w:rsidRPr="00937C8B" w:rsidRDefault="002A4DDF" w:rsidP="009110ED">
            <w:pPr>
              <w:rPr>
                <w:rFonts w:ascii="Arial" w:hAnsi="Arial" w:cs="Arial"/>
                <w:sz w:val="12"/>
                <w:szCs w:val="12"/>
              </w:rPr>
            </w:pPr>
            <w:r>
              <w:rPr>
                <w:rFonts w:ascii="Arial" w:hAnsi="Arial"/>
                <w:sz w:val="12"/>
                <w:szCs w:val="12"/>
              </w:rPr>
              <w:t>Senés</w:t>
            </w:r>
          </w:p>
        </w:tc>
      </w:tr>
      <w:tr w:rsidR="002A4DDF" w:rsidRPr="00937C8B" w14:paraId="3DFD6CA1" w14:textId="77777777" w:rsidTr="00935676">
        <w:trPr>
          <w:cantSplit/>
        </w:trPr>
        <w:tc>
          <w:tcPr>
            <w:tcW w:w="1696" w:type="dxa"/>
            <w:tcBorders>
              <w:left w:val="single" w:sz="4" w:space="0" w:color="auto"/>
            </w:tcBorders>
            <w:shd w:val="clear" w:color="auto" w:fill="auto"/>
          </w:tcPr>
          <w:p w14:paraId="58A9C9D0" w14:textId="77777777" w:rsidR="002A4DDF" w:rsidRPr="00937C8B" w:rsidRDefault="002A4DDF" w:rsidP="009110ED">
            <w:pPr>
              <w:rPr>
                <w:rFonts w:ascii="Arial" w:hAnsi="Arial" w:cs="Arial"/>
                <w:sz w:val="12"/>
                <w:szCs w:val="12"/>
              </w:rPr>
            </w:pPr>
          </w:p>
        </w:tc>
        <w:tc>
          <w:tcPr>
            <w:tcW w:w="1843" w:type="dxa"/>
            <w:shd w:val="clear" w:color="auto" w:fill="auto"/>
          </w:tcPr>
          <w:p w14:paraId="04B023E2" w14:textId="77777777" w:rsidR="002A4DDF" w:rsidRPr="00937C8B" w:rsidRDefault="002A4DDF" w:rsidP="009110ED">
            <w:pPr>
              <w:rPr>
                <w:rFonts w:ascii="Arial" w:hAnsi="Arial" w:cs="Arial"/>
                <w:sz w:val="12"/>
                <w:szCs w:val="12"/>
              </w:rPr>
            </w:pPr>
          </w:p>
        </w:tc>
        <w:tc>
          <w:tcPr>
            <w:tcW w:w="2268" w:type="dxa"/>
            <w:shd w:val="clear" w:color="auto" w:fill="F2F2F2"/>
            <w:hideMark/>
          </w:tcPr>
          <w:p w14:paraId="745D371E" w14:textId="77777777" w:rsidR="002A4DDF" w:rsidRPr="00937C8B" w:rsidRDefault="002A4DDF" w:rsidP="009110ED">
            <w:pPr>
              <w:rPr>
                <w:rFonts w:ascii="Arial" w:hAnsi="Arial" w:cs="Arial"/>
                <w:sz w:val="12"/>
                <w:szCs w:val="12"/>
              </w:rPr>
            </w:pPr>
            <w:r>
              <w:rPr>
                <w:rFonts w:ascii="Arial" w:hAnsi="Arial"/>
                <w:sz w:val="12"/>
                <w:szCs w:val="12"/>
              </w:rPr>
              <w:t>Tíjola</w:t>
            </w:r>
          </w:p>
        </w:tc>
        <w:tc>
          <w:tcPr>
            <w:tcW w:w="2268" w:type="dxa"/>
            <w:tcBorders>
              <w:right w:val="single" w:sz="4" w:space="0" w:color="auto"/>
            </w:tcBorders>
            <w:shd w:val="clear" w:color="auto" w:fill="D9D9D9"/>
            <w:hideMark/>
          </w:tcPr>
          <w:p w14:paraId="37186592" w14:textId="77777777" w:rsidR="002A4DDF" w:rsidRPr="00937C8B" w:rsidRDefault="002A4DDF" w:rsidP="009110ED">
            <w:pPr>
              <w:rPr>
                <w:rFonts w:ascii="Arial" w:hAnsi="Arial" w:cs="Arial"/>
                <w:sz w:val="12"/>
                <w:szCs w:val="12"/>
              </w:rPr>
            </w:pPr>
            <w:r>
              <w:rPr>
                <w:rFonts w:ascii="Arial" w:hAnsi="Arial"/>
                <w:sz w:val="12"/>
                <w:szCs w:val="12"/>
              </w:rPr>
              <w:t>Serón</w:t>
            </w:r>
          </w:p>
        </w:tc>
      </w:tr>
      <w:tr w:rsidR="002A4DDF" w:rsidRPr="00937C8B" w14:paraId="241EAD5F" w14:textId="77777777" w:rsidTr="00935676">
        <w:trPr>
          <w:cantSplit/>
        </w:trPr>
        <w:tc>
          <w:tcPr>
            <w:tcW w:w="1696" w:type="dxa"/>
            <w:tcBorders>
              <w:left w:val="single" w:sz="4" w:space="0" w:color="auto"/>
            </w:tcBorders>
            <w:shd w:val="clear" w:color="auto" w:fill="auto"/>
          </w:tcPr>
          <w:p w14:paraId="3E3D271E" w14:textId="77777777" w:rsidR="002A4DDF" w:rsidRPr="00937C8B" w:rsidRDefault="002A4DDF" w:rsidP="009110ED">
            <w:pPr>
              <w:rPr>
                <w:rFonts w:ascii="Arial" w:hAnsi="Arial" w:cs="Arial"/>
                <w:sz w:val="12"/>
                <w:szCs w:val="12"/>
              </w:rPr>
            </w:pPr>
          </w:p>
        </w:tc>
        <w:tc>
          <w:tcPr>
            <w:tcW w:w="1843" w:type="dxa"/>
            <w:shd w:val="clear" w:color="auto" w:fill="auto"/>
          </w:tcPr>
          <w:p w14:paraId="4B128071" w14:textId="77777777" w:rsidR="002A4DDF" w:rsidRPr="00937C8B" w:rsidRDefault="002A4DDF" w:rsidP="009110ED">
            <w:pPr>
              <w:rPr>
                <w:rFonts w:ascii="Arial" w:hAnsi="Arial" w:cs="Arial"/>
                <w:sz w:val="12"/>
                <w:szCs w:val="12"/>
              </w:rPr>
            </w:pPr>
          </w:p>
        </w:tc>
        <w:tc>
          <w:tcPr>
            <w:tcW w:w="2268" w:type="dxa"/>
            <w:shd w:val="clear" w:color="auto" w:fill="F2F2F2"/>
            <w:hideMark/>
          </w:tcPr>
          <w:p w14:paraId="1FD64106" w14:textId="77777777" w:rsidR="002A4DDF" w:rsidRPr="00937C8B" w:rsidRDefault="002A4DDF" w:rsidP="009110ED">
            <w:pPr>
              <w:rPr>
                <w:rFonts w:ascii="Arial" w:hAnsi="Arial" w:cs="Arial"/>
                <w:sz w:val="12"/>
                <w:szCs w:val="12"/>
              </w:rPr>
            </w:pPr>
            <w:r>
              <w:rPr>
                <w:rFonts w:ascii="Arial" w:hAnsi="Arial"/>
                <w:sz w:val="12"/>
                <w:szCs w:val="12"/>
              </w:rPr>
              <w:t>Turrillas</w:t>
            </w:r>
          </w:p>
        </w:tc>
        <w:tc>
          <w:tcPr>
            <w:tcW w:w="2268" w:type="dxa"/>
            <w:tcBorders>
              <w:right w:val="single" w:sz="4" w:space="0" w:color="auto"/>
            </w:tcBorders>
            <w:shd w:val="clear" w:color="auto" w:fill="D9D9D9"/>
            <w:hideMark/>
          </w:tcPr>
          <w:p w14:paraId="79895213" w14:textId="77777777" w:rsidR="002A4DDF" w:rsidRPr="00937C8B" w:rsidRDefault="002A4DDF" w:rsidP="009110ED">
            <w:pPr>
              <w:rPr>
                <w:rFonts w:ascii="Arial" w:hAnsi="Arial" w:cs="Arial"/>
                <w:sz w:val="12"/>
                <w:szCs w:val="12"/>
              </w:rPr>
            </w:pPr>
            <w:r>
              <w:rPr>
                <w:rFonts w:ascii="Arial" w:hAnsi="Arial"/>
                <w:sz w:val="12"/>
                <w:szCs w:val="12"/>
              </w:rPr>
              <w:t>Sierro</w:t>
            </w:r>
          </w:p>
        </w:tc>
      </w:tr>
      <w:tr w:rsidR="002A4DDF" w:rsidRPr="00937C8B" w14:paraId="4394972F" w14:textId="77777777" w:rsidTr="00935676">
        <w:trPr>
          <w:cantSplit/>
        </w:trPr>
        <w:tc>
          <w:tcPr>
            <w:tcW w:w="1696" w:type="dxa"/>
            <w:tcBorders>
              <w:left w:val="single" w:sz="4" w:space="0" w:color="auto"/>
            </w:tcBorders>
            <w:shd w:val="clear" w:color="auto" w:fill="auto"/>
          </w:tcPr>
          <w:p w14:paraId="47EDE2C3" w14:textId="77777777" w:rsidR="002A4DDF" w:rsidRPr="00937C8B" w:rsidRDefault="002A4DDF" w:rsidP="009110ED">
            <w:pPr>
              <w:rPr>
                <w:rFonts w:ascii="Arial" w:hAnsi="Arial" w:cs="Arial"/>
                <w:sz w:val="12"/>
                <w:szCs w:val="12"/>
              </w:rPr>
            </w:pPr>
          </w:p>
        </w:tc>
        <w:tc>
          <w:tcPr>
            <w:tcW w:w="1843" w:type="dxa"/>
            <w:shd w:val="clear" w:color="auto" w:fill="auto"/>
          </w:tcPr>
          <w:p w14:paraId="0C213719" w14:textId="77777777" w:rsidR="002A4DDF" w:rsidRPr="00937C8B" w:rsidRDefault="002A4DDF" w:rsidP="009110ED">
            <w:pPr>
              <w:rPr>
                <w:rFonts w:ascii="Arial" w:hAnsi="Arial" w:cs="Arial"/>
                <w:sz w:val="12"/>
                <w:szCs w:val="12"/>
              </w:rPr>
            </w:pPr>
          </w:p>
        </w:tc>
        <w:tc>
          <w:tcPr>
            <w:tcW w:w="2268" w:type="dxa"/>
            <w:shd w:val="clear" w:color="auto" w:fill="F2F2F2"/>
            <w:hideMark/>
          </w:tcPr>
          <w:p w14:paraId="714B6EE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5EA964A" w14:textId="77777777" w:rsidR="002A4DDF" w:rsidRPr="00937C8B" w:rsidRDefault="002A4DDF" w:rsidP="009110ED">
            <w:pPr>
              <w:rPr>
                <w:rFonts w:ascii="Arial" w:hAnsi="Arial" w:cs="Arial"/>
                <w:sz w:val="12"/>
                <w:szCs w:val="12"/>
              </w:rPr>
            </w:pPr>
            <w:r>
              <w:rPr>
                <w:rFonts w:ascii="Arial" w:hAnsi="Arial"/>
                <w:sz w:val="12"/>
                <w:szCs w:val="12"/>
              </w:rPr>
              <w:t>Tahal</w:t>
            </w:r>
          </w:p>
        </w:tc>
      </w:tr>
      <w:tr w:rsidR="002A4DDF" w:rsidRPr="00937C8B" w14:paraId="682A4B1E" w14:textId="77777777" w:rsidTr="00935676">
        <w:trPr>
          <w:cantSplit/>
        </w:trPr>
        <w:tc>
          <w:tcPr>
            <w:tcW w:w="1696" w:type="dxa"/>
            <w:tcBorders>
              <w:left w:val="single" w:sz="4" w:space="0" w:color="auto"/>
            </w:tcBorders>
            <w:shd w:val="clear" w:color="auto" w:fill="auto"/>
          </w:tcPr>
          <w:p w14:paraId="3678BB1E" w14:textId="77777777" w:rsidR="002A4DDF" w:rsidRPr="00937C8B" w:rsidRDefault="002A4DDF" w:rsidP="009110ED">
            <w:pPr>
              <w:rPr>
                <w:rFonts w:ascii="Arial" w:hAnsi="Arial" w:cs="Arial"/>
                <w:sz w:val="12"/>
                <w:szCs w:val="12"/>
              </w:rPr>
            </w:pPr>
          </w:p>
        </w:tc>
        <w:tc>
          <w:tcPr>
            <w:tcW w:w="1843" w:type="dxa"/>
            <w:shd w:val="clear" w:color="auto" w:fill="auto"/>
          </w:tcPr>
          <w:p w14:paraId="50AF4DF5" w14:textId="77777777" w:rsidR="002A4DDF" w:rsidRPr="00937C8B" w:rsidRDefault="002A4DDF" w:rsidP="009110ED">
            <w:pPr>
              <w:rPr>
                <w:rFonts w:ascii="Arial" w:hAnsi="Arial" w:cs="Arial"/>
                <w:sz w:val="12"/>
                <w:szCs w:val="12"/>
              </w:rPr>
            </w:pPr>
          </w:p>
        </w:tc>
        <w:tc>
          <w:tcPr>
            <w:tcW w:w="2268" w:type="dxa"/>
            <w:shd w:val="clear" w:color="auto" w:fill="F2F2F2"/>
            <w:hideMark/>
          </w:tcPr>
          <w:p w14:paraId="704E849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F41BE32" w14:textId="77777777" w:rsidR="002A4DDF" w:rsidRPr="00937C8B" w:rsidRDefault="002A4DDF" w:rsidP="009110ED">
            <w:pPr>
              <w:rPr>
                <w:rFonts w:ascii="Arial" w:hAnsi="Arial" w:cs="Arial"/>
                <w:sz w:val="12"/>
                <w:szCs w:val="12"/>
              </w:rPr>
            </w:pPr>
            <w:r>
              <w:rPr>
                <w:rFonts w:ascii="Arial" w:hAnsi="Arial"/>
                <w:sz w:val="12"/>
                <w:szCs w:val="12"/>
              </w:rPr>
              <w:t>Uleila del Campo</w:t>
            </w:r>
          </w:p>
        </w:tc>
      </w:tr>
      <w:tr w:rsidR="002A4DDF" w:rsidRPr="00937C8B" w14:paraId="4AA1E6F9" w14:textId="77777777" w:rsidTr="00935676">
        <w:trPr>
          <w:cantSplit/>
        </w:trPr>
        <w:tc>
          <w:tcPr>
            <w:tcW w:w="1696" w:type="dxa"/>
            <w:tcBorders>
              <w:left w:val="single" w:sz="4" w:space="0" w:color="auto"/>
              <w:bottom w:val="single" w:sz="4" w:space="0" w:color="auto"/>
            </w:tcBorders>
            <w:shd w:val="clear" w:color="auto" w:fill="auto"/>
          </w:tcPr>
          <w:p w14:paraId="3990BEA0"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bottom w:val="single" w:sz="4" w:space="0" w:color="auto"/>
            </w:tcBorders>
            <w:shd w:val="clear" w:color="auto" w:fill="auto"/>
          </w:tcPr>
          <w:p w14:paraId="00EDDC37" w14:textId="77777777" w:rsidR="002A4DDF" w:rsidRPr="00937C8B" w:rsidRDefault="002A4DDF" w:rsidP="009110ED">
            <w:pPr>
              <w:rPr>
                <w:rFonts w:ascii="Arial" w:hAnsi="Arial" w:cs="Arial"/>
                <w:sz w:val="12"/>
                <w:szCs w:val="12"/>
              </w:rPr>
            </w:pPr>
            <w:r>
              <w:rPr>
                <w:rFonts w:ascii="Arial" w:hAnsi="Arial"/>
                <w:sz w:val="12"/>
                <w:szCs w:val="12"/>
              </w:rPr>
              <w:t>Almería</w:t>
            </w:r>
          </w:p>
        </w:tc>
        <w:tc>
          <w:tcPr>
            <w:tcW w:w="2268" w:type="dxa"/>
            <w:tcBorders>
              <w:bottom w:val="single" w:sz="4" w:space="0" w:color="auto"/>
            </w:tcBorders>
            <w:shd w:val="clear" w:color="auto" w:fill="F2F2F2"/>
            <w:hideMark/>
          </w:tcPr>
          <w:p w14:paraId="4025E686"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09097388" w14:textId="77777777" w:rsidR="002A4DDF" w:rsidRPr="00937C8B" w:rsidRDefault="002A4DDF" w:rsidP="009110ED">
            <w:pPr>
              <w:rPr>
                <w:rFonts w:ascii="Arial" w:hAnsi="Arial" w:cs="Arial"/>
                <w:sz w:val="12"/>
                <w:szCs w:val="12"/>
              </w:rPr>
            </w:pPr>
            <w:r>
              <w:rPr>
                <w:rFonts w:ascii="Arial" w:hAnsi="Arial"/>
                <w:sz w:val="12"/>
                <w:szCs w:val="12"/>
              </w:rPr>
              <w:t>Velefique</w:t>
            </w:r>
          </w:p>
        </w:tc>
      </w:tr>
      <w:tr w:rsidR="002A4DDF" w:rsidRPr="00937C8B" w14:paraId="03692B77" w14:textId="77777777" w:rsidTr="00935676">
        <w:trPr>
          <w:cantSplit/>
        </w:trPr>
        <w:tc>
          <w:tcPr>
            <w:tcW w:w="1696" w:type="dxa"/>
            <w:tcBorders>
              <w:top w:val="single" w:sz="4" w:space="0" w:color="auto"/>
              <w:bottom w:val="single" w:sz="4" w:space="0" w:color="auto"/>
            </w:tcBorders>
            <w:shd w:val="clear" w:color="auto" w:fill="FFFFFF"/>
            <w:hideMark/>
          </w:tcPr>
          <w:p w14:paraId="4026ABA2"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FFFFFF"/>
            <w:hideMark/>
          </w:tcPr>
          <w:p w14:paraId="26934324"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FFFFF"/>
            <w:hideMark/>
          </w:tcPr>
          <w:p w14:paraId="7A837505"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FFFFFF"/>
            <w:hideMark/>
          </w:tcPr>
          <w:p w14:paraId="202D42D2" w14:textId="77777777" w:rsidR="002A4DDF" w:rsidRPr="00937C8B" w:rsidRDefault="002A4DDF" w:rsidP="009110ED">
            <w:pPr>
              <w:rPr>
                <w:rFonts w:ascii="Arial" w:hAnsi="Arial" w:cs="Arial"/>
                <w:sz w:val="12"/>
                <w:szCs w:val="12"/>
              </w:rPr>
            </w:pPr>
          </w:p>
        </w:tc>
      </w:tr>
      <w:tr w:rsidR="002A4DDF" w:rsidRPr="00937C8B" w14:paraId="194A223E" w14:textId="77777777" w:rsidTr="00935676">
        <w:trPr>
          <w:cantSplit/>
        </w:trPr>
        <w:tc>
          <w:tcPr>
            <w:tcW w:w="1696" w:type="dxa"/>
            <w:tcBorders>
              <w:top w:val="single" w:sz="4" w:space="0" w:color="auto"/>
              <w:left w:val="single" w:sz="4" w:space="0" w:color="auto"/>
            </w:tcBorders>
            <w:shd w:val="clear" w:color="auto" w:fill="auto"/>
            <w:hideMark/>
          </w:tcPr>
          <w:p w14:paraId="74B5180B"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top w:val="single" w:sz="4" w:space="0" w:color="auto"/>
            </w:tcBorders>
            <w:shd w:val="clear" w:color="auto" w:fill="auto"/>
            <w:hideMark/>
          </w:tcPr>
          <w:p w14:paraId="62685774" w14:textId="77777777" w:rsidR="002A4DDF" w:rsidRPr="00937C8B" w:rsidRDefault="002A4DDF" w:rsidP="009110ED">
            <w:pPr>
              <w:rPr>
                <w:rFonts w:ascii="Arial" w:hAnsi="Arial" w:cs="Arial"/>
                <w:sz w:val="12"/>
                <w:szCs w:val="12"/>
              </w:rPr>
            </w:pPr>
            <w:r>
              <w:rPr>
                <w:rFonts w:ascii="Arial" w:hAnsi="Arial"/>
                <w:sz w:val="12"/>
                <w:szCs w:val="12"/>
              </w:rPr>
              <w:t>Cordoue</w:t>
            </w:r>
          </w:p>
        </w:tc>
        <w:tc>
          <w:tcPr>
            <w:tcW w:w="2268" w:type="dxa"/>
            <w:tcBorders>
              <w:top w:val="single" w:sz="4" w:space="0" w:color="auto"/>
            </w:tcBorders>
            <w:shd w:val="clear" w:color="auto" w:fill="F2F2F2"/>
            <w:hideMark/>
          </w:tcPr>
          <w:p w14:paraId="57EFE7EA" w14:textId="77777777" w:rsidR="002A4DDF" w:rsidRPr="00937C8B" w:rsidRDefault="002A4DDF" w:rsidP="009110ED">
            <w:pPr>
              <w:rPr>
                <w:rFonts w:ascii="Arial" w:hAnsi="Arial" w:cs="Arial"/>
                <w:sz w:val="12"/>
                <w:szCs w:val="12"/>
              </w:rPr>
            </w:pPr>
            <w:r>
              <w:rPr>
                <w:rFonts w:ascii="Arial" w:hAnsi="Arial"/>
                <w:sz w:val="12"/>
                <w:szCs w:val="12"/>
              </w:rPr>
              <w:t>Almodóvar del Río</w:t>
            </w:r>
          </w:p>
        </w:tc>
        <w:tc>
          <w:tcPr>
            <w:tcW w:w="2268" w:type="dxa"/>
            <w:tcBorders>
              <w:top w:val="single" w:sz="4" w:space="0" w:color="auto"/>
              <w:right w:val="single" w:sz="4" w:space="0" w:color="auto"/>
            </w:tcBorders>
            <w:shd w:val="clear" w:color="auto" w:fill="D9D9D9"/>
            <w:hideMark/>
          </w:tcPr>
          <w:p w14:paraId="29A0CFA1" w14:textId="77777777" w:rsidR="002A4DDF" w:rsidRPr="00937C8B" w:rsidRDefault="002A4DDF" w:rsidP="009110ED">
            <w:pPr>
              <w:rPr>
                <w:rFonts w:ascii="Arial" w:hAnsi="Arial" w:cs="Arial"/>
                <w:sz w:val="12"/>
                <w:szCs w:val="12"/>
              </w:rPr>
            </w:pPr>
            <w:r>
              <w:rPr>
                <w:rFonts w:ascii="Arial" w:hAnsi="Arial"/>
                <w:sz w:val="12"/>
                <w:szCs w:val="12"/>
              </w:rPr>
              <w:t>Alcaracejos</w:t>
            </w:r>
          </w:p>
        </w:tc>
      </w:tr>
      <w:tr w:rsidR="002A4DDF" w:rsidRPr="00937C8B" w14:paraId="084AED9F" w14:textId="77777777" w:rsidTr="00935676">
        <w:trPr>
          <w:cantSplit/>
        </w:trPr>
        <w:tc>
          <w:tcPr>
            <w:tcW w:w="1696" w:type="dxa"/>
            <w:tcBorders>
              <w:left w:val="single" w:sz="4" w:space="0" w:color="auto"/>
            </w:tcBorders>
            <w:shd w:val="clear" w:color="auto" w:fill="auto"/>
          </w:tcPr>
          <w:p w14:paraId="4C105454" w14:textId="77777777" w:rsidR="002A4DDF" w:rsidRPr="00937C8B" w:rsidRDefault="002A4DDF" w:rsidP="009110ED">
            <w:pPr>
              <w:rPr>
                <w:rFonts w:ascii="Arial" w:hAnsi="Arial" w:cs="Arial"/>
                <w:sz w:val="12"/>
                <w:szCs w:val="12"/>
              </w:rPr>
            </w:pPr>
          </w:p>
        </w:tc>
        <w:tc>
          <w:tcPr>
            <w:tcW w:w="1843" w:type="dxa"/>
            <w:shd w:val="clear" w:color="auto" w:fill="auto"/>
          </w:tcPr>
          <w:p w14:paraId="297FF003" w14:textId="77777777" w:rsidR="002A4DDF" w:rsidRPr="00937C8B" w:rsidRDefault="002A4DDF" w:rsidP="009110ED">
            <w:pPr>
              <w:rPr>
                <w:rFonts w:ascii="Arial" w:hAnsi="Arial" w:cs="Arial"/>
                <w:sz w:val="12"/>
                <w:szCs w:val="12"/>
              </w:rPr>
            </w:pPr>
          </w:p>
        </w:tc>
        <w:tc>
          <w:tcPr>
            <w:tcW w:w="2268" w:type="dxa"/>
            <w:shd w:val="clear" w:color="auto" w:fill="F2F2F2"/>
            <w:hideMark/>
          </w:tcPr>
          <w:p w14:paraId="2C27603C" w14:textId="77777777" w:rsidR="002A4DDF" w:rsidRPr="00937C8B" w:rsidRDefault="002A4DDF" w:rsidP="009110ED">
            <w:pPr>
              <w:rPr>
                <w:rFonts w:ascii="Arial" w:hAnsi="Arial" w:cs="Arial"/>
                <w:sz w:val="12"/>
                <w:szCs w:val="12"/>
              </w:rPr>
            </w:pPr>
            <w:r>
              <w:rPr>
                <w:rFonts w:ascii="Arial" w:hAnsi="Arial"/>
                <w:sz w:val="12"/>
                <w:szCs w:val="12"/>
              </w:rPr>
              <w:t>Belmez</w:t>
            </w:r>
          </w:p>
        </w:tc>
        <w:tc>
          <w:tcPr>
            <w:tcW w:w="2268" w:type="dxa"/>
            <w:tcBorders>
              <w:right w:val="single" w:sz="4" w:space="0" w:color="auto"/>
            </w:tcBorders>
            <w:shd w:val="clear" w:color="auto" w:fill="D9D9D9"/>
            <w:hideMark/>
          </w:tcPr>
          <w:p w14:paraId="7DA399A9" w14:textId="77777777" w:rsidR="002A4DDF" w:rsidRPr="00937C8B" w:rsidRDefault="002A4DDF" w:rsidP="009110ED">
            <w:pPr>
              <w:rPr>
                <w:rFonts w:ascii="Arial" w:hAnsi="Arial" w:cs="Arial"/>
                <w:sz w:val="12"/>
                <w:szCs w:val="12"/>
              </w:rPr>
            </w:pPr>
            <w:r>
              <w:rPr>
                <w:rFonts w:ascii="Arial" w:hAnsi="Arial"/>
                <w:sz w:val="12"/>
                <w:szCs w:val="12"/>
              </w:rPr>
              <w:t>Añora</w:t>
            </w:r>
          </w:p>
        </w:tc>
      </w:tr>
      <w:tr w:rsidR="002A4DDF" w:rsidRPr="00937C8B" w14:paraId="7E88D81D" w14:textId="77777777" w:rsidTr="00935676">
        <w:trPr>
          <w:cantSplit/>
        </w:trPr>
        <w:tc>
          <w:tcPr>
            <w:tcW w:w="1696" w:type="dxa"/>
            <w:tcBorders>
              <w:left w:val="single" w:sz="4" w:space="0" w:color="auto"/>
            </w:tcBorders>
            <w:shd w:val="clear" w:color="auto" w:fill="auto"/>
          </w:tcPr>
          <w:p w14:paraId="3D8A9EBD" w14:textId="77777777" w:rsidR="002A4DDF" w:rsidRPr="00937C8B" w:rsidRDefault="002A4DDF" w:rsidP="009110ED">
            <w:pPr>
              <w:rPr>
                <w:rFonts w:ascii="Arial" w:hAnsi="Arial" w:cs="Arial"/>
                <w:sz w:val="12"/>
                <w:szCs w:val="12"/>
              </w:rPr>
            </w:pPr>
          </w:p>
        </w:tc>
        <w:tc>
          <w:tcPr>
            <w:tcW w:w="1843" w:type="dxa"/>
            <w:shd w:val="clear" w:color="auto" w:fill="auto"/>
          </w:tcPr>
          <w:p w14:paraId="09F8986C" w14:textId="77777777" w:rsidR="002A4DDF" w:rsidRPr="00937C8B" w:rsidRDefault="002A4DDF" w:rsidP="009110ED">
            <w:pPr>
              <w:rPr>
                <w:rFonts w:ascii="Arial" w:hAnsi="Arial" w:cs="Arial"/>
                <w:sz w:val="12"/>
                <w:szCs w:val="12"/>
              </w:rPr>
            </w:pPr>
          </w:p>
        </w:tc>
        <w:tc>
          <w:tcPr>
            <w:tcW w:w="2268" w:type="dxa"/>
            <w:shd w:val="clear" w:color="auto" w:fill="F2F2F2"/>
            <w:hideMark/>
          </w:tcPr>
          <w:p w14:paraId="20FC1FF5" w14:textId="77777777" w:rsidR="002A4DDF" w:rsidRPr="00937C8B" w:rsidRDefault="002A4DDF" w:rsidP="009110ED">
            <w:pPr>
              <w:rPr>
                <w:rFonts w:ascii="Arial" w:hAnsi="Arial" w:cs="Arial"/>
                <w:sz w:val="12"/>
                <w:szCs w:val="12"/>
              </w:rPr>
            </w:pPr>
            <w:r>
              <w:rPr>
                <w:rFonts w:ascii="Arial" w:hAnsi="Arial"/>
                <w:sz w:val="12"/>
                <w:szCs w:val="12"/>
              </w:rPr>
              <w:t>Espiel</w:t>
            </w:r>
          </w:p>
        </w:tc>
        <w:tc>
          <w:tcPr>
            <w:tcW w:w="2268" w:type="dxa"/>
            <w:tcBorders>
              <w:right w:val="single" w:sz="4" w:space="0" w:color="auto"/>
            </w:tcBorders>
            <w:shd w:val="clear" w:color="auto" w:fill="D9D9D9"/>
            <w:hideMark/>
          </w:tcPr>
          <w:p w14:paraId="0362C0BE" w14:textId="77777777" w:rsidR="002A4DDF" w:rsidRPr="00937C8B" w:rsidRDefault="002A4DDF" w:rsidP="009110ED">
            <w:pPr>
              <w:rPr>
                <w:rFonts w:ascii="Arial" w:hAnsi="Arial" w:cs="Arial"/>
                <w:sz w:val="12"/>
                <w:szCs w:val="12"/>
              </w:rPr>
            </w:pPr>
            <w:r>
              <w:rPr>
                <w:rFonts w:ascii="Arial" w:hAnsi="Arial"/>
                <w:sz w:val="12"/>
                <w:szCs w:val="12"/>
              </w:rPr>
              <w:t>Belalcázar</w:t>
            </w:r>
          </w:p>
        </w:tc>
      </w:tr>
      <w:tr w:rsidR="002A4DDF" w:rsidRPr="00937C8B" w14:paraId="68BE715B" w14:textId="77777777" w:rsidTr="00935676">
        <w:trPr>
          <w:cantSplit/>
        </w:trPr>
        <w:tc>
          <w:tcPr>
            <w:tcW w:w="1696" w:type="dxa"/>
            <w:tcBorders>
              <w:left w:val="single" w:sz="4" w:space="0" w:color="auto"/>
            </w:tcBorders>
            <w:shd w:val="clear" w:color="auto" w:fill="auto"/>
          </w:tcPr>
          <w:p w14:paraId="62D7DF59" w14:textId="77777777" w:rsidR="002A4DDF" w:rsidRPr="00937C8B" w:rsidRDefault="002A4DDF" w:rsidP="009110ED">
            <w:pPr>
              <w:rPr>
                <w:rFonts w:ascii="Arial" w:hAnsi="Arial" w:cs="Arial"/>
                <w:sz w:val="12"/>
                <w:szCs w:val="12"/>
              </w:rPr>
            </w:pPr>
          </w:p>
        </w:tc>
        <w:tc>
          <w:tcPr>
            <w:tcW w:w="1843" w:type="dxa"/>
            <w:shd w:val="clear" w:color="auto" w:fill="auto"/>
          </w:tcPr>
          <w:p w14:paraId="0EA03B44" w14:textId="77777777" w:rsidR="002A4DDF" w:rsidRPr="00937C8B" w:rsidRDefault="002A4DDF" w:rsidP="009110ED">
            <w:pPr>
              <w:rPr>
                <w:rFonts w:ascii="Arial" w:hAnsi="Arial" w:cs="Arial"/>
                <w:sz w:val="12"/>
                <w:szCs w:val="12"/>
              </w:rPr>
            </w:pPr>
          </w:p>
        </w:tc>
        <w:tc>
          <w:tcPr>
            <w:tcW w:w="2268" w:type="dxa"/>
            <w:shd w:val="clear" w:color="auto" w:fill="F2F2F2"/>
            <w:hideMark/>
          </w:tcPr>
          <w:p w14:paraId="340E62B1" w14:textId="77777777" w:rsidR="002A4DDF" w:rsidRPr="00937C8B" w:rsidRDefault="002A4DDF" w:rsidP="009110ED">
            <w:pPr>
              <w:rPr>
                <w:rFonts w:ascii="Arial" w:hAnsi="Arial" w:cs="Arial"/>
                <w:sz w:val="12"/>
                <w:szCs w:val="12"/>
              </w:rPr>
            </w:pPr>
            <w:r>
              <w:rPr>
                <w:rFonts w:ascii="Arial" w:hAnsi="Arial"/>
                <w:sz w:val="12"/>
                <w:szCs w:val="12"/>
              </w:rPr>
              <w:t>Hornachuelos</w:t>
            </w:r>
          </w:p>
        </w:tc>
        <w:tc>
          <w:tcPr>
            <w:tcW w:w="2268" w:type="dxa"/>
            <w:tcBorders>
              <w:right w:val="single" w:sz="4" w:space="0" w:color="auto"/>
            </w:tcBorders>
            <w:shd w:val="clear" w:color="auto" w:fill="D9D9D9"/>
            <w:hideMark/>
          </w:tcPr>
          <w:p w14:paraId="26ECE29D" w14:textId="77777777" w:rsidR="002A4DDF" w:rsidRPr="00937C8B" w:rsidRDefault="002A4DDF" w:rsidP="009110ED">
            <w:pPr>
              <w:rPr>
                <w:rFonts w:ascii="Arial" w:hAnsi="Arial" w:cs="Arial"/>
                <w:sz w:val="12"/>
                <w:szCs w:val="12"/>
              </w:rPr>
            </w:pPr>
            <w:r>
              <w:rPr>
                <w:rFonts w:ascii="Arial" w:hAnsi="Arial"/>
                <w:sz w:val="12"/>
                <w:szCs w:val="12"/>
              </w:rPr>
              <w:t>Cardeña</w:t>
            </w:r>
          </w:p>
        </w:tc>
      </w:tr>
      <w:tr w:rsidR="002A4DDF" w:rsidRPr="00937C8B" w14:paraId="0E01D90C" w14:textId="77777777" w:rsidTr="00935676">
        <w:trPr>
          <w:cantSplit/>
        </w:trPr>
        <w:tc>
          <w:tcPr>
            <w:tcW w:w="1696" w:type="dxa"/>
            <w:tcBorders>
              <w:left w:val="single" w:sz="4" w:space="0" w:color="auto"/>
            </w:tcBorders>
            <w:shd w:val="clear" w:color="auto" w:fill="auto"/>
          </w:tcPr>
          <w:p w14:paraId="6D0FA578" w14:textId="77777777" w:rsidR="002A4DDF" w:rsidRPr="00937C8B" w:rsidRDefault="002A4DDF" w:rsidP="009110ED">
            <w:pPr>
              <w:rPr>
                <w:rFonts w:ascii="Arial" w:hAnsi="Arial" w:cs="Arial"/>
                <w:sz w:val="12"/>
                <w:szCs w:val="12"/>
              </w:rPr>
            </w:pPr>
          </w:p>
        </w:tc>
        <w:tc>
          <w:tcPr>
            <w:tcW w:w="1843" w:type="dxa"/>
            <w:shd w:val="clear" w:color="auto" w:fill="auto"/>
          </w:tcPr>
          <w:p w14:paraId="0C4BDEA3" w14:textId="77777777" w:rsidR="002A4DDF" w:rsidRPr="00937C8B" w:rsidRDefault="002A4DDF" w:rsidP="009110ED">
            <w:pPr>
              <w:rPr>
                <w:rFonts w:ascii="Arial" w:hAnsi="Arial" w:cs="Arial"/>
                <w:sz w:val="12"/>
                <w:szCs w:val="12"/>
              </w:rPr>
            </w:pPr>
          </w:p>
        </w:tc>
        <w:tc>
          <w:tcPr>
            <w:tcW w:w="2268" w:type="dxa"/>
            <w:shd w:val="clear" w:color="auto" w:fill="F2F2F2"/>
            <w:hideMark/>
          </w:tcPr>
          <w:p w14:paraId="55A8D85F" w14:textId="77777777" w:rsidR="002A4DDF" w:rsidRPr="00937C8B" w:rsidRDefault="002A4DDF" w:rsidP="009110ED">
            <w:pPr>
              <w:rPr>
                <w:rFonts w:ascii="Arial" w:hAnsi="Arial" w:cs="Arial"/>
                <w:sz w:val="12"/>
                <w:szCs w:val="12"/>
              </w:rPr>
            </w:pPr>
            <w:r>
              <w:rPr>
                <w:rFonts w:ascii="Arial" w:hAnsi="Arial"/>
                <w:sz w:val="12"/>
                <w:szCs w:val="12"/>
              </w:rPr>
              <w:t>La Granjuela</w:t>
            </w:r>
          </w:p>
        </w:tc>
        <w:tc>
          <w:tcPr>
            <w:tcW w:w="2268" w:type="dxa"/>
            <w:tcBorders>
              <w:right w:val="single" w:sz="4" w:space="0" w:color="auto"/>
            </w:tcBorders>
            <w:shd w:val="clear" w:color="auto" w:fill="D9D9D9"/>
            <w:hideMark/>
          </w:tcPr>
          <w:p w14:paraId="4981A774" w14:textId="77777777" w:rsidR="002A4DDF" w:rsidRPr="00937C8B" w:rsidRDefault="002A4DDF" w:rsidP="009110ED">
            <w:pPr>
              <w:rPr>
                <w:rFonts w:ascii="Arial" w:hAnsi="Arial" w:cs="Arial"/>
                <w:sz w:val="12"/>
                <w:szCs w:val="12"/>
              </w:rPr>
            </w:pPr>
            <w:r>
              <w:rPr>
                <w:rFonts w:ascii="Arial" w:hAnsi="Arial"/>
                <w:sz w:val="12"/>
                <w:szCs w:val="12"/>
              </w:rPr>
              <w:t>Conquista</w:t>
            </w:r>
          </w:p>
        </w:tc>
      </w:tr>
      <w:tr w:rsidR="002A4DDF" w:rsidRPr="00937C8B" w14:paraId="4852ECAB" w14:textId="77777777" w:rsidTr="00935676">
        <w:trPr>
          <w:cantSplit/>
        </w:trPr>
        <w:tc>
          <w:tcPr>
            <w:tcW w:w="1696" w:type="dxa"/>
            <w:tcBorders>
              <w:left w:val="single" w:sz="4" w:space="0" w:color="auto"/>
            </w:tcBorders>
            <w:shd w:val="clear" w:color="auto" w:fill="auto"/>
          </w:tcPr>
          <w:p w14:paraId="77F054E8" w14:textId="77777777" w:rsidR="002A4DDF" w:rsidRPr="00937C8B" w:rsidRDefault="002A4DDF" w:rsidP="009110ED">
            <w:pPr>
              <w:rPr>
                <w:rFonts w:ascii="Arial" w:hAnsi="Arial" w:cs="Arial"/>
                <w:sz w:val="12"/>
                <w:szCs w:val="12"/>
              </w:rPr>
            </w:pPr>
          </w:p>
        </w:tc>
        <w:tc>
          <w:tcPr>
            <w:tcW w:w="1843" w:type="dxa"/>
            <w:shd w:val="clear" w:color="auto" w:fill="auto"/>
          </w:tcPr>
          <w:p w14:paraId="59F64749" w14:textId="77777777" w:rsidR="002A4DDF" w:rsidRPr="00937C8B" w:rsidRDefault="002A4DDF" w:rsidP="009110ED">
            <w:pPr>
              <w:rPr>
                <w:rFonts w:ascii="Arial" w:hAnsi="Arial" w:cs="Arial"/>
                <w:sz w:val="12"/>
                <w:szCs w:val="12"/>
              </w:rPr>
            </w:pPr>
          </w:p>
        </w:tc>
        <w:tc>
          <w:tcPr>
            <w:tcW w:w="2268" w:type="dxa"/>
            <w:shd w:val="clear" w:color="auto" w:fill="F2F2F2"/>
            <w:hideMark/>
          </w:tcPr>
          <w:p w14:paraId="581990DD" w14:textId="77777777" w:rsidR="002A4DDF" w:rsidRPr="00937C8B" w:rsidRDefault="002A4DDF" w:rsidP="009110ED">
            <w:pPr>
              <w:rPr>
                <w:rFonts w:ascii="Arial" w:hAnsi="Arial" w:cs="Arial"/>
                <w:sz w:val="12"/>
                <w:szCs w:val="12"/>
              </w:rPr>
            </w:pPr>
            <w:r>
              <w:rPr>
                <w:rFonts w:ascii="Arial" w:hAnsi="Arial"/>
                <w:sz w:val="12"/>
                <w:szCs w:val="12"/>
              </w:rPr>
              <w:t>Los Blázquez</w:t>
            </w:r>
          </w:p>
        </w:tc>
        <w:tc>
          <w:tcPr>
            <w:tcW w:w="2268" w:type="dxa"/>
            <w:tcBorders>
              <w:right w:val="single" w:sz="4" w:space="0" w:color="auto"/>
            </w:tcBorders>
            <w:shd w:val="clear" w:color="auto" w:fill="D9D9D9"/>
            <w:hideMark/>
          </w:tcPr>
          <w:p w14:paraId="67D743DA" w14:textId="77777777" w:rsidR="002A4DDF" w:rsidRPr="00937C8B" w:rsidRDefault="002A4DDF" w:rsidP="009110ED">
            <w:pPr>
              <w:rPr>
                <w:rFonts w:ascii="Arial" w:hAnsi="Arial" w:cs="Arial"/>
                <w:sz w:val="12"/>
                <w:szCs w:val="12"/>
              </w:rPr>
            </w:pPr>
            <w:r>
              <w:rPr>
                <w:rFonts w:ascii="Arial" w:hAnsi="Arial"/>
                <w:sz w:val="12"/>
                <w:szCs w:val="12"/>
              </w:rPr>
              <w:t>Cordoue</w:t>
            </w:r>
          </w:p>
        </w:tc>
      </w:tr>
      <w:tr w:rsidR="002A4DDF" w:rsidRPr="00937C8B" w14:paraId="4B744A91" w14:textId="77777777" w:rsidTr="00935676">
        <w:trPr>
          <w:cantSplit/>
        </w:trPr>
        <w:tc>
          <w:tcPr>
            <w:tcW w:w="1696" w:type="dxa"/>
            <w:tcBorders>
              <w:left w:val="single" w:sz="4" w:space="0" w:color="auto"/>
            </w:tcBorders>
            <w:shd w:val="clear" w:color="auto" w:fill="auto"/>
          </w:tcPr>
          <w:p w14:paraId="304E3A3B" w14:textId="77777777" w:rsidR="002A4DDF" w:rsidRPr="00937C8B" w:rsidRDefault="002A4DDF" w:rsidP="009110ED">
            <w:pPr>
              <w:rPr>
                <w:rFonts w:ascii="Arial" w:hAnsi="Arial" w:cs="Arial"/>
                <w:sz w:val="12"/>
                <w:szCs w:val="12"/>
              </w:rPr>
            </w:pPr>
          </w:p>
        </w:tc>
        <w:tc>
          <w:tcPr>
            <w:tcW w:w="1843" w:type="dxa"/>
            <w:shd w:val="clear" w:color="auto" w:fill="auto"/>
          </w:tcPr>
          <w:p w14:paraId="441CC8AB" w14:textId="77777777" w:rsidR="002A4DDF" w:rsidRPr="00937C8B" w:rsidRDefault="002A4DDF" w:rsidP="009110ED">
            <w:pPr>
              <w:rPr>
                <w:rFonts w:ascii="Arial" w:hAnsi="Arial" w:cs="Arial"/>
                <w:sz w:val="12"/>
                <w:szCs w:val="12"/>
              </w:rPr>
            </w:pPr>
          </w:p>
        </w:tc>
        <w:tc>
          <w:tcPr>
            <w:tcW w:w="2268" w:type="dxa"/>
            <w:shd w:val="clear" w:color="auto" w:fill="F2F2F2"/>
            <w:hideMark/>
          </w:tcPr>
          <w:p w14:paraId="1F4B1CCB" w14:textId="77777777" w:rsidR="002A4DDF" w:rsidRPr="00937C8B" w:rsidRDefault="002A4DDF" w:rsidP="009110ED">
            <w:pPr>
              <w:rPr>
                <w:rFonts w:ascii="Arial" w:hAnsi="Arial" w:cs="Arial"/>
                <w:sz w:val="12"/>
                <w:szCs w:val="12"/>
              </w:rPr>
            </w:pPr>
            <w:r>
              <w:rPr>
                <w:rFonts w:ascii="Arial" w:hAnsi="Arial"/>
                <w:sz w:val="12"/>
                <w:szCs w:val="12"/>
              </w:rPr>
              <w:t>Palma del Río</w:t>
            </w:r>
          </w:p>
        </w:tc>
        <w:tc>
          <w:tcPr>
            <w:tcW w:w="2268" w:type="dxa"/>
            <w:tcBorders>
              <w:right w:val="single" w:sz="4" w:space="0" w:color="auto"/>
            </w:tcBorders>
            <w:shd w:val="clear" w:color="auto" w:fill="D9D9D9"/>
            <w:hideMark/>
          </w:tcPr>
          <w:p w14:paraId="1F9C54F7" w14:textId="77777777" w:rsidR="002A4DDF" w:rsidRPr="00937C8B" w:rsidRDefault="002A4DDF" w:rsidP="009110ED">
            <w:pPr>
              <w:rPr>
                <w:rFonts w:ascii="Arial" w:hAnsi="Arial" w:cs="Arial"/>
                <w:sz w:val="12"/>
                <w:szCs w:val="12"/>
              </w:rPr>
            </w:pPr>
            <w:r>
              <w:rPr>
                <w:rFonts w:ascii="Arial" w:hAnsi="Arial"/>
                <w:sz w:val="12"/>
                <w:szCs w:val="12"/>
              </w:rPr>
              <w:t>Dos Torres</w:t>
            </w:r>
          </w:p>
        </w:tc>
      </w:tr>
      <w:tr w:rsidR="002A4DDF" w:rsidRPr="00937C8B" w14:paraId="405B44E4" w14:textId="77777777" w:rsidTr="00935676">
        <w:trPr>
          <w:cantSplit/>
        </w:trPr>
        <w:tc>
          <w:tcPr>
            <w:tcW w:w="1696" w:type="dxa"/>
            <w:tcBorders>
              <w:left w:val="single" w:sz="4" w:space="0" w:color="auto"/>
            </w:tcBorders>
            <w:shd w:val="clear" w:color="auto" w:fill="auto"/>
          </w:tcPr>
          <w:p w14:paraId="475D776A" w14:textId="77777777" w:rsidR="002A4DDF" w:rsidRPr="00937C8B" w:rsidRDefault="002A4DDF" w:rsidP="009110ED">
            <w:pPr>
              <w:rPr>
                <w:rFonts w:ascii="Arial" w:hAnsi="Arial" w:cs="Arial"/>
                <w:sz w:val="12"/>
                <w:szCs w:val="12"/>
              </w:rPr>
            </w:pPr>
          </w:p>
        </w:tc>
        <w:tc>
          <w:tcPr>
            <w:tcW w:w="1843" w:type="dxa"/>
            <w:shd w:val="clear" w:color="auto" w:fill="auto"/>
          </w:tcPr>
          <w:p w14:paraId="67BAF612" w14:textId="77777777" w:rsidR="002A4DDF" w:rsidRPr="00937C8B" w:rsidRDefault="002A4DDF" w:rsidP="009110ED">
            <w:pPr>
              <w:rPr>
                <w:rFonts w:ascii="Arial" w:hAnsi="Arial" w:cs="Arial"/>
                <w:sz w:val="12"/>
                <w:szCs w:val="12"/>
              </w:rPr>
            </w:pPr>
          </w:p>
        </w:tc>
        <w:tc>
          <w:tcPr>
            <w:tcW w:w="2268" w:type="dxa"/>
            <w:shd w:val="clear" w:color="auto" w:fill="F2F2F2"/>
            <w:hideMark/>
          </w:tcPr>
          <w:p w14:paraId="0A7F0535" w14:textId="77777777" w:rsidR="002A4DDF" w:rsidRPr="00937C8B" w:rsidRDefault="002A4DDF" w:rsidP="009110ED">
            <w:pPr>
              <w:rPr>
                <w:rFonts w:ascii="Arial" w:hAnsi="Arial" w:cs="Arial"/>
                <w:sz w:val="12"/>
                <w:szCs w:val="12"/>
              </w:rPr>
            </w:pPr>
            <w:r>
              <w:rPr>
                <w:rFonts w:ascii="Arial" w:hAnsi="Arial"/>
                <w:sz w:val="12"/>
                <w:szCs w:val="12"/>
              </w:rPr>
              <w:t>Peñarroya-Pueblonuevo</w:t>
            </w:r>
          </w:p>
        </w:tc>
        <w:tc>
          <w:tcPr>
            <w:tcW w:w="2268" w:type="dxa"/>
            <w:tcBorders>
              <w:right w:val="single" w:sz="4" w:space="0" w:color="auto"/>
            </w:tcBorders>
            <w:shd w:val="clear" w:color="auto" w:fill="D9D9D9"/>
            <w:hideMark/>
          </w:tcPr>
          <w:p w14:paraId="45F76E9D" w14:textId="77777777" w:rsidR="002A4DDF" w:rsidRPr="00937C8B" w:rsidRDefault="002A4DDF" w:rsidP="009110ED">
            <w:pPr>
              <w:rPr>
                <w:rFonts w:ascii="Arial" w:hAnsi="Arial" w:cs="Arial"/>
                <w:sz w:val="12"/>
                <w:szCs w:val="12"/>
              </w:rPr>
            </w:pPr>
            <w:r>
              <w:rPr>
                <w:rFonts w:ascii="Arial" w:hAnsi="Arial"/>
                <w:sz w:val="12"/>
                <w:szCs w:val="12"/>
              </w:rPr>
              <w:t>El Guijo</w:t>
            </w:r>
          </w:p>
        </w:tc>
      </w:tr>
      <w:tr w:rsidR="002A4DDF" w:rsidRPr="00937C8B" w14:paraId="121928E9" w14:textId="77777777" w:rsidTr="00935676">
        <w:trPr>
          <w:cantSplit/>
        </w:trPr>
        <w:tc>
          <w:tcPr>
            <w:tcW w:w="1696" w:type="dxa"/>
            <w:tcBorders>
              <w:left w:val="single" w:sz="4" w:space="0" w:color="auto"/>
            </w:tcBorders>
            <w:shd w:val="clear" w:color="auto" w:fill="auto"/>
          </w:tcPr>
          <w:p w14:paraId="086EC017" w14:textId="77777777" w:rsidR="002A4DDF" w:rsidRPr="00937C8B" w:rsidRDefault="002A4DDF" w:rsidP="009110ED">
            <w:pPr>
              <w:rPr>
                <w:rFonts w:ascii="Arial" w:hAnsi="Arial" w:cs="Arial"/>
                <w:sz w:val="12"/>
                <w:szCs w:val="12"/>
              </w:rPr>
            </w:pPr>
          </w:p>
        </w:tc>
        <w:tc>
          <w:tcPr>
            <w:tcW w:w="1843" w:type="dxa"/>
            <w:shd w:val="clear" w:color="auto" w:fill="auto"/>
          </w:tcPr>
          <w:p w14:paraId="1BCBDCFE" w14:textId="77777777" w:rsidR="002A4DDF" w:rsidRPr="00937C8B" w:rsidRDefault="002A4DDF" w:rsidP="009110ED">
            <w:pPr>
              <w:rPr>
                <w:rFonts w:ascii="Arial" w:hAnsi="Arial" w:cs="Arial"/>
                <w:sz w:val="12"/>
                <w:szCs w:val="12"/>
              </w:rPr>
            </w:pPr>
          </w:p>
        </w:tc>
        <w:tc>
          <w:tcPr>
            <w:tcW w:w="2268" w:type="dxa"/>
            <w:shd w:val="clear" w:color="auto" w:fill="F2F2F2"/>
            <w:hideMark/>
          </w:tcPr>
          <w:p w14:paraId="76E9BD4F" w14:textId="77777777" w:rsidR="002A4DDF" w:rsidRPr="00937C8B" w:rsidRDefault="002A4DDF" w:rsidP="009110ED">
            <w:pPr>
              <w:rPr>
                <w:rFonts w:ascii="Arial" w:hAnsi="Arial" w:cs="Arial"/>
                <w:sz w:val="12"/>
                <w:szCs w:val="12"/>
              </w:rPr>
            </w:pPr>
            <w:r>
              <w:rPr>
                <w:rFonts w:ascii="Arial" w:hAnsi="Arial"/>
                <w:sz w:val="12"/>
                <w:szCs w:val="12"/>
              </w:rPr>
              <w:t>Posadas</w:t>
            </w:r>
          </w:p>
        </w:tc>
        <w:tc>
          <w:tcPr>
            <w:tcW w:w="2268" w:type="dxa"/>
            <w:tcBorders>
              <w:right w:val="single" w:sz="4" w:space="0" w:color="auto"/>
            </w:tcBorders>
            <w:shd w:val="clear" w:color="auto" w:fill="D9D9D9"/>
            <w:hideMark/>
          </w:tcPr>
          <w:p w14:paraId="00107305" w14:textId="77777777" w:rsidR="002A4DDF" w:rsidRPr="00937C8B" w:rsidRDefault="002A4DDF" w:rsidP="009110ED">
            <w:pPr>
              <w:rPr>
                <w:rFonts w:ascii="Arial" w:hAnsi="Arial" w:cs="Arial"/>
                <w:sz w:val="12"/>
                <w:szCs w:val="12"/>
              </w:rPr>
            </w:pPr>
            <w:r>
              <w:rPr>
                <w:rFonts w:ascii="Arial" w:hAnsi="Arial"/>
                <w:sz w:val="12"/>
                <w:szCs w:val="12"/>
              </w:rPr>
              <w:t>El Viso</w:t>
            </w:r>
          </w:p>
        </w:tc>
      </w:tr>
      <w:tr w:rsidR="002A4DDF" w:rsidRPr="00937C8B" w14:paraId="1055DCA1" w14:textId="77777777" w:rsidTr="00935676">
        <w:trPr>
          <w:cantSplit/>
        </w:trPr>
        <w:tc>
          <w:tcPr>
            <w:tcW w:w="1696" w:type="dxa"/>
            <w:tcBorders>
              <w:left w:val="single" w:sz="4" w:space="0" w:color="auto"/>
            </w:tcBorders>
            <w:shd w:val="clear" w:color="auto" w:fill="auto"/>
          </w:tcPr>
          <w:p w14:paraId="6A433EEC" w14:textId="77777777" w:rsidR="002A4DDF" w:rsidRPr="00937C8B" w:rsidRDefault="002A4DDF" w:rsidP="009110ED">
            <w:pPr>
              <w:rPr>
                <w:rFonts w:ascii="Arial" w:hAnsi="Arial" w:cs="Arial"/>
                <w:sz w:val="12"/>
                <w:szCs w:val="12"/>
              </w:rPr>
            </w:pPr>
          </w:p>
        </w:tc>
        <w:tc>
          <w:tcPr>
            <w:tcW w:w="1843" w:type="dxa"/>
            <w:shd w:val="clear" w:color="auto" w:fill="auto"/>
          </w:tcPr>
          <w:p w14:paraId="30D1C7C9" w14:textId="77777777" w:rsidR="002A4DDF" w:rsidRPr="00937C8B" w:rsidRDefault="002A4DDF" w:rsidP="009110ED">
            <w:pPr>
              <w:rPr>
                <w:rFonts w:ascii="Arial" w:hAnsi="Arial" w:cs="Arial"/>
                <w:sz w:val="12"/>
                <w:szCs w:val="12"/>
              </w:rPr>
            </w:pPr>
          </w:p>
        </w:tc>
        <w:tc>
          <w:tcPr>
            <w:tcW w:w="2268" w:type="dxa"/>
            <w:shd w:val="clear" w:color="auto" w:fill="F2F2F2"/>
            <w:hideMark/>
          </w:tcPr>
          <w:p w14:paraId="7AEA286E" w14:textId="77777777" w:rsidR="002A4DDF" w:rsidRPr="00937C8B" w:rsidRDefault="002A4DDF" w:rsidP="009110ED">
            <w:pPr>
              <w:rPr>
                <w:rFonts w:ascii="Arial" w:hAnsi="Arial" w:cs="Arial"/>
                <w:sz w:val="12"/>
                <w:szCs w:val="12"/>
              </w:rPr>
            </w:pPr>
            <w:r>
              <w:rPr>
                <w:rFonts w:ascii="Arial" w:hAnsi="Arial"/>
                <w:sz w:val="12"/>
                <w:szCs w:val="12"/>
              </w:rPr>
              <w:t>Villafranca de Córdoba</w:t>
            </w:r>
          </w:p>
        </w:tc>
        <w:tc>
          <w:tcPr>
            <w:tcW w:w="2268" w:type="dxa"/>
            <w:tcBorders>
              <w:right w:val="single" w:sz="4" w:space="0" w:color="auto"/>
            </w:tcBorders>
            <w:shd w:val="clear" w:color="auto" w:fill="D9D9D9"/>
            <w:hideMark/>
          </w:tcPr>
          <w:p w14:paraId="041E0FEE" w14:textId="77777777" w:rsidR="002A4DDF" w:rsidRPr="00937C8B" w:rsidRDefault="002A4DDF" w:rsidP="009110ED">
            <w:pPr>
              <w:rPr>
                <w:rFonts w:ascii="Arial" w:hAnsi="Arial" w:cs="Arial"/>
                <w:sz w:val="12"/>
                <w:szCs w:val="12"/>
              </w:rPr>
            </w:pPr>
            <w:r>
              <w:rPr>
                <w:rFonts w:ascii="Arial" w:hAnsi="Arial"/>
                <w:sz w:val="12"/>
                <w:szCs w:val="12"/>
              </w:rPr>
              <w:t>Fuente la Lancha</w:t>
            </w:r>
          </w:p>
        </w:tc>
      </w:tr>
      <w:tr w:rsidR="002A4DDF" w:rsidRPr="00937C8B" w14:paraId="13AF689A" w14:textId="77777777" w:rsidTr="00935676">
        <w:trPr>
          <w:cantSplit/>
        </w:trPr>
        <w:tc>
          <w:tcPr>
            <w:tcW w:w="1696" w:type="dxa"/>
            <w:tcBorders>
              <w:left w:val="single" w:sz="4" w:space="0" w:color="auto"/>
            </w:tcBorders>
            <w:shd w:val="clear" w:color="auto" w:fill="auto"/>
          </w:tcPr>
          <w:p w14:paraId="48FDC4AF" w14:textId="77777777" w:rsidR="002A4DDF" w:rsidRPr="00937C8B" w:rsidRDefault="002A4DDF" w:rsidP="009110ED">
            <w:pPr>
              <w:rPr>
                <w:rFonts w:ascii="Arial" w:hAnsi="Arial" w:cs="Arial"/>
                <w:sz w:val="12"/>
                <w:szCs w:val="12"/>
              </w:rPr>
            </w:pPr>
          </w:p>
        </w:tc>
        <w:tc>
          <w:tcPr>
            <w:tcW w:w="1843" w:type="dxa"/>
            <w:shd w:val="clear" w:color="auto" w:fill="auto"/>
          </w:tcPr>
          <w:p w14:paraId="4A6F5041" w14:textId="77777777" w:rsidR="002A4DDF" w:rsidRPr="00937C8B" w:rsidRDefault="002A4DDF" w:rsidP="009110ED">
            <w:pPr>
              <w:rPr>
                <w:rFonts w:ascii="Arial" w:hAnsi="Arial" w:cs="Arial"/>
                <w:sz w:val="12"/>
                <w:szCs w:val="12"/>
              </w:rPr>
            </w:pPr>
          </w:p>
        </w:tc>
        <w:tc>
          <w:tcPr>
            <w:tcW w:w="2268" w:type="dxa"/>
            <w:shd w:val="clear" w:color="auto" w:fill="F2F2F2"/>
            <w:hideMark/>
          </w:tcPr>
          <w:p w14:paraId="2B66AFEC" w14:textId="77777777" w:rsidR="002A4DDF" w:rsidRPr="00937C8B" w:rsidRDefault="002A4DDF" w:rsidP="009110ED">
            <w:pPr>
              <w:rPr>
                <w:rFonts w:ascii="Arial" w:hAnsi="Arial" w:cs="Arial"/>
                <w:sz w:val="12"/>
                <w:szCs w:val="12"/>
              </w:rPr>
            </w:pPr>
            <w:r>
              <w:rPr>
                <w:rFonts w:ascii="Arial" w:hAnsi="Arial"/>
                <w:sz w:val="12"/>
                <w:szCs w:val="12"/>
              </w:rPr>
              <w:t>Villaharta</w:t>
            </w:r>
          </w:p>
        </w:tc>
        <w:tc>
          <w:tcPr>
            <w:tcW w:w="2268" w:type="dxa"/>
            <w:tcBorders>
              <w:right w:val="single" w:sz="4" w:space="0" w:color="auto"/>
            </w:tcBorders>
            <w:shd w:val="clear" w:color="auto" w:fill="D9D9D9"/>
            <w:hideMark/>
          </w:tcPr>
          <w:p w14:paraId="1D77B033" w14:textId="77777777" w:rsidR="002A4DDF" w:rsidRPr="00937C8B" w:rsidRDefault="002A4DDF" w:rsidP="009110ED">
            <w:pPr>
              <w:rPr>
                <w:rFonts w:ascii="Arial" w:hAnsi="Arial" w:cs="Arial"/>
                <w:sz w:val="12"/>
                <w:szCs w:val="12"/>
              </w:rPr>
            </w:pPr>
            <w:r>
              <w:rPr>
                <w:rFonts w:ascii="Arial" w:hAnsi="Arial"/>
                <w:sz w:val="12"/>
                <w:szCs w:val="12"/>
              </w:rPr>
              <w:t>Fuente Obejuna</w:t>
            </w:r>
          </w:p>
        </w:tc>
      </w:tr>
      <w:tr w:rsidR="002A4DDF" w:rsidRPr="00937C8B" w14:paraId="06F40A3C" w14:textId="77777777" w:rsidTr="00935676">
        <w:trPr>
          <w:cantSplit/>
        </w:trPr>
        <w:tc>
          <w:tcPr>
            <w:tcW w:w="1696" w:type="dxa"/>
            <w:tcBorders>
              <w:left w:val="single" w:sz="4" w:space="0" w:color="auto"/>
            </w:tcBorders>
            <w:shd w:val="clear" w:color="auto" w:fill="auto"/>
          </w:tcPr>
          <w:p w14:paraId="4B4C87C7" w14:textId="77777777" w:rsidR="002A4DDF" w:rsidRPr="00937C8B" w:rsidRDefault="002A4DDF" w:rsidP="009110ED">
            <w:pPr>
              <w:rPr>
                <w:rFonts w:ascii="Arial" w:hAnsi="Arial" w:cs="Arial"/>
                <w:sz w:val="12"/>
                <w:szCs w:val="12"/>
              </w:rPr>
            </w:pPr>
          </w:p>
        </w:tc>
        <w:tc>
          <w:tcPr>
            <w:tcW w:w="1843" w:type="dxa"/>
            <w:shd w:val="clear" w:color="auto" w:fill="auto"/>
          </w:tcPr>
          <w:p w14:paraId="5201C119" w14:textId="77777777" w:rsidR="002A4DDF" w:rsidRPr="00937C8B" w:rsidRDefault="002A4DDF" w:rsidP="009110ED">
            <w:pPr>
              <w:rPr>
                <w:rFonts w:ascii="Arial" w:hAnsi="Arial" w:cs="Arial"/>
                <w:sz w:val="12"/>
                <w:szCs w:val="12"/>
              </w:rPr>
            </w:pPr>
          </w:p>
        </w:tc>
        <w:tc>
          <w:tcPr>
            <w:tcW w:w="2268" w:type="dxa"/>
            <w:shd w:val="clear" w:color="auto" w:fill="F2F2F2"/>
            <w:hideMark/>
          </w:tcPr>
          <w:p w14:paraId="2859B3D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4547408" w14:textId="77777777" w:rsidR="002A4DDF" w:rsidRPr="00937C8B" w:rsidRDefault="002A4DDF" w:rsidP="009110ED">
            <w:pPr>
              <w:rPr>
                <w:rFonts w:ascii="Arial" w:hAnsi="Arial" w:cs="Arial"/>
                <w:sz w:val="12"/>
                <w:szCs w:val="12"/>
              </w:rPr>
            </w:pPr>
            <w:r>
              <w:rPr>
                <w:rFonts w:ascii="Arial" w:hAnsi="Arial"/>
                <w:sz w:val="12"/>
                <w:szCs w:val="12"/>
              </w:rPr>
              <w:t>Hinojosa del Duque</w:t>
            </w:r>
          </w:p>
        </w:tc>
      </w:tr>
      <w:tr w:rsidR="002A4DDF" w:rsidRPr="00937C8B" w14:paraId="64B903EB" w14:textId="77777777" w:rsidTr="00935676">
        <w:trPr>
          <w:cantSplit/>
        </w:trPr>
        <w:tc>
          <w:tcPr>
            <w:tcW w:w="1696" w:type="dxa"/>
            <w:tcBorders>
              <w:left w:val="single" w:sz="4" w:space="0" w:color="auto"/>
            </w:tcBorders>
            <w:shd w:val="clear" w:color="auto" w:fill="auto"/>
          </w:tcPr>
          <w:p w14:paraId="5B396388" w14:textId="77777777" w:rsidR="002A4DDF" w:rsidRPr="00937C8B" w:rsidRDefault="002A4DDF" w:rsidP="009110ED">
            <w:pPr>
              <w:rPr>
                <w:rFonts w:ascii="Arial" w:hAnsi="Arial" w:cs="Arial"/>
                <w:sz w:val="12"/>
                <w:szCs w:val="12"/>
              </w:rPr>
            </w:pPr>
          </w:p>
        </w:tc>
        <w:tc>
          <w:tcPr>
            <w:tcW w:w="1843" w:type="dxa"/>
            <w:shd w:val="clear" w:color="auto" w:fill="auto"/>
          </w:tcPr>
          <w:p w14:paraId="43AC3A0A" w14:textId="77777777" w:rsidR="002A4DDF" w:rsidRPr="00937C8B" w:rsidRDefault="002A4DDF" w:rsidP="009110ED">
            <w:pPr>
              <w:rPr>
                <w:rFonts w:ascii="Arial" w:hAnsi="Arial" w:cs="Arial"/>
                <w:sz w:val="12"/>
                <w:szCs w:val="12"/>
              </w:rPr>
            </w:pPr>
          </w:p>
        </w:tc>
        <w:tc>
          <w:tcPr>
            <w:tcW w:w="2268" w:type="dxa"/>
            <w:shd w:val="clear" w:color="auto" w:fill="F2F2F2"/>
            <w:hideMark/>
          </w:tcPr>
          <w:p w14:paraId="413B5F1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DBC87F8" w14:textId="77777777" w:rsidR="002A4DDF" w:rsidRPr="00937C8B" w:rsidRDefault="002A4DDF" w:rsidP="009110ED">
            <w:pPr>
              <w:rPr>
                <w:rFonts w:ascii="Arial" w:hAnsi="Arial" w:cs="Arial"/>
                <w:sz w:val="12"/>
                <w:szCs w:val="12"/>
              </w:rPr>
            </w:pPr>
            <w:r>
              <w:rPr>
                <w:rFonts w:ascii="Arial" w:hAnsi="Arial"/>
                <w:sz w:val="12"/>
                <w:szCs w:val="12"/>
              </w:rPr>
              <w:t>Obejo</w:t>
            </w:r>
          </w:p>
        </w:tc>
      </w:tr>
      <w:tr w:rsidR="002A4DDF" w:rsidRPr="00937C8B" w14:paraId="465FE105" w14:textId="77777777" w:rsidTr="00935676">
        <w:trPr>
          <w:cantSplit/>
        </w:trPr>
        <w:tc>
          <w:tcPr>
            <w:tcW w:w="1696" w:type="dxa"/>
            <w:tcBorders>
              <w:left w:val="single" w:sz="4" w:space="0" w:color="auto"/>
            </w:tcBorders>
            <w:shd w:val="clear" w:color="auto" w:fill="auto"/>
          </w:tcPr>
          <w:p w14:paraId="28D82B82" w14:textId="77777777" w:rsidR="002A4DDF" w:rsidRPr="00937C8B" w:rsidRDefault="002A4DDF" w:rsidP="009110ED">
            <w:pPr>
              <w:rPr>
                <w:rFonts w:ascii="Arial" w:hAnsi="Arial" w:cs="Arial"/>
                <w:sz w:val="12"/>
                <w:szCs w:val="12"/>
              </w:rPr>
            </w:pPr>
          </w:p>
        </w:tc>
        <w:tc>
          <w:tcPr>
            <w:tcW w:w="1843" w:type="dxa"/>
            <w:shd w:val="clear" w:color="auto" w:fill="auto"/>
          </w:tcPr>
          <w:p w14:paraId="0809EB9A" w14:textId="77777777" w:rsidR="002A4DDF" w:rsidRPr="00937C8B" w:rsidRDefault="002A4DDF" w:rsidP="009110ED">
            <w:pPr>
              <w:rPr>
                <w:rFonts w:ascii="Arial" w:hAnsi="Arial" w:cs="Arial"/>
                <w:sz w:val="12"/>
                <w:szCs w:val="12"/>
              </w:rPr>
            </w:pPr>
          </w:p>
        </w:tc>
        <w:tc>
          <w:tcPr>
            <w:tcW w:w="2268" w:type="dxa"/>
            <w:shd w:val="clear" w:color="auto" w:fill="F2F2F2"/>
            <w:hideMark/>
          </w:tcPr>
          <w:p w14:paraId="7FA0307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F6FFD94" w14:textId="77777777" w:rsidR="002A4DDF" w:rsidRPr="00937C8B" w:rsidRDefault="002A4DDF" w:rsidP="009110ED">
            <w:pPr>
              <w:rPr>
                <w:rFonts w:ascii="Arial" w:hAnsi="Arial" w:cs="Arial"/>
                <w:sz w:val="12"/>
                <w:szCs w:val="12"/>
              </w:rPr>
            </w:pPr>
            <w:r>
              <w:rPr>
                <w:rFonts w:ascii="Arial" w:hAnsi="Arial"/>
                <w:sz w:val="12"/>
                <w:szCs w:val="12"/>
              </w:rPr>
              <w:t>Pedroche</w:t>
            </w:r>
          </w:p>
        </w:tc>
      </w:tr>
      <w:tr w:rsidR="002A4DDF" w:rsidRPr="00937C8B" w14:paraId="0A232BF7" w14:textId="77777777" w:rsidTr="00935676">
        <w:trPr>
          <w:cantSplit/>
        </w:trPr>
        <w:tc>
          <w:tcPr>
            <w:tcW w:w="1696" w:type="dxa"/>
            <w:tcBorders>
              <w:left w:val="single" w:sz="4" w:space="0" w:color="auto"/>
            </w:tcBorders>
            <w:shd w:val="clear" w:color="auto" w:fill="auto"/>
          </w:tcPr>
          <w:p w14:paraId="674856E1" w14:textId="77777777" w:rsidR="002A4DDF" w:rsidRPr="00937C8B" w:rsidRDefault="002A4DDF" w:rsidP="009110ED">
            <w:pPr>
              <w:rPr>
                <w:rFonts w:ascii="Arial" w:hAnsi="Arial" w:cs="Arial"/>
                <w:sz w:val="12"/>
                <w:szCs w:val="12"/>
              </w:rPr>
            </w:pPr>
          </w:p>
        </w:tc>
        <w:tc>
          <w:tcPr>
            <w:tcW w:w="1843" w:type="dxa"/>
            <w:shd w:val="clear" w:color="auto" w:fill="auto"/>
          </w:tcPr>
          <w:p w14:paraId="5D39DC50" w14:textId="77777777" w:rsidR="002A4DDF" w:rsidRPr="00937C8B" w:rsidRDefault="002A4DDF" w:rsidP="009110ED">
            <w:pPr>
              <w:rPr>
                <w:rFonts w:ascii="Arial" w:hAnsi="Arial" w:cs="Arial"/>
                <w:sz w:val="12"/>
                <w:szCs w:val="12"/>
              </w:rPr>
            </w:pPr>
          </w:p>
        </w:tc>
        <w:tc>
          <w:tcPr>
            <w:tcW w:w="2268" w:type="dxa"/>
            <w:shd w:val="clear" w:color="auto" w:fill="F2F2F2"/>
            <w:hideMark/>
          </w:tcPr>
          <w:p w14:paraId="0FC5DC7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4A71D7E" w14:textId="77777777" w:rsidR="002A4DDF" w:rsidRPr="00937C8B" w:rsidRDefault="002A4DDF" w:rsidP="009110ED">
            <w:pPr>
              <w:rPr>
                <w:rFonts w:ascii="Arial" w:hAnsi="Arial" w:cs="Arial"/>
                <w:sz w:val="12"/>
                <w:szCs w:val="12"/>
              </w:rPr>
            </w:pPr>
            <w:r>
              <w:rPr>
                <w:rFonts w:ascii="Arial" w:hAnsi="Arial"/>
                <w:sz w:val="12"/>
                <w:szCs w:val="12"/>
              </w:rPr>
              <w:t>Pozoblanco</w:t>
            </w:r>
          </w:p>
        </w:tc>
      </w:tr>
      <w:tr w:rsidR="002A4DDF" w:rsidRPr="00937C8B" w14:paraId="1E22426F" w14:textId="77777777" w:rsidTr="00935676">
        <w:trPr>
          <w:cantSplit/>
        </w:trPr>
        <w:tc>
          <w:tcPr>
            <w:tcW w:w="1696" w:type="dxa"/>
            <w:tcBorders>
              <w:left w:val="single" w:sz="4" w:space="0" w:color="auto"/>
            </w:tcBorders>
            <w:shd w:val="clear" w:color="auto" w:fill="auto"/>
          </w:tcPr>
          <w:p w14:paraId="025A5742" w14:textId="77777777" w:rsidR="002A4DDF" w:rsidRPr="00937C8B" w:rsidRDefault="002A4DDF" w:rsidP="009110ED">
            <w:pPr>
              <w:rPr>
                <w:rFonts w:ascii="Arial" w:hAnsi="Arial" w:cs="Arial"/>
                <w:sz w:val="12"/>
                <w:szCs w:val="12"/>
              </w:rPr>
            </w:pPr>
          </w:p>
        </w:tc>
        <w:tc>
          <w:tcPr>
            <w:tcW w:w="1843" w:type="dxa"/>
            <w:shd w:val="clear" w:color="auto" w:fill="auto"/>
          </w:tcPr>
          <w:p w14:paraId="5ED23F1D" w14:textId="77777777" w:rsidR="002A4DDF" w:rsidRPr="00937C8B" w:rsidRDefault="002A4DDF" w:rsidP="009110ED">
            <w:pPr>
              <w:rPr>
                <w:rFonts w:ascii="Arial" w:hAnsi="Arial" w:cs="Arial"/>
                <w:sz w:val="12"/>
                <w:szCs w:val="12"/>
              </w:rPr>
            </w:pPr>
          </w:p>
        </w:tc>
        <w:tc>
          <w:tcPr>
            <w:tcW w:w="2268" w:type="dxa"/>
            <w:shd w:val="clear" w:color="auto" w:fill="F2F2F2"/>
            <w:hideMark/>
          </w:tcPr>
          <w:p w14:paraId="42CC27F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D25CC7A" w14:textId="77777777" w:rsidR="002A4DDF" w:rsidRPr="00937C8B" w:rsidRDefault="002A4DDF" w:rsidP="009110ED">
            <w:pPr>
              <w:rPr>
                <w:rFonts w:ascii="Arial" w:hAnsi="Arial" w:cs="Arial"/>
                <w:sz w:val="12"/>
                <w:szCs w:val="12"/>
              </w:rPr>
            </w:pPr>
            <w:r>
              <w:rPr>
                <w:rFonts w:ascii="Arial" w:hAnsi="Arial"/>
                <w:sz w:val="12"/>
                <w:szCs w:val="12"/>
              </w:rPr>
              <w:t>Santa Eufemia</w:t>
            </w:r>
          </w:p>
        </w:tc>
      </w:tr>
      <w:tr w:rsidR="002A4DDF" w:rsidRPr="00937C8B" w14:paraId="305899A2" w14:textId="77777777" w:rsidTr="00935676">
        <w:trPr>
          <w:cantSplit/>
        </w:trPr>
        <w:tc>
          <w:tcPr>
            <w:tcW w:w="1696" w:type="dxa"/>
            <w:tcBorders>
              <w:left w:val="single" w:sz="4" w:space="0" w:color="auto"/>
            </w:tcBorders>
            <w:shd w:val="clear" w:color="auto" w:fill="auto"/>
          </w:tcPr>
          <w:p w14:paraId="235B5532" w14:textId="77777777" w:rsidR="002A4DDF" w:rsidRPr="00937C8B" w:rsidRDefault="002A4DDF" w:rsidP="009110ED">
            <w:pPr>
              <w:rPr>
                <w:rFonts w:ascii="Arial" w:hAnsi="Arial" w:cs="Arial"/>
                <w:sz w:val="12"/>
                <w:szCs w:val="12"/>
              </w:rPr>
            </w:pPr>
          </w:p>
        </w:tc>
        <w:tc>
          <w:tcPr>
            <w:tcW w:w="1843" w:type="dxa"/>
            <w:shd w:val="clear" w:color="auto" w:fill="auto"/>
          </w:tcPr>
          <w:p w14:paraId="01E033D6" w14:textId="77777777" w:rsidR="002A4DDF" w:rsidRPr="00937C8B" w:rsidRDefault="002A4DDF" w:rsidP="009110ED">
            <w:pPr>
              <w:rPr>
                <w:rFonts w:ascii="Arial" w:hAnsi="Arial" w:cs="Arial"/>
                <w:sz w:val="12"/>
                <w:szCs w:val="12"/>
              </w:rPr>
            </w:pPr>
          </w:p>
        </w:tc>
        <w:tc>
          <w:tcPr>
            <w:tcW w:w="2268" w:type="dxa"/>
            <w:shd w:val="clear" w:color="auto" w:fill="F2F2F2"/>
            <w:hideMark/>
          </w:tcPr>
          <w:p w14:paraId="113155F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CBB8135" w14:textId="77777777" w:rsidR="002A4DDF" w:rsidRPr="00937C8B" w:rsidRDefault="002A4DDF" w:rsidP="009110ED">
            <w:pPr>
              <w:rPr>
                <w:rFonts w:ascii="Arial" w:hAnsi="Arial" w:cs="Arial"/>
                <w:sz w:val="12"/>
                <w:szCs w:val="12"/>
              </w:rPr>
            </w:pPr>
            <w:r>
              <w:rPr>
                <w:rFonts w:ascii="Arial" w:hAnsi="Arial"/>
                <w:sz w:val="12"/>
                <w:szCs w:val="12"/>
              </w:rPr>
              <w:t>Torrecampo</w:t>
            </w:r>
          </w:p>
        </w:tc>
      </w:tr>
      <w:tr w:rsidR="002A4DDF" w:rsidRPr="00937C8B" w14:paraId="7E1BA226" w14:textId="77777777" w:rsidTr="00935676">
        <w:trPr>
          <w:cantSplit/>
        </w:trPr>
        <w:tc>
          <w:tcPr>
            <w:tcW w:w="1696" w:type="dxa"/>
            <w:tcBorders>
              <w:left w:val="single" w:sz="4" w:space="0" w:color="auto"/>
            </w:tcBorders>
            <w:shd w:val="clear" w:color="auto" w:fill="auto"/>
          </w:tcPr>
          <w:p w14:paraId="520AAB5A" w14:textId="77777777" w:rsidR="002A4DDF" w:rsidRPr="00937C8B" w:rsidRDefault="002A4DDF" w:rsidP="009110ED">
            <w:pPr>
              <w:rPr>
                <w:rFonts w:ascii="Arial" w:hAnsi="Arial" w:cs="Arial"/>
                <w:sz w:val="12"/>
                <w:szCs w:val="12"/>
              </w:rPr>
            </w:pPr>
          </w:p>
        </w:tc>
        <w:tc>
          <w:tcPr>
            <w:tcW w:w="1843" w:type="dxa"/>
            <w:shd w:val="clear" w:color="auto" w:fill="auto"/>
          </w:tcPr>
          <w:p w14:paraId="7E5C6AD1" w14:textId="77777777" w:rsidR="002A4DDF" w:rsidRPr="00937C8B" w:rsidRDefault="002A4DDF" w:rsidP="009110ED">
            <w:pPr>
              <w:rPr>
                <w:rFonts w:ascii="Arial" w:hAnsi="Arial" w:cs="Arial"/>
                <w:sz w:val="12"/>
                <w:szCs w:val="12"/>
              </w:rPr>
            </w:pPr>
          </w:p>
        </w:tc>
        <w:tc>
          <w:tcPr>
            <w:tcW w:w="2268" w:type="dxa"/>
            <w:shd w:val="clear" w:color="auto" w:fill="F2F2F2"/>
            <w:hideMark/>
          </w:tcPr>
          <w:p w14:paraId="3A7ACCF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414D427" w14:textId="77777777" w:rsidR="002A4DDF" w:rsidRPr="00937C8B" w:rsidRDefault="002A4DDF" w:rsidP="009110ED">
            <w:pPr>
              <w:rPr>
                <w:rFonts w:ascii="Arial" w:hAnsi="Arial" w:cs="Arial"/>
                <w:sz w:val="12"/>
                <w:szCs w:val="12"/>
              </w:rPr>
            </w:pPr>
            <w:r>
              <w:rPr>
                <w:rFonts w:ascii="Arial" w:hAnsi="Arial"/>
                <w:sz w:val="12"/>
                <w:szCs w:val="12"/>
              </w:rPr>
              <w:t>Valsequillo</w:t>
            </w:r>
          </w:p>
        </w:tc>
      </w:tr>
      <w:tr w:rsidR="002A4DDF" w:rsidRPr="00937C8B" w14:paraId="3F79FADA" w14:textId="77777777" w:rsidTr="00935676">
        <w:trPr>
          <w:cantSplit/>
        </w:trPr>
        <w:tc>
          <w:tcPr>
            <w:tcW w:w="1696" w:type="dxa"/>
            <w:tcBorders>
              <w:left w:val="single" w:sz="4" w:space="0" w:color="auto"/>
            </w:tcBorders>
            <w:shd w:val="clear" w:color="auto" w:fill="auto"/>
          </w:tcPr>
          <w:p w14:paraId="05287EAC" w14:textId="77777777" w:rsidR="002A4DDF" w:rsidRPr="00937C8B" w:rsidRDefault="002A4DDF" w:rsidP="009110ED">
            <w:pPr>
              <w:rPr>
                <w:rFonts w:ascii="Arial" w:hAnsi="Arial" w:cs="Arial"/>
                <w:sz w:val="12"/>
                <w:szCs w:val="12"/>
              </w:rPr>
            </w:pPr>
          </w:p>
        </w:tc>
        <w:tc>
          <w:tcPr>
            <w:tcW w:w="1843" w:type="dxa"/>
            <w:shd w:val="clear" w:color="auto" w:fill="auto"/>
          </w:tcPr>
          <w:p w14:paraId="7D90517D" w14:textId="77777777" w:rsidR="002A4DDF" w:rsidRPr="00937C8B" w:rsidRDefault="002A4DDF" w:rsidP="009110ED">
            <w:pPr>
              <w:rPr>
                <w:rFonts w:ascii="Arial" w:hAnsi="Arial" w:cs="Arial"/>
                <w:sz w:val="12"/>
                <w:szCs w:val="12"/>
              </w:rPr>
            </w:pPr>
          </w:p>
        </w:tc>
        <w:tc>
          <w:tcPr>
            <w:tcW w:w="2268" w:type="dxa"/>
            <w:shd w:val="clear" w:color="auto" w:fill="F2F2F2"/>
            <w:hideMark/>
          </w:tcPr>
          <w:p w14:paraId="249333C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E362D70" w14:textId="77777777" w:rsidR="002A4DDF" w:rsidRPr="00937C8B" w:rsidRDefault="002A4DDF" w:rsidP="009110ED">
            <w:pPr>
              <w:rPr>
                <w:rFonts w:ascii="Arial" w:hAnsi="Arial" w:cs="Arial"/>
                <w:sz w:val="12"/>
                <w:szCs w:val="12"/>
              </w:rPr>
            </w:pPr>
            <w:r>
              <w:rPr>
                <w:rFonts w:ascii="Arial" w:hAnsi="Arial"/>
                <w:sz w:val="12"/>
                <w:szCs w:val="12"/>
              </w:rPr>
              <w:t>Villanueva de Córdoba</w:t>
            </w:r>
          </w:p>
        </w:tc>
      </w:tr>
      <w:tr w:rsidR="002A4DDF" w:rsidRPr="00937C8B" w14:paraId="672A9AD3" w14:textId="77777777" w:rsidTr="00935676">
        <w:trPr>
          <w:cantSplit/>
        </w:trPr>
        <w:tc>
          <w:tcPr>
            <w:tcW w:w="1696" w:type="dxa"/>
            <w:tcBorders>
              <w:left w:val="single" w:sz="4" w:space="0" w:color="auto"/>
            </w:tcBorders>
            <w:shd w:val="clear" w:color="auto" w:fill="auto"/>
          </w:tcPr>
          <w:p w14:paraId="45995CE1" w14:textId="77777777" w:rsidR="002A4DDF" w:rsidRPr="00937C8B" w:rsidRDefault="002A4DDF" w:rsidP="009110ED">
            <w:pPr>
              <w:rPr>
                <w:rFonts w:ascii="Arial" w:hAnsi="Arial" w:cs="Arial"/>
                <w:sz w:val="12"/>
                <w:szCs w:val="12"/>
              </w:rPr>
            </w:pPr>
          </w:p>
        </w:tc>
        <w:tc>
          <w:tcPr>
            <w:tcW w:w="1843" w:type="dxa"/>
            <w:shd w:val="clear" w:color="auto" w:fill="auto"/>
          </w:tcPr>
          <w:p w14:paraId="278CFBDB" w14:textId="77777777" w:rsidR="002A4DDF" w:rsidRPr="00937C8B" w:rsidRDefault="002A4DDF" w:rsidP="009110ED">
            <w:pPr>
              <w:rPr>
                <w:rFonts w:ascii="Arial" w:hAnsi="Arial" w:cs="Arial"/>
                <w:sz w:val="12"/>
                <w:szCs w:val="12"/>
              </w:rPr>
            </w:pPr>
          </w:p>
        </w:tc>
        <w:tc>
          <w:tcPr>
            <w:tcW w:w="2268" w:type="dxa"/>
            <w:shd w:val="clear" w:color="auto" w:fill="F2F2F2"/>
            <w:hideMark/>
          </w:tcPr>
          <w:p w14:paraId="66A6CB6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7D66698" w14:textId="77777777" w:rsidR="002A4DDF" w:rsidRPr="00937C8B" w:rsidRDefault="002A4DDF" w:rsidP="009110ED">
            <w:pPr>
              <w:rPr>
                <w:rFonts w:ascii="Arial" w:hAnsi="Arial" w:cs="Arial"/>
                <w:sz w:val="12"/>
                <w:szCs w:val="12"/>
              </w:rPr>
            </w:pPr>
            <w:r>
              <w:rPr>
                <w:rFonts w:ascii="Arial" w:hAnsi="Arial"/>
                <w:sz w:val="12"/>
                <w:szCs w:val="12"/>
              </w:rPr>
              <w:t>Villanueva del Duque</w:t>
            </w:r>
          </w:p>
        </w:tc>
      </w:tr>
      <w:tr w:rsidR="002A4DDF" w:rsidRPr="00937C8B" w14:paraId="27CC38E5" w14:textId="77777777" w:rsidTr="00935676">
        <w:trPr>
          <w:cantSplit/>
        </w:trPr>
        <w:tc>
          <w:tcPr>
            <w:tcW w:w="1696" w:type="dxa"/>
            <w:tcBorders>
              <w:left w:val="single" w:sz="4" w:space="0" w:color="auto"/>
            </w:tcBorders>
            <w:shd w:val="clear" w:color="auto" w:fill="auto"/>
          </w:tcPr>
          <w:p w14:paraId="68828709" w14:textId="77777777" w:rsidR="002A4DDF" w:rsidRPr="00937C8B" w:rsidRDefault="002A4DDF" w:rsidP="009110ED">
            <w:pPr>
              <w:rPr>
                <w:rFonts w:ascii="Arial" w:hAnsi="Arial" w:cs="Arial"/>
                <w:sz w:val="12"/>
                <w:szCs w:val="12"/>
              </w:rPr>
            </w:pPr>
          </w:p>
        </w:tc>
        <w:tc>
          <w:tcPr>
            <w:tcW w:w="1843" w:type="dxa"/>
            <w:shd w:val="clear" w:color="auto" w:fill="auto"/>
          </w:tcPr>
          <w:p w14:paraId="7283642B" w14:textId="77777777" w:rsidR="002A4DDF" w:rsidRPr="00937C8B" w:rsidRDefault="002A4DDF" w:rsidP="009110ED">
            <w:pPr>
              <w:rPr>
                <w:rFonts w:ascii="Arial" w:hAnsi="Arial" w:cs="Arial"/>
                <w:sz w:val="12"/>
                <w:szCs w:val="12"/>
              </w:rPr>
            </w:pPr>
          </w:p>
        </w:tc>
        <w:tc>
          <w:tcPr>
            <w:tcW w:w="2268" w:type="dxa"/>
            <w:shd w:val="clear" w:color="auto" w:fill="F2F2F2"/>
            <w:hideMark/>
          </w:tcPr>
          <w:p w14:paraId="35A6C82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A591D77" w14:textId="77777777" w:rsidR="002A4DDF" w:rsidRPr="00937C8B" w:rsidRDefault="002A4DDF" w:rsidP="009110ED">
            <w:pPr>
              <w:rPr>
                <w:rFonts w:ascii="Arial" w:hAnsi="Arial" w:cs="Arial"/>
                <w:sz w:val="12"/>
                <w:szCs w:val="12"/>
              </w:rPr>
            </w:pPr>
            <w:r>
              <w:rPr>
                <w:rFonts w:ascii="Arial" w:hAnsi="Arial"/>
                <w:sz w:val="12"/>
                <w:szCs w:val="12"/>
              </w:rPr>
              <w:t>Villanueva del Rey</w:t>
            </w:r>
          </w:p>
        </w:tc>
      </w:tr>
      <w:tr w:rsidR="002A4DDF" w:rsidRPr="00937C8B" w14:paraId="7939F5A3" w14:textId="77777777" w:rsidTr="00935676">
        <w:trPr>
          <w:cantSplit/>
        </w:trPr>
        <w:tc>
          <w:tcPr>
            <w:tcW w:w="1696" w:type="dxa"/>
            <w:tcBorders>
              <w:left w:val="single" w:sz="4" w:space="0" w:color="auto"/>
              <w:bottom w:val="single" w:sz="4" w:space="0" w:color="auto"/>
            </w:tcBorders>
            <w:shd w:val="clear" w:color="auto" w:fill="auto"/>
          </w:tcPr>
          <w:p w14:paraId="60AF7AC9"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bottom w:val="single" w:sz="4" w:space="0" w:color="auto"/>
            </w:tcBorders>
            <w:shd w:val="clear" w:color="auto" w:fill="auto"/>
          </w:tcPr>
          <w:p w14:paraId="470669CE" w14:textId="77777777" w:rsidR="002A4DDF" w:rsidRPr="00937C8B" w:rsidRDefault="002A4DDF" w:rsidP="009110ED">
            <w:pPr>
              <w:rPr>
                <w:rFonts w:ascii="Arial" w:hAnsi="Arial" w:cs="Arial"/>
                <w:sz w:val="12"/>
                <w:szCs w:val="12"/>
              </w:rPr>
            </w:pPr>
            <w:r>
              <w:rPr>
                <w:rFonts w:ascii="Arial" w:hAnsi="Arial"/>
                <w:sz w:val="12"/>
                <w:szCs w:val="12"/>
              </w:rPr>
              <w:t>Cordoue</w:t>
            </w:r>
          </w:p>
        </w:tc>
        <w:tc>
          <w:tcPr>
            <w:tcW w:w="2268" w:type="dxa"/>
            <w:tcBorders>
              <w:bottom w:val="single" w:sz="4" w:space="0" w:color="auto"/>
            </w:tcBorders>
            <w:shd w:val="clear" w:color="auto" w:fill="F2F2F2"/>
            <w:hideMark/>
          </w:tcPr>
          <w:p w14:paraId="5C15D62E"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4CC69474" w14:textId="77777777" w:rsidR="002A4DDF" w:rsidRPr="00937C8B" w:rsidRDefault="002A4DDF" w:rsidP="009110ED">
            <w:pPr>
              <w:rPr>
                <w:rFonts w:ascii="Arial" w:hAnsi="Arial" w:cs="Arial"/>
                <w:sz w:val="12"/>
                <w:szCs w:val="12"/>
              </w:rPr>
            </w:pPr>
            <w:r>
              <w:rPr>
                <w:rFonts w:ascii="Arial" w:hAnsi="Arial"/>
                <w:sz w:val="12"/>
                <w:szCs w:val="12"/>
              </w:rPr>
              <w:t>Villaralto</w:t>
            </w:r>
          </w:p>
        </w:tc>
      </w:tr>
      <w:tr w:rsidR="002A4DDF" w:rsidRPr="00937C8B" w14:paraId="6084335C" w14:textId="77777777" w:rsidTr="00935676">
        <w:trPr>
          <w:cantSplit/>
        </w:trPr>
        <w:tc>
          <w:tcPr>
            <w:tcW w:w="1696" w:type="dxa"/>
            <w:tcBorders>
              <w:top w:val="single" w:sz="4" w:space="0" w:color="auto"/>
              <w:bottom w:val="single" w:sz="4" w:space="0" w:color="auto"/>
            </w:tcBorders>
            <w:shd w:val="clear" w:color="auto" w:fill="auto"/>
            <w:hideMark/>
          </w:tcPr>
          <w:p w14:paraId="3F9163B4"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47AAC309"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7D091784"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60D82EB1" w14:textId="77777777" w:rsidR="002A4DDF" w:rsidRPr="00937C8B" w:rsidRDefault="002A4DDF" w:rsidP="009110ED">
            <w:pPr>
              <w:rPr>
                <w:rFonts w:ascii="Arial" w:hAnsi="Arial" w:cs="Arial"/>
                <w:sz w:val="12"/>
                <w:szCs w:val="12"/>
              </w:rPr>
            </w:pPr>
          </w:p>
        </w:tc>
      </w:tr>
      <w:tr w:rsidR="002A4DDF" w:rsidRPr="00937C8B" w14:paraId="3428D1D8" w14:textId="77777777" w:rsidTr="00935676">
        <w:trPr>
          <w:cantSplit/>
        </w:trPr>
        <w:tc>
          <w:tcPr>
            <w:tcW w:w="1696" w:type="dxa"/>
            <w:tcBorders>
              <w:top w:val="single" w:sz="4" w:space="0" w:color="auto"/>
              <w:left w:val="single" w:sz="4" w:space="0" w:color="auto"/>
            </w:tcBorders>
            <w:shd w:val="clear" w:color="auto" w:fill="auto"/>
            <w:hideMark/>
          </w:tcPr>
          <w:p w14:paraId="4AB34250"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top w:val="single" w:sz="4" w:space="0" w:color="auto"/>
            </w:tcBorders>
            <w:shd w:val="clear" w:color="auto" w:fill="auto"/>
            <w:hideMark/>
          </w:tcPr>
          <w:p w14:paraId="5A03D47F" w14:textId="77777777" w:rsidR="002A4DDF" w:rsidRPr="00937C8B" w:rsidRDefault="002A4DDF" w:rsidP="009110ED">
            <w:pPr>
              <w:rPr>
                <w:rFonts w:ascii="Arial" w:hAnsi="Arial" w:cs="Arial"/>
                <w:sz w:val="12"/>
                <w:szCs w:val="12"/>
              </w:rPr>
            </w:pPr>
            <w:r>
              <w:rPr>
                <w:rFonts w:ascii="Arial" w:hAnsi="Arial"/>
                <w:sz w:val="12"/>
                <w:szCs w:val="12"/>
              </w:rPr>
              <w:t>Grenade</w:t>
            </w:r>
          </w:p>
        </w:tc>
        <w:tc>
          <w:tcPr>
            <w:tcW w:w="2268" w:type="dxa"/>
            <w:tcBorders>
              <w:top w:val="single" w:sz="4" w:space="0" w:color="auto"/>
            </w:tcBorders>
            <w:shd w:val="clear" w:color="auto" w:fill="F2F2F2"/>
            <w:hideMark/>
          </w:tcPr>
          <w:p w14:paraId="5FFBF961" w14:textId="77777777" w:rsidR="002A4DDF" w:rsidRPr="00937C8B" w:rsidRDefault="002A4DDF" w:rsidP="009110ED">
            <w:pPr>
              <w:rPr>
                <w:rFonts w:ascii="Arial" w:hAnsi="Arial" w:cs="Arial"/>
                <w:sz w:val="12"/>
                <w:szCs w:val="12"/>
              </w:rPr>
            </w:pPr>
            <w:r>
              <w:rPr>
                <w:rFonts w:ascii="Arial" w:hAnsi="Arial"/>
                <w:sz w:val="12"/>
                <w:szCs w:val="12"/>
              </w:rPr>
              <w:t>Albondón</w:t>
            </w:r>
          </w:p>
        </w:tc>
        <w:tc>
          <w:tcPr>
            <w:tcW w:w="2268" w:type="dxa"/>
            <w:tcBorders>
              <w:top w:val="single" w:sz="4" w:space="0" w:color="auto"/>
              <w:right w:val="single" w:sz="4" w:space="0" w:color="auto"/>
            </w:tcBorders>
            <w:shd w:val="clear" w:color="auto" w:fill="D9D9D9"/>
            <w:hideMark/>
          </w:tcPr>
          <w:p w14:paraId="609AF7FF" w14:textId="77777777" w:rsidR="002A4DDF" w:rsidRPr="00937C8B" w:rsidRDefault="002A4DDF" w:rsidP="009110ED">
            <w:pPr>
              <w:rPr>
                <w:rFonts w:ascii="Arial" w:hAnsi="Arial" w:cs="Arial"/>
                <w:sz w:val="12"/>
                <w:szCs w:val="12"/>
              </w:rPr>
            </w:pPr>
            <w:r>
              <w:rPr>
                <w:rFonts w:ascii="Arial" w:hAnsi="Arial"/>
                <w:sz w:val="12"/>
                <w:szCs w:val="12"/>
              </w:rPr>
              <w:t>Aldeire</w:t>
            </w:r>
          </w:p>
        </w:tc>
      </w:tr>
      <w:tr w:rsidR="002A4DDF" w:rsidRPr="00937C8B" w14:paraId="6D6E23FF" w14:textId="77777777" w:rsidTr="00935676">
        <w:trPr>
          <w:cantSplit/>
        </w:trPr>
        <w:tc>
          <w:tcPr>
            <w:tcW w:w="1696" w:type="dxa"/>
            <w:tcBorders>
              <w:left w:val="single" w:sz="4" w:space="0" w:color="auto"/>
            </w:tcBorders>
            <w:shd w:val="clear" w:color="auto" w:fill="auto"/>
          </w:tcPr>
          <w:p w14:paraId="1D072E00" w14:textId="77777777" w:rsidR="002A4DDF" w:rsidRPr="00937C8B" w:rsidRDefault="002A4DDF" w:rsidP="009110ED">
            <w:pPr>
              <w:rPr>
                <w:rFonts w:ascii="Arial" w:hAnsi="Arial" w:cs="Arial"/>
                <w:sz w:val="12"/>
                <w:szCs w:val="12"/>
              </w:rPr>
            </w:pPr>
          </w:p>
        </w:tc>
        <w:tc>
          <w:tcPr>
            <w:tcW w:w="1843" w:type="dxa"/>
            <w:shd w:val="clear" w:color="auto" w:fill="auto"/>
          </w:tcPr>
          <w:p w14:paraId="377C8A5F" w14:textId="77777777" w:rsidR="002A4DDF" w:rsidRPr="00937C8B" w:rsidRDefault="002A4DDF" w:rsidP="009110ED">
            <w:pPr>
              <w:rPr>
                <w:rFonts w:ascii="Arial" w:hAnsi="Arial" w:cs="Arial"/>
                <w:sz w:val="12"/>
                <w:szCs w:val="12"/>
              </w:rPr>
            </w:pPr>
          </w:p>
        </w:tc>
        <w:tc>
          <w:tcPr>
            <w:tcW w:w="2268" w:type="dxa"/>
            <w:shd w:val="clear" w:color="auto" w:fill="F2F2F2"/>
            <w:hideMark/>
          </w:tcPr>
          <w:p w14:paraId="3FD52638" w14:textId="77777777" w:rsidR="002A4DDF" w:rsidRPr="00937C8B" w:rsidRDefault="002A4DDF" w:rsidP="009110ED">
            <w:pPr>
              <w:rPr>
                <w:rFonts w:ascii="Arial" w:hAnsi="Arial" w:cs="Arial"/>
                <w:sz w:val="12"/>
                <w:szCs w:val="12"/>
              </w:rPr>
            </w:pPr>
            <w:r>
              <w:rPr>
                <w:rFonts w:ascii="Arial" w:hAnsi="Arial"/>
                <w:sz w:val="12"/>
                <w:szCs w:val="12"/>
              </w:rPr>
              <w:t>Albuñán</w:t>
            </w:r>
          </w:p>
        </w:tc>
        <w:tc>
          <w:tcPr>
            <w:tcW w:w="2268" w:type="dxa"/>
            <w:tcBorders>
              <w:right w:val="single" w:sz="4" w:space="0" w:color="auto"/>
            </w:tcBorders>
            <w:shd w:val="clear" w:color="auto" w:fill="D9D9D9"/>
            <w:hideMark/>
          </w:tcPr>
          <w:p w14:paraId="6F2805A9" w14:textId="77777777" w:rsidR="002A4DDF" w:rsidRPr="00937C8B" w:rsidRDefault="002A4DDF" w:rsidP="009110ED">
            <w:pPr>
              <w:rPr>
                <w:rFonts w:ascii="Arial" w:hAnsi="Arial" w:cs="Arial"/>
                <w:sz w:val="12"/>
                <w:szCs w:val="12"/>
              </w:rPr>
            </w:pPr>
            <w:r>
              <w:rPr>
                <w:rFonts w:ascii="Arial" w:hAnsi="Arial"/>
                <w:sz w:val="12"/>
                <w:szCs w:val="12"/>
              </w:rPr>
              <w:t>Alpujarra de la Sierra</w:t>
            </w:r>
          </w:p>
        </w:tc>
      </w:tr>
      <w:tr w:rsidR="002A4DDF" w:rsidRPr="00937C8B" w14:paraId="0EF302B7" w14:textId="77777777" w:rsidTr="00935676">
        <w:trPr>
          <w:cantSplit/>
        </w:trPr>
        <w:tc>
          <w:tcPr>
            <w:tcW w:w="1696" w:type="dxa"/>
            <w:tcBorders>
              <w:left w:val="single" w:sz="4" w:space="0" w:color="auto"/>
            </w:tcBorders>
            <w:shd w:val="clear" w:color="auto" w:fill="auto"/>
          </w:tcPr>
          <w:p w14:paraId="3567D45D" w14:textId="77777777" w:rsidR="002A4DDF" w:rsidRPr="00937C8B" w:rsidRDefault="002A4DDF" w:rsidP="009110ED">
            <w:pPr>
              <w:rPr>
                <w:rFonts w:ascii="Arial" w:hAnsi="Arial" w:cs="Arial"/>
                <w:sz w:val="12"/>
                <w:szCs w:val="12"/>
              </w:rPr>
            </w:pPr>
          </w:p>
        </w:tc>
        <w:tc>
          <w:tcPr>
            <w:tcW w:w="1843" w:type="dxa"/>
            <w:shd w:val="clear" w:color="auto" w:fill="auto"/>
          </w:tcPr>
          <w:p w14:paraId="6B4ACED2" w14:textId="77777777" w:rsidR="002A4DDF" w:rsidRPr="00937C8B" w:rsidRDefault="002A4DDF" w:rsidP="009110ED">
            <w:pPr>
              <w:rPr>
                <w:rFonts w:ascii="Arial" w:hAnsi="Arial" w:cs="Arial"/>
                <w:sz w:val="12"/>
                <w:szCs w:val="12"/>
              </w:rPr>
            </w:pPr>
          </w:p>
        </w:tc>
        <w:tc>
          <w:tcPr>
            <w:tcW w:w="2268" w:type="dxa"/>
            <w:shd w:val="clear" w:color="auto" w:fill="F2F2F2"/>
            <w:hideMark/>
          </w:tcPr>
          <w:p w14:paraId="2FED42BB" w14:textId="77777777" w:rsidR="002A4DDF" w:rsidRPr="00937C8B" w:rsidRDefault="002A4DDF" w:rsidP="009110ED">
            <w:pPr>
              <w:rPr>
                <w:rFonts w:ascii="Arial" w:hAnsi="Arial" w:cs="Arial"/>
                <w:sz w:val="12"/>
                <w:szCs w:val="12"/>
              </w:rPr>
            </w:pPr>
            <w:r>
              <w:rPr>
                <w:rFonts w:ascii="Arial" w:hAnsi="Arial"/>
                <w:sz w:val="12"/>
                <w:szCs w:val="12"/>
              </w:rPr>
              <w:t>Albuñol</w:t>
            </w:r>
          </w:p>
        </w:tc>
        <w:tc>
          <w:tcPr>
            <w:tcW w:w="2268" w:type="dxa"/>
            <w:tcBorders>
              <w:right w:val="single" w:sz="4" w:space="0" w:color="auto"/>
            </w:tcBorders>
            <w:shd w:val="clear" w:color="auto" w:fill="D9D9D9"/>
            <w:hideMark/>
          </w:tcPr>
          <w:p w14:paraId="3C25BDE6" w14:textId="77777777" w:rsidR="002A4DDF" w:rsidRPr="00937C8B" w:rsidRDefault="002A4DDF" w:rsidP="009110ED">
            <w:pPr>
              <w:rPr>
                <w:rFonts w:ascii="Arial" w:hAnsi="Arial" w:cs="Arial"/>
                <w:sz w:val="12"/>
                <w:szCs w:val="12"/>
              </w:rPr>
            </w:pPr>
            <w:r>
              <w:rPr>
                <w:rFonts w:ascii="Arial" w:hAnsi="Arial"/>
                <w:sz w:val="12"/>
                <w:szCs w:val="12"/>
              </w:rPr>
              <w:t>Alquife</w:t>
            </w:r>
          </w:p>
        </w:tc>
      </w:tr>
      <w:tr w:rsidR="002A4DDF" w:rsidRPr="00937C8B" w14:paraId="5E2CF346" w14:textId="77777777" w:rsidTr="00935676">
        <w:trPr>
          <w:cantSplit/>
        </w:trPr>
        <w:tc>
          <w:tcPr>
            <w:tcW w:w="1696" w:type="dxa"/>
            <w:tcBorders>
              <w:left w:val="single" w:sz="4" w:space="0" w:color="auto"/>
            </w:tcBorders>
            <w:shd w:val="clear" w:color="auto" w:fill="auto"/>
          </w:tcPr>
          <w:p w14:paraId="1BBBD803" w14:textId="77777777" w:rsidR="002A4DDF" w:rsidRPr="00937C8B" w:rsidRDefault="002A4DDF" w:rsidP="009110ED">
            <w:pPr>
              <w:rPr>
                <w:rFonts w:ascii="Arial" w:hAnsi="Arial" w:cs="Arial"/>
                <w:sz w:val="12"/>
                <w:szCs w:val="12"/>
              </w:rPr>
            </w:pPr>
          </w:p>
        </w:tc>
        <w:tc>
          <w:tcPr>
            <w:tcW w:w="1843" w:type="dxa"/>
            <w:shd w:val="clear" w:color="auto" w:fill="auto"/>
          </w:tcPr>
          <w:p w14:paraId="105AA10B" w14:textId="77777777" w:rsidR="002A4DDF" w:rsidRPr="00937C8B" w:rsidRDefault="002A4DDF" w:rsidP="009110ED">
            <w:pPr>
              <w:rPr>
                <w:rFonts w:ascii="Arial" w:hAnsi="Arial" w:cs="Arial"/>
                <w:sz w:val="12"/>
                <w:szCs w:val="12"/>
              </w:rPr>
            </w:pPr>
          </w:p>
        </w:tc>
        <w:tc>
          <w:tcPr>
            <w:tcW w:w="2268" w:type="dxa"/>
            <w:shd w:val="clear" w:color="auto" w:fill="F2F2F2"/>
          </w:tcPr>
          <w:p w14:paraId="7FE0CE14" w14:textId="77777777" w:rsidR="002A4DDF" w:rsidRPr="00937C8B" w:rsidRDefault="002A4DDF" w:rsidP="009110ED">
            <w:pPr>
              <w:rPr>
                <w:rFonts w:ascii="Arial" w:hAnsi="Arial" w:cs="Arial"/>
                <w:sz w:val="12"/>
                <w:szCs w:val="12"/>
              </w:rPr>
            </w:pPr>
            <w:r>
              <w:rPr>
                <w:rFonts w:ascii="Arial" w:hAnsi="Arial"/>
                <w:sz w:val="12"/>
                <w:szCs w:val="12"/>
              </w:rPr>
              <w:t>Almegíjar</w:t>
            </w:r>
          </w:p>
        </w:tc>
        <w:tc>
          <w:tcPr>
            <w:tcW w:w="2268" w:type="dxa"/>
            <w:tcBorders>
              <w:right w:val="single" w:sz="4" w:space="0" w:color="auto"/>
            </w:tcBorders>
            <w:shd w:val="clear" w:color="auto" w:fill="D9D9D9"/>
          </w:tcPr>
          <w:p w14:paraId="6E4EC01C" w14:textId="77777777" w:rsidR="002A4DDF" w:rsidRPr="00937C8B" w:rsidRDefault="002A4DDF" w:rsidP="009110ED">
            <w:pPr>
              <w:rPr>
                <w:rFonts w:ascii="Arial" w:hAnsi="Arial" w:cs="Arial"/>
                <w:sz w:val="12"/>
                <w:szCs w:val="12"/>
              </w:rPr>
            </w:pPr>
            <w:r>
              <w:rPr>
                <w:rFonts w:ascii="Arial" w:hAnsi="Arial"/>
                <w:sz w:val="12"/>
                <w:szCs w:val="12"/>
              </w:rPr>
              <w:t>Baza</w:t>
            </w:r>
          </w:p>
        </w:tc>
      </w:tr>
      <w:tr w:rsidR="002A4DDF" w:rsidRPr="00937C8B" w14:paraId="742FA5E8" w14:textId="77777777" w:rsidTr="00935676">
        <w:trPr>
          <w:cantSplit/>
        </w:trPr>
        <w:tc>
          <w:tcPr>
            <w:tcW w:w="1696" w:type="dxa"/>
            <w:tcBorders>
              <w:left w:val="single" w:sz="4" w:space="0" w:color="auto"/>
            </w:tcBorders>
            <w:shd w:val="clear" w:color="auto" w:fill="auto"/>
          </w:tcPr>
          <w:p w14:paraId="7D7D9D11" w14:textId="77777777" w:rsidR="002A4DDF" w:rsidRPr="00937C8B" w:rsidRDefault="002A4DDF" w:rsidP="009110ED">
            <w:pPr>
              <w:rPr>
                <w:rFonts w:ascii="Arial" w:hAnsi="Arial" w:cs="Arial"/>
                <w:sz w:val="12"/>
                <w:szCs w:val="12"/>
              </w:rPr>
            </w:pPr>
          </w:p>
        </w:tc>
        <w:tc>
          <w:tcPr>
            <w:tcW w:w="1843" w:type="dxa"/>
            <w:shd w:val="clear" w:color="auto" w:fill="auto"/>
          </w:tcPr>
          <w:p w14:paraId="56FF90CE" w14:textId="77777777" w:rsidR="002A4DDF" w:rsidRPr="00937C8B" w:rsidRDefault="002A4DDF" w:rsidP="009110ED">
            <w:pPr>
              <w:rPr>
                <w:rFonts w:ascii="Arial" w:hAnsi="Arial" w:cs="Arial"/>
                <w:sz w:val="12"/>
                <w:szCs w:val="12"/>
              </w:rPr>
            </w:pPr>
          </w:p>
        </w:tc>
        <w:tc>
          <w:tcPr>
            <w:tcW w:w="2268" w:type="dxa"/>
            <w:shd w:val="clear" w:color="auto" w:fill="F2F2F2"/>
            <w:hideMark/>
          </w:tcPr>
          <w:p w14:paraId="256323F3" w14:textId="77777777" w:rsidR="002A4DDF" w:rsidRPr="00937C8B" w:rsidRDefault="002A4DDF" w:rsidP="009110ED">
            <w:pPr>
              <w:rPr>
                <w:rFonts w:ascii="Arial" w:hAnsi="Arial" w:cs="Arial"/>
                <w:sz w:val="12"/>
                <w:szCs w:val="12"/>
              </w:rPr>
            </w:pPr>
            <w:r>
              <w:rPr>
                <w:rFonts w:ascii="Arial" w:hAnsi="Arial"/>
                <w:sz w:val="12"/>
                <w:szCs w:val="12"/>
              </w:rPr>
              <w:t>Almuñécar</w:t>
            </w:r>
          </w:p>
        </w:tc>
        <w:tc>
          <w:tcPr>
            <w:tcW w:w="2268" w:type="dxa"/>
            <w:tcBorders>
              <w:right w:val="single" w:sz="4" w:space="0" w:color="auto"/>
            </w:tcBorders>
            <w:shd w:val="clear" w:color="auto" w:fill="D9D9D9"/>
            <w:hideMark/>
          </w:tcPr>
          <w:p w14:paraId="6766F771" w14:textId="77777777" w:rsidR="002A4DDF" w:rsidRPr="00937C8B" w:rsidRDefault="002A4DDF" w:rsidP="009110ED">
            <w:pPr>
              <w:rPr>
                <w:rFonts w:ascii="Arial" w:hAnsi="Arial" w:cs="Arial"/>
                <w:sz w:val="12"/>
                <w:szCs w:val="12"/>
              </w:rPr>
            </w:pPr>
            <w:r>
              <w:rPr>
                <w:rFonts w:ascii="Arial" w:hAnsi="Arial"/>
                <w:sz w:val="12"/>
                <w:szCs w:val="12"/>
              </w:rPr>
              <w:t>Bubión</w:t>
            </w:r>
          </w:p>
        </w:tc>
      </w:tr>
      <w:tr w:rsidR="002A4DDF" w:rsidRPr="00937C8B" w14:paraId="408726AF" w14:textId="77777777" w:rsidTr="00935676">
        <w:trPr>
          <w:cantSplit/>
        </w:trPr>
        <w:tc>
          <w:tcPr>
            <w:tcW w:w="1696" w:type="dxa"/>
            <w:tcBorders>
              <w:left w:val="single" w:sz="4" w:space="0" w:color="auto"/>
            </w:tcBorders>
            <w:shd w:val="clear" w:color="auto" w:fill="auto"/>
          </w:tcPr>
          <w:p w14:paraId="62FC98C9" w14:textId="77777777" w:rsidR="002A4DDF" w:rsidRPr="00937C8B" w:rsidRDefault="002A4DDF" w:rsidP="009110ED">
            <w:pPr>
              <w:rPr>
                <w:rFonts w:ascii="Arial" w:hAnsi="Arial" w:cs="Arial"/>
                <w:sz w:val="12"/>
                <w:szCs w:val="12"/>
              </w:rPr>
            </w:pPr>
          </w:p>
        </w:tc>
        <w:tc>
          <w:tcPr>
            <w:tcW w:w="1843" w:type="dxa"/>
            <w:shd w:val="clear" w:color="auto" w:fill="auto"/>
          </w:tcPr>
          <w:p w14:paraId="0F7E3941" w14:textId="77777777" w:rsidR="002A4DDF" w:rsidRPr="00937C8B" w:rsidRDefault="002A4DDF" w:rsidP="009110ED">
            <w:pPr>
              <w:rPr>
                <w:rFonts w:ascii="Arial" w:hAnsi="Arial" w:cs="Arial"/>
                <w:sz w:val="12"/>
                <w:szCs w:val="12"/>
              </w:rPr>
            </w:pPr>
          </w:p>
        </w:tc>
        <w:tc>
          <w:tcPr>
            <w:tcW w:w="2268" w:type="dxa"/>
            <w:shd w:val="clear" w:color="auto" w:fill="F2F2F2"/>
            <w:hideMark/>
          </w:tcPr>
          <w:p w14:paraId="78672B1B" w14:textId="77777777" w:rsidR="002A4DDF" w:rsidRPr="00937C8B" w:rsidRDefault="002A4DDF" w:rsidP="009110ED">
            <w:pPr>
              <w:rPr>
                <w:rFonts w:ascii="Arial" w:hAnsi="Arial" w:cs="Arial"/>
                <w:sz w:val="12"/>
                <w:szCs w:val="12"/>
              </w:rPr>
            </w:pPr>
            <w:r>
              <w:rPr>
                <w:rFonts w:ascii="Arial" w:hAnsi="Arial"/>
                <w:sz w:val="12"/>
                <w:szCs w:val="12"/>
              </w:rPr>
              <w:t>Bérchules</w:t>
            </w:r>
          </w:p>
        </w:tc>
        <w:tc>
          <w:tcPr>
            <w:tcW w:w="2268" w:type="dxa"/>
            <w:tcBorders>
              <w:right w:val="single" w:sz="4" w:space="0" w:color="auto"/>
            </w:tcBorders>
            <w:shd w:val="clear" w:color="auto" w:fill="D9D9D9"/>
            <w:hideMark/>
          </w:tcPr>
          <w:p w14:paraId="28EDA95D" w14:textId="77777777" w:rsidR="002A4DDF" w:rsidRPr="00937C8B" w:rsidRDefault="002A4DDF" w:rsidP="009110ED">
            <w:pPr>
              <w:rPr>
                <w:rFonts w:ascii="Arial" w:hAnsi="Arial" w:cs="Arial"/>
                <w:sz w:val="12"/>
                <w:szCs w:val="12"/>
              </w:rPr>
            </w:pPr>
            <w:r>
              <w:rPr>
                <w:rFonts w:ascii="Arial" w:hAnsi="Arial"/>
                <w:sz w:val="12"/>
                <w:szCs w:val="12"/>
              </w:rPr>
              <w:t>Busquístar</w:t>
            </w:r>
          </w:p>
        </w:tc>
      </w:tr>
      <w:tr w:rsidR="002A4DDF" w:rsidRPr="00937C8B" w14:paraId="3727EB0C" w14:textId="77777777" w:rsidTr="00935676">
        <w:trPr>
          <w:cantSplit/>
        </w:trPr>
        <w:tc>
          <w:tcPr>
            <w:tcW w:w="1696" w:type="dxa"/>
            <w:tcBorders>
              <w:left w:val="single" w:sz="4" w:space="0" w:color="auto"/>
            </w:tcBorders>
            <w:shd w:val="clear" w:color="auto" w:fill="auto"/>
          </w:tcPr>
          <w:p w14:paraId="1BE3CF82" w14:textId="77777777" w:rsidR="002A4DDF" w:rsidRPr="00937C8B" w:rsidRDefault="002A4DDF" w:rsidP="009110ED">
            <w:pPr>
              <w:rPr>
                <w:rFonts w:ascii="Arial" w:hAnsi="Arial" w:cs="Arial"/>
                <w:sz w:val="12"/>
                <w:szCs w:val="12"/>
              </w:rPr>
            </w:pPr>
          </w:p>
        </w:tc>
        <w:tc>
          <w:tcPr>
            <w:tcW w:w="1843" w:type="dxa"/>
            <w:shd w:val="clear" w:color="auto" w:fill="auto"/>
          </w:tcPr>
          <w:p w14:paraId="0D9C7018" w14:textId="77777777" w:rsidR="002A4DDF" w:rsidRPr="00937C8B" w:rsidRDefault="002A4DDF" w:rsidP="009110ED">
            <w:pPr>
              <w:rPr>
                <w:rFonts w:ascii="Arial" w:hAnsi="Arial" w:cs="Arial"/>
                <w:sz w:val="12"/>
                <w:szCs w:val="12"/>
              </w:rPr>
            </w:pPr>
          </w:p>
        </w:tc>
        <w:tc>
          <w:tcPr>
            <w:tcW w:w="2268" w:type="dxa"/>
            <w:shd w:val="clear" w:color="auto" w:fill="F2F2F2"/>
          </w:tcPr>
          <w:p w14:paraId="4584EF3B" w14:textId="77777777" w:rsidR="002A4DDF" w:rsidRPr="00937C8B" w:rsidRDefault="002A4DDF" w:rsidP="009110ED">
            <w:pPr>
              <w:rPr>
                <w:rFonts w:ascii="Arial" w:hAnsi="Arial" w:cs="Arial"/>
                <w:sz w:val="12"/>
                <w:szCs w:val="12"/>
              </w:rPr>
            </w:pPr>
            <w:r>
              <w:rPr>
                <w:rFonts w:ascii="Arial" w:hAnsi="Arial"/>
                <w:sz w:val="12"/>
                <w:szCs w:val="12"/>
              </w:rPr>
              <w:t>Cádiar</w:t>
            </w:r>
          </w:p>
        </w:tc>
        <w:tc>
          <w:tcPr>
            <w:tcW w:w="2268" w:type="dxa"/>
            <w:tcBorders>
              <w:right w:val="single" w:sz="4" w:space="0" w:color="auto"/>
            </w:tcBorders>
            <w:shd w:val="clear" w:color="auto" w:fill="D9D9D9"/>
          </w:tcPr>
          <w:p w14:paraId="17DA9236" w14:textId="77777777" w:rsidR="002A4DDF" w:rsidRPr="00937C8B" w:rsidRDefault="002A4DDF" w:rsidP="009110ED">
            <w:pPr>
              <w:rPr>
                <w:rFonts w:ascii="Arial" w:hAnsi="Arial" w:cs="Arial"/>
                <w:sz w:val="12"/>
                <w:szCs w:val="12"/>
              </w:rPr>
            </w:pPr>
            <w:r>
              <w:rPr>
                <w:rFonts w:ascii="Arial" w:hAnsi="Arial"/>
                <w:sz w:val="12"/>
                <w:szCs w:val="12"/>
              </w:rPr>
              <w:t>Caniles</w:t>
            </w:r>
          </w:p>
        </w:tc>
      </w:tr>
      <w:tr w:rsidR="002A4DDF" w:rsidRPr="00937C8B" w14:paraId="79146FCF" w14:textId="77777777" w:rsidTr="00935676">
        <w:trPr>
          <w:cantSplit/>
        </w:trPr>
        <w:tc>
          <w:tcPr>
            <w:tcW w:w="1696" w:type="dxa"/>
            <w:tcBorders>
              <w:left w:val="single" w:sz="4" w:space="0" w:color="auto"/>
            </w:tcBorders>
            <w:shd w:val="clear" w:color="auto" w:fill="auto"/>
          </w:tcPr>
          <w:p w14:paraId="11710580" w14:textId="77777777" w:rsidR="002A4DDF" w:rsidRPr="00937C8B" w:rsidRDefault="002A4DDF" w:rsidP="009110ED">
            <w:pPr>
              <w:rPr>
                <w:rFonts w:ascii="Arial" w:hAnsi="Arial" w:cs="Arial"/>
                <w:sz w:val="12"/>
                <w:szCs w:val="12"/>
              </w:rPr>
            </w:pPr>
          </w:p>
        </w:tc>
        <w:tc>
          <w:tcPr>
            <w:tcW w:w="1843" w:type="dxa"/>
            <w:shd w:val="clear" w:color="auto" w:fill="auto"/>
          </w:tcPr>
          <w:p w14:paraId="37ECC6AF" w14:textId="77777777" w:rsidR="002A4DDF" w:rsidRPr="00937C8B" w:rsidRDefault="002A4DDF" w:rsidP="009110ED">
            <w:pPr>
              <w:rPr>
                <w:rFonts w:ascii="Arial" w:hAnsi="Arial" w:cs="Arial"/>
                <w:sz w:val="12"/>
                <w:szCs w:val="12"/>
              </w:rPr>
            </w:pPr>
          </w:p>
        </w:tc>
        <w:tc>
          <w:tcPr>
            <w:tcW w:w="2268" w:type="dxa"/>
            <w:shd w:val="clear" w:color="auto" w:fill="F2F2F2"/>
            <w:hideMark/>
          </w:tcPr>
          <w:p w14:paraId="118EF07C" w14:textId="77777777" w:rsidR="002A4DDF" w:rsidRPr="00937C8B" w:rsidRDefault="002A4DDF" w:rsidP="009110ED">
            <w:pPr>
              <w:rPr>
                <w:rFonts w:ascii="Arial" w:hAnsi="Arial" w:cs="Arial"/>
                <w:sz w:val="12"/>
                <w:szCs w:val="12"/>
              </w:rPr>
            </w:pPr>
            <w:r>
              <w:rPr>
                <w:rFonts w:ascii="Arial" w:hAnsi="Arial"/>
                <w:sz w:val="12"/>
                <w:szCs w:val="12"/>
              </w:rPr>
              <w:t>Cástaras</w:t>
            </w:r>
          </w:p>
        </w:tc>
        <w:tc>
          <w:tcPr>
            <w:tcW w:w="2268" w:type="dxa"/>
            <w:tcBorders>
              <w:right w:val="single" w:sz="4" w:space="0" w:color="auto"/>
            </w:tcBorders>
            <w:shd w:val="clear" w:color="auto" w:fill="D9D9D9"/>
            <w:hideMark/>
          </w:tcPr>
          <w:p w14:paraId="33AC6E69" w14:textId="77777777" w:rsidR="002A4DDF" w:rsidRPr="00937C8B" w:rsidRDefault="002A4DDF" w:rsidP="009110ED">
            <w:pPr>
              <w:rPr>
                <w:rFonts w:ascii="Arial" w:hAnsi="Arial" w:cs="Arial"/>
                <w:sz w:val="12"/>
                <w:szCs w:val="12"/>
              </w:rPr>
            </w:pPr>
            <w:r>
              <w:rPr>
                <w:rFonts w:ascii="Arial" w:hAnsi="Arial"/>
                <w:sz w:val="12"/>
                <w:szCs w:val="12"/>
              </w:rPr>
              <w:t>Capileira</w:t>
            </w:r>
          </w:p>
        </w:tc>
      </w:tr>
      <w:tr w:rsidR="002A4DDF" w:rsidRPr="00937C8B" w14:paraId="5DE2B8A0" w14:textId="77777777" w:rsidTr="00935676">
        <w:trPr>
          <w:cantSplit/>
        </w:trPr>
        <w:tc>
          <w:tcPr>
            <w:tcW w:w="1696" w:type="dxa"/>
            <w:tcBorders>
              <w:left w:val="single" w:sz="4" w:space="0" w:color="auto"/>
            </w:tcBorders>
            <w:shd w:val="clear" w:color="auto" w:fill="auto"/>
          </w:tcPr>
          <w:p w14:paraId="201244D9" w14:textId="77777777" w:rsidR="002A4DDF" w:rsidRPr="00937C8B" w:rsidRDefault="002A4DDF" w:rsidP="009110ED">
            <w:pPr>
              <w:rPr>
                <w:rFonts w:ascii="Arial" w:hAnsi="Arial" w:cs="Arial"/>
                <w:sz w:val="12"/>
                <w:szCs w:val="12"/>
              </w:rPr>
            </w:pPr>
          </w:p>
        </w:tc>
        <w:tc>
          <w:tcPr>
            <w:tcW w:w="1843" w:type="dxa"/>
            <w:shd w:val="clear" w:color="auto" w:fill="auto"/>
          </w:tcPr>
          <w:p w14:paraId="77E7FAFE" w14:textId="77777777" w:rsidR="002A4DDF" w:rsidRPr="00937C8B" w:rsidRDefault="002A4DDF" w:rsidP="009110ED">
            <w:pPr>
              <w:rPr>
                <w:rFonts w:ascii="Arial" w:hAnsi="Arial" w:cs="Arial"/>
                <w:sz w:val="12"/>
                <w:szCs w:val="12"/>
              </w:rPr>
            </w:pPr>
          </w:p>
        </w:tc>
        <w:tc>
          <w:tcPr>
            <w:tcW w:w="2268" w:type="dxa"/>
            <w:shd w:val="clear" w:color="auto" w:fill="F2F2F2"/>
            <w:hideMark/>
          </w:tcPr>
          <w:p w14:paraId="1994CB07" w14:textId="77777777" w:rsidR="002A4DDF" w:rsidRPr="00937C8B" w:rsidRDefault="002A4DDF" w:rsidP="009110ED">
            <w:pPr>
              <w:rPr>
                <w:rFonts w:ascii="Arial" w:hAnsi="Arial" w:cs="Arial"/>
                <w:sz w:val="12"/>
                <w:szCs w:val="12"/>
              </w:rPr>
            </w:pPr>
            <w:r>
              <w:rPr>
                <w:rFonts w:ascii="Arial" w:hAnsi="Arial"/>
                <w:sz w:val="12"/>
                <w:szCs w:val="12"/>
              </w:rPr>
              <w:t>Cenes de la Vega</w:t>
            </w:r>
          </w:p>
        </w:tc>
        <w:tc>
          <w:tcPr>
            <w:tcW w:w="2268" w:type="dxa"/>
            <w:tcBorders>
              <w:right w:val="single" w:sz="4" w:space="0" w:color="auto"/>
            </w:tcBorders>
            <w:shd w:val="clear" w:color="auto" w:fill="D9D9D9"/>
            <w:hideMark/>
          </w:tcPr>
          <w:p w14:paraId="7C3D7C9E" w14:textId="77777777" w:rsidR="002A4DDF" w:rsidRPr="00937C8B" w:rsidRDefault="002A4DDF" w:rsidP="009110ED">
            <w:pPr>
              <w:rPr>
                <w:rFonts w:ascii="Arial" w:hAnsi="Arial" w:cs="Arial"/>
                <w:sz w:val="12"/>
                <w:szCs w:val="12"/>
              </w:rPr>
            </w:pPr>
            <w:r>
              <w:rPr>
                <w:rFonts w:ascii="Arial" w:hAnsi="Arial"/>
                <w:sz w:val="12"/>
                <w:szCs w:val="12"/>
              </w:rPr>
              <w:t>Dólar</w:t>
            </w:r>
          </w:p>
        </w:tc>
      </w:tr>
      <w:tr w:rsidR="002A4DDF" w:rsidRPr="00937C8B" w14:paraId="694B2987" w14:textId="77777777" w:rsidTr="00935676">
        <w:trPr>
          <w:cantSplit/>
        </w:trPr>
        <w:tc>
          <w:tcPr>
            <w:tcW w:w="1696" w:type="dxa"/>
            <w:tcBorders>
              <w:left w:val="single" w:sz="4" w:space="0" w:color="auto"/>
            </w:tcBorders>
            <w:shd w:val="clear" w:color="auto" w:fill="auto"/>
          </w:tcPr>
          <w:p w14:paraId="5DD1BC72" w14:textId="77777777" w:rsidR="002A4DDF" w:rsidRPr="00937C8B" w:rsidRDefault="002A4DDF" w:rsidP="009110ED">
            <w:pPr>
              <w:rPr>
                <w:rFonts w:ascii="Arial" w:hAnsi="Arial" w:cs="Arial"/>
                <w:sz w:val="12"/>
                <w:szCs w:val="12"/>
              </w:rPr>
            </w:pPr>
          </w:p>
        </w:tc>
        <w:tc>
          <w:tcPr>
            <w:tcW w:w="1843" w:type="dxa"/>
            <w:shd w:val="clear" w:color="auto" w:fill="auto"/>
          </w:tcPr>
          <w:p w14:paraId="523757F3" w14:textId="77777777" w:rsidR="002A4DDF" w:rsidRPr="00937C8B" w:rsidRDefault="002A4DDF" w:rsidP="009110ED">
            <w:pPr>
              <w:rPr>
                <w:rFonts w:ascii="Arial" w:hAnsi="Arial" w:cs="Arial"/>
                <w:sz w:val="12"/>
                <w:szCs w:val="12"/>
              </w:rPr>
            </w:pPr>
          </w:p>
        </w:tc>
        <w:tc>
          <w:tcPr>
            <w:tcW w:w="2268" w:type="dxa"/>
            <w:shd w:val="clear" w:color="auto" w:fill="F2F2F2"/>
            <w:hideMark/>
          </w:tcPr>
          <w:p w14:paraId="3035ECC1" w14:textId="77777777" w:rsidR="002A4DDF" w:rsidRPr="00937C8B" w:rsidRDefault="002A4DDF" w:rsidP="009110ED">
            <w:pPr>
              <w:rPr>
                <w:rFonts w:ascii="Arial" w:hAnsi="Arial" w:cs="Arial"/>
                <w:sz w:val="12"/>
                <w:szCs w:val="12"/>
              </w:rPr>
            </w:pPr>
            <w:r>
              <w:rPr>
                <w:rFonts w:ascii="Arial" w:hAnsi="Arial"/>
                <w:sz w:val="12"/>
                <w:szCs w:val="12"/>
              </w:rPr>
              <w:t>Cogollos de Guadix</w:t>
            </w:r>
          </w:p>
        </w:tc>
        <w:tc>
          <w:tcPr>
            <w:tcW w:w="2268" w:type="dxa"/>
            <w:tcBorders>
              <w:right w:val="single" w:sz="4" w:space="0" w:color="auto"/>
            </w:tcBorders>
            <w:shd w:val="clear" w:color="auto" w:fill="D9D9D9"/>
            <w:hideMark/>
          </w:tcPr>
          <w:p w14:paraId="1FC87C09" w14:textId="77777777" w:rsidR="002A4DDF" w:rsidRPr="00937C8B" w:rsidRDefault="002A4DDF" w:rsidP="009110ED">
            <w:pPr>
              <w:rPr>
                <w:rFonts w:ascii="Arial" w:hAnsi="Arial" w:cs="Arial"/>
                <w:sz w:val="12"/>
                <w:szCs w:val="12"/>
              </w:rPr>
            </w:pPr>
            <w:r>
              <w:rPr>
                <w:rFonts w:ascii="Arial" w:hAnsi="Arial"/>
                <w:sz w:val="12"/>
                <w:szCs w:val="12"/>
              </w:rPr>
              <w:t>Ferreira</w:t>
            </w:r>
          </w:p>
        </w:tc>
      </w:tr>
      <w:tr w:rsidR="002A4DDF" w:rsidRPr="00937C8B" w14:paraId="285AACE0" w14:textId="77777777" w:rsidTr="00935676">
        <w:trPr>
          <w:cantSplit/>
        </w:trPr>
        <w:tc>
          <w:tcPr>
            <w:tcW w:w="1696" w:type="dxa"/>
            <w:tcBorders>
              <w:left w:val="single" w:sz="4" w:space="0" w:color="auto"/>
            </w:tcBorders>
            <w:shd w:val="clear" w:color="auto" w:fill="auto"/>
          </w:tcPr>
          <w:p w14:paraId="03850C18" w14:textId="77777777" w:rsidR="002A4DDF" w:rsidRPr="00937C8B" w:rsidRDefault="002A4DDF" w:rsidP="009110ED">
            <w:pPr>
              <w:rPr>
                <w:rFonts w:ascii="Arial" w:hAnsi="Arial" w:cs="Arial"/>
                <w:sz w:val="12"/>
                <w:szCs w:val="12"/>
              </w:rPr>
            </w:pPr>
          </w:p>
        </w:tc>
        <w:tc>
          <w:tcPr>
            <w:tcW w:w="1843" w:type="dxa"/>
            <w:shd w:val="clear" w:color="auto" w:fill="auto"/>
          </w:tcPr>
          <w:p w14:paraId="222DA559" w14:textId="77777777" w:rsidR="002A4DDF" w:rsidRPr="00937C8B" w:rsidRDefault="002A4DDF" w:rsidP="009110ED">
            <w:pPr>
              <w:rPr>
                <w:rFonts w:ascii="Arial" w:hAnsi="Arial" w:cs="Arial"/>
                <w:sz w:val="12"/>
                <w:szCs w:val="12"/>
              </w:rPr>
            </w:pPr>
          </w:p>
        </w:tc>
        <w:tc>
          <w:tcPr>
            <w:tcW w:w="2268" w:type="dxa"/>
            <w:shd w:val="clear" w:color="auto" w:fill="F2F2F2"/>
          </w:tcPr>
          <w:p w14:paraId="4C2D1CC0" w14:textId="77777777" w:rsidR="002A4DDF" w:rsidRPr="00937C8B" w:rsidRDefault="002A4DDF" w:rsidP="009110ED">
            <w:pPr>
              <w:rPr>
                <w:rFonts w:ascii="Arial" w:hAnsi="Arial" w:cs="Arial"/>
                <w:sz w:val="12"/>
                <w:szCs w:val="12"/>
              </w:rPr>
            </w:pPr>
            <w:r>
              <w:rPr>
                <w:rFonts w:ascii="Arial" w:hAnsi="Arial"/>
                <w:sz w:val="12"/>
                <w:szCs w:val="12"/>
              </w:rPr>
              <w:t>Guadix</w:t>
            </w:r>
          </w:p>
        </w:tc>
        <w:tc>
          <w:tcPr>
            <w:tcW w:w="2268" w:type="dxa"/>
            <w:tcBorders>
              <w:right w:val="single" w:sz="4" w:space="0" w:color="auto"/>
            </w:tcBorders>
            <w:shd w:val="clear" w:color="auto" w:fill="D9D9D9"/>
          </w:tcPr>
          <w:p w14:paraId="79B4CE49" w14:textId="77777777" w:rsidR="002A4DDF" w:rsidRPr="00937C8B" w:rsidRDefault="002A4DDF" w:rsidP="009110ED">
            <w:pPr>
              <w:rPr>
                <w:rFonts w:ascii="Arial" w:hAnsi="Arial" w:cs="Arial"/>
                <w:sz w:val="12"/>
                <w:szCs w:val="12"/>
              </w:rPr>
            </w:pPr>
            <w:r>
              <w:rPr>
                <w:rFonts w:ascii="Arial" w:hAnsi="Arial"/>
                <w:sz w:val="12"/>
                <w:szCs w:val="12"/>
              </w:rPr>
              <w:t>Gor</w:t>
            </w:r>
          </w:p>
        </w:tc>
      </w:tr>
      <w:tr w:rsidR="002A4DDF" w:rsidRPr="00937C8B" w14:paraId="69854E4A" w14:textId="77777777" w:rsidTr="00935676">
        <w:trPr>
          <w:cantSplit/>
        </w:trPr>
        <w:tc>
          <w:tcPr>
            <w:tcW w:w="1696" w:type="dxa"/>
            <w:tcBorders>
              <w:left w:val="single" w:sz="4" w:space="0" w:color="auto"/>
            </w:tcBorders>
            <w:shd w:val="clear" w:color="auto" w:fill="auto"/>
          </w:tcPr>
          <w:p w14:paraId="39A6C5A6" w14:textId="77777777" w:rsidR="002A4DDF" w:rsidRPr="00937C8B" w:rsidRDefault="002A4DDF" w:rsidP="009110ED">
            <w:pPr>
              <w:rPr>
                <w:rFonts w:ascii="Arial" w:hAnsi="Arial" w:cs="Arial"/>
                <w:sz w:val="12"/>
                <w:szCs w:val="12"/>
              </w:rPr>
            </w:pPr>
          </w:p>
        </w:tc>
        <w:tc>
          <w:tcPr>
            <w:tcW w:w="1843" w:type="dxa"/>
            <w:shd w:val="clear" w:color="auto" w:fill="auto"/>
          </w:tcPr>
          <w:p w14:paraId="4DF93497" w14:textId="77777777" w:rsidR="002A4DDF" w:rsidRPr="00937C8B" w:rsidRDefault="002A4DDF" w:rsidP="009110ED">
            <w:pPr>
              <w:rPr>
                <w:rFonts w:ascii="Arial" w:hAnsi="Arial" w:cs="Arial"/>
                <w:sz w:val="12"/>
                <w:szCs w:val="12"/>
              </w:rPr>
            </w:pPr>
          </w:p>
        </w:tc>
        <w:tc>
          <w:tcPr>
            <w:tcW w:w="2268" w:type="dxa"/>
            <w:shd w:val="clear" w:color="auto" w:fill="F2F2F2"/>
            <w:hideMark/>
          </w:tcPr>
          <w:p w14:paraId="6C63630A" w14:textId="77777777" w:rsidR="002A4DDF" w:rsidRPr="00937C8B" w:rsidRDefault="002A4DDF" w:rsidP="009110ED">
            <w:pPr>
              <w:rPr>
                <w:rFonts w:ascii="Arial" w:hAnsi="Arial" w:cs="Arial"/>
                <w:sz w:val="12"/>
                <w:szCs w:val="12"/>
              </w:rPr>
            </w:pPr>
            <w:r>
              <w:rPr>
                <w:rFonts w:ascii="Arial" w:hAnsi="Arial"/>
                <w:sz w:val="12"/>
                <w:szCs w:val="12"/>
              </w:rPr>
              <w:t>Güéjar Sierra</w:t>
            </w:r>
          </w:p>
        </w:tc>
        <w:tc>
          <w:tcPr>
            <w:tcW w:w="2268" w:type="dxa"/>
            <w:tcBorders>
              <w:right w:val="single" w:sz="4" w:space="0" w:color="auto"/>
            </w:tcBorders>
            <w:shd w:val="clear" w:color="auto" w:fill="D9D9D9"/>
            <w:hideMark/>
          </w:tcPr>
          <w:p w14:paraId="3BDB5CD6" w14:textId="77777777" w:rsidR="002A4DDF" w:rsidRPr="00937C8B" w:rsidRDefault="002A4DDF" w:rsidP="009110ED">
            <w:pPr>
              <w:rPr>
                <w:rFonts w:ascii="Arial" w:hAnsi="Arial" w:cs="Arial"/>
                <w:sz w:val="12"/>
                <w:szCs w:val="12"/>
              </w:rPr>
            </w:pPr>
            <w:r>
              <w:rPr>
                <w:rFonts w:ascii="Arial" w:hAnsi="Arial"/>
                <w:sz w:val="12"/>
                <w:szCs w:val="12"/>
              </w:rPr>
              <w:t>Jerez del Marquesado</w:t>
            </w:r>
          </w:p>
        </w:tc>
      </w:tr>
      <w:tr w:rsidR="002A4DDF" w:rsidRPr="00937C8B" w14:paraId="44DD0D8C" w14:textId="77777777" w:rsidTr="00935676">
        <w:trPr>
          <w:cantSplit/>
        </w:trPr>
        <w:tc>
          <w:tcPr>
            <w:tcW w:w="1696" w:type="dxa"/>
            <w:tcBorders>
              <w:left w:val="single" w:sz="4" w:space="0" w:color="auto"/>
            </w:tcBorders>
            <w:shd w:val="clear" w:color="auto" w:fill="auto"/>
          </w:tcPr>
          <w:p w14:paraId="3A1950D6" w14:textId="77777777" w:rsidR="002A4DDF" w:rsidRPr="00937C8B" w:rsidRDefault="002A4DDF" w:rsidP="009110ED">
            <w:pPr>
              <w:rPr>
                <w:rFonts w:ascii="Arial" w:hAnsi="Arial" w:cs="Arial"/>
                <w:sz w:val="12"/>
                <w:szCs w:val="12"/>
              </w:rPr>
            </w:pPr>
          </w:p>
        </w:tc>
        <w:tc>
          <w:tcPr>
            <w:tcW w:w="1843" w:type="dxa"/>
            <w:shd w:val="clear" w:color="auto" w:fill="auto"/>
          </w:tcPr>
          <w:p w14:paraId="783F076B" w14:textId="77777777" w:rsidR="002A4DDF" w:rsidRPr="00937C8B" w:rsidRDefault="002A4DDF" w:rsidP="009110ED">
            <w:pPr>
              <w:rPr>
                <w:rFonts w:ascii="Arial" w:hAnsi="Arial" w:cs="Arial"/>
                <w:sz w:val="12"/>
                <w:szCs w:val="12"/>
              </w:rPr>
            </w:pPr>
          </w:p>
        </w:tc>
        <w:tc>
          <w:tcPr>
            <w:tcW w:w="2268" w:type="dxa"/>
            <w:shd w:val="clear" w:color="auto" w:fill="F2F2F2"/>
            <w:hideMark/>
          </w:tcPr>
          <w:p w14:paraId="250C805F" w14:textId="77777777" w:rsidR="002A4DDF" w:rsidRPr="00937C8B" w:rsidRDefault="002A4DDF" w:rsidP="009110ED">
            <w:pPr>
              <w:rPr>
                <w:rFonts w:ascii="Arial" w:hAnsi="Arial" w:cs="Arial"/>
                <w:sz w:val="12"/>
                <w:szCs w:val="12"/>
              </w:rPr>
            </w:pPr>
            <w:r>
              <w:rPr>
                <w:rFonts w:ascii="Arial" w:hAnsi="Arial"/>
                <w:sz w:val="12"/>
                <w:szCs w:val="12"/>
              </w:rPr>
              <w:t>Huéneja</w:t>
            </w:r>
          </w:p>
        </w:tc>
        <w:tc>
          <w:tcPr>
            <w:tcW w:w="2268" w:type="dxa"/>
            <w:tcBorders>
              <w:right w:val="single" w:sz="4" w:space="0" w:color="auto"/>
            </w:tcBorders>
            <w:shd w:val="clear" w:color="auto" w:fill="D9D9D9"/>
            <w:hideMark/>
          </w:tcPr>
          <w:p w14:paraId="6BA57096" w14:textId="77777777" w:rsidR="002A4DDF" w:rsidRPr="00937C8B" w:rsidRDefault="002A4DDF" w:rsidP="009110ED">
            <w:pPr>
              <w:rPr>
                <w:rFonts w:ascii="Arial" w:hAnsi="Arial" w:cs="Arial"/>
                <w:sz w:val="12"/>
                <w:szCs w:val="12"/>
              </w:rPr>
            </w:pPr>
            <w:r>
              <w:rPr>
                <w:rFonts w:ascii="Arial" w:hAnsi="Arial"/>
                <w:sz w:val="12"/>
                <w:szCs w:val="12"/>
              </w:rPr>
              <w:t>La Calahorra</w:t>
            </w:r>
          </w:p>
        </w:tc>
      </w:tr>
      <w:tr w:rsidR="002A4DDF" w:rsidRPr="00937C8B" w14:paraId="26E0EB95" w14:textId="77777777" w:rsidTr="00935676">
        <w:trPr>
          <w:cantSplit/>
        </w:trPr>
        <w:tc>
          <w:tcPr>
            <w:tcW w:w="1696" w:type="dxa"/>
            <w:tcBorders>
              <w:left w:val="single" w:sz="4" w:space="0" w:color="auto"/>
            </w:tcBorders>
            <w:shd w:val="clear" w:color="auto" w:fill="auto"/>
          </w:tcPr>
          <w:p w14:paraId="6F5D92CA" w14:textId="77777777" w:rsidR="002A4DDF" w:rsidRPr="00937C8B" w:rsidRDefault="002A4DDF" w:rsidP="009110ED">
            <w:pPr>
              <w:rPr>
                <w:rFonts w:ascii="Arial" w:hAnsi="Arial" w:cs="Arial"/>
                <w:sz w:val="12"/>
                <w:szCs w:val="12"/>
              </w:rPr>
            </w:pPr>
          </w:p>
        </w:tc>
        <w:tc>
          <w:tcPr>
            <w:tcW w:w="1843" w:type="dxa"/>
            <w:shd w:val="clear" w:color="auto" w:fill="auto"/>
          </w:tcPr>
          <w:p w14:paraId="73D554E7" w14:textId="77777777" w:rsidR="002A4DDF" w:rsidRPr="00937C8B" w:rsidRDefault="002A4DDF" w:rsidP="009110ED">
            <w:pPr>
              <w:rPr>
                <w:rFonts w:ascii="Arial" w:hAnsi="Arial" w:cs="Arial"/>
                <w:sz w:val="12"/>
                <w:szCs w:val="12"/>
              </w:rPr>
            </w:pPr>
          </w:p>
        </w:tc>
        <w:tc>
          <w:tcPr>
            <w:tcW w:w="2268" w:type="dxa"/>
            <w:shd w:val="clear" w:color="auto" w:fill="F2F2F2"/>
            <w:hideMark/>
          </w:tcPr>
          <w:p w14:paraId="5A271621" w14:textId="77777777" w:rsidR="002A4DDF" w:rsidRPr="00937C8B" w:rsidRDefault="002A4DDF" w:rsidP="009110ED">
            <w:pPr>
              <w:rPr>
                <w:rFonts w:ascii="Arial" w:hAnsi="Arial" w:cs="Arial"/>
                <w:sz w:val="12"/>
                <w:szCs w:val="12"/>
              </w:rPr>
            </w:pPr>
            <w:r>
              <w:rPr>
                <w:rFonts w:ascii="Arial" w:hAnsi="Arial"/>
                <w:sz w:val="12"/>
                <w:szCs w:val="12"/>
              </w:rPr>
              <w:t>Ítrabo</w:t>
            </w:r>
          </w:p>
        </w:tc>
        <w:tc>
          <w:tcPr>
            <w:tcW w:w="2268" w:type="dxa"/>
            <w:tcBorders>
              <w:right w:val="single" w:sz="4" w:space="0" w:color="auto"/>
            </w:tcBorders>
            <w:shd w:val="clear" w:color="auto" w:fill="D9D9D9"/>
            <w:hideMark/>
          </w:tcPr>
          <w:p w14:paraId="2888E5B4" w14:textId="77777777" w:rsidR="002A4DDF" w:rsidRPr="00937C8B" w:rsidRDefault="002A4DDF" w:rsidP="009110ED">
            <w:pPr>
              <w:rPr>
                <w:rFonts w:ascii="Arial" w:hAnsi="Arial" w:cs="Arial"/>
                <w:sz w:val="12"/>
                <w:szCs w:val="12"/>
              </w:rPr>
            </w:pPr>
            <w:r>
              <w:rPr>
                <w:rFonts w:ascii="Arial" w:hAnsi="Arial"/>
                <w:sz w:val="12"/>
                <w:szCs w:val="12"/>
              </w:rPr>
              <w:t>La Taha</w:t>
            </w:r>
          </w:p>
        </w:tc>
      </w:tr>
      <w:tr w:rsidR="002A4DDF" w:rsidRPr="00937C8B" w14:paraId="6A763768" w14:textId="77777777" w:rsidTr="00935676">
        <w:trPr>
          <w:cantSplit/>
        </w:trPr>
        <w:tc>
          <w:tcPr>
            <w:tcW w:w="1696" w:type="dxa"/>
            <w:tcBorders>
              <w:left w:val="single" w:sz="4" w:space="0" w:color="auto"/>
            </w:tcBorders>
            <w:shd w:val="clear" w:color="auto" w:fill="auto"/>
          </w:tcPr>
          <w:p w14:paraId="1DBA67A8" w14:textId="77777777" w:rsidR="002A4DDF" w:rsidRPr="00937C8B" w:rsidRDefault="002A4DDF" w:rsidP="009110ED">
            <w:pPr>
              <w:rPr>
                <w:rFonts w:ascii="Arial" w:hAnsi="Arial" w:cs="Arial"/>
                <w:sz w:val="12"/>
                <w:szCs w:val="12"/>
              </w:rPr>
            </w:pPr>
          </w:p>
        </w:tc>
        <w:tc>
          <w:tcPr>
            <w:tcW w:w="1843" w:type="dxa"/>
            <w:shd w:val="clear" w:color="auto" w:fill="auto"/>
          </w:tcPr>
          <w:p w14:paraId="1327582C" w14:textId="77777777" w:rsidR="002A4DDF" w:rsidRPr="00937C8B" w:rsidRDefault="002A4DDF" w:rsidP="009110ED">
            <w:pPr>
              <w:rPr>
                <w:rFonts w:ascii="Arial" w:hAnsi="Arial" w:cs="Arial"/>
                <w:sz w:val="12"/>
                <w:szCs w:val="12"/>
              </w:rPr>
            </w:pPr>
          </w:p>
        </w:tc>
        <w:tc>
          <w:tcPr>
            <w:tcW w:w="2268" w:type="dxa"/>
            <w:shd w:val="clear" w:color="auto" w:fill="F2F2F2"/>
            <w:hideMark/>
          </w:tcPr>
          <w:p w14:paraId="676E560A" w14:textId="77777777" w:rsidR="002A4DDF" w:rsidRPr="00937C8B" w:rsidRDefault="002A4DDF" w:rsidP="009110ED">
            <w:pPr>
              <w:rPr>
                <w:rFonts w:ascii="Arial" w:hAnsi="Arial" w:cs="Arial"/>
                <w:sz w:val="12"/>
                <w:szCs w:val="12"/>
              </w:rPr>
            </w:pPr>
            <w:r>
              <w:rPr>
                <w:rFonts w:ascii="Arial" w:hAnsi="Arial"/>
                <w:sz w:val="12"/>
                <w:szCs w:val="12"/>
              </w:rPr>
              <w:t>Jete</w:t>
            </w:r>
          </w:p>
        </w:tc>
        <w:tc>
          <w:tcPr>
            <w:tcW w:w="2268" w:type="dxa"/>
            <w:tcBorders>
              <w:right w:val="single" w:sz="4" w:space="0" w:color="auto"/>
            </w:tcBorders>
            <w:shd w:val="clear" w:color="auto" w:fill="D9D9D9"/>
            <w:hideMark/>
          </w:tcPr>
          <w:p w14:paraId="0EE7B778" w14:textId="77777777" w:rsidR="002A4DDF" w:rsidRPr="00937C8B" w:rsidRDefault="002A4DDF" w:rsidP="009110ED">
            <w:pPr>
              <w:rPr>
                <w:rFonts w:ascii="Arial" w:hAnsi="Arial" w:cs="Arial"/>
                <w:sz w:val="12"/>
                <w:szCs w:val="12"/>
              </w:rPr>
            </w:pPr>
            <w:r>
              <w:rPr>
                <w:rFonts w:ascii="Arial" w:hAnsi="Arial"/>
                <w:sz w:val="12"/>
                <w:szCs w:val="12"/>
              </w:rPr>
              <w:t>Lanteira</w:t>
            </w:r>
          </w:p>
        </w:tc>
      </w:tr>
      <w:tr w:rsidR="002A4DDF" w:rsidRPr="00937C8B" w14:paraId="34FCA504" w14:textId="77777777" w:rsidTr="00935676">
        <w:trPr>
          <w:cantSplit/>
        </w:trPr>
        <w:tc>
          <w:tcPr>
            <w:tcW w:w="1696" w:type="dxa"/>
            <w:tcBorders>
              <w:left w:val="single" w:sz="4" w:space="0" w:color="auto"/>
            </w:tcBorders>
            <w:shd w:val="clear" w:color="auto" w:fill="auto"/>
          </w:tcPr>
          <w:p w14:paraId="54386F31" w14:textId="77777777" w:rsidR="002A4DDF" w:rsidRPr="00937C8B" w:rsidRDefault="002A4DDF" w:rsidP="009110ED">
            <w:pPr>
              <w:rPr>
                <w:rFonts w:ascii="Arial" w:hAnsi="Arial" w:cs="Arial"/>
                <w:sz w:val="12"/>
                <w:szCs w:val="12"/>
              </w:rPr>
            </w:pPr>
          </w:p>
        </w:tc>
        <w:tc>
          <w:tcPr>
            <w:tcW w:w="1843" w:type="dxa"/>
            <w:shd w:val="clear" w:color="auto" w:fill="auto"/>
          </w:tcPr>
          <w:p w14:paraId="140E7F8C" w14:textId="77777777" w:rsidR="002A4DDF" w:rsidRPr="00937C8B" w:rsidRDefault="002A4DDF" w:rsidP="009110ED">
            <w:pPr>
              <w:rPr>
                <w:rFonts w:ascii="Arial" w:hAnsi="Arial" w:cs="Arial"/>
                <w:sz w:val="12"/>
                <w:szCs w:val="12"/>
              </w:rPr>
            </w:pPr>
          </w:p>
        </w:tc>
        <w:tc>
          <w:tcPr>
            <w:tcW w:w="2268" w:type="dxa"/>
            <w:shd w:val="clear" w:color="auto" w:fill="F2F2F2"/>
            <w:hideMark/>
          </w:tcPr>
          <w:p w14:paraId="0B3FE20C" w14:textId="77777777" w:rsidR="002A4DDF" w:rsidRPr="00937C8B" w:rsidRDefault="002A4DDF" w:rsidP="009110ED">
            <w:pPr>
              <w:rPr>
                <w:rFonts w:ascii="Arial" w:hAnsi="Arial" w:cs="Arial"/>
                <w:sz w:val="12"/>
                <w:szCs w:val="12"/>
              </w:rPr>
            </w:pPr>
            <w:r>
              <w:rPr>
                <w:rFonts w:ascii="Arial" w:hAnsi="Arial"/>
                <w:sz w:val="12"/>
                <w:szCs w:val="12"/>
              </w:rPr>
              <w:t>Juviles</w:t>
            </w:r>
          </w:p>
        </w:tc>
        <w:tc>
          <w:tcPr>
            <w:tcW w:w="2268" w:type="dxa"/>
            <w:tcBorders>
              <w:right w:val="single" w:sz="4" w:space="0" w:color="auto"/>
            </w:tcBorders>
            <w:shd w:val="clear" w:color="auto" w:fill="D9D9D9"/>
            <w:hideMark/>
          </w:tcPr>
          <w:p w14:paraId="2CCFA513" w14:textId="77777777" w:rsidR="002A4DDF" w:rsidRPr="00937C8B" w:rsidRDefault="002A4DDF" w:rsidP="009110ED">
            <w:pPr>
              <w:rPr>
                <w:rFonts w:ascii="Arial" w:hAnsi="Arial" w:cs="Arial"/>
                <w:sz w:val="12"/>
                <w:szCs w:val="12"/>
              </w:rPr>
            </w:pPr>
            <w:r>
              <w:rPr>
                <w:rFonts w:ascii="Arial" w:hAnsi="Arial"/>
                <w:sz w:val="12"/>
                <w:szCs w:val="12"/>
              </w:rPr>
              <w:t>Lugros</w:t>
            </w:r>
          </w:p>
        </w:tc>
      </w:tr>
      <w:tr w:rsidR="002A4DDF" w:rsidRPr="00937C8B" w14:paraId="4B6D8550" w14:textId="77777777" w:rsidTr="00935676">
        <w:trPr>
          <w:cantSplit/>
        </w:trPr>
        <w:tc>
          <w:tcPr>
            <w:tcW w:w="1696" w:type="dxa"/>
            <w:tcBorders>
              <w:left w:val="single" w:sz="4" w:space="0" w:color="auto"/>
            </w:tcBorders>
            <w:shd w:val="clear" w:color="auto" w:fill="auto"/>
          </w:tcPr>
          <w:p w14:paraId="5B535F7F" w14:textId="77777777" w:rsidR="002A4DDF" w:rsidRPr="00937C8B" w:rsidRDefault="002A4DDF" w:rsidP="009110ED">
            <w:pPr>
              <w:rPr>
                <w:rFonts w:ascii="Arial" w:hAnsi="Arial" w:cs="Arial"/>
                <w:sz w:val="12"/>
                <w:szCs w:val="12"/>
              </w:rPr>
            </w:pPr>
          </w:p>
        </w:tc>
        <w:tc>
          <w:tcPr>
            <w:tcW w:w="1843" w:type="dxa"/>
            <w:shd w:val="clear" w:color="auto" w:fill="auto"/>
          </w:tcPr>
          <w:p w14:paraId="28836B32" w14:textId="77777777" w:rsidR="002A4DDF" w:rsidRPr="00937C8B" w:rsidRDefault="002A4DDF" w:rsidP="009110ED">
            <w:pPr>
              <w:rPr>
                <w:rFonts w:ascii="Arial" w:hAnsi="Arial" w:cs="Arial"/>
                <w:sz w:val="12"/>
                <w:szCs w:val="12"/>
              </w:rPr>
            </w:pPr>
          </w:p>
        </w:tc>
        <w:tc>
          <w:tcPr>
            <w:tcW w:w="2268" w:type="dxa"/>
            <w:shd w:val="clear" w:color="auto" w:fill="F2F2F2"/>
            <w:hideMark/>
          </w:tcPr>
          <w:p w14:paraId="54B431C2" w14:textId="77777777" w:rsidR="002A4DDF" w:rsidRPr="00937C8B" w:rsidRDefault="002A4DDF" w:rsidP="009110ED">
            <w:pPr>
              <w:rPr>
                <w:rFonts w:ascii="Arial" w:hAnsi="Arial" w:cs="Arial"/>
                <w:sz w:val="12"/>
                <w:szCs w:val="12"/>
              </w:rPr>
            </w:pPr>
            <w:r>
              <w:rPr>
                <w:rFonts w:ascii="Arial" w:hAnsi="Arial"/>
                <w:sz w:val="12"/>
                <w:szCs w:val="12"/>
              </w:rPr>
              <w:t>Lobras</w:t>
            </w:r>
          </w:p>
        </w:tc>
        <w:tc>
          <w:tcPr>
            <w:tcW w:w="2268" w:type="dxa"/>
            <w:tcBorders>
              <w:right w:val="single" w:sz="4" w:space="0" w:color="auto"/>
            </w:tcBorders>
            <w:shd w:val="clear" w:color="auto" w:fill="D9D9D9"/>
            <w:hideMark/>
          </w:tcPr>
          <w:p w14:paraId="1FE5BC17" w14:textId="77777777" w:rsidR="002A4DDF" w:rsidRPr="00937C8B" w:rsidRDefault="002A4DDF" w:rsidP="009110ED">
            <w:pPr>
              <w:rPr>
                <w:rFonts w:ascii="Arial" w:hAnsi="Arial" w:cs="Arial"/>
                <w:sz w:val="12"/>
                <w:szCs w:val="12"/>
              </w:rPr>
            </w:pPr>
            <w:r>
              <w:rPr>
                <w:rFonts w:ascii="Arial" w:hAnsi="Arial"/>
                <w:sz w:val="12"/>
                <w:szCs w:val="12"/>
              </w:rPr>
              <w:t>Monachil</w:t>
            </w:r>
          </w:p>
        </w:tc>
      </w:tr>
      <w:tr w:rsidR="002A4DDF" w:rsidRPr="00937C8B" w14:paraId="0CE8B6F3" w14:textId="77777777" w:rsidTr="00935676">
        <w:trPr>
          <w:cantSplit/>
        </w:trPr>
        <w:tc>
          <w:tcPr>
            <w:tcW w:w="1696" w:type="dxa"/>
            <w:tcBorders>
              <w:left w:val="single" w:sz="4" w:space="0" w:color="auto"/>
            </w:tcBorders>
            <w:shd w:val="clear" w:color="auto" w:fill="auto"/>
          </w:tcPr>
          <w:p w14:paraId="43A0286D" w14:textId="77777777" w:rsidR="002A4DDF" w:rsidRPr="00937C8B" w:rsidRDefault="002A4DDF" w:rsidP="009110ED">
            <w:pPr>
              <w:rPr>
                <w:rFonts w:ascii="Arial" w:hAnsi="Arial" w:cs="Arial"/>
                <w:sz w:val="12"/>
                <w:szCs w:val="12"/>
              </w:rPr>
            </w:pPr>
          </w:p>
        </w:tc>
        <w:tc>
          <w:tcPr>
            <w:tcW w:w="1843" w:type="dxa"/>
            <w:shd w:val="clear" w:color="auto" w:fill="auto"/>
          </w:tcPr>
          <w:p w14:paraId="723BB9AF" w14:textId="77777777" w:rsidR="002A4DDF" w:rsidRPr="00937C8B" w:rsidRDefault="002A4DDF" w:rsidP="009110ED">
            <w:pPr>
              <w:rPr>
                <w:rFonts w:ascii="Arial" w:hAnsi="Arial" w:cs="Arial"/>
                <w:sz w:val="12"/>
                <w:szCs w:val="12"/>
              </w:rPr>
            </w:pPr>
          </w:p>
        </w:tc>
        <w:tc>
          <w:tcPr>
            <w:tcW w:w="2268" w:type="dxa"/>
            <w:shd w:val="clear" w:color="auto" w:fill="F2F2F2"/>
            <w:hideMark/>
          </w:tcPr>
          <w:p w14:paraId="784F517A" w14:textId="77777777" w:rsidR="002A4DDF" w:rsidRPr="00937C8B" w:rsidRDefault="002A4DDF" w:rsidP="009110ED">
            <w:pPr>
              <w:rPr>
                <w:rFonts w:ascii="Arial" w:hAnsi="Arial" w:cs="Arial"/>
                <w:sz w:val="12"/>
                <w:szCs w:val="12"/>
              </w:rPr>
            </w:pPr>
            <w:r>
              <w:rPr>
                <w:rFonts w:ascii="Arial" w:hAnsi="Arial"/>
                <w:sz w:val="12"/>
                <w:szCs w:val="12"/>
              </w:rPr>
              <w:t>Lújar</w:t>
            </w:r>
          </w:p>
        </w:tc>
        <w:tc>
          <w:tcPr>
            <w:tcW w:w="2268" w:type="dxa"/>
            <w:tcBorders>
              <w:right w:val="single" w:sz="4" w:space="0" w:color="auto"/>
            </w:tcBorders>
            <w:shd w:val="clear" w:color="auto" w:fill="D9D9D9"/>
            <w:hideMark/>
          </w:tcPr>
          <w:p w14:paraId="15F5AC89" w14:textId="77777777" w:rsidR="002A4DDF" w:rsidRPr="00937C8B" w:rsidRDefault="002A4DDF" w:rsidP="009110ED">
            <w:pPr>
              <w:rPr>
                <w:rFonts w:ascii="Arial" w:hAnsi="Arial" w:cs="Arial"/>
                <w:sz w:val="12"/>
                <w:szCs w:val="12"/>
              </w:rPr>
            </w:pPr>
            <w:r>
              <w:rPr>
                <w:rFonts w:ascii="Arial" w:hAnsi="Arial"/>
                <w:sz w:val="12"/>
                <w:szCs w:val="12"/>
              </w:rPr>
              <w:t>Nevada</w:t>
            </w:r>
          </w:p>
        </w:tc>
      </w:tr>
      <w:tr w:rsidR="002A4DDF" w:rsidRPr="00937C8B" w14:paraId="2198E9B5" w14:textId="77777777" w:rsidTr="00935676">
        <w:trPr>
          <w:cantSplit/>
        </w:trPr>
        <w:tc>
          <w:tcPr>
            <w:tcW w:w="1696" w:type="dxa"/>
            <w:tcBorders>
              <w:left w:val="single" w:sz="4" w:space="0" w:color="auto"/>
            </w:tcBorders>
            <w:shd w:val="clear" w:color="auto" w:fill="auto"/>
          </w:tcPr>
          <w:p w14:paraId="56BF3E13" w14:textId="77777777" w:rsidR="002A4DDF" w:rsidRPr="00937C8B" w:rsidRDefault="002A4DDF" w:rsidP="009110ED">
            <w:pPr>
              <w:rPr>
                <w:rFonts w:ascii="Arial" w:hAnsi="Arial" w:cs="Arial"/>
                <w:sz w:val="12"/>
                <w:szCs w:val="12"/>
              </w:rPr>
            </w:pPr>
          </w:p>
        </w:tc>
        <w:tc>
          <w:tcPr>
            <w:tcW w:w="1843" w:type="dxa"/>
            <w:shd w:val="clear" w:color="auto" w:fill="auto"/>
          </w:tcPr>
          <w:p w14:paraId="01BD48C8" w14:textId="77777777" w:rsidR="002A4DDF" w:rsidRPr="00937C8B" w:rsidRDefault="002A4DDF" w:rsidP="009110ED">
            <w:pPr>
              <w:rPr>
                <w:rFonts w:ascii="Arial" w:hAnsi="Arial" w:cs="Arial"/>
                <w:sz w:val="12"/>
                <w:szCs w:val="12"/>
              </w:rPr>
            </w:pPr>
          </w:p>
        </w:tc>
        <w:tc>
          <w:tcPr>
            <w:tcW w:w="2268" w:type="dxa"/>
            <w:shd w:val="clear" w:color="auto" w:fill="F2F2F2"/>
            <w:hideMark/>
          </w:tcPr>
          <w:p w14:paraId="559DC705" w14:textId="77777777" w:rsidR="002A4DDF" w:rsidRPr="00937C8B" w:rsidRDefault="002A4DDF" w:rsidP="009110ED">
            <w:pPr>
              <w:rPr>
                <w:rFonts w:ascii="Arial" w:hAnsi="Arial" w:cs="Arial"/>
                <w:sz w:val="12"/>
                <w:szCs w:val="12"/>
              </w:rPr>
            </w:pPr>
            <w:r>
              <w:rPr>
                <w:rFonts w:ascii="Arial" w:hAnsi="Arial"/>
                <w:sz w:val="12"/>
                <w:szCs w:val="12"/>
              </w:rPr>
              <w:t>Murtas</w:t>
            </w:r>
          </w:p>
        </w:tc>
        <w:tc>
          <w:tcPr>
            <w:tcW w:w="2268" w:type="dxa"/>
            <w:tcBorders>
              <w:right w:val="single" w:sz="4" w:space="0" w:color="auto"/>
            </w:tcBorders>
            <w:shd w:val="clear" w:color="auto" w:fill="D9D9D9"/>
            <w:hideMark/>
          </w:tcPr>
          <w:p w14:paraId="20E8E4A9" w14:textId="77777777" w:rsidR="002A4DDF" w:rsidRPr="00937C8B" w:rsidRDefault="002A4DDF" w:rsidP="009110ED">
            <w:pPr>
              <w:rPr>
                <w:rFonts w:ascii="Arial" w:hAnsi="Arial" w:cs="Arial"/>
                <w:sz w:val="12"/>
                <w:szCs w:val="12"/>
              </w:rPr>
            </w:pPr>
            <w:r>
              <w:rPr>
                <w:rFonts w:ascii="Arial" w:hAnsi="Arial"/>
                <w:sz w:val="12"/>
                <w:szCs w:val="12"/>
              </w:rPr>
              <w:t>Pampaneira</w:t>
            </w:r>
          </w:p>
        </w:tc>
      </w:tr>
      <w:tr w:rsidR="002A4DDF" w:rsidRPr="00937C8B" w14:paraId="1DB66339" w14:textId="77777777" w:rsidTr="00935676">
        <w:trPr>
          <w:cantSplit/>
        </w:trPr>
        <w:tc>
          <w:tcPr>
            <w:tcW w:w="1696" w:type="dxa"/>
            <w:tcBorders>
              <w:left w:val="single" w:sz="4" w:space="0" w:color="auto"/>
            </w:tcBorders>
            <w:shd w:val="clear" w:color="auto" w:fill="auto"/>
          </w:tcPr>
          <w:p w14:paraId="024A9515" w14:textId="77777777" w:rsidR="002A4DDF" w:rsidRPr="00937C8B" w:rsidRDefault="002A4DDF" w:rsidP="009110ED">
            <w:pPr>
              <w:rPr>
                <w:rFonts w:ascii="Arial" w:hAnsi="Arial" w:cs="Arial"/>
                <w:sz w:val="12"/>
                <w:szCs w:val="12"/>
              </w:rPr>
            </w:pPr>
          </w:p>
        </w:tc>
        <w:tc>
          <w:tcPr>
            <w:tcW w:w="1843" w:type="dxa"/>
            <w:shd w:val="clear" w:color="auto" w:fill="auto"/>
          </w:tcPr>
          <w:p w14:paraId="0245EF52" w14:textId="77777777" w:rsidR="002A4DDF" w:rsidRPr="00937C8B" w:rsidRDefault="002A4DDF" w:rsidP="009110ED">
            <w:pPr>
              <w:rPr>
                <w:rFonts w:ascii="Arial" w:hAnsi="Arial" w:cs="Arial"/>
                <w:sz w:val="12"/>
                <w:szCs w:val="12"/>
              </w:rPr>
            </w:pPr>
          </w:p>
        </w:tc>
        <w:tc>
          <w:tcPr>
            <w:tcW w:w="2268" w:type="dxa"/>
            <w:shd w:val="clear" w:color="auto" w:fill="F2F2F2"/>
            <w:hideMark/>
          </w:tcPr>
          <w:p w14:paraId="4FFAC21B" w14:textId="77777777" w:rsidR="002A4DDF" w:rsidRPr="00937C8B" w:rsidRDefault="002A4DDF" w:rsidP="009110ED">
            <w:pPr>
              <w:rPr>
                <w:rFonts w:ascii="Arial" w:hAnsi="Arial" w:cs="Arial"/>
                <w:sz w:val="12"/>
                <w:szCs w:val="12"/>
              </w:rPr>
            </w:pPr>
            <w:r>
              <w:rPr>
                <w:rFonts w:ascii="Arial" w:hAnsi="Arial"/>
                <w:sz w:val="12"/>
                <w:szCs w:val="12"/>
              </w:rPr>
              <w:t>Otívar</w:t>
            </w:r>
          </w:p>
        </w:tc>
        <w:tc>
          <w:tcPr>
            <w:tcW w:w="2268" w:type="dxa"/>
            <w:tcBorders>
              <w:right w:val="single" w:sz="4" w:space="0" w:color="auto"/>
            </w:tcBorders>
            <w:shd w:val="clear" w:color="auto" w:fill="D9D9D9"/>
            <w:hideMark/>
          </w:tcPr>
          <w:p w14:paraId="61F561D0" w14:textId="77777777" w:rsidR="002A4DDF" w:rsidRPr="00937C8B" w:rsidRDefault="002A4DDF" w:rsidP="009110ED">
            <w:pPr>
              <w:rPr>
                <w:rFonts w:ascii="Arial" w:hAnsi="Arial" w:cs="Arial"/>
                <w:sz w:val="12"/>
                <w:szCs w:val="12"/>
              </w:rPr>
            </w:pPr>
            <w:r>
              <w:rPr>
                <w:rFonts w:ascii="Arial" w:hAnsi="Arial"/>
                <w:sz w:val="12"/>
                <w:szCs w:val="12"/>
              </w:rPr>
              <w:t>Pórtugos</w:t>
            </w:r>
          </w:p>
        </w:tc>
      </w:tr>
      <w:tr w:rsidR="002A4DDF" w:rsidRPr="00937C8B" w14:paraId="4E1CD525" w14:textId="77777777" w:rsidTr="00935676">
        <w:trPr>
          <w:cantSplit/>
        </w:trPr>
        <w:tc>
          <w:tcPr>
            <w:tcW w:w="1696" w:type="dxa"/>
            <w:tcBorders>
              <w:left w:val="single" w:sz="4" w:space="0" w:color="auto"/>
            </w:tcBorders>
            <w:shd w:val="clear" w:color="auto" w:fill="auto"/>
          </w:tcPr>
          <w:p w14:paraId="79094271" w14:textId="77777777" w:rsidR="002A4DDF" w:rsidRPr="00937C8B" w:rsidRDefault="002A4DDF" w:rsidP="009110ED">
            <w:pPr>
              <w:rPr>
                <w:rFonts w:ascii="Arial" w:hAnsi="Arial" w:cs="Arial"/>
                <w:sz w:val="12"/>
                <w:szCs w:val="12"/>
              </w:rPr>
            </w:pPr>
          </w:p>
        </w:tc>
        <w:tc>
          <w:tcPr>
            <w:tcW w:w="1843" w:type="dxa"/>
            <w:shd w:val="clear" w:color="auto" w:fill="auto"/>
          </w:tcPr>
          <w:p w14:paraId="7346E6DA" w14:textId="77777777" w:rsidR="002A4DDF" w:rsidRPr="00937C8B" w:rsidRDefault="002A4DDF" w:rsidP="009110ED">
            <w:pPr>
              <w:rPr>
                <w:rFonts w:ascii="Arial" w:hAnsi="Arial" w:cs="Arial"/>
                <w:sz w:val="12"/>
                <w:szCs w:val="12"/>
              </w:rPr>
            </w:pPr>
          </w:p>
        </w:tc>
        <w:tc>
          <w:tcPr>
            <w:tcW w:w="2268" w:type="dxa"/>
            <w:shd w:val="clear" w:color="auto" w:fill="F2F2F2"/>
            <w:hideMark/>
          </w:tcPr>
          <w:p w14:paraId="02133881" w14:textId="77777777" w:rsidR="002A4DDF" w:rsidRPr="00937C8B" w:rsidRDefault="002A4DDF" w:rsidP="009110ED">
            <w:pPr>
              <w:rPr>
                <w:rFonts w:ascii="Arial" w:hAnsi="Arial" w:cs="Arial"/>
                <w:sz w:val="12"/>
                <w:szCs w:val="12"/>
              </w:rPr>
            </w:pPr>
            <w:r>
              <w:rPr>
                <w:rFonts w:ascii="Arial" w:hAnsi="Arial"/>
                <w:sz w:val="12"/>
                <w:szCs w:val="12"/>
              </w:rPr>
              <w:t>Pinos Genil</w:t>
            </w:r>
          </w:p>
        </w:tc>
        <w:tc>
          <w:tcPr>
            <w:tcW w:w="2268" w:type="dxa"/>
            <w:tcBorders>
              <w:right w:val="single" w:sz="4" w:space="0" w:color="auto"/>
            </w:tcBorders>
            <w:shd w:val="clear" w:color="auto" w:fill="D9D9D9"/>
            <w:hideMark/>
          </w:tcPr>
          <w:p w14:paraId="366B515B" w14:textId="77777777" w:rsidR="002A4DDF" w:rsidRPr="00937C8B" w:rsidRDefault="002A4DDF" w:rsidP="009110ED">
            <w:pPr>
              <w:rPr>
                <w:rFonts w:ascii="Arial" w:hAnsi="Arial" w:cs="Arial"/>
                <w:sz w:val="12"/>
                <w:szCs w:val="12"/>
              </w:rPr>
            </w:pPr>
            <w:r>
              <w:rPr>
                <w:rFonts w:ascii="Arial" w:hAnsi="Arial"/>
                <w:sz w:val="12"/>
                <w:szCs w:val="12"/>
              </w:rPr>
              <w:t>Soportújar</w:t>
            </w:r>
          </w:p>
        </w:tc>
      </w:tr>
      <w:tr w:rsidR="002A4DDF" w:rsidRPr="00937C8B" w14:paraId="66754821" w14:textId="77777777" w:rsidTr="00935676">
        <w:trPr>
          <w:cantSplit/>
        </w:trPr>
        <w:tc>
          <w:tcPr>
            <w:tcW w:w="1696" w:type="dxa"/>
            <w:tcBorders>
              <w:left w:val="single" w:sz="4" w:space="0" w:color="auto"/>
            </w:tcBorders>
            <w:shd w:val="clear" w:color="auto" w:fill="auto"/>
          </w:tcPr>
          <w:p w14:paraId="4329C90E" w14:textId="77777777" w:rsidR="002A4DDF" w:rsidRPr="00937C8B" w:rsidRDefault="002A4DDF" w:rsidP="009110ED">
            <w:pPr>
              <w:rPr>
                <w:rFonts w:ascii="Arial" w:hAnsi="Arial" w:cs="Arial"/>
                <w:sz w:val="12"/>
                <w:szCs w:val="12"/>
              </w:rPr>
            </w:pPr>
          </w:p>
        </w:tc>
        <w:tc>
          <w:tcPr>
            <w:tcW w:w="1843" w:type="dxa"/>
            <w:shd w:val="clear" w:color="auto" w:fill="auto"/>
          </w:tcPr>
          <w:p w14:paraId="3512E50B" w14:textId="77777777" w:rsidR="002A4DDF" w:rsidRPr="00937C8B" w:rsidRDefault="002A4DDF" w:rsidP="009110ED">
            <w:pPr>
              <w:rPr>
                <w:rFonts w:ascii="Arial" w:hAnsi="Arial" w:cs="Arial"/>
                <w:sz w:val="12"/>
                <w:szCs w:val="12"/>
              </w:rPr>
            </w:pPr>
          </w:p>
        </w:tc>
        <w:tc>
          <w:tcPr>
            <w:tcW w:w="2268" w:type="dxa"/>
            <w:shd w:val="clear" w:color="auto" w:fill="F2F2F2"/>
            <w:hideMark/>
          </w:tcPr>
          <w:p w14:paraId="30E9B15C" w14:textId="77777777" w:rsidR="002A4DDF" w:rsidRPr="00937C8B" w:rsidRDefault="002A4DDF" w:rsidP="009110ED">
            <w:pPr>
              <w:rPr>
                <w:rFonts w:ascii="Arial" w:hAnsi="Arial" w:cs="Arial"/>
                <w:sz w:val="12"/>
                <w:szCs w:val="12"/>
              </w:rPr>
            </w:pPr>
            <w:r>
              <w:rPr>
                <w:rFonts w:ascii="Arial" w:hAnsi="Arial"/>
                <w:sz w:val="12"/>
                <w:szCs w:val="12"/>
              </w:rPr>
              <w:t>Polopos</w:t>
            </w:r>
          </w:p>
        </w:tc>
        <w:tc>
          <w:tcPr>
            <w:tcW w:w="2268" w:type="dxa"/>
            <w:tcBorders>
              <w:right w:val="single" w:sz="4" w:space="0" w:color="auto"/>
            </w:tcBorders>
            <w:shd w:val="clear" w:color="auto" w:fill="D9D9D9"/>
            <w:hideMark/>
          </w:tcPr>
          <w:p w14:paraId="1045F283" w14:textId="77777777" w:rsidR="002A4DDF" w:rsidRPr="00937C8B" w:rsidRDefault="002A4DDF" w:rsidP="009110ED">
            <w:pPr>
              <w:rPr>
                <w:rFonts w:ascii="Arial" w:hAnsi="Arial" w:cs="Arial"/>
                <w:sz w:val="12"/>
                <w:szCs w:val="12"/>
              </w:rPr>
            </w:pPr>
            <w:r>
              <w:rPr>
                <w:rFonts w:ascii="Arial" w:hAnsi="Arial"/>
                <w:sz w:val="12"/>
                <w:szCs w:val="12"/>
              </w:rPr>
              <w:t>Trevélez</w:t>
            </w:r>
          </w:p>
        </w:tc>
      </w:tr>
      <w:tr w:rsidR="002A4DDF" w:rsidRPr="00937C8B" w14:paraId="391B736C" w14:textId="77777777" w:rsidTr="00935676">
        <w:trPr>
          <w:cantSplit/>
        </w:trPr>
        <w:tc>
          <w:tcPr>
            <w:tcW w:w="1696" w:type="dxa"/>
            <w:tcBorders>
              <w:left w:val="single" w:sz="4" w:space="0" w:color="auto"/>
            </w:tcBorders>
            <w:shd w:val="clear" w:color="auto" w:fill="auto"/>
          </w:tcPr>
          <w:p w14:paraId="3C5D1133" w14:textId="77777777" w:rsidR="002A4DDF" w:rsidRPr="00937C8B" w:rsidRDefault="002A4DDF" w:rsidP="009110ED">
            <w:pPr>
              <w:rPr>
                <w:rFonts w:ascii="Arial" w:hAnsi="Arial" w:cs="Arial"/>
                <w:sz w:val="12"/>
                <w:szCs w:val="12"/>
              </w:rPr>
            </w:pPr>
          </w:p>
        </w:tc>
        <w:tc>
          <w:tcPr>
            <w:tcW w:w="1843" w:type="dxa"/>
            <w:shd w:val="clear" w:color="auto" w:fill="auto"/>
          </w:tcPr>
          <w:p w14:paraId="5969AAFE" w14:textId="77777777" w:rsidR="002A4DDF" w:rsidRPr="00937C8B" w:rsidRDefault="002A4DDF" w:rsidP="009110ED">
            <w:pPr>
              <w:rPr>
                <w:rFonts w:ascii="Arial" w:hAnsi="Arial" w:cs="Arial"/>
                <w:sz w:val="12"/>
                <w:szCs w:val="12"/>
              </w:rPr>
            </w:pPr>
          </w:p>
        </w:tc>
        <w:tc>
          <w:tcPr>
            <w:tcW w:w="2268" w:type="dxa"/>
            <w:shd w:val="clear" w:color="auto" w:fill="F2F2F2"/>
            <w:hideMark/>
          </w:tcPr>
          <w:p w14:paraId="45D1A778" w14:textId="77777777" w:rsidR="002A4DDF" w:rsidRPr="00937C8B" w:rsidRDefault="002A4DDF" w:rsidP="009110ED">
            <w:pPr>
              <w:rPr>
                <w:rFonts w:ascii="Arial" w:hAnsi="Arial" w:cs="Arial"/>
                <w:sz w:val="12"/>
                <w:szCs w:val="12"/>
              </w:rPr>
            </w:pPr>
            <w:r>
              <w:rPr>
                <w:rFonts w:ascii="Arial" w:hAnsi="Arial"/>
                <w:sz w:val="12"/>
                <w:szCs w:val="12"/>
              </w:rPr>
              <w:t>Quéntar</w:t>
            </w:r>
          </w:p>
        </w:tc>
        <w:tc>
          <w:tcPr>
            <w:tcW w:w="2268" w:type="dxa"/>
            <w:tcBorders>
              <w:right w:val="single" w:sz="4" w:space="0" w:color="auto"/>
            </w:tcBorders>
            <w:shd w:val="clear" w:color="auto" w:fill="D9D9D9"/>
            <w:hideMark/>
          </w:tcPr>
          <w:p w14:paraId="17126E3A" w14:textId="77777777" w:rsidR="002A4DDF" w:rsidRPr="00937C8B" w:rsidRDefault="002A4DDF" w:rsidP="009110ED">
            <w:pPr>
              <w:rPr>
                <w:rFonts w:ascii="Arial" w:hAnsi="Arial" w:cs="Arial"/>
                <w:sz w:val="12"/>
                <w:szCs w:val="12"/>
              </w:rPr>
            </w:pPr>
            <w:r>
              <w:rPr>
                <w:rFonts w:ascii="Arial" w:hAnsi="Arial"/>
                <w:sz w:val="12"/>
                <w:szCs w:val="12"/>
              </w:rPr>
              <w:t>Válor</w:t>
            </w:r>
          </w:p>
        </w:tc>
      </w:tr>
      <w:tr w:rsidR="002A4DDF" w:rsidRPr="00937C8B" w14:paraId="3C3AC772" w14:textId="77777777" w:rsidTr="00935676">
        <w:trPr>
          <w:cantSplit/>
        </w:trPr>
        <w:tc>
          <w:tcPr>
            <w:tcW w:w="1696" w:type="dxa"/>
            <w:tcBorders>
              <w:left w:val="single" w:sz="4" w:space="0" w:color="auto"/>
            </w:tcBorders>
            <w:shd w:val="clear" w:color="auto" w:fill="auto"/>
          </w:tcPr>
          <w:p w14:paraId="6D27D398" w14:textId="77777777" w:rsidR="002A4DDF" w:rsidRPr="00937C8B" w:rsidRDefault="002A4DDF" w:rsidP="009110ED">
            <w:pPr>
              <w:rPr>
                <w:rFonts w:ascii="Arial" w:hAnsi="Arial" w:cs="Arial"/>
                <w:sz w:val="12"/>
                <w:szCs w:val="12"/>
              </w:rPr>
            </w:pPr>
          </w:p>
        </w:tc>
        <w:tc>
          <w:tcPr>
            <w:tcW w:w="1843" w:type="dxa"/>
            <w:shd w:val="clear" w:color="auto" w:fill="auto"/>
          </w:tcPr>
          <w:p w14:paraId="2BED547F" w14:textId="77777777" w:rsidR="002A4DDF" w:rsidRPr="00937C8B" w:rsidRDefault="002A4DDF" w:rsidP="009110ED">
            <w:pPr>
              <w:rPr>
                <w:rFonts w:ascii="Arial" w:hAnsi="Arial" w:cs="Arial"/>
                <w:sz w:val="12"/>
                <w:szCs w:val="12"/>
              </w:rPr>
            </w:pPr>
          </w:p>
        </w:tc>
        <w:tc>
          <w:tcPr>
            <w:tcW w:w="2268" w:type="dxa"/>
            <w:shd w:val="clear" w:color="auto" w:fill="F2F2F2"/>
            <w:hideMark/>
          </w:tcPr>
          <w:p w14:paraId="4ACF63BA" w14:textId="77777777" w:rsidR="002A4DDF" w:rsidRPr="00937C8B" w:rsidRDefault="002A4DDF" w:rsidP="009110ED">
            <w:pPr>
              <w:rPr>
                <w:rFonts w:ascii="Arial" w:hAnsi="Arial" w:cs="Arial"/>
                <w:sz w:val="12"/>
                <w:szCs w:val="12"/>
              </w:rPr>
            </w:pPr>
            <w:r>
              <w:rPr>
                <w:rFonts w:ascii="Arial" w:hAnsi="Arial"/>
                <w:sz w:val="12"/>
                <w:szCs w:val="12"/>
              </w:rPr>
              <w:t>Rubite</w:t>
            </w:r>
          </w:p>
        </w:tc>
        <w:tc>
          <w:tcPr>
            <w:tcW w:w="2268" w:type="dxa"/>
            <w:tcBorders>
              <w:right w:val="single" w:sz="4" w:space="0" w:color="auto"/>
            </w:tcBorders>
            <w:shd w:val="clear" w:color="auto" w:fill="D9D9D9"/>
            <w:hideMark/>
          </w:tcPr>
          <w:p w14:paraId="1131BD60" w14:textId="77777777" w:rsidR="002A4DDF" w:rsidRPr="00937C8B" w:rsidRDefault="002A4DDF" w:rsidP="009110ED">
            <w:pPr>
              <w:rPr>
                <w:rFonts w:ascii="Arial" w:hAnsi="Arial" w:cs="Arial"/>
                <w:sz w:val="12"/>
                <w:szCs w:val="12"/>
              </w:rPr>
            </w:pPr>
          </w:p>
        </w:tc>
      </w:tr>
      <w:tr w:rsidR="002A4DDF" w:rsidRPr="00937C8B" w14:paraId="38956D39" w14:textId="77777777" w:rsidTr="00935676">
        <w:trPr>
          <w:cantSplit/>
        </w:trPr>
        <w:tc>
          <w:tcPr>
            <w:tcW w:w="1696" w:type="dxa"/>
            <w:tcBorders>
              <w:left w:val="single" w:sz="4" w:space="0" w:color="auto"/>
            </w:tcBorders>
            <w:shd w:val="clear" w:color="auto" w:fill="auto"/>
          </w:tcPr>
          <w:p w14:paraId="36022367" w14:textId="77777777" w:rsidR="002A4DDF" w:rsidRPr="00937C8B" w:rsidRDefault="002A4DDF" w:rsidP="009110ED">
            <w:pPr>
              <w:rPr>
                <w:rFonts w:ascii="Arial" w:hAnsi="Arial" w:cs="Arial"/>
                <w:sz w:val="12"/>
                <w:szCs w:val="12"/>
              </w:rPr>
            </w:pPr>
          </w:p>
        </w:tc>
        <w:tc>
          <w:tcPr>
            <w:tcW w:w="1843" w:type="dxa"/>
            <w:shd w:val="clear" w:color="auto" w:fill="auto"/>
          </w:tcPr>
          <w:p w14:paraId="0B14E8BC" w14:textId="77777777" w:rsidR="002A4DDF" w:rsidRPr="00937C8B" w:rsidRDefault="002A4DDF" w:rsidP="009110ED">
            <w:pPr>
              <w:rPr>
                <w:rFonts w:ascii="Arial" w:hAnsi="Arial" w:cs="Arial"/>
                <w:sz w:val="12"/>
                <w:szCs w:val="12"/>
              </w:rPr>
            </w:pPr>
          </w:p>
        </w:tc>
        <w:tc>
          <w:tcPr>
            <w:tcW w:w="2268" w:type="dxa"/>
            <w:shd w:val="clear" w:color="auto" w:fill="F2F2F2"/>
            <w:hideMark/>
          </w:tcPr>
          <w:p w14:paraId="3C311E42" w14:textId="77777777" w:rsidR="002A4DDF" w:rsidRPr="00937C8B" w:rsidRDefault="002A4DDF" w:rsidP="009110ED">
            <w:pPr>
              <w:rPr>
                <w:rFonts w:ascii="Arial" w:hAnsi="Arial" w:cs="Arial"/>
                <w:sz w:val="12"/>
                <w:szCs w:val="12"/>
              </w:rPr>
            </w:pPr>
            <w:r>
              <w:rPr>
                <w:rFonts w:ascii="Arial" w:hAnsi="Arial"/>
                <w:sz w:val="12"/>
                <w:szCs w:val="12"/>
              </w:rPr>
              <w:t>Salobreña</w:t>
            </w:r>
          </w:p>
        </w:tc>
        <w:tc>
          <w:tcPr>
            <w:tcW w:w="2268" w:type="dxa"/>
            <w:tcBorders>
              <w:right w:val="single" w:sz="4" w:space="0" w:color="auto"/>
            </w:tcBorders>
            <w:shd w:val="clear" w:color="auto" w:fill="D9D9D9"/>
            <w:hideMark/>
          </w:tcPr>
          <w:p w14:paraId="43629907" w14:textId="77777777" w:rsidR="002A4DDF" w:rsidRPr="00937C8B" w:rsidRDefault="002A4DDF" w:rsidP="009110ED">
            <w:pPr>
              <w:rPr>
                <w:rFonts w:ascii="Arial" w:hAnsi="Arial" w:cs="Arial"/>
                <w:sz w:val="12"/>
                <w:szCs w:val="12"/>
              </w:rPr>
            </w:pPr>
          </w:p>
        </w:tc>
      </w:tr>
      <w:tr w:rsidR="002A4DDF" w:rsidRPr="00937C8B" w14:paraId="5177C16A" w14:textId="77777777" w:rsidTr="00935676">
        <w:trPr>
          <w:cantSplit/>
        </w:trPr>
        <w:tc>
          <w:tcPr>
            <w:tcW w:w="1696" w:type="dxa"/>
            <w:tcBorders>
              <w:left w:val="single" w:sz="4" w:space="0" w:color="auto"/>
            </w:tcBorders>
            <w:shd w:val="clear" w:color="auto" w:fill="auto"/>
          </w:tcPr>
          <w:p w14:paraId="578BE8B7" w14:textId="77777777" w:rsidR="002A4DDF" w:rsidRPr="00937C8B" w:rsidRDefault="002A4DDF" w:rsidP="009110ED">
            <w:pPr>
              <w:rPr>
                <w:rFonts w:ascii="Arial" w:hAnsi="Arial" w:cs="Arial"/>
                <w:sz w:val="12"/>
                <w:szCs w:val="12"/>
              </w:rPr>
            </w:pPr>
          </w:p>
        </w:tc>
        <w:tc>
          <w:tcPr>
            <w:tcW w:w="1843" w:type="dxa"/>
            <w:shd w:val="clear" w:color="auto" w:fill="auto"/>
          </w:tcPr>
          <w:p w14:paraId="2D6B997C" w14:textId="77777777" w:rsidR="002A4DDF" w:rsidRPr="00937C8B" w:rsidRDefault="002A4DDF" w:rsidP="009110ED">
            <w:pPr>
              <w:rPr>
                <w:rFonts w:ascii="Arial" w:hAnsi="Arial" w:cs="Arial"/>
                <w:sz w:val="12"/>
                <w:szCs w:val="12"/>
              </w:rPr>
            </w:pPr>
          </w:p>
        </w:tc>
        <w:tc>
          <w:tcPr>
            <w:tcW w:w="2268" w:type="dxa"/>
            <w:shd w:val="clear" w:color="auto" w:fill="F2F2F2"/>
            <w:hideMark/>
          </w:tcPr>
          <w:p w14:paraId="13EBFE32" w14:textId="77777777" w:rsidR="002A4DDF" w:rsidRPr="00937C8B" w:rsidRDefault="002A4DDF" w:rsidP="009110ED">
            <w:pPr>
              <w:rPr>
                <w:rFonts w:ascii="Arial" w:hAnsi="Arial" w:cs="Arial"/>
                <w:sz w:val="12"/>
                <w:szCs w:val="12"/>
              </w:rPr>
            </w:pPr>
            <w:r>
              <w:rPr>
                <w:rFonts w:ascii="Arial" w:hAnsi="Arial"/>
                <w:sz w:val="12"/>
                <w:szCs w:val="12"/>
              </w:rPr>
              <w:t>Sorvilán</w:t>
            </w:r>
          </w:p>
        </w:tc>
        <w:tc>
          <w:tcPr>
            <w:tcW w:w="2268" w:type="dxa"/>
            <w:tcBorders>
              <w:right w:val="single" w:sz="4" w:space="0" w:color="auto"/>
            </w:tcBorders>
            <w:shd w:val="clear" w:color="auto" w:fill="D9D9D9"/>
            <w:hideMark/>
          </w:tcPr>
          <w:p w14:paraId="5F8376F7" w14:textId="77777777" w:rsidR="002A4DDF" w:rsidRPr="00937C8B" w:rsidRDefault="002A4DDF" w:rsidP="009110ED">
            <w:pPr>
              <w:rPr>
                <w:rFonts w:ascii="Arial" w:hAnsi="Arial" w:cs="Arial"/>
                <w:sz w:val="12"/>
                <w:szCs w:val="12"/>
              </w:rPr>
            </w:pPr>
          </w:p>
        </w:tc>
      </w:tr>
      <w:tr w:rsidR="002A4DDF" w:rsidRPr="00937C8B" w14:paraId="439E9FC3" w14:textId="77777777" w:rsidTr="00935676">
        <w:trPr>
          <w:cantSplit/>
        </w:trPr>
        <w:tc>
          <w:tcPr>
            <w:tcW w:w="1696" w:type="dxa"/>
            <w:tcBorders>
              <w:left w:val="single" w:sz="4" w:space="0" w:color="auto"/>
            </w:tcBorders>
            <w:shd w:val="clear" w:color="auto" w:fill="auto"/>
          </w:tcPr>
          <w:p w14:paraId="7A43D79F" w14:textId="77777777" w:rsidR="002A4DDF" w:rsidRPr="00937C8B" w:rsidRDefault="002A4DDF" w:rsidP="009110ED">
            <w:pPr>
              <w:rPr>
                <w:rFonts w:ascii="Arial" w:hAnsi="Arial" w:cs="Arial"/>
                <w:sz w:val="12"/>
                <w:szCs w:val="12"/>
              </w:rPr>
            </w:pPr>
          </w:p>
        </w:tc>
        <w:tc>
          <w:tcPr>
            <w:tcW w:w="1843" w:type="dxa"/>
            <w:shd w:val="clear" w:color="auto" w:fill="auto"/>
          </w:tcPr>
          <w:p w14:paraId="17B3DFFB" w14:textId="77777777" w:rsidR="002A4DDF" w:rsidRPr="00937C8B" w:rsidRDefault="002A4DDF" w:rsidP="009110ED">
            <w:pPr>
              <w:rPr>
                <w:rFonts w:ascii="Arial" w:hAnsi="Arial" w:cs="Arial"/>
                <w:sz w:val="12"/>
                <w:szCs w:val="12"/>
              </w:rPr>
            </w:pPr>
          </w:p>
        </w:tc>
        <w:tc>
          <w:tcPr>
            <w:tcW w:w="2268" w:type="dxa"/>
            <w:shd w:val="clear" w:color="auto" w:fill="F2F2F2"/>
            <w:hideMark/>
          </w:tcPr>
          <w:p w14:paraId="6AA46557" w14:textId="77777777" w:rsidR="002A4DDF" w:rsidRPr="00937C8B" w:rsidRDefault="002A4DDF" w:rsidP="009110ED">
            <w:pPr>
              <w:rPr>
                <w:rFonts w:ascii="Arial" w:hAnsi="Arial" w:cs="Arial"/>
                <w:sz w:val="12"/>
                <w:szCs w:val="12"/>
              </w:rPr>
            </w:pPr>
            <w:r>
              <w:rPr>
                <w:rFonts w:ascii="Arial" w:hAnsi="Arial"/>
                <w:sz w:val="12"/>
                <w:szCs w:val="12"/>
              </w:rPr>
              <w:t>Torvizcón</w:t>
            </w:r>
          </w:p>
        </w:tc>
        <w:tc>
          <w:tcPr>
            <w:tcW w:w="2268" w:type="dxa"/>
            <w:tcBorders>
              <w:right w:val="single" w:sz="4" w:space="0" w:color="auto"/>
            </w:tcBorders>
            <w:shd w:val="clear" w:color="auto" w:fill="D9D9D9"/>
            <w:hideMark/>
          </w:tcPr>
          <w:p w14:paraId="3FD0AD8C" w14:textId="77777777" w:rsidR="002A4DDF" w:rsidRPr="00937C8B" w:rsidRDefault="002A4DDF" w:rsidP="009110ED">
            <w:pPr>
              <w:rPr>
                <w:rFonts w:ascii="Arial" w:hAnsi="Arial" w:cs="Arial"/>
                <w:sz w:val="12"/>
                <w:szCs w:val="12"/>
              </w:rPr>
            </w:pPr>
          </w:p>
        </w:tc>
      </w:tr>
      <w:tr w:rsidR="002A4DDF" w:rsidRPr="00937C8B" w14:paraId="672F9B1F" w14:textId="77777777" w:rsidTr="00935676">
        <w:trPr>
          <w:cantSplit/>
        </w:trPr>
        <w:tc>
          <w:tcPr>
            <w:tcW w:w="1696" w:type="dxa"/>
            <w:tcBorders>
              <w:left w:val="single" w:sz="4" w:space="0" w:color="auto"/>
            </w:tcBorders>
            <w:shd w:val="clear" w:color="auto" w:fill="auto"/>
          </w:tcPr>
          <w:p w14:paraId="3763D5C1" w14:textId="77777777" w:rsidR="002A4DDF" w:rsidRPr="00937C8B" w:rsidRDefault="002A4DDF" w:rsidP="009110ED">
            <w:pPr>
              <w:rPr>
                <w:rFonts w:ascii="Arial" w:hAnsi="Arial" w:cs="Arial"/>
                <w:sz w:val="12"/>
                <w:szCs w:val="12"/>
              </w:rPr>
            </w:pPr>
          </w:p>
        </w:tc>
        <w:tc>
          <w:tcPr>
            <w:tcW w:w="1843" w:type="dxa"/>
            <w:shd w:val="clear" w:color="auto" w:fill="auto"/>
          </w:tcPr>
          <w:p w14:paraId="0C0C25C2" w14:textId="77777777" w:rsidR="002A4DDF" w:rsidRPr="00937C8B" w:rsidRDefault="002A4DDF" w:rsidP="009110ED">
            <w:pPr>
              <w:rPr>
                <w:rFonts w:ascii="Arial" w:hAnsi="Arial" w:cs="Arial"/>
                <w:sz w:val="12"/>
                <w:szCs w:val="12"/>
              </w:rPr>
            </w:pPr>
          </w:p>
        </w:tc>
        <w:tc>
          <w:tcPr>
            <w:tcW w:w="2268" w:type="dxa"/>
            <w:shd w:val="clear" w:color="auto" w:fill="F2F2F2"/>
            <w:hideMark/>
          </w:tcPr>
          <w:p w14:paraId="49113262" w14:textId="77777777" w:rsidR="002A4DDF" w:rsidRPr="00937C8B" w:rsidRDefault="002A4DDF" w:rsidP="009110ED">
            <w:pPr>
              <w:rPr>
                <w:rFonts w:ascii="Arial" w:hAnsi="Arial" w:cs="Arial"/>
                <w:sz w:val="12"/>
                <w:szCs w:val="12"/>
              </w:rPr>
            </w:pPr>
            <w:r>
              <w:rPr>
                <w:rFonts w:ascii="Arial" w:hAnsi="Arial"/>
                <w:sz w:val="12"/>
                <w:szCs w:val="12"/>
              </w:rPr>
              <w:t>Turón</w:t>
            </w:r>
          </w:p>
        </w:tc>
        <w:tc>
          <w:tcPr>
            <w:tcW w:w="2268" w:type="dxa"/>
            <w:tcBorders>
              <w:right w:val="single" w:sz="4" w:space="0" w:color="auto"/>
            </w:tcBorders>
            <w:shd w:val="clear" w:color="auto" w:fill="D9D9D9"/>
            <w:hideMark/>
          </w:tcPr>
          <w:p w14:paraId="33C6A834" w14:textId="77777777" w:rsidR="002A4DDF" w:rsidRPr="00937C8B" w:rsidRDefault="002A4DDF" w:rsidP="009110ED">
            <w:pPr>
              <w:rPr>
                <w:rFonts w:ascii="Arial" w:hAnsi="Arial" w:cs="Arial"/>
                <w:sz w:val="12"/>
                <w:szCs w:val="12"/>
              </w:rPr>
            </w:pPr>
          </w:p>
        </w:tc>
      </w:tr>
      <w:tr w:rsidR="002A4DDF" w:rsidRPr="00937C8B" w14:paraId="5392C71C" w14:textId="77777777" w:rsidTr="00935676">
        <w:trPr>
          <w:cantSplit/>
        </w:trPr>
        <w:tc>
          <w:tcPr>
            <w:tcW w:w="1696" w:type="dxa"/>
            <w:tcBorders>
              <w:left w:val="single" w:sz="4" w:space="0" w:color="auto"/>
            </w:tcBorders>
            <w:shd w:val="clear" w:color="auto" w:fill="auto"/>
          </w:tcPr>
          <w:p w14:paraId="285ED200" w14:textId="77777777" w:rsidR="002A4DDF" w:rsidRPr="00937C8B" w:rsidRDefault="002A4DDF" w:rsidP="009110ED">
            <w:pPr>
              <w:rPr>
                <w:rFonts w:ascii="Arial" w:hAnsi="Arial" w:cs="Arial"/>
                <w:sz w:val="12"/>
                <w:szCs w:val="12"/>
              </w:rPr>
            </w:pPr>
          </w:p>
        </w:tc>
        <w:tc>
          <w:tcPr>
            <w:tcW w:w="1843" w:type="dxa"/>
            <w:shd w:val="clear" w:color="auto" w:fill="auto"/>
          </w:tcPr>
          <w:p w14:paraId="58AB0664" w14:textId="77777777" w:rsidR="002A4DDF" w:rsidRPr="00937C8B" w:rsidRDefault="002A4DDF" w:rsidP="009110ED">
            <w:pPr>
              <w:rPr>
                <w:rFonts w:ascii="Arial" w:hAnsi="Arial" w:cs="Arial"/>
                <w:sz w:val="12"/>
                <w:szCs w:val="12"/>
              </w:rPr>
            </w:pPr>
          </w:p>
        </w:tc>
        <w:tc>
          <w:tcPr>
            <w:tcW w:w="2268" w:type="dxa"/>
            <w:shd w:val="clear" w:color="auto" w:fill="F2F2F2"/>
            <w:hideMark/>
          </w:tcPr>
          <w:p w14:paraId="3421139A" w14:textId="77777777" w:rsidR="002A4DDF" w:rsidRPr="00937C8B" w:rsidRDefault="002A4DDF" w:rsidP="009110ED">
            <w:pPr>
              <w:rPr>
                <w:rFonts w:ascii="Arial" w:hAnsi="Arial" w:cs="Arial"/>
                <w:sz w:val="12"/>
                <w:szCs w:val="12"/>
              </w:rPr>
            </w:pPr>
            <w:r>
              <w:rPr>
                <w:rFonts w:ascii="Arial" w:hAnsi="Arial"/>
                <w:sz w:val="12"/>
                <w:szCs w:val="12"/>
              </w:rPr>
              <w:t>Ugíjar</w:t>
            </w:r>
          </w:p>
        </w:tc>
        <w:tc>
          <w:tcPr>
            <w:tcW w:w="2268" w:type="dxa"/>
            <w:tcBorders>
              <w:right w:val="single" w:sz="4" w:space="0" w:color="auto"/>
            </w:tcBorders>
            <w:shd w:val="clear" w:color="auto" w:fill="D9D9D9"/>
            <w:hideMark/>
          </w:tcPr>
          <w:p w14:paraId="73F9DCA6" w14:textId="77777777" w:rsidR="002A4DDF" w:rsidRPr="00937C8B" w:rsidRDefault="002A4DDF" w:rsidP="009110ED">
            <w:pPr>
              <w:rPr>
                <w:rFonts w:ascii="Arial" w:hAnsi="Arial" w:cs="Arial"/>
                <w:sz w:val="12"/>
                <w:szCs w:val="12"/>
              </w:rPr>
            </w:pPr>
          </w:p>
        </w:tc>
      </w:tr>
      <w:tr w:rsidR="002A4DDF" w:rsidRPr="00937C8B" w14:paraId="36AFA755" w14:textId="77777777" w:rsidTr="00935676">
        <w:trPr>
          <w:cantSplit/>
        </w:trPr>
        <w:tc>
          <w:tcPr>
            <w:tcW w:w="1696" w:type="dxa"/>
            <w:tcBorders>
              <w:left w:val="single" w:sz="4" w:space="0" w:color="auto"/>
            </w:tcBorders>
            <w:shd w:val="clear" w:color="auto" w:fill="auto"/>
          </w:tcPr>
          <w:p w14:paraId="40ED7249"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shd w:val="clear" w:color="auto" w:fill="auto"/>
          </w:tcPr>
          <w:p w14:paraId="704630AF" w14:textId="77777777" w:rsidR="002A4DDF" w:rsidRPr="00937C8B" w:rsidRDefault="002A4DDF" w:rsidP="009110ED">
            <w:pPr>
              <w:rPr>
                <w:rFonts w:ascii="Arial" w:hAnsi="Arial" w:cs="Arial"/>
                <w:sz w:val="12"/>
                <w:szCs w:val="12"/>
              </w:rPr>
            </w:pPr>
            <w:r>
              <w:rPr>
                <w:rFonts w:ascii="Arial" w:hAnsi="Arial"/>
                <w:sz w:val="12"/>
                <w:szCs w:val="12"/>
              </w:rPr>
              <w:t>Grenade</w:t>
            </w:r>
          </w:p>
        </w:tc>
        <w:tc>
          <w:tcPr>
            <w:tcW w:w="2268" w:type="dxa"/>
            <w:shd w:val="clear" w:color="auto" w:fill="F2F2F2"/>
            <w:hideMark/>
          </w:tcPr>
          <w:p w14:paraId="4FC6A56E" w14:textId="77777777" w:rsidR="002A4DDF" w:rsidRPr="00937C8B" w:rsidRDefault="002A4DDF" w:rsidP="009110ED">
            <w:pPr>
              <w:rPr>
                <w:rFonts w:ascii="Arial" w:hAnsi="Arial" w:cs="Arial"/>
                <w:sz w:val="12"/>
                <w:szCs w:val="12"/>
              </w:rPr>
            </w:pPr>
            <w:r>
              <w:rPr>
                <w:rFonts w:ascii="Arial" w:hAnsi="Arial"/>
                <w:sz w:val="12"/>
                <w:szCs w:val="12"/>
              </w:rPr>
              <w:t>Valle del Zalabí</w:t>
            </w:r>
          </w:p>
        </w:tc>
        <w:tc>
          <w:tcPr>
            <w:tcW w:w="2268" w:type="dxa"/>
            <w:tcBorders>
              <w:right w:val="single" w:sz="4" w:space="0" w:color="auto"/>
            </w:tcBorders>
            <w:shd w:val="clear" w:color="auto" w:fill="D9D9D9"/>
            <w:hideMark/>
          </w:tcPr>
          <w:p w14:paraId="12C5508B" w14:textId="77777777" w:rsidR="002A4DDF" w:rsidRPr="00937C8B" w:rsidRDefault="002A4DDF" w:rsidP="009110ED">
            <w:pPr>
              <w:rPr>
                <w:rFonts w:ascii="Arial" w:hAnsi="Arial" w:cs="Arial"/>
                <w:sz w:val="12"/>
                <w:szCs w:val="12"/>
              </w:rPr>
            </w:pPr>
          </w:p>
        </w:tc>
      </w:tr>
      <w:tr w:rsidR="002A4DDF" w:rsidRPr="00937C8B" w14:paraId="6FAAF636" w14:textId="77777777" w:rsidTr="00935676">
        <w:trPr>
          <w:cantSplit/>
        </w:trPr>
        <w:tc>
          <w:tcPr>
            <w:tcW w:w="1696" w:type="dxa"/>
            <w:tcBorders>
              <w:top w:val="single" w:sz="4" w:space="0" w:color="auto"/>
              <w:bottom w:val="single" w:sz="4" w:space="0" w:color="auto"/>
            </w:tcBorders>
            <w:shd w:val="clear" w:color="auto" w:fill="auto"/>
            <w:hideMark/>
          </w:tcPr>
          <w:p w14:paraId="0BB3429F"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770F7FF6"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28ACF508"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0E4106B5" w14:textId="77777777" w:rsidR="002A4DDF" w:rsidRPr="00937C8B" w:rsidRDefault="002A4DDF" w:rsidP="009110ED">
            <w:pPr>
              <w:rPr>
                <w:rFonts w:ascii="Arial" w:hAnsi="Arial" w:cs="Arial"/>
                <w:sz w:val="12"/>
                <w:szCs w:val="12"/>
              </w:rPr>
            </w:pPr>
          </w:p>
        </w:tc>
      </w:tr>
      <w:tr w:rsidR="002A4DDF" w:rsidRPr="00937C8B" w14:paraId="15416895" w14:textId="77777777" w:rsidTr="00935676">
        <w:trPr>
          <w:cantSplit/>
        </w:trPr>
        <w:tc>
          <w:tcPr>
            <w:tcW w:w="1696" w:type="dxa"/>
            <w:tcBorders>
              <w:top w:val="single" w:sz="4" w:space="0" w:color="auto"/>
              <w:left w:val="single" w:sz="4" w:space="0" w:color="auto"/>
            </w:tcBorders>
            <w:shd w:val="clear" w:color="auto" w:fill="auto"/>
            <w:hideMark/>
          </w:tcPr>
          <w:p w14:paraId="0CB4791F"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top w:val="single" w:sz="4" w:space="0" w:color="auto"/>
            </w:tcBorders>
            <w:shd w:val="clear" w:color="auto" w:fill="auto"/>
            <w:hideMark/>
          </w:tcPr>
          <w:p w14:paraId="02974559" w14:textId="77777777" w:rsidR="002A4DDF" w:rsidRPr="00937C8B" w:rsidRDefault="002A4DDF" w:rsidP="009110ED">
            <w:pPr>
              <w:rPr>
                <w:rFonts w:ascii="Arial" w:hAnsi="Arial" w:cs="Arial"/>
                <w:sz w:val="12"/>
                <w:szCs w:val="12"/>
              </w:rPr>
            </w:pPr>
            <w:r>
              <w:rPr>
                <w:rFonts w:ascii="Arial" w:hAnsi="Arial"/>
                <w:sz w:val="12"/>
                <w:szCs w:val="12"/>
              </w:rPr>
              <w:t>Huelva</w:t>
            </w:r>
          </w:p>
        </w:tc>
        <w:tc>
          <w:tcPr>
            <w:tcW w:w="2268" w:type="dxa"/>
            <w:tcBorders>
              <w:top w:val="single" w:sz="4" w:space="0" w:color="auto"/>
            </w:tcBorders>
            <w:shd w:val="clear" w:color="auto" w:fill="F2F2F2"/>
            <w:hideMark/>
          </w:tcPr>
          <w:p w14:paraId="004C2BD2" w14:textId="77777777" w:rsidR="002A4DDF" w:rsidRPr="00937C8B" w:rsidRDefault="002A4DDF" w:rsidP="009110ED">
            <w:pPr>
              <w:rPr>
                <w:rFonts w:ascii="Arial" w:hAnsi="Arial" w:cs="Arial"/>
                <w:sz w:val="12"/>
                <w:szCs w:val="12"/>
              </w:rPr>
            </w:pPr>
            <w:r>
              <w:rPr>
                <w:rFonts w:ascii="Arial" w:hAnsi="Arial"/>
                <w:sz w:val="12"/>
                <w:szCs w:val="12"/>
              </w:rPr>
              <w:t>Alájar</w:t>
            </w:r>
          </w:p>
        </w:tc>
        <w:tc>
          <w:tcPr>
            <w:tcW w:w="2268" w:type="dxa"/>
            <w:tcBorders>
              <w:top w:val="single" w:sz="4" w:space="0" w:color="auto"/>
              <w:right w:val="single" w:sz="4" w:space="0" w:color="auto"/>
            </w:tcBorders>
            <w:shd w:val="clear" w:color="auto" w:fill="D9D9D9"/>
            <w:hideMark/>
          </w:tcPr>
          <w:p w14:paraId="0539CB85" w14:textId="77777777" w:rsidR="002A4DDF" w:rsidRPr="00937C8B" w:rsidRDefault="002A4DDF" w:rsidP="009110ED">
            <w:pPr>
              <w:rPr>
                <w:rFonts w:ascii="Arial" w:hAnsi="Arial" w:cs="Arial"/>
                <w:sz w:val="12"/>
                <w:szCs w:val="12"/>
              </w:rPr>
            </w:pPr>
            <w:r>
              <w:rPr>
                <w:rFonts w:ascii="Arial" w:hAnsi="Arial"/>
                <w:sz w:val="12"/>
                <w:szCs w:val="12"/>
              </w:rPr>
              <w:t>Almonaster la Real</w:t>
            </w:r>
          </w:p>
        </w:tc>
      </w:tr>
      <w:tr w:rsidR="002A4DDF" w:rsidRPr="00937C8B" w14:paraId="7CE38830" w14:textId="77777777" w:rsidTr="00935676">
        <w:trPr>
          <w:cantSplit/>
        </w:trPr>
        <w:tc>
          <w:tcPr>
            <w:tcW w:w="1696" w:type="dxa"/>
            <w:tcBorders>
              <w:left w:val="single" w:sz="4" w:space="0" w:color="auto"/>
            </w:tcBorders>
            <w:shd w:val="clear" w:color="auto" w:fill="auto"/>
          </w:tcPr>
          <w:p w14:paraId="0955D95C" w14:textId="77777777" w:rsidR="002A4DDF" w:rsidRPr="00937C8B" w:rsidRDefault="002A4DDF" w:rsidP="009110ED">
            <w:pPr>
              <w:rPr>
                <w:rFonts w:ascii="Arial" w:hAnsi="Arial" w:cs="Arial"/>
                <w:sz w:val="12"/>
                <w:szCs w:val="12"/>
              </w:rPr>
            </w:pPr>
          </w:p>
        </w:tc>
        <w:tc>
          <w:tcPr>
            <w:tcW w:w="1843" w:type="dxa"/>
            <w:shd w:val="clear" w:color="auto" w:fill="auto"/>
          </w:tcPr>
          <w:p w14:paraId="3D804A25" w14:textId="77777777" w:rsidR="002A4DDF" w:rsidRPr="00937C8B" w:rsidRDefault="002A4DDF" w:rsidP="009110ED">
            <w:pPr>
              <w:rPr>
                <w:rFonts w:ascii="Arial" w:hAnsi="Arial" w:cs="Arial"/>
                <w:sz w:val="12"/>
                <w:szCs w:val="12"/>
              </w:rPr>
            </w:pPr>
          </w:p>
        </w:tc>
        <w:tc>
          <w:tcPr>
            <w:tcW w:w="2268" w:type="dxa"/>
            <w:shd w:val="clear" w:color="auto" w:fill="F2F2F2"/>
            <w:hideMark/>
          </w:tcPr>
          <w:p w14:paraId="7DA9339C" w14:textId="77777777" w:rsidR="002A4DDF" w:rsidRPr="00937C8B" w:rsidRDefault="002A4DDF" w:rsidP="009110ED">
            <w:pPr>
              <w:rPr>
                <w:rFonts w:ascii="Arial" w:hAnsi="Arial" w:cs="Arial"/>
                <w:sz w:val="12"/>
                <w:szCs w:val="12"/>
              </w:rPr>
            </w:pPr>
            <w:r>
              <w:rPr>
                <w:rFonts w:ascii="Arial" w:hAnsi="Arial"/>
                <w:sz w:val="12"/>
                <w:szCs w:val="12"/>
              </w:rPr>
              <w:t>Alosno</w:t>
            </w:r>
          </w:p>
        </w:tc>
        <w:tc>
          <w:tcPr>
            <w:tcW w:w="2268" w:type="dxa"/>
            <w:tcBorders>
              <w:right w:val="single" w:sz="4" w:space="0" w:color="auto"/>
            </w:tcBorders>
            <w:shd w:val="clear" w:color="auto" w:fill="D9D9D9"/>
            <w:hideMark/>
          </w:tcPr>
          <w:p w14:paraId="5F2DD8D0" w14:textId="77777777" w:rsidR="002A4DDF" w:rsidRPr="00937C8B" w:rsidRDefault="002A4DDF" w:rsidP="009110ED">
            <w:pPr>
              <w:rPr>
                <w:rFonts w:ascii="Arial" w:hAnsi="Arial" w:cs="Arial"/>
                <w:sz w:val="12"/>
                <w:szCs w:val="12"/>
              </w:rPr>
            </w:pPr>
            <w:r>
              <w:rPr>
                <w:rFonts w:ascii="Arial" w:hAnsi="Arial"/>
                <w:sz w:val="12"/>
                <w:szCs w:val="12"/>
              </w:rPr>
              <w:t>Arroyomolinos de León</w:t>
            </w:r>
          </w:p>
        </w:tc>
      </w:tr>
      <w:tr w:rsidR="002A4DDF" w:rsidRPr="00937C8B" w14:paraId="2F34B409" w14:textId="77777777" w:rsidTr="00935676">
        <w:trPr>
          <w:cantSplit/>
        </w:trPr>
        <w:tc>
          <w:tcPr>
            <w:tcW w:w="1696" w:type="dxa"/>
            <w:tcBorders>
              <w:left w:val="single" w:sz="4" w:space="0" w:color="auto"/>
            </w:tcBorders>
            <w:shd w:val="clear" w:color="auto" w:fill="auto"/>
          </w:tcPr>
          <w:p w14:paraId="3FEC9778" w14:textId="77777777" w:rsidR="002A4DDF" w:rsidRPr="00937C8B" w:rsidRDefault="002A4DDF" w:rsidP="009110ED">
            <w:pPr>
              <w:rPr>
                <w:rFonts w:ascii="Arial" w:hAnsi="Arial" w:cs="Arial"/>
                <w:sz w:val="12"/>
                <w:szCs w:val="12"/>
              </w:rPr>
            </w:pPr>
          </w:p>
        </w:tc>
        <w:tc>
          <w:tcPr>
            <w:tcW w:w="1843" w:type="dxa"/>
            <w:shd w:val="clear" w:color="auto" w:fill="auto"/>
          </w:tcPr>
          <w:p w14:paraId="727B9E26" w14:textId="77777777" w:rsidR="002A4DDF" w:rsidRPr="00937C8B" w:rsidRDefault="002A4DDF" w:rsidP="009110ED">
            <w:pPr>
              <w:rPr>
                <w:rFonts w:ascii="Arial" w:hAnsi="Arial" w:cs="Arial"/>
                <w:sz w:val="12"/>
                <w:szCs w:val="12"/>
              </w:rPr>
            </w:pPr>
          </w:p>
        </w:tc>
        <w:tc>
          <w:tcPr>
            <w:tcW w:w="2268" w:type="dxa"/>
            <w:shd w:val="clear" w:color="auto" w:fill="F2F2F2"/>
            <w:hideMark/>
          </w:tcPr>
          <w:p w14:paraId="0B6F038E" w14:textId="77777777" w:rsidR="002A4DDF" w:rsidRPr="00937C8B" w:rsidRDefault="002A4DDF" w:rsidP="009110ED">
            <w:pPr>
              <w:rPr>
                <w:rFonts w:ascii="Arial" w:hAnsi="Arial" w:cs="Arial"/>
                <w:sz w:val="12"/>
                <w:szCs w:val="12"/>
              </w:rPr>
            </w:pPr>
            <w:r>
              <w:rPr>
                <w:rFonts w:ascii="Arial" w:hAnsi="Arial"/>
                <w:sz w:val="12"/>
                <w:szCs w:val="12"/>
              </w:rPr>
              <w:t>Aracena</w:t>
            </w:r>
          </w:p>
        </w:tc>
        <w:tc>
          <w:tcPr>
            <w:tcW w:w="2268" w:type="dxa"/>
            <w:tcBorders>
              <w:right w:val="single" w:sz="4" w:space="0" w:color="auto"/>
            </w:tcBorders>
            <w:shd w:val="clear" w:color="auto" w:fill="D9D9D9"/>
            <w:hideMark/>
          </w:tcPr>
          <w:p w14:paraId="3CE819DB" w14:textId="77777777" w:rsidR="002A4DDF" w:rsidRPr="00937C8B" w:rsidRDefault="002A4DDF" w:rsidP="009110ED">
            <w:pPr>
              <w:rPr>
                <w:rFonts w:ascii="Arial" w:hAnsi="Arial" w:cs="Arial"/>
                <w:sz w:val="12"/>
                <w:szCs w:val="12"/>
              </w:rPr>
            </w:pPr>
            <w:r>
              <w:rPr>
                <w:rFonts w:ascii="Arial" w:hAnsi="Arial"/>
                <w:sz w:val="12"/>
                <w:szCs w:val="12"/>
              </w:rPr>
              <w:t>Cala</w:t>
            </w:r>
          </w:p>
        </w:tc>
      </w:tr>
      <w:tr w:rsidR="002A4DDF" w:rsidRPr="00937C8B" w14:paraId="4FE7DBDF" w14:textId="77777777" w:rsidTr="00935676">
        <w:trPr>
          <w:cantSplit/>
        </w:trPr>
        <w:tc>
          <w:tcPr>
            <w:tcW w:w="1696" w:type="dxa"/>
            <w:tcBorders>
              <w:left w:val="single" w:sz="4" w:space="0" w:color="auto"/>
            </w:tcBorders>
            <w:shd w:val="clear" w:color="auto" w:fill="auto"/>
          </w:tcPr>
          <w:p w14:paraId="13EB9011" w14:textId="77777777" w:rsidR="002A4DDF" w:rsidRPr="00937C8B" w:rsidRDefault="002A4DDF" w:rsidP="009110ED">
            <w:pPr>
              <w:rPr>
                <w:rFonts w:ascii="Arial" w:hAnsi="Arial" w:cs="Arial"/>
                <w:sz w:val="12"/>
                <w:szCs w:val="12"/>
              </w:rPr>
            </w:pPr>
          </w:p>
        </w:tc>
        <w:tc>
          <w:tcPr>
            <w:tcW w:w="1843" w:type="dxa"/>
            <w:shd w:val="clear" w:color="auto" w:fill="auto"/>
          </w:tcPr>
          <w:p w14:paraId="4F02AB00" w14:textId="77777777" w:rsidR="002A4DDF" w:rsidRPr="00937C8B" w:rsidRDefault="002A4DDF" w:rsidP="009110ED">
            <w:pPr>
              <w:rPr>
                <w:rFonts w:ascii="Arial" w:hAnsi="Arial" w:cs="Arial"/>
                <w:sz w:val="12"/>
                <w:szCs w:val="12"/>
              </w:rPr>
            </w:pPr>
          </w:p>
        </w:tc>
        <w:tc>
          <w:tcPr>
            <w:tcW w:w="2268" w:type="dxa"/>
            <w:shd w:val="clear" w:color="auto" w:fill="F2F2F2"/>
            <w:hideMark/>
          </w:tcPr>
          <w:p w14:paraId="3466FC23" w14:textId="77777777" w:rsidR="002A4DDF" w:rsidRPr="00937C8B" w:rsidRDefault="002A4DDF" w:rsidP="009110ED">
            <w:pPr>
              <w:rPr>
                <w:rFonts w:ascii="Arial" w:hAnsi="Arial" w:cs="Arial"/>
                <w:sz w:val="12"/>
                <w:szCs w:val="12"/>
              </w:rPr>
            </w:pPr>
            <w:r>
              <w:rPr>
                <w:rFonts w:ascii="Arial" w:hAnsi="Arial"/>
                <w:sz w:val="12"/>
                <w:szCs w:val="12"/>
              </w:rPr>
              <w:t>Aroche</w:t>
            </w:r>
          </w:p>
        </w:tc>
        <w:tc>
          <w:tcPr>
            <w:tcW w:w="2268" w:type="dxa"/>
            <w:tcBorders>
              <w:right w:val="single" w:sz="4" w:space="0" w:color="auto"/>
            </w:tcBorders>
            <w:shd w:val="clear" w:color="auto" w:fill="D9D9D9"/>
            <w:hideMark/>
          </w:tcPr>
          <w:p w14:paraId="6DE39C16" w14:textId="77777777" w:rsidR="002A4DDF" w:rsidRPr="00937C8B" w:rsidRDefault="002A4DDF" w:rsidP="009110ED">
            <w:pPr>
              <w:rPr>
                <w:rFonts w:ascii="Arial" w:hAnsi="Arial" w:cs="Arial"/>
                <w:sz w:val="12"/>
                <w:szCs w:val="12"/>
              </w:rPr>
            </w:pPr>
            <w:r>
              <w:rPr>
                <w:rFonts w:ascii="Arial" w:hAnsi="Arial"/>
                <w:sz w:val="12"/>
                <w:szCs w:val="12"/>
              </w:rPr>
              <w:t>Cañaveral de León</w:t>
            </w:r>
          </w:p>
        </w:tc>
      </w:tr>
      <w:tr w:rsidR="002A4DDF" w:rsidRPr="00937C8B" w14:paraId="34FF8007" w14:textId="77777777" w:rsidTr="00935676">
        <w:trPr>
          <w:cantSplit/>
        </w:trPr>
        <w:tc>
          <w:tcPr>
            <w:tcW w:w="1696" w:type="dxa"/>
            <w:tcBorders>
              <w:left w:val="single" w:sz="4" w:space="0" w:color="auto"/>
            </w:tcBorders>
            <w:shd w:val="clear" w:color="auto" w:fill="auto"/>
          </w:tcPr>
          <w:p w14:paraId="0CEAD8CD" w14:textId="77777777" w:rsidR="002A4DDF" w:rsidRPr="00937C8B" w:rsidRDefault="002A4DDF" w:rsidP="009110ED">
            <w:pPr>
              <w:rPr>
                <w:rFonts w:ascii="Arial" w:hAnsi="Arial" w:cs="Arial"/>
                <w:sz w:val="12"/>
                <w:szCs w:val="12"/>
              </w:rPr>
            </w:pPr>
          </w:p>
        </w:tc>
        <w:tc>
          <w:tcPr>
            <w:tcW w:w="1843" w:type="dxa"/>
            <w:shd w:val="clear" w:color="auto" w:fill="auto"/>
          </w:tcPr>
          <w:p w14:paraId="288BDB55" w14:textId="77777777" w:rsidR="002A4DDF" w:rsidRPr="00937C8B" w:rsidRDefault="002A4DDF" w:rsidP="009110ED">
            <w:pPr>
              <w:rPr>
                <w:rFonts w:ascii="Arial" w:hAnsi="Arial" w:cs="Arial"/>
                <w:sz w:val="12"/>
                <w:szCs w:val="12"/>
              </w:rPr>
            </w:pPr>
          </w:p>
        </w:tc>
        <w:tc>
          <w:tcPr>
            <w:tcW w:w="2268" w:type="dxa"/>
            <w:shd w:val="clear" w:color="auto" w:fill="F2F2F2"/>
            <w:hideMark/>
          </w:tcPr>
          <w:p w14:paraId="186A21D3" w14:textId="77777777" w:rsidR="002A4DDF" w:rsidRPr="00937C8B" w:rsidRDefault="002A4DDF" w:rsidP="009110ED">
            <w:pPr>
              <w:rPr>
                <w:rFonts w:ascii="Arial" w:hAnsi="Arial" w:cs="Arial"/>
                <w:sz w:val="12"/>
                <w:szCs w:val="12"/>
              </w:rPr>
            </w:pPr>
            <w:r>
              <w:rPr>
                <w:rFonts w:ascii="Arial" w:hAnsi="Arial"/>
                <w:sz w:val="12"/>
                <w:szCs w:val="12"/>
              </w:rPr>
              <w:t>Ayamonte</w:t>
            </w:r>
          </w:p>
        </w:tc>
        <w:tc>
          <w:tcPr>
            <w:tcW w:w="2268" w:type="dxa"/>
            <w:tcBorders>
              <w:right w:val="single" w:sz="4" w:space="0" w:color="auto"/>
            </w:tcBorders>
            <w:shd w:val="clear" w:color="auto" w:fill="D9D9D9"/>
            <w:hideMark/>
          </w:tcPr>
          <w:p w14:paraId="3AA05C3E" w14:textId="77777777" w:rsidR="002A4DDF" w:rsidRPr="00937C8B" w:rsidRDefault="002A4DDF" w:rsidP="009110ED">
            <w:pPr>
              <w:rPr>
                <w:rFonts w:ascii="Arial" w:hAnsi="Arial" w:cs="Arial"/>
                <w:sz w:val="12"/>
                <w:szCs w:val="12"/>
              </w:rPr>
            </w:pPr>
            <w:r>
              <w:rPr>
                <w:rFonts w:ascii="Arial" w:hAnsi="Arial"/>
                <w:sz w:val="12"/>
                <w:szCs w:val="12"/>
              </w:rPr>
              <w:t>Cumbres Mayores</w:t>
            </w:r>
          </w:p>
        </w:tc>
      </w:tr>
      <w:tr w:rsidR="002A4DDF" w:rsidRPr="00937C8B" w14:paraId="3119ED80" w14:textId="77777777" w:rsidTr="00935676">
        <w:trPr>
          <w:cantSplit/>
        </w:trPr>
        <w:tc>
          <w:tcPr>
            <w:tcW w:w="1696" w:type="dxa"/>
            <w:tcBorders>
              <w:left w:val="single" w:sz="4" w:space="0" w:color="auto"/>
            </w:tcBorders>
            <w:shd w:val="clear" w:color="auto" w:fill="auto"/>
          </w:tcPr>
          <w:p w14:paraId="48DF6DA6" w14:textId="77777777" w:rsidR="002A4DDF" w:rsidRPr="00937C8B" w:rsidRDefault="002A4DDF" w:rsidP="009110ED">
            <w:pPr>
              <w:rPr>
                <w:rFonts w:ascii="Arial" w:hAnsi="Arial" w:cs="Arial"/>
                <w:sz w:val="12"/>
                <w:szCs w:val="12"/>
              </w:rPr>
            </w:pPr>
          </w:p>
        </w:tc>
        <w:tc>
          <w:tcPr>
            <w:tcW w:w="1843" w:type="dxa"/>
            <w:shd w:val="clear" w:color="auto" w:fill="auto"/>
          </w:tcPr>
          <w:p w14:paraId="3E7E62BB" w14:textId="77777777" w:rsidR="002A4DDF" w:rsidRPr="00937C8B" w:rsidRDefault="002A4DDF" w:rsidP="009110ED">
            <w:pPr>
              <w:rPr>
                <w:rFonts w:ascii="Arial" w:hAnsi="Arial" w:cs="Arial"/>
                <w:sz w:val="12"/>
                <w:szCs w:val="12"/>
              </w:rPr>
            </w:pPr>
          </w:p>
        </w:tc>
        <w:tc>
          <w:tcPr>
            <w:tcW w:w="2268" w:type="dxa"/>
            <w:shd w:val="clear" w:color="auto" w:fill="F2F2F2"/>
            <w:hideMark/>
          </w:tcPr>
          <w:p w14:paraId="119E6937" w14:textId="77777777" w:rsidR="002A4DDF" w:rsidRPr="00937C8B" w:rsidRDefault="002A4DDF" w:rsidP="009110ED">
            <w:pPr>
              <w:rPr>
                <w:rFonts w:ascii="Arial" w:hAnsi="Arial" w:cs="Arial"/>
                <w:sz w:val="12"/>
                <w:szCs w:val="12"/>
              </w:rPr>
            </w:pPr>
            <w:r>
              <w:rPr>
                <w:rFonts w:ascii="Arial" w:hAnsi="Arial"/>
                <w:sz w:val="12"/>
                <w:szCs w:val="12"/>
              </w:rPr>
              <w:t>Berrocal</w:t>
            </w:r>
          </w:p>
        </w:tc>
        <w:tc>
          <w:tcPr>
            <w:tcW w:w="2268" w:type="dxa"/>
            <w:tcBorders>
              <w:right w:val="single" w:sz="4" w:space="0" w:color="auto"/>
            </w:tcBorders>
            <w:shd w:val="clear" w:color="auto" w:fill="D9D9D9"/>
            <w:hideMark/>
          </w:tcPr>
          <w:p w14:paraId="05372F30" w14:textId="77777777" w:rsidR="002A4DDF" w:rsidRPr="00937C8B" w:rsidRDefault="002A4DDF" w:rsidP="009110ED">
            <w:pPr>
              <w:rPr>
                <w:rFonts w:ascii="Arial" w:hAnsi="Arial" w:cs="Arial"/>
                <w:sz w:val="12"/>
                <w:szCs w:val="12"/>
              </w:rPr>
            </w:pPr>
            <w:r>
              <w:rPr>
                <w:rFonts w:ascii="Arial" w:hAnsi="Arial"/>
                <w:sz w:val="12"/>
                <w:szCs w:val="12"/>
              </w:rPr>
              <w:t>Encinasola</w:t>
            </w:r>
          </w:p>
        </w:tc>
      </w:tr>
      <w:tr w:rsidR="002A4DDF" w:rsidRPr="00937C8B" w14:paraId="7FFBFCA3" w14:textId="77777777" w:rsidTr="00935676">
        <w:trPr>
          <w:cantSplit/>
        </w:trPr>
        <w:tc>
          <w:tcPr>
            <w:tcW w:w="1696" w:type="dxa"/>
            <w:tcBorders>
              <w:left w:val="single" w:sz="4" w:space="0" w:color="auto"/>
            </w:tcBorders>
            <w:shd w:val="clear" w:color="auto" w:fill="auto"/>
          </w:tcPr>
          <w:p w14:paraId="4AB90FA8" w14:textId="77777777" w:rsidR="002A4DDF" w:rsidRPr="00937C8B" w:rsidRDefault="002A4DDF" w:rsidP="009110ED">
            <w:pPr>
              <w:rPr>
                <w:rFonts w:ascii="Arial" w:hAnsi="Arial" w:cs="Arial"/>
                <w:sz w:val="12"/>
                <w:szCs w:val="12"/>
              </w:rPr>
            </w:pPr>
          </w:p>
        </w:tc>
        <w:tc>
          <w:tcPr>
            <w:tcW w:w="1843" w:type="dxa"/>
            <w:shd w:val="clear" w:color="auto" w:fill="auto"/>
          </w:tcPr>
          <w:p w14:paraId="389A76CD" w14:textId="77777777" w:rsidR="002A4DDF" w:rsidRPr="00937C8B" w:rsidRDefault="002A4DDF" w:rsidP="009110ED">
            <w:pPr>
              <w:rPr>
                <w:rFonts w:ascii="Arial" w:hAnsi="Arial" w:cs="Arial"/>
                <w:sz w:val="12"/>
                <w:szCs w:val="12"/>
              </w:rPr>
            </w:pPr>
          </w:p>
        </w:tc>
        <w:tc>
          <w:tcPr>
            <w:tcW w:w="2268" w:type="dxa"/>
            <w:shd w:val="clear" w:color="auto" w:fill="F2F2F2"/>
            <w:hideMark/>
          </w:tcPr>
          <w:p w14:paraId="18CC56FD" w14:textId="77777777" w:rsidR="002A4DDF" w:rsidRPr="00937C8B" w:rsidRDefault="002A4DDF" w:rsidP="009110ED">
            <w:pPr>
              <w:rPr>
                <w:rFonts w:ascii="Arial" w:hAnsi="Arial" w:cs="Arial"/>
                <w:sz w:val="12"/>
                <w:szCs w:val="12"/>
              </w:rPr>
            </w:pPr>
            <w:r>
              <w:rPr>
                <w:rFonts w:ascii="Arial" w:hAnsi="Arial"/>
                <w:sz w:val="12"/>
                <w:szCs w:val="12"/>
              </w:rPr>
              <w:t>Cabezas Rubias</w:t>
            </w:r>
          </w:p>
        </w:tc>
        <w:tc>
          <w:tcPr>
            <w:tcW w:w="2268" w:type="dxa"/>
            <w:tcBorders>
              <w:right w:val="single" w:sz="4" w:space="0" w:color="auto"/>
            </w:tcBorders>
            <w:shd w:val="clear" w:color="auto" w:fill="D9D9D9"/>
            <w:hideMark/>
          </w:tcPr>
          <w:p w14:paraId="7231EA72" w14:textId="77777777" w:rsidR="002A4DDF" w:rsidRPr="00937C8B" w:rsidRDefault="002A4DDF" w:rsidP="009110ED">
            <w:pPr>
              <w:rPr>
                <w:rFonts w:ascii="Arial" w:hAnsi="Arial" w:cs="Arial"/>
                <w:sz w:val="12"/>
                <w:szCs w:val="12"/>
              </w:rPr>
            </w:pPr>
            <w:r>
              <w:rPr>
                <w:rFonts w:ascii="Arial" w:hAnsi="Arial"/>
                <w:sz w:val="12"/>
                <w:szCs w:val="12"/>
              </w:rPr>
              <w:t>Hinojales</w:t>
            </w:r>
          </w:p>
        </w:tc>
      </w:tr>
      <w:tr w:rsidR="002A4DDF" w:rsidRPr="00937C8B" w14:paraId="625227CA" w14:textId="77777777" w:rsidTr="00935676">
        <w:trPr>
          <w:cantSplit/>
        </w:trPr>
        <w:tc>
          <w:tcPr>
            <w:tcW w:w="1696" w:type="dxa"/>
            <w:tcBorders>
              <w:left w:val="single" w:sz="4" w:space="0" w:color="auto"/>
            </w:tcBorders>
            <w:shd w:val="clear" w:color="auto" w:fill="auto"/>
          </w:tcPr>
          <w:p w14:paraId="011808B5" w14:textId="77777777" w:rsidR="002A4DDF" w:rsidRPr="00937C8B" w:rsidRDefault="002A4DDF" w:rsidP="009110ED">
            <w:pPr>
              <w:rPr>
                <w:rFonts w:ascii="Arial" w:hAnsi="Arial" w:cs="Arial"/>
                <w:sz w:val="12"/>
                <w:szCs w:val="12"/>
              </w:rPr>
            </w:pPr>
          </w:p>
        </w:tc>
        <w:tc>
          <w:tcPr>
            <w:tcW w:w="1843" w:type="dxa"/>
            <w:shd w:val="clear" w:color="auto" w:fill="auto"/>
          </w:tcPr>
          <w:p w14:paraId="1212B53D" w14:textId="77777777" w:rsidR="002A4DDF" w:rsidRPr="00937C8B" w:rsidRDefault="002A4DDF" w:rsidP="009110ED">
            <w:pPr>
              <w:rPr>
                <w:rFonts w:ascii="Arial" w:hAnsi="Arial" w:cs="Arial"/>
                <w:sz w:val="12"/>
                <w:szCs w:val="12"/>
              </w:rPr>
            </w:pPr>
          </w:p>
        </w:tc>
        <w:tc>
          <w:tcPr>
            <w:tcW w:w="2268" w:type="dxa"/>
            <w:shd w:val="clear" w:color="auto" w:fill="F2F2F2"/>
            <w:hideMark/>
          </w:tcPr>
          <w:p w14:paraId="72BFA273" w14:textId="77777777" w:rsidR="002A4DDF" w:rsidRPr="00937C8B" w:rsidRDefault="002A4DDF" w:rsidP="009110ED">
            <w:pPr>
              <w:rPr>
                <w:rFonts w:ascii="Arial" w:hAnsi="Arial" w:cs="Arial"/>
                <w:sz w:val="12"/>
                <w:szCs w:val="12"/>
              </w:rPr>
            </w:pPr>
            <w:r>
              <w:rPr>
                <w:rFonts w:ascii="Arial" w:hAnsi="Arial"/>
                <w:sz w:val="12"/>
                <w:szCs w:val="12"/>
              </w:rPr>
              <w:t>Calañas</w:t>
            </w:r>
          </w:p>
        </w:tc>
        <w:tc>
          <w:tcPr>
            <w:tcW w:w="2268" w:type="dxa"/>
            <w:tcBorders>
              <w:right w:val="single" w:sz="4" w:space="0" w:color="auto"/>
            </w:tcBorders>
            <w:shd w:val="clear" w:color="auto" w:fill="D9D9D9"/>
            <w:hideMark/>
          </w:tcPr>
          <w:p w14:paraId="3CC81172" w14:textId="77777777" w:rsidR="002A4DDF" w:rsidRPr="00937C8B" w:rsidRDefault="002A4DDF" w:rsidP="009110ED">
            <w:pPr>
              <w:rPr>
                <w:rFonts w:ascii="Arial" w:hAnsi="Arial" w:cs="Arial"/>
                <w:sz w:val="12"/>
                <w:szCs w:val="12"/>
              </w:rPr>
            </w:pPr>
            <w:r>
              <w:rPr>
                <w:rFonts w:ascii="Arial" w:hAnsi="Arial"/>
                <w:sz w:val="12"/>
                <w:szCs w:val="12"/>
              </w:rPr>
              <w:t>Rosal de la Frontera</w:t>
            </w:r>
          </w:p>
        </w:tc>
      </w:tr>
      <w:tr w:rsidR="002A4DDF" w:rsidRPr="00937C8B" w14:paraId="72D218C5" w14:textId="77777777" w:rsidTr="00935676">
        <w:trPr>
          <w:cantSplit/>
        </w:trPr>
        <w:tc>
          <w:tcPr>
            <w:tcW w:w="1696" w:type="dxa"/>
            <w:tcBorders>
              <w:left w:val="single" w:sz="4" w:space="0" w:color="auto"/>
            </w:tcBorders>
            <w:shd w:val="clear" w:color="auto" w:fill="auto"/>
          </w:tcPr>
          <w:p w14:paraId="04CD675F" w14:textId="77777777" w:rsidR="002A4DDF" w:rsidRPr="00937C8B" w:rsidRDefault="002A4DDF" w:rsidP="009110ED">
            <w:pPr>
              <w:rPr>
                <w:rFonts w:ascii="Arial" w:hAnsi="Arial" w:cs="Arial"/>
                <w:sz w:val="12"/>
                <w:szCs w:val="12"/>
              </w:rPr>
            </w:pPr>
          </w:p>
        </w:tc>
        <w:tc>
          <w:tcPr>
            <w:tcW w:w="1843" w:type="dxa"/>
            <w:shd w:val="clear" w:color="auto" w:fill="auto"/>
          </w:tcPr>
          <w:p w14:paraId="57036C12" w14:textId="77777777" w:rsidR="002A4DDF" w:rsidRPr="00937C8B" w:rsidRDefault="002A4DDF" w:rsidP="009110ED">
            <w:pPr>
              <w:rPr>
                <w:rFonts w:ascii="Arial" w:hAnsi="Arial" w:cs="Arial"/>
                <w:sz w:val="12"/>
                <w:szCs w:val="12"/>
              </w:rPr>
            </w:pPr>
          </w:p>
        </w:tc>
        <w:tc>
          <w:tcPr>
            <w:tcW w:w="2268" w:type="dxa"/>
            <w:shd w:val="clear" w:color="auto" w:fill="F2F2F2"/>
            <w:hideMark/>
          </w:tcPr>
          <w:p w14:paraId="3955D019" w14:textId="77777777" w:rsidR="002A4DDF" w:rsidRPr="00937C8B" w:rsidRDefault="002A4DDF" w:rsidP="009110ED">
            <w:pPr>
              <w:rPr>
                <w:rFonts w:ascii="Arial" w:hAnsi="Arial" w:cs="Arial"/>
                <w:sz w:val="12"/>
                <w:szCs w:val="12"/>
              </w:rPr>
            </w:pPr>
            <w:r>
              <w:rPr>
                <w:rFonts w:ascii="Arial" w:hAnsi="Arial"/>
                <w:sz w:val="12"/>
                <w:szCs w:val="12"/>
              </w:rPr>
              <w:t>Cortegana</w:t>
            </w:r>
          </w:p>
        </w:tc>
        <w:tc>
          <w:tcPr>
            <w:tcW w:w="2268" w:type="dxa"/>
            <w:tcBorders>
              <w:right w:val="single" w:sz="4" w:space="0" w:color="auto"/>
            </w:tcBorders>
            <w:shd w:val="clear" w:color="auto" w:fill="D9D9D9"/>
            <w:hideMark/>
          </w:tcPr>
          <w:p w14:paraId="2C1D1597" w14:textId="77777777" w:rsidR="002A4DDF" w:rsidRPr="00937C8B" w:rsidRDefault="002A4DDF" w:rsidP="009110ED">
            <w:pPr>
              <w:rPr>
                <w:rFonts w:ascii="Arial" w:hAnsi="Arial" w:cs="Arial"/>
                <w:sz w:val="12"/>
                <w:szCs w:val="12"/>
              </w:rPr>
            </w:pPr>
          </w:p>
        </w:tc>
      </w:tr>
      <w:tr w:rsidR="002A4DDF" w:rsidRPr="00937C8B" w14:paraId="78A51BBA" w14:textId="77777777" w:rsidTr="00935676">
        <w:trPr>
          <w:cantSplit/>
        </w:trPr>
        <w:tc>
          <w:tcPr>
            <w:tcW w:w="1696" w:type="dxa"/>
            <w:tcBorders>
              <w:left w:val="single" w:sz="4" w:space="0" w:color="auto"/>
            </w:tcBorders>
            <w:shd w:val="clear" w:color="auto" w:fill="auto"/>
          </w:tcPr>
          <w:p w14:paraId="010D3262" w14:textId="77777777" w:rsidR="002A4DDF" w:rsidRPr="00937C8B" w:rsidRDefault="002A4DDF" w:rsidP="009110ED">
            <w:pPr>
              <w:rPr>
                <w:rFonts w:ascii="Arial" w:hAnsi="Arial" w:cs="Arial"/>
                <w:sz w:val="12"/>
                <w:szCs w:val="12"/>
              </w:rPr>
            </w:pPr>
          </w:p>
        </w:tc>
        <w:tc>
          <w:tcPr>
            <w:tcW w:w="1843" w:type="dxa"/>
            <w:shd w:val="clear" w:color="auto" w:fill="auto"/>
          </w:tcPr>
          <w:p w14:paraId="725293F8" w14:textId="77777777" w:rsidR="002A4DDF" w:rsidRPr="00937C8B" w:rsidRDefault="002A4DDF" w:rsidP="009110ED">
            <w:pPr>
              <w:rPr>
                <w:rFonts w:ascii="Arial" w:hAnsi="Arial" w:cs="Arial"/>
                <w:sz w:val="12"/>
                <w:szCs w:val="12"/>
              </w:rPr>
            </w:pPr>
          </w:p>
        </w:tc>
        <w:tc>
          <w:tcPr>
            <w:tcW w:w="2268" w:type="dxa"/>
            <w:shd w:val="clear" w:color="auto" w:fill="F2F2F2"/>
            <w:hideMark/>
          </w:tcPr>
          <w:p w14:paraId="65037E0A" w14:textId="77777777" w:rsidR="002A4DDF" w:rsidRPr="00937C8B" w:rsidRDefault="002A4DDF" w:rsidP="009110ED">
            <w:pPr>
              <w:rPr>
                <w:rFonts w:ascii="Arial" w:hAnsi="Arial" w:cs="Arial"/>
                <w:sz w:val="12"/>
                <w:szCs w:val="12"/>
              </w:rPr>
            </w:pPr>
            <w:r>
              <w:rPr>
                <w:rFonts w:ascii="Arial" w:hAnsi="Arial"/>
                <w:sz w:val="12"/>
                <w:szCs w:val="12"/>
              </w:rPr>
              <w:t>Cortelazor</w:t>
            </w:r>
          </w:p>
        </w:tc>
        <w:tc>
          <w:tcPr>
            <w:tcW w:w="2268" w:type="dxa"/>
            <w:tcBorders>
              <w:right w:val="single" w:sz="4" w:space="0" w:color="auto"/>
            </w:tcBorders>
            <w:shd w:val="clear" w:color="auto" w:fill="D9D9D9"/>
            <w:hideMark/>
          </w:tcPr>
          <w:p w14:paraId="52072F0E" w14:textId="77777777" w:rsidR="002A4DDF" w:rsidRPr="00937C8B" w:rsidRDefault="002A4DDF" w:rsidP="009110ED">
            <w:pPr>
              <w:rPr>
                <w:rFonts w:ascii="Arial" w:hAnsi="Arial" w:cs="Arial"/>
                <w:sz w:val="12"/>
                <w:szCs w:val="12"/>
              </w:rPr>
            </w:pPr>
          </w:p>
        </w:tc>
      </w:tr>
      <w:tr w:rsidR="002A4DDF" w:rsidRPr="00937C8B" w14:paraId="30634549" w14:textId="77777777" w:rsidTr="00935676">
        <w:trPr>
          <w:cantSplit/>
        </w:trPr>
        <w:tc>
          <w:tcPr>
            <w:tcW w:w="1696" w:type="dxa"/>
            <w:tcBorders>
              <w:left w:val="single" w:sz="4" w:space="0" w:color="auto"/>
            </w:tcBorders>
            <w:shd w:val="clear" w:color="auto" w:fill="auto"/>
          </w:tcPr>
          <w:p w14:paraId="7125A122" w14:textId="77777777" w:rsidR="002A4DDF" w:rsidRPr="00937C8B" w:rsidRDefault="002A4DDF" w:rsidP="009110ED">
            <w:pPr>
              <w:rPr>
                <w:rFonts w:ascii="Arial" w:hAnsi="Arial" w:cs="Arial"/>
                <w:sz w:val="12"/>
                <w:szCs w:val="12"/>
              </w:rPr>
            </w:pPr>
          </w:p>
        </w:tc>
        <w:tc>
          <w:tcPr>
            <w:tcW w:w="1843" w:type="dxa"/>
            <w:shd w:val="clear" w:color="auto" w:fill="auto"/>
          </w:tcPr>
          <w:p w14:paraId="4BA38B37" w14:textId="77777777" w:rsidR="002A4DDF" w:rsidRPr="00937C8B" w:rsidRDefault="002A4DDF" w:rsidP="009110ED">
            <w:pPr>
              <w:rPr>
                <w:rFonts w:ascii="Arial" w:hAnsi="Arial" w:cs="Arial"/>
                <w:sz w:val="12"/>
                <w:szCs w:val="12"/>
              </w:rPr>
            </w:pPr>
          </w:p>
        </w:tc>
        <w:tc>
          <w:tcPr>
            <w:tcW w:w="2268" w:type="dxa"/>
            <w:shd w:val="clear" w:color="auto" w:fill="F2F2F2"/>
            <w:hideMark/>
          </w:tcPr>
          <w:p w14:paraId="5C208C2E" w14:textId="77777777" w:rsidR="002A4DDF" w:rsidRPr="00937C8B" w:rsidRDefault="002A4DDF" w:rsidP="009110ED">
            <w:pPr>
              <w:rPr>
                <w:rFonts w:ascii="Arial" w:hAnsi="Arial" w:cs="Arial"/>
                <w:sz w:val="12"/>
                <w:szCs w:val="12"/>
              </w:rPr>
            </w:pPr>
            <w:r>
              <w:rPr>
                <w:rFonts w:ascii="Arial" w:hAnsi="Arial"/>
                <w:sz w:val="12"/>
                <w:szCs w:val="12"/>
              </w:rPr>
              <w:t>Cumbres de Enmedio</w:t>
            </w:r>
          </w:p>
        </w:tc>
        <w:tc>
          <w:tcPr>
            <w:tcW w:w="2268" w:type="dxa"/>
            <w:tcBorders>
              <w:right w:val="single" w:sz="4" w:space="0" w:color="auto"/>
            </w:tcBorders>
            <w:shd w:val="clear" w:color="auto" w:fill="D9D9D9"/>
            <w:hideMark/>
          </w:tcPr>
          <w:p w14:paraId="67AE9A53" w14:textId="77777777" w:rsidR="002A4DDF" w:rsidRPr="00937C8B" w:rsidRDefault="002A4DDF" w:rsidP="009110ED">
            <w:pPr>
              <w:rPr>
                <w:rFonts w:ascii="Arial" w:hAnsi="Arial" w:cs="Arial"/>
                <w:sz w:val="12"/>
                <w:szCs w:val="12"/>
              </w:rPr>
            </w:pPr>
          </w:p>
        </w:tc>
      </w:tr>
      <w:tr w:rsidR="002A4DDF" w:rsidRPr="00937C8B" w14:paraId="4DBBD971" w14:textId="77777777" w:rsidTr="00935676">
        <w:trPr>
          <w:cantSplit/>
        </w:trPr>
        <w:tc>
          <w:tcPr>
            <w:tcW w:w="1696" w:type="dxa"/>
            <w:tcBorders>
              <w:left w:val="single" w:sz="4" w:space="0" w:color="auto"/>
            </w:tcBorders>
            <w:shd w:val="clear" w:color="auto" w:fill="auto"/>
          </w:tcPr>
          <w:p w14:paraId="6B65C0E8" w14:textId="77777777" w:rsidR="002A4DDF" w:rsidRPr="00937C8B" w:rsidRDefault="002A4DDF" w:rsidP="009110ED">
            <w:pPr>
              <w:rPr>
                <w:rFonts w:ascii="Arial" w:hAnsi="Arial" w:cs="Arial"/>
                <w:sz w:val="12"/>
                <w:szCs w:val="12"/>
              </w:rPr>
            </w:pPr>
          </w:p>
        </w:tc>
        <w:tc>
          <w:tcPr>
            <w:tcW w:w="1843" w:type="dxa"/>
            <w:shd w:val="clear" w:color="auto" w:fill="auto"/>
          </w:tcPr>
          <w:p w14:paraId="39A677BF" w14:textId="77777777" w:rsidR="002A4DDF" w:rsidRPr="00937C8B" w:rsidRDefault="002A4DDF" w:rsidP="009110ED">
            <w:pPr>
              <w:rPr>
                <w:rFonts w:ascii="Arial" w:hAnsi="Arial" w:cs="Arial"/>
                <w:sz w:val="12"/>
                <w:szCs w:val="12"/>
              </w:rPr>
            </w:pPr>
          </w:p>
        </w:tc>
        <w:tc>
          <w:tcPr>
            <w:tcW w:w="2268" w:type="dxa"/>
            <w:shd w:val="clear" w:color="auto" w:fill="F2F2F2"/>
            <w:hideMark/>
          </w:tcPr>
          <w:p w14:paraId="424CB0C7" w14:textId="77777777" w:rsidR="002A4DDF" w:rsidRPr="00937C8B" w:rsidRDefault="002A4DDF" w:rsidP="009110ED">
            <w:pPr>
              <w:rPr>
                <w:rFonts w:ascii="Arial" w:hAnsi="Arial" w:cs="Arial"/>
                <w:sz w:val="12"/>
                <w:szCs w:val="12"/>
              </w:rPr>
            </w:pPr>
            <w:r>
              <w:rPr>
                <w:rFonts w:ascii="Arial" w:hAnsi="Arial"/>
                <w:sz w:val="12"/>
                <w:szCs w:val="12"/>
              </w:rPr>
              <w:t>Cumbres de San Bartolomé</w:t>
            </w:r>
          </w:p>
        </w:tc>
        <w:tc>
          <w:tcPr>
            <w:tcW w:w="2268" w:type="dxa"/>
            <w:tcBorders>
              <w:right w:val="single" w:sz="4" w:space="0" w:color="auto"/>
            </w:tcBorders>
            <w:shd w:val="clear" w:color="auto" w:fill="D9D9D9"/>
            <w:hideMark/>
          </w:tcPr>
          <w:p w14:paraId="1326ACB2" w14:textId="77777777" w:rsidR="002A4DDF" w:rsidRPr="00937C8B" w:rsidRDefault="002A4DDF" w:rsidP="009110ED">
            <w:pPr>
              <w:rPr>
                <w:rFonts w:ascii="Arial" w:hAnsi="Arial" w:cs="Arial"/>
                <w:sz w:val="12"/>
                <w:szCs w:val="12"/>
              </w:rPr>
            </w:pPr>
          </w:p>
        </w:tc>
      </w:tr>
      <w:tr w:rsidR="002A4DDF" w:rsidRPr="00937C8B" w14:paraId="6007D52A" w14:textId="77777777" w:rsidTr="00935676">
        <w:trPr>
          <w:cantSplit/>
        </w:trPr>
        <w:tc>
          <w:tcPr>
            <w:tcW w:w="1696" w:type="dxa"/>
            <w:tcBorders>
              <w:left w:val="single" w:sz="4" w:space="0" w:color="auto"/>
            </w:tcBorders>
            <w:shd w:val="clear" w:color="auto" w:fill="auto"/>
          </w:tcPr>
          <w:p w14:paraId="3A91A768" w14:textId="77777777" w:rsidR="002A4DDF" w:rsidRPr="00937C8B" w:rsidRDefault="002A4DDF" w:rsidP="009110ED">
            <w:pPr>
              <w:rPr>
                <w:rFonts w:ascii="Arial" w:hAnsi="Arial" w:cs="Arial"/>
                <w:sz w:val="12"/>
                <w:szCs w:val="12"/>
              </w:rPr>
            </w:pPr>
          </w:p>
        </w:tc>
        <w:tc>
          <w:tcPr>
            <w:tcW w:w="1843" w:type="dxa"/>
            <w:shd w:val="clear" w:color="auto" w:fill="auto"/>
          </w:tcPr>
          <w:p w14:paraId="00D01514" w14:textId="77777777" w:rsidR="002A4DDF" w:rsidRPr="00937C8B" w:rsidRDefault="002A4DDF" w:rsidP="009110ED">
            <w:pPr>
              <w:rPr>
                <w:rFonts w:ascii="Arial" w:hAnsi="Arial" w:cs="Arial"/>
                <w:sz w:val="12"/>
                <w:szCs w:val="12"/>
              </w:rPr>
            </w:pPr>
          </w:p>
        </w:tc>
        <w:tc>
          <w:tcPr>
            <w:tcW w:w="2268" w:type="dxa"/>
            <w:shd w:val="clear" w:color="auto" w:fill="F2F2F2"/>
            <w:hideMark/>
          </w:tcPr>
          <w:p w14:paraId="49C56101" w14:textId="77777777" w:rsidR="002A4DDF" w:rsidRPr="00937C8B" w:rsidRDefault="002A4DDF" w:rsidP="009110ED">
            <w:pPr>
              <w:rPr>
                <w:rFonts w:ascii="Arial" w:hAnsi="Arial" w:cs="Arial"/>
                <w:sz w:val="12"/>
                <w:szCs w:val="12"/>
              </w:rPr>
            </w:pPr>
            <w:r>
              <w:rPr>
                <w:rFonts w:ascii="Arial" w:hAnsi="Arial"/>
                <w:sz w:val="12"/>
                <w:szCs w:val="12"/>
              </w:rPr>
              <w:t>El Almendro</w:t>
            </w:r>
          </w:p>
        </w:tc>
        <w:tc>
          <w:tcPr>
            <w:tcW w:w="2268" w:type="dxa"/>
            <w:tcBorders>
              <w:right w:val="single" w:sz="4" w:space="0" w:color="auto"/>
            </w:tcBorders>
            <w:shd w:val="clear" w:color="auto" w:fill="D9D9D9"/>
            <w:hideMark/>
          </w:tcPr>
          <w:p w14:paraId="34273ACF" w14:textId="77777777" w:rsidR="002A4DDF" w:rsidRPr="00937C8B" w:rsidRDefault="002A4DDF" w:rsidP="009110ED">
            <w:pPr>
              <w:rPr>
                <w:rFonts w:ascii="Arial" w:hAnsi="Arial" w:cs="Arial"/>
                <w:sz w:val="12"/>
                <w:szCs w:val="12"/>
              </w:rPr>
            </w:pPr>
          </w:p>
        </w:tc>
      </w:tr>
      <w:tr w:rsidR="002A4DDF" w:rsidRPr="00937C8B" w14:paraId="43EC3A11" w14:textId="77777777" w:rsidTr="00935676">
        <w:trPr>
          <w:cantSplit/>
        </w:trPr>
        <w:tc>
          <w:tcPr>
            <w:tcW w:w="1696" w:type="dxa"/>
            <w:tcBorders>
              <w:left w:val="single" w:sz="4" w:space="0" w:color="auto"/>
            </w:tcBorders>
            <w:shd w:val="clear" w:color="auto" w:fill="auto"/>
          </w:tcPr>
          <w:p w14:paraId="27898E6A" w14:textId="77777777" w:rsidR="002A4DDF" w:rsidRPr="00937C8B" w:rsidRDefault="002A4DDF" w:rsidP="009110ED">
            <w:pPr>
              <w:rPr>
                <w:rFonts w:ascii="Arial" w:hAnsi="Arial" w:cs="Arial"/>
                <w:sz w:val="12"/>
                <w:szCs w:val="12"/>
              </w:rPr>
            </w:pPr>
          </w:p>
        </w:tc>
        <w:tc>
          <w:tcPr>
            <w:tcW w:w="1843" w:type="dxa"/>
            <w:shd w:val="clear" w:color="auto" w:fill="auto"/>
          </w:tcPr>
          <w:p w14:paraId="63295066" w14:textId="77777777" w:rsidR="002A4DDF" w:rsidRPr="00937C8B" w:rsidRDefault="002A4DDF" w:rsidP="009110ED">
            <w:pPr>
              <w:rPr>
                <w:rFonts w:ascii="Arial" w:hAnsi="Arial" w:cs="Arial"/>
                <w:sz w:val="12"/>
                <w:szCs w:val="12"/>
              </w:rPr>
            </w:pPr>
          </w:p>
        </w:tc>
        <w:tc>
          <w:tcPr>
            <w:tcW w:w="2268" w:type="dxa"/>
            <w:shd w:val="clear" w:color="auto" w:fill="F2F2F2"/>
            <w:hideMark/>
          </w:tcPr>
          <w:p w14:paraId="42FE355E" w14:textId="77777777" w:rsidR="002A4DDF" w:rsidRPr="00937C8B" w:rsidRDefault="002A4DDF" w:rsidP="009110ED">
            <w:pPr>
              <w:rPr>
                <w:rFonts w:ascii="Arial" w:hAnsi="Arial" w:cs="Arial"/>
                <w:sz w:val="12"/>
                <w:szCs w:val="12"/>
              </w:rPr>
            </w:pPr>
            <w:r>
              <w:rPr>
                <w:rFonts w:ascii="Arial" w:hAnsi="Arial"/>
                <w:sz w:val="12"/>
                <w:szCs w:val="12"/>
              </w:rPr>
              <w:t>El Cerro de Andévalo</w:t>
            </w:r>
          </w:p>
        </w:tc>
        <w:tc>
          <w:tcPr>
            <w:tcW w:w="2268" w:type="dxa"/>
            <w:tcBorders>
              <w:right w:val="single" w:sz="4" w:space="0" w:color="auto"/>
            </w:tcBorders>
            <w:shd w:val="clear" w:color="auto" w:fill="D9D9D9"/>
            <w:hideMark/>
          </w:tcPr>
          <w:p w14:paraId="2D522899" w14:textId="77777777" w:rsidR="002A4DDF" w:rsidRPr="00937C8B" w:rsidRDefault="002A4DDF" w:rsidP="009110ED">
            <w:pPr>
              <w:rPr>
                <w:rFonts w:ascii="Arial" w:hAnsi="Arial" w:cs="Arial"/>
                <w:sz w:val="12"/>
                <w:szCs w:val="12"/>
              </w:rPr>
            </w:pPr>
          </w:p>
        </w:tc>
      </w:tr>
      <w:tr w:rsidR="002A4DDF" w:rsidRPr="00937C8B" w14:paraId="17044FA8" w14:textId="77777777" w:rsidTr="00935676">
        <w:trPr>
          <w:cantSplit/>
        </w:trPr>
        <w:tc>
          <w:tcPr>
            <w:tcW w:w="1696" w:type="dxa"/>
            <w:tcBorders>
              <w:left w:val="single" w:sz="4" w:space="0" w:color="auto"/>
            </w:tcBorders>
            <w:shd w:val="clear" w:color="auto" w:fill="auto"/>
          </w:tcPr>
          <w:p w14:paraId="587C78C3" w14:textId="77777777" w:rsidR="002A4DDF" w:rsidRPr="00937C8B" w:rsidRDefault="002A4DDF" w:rsidP="009110ED">
            <w:pPr>
              <w:rPr>
                <w:rFonts w:ascii="Arial" w:hAnsi="Arial" w:cs="Arial"/>
                <w:sz w:val="12"/>
                <w:szCs w:val="12"/>
              </w:rPr>
            </w:pPr>
          </w:p>
        </w:tc>
        <w:tc>
          <w:tcPr>
            <w:tcW w:w="1843" w:type="dxa"/>
            <w:shd w:val="clear" w:color="auto" w:fill="auto"/>
          </w:tcPr>
          <w:p w14:paraId="3A31C1D5" w14:textId="77777777" w:rsidR="002A4DDF" w:rsidRPr="00937C8B" w:rsidRDefault="002A4DDF" w:rsidP="009110ED">
            <w:pPr>
              <w:rPr>
                <w:rFonts w:ascii="Arial" w:hAnsi="Arial" w:cs="Arial"/>
                <w:sz w:val="12"/>
                <w:szCs w:val="12"/>
              </w:rPr>
            </w:pPr>
          </w:p>
        </w:tc>
        <w:tc>
          <w:tcPr>
            <w:tcW w:w="2268" w:type="dxa"/>
            <w:shd w:val="clear" w:color="auto" w:fill="F2F2F2"/>
            <w:hideMark/>
          </w:tcPr>
          <w:p w14:paraId="21E5DEEC" w14:textId="77777777" w:rsidR="002A4DDF" w:rsidRPr="00937C8B" w:rsidRDefault="002A4DDF" w:rsidP="009110ED">
            <w:pPr>
              <w:rPr>
                <w:rFonts w:ascii="Arial" w:hAnsi="Arial" w:cs="Arial"/>
                <w:sz w:val="12"/>
                <w:szCs w:val="12"/>
              </w:rPr>
            </w:pPr>
            <w:r>
              <w:rPr>
                <w:rFonts w:ascii="Arial" w:hAnsi="Arial"/>
                <w:sz w:val="12"/>
                <w:szCs w:val="12"/>
              </w:rPr>
              <w:t>Higuera de la Sierra</w:t>
            </w:r>
          </w:p>
        </w:tc>
        <w:tc>
          <w:tcPr>
            <w:tcW w:w="2268" w:type="dxa"/>
            <w:tcBorders>
              <w:right w:val="single" w:sz="4" w:space="0" w:color="auto"/>
            </w:tcBorders>
            <w:shd w:val="clear" w:color="auto" w:fill="D9D9D9"/>
            <w:hideMark/>
          </w:tcPr>
          <w:p w14:paraId="0AA5D5B6" w14:textId="77777777" w:rsidR="002A4DDF" w:rsidRPr="00937C8B" w:rsidRDefault="002A4DDF" w:rsidP="009110ED">
            <w:pPr>
              <w:rPr>
                <w:rFonts w:ascii="Arial" w:hAnsi="Arial" w:cs="Arial"/>
                <w:sz w:val="12"/>
                <w:szCs w:val="12"/>
              </w:rPr>
            </w:pPr>
          </w:p>
        </w:tc>
      </w:tr>
      <w:tr w:rsidR="002A4DDF" w:rsidRPr="00937C8B" w14:paraId="3FE94B62" w14:textId="77777777" w:rsidTr="00935676">
        <w:trPr>
          <w:cantSplit/>
        </w:trPr>
        <w:tc>
          <w:tcPr>
            <w:tcW w:w="1696" w:type="dxa"/>
            <w:tcBorders>
              <w:left w:val="single" w:sz="4" w:space="0" w:color="auto"/>
            </w:tcBorders>
            <w:shd w:val="clear" w:color="auto" w:fill="auto"/>
          </w:tcPr>
          <w:p w14:paraId="1B709DC6" w14:textId="77777777" w:rsidR="002A4DDF" w:rsidRPr="00937C8B" w:rsidRDefault="002A4DDF" w:rsidP="009110ED">
            <w:pPr>
              <w:rPr>
                <w:rFonts w:ascii="Arial" w:hAnsi="Arial" w:cs="Arial"/>
                <w:sz w:val="12"/>
                <w:szCs w:val="12"/>
              </w:rPr>
            </w:pPr>
          </w:p>
        </w:tc>
        <w:tc>
          <w:tcPr>
            <w:tcW w:w="1843" w:type="dxa"/>
            <w:shd w:val="clear" w:color="auto" w:fill="auto"/>
          </w:tcPr>
          <w:p w14:paraId="4A61822E" w14:textId="77777777" w:rsidR="002A4DDF" w:rsidRPr="00937C8B" w:rsidRDefault="002A4DDF" w:rsidP="009110ED">
            <w:pPr>
              <w:rPr>
                <w:rFonts w:ascii="Arial" w:hAnsi="Arial" w:cs="Arial"/>
                <w:sz w:val="12"/>
                <w:szCs w:val="12"/>
              </w:rPr>
            </w:pPr>
          </w:p>
        </w:tc>
        <w:tc>
          <w:tcPr>
            <w:tcW w:w="2268" w:type="dxa"/>
            <w:shd w:val="clear" w:color="auto" w:fill="F2F2F2"/>
            <w:hideMark/>
          </w:tcPr>
          <w:p w14:paraId="19CC02F8" w14:textId="77777777" w:rsidR="002A4DDF" w:rsidRPr="00937C8B" w:rsidRDefault="002A4DDF" w:rsidP="009110ED">
            <w:pPr>
              <w:rPr>
                <w:rFonts w:ascii="Arial" w:hAnsi="Arial" w:cs="Arial"/>
                <w:sz w:val="12"/>
                <w:szCs w:val="12"/>
              </w:rPr>
            </w:pPr>
            <w:r>
              <w:rPr>
                <w:rFonts w:ascii="Arial" w:hAnsi="Arial"/>
                <w:sz w:val="12"/>
                <w:szCs w:val="12"/>
              </w:rPr>
              <w:t>Jabugo</w:t>
            </w:r>
          </w:p>
        </w:tc>
        <w:tc>
          <w:tcPr>
            <w:tcW w:w="2268" w:type="dxa"/>
            <w:tcBorders>
              <w:right w:val="single" w:sz="4" w:space="0" w:color="auto"/>
            </w:tcBorders>
            <w:shd w:val="clear" w:color="auto" w:fill="D9D9D9"/>
            <w:hideMark/>
          </w:tcPr>
          <w:p w14:paraId="429A98EB" w14:textId="77777777" w:rsidR="002A4DDF" w:rsidRPr="00937C8B" w:rsidRDefault="002A4DDF" w:rsidP="009110ED">
            <w:pPr>
              <w:rPr>
                <w:rFonts w:ascii="Arial" w:hAnsi="Arial" w:cs="Arial"/>
                <w:sz w:val="12"/>
                <w:szCs w:val="12"/>
              </w:rPr>
            </w:pPr>
          </w:p>
        </w:tc>
      </w:tr>
      <w:tr w:rsidR="002A4DDF" w:rsidRPr="00937C8B" w14:paraId="62EECC10" w14:textId="77777777" w:rsidTr="00935676">
        <w:trPr>
          <w:cantSplit/>
        </w:trPr>
        <w:tc>
          <w:tcPr>
            <w:tcW w:w="1696" w:type="dxa"/>
            <w:tcBorders>
              <w:left w:val="single" w:sz="4" w:space="0" w:color="auto"/>
            </w:tcBorders>
            <w:shd w:val="clear" w:color="auto" w:fill="auto"/>
          </w:tcPr>
          <w:p w14:paraId="73FDCA89" w14:textId="77777777" w:rsidR="002A4DDF" w:rsidRPr="00937C8B" w:rsidRDefault="002A4DDF" w:rsidP="009110ED">
            <w:pPr>
              <w:rPr>
                <w:rFonts w:ascii="Arial" w:hAnsi="Arial" w:cs="Arial"/>
                <w:sz w:val="12"/>
                <w:szCs w:val="12"/>
              </w:rPr>
            </w:pPr>
          </w:p>
        </w:tc>
        <w:tc>
          <w:tcPr>
            <w:tcW w:w="1843" w:type="dxa"/>
            <w:shd w:val="clear" w:color="auto" w:fill="auto"/>
          </w:tcPr>
          <w:p w14:paraId="6A4FE519" w14:textId="77777777" w:rsidR="002A4DDF" w:rsidRPr="00937C8B" w:rsidRDefault="002A4DDF" w:rsidP="009110ED">
            <w:pPr>
              <w:rPr>
                <w:rFonts w:ascii="Arial" w:hAnsi="Arial" w:cs="Arial"/>
                <w:sz w:val="12"/>
                <w:szCs w:val="12"/>
              </w:rPr>
            </w:pPr>
          </w:p>
        </w:tc>
        <w:tc>
          <w:tcPr>
            <w:tcW w:w="2268" w:type="dxa"/>
            <w:shd w:val="clear" w:color="auto" w:fill="F2F2F2"/>
            <w:hideMark/>
          </w:tcPr>
          <w:p w14:paraId="1614EFB0" w14:textId="77777777" w:rsidR="002A4DDF" w:rsidRPr="00937C8B" w:rsidRDefault="002A4DDF" w:rsidP="009110ED">
            <w:pPr>
              <w:rPr>
                <w:rFonts w:ascii="Arial" w:hAnsi="Arial" w:cs="Arial"/>
                <w:sz w:val="12"/>
                <w:szCs w:val="12"/>
              </w:rPr>
            </w:pPr>
            <w:r>
              <w:rPr>
                <w:rFonts w:ascii="Arial" w:hAnsi="Arial"/>
                <w:sz w:val="12"/>
                <w:szCs w:val="12"/>
              </w:rPr>
              <w:t>La Granada de Río-Tinto</w:t>
            </w:r>
          </w:p>
        </w:tc>
        <w:tc>
          <w:tcPr>
            <w:tcW w:w="2268" w:type="dxa"/>
            <w:tcBorders>
              <w:right w:val="single" w:sz="4" w:space="0" w:color="auto"/>
            </w:tcBorders>
            <w:shd w:val="clear" w:color="auto" w:fill="D9D9D9"/>
            <w:hideMark/>
          </w:tcPr>
          <w:p w14:paraId="3C3BF33A" w14:textId="77777777" w:rsidR="002A4DDF" w:rsidRPr="00937C8B" w:rsidRDefault="002A4DDF" w:rsidP="009110ED">
            <w:pPr>
              <w:rPr>
                <w:rFonts w:ascii="Arial" w:hAnsi="Arial" w:cs="Arial"/>
                <w:sz w:val="12"/>
                <w:szCs w:val="12"/>
              </w:rPr>
            </w:pPr>
          </w:p>
        </w:tc>
      </w:tr>
      <w:tr w:rsidR="002A4DDF" w:rsidRPr="00937C8B" w14:paraId="0B176CE7" w14:textId="77777777" w:rsidTr="00935676">
        <w:trPr>
          <w:cantSplit/>
        </w:trPr>
        <w:tc>
          <w:tcPr>
            <w:tcW w:w="1696" w:type="dxa"/>
            <w:tcBorders>
              <w:left w:val="single" w:sz="4" w:space="0" w:color="auto"/>
            </w:tcBorders>
            <w:shd w:val="clear" w:color="auto" w:fill="auto"/>
          </w:tcPr>
          <w:p w14:paraId="7E177366" w14:textId="77777777" w:rsidR="002A4DDF" w:rsidRPr="00937C8B" w:rsidRDefault="002A4DDF" w:rsidP="009110ED">
            <w:pPr>
              <w:rPr>
                <w:rFonts w:ascii="Arial" w:hAnsi="Arial" w:cs="Arial"/>
                <w:sz w:val="12"/>
                <w:szCs w:val="12"/>
              </w:rPr>
            </w:pPr>
          </w:p>
        </w:tc>
        <w:tc>
          <w:tcPr>
            <w:tcW w:w="1843" w:type="dxa"/>
            <w:shd w:val="clear" w:color="auto" w:fill="auto"/>
          </w:tcPr>
          <w:p w14:paraId="64B31E57" w14:textId="77777777" w:rsidR="002A4DDF" w:rsidRPr="00937C8B" w:rsidRDefault="002A4DDF" w:rsidP="009110ED">
            <w:pPr>
              <w:rPr>
                <w:rFonts w:ascii="Arial" w:hAnsi="Arial" w:cs="Arial"/>
                <w:sz w:val="12"/>
                <w:szCs w:val="12"/>
              </w:rPr>
            </w:pPr>
          </w:p>
        </w:tc>
        <w:tc>
          <w:tcPr>
            <w:tcW w:w="2268" w:type="dxa"/>
            <w:shd w:val="clear" w:color="auto" w:fill="F2F2F2"/>
            <w:hideMark/>
          </w:tcPr>
          <w:p w14:paraId="469FED69" w14:textId="77777777" w:rsidR="002A4DDF" w:rsidRPr="00937C8B" w:rsidRDefault="002A4DDF" w:rsidP="009110ED">
            <w:pPr>
              <w:rPr>
                <w:rFonts w:ascii="Arial" w:hAnsi="Arial" w:cs="Arial"/>
                <w:sz w:val="12"/>
                <w:szCs w:val="12"/>
              </w:rPr>
            </w:pPr>
            <w:r>
              <w:rPr>
                <w:rFonts w:ascii="Arial" w:hAnsi="Arial"/>
                <w:sz w:val="12"/>
                <w:szCs w:val="12"/>
              </w:rPr>
              <w:t>La Nava</w:t>
            </w:r>
          </w:p>
        </w:tc>
        <w:tc>
          <w:tcPr>
            <w:tcW w:w="2268" w:type="dxa"/>
            <w:tcBorders>
              <w:right w:val="single" w:sz="4" w:space="0" w:color="auto"/>
            </w:tcBorders>
            <w:shd w:val="clear" w:color="auto" w:fill="D9D9D9"/>
            <w:hideMark/>
          </w:tcPr>
          <w:p w14:paraId="0063AE04" w14:textId="77777777" w:rsidR="002A4DDF" w:rsidRPr="00937C8B" w:rsidRDefault="002A4DDF" w:rsidP="009110ED">
            <w:pPr>
              <w:rPr>
                <w:rFonts w:ascii="Arial" w:hAnsi="Arial" w:cs="Arial"/>
                <w:sz w:val="12"/>
                <w:szCs w:val="12"/>
              </w:rPr>
            </w:pPr>
          </w:p>
        </w:tc>
      </w:tr>
      <w:tr w:rsidR="002A4DDF" w:rsidRPr="00937C8B" w14:paraId="633586F3" w14:textId="77777777" w:rsidTr="00935676">
        <w:trPr>
          <w:cantSplit/>
        </w:trPr>
        <w:tc>
          <w:tcPr>
            <w:tcW w:w="1696" w:type="dxa"/>
            <w:tcBorders>
              <w:left w:val="single" w:sz="4" w:space="0" w:color="auto"/>
            </w:tcBorders>
            <w:shd w:val="clear" w:color="auto" w:fill="auto"/>
          </w:tcPr>
          <w:p w14:paraId="1CB99C29" w14:textId="77777777" w:rsidR="002A4DDF" w:rsidRPr="00937C8B" w:rsidRDefault="002A4DDF" w:rsidP="009110ED">
            <w:pPr>
              <w:rPr>
                <w:rFonts w:ascii="Arial" w:hAnsi="Arial" w:cs="Arial"/>
                <w:sz w:val="12"/>
                <w:szCs w:val="12"/>
              </w:rPr>
            </w:pPr>
          </w:p>
        </w:tc>
        <w:tc>
          <w:tcPr>
            <w:tcW w:w="1843" w:type="dxa"/>
            <w:shd w:val="clear" w:color="auto" w:fill="auto"/>
          </w:tcPr>
          <w:p w14:paraId="17A88244" w14:textId="77777777" w:rsidR="002A4DDF" w:rsidRPr="00937C8B" w:rsidRDefault="002A4DDF" w:rsidP="009110ED">
            <w:pPr>
              <w:rPr>
                <w:rFonts w:ascii="Arial" w:hAnsi="Arial" w:cs="Arial"/>
                <w:sz w:val="12"/>
                <w:szCs w:val="12"/>
              </w:rPr>
            </w:pPr>
          </w:p>
        </w:tc>
        <w:tc>
          <w:tcPr>
            <w:tcW w:w="2268" w:type="dxa"/>
            <w:shd w:val="clear" w:color="auto" w:fill="F2F2F2"/>
            <w:hideMark/>
          </w:tcPr>
          <w:p w14:paraId="369A29D5" w14:textId="77777777" w:rsidR="002A4DDF" w:rsidRPr="00937C8B" w:rsidRDefault="002A4DDF" w:rsidP="009110ED">
            <w:pPr>
              <w:rPr>
                <w:rFonts w:ascii="Arial" w:hAnsi="Arial" w:cs="Arial"/>
                <w:sz w:val="12"/>
                <w:szCs w:val="12"/>
              </w:rPr>
            </w:pPr>
            <w:r>
              <w:rPr>
                <w:rFonts w:ascii="Arial" w:hAnsi="Arial"/>
                <w:sz w:val="12"/>
                <w:szCs w:val="12"/>
              </w:rPr>
              <w:t>Linares de la Sierra</w:t>
            </w:r>
          </w:p>
        </w:tc>
        <w:tc>
          <w:tcPr>
            <w:tcW w:w="2268" w:type="dxa"/>
            <w:tcBorders>
              <w:right w:val="single" w:sz="4" w:space="0" w:color="auto"/>
            </w:tcBorders>
            <w:shd w:val="clear" w:color="auto" w:fill="D9D9D9"/>
            <w:hideMark/>
          </w:tcPr>
          <w:p w14:paraId="53439846" w14:textId="77777777" w:rsidR="002A4DDF" w:rsidRPr="00937C8B" w:rsidRDefault="002A4DDF" w:rsidP="009110ED">
            <w:pPr>
              <w:rPr>
                <w:rFonts w:ascii="Arial" w:hAnsi="Arial" w:cs="Arial"/>
                <w:sz w:val="12"/>
                <w:szCs w:val="12"/>
              </w:rPr>
            </w:pPr>
          </w:p>
        </w:tc>
      </w:tr>
      <w:tr w:rsidR="002A4DDF" w:rsidRPr="00937C8B" w14:paraId="0CB74146" w14:textId="77777777" w:rsidTr="00935676">
        <w:trPr>
          <w:cantSplit/>
        </w:trPr>
        <w:tc>
          <w:tcPr>
            <w:tcW w:w="1696" w:type="dxa"/>
            <w:tcBorders>
              <w:left w:val="single" w:sz="4" w:space="0" w:color="auto"/>
            </w:tcBorders>
            <w:shd w:val="clear" w:color="auto" w:fill="auto"/>
          </w:tcPr>
          <w:p w14:paraId="17870A19" w14:textId="77777777" w:rsidR="002A4DDF" w:rsidRPr="00937C8B" w:rsidRDefault="002A4DDF" w:rsidP="009110ED">
            <w:pPr>
              <w:rPr>
                <w:rFonts w:ascii="Arial" w:hAnsi="Arial" w:cs="Arial"/>
                <w:sz w:val="12"/>
                <w:szCs w:val="12"/>
              </w:rPr>
            </w:pPr>
          </w:p>
        </w:tc>
        <w:tc>
          <w:tcPr>
            <w:tcW w:w="1843" w:type="dxa"/>
            <w:shd w:val="clear" w:color="auto" w:fill="auto"/>
          </w:tcPr>
          <w:p w14:paraId="329B1130" w14:textId="77777777" w:rsidR="002A4DDF" w:rsidRPr="00937C8B" w:rsidRDefault="002A4DDF" w:rsidP="009110ED">
            <w:pPr>
              <w:rPr>
                <w:rFonts w:ascii="Arial" w:hAnsi="Arial" w:cs="Arial"/>
                <w:sz w:val="12"/>
                <w:szCs w:val="12"/>
              </w:rPr>
            </w:pPr>
          </w:p>
        </w:tc>
        <w:tc>
          <w:tcPr>
            <w:tcW w:w="2268" w:type="dxa"/>
            <w:shd w:val="clear" w:color="auto" w:fill="F2F2F2"/>
            <w:hideMark/>
          </w:tcPr>
          <w:p w14:paraId="01EF2972" w14:textId="77777777" w:rsidR="002A4DDF" w:rsidRPr="00937C8B" w:rsidRDefault="002A4DDF" w:rsidP="009110ED">
            <w:pPr>
              <w:rPr>
                <w:rFonts w:ascii="Arial" w:hAnsi="Arial" w:cs="Arial"/>
                <w:sz w:val="12"/>
                <w:szCs w:val="12"/>
              </w:rPr>
            </w:pPr>
            <w:r>
              <w:rPr>
                <w:rFonts w:ascii="Arial" w:hAnsi="Arial"/>
                <w:sz w:val="12"/>
                <w:szCs w:val="12"/>
              </w:rPr>
              <w:t>Nerva</w:t>
            </w:r>
          </w:p>
        </w:tc>
        <w:tc>
          <w:tcPr>
            <w:tcW w:w="2268" w:type="dxa"/>
            <w:tcBorders>
              <w:right w:val="single" w:sz="4" w:space="0" w:color="auto"/>
            </w:tcBorders>
            <w:shd w:val="clear" w:color="auto" w:fill="D9D9D9"/>
            <w:hideMark/>
          </w:tcPr>
          <w:p w14:paraId="4F15A712" w14:textId="77777777" w:rsidR="002A4DDF" w:rsidRPr="00937C8B" w:rsidRDefault="002A4DDF" w:rsidP="009110ED">
            <w:pPr>
              <w:rPr>
                <w:rFonts w:ascii="Arial" w:hAnsi="Arial" w:cs="Arial"/>
                <w:sz w:val="12"/>
                <w:szCs w:val="12"/>
              </w:rPr>
            </w:pPr>
          </w:p>
        </w:tc>
      </w:tr>
      <w:tr w:rsidR="002A4DDF" w:rsidRPr="00937C8B" w14:paraId="3C303BBD" w14:textId="77777777" w:rsidTr="00935676">
        <w:trPr>
          <w:cantSplit/>
        </w:trPr>
        <w:tc>
          <w:tcPr>
            <w:tcW w:w="1696" w:type="dxa"/>
            <w:tcBorders>
              <w:left w:val="single" w:sz="4" w:space="0" w:color="auto"/>
            </w:tcBorders>
            <w:shd w:val="clear" w:color="auto" w:fill="auto"/>
          </w:tcPr>
          <w:p w14:paraId="6D4FDBD7" w14:textId="77777777" w:rsidR="002A4DDF" w:rsidRPr="00937C8B" w:rsidRDefault="002A4DDF" w:rsidP="009110ED">
            <w:pPr>
              <w:rPr>
                <w:rFonts w:ascii="Arial" w:hAnsi="Arial" w:cs="Arial"/>
                <w:sz w:val="12"/>
                <w:szCs w:val="12"/>
              </w:rPr>
            </w:pPr>
          </w:p>
        </w:tc>
        <w:tc>
          <w:tcPr>
            <w:tcW w:w="1843" w:type="dxa"/>
            <w:shd w:val="clear" w:color="auto" w:fill="auto"/>
          </w:tcPr>
          <w:p w14:paraId="2BB1B6E6" w14:textId="77777777" w:rsidR="002A4DDF" w:rsidRPr="00937C8B" w:rsidRDefault="002A4DDF" w:rsidP="009110ED">
            <w:pPr>
              <w:rPr>
                <w:rFonts w:ascii="Arial" w:hAnsi="Arial" w:cs="Arial"/>
                <w:sz w:val="12"/>
                <w:szCs w:val="12"/>
              </w:rPr>
            </w:pPr>
          </w:p>
        </w:tc>
        <w:tc>
          <w:tcPr>
            <w:tcW w:w="2268" w:type="dxa"/>
            <w:shd w:val="clear" w:color="auto" w:fill="F2F2F2"/>
            <w:hideMark/>
          </w:tcPr>
          <w:p w14:paraId="5BC26FB1" w14:textId="77777777" w:rsidR="002A4DDF" w:rsidRPr="00937C8B" w:rsidRDefault="002A4DDF" w:rsidP="009110ED">
            <w:pPr>
              <w:rPr>
                <w:rFonts w:ascii="Arial" w:hAnsi="Arial" w:cs="Arial"/>
                <w:sz w:val="12"/>
                <w:szCs w:val="12"/>
              </w:rPr>
            </w:pPr>
            <w:r>
              <w:rPr>
                <w:rFonts w:ascii="Arial" w:hAnsi="Arial"/>
                <w:sz w:val="12"/>
                <w:szCs w:val="12"/>
              </w:rPr>
              <w:t>Paterna del Campo</w:t>
            </w:r>
          </w:p>
        </w:tc>
        <w:tc>
          <w:tcPr>
            <w:tcW w:w="2268" w:type="dxa"/>
            <w:tcBorders>
              <w:right w:val="single" w:sz="4" w:space="0" w:color="auto"/>
            </w:tcBorders>
            <w:shd w:val="clear" w:color="auto" w:fill="D9D9D9"/>
            <w:hideMark/>
          </w:tcPr>
          <w:p w14:paraId="4D43C6D8" w14:textId="77777777" w:rsidR="002A4DDF" w:rsidRPr="00937C8B" w:rsidRDefault="002A4DDF" w:rsidP="009110ED">
            <w:pPr>
              <w:rPr>
                <w:rFonts w:ascii="Arial" w:hAnsi="Arial" w:cs="Arial"/>
                <w:sz w:val="12"/>
                <w:szCs w:val="12"/>
              </w:rPr>
            </w:pPr>
          </w:p>
        </w:tc>
      </w:tr>
      <w:tr w:rsidR="002A4DDF" w:rsidRPr="00937C8B" w14:paraId="6D07EF1F" w14:textId="77777777" w:rsidTr="00935676">
        <w:trPr>
          <w:cantSplit/>
        </w:trPr>
        <w:tc>
          <w:tcPr>
            <w:tcW w:w="1696" w:type="dxa"/>
            <w:tcBorders>
              <w:left w:val="single" w:sz="4" w:space="0" w:color="auto"/>
            </w:tcBorders>
            <w:shd w:val="clear" w:color="auto" w:fill="auto"/>
          </w:tcPr>
          <w:p w14:paraId="21709163" w14:textId="77777777" w:rsidR="002A4DDF" w:rsidRPr="00937C8B" w:rsidRDefault="002A4DDF" w:rsidP="009110ED">
            <w:pPr>
              <w:rPr>
                <w:rFonts w:ascii="Arial" w:hAnsi="Arial" w:cs="Arial"/>
                <w:sz w:val="12"/>
                <w:szCs w:val="12"/>
              </w:rPr>
            </w:pPr>
          </w:p>
        </w:tc>
        <w:tc>
          <w:tcPr>
            <w:tcW w:w="1843" w:type="dxa"/>
            <w:shd w:val="clear" w:color="auto" w:fill="auto"/>
          </w:tcPr>
          <w:p w14:paraId="768640A1" w14:textId="77777777" w:rsidR="002A4DDF" w:rsidRPr="00937C8B" w:rsidRDefault="002A4DDF" w:rsidP="009110ED">
            <w:pPr>
              <w:rPr>
                <w:rFonts w:ascii="Arial" w:hAnsi="Arial" w:cs="Arial"/>
                <w:sz w:val="12"/>
                <w:szCs w:val="12"/>
              </w:rPr>
            </w:pPr>
          </w:p>
        </w:tc>
        <w:tc>
          <w:tcPr>
            <w:tcW w:w="2268" w:type="dxa"/>
            <w:shd w:val="clear" w:color="auto" w:fill="F2F2F2"/>
            <w:hideMark/>
          </w:tcPr>
          <w:p w14:paraId="176A4D23" w14:textId="77777777" w:rsidR="002A4DDF" w:rsidRPr="00937C8B" w:rsidRDefault="002A4DDF" w:rsidP="009110ED">
            <w:pPr>
              <w:rPr>
                <w:rFonts w:ascii="Arial" w:hAnsi="Arial" w:cs="Arial"/>
                <w:sz w:val="12"/>
                <w:szCs w:val="12"/>
              </w:rPr>
            </w:pPr>
            <w:r>
              <w:rPr>
                <w:rFonts w:ascii="Arial" w:hAnsi="Arial"/>
                <w:sz w:val="12"/>
                <w:szCs w:val="12"/>
              </w:rPr>
              <w:t>Puebla de Guzmán</w:t>
            </w:r>
          </w:p>
        </w:tc>
        <w:tc>
          <w:tcPr>
            <w:tcW w:w="2268" w:type="dxa"/>
            <w:tcBorders>
              <w:right w:val="single" w:sz="4" w:space="0" w:color="auto"/>
            </w:tcBorders>
            <w:shd w:val="clear" w:color="auto" w:fill="D9D9D9"/>
            <w:hideMark/>
          </w:tcPr>
          <w:p w14:paraId="641DF9E0" w14:textId="77777777" w:rsidR="002A4DDF" w:rsidRPr="00937C8B" w:rsidRDefault="002A4DDF" w:rsidP="009110ED">
            <w:pPr>
              <w:rPr>
                <w:rFonts w:ascii="Arial" w:hAnsi="Arial" w:cs="Arial"/>
                <w:sz w:val="12"/>
                <w:szCs w:val="12"/>
              </w:rPr>
            </w:pPr>
          </w:p>
        </w:tc>
      </w:tr>
      <w:tr w:rsidR="002A4DDF" w:rsidRPr="00937C8B" w14:paraId="3D7B3E82" w14:textId="77777777" w:rsidTr="00935676">
        <w:trPr>
          <w:cantSplit/>
        </w:trPr>
        <w:tc>
          <w:tcPr>
            <w:tcW w:w="1696" w:type="dxa"/>
            <w:tcBorders>
              <w:left w:val="single" w:sz="4" w:space="0" w:color="auto"/>
            </w:tcBorders>
            <w:shd w:val="clear" w:color="auto" w:fill="auto"/>
          </w:tcPr>
          <w:p w14:paraId="646D75EA" w14:textId="77777777" w:rsidR="002A4DDF" w:rsidRPr="00937C8B" w:rsidRDefault="002A4DDF" w:rsidP="009110ED">
            <w:pPr>
              <w:rPr>
                <w:rFonts w:ascii="Arial" w:hAnsi="Arial" w:cs="Arial"/>
                <w:sz w:val="12"/>
                <w:szCs w:val="12"/>
              </w:rPr>
            </w:pPr>
          </w:p>
        </w:tc>
        <w:tc>
          <w:tcPr>
            <w:tcW w:w="1843" w:type="dxa"/>
            <w:shd w:val="clear" w:color="auto" w:fill="auto"/>
          </w:tcPr>
          <w:p w14:paraId="56518360" w14:textId="77777777" w:rsidR="002A4DDF" w:rsidRPr="00937C8B" w:rsidRDefault="002A4DDF" w:rsidP="009110ED">
            <w:pPr>
              <w:rPr>
                <w:rFonts w:ascii="Arial" w:hAnsi="Arial" w:cs="Arial"/>
                <w:sz w:val="12"/>
                <w:szCs w:val="12"/>
              </w:rPr>
            </w:pPr>
          </w:p>
        </w:tc>
        <w:tc>
          <w:tcPr>
            <w:tcW w:w="2268" w:type="dxa"/>
            <w:shd w:val="clear" w:color="auto" w:fill="F2F2F2"/>
            <w:hideMark/>
          </w:tcPr>
          <w:p w14:paraId="1029CCE6" w14:textId="77777777" w:rsidR="002A4DDF" w:rsidRPr="00937C8B" w:rsidRDefault="002A4DDF" w:rsidP="009110ED">
            <w:pPr>
              <w:rPr>
                <w:rFonts w:ascii="Arial" w:hAnsi="Arial" w:cs="Arial"/>
                <w:sz w:val="12"/>
                <w:szCs w:val="12"/>
              </w:rPr>
            </w:pPr>
            <w:r>
              <w:rPr>
                <w:rFonts w:ascii="Arial" w:hAnsi="Arial"/>
                <w:sz w:val="12"/>
                <w:szCs w:val="12"/>
              </w:rPr>
              <w:t>Puerto Moral</w:t>
            </w:r>
          </w:p>
        </w:tc>
        <w:tc>
          <w:tcPr>
            <w:tcW w:w="2268" w:type="dxa"/>
            <w:tcBorders>
              <w:right w:val="single" w:sz="4" w:space="0" w:color="auto"/>
            </w:tcBorders>
            <w:shd w:val="clear" w:color="auto" w:fill="D9D9D9"/>
            <w:hideMark/>
          </w:tcPr>
          <w:p w14:paraId="2EA650EC" w14:textId="77777777" w:rsidR="002A4DDF" w:rsidRPr="00937C8B" w:rsidRDefault="002A4DDF" w:rsidP="009110ED">
            <w:pPr>
              <w:rPr>
                <w:rFonts w:ascii="Arial" w:hAnsi="Arial" w:cs="Arial"/>
                <w:sz w:val="12"/>
                <w:szCs w:val="12"/>
              </w:rPr>
            </w:pPr>
          </w:p>
        </w:tc>
      </w:tr>
      <w:tr w:rsidR="002A4DDF" w:rsidRPr="00937C8B" w14:paraId="11A18C6B" w14:textId="77777777" w:rsidTr="00935676">
        <w:trPr>
          <w:cantSplit/>
        </w:trPr>
        <w:tc>
          <w:tcPr>
            <w:tcW w:w="1696" w:type="dxa"/>
            <w:tcBorders>
              <w:left w:val="single" w:sz="4" w:space="0" w:color="auto"/>
            </w:tcBorders>
            <w:shd w:val="clear" w:color="auto" w:fill="auto"/>
          </w:tcPr>
          <w:p w14:paraId="3C19D3B9" w14:textId="77777777" w:rsidR="002A4DDF" w:rsidRPr="00937C8B" w:rsidRDefault="002A4DDF" w:rsidP="009110ED">
            <w:pPr>
              <w:rPr>
                <w:rFonts w:ascii="Arial" w:hAnsi="Arial" w:cs="Arial"/>
                <w:sz w:val="12"/>
                <w:szCs w:val="12"/>
              </w:rPr>
            </w:pPr>
          </w:p>
        </w:tc>
        <w:tc>
          <w:tcPr>
            <w:tcW w:w="1843" w:type="dxa"/>
            <w:shd w:val="clear" w:color="auto" w:fill="auto"/>
          </w:tcPr>
          <w:p w14:paraId="45DC3986" w14:textId="77777777" w:rsidR="002A4DDF" w:rsidRPr="00937C8B" w:rsidRDefault="002A4DDF" w:rsidP="009110ED">
            <w:pPr>
              <w:rPr>
                <w:rFonts w:ascii="Arial" w:hAnsi="Arial" w:cs="Arial"/>
                <w:sz w:val="12"/>
                <w:szCs w:val="12"/>
              </w:rPr>
            </w:pPr>
          </w:p>
        </w:tc>
        <w:tc>
          <w:tcPr>
            <w:tcW w:w="2268" w:type="dxa"/>
            <w:shd w:val="clear" w:color="auto" w:fill="F2F2F2"/>
            <w:hideMark/>
          </w:tcPr>
          <w:p w14:paraId="2C9790F0" w14:textId="77777777" w:rsidR="002A4DDF" w:rsidRPr="00937C8B" w:rsidRDefault="002A4DDF" w:rsidP="009110ED">
            <w:pPr>
              <w:rPr>
                <w:rFonts w:ascii="Arial" w:hAnsi="Arial" w:cs="Arial"/>
                <w:sz w:val="12"/>
                <w:szCs w:val="12"/>
              </w:rPr>
            </w:pPr>
            <w:r>
              <w:rPr>
                <w:rFonts w:ascii="Arial" w:hAnsi="Arial"/>
                <w:sz w:val="12"/>
                <w:szCs w:val="12"/>
              </w:rPr>
              <w:t>Santa Ana la Real</w:t>
            </w:r>
          </w:p>
        </w:tc>
        <w:tc>
          <w:tcPr>
            <w:tcW w:w="2268" w:type="dxa"/>
            <w:tcBorders>
              <w:right w:val="single" w:sz="4" w:space="0" w:color="auto"/>
            </w:tcBorders>
            <w:shd w:val="clear" w:color="auto" w:fill="D9D9D9"/>
            <w:hideMark/>
          </w:tcPr>
          <w:p w14:paraId="4DA01710" w14:textId="77777777" w:rsidR="002A4DDF" w:rsidRPr="00937C8B" w:rsidRDefault="002A4DDF" w:rsidP="009110ED">
            <w:pPr>
              <w:rPr>
                <w:rFonts w:ascii="Arial" w:hAnsi="Arial" w:cs="Arial"/>
                <w:sz w:val="12"/>
                <w:szCs w:val="12"/>
              </w:rPr>
            </w:pPr>
          </w:p>
        </w:tc>
      </w:tr>
      <w:tr w:rsidR="002A4DDF" w:rsidRPr="00937C8B" w14:paraId="146D8748" w14:textId="77777777" w:rsidTr="00935676">
        <w:trPr>
          <w:cantSplit/>
        </w:trPr>
        <w:tc>
          <w:tcPr>
            <w:tcW w:w="1696" w:type="dxa"/>
            <w:tcBorders>
              <w:left w:val="single" w:sz="4" w:space="0" w:color="auto"/>
            </w:tcBorders>
            <w:shd w:val="clear" w:color="auto" w:fill="auto"/>
          </w:tcPr>
          <w:p w14:paraId="7D94A2E9" w14:textId="77777777" w:rsidR="002A4DDF" w:rsidRPr="00937C8B" w:rsidRDefault="002A4DDF" w:rsidP="009110ED">
            <w:pPr>
              <w:rPr>
                <w:rFonts w:ascii="Arial" w:hAnsi="Arial" w:cs="Arial"/>
                <w:sz w:val="12"/>
                <w:szCs w:val="12"/>
              </w:rPr>
            </w:pPr>
          </w:p>
        </w:tc>
        <w:tc>
          <w:tcPr>
            <w:tcW w:w="1843" w:type="dxa"/>
            <w:shd w:val="clear" w:color="auto" w:fill="auto"/>
          </w:tcPr>
          <w:p w14:paraId="4A3AADC5" w14:textId="77777777" w:rsidR="002A4DDF" w:rsidRPr="00937C8B" w:rsidRDefault="002A4DDF" w:rsidP="009110ED">
            <w:pPr>
              <w:rPr>
                <w:rFonts w:ascii="Arial" w:hAnsi="Arial" w:cs="Arial"/>
                <w:sz w:val="12"/>
                <w:szCs w:val="12"/>
              </w:rPr>
            </w:pPr>
          </w:p>
        </w:tc>
        <w:tc>
          <w:tcPr>
            <w:tcW w:w="2268" w:type="dxa"/>
            <w:shd w:val="clear" w:color="auto" w:fill="F2F2F2"/>
            <w:hideMark/>
          </w:tcPr>
          <w:p w14:paraId="48293269" w14:textId="77777777" w:rsidR="002A4DDF" w:rsidRPr="00937C8B" w:rsidRDefault="002A4DDF" w:rsidP="009110ED">
            <w:pPr>
              <w:rPr>
                <w:rFonts w:ascii="Arial" w:hAnsi="Arial" w:cs="Arial"/>
                <w:sz w:val="12"/>
                <w:szCs w:val="12"/>
              </w:rPr>
            </w:pPr>
            <w:r>
              <w:rPr>
                <w:rFonts w:ascii="Arial" w:hAnsi="Arial"/>
                <w:sz w:val="12"/>
                <w:szCs w:val="12"/>
              </w:rPr>
              <w:t>Santa Bárbara de Casa</w:t>
            </w:r>
          </w:p>
        </w:tc>
        <w:tc>
          <w:tcPr>
            <w:tcW w:w="2268" w:type="dxa"/>
            <w:tcBorders>
              <w:right w:val="single" w:sz="4" w:space="0" w:color="auto"/>
            </w:tcBorders>
            <w:shd w:val="clear" w:color="auto" w:fill="D9D9D9"/>
            <w:hideMark/>
          </w:tcPr>
          <w:p w14:paraId="6F7FC9CC" w14:textId="77777777" w:rsidR="002A4DDF" w:rsidRPr="00937C8B" w:rsidRDefault="002A4DDF" w:rsidP="009110ED">
            <w:pPr>
              <w:rPr>
                <w:rFonts w:ascii="Arial" w:hAnsi="Arial" w:cs="Arial"/>
                <w:sz w:val="12"/>
                <w:szCs w:val="12"/>
              </w:rPr>
            </w:pPr>
          </w:p>
        </w:tc>
      </w:tr>
      <w:tr w:rsidR="002A4DDF" w:rsidRPr="00937C8B" w14:paraId="6B74B39B" w14:textId="77777777" w:rsidTr="00935676">
        <w:trPr>
          <w:cantSplit/>
        </w:trPr>
        <w:tc>
          <w:tcPr>
            <w:tcW w:w="1696" w:type="dxa"/>
            <w:tcBorders>
              <w:left w:val="single" w:sz="4" w:space="0" w:color="auto"/>
            </w:tcBorders>
            <w:shd w:val="clear" w:color="auto" w:fill="auto"/>
          </w:tcPr>
          <w:p w14:paraId="48EB857C" w14:textId="77777777" w:rsidR="002A4DDF" w:rsidRPr="00937C8B" w:rsidRDefault="002A4DDF" w:rsidP="009110ED">
            <w:pPr>
              <w:rPr>
                <w:rFonts w:ascii="Arial" w:hAnsi="Arial" w:cs="Arial"/>
                <w:sz w:val="12"/>
                <w:szCs w:val="12"/>
              </w:rPr>
            </w:pPr>
          </w:p>
        </w:tc>
        <w:tc>
          <w:tcPr>
            <w:tcW w:w="1843" w:type="dxa"/>
            <w:shd w:val="clear" w:color="auto" w:fill="auto"/>
          </w:tcPr>
          <w:p w14:paraId="0E6CC5F5" w14:textId="77777777" w:rsidR="002A4DDF" w:rsidRPr="00937C8B" w:rsidRDefault="002A4DDF" w:rsidP="009110ED">
            <w:pPr>
              <w:rPr>
                <w:rFonts w:ascii="Arial" w:hAnsi="Arial" w:cs="Arial"/>
                <w:sz w:val="12"/>
                <w:szCs w:val="12"/>
              </w:rPr>
            </w:pPr>
          </w:p>
        </w:tc>
        <w:tc>
          <w:tcPr>
            <w:tcW w:w="2268" w:type="dxa"/>
            <w:shd w:val="clear" w:color="auto" w:fill="F2F2F2"/>
            <w:hideMark/>
          </w:tcPr>
          <w:p w14:paraId="7DF30EA8" w14:textId="77777777" w:rsidR="002A4DDF" w:rsidRPr="00937C8B" w:rsidRDefault="002A4DDF" w:rsidP="009110ED">
            <w:pPr>
              <w:rPr>
                <w:rFonts w:ascii="Arial" w:hAnsi="Arial" w:cs="Arial"/>
                <w:sz w:val="12"/>
                <w:szCs w:val="12"/>
              </w:rPr>
            </w:pPr>
            <w:r>
              <w:rPr>
                <w:rFonts w:ascii="Arial" w:hAnsi="Arial"/>
                <w:sz w:val="12"/>
                <w:szCs w:val="12"/>
              </w:rPr>
              <w:t>Valdelarco</w:t>
            </w:r>
          </w:p>
        </w:tc>
        <w:tc>
          <w:tcPr>
            <w:tcW w:w="2268" w:type="dxa"/>
            <w:tcBorders>
              <w:right w:val="single" w:sz="4" w:space="0" w:color="auto"/>
            </w:tcBorders>
            <w:shd w:val="clear" w:color="auto" w:fill="D9D9D9"/>
            <w:hideMark/>
          </w:tcPr>
          <w:p w14:paraId="70864E3F" w14:textId="77777777" w:rsidR="002A4DDF" w:rsidRPr="00937C8B" w:rsidRDefault="002A4DDF" w:rsidP="009110ED">
            <w:pPr>
              <w:rPr>
                <w:rFonts w:ascii="Arial" w:hAnsi="Arial" w:cs="Arial"/>
                <w:sz w:val="12"/>
                <w:szCs w:val="12"/>
              </w:rPr>
            </w:pPr>
          </w:p>
        </w:tc>
      </w:tr>
      <w:tr w:rsidR="002A4DDF" w:rsidRPr="00937C8B" w14:paraId="33A6C73D" w14:textId="77777777" w:rsidTr="00935676">
        <w:trPr>
          <w:cantSplit/>
        </w:trPr>
        <w:tc>
          <w:tcPr>
            <w:tcW w:w="1696" w:type="dxa"/>
            <w:tcBorders>
              <w:left w:val="single" w:sz="4" w:space="0" w:color="auto"/>
            </w:tcBorders>
            <w:shd w:val="clear" w:color="auto" w:fill="auto"/>
          </w:tcPr>
          <w:p w14:paraId="771B30B9" w14:textId="77777777" w:rsidR="002A4DDF" w:rsidRPr="00937C8B" w:rsidRDefault="002A4DDF" w:rsidP="009110ED">
            <w:pPr>
              <w:rPr>
                <w:rFonts w:ascii="Arial" w:hAnsi="Arial" w:cs="Arial"/>
                <w:sz w:val="12"/>
                <w:szCs w:val="12"/>
              </w:rPr>
            </w:pPr>
          </w:p>
        </w:tc>
        <w:tc>
          <w:tcPr>
            <w:tcW w:w="1843" w:type="dxa"/>
            <w:shd w:val="clear" w:color="auto" w:fill="auto"/>
          </w:tcPr>
          <w:p w14:paraId="69292D4E" w14:textId="77777777" w:rsidR="002A4DDF" w:rsidRPr="00937C8B" w:rsidRDefault="002A4DDF" w:rsidP="009110ED">
            <w:pPr>
              <w:rPr>
                <w:rFonts w:ascii="Arial" w:hAnsi="Arial" w:cs="Arial"/>
                <w:sz w:val="12"/>
                <w:szCs w:val="12"/>
              </w:rPr>
            </w:pPr>
          </w:p>
        </w:tc>
        <w:tc>
          <w:tcPr>
            <w:tcW w:w="2268" w:type="dxa"/>
            <w:shd w:val="clear" w:color="auto" w:fill="F2F2F2"/>
            <w:hideMark/>
          </w:tcPr>
          <w:p w14:paraId="6BBBEC2A" w14:textId="77777777" w:rsidR="002A4DDF" w:rsidRPr="00937C8B" w:rsidRDefault="002A4DDF" w:rsidP="009110ED">
            <w:pPr>
              <w:rPr>
                <w:rFonts w:ascii="Arial" w:hAnsi="Arial" w:cs="Arial"/>
                <w:sz w:val="12"/>
                <w:szCs w:val="12"/>
              </w:rPr>
            </w:pPr>
            <w:r>
              <w:rPr>
                <w:rFonts w:ascii="Arial" w:hAnsi="Arial"/>
                <w:sz w:val="12"/>
                <w:szCs w:val="12"/>
              </w:rPr>
              <w:t>Valverde del Camino</w:t>
            </w:r>
          </w:p>
        </w:tc>
        <w:tc>
          <w:tcPr>
            <w:tcW w:w="2268" w:type="dxa"/>
            <w:tcBorders>
              <w:right w:val="single" w:sz="4" w:space="0" w:color="auto"/>
            </w:tcBorders>
            <w:shd w:val="clear" w:color="auto" w:fill="D9D9D9"/>
            <w:hideMark/>
          </w:tcPr>
          <w:p w14:paraId="235FF781" w14:textId="77777777" w:rsidR="002A4DDF" w:rsidRPr="00937C8B" w:rsidRDefault="002A4DDF" w:rsidP="009110ED">
            <w:pPr>
              <w:rPr>
                <w:rFonts w:ascii="Arial" w:hAnsi="Arial" w:cs="Arial"/>
                <w:sz w:val="12"/>
                <w:szCs w:val="12"/>
              </w:rPr>
            </w:pPr>
          </w:p>
        </w:tc>
      </w:tr>
      <w:tr w:rsidR="002A4DDF" w:rsidRPr="00937C8B" w14:paraId="371A47AF" w14:textId="77777777" w:rsidTr="00935676">
        <w:trPr>
          <w:cantSplit/>
        </w:trPr>
        <w:tc>
          <w:tcPr>
            <w:tcW w:w="1696" w:type="dxa"/>
            <w:tcBorders>
              <w:left w:val="single" w:sz="4" w:space="0" w:color="auto"/>
            </w:tcBorders>
            <w:shd w:val="clear" w:color="auto" w:fill="auto"/>
          </w:tcPr>
          <w:p w14:paraId="20362B8E" w14:textId="77777777" w:rsidR="002A4DDF" w:rsidRPr="00937C8B" w:rsidRDefault="002A4DDF" w:rsidP="009110ED">
            <w:pPr>
              <w:rPr>
                <w:rFonts w:ascii="Arial" w:hAnsi="Arial" w:cs="Arial"/>
                <w:sz w:val="12"/>
                <w:szCs w:val="12"/>
              </w:rPr>
            </w:pPr>
          </w:p>
        </w:tc>
        <w:tc>
          <w:tcPr>
            <w:tcW w:w="1843" w:type="dxa"/>
            <w:shd w:val="clear" w:color="auto" w:fill="auto"/>
          </w:tcPr>
          <w:p w14:paraId="5931A97F" w14:textId="77777777" w:rsidR="002A4DDF" w:rsidRPr="00937C8B" w:rsidRDefault="002A4DDF" w:rsidP="009110ED">
            <w:pPr>
              <w:rPr>
                <w:rFonts w:ascii="Arial" w:hAnsi="Arial" w:cs="Arial"/>
                <w:sz w:val="12"/>
                <w:szCs w:val="12"/>
              </w:rPr>
            </w:pPr>
          </w:p>
        </w:tc>
        <w:tc>
          <w:tcPr>
            <w:tcW w:w="2268" w:type="dxa"/>
            <w:shd w:val="clear" w:color="auto" w:fill="F2F2F2"/>
            <w:hideMark/>
          </w:tcPr>
          <w:p w14:paraId="61404ED7" w14:textId="77777777" w:rsidR="002A4DDF" w:rsidRPr="00937C8B" w:rsidRDefault="002A4DDF" w:rsidP="009110ED">
            <w:pPr>
              <w:rPr>
                <w:rFonts w:ascii="Arial" w:hAnsi="Arial" w:cs="Arial"/>
                <w:sz w:val="12"/>
                <w:szCs w:val="12"/>
              </w:rPr>
            </w:pPr>
            <w:r>
              <w:rPr>
                <w:rFonts w:ascii="Arial" w:hAnsi="Arial"/>
                <w:sz w:val="12"/>
                <w:szCs w:val="12"/>
              </w:rPr>
              <w:t>Villanueva de los Castillejos</w:t>
            </w:r>
          </w:p>
        </w:tc>
        <w:tc>
          <w:tcPr>
            <w:tcW w:w="2268" w:type="dxa"/>
            <w:tcBorders>
              <w:right w:val="single" w:sz="4" w:space="0" w:color="auto"/>
            </w:tcBorders>
            <w:shd w:val="clear" w:color="auto" w:fill="D9D9D9"/>
            <w:hideMark/>
          </w:tcPr>
          <w:p w14:paraId="7B1D88E9" w14:textId="77777777" w:rsidR="002A4DDF" w:rsidRPr="00937C8B" w:rsidRDefault="002A4DDF" w:rsidP="009110ED">
            <w:pPr>
              <w:rPr>
                <w:rFonts w:ascii="Arial" w:hAnsi="Arial" w:cs="Arial"/>
                <w:sz w:val="12"/>
                <w:szCs w:val="12"/>
              </w:rPr>
            </w:pPr>
          </w:p>
        </w:tc>
      </w:tr>
      <w:tr w:rsidR="002A4DDF" w:rsidRPr="00937C8B" w14:paraId="07CCC195" w14:textId="77777777" w:rsidTr="00935676">
        <w:trPr>
          <w:cantSplit/>
        </w:trPr>
        <w:tc>
          <w:tcPr>
            <w:tcW w:w="1696" w:type="dxa"/>
            <w:tcBorders>
              <w:left w:val="single" w:sz="4" w:space="0" w:color="auto"/>
            </w:tcBorders>
            <w:shd w:val="clear" w:color="auto" w:fill="auto"/>
          </w:tcPr>
          <w:p w14:paraId="063CD3ED" w14:textId="77777777" w:rsidR="002A4DDF" w:rsidRPr="00937C8B" w:rsidRDefault="002A4DDF" w:rsidP="009110ED">
            <w:pPr>
              <w:rPr>
                <w:rFonts w:ascii="Arial" w:hAnsi="Arial" w:cs="Arial"/>
                <w:sz w:val="12"/>
                <w:szCs w:val="12"/>
              </w:rPr>
            </w:pPr>
          </w:p>
        </w:tc>
        <w:tc>
          <w:tcPr>
            <w:tcW w:w="1843" w:type="dxa"/>
            <w:shd w:val="clear" w:color="auto" w:fill="auto"/>
          </w:tcPr>
          <w:p w14:paraId="669AEC49" w14:textId="77777777" w:rsidR="002A4DDF" w:rsidRPr="00937C8B" w:rsidRDefault="002A4DDF" w:rsidP="009110ED">
            <w:pPr>
              <w:rPr>
                <w:rFonts w:ascii="Arial" w:hAnsi="Arial" w:cs="Arial"/>
                <w:sz w:val="12"/>
                <w:szCs w:val="12"/>
              </w:rPr>
            </w:pPr>
          </w:p>
        </w:tc>
        <w:tc>
          <w:tcPr>
            <w:tcW w:w="2268" w:type="dxa"/>
            <w:shd w:val="clear" w:color="auto" w:fill="F2F2F2"/>
            <w:hideMark/>
          </w:tcPr>
          <w:p w14:paraId="60678768" w14:textId="77777777" w:rsidR="002A4DDF" w:rsidRPr="00937C8B" w:rsidRDefault="002A4DDF" w:rsidP="009110ED">
            <w:pPr>
              <w:rPr>
                <w:rFonts w:ascii="Arial" w:hAnsi="Arial" w:cs="Arial"/>
                <w:sz w:val="12"/>
                <w:szCs w:val="12"/>
              </w:rPr>
            </w:pPr>
            <w:r>
              <w:rPr>
                <w:rFonts w:ascii="Arial" w:hAnsi="Arial"/>
                <w:sz w:val="12"/>
                <w:szCs w:val="12"/>
              </w:rPr>
              <w:t>Zalamea la Real</w:t>
            </w:r>
          </w:p>
        </w:tc>
        <w:tc>
          <w:tcPr>
            <w:tcW w:w="2268" w:type="dxa"/>
            <w:tcBorders>
              <w:right w:val="single" w:sz="4" w:space="0" w:color="auto"/>
            </w:tcBorders>
            <w:shd w:val="clear" w:color="auto" w:fill="D9D9D9"/>
            <w:hideMark/>
          </w:tcPr>
          <w:p w14:paraId="7EC28748" w14:textId="77777777" w:rsidR="002A4DDF" w:rsidRPr="00937C8B" w:rsidRDefault="002A4DDF" w:rsidP="009110ED">
            <w:pPr>
              <w:rPr>
                <w:rFonts w:ascii="Arial" w:hAnsi="Arial" w:cs="Arial"/>
                <w:sz w:val="12"/>
                <w:szCs w:val="12"/>
              </w:rPr>
            </w:pPr>
          </w:p>
        </w:tc>
      </w:tr>
      <w:tr w:rsidR="002A4DDF" w:rsidRPr="00937C8B" w14:paraId="4063C31E" w14:textId="77777777" w:rsidTr="00935676">
        <w:trPr>
          <w:cantSplit/>
        </w:trPr>
        <w:tc>
          <w:tcPr>
            <w:tcW w:w="1696" w:type="dxa"/>
            <w:tcBorders>
              <w:left w:val="single" w:sz="4" w:space="0" w:color="auto"/>
              <w:bottom w:val="single" w:sz="4" w:space="0" w:color="auto"/>
            </w:tcBorders>
            <w:shd w:val="clear" w:color="auto" w:fill="auto"/>
          </w:tcPr>
          <w:p w14:paraId="552B1E4F"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bottom w:val="single" w:sz="4" w:space="0" w:color="auto"/>
            </w:tcBorders>
            <w:shd w:val="clear" w:color="auto" w:fill="auto"/>
          </w:tcPr>
          <w:p w14:paraId="7236AAD7" w14:textId="77777777" w:rsidR="002A4DDF" w:rsidRPr="00937C8B" w:rsidRDefault="002A4DDF" w:rsidP="009110ED">
            <w:pPr>
              <w:rPr>
                <w:rFonts w:ascii="Arial" w:hAnsi="Arial" w:cs="Arial"/>
                <w:sz w:val="12"/>
                <w:szCs w:val="12"/>
              </w:rPr>
            </w:pPr>
            <w:r>
              <w:rPr>
                <w:rFonts w:ascii="Arial" w:hAnsi="Arial"/>
                <w:sz w:val="12"/>
                <w:szCs w:val="12"/>
              </w:rPr>
              <w:t>Huelva</w:t>
            </w:r>
          </w:p>
        </w:tc>
        <w:tc>
          <w:tcPr>
            <w:tcW w:w="2268" w:type="dxa"/>
            <w:tcBorders>
              <w:bottom w:val="single" w:sz="4" w:space="0" w:color="auto"/>
            </w:tcBorders>
            <w:shd w:val="clear" w:color="auto" w:fill="F2F2F2"/>
            <w:hideMark/>
          </w:tcPr>
          <w:p w14:paraId="3644FAC2" w14:textId="77777777" w:rsidR="002A4DDF" w:rsidRPr="00937C8B" w:rsidRDefault="002A4DDF" w:rsidP="009110ED">
            <w:pPr>
              <w:rPr>
                <w:rFonts w:ascii="Arial" w:hAnsi="Arial" w:cs="Arial"/>
                <w:sz w:val="12"/>
                <w:szCs w:val="12"/>
              </w:rPr>
            </w:pPr>
            <w:r>
              <w:rPr>
                <w:rFonts w:ascii="Arial" w:hAnsi="Arial"/>
                <w:sz w:val="12"/>
                <w:szCs w:val="12"/>
              </w:rPr>
              <w:t>Zufre</w:t>
            </w:r>
          </w:p>
        </w:tc>
        <w:tc>
          <w:tcPr>
            <w:tcW w:w="2268" w:type="dxa"/>
            <w:tcBorders>
              <w:bottom w:val="single" w:sz="4" w:space="0" w:color="auto"/>
              <w:right w:val="single" w:sz="4" w:space="0" w:color="auto"/>
            </w:tcBorders>
            <w:shd w:val="clear" w:color="auto" w:fill="D9D9D9"/>
            <w:hideMark/>
          </w:tcPr>
          <w:p w14:paraId="0F54B9AC" w14:textId="77777777" w:rsidR="002A4DDF" w:rsidRPr="00937C8B" w:rsidRDefault="002A4DDF" w:rsidP="009110ED">
            <w:pPr>
              <w:rPr>
                <w:rFonts w:ascii="Arial" w:hAnsi="Arial" w:cs="Arial"/>
                <w:sz w:val="12"/>
                <w:szCs w:val="12"/>
              </w:rPr>
            </w:pPr>
          </w:p>
        </w:tc>
      </w:tr>
      <w:tr w:rsidR="002A4DDF" w:rsidRPr="00937C8B" w14:paraId="22C9E495" w14:textId="77777777" w:rsidTr="00935676">
        <w:trPr>
          <w:cantSplit/>
        </w:trPr>
        <w:tc>
          <w:tcPr>
            <w:tcW w:w="1696" w:type="dxa"/>
            <w:tcBorders>
              <w:top w:val="single" w:sz="4" w:space="0" w:color="auto"/>
              <w:bottom w:val="single" w:sz="4" w:space="0" w:color="auto"/>
            </w:tcBorders>
            <w:shd w:val="clear" w:color="auto" w:fill="auto"/>
            <w:hideMark/>
          </w:tcPr>
          <w:p w14:paraId="4E412240"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33CBCE9D"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2CC21CF3"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2DDD6DCC" w14:textId="77777777" w:rsidR="002A4DDF" w:rsidRPr="00937C8B" w:rsidRDefault="002A4DDF" w:rsidP="009110ED">
            <w:pPr>
              <w:rPr>
                <w:rFonts w:ascii="Arial" w:hAnsi="Arial" w:cs="Arial"/>
                <w:sz w:val="12"/>
                <w:szCs w:val="12"/>
              </w:rPr>
            </w:pPr>
          </w:p>
        </w:tc>
      </w:tr>
      <w:tr w:rsidR="002A4DDF" w:rsidRPr="00937C8B" w14:paraId="519E1663" w14:textId="77777777" w:rsidTr="00935676">
        <w:trPr>
          <w:cantSplit/>
        </w:trPr>
        <w:tc>
          <w:tcPr>
            <w:tcW w:w="1696" w:type="dxa"/>
            <w:tcBorders>
              <w:top w:val="single" w:sz="4" w:space="0" w:color="auto"/>
              <w:left w:val="single" w:sz="4" w:space="0" w:color="auto"/>
            </w:tcBorders>
            <w:shd w:val="clear" w:color="auto" w:fill="auto"/>
            <w:hideMark/>
          </w:tcPr>
          <w:p w14:paraId="3652E7D2"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top w:val="single" w:sz="4" w:space="0" w:color="auto"/>
            </w:tcBorders>
            <w:shd w:val="clear" w:color="auto" w:fill="auto"/>
            <w:hideMark/>
          </w:tcPr>
          <w:p w14:paraId="259425E7" w14:textId="77777777" w:rsidR="002A4DDF" w:rsidRPr="00937C8B" w:rsidRDefault="002A4DDF" w:rsidP="009110ED">
            <w:pPr>
              <w:rPr>
                <w:rFonts w:ascii="Arial" w:hAnsi="Arial" w:cs="Arial"/>
                <w:sz w:val="12"/>
                <w:szCs w:val="12"/>
              </w:rPr>
            </w:pPr>
            <w:r>
              <w:rPr>
                <w:rFonts w:ascii="Arial" w:hAnsi="Arial"/>
                <w:sz w:val="12"/>
                <w:szCs w:val="12"/>
              </w:rPr>
              <w:t>Jaén</w:t>
            </w:r>
          </w:p>
        </w:tc>
        <w:tc>
          <w:tcPr>
            <w:tcW w:w="2268" w:type="dxa"/>
            <w:tcBorders>
              <w:top w:val="single" w:sz="4" w:space="0" w:color="auto"/>
            </w:tcBorders>
            <w:shd w:val="clear" w:color="auto" w:fill="F2F2F2"/>
            <w:hideMark/>
          </w:tcPr>
          <w:p w14:paraId="3F7ED4C0" w14:textId="77777777" w:rsidR="002A4DDF" w:rsidRPr="00937C8B" w:rsidRDefault="002A4DDF" w:rsidP="009110ED">
            <w:pPr>
              <w:rPr>
                <w:rFonts w:ascii="Arial" w:hAnsi="Arial" w:cs="Arial"/>
                <w:sz w:val="12"/>
                <w:szCs w:val="12"/>
              </w:rPr>
            </w:pPr>
            <w:r>
              <w:rPr>
                <w:rFonts w:ascii="Arial" w:hAnsi="Arial"/>
                <w:sz w:val="12"/>
                <w:szCs w:val="12"/>
              </w:rPr>
              <w:t>Aldeaquemada</w:t>
            </w:r>
          </w:p>
        </w:tc>
        <w:tc>
          <w:tcPr>
            <w:tcW w:w="2268" w:type="dxa"/>
            <w:tcBorders>
              <w:top w:val="single" w:sz="4" w:space="0" w:color="auto"/>
              <w:right w:val="single" w:sz="4" w:space="0" w:color="auto"/>
            </w:tcBorders>
            <w:shd w:val="clear" w:color="auto" w:fill="D9D9D9"/>
            <w:hideMark/>
          </w:tcPr>
          <w:p w14:paraId="7FB4AEAD" w14:textId="77777777" w:rsidR="002A4DDF" w:rsidRPr="00937C8B" w:rsidRDefault="002A4DDF" w:rsidP="009110ED">
            <w:pPr>
              <w:rPr>
                <w:rFonts w:ascii="Arial" w:hAnsi="Arial" w:cs="Arial"/>
                <w:sz w:val="12"/>
                <w:szCs w:val="12"/>
              </w:rPr>
            </w:pPr>
            <w:r>
              <w:rPr>
                <w:rFonts w:ascii="Arial" w:hAnsi="Arial"/>
                <w:sz w:val="12"/>
                <w:szCs w:val="12"/>
              </w:rPr>
              <w:t>Andújar</w:t>
            </w:r>
          </w:p>
        </w:tc>
      </w:tr>
      <w:tr w:rsidR="002A4DDF" w:rsidRPr="00937C8B" w14:paraId="70157796" w14:textId="77777777" w:rsidTr="00935676">
        <w:trPr>
          <w:cantSplit/>
        </w:trPr>
        <w:tc>
          <w:tcPr>
            <w:tcW w:w="1696" w:type="dxa"/>
            <w:tcBorders>
              <w:left w:val="single" w:sz="4" w:space="0" w:color="auto"/>
            </w:tcBorders>
            <w:shd w:val="clear" w:color="auto" w:fill="auto"/>
          </w:tcPr>
          <w:p w14:paraId="38CDB167" w14:textId="77777777" w:rsidR="002A4DDF" w:rsidRPr="00937C8B" w:rsidRDefault="002A4DDF" w:rsidP="009110ED">
            <w:pPr>
              <w:rPr>
                <w:rFonts w:ascii="Arial" w:hAnsi="Arial" w:cs="Arial"/>
                <w:sz w:val="12"/>
                <w:szCs w:val="12"/>
              </w:rPr>
            </w:pPr>
          </w:p>
        </w:tc>
        <w:tc>
          <w:tcPr>
            <w:tcW w:w="1843" w:type="dxa"/>
            <w:shd w:val="clear" w:color="auto" w:fill="auto"/>
          </w:tcPr>
          <w:p w14:paraId="461B834D" w14:textId="77777777" w:rsidR="002A4DDF" w:rsidRPr="00937C8B" w:rsidRDefault="002A4DDF" w:rsidP="009110ED">
            <w:pPr>
              <w:rPr>
                <w:rFonts w:ascii="Arial" w:hAnsi="Arial" w:cs="Arial"/>
                <w:sz w:val="12"/>
                <w:szCs w:val="12"/>
              </w:rPr>
            </w:pPr>
          </w:p>
        </w:tc>
        <w:tc>
          <w:tcPr>
            <w:tcW w:w="2268" w:type="dxa"/>
            <w:shd w:val="clear" w:color="auto" w:fill="F2F2F2"/>
            <w:hideMark/>
          </w:tcPr>
          <w:p w14:paraId="2888F45F" w14:textId="77777777" w:rsidR="002A4DDF" w:rsidRPr="00937C8B" w:rsidRDefault="002A4DDF" w:rsidP="009110ED">
            <w:pPr>
              <w:rPr>
                <w:rFonts w:ascii="Arial" w:hAnsi="Arial" w:cs="Arial"/>
                <w:sz w:val="12"/>
                <w:szCs w:val="12"/>
              </w:rPr>
            </w:pPr>
            <w:r>
              <w:rPr>
                <w:rFonts w:ascii="Arial" w:hAnsi="Arial"/>
                <w:sz w:val="12"/>
                <w:szCs w:val="12"/>
              </w:rPr>
              <w:t>Arroyo del Ojanco</w:t>
            </w:r>
          </w:p>
        </w:tc>
        <w:tc>
          <w:tcPr>
            <w:tcW w:w="2268" w:type="dxa"/>
            <w:tcBorders>
              <w:right w:val="single" w:sz="4" w:space="0" w:color="auto"/>
            </w:tcBorders>
            <w:shd w:val="clear" w:color="auto" w:fill="D9D9D9"/>
            <w:hideMark/>
          </w:tcPr>
          <w:p w14:paraId="29139A5C" w14:textId="77777777" w:rsidR="002A4DDF" w:rsidRPr="00937C8B" w:rsidRDefault="002A4DDF" w:rsidP="009110ED">
            <w:pPr>
              <w:rPr>
                <w:rFonts w:ascii="Arial" w:hAnsi="Arial" w:cs="Arial"/>
                <w:sz w:val="12"/>
                <w:szCs w:val="12"/>
              </w:rPr>
            </w:pPr>
            <w:r>
              <w:rPr>
                <w:rFonts w:ascii="Arial" w:hAnsi="Arial"/>
                <w:sz w:val="12"/>
                <w:szCs w:val="12"/>
              </w:rPr>
              <w:t>Guarromán</w:t>
            </w:r>
          </w:p>
        </w:tc>
      </w:tr>
      <w:tr w:rsidR="002A4DDF" w:rsidRPr="00937C8B" w14:paraId="7D59F1C8" w14:textId="77777777" w:rsidTr="00935676">
        <w:trPr>
          <w:cantSplit/>
        </w:trPr>
        <w:tc>
          <w:tcPr>
            <w:tcW w:w="1696" w:type="dxa"/>
            <w:tcBorders>
              <w:left w:val="single" w:sz="4" w:space="0" w:color="auto"/>
            </w:tcBorders>
            <w:shd w:val="clear" w:color="auto" w:fill="auto"/>
          </w:tcPr>
          <w:p w14:paraId="0299B03B" w14:textId="77777777" w:rsidR="002A4DDF" w:rsidRPr="00937C8B" w:rsidRDefault="002A4DDF" w:rsidP="009110ED">
            <w:pPr>
              <w:rPr>
                <w:rFonts w:ascii="Arial" w:hAnsi="Arial" w:cs="Arial"/>
                <w:sz w:val="12"/>
                <w:szCs w:val="12"/>
              </w:rPr>
            </w:pPr>
          </w:p>
        </w:tc>
        <w:tc>
          <w:tcPr>
            <w:tcW w:w="1843" w:type="dxa"/>
            <w:shd w:val="clear" w:color="auto" w:fill="auto"/>
          </w:tcPr>
          <w:p w14:paraId="5D0A68ED" w14:textId="77777777" w:rsidR="002A4DDF" w:rsidRPr="00937C8B" w:rsidRDefault="002A4DDF" w:rsidP="009110ED">
            <w:pPr>
              <w:rPr>
                <w:rFonts w:ascii="Arial" w:hAnsi="Arial" w:cs="Arial"/>
                <w:sz w:val="12"/>
                <w:szCs w:val="12"/>
              </w:rPr>
            </w:pPr>
          </w:p>
        </w:tc>
        <w:tc>
          <w:tcPr>
            <w:tcW w:w="2268" w:type="dxa"/>
            <w:shd w:val="clear" w:color="auto" w:fill="F2F2F2"/>
            <w:hideMark/>
          </w:tcPr>
          <w:p w14:paraId="73682D5B" w14:textId="77777777" w:rsidR="002A4DDF" w:rsidRPr="00937C8B" w:rsidRDefault="002A4DDF" w:rsidP="009110ED">
            <w:pPr>
              <w:rPr>
                <w:rFonts w:ascii="Arial" w:hAnsi="Arial" w:cs="Arial"/>
                <w:sz w:val="12"/>
                <w:szCs w:val="12"/>
              </w:rPr>
            </w:pPr>
            <w:r>
              <w:rPr>
                <w:rFonts w:ascii="Arial" w:hAnsi="Arial"/>
                <w:sz w:val="12"/>
                <w:szCs w:val="12"/>
              </w:rPr>
              <w:t>Baños de la Encina</w:t>
            </w:r>
          </w:p>
        </w:tc>
        <w:tc>
          <w:tcPr>
            <w:tcW w:w="2268" w:type="dxa"/>
            <w:tcBorders>
              <w:right w:val="single" w:sz="4" w:space="0" w:color="auto"/>
            </w:tcBorders>
            <w:shd w:val="clear" w:color="auto" w:fill="D9D9D9"/>
            <w:hideMark/>
          </w:tcPr>
          <w:p w14:paraId="7EA0E40E" w14:textId="77777777" w:rsidR="002A4DDF" w:rsidRPr="00937C8B" w:rsidRDefault="002A4DDF" w:rsidP="009110ED">
            <w:pPr>
              <w:rPr>
                <w:rFonts w:ascii="Arial" w:hAnsi="Arial" w:cs="Arial"/>
                <w:sz w:val="12"/>
                <w:szCs w:val="12"/>
              </w:rPr>
            </w:pPr>
            <w:r>
              <w:rPr>
                <w:rFonts w:ascii="Arial" w:hAnsi="Arial"/>
                <w:sz w:val="12"/>
                <w:szCs w:val="12"/>
              </w:rPr>
              <w:t>Linares</w:t>
            </w:r>
          </w:p>
        </w:tc>
      </w:tr>
      <w:tr w:rsidR="002A4DDF" w:rsidRPr="00937C8B" w14:paraId="76591A3B" w14:textId="77777777" w:rsidTr="00935676">
        <w:trPr>
          <w:cantSplit/>
        </w:trPr>
        <w:tc>
          <w:tcPr>
            <w:tcW w:w="1696" w:type="dxa"/>
            <w:tcBorders>
              <w:left w:val="single" w:sz="4" w:space="0" w:color="auto"/>
            </w:tcBorders>
            <w:shd w:val="clear" w:color="auto" w:fill="auto"/>
          </w:tcPr>
          <w:p w14:paraId="7E9D79DE" w14:textId="77777777" w:rsidR="002A4DDF" w:rsidRPr="00937C8B" w:rsidRDefault="002A4DDF" w:rsidP="009110ED">
            <w:pPr>
              <w:rPr>
                <w:rFonts w:ascii="Arial" w:hAnsi="Arial" w:cs="Arial"/>
                <w:sz w:val="12"/>
                <w:szCs w:val="12"/>
              </w:rPr>
            </w:pPr>
          </w:p>
        </w:tc>
        <w:tc>
          <w:tcPr>
            <w:tcW w:w="1843" w:type="dxa"/>
            <w:shd w:val="clear" w:color="auto" w:fill="auto"/>
          </w:tcPr>
          <w:p w14:paraId="7A592F5C" w14:textId="77777777" w:rsidR="002A4DDF" w:rsidRPr="00937C8B" w:rsidRDefault="002A4DDF" w:rsidP="009110ED">
            <w:pPr>
              <w:rPr>
                <w:rFonts w:ascii="Arial" w:hAnsi="Arial" w:cs="Arial"/>
                <w:sz w:val="12"/>
                <w:szCs w:val="12"/>
              </w:rPr>
            </w:pPr>
          </w:p>
        </w:tc>
        <w:tc>
          <w:tcPr>
            <w:tcW w:w="2268" w:type="dxa"/>
            <w:shd w:val="clear" w:color="auto" w:fill="F2F2F2"/>
            <w:hideMark/>
          </w:tcPr>
          <w:p w14:paraId="4A7AC40C" w14:textId="77777777" w:rsidR="002A4DDF" w:rsidRPr="00937C8B" w:rsidRDefault="002A4DDF" w:rsidP="009110ED">
            <w:pPr>
              <w:rPr>
                <w:rFonts w:ascii="Arial" w:hAnsi="Arial" w:cs="Arial"/>
                <w:sz w:val="12"/>
                <w:szCs w:val="12"/>
              </w:rPr>
            </w:pPr>
            <w:r>
              <w:rPr>
                <w:rFonts w:ascii="Arial" w:hAnsi="Arial"/>
                <w:sz w:val="12"/>
                <w:szCs w:val="12"/>
              </w:rPr>
              <w:t>Cabra del Santo Cristo</w:t>
            </w:r>
          </w:p>
        </w:tc>
        <w:tc>
          <w:tcPr>
            <w:tcW w:w="2268" w:type="dxa"/>
            <w:tcBorders>
              <w:right w:val="single" w:sz="4" w:space="0" w:color="auto"/>
            </w:tcBorders>
            <w:shd w:val="clear" w:color="auto" w:fill="D9D9D9"/>
            <w:hideMark/>
          </w:tcPr>
          <w:p w14:paraId="62BFE24A" w14:textId="77777777" w:rsidR="002A4DDF" w:rsidRPr="00937C8B" w:rsidRDefault="002A4DDF" w:rsidP="009110ED">
            <w:pPr>
              <w:rPr>
                <w:rFonts w:ascii="Arial" w:hAnsi="Arial" w:cs="Arial"/>
                <w:sz w:val="12"/>
                <w:szCs w:val="12"/>
              </w:rPr>
            </w:pPr>
            <w:r>
              <w:rPr>
                <w:rFonts w:ascii="Arial" w:hAnsi="Arial"/>
                <w:sz w:val="12"/>
                <w:szCs w:val="12"/>
              </w:rPr>
              <w:t>Santa Elena</w:t>
            </w:r>
          </w:p>
        </w:tc>
      </w:tr>
      <w:tr w:rsidR="002A4DDF" w:rsidRPr="00937C8B" w14:paraId="2265281D" w14:textId="77777777" w:rsidTr="00935676">
        <w:trPr>
          <w:cantSplit/>
        </w:trPr>
        <w:tc>
          <w:tcPr>
            <w:tcW w:w="1696" w:type="dxa"/>
            <w:tcBorders>
              <w:left w:val="single" w:sz="4" w:space="0" w:color="auto"/>
            </w:tcBorders>
            <w:shd w:val="clear" w:color="auto" w:fill="auto"/>
          </w:tcPr>
          <w:p w14:paraId="5350321C" w14:textId="77777777" w:rsidR="002A4DDF" w:rsidRPr="00937C8B" w:rsidRDefault="002A4DDF" w:rsidP="009110ED">
            <w:pPr>
              <w:rPr>
                <w:rFonts w:ascii="Arial" w:hAnsi="Arial" w:cs="Arial"/>
                <w:sz w:val="12"/>
                <w:szCs w:val="12"/>
              </w:rPr>
            </w:pPr>
          </w:p>
        </w:tc>
        <w:tc>
          <w:tcPr>
            <w:tcW w:w="1843" w:type="dxa"/>
            <w:shd w:val="clear" w:color="auto" w:fill="auto"/>
          </w:tcPr>
          <w:p w14:paraId="469F2C92" w14:textId="77777777" w:rsidR="002A4DDF" w:rsidRPr="00937C8B" w:rsidRDefault="002A4DDF" w:rsidP="009110ED">
            <w:pPr>
              <w:rPr>
                <w:rFonts w:ascii="Arial" w:hAnsi="Arial" w:cs="Arial"/>
                <w:sz w:val="12"/>
                <w:szCs w:val="12"/>
              </w:rPr>
            </w:pPr>
          </w:p>
        </w:tc>
        <w:tc>
          <w:tcPr>
            <w:tcW w:w="2268" w:type="dxa"/>
            <w:shd w:val="clear" w:color="auto" w:fill="F2F2F2"/>
            <w:hideMark/>
          </w:tcPr>
          <w:p w14:paraId="637DB30E" w14:textId="77777777" w:rsidR="002A4DDF" w:rsidRPr="00937C8B" w:rsidRDefault="002A4DDF" w:rsidP="009110ED">
            <w:pPr>
              <w:rPr>
                <w:rFonts w:ascii="Arial" w:hAnsi="Arial" w:cs="Arial"/>
                <w:sz w:val="12"/>
                <w:szCs w:val="12"/>
              </w:rPr>
            </w:pPr>
            <w:r>
              <w:rPr>
                <w:rFonts w:ascii="Arial" w:hAnsi="Arial"/>
                <w:sz w:val="12"/>
                <w:szCs w:val="12"/>
              </w:rPr>
              <w:t>Carboneros</w:t>
            </w:r>
          </w:p>
        </w:tc>
        <w:tc>
          <w:tcPr>
            <w:tcW w:w="2268" w:type="dxa"/>
            <w:tcBorders>
              <w:right w:val="single" w:sz="4" w:space="0" w:color="auto"/>
            </w:tcBorders>
            <w:shd w:val="clear" w:color="auto" w:fill="D9D9D9"/>
            <w:hideMark/>
          </w:tcPr>
          <w:p w14:paraId="684B0E01" w14:textId="77777777" w:rsidR="002A4DDF" w:rsidRPr="00937C8B" w:rsidRDefault="002A4DDF" w:rsidP="009110ED">
            <w:pPr>
              <w:rPr>
                <w:rFonts w:ascii="Arial" w:hAnsi="Arial" w:cs="Arial"/>
                <w:sz w:val="12"/>
                <w:szCs w:val="12"/>
              </w:rPr>
            </w:pPr>
          </w:p>
        </w:tc>
      </w:tr>
      <w:tr w:rsidR="002A4DDF" w:rsidRPr="00937C8B" w14:paraId="5410353F" w14:textId="77777777" w:rsidTr="00935676">
        <w:trPr>
          <w:cantSplit/>
        </w:trPr>
        <w:tc>
          <w:tcPr>
            <w:tcW w:w="1696" w:type="dxa"/>
            <w:tcBorders>
              <w:left w:val="single" w:sz="4" w:space="0" w:color="auto"/>
            </w:tcBorders>
            <w:shd w:val="clear" w:color="auto" w:fill="auto"/>
          </w:tcPr>
          <w:p w14:paraId="1DC09BA8" w14:textId="77777777" w:rsidR="002A4DDF" w:rsidRPr="00937C8B" w:rsidRDefault="002A4DDF" w:rsidP="009110ED">
            <w:pPr>
              <w:rPr>
                <w:rFonts w:ascii="Arial" w:hAnsi="Arial" w:cs="Arial"/>
                <w:sz w:val="12"/>
                <w:szCs w:val="12"/>
              </w:rPr>
            </w:pPr>
          </w:p>
        </w:tc>
        <w:tc>
          <w:tcPr>
            <w:tcW w:w="1843" w:type="dxa"/>
            <w:shd w:val="clear" w:color="auto" w:fill="auto"/>
          </w:tcPr>
          <w:p w14:paraId="01203B93" w14:textId="77777777" w:rsidR="002A4DDF" w:rsidRPr="00937C8B" w:rsidRDefault="002A4DDF" w:rsidP="009110ED">
            <w:pPr>
              <w:rPr>
                <w:rFonts w:ascii="Arial" w:hAnsi="Arial" w:cs="Arial"/>
                <w:sz w:val="12"/>
                <w:szCs w:val="12"/>
              </w:rPr>
            </w:pPr>
          </w:p>
        </w:tc>
        <w:tc>
          <w:tcPr>
            <w:tcW w:w="2268" w:type="dxa"/>
            <w:shd w:val="clear" w:color="auto" w:fill="F2F2F2"/>
            <w:hideMark/>
          </w:tcPr>
          <w:p w14:paraId="4C9A2B14" w14:textId="77777777" w:rsidR="002A4DDF" w:rsidRPr="00937C8B" w:rsidRDefault="002A4DDF" w:rsidP="009110ED">
            <w:pPr>
              <w:rPr>
                <w:rFonts w:ascii="Arial" w:hAnsi="Arial" w:cs="Arial"/>
                <w:sz w:val="12"/>
                <w:szCs w:val="12"/>
              </w:rPr>
            </w:pPr>
            <w:r>
              <w:rPr>
                <w:rFonts w:ascii="Arial" w:hAnsi="Arial"/>
                <w:sz w:val="12"/>
                <w:szCs w:val="12"/>
              </w:rPr>
              <w:t>Chiclana de Segura</w:t>
            </w:r>
          </w:p>
        </w:tc>
        <w:tc>
          <w:tcPr>
            <w:tcW w:w="2268" w:type="dxa"/>
            <w:tcBorders>
              <w:right w:val="single" w:sz="4" w:space="0" w:color="auto"/>
            </w:tcBorders>
            <w:shd w:val="clear" w:color="auto" w:fill="D9D9D9"/>
            <w:hideMark/>
          </w:tcPr>
          <w:p w14:paraId="51736C57" w14:textId="77777777" w:rsidR="002A4DDF" w:rsidRPr="00937C8B" w:rsidRDefault="002A4DDF" w:rsidP="009110ED">
            <w:pPr>
              <w:rPr>
                <w:rFonts w:ascii="Arial" w:hAnsi="Arial" w:cs="Arial"/>
                <w:sz w:val="12"/>
                <w:szCs w:val="12"/>
              </w:rPr>
            </w:pPr>
          </w:p>
        </w:tc>
      </w:tr>
      <w:tr w:rsidR="002A4DDF" w:rsidRPr="00937C8B" w14:paraId="251AD752" w14:textId="77777777" w:rsidTr="00935676">
        <w:trPr>
          <w:cantSplit/>
        </w:trPr>
        <w:tc>
          <w:tcPr>
            <w:tcW w:w="1696" w:type="dxa"/>
            <w:tcBorders>
              <w:left w:val="single" w:sz="4" w:space="0" w:color="auto"/>
            </w:tcBorders>
            <w:shd w:val="clear" w:color="auto" w:fill="auto"/>
          </w:tcPr>
          <w:p w14:paraId="0CD7A475" w14:textId="77777777" w:rsidR="002A4DDF" w:rsidRPr="00937C8B" w:rsidRDefault="002A4DDF" w:rsidP="009110ED">
            <w:pPr>
              <w:rPr>
                <w:rFonts w:ascii="Arial" w:hAnsi="Arial" w:cs="Arial"/>
                <w:sz w:val="12"/>
                <w:szCs w:val="12"/>
              </w:rPr>
            </w:pPr>
          </w:p>
        </w:tc>
        <w:tc>
          <w:tcPr>
            <w:tcW w:w="1843" w:type="dxa"/>
            <w:shd w:val="clear" w:color="auto" w:fill="auto"/>
          </w:tcPr>
          <w:p w14:paraId="47CCC591" w14:textId="77777777" w:rsidR="002A4DDF" w:rsidRPr="00937C8B" w:rsidRDefault="002A4DDF" w:rsidP="009110ED">
            <w:pPr>
              <w:rPr>
                <w:rFonts w:ascii="Arial" w:hAnsi="Arial" w:cs="Arial"/>
                <w:sz w:val="12"/>
                <w:szCs w:val="12"/>
              </w:rPr>
            </w:pPr>
          </w:p>
        </w:tc>
        <w:tc>
          <w:tcPr>
            <w:tcW w:w="2268" w:type="dxa"/>
            <w:shd w:val="clear" w:color="auto" w:fill="F2F2F2"/>
            <w:hideMark/>
          </w:tcPr>
          <w:p w14:paraId="15C413D6" w14:textId="77777777" w:rsidR="002A4DDF" w:rsidRPr="00937C8B" w:rsidRDefault="002A4DDF" w:rsidP="009110ED">
            <w:pPr>
              <w:rPr>
                <w:rFonts w:ascii="Arial" w:hAnsi="Arial" w:cs="Arial"/>
                <w:sz w:val="12"/>
                <w:szCs w:val="12"/>
              </w:rPr>
            </w:pPr>
            <w:r>
              <w:rPr>
                <w:rFonts w:ascii="Arial" w:hAnsi="Arial"/>
                <w:sz w:val="12"/>
                <w:szCs w:val="12"/>
              </w:rPr>
              <w:t>Cuarto del Madroño</w:t>
            </w:r>
          </w:p>
        </w:tc>
        <w:tc>
          <w:tcPr>
            <w:tcW w:w="2268" w:type="dxa"/>
            <w:tcBorders>
              <w:right w:val="single" w:sz="4" w:space="0" w:color="auto"/>
            </w:tcBorders>
            <w:shd w:val="clear" w:color="auto" w:fill="D9D9D9"/>
            <w:hideMark/>
          </w:tcPr>
          <w:p w14:paraId="1E39A926" w14:textId="77777777" w:rsidR="002A4DDF" w:rsidRPr="00937C8B" w:rsidRDefault="002A4DDF" w:rsidP="009110ED">
            <w:pPr>
              <w:rPr>
                <w:rFonts w:ascii="Arial" w:hAnsi="Arial" w:cs="Arial"/>
                <w:sz w:val="12"/>
                <w:szCs w:val="12"/>
              </w:rPr>
            </w:pPr>
          </w:p>
        </w:tc>
      </w:tr>
      <w:tr w:rsidR="002A4DDF" w:rsidRPr="00937C8B" w14:paraId="5E279361" w14:textId="77777777" w:rsidTr="00935676">
        <w:trPr>
          <w:cantSplit/>
        </w:trPr>
        <w:tc>
          <w:tcPr>
            <w:tcW w:w="1696" w:type="dxa"/>
            <w:tcBorders>
              <w:left w:val="single" w:sz="4" w:space="0" w:color="auto"/>
            </w:tcBorders>
            <w:shd w:val="clear" w:color="auto" w:fill="auto"/>
          </w:tcPr>
          <w:p w14:paraId="11C32754" w14:textId="77777777" w:rsidR="002A4DDF" w:rsidRPr="00937C8B" w:rsidRDefault="002A4DDF" w:rsidP="009110ED">
            <w:pPr>
              <w:rPr>
                <w:rFonts w:ascii="Arial" w:hAnsi="Arial" w:cs="Arial"/>
                <w:sz w:val="12"/>
                <w:szCs w:val="12"/>
              </w:rPr>
            </w:pPr>
          </w:p>
        </w:tc>
        <w:tc>
          <w:tcPr>
            <w:tcW w:w="1843" w:type="dxa"/>
            <w:shd w:val="clear" w:color="auto" w:fill="auto"/>
          </w:tcPr>
          <w:p w14:paraId="06C88062" w14:textId="77777777" w:rsidR="002A4DDF" w:rsidRPr="00937C8B" w:rsidRDefault="002A4DDF" w:rsidP="009110ED">
            <w:pPr>
              <w:rPr>
                <w:rFonts w:ascii="Arial" w:hAnsi="Arial" w:cs="Arial"/>
                <w:sz w:val="12"/>
                <w:szCs w:val="12"/>
              </w:rPr>
            </w:pPr>
          </w:p>
        </w:tc>
        <w:tc>
          <w:tcPr>
            <w:tcW w:w="2268" w:type="dxa"/>
            <w:shd w:val="clear" w:color="auto" w:fill="F2F2F2"/>
            <w:hideMark/>
          </w:tcPr>
          <w:p w14:paraId="54F1F249" w14:textId="77777777" w:rsidR="002A4DDF" w:rsidRPr="00937C8B" w:rsidRDefault="002A4DDF" w:rsidP="009110ED">
            <w:pPr>
              <w:rPr>
                <w:rFonts w:ascii="Arial" w:hAnsi="Arial" w:cs="Arial"/>
                <w:sz w:val="12"/>
                <w:szCs w:val="12"/>
              </w:rPr>
            </w:pPr>
            <w:r>
              <w:rPr>
                <w:rFonts w:ascii="Arial" w:hAnsi="Arial"/>
                <w:sz w:val="12"/>
                <w:szCs w:val="12"/>
              </w:rPr>
              <w:t>Génave</w:t>
            </w:r>
          </w:p>
        </w:tc>
        <w:tc>
          <w:tcPr>
            <w:tcW w:w="2268" w:type="dxa"/>
            <w:tcBorders>
              <w:right w:val="single" w:sz="4" w:space="0" w:color="auto"/>
            </w:tcBorders>
            <w:shd w:val="clear" w:color="auto" w:fill="D9D9D9"/>
            <w:hideMark/>
          </w:tcPr>
          <w:p w14:paraId="60E8CDAF" w14:textId="77777777" w:rsidR="002A4DDF" w:rsidRPr="00937C8B" w:rsidRDefault="002A4DDF" w:rsidP="009110ED">
            <w:pPr>
              <w:rPr>
                <w:rFonts w:ascii="Arial" w:hAnsi="Arial" w:cs="Arial"/>
                <w:sz w:val="12"/>
                <w:szCs w:val="12"/>
              </w:rPr>
            </w:pPr>
          </w:p>
        </w:tc>
      </w:tr>
      <w:tr w:rsidR="002A4DDF" w:rsidRPr="00937C8B" w14:paraId="3A491970" w14:textId="77777777" w:rsidTr="00935676">
        <w:trPr>
          <w:cantSplit/>
        </w:trPr>
        <w:tc>
          <w:tcPr>
            <w:tcW w:w="1696" w:type="dxa"/>
            <w:tcBorders>
              <w:left w:val="single" w:sz="4" w:space="0" w:color="auto"/>
            </w:tcBorders>
            <w:shd w:val="clear" w:color="auto" w:fill="auto"/>
          </w:tcPr>
          <w:p w14:paraId="2F4DE427" w14:textId="77777777" w:rsidR="002A4DDF" w:rsidRPr="00937C8B" w:rsidRDefault="002A4DDF" w:rsidP="009110ED">
            <w:pPr>
              <w:rPr>
                <w:rFonts w:ascii="Arial" w:hAnsi="Arial" w:cs="Arial"/>
                <w:sz w:val="12"/>
                <w:szCs w:val="12"/>
              </w:rPr>
            </w:pPr>
          </w:p>
        </w:tc>
        <w:tc>
          <w:tcPr>
            <w:tcW w:w="1843" w:type="dxa"/>
            <w:shd w:val="clear" w:color="auto" w:fill="auto"/>
          </w:tcPr>
          <w:p w14:paraId="5A3685EE" w14:textId="77777777" w:rsidR="002A4DDF" w:rsidRPr="00937C8B" w:rsidRDefault="002A4DDF" w:rsidP="009110ED">
            <w:pPr>
              <w:rPr>
                <w:rFonts w:ascii="Arial" w:hAnsi="Arial" w:cs="Arial"/>
                <w:sz w:val="12"/>
                <w:szCs w:val="12"/>
              </w:rPr>
            </w:pPr>
          </w:p>
        </w:tc>
        <w:tc>
          <w:tcPr>
            <w:tcW w:w="2268" w:type="dxa"/>
            <w:shd w:val="clear" w:color="auto" w:fill="F2F2F2"/>
            <w:hideMark/>
          </w:tcPr>
          <w:p w14:paraId="78BCEC86" w14:textId="77777777" w:rsidR="002A4DDF" w:rsidRPr="00937C8B" w:rsidRDefault="002A4DDF" w:rsidP="009110ED">
            <w:pPr>
              <w:rPr>
                <w:rFonts w:ascii="Arial" w:hAnsi="Arial" w:cs="Arial"/>
                <w:sz w:val="12"/>
                <w:szCs w:val="12"/>
              </w:rPr>
            </w:pPr>
            <w:r>
              <w:rPr>
                <w:rFonts w:ascii="Arial" w:hAnsi="Arial"/>
                <w:sz w:val="12"/>
                <w:szCs w:val="12"/>
              </w:rPr>
              <w:t>Ibros</w:t>
            </w:r>
          </w:p>
        </w:tc>
        <w:tc>
          <w:tcPr>
            <w:tcW w:w="2268" w:type="dxa"/>
            <w:tcBorders>
              <w:right w:val="single" w:sz="4" w:space="0" w:color="auto"/>
            </w:tcBorders>
            <w:shd w:val="clear" w:color="auto" w:fill="D9D9D9"/>
            <w:hideMark/>
          </w:tcPr>
          <w:p w14:paraId="02CAD48F" w14:textId="77777777" w:rsidR="002A4DDF" w:rsidRPr="00937C8B" w:rsidRDefault="002A4DDF" w:rsidP="009110ED">
            <w:pPr>
              <w:rPr>
                <w:rFonts w:ascii="Arial" w:hAnsi="Arial" w:cs="Arial"/>
                <w:sz w:val="12"/>
                <w:szCs w:val="12"/>
              </w:rPr>
            </w:pPr>
          </w:p>
        </w:tc>
      </w:tr>
      <w:tr w:rsidR="002A4DDF" w:rsidRPr="00937C8B" w14:paraId="5C400422" w14:textId="77777777" w:rsidTr="00935676">
        <w:trPr>
          <w:cantSplit/>
        </w:trPr>
        <w:tc>
          <w:tcPr>
            <w:tcW w:w="1696" w:type="dxa"/>
            <w:tcBorders>
              <w:left w:val="single" w:sz="4" w:space="0" w:color="auto"/>
            </w:tcBorders>
            <w:shd w:val="clear" w:color="auto" w:fill="auto"/>
          </w:tcPr>
          <w:p w14:paraId="2161ACF7" w14:textId="77777777" w:rsidR="002A4DDF" w:rsidRPr="00937C8B" w:rsidRDefault="002A4DDF" w:rsidP="009110ED">
            <w:pPr>
              <w:rPr>
                <w:rFonts w:ascii="Arial" w:hAnsi="Arial" w:cs="Arial"/>
                <w:sz w:val="12"/>
                <w:szCs w:val="12"/>
              </w:rPr>
            </w:pPr>
          </w:p>
        </w:tc>
        <w:tc>
          <w:tcPr>
            <w:tcW w:w="1843" w:type="dxa"/>
            <w:shd w:val="clear" w:color="auto" w:fill="auto"/>
          </w:tcPr>
          <w:p w14:paraId="3B3550F4" w14:textId="77777777" w:rsidR="002A4DDF" w:rsidRPr="00937C8B" w:rsidRDefault="002A4DDF" w:rsidP="009110ED">
            <w:pPr>
              <w:rPr>
                <w:rFonts w:ascii="Arial" w:hAnsi="Arial" w:cs="Arial"/>
                <w:sz w:val="12"/>
                <w:szCs w:val="12"/>
              </w:rPr>
            </w:pPr>
          </w:p>
        </w:tc>
        <w:tc>
          <w:tcPr>
            <w:tcW w:w="2268" w:type="dxa"/>
            <w:shd w:val="clear" w:color="auto" w:fill="F2F2F2"/>
            <w:hideMark/>
          </w:tcPr>
          <w:p w14:paraId="076F7696" w14:textId="77777777" w:rsidR="002A4DDF" w:rsidRPr="00937C8B" w:rsidRDefault="002A4DDF" w:rsidP="009110ED">
            <w:pPr>
              <w:rPr>
                <w:rFonts w:ascii="Arial" w:hAnsi="Arial" w:cs="Arial"/>
                <w:sz w:val="12"/>
                <w:szCs w:val="12"/>
              </w:rPr>
            </w:pPr>
            <w:r>
              <w:rPr>
                <w:rFonts w:ascii="Arial" w:hAnsi="Arial"/>
                <w:sz w:val="12"/>
                <w:szCs w:val="12"/>
              </w:rPr>
              <w:t>La Puerta de Segura</w:t>
            </w:r>
          </w:p>
        </w:tc>
        <w:tc>
          <w:tcPr>
            <w:tcW w:w="2268" w:type="dxa"/>
            <w:tcBorders>
              <w:right w:val="single" w:sz="4" w:space="0" w:color="auto"/>
            </w:tcBorders>
            <w:shd w:val="clear" w:color="auto" w:fill="D9D9D9"/>
            <w:hideMark/>
          </w:tcPr>
          <w:p w14:paraId="5A251914" w14:textId="77777777" w:rsidR="002A4DDF" w:rsidRPr="00937C8B" w:rsidRDefault="002A4DDF" w:rsidP="009110ED">
            <w:pPr>
              <w:rPr>
                <w:rFonts w:ascii="Arial" w:hAnsi="Arial" w:cs="Arial"/>
                <w:sz w:val="12"/>
                <w:szCs w:val="12"/>
              </w:rPr>
            </w:pPr>
          </w:p>
        </w:tc>
      </w:tr>
      <w:tr w:rsidR="002A4DDF" w:rsidRPr="00937C8B" w14:paraId="0E320E7F" w14:textId="77777777" w:rsidTr="00935676">
        <w:trPr>
          <w:cantSplit/>
        </w:trPr>
        <w:tc>
          <w:tcPr>
            <w:tcW w:w="1696" w:type="dxa"/>
            <w:tcBorders>
              <w:left w:val="single" w:sz="4" w:space="0" w:color="auto"/>
            </w:tcBorders>
            <w:shd w:val="clear" w:color="auto" w:fill="auto"/>
          </w:tcPr>
          <w:p w14:paraId="1EEB6D76" w14:textId="77777777" w:rsidR="002A4DDF" w:rsidRPr="00937C8B" w:rsidRDefault="002A4DDF" w:rsidP="009110ED">
            <w:pPr>
              <w:rPr>
                <w:rFonts w:ascii="Arial" w:hAnsi="Arial" w:cs="Arial"/>
                <w:sz w:val="12"/>
                <w:szCs w:val="12"/>
              </w:rPr>
            </w:pPr>
          </w:p>
        </w:tc>
        <w:tc>
          <w:tcPr>
            <w:tcW w:w="1843" w:type="dxa"/>
            <w:shd w:val="clear" w:color="auto" w:fill="auto"/>
          </w:tcPr>
          <w:p w14:paraId="48D30AEE" w14:textId="77777777" w:rsidR="002A4DDF" w:rsidRPr="00937C8B" w:rsidRDefault="002A4DDF" w:rsidP="009110ED">
            <w:pPr>
              <w:rPr>
                <w:rFonts w:ascii="Arial" w:hAnsi="Arial" w:cs="Arial"/>
                <w:sz w:val="12"/>
                <w:szCs w:val="12"/>
              </w:rPr>
            </w:pPr>
          </w:p>
        </w:tc>
        <w:tc>
          <w:tcPr>
            <w:tcW w:w="2268" w:type="dxa"/>
            <w:shd w:val="clear" w:color="auto" w:fill="F2F2F2"/>
            <w:hideMark/>
          </w:tcPr>
          <w:p w14:paraId="635715BD" w14:textId="77777777" w:rsidR="002A4DDF" w:rsidRPr="00937C8B" w:rsidRDefault="002A4DDF" w:rsidP="009110ED">
            <w:pPr>
              <w:rPr>
                <w:rFonts w:ascii="Arial" w:hAnsi="Arial" w:cs="Arial"/>
                <w:sz w:val="12"/>
                <w:szCs w:val="12"/>
              </w:rPr>
            </w:pPr>
            <w:r>
              <w:rPr>
                <w:rFonts w:ascii="Arial" w:hAnsi="Arial"/>
                <w:sz w:val="12"/>
                <w:szCs w:val="12"/>
              </w:rPr>
              <w:t>Lupión</w:t>
            </w:r>
          </w:p>
        </w:tc>
        <w:tc>
          <w:tcPr>
            <w:tcW w:w="2268" w:type="dxa"/>
            <w:tcBorders>
              <w:right w:val="single" w:sz="4" w:space="0" w:color="auto"/>
            </w:tcBorders>
            <w:shd w:val="clear" w:color="auto" w:fill="D9D9D9"/>
            <w:hideMark/>
          </w:tcPr>
          <w:p w14:paraId="1EE9E63A" w14:textId="77777777" w:rsidR="002A4DDF" w:rsidRPr="00937C8B" w:rsidRDefault="002A4DDF" w:rsidP="009110ED">
            <w:pPr>
              <w:rPr>
                <w:rFonts w:ascii="Arial" w:hAnsi="Arial" w:cs="Arial"/>
                <w:sz w:val="12"/>
                <w:szCs w:val="12"/>
              </w:rPr>
            </w:pPr>
          </w:p>
        </w:tc>
      </w:tr>
      <w:tr w:rsidR="002A4DDF" w:rsidRPr="00937C8B" w14:paraId="13DFCCB8" w14:textId="77777777" w:rsidTr="00935676">
        <w:trPr>
          <w:cantSplit/>
        </w:trPr>
        <w:tc>
          <w:tcPr>
            <w:tcW w:w="1696" w:type="dxa"/>
            <w:tcBorders>
              <w:left w:val="single" w:sz="4" w:space="0" w:color="auto"/>
            </w:tcBorders>
            <w:shd w:val="clear" w:color="auto" w:fill="auto"/>
          </w:tcPr>
          <w:p w14:paraId="3162E64B" w14:textId="77777777" w:rsidR="002A4DDF" w:rsidRPr="00937C8B" w:rsidRDefault="002A4DDF" w:rsidP="009110ED">
            <w:pPr>
              <w:rPr>
                <w:rFonts w:ascii="Arial" w:hAnsi="Arial" w:cs="Arial"/>
                <w:sz w:val="12"/>
                <w:szCs w:val="12"/>
              </w:rPr>
            </w:pPr>
          </w:p>
        </w:tc>
        <w:tc>
          <w:tcPr>
            <w:tcW w:w="1843" w:type="dxa"/>
            <w:shd w:val="clear" w:color="auto" w:fill="auto"/>
          </w:tcPr>
          <w:p w14:paraId="3A29A204" w14:textId="77777777" w:rsidR="002A4DDF" w:rsidRPr="00937C8B" w:rsidRDefault="002A4DDF" w:rsidP="009110ED">
            <w:pPr>
              <w:rPr>
                <w:rFonts w:ascii="Arial" w:hAnsi="Arial" w:cs="Arial"/>
                <w:sz w:val="12"/>
                <w:szCs w:val="12"/>
              </w:rPr>
            </w:pPr>
          </w:p>
        </w:tc>
        <w:tc>
          <w:tcPr>
            <w:tcW w:w="2268" w:type="dxa"/>
            <w:shd w:val="clear" w:color="auto" w:fill="F2F2F2"/>
            <w:hideMark/>
          </w:tcPr>
          <w:p w14:paraId="6A3933F7" w14:textId="77777777" w:rsidR="002A4DDF" w:rsidRPr="00937C8B" w:rsidRDefault="002A4DDF" w:rsidP="009110ED">
            <w:pPr>
              <w:rPr>
                <w:rFonts w:ascii="Arial" w:hAnsi="Arial" w:cs="Arial"/>
                <w:sz w:val="12"/>
                <w:szCs w:val="12"/>
              </w:rPr>
            </w:pPr>
            <w:r>
              <w:rPr>
                <w:rFonts w:ascii="Arial" w:hAnsi="Arial"/>
                <w:sz w:val="12"/>
                <w:szCs w:val="12"/>
              </w:rPr>
              <w:t>Marmolejo</w:t>
            </w:r>
          </w:p>
        </w:tc>
        <w:tc>
          <w:tcPr>
            <w:tcW w:w="2268" w:type="dxa"/>
            <w:tcBorders>
              <w:right w:val="single" w:sz="4" w:space="0" w:color="auto"/>
            </w:tcBorders>
            <w:shd w:val="clear" w:color="auto" w:fill="D9D9D9"/>
            <w:hideMark/>
          </w:tcPr>
          <w:p w14:paraId="2F8B73A2" w14:textId="77777777" w:rsidR="002A4DDF" w:rsidRPr="00937C8B" w:rsidRDefault="002A4DDF" w:rsidP="009110ED">
            <w:pPr>
              <w:rPr>
                <w:rFonts w:ascii="Arial" w:hAnsi="Arial" w:cs="Arial"/>
                <w:sz w:val="12"/>
                <w:szCs w:val="12"/>
              </w:rPr>
            </w:pPr>
          </w:p>
        </w:tc>
      </w:tr>
      <w:tr w:rsidR="002A4DDF" w:rsidRPr="00937C8B" w14:paraId="4D4B598C" w14:textId="77777777" w:rsidTr="00935676">
        <w:trPr>
          <w:cantSplit/>
        </w:trPr>
        <w:tc>
          <w:tcPr>
            <w:tcW w:w="1696" w:type="dxa"/>
            <w:tcBorders>
              <w:left w:val="single" w:sz="4" w:space="0" w:color="auto"/>
            </w:tcBorders>
            <w:shd w:val="clear" w:color="auto" w:fill="auto"/>
          </w:tcPr>
          <w:p w14:paraId="0BBD7189" w14:textId="77777777" w:rsidR="002A4DDF" w:rsidRPr="00937C8B" w:rsidRDefault="002A4DDF" w:rsidP="009110ED">
            <w:pPr>
              <w:rPr>
                <w:rFonts w:ascii="Arial" w:hAnsi="Arial" w:cs="Arial"/>
                <w:sz w:val="12"/>
                <w:szCs w:val="12"/>
              </w:rPr>
            </w:pPr>
          </w:p>
        </w:tc>
        <w:tc>
          <w:tcPr>
            <w:tcW w:w="1843" w:type="dxa"/>
            <w:shd w:val="clear" w:color="auto" w:fill="auto"/>
          </w:tcPr>
          <w:p w14:paraId="7DB93B34" w14:textId="77777777" w:rsidR="002A4DDF" w:rsidRPr="00937C8B" w:rsidRDefault="002A4DDF" w:rsidP="009110ED">
            <w:pPr>
              <w:rPr>
                <w:rFonts w:ascii="Arial" w:hAnsi="Arial" w:cs="Arial"/>
                <w:sz w:val="12"/>
                <w:szCs w:val="12"/>
              </w:rPr>
            </w:pPr>
          </w:p>
        </w:tc>
        <w:tc>
          <w:tcPr>
            <w:tcW w:w="2268" w:type="dxa"/>
            <w:shd w:val="clear" w:color="auto" w:fill="F2F2F2"/>
            <w:hideMark/>
          </w:tcPr>
          <w:p w14:paraId="46214110" w14:textId="77777777" w:rsidR="002A4DDF" w:rsidRPr="00937C8B" w:rsidRDefault="002A4DDF" w:rsidP="009110ED">
            <w:pPr>
              <w:rPr>
                <w:rFonts w:ascii="Arial" w:hAnsi="Arial" w:cs="Arial"/>
                <w:sz w:val="12"/>
                <w:szCs w:val="12"/>
              </w:rPr>
            </w:pPr>
            <w:r>
              <w:rPr>
                <w:rFonts w:ascii="Arial" w:hAnsi="Arial"/>
                <w:sz w:val="12"/>
                <w:szCs w:val="12"/>
              </w:rPr>
              <w:t>Montizón</w:t>
            </w:r>
          </w:p>
        </w:tc>
        <w:tc>
          <w:tcPr>
            <w:tcW w:w="2268" w:type="dxa"/>
            <w:tcBorders>
              <w:right w:val="single" w:sz="4" w:space="0" w:color="auto"/>
            </w:tcBorders>
            <w:shd w:val="clear" w:color="auto" w:fill="D9D9D9"/>
            <w:hideMark/>
          </w:tcPr>
          <w:p w14:paraId="04C9D05E" w14:textId="77777777" w:rsidR="002A4DDF" w:rsidRPr="00937C8B" w:rsidRDefault="002A4DDF" w:rsidP="009110ED">
            <w:pPr>
              <w:rPr>
                <w:rFonts w:ascii="Arial" w:hAnsi="Arial" w:cs="Arial"/>
                <w:sz w:val="12"/>
                <w:szCs w:val="12"/>
              </w:rPr>
            </w:pPr>
          </w:p>
        </w:tc>
      </w:tr>
      <w:tr w:rsidR="002A4DDF" w:rsidRPr="00937C8B" w14:paraId="04492B3A" w14:textId="77777777" w:rsidTr="00935676">
        <w:trPr>
          <w:cantSplit/>
        </w:trPr>
        <w:tc>
          <w:tcPr>
            <w:tcW w:w="1696" w:type="dxa"/>
            <w:tcBorders>
              <w:left w:val="single" w:sz="4" w:space="0" w:color="auto"/>
            </w:tcBorders>
            <w:shd w:val="clear" w:color="auto" w:fill="auto"/>
          </w:tcPr>
          <w:p w14:paraId="5EB740ED" w14:textId="77777777" w:rsidR="002A4DDF" w:rsidRPr="00937C8B" w:rsidRDefault="002A4DDF" w:rsidP="009110ED">
            <w:pPr>
              <w:rPr>
                <w:rFonts w:ascii="Arial" w:hAnsi="Arial" w:cs="Arial"/>
                <w:sz w:val="12"/>
                <w:szCs w:val="12"/>
              </w:rPr>
            </w:pPr>
          </w:p>
        </w:tc>
        <w:tc>
          <w:tcPr>
            <w:tcW w:w="1843" w:type="dxa"/>
            <w:shd w:val="clear" w:color="auto" w:fill="auto"/>
          </w:tcPr>
          <w:p w14:paraId="3742A19C" w14:textId="77777777" w:rsidR="002A4DDF" w:rsidRPr="00937C8B" w:rsidRDefault="002A4DDF" w:rsidP="009110ED">
            <w:pPr>
              <w:rPr>
                <w:rFonts w:ascii="Arial" w:hAnsi="Arial" w:cs="Arial"/>
                <w:sz w:val="12"/>
                <w:szCs w:val="12"/>
              </w:rPr>
            </w:pPr>
          </w:p>
        </w:tc>
        <w:tc>
          <w:tcPr>
            <w:tcW w:w="2268" w:type="dxa"/>
            <w:shd w:val="clear" w:color="auto" w:fill="F2F2F2"/>
            <w:hideMark/>
          </w:tcPr>
          <w:p w14:paraId="123EAB87" w14:textId="77777777" w:rsidR="002A4DDF" w:rsidRPr="00937C8B" w:rsidRDefault="002A4DDF" w:rsidP="009110ED">
            <w:pPr>
              <w:rPr>
                <w:rFonts w:ascii="Arial" w:hAnsi="Arial" w:cs="Arial"/>
                <w:sz w:val="12"/>
                <w:szCs w:val="12"/>
              </w:rPr>
            </w:pPr>
            <w:r>
              <w:rPr>
                <w:rFonts w:ascii="Arial" w:hAnsi="Arial"/>
                <w:sz w:val="12"/>
                <w:szCs w:val="12"/>
              </w:rPr>
              <w:t>Navas de San Juan</w:t>
            </w:r>
          </w:p>
        </w:tc>
        <w:tc>
          <w:tcPr>
            <w:tcW w:w="2268" w:type="dxa"/>
            <w:tcBorders>
              <w:right w:val="single" w:sz="4" w:space="0" w:color="auto"/>
            </w:tcBorders>
            <w:shd w:val="clear" w:color="auto" w:fill="D9D9D9"/>
            <w:hideMark/>
          </w:tcPr>
          <w:p w14:paraId="094702F5" w14:textId="77777777" w:rsidR="002A4DDF" w:rsidRPr="00937C8B" w:rsidRDefault="002A4DDF" w:rsidP="009110ED">
            <w:pPr>
              <w:rPr>
                <w:rFonts w:ascii="Arial" w:hAnsi="Arial" w:cs="Arial"/>
                <w:sz w:val="12"/>
                <w:szCs w:val="12"/>
              </w:rPr>
            </w:pPr>
          </w:p>
        </w:tc>
      </w:tr>
      <w:tr w:rsidR="002A4DDF" w:rsidRPr="00937C8B" w14:paraId="066A9476" w14:textId="77777777" w:rsidTr="00935676">
        <w:trPr>
          <w:cantSplit/>
        </w:trPr>
        <w:tc>
          <w:tcPr>
            <w:tcW w:w="1696" w:type="dxa"/>
            <w:tcBorders>
              <w:left w:val="single" w:sz="4" w:space="0" w:color="auto"/>
            </w:tcBorders>
            <w:shd w:val="clear" w:color="auto" w:fill="auto"/>
          </w:tcPr>
          <w:p w14:paraId="060C08B8" w14:textId="77777777" w:rsidR="002A4DDF" w:rsidRPr="00937C8B" w:rsidRDefault="002A4DDF" w:rsidP="009110ED">
            <w:pPr>
              <w:rPr>
                <w:rFonts w:ascii="Arial" w:hAnsi="Arial" w:cs="Arial"/>
                <w:sz w:val="12"/>
                <w:szCs w:val="12"/>
              </w:rPr>
            </w:pPr>
          </w:p>
        </w:tc>
        <w:tc>
          <w:tcPr>
            <w:tcW w:w="1843" w:type="dxa"/>
            <w:shd w:val="clear" w:color="auto" w:fill="auto"/>
          </w:tcPr>
          <w:p w14:paraId="16B73A9C" w14:textId="77777777" w:rsidR="002A4DDF" w:rsidRPr="00937C8B" w:rsidRDefault="002A4DDF" w:rsidP="009110ED">
            <w:pPr>
              <w:rPr>
                <w:rFonts w:ascii="Arial" w:hAnsi="Arial" w:cs="Arial"/>
                <w:sz w:val="12"/>
                <w:szCs w:val="12"/>
              </w:rPr>
            </w:pPr>
          </w:p>
        </w:tc>
        <w:tc>
          <w:tcPr>
            <w:tcW w:w="2268" w:type="dxa"/>
            <w:shd w:val="clear" w:color="auto" w:fill="F2F2F2"/>
            <w:hideMark/>
          </w:tcPr>
          <w:p w14:paraId="0E503C41" w14:textId="77777777" w:rsidR="002A4DDF" w:rsidRPr="00937C8B" w:rsidRDefault="002A4DDF" w:rsidP="009110ED">
            <w:pPr>
              <w:rPr>
                <w:rFonts w:ascii="Arial" w:hAnsi="Arial" w:cs="Arial"/>
                <w:sz w:val="12"/>
                <w:szCs w:val="12"/>
              </w:rPr>
            </w:pPr>
            <w:r>
              <w:rPr>
                <w:rFonts w:ascii="Arial" w:hAnsi="Arial"/>
                <w:sz w:val="12"/>
                <w:szCs w:val="12"/>
              </w:rPr>
              <w:t>Pozo Alcón</w:t>
            </w:r>
          </w:p>
        </w:tc>
        <w:tc>
          <w:tcPr>
            <w:tcW w:w="2268" w:type="dxa"/>
            <w:tcBorders>
              <w:right w:val="single" w:sz="4" w:space="0" w:color="auto"/>
            </w:tcBorders>
            <w:shd w:val="clear" w:color="auto" w:fill="D9D9D9"/>
            <w:hideMark/>
          </w:tcPr>
          <w:p w14:paraId="37244B54" w14:textId="77777777" w:rsidR="002A4DDF" w:rsidRPr="00937C8B" w:rsidRDefault="002A4DDF" w:rsidP="009110ED">
            <w:pPr>
              <w:rPr>
                <w:rFonts w:ascii="Arial" w:hAnsi="Arial" w:cs="Arial"/>
                <w:sz w:val="12"/>
                <w:szCs w:val="12"/>
              </w:rPr>
            </w:pPr>
          </w:p>
        </w:tc>
      </w:tr>
      <w:tr w:rsidR="002A4DDF" w:rsidRPr="00937C8B" w14:paraId="6A594CD6" w14:textId="77777777" w:rsidTr="00935676">
        <w:trPr>
          <w:cantSplit/>
        </w:trPr>
        <w:tc>
          <w:tcPr>
            <w:tcW w:w="1696" w:type="dxa"/>
            <w:tcBorders>
              <w:left w:val="single" w:sz="4" w:space="0" w:color="auto"/>
            </w:tcBorders>
            <w:shd w:val="clear" w:color="auto" w:fill="auto"/>
          </w:tcPr>
          <w:p w14:paraId="41CE1629" w14:textId="77777777" w:rsidR="002A4DDF" w:rsidRPr="00937C8B" w:rsidRDefault="002A4DDF" w:rsidP="009110ED">
            <w:pPr>
              <w:rPr>
                <w:rFonts w:ascii="Arial" w:hAnsi="Arial" w:cs="Arial"/>
                <w:sz w:val="12"/>
                <w:szCs w:val="12"/>
              </w:rPr>
            </w:pPr>
          </w:p>
        </w:tc>
        <w:tc>
          <w:tcPr>
            <w:tcW w:w="1843" w:type="dxa"/>
            <w:shd w:val="clear" w:color="auto" w:fill="auto"/>
          </w:tcPr>
          <w:p w14:paraId="1A34EB94" w14:textId="77777777" w:rsidR="002A4DDF" w:rsidRPr="00937C8B" w:rsidRDefault="002A4DDF" w:rsidP="009110ED">
            <w:pPr>
              <w:rPr>
                <w:rFonts w:ascii="Arial" w:hAnsi="Arial" w:cs="Arial"/>
                <w:sz w:val="12"/>
                <w:szCs w:val="12"/>
              </w:rPr>
            </w:pPr>
          </w:p>
        </w:tc>
        <w:tc>
          <w:tcPr>
            <w:tcW w:w="2268" w:type="dxa"/>
            <w:shd w:val="clear" w:color="auto" w:fill="F2F2F2"/>
            <w:hideMark/>
          </w:tcPr>
          <w:p w14:paraId="7B3E4795" w14:textId="77777777" w:rsidR="002A4DDF" w:rsidRPr="00937C8B" w:rsidRDefault="002A4DDF" w:rsidP="009110ED">
            <w:pPr>
              <w:rPr>
                <w:rFonts w:ascii="Arial" w:hAnsi="Arial" w:cs="Arial"/>
                <w:sz w:val="12"/>
                <w:szCs w:val="12"/>
              </w:rPr>
            </w:pPr>
            <w:r>
              <w:rPr>
                <w:rFonts w:ascii="Arial" w:hAnsi="Arial"/>
                <w:sz w:val="12"/>
                <w:szCs w:val="12"/>
              </w:rPr>
              <w:t>Puente de Génave</w:t>
            </w:r>
          </w:p>
        </w:tc>
        <w:tc>
          <w:tcPr>
            <w:tcW w:w="2268" w:type="dxa"/>
            <w:tcBorders>
              <w:right w:val="single" w:sz="4" w:space="0" w:color="auto"/>
            </w:tcBorders>
            <w:shd w:val="clear" w:color="auto" w:fill="D9D9D9"/>
            <w:hideMark/>
          </w:tcPr>
          <w:p w14:paraId="1F4D0F86" w14:textId="77777777" w:rsidR="002A4DDF" w:rsidRPr="00937C8B" w:rsidRDefault="002A4DDF" w:rsidP="009110ED">
            <w:pPr>
              <w:rPr>
                <w:rFonts w:ascii="Arial" w:hAnsi="Arial" w:cs="Arial"/>
                <w:sz w:val="12"/>
                <w:szCs w:val="12"/>
              </w:rPr>
            </w:pPr>
          </w:p>
        </w:tc>
      </w:tr>
      <w:tr w:rsidR="002A4DDF" w:rsidRPr="00937C8B" w14:paraId="632530D8" w14:textId="77777777" w:rsidTr="00935676">
        <w:trPr>
          <w:cantSplit/>
        </w:trPr>
        <w:tc>
          <w:tcPr>
            <w:tcW w:w="1696" w:type="dxa"/>
            <w:tcBorders>
              <w:left w:val="single" w:sz="4" w:space="0" w:color="auto"/>
            </w:tcBorders>
            <w:shd w:val="clear" w:color="auto" w:fill="auto"/>
          </w:tcPr>
          <w:p w14:paraId="7EE5A0AE" w14:textId="77777777" w:rsidR="002A4DDF" w:rsidRPr="00937C8B" w:rsidRDefault="002A4DDF" w:rsidP="009110ED">
            <w:pPr>
              <w:rPr>
                <w:rFonts w:ascii="Arial" w:hAnsi="Arial" w:cs="Arial"/>
                <w:sz w:val="12"/>
                <w:szCs w:val="12"/>
              </w:rPr>
            </w:pPr>
          </w:p>
        </w:tc>
        <w:tc>
          <w:tcPr>
            <w:tcW w:w="1843" w:type="dxa"/>
            <w:shd w:val="clear" w:color="auto" w:fill="auto"/>
          </w:tcPr>
          <w:p w14:paraId="4A52257A" w14:textId="77777777" w:rsidR="002A4DDF" w:rsidRPr="00937C8B" w:rsidRDefault="002A4DDF" w:rsidP="009110ED">
            <w:pPr>
              <w:rPr>
                <w:rFonts w:ascii="Arial" w:hAnsi="Arial" w:cs="Arial"/>
                <w:sz w:val="12"/>
                <w:szCs w:val="12"/>
              </w:rPr>
            </w:pPr>
          </w:p>
        </w:tc>
        <w:tc>
          <w:tcPr>
            <w:tcW w:w="2268" w:type="dxa"/>
            <w:shd w:val="clear" w:color="auto" w:fill="F2F2F2"/>
            <w:hideMark/>
          </w:tcPr>
          <w:p w14:paraId="4C74934F" w14:textId="77777777" w:rsidR="002A4DDF" w:rsidRPr="00937C8B" w:rsidRDefault="002A4DDF" w:rsidP="009110ED">
            <w:pPr>
              <w:rPr>
                <w:rFonts w:ascii="Arial" w:hAnsi="Arial" w:cs="Arial"/>
                <w:sz w:val="12"/>
                <w:szCs w:val="12"/>
              </w:rPr>
            </w:pPr>
            <w:r>
              <w:rPr>
                <w:rFonts w:ascii="Arial" w:hAnsi="Arial"/>
                <w:sz w:val="12"/>
                <w:szCs w:val="12"/>
              </w:rPr>
              <w:t>Santiago-Pontones</w:t>
            </w:r>
          </w:p>
        </w:tc>
        <w:tc>
          <w:tcPr>
            <w:tcW w:w="2268" w:type="dxa"/>
            <w:tcBorders>
              <w:right w:val="single" w:sz="4" w:space="0" w:color="auto"/>
            </w:tcBorders>
            <w:shd w:val="clear" w:color="auto" w:fill="D9D9D9"/>
            <w:hideMark/>
          </w:tcPr>
          <w:p w14:paraId="2F441D4F" w14:textId="77777777" w:rsidR="002A4DDF" w:rsidRPr="00937C8B" w:rsidRDefault="002A4DDF" w:rsidP="009110ED">
            <w:pPr>
              <w:rPr>
                <w:rFonts w:ascii="Arial" w:hAnsi="Arial" w:cs="Arial"/>
                <w:sz w:val="12"/>
                <w:szCs w:val="12"/>
              </w:rPr>
            </w:pPr>
          </w:p>
        </w:tc>
      </w:tr>
      <w:tr w:rsidR="002A4DDF" w:rsidRPr="00937C8B" w14:paraId="5489409D" w14:textId="77777777" w:rsidTr="00935676">
        <w:trPr>
          <w:cantSplit/>
        </w:trPr>
        <w:tc>
          <w:tcPr>
            <w:tcW w:w="1696" w:type="dxa"/>
            <w:tcBorders>
              <w:left w:val="single" w:sz="4" w:space="0" w:color="auto"/>
            </w:tcBorders>
            <w:shd w:val="clear" w:color="auto" w:fill="auto"/>
          </w:tcPr>
          <w:p w14:paraId="24CFC3CF" w14:textId="77777777" w:rsidR="002A4DDF" w:rsidRPr="00937C8B" w:rsidRDefault="002A4DDF" w:rsidP="009110ED">
            <w:pPr>
              <w:rPr>
                <w:rFonts w:ascii="Arial" w:hAnsi="Arial" w:cs="Arial"/>
                <w:sz w:val="12"/>
                <w:szCs w:val="12"/>
              </w:rPr>
            </w:pPr>
          </w:p>
        </w:tc>
        <w:tc>
          <w:tcPr>
            <w:tcW w:w="1843" w:type="dxa"/>
            <w:shd w:val="clear" w:color="auto" w:fill="auto"/>
          </w:tcPr>
          <w:p w14:paraId="5197A0E8" w14:textId="77777777" w:rsidR="002A4DDF" w:rsidRPr="00937C8B" w:rsidRDefault="002A4DDF" w:rsidP="009110ED">
            <w:pPr>
              <w:rPr>
                <w:rFonts w:ascii="Arial" w:hAnsi="Arial" w:cs="Arial"/>
                <w:sz w:val="12"/>
                <w:szCs w:val="12"/>
              </w:rPr>
            </w:pPr>
          </w:p>
        </w:tc>
        <w:tc>
          <w:tcPr>
            <w:tcW w:w="2268" w:type="dxa"/>
            <w:shd w:val="clear" w:color="auto" w:fill="F2F2F2"/>
            <w:hideMark/>
          </w:tcPr>
          <w:p w14:paraId="4104D3C6" w14:textId="77777777" w:rsidR="002A4DDF" w:rsidRPr="00937C8B" w:rsidRDefault="002A4DDF" w:rsidP="009110ED">
            <w:pPr>
              <w:rPr>
                <w:rFonts w:ascii="Arial" w:hAnsi="Arial" w:cs="Arial"/>
                <w:sz w:val="12"/>
                <w:szCs w:val="12"/>
              </w:rPr>
            </w:pPr>
            <w:r>
              <w:rPr>
                <w:rFonts w:ascii="Arial" w:hAnsi="Arial"/>
                <w:sz w:val="12"/>
                <w:szCs w:val="12"/>
              </w:rPr>
              <w:t>Torreblascopedro</w:t>
            </w:r>
          </w:p>
        </w:tc>
        <w:tc>
          <w:tcPr>
            <w:tcW w:w="2268" w:type="dxa"/>
            <w:tcBorders>
              <w:right w:val="single" w:sz="4" w:space="0" w:color="auto"/>
            </w:tcBorders>
            <w:shd w:val="clear" w:color="auto" w:fill="D9D9D9"/>
            <w:hideMark/>
          </w:tcPr>
          <w:p w14:paraId="713D378E" w14:textId="77777777" w:rsidR="002A4DDF" w:rsidRPr="00937C8B" w:rsidRDefault="002A4DDF" w:rsidP="009110ED">
            <w:pPr>
              <w:rPr>
                <w:rFonts w:ascii="Arial" w:hAnsi="Arial" w:cs="Arial"/>
                <w:sz w:val="12"/>
                <w:szCs w:val="12"/>
              </w:rPr>
            </w:pPr>
          </w:p>
        </w:tc>
      </w:tr>
      <w:tr w:rsidR="002A4DDF" w:rsidRPr="00937C8B" w14:paraId="76733C76" w14:textId="77777777" w:rsidTr="00935676">
        <w:trPr>
          <w:cantSplit/>
        </w:trPr>
        <w:tc>
          <w:tcPr>
            <w:tcW w:w="1696" w:type="dxa"/>
            <w:tcBorders>
              <w:left w:val="single" w:sz="4" w:space="0" w:color="auto"/>
            </w:tcBorders>
            <w:shd w:val="clear" w:color="auto" w:fill="auto"/>
          </w:tcPr>
          <w:p w14:paraId="3080B4F5" w14:textId="77777777" w:rsidR="002A4DDF" w:rsidRPr="00937C8B" w:rsidRDefault="002A4DDF" w:rsidP="009110ED">
            <w:pPr>
              <w:rPr>
                <w:rFonts w:ascii="Arial" w:hAnsi="Arial" w:cs="Arial"/>
                <w:sz w:val="12"/>
                <w:szCs w:val="12"/>
              </w:rPr>
            </w:pPr>
          </w:p>
        </w:tc>
        <w:tc>
          <w:tcPr>
            <w:tcW w:w="1843" w:type="dxa"/>
            <w:shd w:val="clear" w:color="auto" w:fill="auto"/>
          </w:tcPr>
          <w:p w14:paraId="54AAE063" w14:textId="77777777" w:rsidR="002A4DDF" w:rsidRPr="00937C8B" w:rsidRDefault="002A4DDF" w:rsidP="009110ED">
            <w:pPr>
              <w:rPr>
                <w:rFonts w:ascii="Arial" w:hAnsi="Arial" w:cs="Arial"/>
                <w:sz w:val="12"/>
                <w:szCs w:val="12"/>
              </w:rPr>
            </w:pPr>
          </w:p>
        </w:tc>
        <w:tc>
          <w:tcPr>
            <w:tcW w:w="2268" w:type="dxa"/>
            <w:shd w:val="clear" w:color="auto" w:fill="F2F2F2"/>
            <w:hideMark/>
          </w:tcPr>
          <w:p w14:paraId="3A6F1772" w14:textId="77777777" w:rsidR="002A4DDF" w:rsidRPr="00937C8B" w:rsidRDefault="002A4DDF" w:rsidP="009110ED">
            <w:pPr>
              <w:rPr>
                <w:rFonts w:ascii="Arial" w:hAnsi="Arial" w:cs="Arial"/>
                <w:sz w:val="12"/>
                <w:szCs w:val="12"/>
              </w:rPr>
            </w:pPr>
            <w:r>
              <w:rPr>
                <w:rFonts w:ascii="Arial" w:hAnsi="Arial"/>
                <w:sz w:val="12"/>
                <w:szCs w:val="12"/>
              </w:rPr>
              <w:t>Torres de Albánchez</w:t>
            </w:r>
          </w:p>
        </w:tc>
        <w:tc>
          <w:tcPr>
            <w:tcW w:w="2268" w:type="dxa"/>
            <w:tcBorders>
              <w:right w:val="single" w:sz="4" w:space="0" w:color="auto"/>
            </w:tcBorders>
            <w:shd w:val="clear" w:color="auto" w:fill="D9D9D9"/>
            <w:hideMark/>
          </w:tcPr>
          <w:p w14:paraId="52E35651" w14:textId="77777777" w:rsidR="002A4DDF" w:rsidRPr="00937C8B" w:rsidRDefault="002A4DDF" w:rsidP="009110ED">
            <w:pPr>
              <w:rPr>
                <w:rFonts w:ascii="Arial" w:hAnsi="Arial" w:cs="Arial"/>
                <w:sz w:val="12"/>
                <w:szCs w:val="12"/>
              </w:rPr>
            </w:pPr>
          </w:p>
        </w:tc>
      </w:tr>
      <w:tr w:rsidR="002A4DDF" w:rsidRPr="00937C8B" w14:paraId="3EC491DE" w14:textId="77777777" w:rsidTr="00935676">
        <w:trPr>
          <w:cantSplit/>
        </w:trPr>
        <w:tc>
          <w:tcPr>
            <w:tcW w:w="1696" w:type="dxa"/>
            <w:tcBorders>
              <w:left w:val="single" w:sz="4" w:space="0" w:color="auto"/>
            </w:tcBorders>
            <w:shd w:val="clear" w:color="auto" w:fill="auto"/>
          </w:tcPr>
          <w:p w14:paraId="3DE36F4E" w14:textId="77777777" w:rsidR="002A4DDF" w:rsidRPr="00937C8B" w:rsidRDefault="002A4DDF" w:rsidP="009110ED">
            <w:pPr>
              <w:rPr>
                <w:rFonts w:ascii="Arial" w:hAnsi="Arial" w:cs="Arial"/>
                <w:sz w:val="12"/>
                <w:szCs w:val="12"/>
              </w:rPr>
            </w:pPr>
          </w:p>
        </w:tc>
        <w:tc>
          <w:tcPr>
            <w:tcW w:w="1843" w:type="dxa"/>
            <w:shd w:val="clear" w:color="auto" w:fill="auto"/>
          </w:tcPr>
          <w:p w14:paraId="5931E7AA" w14:textId="77777777" w:rsidR="002A4DDF" w:rsidRPr="00937C8B" w:rsidRDefault="002A4DDF" w:rsidP="009110ED">
            <w:pPr>
              <w:rPr>
                <w:rFonts w:ascii="Arial" w:hAnsi="Arial" w:cs="Arial"/>
                <w:sz w:val="12"/>
                <w:szCs w:val="12"/>
              </w:rPr>
            </w:pPr>
          </w:p>
        </w:tc>
        <w:tc>
          <w:tcPr>
            <w:tcW w:w="2268" w:type="dxa"/>
            <w:shd w:val="clear" w:color="auto" w:fill="F2F2F2"/>
            <w:hideMark/>
          </w:tcPr>
          <w:p w14:paraId="6A9146E9" w14:textId="77777777" w:rsidR="002A4DDF" w:rsidRPr="00937C8B" w:rsidRDefault="002A4DDF" w:rsidP="009110ED">
            <w:pPr>
              <w:rPr>
                <w:rFonts w:ascii="Arial" w:hAnsi="Arial" w:cs="Arial"/>
                <w:sz w:val="12"/>
                <w:szCs w:val="12"/>
              </w:rPr>
            </w:pPr>
            <w:r>
              <w:rPr>
                <w:rFonts w:ascii="Arial" w:hAnsi="Arial"/>
                <w:sz w:val="12"/>
                <w:szCs w:val="12"/>
              </w:rPr>
              <w:t>Vilches</w:t>
            </w:r>
          </w:p>
        </w:tc>
        <w:tc>
          <w:tcPr>
            <w:tcW w:w="2268" w:type="dxa"/>
            <w:tcBorders>
              <w:right w:val="single" w:sz="4" w:space="0" w:color="auto"/>
            </w:tcBorders>
            <w:shd w:val="clear" w:color="auto" w:fill="D9D9D9"/>
            <w:hideMark/>
          </w:tcPr>
          <w:p w14:paraId="625A56E6" w14:textId="77777777" w:rsidR="002A4DDF" w:rsidRPr="00937C8B" w:rsidRDefault="002A4DDF" w:rsidP="009110ED">
            <w:pPr>
              <w:rPr>
                <w:rFonts w:ascii="Arial" w:hAnsi="Arial" w:cs="Arial"/>
                <w:sz w:val="12"/>
                <w:szCs w:val="12"/>
              </w:rPr>
            </w:pPr>
          </w:p>
        </w:tc>
      </w:tr>
      <w:tr w:rsidR="002A4DDF" w:rsidRPr="00937C8B" w14:paraId="4377816C" w14:textId="77777777" w:rsidTr="00935676">
        <w:trPr>
          <w:cantSplit/>
        </w:trPr>
        <w:tc>
          <w:tcPr>
            <w:tcW w:w="1696" w:type="dxa"/>
            <w:tcBorders>
              <w:left w:val="single" w:sz="4" w:space="0" w:color="auto"/>
              <w:bottom w:val="single" w:sz="4" w:space="0" w:color="auto"/>
            </w:tcBorders>
            <w:shd w:val="clear" w:color="auto" w:fill="auto"/>
          </w:tcPr>
          <w:p w14:paraId="161CC319"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bottom w:val="single" w:sz="4" w:space="0" w:color="auto"/>
            </w:tcBorders>
            <w:shd w:val="clear" w:color="auto" w:fill="auto"/>
          </w:tcPr>
          <w:p w14:paraId="68755A90" w14:textId="77777777" w:rsidR="002A4DDF" w:rsidRPr="00937C8B" w:rsidRDefault="002A4DDF" w:rsidP="009110ED">
            <w:pPr>
              <w:rPr>
                <w:rFonts w:ascii="Arial" w:hAnsi="Arial" w:cs="Arial"/>
                <w:sz w:val="12"/>
                <w:szCs w:val="12"/>
              </w:rPr>
            </w:pPr>
            <w:r>
              <w:rPr>
                <w:rFonts w:ascii="Arial" w:hAnsi="Arial"/>
                <w:sz w:val="12"/>
                <w:szCs w:val="12"/>
              </w:rPr>
              <w:t>Jaén</w:t>
            </w:r>
          </w:p>
        </w:tc>
        <w:tc>
          <w:tcPr>
            <w:tcW w:w="2268" w:type="dxa"/>
            <w:tcBorders>
              <w:bottom w:val="single" w:sz="4" w:space="0" w:color="auto"/>
            </w:tcBorders>
            <w:shd w:val="clear" w:color="auto" w:fill="F2F2F2"/>
            <w:hideMark/>
          </w:tcPr>
          <w:p w14:paraId="79204743" w14:textId="77777777" w:rsidR="002A4DDF" w:rsidRPr="00937C8B" w:rsidRDefault="002A4DDF" w:rsidP="009110ED">
            <w:pPr>
              <w:rPr>
                <w:rFonts w:ascii="Arial" w:hAnsi="Arial" w:cs="Arial"/>
                <w:sz w:val="12"/>
                <w:szCs w:val="12"/>
              </w:rPr>
            </w:pPr>
            <w:r>
              <w:rPr>
                <w:rFonts w:ascii="Arial" w:hAnsi="Arial"/>
                <w:sz w:val="12"/>
                <w:szCs w:val="12"/>
              </w:rPr>
              <w:t>Villanueva de la Reina</w:t>
            </w:r>
          </w:p>
        </w:tc>
        <w:tc>
          <w:tcPr>
            <w:tcW w:w="2268" w:type="dxa"/>
            <w:tcBorders>
              <w:bottom w:val="single" w:sz="4" w:space="0" w:color="auto"/>
              <w:right w:val="single" w:sz="4" w:space="0" w:color="auto"/>
            </w:tcBorders>
            <w:shd w:val="clear" w:color="auto" w:fill="D9D9D9"/>
            <w:hideMark/>
          </w:tcPr>
          <w:p w14:paraId="665AC654" w14:textId="77777777" w:rsidR="002A4DDF" w:rsidRPr="00937C8B" w:rsidRDefault="002A4DDF" w:rsidP="009110ED">
            <w:pPr>
              <w:rPr>
                <w:rFonts w:ascii="Arial" w:hAnsi="Arial" w:cs="Arial"/>
                <w:sz w:val="12"/>
                <w:szCs w:val="12"/>
              </w:rPr>
            </w:pPr>
          </w:p>
        </w:tc>
      </w:tr>
      <w:tr w:rsidR="002A4DDF" w:rsidRPr="00937C8B" w14:paraId="13F5738B" w14:textId="77777777" w:rsidTr="00935676">
        <w:trPr>
          <w:cantSplit/>
        </w:trPr>
        <w:tc>
          <w:tcPr>
            <w:tcW w:w="1696" w:type="dxa"/>
            <w:tcBorders>
              <w:top w:val="single" w:sz="4" w:space="0" w:color="auto"/>
              <w:bottom w:val="single" w:sz="4" w:space="0" w:color="auto"/>
            </w:tcBorders>
            <w:shd w:val="clear" w:color="auto" w:fill="auto"/>
            <w:hideMark/>
          </w:tcPr>
          <w:p w14:paraId="5AACDE34"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34D56628"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79BCCA45"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5AA8ACAE" w14:textId="77777777" w:rsidR="002A4DDF" w:rsidRPr="00937C8B" w:rsidRDefault="002A4DDF" w:rsidP="009110ED">
            <w:pPr>
              <w:rPr>
                <w:rFonts w:ascii="Arial" w:hAnsi="Arial" w:cs="Arial"/>
                <w:sz w:val="12"/>
                <w:szCs w:val="12"/>
              </w:rPr>
            </w:pPr>
          </w:p>
        </w:tc>
      </w:tr>
      <w:tr w:rsidR="002A4DDF" w:rsidRPr="00937C8B" w14:paraId="5C765904" w14:textId="77777777" w:rsidTr="00935676">
        <w:trPr>
          <w:cantSplit/>
        </w:trPr>
        <w:tc>
          <w:tcPr>
            <w:tcW w:w="1696" w:type="dxa"/>
            <w:tcBorders>
              <w:top w:val="single" w:sz="4" w:space="0" w:color="auto"/>
              <w:left w:val="single" w:sz="4" w:space="0" w:color="auto"/>
            </w:tcBorders>
            <w:shd w:val="clear" w:color="auto" w:fill="auto"/>
            <w:hideMark/>
          </w:tcPr>
          <w:p w14:paraId="4A5E574A"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top w:val="single" w:sz="4" w:space="0" w:color="auto"/>
            </w:tcBorders>
            <w:shd w:val="clear" w:color="auto" w:fill="auto"/>
            <w:hideMark/>
          </w:tcPr>
          <w:p w14:paraId="204789C7" w14:textId="77777777" w:rsidR="002A4DDF" w:rsidRPr="00937C8B" w:rsidRDefault="002A4DDF" w:rsidP="009110ED">
            <w:pPr>
              <w:rPr>
                <w:rFonts w:ascii="Arial" w:hAnsi="Arial" w:cs="Arial"/>
                <w:sz w:val="12"/>
                <w:szCs w:val="12"/>
              </w:rPr>
            </w:pPr>
            <w:r>
              <w:rPr>
                <w:rFonts w:ascii="Arial" w:hAnsi="Arial"/>
                <w:sz w:val="12"/>
                <w:szCs w:val="12"/>
              </w:rPr>
              <w:t>Malaga</w:t>
            </w:r>
          </w:p>
        </w:tc>
        <w:tc>
          <w:tcPr>
            <w:tcW w:w="2268" w:type="dxa"/>
            <w:tcBorders>
              <w:top w:val="single" w:sz="4" w:space="0" w:color="auto"/>
            </w:tcBorders>
            <w:shd w:val="clear" w:color="auto" w:fill="F2F2F2"/>
            <w:hideMark/>
          </w:tcPr>
          <w:p w14:paraId="737D4D3D" w14:textId="77777777" w:rsidR="002A4DDF" w:rsidRPr="00937C8B" w:rsidRDefault="002A4DDF" w:rsidP="009110ED">
            <w:pPr>
              <w:rPr>
                <w:rFonts w:ascii="Arial" w:hAnsi="Arial" w:cs="Arial"/>
                <w:sz w:val="12"/>
                <w:szCs w:val="12"/>
              </w:rPr>
            </w:pPr>
            <w:r>
              <w:rPr>
                <w:rFonts w:ascii="Arial" w:hAnsi="Arial"/>
                <w:sz w:val="12"/>
                <w:szCs w:val="12"/>
              </w:rPr>
              <w:t>Algarrobo</w:t>
            </w:r>
          </w:p>
        </w:tc>
        <w:tc>
          <w:tcPr>
            <w:tcW w:w="2268" w:type="dxa"/>
            <w:tcBorders>
              <w:top w:val="single" w:sz="4" w:space="0" w:color="auto"/>
              <w:right w:val="single" w:sz="4" w:space="0" w:color="auto"/>
            </w:tcBorders>
            <w:shd w:val="clear" w:color="auto" w:fill="D9D9D9"/>
            <w:hideMark/>
          </w:tcPr>
          <w:p w14:paraId="290914F9" w14:textId="77777777" w:rsidR="002A4DDF" w:rsidRPr="00937C8B" w:rsidRDefault="002A4DDF" w:rsidP="009110ED">
            <w:pPr>
              <w:rPr>
                <w:rFonts w:ascii="Arial" w:hAnsi="Arial" w:cs="Arial"/>
                <w:sz w:val="12"/>
                <w:szCs w:val="12"/>
              </w:rPr>
            </w:pPr>
          </w:p>
        </w:tc>
      </w:tr>
      <w:tr w:rsidR="002A4DDF" w:rsidRPr="00937C8B" w14:paraId="6235A802" w14:textId="77777777" w:rsidTr="00935676">
        <w:trPr>
          <w:cantSplit/>
        </w:trPr>
        <w:tc>
          <w:tcPr>
            <w:tcW w:w="1696" w:type="dxa"/>
            <w:tcBorders>
              <w:left w:val="single" w:sz="4" w:space="0" w:color="auto"/>
            </w:tcBorders>
            <w:shd w:val="clear" w:color="auto" w:fill="auto"/>
          </w:tcPr>
          <w:p w14:paraId="4341D003" w14:textId="77777777" w:rsidR="002A4DDF" w:rsidRPr="00937C8B" w:rsidRDefault="002A4DDF" w:rsidP="009110ED">
            <w:pPr>
              <w:rPr>
                <w:rFonts w:ascii="Arial" w:hAnsi="Arial" w:cs="Arial"/>
                <w:sz w:val="12"/>
                <w:szCs w:val="12"/>
              </w:rPr>
            </w:pPr>
          </w:p>
        </w:tc>
        <w:tc>
          <w:tcPr>
            <w:tcW w:w="1843" w:type="dxa"/>
            <w:shd w:val="clear" w:color="auto" w:fill="auto"/>
          </w:tcPr>
          <w:p w14:paraId="4ED5C999" w14:textId="77777777" w:rsidR="002A4DDF" w:rsidRPr="00937C8B" w:rsidRDefault="002A4DDF" w:rsidP="009110ED">
            <w:pPr>
              <w:rPr>
                <w:rFonts w:ascii="Arial" w:hAnsi="Arial" w:cs="Arial"/>
                <w:sz w:val="12"/>
                <w:szCs w:val="12"/>
              </w:rPr>
            </w:pPr>
          </w:p>
        </w:tc>
        <w:tc>
          <w:tcPr>
            <w:tcW w:w="2268" w:type="dxa"/>
            <w:shd w:val="clear" w:color="auto" w:fill="F2F2F2"/>
            <w:hideMark/>
          </w:tcPr>
          <w:p w14:paraId="7AA3C97F" w14:textId="77777777" w:rsidR="002A4DDF" w:rsidRPr="00937C8B" w:rsidRDefault="002A4DDF" w:rsidP="009110ED">
            <w:pPr>
              <w:rPr>
                <w:rFonts w:ascii="Arial" w:hAnsi="Arial" w:cs="Arial"/>
                <w:sz w:val="12"/>
                <w:szCs w:val="12"/>
              </w:rPr>
            </w:pPr>
            <w:r>
              <w:rPr>
                <w:rFonts w:ascii="Arial" w:hAnsi="Arial"/>
                <w:sz w:val="12"/>
                <w:szCs w:val="12"/>
              </w:rPr>
              <w:t>Almáchar</w:t>
            </w:r>
          </w:p>
        </w:tc>
        <w:tc>
          <w:tcPr>
            <w:tcW w:w="2268" w:type="dxa"/>
            <w:tcBorders>
              <w:right w:val="single" w:sz="4" w:space="0" w:color="auto"/>
            </w:tcBorders>
            <w:shd w:val="clear" w:color="auto" w:fill="D9D9D9"/>
            <w:hideMark/>
          </w:tcPr>
          <w:p w14:paraId="787601F2" w14:textId="77777777" w:rsidR="002A4DDF" w:rsidRPr="00937C8B" w:rsidRDefault="002A4DDF" w:rsidP="009110ED">
            <w:pPr>
              <w:rPr>
                <w:rFonts w:ascii="Arial" w:hAnsi="Arial" w:cs="Arial"/>
                <w:sz w:val="12"/>
                <w:szCs w:val="12"/>
              </w:rPr>
            </w:pPr>
          </w:p>
        </w:tc>
      </w:tr>
      <w:tr w:rsidR="002A4DDF" w:rsidRPr="00937C8B" w14:paraId="571BE87C" w14:textId="77777777" w:rsidTr="00935676">
        <w:trPr>
          <w:cantSplit/>
        </w:trPr>
        <w:tc>
          <w:tcPr>
            <w:tcW w:w="1696" w:type="dxa"/>
            <w:tcBorders>
              <w:left w:val="single" w:sz="4" w:space="0" w:color="auto"/>
            </w:tcBorders>
            <w:shd w:val="clear" w:color="auto" w:fill="auto"/>
          </w:tcPr>
          <w:p w14:paraId="3F7B41BF" w14:textId="77777777" w:rsidR="002A4DDF" w:rsidRPr="00937C8B" w:rsidRDefault="002A4DDF" w:rsidP="009110ED">
            <w:pPr>
              <w:rPr>
                <w:rFonts w:ascii="Arial" w:hAnsi="Arial" w:cs="Arial"/>
                <w:sz w:val="12"/>
                <w:szCs w:val="12"/>
              </w:rPr>
            </w:pPr>
          </w:p>
        </w:tc>
        <w:tc>
          <w:tcPr>
            <w:tcW w:w="1843" w:type="dxa"/>
            <w:shd w:val="clear" w:color="auto" w:fill="auto"/>
          </w:tcPr>
          <w:p w14:paraId="7696213D" w14:textId="77777777" w:rsidR="002A4DDF" w:rsidRPr="00937C8B" w:rsidRDefault="002A4DDF" w:rsidP="009110ED">
            <w:pPr>
              <w:rPr>
                <w:rFonts w:ascii="Arial" w:hAnsi="Arial" w:cs="Arial"/>
                <w:sz w:val="12"/>
                <w:szCs w:val="12"/>
              </w:rPr>
            </w:pPr>
          </w:p>
        </w:tc>
        <w:tc>
          <w:tcPr>
            <w:tcW w:w="2268" w:type="dxa"/>
            <w:shd w:val="clear" w:color="auto" w:fill="F2F2F2"/>
            <w:hideMark/>
          </w:tcPr>
          <w:p w14:paraId="78860DBA" w14:textId="77777777" w:rsidR="002A4DDF" w:rsidRPr="00937C8B" w:rsidRDefault="002A4DDF" w:rsidP="009110ED">
            <w:pPr>
              <w:rPr>
                <w:rFonts w:ascii="Arial" w:hAnsi="Arial" w:cs="Arial"/>
                <w:sz w:val="12"/>
                <w:szCs w:val="12"/>
              </w:rPr>
            </w:pPr>
            <w:r>
              <w:rPr>
                <w:rFonts w:ascii="Arial" w:hAnsi="Arial"/>
                <w:sz w:val="12"/>
                <w:szCs w:val="12"/>
              </w:rPr>
              <w:t>Benamargosa</w:t>
            </w:r>
          </w:p>
        </w:tc>
        <w:tc>
          <w:tcPr>
            <w:tcW w:w="2268" w:type="dxa"/>
            <w:tcBorders>
              <w:right w:val="single" w:sz="4" w:space="0" w:color="auto"/>
            </w:tcBorders>
            <w:shd w:val="clear" w:color="auto" w:fill="D9D9D9"/>
            <w:hideMark/>
          </w:tcPr>
          <w:p w14:paraId="49C9A06A" w14:textId="77777777" w:rsidR="002A4DDF" w:rsidRPr="00937C8B" w:rsidRDefault="002A4DDF" w:rsidP="009110ED">
            <w:pPr>
              <w:rPr>
                <w:rFonts w:ascii="Arial" w:hAnsi="Arial" w:cs="Arial"/>
                <w:sz w:val="12"/>
                <w:szCs w:val="12"/>
              </w:rPr>
            </w:pPr>
          </w:p>
        </w:tc>
      </w:tr>
      <w:tr w:rsidR="002A4DDF" w:rsidRPr="00937C8B" w14:paraId="262CA63F" w14:textId="77777777" w:rsidTr="00935676">
        <w:trPr>
          <w:cantSplit/>
        </w:trPr>
        <w:tc>
          <w:tcPr>
            <w:tcW w:w="1696" w:type="dxa"/>
            <w:tcBorders>
              <w:left w:val="single" w:sz="4" w:space="0" w:color="auto"/>
            </w:tcBorders>
            <w:shd w:val="clear" w:color="auto" w:fill="auto"/>
          </w:tcPr>
          <w:p w14:paraId="64B2BF0D" w14:textId="77777777" w:rsidR="002A4DDF" w:rsidRPr="00937C8B" w:rsidRDefault="002A4DDF" w:rsidP="009110ED">
            <w:pPr>
              <w:rPr>
                <w:rFonts w:ascii="Arial" w:hAnsi="Arial" w:cs="Arial"/>
                <w:sz w:val="12"/>
                <w:szCs w:val="12"/>
              </w:rPr>
            </w:pPr>
          </w:p>
        </w:tc>
        <w:tc>
          <w:tcPr>
            <w:tcW w:w="1843" w:type="dxa"/>
            <w:shd w:val="clear" w:color="auto" w:fill="auto"/>
          </w:tcPr>
          <w:p w14:paraId="3858460A" w14:textId="77777777" w:rsidR="002A4DDF" w:rsidRPr="00937C8B" w:rsidRDefault="002A4DDF" w:rsidP="009110ED">
            <w:pPr>
              <w:rPr>
                <w:rFonts w:ascii="Arial" w:hAnsi="Arial" w:cs="Arial"/>
                <w:sz w:val="12"/>
                <w:szCs w:val="12"/>
              </w:rPr>
            </w:pPr>
          </w:p>
        </w:tc>
        <w:tc>
          <w:tcPr>
            <w:tcW w:w="2268" w:type="dxa"/>
            <w:shd w:val="clear" w:color="auto" w:fill="F2F2F2"/>
            <w:hideMark/>
          </w:tcPr>
          <w:p w14:paraId="2D83D230" w14:textId="77777777" w:rsidR="002A4DDF" w:rsidRPr="00937C8B" w:rsidRDefault="002A4DDF" w:rsidP="009110ED">
            <w:pPr>
              <w:rPr>
                <w:rFonts w:ascii="Arial" w:hAnsi="Arial" w:cs="Arial"/>
                <w:sz w:val="12"/>
                <w:szCs w:val="12"/>
              </w:rPr>
            </w:pPr>
            <w:r>
              <w:rPr>
                <w:rFonts w:ascii="Arial" w:hAnsi="Arial"/>
                <w:sz w:val="12"/>
                <w:szCs w:val="12"/>
              </w:rPr>
              <w:t>Benamocarra</w:t>
            </w:r>
          </w:p>
        </w:tc>
        <w:tc>
          <w:tcPr>
            <w:tcW w:w="2268" w:type="dxa"/>
            <w:tcBorders>
              <w:right w:val="single" w:sz="4" w:space="0" w:color="auto"/>
            </w:tcBorders>
            <w:shd w:val="clear" w:color="auto" w:fill="D9D9D9"/>
            <w:hideMark/>
          </w:tcPr>
          <w:p w14:paraId="35234C23" w14:textId="77777777" w:rsidR="002A4DDF" w:rsidRPr="00937C8B" w:rsidRDefault="002A4DDF" w:rsidP="009110ED">
            <w:pPr>
              <w:rPr>
                <w:rFonts w:ascii="Arial" w:hAnsi="Arial" w:cs="Arial"/>
                <w:sz w:val="12"/>
                <w:szCs w:val="12"/>
              </w:rPr>
            </w:pPr>
          </w:p>
        </w:tc>
      </w:tr>
      <w:tr w:rsidR="002A4DDF" w:rsidRPr="00937C8B" w14:paraId="4B8F7956" w14:textId="77777777" w:rsidTr="00935676">
        <w:trPr>
          <w:cantSplit/>
        </w:trPr>
        <w:tc>
          <w:tcPr>
            <w:tcW w:w="1696" w:type="dxa"/>
            <w:tcBorders>
              <w:left w:val="single" w:sz="4" w:space="0" w:color="auto"/>
            </w:tcBorders>
            <w:shd w:val="clear" w:color="auto" w:fill="auto"/>
          </w:tcPr>
          <w:p w14:paraId="19F275F6" w14:textId="77777777" w:rsidR="002A4DDF" w:rsidRPr="00937C8B" w:rsidRDefault="002A4DDF" w:rsidP="009110ED">
            <w:pPr>
              <w:rPr>
                <w:rFonts w:ascii="Arial" w:hAnsi="Arial" w:cs="Arial"/>
                <w:sz w:val="12"/>
                <w:szCs w:val="12"/>
              </w:rPr>
            </w:pPr>
          </w:p>
        </w:tc>
        <w:tc>
          <w:tcPr>
            <w:tcW w:w="1843" w:type="dxa"/>
            <w:shd w:val="clear" w:color="auto" w:fill="auto"/>
          </w:tcPr>
          <w:p w14:paraId="05A42541" w14:textId="77777777" w:rsidR="002A4DDF" w:rsidRPr="00937C8B" w:rsidRDefault="002A4DDF" w:rsidP="009110ED">
            <w:pPr>
              <w:rPr>
                <w:rFonts w:ascii="Arial" w:hAnsi="Arial" w:cs="Arial"/>
                <w:sz w:val="12"/>
                <w:szCs w:val="12"/>
              </w:rPr>
            </w:pPr>
          </w:p>
        </w:tc>
        <w:tc>
          <w:tcPr>
            <w:tcW w:w="2268" w:type="dxa"/>
            <w:shd w:val="clear" w:color="auto" w:fill="F2F2F2"/>
            <w:hideMark/>
          </w:tcPr>
          <w:p w14:paraId="0535DBA6" w14:textId="77777777" w:rsidR="002A4DDF" w:rsidRPr="00937C8B" w:rsidRDefault="002A4DDF" w:rsidP="009110ED">
            <w:pPr>
              <w:rPr>
                <w:rFonts w:ascii="Arial" w:hAnsi="Arial" w:cs="Arial"/>
                <w:sz w:val="12"/>
                <w:szCs w:val="12"/>
              </w:rPr>
            </w:pPr>
            <w:r>
              <w:rPr>
                <w:rFonts w:ascii="Arial" w:hAnsi="Arial"/>
                <w:sz w:val="12"/>
                <w:szCs w:val="12"/>
              </w:rPr>
              <w:t>Benarrabá</w:t>
            </w:r>
          </w:p>
        </w:tc>
        <w:tc>
          <w:tcPr>
            <w:tcW w:w="2268" w:type="dxa"/>
            <w:tcBorders>
              <w:right w:val="single" w:sz="4" w:space="0" w:color="auto"/>
            </w:tcBorders>
            <w:shd w:val="clear" w:color="auto" w:fill="D9D9D9"/>
            <w:hideMark/>
          </w:tcPr>
          <w:p w14:paraId="7E382925" w14:textId="77777777" w:rsidR="002A4DDF" w:rsidRPr="00937C8B" w:rsidRDefault="002A4DDF" w:rsidP="009110ED">
            <w:pPr>
              <w:rPr>
                <w:rFonts w:ascii="Arial" w:hAnsi="Arial" w:cs="Arial"/>
                <w:sz w:val="12"/>
                <w:szCs w:val="12"/>
              </w:rPr>
            </w:pPr>
          </w:p>
        </w:tc>
      </w:tr>
      <w:tr w:rsidR="002A4DDF" w:rsidRPr="00937C8B" w14:paraId="71FD9246" w14:textId="77777777" w:rsidTr="00935676">
        <w:trPr>
          <w:cantSplit/>
        </w:trPr>
        <w:tc>
          <w:tcPr>
            <w:tcW w:w="1696" w:type="dxa"/>
            <w:tcBorders>
              <w:left w:val="single" w:sz="4" w:space="0" w:color="auto"/>
            </w:tcBorders>
            <w:shd w:val="clear" w:color="auto" w:fill="auto"/>
          </w:tcPr>
          <w:p w14:paraId="5A2EACAF" w14:textId="77777777" w:rsidR="002A4DDF" w:rsidRPr="00937C8B" w:rsidRDefault="002A4DDF" w:rsidP="009110ED">
            <w:pPr>
              <w:rPr>
                <w:rFonts w:ascii="Arial" w:hAnsi="Arial" w:cs="Arial"/>
                <w:sz w:val="12"/>
                <w:szCs w:val="12"/>
              </w:rPr>
            </w:pPr>
          </w:p>
        </w:tc>
        <w:tc>
          <w:tcPr>
            <w:tcW w:w="1843" w:type="dxa"/>
            <w:shd w:val="clear" w:color="auto" w:fill="auto"/>
          </w:tcPr>
          <w:p w14:paraId="4BA3AA9D" w14:textId="77777777" w:rsidR="002A4DDF" w:rsidRPr="00937C8B" w:rsidRDefault="002A4DDF" w:rsidP="009110ED">
            <w:pPr>
              <w:rPr>
                <w:rFonts w:ascii="Arial" w:hAnsi="Arial" w:cs="Arial"/>
                <w:sz w:val="12"/>
                <w:szCs w:val="12"/>
              </w:rPr>
            </w:pPr>
          </w:p>
        </w:tc>
        <w:tc>
          <w:tcPr>
            <w:tcW w:w="2268" w:type="dxa"/>
            <w:shd w:val="clear" w:color="auto" w:fill="F2F2F2"/>
            <w:hideMark/>
          </w:tcPr>
          <w:p w14:paraId="60D5183C" w14:textId="77777777" w:rsidR="002A4DDF" w:rsidRPr="00937C8B" w:rsidRDefault="002A4DDF" w:rsidP="009110ED">
            <w:pPr>
              <w:rPr>
                <w:rFonts w:ascii="Arial" w:hAnsi="Arial" w:cs="Arial"/>
                <w:sz w:val="12"/>
                <w:szCs w:val="12"/>
              </w:rPr>
            </w:pPr>
            <w:r>
              <w:rPr>
                <w:rFonts w:ascii="Arial" w:hAnsi="Arial"/>
                <w:sz w:val="12"/>
                <w:szCs w:val="12"/>
              </w:rPr>
              <w:t>Coín</w:t>
            </w:r>
          </w:p>
        </w:tc>
        <w:tc>
          <w:tcPr>
            <w:tcW w:w="2268" w:type="dxa"/>
            <w:tcBorders>
              <w:right w:val="single" w:sz="4" w:space="0" w:color="auto"/>
            </w:tcBorders>
            <w:shd w:val="clear" w:color="auto" w:fill="D9D9D9"/>
            <w:hideMark/>
          </w:tcPr>
          <w:p w14:paraId="6A0F8F69" w14:textId="77777777" w:rsidR="002A4DDF" w:rsidRPr="00937C8B" w:rsidRDefault="002A4DDF" w:rsidP="009110ED">
            <w:pPr>
              <w:rPr>
                <w:rFonts w:ascii="Arial" w:hAnsi="Arial" w:cs="Arial"/>
                <w:sz w:val="12"/>
                <w:szCs w:val="12"/>
              </w:rPr>
            </w:pPr>
          </w:p>
        </w:tc>
      </w:tr>
      <w:tr w:rsidR="002A4DDF" w:rsidRPr="00937C8B" w14:paraId="4515DF2E" w14:textId="77777777" w:rsidTr="00935676">
        <w:trPr>
          <w:cantSplit/>
        </w:trPr>
        <w:tc>
          <w:tcPr>
            <w:tcW w:w="1696" w:type="dxa"/>
            <w:tcBorders>
              <w:left w:val="single" w:sz="4" w:space="0" w:color="auto"/>
            </w:tcBorders>
            <w:shd w:val="clear" w:color="auto" w:fill="auto"/>
          </w:tcPr>
          <w:p w14:paraId="27E16D2F" w14:textId="77777777" w:rsidR="002A4DDF" w:rsidRPr="00937C8B" w:rsidRDefault="002A4DDF" w:rsidP="009110ED">
            <w:pPr>
              <w:rPr>
                <w:rFonts w:ascii="Arial" w:hAnsi="Arial" w:cs="Arial"/>
                <w:sz w:val="12"/>
                <w:szCs w:val="12"/>
              </w:rPr>
            </w:pPr>
          </w:p>
        </w:tc>
        <w:tc>
          <w:tcPr>
            <w:tcW w:w="1843" w:type="dxa"/>
            <w:shd w:val="clear" w:color="auto" w:fill="auto"/>
          </w:tcPr>
          <w:p w14:paraId="0E267154" w14:textId="77777777" w:rsidR="002A4DDF" w:rsidRPr="00937C8B" w:rsidRDefault="002A4DDF" w:rsidP="009110ED">
            <w:pPr>
              <w:rPr>
                <w:rFonts w:ascii="Arial" w:hAnsi="Arial" w:cs="Arial"/>
                <w:sz w:val="12"/>
                <w:szCs w:val="12"/>
              </w:rPr>
            </w:pPr>
          </w:p>
        </w:tc>
        <w:tc>
          <w:tcPr>
            <w:tcW w:w="2268" w:type="dxa"/>
            <w:shd w:val="clear" w:color="auto" w:fill="F2F2F2"/>
            <w:hideMark/>
          </w:tcPr>
          <w:p w14:paraId="73D66167" w14:textId="77777777" w:rsidR="002A4DDF" w:rsidRPr="00937C8B" w:rsidRDefault="002A4DDF" w:rsidP="009110ED">
            <w:pPr>
              <w:rPr>
                <w:rFonts w:ascii="Arial" w:hAnsi="Arial" w:cs="Arial"/>
                <w:sz w:val="12"/>
                <w:szCs w:val="12"/>
              </w:rPr>
            </w:pPr>
            <w:r>
              <w:rPr>
                <w:rFonts w:ascii="Arial" w:hAnsi="Arial"/>
                <w:sz w:val="12"/>
                <w:szCs w:val="12"/>
              </w:rPr>
              <w:t>Colmenar</w:t>
            </w:r>
          </w:p>
        </w:tc>
        <w:tc>
          <w:tcPr>
            <w:tcW w:w="2268" w:type="dxa"/>
            <w:tcBorders>
              <w:right w:val="single" w:sz="4" w:space="0" w:color="auto"/>
            </w:tcBorders>
            <w:shd w:val="clear" w:color="auto" w:fill="D9D9D9"/>
            <w:hideMark/>
          </w:tcPr>
          <w:p w14:paraId="0263ADF9" w14:textId="77777777" w:rsidR="002A4DDF" w:rsidRPr="00937C8B" w:rsidRDefault="002A4DDF" w:rsidP="009110ED">
            <w:pPr>
              <w:rPr>
                <w:rFonts w:ascii="Arial" w:hAnsi="Arial" w:cs="Arial"/>
                <w:sz w:val="12"/>
                <w:szCs w:val="12"/>
              </w:rPr>
            </w:pPr>
          </w:p>
        </w:tc>
      </w:tr>
      <w:tr w:rsidR="002A4DDF" w:rsidRPr="00937C8B" w14:paraId="0757DBA5" w14:textId="77777777" w:rsidTr="00935676">
        <w:trPr>
          <w:cantSplit/>
        </w:trPr>
        <w:tc>
          <w:tcPr>
            <w:tcW w:w="1696" w:type="dxa"/>
            <w:tcBorders>
              <w:left w:val="single" w:sz="4" w:space="0" w:color="auto"/>
            </w:tcBorders>
            <w:shd w:val="clear" w:color="auto" w:fill="auto"/>
          </w:tcPr>
          <w:p w14:paraId="731FCA9E" w14:textId="77777777" w:rsidR="002A4DDF" w:rsidRPr="00937C8B" w:rsidRDefault="002A4DDF" w:rsidP="009110ED">
            <w:pPr>
              <w:rPr>
                <w:rFonts w:ascii="Arial" w:hAnsi="Arial" w:cs="Arial"/>
                <w:sz w:val="12"/>
                <w:szCs w:val="12"/>
              </w:rPr>
            </w:pPr>
          </w:p>
        </w:tc>
        <w:tc>
          <w:tcPr>
            <w:tcW w:w="1843" w:type="dxa"/>
            <w:shd w:val="clear" w:color="auto" w:fill="auto"/>
          </w:tcPr>
          <w:p w14:paraId="25ACF740" w14:textId="77777777" w:rsidR="002A4DDF" w:rsidRPr="00937C8B" w:rsidRDefault="002A4DDF" w:rsidP="009110ED">
            <w:pPr>
              <w:rPr>
                <w:rFonts w:ascii="Arial" w:hAnsi="Arial" w:cs="Arial"/>
                <w:sz w:val="12"/>
                <w:szCs w:val="12"/>
              </w:rPr>
            </w:pPr>
          </w:p>
        </w:tc>
        <w:tc>
          <w:tcPr>
            <w:tcW w:w="2268" w:type="dxa"/>
            <w:shd w:val="clear" w:color="auto" w:fill="F2F2F2"/>
            <w:hideMark/>
          </w:tcPr>
          <w:p w14:paraId="779622CB" w14:textId="77777777" w:rsidR="002A4DDF" w:rsidRPr="00937C8B" w:rsidRDefault="002A4DDF" w:rsidP="009110ED">
            <w:pPr>
              <w:rPr>
                <w:rFonts w:ascii="Arial" w:hAnsi="Arial" w:cs="Arial"/>
                <w:sz w:val="12"/>
                <w:szCs w:val="12"/>
              </w:rPr>
            </w:pPr>
            <w:r>
              <w:rPr>
                <w:rFonts w:ascii="Arial" w:hAnsi="Arial"/>
                <w:sz w:val="12"/>
                <w:szCs w:val="12"/>
              </w:rPr>
              <w:t>Comares</w:t>
            </w:r>
          </w:p>
        </w:tc>
        <w:tc>
          <w:tcPr>
            <w:tcW w:w="2268" w:type="dxa"/>
            <w:tcBorders>
              <w:right w:val="single" w:sz="4" w:space="0" w:color="auto"/>
            </w:tcBorders>
            <w:shd w:val="clear" w:color="auto" w:fill="D9D9D9"/>
            <w:hideMark/>
          </w:tcPr>
          <w:p w14:paraId="55C1D010" w14:textId="77777777" w:rsidR="002A4DDF" w:rsidRPr="00937C8B" w:rsidRDefault="002A4DDF" w:rsidP="009110ED">
            <w:pPr>
              <w:rPr>
                <w:rFonts w:ascii="Arial" w:hAnsi="Arial" w:cs="Arial"/>
                <w:sz w:val="12"/>
                <w:szCs w:val="12"/>
              </w:rPr>
            </w:pPr>
          </w:p>
        </w:tc>
      </w:tr>
      <w:tr w:rsidR="002A4DDF" w:rsidRPr="00937C8B" w14:paraId="7091A7A3" w14:textId="77777777" w:rsidTr="00935676">
        <w:trPr>
          <w:cantSplit/>
        </w:trPr>
        <w:tc>
          <w:tcPr>
            <w:tcW w:w="1696" w:type="dxa"/>
            <w:tcBorders>
              <w:left w:val="single" w:sz="4" w:space="0" w:color="auto"/>
            </w:tcBorders>
            <w:shd w:val="clear" w:color="auto" w:fill="auto"/>
          </w:tcPr>
          <w:p w14:paraId="5091F6A6" w14:textId="77777777" w:rsidR="002A4DDF" w:rsidRPr="00937C8B" w:rsidRDefault="002A4DDF" w:rsidP="009110ED">
            <w:pPr>
              <w:rPr>
                <w:rFonts w:ascii="Arial" w:hAnsi="Arial" w:cs="Arial"/>
                <w:sz w:val="12"/>
                <w:szCs w:val="12"/>
              </w:rPr>
            </w:pPr>
          </w:p>
        </w:tc>
        <w:tc>
          <w:tcPr>
            <w:tcW w:w="1843" w:type="dxa"/>
            <w:shd w:val="clear" w:color="auto" w:fill="auto"/>
          </w:tcPr>
          <w:p w14:paraId="0AB01081" w14:textId="77777777" w:rsidR="002A4DDF" w:rsidRPr="00937C8B" w:rsidRDefault="002A4DDF" w:rsidP="009110ED">
            <w:pPr>
              <w:rPr>
                <w:rFonts w:ascii="Arial" w:hAnsi="Arial" w:cs="Arial"/>
                <w:sz w:val="12"/>
                <w:szCs w:val="12"/>
              </w:rPr>
            </w:pPr>
          </w:p>
        </w:tc>
        <w:tc>
          <w:tcPr>
            <w:tcW w:w="2268" w:type="dxa"/>
            <w:shd w:val="clear" w:color="auto" w:fill="F2F2F2"/>
            <w:hideMark/>
          </w:tcPr>
          <w:p w14:paraId="1F75E24F" w14:textId="77777777" w:rsidR="002A4DDF" w:rsidRPr="00937C8B" w:rsidRDefault="002A4DDF" w:rsidP="009110ED">
            <w:pPr>
              <w:rPr>
                <w:rFonts w:ascii="Arial" w:hAnsi="Arial" w:cs="Arial"/>
                <w:sz w:val="12"/>
                <w:szCs w:val="12"/>
              </w:rPr>
            </w:pPr>
            <w:r>
              <w:rPr>
                <w:rFonts w:ascii="Arial" w:hAnsi="Arial"/>
                <w:sz w:val="12"/>
                <w:szCs w:val="12"/>
              </w:rPr>
              <w:t>El Borge</w:t>
            </w:r>
          </w:p>
        </w:tc>
        <w:tc>
          <w:tcPr>
            <w:tcW w:w="2268" w:type="dxa"/>
            <w:tcBorders>
              <w:right w:val="single" w:sz="4" w:space="0" w:color="auto"/>
            </w:tcBorders>
            <w:shd w:val="clear" w:color="auto" w:fill="D9D9D9"/>
            <w:hideMark/>
          </w:tcPr>
          <w:p w14:paraId="0877A215" w14:textId="77777777" w:rsidR="002A4DDF" w:rsidRPr="00937C8B" w:rsidRDefault="002A4DDF" w:rsidP="009110ED">
            <w:pPr>
              <w:rPr>
                <w:rFonts w:ascii="Arial" w:hAnsi="Arial" w:cs="Arial"/>
                <w:sz w:val="12"/>
                <w:szCs w:val="12"/>
              </w:rPr>
            </w:pPr>
          </w:p>
        </w:tc>
      </w:tr>
      <w:tr w:rsidR="002A4DDF" w:rsidRPr="00937C8B" w14:paraId="694EEC84" w14:textId="77777777" w:rsidTr="00935676">
        <w:trPr>
          <w:cantSplit/>
        </w:trPr>
        <w:tc>
          <w:tcPr>
            <w:tcW w:w="1696" w:type="dxa"/>
            <w:tcBorders>
              <w:left w:val="single" w:sz="4" w:space="0" w:color="auto"/>
            </w:tcBorders>
            <w:shd w:val="clear" w:color="auto" w:fill="auto"/>
          </w:tcPr>
          <w:p w14:paraId="1ED91845" w14:textId="77777777" w:rsidR="002A4DDF" w:rsidRPr="00937C8B" w:rsidRDefault="002A4DDF" w:rsidP="009110ED">
            <w:pPr>
              <w:rPr>
                <w:rFonts w:ascii="Arial" w:hAnsi="Arial" w:cs="Arial"/>
                <w:sz w:val="12"/>
                <w:szCs w:val="12"/>
              </w:rPr>
            </w:pPr>
          </w:p>
        </w:tc>
        <w:tc>
          <w:tcPr>
            <w:tcW w:w="1843" w:type="dxa"/>
            <w:shd w:val="clear" w:color="auto" w:fill="auto"/>
          </w:tcPr>
          <w:p w14:paraId="0984D2E1" w14:textId="77777777" w:rsidR="002A4DDF" w:rsidRPr="00937C8B" w:rsidRDefault="002A4DDF" w:rsidP="009110ED">
            <w:pPr>
              <w:rPr>
                <w:rFonts w:ascii="Arial" w:hAnsi="Arial" w:cs="Arial"/>
                <w:sz w:val="12"/>
                <w:szCs w:val="12"/>
              </w:rPr>
            </w:pPr>
          </w:p>
        </w:tc>
        <w:tc>
          <w:tcPr>
            <w:tcW w:w="2268" w:type="dxa"/>
            <w:shd w:val="clear" w:color="auto" w:fill="F2F2F2"/>
            <w:hideMark/>
          </w:tcPr>
          <w:p w14:paraId="479AC3FA" w14:textId="77777777" w:rsidR="002A4DDF" w:rsidRPr="00937C8B" w:rsidRDefault="002A4DDF" w:rsidP="009110ED">
            <w:pPr>
              <w:rPr>
                <w:rFonts w:ascii="Arial" w:hAnsi="Arial" w:cs="Arial"/>
                <w:sz w:val="12"/>
                <w:szCs w:val="12"/>
              </w:rPr>
            </w:pPr>
            <w:r>
              <w:rPr>
                <w:rFonts w:ascii="Arial" w:hAnsi="Arial"/>
                <w:sz w:val="12"/>
                <w:szCs w:val="12"/>
              </w:rPr>
              <w:t>Genalguacil</w:t>
            </w:r>
          </w:p>
        </w:tc>
        <w:tc>
          <w:tcPr>
            <w:tcW w:w="2268" w:type="dxa"/>
            <w:tcBorders>
              <w:right w:val="single" w:sz="4" w:space="0" w:color="auto"/>
            </w:tcBorders>
            <w:shd w:val="clear" w:color="auto" w:fill="D9D9D9"/>
            <w:hideMark/>
          </w:tcPr>
          <w:p w14:paraId="175D172E" w14:textId="77777777" w:rsidR="002A4DDF" w:rsidRPr="00937C8B" w:rsidRDefault="002A4DDF" w:rsidP="009110ED">
            <w:pPr>
              <w:rPr>
                <w:rFonts w:ascii="Arial" w:hAnsi="Arial" w:cs="Arial"/>
                <w:sz w:val="12"/>
                <w:szCs w:val="12"/>
              </w:rPr>
            </w:pPr>
          </w:p>
        </w:tc>
      </w:tr>
      <w:tr w:rsidR="002A4DDF" w:rsidRPr="00937C8B" w14:paraId="251D15C5" w14:textId="77777777" w:rsidTr="00935676">
        <w:trPr>
          <w:cantSplit/>
        </w:trPr>
        <w:tc>
          <w:tcPr>
            <w:tcW w:w="1696" w:type="dxa"/>
            <w:tcBorders>
              <w:left w:val="single" w:sz="4" w:space="0" w:color="auto"/>
            </w:tcBorders>
            <w:shd w:val="clear" w:color="auto" w:fill="auto"/>
          </w:tcPr>
          <w:p w14:paraId="13D4759F" w14:textId="77777777" w:rsidR="002A4DDF" w:rsidRPr="00937C8B" w:rsidRDefault="002A4DDF" w:rsidP="009110ED">
            <w:pPr>
              <w:rPr>
                <w:rFonts w:ascii="Arial" w:hAnsi="Arial" w:cs="Arial"/>
                <w:sz w:val="12"/>
                <w:szCs w:val="12"/>
              </w:rPr>
            </w:pPr>
          </w:p>
        </w:tc>
        <w:tc>
          <w:tcPr>
            <w:tcW w:w="1843" w:type="dxa"/>
            <w:shd w:val="clear" w:color="auto" w:fill="auto"/>
          </w:tcPr>
          <w:p w14:paraId="58B11D4B" w14:textId="77777777" w:rsidR="002A4DDF" w:rsidRPr="00937C8B" w:rsidRDefault="002A4DDF" w:rsidP="009110ED">
            <w:pPr>
              <w:rPr>
                <w:rFonts w:ascii="Arial" w:hAnsi="Arial" w:cs="Arial"/>
                <w:sz w:val="12"/>
                <w:szCs w:val="12"/>
              </w:rPr>
            </w:pPr>
          </w:p>
        </w:tc>
        <w:tc>
          <w:tcPr>
            <w:tcW w:w="2268" w:type="dxa"/>
            <w:shd w:val="clear" w:color="auto" w:fill="F2F2F2"/>
            <w:hideMark/>
          </w:tcPr>
          <w:p w14:paraId="1DBD997E" w14:textId="77777777" w:rsidR="002A4DDF" w:rsidRPr="00937C8B" w:rsidRDefault="002A4DDF" w:rsidP="009110ED">
            <w:pPr>
              <w:rPr>
                <w:rFonts w:ascii="Arial" w:hAnsi="Arial" w:cs="Arial"/>
                <w:sz w:val="12"/>
                <w:szCs w:val="12"/>
              </w:rPr>
            </w:pPr>
            <w:r>
              <w:rPr>
                <w:rFonts w:ascii="Arial" w:hAnsi="Arial"/>
                <w:sz w:val="12"/>
                <w:szCs w:val="12"/>
              </w:rPr>
              <w:t>Guaro</w:t>
            </w:r>
          </w:p>
        </w:tc>
        <w:tc>
          <w:tcPr>
            <w:tcW w:w="2268" w:type="dxa"/>
            <w:tcBorders>
              <w:right w:val="single" w:sz="4" w:space="0" w:color="auto"/>
            </w:tcBorders>
            <w:shd w:val="clear" w:color="auto" w:fill="D9D9D9"/>
            <w:hideMark/>
          </w:tcPr>
          <w:p w14:paraId="0DB6490C" w14:textId="77777777" w:rsidR="002A4DDF" w:rsidRPr="00937C8B" w:rsidRDefault="002A4DDF" w:rsidP="009110ED">
            <w:pPr>
              <w:rPr>
                <w:rFonts w:ascii="Arial" w:hAnsi="Arial" w:cs="Arial"/>
                <w:sz w:val="12"/>
                <w:szCs w:val="12"/>
              </w:rPr>
            </w:pPr>
          </w:p>
        </w:tc>
      </w:tr>
      <w:tr w:rsidR="002A4DDF" w:rsidRPr="00937C8B" w14:paraId="1281A7FB" w14:textId="77777777" w:rsidTr="00935676">
        <w:trPr>
          <w:cantSplit/>
        </w:trPr>
        <w:tc>
          <w:tcPr>
            <w:tcW w:w="1696" w:type="dxa"/>
            <w:tcBorders>
              <w:left w:val="single" w:sz="4" w:space="0" w:color="auto"/>
            </w:tcBorders>
            <w:shd w:val="clear" w:color="auto" w:fill="auto"/>
          </w:tcPr>
          <w:p w14:paraId="67D8FA2F" w14:textId="77777777" w:rsidR="002A4DDF" w:rsidRPr="00937C8B" w:rsidRDefault="002A4DDF" w:rsidP="009110ED">
            <w:pPr>
              <w:rPr>
                <w:rFonts w:ascii="Arial" w:hAnsi="Arial" w:cs="Arial"/>
                <w:sz w:val="12"/>
                <w:szCs w:val="12"/>
              </w:rPr>
            </w:pPr>
          </w:p>
        </w:tc>
        <w:tc>
          <w:tcPr>
            <w:tcW w:w="1843" w:type="dxa"/>
            <w:shd w:val="clear" w:color="auto" w:fill="auto"/>
          </w:tcPr>
          <w:p w14:paraId="0A02D231" w14:textId="77777777" w:rsidR="002A4DDF" w:rsidRPr="00937C8B" w:rsidRDefault="002A4DDF" w:rsidP="009110ED">
            <w:pPr>
              <w:rPr>
                <w:rFonts w:ascii="Arial" w:hAnsi="Arial" w:cs="Arial"/>
                <w:sz w:val="12"/>
                <w:szCs w:val="12"/>
              </w:rPr>
            </w:pPr>
          </w:p>
        </w:tc>
        <w:tc>
          <w:tcPr>
            <w:tcW w:w="2268" w:type="dxa"/>
            <w:shd w:val="clear" w:color="auto" w:fill="F2F2F2"/>
            <w:hideMark/>
          </w:tcPr>
          <w:p w14:paraId="2946519B" w14:textId="77777777" w:rsidR="002A4DDF" w:rsidRPr="00937C8B" w:rsidRDefault="002A4DDF" w:rsidP="009110ED">
            <w:pPr>
              <w:rPr>
                <w:rFonts w:ascii="Arial" w:hAnsi="Arial" w:cs="Arial"/>
                <w:sz w:val="12"/>
                <w:szCs w:val="12"/>
              </w:rPr>
            </w:pPr>
            <w:r>
              <w:rPr>
                <w:rFonts w:ascii="Arial" w:hAnsi="Arial"/>
                <w:sz w:val="12"/>
                <w:szCs w:val="12"/>
              </w:rPr>
              <w:t>Istán</w:t>
            </w:r>
          </w:p>
        </w:tc>
        <w:tc>
          <w:tcPr>
            <w:tcW w:w="2268" w:type="dxa"/>
            <w:tcBorders>
              <w:right w:val="single" w:sz="4" w:space="0" w:color="auto"/>
            </w:tcBorders>
            <w:shd w:val="clear" w:color="auto" w:fill="D9D9D9"/>
            <w:hideMark/>
          </w:tcPr>
          <w:p w14:paraId="09B57CCE" w14:textId="77777777" w:rsidR="002A4DDF" w:rsidRPr="00937C8B" w:rsidRDefault="002A4DDF" w:rsidP="009110ED">
            <w:pPr>
              <w:rPr>
                <w:rFonts w:ascii="Arial" w:hAnsi="Arial" w:cs="Arial"/>
                <w:sz w:val="12"/>
                <w:szCs w:val="12"/>
              </w:rPr>
            </w:pPr>
          </w:p>
        </w:tc>
      </w:tr>
      <w:tr w:rsidR="002A4DDF" w:rsidRPr="00937C8B" w14:paraId="1585FC00" w14:textId="77777777" w:rsidTr="00935676">
        <w:trPr>
          <w:cantSplit/>
        </w:trPr>
        <w:tc>
          <w:tcPr>
            <w:tcW w:w="1696" w:type="dxa"/>
            <w:tcBorders>
              <w:left w:val="single" w:sz="4" w:space="0" w:color="auto"/>
            </w:tcBorders>
            <w:shd w:val="clear" w:color="auto" w:fill="auto"/>
          </w:tcPr>
          <w:p w14:paraId="1316040E" w14:textId="77777777" w:rsidR="002A4DDF" w:rsidRPr="00937C8B" w:rsidRDefault="002A4DDF" w:rsidP="009110ED">
            <w:pPr>
              <w:rPr>
                <w:rFonts w:ascii="Arial" w:hAnsi="Arial" w:cs="Arial"/>
                <w:sz w:val="12"/>
                <w:szCs w:val="12"/>
              </w:rPr>
            </w:pPr>
          </w:p>
        </w:tc>
        <w:tc>
          <w:tcPr>
            <w:tcW w:w="1843" w:type="dxa"/>
            <w:shd w:val="clear" w:color="auto" w:fill="auto"/>
          </w:tcPr>
          <w:p w14:paraId="4EA64595" w14:textId="77777777" w:rsidR="002A4DDF" w:rsidRPr="00937C8B" w:rsidRDefault="002A4DDF" w:rsidP="009110ED">
            <w:pPr>
              <w:rPr>
                <w:rFonts w:ascii="Arial" w:hAnsi="Arial" w:cs="Arial"/>
                <w:sz w:val="12"/>
                <w:szCs w:val="12"/>
              </w:rPr>
            </w:pPr>
          </w:p>
        </w:tc>
        <w:tc>
          <w:tcPr>
            <w:tcW w:w="2268" w:type="dxa"/>
            <w:shd w:val="clear" w:color="auto" w:fill="F2F2F2"/>
            <w:hideMark/>
          </w:tcPr>
          <w:p w14:paraId="5BC83D51" w14:textId="77777777" w:rsidR="002A4DDF" w:rsidRPr="00937C8B" w:rsidRDefault="002A4DDF" w:rsidP="009110ED">
            <w:pPr>
              <w:rPr>
                <w:rFonts w:ascii="Arial" w:hAnsi="Arial" w:cs="Arial"/>
                <w:sz w:val="12"/>
                <w:szCs w:val="12"/>
              </w:rPr>
            </w:pPr>
            <w:r>
              <w:rPr>
                <w:rFonts w:ascii="Arial" w:hAnsi="Arial"/>
                <w:sz w:val="12"/>
                <w:szCs w:val="12"/>
              </w:rPr>
              <w:t>Jubrique</w:t>
            </w:r>
          </w:p>
        </w:tc>
        <w:tc>
          <w:tcPr>
            <w:tcW w:w="2268" w:type="dxa"/>
            <w:tcBorders>
              <w:right w:val="single" w:sz="4" w:space="0" w:color="auto"/>
            </w:tcBorders>
            <w:shd w:val="clear" w:color="auto" w:fill="D9D9D9"/>
            <w:hideMark/>
          </w:tcPr>
          <w:p w14:paraId="2BE5449D" w14:textId="77777777" w:rsidR="002A4DDF" w:rsidRPr="00937C8B" w:rsidRDefault="002A4DDF" w:rsidP="009110ED">
            <w:pPr>
              <w:rPr>
                <w:rFonts w:ascii="Arial" w:hAnsi="Arial" w:cs="Arial"/>
                <w:sz w:val="12"/>
                <w:szCs w:val="12"/>
              </w:rPr>
            </w:pPr>
          </w:p>
        </w:tc>
      </w:tr>
      <w:tr w:rsidR="002A4DDF" w:rsidRPr="00937C8B" w14:paraId="6D730384" w14:textId="77777777" w:rsidTr="00935676">
        <w:trPr>
          <w:cantSplit/>
        </w:trPr>
        <w:tc>
          <w:tcPr>
            <w:tcW w:w="1696" w:type="dxa"/>
            <w:tcBorders>
              <w:left w:val="single" w:sz="4" w:space="0" w:color="auto"/>
            </w:tcBorders>
            <w:shd w:val="clear" w:color="auto" w:fill="auto"/>
          </w:tcPr>
          <w:p w14:paraId="502151FB" w14:textId="77777777" w:rsidR="002A4DDF" w:rsidRPr="00937C8B" w:rsidRDefault="002A4DDF" w:rsidP="009110ED">
            <w:pPr>
              <w:rPr>
                <w:rFonts w:ascii="Arial" w:hAnsi="Arial" w:cs="Arial"/>
                <w:sz w:val="12"/>
                <w:szCs w:val="12"/>
              </w:rPr>
            </w:pPr>
          </w:p>
        </w:tc>
        <w:tc>
          <w:tcPr>
            <w:tcW w:w="1843" w:type="dxa"/>
            <w:shd w:val="clear" w:color="auto" w:fill="auto"/>
          </w:tcPr>
          <w:p w14:paraId="2952FD0D" w14:textId="77777777" w:rsidR="002A4DDF" w:rsidRPr="00937C8B" w:rsidRDefault="002A4DDF" w:rsidP="009110ED">
            <w:pPr>
              <w:rPr>
                <w:rFonts w:ascii="Arial" w:hAnsi="Arial" w:cs="Arial"/>
                <w:sz w:val="12"/>
                <w:szCs w:val="12"/>
              </w:rPr>
            </w:pPr>
          </w:p>
        </w:tc>
        <w:tc>
          <w:tcPr>
            <w:tcW w:w="2268" w:type="dxa"/>
            <w:shd w:val="clear" w:color="auto" w:fill="F2F2F2"/>
            <w:hideMark/>
          </w:tcPr>
          <w:p w14:paraId="6FC2A0A7" w14:textId="77777777" w:rsidR="002A4DDF" w:rsidRPr="00937C8B" w:rsidRDefault="002A4DDF" w:rsidP="009110ED">
            <w:pPr>
              <w:rPr>
                <w:rFonts w:ascii="Arial" w:hAnsi="Arial" w:cs="Arial"/>
                <w:sz w:val="12"/>
                <w:szCs w:val="12"/>
              </w:rPr>
            </w:pPr>
            <w:r>
              <w:rPr>
                <w:rFonts w:ascii="Arial" w:hAnsi="Arial"/>
                <w:sz w:val="12"/>
                <w:szCs w:val="12"/>
              </w:rPr>
              <w:t>Macharaviaya</w:t>
            </w:r>
          </w:p>
        </w:tc>
        <w:tc>
          <w:tcPr>
            <w:tcW w:w="2268" w:type="dxa"/>
            <w:tcBorders>
              <w:right w:val="single" w:sz="4" w:space="0" w:color="auto"/>
            </w:tcBorders>
            <w:shd w:val="clear" w:color="auto" w:fill="D9D9D9"/>
            <w:hideMark/>
          </w:tcPr>
          <w:p w14:paraId="189A2B12" w14:textId="77777777" w:rsidR="002A4DDF" w:rsidRPr="00937C8B" w:rsidRDefault="002A4DDF" w:rsidP="009110ED">
            <w:pPr>
              <w:rPr>
                <w:rFonts w:ascii="Arial" w:hAnsi="Arial" w:cs="Arial"/>
                <w:sz w:val="12"/>
                <w:szCs w:val="12"/>
              </w:rPr>
            </w:pPr>
          </w:p>
        </w:tc>
      </w:tr>
      <w:tr w:rsidR="002A4DDF" w:rsidRPr="00937C8B" w14:paraId="622059E0" w14:textId="77777777" w:rsidTr="00935676">
        <w:trPr>
          <w:cantSplit/>
        </w:trPr>
        <w:tc>
          <w:tcPr>
            <w:tcW w:w="1696" w:type="dxa"/>
            <w:tcBorders>
              <w:left w:val="single" w:sz="4" w:space="0" w:color="auto"/>
            </w:tcBorders>
            <w:shd w:val="clear" w:color="auto" w:fill="auto"/>
          </w:tcPr>
          <w:p w14:paraId="705ABEB5" w14:textId="77777777" w:rsidR="002A4DDF" w:rsidRPr="00937C8B" w:rsidRDefault="002A4DDF" w:rsidP="009110ED">
            <w:pPr>
              <w:rPr>
                <w:rFonts w:ascii="Arial" w:hAnsi="Arial" w:cs="Arial"/>
                <w:sz w:val="12"/>
                <w:szCs w:val="12"/>
              </w:rPr>
            </w:pPr>
          </w:p>
        </w:tc>
        <w:tc>
          <w:tcPr>
            <w:tcW w:w="1843" w:type="dxa"/>
            <w:shd w:val="clear" w:color="auto" w:fill="auto"/>
          </w:tcPr>
          <w:p w14:paraId="64532B59" w14:textId="77777777" w:rsidR="002A4DDF" w:rsidRPr="00937C8B" w:rsidRDefault="002A4DDF" w:rsidP="009110ED">
            <w:pPr>
              <w:rPr>
                <w:rFonts w:ascii="Arial" w:hAnsi="Arial" w:cs="Arial"/>
                <w:sz w:val="12"/>
                <w:szCs w:val="12"/>
              </w:rPr>
            </w:pPr>
          </w:p>
        </w:tc>
        <w:tc>
          <w:tcPr>
            <w:tcW w:w="2268" w:type="dxa"/>
            <w:shd w:val="clear" w:color="auto" w:fill="F2F2F2"/>
            <w:hideMark/>
          </w:tcPr>
          <w:p w14:paraId="65B2F070" w14:textId="77777777" w:rsidR="002A4DDF" w:rsidRPr="00937C8B" w:rsidRDefault="002A4DDF" w:rsidP="009110ED">
            <w:pPr>
              <w:rPr>
                <w:rFonts w:ascii="Arial" w:hAnsi="Arial" w:cs="Arial"/>
                <w:sz w:val="12"/>
                <w:szCs w:val="12"/>
              </w:rPr>
            </w:pPr>
            <w:r>
              <w:rPr>
                <w:rFonts w:ascii="Arial" w:hAnsi="Arial"/>
                <w:sz w:val="12"/>
                <w:szCs w:val="12"/>
              </w:rPr>
              <w:t>Malaga</w:t>
            </w:r>
          </w:p>
        </w:tc>
        <w:tc>
          <w:tcPr>
            <w:tcW w:w="2268" w:type="dxa"/>
            <w:tcBorders>
              <w:right w:val="single" w:sz="4" w:space="0" w:color="auto"/>
            </w:tcBorders>
            <w:shd w:val="clear" w:color="auto" w:fill="D9D9D9"/>
            <w:hideMark/>
          </w:tcPr>
          <w:p w14:paraId="1CBEE33D" w14:textId="77777777" w:rsidR="002A4DDF" w:rsidRPr="00937C8B" w:rsidRDefault="002A4DDF" w:rsidP="009110ED">
            <w:pPr>
              <w:rPr>
                <w:rFonts w:ascii="Arial" w:hAnsi="Arial" w:cs="Arial"/>
                <w:sz w:val="12"/>
                <w:szCs w:val="12"/>
              </w:rPr>
            </w:pPr>
          </w:p>
        </w:tc>
      </w:tr>
      <w:tr w:rsidR="002A4DDF" w:rsidRPr="00937C8B" w14:paraId="30B9A9E0" w14:textId="77777777" w:rsidTr="00935676">
        <w:trPr>
          <w:cantSplit/>
        </w:trPr>
        <w:tc>
          <w:tcPr>
            <w:tcW w:w="1696" w:type="dxa"/>
            <w:tcBorders>
              <w:left w:val="single" w:sz="4" w:space="0" w:color="auto"/>
            </w:tcBorders>
            <w:shd w:val="clear" w:color="auto" w:fill="auto"/>
          </w:tcPr>
          <w:p w14:paraId="0E24C17E" w14:textId="77777777" w:rsidR="002A4DDF" w:rsidRPr="00937C8B" w:rsidRDefault="002A4DDF" w:rsidP="009110ED">
            <w:pPr>
              <w:rPr>
                <w:rFonts w:ascii="Arial" w:hAnsi="Arial" w:cs="Arial"/>
                <w:sz w:val="12"/>
                <w:szCs w:val="12"/>
              </w:rPr>
            </w:pPr>
          </w:p>
        </w:tc>
        <w:tc>
          <w:tcPr>
            <w:tcW w:w="1843" w:type="dxa"/>
            <w:shd w:val="clear" w:color="auto" w:fill="auto"/>
          </w:tcPr>
          <w:p w14:paraId="331FAD74" w14:textId="77777777" w:rsidR="002A4DDF" w:rsidRPr="00937C8B" w:rsidRDefault="002A4DDF" w:rsidP="009110ED">
            <w:pPr>
              <w:rPr>
                <w:rFonts w:ascii="Arial" w:hAnsi="Arial" w:cs="Arial"/>
                <w:sz w:val="12"/>
                <w:szCs w:val="12"/>
              </w:rPr>
            </w:pPr>
          </w:p>
        </w:tc>
        <w:tc>
          <w:tcPr>
            <w:tcW w:w="2268" w:type="dxa"/>
            <w:shd w:val="clear" w:color="auto" w:fill="F2F2F2"/>
            <w:hideMark/>
          </w:tcPr>
          <w:p w14:paraId="614E1B32" w14:textId="77777777" w:rsidR="002A4DDF" w:rsidRPr="00937C8B" w:rsidRDefault="002A4DDF" w:rsidP="009110ED">
            <w:pPr>
              <w:rPr>
                <w:rFonts w:ascii="Arial" w:hAnsi="Arial" w:cs="Arial"/>
                <w:sz w:val="12"/>
                <w:szCs w:val="12"/>
              </w:rPr>
            </w:pPr>
            <w:r>
              <w:rPr>
                <w:rFonts w:ascii="Arial" w:hAnsi="Arial"/>
                <w:sz w:val="12"/>
                <w:szCs w:val="12"/>
              </w:rPr>
              <w:t>Monda</w:t>
            </w:r>
          </w:p>
        </w:tc>
        <w:tc>
          <w:tcPr>
            <w:tcW w:w="2268" w:type="dxa"/>
            <w:tcBorders>
              <w:right w:val="single" w:sz="4" w:space="0" w:color="auto"/>
            </w:tcBorders>
            <w:shd w:val="clear" w:color="auto" w:fill="D9D9D9"/>
            <w:hideMark/>
          </w:tcPr>
          <w:p w14:paraId="0C764820" w14:textId="77777777" w:rsidR="002A4DDF" w:rsidRPr="00937C8B" w:rsidRDefault="002A4DDF" w:rsidP="009110ED">
            <w:pPr>
              <w:rPr>
                <w:rFonts w:ascii="Arial" w:hAnsi="Arial" w:cs="Arial"/>
                <w:sz w:val="12"/>
                <w:szCs w:val="12"/>
              </w:rPr>
            </w:pPr>
          </w:p>
        </w:tc>
      </w:tr>
      <w:tr w:rsidR="002A4DDF" w:rsidRPr="00937C8B" w14:paraId="74666B9C" w14:textId="77777777" w:rsidTr="00935676">
        <w:trPr>
          <w:cantSplit/>
        </w:trPr>
        <w:tc>
          <w:tcPr>
            <w:tcW w:w="1696" w:type="dxa"/>
            <w:tcBorders>
              <w:left w:val="single" w:sz="4" w:space="0" w:color="auto"/>
            </w:tcBorders>
            <w:shd w:val="clear" w:color="auto" w:fill="auto"/>
          </w:tcPr>
          <w:p w14:paraId="5DB6BD55" w14:textId="77777777" w:rsidR="002A4DDF" w:rsidRPr="00937C8B" w:rsidRDefault="002A4DDF" w:rsidP="009110ED">
            <w:pPr>
              <w:rPr>
                <w:rFonts w:ascii="Arial" w:hAnsi="Arial" w:cs="Arial"/>
                <w:sz w:val="12"/>
                <w:szCs w:val="12"/>
              </w:rPr>
            </w:pPr>
          </w:p>
        </w:tc>
        <w:tc>
          <w:tcPr>
            <w:tcW w:w="1843" w:type="dxa"/>
            <w:shd w:val="clear" w:color="auto" w:fill="auto"/>
          </w:tcPr>
          <w:p w14:paraId="468A403E" w14:textId="77777777" w:rsidR="002A4DDF" w:rsidRPr="00937C8B" w:rsidRDefault="002A4DDF" w:rsidP="009110ED">
            <w:pPr>
              <w:rPr>
                <w:rFonts w:ascii="Arial" w:hAnsi="Arial" w:cs="Arial"/>
                <w:sz w:val="12"/>
                <w:szCs w:val="12"/>
              </w:rPr>
            </w:pPr>
          </w:p>
        </w:tc>
        <w:tc>
          <w:tcPr>
            <w:tcW w:w="2268" w:type="dxa"/>
            <w:shd w:val="clear" w:color="auto" w:fill="F2F2F2"/>
            <w:hideMark/>
          </w:tcPr>
          <w:p w14:paraId="40CF669C" w14:textId="77777777" w:rsidR="002A4DDF" w:rsidRPr="00937C8B" w:rsidRDefault="002A4DDF" w:rsidP="009110ED">
            <w:pPr>
              <w:rPr>
                <w:rFonts w:ascii="Arial" w:hAnsi="Arial" w:cs="Arial"/>
                <w:sz w:val="12"/>
                <w:szCs w:val="12"/>
              </w:rPr>
            </w:pPr>
            <w:r>
              <w:rPr>
                <w:rFonts w:ascii="Arial" w:hAnsi="Arial"/>
                <w:sz w:val="12"/>
                <w:szCs w:val="12"/>
              </w:rPr>
              <w:t>Ojén</w:t>
            </w:r>
          </w:p>
        </w:tc>
        <w:tc>
          <w:tcPr>
            <w:tcW w:w="2268" w:type="dxa"/>
            <w:tcBorders>
              <w:right w:val="single" w:sz="4" w:space="0" w:color="auto"/>
            </w:tcBorders>
            <w:shd w:val="clear" w:color="auto" w:fill="D9D9D9"/>
            <w:hideMark/>
          </w:tcPr>
          <w:p w14:paraId="6FA05193" w14:textId="77777777" w:rsidR="002A4DDF" w:rsidRPr="00937C8B" w:rsidRDefault="002A4DDF" w:rsidP="009110ED">
            <w:pPr>
              <w:rPr>
                <w:rFonts w:ascii="Arial" w:hAnsi="Arial" w:cs="Arial"/>
                <w:sz w:val="12"/>
                <w:szCs w:val="12"/>
              </w:rPr>
            </w:pPr>
          </w:p>
        </w:tc>
      </w:tr>
      <w:tr w:rsidR="002A4DDF" w:rsidRPr="00937C8B" w14:paraId="142F874D" w14:textId="77777777" w:rsidTr="00935676">
        <w:trPr>
          <w:cantSplit/>
        </w:trPr>
        <w:tc>
          <w:tcPr>
            <w:tcW w:w="1696" w:type="dxa"/>
            <w:tcBorders>
              <w:left w:val="single" w:sz="4" w:space="0" w:color="auto"/>
            </w:tcBorders>
            <w:shd w:val="clear" w:color="auto" w:fill="auto"/>
          </w:tcPr>
          <w:p w14:paraId="183B3F94" w14:textId="77777777" w:rsidR="002A4DDF" w:rsidRPr="00937C8B" w:rsidRDefault="002A4DDF" w:rsidP="009110ED">
            <w:pPr>
              <w:rPr>
                <w:rFonts w:ascii="Arial" w:hAnsi="Arial" w:cs="Arial"/>
                <w:sz w:val="12"/>
                <w:szCs w:val="12"/>
              </w:rPr>
            </w:pPr>
          </w:p>
        </w:tc>
        <w:tc>
          <w:tcPr>
            <w:tcW w:w="1843" w:type="dxa"/>
            <w:shd w:val="clear" w:color="auto" w:fill="auto"/>
          </w:tcPr>
          <w:p w14:paraId="3402C6A4" w14:textId="77777777" w:rsidR="002A4DDF" w:rsidRPr="00937C8B" w:rsidRDefault="002A4DDF" w:rsidP="009110ED">
            <w:pPr>
              <w:rPr>
                <w:rFonts w:ascii="Arial" w:hAnsi="Arial" w:cs="Arial"/>
                <w:sz w:val="12"/>
                <w:szCs w:val="12"/>
              </w:rPr>
            </w:pPr>
          </w:p>
        </w:tc>
        <w:tc>
          <w:tcPr>
            <w:tcW w:w="2268" w:type="dxa"/>
            <w:shd w:val="clear" w:color="auto" w:fill="F2F2F2"/>
            <w:hideMark/>
          </w:tcPr>
          <w:p w14:paraId="698B4C0E" w14:textId="77777777" w:rsidR="002A4DDF" w:rsidRPr="00937C8B" w:rsidRDefault="002A4DDF" w:rsidP="009110ED">
            <w:pPr>
              <w:rPr>
                <w:rFonts w:ascii="Arial" w:hAnsi="Arial" w:cs="Arial"/>
                <w:sz w:val="12"/>
                <w:szCs w:val="12"/>
              </w:rPr>
            </w:pPr>
            <w:r>
              <w:rPr>
                <w:rFonts w:ascii="Arial" w:hAnsi="Arial"/>
                <w:sz w:val="12"/>
                <w:szCs w:val="12"/>
              </w:rPr>
              <w:t>Sayalonga</w:t>
            </w:r>
          </w:p>
        </w:tc>
        <w:tc>
          <w:tcPr>
            <w:tcW w:w="2268" w:type="dxa"/>
            <w:tcBorders>
              <w:right w:val="single" w:sz="4" w:space="0" w:color="auto"/>
            </w:tcBorders>
            <w:shd w:val="clear" w:color="auto" w:fill="D9D9D9"/>
            <w:hideMark/>
          </w:tcPr>
          <w:p w14:paraId="1FF1A40F" w14:textId="77777777" w:rsidR="002A4DDF" w:rsidRPr="00937C8B" w:rsidRDefault="002A4DDF" w:rsidP="009110ED">
            <w:pPr>
              <w:rPr>
                <w:rFonts w:ascii="Arial" w:hAnsi="Arial" w:cs="Arial"/>
                <w:sz w:val="12"/>
                <w:szCs w:val="12"/>
              </w:rPr>
            </w:pPr>
          </w:p>
        </w:tc>
      </w:tr>
      <w:tr w:rsidR="002A4DDF" w:rsidRPr="00937C8B" w14:paraId="1D140CBB" w14:textId="77777777" w:rsidTr="00935676">
        <w:trPr>
          <w:cantSplit/>
        </w:trPr>
        <w:tc>
          <w:tcPr>
            <w:tcW w:w="1696" w:type="dxa"/>
            <w:tcBorders>
              <w:left w:val="single" w:sz="4" w:space="0" w:color="auto"/>
            </w:tcBorders>
            <w:shd w:val="clear" w:color="auto" w:fill="auto"/>
          </w:tcPr>
          <w:p w14:paraId="7E66631F" w14:textId="77777777" w:rsidR="002A4DDF" w:rsidRPr="00937C8B" w:rsidRDefault="002A4DDF" w:rsidP="009110ED">
            <w:pPr>
              <w:rPr>
                <w:rFonts w:ascii="Arial" w:hAnsi="Arial" w:cs="Arial"/>
                <w:sz w:val="12"/>
                <w:szCs w:val="12"/>
              </w:rPr>
            </w:pPr>
          </w:p>
        </w:tc>
        <w:tc>
          <w:tcPr>
            <w:tcW w:w="1843" w:type="dxa"/>
            <w:shd w:val="clear" w:color="auto" w:fill="auto"/>
          </w:tcPr>
          <w:p w14:paraId="38F58769" w14:textId="77777777" w:rsidR="002A4DDF" w:rsidRPr="00937C8B" w:rsidRDefault="002A4DDF" w:rsidP="009110ED">
            <w:pPr>
              <w:rPr>
                <w:rFonts w:ascii="Arial" w:hAnsi="Arial" w:cs="Arial"/>
                <w:sz w:val="12"/>
                <w:szCs w:val="12"/>
              </w:rPr>
            </w:pPr>
          </w:p>
        </w:tc>
        <w:tc>
          <w:tcPr>
            <w:tcW w:w="2268" w:type="dxa"/>
            <w:shd w:val="clear" w:color="auto" w:fill="F2F2F2"/>
            <w:hideMark/>
          </w:tcPr>
          <w:p w14:paraId="3E589765" w14:textId="77777777" w:rsidR="002A4DDF" w:rsidRPr="00937C8B" w:rsidRDefault="002A4DDF" w:rsidP="009110ED">
            <w:pPr>
              <w:rPr>
                <w:rFonts w:ascii="Arial" w:hAnsi="Arial" w:cs="Arial"/>
                <w:sz w:val="12"/>
                <w:szCs w:val="12"/>
              </w:rPr>
            </w:pPr>
            <w:r>
              <w:rPr>
                <w:rFonts w:ascii="Arial" w:hAnsi="Arial"/>
                <w:sz w:val="12"/>
                <w:szCs w:val="12"/>
              </w:rPr>
              <w:t>Tolox</w:t>
            </w:r>
          </w:p>
        </w:tc>
        <w:tc>
          <w:tcPr>
            <w:tcW w:w="2268" w:type="dxa"/>
            <w:tcBorders>
              <w:right w:val="single" w:sz="4" w:space="0" w:color="auto"/>
            </w:tcBorders>
            <w:shd w:val="clear" w:color="auto" w:fill="D9D9D9"/>
            <w:hideMark/>
          </w:tcPr>
          <w:p w14:paraId="67B4C5C5" w14:textId="77777777" w:rsidR="002A4DDF" w:rsidRPr="00937C8B" w:rsidRDefault="002A4DDF" w:rsidP="009110ED">
            <w:pPr>
              <w:rPr>
                <w:rFonts w:ascii="Arial" w:hAnsi="Arial" w:cs="Arial"/>
                <w:sz w:val="12"/>
                <w:szCs w:val="12"/>
              </w:rPr>
            </w:pPr>
          </w:p>
        </w:tc>
      </w:tr>
      <w:tr w:rsidR="002A4DDF" w:rsidRPr="00937C8B" w14:paraId="230CAFEC" w14:textId="77777777" w:rsidTr="00935676">
        <w:trPr>
          <w:cantSplit/>
        </w:trPr>
        <w:tc>
          <w:tcPr>
            <w:tcW w:w="1696" w:type="dxa"/>
            <w:tcBorders>
              <w:left w:val="single" w:sz="4" w:space="0" w:color="auto"/>
            </w:tcBorders>
            <w:shd w:val="clear" w:color="auto" w:fill="auto"/>
          </w:tcPr>
          <w:p w14:paraId="25392692" w14:textId="77777777" w:rsidR="002A4DDF" w:rsidRPr="00937C8B" w:rsidRDefault="002A4DDF" w:rsidP="009110ED">
            <w:pPr>
              <w:rPr>
                <w:rFonts w:ascii="Arial" w:hAnsi="Arial" w:cs="Arial"/>
                <w:sz w:val="12"/>
                <w:szCs w:val="12"/>
              </w:rPr>
            </w:pPr>
          </w:p>
        </w:tc>
        <w:tc>
          <w:tcPr>
            <w:tcW w:w="1843" w:type="dxa"/>
            <w:shd w:val="clear" w:color="auto" w:fill="auto"/>
          </w:tcPr>
          <w:p w14:paraId="1C897134" w14:textId="77777777" w:rsidR="002A4DDF" w:rsidRPr="00937C8B" w:rsidRDefault="002A4DDF" w:rsidP="009110ED">
            <w:pPr>
              <w:rPr>
                <w:rFonts w:ascii="Arial" w:hAnsi="Arial" w:cs="Arial"/>
                <w:sz w:val="12"/>
                <w:szCs w:val="12"/>
              </w:rPr>
            </w:pPr>
          </w:p>
        </w:tc>
        <w:tc>
          <w:tcPr>
            <w:tcW w:w="2268" w:type="dxa"/>
            <w:shd w:val="clear" w:color="auto" w:fill="F2F2F2"/>
            <w:hideMark/>
          </w:tcPr>
          <w:p w14:paraId="5FC89A47" w14:textId="77777777" w:rsidR="002A4DDF" w:rsidRPr="00937C8B" w:rsidRDefault="002A4DDF" w:rsidP="009110ED">
            <w:pPr>
              <w:rPr>
                <w:rFonts w:ascii="Arial" w:hAnsi="Arial" w:cs="Arial"/>
                <w:sz w:val="12"/>
                <w:szCs w:val="12"/>
              </w:rPr>
            </w:pPr>
            <w:r>
              <w:rPr>
                <w:rFonts w:ascii="Arial" w:hAnsi="Arial"/>
                <w:sz w:val="12"/>
                <w:szCs w:val="12"/>
              </w:rPr>
              <w:t>Torrox</w:t>
            </w:r>
          </w:p>
        </w:tc>
        <w:tc>
          <w:tcPr>
            <w:tcW w:w="2268" w:type="dxa"/>
            <w:tcBorders>
              <w:right w:val="single" w:sz="4" w:space="0" w:color="auto"/>
            </w:tcBorders>
            <w:shd w:val="clear" w:color="auto" w:fill="D9D9D9"/>
            <w:hideMark/>
          </w:tcPr>
          <w:p w14:paraId="2DD36D16" w14:textId="77777777" w:rsidR="002A4DDF" w:rsidRPr="00937C8B" w:rsidRDefault="002A4DDF" w:rsidP="009110ED">
            <w:pPr>
              <w:rPr>
                <w:rFonts w:ascii="Arial" w:hAnsi="Arial" w:cs="Arial"/>
                <w:sz w:val="12"/>
                <w:szCs w:val="12"/>
              </w:rPr>
            </w:pPr>
          </w:p>
        </w:tc>
      </w:tr>
      <w:tr w:rsidR="002A4DDF" w:rsidRPr="00937C8B" w14:paraId="2E9509D1" w14:textId="77777777" w:rsidTr="00935676">
        <w:trPr>
          <w:cantSplit/>
        </w:trPr>
        <w:tc>
          <w:tcPr>
            <w:tcW w:w="1696" w:type="dxa"/>
            <w:tcBorders>
              <w:left w:val="single" w:sz="4" w:space="0" w:color="auto"/>
              <w:bottom w:val="single" w:sz="4" w:space="0" w:color="auto"/>
            </w:tcBorders>
            <w:shd w:val="clear" w:color="auto" w:fill="auto"/>
            <w:hideMark/>
          </w:tcPr>
          <w:p w14:paraId="38C5BCCA"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bottom w:val="single" w:sz="4" w:space="0" w:color="auto"/>
            </w:tcBorders>
            <w:shd w:val="clear" w:color="auto" w:fill="auto"/>
            <w:hideMark/>
          </w:tcPr>
          <w:p w14:paraId="14E852E0" w14:textId="77777777" w:rsidR="002A4DDF" w:rsidRPr="00937C8B" w:rsidRDefault="002A4DDF" w:rsidP="009110ED">
            <w:pPr>
              <w:rPr>
                <w:rFonts w:ascii="Arial" w:hAnsi="Arial" w:cs="Arial"/>
                <w:sz w:val="12"/>
                <w:szCs w:val="12"/>
              </w:rPr>
            </w:pPr>
            <w:r>
              <w:rPr>
                <w:rFonts w:ascii="Arial" w:hAnsi="Arial"/>
                <w:sz w:val="12"/>
                <w:szCs w:val="12"/>
              </w:rPr>
              <w:t>Malaga</w:t>
            </w:r>
          </w:p>
        </w:tc>
        <w:tc>
          <w:tcPr>
            <w:tcW w:w="2268" w:type="dxa"/>
            <w:tcBorders>
              <w:bottom w:val="single" w:sz="4" w:space="0" w:color="auto"/>
            </w:tcBorders>
            <w:shd w:val="clear" w:color="auto" w:fill="F2F2F2"/>
            <w:hideMark/>
          </w:tcPr>
          <w:p w14:paraId="2FC00569" w14:textId="77777777" w:rsidR="002A4DDF" w:rsidRPr="00937C8B" w:rsidRDefault="002A4DDF" w:rsidP="009110ED">
            <w:pPr>
              <w:rPr>
                <w:rFonts w:ascii="Arial" w:hAnsi="Arial" w:cs="Arial"/>
                <w:sz w:val="12"/>
                <w:szCs w:val="12"/>
              </w:rPr>
            </w:pPr>
            <w:r>
              <w:rPr>
                <w:rFonts w:ascii="Arial" w:hAnsi="Arial"/>
                <w:sz w:val="12"/>
                <w:szCs w:val="12"/>
              </w:rPr>
              <w:t>Vélez-Málaga</w:t>
            </w:r>
          </w:p>
        </w:tc>
        <w:tc>
          <w:tcPr>
            <w:tcW w:w="2268" w:type="dxa"/>
            <w:tcBorders>
              <w:bottom w:val="single" w:sz="4" w:space="0" w:color="auto"/>
              <w:right w:val="single" w:sz="4" w:space="0" w:color="auto"/>
            </w:tcBorders>
            <w:shd w:val="clear" w:color="auto" w:fill="D9D9D9"/>
            <w:hideMark/>
          </w:tcPr>
          <w:p w14:paraId="749C6329" w14:textId="77777777" w:rsidR="002A4DDF" w:rsidRPr="00937C8B" w:rsidRDefault="002A4DDF" w:rsidP="009110ED">
            <w:pPr>
              <w:rPr>
                <w:rFonts w:ascii="Arial" w:hAnsi="Arial" w:cs="Arial"/>
                <w:sz w:val="12"/>
                <w:szCs w:val="12"/>
              </w:rPr>
            </w:pPr>
          </w:p>
        </w:tc>
      </w:tr>
      <w:tr w:rsidR="002A4DDF" w:rsidRPr="00937C8B" w14:paraId="75306658" w14:textId="77777777" w:rsidTr="00935676">
        <w:trPr>
          <w:cantSplit/>
        </w:trPr>
        <w:tc>
          <w:tcPr>
            <w:tcW w:w="1696" w:type="dxa"/>
            <w:tcBorders>
              <w:top w:val="single" w:sz="4" w:space="0" w:color="auto"/>
              <w:bottom w:val="single" w:sz="4" w:space="0" w:color="auto"/>
            </w:tcBorders>
            <w:shd w:val="clear" w:color="auto" w:fill="auto"/>
            <w:hideMark/>
          </w:tcPr>
          <w:p w14:paraId="26A65C63"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5733040D"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5B2F4881"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3FFD5847" w14:textId="77777777" w:rsidR="002A4DDF" w:rsidRPr="00937C8B" w:rsidRDefault="002A4DDF" w:rsidP="009110ED">
            <w:pPr>
              <w:rPr>
                <w:rFonts w:ascii="Arial" w:hAnsi="Arial" w:cs="Arial"/>
                <w:sz w:val="12"/>
                <w:szCs w:val="12"/>
              </w:rPr>
            </w:pPr>
          </w:p>
        </w:tc>
      </w:tr>
      <w:tr w:rsidR="002A4DDF" w:rsidRPr="00937C8B" w14:paraId="5CD32379" w14:textId="77777777" w:rsidTr="00935676">
        <w:trPr>
          <w:cantSplit/>
        </w:trPr>
        <w:tc>
          <w:tcPr>
            <w:tcW w:w="1696" w:type="dxa"/>
            <w:tcBorders>
              <w:top w:val="single" w:sz="4" w:space="0" w:color="auto"/>
              <w:left w:val="single" w:sz="4" w:space="0" w:color="auto"/>
            </w:tcBorders>
            <w:shd w:val="clear" w:color="auto" w:fill="auto"/>
            <w:hideMark/>
          </w:tcPr>
          <w:p w14:paraId="5CD333E8"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top w:val="single" w:sz="4" w:space="0" w:color="auto"/>
            </w:tcBorders>
            <w:shd w:val="clear" w:color="auto" w:fill="auto"/>
            <w:hideMark/>
          </w:tcPr>
          <w:p w14:paraId="2D7B2186" w14:textId="77777777" w:rsidR="002A4DDF" w:rsidRPr="00937C8B" w:rsidRDefault="002A4DDF" w:rsidP="009110ED">
            <w:pPr>
              <w:rPr>
                <w:rFonts w:ascii="Arial" w:hAnsi="Arial" w:cs="Arial"/>
                <w:sz w:val="12"/>
                <w:szCs w:val="12"/>
              </w:rPr>
            </w:pPr>
            <w:r>
              <w:rPr>
                <w:rFonts w:ascii="Arial" w:hAnsi="Arial"/>
                <w:sz w:val="12"/>
                <w:szCs w:val="12"/>
              </w:rPr>
              <w:t>Séville</w:t>
            </w:r>
          </w:p>
        </w:tc>
        <w:tc>
          <w:tcPr>
            <w:tcW w:w="2268" w:type="dxa"/>
            <w:tcBorders>
              <w:top w:val="single" w:sz="4" w:space="0" w:color="auto"/>
            </w:tcBorders>
            <w:shd w:val="clear" w:color="auto" w:fill="F2F2F2"/>
            <w:hideMark/>
          </w:tcPr>
          <w:p w14:paraId="67C1EE24" w14:textId="77777777" w:rsidR="002A4DDF" w:rsidRPr="00937C8B" w:rsidRDefault="002A4DDF" w:rsidP="009110ED">
            <w:pPr>
              <w:rPr>
                <w:rFonts w:ascii="Arial" w:hAnsi="Arial" w:cs="Arial"/>
                <w:sz w:val="12"/>
                <w:szCs w:val="12"/>
              </w:rPr>
            </w:pPr>
            <w:r>
              <w:rPr>
                <w:rFonts w:ascii="Arial" w:hAnsi="Arial"/>
                <w:sz w:val="12"/>
                <w:szCs w:val="12"/>
              </w:rPr>
              <w:t>Alanís</w:t>
            </w:r>
          </w:p>
        </w:tc>
        <w:tc>
          <w:tcPr>
            <w:tcW w:w="2268" w:type="dxa"/>
            <w:tcBorders>
              <w:top w:val="single" w:sz="4" w:space="0" w:color="auto"/>
              <w:right w:val="single" w:sz="4" w:space="0" w:color="auto"/>
            </w:tcBorders>
            <w:shd w:val="clear" w:color="auto" w:fill="D9D9D9"/>
            <w:hideMark/>
          </w:tcPr>
          <w:p w14:paraId="15D9BA77" w14:textId="77777777" w:rsidR="002A4DDF" w:rsidRPr="00937C8B" w:rsidRDefault="002A4DDF" w:rsidP="009110ED">
            <w:pPr>
              <w:rPr>
                <w:rFonts w:ascii="Arial" w:hAnsi="Arial" w:cs="Arial"/>
                <w:sz w:val="12"/>
                <w:szCs w:val="12"/>
              </w:rPr>
            </w:pPr>
            <w:r>
              <w:rPr>
                <w:rFonts w:ascii="Arial" w:hAnsi="Arial"/>
                <w:sz w:val="12"/>
                <w:szCs w:val="12"/>
              </w:rPr>
              <w:t>Almadén de la Plata</w:t>
            </w:r>
          </w:p>
        </w:tc>
      </w:tr>
      <w:tr w:rsidR="002A4DDF" w:rsidRPr="00937C8B" w14:paraId="072E0E80" w14:textId="77777777" w:rsidTr="00935676">
        <w:trPr>
          <w:cantSplit/>
        </w:trPr>
        <w:tc>
          <w:tcPr>
            <w:tcW w:w="1696" w:type="dxa"/>
            <w:tcBorders>
              <w:left w:val="single" w:sz="4" w:space="0" w:color="auto"/>
            </w:tcBorders>
            <w:shd w:val="clear" w:color="auto" w:fill="auto"/>
          </w:tcPr>
          <w:p w14:paraId="2B04B44C" w14:textId="77777777" w:rsidR="002A4DDF" w:rsidRPr="00937C8B" w:rsidRDefault="002A4DDF" w:rsidP="009110ED">
            <w:pPr>
              <w:rPr>
                <w:rFonts w:ascii="Arial" w:hAnsi="Arial" w:cs="Arial"/>
                <w:sz w:val="12"/>
                <w:szCs w:val="12"/>
              </w:rPr>
            </w:pPr>
          </w:p>
        </w:tc>
        <w:tc>
          <w:tcPr>
            <w:tcW w:w="1843" w:type="dxa"/>
            <w:shd w:val="clear" w:color="auto" w:fill="auto"/>
          </w:tcPr>
          <w:p w14:paraId="6E858B31" w14:textId="77777777" w:rsidR="002A4DDF" w:rsidRPr="00937C8B" w:rsidRDefault="002A4DDF" w:rsidP="009110ED">
            <w:pPr>
              <w:rPr>
                <w:rFonts w:ascii="Arial" w:hAnsi="Arial" w:cs="Arial"/>
                <w:sz w:val="12"/>
                <w:szCs w:val="12"/>
              </w:rPr>
            </w:pPr>
          </w:p>
        </w:tc>
        <w:tc>
          <w:tcPr>
            <w:tcW w:w="2268" w:type="dxa"/>
            <w:shd w:val="clear" w:color="auto" w:fill="F2F2F2"/>
            <w:hideMark/>
          </w:tcPr>
          <w:p w14:paraId="1439D0DD" w14:textId="77777777" w:rsidR="002A4DDF" w:rsidRPr="00937C8B" w:rsidRDefault="002A4DDF" w:rsidP="009110ED">
            <w:pPr>
              <w:rPr>
                <w:rFonts w:ascii="Arial" w:hAnsi="Arial" w:cs="Arial"/>
                <w:sz w:val="12"/>
                <w:szCs w:val="12"/>
              </w:rPr>
            </w:pPr>
            <w:r>
              <w:rPr>
                <w:rFonts w:ascii="Arial" w:hAnsi="Arial"/>
                <w:sz w:val="12"/>
                <w:szCs w:val="12"/>
              </w:rPr>
              <w:t>Alcolea del Río</w:t>
            </w:r>
          </w:p>
        </w:tc>
        <w:tc>
          <w:tcPr>
            <w:tcW w:w="2268" w:type="dxa"/>
            <w:tcBorders>
              <w:right w:val="single" w:sz="4" w:space="0" w:color="auto"/>
            </w:tcBorders>
            <w:shd w:val="clear" w:color="auto" w:fill="D9D9D9"/>
            <w:hideMark/>
          </w:tcPr>
          <w:p w14:paraId="090E5DB8" w14:textId="77777777" w:rsidR="002A4DDF" w:rsidRPr="00937C8B" w:rsidRDefault="002A4DDF" w:rsidP="009110ED">
            <w:pPr>
              <w:rPr>
                <w:rFonts w:ascii="Arial" w:hAnsi="Arial" w:cs="Arial"/>
                <w:sz w:val="12"/>
                <w:szCs w:val="12"/>
              </w:rPr>
            </w:pPr>
            <w:r>
              <w:rPr>
                <w:rFonts w:ascii="Arial" w:hAnsi="Arial"/>
                <w:sz w:val="12"/>
                <w:szCs w:val="12"/>
              </w:rPr>
              <w:t>Castilblanco de los Arroyos</w:t>
            </w:r>
          </w:p>
        </w:tc>
      </w:tr>
      <w:tr w:rsidR="002A4DDF" w:rsidRPr="00937C8B" w14:paraId="75977BF2" w14:textId="77777777" w:rsidTr="00935676">
        <w:trPr>
          <w:cantSplit/>
        </w:trPr>
        <w:tc>
          <w:tcPr>
            <w:tcW w:w="1696" w:type="dxa"/>
            <w:tcBorders>
              <w:left w:val="single" w:sz="4" w:space="0" w:color="auto"/>
            </w:tcBorders>
            <w:shd w:val="clear" w:color="auto" w:fill="auto"/>
          </w:tcPr>
          <w:p w14:paraId="0CEEEFE3" w14:textId="77777777" w:rsidR="002A4DDF" w:rsidRPr="00937C8B" w:rsidRDefault="002A4DDF" w:rsidP="009110ED">
            <w:pPr>
              <w:rPr>
                <w:rFonts w:ascii="Arial" w:hAnsi="Arial" w:cs="Arial"/>
                <w:sz w:val="12"/>
                <w:szCs w:val="12"/>
              </w:rPr>
            </w:pPr>
          </w:p>
        </w:tc>
        <w:tc>
          <w:tcPr>
            <w:tcW w:w="1843" w:type="dxa"/>
            <w:shd w:val="clear" w:color="auto" w:fill="auto"/>
          </w:tcPr>
          <w:p w14:paraId="45759176" w14:textId="77777777" w:rsidR="002A4DDF" w:rsidRPr="00937C8B" w:rsidRDefault="002A4DDF" w:rsidP="009110ED">
            <w:pPr>
              <w:rPr>
                <w:rFonts w:ascii="Arial" w:hAnsi="Arial" w:cs="Arial"/>
                <w:sz w:val="12"/>
                <w:szCs w:val="12"/>
              </w:rPr>
            </w:pPr>
          </w:p>
        </w:tc>
        <w:tc>
          <w:tcPr>
            <w:tcW w:w="2268" w:type="dxa"/>
            <w:shd w:val="clear" w:color="auto" w:fill="F2F2F2"/>
            <w:hideMark/>
          </w:tcPr>
          <w:p w14:paraId="4A5A25F9" w14:textId="77777777" w:rsidR="002A4DDF" w:rsidRPr="00937C8B" w:rsidRDefault="002A4DDF" w:rsidP="009110ED">
            <w:pPr>
              <w:rPr>
                <w:rFonts w:ascii="Arial" w:hAnsi="Arial" w:cs="Arial"/>
                <w:sz w:val="12"/>
                <w:szCs w:val="12"/>
              </w:rPr>
            </w:pPr>
            <w:r>
              <w:rPr>
                <w:rFonts w:ascii="Arial" w:hAnsi="Arial"/>
                <w:sz w:val="12"/>
                <w:szCs w:val="12"/>
              </w:rPr>
              <w:t>Aznalcóllar</w:t>
            </w:r>
          </w:p>
        </w:tc>
        <w:tc>
          <w:tcPr>
            <w:tcW w:w="2268" w:type="dxa"/>
            <w:tcBorders>
              <w:right w:val="single" w:sz="4" w:space="0" w:color="auto"/>
            </w:tcBorders>
            <w:shd w:val="clear" w:color="auto" w:fill="D9D9D9"/>
            <w:hideMark/>
          </w:tcPr>
          <w:p w14:paraId="7F6F8D95" w14:textId="77777777" w:rsidR="002A4DDF" w:rsidRPr="00937C8B" w:rsidRDefault="002A4DDF" w:rsidP="009110ED">
            <w:pPr>
              <w:rPr>
                <w:rFonts w:ascii="Arial" w:hAnsi="Arial" w:cs="Arial"/>
                <w:sz w:val="12"/>
                <w:szCs w:val="12"/>
              </w:rPr>
            </w:pPr>
            <w:r>
              <w:rPr>
                <w:rFonts w:ascii="Arial" w:hAnsi="Arial"/>
                <w:sz w:val="12"/>
                <w:szCs w:val="12"/>
              </w:rPr>
              <w:t>Cazalla de la Sierra</w:t>
            </w:r>
          </w:p>
        </w:tc>
      </w:tr>
      <w:tr w:rsidR="002A4DDF" w:rsidRPr="00937C8B" w14:paraId="187ABE0D" w14:textId="77777777" w:rsidTr="00935676">
        <w:trPr>
          <w:cantSplit/>
        </w:trPr>
        <w:tc>
          <w:tcPr>
            <w:tcW w:w="1696" w:type="dxa"/>
            <w:tcBorders>
              <w:left w:val="single" w:sz="4" w:space="0" w:color="auto"/>
            </w:tcBorders>
            <w:shd w:val="clear" w:color="auto" w:fill="auto"/>
          </w:tcPr>
          <w:p w14:paraId="4F7AE5A1" w14:textId="77777777" w:rsidR="002A4DDF" w:rsidRPr="00937C8B" w:rsidRDefault="002A4DDF" w:rsidP="009110ED">
            <w:pPr>
              <w:rPr>
                <w:rFonts w:ascii="Arial" w:hAnsi="Arial" w:cs="Arial"/>
                <w:sz w:val="12"/>
                <w:szCs w:val="12"/>
              </w:rPr>
            </w:pPr>
          </w:p>
        </w:tc>
        <w:tc>
          <w:tcPr>
            <w:tcW w:w="1843" w:type="dxa"/>
            <w:shd w:val="clear" w:color="auto" w:fill="auto"/>
          </w:tcPr>
          <w:p w14:paraId="38C82EED" w14:textId="77777777" w:rsidR="002A4DDF" w:rsidRPr="00937C8B" w:rsidRDefault="002A4DDF" w:rsidP="009110ED">
            <w:pPr>
              <w:rPr>
                <w:rFonts w:ascii="Arial" w:hAnsi="Arial" w:cs="Arial"/>
                <w:sz w:val="12"/>
                <w:szCs w:val="12"/>
              </w:rPr>
            </w:pPr>
          </w:p>
        </w:tc>
        <w:tc>
          <w:tcPr>
            <w:tcW w:w="2268" w:type="dxa"/>
            <w:shd w:val="clear" w:color="auto" w:fill="F2F2F2"/>
            <w:hideMark/>
          </w:tcPr>
          <w:p w14:paraId="72BD00FA" w14:textId="77777777" w:rsidR="002A4DDF" w:rsidRPr="00937C8B" w:rsidRDefault="002A4DDF" w:rsidP="009110ED">
            <w:pPr>
              <w:rPr>
                <w:rFonts w:ascii="Arial" w:hAnsi="Arial" w:cs="Arial"/>
                <w:sz w:val="12"/>
                <w:szCs w:val="12"/>
              </w:rPr>
            </w:pPr>
            <w:r>
              <w:rPr>
                <w:rFonts w:ascii="Arial" w:hAnsi="Arial"/>
                <w:sz w:val="12"/>
                <w:szCs w:val="12"/>
              </w:rPr>
              <w:t>Brenes</w:t>
            </w:r>
          </w:p>
        </w:tc>
        <w:tc>
          <w:tcPr>
            <w:tcW w:w="2268" w:type="dxa"/>
            <w:tcBorders>
              <w:right w:val="single" w:sz="4" w:space="0" w:color="auto"/>
            </w:tcBorders>
            <w:shd w:val="clear" w:color="auto" w:fill="D9D9D9"/>
            <w:hideMark/>
          </w:tcPr>
          <w:p w14:paraId="57DB7094" w14:textId="77777777" w:rsidR="002A4DDF" w:rsidRPr="00937C8B" w:rsidRDefault="002A4DDF" w:rsidP="009110ED">
            <w:pPr>
              <w:rPr>
                <w:rFonts w:ascii="Arial" w:hAnsi="Arial" w:cs="Arial"/>
                <w:sz w:val="12"/>
                <w:szCs w:val="12"/>
              </w:rPr>
            </w:pPr>
            <w:r>
              <w:rPr>
                <w:rFonts w:ascii="Arial" w:hAnsi="Arial"/>
                <w:sz w:val="12"/>
                <w:szCs w:val="12"/>
              </w:rPr>
              <w:t>Constantina</w:t>
            </w:r>
          </w:p>
        </w:tc>
      </w:tr>
      <w:tr w:rsidR="002A4DDF" w:rsidRPr="00937C8B" w14:paraId="1E823D75" w14:textId="77777777" w:rsidTr="00935676">
        <w:trPr>
          <w:cantSplit/>
        </w:trPr>
        <w:tc>
          <w:tcPr>
            <w:tcW w:w="1696" w:type="dxa"/>
            <w:tcBorders>
              <w:left w:val="single" w:sz="4" w:space="0" w:color="auto"/>
            </w:tcBorders>
            <w:shd w:val="clear" w:color="auto" w:fill="auto"/>
          </w:tcPr>
          <w:p w14:paraId="37D9BBDC" w14:textId="77777777" w:rsidR="002A4DDF" w:rsidRPr="00937C8B" w:rsidRDefault="002A4DDF" w:rsidP="009110ED">
            <w:pPr>
              <w:rPr>
                <w:rFonts w:ascii="Arial" w:hAnsi="Arial" w:cs="Arial"/>
                <w:sz w:val="12"/>
                <w:szCs w:val="12"/>
              </w:rPr>
            </w:pPr>
          </w:p>
        </w:tc>
        <w:tc>
          <w:tcPr>
            <w:tcW w:w="1843" w:type="dxa"/>
            <w:shd w:val="clear" w:color="auto" w:fill="auto"/>
          </w:tcPr>
          <w:p w14:paraId="3708B72C" w14:textId="77777777" w:rsidR="002A4DDF" w:rsidRPr="00937C8B" w:rsidRDefault="002A4DDF" w:rsidP="009110ED">
            <w:pPr>
              <w:rPr>
                <w:rFonts w:ascii="Arial" w:hAnsi="Arial" w:cs="Arial"/>
                <w:sz w:val="12"/>
                <w:szCs w:val="12"/>
              </w:rPr>
            </w:pPr>
          </w:p>
        </w:tc>
        <w:tc>
          <w:tcPr>
            <w:tcW w:w="2268" w:type="dxa"/>
            <w:shd w:val="clear" w:color="auto" w:fill="F2F2F2"/>
            <w:hideMark/>
          </w:tcPr>
          <w:p w14:paraId="6467DB10" w14:textId="77777777" w:rsidR="002A4DDF" w:rsidRPr="00937C8B" w:rsidRDefault="002A4DDF" w:rsidP="009110ED">
            <w:pPr>
              <w:rPr>
                <w:rFonts w:ascii="Arial" w:hAnsi="Arial" w:cs="Arial"/>
                <w:sz w:val="12"/>
                <w:szCs w:val="12"/>
              </w:rPr>
            </w:pPr>
            <w:r>
              <w:rPr>
                <w:rFonts w:ascii="Arial" w:hAnsi="Arial"/>
                <w:sz w:val="12"/>
                <w:szCs w:val="12"/>
              </w:rPr>
              <w:t>Cantillana</w:t>
            </w:r>
          </w:p>
        </w:tc>
        <w:tc>
          <w:tcPr>
            <w:tcW w:w="2268" w:type="dxa"/>
            <w:tcBorders>
              <w:right w:val="single" w:sz="4" w:space="0" w:color="auto"/>
            </w:tcBorders>
            <w:shd w:val="clear" w:color="auto" w:fill="D9D9D9"/>
            <w:hideMark/>
          </w:tcPr>
          <w:p w14:paraId="7F4BEAF9" w14:textId="77777777" w:rsidR="002A4DDF" w:rsidRPr="00937C8B" w:rsidRDefault="002A4DDF" w:rsidP="009110ED">
            <w:pPr>
              <w:rPr>
                <w:rFonts w:ascii="Arial" w:hAnsi="Arial" w:cs="Arial"/>
                <w:sz w:val="12"/>
                <w:szCs w:val="12"/>
              </w:rPr>
            </w:pPr>
            <w:r>
              <w:rPr>
                <w:rFonts w:ascii="Arial" w:hAnsi="Arial"/>
                <w:sz w:val="12"/>
                <w:szCs w:val="12"/>
              </w:rPr>
              <w:t>El Castillo de las Guardas</w:t>
            </w:r>
          </w:p>
        </w:tc>
      </w:tr>
      <w:tr w:rsidR="002A4DDF" w:rsidRPr="00937C8B" w14:paraId="5F88A0F0" w14:textId="77777777" w:rsidTr="00935676">
        <w:trPr>
          <w:cantSplit/>
        </w:trPr>
        <w:tc>
          <w:tcPr>
            <w:tcW w:w="1696" w:type="dxa"/>
            <w:tcBorders>
              <w:left w:val="single" w:sz="4" w:space="0" w:color="auto"/>
            </w:tcBorders>
            <w:shd w:val="clear" w:color="auto" w:fill="auto"/>
          </w:tcPr>
          <w:p w14:paraId="057C73AB" w14:textId="77777777" w:rsidR="002A4DDF" w:rsidRPr="00937C8B" w:rsidRDefault="002A4DDF" w:rsidP="009110ED">
            <w:pPr>
              <w:rPr>
                <w:rFonts w:ascii="Arial" w:hAnsi="Arial" w:cs="Arial"/>
                <w:sz w:val="12"/>
                <w:szCs w:val="12"/>
              </w:rPr>
            </w:pPr>
          </w:p>
        </w:tc>
        <w:tc>
          <w:tcPr>
            <w:tcW w:w="1843" w:type="dxa"/>
            <w:shd w:val="clear" w:color="auto" w:fill="auto"/>
          </w:tcPr>
          <w:p w14:paraId="126E2983" w14:textId="77777777" w:rsidR="002A4DDF" w:rsidRPr="00937C8B" w:rsidRDefault="002A4DDF" w:rsidP="009110ED">
            <w:pPr>
              <w:rPr>
                <w:rFonts w:ascii="Arial" w:hAnsi="Arial" w:cs="Arial"/>
                <w:sz w:val="12"/>
                <w:szCs w:val="12"/>
              </w:rPr>
            </w:pPr>
          </w:p>
        </w:tc>
        <w:tc>
          <w:tcPr>
            <w:tcW w:w="2268" w:type="dxa"/>
            <w:shd w:val="clear" w:color="auto" w:fill="F2F2F2"/>
            <w:hideMark/>
          </w:tcPr>
          <w:p w14:paraId="273B3785" w14:textId="77777777" w:rsidR="002A4DDF" w:rsidRPr="00937C8B" w:rsidRDefault="002A4DDF" w:rsidP="009110ED">
            <w:pPr>
              <w:rPr>
                <w:rFonts w:ascii="Arial" w:hAnsi="Arial" w:cs="Arial"/>
                <w:sz w:val="12"/>
                <w:szCs w:val="12"/>
              </w:rPr>
            </w:pPr>
            <w:r>
              <w:rPr>
                <w:rFonts w:ascii="Arial" w:hAnsi="Arial"/>
                <w:sz w:val="12"/>
                <w:szCs w:val="12"/>
              </w:rPr>
              <w:t>El Madroño</w:t>
            </w:r>
          </w:p>
        </w:tc>
        <w:tc>
          <w:tcPr>
            <w:tcW w:w="2268" w:type="dxa"/>
            <w:tcBorders>
              <w:right w:val="single" w:sz="4" w:space="0" w:color="auto"/>
            </w:tcBorders>
            <w:shd w:val="clear" w:color="auto" w:fill="D9D9D9"/>
            <w:hideMark/>
          </w:tcPr>
          <w:p w14:paraId="25CDB43F" w14:textId="77777777" w:rsidR="002A4DDF" w:rsidRPr="00937C8B" w:rsidRDefault="002A4DDF" w:rsidP="009110ED">
            <w:pPr>
              <w:rPr>
                <w:rFonts w:ascii="Arial" w:hAnsi="Arial" w:cs="Arial"/>
                <w:sz w:val="12"/>
                <w:szCs w:val="12"/>
              </w:rPr>
            </w:pPr>
            <w:r>
              <w:rPr>
                <w:rFonts w:ascii="Arial" w:hAnsi="Arial"/>
                <w:sz w:val="12"/>
                <w:szCs w:val="12"/>
              </w:rPr>
              <w:t>El Garrobo</w:t>
            </w:r>
          </w:p>
        </w:tc>
      </w:tr>
      <w:tr w:rsidR="002A4DDF" w:rsidRPr="00937C8B" w14:paraId="2222386B" w14:textId="77777777" w:rsidTr="00935676">
        <w:trPr>
          <w:cantSplit/>
        </w:trPr>
        <w:tc>
          <w:tcPr>
            <w:tcW w:w="1696" w:type="dxa"/>
            <w:tcBorders>
              <w:left w:val="single" w:sz="4" w:space="0" w:color="auto"/>
            </w:tcBorders>
            <w:shd w:val="clear" w:color="auto" w:fill="auto"/>
          </w:tcPr>
          <w:p w14:paraId="1792FF0A" w14:textId="77777777" w:rsidR="002A4DDF" w:rsidRPr="00937C8B" w:rsidRDefault="002A4DDF" w:rsidP="009110ED">
            <w:pPr>
              <w:rPr>
                <w:rFonts w:ascii="Arial" w:hAnsi="Arial" w:cs="Arial"/>
                <w:sz w:val="12"/>
                <w:szCs w:val="12"/>
              </w:rPr>
            </w:pPr>
          </w:p>
        </w:tc>
        <w:tc>
          <w:tcPr>
            <w:tcW w:w="1843" w:type="dxa"/>
            <w:shd w:val="clear" w:color="auto" w:fill="auto"/>
          </w:tcPr>
          <w:p w14:paraId="7D4EF307" w14:textId="77777777" w:rsidR="002A4DDF" w:rsidRPr="00937C8B" w:rsidRDefault="002A4DDF" w:rsidP="009110ED">
            <w:pPr>
              <w:rPr>
                <w:rFonts w:ascii="Arial" w:hAnsi="Arial" w:cs="Arial"/>
                <w:sz w:val="12"/>
                <w:szCs w:val="12"/>
              </w:rPr>
            </w:pPr>
          </w:p>
        </w:tc>
        <w:tc>
          <w:tcPr>
            <w:tcW w:w="2268" w:type="dxa"/>
            <w:shd w:val="clear" w:color="auto" w:fill="F2F2F2"/>
            <w:hideMark/>
          </w:tcPr>
          <w:p w14:paraId="58CE4FEC" w14:textId="77777777" w:rsidR="002A4DDF" w:rsidRPr="00937C8B" w:rsidRDefault="002A4DDF" w:rsidP="009110ED">
            <w:pPr>
              <w:rPr>
                <w:rFonts w:ascii="Arial" w:hAnsi="Arial" w:cs="Arial"/>
                <w:sz w:val="12"/>
                <w:szCs w:val="12"/>
              </w:rPr>
            </w:pPr>
            <w:r>
              <w:rPr>
                <w:rFonts w:ascii="Arial" w:hAnsi="Arial"/>
                <w:sz w:val="12"/>
                <w:szCs w:val="12"/>
              </w:rPr>
              <w:t>El Real de la Jara</w:t>
            </w:r>
          </w:p>
        </w:tc>
        <w:tc>
          <w:tcPr>
            <w:tcW w:w="2268" w:type="dxa"/>
            <w:tcBorders>
              <w:right w:val="single" w:sz="4" w:space="0" w:color="auto"/>
            </w:tcBorders>
            <w:shd w:val="clear" w:color="auto" w:fill="D9D9D9"/>
            <w:hideMark/>
          </w:tcPr>
          <w:p w14:paraId="7DDCFEA7" w14:textId="77777777" w:rsidR="002A4DDF" w:rsidRPr="00937C8B" w:rsidRDefault="002A4DDF" w:rsidP="009110ED">
            <w:pPr>
              <w:rPr>
                <w:rFonts w:ascii="Arial" w:hAnsi="Arial" w:cs="Arial"/>
                <w:sz w:val="12"/>
                <w:szCs w:val="12"/>
              </w:rPr>
            </w:pPr>
            <w:r>
              <w:rPr>
                <w:rFonts w:ascii="Arial" w:hAnsi="Arial"/>
                <w:sz w:val="12"/>
                <w:szCs w:val="12"/>
              </w:rPr>
              <w:t>El Pedroso</w:t>
            </w:r>
          </w:p>
        </w:tc>
      </w:tr>
      <w:tr w:rsidR="002A4DDF" w:rsidRPr="00937C8B" w14:paraId="5E5738BB" w14:textId="77777777" w:rsidTr="00935676">
        <w:trPr>
          <w:cantSplit/>
        </w:trPr>
        <w:tc>
          <w:tcPr>
            <w:tcW w:w="1696" w:type="dxa"/>
            <w:tcBorders>
              <w:left w:val="single" w:sz="4" w:space="0" w:color="auto"/>
            </w:tcBorders>
            <w:shd w:val="clear" w:color="auto" w:fill="auto"/>
          </w:tcPr>
          <w:p w14:paraId="15DB1C24" w14:textId="77777777" w:rsidR="002A4DDF" w:rsidRPr="00937C8B" w:rsidRDefault="002A4DDF" w:rsidP="009110ED">
            <w:pPr>
              <w:rPr>
                <w:rFonts w:ascii="Arial" w:hAnsi="Arial" w:cs="Arial"/>
                <w:sz w:val="12"/>
                <w:szCs w:val="12"/>
              </w:rPr>
            </w:pPr>
          </w:p>
        </w:tc>
        <w:tc>
          <w:tcPr>
            <w:tcW w:w="1843" w:type="dxa"/>
            <w:shd w:val="clear" w:color="auto" w:fill="auto"/>
          </w:tcPr>
          <w:p w14:paraId="11D35E8F" w14:textId="77777777" w:rsidR="002A4DDF" w:rsidRPr="00937C8B" w:rsidRDefault="002A4DDF" w:rsidP="009110ED">
            <w:pPr>
              <w:rPr>
                <w:rFonts w:ascii="Arial" w:hAnsi="Arial" w:cs="Arial"/>
                <w:sz w:val="12"/>
                <w:szCs w:val="12"/>
              </w:rPr>
            </w:pPr>
          </w:p>
        </w:tc>
        <w:tc>
          <w:tcPr>
            <w:tcW w:w="2268" w:type="dxa"/>
            <w:shd w:val="clear" w:color="auto" w:fill="F2F2F2"/>
            <w:hideMark/>
          </w:tcPr>
          <w:p w14:paraId="74DF4061" w14:textId="77777777" w:rsidR="002A4DDF" w:rsidRPr="00937C8B" w:rsidRDefault="002A4DDF" w:rsidP="009110ED">
            <w:pPr>
              <w:rPr>
                <w:rFonts w:ascii="Arial" w:hAnsi="Arial" w:cs="Arial"/>
                <w:sz w:val="12"/>
                <w:szCs w:val="12"/>
              </w:rPr>
            </w:pPr>
            <w:r>
              <w:rPr>
                <w:rFonts w:ascii="Arial" w:hAnsi="Arial"/>
                <w:sz w:val="12"/>
                <w:szCs w:val="12"/>
              </w:rPr>
              <w:t>El Ronquillo</w:t>
            </w:r>
          </w:p>
        </w:tc>
        <w:tc>
          <w:tcPr>
            <w:tcW w:w="2268" w:type="dxa"/>
            <w:tcBorders>
              <w:right w:val="single" w:sz="4" w:space="0" w:color="auto"/>
            </w:tcBorders>
            <w:shd w:val="clear" w:color="auto" w:fill="D9D9D9"/>
            <w:hideMark/>
          </w:tcPr>
          <w:p w14:paraId="33B5BE6D" w14:textId="77777777" w:rsidR="002A4DDF" w:rsidRPr="00937C8B" w:rsidRDefault="002A4DDF" w:rsidP="009110ED">
            <w:pPr>
              <w:rPr>
                <w:rFonts w:ascii="Arial" w:hAnsi="Arial" w:cs="Arial"/>
                <w:sz w:val="12"/>
                <w:szCs w:val="12"/>
              </w:rPr>
            </w:pPr>
            <w:r>
              <w:rPr>
                <w:rFonts w:ascii="Arial" w:hAnsi="Arial"/>
                <w:sz w:val="12"/>
                <w:szCs w:val="12"/>
              </w:rPr>
              <w:t>Guillena</w:t>
            </w:r>
          </w:p>
        </w:tc>
      </w:tr>
      <w:tr w:rsidR="002A4DDF" w:rsidRPr="00937C8B" w14:paraId="730A2D93" w14:textId="77777777" w:rsidTr="00935676">
        <w:trPr>
          <w:cantSplit/>
        </w:trPr>
        <w:tc>
          <w:tcPr>
            <w:tcW w:w="1696" w:type="dxa"/>
            <w:tcBorders>
              <w:left w:val="single" w:sz="4" w:space="0" w:color="auto"/>
            </w:tcBorders>
            <w:shd w:val="clear" w:color="auto" w:fill="auto"/>
          </w:tcPr>
          <w:p w14:paraId="532855AB" w14:textId="77777777" w:rsidR="002A4DDF" w:rsidRPr="00937C8B" w:rsidRDefault="002A4DDF" w:rsidP="009110ED">
            <w:pPr>
              <w:rPr>
                <w:rFonts w:ascii="Arial" w:hAnsi="Arial" w:cs="Arial"/>
                <w:sz w:val="12"/>
                <w:szCs w:val="12"/>
              </w:rPr>
            </w:pPr>
          </w:p>
        </w:tc>
        <w:tc>
          <w:tcPr>
            <w:tcW w:w="1843" w:type="dxa"/>
            <w:shd w:val="clear" w:color="auto" w:fill="auto"/>
          </w:tcPr>
          <w:p w14:paraId="4D6B6500" w14:textId="77777777" w:rsidR="002A4DDF" w:rsidRPr="00937C8B" w:rsidRDefault="002A4DDF" w:rsidP="009110ED">
            <w:pPr>
              <w:rPr>
                <w:rFonts w:ascii="Arial" w:hAnsi="Arial" w:cs="Arial"/>
                <w:sz w:val="12"/>
                <w:szCs w:val="12"/>
              </w:rPr>
            </w:pPr>
          </w:p>
        </w:tc>
        <w:tc>
          <w:tcPr>
            <w:tcW w:w="2268" w:type="dxa"/>
            <w:shd w:val="clear" w:color="auto" w:fill="F2F2F2"/>
            <w:hideMark/>
          </w:tcPr>
          <w:p w14:paraId="2C0E8FB6" w14:textId="77777777" w:rsidR="002A4DDF" w:rsidRPr="00937C8B" w:rsidRDefault="002A4DDF" w:rsidP="009110ED">
            <w:pPr>
              <w:rPr>
                <w:rFonts w:ascii="Arial" w:hAnsi="Arial" w:cs="Arial"/>
                <w:sz w:val="12"/>
                <w:szCs w:val="12"/>
              </w:rPr>
            </w:pPr>
            <w:r>
              <w:rPr>
                <w:rFonts w:ascii="Arial" w:hAnsi="Arial"/>
                <w:sz w:val="12"/>
                <w:szCs w:val="12"/>
              </w:rPr>
              <w:t>Guadalcanal</w:t>
            </w:r>
          </w:p>
        </w:tc>
        <w:tc>
          <w:tcPr>
            <w:tcW w:w="2268" w:type="dxa"/>
            <w:tcBorders>
              <w:right w:val="single" w:sz="4" w:space="0" w:color="auto"/>
            </w:tcBorders>
            <w:shd w:val="clear" w:color="auto" w:fill="D9D9D9"/>
            <w:hideMark/>
          </w:tcPr>
          <w:p w14:paraId="45AC035F" w14:textId="77777777" w:rsidR="002A4DDF" w:rsidRPr="00937C8B" w:rsidRDefault="002A4DDF" w:rsidP="009110ED">
            <w:pPr>
              <w:rPr>
                <w:rFonts w:ascii="Arial" w:hAnsi="Arial" w:cs="Arial"/>
                <w:sz w:val="12"/>
                <w:szCs w:val="12"/>
              </w:rPr>
            </w:pPr>
            <w:r>
              <w:rPr>
                <w:rFonts w:ascii="Arial" w:hAnsi="Arial"/>
                <w:sz w:val="12"/>
                <w:szCs w:val="12"/>
              </w:rPr>
              <w:t>La Puebla de los Infantes</w:t>
            </w:r>
          </w:p>
        </w:tc>
      </w:tr>
      <w:tr w:rsidR="002A4DDF" w:rsidRPr="00937C8B" w14:paraId="60C1223F" w14:textId="77777777" w:rsidTr="00935676">
        <w:trPr>
          <w:cantSplit/>
        </w:trPr>
        <w:tc>
          <w:tcPr>
            <w:tcW w:w="1696" w:type="dxa"/>
            <w:tcBorders>
              <w:left w:val="single" w:sz="4" w:space="0" w:color="auto"/>
            </w:tcBorders>
            <w:shd w:val="clear" w:color="auto" w:fill="auto"/>
          </w:tcPr>
          <w:p w14:paraId="688346FA" w14:textId="77777777" w:rsidR="002A4DDF" w:rsidRPr="00937C8B" w:rsidRDefault="002A4DDF" w:rsidP="009110ED">
            <w:pPr>
              <w:rPr>
                <w:rFonts w:ascii="Arial" w:hAnsi="Arial" w:cs="Arial"/>
                <w:sz w:val="12"/>
                <w:szCs w:val="12"/>
              </w:rPr>
            </w:pPr>
          </w:p>
        </w:tc>
        <w:tc>
          <w:tcPr>
            <w:tcW w:w="1843" w:type="dxa"/>
            <w:shd w:val="clear" w:color="auto" w:fill="auto"/>
          </w:tcPr>
          <w:p w14:paraId="0F46D84A" w14:textId="77777777" w:rsidR="002A4DDF" w:rsidRPr="00937C8B" w:rsidRDefault="002A4DDF" w:rsidP="009110ED">
            <w:pPr>
              <w:rPr>
                <w:rFonts w:ascii="Arial" w:hAnsi="Arial" w:cs="Arial"/>
                <w:sz w:val="12"/>
                <w:szCs w:val="12"/>
              </w:rPr>
            </w:pPr>
          </w:p>
        </w:tc>
        <w:tc>
          <w:tcPr>
            <w:tcW w:w="2268" w:type="dxa"/>
            <w:shd w:val="clear" w:color="auto" w:fill="F2F2F2"/>
            <w:hideMark/>
          </w:tcPr>
          <w:p w14:paraId="2BE43ED7" w14:textId="77777777" w:rsidR="002A4DDF" w:rsidRPr="00937C8B" w:rsidRDefault="002A4DDF" w:rsidP="009110ED">
            <w:pPr>
              <w:rPr>
                <w:rFonts w:ascii="Arial" w:hAnsi="Arial" w:cs="Arial"/>
                <w:sz w:val="12"/>
                <w:szCs w:val="12"/>
              </w:rPr>
            </w:pPr>
            <w:r>
              <w:rPr>
                <w:rFonts w:ascii="Arial" w:hAnsi="Arial"/>
                <w:sz w:val="12"/>
                <w:szCs w:val="12"/>
              </w:rPr>
              <w:t>Lora del Río</w:t>
            </w:r>
          </w:p>
        </w:tc>
        <w:tc>
          <w:tcPr>
            <w:tcW w:w="2268" w:type="dxa"/>
            <w:tcBorders>
              <w:right w:val="single" w:sz="4" w:space="0" w:color="auto"/>
            </w:tcBorders>
            <w:shd w:val="clear" w:color="auto" w:fill="D9D9D9"/>
            <w:hideMark/>
          </w:tcPr>
          <w:p w14:paraId="6E4B7B2B" w14:textId="77777777" w:rsidR="002A4DDF" w:rsidRPr="00937C8B" w:rsidRDefault="002A4DDF" w:rsidP="009110ED">
            <w:pPr>
              <w:rPr>
                <w:rFonts w:ascii="Arial" w:hAnsi="Arial" w:cs="Arial"/>
                <w:sz w:val="12"/>
                <w:szCs w:val="12"/>
              </w:rPr>
            </w:pPr>
          </w:p>
        </w:tc>
      </w:tr>
      <w:tr w:rsidR="002A4DDF" w:rsidRPr="00937C8B" w14:paraId="7011C615" w14:textId="77777777" w:rsidTr="00935676">
        <w:trPr>
          <w:cantSplit/>
        </w:trPr>
        <w:tc>
          <w:tcPr>
            <w:tcW w:w="1696" w:type="dxa"/>
            <w:tcBorders>
              <w:left w:val="single" w:sz="4" w:space="0" w:color="auto"/>
            </w:tcBorders>
            <w:shd w:val="clear" w:color="auto" w:fill="auto"/>
          </w:tcPr>
          <w:p w14:paraId="6C4BAE04" w14:textId="77777777" w:rsidR="002A4DDF" w:rsidRPr="00937C8B" w:rsidRDefault="002A4DDF" w:rsidP="009110ED">
            <w:pPr>
              <w:rPr>
                <w:rFonts w:ascii="Arial" w:hAnsi="Arial" w:cs="Arial"/>
                <w:sz w:val="12"/>
                <w:szCs w:val="12"/>
              </w:rPr>
            </w:pPr>
          </w:p>
        </w:tc>
        <w:tc>
          <w:tcPr>
            <w:tcW w:w="1843" w:type="dxa"/>
            <w:shd w:val="clear" w:color="auto" w:fill="auto"/>
          </w:tcPr>
          <w:p w14:paraId="2E5FB535" w14:textId="77777777" w:rsidR="002A4DDF" w:rsidRPr="00937C8B" w:rsidRDefault="002A4DDF" w:rsidP="009110ED">
            <w:pPr>
              <w:rPr>
                <w:rFonts w:ascii="Arial" w:hAnsi="Arial" w:cs="Arial"/>
                <w:sz w:val="12"/>
                <w:szCs w:val="12"/>
              </w:rPr>
            </w:pPr>
          </w:p>
        </w:tc>
        <w:tc>
          <w:tcPr>
            <w:tcW w:w="2268" w:type="dxa"/>
            <w:shd w:val="clear" w:color="auto" w:fill="F2F2F2"/>
            <w:hideMark/>
          </w:tcPr>
          <w:p w14:paraId="28B77F82" w14:textId="77777777" w:rsidR="002A4DDF" w:rsidRPr="00937C8B" w:rsidRDefault="002A4DDF" w:rsidP="009110ED">
            <w:pPr>
              <w:rPr>
                <w:rFonts w:ascii="Arial" w:hAnsi="Arial" w:cs="Arial"/>
                <w:sz w:val="12"/>
                <w:szCs w:val="12"/>
              </w:rPr>
            </w:pPr>
            <w:r>
              <w:rPr>
                <w:rFonts w:ascii="Arial" w:hAnsi="Arial"/>
                <w:sz w:val="12"/>
                <w:szCs w:val="12"/>
              </w:rPr>
              <w:t>San Nicolás del Puerto</w:t>
            </w:r>
          </w:p>
        </w:tc>
        <w:tc>
          <w:tcPr>
            <w:tcW w:w="2268" w:type="dxa"/>
            <w:tcBorders>
              <w:right w:val="single" w:sz="4" w:space="0" w:color="auto"/>
            </w:tcBorders>
            <w:shd w:val="clear" w:color="auto" w:fill="D9D9D9"/>
            <w:hideMark/>
          </w:tcPr>
          <w:p w14:paraId="22A35C1F" w14:textId="77777777" w:rsidR="002A4DDF" w:rsidRPr="00937C8B" w:rsidRDefault="002A4DDF" w:rsidP="009110ED">
            <w:pPr>
              <w:rPr>
                <w:rFonts w:ascii="Arial" w:hAnsi="Arial" w:cs="Arial"/>
                <w:sz w:val="12"/>
                <w:szCs w:val="12"/>
              </w:rPr>
            </w:pPr>
          </w:p>
        </w:tc>
      </w:tr>
      <w:tr w:rsidR="002A4DDF" w:rsidRPr="00937C8B" w14:paraId="6537022F" w14:textId="77777777" w:rsidTr="00935676">
        <w:trPr>
          <w:cantSplit/>
        </w:trPr>
        <w:tc>
          <w:tcPr>
            <w:tcW w:w="1696" w:type="dxa"/>
            <w:tcBorders>
              <w:left w:val="single" w:sz="4" w:space="0" w:color="auto"/>
            </w:tcBorders>
            <w:shd w:val="clear" w:color="auto" w:fill="auto"/>
          </w:tcPr>
          <w:p w14:paraId="74E91600" w14:textId="77777777" w:rsidR="002A4DDF" w:rsidRPr="00937C8B" w:rsidRDefault="002A4DDF" w:rsidP="009110ED">
            <w:pPr>
              <w:rPr>
                <w:rFonts w:ascii="Arial" w:hAnsi="Arial" w:cs="Arial"/>
                <w:sz w:val="12"/>
                <w:szCs w:val="12"/>
              </w:rPr>
            </w:pPr>
          </w:p>
        </w:tc>
        <w:tc>
          <w:tcPr>
            <w:tcW w:w="1843" w:type="dxa"/>
            <w:shd w:val="clear" w:color="auto" w:fill="auto"/>
          </w:tcPr>
          <w:p w14:paraId="2CFE004D" w14:textId="77777777" w:rsidR="002A4DDF" w:rsidRPr="00937C8B" w:rsidRDefault="002A4DDF" w:rsidP="009110ED">
            <w:pPr>
              <w:rPr>
                <w:rFonts w:ascii="Arial" w:hAnsi="Arial" w:cs="Arial"/>
                <w:sz w:val="12"/>
                <w:szCs w:val="12"/>
              </w:rPr>
            </w:pPr>
          </w:p>
        </w:tc>
        <w:tc>
          <w:tcPr>
            <w:tcW w:w="2268" w:type="dxa"/>
            <w:shd w:val="clear" w:color="auto" w:fill="F2F2F2"/>
            <w:hideMark/>
          </w:tcPr>
          <w:p w14:paraId="275E5F05" w14:textId="77777777" w:rsidR="002A4DDF" w:rsidRPr="00937C8B" w:rsidRDefault="002A4DDF" w:rsidP="009110ED">
            <w:pPr>
              <w:rPr>
                <w:rFonts w:ascii="Arial" w:hAnsi="Arial" w:cs="Arial"/>
                <w:sz w:val="12"/>
                <w:szCs w:val="12"/>
              </w:rPr>
            </w:pPr>
            <w:r>
              <w:rPr>
                <w:rFonts w:ascii="Arial" w:hAnsi="Arial"/>
                <w:sz w:val="12"/>
                <w:szCs w:val="12"/>
              </w:rPr>
              <w:t>Tocina</w:t>
            </w:r>
          </w:p>
        </w:tc>
        <w:tc>
          <w:tcPr>
            <w:tcW w:w="2268" w:type="dxa"/>
            <w:tcBorders>
              <w:right w:val="single" w:sz="4" w:space="0" w:color="auto"/>
            </w:tcBorders>
            <w:shd w:val="clear" w:color="auto" w:fill="D9D9D9"/>
            <w:hideMark/>
          </w:tcPr>
          <w:p w14:paraId="6A6FFC82" w14:textId="77777777" w:rsidR="002A4DDF" w:rsidRPr="00937C8B" w:rsidRDefault="002A4DDF" w:rsidP="009110ED">
            <w:pPr>
              <w:rPr>
                <w:rFonts w:ascii="Arial" w:hAnsi="Arial" w:cs="Arial"/>
                <w:sz w:val="12"/>
                <w:szCs w:val="12"/>
              </w:rPr>
            </w:pPr>
          </w:p>
        </w:tc>
      </w:tr>
      <w:tr w:rsidR="002A4DDF" w:rsidRPr="00937C8B" w14:paraId="29961222" w14:textId="77777777" w:rsidTr="00935676">
        <w:trPr>
          <w:cantSplit/>
        </w:trPr>
        <w:tc>
          <w:tcPr>
            <w:tcW w:w="1696" w:type="dxa"/>
            <w:tcBorders>
              <w:left w:val="single" w:sz="4" w:space="0" w:color="auto"/>
            </w:tcBorders>
            <w:shd w:val="clear" w:color="auto" w:fill="auto"/>
          </w:tcPr>
          <w:p w14:paraId="0A5BA1B0" w14:textId="77777777" w:rsidR="002A4DDF" w:rsidRPr="00937C8B" w:rsidRDefault="002A4DDF" w:rsidP="009110ED">
            <w:pPr>
              <w:rPr>
                <w:rFonts w:ascii="Arial" w:hAnsi="Arial" w:cs="Arial"/>
                <w:sz w:val="12"/>
                <w:szCs w:val="12"/>
              </w:rPr>
            </w:pPr>
          </w:p>
        </w:tc>
        <w:tc>
          <w:tcPr>
            <w:tcW w:w="1843" w:type="dxa"/>
            <w:shd w:val="clear" w:color="auto" w:fill="auto"/>
          </w:tcPr>
          <w:p w14:paraId="7856A3E4" w14:textId="77777777" w:rsidR="002A4DDF" w:rsidRPr="00937C8B" w:rsidRDefault="002A4DDF" w:rsidP="009110ED">
            <w:pPr>
              <w:rPr>
                <w:rFonts w:ascii="Arial" w:hAnsi="Arial" w:cs="Arial"/>
                <w:sz w:val="12"/>
                <w:szCs w:val="12"/>
              </w:rPr>
            </w:pPr>
          </w:p>
        </w:tc>
        <w:tc>
          <w:tcPr>
            <w:tcW w:w="2268" w:type="dxa"/>
            <w:shd w:val="clear" w:color="auto" w:fill="F2F2F2"/>
            <w:hideMark/>
          </w:tcPr>
          <w:p w14:paraId="2EDA628E" w14:textId="77777777" w:rsidR="002A4DDF" w:rsidRPr="00937C8B" w:rsidRDefault="002A4DDF" w:rsidP="009110ED">
            <w:pPr>
              <w:rPr>
                <w:rFonts w:ascii="Arial" w:hAnsi="Arial" w:cs="Arial"/>
                <w:sz w:val="12"/>
                <w:szCs w:val="12"/>
              </w:rPr>
            </w:pPr>
            <w:r>
              <w:rPr>
                <w:rFonts w:ascii="Arial" w:hAnsi="Arial"/>
                <w:sz w:val="12"/>
                <w:szCs w:val="12"/>
              </w:rPr>
              <w:t>Villanueva del Río y Minas</w:t>
            </w:r>
          </w:p>
        </w:tc>
        <w:tc>
          <w:tcPr>
            <w:tcW w:w="2268" w:type="dxa"/>
            <w:tcBorders>
              <w:right w:val="single" w:sz="4" w:space="0" w:color="auto"/>
            </w:tcBorders>
            <w:shd w:val="clear" w:color="auto" w:fill="D9D9D9"/>
            <w:hideMark/>
          </w:tcPr>
          <w:p w14:paraId="0B03BDD4" w14:textId="77777777" w:rsidR="002A4DDF" w:rsidRPr="00937C8B" w:rsidRDefault="002A4DDF" w:rsidP="009110ED">
            <w:pPr>
              <w:rPr>
                <w:rFonts w:ascii="Arial" w:hAnsi="Arial" w:cs="Arial"/>
                <w:sz w:val="12"/>
                <w:szCs w:val="12"/>
              </w:rPr>
            </w:pPr>
          </w:p>
        </w:tc>
      </w:tr>
      <w:tr w:rsidR="002A4DDF" w:rsidRPr="00937C8B" w14:paraId="65B4CAB4" w14:textId="77777777" w:rsidTr="00935676">
        <w:trPr>
          <w:cantSplit/>
        </w:trPr>
        <w:tc>
          <w:tcPr>
            <w:tcW w:w="1696" w:type="dxa"/>
            <w:tcBorders>
              <w:left w:val="single" w:sz="4" w:space="0" w:color="auto"/>
              <w:bottom w:val="single" w:sz="4" w:space="0" w:color="auto"/>
            </w:tcBorders>
            <w:shd w:val="clear" w:color="auto" w:fill="auto"/>
            <w:hideMark/>
          </w:tcPr>
          <w:p w14:paraId="7D426AF4" w14:textId="77777777" w:rsidR="002A4DDF" w:rsidRPr="00937C8B" w:rsidRDefault="002A4DDF" w:rsidP="009110ED">
            <w:pPr>
              <w:rPr>
                <w:rFonts w:ascii="Arial" w:hAnsi="Arial" w:cs="Arial"/>
                <w:sz w:val="12"/>
                <w:szCs w:val="12"/>
              </w:rPr>
            </w:pPr>
            <w:r>
              <w:rPr>
                <w:rFonts w:ascii="Arial" w:hAnsi="Arial"/>
                <w:sz w:val="12"/>
                <w:szCs w:val="12"/>
              </w:rPr>
              <w:t>Andalousie</w:t>
            </w:r>
          </w:p>
        </w:tc>
        <w:tc>
          <w:tcPr>
            <w:tcW w:w="1843" w:type="dxa"/>
            <w:tcBorders>
              <w:bottom w:val="single" w:sz="4" w:space="0" w:color="auto"/>
            </w:tcBorders>
            <w:shd w:val="clear" w:color="auto" w:fill="auto"/>
            <w:hideMark/>
          </w:tcPr>
          <w:p w14:paraId="780E1337" w14:textId="77777777" w:rsidR="002A4DDF" w:rsidRPr="00937C8B" w:rsidRDefault="002A4DDF" w:rsidP="009110ED">
            <w:pPr>
              <w:rPr>
                <w:rFonts w:ascii="Arial" w:hAnsi="Arial" w:cs="Arial"/>
                <w:sz w:val="12"/>
                <w:szCs w:val="12"/>
              </w:rPr>
            </w:pPr>
            <w:r>
              <w:rPr>
                <w:rFonts w:ascii="Arial" w:hAnsi="Arial"/>
                <w:sz w:val="12"/>
                <w:szCs w:val="12"/>
              </w:rPr>
              <w:t>Séville</w:t>
            </w:r>
          </w:p>
        </w:tc>
        <w:tc>
          <w:tcPr>
            <w:tcW w:w="2268" w:type="dxa"/>
            <w:tcBorders>
              <w:bottom w:val="single" w:sz="4" w:space="0" w:color="auto"/>
            </w:tcBorders>
            <w:shd w:val="clear" w:color="auto" w:fill="F2F2F2"/>
            <w:hideMark/>
          </w:tcPr>
          <w:p w14:paraId="4F04197E" w14:textId="77777777" w:rsidR="002A4DDF" w:rsidRPr="00937C8B" w:rsidRDefault="002A4DDF" w:rsidP="009110ED">
            <w:pPr>
              <w:rPr>
                <w:rFonts w:ascii="Arial" w:hAnsi="Arial" w:cs="Arial"/>
                <w:sz w:val="12"/>
                <w:szCs w:val="12"/>
              </w:rPr>
            </w:pPr>
            <w:r>
              <w:rPr>
                <w:rFonts w:ascii="Arial" w:hAnsi="Arial"/>
                <w:sz w:val="12"/>
                <w:szCs w:val="12"/>
              </w:rPr>
              <w:t>Villaverde del Río</w:t>
            </w:r>
          </w:p>
        </w:tc>
        <w:tc>
          <w:tcPr>
            <w:tcW w:w="2268" w:type="dxa"/>
            <w:tcBorders>
              <w:bottom w:val="single" w:sz="4" w:space="0" w:color="auto"/>
              <w:right w:val="single" w:sz="4" w:space="0" w:color="auto"/>
            </w:tcBorders>
            <w:shd w:val="clear" w:color="auto" w:fill="D9D9D9"/>
            <w:hideMark/>
          </w:tcPr>
          <w:p w14:paraId="6B52E1FE" w14:textId="77777777" w:rsidR="002A4DDF" w:rsidRPr="00937C8B" w:rsidRDefault="002A4DDF" w:rsidP="009110ED">
            <w:pPr>
              <w:rPr>
                <w:rFonts w:ascii="Arial" w:hAnsi="Arial" w:cs="Arial"/>
                <w:sz w:val="12"/>
                <w:szCs w:val="12"/>
              </w:rPr>
            </w:pPr>
          </w:p>
        </w:tc>
      </w:tr>
      <w:tr w:rsidR="002A4DDF" w:rsidRPr="00937C8B" w14:paraId="060CAA06" w14:textId="77777777" w:rsidTr="00935676">
        <w:trPr>
          <w:cantSplit/>
        </w:trPr>
        <w:tc>
          <w:tcPr>
            <w:tcW w:w="1696" w:type="dxa"/>
            <w:tcBorders>
              <w:top w:val="single" w:sz="4" w:space="0" w:color="auto"/>
            </w:tcBorders>
            <w:shd w:val="clear" w:color="auto" w:fill="auto"/>
            <w:hideMark/>
          </w:tcPr>
          <w:p w14:paraId="63D137ED" w14:textId="77777777" w:rsidR="002A4DDF" w:rsidRPr="00937C8B" w:rsidRDefault="002A4DDF" w:rsidP="009110ED">
            <w:pPr>
              <w:rPr>
                <w:rFonts w:ascii="Arial" w:hAnsi="Arial" w:cs="Arial"/>
                <w:sz w:val="12"/>
                <w:szCs w:val="12"/>
              </w:rPr>
            </w:pPr>
          </w:p>
        </w:tc>
        <w:tc>
          <w:tcPr>
            <w:tcW w:w="1843" w:type="dxa"/>
            <w:tcBorders>
              <w:top w:val="single" w:sz="4" w:space="0" w:color="auto"/>
            </w:tcBorders>
            <w:shd w:val="clear" w:color="auto" w:fill="auto"/>
            <w:hideMark/>
          </w:tcPr>
          <w:p w14:paraId="6C5B6573" w14:textId="77777777" w:rsidR="002A4DDF" w:rsidRPr="00937C8B"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14:paraId="094FCB44" w14:textId="77777777" w:rsidR="002A4DDF" w:rsidRPr="00937C8B"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14:paraId="5535A520" w14:textId="77777777" w:rsidR="002A4DDF" w:rsidRPr="00937C8B" w:rsidRDefault="002A4DDF" w:rsidP="009110ED">
            <w:pPr>
              <w:rPr>
                <w:rFonts w:ascii="Arial" w:hAnsi="Arial" w:cs="Arial"/>
                <w:sz w:val="12"/>
                <w:szCs w:val="12"/>
              </w:rPr>
            </w:pPr>
          </w:p>
        </w:tc>
      </w:tr>
      <w:tr w:rsidR="002A4DDF" w:rsidRPr="00937C8B" w14:paraId="01A6DBC2" w14:textId="77777777" w:rsidTr="00935676">
        <w:trPr>
          <w:cantSplit/>
        </w:trPr>
        <w:tc>
          <w:tcPr>
            <w:tcW w:w="1696" w:type="dxa"/>
            <w:tcBorders>
              <w:bottom w:val="single" w:sz="4" w:space="0" w:color="auto"/>
            </w:tcBorders>
            <w:shd w:val="clear" w:color="auto" w:fill="auto"/>
            <w:hideMark/>
          </w:tcPr>
          <w:p w14:paraId="2EE36326" w14:textId="77777777" w:rsidR="002A4DDF" w:rsidRPr="00937C8B"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14:paraId="645F80C5" w14:textId="77777777" w:rsidR="002A4DDF" w:rsidRPr="00937C8B"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14:paraId="3EDBE8D9" w14:textId="77777777" w:rsidR="002A4DDF" w:rsidRPr="00937C8B"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14:paraId="15809A29" w14:textId="77777777" w:rsidR="002A4DDF" w:rsidRPr="00937C8B" w:rsidRDefault="002A4DDF" w:rsidP="009110ED">
            <w:pPr>
              <w:rPr>
                <w:rFonts w:ascii="Arial" w:hAnsi="Arial" w:cs="Arial"/>
                <w:sz w:val="12"/>
                <w:szCs w:val="12"/>
              </w:rPr>
            </w:pPr>
          </w:p>
        </w:tc>
      </w:tr>
      <w:tr w:rsidR="002A4DDF" w:rsidRPr="00937C8B" w14:paraId="6E43D24C" w14:textId="77777777" w:rsidTr="00935676">
        <w:trPr>
          <w:cantSplit/>
        </w:trPr>
        <w:tc>
          <w:tcPr>
            <w:tcW w:w="1696" w:type="dxa"/>
            <w:tcBorders>
              <w:top w:val="single" w:sz="4" w:space="0" w:color="auto"/>
              <w:left w:val="single" w:sz="4" w:space="0" w:color="auto"/>
            </w:tcBorders>
            <w:shd w:val="clear" w:color="auto" w:fill="auto"/>
            <w:hideMark/>
          </w:tcPr>
          <w:p w14:paraId="7949522D" w14:textId="77777777" w:rsidR="002A4DDF" w:rsidRPr="00937C8B" w:rsidRDefault="002A4DDF" w:rsidP="009110ED">
            <w:pPr>
              <w:rPr>
                <w:rFonts w:ascii="Arial" w:hAnsi="Arial" w:cs="Arial"/>
                <w:sz w:val="12"/>
                <w:szCs w:val="12"/>
              </w:rPr>
            </w:pPr>
            <w:r>
              <w:rPr>
                <w:rFonts w:ascii="Arial" w:hAnsi="Arial"/>
                <w:sz w:val="12"/>
                <w:szCs w:val="12"/>
              </w:rPr>
              <w:t>Aragon</w:t>
            </w:r>
          </w:p>
        </w:tc>
        <w:tc>
          <w:tcPr>
            <w:tcW w:w="1843" w:type="dxa"/>
            <w:tcBorders>
              <w:top w:val="single" w:sz="4" w:space="0" w:color="auto"/>
            </w:tcBorders>
            <w:shd w:val="clear" w:color="auto" w:fill="auto"/>
            <w:hideMark/>
          </w:tcPr>
          <w:p w14:paraId="0CE28B1A" w14:textId="77777777" w:rsidR="002A4DDF" w:rsidRPr="00937C8B" w:rsidRDefault="002A4DDF" w:rsidP="009110ED">
            <w:pPr>
              <w:rPr>
                <w:rFonts w:ascii="Arial" w:hAnsi="Arial" w:cs="Arial"/>
                <w:sz w:val="12"/>
                <w:szCs w:val="12"/>
              </w:rPr>
            </w:pPr>
            <w:r>
              <w:rPr>
                <w:rFonts w:ascii="Arial" w:hAnsi="Arial"/>
                <w:sz w:val="12"/>
                <w:szCs w:val="12"/>
              </w:rPr>
              <w:t>Huesca</w:t>
            </w:r>
          </w:p>
        </w:tc>
        <w:tc>
          <w:tcPr>
            <w:tcW w:w="2268" w:type="dxa"/>
            <w:tcBorders>
              <w:top w:val="single" w:sz="4" w:space="0" w:color="auto"/>
            </w:tcBorders>
            <w:shd w:val="clear" w:color="auto" w:fill="F2F2F2"/>
            <w:hideMark/>
          </w:tcPr>
          <w:p w14:paraId="69FF221C" w14:textId="77777777" w:rsidR="002A4DDF" w:rsidRPr="00937C8B" w:rsidRDefault="002A4DDF" w:rsidP="009110ED">
            <w:pPr>
              <w:rPr>
                <w:rFonts w:ascii="Arial" w:hAnsi="Arial" w:cs="Arial"/>
                <w:sz w:val="12"/>
                <w:szCs w:val="12"/>
              </w:rPr>
            </w:pPr>
            <w:r>
              <w:rPr>
                <w:rFonts w:ascii="Arial" w:hAnsi="Arial"/>
                <w:sz w:val="12"/>
                <w:szCs w:val="12"/>
              </w:rPr>
              <w:t>Albalate de Cinca</w:t>
            </w:r>
          </w:p>
        </w:tc>
        <w:tc>
          <w:tcPr>
            <w:tcW w:w="2268" w:type="dxa"/>
            <w:tcBorders>
              <w:top w:val="single" w:sz="4" w:space="0" w:color="auto"/>
              <w:right w:val="single" w:sz="4" w:space="0" w:color="auto"/>
            </w:tcBorders>
            <w:shd w:val="clear" w:color="auto" w:fill="D9D9D9"/>
            <w:hideMark/>
          </w:tcPr>
          <w:p w14:paraId="7BCC78D1" w14:textId="77777777" w:rsidR="002A4DDF" w:rsidRPr="00937C8B" w:rsidRDefault="002A4DDF" w:rsidP="009110ED">
            <w:pPr>
              <w:rPr>
                <w:rFonts w:ascii="Arial" w:hAnsi="Arial" w:cs="Arial"/>
                <w:sz w:val="12"/>
                <w:szCs w:val="12"/>
              </w:rPr>
            </w:pPr>
            <w:r>
              <w:rPr>
                <w:rFonts w:ascii="Arial" w:hAnsi="Arial"/>
                <w:sz w:val="12"/>
                <w:szCs w:val="12"/>
              </w:rPr>
              <w:t>Aisa</w:t>
            </w:r>
          </w:p>
        </w:tc>
      </w:tr>
      <w:tr w:rsidR="002A4DDF" w:rsidRPr="00937C8B" w14:paraId="707FFCE0" w14:textId="77777777" w:rsidTr="00935676">
        <w:trPr>
          <w:cantSplit/>
        </w:trPr>
        <w:tc>
          <w:tcPr>
            <w:tcW w:w="1696" w:type="dxa"/>
            <w:tcBorders>
              <w:left w:val="single" w:sz="4" w:space="0" w:color="auto"/>
            </w:tcBorders>
            <w:shd w:val="clear" w:color="auto" w:fill="auto"/>
          </w:tcPr>
          <w:p w14:paraId="3AE7AEDC" w14:textId="77777777" w:rsidR="002A4DDF" w:rsidRPr="00937C8B" w:rsidRDefault="002A4DDF" w:rsidP="009110ED">
            <w:pPr>
              <w:rPr>
                <w:rFonts w:ascii="Arial" w:hAnsi="Arial" w:cs="Arial"/>
                <w:sz w:val="12"/>
                <w:szCs w:val="12"/>
              </w:rPr>
            </w:pPr>
          </w:p>
        </w:tc>
        <w:tc>
          <w:tcPr>
            <w:tcW w:w="1843" w:type="dxa"/>
            <w:shd w:val="clear" w:color="auto" w:fill="auto"/>
          </w:tcPr>
          <w:p w14:paraId="652C147F" w14:textId="77777777" w:rsidR="002A4DDF" w:rsidRPr="00937C8B" w:rsidRDefault="002A4DDF" w:rsidP="009110ED">
            <w:pPr>
              <w:rPr>
                <w:rFonts w:ascii="Arial" w:hAnsi="Arial" w:cs="Arial"/>
                <w:sz w:val="12"/>
                <w:szCs w:val="12"/>
              </w:rPr>
            </w:pPr>
          </w:p>
        </w:tc>
        <w:tc>
          <w:tcPr>
            <w:tcW w:w="2268" w:type="dxa"/>
            <w:shd w:val="clear" w:color="auto" w:fill="F2F2F2"/>
            <w:hideMark/>
          </w:tcPr>
          <w:p w14:paraId="671B3F86" w14:textId="77777777" w:rsidR="002A4DDF" w:rsidRPr="00937C8B" w:rsidRDefault="002A4DDF" w:rsidP="009110ED">
            <w:pPr>
              <w:rPr>
                <w:rFonts w:ascii="Arial" w:hAnsi="Arial" w:cs="Arial"/>
                <w:sz w:val="12"/>
                <w:szCs w:val="12"/>
              </w:rPr>
            </w:pPr>
            <w:r>
              <w:rPr>
                <w:rFonts w:ascii="Arial" w:hAnsi="Arial"/>
                <w:sz w:val="12"/>
                <w:szCs w:val="12"/>
              </w:rPr>
              <w:t>Albelda</w:t>
            </w:r>
          </w:p>
        </w:tc>
        <w:tc>
          <w:tcPr>
            <w:tcW w:w="2268" w:type="dxa"/>
            <w:tcBorders>
              <w:right w:val="single" w:sz="4" w:space="0" w:color="auto"/>
            </w:tcBorders>
            <w:shd w:val="clear" w:color="auto" w:fill="D9D9D9"/>
            <w:hideMark/>
          </w:tcPr>
          <w:p w14:paraId="1B60ED65" w14:textId="77777777" w:rsidR="002A4DDF" w:rsidRPr="00937C8B" w:rsidRDefault="002A4DDF" w:rsidP="009110ED">
            <w:pPr>
              <w:rPr>
                <w:rFonts w:ascii="Arial" w:hAnsi="Arial" w:cs="Arial"/>
                <w:sz w:val="12"/>
                <w:szCs w:val="12"/>
              </w:rPr>
            </w:pPr>
            <w:r>
              <w:rPr>
                <w:rFonts w:ascii="Arial" w:hAnsi="Arial"/>
                <w:sz w:val="12"/>
                <w:szCs w:val="12"/>
              </w:rPr>
              <w:t>Benasque</w:t>
            </w:r>
          </w:p>
        </w:tc>
      </w:tr>
      <w:tr w:rsidR="002A4DDF" w:rsidRPr="00937C8B" w14:paraId="245681CA" w14:textId="77777777" w:rsidTr="00935676">
        <w:trPr>
          <w:cantSplit/>
        </w:trPr>
        <w:tc>
          <w:tcPr>
            <w:tcW w:w="1696" w:type="dxa"/>
            <w:tcBorders>
              <w:left w:val="single" w:sz="4" w:space="0" w:color="auto"/>
            </w:tcBorders>
            <w:shd w:val="clear" w:color="auto" w:fill="auto"/>
          </w:tcPr>
          <w:p w14:paraId="79151EA0" w14:textId="77777777" w:rsidR="002A4DDF" w:rsidRPr="00937C8B" w:rsidRDefault="002A4DDF" w:rsidP="009110ED">
            <w:pPr>
              <w:rPr>
                <w:rFonts w:ascii="Arial" w:hAnsi="Arial" w:cs="Arial"/>
                <w:sz w:val="12"/>
                <w:szCs w:val="12"/>
              </w:rPr>
            </w:pPr>
          </w:p>
        </w:tc>
        <w:tc>
          <w:tcPr>
            <w:tcW w:w="1843" w:type="dxa"/>
            <w:shd w:val="clear" w:color="auto" w:fill="auto"/>
          </w:tcPr>
          <w:p w14:paraId="3A44C6B4" w14:textId="77777777" w:rsidR="002A4DDF" w:rsidRPr="00937C8B" w:rsidRDefault="002A4DDF" w:rsidP="009110ED">
            <w:pPr>
              <w:rPr>
                <w:rFonts w:ascii="Arial" w:hAnsi="Arial" w:cs="Arial"/>
                <w:sz w:val="12"/>
                <w:szCs w:val="12"/>
              </w:rPr>
            </w:pPr>
          </w:p>
        </w:tc>
        <w:tc>
          <w:tcPr>
            <w:tcW w:w="2268" w:type="dxa"/>
            <w:shd w:val="clear" w:color="auto" w:fill="F2F2F2"/>
            <w:hideMark/>
          </w:tcPr>
          <w:p w14:paraId="7B87B47D" w14:textId="77777777" w:rsidR="002A4DDF" w:rsidRPr="00937C8B" w:rsidRDefault="002A4DDF" w:rsidP="009110ED">
            <w:pPr>
              <w:rPr>
                <w:rFonts w:ascii="Arial" w:hAnsi="Arial" w:cs="Arial"/>
                <w:sz w:val="12"/>
                <w:szCs w:val="12"/>
              </w:rPr>
            </w:pPr>
            <w:r>
              <w:rPr>
                <w:rFonts w:ascii="Arial" w:hAnsi="Arial"/>
                <w:sz w:val="12"/>
                <w:szCs w:val="12"/>
              </w:rPr>
              <w:t>Alcalá del Obispo</w:t>
            </w:r>
          </w:p>
        </w:tc>
        <w:tc>
          <w:tcPr>
            <w:tcW w:w="2268" w:type="dxa"/>
            <w:tcBorders>
              <w:right w:val="single" w:sz="4" w:space="0" w:color="auto"/>
            </w:tcBorders>
            <w:shd w:val="clear" w:color="auto" w:fill="D9D9D9"/>
            <w:hideMark/>
          </w:tcPr>
          <w:p w14:paraId="20241C18" w14:textId="77777777" w:rsidR="002A4DDF" w:rsidRPr="00937C8B" w:rsidRDefault="002A4DDF" w:rsidP="009110ED">
            <w:pPr>
              <w:rPr>
                <w:rFonts w:ascii="Arial" w:hAnsi="Arial" w:cs="Arial"/>
                <w:sz w:val="12"/>
                <w:szCs w:val="12"/>
              </w:rPr>
            </w:pPr>
            <w:r>
              <w:rPr>
                <w:rFonts w:ascii="Arial" w:hAnsi="Arial"/>
                <w:sz w:val="12"/>
                <w:szCs w:val="12"/>
              </w:rPr>
              <w:t>Canfranc</w:t>
            </w:r>
          </w:p>
        </w:tc>
      </w:tr>
      <w:tr w:rsidR="002A4DDF" w:rsidRPr="00937C8B" w14:paraId="18CB6752" w14:textId="77777777" w:rsidTr="00935676">
        <w:trPr>
          <w:cantSplit/>
        </w:trPr>
        <w:tc>
          <w:tcPr>
            <w:tcW w:w="1696" w:type="dxa"/>
            <w:tcBorders>
              <w:left w:val="single" w:sz="4" w:space="0" w:color="auto"/>
            </w:tcBorders>
            <w:shd w:val="clear" w:color="auto" w:fill="auto"/>
          </w:tcPr>
          <w:p w14:paraId="25BDD749" w14:textId="77777777" w:rsidR="002A4DDF" w:rsidRPr="00937C8B" w:rsidRDefault="002A4DDF" w:rsidP="009110ED">
            <w:pPr>
              <w:rPr>
                <w:rFonts w:ascii="Arial" w:hAnsi="Arial" w:cs="Arial"/>
                <w:sz w:val="12"/>
                <w:szCs w:val="12"/>
              </w:rPr>
            </w:pPr>
          </w:p>
        </w:tc>
        <w:tc>
          <w:tcPr>
            <w:tcW w:w="1843" w:type="dxa"/>
            <w:shd w:val="clear" w:color="auto" w:fill="auto"/>
          </w:tcPr>
          <w:p w14:paraId="7EF8C822" w14:textId="77777777" w:rsidR="002A4DDF" w:rsidRPr="00937C8B" w:rsidRDefault="002A4DDF" w:rsidP="009110ED">
            <w:pPr>
              <w:rPr>
                <w:rFonts w:ascii="Arial" w:hAnsi="Arial" w:cs="Arial"/>
                <w:sz w:val="12"/>
                <w:szCs w:val="12"/>
              </w:rPr>
            </w:pPr>
          </w:p>
        </w:tc>
        <w:tc>
          <w:tcPr>
            <w:tcW w:w="2268" w:type="dxa"/>
            <w:shd w:val="clear" w:color="auto" w:fill="F2F2F2"/>
            <w:hideMark/>
          </w:tcPr>
          <w:p w14:paraId="2922BE88" w14:textId="77777777" w:rsidR="002A4DDF" w:rsidRPr="00937C8B" w:rsidRDefault="002A4DDF" w:rsidP="009110ED">
            <w:pPr>
              <w:rPr>
                <w:rFonts w:ascii="Arial" w:hAnsi="Arial" w:cs="Arial"/>
                <w:sz w:val="12"/>
                <w:szCs w:val="12"/>
              </w:rPr>
            </w:pPr>
            <w:r>
              <w:rPr>
                <w:rFonts w:ascii="Arial" w:hAnsi="Arial"/>
                <w:sz w:val="12"/>
                <w:szCs w:val="12"/>
              </w:rPr>
              <w:t>Alcolea de Cinca</w:t>
            </w:r>
          </w:p>
        </w:tc>
        <w:tc>
          <w:tcPr>
            <w:tcW w:w="2268" w:type="dxa"/>
            <w:tcBorders>
              <w:right w:val="single" w:sz="4" w:space="0" w:color="auto"/>
            </w:tcBorders>
            <w:shd w:val="clear" w:color="auto" w:fill="D9D9D9"/>
            <w:hideMark/>
          </w:tcPr>
          <w:p w14:paraId="34F43CC0" w14:textId="77777777" w:rsidR="002A4DDF" w:rsidRPr="00937C8B" w:rsidRDefault="002A4DDF" w:rsidP="009110ED">
            <w:pPr>
              <w:rPr>
                <w:rFonts w:ascii="Arial" w:hAnsi="Arial" w:cs="Arial"/>
                <w:sz w:val="12"/>
                <w:szCs w:val="12"/>
              </w:rPr>
            </w:pPr>
            <w:r>
              <w:rPr>
                <w:rFonts w:ascii="Arial" w:hAnsi="Arial"/>
                <w:sz w:val="12"/>
                <w:szCs w:val="12"/>
              </w:rPr>
              <w:t>Castejón de Sos</w:t>
            </w:r>
          </w:p>
        </w:tc>
      </w:tr>
      <w:tr w:rsidR="002A4DDF" w:rsidRPr="00937C8B" w14:paraId="0D8E8E22" w14:textId="77777777" w:rsidTr="00935676">
        <w:trPr>
          <w:cantSplit/>
        </w:trPr>
        <w:tc>
          <w:tcPr>
            <w:tcW w:w="1696" w:type="dxa"/>
            <w:tcBorders>
              <w:left w:val="single" w:sz="4" w:space="0" w:color="auto"/>
            </w:tcBorders>
            <w:shd w:val="clear" w:color="auto" w:fill="auto"/>
          </w:tcPr>
          <w:p w14:paraId="4E4778E6" w14:textId="77777777" w:rsidR="002A4DDF" w:rsidRPr="00937C8B" w:rsidRDefault="002A4DDF" w:rsidP="009110ED">
            <w:pPr>
              <w:rPr>
                <w:rFonts w:ascii="Arial" w:hAnsi="Arial" w:cs="Arial"/>
                <w:sz w:val="12"/>
                <w:szCs w:val="12"/>
              </w:rPr>
            </w:pPr>
          </w:p>
        </w:tc>
        <w:tc>
          <w:tcPr>
            <w:tcW w:w="1843" w:type="dxa"/>
            <w:shd w:val="clear" w:color="auto" w:fill="auto"/>
          </w:tcPr>
          <w:p w14:paraId="26F5EDAB" w14:textId="77777777" w:rsidR="002A4DDF" w:rsidRPr="00937C8B" w:rsidRDefault="002A4DDF" w:rsidP="009110ED">
            <w:pPr>
              <w:rPr>
                <w:rFonts w:ascii="Arial" w:hAnsi="Arial" w:cs="Arial"/>
                <w:sz w:val="12"/>
                <w:szCs w:val="12"/>
              </w:rPr>
            </w:pPr>
          </w:p>
        </w:tc>
        <w:tc>
          <w:tcPr>
            <w:tcW w:w="2268" w:type="dxa"/>
            <w:shd w:val="clear" w:color="auto" w:fill="F2F2F2"/>
            <w:hideMark/>
          </w:tcPr>
          <w:p w14:paraId="43AB71FE" w14:textId="77777777" w:rsidR="002A4DDF" w:rsidRPr="00937C8B" w:rsidRDefault="002A4DDF" w:rsidP="009110ED">
            <w:pPr>
              <w:rPr>
                <w:rFonts w:ascii="Arial" w:hAnsi="Arial" w:cs="Arial"/>
                <w:sz w:val="12"/>
                <w:szCs w:val="12"/>
              </w:rPr>
            </w:pPr>
            <w:r>
              <w:rPr>
                <w:rFonts w:ascii="Arial" w:hAnsi="Arial"/>
                <w:sz w:val="12"/>
                <w:szCs w:val="12"/>
              </w:rPr>
              <w:t>Almudévar</w:t>
            </w:r>
          </w:p>
        </w:tc>
        <w:tc>
          <w:tcPr>
            <w:tcW w:w="2268" w:type="dxa"/>
            <w:tcBorders>
              <w:right w:val="single" w:sz="4" w:space="0" w:color="auto"/>
            </w:tcBorders>
            <w:shd w:val="clear" w:color="auto" w:fill="D9D9D9"/>
            <w:hideMark/>
          </w:tcPr>
          <w:p w14:paraId="2340F1F2" w14:textId="77777777" w:rsidR="002A4DDF" w:rsidRPr="00937C8B" w:rsidRDefault="002A4DDF" w:rsidP="009110ED">
            <w:pPr>
              <w:rPr>
                <w:rFonts w:ascii="Arial" w:hAnsi="Arial" w:cs="Arial"/>
                <w:sz w:val="12"/>
                <w:szCs w:val="12"/>
              </w:rPr>
            </w:pPr>
            <w:r>
              <w:rPr>
                <w:rFonts w:ascii="Arial" w:hAnsi="Arial"/>
                <w:sz w:val="12"/>
                <w:szCs w:val="12"/>
              </w:rPr>
              <w:t>Gistaín</w:t>
            </w:r>
          </w:p>
        </w:tc>
      </w:tr>
      <w:tr w:rsidR="002A4DDF" w:rsidRPr="00937C8B" w14:paraId="3771AF3D" w14:textId="77777777" w:rsidTr="00935676">
        <w:trPr>
          <w:cantSplit/>
        </w:trPr>
        <w:tc>
          <w:tcPr>
            <w:tcW w:w="1696" w:type="dxa"/>
            <w:tcBorders>
              <w:left w:val="single" w:sz="4" w:space="0" w:color="auto"/>
            </w:tcBorders>
            <w:shd w:val="clear" w:color="auto" w:fill="auto"/>
          </w:tcPr>
          <w:p w14:paraId="30EF7130" w14:textId="77777777" w:rsidR="002A4DDF" w:rsidRPr="00937C8B" w:rsidRDefault="002A4DDF" w:rsidP="009110ED">
            <w:pPr>
              <w:rPr>
                <w:rFonts w:ascii="Arial" w:hAnsi="Arial" w:cs="Arial"/>
                <w:sz w:val="12"/>
                <w:szCs w:val="12"/>
              </w:rPr>
            </w:pPr>
          </w:p>
        </w:tc>
        <w:tc>
          <w:tcPr>
            <w:tcW w:w="1843" w:type="dxa"/>
            <w:shd w:val="clear" w:color="auto" w:fill="auto"/>
          </w:tcPr>
          <w:p w14:paraId="6CD6192C" w14:textId="77777777" w:rsidR="002A4DDF" w:rsidRPr="00937C8B" w:rsidRDefault="002A4DDF" w:rsidP="009110ED">
            <w:pPr>
              <w:rPr>
                <w:rFonts w:ascii="Arial" w:hAnsi="Arial" w:cs="Arial"/>
                <w:sz w:val="12"/>
                <w:szCs w:val="12"/>
              </w:rPr>
            </w:pPr>
          </w:p>
        </w:tc>
        <w:tc>
          <w:tcPr>
            <w:tcW w:w="2268" w:type="dxa"/>
            <w:shd w:val="clear" w:color="auto" w:fill="F2F2F2"/>
            <w:hideMark/>
          </w:tcPr>
          <w:p w14:paraId="6C90ABE9" w14:textId="77777777" w:rsidR="002A4DDF" w:rsidRPr="00937C8B" w:rsidRDefault="002A4DDF" w:rsidP="009110ED">
            <w:pPr>
              <w:rPr>
                <w:rFonts w:ascii="Arial" w:hAnsi="Arial" w:cs="Arial"/>
                <w:sz w:val="12"/>
                <w:szCs w:val="12"/>
              </w:rPr>
            </w:pPr>
            <w:r>
              <w:rPr>
                <w:rFonts w:ascii="Arial" w:hAnsi="Arial"/>
                <w:sz w:val="12"/>
                <w:szCs w:val="12"/>
              </w:rPr>
              <w:t>Almuniente</w:t>
            </w:r>
          </w:p>
        </w:tc>
        <w:tc>
          <w:tcPr>
            <w:tcW w:w="2268" w:type="dxa"/>
            <w:tcBorders>
              <w:right w:val="single" w:sz="4" w:space="0" w:color="auto"/>
            </w:tcBorders>
            <w:shd w:val="clear" w:color="auto" w:fill="D9D9D9"/>
            <w:hideMark/>
          </w:tcPr>
          <w:p w14:paraId="051FFE76" w14:textId="77777777" w:rsidR="002A4DDF" w:rsidRPr="00937C8B" w:rsidRDefault="002A4DDF" w:rsidP="009110ED">
            <w:pPr>
              <w:rPr>
                <w:rFonts w:ascii="Arial" w:hAnsi="Arial" w:cs="Arial"/>
                <w:sz w:val="12"/>
                <w:szCs w:val="12"/>
              </w:rPr>
            </w:pPr>
            <w:r>
              <w:rPr>
                <w:rFonts w:ascii="Arial" w:hAnsi="Arial"/>
                <w:sz w:val="12"/>
                <w:szCs w:val="12"/>
              </w:rPr>
              <w:t>Hoz de Jaca</w:t>
            </w:r>
          </w:p>
        </w:tc>
      </w:tr>
      <w:tr w:rsidR="002A4DDF" w:rsidRPr="00937C8B" w14:paraId="71C579DD" w14:textId="77777777" w:rsidTr="00935676">
        <w:trPr>
          <w:cantSplit/>
        </w:trPr>
        <w:tc>
          <w:tcPr>
            <w:tcW w:w="1696" w:type="dxa"/>
            <w:tcBorders>
              <w:left w:val="single" w:sz="4" w:space="0" w:color="auto"/>
            </w:tcBorders>
            <w:shd w:val="clear" w:color="auto" w:fill="auto"/>
          </w:tcPr>
          <w:p w14:paraId="1F5C7DBF" w14:textId="77777777" w:rsidR="002A4DDF" w:rsidRPr="00937C8B" w:rsidRDefault="002A4DDF" w:rsidP="009110ED">
            <w:pPr>
              <w:rPr>
                <w:rFonts w:ascii="Arial" w:hAnsi="Arial" w:cs="Arial"/>
                <w:sz w:val="12"/>
                <w:szCs w:val="12"/>
              </w:rPr>
            </w:pPr>
          </w:p>
        </w:tc>
        <w:tc>
          <w:tcPr>
            <w:tcW w:w="1843" w:type="dxa"/>
            <w:shd w:val="clear" w:color="auto" w:fill="auto"/>
          </w:tcPr>
          <w:p w14:paraId="3A50BFE9" w14:textId="77777777" w:rsidR="002A4DDF" w:rsidRPr="00937C8B" w:rsidRDefault="002A4DDF" w:rsidP="009110ED">
            <w:pPr>
              <w:rPr>
                <w:rFonts w:ascii="Arial" w:hAnsi="Arial" w:cs="Arial"/>
                <w:sz w:val="12"/>
                <w:szCs w:val="12"/>
              </w:rPr>
            </w:pPr>
          </w:p>
        </w:tc>
        <w:tc>
          <w:tcPr>
            <w:tcW w:w="2268" w:type="dxa"/>
            <w:shd w:val="clear" w:color="auto" w:fill="F2F2F2"/>
            <w:hideMark/>
          </w:tcPr>
          <w:p w14:paraId="46DF17F9" w14:textId="77777777" w:rsidR="002A4DDF" w:rsidRPr="00937C8B" w:rsidRDefault="002A4DDF" w:rsidP="009110ED">
            <w:pPr>
              <w:rPr>
                <w:rFonts w:ascii="Arial" w:hAnsi="Arial" w:cs="Arial"/>
                <w:sz w:val="12"/>
                <w:szCs w:val="12"/>
              </w:rPr>
            </w:pPr>
            <w:r>
              <w:rPr>
                <w:rFonts w:ascii="Arial" w:hAnsi="Arial"/>
                <w:sz w:val="12"/>
                <w:szCs w:val="12"/>
              </w:rPr>
              <w:t>Antillón</w:t>
            </w:r>
          </w:p>
        </w:tc>
        <w:tc>
          <w:tcPr>
            <w:tcW w:w="2268" w:type="dxa"/>
            <w:tcBorders>
              <w:right w:val="single" w:sz="4" w:space="0" w:color="auto"/>
            </w:tcBorders>
            <w:shd w:val="clear" w:color="auto" w:fill="D9D9D9"/>
            <w:hideMark/>
          </w:tcPr>
          <w:p w14:paraId="77A78C7C" w14:textId="77777777" w:rsidR="002A4DDF" w:rsidRPr="00937C8B" w:rsidRDefault="002A4DDF" w:rsidP="009110ED">
            <w:pPr>
              <w:rPr>
                <w:rFonts w:ascii="Arial" w:hAnsi="Arial" w:cs="Arial"/>
                <w:sz w:val="12"/>
                <w:szCs w:val="12"/>
              </w:rPr>
            </w:pPr>
            <w:r>
              <w:rPr>
                <w:rFonts w:ascii="Arial" w:hAnsi="Arial"/>
                <w:sz w:val="12"/>
                <w:szCs w:val="12"/>
              </w:rPr>
              <w:t>Jaca</w:t>
            </w:r>
          </w:p>
        </w:tc>
      </w:tr>
      <w:tr w:rsidR="002A4DDF" w:rsidRPr="00937C8B" w14:paraId="004EDA84" w14:textId="77777777" w:rsidTr="00935676">
        <w:trPr>
          <w:cantSplit/>
        </w:trPr>
        <w:tc>
          <w:tcPr>
            <w:tcW w:w="1696" w:type="dxa"/>
            <w:tcBorders>
              <w:left w:val="single" w:sz="4" w:space="0" w:color="auto"/>
            </w:tcBorders>
            <w:shd w:val="clear" w:color="auto" w:fill="auto"/>
          </w:tcPr>
          <w:p w14:paraId="3FE10733" w14:textId="77777777" w:rsidR="002A4DDF" w:rsidRPr="00937C8B" w:rsidRDefault="002A4DDF" w:rsidP="009110ED">
            <w:pPr>
              <w:rPr>
                <w:rFonts w:ascii="Arial" w:hAnsi="Arial" w:cs="Arial"/>
                <w:sz w:val="12"/>
                <w:szCs w:val="12"/>
              </w:rPr>
            </w:pPr>
          </w:p>
        </w:tc>
        <w:tc>
          <w:tcPr>
            <w:tcW w:w="1843" w:type="dxa"/>
            <w:shd w:val="clear" w:color="auto" w:fill="auto"/>
          </w:tcPr>
          <w:p w14:paraId="36DE095E" w14:textId="77777777" w:rsidR="002A4DDF" w:rsidRPr="00937C8B" w:rsidRDefault="002A4DDF" w:rsidP="009110ED">
            <w:pPr>
              <w:rPr>
                <w:rFonts w:ascii="Arial" w:hAnsi="Arial" w:cs="Arial"/>
                <w:sz w:val="12"/>
                <w:szCs w:val="12"/>
              </w:rPr>
            </w:pPr>
          </w:p>
        </w:tc>
        <w:tc>
          <w:tcPr>
            <w:tcW w:w="2268" w:type="dxa"/>
            <w:shd w:val="clear" w:color="auto" w:fill="F2F2F2"/>
            <w:hideMark/>
          </w:tcPr>
          <w:p w14:paraId="7F1A2CD1" w14:textId="77777777" w:rsidR="002A4DDF" w:rsidRPr="00937C8B" w:rsidRDefault="002A4DDF" w:rsidP="009110ED">
            <w:pPr>
              <w:rPr>
                <w:rFonts w:ascii="Arial" w:hAnsi="Arial" w:cs="Arial"/>
                <w:sz w:val="12"/>
                <w:szCs w:val="12"/>
              </w:rPr>
            </w:pPr>
            <w:r>
              <w:rPr>
                <w:rFonts w:ascii="Arial" w:hAnsi="Arial"/>
                <w:sz w:val="12"/>
                <w:szCs w:val="12"/>
              </w:rPr>
              <w:t>Barbuñales</w:t>
            </w:r>
          </w:p>
        </w:tc>
        <w:tc>
          <w:tcPr>
            <w:tcW w:w="2268" w:type="dxa"/>
            <w:tcBorders>
              <w:right w:val="single" w:sz="4" w:space="0" w:color="auto"/>
            </w:tcBorders>
            <w:shd w:val="clear" w:color="auto" w:fill="D9D9D9"/>
            <w:hideMark/>
          </w:tcPr>
          <w:p w14:paraId="2A364DAE" w14:textId="77777777" w:rsidR="002A4DDF" w:rsidRPr="00937C8B" w:rsidRDefault="002A4DDF" w:rsidP="009110ED">
            <w:pPr>
              <w:rPr>
                <w:rFonts w:ascii="Arial" w:hAnsi="Arial" w:cs="Arial"/>
                <w:sz w:val="12"/>
                <w:szCs w:val="12"/>
              </w:rPr>
            </w:pPr>
            <w:r>
              <w:rPr>
                <w:rFonts w:ascii="Arial" w:hAnsi="Arial"/>
                <w:sz w:val="12"/>
                <w:szCs w:val="12"/>
              </w:rPr>
              <w:t>Laspaúles</w:t>
            </w:r>
          </w:p>
        </w:tc>
      </w:tr>
      <w:tr w:rsidR="002A4DDF" w:rsidRPr="00937C8B" w14:paraId="56C01058" w14:textId="77777777" w:rsidTr="00935676">
        <w:trPr>
          <w:cantSplit/>
        </w:trPr>
        <w:tc>
          <w:tcPr>
            <w:tcW w:w="1696" w:type="dxa"/>
            <w:tcBorders>
              <w:left w:val="single" w:sz="4" w:space="0" w:color="auto"/>
            </w:tcBorders>
            <w:shd w:val="clear" w:color="auto" w:fill="auto"/>
          </w:tcPr>
          <w:p w14:paraId="6C21A64F" w14:textId="77777777" w:rsidR="002A4DDF" w:rsidRPr="00937C8B" w:rsidRDefault="002A4DDF" w:rsidP="009110ED">
            <w:pPr>
              <w:rPr>
                <w:rFonts w:ascii="Arial" w:hAnsi="Arial" w:cs="Arial"/>
                <w:sz w:val="12"/>
                <w:szCs w:val="12"/>
              </w:rPr>
            </w:pPr>
          </w:p>
        </w:tc>
        <w:tc>
          <w:tcPr>
            <w:tcW w:w="1843" w:type="dxa"/>
            <w:shd w:val="clear" w:color="auto" w:fill="auto"/>
          </w:tcPr>
          <w:p w14:paraId="61F612EB" w14:textId="77777777" w:rsidR="002A4DDF" w:rsidRPr="00937C8B" w:rsidRDefault="002A4DDF" w:rsidP="009110ED">
            <w:pPr>
              <w:rPr>
                <w:rFonts w:ascii="Arial" w:hAnsi="Arial" w:cs="Arial"/>
                <w:sz w:val="12"/>
                <w:szCs w:val="12"/>
              </w:rPr>
            </w:pPr>
          </w:p>
        </w:tc>
        <w:tc>
          <w:tcPr>
            <w:tcW w:w="2268" w:type="dxa"/>
            <w:shd w:val="clear" w:color="auto" w:fill="F2F2F2"/>
            <w:hideMark/>
          </w:tcPr>
          <w:p w14:paraId="3840B117" w14:textId="77777777" w:rsidR="002A4DDF" w:rsidRPr="00937C8B" w:rsidRDefault="002A4DDF" w:rsidP="009110ED">
            <w:pPr>
              <w:rPr>
                <w:rFonts w:ascii="Arial" w:hAnsi="Arial" w:cs="Arial"/>
                <w:sz w:val="12"/>
                <w:szCs w:val="12"/>
              </w:rPr>
            </w:pPr>
            <w:r>
              <w:rPr>
                <w:rFonts w:ascii="Arial" w:hAnsi="Arial"/>
                <w:sz w:val="12"/>
                <w:szCs w:val="12"/>
              </w:rPr>
              <w:t>Belver de Cinca</w:t>
            </w:r>
          </w:p>
        </w:tc>
        <w:tc>
          <w:tcPr>
            <w:tcW w:w="2268" w:type="dxa"/>
            <w:tcBorders>
              <w:right w:val="single" w:sz="4" w:space="0" w:color="auto"/>
            </w:tcBorders>
            <w:shd w:val="clear" w:color="auto" w:fill="D9D9D9"/>
            <w:hideMark/>
          </w:tcPr>
          <w:p w14:paraId="24D69287" w14:textId="77777777" w:rsidR="002A4DDF" w:rsidRPr="00937C8B" w:rsidRDefault="002A4DDF" w:rsidP="009110ED">
            <w:pPr>
              <w:rPr>
                <w:rFonts w:ascii="Arial" w:hAnsi="Arial" w:cs="Arial"/>
                <w:sz w:val="12"/>
                <w:szCs w:val="12"/>
              </w:rPr>
            </w:pPr>
            <w:r>
              <w:rPr>
                <w:rFonts w:ascii="Arial" w:hAnsi="Arial"/>
                <w:sz w:val="12"/>
                <w:szCs w:val="12"/>
              </w:rPr>
              <w:t>Montanuy</w:t>
            </w:r>
          </w:p>
        </w:tc>
      </w:tr>
      <w:tr w:rsidR="002A4DDF" w:rsidRPr="00937C8B" w14:paraId="4603D062" w14:textId="77777777" w:rsidTr="00935676">
        <w:trPr>
          <w:cantSplit/>
        </w:trPr>
        <w:tc>
          <w:tcPr>
            <w:tcW w:w="1696" w:type="dxa"/>
            <w:tcBorders>
              <w:left w:val="single" w:sz="4" w:space="0" w:color="auto"/>
            </w:tcBorders>
            <w:shd w:val="clear" w:color="auto" w:fill="auto"/>
          </w:tcPr>
          <w:p w14:paraId="213FEEDD" w14:textId="77777777" w:rsidR="002A4DDF" w:rsidRPr="00937C8B" w:rsidRDefault="002A4DDF" w:rsidP="009110ED">
            <w:pPr>
              <w:rPr>
                <w:rFonts w:ascii="Arial" w:hAnsi="Arial" w:cs="Arial"/>
                <w:sz w:val="12"/>
                <w:szCs w:val="12"/>
              </w:rPr>
            </w:pPr>
          </w:p>
        </w:tc>
        <w:tc>
          <w:tcPr>
            <w:tcW w:w="1843" w:type="dxa"/>
            <w:shd w:val="clear" w:color="auto" w:fill="auto"/>
          </w:tcPr>
          <w:p w14:paraId="2CBB6788" w14:textId="77777777" w:rsidR="002A4DDF" w:rsidRPr="00937C8B" w:rsidRDefault="002A4DDF" w:rsidP="009110ED">
            <w:pPr>
              <w:rPr>
                <w:rFonts w:ascii="Arial" w:hAnsi="Arial" w:cs="Arial"/>
                <w:sz w:val="12"/>
                <w:szCs w:val="12"/>
              </w:rPr>
            </w:pPr>
          </w:p>
        </w:tc>
        <w:tc>
          <w:tcPr>
            <w:tcW w:w="2268" w:type="dxa"/>
            <w:shd w:val="clear" w:color="auto" w:fill="F2F2F2"/>
            <w:hideMark/>
          </w:tcPr>
          <w:p w14:paraId="2C7F9EAE" w14:textId="77777777" w:rsidR="002A4DDF" w:rsidRPr="00937C8B" w:rsidRDefault="002A4DDF" w:rsidP="009110ED">
            <w:pPr>
              <w:rPr>
                <w:rFonts w:ascii="Arial" w:hAnsi="Arial" w:cs="Arial"/>
                <w:sz w:val="12"/>
                <w:szCs w:val="12"/>
              </w:rPr>
            </w:pPr>
            <w:r>
              <w:rPr>
                <w:rFonts w:ascii="Arial" w:hAnsi="Arial"/>
                <w:sz w:val="12"/>
                <w:szCs w:val="12"/>
              </w:rPr>
              <w:t>Beranuy</w:t>
            </w:r>
          </w:p>
        </w:tc>
        <w:tc>
          <w:tcPr>
            <w:tcW w:w="2268" w:type="dxa"/>
            <w:tcBorders>
              <w:right w:val="single" w:sz="4" w:space="0" w:color="auto"/>
            </w:tcBorders>
            <w:shd w:val="clear" w:color="auto" w:fill="D9D9D9"/>
            <w:hideMark/>
          </w:tcPr>
          <w:p w14:paraId="36F73D9F" w14:textId="77777777" w:rsidR="002A4DDF" w:rsidRPr="00937C8B" w:rsidRDefault="002A4DDF" w:rsidP="009110ED">
            <w:pPr>
              <w:rPr>
                <w:rFonts w:ascii="Arial" w:hAnsi="Arial" w:cs="Arial"/>
                <w:sz w:val="12"/>
                <w:szCs w:val="12"/>
              </w:rPr>
            </w:pPr>
            <w:r>
              <w:rPr>
                <w:rFonts w:ascii="Arial" w:hAnsi="Arial"/>
                <w:sz w:val="12"/>
                <w:szCs w:val="12"/>
              </w:rPr>
              <w:t>Panticosa</w:t>
            </w:r>
          </w:p>
        </w:tc>
      </w:tr>
      <w:tr w:rsidR="002A4DDF" w:rsidRPr="00937C8B" w14:paraId="7E071F57" w14:textId="77777777" w:rsidTr="00935676">
        <w:trPr>
          <w:cantSplit/>
        </w:trPr>
        <w:tc>
          <w:tcPr>
            <w:tcW w:w="1696" w:type="dxa"/>
            <w:tcBorders>
              <w:left w:val="single" w:sz="4" w:space="0" w:color="auto"/>
            </w:tcBorders>
            <w:shd w:val="clear" w:color="auto" w:fill="auto"/>
          </w:tcPr>
          <w:p w14:paraId="1B5E0E5B" w14:textId="77777777" w:rsidR="002A4DDF" w:rsidRPr="00937C8B" w:rsidRDefault="002A4DDF" w:rsidP="009110ED">
            <w:pPr>
              <w:rPr>
                <w:rFonts w:ascii="Arial" w:hAnsi="Arial" w:cs="Arial"/>
                <w:sz w:val="12"/>
                <w:szCs w:val="12"/>
              </w:rPr>
            </w:pPr>
          </w:p>
        </w:tc>
        <w:tc>
          <w:tcPr>
            <w:tcW w:w="1843" w:type="dxa"/>
            <w:shd w:val="clear" w:color="auto" w:fill="auto"/>
          </w:tcPr>
          <w:p w14:paraId="025968DE" w14:textId="77777777" w:rsidR="002A4DDF" w:rsidRPr="00937C8B" w:rsidRDefault="002A4DDF" w:rsidP="009110ED">
            <w:pPr>
              <w:rPr>
                <w:rFonts w:ascii="Arial" w:hAnsi="Arial" w:cs="Arial"/>
                <w:sz w:val="12"/>
                <w:szCs w:val="12"/>
              </w:rPr>
            </w:pPr>
          </w:p>
        </w:tc>
        <w:tc>
          <w:tcPr>
            <w:tcW w:w="2268" w:type="dxa"/>
            <w:shd w:val="clear" w:color="auto" w:fill="F2F2F2"/>
            <w:hideMark/>
          </w:tcPr>
          <w:p w14:paraId="3B18BBC7" w14:textId="77777777" w:rsidR="002A4DDF" w:rsidRPr="00937C8B" w:rsidRDefault="002A4DDF" w:rsidP="009110ED">
            <w:pPr>
              <w:rPr>
                <w:rFonts w:ascii="Arial" w:hAnsi="Arial" w:cs="Arial"/>
                <w:sz w:val="12"/>
                <w:szCs w:val="12"/>
              </w:rPr>
            </w:pPr>
            <w:r>
              <w:rPr>
                <w:rFonts w:ascii="Arial" w:hAnsi="Arial"/>
                <w:sz w:val="12"/>
                <w:szCs w:val="12"/>
              </w:rPr>
              <w:t>Berbegal</w:t>
            </w:r>
          </w:p>
        </w:tc>
        <w:tc>
          <w:tcPr>
            <w:tcW w:w="2268" w:type="dxa"/>
            <w:tcBorders>
              <w:right w:val="single" w:sz="4" w:space="0" w:color="auto"/>
            </w:tcBorders>
            <w:shd w:val="clear" w:color="auto" w:fill="D9D9D9"/>
            <w:hideMark/>
          </w:tcPr>
          <w:p w14:paraId="3EE8A4CD" w14:textId="77777777" w:rsidR="002A4DDF" w:rsidRPr="00937C8B" w:rsidRDefault="002A4DDF" w:rsidP="009110ED">
            <w:pPr>
              <w:rPr>
                <w:rFonts w:ascii="Arial" w:hAnsi="Arial" w:cs="Arial"/>
                <w:sz w:val="12"/>
                <w:szCs w:val="12"/>
              </w:rPr>
            </w:pPr>
            <w:r>
              <w:rPr>
                <w:rFonts w:ascii="Arial" w:hAnsi="Arial"/>
                <w:sz w:val="12"/>
                <w:szCs w:val="12"/>
              </w:rPr>
              <w:t>Sahún</w:t>
            </w:r>
          </w:p>
        </w:tc>
      </w:tr>
      <w:tr w:rsidR="002A4DDF" w:rsidRPr="00937C8B" w14:paraId="48E998DD" w14:textId="77777777" w:rsidTr="00935676">
        <w:trPr>
          <w:cantSplit/>
        </w:trPr>
        <w:tc>
          <w:tcPr>
            <w:tcW w:w="1696" w:type="dxa"/>
            <w:tcBorders>
              <w:left w:val="single" w:sz="4" w:space="0" w:color="auto"/>
            </w:tcBorders>
            <w:shd w:val="clear" w:color="auto" w:fill="auto"/>
          </w:tcPr>
          <w:p w14:paraId="724A48C2" w14:textId="77777777" w:rsidR="002A4DDF" w:rsidRPr="00937C8B" w:rsidRDefault="002A4DDF" w:rsidP="009110ED">
            <w:pPr>
              <w:rPr>
                <w:rFonts w:ascii="Arial" w:hAnsi="Arial" w:cs="Arial"/>
                <w:sz w:val="12"/>
                <w:szCs w:val="12"/>
              </w:rPr>
            </w:pPr>
          </w:p>
        </w:tc>
        <w:tc>
          <w:tcPr>
            <w:tcW w:w="1843" w:type="dxa"/>
            <w:shd w:val="clear" w:color="auto" w:fill="auto"/>
          </w:tcPr>
          <w:p w14:paraId="26D639EE" w14:textId="77777777" w:rsidR="002A4DDF" w:rsidRPr="00937C8B" w:rsidRDefault="002A4DDF" w:rsidP="009110ED">
            <w:pPr>
              <w:rPr>
                <w:rFonts w:ascii="Arial" w:hAnsi="Arial" w:cs="Arial"/>
                <w:sz w:val="12"/>
                <w:szCs w:val="12"/>
              </w:rPr>
            </w:pPr>
          </w:p>
        </w:tc>
        <w:tc>
          <w:tcPr>
            <w:tcW w:w="2268" w:type="dxa"/>
            <w:shd w:val="clear" w:color="auto" w:fill="F2F2F2"/>
            <w:hideMark/>
          </w:tcPr>
          <w:p w14:paraId="03793841" w14:textId="77777777" w:rsidR="002A4DDF" w:rsidRPr="00937C8B" w:rsidRDefault="002A4DDF" w:rsidP="009110ED">
            <w:pPr>
              <w:rPr>
                <w:rFonts w:ascii="Arial" w:hAnsi="Arial" w:cs="Arial"/>
                <w:sz w:val="12"/>
                <w:szCs w:val="12"/>
              </w:rPr>
            </w:pPr>
            <w:r>
              <w:rPr>
                <w:rFonts w:ascii="Arial" w:hAnsi="Arial"/>
                <w:sz w:val="12"/>
                <w:szCs w:val="12"/>
              </w:rPr>
              <w:t>Bielsa</w:t>
            </w:r>
          </w:p>
        </w:tc>
        <w:tc>
          <w:tcPr>
            <w:tcW w:w="2268" w:type="dxa"/>
            <w:tcBorders>
              <w:right w:val="single" w:sz="4" w:space="0" w:color="auto"/>
            </w:tcBorders>
            <w:shd w:val="clear" w:color="auto" w:fill="D9D9D9"/>
            <w:hideMark/>
          </w:tcPr>
          <w:p w14:paraId="5C6FD274" w14:textId="77777777" w:rsidR="002A4DDF" w:rsidRPr="00937C8B" w:rsidRDefault="002A4DDF" w:rsidP="009110ED">
            <w:pPr>
              <w:rPr>
                <w:rFonts w:ascii="Arial" w:hAnsi="Arial" w:cs="Arial"/>
                <w:sz w:val="12"/>
                <w:szCs w:val="12"/>
              </w:rPr>
            </w:pPr>
            <w:r>
              <w:rPr>
                <w:rFonts w:ascii="Arial" w:hAnsi="Arial"/>
                <w:sz w:val="12"/>
                <w:szCs w:val="12"/>
              </w:rPr>
              <w:t>Sallent de Gállego</w:t>
            </w:r>
          </w:p>
        </w:tc>
      </w:tr>
      <w:tr w:rsidR="002A4DDF" w:rsidRPr="00937C8B" w14:paraId="6C352ECC" w14:textId="77777777" w:rsidTr="00935676">
        <w:trPr>
          <w:cantSplit/>
        </w:trPr>
        <w:tc>
          <w:tcPr>
            <w:tcW w:w="1696" w:type="dxa"/>
            <w:tcBorders>
              <w:left w:val="single" w:sz="4" w:space="0" w:color="auto"/>
            </w:tcBorders>
            <w:shd w:val="clear" w:color="auto" w:fill="auto"/>
          </w:tcPr>
          <w:p w14:paraId="449A1F44" w14:textId="77777777" w:rsidR="002A4DDF" w:rsidRPr="00937C8B" w:rsidRDefault="002A4DDF" w:rsidP="009110ED">
            <w:pPr>
              <w:rPr>
                <w:rFonts w:ascii="Arial" w:hAnsi="Arial" w:cs="Arial"/>
                <w:sz w:val="12"/>
                <w:szCs w:val="12"/>
              </w:rPr>
            </w:pPr>
          </w:p>
        </w:tc>
        <w:tc>
          <w:tcPr>
            <w:tcW w:w="1843" w:type="dxa"/>
            <w:shd w:val="clear" w:color="auto" w:fill="auto"/>
          </w:tcPr>
          <w:p w14:paraId="67AE4A65" w14:textId="77777777" w:rsidR="002A4DDF" w:rsidRPr="00937C8B" w:rsidRDefault="002A4DDF" w:rsidP="009110ED">
            <w:pPr>
              <w:rPr>
                <w:rFonts w:ascii="Arial" w:hAnsi="Arial" w:cs="Arial"/>
                <w:sz w:val="12"/>
                <w:szCs w:val="12"/>
              </w:rPr>
            </w:pPr>
          </w:p>
        </w:tc>
        <w:tc>
          <w:tcPr>
            <w:tcW w:w="2268" w:type="dxa"/>
            <w:shd w:val="clear" w:color="auto" w:fill="F2F2F2"/>
            <w:hideMark/>
          </w:tcPr>
          <w:p w14:paraId="2468E49A" w14:textId="77777777" w:rsidR="002A4DDF" w:rsidRPr="00937C8B" w:rsidRDefault="002A4DDF" w:rsidP="009110ED">
            <w:pPr>
              <w:rPr>
                <w:rFonts w:ascii="Arial" w:hAnsi="Arial" w:cs="Arial"/>
                <w:sz w:val="12"/>
                <w:szCs w:val="12"/>
              </w:rPr>
            </w:pPr>
            <w:r>
              <w:rPr>
                <w:rFonts w:ascii="Arial" w:hAnsi="Arial"/>
                <w:sz w:val="12"/>
                <w:szCs w:val="12"/>
              </w:rPr>
              <w:t>Biescas</w:t>
            </w:r>
          </w:p>
        </w:tc>
        <w:tc>
          <w:tcPr>
            <w:tcW w:w="2268" w:type="dxa"/>
            <w:tcBorders>
              <w:right w:val="single" w:sz="4" w:space="0" w:color="auto"/>
            </w:tcBorders>
            <w:shd w:val="clear" w:color="auto" w:fill="D9D9D9"/>
            <w:hideMark/>
          </w:tcPr>
          <w:p w14:paraId="6716AE9A" w14:textId="77777777" w:rsidR="002A4DDF" w:rsidRPr="00937C8B" w:rsidRDefault="002A4DDF" w:rsidP="009110ED">
            <w:pPr>
              <w:rPr>
                <w:rFonts w:ascii="Arial" w:hAnsi="Arial" w:cs="Arial"/>
                <w:sz w:val="12"/>
                <w:szCs w:val="12"/>
              </w:rPr>
            </w:pPr>
            <w:r>
              <w:rPr>
                <w:rFonts w:ascii="Arial" w:hAnsi="Arial"/>
                <w:sz w:val="12"/>
                <w:szCs w:val="12"/>
              </w:rPr>
              <w:t>San Juan de Plan</w:t>
            </w:r>
          </w:p>
        </w:tc>
      </w:tr>
      <w:tr w:rsidR="002A4DDF" w:rsidRPr="00937C8B" w14:paraId="02786D8A" w14:textId="77777777" w:rsidTr="00935676">
        <w:trPr>
          <w:cantSplit/>
        </w:trPr>
        <w:tc>
          <w:tcPr>
            <w:tcW w:w="1696" w:type="dxa"/>
            <w:tcBorders>
              <w:left w:val="single" w:sz="4" w:space="0" w:color="auto"/>
            </w:tcBorders>
            <w:shd w:val="clear" w:color="auto" w:fill="auto"/>
          </w:tcPr>
          <w:p w14:paraId="4F5134AE" w14:textId="77777777" w:rsidR="002A4DDF" w:rsidRPr="00937C8B" w:rsidRDefault="002A4DDF" w:rsidP="009110ED">
            <w:pPr>
              <w:rPr>
                <w:rFonts w:ascii="Arial" w:hAnsi="Arial" w:cs="Arial"/>
                <w:sz w:val="12"/>
                <w:szCs w:val="12"/>
              </w:rPr>
            </w:pPr>
          </w:p>
        </w:tc>
        <w:tc>
          <w:tcPr>
            <w:tcW w:w="1843" w:type="dxa"/>
            <w:shd w:val="clear" w:color="auto" w:fill="auto"/>
          </w:tcPr>
          <w:p w14:paraId="795ED8B1" w14:textId="77777777" w:rsidR="002A4DDF" w:rsidRPr="00937C8B" w:rsidRDefault="002A4DDF" w:rsidP="009110ED">
            <w:pPr>
              <w:rPr>
                <w:rFonts w:ascii="Arial" w:hAnsi="Arial" w:cs="Arial"/>
                <w:sz w:val="12"/>
                <w:szCs w:val="12"/>
              </w:rPr>
            </w:pPr>
          </w:p>
        </w:tc>
        <w:tc>
          <w:tcPr>
            <w:tcW w:w="2268" w:type="dxa"/>
            <w:shd w:val="clear" w:color="auto" w:fill="F2F2F2"/>
            <w:hideMark/>
          </w:tcPr>
          <w:p w14:paraId="46ABE434" w14:textId="77777777" w:rsidR="002A4DDF" w:rsidRPr="00937C8B" w:rsidRDefault="002A4DDF" w:rsidP="009110ED">
            <w:pPr>
              <w:rPr>
                <w:rFonts w:ascii="Arial" w:hAnsi="Arial" w:cs="Arial"/>
                <w:sz w:val="12"/>
                <w:szCs w:val="12"/>
              </w:rPr>
            </w:pPr>
            <w:r>
              <w:rPr>
                <w:rFonts w:ascii="Arial" w:hAnsi="Arial"/>
                <w:sz w:val="12"/>
                <w:szCs w:val="12"/>
              </w:rPr>
              <w:t>Binaced</w:t>
            </w:r>
          </w:p>
        </w:tc>
        <w:tc>
          <w:tcPr>
            <w:tcW w:w="2268" w:type="dxa"/>
            <w:tcBorders>
              <w:right w:val="single" w:sz="4" w:space="0" w:color="auto"/>
            </w:tcBorders>
            <w:shd w:val="clear" w:color="auto" w:fill="D9D9D9"/>
            <w:hideMark/>
          </w:tcPr>
          <w:p w14:paraId="4B5E79EE" w14:textId="77777777" w:rsidR="002A4DDF" w:rsidRPr="00937C8B" w:rsidRDefault="002A4DDF" w:rsidP="009110ED">
            <w:pPr>
              <w:rPr>
                <w:rFonts w:ascii="Arial" w:hAnsi="Arial" w:cs="Arial"/>
                <w:sz w:val="12"/>
                <w:szCs w:val="12"/>
              </w:rPr>
            </w:pPr>
          </w:p>
        </w:tc>
      </w:tr>
      <w:tr w:rsidR="002A4DDF" w:rsidRPr="00937C8B" w14:paraId="7708C169" w14:textId="77777777" w:rsidTr="00935676">
        <w:trPr>
          <w:cantSplit/>
        </w:trPr>
        <w:tc>
          <w:tcPr>
            <w:tcW w:w="1696" w:type="dxa"/>
            <w:tcBorders>
              <w:left w:val="single" w:sz="4" w:space="0" w:color="auto"/>
            </w:tcBorders>
            <w:shd w:val="clear" w:color="auto" w:fill="auto"/>
          </w:tcPr>
          <w:p w14:paraId="610F04F2" w14:textId="77777777" w:rsidR="002A4DDF" w:rsidRPr="00937C8B" w:rsidRDefault="002A4DDF" w:rsidP="009110ED">
            <w:pPr>
              <w:rPr>
                <w:rFonts w:ascii="Arial" w:hAnsi="Arial" w:cs="Arial"/>
                <w:sz w:val="12"/>
                <w:szCs w:val="12"/>
              </w:rPr>
            </w:pPr>
          </w:p>
        </w:tc>
        <w:tc>
          <w:tcPr>
            <w:tcW w:w="1843" w:type="dxa"/>
            <w:shd w:val="clear" w:color="auto" w:fill="auto"/>
          </w:tcPr>
          <w:p w14:paraId="183DB280" w14:textId="77777777" w:rsidR="002A4DDF" w:rsidRPr="00937C8B" w:rsidRDefault="002A4DDF" w:rsidP="009110ED">
            <w:pPr>
              <w:rPr>
                <w:rFonts w:ascii="Arial" w:hAnsi="Arial" w:cs="Arial"/>
                <w:sz w:val="12"/>
                <w:szCs w:val="12"/>
              </w:rPr>
            </w:pPr>
          </w:p>
        </w:tc>
        <w:tc>
          <w:tcPr>
            <w:tcW w:w="2268" w:type="dxa"/>
            <w:shd w:val="clear" w:color="auto" w:fill="F2F2F2"/>
            <w:hideMark/>
          </w:tcPr>
          <w:p w14:paraId="11F5A947" w14:textId="77777777" w:rsidR="002A4DDF" w:rsidRPr="00937C8B" w:rsidRDefault="002A4DDF" w:rsidP="009110ED">
            <w:pPr>
              <w:rPr>
                <w:rFonts w:ascii="Arial" w:hAnsi="Arial" w:cs="Arial"/>
                <w:sz w:val="12"/>
                <w:szCs w:val="12"/>
              </w:rPr>
            </w:pPr>
            <w:r>
              <w:rPr>
                <w:rFonts w:ascii="Arial" w:hAnsi="Arial"/>
                <w:sz w:val="12"/>
                <w:szCs w:val="12"/>
              </w:rPr>
              <w:t>Bisaurri</w:t>
            </w:r>
          </w:p>
        </w:tc>
        <w:tc>
          <w:tcPr>
            <w:tcW w:w="2268" w:type="dxa"/>
            <w:tcBorders>
              <w:right w:val="single" w:sz="4" w:space="0" w:color="auto"/>
            </w:tcBorders>
            <w:shd w:val="clear" w:color="auto" w:fill="D9D9D9"/>
            <w:hideMark/>
          </w:tcPr>
          <w:p w14:paraId="186BB4EE" w14:textId="77777777" w:rsidR="002A4DDF" w:rsidRPr="00937C8B" w:rsidRDefault="002A4DDF" w:rsidP="009110ED">
            <w:pPr>
              <w:rPr>
                <w:rFonts w:ascii="Arial" w:hAnsi="Arial" w:cs="Arial"/>
                <w:sz w:val="12"/>
                <w:szCs w:val="12"/>
              </w:rPr>
            </w:pPr>
          </w:p>
        </w:tc>
      </w:tr>
      <w:tr w:rsidR="002A4DDF" w:rsidRPr="00937C8B" w14:paraId="48843C0D" w14:textId="77777777" w:rsidTr="00935676">
        <w:trPr>
          <w:cantSplit/>
        </w:trPr>
        <w:tc>
          <w:tcPr>
            <w:tcW w:w="1696" w:type="dxa"/>
            <w:tcBorders>
              <w:left w:val="single" w:sz="4" w:space="0" w:color="auto"/>
            </w:tcBorders>
            <w:shd w:val="clear" w:color="auto" w:fill="auto"/>
          </w:tcPr>
          <w:p w14:paraId="25F0C6C4" w14:textId="77777777" w:rsidR="002A4DDF" w:rsidRPr="00937C8B" w:rsidRDefault="002A4DDF" w:rsidP="009110ED">
            <w:pPr>
              <w:rPr>
                <w:rFonts w:ascii="Arial" w:hAnsi="Arial" w:cs="Arial"/>
                <w:sz w:val="12"/>
                <w:szCs w:val="12"/>
              </w:rPr>
            </w:pPr>
          </w:p>
        </w:tc>
        <w:tc>
          <w:tcPr>
            <w:tcW w:w="1843" w:type="dxa"/>
            <w:shd w:val="clear" w:color="auto" w:fill="auto"/>
          </w:tcPr>
          <w:p w14:paraId="21061D27" w14:textId="77777777" w:rsidR="002A4DDF" w:rsidRPr="00937C8B" w:rsidRDefault="002A4DDF" w:rsidP="009110ED">
            <w:pPr>
              <w:rPr>
                <w:rFonts w:ascii="Arial" w:hAnsi="Arial" w:cs="Arial"/>
                <w:sz w:val="12"/>
                <w:szCs w:val="12"/>
              </w:rPr>
            </w:pPr>
          </w:p>
        </w:tc>
        <w:tc>
          <w:tcPr>
            <w:tcW w:w="2268" w:type="dxa"/>
            <w:shd w:val="clear" w:color="auto" w:fill="F2F2F2"/>
            <w:hideMark/>
          </w:tcPr>
          <w:p w14:paraId="029933BE" w14:textId="77777777" w:rsidR="002A4DDF" w:rsidRPr="00937C8B" w:rsidRDefault="002A4DDF" w:rsidP="009110ED">
            <w:pPr>
              <w:rPr>
                <w:rFonts w:ascii="Arial" w:hAnsi="Arial" w:cs="Arial"/>
                <w:sz w:val="12"/>
                <w:szCs w:val="12"/>
              </w:rPr>
            </w:pPr>
            <w:r>
              <w:rPr>
                <w:rFonts w:ascii="Arial" w:hAnsi="Arial"/>
                <w:sz w:val="12"/>
                <w:szCs w:val="12"/>
              </w:rPr>
              <w:t>Capdesaso</w:t>
            </w:r>
          </w:p>
        </w:tc>
        <w:tc>
          <w:tcPr>
            <w:tcW w:w="2268" w:type="dxa"/>
            <w:tcBorders>
              <w:right w:val="single" w:sz="4" w:space="0" w:color="auto"/>
            </w:tcBorders>
            <w:shd w:val="clear" w:color="auto" w:fill="D9D9D9"/>
            <w:hideMark/>
          </w:tcPr>
          <w:p w14:paraId="4A62B9F1" w14:textId="77777777" w:rsidR="002A4DDF" w:rsidRPr="00937C8B" w:rsidRDefault="002A4DDF" w:rsidP="009110ED">
            <w:pPr>
              <w:rPr>
                <w:rFonts w:ascii="Arial" w:hAnsi="Arial" w:cs="Arial"/>
                <w:sz w:val="12"/>
                <w:szCs w:val="12"/>
              </w:rPr>
            </w:pPr>
          </w:p>
        </w:tc>
      </w:tr>
      <w:tr w:rsidR="002A4DDF" w:rsidRPr="00937C8B" w14:paraId="2EA96350" w14:textId="77777777" w:rsidTr="00935676">
        <w:trPr>
          <w:cantSplit/>
        </w:trPr>
        <w:tc>
          <w:tcPr>
            <w:tcW w:w="1696" w:type="dxa"/>
            <w:tcBorders>
              <w:left w:val="single" w:sz="4" w:space="0" w:color="auto"/>
            </w:tcBorders>
            <w:shd w:val="clear" w:color="auto" w:fill="auto"/>
          </w:tcPr>
          <w:p w14:paraId="1400A5FA" w14:textId="77777777" w:rsidR="002A4DDF" w:rsidRPr="00937C8B" w:rsidRDefault="002A4DDF" w:rsidP="009110ED">
            <w:pPr>
              <w:rPr>
                <w:rFonts w:ascii="Arial" w:hAnsi="Arial" w:cs="Arial"/>
                <w:sz w:val="12"/>
                <w:szCs w:val="12"/>
              </w:rPr>
            </w:pPr>
          </w:p>
        </w:tc>
        <w:tc>
          <w:tcPr>
            <w:tcW w:w="1843" w:type="dxa"/>
            <w:shd w:val="clear" w:color="auto" w:fill="auto"/>
          </w:tcPr>
          <w:p w14:paraId="77EC26D5" w14:textId="77777777" w:rsidR="002A4DDF" w:rsidRPr="00937C8B" w:rsidRDefault="002A4DDF" w:rsidP="009110ED">
            <w:pPr>
              <w:rPr>
                <w:rFonts w:ascii="Arial" w:hAnsi="Arial" w:cs="Arial"/>
                <w:sz w:val="12"/>
                <w:szCs w:val="12"/>
              </w:rPr>
            </w:pPr>
          </w:p>
        </w:tc>
        <w:tc>
          <w:tcPr>
            <w:tcW w:w="2268" w:type="dxa"/>
            <w:shd w:val="clear" w:color="auto" w:fill="F2F2F2"/>
            <w:hideMark/>
          </w:tcPr>
          <w:p w14:paraId="399AB05E" w14:textId="77777777" w:rsidR="002A4DDF" w:rsidRPr="00937C8B" w:rsidRDefault="002A4DDF" w:rsidP="009110ED">
            <w:pPr>
              <w:rPr>
                <w:rFonts w:ascii="Arial" w:hAnsi="Arial" w:cs="Arial"/>
                <w:sz w:val="12"/>
                <w:szCs w:val="12"/>
              </w:rPr>
            </w:pPr>
            <w:r>
              <w:rPr>
                <w:rFonts w:ascii="Arial" w:hAnsi="Arial"/>
                <w:sz w:val="12"/>
                <w:szCs w:val="12"/>
              </w:rPr>
              <w:t>Casbas de Huesca</w:t>
            </w:r>
          </w:p>
        </w:tc>
        <w:tc>
          <w:tcPr>
            <w:tcW w:w="2268" w:type="dxa"/>
            <w:tcBorders>
              <w:right w:val="single" w:sz="4" w:space="0" w:color="auto"/>
            </w:tcBorders>
            <w:shd w:val="clear" w:color="auto" w:fill="D9D9D9"/>
            <w:hideMark/>
          </w:tcPr>
          <w:p w14:paraId="7E6CCAB4" w14:textId="77777777" w:rsidR="002A4DDF" w:rsidRPr="00937C8B" w:rsidRDefault="002A4DDF" w:rsidP="009110ED">
            <w:pPr>
              <w:rPr>
                <w:rFonts w:ascii="Arial" w:hAnsi="Arial" w:cs="Arial"/>
                <w:sz w:val="12"/>
                <w:szCs w:val="12"/>
              </w:rPr>
            </w:pPr>
          </w:p>
        </w:tc>
      </w:tr>
      <w:tr w:rsidR="002A4DDF" w:rsidRPr="00937C8B" w14:paraId="771FFAD2" w14:textId="77777777" w:rsidTr="00935676">
        <w:trPr>
          <w:cantSplit/>
        </w:trPr>
        <w:tc>
          <w:tcPr>
            <w:tcW w:w="1696" w:type="dxa"/>
            <w:tcBorders>
              <w:left w:val="single" w:sz="4" w:space="0" w:color="auto"/>
            </w:tcBorders>
            <w:shd w:val="clear" w:color="auto" w:fill="auto"/>
          </w:tcPr>
          <w:p w14:paraId="3353BAB9" w14:textId="77777777" w:rsidR="002A4DDF" w:rsidRPr="00937C8B" w:rsidRDefault="002A4DDF" w:rsidP="009110ED">
            <w:pPr>
              <w:rPr>
                <w:rFonts w:ascii="Arial" w:hAnsi="Arial" w:cs="Arial"/>
                <w:sz w:val="12"/>
                <w:szCs w:val="12"/>
              </w:rPr>
            </w:pPr>
          </w:p>
        </w:tc>
        <w:tc>
          <w:tcPr>
            <w:tcW w:w="1843" w:type="dxa"/>
            <w:shd w:val="clear" w:color="auto" w:fill="auto"/>
          </w:tcPr>
          <w:p w14:paraId="2E2F09B3" w14:textId="77777777" w:rsidR="002A4DDF" w:rsidRPr="00937C8B" w:rsidRDefault="002A4DDF" w:rsidP="009110ED">
            <w:pPr>
              <w:rPr>
                <w:rFonts w:ascii="Arial" w:hAnsi="Arial" w:cs="Arial"/>
                <w:sz w:val="12"/>
                <w:szCs w:val="12"/>
              </w:rPr>
            </w:pPr>
          </w:p>
        </w:tc>
        <w:tc>
          <w:tcPr>
            <w:tcW w:w="2268" w:type="dxa"/>
            <w:shd w:val="clear" w:color="auto" w:fill="F2F2F2"/>
            <w:hideMark/>
          </w:tcPr>
          <w:p w14:paraId="5D93DE3C" w14:textId="77777777" w:rsidR="002A4DDF" w:rsidRPr="00937C8B" w:rsidRDefault="002A4DDF" w:rsidP="009110ED">
            <w:pPr>
              <w:rPr>
                <w:rFonts w:ascii="Arial" w:hAnsi="Arial" w:cs="Arial"/>
                <w:sz w:val="12"/>
                <w:szCs w:val="12"/>
              </w:rPr>
            </w:pPr>
            <w:r>
              <w:rPr>
                <w:rFonts w:ascii="Arial" w:hAnsi="Arial"/>
                <w:sz w:val="12"/>
                <w:szCs w:val="12"/>
              </w:rPr>
              <w:t>Castejón del Puente</w:t>
            </w:r>
          </w:p>
        </w:tc>
        <w:tc>
          <w:tcPr>
            <w:tcW w:w="2268" w:type="dxa"/>
            <w:tcBorders>
              <w:right w:val="single" w:sz="4" w:space="0" w:color="auto"/>
            </w:tcBorders>
            <w:shd w:val="clear" w:color="auto" w:fill="D9D9D9"/>
            <w:hideMark/>
          </w:tcPr>
          <w:p w14:paraId="0CC18535" w14:textId="77777777" w:rsidR="002A4DDF" w:rsidRPr="00937C8B" w:rsidRDefault="002A4DDF" w:rsidP="009110ED">
            <w:pPr>
              <w:rPr>
                <w:rFonts w:ascii="Arial" w:hAnsi="Arial" w:cs="Arial"/>
                <w:sz w:val="12"/>
                <w:szCs w:val="12"/>
              </w:rPr>
            </w:pPr>
          </w:p>
        </w:tc>
      </w:tr>
      <w:tr w:rsidR="002A4DDF" w:rsidRPr="00937C8B" w14:paraId="60442D2B" w14:textId="77777777" w:rsidTr="00935676">
        <w:trPr>
          <w:cantSplit/>
        </w:trPr>
        <w:tc>
          <w:tcPr>
            <w:tcW w:w="1696" w:type="dxa"/>
            <w:tcBorders>
              <w:left w:val="single" w:sz="4" w:space="0" w:color="auto"/>
            </w:tcBorders>
            <w:shd w:val="clear" w:color="auto" w:fill="auto"/>
          </w:tcPr>
          <w:p w14:paraId="20E64FD0" w14:textId="77777777" w:rsidR="002A4DDF" w:rsidRPr="00937C8B" w:rsidRDefault="002A4DDF" w:rsidP="009110ED">
            <w:pPr>
              <w:rPr>
                <w:rFonts w:ascii="Arial" w:hAnsi="Arial" w:cs="Arial"/>
                <w:sz w:val="12"/>
                <w:szCs w:val="12"/>
              </w:rPr>
            </w:pPr>
          </w:p>
        </w:tc>
        <w:tc>
          <w:tcPr>
            <w:tcW w:w="1843" w:type="dxa"/>
            <w:shd w:val="clear" w:color="auto" w:fill="auto"/>
          </w:tcPr>
          <w:p w14:paraId="3E90AC6A" w14:textId="77777777" w:rsidR="002A4DDF" w:rsidRPr="00937C8B" w:rsidRDefault="002A4DDF" w:rsidP="009110ED">
            <w:pPr>
              <w:rPr>
                <w:rFonts w:ascii="Arial" w:hAnsi="Arial" w:cs="Arial"/>
                <w:sz w:val="12"/>
                <w:szCs w:val="12"/>
              </w:rPr>
            </w:pPr>
          </w:p>
        </w:tc>
        <w:tc>
          <w:tcPr>
            <w:tcW w:w="2268" w:type="dxa"/>
            <w:shd w:val="clear" w:color="auto" w:fill="F2F2F2"/>
            <w:hideMark/>
          </w:tcPr>
          <w:p w14:paraId="4F332DC8" w14:textId="77777777" w:rsidR="002A4DDF" w:rsidRPr="00937C8B" w:rsidRDefault="002A4DDF" w:rsidP="009110ED">
            <w:pPr>
              <w:rPr>
                <w:rFonts w:ascii="Arial" w:hAnsi="Arial" w:cs="Arial"/>
                <w:sz w:val="12"/>
                <w:szCs w:val="12"/>
              </w:rPr>
            </w:pPr>
            <w:r>
              <w:rPr>
                <w:rFonts w:ascii="Arial" w:hAnsi="Arial"/>
                <w:sz w:val="12"/>
                <w:szCs w:val="12"/>
              </w:rPr>
              <w:t>Chía</w:t>
            </w:r>
          </w:p>
        </w:tc>
        <w:tc>
          <w:tcPr>
            <w:tcW w:w="2268" w:type="dxa"/>
            <w:tcBorders>
              <w:right w:val="single" w:sz="4" w:space="0" w:color="auto"/>
            </w:tcBorders>
            <w:shd w:val="clear" w:color="auto" w:fill="D9D9D9"/>
            <w:hideMark/>
          </w:tcPr>
          <w:p w14:paraId="7970323C" w14:textId="77777777" w:rsidR="002A4DDF" w:rsidRPr="00937C8B" w:rsidRDefault="002A4DDF" w:rsidP="009110ED">
            <w:pPr>
              <w:rPr>
                <w:rFonts w:ascii="Arial" w:hAnsi="Arial" w:cs="Arial"/>
                <w:sz w:val="12"/>
                <w:szCs w:val="12"/>
              </w:rPr>
            </w:pPr>
          </w:p>
        </w:tc>
      </w:tr>
      <w:tr w:rsidR="002A4DDF" w:rsidRPr="00937C8B" w14:paraId="3D65058D" w14:textId="77777777" w:rsidTr="00935676">
        <w:trPr>
          <w:cantSplit/>
        </w:trPr>
        <w:tc>
          <w:tcPr>
            <w:tcW w:w="1696" w:type="dxa"/>
            <w:tcBorders>
              <w:left w:val="single" w:sz="4" w:space="0" w:color="auto"/>
            </w:tcBorders>
            <w:shd w:val="clear" w:color="auto" w:fill="auto"/>
          </w:tcPr>
          <w:p w14:paraId="3285B0C0" w14:textId="77777777" w:rsidR="002A4DDF" w:rsidRPr="00937C8B" w:rsidRDefault="002A4DDF" w:rsidP="009110ED">
            <w:pPr>
              <w:rPr>
                <w:rFonts w:ascii="Arial" w:hAnsi="Arial" w:cs="Arial"/>
                <w:sz w:val="12"/>
                <w:szCs w:val="12"/>
              </w:rPr>
            </w:pPr>
          </w:p>
        </w:tc>
        <w:tc>
          <w:tcPr>
            <w:tcW w:w="1843" w:type="dxa"/>
            <w:shd w:val="clear" w:color="auto" w:fill="auto"/>
          </w:tcPr>
          <w:p w14:paraId="4DDA7F54" w14:textId="77777777" w:rsidR="002A4DDF" w:rsidRPr="00937C8B" w:rsidRDefault="002A4DDF" w:rsidP="009110ED">
            <w:pPr>
              <w:rPr>
                <w:rFonts w:ascii="Arial" w:hAnsi="Arial" w:cs="Arial"/>
                <w:sz w:val="12"/>
                <w:szCs w:val="12"/>
              </w:rPr>
            </w:pPr>
          </w:p>
        </w:tc>
        <w:tc>
          <w:tcPr>
            <w:tcW w:w="2268" w:type="dxa"/>
            <w:shd w:val="clear" w:color="auto" w:fill="F2F2F2"/>
            <w:hideMark/>
          </w:tcPr>
          <w:p w14:paraId="5253A197" w14:textId="77777777" w:rsidR="002A4DDF" w:rsidRPr="00937C8B" w:rsidRDefault="002A4DDF" w:rsidP="009110ED">
            <w:pPr>
              <w:rPr>
                <w:rFonts w:ascii="Arial" w:hAnsi="Arial" w:cs="Arial"/>
                <w:sz w:val="12"/>
                <w:szCs w:val="12"/>
              </w:rPr>
            </w:pPr>
            <w:r>
              <w:rPr>
                <w:rFonts w:ascii="Arial" w:hAnsi="Arial"/>
                <w:sz w:val="12"/>
                <w:szCs w:val="12"/>
              </w:rPr>
              <w:t>Fraga</w:t>
            </w:r>
          </w:p>
        </w:tc>
        <w:tc>
          <w:tcPr>
            <w:tcW w:w="2268" w:type="dxa"/>
            <w:tcBorders>
              <w:right w:val="single" w:sz="4" w:space="0" w:color="auto"/>
            </w:tcBorders>
            <w:shd w:val="clear" w:color="auto" w:fill="D9D9D9"/>
            <w:hideMark/>
          </w:tcPr>
          <w:p w14:paraId="6D6B0328" w14:textId="77777777" w:rsidR="002A4DDF" w:rsidRPr="00937C8B" w:rsidRDefault="002A4DDF" w:rsidP="009110ED">
            <w:pPr>
              <w:rPr>
                <w:rFonts w:ascii="Arial" w:hAnsi="Arial" w:cs="Arial"/>
                <w:sz w:val="12"/>
                <w:szCs w:val="12"/>
              </w:rPr>
            </w:pPr>
          </w:p>
        </w:tc>
      </w:tr>
      <w:tr w:rsidR="002A4DDF" w:rsidRPr="00937C8B" w14:paraId="62079EA1" w14:textId="77777777" w:rsidTr="00935676">
        <w:trPr>
          <w:cantSplit/>
        </w:trPr>
        <w:tc>
          <w:tcPr>
            <w:tcW w:w="1696" w:type="dxa"/>
            <w:tcBorders>
              <w:left w:val="single" w:sz="4" w:space="0" w:color="auto"/>
            </w:tcBorders>
            <w:shd w:val="clear" w:color="auto" w:fill="auto"/>
          </w:tcPr>
          <w:p w14:paraId="6792BAFA" w14:textId="77777777" w:rsidR="002A4DDF" w:rsidRPr="00937C8B" w:rsidRDefault="002A4DDF" w:rsidP="009110ED">
            <w:pPr>
              <w:rPr>
                <w:rFonts w:ascii="Arial" w:hAnsi="Arial" w:cs="Arial"/>
                <w:sz w:val="12"/>
                <w:szCs w:val="12"/>
              </w:rPr>
            </w:pPr>
          </w:p>
        </w:tc>
        <w:tc>
          <w:tcPr>
            <w:tcW w:w="1843" w:type="dxa"/>
            <w:shd w:val="clear" w:color="auto" w:fill="auto"/>
          </w:tcPr>
          <w:p w14:paraId="031BF0FA" w14:textId="77777777" w:rsidR="002A4DDF" w:rsidRPr="00937C8B" w:rsidRDefault="002A4DDF" w:rsidP="009110ED">
            <w:pPr>
              <w:rPr>
                <w:rFonts w:ascii="Arial" w:hAnsi="Arial" w:cs="Arial"/>
                <w:sz w:val="12"/>
                <w:szCs w:val="12"/>
              </w:rPr>
            </w:pPr>
          </w:p>
        </w:tc>
        <w:tc>
          <w:tcPr>
            <w:tcW w:w="2268" w:type="dxa"/>
            <w:shd w:val="clear" w:color="auto" w:fill="F2F2F2"/>
            <w:hideMark/>
          </w:tcPr>
          <w:p w14:paraId="61F8465D" w14:textId="77777777" w:rsidR="002A4DDF" w:rsidRPr="00937C8B" w:rsidRDefault="002A4DDF" w:rsidP="009110ED">
            <w:pPr>
              <w:rPr>
                <w:rFonts w:ascii="Arial" w:hAnsi="Arial" w:cs="Arial"/>
                <w:sz w:val="12"/>
                <w:szCs w:val="12"/>
              </w:rPr>
            </w:pPr>
            <w:r>
              <w:rPr>
                <w:rFonts w:ascii="Arial" w:hAnsi="Arial"/>
                <w:sz w:val="12"/>
                <w:szCs w:val="12"/>
              </w:rPr>
              <w:t>Grañén</w:t>
            </w:r>
          </w:p>
        </w:tc>
        <w:tc>
          <w:tcPr>
            <w:tcW w:w="2268" w:type="dxa"/>
            <w:tcBorders>
              <w:right w:val="single" w:sz="4" w:space="0" w:color="auto"/>
            </w:tcBorders>
            <w:shd w:val="clear" w:color="auto" w:fill="D9D9D9"/>
            <w:hideMark/>
          </w:tcPr>
          <w:p w14:paraId="0CB049B0" w14:textId="77777777" w:rsidR="002A4DDF" w:rsidRPr="00937C8B" w:rsidRDefault="002A4DDF" w:rsidP="009110ED">
            <w:pPr>
              <w:rPr>
                <w:rFonts w:ascii="Arial" w:hAnsi="Arial" w:cs="Arial"/>
                <w:sz w:val="12"/>
                <w:szCs w:val="12"/>
              </w:rPr>
            </w:pPr>
          </w:p>
        </w:tc>
      </w:tr>
      <w:tr w:rsidR="002A4DDF" w:rsidRPr="00937C8B" w14:paraId="2D88783F" w14:textId="77777777" w:rsidTr="00935676">
        <w:trPr>
          <w:cantSplit/>
        </w:trPr>
        <w:tc>
          <w:tcPr>
            <w:tcW w:w="1696" w:type="dxa"/>
            <w:tcBorders>
              <w:left w:val="single" w:sz="4" w:space="0" w:color="auto"/>
            </w:tcBorders>
            <w:shd w:val="clear" w:color="auto" w:fill="auto"/>
          </w:tcPr>
          <w:p w14:paraId="595D8172" w14:textId="77777777" w:rsidR="002A4DDF" w:rsidRPr="00937C8B" w:rsidRDefault="002A4DDF" w:rsidP="009110ED">
            <w:pPr>
              <w:rPr>
                <w:rFonts w:ascii="Arial" w:hAnsi="Arial" w:cs="Arial"/>
                <w:sz w:val="12"/>
                <w:szCs w:val="12"/>
              </w:rPr>
            </w:pPr>
          </w:p>
        </w:tc>
        <w:tc>
          <w:tcPr>
            <w:tcW w:w="1843" w:type="dxa"/>
            <w:shd w:val="clear" w:color="auto" w:fill="auto"/>
          </w:tcPr>
          <w:p w14:paraId="733BCF06" w14:textId="77777777" w:rsidR="002A4DDF" w:rsidRPr="00937C8B" w:rsidRDefault="002A4DDF" w:rsidP="009110ED">
            <w:pPr>
              <w:rPr>
                <w:rFonts w:ascii="Arial" w:hAnsi="Arial" w:cs="Arial"/>
                <w:sz w:val="12"/>
                <w:szCs w:val="12"/>
              </w:rPr>
            </w:pPr>
          </w:p>
        </w:tc>
        <w:tc>
          <w:tcPr>
            <w:tcW w:w="2268" w:type="dxa"/>
            <w:shd w:val="clear" w:color="auto" w:fill="F2F2F2"/>
            <w:hideMark/>
          </w:tcPr>
          <w:p w14:paraId="58820680" w14:textId="77777777" w:rsidR="002A4DDF" w:rsidRPr="00937C8B" w:rsidRDefault="002A4DDF" w:rsidP="009110ED">
            <w:pPr>
              <w:rPr>
                <w:rFonts w:ascii="Arial" w:hAnsi="Arial" w:cs="Arial"/>
                <w:sz w:val="12"/>
                <w:szCs w:val="12"/>
              </w:rPr>
            </w:pPr>
            <w:r>
              <w:rPr>
                <w:rFonts w:ascii="Arial" w:hAnsi="Arial"/>
                <w:sz w:val="12"/>
                <w:szCs w:val="12"/>
              </w:rPr>
              <w:t>Huesca</w:t>
            </w:r>
          </w:p>
        </w:tc>
        <w:tc>
          <w:tcPr>
            <w:tcW w:w="2268" w:type="dxa"/>
            <w:tcBorders>
              <w:right w:val="single" w:sz="4" w:space="0" w:color="auto"/>
            </w:tcBorders>
            <w:shd w:val="clear" w:color="auto" w:fill="D9D9D9"/>
            <w:hideMark/>
          </w:tcPr>
          <w:p w14:paraId="0F4036F1" w14:textId="77777777" w:rsidR="002A4DDF" w:rsidRPr="00937C8B" w:rsidRDefault="002A4DDF" w:rsidP="009110ED">
            <w:pPr>
              <w:rPr>
                <w:rFonts w:ascii="Arial" w:hAnsi="Arial" w:cs="Arial"/>
                <w:sz w:val="12"/>
                <w:szCs w:val="12"/>
              </w:rPr>
            </w:pPr>
          </w:p>
        </w:tc>
      </w:tr>
      <w:tr w:rsidR="002A4DDF" w:rsidRPr="00937C8B" w14:paraId="3D1807FA" w14:textId="77777777" w:rsidTr="00935676">
        <w:trPr>
          <w:cantSplit/>
        </w:trPr>
        <w:tc>
          <w:tcPr>
            <w:tcW w:w="1696" w:type="dxa"/>
            <w:tcBorders>
              <w:left w:val="single" w:sz="4" w:space="0" w:color="auto"/>
            </w:tcBorders>
            <w:shd w:val="clear" w:color="auto" w:fill="auto"/>
          </w:tcPr>
          <w:p w14:paraId="6779C14E" w14:textId="77777777" w:rsidR="002A4DDF" w:rsidRPr="00937C8B" w:rsidRDefault="002A4DDF" w:rsidP="009110ED">
            <w:pPr>
              <w:rPr>
                <w:rFonts w:ascii="Arial" w:hAnsi="Arial" w:cs="Arial"/>
                <w:sz w:val="12"/>
                <w:szCs w:val="12"/>
              </w:rPr>
            </w:pPr>
          </w:p>
        </w:tc>
        <w:tc>
          <w:tcPr>
            <w:tcW w:w="1843" w:type="dxa"/>
            <w:shd w:val="clear" w:color="auto" w:fill="auto"/>
          </w:tcPr>
          <w:p w14:paraId="44F9C4EC" w14:textId="77777777" w:rsidR="002A4DDF" w:rsidRPr="00937C8B" w:rsidRDefault="002A4DDF" w:rsidP="009110ED">
            <w:pPr>
              <w:rPr>
                <w:rFonts w:ascii="Arial" w:hAnsi="Arial" w:cs="Arial"/>
                <w:sz w:val="12"/>
                <w:szCs w:val="12"/>
              </w:rPr>
            </w:pPr>
          </w:p>
        </w:tc>
        <w:tc>
          <w:tcPr>
            <w:tcW w:w="2268" w:type="dxa"/>
            <w:shd w:val="clear" w:color="auto" w:fill="F2F2F2"/>
            <w:hideMark/>
          </w:tcPr>
          <w:p w14:paraId="3D0467AD" w14:textId="77777777" w:rsidR="002A4DDF" w:rsidRPr="00937C8B" w:rsidRDefault="002A4DDF" w:rsidP="009110ED">
            <w:pPr>
              <w:rPr>
                <w:rFonts w:ascii="Arial" w:hAnsi="Arial" w:cs="Arial"/>
                <w:sz w:val="12"/>
                <w:szCs w:val="12"/>
              </w:rPr>
            </w:pPr>
            <w:r>
              <w:rPr>
                <w:rFonts w:ascii="Arial" w:hAnsi="Arial"/>
                <w:sz w:val="12"/>
                <w:szCs w:val="12"/>
              </w:rPr>
              <w:t>Ilche</w:t>
            </w:r>
          </w:p>
        </w:tc>
        <w:tc>
          <w:tcPr>
            <w:tcW w:w="2268" w:type="dxa"/>
            <w:tcBorders>
              <w:right w:val="single" w:sz="4" w:space="0" w:color="auto"/>
            </w:tcBorders>
            <w:shd w:val="clear" w:color="auto" w:fill="D9D9D9"/>
            <w:hideMark/>
          </w:tcPr>
          <w:p w14:paraId="6D0A3ECC" w14:textId="77777777" w:rsidR="002A4DDF" w:rsidRPr="00937C8B" w:rsidRDefault="002A4DDF" w:rsidP="009110ED">
            <w:pPr>
              <w:rPr>
                <w:rFonts w:ascii="Arial" w:hAnsi="Arial" w:cs="Arial"/>
                <w:sz w:val="12"/>
                <w:szCs w:val="12"/>
              </w:rPr>
            </w:pPr>
          </w:p>
        </w:tc>
      </w:tr>
      <w:tr w:rsidR="002A4DDF" w:rsidRPr="00937C8B" w14:paraId="547114D5" w14:textId="77777777" w:rsidTr="00935676">
        <w:trPr>
          <w:cantSplit/>
        </w:trPr>
        <w:tc>
          <w:tcPr>
            <w:tcW w:w="1696" w:type="dxa"/>
            <w:tcBorders>
              <w:left w:val="single" w:sz="4" w:space="0" w:color="auto"/>
            </w:tcBorders>
            <w:shd w:val="clear" w:color="auto" w:fill="auto"/>
          </w:tcPr>
          <w:p w14:paraId="5DF6E300" w14:textId="77777777" w:rsidR="002A4DDF" w:rsidRPr="00937C8B" w:rsidRDefault="002A4DDF" w:rsidP="009110ED">
            <w:pPr>
              <w:rPr>
                <w:rFonts w:ascii="Arial" w:hAnsi="Arial" w:cs="Arial"/>
                <w:sz w:val="12"/>
                <w:szCs w:val="12"/>
              </w:rPr>
            </w:pPr>
          </w:p>
        </w:tc>
        <w:tc>
          <w:tcPr>
            <w:tcW w:w="1843" w:type="dxa"/>
            <w:shd w:val="clear" w:color="auto" w:fill="auto"/>
          </w:tcPr>
          <w:p w14:paraId="636F6764" w14:textId="77777777" w:rsidR="002A4DDF" w:rsidRPr="00937C8B" w:rsidRDefault="002A4DDF" w:rsidP="009110ED">
            <w:pPr>
              <w:rPr>
                <w:rFonts w:ascii="Arial" w:hAnsi="Arial" w:cs="Arial"/>
                <w:sz w:val="12"/>
                <w:szCs w:val="12"/>
              </w:rPr>
            </w:pPr>
          </w:p>
        </w:tc>
        <w:tc>
          <w:tcPr>
            <w:tcW w:w="2268" w:type="dxa"/>
            <w:shd w:val="clear" w:color="auto" w:fill="F2F2F2"/>
            <w:hideMark/>
          </w:tcPr>
          <w:p w14:paraId="43DE52DA" w14:textId="77777777" w:rsidR="002A4DDF" w:rsidRPr="00937C8B" w:rsidRDefault="002A4DDF" w:rsidP="009110ED">
            <w:pPr>
              <w:rPr>
                <w:rFonts w:ascii="Arial" w:hAnsi="Arial" w:cs="Arial"/>
                <w:sz w:val="12"/>
                <w:szCs w:val="12"/>
              </w:rPr>
            </w:pPr>
            <w:r>
              <w:rPr>
                <w:rFonts w:ascii="Arial" w:hAnsi="Arial"/>
                <w:sz w:val="12"/>
                <w:szCs w:val="12"/>
              </w:rPr>
              <w:t>Isábena</w:t>
            </w:r>
          </w:p>
        </w:tc>
        <w:tc>
          <w:tcPr>
            <w:tcW w:w="2268" w:type="dxa"/>
            <w:tcBorders>
              <w:right w:val="single" w:sz="4" w:space="0" w:color="auto"/>
            </w:tcBorders>
            <w:shd w:val="clear" w:color="auto" w:fill="D9D9D9"/>
            <w:hideMark/>
          </w:tcPr>
          <w:p w14:paraId="431D41C6" w14:textId="77777777" w:rsidR="002A4DDF" w:rsidRPr="00937C8B" w:rsidRDefault="002A4DDF" w:rsidP="009110ED">
            <w:pPr>
              <w:rPr>
                <w:rFonts w:ascii="Arial" w:hAnsi="Arial" w:cs="Arial"/>
                <w:sz w:val="12"/>
                <w:szCs w:val="12"/>
              </w:rPr>
            </w:pPr>
          </w:p>
        </w:tc>
      </w:tr>
      <w:tr w:rsidR="002A4DDF" w:rsidRPr="00937C8B" w14:paraId="2C3B34C9" w14:textId="77777777" w:rsidTr="00935676">
        <w:trPr>
          <w:cantSplit/>
        </w:trPr>
        <w:tc>
          <w:tcPr>
            <w:tcW w:w="1696" w:type="dxa"/>
            <w:tcBorders>
              <w:left w:val="single" w:sz="4" w:space="0" w:color="auto"/>
            </w:tcBorders>
            <w:shd w:val="clear" w:color="auto" w:fill="auto"/>
          </w:tcPr>
          <w:p w14:paraId="1139094C" w14:textId="77777777" w:rsidR="002A4DDF" w:rsidRPr="00937C8B" w:rsidRDefault="002A4DDF" w:rsidP="009110ED">
            <w:pPr>
              <w:rPr>
                <w:rFonts w:ascii="Arial" w:hAnsi="Arial" w:cs="Arial"/>
                <w:sz w:val="12"/>
                <w:szCs w:val="12"/>
              </w:rPr>
            </w:pPr>
          </w:p>
        </w:tc>
        <w:tc>
          <w:tcPr>
            <w:tcW w:w="1843" w:type="dxa"/>
            <w:shd w:val="clear" w:color="auto" w:fill="auto"/>
          </w:tcPr>
          <w:p w14:paraId="54265AE3" w14:textId="77777777" w:rsidR="002A4DDF" w:rsidRPr="00937C8B" w:rsidRDefault="002A4DDF" w:rsidP="009110ED">
            <w:pPr>
              <w:rPr>
                <w:rFonts w:ascii="Arial" w:hAnsi="Arial" w:cs="Arial"/>
                <w:sz w:val="12"/>
                <w:szCs w:val="12"/>
              </w:rPr>
            </w:pPr>
          </w:p>
        </w:tc>
        <w:tc>
          <w:tcPr>
            <w:tcW w:w="2268" w:type="dxa"/>
            <w:shd w:val="clear" w:color="auto" w:fill="F2F2F2"/>
            <w:hideMark/>
          </w:tcPr>
          <w:p w14:paraId="5E798BBB" w14:textId="77777777" w:rsidR="002A4DDF" w:rsidRPr="00937C8B" w:rsidRDefault="002A4DDF" w:rsidP="009110ED">
            <w:pPr>
              <w:rPr>
                <w:rFonts w:ascii="Arial" w:hAnsi="Arial" w:cs="Arial"/>
                <w:sz w:val="12"/>
                <w:szCs w:val="12"/>
              </w:rPr>
            </w:pPr>
            <w:r>
              <w:rPr>
                <w:rFonts w:ascii="Arial" w:hAnsi="Arial"/>
                <w:sz w:val="12"/>
                <w:szCs w:val="12"/>
              </w:rPr>
              <w:t>Laluenga</w:t>
            </w:r>
          </w:p>
        </w:tc>
        <w:tc>
          <w:tcPr>
            <w:tcW w:w="2268" w:type="dxa"/>
            <w:tcBorders>
              <w:right w:val="single" w:sz="4" w:space="0" w:color="auto"/>
            </w:tcBorders>
            <w:shd w:val="clear" w:color="auto" w:fill="D9D9D9"/>
            <w:hideMark/>
          </w:tcPr>
          <w:p w14:paraId="77F279E5" w14:textId="77777777" w:rsidR="002A4DDF" w:rsidRPr="00937C8B" w:rsidRDefault="002A4DDF" w:rsidP="009110ED">
            <w:pPr>
              <w:rPr>
                <w:rFonts w:ascii="Arial" w:hAnsi="Arial" w:cs="Arial"/>
                <w:sz w:val="12"/>
                <w:szCs w:val="12"/>
              </w:rPr>
            </w:pPr>
          </w:p>
        </w:tc>
      </w:tr>
      <w:tr w:rsidR="002A4DDF" w:rsidRPr="00937C8B" w14:paraId="3C41B547" w14:textId="77777777" w:rsidTr="00935676">
        <w:trPr>
          <w:cantSplit/>
        </w:trPr>
        <w:tc>
          <w:tcPr>
            <w:tcW w:w="1696" w:type="dxa"/>
            <w:tcBorders>
              <w:left w:val="single" w:sz="4" w:space="0" w:color="auto"/>
            </w:tcBorders>
            <w:shd w:val="clear" w:color="auto" w:fill="auto"/>
          </w:tcPr>
          <w:p w14:paraId="7664E0C0" w14:textId="77777777" w:rsidR="002A4DDF" w:rsidRPr="00937C8B" w:rsidRDefault="002A4DDF" w:rsidP="009110ED">
            <w:pPr>
              <w:rPr>
                <w:rFonts w:ascii="Arial" w:hAnsi="Arial" w:cs="Arial"/>
                <w:sz w:val="12"/>
                <w:szCs w:val="12"/>
              </w:rPr>
            </w:pPr>
          </w:p>
        </w:tc>
        <w:tc>
          <w:tcPr>
            <w:tcW w:w="1843" w:type="dxa"/>
            <w:shd w:val="clear" w:color="auto" w:fill="auto"/>
          </w:tcPr>
          <w:p w14:paraId="170F2EDF" w14:textId="77777777" w:rsidR="002A4DDF" w:rsidRPr="00937C8B" w:rsidRDefault="002A4DDF" w:rsidP="009110ED">
            <w:pPr>
              <w:rPr>
                <w:rFonts w:ascii="Arial" w:hAnsi="Arial" w:cs="Arial"/>
                <w:sz w:val="12"/>
                <w:szCs w:val="12"/>
              </w:rPr>
            </w:pPr>
          </w:p>
        </w:tc>
        <w:tc>
          <w:tcPr>
            <w:tcW w:w="2268" w:type="dxa"/>
            <w:shd w:val="clear" w:color="auto" w:fill="F2F2F2"/>
            <w:hideMark/>
          </w:tcPr>
          <w:p w14:paraId="3C85E413" w14:textId="77777777" w:rsidR="002A4DDF" w:rsidRPr="00937C8B" w:rsidRDefault="002A4DDF" w:rsidP="009110ED">
            <w:pPr>
              <w:rPr>
                <w:rFonts w:ascii="Arial" w:hAnsi="Arial" w:cs="Arial"/>
                <w:sz w:val="12"/>
                <w:szCs w:val="12"/>
              </w:rPr>
            </w:pPr>
            <w:r>
              <w:rPr>
                <w:rFonts w:ascii="Arial" w:hAnsi="Arial"/>
                <w:sz w:val="12"/>
                <w:szCs w:val="12"/>
              </w:rPr>
              <w:t>Lalueza</w:t>
            </w:r>
          </w:p>
        </w:tc>
        <w:tc>
          <w:tcPr>
            <w:tcW w:w="2268" w:type="dxa"/>
            <w:tcBorders>
              <w:right w:val="single" w:sz="4" w:space="0" w:color="auto"/>
            </w:tcBorders>
            <w:shd w:val="clear" w:color="auto" w:fill="D9D9D9"/>
            <w:hideMark/>
          </w:tcPr>
          <w:p w14:paraId="778B762E" w14:textId="77777777" w:rsidR="002A4DDF" w:rsidRPr="00937C8B" w:rsidRDefault="002A4DDF" w:rsidP="009110ED">
            <w:pPr>
              <w:rPr>
                <w:rFonts w:ascii="Arial" w:hAnsi="Arial" w:cs="Arial"/>
                <w:sz w:val="12"/>
                <w:szCs w:val="12"/>
              </w:rPr>
            </w:pPr>
          </w:p>
        </w:tc>
      </w:tr>
      <w:tr w:rsidR="002A4DDF" w:rsidRPr="00937C8B" w14:paraId="645A8608" w14:textId="77777777" w:rsidTr="00935676">
        <w:trPr>
          <w:cantSplit/>
        </w:trPr>
        <w:tc>
          <w:tcPr>
            <w:tcW w:w="1696" w:type="dxa"/>
            <w:tcBorders>
              <w:left w:val="single" w:sz="4" w:space="0" w:color="auto"/>
            </w:tcBorders>
            <w:shd w:val="clear" w:color="auto" w:fill="auto"/>
          </w:tcPr>
          <w:p w14:paraId="3FD4344B" w14:textId="77777777" w:rsidR="002A4DDF" w:rsidRPr="00937C8B" w:rsidRDefault="002A4DDF" w:rsidP="009110ED">
            <w:pPr>
              <w:rPr>
                <w:rFonts w:ascii="Arial" w:hAnsi="Arial" w:cs="Arial"/>
                <w:sz w:val="12"/>
                <w:szCs w:val="12"/>
              </w:rPr>
            </w:pPr>
          </w:p>
        </w:tc>
        <w:tc>
          <w:tcPr>
            <w:tcW w:w="1843" w:type="dxa"/>
            <w:shd w:val="clear" w:color="auto" w:fill="auto"/>
          </w:tcPr>
          <w:p w14:paraId="4AE6F05F" w14:textId="77777777" w:rsidR="002A4DDF" w:rsidRPr="00937C8B" w:rsidRDefault="002A4DDF" w:rsidP="009110ED">
            <w:pPr>
              <w:rPr>
                <w:rFonts w:ascii="Arial" w:hAnsi="Arial" w:cs="Arial"/>
                <w:sz w:val="12"/>
                <w:szCs w:val="12"/>
              </w:rPr>
            </w:pPr>
          </w:p>
        </w:tc>
        <w:tc>
          <w:tcPr>
            <w:tcW w:w="2268" w:type="dxa"/>
            <w:shd w:val="clear" w:color="auto" w:fill="F2F2F2"/>
            <w:hideMark/>
          </w:tcPr>
          <w:p w14:paraId="18A03F29" w14:textId="77777777" w:rsidR="002A4DDF" w:rsidRPr="00937C8B" w:rsidRDefault="002A4DDF" w:rsidP="009110ED">
            <w:pPr>
              <w:rPr>
                <w:rFonts w:ascii="Arial" w:hAnsi="Arial" w:cs="Arial"/>
                <w:sz w:val="12"/>
                <w:szCs w:val="12"/>
              </w:rPr>
            </w:pPr>
            <w:r>
              <w:rPr>
                <w:rFonts w:ascii="Arial" w:hAnsi="Arial"/>
                <w:sz w:val="12"/>
                <w:szCs w:val="12"/>
              </w:rPr>
              <w:t>Lanaja</w:t>
            </w:r>
          </w:p>
        </w:tc>
        <w:tc>
          <w:tcPr>
            <w:tcW w:w="2268" w:type="dxa"/>
            <w:tcBorders>
              <w:right w:val="single" w:sz="4" w:space="0" w:color="auto"/>
            </w:tcBorders>
            <w:shd w:val="clear" w:color="auto" w:fill="D9D9D9"/>
            <w:hideMark/>
          </w:tcPr>
          <w:p w14:paraId="56A3C8C8" w14:textId="77777777" w:rsidR="002A4DDF" w:rsidRPr="00937C8B" w:rsidRDefault="002A4DDF" w:rsidP="009110ED">
            <w:pPr>
              <w:rPr>
                <w:rFonts w:ascii="Arial" w:hAnsi="Arial" w:cs="Arial"/>
                <w:sz w:val="12"/>
                <w:szCs w:val="12"/>
              </w:rPr>
            </w:pPr>
          </w:p>
        </w:tc>
      </w:tr>
      <w:tr w:rsidR="002A4DDF" w:rsidRPr="00937C8B" w14:paraId="34314A10" w14:textId="77777777" w:rsidTr="00935676">
        <w:trPr>
          <w:cantSplit/>
        </w:trPr>
        <w:tc>
          <w:tcPr>
            <w:tcW w:w="1696" w:type="dxa"/>
            <w:tcBorders>
              <w:left w:val="single" w:sz="4" w:space="0" w:color="auto"/>
            </w:tcBorders>
            <w:shd w:val="clear" w:color="auto" w:fill="auto"/>
          </w:tcPr>
          <w:p w14:paraId="7FD4D7E4" w14:textId="77777777" w:rsidR="002A4DDF" w:rsidRPr="00937C8B" w:rsidRDefault="002A4DDF" w:rsidP="009110ED">
            <w:pPr>
              <w:rPr>
                <w:rFonts w:ascii="Arial" w:hAnsi="Arial" w:cs="Arial"/>
                <w:sz w:val="12"/>
                <w:szCs w:val="12"/>
              </w:rPr>
            </w:pPr>
          </w:p>
        </w:tc>
        <w:tc>
          <w:tcPr>
            <w:tcW w:w="1843" w:type="dxa"/>
            <w:shd w:val="clear" w:color="auto" w:fill="auto"/>
          </w:tcPr>
          <w:p w14:paraId="236B30C1" w14:textId="77777777" w:rsidR="002A4DDF" w:rsidRPr="00937C8B" w:rsidRDefault="002A4DDF" w:rsidP="009110ED">
            <w:pPr>
              <w:rPr>
                <w:rFonts w:ascii="Arial" w:hAnsi="Arial" w:cs="Arial"/>
                <w:sz w:val="12"/>
                <w:szCs w:val="12"/>
              </w:rPr>
            </w:pPr>
          </w:p>
        </w:tc>
        <w:tc>
          <w:tcPr>
            <w:tcW w:w="2268" w:type="dxa"/>
            <w:shd w:val="clear" w:color="auto" w:fill="F2F2F2"/>
            <w:hideMark/>
          </w:tcPr>
          <w:p w14:paraId="623A1761" w14:textId="77777777" w:rsidR="002A4DDF" w:rsidRPr="00937C8B" w:rsidRDefault="002A4DDF" w:rsidP="009110ED">
            <w:pPr>
              <w:rPr>
                <w:rFonts w:ascii="Arial" w:hAnsi="Arial" w:cs="Arial"/>
                <w:sz w:val="12"/>
                <w:szCs w:val="12"/>
              </w:rPr>
            </w:pPr>
            <w:r>
              <w:rPr>
                <w:rFonts w:ascii="Arial" w:hAnsi="Arial"/>
                <w:sz w:val="12"/>
                <w:szCs w:val="12"/>
              </w:rPr>
              <w:t>Laperdiguera</w:t>
            </w:r>
          </w:p>
        </w:tc>
        <w:tc>
          <w:tcPr>
            <w:tcW w:w="2268" w:type="dxa"/>
            <w:tcBorders>
              <w:right w:val="single" w:sz="4" w:space="0" w:color="auto"/>
            </w:tcBorders>
            <w:shd w:val="clear" w:color="auto" w:fill="D9D9D9"/>
            <w:hideMark/>
          </w:tcPr>
          <w:p w14:paraId="699FD813" w14:textId="77777777" w:rsidR="002A4DDF" w:rsidRPr="00937C8B" w:rsidRDefault="002A4DDF" w:rsidP="009110ED">
            <w:pPr>
              <w:rPr>
                <w:rFonts w:ascii="Arial" w:hAnsi="Arial" w:cs="Arial"/>
                <w:sz w:val="12"/>
                <w:szCs w:val="12"/>
              </w:rPr>
            </w:pPr>
          </w:p>
        </w:tc>
      </w:tr>
      <w:tr w:rsidR="002A4DDF" w:rsidRPr="00937C8B" w14:paraId="4C614DCB" w14:textId="77777777" w:rsidTr="00935676">
        <w:trPr>
          <w:cantSplit/>
        </w:trPr>
        <w:tc>
          <w:tcPr>
            <w:tcW w:w="1696" w:type="dxa"/>
            <w:tcBorders>
              <w:left w:val="single" w:sz="4" w:space="0" w:color="auto"/>
            </w:tcBorders>
            <w:shd w:val="clear" w:color="auto" w:fill="auto"/>
          </w:tcPr>
          <w:p w14:paraId="61F316A3" w14:textId="77777777" w:rsidR="002A4DDF" w:rsidRPr="00937C8B" w:rsidRDefault="002A4DDF" w:rsidP="009110ED">
            <w:pPr>
              <w:rPr>
                <w:rFonts w:ascii="Arial" w:hAnsi="Arial" w:cs="Arial"/>
                <w:sz w:val="12"/>
                <w:szCs w:val="12"/>
              </w:rPr>
            </w:pPr>
          </w:p>
        </w:tc>
        <w:tc>
          <w:tcPr>
            <w:tcW w:w="1843" w:type="dxa"/>
            <w:shd w:val="clear" w:color="auto" w:fill="auto"/>
          </w:tcPr>
          <w:p w14:paraId="45B8485A" w14:textId="77777777" w:rsidR="002A4DDF" w:rsidRPr="00937C8B" w:rsidRDefault="002A4DDF" w:rsidP="009110ED">
            <w:pPr>
              <w:rPr>
                <w:rFonts w:ascii="Arial" w:hAnsi="Arial" w:cs="Arial"/>
                <w:sz w:val="12"/>
                <w:szCs w:val="12"/>
              </w:rPr>
            </w:pPr>
          </w:p>
        </w:tc>
        <w:tc>
          <w:tcPr>
            <w:tcW w:w="2268" w:type="dxa"/>
            <w:shd w:val="clear" w:color="auto" w:fill="F2F2F2"/>
            <w:hideMark/>
          </w:tcPr>
          <w:p w14:paraId="49BC7611" w14:textId="77777777" w:rsidR="002A4DDF" w:rsidRPr="00937C8B" w:rsidRDefault="002A4DDF" w:rsidP="009110ED">
            <w:pPr>
              <w:rPr>
                <w:rFonts w:ascii="Arial" w:hAnsi="Arial" w:cs="Arial"/>
                <w:sz w:val="12"/>
                <w:szCs w:val="12"/>
              </w:rPr>
            </w:pPr>
            <w:r>
              <w:rPr>
                <w:rFonts w:ascii="Arial" w:hAnsi="Arial"/>
                <w:sz w:val="12"/>
                <w:szCs w:val="12"/>
              </w:rPr>
              <w:t>Lascellas-Ponzano</w:t>
            </w:r>
          </w:p>
        </w:tc>
        <w:tc>
          <w:tcPr>
            <w:tcW w:w="2268" w:type="dxa"/>
            <w:tcBorders>
              <w:right w:val="single" w:sz="4" w:space="0" w:color="auto"/>
            </w:tcBorders>
            <w:shd w:val="clear" w:color="auto" w:fill="D9D9D9"/>
            <w:hideMark/>
          </w:tcPr>
          <w:p w14:paraId="5E0A4E0E" w14:textId="77777777" w:rsidR="002A4DDF" w:rsidRPr="00937C8B" w:rsidRDefault="002A4DDF" w:rsidP="009110ED">
            <w:pPr>
              <w:rPr>
                <w:rFonts w:ascii="Arial" w:hAnsi="Arial" w:cs="Arial"/>
                <w:sz w:val="12"/>
                <w:szCs w:val="12"/>
              </w:rPr>
            </w:pPr>
          </w:p>
        </w:tc>
      </w:tr>
      <w:tr w:rsidR="002A4DDF" w:rsidRPr="00937C8B" w14:paraId="25078156" w14:textId="77777777" w:rsidTr="00935676">
        <w:trPr>
          <w:cantSplit/>
        </w:trPr>
        <w:tc>
          <w:tcPr>
            <w:tcW w:w="1696" w:type="dxa"/>
            <w:tcBorders>
              <w:left w:val="single" w:sz="4" w:space="0" w:color="auto"/>
            </w:tcBorders>
            <w:shd w:val="clear" w:color="auto" w:fill="auto"/>
          </w:tcPr>
          <w:p w14:paraId="4BF2555D" w14:textId="77777777" w:rsidR="002A4DDF" w:rsidRPr="00937C8B" w:rsidRDefault="002A4DDF" w:rsidP="009110ED">
            <w:pPr>
              <w:rPr>
                <w:rFonts w:ascii="Arial" w:hAnsi="Arial" w:cs="Arial"/>
                <w:sz w:val="12"/>
                <w:szCs w:val="12"/>
              </w:rPr>
            </w:pPr>
          </w:p>
        </w:tc>
        <w:tc>
          <w:tcPr>
            <w:tcW w:w="1843" w:type="dxa"/>
            <w:shd w:val="clear" w:color="auto" w:fill="auto"/>
          </w:tcPr>
          <w:p w14:paraId="2AC1AADA" w14:textId="77777777" w:rsidR="002A4DDF" w:rsidRPr="00937C8B" w:rsidRDefault="002A4DDF" w:rsidP="009110ED">
            <w:pPr>
              <w:rPr>
                <w:rFonts w:ascii="Arial" w:hAnsi="Arial" w:cs="Arial"/>
                <w:sz w:val="12"/>
                <w:szCs w:val="12"/>
              </w:rPr>
            </w:pPr>
          </w:p>
        </w:tc>
        <w:tc>
          <w:tcPr>
            <w:tcW w:w="2268" w:type="dxa"/>
            <w:shd w:val="clear" w:color="auto" w:fill="F2F2F2"/>
            <w:hideMark/>
          </w:tcPr>
          <w:p w14:paraId="62C42D68" w14:textId="77777777" w:rsidR="002A4DDF" w:rsidRPr="00937C8B" w:rsidRDefault="002A4DDF" w:rsidP="009110ED">
            <w:pPr>
              <w:rPr>
                <w:rFonts w:ascii="Arial" w:hAnsi="Arial" w:cs="Arial"/>
                <w:sz w:val="12"/>
                <w:szCs w:val="12"/>
              </w:rPr>
            </w:pPr>
            <w:r>
              <w:rPr>
                <w:rFonts w:ascii="Arial" w:hAnsi="Arial"/>
                <w:sz w:val="12"/>
                <w:szCs w:val="12"/>
              </w:rPr>
              <w:t>Loarre</w:t>
            </w:r>
          </w:p>
        </w:tc>
        <w:tc>
          <w:tcPr>
            <w:tcW w:w="2268" w:type="dxa"/>
            <w:tcBorders>
              <w:right w:val="single" w:sz="4" w:space="0" w:color="auto"/>
            </w:tcBorders>
            <w:shd w:val="clear" w:color="auto" w:fill="D9D9D9"/>
            <w:hideMark/>
          </w:tcPr>
          <w:p w14:paraId="1B0EE22C" w14:textId="77777777" w:rsidR="002A4DDF" w:rsidRPr="00937C8B" w:rsidRDefault="002A4DDF" w:rsidP="009110ED">
            <w:pPr>
              <w:rPr>
                <w:rFonts w:ascii="Arial" w:hAnsi="Arial" w:cs="Arial"/>
                <w:sz w:val="12"/>
                <w:szCs w:val="12"/>
              </w:rPr>
            </w:pPr>
          </w:p>
        </w:tc>
      </w:tr>
      <w:tr w:rsidR="002A4DDF" w:rsidRPr="00937C8B" w14:paraId="3484C472" w14:textId="77777777" w:rsidTr="00935676">
        <w:trPr>
          <w:cantSplit/>
        </w:trPr>
        <w:tc>
          <w:tcPr>
            <w:tcW w:w="1696" w:type="dxa"/>
            <w:tcBorders>
              <w:left w:val="single" w:sz="4" w:space="0" w:color="auto"/>
            </w:tcBorders>
            <w:shd w:val="clear" w:color="auto" w:fill="auto"/>
          </w:tcPr>
          <w:p w14:paraId="2BF9816E" w14:textId="77777777" w:rsidR="002A4DDF" w:rsidRPr="00937C8B" w:rsidRDefault="002A4DDF" w:rsidP="009110ED">
            <w:pPr>
              <w:rPr>
                <w:rFonts w:ascii="Arial" w:hAnsi="Arial" w:cs="Arial"/>
                <w:sz w:val="12"/>
                <w:szCs w:val="12"/>
              </w:rPr>
            </w:pPr>
          </w:p>
        </w:tc>
        <w:tc>
          <w:tcPr>
            <w:tcW w:w="1843" w:type="dxa"/>
            <w:shd w:val="clear" w:color="auto" w:fill="auto"/>
          </w:tcPr>
          <w:p w14:paraId="1DE733DA" w14:textId="77777777" w:rsidR="002A4DDF" w:rsidRPr="00937C8B" w:rsidRDefault="002A4DDF" w:rsidP="009110ED">
            <w:pPr>
              <w:rPr>
                <w:rFonts w:ascii="Arial" w:hAnsi="Arial" w:cs="Arial"/>
                <w:sz w:val="12"/>
                <w:szCs w:val="12"/>
              </w:rPr>
            </w:pPr>
          </w:p>
        </w:tc>
        <w:tc>
          <w:tcPr>
            <w:tcW w:w="2268" w:type="dxa"/>
            <w:shd w:val="clear" w:color="auto" w:fill="F2F2F2"/>
            <w:hideMark/>
          </w:tcPr>
          <w:p w14:paraId="49BCF255" w14:textId="77777777" w:rsidR="002A4DDF" w:rsidRPr="00937C8B" w:rsidRDefault="002A4DDF" w:rsidP="009110ED">
            <w:pPr>
              <w:rPr>
                <w:rFonts w:ascii="Arial" w:hAnsi="Arial" w:cs="Arial"/>
                <w:sz w:val="12"/>
                <w:szCs w:val="12"/>
              </w:rPr>
            </w:pPr>
            <w:r>
              <w:rPr>
                <w:rFonts w:ascii="Arial" w:hAnsi="Arial"/>
                <w:sz w:val="12"/>
                <w:szCs w:val="12"/>
              </w:rPr>
              <w:t>Loporzano</w:t>
            </w:r>
          </w:p>
        </w:tc>
        <w:tc>
          <w:tcPr>
            <w:tcW w:w="2268" w:type="dxa"/>
            <w:tcBorders>
              <w:right w:val="single" w:sz="4" w:space="0" w:color="auto"/>
            </w:tcBorders>
            <w:shd w:val="clear" w:color="auto" w:fill="D9D9D9"/>
            <w:hideMark/>
          </w:tcPr>
          <w:p w14:paraId="70A9934C" w14:textId="77777777" w:rsidR="002A4DDF" w:rsidRPr="00937C8B" w:rsidRDefault="002A4DDF" w:rsidP="009110ED">
            <w:pPr>
              <w:rPr>
                <w:rFonts w:ascii="Arial" w:hAnsi="Arial" w:cs="Arial"/>
                <w:sz w:val="12"/>
                <w:szCs w:val="12"/>
              </w:rPr>
            </w:pPr>
          </w:p>
        </w:tc>
      </w:tr>
      <w:tr w:rsidR="002A4DDF" w:rsidRPr="00937C8B" w14:paraId="2DE9EF42" w14:textId="77777777" w:rsidTr="00935676">
        <w:trPr>
          <w:cantSplit/>
        </w:trPr>
        <w:tc>
          <w:tcPr>
            <w:tcW w:w="1696" w:type="dxa"/>
            <w:tcBorders>
              <w:left w:val="single" w:sz="4" w:space="0" w:color="auto"/>
            </w:tcBorders>
            <w:shd w:val="clear" w:color="auto" w:fill="auto"/>
          </w:tcPr>
          <w:p w14:paraId="64710A60" w14:textId="77777777" w:rsidR="002A4DDF" w:rsidRPr="00937C8B" w:rsidRDefault="002A4DDF" w:rsidP="009110ED">
            <w:pPr>
              <w:rPr>
                <w:rFonts w:ascii="Arial" w:hAnsi="Arial" w:cs="Arial"/>
                <w:sz w:val="12"/>
                <w:szCs w:val="12"/>
              </w:rPr>
            </w:pPr>
          </w:p>
        </w:tc>
        <w:tc>
          <w:tcPr>
            <w:tcW w:w="1843" w:type="dxa"/>
            <w:shd w:val="clear" w:color="auto" w:fill="auto"/>
          </w:tcPr>
          <w:p w14:paraId="5FA7F138" w14:textId="77777777" w:rsidR="002A4DDF" w:rsidRPr="00937C8B" w:rsidRDefault="002A4DDF" w:rsidP="009110ED">
            <w:pPr>
              <w:rPr>
                <w:rFonts w:ascii="Arial" w:hAnsi="Arial" w:cs="Arial"/>
                <w:sz w:val="12"/>
                <w:szCs w:val="12"/>
              </w:rPr>
            </w:pPr>
          </w:p>
        </w:tc>
        <w:tc>
          <w:tcPr>
            <w:tcW w:w="2268" w:type="dxa"/>
            <w:shd w:val="clear" w:color="auto" w:fill="F2F2F2"/>
            <w:hideMark/>
          </w:tcPr>
          <w:p w14:paraId="48DDE435" w14:textId="77777777" w:rsidR="002A4DDF" w:rsidRPr="00937C8B" w:rsidRDefault="002A4DDF" w:rsidP="009110ED">
            <w:pPr>
              <w:rPr>
                <w:rFonts w:ascii="Arial" w:hAnsi="Arial" w:cs="Arial"/>
                <w:sz w:val="12"/>
                <w:szCs w:val="12"/>
              </w:rPr>
            </w:pPr>
            <w:r>
              <w:rPr>
                <w:rFonts w:ascii="Arial" w:hAnsi="Arial"/>
                <w:sz w:val="12"/>
                <w:szCs w:val="12"/>
              </w:rPr>
              <w:t>Monflorite-Lascasas</w:t>
            </w:r>
          </w:p>
        </w:tc>
        <w:tc>
          <w:tcPr>
            <w:tcW w:w="2268" w:type="dxa"/>
            <w:tcBorders>
              <w:right w:val="single" w:sz="4" w:space="0" w:color="auto"/>
            </w:tcBorders>
            <w:shd w:val="clear" w:color="auto" w:fill="D9D9D9"/>
            <w:hideMark/>
          </w:tcPr>
          <w:p w14:paraId="0388B08E" w14:textId="77777777" w:rsidR="002A4DDF" w:rsidRPr="00937C8B" w:rsidRDefault="002A4DDF" w:rsidP="009110ED">
            <w:pPr>
              <w:rPr>
                <w:rFonts w:ascii="Arial" w:hAnsi="Arial" w:cs="Arial"/>
                <w:sz w:val="12"/>
                <w:szCs w:val="12"/>
              </w:rPr>
            </w:pPr>
          </w:p>
        </w:tc>
      </w:tr>
      <w:tr w:rsidR="002A4DDF" w:rsidRPr="00937C8B" w14:paraId="563B6DE0" w14:textId="77777777" w:rsidTr="00935676">
        <w:trPr>
          <w:cantSplit/>
        </w:trPr>
        <w:tc>
          <w:tcPr>
            <w:tcW w:w="1696" w:type="dxa"/>
            <w:tcBorders>
              <w:left w:val="single" w:sz="4" w:space="0" w:color="auto"/>
            </w:tcBorders>
            <w:shd w:val="clear" w:color="auto" w:fill="auto"/>
          </w:tcPr>
          <w:p w14:paraId="028C8F3F" w14:textId="77777777" w:rsidR="002A4DDF" w:rsidRPr="00937C8B" w:rsidRDefault="002A4DDF" w:rsidP="009110ED">
            <w:pPr>
              <w:rPr>
                <w:rFonts w:ascii="Arial" w:hAnsi="Arial" w:cs="Arial"/>
                <w:sz w:val="12"/>
                <w:szCs w:val="12"/>
              </w:rPr>
            </w:pPr>
          </w:p>
        </w:tc>
        <w:tc>
          <w:tcPr>
            <w:tcW w:w="1843" w:type="dxa"/>
            <w:shd w:val="clear" w:color="auto" w:fill="auto"/>
          </w:tcPr>
          <w:p w14:paraId="65601650" w14:textId="77777777" w:rsidR="002A4DDF" w:rsidRPr="00937C8B" w:rsidRDefault="002A4DDF" w:rsidP="009110ED">
            <w:pPr>
              <w:rPr>
                <w:rFonts w:ascii="Arial" w:hAnsi="Arial" w:cs="Arial"/>
                <w:sz w:val="12"/>
                <w:szCs w:val="12"/>
              </w:rPr>
            </w:pPr>
          </w:p>
        </w:tc>
        <w:tc>
          <w:tcPr>
            <w:tcW w:w="2268" w:type="dxa"/>
            <w:shd w:val="clear" w:color="auto" w:fill="F2F2F2"/>
            <w:hideMark/>
          </w:tcPr>
          <w:p w14:paraId="3244DE45" w14:textId="77777777" w:rsidR="002A4DDF" w:rsidRPr="00937C8B" w:rsidRDefault="002A4DDF" w:rsidP="009110ED">
            <w:pPr>
              <w:rPr>
                <w:rFonts w:ascii="Arial" w:hAnsi="Arial" w:cs="Arial"/>
                <w:sz w:val="12"/>
                <w:szCs w:val="12"/>
              </w:rPr>
            </w:pPr>
            <w:r>
              <w:rPr>
                <w:rFonts w:ascii="Arial" w:hAnsi="Arial"/>
                <w:sz w:val="12"/>
                <w:szCs w:val="12"/>
              </w:rPr>
              <w:t>Monzón</w:t>
            </w:r>
          </w:p>
        </w:tc>
        <w:tc>
          <w:tcPr>
            <w:tcW w:w="2268" w:type="dxa"/>
            <w:tcBorders>
              <w:right w:val="single" w:sz="4" w:space="0" w:color="auto"/>
            </w:tcBorders>
            <w:shd w:val="clear" w:color="auto" w:fill="D9D9D9"/>
            <w:hideMark/>
          </w:tcPr>
          <w:p w14:paraId="170FDA6E" w14:textId="77777777" w:rsidR="002A4DDF" w:rsidRPr="00937C8B" w:rsidRDefault="002A4DDF" w:rsidP="009110ED">
            <w:pPr>
              <w:rPr>
                <w:rFonts w:ascii="Arial" w:hAnsi="Arial" w:cs="Arial"/>
                <w:sz w:val="12"/>
                <w:szCs w:val="12"/>
              </w:rPr>
            </w:pPr>
          </w:p>
        </w:tc>
      </w:tr>
      <w:tr w:rsidR="002A4DDF" w:rsidRPr="00937C8B" w14:paraId="6A52CC29" w14:textId="77777777" w:rsidTr="00935676">
        <w:trPr>
          <w:cantSplit/>
        </w:trPr>
        <w:tc>
          <w:tcPr>
            <w:tcW w:w="1696" w:type="dxa"/>
            <w:tcBorders>
              <w:left w:val="single" w:sz="4" w:space="0" w:color="auto"/>
            </w:tcBorders>
            <w:shd w:val="clear" w:color="auto" w:fill="auto"/>
          </w:tcPr>
          <w:p w14:paraId="40F301E4" w14:textId="77777777" w:rsidR="002A4DDF" w:rsidRPr="00937C8B" w:rsidRDefault="002A4DDF" w:rsidP="009110ED">
            <w:pPr>
              <w:rPr>
                <w:rFonts w:ascii="Arial" w:hAnsi="Arial" w:cs="Arial"/>
                <w:sz w:val="12"/>
                <w:szCs w:val="12"/>
              </w:rPr>
            </w:pPr>
          </w:p>
        </w:tc>
        <w:tc>
          <w:tcPr>
            <w:tcW w:w="1843" w:type="dxa"/>
            <w:shd w:val="clear" w:color="auto" w:fill="auto"/>
          </w:tcPr>
          <w:p w14:paraId="459C67A9" w14:textId="77777777" w:rsidR="002A4DDF" w:rsidRPr="00937C8B" w:rsidRDefault="002A4DDF" w:rsidP="009110ED">
            <w:pPr>
              <w:rPr>
                <w:rFonts w:ascii="Arial" w:hAnsi="Arial" w:cs="Arial"/>
                <w:sz w:val="12"/>
                <w:szCs w:val="12"/>
              </w:rPr>
            </w:pPr>
          </w:p>
        </w:tc>
        <w:tc>
          <w:tcPr>
            <w:tcW w:w="2268" w:type="dxa"/>
            <w:shd w:val="clear" w:color="auto" w:fill="F2F2F2"/>
            <w:hideMark/>
          </w:tcPr>
          <w:p w14:paraId="1C41A473" w14:textId="77777777" w:rsidR="002A4DDF" w:rsidRPr="00937C8B" w:rsidRDefault="002A4DDF" w:rsidP="009110ED">
            <w:pPr>
              <w:rPr>
                <w:rFonts w:ascii="Arial" w:hAnsi="Arial" w:cs="Arial"/>
                <w:sz w:val="12"/>
                <w:szCs w:val="12"/>
              </w:rPr>
            </w:pPr>
            <w:r>
              <w:rPr>
                <w:rFonts w:ascii="Arial" w:hAnsi="Arial"/>
                <w:sz w:val="12"/>
                <w:szCs w:val="12"/>
              </w:rPr>
              <w:t>Osso de Cinca</w:t>
            </w:r>
          </w:p>
        </w:tc>
        <w:tc>
          <w:tcPr>
            <w:tcW w:w="2268" w:type="dxa"/>
            <w:tcBorders>
              <w:right w:val="single" w:sz="4" w:space="0" w:color="auto"/>
            </w:tcBorders>
            <w:shd w:val="clear" w:color="auto" w:fill="D9D9D9"/>
            <w:hideMark/>
          </w:tcPr>
          <w:p w14:paraId="1D4E9264" w14:textId="77777777" w:rsidR="002A4DDF" w:rsidRPr="00937C8B" w:rsidRDefault="002A4DDF" w:rsidP="009110ED">
            <w:pPr>
              <w:rPr>
                <w:rFonts w:ascii="Arial" w:hAnsi="Arial" w:cs="Arial"/>
                <w:sz w:val="12"/>
                <w:szCs w:val="12"/>
              </w:rPr>
            </w:pPr>
          </w:p>
        </w:tc>
      </w:tr>
      <w:tr w:rsidR="002A4DDF" w:rsidRPr="00937C8B" w14:paraId="6E4748CB" w14:textId="77777777" w:rsidTr="00935676">
        <w:trPr>
          <w:cantSplit/>
        </w:trPr>
        <w:tc>
          <w:tcPr>
            <w:tcW w:w="1696" w:type="dxa"/>
            <w:tcBorders>
              <w:left w:val="single" w:sz="4" w:space="0" w:color="auto"/>
            </w:tcBorders>
            <w:shd w:val="clear" w:color="auto" w:fill="auto"/>
          </w:tcPr>
          <w:p w14:paraId="056F25D4" w14:textId="77777777" w:rsidR="002A4DDF" w:rsidRPr="00937C8B" w:rsidRDefault="002A4DDF" w:rsidP="009110ED">
            <w:pPr>
              <w:rPr>
                <w:rFonts w:ascii="Arial" w:hAnsi="Arial" w:cs="Arial"/>
                <w:sz w:val="12"/>
                <w:szCs w:val="12"/>
              </w:rPr>
            </w:pPr>
          </w:p>
        </w:tc>
        <w:tc>
          <w:tcPr>
            <w:tcW w:w="1843" w:type="dxa"/>
            <w:shd w:val="clear" w:color="auto" w:fill="auto"/>
          </w:tcPr>
          <w:p w14:paraId="140ADCD5" w14:textId="77777777" w:rsidR="002A4DDF" w:rsidRPr="00937C8B" w:rsidRDefault="002A4DDF" w:rsidP="009110ED">
            <w:pPr>
              <w:rPr>
                <w:rFonts w:ascii="Arial" w:hAnsi="Arial" w:cs="Arial"/>
                <w:sz w:val="12"/>
                <w:szCs w:val="12"/>
              </w:rPr>
            </w:pPr>
          </w:p>
        </w:tc>
        <w:tc>
          <w:tcPr>
            <w:tcW w:w="2268" w:type="dxa"/>
            <w:shd w:val="clear" w:color="auto" w:fill="F2F2F2"/>
            <w:hideMark/>
          </w:tcPr>
          <w:p w14:paraId="7FC68E4C" w14:textId="77777777" w:rsidR="002A4DDF" w:rsidRPr="00937C8B" w:rsidRDefault="002A4DDF" w:rsidP="009110ED">
            <w:pPr>
              <w:rPr>
                <w:rFonts w:ascii="Arial" w:hAnsi="Arial" w:cs="Arial"/>
                <w:sz w:val="12"/>
                <w:szCs w:val="12"/>
              </w:rPr>
            </w:pPr>
            <w:r>
              <w:rPr>
                <w:rFonts w:ascii="Arial" w:hAnsi="Arial"/>
                <w:sz w:val="12"/>
                <w:szCs w:val="12"/>
              </w:rPr>
              <w:t>Peralta de Alcofea</w:t>
            </w:r>
          </w:p>
        </w:tc>
        <w:tc>
          <w:tcPr>
            <w:tcW w:w="2268" w:type="dxa"/>
            <w:tcBorders>
              <w:right w:val="single" w:sz="4" w:space="0" w:color="auto"/>
            </w:tcBorders>
            <w:shd w:val="clear" w:color="auto" w:fill="D9D9D9"/>
            <w:hideMark/>
          </w:tcPr>
          <w:p w14:paraId="7F4DFF47" w14:textId="77777777" w:rsidR="002A4DDF" w:rsidRPr="00937C8B" w:rsidRDefault="002A4DDF" w:rsidP="009110ED">
            <w:pPr>
              <w:rPr>
                <w:rFonts w:ascii="Arial" w:hAnsi="Arial" w:cs="Arial"/>
                <w:sz w:val="12"/>
                <w:szCs w:val="12"/>
              </w:rPr>
            </w:pPr>
          </w:p>
        </w:tc>
      </w:tr>
      <w:tr w:rsidR="002A4DDF" w:rsidRPr="00937C8B" w14:paraId="21516068" w14:textId="77777777" w:rsidTr="00935676">
        <w:trPr>
          <w:cantSplit/>
        </w:trPr>
        <w:tc>
          <w:tcPr>
            <w:tcW w:w="1696" w:type="dxa"/>
            <w:tcBorders>
              <w:left w:val="single" w:sz="4" w:space="0" w:color="auto"/>
            </w:tcBorders>
            <w:shd w:val="clear" w:color="auto" w:fill="auto"/>
          </w:tcPr>
          <w:p w14:paraId="3FC07348" w14:textId="77777777" w:rsidR="002A4DDF" w:rsidRPr="00937C8B" w:rsidRDefault="002A4DDF" w:rsidP="009110ED">
            <w:pPr>
              <w:rPr>
                <w:rFonts w:ascii="Arial" w:hAnsi="Arial" w:cs="Arial"/>
                <w:sz w:val="12"/>
                <w:szCs w:val="12"/>
              </w:rPr>
            </w:pPr>
          </w:p>
        </w:tc>
        <w:tc>
          <w:tcPr>
            <w:tcW w:w="1843" w:type="dxa"/>
            <w:shd w:val="clear" w:color="auto" w:fill="auto"/>
          </w:tcPr>
          <w:p w14:paraId="55135B69" w14:textId="77777777" w:rsidR="002A4DDF" w:rsidRPr="00937C8B" w:rsidRDefault="002A4DDF" w:rsidP="009110ED">
            <w:pPr>
              <w:rPr>
                <w:rFonts w:ascii="Arial" w:hAnsi="Arial" w:cs="Arial"/>
                <w:sz w:val="12"/>
                <w:szCs w:val="12"/>
              </w:rPr>
            </w:pPr>
          </w:p>
        </w:tc>
        <w:tc>
          <w:tcPr>
            <w:tcW w:w="2268" w:type="dxa"/>
            <w:shd w:val="clear" w:color="auto" w:fill="F2F2F2"/>
            <w:hideMark/>
          </w:tcPr>
          <w:p w14:paraId="62A6A535" w14:textId="77777777" w:rsidR="002A4DDF" w:rsidRPr="00937C8B" w:rsidRDefault="002A4DDF" w:rsidP="009110ED">
            <w:pPr>
              <w:rPr>
                <w:rFonts w:ascii="Arial" w:hAnsi="Arial" w:cs="Arial"/>
                <w:sz w:val="12"/>
                <w:szCs w:val="12"/>
              </w:rPr>
            </w:pPr>
            <w:r>
              <w:rPr>
                <w:rFonts w:ascii="Arial" w:hAnsi="Arial"/>
                <w:sz w:val="12"/>
                <w:szCs w:val="12"/>
              </w:rPr>
              <w:t>Plan</w:t>
            </w:r>
          </w:p>
        </w:tc>
        <w:tc>
          <w:tcPr>
            <w:tcW w:w="2268" w:type="dxa"/>
            <w:tcBorders>
              <w:right w:val="single" w:sz="4" w:space="0" w:color="auto"/>
            </w:tcBorders>
            <w:shd w:val="clear" w:color="auto" w:fill="D9D9D9"/>
            <w:hideMark/>
          </w:tcPr>
          <w:p w14:paraId="2E1CC8D5" w14:textId="77777777" w:rsidR="002A4DDF" w:rsidRPr="00937C8B" w:rsidRDefault="002A4DDF" w:rsidP="009110ED">
            <w:pPr>
              <w:rPr>
                <w:rFonts w:ascii="Arial" w:hAnsi="Arial" w:cs="Arial"/>
                <w:sz w:val="12"/>
                <w:szCs w:val="12"/>
              </w:rPr>
            </w:pPr>
          </w:p>
        </w:tc>
      </w:tr>
      <w:tr w:rsidR="002A4DDF" w:rsidRPr="00937C8B" w14:paraId="19B480DA" w14:textId="77777777" w:rsidTr="00935676">
        <w:trPr>
          <w:cantSplit/>
        </w:trPr>
        <w:tc>
          <w:tcPr>
            <w:tcW w:w="1696" w:type="dxa"/>
            <w:tcBorders>
              <w:left w:val="single" w:sz="4" w:space="0" w:color="auto"/>
            </w:tcBorders>
            <w:shd w:val="clear" w:color="auto" w:fill="auto"/>
          </w:tcPr>
          <w:p w14:paraId="49EC4521" w14:textId="77777777" w:rsidR="002A4DDF" w:rsidRPr="00937C8B" w:rsidRDefault="002A4DDF" w:rsidP="009110ED">
            <w:pPr>
              <w:rPr>
                <w:rFonts w:ascii="Arial" w:hAnsi="Arial" w:cs="Arial"/>
                <w:sz w:val="12"/>
                <w:szCs w:val="12"/>
              </w:rPr>
            </w:pPr>
          </w:p>
        </w:tc>
        <w:tc>
          <w:tcPr>
            <w:tcW w:w="1843" w:type="dxa"/>
            <w:shd w:val="clear" w:color="auto" w:fill="auto"/>
          </w:tcPr>
          <w:p w14:paraId="0824EA8B" w14:textId="77777777" w:rsidR="002A4DDF" w:rsidRPr="00937C8B" w:rsidRDefault="002A4DDF" w:rsidP="009110ED">
            <w:pPr>
              <w:rPr>
                <w:rFonts w:ascii="Arial" w:hAnsi="Arial" w:cs="Arial"/>
                <w:sz w:val="12"/>
                <w:szCs w:val="12"/>
              </w:rPr>
            </w:pPr>
          </w:p>
        </w:tc>
        <w:tc>
          <w:tcPr>
            <w:tcW w:w="2268" w:type="dxa"/>
            <w:shd w:val="clear" w:color="auto" w:fill="F2F2F2"/>
            <w:hideMark/>
          </w:tcPr>
          <w:p w14:paraId="0B468B06" w14:textId="77777777" w:rsidR="002A4DDF" w:rsidRPr="00937C8B" w:rsidRDefault="002A4DDF" w:rsidP="009110ED">
            <w:pPr>
              <w:rPr>
                <w:rFonts w:ascii="Arial" w:hAnsi="Arial" w:cs="Arial"/>
                <w:sz w:val="12"/>
                <w:szCs w:val="12"/>
              </w:rPr>
            </w:pPr>
            <w:r>
              <w:rPr>
                <w:rFonts w:ascii="Arial" w:hAnsi="Arial"/>
                <w:sz w:val="12"/>
                <w:szCs w:val="12"/>
              </w:rPr>
              <w:t>Poleñino</w:t>
            </w:r>
          </w:p>
        </w:tc>
        <w:tc>
          <w:tcPr>
            <w:tcW w:w="2268" w:type="dxa"/>
            <w:tcBorders>
              <w:right w:val="single" w:sz="4" w:space="0" w:color="auto"/>
            </w:tcBorders>
            <w:shd w:val="clear" w:color="auto" w:fill="D9D9D9"/>
            <w:hideMark/>
          </w:tcPr>
          <w:p w14:paraId="2C502552" w14:textId="77777777" w:rsidR="002A4DDF" w:rsidRPr="00937C8B" w:rsidRDefault="002A4DDF" w:rsidP="009110ED">
            <w:pPr>
              <w:rPr>
                <w:rFonts w:ascii="Arial" w:hAnsi="Arial" w:cs="Arial"/>
                <w:sz w:val="12"/>
                <w:szCs w:val="12"/>
              </w:rPr>
            </w:pPr>
          </w:p>
        </w:tc>
      </w:tr>
      <w:tr w:rsidR="002A4DDF" w:rsidRPr="00937C8B" w14:paraId="03A8CAC2" w14:textId="77777777" w:rsidTr="00935676">
        <w:trPr>
          <w:cantSplit/>
        </w:trPr>
        <w:tc>
          <w:tcPr>
            <w:tcW w:w="1696" w:type="dxa"/>
            <w:tcBorders>
              <w:left w:val="single" w:sz="4" w:space="0" w:color="auto"/>
            </w:tcBorders>
            <w:shd w:val="clear" w:color="auto" w:fill="auto"/>
          </w:tcPr>
          <w:p w14:paraId="3CBFD84D" w14:textId="77777777" w:rsidR="002A4DDF" w:rsidRPr="00937C8B" w:rsidRDefault="002A4DDF" w:rsidP="009110ED">
            <w:pPr>
              <w:rPr>
                <w:rFonts w:ascii="Arial" w:hAnsi="Arial" w:cs="Arial"/>
                <w:sz w:val="12"/>
                <w:szCs w:val="12"/>
              </w:rPr>
            </w:pPr>
          </w:p>
        </w:tc>
        <w:tc>
          <w:tcPr>
            <w:tcW w:w="1843" w:type="dxa"/>
            <w:shd w:val="clear" w:color="auto" w:fill="auto"/>
          </w:tcPr>
          <w:p w14:paraId="26D9E927" w14:textId="77777777" w:rsidR="002A4DDF" w:rsidRPr="00937C8B" w:rsidRDefault="002A4DDF" w:rsidP="009110ED">
            <w:pPr>
              <w:rPr>
                <w:rFonts w:ascii="Arial" w:hAnsi="Arial" w:cs="Arial"/>
                <w:sz w:val="12"/>
                <w:szCs w:val="12"/>
              </w:rPr>
            </w:pPr>
          </w:p>
        </w:tc>
        <w:tc>
          <w:tcPr>
            <w:tcW w:w="2268" w:type="dxa"/>
            <w:shd w:val="clear" w:color="auto" w:fill="F2F2F2"/>
            <w:hideMark/>
          </w:tcPr>
          <w:p w14:paraId="10D23538" w14:textId="77777777" w:rsidR="002A4DDF" w:rsidRPr="00937C8B" w:rsidRDefault="002A4DDF" w:rsidP="009110ED">
            <w:pPr>
              <w:rPr>
                <w:rFonts w:ascii="Arial" w:hAnsi="Arial" w:cs="Arial"/>
                <w:sz w:val="12"/>
                <w:szCs w:val="12"/>
              </w:rPr>
            </w:pPr>
            <w:r>
              <w:rPr>
                <w:rFonts w:ascii="Arial" w:hAnsi="Arial"/>
                <w:sz w:val="12"/>
                <w:szCs w:val="12"/>
              </w:rPr>
              <w:t>Puente de Montañana</w:t>
            </w:r>
          </w:p>
        </w:tc>
        <w:tc>
          <w:tcPr>
            <w:tcW w:w="2268" w:type="dxa"/>
            <w:tcBorders>
              <w:right w:val="single" w:sz="4" w:space="0" w:color="auto"/>
            </w:tcBorders>
            <w:shd w:val="clear" w:color="auto" w:fill="D9D9D9"/>
            <w:hideMark/>
          </w:tcPr>
          <w:p w14:paraId="6B5053B9" w14:textId="77777777" w:rsidR="002A4DDF" w:rsidRPr="00937C8B" w:rsidRDefault="002A4DDF" w:rsidP="009110ED">
            <w:pPr>
              <w:rPr>
                <w:rFonts w:ascii="Arial" w:hAnsi="Arial" w:cs="Arial"/>
                <w:sz w:val="12"/>
                <w:szCs w:val="12"/>
              </w:rPr>
            </w:pPr>
          </w:p>
        </w:tc>
      </w:tr>
      <w:tr w:rsidR="002A4DDF" w:rsidRPr="00937C8B" w14:paraId="243BCCC6" w14:textId="77777777" w:rsidTr="00935676">
        <w:trPr>
          <w:cantSplit/>
        </w:trPr>
        <w:tc>
          <w:tcPr>
            <w:tcW w:w="1696" w:type="dxa"/>
            <w:tcBorders>
              <w:left w:val="single" w:sz="4" w:space="0" w:color="auto"/>
            </w:tcBorders>
            <w:shd w:val="clear" w:color="auto" w:fill="auto"/>
          </w:tcPr>
          <w:p w14:paraId="7D773357" w14:textId="77777777" w:rsidR="002A4DDF" w:rsidRPr="00937C8B" w:rsidRDefault="002A4DDF" w:rsidP="009110ED">
            <w:pPr>
              <w:rPr>
                <w:rFonts w:ascii="Arial" w:hAnsi="Arial" w:cs="Arial"/>
                <w:sz w:val="12"/>
                <w:szCs w:val="12"/>
              </w:rPr>
            </w:pPr>
          </w:p>
        </w:tc>
        <w:tc>
          <w:tcPr>
            <w:tcW w:w="1843" w:type="dxa"/>
            <w:shd w:val="clear" w:color="auto" w:fill="auto"/>
          </w:tcPr>
          <w:p w14:paraId="60F979A7" w14:textId="77777777" w:rsidR="002A4DDF" w:rsidRPr="00937C8B" w:rsidRDefault="002A4DDF" w:rsidP="009110ED">
            <w:pPr>
              <w:rPr>
                <w:rFonts w:ascii="Arial" w:hAnsi="Arial" w:cs="Arial"/>
                <w:sz w:val="12"/>
                <w:szCs w:val="12"/>
              </w:rPr>
            </w:pPr>
          </w:p>
        </w:tc>
        <w:tc>
          <w:tcPr>
            <w:tcW w:w="2268" w:type="dxa"/>
            <w:shd w:val="clear" w:color="auto" w:fill="F2F2F2"/>
            <w:hideMark/>
          </w:tcPr>
          <w:p w14:paraId="5DBCEEFB" w14:textId="77777777" w:rsidR="002A4DDF" w:rsidRPr="00937C8B" w:rsidRDefault="002A4DDF" w:rsidP="009110ED">
            <w:pPr>
              <w:rPr>
                <w:rFonts w:ascii="Arial" w:hAnsi="Arial" w:cs="Arial"/>
                <w:sz w:val="12"/>
                <w:szCs w:val="12"/>
              </w:rPr>
            </w:pPr>
            <w:r>
              <w:rPr>
                <w:rFonts w:ascii="Arial" w:hAnsi="Arial"/>
                <w:sz w:val="12"/>
                <w:szCs w:val="12"/>
              </w:rPr>
              <w:t>Puente la Reina de Jaca</w:t>
            </w:r>
          </w:p>
        </w:tc>
        <w:tc>
          <w:tcPr>
            <w:tcW w:w="2268" w:type="dxa"/>
            <w:tcBorders>
              <w:right w:val="single" w:sz="4" w:space="0" w:color="auto"/>
            </w:tcBorders>
            <w:shd w:val="clear" w:color="auto" w:fill="D9D9D9"/>
            <w:hideMark/>
          </w:tcPr>
          <w:p w14:paraId="342901EE" w14:textId="77777777" w:rsidR="002A4DDF" w:rsidRPr="00937C8B" w:rsidRDefault="002A4DDF" w:rsidP="009110ED">
            <w:pPr>
              <w:rPr>
                <w:rFonts w:ascii="Arial" w:hAnsi="Arial" w:cs="Arial"/>
                <w:sz w:val="12"/>
                <w:szCs w:val="12"/>
              </w:rPr>
            </w:pPr>
          </w:p>
        </w:tc>
      </w:tr>
      <w:tr w:rsidR="002A4DDF" w:rsidRPr="00937C8B" w14:paraId="142278EE" w14:textId="77777777" w:rsidTr="00935676">
        <w:trPr>
          <w:cantSplit/>
        </w:trPr>
        <w:tc>
          <w:tcPr>
            <w:tcW w:w="1696" w:type="dxa"/>
            <w:tcBorders>
              <w:left w:val="single" w:sz="4" w:space="0" w:color="auto"/>
            </w:tcBorders>
            <w:shd w:val="clear" w:color="auto" w:fill="auto"/>
          </w:tcPr>
          <w:p w14:paraId="252B7C15" w14:textId="77777777" w:rsidR="002A4DDF" w:rsidRPr="00937C8B" w:rsidRDefault="002A4DDF" w:rsidP="009110ED">
            <w:pPr>
              <w:rPr>
                <w:rFonts w:ascii="Arial" w:hAnsi="Arial" w:cs="Arial"/>
                <w:sz w:val="12"/>
                <w:szCs w:val="12"/>
              </w:rPr>
            </w:pPr>
          </w:p>
        </w:tc>
        <w:tc>
          <w:tcPr>
            <w:tcW w:w="1843" w:type="dxa"/>
            <w:shd w:val="clear" w:color="auto" w:fill="auto"/>
          </w:tcPr>
          <w:p w14:paraId="1043F54B" w14:textId="77777777" w:rsidR="002A4DDF" w:rsidRPr="00937C8B" w:rsidRDefault="002A4DDF" w:rsidP="009110ED">
            <w:pPr>
              <w:rPr>
                <w:rFonts w:ascii="Arial" w:hAnsi="Arial" w:cs="Arial"/>
                <w:sz w:val="12"/>
                <w:szCs w:val="12"/>
              </w:rPr>
            </w:pPr>
          </w:p>
        </w:tc>
        <w:tc>
          <w:tcPr>
            <w:tcW w:w="2268" w:type="dxa"/>
            <w:shd w:val="clear" w:color="auto" w:fill="F2F2F2"/>
            <w:hideMark/>
          </w:tcPr>
          <w:p w14:paraId="1A25F28C" w14:textId="77777777" w:rsidR="002A4DDF" w:rsidRPr="00937C8B" w:rsidRDefault="002A4DDF" w:rsidP="009110ED">
            <w:pPr>
              <w:rPr>
                <w:rFonts w:ascii="Arial" w:hAnsi="Arial" w:cs="Arial"/>
                <w:sz w:val="12"/>
                <w:szCs w:val="12"/>
              </w:rPr>
            </w:pPr>
            <w:r>
              <w:rPr>
                <w:rFonts w:ascii="Arial" w:hAnsi="Arial"/>
                <w:sz w:val="12"/>
                <w:szCs w:val="12"/>
              </w:rPr>
              <w:t>Pueyo de Santa Cruz</w:t>
            </w:r>
          </w:p>
        </w:tc>
        <w:tc>
          <w:tcPr>
            <w:tcW w:w="2268" w:type="dxa"/>
            <w:tcBorders>
              <w:right w:val="single" w:sz="4" w:space="0" w:color="auto"/>
            </w:tcBorders>
            <w:shd w:val="clear" w:color="auto" w:fill="D9D9D9"/>
            <w:hideMark/>
          </w:tcPr>
          <w:p w14:paraId="3CD6B675" w14:textId="77777777" w:rsidR="002A4DDF" w:rsidRPr="00937C8B" w:rsidRDefault="002A4DDF" w:rsidP="009110ED">
            <w:pPr>
              <w:rPr>
                <w:rFonts w:ascii="Arial" w:hAnsi="Arial" w:cs="Arial"/>
                <w:sz w:val="12"/>
                <w:szCs w:val="12"/>
              </w:rPr>
            </w:pPr>
          </w:p>
        </w:tc>
      </w:tr>
      <w:tr w:rsidR="002A4DDF" w:rsidRPr="00937C8B" w14:paraId="6BD4669B" w14:textId="77777777" w:rsidTr="00935676">
        <w:trPr>
          <w:cantSplit/>
        </w:trPr>
        <w:tc>
          <w:tcPr>
            <w:tcW w:w="1696" w:type="dxa"/>
            <w:tcBorders>
              <w:left w:val="single" w:sz="4" w:space="0" w:color="auto"/>
            </w:tcBorders>
            <w:shd w:val="clear" w:color="auto" w:fill="auto"/>
          </w:tcPr>
          <w:p w14:paraId="0985EE73" w14:textId="77777777" w:rsidR="002A4DDF" w:rsidRPr="00937C8B" w:rsidRDefault="002A4DDF" w:rsidP="009110ED">
            <w:pPr>
              <w:rPr>
                <w:rFonts w:ascii="Arial" w:hAnsi="Arial" w:cs="Arial"/>
                <w:sz w:val="12"/>
                <w:szCs w:val="12"/>
              </w:rPr>
            </w:pPr>
          </w:p>
        </w:tc>
        <w:tc>
          <w:tcPr>
            <w:tcW w:w="1843" w:type="dxa"/>
            <w:shd w:val="clear" w:color="auto" w:fill="auto"/>
          </w:tcPr>
          <w:p w14:paraId="721956CA" w14:textId="77777777" w:rsidR="002A4DDF" w:rsidRPr="00937C8B" w:rsidRDefault="002A4DDF" w:rsidP="009110ED">
            <w:pPr>
              <w:rPr>
                <w:rFonts w:ascii="Arial" w:hAnsi="Arial" w:cs="Arial"/>
                <w:sz w:val="12"/>
                <w:szCs w:val="12"/>
              </w:rPr>
            </w:pPr>
          </w:p>
        </w:tc>
        <w:tc>
          <w:tcPr>
            <w:tcW w:w="2268" w:type="dxa"/>
            <w:shd w:val="clear" w:color="auto" w:fill="F2F2F2"/>
            <w:hideMark/>
          </w:tcPr>
          <w:p w14:paraId="5123793F" w14:textId="77777777" w:rsidR="002A4DDF" w:rsidRPr="00937C8B" w:rsidRDefault="002A4DDF" w:rsidP="009110ED">
            <w:pPr>
              <w:rPr>
                <w:rFonts w:ascii="Arial" w:hAnsi="Arial" w:cs="Arial"/>
                <w:sz w:val="12"/>
                <w:szCs w:val="12"/>
              </w:rPr>
            </w:pPr>
            <w:r>
              <w:rPr>
                <w:rFonts w:ascii="Arial" w:hAnsi="Arial"/>
                <w:sz w:val="12"/>
                <w:szCs w:val="12"/>
              </w:rPr>
              <w:t>Quicena</w:t>
            </w:r>
          </w:p>
        </w:tc>
        <w:tc>
          <w:tcPr>
            <w:tcW w:w="2268" w:type="dxa"/>
            <w:tcBorders>
              <w:right w:val="single" w:sz="4" w:space="0" w:color="auto"/>
            </w:tcBorders>
            <w:shd w:val="clear" w:color="auto" w:fill="D9D9D9"/>
            <w:hideMark/>
          </w:tcPr>
          <w:p w14:paraId="58EF3516" w14:textId="77777777" w:rsidR="002A4DDF" w:rsidRPr="00937C8B" w:rsidRDefault="002A4DDF" w:rsidP="009110ED">
            <w:pPr>
              <w:rPr>
                <w:rFonts w:ascii="Arial" w:hAnsi="Arial" w:cs="Arial"/>
                <w:sz w:val="12"/>
                <w:szCs w:val="12"/>
              </w:rPr>
            </w:pPr>
          </w:p>
        </w:tc>
      </w:tr>
      <w:tr w:rsidR="002A4DDF" w:rsidRPr="00937C8B" w14:paraId="50631BAE" w14:textId="77777777" w:rsidTr="00935676">
        <w:trPr>
          <w:cantSplit/>
        </w:trPr>
        <w:tc>
          <w:tcPr>
            <w:tcW w:w="1696" w:type="dxa"/>
            <w:tcBorders>
              <w:left w:val="single" w:sz="4" w:space="0" w:color="auto"/>
            </w:tcBorders>
            <w:shd w:val="clear" w:color="auto" w:fill="auto"/>
          </w:tcPr>
          <w:p w14:paraId="4E712B70" w14:textId="77777777" w:rsidR="002A4DDF" w:rsidRPr="00937C8B" w:rsidRDefault="002A4DDF" w:rsidP="009110ED">
            <w:pPr>
              <w:rPr>
                <w:rFonts w:ascii="Arial" w:hAnsi="Arial" w:cs="Arial"/>
                <w:sz w:val="12"/>
                <w:szCs w:val="12"/>
              </w:rPr>
            </w:pPr>
          </w:p>
        </w:tc>
        <w:tc>
          <w:tcPr>
            <w:tcW w:w="1843" w:type="dxa"/>
            <w:shd w:val="clear" w:color="auto" w:fill="auto"/>
          </w:tcPr>
          <w:p w14:paraId="669C4D83" w14:textId="77777777" w:rsidR="002A4DDF" w:rsidRPr="00937C8B" w:rsidRDefault="002A4DDF" w:rsidP="009110ED">
            <w:pPr>
              <w:rPr>
                <w:rFonts w:ascii="Arial" w:hAnsi="Arial" w:cs="Arial"/>
                <w:sz w:val="12"/>
                <w:szCs w:val="12"/>
              </w:rPr>
            </w:pPr>
          </w:p>
        </w:tc>
        <w:tc>
          <w:tcPr>
            <w:tcW w:w="2268" w:type="dxa"/>
            <w:shd w:val="clear" w:color="auto" w:fill="F2F2F2"/>
            <w:hideMark/>
          </w:tcPr>
          <w:p w14:paraId="15569507" w14:textId="77777777" w:rsidR="002A4DDF" w:rsidRPr="00937C8B" w:rsidRDefault="002A4DDF" w:rsidP="009110ED">
            <w:pPr>
              <w:rPr>
                <w:rFonts w:ascii="Arial" w:hAnsi="Arial" w:cs="Arial"/>
                <w:sz w:val="12"/>
                <w:szCs w:val="12"/>
              </w:rPr>
            </w:pPr>
            <w:r>
              <w:rPr>
                <w:rFonts w:ascii="Arial" w:hAnsi="Arial"/>
                <w:sz w:val="12"/>
                <w:szCs w:val="12"/>
              </w:rPr>
              <w:t>Salillas</w:t>
            </w:r>
          </w:p>
        </w:tc>
        <w:tc>
          <w:tcPr>
            <w:tcW w:w="2268" w:type="dxa"/>
            <w:tcBorders>
              <w:right w:val="single" w:sz="4" w:space="0" w:color="auto"/>
            </w:tcBorders>
            <w:shd w:val="clear" w:color="auto" w:fill="D9D9D9"/>
            <w:hideMark/>
          </w:tcPr>
          <w:p w14:paraId="359FD961" w14:textId="77777777" w:rsidR="002A4DDF" w:rsidRPr="00937C8B" w:rsidRDefault="002A4DDF" w:rsidP="009110ED">
            <w:pPr>
              <w:rPr>
                <w:rFonts w:ascii="Arial" w:hAnsi="Arial" w:cs="Arial"/>
                <w:sz w:val="12"/>
                <w:szCs w:val="12"/>
              </w:rPr>
            </w:pPr>
          </w:p>
        </w:tc>
      </w:tr>
      <w:tr w:rsidR="002A4DDF" w:rsidRPr="00937C8B" w14:paraId="289881FB" w14:textId="77777777" w:rsidTr="00935676">
        <w:trPr>
          <w:cantSplit/>
        </w:trPr>
        <w:tc>
          <w:tcPr>
            <w:tcW w:w="1696" w:type="dxa"/>
            <w:tcBorders>
              <w:left w:val="single" w:sz="4" w:space="0" w:color="auto"/>
            </w:tcBorders>
            <w:shd w:val="clear" w:color="auto" w:fill="auto"/>
          </w:tcPr>
          <w:p w14:paraId="0529B9F5" w14:textId="77777777" w:rsidR="002A4DDF" w:rsidRPr="00937C8B" w:rsidRDefault="002A4DDF" w:rsidP="009110ED">
            <w:pPr>
              <w:rPr>
                <w:rFonts w:ascii="Arial" w:hAnsi="Arial" w:cs="Arial"/>
                <w:sz w:val="12"/>
                <w:szCs w:val="12"/>
              </w:rPr>
            </w:pPr>
          </w:p>
        </w:tc>
        <w:tc>
          <w:tcPr>
            <w:tcW w:w="1843" w:type="dxa"/>
            <w:shd w:val="clear" w:color="auto" w:fill="auto"/>
          </w:tcPr>
          <w:p w14:paraId="2CCF9404" w14:textId="77777777" w:rsidR="002A4DDF" w:rsidRPr="00937C8B" w:rsidRDefault="002A4DDF" w:rsidP="009110ED">
            <w:pPr>
              <w:rPr>
                <w:rFonts w:ascii="Arial" w:hAnsi="Arial" w:cs="Arial"/>
                <w:sz w:val="12"/>
                <w:szCs w:val="12"/>
              </w:rPr>
            </w:pPr>
          </w:p>
        </w:tc>
        <w:tc>
          <w:tcPr>
            <w:tcW w:w="2268" w:type="dxa"/>
            <w:shd w:val="clear" w:color="auto" w:fill="F2F2F2"/>
            <w:hideMark/>
          </w:tcPr>
          <w:p w14:paraId="326E3725" w14:textId="77777777" w:rsidR="002A4DDF" w:rsidRPr="00937C8B" w:rsidRDefault="002A4DDF" w:rsidP="009110ED">
            <w:pPr>
              <w:rPr>
                <w:rFonts w:ascii="Arial" w:hAnsi="Arial" w:cs="Arial"/>
                <w:sz w:val="12"/>
                <w:szCs w:val="12"/>
              </w:rPr>
            </w:pPr>
            <w:r>
              <w:rPr>
                <w:rFonts w:ascii="Arial" w:hAnsi="Arial"/>
                <w:sz w:val="12"/>
                <w:szCs w:val="12"/>
              </w:rPr>
              <w:t>San Miguel del Cinca</w:t>
            </w:r>
          </w:p>
        </w:tc>
        <w:tc>
          <w:tcPr>
            <w:tcW w:w="2268" w:type="dxa"/>
            <w:tcBorders>
              <w:right w:val="single" w:sz="4" w:space="0" w:color="auto"/>
            </w:tcBorders>
            <w:shd w:val="clear" w:color="auto" w:fill="D9D9D9"/>
            <w:hideMark/>
          </w:tcPr>
          <w:p w14:paraId="49464A2D" w14:textId="77777777" w:rsidR="002A4DDF" w:rsidRPr="00937C8B" w:rsidRDefault="002A4DDF" w:rsidP="009110ED">
            <w:pPr>
              <w:rPr>
                <w:rFonts w:ascii="Arial" w:hAnsi="Arial" w:cs="Arial"/>
                <w:sz w:val="12"/>
                <w:szCs w:val="12"/>
              </w:rPr>
            </w:pPr>
          </w:p>
        </w:tc>
      </w:tr>
      <w:tr w:rsidR="002A4DDF" w:rsidRPr="00937C8B" w14:paraId="00B1EB9B" w14:textId="77777777" w:rsidTr="00935676">
        <w:trPr>
          <w:cantSplit/>
        </w:trPr>
        <w:tc>
          <w:tcPr>
            <w:tcW w:w="1696" w:type="dxa"/>
            <w:tcBorders>
              <w:left w:val="single" w:sz="4" w:space="0" w:color="auto"/>
            </w:tcBorders>
            <w:shd w:val="clear" w:color="auto" w:fill="auto"/>
          </w:tcPr>
          <w:p w14:paraId="7DBF47A8" w14:textId="77777777" w:rsidR="002A4DDF" w:rsidRPr="00937C8B" w:rsidRDefault="002A4DDF" w:rsidP="009110ED">
            <w:pPr>
              <w:rPr>
                <w:rFonts w:ascii="Arial" w:hAnsi="Arial" w:cs="Arial"/>
                <w:sz w:val="12"/>
                <w:szCs w:val="12"/>
              </w:rPr>
            </w:pPr>
          </w:p>
        </w:tc>
        <w:tc>
          <w:tcPr>
            <w:tcW w:w="1843" w:type="dxa"/>
            <w:shd w:val="clear" w:color="auto" w:fill="auto"/>
          </w:tcPr>
          <w:p w14:paraId="2E2CF131" w14:textId="77777777" w:rsidR="002A4DDF" w:rsidRPr="00937C8B" w:rsidRDefault="002A4DDF" w:rsidP="009110ED">
            <w:pPr>
              <w:rPr>
                <w:rFonts w:ascii="Arial" w:hAnsi="Arial" w:cs="Arial"/>
                <w:sz w:val="12"/>
                <w:szCs w:val="12"/>
              </w:rPr>
            </w:pPr>
          </w:p>
        </w:tc>
        <w:tc>
          <w:tcPr>
            <w:tcW w:w="2268" w:type="dxa"/>
            <w:shd w:val="clear" w:color="auto" w:fill="F2F2F2"/>
            <w:hideMark/>
          </w:tcPr>
          <w:p w14:paraId="0D2DB3B4" w14:textId="77777777" w:rsidR="002A4DDF" w:rsidRPr="00937C8B" w:rsidRDefault="002A4DDF" w:rsidP="009110ED">
            <w:pPr>
              <w:rPr>
                <w:rFonts w:ascii="Arial" w:hAnsi="Arial" w:cs="Arial"/>
                <w:sz w:val="12"/>
                <w:szCs w:val="12"/>
              </w:rPr>
            </w:pPr>
            <w:r>
              <w:rPr>
                <w:rFonts w:ascii="Arial" w:hAnsi="Arial"/>
                <w:sz w:val="12"/>
                <w:szCs w:val="12"/>
              </w:rPr>
              <w:t>Sariñena</w:t>
            </w:r>
          </w:p>
        </w:tc>
        <w:tc>
          <w:tcPr>
            <w:tcW w:w="2268" w:type="dxa"/>
            <w:tcBorders>
              <w:right w:val="single" w:sz="4" w:space="0" w:color="auto"/>
            </w:tcBorders>
            <w:shd w:val="clear" w:color="auto" w:fill="D9D9D9"/>
            <w:hideMark/>
          </w:tcPr>
          <w:p w14:paraId="2D53BE22" w14:textId="77777777" w:rsidR="002A4DDF" w:rsidRPr="00937C8B" w:rsidRDefault="002A4DDF" w:rsidP="009110ED">
            <w:pPr>
              <w:rPr>
                <w:rFonts w:ascii="Arial" w:hAnsi="Arial" w:cs="Arial"/>
                <w:sz w:val="12"/>
                <w:szCs w:val="12"/>
              </w:rPr>
            </w:pPr>
          </w:p>
        </w:tc>
      </w:tr>
      <w:tr w:rsidR="002A4DDF" w:rsidRPr="00937C8B" w14:paraId="3BAA175C" w14:textId="77777777" w:rsidTr="00935676">
        <w:trPr>
          <w:cantSplit/>
        </w:trPr>
        <w:tc>
          <w:tcPr>
            <w:tcW w:w="1696" w:type="dxa"/>
            <w:tcBorders>
              <w:left w:val="single" w:sz="4" w:space="0" w:color="auto"/>
            </w:tcBorders>
            <w:shd w:val="clear" w:color="auto" w:fill="auto"/>
          </w:tcPr>
          <w:p w14:paraId="44A85733" w14:textId="77777777" w:rsidR="002A4DDF" w:rsidRPr="00937C8B" w:rsidRDefault="002A4DDF" w:rsidP="009110ED">
            <w:pPr>
              <w:rPr>
                <w:rFonts w:ascii="Arial" w:hAnsi="Arial" w:cs="Arial"/>
                <w:sz w:val="12"/>
                <w:szCs w:val="12"/>
              </w:rPr>
            </w:pPr>
          </w:p>
        </w:tc>
        <w:tc>
          <w:tcPr>
            <w:tcW w:w="1843" w:type="dxa"/>
            <w:shd w:val="clear" w:color="auto" w:fill="auto"/>
          </w:tcPr>
          <w:p w14:paraId="09261AB8" w14:textId="77777777" w:rsidR="002A4DDF" w:rsidRPr="00937C8B" w:rsidRDefault="002A4DDF" w:rsidP="009110ED">
            <w:pPr>
              <w:rPr>
                <w:rFonts w:ascii="Arial" w:hAnsi="Arial" w:cs="Arial"/>
                <w:sz w:val="12"/>
                <w:szCs w:val="12"/>
              </w:rPr>
            </w:pPr>
          </w:p>
        </w:tc>
        <w:tc>
          <w:tcPr>
            <w:tcW w:w="2268" w:type="dxa"/>
            <w:shd w:val="clear" w:color="auto" w:fill="F2F2F2"/>
            <w:hideMark/>
          </w:tcPr>
          <w:p w14:paraId="15DBC5F6" w14:textId="77777777" w:rsidR="002A4DDF" w:rsidRPr="00937C8B" w:rsidRDefault="002A4DDF" w:rsidP="009110ED">
            <w:pPr>
              <w:rPr>
                <w:rFonts w:ascii="Arial" w:hAnsi="Arial" w:cs="Arial"/>
                <w:sz w:val="12"/>
                <w:szCs w:val="12"/>
              </w:rPr>
            </w:pPr>
            <w:r>
              <w:rPr>
                <w:rFonts w:ascii="Arial" w:hAnsi="Arial"/>
                <w:sz w:val="12"/>
                <w:szCs w:val="12"/>
              </w:rPr>
              <w:t>Seira</w:t>
            </w:r>
          </w:p>
        </w:tc>
        <w:tc>
          <w:tcPr>
            <w:tcW w:w="2268" w:type="dxa"/>
            <w:tcBorders>
              <w:right w:val="single" w:sz="4" w:space="0" w:color="auto"/>
            </w:tcBorders>
            <w:shd w:val="clear" w:color="auto" w:fill="D9D9D9"/>
            <w:hideMark/>
          </w:tcPr>
          <w:p w14:paraId="2B461BED" w14:textId="77777777" w:rsidR="002A4DDF" w:rsidRPr="00937C8B" w:rsidRDefault="002A4DDF" w:rsidP="009110ED">
            <w:pPr>
              <w:rPr>
                <w:rFonts w:ascii="Arial" w:hAnsi="Arial" w:cs="Arial"/>
                <w:sz w:val="12"/>
                <w:szCs w:val="12"/>
              </w:rPr>
            </w:pPr>
          </w:p>
        </w:tc>
      </w:tr>
      <w:tr w:rsidR="002A4DDF" w:rsidRPr="00937C8B" w14:paraId="1AFC8A24" w14:textId="77777777" w:rsidTr="00935676">
        <w:trPr>
          <w:cantSplit/>
        </w:trPr>
        <w:tc>
          <w:tcPr>
            <w:tcW w:w="1696" w:type="dxa"/>
            <w:tcBorders>
              <w:left w:val="single" w:sz="4" w:space="0" w:color="auto"/>
            </w:tcBorders>
            <w:shd w:val="clear" w:color="auto" w:fill="auto"/>
          </w:tcPr>
          <w:p w14:paraId="074EEA1C" w14:textId="77777777" w:rsidR="002A4DDF" w:rsidRPr="00937C8B" w:rsidRDefault="002A4DDF" w:rsidP="009110ED">
            <w:pPr>
              <w:rPr>
                <w:rFonts w:ascii="Arial" w:hAnsi="Arial" w:cs="Arial"/>
                <w:sz w:val="12"/>
                <w:szCs w:val="12"/>
              </w:rPr>
            </w:pPr>
          </w:p>
        </w:tc>
        <w:tc>
          <w:tcPr>
            <w:tcW w:w="1843" w:type="dxa"/>
            <w:shd w:val="clear" w:color="auto" w:fill="auto"/>
          </w:tcPr>
          <w:p w14:paraId="7977E4CC" w14:textId="77777777" w:rsidR="002A4DDF" w:rsidRPr="00937C8B" w:rsidRDefault="002A4DDF" w:rsidP="009110ED">
            <w:pPr>
              <w:rPr>
                <w:rFonts w:ascii="Arial" w:hAnsi="Arial" w:cs="Arial"/>
                <w:sz w:val="12"/>
                <w:szCs w:val="12"/>
              </w:rPr>
            </w:pPr>
          </w:p>
        </w:tc>
        <w:tc>
          <w:tcPr>
            <w:tcW w:w="2268" w:type="dxa"/>
            <w:shd w:val="clear" w:color="auto" w:fill="F2F2F2"/>
            <w:hideMark/>
          </w:tcPr>
          <w:p w14:paraId="079161E5" w14:textId="77777777" w:rsidR="002A4DDF" w:rsidRPr="00937C8B" w:rsidRDefault="002A4DDF" w:rsidP="009110ED">
            <w:pPr>
              <w:rPr>
                <w:rFonts w:ascii="Arial" w:hAnsi="Arial" w:cs="Arial"/>
                <w:sz w:val="12"/>
                <w:szCs w:val="12"/>
              </w:rPr>
            </w:pPr>
            <w:r>
              <w:rPr>
                <w:rFonts w:ascii="Arial" w:hAnsi="Arial"/>
                <w:sz w:val="12"/>
                <w:szCs w:val="12"/>
              </w:rPr>
              <w:t>Sena</w:t>
            </w:r>
          </w:p>
        </w:tc>
        <w:tc>
          <w:tcPr>
            <w:tcW w:w="2268" w:type="dxa"/>
            <w:tcBorders>
              <w:right w:val="single" w:sz="4" w:space="0" w:color="auto"/>
            </w:tcBorders>
            <w:shd w:val="clear" w:color="auto" w:fill="D9D9D9"/>
            <w:hideMark/>
          </w:tcPr>
          <w:p w14:paraId="6F65445D" w14:textId="77777777" w:rsidR="002A4DDF" w:rsidRPr="00937C8B" w:rsidRDefault="002A4DDF" w:rsidP="009110ED">
            <w:pPr>
              <w:rPr>
                <w:rFonts w:ascii="Arial" w:hAnsi="Arial" w:cs="Arial"/>
                <w:sz w:val="12"/>
                <w:szCs w:val="12"/>
              </w:rPr>
            </w:pPr>
          </w:p>
        </w:tc>
      </w:tr>
      <w:tr w:rsidR="002A4DDF" w:rsidRPr="00937C8B" w14:paraId="1015163F" w14:textId="77777777" w:rsidTr="00935676">
        <w:trPr>
          <w:cantSplit/>
        </w:trPr>
        <w:tc>
          <w:tcPr>
            <w:tcW w:w="1696" w:type="dxa"/>
            <w:tcBorders>
              <w:left w:val="single" w:sz="4" w:space="0" w:color="auto"/>
            </w:tcBorders>
            <w:shd w:val="clear" w:color="auto" w:fill="auto"/>
          </w:tcPr>
          <w:p w14:paraId="654C3F59" w14:textId="77777777" w:rsidR="002A4DDF" w:rsidRPr="00937C8B" w:rsidRDefault="002A4DDF" w:rsidP="009110ED">
            <w:pPr>
              <w:rPr>
                <w:rFonts w:ascii="Arial" w:hAnsi="Arial" w:cs="Arial"/>
                <w:sz w:val="12"/>
                <w:szCs w:val="12"/>
              </w:rPr>
            </w:pPr>
          </w:p>
        </w:tc>
        <w:tc>
          <w:tcPr>
            <w:tcW w:w="1843" w:type="dxa"/>
            <w:shd w:val="clear" w:color="auto" w:fill="auto"/>
          </w:tcPr>
          <w:p w14:paraId="392722FB" w14:textId="77777777" w:rsidR="002A4DDF" w:rsidRPr="00937C8B" w:rsidRDefault="002A4DDF" w:rsidP="009110ED">
            <w:pPr>
              <w:rPr>
                <w:rFonts w:ascii="Arial" w:hAnsi="Arial" w:cs="Arial"/>
                <w:sz w:val="12"/>
                <w:szCs w:val="12"/>
              </w:rPr>
            </w:pPr>
          </w:p>
        </w:tc>
        <w:tc>
          <w:tcPr>
            <w:tcW w:w="2268" w:type="dxa"/>
            <w:shd w:val="clear" w:color="auto" w:fill="F2F2F2"/>
            <w:hideMark/>
          </w:tcPr>
          <w:p w14:paraId="2D75D55F" w14:textId="77777777" w:rsidR="002A4DDF" w:rsidRPr="00937C8B" w:rsidRDefault="002A4DDF" w:rsidP="009110ED">
            <w:pPr>
              <w:rPr>
                <w:rFonts w:ascii="Arial" w:hAnsi="Arial" w:cs="Arial"/>
                <w:sz w:val="12"/>
                <w:szCs w:val="12"/>
              </w:rPr>
            </w:pPr>
            <w:r>
              <w:rPr>
                <w:rFonts w:ascii="Arial" w:hAnsi="Arial"/>
                <w:sz w:val="12"/>
                <w:szCs w:val="12"/>
              </w:rPr>
              <w:t>Sesué</w:t>
            </w:r>
          </w:p>
        </w:tc>
        <w:tc>
          <w:tcPr>
            <w:tcW w:w="2268" w:type="dxa"/>
            <w:tcBorders>
              <w:right w:val="single" w:sz="4" w:space="0" w:color="auto"/>
            </w:tcBorders>
            <w:shd w:val="clear" w:color="auto" w:fill="D9D9D9"/>
            <w:hideMark/>
          </w:tcPr>
          <w:p w14:paraId="1C875D5A" w14:textId="77777777" w:rsidR="002A4DDF" w:rsidRPr="00937C8B" w:rsidRDefault="002A4DDF" w:rsidP="009110ED">
            <w:pPr>
              <w:rPr>
                <w:rFonts w:ascii="Arial" w:hAnsi="Arial" w:cs="Arial"/>
                <w:sz w:val="12"/>
                <w:szCs w:val="12"/>
              </w:rPr>
            </w:pPr>
          </w:p>
        </w:tc>
      </w:tr>
      <w:tr w:rsidR="002A4DDF" w:rsidRPr="00937C8B" w14:paraId="6AA85A83" w14:textId="77777777" w:rsidTr="00935676">
        <w:trPr>
          <w:cantSplit/>
        </w:trPr>
        <w:tc>
          <w:tcPr>
            <w:tcW w:w="1696" w:type="dxa"/>
            <w:tcBorders>
              <w:left w:val="single" w:sz="4" w:space="0" w:color="auto"/>
            </w:tcBorders>
            <w:shd w:val="clear" w:color="auto" w:fill="auto"/>
          </w:tcPr>
          <w:p w14:paraId="14032C7B" w14:textId="77777777" w:rsidR="002A4DDF" w:rsidRPr="00937C8B" w:rsidRDefault="002A4DDF" w:rsidP="009110ED">
            <w:pPr>
              <w:rPr>
                <w:rFonts w:ascii="Arial" w:hAnsi="Arial" w:cs="Arial"/>
                <w:sz w:val="12"/>
                <w:szCs w:val="12"/>
              </w:rPr>
            </w:pPr>
          </w:p>
        </w:tc>
        <w:tc>
          <w:tcPr>
            <w:tcW w:w="1843" w:type="dxa"/>
            <w:shd w:val="clear" w:color="auto" w:fill="auto"/>
          </w:tcPr>
          <w:p w14:paraId="58CE29FF" w14:textId="77777777" w:rsidR="002A4DDF" w:rsidRPr="00937C8B" w:rsidRDefault="002A4DDF" w:rsidP="009110ED">
            <w:pPr>
              <w:rPr>
                <w:rFonts w:ascii="Arial" w:hAnsi="Arial" w:cs="Arial"/>
                <w:sz w:val="12"/>
                <w:szCs w:val="12"/>
              </w:rPr>
            </w:pPr>
          </w:p>
        </w:tc>
        <w:tc>
          <w:tcPr>
            <w:tcW w:w="2268" w:type="dxa"/>
            <w:shd w:val="clear" w:color="auto" w:fill="F2F2F2"/>
            <w:hideMark/>
          </w:tcPr>
          <w:p w14:paraId="782E0821" w14:textId="77777777" w:rsidR="002A4DDF" w:rsidRPr="00937C8B" w:rsidRDefault="002A4DDF" w:rsidP="009110ED">
            <w:pPr>
              <w:rPr>
                <w:rFonts w:ascii="Arial" w:hAnsi="Arial" w:cs="Arial"/>
                <w:sz w:val="12"/>
                <w:szCs w:val="12"/>
              </w:rPr>
            </w:pPr>
            <w:r>
              <w:rPr>
                <w:rFonts w:ascii="Arial" w:hAnsi="Arial"/>
                <w:sz w:val="12"/>
                <w:szCs w:val="12"/>
              </w:rPr>
              <w:t>Siétamo</w:t>
            </w:r>
          </w:p>
        </w:tc>
        <w:tc>
          <w:tcPr>
            <w:tcW w:w="2268" w:type="dxa"/>
            <w:tcBorders>
              <w:right w:val="single" w:sz="4" w:space="0" w:color="auto"/>
            </w:tcBorders>
            <w:shd w:val="clear" w:color="auto" w:fill="D9D9D9"/>
            <w:hideMark/>
          </w:tcPr>
          <w:p w14:paraId="18FADACB" w14:textId="77777777" w:rsidR="002A4DDF" w:rsidRPr="00937C8B" w:rsidRDefault="002A4DDF" w:rsidP="009110ED">
            <w:pPr>
              <w:rPr>
                <w:rFonts w:ascii="Arial" w:hAnsi="Arial" w:cs="Arial"/>
                <w:sz w:val="12"/>
                <w:szCs w:val="12"/>
              </w:rPr>
            </w:pPr>
          </w:p>
        </w:tc>
      </w:tr>
      <w:tr w:rsidR="002A4DDF" w:rsidRPr="00937C8B" w14:paraId="761B6B2B" w14:textId="77777777" w:rsidTr="00935676">
        <w:trPr>
          <w:cantSplit/>
        </w:trPr>
        <w:tc>
          <w:tcPr>
            <w:tcW w:w="1696" w:type="dxa"/>
            <w:tcBorders>
              <w:left w:val="single" w:sz="4" w:space="0" w:color="auto"/>
            </w:tcBorders>
            <w:shd w:val="clear" w:color="auto" w:fill="auto"/>
          </w:tcPr>
          <w:p w14:paraId="57A53957" w14:textId="77777777" w:rsidR="002A4DDF" w:rsidRPr="00937C8B" w:rsidRDefault="002A4DDF" w:rsidP="009110ED">
            <w:pPr>
              <w:rPr>
                <w:rFonts w:ascii="Arial" w:hAnsi="Arial" w:cs="Arial"/>
                <w:sz w:val="12"/>
                <w:szCs w:val="12"/>
              </w:rPr>
            </w:pPr>
          </w:p>
        </w:tc>
        <w:tc>
          <w:tcPr>
            <w:tcW w:w="1843" w:type="dxa"/>
            <w:shd w:val="clear" w:color="auto" w:fill="auto"/>
          </w:tcPr>
          <w:p w14:paraId="7895B211" w14:textId="77777777" w:rsidR="002A4DDF" w:rsidRPr="00937C8B" w:rsidRDefault="002A4DDF" w:rsidP="009110ED">
            <w:pPr>
              <w:rPr>
                <w:rFonts w:ascii="Arial" w:hAnsi="Arial" w:cs="Arial"/>
                <w:sz w:val="12"/>
                <w:szCs w:val="12"/>
              </w:rPr>
            </w:pPr>
          </w:p>
        </w:tc>
        <w:tc>
          <w:tcPr>
            <w:tcW w:w="2268" w:type="dxa"/>
            <w:shd w:val="clear" w:color="auto" w:fill="F2F2F2"/>
            <w:hideMark/>
          </w:tcPr>
          <w:p w14:paraId="21DD32DC" w14:textId="77777777" w:rsidR="002A4DDF" w:rsidRPr="00937C8B" w:rsidRDefault="002A4DDF" w:rsidP="009110ED">
            <w:pPr>
              <w:rPr>
                <w:rFonts w:ascii="Arial" w:hAnsi="Arial" w:cs="Arial"/>
                <w:sz w:val="12"/>
                <w:szCs w:val="12"/>
              </w:rPr>
            </w:pPr>
            <w:r>
              <w:rPr>
                <w:rFonts w:ascii="Arial" w:hAnsi="Arial"/>
                <w:sz w:val="12"/>
                <w:szCs w:val="12"/>
              </w:rPr>
              <w:t>Sopeira</w:t>
            </w:r>
          </w:p>
        </w:tc>
        <w:tc>
          <w:tcPr>
            <w:tcW w:w="2268" w:type="dxa"/>
            <w:tcBorders>
              <w:right w:val="single" w:sz="4" w:space="0" w:color="auto"/>
            </w:tcBorders>
            <w:shd w:val="clear" w:color="auto" w:fill="D9D9D9"/>
            <w:hideMark/>
          </w:tcPr>
          <w:p w14:paraId="3DF4DEFD" w14:textId="77777777" w:rsidR="002A4DDF" w:rsidRPr="00937C8B" w:rsidRDefault="002A4DDF" w:rsidP="009110ED">
            <w:pPr>
              <w:rPr>
                <w:rFonts w:ascii="Arial" w:hAnsi="Arial" w:cs="Arial"/>
                <w:sz w:val="12"/>
                <w:szCs w:val="12"/>
              </w:rPr>
            </w:pPr>
          </w:p>
        </w:tc>
      </w:tr>
      <w:tr w:rsidR="002A4DDF" w:rsidRPr="00937C8B" w14:paraId="59C92341" w14:textId="77777777" w:rsidTr="00935676">
        <w:trPr>
          <w:cantSplit/>
        </w:trPr>
        <w:tc>
          <w:tcPr>
            <w:tcW w:w="1696" w:type="dxa"/>
            <w:tcBorders>
              <w:left w:val="single" w:sz="4" w:space="0" w:color="auto"/>
            </w:tcBorders>
            <w:shd w:val="clear" w:color="auto" w:fill="auto"/>
          </w:tcPr>
          <w:p w14:paraId="14EB59F8" w14:textId="77777777" w:rsidR="002A4DDF" w:rsidRPr="00937C8B" w:rsidRDefault="002A4DDF" w:rsidP="009110ED">
            <w:pPr>
              <w:rPr>
                <w:rFonts w:ascii="Arial" w:hAnsi="Arial" w:cs="Arial"/>
                <w:sz w:val="12"/>
                <w:szCs w:val="12"/>
              </w:rPr>
            </w:pPr>
          </w:p>
        </w:tc>
        <w:tc>
          <w:tcPr>
            <w:tcW w:w="1843" w:type="dxa"/>
            <w:shd w:val="clear" w:color="auto" w:fill="auto"/>
          </w:tcPr>
          <w:p w14:paraId="23E730A0" w14:textId="77777777" w:rsidR="002A4DDF" w:rsidRPr="00937C8B" w:rsidRDefault="002A4DDF" w:rsidP="009110ED">
            <w:pPr>
              <w:rPr>
                <w:rFonts w:ascii="Arial" w:hAnsi="Arial" w:cs="Arial"/>
                <w:sz w:val="12"/>
                <w:szCs w:val="12"/>
              </w:rPr>
            </w:pPr>
          </w:p>
        </w:tc>
        <w:tc>
          <w:tcPr>
            <w:tcW w:w="2268" w:type="dxa"/>
            <w:shd w:val="clear" w:color="auto" w:fill="F2F2F2"/>
            <w:hideMark/>
          </w:tcPr>
          <w:p w14:paraId="77412012" w14:textId="77777777" w:rsidR="002A4DDF" w:rsidRPr="00937C8B" w:rsidRDefault="002A4DDF" w:rsidP="009110ED">
            <w:pPr>
              <w:rPr>
                <w:rFonts w:ascii="Arial" w:hAnsi="Arial" w:cs="Arial"/>
                <w:sz w:val="12"/>
                <w:szCs w:val="12"/>
              </w:rPr>
            </w:pPr>
            <w:r>
              <w:rPr>
                <w:rFonts w:ascii="Arial" w:hAnsi="Arial"/>
                <w:sz w:val="12"/>
                <w:szCs w:val="12"/>
              </w:rPr>
              <w:t>Tardienta</w:t>
            </w:r>
          </w:p>
        </w:tc>
        <w:tc>
          <w:tcPr>
            <w:tcW w:w="2268" w:type="dxa"/>
            <w:tcBorders>
              <w:right w:val="single" w:sz="4" w:space="0" w:color="auto"/>
            </w:tcBorders>
            <w:shd w:val="clear" w:color="auto" w:fill="D9D9D9"/>
            <w:hideMark/>
          </w:tcPr>
          <w:p w14:paraId="18784A5A" w14:textId="77777777" w:rsidR="002A4DDF" w:rsidRPr="00937C8B" w:rsidRDefault="002A4DDF" w:rsidP="009110ED">
            <w:pPr>
              <w:rPr>
                <w:rFonts w:ascii="Arial" w:hAnsi="Arial" w:cs="Arial"/>
                <w:sz w:val="12"/>
                <w:szCs w:val="12"/>
              </w:rPr>
            </w:pPr>
          </w:p>
        </w:tc>
      </w:tr>
      <w:tr w:rsidR="002A4DDF" w:rsidRPr="00937C8B" w14:paraId="26D5AE69" w14:textId="77777777" w:rsidTr="00935676">
        <w:trPr>
          <w:cantSplit/>
        </w:trPr>
        <w:tc>
          <w:tcPr>
            <w:tcW w:w="1696" w:type="dxa"/>
            <w:tcBorders>
              <w:left w:val="single" w:sz="4" w:space="0" w:color="auto"/>
            </w:tcBorders>
            <w:shd w:val="clear" w:color="auto" w:fill="auto"/>
          </w:tcPr>
          <w:p w14:paraId="145A562C" w14:textId="77777777" w:rsidR="002A4DDF" w:rsidRPr="00937C8B" w:rsidRDefault="002A4DDF" w:rsidP="009110ED">
            <w:pPr>
              <w:rPr>
                <w:rFonts w:ascii="Arial" w:hAnsi="Arial" w:cs="Arial"/>
                <w:sz w:val="12"/>
                <w:szCs w:val="12"/>
              </w:rPr>
            </w:pPr>
          </w:p>
        </w:tc>
        <w:tc>
          <w:tcPr>
            <w:tcW w:w="1843" w:type="dxa"/>
            <w:shd w:val="clear" w:color="auto" w:fill="auto"/>
          </w:tcPr>
          <w:p w14:paraId="68A89C7D" w14:textId="77777777" w:rsidR="002A4DDF" w:rsidRPr="00937C8B" w:rsidRDefault="002A4DDF" w:rsidP="009110ED">
            <w:pPr>
              <w:rPr>
                <w:rFonts w:ascii="Arial" w:hAnsi="Arial" w:cs="Arial"/>
                <w:sz w:val="12"/>
                <w:szCs w:val="12"/>
              </w:rPr>
            </w:pPr>
          </w:p>
        </w:tc>
        <w:tc>
          <w:tcPr>
            <w:tcW w:w="2268" w:type="dxa"/>
            <w:shd w:val="clear" w:color="auto" w:fill="F2F2F2"/>
            <w:hideMark/>
          </w:tcPr>
          <w:p w14:paraId="278864B1" w14:textId="77777777" w:rsidR="002A4DDF" w:rsidRPr="00937C8B" w:rsidRDefault="002A4DDF" w:rsidP="009110ED">
            <w:pPr>
              <w:rPr>
                <w:rFonts w:ascii="Arial" w:hAnsi="Arial" w:cs="Arial"/>
                <w:sz w:val="12"/>
                <w:szCs w:val="12"/>
              </w:rPr>
            </w:pPr>
            <w:r>
              <w:rPr>
                <w:rFonts w:ascii="Arial" w:hAnsi="Arial"/>
                <w:sz w:val="12"/>
                <w:szCs w:val="12"/>
              </w:rPr>
              <w:t>Tella-Sin</w:t>
            </w:r>
          </w:p>
        </w:tc>
        <w:tc>
          <w:tcPr>
            <w:tcW w:w="2268" w:type="dxa"/>
            <w:tcBorders>
              <w:right w:val="single" w:sz="4" w:space="0" w:color="auto"/>
            </w:tcBorders>
            <w:shd w:val="clear" w:color="auto" w:fill="D9D9D9"/>
            <w:hideMark/>
          </w:tcPr>
          <w:p w14:paraId="368BA8C0" w14:textId="77777777" w:rsidR="002A4DDF" w:rsidRPr="00937C8B" w:rsidRDefault="002A4DDF" w:rsidP="009110ED">
            <w:pPr>
              <w:rPr>
                <w:rFonts w:ascii="Arial" w:hAnsi="Arial" w:cs="Arial"/>
                <w:sz w:val="12"/>
                <w:szCs w:val="12"/>
              </w:rPr>
            </w:pPr>
          </w:p>
        </w:tc>
      </w:tr>
      <w:tr w:rsidR="002A4DDF" w:rsidRPr="00937C8B" w14:paraId="3436C849" w14:textId="77777777" w:rsidTr="00935676">
        <w:trPr>
          <w:cantSplit/>
        </w:trPr>
        <w:tc>
          <w:tcPr>
            <w:tcW w:w="1696" w:type="dxa"/>
            <w:tcBorders>
              <w:left w:val="single" w:sz="4" w:space="0" w:color="auto"/>
            </w:tcBorders>
            <w:shd w:val="clear" w:color="auto" w:fill="auto"/>
          </w:tcPr>
          <w:p w14:paraId="6E90B1C2" w14:textId="77777777" w:rsidR="002A4DDF" w:rsidRPr="00937C8B" w:rsidRDefault="002A4DDF" w:rsidP="009110ED">
            <w:pPr>
              <w:rPr>
                <w:rFonts w:ascii="Arial" w:hAnsi="Arial" w:cs="Arial"/>
                <w:sz w:val="12"/>
                <w:szCs w:val="12"/>
              </w:rPr>
            </w:pPr>
          </w:p>
        </w:tc>
        <w:tc>
          <w:tcPr>
            <w:tcW w:w="1843" w:type="dxa"/>
            <w:shd w:val="clear" w:color="auto" w:fill="auto"/>
          </w:tcPr>
          <w:p w14:paraId="4000417C" w14:textId="77777777" w:rsidR="002A4DDF" w:rsidRPr="00937C8B" w:rsidRDefault="002A4DDF" w:rsidP="009110ED">
            <w:pPr>
              <w:rPr>
                <w:rFonts w:ascii="Arial" w:hAnsi="Arial" w:cs="Arial"/>
                <w:sz w:val="12"/>
                <w:szCs w:val="12"/>
              </w:rPr>
            </w:pPr>
          </w:p>
        </w:tc>
        <w:tc>
          <w:tcPr>
            <w:tcW w:w="2268" w:type="dxa"/>
            <w:shd w:val="clear" w:color="auto" w:fill="F2F2F2"/>
            <w:hideMark/>
          </w:tcPr>
          <w:p w14:paraId="64DCFC00" w14:textId="77777777" w:rsidR="002A4DDF" w:rsidRPr="00937C8B" w:rsidRDefault="002A4DDF" w:rsidP="009110ED">
            <w:pPr>
              <w:rPr>
                <w:rFonts w:ascii="Arial" w:hAnsi="Arial" w:cs="Arial"/>
                <w:sz w:val="12"/>
                <w:szCs w:val="12"/>
              </w:rPr>
            </w:pPr>
            <w:r>
              <w:rPr>
                <w:rFonts w:ascii="Arial" w:hAnsi="Arial"/>
                <w:sz w:val="12"/>
                <w:szCs w:val="12"/>
              </w:rPr>
              <w:t>Tierz</w:t>
            </w:r>
          </w:p>
        </w:tc>
        <w:tc>
          <w:tcPr>
            <w:tcW w:w="2268" w:type="dxa"/>
            <w:tcBorders>
              <w:right w:val="single" w:sz="4" w:space="0" w:color="auto"/>
            </w:tcBorders>
            <w:shd w:val="clear" w:color="auto" w:fill="D9D9D9"/>
            <w:hideMark/>
          </w:tcPr>
          <w:p w14:paraId="0CBC708F" w14:textId="77777777" w:rsidR="002A4DDF" w:rsidRPr="00937C8B" w:rsidRDefault="002A4DDF" w:rsidP="009110ED">
            <w:pPr>
              <w:rPr>
                <w:rFonts w:ascii="Arial" w:hAnsi="Arial" w:cs="Arial"/>
                <w:sz w:val="12"/>
                <w:szCs w:val="12"/>
              </w:rPr>
            </w:pPr>
          </w:p>
        </w:tc>
      </w:tr>
      <w:tr w:rsidR="002A4DDF" w:rsidRPr="00937C8B" w14:paraId="7A420053" w14:textId="77777777" w:rsidTr="00935676">
        <w:trPr>
          <w:cantSplit/>
        </w:trPr>
        <w:tc>
          <w:tcPr>
            <w:tcW w:w="1696" w:type="dxa"/>
            <w:tcBorders>
              <w:left w:val="single" w:sz="4" w:space="0" w:color="auto"/>
            </w:tcBorders>
            <w:shd w:val="clear" w:color="auto" w:fill="auto"/>
          </w:tcPr>
          <w:p w14:paraId="34AE640C" w14:textId="77777777" w:rsidR="002A4DDF" w:rsidRPr="00937C8B" w:rsidRDefault="002A4DDF" w:rsidP="009110ED">
            <w:pPr>
              <w:rPr>
                <w:rFonts w:ascii="Arial" w:hAnsi="Arial" w:cs="Arial"/>
                <w:sz w:val="12"/>
                <w:szCs w:val="12"/>
              </w:rPr>
            </w:pPr>
          </w:p>
        </w:tc>
        <w:tc>
          <w:tcPr>
            <w:tcW w:w="1843" w:type="dxa"/>
            <w:shd w:val="clear" w:color="auto" w:fill="auto"/>
          </w:tcPr>
          <w:p w14:paraId="2140FDCC" w14:textId="77777777" w:rsidR="002A4DDF" w:rsidRPr="00937C8B" w:rsidRDefault="002A4DDF" w:rsidP="009110ED">
            <w:pPr>
              <w:rPr>
                <w:rFonts w:ascii="Arial" w:hAnsi="Arial" w:cs="Arial"/>
                <w:sz w:val="12"/>
                <w:szCs w:val="12"/>
              </w:rPr>
            </w:pPr>
          </w:p>
        </w:tc>
        <w:tc>
          <w:tcPr>
            <w:tcW w:w="2268" w:type="dxa"/>
            <w:shd w:val="clear" w:color="auto" w:fill="F2F2F2"/>
            <w:hideMark/>
          </w:tcPr>
          <w:p w14:paraId="555541FE" w14:textId="77777777" w:rsidR="002A4DDF" w:rsidRPr="00937C8B" w:rsidRDefault="002A4DDF" w:rsidP="009110ED">
            <w:pPr>
              <w:rPr>
                <w:rFonts w:ascii="Arial" w:hAnsi="Arial" w:cs="Arial"/>
                <w:sz w:val="12"/>
                <w:szCs w:val="12"/>
              </w:rPr>
            </w:pPr>
            <w:r>
              <w:rPr>
                <w:rFonts w:ascii="Arial" w:hAnsi="Arial"/>
                <w:sz w:val="12"/>
                <w:szCs w:val="12"/>
              </w:rPr>
              <w:t>Torralba de Aragón</w:t>
            </w:r>
          </w:p>
        </w:tc>
        <w:tc>
          <w:tcPr>
            <w:tcW w:w="2268" w:type="dxa"/>
            <w:tcBorders>
              <w:right w:val="single" w:sz="4" w:space="0" w:color="auto"/>
            </w:tcBorders>
            <w:shd w:val="clear" w:color="auto" w:fill="D9D9D9"/>
            <w:hideMark/>
          </w:tcPr>
          <w:p w14:paraId="42D180AB" w14:textId="77777777" w:rsidR="002A4DDF" w:rsidRPr="00937C8B" w:rsidRDefault="002A4DDF" w:rsidP="009110ED">
            <w:pPr>
              <w:rPr>
                <w:rFonts w:ascii="Arial" w:hAnsi="Arial" w:cs="Arial"/>
                <w:sz w:val="12"/>
                <w:szCs w:val="12"/>
              </w:rPr>
            </w:pPr>
          </w:p>
        </w:tc>
      </w:tr>
      <w:tr w:rsidR="002A4DDF" w:rsidRPr="00937C8B" w14:paraId="687B4CD0" w14:textId="77777777" w:rsidTr="00935676">
        <w:trPr>
          <w:cantSplit/>
        </w:trPr>
        <w:tc>
          <w:tcPr>
            <w:tcW w:w="1696" w:type="dxa"/>
            <w:tcBorders>
              <w:left w:val="single" w:sz="4" w:space="0" w:color="auto"/>
            </w:tcBorders>
            <w:shd w:val="clear" w:color="auto" w:fill="auto"/>
          </w:tcPr>
          <w:p w14:paraId="5113790C" w14:textId="77777777" w:rsidR="002A4DDF" w:rsidRPr="00937C8B" w:rsidRDefault="002A4DDF" w:rsidP="009110ED">
            <w:pPr>
              <w:rPr>
                <w:rFonts w:ascii="Arial" w:hAnsi="Arial" w:cs="Arial"/>
                <w:sz w:val="12"/>
                <w:szCs w:val="12"/>
              </w:rPr>
            </w:pPr>
          </w:p>
        </w:tc>
        <w:tc>
          <w:tcPr>
            <w:tcW w:w="1843" w:type="dxa"/>
            <w:shd w:val="clear" w:color="auto" w:fill="auto"/>
          </w:tcPr>
          <w:p w14:paraId="731795CD" w14:textId="77777777" w:rsidR="002A4DDF" w:rsidRPr="00937C8B" w:rsidRDefault="002A4DDF" w:rsidP="009110ED">
            <w:pPr>
              <w:rPr>
                <w:rFonts w:ascii="Arial" w:hAnsi="Arial" w:cs="Arial"/>
                <w:sz w:val="12"/>
                <w:szCs w:val="12"/>
              </w:rPr>
            </w:pPr>
          </w:p>
        </w:tc>
        <w:tc>
          <w:tcPr>
            <w:tcW w:w="2268" w:type="dxa"/>
            <w:shd w:val="clear" w:color="auto" w:fill="F2F2F2"/>
            <w:hideMark/>
          </w:tcPr>
          <w:p w14:paraId="6ADACE82" w14:textId="77777777" w:rsidR="002A4DDF" w:rsidRPr="00937C8B" w:rsidRDefault="002A4DDF" w:rsidP="009110ED">
            <w:pPr>
              <w:rPr>
                <w:rFonts w:ascii="Arial" w:hAnsi="Arial" w:cs="Arial"/>
                <w:sz w:val="12"/>
                <w:szCs w:val="12"/>
              </w:rPr>
            </w:pPr>
            <w:r>
              <w:rPr>
                <w:rFonts w:ascii="Arial" w:hAnsi="Arial"/>
                <w:sz w:val="12"/>
                <w:szCs w:val="12"/>
              </w:rPr>
              <w:t>Torrente de Cinca</w:t>
            </w:r>
          </w:p>
        </w:tc>
        <w:tc>
          <w:tcPr>
            <w:tcW w:w="2268" w:type="dxa"/>
            <w:tcBorders>
              <w:right w:val="single" w:sz="4" w:space="0" w:color="auto"/>
            </w:tcBorders>
            <w:shd w:val="clear" w:color="auto" w:fill="D9D9D9"/>
            <w:hideMark/>
          </w:tcPr>
          <w:p w14:paraId="673146F0" w14:textId="77777777" w:rsidR="002A4DDF" w:rsidRPr="00937C8B" w:rsidRDefault="002A4DDF" w:rsidP="009110ED">
            <w:pPr>
              <w:rPr>
                <w:rFonts w:ascii="Arial" w:hAnsi="Arial" w:cs="Arial"/>
                <w:sz w:val="12"/>
                <w:szCs w:val="12"/>
              </w:rPr>
            </w:pPr>
          </w:p>
        </w:tc>
      </w:tr>
      <w:tr w:rsidR="002A4DDF" w:rsidRPr="00937C8B" w14:paraId="41008945" w14:textId="77777777" w:rsidTr="00935676">
        <w:trPr>
          <w:cantSplit/>
        </w:trPr>
        <w:tc>
          <w:tcPr>
            <w:tcW w:w="1696" w:type="dxa"/>
            <w:tcBorders>
              <w:left w:val="single" w:sz="4" w:space="0" w:color="auto"/>
            </w:tcBorders>
            <w:shd w:val="clear" w:color="auto" w:fill="auto"/>
          </w:tcPr>
          <w:p w14:paraId="5D3EA96B" w14:textId="77777777" w:rsidR="002A4DDF" w:rsidRPr="00937C8B" w:rsidRDefault="002A4DDF" w:rsidP="009110ED">
            <w:pPr>
              <w:rPr>
                <w:rFonts w:ascii="Arial" w:hAnsi="Arial" w:cs="Arial"/>
                <w:sz w:val="12"/>
                <w:szCs w:val="12"/>
              </w:rPr>
            </w:pPr>
          </w:p>
        </w:tc>
        <w:tc>
          <w:tcPr>
            <w:tcW w:w="1843" w:type="dxa"/>
            <w:shd w:val="clear" w:color="auto" w:fill="auto"/>
          </w:tcPr>
          <w:p w14:paraId="47F65040" w14:textId="77777777" w:rsidR="002A4DDF" w:rsidRPr="00937C8B" w:rsidRDefault="002A4DDF" w:rsidP="009110ED">
            <w:pPr>
              <w:rPr>
                <w:rFonts w:ascii="Arial" w:hAnsi="Arial" w:cs="Arial"/>
                <w:sz w:val="12"/>
                <w:szCs w:val="12"/>
              </w:rPr>
            </w:pPr>
          </w:p>
        </w:tc>
        <w:tc>
          <w:tcPr>
            <w:tcW w:w="2268" w:type="dxa"/>
            <w:shd w:val="clear" w:color="auto" w:fill="F2F2F2"/>
            <w:hideMark/>
          </w:tcPr>
          <w:p w14:paraId="4F71940C" w14:textId="77777777" w:rsidR="002A4DDF" w:rsidRPr="00937C8B" w:rsidRDefault="002A4DDF" w:rsidP="009110ED">
            <w:pPr>
              <w:rPr>
                <w:rFonts w:ascii="Arial" w:hAnsi="Arial" w:cs="Arial"/>
                <w:sz w:val="12"/>
                <w:szCs w:val="12"/>
              </w:rPr>
            </w:pPr>
            <w:r>
              <w:rPr>
                <w:rFonts w:ascii="Arial" w:hAnsi="Arial"/>
                <w:sz w:val="12"/>
                <w:szCs w:val="12"/>
              </w:rPr>
              <w:t>Torres de Alcanadre</w:t>
            </w:r>
          </w:p>
        </w:tc>
        <w:tc>
          <w:tcPr>
            <w:tcW w:w="2268" w:type="dxa"/>
            <w:tcBorders>
              <w:right w:val="single" w:sz="4" w:space="0" w:color="auto"/>
            </w:tcBorders>
            <w:shd w:val="clear" w:color="auto" w:fill="D9D9D9"/>
            <w:hideMark/>
          </w:tcPr>
          <w:p w14:paraId="5349604F" w14:textId="77777777" w:rsidR="002A4DDF" w:rsidRPr="00937C8B" w:rsidRDefault="002A4DDF" w:rsidP="009110ED">
            <w:pPr>
              <w:rPr>
                <w:rFonts w:ascii="Arial" w:hAnsi="Arial" w:cs="Arial"/>
                <w:sz w:val="12"/>
                <w:szCs w:val="12"/>
              </w:rPr>
            </w:pPr>
          </w:p>
        </w:tc>
      </w:tr>
      <w:tr w:rsidR="002A4DDF" w:rsidRPr="00937C8B" w14:paraId="4E13C2D6" w14:textId="77777777" w:rsidTr="00935676">
        <w:trPr>
          <w:cantSplit/>
        </w:trPr>
        <w:tc>
          <w:tcPr>
            <w:tcW w:w="1696" w:type="dxa"/>
            <w:tcBorders>
              <w:left w:val="single" w:sz="4" w:space="0" w:color="auto"/>
            </w:tcBorders>
            <w:shd w:val="clear" w:color="auto" w:fill="auto"/>
          </w:tcPr>
          <w:p w14:paraId="4C9EFC59" w14:textId="77777777" w:rsidR="002A4DDF" w:rsidRPr="00937C8B" w:rsidRDefault="002A4DDF" w:rsidP="009110ED">
            <w:pPr>
              <w:rPr>
                <w:rFonts w:ascii="Arial" w:hAnsi="Arial" w:cs="Arial"/>
                <w:sz w:val="12"/>
                <w:szCs w:val="12"/>
              </w:rPr>
            </w:pPr>
          </w:p>
        </w:tc>
        <w:tc>
          <w:tcPr>
            <w:tcW w:w="1843" w:type="dxa"/>
            <w:shd w:val="clear" w:color="auto" w:fill="auto"/>
          </w:tcPr>
          <w:p w14:paraId="0A43CBD6" w14:textId="77777777" w:rsidR="002A4DDF" w:rsidRPr="00937C8B" w:rsidRDefault="002A4DDF" w:rsidP="009110ED">
            <w:pPr>
              <w:rPr>
                <w:rFonts w:ascii="Arial" w:hAnsi="Arial" w:cs="Arial"/>
                <w:sz w:val="12"/>
                <w:szCs w:val="12"/>
              </w:rPr>
            </w:pPr>
          </w:p>
        </w:tc>
        <w:tc>
          <w:tcPr>
            <w:tcW w:w="2268" w:type="dxa"/>
            <w:shd w:val="clear" w:color="auto" w:fill="F2F2F2"/>
            <w:hideMark/>
          </w:tcPr>
          <w:p w14:paraId="65EF7AA0" w14:textId="77777777" w:rsidR="002A4DDF" w:rsidRPr="00937C8B" w:rsidRDefault="002A4DDF" w:rsidP="009110ED">
            <w:pPr>
              <w:rPr>
                <w:rFonts w:ascii="Arial" w:hAnsi="Arial" w:cs="Arial"/>
                <w:sz w:val="12"/>
                <w:szCs w:val="12"/>
              </w:rPr>
            </w:pPr>
            <w:r>
              <w:rPr>
                <w:rFonts w:ascii="Arial" w:hAnsi="Arial"/>
                <w:sz w:val="12"/>
                <w:szCs w:val="12"/>
              </w:rPr>
              <w:t>Torres de Barbués</w:t>
            </w:r>
          </w:p>
        </w:tc>
        <w:tc>
          <w:tcPr>
            <w:tcW w:w="2268" w:type="dxa"/>
            <w:tcBorders>
              <w:right w:val="single" w:sz="4" w:space="0" w:color="auto"/>
            </w:tcBorders>
            <w:shd w:val="clear" w:color="auto" w:fill="D9D9D9"/>
            <w:hideMark/>
          </w:tcPr>
          <w:p w14:paraId="2F403A92" w14:textId="77777777" w:rsidR="002A4DDF" w:rsidRPr="00937C8B" w:rsidRDefault="002A4DDF" w:rsidP="009110ED">
            <w:pPr>
              <w:rPr>
                <w:rFonts w:ascii="Arial" w:hAnsi="Arial" w:cs="Arial"/>
                <w:sz w:val="12"/>
                <w:szCs w:val="12"/>
              </w:rPr>
            </w:pPr>
          </w:p>
        </w:tc>
      </w:tr>
      <w:tr w:rsidR="002A4DDF" w:rsidRPr="00937C8B" w14:paraId="2C8CD7D8" w14:textId="77777777" w:rsidTr="00935676">
        <w:trPr>
          <w:cantSplit/>
        </w:trPr>
        <w:tc>
          <w:tcPr>
            <w:tcW w:w="1696" w:type="dxa"/>
            <w:tcBorders>
              <w:left w:val="single" w:sz="4" w:space="0" w:color="auto"/>
            </w:tcBorders>
            <w:shd w:val="clear" w:color="auto" w:fill="auto"/>
          </w:tcPr>
          <w:p w14:paraId="672676BD" w14:textId="77777777" w:rsidR="002A4DDF" w:rsidRPr="00937C8B" w:rsidRDefault="002A4DDF" w:rsidP="009110ED">
            <w:pPr>
              <w:rPr>
                <w:rFonts w:ascii="Arial" w:hAnsi="Arial" w:cs="Arial"/>
                <w:sz w:val="12"/>
                <w:szCs w:val="12"/>
              </w:rPr>
            </w:pPr>
          </w:p>
        </w:tc>
        <w:tc>
          <w:tcPr>
            <w:tcW w:w="1843" w:type="dxa"/>
            <w:shd w:val="clear" w:color="auto" w:fill="auto"/>
          </w:tcPr>
          <w:p w14:paraId="49A6192F" w14:textId="77777777" w:rsidR="002A4DDF" w:rsidRPr="00937C8B" w:rsidRDefault="002A4DDF" w:rsidP="009110ED">
            <w:pPr>
              <w:rPr>
                <w:rFonts w:ascii="Arial" w:hAnsi="Arial" w:cs="Arial"/>
                <w:sz w:val="12"/>
                <w:szCs w:val="12"/>
              </w:rPr>
            </w:pPr>
          </w:p>
        </w:tc>
        <w:tc>
          <w:tcPr>
            <w:tcW w:w="2268" w:type="dxa"/>
            <w:shd w:val="clear" w:color="auto" w:fill="F2F2F2"/>
            <w:hideMark/>
          </w:tcPr>
          <w:p w14:paraId="042108D4" w14:textId="77777777" w:rsidR="002A4DDF" w:rsidRPr="00937C8B" w:rsidRDefault="002A4DDF" w:rsidP="009110ED">
            <w:pPr>
              <w:rPr>
                <w:rFonts w:ascii="Arial" w:hAnsi="Arial" w:cs="Arial"/>
                <w:sz w:val="12"/>
                <w:szCs w:val="12"/>
              </w:rPr>
            </w:pPr>
            <w:r>
              <w:rPr>
                <w:rFonts w:ascii="Arial" w:hAnsi="Arial"/>
                <w:sz w:val="12"/>
                <w:szCs w:val="12"/>
              </w:rPr>
              <w:t>Vicién</w:t>
            </w:r>
          </w:p>
        </w:tc>
        <w:tc>
          <w:tcPr>
            <w:tcW w:w="2268" w:type="dxa"/>
            <w:tcBorders>
              <w:right w:val="single" w:sz="4" w:space="0" w:color="auto"/>
            </w:tcBorders>
            <w:shd w:val="clear" w:color="auto" w:fill="D9D9D9"/>
            <w:hideMark/>
          </w:tcPr>
          <w:p w14:paraId="025C5DF3" w14:textId="77777777" w:rsidR="002A4DDF" w:rsidRPr="00937C8B" w:rsidRDefault="002A4DDF" w:rsidP="009110ED">
            <w:pPr>
              <w:rPr>
                <w:rFonts w:ascii="Arial" w:hAnsi="Arial" w:cs="Arial"/>
                <w:sz w:val="12"/>
                <w:szCs w:val="12"/>
              </w:rPr>
            </w:pPr>
          </w:p>
        </w:tc>
      </w:tr>
      <w:tr w:rsidR="002A4DDF" w:rsidRPr="00937C8B" w14:paraId="1A777DA0" w14:textId="77777777" w:rsidTr="00935676">
        <w:trPr>
          <w:cantSplit/>
        </w:trPr>
        <w:tc>
          <w:tcPr>
            <w:tcW w:w="1696" w:type="dxa"/>
            <w:tcBorders>
              <w:left w:val="single" w:sz="4" w:space="0" w:color="auto"/>
            </w:tcBorders>
            <w:shd w:val="clear" w:color="auto" w:fill="auto"/>
          </w:tcPr>
          <w:p w14:paraId="32414586" w14:textId="77777777" w:rsidR="002A4DDF" w:rsidRPr="00937C8B" w:rsidRDefault="002A4DDF" w:rsidP="009110ED">
            <w:pPr>
              <w:rPr>
                <w:rFonts w:ascii="Arial" w:hAnsi="Arial" w:cs="Arial"/>
                <w:sz w:val="12"/>
                <w:szCs w:val="12"/>
              </w:rPr>
            </w:pPr>
          </w:p>
        </w:tc>
        <w:tc>
          <w:tcPr>
            <w:tcW w:w="1843" w:type="dxa"/>
            <w:shd w:val="clear" w:color="auto" w:fill="auto"/>
          </w:tcPr>
          <w:p w14:paraId="0D14FE2C" w14:textId="77777777" w:rsidR="002A4DDF" w:rsidRPr="00937C8B" w:rsidRDefault="002A4DDF" w:rsidP="009110ED">
            <w:pPr>
              <w:rPr>
                <w:rFonts w:ascii="Arial" w:hAnsi="Arial" w:cs="Arial"/>
                <w:sz w:val="12"/>
                <w:szCs w:val="12"/>
              </w:rPr>
            </w:pPr>
          </w:p>
        </w:tc>
        <w:tc>
          <w:tcPr>
            <w:tcW w:w="2268" w:type="dxa"/>
            <w:shd w:val="clear" w:color="auto" w:fill="F2F2F2"/>
            <w:hideMark/>
          </w:tcPr>
          <w:p w14:paraId="7967A550" w14:textId="77777777" w:rsidR="002A4DDF" w:rsidRPr="00937C8B" w:rsidRDefault="002A4DDF" w:rsidP="009110ED">
            <w:pPr>
              <w:rPr>
                <w:rFonts w:ascii="Arial" w:hAnsi="Arial" w:cs="Arial"/>
                <w:sz w:val="12"/>
                <w:szCs w:val="12"/>
              </w:rPr>
            </w:pPr>
            <w:r>
              <w:rPr>
                <w:rFonts w:ascii="Arial" w:hAnsi="Arial"/>
                <w:sz w:val="12"/>
                <w:szCs w:val="12"/>
              </w:rPr>
              <w:t>Villanova</w:t>
            </w:r>
          </w:p>
        </w:tc>
        <w:tc>
          <w:tcPr>
            <w:tcW w:w="2268" w:type="dxa"/>
            <w:tcBorders>
              <w:right w:val="single" w:sz="4" w:space="0" w:color="auto"/>
            </w:tcBorders>
            <w:shd w:val="clear" w:color="auto" w:fill="D9D9D9"/>
            <w:hideMark/>
          </w:tcPr>
          <w:p w14:paraId="183DEB45" w14:textId="77777777" w:rsidR="002A4DDF" w:rsidRPr="00937C8B" w:rsidRDefault="002A4DDF" w:rsidP="009110ED">
            <w:pPr>
              <w:rPr>
                <w:rFonts w:ascii="Arial" w:hAnsi="Arial" w:cs="Arial"/>
                <w:sz w:val="12"/>
                <w:szCs w:val="12"/>
              </w:rPr>
            </w:pPr>
          </w:p>
        </w:tc>
      </w:tr>
      <w:tr w:rsidR="002A4DDF" w:rsidRPr="00937C8B" w14:paraId="50393381" w14:textId="77777777" w:rsidTr="00935676">
        <w:trPr>
          <w:cantSplit/>
        </w:trPr>
        <w:tc>
          <w:tcPr>
            <w:tcW w:w="1696" w:type="dxa"/>
            <w:tcBorders>
              <w:left w:val="single" w:sz="4" w:space="0" w:color="auto"/>
              <w:bottom w:val="single" w:sz="4" w:space="0" w:color="auto"/>
            </w:tcBorders>
            <w:shd w:val="clear" w:color="auto" w:fill="auto"/>
            <w:hideMark/>
          </w:tcPr>
          <w:p w14:paraId="751B2881" w14:textId="77777777" w:rsidR="002A4DDF" w:rsidRPr="00937C8B" w:rsidRDefault="002A4DDF" w:rsidP="009110ED">
            <w:pPr>
              <w:rPr>
                <w:rFonts w:ascii="Arial" w:hAnsi="Arial" w:cs="Arial"/>
                <w:sz w:val="12"/>
                <w:szCs w:val="12"/>
              </w:rPr>
            </w:pPr>
            <w:r>
              <w:rPr>
                <w:rFonts w:ascii="Arial" w:hAnsi="Arial"/>
                <w:sz w:val="12"/>
                <w:szCs w:val="12"/>
              </w:rPr>
              <w:t>Aragon</w:t>
            </w:r>
          </w:p>
        </w:tc>
        <w:tc>
          <w:tcPr>
            <w:tcW w:w="1843" w:type="dxa"/>
            <w:tcBorders>
              <w:bottom w:val="single" w:sz="4" w:space="0" w:color="auto"/>
            </w:tcBorders>
            <w:shd w:val="clear" w:color="auto" w:fill="auto"/>
            <w:hideMark/>
          </w:tcPr>
          <w:p w14:paraId="2DEDE4B6" w14:textId="77777777" w:rsidR="002A4DDF" w:rsidRPr="00937C8B" w:rsidRDefault="002A4DDF" w:rsidP="009110ED">
            <w:pPr>
              <w:rPr>
                <w:rFonts w:ascii="Arial" w:hAnsi="Arial" w:cs="Arial"/>
                <w:sz w:val="12"/>
                <w:szCs w:val="12"/>
              </w:rPr>
            </w:pPr>
            <w:r>
              <w:rPr>
                <w:rFonts w:ascii="Arial" w:hAnsi="Arial"/>
                <w:sz w:val="12"/>
                <w:szCs w:val="12"/>
              </w:rPr>
              <w:t>Huesca</w:t>
            </w:r>
          </w:p>
        </w:tc>
        <w:tc>
          <w:tcPr>
            <w:tcW w:w="2268" w:type="dxa"/>
            <w:tcBorders>
              <w:bottom w:val="single" w:sz="4" w:space="0" w:color="auto"/>
            </w:tcBorders>
            <w:shd w:val="clear" w:color="auto" w:fill="F2F2F2"/>
            <w:hideMark/>
          </w:tcPr>
          <w:p w14:paraId="1A6BD9BC" w14:textId="77777777" w:rsidR="002A4DDF" w:rsidRPr="00937C8B" w:rsidRDefault="002A4DDF" w:rsidP="009110ED">
            <w:pPr>
              <w:rPr>
                <w:rFonts w:ascii="Arial" w:hAnsi="Arial" w:cs="Arial"/>
                <w:sz w:val="12"/>
                <w:szCs w:val="12"/>
              </w:rPr>
            </w:pPr>
            <w:r>
              <w:rPr>
                <w:rFonts w:ascii="Arial" w:hAnsi="Arial"/>
                <w:sz w:val="12"/>
                <w:szCs w:val="12"/>
              </w:rPr>
              <w:t>Villanueva de Sigena</w:t>
            </w:r>
          </w:p>
        </w:tc>
        <w:tc>
          <w:tcPr>
            <w:tcW w:w="2268" w:type="dxa"/>
            <w:tcBorders>
              <w:bottom w:val="single" w:sz="4" w:space="0" w:color="auto"/>
              <w:right w:val="single" w:sz="4" w:space="0" w:color="auto"/>
            </w:tcBorders>
            <w:shd w:val="clear" w:color="auto" w:fill="D9D9D9"/>
            <w:hideMark/>
          </w:tcPr>
          <w:p w14:paraId="368CBCF1" w14:textId="77777777" w:rsidR="002A4DDF" w:rsidRPr="00937C8B" w:rsidRDefault="002A4DDF" w:rsidP="009110ED">
            <w:pPr>
              <w:rPr>
                <w:rFonts w:ascii="Arial" w:hAnsi="Arial" w:cs="Arial"/>
                <w:sz w:val="12"/>
                <w:szCs w:val="12"/>
              </w:rPr>
            </w:pPr>
          </w:p>
        </w:tc>
      </w:tr>
      <w:tr w:rsidR="002A4DDF" w:rsidRPr="00937C8B" w14:paraId="6D25776B" w14:textId="77777777" w:rsidTr="00935676">
        <w:trPr>
          <w:cantSplit/>
        </w:trPr>
        <w:tc>
          <w:tcPr>
            <w:tcW w:w="1696" w:type="dxa"/>
            <w:tcBorders>
              <w:top w:val="single" w:sz="4" w:space="0" w:color="auto"/>
              <w:bottom w:val="single" w:sz="4" w:space="0" w:color="auto"/>
            </w:tcBorders>
            <w:shd w:val="clear" w:color="auto" w:fill="auto"/>
            <w:hideMark/>
          </w:tcPr>
          <w:p w14:paraId="3D79C06B"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02D79993"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242B4192"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2A7F351E" w14:textId="77777777" w:rsidR="002A4DDF" w:rsidRPr="00937C8B" w:rsidRDefault="002A4DDF" w:rsidP="009110ED">
            <w:pPr>
              <w:rPr>
                <w:rFonts w:ascii="Arial" w:hAnsi="Arial" w:cs="Arial"/>
                <w:sz w:val="12"/>
                <w:szCs w:val="12"/>
              </w:rPr>
            </w:pPr>
          </w:p>
        </w:tc>
      </w:tr>
      <w:tr w:rsidR="002A4DDF" w:rsidRPr="00937C8B" w14:paraId="7A9461D3" w14:textId="77777777" w:rsidTr="00935676">
        <w:trPr>
          <w:cantSplit/>
        </w:trPr>
        <w:tc>
          <w:tcPr>
            <w:tcW w:w="1696" w:type="dxa"/>
            <w:tcBorders>
              <w:top w:val="single" w:sz="4" w:space="0" w:color="auto"/>
              <w:left w:val="single" w:sz="4" w:space="0" w:color="auto"/>
            </w:tcBorders>
            <w:shd w:val="clear" w:color="auto" w:fill="auto"/>
            <w:hideMark/>
          </w:tcPr>
          <w:p w14:paraId="51633490" w14:textId="77777777" w:rsidR="002A4DDF" w:rsidRPr="00937C8B" w:rsidRDefault="002A4DDF" w:rsidP="009110ED">
            <w:pPr>
              <w:rPr>
                <w:rFonts w:ascii="Arial" w:hAnsi="Arial" w:cs="Arial"/>
                <w:sz w:val="12"/>
                <w:szCs w:val="12"/>
              </w:rPr>
            </w:pPr>
            <w:r>
              <w:rPr>
                <w:rFonts w:ascii="Arial" w:hAnsi="Arial"/>
                <w:sz w:val="12"/>
                <w:szCs w:val="12"/>
              </w:rPr>
              <w:t>Aragon</w:t>
            </w:r>
          </w:p>
        </w:tc>
        <w:tc>
          <w:tcPr>
            <w:tcW w:w="1843" w:type="dxa"/>
            <w:tcBorders>
              <w:top w:val="single" w:sz="4" w:space="0" w:color="auto"/>
            </w:tcBorders>
            <w:shd w:val="clear" w:color="auto" w:fill="auto"/>
            <w:hideMark/>
          </w:tcPr>
          <w:p w14:paraId="65E45958" w14:textId="77777777" w:rsidR="002A4DDF" w:rsidRPr="00937C8B" w:rsidRDefault="002A4DDF" w:rsidP="009110ED">
            <w:pPr>
              <w:rPr>
                <w:rFonts w:ascii="Arial" w:hAnsi="Arial" w:cs="Arial"/>
                <w:sz w:val="12"/>
                <w:szCs w:val="12"/>
              </w:rPr>
            </w:pPr>
            <w:r>
              <w:rPr>
                <w:rFonts w:ascii="Arial" w:hAnsi="Arial"/>
                <w:sz w:val="12"/>
                <w:szCs w:val="12"/>
              </w:rPr>
              <w:t>Teruel</w:t>
            </w:r>
          </w:p>
        </w:tc>
        <w:tc>
          <w:tcPr>
            <w:tcW w:w="2268" w:type="dxa"/>
            <w:tcBorders>
              <w:top w:val="single" w:sz="4" w:space="0" w:color="auto"/>
            </w:tcBorders>
            <w:shd w:val="clear" w:color="auto" w:fill="F2F2F2"/>
            <w:hideMark/>
          </w:tcPr>
          <w:p w14:paraId="0444676E" w14:textId="77777777" w:rsidR="002A4DDF" w:rsidRPr="00937C8B" w:rsidRDefault="002A4DDF" w:rsidP="009110ED">
            <w:pPr>
              <w:rPr>
                <w:rFonts w:ascii="Arial" w:hAnsi="Arial" w:cs="Arial"/>
                <w:sz w:val="12"/>
                <w:szCs w:val="12"/>
              </w:rPr>
            </w:pPr>
            <w:r>
              <w:rPr>
                <w:rFonts w:ascii="Arial" w:hAnsi="Arial"/>
                <w:sz w:val="12"/>
                <w:szCs w:val="12"/>
              </w:rPr>
              <w:t>Ababuj</w:t>
            </w:r>
          </w:p>
        </w:tc>
        <w:tc>
          <w:tcPr>
            <w:tcW w:w="2268" w:type="dxa"/>
            <w:tcBorders>
              <w:top w:val="single" w:sz="4" w:space="0" w:color="auto"/>
              <w:right w:val="single" w:sz="4" w:space="0" w:color="auto"/>
            </w:tcBorders>
            <w:shd w:val="clear" w:color="auto" w:fill="D9D9D9"/>
            <w:hideMark/>
          </w:tcPr>
          <w:p w14:paraId="4F408DFF" w14:textId="77777777" w:rsidR="002A4DDF" w:rsidRPr="00937C8B" w:rsidRDefault="002A4DDF" w:rsidP="009110ED">
            <w:pPr>
              <w:rPr>
                <w:rFonts w:ascii="Arial" w:hAnsi="Arial" w:cs="Arial"/>
                <w:sz w:val="12"/>
                <w:szCs w:val="12"/>
              </w:rPr>
            </w:pPr>
          </w:p>
        </w:tc>
      </w:tr>
      <w:tr w:rsidR="002A4DDF" w:rsidRPr="00937C8B" w14:paraId="16A4D3C0" w14:textId="77777777" w:rsidTr="00935676">
        <w:trPr>
          <w:cantSplit/>
        </w:trPr>
        <w:tc>
          <w:tcPr>
            <w:tcW w:w="1696" w:type="dxa"/>
            <w:tcBorders>
              <w:left w:val="single" w:sz="4" w:space="0" w:color="auto"/>
            </w:tcBorders>
            <w:shd w:val="clear" w:color="auto" w:fill="auto"/>
          </w:tcPr>
          <w:p w14:paraId="2979D4F7" w14:textId="77777777" w:rsidR="002A4DDF" w:rsidRPr="00937C8B" w:rsidRDefault="002A4DDF" w:rsidP="009110ED">
            <w:pPr>
              <w:rPr>
                <w:rFonts w:ascii="Arial" w:hAnsi="Arial" w:cs="Arial"/>
                <w:sz w:val="12"/>
                <w:szCs w:val="12"/>
              </w:rPr>
            </w:pPr>
          </w:p>
        </w:tc>
        <w:tc>
          <w:tcPr>
            <w:tcW w:w="1843" w:type="dxa"/>
            <w:shd w:val="clear" w:color="auto" w:fill="auto"/>
          </w:tcPr>
          <w:p w14:paraId="41EBBE34" w14:textId="77777777" w:rsidR="002A4DDF" w:rsidRPr="00937C8B" w:rsidRDefault="002A4DDF" w:rsidP="009110ED">
            <w:pPr>
              <w:rPr>
                <w:rFonts w:ascii="Arial" w:hAnsi="Arial" w:cs="Arial"/>
                <w:sz w:val="12"/>
                <w:szCs w:val="12"/>
              </w:rPr>
            </w:pPr>
          </w:p>
        </w:tc>
        <w:tc>
          <w:tcPr>
            <w:tcW w:w="2268" w:type="dxa"/>
            <w:shd w:val="clear" w:color="auto" w:fill="F2F2F2"/>
            <w:hideMark/>
          </w:tcPr>
          <w:p w14:paraId="0BECACC2" w14:textId="77777777" w:rsidR="002A4DDF" w:rsidRPr="00937C8B" w:rsidRDefault="002A4DDF" w:rsidP="009110ED">
            <w:pPr>
              <w:rPr>
                <w:rFonts w:ascii="Arial" w:hAnsi="Arial" w:cs="Arial"/>
                <w:sz w:val="12"/>
                <w:szCs w:val="12"/>
              </w:rPr>
            </w:pPr>
            <w:r>
              <w:rPr>
                <w:rFonts w:ascii="Arial" w:hAnsi="Arial"/>
                <w:sz w:val="12"/>
                <w:szCs w:val="12"/>
              </w:rPr>
              <w:t>Alcañiz</w:t>
            </w:r>
          </w:p>
        </w:tc>
        <w:tc>
          <w:tcPr>
            <w:tcW w:w="2268" w:type="dxa"/>
            <w:tcBorders>
              <w:right w:val="single" w:sz="4" w:space="0" w:color="auto"/>
            </w:tcBorders>
            <w:shd w:val="clear" w:color="auto" w:fill="D9D9D9"/>
            <w:hideMark/>
          </w:tcPr>
          <w:p w14:paraId="11AC361E" w14:textId="77777777" w:rsidR="002A4DDF" w:rsidRPr="00937C8B" w:rsidRDefault="002A4DDF" w:rsidP="009110ED">
            <w:pPr>
              <w:rPr>
                <w:rFonts w:ascii="Arial" w:hAnsi="Arial" w:cs="Arial"/>
                <w:sz w:val="12"/>
                <w:szCs w:val="12"/>
              </w:rPr>
            </w:pPr>
          </w:p>
        </w:tc>
      </w:tr>
      <w:tr w:rsidR="002A4DDF" w:rsidRPr="00937C8B" w14:paraId="183120AC" w14:textId="77777777" w:rsidTr="00935676">
        <w:trPr>
          <w:cantSplit/>
        </w:trPr>
        <w:tc>
          <w:tcPr>
            <w:tcW w:w="1696" w:type="dxa"/>
            <w:tcBorders>
              <w:left w:val="single" w:sz="4" w:space="0" w:color="auto"/>
            </w:tcBorders>
            <w:shd w:val="clear" w:color="auto" w:fill="auto"/>
          </w:tcPr>
          <w:p w14:paraId="4C5C1EBA" w14:textId="77777777" w:rsidR="002A4DDF" w:rsidRPr="00937C8B" w:rsidRDefault="002A4DDF" w:rsidP="009110ED">
            <w:pPr>
              <w:rPr>
                <w:rFonts w:ascii="Arial" w:hAnsi="Arial" w:cs="Arial"/>
                <w:sz w:val="12"/>
                <w:szCs w:val="12"/>
              </w:rPr>
            </w:pPr>
          </w:p>
        </w:tc>
        <w:tc>
          <w:tcPr>
            <w:tcW w:w="1843" w:type="dxa"/>
            <w:shd w:val="clear" w:color="auto" w:fill="auto"/>
          </w:tcPr>
          <w:p w14:paraId="0513A555" w14:textId="77777777" w:rsidR="002A4DDF" w:rsidRPr="00937C8B" w:rsidRDefault="002A4DDF" w:rsidP="009110ED">
            <w:pPr>
              <w:rPr>
                <w:rFonts w:ascii="Arial" w:hAnsi="Arial" w:cs="Arial"/>
                <w:sz w:val="12"/>
                <w:szCs w:val="12"/>
              </w:rPr>
            </w:pPr>
          </w:p>
        </w:tc>
        <w:tc>
          <w:tcPr>
            <w:tcW w:w="2268" w:type="dxa"/>
            <w:shd w:val="clear" w:color="auto" w:fill="F2F2F2"/>
            <w:hideMark/>
          </w:tcPr>
          <w:p w14:paraId="5DBA6699" w14:textId="77777777" w:rsidR="002A4DDF" w:rsidRPr="00937C8B" w:rsidRDefault="002A4DDF" w:rsidP="009110ED">
            <w:pPr>
              <w:rPr>
                <w:rFonts w:ascii="Arial" w:hAnsi="Arial" w:cs="Arial"/>
                <w:sz w:val="12"/>
                <w:szCs w:val="12"/>
              </w:rPr>
            </w:pPr>
            <w:r>
              <w:rPr>
                <w:rFonts w:ascii="Arial" w:hAnsi="Arial"/>
                <w:sz w:val="12"/>
                <w:szCs w:val="12"/>
              </w:rPr>
              <w:t>Alfambra</w:t>
            </w:r>
          </w:p>
        </w:tc>
        <w:tc>
          <w:tcPr>
            <w:tcW w:w="2268" w:type="dxa"/>
            <w:tcBorders>
              <w:right w:val="single" w:sz="4" w:space="0" w:color="auto"/>
            </w:tcBorders>
            <w:shd w:val="clear" w:color="auto" w:fill="D9D9D9"/>
            <w:hideMark/>
          </w:tcPr>
          <w:p w14:paraId="52FEE8AD" w14:textId="77777777" w:rsidR="002A4DDF" w:rsidRPr="00937C8B" w:rsidRDefault="002A4DDF" w:rsidP="009110ED">
            <w:pPr>
              <w:rPr>
                <w:rFonts w:ascii="Arial" w:hAnsi="Arial" w:cs="Arial"/>
                <w:sz w:val="12"/>
                <w:szCs w:val="12"/>
              </w:rPr>
            </w:pPr>
          </w:p>
        </w:tc>
      </w:tr>
      <w:tr w:rsidR="002A4DDF" w:rsidRPr="00937C8B" w14:paraId="550E877D" w14:textId="77777777" w:rsidTr="00935676">
        <w:trPr>
          <w:cantSplit/>
        </w:trPr>
        <w:tc>
          <w:tcPr>
            <w:tcW w:w="1696" w:type="dxa"/>
            <w:tcBorders>
              <w:left w:val="single" w:sz="4" w:space="0" w:color="auto"/>
            </w:tcBorders>
            <w:shd w:val="clear" w:color="auto" w:fill="auto"/>
          </w:tcPr>
          <w:p w14:paraId="2FBF2893" w14:textId="77777777" w:rsidR="002A4DDF" w:rsidRPr="00937C8B" w:rsidRDefault="002A4DDF" w:rsidP="009110ED">
            <w:pPr>
              <w:rPr>
                <w:rFonts w:ascii="Arial" w:hAnsi="Arial" w:cs="Arial"/>
                <w:sz w:val="12"/>
                <w:szCs w:val="12"/>
              </w:rPr>
            </w:pPr>
          </w:p>
        </w:tc>
        <w:tc>
          <w:tcPr>
            <w:tcW w:w="1843" w:type="dxa"/>
            <w:shd w:val="clear" w:color="auto" w:fill="auto"/>
          </w:tcPr>
          <w:p w14:paraId="53844AD2" w14:textId="77777777" w:rsidR="002A4DDF" w:rsidRPr="00937C8B" w:rsidRDefault="002A4DDF" w:rsidP="009110ED">
            <w:pPr>
              <w:rPr>
                <w:rFonts w:ascii="Arial" w:hAnsi="Arial" w:cs="Arial"/>
                <w:sz w:val="12"/>
                <w:szCs w:val="12"/>
              </w:rPr>
            </w:pPr>
          </w:p>
        </w:tc>
        <w:tc>
          <w:tcPr>
            <w:tcW w:w="2268" w:type="dxa"/>
            <w:shd w:val="clear" w:color="auto" w:fill="F2F2F2"/>
            <w:hideMark/>
          </w:tcPr>
          <w:p w14:paraId="153735B4" w14:textId="77777777" w:rsidR="002A4DDF" w:rsidRPr="00937C8B" w:rsidRDefault="002A4DDF" w:rsidP="009110ED">
            <w:pPr>
              <w:rPr>
                <w:rFonts w:ascii="Arial" w:hAnsi="Arial" w:cs="Arial"/>
                <w:sz w:val="12"/>
                <w:szCs w:val="12"/>
              </w:rPr>
            </w:pPr>
            <w:r>
              <w:rPr>
                <w:rFonts w:ascii="Arial" w:hAnsi="Arial"/>
                <w:sz w:val="12"/>
                <w:szCs w:val="12"/>
              </w:rPr>
              <w:t>Aliaga</w:t>
            </w:r>
          </w:p>
        </w:tc>
        <w:tc>
          <w:tcPr>
            <w:tcW w:w="2268" w:type="dxa"/>
            <w:tcBorders>
              <w:right w:val="single" w:sz="4" w:space="0" w:color="auto"/>
            </w:tcBorders>
            <w:shd w:val="clear" w:color="auto" w:fill="D9D9D9"/>
            <w:hideMark/>
          </w:tcPr>
          <w:p w14:paraId="021404F3" w14:textId="77777777" w:rsidR="002A4DDF" w:rsidRPr="00937C8B" w:rsidRDefault="002A4DDF" w:rsidP="009110ED">
            <w:pPr>
              <w:rPr>
                <w:rFonts w:ascii="Arial" w:hAnsi="Arial" w:cs="Arial"/>
                <w:sz w:val="12"/>
                <w:szCs w:val="12"/>
              </w:rPr>
            </w:pPr>
          </w:p>
        </w:tc>
      </w:tr>
      <w:tr w:rsidR="002A4DDF" w:rsidRPr="00937C8B" w14:paraId="16DB00C0" w14:textId="77777777" w:rsidTr="00935676">
        <w:trPr>
          <w:cantSplit/>
        </w:trPr>
        <w:tc>
          <w:tcPr>
            <w:tcW w:w="1696" w:type="dxa"/>
            <w:tcBorders>
              <w:left w:val="single" w:sz="4" w:space="0" w:color="auto"/>
            </w:tcBorders>
            <w:shd w:val="clear" w:color="auto" w:fill="auto"/>
          </w:tcPr>
          <w:p w14:paraId="29709C82" w14:textId="77777777" w:rsidR="002A4DDF" w:rsidRPr="00937C8B" w:rsidRDefault="002A4DDF" w:rsidP="009110ED">
            <w:pPr>
              <w:rPr>
                <w:rFonts w:ascii="Arial" w:hAnsi="Arial" w:cs="Arial"/>
                <w:sz w:val="12"/>
                <w:szCs w:val="12"/>
              </w:rPr>
            </w:pPr>
          </w:p>
        </w:tc>
        <w:tc>
          <w:tcPr>
            <w:tcW w:w="1843" w:type="dxa"/>
            <w:shd w:val="clear" w:color="auto" w:fill="auto"/>
          </w:tcPr>
          <w:p w14:paraId="6030E664" w14:textId="77777777" w:rsidR="002A4DDF" w:rsidRPr="00937C8B" w:rsidRDefault="002A4DDF" w:rsidP="009110ED">
            <w:pPr>
              <w:rPr>
                <w:rFonts w:ascii="Arial" w:hAnsi="Arial" w:cs="Arial"/>
                <w:sz w:val="12"/>
                <w:szCs w:val="12"/>
              </w:rPr>
            </w:pPr>
          </w:p>
        </w:tc>
        <w:tc>
          <w:tcPr>
            <w:tcW w:w="2268" w:type="dxa"/>
            <w:shd w:val="clear" w:color="auto" w:fill="F2F2F2"/>
            <w:hideMark/>
          </w:tcPr>
          <w:p w14:paraId="4F0368E3" w14:textId="77777777" w:rsidR="002A4DDF" w:rsidRPr="00937C8B" w:rsidRDefault="002A4DDF" w:rsidP="009110ED">
            <w:pPr>
              <w:rPr>
                <w:rFonts w:ascii="Arial" w:hAnsi="Arial" w:cs="Arial"/>
                <w:sz w:val="12"/>
                <w:szCs w:val="12"/>
              </w:rPr>
            </w:pPr>
            <w:r>
              <w:rPr>
                <w:rFonts w:ascii="Arial" w:hAnsi="Arial"/>
                <w:sz w:val="12"/>
                <w:szCs w:val="12"/>
              </w:rPr>
              <w:t>Allepuz</w:t>
            </w:r>
          </w:p>
        </w:tc>
        <w:tc>
          <w:tcPr>
            <w:tcW w:w="2268" w:type="dxa"/>
            <w:tcBorders>
              <w:right w:val="single" w:sz="4" w:space="0" w:color="auto"/>
            </w:tcBorders>
            <w:shd w:val="clear" w:color="auto" w:fill="D9D9D9"/>
            <w:hideMark/>
          </w:tcPr>
          <w:p w14:paraId="50DBAF25" w14:textId="77777777" w:rsidR="002A4DDF" w:rsidRPr="00937C8B" w:rsidRDefault="002A4DDF" w:rsidP="009110ED">
            <w:pPr>
              <w:rPr>
                <w:rFonts w:ascii="Arial" w:hAnsi="Arial" w:cs="Arial"/>
                <w:sz w:val="12"/>
                <w:szCs w:val="12"/>
              </w:rPr>
            </w:pPr>
          </w:p>
        </w:tc>
      </w:tr>
      <w:tr w:rsidR="002A4DDF" w:rsidRPr="00937C8B" w14:paraId="527C3816" w14:textId="77777777" w:rsidTr="00935676">
        <w:trPr>
          <w:cantSplit/>
        </w:trPr>
        <w:tc>
          <w:tcPr>
            <w:tcW w:w="1696" w:type="dxa"/>
            <w:tcBorders>
              <w:left w:val="single" w:sz="4" w:space="0" w:color="auto"/>
            </w:tcBorders>
            <w:shd w:val="clear" w:color="auto" w:fill="auto"/>
          </w:tcPr>
          <w:p w14:paraId="6AB88536" w14:textId="77777777" w:rsidR="002A4DDF" w:rsidRPr="00937C8B" w:rsidRDefault="002A4DDF" w:rsidP="009110ED">
            <w:pPr>
              <w:rPr>
                <w:rFonts w:ascii="Arial" w:hAnsi="Arial" w:cs="Arial"/>
                <w:sz w:val="12"/>
                <w:szCs w:val="12"/>
              </w:rPr>
            </w:pPr>
          </w:p>
        </w:tc>
        <w:tc>
          <w:tcPr>
            <w:tcW w:w="1843" w:type="dxa"/>
            <w:shd w:val="clear" w:color="auto" w:fill="auto"/>
          </w:tcPr>
          <w:p w14:paraId="43DB630D" w14:textId="77777777" w:rsidR="002A4DDF" w:rsidRPr="00937C8B" w:rsidRDefault="002A4DDF" w:rsidP="009110ED">
            <w:pPr>
              <w:rPr>
                <w:rFonts w:ascii="Arial" w:hAnsi="Arial" w:cs="Arial"/>
                <w:sz w:val="12"/>
                <w:szCs w:val="12"/>
              </w:rPr>
            </w:pPr>
          </w:p>
        </w:tc>
        <w:tc>
          <w:tcPr>
            <w:tcW w:w="2268" w:type="dxa"/>
            <w:shd w:val="clear" w:color="auto" w:fill="F2F2F2"/>
            <w:hideMark/>
          </w:tcPr>
          <w:p w14:paraId="5273BBEB" w14:textId="77777777" w:rsidR="002A4DDF" w:rsidRPr="00937C8B" w:rsidRDefault="002A4DDF" w:rsidP="009110ED">
            <w:pPr>
              <w:rPr>
                <w:rFonts w:ascii="Arial" w:hAnsi="Arial" w:cs="Arial"/>
                <w:sz w:val="12"/>
                <w:szCs w:val="12"/>
              </w:rPr>
            </w:pPr>
            <w:r>
              <w:rPr>
                <w:rFonts w:ascii="Arial" w:hAnsi="Arial"/>
                <w:sz w:val="12"/>
                <w:szCs w:val="12"/>
              </w:rPr>
              <w:t>Alpeñés</w:t>
            </w:r>
          </w:p>
        </w:tc>
        <w:tc>
          <w:tcPr>
            <w:tcW w:w="2268" w:type="dxa"/>
            <w:tcBorders>
              <w:right w:val="single" w:sz="4" w:space="0" w:color="auto"/>
            </w:tcBorders>
            <w:shd w:val="clear" w:color="auto" w:fill="D9D9D9"/>
            <w:hideMark/>
          </w:tcPr>
          <w:p w14:paraId="3CFD0A2D" w14:textId="77777777" w:rsidR="002A4DDF" w:rsidRPr="00937C8B" w:rsidRDefault="002A4DDF" w:rsidP="009110ED">
            <w:pPr>
              <w:rPr>
                <w:rFonts w:ascii="Arial" w:hAnsi="Arial" w:cs="Arial"/>
                <w:sz w:val="12"/>
                <w:szCs w:val="12"/>
              </w:rPr>
            </w:pPr>
          </w:p>
        </w:tc>
      </w:tr>
      <w:tr w:rsidR="002A4DDF" w:rsidRPr="00937C8B" w14:paraId="49FC3A5C" w14:textId="77777777" w:rsidTr="00935676">
        <w:trPr>
          <w:cantSplit/>
        </w:trPr>
        <w:tc>
          <w:tcPr>
            <w:tcW w:w="1696" w:type="dxa"/>
            <w:tcBorders>
              <w:left w:val="single" w:sz="4" w:space="0" w:color="auto"/>
            </w:tcBorders>
            <w:shd w:val="clear" w:color="auto" w:fill="auto"/>
          </w:tcPr>
          <w:p w14:paraId="028098BC" w14:textId="77777777" w:rsidR="002A4DDF" w:rsidRPr="00937C8B" w:rsidRDefault="002A4DDF" w:rsidP="009110ED">
            <w:pPr>
              <w:rPr>
                <w:rFonts w:ascii="Arial" w:hAnsi="Arial" w:cs="Arial"/>
                <w:sz w:val="12"/>
                <w:szCs w:val="12"/>
              </w:rPr>
            </w:pPr>
          </w:p>
        </w:tc>
        <w:tc>
          <w:tcPr>
            <w:tcW w:w="1843" w:type="dxa"/>
            <w:shd w:val="clear" w:color="auto" w:fill="auto"/>
          </w:tcPr>
          <w:p w14:paraId="1A7017A0" w14:textId="77777777" w:rsidR="002A4DDF" w:rsidRPr="00937C8B" w:rsidRDefault="002A4DDF" w:rsidP="009110ED">
            <w:pPr>
              <w:rPr>
                <w:rFonts w:ascii="Arial" w:hAnsi="Arial" w:cs="Arial"/>
                <w:sz w:val="12"/>
                <w:szCs w:val="12"/>
              </w:rPr>
            </w:pPr>
          </w:p>
        </w:tc>
        <w:tc>
          <w:tcPr>
            <w:tcW w:w="2268" w:type="dxa"/>
            <w:shd w:val="clear" w:color="auto" w:fill="F2F2F2"/>
            <w:hideMark/>
          </w:tcPr>
          <w:p w14:paraId="594718DC" w14:textId="77777777" w:rsidR="002A4DDF" w:rsidRPr="00937C8B" w:rsidRDefault="002A4DDF" w:rsidP="009110ED">
            <w:pPr>
              <w:rPr>
                <w:rFonts w:ascii="Arial" w:hAnsi="Arial" w:cs="Arial"/>
                <w:sz w:val="12"/>
                <w:szCs w:val="12"/>
              </w:rPr>
            </w:pPr>
            <w:r>
              <w:rPr>
                <w:rFonts w:ascii="Arial" w:hAnsi="Arial"/>
                <w:sz w:val="12"/>
                <w:szCs w:val="12"/>
              </w:rPr>
              <w:t>Anadón</w:t>
            </w:r>
          </w:p>
        </w:tc>
        <w:tc>
          <w:tcPr>
            <w:tcW w:w="2268" w:type="dxa"/>
            <w:tcBorders>
              <w:right w:val="single" w:sz="4" w:space="0" w:color="auto"/>
            </w:tcBorders>
            <w:shd w:val="clear" w:color="auto" w:fill="D9D9D9"/>
            <w:hideMark/>
          </w:tcPr>
          <w:p w14:paraId="1791A88F" w14:textId="77777777" w:rsidR="002A4DDF" w:rsidRPr="00937C8B" w:rsidRDefault="002A4DDF" w:rsidP="009110ED">
            <w:pPr>
              <w:rPr>
                <w:rFonts w:ascii="Arial" w:hAnsi="Arial" w:cs="Arial"/>
                <w:sz w:val="12"/>
                <w:szCs w:val="12"/>
              </w:rPr>
            </w:pPr>
          </w:p>
        </w:tc>
      </w:tr>
      <w:tr w:rsidR="002A4DDF" w:rsidRPr="00937C8B" w14:paraId="37E0B59C" w14:textId="77777777" w:rsidTr="00935676">
        <w:trPr>
          <w:cantSplit/>
        </w:trPr>
        <w:tc>
          <w:tcPr>
            <w:tcW w:w="1696" w:type="dxa"/>
            <w:tcBorders>
              <w:left w:val="single" w:sz="4" w:space="0" w:color="auto"/>
            </w:tcBorders>
            <w:shd w:val="clear" w:color="auto" w:fill="auto"/>
          </w:tcPr>
          <w:p w14:paraId="6C57AF0A" w14:textId="77777777" w:rsidR="002A4DDF" w:rsidRPr="00937C8B" w:rsidRDefault="002A4DDF" w:rsidP="009110ED">
            <w:pPr>
              <w:rPr>
                <w:rFonts w:ascii="Arial" w:hAnsi="Arial" w:cs="Arial"/>
                <w:sz w:val="12"/>
                <w:szCs w:val="12"/>
              </w:rPr>
            </w:pPr>
          </w:p>
        </w:tc>
        <w:tc>
          <w:tcPr>
            <w:tcW w:w="1843" w:type="dxa"/>
            <w:shd w:val="clear" w:color="auto" w:fill="auto"/>
          </w:tcPr>
          <w:p w14:paraId="7AE307BE" w14:textId="77777777" w:rsidR="002A4DDF" w:rsidRPr="00937C8B" w:rsidRDefault="002A4DDF" w:rsidP="009110ED">
            <w:pPr>
              <w:rPr>
                <w:rFonts w:ascii="Arial" w:hAnsi="Arial" w:cs="Arial"/>
                <w:sz w:val="12"/>
                <w:szCs w:val="12"/>
              </w:rPr>
            </w:pPr>
          </w:p>
        </w:tc>
        <w:tc>
          <w:tcPr>
            <w:tcW w:w="2268" w:type="dxa"/>
            <w:shd w:val="clear" w:color="auto" w:fill="F2F2F2"/>
            <w:hideMark/>
          </w:tcPr>
          <w:p w14:paraId="72AD00A0" w14:textId="77777777" w:rsidR="002A4DDF" w:rsidRPr="00937C8B" w:rsidRDefault="002A4DDF" w:rsidP="009110ED">
            <w:pPr>
              <w:rPr>
                <w:rFonts w:ascii="Arial" w:hAnsi="Arial" w:cs="Arial"/>
                <w:sz w:val="12"/>
                <w:szCs w:val="12"/>
              </w:rPr>
            </w:pPr>
            <w:r>
              <w:rPr>
                <w:rFonts w:ascii="Arial" w:hAnsi="Arial"/>
                <w:sz w:val="12"/>
                <w:szCs w:val="12"/>
              </w:rPr>
              <w:t>Andorra</w:t>
            </w:r>
          </w:p>
        </w:tc>
        <w:tc>
          <w:tcPr>
            <w:tcW w:w="2268" w:type="dxa"/>
            <w:tcBorders>
              <w:right w:val="single" w:sz="4" w:space="0" w:color="auto"/>
            </w:tcBorders>
            <w:shd w:val="clear" w:color="auto" w:fill="D9D9D9"/>
            <w:hideMark/>
          </w:tcPr>
          <w:p w14:paraId="71FDFD06" w14:textId="77777777" w:rsidR="002A4DDF" w:rsidRPr="00937C8B" w:rsidRDefault="002A4DDF" w:rsidP="009110ED">
            <w:pPr>
              <w:rPr>
                <w:rFonts w:ascii="Arial" w:hAnsi="Arial" w:cs="Arial"/>
                <w:sz w:val="12"/>
                <w:szCs w:val="12"/>
              </w:rPr>
            </w:pPr>
          </w:p>
        </w:tc>
      </w:tr>
      <w:tr w:rsidR="002A4DDF" w:rsidRPr="00937C8B" w14:paraId="449ADA49" w14:textId="77777777" w:rsidTr="00935676">
        <w:trPr>
          <w:cantSplit/>
        </w:trPr>
        <w:tc>
          <w:tcPr>
            <w:tcW w:w="1696" w:type="dxa"/>
            <w:tcBorders>
              <w:left w:val="single" w:sz="4" w:space="0" w:color="auto"/>
            </w:tcBorders>
            <w:shd w:val="clear" w:color="auto" w:fill="auto"/>
          </w:tcPr>
          <w:p w14:paraId="42A3E0D6" w14:textId="77777777" w:rsidR="002A4DDF" w:rsidRPr="00937C8B" w:rsidRDefault="002A4DDF" w:rsidP="009110ED">
            <w:pPr>
              <w:rPr>
                <w:rFonts w:ascii="Arial" w:hAnsi="Arial" w:cs="Arial"/>
                <w:sz w:val="12"/>
                <w:szCs w:val="12"/>
              </w:rPr>
            </w:pPr>
          </w:p>
        </w:tc>
        <w:tc>
          <w:tcPr>
            <w:tcW w:w="1843" w:type="dxa"/>
            <w:shd w:val="clear" w:color="auto" w:fill="auto"/>
          </w:tcPr>
          <w:p w14:paraId="23F5504E" w14:textId="77777777" w:rsidR="002A4DDF" w:rsidRPr="00937C8B" w:rsidRDefault="002A4DDF" w:rsidP="009110ED">
            <w:pPr>
              <w:rPr>
                <w:rFonts w:ascii="Arial" w:hAnsi="Arial" w:cs="Arial"/>
                <w:sz w:val="12"/>
                <w:szCs w:val="12"/>
              </w:rPr>
            </w:pPr>
          </w:p>
        </w:tc>
        <w:tc>
          <w:tcPr>
            <w:tcW w:w="2268" w:type="dxa"/>
            <w:shd w:val="clear" w:color="auto" w:fill="F2F2F2"/>
            <w:hideMark/>
          </w:tcPr>
          <w:p w14:paraId="15167CA8" w14:textId="77777777" w:rsidR="002A4DDF" w:rsidRPr="00937C8B" w:rsidRDefault="002A4DDF" w:rsidP="009110ED">
            <w:pPr>
              <w:rPr>
                <w:rFonts w:ascii="Arial" w:hAnsi="Arial" w:cs="Arial"/>
                <w:sz w:val="12"/>
                <w:szCs w:val="12"/>
              </w:rPr>
            </w:pPr>
            <w:r>
              <w:rPr>
                <w:rFonts w:ascii="Arial" w:hAnsi="Arial"/>
                <w:sz w:val="12"/>
                <w:szCs w:val="12"/>
              </w:rPr>
              <w:t>Arens de Lledó</w:t>
            </w:r>
          </w:p>
        </w:tc>
        <w:tc>
          <w:tcPr>
            <w:tcW w:w="2268" w:type="dxa"/>
            <w:tcBorders>
              <w:right w:val="single" w:sz="4" w:space="0" w:color="auto"/>
            </w:tcBorders>
            <w:shd w:val="clear" w:color="auto" w:fill="D9D9D9"/>
            <w:hideMark/>
          </w:tcPr>
          <w:p w14:paraId="1AB8F4FA" w14:textId="77777777" w:rsidR="002A4DDF" w:rsidRPr="00937C8B" w:rsidRDefault="002A4DDF" w:rsidP="009110ED">
            <w:pPr>
              <w:rPr>
                <w:rFonts w:ascii="Arial" w:hAnsi="Arial" w:cs="Arial"/>
                <w:sz w:val="12"/>
                <w:szCs w:val="12"/>
              </w:rPr>
            </w:pPr>
          </w:p>
        </w:tc>
      </w:tr>
      <w:tr w:rsidR="002A4DDF" w:rsidRPr="00937C8B" w14:paraId="53BE9265" w14:textId="77777777" w:rsidTr="00935676">
        <w:trPr>
          <w:cantSplit/>
        </w:trPr>
        <w:tc>
          <w:tcPr>
            <w:tcW w:w="1696" w:type="dxa"/>
            <w:tcBorders>
              <w:left w:val="single" w:sz="4" w:space="0" w:color="auto"/>
            </w:tcBorders>
            <w:shd w:val="clear" w:color="auto" w:fill="auto"/>
          </w:tcPr>
          <w:p w14:paraId="03B4F698" w14:textId="77777777" w:rsidR="002A4DDF" w:rsidRPr="00937C8B" w:rsidRDefault="002A4DDF" w:rsidP="009110ED">
            <w:pPr>
              <w:rPr>
                <w:rFonts w:ascii="Arial" w:hAnsi="Arial" w:cs="Arial"/>
                <w:sz w:val="12"/>
                <w:szCs w:val="12"/>
              </w:rPr>
            </w:pPr>
          </w:p>
        </w:tc>
        <w:tc>
          <w:tcPr>
            <w:tcW w:w="1843" w:type="dxa"/>
            <w:shd w:val="clear" w:color="auto" w:fill="auto"/>
          </w:tcPr>
          <w:p w14:paraId="5064D10D" w14:textId="77777777" w:rsidR="002A4DDF" w:rsidRPr="00937C8B" w:rsidRDefault="002A4DDF" w:rsidP="009110ED">
            <w:pPr>
              <w:rPr>
                <w:rFonts w:ascii="Arial" w:hAnsi="Arial" w:cs="Arial"/>
                <w:sz w:val="12"/>
                <w:szCs w:val="12"/>
              </w:rPr>
            </w:pPr>
          </w:p>
        </w:tc>
        <w:tc>
          <w:tcPr>
            <w:tcW w:w="2268" w:type="dxa"/>
            <w:shd w:val="clear" w:color="auto" w:fill="F2F2F2"/>
            <w:hideMark/>
          </w:tcPr>
          <w:p w14:paraId="46B4C387" w14:textId="77777777" w:rsidR="002A4DDF" w:rsidRPr="00937C8B" w:rsidRDefault="002A4DDF" w:rsidP="009110ED">
            <w:pPr>
              <w:rPr>
                <w:rFonts w:ascii="Arial" w:hAnsi="Arial" w:cs="Arial"/>
                <w:sz w:val="12"/>
                <w:szCs w:val="12"/>
              </w:rPr>
            </w:pPr>
            <w:r>
              <w:rPr>
                <w:rFonts w:ascii="Arial" w:hAnsi="Arial"/>
                <w:sz w:val="12"/>
                <w:szCs w:val="12"/>
              </w:rPr>
              <w:t>Argente</w:t>
            </w:r>
          </w:p>
        </w:tc>
        <w:tc>
          <w:tcPr>
            <w:tcW w:w="2268" w:type="dxa"/>
            <w:tcBorders>
              <w:right w:val="single" w:sz="4" w:space="0" w:color="auto"/>
            </w:tcBorders>
            <w:shd w:val="clear" w:color="auto" w:fill="D9D9D9"/>
            <w:hideMark/>
          </w:tcPr>
          <w:p w14:paraId="1FBDE9C9" w14:textId="77777777" w:rsidR="002A4DDF" w:rsidRPr="00937C8B" w:rsidRDefault="002A4DDF" w:rsidP="009110ED">
            <w:pPr>
              <w:rPr>
                <w:rFonts w:ascii="Arial" w:hAnsi="Arial" w:cs="Arial"/>
                <w:sz w:val="12"/>
                <w:szCs w:val="12"/>
              </w:rPr>
            </w:pPr>
          </w:p>
        </w:tc>
      </w:tr>
      <w:tr w:rsidR="002A4DDF" w:rsidRPr="00937C8B" w14:paraId="432E8CDD" w14:textId="77777777" w:rsidTr="00935676">
        <w:trPr>
          <w:cantSplit/>
        </w:trPr>
        <w:tc>
          <w:tcPr>
            <w:tcW w:w="1696" w:type="dxa"/>
            <w:tcBorders>
              <w:left w:val="single" w:sz="4" w:space="0" w:color="auto"/>
            </w:tcBorders>
            <w:shd w:val="clear" w:color="auto" w:fill="auto"/>
          </w:tcPr>
          <w:p w14:paraId="51030661" w14:textId="77777777" w:rsidR="002A4DDF" w:rsidRPr="00937C8B" w:rsidRDefault="002A4DDF" w:rsidP="009110ED">
            <w:pPr>
              <w:rPr>
                <w:rFonts w:ascii="Arial" w:hAnsi="Arial" w:cs="Arial"/>
                <w:sz w:val="12"/>
                <w:szCs w:val="12"/>
              </w:rPr>
            </w:pPr>
          </w:p>
        </w:tc>
        <w:tc>
          <w:tcPr>
            <w:tcW w:w="1843" w:type="dxa"/>
            <w:shd w:val="clear" w:color="auto" w:fill="auto"/>
          </w:tcPr>
          <w:p w14:paraId="7C18A155" w14:textId="77777777" w:rsidR="002A4DDF" w:rsidRPr="00937C8B" w:rsidRDefault="002A4DDF" w:rsidP="009110ED">
            <w:pPr>
              <w:rPr>
                <w:rFonts w:ascii="Arial" w:hAnsi="Arial" w:cs="Arial"/>
                <w:sz w:val="12"/>
                <w:szCs w:val="12"/>
              </w:rPr>
            </w:pPr>
          </w:p>
        </w:tc>
        <w:tc>
          <w:tcPr>
            <w:tcW w:w="2268" w:type="dxa"/>
            <w:shd w:val="clear" w:color="auto" w:fill="F2F2F2"/>
            <w:hideMark/>
          </w:tcPr>
          <w:p w14:paraId="57F241DF" w14:textId="77777777" w:rsidR="002A4DDF" w:rsidRPr="00937C8B" w:rsidRDefault="002A4DDF" w:rsidP="009110ED">
            <w:pPr>
              <w:rPr>
                <w:rFonts w:ascii="Arial" w:hAnsi="Arial" w:cs="Arial"/>
                <w:sz w:val="12"/>
                <w:szCs w:val="12"/>
              </w:rPr>
            </w:pPr>
            <w:r>
              <w:rPr>
                <w:rFonts w:ascii="Arial" w:hAnsi="Arial"/>
                <w:sz w:val="12"/>
                <w:szCs w:val="12"/>
              </w:rPr>
              <w:t>Ariño</w:t>
            </w:r>
          </w:p>
        </w:tc>
        <w:tc>
          <w:tcPr>
            <w:tcW w:w="2268" w:type="dxa"/>
            <w:tcBorders>
              <w:right w:val="single" w:sz="4" w:space="0" w:color="auto"/>
            </w:tcBorders>
            <w:shd w:val="clear" w:color="auto" w:fill="D9D9D9"/>
            <w:hideMark/>
          </w:tcPr>
          <w:p w14:paraId="03D5FBEE" w14:textId="77777777" w:rsidR="002A4DDF" w:rsidRPr="00937C8B" w:rsidRDefault="002A4DDF" w:rsidP="009110ED">
            <w:pPr>
              <w:rPr>
                <w:rFonts w:ascii="Arial" w:hAnsi="Arial" w:cs="Arial"/>
                <w:sz w:val="12"/>
                <w:szCs w:val="12"/>
              </w:rPr>
            </w:pPr>
          </w:p>
        </w:tc>
      </w:tr>
      <w:tr w:rsidR="002A4DDF" w:rsidRPr="00937C8B" w14:paraId="31AE6C49" w14:textId="77777777" w:rsidTr="00935676">
        <w:trPr>
          <w:cantSplit/>
        </w:trPr>
        <w:tc>
          <w:tcPr>
            <w:tcW w:w="1696" w:type="dxa"/>
            <w:tcBorders>
              <w:left w:val="single" w:sz="4" w:space="0" w:color="auto"/>
            </w:tcBorders>
            <w:shd w:val="clear" w:color="auto" w:fill="auto"/>
          </w:tcPr>
          <w:p w14:paraId="6BDEC4FC" w14:textId="77777777" w:rsidR="002A4DDF" w:rsidRPr="00937C8B" w:rsidRDefault="002A4DDF" w:rsidP="009110ED">
            <w:pPr>
              <w:rPr>
                <w:rFonts w:ascii="Arial" w:hAnsi="Arial" w:cs="Arial"/>
                <w:sz w:val="12"/>
                <w:szCs w:val="12"/>
              </w:rPr>
            </w:pPr>
          </w:p>
        </w:tc>
        <w:tc>
          <w:tcPr>
            <w:tcW w:w="1843" w:type="dxa"/>
            <w:shd w:val="clear" w:color="auto" w:fill="auto"/>
          </w:tcPr>
          <w:p w14:paraId="5C37FB6B" w14:textId="77777777" w:rsidR="002A4DDF" w:rsidRPr="00937C8B" w:rsidRDefault="002A4DDF" w:rsidP="009110ED">
            <w:pPr>
              <w:rPr>
                <w:rFonts w:ascii="Arial" w:hAnsi="Arial" w:cs="Arial"/>
                <w:sz w:val="12"/>
                <w:szCs w:val="12"/>
              </w:rPr>
            </w:pPr>
          </w:p>
        </w:tc>
        <w:tc>
          <w:tcPr>
            <w:tcW w:w="2268" w:type="dxa"/>
            <w:shd w:val="clear" w:color="auto" w:fill="F2F2F2"/>
            <w:hideMark/>
          </w:tcPr>
          <w:p w14:paraId="6AB52C15" w14:textId="77777777" w:rsidR="002A4DDF" w:rsidRPr="00937C8B" w:rsidRDefault="002A4DDF" w:rsidP="009110ED">
            <w:pPr>
              <w:rPr>
                <w:rFonts w:ascii="Arial" w:hAnsi="Arial" w:cs="Arial"/>
                <w:sz w:val="12"/>
                <w:szCs w:val="12"/>
              </w:rPr>
            </w:pPr>
            <w:r>
              <w:rPr>
                <w:rFonts w:ascii="Arial" w:hAnsi="Arial"/>
                <w:sz w:val="12"/>
                <w:szCs w:val="12"/>
              </w:rPr>
              <w:t>Bádenas</w:t>
            </w:r>
          </w:p>
        </w:tc>
        <w:tc>
          <w:tcPr>
            <w:tcW w:w="2268" w:type="dxa"/>
            <w:tcBorders>
              <w:right w:val="single" w:sz="4" w:space="0" w:color="auto"/>
            </w:tcBorders>
            <w:shd w:val="clear" w:color="auto" w:fill="D9D9D9"/>
            <w:hideMark/>
          </w:tcPr>
          <w:p w14:paraId="43691744" w14:textId="77777777" w:rsidR="002A4DDF" w:rsidRPr="00937C8B" w:rsidRDefault="002A4DDF" w:rsidP="009110ED">
            <w:pPr>
              <w:rPr>
                <w:rFonts w:ascii="Arial" w:hAnsi="Arial" w:cs="Arial"/>
                <w:sz w:val="12"/>
                <w:szCs w:val="12"/>
              </w:rPr>
            </w:pPr>
          </w:p>
        </w:tc>
      </w:tr>
      <w:tr w:rsidR="002A4DDF" w:rsidRPr="00937C8B" w14:paraId="31CF9058" w14:textId="77777777" w:rsidTr="00935676">
        <w:trPr>
          <w:cantSplit/>
        </w:trPr>
        <w:tc>
          <w:tcPr>
            <w:tcW w:w="1696" w:type="dxa"/>
            <w:tcBorders>
              <w:left w:val="single" w:sz="4" w:space="0" w:color="auto"/>
            </w:tcBorders>
            <w:shd w:val="clear" w:color="auto" w:fill="auto"/>
          </w:tcPr>
          <w:p w14:paraId="0B7D0B88" w14:textId="77777777" w:rsidR="002A4DDF" w:rsidRPr="00937C8B" w:rsidRDefault="002A4DDF" w:rsidP="009110ED">
            <w:pPr>
              <w:rPr>
                <w:rFonts w:ascii="Arial" w:hAnsi="Arial" w:cs="Arial"/>
                <w:sz w:val="12"/>
                <w:szCs w:val="12"/>
              </w:rPr>
            </w:pPr>
          </w:p>
        </w:tc>
        <w:tc>
          <w:tcPr>
            <w:tcW w:w="1843" w:type="dxa"/>
            <w:shd w:val="clear" w:color="auto" w:fill="auto"/>
          </w:tcPr>
          <w:p w14:paraId="5730202B" w14:textId="77777777" w:rsidR="002A4DDF" w:rsidRPr="00937C8B" w:rsidRDefault="002A4DDF" w:rsidP="009110ED">
            <w:pPr>
              <w:rPr>
                <w:rFonts w:ascii="Arial" w:hAnsi="Arial" w:cs="Arial"/>
                <w:sz w:val="12"/>
                <w:szCs w:val="12"/>
              </w:rPr>
            </w:pPr>
          </w:p>
        </w:tc>
        <w:tc>
          <w:tcPr>
            <w:tcW w:w="2268" w:type="dxa"/>
            <w:shd w:val="clear" w:color="auto" w:fill="F2F2F2"/>
            <w:hideMark/>
          </w:tcPr>
          <w:p w14:paraId="6C4F0190" w14:textId="77777777" w:rsidR="002A4DDF" w:rsidRPr="00937C8B" w:rsidRDefault="002A4DDF" w:rsidP="009110ED">
            <w:pPr>
              <w:rPr>
                <w:rFonts w:ascii="Arial" w:hAnsi="Arial" w:cs="Arial"/>
                <w:sz w:val="12"/>
                <w:szCs w:val="12"/>
              </w:rPr>
            </w:pPr>
            <w:r>
              <w:rPr>
                <w:rFonts w:ascii="Arial" w:hAnsi="Arial"/>
                <w:sz w:val="12"/>
                <w:szCs w:val="12"/>
              </w:rPr>
              <w:t>Báguena</w:t>
            </w:r>
          </w:p>
        </w:tc>
        <w:tc>
          <w:tcPr>
            <w:tcW w:w="2268" w:type="dxa"/>
            <w:tcBorders>
              <w:right w:val="single" w:sz="4" w:space="0" w:color="auto"/>
            </w:tcBorders>
            <w:shd w:val="clear" w:color="auto" w:fill="D9D9D9"/>
            <w:hideMark/>
          </w:tcPr>
          <w:p w14:paraId="2DFBD964" w14:textId="77777777" w:rsidR="002A4DDF" w:rsidRPr="00937C8B" w:rsidRDefault="002A4DDF" w:rsidP="009110ED">
            <w:pPr>
              <w:rPr>
                <w:rFonts w:ascii="Arial" w:hAnsi="Arial" w:cs="Arial"/>
                <w:sz w:val="12"/>
                <w:szCs w:val="12"/>
              </w:rPr>
            </w:pPr>
          </w:p>
        </w:tc>
      </w:tr>
      <w:tr w:rsidR="002A4DDF" w:rsidRPr="00937C8B" w14:paraId="02FBE79C" w14:textId="77777777" w:rsidTr="00935676">
        <w:trPr>
          <w:cantSplit/>
        </w:trPr>
        <w:tc>
          <w:tcPr>
            <w:tcW w:w="1696" w:type="dxa"/>
            <w:tcBorders>
              <w:left w:val="single" w:sz="4" w:space="0" w:color="auto"/>
            </w:tcBorders>
            <w:shd w:val="clear" w:color="auto" w:fill="auto"/>
          </w:tcPr>
          <w:p w14:paraId="02E15098" w14:textId="77777777" w:rsidR="002A4DDF" w:rsidRPr="00937C8B" w:rsidRDefault="002A4DDF" w:rsidP="009110ED">
            <w:pPr>
              <w:rPr>
                <w:rFonts w:ascii="Arial" w:hAnsi="Arial" w:cs="Arial"/>
                <w:sz w:val="12"/>
                <w:szCs w:val="12"/>
              </w:rPr>
            </w:pPr>
          </w:p>
        </w:tc>
        <w:tc>
          <w:tcPr>
            <w:tcW w:w="1843" w:type="dxa"/>
            <w:shd w:val="clear" w:color="auto" w:fill="auto"/>
          </w:tcPr>
          <w:p w14:paraId="18DD9BC8" w14:textId="77777777" w:rsidR="002A4DDF" w:rsidRPr="00937C8B" w:rsidRDefault="002A4DDF" w:rsidP="009110ED">
            <w:pPr>
              <w:rPr>
                <w:rFonts w:ascii="Arial" w:hAnsi="Arial" w:cs="Arial"/>
                <w:sz w:val="12"/>
                <w:szCs w:val="12"/>
              </w:rPr>
            </w:pPr>
          </w:p>
        </w:tc>
        <w:tc>
          <w:tcPr>
            <w:tcW w:w="2268" w:type="dxa"/>
            <w:shd w:val="clear" w:color="auto" w:fill="F2F2F2"/>
            <w:hideMark/>
          </w:tcPr>
          <w:p w14:paraId="08AE02DB" w14:textId="77777777" w:rsidR="002A4DDF" w:rsidRPr="00937C8B" w:rsidRDefault="002A4DDF" w:rsidP="009110ED">
            <w:pPr>
              <w:rPr>
                <w:rFonts w:ascii="Arial" w:hAnsi="Arial" w:cs="Arial"/>
                <w:sz w:val="12"/>
                <w:szCs w:val="12"/>
              </w:rPr>
            </w:pPr>
            <w:r>
              <w:rPr>
                <w:rFonts w:ascii="Arial" w:hAnsi="Arial"/>
                <w:sz w:val="12"/>
                <w:szCs w:val="12"/>
              </w:rPr>
              <w:t>Beceite</w:t>
            </w:r>
          </w:p>
        </w:tc>
        <w:tc>
          <w:tcPr>
            <w:tcW w:w="2268" w:type="dxa"/>
            <w:tcBorders>
              <w:right w:val="single" w:sz="4" w:space="0" w:color="auto"/>
            </w:tcBorders>
            <w:shd w:val="clear" w:color="auto" w:fill="D9D9D9"/>
            <w:hideMark/>
          </w:tcPr>
          <w:p w14:paraId="16B042B5" w14:textId="77777777" w:rsidR="002A4DDF" w:rsidRPr="00937C8B" w:rsidRDefault="002A4DDF" w:rsidP="009110ED">
            <w:pPr>
              <w:rPr>
                <w:rFonts w:ascii="Arial" w:hAnsi="Arial" w:cs="Arial"/>
                <w:sz w:val="12"/>
                <w:szCs w:val="12"/>
              </w:rPr>
            </w:pPr>
          </w:p>
        </w:tc>
      </w:tr>
      <w:tr w:rsidR="002A4DDF" w:rsidRPr="00937C8B" w14:paraId="4F5A23FF" w14:textId="77777777" w:rsidTr="00935676">
        <w:trPr>
          <w:cantSplit/>
        </w:trPr>
        <w:tc>
          <w:tcPr>
            <w:tcW w:w="1696" w:type="dxa"/>
            <w:tcBorders>
              <w:left w:val="single" w:sz="4" w:space="0" w:color="auto"/>
            </w:tcBorders>
            <w:shd w:val="clear" w:color="auto" w:fill="auto"/>
          </w:tcPr>
          <w:p w14:paraId="14F0F496" w14:textId="77777777" w:rsidR="002A4DDF" w:rsidRPr="00937C8B" w:rsidRDefault="002A4DDF" w:rsidP="009110ED">
            <w:pPr>
              <w:rPr>
                <w:rFonts w:ascii="Arial" w:hAnsi="Arial" w:cs="Arial"/>
                <w:sz w:val="12"/>
                <w:szCs w:val="12"/>
              </w:rPr>
            </w:pPr>
          </w:p>
        </w:tc>
        <w:tc>
          <w:tcPr>
            <w:tcW w:w="1843" w:type="dxa"/>
            <w:shd w:val="clear" w:color="auto" w:fill="auto"/>
          </w:tcPr>
          <w:p w14:paraId="7AE3D8B6" w14:textId="77777777" w:rsidR="002A4DDF" w:rsidRPr="00937C8B" w:rsidRDefault="002A4DDF" w:rsidP="009110ED">
            <w:pPr>
              <w:rPr>
                <w:rFonts w:ascii="Arial" w:hAnsi="Arial" w:cs="Arial"/>
                <w:sz w:val="12"/>
                <w:szCs w:val="12"/>
              </w:rPr>
            </w:pPr>
          </w:p>
        </w:tc>
        <w:tc>
          <w:tcPr>
            <w:tcW w:w="2268" w:type="dxa"/>
            <w:shd w:val="clear" w:color="auto" w:fill="F2F2F2"/>
            <w:hideMark/>
          </w:tcPr>
          <w:p w14:paraId="11FDB422" w14:textId="77777777" w:rsidR="002A4DDF" w:rsidRPr="00937C8B" w:rsidRDefault="002A4DDF" w:rsidP="009110ED">
            <w:pPr>
              <w:rPr>
                <w:rFonts w:ascii="Arial" w:hAnsi="Arial" w:cs="Arial"/>
                <w:sz w:val="12"/>
                <w:szCs w:val="12"/>
              </w:rPr>
            </w:pPr>
            <w:r>
              <w:rPr>
                <w:rFonts w:ascii="Arial" w:hAnsi="Arial"/>
                <w:sz w:val="12"/>
                <w:szCs w:val="12"/>
              </w:rPr>
              <w:t>Bello</w:t>
            </w:r>
          </w:p>
        </w:tc>
        <w:tc>
          <w:tcPr>
            <w:tcW w:w="2268" w:type="dxa"/>
            <w:tcBorders>
              <w:right w:val="single" w:sz="4" w:space="0" w:color="auto"/>
            </w:tcBorders>
            <w:shd w:val="clear" w:color="auto" w:fill="D9D9D9"/>
            <w:hideMark/>
          </w:tcPr>
          <w:p w14:paraId="4CF43320" w14:textId="77777777" w:rsidR="002A4DDF" w:rsidRPr="00937C8B" w:rsidRDefault="002A4DDF" w:rsidP="009110ED">
            <w:pPr>
              <w:rPr>
                <w:rFonts w:ascii="Arial" w:hAnsi="Arial" w:cs="Arial"/>
                <w:sz w:val="12"/>
                <w:szCs w:val="12"/>
              </w:rPr>
            </w:pPr>
          </w:p>
        </w:tc>
      </w:tr>
      <w:tr w:rsidR="002A4DDF" w:rsidRPr="00937C8B" w14:paraId="073CFAC0" w14:textId="77777777" w:rsidTr="00935676">
        <w:trPr>
          <w:cantSplit/>
        </w:trPr>
        <w:tc>
          <w:tcPr>
            <w:tcW w:w="1696" w:type="dxa"/>
            <w:tcBorders>
              <w:left w:val="single" w:sz="4" w:space="0" w:color="auto"/>
            </w:tcBorders>
            <w:shd w:val="clear" w:color="auto" w:fill="auto"/>
          </w:tcPr>
          <w:p w14:paraId="5023D184" w14:textId="77777777" w:rsidR="002A4DDF" w:rsidRPr="00937C8B" w:rsidRDefault="002A4DDF" w:rsidP="009110ED">
            <w:pPr>
              <w:rPr>
                <w:rFonts w:ascii="Arial" w:hAnsi="Arial" w:cs="Arial"/>
                <w:sz w:val="12"/>
                <w:szCs w:val="12"/>
              </w:rPr>
            </w:pPr>
          </w:p>
        </w:tc>
        <w:tc>
          <w:tcPr>
            <w:tcW w:w="1843" w:type="dxa"/>
            <w:shd w:val="clear" w:color="auto" w:fill="auto"/>
          </w:tcPr>
          <w:p w14:paraId="092993AB" w14:textId="77777777" w:rsidR="002A4DDF" w:rsidRPr="00937C8B" w:rsidRDefault="002A4DDF" w:rsidP="009110ED">
            <w:pPr>
              <w:rPr>
                <w:rFonts w:ascii="Arial" w:hAnsi="Arial" w:cs="Arial"/>
                <w:sz w:val="12"/>
                <w:szCs w:val="12"/>
              </w:rPr>
            </w:pPr>
          </w:p>
        </w:tc>
        <w:tc>
          <w:tcPr>
            <w:tcW w:w="2268" w:type="dxa"/>
            <w:shd w:val="clear" w:color="auto" w:fill="F2F2F2"/>
            <w:hideMark/>
          </w:tcPr>
          <w:p w14:paraId="1B12AB04" w14:textId="77777777" w:rsidR="002A4DDF" w:rsidRPr="00937C8B" w:rsidRDefault="002A4DDF" w:rsidP="009110ED">
            <w:pPr>
              <w:rPr>
                <w:rFonts w:ascii="Arial" w:hAnsi="Arial" w:cs="Arial"/>
                <w:sz w:val="12"/>
                <w:szCs w:val="12"/>
              </w:rPr>
            </w:pPr>
            <w:r>
              <w:rPr>
                <w:rFonts w:ascii="Arial" w:hAnsi="Arial"/>
                <w:sz w:val="12"/>
                <w:szCs w:val="12"/>
              </w:rPr>
              <w:t>Bezas</w:t>
            </w:r>
          </w:p>
        </w:tc>
        <w:tc>
          <w:tcPr>
            <w:tcW w:w="2268" w:type="dxa"/>
            <w:tcBorders>
              <w:right w:val="single" w:sz="4" w:space="0" w:color="auto"/>
            </w:tcBorders>
            <w:shd w:val="clear" w:color="auto" w:fill="D9D9D9"/>
            <w:hideMark/>
          </w:tcPr>
          <w:p w14:paraId="36376C28" w14:textId="77777777" w:rsidR="002A4DDF" w:rsidRPr="00937C8B" w:rsidRDefault="002A4DDF" w:rsidP="009110ED">
            <w:pPr>
              <w:rPr>
                <w:rFonts w:ascii="Arial" w:hAnsi="Arial" w:cs="Arial"/>
                <w:sz w:val="12"/>
                <w:szCs w:val="12"/>
              </w:rPr>
            </w:pPr>
          </w:p>
        </w:tc>
      </w:tr>
      <w:tr w:rsidR="002A4DDF" w:rsidRPr="00937C8B" w14:paraId="2AD232F4" w14:textId="77777777" w:rsidTr="00935676">
        <w:trPr>
          <w:cantSplit/>
        </w:trPr>
        <w:tc>
          <w:tcPr>
            <w:tcW w:w="1696" w:type="dxa"/>
            <w:tcBorders>
              <w:left w:val="single" w:sz="4" w:space="0" w:color="auto"/>
            </w:tcBorders>
            <w:shd w:val="clear" w:color="auto" w:fill="auto"/>
          </w:tcPr>
          <w:p w14:paraId="496C3E6A" w14:textId="77777777" w:rsidR="002A4DDF" w:rsidRPr="00937C8B" w:rsidRDefault="002A4DDF" w:rsidP="009110ED">
            <w:pPr>
              <w:rPr>
                <w:rFonts w:ascii="Arial" w:hAnsi="Arial" w:cs="Arial"/>
                <w:sz w:val="12"/>
                <w:szCs w:val="12"/>
              </w:rPr>
            </w:pPr>
          </w:p>
        </w:tc>
        <w:tc>
          <w:tcPr>
            <w:tcW w:w="1843" w:type="dxa"/>
            <w:shd w:val="clear" w:color="auto" w:fill="auto"/>
          </w:tcPr>
          <w:p w14:paraId="58A337DB" w14:textId="77777777" w:rsidR="002A4DDF" w:rsidRPr="00937C8B" w:rsidRDefault="002A4DDF" w:rsidP="009110ED">
            <w:pPr>
              <w:rPr>
                <w:rFonts w:ascii="Arial" w:hAnsi="Arial" w:cs="Arial"/>
                <w:sz w:val="12"/>
                <w:szCs w:val="12"/>
              </w:rPr>
            </w:pPr>
          </w:p>
        </w:tc>
        <w:tc>
          <w:tcPr>
            <w:tcW w:w="2268" w:type="dxa"/>
            <w:shd w:val="clear" w:color="auto" w:fill="F2F2F2"/>
            <w:hideMark/>
          </w:tcPr>
          <w:p w14:paraId="08A2B41D" w14:textId="77777777" w:rsidR="002A4DDF" w:rsidRPr="00937C8B" w:rsidRDefault="002A4DDF" w:rsidP="009110ED">
            <w:pPr>
              <w:rPr>
                <w:rFonts w:ascii="Arial" w:hAnsi="Arial" w:cs="Arial"/>
                <w:sz w:val="12"/>
                <w:szCs w:val="12"/>
              </w:rPr>
            </w:pPr>
            <w:r>
              <w:rPr>
                <w:rFonts w:ascii="Arial" w:hAnsi="Arial"/>
                <w:sz w:val="12"/>
                <w:szCs w:val="12"/>
              </w:rPr>
              <w:t>Blancas</w:t>
            </w:r>
          </w:p>
        </w:tc>
        <w:tc>
          <w:tcPr>
            <w:tcW w:w="2268" w:type="dxa"/>
            <w:tcBorders>
              <w:right w:val="single" w:sz="4" w:space="0" w:color="auto"/>
            </w:tcBorders>
            <w:shd w:val="clear" w:color="auto" w:fill="D9D9D9"/>
            <w:hideMark/>
          </w:tcPr>
          <w:p w14:paraId="64E4710F" w14:textId="77777777" w:rsidR="002A4DDF" w:rsidRPr="00937C8B" w:rsidRDefault="002A4DDF" w:rsidP="009110ED">
            <w:pPr>
              <w:rPr>
                <w:rFonts w:ascii="Arial" w:hAnsi="Arial" w:cs="Arial"/>
                <w:sz w:val="12"/>
                <w:szCs w:val="12"/>
              </w:rPr>
            </w:pPr>
          </w:p>
        </w:tc>
      </w:tr>
      <w:tr w:rsidR="002A4DDF" w:rsidRPr="00937C8B" w14:paraId="71D8CA92" w14:textId="77777777" w:rsidTr="00935676">
        <w:trPr>
          <w:cantSplit/>
        </w:trPr>
        <w:tc>
          <w:tcPr>
            <w:tcW w:w="1696" w:type="dxa"/>
            <w:tcBorders>
              <w:left w:val="single" w:sz="4" w:space="0" w:color="auto"/>
            </w:tcBorders>
            <w:shd w:val="clear" w:color="auto" w:fill="auto"/>
          </w:tcPr>
          <w:p w14:paraId="5CF980B2" w14:textId="77777777" w:rsidR="002A4DDF" w:rsidRPr="00937C8B" w:rsidRDefault="002A4DDF" w:rsidP="009110ED">
            <w:pPr>
              <w:rPr>
                <w:rFonts w:ascii="Arial" w:hAnsi="Arial" w:cs="Arial"/>
                <w:sz w:val="12"/>
                <w:szCs w:val="12"/>
              </w:rPr>
            </w:pPr>
          </w:p>
        </w:tc>
        <w:tc>
          <w:tcPr>
            <w:tcW w:w="1843" w:type="dxa"/>
            <w:shd w:val="clear" w:color="auto" w:fill="auto"/>
          </w:tcPr>
          <w:p w14:paraId="6ACB267F" w14:textId="77777777" w:rsidR="002A4DDF" w:rsidRPr="00937C8B" w:rsidRDefault="002A4DDF" w:rsidP="009110ED">
            <w:pPr>
              <w:rPr>
                <w:rFonts w:ascii="Arial" w:hAnsi="Arial" w:cs="Arial"/>
                <w:sz w:val="12"/>
                <w:szCs w:val="12"/>
              </w:rPr>
            </w:pPr>
          </w:p>
        </w:tc>
        <w:tc>
          <w:tcPr>
            <w:tcW w:w="2268" w:type="dxa"/>
            <w:shd w:val="clear" w:color="auto" w:fill="F2F2F2"/>
            <w:hideMark/>
          </w:tcPr>
          <w:p w14:paraId="0E90BD51" w14:textId="77777777" w:rsidR="002A4DDF" w:rsidRPr="00937C8B" w:rsidRDefault="002A4DDF" w:rsidP="009110ED">
            <w:pPr>
              <w:rPr>
                <w:rFonts w:ascii="Arial" w:hAnsi="Arial" w:cs="Arial"/>
                <w:sz w:val="12"/>
                <w:szCs w:val="12"/>
              </w:rPr>
            </w:pPr>
            <w:r>
              <w:rPr>
                <w:rFonts w:ascii="Arial" w:hAnsi="Arial"/>
                <w:sz w:val="12"/>
                <w:szCs w:val="12"/>
              </w:rPr>
              <w:t>Bronchales</w:t>
            </w:r>
          </w:p>
        </w:tc>
        <w:tc>
          <w:tcPr>
            <w:tcW w:w="2268" w:type="dxa"/>
            <w:tcBorders>
              <w:right w:val="single" w:sz="4" w:space="0" w:color="auto"/>
            </w:tcBorders>
            <w:shd w:val="clear" w:color="auto" w:fill="D9D9D9"/>
            <w:hideMark/>
          </w:tcPr>
          <w:p w14:paraId="61BB848C" w14:textId="77777777" w:rsidR="002A4DDF" w:rsidRPr="00937C8B" w:rsidRDefault="002A4DDF" w:rsidP="009110ED">
            <w:pPr>
              <w:rPr>
                <w:rFonts w:ascii="Arial" w:hAnsi="Arial" w:cs="Arial"/>
                <w:sz w:val="12"/>
                <w:szCs w:val="12"/>
              </w:rPr>
            </w:pPr>
          </w:p>
        </w:tc>
      </w:tr>
      <w:tr w:rsidR="002A4DDF" w:rsidRPr="00937C8B" w14:paraId="68640F95" w14:textId="77777777" w:rsidTr="00935676">
        <w:trPr>
          <w:cantSplit/>
        </w:trPr>
        <w:tc>
          <w:tcPr>
            <w:tcW w:w="1696" w:type="dxa"/>
            <w:tcBorders>
              <w:left w:val="single" w:sz="4" w:space="0" w:color="auto"/>
            </w:tcBorders>
            <w:shd w:val="clear" w:color="auto" w:fill="auto"/>
          </w:tcPr>
          <w:p w14:paraId="24E02978" w14:textId="77777777" w:rsidR="002A4DDF" w:rsidRPr="00937C8B" w:rsidRDefault="002A4DDF" w:rsidP="009110ED">
            <w:pPr>
              <w:rPr>
                <w:rFonts w:ascii="Arial" w:hAnsi="Arial" w:cs="Arial"/>
                <w:sz w:val="12"/>
                <w:szCs w:val="12"/>
              </w:rPr>
            </w:pPr>
          </w:p>
        </w:tc>
        <w:tc>
          <w:tcPr>
            <w:tcW w:w="1843" w:type="dxa"/>
            <w:shd w:val="clear" w:color="auto" w:fill="auto"/>
          </w:tcPr>
          <w:p w14:paraId="46A39FC2" w14:textId="77777777" w:rsidR="002A4DDF" w:rsidRPr="00937C8B" w:rsidRDefault="002A4DDF" w:rsidP="009110ED">
            <w:pPr>
              <w:rPr>
                <w:rFonts w:ascii="Arial" w:hAnsi="Arial" w:cs="Arial"/>
                <w:sz w:val="12"/>
                <w:szCs w:val="12"/>
              </w:rPr>
            </w:pPr>
          </w:p>
        </w:tc>
        <w:tc>
          <w:tcPr>
            <w:tcW w:w="2268" w:type="dxa"/>
            <w:shd w:val="clear" w:color="auto" w:fill="F2F2F2"/>
            <w:hideMark/>
          </w:tcPr>
          <w:p w14:paraId="0E34B40A" w14:textId="77777777" w:rsidR="002A4DDF" w:rsidRPr="00937C8B" w:rsidRDefault="002A4DDF" w:rsidP="009110ED">
            <w:pPr>
              <w:rPr>
                <w:rFonts w:ascii="Arial" w:hAnsi="Arial" w:cs="Arial"/>
                <w:sz w:val="12"/>
                <w:szCs w:val="12"/>
              </w:rPr>
            </w:pPr>
            <w:r>
              <w:rPr>
                <w:rFonts w:ascii="Arial" w:hAnsi="Arial"/>
                <w:sz w:val="12"/>
                <w:szCs w:val="12"/>
              </w:rPr>
              <w:t>Bueña</w:t>
            </w:r>
          </w:p>
        </w:tc>
        <w:tc>
          <w:tcPr>
            <w:tcW w:w="2268" w:type="dxa"/>
            <w:tcBorders>
              <w:right w:val="single" w:sz="4" w:space="0" w:color="auto"/>
            </w:tcBorders>
            <w:shd w:val="clear" w:color="auto" w:fill="D9D9D9"/>
            <w:hideMark/>
          </w:tcPr>
          <w:p w14:paraId="16EB9FF4" w14:textId="77777777" w:rsidR="002A4DDF" w:rsidRPr="00937C8B" w:rsidRDefault="002A4DDF" w:rsidP="009110ED">
            <w:pPr>
              <w:rPr>
                <w:rFonts w:ascii="Arial" w:hAnsi="Arial" w:cs="Arial"/>
                <w:sz w:val="12"/>
                <w:szCs w:val="12"/>
              </w:rPr>
            </w:pPr>
          </w:p>
        </w:tc>
      </w:tr>
      <w:tr w:rsidR="002A4DDF" w:rsidRPr="00937C8B" w14:paraId="60B81C34" w14:textId="77777777" w:rsidTr="00935676">
        <w:trPr>
          <w:cantSplit/>
        </w:trPr>
        <w:tc>
          <w:tcPr>
            <w:tcW w:w="1696" w:type="dxa"/>
            <w:tcBorders>
              <w:left w:val="single" w:sz="4" w:space="0" w:color="auto"/>
            </w:tcBorders>
            <w:shd w:val="clear" w:color="auto" w:fill="auto"/>
          </w:tcPr>
          <w:p w14:paraId="61B6ACF4" w14:textId="77777777" w:rsidR="002A4DDF" w:rsidRPr="00937C8B" w:rsidRDefault="002A4DDF" w:rsidP="009110ED">
            <w:pPr>
              <w:rPr>
                <w:rFonts w:ascii="Arial" w:hAnsi="Arial" w:cs="Arial"/>
                <w:sz w:val="12"/>
                <w:szCs w:val="12"/>
              </w:rPr>
            </w:pPr>
          </w:p>
        </w:tc>
        <w:tc>
          <w:tcPr>
            <w:tcW w:w="1843" w:type="dxa"/>
            <w:shd w:val="clear" w:color="auto" w:fill="auto"/>
          </w:tcPr>
          <w:p w14:paraId="38160713" w14:textId="77777777" w:rsidR="002A4DDF" w:rsidRPr="00937C8B" w:rsidRDefault="002A4DDF" w:rsidP="009110ED">
            <w:pPr>
              <w:rPr>
                <w:rFonts w:ascii="Arial" w:hAnsi="Arial" w:cs="Arial"/>
                <w:sz w:val="12"/>
                <w:szCs w:val="12"/>
              </w:rPr>
            </w:pPr>
          </w:p>
        </w:tc>
        <w:tc>
          <w:tcPr>
            <w:tcW w:w="2268" w:type="dxa"/>
            <w:shd w:val="clear" w:color="auto" w:fill="F2F2F2"/>
            <w:hideMark/>
          </w:tcPr>
          <w:p w14:paraId="401A3619" w14:textId="77777777" w:rsidR="002A4DDF" w:rsidRPr="00937C8B" w:rsidRDefault="002A4DDF" w:rsidP="009110ED">
            <w:pPr>
              <w:rPr>
                <w:rFonts w:ascii="Arial" w:hAnsi="Arial" w:cs="Arial"/>
                <w:sz w:val="12"/>
                <w:szCs w:val="12"/>
              </w:rPr>
            </w:pPr>
            <w:r>
              <w:rPr>
                <w:rFonts w:ascii="Arial" w:hAnsi="Arial"/>
                <w:sz w:val="12"/>
                <w:szCs w:val="12"/>
              </w:rPr>
              <w:t>Burbáguena</w:t>
            </w:r>
          </w:p>
        </w:tc>
        <w:tc>
          <w:tcPr>
            <w:tcW w:w="2268" w:type="dxa"/>
            <w:tcBorders>
              <w:right w:val="single" w:sz="4" w:space="0" w:color="auto"/>
            </w:tcBorders>
            <w:shd w:val="clear" w:color="auto" w:fill="D9D9D9"/>
            <w:hideMark/>
          </w:tcPr>
          <w:p w14:paraId="489A40E3" w14:textId="77777777" w:rsidR="002A4DDF" w:rsidRPr="00937C8B" w:rsidRDefault="002A4DDF" w:rsidP="009110ED">
            <w:pPr>
              <w:rPr>
                <w:rFonts w:ascii="Arial" w:hAnsi="Arial" w:cs="Arial"/>
                <w:sz w:val="12"/>
                <w:szCs w:val="12"/>
              </w:rPr>
            </w:pPr>
          </w:p>
        </w:tc>
      </w:tr>
      <w:tr w:rsidR="002A4DDF" w:rsidRPr="00937C8B" w14:paraId="19E5F9D6" w14:textId="77777777" w:rsidTr="00935676">
        <w:trPr>
          <w:cantSplit/>
        </w:trPr>
        <w:tc>
          <w:tcPr>
            <w:tcW w:w="1696" w:type="dxa"/>
            <w:tcBorders>
              <w:left w:val="single" w:sz="4" w:space="0" w:color="auto"/>
            </w:tcBorders>
            <w:shd w:val="clear" w:color="auto" w:fill="auto"/>
          </w:tcPr>
          <w:p w14:paraId="121EEBA2" w14:textId="77777777" w:rsidR="002A4DDF" w:rsidRPr="00937C8B" w:rsidRDefault="002A4DDF" w:rsidP="009110ED">
            <w:pPr>
              <w:rPr>
                <w:rFonts w:ascii="Arial" w:hAnsi="Arial" w:cs="Arial"/>
                <w:sz w:val="12"/>
                <w:szCs w:val="12"/>
              </w:rPr>
            </w:pPr>
          </w:p>
        </w:tc>
        <w:tc>
          <w:tcPr>
            <w:tcW w:w="1843" w:type="dxa"/>
            <w:shd w:val="clear" w:color="auto" w:fill="auto"/>
          </w:tcPr>
          <w:p w14:paraId="4742592D" w14:textId="77777777" w:rsidR="002A4DDF" w:rsidRPr="00937C8B" w:rsidRDefault="002A4DDF" w:rsidP="009110ED">
            <w:pPr>
              <w:rPr>
                <w:rFonts w:ascii="Arial" w:hAnsi="Arial" w:cs="Arial"/>
                <w:sz w:val="12"/>
                <w:szCs w:val="12"/>
              </w:rPr>
            </w:pPr>
          </w:p>
        </w:tc>
        <w:tc>
          <w:tcPr>
            <w:tcW w:w="2268" w:type="dxa"/>
            <w:shd w:val="clear" w:color="auto" w:fill="F2F2F2"/>
            <w:hideMark/>
          </w:tcPr>
          <w:p w14:paraId="5763FD72" w14:textId="77777777" w:rsidR="002A4DDF" w:rsidRPr="00937C8B" w:rsidRDefault="002A4DDF" w:rsidP="009110ED">
            <w:pPr>
              <w:rPr>
                <w:rFonts w:ascii="Arial" w:hAnsi="Arial" w:cs="Arial"/>
                <w:sz w:val="12"/>
                <w:szCs w:val="12"/>
              </w:rPr>
            </w:pPr>
            <w:r>
              <w:rPr>
                <w:rFonts w:ascii="Arial" w:hAnsi="Arial"/>
                <w:sz w:val="12"/>
                <w:szCs w:val="12"/>
              </w:rPr>
              <w:t>Cabra de Mora</w:t>
            </w:r>
          </w:p>
        </w:tc>
        <w:tc>
          <w:tcPr>
            <w:tcW w:w="2268" w:type="dxa"/>
            <w:tcBorders>
              <w:right w:val="single" w:sz="4" w:space="0" w:color="auto"/>
            </w:tcBorders>
            <w:shd w:val="clear" w:color="auto" w:fill="D9D9D9"/>
            <w:hideMark/>
          </w:tcPr>
          <w:p w14:paraId="31FEE00C" w14:textId="77777777" w:rsidR="002A4DDF" w:rsidRPr="00937C8B" w:rsidRDefault="002A4DDF" w:rsidP="009110ED">
            <w:pPr>
              <w:rPr>
                <w:rFonts w:ascii="Arial" w:hAnsi="Arial" w:cs="Arial"/>
                <w:sz w:val="12"/>
                <w:szCs w:val="12"/>
              </w:rPr>
            </w:pPr>
          </w:p>
        </w:tc>
      </w:tr>
      <w:tr w:rsidR="002A4DDF" w:rsidRPr="00937C8B" w14:paraId="439E06CF" w14:textId="77777777" w:rsidTr="00935676">
        <w:trPr>
          <w:cantSplit/>
        </w:trPr>
        <w:tc>
          <w:tcPr>
            <w:tcW w:w="1696" w:type="dxa"/>
            <w:tcBorders>
              <w:left w:val="single" w:sz="4" w:space="0" w:color="auto"/>
            </w:tcBorders>
            <w:shd w:val="clear" w:color="auto" w:fill="auto"/>
          </w:tcPr>
          <w:p w14:paraId="26AE598A" w14:textId="77777777" w:rsidR="002A4DDF" w:rsidRPr="00937C8B" w:rsidRDefault="002A4DDF" w:rsidP="009110ED">
            <w:pPr>
              <w:rPr>
                <w:rFonts w:ascii="Arial" w:hAnsi="Arial" w:cs="Arial"/>
                <w:sz w:val="12"/>
                <w:szCs w:val="12"/>
              </w:rPr>
            </w:pPr>
          </w:p>
        </w:tc>
        <w:tc>
          <w:tcPr>
            <w:tcW w:w="1843" w:type="dxa"/>
            <w:shd w:val="clear" w:color="auto" w:fill="auto"/>
          </w:tcPr>
          <w:p w14:paraId="09ADD1F6" w14:textId="77777777" w:rsidR="002A4DDF" w:rsidRPr="00937C8B" w:rsidRDefault="002A4DDF" w:rsidP="009110ED">
            <w:pPr>
              <w:rPr>
                <w:rFonts w:ascii="Arial" w:hAnsi="Arial" w:cs="Arial"/>
                <w:sz w:val="12"/>
                <w:szCs w:val="12"/>
              </w:rPr>
            </w:pPr>
          </w:p>
        </w:tc>
        <w:tc>
          <w:tcPr>
            <w:tcW w:w="2268" w:type="dxa"/>
            <w:shd w:val="clear" w:color="auto" w:fill="F2F2F2"/>
            <w:hideMark/>
          </w:tcPr>
          <w:p w14:paraId="6C5C8123" w14:textId="77777777" w:rsidR="002A4DDF" w:rsidRPr="00937C8B" w:rsidRDefault="002A4DDF" w:rsidP="009110ED">
            <w:pPr>
              <w:rPr>
                <w:rFonts w:ascii="Arial" w:hAnsi="Arial" w:cs="Arial"/>
                <w:sz w:val="12"/>
                <w:szCs w:val="12"/>
              </w:rPr>
            </w:pPr>
            <w:r>
              <w:rPr>
                <w:rFonts w:ascii="Arial" w:hAnsi="Arial"/>
                <w:sz w:val="12"/>
                <w:szCs w:val="12"/>
              </w:rPr>
              <w:t>Calamocha</w:t>
            </w:r>
          </w:p>
        </w:tc>
        <w:tc>
          <w:tcPr>
            <w:tcW w:w="2268" w:type="dxa"/>
            <w:tcBorders>
              <w:right w:val="single" w:sz="4" w:space="0" w:color="auto"/>
            </w:tcBorders>
            <w:shd w:val="clear" w:color="auto" w:fill="D9D9D9"/>
            <w:hideMark/>
          </w:tcPr>
          <w:p w14:paraId="33D31374" w14:textId="77777777" w:rsidR="002A4DDF" w:rsidRPr="00937C8B" w:rsidRDefault="002A4DDF" w:rsidP="009110ED">
            <w:pPr>
              <w:rPr>
                <w:rFonts w:ascii="Arial" w:hAnsi="Arial" w:cs="Arial"/>
                <w:sz w:val="12"/>
                <w:szCs w:val="12"/>
              </w:rPr>
            </w:pPr>
          </w:p>
        </w:tc>
      </w:tr>
      <w:tr w:rsidR="002A4DDF" w:rsidRPr="00937C8B" w14:paraId="43DA66A1" w14:textId="77777777" w:rsidTr="00935676">
        <w:trPr>
          <w:cantSplit/>
        </w:trPr>
        <w:tc>
          <w:tcPr>
            <w:tcW w:w="1696" w:type="dxa"/>
            <w:tcBorders>
              <w:left w:val="single" w:sz="4" w:space="0" w:color="auto"/>
            </w:tcBorders>
            <w:shd w:val="clear" w:color="auto" w:fill="auto"/>
          </w:tcPr>
          <w:p w14:paraId="2077F97C" w14:textId="77777777" w:rsidR="002A4DDF" w:rsidRPr="00937C8B" w:rsidRDefault="002A4DDF" w:rsidP="009110ED">
            <w:pPr>
              <w:rPr>
                <w:rFonts w:ascii="Arial" w:hAnsi="Arial" w:cs="Arial"/>
                <w:sz w:val="12"/>
                <w:szCs w:val="12"/>
              </w:rPr>
            </w:pPr>
          </w:p>
        </w:tc>
        <w:tc>
          <w:tcPr>
            <w:tcW w:w="1843" w:type="dxa"/>
            <w:shd w:val="clear" w:color="auto" w:fill="auto"/>
          </w:tcPr>
          <w:p w14:paraId="35AACC0F" w14:textId="77777777" w:rsidR="002A4DDF" w:rsidRPr="00937C8B" w:rsidRDefault="002A4DDF" w:rsidP="009110ED">
            <w:pPr>
              <w:rPr>
                <w:rFonts w:ascii="Arial" w:hAnsi="Arial" w:cs="Arial"/>
                <w:sz w:val="12"/>
                <w:szCs w:val="12"/>
              </w:rPr>
            </w:pPr>
          </w:p>
        </w:tc>
        <w:tc>
          <w:tcPr>
            <w:tcW w:w="2268" w:type="dxa"/>
            <w:shd w:val="clear" w:color="auto" w:fill="F2F2F2"/>
            <w:hideMark/>
          </w:tcPr>
          <w:p w14:paraId="74633642" w14:textId="77777777" w:rsidR="002A4DDF" w:rsidRPr="00937C8B" w:rsidRDefault="002A4DDF" w:rsidP="009110ED">
            <w:pPr>
              <w:rPr>
                <w:rFonts w:ascii="Arial" w:hAnsi="Arial" w:cs="Arial"/>
                <w:sz w:val="12"/>
                <w:szCs w:val="12"/>
              </w:rPr>
            </w:pPr>
            <w:r>
              <w:rPr>
                <w:rFonts w:ascii="Arial" w:hAnsi="Arial"/>
                <w:sz w:val="12"/>
                <w:szCs w:val="12"/>
              </w:rPr>
              <w:t>Calanda</w:t>
            </w:r>
          </w:p>
        </w:tc>
        <w:tc>
          <w:tcPr>
            <w:tcW w:w="2268" w:type="dxa"/>
            <w:tcBorders>
              <w:right w:val="single" w:sz="4" w:space="0" w:color="auto"/>
            </w:tcBorders>
            <w:shd w:val="clear" w:color="auto" w:fill="D9D9D9"/>
            <w:hideMark/>
          </w:tcPr>
          <w:p w14:paraId="1D2587E0" w14:textId="77777777" w:rsidR="002A4DDF" w:rsidRPr="00937C8B" w:rsidRDefault="002A4DDF" w:rsidP="009110ED">
            <w:pPr>
              <w:rPr>
                <w:rFonts w:ascii="Arial" w:hAnsi="Arial" w:cs="Arial"/>
                <w:sz w:val="12"/>
                <w:szCs w:val="12"/>
              </w:rPr>
            </w:pPr>
          </w:p>
        </w:tc>
      </w:tr>
      <w:tr w:rsidR="002A4DDF" w:rsidRPr="00937C8B" w14:paraId="1AB76D63" w14:textId="77777777" w:rsidTr="00935676">
        <w:trPr>
          <w:cantSplit/>
        </w:trPr>
        <w:tc>
          <w:tcPr>
            <w:tcW w:w="1696" w:type="dxa"/>
            <w:tcBorders>
              <w:left w:val="single" w:sz="4" w:space="0" w:color="auto"/>
            </w:tcBorders>
            <w:shd w:val="clear" w:color="auto" w:fill="auto"/>
          </w:tcPr>
          <w:p w14:paraId="2CA0088E" w14:textId="77777777" w:rsidR="002A4DDF" w:rsidRPr="00937C8B" w:rsidRDefault="002A4DDF" w:rsidP="009110ED">
            <w:pPr>
              <w:rPr>
                <w:rFonts w:ascii="Arial" w:hAnsi="Arial" w:cs="Arial"/>
                <w:sz w:val="12"/>
                <w:szCs w:val="12"/>
              </w:rPr>
            </w:pPr>
          </w:p>
        </w:tc>
        <w:tc>
          <w:tcPr>
            <w:tcW w:w="1843" w:type="dxa"/>
            <w:shd w:val="clear" w:color="auto" w:fill="auto"/>
          </w:tcPr>
          <w:p w14:paraId="1274EFCD" w14:textId="77777777" w:rsidR="002A4DDF" w:rsidRPr="00937C8B" w:rsidRDefault="002A4DDF" w:rsidP="009110ED">
            <w:pPr>
              <w:rPr>
                <w:rFonts w:ascii="Arial" w:hAnsi="Arial" w:cs="Arial"/>
                <w:sz w:val="12"/>
                <w:szCs w:val="12"/>
              </w:rPr>
            </w:pPr>
          </w:p>
        </w:tc>
        <w:tc>
          <w:tcPr>
            <w:tcW w:w="2268" w:type="dxa"/>
            <w:shd w:val="clear" w:color="auto" w:fill="F2F2F2"/>
            <w:hideMark/>
          </w:tcPr>
          <w:p w14:paraId="2B205880" w14:textId="77777777" w:rsidR="002A4DDF" w:rsidRPr="00937C8B" w:rsidRDefault="002A4DDF" w:rsidP="009110ED">
            <w:pPr>
              <w:rPr>
                <w:rFonts w:ascii="Arial" w:hAnsi="Arial" w:cs="Arial"/>
                <w:sz w:val="12"/>
                <w:szCs w:val="12"/>
              </w:rPr>
            </w:pPr>
            <w:r>
              <w:rPr>
                <w:rFonts w:ascii="Arial" w:hAnsi="Arial"/>
                <w:sz w:val="12"/>
                <w:szCs w:val="12"/>
              </w:rPr>
              <w:t>Calomarde</w:t>
            </w:r>
          </w:p>
        </w:tc>
        <w:tc>
          <w:tcPr>
            <w:tcW w:w="2268" w:type="dxa"/>
            <w:tcBorders>
              <w:right w:val="single" w:sz="4" w:space="0" w:color="auto"/>
            </w:tcBorders>
            <w:shd w:val="clear" w:color="auto" w:fill="D9D9D9"/>
            <w:hideMark/>
          </w:tcPr>
          <w:p w14:paraId="12EFF5DA" w14:textId="77777777" w:rsidR="002A4DDF" w:rsidRPr="00937C8B" w:rsidRDefault="002A4DDF" w:rsidP="009110ED">
            <w:pPr>
              <w:rPr>
                <w:rFonts w:ascii="Arial" w:hAnsi="Arial" w:cs="Arial"/>
                <w:sz w:val="12"/>
                <w:szCs w:val="12"/>
              </w:rPr>
            </w:pPr>
          </w:p>
        </w:tc>
      </w:tr>
      <w:tr w:rsidR="002A4DDF" w:rsidRPr="00937C8B" w14:paraId="3763AB1E" w14:textId="77777777" w:rsidTr="00935676">
        <w:trPr>
          <w:cantSplit/>
        </w:trPr>
        <w:tc>
          <w:tcPr>
            <w:tcW w:w="1696" w:type="dxa"/>
            <w:tcBorders>
              <w:left w:val="single" w:sz="4" w:space="0" w:color="auto"/>
            </w:tcBorders>
            <w:shd w:val="clear" w:color="auto" w:fill="auto"/>
          </w:tcPr>
          <w:p w14:paraId="09EC237E" w14:textId="77777777" w:rsidR="002A4DDF" w:rsidRPr="00937C8B" w:rsidRDefault="002A4DDF" w:rsidP="009110ED">
            <w:pPr>
              <w:rPr>
                <w:rFonts w:ascii="Arial" w:hAnsi="Arial" w:cs="Arial"/>
                <w:sz w:val="12"/>
                <w:szCs w:val="12"/>
              </w:rPr>
            </w:pPr>
          </w:p>
        </w:tc>
        <w:tc>
          <w:tcPr>
            <w:tcW w:w="1843" w:type="dxa"/>
            <w:shd w:val="clear" w:color="auto" w:fill="auto"/>
          </w:tcPr>
          <w:p w14:paraId="431A58EA" w14:textId="77777777" w:rsidR="002A4DDF" w:rsidRPr="00937C8B" w:rsidRDefault="002A4DDF" w:rsidP="009110ED">
            <w:pPr>
              <w:rPr>
                <w:rFonts w:ascii="Arial" w:hAnsi="Arial" w:cs="Arial"/>
                <w:sz w:val="12"/>
                <w:szCs w:val="12"/>
              </w:rPr>
            </w:pPr>
          </w:p>
        </w:tc>
        <w:tc>
          <w:tcPr>
            <w:tcW w:w="2268" w:type="dxa"/>
            <w:shd w:val="clear" w:color="auto" w:fill="F2F2F2"/>
            <w:hideMark/>
          </w:tcPr>
          <w:p w14:paraId="64D1CF10" w14:textId="77777777" w:rsidR="002A4DDF" w:rsidRPr="00937C8B" w:rsidRDefault="002A4DDF" w:rsidP="009110ED">
            <w:pPr>
              <w:rPr>
                <w:rFonts w:ascii="Arial" w:hAnsi="Arial" w:cs="Arial"/>
                <w:sz w:val="12"/>
                <w:szCs w:val="12"/>
              </w:rPr>
            </w:pPr>
            <w:r>
              <w:rPr>
                <w:rFonts w:ascii="Arial" w:hAnsi="Arial"/>
                <w:sz w:val="12"/>
                <w:szCs w:val="12"/>
              </w:rPr>
              <w:t>Camañas</w:t>
            </w:r>
          </w:p>
        </w:tc>
        <w:tc>
          <w:tcPr>
            <w:tcW w:w="2268" w:type="dxa"/>
            <w:tcBorders>
              <w:right w:val="single" w:sz="4" w:space="0" w:color="auto"/>
            </w:tcBorders>
            <w:shd w:val="clear" w:color="auto" w:fill="D9D9D9"/>
            <w:hideMark/>
          </w:tcPr>
          <w:p w14:paraId="600192A5" w14:textId="77777777" w:rsidR="002A4DDF" w:rsidRPr="00937C8B" w:rsidRDefault="002A4DDF" w:rsidP="009110ED">
            <w:pPr>
              <w:rPr>
                <w:rFonts w:ascii="Arial" w:hAnsi="Arial" w:cs="Arial"/>
                <w:sz w:val="12"/>
                <w:szCs w:val="12"/>
              </w:rPr>
            </w:pPr>
          </w:p>
        </w:tc>
      </w:tr>
      <w:tr w:rsidR="002A4DDF" w:rsidRPr="00937C8B" w14:paraId="297E6C95" w14:textId="77777777" w:rsidTr="00935676">
        <w:trPr>
          <w:cantSplit/>
        </w:trPr>
        <w:tc>
          <w:tcPr>
            <w:tcW w:w="1696" w:type="dxa"/>
            <w:tcBorders>
              <w:left w:val="single" w:sz="4" w:space="0" w:color="auto"/>
            </w:tcBorders>
            <w:shd w:val="clear" w:color="auto" w:fill="auto"/>
          </w:tcPr>
          <w:p w14:paraId="05A87C50" w14:textId="77777777" w:rsidR="002A4DDF" w:rsidRPr="00937C8B" w:rsidRDefault="002A4DDF" w:rsidP="009110ED">
            <w:pPr>
              <w:rPr>
                <w:rFonts w:ascii="Arial" w:hAnsi="Arial" w:cs="Arial"/>
                <w:sz w:val="12"/>
                <w:szCs w:val="12"/>
              </w:rPr>
            </w:pPr>
          </w:p>
        </w:tc>
        <w:tc>
          <w:tcPr>
            <w:tcW w:w="1843" w:type="dxa"/>
            <w:shd w:val="clear" w:color="auto" w:fill="auto"/>
          </w:tcPr>
          <w:p w14:paraId="2BB5B772" w14:textId="77777777" w:rsidR="002A4DDF" w:rsidRPr="00937C8B" w:rsidRDefault="002A4DDF" w:rsidP="009110ED">
            <w:pPr>
              <w:rPr>
                <w:rFonts w:ascii="Arial" w:hAnsi="Arial" w:cs="Arial"/>
                <w:sz w:val="12"/>
                <w:szCs w:val="12"/>
              </w:rPr>
            </w:pPr>
          </w:p>
        </w:tc>
        <w:tc>
          <w:tcPr>
            <w:tcW w:w="2268" w:type="dxa"/>
            <w:shd w:val="clear" w:color="auto" w:fill="F2F2F2"/>
            <w:hideMark/>
          </w:tcPr>
          <w:p w14:paraId="754B5499" w14:textId="77777777" w:rsidR="002A4DDF" w:rsidRPr="00937C8B" w:rsidRDefault="002A4DDF" w:rsidP="009110ED">
            <w:pPr>
              <w:rPr>
                <w:rFonts w:ascii="Arial" w:hAnsi="Arial" w:cs="Arial"/>
                <w:sz w:val="12"/>
                <w:szCs w:val="12"/>
              </w:rPr>
            </w:pPr>
            <w:r>
              <w:rPr>
                <w:rFonts w:ascii="Arial" w:hAnsi="Arial"/>
                <w:sz w:val="12"/>
                <w:szCs w:val="12"/>
              </w:rPr>
              <w:t>Caminreal</w:t>
            </w:r>
          </w:p>
        </w:tc>
        <w:tc>
          <w:tcPr>
            <w:tcW w:w="2268" w:type="dxa"/>
            <w:tcBorders>
              <w:right w:val="single" w:sz="4" w:space="0" w:color="auto"/>
            </w:tcBorders>
            <w:shd w:val="clear" w:color="auto" w:fill="D9D9D9"/>
            <w:hideMark/>
          </w:tcPr>
          <w:p w14:paraId="65F956A9" w14:textId="77777777" w:rsidR="002A4DDF" w:rsidRPr="00937C8B" w:rsidRDefault="002A4DDF" w:rsidP="009110ED">
            <w:pPr>
              <w:rPr>
                <w:rFonts w:ascii="Arial" w:hAnsi="Arial" w:cs="Arial"/>
                <w:sz w:val="12"/>
                <w:szCs w:val="12"/>
              </w:rPr>
            </w:pPr>
          </w:p>
        </w:tc>
      </w:tr>
      <w:tr w:rsidR="002A4DDF" w:rsidRPr="00937C8B" w14:paraId="426469C2" w14:textId="77777777" w:rsidTr="00935676">
        <w:trPr>
          <w:cantSplit/>
        </w:trPr>
        <w:tc>
          <w:tcPr>
            <w:tcW w:w="1696" w:type="dxa"/>
            <w:tcBorders>
              <w:left w:val="single" w:sz="4" w:space="0" w:color="auto"/>
            </w:tcBorders>
            <w:shd w:val="clear" w:color="auto" w:fill="auto"/>
          </w:tcPr>
          <w:p w14:paraId="72186C23" w14:textId="77777777" w:rsidR="002A4DDF" w:rsidRPr="00937C8B" w:rsidRDefault="002A4DDF" w:rsidP="009110ED">
            <w:pPr>
              <w:rPr>
                <w:rFonts w:ascii="Arial" w:hAnsi="Arial" w:cs="Arial"/>
                <w:sz w:val="12"/>
                <w:szCs w:val="12"/>
              </w:rPr>
            </w:pPr>
          </w:p>
        </w:tc>
        <w:tc>
          <w:tcPr>
            <w:tcW w:w="1843" w:type="dxa"/>
            <w:shd w:val="clear" w:color="auto" w:fill="auto"/>
          </w:tcPr>
          <w:p w14:paraId="2DF97D04" w14:textId="77777777" w:rsidR="002A4DDF" w:rsidRPr="00937C8B" w:rsidRDefault="002A4DDF" w:rsidP="009110ED">
            <w:pPr>
              <w:rPr>
                <w:rFonts w:ascii="Arial" w:hAnsi="Arial" w:cs="Arial"/>
                <w:sz w:val="12"/>
                <w:szCs w:val="12"/>
              </w:rPr>
            </w:pPr>
          </w:p>
        </w:tc>
        <w:tc>
          <w:tcPr>
            <w:tcW w:w="2268" w:type="dxa"/>
            <w:shd w:val="clear" w:color="auto" w:fill="F2F2F2"/>
            <w:hideMark/>
          </w:tcPr>
          <w:p w14:paraId="573DD77F" w14:textId="77777777" w:rsidR="002A4DDF" w:rsidRPr="00937C8B" w:rsidRDefault="002A4DDF" w:rsidP="009110ED">
            <w:pPr>
              <w:rPr>
                <w:rFonts w:ascii="Arial" w:hAnsi="Arial" w:cs="Arial"/>
                <w:sz w:val="12"/>
                <w:szCs w:val="12"/>
              </w:rPr>
            </w:pPr>
            <w:r>
              <w:rPr>
                <w:rFonts w:ascii="Arial" w:hAnsi="Arial"/>
                <w:sz w:val="12"/>
                <w:szCs w:val="12"/>
              </w:rPr>
              <w:t>Castejón de Tornos</w:t>
            </w:r>
          </w:p>
        </w:tc>
        <w:tc>
          <w:tcPr>
            <w:tcW w:w="2268" w:type="dxa"/>
            <w:tcBorders>
              <w:right w:val="single" w:sz="4" w:space="0" w:color="auto"/>
            </w:tcBorders>
            <w:shd w:val="clear" w:color="auto" w:fill="D9D9D9"/>
            <w:hideMark/>
          </w:tcPr>
          <w:p w14:paraId="7A810331" w14:textId="77777777" w:rsidR="002A4DDF" w:rsidRPr="00937C8B" w:rsidRDefault="002A4DDF" w:rsidP="009110ED">
            <w:pPr>
              <w:rPr>
                <w:rFonts w:ascii="Arial" w:hAnsi="Arial" w:cs="Arial"/>
                <w:sz w:val="12"/>
                <w:szCs w:val="12"/>
              </w:rPr>
            </w:pPr>
          </w:p>
        </w:tc>
      </w:tr>
      <w:tr w:rsidR="002A4DDF" w:rsidRPr="00937C8B" w14:paraId="043400DA" w14:textId="77777777" w:rsidTr="00935676">
        <w:trPr>
          <w:cantSplit/>
        </w:trPr>
        <w:tc>
          <w:tcPr>
            <w:tcW w:w="1696" w:type="dxa"/>
            <w:tcBorders>
              <w:left w:val="single" w:sz="4" w:space="0" w:color="auto"/>
            </w:tcBorders>
            <w:shd w:val="clear" w:color="auto" w:fill="auto"/>
          </w:tcPr>
          <w:p w14:paraId="213A142A" w14:textId="77777777" w:rsidR="002A4DDF" w:rsidRPr="00937C8B" w:rsidRDefault="002A4DDF" w:rsidP="009110ED">
            <w:pPr>
              <w:rPr>
                <w:rFonts w:ascii="Arial" w:hAnsi="Arial" w:cs="Arial"/>
                <w:sz w:val="12"/>
                <w:szCs w:val="12"/>
              </w:rPr>
            </w:pPr>
          </w:p>
        </w:tc>
        <w:tc>
          <w:tcPr>
            <w:tcW w:w="1843" w:type="dxa"/>
            <w:shd w:val="clear" w:color="auto" w:fill="auto"/>
          </w:tcPr>
          <w:p w14:paraId="4C245D2F" w14:textId="77777777" w:rsidR="002A4DDF" w:rsidRPr="00937C8B" w:rsidRDefault="002A4DDF" w:rsidP="009110ED">
            <w:pPr>
              <w:rPr>
                <w:rFonts w:ascii="Arial" w:hAnsi="Arial" w:cs="Arial"/>
                <w:sz w:val="12"/>
                <w:szCs w:val="12"/>
              </w:rPr>
            </w:pPr>
          </w:p>
        </w:tc>
        <w:tc>
          <w:tcPr>
            <w:tcW w:w="2268" w:type="dxa"/>
            <w:shd w:val="clear" w:color="auto" w:fill="F2F2F2"/>
            <w:hideMark/>
          </w:tcPr>
          <w:p w14:paraId="2A17AA51" w14:textId="77777777" w:rsidR="002A4DDF" w:rsidRPr="00937C8B" w:rsidRDefault="002A4DDF" w:rsidP="009110ED">
            <w:pPr>
              <w:rPr>
                <w:rFonts w:ascii="Arial" w:hAnsi="Arial" w:cs="Arial"/>
                <w:sz w:val="12"/>
                <w:szCs w:val="12"/>
              </w:rPr>
            </w:pPr>
            <w:r>
              <w:rPr>
                <w:rFonts w:ascii="Arial" w:hAnsi="Arial"/>
                <w:sz w:val="12"/>
                <w:szCs w:val="12"/>
              </w:rPr>
              <w:t>Castel de Cabra</w:t>
            </w:r>
          </w:p>
        </w:tc>
        <w:tc>
          <w:tcPr>
            <w:tcW w:w="2268" w:type="dxa"/>
            <w:tcBorders>
              <w:right w:val="single" w:sz="4" w:space="0" w:color="auto"/>
            </w:tcBorders>
            <w:shd w:val="clear" w:color="auto" w:fill="D9D9D9"/>
            <w:hideMark/>
          </w:tcPr>
          <w:p w14:paraId="68EDC1E3" w14:textId="77777777" w:rsidR="002A4DDF" w:rsidRPr="00937C8B" w:rsidRDefault="002A4DDF" w:rsidP="009110ED">
            <w:pPr>
              <w:rPr>
                <w:rFonts w:ascii="Arial" w:hAnsi="Arial" w:cs="Arial"/>
                <w:sz w:val="12"/>
                <w:szCs w:val="12"/>
              </w:rPr>
            </w:pPr>
          </w:p>
        </w:tc>
      </w:tr>
      <w:tr w:rsidR="002A4DDF" w:rsidRPr="00937C8B" w14:paraId="789C3B4A" w14:textId="77777777" w:rsidTr="00935676">
        <w:trPr>
          <w:cantSplit/>
        </w:trPr>
        <w:tc>
          <w:tcPr>
            <w:tcW w:w="1696" w:type="dxa"/>
            <w:tcBorders>
              <w:left w:val="single" w:sz="4" w:space="0" w:color="auto"/>
            </w:tcBorders>
            <w:shd w:val="clear" w:color="auto" w:fill="auto"/>
          </w:tcPr>
          <w:p w14:paraId="5A116770" w14:textId="77777777" w:rsidR="002A4DDF" w:rsidRPr="00937C8B" w:rsidRDefault="002A4DDF" w:rsidP="009110ED">
            <w:pPr>
              <w:rPr>
                <w:rFonts w:ascii="Arial" w:hAnsi="Arial" w:cs="Arial"/>
                <w:sz w:val="12"/>
                <w:szCs w:val="12"/>
              </w:rPr>
            </w:pPr>
          </w:p>
        </w:tc>
        <w:tc>
          <w:tcPr>
            <w:tcW w:w="1843" w:type="dxa"/>
            <w:shd w:val="clear" w:color="auto" w:fill="auto"/>
          </w:tcPr>
          <w:p w14:paraId="68BA0F06" w14:textId="77777777" w:rsidR="002A4DDF" w:rsidRPr="00937C8B" w:rsidRDefault="002A4DDF" w:rsidP="009110ED">
            <w:pPr>
              <w:rPr>
                <w:rFonts w:ascii="Arial" w:hAnsi="Arial" w:cs="Arial"/>
                <w:sz w:val="12"/>
                <w:szCs w:val="12"/>
              </w:rPr>
            </w:pPr>
          </w:p>
        </w:tc>
        <w:tc>
          <w:tcPr>
            <w:tcW w:w="2268" w:type="dxa"/>
            <w:shd w:val="clear" w:color="auto" w:fill="F2F2F2"/>
            <w:hideMark/>
          </w:tcPr>
          <w:p w14:paraId="44DF4321" w14:textId="77777777" w:rsidR="002A4DDF" w:rsidRPr="00937C8B" w:rsidRDefault="002A4DDF" w:rsidP="009110ED">
            <w:pPr>
              <w:rPr>
                <w:rFonts w:ascii="Arial" w:hAnsi="Arial" w:cs="Arial"/>
                <w:sz w:val="12"/>
                <w:szCs w:val="12"/>
              </w:rPr>
            </w:pPr>
            <w:r>
              <w:rPr>
                <w:rFonts w:ascii="Arial" w:hAnsi="Arial"/>
                <w:sz w:val="12"/>
                <w:szCs w:val="12"/>
              </w:rPr>
              <w:t>Cedrillas</w:t>
            </w:r>
          </w:p>
        </w:tc>
        <w:tc>
          <w:tcPr>
            <w:tcW w:w="2268" w:type="dxa"/>
            <w:tcBorders>
              <w:right w:val="single" w:sz="4" w:space="0" w:color="auto"/>
            </w:tcBorders>
            <w:shd w:val="clear" w:color="auto" w:fill="D9D9D9"/>
            <w:hideMark/>
          </w:tcPr>
          <w:p w14:paraId="441F1CAF" w14:textId="77777777" w:rsidR="002A4DDF" w:rsidRPr="00937C8B" w:rsidRDefault="002A4DDF" w:rsidP="009110ED">
            <w:pPr>
              <w:rPr>
                <w:rFonts w:ascii="Arial" w:hAnsi="Arial" w:cs="Arial"/>
                <w:sz w:val="12"/>
                <w:szCs w:val="12"/>
              </w:rPr>
            </w:pPr>
          </w:p>
        </w:tc>
      </w:tr>
      <w:tr w:rsidR="002A4DDF" w:rsidRPr="00937C8B" w14:paraId="3DF4727D" w14:textId="77777777" w:rsidTr="00935676">
        <w:trPr>
          <w:cantSplit/>
        </w:trPr>
        <w:tc>
          <w:tcPr>
            <w:tcW w:w="1696" w:type="dxa"/>
            <w:tcBorders>
              <w:left w:val="single" w:sz="4" w:space="0" w:color="auto"/>
            </w:tcBorders>
            <w:shd w:val="clear" w:color="auto" w:fill="auto"/>
          </w:tcPr>
          <w:p w14:paraId="1C9B7E4C" w14:textId="77777777" w:rsidR="002A4DDF" w:rsidRPr="00937C8B" w:rsidRDefault="002A4DDF" w:rsidP="009110ED">
            <w:pPr>
              <w:rPr>
                <w:rFonts w:ascii="Arial" w:hAnsi="Arial" w:cs="Arial"/>
                <w:sz w:val="12"/>
                <w:szCs w:val="12"/>
              </w:rPr>
            </w:pPr>
          </w:p>
        </w:tc>
        <w:tc>
          <w:tcPr>
            <w:tcW w:w="1843" w:type="dxa"/>
            <w:shd w:val="clear" w:color="auto" w:fill="auto"/>
          </w:tcPr>
          <w:p w14:paraId="1448D931" w14:textId="77777777" w:rsidR="002A4DDF" w:rsidRPr="00937C8B" w:rsidRDefault="002A4DDF" w:rsidP="009110ED">
            <w:pPr>
              <w:rPr>
                <w:rFonts w:ascii="Arial" w:hAnsi="Arial" w:cs="Arial"/>
                <w:sz w:val="12"/>
                <w:szCs w:val="12"/>
              </w:rPr>
            </w:pPr>
          </w:p>
        </w:tc>
        <w:tc>
          <w:tcPr>
            <w:tcW w:w="2268" w:type="dxa"/>
            <w:shd w:val="clear" w:color="auto" w:fill="F2F2F2"/>
            <w:hideMark/>
          </w:tcPr>
          <w:p w14:paraId="49C0ED64" w14:textId="77777777" w:rsidR="002A4DDF" w:rsidRPr="00937C8B" w:rsidRDefault="002A4DDF" w:rsidP="009110ED">
            <w:pPr>
              <w:rPr>
                <w:rFonts w:ascii="Arial" w:hAnsi="Arial" w:cs="Arial"/>
                <w:sz w:val="12"/>
                <w:szCs w:val="12"/>
              </w:rPr>
            </w:pPr>
            <w:r>
              <w:rPr>
                <w:rFonts w:ascii="Arial" w:hAnsi="Arial"/>
                <w:sz w:val="12"/>
                <w:szCs w:val="12"/>
              </w:rPr>
              <w:t>Celadas</w:t>
            </w:r>
          </w:p>
        </w:tc>
        <w:tc>
          <w:tcPr>
            <w:tcW w:w="2268" w:type="dxa"/>
            <w:tcBorders>
              <w:right w:val="single" w:sz="4" w:space="0" w:color="auto"/>
            </w:tcBorders>
            <w:shd w:val="clear" w:color="auto" w:fill="D9D9D9"/>
            <w:hideMark/>
          </w:tcPr>
          <w:p w14:paraId="095FDED6" w14:textId="77777777" w:rsidR="002A4DDF" w:rsidRPr="00937C8B" w:rsidRDefault="002A4DDF" w:rsidP="009110ED">
            <w:pPr>
              <w:rPr>
                <w:rFonts w:ascii="Arial" w:hAnsi="Arial" w:cs="Arial"/>
                <w:sz w:val="12"/>
                <w:szCs w:val="12"/>
              </w:rPr>
            </w:pPr>
          </w:p>
        </w:tc>
      </w:tr>
      <w:tr w:rsidR="002A4DDF" w:rsidRPr="00937C8B" w14:paraId="3E2FB1C6" w14:textId="77777777" w:rsidTr="00935676">
        <w:trPr>
          <w:cantSplit/>
        </w:trPr>
        <w:tc>
          <w:tcPr>
            <w:tcW w:w="1696" w:type="dxa"/>
            <w:tcBorders>
              <w:left w:val="single" w:sz="4" w:space="0" w:color="auto"/>
            </w:tcBorders>
            <w:shd w:val="clear" w:color="auto" w:fill="auto"/>
          </w:tcPr>
          <w:p w14:paraId="65D8E878" w14:textId="77777777" w:rsidR="002A4DDF" w:rsidRPr="00937C8B" w:rsidRDefault="002A4DDF" w:rsidP="009110ED">
            <w:pPr>
              <w:rPr>
                <w:rFonts w:ascii="Arial" w:hAnsi="Arial" w:cs="Arial"/>
                <w:sz w:val="12"/>
                <w:szCs w:val="12"/>
              </w:rPr>
            </w:pPr>
          </w:p>
        </w:tc>
        <w:tc>
          <w:tcPr>
            <w:tcW w:w="1843" w:type="dxa"/>
            <w:shd w:val="clear" w:color="auto" w:fill="auto"/>
          </w:tcPr>
          <w:p w14:paraId="4D5B333D" w14:textId="77777777" w:rsidR="002A4DDF" w:rsidRPr="00937C8B" w:rsidRDefault="002A4DDF" w:rsidP="009110ED">
            <w:pPr>
              <w:rPr>
                <w:rFonts w:ascii="Arial" w:hAnsi="Arial" w:cs="Arial"/>
                <w:sz w:val="12"/>
                <w:szCs w:val="12"/>
              </w:rPr>
            </w:pPr>
          </w:p>
        </w:tc>
        <w:tc>
          <w:tcPr>
            <w:tcW w:w="2268" w:type="dxa"/>
            <w:shd w:val="clear" w:color="auto" w:fill="F2F2F2"/>
            <w:hideMark/>
          </w:tcPr>
          <w:p w14:paraId="3EC9775D" w14:textId="77777777" w:rsidR="002A4DDF" w:rsidRPr="00937C8B" w:rsidRDefault="002A4DDF" w:rsidP="009110ED">
            <w:pPr>
              <w:rPr>
                <w:rFonts w:ascii="Arial" w:hAnsi="Arial" w:cs="Arial"/>
                <w:sz w:val="12"/>
                <w:szCs w:val="12"/>
              </w:rPr>
            </w:pPr>
            <w:r>
              <w:rPr>
                <w:rFonts w:ascii="Arial" w:hAnsi="Arial"/>
                <w:sz w:val="12"/>
                <w:szCs w:val="12"/>
              </w:rPr>
              <w:t>Cucalón</w:t>
            </w:r>
          </w:p>
        </w:tc>
        <w:tc>
          <w:tcPr>
            <w:tcW w:w="2268" w:type="dxa"/>
            <w:tcBorders>
              <w:right w:val="single" w:sz="4" w:space="0" w:color="auto"/>
            </w:tcBorders>
            <w:shd w:val="clear" w:color="auto" w:fill="D9D9D9"/>
            <w:hideMark/>
          </w:tcPr>
          <w:p w14:paraId="51F4FA35" w14:textId="77777777" w:rsidR="002A4DDF" w:rsidRPr="00937C8B" w:rsidRDefault="002A4DDF" w:rsidP="009110ED">
            <w:pPr>
              <w:rPr>
                <w:rFonts w:ascii="Arial" w:hAnsi="Arial" w:cs="Arial"/>
                <w:sz w:val="12"/>
                <w:szCs w:val="12"/>
              </w:rPr>
            </w:pPr>
          </w:p>
        </w:tc>
      </w:tr>
      <w:tr w:rsidR="002A4DDF" w:rsidRPr="00937C8B" w14:paraId="535E2666" w14:textId="77777777" w:rsidTr="00935676">
        <w:trPr>
          <w:cantSplit/>
        </w:trPr>
        <w:tc>
          <w:tcPr>
            <w:tcW w:w="1696" w:type="dxa"/>
            <w:tcBorders>
              <w:left w:val="single" w:sz="4" w:space="0" w:color="auto"/>
            </w:tcBorders>
            <w:shd w:val="clear" w:color="auto" w:fill="auto"/>
          </w:tcPr>
          <w:p w14:paraId="46C3CFB2" w14:textId="77777777" w:rsidR="002A4DDF" w:rsidRPr="00937C8B" w:rsidRDefault="002A4DDF" w:rsidP="009110ED">
            <w:pPr>
              <w:rPr>
                <w:rFonts w:ascii="Arial" w:hAnsi="Arial" w:cs="Arial"/>
                <w:sz w:val="12"/>
                <w:szCs w:val="12"/>
              </w:rPr>
            </w:pPr>
          </w:p>
        </w:tc>
        <w:tc>
          <w:tcPr>
            <w:tcW w:w="1843" w:type="dxa"/>
            <w:shd w:val="clear" w:color="auto" w:fill="auto"/>
          </w:tcPr>
          <w:p w14:paraId="6103C68A" w14:textId="77777777" w:rsidR="002A4DDF" w:rsidRPr="00937C8B" w:rsidRDefault="002A4DDF" w:rsidP="009110ED">
            <w:pPr>
              <w:rPr>
                <w:rFonts w:ascii="Arial" w:hAnsi="Arial" w:cs="Arial"/>
                <w:sz w:val="12"/>
                <w:szCs w:val="12"/>
              </w:rPr>
            </w:pPr>
          </w:p>
        </w:tc>
        <w:tc>
          <w:tcPr>
            <w:tcW w:w="2268" w:type="dxa"/>
            <w:shd w:val="clear" w:color="auto" w:fill="F2F2F2"/>
            <w:hideMark/>
          </w:tcPr>
          <w:p w14:paraId="68E48508" w14:textId="77777777" w:rsidR="002A4DDF" w:rsidRPr="00937C8B" w:rsidRDefault="002A4DDF" w:rsidP="009110ED">
            <w:pPr>
              <w:rPr>
                <w:rFonts w:ascii="Arial" w:hAnsi="Arial" w:cs="Arial"/>
                <w:sz w:val="12"/>
                <w:szCs w:val="12"/>
              </w:rPr>
            </w:pPr>
            <w:r>
              <w:rPr>
                <w:rFonts w:ascii="Arial" w:hAnsi="Arial"/>
                <w:sz w:val="12"/>
                <w:szCs w:val="12"/>
              </w:rPr>
              <w:t>Cuevas Labradas</w:t>
            </w:r>
          </w:p>
        </w:tc>
        <w:tc>
          <w:tcPr>
            <w:tcW w:w="2268" w:type="dxa"/>
            <w:tcBorders>
              <w:right w:val="single" w:sz="4" w:space="0" w:color="auto"/>
            </w:tcBorders>
            <w:shd w:val="clear" w:color="auto" w:fill="D9D9D9"/>
            <w:hideMark/>
          </w:tcPr>
          <w:p w14:paraId="21D06923" w14:textId="77777777" w:rsidR="002A4DDF" w:rsidRPr="00937C8B" w:rsidRDefault="002A4DDF" w:rsidP="009110ED">
            <w:pPr>
              <w:rPr>
                <w:rFonts w:ascii="Arial" w:hAnsi="Arial" w:cs="Arial"/>
                <w:sz w:val="12"/>
                <w:szCs w:val="12"/>
              </w:rPr>
            </w:pPr>
          </w:p>
        </w:tc>
      </w:tr>
      <w:tr w:rsidR="002A4DDF" w:rsidRPr="00937C8B" w14:paraId="41E7573F" w14:textId="77777777" w:rsidTr="00935676">
        <w:trPr>
          <w:cantSplit/>
        </w:trPr>
        <w:tc>
          <w:tcPr>
            <w:tcW w:w="1696" w:type="dxa"/>
            <w:tcBorders>
              <w:left w:val="single" w:sz="4" w:space="0" w:color="auto"/>
            </w:tcBorders>
            <w:shd w:val="clear" w:color="auto" w:fill="auto"/>
          </w:tcPr>
          <w:p w14:paraId="5DF40A38" w14:textId="77777777" w:rsidR="002A4DDF" w:rsidRPr="00937C8B" w:rsidRDefault="002A4DDF" w:rsidP="009110ED">
            <w:pPr>
              <w:rPr>
                <w:rFonts w:ascii="Arial" w:hAnsi="Arial" w:cs="Arial"/>
                <w:sz w:val="12"/>
                <w:szCs w:val="12"/>
              </w:rPr>
            </w:pPr>
          </w:p>
        </w:tc>
        <w:tc>
          <w:tcPr>
            <w:tcW w:w="1843" w:type="dxa"/>
            <w:shd w:val="clear" w:color="auto" w:fill="auto"/>
          </w:tcPr>
          <w:p w14:paraId="7638E726" w14:textId="77777777" w:rsidR="002A4DDF" w:rsidRPr="00937C8B" w:rsidRDefault="002A4DDF" w:rsidP="009110ED">
            <w:pPr>
              <w:rPr>
                <w:rFonts w:ascii="Arial" w:hAnsi="Arial" w:cs="Arial"/>
                <w:sz w:val="12"/>
                <w:szCs w:val="12"/>
              </w:rPr>
            </w:pPr>
          </w:p>
        </w:tc>
        <w:tc>
          <w:tcPr>
            <w:tcW w:w="2268" w:type="dxa"/>
            <w:shd w:val="clear" w:color="auto" w:fill="F2F2F2"/>
            <w:hideMark/>
          </w:tcPr>
          <w:p w14:paraId="000890B9" w14:textId="77777777" w:rsidR="002A4DDF" w:rsidRPr="00937C8B" w:rsidRDefault="002A4DDF" w:rsidP="009110ED">
            <w:pPr>
              <w:rPr>
                <w:rFonts w:ascii="Arial" w:hAnsi="Arial" w:cs="Arial"/>
                <w:sz w:val="12"/>
                <w:szCs w:val="12"/>
              </w:rPr>
            </w:pPr>
            <w:r>
              <w:rPr>
                <w:rFonts w:ascii="Arial" w:hAnsi="Arial"/>
                <w:sz w:val="12"/>
                <w:szCs w:val="12"/>
              </w:rPr>
              <w:t>El Castellar</w:t>
            </w:r>
          </w:p>
        </w:tc>
        <w:tc>
          <w:tcPr>
            <w:tcW w:w="2268" w:type="dxa"/>
            <w:tcBorders>
              <w:right w:val="single" w:sz="4" w:space="0" w:color="auto"/>
            </w:tcBorders>
            <w:shd w:val="clear" w:color="auto" w:fill="D9D9D9"/>
            <w:hideMark/>
          </w:tcPr>
          <w:p w14:paraId="63A4BCAE" w14:textId="77777777" w:rsidR="002A4DDF" w:rsidRPr="00937C8B" w:rsidRDefault="002A4DDF" w:rsidP="009110ED">
            <w:pPr>
              <w:rPr>
                <w:rFonts w:ascii="Arial" w:hAnsi="Arial" w:cs="Arial"/>
                <w:sz w:val="12"/>
                <w:szCs w:val="12"/>
              </w:rPr>
            </w:pPr>
          </w:p>
        </w:tc>
      </w:tr>
      <w:tr w:rsidR="002A4DDF" w:rsidRPr="00937C8B" w14:paraId="717BC27D" w14:textId="77777777" w:rsidTr="00935676">
        <w:trPr>
          <w:cantSplit/>
        </w:trPr>
        <w:tc>
          <w:tcPr>
            <w:tcW w:w="1696" w:type="dxa"/>
            <w:tcBorders>
              <w:left w:val="single" w:sz="4" w:space="0" w:color="auto"/>
            </w:tcBorders>
            <w:shd w:val="clear" w:color="auto" w:fill="auto"/>
          </w:tcPr>
          <w:p w14:paraId="630AF2E9" w14:textId="77777777" w:rsidR="002A4DDF" w:rsidRPr="00937C8B" w:rsidRDefault="002A4DDF" w:rsidP="009110ED">
            <w:pPr>
              <w:rPr>
                <w:rFonts w:ascii="Arial" w:hAnsi="Arial" w:cs="Arial"/>
                <w:sz w:val="12"/>
                <w:szCs w:val="12"/>
              </w:rPr>
            </w:pPr>
          </w:p>
        </w:tc>
        <w:tc>
          <w:tcPr>
            <w:tcW w:w="1843" w:type="dxa"/>
            <w:shd w:val="clear" w:color="auto" w:fill="auto"/>
          </w:tcPr>
          <w:p w14:paraId="3615CB7B" w14:textId="77777777" w:rsidR="002A4DDF" w:rsidRPr="00937C8B" w:rsidRDefault="002A4DDF" w:rsidP="009110ED">
            <w:pPr>
              <w:rPr>
                <w:rFonts w:ascii="Arial" w:hAnsi="Arial" w:cs="Arial"/>
                <w:sz w:val="12"/>
                <w:szCs w:val="12"/>
              </w:rPr>
            </w:pPr>
          </w:p>
        </w:tc>
        <w:tc>
          <w:tcPr>
            <w:tcW w:w="2268" w:type="dxa"/>
            <w:shd w:val="clear" w:color="auto" w:fill="F2F2F2"/>
            <w:hideMark/>
          </w:tcPr>
          <w:p w14:paraId="7D2C0AAB" w14:textId="77777777" w:rsidR="002A4DDF" w:rsidRPr="00937C8B" w:rsidRDefault="002A4DDF" w:rsidP="009110ED">
            <w:pPr>
              <w:rPr>
                <w:rFonts w:ascii="Arial" w:hAnsi="Arial" w:cs="Arial"/>
                <w:sz w:val="12"/>
                <w:szCs w:val="12"/>
              </w:rPr>
            </w:pPr>
            <w:r>
              <w:rPr>
                <w:rFonts w:ascii="Arial" w:hAnsi="Arial"/>
                <w:sz w:val="12"/>
                <w:szCs w:val="12"/>
              </w:rPr>
              <w:t>Escorihuela</w:t>
            </w:r>
          </w:p>
        </w:tc>
        <w:tc>
          <w:tcPr>
            <w:tcW w:w="2268" w:type="dxa"/>
            <w:tcBorders>
              <w:right w:val="single" w:sz="4" w:space="0" w:color="auto"/>
            </w:tcBorders>
            <w:shd w:val="clear" w:color="auto" w:fill="D9D9D9"/>
            <w:hideMark/>
          </w:tcPr>
          <w:p w14:paraId="1DA22BEC" w14:textId="77777777" w:rsidR="002A4DDF" w:rsidRPr="00937C8B" w:rsidRDefault="002A4DDF" w:rsidP="009110ED">
            <w:pPr>
              <w:rPr>
                <w:rFonts w:ascii="Arial" w:hAnsi="Arial" w:cs="Arial"/>
                <w:sz w:val="12"/>
                <w:szCs w:val="12"/>
              </w:rPr>
            </w:pPr>
          </w:p>
        </w:tc>
      </w:tr>
      <w:tr w:rsidR="002A4DDF" w:rsidRPr="00937C8B" w14:paraId="450A2493" w14:textId="77777777" w:rsidTr="00935676">
        <w:trPr>
          <w:cantSplit/>
        </w:trPr>
        <w:tc>
          <w:tcPr>
            <w:tcW w:w="1696" w:type="dxa"/>
            <w:tcBorders>
              <w:left w:val="single" w:sz="4" w:space="0" w:color="auto"/>
            </w:tcBorders>
            <w:shd w:val="clear" w:color="auto" w:fill="auto"/>
          </w:tcPr>
          <w:p w14:paraId="33E139BC" w14:textId="77777777" w:rsidR="002A4DDF" w:rsidRPr="00937C8B" w:rsidRDefault="002A4DDF" w:rsidP="009110ED">
            <w:pPr>
              <w:rPr>
                <w:rFonts w:ascii="Arial" w:hAnsi="Arial" w:cs="Arial"/>
                <w:sz w:val="12"/>
                <w:szCs w:val="12"/>
              </w:rPr>
            </w:pPr>
          </w:p>
        </w:tc>
        <w:tc>
          <w:tcPr>
            <w:tcW w:w="1843" w:type="dxa"/>
            <w:shd w:val="clear" w:color="auto" w:fill="auto"/>
          </w:tcPr>
          <w:p w14:paraId="6270B2BE" w14:textId="77777777" w:rsidR="002A4DDF" w:rsidRPr="00937C8B" w:rsidRDefault="002A4DDF" w:rsidP="009110ED">
            <w:pPr>
              <w:rPr>
                <w:rFonts w:ascii="Arial" w:hAnsi="Arial" w:cs="Arial"/>
                <w:sz w:val="12"/>
                <w:szCs w:val="12"/>
              </w:rPr>
            </w:pPr>
          </w:p>
        </w:tc>
        <w:tc>
          <w:tcPr>
            <w:tcW w:w="2268" w:type="dxa"/>
            <w:shd w:val="clear" w:color="auto" w:fill="F2F2F2"/>
            <w:hideMark/>
          </w:tcPr>
          <w:p w14:paraId="18860DE0" w14:textId="77777777" w:rsidR="002A4DDF" w:rsidRPr="00937C8B" w:rsidRDefault="002A4DDF" w:rsidP="009110ED">
            <w:pPr>
              <w:rPr>
                <w:rFonts w:ascii="Arial" w:hAnsi="Arial" w:cs="Arial"/>
                <w:sz w:val="12"/>
                <w:szCs w:val="12"/>
              </w:rPr>
            </w:pPr>
            <w:r>
              <w:rPr>
                <w:rFonts w:ascii="Arial" w:hAnsi="Arial"/>
                <w:sz w:val="12"/>
                <w:szCs w:val="12"/>
              </w:rPr>
              <w:t>Escucha</w:t>
            </w:r>
          </w:p>
        </w:tc>
        <w:tc>
          <w:tcPr>
            <w:tcW w:w="2268" w:type="dxa"/>
            <w:tcBorders>
              <w:right w:val="single" w:sz="4" w:space="0" w:color="auto"/>
            </w:tcBorders>
            <w:shd w:val="clear" w:color="auto" w:fill="D9D9D9"/>
            <w:hideMark/>
          </w:tcPr>
          <w:p w14:paraId="69CEFE99" w14:textId="77777777" w:rsidR="002A4DDF" w:rsidRPr="00937C8B" w:rsidRDefault="002A4DDF" w:rsidP="009110ED">
            <w:pPr>
              <w:rPr>
                <w:rFonts w:ascii="Arial" w:hAnsi="Arial" w:cs="Arial"/>
                <w:sz w:val="12"/>
                <w:szCs w:val="12"/>
              </w:rPr>
            </w:pPr>
          </w:p>
        </w:tc>
      </w:tr>
      <w:tr w:rsidR="002A4DDF" w:rsidRPr="00937C8B" w14:paraId="185C7415" w14:textId="77777777" w:rsidTr="00935676">
        <w:trPr>
          <w:cantSplit/>
        </w:trPr>
        <w:tc>
          <w:tcPr>
            <w:tcW w:w="1696" w:type="dxa"/>
            <w:tcBorders>
              <w:left w:val="single" w:sz="4" w:space="0" w:color="auto"/>
            </w:tcBorders>
            <w:shd w:val="clear" w:color="auto" w:fill="auto"/>
          </w:tcPr>
          <w:p w14:paraId="3129F1F2" w14:textId="77777777" w:rsidR="002A4DDF" w:rsidRPr="00937C8B" w:rsidRDefault="002A4DDF" w:rsidP="009110ED">
            <w:pPr>
              <w:rPr>
                <w:rFonts w:ascii="Arial" w:hAnsi="Arial" w:cs="Arial"/>
                <w:sz w:val="12"/>
                <w:szCs w:val="12"/>
              </w:rPr>
            </w:pPr>
          </w:p>
        </w:tc>
        <w:tc>
          <w:tcPr>
            <w:tcW w:w="1843" w:type="dxa"/>
            <w:shd w:val="clear" w:color="auto" w:fill="auto"/>
          </w:tcPr>
          <w:p w14:paraId="3133A2E3" w14:textId="77777777" w:rsidR="002A4DDF" w:rsidRPr="00937C8B" w:rsidRDefault="002A4DDF" w:rsidP="009110ED">
            <w:pPr>
              <w:rPr>
                <w:rFonts w:ascii="Arial" w:hAnsi="Arial" w:cs="Arial"/>
                <w:sz w:val="12"/>
                <w:szCs w:val="12"/>
              </w:rPr>
            </w:pPr>
          </w:p>
        </w:tc>
        <w:tc>
          <w:tcPr>
            <w:tcW w:w="2268" w:type="dxa"/>
            <w:shd w:val="clear" w:color="auto" w:fill="F2F2F2"/>
            <w:hideMark/>
          </w:tcPr>
          <w:p w14:paraId="24FCAD5E" w14:textId="77777777" w:rsidR="002A4DDF" w:rsidRPr="00937C8B" w:rsidRDefault="002A4DDF" w:rsidP="009110ED">
            <w:pPr>
              <w:rPr>
                <w:rFonts w:ascii="Arial" w:hAnsi="Arial" w:cs="Arial"/>
                <w:sz w:val="12"/>
                <w:szCs w:val="12"/>
              </w:rPr>
            </w:pPr>
            <w:r>
              <w:rPr>
                <w:rFonts w:ascii="Arial" w:hAnsi="Arial"/>
                <w:sz w:val="12"/>
                <w:szCs w:val="12"/>
              </w:rPr>
              <w:t>Estercuel</w:t>
            </w:r>
          </w:p>
        </w:tc>
        <w:tc>
          <w:tcPr>
            <w:tcW w:w="2268" w:type="dxa"/>
            <w:tcBorders>
              <w:right w:val="single" w:sz="4" w:space="0" w:color="auto"/>
            </w:tcBorders>
            <w:shd w:val="clear" w:color="auto" w:fill="D9D9D9"/>
            <w:hideMark/>
          </w:tcPr>
          <w:p w14:paraId="0C93ACE5" w14:textId="77777777" w:rsidR="002A4DDF" w:rsidRPr="00937C8B" w:rsidRDefault="002A4DDF" w:rsidP="009110ED">
            <w:pPr>
              <w:rPr>
                <w:rFonts w:ascii="Arial" w:hAnsi="Arial" w:cs="Arial"/>
                <w:sz w:val="12"/>
                <w:szCs w:val="12"/>
              </w:rPr>
            </w:pPr>
          </w:p>
        </w:tc>
      </w:tr>
      <w:tr w:rsidR="002A4DDF" w:rsidRPr="00937C8B" w14:paraId="359ABF1B" w14:textId="77777777" w:rsidTr="00935676">
        <w:trPr>
          <w:cantSplit/>
        </w:trPr>
        <w:tc>
          <w:tcPr>
            <w:tcW w:w="1696" w:type="dxa"/>
            <w:tcBorders>
              <w:left w:val="single" w:sz="4" w:space="0" w:color="auto"/>
            </w:tcBorders>
            <w:shd w:val="clear" w:color="auto" w:fill="auto"/>
          </w:tcPr>
          <w:p w14:paraId="2DDE0785" w14:textId="77777777" w:rsidR="002A4DDF" w:rsidRPr="00937C8B" w:rsidRDefault="002A4DDF" w:rsidP="009110ED">
            <w:pPr>
              <w:rPr>
                <w:rFonts w:ascii="Arial" w:hAnsi="Arial" w:cs="Arial"/>
                <w:sz w:val="12"/>
                <w:szCs w:val="12"/>
              </w:rPr>
            </w:pPr>
          </w:p>
        </w:tc>
        <w:tc>
          <w:tcPr>
            <w:tcW w:w="1843" w:type="dxa"/>
            <w:shd w:val="clear" w:color="auto" w:fill="auto"/>
          </w:tcPr>
          <w:p w14:paraId="39D35481" w14:textId="77777777" w:rsidR="002A4DDF" w:rsidRPr="00937C8B" w:rsidRDefault="002A4DDF" w:rsidP="009110ED">
            <w:pPr>
              <w:rPr>
                <w:rFonts w:ascii="Arial" w:hAnsi="Arial" w:cs="Arial"/>
                <w:sz w:val="12"/>
                <w:szCs w:val="12"/>
              </w:rPr>
            </w:pPr>
          </w:p>
        </w:tc>
        <w:tc>
          <w:tcPr>
            <w:tcW w:w="2268" w:type="dxa"/>
            <w:shd w:val="clear" w:color="auto" w:fill="F2F2F2"/>
            <w:hideMark/>
          </w:tcPr>
          <w:p w14:paraId="7B5DB4DF" w14:textId="77777777" w:rsidR="002A4DDF" w:rsidRPr="00937C8B" w:rsidRDefault="002A4DDF" w:rsidP="009110ED">
            <w:pPr>
              <w:rPr>
                <w:rFonts w:ascii="Arial" w:hAnsi="Arial" w:cs="Arial"/>
                <w:sz w:val="12"/>
                <w:szCs w:val="12"/>
              </w:rPr>
            </w:pPr>
            <w:r>
              <w:rPr>
                <w:rFonts w:ascii="Arial" w:hAnsi="Arial"/>
                <w:sz w:val="12"/>
                <w:szCs w:val="12"/>
              </w:rPr>
              <w:t>Formiche Alto</w:t>
            </w:r>
          </w:p>
        </w:tc>
        <w:tc>
          <w:tcPr>
            <w:tcW w:w="2268" w:type="dxa"/>
            <w:tcBorders>
              <w:right w:val="single" w:sz="4" w:space="0" w:color="auto"/>
            </w:tcBorders>
            <w:shd w:val="clear" w:color="auto" w:fill="D9D9D9"/>
            <w:hideMark/>
          </w:tcPr>
          <w:p w14:paraId="54F0D150" w14:textId="77777777" w:rsidR="002A4DDF" w:rsidRPr="00937C8B" w:rsidRDefault="002A4DDF" w:rsidP="009110ED">
            <w:pPr>
              <w:rPr>
                <w:rFonts w:ascii="Arial" w:hAnsi="Arial" w:cs="Arial"/>
                <w:sz w:val="12"/>
                <w:szCs w:val="12"/>
              </w:rPr>
            </w:pPr>
          </w:p>
        </w:tc>
      </w:tr>
      <w:tr w:rsidR="002A4DDF" w:rsidRPr="00937C8B" w14:paraId="59F23BD9" w14:textId="77777777" w:rsidTr="00935676">
        <w:trPr>
          <w:cantSplit/>
        </w:trPr>
        <w:tc>
          <w:tcPr>
            <w:tcW w:w="1696" w:type="dxa"/>
            <w:tcBorders>
              <w:left w:val="single" w:sz="4" w:space="0" w:color="auto"/>
            </w:tcBorders>
            <w:shd w:val="clear" w:color="auto" w:fill="auto"/>
          </w:tcPr>
          <w:p w14:paraId="0CA24EDF" w14:textId="77777777" w:rsidR="002A4DDF" w:rsidRPr="00937C8B" w:rsidRDefault="002A4DDF" w:rsidP="009110ED">
            <w:pPr>
              <w:rPr>
                <w:rFonts w:ascii="Arial" w:hAnsi="Arial" w:cs="Arial"/>
                <w:sz w:val="12"/>
                <w:szCs w:val="12"/>
              </w:rPr>
            </w:pPr>
          </w:p>
        </w:tc>
        <w:tc>
          <w:tcPr>
            <w:tcW w:w="1843" w:type="dxa"/>
            <w:shd w:val="clear" w:color="auto" w:fill="auto"/>
          </w:tcPr>
          <w:p w14:paraId="49B86F3E" w14:textId="77777777" w:rsidR="002A4DDF" w:rsidRPr="00937C8B" w:rsidRDefault="002A4DDF" w:rsidP="009110ED">
            <w:pPr>
              <w:rPr>
                <w:rFonts w:ascii="Arial" w:hAnsi="Arial" w:cs="Arial"/>
                <w:sz w:val="12"/>
                <w:szCs w:val="12"/>
              </w:rPr>
            </w:pPr>
          </w:p>
        </w:tc>
        <w:tc>
          <w:tcPr>
            <w:tcW w:w="2268" w:type="dxa"/>
            <w:shd w:val="clear" w:color="auto" w:fill="F2F2F2"/>
            <w:hideMark/>
          </w:tcPr>
          <w:p w14:paraId="43907A23" w14:textId="77777777" w:rsidR="002A4DDF" w:rsidRPr="00937C8B" w:rsidRDefault="002A4DDF" w:rsidP="009110ED">
            <w:pPr>
              <w:rPr>
                <w:rFonts w:ascii="Arial" w:hAnsi="Arial" w:cs="Arial"/>
                <w:sz w:val="12"/>
                <w:szCs w:val="12"/>
              </w:rPr>
            </w:pPr>
            <w:r>
              <w:rPr>
                <w:rFonts w:ascii="Arial" w:hAnsi="Arial"/>
                <w:sz w:val="12"/>
                <w:szCs w:val="12"/>
              </w:rPr>
              <w:t>Fuentes Claras</w:t>
            </w:r>
          </w:p>
        </w:tc>
        <w:tc>
          <w:tcPr>
            <w:tcW w:w="2268" w:type="dxa"/>
            <w:tcBorders>
              <w:right w:val="single" w:sz="4" w:space="0" w:color="auto"/>
            </w:tcBorders>
            <w:shd w:val="clear" w:color="auto" w:fill="D9D9D9"/>
            <w:hideMark/>
          </w:tcPr>
          <w:p w14:paraId="18AA57AD" w14:textId="77777777" w:rsidR="002A4DDF" w:rsidRPr="00937C8B" w:rsidRDefault="002A4DDF" w:rsidP="009110ED">
            <w:pPr>
              <w:rPr>
                <w:rFonts w:ascii="Arial" w:hAnsi="Arial" w:cs="Arial"/>
                <w:sz w:val="12"/>
                <w:szCs w:val="12"/>
              </w:rPr>
            </w:pPr>
          </w:p>
        </w:tc>
      </w:tr>
      <w:tr w:rsidR="002A4DDF" w:rsidRPr="00937C8B" w14:paraId="6663A930" w14:textId="77777777" w:rsidTr="00935676">
        <w:trPr>
          <w:cantSplit/>
        </w:trPr>
        <w:tc>
          <w:tcPr>
            <w:tcW w:w="1696" w:type="dxa"/>
            <w:tcBorders>
              <w:left w:val="single" w:sz="4" w:space="0" w:color="auto"/>
            </w:tcBorders>
            <w:shd w:val="clear" w:color="auto" w:fill="auto"/>
          </w:tcPr>
          <w:p w14:paraId="3CEECFEB" w14:textId="77777777" w:rsidR="002A4DDF" w:rsidRPr="00937C8B" w:rsidRDefault="002A4DDF" w:rsidP="009110ED">
            <w:pPr>
              <w:rPr>
                <w:rFonts w:ascii="Arial" w:hAnsi="Arial" w:cs="Arial"/>
                <w:sz w:val="12"/>
                <w:szCs w:val="12"/>
              </w:rPr>
            </w:pPr>
          </w:p>
        </w:tc>
        <w:tc>
          <w:tcPr>
            <w:tcW w:w="1843" w:type="dxa"/>
            <w:shd w:val="clear" w:color="auto" w:fill="auto"/>
          </w:tcPr>
          <w:p w14:paraId="30AB4D47" w14:textId="77777777" w:rsidR="002A4DDF" w:rsidRPr="00937C8B" w:rsidRDefault="002A4DDF" w:rsidP="009110ED">
            <w:pPr>
              <w:rPr>
                <w:rFonts w:ascii="Arial" w:hAnsi="Arial" w:cs="Arial"/>
                <w:sz w:val="12"/>
                <w:szCs w:val="12"/>
              </w:rPr>
            </w:pPr>
          </w:p>
        </w:tc>
        <w:tc>
          <w:tcPr>
            <w:tcW w:w="2268" w:type="dxa"/>
            <w:shd w:val="clear" w:color="auto" w:fill="F2F2F2"/>
            <w:hideMark/>
          </w:tcPr>
          <w:p w14:paraId="36C06DA4" w14:textId="77777777" w:rsidR="002A4DDF" w:rsidRPr="00937C8B" w:rsidRDefault="002A4DDF" w:rsidP="009110ED">
            <w:pPr>
              <w:rPr>
                <w:rFonts w:ascii="Arial" w:hAnsi="Arial" w:cs="Arial"/>
                <w:sz w:val="12"/>
                <w:szCs w:val="12"/>
              </w:rPr>
            </w:pPr>
            <w:r>
              <w:rPr>
                <w:rFonts w:ascii="Arial" w:hAnsi="Arial"/>
                <w:sz w:val="12"/>
                <w:szCs w:val="12"/>
              </w:rPr>
              <w:t>Gea de Albarracín</w:t>
            </w:r>
          </w:p>
        </w:tc>
        <w:tc>
          <w:tcPr>
            <w:tcW w:w="2268" w:type="dxa"/>
            <w:tcBorders>
              <w:right w:val="single" w:sz="4" w:space="0" w:color="auto"/>
            </w:tcBorders>
            <w:shd w:val="clear" w:color="auto" w:fill="D9D9D9"/>
            <w:hideMark/>
          </w:tcPr>
          <w:p w14:paraId="0F3B060C" w14:textId="77777777" w:rsidR="002A4DDF" w:rsidRPr="00937C8B" w:rsidRDefault="002A4DDF" w:rsidP="009110ED">
            <w:pPr>
              <w:rPr>
                <w:rFonts w:ascii="Arial" w:hAnsi="Arial" w:cs="Arial"/>
                <w:sz w:val="12"/>
                <w:szCs w:val="12"/>
              </w:rPr>
            </w:pPr>
          </w:p>
        </w:tc>
      </w:tr>
      <w:tr w:rsidR="002A4DDF" w:rsidRPr="00937C8B" w14:paraId="500297AA" w14:textId="77777777" w:rsidTr="00935676">
        <w:trPr>
          <w:cantSplit/>
        </w:trPr>
        <w:tc>
          <w:tcPr>
            <w:tcW w:w="1696" w:type="dxa"/>
            <w:tcBorders>
              <w:left w:val="single" w:sz="4" w:space="0" w:color="auto"/>
            </w:tcBorders>
            <w:shd w:val="clear" w:color="auto" w:fill="auto"/>
          </w:tcPr>
          <w:p w14:paraId="185E846F" w14:textId="77777777" w:rsidR="002A4DDF" w:rsidRPr="00937C8B" w:rsidRDefault="002A4DDF" w:rsidP="009110ED">
            <w:pPr>
              <w:rPr>
                <w:rFonts w:ascii="Arial" w:hAnsi="Arial" w:cs="Arial"/>
                <w:sz w:val="12"/>
                <w:szCs w:val="12"/>
              </w:rPr>
            </w:pPr>
          </w:p>
        </w:tc>
        <w:tc>
          <w:tcPr>
            <w:tcW w:w="1843" w:type="dxa"/>
            <w:shd w:val="clear" w:color="auto" w:fill="auto"/>
          </w:tcPr>
          <w:p w14:paraId="7D0B62AC" w14:textId="77777777" w:rsidR="002A4DDF" w:rsidRPr="00937C8B" w:rsidRDefault="002A4DDF" w:rsidP="009110ED">
            <w:pPr>
              <w:rPr>
                <w:rFonts w:ascii="Arial" w:hAnsi="Arial" w:cs="Arial"/>
                <w:sz w:val="12"/>
                <w:szCs w:val="12"/>
              </w:rPr>
            </w:pPr>
          </w:p>
        </w:tc>
        <w:tc>
          <w:tcPr>
            <w:tcW w:w="2268" w:type="dxa"/>
            <w:shd w:val="clear" w:color="auto" w:fill="F2F2F2"/>
            <w:hideMark/>
          </w:tcPr>
          <w:p w14:paraId="38D56436" w14:textId="77777777" w:rsidR="002A4DDF" w:rsidRPr="00937C8B" w:rsidRDefault="002A4DDF" w:rsidP="009110ED">
            <w:pPr>
              <w:rPr>
                <w:rFonts w:ascii="Arial" w:hAnsi="Arial" w:cs="Arial"/>
                <w:sz w:val="12"/>
                <w:szCs w:val="12"/>
              </w:rPr>
            </w:pPr>
            <w:r>
              <w:rPr>
                <w:rFonts w:ascii="Arial" w:hAnsi="Arial"/>
                <w:sz w:val="12"/>
                <w:szCs w:val="12"/>
              </w:rPr>
              <w:t>Griegos</w:t>
            </w:r>
          </w:p>
        </w:tc>
        <w:tc>
          <w:tcPr>
            <w:tcW w:w="2268" w:type="dxa"/>
            <w:tcBorders>
              <w:right w:val="single" w:sz="4" w:space="0" w:color="auto"/>
            </w:tcBorders>
            <w:shd w:val="clear" w:color="auto" w:fill="D9D9D9"/>
            <w:hideMark/>
          </w:tcPr>
          <w:p w14:paraId="6D722BAE" w14:textId="77777777" w:rsidR="002A4DDF" w:rsidRPr="00937C8B" w:rsidRDefault="002A4DDF" w:rsidP="009110ED">
            <w:pPr>
              <w:rPr>
                <w:rFonts w:ascii="Arial" w:hAnsi="Arial" w:cs="Arial"/>
                <w:sz w:val="12"/>
                <w:szCs w:val="12"/>
              </w:rPr>
            </w:pPr>
          </w:p>
        </w:tc>
      </w:tr>
      <w:tr w:rsidR="002A4DDF" w:rsidRPr="00937C8B" w14:paraId="2F935A47" w14:textId="77777777" w:rsidTr="00935676">
        <w:trPr>
          <w:cantSplit/>
        </w:trPr>
        <w:tc>
          <w:tcPr>
            <w:tcW w:w="1696" w:type="dxa"/>
            <w:tcBorders>
              <w:left w:val="single" w:sz="4" w:space="0" w:color="auto"/>
            </w:tcBorders>
            <w:shd w:val="clear" w:color="auto" w:fill="auto"/>
          </w:tcPr>
          <w:p w14:paraId="0E812C81" w14:textId="77777777" w:rsidR="002A4DDF" w:rsidRPr="00937C8B" w:rsidRDefault="002A4DDF" w:rsidP="009110ED">
            <w:pPr>
              <w:rPr>
                <w:rFonts w:ascii="Arial" w:hAnsi="Arial" w:cs="Arial"/>
                <w:sz w:val="12"/>
                <w:szCs w:val="12"/>
              </w:rPr>
            </w:pPr>
          </w:p>
        </w:tc>
        <w:tc>
          <w:tcPr>
            <w:tcW w:w="1843" w:type="dxa"/>
            <w:shd w:val="clear" w:color="auto" w:fill="auto"/>
          </w:tcPr>
          <w:p w14:paraId="0C94F8E1" w14:textId="77777777" w:rsidR="002A4DDF" w:rsidRPr="00937C8B" w:rsidRDefault="002A4DDF" w:rsidP="009110ED">
            <w:pPr>
              <w:rPr>
                <w:rFonts w:ascii="Arial" w:hAnsi="Arial" w:cs="Arial"/>
                <w:sz w:val="12"/>
                <w:szCs w:val="12"/>
              </w:rPr>
            </w:pPr>
          </w:p>
        </w:tc>
        <w:tc>
          <w:tcPr>
            <w:tcW w:w="2268" w:type="dxa"/>
            <w:shd w:val="clear" w:color="auto" w:fill="F2F2F2"/>
            <w:hideMark/>
          </w:tcPr>
          <w:p w14:paraId="4A1C8310" w14:textId="77777777" w:rsidR="002A4DDF" w:rsidRPr="00937C8B" w:rsidRDefault="002A4DDF" w:rsidP="009110ED">
            <w:pPr>
              <w:rPr>
                <w:rFonts w:ascii="Arial" w:hAnsi="Arial" w:cs="Arial"/>
                <w:sz w:val="12"/>
                <w:szCs w:val="12"/>
              </w:rPr>
            </w:pPr>
            <w:r>
              <w:rPr>
                <w:rFonts w:ascii="Arial" w:hAnsi="Arial"/>
                <w:sz w:val="12"/>
                <w:szCs w:val="12"/>
              </w:rPr>
              <w:t>Gúdar</w:t>
            </w:r>
          </w:p>
        </w:tc>
        <w:tc>
          <w:tcPr>
            <w:tcW w:w="2268" w:type="dxa"/>
            <w:tcBorders>
              <w:right w:val="single" w:sz="4" w:space="0" w:color="auto"/>
            </w:tcBorders>
            <w:shd w:val="clear" w:color="auto" w:fill="D9D9D9"/>
            <w:hideMark/>
          </w:tcPr>
          <w:p w14:paraId="42DCE6E9" w14:textId="77777777" w:rsidR="002A4DDF" w:rsidRPr="00937C8B" w:rsidRDefault="002A4DDF" w:rsidP="009110ED">
            <w:pPr>
              <w:rPr>
                <w:rFonts w:ascii="Arial" w:hAnsi="Arial" w:cs="Arial"/>
                <w:sz w:val="12"/>
                <w:szCs w:val="12"/>
              </w:rPr>
            </w:pPr>
          </w:p>
        </w:tc>
      </w:tr>
      <w:tr w:rsidR="002A4DDF" w:rsidRPr="00937C8B" w14:paraId="0F259026" w14:textId="77777777" w:rsidTr="00935676">
        <w:trPr>
          <w:cantSplit/>
        </w:trPr>
        <w:tc>
          <w:tcPr>
            <w:tcW w:w="1696" w:type="dxa"/>
            <w:tcBorders>
              <w:left w:val="single" w:sz="4" w:space="0" w:color="auto"/>
            </w:tcBorders>
            <w:shd w:val="clear" w:color="auto" w:fill="auto"/>
          </w:tcPr>
          <w:p w14:paraId="42FB2345" w14:textId="77777777" w:rsidR="002A4DDF" w:rsidRPr="00937C8B" w:rsidRDefault="002A4DDF" w:rsidP="009110ED">
            <w:pPr>
              <w:rPr>
                <w:rFonts w:ascii="Arial" w:hAnsi="Arial" w:cs="Arial"/>
                <w:sz w:val="12"/>
                <w:szCs w:val="12"/>
              </w:rPr>
            </w:pPr>
          </w:p>
        </w:tc>
        <w:tc>
          <w:tcPr>
            <w:tcW w:w="1843" w:type="dxa"/>
            <w:shd w:val="clear" w:color="auto" w:fill="auto"/>
          </w:tcPr>
          <w:p w14:paraId="3784E0DD" w14:textId="77777777" w:rsidR="002A4DDF" w:rsidRPr="00937C8B" w:rsidRDefault="002A4DDF" w:rsidP="009110ED">
            <w:pPr>
              <w:rPr>
                <w:rFonts w:ascii="Arial" w:hAnsi="Arial" w:cs="Arial"/>
                <w:sz w:val="12"/>
                <w:szCs w:val="12"/>
              </w:rPr>
            </w:pPr>
          </w:p>
        </w:tc>
        <w:tc>
          <w:tcPr>
            <w:tcW w:w="2268" w:type="dxa"/>
            <w:shd w:val="clear" w:color="auto" w:fill="F2F2F2"/>
            <w:hideMark/>
          </w:tcPr>
          <w:p w14:paraId="7FB34D1B" w14:textId="77777777" w:rsidR="002A4DDF" w:rsidRPr="00937C8B" w:rsidRDefault="002A4DDF" w:rsidP="009110ED">
            <w:pPr>
              <w:rPr>
                <w:rFonts w:ascii="Arial" w:hAnsi="Arial" w:cs="Arial"/>
                <w:sz w:val="12"/>
                <w:szCs w:val="12"/>
              </w:rPr>
            </w:pPr>
            <w:r>
              <w:rPr>
                <w:rFonts w:ascii="Arial" w:hAnsi="Arial"/>
                <w:sz w:val="12"/>
                <w:szCs w:val="12"/>
              </w:rPr>
              <w:t>Huesa del Común</w:t>
            </w:r>
          </w:p>
        </w:tc>
        <w:tc>
          <w:tcPr>
            <w:tcW w:w="2268" w:type="dxa"/>
            <w:tcBorders>
              <w:right w:val="single" w:sz="4" w:space="0" w:color="auto"/>
            </w:tcBorders>
            <w:shd w:val="clear" w:color="auto" w:fill="D9D9D9"/>
            <w:hideMark/>
          </w:tcPr>
          <w:p w14:paraId="1CA2084F" w14:textId="77777777" w:rsidR="002A4DDF" w:rsidRPr="00937C8B" w:rsidRDefault="002A4DDF" w:rsidP="009110ED">
            <w:pPr>
              <w:rPr>
                <w:rFonts w:ascii="Arial" w:hAnsi="Arial" w:cs="Arial"/>
                <w:sz w:val="12"/>
                <w:szCs w:val="12"/>
              </w:rPr>
            </w:pPr>
          </w:p>
        </w:tc>
      </w:tr>
      <w:tr w:rsidR="002A4DDF" w:rsidRPr="00937C8B" w14:paraId="0A3E3F3F" w14:textId="77777777" w:rsidTr="00935676">
        <w:trPr>
          <w:cantSplit/>
        </w:trPr>
        <w:tc>
          <w:tcPr>
            <w:tcW w:w="1696" w:type="dxa"/>
            <w:tcBorders>
              <w:left w:val="single" w:sz="4" w:space="0" w:color="auto"/>
            </w:tcBorders>
            <w:shd w:val="clear" w:color="auto" w:fill="auto"/>
          </w:tcPr>
          <w:p w14:paraId="2F17C64A" w14:textId="77777777" w:rsidR="002A4DDF" w:rsidRPr="00937C8B" w:rsidRDefault="002A4DDF" w:rsidP="009110ED">
            <w:pPr>
              <w:rPr>
                <w:rFonts w:ascii="Arial" w:hAnsi="Arial" w:cs="Arial"/>
                <w:sz w:val="12"/>
                <w:szCs w:val="12"/>
              </w:rPr>
            </w:pPr>
          </w:p>
        </w:tc>
        <w:tc>
          <w:tcPr>
            <w:tcW w:w="1843" w:type="dxa"/>
            <w:shd w:val="clear" w:color="auto" w:fill="auto"/>
          </w:tcPr>
          <w:p w14:paraId="3E1EDF79" w14:textId="77777777" w:rsidR="002A4DDF" w:rsidRPr="00937C8B" w:rsidRDefault="002A4DDF" w:rsidP="009110ED">
            <w:pPr>
              <w:rPr>
                <w:rFonts w:ascii="Arial" w:hAnsi="Arial" w:cs="Arial"/>
                <w:sz w:val="12"/>
                <w:szCs w:val="12"/>
              </w:rPr>
            </w:pPr>
          </w:p>
        </w:tc>
        <w:tc>
          <w:tcPr>
            <w:tcW w:w="2268" w:type="dxa"/>
            <w:shd w:val="clear" w:color="auto" w:fill="F2F2F2"/>
            <w:hideMark/>
          </w:tcPr>
          <w:p w14:paraId="416FEF96" w14:textId="77777777" w:rsidR="002A4DDF" w:rsidRPr="00937C8B" w:rsidRDefault="002A4DDF" w:rsidP="009110ED">
            <w:pPr>
              <w:rPr>
                <w:rFonts w:ascii="Arial" w:hAnsi="Arial" w:cs="Arial"/>
                <w:sz w:val="12"/>
                <w:szCs w:val="12"/>
              </w:rPr>
            </w:pPr>
            <w:r>
              <w:rPr>
                <w:rFonts w:ascii="Arial" w:hAnsi="Arial"/>
                <w:sz w:val="12"/>
                <w:szCs w:val="12"/>
              </w:rPr>
              <w:t>Lagueruela</w:t>
            </w:r>
          </w:p>
        </w:tc>
        <w:tc>
          <w:tcPr>
            <w:tcW w:w="2268" w:type="dxa"/>
            <w:tcBorders>
              <w:right w:val="single" w:sz="4" w:space="0" w:color="auto"/>
            </w:tcBorders>
            <w:shd w:val="clear" w:color="auto" w:fill="D9D9D9"/>
            <w:hideMark/>
          </w:tcPr>
          <w:p w14:paraId="7E472408" w14:textId="77777777" w:rsidR="002A4DDF" w:rsidRPr="00937C8B" w:rsidRDefault="002A4DDF" w:rsidP="009110ED">
            <w:pPr>
              <w:rPr>
                <w:rFonts w:ascii="Arial" w:hAnsi="Arial" w:cs="Arial"/>
                <w:sz w:val="12"/>
                <w:szCs w:val="12"/>
              </w:rPr>
            </w:pPr>
          </w:p>
        </w:tc>
      </w:tr>
      <w:tr w:rsidR="002A4DDF" w:rsidRPr="00937C8B" w14:paraId="6194977D" w14:textId="77777777" w:rsidTr="00935676">
        <w:trPr>
          <w:cantSplit/>
        </w:trPr>
        <w:tc>
          <w:tcPr>
            <w:tcW w:w="1696" w:type="dxa"/>
            <w:tcBorders>
              <w:left w:val="single" w:sz="4" w:space="0" w:color="auto"/>
            </w:tcBorders>
            <w:shd w:val="clear" w:color="auto" w:fill="auto"/>
          </w:tcPr>
          <w:p w14:paraId="110CFC93" w14:textId="77777777" w:rsidR="002A4DDF" w:rsidRPr="00937C8B" w:rsidRDefault="002A4DDF" w:rsidP="009110ED">
            <w:pPr>
              <w:rPr>
                <w:rFonts w:ascii="Arial" w:hAnsi="Arial" w:cs="Arial"/>
                <w:sz w:val="12"/>
                <w:szCs w:val="12"/>
              </w:rPr>
            </w:pPr>
          </w:p>
        </w:tc>
        <w:tc>
          <w:tcPr>
            <w:tcW w:w="1843" w:type="dxa"/>
            <w:shd w:val="clear" w:color="auto" w:fill="auto"/>
          </w:tcPr>
          <w:p w14:paraId="3A425F15" w14:textId="77777777" w:rsidR="002A4DDF" w:rsidRPr="00937C8B" w:rsidRDefault="002A4DDF" w:rsidP="009110ED">
            <w:pPr>
              <w:rPr>
                <w:rFonts w:ascii="Arial" w:hAnsi="Arial" w:cs="Arial"/>
                <w:sz w:val="12"/>
                <w:szCs w:val="12"/>
              </w:rPr>
            </w:pPr>
          </w:p>
        </w:tc>
        <w:tc>
          <w:tcPr>
            <w:tcW w:w="2268" w:type="dxa"/>
            <w:shd w:val="clear" w:color="auto" w:fill="F2F2F2"/>
            <w:hideMark/>
          </w:tcPr>
          <w:p w14:paraId="1F466DA4" w14:textId="77777777" w:rsidR="002A4DDF" w:rsidRPr="00937C8B" w:rsidRDefault="002A4DDF" w:rsidP="009110ED">
            <w:pPr>
              <w:rPr>
                <w:rFonts w:ascii="Arial" w:hAnsi="Arial" w:cs="Arial"/>
                <w:sz w:val="12"/>
                <w:szCs w:val="12"/>
              </w:rPr>
            </w:pPr>
            <w:r>
              <w:rPr>
                <w:rFonts w:ascii="Arial" w:hAnsi="Arial"/>
                <w:sz w:val="12"/>
                <w:szCs w:val="12"/>
              </w:rPr>
              <w:t>Lanzuela</w:t>
            </w:r>
          </w:p>
        </w:tc>
        <w:tc>
          <w:tcPr>
            <w:tcW w:w="2268" w:type="dxa"/>
            <w:tcBorders>
              <w:right w:val="single" w:sz="4" w:space="0" w:color="auto"/>
            </w:tcBorders>
            <w:shd w:val="clear" w:color="auto" w:fill="D9D9D9"/>
            <w:hideMark/>
          </w:tcPr>
          <w:p w14:paraId="6BE8EB37" w14:textId="77777777" w:rsidR="002A4DDF" w:rsidRPr="00937C8B" w:rsidRDefault="002A4DDF" w:rsidP="009110ED">
            <w:pPr>
              <w:rPr>
                <w:rFonts w:ascii="Arial" w:hAnsi="Arial" w:cs="Arial"/>
                <w:sz w:val="12"/>
                <w:szCs w:val="12"/>
              </w:rPr>
            </w:pPr>
          </w:p>
        </w:tc>
      </w:tr>
      <w:tr w:rsidR="002A4DDF" w:rsidRPr="00937C8B" w14:paraId="2496F7FF" w14:textId="77777777" w:rsidTr="00935676">
        <w:trPr>
          <w:cantSplit/>
        </w:trPr>
        <w:tc>
          <w:tcPr>
            <w:tcW w:w="1696" w:type="dxa"/>
            <w:tcBorders>
              <w:left w:val="single" w:sz="4" w:space="0" w:color="auto"/>
            </w:tcBorders>
            <w:shd w:val="clear" w:color="auto" w:fill="auto"/>
          </w:tcPr>
          <w:p w14:paraId="1C846FA7" w14:textId="77777777" w:rsidR="002A4DDF" w:rsidRPr="00937C8B" w:rsidRDefault="002A4DDF" w:rsidP="009110ED">
            <w:pPr>
              <w:rPr>
                <w:rFonts w:ascii="Arial" w:hAnsi="Arial" w:cs="Arial"/>
                <w:sz w:val="12"/>
                <w:szCs w:val="12"/>
              </w:rPr>
            </w:pPr>
          </w:p>
        </w:tc>
        <w:tc>
          <w:tcPr>
            <w:tcW w:w="1843" w:type="dxa"/>
            <w:shd w:val="clear" w:color="auto" w:fill="auto"/>
          </w:tcPr>
          <w:p w14:paraId="1FBC19F5" w14:textId="77777777" w:rsidR="002A4DDF" w:rsidRPr="00937C8B" w:rsidRDefault="002A4DDF" w:rsidP="009110ED">
            <w:pPr>
              <w:rPr>
                <w:rFonts w:ascii="Arial" w:hAnsi="Arial" w:cs="Arial"/>
                <w:sz w:val="12"/>
                <w:szCs w:val="12"/>
              </w:rPr>
            </w:pPr>
          </w:p>
        </w:tc>
        <w:tc>
          <w:tcPr>
            <w:tcW w:w="2268" w:type="dxa"/>
            <w:shd w:val="clear" w:color="auto" w:fill="F2F2F2"/>
            <w:hideMark/>
          </w:tcPr>
          <w:p w14:paraId="0E3CA000" w14:textId="77777777" w:rsidR="002A4DDF" w:rsidRPr="00937C8B" w:rsidRDefault="002A4DDF" w:rsidP="009110ED">
            <w:pPr>
              <w:rPr>
                <w:rFonts w:ascii="Arial" w:hAnsi="Arial" w:cs="Arial"/>
                <w:sz w:val="12"/>
                <w:szCs w:val="12"/>
              </w:rPr>
            </w:pPr>
            <w:r>
              <w:rPr>
                <w:rFonts w:ascii="Arial" w:hAnsi="Arial"/>
                <w:sz w:val="12"/>
                <w:szCs w:val="12"/>
              </w:rPr>
              <w:t>Lidón</w:t>
            </w:r>
          </w:p>
        </w:tc>
        <w:tc>
          <w:tcPr>
            <w:tcW w:w="2268" w:type="dxa"/>
            <w:tcBorders>
              <w:right w:val="single" w:sz="4" w:space="0" w:color="auto"/>
            </w:tcBorders>
            <w:shd w:val="clear" w:color="auto" w:fill="D9D9D9"/>
            <w:hideMark/>
          </w:tcPr>
          <w:p w14:paraId="46D2EB3A" w14:textId="77777777" w:rsidR="002A4DDF" w:rsidRPr="00937C8B" w:rsidRDefault="002A4DDF" w:rsidP="009110ED">
            <w:pPr>
              <w:rPr>
                <w:rFonts w:ascii="Arial" w:hAnsi="Arial" w:cs="Arial"/>
                <w:sz w:val="12"/>
                <w:szCs w:val="12"/>
              </w:rPr>
            </w:pPr>
          </w:p>
        </w:tc>
      </w:tr>
      <w:tr w:rsidR="002A4DDF" w:rsidRPr="00937C8B" w14:paraId="6150C01F" w14:textId="77777777" w:rsidTr="00935676">
        <w:trPr>
          <w:cantSplit/>
        </w:trPr>
        <w:tc>
          <w:tcPr>
            <w:tcW w:w="1696" w:type="dxa"/>
            <w:tcBorders>
              <w:left w:val="single" w:sz="4" w:space="0" w:color="auto"/>
            </w:tcBorders>
            <w:shd w:val="clear" w:color="auto" w:fill="auto"/>
          </w:tcPr>
          <w:p w14:paraId="4EB4C901" w14:textId="77777777" w:rsidR="002A4DDF" w:rsidRPr="00937C8B" w:rsidRDefault="002A4DDF" w:rsidP="009110ED">
            <w:pPr>
              <w:rPr>
                <w:rFonts w:ascii="Arial" w:hAnsi="Arial" w:cs="Arial"/>
                <w:sz w:val="12"/>
                <w:szCs w:val="12"/>
              </w:rPr>
            </w:pPr>
          </w:p>
        </w:tc>
        <w:tc>
          <w:tcPr>
            <w:tcW w:w="1843" w:type="dxa"/>
            <w:shd w:val="clear" w:color="auto" w:fill="auto"/>
          </w:tcPr>
          <w:p w14:paraId="088FFD43" w14:textId="77777777" w:rsidR="002A4DDF" w:rsidRPr="00937C8B" w:rsidRDefault="002A4DDF" w:rsidP="009110ED">
            <w:pPr>
              <w:rPr>
                <w:rFonts w:ascii="Arial" w:hAnsi="Arial" w:cs="Arial"/>
                <w:sz w:val="12"/>
                <w:szCs w:val="12"/>
              </w:rPr>
            </w:pPr>
          </w:p>
        </w:tc>
        <w:tc>
          <w:tcPr>
            <w:tcW w:w="2268" w:type="dxa"/>
            <w:shd w:val="clear" w:color="auto" w:fill="F2F2F2"/>
            <w:hideMark/>
          </w:tcPr>
          <w:p w14:paraId="16F3BB46" w14:textId="77777777" w:rsidR="002A4DDF" w:rsidRPr="00937C8B" w:rsidRDefault="002A4DDF" w:rsidP="009110ED">
            <w:pPr>
              <w:rPr>
                <w:rFonts w:ascii="Arial" w:hAnsi="Arial" w:cs="Arial"/>
                <w:sz w:val="12"/>
                <w:szCs w:val="12"/>
              </w:rPr>
            </w:pPr>
            <w:r>
              <w:rPr>
                <w:rFonts w:ascii="Arial" w:hAnsi="Arial"/>
                <w:sz w:val="12"/>
                <w:szCs w:val="12"/>
              </w:rPr>
              <w:t>Linares de Mora</w:t>
            </w:r>
          </w:p>
        </w:tc>
        <w:tc>
          <w:tcPr>
            <w:tcW w:w="2268" w:type="dxa"/>
            <w:tcBorders>
              <w:right w:val="single" w:sz="4" w:space="0" w:color="auto"/>
            </w:tcBorders>
            <w:shd w:val="clear" w:color="auto" w:fill="D9D9D9"/>
            <w:hideMark/>
          </w:tcPr>
          <w:p w14:paraId="1F642E4B" w14:textId="77777777" w:rsidR="002A4DDF" w:rsidRPr="00937C8B" w:rsidRDefault="002A4DDF" w:rsidP="009110ED">
            <w:pPr>
              <w:rPr>
                <w:rFonts w:ascii="Arial" w:hAnsi="Arial" w:cs="Arial"/>
                <w:sz w:val="12"/>
                <w:szCs w:val="12"/>
              </w:rPr>
            </w:pPr>
          </w:p>
        </w:tc>
      </w:tr>
      <w:tr w:rsidR="002A4DDF" w:rsidRPr="00937C8B" w14:paraId="599EC38E" w14:textId="77777777" w:rsidTr="00935676">
        <w:trPr>
          <w:cantSplit/>
        </w:trPr>
        <w:tc>
          <w:tcPr>
            <w:tcW w:w="1696" w:type="dxa"/>
            <w:tcBorders>
              <w:left w:val="single" w:sz="4" w:space="0" w:color="auto"/>
            </w:tcBorders>
            <w:shd w:val="clear" w:color="auto" w:fill="auto"/>
          </w:tcPr>
          <w:p w14:paraId="71E74D09" w14:textId="77777777" w:rsidR="002A4DDF" w:rsidRPr="00937C8B" w:rsidRDefault="002A4DDF" w:rsidP="009110ED">
            <w:pPr>
              <w:rPr>
                <w:rFonts w:ascii="Arial" w:hAnsi="Arial" w:cs="Arial"/>
                <w:sz w:val="12"/>
                <w:szCs w:val="12"/>
              </w:rPr>
            </w:pPr>
          </w:p>
        </w:tc>
        <w:tc>
          <w:tcPr>
            <w:tcW w:w="1843" w:type="dxa"/>
            <w:shd w:val="clear" w:color="auto" w:fill="auto"/>
          </w:tcPr>
          <w:p w14:paraId="51834210" w14:textId="77777777" w:rsidR="002A4DDF" w:rsidRPr="00937C8B" w:rsidRDefault="002A4DDF" w:rsidP="009110ED">
            <w:pPr>
              <w:rPr>
                <w:rFonts w:ascii="Arial" w:hAnsi="Arial" w:cs="Arial"/>
                <w:sz w:val="12"/>
                <w:szCs w:val="12"/>
              </w:rPr>
            </w:pPr>
          </w:p>
        </w:tc>
        <w:tc>
          <w:tcPr>
            <w:tcW w:w="2268" w:type="dxa"/>
            <w:shd w:val="clear" w:color="auto" w:fill="F2F2F2"/>
            <w:hideMark/>
          </w:tcPr>
          <w:p w14:paraId="338A39F4" w14:textId="77777777" w:rsidR="002A4DDF" w:rsidRPr="00937C8B" w:rsidRDefault="002A4DDF" w:rsidP="009110ED">
            <w:pPr>
              <w:rPr>
                <w:rFonts w:ascii="Arial" w:hAnsi="Arial" w:cs="Arial"/>
                <w:sz w:val="12"/>
                <w:szCs w:val="12"/>
              </w:rPr>
            </w:pPr>
            <w:r>
              <w:rPr>
                <w:rFonts w:ascii="Arial" w:hAnsi="Arial"/>
                <w:sz w:val="12"/>
                <w:szCs w:val="12"/>
              </w:rPr>
              <w:t>Lledó</w:t>
            </w:r>
          </w:p>
        </w:tc>
        <w:tc>
          <w:tcPr>
            <w:tcW w:w="2268" w:type="dxa"/>
            <w:tcBorders>
              <w:right w:val="single" w:sz="4" w:space="0" w:color="auto"/>
            </w:tcBorders>
            <w:shd w:val="clear" w:color="auto" w:fill="D9D9D9"/>
            <w:hideMark/>
          </w:tcPr>
          <w:p w14:paraId="58DE0CD2" w14:textId="77777777" w:rsidR="002A4DDF" w:rsidRPr="00937C8B" w:rsidRDefault="002A4DDF" w:rsidP="009110ED">
            <w:pPr>
              <w:rPr>
                <w:rFonts w:ascii="Arial" w:hAnsi="Arial" w:cs="Arial"/>
                <w:sz w:val="12"/>
                <w:szCs w:val="12"/>
              </w:rPr>
            </w:pPr>
          </w:p>
        </w:tc>
      </w:tr>
      <w:tr w:rsidR="002A4DDF" w:rsidRPr="00937C8B" w14:paraId="7AD024CB" w14:textId="77777777" w:rsidTr="00935676">
        <w:trPr>
          <w:cantSplit/>
        </w:trPr>
        <w:tc>
          <w:tcPr>
            <w:tcW w:w="1696" w:type="dxa"/>
            <w:tcBorders>
              <w:left w:val="single" w:sz="4" w:space="0" w:color="auto"/>
            </w:tcBorders>
            <w:shd w:val="clear" w:color="auto" w:fill="auto"/>
          </w:tcPr>
          <w:p w14:paraId="3AC114AC" w14:textId="77777777" w:rsidR="002A4DDF" w:rsidRPr="00937C8B" w:rsidRDefault="002A4DDF" w:rsidP="009110ED">
            <w:pPr>
              <w:rPr>
                <w:rFonts w:ascii="Arial" w:hAnsi="Arial" w:cs="Arial"/>
                <w:sz w:val="12"/>
                <w:szCs w:val="12"/>
              </w:rPr>
            </w:pPr>
          </w:p>
        </w:tc>
        <w:tc>
          <w:tcPr>
            <w:tcW w:w="1843" w:type="dxa"/>
            <w:shd w:val="clear" w:color="auto" w:fill="auto"/>
          </w:tcPr>
          <w:p w14:paraId="1C42EE84" w14:textId="77777777" w:rsidR="002A4DDF" w:rsidRPr="00937C8B" w:rsidRDefault="002A4DDF" w:rsidP="009110ED">
            <w:pPr>
              <w:rPr>
                <w:rFonts w:ascii="Arial" w:hAnsi="Arial" w:cs="Arial"/>
                <w:sz w:val="12"/>
                <w:szCs w:val="12"/>
              </w:rPr>
            </w:pPr>
          </w:p>
        </w:tc>
        <w:tc>
          <w:tcPr>
            <w:tcW w:w="2268" w:type="dxa"/>
            <w:shd w:val="clear" w:color="auto" w:fill="F2F2F2"/>
            <w:hideMark/>
          </w:tcPr>
          <w:p w14:paraId="4EC5043C" w14:textId="77777777" w:rsidR="002A4DDF" w:rsidRPr="00937C8B" w:rsidRDefault="002A4DDF" w:rsidP="009110ED">
            <w:pPr>
              <w:rPr>
                <w:rFonts w:ascii="Arial" w:hAnsi="Arial" w:cs="Arial"/>
                <w:sz w:val="12"/>
                <w:szCs w:val="12"/>
              </w:rPr>
            </w:pPr>
            <w:r>
              <w:rPr>
                <w:rFonts w:ascii="Arial" w:hAnsi="Arial"/>
                <w:sz w:val="12"/>
                <w:szCs w:val="12"/>
              </w:rPr>
              <w:t>Loscos</w:t>
            </w:r>
          </w:p>
        </w:tc>
        <w:tc>
          <w:tcPr>
            <w:tcW w:w="2268" w:type="dxa"/>
            <w:tcBorders>
              <w:right w:val="single" w:sz="4" w:space="0" w:color="auto"/>
            </w:tcBorders>
            <w:shd w:val="clear" w:color="auto" w:fill="D9D9D9"/>
            <w:hideMark/>
          </w:tcPr>
          <w:p w14:paraId="77405A2B" w14:textId="77777777" w:rsidR="002A4DDF" w:rsidRPr="00937C8B" w:rsidRDefault="002A4DDF" w:rsidP="009110ED">
            <w:pPr>
              <w:rPr>
                <w:rFonts w:ascii="Arial" w:hAnsi="Arial" w:cs="Arial"/>
                <w:sz w:val="12"/>
                <w:szCs w:val="12"/>
              </w:rPr>
            </w:pPr>
          </w:p>
        </w:tc>
      </w:tr>
      <w:tr w:rsidR="002A4DDF" w:rsidRPr="00937C8B" w14:paraId="0743C969" w14:textId="77777777" w:rsidTr="00935676">
        <w:trPr>
          <w:cantSplit/>
        </w:trPr>
        <w:tc>
          <w:tcPr>
            <w:tcW w:w="1696" w:type="dxa"/>
            <w:tcBorders>
              <w:left w:val="single" w:sz="4" w:space="0" w:color="auto"/>
            </w:tcBorders>
            <w:shd w:val="clear" w:color="auto" w:fill="auto"/>
          </w:tcPr>
          <w:p w14:paraId="1E2085A5" w14:textId="77777777" w:rsidR="002A4DDF" w:rsidRPr="00937C8B" w:rsidRDefault="002A4DDF" w:rsidP="009110ED">
            <w:pPr>
              <w:rPr>
                <w:rFonts w:ascii="Arial" w:hAnsi="Arial" w:cs="Arial"/>
                <w:sz w:val="12"/>
                <w:szCs w:val="12"/>
              </w:rPr>
            </w:pPr>
          </w:p>
        </w:tc>
        <w:tc>
          <w:tcPr>
            <w:tcW w:w="1843" w:type="dxa"/>
            <w:shd w:val="clear" w:color="auto" w:fill="auto"/>
          </w:tcPr>
          <w:p w14:paraId="60B3D532" w14:textId="77777777" w:rsidR="002A4DDF" w:rsidRPr="00937C8B" w:rsidRDefault="002A4DDF" w:rsidP="009110ED">
            <w:pPr>
              <w:rPr>
                <w:rFonts w:ascii="Arial" w:hAnsi="Arial" w:cs="Arial"/>
                <w:sz w:val="12"/>
                <w:szCs w:val="12"/>
              </w:rPr>
            </w:pPr>
          </w:p>
        </w:tc>
        <w:tc>
          <w:tcPr>
            <w:tcW w:w="2268" w:type="dxa"/>
            <w:shd w:val="clear" w:color="auto" w:fill="F2F2F2"/>
            <w:hideMark/>
          </w:tcPr>
          <w:p w14:paraId="6E06B93A" w14:textId="77777777" w:rsidR="002A4DDF" w:rsidRPr="00937C8B" w:rsidRDefault="002A4DDF" w:rsidP="009110ED">
            <w:pPr>
              <w:rPr>
                <w:rFonts w:ascii="Arial" w:hAnsi="Arial" w:cs="Arial"/>
                <w:sz w:val="12"/>
                <w:szCs w:val="12"/>
              </w:rPr>
            </w:pPr>
            <w:r>
              <w:rPr>
                <w:rFonts w:ascii="Arial" w:hAnsi="Arial"/>
                <w:sz w:val="12"/>
                <w:szCs w:val="12"/>
              </w:rPr>
              <w:t>Martín del Río</w:t>
            </w:r>
          </w:p>
        </w:tc>
        <w:tc>
          <w:tcPr>
            <w:tcW w:w="2268" w:type="dxa"/>
            <w:tcBorders>
              <w:right w:val="single" w:sz="4" w:space="0" w:color="auto"/>
            </w:tcBorders>
            <w:shd w:val="clear" w:color="auto" w:fill="D9D9D9"/>
            <w:hideMark/>
          </w:tcPr>
          <w:p w14:paraId="12FCCCA6" w14:textId="77777777" w:rsidR="002A4DDF" w:rsidRPr="00937C8B" w:rsidRDefault="002A4DDF" w:rsidP="009110ED">
            <w:pPr>
              <w:rPr>
                <w:rFonts w:ascii="Arial" w:hAnsi="Arial" w:cs="Arial"/>
                <w:sz w:val="12"/>
                <w:szCs w:val="12"/>
              </w:rPr>
            </w:pPr>
          </w:p>
        </w:tc>
      </w:tr>
      <w:tr w:rsidR="002A4DDF" w:rsidRPr="00937C8B" w14:paraId="46A9F32A" w14:textId="77777777" w:rsidTr="00935676">
        <w:trPr>
          <w:cantSplit/>
        </w:trPr>
        <w:tc>
          <w:tcPr>
            <w:tcW w:w="1696" w:type="dxa"/>
            <w:tcBorders>
              <w:left w:val="single" w:sz="4" w:space="0" w:color="auto"/>
            </w:tcBorders>
            <w:shd w:val="clear" w:color="auto" w:fill="auto"/>
          </w:tcPr>
          <w:p w14:paraId="4E927119" w14:textId="77777777" w:rsidR="002A4DDF" w:rsidRPr="00937C8B" w:rsidRDefault="002A4DDF" w:rsidP="009110ED">
            <w:pPr>
              <w:rPr>
                <w:rFonts w:ascii="Arial" w:hAnsi="Arial" w:cs="Arial"/>
                <w:sz w:val="12"/>
                <w:szCs w:val="12"/>
              </w:rPr>
            </w:pPr>
          </w:p>
        </w:tc>
        <w:tc>
          <w:tcPr>
            <w:tcW w:w="1843" w:type="dxa"/>
            <w:shd w:val="clear" w:color="auto" w:fill="auto"/>
          </w:tcPr>
          <w:p w14:paraId="6309AF83" w14:textId="77777777" w:rsidR="002A4DDF" w:rsidRPr="00937C8B" w:rsidRDefault="002A4DDF" w:rsidP="009110ED">
            <w:pPr>
              <w:rPr>
                <w:rFonts w:ascii="Arial" w:hAnsi="Arial" w:cs="Arial"/>
                <w:sz w:val="12"/>
                <w:szCs w:val="12"/>
              </w:rPr>
            </w:pPr>
          </w:p>
        </w:tc>
        <w:tc>
          <w:tcPr>
            <w:tcW w:w="2268" w:type="dxa"/>
            <w:shd w:val="clear" w:color="auto" w:fill="F2F2F2"/>
            <w:hideMark/>
          </w:tcPr>
          <w:p w14:paraId="059F0FDB" w14:textId="77777777" w:rsidR="002A4DDF" w:rsidRPr="00937C8B" w:rsidRDefault="002A4DDF" w:rsidP="009110ED">
            <w:pPr>
              <w:rPr>
                <w:rFonts w:ascii="Arial" w:hAnsi="Arial" w:cs="Arial"/>
                <w:sz w:val="12"/>
                <w:szCs w:val="12"/>
              </w:rPr>
            </w:pPr>
            <w:r>
              <w:rPr>
                <w:rFonts w:ascii="Arial" w:hAnsi="Arial"/>
                <w:sz w:val="12"/>
                <w:szCs w:val="12"/>
              </w:rPr>
              <w:t>Monforte de Moyuela</w:t>
            </w:r>
          </w:p>
        </w:tc>
        <w:tc>
          <w:tcPr>
            <w:tcW w:w="2268" w:type="dxa"/>
            <w:tcBorders>
              <w:right w:val="single" w:sz="4" w:space="0" w:color="auto"/>
            </w:tcBorders>
            <w:shd w:val="clear" w:color="auto" w:fill="D9D9D9"/>
            <w:hideMark/>
          </w:tcPr>
          <w:p w14:paraId="4230012D" w14:textId="77777777" w:rsidR="002A4DDF" w:rsidRPr="00937C8B" w:rsidRDefault="002A4DDF" w:rsidP="009110ED">
            <w:pPr>
              <w:rPr>
                <w:rFonts w:ascii="Arial" w:hAnsi="Arial" w:cs="Arial"/>
                <w:sz w:val="12"/>
                <w:szCs w:val="12"/>
              </w:rPr>
            </w:pPr>
          </w:p>
        </w:tc>
      </w:tr>
      <w:tr w:rsidR="002A4DDF" w:rsidRPr="00937C8B" w14:paraId="4E536027" w14:textId="77777777" w:rsidTr="00935676">
        <w:trPr>
          <w:cantSplit/>
        </w:trPr>
        <w:tc>
          <w:tcPr>
            <w:tcW w:w="1696" w:type="dxa"/>
            <w:tcBorders>
              <w:left w:val="single" w:sz="4" w:space="0" w:color="auto"/>
            </w:tcBorders>
            <w:shd w:val="clear" w:color="auto" w:fill="auto"/>
          </w:tcPr>
          <w:p w14:paraId="00E2679B" w14:textId="77777777" w:rsidR="002A4DDF" w:rsidRPr="00937C8B" w:rsidRDefault="002A4DDF" w:rsidP="009110ED">
            <w:pPr>
              <w:rPr>
                <w:rFonts w:ascii="Arial" w:hAnsi="Arial" w:cs="Arial"/>
                <w:sz w:val="12"/>
                <w:szCs w:val="12"/>
              </w:rPr>
            </w:pPr>
          </w:p>
        </w:tc>
        <w:tc>
          <w:tcPr>
            <w:tcW w:w="1843" w:type="dxa"/>
            <w:shd w:val="clear" w:color="auto" w:fill="auto"/>
          </w:tcPr>
          <w:p w14:paraId="08AD5484" w14:textId="77777777" w:rsidR="002A4DDF" w:rsidRPr="00937C8B" w:rsidRDefault="002A4DDF" w:rsidP="009110ED">
            <w:pPr>
              <w:rPr>
                <w:rFonts w:ascii="Arial" w:hAnsi="Arial" w:cs="Arial"/>
                <w:sz w:val="12"/>
                <w:szCs w:val="12"/>
              </w:rPr>
            </w:pPr>
          </w:p>
        </w:tc>
        <w:tc>
          <w:tcPr>
            <w:tcW w:w="2268" w:type="dxa"/>
            <w:shd w:val="clear" w:color="auto" w:fill="F2F2F2"/>
            <w:hideMark/>
          </w:tcPr>
          <w:p w14:paraId="7C901010" w14:textId="77777777" w:rsidR="002A4DDF" w:rsidRPr="00937C8B" w:rsidRDefault="002A4DDF" w:rsidP="009110ED">
            <w:pPr>
              <w:rPr>
                <w:rFonts w:ascii="Arial" w:hAnsi="Arial" w:cs="Arial"/>
                <w:sz w:val="12"/>
                <w:szCs w:val="12"/>
              </w:rPr>
            </w:pPr>
            <w:r>
              <w:rPr>
                <w:rFonts w:ascii="Arial" w:hAnsi="Arial"/>
                <w:sz w:val="12"/>
                <w:szCs w:val="12"/>
              </w:rPr>
              <w:t>Monreal del Campo</w:t>
            </w:r>
          </w:p>
        </w:tc>
        <w:tc>
          <w:tcPr>
            <w:tcW w:w="2268" w:type="dxa"/>
            <w:tcBorders>
              <w:right w:val="single" w:sz="4" w:space="0" w:color="auto"/>
            </w:tcBorders>
            <w:shd w:val="clear" w:color="auto" w:fill="D9D9D9"/>
            <w:hideMark/>
          </w:tcPr>
          <w:p w14:paraId="3DC51F6D" w14:textId="77777777" w:rsidR="002A4DDF" w:rsidRPr="00937C8B" w:rsidRDefault="002A4DDF" w:rsidP="009110ED">
            <w:pPr>
              <w:rPr>
                <w:rFonts w:ascii="Arial" w:hAnsi="Arial" w:cs="Arial"/>
                <w:sz w:val="12"/>
                <w:szCs w:val="12"/>
              </w:rPr>
            </w:pPr>
          </w:p>
        </w:tc>
      </w:tr>
      <w:tr w:rsidR="002A4DDF" w:rsidRPr="00937C8B" w14:paraId="4D95CB69" w14:textId="77777777" w:rsidTr="00935676">
        <w:trPr>
          <w:cantSplit/>
        </w:trPr>
        <w:tc>
          <w:tcPr>
            <w:tcW w:w="1696" w:type="dxa"/>
            <w:tcBorders>
              <w:left w:val="single" w:sz="4" w:space="0" w:color="auto"/>
            </w:tcBorders>
            <w:shd w:val="clear" w:color="auto" w:fill="auto"/>
          </w:tcPr>
          <w:p w14:paraId="6F9CA3EA" w14:textId="77777777" w:rsidR="002A4DDF" w:rsidRPr="00937C8B" w:rsidRDefault="002A4DDF" w:rsidP="009110ED">
            <w:pPr>
              <w:rPr>
                <w:rFonts w:ascii="Arial" w:hAnsi="Arial" w:cs="Arial"/>
                <w:sz w:val="12"/>
                <w:szCs w:val="12"/>
              </w:rPr>
            </w:pPr>
          </w:p>
        </w:tc>
        <w:tc>
          <w:tcPr>
            <w:tcW w:w="1843" w:type="dxa"/>
            <w:shd w:val="clear" w:color="auto" w:fill="auto"/>
          </w:tcPr>
          <w:p w14:paraId="6749297D" w14:textId="77777777" w:rsidR="002A4DDF" w:rsidRPr="00937C8B" w:rsidRDefault="002A4DDF" w:rsidP="009110ED">
            <w:pPr>
              <w:rPr>
                <w:rFonts w:ascii="Arial" w:hAnsi="Arial" w:cs="Arial"/>
                <w:sz w:val="12"/>
                <w:szCs w:val="12"/>
              </w:rPr>
            </w:pPr>
          </w:p>
        </w:tc>
        <w:tc>
          <w:tcPr>
            <w:tcW w:w="2268" w:type="dxa"/>
            <w:shd w:val="clear" w:color="auto" w:fill="F2F2F2"/>
            <w:hideMark/>
          </w:tcPr>
          <w:p w14:paraId="7CC98662" w14:textId="77777777" w:rsidR="002A4DDF" w:rsidRPr="00937C8B" w:rsidRDefault="002A4DDF" w:rsidP="009110ED">
            <w:pPr>
              <w:rPr>
                <w:rFonts w:ascii="Arial" w:hAnsi="Arial" w:cs="Arial"/>
                <w:sz w:val="12"/>
                <w:szCs w:val="12"/>
              </w:rPr>
            </w:pPr>
            <w:r>
              <w:rPr>
                <w:rFonts w:ascii="Arial" w:hAnsi="Arial"/>
                <w:sz w:val="12"/>
                <w:szCs w:val="12"/>
              </w:rPr>
              <w:t>Montalbán</w:t>
            </w:r>
          </w:p>
        </w:tc>
        <w:tc>
          <w:tcPr>
            <w:tcW w:w="2268" w:type="dxa"/>
            <w:tcBorders>
              <w:right w:val="single" w:sz="4" w:space="0" w:color="auto"/>
            </w:tcBorders>
            <w:shd w:val="clear" w:color="auto" w:fill="D9D9D9"/>
            <w:hideMark/>
          </w:tcPr>
          <w:p w14:paraId="5A3565F8" w14:textId="77777777" w:rsidR="002A4DDF" w:rsidRPr="00937C8B" w:rsidRDefault="002A4DDF" w:rsidP="009110ED">
            <w:pPr>
              <w:rPr>
                <w:rFonts w:ascii="Arial" w:hAnsi="Arial" w:cs="Arial"/>
                <w:sz w:val="12"/>
                <w:szCs w:val="12"/>
              </w:rPr>
            </w:pPr>
          </w:p>
        </w:tc>
      </w:tr>
      <w:tr w:rsidR="002A4DDF" w:rsidRPr="00937C8B" w14:paraId="231C6234" w14:textId="77777777" w:rsidTr="00935676">
        <w:trPr>
          <w:cantSplit/>
        </w:trPr>
        <w:tc>
          <w:tcPr>
            <w:tcW w:w="1696" w:type="dxa"/>
            <w:tcBorders>
              <w:left w:val="single" w:sz="4" w:space="0" w:color="auto"/>
            </w:tcBorders>
            <w:shd w:val="clear" w:color="auto" w:fill="auto"/>
          </w:tcPr>
          <w:p w14:paraId="06A95FB4" w14:textId="77777777" w:rsidR="002A4DDF" w:rsidRPr="00937C8B" w:rsidRDefault="002A4DDF" w:rsidP="009110ED">
            <w:pPr>
              <w:rPr>
                <w:rFonts w:ascii="Arial" w:hAnsi="Arial" w:cs="Arial"/>
                <w:sz w:val="12"/>
                <w:szCs w:val="12"/>
              </w:rPr>
            </w:pPr>
          </w:p>
        </w:tc>
        <w:tc>
          <w:tcPr>
            <w:tcW w:w="1843" w:type="dxa"/>
            <w:shd w:val="clear" w:color="auto" w:fill="auto"/>
          </w:tcPr>
          <w:p w14:paraId="2AC926BA" w14:textId="77777777" w:rsidR="002A4DDF" w:rsidRPr="00937C8B" w:rsidRDefault="002A4DDF" w:rsidP="009110ED">
            <w:pPr>
              <w:rPr>
                <w:rFonts w:ascii="Arial" w:hAnsi="Arial" w:cs="Arial"/>
                <w:sz w:val="12"/>
                <w:szCs w:val="12"/>
              </w:rPr>
            </w:pPr>
          </w:p>
        </w:tc>
        <w:tc>
          <w:tcPr>
            <w:tcW w:w="2268" w:type="dxa"/>
            <w:shd w:val="clear" w:color="auto" w:fill="F2F2F2"/>
            <w:hideMark/>
          </w:tcPr>
          <w:p w14:paraId="01DF791A" w14:textId="77777777" w:rsidR="002A4DDF" w:rsidRPr="00937C8B" w:rsidRDefault="002A4DDF" w:rsidP="009110ED">
            <w:pPr>
              <w:rPr>
                <w:rFonts w:ascii="Arial" w:hAnsi="Arial" w:cs="Arial"/>
                <w:sz w:val="12"/>
                <w:szCs w:val="12"/>
              </w:rPr>
            </w:pPr>
            <w:r>
              <w:rPr>
                <w:rFonts w:ascii="Arial" w:hAnsi="Arial"/>
                <w:sz w:val="12"/>
                <w:szCs w:val="12"/>
              </w:rPr>
              <w:t>Monteagudo del Castillo</w:t>
            </w:r>
          </w:p>
        </w:tc>
        <w:tc>
          <w:tcPr>
            <w:tcW w:w="2268" w:type="dxa"/>
            <w:tcBorders>
              <w:right w:val="single" w:sz="4" w:space="0" w:color="auto"/>
            </w:tcBorders>
            <w:shd w:val="clear" w:color="auto" w:fill="D9D9D9"/>
            <w:hideMark/>
          </w:tcPr>
          <w:p w14:paraId="75359184" w14:textId="77777777" w:rsidR="002A4DDF" w:rsidRPr="00937C8B" w:rsidRDefault="002A4DDF" w:rsidP="009110ED">
            <w:pPr>
              <w:rPr>
                <w:rFonts w:ascii="Arial" w:hAnsi="Arial" w:cs="Arial"/>
                <w:sz w:val="12"/>
                <w:szCs w:val="12"/>
              </w:rPr>
            </w:pPr>
          </w:p>
        </w:tc>
      </w:tr>
      <w:tr w:rsidR="002A4DDF" w:rsidRPr="00937C8B" w14:paraId="7A60C95B" w14:textId="77777777" w:rsidTr="00935676">
        <w:trPr>
          <w:cantSplit/>
        </w:trPr>
        <w:tc>
          <w:tcPr>
            <w:tcW w:w="1696" w:type="dxa"/>
            <w:tcBorders>
              <w:left w:val="single" w:sz="4" w:space="0" w:color="auto"/>
            </w:tcBorders>
            <w:shd w:val="clear" w:color="auto" w:fill="auto"/>
          </w:tcPr>
          <w:p w14:paraId="12F02901" w14:textId="77777777" w:rsidR="002A4DDF" w:rsidRPr="00937C8B" w:rsidRDefault="002A4DDF" w:rsidP="009110ED">
            <w:pPr>
              <w:rPr>
                <w:rFonts w:ascii="Arial" w:hAnsi="Arial" w:cs="Arial"/>
                <w:sz w:val="12"/>
                <w:szCs w:val="12"/>
              </w:rPr>
            </w:pPr>
          </w:p>
        </w:tc>
        <w:tc>
          <w:tcPr>
            <w:tcW w:w="1843" w:type="dxa"/>
            <w:shd w:val="clear" w:color="auto" w:fill="auto"/>
          </w:tcPr>
          <w:p w14:paraId="2261C31D" w14:textId="77777777" w:rsidR="002A4DDF" w:rsidRPr="00937C8B" w:rsidRDefault="002A4DDF" w:rsidP="009110ED">
            <w:pPr>
              <w:rPr>
                <w:rFonts w:ascii="Arial" w:hAnsi="Arial" w:cs="Arial"/>
                <w:sz w:val="12"/>
                <w:szCs w:val="12"/>
              </w:rPr>
            </w:pPr>
          </w:p>
        </w:tc>
        <w:tc>
          <w:tcPr>
            <w:tcW w:w="2268" w:type="dxa"/>
            <w:shd w:val="clear" w:color="auto" w:fill="F2F2F2"/>
            <w:hideMark/>
          </w:tcPr>
          <w:p w14:paraId="1B86E869" w14:textId="77777777" w:rsidR="002A4DDF" w:rsidRPr="00937C8B" w:rsidRDefault="002A4DDF" w:rsidP="009110ED">
            <w:pPr>
              <w:rPr>
                <w:rFonts w:ascii="Arial" w:hAnsi="Arial" w:cs="Arial"/>
                <w:sz w:val="12"/>
                <w:szCs w:val="12"/>
              </w:rPr>
            </w:pPr>
            <w:r>
              <w:rPr>
                <w:rFonts w:ascii="Arial" w:hAnsi="Arial"/>
                <w:sz w:val="12"/>
                <w:szCs w:val="12"/>
              </w:rPr>
              <w:t>Monterde de Albarracín</w:t>
            </w:r>
          </w:p>
        </w:tc>
        <w:tc>
          <w:tcPr>
            <w:tcW w:w="2268" w:type="dxa"/>
            <w:tcBorders>
              <w:right w:val="single" w:sz="4" w:space="0" w:color="auto"/>
            </w:tcBorders>
            <w:shd w:val="clear" w:color="auto" w:fill="D9D9D9"/>
            <w:hideMark/>
          </w:tcPr>
          <w:p w14:paraId="218EB274" w14:textId="77777777" w:rsidR="002A4DDF" w:rsidRPr="00937C8B" w:rsidRDefault="002A4DDF" w:rsidP="009110ED">
            <w:pPr>
              <w:rPr>
                <w:rFonts w:ascii="Arial" w:hAnsi="Arial" w:cs="Arial"/>
                <w:sz w:val="12"/>
                <w:szCs w:val="12"/>
              </w:rPr>
            </w:pPr>
          </w:p>
        </w:tc>
      </w:tr>
      <w:tr w:rsidR="002A4DDF" w:rsidRPr="00937C8B" w14:paraId="433DC602" w14:textId="77777777" w:rsidTr="00935676">
        <w:trPr>
          <w:cantSplit/>
        </w:trPr>
        <w:tc>
          <w:tcPr>
            <w:tcW w:w="1696" w:type="dxa"/>
            <w:tcBorders>
              <w:left w:val="single" w:sz="4" w:space="0" w:color="auto"/>
            </w:tcBorders>
            <w:shd w:val="clear" w:color="auto" w:fill="auto"/>
          </w:tcPr>
          <w:p w14:paraId="6E199141" w14:textId="77777777" w:rsidR="002A4DDF" w:rsidRPr="00937C8B" w:rsidRDefault="002A4DDF" w:rsidP="009110ED">
            <w:pPr>
              <w:rPr>
                <w:rFonts w:ascii="Arial" w:hAnsi="Arial" w:cs="Arial"/>
                <w:sz w:val="12"/>
                <w:szCs w:val="12"/>
              </w:rPr>
            </w:pPr>
          </w:p>
        </w:tc>
        <w:tc>
          <w:tcPr>
            <w:tcW w:w="1843" w:type="dxa"/>
            <w:shd w:val="clear" w:color="auto" w:fill="auto"/>
          </w:tcPr>
          <w:p w14:paraId="65E66BB6" w14:textId="77777777" w:rsidR="002A4DDF" w:rsidRPr="00937C8B" w:rsidRDefault="002A4DDF" w:rsidP="009110ED">
            <w:pPr>
              <w:rPr>
                <w:rFonts w:ascii="Arial" w:hAnsi="Arial" w:cs="Arial"/>
                <w:sz w:val="12"/>
                <w:szCs w:val="12"/>
              </w:rPr>
            </w:pPr>
          </w:p>
        </w:tc>
        <w:tc>
          <w:tcPr>
            <w:tcW w:w="2268" w:type="dxa"/>
            <w:shd w:val="clear" w:color="auto" w:fill="F2F2F2"/>
            <w:hideMark/>
          </w:tcPr>
          <w:p w14:paraId="53BF241F" w14:textId="77777777" w:rsidR="002A4DDF" w:rsidRPr="00937C8B" w:rsidRDefault="002A4DDF" w:rsidP="009110ED">
            <w:pPr>
              <w:rPr>
                <w:rFonts w:ascii="Arial" w:hAnsi="Arial" w:cs="Arial"/>
                <w:sz w:val="12"/>
                <w:szCs w:val="12"/>
              </w:rPr>
            </w:pPr>
            <w:r>
              <w:rPr>
                <w:rFonts w:ascii="Arial" w:hAnsi="Arial"/>
                <w:sz w:val="12"/>
                <w:szCs w:val="12"/>
              </w:rPr>
              <w:t>Noguera de Albarracín</w:t>
            </w:r>
          </w:p>
        </w:tc>
        <w:tc>
          <w:tcPr>
            <w:tcW w:w="2268" w:type="dxa"/>
            <w:tcBorders>
              <w:right w:val="single" w:sz="4" w:space="0" w:color="auto"/>
            </w:tcBorders>
            <w:shd w:val="clear" w:color="auto" w:fill="D9D9D9"/>
            <w:hideMark/>
          </w:tcPr>
          <w:p w14:paraId="66D98E87" w14:textId="77777777" w:rsidR="002A4DDF" w:rsidRPr="00937C8B" w:rsidRDefault="002A4DDF" w:rsidP="009110ED">
            <w:pPr>
              <w:rPr>
                <w:rFonts w:ascii="Arial" w:hAnsi="Arial" w:cs="Arial"/>
                <w:sz w:val="12"/>
                <w:szCs w:val="12"/>
              </w:rPr>
            </w:pPr>
          </w:p>
        </w:tc>
      </w:tr>
      <w:tr w:rsidR="002A4DDF" w:rsidRPr="00937C8B" w14:paraId="4F27C7FA" w14:textId="77777777" w:rsidTr="00935676">
        <w:trPr>
          <w:cantSplit/>
        </w:trPr>
        <w:tc>
          <w:tcPr>
            <w:tcW w:w="1696" w:type="dxa"/>
            <w:tcBorders>
              <w:left w:val="single" w:sz="4" w:space="0" w:color="auto"/>
            </w:tcBorders>
            <w:shd w:val="clear" w:color="auto" w:fill="auto"/>
          </w:tcPr>
          <w:p w14:paraId="33E202F5" w14:textId="77777777" w:rsidR="002A4DDF" w:rsidRPr="00937C8B" w:rsidRDefault="002A4DDF" w:rsidP="009110ED">
            <w:pPr>
              <w:rPr>
                <w:rFonts w:ascii="Arial" w:hAnsi="Arial" w:cs="Arial"/>
                <w:sz w:val="12"/>
                <w:szCs w:val="12"/>
              </w:rPr>
            </w:pPr>
          </w:p>
        </w:tc>
        <w:tc>
          <w:tcPr>
            <w:tcW w:w="1843" w:type="dxa"/>
            <w:shd w:val="clear" w:color="auto" w:fill="auto"/>
          </w:tcPr>
          <w:p w14:paraId="00984EBE" w14:textId="77777777" w:rsidR="002A4DDF" w:rsidRPr="00937C8B" w:rsidRDefault="002A4DDF" w:rsidP="009110ED">
            <w:pPr>
              <w:rPr>
                <w:rFonts w:ascii="Arial" w:hAnsi="Arial" w:cs="Arial"/>
                <w:sz w:val="12"/>
                <w:szCs w:val="12"/>
              </w:rPr>
            </w:pPr>
          </w:p>
        </w:tc>
        <w:tc>
          <w:tcPr>
            <w:tcW w:w="2268" w:type="dxa"/>
            <w:shd w:val="clear" w:color="auto" w:fill="F2F2F2"/>
            <w:hideMark/>
          </w:tcPr>
          <w:p w14:paraId="6E118B6A" w14:textId="77777777" w:rsidR="002A4DDF" w:rsidRPr="00937C8B" w:rsidRDefault="002A4DDF" w:rsidP="009110ED">
            <w:pPr>
              <w:rPr>
                <w:rFonts w:ascii="Arial" w:hAnsi="Arial" w:cs="Arial"/>
                <w:sz w:val="12"/>
                <w:szCs w:val="12"/>
              </w:rPr>
            </w:pPr>
            <w:r>
              <w:rPr>
                <w:rFonts w:ascii="Arial" w:hAnsi="Arial"/>
                <w:sz w:val="12"/>
                <w:szCs w:val="12"/>
              </w:rPr>
              <w:t>Nogueras</w:t>
            </w:r>
          </w:p>
        </w:tc>
        <w:tc>
          <w:tcPr>
            <w:tcW w:w="2268" w:type="dxa"/>
            <w:tcBorders>
              <w:right w:val="single" w:sz="4" w:space="0" w:color="auto"/>
            </w:tcBorders>
            <w:shd w:val="clear" w:color="auto" w:fill="D9D9D9"/>
            <w:hideMark/>
          </w:tcPr>
          <w:p w14:paraId="321E4AC9" w14:textId="77777777" w:rsidR="002A4DDF" w:rsidRPr="00937C8B" w:rsidRDefault="002A4DDF" w:rsidP="009110ED">
            <w:pPr>
              <w:rPr>
                <w:rFonts w:ascii="Arial" w:hAnsi="Arial" w:cs="Arial"/>
                <w:sz w:val="12"/>
                <w:szCs w:val="12"/>
              </w:rPr>
            </w:pPr>
          </w:p>
        </w:tc>
      </w:tr>
      <w:tr w:rsidR="002A4DDF" w:rsidRPr="00937C8B" w14:paraId="42D94654" w14:textId="77777777" w:rsidTr="00935676">
        <w:trPr>
          <w:cantSplit/>
        </w:trPr>
        <w:tc>
          <w:tcPr>
            <w:tcW w:w="1696" w:type="dxa"/>
            <w:tcBorders>
              <w:left w:val="single" w:sz="4" w:space="0" w:color="auto"/>
            </w:tcBorders>
            <w:shd w:val="clear" w:color="auto" w:fill="auto"/>
          </w:tcPr>
          <w:p w14:paraId="442F9C2F" w14:textId="77777777" w:rsidR="002A4DDF" w:rsidRPr="00937C8B" w:rsidRDefault="002A4DDF" w:rsidP="009110ED">
            <w:pPr>
              <w:rPr>
                <w:rFonts w:ascii="Arial" w:hAnsi="Arial" w:cs="Arial"/>
                <w:sz w:val="12"/>
                <w:szCs w:val="12"/>
              </w:rPr>
            </w:pPr>
          </w:p>
        </w:tc>
        <w:tc>
          <w:tcPr>
            <w:tcW w:w="1843" w:type="dxa"/>
            <w:shd w:val="clear" w:color="auto" w:fill="auto"/>
          </w:tcPr>
          <w:p w14:paraId="71879329" w14:textId="77777777" w:rsidR="002A4DDF" w:rsidRPr="00937C8B" w:rsidRDefault="002A4DDF" w:rsidP="009110ED">
            <w:pPr>
              <w:rPr>
                <w:rFonts w:ascii="Arial" w:hAnsi="Arial" w:cs="Arial"/>
                <w:sz w:val="12"/>
                <w:szCs w:val="12"/>
              </w:rPr>
            </w:pPr>
          </w:p>
        </w:tc>
        <w:tc>
          <w:tcPr>
            <w:tcW w:w="2268" w:type="dxa"/>
            <w:shd w:val="clear" w:color="auto" w:fill="F2F2F2"/>
            <w:hideMark/>
          </w:tcPr>
          <w:p w14:paraId="79256ECC" w14:textId="77777777" w:rsidR="002A4DDF" w:rsidRPr="00937C8B" w:rsidRDefault="002A4DDF" w:rsidP="009110ED">
            <w:pPr>
              <w:rPr>
                <w:rFonts w:ascii="Arial" w:hAnsi="Arial" w:cs="Arial"/>
                <w:sz w:val="12"/>
                <w:szCs w:val="12"/>
              </w:rPr>
            </w:pPr>
            <w:r>
              <w:rPr>
                <w:rFonts w:ascii="Arial" w:hAnsi="Arial"/>
                <w:sz w:val="12"/>
                <w:szCs w:val="12"/>
              </w:rPr>
              <w:t>Obón</w:t>
            </w:r>
          </w:p>
        </w:tc>
        <w:tc>
          <w:tcPr>
            <w:tcW w:w="2268" w:type="dxa"/>
            <w:tcBorders>
              <w:right w:val="single" w:sz="4" w:space="0" w:color="auto"/>
            </w:tcBorders>
            <w:shd w:val="clear" w:color="auto" w:fill="D9D9D9"/>
            <w:hideMark/>
          </w:tcPr>
          <w:p w14:paraId="2C187F52" w14:textId="77777777" w:rsidR="002A4DDF" w:rsidRPr="00937C8B" w:rsidRDefault="002A4DDF" w:rsidP="009110ED">
            <w:pPr>
              <w:rPr>
                <w:rFonts w:ascii="Arial" w:hAnsi="Arial" w:cs="Arial"/>
                <w:sz w:val="12"/>
                <w:szCs w:val="12"/>
              </w:rPr>
            </w:pPr>
          </w:p>
        </w:tc>
      </w:tr>
      <w:tr w:rsidR="002A4DDF" w:rsidRPr="00937C8B" w14:paraId="1135886F" w14:textId="77777777" w:rsidTr="00935676">
        <w:trPr>
          <w:cantSplit/>
        </w:trPr>
        <w:tc>
          <w:tcPr>
            <w:tcW w:w="1696" w:type="dxa"/>
            <w:tcBorders>
              <w:left w:val="single" w:sz="4" w:space="0" w:color="auto"/>
            </w:tcBorders>
            <w:shd w:val="clear" w:color="auto" w:fill="auto"/>
          </w:tcPr>
          <w:p w14:paraId="246BE0AE" w14:textId="77777777" w:rsidR="002A4DDF" w:rsidRPr="00937C8B" w:rsidRDefault="002A4DDF" w:rsidP="009110ED">
            <w:pPr>
              <w:rPr>
                <w:rFonts w:ascii="Arial" w:hAnsi="Arial" w:cs="Arial"/>
                <w:sz w:val="12"/>
                <w:szCs w:val="12"/>
              </w:rPr>
            </w:pPr>
          </w:p>
        </w:tc>
        <w:tc>
          <w:tcPr>
            <w:tcW w:w="1843" w:type="dxa"/>
            <w:shd w:val="clear" w:color="auto" w:fill="auto"/>
          </w:tcPr>
          <w:p w14:paraId="599736B8" w14:textId="77777777" w:rsidR="002A4DDF" w:rsidRPr="00937C8B" w:rsidRDefault="002A4DDF" w:rsidP="009110ED">
            <w:pPr>
              <w:rPr>
                <w:rFonts w:ascii="Arial" w:hAnsi="Arial" w:cs="Arial"/>
                <w:sz w:val="12"/>
                <w:szCs w:val="12"/>
              </w:rPr>
            </w:pPr>
          </w:p>
        </w:tc>
        <w:tc>
          <w:tcPr>
            <w:tcW w:w="2268" w:type="dxa"/>
            <w:shd w:val="clear" w:color="auto" w:fill="F2F2F2"/>
            <w:hideMark/>
          </w:tcPr>
          <w:p w14:paraId="191B23F0" w14:textId="77777777" w:rsidR="002A4DDF" w:rsidRPr="00937C8B" w:rsidRDefault="002A4DDF" w:rsidP="009110ED">
            <w:pPr>
              <w:rPr>
                <w:rFonts w:ascii="Arial" w:hAnsi="Arial" w:cs="Arial"/>
                <w:sz w:val="12"/>
                <w:szCs w:val="12"/>
              </w:rPr>
            </w:pPr>
            <w:r>
              <w:rPr>
                <w:rFonts w:ascii="Arial" w:hAnsi="Arial"/>
                <w:sz w:val="12"/>
                <w:szCs w:val="12"/>
              </w:rPr>
              <w:t>Ojos Negros</w:t>
            </w:r>
          </w:p>
        </w:tc>
        <w:tc>
          <w:tcPr>
            <w:tcW w:w="2268" w:type="dxa"/>
            <w:tcBorders>
              <w:right w:val="single" w:sz="4" w:space="0" w:color="auto"/>
            </w:tcBorders>
            <w:shd w:val="clear" w:color="auto" w:fill="D9D9D9"/>
            <w:hideMark/>
          </w:tcPr>
          <w:p w14:paraId="413E61AA" w14:textId="77777777" w:rsidR="002A4DDF" w:rsidRPr="00937C8B" w:rsidRDefault="002A4DDF" w:rsidP="009110ED">
            <w:pPr>
              <w:rPr>
                <w:rFonts w:ascii="Arial" w:hAnsi="Arial" w:cs="Arial"/>
                <w:sz w:val="12"/>
                <w:szCs w:val="12"/>
              </w:rPr>
            </w:pPr>
          </w:p>
        </w:tc>
      </w:tr>
      <w:tr w:rsidR="002A4DDF" w:rsidRPr="00937C8B" w14:paraId="6F96B1FF" w14:textId="77777777" w:rsidTr="00935676">
        <w:trPr>
          <w:cantSplit/>
        </w:trPr>
        <w:tc>
          <w:tcPr>
            <w:tcW w:w="1696" w:type="dxa"/>
            <w:tcBorders>
              <w:left w:val="single" w:sz="4" w:space="0" w:color="auto"/>
            </w:tcBorders>
            <w:shd w:val="clear" w:color="auto" w:fill="auto"/>
          </w:tcPr>
          <w:p w14:paraId="4DBFBD5A" w14:textId="77777777" w:rsidR="002A4DDF" w:rsidRPr="00937C8B" w:rsidRDefault="002A4DDF" w:rsidP="009110ED">
            <w:pPr>
              <w:rPr>
                <w:rFonts w:ascii="Arial" w:hAnsi="Arial" w:cs="Arial"/>
                <w:sz w:val="12"/>
                <w:szCs w:val="12"/>
              </w:rPr>
            </w:pPr>
          </w:p>
        </w:tc>
        <w:tc>
          <w:tcPr>
            <w:tcW w:w="1843" w:type="dxa"/>
            <w:shd w:val="clear" w:color="auto" w:fill="auto"/>
          </w:tcPr>
          <w:p w14:paraId="4FCFF3EB" w14:textId="77777777" w:rsidR="002A4DDF" w:rsidRPr="00937C8B" w:rsidRDefault="002A4DDF" w:rsidP="009110ED">
            <w:pPr>
              <w:rPr>
                <w:rFonts w:ascii="Arial" w:hAnsi="Arial" w:cs="Arial"/>
                <w:sz w:val="12"/>
                <w:szCs w:val="12"/>
              </w:rPr>
            </w:pPr>
          </w:p>
        </w:tc>
        <w:tc>
          <w:tcPr>
            <w:tcW w:w="2268" w:type="dxa"/>
            <w:shd w:val="clear" w:color="auto" w:fill="F2F2F2"/>
            <w:hideMark/>
          </w:tcPr>
          <w:p w14:paraId="77CD707C" w14:textId="77777777" w:rsidR="002A4DDF" w:rsidRPr="00937C8B" w:rsidRDefault="002A4DDF" w:rsidP="009110ED">
            <w:pPr>
              <w:rPr>
                <w:rFonts w:ascii="Arial" w:hAnsi="Arial" w:cs="Arial"/>
                <w:sz w:val="12"/>
                <w:szCs w:val="12"/>
              </w:rPr>
            </w:pPr>
            <w:r>
              <w:rPr>
                <w:rFonts w:ascii="Arial" w:hAnsi="Arial"/>
                <w:sz w:val="12"/>
                <w:szCs w:val="12"/>
              </w:rPr>
              <w:t>Orihuela del Tremedal</w:t>
            </w:r>
          </w:p>
        </w:tc>
        <w:tc>
          <w:tcPr>
            <w:tcW w:w="2268" w:type="dxa"/>
            <w:tcBorders>
              <w:right w:val="single" w:sz="4" w:space="0" w:color="auto"/>
            </w:tcBorders>
            <w:shd w:val="clear" w:color="auto" w:fill="D9D9D9"/>
            <w:hideMark/>
          </w:tcPr>
          <w:p w14:paraId="1F613764" w14:textId="77777777" w:rsidR="002A4DDF" w:rsidRPr="00937C8B" w:rsidRDefault="002A4DDF" w:rsidP="009110ED">
            <w:pPr>
              <w:rPr>
                <w:rFonts w:ascii="Arial" w:hAnsi="Arial" w:cs="Arial"/>
                <w:sz w:val="12"/>
                <w:szCs w:val="12"/>
              </w:rPr>
            </w:pPr>
          </w:p>
        </w:tc>
      </w:tr>
      <w:tr w:rsidR="002A4DDF" w:rsidRPr="00937C8B" w14:paraId="67B26D4E" w14:textId="77777777" w:rsidTr="00935676">
        <w:trPr>
          <w:cantSplit/>
        </w:trPr>
        <w:tc>
          <w:tcPr>
            <w:tcW w:w="1696" w:type="dxa"/>
            <w:tcBorders>
              <w:left w:val="single" w:sz="4" w:space="0" w:color="auto"/>
            </w:tcBorders>
            <w:shd w:val="clear" w:color="auto" w:fill="auto"/>
          </w:tcPr>
          <w:p w14:paraId="03376619" w14:textId="77777777" w:rsidR="002A4DDF" w:rsidRPr="00937C8B" w:rsidRDefault="002A4DDF" w:rsidP="009110ED">
            <w:pPr>
              <w:rPr>
                <w:rFonts w:ascii="Arial" w:hAnsi="Arial" w:cs="Arial"/>
                <w:sz w:val="12"/>
                <w:szCs w:val="12"/>
              </w:rPr>
            </w:pPr>
          </w:p>
        </w:tc>
        <w:tc>
          <w:tcPr>
            <w:tcW w:w="1843" w:type="dxa"/>
            <w:shd w:val="clear" w:color="auto" w:fill="auto"/>
          </w:tcPr>
          <w:p w14:paraId="7F547444" w14:textId="77777777" w:rsidR="002A4DDF" w:rsidRPr="00937C8B" w:rsidRDefault="002A4DDF" w:rsidP="009110ED">
            <w:pPr>
              <w:rPr>
                <w:rFonts w:ascii="Arial" w:hAnsi="Arial" w:cs="Arial"/>
                <w:sz w:val="12"/>
                <w:szCs w:val="12"/>
              </w:rPr>
            </w:pPr>
          </w:p>
        </w:tc>
        <w:tc>
          <w:tcPr>
            <w:tcW w:w="2268" w:type="dxa"/>
            <w:shd w:val="clear" w:color="auto" w:fill="F2F2F2"/>
            <w:hideMark/>
          </w:tcPr>
          <w:p w14:paraId="65FD54D5" w14:textId="77777777" w:rsidR="002A4DDF" w:rsidRPr="00937C8B" w:rsidRDefault="002A4DDF" w:rsidP="009110ED">
            <w:pPr>
              <w:rPr>
                <w:rFonts w:ascii="Arial" w:hAnsi="Arial" w:cs="Arial"/>
                <w:sz w:val="12"/>
                <w:szCs w:val="12"/>
              </w:rPr>
            </w:pPr>
            <w:r>
              <w:rPr>
                <w:rFonts w:ascii="Arial" w:hAnsi="Arial"/>
                <w:sz w:val="12"/>
                <w:szCs w:val="12"/>
              </w:rPr>
              <w:t>Orrios</w:t>
            </w:r>
          </w:p>
        </w:tc>
        <w:tc>
          <w:tcPr>
            <w:tcW w:w="2268" w:type="dxa"/>
            <w:tcBorders>
              <w:right w:val="single" w:sz="4" w:space="0" w:color="auto"/>
            </w:tcBorders>
            <w:shd w:val="clear" w:color="auto" w:fill="D9D9D9"/>
            <w:hideMark/>
          </w:tcPr>
          <w:p w14:paraId="42AC5129" w14:textId="77777777" w:rsidR="002A4DDF" w:rsidRPr="00937C8B" w:rsidRDefault="002A4DDF" w:rsidP="009110ED">
            <w:pPr>
              <w:rPr>
                <w:rFonts w:ascii="Arial" w:hAnsi="Arial" w:cs="Arial"/>
                <w:sz w:val="12"/>
                <w:szCs w:val="12"/>
              </w:rPr>
            </w:pPr>
          </w:p>
        </w:tc>
      </w:tr>
      <w:tr w:rsidR="002A4DDF" w:rsidRPr="00937C8B" w14:paraId="4AD33F16" w14:textId="77777777" w:rsidTr="00935676">
        <w:trPr>
          <w:cantSplit/>
        </w:trPr>
        <w:tc>
          <w:tcPr>
            <w:tcW w:w="1696" w:type="dxa"/>
            <w:tcBorders>
              <w:left w:val="single" w:sz="4" w:space="0" w:color="auto"/>
            </w:tcBorders>
            <w:shd w:val="clear" w:color="auto" w:fill="auto"/>
          </w:tcPr>
          <w:p w14:paraId="43183A41" w14:textId="77777777" w:rsidR="002A4DDF" w:rsidRPr="00937C8B" w:rsidRDefault="002A4DDF" w:rsidP="009110ED">
            <w:pPr>
              <w:rPr>
                <w:rFonts w:ascii="Arial" w:hAnsi="Arial" w:cs="Arial"/>
                <w:sz w:val="12"/>
                <w:szCs w:val="12"/>
              </w:rPr>
            </w:pPr>
          </w:p>
        </w:tc>
        <w:tc>
          <w:tcPr>
            <w:tcW w:w="1843" w:type="dxa"/>
            <w:shd w:val="clear" w:color="auto" w:fill="auto"/>
          </w:tcPr>
          <w:p w14:paraId="137F9F31" w14:textId="77777777" w:rsidR="002A4DDF" w:rsidRPr="00937C8B" w:rsidRDefault="002A4DDF" w:rsidP="009110ED">
            <w:pPr>
              <w:rPr>
                <w:rFonts w:ascii="Arial" w:hAnsi="Arial" w:cs="Arial"/>
                <w:sz w:val="12"/>
                <w:szCs w:val="12"/>
              </w:rPr>
            </w:pPr>
          </w:p>
        </w:tc>
        <w:tc>
          <w:tcPr>
            <w:tcW w:w="2268" w:type="dxa"/>
            <w:shd w:val="clear" w:color="auto" w:fill="F2F2F2"/>
            <w:hideMark/>
          </w:tcPr>
          <w:p w14:paraId="220ACA88" w14:textId="77777777" w:rsidR="002A4DDF" w:rsidRPr="00937C8B" w:rsidRDefault="002A4DDF" w:rsidP="009110ED">
            <w:pPr>
              <w:rPr>
                <w:rFonts w:ascii="Arial" w:hAnsi="Arial" w:cs="Arial"/>
                <w:sz w:val="12"/>
                <w:szCs w:val="12"/>
              </w:rPr>
            </w:pPr>
            <w:r>
              <w:rPr>
                <w:rFonts w:ascii="Arial" w:hAnsi="Arial"/>
                <w:sz w:val="12"/>
                <w:szCs w:val="12"/>
              </w:rPr>
              <w:t>Palomar de Arroyos</w:t>
            </w:r>
          </w:p>
        </w:tc>
        <w:tc>
          <w:tcPr>
            <w:tcW w:w="2268" w:type="dxa"/>
            <w:tcBorders>
              <w:right w:val="single" w:sz="4" w:space="0" w:color="auto"/>
            </w:tcBorders>
            <w:shd w:val="clear" w:color="auto" w:fill="D9D9D9"/>
            <w:hideMark/>
          </w:tcPr>
          <w:p w14:paraId="130891EF" w14:textId="77777777" w:rsidR="002A4DDF" w:rsidRPr="00937C8B" w:rsidRDefault="002A4DDF" w:rsidP="009110ED">
            <w:pPr>
              <w:rPr>
                <w:rFonts w:ascii="Arial" w:hAnsi="Arial" w:cs="Arial"/>
                <w:sz w:val="12"/>
                <w:szCs w:val="12"/>
              </w:rPr>
            </w:pPr>
          </w:p>
        </w:tc>
      </w:tr>
      <w:tr w:rsidR="002A4DDF" w:rsidRPr="00937C8B" w14:paraId="53EB3C13" w14:textId="77777777" w:rsidTr="00935676">
        <w:trPr>
          <w:cantSplit/>
        </w:trPr>
        <w:tc>
          <w:tcPr>
            <w:tcW w:w="1696" w:type="dxa"/>
            <w:tcBorders>
              <w:left w:val="single" w:sz="4" w:space="0" w:color="auto"/>
            </w:tcBorders>
            <w:shd w:val="clear" w:color="auto" w:fill="auto"/>
          </w:tcPr>
          <w:p w14:paraId="252810DA" w14:textId="77777777" w:rsidR="002A4DDF" w:rsidRPr="00937C8B" w:rsidRDefault="002A4DDF" w:rsidP="009110ED">
            <w:pPr>
              <w:rPr>
                <w:rFonts w:ascii="Arial" w:hAnsi="Arial" w:cs="Arial"/>
                <w:sz w:val="12"/>
                <w:szCs w:val="12"/>
              </w:rPr>
            </w:pPr>
          </w:p>
        </w:tc>
        <w:tc>
          <w:tcPr>
            <w:tcW w:w="1843" w:type="dxa"/>
            <w:shd w:val="clear" w:color="auto" w:fill="auto"/>
          </w:tcPr>
          <w:p w14:paraId="0D1B3737" w14:textId="77777777" w:rsidR="002A4DDF" w:rsidRPr="00937C8B" w:rsidRDefault="002A4DDF" w:rsidP="009110ED">
            <w:pPr>
              <w:rPr>
                <w:rFonts w:ascii="Arial" w:hAnsi="Arial" w:cs="Arial"/>
                <w:sz w:val="12"/>
                <w:szCs w:val="12"/>
              </w:rPr>
            </w:pPr>
          </w:p>
        </w:tc>
        <w:tc>
          <w:tcPr>
            <w:tcW w:w="2268" w:type="dxa"/>
            <w:shd w:val="clear" w:color="auto" w:fill="F2F2F2"/>
            <w:hideMark/>
          </w:tcPr>
          <w:p w14:paraId="6821FF69" w14:textId="77777777" w:rsidR="002A4DDF" w:rsidRPr="00937C8B" w:rsidRDefault="002A4DDF" w:rsidP="009110ED">
            <w:pPr>
              <w:rPr>
                <w:rFonts w:ascii="Arial" w:hAnsi="Arial" w:cs="Arial"/>
                <w:sz w:val="12"/>
                <w:szCs w:val="12"/>
              </w:rPr>
            </w:pPr>
            <w:r>
              <w:rPr>
                <w:rFonts w:ascii="Arial" w:hAnsi="Arial"/>
                <w:sz w:val="12"/>
                <w:szCs w:val="12"/>
              </w:rPr>
              <w:t>Pancrudo</w:t>
            </w:r>
          </w:p>
        </w:tc>
        <w:tc>
          <w:tcPr>
            <w:tcW w:w="2268" w:type="dxa"/>
            <w:tcBorders>
              <w:right w:val="single" w:sz="4" w:space="0" w:color="auto"/>
            </w:tcBorders>
            <w:shd w:val="clear" w:color="auto" w:fill="D9D9D9"/>
            <w:hideMark/>
          </w:tcPr>
          <w:p w14:paraId="7B505574" w14:textId="77777777" w:rsidR="002A4DDF" w:rsidRPr="00937C8B" w:rsidRDefault="002A4DDF" w:rsidP="009110ED">
            <w:pPr>
              <w:rPr>
                <w:rFonts w:ascii="Arial" w:hAnsi="Arial" w:cs="Arial"/>
                <w:sz w:val="12"/>
                <w:szCs w:val="12"/>
              </w:rPr>
            </w:pPr>
          </w:p>
        </w:tc>
      </w:tr>
      <w:tr w:rsidR="002A4DDF" w:rsidRPr="00937C8B" w14:paraId="1362BA96" w14:textId="77777777" w:rsidTr="00935676">
        <w:trPr>
          <w:cantSplit/>
        </w:trPr>
        <w:tc>
          <w:tcPr>
            <w:tcW w:w="1696" w:type="dxa"/>
            <w:tcBorders>
              <w:left w:val="single" w:sz="4" w:space="0" w:color="auto"/>
            </w:tcBorders>
            <w:shd w:val="clear" w:color="auto" w:fill="auto"/>
          </w:tcPr>
          <w:p w14:paraId="026C8557" w14:textId="77777777" w:rsidR="002A4DDF" w:rsidRPr="00937C8B" w:rsidRDefault="002A4DDF" w:rsidP="009110ED">
            <w:pPr>
              <w:rPr>
                <w:rFonts w:ascii="Arial" w:hAnsi="Arial" w:cs="Arial"/>
                <w:sz w:val="12"/>
                <w:szCs w:val="12"/>
              </w:rPr>
            </w:pPr>
          </w:p>
        </w:tc>
        <w:tc>
          <w:tcPr>
            <w:tcW w:w="1843" w:type="dxa"/>
            <w:shd w:val="clear" w:color="auto" w:fill="auto"/>
          </w:tcPr>
          <w:p w14:paraId="18440551" w14:textId="77777777" w:rsidR="002A4DDF" w:rsidRPr="00937C8B" w:rsidRDefault="002A4DDF" w:rsidP="009110ED">
            <w:pPr>
              <w:rPr>
                <w:rFonts w:ascii="Arial" w:hAnsi="Arial" w:cs="Arial"/>
                <w:sz w:val="12"/>
                <w:szCs w:val="12"/>
              </w:rPr>
            </w:pPr>
          </w:p>
        </w:tc>
        <w:tc>
          <w:tcPr>
            <w:tcW w:w="2268" w:type="dxa"/>
            <w:shd w:val="clear" w:color="auto" w:fill="F2F2F2"/>
            <w:hideMark/>
          </w:tcPr>
          <w:p w14:paraId="048CBC70" w14:textId="77777777" w:rsidR="002A4DDF" w:rsidRPr="00937C8B" w:rsidRDefault="002A4DDF" w:rsidP="009110ED">
            <w:pPr>
              <w:rPr>
                <w:rFonts w:ascii="Arial" w:hAnsi="Arial" w:cs="Arial"/>
                <w:sz w:val="12"/>
                <w:szCs w:val="12"/>
              </w:rPr>
            </w:pPr>
            <w:r>
              <w:rPr>
                <w:rFonts w:ascii="Arial" w:hAnsi="Arial"/>
                <w:sz w:val="12"/>
                <w:szCs w:val="12"/>
              </w:rPr>
              <w:t>Peralejos</w:t>
            </w:r>
          </w:p>
        </w:tc>
        <w:tc>
          <w:tcPr>
            <w:tcW w:w="2268" w:type="dxa"/>
            <w:tcBorders>
              <w:right w:val="single" w:sz="4" w:space="0" w:color="auto"/>
            </w:tcBorders>
            <w:shd w:val="clear" w:color="auto" w:fill="D9D9D9"/>
            <w:hideMark/>
          </w:tcPr>
          <w:p w14:paraId="2625CE29" w14:textId="77777777" w:rsidR="002A4DDF" w:rsidRPr="00937C8B" w:rsidRDefault="002A4DDF" w:rsidP="009110ED">
            <w:pPr>
              <w:rPr>
                <w:rFonts w:ascii="Arial" w:hAnsi="Arial" w:cs="Arial"/>
                <w:sz w:val="12"/>
                <w:szCs w:val="12"/>
              </w:rPr>
            </w:pPr>
          </w:p>
        </w:tc>
      </w:tr>
      <w:tr w:rsidR="002A4DDF" w:rsidRPr="00937C8B" w14:paraId="0473C0B5" w14:textId="77777777" w:rsidTr="00935676">
        <w:trPr>
          <w:cantSplit/>
        </w:trPr>
        <w:tc>
          <w:tcPr>
            <w:tcW w:w="1696" w:type="dxa"/>
            <w:tcBorders>
              <w:left w:val="single" w:sz="4" w:space="0" w:color="auto"/>
            </w:tcBorders>
            <w:shd w:val="clear" w:color="auto" w:fill="auto"/>
          </w:tcPr>
          <w:p w14:paraId="4D9CCF1A" w14:textId="77777777" w:rsidR="002A4DDF" w:rsidRPr="00937C8B" w:rsidRDefault="002A4DDF" w:rsidP="009110ED">
            <w:pPr>
              <w:rPr>
                <w:rFonts w:ascii="Arial" w:hAnsi="Arial" w:cs="Arial"/>
                <w:sz w:val="12"/>
                <w:szCs w:val="12"/>
              </w:rPr>
            </w:pPr>
          </w:p>
        </w:tc>
        <w:tc>
          <w:tcPr>
            <w:tcW w:w="1843" w:type="dxa"/>
            <w:shd w:val="clear" w:color="auto" w:fill="auto"/>
          </w:tcPr>
          <w:p w14:paraId="13C204A5" w14:textId="77777777" w:rsidR="002A4DDF" w:rsidRPr="00937C8B" w:rsidRDefault="002A4DDF" w:rsidP="009110ED">
            <w:pPr>
              <w:rPr>
                <w:rFonts w:ascii="Arial" w:hAnsi="Arial" w:cs="Arial"/>
                <w:sz w:val="12"/>
                <w:szCs w:val="12"/>
              </w:rPr>
            </w:pPr>
          </w:p>
        </w:tc>
        <w:tc>
          <w:tcPr>
            <w:tcW w:w="2268" w:type="dxa"/>
            <w:shd w:val="clear" w:color="auto" w:fill="F2F2F2"/>
            <w:hideMark/>
          </w:tcPr>
          <w:p w14:paraId="1538EC82" w14:textId="77777777" w:rsidR="002A4DDF" w:rsidRPr="00937C8B" w:rsidRDefault="002A4DDF" w:rsidP="009110ED">
            <w:pPr>
              <w:rPr>
                <w:rFonts w:ascii="Arial" w:hAnsi="Arial" w:cs="Arial"/>
                <w:sz w:val="12"/>
                <w:szCs w:val="12"/>
              </w:rPr>
            </w:pPr>
            <w:r>
              <w:rPr>
                <w:rFonts w:ascii="Arial" w:hAnsi="Arial"/>
                <w:sz w:val="12"/>
                <w:szCs w:val="12"/>
              </w:rPr>
              <w:t>Pozondón</w:t>
            </w:r>
          </w:p>
        </w:tc>
        <w:tc>
          <w:tcPr>
            <w:tcW w:w="2268" w:type="dxa"/>
            <w:tcBorders>
              <w:right w:val="single" w:sz="4" w:space="0" w:color="auto"/>
            </w:tcBorders>
            <w:shd w:val="clear" w:color="auto" w:fill="D9D9D9"/>
            <w:hideMark/>
          </w:tcPr>
          <w:p w14:paraId="43D60467" w14:textId="77777777" w:rsidR="002A4DDF" w:rsidRPr="00937C8B" w:rsidRDefault="002A4DDF" w:rsidP="009110ED">
            <w:pPr>
              <w:rPr>
                <w:rFonts w:ascii="Arial" w:hAnsi="Arial" w:cs="Arial"/>
                <w:sz w:val="12"/>
                <w:szCs w:val="12"/>
              </w:rPr>
            </w:pPr>
          </w:p>
        </w:tc>
      </w:tr>
      <w:tr w:rsidR="002A4DDF" w:rsidRPr="00937C8B" w14:paraId="62BAA8CD" w14:textId="77777777" w:rsidTr="00935676">
        <w:trPr>
          <w:cantSplit/>
        </w:trPr>
        <w:tc>
          <w:tcPr>
            <w:tcW w:w="1696" w:type="dxa"/>
            <w:tcBorders>
              <w:left w:val="single" w:sz="4" w:space="0" w:color="auto"/>
            </w:tcBorders>
            <w:shd w:val="clear" w:color="auto" w:fill="auto"/>
          </w:tcPr>
          <w:p w14:paraId="67B498B3" w14:textId="77777777" w:rsidR="002A4DDF" w:rsidRPr="00937C8B" w:rsidRDefault="002A4DDF" w:rsidP="009110ED">
            <w:pPr>
              <w:rPr>
                <w:rFonts w:ascii="Arial" w:hAnsi="Arial" w:cs="Arial"/>
                <w:sz w:val="12"/>
                <w:szCs w:val="12"/>
              </w:rPr>
            </w:pPr>
          </w:p>
        </w:tc>
        <w:tc>
          <w:tcPr>
            <w:tcW w:w="1843" w:type="dxa"/>
            <w:shd w:val="clear" w:color="auto" w:fill="auto"/>
          </w:tcPr>
          <w:p w14:paraId="1652E6AB" w14:textId="77777777" w:rsidR="002A4DDF" w:rsidRPr="00937C8B" w:rsidRDefault="002A4DDF" w:rsidP="009110ED">
            <w:pPr>
              <w:rPr>
                <w:rFonts w:ascii="Arial" w:hAnsi="Arial" w:cs="Arial"/>
                <w:sz w:val="12"/>
                <w:szCs w:val="12"/>
              </w:rPr>
            </w:pPr>
          </w:p>
        </w:tc>
        <w:tc>
          <w:tcPr>
            <w:tcW w:w="2268" w:type="dxa"/>
            <w:shd w:val="clear" w:color="auto" w:fill="F2F2F2"/>
            <w:hideMark/>
          </w:tcPr>
          <w:p w14:paraId="0567E738" w14:textId="77777777" w:rsidR="002A4DDF" w:rsidRPr="00937C8B" w:rsidRDefault="002A4DDF" w:rsidP="009110ED">
            <w:pPr>
              <w:rPr>
                <w:rFonts w:ascii="Arial" w:hAnsi="Arial" w:cs="Arial"/>
                <w:sz w:val="12"/>
                <w:szCs w:val="12"/>
              </w:rPr>
            </w:pPr>
            <w:r>
              <w:rPr>
                <w:rFonts w:ascii="Arial" w:hAnsi="Arial"/>
                <w:sz w:val="12"/>
                <w:szCs w:val="12"/>
              </w:rPr>
              <w:t>Pozuel del Campo</w:t>
            </w:r>
          </w:p>
        </w:tc>
        <w:tc>
          <w:tcPr>
            <w:tcW w:w="2268" w:type="dxa"/>
            <w:tcBorders>
              <w:right w:val="single" w:sz="4" w:space="0" w:color="auto"/>
            </w:tcBorders>
            <w:shd w:val="clear" w:color="auto" w:fill="D9D9D9"/>
            <w:hideMark/>
          </w:tcPr>
          <w:p w14:paraId="7E1E128D" w14:textId="77777777" w:rsidR="002A4DDF" w:rsidRPr="00937C8B" w:rsidRDefault="002A4DDF" w:rsidP="009110ED">
            <w:pPr>
              <w:rPr>
                <w:rFonts w:ascii="Arial" w:hAnsi="Arial" w:cs="Arial"/>
                <w:sz w:val="12"/>
                <w:szCs w:val="12"/>
              </w:rPr>
            </w:pPr>
          </w:p>
        </w:tc>
      </w:tr>
      <w:tr w:rsidR="002A4DDF" w:rsidRPr="00937C8B" w14:paraId="252B8F31" w14:textId="77777777" w:rsidTr="00935676">
        <w:trPr>
          <w:cantSplit/>
        </w:trPr>
        <w:tc>
          <w:tcPr>
            <w:tcW w:w="1696" w:type="dxa"/>
            <w:tcBorders>
              <w:left w:val="single" w:sz="4" w:space="0" w:color="auto"/>
            </w:tcBorders>
            <w:shd w:val="clear" w:color="auto" w:fill="auto"/>
          </w:tcPr>
          <w:p w14:paraId="2DEAAACC" w14:textId="77777777" w:rsidR="002A4DDF" w:rsidRPr="00937C8B" w:rsidRDefault="002A4DDF" w:rsidP="009110ED">
            <w:pPr>
              <w:rPr>
                <w:rFonts w:ascii="Arial" w:hAnsi="Arial" w:cs="Arial"/>
                <w:sz w:val="12"/>
                <w:szCs w:val="12"/>
              </w:rPr>
            </w:pPr>
          </w:p>
        </w:tc>
        <w:tc>
          <w:tcPr>
            <w:tcW w:w="1843" w:type="dxa"/>
            <w:shd w:val="clear" w:color="auto" w:fill="auto"/>
          </w:tcPr>
          <w:p w14:paraId="1EA72449" w14:textId="77777777" w:rsidR="002A4DDF" w:rsidRPr="00937C8B" w:rsidRDefault="002A4DDF" w:rsidP="009110ED">
            <w:pPr>
              <w:rPr>
                <w:rFonts w:ascii="Arial" w:hAnsi="Arial" w:cs="Arial"/>
                <w:sz w:val="12"/>
                <w:szCs w:val="12"/>
              </w:rPr>
            </w:pPr>
          </w:p>
        </w:tc>
        <w:tc>
          <w:tcPr>
            <w:tcW w:w="2268" w:type="dxa"/>
            <w:shd w:val="clear" w:color="auto" w:fill="F2F2F2"/>
            <w:hideMark/>
          </w:tcPr>
          <w:p w14:paraId="0D27C5A3" w14:textId="77777777" w:rsidR="002A4DDF" w:rsidRPr="00937C8B" w:rsidRDefault="002A4DDF" w:rsidP="009110ED">
            <w:pPr>
              <w:rPr>
                <w:rFonts w:ascii="Arial" w:hAnsi="Arial" w:cs="Arial"/>
                <w:sz w:val="12"/>
                <w:szCs w:val="12"/>
              </w:rPr>
            </w:pPr>
            <w:r>
              <w:rPr>
                <w:rFonts w:ascii="Arial" w:hAnsi="Arial"/>
                <w:sz w:val="12"/>
                <w:szCs w:val="12"/>
              </w:rPr>
              <w:t>Rillo</w:t>
            </w:r>
          </w:p>
        </w:tc>
        <w:tc>
          <w:tcPr>
            <w:tcW w:w="2268" w:type="dxa"/>
            <w:tcBorders>
              <w:right w:val="single" w:sz="4" w:space="0" w:color="auto"/>
            </w:tcBorders>
            <w:shd w:val="clear" w:color="auto" w:fill="D9D9D9"/>
            <w:hideMark/>
          </w:tcPr>
          <w:p w14:paraId="49D5ABC5" w14:textId="77777777" w:rsidR="002A4DDF" w:rsidRPr="00937C8B" w:rsidRDefault="002A4DDF" w:rsidP="009110ED">
            <w:pPr>
              <w:rPr>
                <w:rFonts w:ascii="Arial" w:hAnsi="Arial" w:cs="Arial"/>
                <w:sz w:val="12"/>
                <w:szCs w:val="12"/>
              </w:rPr>
            </w:pPr>
          </w:p>
        </w:tc>
      </w:tr>
      <w:tr w:rsidR="002A4DDF" w:rsidRPr="00937C8B" w14:paraId="639EE667" w14:textId="77777777" w:rsidTr="00935676">
        <w:trPr>
          <w:cantSplit/>
        </w:trPr>
        <w:tc>
          <w:tcPr>
            <w:tcW w:w="1696" w:type="dxa"/>
            <w:tcBorders>
              <w:left w:val="single" w:sz="4" w:space="0" w:color="auto"/>
            </w:tcBorders>
            <w:shd w:val="clear" w:color="auto" w:fill="auto"/>
          </w:tcPr>
          <w:p w14:paraId="1321107D" w14:textId="77777777" w:rsidR="002A4DDF" w:rsidRPr="00937C8B" w:rsidRDefault="002A4DDF" w:rsidP="009110ED">
            <w:pPr>
              <w:rPr>
                <w:rFonts w:ascii="Arial" w:hAnsi="Arial" w:cs="Arial"/>
                <w:sz w:val="12"/>
                <w:szCs w:val="12"/>
              </w:rPr>
            </w:pPr>
          </w:p>
        </w:tc>
        <w:tc>
          <w:tcPr>
            <w:tcW w:w="1843" w:type="dxa"/>
            <w:shd w:val="clear" w:color="auto" w:fill="auto"/>
          </w:tcPr>
          <w:p w14:paraId="76823C09" w14:textId="77777777" w:rsidR="002A4DDF" w:rsidRPr="00937C8B" w:rsidRDefault="002A4DDF" w:rsidP="009110ED">
            <w:pPr>
              <w:rPr>
                <w:rFonts w:ascii="Arial" w:hAnsi="Arial" w:cs="Arial"/>
                <w:sz w:val="12"/>
                <w:szCs w:val="12"/>
              </w:rPr>
            </w:pPr>
          </w:p>
        </w:tc>
        <w:tc>
          <w:tcPr>
            <w:tcW w:w="2268" w:type="dxa"/>
            <w:shd w:val="clear" w:color="auto" w:fill="F2F2F2"/>
            <w:hideMark/>
          </w:tcPr>
          <w:p w14:paraId="7D46210C" w14:textId="77777777" w:rsidR="002A4DDF" w:rsidRPr="00937C8B" w:rsidRDefault="002A4DDF" w:rsidP="009110ED">
            <w:pPr>
              <w:rPr>
                <w:rFonts w:ascii="Arial" w:hAnsi="Arial" w:cs="Arial"/>
                <w:sz w:val="12"/>
                <w:szCs w:val="12"/>
              </w:rPr>
            </w:pPr>
            <w:r>
              <w:rPr>
                <w:rFonts w:ascii="Arial" w:hAnsi="Arial"/>
                <w:sz w:val="12"/>
                <w:szCs w:val="12"/>
              </w:rPr>
              <w:t>Rubielos de la Cérida</w:t>
            </w:r>
          </w:p>
        </w:tc>
        <w:tc>
          <w:tcPr>
            <w:tcW w:w="2268" w:type="dxa"/>
            <w:tcBorders>
              <w:right w:val="single" w:sz="4" w:space="0" w:color="auto"/>
            </w:tcBorders>
            <w:shd w:val="clear" w:color="auto" w:fill="D9D9D9"/>
            <w:hideMark/>
          </w:tcPr>
          <w:p w14:paraId="066ECC43" w14:textId="77777777" w:rsidR="002A4DDF" w:rsidRPr="00937C8B" w:rsidRDefault="002A4DDF" w:rsidP="009110ED">
            <w:pPr>
              <w:rPr>
                <w:rFonts w:ascii="Arial" w:hAnsi="Arial" w:cs="Arial"/>
                <w:sz w:val="12"/>
                <w:szCs w:val="12"/>
              </w:rPr>
            </w:pPr>
          </w:p>
        </w:tc>
      </w:tr>
      <w:tr w:rsidR="002A4DDF" w:rsidRPr="00937C8B" w14:paraId="5F8AFFC6" w14:textId="77777777" w:rsidTr="00935676">
        <w:trPr>
          <w:cantSplit/>
        </w:trPr>
        <w:tc>
          <w:tcPr>
            <w:tcW w:w="1696" w:type="dxa"/>
            <w:tcBorders>
              <w:left w:val="single" w:sz="4" w:space="0" w:color="auto"/>
            </w:tcBorders>
            <w:shd w:val="clear" w:color="auto" w:fill="auto"/>
          </w:tcPr>
          <w:p w14:paraId="61F9E2DE" w14:textId="77777777" w:rsidR="002A4DDF" w:rsidRPr="00937C8B" w:rsidRDefault="002A4DDF" w:rsidP="009110ED">
            <w:pPr>
              <w:rPr>
                <w:rFonts w:ascii="Arial" w:hAnsi="Arial" w:cs="Arial"/>
                <w:sz w:val="12"/>
                <w:szCs w:val="12"/>
              </w:rPr>
            </w:pPr>
          </w:p>
        </w:tc>
        <w:tc>
          <w:tcPr>
            <w:tcW w:w="1843" w:type="dxa"/>
            <w:shd w:val="clear" w:color="auto" w:fill="auto"/>
          </w:tcPr>
          <w:p w14:paraId="4A815C9A" w14:textId="77777777" w:rsidR="002A4DDF" w:rsidRPr="00937C8B" w:rsidRDefault="002A4DDF" w:rsidP="009110ED">
            <w:pPr>
              <w:rPr>
                <w:rFonts w:ascii="Arial" w:hAnsi="Arial" w:cs="Arial"/>
                <w:sz w:val="12"/>
                <w:szCs w:val="12"/>
              </w:rPr>
            </w:pPr>
          </w:p>
        </w:tc>
        <w:tc>
          <w:tcPr>
            <w:tcW w:w="2268" w:type="dxa"/>
            <w:shd w:val="clear" w:color="auto" w:fill="F2F2F2"/>
            <w:hideMark/>
          </w:tcPr>
          <w:p w14:paraId="5FCA66BF" w14:textId="77777777" w:rsidR="002A4DDF" w:rsidRPr="00937C8B" w:rsidRDefault="002A4DDF" w:rsidP="009110ED">
            <w:pPr>
              <w:rPr>
                <w:rFonts w:ascii="Arial" w:hAnsi="Arial" w:cs="Arial"/>
                <w:sz w:val="12"/>
                <w:szCs w:val="12"/>
              </w:rPr>
            </w:pPr>
            <w:r>
              <w:rPr>
                <w:rFonts w:ascii="Arial" w:hAnsi="Arial"/>
                <w:sz w:val="12"/>
                <w:szCs w:val="12"/>
              </w:rPr>
              <w:t>San Martín del Río</w:t>
            </w:r>
          </w:p>
        </w:tc>
        <w:tc>
          <w:tcPr>
            <w:tcW w:w="2268" w:type="dxa"/>
            <w:tcBorders>
              <w:right w:val="single" w:sz="4" w:space="0" w:color="auto"/>
            </w:tcBorders>
            <w:shd w:val="clear" w:color="auto" w:fill="D9D9D9"/>
            <w:hideMark/>
          </w:tcPr>
          <w:p w14:paraId="72D48F51" w14:textId="77777777" w:rsidR="002A4DDF" w:rsidRPr="00937C8B" w:rsidRDefault="002A4DDF" w:rsidP="009110ED">
            <w:pPr>
              <w:rPr>
                <w:rFonts w:ascii="Arial" w:hAnsi="Arial" w:cs="Arial"/>
                <w:sz w:val="12"/>
                <w:szCs w:val="12"/>
              </w:rPr>
            </w:pPr>
          </w:p>
        </w:tc>
      </w:tr>
      <w:tr w:rsidR="002A4DDF" w:rsidRPr="00937C8B" w14:paraId="6024F042" w14:textId="77777777" w:rsidTr="00935676">
        <w:trPr>
          <w:cantSplit/>
        </w:trPr>
        <w:tc>
          <w:tcPr>
            <w:tcW w:w="1696" w:type="dxa"/>
            <w:tcBorders>
              <w:left w:val="single" w:sz="4" w:space="0" w:color="auto"/>
            </w:tcBorders>
            <w:shd w:val="clear" w:color="auto" w:fill="auto"/>
          </w:tcPr>
          <w:p w14:paraId="728337C0" w14:textId="77777777" w:rsidR="002A4DDF" w:rsidRPr="00937C8B" w:rsidRDefault="002A4DDF" w:rsidP="009110ED">
            <w:pPr>
              <w:rPr>
                <w:rFonts w:ascii="Arial" w:hAnsi="Arial" w:cs="Arial"/>
                <w:sz w:val="12"/>
                <w:szCs w:val="12"/>
              </w:rPr>
            </w:pPr>
          </w:p>
        </w:tc>
        <w:tc>
          <w:tcPr>
            <w:tcW w:w="1843" w:type="dxa"/>
            <w:shd w:val="clear" w:color="auto" w:fill="auto"/>
          </w:tcPr>
          <w:p w14:paraId="2EFEC560" w14:textId="77777777" w:rsidR="002A4DDF" w:rsidRPr="00937C8B" w:rsidRDefault="002A4DDF" w:rsidP="009110ED">
            <w:pPr>
              <w:rPr>
                <w:rFonts w:ascii="Arial" w:hAnsi="Arial" w:cs="Arial"/>
                <w:sz w:val="12"/>
                <w:szCs w:val="12"/>
              </w:rPr>
            </w:pPr>
          </w:p>
        </w:tc>
        <w:tc>
          <w:tcPr>
            <w:tcW w:w="2268" w:type="dxa"/>
            <w:shd w:val="clear" w:color="auto" w:fill="F2F2F2"/>
            <w:hideMark/>
          </w:tcPr>
          <w:p w14:paraId="7EE6BAD4" w14:textId="77777777" w:rsidR="002A4DDF" w:rsidRPr="00937C8B" w:rsidRDefault="002A4DDF" w:rsidP="009110ED">
            <w:pPr>
              <w:rPr>
                <w:rFonts w:ascii="Arial" w:hAnsi="Arial" w:cs="Arial"/>
                <w:sz w:val="12"/>
                <w:szCs w:val="12"/>
              </w:rPr>
            </w:pPr>
            <w:r>
              <w:rPr>
                <w:rFonts w:ascii="Arial" w:hAnsi="Arial"/>
                <w:sz w:val="12"/>
                <w:szCs w:val="12"/>
              </w:rPr>
              <w:t>Santa Cruz de Nogueras</w:t>
            </w:r>
          </w:p>
        </w:tc>
        <w:tc>
          <w:tcPr>
            <w:tcW w:w="2268" w:type="dxa"/>
            <w:tcBorders>
              <w:right w:val="single" w:sz="4" w:space="0" w:color="auto"/>
            </w:tcBorders>
            <w:shd w:val="clear" w:color="auto" w:fill="D9D9D9"/>
            <w:hideMark/>
          </w:tcPr>
          <w:p w14:paraId="749A57BD" w14:textId="77777777" w:rsidR="002A4DDF" w:rsidRPr="00937C8B" w:rsidRDefault="002A4DDF" w:rsidP="009110ED">
            <w:pPr>
              <w:rPr>
                <w:rFonts w:ascii="Arial" w:hAnsi="Arial" w:cs="Arial"/>
                <w:sz w:val="12"/>
                <w:szCs w:val="12"/>
              </w:rPr>
            </w:pPr>
          </w:p>
        </w:tc>
      </w:tr>
      <w:tr w:rsidR="002A4DDF" w:rsidRPr="00937C8B" w14:paraId="5AD9AAFA" w14:textId="77777777" w:rsidTr="00935676">
        <w:trPr>
          <w:cantSplit/>
        </w:trPr>
        <w:tc>
          <w:tcPr>
            <w:tcW w:w="1696" w:type="dxa"/>
            <w:tcBorders>
              <w:left w:val="single" w:sz="4" w:space="0" w:color="auto"/>
            </w:tcBorders>
            <w:shd w:val="clear" w:color="auto" w:fill="auto"/>
          </w:tcPr>
          <w:p w14:paraId="042204E6" w14:textId="77777777" w:rsidR="002A4DDF" w:rsidRPr="00937C8B" w:rsidRDefault="002A4DDF" w:rsidP="009110ED">
            <w:pPr>
              <w:rPr>
                <w:rFonts w:ascii="Arial" w:hAnsi="Arial" w:cs="Arial"/>
                <w:sz w:val="12"/>
                <w:szCs w:val="12"/>
              </w:rPr>
            </w:pPr>
          </w:p>
        </w:tc>
        <w:tc>
          <w:tcPr>
            <w:tcW w:w="1843" w:type="dxa"/>
            <w:shd w:val="clear" w:color="auto" w:fill="auto"/>
          </w:tcPr>
          <w:p w14:paraId="282294C4" w14:textId="77777777" w:rsidR="002A4DDF" w:rsidRPr="00937C8B" w:rsidRDefault="002A4DDF" w:rsidP="009110ED">
            <w:pPr>
              <w:rPr>
                <w:rFonts w:ascii="Arial" w:hAnsi="Arial" w:cs="Arial"/>
                <w:sz w:val="12"/>
                <w:szCs w:val="12"/>
              </w:rPr>
            </w:pPr>
          </w:p>
        </w:tc>
        <w:tc>
          <w:tcPr>
            <w:tcW w:w="2268" w:type="dxa"/>
            <w:shd w:val="clear" w:color="auto" w:fill="F2F2F2"/>
            <w:hideMark/>
          </w:tcPr>
          <w:p w14:paraId="51B1F94C" w14:textId="77777777" w:rsidR="002A4DDF" w:rsidRPr="00937C8B" w:rsidRDefault="002A4DDF" w:rsidP="009110ED">
            <w:pPr>
              <w:rPr>
                <w:rFonts w:ascii="Arial" w:hAnsi="Arial" w:cs="Arial"/>
                <w:sz w:val="12"/>
                <w:szCs w:val="12"/>
              </w:rPr>
            </w:pPr>
            <w:r>
              <w:rPr>
                <w:rFonts w:ascii="Arial" w:hAnsi="Arial"/>
                <w:sz w:val="12"/>
                <w:szCs w:val="12"/>
              </w:rPr>
              <w:t>Teruel</w:t>
            </w:r>
          </w:p>
        </w:tc>
        <w:tc>
          <w:tcPr>
            <w:tcW w:w="2268" w:type="dxa"/>
            <w:tcBorders>
              <w:right w:val="single" w:sz="4" w:space="0" w:color="auto"/>
            </w:tcBorders>
            <w:shd w:val="clear" w:color="auto" w:fill="D9D9D9"/>
            <w:hideMark/>
          </w:tcPr>
          <w:p w14:paraId="33B5A723" w14:textId="77777777" w:rsidR="002A4DDF" w:rsidRPr="00937C8B" w:rsidRDefault="002A4DDF" w:rsidP="009110ED">
            <w:pPr>
              <w:rPr>
                <w:rFonts w:ascii="Arial" w:hAnsi="Arial" w:cs="Arial"/>
                <w:sz w:val="12"/>
                <w:szCs w:val="12"/>
              </w:rPr>
            </w:pPr>
          </w:p>
        </w:tc>
      </w:tr>
      <w:tr w:rsidR="002A4DDF" w:rsidRPr="00937C8B" w14:paraId="0856F80C" w14:textId="77777777" w:rsidTr="00935676">
        <w:trPr>
          <w:cantSplit/>
        </w:trPr>
        <w:tc>
          <w:tcPr>
            <w:tcW w:w="1696" w:type="dxa"/>
            <w:tcBorders>
              <w:left w:val="single" w:sz="4" w:space="0" w:color="auto"/>
            </w:tcBorders>
            <w:shd w:val="clear" w:color="auto" w:fill="auto"/>
          </w:tcPr>
          <w:p w14:paraId="6B811AAD" w14:textId="77777777" w:rsidR="002A4DDF" w:rsidRPr="00937C8B" w:rsidRDefault="002A4DDF" w:rsidP="009110ED">
            <w:pPr>
              <w:rPr>
                <w:rFonts w:ascii="Arial" w:hAnsi="Arial" w:cs="Arial"/>
                <w:sz w:val="12"/>
                <w:szCs w:val="12"/>
              </w:rPr>
            </w:pPr>
          </w:p>
        </w:tc>
        <w:tc>
          <w:tcPr>
            <w:tcW w:w="1843" w:type="dxa"/>
            <w:shd w:val="clear" w:color="auto" w:fill="auto"/>
          </w:tcPr>
          <w:p w14:paraId="52E9413A" w14:textId="77777777" w:rsidR="002A4DDF" w:rsidRPr="00937C8B" w:rsidRDefault="002A4DDF" w:rsidP="009110ED">
            <w:pPr>
              <w:rPr>
                <w:rFonts w:ascii="Arial" w:hAnsi="Arial" w:cs="Arial"/>
                <w:sz w:val="12"/>
                <w:szCs w:val="12"/>
              </w:rPr>
            </w:pPr>
          </w:p>
        </w:tc>
        <w:tc>
          <w:tcPr>
            <w:tcW w:w="2268" w:type="dxa"/>
            <w:shd w:val="clear" w:color="auto" w:fill="F2F2F2"/>
            <w:hideMark/>
          </w:tcPr>
          <w:p w14:paraId="59783AF1" w14:textId="77777777" w:rsidR="002A4DDF" w:rsidRPr="00937C8B" w:rsidRDefault="002A4DDF" w:rsidP="009110ED">
            <w:pPr>
              <w:rPr>
                <w:rFonts w:ascii="Arial" w:hAnsi="Arial" w:cs="Arial"/>
                <w:sz w:val="12"/>
                <w:szCs w:val="12"/>
              </w:rPr>
            </w:pPr>
            <w:r>
              <w:rPr>
                <w:rFonts w:ascii="Arial" w:hAnsi="Arial"/>
                <w:sz w:val="12"/>
                <w:szCs w:val="12"/>
              </w:rPr>
              <w:t>Tornos</w:t>
            </w:r>
          </w:p>
        </w:tc>
        <w:tc>
          <w:tcPr>
            <w:tcW w:w="2268" w:type="dxa"/>
            <w:tcBorders>
              <w:right w:val="single" w:sz="4" w:space="0" w:color="auto"/>
            </w:tcBorders>
            <w:shd w:val="clear" w:color="auto" w:fill="D9D9D9"/>
            <w:hideMark/>
          </w:tcPr>
          <w:p w14:paraId="747A0677" w14:textId="77777777" w:rsidR="002A4DDF" w:rsidRPr="00937C8B" w:rsidRDefault="002A4DDF" w:rsidP="009110ED">
            <w:pPr>
              <w:rPr>
                <w:rFonts w:ascii="Arial" w:hAnsi="Arial" w:cs="Arial"/>
                <w:sz w:val="12"/>
                <w:szCs w:val="12"/>
              </w:rPr>
            </w:pPr>
          </w:p>
        </w:tc>
      </w:tr>
      <w:tr w:rsidR="002A4DDF" w:rsidRPr="00937C8B" w14:paraId="0ACAC45C" w14:textId="77777777" w:rsidTr="00935676">
        <w:trPr>
          <w:cantSplit/>
        </w:trPr>
        <w:tc>
          <w:tcPr>
            <w:tcW w:w="1696" w:type="dxa"/>
            <w:tcBorders>
              <w:left w:val="single" w:sz="4" w:space="0" w:color="auto"/>
            </w:tcBorders>
            <w:shd w:val="clear" w:color="auto" w:fill="auto"/>
          </w:tcPr>
          <w:p w14:paraId="0B769EBB" w14:textId="77777777" w:rsidR="002A4DDF" w:rsidRPr="00937C8B" w:rsidRDefault="002A4DDF" w:rsidP="009110ED">
            <w:pPr>
              <w:rPr>
                <w:rFonts w:ascii="Arial" w:hAnsi="Arial" w:cs="Arial"/>
                <w:sz w:val="12"/>
                <w:szCs w:val="12"/>
              </w:rPr>
            </w:pPr>
          </w:p>
        </w:tc>
        <w:tc>
          <w:tcPr>
            <w:tcW w:w="1843" w:type="dxa"/>
            <w:shd w:val="clear" w:color="auto" w:fill="auto"/>
          </w:tcPr>
          <w:p w14:paraId="60B43284" w14:textId="77777777" w:rsidR="002A4DDF" w:rsidRPr="00937C8B" w:rsidRDefault="002A4DDF" w:rsidP="009110ED">
            <w:pPr>
              <w:rPr>
                <w:rFonts w:ascii="Arial" w:hAnsi="Arial" w:cs="Arial"/>
                <w:sz w:val="12"/>
                <w:szCs w:val="12"/>
              </w:rPr>
            </w:pPr>
          </w:p>
        </w:tc>
        <w:tc>
          <w:tcPr>
            <w:tcW w:w="2268" w:type="dxa"/>
            <w:shd w:val="clear" w:color="auto" w:fill="F2F2F2"/>
            <w:hideMark/>
          </w:tcPr>
          <w:p w14:paraId="7C02CFD6" w14:textId="77777777" w:rsidR="002A4DDF" w:rsidRPr="00937C8B" w:rsidRDefault="002A4DDF" w:rsidP="009110ED">
            <w:pPr>
              <w:rPr>
                <w:rFonts w:ascii="Arial" w:hAnsi="Arial" w:cs="Arial"/>
                <w:sz w:val="12"/>
                <w:szCs w:val="12"/>
              </w:rPr>
            </w:pPr>
            <w:r>
              <w:rPr>
                <w:rFonts w:ascii="Arial" w:hAnsi="Arial"/>
                <w:sz w:val="12"/>
                <w:szCs w:val="12"/>
              </w:rPr>
              <w:t>Torralba de los Sisones</w:t>
            </w:r>
          </w:p>
        </w:tc>
        <w:tc>
          <w:tcPr>
            <w:tcW w:w="2268" w:type="dxa"/>
            <w:tcBorders>
              <w:right w:val="single" w:sz="4" w:space="0" w:color="auto"/>
            </w:tcBorders>
            <w:shd w:val="clear" w:color="auto" w:fill="D9D9D9"/>
            <w:hideMark/>
          </w:tcPr>
          <w:p w14:paraId="12EC3570" w14:textId="77777777" w:rsidR="002A4DDF" w:rsidRPr="00937C8B" w:rsidRDefault="002A4DDF" w:rsidP="009110ED">
            <w:pPr>
              <w:rPr>
                <w:rFonts w:ascii="Arial" w:hAnsi="Arial" w:cs="Arial"/>
                <w:sz w:val="12"/>
                <w:szCs w:val="12"/>
              </w:rPr>
            </w:pPr>
          </w:p>
        </w:tc>
      </w:tr>
      <w:tr w:rsidR="002A4DDF" w:rsidRPr="00937C8B" w14:paraId="20DD03E8" w14:textId="77777777" w:rsidTr="00935676">
        <w:trPr>
          <w:cantSplit/>
        </w:trPr>
        <w:tc>
          <w:tcPr>
            <w:tcW w:w="1696" w:type="dxa"/>
            <w:tcBorders>
              <w:left w:val="single" w:sz="4" w:space="0" w:color="auto"/>
            </w:tcBorders>
            <w:shd w:val="clear" w:color="auto" w:fill="auto"/>
          </w:tcPr>
          <w:p w14:paraId="1FDBB984" w14:textId="77777777" w:rsidR="002A4DDF" w:rsidRPr="00937C8B" w:rsidRDefault="002A4DDF" w:rsidP="009110ED">
            <w:pPr>
              <w:rPr>
                <w:rFonts w:ascii="Arial" w:hAnsi="Arial" w:cs="Arial"/>
                <w:sz w:val="12"/>
                <w:szCs w:val="12"/>
              </w:rPr>
            </w:pPr>
          </w:p>
        </w:tc>
        <w:tc>
          <w:tcPr>
            <w:tcW w:w="1843" w:type="dxa"/>
            <w:shd w:val="clear" w:color="auto" w:fill="auto"/>
          </w:tcPr>
          <w:p w14:paraId="4B68CA5B" w14:textId="77777777" w:rsidR="002A4DDF" w:rsidRPr="00937C8B" w:rsidRDefault="002A4DDF" w:rsidP="009110ED">
            <w:pPr>
              <w:rPr>
                <w:rFonts w:ascii="Arial" w:hAnsi="Arial" w:cs="Arial"/>
                <w:sz w:val="12"/>
                <w:szCs w:val="12"/>
              </w:rPr>
            </w:pPr>
          </w:p>
        </w:tc>
        <w:tc>
          <w:tcPr>
            <w:tcW w:w="2268" w:type="dxa"/>
            <w:shd w:val="clear" w:color="auto" w:fill="F2F2F2"/>
            <w:hideMark/>
          </w:tcPr>
          <w:p w14:paraId="0E27D0E4" w14:textId="77777777" w:rsidR="002A4DDF" w:rsidRPr="00937C8B" w:rsidRDefault="002A4DDF" w:rsidP="009110ED">
            <w:pPr>
              <w:rPr>
                <w:rFonts w:ascii="Arial" w:hAnsi="Arial" w:cs="Arial"/>
                <w:sz w:val="12"/>
                <w:szCs w:val="12"/>
              </w:rPr>
            </w:pPr>
            <w:r>
              <w:rPr>
                <w:rFonts w:ascii="Arial" w:hAnsi="Arial"/>
                <w:sz w:val="12"/>
                <w:szCs w:val="12"/>
              </w:rPr>
              <w:t>Torre de las Arcas</w:t>
            </w:r>
          </w:p>
        </w:tc>
        <w:tc>
          <w:tcPr>
            <w:tcW w:w="2268" w:type="dxa"/>
            <w:tcBorders>
              <w:right w:val="single" w:sz="4" w:space="0" w:color="auto"/>
            </w:tcBorders>
            <w:shd w:val="clear" w:color="auto" w:fill="D9D9D9"/>
            <w:hideMark/>
          </w:tcPr>
          <w:p w14:paraId="2885676A" w14:textId="77777777" w:rsidR="002A4DDF" w:rsidRPr="00937C8B" w:rsidRDefault="002A4DDF" w:rsidP="009110ED">
            <w:pPr>
              <w:rPr>
                <w:rFonts w:ascii="Arial" w:hAnsi="Arial" w:cs="Arial"/>
                <w:sz w:val="12"/>
                <w:szCs w:val="12"/>
              </w:rPr>
            </w:pPr>
          </w:p>
        </w:tc>
      </w:tr>
      <w:tr w:rsidR="002A4DDF" w:rsidRPr="00937C8B" w14:paraId="458B1FA7" w14:textId="77777777" w:rsidTr="00935676">
        <w:trPr>
          <w:cantSplit/>
        </w:trPr>
        <w:tc>
          <w:tcPr>
            <w:tcW w:w="1696" w:type="dxa"/>
            <w:tcBorders>
              <w:left w:val="single" w:sz="4" w:space="0" w:color="auto"/>
            </w:tcBorders>
            <w:shd w:val="clear" w:color="auto" w:fill="auto"/>
          </w:tcPr>
          <w:p w14:paraId="59EBB02C" w14:textId="77777777" w:rsidR="002A4DDF" w:rsidRPr="00937C8B" w:rsidRDefault="002A4DDF" w:rsidP="009110ED">
            <w:pPr>
              <w:rPr>
                <w:rFonts w:ascii="Arial" w:hAnsi="Arial" w:cs="Arial"/>
                <w:sz w:val="12"/>
                <w:szCs w:val="12"/>
              </w:rPr>
            </w:pPr>
          </w:p>
        </w:tc>
        <w:tc>
          <w:tcPr>
            <w:tcW w:w="1843" w:type="dxa"/>
            <w:shd w:val="clear" w:color="auto" w:fill="auto"/>
          </w:tcPr>
          <w:p w14:paraId="41D28078" w14:textId="77777777" w:rsidR="002A4DDF" w:rsidRPr="00937C8B" w:rsidRDefault="002A4DDF" w:rsidP="009110ED">
            <w:pPr>
              <w:rPr>
                <w:rFonts w:ascii="Arial" w:hAnsi="Arial" w:cs="Arial"/>
                <w:sz w:val="12"/>
                <w:szCs w:val="12"/>
              </w:rPr>
            </w:pPr>
          </w:p>
        </w:tc>
        <w:tc>
          <w:tcPr>
            <w:tcW w:w="2268" w:type="dxa"/>
            <w:shd w:val="clear" w:color="auto" w:fill="F2F2F2"/>
            <w:hideMark/>
          </w:tcPr>
          <w:p w14:paraId="4397586E" w14:textId="77777777" w:rsidR="002A4DDF" w:rsidRPr="00937C8B" w:rsidRDefault="002A4DDF" w:rsidP="009110ED">
            <w:pPr>
              <w:rPr>
                <w:rFonts w:ascii="Arial" w:hAnsi="Arial" w:cs="Arial"/>
                <w:sz w:val="12"/>
                <w:szCs w:val="12"/>
              </w:rPr>
            </w:pPr>
            <w:r>
              <w:rPr>
                <w:rFonts w:ascii="Arial" w:hAnsi="Arial"/>
                <w:sz w:val="12"/>
                <w:szCs w:val="12"/>
              </w:rPr>
              <w:t>Torre los Negros</w:t>
            </w:r>
          </w:p>
        </w:tc>
        <w:tc>
          <w:tcPr>
            <w:tcW w:w="2268" w:type="dxa"/>
            <w:tcBorders>
              <w:right w:val="single" w:sz="4" w:space="0" w:color="auto"/>
            </w:tcBorders>
            <w:shd w:val="clear" w:color="auto" w:fill="D9D9D9"/>
            <w:hideMark/>
          </w:tcPr>
          <w:p w14:paraId="20284FD3" w14:textId="77777777" w:rsidR="002A4DDF" w:rsidRPr="00937C8B" w:rsidRDefault="002A4DDF" w:rsidP="009110ED">
            <w:pPr>
              <w:rPr>
                <w:rFonts w:ascii="Arial" w:hAnsi="Arial" w:cs="Arial"/>
                <w:sz w:val="12"/>
                <w:szCs w:val="12"/>
              </w:rPr>
            </w:pPr>
          </w:p>
        </w:tc>
      </w:tr>
      <w:tr w:rsidR="002A4DDF" w:rsidRPr="00937C8B" w14:paraId="51AA756F" w14:textId="77777777" w:rsidTr="00935676">
        <w:trPr>
          <w:cantSplit/>
        </w:trPr>
        <w:tc>
          <w:tcPr>
            <w:tcW w:w="1696" w:type="dxa"/>
            <w:tcBorders>
              <w:left w:val="single" w:sz="4" w:space="0" w:color="auto"/>
            </w:tcBorders>
            <w:shd w:val="clear" w:color="auto" w:fill="auto"/>
          </w:tcPr>
          <w:p w14:paraId="054A26E2" w14:textId="77777777" w:rsidR="002A4DDF" w:rsidRPr="00937C8B" w:rsidRDefault="002A4DDF" w:rsidP="009110ED">
            <w:pPr>
              <w:rPr>
                <w:rFonts w:ascii="Arial" w:hAnsi="Arial" w:cs="Arial"/>
                <w:sz w:val="12"/>
                <w:szCs w:val="12"/>
              </w:rPr>
            </w:pPr>
          </w:p>
        </w:tc>
        <w:tc>
          <w:tcPr>
            <w:tcW w:w="1843" w:type="dxa"/>
            <w:shd w:val="clear" w:color="auto" w:fill="auto"/>
          </w:tcPr>
          <w:p w14:paraId="08C25E15" w14:textId="77777777" w:rsidR="002A4DDF" w:rsidRPr="00937C8B" w:rsidRDefault="002A4DDF" w:rsidP="009110ED">
            <w:pPr>
              <w:rPr>
                <w:rFonts w:ascii="Arial" w:hAnsi="Arial" w:cs="Arial"/>
                <w:sz w:val="12"/>
                <w:szCs w:val="12"/>
              </w:rPr>
            </w:pPr>
          </w:p>
        </w:tc>
        <w:tc>
          <w:tcPr>
            <w:tcW w:w="2268" w:type="dxa"/>
            <w:shd w:val="clear" w:color="auto" w:fill="F2F2F2"/>
            <w:hideMark/>
          </w:tcPr>
          <w:p w14:paraId="23A00507" w14:textId="77777777" w:rsidR="002A4DDF" w:rsidRPr="00937C8B" w:rsidRDefault="002A4DDF" w:rsidP="009110ED">
            <w:pPr>
              <w:rPr>
                <w:rFonts w:ascii="Arial" w:hAnsi="Arial" w:cs="Arial"/>
                <w:sz w:val="12"/>
                <w:szCs w:val="12"/>
              </w:rPr>
            </w:pPr>
            <w:r>
              <w:rPr>
                <w:rFonts w:ascii="Arial" w:hAnsi="Arial"/>
                <w:sz w:val="12"/>
                <w:szCs w:val="12"/>
              </w:rPr>
              <w:t>Torres de Albarracín</w:t>
            </w:r>
          </w:p>
        </w:tc>
        <w:tc>
          <w:tcPr>
            <w:tcW w:w="2268" w:type="dxa"/>
            <w:tcBorders>
              <w:right w:val="single" w:sz="4" w:space="0" w:color="auto"/>
            </w:tcBorders>
            <w:shd w:val="clear" w:color="auto" w:fill="D9D9D9"/>
            <w:hideMark/>
          </w:tcPr>
          <w:p w14:paraId="4CED9643" w14:textId="77777777" w:rsidR="002A4DDF" w:rsidRPr="00937C8B" w:rsidRDefault="002A4DDF" w:rsidP="009110ED">
            <w:pPr>
              <w:rPr>
                <w:rFonts w:ascii="Arial" w:hAnsi="Arial" w:cs="Arial"/>
                <w:sz w:val="12"/>
                <w:szCs w:val="12"/>
              </w:rPr>
            </w:pPr>
          </w:p>
        </w:tc>
      </w:tr>
      <w:tr w:rsidR="002A4DDF" w:rsidRPr="00937C8B" w14:paraId="301FCC8C" w14:textId="77777777" w:rsidTr="00935676">
        <w:trPr>
          <w:cantSplit/>
        </w:trPr>
        <w:tc>
          <w:tcPr>
            <w:tcW w:w="1696" w:type="dxa"/>
            <w:tcBorders>
              <w:left w:val="single" w:sz="4" w:space="0" w:color="auto"/>
            </w:tcBorders>
            <w:shd w:val="clear" w:color="auto" w:fill="auto"/>
          </w:tcPr>
          <w:p w14:paraId="13680F26" w14:textId="77777777" w:rsidR="002A4DDF" w:rsidRPr="00937C8B" w:rsidRDefault="002A4DDF" w:rsidP="009110ED">
            <w:pPr>
              <w:rPr>
                <w:rFonts w:ascii="Arial" w:hAnsi="Arial" w:cs="Arial"/>
                <w:sz w:val="12"/>
                <w:szCs w:val="12"/>
              </w:rPr>
            </w:pPr>
          </w:p>
        </w:tc>
        <w:tc>
          <w:tcPr>
            <w:tcW w:w="1843" w:type="dxa"/>
            <w:shd w:val="clear" w:color="auto" w:fill="auto"/>
          </w:tcPr>
          <w:p w14:paraId="1A19E6E5" w14:textId="77777777" w:rsidR="002A4DDF" w:rsidRPr="00937C8B" w:rsidRDefault="002A4DDF" w:rsidP="009110ED">
            <w:pPr>
              <w:rPr>
                <w:rFonts w:ascii="Arial" w:hAnsi="Arial" w:cs="Arial"/>
                <w:sz w:val="12"/>
                <w:szCs w:val="12"/>
              </w:rPr>
            </w:pPr>
          </w:p>
        </w:tc>
        <w:tc>
          <w:tcPr>
            <w:tcW w:w="2268" w:type="dxa"/>
            <w:shd w:val="clear" w:color="auto" w:fill="F2F2F2"/>
            <w:hideMark/>
          </w:tcPr>
          <w:p w14:paraId="6EBB9A9B" w14:textId="77777777" w:rsidR="002A4DDF" w:rsidRPr="00937C8B" w:rsidRDefault="002A4DDF" w:rsidP="009110ED">
            <w:pPr>
              <w:rPr>
                <w:rFonts w:ascii="Arial" w:hAnsi="Arial" w:cs="Arial"/>
                <w:sz w:val="12"/>
                <w:szCs w:val="12"/>
              </w:rPr>
            </w:pPr>
            <w:r>
              <w:rPr>
                <w:rFonts w:ascii="Arial" w:hAnsi="Arial"/>
                <w:sz w:val="12"/>
                <w:szCs w:val="12"/>
              </w:rPr>
              <w:t>Torrijo del Campo</w:t>
            </w:r>
          </w:p>
        </w:tc>
        <w:tc>
          <w:tcPr>
            <w:tcW w:w="2268" w:type="dxa"/>
            <w:tcBorders>
              <w:right w:val="single" w:sz="4" w:space="0" w:color="auto"/>
            </w:tcBorders>
            <w:shd w:val="clear" w:color="auto" w:fill="D9D9D9"/>
            <w:hideMark/>
          </w:tcPr>
          <w:p w14:paraId="2E272E16" w14:textId="77777777" w:rsidR="002A4DDF" w:rsidRPr="00937C8B" w:rsidRDefault="002A4DDF" w:rsidP="009110ED">
            <w:pPr>
              <w:rPr>
                <w:rFonts w:ascii="Arial" w:hAnsi="Arial" w:cs="Arial"/>
                <w:sz w:val="12"/>
                <w:szCs w:val="12"/>
              </w:rPr>
            </w:pPr>
          </w:p>
        </w:tc>
      </w:tr>
      <w:tr w:rsidR="002A4DDF" w:rsidRPr="00937C8B" w14:paraId="1E939449" w14:textId="77777777" w:rsidTr="00935676">
        <w:trPr>
          <w:cantSplit/>
        </w:trPr>
        <w:tc>
          <w:tcPr>
            <w:tcW w:w="1696" w:type="dxa"/>
            <w:tcBorders>
              <w:left w:val="single" w:sz="4" w:space="0" w:color="auto"/>
            </w:tcBorders>
            <w:shd w:val="clear" w:color="auto" w:fill="auto"/>
          </w:tcPr>
          <w:p w14:paraId="4EF6E66F" w14:textId="77777777" w:rsidR="002A4DDF" w:rsidRPr="00937C8B" w:rsidRDefault="002A4DDF" w:rsidP="009110ED">
            <w:pPr>
              <w:rPr>
                <w:rFonts w:ascii="Arial" w:hAnsi="Arial" w:cs="Arial"/>
                <w:sz w:val="12"/>
                <w:szCs w:val="12"/>
              </w:rPr>
            </w:pPr>
          </w:p>
        </w:tc>
        <w:tc>
          <w:tcPr>
            <w:tcW w:w="1843" w:type="dxa"/>
            <w:shd w:val="clear" w:color="auto" w:fill="auto"/>
          </w:tcPr>
          <w:p w14:paraId="70F3066A" w14:textId="77777777" w:rsidR="002A4DDF" w:rsidRPr="00937C8B" w:rsidRDefault="002A4DDF" w:rsidP="009110ED">
            <w:pPr>
              <w:rPr>
                <w:rFonts w:ascii="Arial" w:hAnsi="Arial" w:cs="Arial"/>
                <w:sz w:val="12"/>
                <w:szCs w:val="12"/>
              </w:rPr>
            </w:pPr>
          </w:p>
        </w:tc>
        <w:tc>
          <w:tcPr>
            <w:tcW w:w="2268" w:type="dxa"/>
            <w:shd w:val="clear" w:color="auto" w:fill="F2F2F2"/>
            <w:hideMark/>
          </w:tcPr>
          <w:p w14:paraId="364A0566" w14:textId="77777777" w:rsidR="002A4DDF" w:rsidRPr="00937C8B" w:rsidRDefault="002A4DDF" w:rsidP="009110ED">
            <w:pPr>
              <w:rPr>
                <w:rFonts w:ascii="Arial" w:hAnsi="Arial" w:cs="Arial"/>
                <w:sz w:val="12"/>
                <w:szCs w:val="12"/>
              </w:rPr>
            </w:pPr>
            <w:r>
              <w:rPr>
                <w:rFonts w:ascii="Arial" w:hAnsi="Arial"/>
                <w:sz w:val="12"/>
                <w:szCs w:val="12"/>
              </w:rPr>
              <w:t>Tramacastiel</w:t>
            </w:r>
          </w:p>
        </w:tc>
        <w:tc>
          <w:tcPr>
            <w:tcW w:w="2268" w:type="dxa"/>
            <w:tcBorders>
              <w:right w:val="single" w:sz="4" w:space="0" w:color="auto"/>
            </w:tcBorders>
            <w:shd w:val="clear" w:color="auto" w:fill="D9D9D9"/>
            <w:hideMark/>
          </w:tcPr>
          <w:p w14:paraId="50BDDB51" w14:textId="77777777" w:rsidR="002A4DDF" w:rsidRPr="00937C8B" w:rsidRDefault="002A4DDF" w:rsidP="009110ED">
            <w:pPr>
              <w:rPr>
                <w:rFonts w:ascii="Arial" w:hAnsi="Arial" w:cs="Arial"/>
                <w:sz w:val="12"/>
                <w:szCs w:val="12"/>
              </w:rPr>
            </w:pPr>
          </w:p>
        </w:tc>
      </w:tr>
      <w:tr w:rsidR="002A4DDF" w:rsidRPr="00937C8B" w14:paraId="63ECB6F2" w14:textId="77777777" w:rsidTr="00935676">
        <w:trPr>
          <w:cantSplit/>
        </w:trPr>
        <w:tc>
          <w:tcPr>
            <w:tcW w:w="1696" w:type="dxa"/>
            <w:tcBorders>
              <w:left w:val="single" w:sz="4" w:space="0" w:color="auto"/>
            </w:tcBorders>
            <w:shd w:val="clear" w:color="auto" w:fill="auto"/>
          </w:tcPr>
          <w:p w14:paraId="1EAC708A" w14:textId="77777777" w:rsidR="002A4DDF" w:rsidRPr="00937C8B" w:rsidRDefault="002A4DDF" w:rsidP="009110ED">
            <w:pPr>
              <w:rPr>
                <w:rFonts w:ascii="Arial" w:hAnsi="Arial" w:cs="Arial"/>
                <w:sz w:val="12"/>
                <w:szCs w:val="12"/>
              </w:rPr>
            </w:pPr>
          </w:p>
        </w:tc>
        <w:tc>
          <w:tcPr>
            <w:tcW w:w="1843" w:type="dxa"/>
            <w:shd w:val="clear" w:color="auto" w:fill="auto"/>
          </w:tcPr>
          <w:p w14:paraId="58662490" w14:textId="77777777" w:rsidR="002A4DDF" w:rsidRPr="00937C8B" w:rsidRDefault="002A4DDF" w:rsidP="009110ED">
            <w:pPr>
              <w:rPr>
                <w:rFonts w:ascii="Arial" w:hAnsi="Arial" w:cs="Arial"/>
                <w:sz w:val="12"/>
                <w:szCs w:val="12"/>
              </w:rPr>
            </w:pPr>
          </w:p>
        </w:tc>
        <w:tc>
          <w:tcPr>
            <w:tcW w:w="2268" w:type="dxa"/>
            <w:shd w:val="clear" w:color="auto" w:fill="F2F2F2"/>
            <w:hideMark/>
          </w:tcPr>
          <w:p w14:paraId="61959E9F" w14:textId="77777777" w:rsidR="002A4DDF" w:rsidRPr="00937C8B" w:rsidRDefault="002A4DDF" w:rsidP="009110ED">
            <w:pPr>
              <w:rPr>
                <w:rFonts w:ascii="Arial" w:hAnsi="Arial" w:cs="Arial"/>
                <w:sz w:val="12"/>
                <w:szCs w:val="12"/>
              </w:rPr>
            </w:pPr>
            <w:r>
              <w:rPr>
                <w:rFonts w:ascii="Arial" w:hAnsi="Arial"/>
                <w:sz w:val="12"/>
                <w:szCs w:val="12"/>
              </w:rPr>
              <w:t>Tramacastilla</w:t>
            </w:r>
          </w:p>
        </w:tc>
        <w:tc>
          <w:tcPr>
            <w:tcW w:w="2268" w:type="dxa"/>
            <w:tcBorders>
              <w:right w:val="single" w:sz="4" w:space="0" w:color="auto"/>
            </w:tcBorders>
            <w:shd w:val="clear" w:color="auto" w:fill="D9D9D9"/>
            <w:hideMark/>
          </w:tcPr>
          <w:p w14:paraId="43F332B2" w14:textId="77777777" w:rsidR="002A4DDF" w:rsidRPr="00937C8B" w:rsidRDefault="002A4DDF" w:rsidP="009110ED">
            <w:pPr>
              <w:rPr>
                <w:rFonts w:ascii="Arial" w:hAnsi="Arial" w:cs="Arial"/>
                <w:sz w:val="12"/>
                <w:szCs w:val="12"/>
              </w:rPr>
            </w:pPr>
          </w:p>
        </w:tc>
      </w:tr>
      <w:tr w:rsidR="002A4DDF" w:rsidRPr="00937C8B" w14:paraId="3C229263" w14:textId="77777777" w:rsidTr="00935676">
        <w:trPr>
          <w:cantSplit/>
        </w:trPr>
        <w:tc>
          <w:tcPr>
            <w:tcW w:w="1696" w:type="dxa"/>
            <w:tcBorders>
              <w:left w:val="single" w:sz="4" w:space="0" w:color="auto"/>
            </w:tcBorders>
            <w:shd w:val="clear" w:color="auto" w:fill="auto"/>
          </w:tcPr>
          <w:p w14:paraId="0B334B6B" w14:textId="77777777" w:rsidR="002A4DDF" w:rsidRPr="00937C8B" w:rsidRDefault="002A4DDF" w:rsidP="009110ED">
            <w:pPr>
              <w:rPr>
                <w:rFonts w:ascii="Arial" w:hAnsi="Arial" w:cs="Arial"/>
                <w:sz w:val="12"/>
                <w:szCs w:val="12"/>
              </w:rPr>
            </w:pPr>
          </w:p>
        </w:tc>
        <w:tc>
          <w:tcPr>
            <w:tcW w:w="1843" w:type="dxa"/>
            <w:shd w:val="clear" w:color="auto" w:fill="auto"/>
          </w:tcPr>
          <w:p w14:paraId="49E0F1C1" w14:textId="77777777" w:rsidR="002A4DDF" w:rsidRPr="00937C8B" w:rsidRDefault="002A4DDF" w:rsidP="009110ED">
            <w:pPr>
              <w:rPr>
                <w:rFonts w:ascii="Arial" w:hAnsi="Arial" w:cs="Arial"/>
                <w:sz w:val="12"/>
                <w:szCs w:val="12"/>
              </w:rPr>
            </w:pPr>
          </w:p>
        </w:tc>
        <w:tc>
          <w:tcPr>
            <w:tcW w:w="2268" w:type="dxa"/>
            <w:shd w:val="clear" w:color="auto" w:fill="F2F2F2"/>
            <w:hideMark/>
          </w:tcPr>
          <w:p w14:paraId="55A7678E" w14:textId="77777777" w:rsidR="002A4DDF" w:rsidRPr="00937C8B" w:rsidRDefault="002A4DDF" w:rsidP="009110ED">
            <w:pPr>
              <w:rPr>
                <w:rFonts w:ascii="Arial" w:hAnsi="Arial" w:cs="Arial"/>
                <w:sz w:val="12"/>
                <w:szCs w:val="12"/>
              </w:rPr>
            </w:pPr>
            <w:r>
              <w:rPr>
                <w:rFonts w:ascii="Arial" w:hAnsi="Arial"/>
                <w:sz w:val="12"/>
                <w:szCs w:val="12"/>
              </w:rPr>
              <w:t>Utrillas</w:t>
            </w:r>
          </w:p>
        </w:tc>
        <w:tc>
          <w:tcPr>
            <w:tcW w:w="2268" w:type="dxa"/>
            <w:tcBorders>
              <w:right w:val="single" w:sz="4" w:space="0" w:color="auto"/>
            </w:tcBorders>
            <w:shd w:val="clear" w:color="auto" w:fill="D9D9D9"/>
            <w:hideMark/>
          </w:tcPr>
          <w:p w14:paraId="123CA8C0" w14:textId="77777777" w:rsidR="002A4DDF" w:rsidRPr="00937C8B" w:rsidRDefault="002A4DDF" w:rsidP="009110ED">
            <w:pPr>
              <w:rPr>
                <w:rFonts w:ascii="Arial" w:hAnsi="Arial" w:cs="Arial"/>
                <w:sz w:val="12"/>
                <w:szCs w:val="12"/>
              </w:rPr>
            </w:pPr>
          </w:p>
        </w:tc>
      </w:tr>
      <w:tr w:rsidR="002A4DDF" w:rsidRPr="00937C8B" w14:paraId="331A0947" w14:textId="77777777" w:rsidTr="00935676">
        <w:trPr>
          <w:cantSplit/>
        </w:trPr>
        <w:tc>
          <w:tcPr>
            <w:tcW w:w="1696" w:type="dxa"/>
            <w:tcBorders>
              <w:left w:val="single" w:sz="4" w:space="0" w:color="auto"/>
            </w:tcBorders>
            <w:shd w:val="clear" w:color="auto" w:fill="auto"/>
          </w:tcPr>
          <w:p w14:paraId="1556A221" w14:textId="77777777" w:rsidR="002A4DDF" w:rsidRPr="00937C8B" w:rsidRDefault="002A4DDF" w:rsidP="009110ED">
            <w:pPr>
              <w:rPr>
                <w:rFonts w:ascii="Arial" w:hAnsi="Arial" w:cs="Arial"/>
                <w:sz w:val="12"/>
                <w:szCs w:val="12"/>
              </w:rPr>
            </w:pPr>
          </w:p>
        </w:tc>
        <w:tc>
          <w:tcPr>
            <w:tcW w:w="1843" w:type="dxa"/>
            <w:shd w:val="clear" w:color="auto" w:fill="auto"/>
          </w:tcPr>
          <w:p w14:paraId="37968E60" w14:textId="77777777" w:rsidR="002A4DDF" w:rsidRPr="00937C8B" w:rsidRDefault="002A4DDF" w:rsidP="009110ED">
            <w:pPr>
              <w:rPr>
                <w:rFonts w:ascii="Arial" w:hAnsi="Arial" w:cs="Arial"/>
                <w:sz w:val="12"/>
                <w:szCs w:val="12"/>
              </w:rPr>
            </w:pPr>
          </w:p>
        </w:tc>
        <w:tc>
          <w:tcPr>
            <w:tcW w:w="2268" w:type="dxa"/>
            <w:shd w:val="clear" w:color="auto" w:fill="F2F2F2"/>
            <w:hideMark/>
          </w:tcPr>
          <w:p w14:paraId="25E0D02B" w14:textId="77777777" w:rsidR="002A4DDF" w:rsidRPr="00937C8B" w:rsidRDefault="002A4DDF" w:rsidP="009110ED">
            <w:pPr>
              <w:rPr>
                <w:rFonts w:ascii="Arial" w:hAnsi="Arial" w:cs="Arial"/>
                <w:sz w:val="12"/>
                <w:szCs w:val="12"/>
              </w:rPr>
            </w:pPr>
            <w:r>
              <w:rPr>
                <w:rFonts w:ascii="Arial" w:hAnsi="Arial"/>
                <w:sz w:val="12"/>
                <w:szCs w:val="12"/>
              </w:rPr>
              <w:t>Valbona</w:t>
            </w:r>
          </w:p>
        </w:tc>
        <w:tc>
          <w:tcPr>
            <w:tcW w:w="2268" w:type="dxa"/>
            <w:tcBorders>
              <w:right w:val="single" w:sz="4" w:space="0" w:color="auto"/>
            </w:tcBorders>
            <w:shd w:val="clear" w:color="auto" w:fill="D9D9D9"/>
            <w:hideMark/>
          </w:tcPr>
          <w:p w14:paraId="3C9ECC8D" w14:textId="77777777" w:rsidR="002A4DDF" w:rsidRPr="00937C8B" w:rsidRDefault="002A4DDF" w:rsidP="009110ED">
            <w:pPr>
              <w:rPr>
                <w:rFonts w:ascii="Arial" w:hAnsi="Arial" w:cs="Arial"/>
                <w:sz w:val="12"/>
                <w:szCs w:val="12"/>
              </w:rPr>
            </w:pPr>
          </w:p>
        </w:tc>
      </w:tr>
      <w:tr w:rsidR="002A4DDF" w:rsidRPr="00937C8B" w14:paraId="08D2F809" w14:textId="77777777" w:rsidTr="00935676">
        <w:trPr>
          <w:cantSplit/>
        </w:trPr>
        <w:tc>
          <w:tcPr>
            <w:tcW w:w="1696" w:type="dxa"/>
            <w:tcBorders>
              <w:left w:val="single" w:sz="4" w:space="0" w:color="auto"/>
            </w:tcBorders>
            <w:shd w:val="clear" w:color="auto" w:fill="auto"/>
          </w:tcPr>
          <w:p w14:paraId="08E2AA49" w14:textId="77777777" w:rsidR="002A4DDF" w:rsidRPr="00937C8B" w:rsidRDefault="002A4DDF" w:rsidP="009110ED">
            <w:pPr>
              <w:rPr>
                <w:rFonts w:ascii="Arial" w:hAnsi="Arial" w:cs="Arial"/>
                <w:sz w:val="12"/>
                <w:szCs w:val="12"/>
              </w:rPr>
            </w:pPr>
          </w:p>
        </w:tc>
        <w:tc>
          <w:tcPr>
            <w:tcW w:w="1843" w:type="dxa"/>
            <w:shd w:val="clear" w:color="auto" w:fill="auto"/>
          </w:tcPr>
          <w:p w14:paraId="7AAB5C8D" w14:textId="77777777" w:rsidR="002A4DDF" w:rsidRPr="00937C8B" w:rsidRDefault="002A4DDF" w:rsidP="009110ED">
            <w:pPr>
              <w:rPr>
                <w:rFonts w:ascii="Arial" w:hAnsi="Arial" w:cs="Arial"/>
                <w:sz w:val="12"/>
                <w:szCs w:val="12"/>
              </w:rPr>
            </w:pPr>
          </w:p>
        </w:tc>
        <w:tc>
          <w:tcPr>
            <w:tcW w:w="2268" w:type="dxa"/>
            <w:shd w:val="clear" w:color="auto" w:fill="F2F2F2"/>
            <w:hideMark/>
          </w:tcPr>
          <w:p w14:paraId="1B0A899B" w14:textId="77777777" w:rsidR="002A4DDF" w:rsidRPr="00937C8B" w:rsidRDefault="002A4DDF" w:rsidP="009110ED">
            <w:pPr>
              <w:rPr>
                <w:rFonts w:ascii="Arial" w:hAnsi="Arial" w:cs="Arial"/>
                <w:sz w:val="12"/>
                <w:szCs w:val="12"/>
              </w:rPr>
            </w:pPr>
            <w:r>
              <w:rPr>
                <w:rFonts w:ascii="Arial" w:hAnsi="Arial"/>
                <w:sz w:val="12"/>
                <w:szCs w:val="12"/>
              </w:rPr>
              <w:t>Valdelinares</w:t>
            </w:r>
          </w:p>
        </w:tc>
        <w:tc>
          <w:tcPr>
            <w:tcW w:w="2268" w:type="dxa"/>
            <w:tcBorders>
              <w:right w:val="single" w:sz="4" w:space="0" w:color="auto"/>
            </w:tcBorders>
            <w:shd w:val="clear" w:color="auto" w:fill="D9D9D9"/>
            <w:hideMark/>
          </w:tcPr>
          <w:p w14:paraId="7E4DC6DD" w14:textId="77777777" w:rsidR="002A4DDF" w:rsidRPr="00937C8B" w:rsidRDefault="002A4DDF" w:rsidP="009110ED">
            <w:pPr>
              <w:rPr>
                <w:rFonts w:ascii="Arial" w:hAnsi="Arial" w:cs="Arial"/>
                <w:sz w:val="12"/>
                <w:szCs w:val="12"/>
              </w:rPr>
            </w:pPr>
          </w:p>
        </w:tc>
      </w:tr>
      <w:tr w:rsidR="002A4DDF" w:rsidRPr="00937C8B" w14:paraId="1814A602" w14:textId="77777777" w:rsidTr="00935676">
        <w:trPr>
          <w:cantSplit/>
        </w:trPr>
        <w:tc>
          <w:tcPr>
            <w:tcW w:w="1696" w:type="dxa"/>
            <w:tcBorders>
              <w:left w:val="single" w:sz="4" w:space="0" w:color="auto"/>
            </w:tcBorders>
            <w:shd w:val="clear" w:color="auto" w:fill="auto"/>
          </w:tcPr>
          <w:p w14:paraId="20822C8A" w14:textId="77777777" w:rsidR="002A4DDF" w:rsidRPr="00937C8B" w:rsidRDefault="002A4DDF" w:rsidP="009110ED">
            <w:pPr>
              <w:rPr>
                <w:rFonts w:ascii="Arial" w:hAnsi="Arial" w:cs="Arial"/>
                <w:sz w:val="12"/>
                <w:szCs w:val="12"/>
              </w:rPr>
            </w:pPr>
          </w:p>
        </w:tc>
        <w:tc>
          <w:tcPr>
            <w:tcW w:w="1843" w:type="dxa"/>
            <w:shd w:val="clear" w:color="auto" w:fill="auto"/>
          </w:tcPr>
          <w:p w14:paraId="3CF3779C" w14:textId="77777777" w:rsidR="002A4DDF" w:rsidRPr="00937C8B" w:rsidRDefault="002A4DDF" w:rsidP="009110ED">
            <w:pPr>
              <w:rPr>
                <w:rFonts w:ascii="Arial" w:hAnsi="Arial" w:cs="Arial"/>
                <w:sz w:val="12"/>
                <w:szCs w:val="12"/>
              </w:rPr>
            </w:pPr>
          </w:p>
        </w:tc>
        <w:tc>
          <w:tcPr>
            <w:tcW w:w="2268" w:type="dxa"/>
            <w:shd w:val="clear" w:color="auto" w:fill="F2F2F2"/>
            <w:hideMark/>
          </w:tcPr>
          <w:p w14:paraId="63406E77" w14:textId="77777777" w:rsidR="002A4DDF" w:rsidRPr="00937C8B" w:rsidRDefault="002A4DDF" w:rsidP="009110ED">
            <w:pPr>
              <w:rPr>
                <w:rFonts w:ascii="Arial" w:hAnsi="Arial" w:cs="Arial"/>
                <w:sz w:val="12"/>
                <w:szCs w:val="12"/>
              </w:rPr>
            </w:pPr>
            <w:r>
              <w:rPr>
                <w:rFonts w:ascii="Arial" w:hAnsi="Arial"/>
                <w:sz w:val="12"/>
                <w:szCs w:val="12"/>
              </w:rPr>
              <w:t>Valderrobres</w:t>
            </w:r>
          </w:p>
        </w:tc>
        <w:tc>
          <w:tcPr>
            <w:tcW w:w="2268" w:type="dxa"/>
            <w:tcBorders>
              <w:right w:val="single" w:sz="4" w:space="0" w:color="auto"/>
            </w:tcBorders>
            <w:shd w:val="clear" w:color="auto" w:fill="D9D9D9"/>
            <w:hideMark/>
          </w:tcPr>
          <w:p w14:paraId="39DAC06B" w14:textId="77777777" w:rsidR="002A4DDF" w:rsidRPr="00937C8B" w:rsidRDefault="002A4DDF" w:rsidP="009110ED">
            <w:pPr>
              <w:rPr>
                <w:rFonts w:ascii="Arial" w:hAnsi="Arial" w:cs="Arial"/>
                <w:sz w:val="12"/>
                <w:szCs w:val="12"/>
              </w:rPr>
            </w:pPr>
          </w:p>
        </w:tc>
      </w:tr>
      <w:tr w:rsidR="002A4DDF" w:rsidRPr="00937C8B" w14:paraId="7D822944" w14:textId="77777777" w:rsidTr="00935676">
        <w:trPr>
          <w:cantSplit/>
        </w:trPr>
        <w:tc>
          <w:tcPr>
            <w:tcW w:w="1696" w:type="dxa"/>
            <w:tcBorders>
              <w:left w:val="single" w:sz="4" w:space="0" w:color="auto"/>
            </w:tcBorders>
            <w:shd w:val="clear" w:color="auto" w:fill="auto"/>
          </w:tcPr>
          <w:p w14:paraId="6B316C19" w14:textId="77777777" w:rsidR="002A4DDF" w:rsidRPr="00937C8B" w:rsidRDefault="002A4DDF" w:rsidP="009110ED">
            <w:pPr>
              <w:rPr>
                <w:rFonts w:ascii="Arial" w:hAnsi="Arial" w:cs="Arial"/>
                <w:sz w:val="12"/>
                <w:szCs w:val="12"/>
              </w:rPr>
            </w:pPr>
          </w:p>
        </w:tc>
        <w:tc>
          <w:tcPr>
            <w:tcW w:w="1843" w:type="dxa"/>
            <w:shd w:val="clear" w:color="auto" w:fill="auto"/>
          </w:tcPr>
          <w:p w14:paraId="620CDEF6" w14:textId="77777777" w:rsidR="002A4DDF" w:rsidRPr="00937C8B" w:rsidRDefault="002A4DDF" w:rsidP="009110ED">
            <w:pPr>
              <w:rPr>
                <w:rFonts w:ascii="Arial" w:hAnsi="Arial" w:cs="Arial"/>
                <w:sz w:val="12"/>
                <w:szCs w:val="12"/>
              </w:rPr>
            </w:pPr>
          </w:p>
        </w:tc>
        <w:tc>
          <w:tcPr>
            <w:tcW w:w="2268" w:type="dxa"/>
            <w:shd w:val="clear" w:color="auto" w:fill="F2F2F2"/>
            <w:hideMark/>
          </w:tcPr>
          <w:p w14:paraId="22D26227" w14:textId="77777777" w:rsidR="002A4DDF" w:rsidRPr="00937C8B" w:rsidRDefault="002A4DDF" w:rsidP="009110ED">
            <w:pPr>
              <w:rPr>
                <w:rFonts w:ascii="Arial" w:hAnsi="Arial" w:cs="Arial"/>
                <w:sz w:val="12"/>
                <w:szCs w:val="12"/>
              </w:rPr>
            </w:pPr>
            <w:r>
              <w:rPr>
                <w:rFonts w:ascii="Arial" w:hAnsi="Arial"/>
                <w:sz w:val="12"/>
                <w:szCs w:val="12"/>
              </w:rPr>
              <w:t>Villahermosa del Campo</w:t>
            </w:r>
          </w:p>
        </w:tc>
        <w:tc>
          <w:tcPr>
            <w:tcW w:w="2268" w:type="dxa"/>
            <w:tcBorders>
              <w:right w:val="single" w:sz="4" w:space="0" w:color="auto"/>
            </w:tcBorders>
            <w:shd w:val="clear" w:color="auto" w:fill="D9D9D9"/>
            <w:hideMark/>
          </w:tcPr>
          <w:p w14:paraId="7C0C4363" w14:textId="77777777" w:rsidR="002A4DDF" w:rsidRPr="00937C8B" w:rsidRDefault="002A4DDF" w:rsidP="009110ED">
            <w:pPr>
              <w:rPr>
                <w:rFonts w:ascii="Arial" w:hAnsi="Arial" w:cs="Arial"/>
                <w:sz w:val="12"/>
                <w:szCs w:val="12"/>
              </w:rPr>
            </w:pPr>
          </w:p>
        </w:tc>
      </w:tr>
      <w:tr w:rsidR="002A4DDF" w:rsidRPr="00937C8B" w14:paraId="1B6CEA54" w14:textId="77777777" w:rsidTr="00935676">
        <w:trPr>
          <w:cantSplit/>
        </w:trPr>
        <w:tc>
          <w:tcPr>
            <w:tcW w:w="1696" w:type="dxa"/>
            <w:tcBorders>
              <w:left w:val="single" w:sz="4" w:space="0" w:color="auto"/>
            </w:tcBorders>
            <w:shd w:val="clear" w:color="auto" w:fill="auto"/>
          </w:tcPr>
          <w:p w14:paraId="05762319" w14:textId="77777777" w:rsidR="002A4DDF" w:rsidRPr="00937C8B" w:rsidRDefault="002A4DDF" w:rsidP="009110ED">
            <w:pPr>
              <w:rPr>
                <w:rFonts w:ascii="Arial" w:hAnsi="Arial" w:cs="Arial"/>
                <w:sz w:val="12"/>
                <w:szCs w:val="12"/>
              </w:rPr>
            </w:pPr>
          </w:p>
        </w:tc>
        <w:tc>
          <w:tcPr>
            <w:tcW w:w="1843" w:type="dxa"/>
            <w:shd w:val="clear" w:color="auto" w:fill="auto"/>
          </w:tcPr>
          <w:p w14:paraId="202D2045" w14:textId="77777777" w:rsidR="002A4DDF" w:rsidRPr="00937C8B" w:rsidRDefault="002A4DDF" w:rsidP="009110ED">
            <w:pPr>
              <w:rPr>
                <w:rFonts w:ascii="Arial" w:hAnsi="Arial" w:cs="Arial"/>
                <w:sz w:val="12"/>
                <w:szCs w:val="12"/>
              </w:rPr>
            </w:pPr>
          </w:p>
        </w:tc>
        <w:tc>
          <w:tcPr>
            <w:tcW w:w="2268" w:type="dxa"/>
            <w:shd w:val="clear" w:color="auto" w:fill="F2F2F2"/>
            <w:hideMark/>
          </w:tcPr>
          <w:p w14:paraId="7E3BB4A7" w14:textId="77777777" w:rsidR="002A4DDF" w:rsidRPr="00937C8B" w:rsidRDefault="002A4DDF" w:rsidP="009110ED">
            <w:pPr>
              <w:rPr>
                <w:rFonts w:ascii="Arial" w:hAnsi="Arial" w:cs="Arial"/>
                <w:sz w:val="12"/>
                <w:szCs w:val="12"/>
              </w:rPr>
            </w:pPr>
            <w:r>
              <w:rPr>
                <w:rFonts w:ascii="Arial" w:hAnsi="Arial"/>
                <w:sz w:val="12"/>
                <w:szCs w:val="12"/>
              </w:rPr>
              <w:t>Villanueva del Rebollar de la Sierra</w:t>
            </w:r>
          </w:p>
        </w:tc>
        <w:tc>
          <w:tcPr>
            <w:tcW w:w="2268" w:type="dxa"/>
            <w:tcBorders>
              <w:right w:val="single" w:sz="4" w:space="0" w:color="auto"/>
            </w:tcBorders>
            <w:shd w:val="clear" w:color="auto" w:fill="D9D9D9"/>
            <w:hideMark/>
          </w:tcPr>
          <w:p w14:paraId="538E76B5" w14:textId="77777777" w:rsidR="002A4DDF" w:rsidRPr="00937C8B" w:rsidRDefault="002A4DDF" w:rsidP="009110ED">
            <w:pPr>
              <w:rPr>
                <w:rFonts w:ascii="Arial" w:hAnsi="Arial" w:cs="Arial"/>
                <w:sz w:val="12"/>
                <w:szCs w:val="12"/>
              </w:rPr>
            </w:pPr>
          </w:p>
        </w:tc>
      </w:tr>
      <w:tr w:rsidR="002A4DDF" w:rsidRPr="00937C8B" w14:paraId="04A0836A" w14:textId="77777777" w:rsidTr="00935676">
        <w:trPr>
          <w:cantSplit/>
        </w:trPr>
        <w:tc>
          <w:tcPr>
            <w:tcW w:w="1696" w:type="dxa"/>
            <w:tcBorders>
              <w:left w:val="single" w:sz="4" w:space="0" w:color="auto"/>
            </w:tcBorders>
            <w:shd w:val="clear" w:color="auto" w:fill="auto"/>
          </w:tcPr>
          <w:p w14:paraId="3C66538F" w14:textId="77777777" w:rsidR="002A4DDF" w:rsidRPr="00937C8B" w:rsidRDefault="002A4DDF" w:rsidP="009110ED">
            <w:pPr>
              <w:rPr>
                <w:rFonts w:ascii="Arial" w:hAnsi="Arial" w:cs="Arial"/>
                <w:sz w:val="12"/>
                <w:szCs w:val="12"/>
              </w:rPr>
            </w:pPr>
          </w:p>
        </w:tc>
        <w:tc>
          <w:tcPr>
            <w:tcW w:w="1843" w:type="dxa"/>
            <w:shd w:val="clear" w:color="auto" w:fill="auto"/>
          </w:tcPr>
          <w:p w14:paraId="3CA073E2" w14:textId="77777777" w:rsidR="002A4DDF" w:rsidRPr="00937C8B" w:rsidRDefault="002A4DDF" w:rsidP="009110ED">
            <w:pPr>
              <w:rPr>
                <w:rFonts w:ascii="Arial" w:hAnsi="Arial" w:cs="Arial"/>
                <w:sz w:val="12"/>
                <w:szCs w:val="12"/>
              </w:rPr>
            </w:pPr>
          </w:p>
        </w:tc>
        <w:tc>
          <w:tcPr>
            <w:tcW w:w="2268" w:type="dxa"/>
            <w:shd w:val="clear" w:color="auto" w:fill="F2F2F2"/>
            <w:hideMark/>
          </w:tcPr>
          <w:p w14:paraId="728A8442" w14:textId="77777777" w:rsidR="002A4DDF" w:rsidRPr="00937C8B" w:rsidRDefault="002A4DDF" w:rsidP="009110ED">
            <w:pPr>
              <w:rPr>
                <w:rFonts w:ascii="Arial" w:hAnsi="Arial" w:cs="Arial"/>
                <w:sz w:val="12"/>
                <w:szCs w:val="12"/>
              </w:rPr>
            </w:pPr>
            <w:r>
              <w:rPr>
                <w:rFonts w:ascii="Arial" w:hAnsi="Arial"/>
                <w:sz w:val="12"/>
                <w:szCs w:val="12"/>
              </w:rPr>
              <w:t>Villar del Cobo</w:t>
            </w:r>
          </w:p>
        </w:tc>
        <w:tc>
          <w:tcPr>
            <w:tcW w:w="2268" w:type="dxa"/>
            <w:tcBorders>
              <w:right w:val="single" w:sz="4" w:space="0" w:color="auto"/>
            </w:tcBorders>
            <w:shd w:val="clear" w:color="auto" w:fill="D9D9D9"/>
            <w:hideMark/>
          </w:tcPr>
          <w:p w14:paraId="4700CC0A" w14:textId="77777777" w:rsidR="002A4DDF" w:rsidRPr="00937C8B" w:rsidRDefault="002A4DDF" w:rsidP="009110ED">
            <w:pPr>
              <w:rPr>
                <w:rFonts w:ascii="Arial" w:hAnsi="Arial" w:cs="Arial"/>
                <w:sz w:val="12"/>
                <w:szCs w:val="12"/>
              </w:rPr>
            </w:pPr>
          </w:p>
        </w:tc>
      </w:tr>
      <w:tr w:rsidR="002A4DDF" w:rsidRPr="00937C8B" w14:paraId="27B82EA0" w14:textId="77777777" w:rsidTr="00935676">
        <w:trPr>
          <w:cantSplit/>
        </w:trPr>
        <w:tc>
          <w:tcPr>
            <w:tcW w:w="1696" w:type="dxa"/>
            <w:tcBorders>
              <w:left w:val="single" w:sz="4" w:space="0" w:color="auto"/>
            </w:tcBorders>
            <w:shd w:val="clear" w:color="auto" w:fill="auto"/>
          </w:tcPr>
          <w:p w14:paraId="1CDE1C94" w14:textId="77777777" w:rsidR="002A4DDF" w:rsidRPr="00937C8B" w:rsidRDefault="002A4DDF" w:rsidP="009110ED">
            <w:pPr>
              <w:rPr>
                <w:rFonts w:ascii="Arial" w:hAnsi="Arial" w:cs="Arial"/>
                <w:sz w:val="12"/>
                <w:szCs w:val="12"/>
              </w:rPr>
            </w:pPr>
          </w:p>
        </w:tc>
        <w:tc>
          <w:tcPr>
            <w:tcW w:w="1843" w:type="dxa"/>
            <w:shd w:val="clear" w:color="auto" w:fill="auto"/>
          </w:tcPr>
          <w:p w14:paraId="0FFB0D8B" w14:textId="77777777" w:rsidR="002A4DDF" w:rsidRPr="00937C8B" w:rsidRDefault="002A4DDF" w:rsidP="009110ED">
            <w:pPr>
              <w:rPr>
                <w:rFonts w:ascii="Arial" w:hAnsi="Arial" w:cs="Arial"/>
                <w:sz w:val="12"/>
                <w:szCs w:val="12"/>
              </w:rPr>
            </w:pPr>
          </w:p>
        </w:tc>
        <w:tc>
          <w:tcPr>
            <w:tcW w:w="2268" w:type="dxa"/>
            <w:shd w:val="clear" w:color="auto" w:fill="F2F2F2"/>
            <w:hideMark/>
          </w:tcPr>
          <w:p w14:paraId="2D4354AE" w14:textId="77777777" w:rsidR="002A4DDF" w:rsidRPr="00937C8B" w:rsidRDefault="002A4DDF" w:rsidP="009110ED">
            <w:pPr>
              <w:rPr>
                <w:rFonts w:ascii="Arial" w:hAnsi="Arial" w:cs="Arial"/>
                <w:sz w:val="12"/>
                <w:szCs w:val="12"/>
              </w:rPr>
            </w:pPr>
            <w:r>
              <w:rPr>
                <w:rFonts w:ascii="Arial" w:hAnsi="Arial"/>
                <w:sz w:val="12"/>
                <w:szCs w:val="12"/>
              </w:rPr>
              <w:t>Villarquemado</w:t>
            </w:r>
          </w:p>
        </w:tc>
        <w:tc>
          <w:tcPr>
            <w:tcW w:w="2268" w:type="dxa"/>
            <w:tcBorders>
              <w:right w:val="single" w:sz="4" w:space="0" w:color="auto"/>
            </w:tcBorders>
            <w:shd w:val="clear" w:color="auto" w:fill="D9D9D9"/>
            <w:hideMark/>
          </w:tcPr>
          <w:p w14:paraId="0B14601F" w14:textId="77777777" w:rsidR="002A4DDF" w:rsidRPr="00937C8B" w:rsidRDefault="002A4DDF" w:rsidP="009110ED">
            <w:pPr>
              <w:rPr>
                <w:rFonts w:ascii="Arial" w:hAnsi="Arial" w:cs="Arial"/>
                <w:sz w:val="12"/>
                <w:szCs w:val="12"/>
              </w:rPr>
            </w:pPr>
          </w:p>
        </w:tc>
      </w:tr>
      <w:tr w:rsidR="002A4DDF" w:rsidRPr="00937C8B" w14:paraId="4C1BFF9B" w14:textId="77777777" w:rsidTr="00935676">
        <w:trPr>
          <w:cantSplit/>
        </w:trPr>
        <w:tc>
          <w:tcPr>
            <w:tcW w:w="1696" w:type="dxa"/>
            <w:tcBorders>
              <w:left w:val="single" w:sz="4" w:space="0" w:color="auto"/>
            </w:tcBorders>
            <w:shd w:val="clear" w:color="auto" w:fill="auto"/>
          </w:tcPr>
          <w:p w14:paraId="5FE16DCA" w14:textId="77777777" w:rsidR="002A4DDF" w:rsidRPr="00937C8B" w:rsidRDefault="002A4DDF" w:rsidP="009110ED">
            <w:pPr>
              <w:rPr>
                <w:rFonts w:ascii="Arial" w:hAnsi="Arial" w:cs="Arial"/>
                <w:sz w:val="12"/>
                <w:szCs w:val="12"/>
              </w:rPr>
            </w:pPr>
          </w:p>
        </w:tc>
        <w:tc>
          <w:tcPr>
            <w:tcW w:w="1843" w:type="dxa"/>
            <w:shd w:val="clear" w:color="auto" w:fill="auto"/>
          </w:tcPr>
          <w:p w14:paraId="663DCB07" w14:textId="77777777" w:rsidR="002A4DDF" w:rsidRPr="00937C8B" w:rsidRDefault="002A4DDF" w:rsidP="009110ED">
            <w:pPr>
              <w:rPr>
                <w:rFonts w:ascii="Arial" w:hAnsi="Arial" w:cs="Arial"/>
                <w:sz w:val="12"/>
                <w:szCs w:val="12"/>
              </w:rPr>
            </w:pPr>
          </w:p>
        </w:tc>
        <w:tc>
          <w:tcPr>
            <w:tcW w:w="2268" w:type="dxa"/>
            <w:shd w:val="clear" w:color="auto" w:fill="F2F2F2"/>
            <w:hideMark/>
          </w:tcPr>
          <w:p w14:paraId="6BA2B3EA" w14:textId="77777777" w:rsidR="002A4DDF" w:rsidRPr="00937C8B" w:rsidRDefault="002A4DDF" w:rsidP="009110ED">
            <w:pPr>
              <w:rPr>
                <w:rFonts w:ascii="Arial" w:hAnsi="Arial" w:cs="Arial"/>
                <w:sz w:val="12"/>
                <w:szCs w:val="12"/>
              </w:rPr>
            </w:pPr>
            <w:r>
              <w:rPr>
                <w:rFonts w:ascii="Arial" w:hAnsi="Arial"/>
                <w:sz w:val="12"/>
                <w:szCs w:val="12"/>
              </w:rPr>
              <w:t>Villastar</w:t>
            </w:r>
          </w:p>
        </w:tc>
        <w:tc>
          <w:tcPr>
            <w:tcW w:w="2268" w:type="dxa"/>
            <w:tcBorders>
              <w:right w:val="single" w:sz="4" w:space="0" w:color="auto"/>
            </w:tcBorders>
            <w:shd w:val="clear" w:color="auto" w:fill="D9D9D9"/>
            <w:hideMark/>
          </w:tcPr>
          <w:p w14:paraId="5BDD192F" w14:textId="77777777" w:rsidR="002A4DDF" w:rsidRPr="00937C8B" w:rsidRDefault="002A4DDF" w:rsidP="009110ED">
            <w:pPr>
              <w:rPr>
                <w:rFonts w:ascii="Arial" w:hAnsi="Arial" w:cs="Arial"/>
                <w:sz w:val="12"/>
                <w:szCs w:val="12"/>
              </w:rPr>
            </w:pPr>
          </w:p>
        </w:tc>
      </w:tr>
      <w:tr w:rsidR="002A4DDF" w:rsidRPr="00937C8B" w14:paraId="24320787" w14:textId="77777777" w:rsidTr="00935676">
        <w:trPr>
          <w:cantSplit/>
        </w:trPr>
        <w:tc>
          <w:tcPr>
            <w:tcW w:w="1696" w:type="dxa"/>
            <w:tcBorders>
              <w:left w:val="single" w:sz="4" w:space="0" w:color="auto"/>
            </w:tcBorders>
            <w:shd w:val="clear" w:color="auto" w:fill="auto"/>
          </w:tcPr>
          <w:p w14:paraId="6929CDD9" w14:textId="77777777" w:rsidR="002A4DDF" w:rsidRPr="00937C8B" w:rsidRDefault="002A4DDF" w:rsidP="009110ED">
            <w:pPr>
              <w:rPr>
                <w:rFonts w:ascii="Arial" w:hAnsi="Arial" w:cs="Arial"/>
                <w:sz w:val="12"/>
                <w:szCs w:val="12"/>
              </w:rPr>
            </w:pPr>
          </w:p>
        </w:tc>
        <w:tc>
          <w:tcPr>
            <w:tcW w:w="1843" w:type="dxa"/>
            <w:shd w:val="clear" w:color="auto" w:fill="auto"/>
          </w:tcPr>
          <w:p w14:paraId="03CAF74B" w14:textId="77777777" w:rsidR="002A4DDF" w:rsidRPr="00937C8B" w:rsidRDefault="002A4DDF" w:rsidP="009110ED">
            <w:pPr>
              <w:rPr>
                <w:rFonts w:ascii="Arial" w:hAnsi="Arial" w:cs="Arial"/>
                <w:sz w:val="12"/>
                <w:szCs w:val="12"/>
              </w:rPr>
            </w:pPr>
          </w:p>
        </w:tc>
        <w:tc>
          <w:tcPr>
            <w:tcW w:w="2268" w:type="dxa"/>
            <w:shd w:val="clear" w:color="auto" w:fill="F2F2F2"/>
            <w:hideMark/>
          </w:tcPr>
          <w:p w14:paraId="1C7DBC95" w14:textId="77777777" w:rsidR="002A4DDF" w:rsidRPr="00937C8B" w:rsidRDefault="002A4DDF" w:rsidP="009110ED">
            <w:pPr>
              <w:rPr>
                <w:rFonts w:ascii="Arial" w:hAnsi="Arial" w:cs="Arial"/>
                <w:sz w:val="12"/>
                <w:szCs w:val="12"/>
              </w:rPr>
            </w:pPr>
            <w:r>
              <w:rPr>
                <w:rFonts w:ascii="Arial" w:hAnsi="Arial"/>
                <w:sz w:val="12"/>
                <w:szCs w:val="12"/>
              </w:rPr>
              <w:t>Villel</w:t>
            </w:r>
          </w:p>
        </w:tc>
        <w:tc>
          <w:tcPr>
            <w:tcW w:w="2268" w:type="dxa"/>
            <w:tcBorders>
              <w:right w:val="single" w:sz="4" w:space="0" w:color="auto"/>
            </w:tcBorders>
            <w:shd w:val="clear" w:color="auto" w:fill="D9D9D9"/>
            <w:hideMark/>
          </w:tcPr>
          <w:p w14:paraId="1EB86CC8" w14:textId="77777777" w:rsidR="002A4DDF" w:rsidRPr="00937C8B" w:rsidRDefault="002A4DDF" w:rsidP="009110ED">
            <w:pPr>
              <w:rPr>
                <w:rFonts w:ascii="Arial" w:hAnsi="Arial" w:cs="Arial"/>
                <w:sz w:val="12"/>
                <w:szCs w:val="12"/>
              </w:rPr>
            </w:pPr>
          </w:p>
        </w:tc>
      </w:tr>
      <w:tr w:rsidR="002A4DDF" w:rsidRPr="00937C8B" w14:paraId="6E873626" w14:textId="77777777" w:rsidTr="00935676">
        <w:trPr>
          <w:cantSplit/>
        </w:trPr>
        <w:tc>
          <w:tcPr>
            <w:tcW w:w="1696" w:type="dxa"/>
            <w:tcBorders>
              <w:left w:val="single" w:sz="4" w:space="0" w:color="auto"/>
            </w:tcBorders>
            <w:shd w:val="clear" w:color="auto" w:fill="auto"/>
          </w:tcPr>
          <w:p w14:paraId="2E579BD6" w14:textId="77777777" w:rsidR="002A4DDF" w:rsidRPr="00937C8B" w:rsidRDefault="002A4DDF" w:rsidP="009110ED">
            <w:pPr>
              <w:rPr>
                <w:rFonts w:ascii="Arial" w:hAnsi="Arial" w:cs="Arial"/>
                <w:sz w:val="12"/>
                <w:szCs w:val="12"/>
              </w:rPr>
            </w:pPr>
          </w:p>
        </w:tc>
        <w:tc>
          <w:tcPr>
            <w:tcW w:w="1843" w:type="dxa"/>
            <w:shd w:val="clear" w:color="auto" w:fill="auto"/>
          </w:tcPr>
          <w:p w14:paraId="720239C1" w14:textId="77777777" w:rsidR="002A4DDF" w:rsidRPr="00937C8B" w:rsidRDefault="002A4DDF" w:rsidP="009110ED">
            <w:pPr>
              <w:rPr>
                <w:rFonts w:ascii="Arial" w:hAnsi="Arial" w:cs="Arial"/>
                <w:sz w:val="12"/>
                <w:szCs w:val="12"/>
              </w:rPr>
            </w:pPr>
          </w:p>
        </w:tc>
        <w:tc>
          <w:tcPr>
            <w:tcW w:w="2268" w:type="dxa"/>
            <w:shd w:val="clear" w:color="auto" w:fill="F2F2F2"/>
            <w:hideMark/>
          </w:tcPr>
          <w:p w14:paraId="5A6E9939" w14:textId="77777777" w:rsidR="002A4DDF" w:rsidRPr="00937C8B" w:rsidRDefault="002A4DDF" w:rsidP="009110ED">
            <w:pPr>
              <w:rPr>
                <w:rFonts w:ascii="Arial" w:hAnsi="Arial" w:cs="Arial"/>
                <w:sz w:val="12"/>
                <w:szCs w:val="12"/>
              </w:rPr>
            </w:pPr>
            <w:r>
              <w:rPr>
                <w:rFonts w:ascii="Arial" w:hAnsi="Arial"/>
                <w:sz w:val="12"/>
                <w:szCs w:val="12"/>
              </w:rPr>
              <w:t>Visiedo</w:t>
            </w:r>
          </w:p>
        </w:tc>
        <w:tc>
          <w:tcPr>
            <w:tcW w:w="2268" w:type="dxa"/>
            <w:tcBorders>
              <w:right w:val="single" w:sz="4" w:space="0" w:color="auto"/>
            </w:tcBorders>
            <w:shd w:val="clear" w:color="auto" w:fill="D9D9D9"/>
            <w:hideMark/>
          </w:tcPr>
          <w:p w14:paraId="5FF90023" w14:textId="77777777" w:rsidR="002A4DDF" w:rsidRPr="00937C8B" w:rsidRDefault="002A4DDF" w:rsidP="009110ED">
            <w:pPr>
              <w:rPr>
                <w:rFonts w:ascii="Arial" w:hAnsi="Arial" w:cs="Arial"/>
                <w:sz w:val="12"/>
                <w:szCs w:val="12"/>
              </w:rPr>
            </w:pPr>
          </w:p>
        </w:tc>
      </w:tr>
      <w:tr w:rsidR="002A4DDF" w:rsidRPr="00937C8B" w14:paraId="5E0F84B6" w14:textId="77777777" w:rsidTr="00935676">
        <w:trPr>
          <w:cantSplit/>
        </w:trPr>
        <w:tc>
          <w:tcPr>
            <w:tcW w:w="1696" w:type="dxa"/>
            <w:tcBorders>
              <w:left w:val="single" w:sz="4" w:space="0" w:color="auto"/>
              <w:bottom w:val="single" w:sz="4" w:space="0" w:color="auto"/>
            </w:tcBorders>
            <w:shd w:val="clear" w:color="auto" w:fill="auto"/>
            <w:hideMark/>
          </w:tcPr>
          <w:p w14:paraId="54353E2C" w14:textId="77777777" w:rsidR="002A4DDF" w:rsidRPr="00937C8B" w:rsidRDefault="002A4DDF" w:rsidP="009110ED">
            <w:pPr>
              <w:rPr>
                <w:rFonts w:ascii="Arial" w:hAnsi="Arial" w:cs="Arial"/>
                <w:sz w:val="12"/>
                <w:szCs w:val="12"/>
              </w:rPr>
            </w:pPr>
            <w:r>
              <w:rPr>
                <w:rFonts w:ascii="Arial" w:hAnsi="Arial"/>
                <w:sz w:val="12"/>
                <w:szCs w:val="12"/>
              </w:rPr>
              <w:t>Aragon</w:t>
            </w:r>
          </w:p>
        </w:tc>
        <w:tc>
          <w:tcPr>
            <w:tcW w:w="1843" w:type="dxa"/>
            <w:tcBorders>
              <w:bottom w:val="single" w:sz="4" w:space="0" w:color="auto"/>
            </w:tcBorders>
            <w:shd w:val="clear" w:color="auto" w:fill="auto"/>
            <w:hideMark/>
          </w:tcPr>
          <w:p w14:paraId="199F0D41" w14:textId="77777777" w:rsidR="002A4DDF" w:rsidRPr="00937C8B" w:rsidRDefault="002A4DDF" w:rsidP="009110ED">
            <w:pPr>
              <w:rPr>
                <w:rFonts w:ascii="Arial" w:hAnsi="Arial" w:cs="Arial"/>
                <w:sz w:val="12"/>
                <w:szCs w:val="12"/>
              </w:rPr>
            </w:pPr>
            <w:r>
              <w:rPr>
                <w:rFonts w:ascii="Arial" w:hAnsi="Arial"/>
                <w:sz w:val="12"/>
                <w:szCs w:val="12"/>
              </w:rPr>
              <w:t>Teruel</w:t>
            </w:r>
          </w:p>
        </w:tc>
        <w:tc>
          <w:tcPr>
            <w:tcW w:w="2268" w:type="dxa"/>
            <w:tcBorders>
              <w:bottom w:val="single" w:sz="4" w:space="0" w:color="auto"/>
            </w:tcBorders>
            <w:shd w:val="clear" w:color="auto" w:fill="F2F2F2"/>
            <w:hideMark/>
          </w:tcPr>
          <w:p w14:paraId="05CC4657" w14:textId="77777777" w:rsidR="002A4DDF" w:rsidRPr="00937C8B" w:rsidRDefault="002A4DDF" w:rsidP="009110ED">
            <w:pPr>
              <w:rPr>
                <w:rFonts w:ascii="Arial" w:hAnsi="Arial" w:cs="Arial"/>
                <w:sz w:val="12"/>
                <w:szCs w:val="12"/>
              </w:rPr>
            </w:pPr>
            <w:r>
              <w:rPr>
                <w:rFonts w:ascii="Arial" w:hAnsi="Arial"/>
                <w:sz w:val="12"/>
                <w:szCs w:val="12"/>
              </w:rPr>
              <w:t>Vivel del Río Martín</w:t>
            </w:r>
          </w:p>
        </w:tc>
        <w:tc>
          <w:tcPr>
            <w:tcW w:w="2268" w:type="dxa"/>
            <w:tcBorders>
              <w:bottom w:val="single" w:sz="4" w:space="0" w:color="auto"/>
              <w:right w:val="single" w:sz="4" w:space="0" w:color="auto"/>
            </w:tcBorders>
            <w:shd w:val="clear" w:color="auto" w:fill="D9D9D9"/>
            <w:hideMark/>
          </w:tcPr>
          <w:p w14:paraId="08B33546" w14:textId="77777777" w:rsidR="002A4DDF" w:rsidRPr="00937C8B" w:rsidRDefault="002A4DDF" w:rsidP="009110ED">
            <w:pPr>
              <w:rPr>
                <w:rFonts w:ascii="Arial" w:hAnsi="Arial" w:cs="Arial"/>
                <w:sz w:val="12"/>
                <w:szCs w:val="12"/>
              </w:rPr>
            </w:pPr>
          </w:p>
        </w:tc>
      </w:tr>
      <w:tr w:rsidR="002A4DDF" w:rsidRPr="00937C8B" w14:paraId="1942624E" w14:textId="77777777" w:rsidTr="00935676">
        <w:trPr>
          <w:cantSplit/>
        </w:trPr>
        <w:tc>
          <w:tcPr>
            <w:tcW w:w="1696" w:type="dxa"/>
            <w:tcBorders>
              <w:top w:val="single" w:sz="4" w:space="0" w:color="auto"/>
              <w:bottom w:val="single" w:sz="4" w:space="0" w:color="auto"/>
            </w:tcBorders>
            <w:shd w:val="clear" w:color="auto" w:fill="auto"/>
            <w:hideMark/>
          </w:tcPr>
          <w:p w14:paraId="1463227F"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3A2F1696"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3B825807"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1277CEBA" w14:textId="77777777" w:rsidR="002A4DDF" w:rsidRPr="00937C8B" w:rsidRDefault="002A4DDF" w:rsidP="009110ED">
            <w:pPr>
              <w:rPr>
                <w:rFonts w:ascii="Arial" w:hAnsi="Arial" w:cs="Arial"/>
                <w:sz w:val="12"/>
                <w:szCs w:val="12"/>
              </w:rPr>
            </w:pPr>
          </w:p>
        </w:tc>
      </w:tr>
      <w:tr w:rsidR="002A4DDF" w:rsidRPr="00937C8B" w14:paraId="03307F8A" w14:textId="77777777" w:rsidTr="00935676">
        <w:trPr>
          <w:cantSplit/>
        </w:trPr>
        <w:tc>
          <w:tcPr>
            <w:tcW w:w="1696" w:type="dxa"/>
            <w:tcBorders>
              <w:top w:val="single" w:sz="4" w:space="0" w:color="auto"/>
              <w:left w:val="single" w:sz="4" w:space="0" w:color="auto"/>
            </w:tcBorders>
            <w:shd w:val="clear" w:color="auto" w:fill="auto"/>
            <w:hideMark/>
          </w:tcPr>
          <w:p w14:paraId="22C20EAC" w14:textId="77777777" w:rsidR="002A4DDF" w:rsidRPr="00937C8B" w:rsidRDefault="002A4DDF" w:rsidP="009110ED">
            <w:pPr>
              <w:rPr>
                <w:rFonts w:ascii="Arial" w:hAnsi="Arial" w:cs="Arial"/>
                <w:sz w:val="12"/>
                <w:szCs w:val="12"/>
              </w:rPr>
            </w:pPr>
            <w:r>
              <w:rPr>
                <w:rFonts w:ascii="Arial" w:hAnsi="Arial"/>
                <w:sz w:val="12"/>
                <w:szCs w:val="12"/>
              </w:rPr>
              <w:t>Aragon</w:t>
            </w:r>
          </w:p>
        </w:tc>
        <w:tc>
          <w:tcPr>
            <w:tcW w:w="1843" w:type="dxa"/>
            <w:tcBorders>
              <w:top w:val="single" w:sz="4" w:space="0" w:color="auto"/>
            </w:tcBorders>
            <w:shd w:val="clear" w:color="auto" w:fill="auto"/>
            <w:hideMark/>
          </w:tcPr>
          <w:p w14:paraId="09B9A924" w14:textId="77777777" w:rsidR="002A4DDF" w:rsidRPr="00937C8B" w:rsidRDefault="002A4DDF" w:rsidP="009110ED">
            <w:pPr>
              <w:rPr>
                <w:rFonts w:ascii="Arial" w:hAnsi="Arial" w:cs="Arial"/>
                <w:sz w:val="12"/>
                <w:szCs w:val="12"/>
              </w:rPr>
            </w:pPr>
            <w:r>
              <w:rPr>
                <w:rFonts w:ascii="Arial" w:hAnsi="Arial"/>
                <w:sz w:val="12"/>
                <w:szCs w:val="12"/>
              </w:rPr>
              <w:t>Saragosse</w:t>
            </w:r>
          </w:p>
        </w:tc>
        <w:tc>
          <w:tcPr>
            <w:tcW w:w="2268" w:type="dxa"/>
            <w:tcBorders>
              <w:top w:val="single" w:sz="4" w:space="0" w:color="auto"/>
            </w:tcBorders>
            <w:shd w:val="clear" w:color="auto" w:fill="F2F2F2"/>
            <w:hideMark/>
          </w:tcPr>
          <w:p w14:paraId="329A7696" w14:textId="77777777" w:rsidR="002A4DDF" w:rsidRPr="00937C8B" w:rsidRDefault="002A4DDF" w:rsidP="009110ED">
            <w:pPr>
              <w:rPr>
                <w:rFonts w:ascii="Arial" w:hAnsi="Arial" w:cs="Arial"/>
                <w:sz w:val="12"/>
                <w:szCs w:val="12"/>
              </w:rPr>
            </w:pPr>
            <w:r>
              <w:rPr>
                <w:rFonts w:ascii="Arial" w:hAnsi="Arial"/>
                <w:sz w:val="12"/>
                <w:szCs w:val="12"/>
              </w:rPr>
              <w:t>Abanto</w:t>
            </w:r>
          </w:p>
        </w:tc>
        <w:tc>
          <w:tcPr>
            <w:tcW w:w="2268" w:type="dxa"/>
            <w:tcBorders>
              <w:top w:val="single" w:sz="4" w:space="0" w:color="auto"/>
              <w:right w:val="single" w:sz="4" w:space="0" w:color="auto"/>
            </w:tcBorders>
            <w:shd w:val="clear" w:color="auto" w:fill="D9D9D9"/>
            <w:hideMark/>
          </w:tcPr>
          <w:p w14:paraId="6AC42E48" w14:textId="77777777" w:rsidR="002A4DDF" w:rsidRPr="00937C8B" w:rsidRDefault="002A4DDF" w:rsidP="009110ED">
            <w:pPr>
              <w:rPr>
                <w:rFonts w:ascii="Arial" w:hAnsi="Arial" w:cs="Arial"/>
                <w:sz w:val="12"/>
                <w:szCs w:val="12"/>
              </w:rPr>
            </w:pPr>
          </w:p>
        </w:tc>
      </w:tr>
      <w:tr w:rsidR="002A4DDF" w:rsidRPr="00937C8B" w14:paraId="1A63C067" w14:textId="77777777" w:rsidTr="00935676">
        <w:trPr>
          <w:cantSplit/>
        </w:trPr>
        <w:tc>
          <w:tcPr>
            <w:tcW w:w="1696" w:type="dxa"/>
            <w:tcBorders>
              <w:left w:val="single" w:sz="4" w:space="0" w:color="auto"/>
            </w:tcBorders>
            <w:shd w:val="clear" w:color="auto" w:fill="auto"/>
          </w:tcPr>
          <w:p w14:paraId="76997C83" w14:textId="77777777" w:rsidR="002A4DDF" w:rsidRPr="00937C8B" w:rsidRDefault="002A4DDF" w:rsidP="009110ED">
            <w:pPr>
              <w:rPr>
                <w:rFonts w:ascii="Arial" w:hAnsi="Arial" w:cs="Arial"/>
                <w:sz w:val="12"/>
                <w:szCs w:val="12"/>
              </w:rPr>
            </w:pPr>
          </w:p>
        </w:tc>
        <w:tc>
          <w:tcPr>
            <w:tcW w:w="1843" w:type="dxa"/>
            <w:shd w:val="clear" w:color="auto" w:fill="auto"/>
          </w:tcPr>
          <w:p w14:paraId="794AB44F" w14:textId="77777777" w:rsidR="002A4DDF" w:rsidRPr="00937C8B" w:rsidRDefault="002A4DDF" w:rsidP="009110ED">
            <w:pPr>
              <w:rPr>
                <w:rFonts w:ascii="Arial" w:hAnsi="Arial" w:cs="Arial"/>
                <w:sz w:val="12"/>
                <w:szCs w:val="12"/>
              </w:rPr>
            </w:pPr>
          </w:p>
        </w:tc>
        <w:tc>
          <w:tcPr>
            <w:tcW w:w="2268" w:type="dxa"/>
            <w:shd w:val="clear" w:color="auto" w:fill="F2F2F2"/>
            <w:hideMark/>
          </w:tcPr>
          <w:p w14:paraId="41F4423F" w14:textId="77777777" w:rsidR="002A4DDF" w:rsidRPr="00937C8B" w:rsidRDefault="002A4DDF" w:rsidP="009110ED">
            <w:pPr>
              <w:rPr>
                <w:rFonts w:ascii="Arial" w:hAnsi="Arial" w:cs="Arial"/>
                <w:sz w:val="12"/>
                <w:szCs w:val="12"/>
              </w:rPr>
            </w:pPr>
            <w:r>
              <w:rPr>
                <w:rFonts w:ascii="Arial" w:hAnsi="Arial"/>
                <w:sz w:val="12"/>
                <w:szCs w:val="12"/>
              </w:rPr>
              <w:t>Acered</w:t>
            </w:r>
          </w:p>
        </w:tc>
        <w:tc>
          <w:tcPr>
            <w:tcW w:w="2268" w:type="dxa"/>
            <w:tcBorders>
              <w:right w:val="single" w:sz="4" w:space="0" w:color="auto"/>
            </w:tcBorders>
            <w:shd w:val="clear" w:color="auto" w:fill="D9D9D9"/>
            <w:hideMark/>
          </w:tcPr>
          <w:p w14:paraId="529E34FD" w14:textId="77777777" w:rsidR="002A4DDF" w:rsidRPr="00937C8B" w:rsidRDefault="002A4DDF" w:rsidP="009110ED">
            <w:pPr>
              <w:rPr>
                <w:rFonts w:ascii="Arial" w:hAnsi="Arial" w:cs="Arial"/>
                <w:sz w:val="12"/>
                <w:szCs w:val="12"/>
              </w:rPr>
            </w:pPr>
          </w:p>
        </w:tc>
      </w:tr>
      <w:tr w:rsidR="002A4DDF" w:rsidRPr="00937C8B" w14:paraId="274811C2" w14:textId="77777777" w:rsidTr="00935676">
        <w:trPr>
          <w:cantSplit/>
        </w:trPr>
        <w:tc>
          <w:tcPr>
            <w:tcW w:w="1696" w:type="dxa"/>
            <w:tcBorders>
              <w:left w:val="single" w:sz="4" w:space="0" w:color="auto"/>
            </w:tcBorders>
            <w:shd w:val="clear" w:color="auto" w:fill="auto"/>
          </w:tcPr>
          <w:p w14:paraId="7FD8F7DF" w14:textId="77777777" w:rsidR="002A4DDF" w:rsidRPr="00937C8B" w:rsidRDefault="002A4DDF" w:rsidP="009110ED">
            <w:pPr>
              <w:rPr>
                <w:rFonts w:ascii="Arial" w:hAnsi="Arial" w:cs="Arial"/>
                <w:sz w:val="12"/>
                <w:szCs w:val="12"/>
              </w:rPr>
            </w:pPr>
          </w:p>
        </w:tc>
        <w:tc>
          <w:tcPr>
            <w:tcW w:w="1843" w:type="dxa"/>
            <w:shd w:val="clear" w:color="auto" w:fill="auto"/>
          </w:tcPr>
          <w:p w14:paraId="41AA18A7" w14:textId="77777777" w:rsidR="002A4DDF" w:rsidRPr="00937C8B" w:rsidRDefault="002A4DDF" w:rsidP="009110ED">
            <w:pPr>
              <w:rPr>
                <w:rFonts w:ascii="Arial" w:hAnsi="Arial" w:cs="Arial"/>
                <w:sz w:val="12"/>
                <w:szCs w:val="12"/>
              </w:rPr>
            </w:pPr>
          </w:p>
        </w:tc>
        <w:tc>
          <w:tcPr>
            <w:tcW w:w="2268" w:type="dxa"/>
            <w:shd w:val="clear" w:color="auto" w:fill="F2F2F2"/>
            <w:hideMark/>
          </w:tcPr>
          <w:p w14:paraId="35809536" w14:textId="77777777" w:rsidR="002A4DDF" w:rsidRPr="00937C8B" w:rsidRDefault="002A4DDF" w:rsidP="009110ED">
            <w:pPr>
              <w:rPr>
                <w:rFonts w:ascii="Arial" w:hAnsi="Arial" w:cs="Arial"/>
                <w:sz w:val="12"/>
                <w:szCs w:val="12"/>
              </w:rPr>
            </w:pPr>
            <w:r>
              <w:rPr>
                <w:rFonts w:ascii="Arial" w:hAnsi="Arial"/>
                <w:sz w:val="12"/>
                <w:szCs w:val="12"/>
              </w:rPr>
              <w:t>Aguarón</w:t>
            </w:r>
          </w:p>
        </w:tc>
        <w:tc>
          <w:tcPr>
            <w:tcW w:w="2268" w:type="dxa"/>
            <w:tcBorders>
              <w:right w:val="single" w:sz="4" w:space="0" w:color="auto"/>
            </w:tcBorders>
            <w:shd w:val="clear" w:color="auto" w:fill="D9D9D9"/>
            <w:hideMark/>
          </w:tcPr>
          <w:p w14:paraId="20E90A97" w14:textId="77777777" w:rsidR="002A4DDF" w:rsidRPr="00937C8B" w:rsidRDefault="002A4DDF" w:rsidP="009110ED">
            <w:pPr>
              <w:rPr>
                <w:rFonts w:ascii="Arial" w:hAnsi="Arial" w:cs="Arial"/>
                <w:sz w:val="12"/>
                <w:szCs w:val="12"/>
              </w:rPr>
            </w:pPr>
          </w:p>
        </w:tc>
      </w:tr>
      <w:tr w:rsidR="002A4DDF" w:rsidRPr="00937C8B" w14:paraId="18DB1575" w14:textId="77777777" w:rsidTr="00935676">
        <w:trPr>
          <w:cantSplit/>
        </w:trPr>
        <w:tc>
          <w:tcPr>
            <w:tcW w:w="1696" w:type="dxa"/>
            <w:tcBorders>
              <w:left w:val="single" w:sz="4" w:space="0" w:color="auto"/>
            </w:tcBorders>
            <w:shd w:val="clear" w:color="auto" w:fill="auto"/>
          </w:tcPr>
          <w:p w14:paraId="12DDFD38" w14:textId="77777777" w:rsidR="002A4DDF" w:rsidRPr="00937C8B" w:rsidRDefault="002A4DDF" w:rsidP="009110ED">
            <w:pPr>
              <w:rPr>
                <w:rFonts w:ascii="Arial" w:hAnsi="Arial" w:cs="Arial"/>
                <w:sz w:val="12"/>
                <w:szCs w:val="12"/>
              </w:rPr>
            </w:pPr>
          </w:p>
        </w:tc>
        <w:tc>
          <w:tcPr>
            <w:tcW w:w="1843" w:type="dxa"/>
            <w:shd w:val="clear" w:color="auto" w:fill="auto"/>
          </w:tcPr>
          <w:p w14:paraId="69481A98" w14:textId="77777777" w:rsidR="002A4DDF" w:rsidRPr="00937C8B" w:rsidRDefault="002A4DDF" w:rsidP="009110ED">
            <w:pPr>
              <w:rPr>
                <w:rFonts w:ascii="Arial" w:hAnsi="Arial" w:cs="Arial"/>
                <w:sz w:val="12"/>
                <w:szCs w:val="12"/>
              </w:rPr>
            </w:pPr>
          </w:p>
        </w:tc>
        <w:tc>
          <w:tcPr>
            <w:tcW w:w="2268" w:type="dxa"/>
            <w:shd w:val="clear" w:color="auto" w:fill="F2F2F2"/>
            <w:hideMark/>
          </w:tcPr>
          <w:p w14:paraId="0E311D7A" w14:textId="77777777" w:rsidR="002A4DDF" w:rsidRPr="00937C8B" w:rsidRDefault="002A4DDF" w:rsidP="009110ED">
            <w:pPr>
              <w:rPr>
                <w:rFonts w:ascii="Arial" w:hAnsi="Arial" w:cs="Arial"/>
                <w:sz w:val="12"/>
                <w:szCs w:val="12"/>
              </w:rPr>
            </w:pPr>
            <w:r>
              <w:rPr>
                <w:rFonts w:ascii="Arial" w:hAnsi="Arial"/>
                <w:sz w:val="12"/>
                <w:szCs w:val="12"/>
              </w:rPr>
              <w:t>Aladrén</w:t>
            </w:r>
          </w:p>
        </w:tc>
        <w:tc>
          <w:tcPr>
            <w:tcW w:w="2268" w:type="dxa"/>
            <w:tcBorders>
              <w:right w:val="single" w:sz="4" w:space="0" w:color="auto"/>
            </w:tcBorders>
            <w:shd w:val="clear" w:color="auto" w:fill="D9D9D9"/>
            <w:hideMark/>
          </w:tcPr>
          <w:p w14:paraId="0D448626" w14:textId="77777777" w:rsidR="002A4DDF" w:rsidRPr="00937C8B" w:rsidRDefault="002A4DDF" w:rsidP="009110ED">
            <w:pPr>
              <w:rPr>
                <w:rFonts w:ascii="Arial" w:hAnsi="Arial" w:cs="Arial"/>
                <w:sz w:val="12"/>
                <w:szCs w:val="12"/>
              </w:rPr>
            </w:pPr>
          </w:p>
        </w:tc>
      </w:tr>
      <w:tr w:rsidR="002A4DDF" w:rsidRPr="00937C8B" w14:paraId="58DB42F2" w14:textId="77777777" w:rsidTr="00935676">
        <w:trPr>
          <w:cantSplit/>
        </w:trPr>
        <w:tc>
          <w:tcPr>
            <w:tcW w:w="1696" w:type="dxa"/>
            <w:tcBorders>
              <w:left w:val="single" w:sz="4" w:space="0" w:color="auto"/>
            </w:tcBorders>
            <w:shd w:val="clear" w:color="auto" w:fill="auto"/>
          </w:tcPr>
          <w:p w14:paraId="27D2DF14" w14:textId="77777777" w:rsidR="002A4DDF" w:rsidRPr="00937C8B" w:rsidRDefault="002A4DDF" w:rsidP="009110ED">
            <w:pPr>
              <w:rPr>
                <w:rFonts w:ascii="Arial" w:hAnsi="Arial" w:cs="Arial"/>
                <w:sz w:val="12"/>
                <w:szCs w:val="12"/>
              </w:rPr>
            </w:pPr>
          </w:p>
        </w:tc>
        <w:tc>
          <w:tcPr>
            <w:tcW w:w="1843" w:type="dxa"/>
            <w:shd w:val="clear" w:color="auto" w:fill="auto"/>
          </w:tcPr>
          <w:p w14:paraId="5FC4D73C" w14:textId="77777777" w:rsidR="002A4DDF" w:rsidRPr="00937C8B" w:rsidRDefault="002A4DDF" w:rsidP="009110ED">
            <w:pPr>
              <w:rPr>
                <w:rFonts w:ascii="Arial" w:hAnsi="Arial" w:cs="Arial"/>
                <w:sz w:val="12"/>
                <w:szCs w:val="12"/>
              </w:rPr>
            </w:pPr>
          </w:p>
        </w:tc>
        <w:tc>
          <w:tcPr>
            <w:tcW w:w="2268" w:type="dxa"/>
            <w:shd w:val="clear" w:color="auto" w:fill="F2F2F2"/>
            <w:hideMark/>
          </w:tcPr>
          <w:p w14:paraId="1D81F1E4" w14:textId="77777777" w:rsidR="002A4DDF" w:rsidRPr="00937C8B" w:rsidRDefault="002A4DDF" w:rsidP="009110ED">
            <w:pPr>
              <w:rPr>
                <w:rFonts w:ascii="Arial" w:hAnsi="Arial" w:cs="Arial"/>
                <w:sz w:val="12"/>
                <w:szCs w:val="12"/>
              </w:rPr>
            </w:pPr>
            <w:r>
              <w:rPr>
                <w:rFonts w:ascii="Arial" w:hAnsi="Arial"/>
                <w:sz w:val="12"/>
                <w:szCs w:val="12"/>
              </w:rPr>
              <w:t>Alcalá de Moncayo</w:t>
            </w:r>
          </w:p>
        </w:tc>
        <w:tc>
          <w:tcPr>
            <w:tcW w:w="2268" w:type="dxa"/>
            <w:tcBorders>
              <w:right w:val="single" w:sz="4" w:space="0" w:color="auto"/>
            </w:tcBorders>
            <w:shd w:val="clear" w:color="auto" w:fill="D9D9D9"/>
            <w:hideMark/>
          </w:tcPr>
          <w:p w14:paraId="1D296A2F" w14:textId="77777777" w:rsidR="002A4DDF" w:rsidRPr="00937C8B" w:rsidRDefault="002A4DDF" w:rsidP="009110ED">
            <w:pPr>
              <w:rPr>
                <w:rFonts w:ascii="Arial" w:hAnsi="Arial" w:cs="Arial"/>
                <w:sz w:val="12"/>
                <w:szCs w:val="12"/>
              </w:rPr>
            </w:pPr>
          </w:p>
        </w:tc>
      </w:tr>
      <w:tr w:rsidR="002A4DDF" w:rsidRPr="00937C8B" w14:paraId="4BA30A70" w14:textId="77777777" w:rsidTr="00935676">
        <w:trPr>
          <w:cantSplit/>
        </w:trPr>
        <w:tc>
          <w:tcPr>
            <w:tcW w:w="1696" w:type="dxa"/>
            <w:tcBorders>
              <w:left w:val="single" w:sz="4" w:space="0" w:color="auto"/>
            </w:tcBorders>
            <w:shd w:val="clear" w:color="auto" w:fill="auto"/>
          </w:tcPr>
          <w:p w14:paraId="6EA42EC1" w14:textId="77777777" w:rsidR="002A4DDF" w:rsidRPr="00937C8B" w:rsidRDefault="002A4DDF" w:rsidP="009110ED">
            <w:pPr>
              <w:rPr>
                <w:rFonts w:ascii="Arial" w:hAnsi="Arial" w:cs="Arial"/>
                <w:sz w:val="12"/>
                <w:szCs w:val="12"/>
              </w:rPr>
            </w:pPr>
          </w:p>
        </w:tc>
        <w:tc>
          <w:tcPr>
            <w:tcW w:w="1843" w:type="dxa"/>
            <w:shd w:val="clear" w:color="auto" w:fill="auto"/>
          </w:tcPr>
          <w:p w14:paraId="2BA29115" w14:textId="77777777" w:rsidR="002A4DDF" w:rsidRPr="00937C8B" w:rsidRDefault="002A4DDF" w:rsidP="009110ED">
            <w:pPr>
              <w:rPr>
                <w:rFonts w:ascii="Arial" w:hAnsi="Arial" w:cs="Arial"/>
                <w:sz w:val="12"/>
                <w:szCs w:val="12"/>
              </w:rPr>
            </w:pPr>
          </w:p>
        </w:tc>
        <w:tc>
          <w:tcPr>
            <w:tcW w:w="2268" w:type="dxa"/>
            <w:shd w:val="clear" w:color="auto" w:fill="F2F2F2"/>
            <w:hideMark/>
          </w:tcPr>
          <w:p w14:paraId="16A4ACEC" w14:textId="77777777" w:rsidR="002A4DDF" w:rsidRPr="00937C8B" w:rsidRDefault="002A4DDF" w:rsidP="009110ED">
            <w:pPr>
              <w:rPr>
                <w:rFonts w:ascii="Arial" w:hAnsi="Arial" w:cs="Arial"/>
                <w:sz w:val="12"/>
                <w:szCs w:val="12"/>
              </w:rPr>
            </w:pPr>
            <w:r>
              <w:rPr>
                <w:rFonts w:ascii="Arial" w:hAnsi="Arial"/>
                <w:sz w:val="12"/>
                <w:szCs w:val="12"/>
              </w:rPr>
              <w:t>Alfamén</w:t>
            </w:r>
          </w:p>
        </w:tc>
        <w:tc>
          <w:tcPr>
            <w:tcW w:w="2268" w:type="dxa"/>
            <w:tcBorders>
              <w:right w:val="single" w:sz="4" w:space="0" w:color="auto"/>
            </w:tcBorders>
            <w:shd w:val="clear" w:color="auto" w:fill="D9D9D9"/>
            <w:hideMark/>
          </w:tcPr>
          <w:p w14:paraId="468A887D" w14:textId="77777777" w:rsidR="002A4DDF" w:rsidRPr="00937C8B" w:rsidRDefault="002A4DDF" w:rsidP="009110ED">
            <w:pPr>
              <w:rPr>
                <w:rFonts w:ascii="Arial" w:hAnsi="Arial" w:cs="Arial"/>
                <w:sz w:val="12"/>
                <w:szCs w:val="12"/>
              </w:rPr>
            </w:pPr>
          </w:p>
        </w:tc>
      </w:tr>
      <w:tr w:rsidR="002A4DDF" w:rsidRPr="00937C8B" w14:paraId="3D0968CA" w14:textId="77777777" w:rsidTr="00935676">
        <w:trPr>
          <w:cantSplit/>
        </w:trPr>
        <w:tc>
          <w:tcPr>
            <w:tcW w:w="1696" w:type="dxa"/>
            <w:tcBorders>
              <w:left w:val="single" w:sz="4" w:space="0" w:color="auto"/>
            </w:tcBorders>
            <w:shd w:val="clear" w:color="auto" w:fill="auto"/>
          </w:tcPr>
          <w:p w14:paraId="48D43B29" w14:textId="77777777" w:rsidR="002A4DDF" w:rsidRPr="00937C8B" w:rsidRDefault="002A4DDF" w:rsidP="009110ED">
            <w:pPr>
              <w:rPr>
                <w:rFonts w:ascii="Arial" w:hAnsi="Arial" w:cs="Arial"/>
                <w:sz w:val="12"/>
                <w:szCs w:val="12"/>
              </w:rPr>
            </w:pPr>
          </w:p>
        </w:tc>
        <w:tc>
          <w:tcPr>
            <w:tcW w:w="1843" w:type="dxa"/>
            <w:shd w:val="clear" w:color="auto" w:fill="auto"/>
          </w:tcPr>
          <w:p w14:paraId="10EE70E2" w14:textId="77777777" w:rsidR="002A4DDF" w:rsidRPr="00937C8B" w:rsidRDefault="002A4DDF" w:rsidP="009110ED">
            <w:pPr>
              <w:rPr>
                <w:rFonts w:ascii="Arial" w:hAnsi="Arial" w:cs="Arial"/>
                <w:sz w:val="12"/>
                <w:szCs w:val="12"/>
              </w:rPr>
            </w:pPr>
          </w:p>
        </w:tc>
        <w:tc>
          <w:tcPr>
            <w:tcW w:w="2268" w:type="dxa"/>
            <w:shd w:val="clear" w:color="auto" w:fill="F2F2F2"/>
            <w:hideMark/>
          </w:tcPr>
          <w:p w14:paraId="266D518A" w14:textId="77777777" w:rsidR="002A4DDF" w:rsidRPr="00937C8B" w:rsidRDefault="002A4DDF" w:rsidP="009110ED">
            <w:pPr>
              <w:rPr>
                <w:rFonts w:ascii="Arial" w:hAnsi="Arial" w:cs="Arial"/>
                <w:sz w:val="12"/>
                <w:szCs w:val="12"/>
              </w:rPr>
            </w:pPr>
            <w:r>
              <w:rPr>
                <w:rFonts w:ascii="Arial" w:hAnsi="Arial"/>
                <w:sz w:val="12"/>
                <w:szCs w:val="12"/>
              </w:rPr>
              <w:t>Almonacid de la Sierra</w:t>
            </w:r>
          </w:p>
        </w:tc>
        <w:tc>
          <w:tcPr>
            <w:tcW w:w="2268" w:type="dxa"/>
            <w:tcBorders>
              <w:right w:val="single" w:sz="4" w:space="0" w:color="auto"/>
            </w:tcBorders>
            <w:shd w:val="clear" w:color="auto" w:fill="D9D9D9"/>
            <w:hideMark/>
          </w:tcPr>
          <w:p w14:paraId="4ADDE0E4" w14:textId="77777777" w:rsidR="002A4DDF" w:rsidRPr="00937C8B" w:rsidRDefault="002A4DDF" w:rsidP="009110ED">
            <w:pPr>
              <w:rPr>
                <w:rFonts w:ascii="Arial" w:hAnsi="Arial" w:cs="Arial"/>
                <w:sz w:val="12"/>
                <w:szCs w:val="12"/>
              </w:rPr>
            </w:pPr>
          </w:p>
        </w:tc>
      </w:tr>
      <w:tr w:rsidR="002A4DDF" w:rsidRPr="00937C8B" w14:paraId="2A2E1B2B" w14:textId="77777777" w:rsidTr="00935676">
        <w:trPr>
          <w:cantSplit/>
        </w:trPr>
        <w:tc>
          <w:tcPr>
            <w:tcW w:w="1696" w:type="dxa"/>
            <w:tcBorders>
              <w:left w:val="single" w:sz="4" w:space="0" w:color="auto"/>
            </w:tcBorders>
            <w:shd w:val="clear" w:color="auto" w:fill="auto"/>
          </w:tcPr>
          <w:p w14:paraId="2D05DEAE" w14:textId="77777777" w:rsidR="002A4DDF" w:rsidRPr="00937C8B" w:rsidRDefault="002A4DDF" w:rsidP="009110ED">
            <w:pPr>
              <w:rPr>
                <w:rFonts w:ascii="Arial" w:hAnsi="Arial" w:cs="Arial"/>
                <w:sz w:val="12"/>
                <w:szCs w:val="12"/>
              </w:rPr>
            </w:pPr>
          </w:p>
        </w:tc>
        <w:tc>
          <w:tcPr>
            <w:tcW w:w="1843" w:type="dxa"/>
            <w:shd w:val="clear" w:color="auto" w:fill="auto"/>
          </w:tcPr>
          <w:p w14:paraId="553C961F" w14:textId="77777777" w:rsidR="002A4DDF" w:rsidRPr="00937C8B" w:rsidRDefault="002A4DDF" w:rsidP="009110ED">
            <w:pPr>
              <w:rPr>
                <w:rFonts w:ascii="Arial" w:hAnsi="Arial" w:cs="Arial"/>
                <w:sz w:val="12"/>
                <w:szCs w:val="12"/>
              </w:rPr>
            </w:pPr>
          </w:p>
        </w:tc>
        <w:tc>
          <w:tcPr>
            <w:tcW w:w="2268" w:type="dxa"/>
            <w:shd w:val="clear" w:color="auto" w:fill="F2F2F2"/>
            <w:hideMark/>
          </w:tcPr>
          <w:p w14:paraId="10580618" w14:textId="77777777" w:rsidR="002A4DDF" w:rsidRPr="00937C8B" w:rsidRDefault="002A4DDF" w:rsidP="009110ED">
            <w:pPr>
              <w:rPr>
                <w:rFonts w:ascii="Arial" w:hAnsi="Arial" w:cs="Arial"/>
                <w:sz w:val="12"/>
                <w:szCs w:val="12"/>
              </w:rPr>
            </w:pPr>
            <w:r>
              <w:rPr>
                <w:rFonts w:ascii="Arial" w:hAnsi="Arial"/>
                <w:sz w:val="12"/>
                <w:szCs w:val="12"/>
              </w:rPr>
              <w:t>Alpartir</w:t>
            </w:r>
          </w:p>
        </w:tc>
        <w:tc>
          <w:tcPr>
            <w:tcW w:w="2268" w:type="dxa"/>
            <w:tcBorders>
              <w:right w:val="single" w:sz="4" w:space="0" w:color="auto"/>
            </w:tcBorders>
            <w:shd w:val="clear" w:color="auto" w:fill="D9D9D9"/>
            <w:hideMark/>
          </w:tcPr>
          <w:p w14:paraId="1BEE909A" w14:textId="77777777" w:rsidR="002A4DDF" w:rsidRPr="00937C8B" w:rsidRDefault="002A4DDF" w:rsidP="009110ED">
            <w:pPr>
              <w:rPr>
                <w:rFonts w:ascii="Arial" w:hAnsi="Arial" w:cs="Arial"/>
                <w:sz w:val="12"/>
                <w:szCs w:val="12"/>
              </w:rPr>
            </w:pPr>
          </w:p>
        </w:tc>
      </w:tr>
      <w:tr w:rsidR="002A4DDF" w:rsidRPr="00937C8B" w14:paraId="3E9C0550" w14:textId="77777777" w:rsidTr="00935676">
        <w:trPr>
          <w:cantSplit/>
        </w:trPr>
        <w:tc>
          <w:tcPr>
            <w:tcW w:w="1696" w:type="dxa"/>
            <w:tcBorders>
              <w:left w:val="single" w:sz="4" w:space="0" w:color="auto"/>
            </w:tcBorders>
            <w:shd w:val="clear" w:color="auto" w:fill="auto"/>
          </w:tcPr>
          <w:p w14:paraId="45D51571" w14:textId="77777777" w:rsidR="002A4DDF" w:rsidRPr="00937C8B" w:rsidRDefault="002A4DDF" w:rsidP="009110ED">
            <w:pPr>
              <w:rPr>
                <w:rFonts w:ascii="Arial" w:hAnsi="Arial" w:cs="Arial"/>
                <w:sz w:val="12"/>
                <w:szCs w:val="12"/>
              </w:rPr>
            </w:pPr>
          </w:p>
        </w:tc>
        <w:tc>
          <w:tcPr>
            <w:tcW w:w="1843" w:type="dxa"/>
            <w:shd w:val="clear" w:color="auto" w:fill="auto"/>
          </w:tcPr>
          <w:p w14:paraId="1AA45B35" w14:textId="77777777" w:rsidR="002A4DDF" w:rsidRPr="00937C8B" w:rsidRDefault="002A4DDF" w:rsidP="009110ED">
            <w:pPr>
              <w:rPr>
                <w:rFonts w:ascii="Arial" w:hAnsi="Arial" w:cs="Arial"/>
                <w:sz w:val="12"/>
                <w:szCs w:val="12"/>
              </w:rPr>
            </w:pPr>
          </w:p>
        </w:tc>
        <w:tc>
          <w:tcPr>
            <w:tcW w:w="2268" w:type="dxa"/>
            <w:shd w:val="clear" w:color="auto" w:fill="F2F2F2"/>
            <w:hideMark/>
          </w:tcPr>
          <w:p w14:paraId="2E4BBAD9" w14:textId="77777777" w:rsidR="002A4DDF" w:rsidRPr="00937C8B" w:rsidRDefault="002A4DDF" w:rsidP="009110ED">
            <w:pPr>
              <w:rPr>
                <w:rFonts w:ascii="Arial" w:hAnsi="Arial" w:cs="Arial"/>
                <w:sz w:val="12"/>
                <w:szCs w:val="12"/>
              </w:rPr>
            </w:pPr>
            <w:r>
              <w:rPr>
                <w:rFonts w:ascii="Arial" w:hAnsi="Arial"/>
                <w:sz w:val="12"/>
                <w:szCs w:val="12"/>
              </w:rPr>
              <w:t>Ambel</w:t>
            </w:r>
          </w:p>
        </w:tc>
        <w:tc>
          <w:tcPr>
            <w:tcW w:w="2268" w:type="dxa"/>
            <w:tcBorders>
              <w:right w:val="single" w:sz="4" w:space="0" w:color="auto"/>
            </w:tcBorders>
            <w:shd w:val="clear" w:color="auto" w:fill="D9D9D9"/>
            <w:hideMark/>
          </w:tcPr>
          <w:p w14:paraId="2A4BF252" w14:textId="77777777" w:rsidR="002A4DDF" w:rsidRPr="00937C8B" w:rsidRDefault="002A4DDF" w:rsidP="009110ED">
            <w:pPr>
              <w:rPr>
                <w:rFonts w:ascii="Arial" w:hAnsi="Arial" w:cs="Arial"/>
                <w:sz w:val="12"/>
                <w:szCs w:val="12"/>
              </w:rPr>
            </w:pPr>
          </w:p>
        </w:tc>
      </w:tr>
      <w:tr w:rsidR="002A4DDF" w:rsidRPr="00937C8B" w14:paraId="316044BD" w14:textId="77777777" w:rsidTr="00935676">
        <w:trPr>
          <w:cantSplit/>
        </w:trPr>
        <w:tc>
          <w:tcPr>
            <w:tcW w:w="1696" w:type="dxa"/>
            <w:tcBorders>
              <w:left w:val="single" w:sz="4" w:space="0" w:color="auto"/>
            </w:tcBorders>
            <w:shd w:val="clear" w:color="auto" w:fill="auto"/>
          </w:tcPr>
          <w:p w14:paraId="02849985" w14:textId="77777777" w:rsidR="002A4DDF" w:rsidRPr="00937C8B" w:rsidRDefault="002A4DDF" w:rsidP="009110ED">
            <w:pPr>
              <w:rPr>
                <w:rFonts w:ascii="Arial" w:hAnsi="Arial" w:cs="Arial"/>
                <w:sz w:val="12"/>
                <w:szCs w:val="12"/>
              </w:rPr>
            </w:pPr>
          </w:p>
        </w:tc>
        <w:tc>
          <w:tcPr>
            <w:tcW w:w="1843" w:type="dxa"/>
            <w:shd w:val="clear" w:color="auto" w:fill="auto"/>
          </w:tcPr>
          <w:p w14:paraId="3402336C" w14:textId="77777777" w:rsidR="002A4DDF" w:rsidRPr="00937C8B" w:rsidRDefault="002A4DDF" w:rsidP="009110ED">
            <w:pPr>
              <w:rPr>
                <w:rFonts w:ascii="Arial" w:hAnsi="Arial" w:cs="Arial"/>
                <w:sz w:val="12"/>
                <w:szCs w:val="12"/>
              </w:rPr>
            </w:pPr>
          </w:p>
        </w:tc>
        <w:tc>
          <w:tcPr>
            <w:tcW w:w="2268" w:type="dxa"/>
            <w:shd w:val="clear" w:color="auto" w:fill="F2F2F2"/>
            <w:hideMark/>
          </w:tcPr>
          <w:p w14:paraId="537B813D" w14:textId="77777777" w:rsidR="002A4DDF" w:rsidRPr="00937C8B" w:rsidRDefault="002A4DDF" w:rsidP="009110ED">
            <w:pPr>
              <w:rPr>
                <w:rFonts w:ascii="Arial" w:hAnsi="Arial" w:cs="Arial"/>
                <w:sz w:val="12"/>
                <w:szCs w:val="12"/>
              </w:rPr>
            </w:pPr>
            <w:r>
              <w:rPr>
                <w:rFonts w:ascii="Arial" w:hAnsi="Arial"/>
                <w:sz w:val="12"/>
                <w:szCs w:val="12"/>
              </w:rPr>
              <w:t>Aniñón</w:t>
            </w:r>
          </w:p>
        </w:tc>
        <w:tc>
          <w:tcPr>
            <w:tcW w:w="2268" w:type="dxa"/>
            <w:tcBorders>
              <w:right w:val="single" w:sz="4" w:space="0" w:color="auto"/>
            </w:tcBorders>
            <w:shd w:val="clear" w:color="auto" w:fill="D9D9D9"/>
            <w:hideMark/>
          </w:tcPr>
          <w:p w14:paraId="4419EB2F" w14:textId="77777777" w:rsidR="002A4DDF" w:rsidRPr="00937C8B" w:rsidRDefault="002A4DDF" w:rsidP="009110ED">
            <w:pPr>
              <w:rPr>
                <w:rFonts w:ascii="Arial" w:hAnsi="Arial" w:cs="Arial"/>
                <w:sz w:val="12"/>
                <w:szCs w:val="12"/>
              </w:rPr>
            </w:pPr>
          </w:p>
        </w:tc>
      </w:tr>
      <w:tr w:rsidR="002A4DDF" w:rsidRPr="00937C8B" w14:paraId="74CB8C9B" w14:textId="77777777" w:rsidTr="00935676">
        <w:trPr>
          <w:cantSplit/>
        </w:trPr>
        <w:tc>
          <w:tcPr>
            <w:tcW w:w="1696" w:type="dxa"/>
            <w:tcBorders>
              <w:left w:val="single" w:sz="4" w:space="0" w:color="auto"/>
            </w:tcBorders>
            <w:shd w:val="clear" w:color="auto" w:fill="auto"/>
          </w:tcPr>
          <w:p w14:paraId="5539D842" w14:textId="77777777" w:rsidR="002A4DDF" w:rsidRPr="00937C8B" w:rsidRDefault="002A4DDF" w:rsidP="009110ED">
            <w:pPr>
              <w:rPr>
                <w:rFonts w:ascii="Arial" w:hAnsi="Arial" w:cs="Arial"/>
                <w:sz w:val="12"/>
                <w:szCs w:val="12"/>
              </w:rPr>
            </w:pPr>
          </w:p>
        </w:tc>
        <w:tc>
          <w:tcPr>
            <w:tcW w:w="1843" w:type="dxa"/>
            <w:shd w:val="clear" w:color="auto" w:fill="auto"/>
          </w:tcPr>
          <w:p w14:paraId="272A2E66" w14:textId="77777777" w:rsidR="002A4DDF" w:rsidRPr="00937C8B" w:rsidRDefault="002A4DDF" w:rsidP="009110ED">
            <w:pPr>
              <w:rPr>
                <w:rFonts w:ascii="Arial" w:hAnsi="Arial" w:cs="Arial"/>
                <w:sz w:val="12"/>
                <w:szCs w:val="12"/>
              </w:rPr>
            </w:pPr>
          </w:p>
        </w:tc>
        <w:tc>
          <w:tcPr>
            <w:tcW w:w="2268" w:type="dxa"/>
            <w:shd w:val="clear" w:color="auto" w:fill="F2F2F2"/>
            <w:hideMark/>
          </w:tcPr>
          <w:p w14:paraId="1842D167" w14:textId="77777777" w:rsidR="002A4DDF" w:rsidRPr="00937C8B" w:rsidRDefault="002A4DDF" w:rsidP="009110ED">
            <w:pPr>
              <w:rPr>
                <w:rFonts w:ascii="Arial" w:hAnsi="Arial" w:cs="Arial"/>
                <w:sz w:val="12"/>
                <w:szCs w:val="12"/>
              </w:rPr>
            </w:pPr>
            <w:r>
              <w:rPr>
                <w:rFonts w:ascii="Arial" w:hAnsi="Arial"/>
                <w:sz w:val="12"/>
                <w:szCs w:val="12"/>
              </w:rPr>
              <w:t>Añón de Moncayo</w:t>
            </w:r>
          </w:p>
        </w:tc>
        <w:tc>
          <w:tcPr>
            <w:tcW w:w="2268" w:type="dxa"/>
            <w:tcBorders>
              <w:right w:val="single" w:sz="4" w:space="0" w:color="auto"/>
            </w:tcBorders>
            <w:shd w:val="clear" w:color="auto" w:fill="D9D9D9"/>
            <w:hideMark/>
          </w:tcPr>
          <w:p w14:paraId="566827CB" w14:textId="77777777" w:rsidR="002A4DDF" w:rsidRPr="00937C8B" w:rsidRDefault="002A4DDF" w:rsidP="009110ED">
            <w:pPr>
              <w:rPr>
                <w:rFonts w:ascii="Arial" w:hAnsi="Arial" w:cs="Arial"/>
                <w:sz w:val="12"/>
                <w:szCs w:val="12"/>
              </w:rPr>
            </w:pPr>
          </w:p>
        </w:tc>
      </w:tr>
      <w:tr w:rsidR="002A4DDF" w:rsidRPr="00937C8B" w14:paraId="45BB16E1" w14:textId="77777777" w:rsidTr="00935676">
        <w:trPr>
          <w:cantSplit/>
        </w:trPr>
        <w:tc>
          <w:tcPr>
            <w:tcW w:w="1696" w:type="dxa"/>
            <w:tcBorders>
              <w:left w:val="single" w:sz="4" w:space="0" w:color="auto"/>
            </w:tcBorders>
            <w:shd w:val="clear" w:color="auto" w:fill="auto"/>
          </w:tcPr>
          <w:p w14:paraId="3FDE0BCC" w14:textId="77777777" w:rsidR="002A4DDF" w:rsidRPr="00937C8B" w:rsidRDefault="002A4DDF" w:rsidP="009110ED">
            <w:pPr>
              <w:rPr>
                <w:rFonts w:ascii="Arial" w:hAnsi="Arial" w:cs="Arial"/>
                <w:sz w:val="12"/>
                <w:szCs w:val="12"/>
              </w:rPr>
            </w:pPr>
          </w:p>
        </w:tc>
        <w:tc>
          <w:tcPr>
            <w:tcW w:w="1843" w:type="dxa"/>
            <w:shd w:val="clear" w:color="auto" w:fill="auto"/>
          </w:tcPr>
          <w:p w14:paraId="447763C1" w14:textId="77777777" w:rsidR="002A4DDF" w:rsidRPr="00937C8B" w:rsidRDefault="002A4DDF" w:rsidP="009110ED">
            <w:pPr>
              <w:rPr>
                <w:rFonts w:ascii="Arial" w:hAnsi="Arial" w:cs="Arial"/>
                <w:sz w:val="12"/>
                <w:szCs w:val="12"/>
              </w:rPr>
            </w:pPr>
          </w:p>
        </w:tc>
        <w:tc>
          <w:tcPr>
            <w:tcW w:w="2268" w:type="dxa"/>
            <w:shd w:val="clear" w:color="auto" w:fill="F2F2F2"/>
            <w:hideMark/>
          </w:tcPr>
          <w:p w14:paraId="333ACA5E" w14:textId="77777777" w:rsidR="002A4DDF" w:rsidRPr="00937C8B" w:rsidRDefault="002A4DDF" w:rsidP="009110ED">
            <w:pPr>
              <w:rPr>
                <w:rFonts w:ascii="Arial" w:hAnsi="Arial" w:cs="Arial"/>
                <w:sz w:val="12"/>
                <w:szCs w:val="12"/>
              </w:rPr>
            </w:pPr>
            <w:r>
              <w:rPr>
                <w:rFonts w:ascii="Arial" w:hAnsi="Arial"/>
                <w:sz w:val="12"/>
                <w:szCs w:val="12"/>
              </w:rPr>
              <w:t>Aranda de Moncayo</w:t>
            </w:r>
          </w:p>
        </w:tc>
        <w:tc>
          <w:tcPr>
            <w:tcW w:w="2268" w:type="dxa"/>
            <w:tcBorders>
              <w:right w:val="single" w:sz="4" w:space="0" w:color="auto"/>
            </w:tcBorders>
            <w:shd w:val="clear" w:color="auto" w:fill="D9D9D9"/>
            <w:hideMark/>
          </w:tcPr>
          <w:p w14:paraId="71723729" w14:textId="77777777" w:rsidR="002A4DDF" w:rsidRPr="00937C8B" w:rsidRDefault="002A4DDF" w:rsidP="009110ED">
            <w:pPr>
              <w:rPr>
                <w:rFonts w:ascii="Arial" w:hAnsi="Arial" w:cs="Arial"/>
                <w:sz w:val="12"/>
                <w:szCs w:val="12"/>
              </w:rPr>
            </w:pPr>
          </w:p>
        </w:tc>
      </w:tr>
      <w:tr w:rsidR="002A4DDF" w:rsidRPr="00937C8B" w14:paraId="3806E2A8" w14:textId="77777777" w:rsidTr="00935676">
        <w:trPr>
          <w:cantSplit/>
        </w:trPr>
        <w:tc>
          <w:tcPr>
            <w:tcW w:w="1696" w:type="dxa"/>
            <w:tcBorders>
              <w:left w:val="single" w:sz="4" w:space="0" w:color="auto"/>
            </w:tcBorders>
            <w:shd w:val="clear" w:color="auto" w:fill="auto"/>
          </w:tcPr>
          <w:p w14:paraId="3569A0A9" w14:textId="77777777" w:rsidR="002A4DDF" w:rsidRPr="00937C8B" w:rsidRDefault="002A4DDF" w:rsidP="009110ED">
            <w:pPr>
              <w:rPr>
                <w:rFonts w:ascii="Arial" w:hAnsi="Arial" w:cs="Arial"/>
                <w:sz w:val="12"/>
                <w:szCs w:val="12"/>
              </w:rPr>
            </w:pPr>
          </w:p>
        </w:tc>
        <w:tc>
          <w:tcPr>
            <w:tcW w:w="1843" w:type="dxa"/>
            <w:shd w:val="clear" w:color="auto" w:fill="auto"/>
          </w:tcPr>
          <w:p w14:paraId="304554F4" w14:textId="77777777" w:rsidR="002A4DDF" w:rsidRPr="00937C8B" w:rsidRDefault="002A4DDF" w:rsidP="009110ED">
            <w:pPr>
              <w:rPr>
                <w:rFonts w:ascii="Arial" w:hAnsi="Arial" w:cs="Arial"/>
                <w:sz w:val="12"/>
                <w:szCs w:val="12"/>
              </w:rPr>
            </w:pPr>
          </w:p>
        </w:tc>
        <w:tc>
          <w:tcPr>
            <w:tcW w:w="2268" w:type="dxa"/>
            <w:shd w:val="clear" w:color="auto" w:fill="F2F2F2"/>
            <w:hideMark/>
          </w:tcPr>
          <w:p w14:paraId="6ED8DB25" w14:textId="77777777" w:rsidR="002A4DDF" w:rsidRPr="00937C8B" w:rsidRDefault="002A4DDF" w:rsidP="009110ED">
            <w:pPr>
              <w:rPr>
                <w:rFonts w:ascii="Arial" w:hAnsi="Arial" w:cs="Arial"/>
                <w:sz w:val="12"/>
                <w:szCs w:val="12"/>
              </w:rPr>
            </w:pPr>
            <w:r>
              <w:rPr>
                <w:rFonts w:ascii="Arial" w:hAnsi="Arial"/>
                <w:sz w:val="12"/>
                <w:szCs w:val="12"/>
              </w:rPr>
              <w:t>Ariza</w:t>
            </w:r>
          </w:p>
        </w:tc>
        <w:tc>
          <w:tcPr>
            <w:tcW w:w="2268" w:type="dxa"/>
            <w:tcBorders>
              <w:right w:val="single" w:sz="4" w:space="0" w:color="auto"/>
            </w:tcBorders>
            <w:shd w:val="clear" w:color="auto" w:fill="D9D9D9"/>
            <w:hideMark/>
          </w:tcPr>
          <w:p w14:paraId="105C17BA" w14:textId="77777777" w:rsidR="002A4DDF" w:rsidRPr="00937C8B" w:rsidRDefault="002A4DDF" w:rsidP="009110ED">
            <w:pPr>
              <w:rPr>
                <w:rFonts w:ascii="Arial" w:hAnsi="Arial" w:cs="Arial"/>
                <w:sz w:val="12"/>
                <w:szCs w:val="12"/>
              </w:rPr>
            </w:pPr>
          </w:p>
        </w:tc>
      </w:tr>
      <w:tr w:rsidR="002A4DDF" w:rsidRPr="00937C8B" w14:paraId="1C4DD63A" w14:textId="77777777" w:rsidTr="00935676">
        <w:trPr>
          <w:cantSplit/>
        </w:trPr>
        <w:tc>
          <w:tcPr>
            <w:tcW w:w="1696" w:type="dxa"/>
            <w:tcBorders>
              <w:left w:val="single" w:sz="4" w:space="0" w:color="auto"/>
            </w:tcBorders>
            <w:shd w:val="clear" w:color="auto" w:fill="auto"/>
          </w:tcPr>
          <w:p w14:paraId="7B3227AF" w14:textId="77777777" w:rsidR="002A4DDF" w:rsidRPr="00937C8B" w:rsidRDefault="002A4DDF" w:rsidP="009110ED">
            <w:pPr>
              <w:rPr>
                <w:rFonts w:ascii="Arial" w:hAnsi="Arial" w:cs="Arial"/>
                <w:sz w:val="12"/>
                <w:szCs w:val="12"/>
              </w:rPr>
            </w:pPr>
          </w:p>
        </w:tc>
        <w:tc>
          <w:tcPr>
            <w:tcW w:w="1843" w:type="dxa"/>
            <w:shd w:val="clear" w:color="auto" w:fill="auto"/>
          </w:tcPr>
          <w:p w14:paraId="4E2970EA" w14:textId="77777777" w:rsidR="002A4DDF" w:rsidRPr="00937C8B" w:rsidRDefault="002A4DDF" w:rsidP="009110ED">
            <w:pPr>
              <w:rPr>
                <w:rFonts w:ascii="Arial" w:hAnsi="Arial" w:cs="Arial"/>
                <w:sz w:val="12"/>
                <w:szCs w:val="12"/>
              </w:rPr>
            </w:pPr>
          </w:p>
        </w:tc>
        <w:tc>
          <w:tcPr>
            <w:tcW w:w="2268" w:type="dxa"/>
            <w:shd w:val="clear" w:color="auto" w:fill="F2F2F2"/>
            <w:hideMark/>
          </w:tcPr>
          <w:p w14:paraId="26DDA317" w14:textId="77777777" w:rsidR="002A4DDF" w:rsidRPr="00937C8B" w:rsidRDefault="002A4DDF" w:rsidP="009110ED">
            <w:pPr>
              <w:rPr>
                <w:rFonts w:ascii="Arial" w:hAnsi="Arial" w:cs="Arial"/>
                <w:sz w:val="12"/>
                <w:szCs w:val="12"/>
              </w:rPr>
            </w:pPr>
            <w:r>
              <w:rPr>
                <w:rFonts w:ascii="Arial" w:hAnsi="Arial"/>
                <w:sz w:val="12"/>
                <w:szCs w:val="12"/>
              </w:rPr>
              <w:t>Ateca</w:t>
            </w:r>
          </w:p>
        </w:tc>
        <w:tc>
          <w:tcPr>
            <w:tcW w:w="2268" w:type="dxa"/>
            <w:tcBorders>
              <w:right w:val="single" w:sz="4" w:space="0" w:color="auto"/>
            </w:tcBorders>
            <w:shd w:val="clear" w:color="auto" w:fill="D9D9D9"/>
            <w:hideMark/>
          </w:tcPr>
          <w:p w14:paraId="1FC67A48" w14:textId="77777777" w:rsidR="002A4DDF" w:rsidRPr="00937C8B" w:rsidRDefault="002A4DDF" w:rsidP="009110ED">
            <w:pPr>
              <w:rPr>
                <w:rFonts w:ascii="Arial" w:hAnsi="Arial" w:cs="Arial"/>
                <w:sz w:val="12"/>
                <w:szCs w:val="12"/>
              </w:rPr>
            </w:pPr>
          </w:p>
        </w:tc>
      </w:tr>
      <w:tr w:rsidR="002A4DDF" w:rsidRPr="00937C8B" w14:paraId="496C6F82" w14:textId="77777777" w:rsidTr="00935676">
        <w:trPr>
          <w:cantSplit/>
        </w:trPr>
        <w:tc>
          <w:tcPr>
            <w:tcW w:w="1696" w:type="dxa"/>
            <w:tcBorders>
              <w:left w:val="single" w:sz="4" w:space="0" w:color="auto"/>
            </w:tcBorders>
            <w:shd w:val="clear" w:color="auto" w:fill="auto"/>
          </w:tcPr>
          <w:p w14:paraId="71204024" w14:textId="77777777" w:rsidR="002A4DDF" w:rsidRPr="00937C8B" w:rsidRDefault="002A4DDF" w:rsidP="009110ED">
            <w:pPr>
              <w:rPr>
                <w:rFonts w:ascii="Arial" w:hAnsi="Arial" w:cs="Arial"/>
                <w:sz w:val="12"/>
                <w:szCs w:val="12"/>
              </w:rPr>
            </w:pPr>
          </w:p>
        </w:tc>
        <w:tc>
          <w:tcPr>
            <w:tcW w:w="1843" w:type="dxa"/>
            <w:shd w:val="clear" w:color="auto" w:fill="auto"/>
          </w:tcPr>
          <w:p w14:paraId="7D499372" w14:textId="77777777" w:rsidR="002A4DDF" w:rsidRPr="00937C8B" w:rsidRDefault="002A4DDF" w:rsidP="009110ED">
            <w:pPr>
              <w:rPr>
                <w:rFonts w:ascii="Arial" w:hAnsi="Arial" w:cs="Arial"/>
                <w:sz w:val="12"/>
                <w:szCs w:val="12"/>
              </w:rPr>
            </w:pPr>
          </w:p>
        </w:tc>
        <w:tc>
          <w:tcPr>
            <w:tcW w:w="2268" w:type="dxa"/>
            <w:shd w:val="clear" w:color="auto" w:fill="F2F2F2"/>
            <w:hideMark/>
          </w:tcPr>
          <w:p w14:paraId="0AAA6BB0" w14:textId="77777777" w:rsidR="002A4DDF" w:rsidRPr="00937C8B" w:rsidRDefault="002A4DDF" w:rsidP="009110ED">
            <w:pPr>
              <w:rPr>
                <w:rFonts w:ascii="Arial" w:hAnsi="Arial" w:cs="Arial"/>
                <w:sz w:val="12"/>
                <w:szCs w:val="12"/>
              </w:rPr>
            </w:pPr>
            <w:r>
              <w:rPr>
                <w:rFonts w:ascii="Arial" w:hAnsi="Arial"/>
                <w:sz w:val="12"/>
                <w:szCs w:val="12"/>
              </w:rPr>
              <w:t>Badules</w:t>
            </w:r>
          </w:p>
        </w:tc>
        <w:tc>
          <w:tcPr>
            <w:tcW w:w="2268" w:type="dxa"/>
            <w:tcBorders>
              <w:right w:val="single" w:sz="4" w:space="0" w:color="auto"/>
            </w:tcBorders>
            <w:shd w:val="clear" w:color="auto" w:fill="D9D9D9"/>
            <w:hideMark/>
          </w:tcPr>
          <w:p w14:paraId="46F1E85F" w14:textId="77777777" w:rsidR="002A4DDF" w:rsidRPr="00937C8B" w:rsidRDefault="002A4DDF" w:rsidP="009110ED">
            <w:pPr>
              <w:rPr>
                <w:rFonts w:ascii="Arial" w:hAnsi="Arial" w:cs="Arial"/>
                <w:sz w:val="12"/>
                <w:szCs w:val="12"/>
              </w:rPr>
            </w:pPr>
          </w:p>
        </w:tc>
      </w:tr>
      <w:tr w:rsidR="002A4DDF" w:rsidRPr="00937C8B" w14:paraId="2A9F3FE7" w14:textId="77777777" w:rsidTr="00935676">
        <w:trPr>
          <w:cantSplit/>
        </w:trPr>
        <w:tc>
          <w:tcPr>
            <w:tcW w:w="1696" w:type="dxa"/>
            <w:tcBorders>
              <w:left w:val="single" w:sz="4" w:space="0" w:color="auto"/>
            </w:tcBorders>
            <w:shd w:val="clear" w:color="auto" w:fill="auto"/>
          </w:tcPr>
          <w:p w14:paraId="5FFEB6C0" w14:textId="77777777" w:rsidR="002A4DDF" w:rsidRPr="00937C8B" w:rsidRDefault="002A4DDF" w:rsidP="009110ED">
            <w:pPr>
              <w:rPr>
                <w:rFonts w:ascii="Arial" w:hAnsi="Arial" w:cs="Arial"/>
                <w:sz w:val="12"/>
                <w:szCs w:val="12"/>
              </w:rPr>
            </w:pPr>
          </w:p>
        </w:tc>
        <w:tc>
          <w:tcPr>
            <w:tcW w:w="1843" w:type="dxa"/>
            <w:shd w:val="clear" w:color="auto" w:fill="auto"/>
          </w:tcPr>
          <w:p w14:paraId="49B5CC80" w14:textId="77777777" w:rsidR="002A4DDF" w:rsidRPr="00937C8B" w:rsidRDefault="002A4DDF" w:rsidP="009110ED">
            <w:pPr>
              <w:rPr>
                <w:rFonts w:ascii="Arial" w:hAnsi="Arial" w:cs="Arial"/>
                <w:sz w:val="12"/>
                <w:szCs w:val="12"/>
              </w:rPr>
            </w:pPr>
          </w:p>
        </w:tc>
        <w:tc>
          <w:tcPr>
            <w:tcW w:w="2268" w:type="dxa"/>
            <w:shd w:val="clear" w:color="auto" w:fill="F2F2F2"/>
            <w:hideMark/>
          </w:tcPr>
          <w:p w14:paraId="5E7321CA" w14:textId="77777777" w:rsidR="002A4DDF" w:rsidRPr="00937C8B" w:rsidRDefault="002A4DDF" w:rsidP="009110ED">
            <w:pPr>
              <w:rPr>
                <w:rFonts w:ascii="Arial" w:hAnsi="Arial" w:cs="Arial"/>
                <w:sz w:val="12"/>
                <w:szCs w:val="12"/>
              </w:rPr>
            </w:pPr>
            <w:r>
              <w:rPr>
                <w:rFonts w:ascii="Arial" w:hAnsi="Arial"/>
                <w:sz w:val="12"/>
                <w:szCs w:val="12"/>
              </w:rPr>
              <w:t>Belmonte de Gracián</w:t>
            </w:r>
          </w:p>
        </w:tc>
        <w:tc>
          <w:tcPr>
            <w:tcW w:w="2268" w:type="dxa"/>
            <w:tcBorders>
              <w:right w:val="single" w:sz="4" w:space="0" w:color="auto"/>
            </w:tcBorders>
            <w:shd w:val="clear" w:color="auto" w:fill="D9D9D9"/>
            <w:hideMark/>
          </w:tcPr>
          <w:p w14:paraId="01E433AE" w14:textId="77777777" w:rsidR="002A4DDF" w:rsidRPr="00937C8B" w:rsidRDefault="002A4DDF" w:rsidP="009110ED">
            <w:pPr>
              <w:rPr>
                <w:rFonts w:ascii="Arial" w:hAnsi="Arial" w:cs="Arial"/>
                <w:sz w:val="12"/>
                <w:szCs w:val="12"/>
              </w:rPr>
            </w:pPr>
          </w:p>
        </w:tc>
      </w:tr>
      <w:tr w:rsidR="002A4DDF" w:rsidRPr="00937C8B" w14:paraId="38883868" w14:textId="77777777" w:rsidTr="00935676">
        <w:trPr>
          <w:cantSplit/>
        </w:trPr>
        <w:tc>
          <w:tcPr>
            <w:tcW w:w="1696" w:type="dxa"/>
            <w:tcBorders>
              <w:left w:val="single" w:sz="4" w:space="0" w:color="auto"/>
            </w:tcBorders>
            <w:shd w:val="clear" w:color="auto" w:fill="auto"/>
          </w:tcPr>
          <w:p w14:paraId="3A634269" w14:textId="77777777" w:rsidR="002A4DDF" w:rsidRPr="00937C8B" w:rsidRDefault="002A4DDF" w:rsidP="009110ED">
            <w:pPr>
              <w:rPr>
                <w:rFonts w:ascii="Arial" w:hAnsi="Arial" w:cs="Arial"/>
                <w:sz w:val="12"/>
                <w:szCs w:val="12"/>
              </w:rPr>
            </w:pPr>
          </w:p>
        </w:tc>
        <w:tc>
          <w:tcPr>
            <w:tcW w:w="1843" w:type="dxa"/>
            <w:shd w:val="clear" w:color="auto" w:fill="auto"/>
          </w:tcPr>
          <w:p w14:paraId="0CF77730" w14:textId="77777777" w:rsidR="002A4DDF" w:rsidRPr="00937C8B" w:rsidRDefault="002A4DDF" w:rsidP="009110ED">
            <w:pPr>
              <w:rPr>
                <w:rFonts w:ascii="Arial" w:hAnsi="Arial" w:cs="Arial"/>
                <w:sz w:val="12"/>
                <w:szCs w:val="12"/>
              </w:rPr>
            </w:pPr>
          </w:p>
        </w:tc>
        <w:tc>
          <w:tcPr>
            <w:tcW w:w="2268" w:type="dxa"/>
            <w:shd w:val="clear" w:color="auto" w:fill="F2F2F2"/>
            <w:hideMark/>
          </w:tcPr>
          <w:p w14:paraId="0CA41307" w14:textId="77777777" w:rsidR="002A4DDF" w:rsidRPr="00937C8B" w:rsidRDefault="002A4DDF" w:rsidP="009110ED">
            <w:pPr>
              <w:rPr>
                <w:rFonts w:ascii="Arial" w:hAnsi="Arial" w:cs="Arial"/>
                <w:sz w:val="12"/>
                <w:szCs w:val="12"/>
              </w:rPr>
            </w:pPr>
            <w:r>
              <w:rPr>
                <w:rFonts w:ascii="Arial" w:hAnsi="Arial"/>
                <w:sz w:val="12"/>
                <w:szCs w:val="12"/>
              </w:rPr>
              <w:t>Berrueco</w:t>
            </w:r>
          </w:p>
        </w:tc>
        <w:tc>
          <w:tcPr>
            <w:tcW w:w="2268" w:type="dxa"/>
            <w:tcBorders>
              <w:right w:val="single" w:sz="4" w:space="0" w:color="auto"/>
            </w:tcBorders>
            <w:shd w:val="clear" w:color="auto" w:fill="D9D9D9"/>
            <w:hideMark/>
          </w:tcPr>
          <w:p w14:paraId="0D7ABBED" w14:textId="77777777" w:rsidR="002A4DDF" w:rsidRPr="00937C8B" w:rsidRDefault="002A4DDF" w:rsidP="009110ED">
            <w:pPr>
              <w:rPr>
                <w:rFonts w:ascii="Arial" w:hAnsi="Arial" w:cs="Arial"/>
                <w:sz w:val="12"/>
                <w:szCs w:val="12"/>
              </w:rPr>
            </w:pPr>
          </w:p>
        </w:tc>
      </w:tr>
      <w:tr w:rsidR="002A4DDF" w:rsidRPr="00937C8B" w14:paraId="09B7D2D5" w14:textId="77777777" w:rsidTr="00935676">
        <w:trPr>
          <w:cantSplit/>
        </w:trPr>
        <w:tc>
          <w:tcPr>
            <w:tcW w:w="1696" w:type="dxa"/>
            <w:tcBorders>
              <w:left w:val="single" w:sz="4" w:space="0" w:color="auto"/>
            </w:tcBorders>
            <w:shd w:val="clear" w:color="auto" w:fill="auto"/>
          </w:tcPr>
          <w:p w14:paraId="5CE8C84B" w14:textId="77777777" w:rsidR="002A4DDF" w:rsidRPr="00937C8B" w:rsidRDefault="002A4DDF" w:rsidP="009110ED">
            <w:pPr>
              <w:rPr>
                <w:rFonts w:ascii="Arial" w:hAnsi="Arial" w:cs="Arial"/>
                <w:sz w:val="12"/>
                <w:szCs w:val="12"/>
              </w:rPr>
            </w:pPr>
          </w:p>
        </w:tc>
        <w:tc>
          <w:tcPr>
            <w:tcW w:w="1843" w:type="dxa"/>
            <w:shd w:val="clear" w:color="auto" w:fill="auto"/>
          </w:tcPr>
          <w:p w14:paraId="6958CF44" w14:textId="77777777" w:rsidR="002A4DDF" w:rsidRPr="00937C8B" w:rsidRDefault="002A4DDF" w:rsidP="009110ED">
            <w:pPr>
              <w:rPr>
                <w:rFonts w:ascii="Arial" w:hAnsi="Arial" w:cs="Arial"/>
                <w:sz w:val="12"/>
                <w:szCs w:val="12"/>
              </w:rPr>
            </w:pPr>
          </w:p>
        </w:tc>
        <w:tc>
          <w:tcPr>
            <w:tcW w:w="2268" w:type="dxa"/>
            <w:shd w:val="clear" w:color="auto" w:fill="F2F2F2"/>
            <w:hideMark/>
          </w:tcPr>
          <w:p w14:paraId="0F1464BC" w14:textId="77777777" w:rsidR="002A4DDF" w:rsidRPr="00937C8B" w:rsidRDefault="002A4DDF" w:rsidP="009110ED">
            <w:pPr>
              <w:rPr>
                <w:rFonts w:ascii="Arial" w:hAnsi="Arial" w:cs="Arial"/>
                <w:sz w:val="12"/>
                <w:szCs w:val="12"/>
              </w:rPr>
            </w:pPr>
            <w:r>
              <w:rPr>
                <w:rFonts w:ascii="Arial" w:hAnsi="Arial"/>
                <w:sz w:val="12"/>
                <w:szCs w:val="12"/>
              </w:rPr>
              <w:t>Biel</w:t>
            </w:r>
          </w:p>
        </w:tc>
        <w:tc>
          <w:tcPr>
            <w:tcW w:w="2268" w:type="dxa"/>
            <w:tcBorders>
              <w:right w:val="single" w:sz="4" w:space="0" w:color="auto"/>
            </w:tcBorders>
            <w:shd w:val="clear" w:color="auto" w:fill="D9D9D9"/>
            <w:hideMark/>
          </w:tcPr>
          <w:p w14:paraId="1C692B88" w14:textId="77777777" w:rsidR="002A4DDF" w:rsidRPr="00937C8B" w:rsidRDefault="002A4DDF" w:rsidP="009110ED">
            <w:pPr>
              <w:rPr>
                <w:rFonts w:ascii="Arial" w:hAnsi="Arial" w:cs="Arial"/>
                <w:sz w:val="12"/>
                <w:szCs w:val="12"/>
              </w:rPr>
            </w:pPr>
          </w:p>
        </w:tc>
      </w:tr>
      <w:tr w:rsidR="002A4DDF" w:rsidRPr="00937C8B" w14:paraId="13AA3960" w14:textId="77777777" w:rsidTr="00935676">
        <w:trPr>
          <w:cantSplit/>
        </w:trPr>
        <w:tc>
          <w:tcPr>
            <w:tcW w:w="1696" w:type="dxa"/>
            <w:tcBorders>
              <w:left w:val="single" w:sz="4" w:space="0" w:color="auto"/>
            </w:tcBorders>
            <w:shd w:val="clear" w:color="auto" w:fill="auto"/>
          </w:tcPr>
          <w:p w14:paraId="6C1FE15C" w14:textId="77777777" w:rsidR="002A4DDF" w:rsidRPr="00937C8B" w:rsidRDefault="002A4DDF" w:rsidP="009110ED">
            <w:pPr>
              <w:rPr>
                <w:rFonts w:ascii="Arial" w:hAnsi="Arial" w:cs="Arial"/>
                <w:sz w:val="12"/>
                <w:szCs w:val="12"/>
              </w:rPr>
            </w:pPr>
          </w:p>
        </w:tc>
        <w:tc>
          <w:tcPr>
            <w:tcW w:w="1843" w:type="dxa"/>
            <w:shd w:val="clear" w:color="auto" w:fill="auto"/>
          </w:tcPr>
          <w:p w14:paraId="1E15782A" w14:textId="77777777" w:rsidR="002A4DDF" w:rsidRPr="00937C8B" w:rsidRDefault="002A4DDF" w:rsidP="009110ED">
            <w:pPr>
              <w:rPr>
                <w:rFonts w:ascii="Arial" w:hAnsi="Arial" w:cs="Arial"/>
                <w:sz w:val="12"/>
                <w:szCs w:val="12"/>
              </w:rPr>
            </w:pPr>
          </w:p>
        </w:tc>
        <w:tc>
          <w:tcPr>
            <w:tcW w:w="2268" w:type="dxa"/>
            <w:shd w:val="clear" w:color="auto" w:fill="F2F2F2"/>
            <w:hideMark/>
          </w:tcPr>
          <w:p w14:paraId="38AFB2E8" w14:textId="77777777" w:rsidR="002A4DDF" w:rsidRPr="00937C8B" w:rsidRDefault="002A4DDF" w:rsidP="009110ED">
            <w:pPr>
              <w:rPr>
                <w:rFonts w:ascii="Arial" w:hAnsi="Arial" w:cs="Arial"/>
                <w:sz w:val="12"/>
                <w:szCs w:val="12"/>
              </w:rPr>
            </w:pPr>
            <w:r>
              <w:rPr>
                <w:rFonts w:ascii="Arial" w:hAnsi="Arial"/>
                <w:sz w:val="12"/>
                <w:szCs w:val="12"/>
              </w:rPr>
              <w:t>Boquiñeni</w:t>
            </w:r>
          </w:p>
        </w:tc>
        <w:tc>
          <w:tcPr>
            <w:tcW w:w="2268" w:type="dxa"/>
            <w:tcBorders>
              <w:right w:val="single" w:sz="4" w:space="0" w:color="auto"/>
            </w:tcBorders>
            <w:shd w:val="clear" w:color="auto" w:fill="D9D9D9"/>
            <w:hideMark/>
          </w:tcPr>
          <w:p w14:paraId="476F4B58" w14:textId="77777777" w:rsidR="002A4DDF" w:rsidRPr="00937C8B" w:rsidRDefault="002A4DDF" w:rsidP="009110ED">
            <w:pPr>
              <w:rPr>
                <w:rFonts w:ascii="Arial" w:hAnsi="Arial" w:cs="Arial"/>
                <w:sz w:val="12"/>
                <w:szCs w:val="12"/>
              </w:rPr>
            </w:pPr>
          </w:p>
        </w:tc>
      </w:tr>
      <w:tr w:rsidR="002A4DDF" w:rsidRPr="00937C8B" w14:paraId="68E189EA" w14:textId="77777777" w:rsidTr="00935676">
        <w:trPr>
          <w:cantSplit/>
        </w:trPr>
        <w:tc>
          <w:tcPr>
            <w:tcW w:w="1696" w:type="dxa"/>
            <w:tcBorders>
              <w:left w:val="single" w:sz="4" w:space="0" w:color="auto"/>
            </w:tcBorders>
            <w:shd w:val="clear" w:color="auto" w:fill="auto"/>
          </w:tcPr>
          <w:p w14:paraId="0467D984" w14:textId="77777777" w:rsidR="002A4DDF" w:rsidRPr="00937C8B" w:rsidRDefault="002A4DDF" w:rsidP="009110ED">
            <w:pPr>
              <w:rPr>
                <w:rFonts w:ascii="Arial" w:hAnsi="Arial" w:cs="Arial"/>
                <w:sz w:val="12"/>
                <w:szCs w:val="12"/>
              </w:rPr>
            </w:pPr>
          </w:p>
        </w:tc>
        <w:tc>
          <w:tcPr>
            <w:tcW w:w="1843" w:type="dxa"/>
            <w:shd w:val="clear" w:color="auto" w:fill="auto"/>
          </w:tcPr>
          <w:p w14:paraId="1F1054ED" w14:textId="77777777" w:rsidR="002A4DDF" w:rsidRPr="00937C8B" w:rsidRDefault="002A4DDF" w:rsidP="009110ED">
            <w:pPr>
              <w:rPr>
                <w:rFonts w:ascii="Arial" w:hAnsi="Arial" w:cs="Arial"/>
                <w:sz w:val="12"/>
                <w:szCs w:val="12"/>
              </w:rPr>
            </w:pPr>
          </w:p>
        </w:tc>
        <w:tc>
          <w:tcPr>
            <w:tcW w:w="2268" w:type="dxa"/>
            <w:shd w:val="clear" w:color="auto" w:fill="F2F2F2"/>
            <w:hideMark/>
          </w:tcPr>
          <w:p w14:paraId="5096D5DF" w14:textId="77777777" w:rsidR="002A4DDF" w:rsidRPr="00937C8B" w:rsidRDefault="002A4DDF" w:rsidP="009110ED">
            <w:pPr>
              <w:rPr>
                <w:rFonts w:ascii="Arial" w:hAnsi="Arial" w:cs="Arial"/>
                <w:sz w:val="12"/>
                <w:szCs w:val="12"/>
              </w:rPr>
            </w:pPr>
            <w:r>
              <w:rPr>
                <w:rFonts w:ascii="Arial" w:hAnsi="Arial"/>
                <w:sz w:val="12"/>
                <w:szCs w:val="12"/>
              </w:rPr>
              <w:t>Bordalba</w:t>
            </w:r>
          </w:p>
        </w:tc>
        <w:tc>
          <w:tcPr>
            <w:tcW w:w="2268" w:type="dxa"/>
            <w:tcBorders>
              <w:right w:val="single" w:sz="4" w:space="0" w:color="auto"/>
            </w:tcBorders>
            <w:shd w:val="clear" w:color="auto" w:fill="D9D9D9"/>
            <w:hideMark/>
          </w:tcPr>
          <w:p w14:paraId="4597BAAE" w14:textId="77777777" w:rsidR="002A4DDF" w:rsidRPr="00937C8B" w:rsidRDefault="002A4DDF" w:rsidP="009110ED">
            <w:pPr>
              <w:rPr>
                <w:rFonts w:ascii="Arial" w:hAnsi="Arial" w:cs="Arial"/>
                <w:sz w:val="12"/>
                <w:szCs w:val="12"/>
              </w:rPr>
            </w:pPr>
          </w:p>
        </w:tc>
      </w:tr>
      <w:tr w:rsidR="002A4DDF" w:rsidRPr="00937C8B" w14:paraId="392E0579" w14:textId="77777777" w:rsidTr="00935676">
        <w:trPr>
          <w:cantSplit/>
        </w:trPr>
        <w:tc>
          <w:tcPr>
            <w:tcW w:w="1696" w:type="dxa"/>
            <w:tcBorders>
              <w:left w:val="single" w:sz="4" w:space="0" w:color="auto"/>
            </w:tcBorders>
            <w:shd w:val="clear" w:color="auto" w:fill="auto"/>
          </w:tcPr>
          <w:p w14:paraId="2F74B4A5" w14:textId="77777777" w:rsidR="002A4DDF" w:rsidRPr="00937C8B" w:rsidRDefault="002A4DDF" w:rsidP="009110ED">
            <w:pPr>
              <w:rPr>
                <w:rFonts w:ascii="Arial" w:hAnsi="Arial" w:cs="Arial"/>
                <w:sz w:val="12"/>
                <w:szCs w:val="12"/>
              </w:rPr>
            </w:pPr>
          </w:p>
        </w:tc>
        <w:tc>
          <w:tcPr>
            <w:tcW w:w="1843" w:type="dxa"/>
            <w:shd w:val="clear" w:color="auto" w:fill="auto"/>
          </w:tcPr>
          <w:p w14:paraId="2B42E13B" w14:textId="77777777" w:rsidR="002A4DDF" w:rsidRPr="00937C8B" w:rsidRDefault="002A4DDF" w:rsidP="009110ED">
            <w:pPr>
              <w:rPr>
                <w:rFonts w:ascii="Arial" w:hAnsi="Arial" w:cs="Arial"/>
                <w:sz w:val="12"/>
                <w:szCs w:val="12"/>
              </w:rPr>
            </w:pPr>
          </w:p>
        </w:tc>
        <w:tc>
          <w:tcPr>
            <w:tcW w:w="2268" w:type="dxa"/>
            <w:shd w:val="clear" w:color="auto" w:fill="F2F2F2"/>
            <w:hideMark/>
          </w:tcPr>
          <w:p w14:paraId="3FC74C41" w14:textId="77777777" w:rsidR="002A4DDF" w:rsidRPr="00937C8B" w:rsidRDefault="002A4DDF" w:rsidP="009110ED">
            <w:pPr>
              <w:rPr>
                <w:rFonts w:ascii="Arial" w:hAnsi="Arial" w:cs="Arial"/>
                <w:sz w:val="12"/>
                <w:szCs w:val="12"/>
              </w:rPr>
            </w:pPr>
            <w:r>
              <w:rPr>
                <w:rFonts w:ascii="Arial" w:hAnsi="Arial"/>
                <w:sz w:val="12"/>
                <w:szCs w:val="12"/>
              </w:rPr>
              <w:t>Brea de Aragón</w:t>
            </w:r>
          </w:p>
        </w:tc>
        <w:tc>
          <w:tcPr>
            <w:tcW w:w="2268" w:type="dxa"/>
            <w:tcBorders>
              <w:right w:val="single" w:sz="4" w:space="0" w:color="auto"/>
            </w:tcBorders>
            <w:shd w:val="clear" w:color="auto" w:fill="D9D9D9"/>
            <w:hideMark/>
          </w:tcPr>
          <w:p w14:paraId="5BC53FD0" w14:textId="77777777" w:rsidR="002A4DDF" w:rsidRPr="00937C8B" w:rsidRDefault="002A4DDF" w:rsidP="009110ED">
            <w:pPr>
              <w:rPr>
                <w:rFonts w:ascii="Arial" w:hAnsi="Arial" w:cs="Arial"/>
                <w:sz w:val="12"/>
                <w:szCs w:val="12"/>
              </w:rPr>
            </w:pPr>
          </w:p>
        </w:tc>
      </w:tr>
      <w:tr w:rsidR="002A4DDF" w:rsidRPr="00937C8B" w14:paraId="5B87280F" w14:textId="77777777" w:rsidTr="00935676">
        <w:trPr>
          <w:cantSplit/>
        </w:trPr>
        <w:tc>
          <w:tcPr>
            <w:tcW w:w="1696" w:type="dxa"/>
            <w:tcBorders>
              <w:left w:val="single" w:sz="4" w:space="0" w:color="auto"/>
            </w:tcBorders>
            <w:shd w:val="clear" w:color="auto" w:fill="auto"/>
          </w:tcPr>
          <w:p w14:paraId="3594D6EA" w14:textId="77777777" w:rsidR="002A4DDF" w:rsidRPr="00937C8B" w:rsidRDefault="002A4DDF" w:rsidP="009110ED">
            <w:pPr>
              <w:rPr>
                <w:rFonts w:ascii="Arial" w:hAnsi="Arial" w:cs="Arial"/>
                <w:sz w:val="12"/>
                <w:szCs w:val="12"/>
              </w:rPr>
            </w:pPr>
          </w:p>
        </w:tc>
        <w:tc>
          <w:tcPr>
            <w:tcW w:w="1843" w:type="dxa"/>
            <w:shd w:val="clear" w:color="auto" w:fill="auto"/>
          </w:tcPr>
          <w:p w14:paraId="2A058E53" w14:textId="77777777" w:rsidR="002A4DDF" w:rsidRPr="00937C8B" w:rsidRDefault="002A4DDF" w:rsidP="009110ED">
            <w:pPr>
              <w:rPr>
                <w:rFonts w:ascii="Arial" w:hAnsi="Arial" w:cs="Arial"/>
                <w:sz w:val="12"/>
                <w:szCs w:val="12"/>
              </w:rPr>
            </w:pPr>
          </w:p>
        </w:tc>
        <w:tc>
          <w:tcPr>
            <w:tcW w:w="2268" w:type="dxa"/>
            <w:shd w:val="clear" w:color="auto" w:fill="F2F2F2"/>
            <w:hideMark/>
          </w:tcPr>
          <w:p w14:paraId="3231CC49" w14:textId="77777777" w:rsidR="002A4DDF" w:rsidRPr="00937C8B" w:rsidRDefault="002A4DDF" w:rsidP="009110ED">
            <w:pPr>
              <w:rPr>
                <w:rFonts w:ascii="Arial" w:hAnsi="Arial" w:cs="Arial"/>
                <w:sz w:val="12"/>
                <w:szCs w:val="12"/>
              </w:rPr>
            </w:pPr>
            <w:r>
              <w:rPr>
                <w:rFonts w:ascii="Arial" w:hAnsi="Arial"/>
                <w:sz w:val="12"/>
                <w:szCs w:val="12"/>
              </w:rPr>
              <w:t>Bubierca</w:t>
            </w:r>
          </w:p>
        </w:tc>
        <w:tc>
          <w:tcPr>
            <w:tcW w:w="2268" w:type="dxa"/>
            <w:tcBorders>
              <w:right w:val="single" w:sz="4" w:space="0" w:color="auto"/>
            </w:tcBorders>
            <w:shd w:val="clear" w:color="auto" w:fill="D9D9D9"/>
            <w:hideMark/>
          </w:tcPr>
          <w:p w14:paraId="3B76E6F5" w14:textId="77777777" w:rsidR="002A4DDF" w:rsidRPr="00937C8B" w:rsidRDefault="002A4DDF" w:rsidP="009110ED">
            <w:pPr>
              <w:rPr>
                <w:rFonts w:ascii="Arial" w:hAnsi="Arial" w:cs="Arial"/>
                <w:sz w:val="12"/>
                <w:szCs w:val="12"/>
              </w:rPr>
            </w:pPr>
          </w:p>
        </w:tc>
      </w:tr>
      <w:tr w:rsidR="002A4DDF" w:rsidRPr="00937C8B" w14:paraId="6C0C4877" w14:textId="77777777" w:rsidTr="00935676">
        <w:trPr>
          <w:cantSplit/>
        </w:trPr>
        <w:tc>
          <w:tcPr>
            <w:tcW w:w="1696" w:type="dxa"/>
            <w:tcBorders>
              <w:left w:val="single" w:sz="4" w:space="0" w:color="auto"/>
            </w:tcBorders>
            <w:shd w:val="clear" w:color="auto" w:fill="auto"/>
          </w:tcPr>
          <w:p w14:paraId="6B18A63B" w14:textId="77777777" w:rsidR="002A4DDF" w:rsidRPr="00937C8B" w:rsidRDefault="002A4DDF" w:rsidP="009110ED">
            <w:pPr>
              <w:rPr>
                <w:rFonts w:ascii="Arial" w:hAnsi="Arial" w:cs="Arial"/>
                <w:sz w:val="12"/>
                <w:szCs w:val="12"/>
              </w:rPr>
            </w:pPr>
          </w:p>
        </w:tc>
        <w:tc>
          <w:tcPr>
            <w:tcW w:w="1843" w:type="dxa"/>
            <w:shd w:val="clear" w:color="auto" w:fill="auto"/>
          </w:tcPr>
          <w:p w14:paraId="2BAE1D05" w14:textId="77777777" w:rsidR="002A4DDF" w:rsidRPr="00937C8B" w:rsidRDefault="002A4DDF" w:rsidP="009110ED">
            <w:pPr>
              <w:rPr>
                <w:rFonts w:ascii="Arial" w:hAnsi="Arial" w:cs="Arial"/>
                <w:sz w:val="12"/>
                <w:szCs w:val="12"/>
              </w:rPr>
            </w:pPr>
          </w:p>
        </w:tc>
        <w:tc>
          <w:tcPr>
            <w:tcW w:w="2268" w:type="dxa"/>
            <w:shd w:val="clear" w:color="auto" w:fill="F2F2F2"/>
            <w:hideMark/>
          </w:tcPr>
          <w:p w14:paraId="519C1EC2" w14:textId="77777777" w:rsidR="002A4DDF" w:rsidRPr="00937C8B" w:rsidRDefault="002A4DDF" w:rsidP="009110ED">
            <w:pPr>
              <w:rPr>
                <w:rFonts w:ascii="Arial" w:hAnsi="Arial" w:cs="Arial"/>
                <w:sz w:val="12"/>
                <w:szCs w:val="12"/>
              </w:rPr>
            </w:pPr>
            <w:r>
              <w:rPr>
                <w:rFonts w:ascii="Arial" w:hAnsi="Arial"/>
                <w:sz w:val="12"/>
                <w:szCs w:val="12"/>
              </w:rPr>
              <w:t>Bulbuente</w:t>
            </w:r>
          </w:p>
        </w:tc>
        <w:tc>
          <w:tcPr>
            <w:tcW w:w="2268" w:type="dxa"/>
            <w:tcBorders>
              <w:right w:val="single" w:sz="4" w:space="0" w:color="auto"/>
            </w:tcBorders>
            <w:shd w:val="clear" w:color="auto" w:fill="D9D9D9"/>
            <w:hideMark/>
          </w:tcPr>
          <w:p w14:paraId="6D54DF6D" w14:textId="77777777" w:rsidR="002A4DDF" w:rsidRPr="00937C8B" w:rsidRDefault="002A4DDF" w:rsidP="009110ED">
            <w:pPr>
              <w:rPr>
                <w:rFonts w:ascii="Arial" w:hAnsi="Arial" w:cs="Arial"/>
                <w:sz w:val="12"/>
                <w:szCs w:val="12"/>
              </w:rPr>
            </w:pPr>
          </w:p>
        </w:tc>
      </w:tr>
      <w:tr w:rsidR="002A4DDF" w:rsidRPr="00937C8B" w14:paraId="412EE4C2" w14:textId="77777777" w:rsidTr="00935676">
        <w:trPr>
          <w:cantSplit/>
        </w:trPr>
        <w:tc>
          <w:tcPr>
            <w:tcW w:w="1696" w:type="dxa"/>
            <w:tcBorders>
              <w:left w:val="single" w:sz="4" w:space="0" w:color="auto"/>
            </w:tcBorders>
            <w:shd w:val="clear" w:color="auto" w:fill="auto"/>
          </w:tcPr>
          <w:p w14:paraId="2E44DE6A" w14:textId="77777777" w:rsidR="002A4DDF" w:rsidRPr="00937C8B" w:rsidRDefault="002A4DDF" w:rsidP="009110ED">
            <w:pPr>
              <w:rPr>
                <w:rFonts w:ascii="Arial" w:hAnsi="Arial" w:cs="Arial"/>
                <w:sz w:val="12"/>
                <w:szCs w:val="12"/>
              </w:rPr>
            </w:pPr>
          </w:p>
        </w:tc>
        <w:tc>
          <w:tcPr>
            <w:tcW w:w="1843" w:type="dxa"/>
            <w:shd w:val="clear" w:color="auto" w:fill="auto"/>
          </w:tcPr>
          <w:p w14:paraId="2315529D" w14:textId="77777777" w:rsidR="002A4DDF" w:rsidRPr="00937C8B" w:rsidRDefault="002A4DDF" w:rsidP="009110ED">
            <w:pPr>
              <w:rPr>
                <w:rFonts w:ascii="Arial" w:hAnsi="Arial" w:cs="Arial"/>
                <w:sz w:val="12"/>
                <w:szCs w:val="12"/>
              </w:rPr>
            </w:pPr>
          </w:p>
        </w:tc>
        <w:tc>
          <w:tcPr>
            <w:tcW w:w="2268" w:type="dxa"/>
            <w:shd w:val="clear" w:color="auto" w:fill="F2F2F2"/>
            <w:hideMark/>
          </w:tcPr>
          <w:p w14:paraId="040F1D2B" w14:textId="77777777" w:rsidR="002A4DDF" w:rsidRPr="00937C8B" w:rsidRDefault="002A4DDF" w:rsidP="009110ED">
            <w:pPr>
              <w:rPr>
                <w:rFonts w:ascii="Arial" w:hAnsi="Arial" w:cs="Arial"/>
                <w:sz w:val="12"/>
                <w:szCs w:val="12"/>
              </w:rPr>
            </w:pPr>
            <w:r>
              <w:rPr>
                <w:rFonts w:ascii="Arial" w:hAnsi="Arial"/>
                <w:sz w:val="12"/>
                <w:szCs w:val="12"/>
              </w:rPr>
              <w:t>Calatayud</w:t>
            </w:r>
          </w:p>
        </w:tc>
        <w:tc>
          <w:tcPr>
            <w:tcW w:w="2268" w:type="dxa"/>
            <w:tcBorders>
              <w:right w:val="single" w:sz="4" w:space="0" w:color="auto"/>
            </w:tcBorders>
            <w:shd w:val="clear" w:color="auto" w:fill="D9D9D9"/>
            <w:hideMark/>
          </w:tcPr>
          <w:p w14:paraId="52DE9CB6" w14:textId="77777777" w:rsidR="002A4DDF" w:rsidRPr="00937C8B" w:rsidRDefault="002A4DDF" w:rsidP="009110ED">
            <w:pPr>
              <w:rPr>
                <w:rFonts w:ascii="Arial" w:hAnsi="Arial" w:cs="Arial"/>
                <w:sz w:val="12"/>
                <w:szCs w:val="12"/>
              </w:rPr>
            </w:pPr>
          </w:p>
        </w:tc>
      </w:tr>
      <w:tr w:rsidR="002A4DDF" w:rsidRPr="00937C8B" w14:paraId="053534DB" w14:textId="77777777" w:rsidTr="00935676">
        <w:trPr>
          <w:cantSplit/>
        </w:trPr>
        <w:tc>
          <w:tcPr>
            <w:tcW w:w="1696" w:type="dxa"/>
            <w:tcBorders>
              <w:left w:val="single" w:sz="4" w:space="0" w:color="auto"/>
            </w:tcBorders>
            <w:shd w:val="clear" w:color="auto" w:fill="auto"/>
          </w:tcPr>
          <w:p w14:paraId="3F0ABCDF" w14:textId="77777777" w:rsidR="002A4DDF" w:rsidRPr="00937C8B" w:rsidRDefault="002A4DDF" w:rsidP="009110ED">
            <w:pPr>
              <w:rPr>
                <w:rFonts w:ascii="Arial" w:hAnsi="Arial" w:cs="Arial"/>
                <w:sz w:val="12"/>
                <w:szCs w:val="12"/>
              </w:rPr>
            </w:pPr>
          </w:p>
        </w:tc>
        <w:tc>
          <w:tcPr>
            <w:tcW w:w="1843" w:type="dxa"/>
            <w:shd w:val="clear" w:color="auto" w:fill="auto"/>
          </w:tcPr>
          <w:p w14:paraId="19FC7B0D" w14:textId="77777777" w:rsidR="002A4DDF" w:rsidRPr="00937C8B" w:rsidRDefault="002A4DDF" w:rsidP="009110ED">
            <w:pPr>
              <w:rPr>
                <w:rFonts w:ascii="Arial" w:hAnsi="Arial" w:cs="Arial"/>
                <w:sz w:val="12"/>
                <w:szCs w:val="12"/>
              </w:rPr>
            </w:pPr>
          </w:p>
        </w:tc>
        <w:tc>
          <w:tcPr>
            <w:tcW w:w="2268" w:type="dxa"/>
            <w:shd w:val="clear" w:color="auto" w:fill="F2F2F2"/>
            <w:hideMark/>
          </w:tcPr>
          <w:p w14:paraId="06095281" w14:textId="77777777" w:rsidR="002A4DDF" w:rsidRPr="00937C8B" w:rsidRDefault="002A4DDF" w:rsidP="009110ED">
            <w:pPr>
              <w:rPr>
                <w:rFonts w:ascii="Arial" w:hAnsi="Arial" w:cs="Arial"/>
                <w:sz w:val="12"/>
                <w:szCs w:val="12"/>
              </w:rPr>
            </w:pPr>
            <w:r>
              <w:rPr>
                <w:rFonts w:ascii="Arial" w:hAnsi="Arial"/>
                <w:sz w:val="12"/>
                <w:szCs w:val="12"/>
              </w:rPr>
              <w:t>Calcena</w:t>
            </w:r>
          </w:p>
        </w:tc>
        <w:tc>
          <w:tcPr>
            <w:tcW w:w="2268" w:type="dxa"/>
            <w:tcBorders>
              <w:right w:val="single" w:sz="4" w:space="0" w:color="auto"/>
            </w:tcBorders>
            <w:shd w:val="clear" w:color="auto" w:fill="D9D9D9"/>
            <w:hideMark/>
          </w:tcPr>
          <w:p w14:paraId="2EAEDBDB" w14:textId="77777777" w:rsidR="002A4DDF" w:rsidRPr="00937C8B" w:rsidRDefault="002A4DDF" w:rsidP="009110ED">
            <w:pPr>
              <w:rPr>
                <w:rFonts w:ascii="Arial" w:hAnsi="Arial" w:cs="Arial"/>
                <w:sz w:val="12"/>
                <w:szCs w:val="12"/>
              </w:rPr>
            </w:pPr>
          </w:p>
        </w:tc>
      </w:tr>
      <w:tr w:rsidR="002A4DDF" w:rsidRPr="00937C8B" w14:paraId="704A966E" w14:textId="77777777" w:rsidTr="00935676">
        <w:trPr>
          <w:cantSplit/>
        </w:trPr>
        <w:tc>
          <w:tcPr>
            <w:tcW w:w="1696" w:type="dxa"/>
            <w:tcBorders>
              <w:left w:val="single" w:sz="4" w:space="0" w:color="auto"/>
            </w:tcBorders>
            <w:shd w:val="clear" w:color="auto" w:fill="auto"/>
          </w:tcPr>
          <w:p w14:paraId="6539764B" w14:textId="77777777" w:rsidR="002A4DDF" w:rsidRPr="00937C8B" w:rsidRDefault="002A4DDF" w:rsidP="009110ED">
            <w:pPr>
              <w:rPr>
                <w:rFonts w:ascii="Arial" w:hAnsi="Arial" w:cs="Arial"/>
                <w:sz w:val="12"/>
                <w:szCs w:val="12"/>
              </w:rPr>
            </w:pPr>
          </w:p>
        </w:tc>
        <w:tc>
          <w:tcPr>
            <w:tcW w:w="1843" w:type="dxa"/>
            <w:shd w:val="clear" w:color="auto" w:fill="auto"/>
          </w:tcPr>
          <w:p w14:paraId="687C190C" w14:textId="77777777" w:rsidR="002A4DDF" w:rsidRPr="00937C8B" w:rsidRDefault="002A4DDF" w:rsidP="009110ED">
            <w:pPr>
              <w:rPr>
                <w:rFonts w:ascii="Arial" w:hAnsi="Arial" w:cs="Arial"/>
                <w:sz w:val="12"/>
                <w:szCs w:val="12"/>
              </w:rPr>
            </w:pPr>
          </w:p>
        </w:tc>
        <w:tc>
          <w:tcPr>
            <w:tcW w:w="2268" w:type="dxa"/>
            <w:shd w:val="clear" w:color="auto" w:fill="F2F2F2"/>
            <w:hideMark/>
          </w:tcPr>
          <w:p w14:paraId="7BD9E096" w14:textId="77777777" w:rsidR="002A4DDF" w:rsidRPr="00937C8B" w:rsidRDefault="002A4DDF" w:rsidP="009110ED">
            <w:pPr>
              <w:rPr>
                <w:rFonts w:ascii="Arial" w:hAnsi="Arial" w:cs="Arial"/>
                <w:sz w:val="12"/>
                <w:szCs w:val="12"/>
              </w:rPr>
            </w:pPr>
            <w:r>
              <w:rPr>
                <w:rFonts w:ascii="Arial" w:hAnsi="Arial"/>
                <w:sz w:val="12"/>
                <w:szCs w:val="12"/>
              </w:rPr>
              <w:t>Carenas</w:t>
            </w:r>
          </w:p>
        </w:tc>
        <w:tc>
          <w:tcPr>
            <w:tcW w:w="2268" w:type="dxa"/>
            <w:tcBorders>
              <w:right w:val="single" w:sz="4" w:space="0" w:color="auto"/>
            </w:tcBorders>
            <w:shd w:val="clear" w:color="auto" w:fill="D9D9D9"/>
            <w:hideMark/>
          </w:tcPr>
          <w:p w14:paraId="7089C4AA" w14:textId="77777777" w:rsidR="002A4DDF" w:rsidRPr="00937C8B" w:rsidRDefault="002A4DDF" w:rsidP="009110ED">
            <w:pPr>
              <w:rPr>
                <w:rFonts w:ascii="Arial" w:hAnsi="Arial" w:cs="Arial"/>
                <w:sz w:val="12"/>
                <w:szCs w:val="12"/>
              </w:rPr>
            </w:pPr>
          </w:p>
        </w:tc>
      </w:tr>
      <w:tr w:rsidR="002A4DDF" w:rsidRPr="00937C8B" w14:paraId="083C0A76" w14:textId="77777777" w:rsidTr="00935676">
        <w:trPr>
          <w:cantSplit/>
        </w:trPr>
        <w:tc>
          <w:tcPr>
            <w:tcW w:w="1696" w:type="dxa"/>
            <w:tcBorders>
              <w:left w:val="single" w:sz="4" w:space="0" w:color="auto"/>
            </w:tcBorders>
            <w:shd w:val="clear" w:color="auto" w:fill="auto"/>
          </w:tcPr>
          <w:p w14:paraId="7879F0B8" w14:textId="77777777" w:rsidR="002A4DDF" w:rsidRPr="00937C8B" w:rsidRDefault="002A4DDF" w:rsidP="009110ED">
            <w:pPr>
              <w:rPr>
                <w:rFonts w:ascii="Arial" w:hAnsi="Arial" w:cs="Arial"/>
                <w:sz w:val="12"/>
                <w:szCs w:val="12"/>
              </w:rPr>
            </w:pPr>
          </w:p>
        </w:tc>
        <w:tc>
          <w:tcPr>
            <w:tcW w:w="1843" w:type="dxa"/>
            <w:shd w:val="clear" w:color="auto" w:fill="auto"/>
          </w:tcPr>
          <w:p w14:paraId="7914BF4C" w14:textId="77777777" w:rsidR="002A4DDF" w:rsidRPr="00937C8B" w:rsidRDefault="002A4DDF" w:rsidP="009110ED">
            <w:pPr>
              <w:rPr>
                <w:rFonts w:ascii="Arial" w:hAnsi="Arial" w:cs="Arial"/>
                <w:sz w:val="12"/>
                <w:szCs w:val="12"/>
              </w:rPr>
            </w:pPr>
          </w:p>
        </w:tc>
        <w:tc>
          <w:tcPr>
            <w:tcW w:w="2268" w:type="dxa"/>
            <w:shd w:val="clear" w:color="auto" w:fill="F2F2F2"/>
            <w:hideMark/>
          </w:tcPr>
          <w:p w14:paraId="2BFBBB93" w14:textId="77777777" w:rsidR="002A4DDF" w:rsidRPr="00937C8B" w:rsidRDefault="002A4DDF" w:rsidP="009110ED">
            <w:pPr>
              <w:rPr>
                <w:rFonts w:ascii="Arial" w:hAnsi="Arial" w:cs="Arial"/>
                <w:sz w:val="12"/>
                <w:szCs w:val="12"/>
              </w:rPr>
            </w:pPr>
            <w:r>
              <w:rPr>
                <w:rFonts w:ascii="Arial" w:hAnsi="Arial"/>
                <w:sz w:val="12"/>
                <w:szCs w:val="12"/>
              </w:rPr>
              <w:t>Cariñena</w:t>
            </w:r>
          </w:p>
        </w:tc>
        <w:tc>
          <w:tcPr>
            <w:tcW w:w="2268" w:type="dxa"/>
            <w:tcBorders>
              <w:right w:val="single" w:sz="4" w:space="0" w:color="auto"/>
            </w:tcBorders>
            <w:shd w:val="clear" w:color="auto" w:fill="D9D9D9"/>
            <w:hideMark/>
          </w:tcPr>
          <w:p w14:paraId="7357BEB5" w14:textId="77777777" w:rsidR="002A4DDF" w:rsidRPr="00937C8B" w:rsidRDefault="002A4DDF" w:rsidP="009110ED">
            <w:pPr>
              <w:rPr>
                <w:rFonts w:ascii="Arial" w:hAnsi="Arial" w:cs="Arial"/>
                <w:sz w:val="12"/>
                <w:szCs w:val="12"/>
              </w:rPr>
            </w:pPr>
          </w:p>
        </w:tc>
      </w:tr>
      <w:tr w:rsidR="002A4DDF" w:rsidRPr="00937C8B" w14:paraId="63499274" w14:textId="77777777" w:rsidTr="00935676">
        <w:trPr>
          <w:cantSplit/>
        </w:trPr>
        <w:tc>
          <w:tcPr>
            <w:tcW w:w="1696" w:type="dxa"/>
            <w:tcBorders>
              <w:left w:val="single" w:sz="4" w:space="0" w:color="auto"/>
            </w:tcBorders>
            <w:shd w:val="clear" w:color="auto" w:fill="auto"/>
          </w:tcPr>
          <w:p w14:paraId="026A0924" w14:textId="77777777" w:rsidR="002A4DDF" w:rsidRPr="00937C8B" w:rsidRDefault="002A4DDF" w:rsidP="009110ED">
            <w:pPr>
              <w:rPr>
                <w:rFonts w:ascii="Arial" w:hAnsi="Arial" w:cs="Arial"/>
                <w:sz w:val="12"/>
                <w:szCs w:val="12"/>
              </w:rPr>
            </w:pPr>
          </w:p>
        </w:tc>
        <w:tc>
          <w:tcPr>
            <w:tcW w:w="1843" w:type="dxa"/>
            <w:shd w:val="clear" w:color="auto" w:fill="auto"/>
          </w:tcPr>
          <w:p w14:paraId="38ED6D5D" w14:textId="77777777" w:rsidR="002A4DDF" w:rsidRPr="00937C8B" w:rsidRDefault="002A4DDF" w:rsidP="009110ED">
            <w:pPr>
              <w:rPr>
                <w:rFonts w:ascii="Arial" w:hAnsi="Arial" w:cs="Arial"/>
                <w:sz w:val="12"/>
                <w:szCs w:val="12"/>
              </w:rPr>
            </w:pPr>
          </w:p>
        </w:tc>
        <w:tc>
          <w:tcPr>
            <w:tcW w:w="2268" w:type="dxa"/>
            <w:shd w:val="clear" w:color="auto" w:fill="F2F2F2"/>
            <w:hideMark/>
          </w:tcPr>
          <w:p w14:paraId="078966FA" w14:textId="77777777" w:rsidR="002A4DDF" w:rsidRPr="00937C8B" w:rsidRDefault="002A4DDF" w:rsidP="009110ED">
            <w:pPr>
              <w:rPr>
                <w:rFonts w:ascii="Arial" w:hAnsi="Arial" w:cs="Arial"/>
                <w:sz w:val="12"/>
                <w:szCs w:val="12"/>
              </w:rPr>
            </w:pPr>
            <w:r>
              <w:rPr>
                <w:rFonts w:ascii="Arial" w:hAnsi="Arial"/>
                <w:sz w:val="12"/>
                <w:szCs w:val="12"/>
              </w:rPr>
              <w:t>Castejón de Alarba</w:t>
            </w:r>
          </w:p>
        </w:tc>
        <w:tc>
          <w:tcPr>
            <w:tcW w:w="2268" w:type="dxa"/>
            <w:tcBorders>
              <w:right w:val="single" w:sz="4" w:space="0" w:color="auto"/>
            </w:tcBorders>
            <w:shd w:val="clear" w:color="auto" w:fill="D9D9D9"/>
            <w:hideMark/>
          </w:tcPr>
          <w:p w14:paraId="3D40354D" w14:textId="77777777" w:rsidR="002A4DDF" w:rsidRPr="00937C8B" w:rsidRDefault="002A4DDF" w:rsidP="009110ED">
            <w:pPr>
              <w:rPr>
                <w:rFonts w:ascii="Arial" w:hAnsi="Arial" w:cs="Arial"/>
                <w:sz w:val="12"/>
                <w:szCs w:val="12"/>
              </w:rPr>
            </w:pPr>
          </w:p>
        </w:tc>
      </w:tr>
      <w:tr w:rsidR="002A4DDF" w:rsidRPr="00937C8B" w14:paraId="6914417D" w14:textId="77777777" w:rsidTr="00935676">
        <w:trPr>
          <w:cantSplit/>
        </w:trPr>
        <w:tc>
          <w:tcPr>
            <w:tcW w:w="1696" w:type="dxa"/>
            <w:tcBorders>
              <w:left w:val="single" w:sz="4" w:space="0" w:color="auto"/>
            </w:tcBorders>
            <w:shd w:val="clear" w:color="auto" w:fill="auto"/>
          </w:tcPr>
          <w:p w14:paraId="188450EC" w14:textId="77777777" w:rsidR="002A4DDF" w:rsidRPr="00937C8B" w:rsidRDefault="002A4DDF" w:rsidP="009110ED">
            <w:pPr>
              <w:rPr>
                <w:rFonts w:ascii="Arial" w:hAnsi="Arial" w:cs="Arial"/>
                <w:sz w:val="12"/>
                <w:szCs w:val="12"/>
              </w:rPr>
            </w:pPr>
          </w:p>
        </w:tc>
        <w:tc>
          <w:tcPr>
            <w:tcW w:w="1843" w:type="dxa"/>
            <w:shd w:val="clear" w:color="auto" w:fill="auto"/>
          </w:tcPr>
          <w:p w14:paraId="27212CFA" w14:textId="77777777" w:rsidR="002A4DDF" w:rsidRPr="00937C8B" w:rsidRDefault="002A4DDF" w:rsidP="009110ED">
            <w:pPr>
              <w:rPr>
                <w:rFonts w:ascii="Arial" w:hAnsi="Arial" w:cs="Arial"/>
                <w:sz w:val="12"/>
                <w:szCs w:val="12"/>
              </w:rPr>
            </w:pPr>
          </w:p>
        </w:tc>
        <w:tc>
          <w:tcPr>
            <w:tcW w:w="2268" w:type="dxa"/>
            <w:shd w:val="clear" w:color="auto" w:fill="F2F2F2"/>
            <w:hideMark/>
          </w:tcPr>
          <w:p w14:paraId="3EC731FC" w14:textId="77777777" w:rsidR="002A4DDF" w:rsidRPr="00937C8B" w:rsidRDefault="002A4DDF" w:rsidP="009110ED">
            <w:pPr>
              <w:rPr>
                <w:rFonts w:ascii="Arial" w:hAnsi="Arial" w:cs="Arial"/>
                <w:sz w:val="12"/>
                <w:szCs w:val="12"/>
              </w:rPr>
            </w:pPr>
            <w:r>
              <w:rPr>
                <w:rFonts w:ascii="Arial" w:hAnsi="Arial"/>
                <w:sz w:val="12"/>
                <w:szCs w:val="12"/>
              </w:rPr>
              <w:t>Castejón de las Armas</w:t>
            </w:r>
          </w:p>
        </w:tc>
        <w:tc>
          <w:tcPr>
            <w:tcW w:w="2268" w:type="dxa"/>
            <w:tcBorders>
              <w:right w:val="single" w:sz="4" w:space="0" w:color="auto"/>
            </w:tcBorders>
            <w:shd w:val="clear" w:color="auto" w:fill="D9D9D9"/>
            <w:hideMark/>
          </w:tcPr>
          <w:p w14:paraId="7AD56F1A" w14:textId="77777777" w:rsidR="002A4DDF" w:rsidRPr="00937C8B" w:rsidRDefault="002A4DDF" w:rsidP="009110ED">
            <w:pPr>
              <w:rPr>
                <w:rFonts w:ascii="Arial" w:hAnsi="Arial" w:cs="Arial"/>
                <w:sz w:val="12"/>
                <w:szCs w:val="12"/>
              </w:rPr>
            </w:pPr>
          </w:p>
        </w:tc>
      </w:tr>
      <w:tr w:rsidR="002A4DDF" w:rsidRPr="00937C8B" w14:paraId="0B45FD04" w14:textId="77777777" w:rsidTr="00935676">
        <w:trPr>
          <w:cantSplit/>
        </w:trPr>
        <w:tc>
          <w:tcPr>
            <w:tcW w:w="1696" w:type="dxa"/>
            <w:tcBorders>
              <w:left w:val="single" w:sz="4" w:space="0" w:color="auto"/>
            </w:tcBorders>
            <w:shd w:val="clear" w:color="auto" w:fill="auto"/>
          </w:tcPr>
          <w:p w14:paraId="49213ACA" w14:textId="77777777" w:rsidR="002A4DDF" w:rsidRPr="00937C8B" w:rsidRDefault="002A4DDF" w:rsidP="009110ED">
            <w:pPr>
              <w:rPr>
                <w:rFonts w:ascii="Arial" w:hAnsi="Arial" w:cs="Arial"/>
                <w:sz w:val="12"/>
                <w:szCs w:val="12"/>
              </w:rPr>
            </w:pPr>
          </w:p>
        </w:tc>
        <w:tc>
          <w:tcPr>
            <w:tcW w:w="1843" w:type="dxa"/>
            <w:shd w:val="clear" w:color="auto" w:fill="auto"/>
          </w:tcPr>
          <w:p w14:paraId="1AD9442E" w14:textId="77777777" w:rsidR="002A4DDF" w:rsidRPr="00937C8B" w:rsidRDefault="002A4DDF" w:rsidP="009110ED">
            <w:pPr>
              <w:rPr>
                <w:rFonts w:ascii="Arial" w:hAnsi="Arial" w:cs="Arial"/>
                <w:sz w:val="12"/>
                <w:szCs w:val="12"/>
              </w:rPr>
            </w:pPr>
          </w:p>
        </w:tc>
        <w:tc>
          <w:tcPr>
            <w:tcW w:w="2268" w:type="dxa"/>
            <w:shd w:val="clear" w:color="auto" w:fill="F2F2F2"/>
            <w:hideMark/>
          </w:tcPr>
          <w:p w14:paraId="1C1968A9" w14:textId="77777777" w:rsidR="002A4DDF" w:rsidRPr="00937C8B" w:rsidRDefault="002A4DDF" w:rsidP="009110ED">
            <w:pPr>
              <w:rPr>
                <w:rFonts w:ascii="Arial" w:hAnsi="Arial" w:cs="Arial"/>
                <w:sz w:val="12"/>
                <w:szCs w:val="12"/>
              </w:rPr>
            </w:pPr>
            <w:r>
              <w:rPr>
                <w:rFonts w:ascii="Arial" w:hAnsi="Arial"/>
                <w:sz w:val="12"/>
                <w:szCs w:val="12"/>
              </w:rPr>
              <w:t>Cerveruela</w:t>
            </w:r>
          </w:p>
        </w:tc>
        <w:tc>
          <w:tcPr>
            <w:tcW w:w="2268" w:type="dxa"/>
            <w:tcBorders>
              <w:right w:val="single" w:sz="4" w:space="0" w:color="auto"/>
            </w:tcBorders>
            <w:shd w:val="clear" w:color="auto" w:fill="D9D9D9"/>
            <w:hideMark/>
          </w:tcPr>
          <w:p w14:paraId="15D0EDF8" w14:textId="77777777" w:rsidR="002A4DDF" w:rsidRPr="00937C8B" w:rsidRDefault="002A4DDF" w:rsidP="009110ED">
            <w:pPr>
              <w:rPr>
                <w:rFonts w:ascii="Arial" w:hAnsi="Arial" w:cs="Arial"/>
                <w:sz w:val="12"/>
                <w:szCs w:val="12"/>
              </w:rPr>
            </w:pPr>
          </w:p>
        </w:tc>
      </w:tr>
      <w:tr w:rsidR="002A4DDF" w:rsidRPr="00937C8B" w14:paraId="29CAEC20" w14:textId="77777777" w:rsidTr="00935676">
        <w:trPr>
          <w:cantSplit/>
        </w:trPr>
        <w:tc>
          <w:tcPr>
            <w:tcW w:w="1696" w:type="dxa"/>
            <w:tcBorders>
              <w:left w:val="single" w:sz="4" w:space="0" w:color="auto"/>
            </w:tcBorders>
            <w:shd w:val="clear" w:color="auto" w:fill="auto"/>
          </w:tcPr>
          <w:p w14:paraId="17084597" w14:textId="77777777" w:rsidR="002A4DDF" w:rsidRPr="00937C8B" w:rsidRDefault="002A4DDF" w:rsidP="009110ED">
            <w:pPr>
              <w:rPr>
                <w:rFonts w:ascii="Arial" w:hAnsi="Arial" w:cs="Arial"/>
                <w:sz w:val="12"/>
                <w:szCs w:val="12"/>
              </w:rPr>
            </w:pPr>
          </w:p>
        </w:tc>
        <w:tc>
          <w:tcPr>
            <w:tcW w:w="1843" w:type="dxa"/>
            <w:shd w:val="clear" w:color="auto" w:fill="auto"/>
          </w:tcPr>
          <w:p w14:paraId="3362821B" w14:textId="77777777" w:rsidR="002A4DDF" w:rsidRPr="00937C8B" w:rsidRDefault="002A4DDF" w:rsidP="009110ED">
            <w:pPr>
              <w:rPr>
                <w:rFonts w:ascii="Arial" w:hAnsi="Arial" w:cs="Arial"/>
                <w:sz w:val="12"/>
                <w:szCs w:val="12"/>
              </w:rPr>
            </w:pPr>
          </w:p>
        </w:tc>
        <w:tc>
          <w:tcPr>
            <w:tcW w:w="2268" w:type="dxa"/>
            <w:shd w:val="clear" w:color="auto" w:fill="F2F2F2"/>
            <w:hideMark/>
          </w:tcPr>
          <w:p w14:paraId="65260DE3" w14:textId="77777777" w:rsidR="002A4DDF" w:rsidRPr="00937C8B" w:rsidRDefault="002A4DDF" w:rsidP="009110ED">
            <w:pPr>
              <w:rPr>
                <w:rFonts w:ascii="Arial" w:hAnsi="Arial" w:cs="Arial"/>
                <w:sz w:val="12"/>
                <w:szCs w:val="12"/>
              </w:rPr>
            </w:pPr>
            <w:r>
              <w:rPr>
                <w:rFonts w:ascii="Arial" w:hAnsi="Arial"/>
                <w:sz w:val="12"/>
                <w:szCs w:val="12"/>
              </w:rPr>
              <w:t>Codos</w:t>
            </w:r>
          </w:p>
        </w:tc>
        <w:tc>
          <w:tcPr>
            <w:tcW w:w="2268" w:type="dxa"/>
            <w:tcBorders>
              <w:right w:val="single" w:sz="4" w:space="0" w:color="auto"/>
            </w:tcBorders>
            <w:shd w:val="clear" w:color="auto" w:fill="D9D9D9"/>
            <w:hideMark/>
          </w:tcPr>
          <w:p w14:paraId="7FEFB3A0" w14:textId="77777777" w:rsidR="002A4DDF" w:rsidRPr="00937C8B" w:rsidRDefault="002A4DDF" w:rsidP="009110ED">
            <w:pPr>
              <w:rPr>
                <w:rFonts w:ascii="Arial" w:hAnsi="Arial" w:cs="Arial"/>
                <w:sz w:val="12"/>
                <w:szCs w:val="12"/>
              </w:rPr>
            </w:pPr>
          </w:p>
        </w:tc>
      </w:tr>
      <w:tr w:rsidR="002A4DDF" w:rsidRPr="00937C8B" w14:paraId="5551E93F" w14:textId="77777777" w:rsidTr="00935676">
        <w:trPr>
          <w:cantSplit/>
        </w:trPr>
        <w:tc>
          <w:tcPr>
            <w:tcW w:w="1696" w:type="dxa"/>
            <w:tcBorders>
              <w:left w:val="single" w:sz="4" w:space="0" w:color="auto"/>
            </w:tcBorders>
            <w:shd w:val="clear" w:color="auto" w:fill="auto"/>
          </w:tcPr>
          <w:p w14:paraId="68D149C9" w14:textId="77777777" w:rsidR="002A4DDF" w:rsidRPr="00937C8B" w:rsidRDefault="002A4DDF" w:rsidP="009110ED">
            <w:pPr>
              <w:rPr>
                <w:rFonts w:ascii="Arial" w:hAnsi="Arial" w:cs="Arial"/>
                <w:sz w:val="12"/>
                <w:szCs w:val="12"/>
              </w:rPr>
            </w:pPr>
          </w:p>
        </w:tc>
        <w:tc>
          <w:tcPr>
            <w:tcW w:w="1843" w:type="dxa"/>
            <w:shd w:val="clear" w:color="auto" w:fill="auto"/>
          </w:tcPr>
          <w:p w14:paraId="40088CC5" w14:textId="77777777" w:rsidR="002A4DDF" w:rsidRPr="00937C8B" w:rsidRDefault="002A4DDF" w:rsidP="009110ED">
            <w:pPr>
              <w:rPr>
                <w:rFonts w:ascii="Arial" w:hAnsi="Arial" w:cs="Arial"/>
                <w:sz w:val="12"/>
                <w:szCs w:val="12"/>
              </w:rPr>
            </w:pPr>
          </w:p>
        </w:tc>
        <w:tc>
          <w:tcPr>
            <w:tcW w:w="2268" w:type="dxa"/>
            <w:shd w:val="clear" w:color="auto" w:fill="F2F2F2"/>
            <w:hideMark/>
          </w:tcPr>
          <w:p w14:paraId="230D38DC" w14:textId="77777777" w:rsidR="002A4DDF" w:rsidRPr="00937C8B" w:rsidRDefault="002A4DDF" w:rsidP="009110ED">
            <w:pPr>
              <w:rPr>
                <w:rFonts w:ascii="Arial" w:hAnsi="Arial" w:cs="Arial"/>
                <w:sz w:val="12"/>
                <w:szCs w:val="12"/>
              </w:rPr>
            </w:pPr>
            <w:r>
              <w:rPr>
                <w:rFonts w:ascii="Arial" w:hAnsi="Arial"/>
                <w:sz w:val="12"/>
                <w:szCs w:val="12"/>
              </w:rPr>
              <w:t>Cosuenda</w:t>
            </w:r>
          </w:p>
        </w:tc>
        <w:tc>
          <w:tcPr>
            <w:tcW w:w="2268" w:type="dxa"/>
            <w:tcBorders>
              <w:right w:val="single" w:sz="4" w:space="0" w:color="auto"/>
            </w:tcBorders>
            <w:shd w:val="clear" w:color="auto" w:fill="D9D9D9"/>
            <w:hideMark/>
          </w:tcPr>
          <w:p w14:paraId="4D4B1ADA" w14:textId="77777777" w:rsidR="002A4DDF" w:rsidRPr="00937C8B" w:rsidRDefault="002A4DDF" w:rsidP="009110ED">
            <w:pPr>
              <w:rPr>
                <w:rFonts w:ascii="Arial" w:hAnsi="Arial" w:cs="Arial"/>
                <w:sz w:val="12"/>
                <w:szCs w:val="12"/>
              </w:rPr>
            </w:pPr>
          </w:p>
        </w:tc>
      </w:tr>
      <w:tr w:rsidR="002A4DDF" w:rsidRPr="00937C8B" w14:paraId="33462D8D" w14:textId="77777777" w:rsidTr="00935676">
        <w:trPr>
          <w:cantSplit/>
        </w:trPr>
        <w:tc>
          <w:tcPr>
            <w:tcW w:w="1696" w:type="dxa"/>
            <w:tcBorders>
              <w:left w:val="single" w:sz="4" w:space="0" w:color="auto"/>
            </w:tcBorders>
            <w:shd w:val="clear" w:color="auto" w:fill="auto"/>
          </w:tcPr>
          <w:p w14:paraId="426DFDBD" w14:textId="77777777" w:rsidR="002A4DDF" w:rsidRPr="00937C8B" w:rsidRDefault="002A4DDF" w:rsidP="009110ED">
            <w:pPr>
              <w:rPr>
                <w:rFonts w:ascii="Arial" w:hAnsi="Arial" w:cs="Arial"/>
                <w:sz w:val="12"/>
                <w:szCs w:val="12"/>
              </w:rPr>
            </w:pPr>
          </w:p>
        </w:tc>
        <w:tc>
          <w:tcPr>
            <w:tcW w:w="1843" w:type="dxa"/>
            <w:shd w:val="clear" w:color="auto" w:fill="auto"/>
          </w:tcPr>
          <w:p w14:paraId="10AC0C10" w14:textId="77777777" w:rsidR="002A4DDF" w:rsidRPr="00937C8B" w:rsidRDefault="002A4DDF" w:rsidP="009110ED">
            <w:pPr>
              <w:rPr>
                <w:rFonts w:ascii="Arial" w:hAnsi="Arial" w:cs="Arial"/>
                <w:sz w:val="12"/>
                <w:szCs w:val="12"/>
              </w:rPr>
            </w:pPr>
          </w:p>
        </w:tc>
        <w:tc>
          <w:tcPr>
            <w:tcW w:w="2268" w:type="dxa"/>
            <w:shd w:val="clear" w:color="auto" w:fill="F2F2F2"/>
            <w:hideMark/>
          </w:tcPr>
          <w:p w14:paraId="33577178" w14:textId="77777777" w:rsidR="002A4DDF" w:rsidRPr="00937C8B" w:rsidRDefault="002A4DDF" w:rsidP="009110ED">
            <w:pPr>
              <w:rPr>
                <w:rFonts w:ascii="Arial" w:hAnsi="Arial" w:cs="Arial"/>
                <w:sz w:val="12"/>
                <w:szCs w:val="12"/>
              </w:rPr>
            </w:pPr>
            <w:r>
              <w:rPr>
                <w:rFonts w:ascii="Arial" w:hAnsi="Arial"/>
                <w:sz w:val="12"/>
                <w:szCs w:val="12"/>
              </w:rPr>
              <w:t>Cubel</w:t>
            </w:r>
          </w:p>
        </w:tc>
        <w:tc>
          <w:tcPr>
            <w:tcW w:w="2268" w:type="dxa"/>
            <w:tcBorders>
              <w:right w:val="single" w:sz="4" w:space="0" w:color="auto"/>
            </w:tcBorders>
            <w:shd w:val="clear" w:color="auto" w:fill="D9D9D9"/>
            <w:hideMark/>
          </w:tcPr>
          <w:p w14:paraId="3CA8D027" w14:textId="77777777" w:rsidR="002A4DDF" w:rsidRPr="00937C8B" w:rsidRDefault="002A4DDF" w:rsidP="009110ED">
            <w:pPr>
              <w:rPr>
                <w:rFonts w:ascii="Arial" w:hAnsi="Arial" w:cs="Arial"/>
                <w:sz w:val="12"/>
                <w:szCs w:val="12"/>
              </w:rPr>
            </w:pPr>
          </w:p>
        </w:tc>
      </w:tr>
      <w:tr w:rsidR="002A4DDF" w:rsidRPr="00937C8B" w14:paraId="182F2F67" w14:textId="77777777" w:rsidTr="00935676">
        <w:trPr>
          <w:cantSplit/>
        </w:trPr>
        <w:tc>
          <w:tcPr>
            <w:tcW w:w="1696" w:type="dxa"/>
            <w:tcBorders>
              <w:left w:val="single" w:sz="4" w:space="0" w:color="auto"/>
            </w:tcBorders>
            <w:shd w:val="clear" w:color="auto" w:fill="auto"/>
          </w:tcPr>
          <w:p w14:paraId="264E5BB5" w14:textId="77777777" w:rsidR="002A4DDF" w:rsidRPr="00937C8B" w:rsidRDefault="002A4DDF" w:rsidP="009110ED">
            <w:pPr>
              <w:rPr>
                <w:rFonts w:ascii="Arial" w:hAnsi="Arial" w:cs="Arial"/>
                <w:sz w:val="12"/>
                <w:szCs w:val="12"/>
              </w:rPr>
            </w:pPr>
          </w:p>
        </w:tc>
        <w:tc>
          <w:tcPr>
            <w:tcW w:w="1843" w:type="dxa"/>
            <w:shd w:val="clear" w:color="auto" w:fill="auto"/>
          </w:tcPr>
          <w:p w14:paraId="2720EE4C" w14:textId="77777777" w:rsidR="002A4DDF" w:rsidRPr="00937C8B" w:rsidRDefault="002A4DDF" w:rsidP="009110ED">
            <w:pPr>
              <w:rPr>
                <w:rFonts w:ascii="Arial" w:hAnsi="Arial" w:cs="Arial"/>
                <w:sz w:val="12"/>
                <w:szCs w:val="12"/>
              </w:rPr>
            </w:pPr>
          </w:p>
        </w:tc>
        <w:tc>
          <w:tcPr>
            <w:tcW w:w="2268" w:type="dxa"/>
            <w:shd w:val="clear" w:color="auto" w:fill="F2F2F2"/>
            <w:hideMark/>
          </w:tcPr>
          <w:p w14:paraId="35628E49" w14:textId="77777777" w:rsidR="002A4DDF" w:rsidRPr="00937C8B" w:rsidRDefault="002A4DDF" w:rsidP="009110ED">
            <w:pPr>
              <w:rPr>
                <w:rFonts w:ascii="Arial" w:hAnsi="Arial" w:cs="Arial"/>
                <w:sz w:val="12"/>
                <w:szCs w:val="12"/>
              </w:rPr>
            </w:pPr>
            <w:r>
              <w:rPr>
                <w:rFonts w:ascii="Arial" w:hAnsi="Arial"/>
                <w:sz w:val="12"/>
                <w:szCs w:val="12"/>
              </w:rPr>
              <w:t>Daroca</w:t>
            </w:r>
          </w:p>
        </w:tc>
        <w:tc>
          <w:tcPr>
            <w:tcW w:w="2268" w:type="dxa"/>
            <w:tcBorders>
              <w:right w:val="single" w:sz="4" w:space="0" w:color="auto"/>
            </w:tcBorders>
            <w:shd w:val="clear" w:color="auto" w:fill="D9D9D9"/>
            <w:hideMark/>
          </w:tcPr>
          <w:p w14:paraId="20F95499" w14:textId="77777777" w:rsidR="002A4DDF" w:rsidRPr="00937C8B" w:rsidRDefault="002A4DDF" w:rsidP="009110ED">
            <w:pPr>
              <w:rPr>
                <w:rFonts w:ascii="Arial" w:hAnsi="Arial" w:cs="Arial"/>
                <w:sz w:val="12"/>
                <w:szCs w:val="12"/>
              </w:rPr>
            </w:pPr>
          </w:p>
        </w:tc>
      </w:tr>
      <w:tr w:rsidR="002A4DDF" w:rsidRPr="00937C8B" w14:paraId="668A58FA" w14:textId="77777777" w:rsidTr="00935676">
        <w:trPr>
          <w:cantSplit/>
        </w:trPr>
        <w:tc>
          <w:tcPr>
            <w:tcW w:w="1696" w:type="dxa"/>
            <w:tcBorders>
              <w:left w:val="single" w:sz="4" w:space="0" w:color="auto"/>
            </w:tcBorders>
            <w:shd w:val="clear" w:color="auto" w:fill="auto"/>
          </w:tcPr>
          <w:p w14:paraId="653A3046" w14:textId="77777777" w:rsidR="002A4DDF" w:rsidRPr="00937C8B" w:rsidRDefault="002A4DDF" w:rsidP="009110ED">
            <w:pPr>
              <w:rPr>
                <w:rFonts w:ascii="Arial" w:hAnsi="Arial" w:cs="Arial"/>
                <w:sz w:val="12"/>
                <w:szCs w:val="12"/>
              </w:rPr>
            </w:pPr>
          </w:p>
        </w:tc>
        <w:tc>
          <w:tcPr>
            <w:tcW w:w="1843" w:type="dxa"/>
            <w:shd w:val="clear" w:color="auto" w:fill="auto"/>
          </w:tcPr>
          <w:p w14:paraId="045ACD91" w14:textId="77777777" w:rsidR="002A4DDF" w:rsidRPr="00937C8B" w:rsidRDefault="002A4DDF" w:rsidP="009110ED">
            <w:pPr>
              <w:rPr>
                <w:rFonts w:ascii="Arial" w:hAnsi="Arial" w:cs="Arial"/>
                <w:sz w:val="12"/>
                <w:szCs w:val="12"/>
              </w:rPr>
            </w:pPr>
          </w:p>
        </w:tc>
        <w:tc>
          <w:tcPr>
            <w:tcW w:w="2268" w:type="dxa"/>
            <w:shd w:val="clear" w:color="auto" w:fill="F2F2F2"/>
            <w:hideMark/>
          </w:tcPr>
          <w:p w14:paraId="2A8CE8E0" w14:textId="77777777" w:rsidR="002A4DDF" w:rsidRPr="00937C8B" w:rsidRDefault="002A4DDF" w:rsidP="009110ED">
            <w:pPr>
              <w:rPr>
                <w:rFonts w:ascii="Arial" w:hAnsi="Arial" w:cs="Arial"/>
                <w:sz w:val="12"/>
                <w:szCs w:val="12"/>
              </w:rPr>
            </w:pPr>
            <w:r>
              <w:rPr>
                <w:rFonts w:ascii="Arial" w:hAnsi="Arial"/>
                <w:sz w:val="12"/>
                <w:szCs w:val="12"/>
              </w:rPr>
              <w:t>El Frasno</w:t>
            </w:r>
          </w:p>
        </w:tc>
        <w:tc>
          <w:tcPr>
            <w:tcW w:w="2268" w:type="dxa"/>
            <w:tcBorders>
              <w:right w:val="single" w:sz="4" w:space="0" w:color="auto"/>
            </w:tcBorders>
            <w:shd w:val="clear" w:color="auto" w:fill="D9D9D9"/>
            <w:hideMark/>
          </w:tcPr>
          <w:p w14:paraId="7ACEB1DD" w14:textId="77777777" w:rsidR="002A4DDF" w:rsidRPr="00937C8B" w:rsidRDefault="002A4DDF" w:rsidP="009110ED">
            <w:pPr>
              <w:rPr>
                <w:rFonts w:ascii="Arial" w:hAnsi="Arial" w:cs="Arial"/>
                <w:sz w:val="12"/>
                <w:szCs w:val="12"/>
              </w:rPr>
            </w:pPr>
          </w:p>
        </w:tc>
      </w:tr>
      <w:tr w:rsidR="002A4DDF" w:rsidRPr="00937C8B" w14:paraId="63BCB5D6" w14:textId="77777777" w:rsidTr="00935676">
        <w:trPr>
          <w:cantSplit/>
        </w:trPr>
        <w:tc>
          <w:tcPr>
            <w:tcW w:w="1696" w:type="dxa"/>
            <w:tcBorders>
              <w:left w:val="single" w:sz="4" w:space="0" w:color="auto"/>
            </w:tcBorders>
            <w:shd w:val="clear" w:color="auto" w:fill="auto"/>
          </w:tcPr>
          <w:p w14:paraId="64846C06" w14:textId="77777777" w:rsidR="002A4DDF" w:rsidRPr="00937C8B" w:rsidRDefault="002A4DDF" w:rsidP="009110ED">
            <w:pPr>
              <w:rPr>
                <w:rFonts w:ascii="Arial" w:hAnsi="Arial" w:cs="Arial"/>
                <w:sz w:val="12"/>
                <w:szCs w:val="12"/>
              </w:rPr>
            </w:pPr>
          </w:p>
        </w:tc>
        <w:tc>
          <w:tcPr>
            <w:tcW w:w="1843" w:type="dxa"/>
            <w:shd w:val="clear" w:color="auto" w:fill="auto"/>
          </w:tcPr>
          <w:p w14:paraId="47311006" w14:textId="77777777" w:rsidR="002A4DDF" w:rsidRPr="00937C8B" w:rsidRDefault="002A4DDF" w:rsidP="009110ED">
            <w:pPr>
              <w:rPr>
                <w:rFonts w:ascii="Arial" w:hAnsi="Arial" w:cs="Arial"/>
                <w:sz w:val="12"/>
                <w:szCs w:val="12"/>
              </w:rPr>
            </w:pPr>
          </w:p>
        </w:tc>
        <w:tc>
          <w:tcPr>
            <w:tcW w:w="2268" w:type="dxa"/>
            <w:shd w:val="clear" w:color="auto" w:fill="F2F2F2"/>
            <w:hideMark/>
          </w:tcPr>
          <w:p w14:paraId="40409AF5" w14:textId="77777777" w:rsidR="002A4DDF" w:rsidRPr="00937C8B" w:rsidRDefault="002A4DDF" w:rsidP="009110ED">
            <w:pPr>
              <w:rPr>
                <w:rFonts w:ascii="Arial" w:hAnsi="Arial" w:cs="Arial"/>
                <w:sz w:val="12"/>
                <w:szCs w:val="12"/>
              </w:rPr>
            </w:pPr>
            <w:r>
              <w:rPr>
                <w:rFonts w:ascii="Arial" w:hAnsi="Arial"/>
                <w:sz w:val="12"/>
                <w:szCs w:val="12"/>
              </w:rPr>
              <w:t>Embid de Ariza</w:t>
            </w:r>
          </w:p>
        </w:tc>
        <w:tc>
          <w:tcPr>
            <w:tcW w:w="2268" w:type="dxa"/>
            <w:tcBorders>
              <w:right w:val="single" w:sz="4" w:space="0" w:color="auto"/>
            </w:tcBorders>
            <w:shd w:val="clear" w:color="auto" w:fill="D9D9D9"/>
            <w:hideMark/>
          </w:tcPr>
          <w:p w14:paraId="09858E9C" w14:textId="77777777" w:rsidR="002A4DDF" w:rsidRPr="00937C8B" w:rsidRDefault="002A4DDF" w:rsidP="009110ED">
            <w:pPr>
              <w:rPr>
                <w:rFonts w:ascii="Arial" w:hAnsi="Arial" w:cs="Arial"/>
                <w:sz w:val="12"/>
                <w:szCs w:val="12"/>
              </w:rPr>
            </w:pPr>
          </w:p>
        </w:tc>
      </w:tr>
      <w:tr w:rsidR="002A4DDF" w:rsidRPr="00937C8B" w14:paraId="2A1E2797" w14:textId="77777777" w:rsidTr="00935676">
        <w:trPr>
          <w:cantSplit/>
        </w:trPr>
        <w:tc>
          <w:tcPr>
            <w:tcW w:w="1696" w:type="dxa"/>
            <w:tcBorders>
              <w:left w:val="single" w:sz="4" w:space="0" w:color="auto"/>
            </w:tcBorders>
            <w:shd w:val="clear" w:color="auto" w:fill="auto"/>
          </w:tcPr>
          <w:p w14:paraId="5998B14D" w14:textId="77777777" w:rsidR="002A4DDF" w:rsidRPr="00937C8B" w:rsidRDefault="002A4DDF" w:rsidP="009110ED">
            <w:pPr>
              <w:rPr>
                <w:rFonts w:ascii="Arial" w:hAnsi="Arial" w:cs="Arial"/>
                <w:sz w:val="12"/>
                <w:szCs w:val="12"/>
              </w:rPr>
            </w:pPr>
          </w:p>
        </w:tc>
        <w:tc>
          <w:tcPr>
            <w:tcW w:w="1843" w:type="dxa"/>
            <w:shd w:val="clear" w:color="auto" w:fill="auto"/>
          </w:tcPr>
          <w:p w14:paraId="51D6B9A7" w14:textId="77777777" w:rsidR="002A4DDF" w:rsidRPr="00937C8B" w:rsidRDefault="002A4DDF" w:rsidP="009110ED">
            <w:pPr>
              <w:rPr>
                <w:rFonts w:ascii="Arial" w:hAnsi="Arial" w:cs="Arial"/>
                <w:sz w:val="12"/>
                <w:szCs w:val="12"/>
              </w:rPr>
            </w:pPr>
          </w:p>
        </w:tc>
        <w:tc>
          <w:tcPr>
            <w:tcW w:w="2268" w:type="dxa"/>
            <w:shd w:val="clear" w:color="auto" w:fill="F2F2F2"/>
            <w:hideMark/>
          </w:tcPr>
          <w:p w14:paraId="359D1DFA" w14:textId="77777777" w:rsidR="002A4DDF" w:rsidRPr="00937C8B" w:rsidRDefault="002A4DDF" w:rsidP="009110ED">
            <w:pPr>
              <w:rPr>
                <w:rFonts w:ascii="Arial" w:hAnsi="Arial" w:cs="Arial"/>
                <w:sz w:val="12"/>
                <w:szCs w:val="12"/>
              </w:rPr>
            </w:pPr>
            <w:r>
              <w:rPr>
                <w:rFonts w:ascii="Arial" w:hAnsi="Arial"/>
                <w:sz w:val="12"/>
                <w:szCs w:val="12"/>
              </w:rPr>
              <w:t>Fuentes de Jiloca</w:t>
            </w:r>
          </w:p>
        </w:tc>
        <w:tc>
          <w:tcPr>
            <w:tcW w:w="2268" w:type="dxa"/>
            <w:tcBorders>
              <w:right w:val="single" w:sz="4" w:space="0" w:color="auto"/>
            </w:tcBorders>
            <w:shd w:val="clear" w:color="auto" w:fill="D9D9D9"/>
            <w:hideMark/>
          </w:tcPr>
          <w:p w14:paraId="6793BF48" w14:textId="77777777" w:rsidR="002A4DDF" w:rsidRPr="00937C8B" w:rsidRDefault="002A4DDF" w:rsidP="009110ED">
            <w:pPr>
              <w:rPr>
                <w:rFonts w:ascii="Arial" w:hAnsi="Arial" w:cs="Arial"/>
                <w:sz w:val="12"/>
                <w:szCs w:val="12"/>
              </w:rPr>
            </w:pPr>
          </w:p>
        </w:tc>
      </w:tr>
      <w:tr w:rsidR="002A4DDF" w:rsidRPr="00937C8B" w14:paraId="6E616387" w14:textId="77777777" w:rsidTr="00935676">
        <w:trPr>
          <w:cantSplit/>
        </w:trPr>
        <w:tc>
          <w:tcPr>
            <w:tcW w:w="1696" w:type="dxa"/>
            <w:tcBorders>
              <w:left w:val="single" w:sz="4" w:space="0" w:color="auto"/>
            </w:tcBorders>
            <w:shd w:val="clear" w:color="auto" w:fill="auto"/>
          </w:tcPr>
          <w:p w14:paraId="61E19E0D" w14:textId="77777777" w:rsidR="002A4DDF" w:rsidRPr="00937C8B" w:rsidRDefault="002A4DDF" w:rsidP="009110ED">
            <w:pPr>
              <w:rPr>
                <w:rFonts w:ascii="Arial" w:hAnsi="Arial" w:cs="Arial"/>
                <w:sz w:val="12"/>
                <w:szCs w:val="12"/>
              </w:rPr>
            </w:pPr>
          </w:p>
        </w:tc>
        <w:tc>
          <w:tcPr>
            <w:tcW w:w="1843" w:type="dxa"/>
            <w:shd w:val="clear" w:color="auto" w:fill="auto"/>
          </w:tcPr>
          <w:p w14:paraId="27793C87" w14:textId="77777777" w:rsidR="002A4DDF" w:rsidRPr="00937C8B" w:rsidRDefault="002A4DDF" w:rsidP="009110ED">
            <w:pPr>
              <w:rPr>
                <w:rFonts w:ascii="Arial" w:hAnsi="Arial" w:cs="Arial"/>
                <w:sz w:val="12"/>
                <w:szCs w:val="12"/>
              </w:rPr>
            </w:pPr>
          </w:p>
        </w:tc>
        <w:tc>
          <w:tcPr>
            <w:tcW w:w="2268" w:type="dxa"/>
            <w:shd w:val="clear" w:color="auto" w:fill="F2F2F2"/>
            <w:hideMark/>
          </w:tcPr>
          <w:p w14:paraId="7113DEC8" w14:textId="77777777" w:rsidR="002A4DDF" w:rsidRPr="00937C8B" w:rsidRDefault="002A4DDF" w:rsidP="009110ED">
            <w:pPr>
              <w:rPr>
                <w:rFonts w:ascii="Arial" w:hAnsi="Arial" w:cs="Arial"/>
                <w:sz w:val="12"/>
                <w:szCs w:val="12"/>
              </w:rPr>
            </w:pPr>
            <w:r>
              <w:rPr>
                <w:rFonts w:ascii="Arial" w:hAnsi="Arial"/>
                <w:sz w:val="12"/>
                <w:szCs w:val="12"/>
              </w:rPr>
              <w:t>Gallocanta</w:t>
            </w:r>
          </w:p>
        </w:tc>
        <w:tc>
          <w:tcPr>
            <w:tcW w:w="2268" w:type="dxa"/>
            <w:tcBorders>
              <w:right w:val="single" w:sz="4" w:space="0" w:color="auto"/>
            </w:tcBorders>
            <w:shd w:val="clear" w:color="auto" w:fill="D9D9D9"/>
            <w:hideMark/>
          </w:tcPr>
          <w:p w14:paraId="22569366" w14:textId="77777777" w:rsidR="002A4DDF" w:rsidRPr="00937C8B" w:rsidRDefault="002A4DDF" w:rsidP="009110ED">
            <w:pPr>
              <w:rPr>
                <w:rFonts w:ascii="Arial" w:hAnsi="Arial" w:cs="Arial"/>
                <w:sz w:val="12"/>
                <w:szCs w:val="12"/>
              </w:rPr>
            </w:pPr>
          </w:p>
        </w:tc>
      </w:tr>
      <w:tr w:rsidR="002A4DDF" w:rsidRPr="00937C8B" w14:paraId="47A59A64" w14:textId="77777777" w:rsidTr="00935676">
        <w:trPr>
          <w:cantSplit/>
        </w:trPr>
        <w:tc>
          <w:tcPr>
            <w:tcW w:w="1696" w:type="dxa"/>
            <w:tcBorders>
              <w:left w:val="single" w:sz="4" w:space="0" w:color="auto"/>
            </w:tcBorders>
            <w:shd w:val="clear" w:color="auto" w:fill="auto"/>
          </w:tcPr>
          <w:p w14:paraId="29342A14" w14:textId="77777777" w:rsidR="002A4DDF" w:rsidRPr="00937C8B" w:rsidRDefault="002A4DDF" w:rsidP="009110ED">
            <w:pPr>
              <w:rPr>
                <w:rFonts w:ascii="Arial" w:hAnsi="Arial" w:cs="Arial"/>
                <w:sz w:val="12"/>
                <w:szCs w:val="12"/>
              </w:rPr>
            </w:pPr>
          </w:p>
        </w:tc>
        <w:tc>
          <w:tcPr>
            <w:tcW w:w="1843" w:type="dxa"/>
            <w:shd w:val="clear" w:color="auto" w:fill="auto"/>
          </w:tcPr>
          <w:p w14:paraId="513F1ACE" w14:textId="77777777" w:rsidR="002A4DDF" w:rsidRPr="00937C8B" w:rsidRDefault="002A4DDF" w:rsidP="009110ED">
            <w:pPr>
              <w:rPr>
                <w:rFonts w:ascii="Arial" w:hAnsi="Arial" w:cs="Arial"/>
                <w:sz w:val="12"/>
                <w:szCs w:val="12"/>
              </w:rPr>
            </w:pPr>
          </w:p>
        </w:tc>
        <w:tc>
          <w:tcPr>
            <w:tcW w:w="2268" w:type="dxa"/>
            <w:shd w:val="clear" w:color="auto" w:fill="F2F2F2"/>
            <w:hideMark/>
          </w:tcPr>
          <w:p w14:paraId="7CF42CFF" w14:textId="77777777" w:rsidR="002A4DDF" w:rsidRPr="00937C8B" w:rsidRDefault="002A4DDF" w:rsidP="009110ED">
            <w:pPr>
              <w:rPr>
                <w:rFonts w:ascii="Arial" w:hAnsi="Arial" w:cs="Arial"/>
                <w:sz w:val="12"/>
                <w:szCs w:val="12"/>
              </w:rPr>
            </w:pPr>
            <w:r>
              <w:rPr>
                <w:rFonts w:ascii="Arial" w:hAnsi="Arial"/>
                <w:sz w:val="12"/>
                <w:szCs w:val="12"/>
              </w:rPr>
              <w:t>Gallur</w:t>
            </w:r>
          </w:p>
        </w:tc>
        <w:tc>
          <w:tcPr>
            <w:tcW w:w="2268" w:type="dxa"/>
            <w:tcBorders>
              <w:right w:val="single" w:sz="4" w:space="0" w:color="auto"/>
            </w:tcBorders>
            <w:shd w:val="clear" w:color="auto" w:fill="D9D9D9"/>
            <w:hideMark/>
          </w:tcPr>
          <w:p w14:paraId="3E6F1C83" w14:textId="77777777" w:rsidR="002A4DDF" w:rsidRPr="00937C8B" w:rsidRDefault="002A4DDF" w:rsidP="009110ED">
            <w:pPr>
              <w:rPr>
                <w:rFonts w:ascii="Arial" w:hAnsi="Arial" w:cs="Arial"/>
                <w:sz w:val="12"/>
                <w:szCs w:val="12"/>
              </w:rPr>
            </w:pPr>
          </w:p>
        </w:tc>
      </w:tr>
      <w:tr w:rsidR="002A4DDF" w:rsidRPr="00937C8B" w14:paraId="5DEF4F9F" w14:textId="77777777" w:rsidTr="00935676">
        <w:trPr>
          <w:cantSplit/>
        </w:trPr>
        <w:tc>
          <w:tcPr>
            <w:tcW w:w="1696" w:type="dxa"/>
            <w:tcBorders>
              <w:left w:val="single" w:sz="4" w:space="0" w:color="auto"/>
            </w:tcBorders>
            <w:shd w:val="clear" w:color="auto" w:fill="auto"/>
          </w:tcPr>
          <w:p w14:paraId="3720CF23" w14:textId="77777777" w:rsidR="002A4DDF" w:rsidRPr="00937C8B" w:rsidRDefault="002A4DDF" w:rsidP="009110ED">
            <w:pPr>
              <w:rPr>
                <w:rFonts w:ascii="Arial" w:hAnsi="Arial" w:cs="Arial"/>
                <w:sz w:val="12"/>
                <w:szCs w:val="12"/>
              </w:rPr>
            </w:pPr>
          </w:p>
        </w:tc>
        <w:tc>
          <w:tcPr>
            <w:tcW w:w="1843" w:type="dxa"/>
            <w:shd w:val="clear" w:color="auto" w:fill="auto"/>
          </w:tcPr>
          <w:p w14:paraId="00B73F45" w14:textId="77777777" w:rsidR="002A4DDF" w:rsidRPr="00937C8B" w:rsidRDefault="002A4DDF" w:rsidP="009110ED">
            <w:pPr>
              <w:rPr>
                <w:rFonts w:ascii="Arial" w:hAnsi="Arial" w:cs="Arial"/>
                <w:sz w:val="12"/>
                <w:szCs w:val="12"/>
              </w:rPr>
            </w:pPr>
          </w:p>
        </w:tc>
        <w:tc>
          <w:tcPr>
            <w:tcW w:w="2268" w:type="dxa"/>
            <w:shd w:val="clear" w:color="auto" w:fill="F2F2F2"/>
            <w:hideMark/>
          </w:tcPr>
          <w:p w14:paraId="1102ED78" w14:textId="77777777" w:rsidR="002A4DDF" w:rsidRPr="00937C8B" w:rsidRDefault="002A4DDF" w:rsidP="009110ED">
            <w:pPr>
              <w:rPr>
                <w:rFonts w:ascii="Arial" w:hAnsi="Arial" w:cs="Arial"/>
                <w:sz w:val="12"/>
                <w:szCs w:val="12"/>
              </w:rPr>
            </w:pPr>
            <w:r>
              <w:rPr>
                <w:rFonts w:ascii="Arial" w:hAnsi="Arial"/>
                <w:sz w:val="12"/>
                <w:szCs w:val="12"/>
              </w:rPr>
              <w:t>Gotor</w:t>
            </w:r>
          </w:p>
        </w:tc>
        <w:tc>
          <w:tcPr>
            <w:tcW w:w="2268" w:type="dxa"/>
            <w:tcBorders>
              <w:right w:val="single" w:sz="4" w:space="0" w:color="auto"/>
            </w:tcBorders>
            <w:shd w:val="clear" w:color="auto" w:fill="D9D9D9"/>
            <w:hideMark/>
          </w:tcPr>
          <w:p w14:paraId="385CDF4D" w14:textId="77777777" w:rsidR="002A4DDF" w:rsidRPr="00937C8B" w:rsidRDefault="002A4DDF" w:rsidP="009110ED">
            <w:pPr>
              <w:rPr>
                <w:rFonts w:ascii="Arial" w:hAnsi="Arial" w:cs="Arial"/>
                <w:sz w:val="12"/>
                <w:szCs w:val="12"/>
              </w:rPr>
            </w:pPr>
          </w:p>
        </w:tc>
      </w:tr>
      <w:tr w:rsidR="002A4DDF" w:rsidRPr="00937C8B" w14:paraId="49EC9457" w14:textId="77777777" w:rsidTr="00935676">
        <w:trPr>
          <w:cantSplit/>
        </w:trPr>
        <w:tc>
          <w:tcPr>
            <w:tcW w:w="1696" w:type="dxa"/>
            <w:tcBorders>
              <w:left w:val="single" w:sz="4" w:space="0" w:color="auto"/>
            </w:tcBorders>
            <w:shd w:val="clear" w:color="auto" w:fill="auto"/>
          </w:tcPr>
          <w:p w14:paraId="40CE6339" w14:textId="77777777" w:rsidR="002A4DDF" w:rsidRPr="00937C8B" w:rsidRDefault="002A4DDF" w:rsidP="009110ED">
            <w:pPr>
              <w:rPr>
                <w:rFonts w:ascii="Arial" w:hAnsi="Arial" w:cs="Arial"/>
                <w:sz w:val="12"/>
                <w:szCs w:val="12"/>
              </w:rPr>
            </w:pPr>
          </w:p>
        </w:tc>
        <w:tc>
          <w:tcPr>
            <w:tcW w:w="1843" w:type="dxa"/>
            <w:shd w:val="clear" w:color="auto" w:fill="auto"/>
          </w:tcPr>
          <w:p w14:paraId="48C16117" w14:textId="77777777" w:rsidR="002A4DDF" w:rsidRPr="00937C8B" w:rsidRDefault="002A4DDF" w:rsidP="009110ED">
            <w:pPr>
              <w:rPr>
                <w:rFonts w:ascii="Arial" w:hAnsi="Arial" w:cs="Arial"/>
                <w:sz w:val="12"/>
                <w:szCs w:val="12"/>
              </w:rPr>
            </w:pPr>
          </w:p>
        </w:tc>
        <w:tc>
          <w:tcPr>
            <w:tcW w:w="2268" w:type="dxa"/>
            <w:shd w:val="clear" w:color="auto" w:fill="F2F2F2"/>
            <w:hideMark/>
          </w:tcPr>
          <w:p w14:paraId="3DB691F6" w14:textId="77777777" w:rsidR="002A4DDF" w:rsidRPr="00937C8B" w:rsidRDefault="002A4DDF" w:rsidP="009110ED">
            <w:pPr>
              <w:rPr>
                <w:rFonts w:ascii="Arial" w:hAnsi="Arial" w:cs="Arial"/>
                <w:sz w:val="12"/>
                <w:szCs w:val="12"/>
              </w:rPr>
            </w:pPr>
            <w:r>
              <w:rPr>
                <w:rFonts w:ascii="Arial" w:hAnsi="Arial"/>
                <w:sz w:val="12"/>
                <w:szCs w:val="12"/>
              </w:rPr>
              <w:t>Herrera de los Navarros</w:t>
            </w:r>
          </w:p>
        </w:tc>
        <w:tc>
          <w:tcPr>
            <w:tcW w:w="2268" w:type="dxa"/>
            <w:tcBorders>
              <w:right w:val="single" w:sz="4" w:space="0" w:color="auto"/>
            </w:tcBorders>
            <w:shd w:val="clear" w:color="auto" w:fill="D9D9D9"/>
            <w:hideMark/>
          </w:tcPr>
          <w:p w14:paraId="200A65B5" w14:textId="77777777" w:rsidR="002A4DDF" w:rsidRPr="00937C8B" w:rsidRDefault="002A4DDF" w:rsidP="009110ED">
            <w:pPr>
              <w:rPr>
                <w:rFonts w:ascii="Arial" w:hAnsi="Arial" w:cs="Arial"/>
                <w:sz w:val="12"/>
                <w:szCs w:val="12"/>
              </w:rPr>
            </w:pPr>
          </w:p>
        </w:tc>
      </w:tr>
      <w:tr w:rsidR="002A4DDF" w:rsidRPr="00937C8B" w14:paraId="2769E483" w14:textId="77777777" w:rsidTr="00935676">
        <w:trPr>
          <w:cantSplit/>
        </w:trPr>
        <w:tc>
          <w:tcPr>
            <w:tcW w:w="1696" w:type="dxa"/>
            <w:tcBorders>
              <w:left w:val="single" w:sz="4" w:space="0" w:color="auto"/>
            </w:tcBorders>
            <w:shd w:val="clear" w:color="auto" w:fill="auto"/>
          </w:tcPr>
          <w:p w14:paraId="1403A14E" w14:textId="77777777" w:rsidR="002A4DDF" w:rsidRPr="00937C8B" w:rsidRDefault="002A4DDF" w:rsidP="009110ED">
            <w:pPr>
              <w:rPr>
                <w:rFonts w:ascii="Arial" w:hAnsi="Arial" w:cs="Arial"/>
                <w:sz w:val="12"/>
                <w:szCs w:val="12"/>
              </w:rPr>
            </w:pPr>
          </w:p>
        </w:tc>
        <w:tc>
          <w:tcPr>
            <w:tcW w:w="1843" w:type="dxa"/>
            <w:shd w:val="clear" w:color="auto" w:fill="auto"/>
          </w:tcPr>
          <w:p w14:paraId="6A4FDCB0" w14:textId="77777777" w:rsidR="002A4DDF" w:rsidRPr="00937C8B" w:rsidRDefault="002A4DDF" w:rsidP="009110ED">
            <w:pPr>
              <w:rPr>
                <w:rFonts w:ascii="Arial" w:hAnsi="Arial" w:cs="Arial"/>
                <w:sz w:val="12"/>
                <w:szCs w:val="12"/>
              </w:rPr>
            </w:pPr>
          </w:p>
        </w:tc>
        <w:tc>
          <w:tcPr>
            <w:tcW w:w="2268" w:type="dxa"/>
            <w:shd w:val="clear" w:color="auto" w:fill="F2F2F2"/>
            <w:hideMark/>
          </w:tcPr>
          <w:p w14:paraId="14D2445A" w14:textId="77777777" w:rsidR="002A4DDF" w:rsidRPr="00937C8B" w:rsidRDefault="002A4DDF" w:rsidP="009110ED">
            <w:pPr>
              <w:rPr>
                <w:rFonts w:ascii="Arial" w:hAnsi="Arial" w:cs="Arial"/>
                <w:sz w:val="12"/>
                <w:szCs w:val="12"/>
              </w:rPr>
            </w:pPr>
            <w:r>
              <w:rPr>
                <w:rFonts w:ascii="Arial" w:hAnsi="Arial"/>
                <w:sz w:val="12"/>
                <w:szCs w:val="12"/>
              </w:rPr>
              <w:t>Illueca</w:t>
            </w:r>
          </w:p>
        </w:tc>
        <w:tc>
          <w:tcPr>
            <w:tcW w:w="2268" w:type="dxa"/>
            <w:tcBorders>
              <w:right w:val="single" w:sz="4" w:space="0" w:color="auto"/>
            </w:tcBorders>
            <w:shd w:val="clear" w:color="auto" w:fill="D9D9D9"/>
            <w:hideMark/>
          </w:tcPr>
          <w:p w14:paraId="6194E033" w14:textId="77777777" w:rsidR="002A4DDF" w:rsidRPr="00937C8B" w:rsidRDefault="002A4DDF" w:rsidP="009110ED">
            <w:pPr>
              <w:rPr>
                <w:rFonts w:ascii="Arial" w:hAnsi="Arial" w:cs="Arial"/>
                <w:sz w:val="12"/>
                <w:szCs w:val="12"/>
              </w:rPr>
            </w:pPr>
          </w:p>
        </w:tc>
      </w:tr>
      <w:tr w:rsidR="002A4DDF" w:rsidRPr="00937C8B" w14:paraId="4C515F5C" w14:textId="77777777" w:rsidTr="00935676">
        <w:trPr>
          <w:cantSplit/>
        </w:trPr>
        <w:tc>
          <w:tcPr>
            <w:tcW w:w="1696" w:type="dxa"/>
            <w:tcBorders>
              <w:left w:val="single" w:sz="4" w:space="0" w:color="auto"/>
            </w:tcBorders>
            <w:shd w:val="clear" w:color="auto" w:fill="auto"/>
          </w:tcPr>
          <w:p w14:paraId="24704338" w14:textId="77777777" w:rsidR="002A4DDF" w:rsidRPr="00937C8B" w:rsidRDefault="002A4DDF" w:rsidP="009110ED">
            <w:pPr>
              <w:rPr>
                <w:rFonts w:ascii="Arial" w:hAnsi="Arial" w:cs="Arial"/>
                <w:sz w:val="12"/>
                <w:szCs w:val="12"/>
              </w:rPr>
            </w:pPr>
          </w:p>
        </w:tc>
        <w:tc>
          <w:tcPr>
            <w:tcW w:w="1843" w:type="dxa"/>
            <w:shd w:val="clear" w:color="auto" w:fill="auto"/>
          </w:tcPr>
          <w:p w14:paraId="01CF75B8" w14:textId="77777777" w:rsidR="002A4DDF" w:rsidRPr="00937C8B" w:rsidRDefault="002A4DDF" w:rsidP="009110ED">
            <w:pPr>
              <w:rPr>
                <w:rFonts w:ascii="Arial" w:hAnsi="Arial" w:cs="Arial"/>
                <w:sz w:val="12"/>
                <w:szCs w:val="12"/>
              </w:rPr>
            </w:pPr>
          </w:p>
        </w:tc>
        <w:tc>
          <w:tcPr>
            <w:tcW w:w="2268" w:type="dxa"/>
            <w:shd w:val="clear" w:color="auto" w:fill="F2F2F2"/>
            <w:hideMark/>
          </w:tcPr>
          <w:p w14:paraId="0EE3B411" w14:textId="77777777" w:rsidR="002A4DDF" w:rsidRPr="00937C8B" w:rsidRDefault="002A4DDF" w:rsidP="009110ED">
            <w:pPr>
              <w:rPr>
                <w:rFonts w:ascii="Arial" w:hAnsi="Arial" w:cs="Arial"/>
                <w:sz w:val="12"/>
                <w:szCs w:val="12"/>
              </w:rPr>
            </w:pPr>
            <w:r>
              <w:rPr>
                <w:rFonts w:ascii="Arial" w:hAnsi="Arial"/>
                <w:sz w:val="12"/>
                <w:szCs w:val="12"/>
              </w:rPr>
              <w:t>Jarque</w:t>
            </w:r>
          </w:p>
        </w:tc>
        <w:tc>
          <w:tcPr>
            <w:tcW w:w="2268" w:type="dxa"/>
            <w:tcBorders>
              <w:right w:val="single" w:sz="4" w:space="0" w:color="auto"/>
            </w:tcBorders>
            <w:shd w:val="clear" w:color="auto" w:fill="D9D9D9"/>
            <w:hideMark/>
          </w:tcPr>
          <w:p w14:paraId="507FA7B3" w14:textId="77777777" w:rsidR="002A4DDF" w:rsidRPr="00937C8B" w:rsidRDefault="002A4DDF" w:rsidP="009110ED">
            <w:pPr>
              <w:rPr>
                <w:rFonts w:ascii="Arial" w:hAnsi="Arial" w:cs="Arial"/>
                <w:sz w:val="12"/>
                <w:szCs w:val="12"/>
              </w:rPr>
            </w:pPr>
          </w:p>
        </w:tc>
      </w:tr>
      <w:tr w:rsidR="002A4DDF" w:rsidRPr="00937C8B" w14:paraId="20077840" w14:textId="77777777" w:rsidTr="00935676">
        <w:trPr>
          <w:cantSplit/>
        </w:trPr>
        <w:tc>
          <w:tcPr>
            <w:tcW w:w="1696" w:type="dxa"/>
            <w:tcBorders>
              <w:left w:val="single" w:sz="4" w:space="0" w:color="auto"/>
            </w:tcBorders>
            <w:shd w:val="clear" w:color="auto" w:fill="auto"/>
          </w:tcPr>
          <w:p w14:paraId="68C42463" w14:textId="77777777" w:rsidR="002A4DDF" w:rsidRPr="00937C8B" w:rsidRDefault="002A4DDF" w:rsidP="009110ED">
            <w:pPr>
              <w:rPr>
                <w:rFonts w:ascii="Arial" w:hAnsi="Arial" w:cs="Arial"/>
                <w:sz w:val="12"/>
                <w:szCs w:val="12"/>
              </w:rPr>
            </w:pPr>
          </w:p>
        </w:tc>
        <w:tc>
          <w:tcPr>
            <w:tcW w:w="1843" w:type="dxa"/>
            <w:shd w:val="clear" w:color="auto" w:fill="auto"/>
          </w:tcPr>
          <w:p w14:paraId="47B4CD3F" w14:textId="77777777" w:rsidR="002A4DDF" w:rsidRPr="00937C8B" w:rsidRDefault="002A4DDF" w:rsidP="009110ED">
            <w:pPr>
              <w:rPr>
                <w:rFonts w:ascii="Arial" w:hAnsi="Arial" w:cs="Arial"/>
                <w:sz w:val="12"/>
                <w:szCs w:val="12"/>
              </w:rPr>
            </w:pPr>
          </w:p>
        </w:tc>
        <w:tc>
          <w:tcPr>
            <w:tcW w:w="2268" w:type="dxa"/>
            <w:shd w:val="clear" w:color="auto" w:fill="F2F2F2"/>
            <w:hideMark/>
          </w:tcPr>
          <w:p w14:paraId="7E32B736" w14:textId="77777777" w:rsidR="002A4DDF" w:rsidRPr="00937C8B" w:rsidRDefault="002A4DDF" w:rsidP="009110ED">
            <w:pPr>
              <w:rPr>
                <w:rFonts w:ascii="Arial" w:hAnsi="Arial" w:cs="Arial"/>
                <w:sz w:val="12"/>
                <w:szCs w:val="12"/>
              </w:rPr>
            </w:pPr>
            <w:r>
              <w:rPr>
                <w:rFonts w:ascii="Arial" w:hAnsi="Arial"/>
                <w:sz w:val="12"/>
                <w:szCs w:val="12"/>
              </w:rPr>
              <w:t>La Vilueña</w:t>
            </w:r>
          </w:p>
        </w:tc>
        <w:tc>
          <w:tcPr>
            <w:tcW w:w="2268" w:type="dxa"/>
            <w:tcBorders>
              <w:right w:val="single" w:sz="4" w:space="0" w:color="auto"/>
            </w:tcBorders>
            <w:shd w:val="clear" w:color="auto" w:fill="D9D9D9"/>
            <w:hideMark/>
          </w:tcPr>
          <w:p w14:paraId="7AAB7DD6" w14:textId="77777777" w:rsidR="002A4DDF" w:rsidRPr="00937C8B" w:rsidRDefault="002A4DDF" w:rsidP="009110ED">
            <w:pPr>
              <w:rPr>
                <w:rFonts w:ascii="Arial" w:hAnsi="Arial" w:cs="Arial"/>
                <w:sz w:val="12"/>
                <w:szCs w:val="12"/>
              </w:rPr>
            </w:pPr>
          </w:p>
        </w:tc>
      </w:tr>
      <w:tr w:rsidR="002A4DDF" w:rsidRPr="00937C8B" w14:paraId="5D50CDBA" w14:textId="77777777" w:rsidTr="00935676">
        <w:trPr>
          <w:cantSplit/>
        </w:trPr>
        <w:tc>
          <w:tcPr>
            <w:tcW w:w="1696" w:type="dxa"/>
            <w:tcBorders>
              <w:left w:val="single" w:sz="4" w:space="0" w:color="auto"/>
            </w:tcBorders>
            <w:shd w:val="clear" w:color="auto" w:fill="auto"/>
          </w:tcPr>
          <w:p w14:paraId="599CEC51" w14:textId="77777777" w:rsidR="002A4DDF" w:rsidRPr="00937C8B" w:rsidRDefault="002A4DDF" w:rsidP="009110ED">
            <w:pPr>
              <w:rPr>
                <w:rFonts w:ascii="Arial" w:hAnsi="Arial" w:cs="Arial"/>
                <w:sz w:val="12"/>
                <w:szCs w:val="12"/>
              </w:rPr>
            </w:pPr>
          </w:p>
        </w:tc>
        <w:tc>
          <w:tcPr>
            <w:tcW w:w="1843" w:type="dxa"/>
            <w:shd w:val="clear" w:color="auto" w:fill="auto"/>
          </w:tcPr>
          <w:p w14:paraId="7422BAB0" w14:textId="77777777" w:rsidR="002A4DDF" w:rsidRPr="00937C8B" w:rsidRDefault="002A4DDF" w:rsidP="009110ED">
            <w:pPr>
              <w:rPr>
                <w:rFonts w:ascii="Arial" w:hAnsi="Arial" w:cs="Arial"/>
                <w:sz w:val="12"/>
                <w:szCs w:val="12"/>
              </w:rPr>
            </w:pPr>
          </w:p>
        </w:tc>
        <w:tc>
          <w:tcPr>
            <w:tcW w:w="2268" w:type="dxa"/>
            <w:shd w:val="clear" w:color="auto" w:fill="F2F2F2"/>
            <w:hideMark/>
          </w:tcPr>
          <w:p w14:paraId="7360D4EA" w14:textId="77777777" w:rsidR="002A4DDF" w:rsidRPr="00937C8B" w:rsidRDefault="002A4DDF" w:rsidP="009110ED">
            <w:pPr>
              <w:rPr>
                <w:rFonts w:ascii="Arial" w:hAnsi="Arial" w:cs="Arial"/>
                <w:sz w:val="12"/>
                <w:szCs w:val="12"/>
              </w:rPr>
            </w:pPr>
            <w:r>
              <w:rPr>
                <w:rFonts w:ascii="Arial" w:hAnsi="Arial"/>
                <w:sz w:val="12"/>
                <w:szCs w:val="12"/>
              </w:rPr>
              <w:t>Las Cuerlas</w:t>
            </w:r>
          </w:p>
        </w:tc>
        <w:tc>
          <w:tcPr>
            <w:tcW w:w="2268" w:type="dxa"/>
            <w:tcBorders>
              <w:right w:val="single" w:sz="4" w:space="0" w:color="auto"/>
            </w:tcBorders>
            <w:shd w:val="clear" w:color="auto" w:fill="D9D9D9"/>
            <w:hideMark/>
          </w:tcPr>
          <w:p w14:paraId="64D51343" w14:textId="77777777" w:rsidR="002A4DDF" w:rsidRPr="00937C8B" w:rsidRDefault="002A4DDF" w:rsidP="009110ED">
            <w:pPr>
              <w:rPr>
                <w:rFonts w:ascii="Arial" w:hAnsi="Arial" w:cs="Arial"/>
                <w:sz w:val="12"/>
                <w:szCs w:val="12"/>
              </w:rPr>
            </w:pPr>
          </w:p>
        </w:tc>
      </w:tr>
      <w:tr w:rsidR="002A4DDF" w:rsidRPr="00937C8B" w14:paraId="697D234C" w14:textId="77777777" w:rsidTr="00935676">
        <w:trPr>
          <w:cantSplit/>
        </w:trPr>
        <w:tc>
          <w:tcPr>
            <w:tcW w:w="1696" w:type="dxa"/>
            <w:tcBorders>
              <w:left w:val="single" w:sz="4" w:space="0" w:color="auto"/>
            </w:tcBorders>
            <w:shd w:val="clear" w:color="auto" w:fill="auto"/>
          </w:tcPr>
          <w:p w14:paraId="7FF130FB" w14:textId="77777777" w:rsidR="002A4DDF" w:rsidRPr="00937C8B" w:rsidRDefault="002A4DDF" w:rsidP="009110ED">
            <w:pPr>
              <w:rPr>
                <w:rFonts w:ascii="Arial" w:hAnsi="Arial" w:cs="Arial"/>
                <w:sz w:val="12"/>
                <w:szCs w:val="12"/>
              </w:rPr>
            </w:pPr>
          </w:p>
        </w:tc>
        <w:tc>
          <w:tcPr>
            <w:tcW w:w="1843" w:type="dxa"/>
            <w:shd w:val="clear" w:color="auto" w:fill="auto"/>
          </w:tcPr>
          <w:p w14:paraId="62F11A46" w14:textId="77777777" w:rsidR="002A4DDF" w:rsidRPr="00937C8B" w:rsidRDefault="002A4DDF" w:rsidP="009110ED">
            <w:pPr>
              <w:rPr>
                <w:rFonts w:ascii="Arial" w:hAnsi="Arial" w:cs="Arial"/>
                <w:sz w:val="12"/>
                <w:szCs w:val="12"/>
              </w:rPr>
            </w:pPr>
          </w:p>
        </w:tc>
        <w:tc>
          <w:tcPr>
            <w:tcW w:w="2268" w:type="dxa"/>
            <w:shd w:val="clear" w:color="auto" w:fill="F2F2F2"/>
            <w:hideMark/>
          </w:tcPr>
          <w:p w14:paraId="5689CA77" w14:textId="77777777" w:rsidR="002A4DDF" w:rsidRPr="00937C8B" w:rsidRDefault="002A4DDF" w:rsidP="009110ED">
            <w:pPr>
              <w:rPr>
                <w:rFonts w:ascii="Arial" w:hAnsi="Arial" w:cs="Arial"/>
                <w:sz w:val="12"/>
                <w:szCs w:val="12"/>
              </w:rPr>
            </w:pPr>
            <w:r>
              <w:rPr>
                <w:rFonts w:ascii="Arial" w:hAnsi="Arial"/>
                <w:sz w:val="12"/>
                <w:szCs w:val="12"/>
              </w:rPr>
              <w:t>Litago</w:t>
            </w:r>
          </w:p>
        </w:tc>
        <w:tc>
          <w:tcPr>
            <w:tcW w:w="2268" w:type="dxa"/>
            <w:tcBorders>
              <w:right w:val="single" w:sz="4" w:space="0" w:color="auto"/>
            </w:tcBorders>
            <w:shd w:val="clear" w:color="auto" w:fill="D9D9D9"/>
            <w:hideMark/>
          </w:tcPr>
          <w:p w14:paraId="7F292BAA" w14:textId="77777777" w:rsidR="002A4DDF" w:rsidRPr="00937C8B" w:rsidRDefault="002A4DDF" w:rsidP="009110ED">
            <w:pPr>
              <w:rPr>
                <w:rFonts w:ascii="Arial" w:hAnsi="Arial" w:cs="Arial"/>
                <w:sz w:val="12"/>
                <w:szCs w:val="12"/>
              </w:rPr>
            </w:pPr>
          </w:p>
        </w:tc>
      </w:tr>
      <w:tr w:rsidR="002A4DDF" w:rsidRPr="00937C8B" w14:paraId="612D6D7E" w14:textId="77777777" w:rsidTr="00935676">
        <w:trPr>
          <w:cantSplit/>
        </w:trPr>
        <w:tc>
          <w:tcPr>
            <w:tcW w:w="1696" w:type="dxa"/>
            <w:tcBorders>
              <w:left w:val="single" w:sz="4" w:space="0" w:color="auto"/>
            </w:tcBorders>
            <w:shd w:val="clear" w:color="auto" w:fill="auto"/>
          </w:tcPr>
          <w:p w14:paraId="00C01545" w14:textId="77777777" w:rsidR="002A4DDF" w:rsidRPr="00937C8B" w:rsidRDefault="002A4DDF" w:rsidP="009110ED">
            <w:pPr>
              <w:rPr>
                <w:rFonts w:ascii="Arial" w:hAnsi="Arial" w:cs="Arial"/>
                <w:sz w:val="12"/>
                <w:szCs w:val="12"/>
              </w:rPr>
            </w:pPr>
          </w:p>
        </w:tc>
        <w:tc>
          <w:tcPr>
            <w:tcW w:w="1843" w:type="dxa"/>
            <w:shd w:val="clear" w:color="auto" w:fill="auto"/>
          </w:tcPr>
          <w:p w14:paraId="63FCB8CD" w14:textId="77777777" w:rsidR="002A4DDF" w:rsidRPr="00937C8B" w:rsidRDefault="002A4DDF" w:rsidP="009110ED">
            <w:pPr>
              <w:rPr>
                <w:rFonts w:ascii="Arial" w:hAnsi="Arial" w:cs="Arial"/>
                <w:sz w:val="12"/>
                <w:szCs w:val="12"/>
              </w:rPr>
            </w:pPr>
          </w:p>
        </w:tc>
        <w:tc>
          <w:tcPr>
            <w:tcW w:w="2268" w:type="dxa"/>
            <w:shd w:val="clear" w:color="auto" w:fill="F2F2F2"/>
            <w:hideMark/>
          </w:tcPr>
          <w:p w14:paraId="714A8E47" w14:textId="77777777" w:rsidR="002A4DDF" w:rsidRPr="00937C8B" w:rsidRDefault="002A4DDF" w:rsidP="009110ED">
            <w:pPr>
              <w:rPr>
                <w:rFonts w:ascii="Arial" w:hAnsi="Arial" w:cs="Arial"/>
                <w:sz w:val="12"/>
                <w:szCs w:val="12"/>
              </w:rPr>
            </w:pPr>
            <w:r>
              <w:rPr>
                <w:rFonts w:ascii="Arial" w:hAnsi="Arial"/>
                <w:sz w:val="12"/>
                <w:szCs w:val="12"/>
              </w:rPr>
              <w:t>Longares</w:t>
            </w:r>
          </w:p>
        </w:tc>
        <w:tc>
          <w:tcPr>
            <w:tcW w:w="2268" w:type="dxa"/>
            <w:tcBorders>
              <w:right w:val="single" w:sz="4" w:space="0" w:color="auto"/>
            </w:tcBorders>
            <w:shd w:val="clear" w:color="auto" w:fill="D9D9D9"/>
            <w:hideMark/>
          </w:tcPr>
          <w:p w14:paraId="54411E1F" w14:textId="77777777" w:rsidR="002A4DDF" w:rsidRPr="00937C8B" w:rsidRDefault="002A4DDF" w:rsidP="009110ED">
            <w:pPr>
              <w:rPr>
                <w:rFonts w:ascii="Arial" w:hAnsi="Arial" w:cs="Arial"/>
                <w:sz w:val="12"/>
                <w:szCs w:val="12"/>
              </w:rPr>
            </w:pPr>
          </w:p>
        </w:tc>
      </w:tr>
      <w:tr w:rsidR="002A4DDF" w:rsidRPr="00937C8B" w14:paraId="290AEB99" w14:textId="77777777" w:rsidTr="00935676">
        <w:trPr>
          <w:cantSplit/>
        </w:trPr>
        <w:tc>
          <w:tcPr>
            <w:tcW w:w="1696" w:type="dxa"/>
            <w:tcBorders>
              <w:left w:val="single" w:sz="4" w:space="0" w:color="auto"/>
            </w:tcBorders>
            <w:shd w:val="clear" w:color="auto" w:fill="auto"/>
          </w:tcPr>
          <w:p w14:paraId="26CE59A2" w14:textId="77777777" w:rsidR="002A4DDF" w:rsidRPr="00937C8B" w:rsidRDefault="002A4DDF" w:rsidP="009110ED">
            <w:pPr>
              <w:rPr>
                <w:rFonts w:ascii="Arial" w:hAnsi="Arial" w:cs="Arial"/>
                <w:sz w:val="12"/>
                <w:szCs w:val="12"/>
              </w:rPr>
            </w:pPr>
          </w:p>
        </w:tc>
        <w:tc>
          <w:tcPr>
            <w:tcW w:w="1843" w:type="dxa"/>
            <w:shd w:val="clear" w:color="auto" w:fill="auto"/>
          </w:tcPr>
          <w:p w14:paraId="5551740B" w14:textId="77777777" w:rsidR="002A4DDF" w:rsidRPr="00937C8B" w:rsidRDefault="002A4DDF" w:rsidP="009110ED">
            <w:pPr>
              <w:rPr>
                <w:rFonts w:ascii="Arial" w:hAnsi="Arial" w:cs="Arial"/>
                <w:sz w:val="12"/>
                <w:szCs w:val="12"/>
              </w:rPr>
            </w:pPr>
          </w:p>
        </w:tc>
        <w:tc>
          <w:tcPr>
            <w:tcW w:w="2268" w:type="dxa"/>
            <w:shd w:val="clear" w:color="auto" w:fill="F2F2F2"/>
            <w:hideMark/>
          </w:tcPr>
          <w:p w14:paraId="30DD9BD2" w14:textId="77777777" w:rsidR="002A4DDF" w:rsidRPr="00937C8B" w:rsidRDefault="002A4DDF" w:rsidP="009110ED">
            <w:pPr>
              <w:rPr>
                <w:rFonts w:ascii="Arial" w:hAnsi="Arial" w:cs="Arial"/>
                <w:sz w:val="12"/>
                <w:szCs w:val="12"/>
              </w:rPr>
            </w:pPr>
            <w:r>
              <w:rPr>
                <w:rFonts w:ascii="Arial" w:hAnsi="Arial"/>
                <w:sz w:val="12"/>
                <w:szCs w:val="12"/>
              </w:rPr>
              <w:t>Longás</w:t>
            </w:r>
          </w:p>
        </w:tc>
        <w:tc>
          <w:tcPr>
            <w:tcW w:w="2268" w:type="dxa"/>
            <w:tcBorders>
              <w:right w:val="single" w:sz="4" w:space="0" w:color="auto"/>
            </w:tcBorders>
            <w:shd w:val="clear" w:color="auto" w:fill="D9D9D9"/>
            <w:hideMark/>
          </w:tcPr>
          <w:p w14:paraId="40AF8841" w14:textId="77777777" w:rsidR="002A4DDF" w:rsidRPr="00937C8B" w:rsidRDefault="002A4DDF" w:rsidP="009110ED">
            <w:pPr>
              <w:rPr>
                <w:rFonts w:ascii="Arial" w:hAnsi="Arial" w:cs="Arial"/>
                <w:sz w:val="12"/>
                <w:szCs w:val="12"/>
              </w:rPr>
            </w:pPr>
          </w:p>
        </w:tc>
      </w:tr>
      <w:tr w:rsidR="002A4DDF" w:rsidRPr="00937C8B" w14:paraId="13206131" w14:textId="77777777" w:rsidTr="00935676">
        <w:trPr>
          <w:cantSplit/>
        </w:trPr>
        <w:tc>
          <w:tcPr>
            <w:tcW w:w="1696" w:type="dxa"/>
            <w:tcBorders>
              <w:left w:val="single" w:sz="4" w:space="0" w:color="auto"/>
            </w:tcBorders>
            <w:shd w:val="clear" w:color="auto" w:fill="auto"/>
          </w:tcPr>
          <w:p w14:paraId="22FD1916" w14:textId="77777777" w:rsidR="002A4DDF" w:rsidRPr="00937C8B" w:rsidRDefault="002A4DDF" w:rsidP="009110ED">
            <w:pPr>
              <w:rPr>
                <w:rFonts w:ascii="Arial" w:hAnsi="Arial" w:cs="Arial"/>
                <w:sz w:val="12"/>
                <w:szCs w:val="12"/>
              </w:rPr>
            </w:pPr>
          </w:p>
        </w:tc>
        <w:tc>
          <w:tcPr>
            <w:tcW w:w="1843" w:type="dxa"/>
            <w:shd w:val="clear" w:color="auto" w:fill="auto"/>
          </w:tcPr>
          <w:p w14:paraId="62B825ED" w14:textId="77777777" w:rsidR="002A4DDF" w:rsidRPr="00937C8B" w:rsidRDefault="002A4DDF" w:rsidP="009110ED">
            <w:pPr>
              <w:rPr>
                <w:rFonts w:ascii="Arial" w:hAnsi="Arial" w:cs="Arial"/>
                <w:sz w:val="12"/>
                <w:szCs w:val="12"/>
              </w:rPr>
            </w:pPr>
          </w:p>
        </w:tc>
        <w:tc>
          <w:tcPr>
            <w:tcW w:w="2268" w:type="dxa"/>
            <w:shd w:val="clear" w:color="auto" w:fill="F2F2F2"/>
            <w:hideMark/>
          </w:tcPr>
          <w:p w14:paraId="4D93D322" w14:textId="77777777" w:rsidR="002A4DDF" w:rsidRPr="00937C8B" w:rsidRDefault="002A4DDF" w:rsidP="009110ED">
            <w:pPr>
              <w:rPr>
                <w:rFonts w:ascii="Arial" w:hAnsi="Arial" w:cs="Arial"/>
                <w:sz w:val="12"/>
                <w:szCs w:val="12"/>
              </w:rPr>
            </w:pPr>
            <w:r>
              <w:rPr>
                <w:rFonts w:ascii="Arial" w:hAnsi="Arial"/>
                <w:sz w:val="12"/>
                <w:szCs w:val="12"/>
              </w:rPr>
              <w:t>Los Fayos</w:t>
            </w:r>
          </w:p>
        </w:tc>
        <w:tc>
          <w:tcPr>
            <w:tcW w:w="2268" w:type="dxa"/>
            <w:tcBorders>
              <w:right w:val="single" w:sz="4" w:space="0" w:color="auto"/>
            </w:tcBorders>
            <w:shd w:val="clear" w:color="auto" w:fill="D9D9D9"/>
            <w:hideMark/>
          </w:tcPr>
          <w:p w14:paraId="3B17979E" w14:textId="77777777" w:rsidR="002A4DDF" w:rsidRPr="00937C8B" w:rsidRDefault="002A4DDF" w:rsidP="009110ED">
            <w:pPr>
              <w:rPr>
                <w:rFonts w:ascii="Arial" w:hAnsi="Arial" w:cs="Arial"/>
                <w:sz w:val="12"/>
                <w:szCs w:val="12"/>
              </w:rPr>
            </w:pPr>
          </w:p>
        </w:tc>
      </w:tr>
      <w:tr w:rsidR="002A4DDF" w:rsidRPr="00937C8B" w14:paraId="275A0ACA" w14:textId="77777777" w:rsidTr="00935676">
        <w:trPr>
          <w:cantSplit/>
        </w:trPr>
        <w:tc>
          <w:tcPr>
            <w:tcW w:w="1696" w:type="dxa"/>
            <w:tcBorders>
              <w:left w:val="single" w:sz="4" w:space="0" w:color="auto"/>
            </w:tcBorders>
            <w:shd w:val="clear" w:color="auto" w:fill="auto"/>
          </w:tcPr>
          <w:p w14:paraId="5C3D51A4" w14:textId="77777777" w:rsidR="002A4DDF" w:rsidRPr="00937C8B" w:rsidRDefault="002A4DDF" w:rsidP="009110ED">
            <w:pPr>
              <w:rPr>
                <w:rFonts w:ascii="Arial" w:hAnsi="Arial" w:cs="Arial"/>
                <w:sz w:val="12"/>
                <w:szCs w:val="12"/>
              </w:rPr>
            </w:pPr>
          </w:p>
        </w:tc>
        <w:tc>
          <w:tcPr>
            <w:tcW w:w="1843" w:type="dxa"/>
            <w:shd w:val="clear" w:color="auto" w:fill="auto"/>
          </w:tcPr>
          <w:p w14:paraId="3771ED4D" w14:textId="77777777" w:rsidR="002A4DDF" w:rsidRPr="00937C8B" w:rsidRDefault="002A4DDF" w:rsidP="009110ED">
            <w:pPr>
              <w:rPr>
                <w:rFonts w:ascii="Arial" w:hAnsi="Arial" w:cs="Arial"/>
                <w:sz w:val="12"/>
                <w:szCs w:val="12"/>
              </w:rPr>
            </w:pPr>
          </w:p>
        </w:tc>
        <w:tc>
          <w:tcPr>
            <w:tcW w:w="2268" w:type="dxa"/>
            <w:shd w:val="clear" w:color="auto" w:fill="F2F2F2"/>
            <w:hideMark/>
          </w:tcPr>
          <w:p w14:paraId="28A96BF4" w14:textId="77777777" w:rsidR="002A4DDF" w:rsidRPr="00937C8B" w:rsidRDefault="002A4DDF" w:rsidP="009110ED">
            <w:pPr>
              <w:rPr>
                <w:rFonts w:ascii="Arial" w:hAnsi="Arial" w:cs="Arial"/>
                <w:sz w:val="12"/>
                <w:szCs w:val="12"/>
              </w:rPr>
            </w:pPr>
            <w:r>
              <w:rPr>
                <w:rFonts w:ascii="Arial" w:hAnsi="Arial"/>
                <w:sz w:val="12"/>
                <w:szCs w:val="12"/>
              </w:rPr>
              <w:t>Los Pintanos</w:t>
            </w:r>
          </w:p>
        </w:tc>
        <w:tc>
          <w:tcPr>
            <w:tcW w:w="2268" w:type="dxa"/>
            <w:tcBorders>
              <w:right w:val="single" w:sz="4" w:space="0" w:color="auto"/>
            </w:tcBorders>
            <w:shd w:val="clear" w:color="auto" w:fill="D9D9D9"/>
            <w:hideMark/>
          </w:tcPr>
          <w:p w14:paraId="069F4656" w14:textId="77777777" w:rsidR="002A4DDF" w:rsidRPr="00937C8B" w:rsidRDefault="002A4DDF" w:rsidP="009110ED">
            <w:pPr>
              <w:rPr>
                <w:rFonts w:ascii="Arial" w:hAnsi="Arial" w:cs="Arial"/>
                <w:sz w:val="12"/>
                <w:szCs w:val="12"/>
              </w:rPr>
            </w:pPr>
          </w:p>
        </w:tc>
      </w:tr>
      <w:tr w:rsidR="002A4DDF" w:rsidRPr="00937C8B" w14:paraId="3C949EC5" w14:textId="77777777" w:rsidTr="00935676">
        <w:trPr>
          <w:cantSplit/>
        </w:trPr>
        <w:tc>
          <w:tcPr>
            <w:tcW w:w="1696" w:type="dxa"/>
            <w:tcBorders>
              <w:left w:val="single" w:sz="4" w:space="0" w:color="auto"/>
            </w:tcBorders>
            <w:shd w:val="clear" w:color="auto" w:fill="auto"/>
          </w:tcPr>
          <w:p w14:paraId="445CAE0A" w14:textId="77777777" w:rsidR="002A4DDF" w:rsidRPr="00937C8B" w:rsidRDefault="002A4DDF" w:rsidP="009110ED">
            <w:pPr>
              <w:rPr>
                <w:rFonts w:ascii="Arial" w:hAnsi="Arial" w:cs="Arial"/>
                <w:sz w:val="12"/>
                <w:szCs w:val="12"/>
              </w:rPr>
            </w:pPr>
          </w:p>
        </w:tc>
        <w:tc>
          <w:tcPr>
            <w:tcW w:w="1843" w:type="dxa"/>
            <w:shd w:val="clear" w:color="auto" w:fill="auto"/>
          </w:tcPr>
          <w:p w14:paraId="328D9A7D" w14:textId="77777777" w:rsidR="002A4DDF" w:rsidRPr="00937C8B" w:rsidRDefault="002A4DDF" w:rsidP="009110ED">
            <w:pPr>
              <w:rPr>
                <w:rFonts w:ascii="Arial" w:hAnsi="Arial" w:cs="Arial"/>
                <w:sz w:val="12"/>
                <w:szCs w:val="12"/>
              </w:rPr>
            </w:pPr>
          </w:p>
        </w:tc>
        <w:tc>
          <w:tcPr>
            <w:tcW w:w="2268" w:type="dxa"/>
            <w:shd w:val="clear" w:color="auto" w:fill="F2F2F2"/>
            <w:hideMark/>
          </w:tcPr>
          <w:p w14:paraId="7D6C739D" w14:textId="77777777" w:rsidR="002A4DDF" w:rsidRPr="00937C8B" w:rsidRDefault="002A4DDF" w:rsidP="009110ED">
            <w:pPr>
              <w:rPr>
                <w:rFonts w:ascii="Arial" w:hAnsi="Arial" w:cs="Arial"/>
                <w:sz w:val="12"/>
                <w:szCs w:val="12"/>
              </w:rPr>
            </w:pPr>
            <w:r>
              <w:rPr>
                <w:rFonts w:ascii="Arial" w:hAnsi="Arial"/>
                <w:sz w:val="12"/>
                <w:szCs w:val="12"/>
              </w:rPr>
              <w:t>Luceni</w:t>
            </w:r>
          </w:p>
        </w:tc>
        <w:tc>
          <w:tcPr>
            <w:tcW w:w="2268" w:type="dxa"/>
            <w:tcBorders>
              <w:right w:val="single" w:sz="4" w:space="0" w:color="auto"/>
            </w:tcBorders>
            <w:shd w:val="clear" w:color="auto" w:fill="D9D9D9"/>
            <w:hideMark/>
          </w:tcPr>
          <w:p w14:paraId="449C55CE" w14:textId="77777777" w:rsidR="002A4DDF" w:rsidRPr="00937C8B" w:rsidRDefault="002A4DDF" w:rsidP="009110ED">
            <w:pPr>
              <w:rPr>
                <w:rFonts w:ascii="Arial" w:hAnsi="Arial" w:cs="Arial"/>
                <w:sz w:val="12"/>
                <w:szCs w:val="12"/>
              </w:rPr>
            </w:pPr>
          </w:p>
        </w:tc>
      </w:tr>
      <w:tr w:rsidR="002A4DDF" w:rsidRPr="00937C8B" w14:paraId="2F890BCE" w14:textId="77777777" w:rsidTr="00935676">
        <w:trPr>
          <w:cantSplit/>
        </w:trPr>
        <w:tc>
          <w:tcPr>
            <w:tcW w:w="1696" w:type="dxa"/>
            <w:tcBorders>
              <w:left w:val="single" w:sz="4" w:space="0" w:color="auto"/>
            </w:tcBorders>
            <w:shd w:val="clear" w:color="auto" w:fill="auto"/>
          </w:tcPr>
          <w:p w14:paraId="2C9BCABA" w14:textId="77777777" w:rsidR="002A4DDF" w:rsidRPr="00937C8B" w:rsidRDefault="002A4DDF" w:rsidP="009110ED">
            <w:pPr>
              <w:rPr>
                <w:rFonts w:ascii="Arial" w:hAnsi="Arial" w:cs="Arial"/>
                <w:sz w:val="12"/>
                <w:szCs w:val="12"/>
              </w:rPr>
            </w:pPr>
          </w:p>
        </w:tc>
        <w:tc>
          <w:tcPr>
            <w:tcW w:w="1843" w:type="dxa"/>
            <w:shd w:val="clear" w:color="auto" w:fill="auto"/>
          </w:tcPr>
          <w:p w14:paraId="6FBD0F45" w14:textId="77777777" w:rsidR="002A4DDF" w:rsidRPr="00937C8B" w:rsidRDefault="002A4DDF" w:rsidP="009110ED">
            <w:pPr>
              <w:rPr>
                <w:rFonts w:ascii="Arial" w:hAnsi="Arial" w:cs="Arial"/>
                <w:sz w:val="12"/>
                <w:szCs w:val="12"/>
              </w:rPr>
            </w:pPr>
          </w:p>
        </w:tc>
        <w:tc>
          <w:tcPr>
            <w:tcW w:w="2268" w:type="dxa"/>
            <w:shd w:val="clear" w:color="auto" w:fill="F2F2F2"/>
            <w:hideMark/>
          </w:tcPr>
          <w:p w14:paraId="42FFB1C4" w14:textId="77777777" w:rsidR="002A4DDF" w:rsidRPr="00937C8B" w:rsidRDefault="002A4DDF" w:rsidP="009110ED">
            <w:pPr>
              <w:rPr>
                <w:rFonts w:ascii="Arial" w:hAnsi="Arial" w:cs="Arial"/>
                <w:sz w:val="12"/>
                <w:szCs w:val="12"/>
              </w:rPr>
            </w:pPr>
            <w:r>
              <w:rPr>
                <w:rFonts w:ascii="Arial" w:hAnsi="Arial"/>
                <w:sz w:val="12"/>
                <w:szCs w:val="12"/>
              </w:rPr>
              <w:t>Luesma</w:t>
            </w:r>
          </w:p>
        </w:tc>
        <w:tc>
          <w:tcPr>
            <w:tcW w:w="2268" w:type="dxa"/>
            <w:tcBorders>
              <w:right w:val="single" w:sz="4" w:space="0" w:color="auto"/>
            </w:tcBorders>
            <w:shd w:val="clear" w:color="auto" w:fill="D9D9D9"/>
            <w:hideMark/>
          </w:tcPr>
          <w:p w14:paraId="66539507" w14:textId="77777777" w:rsidR="002A4DDF" w:rsidRPr="00937C8B" w:rsidRDefault="002A4DDF" w:rsidP="009110ED">
            <w:pPr>
              <w:rPr>
                <w:rFonts w:ascii="Arial" w:hAnsi="Arial" w:cs="Arial"/>
                <w:sz w:val="12"/>
                <w:szCs w:val="12"/>
              </w:rPr>
            </w:pPr>
          </w:p>
        </w:tc>
      </w:tr>
      <w:tr w:rsidR="002A4DDF" w:rsidRPr="00937C8B" w14:paraId="16D12E37" w14:textId="77777777" w:rsidTr="00935676">
        <w:trPr>
          <w:cantSplit/>
        </w:trPr>
        <w:tc>
          <w:tcPr>
            <w:tcW w:w="1696" w:type="dxa"/>
            <w:tcBorders>
              <w:left w:val="single" w:sz="4" w:space="0" w:color="auto"/>
            </w:tcBorders>
            <w:shd w:val="clear" w:color="auto" w:fill="auto"/>
          </w:tcPr>
          <w:p w14:paraId="3796A4A5" w14:textId="77777777" w:rsidR="002A4DDF" w:rsidRPr="00937C8B" w:rsidRDefault="002A4DDF" w:rsidP="009110ED">
            <w:pPr>
              <w:rPr>
                <w:rFonts w:ascii="Arial" w:hAnsi="Arial" w:cs="Arial"/>
                <w:sz w:val="12"/>
                <w:szCs w:val="12"/>
              </w:rPr>
            </w:pPr>
          </w:p>
        </w:tc>
        <w:tc>
          <w:tcPr>
            <w:tcW w:w="1843" w:type="dxa"/>
            <w:shd w:val="clear" w:color="auto" w:fill="auto"/>
          </w:tcPr>
          <w:p w14:paraId="29371A5F" w14:textId="77777777" w:rsidR="002A4DDF" w:rsidRPr="00937C8B" w:rsidRDefault="002A4DDF" w:rsidP="009110ED">
            <w:pPr>
              <w:rPr>
                <w:rFonts w:ascii="Arial" w:hAnsi="Arial" w:cs="Arial"/>
                <w:sz w:val="12"/>
                <w:szCs w:val="12"/>
              </w:rPr>
            </w:pPr>
          </w:p>
        </w:tc>
        <w:tc>
          <w:tcPr>
            <w:tcW w:w="2268" w:type="dxa"/>
            <w:shd w:val="clear" w:color="auto" w:fill="F2F2F2"/>
            <w:hideMark/>
          </w:tcPr>
          <w:p w14:paraId="41FB6C7A" w14:textId="77777777" w:rsidR="002A4DDF" w:rsidRPr="00937C8B" w:rsidRDefault="002A4DDF" w:rsidP="009110ED">
            <w:pPr>
              <w:rPr>
                <w:rFonts w:ascii="Arial" w:hAnsi="Arial" w:cs="Arial"/>
                <w:sz w:val="12"/>
                <w:szCs w:val="12"/>
              </w:rPr>
            </w:pPr>
            <w:r>
              <w:rPr>
                <w:rFonts w:ascii="Arial" w:hAnsi="Arial"/>
                <w:sz w:val="12"/>
                <w:szCs w:val="12"/>
              </w:rPr>
              <w:t>Maella</w:t>
            </w:r>
          </w:p>
        </w:tc>
        <w:tc>
          <w:tcPr>
            <w:tcW w:w="2268" w:type="dxa"/>
            <w:tcBorders>
              <w:right w:val="single" w:sz="4" w:space="0" w:color="auto"/>
            </w:tcBorders>
            <w:shd w:val="clear" w:color="auto" w:fill="D9D9D9"/>
            <w:hideMark/>
          </w:tcPr>
          <w:p w14:paraId="657D6679" w14:textId="77777777" w:rsidR="002A4DDF" w:rsidRPr="00937C8B" w:rsidRDefault="002A4DDF" w:rsidP="009110ED">
            <w:pPr>
              <w:rPr>
                <w:rFonts w:ascii="Arial" w:hAnsi="Arial" w:cs="Arial"/>
                <w:sz w:val="12"/>
                <w:szCs w:val="12"/>
              </w:rPr>
            </w:pPr>
          </w:p>
        </w:tc>
      </w:tr>
      <w:tr w:rsidR="002A4DDF" w:rsidRPr="00937C8B" w14:paraId="5525456F" w14:textId="77777777" w:rsidTr="00935676">
        <w:trPr>
          <w:cantSplit/>
        </w:trPr>
        <w:tc>
          <w:tcPr>
            <w:tcW w:w="1696" w:type="dxa"/>
            <w:tcBorders>
              <w:left w:val="single" w:sz="4" w:space="0" w:color="auto"/>
            </w:tcBorders>
            <w:shd w:val="clear" w:color="auto" w:fill="auto"/>
          </w:tcPr>
          <w:p w14:paraId="71E6A9ED" w14:textId="77777777" w:rsidR="002A4DDF" w:rsidRPr="00937C8B" w:rsidRDefault="002A4DDF" w:rsidP="009110ED">
            <w:pPr>
              <w:rPr>
                <w:rFonts w:ascii="Arial" w:hAnsi="Arial" w:cs="Arial"/>
                <w:sz w:val="12"/>
                <w:szCs w:val="12"/>
              </w:rPr>
            </w:pPr>
          </w:p>
        </w:tc>
        <w:tc>
          <w:tcPr>
            <w:tcW w:w="1843" w:type="dxa"/>
            <w:shd w:val="clear" w:color="auto" w:fill="auto"/>
          </w:tcPr>
          <w:p w14:paraId="3911E0E9" w14:textId="77777777" w:rsidR="002A4DDF" w:rsidRPr="00937C8B" w:rsidRDefault="002A4DDF" w:rsidP="009110ED">
            <w:pPr>
              <w:rPr>
                <w:rFonts w:ascii="Arial" w:hAnsi="Arial" w:cs="Arial"/>
                <w:sz w:val="12"/>
                <w:szCs w:val="12"/>
              </w:rPr>
            </w:pPr>
          </w:p>
        </w:tc>
        <w:tc>
          <w:tcPr>
            <w:tcW w:w="2268" w:type="dxa"/>
            <w:shd w:val="clear" w:color="auto" w:fill="F2F2F2"/>
            <w:hideMark/>
          </w:tcPr>
          <w:p w14:paraId="7DEE0F33" w14:textId="77777777" w:rsidR="002A4DDF" w:rsidRPr="00937C8B" w:rsidRDefault="002A4DDF" w:rsidP="009110ED">
            <w:pPr>
              <w:rPr>
                <w:rFonts w:ascii="Arial" w:hAnsi="Arial" w:cs="Arial"/>
                <w:sz w:val="12"/>
                <w:szCs w:val="12"/>
              </w:rPr>
            </w:pPr>
            <w:r>
              <w:rPr>
                <w:rFonts w:ascii="Arial" w:hAnsi="Arial"/>
                <w:sz w:val="12"/>
                <w:szCs w:val="12"/>
              </w:rPr>
              <w:t>Mainar</w:t>
            </w:r>
          </w:p>
        </w:tc>
        <w:tc>
          <w:tcPr>
            <w:tcW w:w="2268" w:type="dxa"/>
            <w:tcBorders>
              <w:right w:val="single" w:sz="4" w:space="0" w:color="auto"/>
            </w:tcBorders>
            <w:shd w:val="clear" w:color="auto" w:fill="D9D9D9"/>
            <w:hideMark/>
          </w:tcPr>
          <w:p w14:paraId="30CA1F73" w14:textId="77777777" w:rsidR="002A4DDF" w:rsidRPr="00937C8B" w:rsidRDefault="002A4DDF" w:rsidP="009110ED">
            <w:pPr>
              <w:rPr>
                <w:rFonts w:ascii="Arial" w:hAnsi="Arial" w:cs="Arial"/>
                <w:sz w:val="12"/>
                <w:szCs w:val="12"/>
              </w:rPr>
            </w:pPr>
          </w:p>
        </w:tc>
      </w:tr>
      <w:tr w:rsidR="002A4DDF" w:rsidRPr="00937C8B" w14:paraId="11241F3C" w14:textId="77777777" w:rsidTr="00935676">
        <w:trPr>
          <w:cantSplit/>
        </w:trPr>
        <w:tc>
          <w:tcPr>
            <w:tcW w:w="1696" w:type="dxa"/>
            <w:tcBorders>
              <w:left w:val="single" w:sz="4" w:space="0" w:color="auto"/>
            </w:tcBorders>
            <w:shd w:val="clear" w:color="auto" w:fill="auto"/>
          </w:tcPr>
          <w:p w14:paraId="11E5982E" w14:textId="77777777" w:rsidR="002A4DDF" w:rsidRPr="00937C8B" w:rsidRDefault="002A4DDF" w:rsidP="009110ED">
            <w:pPr>
              <w:rPr>
                <w:rFonts w:ascii="Arial" w:hAnsi="Arial" w:cs="Arial"/>
                <w:sz w:val="12"/>
                <w:szCs w:val="12"/>
              </w:rPr>
            </w:pPr>
          </w:p>
        </w:tc>
        <w:tc>
          <w:tcPr>
            <w:tcW w:w="1843" w:type="dxa"/>
            <w:shd w:val="clear" w:color="auto" w:fill="auto"/>
          </w:tcPr>
          <w:p w14:paraId="300BE2EC" w14:textId="77777777" w:rsidR="002A4DDF" w:rsidRPr="00937C8B" w:rsidRDefault="002A4DDF" w:rsidP="009110ED">
            <w:pPr>
              <w:rPr>
                <w:rFonts w:ascii="Arial" w:hAnsi="Arial" w:cs="Arial"/>
                <w:sz w:val="12"/>
                <w:szCs w:val="12"/>
              </w:rPr>
            </w:pPr>
          </w:p>
        </w:tc>
        <w:tc>
          <w:tcPr>
            <w:tcW w:w="2268" w:type="dxa"/>
            <w:shd w:val="clear" w:color="auto" w:fill="F2F2F2"/>
            <w:hideMark/>
          </w:tcPr>
          <w:p w14:paraId="530D32C7" w14:textId="77777777" w:rsidR="002A4DDF" w:rsidRPr="00937C8B" w:rsidRDefault="002A4DDF" w:rsidP="009110ED">
            <w:pPr>
              <w:rPr>
                <w:rFonts w:ascii="Arial" w:hAnsi="Arial" w:cs="Arial"/>
                <w:sz w:val="12"/>
                <w:szCs w:val="12"/>
              </w:rPr>
            </w:pPr>
            <w:r>
              <w:rPr>
                <w:rFonts w:ascii="Arial" w:hAnsi="Arial"/>
                <w:sz w:val="12"/>
                <w:szCs w:val="12"/>
              </w:rPr>
              <w:t>Malanquilla</w:t>
            </w:r>
          </w:p>
        </w:tc>
        <w:tc>
          <w:tcPr>
            <w:tcW w:w="2268" w:type="dxa"/>
            <w:tcBorders>
              <w:right w:val="single" w:sz="4" w:space="0" w:color="auto"/>
            </w:tcBorders>
            <w:shd w:val="clear" w:color="auto" w:fill="D9D9D9"/>
            <w:hideMark/>
          </w:tcPr>
          <w:p w14:paraId="3C61DB3A" w14:textId="77777777" w:rsidR="002A4DDF" w:rsidRPr="00937C8B" w:rsidRDefault="002A4DDF" w:rsidP="009110ED">
            <w:pPr>
              <w:rPr>
                <w:rFonts w:ascii="Arial" w:hAnsi="Arial" w:cs="Arial"/>
                <w:sz w:val="12"/>
                <w:szCs w:val="12"/>
              </w:rPr>
            </w:pPr>
          </w:p>
        </w:tc>
      </w:tr>
      <w:tr w:rsidR="002A4DDF" w:rsidRPr="00937C8B" w14:paraId="18899C12" w14:textId="77777777" w:rsidTr="00935676">
        <w:trPr>
          <w:cantSplit/>
        </w:trPr>
        <w:tc>
          <w:tcPr>
            <w:tcW w:w="1696" w:type="dxa"/>
            <w:tcBorders>
              <w:left w:val="single" w:sz="4" w:space="0" w:color="auto"/>
            </w:tcBorders>
            <w:shd w:val="clear" w:color="auto" w:fill="auto"/>
          </w:tcPr>
          <w:p w14:paraId="31CEE823" w14:textId="77777777" w:rsidR="002A4DDF" w:rsidRPr="00937C8B" w:rsidRDefault="002A4DDF" w:rsidP="009110ED">
            <w:pPr>
              <w:rPr>
                <w:rFonts w:ascii="Arial" w:hAnsi="Arial" w:cs="Arial"/>
                <w:sz w:val="12"/>
                <w:szCs w:val="12"/>
              </w:rPr>
            </w:pPr>
          </w:p>
        </w:tc>
        <w:tc>
          <w:tcPr>
            <w:tcW w:w="1843" w:type="dxa"/>
            <w:shd w:val="clear" w:color="auto" w:fill="auto"/>
          </w:tcPr>
          <w:p w14:paraId="69AC480D" w14:textId="77777777" w:rsidR="002A4DDF" w:rsidRPr="00937C8B" w:rsidRDefault="002A4DDF" w:rsidP="009110ED">
            <w:pPr>
              <w:rPr>
                <w:rFonts w:ascii="Arial" w:hAnsi="Arial" w:cs="Arial"/>
                <w:sz w:val="12"/>
                <w:szCs w:val="12"/>
              </w:rPr>
            </w:pPr>
          </w:p>
        </w:tc>
        <w:tc>
          <w:tcPr>
            <w:tcW w:w="2268" w:type="dxa"/>
            <w:shd w:val="clear" w:color="auto" w:fill="F2F2F2"/>
            <w:hideMark/>
          </w:tcPr>
          <w:p w14:paraId="1155038D" w14:textId="77777777" w:rsidR="002A4DDF" w:rsidRPr="00937C8B" w:rsidRDefault="002A4DDF" w:rsidP="009110ED">
            <w:pPr>
              <w:rPr>
                <w:rFonts w:ascii="Arial" w:hAnsi="Arial" w:cs="Arial"/>
                <w:sz w:val="12"/>
                <w:szCs w:val="12"/>
              </w:rPr>
            </w:pPr>
            <w:r>
              <w:rPr>
                <w:rFonts w:ascii="Arial" w:hAnsi="Arial"/>
                <w:sz w:val="12"/>
                <w:szCs w:val="12"/>
              </w:rPr>
              <w:t>Maluenda</w:t>
            </w:r>
          </w:p>
        </w:tc>
        <w:tc>
          <w:tcPr>
            <w:tcW w:w="2268" w:type="dxa"/>
            <w:tcBorders>
              <w:right w:val="single" w:sz="4" w:space="0" w:color="auto"/>
            </w:tcBorders>
            <w:shd w:val="clear" w:color="auto" w:fill="D9D9D9"/>
            <w:hideMark/>
          </w:tcPr>
          <w:p w14:paraId="0575F020" w14:textId="77777777" w:rsidR="002A4DDF" w:rsidRPr="00937C8B" w:rsidRDefault="002A4DDF" w:rsidP="009110ED">
            <w:pPr>
              <w:rPr>
                <w:rFonts w:ascii="Arial" w:hAnsi="Arial" w:cs="Arial"/>
                <w:sz w:val="12"/>
                <w:szCs w:val="12"/>
              </w:rPr>
            </w:pPr>
          </w:p>
        </w:tc>
      </w:tr>
      <w:tr w:rsidR="002A4DDF" w:rsidRPr="00937C8B" w14:paraId="67E90F99" w14:textId="77777777" w:rsidTr="00935676">
        <w:trPr>
          <w:cantSplit/>
        </w:trPr>
        <w:tc>
          <w:tcPr>
            <w:tcW w:w="1696" w:type="dxa"/>
            <w:tcBorders>
              <w:left w:val="single" w:sz="4" w:space="0" w:color="auto"/>
            </w:tcBorders>
            <w:shd w:val="clear" w:color="auto" w:fill="auto"/>
          </w:tcPr>
          <w:p w14:paraId="72352AF7" w14:textId="77777777" w:rsidR="002A4DDF" w:rsidRPr="00937C8B" w:rsidRDefault="002A4DDF" w:rsidP="009110ED">
            <w:pPr>
              <w:rPr>
                <w:rFonts w:ascii="Arial" w:hAnsi="Arial" w:cs="Arial"/>
                <w:sz w:val="12"/>
                <w:szCs w:val="12"/>
              </w:rPr>
            </w:pPr>
          </w:p>
        </w:tc>
        <w:tc>
          <w:tcPr>
            <w:tcW w:w="1843" w:type="dxa"/>
            <w:shd w:val="clear" w:color="auto" w:fill="auto"/>
          </w:tcPr>
          <w:p w14:paraId="7CBE2A0E" w14:textId="77777777" w:rsidR="002A4DDF" w:rsidRPr="00937C8B" w:rsidRDefault="002A4DDF" w:rsidP="009110ED">
            <w:pPr>
              <w:rPr>
                <w:rFonts w:ascii="Arial" w:hAnsi="Arial" w:cs="Arial"/>
                <w:sz w:val="12"/>
                <w:szCs w:val="12"/>
              </w:rPr>
            </w:pPr>
          </w:p>
        </w:tc>
        <w:tc>
          <w:tcPr>
            <w:tcW w:w="2268" w:type="dxa"/>
            <w:shd w:val="clear" w:color="auto" w:fill="F2F2F2"/>
            <w:hideMark/>
          </w:tcPr>
          <w:p w14:paraId="266063AF" w14:textId="77777777" w:rsidR="002A4DDF" w:rsidRPr="00937C8B" w:rsidRDefault="002A4DDF" w:rsidP="009110ED">
            <w:pPr>
              <w:rPr>
                <w:rFonts w:ascii="Arial" w:hAnsi="Arial" w:cs="Arial"/>
                <w:sz w:val="12"/>
                <w:szCs w:val="12"/>
              </w:rPr>
            </w:pPr>
            <w:r>
              <w:rPr>
                <w:rFonts w:ascii="Arial" w:hAnsi="Arial"/>
                <w:sz w:val="12"/>
                <w:szCs w:val="12"/>
              </w:rPr>
              <w:t>Manchones</w:t>
            </w:r>
          </w:p>
        </w:tc>
        <w:tc>
          <w:tcPr>
            <w:tcW w:w="2268" w:type="dxa"/>
            <w:tcBorders>
              <w:right w:val="single" w:sz="4" w:space="0" w:color="auto"/>
            </w:tcBorders>
            <w:shd w:val="clear" w:color="auto" w:fill="D9D9D9"/>
            <w:hideMark/>
          </w:tcPr>
          <w:p w14:paraId="5ADCE925" w14:textId="77777777" w:rsidR="002A4DDF" w:rsidRPr="00937C8B" w:rsidRDefault="002A4DDF" w:rsidP="009110ED">
            <w:pPr>
              <w:rPr>
                <w:rFonts w:ascii="Arial" w:hAnsi="Arial" w:cs="Arial"/>
                <w:sz w:val="12"/>
                <w:szCs w:val="12"/>
              </w:rPr>
            </w:pPr>
          </w:p>
        </w:tc>
      </w:tr>
      <w:tr w:rsidR="002A4DDF" w:rsidRPr="00937C8B" w14:paraId="0CF3E806" w14:textId="77777777" w:rsidTr="00935676">
        <w:trPr>
          <w:cantSplit/>
        </w:trPr>
        <w:tc>
          <w:tcPr>
            <w:tcW w:w="1696" w:type="dxa"/>
            <w:tcBorders>
              <w:left w:val="single" w:sz="4" w:space="0" w:color="auto"/>
            </w:tcBorders>
            <w:shd w:val="clear" w:color="auto" w:fill="auto"/>
          </w:tcPr>
          <w:p w14:paraId="730854A5" w14:textId="77777777" w:rsidR="002A4DDF" w:rsidRPr="00937C8B" w:rsidRDefault="002A4DDF" w:rsidP="009110ED">
            <w:pPr>
              <w:rPr>
                <w:rFonts w:ascii="Arial" w:hAnsi="Arial" w:cs="Arial"/>
                <w:sz w:val="12"/>
                <w:szCs w:val="12"/>
              </w:rPr>
            </w:pPr>
          </w:p>
        </w:tc>
        <w:tc>
          <w:tcPr>
            <w:tcW w:w="1843" w:type="dxa"/>
            <w:shd w:val="clear" w:color="auto" w:fill="auto"/>
          </w:tcPr>
          <w:p w14:paraId="21A425A5" w14:textId="77777777" w:rsidR="002A4DDF" w:rsidRPr="00937C8B" w:rsidRDefault="002A4DDF" w:rsidP="009110ED">
            <w:pPr>
              <w:rPr>
                <w:rFonts w:ascii="Arial" w:hAnsi="Arial" w:cs="Arial"/>
                <w:sz w:val="12"/>
                <w:szCs w:val="12"/>
              </w:rPr>
            </w:pPr>
          </w:p>
        </w:tc>
        <w:tc>
          <w:tcPr>
            <w:tcW w:w="2268" w:type="dxa"/>
            <w:shd w:val="clear" w:color="auto" w:fill="F2F2F2"/>
            <w:hideMark/>
          </w:tcPr>
          <w:p w14:paraId="3144ED67" w14:textId="77777777" w:rsidR="002A4DDF" w:rsidRPr="00937C8B" w:rsidRDefault="002A4DDF" w:rsidP="009110ED">
            <w:pPr>
              <w:rPr>
                <w:rFonts w:ascii="Arial" w:hAnsi="Arial" w:cs="Arial"/>
                <w:sz w:val="12"/>
                <w:szCs w:val="12"/>
              </w:rPr>
            </w:pPr>
            <w:r>
              <w:rPr>
                <w:rFonts w:ascii="Arial" w:hAnsi="Arial"/>
                <w:sz w:val="12"/>
                <w:szCs w:val="12"/>
              </w:rPr>
              <w:t>Mezalocha</w:t>
            </w:r>
          </w:p>
        </w:tc>
        <w:tc>
          <w:tcPr>
            <w:tcW w:w="2268" w:type="dxa"/>
            <w:tcBorders>
              <w:right w:val="single" w:sz="4" w:space="0" w:color="auto"/>
            </w:tcBorders>
            <w:shd w:val="clear" w:color="auto" w:fill="D9D9D9"/>
            <w:hideMark/>
          </w:tcPr>
          <w:p w14:paraId="3C5466AE" w14:textId="77777777" w:rsidR="002A4DDF" w:rsidRPr="00937C8B" w:rsidRDefault="002A4DDF" w:rsidP="009110ED">
            <w:pPr>
              <w:rPr>
                <w:rFonts w:ascii="Arial" w:hAnsi="Arial" w:cs="Arial"/>
                <w:sz w:val="12"/>
                <w:szCs w:val="12"/>
              </w:rPr>
            </w:pPr>
          </w:p>
        </w:tc>
      </w:tr>
      <w:tr w:rsidR="002A4DDF" w:rsidRPr="00937C8B" w14:paraId="21F889E2" w14:textId="77777777" w:rsidTr="00935676">
        <w:trPr>
          <w:cantSplit/>
        </w:trPr>
        <w:tc>
          <w:tcPr>
            <w:tcW w:w="1696" w:type="dxa"/>
            <w:tcBorders>
              <w:left w:val="single" w:sz="4" w:space="0" w:color="auto"/>
            </w:tcBorders>
            <w:shd w:val="clear" w:color="auto" w:fill="auto"/>
          </w:tcPr>
          <w:p w14:paraId="0418D43F" w14:textId="77777777" w:rsidR="002A4DDF" w:rsidRPr="00937C8B" w:rsidRDefault="002A4DDF" w:rsidP="009110ED">
            <w:pPr>
              <w:rPr>
                <w:rFonts w:ascii="Arial" w:hAnsi="Arial" w:cs="Arial"/>
                <w:sz w:val="12"/>
                <w:szCs w:val="12"/>
              </w:rPr>
            </w:pPr>
          </w:p>
        </w:tc>
        <w:tc>
          <w:tcPr>
            <w:tcW w:w="1843" w:type="dxa"/>
            <w:shd w:val="clear" w:color="auto" w:fill="auto"/>
          </w:tcPr>
          <w:p w14:paraId="479332DA" w14:textId="77777777" w:rsidR="002A4DDF" w:rsidRPr="00937C8B" w:rsidRDefault="002A4DDF" w:rsidP="009110ED">
            <w:pPr>
              <w:rPr>
                <w:rFonts w:ascii="Arial" w:hAnsi="Arial" w:cs="Arial"/>
                <w:sz w:val="12"/>
                <w:szCs w:val="12"/>
              </w:rPr>
            </w:pPr>
          </w:p>
        </w:tc>
        <w:tc>
          <w:tcPr>
            <w:tcW w:w="2268" w:type="dxa"/>
            <w:shd w:val="clear" w:color="auto" w:fill="F2F2F2"/>
            <w:hideMark/>
          </w:tcPr>
          <w:p w14:paraId="7512B759" w14:textId="77777777" w:rsidR="002A4DDF" w:rsidRPr="00937C8B" w:rsidRDefault="002A4DDF" w:rsidP="009110ED">
            <w:pPr>
              <w:rPr>
                <w:rFonts w:ascii="Arial" w:hAnsi="Arial" w:cs="Arial"/>
                <w:sz w:val="12"/>
                <w:szCs w:val="12"/>
              </w:rPr>
            </w:pPr>
            <w:r>
              <w:rPr>
                <w:rFonts w:ascii="Arial" w:hAnsi="Arial"/>
                <w:sz w:val="12"/>
                <w:szCs w:val="12"/>
              </w:rPr>
              <w:t>Miedes de Aragón</w:t>
            </w:r>
          </w:p>
        </w:tc>
        <w:tc>
          <w:tcPr>
            <w:tcW w:w="2268" w:type="dxa"/>
            <w:tcBorders>
              <w:right w:val="single" w:sz="4" w:space="0" w:color="auto"/>
            </w:tcBorders>
            <w:shd w:val="clear" w:color="auto" w:fill="D9D9D9"/>
            <w:hideMark/>
          </w:tcPr>
          <w:p w14:paraId="6A10CF95" w14:textId="77777777" w:rsidR="002A4DDF" w:rsidRPr="00937C8B" w:rsidRDefault="002A4DDF" w:rsidP="009110ED">
            <w:pPr>
              <w:rPr>
                <w:rFonts w:ascii="Arial" w:hAnsi="Arial" w:cs="Arial"/>
                <w:sz w:val="12"/>
                <w:szCs w:val="12"/>
              </w:rPr>
            </w:pPr>
          </w:p>
        </w:tc>
      </w:tr>
      <w:tr w:rsidR="002A4DDF" w:rsidRPr="00937C8B" w14:paraId="022E8D85" w14:textId="77777777" w:rsidTr="00935676">
        <w:trPr>
          <w:cantSplit/>
        </w:trPr>
        <w:tc>
          <w:tcPr>
            <w:tcW w:w="1696" w:type="dxa"/>
            <w:tcBorders>
              <w:left w:val="single" w:sz="4" w:space="0" w:color="auto"/>
            </w:tcBorders>
            <w:shd w:val="clear" w:color="auto" w:fill="auto"/>
          </w:tcPr>
          <w:p w14:paraId="56CE5527" w14:textId="77777777" w:rsidR="002A4DDF" w:rsidRPr="00937C8B" w:rsidRDefault="002A4DDF" w:rsidP="009110ED">
            <w:pPr>
              <w:rPr>
                <w:rFonts w:ascii="Arial" w:hAnsi="Arial" w:cs="Arial"/>
                <w:sz w:val="12"/>
                <w:szCs w:val="12"/>
              </w:rPr>
            </w:pPr>
          </w:p>
        </w:tc>
        <w:tc>
          <w:tcPr>
            <w:tcW w:w="1843" w:type="dxa"/>
            <w:shd w:val="clear" w:color="auto" w:fill="auto"/>
          </w:tcPr>
          <w:p w14:paraId="44A59FE5" w14:textId="77777777" w:rsidR="002A4DDF" w:rsidRPr="00937C8B" w:rsidRDefault="002A4DDF" w:rsidP="009110ED">
            <w:pPr>
              <w:rPr>
                <w:rFonts w:ascii="Arial" w:hAnsi="Arial" w:cs="Arial"/>
                <w:sz w:val="12"/>
                <w:szCs w:val="12"/>
              </w:rPr>
            </w:pPr>
          </w:p>
        </w:tc>
        <w:tc>
          <w:tcPr>
            <w:tcW w:w="2268" w:type="dxa"/>
            <w:shd w:val="clear" w:color="auto" w:fill="F2F2F2"/>
            <w:hideMark/>
          </w:tcPr>
          <w:p w14:paraId="20F3EF28" w14:textId="77777777" w:rsidR="002A4DDF" w:rsidRPr="00937C8B" w:rsidRDefault="002A4DDF" w:rsidP="009110ED">
            <w:pPr>
              <w:rPr>
                <w:rFonts w:ascii="Arial" w:hAnsi="Arial" w:cs="Arial"/>
                <w:sz w:val="12"/>
                <w:szCs w:val="12"/>
              </w:rPr>
            </w:pPr>
            <w:r>
              <w:rPr>
                <w:rFonts w:ascii="Arial" w:hAnsi="Arial"/>
                <w:sz w:val="12"/>
                <w:szCs w:val="12"/>
              </w:rPr>
              <w:t>Monterde</w:t>
            </w:r>
          </w:p>
        </w:tc>
        <w:tc>
          <w:tcPr>
            <w:tcW w:w="2268" w:type="dxa"/>
            <w:tcBorders>
              <w:right w:val="single" w:sz="4" w:space="0" w:color="auto"/>
            </w:tcBorders>
            <w:shd w:val="clear" w:color="auto" w:fill="D9D9D9"/>
            <w:hideMark/>
          </w:tcPr>
          <w:p w14:paraId="492A98A3" w14:textId="77777777" w:rsidR="002A4DDF" w:rsidRPr="00937C8B" w:rsidRDefault="002A4DDF" w:rsidP="009110ED">
            <w:pPr>
              <w:rPr>
                <w:rFonts w:ascii="Arial" w:hAnsi="Arial" w:cs="Arial"/>
                <w:sz w:val="12"/>
                <w:szCs w:val="12"/>
              </w:rPr>
            </w:pPr>
          </w:p>
        </w:tc>
      </w:tr>
      <w:tr w:rsidR="002A4DDF" w:rsidRPr="00937C8B" w14:paraId="44C34A58" w14:textId="77777777" w:rsidTr="00935676">
        <w:trPr>
          <w:cantSplit/>
        </w:trPr>
        <w:tc>
          <w:tcPr>
            <w:tcW w:w="1696" w:type="dxa"/>
            <w:tcBorders>
              <w:left w:val="single" w:sz="4" w:space="0" w:color="auto"/>
            </w:tcBorders>
            <w:shd w:val="clear" w:color="auto" w:fill="auto"/>
          </w:tcPr>
          <w:p w14:paraId="4EF7D4CC" w14:textId="77777777" w:rsidR="002A4DDF" w:rsidRPr="00937C8B" w:rsidRDefault="002A4DDF" w:rsidP="009110ED">
            <w:pPr>
              <w:rPr>
                <w:rFonts w:ascii="Arial" w:hAnsi="Arial" w:cs="Arial"/>
                <w:sz w:val="12"/>
                <w:szCs w:val="12"/>
              </w:rPr>
            </w:pPr>
          </w:p>
        </w:tc>
        <w:tc>
          <w:tcPr>
            <w:tcW w:w="1843" w:type="dxa"/>
            <w:shd w:val="clear" w:color="auto" w:fill="auto"/>
          </w:tcPr>
          <w:p w14:paraId="14AB79C5" w14:textId="77777777" w:rsidR="002A4DDF" w:rsidRPr="00937C8B" w:rsidRDefault="002A4DDF" w:rsidP="009110ED">
            <w:pPr>
              <w:rPr>
                <w:rFonts w:ascii="Arial" w:hAnsi="Arial" w:cs="Arial"/>
                <w:sz w:val="12"/>
                <w:szCs w:val="12"/>
              </w:rPr>
            </w:pPr>
          </w:p>
        </w:tc>
        <w:tc>
          <w:tcPr>
            <w:tcW w:w="2268" w:type="dxa"/>
            <w:shd w:val="clear" w:color="auto" w:fill="F2F2F2"/>
            <w:hideMark/>
          </w:tcPr>
          <w:p w14:paraId="116B3503" w14:textId="77777777" w:rsidR="002A4DDF" w:rsidRPr="00937C8B" w:rsidRDefault="002A4DDF" w:rsidP="009110ED">
            <w:pPr>
              <w:rPr>
                <w:rFonts w:ascii="Arial" w:hAnsi="Arial" w:cs="Arial"/>
                <w:sz w:val="12"/>
                <w:szCs w:val="12"/>
              </w:rPr>
            </w:pPr>
            <w:r>
              <w:rPr>
                <w:rFonts w:ascii="Arial" w:hAnsi="Arial"/>
                <w:sz w:val="12"/>
                <w:szCs w:val="12"/>
              </w:rPr>
              <w:t>Montón</w:t>
            </w:r>
          </w:p>
        </w:tc>
        <w:tc>
          <w:tcPr>
            <w:tcW w:w="2268" w:type="dxa"/>
            <w:tcBorders>
              <w:right w:val="single" w:sz="4" w:space="0" w:color="auto"/>
            </w:tcBorders>
            <w:shd w:val="clear" w:color="auto" w:fill="D9D9D9"/>
            <w:hideMark/>
          </w:tcPr>
          <w:p w14:paraId="58DD81A4" w14:textId="77777777" w:rsidR="002A4DDF" w:rsidRPr="00937C8B" w:rsidRDefault="002A4DDF" w:rsidP="009110ED">
            <w:pPr>
              <w:rPr>
                <w:rFonts w:ascii="Arial" w:hAnsi="Arial" w:cs="Arial"/>
                <w:sz w:val="12"/>
                <w:szCs w:val="12"/>
              </w:rPr>
            </w:pPr>
          </w:p>
        </w:tc>
      </w:tr>
      <w:tr w:rsidR="002A4DDF" w:rsidRPr="00937C8B" w14:paraId="68222B28" w14:textId="77777777" w:rsidTr="00935676">
        <w:trPr>
          <w:cantSplit/>
        </w:trPr>
        <w:tc>
          <w:tcPr>
            <w:tcW w:w="1696" w:type="dxa"/>
            <w:tcBorders>
              <w:left w:val="single" w:sz="4" w:space="0" w:color="auto"/>
            </w:tcBorders>
            <w:shd w:val="clear" w:color="auto" w:fill="auto"/>
          </w:tcPr>
          <w:p w14:paraId="1307DCAD" w14:textId="77777777" w:rsidR="002A4DDF" w:rsidRPr="00937C8B" w:rsidRDefault="002A4DDF" w:rsidP="009110ED">
            <w:pPr>
              <w:rPr>
                <w:rFonts w:ascii="Arial" w:hAnsi="Arial" w:cs="Arial"/>
                <w:sz w:val="12"/>
                <w:szCs w:val="12"/>
              </w:rPr>
            </w:pPr>
          </w:p>
        </w:tc>
        <w:tc>
          <w:tcPr>
            <w:tcW w:w="1843" w:type="dxa"/>
            <w:shd w:val="clear" w:color="auto" w:fill="auto"/>
          </w:tcPr>
          <w:p w14:paraId="2FA98FFF" w14:textId="77777777" w:rsidR="002A4DDF" w:rsidRPr="00937C8B" w:rsidRDefault="002A4DDF" w:rsidP="009110ED">
            <w:pPr>
              <w:rPr>
                <w:rFonts w:ascii="Arial" w:hAnsi="Arial" w:cs="Arial"/>
                <w:sz w:val="12"/>
                <w:szCs w:val="12"/>
              </w:rPr>
            </w:pPr>
          </w:p>
        </w:tc>
        <w:tc>
          <w:tcPr>
            <w:tcW w:w="2268" w:type="dxa"/>
            <w:shd w:val="clear" w:color="auto" w:fill="F2F2F2"/>
            <w:hideMark/>
          </w:tcPr>
          <w:p w14:paraId="1705F77D" w14:textId="77777777" w:rsidR="002A4DDF" w:rsidRPr="00937C8B" w:rsidRDefault="002A4DDF" w:rsidP="009110ED">
            <w:pPr>
              <w:rPr>
                <w:rFonts w:ascii="Arial" w:hAnsi="Arial" w:cs="Arial"/>
                <w:sz w:val="12"/>
                <w:szCs w:val="12"/>
              </w:rPr>
            </w:pPr>
            <w:r>
              <w:rPr>
                <w:rFonts w:ascii="Arial" w:hAnsi="Arial"/>
                <w:sz w:val="12"/>
                <w:szCs w:val="12"/>
              </w:rPr>
              <w:t>Morata de Jiloca</w:t>
            </w:r>
          </w:p>
        </w:tc>
        <w:tc>
          <w:tcPr>
            <w:tcW w:w="2268" w:type="dxa"/>
            <w:tcBorders>
              <w:right w:val="single" w:sz="4" w:space="0" w:color="auto"/>
            </w:tcBorders>
            <w:shd w:val="clear" w:color="auto" w:fill="D9D9D9"/>
            <w:hideMark/>
          </w:tcPr>
          <w:p w14:paraId="5AF445AF" w14:textId="77777777" w:rsidR="002A4DDF" w:rsidRPr="00937C8B" w:rsidRDefault="002A4DDF" w:rsidP="009110ED">
            <w:pPr>
              <w:rPr>
                <w:rFonts w:ascii="Arial" w:hAnsi="Arial" w:cs="Arial"/>
                <w:sz w:val="12"/>
                <w:szCs w:val="12"/>
              </w:rPr>
            </w:pPr>
          </w:p>
        </w:tc>
      </w:tr>
      <w:tr w:rsidR="002A4DDF" w:rsidRPr="00937C8B" w14:paraId="79278103" w14:textId="77777777" w:rsidTr="00935676">
        <w:trPr>
          <w:cantSplit/>
        </w:trPr>
        <w:tc>
          <w:tcPr>
            <w:tcW w:w="1696" w:type="dxa"/>
            <w:tcBorders>
              <w:left w:val="single" w:sz="4" w:space="0" w:color="auto"/>
            </w:tcBorders>
            <w:shd w:val="clear" w:color="auto" w:fill="auto"/>
          </w:tcPr>
          <w:p w14:paraId="01DE7C8B" w14:textId="77777777" w:rsidR="002A4DDF" w:rsidRPr="00937C8B" w:rsidRDefault="002A4DDF" w:rsidP="009110ED">
            <w:pPr>
              <w:rPr>
                <w:rFonts w:ascii="Arial" w:hAnsi="Arial" w:cs="Arial"/>
                <w:sz w:val="12"/>
                <w:szCs w:val="12"/>
              </w:rPr>
            </w:pPr>
          </w:p>
        </w:tc>
        <w:tc>
          <w:tcPr>
            <w:tcW w:w="1843" w:type="dxa"/>
            <w:shd w:val="clear" w:color="auto" w:fill="auto"/>
          </w:tcPr>
          <w:p w14:paraId="4F5CA042" w14:textId="77777777" w:rsidR="002A4DDF" w:rsidRPr="00937C8B" w:rsidRDefault="002A4DDF" w:rsidP="009110ED">
            <w:pPr>
              <w:rPr>
                <w:rFonts w:ascii="Arial" w:hAnsi="Arial" w:cs="Arial"/>
                <w:sz w:val="12"/>
                <w:szCs w:val="12"/>
              </w:rPr>
            </w:pPr>
          </w:p>
        </w:tc>
        <w:tc>
          <w:tcPr>
            <w:tcW w:w="2268" w:type="dxa"/>
            <w:shd w:val="clear" w:color="auto" w:fill="F2F2F2"/>
            <w:hideMark/>
          </w:tcPr>
          <w:p w14:paraId="2F7CF3EC" w14:textId="77777777" w:rsidR="002A4DDF" w:rsidRPr="00937C8B" w:rsidRDefault="002A4DDF" w:rsidP="009110ED">
            <w:pPr>
              <w:rPr>
                <w:rFonts w:ascii="Arial" w:hAnsi="Arial" w:cs="Arial"/>
                <w:sz w:val="12"/>
                <w:szCs w:val="12"/>
              </w:rPr>
            </w:pPr>
            <w:r>
              <w:rPr>
                <w:rFonts w:ascii="Arial" w:hAnsi="Arial"/>
                <w:sz w:val="12"/>
                <w:szCs w:val="12"/>
              </w:rPr>
              <w:t>Morés</w:t>
            </w:r>
          </w:p>
        </w:tc>
        <w:tc>
          <w:tcPr>
            <w:tcW w:w="2268" w:type="dxa"/>
            <w:tcBorders>
              <w:right w:val="single" w:sz="4" w:space="0" w:color="auto"/>
            </w:tcBorders>
            <w:shd w:val="clear" w:color="auto" w:fill="D9D9D9"/>
            <w:hideMark/>
          </w:tcPr>
          <w:p w14:paraId="67A67D73" w14:textId="77777777" w:rsidR="002A4DDF" w:rsidRPr="00937C8B" w:rsidRDefault="002A4DDF" w:rsidP="009110ED">
            <w:pPr>
              <w:rPr>
                <w:rFonts w:ascii="Arial" w:hAnsi="Arial" w:cs="Arial"/>
                <w:sz w:val="12"/>
                <w:szCs w:val="12"/>
              </w:rPr>
            </w:pPr>
          </w:p>
        </w:tc>
      </w:tr>
      <w:tr w:rsidR="002A4DDF" w:rsidRPr="00937C8B" w14:paraId="36F67C74" w14:textId="77777777" w:rsidTr="00935676">
        <w:trPr>
          <w:cantSplit/>
        </w:trPr>
        <w:tc>
          <w:tcPr>
            <w:tcW w:w="1696" w:type="dxa"/>
            <w:tcBorders>
              <w:left w:val="single" w:sz="4" w:space="0" w:color="auto"/>
            </w:tcBorders>
            <w:shd w:val="clear" w:color="auto" w:fill="auto"/>
          </w:tcPr>
          <w:p w14:paraId="7B8D40EE" w14:textId="77777777" w:rsidR="002A4DDF" w:rsidRPr="00937C8B" w:rsidRDefault="002A4DDF" w:rsidP="009110ED">
            <w:pPr>
              <w:rPr>
                <w:rFonts w:ascii="Arial" w:hAnsi="Arial" w:cs="Arial"/>
                <w:sz w:val="12"/>
                <w:szCs w:val="12"/>
              </w:rPr>
            </w:pPr>
          </w:p>
        </w:tc>
        <w:tc>
          <w:tcPr>
            <w:tcW w:w="1843" w:type="dxa"/>
            <w:shd w:val="clear" w:color="auto" w:fill="auto"/>
          </w:tcPr>
          <w:p w14:paraId="7500D994" w14:textId="77777777" w:rsidR="002A4DDF" w:rsidRPr="00937C8B" w:rsidRDefault="002A4DDF" w:rsidP="009110ED">
            <w:pPr>
              <w:rPr>
                <w:rFonts w:ascii="Arial" w:hAnsi="Arial" w:cs="Arial"/>
                <w:sz w:val="12"/>
                <w:szCs w:val="12"/>
              </w:rPr>
            </w:pPr>
          </w:p>
        </w:tc>
        <w:tc>
          <w:tcPr>
            <w:tcW w:w="2268" w:type="dxa"/>
            <w:shd w:val="clear" w:color="auto" w:fill="F2F2F2"/>
            <w:hideMark/>
          </w:tcPr>
          <w:p w14:paraId="3CA7EAFE" w14:textId="77777777" w:rsidR="002A4DDF" w:rsidRPr="00937C8B" w:rsidRDefault="002A4DDF" w:rsidP="009110ED">
            <w:pPr>
              <w:rPr>
                <w:rFonts w:ascii="Arial" w:hAnsi="Arial" w:cs="Arial"/>
                <w:sz w:val="12"/>
                <w:szCs w:val="12"/>
              </w:rPr>
            </w:pPr>
            <w:r>
              <w:rPr>
                <w:rFonts w:ascii="Arial" w:hAnsi="Arial"/>
                <w:sz w:val="12"/>
                <w:szCs w:val="12"/>
              </w:rPr>
              <w:t>Moros</w:t>
            </w:r>
          </w:p>
        </w:tc>
        <w:tc>
          <w:tcPr>
            <w:tcW w:w="2268" w:type="dxa"/>
            <w:tcBorders>
              <w:right w:val="single" w:sz="4" w:space="0" w:color="auto"/>
            </w:tcBorders>
            <w:shd w:val="clear" w:color="auto" w:fill="D9D9D9"/>
            <w:hideMark/>
          </w:tcPr>
          <w:p w14:paraId="10EEDF3A" w14:textId="77777777" w:rsidR="002A4DDF" w:rsidRPr="00937C8B" w:rsidRDefault="002A4DDF" w:rsidP="009110ED">
            <w:pPr>
              <w:rPr>
                <w:rFonts w:ascii="Arial" w:hAnsi="Arial" w:cs="Arial"/>
                <w:sz w:val="12"/>
                <w:szCs w:val="12"/>
              </w:rPr>
            </w:pPr>
          </w:p>
        </w:tc>
      </w:tr>
      <w:tr w:rsidR="002A4DDF" w:rsidRPr="00937C8B" w14:paraId="081F8C84" w14:textId="77777777" w:rsidTr="00935676">
        <w:trPr>
          <w:cantSplit/>
        </w:trPr>
        <w:tc>
          <w:tcPr>
            <w:tcW w:w="1696" w:type="dxa"/>
            <w:tcBorders>
              <w:left w:val="single" w:sz="4" w:space="0" w:color="auto"/>
            </w:tcBorders>
            <w:shd w:val="clear" w:color="auto" w:fill="auto"/>
          </w:tcPr>
          <w:p w14:paraId="29113373" w14:textId="77777777" w:rsidR="002A4DDF" w:rsidRPr="00937C8B" w:rsidRDefault="002A4DDF" w:rsidP="009110ED">
            <w:pPr>
              <w:rPr>
                <w:rFonts w:ascii="Arial" w:hAnsi="Arial" w:cs="Arial"/>
                <w:sz w:val="12"/>
                <w:szCs w:val="12"/>
              </w:rPr>
            </w:pPr>
          </w:p>
        </w:tc>
        <w:tc>
          <w:tcPr>
            <w:tcW w:w="1843" w:type="dxa"/>
            <w:shd w:val="clear" w:color="auto" w:fill="auto"/>
          </w:tcPr>
          <w:p w14:paraId="13EF9D4B" w14:textId="77777777" w:rsidR="002A4DDF" w:rsidRPr="00937C8B" w:rsidRDefault="002A4DDF" w:rsidP="009110ED">
            <w:pPr>
              <w:rPr>
                <w:rFonts w:ascii="Arial" w:hAnsi="Arial" w:cs="Arial"/>
                <w:sz w:val="12"/>
                <w:szCs w:val="12"/>
              </w:rPr>
            </w:pPr>
          </w:p>
        </w:tc>
        <w:tc>
          <w:tcPr>
            <w:tcW w:w="2268" w:type="dxa"/>
            <w:shd w:val="clear" w:color="auto" w:fill="F2F2F2"/>
            <w:hideMark/>
          </w:tcPr>
          <w:p w14:paraId="6A7209E7" w14:textId="77777777" w:rsidR="002A4DDF" w:rsidRPr="00937C8B" w:rsidRDefault="002A4DDF" w:rsidP="009110ED">
            <w:pPr>
              <w:rPr>
                <w:rFonts w:ascii="Arial" w:hAnsi="Arial" w:cs="Arial"/>
                <w:sz w:val="12"/>
                <w:szCs w:val="12"/>
              </w:rPr>
            </w:pPr>
            <w:r>
              <w:rPr>
                <w:rFonts w:ascii="Arial" w:hAnsi="Arial"/>
                <w:sz w:val="12"/>
                <w:szCs w:val="12"/>
              </w:rPr>
              <w:t>Moyuela</w:t>
            </w:r>
          </w:p>
        </w:tc>
        <w:tc>
          <w:tcPr>
            <w:tcW w:w="2268" w:type="dxa"/>
            <w:tcBorders>
              <w:right w:val="single" w:sz="4" w:space="0" w:color="auto"/>
            </w:tcBorders>
            <w:shd w:val="clear" w:color="auto" w:fill="D9D9D9"/>
            <w:hideMark/>
          </w:tcPr>
          <w:p w14:paraId="33F2E3F2" w14:textId="77777777" w:rsidR="002A4DDF" w:rsidRPr="00937C8B" w:rsidRDefault="002A4DDF" w:rsidP="009110ED">
            <w:pPr>
              <w:rPr>
                <w:rFonts w:ascii="Arial" w:hAnsi="Arial" w:cs="Arial"/>
                <w:sz w:val="12"/>
                <w:szCs w:val="12"/>
              </w:rPr>
            </w:pPr>
          </w:p>
        </w:tc>
      </w:tr>
      <w:tr w:rsidR="002A4DDF" w:rsidRPr="00937C8B" w14:paraId="1413A7FA" w14:textId="77777777" w:rsidTr="00935676">
        <w:trPr>
          <w:cantSplit/>
        </w:trPr>
        <w:tc>
          <w:tcPr>
            <w:tcW w:w="1696" w:type="dxa"/>
            <w:tcBorders>
              <w:left w:val="single" w:sz="4" w:space="0" w:color="auto"/>
            </w:tcBorders>
            <w:shd w:val="clear" w:color="auto" w:fill="auto"/>
          </w:tcPr>
          <w:p w14:paraId="3D5E5003" w14:textId="77777777" w:rsidR="002A4DDF" w:rsidRPr="00937C8B" w:rsidRDefault="002A4DDF" w:rsidP="009110ED">
            <w:pPr>
              <w:rPr>
                <w:rFonts w:ascii="Arial" w:hAnsi="Arial" w:cs="Arial"/>
                <w:sz w:val="12"/>
                <w:szCs w:val="12"/>
              </w:rPr>
            </w:pPr>
          </w:p>
        </w:tc>
        <w:tc>
          <w:tcPr>
            <w:tcW w:w="1843" w:type="dxa"/>
            <w:shd w:val="clear" w:color="auto" w:fill="auto"/>
          </w:tcPr>
          <w:p w14:paraId="6630556F" w14:textId="77777777" w:rsidR="002A4DDF" w:rsidRPr="00937C8B" w:rsidRDefault="002A4DDF" w:rsidP="009110ED">
            <w:pPr>
              <w:rPr>
                <w:rFonts w:ascii="Arial" w:hAnsi="Arial" w:cs="Arial"/>
                <w:sz w:val="12"/>
                <w:szCs w:val="12"/>
              </w:rPr>
            </w:pPr>
          </w:p>
        </w:tc>
        <w:tc>
          <w:tcPr>
            <w:tcW w:w="2268" w:type="dxa"/>
            <w:shd w:val="clear" w:color="auto" w:fill="F2F2F2"/>
            <w:hideMark/>
          </w:tcPr>
          <w:p w14:paraId="674A7510" w14:textId="77777777" w:rsidR="002A4DDF" w:rsidRPr="00937C8B" w:rsidRDefault="002A4DDF" w:rsidP="009110ED">
            <w:pPr>
              <w:rPr>
                <w:rFonts w:ascii="Arial" w:hAnsi="Arial" w:cs="Arial"/>
                <w:sz w:val="12"/>
                <w:szCs w:val="12"/>
              </w:rPr>
            </w:pPr>
            <w:r>
              <w:rPr>
                <w:rFonts w:ascii="Arial" w:hAnsi="Arial"/>
                <w:sz w:val="12"/>
                <w:szCs w:val="12"/>
              </w:rPr>
              <w:t>Muel</w:t>
            </w:r>
          </w:p>
        </w:tc>
        <w:tc>
          <w:tcPr>
            <w:tcW w:w="2268" w:type="dxa"/>
            <w:tcBorders>
              <w:right w:val="single" w:sz="4" w:space="0" w:color="auto"/>
            </w:tcBorders>
            <w:shd w:val="clear" w:color="auto" w:fill="D9D9D9"/>
            <w:hideMark/>
          </w:tcPr>
          <w:p w14:paraId="2E79DCAD" w14:textId="77777777" w:rsidR="002A4DDF" w:rsidRPr="00937C8B" w:rsidRDefault="002A4DDF" w:rsidP="009110ED">
            <w:pPr>
              <w:rPr>
                <w:rFonts w:ascii="Arial" w:hAnsi="Arial" w:cs="Arial"/>
                <w:sz w:val="12"/>
                <w:szCs w:val="12"/>
              </w:rPr>
            </w:pPr>
          </w:p>
        </w:tc>
      </w:tr>
      <w:tr w:rsidR="002A4DDF" w:rsidRPr="00937C8B" w14:paraId="1D524253" w14:textId="77777777" w:rsidTr="00935676">
        <w:trPr>
          <w:cantSplit/>
        </w:trPr>
        <w:tc>
          <w:tcPr>
            <w:tcW w:w="1696" w:type="dxa"/>
            <w:tcBorders>
              <w:left w:val="single" w:sz="4" w:space="0" w:color="auto"/>
            </w:tcBorders>
            <w:shd w:val="clear" w:color="auto" w:fill="auto"/>
          </w:tcPr>
          <w:p w14:paraId="511FCE1A" w14:textId="77777777" w:rsidR="002A4DDF" w:rsidRPr="00937C8B" w:rsidRDefault="002A4DDF" w:rsidP="009110ED">
            <w:pPr>
              <w:rPr>
                <w:rFonts w:ascii="Arial" w:hAnsi="Arial" w:cs="Arial"/>
                <w:sz w:val="12"/>
                <w:szCs w:val="12"/>
              </w:rPr>
            </w:pPr>
          </w:p>
        </w:tc>
        <w:tc>
          <w:tcPr>
            <w:tcW w:w="1843" w:type="dxa"/>
            <w:shd w:val="clear" w:color="auto" w:fill="auto"/>
          </w:tcPr>
          <w:p w14:paraId="4C32A2B2" w14:textId="77777777" w:rsidR="002A4DDF" w:rsidRPr="00937C8B" w:rsidRDefault="002A4DDF" w:rsidP="009110ED">
            <w:pPr>
              <w:rPr>
                <w:rFonts w:ascii="Arial" w:hAnsi="Arial" w:cs="Arial"/>
                <w:sz w:val="12"/>
                <w:szCs w:val="12"/>
              </w:rPr>
            </w:pPr>
          </w:p>
        </w:tc>
        <w:tc>
          <w:tcPr>
            <w:tcW w:w="2268" w:type="dxa"/>
            <w:shd w:val="clear" w:color="auto" w:fill="F2F2F2"/>
            <w:hideMark/>
          </w:tcPr>
          <w:p w14:paraId="4D986C0B" w14:textId="77777777" w:rsidR="002A4DDF" w:rsidRPr="00937C8B" w:rsidRDefault="002A4DDF" w:rsidP="009110ED">
            <w:pPr>
              <w:rPr>
                <w:rFonts w:ascii="Arial" w:hAnsi="Arial" w:cs="Arial"/>
                <w:sz w:val="12"/>
                <w:szCs w:val="12"/>
              </w:rPr>
            </w:pPr>
            <w:r>
              <w:rPr>
                <w:rFonts w:ascii="Arial" w:hAnsi="Arial"/>
                <w:sz w:val="12"/>
                <w:szCs w:val="12"/>
              </w:rPr>
              <w:t>Munébrega</w:t>
            </w:r>
          </w:p>
        </w:tc>
        <w:tc>
          <w:tcPr>
            <w:tcW w:w="2268" w:type="dxa"/>
            <w:tcBorders>
              <w:right w:val="single" w:sz="4" w:space="0" w:color="auto"/>
            </w:tcBorders>
            <w:shd w:val="clear" w:color="auto" w:fill="D9D9D9"/>
            <w:hideMark/>
          </w:tcPr>
          <w:p w14:paraId="6B75B29E" w14:textId="77777777" w:rsidR="002A4DDF" w:rsidRPr="00937C8B" w:rsidRDefault="002A4DDF" w:rsidP="009110ED">
            <w:pPr>
              <w:rPr>
                <w:rFonts w:ascii="Arial" w:hAnsi="Arial" w:cs="Arial"/>
                <w:sz w:val="12"/>
                <w:szCs w:val="12"/>
              </w:rPr>
            </w:pPr>
          </w:p>
        </w:tc>
      </w:tr>
      <w:tr w:rsidR="002A4DDF" w:rsidRPr="00937C8B" w14:paraId="31539872" w14:textId="77777777" w:rsidTr="00935676">
        <w:trPr>
          <w:cantSplit/>
        </w:trPr>
        <w:tc>
          <w:tcPr>
            <w:tcW w:w="1696" w:type="dxa"/>
            <w:tcBorders>
              <w:left w:val="single" w:sz="4" w:space="0" w:color="auto"/>
            </w:tcBorders>
            <w:shd w:val="clear" w:color="auto" w:fill="auto"/>
          </w:tcPr>
          <w:p w14:paraId="77C7256B" w14:textId="77777777" w:rsidR="002A4DDF" w:rsidRPr="00937C8B" w:rsidRDefault="002A4DDF" w:rsidP="009110ED">
            <w:pPr>
              <w:rPr>
                <w:rFonts w:ascii="Arial" w:hAnsi="Arial" w:cs="Arial"/>
                <w:sz w:val="12"/>
                <w:szCs w:val="12"/>
              </w:rPr>
            </w:pPr>
          </w:p>
        </w:tc>
        <w:tc>
          <w:tcPr>
            <w:tcW w:w="1843" w:type="dxa"/>
            <w:shd w:val="clear" w:color="auto" w:fill="auto"/>
          </w:tcPr>
          <w:p w14:paraId="2DF36DB6" w14:textId="77777777" w:rsidR="002A4DDF" w:rsidRPr="00937C8B" w:rsidRDefault="002A4DDF" w:rsidP="009110ED">
            <w:pPr>
              <w:rPr>
                <w:rFonts w:ascii="Arial" w:hAnsi="Arial" w:cs="Arial"/>
                <w:sz w:val="12"/>
                <w:szCs w:val="12"/>
              </w:rPr>
            </w:pPr>
          </w:p>
        </w:tc>
        <w:tc>
          <w:tcPr>
            <w:tcW w:w="2268" w:type="dxa"/>
            <w:shd w:val="clear" w:color="auto" w:fill="F2F2F2"/>
            <w:hideMark/>
          </w:tcPr>
          <w:p w14:paraId="6EC4B20F" w14:textId="77777777" w:rsidR="002A4DDF" w:rsidRPr="00937C8B" w:rsidRDefault="002A4DDF" w:rsidP="009110ED">
            <w:pPr>
              <w:rPr>
                <w:rFonts w:ascii="Arial" w:hAnsi="Arial" w:cs="Arial"/>
                <w:sz w:val="12"/>
                <w:szCs w:val="12"/>
              </w:rPr>
            </w:pPr>
            <w:r>
              <w:rPr>
                <w:rFonts w:ascii="Arial" w:hAnsi="Arial"/>
                <w:sz w:val="12"/>
                <w:szCs w:val="12"/>
              </w:rPr>
              <w:t>Murero</w:t>
            </w:r>
          </w:p>
        </w:tc>
        <w:tc>
          <w:tcPr>
            <w:tcW w:w="2268" w:type="dxa"/>
            <w:tcBorders>
              <w:right w:val="single" w:sz="4" w:space="0" w:color="auto"/>
            </w:tcBorders>
            <w:shd w:val="clear" w:color="auto" w:fill="D9D9D9"/>
            <w:hideMark/>
          </w:tcPr>
          <w:p w14:paraId="0AEFEC94" w14:textId="77777777" w:rsidR="002A4DDF" w:rsidRPr="00937C8B" w:rsidRDefault="002A4DDF" w:rsidP="009110ED">
            <w:pPr>
              <w:rPr>
                <w:rFonts w:ascii="Arial" w:hAnsi="Arial" w:cs="Arial"/>
                <w:sz w:val="12"/>
                <w:szCs w:val="12"/>
              </w:rPr>
            </w:pPr>
          </w:p>
        </w:tc>
      </w:tr>
      <w:tr w:rsidR="002A4DDF" w:rsidRPr="00937C8B" w14:paraId="6217BF48" w14:textId="77777777" w:rsidTr="00935676">
        <w:trPr>
          <w:cantSplit/>
        </w:trPr>
        <w:tc>
          <w:tcPr>
            <w:tcW w:w="1696" w:type="dxa"/>
            <w:tcBorders>
              <w:left w:val="single" w:sz="4" w:space="0" w:color="auto"/>
            </w:tcBorders>
            <w:shd w:val="clear" w:color="auto" w:fill="auto"/>
          </w:tcPr>
          <w:p w14:paraId="6F0C2D78" w14:textId="77777777" w:rsidR="002A4DDF" w:rsidRPr="00937C8B" w:rsidRDefault="002A4DDF" w:rsidP="009110ED">
            <w:pPr>
              <w:rPr>
                <w:rFonts w:ascii="Arial" w:hAnsi="Arial" w:cs="Arial"/>
                <w:sz w:val="12"/>
                <w:szCs w:val="12"/>
              </w:rPr>
            </w:pPr>
          </w:p>
        </w:tc>
        <w:tc>
          <w:tcPr>
            <w:tcW w:w="1843" w:type="dxa"/>
            <w:shd w:val="clear" w:color="auto" w:fill="auto"/>
          </w:tcPr>
          <w:p w14:paraId="41394F8D" w14:textId="77777777" w:rsidR="002A4DDF" w:rsidRPr="00937C8B" w:rsidRDefault="002A4DDF" w:rsidP="009110ED">
            <w:pPr>
              <w:rPr>
                <w:rFonts w:ascii="Arial" w:hAnsi="Arial" w:cs="Arial"/>
                <w:sz w:val="12"/>
                <w:szCs w:val="12"/>
              </w:rPr>
            </w:pPr>
          </w:p>
        </w:tc>
        <w:tc>
          <w:tcPr>
            <w:tcW w:w="2268" w:type="dxa"/>
            <w:shd w:val="clear" w:color="auto" w:fill="F2F2F2"/>
            <w:hideMark/>
          </w:tcPr>
          <w:p w14:paraId="4EADB0E9" w14:textId="77777777" w:rsidR="002A4DDF" w:rsidRPr="00937C8B" w:rsidRDefault="002A4DDF" w:rsidP="009110ED">
            <w:pPr>
              <w:rPr>
                <w:rFonts w:ascii="Arial" w:hAnsi="Arial" w:cs="Arial"/>
                <w:sz w:val="12"/>
                <w:szCs w:val="12"/>
              </w:rPr>
            </w:pPr>
            <w:r>
              <w:rPr>
                <w:rFonts w:ascii="Arial" w:hAnsi="Arial"/>
                <w:sz w:val="12"/>
                <w:szCs w:val="12"/>
              </w:rPr>
              <w:t>Navardún</w:t>
            </w:r>
          </w:p>
        </w:tc>
        <w:tc>
          <w:tcPr>
            <w:tcW w:w="2268" w:type="dxa"/>
            <w:tcBorders>
              <w:right w:val="single" w:sz="4" w:space="0" w:color="auto"/>
            </w:tcBorders>
            <w:shd w:val="clear" w:color="auto" w:fill="D9D9D9"/>
            <w:hideMark/>
          </w:tcPr>
          <w:p w14:paraId="7868A891" w14:textId="77777777" w:rsidR="002A4DDF" w:rsidRPr="00937C8B" w:rsidRDefault="002A4DDF" w:rsidP="009110ED">
            <w:pPr>
              <w:rPr>
                <w:rFonts w:ascii="Arial" w:hAnsi="Arial" w:cs="Arial"/>
                <w:sz w:val="12"/>
                <w:szCs w:val="12"/>
              </w:rPr>
            </w:pPr>
          </w:p>
        </w:tc>
      </w:tr>
      <w:tr w:rsidR="002A4DDF" w:rsidRPr="00937C8B" w14:paraId="29DAFE2C" w14:textId="77777777" w:rsidTr="00935676">
        <w:trPr>
          <w:cantSplit/>
        </w:trPr>
        <w:tc>
          <w:tcPr>
            <w:tcW w:w="1696" w:type="dxa"/>
            <w:tcBorders>
              <w:left w:val="single" w:sz="4" w:space="0" w:color="auto"/>
            </w:tcBorders>
            <w:shd w:val="clear" w:color="auto" w:fill="auto"/>
          </w:tcPr>
          <w:p w14:paraId="441209B1" w14:textId="77777777" w:rsidR="002A4DDF" w:rsidRPr="00937C8B" w:rsidRDefault="002A4DDF" w:rsidP="009110ED">
            <w:pPr>
              <w:rPr>
                <w:rFonts w:ascii="Arial" w:hAnsi="Arial" w:cs="Arial"/>
                <w:sz w:val="12"/>
                <w:szCs w:val="12"/>
              </w:rPr>
            </w:pPr>
          </w:p>
        </w:tc>
        <w:tc>
          <w:tcPr>
            <w:tcW w:w="1843" w:type="dxa"/>
            <w:shd w:val="clear" w:color="auto" w:fill="auto"/>
          </w:tcPr>
          <w:p w14:paraId="030AB1A8" w14:textId="77777777" w:rsidR="002A4DDF" w:rsidRPr="00937C8B" w:rsidRDefault="002A4DDF" w:rsidP="009110ED">
            <w:pPr>
              <w:rPr>
                <w:rFonts w:ascii="Arial" w:hAnsi="Arial" w:cs="Arial"/>
                <w:sz w:val="12"/>
                <w:szCs w:val="12"/>
              </w:rPr>
            </w:pPr>
          </w:p>
        </w:tc>
        <w:tc>
          <w:tcPr>
            <w:tcW w:w="2268" w:type="dxa"/>
            <w:shd w:val="clear" w:color="auto" w:fill="F2F2F2"/>
            <w:hideMark/>
          </w:tcPr>
          <w:p w14:paraId="4C4E3227" w14:textId="77777777" w:rsidR="002A4DDF" w:rsidRPr="00937C8B" w:rsidRDefault="002A4DDF" w:rsidP="009110ED">
            <w:pPr>
              <w:rPr>
                <w:rFonts w:ascii="Arial" w:hAnsi="Arial" w:cs="Arial"/>
                <w:sz w:val="12"/>
                <w:szCs w:val="12"/>
              </w:rPr>
            </w:pPr>
            <w:r>
              <w:rPr>
                <w:rFonts w:ascii="Arial" w:hAnsi="Arial"/>
                <w:sz w:val="12"/>
                <w:szCs w:val="12"/>
              </w:rPr>
              <w:t>Nonaspe</w:t>
            </w:r>
          </w:p>
        </w:tc>
        <w:tc>
          <w:tcPr>
            <w:tcW w:w="2268" w:type="dxa"/>
            <w:tcBorders>
              <w:right w:val="single" w:sz="4" w:space="0" w:color="auto"/>
            </w:tcBorders>
            <w:shd w:val="clear" w:color="auto" w:fill="D9D9D9"/>
            <w:hideMark/>
          </w:tcPr>
          <w:p w14:paraId="6EE6DDE1" w14:textId="77777777" w:rsidR="002A4DDF" w:rsidRPr="00937C8B" w:rsidRDefault="002A4DDF" w:rsidP="009110ED">
            <w:pPr>
              <w:rPr>
                <w:rFonts w:ascii="Arial" w:hAnsi="Arial" w:cs="Arial"/>
                <w:sz w:val="12"/>
                <w:szCs w:val="12"/>
              </w:rPr>
            </w:pPr>
          </w:p>
        </w:tc>
      </w:tr>
      <w:tr w:rsidR="002A4DDF" w:rsidRPr="00937C8B" w14:paraId="5D14D351" w14:textId="77777777" w:rsidTr="00935676">
        <w:trPr>
          <w:cantSplit/>
        </w:trPr>
        <w:tc>
          <w:tcPr>
            <w:tcW w:w="1696" w:type="dxa"/>
            <w:tcBorders>
              <w:left w:val="single" w:sz="4" w:space="0" w:color="auto"/>
            </w:tcBorders>
            <w:shd w:val="clear" w:color="auto" w:fill="auto"/>
          </w:tcPr>
          <w:p w14:paraId="51559428" w14:textId="77777777" w:rsidR="002A4DDF" w:rsidRPr="00937C8B" w:rsidRDefault="002A4DDF" w:rsidP="009110ED">
            <w:pPr>
              <w:rPr>
                <w:rFonts w:ascii="Arial" w:hAnsi="Arial" w:cs="Arial"/>
                <w:sz w:val="12"/>
                <w:szCs w:val="12"/>
              </w:rPr>
            </w:pPr>
          </w:p>
        </w:tc>
        <w:tc>
          <w:tcPr>
            <w:tcW w:w="1843" w:type="dxa"/>
            <w:shd w:val="clear" w:color="auto" w:fill="auto"/>
          </w:tcPr>
          <w:p w14:paraId="5B21A8E2" w14:textId="77777777" w:rsidR="002A4DDF" w:rsidRPr="00937C8B" w:rsidRDefault="002A4DDF" w:rsidP="009110ED">
            <w:pPr>
              <w:rPr>
                <w:rFonts w:ascii="Arial" w:hAnsi="Arial" w:cs="Arial"/>
                <w:sz w:val="12"/>
                <w:szCs w:val="12"/>
              </w:rPr>
            </w:pPr>
          </w:p>
        </w:tc>
        <w:tc>
          <w:tcPr>
            <w:tcW w:w="2268" w:type="dxa"/>
            <w:shd w:val="clear" w:color="auto" w:fill="F2F2F2"/>
            <w:hideMark/>
          </w:tcPr>
          <w:p w14:paraId="3558C496" w14:textId="77777777" w:rsidR="002A4DDF" w:rsidRPr="00937C8B" w:rsidRDefault="002A4DDF" w:rsidP="009110ED">
            <w:pPr>
              <w:rPr>
                <w:rFonts w:ascii="Arial" w:hAnsi="Arial" w:cs="Arial"/>
                <w:sz w:val="12"/>
                <w:szCs w:val="12"/>
              </w:rPr>
            </w:pPr>
            <w:r>
              <w:rPr>
                <w:rFonts w:ascii="Arial" w:hAnsi="Arial"/>
                <w:sz w:val="12"/>
                <w:szCs w:val="12"/>
              </w:rPr>
              <w:t>Orera</w:t>
            </w:r>
          </w:p>
        </w:tc>
        <w:tc>
          <w:tcPr>
            <w:tcW w:w="2268" w:type="dxa"/>
            <w:tcBorders>
              <w:right w:val="single" w:sz="4" w:space="0" w:color="auto"/>
            </w:tcBorders>
            <w:shd w:val="clear" w:color="auto" w:fill="D9D9D9"/>
            <w:hideMark/>
          </w:tcPr>
          <w:p w14:paraId="297A8A35" w14:textId="77777777" w:rsidR="002A4DDF" w:rsidRPr="00937C8B" w:rsidRDefault="002A4DDF" w:rsidP="009110ED">
            <w:pPr>
              <w:rPr>
                <w:rFonts w:ascii="Arial" w:hAnsi="Arial" w:cs="Arial"/>
                <w:sz w:val="12"/>
                <w:szCs w:val="12"/>
              </w:rPr>
            </w:pPr>
          </w:p>
        </w:tc>
      </w:tr>
      <w:tr w:rsidR="002A4DDF" w:rsidRPr="00937C8B" w14:paraId="603148BB" w14:textId="77777777" w:rsidTr="00935676">
        <w:trPr>
          <w:cantSplit/>
        </w:trPr>
        <w:tc>
          <w:tcPr>
            <w:tcW w:w="1696" w:type="dxa"/>
            <w:tcBorders>
              <w:left w:val="single" w:sz="4" w:space="0" w:color="auto"/>
            </w:tcBorders>
            <w:shd w:val="clear" w:color="auto" w:fill="auto"/>
          </w:tcPr>
          <w:p w14:paraId="02FBAFE2" w14:textId="77777777" w:rsidR="002A4DDF" w:rsidRPr="00937C8B" w:rsidRDefault="002A4DDF" w:rsidP="009110ED">
            <w:pPr>
              <w:rPr>
                <w:rFonts w:ascii="Arial" w:hAnsi="Arial" w:cs="Arial"/>
                <w:sz w:val="12"/>
                <w:szCs w:val="12"/>
              </w:rPr>
            </w:pPr>
          </w:p>
        </w:tc>
        <w:tc>
          <w:tcPr>
            <w:tcW w:w="1843" w:type="dxa"/>
            <w:shd w:val="clear" w:color="auto" w:fill="auto"/>
          </w:tcPr>
          <w:p w14:paraId="0C972255" w14:textId="77777777" w:rsidR="002A4DDF" w:rsidRPr="00937C8B" w:rsidRDefault="002A4DDF" w:rsidP="009110ED">
            <w:pPr>
              <w:rPr>
                <w:rFonts w:ascii="Arial" w:hAnsi="Arial" w:cs="Arial"/>
                <w:sz w:val="12"/>
                <w:szCs w:val="12"/>
              </w:rPr>
            </w:pPr>
          </w:p>
        </w:tc>
        <w:tc>
          <w:tcPr>
            <w:tcW w:w="2268" w:type="dxa"/>
            <w:shd w:val="clear" w:color="auto" w:fill="F2F2F2"/>
            <w:hideMark/>
          </w:tcPr>
          <w:p w14:paraId="1D0CD752" w14:textId="77777777" w:rsidR="002A4DDF" w:rsidRPr="00937C8B" w:rsidRDefault="002A4DDF" w:rsidP="009110ED">
            <w:pPr>
              <w:rPr>
                <w:rFonts w:ascii="Arial" w:hAnsi="Arial" w:cs="Arial"/>
                <w:sz w:val="12"/>
                <w:szCs w:val="12"/>
              </w:rPr>
            </w:pPr>
            <w:r>
              <w:rPr>
                <w:rFonts w:ascii="Arial" w:hAnsi="Arial"/>
                <w:sz w:val="12"/>
                <w:szCs w:val="12"/>
              </w:rPr>
              <w:t>Oseja</w:t>
            </w:r>
          </w:p>
        </w:tc>
        <w:tc>
          <w:tcPr>
            <w:tcW w:w="2268" w:type="dxa"/>
            <w:tcBorders>
              <w:right w:val="single" w:sz="4" w:space="0" w:color="auto"/>
            </w:tcBorders>
            <w:shd w:val="clear" w:color="auto" w:fill="D9D9D9"/>
            <w:hideMark/>
          </w:tcPr>
          <w:p w14:paraId="10AD375B" w14:textId="77777777" w:rsidR="002A4DDF" w:rsidRPr="00937C8B" w:rsidRDefault="002A4DDF" w:rsidP="009110ED">
            <w:pPr>
              <w:rPr>
                <w:rFonts w:ascii="Arial" w:hAnsi="Arial" w:cs="Arial"/>
                <w:sz w:val="12"/>
                <w:szCs w:val="12"/>
              </w:rPr>
            </w:pPr>
          </w:p>
        </w:tc>
      </w:tr>
      <w:tr w:rsidR="002A4DDF" w:rsidRPr="00937C8B" w14:paraId="5DB97F6E" w14:textId="77777777" w:rsidTr="00935676">
        <w:trPr>
          <w:cantSplit/>
        </w:trPr>
        <w:tc>
          <w:tcPr>
            <w:tcW w:w="1696" w:type="dxa"/>
            <w:tcBorders>
              <w:left w:val="single" w:sz="4" w:space="0" w:color="auto"/>
            </w:tcBorders>
            <w:shd w:val="clear" w:color="auto" w:fill="auto"/>
          </w:tcPr>
          <w:p w14:paraId="5DC005A3" w14:textId="77777777" w:rsidR="002A4DDF" w:rsidRPr="00937C8B" w:rsidRDefault="002A4DDF" w:rsidP="009110ED">
            <w:pPr>
              <w:rPr>
                <w:rFonts w:ascii="Arial" w:hAnsi="Arial" w:cs="Arial"/>
                <w:sz w:val="12"/>
                <w:szCs w:val="12"/>
              </w:rPr>
            </w:pPr>
          </w:p>
        </w:tc>
        <w:tc>
          <w:tcPr>
            <w:tcW w:w="1843" w:type="dxa"/>
            <w:shd w:val="clear" w:color="auto" w:fill="auto"/>
          </w:tcPr>
          <w:p w14:paraId="2AA51C54" w14:textId="77777777" w:rsidR="002A4DDF" w:rsidRPr="00937C8B" w:rsidRDefault="002A4DDF" w:rsidP="009110ED">
            <w:pPr>
              <w:rPr>
                <w:rFonts w:ascii="Arial" w:hAnsi="Arial" w:cs="Arial"/>
                <w:sz w:val="12"/>
                <w:szCs w:val="12"/>
              </w:rPr>
            </w:pPr>
          </w:p>
        </w:tc>
        <w:tc>
          <w:tcPr>
            <w:tcW w:w="2268" w:type="dxa"/>
            <w:shd w:val="clear" w:color="auto" w:fill="F2F2F2"/>
            <w:hideMark/>
          </w:tcPr>
          <w:p w14:paraId="1B3C7B64" w14:textId="77777777" w:rsidR="002A4DDF" w:rsidRPr="00937C8B" w:rsidRDefault="002A4DDF" w:rsidP="009110ED">
            <w:pPr>
              <w:rPr>
                <w:rFonts w:ascii="Arial" w:hAnsi="Arial" w:cs="Arial"/>
                <w:sz w:val="12"/>
                <w:szCs w:val="12"/>
              </w:rPr>
            </w:pPr>
            <w:r>
              <w:rPr>
                <w:rFonts w:ascii="Arial" w:hAnsi="Arial"/>
                <w:sz w:val="12"/>
                <w:szCs w:val="12"/>
              </w:rPr>
              <w:t>Paniza</w:t>
            </w:r>
          </w:p>
        </w:tc>
        <w:tc>
          <w:tcPr>
            <w:tcW w:w="2268" w:type="dxa"/>
            <w:tcBorders>
              <w:right w:val="single" w:sz="4" w:space="0" w:color="auto"/>
            </w:tcBorders>
            <w:shd w:val="clear" w:color="auto" w:fill="D9D9D9"/>
            <w:hideMark/>
          </w:tcPr>
          <w:p w14:paraId="7A5659A1" w14:textId="77777777" w:rsidR="002A4DDF" w:rsidRPr="00937C8B" w:rsidRDefault="002A4DDF" w:rsidP="009110ED">
            <w:pPr>
              <w:rPr>
                <w:rFonts w:ascii="Arial" w:hAnsi="Arial" w:cs="Arial"/>
                <w:sz w:val="12"/>
                <w:szCs w:val="12"/>
              </w:rPr>
            </w:pPr>
          </w:p>
        </w:tc>
      </w:tr>
      <w:tr w:rsidR="002A4DDF" w:rsidRPr="00937C8B" w14:paraId="0E58B73A" w14:textId="77777777" w:rsidTr="00935676">
        <w:trPr>
          <w:cantSplit/>
        </w:trPr>
        <w:tc>
          <w:tcPr>
            <w:tcW w:w="1696" w:type="dxa"/>
            <w:tcBorders>
              <w:left w:val="single" w:sz="4" w:space="0" w:color="auto"/>
            </w:tcBorders>
            <w:shd w:val="clear" w:color="auto" w:fill="auto"/>
          </w:tcPr>
          <w:p w14:paraId="305A883D" w14:textId="77777777" w:rsidR="002A4DDF" w:rsidRPr="00937C8B" w:rsidRDefault="002A4DDF" w:rsidP="009110ED">
            <w:pPr>
              <w:rPr>
                <w:rFonts w:ascii="Arial" w:hAnsi="Arial" w:cs="Arial"/>
                <w:sz w:val="12"/>
                <w:szCs w:val="12"/>
              </w:rPr>
            </w:pPr>
          </w:p>
        </w:tc>
        <w:tc>
          <w:tcPr>
            <w:tcW w:w="1843" w:type="dxa"/>
            <w:shd w:val="clear" w:color="auto" w:fill="auto"/>
          </w:tcPr>
          <w:p w14:paraId="1C294782" w14:textId="77777777" w:rsidR="002A4DDF" w:rsidRPr="00937C8B" w:rsidRDefault="002A4DDF" w:rsidP="009110ED">
            <w:pPr>
              <w:rPr>
                <w:rFonts w:ascii="Arial" w:hAnsi="Arial" w:cs="Arial"/>
                <w:sz w:val="12"/>
                <w:szCs w:val="12"/>
              </w:rPr>
            </w:pPr>
          </w:p>
        </w:tc>
        <w:tc>
          <w:tcPr>
            <w:tcW w:w="2268" w:type="dxa"/>
            <w:shd w:val="clear" w:color="auto" w:fill="F2F2F2"/>
            <w:hideMark/>
          </w:tcPr>
          <w:p w14:paraId="76A8F44E" w14:textId="77777777" w:rsidR="002A4DDF" w:rsidRPr="00937C8B" w:rsidRDefault="002A4DDF" w:rsidP="009110ED">
            <w:pPr>
              <w:rPr>
                <w:rFonts w:ascii="Arial" w:hAnsi="Arial" w:cs="Arial"/>
                <w:sz w:val="12"/>
                <w:szCs w:val="12"/>
              </w:rPr>
            </w:pPr>
            <w:r>
              <w:rPr>
                <w:rFonts w:ascii="Arial" w:hAnsi="Arial"/>
                <w:sz w:val="12"/>
                <w:szCs w:val="12"/>
              </w:rPr>
              <w:t>Paracuellos de Jiloca</w:t>
            </w:r>
          </w:p>
        </w:tc>
        <w:tc>
          <w:tcPr>
            <w:tcW w:w="2268" w:type="dxa"/>
            <w:tcBorders>
              <w:right w:val="single" w:sz="4" w:space="0" w:color="auto"/>
            </w:tcBorders>
            <w:shd w:val="clear" w:color="auto" w:fill="D9D9D9"/>
            <w:hideMark/>
          </w:tcPr>
          <w:p w14:paraId="4AB14960" w14:textId="77777777" w:rsidR="002A4DDF" w:rsidRPr="00937C8B" w:rsidRDefault="002A4DDF" w:rsidP="009110ED">
            <w:pPr>
              <w:rPr>
                <w:rFonts w:ascii="Arial" w:hAnsi="Arial" w:cs="Arial"/>
                <w:sz w:val="12"/>
                <w:szCs w:val="12"/>
              </w:rPr>
            </w:pPr>
          </w:p>
        </w:tc>
      </w:tr>
      <w:tr w:rsidR="002A4DDF" w:rsidRPr="00937C8B" w14:paraId="4B886248" w14:textId="77777777" w:rsidTr="00935676">
        <w:trPr>
          <w:cantSplit/>
        </w:trPr>
        <w:tc>
          <w:tcPr>
            <w:tcW w:w="1696" w:type="dxa"/>
            <w:tcBorders>
              <w:left w:val="single" w:sz="4" w:space="0" w:color="auto"/>
            </w:tcBorders>
            <w:shd w:val="clear" w:color="auto" w:fill="auto"/>
          </w:tcPr>
          <w:p w14:paraId="7C79ED41" w14:textId="77777777" w:rsidR="002A4DDF" w:rsidRPr="00937C8B" w:rsidRDefault="002A4DDF" w:rsidP="009110ED">
            <w:pPr>
              <w:rPr>
                <w:rFonts w:ascii="Arial" w:hAnsi="Arial" w:cs="Arial"/>
                <w:sz w:val="12"/>
                <w:szCs w:val="12"/>
              </w:rPr>
            </w:pPr>
          </w:p>
        </w:tc>
        <w:tc>
          <w:tcPr>
            <w:tcW w:w="1843" w:type="dxa"/>
            <w:shd w:val="clear" w:color="auto" w:fill="auto"/>
          </w:tcPr>
          <w:p w14:paraId="6C8FD7DD" w14:textId="77777777" w:rsidR="002A4DDF" w:rsidRPr="00937C8B" w:rsidRDefault="002A4DDF" w:rsidP="009110ED">
            <w:pPr>
              <w:rPr>
                <w:rFonts w:ascii="Arial" w:hAnsi="Arial" w:cs="Arial"/>
                <w:sz w:val="12"/>
                <w:szCs w:val="12"/>
              </w:rPr>
            </w:pPr>
          </w:p>
        </w:tc>
        <w:tc>
          <w:tcPr>
            <w:tcW w:w="2268" w:type="dxa"/>
            <w:shd w:val="clear" w:color="auto" w:fill="F2F2F2"/>
            <w:hideMark/>
          </w:tcPr>
          <w:p w14:paraId="65591FDC" w14:textId="77777777" w:rsidR="002A4DDF" w:rsidRPr="00937C8B" w:rsidRDefault="002A4DDF" w:rsidP="009110ED">
            <w:pPr>
              <w:rPr>
                <w:rFonts w:ascii="Arial" w:hAnsi="Arial" w:cs="Arial"/>
                <w:sz w:val="12"/>
                <w:szCs w:val="12"/>
              </w:rPr>
            </w:pPr>
            <w:r>
              <w:rPr>
                <w:rFonts w:ascii="Arial" w:hAnsi="Arial"/>
                <w:sz w:val="12"/>
                <w:szCs w:val="12"/>
              </w:rPr>
              <w:t>Paracuellos de la Ribera</w:t>
            </w:r>
          </w:p>
        </w:tc>
        <w:tc>
          <w:tcPr>
            <w:tcW w:w="2268" w:type="dxa"/>
            <w:tcBorders>
              <w:right w:val="single" w:sz="4" w:space="0" w:color="auto"/>
            </w:tcBorders>
            <w:shd w:val="clear" w:color="auto" w:fill="D9D9D9"/>
            <w:hideMark/>
          </w:tcPr>
          <w:p w14:paraId="27282E63" w14:textId="77777777" w:rsidR="002A4DDF" w:rsidRPr="00937C8B" w:rsidRDefault="002A4DDF" w:rsidP="009110ED">
            <w:pPr>
              <w:rPr>
                <w:rFonts w:ascii="Arial" w:hAnsi="Arial" w:cs="Arial"/>
                <w:sz w:val="12"/>
                <w:szCs w:val="12"/>
              </w:rPr>
            </w:pPr>
          </w:p>
        </w:tc>
      </w:tr>
      <w:tr w:rsidR="002A4DDF" w:rsidRPr="00937C8B" w14:paraId="2AA3341D" w14:textId="77777777" w:rsidTr="00935676">
        <w:trPr>
          <w:cantSplit/>
        </w:trPr>
        <w:tc>
          <w:tcPr>
            <w:tcW w:w="1696" w:type="dxa"/>
            <w:tcBorders>
              <w:left w:val="single" w:sz="4" w:space="0" w:color="auto"/>
            </w:tcBorders>
            <w:shd w:val="clear" w:color="auto" w:fill="auto"/>
          </w:tcPr>
          <w:p w14:paraId="4A2F4796" w14:textId="77777777" w:rsidR="002A4DDF" w:rsidRPr="00937C8B" w:rsidRDefault="002A4DDF" w:rsidP="009110ED">
            <w:pPr>
              <w:rPr>
                <w:rFonts w:ascii="Arial" w:hAnsi="Arial" w:cs="Arial"/>
                <w:sz w:val="12"/>
                <w:szCs w:val="12"/>
              </w:rPr>
            </w:pPr>
          </w:p>
        </w:tc>
        <w:tc>
          <w:tcPr>
            <w:tcW w:w="1843" w:type="dxa"/>
            <w:shd w:val="clear" w:color="auto" w:fill="auto"/>
          </w:tcPr>
          <w:p w14:paraId="12DA20C2" w14:textId="77777777" w:rsidR="002A4DDF" w:rsidRPr="00937C8B" w:rsidRDefault="002A4DDF" w:rsidP="009110ED">
            <w:pPr>
              <w:rPr>
                <w:rFonts w:ascii="Arial" w:hAnsi="Arial" w:cs="Arial"/>
                <w:sz w:val="12"/>
                <w:szCs w:val="12"/>
              </w:rPr>
            </w:pPr>
          </w:p>
        </w:tc>
        <w:tc>
          <w:tcPr>
            <w:tcW w:w="2268" w:type="dxa"/>
            <w:shd w:val="clear" w:color="auto" w:fill="F2F2F2"/>
            <w:hideMark/>
          </w:tcPr>
          <w:p w14:paraId="55276F18" w14:textId="77777777" w:rsidR="002A4DDF" w:rsidRPr="00937C8B" w:rsidRDefault="002A4DDF" w:rsidP="009110ED">
            <w:pPr>
              <w:rPr>
                <w:rFonts w:ascii="Arial" w:hAnsi="Arial" w:cs="Arial"/>
                <w:sz w:val="12"/>
                <w:szCs w:val="12"/>
              </w:rPr>
            </w:pPr>
            <w:r>
              <w:rPr>
                <w:rFonts w:ascii="Arial" w:hAnsi="Arial"/>
                <w:sz w:val="12"/>
                <w:szCs w:val="12"/>
              </w:rPr>
              <w:t>Pina de Ebro</w:t>
            </w:r>
          </w:p>
        </w:tc>
        <w:tc>
          <w:tcPr>
            <w:tcW w:w="2268" w:type="dxa"/>
            <w:tcBorders>
              <w:right w:val="single" w:sz="4" w:space="0" w:color="auto"/>
            </w:tcBorders>
            <w:shd w:val="clear" w:color="auto" w:fill="D9D9D9"/>
            <w:hideMark/>
          </w:tcPr>
          <w:p w14:paraId="64DDC388" w14:textId="77777777" w:rsidR="002A4DDF" w:rsidRPr="00937C8B" w:rsidRDefault="002A4DDF" w:rsidP="009110ED">
            <w:pPr>
              <w:rPr>
                <w:rFonts w:ascii="Arial" w:hAnsi="Arial" w:cs="Arial"/>
                <w:sz w:val="12"/>
                <w:szCs w:val="12"/>
              </w:rPr>
            </w:pPr>
          </w:p>
        </w:tc>
      </w:tr>
      <w:tr w:rsidR="002A4DDF" w:rsidRPr="00937C8B" w14:paraId="521A3F0A" w14:textId="77777777" w:rsidTr="00935676">
        <w:trPr>
          <w:cantSplit/>
        </w:trPr>
        <w:tc>
          <w:tcPr>
            <w:tcW w:w="1696" w:type="dxa"/>
            <w:tcBorders>
              <w:left w:val="single" w:sz="4" w:space="0" w:color="auto"/>
            </w:tcBorders>
            <w:shd w:val="clear" w:color="auto" w:fill="auto"/>
          </w:tcPr>
          <w:p w14:paraId="5213121A" w14:textId="77777777" w:rsidR="002A4DDF" w:rsidRPr="00937C8B" w:rsidRDefault="002A4DDF" w:rsidP="009110ED">
            <w:pPr>
              <w:rPr>
                <w:rFonts w:ascii="Arial" w:hAnsi="Arial" w:cs="Arial"/>
                <w:sz w:val="12"/>
                <w:szCs w:val="12"/>
              </w:rPr>
            </w:pPr>
          </w:p>
        </w:tc>
        <w:tc>
          <w:tcPr>
            <w:tcW w:w="1843" w:type="dxa"/>
            <w:shd w:val="clear" w:color="auto" w:fill="auto"/>
          </w:tcPr>
          <w:p w14:paraId="40AA59EB" w14:textId="77777777" w:rsidR="002A4DDF" w:rsidRPr="00937C8B" w:rsidRDefault="002A4DDF" w:rsidP="009110ED">
            <w:pPr>
              <w:rPr>
                <w:rFonts w:ascii="Arial" w:hAnsi="Arial" w:cs="Arial"/>
                <w:sz w:val="12"/>
                <w:szCs w:val="12"/>
              </w:rPr>
            </w:pPr>
          </w:p>
        </w:tc>
        <w:tc>
          <w:tcPr>
            <w:tcW w:w="2268" w:type="dxa"/>
            <w:shd w:val="clear" w:color="auto" w:fill="F2F2F2"/>
            <w:hideMark/>
          </w:tcPr>
          <w:p w14:paraId="62486A7B" w14:textId="77777777" w:rsidR="002A4DDF" w:rsidRPr="00937C8B" w:rsidRDefault="002A4DDF" w:rsidP="009110ED">
            <w:pPr>
              <w:rPr>
                <w:rFonts w:ascii="Arial" w:hAnsi="Arial" w:cs="Arial"/>
                <w:sz w:val="12"/>
                <w:szCs w:val="12"/>
              </w:rPr>
            </w:pPr>
            <w:r>
              <w:rPr>
                <w:rFonts w:ascii="Arial" w:hAnsi="Arial"/>
                <w:sz w:val="12"/>
                <w:szCs w:val="12"/>
              </w:rPr>
              <w:t>Pomer</w:t>
            </w:r>
          </w:p>
        </w:tc>
        <w:tc>
          <w:tcPr>
            <w:tcW w:w="2268" w:type="dxa"/>
            <w:tcBorders>
              <w:right w:val="single" w:sz="4" w:space="0" w:color="auto"/>
            </w:tcBorders>
            <w:shd w:val="clear" w:color="auto" w:fill="D9D9D9"/>
            <w:hideMark/>
          </w:tcPr>
          <w:p w14:paraId="0F29CFEC" w14:textId="77777777" w:rsidR="002A4DDF" w:rsidRPr="00937C8B" w:rsidRDefault="002A4DDF" w:rsidP="009110ED">
            <w:pPr>
              <w:rPr>
                <w:rFonts w:ascii="Arial" w:hAnsi="Arial" w:cs="Arial"/>
                <w:sz w:val="12"/>
                <w:szCs w:val="12"/>
              </w:rPr>
            </w:pPr>
          </w:p>
        </w:tc>
      </w:tr>
      <w:tr w:rsidR="002A4DDF" w:rsidRPr="00937C8B" w14:paraId="38E8BA74" w14:textId="77777777" w:rsidTr="00935676">
        <w:trPr>
          <w:cantSplit/>
        </w:trPr>
        <w:tc>
          <w:tcPr>
            <w:tcW w:w="1696" w:type="dxa"/>
            <w:tcBorders>
              <w:left w:val="single" w:sz="4" w:space="0" w:color="auto"/>
            </w:tcBorders>
            <w:shd w:val="clear" w:color="auto" w:fill="auto"/>
          </w:tcPr>
          <w:p w14:paraId="53F14636" w14:textId="77777777" w:rsidR="002A4DDF" w:rsidRPr="00937C8B" w:rsidRDefault="002A4DDF" w:rsidP="009110ED">
            <w:pPr>
              <w:rPr>
                <w:rFonts w:ascii="Arial" w:hAnsi="Arial" w:cs="Arial"/>
                <w:sz w:val="12"/>
                <w:szCs w:val="12"/>
              </w:rPr>
            </w:pPr>
          </w:p>
        </w:tc>
        <w:tc>
          <w:tcPr>
            <w:tcW w:w="1843" w:type="dxa"/>
            <w:shd w:val="clear" w:color="auto" w:fill="auto"/>
          </w:tcPr>
          <w:p w14:paraId="6A1F6ED0" w14:textId="77777777" w:rsidR="002A4DDF" w:rsidRPr="00937C8B" w:rsidRDefault="002A4DDF" w:rsidP="009110ED">
            <w:pPr>
              <w:rPr>
                <w:rFonts w:ascii="Arial" w:hAnsi="Arial" w:cs="Arial"/>
                <w:sz w:val="12"/>
                <w:szCs w:val="12"/>
              </w:rPr>
            </w:pPr>
          </w:p>
        </w:tc>
        <w:tc>
          <w:tcPr>
            <w:tcW w:w="2268" w:type="dxa"/>
            <w:shd w:val="clear" w:color="auto" w:fill="F2F2F2"/>
            <w:hideMark/>
          </w:tcPr>
          <w:p w14:paraId="52EB22AA" w14:textId="77777777" w:rsidR="002A4DDF" w:rsidRPr="00937C8B" w:rsidRDefault="002A4DDF" w:rsidP="009110ED">
            <w:pPr>
              <w:rPr>
                <w:rFonts w:ascii="Arial" w:hAnsi="Arial" w:cs="Arial"/>
                <w:sz w:val="12"/>
                <w:szCs w:val="12"/>
              </w:rPr>
            </w:pPr>
            <w:r>
              <w:rPr>
                <w:rFonts w:ascii="Arial" w:hAnsi="Arial"/>
                <w:sz w:val="12"/>
                <w:szCs w:val="12"/>
              </w:rPr>
              <w:t>Pradilla de Ebro</w:t>
            </w:r>
          </w:p>
        </w:tc>
        <w:tc>
          <w:tcPr>
            <w:tcW w:w="2268" w:type="dxa"/>
            <w:tcBorders>
              <w:right w:val="single" w:sz="4" w:space="0" w:color="auto"/>
            </w:tcBorders>
            <w:shd w:val="clear" w:color="auto" w:fill="D9D9D9"/>
            <w:hideMark/>
          </w:tcPr>
          <w:p w14:paraId="219DAC53" w14:textId="77777777" w:rsidR="002A4DDF" w:rsidRPr="00937C8B" w:rsidRDefault="002A4DDF" w:rsidP="009110ED">
            <w:pPr>
              <w:rPr>
                <w:rFonts w:ascii="Arial" w:hAnsi="Arial" w:cs="Arial"/>
                <w:sz w:val="12"/>
                <w:szCs w:val="12"/>
              </w:rPr>
            </w:pPr>
          </w:p>
        </w:tc>
      </w:tr>
      <w:tr w:rsidR="002A4DDF" w:rsidRPr="00937C8B" w14:paraId="01618991" w14:textId="77777777" w:rsidTr="00935676">
        <w:trPr>
          <w:cantSplit/>
        </w:trPr>
        <w:tc>
          <w:tcPr>
            <w:tcW w:w="1696" w:type="dxa"/>
            <w:tcBorders>
              <w:left w:val="single" w:sz="4" w:space="0" w:color="auto"/>
            </w:tcBorders>
            <w:shd w:val="clear" w:color="auto" w:fill="auto"/>
          </w:tcPr>
          <w:p w14:paraId="5345C6DC" w14:textId="77777777" w:rsidR="002A4DDF" w:rsidRPr="00937C8B" w:rsidRDefault="002A4DDF" w:rsidP="009110ED">
            <w:pPr>
              <w:rPr>
                <w:rFonts w:ascii="Arial" w:hAnsi="Arial" w:cs="Arial"/>
                <w:sz w:val="12"/>
                <w:szCs w:val="12"/>
              </w:rPr>
            </w:pPr>
          </w:p>
        </w:tc>
        <w:tc>
          <w:tcPr>
            <w:tcW w:w="1843" w:type="dxa"/>
            <w:shd w:val="clear" w:color="auto" w:fill="auto"/>
          </w:tcPr>
          <w:p w14:paraId="36EAD424" w14:textId="77777777" w:rsidR="002A4DDF" w:rsidRPr="00937C8B" w:rsidRDefault="002A4DDF" w:rsidP="009110ED">
            <w:pPr>
              <w:rPr>
                <w:rFonts w:ascii="Arial" w:hAnsi="Arial" w:cs="Arial"/>
                <w:sz w:val="12"/>
                <w:szCs w:val="12"/>
              </w:rPr>
            </w:pPr>
          </w:p>
        </w:tc>
        <w:tc>
          <w:tcPr>
            <w:tcW w:w="2268" w:type="dxa"/>
            <w:shd w:val="clear" w:color="auto" w:fill="F2F2F2"/>
            <w:hideMark/>
          </w:tcPr>
          <w:p w14:paraId="69D94A55" w14:textId="77777777" w:rsidR="002A4DDF" w:rsidRPr="00937C8B" w:rsidRDefault="002A4DDF" w:rsidP="009110ED">
            <w:pPr>
              <w:rPr>
                <w:rFonts w:ascii="Arial" w:hAnsi="Arial" w:cs="Arial"/>
                <w:sz w:val="12"/>
                <w:szCs w:val="12"/>
              </w:rPr>
            </w:pPr>
            <w:r>
              <w:rPr>
                <w:rFonts w:ascii="Arial" w:hAnsi="Arial"/>
                <w:sz w:val="12"/>
                <w:szCs w:val="12"/>
              </w:rPr>
              <w:t>Purujosa</w:t>
            </w:r>
          </w:p>
        </w:tc>
        <w:tc>
          <w:tcPr>
            <w:tcW w:w="2268" w:type="dxa"/>
            <w:tcBorders>
              <w:right w:val="single" w:sz="4" w:space="0" w:color="auto"/>
            </w:tcBorders>
            <w:shd w:val="clear" w:color="auto" w:fill="D9D9D9"/>
            <w:hideMark/>
          </w:tcPr>
          <w:p w14:paraId="5005963D" w14:textId="77777777" w:rsidR="002A4DDF" w:rsidRPr="00937C8B" w:rsidRDefault="002A4DDF" w:rsidP="009110ED">
            <w:pPr>
              <w:rPr>
                <w:rFonts w:ascii="Arial" w:hAnsi="Arial" w:cs="Arial"/>
                <w:sz w:val="12"/>
                <w:szCs w:val="12"/>
              </w:rPr>
            </w:pPr>
          </w:p>
        </w:tc>
      </w:tr>
      <w:tr w:rsidR="002A4DDF" w:rsidRPr="00937C8B" w14:paraId="5332FD39" w14:textId="77777777" w:rsidTr="00935676">
        <w:trPr>
          <w:cantSplit/>
        </w:trPr>
        <w:tc>
          <w:tcPr>
            <w:tcW w:w="1696" w:type="dxa"/>
            <w:tcBorders>
              <w:left w:val="single" w:sz="4" w:space="0" w:color="auto"/>
            </w:tcBorders>
            <w:shd w:val="clear" w:color="auto" w:fill="auto"/>
          </w:tcPr>
          <w:p w14:paraId="15E72644" w14:textId="77777777" w:rsidR="002A4DDF" w:rsidRPr="00937C8B" w:rsidRDefault="002A4DDF" w:rsidP="009110ED">
            <w:pPr>
              <w:rPr>
                <w:rFonts w:ascii="Arial" w:hAnsi="Arial" w:cs="Arial"/>
                <w:sz w:val="12"/>
                <w:szCs w:val="12"/>
              </w:rPr>
            </w:pPr>
          </w:p>
        </w:tc>
        <w:tc>
          <w:tcPr>
            <w:tcW w:w="1843" w:type="dxa"/>
            <w:shd w:val="clear" w:color="auto" w:fill="auto"/>
          </w:tcPr>
          <w:p w14:paraId="5FB3C715" w14:textId="77777777" w:rsidR="002A4DDF" w:rsidRPr="00937C8B" w:rsidRDefault="002A4DDF" w:rsidP="009110ED">
            <w:pPr>
              <w:rPr>
                <w:rFonts w:ascii="Arial" w:hAnsi="Arial" w:cs="Arial"/>
                <w:sz w:val="12"/>
                <w:szCs w:val="12"/>
              </w:rPr>
            </w:pPr>
          </w:p>
        </w:tc>
        <w:tc>
          <w:tcPr>
            <w:tcW w:w="2268" w:type="dxa"/>
            <w:shd w:val="clear" w:color="auto" w:fill="F2F2F2"/>
            <w:hideMark/>
          </w:tcPr>
          <w:p w14:paraId="0EE967CE" w14:textId="77777777" w:rsidR="002A4DDF" w:rsidRPr="00937C8B" w:rsidRDefault="002A4DDF" w:rsidP="009110ED">
            <w:pPr>
              <w:rPr>
                <w:rFonts w:ascii="Arial" w:hAnsi="Arial" w:cs="Arial"/>
                <w:sz w:val="12"/>
                <w:szCs w:val="12"/>
              </w:rPr>
            </w:pPr>
            <w:r>
              <w:rPr>
                <w:rFonts w:ascii="Arial" w:hAnsi="Arial"/>
                <w:sz w:val="12"/>
                <w:szCs w:val="12"/>
              </w:rPr>
              <w:t>Quinto</w:t>
            </w:r>
          </w:p>
        </w:tc>
        <w:tc>
          <w:tcPr>
            <w:tcW w:w="2268" w:type="dxa"/>
            <w:tcBorders>
              <w:right w:val="single" w:sz="4" w:space="0" w:color="auto"/>
            </w:tcBorders>
            <w:shd w:val="clear" w:color="auto" w:fill="D9D9D9"/>
            <w:hideMark/>
          </w:tcPr>
          <w:p w14:paraId="2B400CAC" w14:textId="77777777" w:rsidR="002A4DDF" w:rsidRPr="00937C8B" w:rsidRDefault="002A4DDF" w:rsidP="009110ED">
            <w:pPr>
              <w:rPr>
                <w:rFonts w:ascii="Arial" w:hAnsi="Arial" w:cs="Arial"/>
                <w:sz w:val="12"/>
                <w:szCs w:val="12"/>
              </w:rPr>
            </w:pPr>
          </w:p>
        </w:tc>
      </w:tr>
      <w:tr w:rsidR="002A4DDF" w:rsidRPr="00937C8B" w14:paraId="4D11A4B9" w14:textId="77777777" w:rsidTr="00935676">
        <w:trPr>
          <w:cantSplit/>
        </w:trPr>
        <w:tc>
          <w:tcPr>
            <w:tcW w:w="1696" w:type="dxa"/>
            <w:tcBorders>
              <w:left w:val="single" w:sz="4" w:space="0" w:color="auto"/>
            </w:tcBorders>
            <w:shd w:val="clear" w:color="auto" w:fill="auto"/>
          </w:tcPr>
          <w:p w14:paraId="66294C45" w14:textId="77777777" w:rsidR="002A4DDF" w:rsidRPr="00937C8B" w:rsidRDefault="002A4DDF" w:rsidP="009110ED">
            <w:pPr>
              <w:rPr>
                <w:rFonts w:ascii="Arial" w:hAnsi="Arial" w:cs="Arial"/>
                <w:sz w:val="12"/>
                <w:szCs w:val="12"/>
              </w:rPr>
            </w:pPr>
          </w:p>
        </w:tc>
        <w:tc>
          <w:tcPr>
            <w:tcW w:w="1843" w:type="dxa"/>
            <w:shd w:val="clear" w:color="auto" w:fill="auto"/>
          </w:tcPr>
          <w:p w14:paraId="595FE7BB" w14:textId="77777777" w:rsidR="002A4DDF" w:rsidRPr="00937C8B" w:rsidRDefault="002A4DDF" w:rsidP="009110ED">
            <w:pPr>
              <w:rPr>
                <w:rFonts w:ascii="Arial" w:hAnsi="Arial" w:cs="Arial"/>
                <w:sz w:val="12"/>
                <w:szCs w:val="12"/>
              </w:rPr>
            </w:pPr>
          </w:p>
        </w:tc>
        <w:tc>
          <w:tcPr>
            <w:tcW w:w="2268" w:type="dxa"/>
            <w:shd w:val="clear" w:color="auto" w:fill="F2F2F2"/>
            <w:hideMark/>
          </w:tcPr>
          <w:p w14:paraId="4F49C3A7" w14:textId="77777777" w:rsidR="002A4DDF" w:rsidRPr="00937C8B" w:rsidRDefault="002A4DDF" w:rsidP="009110ED">
            <w:pPr>
              <w:rPr>
                <w:rFonts w:ascii="Arial" w:hAnsi="Arial" w:cs="Arial"/>
                <w:sz w:val="12"/>
                <w:szCs w:val="12"/>
              </w:rPr>
            </w:pPr>
            <w:r>
              <w:rPr>
                <w:rFonts w:ascii="Arial" w:hAnsi="Arial"/>
                <w:sz w:val="12"/>
                <w:szCs w:val="12"/>
              </w:rPr>
              <w:t>Romanos</w:t>
            </w:r>
          </w:p>
        </w:tc>
        <w:tc>
          <w:tcPr>
            <w:tcW w:w="2268" w:type="dxa"/>
            <w:tcBorders>
              <w:right w:val="single" w:sz="4" w:space="0" w:color="auto"/>
            </w:tcBorders>
            <w:shd w:val="clear" w:color="auto" w:fill="D9D9D9"/>
            <w:hideMark/>
          </w:tcPr>
          <w:p w14:paraId="5BE3CBE3" w14:textId="77777777" w:rsidR="002A4DDF" w:rsidRPr="00937C8B" w:rsidRDefault="002A4DDF" w:rsidP="009110ED">
            <w:pPr>
              <w:rPr>
                <w:rFonts w:ascii="Arial" w:hAnsi="Arial" w:cs="Arial"/>
                <w:sz w:val="12"/>
                <w:szCs w:val="12"/>
              </w:rPr>
            </w:pPr>
          </w:p>
        </w:tc>
      </w:tr>
      <w:tr w:rsidR="002A4DDF" w:rsidRPr="00937C8B" w14:paraId="5EBFBDF4" w14:textId="77777777" w:rsidTr="00935676">
        <w:trPr>
          <w:cantSplit/>
        </w:trPr>
        <w:tc>
          <w:tcPr>
            <w:tcW w:w="1696" w:type="dxa"/>
            <w:tcBorders>
              <w:left w:val="single" w:sz="4" w:space="0" w:color="auto"/>
            </w:tcBorders>
            <w:shd w:val="clear" w:color="auto" w:fill="auto"/>
          </w:tcPr>
          <w:p w14:paraId="38E91E35" w14:textId="77777777" w:rsidR="002A4DDF" w:rsidRPr="00937C8B" w:rsidRDefault="002A4DDF" w:rsidP="009110ED">
            <w:pPr>
              <w:rPr>
                <w:rFonts w:ascii="Arial" w:hAnsi="Arial" w:cs="Arial"/>
                <w:sz w:val="12"/>
                <w:szCs w:val="12"/>
              </w:rPr>
            </w:pPr>
          </w:p>
        </w:tc>
        <w:tc>
          <w:tcPr>
            <w:tcW w:w="1843" w:type="dxa"/>
            <w:shd w:val="clear" w:color="auto" w:fill="auto"/>
          </w:tcPr>
          <w:p w14:paraId="6238984A" w14:textId="77777777" w:rsidR="002A4DDF" w:rsidRPr="00937C8B" w:rsidRDefault="002A4DDF" w:rsidP="009110ED">
            <w:pPr>
              <w:rPr>
                <w:rFonts w:ascii="Arial" w:hAnsi="Arial" w:cs="Arial"/>
                <w:sz w:val="12"/>
                <w:szCs w:val="12"/>
              </w:rPr>
            </w:pPr>
          </w:p>
        </w:tc>
        <w:tc>
          <w:tcPr>
            <w:tcW w:w="2268" w:type="dxa"/>
            <w:shd w:val="clear" w:color="auto" w:fill="F2F2F2"/>
            <w:hideMark/>
          </w:tcPr>
          <w:p w14:paraId="30374233" w14:textId="77777777" w:rsidR="002A4DDF" w:rsidRPr="00937C8B" w:rsidRDefault="002A4DDF" w:rsidP="009110ED">
            <w:pPr>
              <w:rPr>
                <w:rFonts w:ascii="Arial" w:hAnsi="Arial" w:cs="Arial"/>
                <w:sz w:val="12"/>
                <w:szCs w:val="12"/>
              </w:rPr>
            </w:pPr>
            <w:r>
              <w:rPr>
                <w:rFonts w:ascii="Arial" w:hAnsi="Arial"/>
                <w:sz w:val="12"/>
                <w:szCs w:val="12"/>
              </w:rPr>
              <w:t>Ruesca</w:t>
            </w:r>
          </w:p>
        </w:tc>
        <w:tc>
          <w:tcPr>
            <w:tcW w:w="2268" w:type="dxa"/>
            <w:tcBorders>
              <w:right w:val="single" w:sz="4" w:space="0" w:color="auto"/>
            </w:tcBorders>
            <w:shd w:val="clear" w:color="auto" w:fill="D9D9D9"/>
            <w:hideMark/>
          </w:tcPr>
          <w:p w14:paraId="52F366E8" w14:textId="77777777" w:rsidR="002A4DDF" w:rsidRPr="00937C8B" w:rsidRDefault="002A4DDF" w:rsidP="009110ED">
            <w:pPr>
              <w:rPr>
                <w:rFonts w:ascii="Arial" w:hAnsi="Arial" w:cs="Arial"/>
                <w:sz w:val="12"/>
                <w:szCs w:val="12"/>
              </w:rPr>
            </w:pPr>
          </w:p>
        </w:tc>
      </w:tr>
      <w:tr w:rsidR="002A4DDF" w:rsidRPr="00937C8B" w14:paraId="709FAF53" w14:textId="77777777" w:rsidTr="00935676">
        <w:trPr>
          <w:cantSplit/>
        </w:trPr>
        <w:tc>
          <w:tcPr>
            <w:tcW w:w="1696" w:type="dxa"/>
            <w:tcBorders>
              <w:left w:val="single" w:sz="4" w:space="0" w:color="auto"/>
            </w:tcBorders>
            <w:shd w:val="clear" w:color="auto" w:fill="auto"/>
          </w:tcPr>
          <w:p w14:paraId="7CE71427" w14:textId="77777777" w:rsidR="002A4DDF" w:rsidRPr="00937C8B" w:rsidRDefault="002A4DDF" w:rsidP="009110ED">
            <w:pPr>
              <w:rPr>
                <w:rFonts w:ascii="Arial" w:hAnsi="Arial" w:cs="Arial"/>
                <w:sz w:val="12"/>
                <w:szCs w:val="12"/>
              </w:rPr>
            </w:pPr>
          </w:p>
        </w:tc>
        <w:tc>
          <w:tcPr>
            <w:tcW w:w="1843" w:type="dxa"/>
            <w:shd w:val="clear" w:color="auto" w:fill="auto"/>
          </w:tcPr>
          <w:p w14:paraId="47FD0631" w14:textId="77777777" w:rsidR="002A4DDF" w:rsidRPr="00937C8B" w:rsidRDefault="002A4DDF" w:rsidP="009110ED">
            <w:pPr>
              <w:rPr>
                <w:rFonts w:ascii="Arial" w:hAnsi="Arial" w:cs="Arial"/>
                <w:sz w:val="12"/>
                <w:szCs w:val="12"/>
              </w:rPr>
            </w:pPr>
          </w:p>
        </w:tc>
        <w:tc>
          <w:tcPr>
            <w:tcW w:w="2268" w:type="dxa"/>
            <w:shd w:val="clear" w:color="auto" w:fill="F2F2F2"/>
            <w:hideMark/>
          </w:tcPr>
          <w:p w14:paraId="50E3608A" w14:textId="77777777" w:rsidR="002A4DDF" w:rsidRPr="00937C8B" w:rsidRDefault="002A4DDF" w:rsidP="009110ED">
            <w:pPr>
              <w:rPr>
                <w:rFonts w:ascii="Arial" w:hAnsi="Arial" w:cs="Arial"/>
                <w:sz w:val="12"/>
                <w:szCs w:val="12"/>
              </w:rPr>
            </w:pPr>
            <w:r>
              <w:rPr>
                <w:rFonts w:ascii="Arial" w:hAnsi="Arial"/>
                <w:sz w:val="12"/>
                <w:szCs w:val="12"/>
              </w:rPr>
              <w:t>Sabiñán</w:t>
            </w:r>
          </w:p>
        </w:tc>
        <w:tc>
          <w:tcPr>
            <w:tcW w:w="2268" w:type="dxa"/>
            <w:tcBorders>
              <w:right w:val="single" w:sz="4" w:space="0" w:color="auto"/>
            </w:tcBorders>
            <w:shd w:val="clear" w:color="auto" w:fill="D9D9D9"/>
            <w:hideMark/>
          </w:tcPr>
          <w:p w14:paraId="3DFB66B3" w14:textId="77777777" w:rsidR="002A4DDF" w:rsidRPr="00937C8B" w:rsidRDefault="002A4DDF" w:rsidP="009110ED">
            <w:pPr>
              <w:rPr>
                <w:rFonts w:ascii="Arial" w:hAnsi="Arial" w:cs="Arial"/>
                <w:sz w:val="12"/>
                <w:szCs w:val="12"/>
              </w:rPr>
            </w:pPr>
          </w:p>
        </w:tc>
      </w:tr>
      <w:tr w:rsidR="002A4DDF" w:rsidRPr="00937C8B" w14:paraId="41D6BCF0" w14:textId="77777777" w:rsidTr="00935676">
        <w:trPr>
          <w:cantSplit/>
        </w:trPr>
        <w:tc>
          <w:tcPr>
            <w:tcW w:w="1696" w:type="dxa"/>
            <w:tcBorders>
              <w:left w:val="single" w:sz="4" w:space="0" w:color="auto"/>
            </w:tcBorders>
            <w:shd w:val="clear" w:color="auto" w:fill="auto"/>
          </w:tcPr>
          <w:p w14:paraId="3915FC3D" w14:textId="77777777" w:rsidR="002A4DDF" w:rsidRPr="00937C8B" w:rsidRDefault="002A4DDF" w:rsidP="009110ED">
            <w:pPr>
              <w:rPr>
                <w:rFonts w:ascii="Arial" w:hAnsi="Arial" w:cs="Arial"/>
                <w:sz w:val="12"/>
                <w:szCs w:val="12"/>
              </w:rPr>
            </w:pPr>
          </w:p>
        </w:tc>
        <w:tc>
          <w:tcPr>
            <w:tcW w:w="1843" w:type="dxa"/>
            <w:shd w:val="clear" w:color="auto" w:fill="auto"/>
          </w:tcPr>
          <w:p w14:paraId="1B7A7805" w14:textId="77777777" w:rsidR="002A4DDF" w:rsidRPr="00937C8B" w:rsidRDefault="002A4DDF" w:rsidP="009110ED">
            <w:pPr>
              <w:rPr>
                <w:rFonts w:ascii="Arial" w:hAnsi="Arial" w:cs="Arial"/>
                <w:sz w:val="12"/>
                <w:szCs w:val="12"/>
              </w:rPr>
            </w:pPr>
          </w:p>
        </w:tc>
        <w:tc>
          <w:tcPr>
            <w:tcW w:w="2268" w:type="dxa"/>
            <w:shd w:val="clear" w:color="auto" w:fill="F2F2F2"/>
            <w:hideMark/>
          </w:tcPr>
          <w:p w14:paraId="445B12B6" w14:textId="77777777" w:rsidR="002A4DDF" w:rsidRPr="00937C8B" w:rsidRDefault="002A4DDF" w:rsidP="009110ED">
            <w:pPr>
              <w:rPr>
                <w:rFonts w:ascii="Arial" w:hAnsi="Arial" w:cs="Arial"/>
                <w:sz w:val="12"/>
                <w:szCs w:val="12"/>
              </w:rPr>
            </w:pPr>
            <w:r>
              <w:rPr>
                <w:rFonts w:ascii="Arial" w:hAnsi="Arial"/>
                <w:sz w:val="12"/>
                <w:szCs w:val="12"/>
              </w:rPr>
              <w:t>San Martín de la Virgen de Moncayo</w:t>
            </w:r>
          </w:p>
        </w:tc>
        <w:tc>
          <w:tcPr>
            <w:tcW w:w="2268" w:type="dxa"/>
            <w:tcBorders>
              <w:right w:val="single" w:sz="4" w:space="0" w:color="auto"/>
            </w:tcBorders>
            <w:shd w:val="clear" w:color="auto" w:fill="D9D9D9"/>
            <w:hideMark/>
          </w:tcPr>
          <w:p w14:paraId="74E9A11D" w14:textId="77777777" w:rsidR="002A4DDF" w:rsidRPr="00937C8B" w:rsidRDefault="002A4DDF" w:rsidP="009110ED">
            <w:pPr>
              <w:rPr>
                <w:rFonts w:ascii="Arial" w:hAnsi="Arial" w:cs="Arial"/>
                <w:sz w:val="12"/>
                <w:szCs w:val="12"/>
              </w:rPr>
            </w:pPr>
          </w:p>
        </w:tc>
      </w:tr>
      <w:tr w:rsidR="002A4DDF" w:rsidRPr="00937C8B" w14:paraId="3D741EF2" w14:textId="77777777" w:rsidTr="00935676">
        <w:trPr>
          <w:cantSplit/>
        </w:trPr>
        <w:tc>
          <w:tcPr>
            <w:tcW w:w="1696" w:type="dxa"/>
            <w:tcBorders>
              <w:left w:val="single" w:sz="4" w:space="0" w:color="auto"/>
            </w:tcBorders>
            <w:shd w:val="clear" w:color="auto" w:fill="auto"/>
          </w:tcPr>
          <w:p w14:paraId="661B1023" w14:textId="77777777" w:rsidR="002A4DDF" w:rsidRPr="00937C8B" w:rsidRDefault="002A4DDF" w:rsidP="009110ED">
            <w:pPr>
              <w:rPr>
                <w:rFonts w:ascii="Arial" w:hAnsi="Arial" w:cs="Arial"/>
                <w:sz w:val="12"/>
                <w:szCs w:val="12"/>
              </w:rPr>
            </w:pPr>
          </w:p>
        </w:tc>
        <w:tc>
          <w:tcPr>
            <w:tcW w:w="1843" w:type="dxa"/>
            <w:shd w:val="clear" w:color="auto" w:fill="auto"/>
          </w:tcPr>
          <w:p w14:paraId="3746FD76" w14:textId="77777777" w:rsidR="002A4DDF" w:rsidRPr="00937C8B" w:rsidRDefault="002A4DDF" w:rsidP="009110ED">
            <w:pPr>
              <w:rPr>
                <w:rFonts w:ascii="Arial" w:hAnsi="Arial" w:cs="Arial"/>
                <w:sz w:val="12"/>
                <w:szCs w:val="12"/>
              </w:rPr>
            </w:pPr>
          </w:p>
        </w:tc>
        <w:tc>
          <w:tcPr>
            <w:tcW w:w="2268" w:type="dxa"/>
            <w:shd w:val="clear" w:color="auto" w:fill="F2F2F2"/>
            <w:hideMark/>
          </w:tcPr>
          <w:p w14:paraId="39765D2D" w14:textId="77777777" w:rsidR="002A4DDF" w:rsidRPr="00937C8B" w:rsidRDefault="002A4DDF" w:rsidP="009110ED">
            <w:pPr>
              <w:rPr>
                <w:rFonts w:ascii="Arial" w:hAnsi="Arial" w:cs="Arial"/>
                <w:sz w:val="12"/>
                <w:szCs w:val="12"/>
              </w:rPr>
            </w:pPr>
            <w:r>
              <w:rPr>
                <w:rFonts w:ascii="Arial" w:hAnsi="Arial"/>
                <w:sz w:val="12"/>
                <w:szCs w:val="12"/>
              </w:rPr>
              <w:t>Santa Cruz de Grío</w:t>
            </w:r>
          </w:p>
        </w:tc>
        <w:tc>
          <w:tcPr>
            <w:tcW w:w="2268" w:type="dxa"/>
            <w:tcBorders>
              <w:right w:val="single" w:sz="4" w:space="0" w:color="auto"/>
            </w:tcBorders>
            <w:shd w:val="clear" w:color="auto" w:fill="D9D9D9"/>
            <w:hideMark/>
          </w:tcPr>
          <w:p w14:paraId="0CE161DD" w14:textId="77777777" w:rsidR="002A4DDF" w:rsidRPr="00937C8B" w:rsidRDefault="002A4DDF" w:rsidP="009110ED">
            <w:pPr>
              <w:rPr>
                <w:rFonts w:ascii="Arial" w:hAnsi="Arial" w:cs="Arial"/>
                <w:sz w:val="12"/>
                <w:szCs w:val="12"/>
              </w:rPr>
            </w:pPr>
          </w:p>
        </w:tc>
      </w:tr>
      <w:tr w:rsidR="002A4DDF" w:rsidRPr="00937C8B" w14:paraId="1E774753" w14:textId="77777777" w:rsidTr="00935676">
        <w:trPr>
          <w:cantSplit/>
        </w:trPr>
        <w:tc>
          <w:tcPr>
            <w:tcW w:w="1696" w:type="dxa"/>
            <w:tcBorders>
              <w:left w:val="single" w:sz="4" w:space="0" w:color="auto"/>
            </w:tcBorders>
            <w:shd w:val="clear" w:color="auto" w:fill="auto"/>
          </w:tcPr>
          <w:p w14:paraId="2AD40494" w14:textId="77777777" w:rsidR="002A4DDF" w:rsidRPr="00937C8B" w:rsidRDefault="002A4DDF" w:rsidP="009110ED">
            <w:pPr>
              <w:rPr>
                <w:rFonts w:ascii="Arial" w:hAnsi="Arial" w:cs="Arial"/>
                <w:sz w:val="12"/>
                <w:szCs w:val="12"/>
              </w:rPr>
            </w:pPr>
          </w:p>
        </w:tc>
        <w:tc>
          <w:tcPr>
            <w:tcW w:w="1843" w:type="dxa"/>
            <w:shd w:val="clear" w:color="auto" w:fill="auto"/>
          </w:tcPr>
          <w:p w14:paraId="22C0735D" w14:textId="77777777" w:rsidR="002A4DDF" w:rsidRPr="00937C8B" w:rsidRDefault="002A4DDF" w:rsidP="009110ED">
            <w:pPr>
              <w:rPr>
                <w:rFonts w:ascii="Arial" w:hAnsi="Arial" w:cs="Arial"/>
                <w:sz w:val="12"/>
                <w:szCs w:val="12"/>
              </w:rPr>
            </w:pPr>
          </w:p>
        </w:tc>
        <w:tc>
          <w:tcPr>
            <w:tcW w:w="2268" w:type="dxa"/>
            <w:shd w:val="clear" w:color="auto" w:fill="F2F2F2"/>
            <w:hideMark/>
          </w:tcPr>
          <w:p w14:paraId="4C168935" w14:textId="77777777" w:rsidR="002A4DDF" w:rsidRPr="00937C8B" w:rsidRDefault="002A4DDF" w:rsidP="009110ED">
            <w:pPr>
              <w:rPr>
                <w:rFonts w:ascii="Arial" w:hAnsi="Arial" w:cs="Arial"/>
                <w:sz w:val="12"/>
                <w:szCs w:val="12"/>
              </w:rPr>
            </w:pPr>
            <w:r>
              <w:rPr>
                <w:rFonts w:ascii="Arial" w:hAnsi="Arial"/>
                <w:sz w:val="12"/>
                <w:szCs w:val="12"/>
              </w:rPr>
              <w:t>Santed</w:t>
            </w:r>
          </w:p>
        </w:tc>
        <w:tc>
          <w:tcPr>
            <w:tcW w:w="2268" w:type="dxa"/>
            <w:tcBorders>
              <w:right w:val="single" w:sz="4" w:space="0" w:color="auto"/>
            </w:tcBorders>
            <w:shd w:val="clear" w:color="auto" w:fill="D9D9D9"/>
            <w:hideMark/>
          </w:tcPr>
          <w:p w14:paraId="179A889A" w14:textId="77777777" w:rsidR="002A4DDF" w:rsidRPr="00937C8B" w:rsidRDefault="002A4DDF" w:rsidP="009110ED">
            <w:pPr>
              <w:rPr>
                <w:rFonts w:ascii="Arial" w:hAnsi="Arial" w:cs="Arial"/>
                <w:sz w:val="12"/>
                <w:szCs w:val="12"/>
              </w:rPr>
            </w:pPr>
          </w:p>
        </w:tc>
      </w:tr>
      <w:tr w:rsidR="002A4DDF" w:rsidRPr="00937C8B" w14:paraId="775B8B24" w14:textId="77777777" w:rsidTr="00935676">
        <w:trPr>
          <w:cantSplit/>
        </w:trPr>
        <w:tc>
          <w:tcPr>
            <w:tcW w:w="1696" w:type="dxa"/>
            <w:tcBorders>
              <w:left w:val="single" w:sz="4" w:space="0" w:color="auto"/>
            </w:tcBorders>
            <w:shd w:val="clear" w:color="auto" w:fill="auto"/>
          </w:tcPr>
          <w:p w14:paraId="60F80AA6" w14:textId="77777777" w:rsidR="002A4DDF" w:rsidRPr="00937C8B" w:rsidRDefault="002A4DDF" w:rsidP="009110ED">
            <w:pPr>
              <w:rPr>
                <w:rFonts w:ascii="Arial" w:hAnsi="Arial" w:cs="Arial"/>
                <w:sz w:val="12"/>
                <w:szCs w:val="12"/>
              </w:rPr>
            </w:pPr>
          </w:p>
        </w:tc>
        <w:tc>
          <w:tcPr>
            <w:tcW w:w="1843" w:type="dxa"/>
            <w:shd w:val="clear" w:color="auto" w:fill="auto"/>
          </w:tcPr>
          <w:p w14:paraId="26BD77CB" w14:textId="77777777" w:rsidR="002A4DDF" w:rsidRPr="00937C8B" w:rsidRDefault="002A4DDF" w:rsidP="009110ED">
            <w:pPr>
              <w:rPr>
                <w:rFonts w:ascii="Arial" w:hAnsi="Arial" w:cs="Arial"/>
                <w:sz w:val="12"/>
                <w:szCs w:val="12"/>
              </w:rPr>
            </w:pPr>
          </w:p>
        </w:tc>
        <w:tc>
          <w:tcPr>
            <w:tcW w:w="2268" w:type="dxa"/>
            <w:shd w:val="clear" w:color="auto" w:fill="F2F2F2"/>
            <w:hideMark/>
          </w:tcPr>
          <w:p w14:paraId="4DA97964" w14:textId="77777777" w:rsidR="002A4DDF" w:rsidRPr="00937C8B" w:rsidRDefault="002A4DDF" w:rsidP="009110ED">
            <w:pPr>
              <w:rPr>
                <w:rFonts w:ascii="Arial" w:hAnsi="Arial" w:cs="Arial"/>
                <w:sz w:val="12"/>
                <w:szCs w:val="12"/>
              </w:rPr>
            </w:pPr>
            <w:r>
              <w:rPr>
                <w:rFonts w:ascii="Arial" w:hAnsi="Arial"/>
                <w:sz w:val="12"/>
                <w:szCs w:val="12"/>
              </w:rPr>
              <w:t>Sediles</w:t>
            </w:r>
          </w:p>
        </w:tc>
        <w:tc>
          <w:tcPr>
            <w:tcW w:w="2268" w:type="dxa"/>
            <w:tcBorders>
              <w:right w:val="single" w:sz="4" w:space="0" w:color="auto"/>
            </w:tcBorders>
            <w:shd w:val="clear" w:color="auto" w:fill="D9D9D9"/>
            <w:hideMark/>
          </w:tcPr>
          <w:p w14:paraId="79A2D893" w14:textId="77777777" w:rsidR="002A4DDF" w:rsidRPr="00937C8B" w:rsidRDefault="002A4DDF" w:rsidP="009110ED">
            <w:pPr>
              <w:rPr>
                <w:rFonts w:ascii="Arial" w:hAnsi="Arial" w:cs="Arial"/>
                <w:sz w:val="12"/>
                <w:szCs w:val="12"/>
              </w:rPr>
            </w:pPr>
          </w:p>
        </w:tc>
      </w:tr>
      <w:tr w:rsidR="002A4DDF" w:rsidRPr="00937C8B" w14:paraId="3C9252AB" w14:textId="77777777" w:rsidTr="00935676">
        <w:trPr>
          <w:cantSplit/>
        </w:trPr>
        <w:tc>
          <w:tcPr>
            <w:tcW w:w="1696" w:type="dxa"/>
            <w:tcBorders>
              <w:left w:val="single" w:sz="4" w:space="0" w:color="auto"/>
            </w:tcBorders>
            <w:shd w:val="clear" w:color="auto" w:fill="auto"/>
          </w:tcPr>
          <w:p w14:paraId="0DF5DB24" w14:textId="77777777" w:rsidR="002A4DDF" w:rsidRPr="00937C8B" w:rsidRDefault="002A4DDF" w:rsidP="009110ED">
            <w:pPr>
              <w:rPr>
                <w:rFonts w:ascii="Arial" w:hAnsi="Arial" w:cs="Arial"/>
                <w:sz w:val="12"/>
                <w:szCs w:val="12"/>
              </w:rPr>
            </w:pPr>
          </w:p>
        </w:tc>
        <w:tc>
          <w:tcPr>
            <w:tcW w:w="1843" w:type="dxa"/>
            <w:shd w:val="clear" w:color="auto" w:fill="auto"/>
          </w:tcPr>
          <w:p w14:paraId="2BE4BFAF" w14:textId="77777777" w:rsidR="002A4DDF" w:rsidRPr="00937C8B" w:rsidRDefault="002A4DDF" w:rsidP="009110ED">
            <w:pPr>
              <w:rPr>
                <w:rFonts w:ascii="Arial" w:hAnsi="Arial" w:cs="Arial"/>
                <w:sz w:val="12"/>
                <w:szCs w:val="12"/>
              </w:rPr>
            </w:pPr>
          </w:p>
        </w:tc>
        <w:tc>
          <w:tcPr>
            <w:tcW w:w="2268" w:type="dxa"/>
            <w:shd w:val="clear" w:color="auto" w:fill="F2F2F2"/>
            <w:hideMark/>
          </w:tcPr>
          <w:p w14:paraId="019A5A9E" w14:textId="77777777" w:rsidR="002A4DDF" w:rsidRPr="00937C8B" w:rsidRDefault="002A4DDF" w:rsidP="009110ED">
            <w:pPr>
              <w:rPr>
                <w:rFonts w:ascii="Arial" w:hAnsi="Arial" w:cs="Arial"/>
                <w:sz w:val="12"/>
                <w:szCs w:val="12"/>
              </w:rPr>
            </w:pPr>
            <w:r>
              <w:rPr>
                <w:rFonts w:ascii="Arial" w:hAnsi="Arial"/>
                <w:sz w:val="12"/>
                <w:szCs w:val="12"/>
              </w:rPr>
              <w:t>Sestrica</w:t>
            </w:r>
          </w:p>
        </w:tc>
        <w:tc>
          <w:tcPr>
            <w:tcW w:w="2268" w:type="dxa"/>
            <w:tcBorders>
              <w:right w:val="single" w:sz="4" w:space="0" w:color="auto"/>
            </w:tcBorders>
            <w:shd w:val="clear" w:color="auto" w:fill="D9D9D9"/>
            <w:hideMark/>
          </w:tcPr>
          <w:p w14:paraId="1993222A" w14:textId="77777777" w:rsidR="002A4DDF" w:rsidRPr="00937C8B" w:rsidRDefault="002A4DDF" w:rsidP="009110ED">
            <w:pPr>
              <w:rPr>
                <w:rFonts w:ascii="Arial" w:hAnsi="Arial" w:cs="Arial"/>
                <w:sz w:val="12"/>
                <w:szCs w:val="12"/>
              </w:rPr>
            </w:pPr>
          </w:p>
        </w:tc>
      </w:tr>
      <w:tr w:rsidR="002A4DDF" w:rsidRPr="00937C8B" w14:paraId="48892ABE" w14:textId="77777777" w:rsidTr="00935676">
        <w:trPr>
          <w:cantSplit/>
        </w:trPr>
        <w:tc>
          <w:tcPr>
            <w:tcW w:w="1696" w:type="dxa"/>
            <w:tcBorders>
              <w:left w:val="single" w:sz="4" w:space="0" w:color="auto"/>
            </w:tcBorders>
            <w:shd w:val="clear" w:color="auto" w:fill="auto"/>
          </w:tcPr>
          <w:p w14:paraId="547A2BF2" w14:textId="77777777" w:rsidR="002A4DDF" w:rsidRPr="00937C8B" w:rsidRDefault="002A4DDF" w:rsidP="009110ED">
            <w:pPr>
              <w:rPr>
                <w:rFonts w:ascii="Arial" w:hAnsi="Arial" w:cs="Arial"/>
                <w:sz w:val="12"/>
                <w:szCs w:val="12"/>
              </w:rPr>
            </w:pPr>
          </w:p>
        </w:tc>
        <w:tc>
          <w:tcPr>
            <w:tcW w:w="1843" w:type="dxa"/>
            <w:shd w:val="clear" w:color="auto" w:fill="auto"/>
          </w:tcPr>
          <w:p w14:paraId="6DF4BF86" w14:textId="77777777" w:rsidR="002A4DDF" w:rsidRPr="00937C8B" w:rsidRDefault="002A4DDF" w:rsidP="009110ED">
            <w:pPr>
              <w:rPr>
                <w:rFonts w:ascii="Arial" w:hAnsi="Arial" w:cs="Arial"/>
                <w:sz w:val="12"/>
                <w:szCs w:val="12"/>
              </w:rPr>
            </w:pPr>
          </w:p>
        </w:tc>
        <w:tc>
          <w:tcPr>
            <w:tcW w:w="2268" w:type="dxa"/>
            <w:shd w:val="clear" w:color="auto" w:fill="F2F2F2"/>
            <w:hideMark/>
          </w:tcPr>
          <w:p w14:paraId="61646500" w14:textId="77777777" w:rsidR="002A4DDF" w:rsidRPr="00937C8B" w:rsidRDefault="002A4DDF" w:rsidP="009110ED">
            <w:pPr>
              <w:rPr>
                <w:rFonts w:ascii="Arial" w:hAnsi="Arial" w:cs="Arial"/>
                <w:sz w:val="12"/>
                <w:szCs w:val="12"/>
              </w:rPr>
            </w:pPr>
            <w:r>
              <w:rPr>
                <w:rFonts w:ascii="Arial" w:hAnsi="Arial"/>
                <w:sz w:val="12"/>
                <w:szCs w:val="12"/>
              </w:rPr>
              <w:t>Sigüés</w:t>
            </w:r>
          </w:p>
        </w:tc>
        <w:tc>
          <w:tcPr>
            <w:tcW w:w="2268" w:type="dxa"/>
            <w:tcBorders>
              <w:right w:val="single" w:sz="4" w:space="0" w:color="auto"/>
            </w:tcBorders>
            <w:shd w:val="clear" w:color="auto" w:fill="D9D9D9"/>
            <w:hideMark/>
          </w:tcPr>
          <w:p w14:paraId="63838B70" w14:textId="77777777" w:rsidR="002A4DDF" w:rsidRPr="00937C8B" w:rsidRDefault="002A4DDF" w:rsidP="009110ED">
            <w:pPr>
              <w:rPr>
                <w:rFonts w:ascii="Arial" w:hAnsi="Arial" w:cs="Arial"/>
                <w:sz w:val="12"/>
                <w:szCs w:val="12"/>
              </w:rPr>
            </w:pPr>
          </w:p>
        </w:tc>
      </w:tr>
      <w:tr w:rsidR="002A4DDF" w:rsidRPr="00937C8B" w14:paraId="12D348A1" w14:textId="77777777" w:rsidTr="00935676">
        <w:trPr>
          <w:cantSplit/>
        </w:trPr>
        <w:tc>
          <w:tcPr>
            <w:tcW w:w="1696" w:type="dxa"/>
            <w:tcBorders>
              <w:left w:val="single" w:sz="4" w:space="0" w:color="auto"/>
            </w:tcBorders>
            <w:shd w:val="clear" w:color="auto" w:fill="auto"/>
          </w:tcPr>
          <w:p w14:paraId="513999CF" w14:textId="77777777" w:rsidR="002A4DDF" w:rsidRPr="00937C8B" w:rsidRDefault="002A4DDF" w:rsidP="009110ED">
            <w:pPr>
              <w:rPr>
                <w:rFonts w:ascii="Arial" w:hAnsi="Arial" w:cs="Arial"/>
                <w:sz w:val="12"/>
                <w:szCs w:val="12"/>
              </w:rPr>
            </w:pPr>
          </w:p>
        </w:tc>
        <w:tc>
          <w:tcPr>
            <w:tcW w:w="1843" w:type="dxa"/>
            <w:shd w:val="clear" w:color="auto" w:fill="auto"/>
          </w:tcPr>
          <w:p w14:paraId="29CE6B6C" w14:textId="77777777" w:rsidR="002A4DDF" w:rsidRPr="00937C8B" w:rsidRDefault="002A4DDF" w:rsidP="009110ED">
            <w:pPr>
              <w:rPr>
                <w:rFonts w:ascii="Arial" w:hAnsi="Arial" w:cs="Arial"/>
                <w:sz w:val="12"/>
                <w:szCs w:val="12"/>
              </w:rPr>
            </w:pPr>
          </w:p>
        </w:tc>
        <w:tc>
          <w:tcPr>
            <w:tcW w:w="2268" w:type="dxa"/>
            <w:shd w:val="clear" w:color="auto" w:fill="F2F2F2"/>
            <w:hideMark/>
          </w:tcPr>
          <w:p w14:paraId="6EFBE42D" w14:textId="77777777" w:rsidR="002A4DDF" w:rsidRPr="00937C8B" w:rsidRDefault="002A4DDF" w:rsidP="009110ED">
            <w:pPr>
              <w:rPr>
                <w:rFonts w:ascii="Arial" w:hAnsi="Arial" w:cs="Arial"/>
                <w:sz w:val="12"/>
                <w:szCs w:val="12"/>
              </w:rPr>
            </w:pPr>
            <w:r>
              <w:rPr>
                <w:rFonts w:ascii="Arial" w:hAnsi="Arial"/>
                <w:sz w:val="12"/>
                <w:szCs w:val="12"/>
              </w:rPr>
              <w:t>Tarazona</w:t>
            </w:r>
          </w:p>
        </w:tc>
        <w:tc>
          <w:tcPr>
            <w:tcW w:w="2268" w:type="dxa"/>
            <w:tcBorders>
              <w:right w:val="single" w:sz="4" w:space="0" w:color="auto"/>
            </w:tcBorders>
            <w:shd w:val="clear" w:color="auto" w:fill="D9D9D9"/>
            <w:hideMark/>
          </w:tcPr>
          <w:p w14:paraId="506D794C" w14:textId="77777777" w:rsidR="002A4DDF" w:rsidRPr="00937C8B" w:rsidRDefault="002A4DDF" w:rsidP="009110ED">
            <w:pPr>
              <w:rPr>
                <w:rFonts w:ascii="Arial" w:hAnsi="Arial" w:cs="Arial"/>
                <w:sz w:val="12"/>
                <w:szCs w:val="12"/>
              </w:rPr>
            </w:pPr>
          </w:p>
        </w:tc>
      </w:tr>
      <w:tr w:rsidR="002A4DDF" w:rsidRPr="00937C8B" w14:paraId="175579DB" w14:textId="77777777" w:rsidTr="00935676">
        <w:trPr>
          <w:cantSplit/>
        </w:trPr>
        <w:tc>
          <w:tcPr>
            <w:tcW w:w="1696" w:type="dxa"/>
            <w:tcBorders>
              <w:left w:val="single" w:sz="4" w:space="0" w:color="auto"/>
            </w:tcBorders>
            <w:shd w:val="clear" w:color="auto" w:fill="auto"/>
          </w:tcPr>
          <w:p w14:paraId="4E96112B" w14:textId="77777777" w:rsidR="002A4DDF" w:rsidRPr="00937C8B" w:rsidRDefault="002A4DDF" w:rsidP="009110ED">
            <w:pPr>
              <w:rPr>
                <w:rFonts w:ascii="Arial" w:hAnsi="Arial" w:cs="Arial"/>
                <w:sz w:val="12"/>
                <w:szCs w:val="12"/>
              </w:rPr>
            </w:pPr>
          </w:p>
        </w:tc>
        <w:tc>
          <w:tcPr>
            <w:tcW w:w="1843" w:type="dxa"/>
            <w:shd w:val="clear" w:color="auto" w:fill="auto"/>
          </w:tcPr>
          <w:p w14:paraId="6E1D7FCD" w14:textId="77777777" w:rsidR="002A4DDF" w:rsidRPr="00937C8B" w:rsidRDefault="002A4DDF" w:rsidP="009110ED">
            <w:pPr>
              <w:rPr>
                <w:rFonts w:ascii="Arial" w:hAnsi="Arial" w:cs="Arial"/>
                <w:sz w:val="12"/>
                <w:szCs w:val="12"/>
              </w:rPr>
            </w:pPr>
          </w:p>
        </w:tc>
        <w:tc>
          <w:tcPr>
            <w:tcW w:w="2268" w:type="dxa"/>
            <w:shd w:val="clear" w:color="auto" w:fill="F2F2F2"/>
            <w:hideMark/>
          </w:tcPr>
          <w:p w14:paraId="7CBCCBDD" w14:textId="77777777" w:rsidR="002A4DDF" w:rsidRPr="00937C8B" w:rsidRDefault="002A4DDF" w:rsidP="009110ED">
            <w:pPr>
              <w:rPr>
                <w:rFonts w:ascii="Arial" w:hAnsi="Arial" w:cs="Arial"/>
                <w:sz w:val="12"/>
                <w:szCs w:val="12"/>
              </w:rPr>
            </w:pPr>
            <w:r>
              <w:rPr>
                <w:rFonts w:ascii="Arial" w:hAnsi="Arial"/>
                <w:sz w:val="12"/>
                <w:szCs w:val="12"/>
              </w:rPr>
              <w:t>Tauste</w:t>
            </w:r>
          </w:p>
        </w:tc>
        <w:tc>
          <w:tcPr>
            <w:tcW w:w="2268" w:type="dxa"/>
            <w:tcBorders>
              <w:right w:val="single" w:sz="4" w:space="0" w:color="auto"/>
            </w:tcBorders>
            <w:shd w:val="clear" w:color="auto" w:fill="D9D9D9"/>
            <w:hideMark/>
          </w:tcPr>
          <w:p w14:paraId="71E5C8CE" w14:textId="77777777" w:rsidR="002A4DDF" w:rsidRPr="00937C8B" w:rsidRDefault="002A4DDF" w:rsidP="009110ED">
            <w:pPr>
              <w:rPr>
                <w:rFonts w:ascii="Arial" w:hAnsi="Arial" w:cs="Arial"/>
                <w:sz w:val="12"/>
                <w:szCs w:val="12"/>
              </w:rPr>
            </w:pPr>
          </w:p>
        </w:tc>
      </w:tr>
      <w:tr w:rsidR="002A4DDF" w:rsidRPr="00937C8B" w14:paraId="59D708F8" w14:textId="77777777" w:rsidTr="00935676">
        <w:trPr>
          <w:cantSplit/>
        </w:trPr>
        <w:tc>
          <w:tcPr>
            <w:tcW w:w="1696" w:type="dxa"/>
            <w:tcBorders>
              <w:left w:val="single" w:sz="4" w:space="0" w:color="auto"/>
            </w:tcBorders>
            <w:shd w:val="clear" w:color="auto" w:fill="auto"/>
          </w:tcPr>
          <w:p w14:paraId="45307324" w14:textId="77777777" w:rsidR="002A4DDF" w:rsidRPr="00937C8B" w:rsidRDefault="002A4DDF" w:rsidP="009110ED">
            <w:pPr>
              <w:rPr>
                <w:rFonts w:ascii="Arial" w:hAnsi="Arial" w:cs="Arial"/>
                <w:sz w:val="12"/>
                <w:szCs w:val="12"/>
              </w:rPr>
            </w:pPr>
          </w:p>
        </w:tc>
        <w:tc>
          <w:tcPr>
            <w:tcW w:w="1843" w:type="dxa"/>
            <w:shd w:val="clear" w:color="auto" w:fill="auto"/>
          </w:tcPr>
          <w:p w14:paraId="6EBE08D6" w14:textId="77777777" w:rsidR="002A4DDF" w:rsidRPr="00937C8B" w:rsidRDefault="002A4DDF" w:rsidP="009110ED">
            <w:pPr>
              <w:rPr>
                <w:rFonts w:ascii="Arial" w:hAnsi="Arial" w:cs="Arial"/>
                <w:sz w:val="12"/>
                <w:szCs w:val="12"/>
              </w:rPr>
            </w:pPr>
          </w:p>
        </w:tc>
        <w:tc>
          <w:tcPr>
            <w:tcW w:w="2268" w:type="dxa"/>
            <w:shd w:val="clear" w:color="auto" w:fill="F2F2F2"/>
            <w:hideMark/>
          </w:tcPr>
          <w:p w14:paraId="0B65F501" w14:textId="77777777" w:rsidR="002A4DDF" w:rsidRPr="00937C8B" w:rsidRDefault="002A4DDF" w:rsidP="009110ED">
            <w:pPr>
              <w:rPr>
                <w:rFonts w:ascii="Arial" w:hAnsi="Arial" w:cs="Arial"/>
                <w:sz w:val="12"/>
                <w:szCs w:val="12"/>
              </w:rPr>
            </w:pPr>
            <w:r>
              <w:rPr>
                <w:rFonts w:ascii="Arial" w:hAnsi="Arial"/>
                <w:sz w:val="12"/>
                <w:szCs w:val="12"/>
              </w:rPr>
              <w:t>Terrer</w:t>
            </w:r>
          </w:p>
        </w:tc>
        <w:tc>
          <w:tcPr>
            <w:tcW w:w="2268" w:type="dxa"/>
            <w:tcBorders>
              <w:right w:val="single" w:sz="4" w:space="0" w:color="auto"/>
            </w:tcBorders>
            <w:shd w:val="clear" w:color="auto" w:fill="D9D9D9"/>
            <w:hideMark/>
          </w:tcPr>
          <w:p w14:paraId="6174D332" w14:textId="77777777" w:rsidR="002A4DDF" w:rsidRPr="00937C8B" w:rsidRDefault="002A4DDF" w:rsidP="009110ED">
            <w:pPr>
              <w:rPr>
                <w:rFonts w:ascii="Arial" w:hAnsi="Arial" w:cs="Arial"/>
                <w:sz w:val="12"/>
                <w:szCs w:val="12"/>
              </w:rPr>
            </w:pPr>
          </w:p>
        </w:tc>
      </w:tr>
      <w:tr w:rsidR="002A4DDF" w:rsidRPr="00937C8B" w14:paraId="1D79877D" w14:textId="77777777" w:rsidTr="00935676">
        <w:trPr>
          <w:cantSplit/>
        </w:trPr>
        <w:tc>
          <w:tcPr>
            <w:tcW w:w="1696" w:type="dxa"/>
            <w:tcBorders>
              <w:left w:val="single" w:sz="4" w:space="0" w:color="auto"/>
            </w:tcBorders>
            <w:shd w:val="clear" w:color="auto" w:fill="auto"/>
          </w:tcPr>
          <w:p w14:paraId="297FE9D6" w14:textId="77777777" w:rsidR="002A4DDF" w:rsidRPr="00937C8B" w:rsidRDefault="002A4DDF" w:rsidP="009110ED">
            <w:pPr>
              <w:rPr>
                <w:rFonts w:ascii="Arial" w:hAnsi="Arial" w:cs="Arial"/>
                <w:sz w:val="12"/>
                <w:szCs w:val="12"/>
              </w:rPr>
            </w:pPr>
          </w:p>
        </w:tc>
        <w:tc>
          <w:tcPr>
            <w:tcW w:w="1843" w:type="dxa"/>
            <w:shd w:val="clear" w:color="auto" w:fill="auto"/>
          </w:tcPr>
          <w:p w14:paraId="2B3A851E" w14:textId="77777777" w:rsidR="002A4DDF" w:rsidRPr="00937C8B" w:rsidRDefault="002A4DDF" w:rsidP="009110ED">
            <w:pPr>
              <w:rPr>
                <w:rFonts w:ascii="Arial" w:hAnsi="Arial" w:cs="Arial"/>
                <w:sz w:val="12"/>
                <w:szCs w:val="12"/>
              </w:rPr>
            </w:pPr>
          </w:p>
        </w:tc>
        <w:tc>
          <w:tcPr>
            <w:tcW w:w="2268" w:type="dxa"/>
            <w:shd w:val="clear" w:color="auto" w:fill="F2F2F2"/>
            <w:hideMark/>
          </w:tcPr>
          <w:p w14:paraId="7F11A996" w14:textId="77777777" w:rsidR="002A4DDF" w:rsidRPr="00937C8B" w:rsidRDefault="002A4DDF" w:rsidP="009110ED">
            <w:pPr>
              <w:rPr>
                <w:rFonts w:ascii="Arial" w:hAnsi="Arial" w:cs="Arial"/>
                <w:sz w:val="12"/>
                <w:szCs w:val="12"/>
              </w:rPr>
            </w:pPr>
            <w:r>
              <w:rPr>
                <w:rFonts w:ascii="Arial" w:hAnsi="Arial"/>
                <w:sz w:val="12"/>
                <w:szCs w:val="12"/>
              </w:rPr>
              <w:t>Torrijo de la Cañada</w:t>
            </w:r>
          </w:p>
        </w:tc>
        <w:tc>
          <w:tcPr>
            <w:tcW w:w="2268" w:type="dxa"/>
            <w:tcBorders>
              <w:right w:val="single" w:sz="4" w:space="0" w:color="auto"/>
            </w:tcBorders>
            <w:shd w:val="clear" w:color="auto" w:fill="D9D9D9"/>
            <w:hideMark/>
          </w:tcPr>
          <w:p w14:paraId="63A3C997" w14:textId="77777777" w:rsidR="002A4DDF" w:rsidRPr="00937C8B" w:rsidRDefault="002A4DDF" w:rsidP="009110ED">
            <w:pPr>
              <w:rPr>
                <w:rFonts w:ascii="Arial" w:hAnsi="Arial" w:cs="Arial"/>
                <w:sz w:val="12"/>
                <w:szCs w:val="12"/>
              </w:rPr>
            </w:pPr>
          </w:p>
        </w:tc>
      </w:tr>
      <w:tr w:rsidR="002A4DDF" w:rsidRPr="00937C8B" w14:paraId="47251310" w14:textId="77777777" w:rsidTr="00935676">
        <w:trPr>
          <w:cantSplit/>
        </w:trPr>
        <w:tc>
          <w:tcPr>
            <w:tcW w:w="1696" w:type="dxa"/>
            <w:tcBorders>
              <w:left w:val="single" w:sz="4" w:space="0" w:color="auto"/>
            </w:tcBorders>
            <w:shd w:val="clear" w:color="auto" w:fill="auto"/>
          </w:tcPr>
          <w:p w14:paraId="5A4F93E2" w14:textId="77777777" w:rsidR="002A4DDF" w:rsidRPr="00937C8B" w:rsidRDefault="002A4DDF" w:rsidP="009110ED">
            <w:pPr>
              <w:rPr>
                <w:rFonts w:ascii="Arial" w:hAnsi="Arial" w:cs="Arial"/>
                <w:sz w:val="12"/>
                <w:szCs w:val="12"/>
              </w:rPr>
            </w:pPr>
          </w:p>
        </w:tc>
        <w:tc>
          <w:tcPr>
            <w:tcW w:w="1843" w:type="dxa"/>
            <w:shd w:val="clear" w:color="auto" w:fill="auto"/>
          </w:tcPr>
          <w:p w14:paraId="39E93E43" w14:textId="77777777" w:rsidR="002A4DDF" w:rsidRPr="00937C8B" w:rsidRDefault="002A4DDF" w:rsidP="009110ED">
            <w:pPr>
              <w:rPr>
                <w:rFonts w:ascii="Arial" w:hAnsi="Arial" w:cs="Arial"/>
                <w:sz w:val="12"/>
                <w:szCs w:val="12"/>
              </w:rPr>
            </w:pPr>
          </w:p>
        </w:tc>
        <w:tc>
          <w:tcPr>
            <w:tcW w:w="2268" w:type="dxa"/>
            <w:shd w:val="clear" w:color="auto" w:fill="F2F2F2"/>
            <w:hideMark/>
          </w:tcPr>
          <w:p w14:paraId="44065F2A" w14:textId="77777777" w:rsidR="002A4DDF" w:rsidRPr="00937C8B" w:rsidRDefault="002A4DDF" w:rsidP="009110ED">
            <w:pPr>
              <w:rPr>
                <w:rFonts w:ascii="Arial" w:hAnsi="Arial" w:cs="Arial"/>
                <w:sz w:val="12"/>
                <w:szCs w:val="12"/>
              </w:rPr>
            </w:pPr>
            <w:r>
              <w:rPr>
                <w:rFonts w:ascii="Arial" w:hAnsi="Arial"/>
                <w:sz w:val="12"/>
                <w:szCs w:val="12"/>
              </w:rPr>
              <w:t>Trasmoz</w:t>
            </w:r>
          </w:p>
        </w:tc>
        <w:tc>
          <w:tcPr>
            <w:tcW w:w="2268" w:type="dxa"/>
            <w:tcBorders>
              <w:right w:val="single" w:sz="4" w:space="0" w:color="auto"/>
            </w:tcBorders>
            <w:shd w:val="clear" w:color="auto" w:fill="D9D9D9"/>
            <w:hideMark/>
          </w:tcPr>
          <w:p w14:paraId="437DAB65" w14:textId="77777777" w:rsidR="002A4DDF" w:rsidRPr="00937C8B" w:rsidRDefault="002A4DDF" w:rsidP="009110ED">
            <w:pPr>
              <w:rPr>
                <w:rFonts w:ascii="Arial" w:hAnsi="Arial" w:cs="Arial"/>
                <w:sz w:val="12"/>
                <w:szCs w:val="12"/>
              </w:rPr>
            </w:pPr>
          </w:p>
        </w:tc>
      </w:tr>
      <w:tr w:rsidR="002A4DDF" w:rsidRPr="00937C8B" w14:paraId="443AC97C" w14:textId="77777777" w:rsidTr="00935676">
        <w:trPr>
          <w:cantSplit/>
        </w:trPr>
        <w:tc>
          <w:tcPr>
            <w:tcW w:w="1696" w:type="dxa"/>
            <w:tcBorders>
              <w:left w:val="single" w:sz="4" w:space="0" w:color="auto"/>
            </w:tcBorders>
            <w:shd w:val="clear" w:color="auto" w:fill="auto"/>
          </w:tcPr>
          <w:p w14:paraId="745930B0" w14:textId="77777777" w:rsidR="002A4DDF" w:rsidRPr="00937C8B" w:rsidRDefault="002A4DDF" w:rsidP="009110ED">
            <w:pPr>
              <w:rPr>
                <w:rFonts w:ascii="Arial" w:hAnsi="Arial" w:cs="Arial"/>
                <w:sz w:val="12"/>
                <w:szCs w:val="12"/>
              </w:rPr>
            </w:pPr>
          </w:p>
        </w:tc>
        <w:tc>
          <w:tcPr>
            <w:tcW w:w="1843" w:type="dxa"/>
            <w:shd w:val="clear" w:color="auto" w:fill="auto"/>
          </w:tcPr>
          <w:p w14:paraId="1CADD503" w14:textId="77777777" w:rsidR="002A4DDF" w:rsidRPr="00937C8B" w:rsidRDefault="002A4DDF" w:rsidP="009110ED">
            <w:pPr>
              <w:rPr>
                <w:rFonts w:ascii="Arial" w:hAnsi="Arial" w:cs="Arial"/>
                <w:sz w:val="12"/>
                <w:szCs w:val="12"/>
              </w:rPr>
            </w:pPr>
          </w:p>
        </w:tc>
        <w:tc>
          <w:tcPr>
            <w:tcW w:w="2268" w:type="dxa"/>
            <w:shd w:val="clear" w:color="auto" w:fill="F2F2F2"/>
            <w:hideMark/>
          </w:tcPr>
          <w:p w14:paraId="53D19E58" w14:textId="77777777" w:rsidR="002A4DDF" w:rsidRPr="00937C8B" w:rsidRDefault="002A4DDF" w:rsidP="009110ED">
            <w:pPr>
              <w:rPr>
                <w:rFonts w:ascii="Arial" w:hAnsi="Arial" w:cs="Arial"/>
                <w:sz w:val="12"/>
                <w:szCs w:val="12"/>
              </w:rPr>
            </w:pPr>
            <w:r>
              <w:rPr>
                <w:rFonts w:ascii="Arial" w:hAnsi="Arial"/>
                <w:sz w:val="12"/>
                <w:szCs w:val="12"/>
              </w:rPr>
              <w:t>Trasobares</w:t>
            </w:r>
          </w:p>
        </w:tc>
        <w:tc>
          <w:tcPr>
            <w:tcW w:w="2268" w:type="dxa"/>
            <w:tcBorders>
              <w:right w:val="single" w:sz="4" w:space="0" w:color="auto"/>
            </w:tcBorders>
            <w:shd w:val="clear" w:color="auto" w:fill="D9D9D9"/>
            <w:hideMark/>
          </w:tcPr>
          <w:p w14:paraId="2BB47009" w14:textId="77777777" w:rsidR="002A4DDF" w:rsidRPr="00937C8B" w:rsidRDefault="002A4DDF" w:rsidP="009110ED">
            <w:pPr>
              <w:rPr>
                <w:rFonts w:ascii="Arial" w:hAnsi="Arial" w:cs="Arial"/>
                <w:sz w:val="12"/>
                <w:szCs w:val="12"/>
              </w:rPr>
            </w:pPr>
          </w:p>
        </w:tc>
      </w:tr>
      <w:tr w:rsidR="002A4DDF" w:rsidRPr="00937C8B" w14:paraId="071363ED" w14:textId="77777777" w:rsidTr="00935676">
        <w:trPr>
          <w:cantSplit/>
        </w:trPr>
        <w:tc>
          <w:tcPr>
            <w:tcW w:w="1696" w:type="dxa"/>
            <w:tcBorders>
              <w:left w:val="single" w:sz="4" w:space="0" w:color="auto"/>
            </w:tcBorders>
            <w:shd w:val="clear" w:color="auto" w:fill="auto"/>
          </w:tcPr>
          <w:p w14:paraId="1E506713" w14:textId="77777777" w:rsidR="002A4DDF" w:rsidRPr="00937C8B" w:rsidRDefault="002A4DDF" w:rsidP="009110ED">
            <w:pPr>
              <w:rPr>
                <w:rFonts w:ascii="Arial" w:hAnsi="Arial" w:cs="Arial"/>
                <w:sz w:val="12"/>
                <w:szCs w:val="12"/>
              </w:rPr>
            </w:pPr>
          </w:p>
        </w:tc>
        <w:tc>
          <w:tcPr>
            <w:tcW w:w="1843" w:type="dxa"/>
            <w:shd w:val="clear" w:color="auto" w:fill="auto"/>
          </w:tcPr>
          <w:p w14:paraId="0D8F1341" w14:textId="77777777" w:rsidR="002A4DDF" w:rsidRPr="00937C8B" w:rsidRDefault="002A4DDF" w:rsidP="009110ED">
            <w:pPr>
              <w:rPr>
                <w:rFonts w:ascii="Arial" w:hAnsi="Arial" w:cs="Arial"/>
                <w:sz w:val="12"/>
                <w:szCs w:val="12"/>
              </w:rPr>
            </w:pPr>
          </w:p>
        </w:tc>
        <w:tc>
          <w:tcPr>
            <w:tcW w:w="2268" w:type="dxa"/>
            <w:shd w:val="clear" w:color="auto" w:fill="F2F2F2"/>
            <w:hideMark/>
          </w:tcPr>
          <w:p w14:paraId="44E265CD" w14:textId="77777777" w:rsidR="002A4DDF" w:rsidRPr="00937C8B" w:rsidRDefault="002A4DDF" w:rsidP="009110ED">
            <w:pPr>
              <w:rPr>
                <w:rFonts w:ascii="Arial" w:hAnsi="Arial" w:cs="Arial"/>
                <w:sz w:val="12"/>
                <w:szCs w:val="12"/>
              </w:rPr>
            </w:pPr>
            <w:r>
              <w:rPr>
                <w:rFonts w:ascii="Arial" w:hAnsi="Arial"/>
                <w:sz w:val="12"/>
                <w:szCs w:val="12"/>
              </w:rPr>
              <w:t>Used</w:t>
            </w:r>
          </w:p>
        </w:tc>
        <w:tc>
          <w:tcPr>
            <w:tcW w:w="2268" w:type="dxa"/>
            <w:tcBorders>
              <w:right w:val="single" w:sz="4" w:space="0" w:color="auto"/>
            </w:tcBorders>
            <w:shd w:val="clear" w:color="auto" w:fill="D9D9D9"/>
            <w:hideMark/>
          </w:tcPr>
          <w:p w14:paraId="3C68445C" w14:textId="77777777" w:rsidR="002A4DDF" w:rsidRPr="00937C8B" w:rsidRDefault="002A4DDF" w:rsidP="009110ED">
            <w:pPr>
              <w:rPr>
                <w:rFonts w:ascii="Arial" w:hAnsi="Arial" w:cs="Arial"/>
                <w:sz w:val="12"/>
                <w:szCs w:val="12"/>
              </w:rPr>
            </w:pPr>
          </w:p>
        </w:tc>
      </w:tr>
      <w:tr w:rsidR="002A4DDF" w:rsidRPr="00937C8B" w14:paraId="3C651D39" w14:textId="77777777" w:rsidTr="00935676">
        <w:trPr>
          <w:cantSplit/>
        </w:trPr>
        <w:tc>
          <w:tcPr>
            <w:tcW w:w="1696" w:type="dxa"/>
            <w:tcBorders>
              <w:left w:val="single" w:sz="4" w:space="0" w:color="auto"/>
            </w:tcBorders>
            <w:shd w:val="clear" w:color="auto" w:fill="auto"/>
          </w:tcPr>
          <w:p w14:paraId="0DED4129" w14:textId="77777777" w:rsidR="002A4DDF" w:rsidRPr="00937C8B" w:rsidRDefault="002A4DDF" w:rsidP="009110ED">
            <w:pPr>
              <w:rPr>
                <w:rFonts w:ascii="Arial" w:hAnsi="Arial" w:cs="Arial"/>
                <w:sz w:val="12"/>
                <w:szCs w:val="12"/>
              </w:rPr>
            </w:pPr>
          </w:p>
        </w:tc>
        <w:tc>
          <w:tcPr>
            <w:tcW w:w="1843" w:type="dxa"/>
            <w:shd w:val="clear" w:color="auto" w:fill="auto"/>
          </w:tcPr>
          <w:p w14:paraId="61E96F00" w14:textId="77777777" w:rsidR="002A4DDF" w:rsidRPr="00937C8B" w:rsidRDefault="002A4DDF" w:rsidP="009110ED">
            <w:pPr>
              <w:rPr>
                <w:rFonts w:ascii="Arial" w:hAnsi="Arial" w:cs="Arial"/>
                <w:sz w:val="12"/>
                <w:szCs w:val="12"/>
              </w:rPr>
            </w:pPr>
          </w:p>
        </w:tc>
        <w:tc>
          <w:tcPr>
            <w:tcW w:w="2268" w:type="dxa"/>
            <w:shd w:val="clear" w:color="auto" w:fill="F2F2F2"/>
            <w:hideMark/>
          </w:tcPr>
          <w:p w14:paraId="53543A2D" w14:textId="77777777" w:rsidR="002A4DDF" w:rsidRPr="00937C8B" w:rsidRDefault="002A4DDF" w:rsidP="009110ED">
            <w:pPr>
              <w:rPr>
                <w:rFonts w:ascii="Arial" w:hAnsi="Arial" w:cs="Arial"/>
                <w:sz w:val="12"/>
                <w:szCs w:val="12"/>
              </w:rPr>
            </w:pPr>
            <w:r>
              <w:rPr>
                <w:rFonts w:ascii="Arial" w:hAnsi="Arial"/>
                <w:sz w:val="12"/>
                <w:szCs w:val="12"/>
              </w:rPr>
              <w:t>Val de San Martín</w:t>
            </w:r>
          </w:p>
        </w:tc>
        <w:tc>
          <w:tcPr>
            <w:tcW w:w="2268" w:type="dxa"/>
            <w:tcBorders>
              <w:right w:val="single" w:sz="4" w:space="0" w:color="auto"/>
            </w:tcBorders>
            <w:shd w:val="clear" w:color="auto" w:fill="D9D9D9"/>
            <w:hideMark/>
          </w:tcPr>
          <w:p w14:paraId="6148AEC1" w14:textId="77777777" w:rsidR="002A4DDF" w:rsidRPr="00937C8B" w:rsidRDefault="002A4DDF" w:rsidP="009110ED">
            <w:pPr>
              <w:rPr>
                <w:rFonts w:ascii="Arial" w:hAnsi="Arial" w:cs="Arial"/>
                <w:sz w:val="12"/>
                <w:szCs w:val="12"/>
              </w:rPr>
            </w:pPr>
          </w:p>
        </w:tc>
      </w:tr>
      <w:tr w:rsidR="002A4DDF" w:rsidRPr="00937C8B" w14:paraId="3514705B" w14:textId="77777777" w:rsidTr="00935676">
        <w:trPr>
          <w:cantSplit/>
        </w:trPr>
        <w:tc>
          <w:tcPr>
            <w:tcW w:w="1696" w:type="dxa"/>
            <w:tcBorders>
              <w:left w:val="single" w:sz="4" w:space="0" w:color="auto"/>
            </w:tcBorders>
            <w:shd w:val="clear" w:color="auto" w:fill="auto"/>
          </w:tcPr>
          <w:p w14:paraId="0E1ED7E5" w14:textId="77777777" w:rsidR="002A4DDF" w:rsidRPr="00937C8B" w:rsidRDefault="002A4DDF" w:rsidP="009110ED">
            <w:pPr>
              <w:rPr>
                <w:rFonts w:ascii="Arial" w:hAnsi="Arial" w:cs="Arial"/>
                <w:sz w:val="12"/>
                <w:szCs w:val="12"/>
              </w:rPr>
            </w:pPr>
          </w:p>
        </w:tc>
        <w:tc>
          <w:tcPr>
            <w:tcW w:w="1843" w:type="dxa"/>
            <w:shd w:val="clear" w:color="auto" w:fill="auto"/>
          </w:tcPr>
          <w:p w14:paraId="504D2AE8" w14:textId="77777777" w:rsidR="002A4DDF" w:rsidRPr="00937C8B" w:rsidRDefault="002A4DDF" w:rsidP="009110ED">
            <w:pPr>
              <w:rPr>
                <w:rFonts w:ascii="Arial" w:hAnsi="Arial" w:cs="Arial"/>
                <w:sz w:val="12"/>
                <w:szCs w:val="12"/>
              </w:rPr>
            </w:pPr>
          </w:p>
        </w:tc>
        <w:tc>
          <w:tcPr>
            <w:tcW w:w="2268" w:type="dxa"/>
            <w:shd w:val="clear" w:color="auto" w:fill="F2F2F2"/>
            <w:hideMark/>
          </w:tcPr>
          <w:p w14:paraId="3B73E165" w14:textId="77777777" w:rsidR="002A4DDF" w:rsidRPr="00937C8B" w:rsidRDefault="002A4DDF" w:rsidP="009110ED">
            <w:pPr>
              <w:rPr>
                <w:rFonts w:ascii="Arial" w:hAnsi="Arial" w:cs="Arial"/>
                <w:sz w:val="12"/>
                <w:szCs w:val="12"/>
              </w:rPr>
            </w:pPr>
            <w:r>
              <w:rPr>
                <w:rFonts w:ascii="Arial" w:hAnsi="Arial"/>
                <w:sz w:val="12"/>
                <w:szCs w:val="12"/>
              </w:rPr>
              <w:t>Valdehorna</w:t>
            </w:r>
          </w:p>
        </w:tc>
        <w:tc>
          <w:tcPr>
            <w:tcW w:w="2268" w:type="dxa"/>
            <w:tcBorders>
              <w:right w:val="single" w:sz="4" w:space="0" w:color="auto"/>
            </w:tcBorders>
            <w:shd w:val="clear" w:color="auto" w:fill="D9D9D9"/>
            <w:hideMark/>
          </w:tcPr>
          <w:p w14:paraId="679AB4BC" w14:textId="77777777" w:rsidR="002A4DDF" w:rsidRPr="00937C8B" w:rsidRDefault="002A4DDF" w:rsidP="009110ED">
            <w:pPr>
              <w:rPr>
                <w:rFonts w:ascii="Arial" w:hAnsi="Arial" w:cs="Arial"/>
                <w:sz w:val="12"/>
                <w:szCs w:val="12"/>
              </w:rPr>
            </w:pPr>
          </w:p>
        </w:tc>
      </w:tr>
      <w:tr w:rsidR="002A4DDF" w:rsidRPr="00937C8B" w14:paraId="7F259CA4" w14:textId="77777777" w:rsidTr="00935676">
        <w:trPr>
          <w:cantSplit/>
        </w:trPr>
        <w:tc>
          <w:tcPr>
            <w:tcW w:w="1696" w:type="dxa"/>
            <w:tcBorders>
              <w:left w:val="single" w:sz="4" w:space="0" w:color="auto"/>
            </w:tcBorders>
            <w:shd w:val="clear" w:color="auto" w:fill="auto"/>
          </w:tcPr>
          <w:p w14:paraId="6C2727A6" w14:textId="77777777" w:rsidR="002A4DDF" w:rsidRPr="00937C8B" w:rsidRDefault="002A4DDF" w:rsidP="009110ED">
            <w:pPr>
              <w:rPr>
                <w:rFonts w:ascii="Arial" w:hAnsi="Arial" w:cs="Arial"/>
                <w:sz w:val="12"/>
                <w:szCs w:val="12"/>
              </w:rPr>
            </w:pPr>
          </w:p>
        </w:tc>
        <w:tc>
          <w:tcPr>
            <w:tcW w:w="1843" w:type="dxa"/>
            <w:shd w:val="clear" w:color="auto" w:fill="auto"/>
          </w:tcPr>
          <w:p w14:paraId="35290E48" w14:textId="77777777" w:rsidR="002A4DDF" w:rsidRPr="00937C8B" w:rsidRDefault="002A4DDF" w:rsidP="009110ED">
            <w:pPr>
              <w:rPr>
                <w:rFonts w:ascii="Arial" w:hAnsi="Arial" w:cs="Arial"/>
                <w:sz w:val="12"/>
                <w:szCs w:val="12"/>
              </w:rPr>
            </w:pPr>
          </w:p>
        </w:tc>
        <w:tc>
          <w:tcPr>
            <w:tcW w:w="2268" w:type="dxa"/>
            <w:shd w:val="clear" w:color="auto" w:fill="F2F2F2"/>
            <w:hideMark/>
          </w:tcPr>
          <w:p w14:paraId="0315A71E" w14:textId="77777777" w:rsidR="002A4DDF" w:rsidRPr="00937C8B" w:rsidRDefault="002A4DDF" w:rsidP="009110ED">
            <w:pPr>
              <w:rPr>
                <w:rFonts w:ascii="Arial" w:hAnsi="Arial" w:cs="Arial"/>
                <w:sz w:val="12"/>
                <w:szCs w:val="12"/>
              </w:rPr>
            </w:pPr>
            <w:r>
              <w:rPr>
                <w:rFonts w:ascii="Arial" w:hAnsi="Arial"/>
                <w:sz w:val="12"/>
                <w:szCs w:val="12"/>
              </w:rPr>
              <w:t>Valtorres</w:t>
            </w:r>
          </w:p>
        </w:tc>
        <w:tc>
          <w:tcPr>
            <w:tcW w:w="2268" w:type="dxa"/>
            <w:tcBorders>
              <w:right w:val="single" w:sz="4" w:space="0" w:color="auto"/>
            </w:tcBorders>
            <w:shd w:val="clear" w:color="auto" w:fill="D9D9D9"/>
            <w:hideMark/>
          </w:tcPr>
          <w:p w14:paraId="70B8DDE5" w14:textId="77777777" w:rsidR="002A4DDF" w:rsidRPr="00937C8B" w:rsidRDefault="002A4DDF" w:rsidP="009110ED">
            <w:pPr>
              <w:rPr>
                <w:rFonts w:ascii="Arial" w:hAnsi="Arial" w:cs="Arial"/>
                <w:sz w:val="12"/>
                <w:szCs w:val="12"/>
              </w:rPr>
            </w:pPr>
          </w:p>
        </w:tc>
      </w:tr>
      <w:tr w:rsidR="002A4DDF" w:rsidRPr="00937C8B" w14:paraId="385E7E30" w14:textId="77777777" w:rsidTr="00935676">
        <w:trPr>
          <w:cantSplit/>
        </w:trPr>
        <w:tc>
          <w:tcPr>
            <w:tcW w:w="1696" w:type="dxa"/>
            <w:tcBorders>
              <w:left w:val="single" w:sz="4" w:space="0" w:color="auto"/>
            </w:tcBorders>
            <w:shd w:val="clear" w:color="auto" w:fill="auto"/>
          </w:tcPr>
          <w:p w14:paraId="60F7397C" w14:textId="77777777" w:rsidR="002A4DDF" w:rsidRPr="00937C8B" w:rsidRDefault="002A4DDF" w:rsidP="009110ED">
            <w:pPr>
              <w:rPr>
                <w:rFonts w:ascii="Arial" w:hAnsi="Arial" w:cs="Arial"/>
                <w:sz w:val="12"/>
                <w:szCs w:val="12"/>
              </w:rPr>
            </w:pPr>
          </w:p>
        </w:tc>
        <w:tc>
          <w:tcPr>
            <w:tcW w:w="1843" w:type="dxa"/>
            <w:shd w:val="clear" w:color="auto" w:fill="auto"/>
          </w:tcPr>
          <w:p w14:paraId="07653845" w14:textId="77777777" w:rsidR="002A4DDF" w:rsidRPr="00937C8B" w:rsidRDefault="002A4DDF" w:rsidP="009110ED">
            <w:pPr>
              <w:rPr>
                <w:rFonts w:ascii="Arial" w:hAnsi="Arial" w:cs="Arial"/>
                <w:sz w:val="12"/>
                <w:szCs w:val="12"/>
              </w:rPr>
            </w:pPr>
          </w:p>
        </w:tc>
        <w:tc>
          <w:tcPr>
            <w:tcW w:w="2268" w:type="dxa"/>
            <w:shd w:val="clear" w:color="auto" w:fill="F2F2F2"/>
            <w:hideMark/>
          </w:tcPr>
          <w:p w14:paraId="512C69F6" w14:textId="77777777" w:rsidR="002A4DDF" w:rsidRPr="00937C8B" w:rsidRDefault="002A4DDF" w:rsidP="009110ED">
            <w:pPr>
              <w:rPr>
                <w:rFonts w:ascii="Arial" w:hAnsi="Arial" w:cs="Arial"/>
                <w:sz w:val="12"/>
                <w:szCs w:val="12"/>
              </w:rPr>
            </w:pPr>
            <w:r>
              <w:rPr>
                <w:rFonts w:ascii="Arial" w:hAnsi="Arial"/>
                <w:sz w:val="12"/>
                <w:szCs w:val="12"/>
              </w:rPr>
              <w:t>Velilla de Jiloca</w:t>
            </w:r>
          </w:p>
        </w:tc>
        <w:tc>
          <w:tcPr>
            <w:tcW w:w="2268" w:type="dxa"/>
            <w:tcBorders>
              <w:right w:val="single" w:sz="4" w:space="0" w:color="auto"/>
            </w:tcBorders>
            <w:shd w:val="clear" w:color="auto" w:fill="D9D9D9"/>
            <w:hideMark/>
          </w:tcPr>
          <w:p w14:paraId="2FE9D35E" w14:textId="77777777" w:rsidR="002A4DDF" w:rsidRPr="00937C8B" w:rsidRDefault="002A4DDF" w:rsidP="009110ED">
            <w:pPr>
              <w:rPr>
                <w:rFonts w:ascii="Arial" w:hAnsi="Arial" w:cs="Arial"/>
                <w:sz w:val="12"/>
                <w:szCs w:val="12"/>
              </w:rPr>
            </w:pPr>
          </w:p>
        </w:tc>
      </w:tr>
      <w:tr w:rsidR="002A4DDF" w:rsidRPr="00937C8B" w14:paraId="448FE711" w14:textId="77777777" w:rsidTr="00935676">
        <w:trPr>
          <w:cantSplit/>
        </w:trPr>
        <w:tc>
          <w:tcPr>
            <w:tcW w:w="1696" w:type="dxa"/>
            <w:tcBorders>
              <w:left w:val="single" w:sz="4" w:space="0" w:color="auto"/>
            </w:tcBorders>
            <w:shd w:val="clear" w:color="auto" w:fill="auto"/>
          </w:tcPr>
          <w:p w14:paraId="1C1BC464" w14:textId="77777777" w:rsidR="002A4DDF" w:rsidRPr="00937C8B" w:rsidRDefault="002A4DDF" w:rsidP="009110ED">
            <w:pPr>
              <w:rPr>
                <w:rFonts w:ascii="Arial" w:hAnsi="Arial" w:cs="Arial"/>
                <w:sz w:val="12"/>
                <w:szCs w:val="12"/>
              </w:rPr>
            </w:pPr>
          </w:p>
        </w:tc>
        <w:tc>
          <w:tcPr>
            <w:tcW w:w="1843" w:type="dxa"/>
            <w:shd w:val="clear" w:color="auto" w:fill="auto"/>
          </w:tcPr>
          <w:p w14:paraId="7049F8B5" w14:textId="77777777" w:rsidR="002A4DDF" w:rsidRPr="00937C8B" w:rsidRDefault="002A4DDF" w:rsidP="009110ED">
            <w:pPr>
              <w:rPr>
                <w:rFonts w:ascii="Arial" w:hAnsi="Arial" w:cs="Arial"/>
                <w:sz w:val="12"/>
                <w:szCs w:val="12"/>
              </w:rPr>
            </w:pPr>
          </w:p>
        </w:tc>
        <w:tc>
          <w:tcPr>
            <w:tcW w:w="2268" w:type="dxa"/>
            <w:shd w:val="clear" w:color="auto" w:fill="F2F2F2"/>
            <w:hideMark/>
          </w:tcPr>
          <w:p w14:paraId="60D7236D" w14:textId="77777777" w:rsidR="002A4DDF" w:rsidRPr="00937C8B" w:rsidRDefault="002A4DDF" w:rsidP="009110ED">
            <w:pPr>
              <w:rPr>
                <w:rFonts w:ascii="Arial" w:hAnsi="Arial" w:cs="Arial"/>
                <w:sz w:val="12"/>
                <w:szCs w:val="12"/>
              </w:rPr>
            </w:pPr>
            <w:r>
              <w:rPr>
                <w:rFonts w:ascii="Arial" w:hAnsi="Arial"/>
                <w:sz w:val="12"/>
                <w:szCs w:val="12"/>
              </w:rPr>
              <w:t>Vera de Moncayo</w:t>
            </w:r>
          </w:p>
        </w:tc>
        <w:tc>
          <w:tcPr>
            <w:tcW w:w="2268" w:type="dxa"/>
            <w:tcBorders>
              <w:right w:val="single" w:sz="4" w:space="0" w:color="auto"/>
            </w:tcBorders>
            <w:shd w:val="clear" w:color="auto" w:fill="D9D9D9"/>
            <w:hideMark/>
          </w:tcPr>
          <w:p w14:paraId="3876E730" w14:textId="77777777" w:rsidR="002A4DDF" w:rsidRPr="00937C8B" w:rsidRDefault="002A4DDF" w:rsidP="009110ED">
            <w:pPr>
              <w:rPr>
                <w:rFonts w:ascii="Arial" w:hAnsi="Arial" w:cs="Arial"/>
                <w:sz w:val="12"/>
                <w:szCs w:val="12"/>
              </w:rPr>
            </w:pPr>
          </w:p>
        </w:tc>
      </w:tr>
      <w:tr w:rsidR="002A4DDF" w:rsidRPr="00937C8B" w14:paraId="11AA0ABB" w14:textId="77777777" w:rsidTr="00935676">
        <w:trPr>
          <w:cantSplit/>
        </w:trPr>
        <w:tc>
          <w:tcPr>
            <w:tcW w:w="1696" w:type="dxa"/>
            <w:tcBorders>
              <w:left w:val="single" w:sz="4" w:space="0" w:color="auto"/>
            </w:tcBorders>
            <w:shd w:val="clear" w:color="auto" w:fill="auto"/>
          </w:tcPr>
          <w:p w14:paraId="5FA04DB7" w14:textId="77777777" w:rsidR="002A4DDF" w:rsidRPr="00937C8B" w:rsidRDefault="002A4DDF" w:rsidP="009110ED">
            <w:pPr>
              <w:rPr>
                <w:rFonts w:ascii="Arial" w:hAnsi="Arial" w:cs="Arial"/>
                <w:sz w:val="12"/>
                <w:szCs w:val="12"/>
              </w:rPr>
            </w:pPr>
          </w:p>
        </w:tc>
        <w:tc>
          <w:tcPr>
            <w:tcW w:w="1843" w:type="dxa"/>
            <w:shd w:val="clear" w:color="auto" w:fill="auto"/>
          </w:tcPr>
          <w:p w14:paraId="23D25DD1" w14:textId="77777777" w:rsidR="002A4DDF" w:rsidRPr="00937C8B" w:rsidRDefault="002A4DDF" w:rsidP="009110ED">
            <w:pPr>
              <w:rPr>
                <w:rFonts w:ascii="Arial" w:hAnsi="Arial" w:cs="Arial"/>
                <w:sz w:val="12"/>
                <w:szCs w:val="12"/>
              </w:rPr>
            </w:pPr>
          </w:p>
        </w:tc>
        <w:tc>
          <w:tcPr>
            <w:tcW w:w="2268" w:type="dxa"/>
            <w:shd w:val="clear" w:color="auto" w:fill="F2F2F2"/>
            <w:hideMark/>
          </w:tcPr>
          <w:p w14:paraId="5865E9D3" w14:textId="77777777" w:rsidR="002A4DDF" w:rsidRPr="00937C8B" w:rsidRDefault="002A4DDF" w:rsidP="009110ED">
            <w:pPr>
              <w:rPr>
                <w:rFonts w:ascii="Arial" w:hAnsi="Arial" w:cs="Arial"/>
                <w:sz w:val="12"/>
                <w:szCs w:val="12"/>
              </w:rPr>
            </w:pPr>
            <w:r>
              <w:rPr>
                <w:rFonts w:ascii="Arial" w:hAnsi="Arial"/>
                <w:sz w:val="12"/>
                <w:szCs w:val="12"/>
              </w:rPr>
              <w:t>Vierlas</w:t>
            </w:r>
          </w:p>
        </w:tc>
        <w:tc>
          <w:tcPr>
            <w:tcW w:w="2268" w:type="dxa"/>
            <w:tcBorders>
              <w:right w:val="single" w:sz="4" w:space="0" w:color="auto"/>
            </w:tcBorders>
            <w:shd w:val="clear" w:color="auto" w:fill="D9D9D9"/>
            <w:hideMark/>
          </w:tcPr>
          <w:p w14:paraId="58C827C1" w14:textId="77777777" w:rsidR="002A4DDF" w:rsidRPr="00937C8B" w:rsidRDefault="002A4DDF" w:rsidP="009110ED">
            <w:pPr>
              <w:rPr>
                <w:rFonts w:ascii="Arial" w:hAnsi="Arial" w:cs="Arial"/>
                <w:sz w:val="12"/>
                <w:szCs w:val="12"/>
              </w:rPr>
            </w:pPr>
          </w:p>
        </w:tc>
      </w:tr>
      <w:tr w:rsidR="002A4DDF" w:rsidRPr="00937C8B" w14:paraId="07E51EB7" w14:textId="77777777" w:rsidTr="00935676">
        <w:trPr>
          <w:cantSplit/>
        </w:trPr>
        <w:tc>
          <w:tcPr>
            <w:tcW w:w="1696" w:type="dxa"/>
            <w:tcBorders>
              <w:left w:val="single" w:sz="4" w:space="0" w:color="auto"/>
            </w:tcBorders>
            <w:shd w:val="clear" w:color="auto" w:fill="auto"/>
          </w:tcPr>
          <w:p w14:paraId="436A65D3" w14:textId="77777777" w:rsidR="002A4DDF" w:rsidRPr="00937C8B" w:rsidRDefault="002A4DDF" w:rsidP="009110ED">
            <w:pPr>
              <w:rPr>
                <w:rFonts w:ascii="Arial" w:hAnsi="Arial" w:cs="Arial"/>
                <w:sz w:val="12"/>
                <w:szCs w:val="12"/>
              </w:rPr>
            </w:pPr>
          </w:p>
        </w:tc>
        <w:tc>
          <w:tcPr>
            <w:tcW w:w="1843" w:type="dxa"/>
            <w:shd w:val="clear" w:color="auto" w:fill="auto"/>
          </w:tcPr>
          <w:p w14:paraId="63D12AD7" w14:textId="77777777" w:rsidR="002A4DDF" w:rsidRPr="00937C8B" w:rsidRDefault="002A4DDF" w:rsidP="009110ED">
            <w:pPr>
              <w:rPr>
                <w:rFonts w:ascii="Arial" w:hAnsi="Arial" w:cs="Arial"/>
                <w:sz w:val="12"/>
                <w:szCs w:val="12"/>
              </w:rPr>
            </w:pPr>
          </w:p>
        </w:tc>
        <w:tc>
          <w:tcPr>
            <w:tcW w:w="2268" w:type="dxa"/>
            <w:shd w:val="clear" w:color="auto" w:fill="F2F2F2"/>
            <w:hideMark/>
          </w:tcPr>
          <w:p w14:paraId="6A65561D" w14:textId="77777777" w:rsidR="002A4DDF" w:rsidRPr="00937C8B" w:rsidRDefault="002A4DDF" w:rsidP="009110ED">
            <w:pPr>
              <w:rPr>
                <w:rFonts w:ascii="Arial" w:hAnsi="Arial" w:cs="Arial"/>
                <w:sz w:val="12"/>
                <w:szCs w:val="12"/>
              </w:rPr>
            </w:pPr>
            <w:r>
              <w:rPr>
                <w:rFonts w:ascii="Arial" w:hAnsi="Arial"/>
                <w:sz w:val="12"/>
                <w:szCs w:val="12"/>
              </w:rPr>
              <w:t>Villadoz</w:t>
            </w:r>
          </w:p>
        </w:tc>
        <w:tc>
          <w:tcPr>
            <w:tcW w:w="2268" w:type="dxa"/>
            <w:tcBorders>
              <w:right w:val="single" w:sz="4" w:space="0" w:color="auto"/>
            </w:tcBorders>
            <w:shd w:val="clear" w:color="auto" w:fill="D9D9D9"/>
            <w:hideMark/>
          </w:tcPr>
          <w:p w14:paraId="4CA598D6" w14:textId="77777777" w:rsidR="002A4DDF" w:rsidRPr="00937C8B" w:rsidRDefault="002A4DDF" w:rsidP="009110ED">
            <w:pPr>
              <w:rPr>
                <w:rFonts w:ascii="Arial" w:hAnsi="Arial" w:cs="Arial"/>
                <w:sz w:val="12"/>
                <w:szCs w:val="12"/>
              </w:rPr>
            </w:pPr>
          </w:p>
        </w:tc>
      </w:tr>
      <w:tr w:rsidR="002A4DDF" w:rsidRPr="00937C8B" w14:paraId="14EE552E" w14:textId="77777777" w:rsidTr="00935676">
        <w:trPr>
          <w:cantSplit/>
        </w:trPr>
        <w:tc>
          <w:tcPr>
            <w:tcW w:w="1696" w:type="dxa"/>
            <w:tcBorders>
              <w:left w:val="single" w:sz="4" w:space="0" w:color="auto"/>
            </w:tcBorders>
            <w:shd w:val="clear" w:color="auto" w:fill="auto"/>
          </w:tcPr>
          <w:p w14:paraId="7BD80534" w14:textId="77777777" w:rsidR="002A4DDF" w:rsidRPr="00937C8B" w:rsidRDefault="002A4DDF" w:rsidP="009110ED">
            <w:pPr>
              <w:rPr>
                <w:rFonts w:ascii="Arial" w:hAnsi="Arial" w:cs="Arial"/>
                <w:sz w:val="12"/>
                <w:szCs w:val="12"/>
              </w:rPr>
            </w:pPr>
          </w:p>
        </w:tc>
        <w:tc>
          <w:tcPr>
            <w:tcW w:w="1843" w:type="dxa"/>
            <w:shd w:val="clear" w:color="auto" w:fill="auto"/>
          </w:tcPr>
          <w:p w14:paraId="294C9AF9" w14:textId="77777777" w:rsidR="002A4DDF" w:rsidRPr="00937C8B" w:rsidRDefault="002A4DDF" w:rsidP="009110ED">
            <w:pPr>
              <w:rPr>
                <w:rFonts w:ascii="Arial" w:hAnsi="Arial" w:cs="Arial"/>
                <w:sz w:val="12"/>
                <w:szCs w:val="12"/>
              </w:rPr>
            </w:pPr>
          </w:p>
        </w:tc>
        <w:tc>
          <w:tcPr>
            <w:tcW w:w="2268" w:type="dxa"/>
            <w:shd w:val="clear" w:color="auto" w:fill="F2F2F2"/>
            <w:hideMark/>
          </w:tcPr>
          <w:p w14:paraId="7AE1F854" w14:textId="77777777" w:rsidR="002A4DDF" w:rsidRPr="00937C8B" w:rsidRDefault="002A4DDF" w:rsidP="009110ED">
            <w:pPr>
              <w:rPr>
                <w:rFonts w:ascii="Arial" w:hAnsi="Arial" w:cs="Arial"/>
                <w:sz w:val="12"/>
                <w:szCs w:val="12"/>
              </w:rPr>
            </w:pPr>
            <w:r>
              <w:rPr>
                <w:rFonts w:ascii="Arial" w:hAnsi="Arial"/>
                <w:sz w:val="12"/>
                <w:szCs w:val="12"/>
              </w:rPr>
              <w:t>Villafeliche</w:t>
            </w:r>
          </w:p>
        </w:tc>
        <w:tc>
          <w:tcPr>
            <w:tcW w:w="2268" w:type="dxa"/>
            <w:tcBorders>
              <w:right w:val="single" w:sz="4" w:space="0" w:color="auto"/>
            </w:tcBorders>
            <w:shd w:val="clear" w:color="auto" w:fill="D9D9D9"/>
            <w:hideMark/>
          </w:tcPr>
          <w:p w14:paraId="4A009F5B" w14:textId="77777777" w:rsidR="002A4DDF" w:rsidRPr="00937C8B" w:rsidRDefault="002A4DDF" w:rsidP="009110ED">
            <w:pPr>
              <w:rPr>
                <w:rFonts w:ascii="Arial" w:hAnsi="Arial" w:cs="Arial"/>
                <w:sz w:val="12"/>
                <w:szCs w:val="12"/>
              </w:rPr>
            </w:pPr>
          </w:p>
        </w:tc>
      </w:tr>
      <w:tr w:rsidR="002A4DDF" w:rsidRPr="00937C8B" w14:paraId="5AA03E70" w14:textId="77777777" w:rsidTr="00935676">
        <w:trPr>
          <w:cantSplit/>
        </w:trPr>
        <w:tc>
          <w:tcPr>
            <w:tcW w:w="1696" w:type="dxa"/>
            <w:tcBorders>
              <w:left w:val="single" w:sz="4" w:space="0" w:color="auto"/>
            </w:tcBorders>
            <w:shd w:val="clear" w:color="auto" w:fill="auto"/>
          </w:tcPr>
          <w:p w14:paraId="16468780" w14:textId="77777777" w:rsidR="002A4DDF" w:rsidRPr="00937C8B" w:rsidRDefault="002A4DDF" w:rsidP="009110ED">
            <w:pPr>
              <w:rPr>
                <w:rFonts w:ascii="Arial" w:hAnsi="Arial" w:cs="Arial"/>
                <w:sz w:val="12"/>
                <w:szCs w:val="12"/>
              </w:rPr>
            </w:pPr>
          </w:p>
        </w:tc>
        <w:tc>
          <w:tcPr>
            <w:tcW w:w="1843" w:type="dxa"/>
            <w:shd w:val="clear" w:color="auto" w:fill="auto"/>
          </w:tcPr>
          <w:p w14:paraId="2AC8FF69" w14:textId="77777777" w:rsidR="002A4DDF" w:rsidRPr="00937C8B" w:rsidRDefault="002A4DDF" w:rsidP="009110ED">
            <w:pPr>
              <w:rPr>
                <w:rFonts w:ascii="Arial" w:hAnsi="Arial" w:cs="Arial"/>
                <w:sz w:val="12"/>
                <w:szCs w:val="12"/>
              </w:rPr>
            </w:pPr>
          </w:p>
        </w:tc>
        <w:tc>
          <w:tcPr>
            <w:tcW w:w="2268" w:type="dxa"/>
            <w:shd w:val="clear" w:color="auto" w:fill="F2F2F2"/>
            <w:hideMark/>
          </w:tcPr>
          <w:p w14:paraId="7BFB24AD" w14:textId="77777777" w:rsidR="002A4DDF" w:rsidRPr="00937C8B" w:rsidRDefault="002A4DDF" w:rsidP="009110ED">
            <w:pPr>
              <w:rPr>
                <w:rFonts w:ascii="Arial" w:hAnsi="Arial" w:cs="Arial"/>
                <w:sz w:val="12"/>
                <w:szCs w:val="12"/>
              </w:rPr>
            </w:pPr>
            <w:r>
              <w:rPr>
                <w:rFonts w:ascii="Arial" w:hAnsi="Arial"/>
                <w:sz w:val="12"/>
                <w:szCs w:val="12"/>
              </w:rPr>
              <w:t>Villalengua</w:t>
            </w:r>
          </w:p>
        </w:tc>
        <w:tc>
          <w:tcPr>
            <w:tcW w:w="2268" w:type="dxa"/>
            <w:tcBorders>
              <w:right w:val="single" w:sz="4" w:space="0" w:color="auto"/>
            </w:tcBorders>
            <w:shd w:val="clear" w:color="auto" w:fill="D9D9D9"/>
            <w:hideMark/>
          </w:tcPr>
          <w:p w14:paraId="6CBAF043" w14:textId="77777777" w:rsidR="002A4DDF" w:rsidRPr="00937C8B" w:rsidRDefault="002A4DDF" w:rsidP="009110ED">
            <w:pPr>
              <w:rPr>
                <w:rFonts w:ascii="Arial" w:hAnsi="Arial" w:cs="Arial"/>
                <w:sz w:val="12"/>
                <w:szCs w:val="12"/>
              </w:rPr>
            </w:pPr>
          </w:p>
        </w:tc>
      </w:tr>
      <w:tr w:rsidR="002A4DDF" w:rsidRPr="00937C8B" w14:paraId="3F90AA31" w14:textId="77777777" w:rsidTr="00935676">
        <w:trPr>
          <w:cantSplit/>
        </w:trPr>
        <w:tc>
          <w:tcPr>
            <w:tcW w:w="1696" w:type="dxa"/>
            <w:tcBorders>
              <w:left w:val="single" w:sz="4" w:space="0" w:color="auto"/>
            </w:tcBorders>
            <w:shd w:val="clear" w:color="auto" w:fill="auto"/>
          </w:tcPr>
          <w:p w14:paraId="50883184" w14:textId="77777777" w:rsidR="002A4DDF" w:rsidRPr="00937C8B" w:rsidRDefault="002A4DDF" w:rsidP="009110ED">
            <w:pPr>
              <w:rPr>
                <w:rFonts w:ascii="Arial" w:hAnsi="Arial" w:cs="Arial"/>
                <w:sz w:val="12"/>
                <w:szCs w:val="12"/>
              </w:rPr>
            </w:pPr>
          </w:p>
        </w:tc>
        <w:tc>
          <w:tcPr>
            <w:tcW w:w="1843" w:type="dxa"/>
            <w:shd w:val="clear" w:color="auto" w:fill="auto"/>
          </w:tcPr>
          <w:p w14:paraId="13E08533" w14:textId="77777777" w:rsidR="002A4DDF" w:rsidRPr="00937C8B" w:rsidRDefault="002A4DDF" w:rsidP="009110ED">
            <w:pPr>
              <w:rPr>
                <w:rFonts w:ascii="Arial" w:hAnsi="Arial" w:cs="Arial"/>
                <w:sz w:val="12"/>
                <w:szCs w:val="12"/>
              </w:rPr>
            </w:pPr>
          </w:p>
        </w:tc>
        <w:tc>
          <w:tcPr>
            <w:tcW w:w="2268" w:type="dxa"/>
            <w:shd w:val="clear" w:color="auto" w:fill="F2F2F2"/>
            <w:hideMark/>
          </w:tcPr>
          <w:p w14:paraId="2762ACC0" w14:textId="77777777" w:rsidR="002A4DDF" w:rsidRPr="00937C8B" w:rsidRDefault="002A4DDF" w:rsidP="009110ED">
            <w:pPr>
              <w:rPr>
                <w:rFonts w:ascii="Arial" w:hAnsi="Arial" w:cs="Arial"/>
                <w:sz w:val="12"/>
                <w:szCs w:val="12"/>
              </w:rPr>
            </w:pPr>
            <w:r>
              <w:rPr>
                <w:rFonts w:ascii="Arial" w:hAnsi="Arial"/>
                <w:sz w:val="12"/>
                <w:szCs w:val="12"/>
              </w:rPr>
              <w:t>Villanueva de Jiloca</w:t>
            </w:r>
          </w:p>
        </w:tc>
        <w:tc>
          <w:tcPr>
            <w:tcW w:w="2268" w:type="dxa"/>
            <w:tcBorders>
              <w:right w:val="single" w:sz="4" w:space="0" w:color="auto"/>
            </w:tcBorders>
            <w:shd w:val="clear" w:color="auto" w:fill="D9D9D9"/>
            <w:hideMark/>
          </w:tcPr>
          <w:p w14:paraId="0F8A1692" w14:textId="77777777" w:rsidR="002A4DDF" w:rsidRPr="00937C8B" w:rsidRDefault="002A4DDF" w:rsidP="009110ED">
            <w:pPr>
              <w:rPr>
                <w:rFonts w:ascii="Arial" w:hAnsi="Arial" w:cs="Arial"/>
                <w:sz w:val="12"/>
                <w:szCs w:val="12"/>
              </w:rPr>
            </w:pPr>
          </w:p>
        </w:tc>
      </w:tr>
      <w:tr w:rsidR="002A4DDF" w:rsidRPr="00937C8B" w14:paraId="59BF1FA4" w14:textId="77777777" w:rsidTr="00935676">
        <w:trPr>
          <w:cantSplit/>
        </w:trPr>
        <w:tc>
          <w:tcPr>
            <w:tcW w:w="1696" w:type="dxa"/>
            <w:tcBorders>
              <w:left w:val="single" w:sz="4" w:space="0" w:color="auto"/>
            </w:tcBorders>
            <w:shd w:val="clear" w:color="auto" w:fill="auto"/>
          </w:tcPr>
          <w:p w14:paraId="2BDDFAC2" w14:textId="77777777" w:rsidR="002A4DDF" w:rsidRPr="00937C8B" w:rsidRDefault="002A4DDF" w:rsidP="009110ED">
            <w:pPr>
              <w:rPr>
                <w:rFonts w:ascii="Arial" w:hAnsi="Arial" w:cs="Arial"/>
                <w:sz w:val="12"/>
                <w:szCs w:val="12"/>
              </w:rPr>
            </w:pPr>
          </w:p>
        </w:tc>
        <w:tc>
          <w:tcPr>
            <w:tcW w:w="1843" w:type="dxa"/>
            <w:shd w:val="clear" w:color="auto" w:fill="auto"/>
          </w:tcPr>
          <w:p w14:paraId="7DE9BFF6" w14:textId="77777777" w:rsidR="002A4DDF" w:rsidRPr="00937C8B" w:rsidRDefault="002A4DDF" w:rsidP="009110ED">
            <w:pPr>
              <w:rPr>
                <w:rFonts w:ascii="Arial" w:hAnsi="Arial" w:cs="Arial"/>
                <w:sz w:val="12"/>
                <w:szCs w:val="12"/>
              </w:rPr>
            </w:pPr>
          </w:p>
        </w:tc>
        <w:tc>
          <w:tcPr>
            <w:tcW w:w="2268" w:type="dxa"/>
            <w:shd w:val="clear" w:color="auto" w:fill="F2F2F2"/>
            <w:hideMark/>
          </w:tcPr>
          <w:p w14:paraId="0B763842" w14:textId="77777777" w:rsidR="002A4DDF" w:rsidRPr="00937C8B" w:rsidRDefault="002A4DDF" w:rsidP="009110ED">
            <w:pPr>
              <w:rPr>
                <w:rFonts w:ascii="Arial" w:hAnsi="Arial" w:cs="Arial"/>
                <w:sz w:val="12"/>
                <w:szCs w:val="12"/>
              </w:rPr>
            </w:pPr>
            <w:r>
              <w:rPr>
                <w:rFonts w:ascii="Arial" w:hAnsi="Arial"/>
                <w:sz w:val="12"/>
                <w:szCs w:val="12"/>
              </w:rPr>
              <w:t>Villarroya de la Sierra</w:t>
            </w:r>
          </w:p>
        </w:tc>
        <w:tc>
          <w:tcPr>
            <w:tcW w:w="2268" w:type="dxa"/>
            <w:tcBorders>
              <w:right w:val="single" w:sz="4" w:space="0" w:color="auto"/>
            </w:tcBorders>
            <w:shd w:val="clear" w:color="auto" w:fill="D9D9D9"/>
            <w:hideMark/>
          </w:tcPr>
          <w:p w14:paraId="5158E111" w14:textId="77777777" w:rsidR="002A4DDF" w:rsidRPr="00937C8B" w:rsidRDefault="002A4DDF" w:rsidP="009110ED">
            <w:pPr>
              <w:rPr>
                <w:rFonts w:ascii="Arial" w:hAnsi="Arial" w:cs="Arial"/>
                <w:sz w:val="12"/>
                <w:szCs w:val="12"/>
              </w:rPr>
            </w:pPr>
          </w:p>
        </w:tc>
      </w:tr>
      <w:tr w:rsidR="002A4DDF" w:rsidRPr="00937C8B" w14:paraId="67C48CEA" w14:textId="77777777" w:rsidTr="00935676">
        <w:trPr>
          <w:cantSplit/>
        </w:trPr>
        <w:tc>
          <w:tcPr>
            <w:tcW w:w="1696" w:type="dxa"/>
            <w:tcBorders>
              <w:left w:val="single" w:sz="4" w:space="0" w:color="auto"/>
            </w:tcBorders>
            <w:shd w:val="clear" w:color="auto" w:fill="auto"/>
          </w:tcPr>
          <w:p w14:paraId="142DC7F3" w14:textId="77777777" w:rsidR="002A4DDF" w:rsidRPr="00937C8B" w:rsidRDefault="002A4DDF" w:rsidP="009110ED">
            <w:pPr>
              <w:rPr>
                <w:rFonts w:ascii="Arial" w:hAnsi="Arial" w:cs="Arial"/>
                <w:sz w:val="12"/>
                <w:szCs w:val="12"/>
              </w:rPr>
            </w:pPr>
          </w:p>
        </w:tc>
        <w:tc>
          <w:tcPr>
            <w:tcW w:w="1843" w:type="dxa"/>
            <w:shd w:val="clear" w:color="auto" w:fill="auto"/>
          </w:tcPr>
          <w:p w14:paraId="3B5C61EF" w14:textId="77777777" w:rsidR="002A4DDF" w:rsidRPr="00937C8B" w:rsidRDefault="002A4DDF" w:rsidP="009110ED">
            <w:pPr>
              <w:rPr>
                <w:rFonts w:ascii="Arial" w:hAnsi="Arial" w:cs="Arial"/>
                <w:sz w:val="12"/>
                <w:szCs w:val="12"/>
              </w:rPr>
            </w:pPr>
          </w:p>
        </w:tc>
        <w:tc>
          <w:tcPr>
            <w:tcW w:w="2268" w:type="dxa"/>
            <w:shd w:val="clear" w:color="auto" w:fill="F2F2F2"/>
            <w:hideMark/>
          </w:tcPr>
          <w:p w14:paraId="6225F18D" w14:textId="77777777" w:rsidR="002A4DDF" w:rsidRPr="00937C8B" w:rsidRDefault="002A4DDF" w:rsidP="009110ED">
            <w:pPr>
              <w:rPr>
                <w:rFonts w:ascii="Arial" w:hAnsi="Arial" w:cs="Arial"/>
                <w:sz w:val="12"/>
                <w:szCs w:val="12"/>
              </w:rPr>
            </w:pPr>
            <w:r>
              <w:rPr>
                <w:rFonts w:ascii="Arial" w:hAnsi="Arial"/>
                <w:sz w:val="12"/>
                <w:szCs w:val="12"/>
              </w:rPr>
              <w:t>Villarroya del Campo</w:t>
            </w:r>
          </w:p>
        </w:tc>
        <w:tc>
          <w:tcPr>
            <w:tcW w:w="2268" w:type="dxa"/>
            <w:tcBorders>
              <w:right w:val="single" w:sz="4" w:space="0" w:color="auto"/>
            </w:tcBorders>
            <w:shd w:val="clear" w:color="auto" w:fill="D9D9D9"/>
            <w:hideMark/>
          </w:tcPr>
          <w:p w14:paraId="64B0A55B" w14:textId="77777777" w:rsidR="002A4DDF" w:rsidRPr="00937C8B" w:rsidRDefault="002A4DDF" w:rsidP="009110ED">
            <w:pPr>
              <w:rPr>
                <w:rFonts w:ascii="Arial" w:hAnsi="Arial" w:cs="Arial"/>
                <w:sz w:val="12"/>
                <w:szCs w:val="12"/>
              </w:rPr>
            </w:pPr>
          </w:p>
        </w:tc>
      </w:tr>
      <w:tr w:rsidR="002A4DDF" w:rsidRPr="00937C8B" w14:paraId="4AE53817" w14:textId="77777777" w:rsidTr="00935676">
        <w:trPr>
          <w:cantSplit/>
        </w:trPr>
        <w:tc>
          <w:tcPr>
            <w:tcW w:w="1696" w:type="dxa"/>
            <w:tcBorders>
              <w:left w:val="single" w:sz="4" w:space="0" w:color="auto"/>
              <w:bottom w:val="single" w:sz="4" w:space="0" w:color="auto"/>
            </w:tcBorders>
            <w:shd w:val="clear" w:color="auto" w:fill="auto"/>
            <w:hideMark/>
          </w:tcPr>
          <w:p w14:paraId="7A5EECAF" w14:textId="77777777" w:rsidR="002A4DDF" w:rsidRPr="00937C8B" w:rsidRDefault="002A4DDF" w:rsidP="009110ED">
            <w:pPr>
              <w:rPr>
                <w:rFonts w:ascii="Arial" w:hAnsi="Arial" w:cs="Arial"/>
                <w:sz w:val="12"/>
                <w:szCs w:val="12"/>
              </w:rPr>
            </w:pPr>
            <w:r>
              <w:rPr>
                <w:rFonts w:ascii="Arial" w:hAnsi="Arial"/>
                <w:sz w:val="12"/>
                <w:szCs w:val="12"/>
              </w:rPr>
              <w:t>Aragon</w:t>
            </w:r>
          </w:p>
        </w:tc>
        <w:tc>
          <w:tcPr>
            <w:tcW w:w="1843" w:type="dxa"/>
            <w:tcBorders>
              <w:bottom w:val="single" w:sz="4" w:space="0" w:color="auto"/>
            </w:tcBorders>
            <w:shd w:val="clear" w:color="auto" w:fill="auto"/>
            <w:hideMark/>
          </w:tcPr>
          <w:p w14:paraId="26AAE332" w14:textId="77777777" w:rsidR="002A4DDF" w:rsidRPr="00937C8B" w:rsidRDefault="002A4DDF" w:rsidP="009110ED">
            <w:pPr>
              <w:rPr>
                <w:rFonts w:ascii="Arial" w:hAnsi="Arial" w:cs="Arial"/>
                <w:sz w:val="12"/>
                <w:szCs w:val="12"/>
              </w:rPr>
            </w:pPr>
            <w:r>
              <w:rPr>
                <w:rFonts w:ascii="Arial" w:hAnsi="Arial"/>
                <w:sz w:val="12"/>
                <w:szCs w:val="12"/>
              </w:rPr>
              <w:t>Saragosse</w:t>
            </w:r>
          </w:p>
        </w:tc>
        <w:tc>
          <w:tcPr>
            <w:tcW w:w="2268" w:type="dxa"/>
            <w:tcBorders>
              <w:bottom w:val="single" w:sz="4" w:space="0" w:color="auto"/>
            </w:tcBorders>
            <w:shd w:val="clear" w:color="auto" w:fill="F2F2F2"/>
            <w:hideMark/>
          </w:tcPr>
          <w:p w14:paraId="04DAC51E" w14:textId="77777777" w:rsidR="002A4DDF" w:rsidRPr="00937C8B" w:rsidRDefault="002A4DDF" w:rsidP="009110ED">
            <w:pPr>
              <w:rPr>
                <w:rFonts w:ascii="Arial" w:hAnsi="Arial" w:cs="Arial"/>
                <w:sz w:val="12"/>
                <w:szCs w:val="12"/>
              </w:rPr>
            </w:pPr>
            <w:r>
              <w:rPr>
                <w:rFonts w:ascii="Arial" w:hAnsi="Arial"/>
                <w:sz w:val="12"/>
                <w:szCs w:val="12"/>
              </w:rPr>
              <w:t>Vistabella</w:t>
            </w:r>
          </w:p>
        </w:tc>
        <w:tc>
          <w:tcPr>
            <w:tcW w:w="2268" w:type="dxa"/>
            <w:tcBorders>
              <w:bottom w:val="single" w:sz="4" w:space="0" w:color="auto"/>
              <w:right w:val="single" w:sz="4" w:space="0" w:color="auto"/>
            </w:tcBorders>
            <w:shd w:val="clear" w:color="auto" w:fill="D9D9D9"/>
            <w:hideMark/>
          </w:tcPr>
          <w:p w14:paraId="57C8BC1B" w14:textId="77777777" w:rsidR="002A4DDF" w:rsidRPr="00937C8B" w:rsidRDefault="002A4DDF" w:rsidP="009110ED">
            <w:pPr>
              <w:rPr>
                <w:rFonts w:ascii="Arial" w:hAnsi="Arial" w:cs="Arial"/>
                <w:sz w:val="12"/>
                <w:szCs w:val="12"/>
              </w:rPr>
            </w:pPr>
          </w:p>
        </w:tc>
      </w:tr>
      <w:tr w:rsidR="002A4DDF" w:rsidRPr="00937C8B" w14:paraId="3B2F4DA4" w14:textId="77777777" w:rsidTr="00935676">
        <w:trPr>
          <w:cantSplit/>
        </w:trPr>
        <w:tc>
          <w:tcPr>
            <w:tcW w:w="1696" w:type="dxa"/>
            <w:tcBorders>
              <w:top w:val="single" w:sz="4" w:space="0" w:color="auto"/>
            </w:tcBorders>
            <w:shd w:val="clear" w:color="auto" w:fill="auto"/>
            <w:hideMark/>
          </w:tcPr>
          <w:p w14:paraId="56A5B3DA" w14:textId="77777777" w:rsidR="002A4DDF" w:rsidRPr="00937C8B" w:rsidRDefault="002A4DDF" w:rsidP="009110ED">
            <w:pPr>
              <w:rPr>
                <w:rFonts w:ascii="Arial" w:hAnsi="Arial" w:cs="Arial"/>
                <w:sz w:val="12"/>
                <w:szCs w:val="12"/>
              </w:rPr>
            </w:pPr>
          </w:p>
        </w:tc>
        <w:tc>
          <w:tcPr>
            <w:tcW w:w="1843" w:type="dxa"/>
            <w:tcBorders>
              <w:top w:val="single" w:sz="4" w:space="0" w:color="auto"/>
            </w:tcBorders>
            <w:shd w:val="clear" w:color="auto" w:fill="auto"/>
            <w:hideMark/>
          </w:tcPr>
          <w:p w14:paraId="2DF1A8CF" w14:textId="77777777" w:rsidR="002A4DDF" w:rsidRPr="00937C8B"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14:paraId="2AE5D548" w14:textId="77777777" w:rsidR="002A4DDF" w:rsidRPr="00937C8B"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14:paraId="4E33FAF4" w14:textId="77777777" w:rsidR="002A4DDF" w:rsidRPr="00937C8B" w:rsidRDefault="002A4DDF" w:rsidP="009110ED">
            <w:pPr>
              <w:rPr>
                <w:rFonts w:ascii="Arial" w:hAnsi="Arial" w:cs="Arial"/>
                <w:sz w:val="12"/>
                <w:szCs w:val="12"/>
              </w:rPr>
            </w:pPr>
          </w:p>
        </w:tc>
      </w:tr>
      <w:tr w:rsidR="002A4DDF" w:rsidRPr="00937C8B" w14:paraId="72952073" w14:textId="77777777" w:rsidTr="00935676">
        <w:trPr>
          <w:cantSplit/>
        </w:trPr>
        <w:tc>
          <w:tcPr>
            <w:tcW w:w="1696" w:type="dxa"/>
            <w:tcBorders>
              <w:bottom w:val="single" w:sz="4" w:space="0" w:color="auto"/>
            </w:tcBorders>
            <w:shd w:val="clear" w:color="auto" w:fill="auto"/>
            <w:hideMark/>
          </w:tcPr>
          <w:p w14:paraId="20C24EBE" w14:textId="77777777" w:rsidR="002A4DDF" w:rsidRPr="00937C8B"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14:paraId="59539169" w14:textId="77777777" w:rsidR="002A4DDF" w:rsidRPr="00937C8B"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14:paraId="75FE406F" w14:textId="77777777" w:rsidR="002A4DDF" w:rsidRPr="00937C8B"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14:paraId="35FAD39E" w14:textId="77777777" w:rsidR="002A4DDF" w:rsidRPr="00937C8B" w:rsidRDefault="002A4DDF" w:rsidP="009110ED">
            <w:pPr>
              <w:rPr>
                <w:rFonts w:ascii="Arial" w:hAnsi="Arial" w:cs="Arial"/>
                <w:sz w:val="12"/>
                <w:szCs w:val="12"/>
              </w:rPr>
            </w:pPr>
          </w:p>
        </w:tc>
      </w:tr>
      <w:tr w:rsidR="002A4DDF" w:rsidRPr="00937C8B" w14:paraId="66FB1918" w14:textId="77777777" w:rsidTr="00935676">
        <w:trPr>
          <w:cantSplit/>
        </w:trPr>
        <w:tc>
          <w:tcPr>
            <w:tcW w:w="1696" w:type="dxa"/>
            <w:tcBorders>
              <w:top w:val="single" w:sz="4" w:space="0" w:color="auto"/>
              <w:left w:val="single" w:sz="4" w:space="0" w:color="auto"/>
            </w:tcBorders>
            <w:shd w:val="clear" w:color="auto" w:fill="auto"/>
            <w:hideMark/>
          </w:tcPr>
          <w:p w14:paraId="5E0AC3A0" w14:textId="77777777" w:rsidR="002A4DDF" w:rsidRPr="00937C8B" w:rsidRDefault="002A4DDF" w:rsidP="009110ED">
            <w:pPr>
              <w:rPr>
                <w:rFonts w:ascii="Arial" w:hAnsi="Arial" w:cs="Arial"/>
                <w:sz w:val="12"/>
                <w:szCs w:val="12"/>
              </w:rPr>
            </w:pPr>
            <w:r>
              <w:rPr>
                <w:rFonts w:ascii="Arial" w:hAnsi="Arial"/>
                <w:sz w:val="12"/>
                <w:szCs w:val="12"/>
              </w:rPr>
              <w:t>Îles Canaries</w:t>
            </w:r>
          </w:p>
        </w:tc>
        <w:tc>
          <w:tcPr>
            <w:tcW w:w="1843" w:type="dxa"/>
            <w:tcBorders>
              <w:top w:val="single" w:sz="4" w:space="0" w:color="auto"/>
            </w:tcBorders>
            <w:shd w:val="clear" w:color="auto" w:fill="auto"/>
            <w:hideMark/>
          </w:tcPr>
          <w:p w14:paraId="5DFFC809" w14:textId="77777777" w:rsidR="002A4DDF" w:rsidRPr="00937C8B" w:rsidRDefault="002A4DDF" w:rsidP="009110ED">
            <w:pPr>
              <w:rPr>
                <w:rFonts w:ascii="Arial" w:hAnsi="Arial" w:cs="Arial"/>
                <w:sz w:val="12"/>
                <w:szCs w:val="12"/>
              </w:rPr>
            </w:pPr>
            <w:r>
              <w:rPr>
                <w:rFonts w:ascii="Arial" w:hAnsi="Arial"/>
                <w:sz w:val="12"/>
                <w:szCs w:val="12"/>
              </w:rPr>
              <w:t>Las Palmas</w:t>
            </w:r>
          </w:p>
        </w:tc>
        <w:tc>
          <w:tcPr>
            <w:tcW w:w="2268" w:type="dxa"/>
            <w:tcBorders>
              <w:top w:val="single" w:sz="4" w:space="0" w:color="auto"/>
            </w:tcBorders>
            <w:shd w:val="clear" w:color="auto" w:fill="F2F2F2"/>
            <w:hideMark/>
          </w:tcPr>
          <w:p w14:paraId="38A9E53A" w14:textId="77777777" w:rsidR="002A4DDF" w:rsidRPr="00937C8B" w:rsidRDefault="002A4DDF" w:rsidP="009110ED">
            <w:pPr>
              <w:rPr>
                <w:rFonts w:ascii="Arial" w:hAnsi="Arial" w:cs="Arial"/>
                <w:sz w:val="12"/>
                <w:szCs w:val="12"/>
              </w:rPr>
            </w:pPr>
          </w:p>
        </w:tc>
        <w:tc>
          <w:tcPr>
            <w:tcW w:w="2268" w:type="dxa"/>
            <w:tcBorders>
              <w:top w:val="single" w:sz="4" w:space="0" w:color="auto"/>
              <w:right w:val="single" w:sz="4" w:space="0" w:color="auto"/>
            </w:tcBorders>
            <w:shd w:val="clear" w:color="auto" w:fill="D9D9D9"/>
            <w:hideMark/>
          </w:tcPr>
          <w:p w14:paraId="68CBA162" w14:textId="77777777" w:rsidR="002A4DDF" w:rsidRPr="00937C8B" w:rsidRDefault="002A4DDF" w:rsidP="009110ED">
            <w:pPr>
              <w:rPr>
                <w:rFonts w:ascii="Arial" w:hAnsi="Arial" w:cs="Arial"/>
                <w:sz w:val="12"/>
                <w:szCs w:val="12"/>
              </w:rPr>
            </w:pPr>
            <w:r>
              <w:rPr>
                <w:rFonts w:ascii="Arial" w:hAnsi="Arial"/>
                <w:sz w:val="12"/>
                <w:szCs w:val="12"/>
              </w:rPr>
              <w:t>Agaete</w:t>
            </w:r>
          </w:p>
        </w:tc>
      </w:tr>
      <w:tr w:rsidR="002A4DDF" w:rsidRPr="00937C8B" w14:paraId="09C0FB53" w14:textId="77777777" w:rsidTr="00935676">
        <w:trPr>
          <w:cantSplit/>
        </w:trPr>
        <w:tc>
          <w:tcPr>
            <w:tcW w:w="1696" w:type="dxa"/>
            <w:tcBorders>
              <w:left w:val="single" w:sz="4" w:space="0" w:color="auto"/>
            </w:tcBorders>
            <w:shd w:val="clear" w:color="auto" w:fill="auto"/>
          </w:tcPr>
          <w:p w14:paraId="49FEAE85" w14:textId="77777777" w:rsidR="002A4DDF" w:rsidRPr="00937C8B" w:rsidRDefault="002A4DDF" w:rsidP="009110ED">
            <w:pPr>
              <w:rPr>
                <w:rFonts w:ascii="Arial" w:hAnsi="Arial" w:cs="Arial"/>
                <w:sz w:val="12"/>
                <w:szCs w:val="12"/>
              </w:rPr>
            </w:pPr>
          </w:p>
        </w:tc>
        <w:tc>
          <w:tcPr>
            <w:tcW w:w="1843" w:type="dxa"/>
            <w:shd w:val="clear" w:color="auto" w:fill="auto"/>
          </w:tcPr>
          <w:p w14:paraId="4A7A075F" w14:textId="77777777" w:rsidR="002A4DDF" w:rsidRPr="00937C8B" w:rsidRDefault="002A4DDF" w:rsidP="009110ED">
            <w:pPr>
              <w:rPr>
                <w:rFonts w:ascii="Arial" w:hAnsi="Arial" w:cs="Arial"/>
                <w:sz w:val="12"/>
                <w:szCs w:val="12"/>
              </w:rPr>
            </w:pPr>
          </w:p>
        </w:tc>
        <w:tc>
          <w:tcPr>
            <w:tcW w:w="2268" w:type="dxa"/>
            <w:shd w:val="clear" w:color="auto" w:fill="F2F2F2"/>
            <w:hideMark/>
          </w:tcPr>
          <w:p w14:paraId="4679A64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3ED82D5" w14:textId="77777777" w:rsidR="002A4DDF" w:rsidRPr="00937C8B" w:rsidRDefault="002A4DDF" w:rsidP="009110ED">
            <w:pPr>
              <w:rPr>
                <w:rFonts w:ascii="Arial" w:hAnsi="Arial" w:cs="Arial"/>
                <w:sz w:val="12"/>
                <w:szCs w:val="12"/>
              </w:rPr>
            </w:pPr>
            <w:r>
              <w:rPr>
                <w:rFonts w:ascii="Arial" w:hAnsi="Arial"/>
                <w:sz w:val="12"/>
                <w:szCs w:val="12"/>
              </w:rPr>
              <w:t>Agüimes</w:t>
            </w:r>
          </w:p>
        </w:tc>
      </w:tr>
      <w:tr w:rsidR="002A4DDF" w:rsidRPr="00937C8B" w14:paraId="1BBFC4B7" w14:textId="77777777" w:rsidTr="00935676">
        <w:trPr>
          <w:cantSplit/>
        </w:trPr>
        <w:tc>
          <w:tcPr>
            <w:tcW w:w="1696" w:type="dxa"/>
            <w:tcBorders>
              <w:left w:val="single" w:sz="4" w:space="0" w:color="auto"/>
            </w:tcBorders>
            <w:shd w:val="clear" w:color="auto" w:fill="auto"/>
          </w:tcPr>
          <w:p w14:paraId="4B765FBD" w14:textId="77777777" w:rsidR="002A4DDF" w:rsidRPr="00937C8B" w:rsidRDefault="002A4DDF" w:rsidP="009110ED">
            <w:pPr>
              <w:rPr>
                <w:rFonts w:ascii="Arial" w:hAnsi="Arial" w:cs="Arial"/>
                <w:sz w:val="12"/>
                <w:szCs w:val="12"/>
              </w:rPr>
            </w:pPr>
          </w:p>
        </w:tc>
        <w:tc>
          <w:tcPr>
            <w:tcW w:w="1843" w:type="dxa"/>
            <w:shd w:val="clear" w:color="auto" w:fill="auto"/>
          </w:tcPr>
          <w:p w14:paraId="1743C588" w14:textId="77777777" w:rsidR="002A4DDF" w:rsidRPr="00937C8B" w:rsidRDefault="002A4DDF" w:rsidP="009110ED">
            <w:pPr>
              <w:rPr>
                <w:rFonts w:ascii="Arial" w:hAnsi="Arial" w:cs="Arial"/>
                <w:sz w:val="12"/>
                <w:szCs w:val="12"/>
              </w:rPr>
            </w:pPr>
          </w:p>
        </w:tc>
        <w:tc>
          <w:tcPr>
            <w:tcW w:w="2268" w:type="dxa"/>
            <w:shd w:val="clear" w:color="auto" w:fill="F2F2F2"/>
            <w:hideMark/>
          </w:tcPr>
          <w:p w14:paraId="1DFDAD2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7E8743B" w14:textId="77777777" w:rsidR="002A4DDF" w:rsidRPr="00937C8B" w:rsidRDefault="002A4DDF" w:rsidP="009110ED">
            <w:pPr>
              <w:rPr>
                <w:rFonts w:ascii="Arial" w:hAnsi="Arial" w:cs="Arial"/>
                <w:sz w:val="12"/>
                <w:szCs w:val="12"/>
              </w:rPr>
            </w:pPr>
            <w:r>
              <w:rPr>
                <w:rFonts w:ascii="Arial" w:hAnsi="Arial"/>
                <w:sz w:val="12"/>
                <w:szCs w:val="12"/>
              </w:rPr>
              <w:t>Artenara</w:t>
            </w:r>
          </w:p>
        </w:tc>
      </w:tr>
      <w:tr w:rsidR="002A4DDF" w:rsidRPr="00937C8B" w14:paraId="29E00CA3" w14:textId="77777777" w:rsidTr="00935676">
        <w:trPr>
          <w:cantSplit/>
        </w:trPr>
        <w:tc>
          <w:tcPr>
            <w:tcW w:w="1696" w:type="dxa"/>
            <w:tcBorders>
              <w:left w:val="single" w:sz="4" w:space="0" w:color="auto"/>
            </w:tcBorders>
            <w:shd w:val="clear" w:color="auto" w:fill="auto"/>
          </w:tcPr>
          <w:p w14:paraId="26EA6CAF" w14:textId="77777777" w:rsidR="002A4DDF" w:rsidRPr="00937C8B" w:rsidRDefault="002A4DDF" w:rsidP="009110ED">
            <w:pPr>
              <w:rPr>
                <w:rFonts w:ascii="Arial" w:hAnsi="Arial" w:cs="Arial"/>
                <w:sz w:val="12"/>
                <w:szCs w:val="12"/>
              </w:rPr>
            </w:pPr>
          </w:p>
        </w:tc>
        <w:tc>
          <w:tcPr>
            <w:tcW w:w="1843" w:type="dxa"/>
            <w:shd w:val="clear" w:color="auto" w:fill="auto"/>
          </w:tcPr>
          <w:p w14:paraId="0A584500" w14:textId="77777777" w:rsidR="002A4DDF" w:rsidRPr="00937C8B" w:rsidRDefault="002A4DDF" w:rsidP="009110ED">
            <w:pPr>
              <w:rPr>
                <w:rFonts w:ascii="Arial" w:hAnsi="Arial" w:cs="Arial"/>
                <w:sz w:val="12"/>
                <w:szCs w:val="12"/>
              </w:rPr>
            </w:pPr>
          </w:p>
        </w:tc>
        <w:tc>
          <w:tcPr>
            <w:tcW w:w="2268" w:type="dxa"/>
            <w:shd w:val="clear" w:color="auto" w:fill="F2F2F2"/>
            <w:hideMark/>
          </w:tcPr>
          <w:p w14:paraId="775BD92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9A6AA4D" w14:textId="77777777" w:rsidR="002A4DDF" w:rsidRPr="00937C8B" w:rsidRDefault="002A4DDF" w:rsidP="009110ED">
            <w:pPr>
              <w:rPr>
                <w:rFonts w:ascii="Arial" w:hAnsi="Arial" w:cs="Arial"/>
                <w:sz w:val="12"/>
                <w:szCs w:val="12"/>
              </w:rPr>
            </w:pPr>
            <w:r>
              <w:rPr>
                <w:rFonts w:ascii="Arial" w:hAnsi="Arial"/>
                <w:sz w:val="12"/>
                <w:szCs w:val="12"/>
              </w:rPr>
              <w:t>Arucas</w:t>
            </w:r>
          </w:p>
        </w:tc>
      </w:tr>
      <w:tr w:rsidR="002A4DDF" w:rsidRPr="00937C8B" w14:paraId="3ACBE601" w14:textId="77777777" w:rsidTr="00935676">
        <w:trPr>
          <w:cantSplit/>
        </w:trPr>
        <w:tc>
          <w:tcPr>
            <w:tcW w:w="1696" w:type="dxa"/>
            <w:tcBorders>
              <w:left w:val="single" w:sz="4" w:space="0" w:color="auto"/>
            </w:tcBorders>
            <w:shd w:val="clear" w:color="auto" w:fill="auto"/>
          </w:tcPr>
          <w:p w14:paraId="135199B1" w14:textId="77777777" w:rsidR="002A4DDF" w:rsidRPr="00937C8B" w:rsidRDefault="002A4DDF" w:rsidP="009110ED">
            <w:pPr>
              <w:rPr>
                <w:rFonts w:ascii="Arial" w:hAnsi="Arial" w:cs="Arial"/>
                <w:sz w:val="12"/>
                <w:szCs w:val="12"/>
              </w:rPr>
            </w:pPr>
          </w:p>
        </w:tc>
        <w:tc>
          <w:tcPr>
            <w:tcW w:w="1843" w:type="dxa"/>
            <w:shd w:val="clear" w:color="auto" w:fill="auto"/>
          </w:tcPr>
          <w:p w14:paraId="3C81D1ED" w14:textId="77777777" w:rsidR="002A4DDF" w:rsidRPr="00937C8B" w:rsidRDefault="002A4DDF" w:rsidP="009110ED">
            <w:pPr>
              <w:rPr>
                <w:rFonts w:ascii="Arial" w:hAnsi="Arial" w:cs="Arial"/>
                <w:sz w:val="12"/>
                <w:szCs w:val="12"/>
              </w:rPr>
            </w:pPr>
          </w:p>
        </w:tc>
        <w:tc>
          <w:tcPr>
            <w:tcW w:w="2268" w:type="dxa"/>
            <w:shd w:val="clear" w:color="auto" w:fill="F2F2F2"/>
            <w:hideMark/>
          </w:tcPr>
          <w:p w14:paraId="5B5F348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E6F3186" w14:textId="77777777" w:rsidR="002A4DDF" w:rsidRPr="00937C8B" w:rsidRDefault="002A4DDF" w:rsidP="009110ED">
            <w:pPr>
              <w:rPr>
                <w:rFonts w:ascii="Arial" w:hAnsi="Arial" w:cs="Arial"/>
                <w:sz w:val="12"/>
                <w:szCs w:val="12"/>
              </w:rPr>
            </w:pPr>
            <w:r>
              <w:rPr>
                <w:rFonts w:ascii="Arial" w:hAnsi="Arial"/>
                <w:sz w:val="12"/>
                <w:szCs w:val="12"/>
              </w:rPr>
              <w:t>Firgas</w:t>
            </w:r>
          </w:p>
        </w:tc>
      </w:tr>
      <w:tr w:rsidR="002A4DDF" w:rsidRPr="00937C8B" w14:paraId="0AD419D4" w14:textId="77777777" w:rsidTr="00935676">
        <w:trPr>
          <w:cantSplit/>
        </w:trPr>
        <w:tc>
          <w:tcPr>
            <w:tcW w:w="1696" w:type="dxa"/>
            <w:tcBorders>
              <w:left w:val="single" w:sz="4" w:space="0" w:color="auto"/>
            </w:tcBorders>
            <w:shd w:val="clear" w:color="auto" w:fill="auto"/>
          </w:tcPr>
          <w:p w14:paraId="3B4385D0" w14:textId="77777777" w:rsidR="002A4DDF" w:rsidRPr="00937C8B" w:rsidRDefault="002A4DDF" w:rsidP="009110ED">
            <w:pPr>
              <w:rPr>
                <w:rFonts w:ascii="Arial" w:hAnsi="Arial" w:cs="Arial"/>
                <w:sz w:val="12"/>
                <w:szCs w:val="12"/>
              </w:rPr>
            </w:pPr>
          </w:p>
        </w:tc>
        <w:tc>
          <w:tcPr>
            <w:tcW w:w="1843" w:type="dxa"/>
            <w:shd w:val="clear" w:color="auto" w:fill="auto"/>
          </w:tcPr>
          <w:p w14:paraId="2871410C" w14:textId="77777777" w:rsidR="002A4DDF" w:rsidRPr="00937C8B" w:rsidRDefault="002A4DDF" w:rsidP="009110ED">
            <w:pPr>
              <w:rPr>
                <w:rFonts w:ascii="Arial" w:hAnsi="Arial" w:cs="Arial"/>
                <w:sz w:val="12"/>
                <w:szCs w:val="12"/>
              </w:rPr>
            </w:pPr>
          </w:p>
        </w:tc>
        <w:tc>
          <w:tcPr>
            <w:tcW w:w="2268" w:type="dxa"/>
            <w:shd w:val="clear" w:color="auto" w:fill="F2F2F2"/>
            <w:hideMark/>
          </w:tcPr>
          <w:p w14:paraId="1BD943F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9108BE7" w14:textId="77777777" w:rsidR="002A4DDF" w:rsidRPr="00937C8B" w:rsidRDefault="002A4DDF" w:rsidP="009110ED">
            <w:pPr>
              <w:rPr>
                <w:rFonts w:ascii="Arial" w:hAnsi="Arial" w:cs="Arial"/>
                <w:sz w:val="12"/>
                <w:szCs w:val="12"/>
              </w:rPr>
            </w:pPr>
            <w:r>
              <w:rPr>
                <w:rFonts w:ascii="Arial" w:hAnsi="Arial"/>
                <w:sz w:val="12"/>
                <w:szCs w:val="12"/>
              </w:rPr>
              <w:t>Gáldar</w:t>
            </w:r>
          </w:p>
        </w:tc>
      </w:tr>
      <w:tr w:rsidR="002A4DDF" w:rsidRPr="00937C8B" w14:paraId="683D0630" w14:textId="77777777" w:rsidTr="00935676">
        <w:trPr>
          <w:cantSplit/>
        </w:trPr>
        <w:tc>
          <w:tcPr>
            <w:tcW w:w="1696" w:type="dxa"/>
            <w:tcBorders>
              <w:left w:val="single" w:sz="4" w:space="0" w:color="auto"/>
            </w:tcBorders>
            <w:shd w:val="clear" w:color="auto" w:fill="auto"/>
          </w:tcPr>
          <w:p w14:paraId="05EF85B4" w14:textId="77777777" w:rsidR="002A4DDF" w:rsidRPr="00937C8B" w:rsidRDefault="002A4DDF" w:rsidP="009110ED">
            <w:pPr>
              <w:rPr>
                <w:rFonts w:ascii="Arial" w:hAnsi="Arial" w:cs="Arial"/>
                <w:sz w:val="12"/>
                <w:szCs w:val="12"/>
              </w:rPr>
            </w:pPr>
          </w:p>
        </w:tc>
        <w:tc>
          <w:tcPr>
            <w:tcW w:w="1843" w:type="dxa"/>
            <w:shd w:val="clear" w:color="auto" w:fill="auto"/>
          </w:tcPr>
          <w:p w14:paraId="50E8F9E5" w14:textId="77777777" w:rsidR="002A4DDF" w:rsidRPr="00937C8B" w:rsidRDefault="002A4DDF" w:rsidP="009110ED">
            <w:pPr>
              <w:rPr>
                <w:rFonts w:ascii="Arial" w:hAnsi="Arial" w:cs="Arial"/>
                <w:sz w:val="12"/>
                <w:szCs w:val="12"/>
              </w:rPr>
            </w:pPr>
          </w:p>
        </w:tc>
        <w:tc>
          <w:tcPr>
            <w:tcW w:w="2268" w:type="dxa"/>
            <w:shd w:val="clear" w:color="auto" w:fill="F2F2F2"/>
            <w:hideMark/>
          </w:tcPr>
          <w:p w14:paraId="14C7A62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A3ED9F9" w14:textId="77777777" w:rsidR="002A4DDF" w:rsidRPr="00937C8B" w:rsidRDefault="002A4DDF" w:rsidP="009110ED">
            <w:pPr>
              <w:rPr>
                <w:rFonts w:ascii="Arial" w:hAnsi="Arial" w:cs="Arial"/>
                <w:sz w:val="12"/>
                <w:szCs w:val="12"/>
              </w:rPr>
            </w:pPr>
            <w:r>
              <w:rPr>
                <w:rFonts w:ascii="Arial" w:hAnsi="Arial"/>
                <w:sz w:val="12"/>
                <w:szCs w:val="12"/>
              </w:rPr>
              <w:t>Ingenio</w:t>
            </w:r>
          </w:p>
        </w:tc>
      </w:tr>
      <w:tr w:rsidR="002A4DDF" w:rsidRPr="00937C8B" w14:paraId="7FB829C1" w14:textId="77777777" w:rsidTr="00935676">
        <w:trPr>
          <w:cantSplit/>
        </w:trPr>
        <w:tc>
          <w:tcPr>
            <w:tcW w:w="1696" w:type="dxa"/>
            <w:tcBorders>
              <w:left w:val="single" w:sz="4" w:space="0" w:color="auto"/>
            </w:tcBorders>
            <w:shd w:val="clear" w:color="auto" w:fill="auto"/>
          </w:tcPr>
          <w:p w14:paraId="08234C63" w14:textId="77777777" w:rsidR="002A4DDF" w:rsidRPr="00937C8B" w:rsidRDefault="002A4DDF" w:rsidP="009110ED">
            <w:pPr>
              <w:rPr>
                <w:rFonts w:ascii="Arial" w:hAnsi="Arial" w:cs="Arial"/>
                <w:sz w:val="12"/>
                <w:szCs w:val="12"/>
              </w:rPr>
            </w:pPr>
          </w:p>
        </w:tc>
        <w:tc>
          <w:tcPr>
            <w:tcW w:w="1843" w:type="dxa"/>
            <w:shd w:val="clear" w:color="auto" w:fill="auto"/>
          </w:tcPr>
          <w:p w14:paraId="4D36297C" w14:textId="77777777" w:rsidR="002A4DDF" w:rsidRPr="00937C8B" w:rsidRDefault="002A4DDF" w:rsidP="009110ED">
            <w:pPr>
              <w:rPr>
                <w:rFonts w:ascii="Arial" w:hAnsi="Arial" w:cs="Arial"/>
                <w:sz w:val="12"/>
                <w:szCs w:val="12"/>
              </w:rPr>
            </w:pPr>
          </w:p>
        </w:tc>
        <w:tc>
          <w:tcPr>
            <w:tcW w:w="2268" w:type="dxa"/>
            <w:shd w:val="clear" w:color="auto" w:fill="F2F2F2"/>
          </w:tcPr>
          <w:p w14:paraId="31E26AB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tcPr>
          <w:p w14:paraId="5625B5B1" w14:textId="77777777" w:rsidR="002A4DDF" w:rsidRPr="00937C8B" w:rsidRDefault="002A4DDF" w:rsidP="009110ED">
            <w:pPr>
              <w:rPr>
                <w:rFonts w:ascii="Arial" w:hAnsi="Arial" w:cs="Arial"/>
                <w:sz w:val="12"/>
                <w:szCs w:val="12"/>
              </w:rPr>
            </w:pPr>
            <w:r>
              <w:rPr>
                <w:rFonts w:ascii="Arial" w:hAnsi="Arial"/>
                <w:sz w:val="12"/>
                <w:szCs w:val="12"/>
              </w:rPr>
              <w:t>La Aldea de San Nicolás</w:t>
            </w:r>
          </w:p>
        </w:tc>
      </w:tr>
      <w:tr w:rsidR="002A4DDF" w:rsidRPr="00937C8B" w14:paraId="06DD71C8" w14:textId="77777777" w:rsidTr="00935676">
        <w:trPr>
          <w:cantSplit/>
        </w:trPr>
        <w:tc>
          <w:tcPr>
            <w:tcW w:w="1696" w:type="dxa"/>
            <w:tcBorders>
              <w:left w:val="single" w:sz="4" w:space="0" w:color="auto"/>
            </w:tcBorders>
            <w:shd w:val="clear" w:color="auto" w:fill="auto"/>
          </w:tcPr>
          <w:p w14:paraId="5726C4E0" w14:textId="77777777" w:rsidR="002A4DDF" w:rsidRPr="00937C8B" w:rsidRDefault="002A4DDF" w:rsidP="009110ED">
            <w:pPr>
              <w:rPr>
                <w:rFonts w:ascii="Arial" w:hAnsi="Arial" w:cs="Arial"/>
                <w:sz w:val="12"/>
                <w:szCs w:val="12"/>
              </w:rPr>
            </w:pPr>
          </w:p>
        </w:tc>
        <w:tc>
          <w:tcPr>
            <w:tcW w:w="1843" w:type="dxa"/>
            <w:shd w:val="clear" w:color="auto" w:fill="auto"/>
          </w:tcPr>
          <w:p w14:paraId="055BB7A5" w14:textId="77777777" w:rsidR="002A4DDF" w:rsidRPr="00937C8B" w:rsidRDefault="002A4DDF" w:rsidP="009110ED">
            <w:pPr>
              <w:rPr>
                <w:rFonts w:ascii="Arial" w:hAnsi="Arial" w:cs="Arial"/>
                <w:sz w:val="12"/>
                <w:szCs w:val="12"/>
              </w:rPr>
            </w:pPr>
          </w:p>
        </w:tc>
        <w:tc>
          <w:tcPr>
            <w:tcW w:w="2268" w:type="dxa"/>
            <w:shd w:val="clear" w:color="auto" w:fill="F2F2F2"/>
            <w:hideMark/>
          </w:tcPr>
          <w:p w14:paraId="2AA0E87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A040269" w14:textId="77777777" w:rsidR="002A4DDF" w:rsidRPr="00937C8B" w:rsidRDefault="002A4DDF" w:rsidP="009110ED">
            <w:pPr>
              <w:rPr>
                <w:rFonts w:ascii="Arial" w:hAnsi="Arial" w:cs="Arial"/>
                <w:sz w:val="12"/>
                <w:szCs w:val="12"/>
              </w:rPr>
            </w:pPr>
            <w:r>
              <w:rPr>
                <w:rFonts w:ascii="Arial" w:hAnsi="Arial"/>
                <w:sz w:val="12"/>
                <w:szCs w:val="12"/>
              </w:rPr>
              <w:t>Las Palmas de Gran Canaria</w:t>
            </w:r>
          </w:p>
        </w:tc>
      </w:tr>
      <w:tr w:rsidR="002A4DDF" w:rsidRPr="00937C8B" w14:paraId="0E3D5280" w14:textId="77777777" w:rsidTr="00935676">
        <w:trPr>
          <w:cantSplit/>
        </w:trPr>
        <w:tc>
          <w:tcPr>
            <w:tcW w:w="1696" w:type="dxa"/>
            <w:tcBorders>
              <w:left w:val="single" w:sz="4" w:space="0" w:color="auto"/>
            </w:tcBorders>
            <w:shd w:val="clear" w:color="auto" w:fill="auto"/>
          </w:tcPr>
          <w:p w14:paraId="7862AE0A" w14:textId="77777777" w:rsidR="002A4DDF" w:rsidRPr="00937C8B" w:rsidRDefault="002A4DDF" w:rsidP="009110ED">
            <w:pPr>
              <w:rPr>
                <w:rFonts w:ascii="Arial" w:hAnsi="Arial" w:cs="Arial"/>
                <w:sz w:val="12"/>
                <w:szCs w:val="12"/>
              </w:rPr>
            </w:pPr>
          </w:p>
        </w:tc>
        <w:tc>
          <w:tcPr>
            <w:tcW w:w="1843" w:type="dxa"/>
            <w:shd w:val="clear" w:color="auto" w:fill="auto"/>
          </w:tcPr>
          <w:p w14:paraId="7CBBB229" w14:textId="77777777" w:rsidR="002A4DDF" w:rsidRPr="00937C8B" w:rsidRDefault="002A4DDF" w:rsidP="009110ED">
            <w:pPr>
              <w:rPr>
                <w:rFonts w:ascii="Arial" w:hAnsi="Arial" w:cs="Arial"/>
                <w:sz w:val="12"/>
                <w:szCs w:val="12"/>
              </w:rPr>
            </w:pPr>
          </w:p>
        </w:tc>
        <w:tc>
          <w:tcPr>
            <w:tcW w:w="2268" w:type="dxa"/>
            <w:shd w:val="clear" w:color="auto" w:fill="F2F2F2"/>
            <w:hideMark/>
          </w:tcPr>
          <w:p w14:paraId="47AECAE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7AACB13" w14:textId="77777777" w:rsidR="002A4DDF" w:rsidRPr="00937C8B" w:rsidRDefault="002A4DDF" w:rsidP="009110ED">
            <w:pPr>
              <w:rPr>
                <w:rFonts w:ascii="Arial" w:hAnsi="Arial" w:cs="Arial"/>
                <w:sz w:val="12"/>
                <w:szCs w:val="12"/>
              </w:rPr>
            </w:pPr>
            <w:r>
              <w:rPr>
                <w:rFonts w:ascii="Arial" w:hAnsi="Arial"/>
                <w:sz w:val="12"/>
                <w:szCs w:val="12"/>
              </w:rPr>
              <w:t>Mogán</w:t>
            </w:r>
          </w:p>
        </w:tc>
      </w:tr>
      <w:tr w:rsidR="002A4DDF" w:rsidRPr="00937C8B" w14:paraId="4A56CDEB" w14:textId="77777777" w:rsidTr="00935676">
        <w:trPr>
          <w:cantSplit/>
        </w:trPr>
        <w:tc>
          <w:tcPr>
            <w:tcW w:w="1696" w:type="dxa"/>
            <w:tcBorders>
              <w:left w:val="single" w:sz="4" w:space="0" w:color="auto"/>
            </w:tcBorders>
            <w:shd w:val="clear" w:color="auto" w:fill="auto"/>
          </w:tcPr>
          <w:p w14:paraId="6192AD9F" w14:textId="77777777" w:rsidR="002A4DDF" w:rsidRPr="00937C8B" w:rsidRDefault="002A4DDF" w:rsidP="009110ED">
            <w:pPr>
              <w:rPr>
                <w:rFonts w:ascii="Arial" w:hAnsi="Arial" w:cs="Arial"/>
                <w:sz w:val="12"/>
                <w:szCs w:val="12"/>
              </w:rPr>
            </w:pPr>
          </w:p>
        </w:tc>
        <w:tc>
          <w:tcPr>
            <w:tcW w:w="1843" w:type="dxa"/>
            <w:shd w:val="clear" w:color="auto" w:fill="auto"/>
          </w:tcPr>
          <w:p w14:paraId="531BA4A5" w14:textId="77777777" w:rsidR="002A4DDF" w:rsidRPr="00937C8B" w:rsidRDefault="002A4DDF" w:rsidP="009110ED">
            <w:pPr>
              <w:rPr>
                <w:rFonts w:ascii="Arial" w:hAnsi="Arial" w:cs="Arial"/>
                <w:sz w:val="12"/>
                <w:szCs w:val="12"/>
              </w:rPr>
            </w:pPr>
          </w:p>
        </w:tc>
        <w:tc>
          <w:tcPr>
            <w:tcW w:w="2268" w:type="dxa"/>
            <w:shd w:val="clear" w:color="auto" w:fill="F2F2F2"/>
            <w:hideMark/>
          </w:tcPr>
          <w:p w14:paraId="66883FC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402CBF2" w14:textId="77777777" w:rsidR="002A4DDF" w:rsidRPr="00937C8B" w:rsidRDefault="002A4DDF" w:rsidP="009110ED">
            <w:pPr>
              <w:rPr>
                <w:rFonts w:ascii="Arial" w:hAnsi="Arial" w:cs="Arial"/>
                <w:sz w:val="12"/>
                <w:szCs w:val="12"/>
              </w:rPr>
            </w:pPr>
            <w:r>
              <w:rPr>
                <w:rFonts w:ascii="Arial" w:hAnsi="Arial"/>
                <w:sz w:val="12"/>
                <w:szCs w:val="12"/>
              </w:rPr>
              <w:t>Moya</w:t>
            </w:r>
          </w:p>
        </w:tc>
      </w:tr>
      <w:tr w:rsidR="002A4DDF" w:rsidRPr="00937C8B" w14:paraId="7540BA18" w14:textId="77777777" w:rsidTr="00935676">
        <w:trPr>
          <w:cantSplit/>
        </w:trPr>
        <w:tc>
          <w:tcPr>
            <w:tcW w:w="1696" w:type="dxa"/>
            <w:tcBorders>
              <w:left w:val="single" w:sz="4" w:space="0" w:color="auto"/>
            </w:tcBorders>
            <w:shd w:val="clear" w:color="auto" w:fill="auto"/>
          </w:tcPr>
          <w:p w14:paraId="7F268363" w14:textId="77777777" w:rsidR="002A4DDF" w:rsidRPr="00937C8B" w:rsidRDefault="002A4DDF" w:rsidP="009110ED">
            <w:pPr>
              <w:rPr>
                <w:rFonts w:ascii="Arial" w:hAnsi="Arial" w:cs="Arial"/>
                <w:sz w:val="12"/>
                <w:szCs w:val="12"/>
              </w:rPr>
            </w:pPr>
          </w:p>
        </w:tc>
        <w:tc>
          <w:tcPr>
            <w:tcW w:w="1843" w:type="dxa"/>
            <w:shd w:val="clear" w:color="auto" w:fill="auto"/>
          </w:tcPr>
          <w:p w14:paraId="038B7710" w14:textId="77777777" w:rsidR="002A4DDF" w:rsidRPr="00937C8B" w:rsidRDefault="002A4DDF" w:rsidP="009110ED">
            <w:pPr>
              <w:rPr>
                <w:rFonts w:ascii="Arial" w:hAnsi="Arial" w:cs="Arial"/>
                <w:sz w:val="12"/>
                <w:szCs w:val="12"/>
              </w:rPr>
            </w:pPr>
          </w:p>
        </w:tc>
        <w:tc>
          <w:tcPr>
            <w:tcW w:w="2268" w:type="dxa"/>
            <w:shd w:val="clear" w:color="auto" w:fill="F2F2F2"/>
            <w:hideMark/>
          </w:tcPr>
          <w:p w14:paraId="18634B4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44C7C13" w14:textId="77777777" w:rsidR="002A4DDF" w:rsidRPr="00937C8B" w:rsidRDefault="002A4DDF" w:rsidP="009110ED">
            <w:pPr>
              <w:rPr>
                <w:rFonts w:ascii="Arial" w:hAnsi="Arial" w:cs="Arial"/>
                <w:sz w:val="12"/>
                <w:szCs w:val="12"/>
              </w:rPr>
            </w:pPr>
            <w:r>
              <w:rPr>
                <w:rFonts w:ascii="Arial" w:hAnsi="Arial"/>
                <w:sz w:val="12"/>
                <w:szCs w:val="12"/>
              </w:rPr>
              <w:t>San Bartolomé de Tirajana</w:t>
            </w:r>
          </w:p>
        </w:tc>
      </w:tr>
      <w:tr w:rsidR="002A4DDF" w:rsidRPr="00937C8B" w14:paraId="50BFF5B2" w14:textId="77777777" w:rsidTr="00935676">
        <w:trPr>
          <w:cantSplit/>
        </w:trPr>
        <w:tc>
          <w:tcPr>
            <w:tcW w:w="1696" w:type="dxa"/>
            <w:tcBorders>
              <w:left w:val="single" w:sz="4" w:space="0" w:color="auto"/>
            </w:tcBorders>
            <w:shd w:val="clear" w:color="auto" w:fill="auto"/>
          </w:tcPr>
          <w:p w14:paraId="4F3018B6" w14:textId="77777777" w:rsidR="002A4DDF" w:rsidRPr="00937C8B" w:rsidRDefault="002A4DDF" w:rsidP="009110ED">
            <w:pPr>
              <w:rPr>
                <w:rFonts w:ascii="Arial" w:hAnsi="Arial" w:cs="Arial"/>
                <w:sz w:val="12"/>
                <w:szCs w:val="12"/>
              </w:rPr>
            </w:pPr>
          </w:p>
        </w:tc>
        <w:tc>
          <w:tcPr>
            <w:tcW w:w="1843" w:type="dxa"/>
            <w:shd w:val="clear" w:color="auto" w:fill="auto"/>
          </w:tcPr>
          <w:p w14:paraId="0330F0D6" w14:textId="77777777" w:rsidR="002A4DDF" w:rsidRPr="00937C8B" w:rsidRDefault="002A4DDF" w:rsidP="009110ED">
            <w:pPr>
              <w:rPr>
                <w:rFonts w:ascii="Arial" w:hAnsi="Arial" w:cs="Arial"/>
                <w:sz w:val="12"/>
                <w:szCs w:val="12"/>
              </w:rPr>
            </w:pPr>
          </w:p>
        </w:tc>
        <w:tc>
          <w:tcPr>
            <w:tcW w:w="2268" w:type="dxa"/>
            <w:shd w:val="clear" w:color="auto" w:fill="F2F2F2"/>
            <w:hideMark/>
          </w:tcPr>
          <w:p w14:paraId="0793F8B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2BA50F0" w14:textId="77777777" w:rsidR="002A4DDF" w:rsidRPr="00937C8B" w:rsidRDefault="002A4DDF" w:rsidP="009110ED">
            <w:pPr>
              <w:rPr>
                <w:rFonts w:ascii="Arial" w:hAnsi="Arial" w:cs="Arial"/>
                <w:sz w:val="12"/>
                <w:szCs w:val="12"/>
              </w:rPr>
            </w:pPr>
            <w:r>
              <w:rPr>
                <w:rFonts w:ascii="Arial" w:hAnsi="Arial"/>
                <w:sz w:val="12"/>
                <w:szCs w:val="12"/>
              </w:rPr>
              <w:t>Santa Brígida</w:t>
            </w:r>
          </w:p>
        </w:tc>
      </w:tr>
      <w:tr w:rsidR="002A4DDF" w:rsidRPr="00937C8B" w14:paraId="72FFDF6D" w14:textId="77777777" w:rsidTr="00935676">
        <w:trPr>
          <w:cantSplit/>
        </w:trPr>
        <w:tc>
          <w:tcPr>
            <w:tcW w:w="1696" w:type="dxa"/>
            <w:tcBorders>
              <w:left w:val="single" w:sz="4" w:space="0" w:color="auto"/>
            </w:tcBorders>
            <w:shd w:val="clear" w:color="auto" w:fill="auto"/>
          </w:tcPr>
          <w:p w14:paraId="6F419B82" w14:textId="77777777" w:rsidR="002A4DDF" w:rsidRPr="00937C8B" w:rsidRDefault="002A4DDF" w:rsidP="009110ED">
            <w:pPr>
              <w:rPr>
                <w:rFonts w:ascii="Arial" w:hAnsi="Arial" w:cs="Arial"/>
                <w:sz w:val="12"/>
                <w:szCs w:val="12"/>
              </w:rPr>
            </w:pPr>
          </w:p>
        </w:tc>
        <w:tc>
          <w:tcPr>
            <w:tcW w:w="1843" w:type="dxa"/>
            <w:shd w:val="clear" w:color="auto" w:fill="auto"/>
          </w:tcPr>
          <w:p w14:paraId="42F7AF01" w14:textId="77777777" w:rsidR="002A4DDF" w:rsidRPr="00937C8B" w:rsidRDefault="002A4DDF" w:rsidP="009110ED">
            <w:pPr>
              <w:rPr>
                <w:rFonts w:ascii="Arial" w:hAnsi="Arial" w:cs="Arial"/>
                <w:sz w:val="12"/>
                <w:szCs w:val="12"/>
              </w:rPr>
            </w:pPr>
          </w:p>
        </w:tc>
        <w:tc>
          <w:tcPr>
            <w:tcW w:w="2268" w:type="dxa"/>
            <w:shd w:val="clear" w:color="auto" w:fill="F2F2F2"/>
            <w:hideMark/>
          </w:tcPr>
          <w:p w14:paraId="33019F0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03F2F21" w14:textId="77777777" w:rsidR="002A4DDF" w:rsidRPr="00937C8B" w:rsidRDefault="002A4DDF" w:rsidP="009110ED">
            <w:pPr>
              <w:rPr>
                <w:rFonts w:ascii="Arial" w:hAnsi="Arial" w:cs="Arial"/>
                <w:sz w:val="12"/>
                <w:szCs w:val="12"/>
              </w:rPr>
            </w:pPr>
            <w:r>
              <w:rPr>
                <w:rFonts w:ascii="Arial" w:hAnsi="Arial"/>
                <w:sz w:val="12"/>
                <w:szCs w:val="12"/>
              </w:rPr>
              <w:t>Santa Lucía de Tirajana</w:t>
            </w:r>
          </w:p>
        </w:tc>
      </w:tr>
      <w:tr w:rsidR="002A4DDF" w:rsidRPr="00937C8B" w14:paraId="4DC3A6ED" w14:textId="77777777" w:rsidTr="00935676">
        <w:trPr>
          <w:cantSplit/>
        </w:trPr>
        <w:tc>
          <w:tcPr>
            <w:tcW w:w="1696" w:type="dxa"/>
            <w:tcBorders>
              <w:left w:val="single" w:sz="4" w:space="0" w:color="auto"/>
            </w:tcBorders>
            <w:shd w:val="clear" w:color="auto" w:fill="auto"/>
          </w:tcPr>
          <w:p w14:paraId="5D2B3BA7" w14:textId="77777777" w:rsidR="002A4DDF" w:rsidRPr="00937C8B" w:rsidRDefault="002A4DDF" w:rsidP="009110ED">
            <w:pPr>
              <w:rPr>
                <w:rFonts w:ascii="Arial" w:hAnsi="Arial" w:cs="Arial"/>
                <w:sz w:val="12"/>
                <w:szCs w:val="12"/>
              </w:rPr>
            </w:pPr>
          </w:p>
        </w:tc>
        <w:tc>
          <w:tcPr>
            <w:tcW w:w="1843" w:type="dxa"/>
            <w:shd w:val="clear" w:color="auto" w:fill="auto"/>
          </w:tcPr>
          <w:p w14:paraId="5E9C549A" w14:textId="77777777" w:rsidR="002A4DDF" w:rsidRPr="00937C8B" w:rsidRDefault="002A4DDF" w:rsidP="009110ED">
            <w:pPr>
              <w:rPr>
                <w:rFonts w:ascii="Arial" w:hAnsi="Arial" w:cs="Arial"/>
                <w:sz w:val="12"/>
                <w:szCs w:val="12"/>
              </w:rPr>
            </w:pPr>
          </w:p>
        </w:tc>
        <w:tc>
          <w:tcPr>
            <w:tcW w:w="2268" w:type="dxa"/>
            <w:shd w:val="clear" w:color="auto" w:fill="F2F2F2"/>
            <w:hideMark/>
          </w:tcPr>
          <w:p w14:paraId="2E66771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BF41483" w14:textId="77777777" w:rsidR="002A4DDF" w:rsidRPr="00937C8B" w:rsidRDefault="002A4DDF" w:rsidP="009110ED">
            <w:pPr>
              <w:rPr>
                <w:rFonts w:ascii="Arial" w:hAnsi="Arial" w:cs="Arial"/>
                <w:sz w:val="12"/>
                <w:szCs w:val="12"/>
              </w:rPr>
            </w:pPr>
            <w:r>
              <w:rPr>
                <w:rFonts w:ascii="Arial" w:hAnsi="Arial"/>
                <w:sz w:val="12"/>
                <w:szCs w:val="12"/>
              </w:rPr>
              <w:t>Santa María de Guía de Gran Canaria</w:t>
            </w:r>
          </w:p>
        </w:tc>
      </w:tr>
      <w:tr w:rsidR="002A4DDF" w:rsidRPr="00937C8B" w14:paraId="2C4D7F70" w14:textId="77777777" w:rsidTr="00935676">
        <w:trPr>
          <w:cantSplit/>
        </w:trPr>
        <w:tc>
          <w:tcPr>
            <w:tcW w:w="1696" w:type="dxa"/>
            <w:tcBorders>
              <w:left w:val="single" w:sz="4" w:space="0" w:color="auto"/>
            </w:tcBorders>
            <w:shd w:val="clear" w:color="auto" w:fill="auto"/>
          </w:tcPr>
          <w:p w14:paraId="65E7BAEC" w14:textId="77777777" w:rsidR="002A4DDF" w:rsidRPr="00937C8B" w:rsidRDefault="002A4DDF" w:rsidP="009110ED">
            <w:pPr>
              <w:rPr>
                <w:rFonts w:ascii="Arial" w:hAnsi="Arial" w:cs="Arial"/>
                <w:sz w:val="12"/>
                <w:szCs w:val="12"/>
              </w:rPr>
            </w:pPr>
          </w:p>
        </w:tc>
        <w:tc>
          <w:tcPr>
            <w:tcW w:w="1843" w:type="dxa"/>
            <w:shd w:val="clear" w:color="auto" w:fill="auto"/>
          </w:tcPr>
          <w:p w14:paraId="05FACDFF" w14:textId="77777777" w:rsidR="002A4DDF" w:rsidRPr="00937C8B" w:rsidRDefault="002A4DDF" w:rsidP="009110ED">
            <w:pPr>
              <w:rPr>
                <w:rFonts w:ascii="Arial" w:hAnsi="Arial" w:cs="Arial"/>
                <w:sz w:val="12"/>
                <w:szCs w:val="12"/>
              </w:rPr>
            </w:pPr>
          </w:p>
        </w:tc>
        <w:tc>
          <w:tcPr>
            <w:tcW w:w="2268" w:type="dxa"/>
            <w:shd w:val="clear" w:color="auto" w:fill="F2F2F2"/>
            <w:hideMark/>
          </w:tcPr>
          <w:p w14:paraId="01BD767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C75BFD7" w14:textId="77777777" w:rsidR="002A4DDF" w:rsidRPr="00937C8B" w:rsidRDefault="002A4DDF" w:rsidP="009110ED">
            <w:pPr>
              <w:rPr>
                <w:rFonts w:ascii="Arial" w:hAnsi="Arial" w:cs="Arial"/>
                <w:sz w:val="12"/>
                <w:szCs w:val="12"/>
              </w:rPr>
            </w:pPr>
            <w:r>
              <w:rPr>
                <w:rFonts w:ascii="Arial" w:hAnsi="Arial"/>
                <w:sz w:val="12"/>
                <w:szCs w:val="12"/>
              </w:rPr>
              <w:t>Tejeda</w:t>
            </w:r>
          </w:p>
        </w:tc>
      </w:tr>
      <w:tr w:rsidR="002A4DDF" w:rsidRPr="00937C8B" w14:paraId="3C3DCE61" w14:textId="77777777" w:rsidTr="00935676">
        <w:trPr>
          <w:cantSplit/>
        </w:trPr>
        <w:tc>
          <w:tcPr>
            <w:tcW w:w="1696" w:type="dxa"/>
            <w:tcBorders>
              <w:left w:val="single" w:sz="4" w:space="0" w:color="auto"/>
            </w:tcBorders>
            <w:shd w:val="clear" w:color="auto" w:fill="auto"/>
          </w:tcPr>
          <w:p w14:paraId="341EBE7C" w14:textId="77777777" w:rsidR="002A4DDF" w:rsidRPr="00937C8B" w:rsidRDefault="002A4DDF" w:rsidP="009110ED">
            <w:pPr>
              <w:rPr>
                <w:rFonts w:ascii="Arial" w:hAnsi="Arial" w:cs="Arial"/>
                <w:sz w:val="12"/>
                <w:szCs w:val="12"/>
              </w:rPr>
            </w:pPr>
          </w:p>
        </w:tc>
        <w:tc>
          <w:tcPr>
            <w:tcW w:w="1843" w:type="dxa"/>
            <w:shd w:val="clear" w:color="auto" w:fill="auto"/>
          </w:tcPr>
          <w:p w14:paraId="1A7E69E0" w14:textId="77777777" w:rsidR="002A4DDF" w:rsidRPr="00937C8B" w:rsidRDefault="002A4DDF" w:rsidP="009110ED">
            <w:pPr>
              <w:rPr>
                <w:rFonts w:ascii="Arial" w:hAnsi="Arial" w:cs="Arial"/>
                <w:sz w:val="12"/>
                <w:szCs w:val="12"/>
              </w:rPr>
            </w:pPr>
          </w:p>
        </w:tc>
        <w:tc>
          <w:tcPr>
            <w:tcW w:w="2268" w:type="dxa"/>
            <w:shd w:val="clear" w:color="auto" w:fill="F2F2F2"/>
            <w:hideMark/>
          </w:tcPr>
          <w:p w14:paraId="7EB06D2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1581C2D" w14:textId="77777777" w:rsidR="002A4DDF" w:rsidRPr="00937C8B" w:rsidRDefault="002A4DDF" w:rsidP="009110ED">
            <w:pPr>
              <w:rPr>
                <w:rFonts w:ascii="Arial" w:hAnsi="Arial" w:cs="Arial"/>
                <w:sz w:val="12"/>
                <w:szCs w:val="12"/>
              </w:rPr>
            </w:pPr>
            <w:r>
              <w:rPr>
                <w:rFonts w:ascii="Arial" w:hAnsi="Arial"/>
                <w:sz w:val="12"/>
                <w:szCs w:val="12"/>
              </w:rPr>
              <w:t>Telde</w:t>
            </w:r>
          </w:p>
        </w:tc>
      </w:tr>
      <w:tr w:rsidR="002A4DDF" w:rsidRPr="00937C8B" w14:paraId="7D9160CA" w14:textId="77777777" w:rsidTr="00935676">
        <w:trPr>
          <w:cantSplit/>
        </w:trPr>
        <w:tc>
          <w:tcPr>
            <w:tcW w:w="1696" w:type="dxa"/>
            <w:tcBorders>
              <w:left w:val="single" w:sz="4" w:space="0" w:color="auto"/>
            </w:tcBorders>
            <w:shd w:val="clear" w:color="auto" w:fill="auto"/>
          </w:tcPr>
          <w:p w14:paraId="2A232586" w14:textId="77777777" w:rsidR="002A4DDF" w:rsidRPr="00937C8B" w:rsidRDefault="002A4DDF" w:rsidP="009110ED">
            <w:pPr>
              <w:rPr>
                <w:rFonts w:ascii="Arial" w:hAnsi="Arial" w:cs="Arial"/>
                <w:sz w:val="12"/>
                <w:szCs w:val="12"/>
              </w:rPr>
            </w:pPr>
          </w:p>
        </w:tc>
        <w:tc>
          <w:tcPr>
            <w:tcW w:w="1843" w:type="dxa"/>
            <w:shd w:val="clear" w:color="auto" w:fill="auto"/>
          </w:tcPr>
          <w:p w14:paraId="216347B2" w14:textId="77777777" w:rsidR="002A4DDF" w:rsidRPr="00937C8B" w:rsidRDefault="002A4DDF" w:rsidP="009110ED">
            <w:pPr>
              <w:rPr>
                <w:rFonts w:ascii="Arial" w:hAnsi="Arial" w:cs="Arial"/>
                <w:sz w:val="12"/>
                <w:szCs w:val="12"/>
              </w:rPr>
            </w:pPr>
          </w:p>
        </w:tc>
        <w:tc>
          <w:tcPr>
            <w:tcW w:w="2268" w:type="dxa"/>
            <w:shd w:val="clear" w:color="auto" w:fill="F2F2F2"/>
            <w:hideMark/>
          </w:tcPr>
          <w:p w14:paraId="78C22C1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C233411" w14:textId="77777777" w:rsidR="002A4DDF" w:rsidRPr="00937C8B" w:rsidRDefault="002A4DDF" w:rsidP="009110ED">
            <w:pPr>
              <w:rPr>
                <w:rFonts w:ascii="Arial" w:hAnsi="Arial" w:cs="Arial"/>
                <w:sz w:val="12"/>
                <w:szCs w:val="12"/>
              </w:rPr>
            </w:pPr>
            <w:r>
              <w:rPr>
                <w:rFonts w:ascii="Arial" w:hAnsi="Arial"/>
                <w:sz w:val="12"/>
                <w:szCs w:val="12"/>
              </w:rPr>
              <w:t>Teror</w:t>
            </w:r>
          </w:p>
        </w:tc>
      </w:tr>
      <w:tr w:rsidR="002A4DDF" w:rsidRPr="00937C8B" w14:paraId="21FE3E6A" w14:textId="77777777" w:rsidTr="00935676">
        <w:trPr>
          <w:cantSplit/>
        </w:trPr>
        <w:tc>
          <w:tcPr>
            <w:tcW w:w="1696" w:type="dxa"/>
            <w:tcBorders>
              <w:left w:val="single" w:sz="4" w:space="0" w:color="auto"/>
            </w:tcBorders>
            <w:shd w:val="clear" w:color="auto" w:fill="auto"/>
          </w:tcPr>
          <w:p w14:paraId="4D3B25CF" w14:textId="77777777" w:rsidR="002A4DDF" w:rsidRPr="00937C8B" w:rsidRDefault="002A4DDF" w:rsidP="009110ED">
            <w:pPr>
              <w:rPr>
                <w:rFonts w:ascii="Arial" w:hAnsi="Arial" w:cs="Arial"/>
                <w:sz w:val="12"/>
                <w:szCs w:val="12"/>
              </w:rPr>
            </w:pPr>
          </w:p>
        </w:tc>
        <w:tc>
          <w:tcPr>
            <w:tcW w:w="1843" w:type="dxa"/>
            <w:shd w:val="clear" w:color="auto" w:fill="auto"/>
          </w:tcPr>
          <w:p w14:paraId="71265CEC" w14:textId="77777777" w:rsidR="002A4DDF" w:rsidRPr="00937C8B" w:rsidRDefault="002A4DDF" w:rsidP="009110ED">
            <w:pPr>
              <w:rPr>
                <w:rFonts w:ascii="Arial" w:hAnsi="Arial" w:cs="Arial"/>
                <w:sz w:val="12"/>
                <w:szCs w:val="12"/>
              </w:rPr>
            </w:pPr>
          </w:p>
        </w:tc>
        <w:tc>
          <w:tcPr>
            <w:tcW w:w="2268" w:type="dxa"/>
            <w:shd w:val="clear" w:color="auto" w:fill="F2F2F2"/>
            <w:hideMark/>
          </w:tcPr>
          <w:p w14:paraId="67C7CB0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6C5EC11" w14:textId="77777777" w:rsidR="002A4DDF" w:rsidRPr="00937C8B" w:rsidRDefault="002A4DDF" w:rsidP="009110ED">
            <w:pPr>
              <w:rPr>
                <w:rFonts w:ascii="Arial" w:hAnsi="Arial" w:cs="Arial"/>
                <w:sz w:val="12"/>
                <w:szCs w:val="12"/>
              </w:rPr>
            </w:pPr>
            <w:r>
              <w:rPr>
                <w:rFonts w:ascii="Arial" w:hAnsi="Arial"/>
                <w:sz w:val="12"/>
                <w:szCs w:val="12"/>
              </w:rPr>
              <w:t>Valleseco</w:t>
            </w:r>
          </w:p>
        </w:tc>
      </w:tr>
      <w:tr w:rsidR="002A4DDF" w:rsidRPr="00937C8B" w14:paraId="55FB1EFD" w14:textId="77777777" w:rsidTr="00935676">
        <w:trPr>
          <w:cantSplit/>
        </w:trPr>
        <w:tc>
          <w:tcPr>
            <w:tcW w:w="1696" w:type="dxa"/>
            <w:tcBorders>
              <w:left w:val="single" w:sz="4" w:space="0" w:color="auto"/>
            </w:tcBorders>
            <w:shd w:val="clear" w:color="auto" w:fill="auto"/>
          </w:tcPr>
          <w:p w14:paraId="31AD3443" w14:textId="77777777" w:rsidR="002A4DDF" w:rsidRPr="00937C8B" w:rsidRDefault="002A4DDF" w:rsidP="009110ED">
            <w:pPr>
              <w:rPr>
                <w:rFonts w:ascii="Arial" w:hAnsi="Arial" w:cs="Arial"/>
                <w:sz w:val="12"/>
                <w:szCs w:val="12"/>
              </w:rPr>
            </w:pPr>
          </w:p>
        </w:tc>
        <w:tc>
          <w:tcPr>
            <w:tcW w:w="1843" w:type="dxa"/>
            <w:shd w:val="clear" w:color="auto" w:fill="auto"/>
          </w:tcPr>
          <w:p w14:paraId="5CBABA51" w14:textId="77777777" w:rsidR="002A4DDF" w:rsidRPr="00937C8B" w:rsidRDefault="002A4DDF" w:rsidP="009110ED">
            <w:pPr>
              <w:rPr>
                <w:rFonts w:ascii="Arial" w:hAnsi="Arial" w:cs="Arial"/>
                <w:sz w:val="12"/>
                <w:szCs w:val="12"/>
              </w:rPr>
            </w:pPr>
          </w:p>
        </w:tc>
        <w:tc>
          <w:tcPr>
            <w:tcW w:w="2268" w:type="dxa"/>
            <w:shd w:val="clear" w:color="auto" w:fill="F2F2F2"/>
            <w:hideMark/>
          </w:tcPr>
          <w:p w14:paraId="028A965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9B52939" w14:textId="77777777" w:rsidR="002A4DDF" w:rsidRPr="00937C8B" w:rsidRDefault="002A4DDF" w:rsidP="009110ED">
            <w:pPr>
              <w:rPr>
                <w:rFonts w:ascii="Arial" w:hAnsi="Arial" w:cs="Arial"/>
                <w:sz w:val="12"/>
                <w:szCs w:val="12"/>
              </w:rPr>
            </w:pPr>
            <w:r>
              <w:rPr>
                <w:rFonts w:ascii="Arial" w:hAnsi="Arial"/>
                <w:sz w:val="12"/>
                <w:szCs w:val="12"/>
              </w:rPr>
              <w:t>Valsequillo de Gran Canaria</w:t>
            </w:r>
          </w:p>
        </w:tc>
      </w:tr>
      <w:tr w:rsidR="002A4DDF" w:rsidRPr="00937C8B" w14:paraId="5A27AF30" w14:textId="77777777" w:rsidTr="00935676">
        <w:trPr>
          <w:cantSplit/>
        </w:trPr>
        <w:tc>
          <w:tcPr>
            <w:tcW w:w="1696" w:type="dxa"/>
            <w:tcBorders>
              <w:left w:val="single" w:sz="4" w:space="0" w:color="auto"/>
              <w:bottom w:val="single" w:sz="4" w:space="0" w:color="auto"/>
            </w:tcBorders>
            <w:shd w:val="clear" w:color="auto" w:fill="auto"/>
            <w:hideMark/>
          </w:tcPr>
          <w:p w14:paraId="1DE0B1FE" w14:textId="77777777" w:rsidR="002A4DDF" w:rsidRPr="00937C8B" w:rsidRDefault="002A4DDF" w:rsidP="009110ED">
            <w:pPr>
              <w:rPr>
                <w:rFonts w:ascii="Arial" w:hAnsi="Arial" w:cs="Arial"/>
                <w:sz w:val="12"/>
                <w:szCs w:val="12"/>
              </w:rPr>
            </w:pPr>
            <w:r>
              <w:rPr>
                <w:rFonts w:ascii="Arial" w:hAnsi="Arial"/>
                <w:sz w:val="12"/>
                <w:szCs w:val="12"/>
              </w:rPr>
              <w:t>Îles Canaries</w:t>
            </w:r>
          </w:p>
        </w:tc>
        <w:tc>
          <w:tcPr>
            <w:tcW w:w="1843" w:type="dxa"/>
            <w:tcBorders>
              <w:bottom w:val="single" w:sz="4" w:space="0" w:color="auto"/>
            </w:tcBorders>
            <w:shd w:val="clear" w:color="auto" w:fill="auto"/>
            <w:hideMark/>
          </w:tcPr>
          <w:p w14:paraId="50192E32" w14:textId="77777777" w:rsidR="002A4DDF" w:rsidRPr="00937C8B" w:rsidRDefault="002A4DDF" w:rsidP="009110ED">
            <w:pPr>
              <w:rPr>
                <w:rFonts w:ascii="Arial" w:hAnsi="Arial" w:cs="Arial"/>
                <w:sz w:val="12"/>
                <w:szCs w:val="12"/>
              </w:rPr>
            </w:pPr>
            <w:r>
              <w:rPr>
                <w:rFonts w:ascii="Arial" w:hAnsi="Arial"/>
                <w:sz w:val="12"/>
                <w:szCs w:val="12"/>
              </w:rPr>
              <w:t>Las Palmas</w:t>
            </w:r>
          </w:p>
        </w:tc>
        <w:tc>
          <w:tcPr>
            <w:tcW w:w="2268" w:type="dxa"/>
            <w:tcBorders>
              <w:bottom w:val="single" w:sz="4" w:space="0" w:color="auto"/>
            </w:tcBorders>
            <w:shd w:val="clear" w:color="auto" w:fill="F2F2F2"/>
            <w:hideMark/>
          </w:tcPr>
          <w:p w14:paraId="710E1498"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443902A8" w14:textId="77777777" w:rsidR="002A4DDF" w:rsidRPr="00937C8B" w:rsidRDefault="002A4DDF" w:rsidP="009110ED">
            <w:pPr>
              <w:rPr>
                <w:rFonts w:ascii="Arial" w:hAnsi="Arial" w:cs="Arial"/>
                <w:sz w:val="12"/>
                <w:szCs w:val="12"/>
              </w:rPr>
            </w:pPr>
            <w:r>
              <w:rPr>
                <w:rFonts w:ascii="Arial" w:hAnsi="Arial"/>
                <w:sz w:val="12"/>
                <w:szCs w:val="12"/>
              </w:rPr>
              <w:t>Vega de San Mateo</w:t>
            </w:r>
          </w:p>
        </w:tc>
      </w:tr>
      <w:tr w:rsidR="002A4DDF" w:rsidRPr="00937C8B" w14:paraId="7E199988" w14:textId="77777777" w:rsidTr="00935676">
        <w:trPr>
          <w:cantSplit/>
        </w:trPr>
        <w:tc>
          <w:tcPr>
            <w:tcW w:w="1696" w:type="dxa"/>
            <w:tcBorders>
              <w:top w:val="single" w:sz="4" w:space="0" w:color="auto"/>
              <w:bottom w:val="single" w:sz="4" w:space="0" w:color="auto"/>
            </w:tcBorders>
            <w:shd w:val="clear" w:color="auto" w:fill="auto"/>
            <w:hideMark/>
          </w:tcPr>
          <w:p w14:paraId="3F789B34"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10E700C5"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0915481B"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107BF2AD" w14:textId="77777777" w:rsidR="002A4DDF" w:rsidRPr="00937C8B" w:rsidRDefault="002A4DDF" w:rsidP="009110ED">
            <w:pPr>
              <w:rPr>
                <w:rFonts w:ascii="Arial" w:hAnsi="Arial" w:cs="Arial"/>
                <w:sz w:val="12"/>
                <w:szCs w:val="12"/>
              </w:rPr>
            </w:pPr>
          </w:p>
        </w:tc>
      </w:tr>
      <w:tr w:rsidR="002A4DDF" w:rsidRPr="00937C8B" w14:paraId="6063560E" w14:textId="77777777" w:rsidTr="00935676">
        <w:trPr>
          <w:cantSplit/>
        </w:trPr>
        <w:tc>
          <w:tcPr>
            <w:tcW w:w="1696" w:type="dxa"/>
            <w:tcBorders>
              <w:top w:val="single" w:sz="4" w:space="0" w:color="auto"/>
              <w:left w:val="single" w:sz="4" w:space="0" w:color="auto"/>
            </w:tcBorders>
            <w:shd w:val="clear" w:color="auto" w:fill="auto"/>
            <w:hideMark/>
          </w:tcPr>
          <w:p w14:paraId="3723E992" w14:textId="77777777" w:rsidR="002A4DDF" w:rsidRPr="00937C8B" w:rsidRDefault="002A4DDF" w:rsidP="009110ED">
            <w:pPr>
              <w:rPr>
                <w:rFonts w:ascii="Arial" w:hAnsi="Arial" w:cs="Arial"/>
                <w:sz w:val="12"/>
                <w:szCs w:val="12"/>
              </w:rPr>
            </w:pPr>
            <w:r>
              <w:rPr>
                <w:rFonts w:ascii="Arial" w:hAnsi="Arial"/>
                <w:sz w:val="12"/>
                <w:szCs w:val="12"/>
              </w:rPr>
              <w:t>Canarias</w:t>
            </w:r>
          </w:p>
        </w:tc>
        <w:tc>
          <w:tcPr>
            <w:tcW w:w="1843" w:type="dxa"/>
            <w:tcBorders>
              <w:top w:val="single" w:sz="4" w:space="0" w:color="auto"/>
            </w:tcBorders>
            <w:shd w:val="clear" w:color="auto" w:fill="auto"/>
            <w:hideMark/>
          </w:tcPr>
          <w:p w14:paraId="77C466EB" w14:textId="77777777" w:rsidR="002A4DDF" w:rsidRPr="00937C8B" w:rsidRDefault="002A4DDF" w:rsidP="009110ED">
            <w:pPr>
              <w:rPr>
                <w:rFonts w:ascii="Arial" w:hAnsi="Arial" w:cs="Arial"/>
                <w:sz w:val="12"/>
                <w:szCs w:val="12"/>
              </w:rPr>
            </w:pPr>
            <w:r>
              <w:rPr>
                <w:rFonts w:ascii="Arial" w:hAnsi="Arial"/>
                <w:sz w:val="12"/>
                <w:szCs w:val="12"/>
              </w:rPr>
              <w:t>Santa Cruz de Tenerife</w:t>
            </w:r>
          </w:p>
        </w:tc>
        <w:tc>
          <w:tcPr>
            <w:tcW w:w="2268" w:type="dxa"/>
            <w:tcBorders>
              <w:top w:val="single" w:sz="4" w:space="0" w:color="auto"/>
            </w:tcBorders>
            <w:shd w:val="clear" w:color="auto" w:fill="F2F2F2"/>
            <w:hideMark/>
          </w:tcPr>
          <w:p w14:paraId="44AD4041" w14:textId="77777777" w:rsidR="002A4DDF" w:rsidRPr="00937C8B" w:rsidRDefault="002A4DDF" w:rsidP="009110ED">
            <w:pPr>
              <w:rPr>
                <w:rFonts w:ascii="Arial" w:hAnsi="Arial" w:cs="Arial"/>
                <w:sz w:val="12"/>
                <w:szCs w:val="12"/>
              </w:rPr>
            </w:pPr>
          </w:p>
        </w:tc>
        <w:tc>
          <w:tcPr>
            <w:tcW w:w="2268" w:type="dxa"/>
            <w:tcBorders>
              <w:top w:val="single" w:sz="4" w:space="0" w:color="auto"/>
              <w:right w:val="single" w:sz="4" w:space="0" w:color="auto"/>
            </w:tcBorders>
            <w:shd w:val="clear" w:color="auto" w:fill="D9D9D9"/>
            <w:hideMark/>
          </w:tcPr>
          <w:p w14:paraId="4586D342" w14:textId="77777777" w:rsidR="002A4DDF" w:rsidRPr="00937C8B" w:rsidRDefault="002A4DDF" w:rsidP="009110ED">
            <w:pPr>
              <w:rPr>
                <w:rFonts w:ascii="Arial" w:hAnsi="Arial" w:cs="Arial"/>
                <w:sz w:val="12"/>
                <w:szCs w:val="12"/>
              </w:rPr>
            </w:pPr>
            <w:r>
              <w:rPr>
                <w:rFonts w:ascii="Arial" w:hAnsi="Arial"/>
                <w:sz w:val="12"/>
                <w:szCs w:val="12"/>
              </w:rPr>
              <w:t>Adeje</w:t>
            </w:r>
          </w:p>
        </w:tc>
      </w:tr>
      <w:tr w:rsidR="002A4DDF" w:rsidRPr="00937C8B" w14:paraId="77C649EC" w14:textId="77777777" w:rsidTr="00935676">
        <w:trPr>
          <w:cantSplit/>
        </w:trPr>
        <w:tc>
          <w:tcPr>
            <w:tcW w:w="1696" w:type="dxa"/>
            <w:tcBorders>
              <w:left w:val="single" w:sz="4" w:space="0" w:color="auto"/>
            </w:tcBorders>
            <w:shd w:val="clear" w:color="auto" w:fill="auto"/>
          </w:tcPr>
          <w:p w14:paraId="5DE93113" w14:textId="77777777" w:rsidR="002A4DDF" w:rsidRPr="00937C8B" w:rsidRDefault="002A4DDF" w:rsidP="009110ED">
            <w:pPr>
              <w:rPr>
                <w:rFonts w:ascii="Arial" w:hAnsi="Arial" w:cs="Arial"/>
                <w:sz w:val="12"/>
                <w:szCs w:val="12"/>
              </w:rPr>
            </w:pPr>
          </w:p>
        </w:tc>
        <w:tc>
          <w:tcPr>
            <w:tcW w:w="1843" w:type="dxa"/>
            <w:shd w:val="clear" w:color="auto" w:fill="auto"/>
          </w:tcPr>
          <w:p w14:paraId="560C8583" w14:textId="77777777" w:rsidR="002A4DDF" w:rsidRPr="00937C8B" w:rsidRDefault="002A4DDF" w:rsidP="009110ED">
            <w:pPr>
              <w:rPr>
                <w:rFonts w:ascii="Arial" w:hAnsi="Arial" w:cs="Arial"/>
                <w:sz w:val="12"/>
                <w:szCs w:val="12"/>
              </w:rPr>
            </w:pPr>
          </w:p>
        </w:tc>
        <w:tc>
          <w:tcPr>
            <w:tcW w:w="2268" w:type="dxa"/>
            <w:shd w:val="clear" w:color="auto" w:fill="F2F2F2"/>
          </w:tcPr>
          <w:p w14:paraId="396AC3B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tcPr>
          <w:p w14:paraId="4FE3F8A2" w14:textId="77777777" w:rsidR="002A4DDF" w:rsidRPr="00937C8B" w:rsidRDefault="002A4DDF" w:rsidP="009110ED">
            <w:pPr>
              <w:rPr>
                <w:rFonts w:ascii="Arial" w:hAnsi="Arial" w:cs="Arial"/>
                <w:sz w:val="12"/>
                <w:szCs w:val="12"/>
              </w:rPr>
            </w:pPr>
            <w:r>
              <w:rPr>
                <w:rFonts w:ascii="Arial" w:hAnsi="Arial"/>
                <w:sz w:val="12"/>
                <w:szCs w:val="12"/>
              </w:rPr>
              <w:t>Arafo</w:t>
            </w:r>
          </w:p>
        </w:tc>
      </w:tr>
      <w:tr w:rsidR="002A4DDF" w:rsidRPr="00937C8B" w14:paraId="56AE8959" w14:textId="77777777" w:rsidTr="00935676">
        <w:trPr>
          <w:cantSplit/>
        </w:trPr>
        <w:tc>
          <w:tcPr>
            <w:tcW w:w="1696" w:type="dxa"/>
            <w:tcBorders>
              <w:left w:val="single" w:sz="4" w:space="0" w:color="auto"/>
            </w:tcBorders>
            <w:shd w:val="clear" w:color="auto" w:fill="auto"/>
          </w:tcPr>
          <w:p w14:paraId="0D0ED23B" w14:textId="77777777" w:rsidR="002A4DDF" w:rsidRPr="00937C8B" w:rsidRDefault="002A4DDF" w:rsidP="009110ED">
            <w:pPr>
              <w:rPr>
                <w:rFonts w:ascii="Arial" w:hAnsi="Arial" w:cs="Arial"/>
                <w:sz w:val="12"/>
                <w:szCs w:val="12"/>
              </w:rPr>
            </w:pPr>
          </w:p>
        </w:tc>
        <w:tc>
          <w:tcPr>
            <w:tcW w:w="1843" w:type="dxa"/>
            <w:shd w:val="clear" w:color="auto" w:fill="auto"/>
          </w:tcPr>
          <w:p w14:paraId="0CA3DFB4" w14:textId="77777777" w:rsidR="002A4DDF" w:rsidRPr="00937C8B" w:rsidRDefault="002A4DDF" w:rsidP="009110ED">
            <w:pPr>
              <w:rPr>
                <w:rFonts w:ascii="Arial" w:hAnsi="Arial" w:cs="Arial"/>
                <w:sz w:val="12"/>
                <w:szCs w:val="12"/>
              </w:rPr>
            </w:pPr>
          </w:p>
        </w:tc>
        <w:tc>
          <w:tcPr>
            <w:tcW w:w="2268" w:type="dxa"/>
            <w:shd w:val="clear" w:color="auto" w:fill="F2F2F2"/>
            <w:hideMark/>
          </w:tcPr>
          <w:p w14:paraId="05C9ADB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5194D13" w14:textId="77777777" w:rsidR="002A4DDF" w:rsidRPr="00937C8B" w:rsidRDefault="002A4DDF" w:rsidP="009110ED">
            <w:pPr>
              <w:rPr>
                <w:rFonts w:ascii="Arial" w:hAnsi="Arial" w:cs="Arial"/>
                <w:sz w:val="12"/>
                <w:szCs w:val="12"/>
              </w:rPr>
            </w:pPr>
            <w:r>
              <w:rPr>
                <w:rFonts w:ascii="Arial" w:hAnsi="Arial"/>
                <w:sz w:val="12"/>
                <w:szCs w:val="12"/>
              </w:rPr>
              <w:t>Arico</w:t>
            </w:r>
          </w:p>
        </w:tc>
      </w:tr>
      <w:tr w:rsidR="002A4DDF" w:rsidRPr="00937C8B" w14:paraId="0EB811CE" w14:textId="77777777" w:rsidTr="00935676">
        <w:trPr>
          <w:cantSplit/>
        </w:trPr>
        <w:tc>
          <w:tcPr>
            <w:tcW w:w="1696" w:type="dxa"/>
            <w:tcBorders>
              <w:left w:val="single" w:sz="4" w:space="0" w:color="auto"/>
            </w:tcBorders>
            <w:shd w:val="clear" w:color="auto" w:fill="auto"/>
          </w:tcPr>
          <w:p w14:paraId="00D8050F" w14:textId="77777777" w:rsidR="002A4DDF" w:rsidRPr="00937C8B" w:rsidRDefault="002A4DDF" w:rsidP="009110ED">
            <w:pPr>
              <w:rPr>
                <w:rFonts w:ascii="Arial" w:hAnsi="Arial" w:cs="Arial"/>
                <w:sz w:val="12"/>
                <w:szCs w:val="12"/>
              </w:rPr>
            </w:pPr>
          </w:p>
        </w:tc>
        <w:tc>
          <w:tcPr>
            <w:tcW w:w="1843" w:type="dxa"/>
            <w:shd w:val="clear" w:color="auto" w:fill="auto"/>
          </w:tcPr>
          <w:p w14:paraId="7A46CF3C" w14:textId="77777777" w:rsidR="002A4DDF" w:rsidRPr="00937C8B" w:rsidRDefault="002A4DDF" w:rsidP="009110ED">
            <w:pPr>
              <w:rPr>
                <w:rFonts w:ascii="Arial" w:hAnsi="Arial" w:cs="Arial"/>
                <w:sz w:val="12"/>
                <w:szCs w:val="12"/>
              </w:rPr>
            </w:pPr>
          </w:p>
        </w:tc>
        <w:tc>
          <w:tcPr>
            <w:tcW w:w="2268" w:type="dxa"/>
            <w:shd w:val="clear" w:color="auto" w:fill="F2F2F2"/>
            <w:hideMark/>
          </w:tcPr>
          <w:p w14:paraId="0989393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065DC0F" w14:textId="77777777" w:rsidR="002A4DDF" w:rsidRPr="00937C8B" w:rsidRDefault="002A4DDF" w:rsidP="009110ED">
            <w:pPr>
              <w:rPr>
                <w:rFonts w:ascii="Arial" w:hAnsi="Arial" w:cs="Arial"/>
                <w:sz w:val="12"/>
                <w:szCs w:val="12"/>
              </w:rPr>
            </w:pPr>
            <w:r>
              <w:rPr>
                <w:rFonts w:ascii="Arial" w:hAnsi="Arial"/>
                <w:sz w:val="12"/>
                <w:szCs w:val="12"/>
              </w:rPr>
              <w:t>Arona</w:t>
            </w:r>
          </w:p>
        </w:tc>
      </w:tr>
      <w:tr w:rsidR="002A4DDF" w:rsidRPr="00937C8B" w14:paraId="4BDE86A0" w14:textId="77777777" w:rsidTr="00935676">
        <w:trPr>
          <w:cantSplit/>
        </w:trPr>
        <w:tc>
          <w:tcPr>
            <w:tcW w:w="1696" w:type="dxa"/>
            <w:tcBorders>
              <w:left w:val="single" w:sz="4" w:space="0" w:color="auto"/>
            </w:tcBorders>
            <w:shd w:val="clear" w:color="auto" w:fill="auto"/>
          </w:tcPr>
          <w:p w14:paraId="468FC41B" w14:textId="77777777" w:rsidR="002A4DDF" w:rsidRPr="00937C8B" w:rsidRDefault="002A4DDF" w:rsidP="009110ED">
            <w:pPr>
              <w:rPr>
                <w:rFonts w:ascii="Arial" w:hAnsi="Arial" w:cs="Arial"/>
                <w:sz w:val="12"/>
                <w:szCs w:val="12"/>
              </w:rPr>
            </w:pPr>
          </w:p>
        </w:tc>
        <w:tc>
          <w:tcPr>
            <w:tcW w:w="1843" w:type="dxa"/>
            <w:shd w:val="clear" w:color="auto" w:fill="auto"/>
          </w:tcPr>
          <w:p w14:paraId="14632976" w14:textId="77777777" w:rsidR="002A4DDF" w:rsidRPr="00937C8B" w:rsidRDefault="002A4DDF" w:rsidP="009110ED">
            <w:pPr>
              <w:rPr>
                <w:rFonts w:ascii="Arial" w:hAnsi="Arial" w:cs="Arial"/>
                <w:sz w:val="12"/>
                <w:szCs w:val="12"/>
              </w:rPr>
            </w:pPr>
          </w:p>
        </w:tc>
        <w:tc>
          <w:tcPr>
            <w:tcW w:w="2268" w:type="dxa"/>
            <w:shd w:val="clear" w:color="auto" w:fill="F2F2F2"/>
            <w:hideMark/>
          </w:tcPr>
          <w:p w14:paraId="3B3A4BB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6768524" w14:textId="77777777" w:rsidR="002A4DDF" w:rsidRPr="00937C8B" w:rsidRDefault="002A4DDF" w:rsidP="009110ED">
            <w:pPr>
              <w:rPr>
                <w:rFonts w:ascii="Arial" w:hAnsi="Arial" w:cs="Arial"/>
                <w:sz w:val="12"/>
                <w:szCs w:val="12"/>
              </w:rPr>
            </w:pPr>
            <w:r>
              <w:rPr>
                <w:rFonts w:ascii="Arial" w:hAnsi="Arial"/>
                <w:sz w:val="12"/>
                <w:szCs w:val="12"/>
              </w:rPr>
              <w:t>Buenavista del Norte</w:t>
            </w:r>
          </w:p>
        </w:tc>
      </w:tr>
      <w:tr w:rsidR="002A4DDF" w:rsidRPr="00937C8B" w14:paraId="77495D29" w14:textId="77777777" w:rsidTr="00935676">
        <w:trPr>
          <w:cantSplit/>
        </w:trPr>
        <w:tc>
          <w:tcPr>
            <w:tcW w:w="1696" w:type="dxa"/>
            <w:tcBorders>
              <w:left w:val="single" w:sz="4" w:space="0" w:color="auto"/>
            </w:tcBorders>
            <w:shd w:val="clear" w:color="auto" w:fill="auto"/>
          </w:tcPr>
          <w:p w14:paraId="32DF8C15" w14:textId="77777777" w:rsidR="002A4DDF" w:rsidRPr="00937C8B" w:rsidRDefault="002A4DDF" w:rsidP="009110ED">
            <w:pPr>
              <w:rPr>
                <w:rFonts w:ascii="Arial" w:hAnsi="Arial" w:cs="Arial"/>
                <w:sz w:val="12"/>
                <w:szCs w:val="12"/>
              </w:rPr>
            </w:pPr>
          </w:p>
        </w:tc>
        <w:tc>
          <w:tcPr>
            <w:tcW w:w="1843" w:type="dxa"/>
            <w:shd w:val="clear" w:color="auto" w:fill="auto"/>
          </w:tcPr>
          <w:p w14:paraId="450DC0F1" w14:textId="77777777" w:rsidR="002A4DDF" w:rsidRPr="00937C8B" w:rsidRDefault="002A4DDF" w:rsidP="009110ED">
            <w:pPr>
              <w:rPr>
                <w:rFonts w:ascii="Arial" w:hAnsi="Arial" w:cs="Arial"/>
                <w:sz w:val="12"/>
                <w:szCs w:val="12"/>
              </w:rPr>
            </w:pPr>
          </w:p>
        </w:tc>
        <w:tc>
          <w:tcPr>
            <w:tcW w:w="2268" w:type="dxa"/>
            <w:shd w:val="clear" w:color="auto" w:fill="F2F2F2"/>
            <w:hideMark/>
          </w:tcPr>
          <w:p w14:paraId="3BAFCA0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1E708CC" w14:textId="77777777" w:rsidR="002A4DDF" w:rsidRPr="00937C8B" w:rsidRDefault="002A4DDF" w:rsidP="009110ED">
            <w:pPr>
              <w:rPr>
                <w:rFonts w:ascii="Arial" w:hAnsi="Arial" w:cs="Arial"/>
                <w:sz w:val="12"/>
                <w:szCs w:val="12"/>
              </w:rPr>
            </w:pPr>
            <w:r>
              <w:rPr>
                <w:rFonts w:ascii="Arial" w:hAnsi="Arial"/>
                <w:sz w:val="12"/>
                <w:szCs w:val="12"/>
              </w:rPr>
              <w:t>Candelaria</w:t>
            </w:r>
          </w:p>
        </w:tc>
      </w:tr>
      <w:tr w:rsidR="002A4DDF" w:rsidRPr="00937C8B" w14:paraId="347D96AA" w14:textId="77777777" w:rsidTr="00935676">
        <w:trPr>
          <w:cantSplit/>
        </w:trPr>
        <w:tc>
          <w:tcPr>
            <w:tcW w:w="1696" w:type="dxa"/>
            <w:tcBorders>
              <w:left w:val="single" w:sz="4" w:space="0" w:color="auto"/>
            </w:tcBorders>
            <w:shd w:val="clear" w:color="auto" w:fill="auto"/>
          </w:tcPr>
          <w:p w14:paraId="5487F30B" w14:textId="77777777" w:rsidR="002A4DDF" w:rsidRPr="00937C8B" w:rsidRDefault="002A4DDF" w:rsidP="009110ED">
            <w:pPr>
              <w:rPr>
                <w:rFonts w:ascii="Arial" w:hAnsi="Arial" w:cs="Arial"/>
                <w:sz w:val="12"/>
                <w:szCs w:val="12"/>
              </w:rPr>
            </w:pPr>
          </w:p>
        </w:tc>
        <w:tc>
          <w:tcPr>
            <w:tcW w:w="1843" w:type="dxa"/>
            <w:shd w:val="clear" w:color="auto" w:fill="auto"/>
          </w:tcPr>
          <w:p w14:paraId="7E83BE4A" w14:textId="77777777" w:rsidR="002A4DDF" w:rsidRPr="00937C8B" w:rsidRDefault="002A4DDF" w:rsidP="009110ED">
            <w:pPr>
              <w:rPr>
                <w:rFonts w:ascii="Arial" w:hAnsi="Arial" w:cs="Arial"/>
                <w:sz w:val="12"/>
                <w:szCs w:val="12"/>
              </w:rPr>
            </w:pPr>
          </w:p>
        </w:tc>
        <w:tc>
          <w:tcPr>
            <w:tcW w:w="2268" w:type="dxa"/>
            <w:shd w:val="clear" w:color="auto" w:fill="F2F2F2"/>
            <w:hideMark/>
          </w:tcPr>
          <w:p w14:paraId="1F28202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166815C" w14:textId="77777777" w:rsidR="002A4DDF" w:rsidRPr="00937C8B" w:rsidRDefault="002A4DDF" w:rsidP="009110ED">
            <w:pPr>
              <w:rPr>
                <w:rFonts w:ascii="Arial" w:hAnsi="Arial" w:cs="Arial"/>
                <w:sz w:val="12"/>
                <w:szCs w:val="12"/>
              </w:rPr>
            </w:pPr>
            <w:r>
              <w:rPr>
                <w:rFonts w:ascii="Arial" w:hAnsi="Arial"/>
                <w:sz w:val="12"/>
                <w:szCs w:val="12"/>
              </w:rPr>
              <w:t>El Rosario</w:t>
            </w:r>
          </w:p>
        </w:tc>
      </w:tr>
      <w:tr w:rsidR="002A4DDF" w:rsidRPr="00937C8B" w14:paraId="5FB7178F" w14:textId="77777777" w:rsidTr="00935676">
        <w:trPr>
          <w:cantSplit/>
        </w:trPr>
        <w:tc>
          <w:tcPr>
            <w:tcW w:w="1696" w:type="dxa"/>
            <w:tcBorders>
              <w:left w:val="single" w:sz="4" w:space="0" w:color="auto"/>
            </w:tcBorders>
            <w:shd w:val="clear" w:color="auto" w:fill="auto"/>
          </w:tcPr>
          <w:p w14:paraId="5109D558" w14:textId="77777777" w:rsidR="002A4DDF" w:rsidRPr="00937C8B" w:rsidRDefault="002A4DDF" w:rsidP="009110ED">
            <w:pPr>
              <w:rPr>
                <w:rFonts w:ascii="Arial" w:hAnsi="Arial" w:cs="Arial"/>
                <w:sz w:val="12"/>
                <w:szCs w:val="12"/>
              </w:rPr>
            </w:pPr>
          </w:p>
        </w:tc>
        <w:tc>
          <w:tcPr>
            <w:tcW w:w="1843" w:type="dxa"/>
            <w:shd w:val="clear" w:color="auto" w:fill="auto"/>
          </w:tcPr>
          <w:p w14:paraId="014A65CB" w14:textId="77777777" w:rsidR="002A4DDF" w:rsidRPr="00937C8B" w:rsidRDefault="002A4DDF" w:rsidP="009110ED">
            <w:pPr>
              <w:rPr>
                <w:rFonts w:ascii="Arial" w:hAnsi="Arial" w:cs="Arial"/>
                <w:sz w:val="12"/>
                <w:szCs w:val="12"/>
              </w:rPr>
            </w:pPr>
          </w:p>
        </w:tc>
        <w:tc>
          <w:tcPr>
            <w:tcW w:w="2268" w:type="dxa"/>
            <w:shd w:val="clear" w:color="auto" w:fill="F2F2F2"/>
            <w:hideMark/>
          </w:tcPr>
          <w:p w14:paraId="1E2FC18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92085BB" w14:textId="77777777" w:rsidR="002A4DDF" w:rsidRPr="00937C8B" w:rsidRDefault="002A4DDF" w:rsidP="009110ED">
            <w:pPr>
              <w:rPr>
                <w:rFonts w:ascii="Arial" w:hAnsi="Arial" w:cs="Arial"/>
                <w:sz w:val="12"/>
                <w:szCs w:val="12"/>
              </w:rPr>
            </w:pPr>
            <w:r>
              <w:rPr>
                <w:rFonts w:ascii="Arial" w:hAnsi="Arial"/>
                <w:sz w:val="12"/>
                <w:szCs w:val="12"/>
              </w:rPr>
              <w:t>El Sauzal</w:t>
            </w:r>
          </w:p>
        </w:tc>
      </w:tr>
      <w:tr w:rsidR="002A4DDF" w:rsidRPr="00937C8B" w14:paraId="02486A32" w14:textId="77777777" w:rsidTr="00935676">
        <w:trPr>
          <w:cantSplit/>
        </w:trPr>
        <w:tc>
          <w:tcPr>
            <w:tcW w:w="1696" w:type="dxa"/>
            <w:tcBorders>
              <w:left w:val="single" w:sz="4" w:space="0" w:color="auto"/>
            </w:tcBorders>
            <w:shd w:val="clear" w:color="auto" w:fill="auto"/>
          </w:tcPr>
          <w:p w14:paraId="0E0FA920" w14:textId="77777777" w:rsidR="002A4DDF" w:rsidRPr="00937C8B" w:rsidRDefault="002A4DDF" w:rsidP="009110ED">
            <w:pPr>
              <w:rPr>
                <w:rFonts w:ascii="Arial" w:hAnsi="Arial" w:cs="Arial"/>
                <w:sz w:val="12"/>
                <w:szCs w:val="12"/>
              </w:rPr>
            </w:pPr>
          </w:p>
        </w:tc>
        <w:tc>
          <w:tcPr>
            <w:tcW w:w="1843" w:type="dxa"/>
            <w:shd w:val="clear" w:color="auto" w:fill="auto"/>
          </w:tcPr>
          <w:p w14:paraId="09D7D618" w14:textId="77777777" w:rsidR="002A4DDF" w:rsidRPr="00937C8B" w:rsidRDefault="002A4DDF" w:rsidP="009110ED">
            <w:pPr>
              <w:rPr>
                <w:rFonts w:ascii="Arial" w:hAnsi="Arial" w:cs="Arial"/>
                <w:sz w:val="12"/>
                <w:szCs w:val="12"/>
              </w:rPr>
            </w:pPr>
          </w:p>
        </w:tc>
        <w:tc>
          <w:tcPr>
            <w:tcW w:w="2268" w:type="dxa"/>
            <w:shd w:val="clear" w:color="auto" w:fill="F2F2F2"/>
            <w:hideMark/>
          </w:tcPr>
          <w:p w14:paraId="383D034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7B47DBD" w14:textId="77777777" w:rsidR="002A4DDF" w:rsidRPr="00937C8B" w:rsidRDefault="002A4DDF" w:rsidP="009110ED">
            <w:pPr>
              <w:rPr>
                <w:rFonts w:ascii="Arial" w:hAnsi="Arial" w:cs="Arial"/>
                <w:sz w:val="12"/>
                <w:szCs w:val="12"/>
              </w:rPr>
            </w:pPr>
            <w:r>
              <w:rPr>
                <w:rFonts w:ascii="Arial" w:hAnsi="Arial"/>
                <w:sz w:val="12"/>
                <w:szCs w:val="12"/>
              </w:rPr>
              <w:t>El Tanque</w:t>
            </w:r>
          </w:p>
        </w:tc>
      </w:tr>
      <w:tr w:rsidR="002A4DDF" w:rsidRPr="00937C8B" w14:paraId="2CE64904" w14:textId="77777777" w:rsidTr="00935676">
        <w:trPr>
          <w:cantSplit/>
        </w:trPr>
        <w:tc>
          <w:tcPr>
            <w:tcW w:w="1696" w:type="dxa"/>
            <w:tcBorders>
              <w:left w:val="single" w:sz="4" w:space="0" w:color="auto"/>
            </w:tcBorders>
            <w:shd w:val="clear" w:color="auto" w:fill="auto"/>
          </w:tcPr>
          <w:p w14:paraId="2F1EABEC" w14:textId="77777777" w:rsidR="002A4DDF" w:rsidRPr="00937C8B" w:rsidRDefault="002A4DDF" w:rsidP="009110ED">
            <w:pPr>
              <w:rPr>
                <w:rFonts w:ascii="Arial" w:hAnsi="Arial" w:cs="Arial"/>
                <w:sz w:val="12"/>
                <w:szCs w:val="12"/>
              </w:rPr>
            </w:pPr>
          </w:p>
        </w:tc>
        <w:tc>
          <w:tcPr>
            <w:tcW w:w="1843" w:type="dxa"/>
            <w:shd w:val="clear" w:color="auto" w:fill="auto"/>
          </w:tcPr>
          <w:p w14:paraId="46B65993" w14:textId="77777777" w:rsidR="002A4DDF" w:rsidRPr="00937C8B" w:rsidRDefault="002A4DDF" w:rsidP="009110ED">
            <w:pPr>
              <w:rPr>
                <w:rFonts w:ascii="Arial" w:hAnsi="Arial" w:cs="Arial"/>
                <w:sz w:val="12"/>
                <w:szCs w:val="12"/>
              </w:rPr>
            </w:pPr>
          </w:p>
        </w:tc>
        <w:tc>
          <w:tcPr>
            <w:tcW w:w="2268" w:type="dxa"/>
            <w:shd w:val="clear" w:color="auto" w:fill="F2F2F2"/>
            <w:hideMark/>
          </w:tcPr>
          <w:p w14:paraId="5C9728E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E091137" w14:textId="77777777" w:rsidR="002A4DDF" w:rsidRPr="00937C8B" w:rsidRDefault="002A4DDF" w:rsidP="009110ED">
            <w:pPr>
              <w:rPr>
                <w:rFonts w:ascii="Arial" w:hAnsi="Arial" w:cs="Arial"/>
                <w:sz w:val="12"/>
                <w:szCs w:val="12"/>
              </w:rPr>
            </w:pPr>
            <w:r>
              <w:rPr>
                <w:rFonts w:ascii="Arial" w:hAnsi="Arial"/>
                <w:sz w:val="12"/>
                <w:szCs w:val="12"/>
              </w:rPr>
              <w:t>Fasnia</w:t>
            </w:r>
          </w:p>
        </w:tc>
      </w:tr>
      <w:tr w:rsidR="002A4DDF" w:rsidRPr="00937C8B" w14:paraId="782E862D" w14:textId="77777777" w:rsidTr="00935676">
        <w:trPr>
          <w:cantSplit/>
        </w:trPr>
        <w:tc>
          <w:tcPr>
            <w:tcW w:w="1696" w:type="dxa"/>
            <w:tcBorders>
              <w:left w:val="single" w:sz="4" w:space="0" w:color="auto"/>
            </w:tcBorders>
            <w:shd w:val="clear" w:color="auto" w:fill="auto"/>
          </w:tcPr>
          <w:p w14:paraId="198BF6B9" w14:textId="77777777" w:rsidR="002A4DDF" w:rsidRPr="00937C8B" w:rsidRDefault="002A4DDF" w:rsidP="009110ED">
            <w:pPr>
              <w:rPr>
                <w:rFonts w:ascii="Arial" w:hAnsi="Arial" w:cs="Arial"/>
                <w:sz w:val="12"/>
                <w:szCs w:val="12"/>
              </w:rPr>
            </w:pPr>
          </w:p>
        </w:tc>
        <w:tc>
          <w:tcPr>
            <w:tcW w:w="1843" w:type="dxa"/>
            <w:shd w:val="clear" w:color="auto" w:fill="auto"/>
          </w:tcPr>
          <w:p w14:paraId="2984C9A3" w14:textId="77777777" w:rsidR="002A4DDF" w:rsidRPr="00937C8B" w:rsidRDefault="002A4DDF" w:rsidP="009110ED">
            <w:pPr>
              <w:rPr>
                <w:rFonts w:ascii="Arial" w:hAnsi="Arial" w:cs="Arial"/>
                <w:sz w:val="12"/>
                <w:szCs w:val="12"/>
              </w:rPr>
            </w:pPr>
          </w:p>
        </w:tc>
        <w:tc>
          <w:tcPr>
            <w:tcW w:w="2268" w:type="dxa"/>
            <w:shd w:val="clear" w:color="auto" w:fill="F2F2F2"/>
            <w:hideMark/>
          </w:tcPr>
          <w:p w14:paraId="66382F0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47218CF" w14:textId="77777777" w:rsidR="002A4DDF" w:rsidRPr="00937C8B" w:rsidRDefault="002A4DDF" w:rsidP="009110ED">
            <w:pPr>
              <w:rPr>
                <w:rFonts w:ascii="Arial" w:hAnsi="Arial" w:cs="Arial"/>
                <w:sz w:val="12"/>
                <w:szCs w:val="12"/>
              </w:rPr>
            </w:pPr>
            <w:r>
              <w:rPr>
                <w:rFonts w:ascii="Arial" w:hAnsi="Arial"/>
                <w:sz w:val="12"/>
                <w:szCs w:val="12"/>
              </w:rPr>
              <w:t>Garachico</w:t>
            </w:r>
          </w:p>
        </w:tc>
      </w:tr>
      <w:tr w:rsidR="002A4DDF" w:rsidRPr="00937C8B" w14:paraId="6BA0A384" w14:textId="77777777" w:rsidTr="00935676">
        <w:trPr>
          <w:cantSplit/>
        </w:trPr>
        <w:tc>
          <w:tcPr>
            <w:tcW w:w="1696" w:type="dxa"/>
            <w:tcBorders>
              <w:left w:val="single" w:sz="4" w:space="0" w:color="auto"/>
            </w:tcBorders>
            <w:shd w:val="clear" w:color="auto" w:fill="auto"/>
          </w:tcPr>
          <w:p w14:paraId="2BDE6968" w14:textId="77777777" w:rsidR="002A4DDF" w:rsidRPr="00937C8B" w:rsidRDefault="002A4DDF" w:rsidP="009110ED">
            <w:pPr>
              <w:rPr>
                <w:rFonts w:ascii="Arial" w:hAnsi="Arial" w:cs="Arial"/>
                <w:sz w:val="12"/>
                <w:szCs w:val="12"/>
              </w:rPr>
            </w:pPr>
          </w:p>
        </w:tc>
        <w:tc>
          <w:tcPr>
            <w:tcW w:w="1843" w:type="dxa"/>
            <w:shd w:val="clear" w:color="auto" w:fill="auto"/>
          </w:tcPr>
          <w:p w14:paraId="0E7E7468" w14:textId="77777777" w:rsidR="002A4DDF" w:rsidRPr="00937C8B" w:rsidRDefault="002A4DDF" w:rsidP="009110ED">
            <w:pPr>
              <w:rPr>
                <w:rFonts w:ascii="Arial" w:hAnsi="Arial" w:cs="Arial"/>
                <w:sz w:val="12"/>
                <w:szCs w:val="12"/>
              </w:rPr>
            </w:pPr>
          </w:p>
        </w:tc>
        <w:tc>
          <w:tcPr>
            <w:tcW w:w="2268" w:type="dxa"/>
            <w:shd w:val="clear" w:color="auto" w:fill="F2F2F2"/>
            <w:hideMark/>
          </w:tcPr>
          <w:p w14:paraId="2444610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E4BC3BA" w14:textId="77777777" w:rsidR="002A4DDF" w:rsidRPr="00937C8B" w:rsidRDefault="002A4DDF" w:rsidP="009110ED">
            <w:pPr>
              <w:rPr>
                <w:rFonts w:ascii="Arial" w:hAnsi="Arial" w:cs="Arial"/>
                <w:sz w:val="12"/>
                <w:szCs w:val="12"/>
              </w:rPr>
            </w:pPr>
            <w:r>
              <w:rPr>
                <w:rFonts w:ascii="Arial" w:hAnsi="Arial"/>
                <w:sz w:val="12"/>
                <w:szCs w:val="12"/>
              </w:rPr>
              <w:t>Granadilla de Abona</w:t>
            </w:r>
          </w:p>
        </w:tc>
      </w:tr>
      <w:tr w:rsidR="002A4DDF" w:rsidRPr="00937C8B" w14:paraId="69D7665E" w14:textId="77777777" w:rsidTr="00935676">
        <w:trPr>
          <w:cantSplit/>
        </w:trPr>
        <w:tc>
          <w:tcPr>
            <w:tcW w:w="1696" w:type="dxa"/>
            <w:tcBorders>
              <w:left w:val="single" w:sz="4" w:space="0" w:color="auto"/>
            </w:tcBorders>
            <w:shd w:val="clear" w:color="auto" w:fill="auto"/>
          </w:tcPr>
          <w:p w14:paraId="0CADDCFE" w14:textId="77777777" w:rsidR="002A4DDF" w:rsidRPr="00937C8B" w:rsidRDefault="002A4DDF" w:rsidP="009110ED">
            <w:pPr>
              <w:rPr>
                <w:rFonts w:ascii="Arial" w:hAnsi="Arial" w:cs="Arial"/>
                <w:sz w:val="12"/>
                <w:szCs w:val="12"/>
              </w:rPr>
            </w:pPr>
          </w:p>
        </w:tc>
        <w:tc>
          <w:tcPr>
            <w:tcW w:w="1843" w:type="dxa"/>
            <w:shd w:val="clear" w:color="auto" w:fill="auto"/>
          </w:tcPr>
          <w:p w14:paraId="0503AE41" w14:textId="77777777" w:rsidR="002A4DDF" w:rsidRPr="00937C8B" w:rsidRDefault="002A4DDF" w:rsidP="009110ED">
            <w:pPr>
              <w:rPr>
                <w:rFonts w:ascii="Arial" w:hAnsi="Arial" w:cs="Arial"/>
                <w:sz w:val="12"/>
                <w:szCs w:val="12"/>
              </w:rPr>
            </w:pPr>
          </w:p>
        </w:tc>
        <w:tc>
          <w:tcPr>
            <w:tcW w:w="2268" w:type="dxa"/>
            <w:shd w:val="clear" w:color="auto" w:fill="F2F2F2"/>
            <w:hideMark/>
          </w:tcPr>
          <w:p w14:paraId="7940AD0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13A04D0" w14:textId="77777777" w:rsidR="002A4DDF" w:rsidRPr="00937C8B" w:rsidRDefault="002A4DDF" w:rsidP="009110ED">
            <w:pPr>
              <w:rPr>
                <w:rFonts w:ascii="Arial" w:hAnsi="Arial" w:cs="Arial"/>
                <w:sz w:val="12"/>
                <w:szCs w:val="12"/>
              </w:rPr>
            </w:pPr>
            <w:r>
              <w:rPr>
                <w:rFonts w:ascii="Arial" w:hAnsi="Arial"/>
                <w:sz w:val="12"/>
                <w:szCs w:val="12"/>
              </w:rPr>
              <w:t>Guía de Isora</w:t>
            </w:r>
          </w:p>
        </w:tc>
      </w:tr>
      <w:tr w:rsidR="002A4DDF" w:rsidRPr="00937C8B" w14:paraId="6C8A9B1F" w14:textId="77777777" w:rsidTr="00935676">
        <w:trPr>
          <w:cantSplit/>
        </w:trPr>
        <w:tc>
          <w:tcPr>
            <w:tcW w:w="1696" w:type="dxa"/>
            <w:tcBorders>
              <w:left w:val="single" w:sz="4" w:space="0" w:color="auto"/>
            </w:tcBorders>
            <w:shd w:val="clear" w:color="auto" w:fill="auto"/>
          </w:tcPr>
          <w:p w14:paraId="077F16F1" w14:textId="77777777" w:rsidR="002A4DDF" w:rsidRPr="00937C8B" w:rsidRDefault="002A4DDF" w:rsidP="009110ED">
            <w:pPr>
              <w:rPr>
                <w:rFonts w:ascii="Arial" w:hAnsi="Arial" w:cs="Arial"/>
                <w:sz w:val="12"/>
                <w:szCs w:val="12"/>
              </w:rPr>
            </w:pPr>
          </w:p>
        </w:tc>
        <w:tc>
          <w:tcPr>
            <w:tcW w:w="1843" w:type="dxa"/>
            <w:shd w:val="clear" w:color="auto" w:fill="auto"/>
          </w:tcPr>
          <w:p w14:paraId="319FD985" w14:textId="77777777" w:rsidR="002A4DDF" w:rsidRPr="00937C8B" w:rsidRDefault="002A4DDF" w:rsidP="009110ED">
            <w:pPr>
              <w:rPr>
                <w:rFonts w:ascii="Arial" w:hAnsi="Arial" w:cs="Arial"/>
                <w:sz w:val="12"/>
                <w:szCs w:val="12"/>
              </w:rPr>
            </w:pPr>
          </w:p>
        </w:tc>
        <w:tc>
          <w:tcPr>
            <w:tcW w:w="2268" w:type="dxa"/>
            <w:shd w:val="clear" w:color="auto" w:fill="F2F2F2"/>
          </w:tcPr>
          <w:p w14:paraId="5C687F1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tcPr>
          <w:p w14:paraId="2FE12D10" w14:textId="77777777" w:rsidR="002A4DDF" w:rsidRPr="00937C8B" w:rsidRDefault="002A4DDF" w:rsidP="009110ED">
            <w:pPr>
              <w:rPr>
                <w:rFonts w:ascii="Arial" w:hAnsi="Arial" w:cs="Arial"/>
                <w:sz w:val="12"/>
                <w:szCs w:val="12"/>
              </w:rPr>
            </w:pPr>
            <w:r>
              <w:rPr>
                <w:rFonts w:ascii="Arial" w:hAnsi="Arial"/>
                <w:sz w:val="12"/>
                <w:szCs w:val="12"/>
              </w:rPr>
              <w:t>Güímar</w:t>
            </w:r>
          </w:p>
        </w:tc>
      </w:tr>
      <w:tr w:rsidR="002A4DDF" w:rsidRPr="00937C8B" w14:paraId="22C2DBBA" w14:textId="77777777" w:rsidTr="00935676">
        <w:trPr>
          <w:cantSplit/>
        </w:trPr>
        <w:tc>
          <w:tcPr>
            <w:tcW w:w="1696" w:type="dxa"/>
            <w:tcBorders>
              <w:left w:val="single" w:sz="4" w:space="0" w:color="auto"/>
            </w:tcBorders>
            <w:shd w:val="clear" w:color="auto" w:fill="auto"/>
          </w:tcPr>
          <w:p w14:paraId="1C6DEC13" w14:textId="77777777" w:rsidR="002A4DDF" w:rsidRPr="00937C8B" w:rsidRDefault="002A4DDF" w:rsidP="009110ED">
            <w:pPr>
              <w:rPr>
                <w:rFonts w:ascii="Arial" w:hAnsi="Arial" w:cs="Arial"/>
                <w:sz w:val="12"/>
                <w:szCs w:val="12"/>
              </w:rPr>
            </w:pPr>
          </w:p>
        </w:tc>
        <w:tc>
          <w:tcPr>
            <w:tcW w:w="1843" w:type="dxa"/>
            <w:shd w:val="clear" w:color="auto" w:fill="auto"/>
          </w:tcPr>
          <w:p w14:paraId="40065976" w14:textId="77777777" w:rsidR="002A4DDF" w:rsidRPr="00937C8B" w:rsidRDefault="002A4DDF" w:rsidP="009110ED">
            <w:pPr>
              <w:rPr>
                <w:rFonts w:ascii="Arial" w:hAnsi="Arial" w:cs="Arial"/>
                <w:sz w:val="12"/>
                <w:szCs w:val="12"/>
              </w:rPr>
            </w:pPr>
          </w:p>
        </w:tc>
        <w:tc>
          <w:tcPr>
            <w:tcW w:w="2268" w:type="dxa"/>
            <w:shd w:val="clear" w:color="auto" w:fill="F2F2F2"/>
            <w:hideMark/>
          </w:tcPr>
          <w:p w14:paraId="4EA2E56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A484D1B" w14:textId="77777777" w:rsidR="002A4DDF" w:rsidRPr="00937C8B" w:rsidRDefault="002A4DDF" w:rsidP="009110ED">
            <w:pPr>
              <w:rPr>
                <w:rFonts w:ascii="Arial" w:hAnsi="Arial" w:cs="Arial"/>
                <w:sz w:val="12"/>
                <w:szCs w:val="12"/>
              </w:rPr>
            </w:pPr>
            <w:r>
              <w:rPr>
                <w:rFonts w:ascii="Arial" w:hAnsi="Arial"/>
                <w:sz w:val="12"/>
                <w:szCs w:val="12"/>
              </w:rPr>
              <w:t>Icod de los Vinos</w:t>
            </w:r>
          </w:p>
        </w:tc>
      </w:tr>
      <w:tr w:rsidR="002A4DDF" w:rsidRPr="00937C8B" w14:paraId="1A85CB56" w14:textId="77777777" w:rsidTr="00935676">
        <w:trPr>
          <w:cantSplit/>
        </w:trPr>
        <w:tc>
          <w:tcPr>
            <w:tcW w:w="1696" w:type="dxa"/>
            <w:tcBorders>
              <w:left w:val="single" w:sz="4" w:space="0" w:color="auto"/>
            </w:tcBorders>
            <w:shd w:val="clear" w:color="auto" w:fill="auto"/>
          </w:tcPr>
          <w:p w14:paraId="28743D06" w14:textId="77777777" w:rsidR="002A4DDF" w:rsidRPr="00937C8B" w:rsidRDefault="002A4DDF" w:rsidP="009110ED">
            <w:pPr>
              <w:rPr>
                <w:rFonts w:ascii="Arial" w:hAnsi="Arial" w:cs="Arial"/>
                <w:sz w:val="12"/>
                <w:szCs w:val="12"/>
              </w:rPr>
            </w:pPr>
          </w:p>
        </w:tc>
        <w:tc>
          <w:tcPr>
            <w:tcW w:w="1843" w:type="dxa"/>
            <w:shd w:val="clear" w:color="auto" w:fill="auto"/>
          </w:tcPr>
          <w:p w14:paraId="0E55C97A" w14:textId="77777777" w:rsidR="002A4DDF" w:rsidRPr="00937C8B" w:rsidRDefault="002A4DDF" w:rsidP="009110ED">
            <w:pPr>
              <w:rPr>
                <w:rFonts w:ascii="Arial" w:hAnsi="Arial" w:cs="Arial"/>
                <w:sz w:val="12"/>
                <w:szCs w:val="12"/>
              </w:rPr>
            </w:pPr>
          </w:p>
        </w:tc>
        <w:tc>
          <w:tcPr>
            <w:tcW w:w="2268" w:type="dxa"/>
            <w:shd w:val="clear" w:color="auto" w:fill="F2F2F2"/>
            <w:hideMark/>
          </w:tcPr>
          <w:p w14:paraId="0C1F0CF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E400ED5" w14:textId="77777777" w:rsidR="002A4DDF" w:rsidRPr="00937C8B" w:rsidRDefault="002A4DDF" w:rsidP="009110ED">
            <w:pPr>
              <w:rPr>
                <w:rFonts w:ascii="Arial" w:hAnsi="Arial" w:cs="Arial"/>
                <w:sz w:val="12"/>
                <w:szCs w:val="12"/>
              </w:rPr>
            </w:pPr>
            <w:r>
              <w:rPr>
                <w:rFonts w:ascii="Arial" w:hAnsi="Arial"/>
                <w:sz w:val="12"/>
                <w:szCs w:val="12"/>
              </w:rPr>
              <w:t>La Matanza de Acentejo</w:t>
            </w:r>
          </w:p>
        </w:tc>
      </w:tr>
      <w:tr w:rsidR="002A4DDF" w:rsidRPr="00937C8B" w14:paraId="7BA59FAF" w14:textId="77777777" w:rsidTr="00935676">
        <w:trPr>
          <w:cantSplit/>
        </w:trPr>
        <w:tc>
          <w:tcPr>
            <w:tcW w:w="1696" w:type="dxa"/>
            <w:tcBorders>
              <w:left w:val="single" w:sz="4" w:space="0" w:color="auto"/>
            </w:tcBorders>
            <w:shd w:val="clear" w:color="auto" w:fill="auto"/>
          </w:tcPr>
          <w:p w14:paraId="19D6606F" w14:textId="77777777" w:rsidR="002A4DDF" w:rsidRPr="00937C8B" w:rsidRDefault="002A4DDF" w:rsidP="009110ED">
            <w:pPr>
              <w:rPr>
                <w:rFonts w:ascii="Arial" w:hAnsi="Arial" w:cs="Arial"/>
                <w:sz w:val="12"/>
                <w:szCs w:val="12"/>
              </w:rPr>
            </w:pPr>
          </w:p>
        </w:tc>
        <w:tc>
          <w:tcPr>
            <w:tcW w:w="1843" w:type="dxa"/>
            <w:shd w:val="clear" w:color="auto" w:fill="auto"/>
          </w:tcPr>
          <w:p w14:paraId="503E5305" w14:textId="77777777" w:rsidR="002A4DDF" w:rsidRPr="00937C8B" w:rsidRDefault="002A4DDF" w:rsidP="009110ED">
            <w:pPr>
              <w:rPr>
                <w:rFonts w:ascii="Arial" w:hAnsi="Arial" w:cs="Arial"/>
                <w:sz w:val="12"/>
                <w:szCs w:val="12"/>
              </w:rPr>
            </w:pPr>
          </w:p>
        </w:tc>
        <w:tc>
          <w:tcPr>
            <w:tcW w:w="2268" w:type="dxa"/>
            <w:shd w:val="clear" w:color="auto" w:fill="F2F2F2"/>
            <w:hideMark/>
          </w:tcPr>
          <w:p w14:paraId="0203D8B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89D7530" w14:textId="77777777" w:rsidR="002A4DDF" w:rsidRPr="00937C8B" w:rsidRDefault="002A4DDF" w:rsidP="009110ED">
            <w:pPr>
              <w:rPr>
                <w:rFonts w:ascii="Arial" w:hAnsi="Arial" w:cs="Arial"/>
                <w:sz w:val="12"/>
                <w:szCs w:val="12"/>
              </w:rPr>
            </w:pPr>
            <w:r>
              <w:rPr>
                <w:rFonts w:ascii="Arial" w:hAnsi="Arial"/>
                <w:sz w:val="12"/>
                <w:szCs w:val="12"/>
              </w:rPr>
              <w:t>La Orotava</w:t>
            </w:r>
          </w:p>
        </w:tc>
      </w:tr>
      <w:tr w:rsidR="002A4DDF" w:rsidRPr="00937C8B" w14:paraId="7A3CEDC8" w14:textId="77777777" w:rsidTr="00935676">
        <w:trPr>
          <w:cantSplit/>
        </w:trPr>
        <w:tc>
          <w:tcPr>
            <w:tcW w:w="1696" w:type="dxa"/>
            <w:tcBorders>
              <w:left w:val="single" w:sz="4" w:space="0" w:color="auto"/>
            </w:tcBorders>
            <w:shd w:val="clear" w:color="auto" w:fill="auto"/>
          </w:tcPr>
          <w:p w14:paraId="1BEBE6FA" w14:textId="77777777" w:rsidR="002A4DDF" w:rsidRPr="00937C8B" w:rsidRDefault="002A4DDF" w:rsidP="009110ED">
            <w:pPr>
              <w:rPr>
                <w:rFonts w:ascii="Arial" w:hAnsi="Arial" w:cs="Arial"/>
                <w:sz w:val="12"/>
                <w:szCs w:val="12"/>
              </w:rPr>
            </w:pPr>
          </w:p>
        </w:tc>
        <w:tc>
          <w:tcPr>
            <w:tcW w:w="1843" w:type="dxa"/>
            <w:shd w:val="clear" w:color="auto" w:fill="auto"/>
          </w:tcPr>
          <w:p w14:paraId="4408B599" w14:textId="77777777" w:rsidR="002A4DDF" w:rsidRPr="00937C8B" w:rsidRDefault="002A4DDF" w:rsidP="009110ED">
            <w:pPr>
              <w:rPr>
                <w:rFonts w:ascii="Arial" w:hAnsi="Arial" w:cs="Arial"/>
                <w:sz w:val="12"/>
                <w:szCs w:val="12"/>
              </w:rPr>
            </w:pPr>
          </w:p>
        </w:tc>
        <w:tc>
          <w:tcPr>
            <w:tcW w:w="2268" w:type="dxa"/>
            <w:shd w:val="clear" w:color="auto" w:fill="F2F2F2"/>
            <w:hideMark/>
          </w:tcPr>
          <w:p w14:paraId="1D2B91F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B8A787C" w14:textId="77777777" w:rsidR="002A4DDF" w:rsidRPr="00937C8B" w:rsidRDefault="002A4DDF" w:rsidP="009110ED">
            <w:pPr>
              <w:rPr>
                <w:rFonts w:ascii="Arial" w:hAnsi="Arial" w:cs="Arial"/>
                <w:sz w:val="12"/>
                <w:szCs w:val="12"/>
              </w:rPr>
            </w:pPr>
            <w:r>
              <w:rPr>
                <w:rFonts w:ascii="Arial" w:hAnsi="Arial"/>
                <w:sz w:val="12"/>
                <w:szCs w:val="12"/>
              </w:rPr>
              <w:t>La Victoria de Acentejo</w:t>
            </w:r>
          </w:p>
        </w:tc>
      </w:tr>
      <w:tr w:rsidR="002A4DDF" w:rsidRPr="00937C8B" w14:paraId="6FAECBB3" w14:textId="77777777" w:rsidTr="00935676">
        <w:trPr>
          <w:cantSplit/>
        </w:trPr>
        <w:tc>
          <w:tcPr>
            <w:tcW w:w="1696" w:type="dxa"/>
            <w:tcBorders>
              <w:left w:val="single" w:sz="4" w:space="0" w:color="auto"/>
            </w:tcBorders>
            <w:shd w:val="clear" w:color="auto" w:fill="auto"/>
          </w:tcPr>
          <w:p w14:paraId="0E7B0F77" w14:textId="77777777" w:rsidR="002A4DDF" w:rsidRPr="00937C8B" w:rsidRDefault="002A4DDF" w:rsidP="009110ED">
            <w:pPr>
              <w:rPr>
                <w:rFonts w:ascii="Arial" w:hAnsi="Arial" w:cs="Arial"/>
                <w:sz w:val="12"/>
                <w:szCs w:val="12"/>
              </w:rPr>
            </w:pPr>
          </w:p>
        </w:tc>
        <w:tc>
          <w:tcPr>
            <w:tcW w:w="1843" w:type="dxa"/>
            <w:shd w:val="clear" w:color="auto" w:fill="auto"/>
          </w:tcPr>
          <w:p w14:paraId="220CFACF" w14:textId="77777777" w:rsidR="002A4DDF" w:rsidRPr="00937C8B" w:rsidRDefault="002A4DDF" w:rsidP="009110ED">
            <w:pPr>
              <w:rPr>
                <w:rFonts w:ascii="Arial" w:hAnsi="Arial" w:cs="Arial"/>
                <w:sz w:val="12"/>
                <w:szCs w:val="12"/>
              </w:rPr>
            </w:pPr>
          </w:p>
        </w:tc>
        <w:tc>
          <w:tcPr>
            <w:tcW w:w="2268" w:type="dxa"/>
            <w:shd w:val="clear" w:color="auto" w:fill="F2F2F2"/>
            <w:hideMark/>
          </w:tcPr>
          <w:p w14:paraId="66FEA1F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198D84C" w14:textId="77777777" w:rsidR="002A4DDF" w:rsidRPr="00937C8B" w:rsidRDefault="002A4DDF" w:rsidP="009110ED">
            <w:pPr>
              <w:rPr>
                <w:rFonts w:ascii="Arial" w:hAnsi="Arial" w:cs="Arial"/>
                <w:sz w:val="12"/>
                <w:szCs w:val="12"/>
              </w:rPr>
            </w:pPr>
            <w:r>
              <w:rPr>
                <w:rFonts w:ascii="Arial" w:hAnsi="Arial"/>
                <w:sz w:val="12"/>
                <w:szCs w:val="12"/>
              </w:rPr>
              <w:t>Los Realejos</w:t>
            </w:r>
          </w:p>
        </w:tc>
      </w:tr>
      <w:tr w:rsidR="002A4DDF" w:rsidRPr="00937C8B" w14:paraId="187453E3" w14:textId="77777777" w:rsidTr="00935676">
        <w:trPr>
          <w:cantSplit/>
        </w:trPr>
        <w:tc>
          <w:tcPr>
            <w:tcW w:w="1696" w:type="dxa"/>
            <w:tcBorders>
              <w:left w:val="single" w:sz="4" w:space="0" w:color="auto"/>
            </w:tcBorders>
            <w:shd w:val="clear" w:color="auto" w:fill="auto"/>
          </w:tcPr>
          <w:p w14:paraId="1FC9880B" w14:textId="77777777" w:rsidR="002A4DDF" w:rsidRPr="00937C8B" w:rsidRDefault="002A4DDF" w:rsidP="009110ED">
            <w:pPr>
              <w:rPr>
                <w:rFonts w:ascii="Arial" w:hAnsi="Arial" w:cs="Arial"/>
                <w:sz w:val="12"/>
                <w:szCs w:val="12"/>
              </w:rPr>
            </w:pPr>
          </w:p>
        </w:tc>
        <w:tc>
          <w:tcPr>
            <w:tcW w:w="1843" w:type="dxa"/>
            <w:shd w:val="clear" w:color="auto" w:fill="auto"/>
          </w:tcPr>
          <w:p w14:paraId="1174C4C6" w14:textId="77777777" w:rsidR="002A4DDF" w:rsidRPr="00937C8B" w:rsidRDefault="002A4DDF" w:rsidP="009110ED">
            <w:pPr>
              <w:rPr>
                <w:rFonts w:ascii="Arial" w:hAnsi="Arial" w:cs="Arial"/>
                <w:sz w:val="12"/>
                <w:szCs w:val="12"/>
              </w:rPr>
            </w:pPr>
          </w:p>
        </w:tc>
        <w:tc>
          <w:tcPr>
            <w:tcW w:w="2268" w:type="dxa"/>
            <w:shd w:val="clear" w:color="auto" w:fill="F2F2F2"/>
            <w:hideMark/>
          </w:tcPr>
          <w:p w14:paraId="47AD8AF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7B7FD11" w14:textId="77777777" w:rsidR="002A4DDF" w:rsidRPr="00937C8B" w:rsidRDefault="002A4DDF" w:rsidP="009110ED">
            <w:pPr>
              <w:rPr>
                <w:rFonts w:ascii="Arial" w:hAnsi="Arial" w:cs="Arial"/>
                <w:sz w:val="12"/>
                <w:szCs w:val="12"/>
              </w:rPr>
            </w:pPr>
            <w:r>
              <w:rPr>
                <w:rFonts w:ascii="Arial" w:hAnsi="Arial"/>
                <w:sz w:val="12"/>
                <w:szCs w:val="12"/>
              </w:rPr>
              <w:t>Los Silos</w:t>
            </w:r>
          </w:p>
        </w:tc>
      </w:tr>
      <w:tr w:rsidR="002A4DDF" w:rsidRPr="00937C8B" w14:paraId="05C1E880" w14:textId="77777777" w:rsidTr="00935676">
        <w:trPr>
          <w:cantSplit/>
        </w:trPr>
        <w:tc>
          <w:tcPr>
            <w:tcW w:w="1696" w:type="dxa"/>
            <w:tcBorders>
              <w:left w:val="single" w:sz="4" w:space="0" w:color="auto"/>
            </w:tcBorders>
            <w:shd w:val="clear" w:color="auto" w:fill="auto"/>
          </w:tcPr>
          <w:p w14:paraId="41C2F5B8" w14:textId="77777777" w:rsidR="002A4DDF" w:rsidRPr="00937C8B" w:rsidRDefault="002A4DDF" w:rsidP="009110ED">
            <w:pPr>
              <w:rPr>
                <w:rFonts w:ascii="Arial" w:hAnsi="Arial" w:cs="Arial"/>
                <w:sz w:val="12"/>
                <w:szCs w:val="12"/>
              </w:rPr>
            </w:pPr>
          </w:p>
        </w:tc>
        <w:tc>
          <w:tcPr>
            <w:tcW w:w="1843" w:type="dxa"/>
            <w:shd w:val="clear" w:color="auto" w:fill="auto"/>
          </w:tcPr>
          <w:p w14:paraId="6F596DE8" w14:textId="77777777" w:rsidR="002A4DDF" w:rsidRPr="00937C8B" w:rsidRDefault="002A4DDF" w:rsidP="009110ED">
            <w:pPr>
              <w:rPr>
                <w:rFonts w:ascii="Arial" w:hAnsi="Arial" w:cs="Arial"/>
                <w:sz w:val="12"/>
                <w:szCs w:val="12"/>
              </w:rPr>
            </w:pPr>
          </w:p>
        </w:tc>
        <w:tc>
          <w:tcPr>
            <w:tcW w:w="2268" w:type="dxa"/>
            <w:shd w:val="clear" w:color="auto" w:fill="F2F2F2"/>
            <w:hideMark/>
          </w:tcPr>
          <w:p w14:paraId="54DA43D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46A1C06" w14:textId="77777777" w:rsidR="002A4DDF" w:rsidRPr="00937C8B" w:rsidRDefault="002A4DDF" w:rsidP="009110ED">
            <w:pPr>
              <w:rPr>
                <w:rFonts w:ascii="Arial" w:hAnsi="Arial" w:cs="Arial"/>
                <w:sz w:val="12"/>
                <w:szCs w:val="12"/>
              </w:rPr>
            </w:pPr>
            <w:r>
              <w:rPr>
                <w:rFonts w:ascii="Arial" w:hAnsi="Arial"/>
                <w:sz w:val="12"/>
                <w:szCs w:val="12"/>
              </w:rPr>
              <w:t>Puerto de la Cruz</w:t>
            </w:r>
          </w:p>
        </w:tc>
      </w:tr>
      <w:tr w:rsidR="002A4DDF" w:rsidRPr="00937C8B" w14:paraId="5D668CAE" w14:textId="77777777" w:rsidTr="00935676">
        <w:trPr>
          <w:cantSplit/>
        </w:trPr>
        <w:tc>
          <w:tcPr>
            <w:tcW w:w="1696" w:type="dxa"/>
            <w:tcBorders>
              <w:left w:val="single" w:sz="4" w:space="0" w:color="auto"/>
            </w:tcBorders>
            <w:shd w:val="clear" w:color="auto" w:fill="auto"/>
          </w:tcPr>
          <w:p w14:paraId="7B013390" w14:textId="77777777" w:rsidR="002A4DDF" w:rsidRPr="00937C8B" w:rsidRDefault="002A4DDF" w:rsidP="009110ED">
            <w:pPr>
              <w:rPr>
                <w:rFonts w:ascii="Arial" w:hAnsi="Arial" w:cs="Arial"/>
                <w:sz w:val="12"/>
                <w:szCs w:val="12"/>
              </w:rPr>
            </w:pPr>
          </w:p>
        </w:tc>
        <w:tc>
          <w:tcPr>
            <w:tcW w:w="1843" w:type="dxa"/>
            <w:shd w:val="clear" w:color="auto" w:fill="auto"/>
          </w:tcPr>
          <w:p w14:paraId="78241CEF" w14:textId="77777777" w:rsidR="002A4DDF" w:rsidRPr="00937C8B" w:rsidRDefault="002A4DDF" w:rsidP="009110ED">
            <w:pPr>
              <w:rPr>
                <w:rFonts w:ascii="Arial" w:hAnsi="Arial" w:cs="Arial"/>
                <w:sz w:val="12"/>
                <w:szCs w:val="12"/>
              </w:rPr>
            </w:pPr>
          </w:p>
        </w:tc>
        <w:tc>
          <w:tcPr>
            <w:tcW w:w="2268" w:type="dxa"/>
            <w:shd w:val="clear" w:color="auto" w:fill="F2F2F2"/>
            <w:hideMark/>
          </w:tcPr>
          <w:p w14:paraId="1C77065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D3A3741" w14:textId="77777777" w:rsidR="002A4DDF" w:rsidRPr="00937C8B" w:rsidRDefault="002A4DDF" w:rsidP="009110ED">
            <w:pPr>
              <w:rPr>
                <w:rFonts w:ascii="Arial" w:hAnsi="Arial" w:cs="Arial"/>
                <w:sz w:val="12"/>
                <w:szCs w:val="12"/>
              </w:rPr>
            </w:pPr>
            <w:r>
              <w:rPr>
                <w:rFonts w:ascii="Arial" w:hAnsi="Arial"/>
                <w:sz w:val="12"/>
                <w:szCs w:val="12"/>
              </w:rPr>
              <w:t>San Cristóbal de La Laguna</w:t>
            </w:r>
          </w:p>
        </w:tc>
      </w:tr>
      <w:tr w:rsidR="002A4DDF" w:rsidRPr="00937C8B" w14:paraId="60F49ABF" w14:textId="77777777" w:rsidTr="00935676">
        <w:trPr>
          <w:cantSplit/>
        </w:trPr>
        <w:tc>
          <w:tcPr>
            <w:tcW w:w="1696" w:type="dxa"/>
            <w:tcBorders>
              <w:left w:val="single" w:sz="4" w:space="0" w:color="auto"/>
            </w:tcBorders>
            <w:shd w:val="clear" w:color="auto" w:fill="auto"/>
          </w:tcPr>
          <w:p w14:paraId="422FE7C5" w14:textId="77777777" w:rsidR="002A4DDF" w:rsidRPr="00937C8B" w:rsidRDefault="002A4DDF" w:rsidP="009110ED">
            <w:pPr>
              <w:rPr>
                <w:rFonts w:ascii="Arial" w:hAnsi="Arial" w:cs="Arial"/>
                <w:sz w:val="12"/>
                <w:szCs w:val="12"/>
              </w:rPr>
            </w:pPr>
          </w:p>
        </w:tc>
        <w:tc>
          <w:tcPr>
            <w:tcW w:w="1843" w:type="dxa"/>
            <w:shd w:val="clear" w:color="auto" w:fill="auto"/>
          </w:tcPr>
          <w:p w14:paraId="42DB545F" w14:textId="77777777" w:rsidR="002A4DDF" w:rsidRPr="00937C8B" w:rsidRDefault="002A4DDF" w:rsidP="009110ED">
            <w:pPr>
              <w:rPr>
                <w:rFonts w:ascii="Arial" w:hAnsi="Arial" w:cs="Arial"/>
                <w:sz w:val="12"/>
                <w:szCs w:val="12"/>
              </w:rPr>
            </w:pPr>
          </w:p>
        </w:tc>
        <w:tc>
          <w:tcPr>
            <w:tcW w:w="2268" w:type="dxa"/>
            <w:shd w:val="clear" w:color="auto" w:fill="F2F2F2"/>
            <w:hideMark/>
          </w:tcPr>
          <w:p w14:paraId="7340984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01DC3FE" w14:textId="77777777" w:rsidR="002A4DDF" w:rsidRPr="00937C8B" w:rsidRDefault="002A4DDF" w:rsidP="009110ED">
            <w:pPr>
              <w:rPr>
                <w:rFonts w:ascii="Arial" w:hAnsi="Arial" w:cs="Arial"/>
                <w:sz w:val="12"/>
                <w:szCs w:val="12"/>
              </w:rPr>
            </w:pPr>
            <w:r>
              <w:rPr>
                <w:rFonts w:ascii="Arial" w:hAnsi="Arial"/>
                <w:sz w:val="12"/>
                <w:szCs w:val="12"/>
              </w:rPr>
              <w:t>San Miguel de Abona</w:t>
            </w:r>
          </w:p>
        </w:tc>
      </w:tr>
      <w:tr w:rsidR="002A4DDF" w:rsidRPr="00937C8B" w14:paraId="2FF438C2" w14:textId="77777777" w:rsidTr="00935676">
        <w:trPr>
          <w:cantSplit/>
        </w:trPr>
        <w:tc>
          <w:tcPr>
            <w:tcW w:w="1696" w:type="dxa"/>
            <w:tcBorders>
              <w:left w:val="single" w:sz="4" w:space="0" w:color="auto"/>
            </w:tcBorders>
            <w:shd w:val="clear" w:color="auto" w:fill="auto"/>
          </w:tcPr>
          <w:p w14:paraId="22E1896D" w14:textId="77777777" w:rsidR="002A4DDF" w:rsidRPr="00937C8B" w:rsidRDefault="002A4DDF" w:rsidP="009110ED">
            <w:pPr>
              <w:rPr>
                <w:rFonts w:ascii="Arial" w:hAnsi="Arial" w:cs="Arial"/>
                <w:sz w:val="12"/>
                <w:szCs w:val="12"/>
              </w:rPr>
            </w:pPr>
          </w:p>
        </w:tc>
        <w:tc>
          <w:tcPr>
            <w:tcW w:w="1843" w:type="dxa"/>
            <w:shd w:val="clear" w:color="auto" w:fill="auto"/>
          </w:tcPr>
          <w:p w14:paraId="4161CDA0" w14:textId="77777777" w:rsidR="002A4DDF" w:rsidRPr="00937C8B" w:rsidRDefault="002A4DDF" w:rsidP="009110ED">
            <w:pPr>
              <w:rPr>
                <w:rFonts w:ascii="Arial" w:hAnsi="Arial" w:cs="Arial"/>
                <w:sz w:val="12"/>
                <w:szCs w:val="12"/>
              </w:rPr>
            </w:pPr>
          </w:p>
        </w:tc>
        <w:tc>
          <w:tcPr>
            <w:tcW w:w="2268" w:type="dxa"/>
            <w:shd w:val="clear" w:color="auto" w:fill="F2F2F2"/>
            <w:hideMark/>
          </w:tcPr>
          <w:p w14:paraId="601A415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A49E572" w14:textId="77777777" w:rsidR="002A4DDF" w:rsidRPr="00937C8B" w:rsidRDefault="002A4DDF" w:rsidP="009110ED">
            <w:pPr>
              <w:rPr>
                <w:rFonts w:ascii="Arial" w:hAnsi="Arial" w:cs="Arial"/>
                <w:sz w:val="12"/>
                <w:szCs w:val="12"/>
              </w:rPr>
            </w:pPr>
            <w:r>
              <w:rPr>
                <w:rFonts w:ascii="Arial" w:hAnsi="Arial"/>
                <w:sz w:val="12"/>
                <w:szCs w:val="12"/>
              </w:rPr>
              <w:t>Santa Cruz de Tenerife</w:t>
            </w:r>
          </w:p>
        </w:tc>
      </w:tr>
      <w:tr w:rsidR="002A4DDF" w:rsidRPr="00937C8B" w14:paraId="71DB0395" w14:textId="77777777" w:rsidTr="00935676">
        <w:trPr>
          <w:cantSplit/>
        </w:trPr>
        <w:tc>
          <w:tcPr>
            <w:tcW w:w="1696" w:type="dxa"/>
            <w:tcBorders>
              <w:left w:val="single" w:sz="4" w:space="0" w:color="auto"/>
            </w:tcBorders>
            <w:shd w:val="clear" w:color="auto" w:fill="auto"/>
          </w:tcPr>
          <w:p w14:paraId="473224FF" w14:textId="77777777" w:rsidR="002A4DDF" w:rsidRPr="00937C8B" w:rsidRDefault="002A4DDF" w:rsidP="009110ED">
            <w:pPr>
              <w:rPr>
                <w:rFonts w:ascii="Arial" w:hAnsi="Arial" w:cs="Arial"/>
                <w:sz w:val="12"/>
                <w:szCs w:val="12"/>
              </w:rPr>
            </w:pPr>
          </w:p>
        </w:tc>
        <w:tc>
          <w:tcPr>
            <w:tcW w:w="1843" w:type="dxa"/>
            <w:shd w:val="clear" w:color="auto" w:fill="auto"/>
          </w:tcPr>
          <w:p w14:paraId="69C21F27" w14:textId="77777777" w:rsidR="002A4DDF" w:rsidRPr="00937C8B" w:rsidRDefault="002A4DDF" w:rsidP="009110ED">
            <w:pPr>
              <w:rPr>
                <w:rFonts w:ascii="Arial" w:hAnsi="Arial" w:cs="Arial"/>
                <w:sz w:val="12"/>
                <w:szCs w:val="12"/>
              </w:rPr>
            </w:pPr>
          </w:p>
        </w:tc>
        <w:tc>
          <w:tcPr>
            <w:tcW w:w="2268" w:type="dxa"/>
            <w:shd w:val="clear" w:color="auto" w:fill="F2F2F2"/>
            <w:hideMark/>
          </w:tcPr>
          <w:p w14:paraId="5732172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7AFE46D" w14:textId="77777777" w:rsidR="002A4DDF" w:rsidRPr="00937C8B" w:rsidRDefault="002A4DDF" w:rsidP="009110ED">
            <w:pPr>
              <w:rPr>
                <w:rFonts w:ascii="Arial" w:hAnsi="Arial" w:cs="Arial"/>
                <w:sz w:val="12"/>
                <w:szCs w:val="12"/>
              </w:rPr>
            </w:pPr>
            <w:r>
              <w:rPr>
                <w:rFonts w:ascii="Arial" w:hAnsi="Arial"/>
                <w:sz w:val="12"/>
                <w:szCs w:val="12"/>
              </w:rPr>
              <w:t>Santa Úrsula</w:t>
            </w:r>
          </w:p>
        </w:tc>
      </w:tr>
      <w:tr w:rsidR="002A4DDF" w:rsidRPr="00937C8B" w14:paraId="60D75365" w14:textId="77777777" w:rsidTr="00935676">
        <w:trPr>
          <w:cantSplit/>
        </w:trPr>
        <w:tc>
          <w:tcPr>
            <w:tcW w:w="1696" w:type="dxa"/>
            <w:tcBorders>
              <w:left w:val="single" w:sz="4" w:space="0" w:color="auto"/>
            </w:tcBorders>
            <w:shd w:val="clear" w:color="auto" w:fill="auto"/>
          </w:tcPr>
          <w:p w14:paraId="7A257119" w14:textId="77777777" w:rsidR="002A4DDF" w:rsidRPr="00937C8B" w:rsidRDefault="002A4DDF" w:rsidP="009110ED">
            <w:pPr>
              <w:rPr>
                <w:rFonts w:ascii="Arial" w:hAnsi="Arial" w:cs="Arial"/>
                <w:sz w:val="12"/>
                <w:szCs w:val="12"/>
              </w:rPr>
            </w:pPr>
          </w:p>
        </w:tc>
        <w:tc>
          <w:tcPr>
            <w:tcW w:w="1843" w:type="dxa"/>
            <w:shd w:val="clear" w:color="auto" w:fill="auto"/>
          </w:tcPr>
          <w:p w14:paraId="0970C399" w14:textId="77777777" w:rsidR="002A4DDF" w:rsidRPr="00937C8B" w:rsidRDefault="002A4DDF" w:rsidP="009110ED">
            <w:pPr>
              <w:rPr>
                <w:rFonts w:ascii="Arial" w:hAnsi="Arial" w:cs="Arial"/>
                <w:sz w:val="12"/>
                <w:szCs w:val="12"/>
              </w:rPr>
            </w:pPr>
          </w:p>
        </w:tc>
        <w:tc>
          <w:tcPr>
            <w:tcW w:w="2268" w:type="dxa"/>
            <w:shd w:val="clear" w:color="auto" w:fill="F2F2F2"/>
            <w:hideMark/>
          </w:tcPr>
          <w:p w14:paraId="460C6D4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5C8BBBE" w14:textId="77777777" w:rsidR="002A4DDF" w:rsidRPr="00937C8B" w:rsidRDefault="002A4DDF" w:rsidP="009110ED">
            <w:pPr>
              <w:rPr>
                <w:rFonts w:ascii="Arial" w:hAnsi="Arial" w:cs="Arial"/>
                <w:sz w:val="12"/>
                <w:szCs w:val="12"/>
              </w:rPr>
            </w:pPr>
            <w:r>
              <w:rPr>
                <w:rFonts w:ascii="Arial" w:hAnsi="Arial"/>
                <w:sz w:val="12"/>
                <w:szCs w:val="12"/>
              </w:rPr>
              <w:t>Santiago del Teide</w:t>
            </w:r>
          </w:p>
        </w:tc>
      </w:tr>
      <w:tr w:rsidR="002A4DDF" w:rsidRPr="00937C8B" w14:paraId="27B162B6" w14:textId="77777777" w:rsidTr="00935676">
        <w:trPr>
          <w:cantSplit/>
        </w:trPr>
        <w:tc>
          <w:tcPr>
            <w:tcW w:w="1696" w:type="dxa"/>
            <w:tcBorders>
              <w:left w:val="single" w:sz="4" w:space="0" w:color="auto"/>
            </w:tcBorders>
            <w:shd w:val="clear" w:color="auto" w:fill="auto"/>
          </w:tcPr>
          <w:p w14:paraId="3FA72EB2" w14:textId="77777777" w:rsidR="002A4DDF" w:rsidRPr="00937C8B" w:rsidRDefault="002A4DDF" w:rsidP="009110ED">
            <w:pPr>
              <w:rPr>
                <w:rFonts w:ascii="Arial" w:hAnsi="Arial" w:cs="Arial"/>
                <w:sz w:val="12"/>
                <w:szCs w:val="12"/>
              </w:rPr>
            </w:pPr>
          </w:p>
        </w:tc>
        <w:tc>
          <w:tcPr>
            <w:tcW w:w="1843" w:type="dxa"/>
            <w:shd w:val="clear" w:color="auto" w:fill="auto"/>
          </w:tcPr>
          <w:p w14:paraId="0BB736D0" w14:textId="77777777" w:rsidR="002A4DDF" w:rsidRPr="00937C8B" w:rsidRDefault="002A4DDF" w:rsidP="009110ED">
            <w:pPr>
              <w:rPr>
                <w:rFonts w:ascii="Arial" w:hAnsi="Arial" w:cs="Arial"/>
                <w:sz w:val="12"/>
                <w:szCs w:val="12"/>
              </w:rPr>
            </w:pPr>
          </w:p>
        </w:tc>
        <w:tc>
          <w:tcPr>
            <w:tcW w:w="2268" w:type="dxa"/>
            <w:shd w:val="clear" w:color="auto" w:fill="F2F2F2"/>
            <w:hideMark/>
          </w:tcPr>
          <w:p w14:paraId="0EBE7C5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CB5DB78" w14:textId="77777777" w:rsidR="002A4DDF" w:rsidRPr="00937C8B" w:rsidRDefault="002A4DDF" w:rsidP="009110ED">
            <w:pPr>
              <w:rPr>
                <w:rFonts w:ascii="Arial" w:hAnsi="Arial" w:cs="Arial"/>
                <w:sz w:val="12"/>
                <w:szCs w:val="12"/>
              </w:rPr>
            </w:pPr>
            <w:r>
              <w:rPr>
                <w:rFonts w:ascii="Arial" w:hAnsi="Arial"/>
                <w:sz w:val="12"/>
                <w:szCs w:val="12"/>
              </w:rPr>
              <w:t>Tacoronte</w:t>
            </w:r>
          </w:p>
        </w:tc>
      </w:tr>
      <w:tr w:rsidR="002A4DDF" w:rsidRPr="00937C8B" w14:paraId="539970EB" w14:textId="77777777" w:rsidTr="00935676">
        <w:trPr>
          <w:cantSplit/>
        </w:trPr>
        <w:tc>
          <w:tcPr>
            <w:tcW w:w="1696" w:type="dxa"/>
            <w:tcBorders>
              <w:left w:val="single" w:sz="4" w:space="0" w:color="auto"/>
            </w:tcBorders>
            <w:shd w:val="clear" w:color="auto" w:fill="auto"/>
          </w:tcPr>
          <w:p w14:paraId="5B24AAF8" w14:textId="77777777" w:rsidR="002A4DDF" w:rsidRPr="00937C8B" w:rsidRDefault="002A4DDF" w:rsidP="009110ED">
            <w:pPr>
              <w:rPr>
                <w:rFonts w:ascii="Arial" w:hAnsi="Arial" w:cs="Arial"/>
                <w:sz w:val="12"/>
                <w:szCs w:val="12"/>
              </w:rPr>
            </w:pPr>
          </w:p>
        </w:tc>
        <w:tc>
          <w:tcPr>
            <w:tcW w:w="1843" w:type="dxa"/>
            <w:shd w:val="clear" w:color="auto" w:fill="auto"/>
          </w:tcPr>
          <w:p w14:paraId="28BFD78B" w14:textId="77777777" w:rsidR="002A4DDF" w:rsidRPr="00937C8B" w:rsidRDefault="002A4DDF" w:rsidP="009110ED">
            <w:pPr>
              <w:rPr>
                <w:rFonts w:ascii="Arial" w:hAnsi="Arial" w:cs="Arial"/>
                <w:sz w:val="12"/>
                <w:szCs w:val="12"/>
              </w:rPr>
            </w:pPr>
          </w:p>
        </w:tc>
        <w:tc>
          <w:tcPr>
            <w:tcW w:w="2268" w:type="dxa"/>
            <w:shd w:val="clear" w:color="auto" w:fill="F2F2F2"/>
            <w:hideMark/>
          </w:tcPr>
          <w:p w14:paraId="62BCB51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C7C9CD4" w14:textId="77777777" w:rsidR="002A4DDF" w:rsidRPr="00937C8B" w:rsidRDefault="002A4DDF" w:rsidP="009110ED">
            <w:pPr>
              <w:rPr>
                <w:rFonts w:ascii="Arial" w:hAnsi="Arial" w:cs="Arial"/>
                <w:sz w:val="12"/>
                <w:szCs w:val="12"/>
              </w:rPr>
            </w:pPr>
            <w:r>
              <w:rPr>
                <w:rFonts w:ascii="Arial" w:hAnsi="Arial"/>
                <w:sz w:val="12"/>
                <w:szCs w:val="12"/>
              </w:rPr>
              <w:t>Tegueste</w:t>
            </w:r>
          </w:p>
        </w:tc>
      </w:tr>
      <w:tr w:rsidR="002A4DDF" w:rsidRPr="00937C8B" w14:paraId="02A6B198" w14:textId="77777777" w:rsidTr="00935676">
        <w:trPr>
          <w:cantSplit/>
        </w:trPr>
        <w:tc>
          <w:tcPr>
            <w:tcW w:w="1696" w:type="dxa"/>
            <w:tcBorders>
              <w:left w:val="single" w:sz="4" w:space="0" w:color="auto"/>
              <w:bottom w:val="single" w:sz="4" w:space="0" w:color="auto"/>
            </w:tcBorders>
            <w:shd w:val="clear" w:color="auto" w:fill="auto"/>
            <w:hideMark/>
          </w:tcPr>
          <w:p w14:paraId="408DC39C" w14:textId="77777777" w:rsidR="002A4DDF" w:rsidRPr="00937C8B" w:rsidRDefault="002A4DDF" w:rsidP="009110ED">
            <w:pPr>
              <w:rPr>
                <w:rFonts w:ascii="Arial" w:hAnsi="Arial" w:cs="Arial"/>
                <w:sz w:val="12"/>
                <w:szCs w:val="12"/>
              </w:rPr>
            </w:pPr>
            <w:r>
              <w:rPr>
                <w:rFonts w:ascii="Arial" w:hAnsi="Arial"/>
                <w:sz w:val="12"/>
                <w:szCs w:val="12"/>
              </w:rPr>
              <w:t>Canarias</w:t>
            </w:r>
          </w:p>
        </w:tc>
        <w:tc>
          <w:tcPr>
            <w:tcW w:w="1843" w:type="dxa"/>
            <w:tcBorders>
              <w:bottom w:val="single" w:sz="4" w:space="0" w:color="auto"/>
            </w:tcBorders>
            <w:shd w:val="clear" w:color="auto" w:fill="auto"/>
            <w:hideMark/>
          </w:tcPr>
          <w:p w14:paraId="19960227" w14:textId="77777777" w:rsidR="002A4DDF" w:rsidRPr="00937C8B" w:rsidRDefault="002A4DDF" w:rsidP="009110ED">
            <w:pPr>
              <w:rPr>
                <w:rFonts w:ascii="Arial" w:hAnsi="Arial" w:cs="Arial"/>
                <w:sz w:val="12"/>
                <w:szCs w:val="12"/>
              </w:rPr>
            </w:pPr>
            <w:r>
              <w:rPr>
                <w:rFonts w:ascii="Arial" w:hAnsi="Arial"/>
                <w:sz w:val="12"/>
                <w:szCs w:val="12"/>
              </w:rPr>
              <w:t>Santa Cruz de Tenerife</w:t>
            </w:r>
          </w:p>
        </w:tc>
        <w:tc>
          <w:tcPr>
            <w:tcW w:w="2268" w:type="dxa"/>
            <w:tcBorders>
              <w:bottom w:val="single" w:sz="4" w:space="0" w:color="auto"/>
            </w:tcBorders>
            <w:shd w:val="clear" w:color="auto" w:fill="F2F2F2"/>
            <w:hideMark/>
          </w:tcPr>
          <w:p w14:paraId="2ADD5AC6"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08F03826" w14:textId="77777777" w:rsidR="002A4DDF" w:rsidRPr="00937C8B" w:rsidRDefault="002A4DDF" w:rsidP="009110ED">
            <w:pPr>
              <w:rPr>
                <w:rFonts w:ascii="Arial" w:hAnsi="Arial" w:cs="Arial"/>
                <w:sz w:val="12"/>
                <w:szCs w:val="12"/>
              </w:rPr>
            </w:pPr>
            <w:r>
              <w:rPr>
                <w:rFonts w:ascii="Arial" w:hAnsi="Arial"/>
                <w:sz w:val="12"/>
                <w:szCs w:val="12"/>
              </w:rPr>
              <w:t>Vilaflor de Chasna</w:t>
            </w:r>
          </w:p>
        </w:tc>
      </w:tr>
      <w:tr w:rsidR="002A4DDF" w:rsidRPr="00937C8B" w14:paraId="53CD278F" w14:textId="77777777" w:rsidTr="00935676">
        <w:trPr>
          <w:cantSplit/>
        </w:trPr>
        <w:tc>
          <w:tcPr>
            <w:tcW w:w="1696" w:type="dxa"/>
            <w:tcBorders>
              <w:top w:val="single" w:sz="4" w:space="0" w:color="auto"/>
            </w:tcBorders>
            <w:shd w:val="clear" w:color="auto" w:fill="auto"/>
            <w:hideMark/>
          </w:tcPr>
          <w:p w14:paraId="4FF7D901" w14:textId="77777777" w:rsidR="002A4DDF" w:rsidRPr="00937C8B" w:rsidRDefault="002A4DDF" w:rsidP="009110ED">
            <w:pPr>
              <w:rPr>
                <w:rFonts w:ascii="Arial" w:hAnsi="Arial" w:cs="Arial"/>
                <w:sz w:val="12"/>
                <w:szCs w:val="12"/>
              </w:rPr>
            </w:pPr>
          </w:p>
        </w:tc>
        <w:tc>
          <w:tcPr>
            <w:tcW w:w="1843" w:type="dxa"/>
            <w:tcBorders>
              <w:top w:val="single" w:sz="4" w:space="0" w:color="auto"/>
            </w:tcBorders>
            <w:shd w:val="clear" w:color="auto" w:fill="auto"/>
            <w:hideMark/>
          </w:tcPr>
          <w:p w14:paraId="724CCB76" w14:textId="77777777" w:rsidR="002A4DDF" w:rsidRPr="00937C8B"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14:paraId="07266562" w14:textId="77777777" w:rsidR="002A4DDF" w:rsidRPr="00937C8B"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14:paraId="670C0949" w14:textId="77777777" w:rsidR="002A4DDF" w:rsidRPr="00937C8B" w:rsidRDefault="002A4DDF" w:rsidP="009110ED">
            <w:pPr>
              <w:rPr>
                <w:rFonts w:ascii="Arial" w:hAnsi="Arial" w:cs="Arial"/>
                <w:sz w:val="12"/>
                <w:szCs w:val="12"/>
              </w:rPr>
            </w:pPr>
          </w:p>
        </w:tc>
      </w:tr>
      <w:tr w:rsidR="002A4DDF" w:rsidRPr="00937C8B" w14:paraId="30C0F42C" w14:textId="77777777" w:rsidTr="00935676">
        <w:trPr>
          <w:cantSplit/>
        </w:trPr>
        <w:tc>
          <w:tcPr>
            <w:tcW w:w="1696" w:type="dxa"/>
            <w:tcBorders>
              <w:bottom w:val="single" w:sz="4" w:space="0" w:color="auto"/>
            </w:tcBorders>
            <w:shd w:val="clear" w:color="auto" w:fill="auto"/>
            <w:hideMark/>
          </w:tcPr>
          <w:p w14:paraId="00738453" w14:textId="77777777" w:rsidR="002A4DDF" w:rsidRPr="00937C8B"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14:paraId="6AA822CA" w14:textId="77777777" w:rsidR="002A4DDF" w:rsidRPr="00937C8B"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14:paraId="4F4B99E4" w14:textId="77777777" w:rsidR="002A4DDF" w:rsidRPr="00937C8B"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14:paraId="225BA475" w14:textId="77777777" w:rsidR="002A4DDF" w:rsidRPr="00937C8B" w:rsidRDefault="002A4DDF" w:rsidP="009110ED">
            <w:pPr>
              <w:rPr>
                <w:rFonts w:ascii="Arial" w:hAnsi="Arial" w:cs="Arial"/>
                <w:sz w:val="12"/>
                <w:szCs w:val="12"/>
              </w:rPr>
            </w:pPr>
          </w:p>
        </w:tc>
      </w:tr>
      <w:tr w:rsidR="002A4DDF" w:rsidRPr="00937C8B" w14:paraId="49231030" w14:textId="77777777" w:rsidTr="00935676">
        <w:trPr>
          <w:cantSplit/>
        </w:trPr>
        <w:tc>
          <w:tcPr>
            <w:tcW w:w="1696" w:type="dxa"/>
            <w:tcBorders>
              <w:top w:val="single" w:sz="4" w:space="0" w:color="auto"/>
              <w:left w:val="single" w:sz="4" w:space="0" w:color="auto"/>
            </w:tcBorders>
            <w:shd w:val="clear" w:color="auto" w:fill="auto"/>
            <w:hideMark/>
          </w:tcPr>
          <w:p w14:paraId="75640363" w14:textId="77777777" w:rsidR="002A4DDF" w:rsidRPr="00937C8B" w:rsidRDefault="002A4DDF" w:rsidP="009110ED">
            <w:pPr>
              <w:rPr>
                <w:rFonts w:ascii="Arial" w:hAnsi="Arial" w:cs="Arial"/>
                <w:sz w:val="12"/>
                <w:szCs w:val="12"/>
              </w:rPr>
            </w:pPr>
            <w:r>
              <w:rPr>
                <w:rFonts w:ascii="Arial" w:hAnsi="Arial"/>
                <w:sz w:val="12"/>
                <w:szCs w:val="12"/>
              </w:rPr>
              <w:t>Cantabrie</w:t>
            </w:r>
          </w:p>
        </w:tc>
        <w:tc>
          <w:tcPr>
            <w:tcW w:w="1843" w:type="dxa"/>
            <w:tcBorders>
              <w:top w:val="single" w:sz="4" w:space="0" w:color="auto"/>
            </w:tcBorders>
            <w:shd w:val="clear" w:color="auto" w:fill="auto"/>
            <w:hideMark/>
          </w:tcPr>
          <w:p w14:paraId="18E2F124" w14:textId="77777777" w:rsidR="002A4DDF" w:rsidRPr="00937C8B" w:rsidRDefault="002A4DDF" w:rsidP="009110ED">
            <w:pPr>
              <w:rPr>
                <w:rFonts w:ascii="Arial" w:hAnsi="Arial" w:cs="Arial"/>
                <w:sz w:val="12"/>
                <w:szCs w:val="12"/>
              </w:rPr>
            </w:pPr>
            <w:r>
              <w:rPr>
                <w:rFonts w:ascii="Arial" w:hAnsi="Arial"/>
                <w:sz w:val="12"/>
                <w:szCs w:val="12"/>
              </w:rPr>
              <w:t>Cantabrie</w:t>
            </w:r>
          </w:p>
        </w:tc>
        <w:tc>
          <w:tcPr>
            <w:tcW w:w="2268" w:type="dxa"/>
            <w:tcBorders>
              <w:top w:val="single" w:sz="4" w:space="0" w:color="auto"/>
            </w:tcBorders>
            <w:shd w:val="clear" w:color="auto" w:fill="F2F2F2"/>
            <w:hideMark/>
          </w:tcPr>
          <w:p w14:paraId="5549B570" w14:textId="77777777" w:rsidR="002A4DDF" w:rsidRPr="00937C8B" w:rsidRDefault="002A4DDF" w:rsidP="009110ED">
            <w:pPr>
              <w:rPr>
                <w:rFonts w:ascii="Arial" w:hAnsi="Arial" w:cs="Arial"/>
                <w:sz w:val="12"/>
                <w:szCs w:val="12"/>
              </w:rPr>
            </w:pPr>
            <w:r>
              <w:rPr>
                <w:rFonts w:ascii="Arial" w:hAnsi="Arial"/>
                <w:sz w:val="12"/>
                <w:szCs w:val="12"/>
              </w:rPr>
              <w:t>Anievas</w:t>
            </w:r>
          </w:p>
        </w:tc>
        <w:tc>
          <w:tcPr>
            <w:tcW w:w="2268" w:type="dxa"/>
            <w:tcBorders>
              <w:top w:val="single" w:sz="4" w:space="0" w:color="auto"/>
              <w:right w:val="single" w:sz="4" w:space="0" w:color="auto"/>
            </w:tcBorders>
            <w:shd w:val="clear" w:color="auto" w:fill="D9D9D9"/>
            <w:hideMark/>
          </w:tcPr>
          <w:p w14:paraId="07C26ED8" w14:textId="77777777" w:rsidR="002A4DDF" w:rsidRPr="00937C8B" w:rsidRDefault="002A4DDF" w:rsidP="009110ED">
            <w:pPr>
              <w:rPr>
                <w:rFonts w:ascii="Arial" w:hAnsi="Arial" w:cs="Arial"/>
                <w:sz w:val="12"/>
                <w:szCs w:val="12"/>
              </w:rPr>
            </w:pPr>
            <w:r>
              <w:rPr>
                <w:rFonts w:ascii="Arial" w:hAnsi="Arial"/>
                <w:sz w:val="12"/>
                <w:szCs w:val="12"/>
              </w:rPr>
              <w:t>San Roque de Riomiera</w:t>
            </w:r>
          </w:p>
        </w:tc>
      </w:tr>
      <w:tr w:rsidR="002A4DDF" w:rsidRPr="00937C8B" w14:paraId="410CC7D4" w14:textId="77777777" w:rsidTr="00935676">
        <w:trPr>
          <w:cantSplit/>
        </w:trPr>
        <w:tc>
          <w:tcPr>
            <w:tcW w:w="1696" w:type="dxa"/>
            <w:tcBorders>
              <w:left w:val="single" w:sz="4" w:space="0" w:color="auto"/>
            </w:tcBorders>
            <w:shd w:val="clear" w:color="auto" w:fill="auto"/>
          </w:tcPr>
          <w:p w14:paraId="6130D25C" w14:textId="77777777" w:rsidR="002A4DDF" w:rsidRPr="00937C8B" w:rsidRDefault="002A4DDF" w:rsidP="009110ED">
            <w:pPr>
              <w:rPr>
                <w:rFonts w:ascii="Arial" w:hAnsi="Arial" w:cs="Arial"/>
                <w:sz w:val="12"/>
                <w:szCs w:val="12"/>
              </w:rPr>
            </w:pPr>
          </w:p>
        </w:tc>
        <w:tc>
          <w:tcPr>
            <w:tcW w:w="1843" w:type="dxa"/>
            <w:shd w:val="clear" w:color="auto" w:fill="auto"/>
          </w:tcPr>
          <w:p w14:paraId="2902F3DB" w14:textId="77777777" w:rsidR="002A4DDF" w:rsidRPr="00937C8B" w:rsidRDefault="002A4DDF" w:rsidP="009110ED">
            <w:pPr>
              <w:rPr>
                <w:rFonts w:ascii="Arial" w:hAnsi="Arial" w:cs="Arial"/>
                <w:sz w:val="12"/>
                <w:szCs w:val="12"/>
              </w:rPr>
            </w:pPr>
          </w:p>
        </w:tc>
        <w:tc>
          <w:tcPr>
            <w:tcW w:w="2268" w:type="dxa"/>
            <w:shd w:val="clear" w:color="auto" w:fill="F2F2F2"/>
            <w:hideMark/>
          </w:tcPr>
          <w:p w14:paraId="7151E9A1" w14:textId="77777777" w:rsidR="002A4DDF" w:rsidRPr="00937C8B" w:rsidRDefault="002A4DDF" w:rsidP="009110ED">
            <w:pPr>
              <w:rPr>
                <w:rFonts w:ascii="Arial" w:hAnsi="Arial" w:cs="Arial"/>
                <w:sz w:val="12"/>
                <w:szCs w:val="12"/>
              </w:rPr>
            </w:pPr>
            <w:r>
              <w:rPr>
                <w:rFonts w:ascii="Arial" w:hAnsi="Arial"/>
                <w:sz w:val="12"/>
                <w:szCs w:val="12"/>
              </w:rPr>
              <w:t>Arenas de Iguña</w:t>
            </w:r>
          </w:p>
        </w:tc>
        <w:tc>
          <w:tcPr>
            <w:tcW w:w="2268" w:type="dxa"/>
            <w:tcBorders>
              <w:right w:val="single" w:sz="4" w:space="0" w:color="auto"/>
            </w:tcBorders>
            <w:shd w:val="clear" w:color="auto" w:fill="D9D9D9"/>
            <w:hideMark/>
          </w:tcPr>
          <w:p w14:paraId="6E7CB3DB" w14:textId="77777777" w:rsidR="002A4DDF" w:rsidRPr="00937C8B" w:rsidRDefault="002A4DDF" w:rsidP="009110ED">
            <w:pPr>
              <w:rPr>
                <w:rFonts w:ascii="Arial" w:hAnsi="Arial" w:cs="Arial"/>
                <w:sz w:val="12"/>
                <w:szCs w:val="12"/>
              </w:rPr>
            </w:pPr>
          </w:p>
        </w:tc>
      </w:tr>
      <w:tr w:rsidR="002A4DDF" w:rsidRPr="00937C8B" w14:paraId="79539C31" w14:textId="77777777" w:rsidTr="00935676">
        <w:trPr>
          <w:cantSplit/>
        </w:trPr>
        <w:tc>
          <w:tcPr>
            <w:tcW w:w="1696" w:type="dxa"/>
            <w:tcBorders>
              <w:left w:val="single" w:sz="4" w:space="0" w:color="auto"/>
            </w:tcBorders>
            <w:shd w:val="clear" w:color="auto" w:fill="auto"/>
          </w:tcPr>
          <w:p w14:paraId="225ADFD1" w14:textId="77777777" w:rsidR="002A4DDF" w:rsidRPr="00937C8B" w:rsidRDefault="002A4DDF" w:rsidP="009110ED">
            <w:pPr>
              <w:rPr>
                <w:rFonts w:ascii="Arial" w:hAnsi="Arial" w:cs="Arial"/>
                <w:sz w:val="12"/>
                <w:szCs w:val="12"/>
              </w:rPr>
            </w:pPr>
          </w:p>
        </w:tc>
        <w:tc>
          <w:tcPr>
            <w:tcW w:w="1843" w:type="dxa"/>
            <w:shd w:val="clear" w:color="auto" w:fill="auto"/>
          </w:tcPr>
          <w:p w14:paraId="13491990" w14:textId="77777777" w:rsidR="002A4DDF" w:rsidRPr="00937C8B" w:rsidRDefault="002A4DDF" w:rsidP="009110ED">
            <w:pPr>
              <w:rPr>
                <w:rFonts w:ascii="Arial" w:hAnsi="Arial" w:cs="Arial"/>
                <w:sz w:val="12"/>
                <w:szCs w:val="12"/>
              </w:rPr>
            </w:pPr>
          </w:p>
        </w:tc>
        <w:tc>
          <w:tcPr>
            <w:tcW w:w="2268" w:type="dxa"/>
            <w:shd w:val="clear" w:color="auto" w:fill="F2F2F2"/>
            <w:hideMark/>
          </w:tcPr>
          <w:p w14:paraId="76666B79" w14:textId="77777777" w:rsidR="002A4DDF" w:rsidRPr="00937C8B" w:rsidRDefault="002A4DDF" w:rsidP="009110ED">
            <w:pPr>
              <w:rPr>
                <w:rFonts w:ascii="Arial" w:hAnsi="Arial" w:cs="Arial"/>
                <w:sz w:val="12"/>
                <w:szCs w:val="12"/>
              </w:rPr>
            </w:pPr>
            <w:r>
              <w:rPr>
                <w:rFonts w:ascii="Arial" w:hAnsi="Arial"/>
                <w:sz w:val="12"/>
                <w:szCs w:val="12"/>
              </w:rPr>
              <w:t>Arredondo</w:t>
            </w:r>
          </w:p>
        </w:tc>
        <w:tc>
          <w:tcPr>
            <w:tcW w:w="2268" w:type="dxa"/>
            <w:tcBorders>
              <w:right w:val="single" w:sz="4" w:space="0" w:color="auto"/>
            </w:tcBorders>
            <w:shd w:val="clear" w:color="auto" w:fill="D9D9D9"/>
            <w:hideMark/>
          </w:tcPr>
          <w:p w14:paraId="5235E9B5" w14:textId="77777777" w:rsidR="002A4DDF" w:rsidRPr="00937C8B" w:rsidRDefault="002A4DDF" w:rsidP="009110ED">
            <w:pPr>
              <w:rPr>
                <w:rFonts w:ascii="Arial" w:hAnsi="Arial" w:cs="Arial"/>
                <w:sz w:val="12"/>
                <w:szCs w:val="12"/>
              </w:rPr>
            </w:pPr>
          </w:p>
        </w:tc>
      </w:tr>
      <w:tr w:rsidR="002A4DDF" w:rsidRPr="00937C8B" w14:paraId="755DAB32" w14:textId="77777777" w:rsidTr="00935676">
        <w:trPr>
          <w:cantSplit/>
        </w:trPr>
        <w:tc>
          <w:tcPr>
            <w:tcW w:w="1696" w:type="dxa"/>
            <w:tcBorders>
              <w:left w:val="single" w:sz="4" w:space="0" w:color="auto"/>
            </w:tcBorders>
            <w:shd w:val="clear" w:color="auto" w:fill="auto"/>
          </w:tcPr>
          <w:p w14:paraId="179C0308" w14:textId="77777777" w:rsidR="002A4DDF" w:rsidRPr="00937C8B" w:rsidRDefault="002A4DDF" w:rsidP="009110ED">
            <w:pPr>
              <w:rPr>
                <w:rFonts w:ascii="Arial" w:hAnsi="Arial" w:cs="Arial"/>
                <w:sz w:val="12"/>
                <w:szCs w:val="12"/>
              </w:rPr>
            </w:pPr>
          </w:p>
        </w:tc>
        <w:tc>
          <w:tcPr>
            <w:tcW w:w="1843" w:type="dxa"/>
            <w:shd w:val="clear" w:color="auto" w:fill="auto"/>
          </w:tcPr>
          <w:p w14:paraId="572D0DDD" w14:textId="77777777" w:rsidR="002A4DDF" w:rsidRPr="00937C8B" w:rsidRDefault="002A4DDF" w:rsidP="009110ED">
            <w:pPr>
              <w:rPr>
                <w:rFonts w:ascii="Arial" w:hAnsi="Arial" w:cs="Arial"/>
                <w:sz w:val="12"/>
                <w:szCs w:val="12"/>
              </w:rPr>
            </w:pPr>
          </w:p>
        </w:tc>
        <w:tc>
          <w:tcPr>
            <w:tcW w:w="2268" w:type="dxa"/>
            <w:shd w:val="clear" w:color="auto" w:fill="F2F2F2"/>
            <w:hideMark/>
          </w:tcPr>
          <w:p w14:paraId="7679CDD2" w14:textId="77777777" w:rsidR="002A4DDF" w:rsidRPr="00937C8B" w:rsidRDefault="002A4DDF" w:rsidP="009110ED">
            <w:pPr>
              <w:rPr>
                <w:rFonts w:ascii="Arial" w:hAnsi="Arial" w:cs="Arial"/>
                <w:sz w:val="12"/>
                <w:szCs w:val="12"/>
              </w:rPr>
            </w:pPr>
            <w:r>
              <w:rPr>
                <w:rFonts w:ascii="Arial" w:hAnsi="Arial"/>
                <w:sz w:val="12"/>
                <w:szCs w:val="12"/>
              </w:rPr>
              <w:t>Bárcena de Pie de Concha</w:t>
            </w:r>
          </w:p>
        </w:tc>
        <w:tc>
          <w:tcPr>
            <w:tcW w:w="2268" w:type="dxa"/>
            <w:tcBorders>
              <w:right w:val="single" w:sz="4" w:space="0" w:color="auto"/>
            </w:tcBorders>
            <w:shd w:val="clear" w:color="auto" w:fill="D9D9D9"/>
            <w:hideMark/>
          </w:tcPr>
          <w:p w14:paraId="39D9D8C4" w14:textId="77777777" w:rsidR="002A4DDF" w:rsidRPr="00937C8B" w:rsidRDefault="002A4DDF" w:rsidP="009110ED">
            <w:pPr>
              <w:rPr>
                <w:rFonts w:ascii="Arial" w:hAnsi="Arial" w:cs="Arial"/>
                <w:sz w:val="12"/>
                <w:szCs w:val="12"/>
              </w:rPr>
            </w:pPr>
          </w:p>
        </w:tc>
      </w:tr>
      <w:tr w:rsidR="002A4DDF" w:rsidRPr="00937C8B" w14:paraId="646E8D7C" w14:textId="77777777" w:rsidTr="00935676">
        <w:trPr>
          <w:cantSplit/>
        </w:trPr>
        <w:tc>
          <w:tcPr>
            <w:tcW w:w="1696" w:type="dxa"/>
            <w:tcBorders>
              <w:left w:val="single" w:sz="4" w:space="0" w:color="auto"/>
            </w:tcBorders>
            <w:shd w:val="clear" w:color="auto" w:fill="auto"/>
          </w:tcPr>
          <w:p w14:paraId="257D8EC2" w14:textId="77777777" w:rsidR="002A4DDF" w:rsidRPr="00937C8B" w:rsidRDefault="002A4DDF" w:rsidP="009110ED">
            <w:pPr>
              <w:rPr>
                <w:rFonts w:ascii="Arial" w:hAnsi="Arial" w:cs="Arial"/>
                <w:sz w:val="12"/>
                <w:szCs w:val="12"/>
              </w:rPr>
            </w:pPr>
          </w:p>
        </w:tc>
        <w:tc>
          <w:tcPr>
            <w:tcW w:w="1843" w:type="dxa"/>
            <w:shd w:val="clear" w:color="auto" w:fill="auto"/>
          </w:tcPr>
          <w:p w14:paraId="5CDA6A0A" w14:textId="77777777" w:rsidR="002A4DDF" w:rsidRPr="00937C8B" w:rsidRDefault="002A4DDF" w:rsidP="009110ED">
            <w:pPr>
              <w:rPr>
                <w:rFonts w:ascii="Arial" w:hAnsi="Arial" w:cs="Arial"/>
                <w:sz w:val="12"/>
                <w:szCs w:val="12"/>
              </w:rPr>
            </w:pPr>
          </w:p>
        </w:tc>
        <w:tc>
          <w:tcPr>
            <w:tcW w:w="2268" w:type="dxa"/>
            <w:shd w:val="clear" w:color="auto" w:fill="F2F2F2"/>
            <w:hideMark/>
          </w:tcPr>
          <w:p w14:paraId="4222D900" w14:textId="77777777" w:rsidR="002A4DDF" w:rsidRPr="00937C8B" w:rsidRDefault="002A4DDF" w:rsidP="009110ED">
            <w:pPr>
              <w:rPr>
                <w:rFonts w:ascii="Arial" w:hAnsi="Arial" w:cs="Arial"/>
                <w:sz w:val="12"/>
                <w:szCs w:val="12"/>
              </w:rPr>
            </w:pPr>
            <w:r>
              <w:rPr>
                <w:rFonts w:ascii="Arial" w:hAnsi="Arial"/>
                <w:sz w:val="12"/>
                <w:szCs w:val="12"/>
              </w:rPr>
              <w:t>Cabezón de la Sal</w:t>
            </w:r>
          </w:p>
        </w:tc>
        <w:tc>
          <w:tcPr>
            <w:tcW w:w="2268" w:type="dxa"/>
            <w:tcBorders>
              <w:right w:val="single" w:sz="4" w:space="0" w:color="auto"/>
            </w:tcBorders>
            <w:shd w:val="clear" w:color="auto" w:fill="D9D9D9"/>
            <w:hideMark/>
          </w:tcPr>
          <w:p w14:paraId="4DEBA6E5" w14:textId="77777777" w:rsidR="002A4DDF" w:rsidRPr="00937C8B" w:rsidRDefault="002A4DDF" w:rsidP="009110ED">
            <w:pPr>
              <w:rPr>
                <w:rFonts w:ascii="Arial" w:hAnsi="Arial" w:cs="Arial"/>
                <w:sz w:val="12"/>
                <w:szCs w:val="12"/>
              </w:rPr>
            </w:pPr>
          </w:p>
        </w:tc>
      </w:tr>
      <w:tr w:rsidR="002A4DDF" w:rsidRPr="00937C8B" w14:paraId="7B292209" w14:textId="77777777" w:rsidTr="00935676">
        <w:trPr>
          <w:cantSplit/>
        </w:trPr>
        <w:tc>
          <w:tcPr>
            <w:tcW w:w="1696" w:type="dxa"/>
            <w:tcBorders>
              <w:left w:val="single" w:sz="4" w:space="0" w:color="auto"/>
            </w:tcBorders>
            <w:shd w:val="clear" w:color="auto" w:fill="auto"/>
          </w:tcPr>
          <w:p w14:paraId="0036B647" w14:textId="77777777" w:rsidR="002A4DDF" w:rsidRPr="00937C8B" w:rsidRDefault="002A4DDF" w:rsidP="009110ED">
            <w:pPr>
              <w:rPr>
                <w:rFonts w:ascii="Arial" w:hAnsi="Arial" w:cs="Arial"/>
                <w:sz w:val="12"/>
                <w:szCs w:val="12"/>
              </w:rPr>
            </w:pPr>
          </w:p>
        </w:tc>
        <w:tc>
          <w:tcPr>
            <w:tcW w:w="1843" w:type="dxa"/>
            <w:shd w:val="clear" w:color="auto" w:fill="auto"/>
          </w:tcPr>
          <w:p w14:paraId="4DFB684E" w14:textId="77777777" w:rsidR="002A4DDF" w:rsidRPr="00937C8B" w:rsidRDefault="002A4DDF" w:rsidP="009110ED">
            <w:pPr>
              <w:rPr>
                <w:rFonts w:ascii="Arial" w:hAnsi="Arial" w:cs="Arial"/>
                <w:sz w:val="12"/>
                <w:szCs w:val="12"/>
              </w:rPr>
            </w:pPr>
          </w:p>
        </w:tc>
        <w:tc>
          <w:tcPr>
            <w:tcW w:w="2268" w:type="dxa"/>
            <w:shd w:val="clear" w:color="auto" w:fill="F2F2F2"/>
            <w:hideMark/>
          </w:tcPr>
          <w:p w14:paraId="40DD601D" w14:textId="77777777" w:rsidR="002A4DDF" w:rsidRPr="00937C8B" w:rsidRDefault="002A4DDF" w:rsidP="009110ED">
            <w:pPr>
              <w:rPr>
                <w:rFonts w:ascii="Arial" w:hAnsi="Arial" w:cs="Arial"/>
                <w:sz w:val="12"/>
                <w:szCs w:val="12"/>
              </w:rPr>
            </w:pPr>
            <w:r>
              <w:rPr>
                <w:rFonts w:ascii="Arial" w:hAnsi="Arial"/>
                <w:sz w:val="12"/>
                <w:szCs w:val="12"/>
              </w:rPr>
              <w:t>Cabezón de Liébana</w:t>
            </w:r>
          </w:p>
        </w:tc>
        <w:tc>
          <w:tcPr>
            <w:tcW w:w="2268" w:type="dxa"/>
            <w:tcBorders>
              <w:right w:val="single" w:sz="4" w:space="0" w:color="auto"/>
            </w:tcBorders>
            <w:shd w:val="clear" w:color="auto" w:fill="D9D9D9"/>
            <w:hideMark/>
          </w:tcPr>
          <w:p w14:paraId="07BD105B" w14:textId="77777777" w:rsidR="002A4DDF" w:rsidRPr="00937C8B" w:rsidRDefault="002A4DDF" w:rsidP="009110ED">
            <w:pPr>
              <w:rPr>
                <w:rFonts w:ascii="Arial" w:hAnsi="Arial" w:cs="Arial"/>
                <w:sz w:val="12"/>
                <w:szCs w:val="12"/>
              </w:rPr>
            </w:pPr>
          </w:p>
        </w:tc>
      </w:tr>
      <w:tr w:rsidR="002A4DDF" w:rsidRPr="00937C8B" w14:paraId="11C9799F" w14:textId="77777777" w:rsidTr="00935676">
        <w:trPr>
          <w:cantSplit/>
        </w:trPr>
        <w:tc>
          <w:tcPr>
            <w:tcW w:w="1696" w:type="dxa"/>
            <w:tcBorders>
              <w:left w:val="single" w:sz="4" w:space="0" w:color="auto"/>
            </w:tcBorders>
            <w:shd w:val="clear" w:color="auto" w:fill="auto"/>
          </w:tcPr>
          <w:p w14:paraId="740BAF33" w14:textId="77777777" w:rsidR="002A4DDF" w:rsidRPr="00937C8B" w:rsidRDefault="002A4DDF" w:rsidP="009110ED">
            <w:pPr>
              <w:rPr>
                <w:rFonts w:ascii="Arial" w:hAnsi="Arial" w:cs="Arial"/>
                <w:sz w:val="12"/>
                <w:szCs w:val="12"/>
              </w:rPr>
            </w:pPr>
          </w:p>
        </w:tc>
        <w:tc>
          <w:tcPr>
            <w:tcW w:w="1843" w:type="dxa"/>
            <w:shd w:val="clear" w:color="auto" w:fill="auto"/>
          </w:tcPr>
          <w:p w14:paraId="7F4D2226" w14:textId="77777777" w:rsidR="002A4DDF" w:rsidRPr="00937C8B" w:rsidRDefault="002A4DDF" w:rsidP="009110ED">
            <w:pPr>
              <w:rPr>
                <w:rFonts w:ascii="Arial" w:hAnsi="Arial" w:cs="Arial"/>
                <w:sz w:val="12"/>
                <w:szCs w:val="12"/>
              </w:rPr>
            </w:pPr>
          </w:p>
        </w:tc>
        <w:tc>
          <w:tcPr>
            <w:tcW w:w="2268" w:type="dxa"/>
            <w:shd w:val="clear" w:color="auto" w:fill="F2F2F2"/>
            <w:hideMark/>
          </w:tcPr>
          <w:p w14:paraId="4D23F7ED" w14:textId="77777777" w:rsidR="002A4DDF" w:rsidRPr="00937C8B" w:rsidRDefault="002A4DDF" w:rsidP="009110ED">
            <w:pPr>
              <w:rPr>
                <w:rFonts w:ascii="Arial" w:hAnsi="Arial" w:cs="Arial"/>
                <w:sz w:val="12"/>
                <w:szCs w:val="12"/>
              </w:rPr>
            </w:pPr>
            <w:r>
              <w:rPr>
                <w:rFonts w:ascii="Arial" w:hAnsi="Arial"/>
                <w:sz w:val="12"/>
                <w:szCs w:val="12"/>
              </w:rPr>
              <w:t>Cabuérniga</w:t>
            </w:r>
          </w:p>
        </w:tc>
        <w:tc>
          <w:tcPr>
            <w:tcW w:w="2268" w:type="dxa"/>
            <w:tcBorders>
              <w:right w:val="single" w:sz="4" w:space="0" w:color="auto"/>
            </w:tcBorders>
            <w:shd w:val="clear" w:color="auto" w:fill="D9D9D9"/>
            <w:hideMark/>
          </w:tcPr>
          <w:p w14:paraId="77EB1D21" w14:textId="77777777" w:rsidR="002A4DDF" w:rsidRPr="00937C8B" w:rsidRDefault="002A4DDF" w:rsidP="009110ED">
            <w:pPr>
              <w:rPr>
                <w:rFonts w:ascii="Arial" w:hAnsi="Arial" w:cs="Arial"/>
                <w:sz w:val="12"/>
                <w:szCs w:val="12"/>
              </w:rPr>
            </w:pPr>
          </w:p>
        </w:tc>
      </w:tr>
      <w:tr w:rsidR="002A4DDF" w:rsidRPr="00937C8B" w14:paraId="711402D9" w14:textId="77777777" w:rsidTr="00935676">
        <w:trPr>
          <w:cantSplit/>
        </w:trPr>
        <w:tc>
          <w:tcPr>
            <w:tcW w:w="1696" w:type="dxa"/>
            <w:tcBorders>
              <w:left w:val="single" w:sz="4" w:space="0" w:color="auto"/>
            </w:tcBorders>
            <w:shd w:val="clear" w:color="auto" w:fill="auto"/>
          </w:tcPr>
          <w:p w14:paraId="794B7B56" w14:textId="77777777" w:rsidR="002A4DDF" w:rsidRPr="00937C8B" w:rsidRDefault="002A4DDF" w:rsidP="009110ED">
            <w:pPr>
              <w:rPr>
                <w:rFonts w:ascii="Arial" w:hAnsi="Arial" w:cs="Arial"/>
                <w:sz w:val="12"/>
                <w:szCs w:val="12"/>
              </w:rPr>
            </w:pPr>
          </w:p>
        </w:tc>
        <w:tc>
          <w:tcPr>
            <w:tcW w:w="1843" w:type="dxa"/>
            <w:shd w:val="clear" w:color="auto" w:fill="auto"/>
          </w:tcPr>
          <w:p w14:paraId="5FC78362" w14:textId="77777777" w:rsidR="002A4DDF" w:rsidRPr="00937C8B" w:rsidRDefault="002A4DDF" w:rsidP="009110ED">
            <w:pPr>
              <w:rPr>
                <w:rFonts w:ascii="Arial" w:hAnsi="Arial" w:cs="Arial"/>
                <w:sz w:val="12"/>
                <w:szCs w:val="12"/>
              </w:rPr>
            </w:pPr>
          </w:p>
        </w:tc>
        <w:tc>
          <w:tcPr>
            <w:tcW w:w="2268" w:type="dxa"/>
            <w:shd w:val="clear" w:color="auto" w:fill="F2F2F2"/>
            <w:hideMark/>
          </w:tcPr>
          <w:p w14:paraId="04082B3C" w14:textId="77777777" w:rsidR="002A4DDF" w:rsidRPr="00937C8B" w:rsidRDefault="002A4DDF" w:rsidP="009110ED">
            <w:pPr>
              <w:rPr>
                <w:rFonts w:ascii="Arial" w:hAnsi="Arial" w:cs="Arial"/>
                <w:sz w:val="12"/>
                <w:szCs w:val="12"/>
              </w:rPr>
            </w:pPr>
            <w:r>
              <w:rPr>
                <w:rFonts w:ascii="Arial" w:hAnsi="Arial"/>
                <w:sz w:val="12"/>
                <w:szCs w:val="12"/>
              </w:rPr>
              <w:t>Camaleño</w:t>
            </w:r>
          </w:p>
        </w:tc>
        <w:tc>
          <w:tcPr>
            <w:tcW w:w="2268" w:type="dxa"/>
            <w:tcBorders>
              <w:right w:val="single" w:sz="4" w:space="0" w:color="auto"/>
            </w:tcBorders>
            <w:shd w:val="clear" w:color="auto" w:fill="D9D9D9"/>
            <w:hideMark/>
          </w:tcPr>
          <w:p w14:paraId="486F4E19" w14:textId="77777777" w:rsidR="002A4DDF" w:rsidRPr="00937C8B" w:rsidRDefault="002A4DDF" w:rsidP="009110ED">
            <w:pPr>
              <w:rPr>
                <w:rFonts w:ascii="Arial" w:hAnsi="Arial" w:cs="Arial"/>
                <w:sz w:val="12"/>
                <w:szCs w:val="12"/>
              </w:rPr>
            </w:pPr>
          </w:p>
        </w:tc>
      </w:tr>
      <w:tr w:rsidR="002A4DDF" w:rsidRPr="00937C8B" w14:paraId="3AEEFA9A" w14:textId="77777777" w:rsidTr="00935676">
        <w:trPr>
          <w:cantSplit/>
        </w:trPr>
        <w:tc>
          <w:tcPr>
            <w:tcW w:w="1696" w:type="dxa"/>
            <w:tcBorders>
              <w:left w:val="single" w:sz="4" w:space="0" w:color="auto"/>
            </w:tcBorders>
            <w:shd w:val="clear" w:color="auto" w:fill="auto"/>
          </w:tcPr>
          <w:p w14:paraId="27BE4302" w14:textId="77777777" w:rsidR="002A4DDF" w:rsidRPr="00937C8B" w:rsidRDefault="002A4DDF" w:rsidP="009110ED">
            <w:pPr>
              <w:rPr>
                <w:rFonts w:ascii="Arial" w:hAnsi="Arial" w:cs="Arial"/>
                <w:sz w:val="12"/>
                <w:szCs w:val="12"/>
              </w:rPr>
            </w:pPr>
          </w:p>
        </w:tc>
        <w:tc>
          <w:tcPr>
            <w:tcW w:w="1843" w:type="dxa"/>
            <w:shd w:val="clear" w:color="auto" w:fill="auto"/>
          </w:tcPr>
          <w:p w14:paraId="491D6716" w14:textId="77777777" w:rsidR="002A4DDF" w:rsidRPr="00937C8B" w:rsidRDefault="002A4DDF" w:rsidP="009110ED">
            <w:pPr>
              <w:rPr>
                <w:rFonts w:ascii="Arial" w:hAnsi="Arial" w:cs="Arial"/>
                <w:sz w:val="12"/>
                <w:szCs w:val="12"/>
              </w:rPr>
            </w:pPr>
          </w:p>
        </w:tc>
        <w:tc>
          <w:tcPr>
            <w:tcW w:w="2268" w:type="dxa"/>
            <w:shd w:val="clear" w:color="auto" w:fill="F2F2F2"/>
            <w:hideMark/>
          </w:tcPr>
          <w:p w14:paraId="08089C26" w14:textId="77777777" w:rsidR="002A4DDF" w:rsidRPr="00937C8B" w:rsidRDefault="002A4DDF" w:rsidP="009110ED">
            <w:pPr>
              <w:rPr>
                <w:rFonts w:ascii="Arial" w:hAnsi="Arial" w:cs="Arial"/>
                <w:sz w:val="12"/>
                <w:szCs w:val="12"/>
              </w:rPr>
            </w:pPr>
            <w:r>
              <w:rPr>
                <w:rFonts w:ascii="Arial" w:hAnsi="Arial"/>
                <w:sz w:val="12"/>
                <w:szCs w:val="12"/>
              </w:rPr>
              <w:t>Camargo</w:t>
            </w:r>
          </w:p>
        </w:tc>
        <w:tc>
          <w:tcPr>
            <w:tcW w:w="2268" w:type="dxa"/>
            <w:tcBorders>
              <w:right w:val="single" w:sz="4" w:space="0" w:color="auto"/>
            </w:tcBorders>
            <w:shd w:val="clear" w:color="auto" w:fill="D9D9D9"/>
            <w:hideMark/>
          </w:tcPr>
          <w:p w14:paraId="4D5B1986" w14:textId="77777777" w:rsidR="002A4DDF" w:rsidRPr="00937C8B" w:rsidRDefault="002A4DDF" w:rsidP="009110ED">
            <w:pPr>
              <w:rPr>
                <w:rFonts w:ascii="Arial" w:hAnsi="Arial" w:cs="Arial"/>
                <w:sz w:val="12"/>
                <w:szCs w:val="12"/>
              </w:rPr>
            </w:pPr>
          </w:p>
        </w:tc>
      </w:tr>
      <w:tr w:rsidR="002A4DDF" w:rsidRPr="00937C8B" w14:paraId="51A19D0C" w14:textId="77777777" w:rsidTr="00935676">
        <w:trPr>
          <w:cantSplit/>
        </w:trPr>
        <w:tc>
          <w:tcPr>
            <w:tcW w:w="1696" w:type="dxa"/>
            <w:tcBorders>
              <w:left w:val="single" w:sz="4" w:space="0" w:color="auto"/>
            </w:tcBorders>
            <w:shd w:val="clear" w:color="auto" w:fill="auto"/>
          </w:tcPr>
          <w:p w14:paraId="7D10C660" w14:textId="77777777" w:rsidR="002A4DDF" w:rsidRPr="00937C8B" w:rsidRDefault="002A4DDF" w:rsidP="009110ED">
            <w:pPr>
              <w:rPr>
                <w:rFonts w:ascii="Arial" w:hAnsi="Arial" w:cs="Arial"/>
                <w:sz w:val="12"/>
                <w:szCs w:val="12"/>
              </w:rPr>
            </w:pPr>
          </w:p>
        </w:tc>
        <w:tc>
          <w:tcPr>
            <w:tcW w:w="1843" w:type="dxa"/>
            <w:shd w:val="clear" w:color="auto" w:fill="auto"/>
          </w:tcPr>
          <w:p w14:paraId="07974851" w14:textId="77777777" w:rsidR="002A4DDF" w:rsidRPr="00937C8B" w:rsidRDefault="002A4DDF" w:rsidP="009110ED">
            <w:pPr>
              <w:rPr>
                <w:rFonts w:ascii="Arial" w:hAnsi="Arial" w:cs="Arial"/>
                <w:sz w:val="12"/>
                <w:szCs w:val="12"/>
              </w:rPr>
            </w:pPr>
          </w:p>
        </w:tc>
        <w:tc>
          <w:tcPr>
            <w:tcW w:w="2268" w:type="dxa"/>
            <w:shd w:val="clear" w:color="auto" w:fill="F2F2F2"/>
            <w:hideMark/>
          </w:tcPr>
          <w:p w14:paraId="51BDED38" w14:textId="77777777" w:rsidR="002A4DDF" w:rsidRPr="00937C8B" w:rsidRDefault="002A4DDF" w:rsidP="009110ED">
            <w:pPr>
              <w:rPr>
                <w:rFonts w:ascii="Arial" w:hAnsi="Arial" w:cs="Arial"/>
                <w:sz w:val="12"/>
                <w:szCs w:val="12"/>
              </w:rPr>
            </w:pPr>
            <w:r>
              <w:rPr>
                <w:rFonts w:ascii="Arial" w:hAnsi="Arial"/>
                <w:sz w:val="12"/>
                <w:szCs w:val="12"/>
              </w:rPr>
              <w:t>Castro-Urdiales</w:t>
            </w:r>
          </w:p>
        </w:tc>
        <w:tc>
          <w:tcPr>
            <w:tcW w:w="2268" w:type="dxa"/>
            <w:tcBorders>
              <w:right w:val="single" w:sz="4" w:space="0" w:color="auto"/>
            </w:tcBorders>
            <w:shd w:val="clear" w:color="auto" w:fill="D9D9D9"/>
            <w:hideMark/>
          </w:tcPr>
          <w:p w14:paraId="7E42541B" w14:textId="77777777" w:rsidR="002A4DDF" w:rsidRPr="00937C8B" w:rsidRDefault="002A4DDF" w:rsidP="009110ED">
            <w:pPr>
              <w:rPr>
                <w:rFonts w:ascii="Arial" w:hAnsi="Arial" w:cs="Arial"/>
                <w:sz w:val="12"/>
                <w:szCs w:val="12"/>
              </w:rPr>
            </w:pPr>
          </w:p>
        </w:tc>
      </w:tr>
      <w:tr w:rsidR="002A4DDF" w:rsidRPr="00937C8B" w14:paraId="76DCCCDE" w14:textId="77777777" w:rsidTr="00935676">
        <w:trPr>
          <w:cantSplit/>
        </w:trPr>
        <w:tc>
          <w:tcPr>
            <w:tcW w:w="1696" w:type="dxa"/>
            <w:tcBorders>
              <w:left w:val="single" w:sz="4" w:space="0" w:color="auto"/>
            </w:tcBorders>
            <w:shd w:val="clear" w:color="auto" w:fill="auto"/>
          </w:tcPr>
          <w:p w14:paraId="4012BE56" w14:textId="77777777" w:rsidR="002A4DDF" w:rsidRPr="00937C8B" w:rsidRDefault="002A4DDF" w:rsidP="009110ED">
            <w:pPr>
              <w:rPr>
                <w:rFonts w:ascii="Arial" w:hAnsi="Arial" w:cs="Arial"/>
                <w:sz w:val="12"/>
                <w:szCs w:val="12"/>
              </w:rPr>
            </w:pPr>
          </w:p>
        </w:tc>
        <w:tc>
          <w:tcPr>
            <w:tcW w:w="1843" w:type="dxa"/>
            <w:shd w:val="clear" w:color="auto" w:fill="auto"/>
          </w:tcPr>
          <w:p w14:paraId="2A1CAF14" w14:textId="77777777" w:rsidR="002A4DDF" w:rsidRPr="00937C8B" w:rsidRDefault="002A4DDF" w:rsidP="009110ED">
            <w:pPr>
              <w:rPr>
                <w:rFonts w:ascii="Arial" w:hAnsi="Arial" w:cs="Arial"/>
                <w:sz w:val="12"/>
                <w:szCs w:val="12"/>
              </w:rPr>
            </w:pPr>
          </w:p>
        </w:tc>
        <w:tc>
          <w:tcPr>
            <w:tcW w:w="2268" w:type="dxa"/>
            <w:shd w:val="clear" w:color="auto" w:fill="F2F2F2"/>
            <w:hideMark/>
          </w:tcPr>
          <w:p w14:paraId="297550D5" w14:textId="77777777" w:rsidR="002A4DDF" w:rsidRPr="00937C8B" w:rsidRDefault="002A4DDF" w:rsidP="009110ED">
            <w:pPr>
              <w:rPr>
                <w:rFonts w:ascii="Arial" w:hAnsi="Arial" w:cs="Arial"/>
                <w:sz w:val="12"/>
                <w:szCs w:val="12"/>
              </w:rPr>
            </w:pPr>
            <w:r>
              <w:rPr>
                <w:rFonts w:ascii="Arial" w:hAnsi="Arial"/>
                <w:sz w:val="12"/>
                <w:szCs w:val="12"/>
              </w:rPr>
              <w:t>Cieza</w:t>
            </w:r>
          </w:p>
        </w:tc>
        <w:tc>
          <w:tcPr>
            <w:tcW w:w="2268" w:type="dxa"/>
            <w:tcBorders>
              <w:right w:val="single" w:sz="4" w:space="0" w:color="auto"/>
            </w:tcBorders>
            <w:shd w:val="clear" w:color="auto" w:fill="D9D9D9"/>
            <w:hideMark/>
          </w:tcPr>
          <w:p w14:paraId="14AAC88F" w14:textId="77777777" w:rsidR="002A4DDF" w:rsidRPr="00937C8B" w:rsidRDefault="002A4DDF" w:rsidP="009110ED">
            <w:pPr>
              <w:rPr>
                <w:rFonts w:ascii="Arial" w:hAnsi="Arial" w:cs="Arial"/>
                <w:sz w:val="12"/>
                <w:szCs w:val="12"/>
              </w:rPr>
            </w:pPr>
          </w:p>
        </w:tc>
      </w:tr>
      <w:tr w:rsidR="002A4DDF" w:rsidRPr="00937C8B" w14:paraId="2324809D" w14:textId="77777777" w:rsidTr="00935676">
        <w:trPr>
          <w:cantSplit/>
        </w:trPr>
        <w:tc>
          <w:tcPr>
            <w:tcW w:w="1696" w:type="dxa"/>
            <w:tcBorders>
              <w:left w:val="single" w:sz="4" w:space="0" w:color="auto"/>
            </w:tcBorders>
            <w:shd w:val="clear" w:color="auto" w:fill="auto"/>
          </w:tcPr>
          <w:p w14:paraId="0FAC6653" w14:textId="77777777" w:rsidR="002A4DDF" w:rsidRPr="00937C8B" w:rsidRDefault="002A4DDF" w:rsidP="009110ED">
            <w:pPr>
              <w:rPr>
                <w:rFonts w:ascii="Arial" w:hAnsi="Arial" w:cs="Arial"/>
                <w:sz w:val="12"/>
                <w:szCs w:val="12"/>
              </w:rPr>
            </w:pPr>
          </w:p>
        </w:tc>
        <w:tc>
          <w:tcPr>
            <w:tcW w:w="1843" w:type="dxa"/>
            <w:shd w:val="clear" w:color="auto" w:fill="auto"/>
          </w:tcPr>
          <w:p w14:paraId="63DE336D" w14:textId="77777777" w:rsidR="002A4DDF" w:rsidRPr="00937C8B" w:rsidRDefault="002A4DDF" w:rsidP="009110ED">
            <w:pPr>
              <w:rPr>
                <w:rFonts w:ascii="Arial" w:hAnsi="Arial" w:cs="Arial"/>
                <w:sz w:val="12"/>
                <w:szCs w:val="12"/>
              </w:rPr>
            </w:pPr>
          </w:p>
        </w:tc>
        <w:tc>
          <w:tcPr>
            <w:tcW w:w="2268" w:type="dxa"/>
            <w:shd w:val="clear" w:color="auto" w:fill="F2F2F2"/>
            <w:hideMark/>
          </w:tcPr>
          <w:p w14:paraId="5E67BC0E" w14:textId="77777777" w:rsidR="002A4DDF" w:rsidRPr="00937C8B" w:rsidRDefault="002A4DDF" w:rsidP="009110ED">
            <w:pPr>
              <w:rPr>
                <w:rFonts w:ascii="Arial" w:hAnsi="Arial" w:cs="Arial"/>
                <w:sz w:val="12"/>
                <w:szCs w:val="12"/>
              </w:rPr>
            </w:pPr>
            <w:r>
              <w:rPr>
                <w:rFonts w:ascii="Arial" w:hAnsi="Arial"/>
                <w:sz w:val="12"/>
                <w:szCs w:val="12"/>
              </w:rPr>
              <w:t>Cillorigo de Liébana</w:t>
            </w:r>
          </w:p>
        </w:tc>
        <w:tc>
          <w:tcPr>
            <w:tcW w:w="2268" w:type="dxa"/>
            <w:tcBorders>
              <w:right w:val="single" w:sz="4" w:space="0" w:color="auto"/>
            </w:tcBorders>
            <w:shd w:val="clear" w:color="auto" w:fill="D9D9D9"/>
            <w:hideMark/>
          </w:tcPr>
          <w:p w14:paraId="4CA64EA9" w14:textId="77777777" w:rsidR="002A4DDF" w:rsidRPr="00937C8B" w:rsidRDefault="002A4DDF" w:rsidP="009110ED">
            <w:pPr>
              <w:rPr>
                <w:rFonts w:ascii="Arial" w:hAnsi="Arial" w:cs="Arial"/>
                <w:sz w:val="12"/>
                <w:szCs w:val="12"/>
              </w:rPr>
            </w:pPr>
          </w:p>
        </w:tc>
      </w:tr>
      <w:tr w:rsidR="002A4DDF" w:rsidRPr="00937C8B" w14:paraId="3F565DD4" w14:textId="77777777" w:rsidTr="00935676">
        <w:trPr>
          <w:cantSplit/>
        </w:trPr>
        <w:tc>
          <w:tcPr>
            <w:tcW w:w="1696" w:type="dxa"/>
            <w:tcBorders>
              <w:left w:val="single" w:sz="4" w:space="0" w:color="auto"/>
            </w:tcBorders>
            <w:shd w:val="clear" w:color="auto" w:fill="auto"/>
          </w:tcPr>
          <w:p w14:paraId="4A66CAFF" w14:textId="77777777" w:rsidR="002A4DDF" w:rsidRPr="00937C8B" w:rsidRDefault="002A4DDF" w:rsidP="009110ED">
            <w:pPr>
              <w:rPr>
                <w:rFonts w:ascii="Arial" w:hAnsi="Arial" w:cs="Arial"/>
                <w:sz w:val="12"/>
                <w:szCs w:val="12"/>
              </w:rPr>
            </w:pPr>
          </w:p>
        </w:tc>
        <w:tc>
          <w:tcPr>
            <w:tcW w:w="1843" w:type="dxa"/>
            <w:shd w:val="clear" w:color="auto" w:fill="auto"/>
          </w:tcPr>
          <w:p w14:paraId="648668CF" w14:textId="77777777" w:rsidR="002A4DDF" w:rsidRPr="00937C8B" w:rsidRDefault="002A4DDF" w:rsidP="009110ED">
            <w:pPr>
              <w:rPr>
                <w:rFonts w:ascii="Arial" w:hAnsi="Arial" w:cs="Arial"/>
                <w:sz w:val="12"/>
                <w:szCs w:val="12"/>
              </w:rPr>
            </w:pPr>
          </w:p>
        </w:tc>
        <w:tc>
          <w:tcPr>
            <w:tcW w:w="2268" w:type="dxa"/>
            <w:shd w:val="clear" w:color="auto" w:fill="F2F2F2"/>
            <w:hideMark/>
          </w:tcPr>
          <w:p w14:paraId="136FB4AE" w14:textId="77777777" w:rsidR="002A4DDF" w:rsidRPr="00937C8B" w:rsidRDefault="002A4DDF" w:rsidP="009110ED">
            <w:pPr>
              <w:rPr>
                <w:rFonts w:ascii="Arial" w:hAnsi="Arial" w:cs="Arial"/>
                <w:sz w:val="12"/>
                <w:szCs w:val="12"/>
              </w:rPr>
            </w:pPr>
            <w:r>
              <w:rPr>
                <w:rFonts w:ascii="Arial" w:hAnsi="Arial"/>
                <w:sz w:val="12"/>
                <w:szCs w:val="12"/>
              </w:rPr>
              <w:t>El Astillero</w:t>
            </w:r>
          </w:p>
        </w:tc>
        <w:tc>
          <w:tcPr>
            <w:tcW w:w="2268" w:type="dxa"/>
            <w:tcBorders>
              <w:right w:val="single" w:sz="4" w:space="0" w:color="auto"/>
            </w:tcBorders>
            <w:shd w:val="clear" w:color="auto" w:fill="D9D9D9"/>
            <w:hideMark/>
          </w:tcPr>
          <w:p w14:paraId="3F7324C5" w14:textId="77777777" w:rsidR="002A4DDF" w:rsidRPr="00937C8B" w:rsidRDefault="002A4DDF" w:rsidP="009110ED">
            <w:pPr>
              <w:rPr>
                <w:rFonts w:ascii="Arial" w:hAnsi="Arial" w:cs="Arial"/>
                <w:sz w:val="12"/>
                <w:szCs w:val="12"/>
              </w:rPr>
            </w:pPr>
          </w:p>
        </w:tc>
      </w:tr>
      <w:tr w:rsidR="002A4DDF" w:rsidRPr="00937C8B" w14:paraId="511330FE" w14:textId="77777777" w:rsidTr="00935676">
        <w:trPr>
          <w:cantSplit/>
        </w:trPr>
        <w:tc>
          <w:tcPr>
            <w:tcW w:w="1696" w:type="dxa"/>
            <w:tcBorders>
              <w:left w:val="single" w:sz="4" w:space="0" w:color="auto"/>
            </w:tcBorders>
            <w:shd w:val="clear" w:color="auto" w:fill="auto"/>
          </w:tcPr>
          <w:p w14:paraId="6F5A53B2" w14:textId="77777777" w:rsidR="002A4DDF" w:rsidRPr="00937C8B" w:rsidRDefault="002A4DDF" w:rsidP="009110ED">
            <w:pPr>
              <w:rPr>
                <w:rFonts w:ascii="Arial" w:hAnsi="Arial" w:cs="Arial"/>
                <w:sz w:val="12"/>
                <w:szCs w:val="12"/>
              </w:rPr>
            </w:pPr>
          </w:p>
        </w:tc>
        <w:tc>
          <w:tcPr>
            <w:tcW w:w="1843" w:type="dxa"/>
            <w:shd w:val="clear" w:color="auto" w:fill="auto"/>
          </w:tcPr>
          <w:p w14:paraId="7749D104" w14:textId="77777777" w:rsidR="002A4DDF" w:rsidRPr="00937C8B" w:rsidRDefault="002A4DDF" w:rsidP="009110ED">
            <w:pPr>
              <w:rPr>
                <w:rFonts w:ascii="Arial" w:hAnsi="Arial" w:cs="Arial"/>
                <w:sz w:val="12"/>
                <w:szCs w:val="12"/>
              </w:rPr>
            </w:pPr>
          </w:p>
        </w:tc>
        <w:tc>
          <w:tcPr>
            <w:tcW w:w="2268" w:type="dxa"/>
            <w:shd w:val="clear" w:color="auto" w:fill="F2F2F2"/>
            <w:hideMark/>
          </w:tcPr>
          <w:p w14:paraId="65E4824F" w14:textId="77777777" w:rsidR="002A4DDF" w:rsidRPr="00937C8B" w:rsidRDefault="002A4DDF" w:rsidP="009110ED">
            <w:pPr>
              <w:rPr>
                <w:rFonts w:ascii="Arial" w:hAnsi="Arial" w:cs="Arial"/>
                <w:sz w:val="12"/>
                <w:szCs w:val="12"/>
              </w:rPr>
            </w:pPr>
            <w:r>
              <w:rPr>
                <w:rFonts w:ascii="Arial" w:hAnsi="Arial"/>
                <w:sz w:val="12"/>
                <w:szCs w:val="12"/>
              </w:rPr>
              <w:t>Entrambasaguas</w:t>
            </w:r>
          </w:p>
        </w:tc>
        <w:tc>
          <w:tcPr>
            <w:tcW w:w="2268" w:type="dxa"/>
            <w:tcBorders>
              <w:right w:val="single" w:sz="4" w:space="0" w:color="auto"/>
            </w:tcBorders>
            <w:shd w:val="clear" w:color="auto" w:fill="D9D9D9"/>
            <w:hideMark/>
          </w:tcPr>
          <w:p w14:paraId="0A67F448" w14:textId="77777777" w:rsidR="002A4DDF" w:rsidRPr="00937C8B" w:rsidRDefault="002A4DDF" w:rsidP="009110ED">
            <w:pPr>
              <w:rPr>
                <w:rFonts w:ascii="Arial" w:hAnsi="Arial" w:cs="Arial"/>
                <w:sz w:val="12"/>
                <w:szCs w:val="12"/>
              </w:rPr>
            </w:pPr>
          </w:p>
        </w:tc>
      </w:tr>
      <w:tr w:rsidR="002A4DDF" w:rsidRPr="00937C8B" w14:paraId="70C4A3CD" w14:textId="77777777" w:rsidTr="00935676">
        <w:trPr>
          <w:cantSplit/>
        </w:trPr>
        <w:tc>
          <w:tcPr>
            <w:tcW w:w="1696" w:type="dxa"/>
            <w:tcBorders>
              <w:left w:val="single" w:sz="4" w:space="0" w:color="auto"/>
            </w:tcBorders>
            <w:shd w:val="clear" w:color="auto" w:fill="auto"/>
          </w:tcPr>
          <w:p w14:paraId="684B5B02" w14:textId="77777777" w:rsidR="002A4DDF" w:rsidRPr="00937C8B" w:rsidRDefault="002A4DDF" w:rsidP="009110ED">
            <w:pPr>
              <w:rPr>
                <w:rFonts w:ascii="Arial" w:hAnsi="Arial" w:cs="Arial"/>
                <w:sz w:val="12"/>
                <w:szCs w:val="12"/>
              </w:rPr>
            </w:pPr>
          </w:p>
        </w:tc>
        <w:tc>
          <w:tcPr>
            <w:tcW w:w="1843" w:type="dxa"/>
            <w:shd w:val="clear" w:color="auto" w:fill="auto"/>
          </w:tcPr>
          <w:p w14:paraId="2DEF5AA8" w14:textId="77777777" w:rsidR="002A4DDF" w:rsidRPr="00937C8B" w:rsidRDefault="002A4DDF" w:rsidP="009110ED">
            <w:pPr>
              <w:rPr>
                <w:rFonts w:ascii="Arial" w:hAnsi="Arial" w:cs="Arial"/>
                <w:sz w:val="12"/>
                <w:szCs w:val="12"/>
              </w:rPr>
            </w:pPr>
          </w:p>
        </w:tc>
        <w:tc>
          <w:tcPr>
            <w:tcW w:w="2268" w:type="dxa"/>
            <w:shd w:val="clear" w:color="auto" w:fill="F2F2F2"/>
            <w:hideMark/>
          </w:tcPr>
          <w:p w14:paraId="5275AD55" w14:textId="77777777" w:rsidR="002A4DDF" w:rsidRPr="00937C8B" w:rsidRDefault="002A4DDF" w:rsidP="009110ED">
            <w:pPr>
              <w:rPr>
                <w:rFonts w:ascii="Arial" w:hAnsi="Arial" w:cs="Arial"/>
                <w:sz w:val="12"/>
                <w:szCs w:val="12"/>
              </w:rPr>
            </w:pPr>
            <w:r>
              <w:rPr>
                <w:rFonts w:ascii="Arial" w:hAnsi="Arial"/>
                <w:sz w:val="12"/>
                <w:szCs w:val="12"/>
              </w:rPr>
              <w:t>Guriezo</w:t>
            </w:r>
          </w:p>
        </w:tc>
        <w:tc>
          <w:tcPr>
            <w:tcW w:w="2268" w:type="dxa"/>
            <w:tcBorders>
              <w:right w:val="single" w:sz="4" w:space="0" w:color="auto"/>
            </w:tcBorders>
            <w:shd w:val="clear" w:color="auto" w:fill="D9D9D9"/>
            <w:hideMark/>
          </w:tcPr>
          <w:p w14:paraId="0787689A" w14:textId="77777777" w:rsidR="002A4DDF" w:rsidRPr="00937C8B" w:rsidRDefault="002A4DDF" w:rsidP="009110ED">
            <w:pPr>
              <w:rPr>
                <w:rFonts w:ascii="Arial" w:hAnsi="Arial" w:cs="Arial"/>
                <w:sz w:val="12"/>
                <w:szCs w:val="12"/>
              </w:rPr>
            </w:pPr>
          </w:p>
        </w:tc>
      </w:tr>
      <w:tr w:rsidR="002A4DDF" w:rsidRPr="00937C8B" w14:paraId="774FC2F2" w14:textId="77777777" w:rsidTr="00935676">
        <w:trPr>
          <w:cantSplit/>
        </w:trPr>
        <w:tc>
          <w:tcPr>
            <w:tcW w:w="1696" w:type="dxa"/>
            <w:tcBorders>
              <w:left w:val="single" w:sz="4" w:space="0" w:color="auto"/>
            </w:tcBorders>
            <w:shd w:val="clear" w:color="auto" w:fill="auto"/>
          </w:tcPr>
          <w:p w14:paraId="42CCD0BB" w14:textId="77777777" w:rsidR="002A4DDF" w:rsidRPr="00937C8B" w:rsidRDefault="002A4DDF" w:rsidP="009110ED">
            <w:pPr>
              <w:rPr>
                <w:rFonts w:ascii="Arial" w:hAnsi="Arial" w:cs="Arial"/>
                <w:sz w:val="12"/>
                <w:szCs w:val="12"/>
              </w:rPr>
            </w:pPr>
          </w:p>
        </w:tc>
        <w:tc>
          <w:tcPr>
            <w:tcW w:w="1843" w:type="dxa"/>
            <w:shd w:val="clear" w:color="auto" w:fill="auto"/>
          </w:tcPr>
          <w:p w14:paraId="46706715" w14:textId="77777777" w:rsidR="002A4DDF" w:rsidRPr="00937C8B" w:rsidRDefault="002A4DDF" w:rsidP="009110ED">
            <w:pPr>
              <w:rPr>
                <w:rFonts w:ascii="Arial" w:hAnsi="Arial" w:cs="Arial"/>
                <w:sz w:val="12"/>
                <w:szCs w:val="12"/>
              </w:rPr>
            </w:pPr>
          </w:p>
        </w:tc>
        <w:tc>
          <w:tcPr>
            <w:tcW w:w="2268" w:type="dxa"/>
            <w:shd w:val="clear" w:color="auto" w:fill="F2F2F2"/>
            <w:hideMark/>
          </w:tcPr>
          <w:p w14:paraId="612F5F9A" w14:textId="77777777" w:rsidR="002A4DDF" w:rsidRPr="00937C8B" w:rsidRDefault="002A4DDF" w:rsidP="009110ED">
            <w:pPr>
              <w:rPr>
                <w:rFonts w:ascii="Arial" w:hAnsi="Arial" w:cs="Arial"/>
                <w:sz w:val="12"/>
                <w:szCs w:val="12"/>
              </w:rPr>
            </w:pPr>
            <w:r>
              <w:rPr>
                <w:rFonts w:ascii="Arial" w:hAnsi="Arial"/>
                <w:sz w:val="12"/>
                <w:szCs w:val="12"/>
              </w:rPr>
              <w:t>Hazas de Cesto</w:t>
            </w:r>
          </w:p>
        </w:tc>
        <w:tc>
          <w:tcPr>
            <w:tcW w:w="2268" w:type="dxa"/>
            <w:tcBorders>
              <w:right w:val="single" w:sz="4" w:space="0" w:color="auto"/>
            </w:tcBorders>
            <w:shd w:val="clear" w:color="auto" w:fill="D9D9D9"/>
            <w:hideMark/>
          </w:tcPr>
          <w:p w14:paraId="71738204" w14:textId="77777777" w:rsidR="002A4DDF" w:rsidRPr="00937C8B" w:rsidRDefault="002A4DDF" w:rsidP="009110ED">
            <w:pPr>
              <w:rPr>
                <w:rFonts w:ascii="Arial" w:hAnsi="Arial" w:cs="Arial"/>
                <w:sz w:val="12"/>
                <w:szCs w:val="12"/>
              </w:rPr>
            </w:pPr>
          </w:p>
        </w:tc>
      </w:tr>
      <w:tr w:rsidR="002A4DDF" w:rsidRPr="00937C8B" w14:paraId="681A4FAD" w14:textId="77777777" w:rsidTr="00935676">
        <w:trPr>
          <w:cantSplit/>
        </w:trPr>
        <w:tc>
          <w:tcPr>
            <w:tcW w:w="1696" w:type="dxa"/>
            <w:tcBorders>
              <w:left w:val="single" w:sz="4" w:space="0" w:color="auto"/>
            </w:tcBorders>
            <w:shd w:val="clear" w:color="auto" w:fill="auto"/>
          </w:tcPr>
          <w:p w14:paraId="49F6A28B" w14:textId="77777777" w:rsidR="002A4DDF" w:rsidRPr="00937C8B" w:rsidRDefault="002A4DDF" w:rsidP="009110ED">
            <w:pPr>
              <w:rPr>
                <w:rFonts w:ascii="Arial" w:hAnsi="Arial" w:cs="Arial"/>
                <w:sz w:val="12"/>
                <w:szCs w:val="12"/>
              </w:rPr>
            </w:pPr>
          </w:p>
        </w:tc>
        <w:tc>
          <w:tcPr>
            <w:tcW w:w="1843" w:type="dxa"/>
            <w:shd w:val="clear" w:color="auto" w:fill="auto"/>
          </w:tcPr>
          <w:p w14:paraId="15C6863D" w14:textId="77777777" w:rsidR="002A4DDF" w:rsidRPr="00937C8B" w:rsidRDefault="002A4DDF" w:rsidP="009110ED">
            <w:pPr>
              <w:rPr>
                <w:rFonts w:ascii="Arial" w:hAnsi="Arial" w:cs="Arial"/>
                <w:sz w:val="12"/>
                <w:szCs w:val="12"/>
              </w:rPr>
            </w:pPr>
          </w:p>
        </w:tc>
        <w:tc>
          <w:tcPr>
            <w:tcW w:w="2268" w:type="dxa"/>
            <w:shd w:val="clear" w:color="auto" w:fill="F2F2F2"/>
            <w:hideMark/>
          </w:tcPr>
          <w:p w14:paraId="7C18A088" w14:textId="77777777" w:rsidR="002A4DDF" w:rsidRPr="00937C8B" w:rsidRDefault="002A4DDF" w:rsidP="009110ED">
            <w:pPr>
              <w:rPr>
                <w:rFonts w:ascii="Arial" w:hAnsi="Arial" w:cs="Arial"/>
                <w:sz w:val="12"/>
                <w:szCs w:val="12"/>
              </w:rPr>
            </w:pPr>
            <w:r>
              <w:rPr>
                <w:rFonts w:ascii="Arial" w:hAnsi="Arial"/>
                <w:sz w:val="12"/>
                <w:szCs w:val="12"/>
              </w:rPr>
              <w:t>Hermandad de Campoo de Suso</w:t>
            </w:r>
          </w:p>
        </w:tc>
        <w:tc>
          <w:tcPr>
            <w:tcW w:w="2268" w:type="dxa"/>
            <w:tcBorders>
              <w:right w:val="single" w:sz="4" w:space="0" w:color="auto"/>
            </w:tcBorders>
            <w:shd w:val="clear" w:color="auto" w:fill="D9D9D9"/>
            <w:hideMark/>
          </w:tcPr>
          <w:p w14:paraId="57D38175" w14:textId="77777777" w:rsidR="002A4DDF" w:rsidRPr="00937C8B" w:rsidRDefault="002A4DDF" w:rsidP="009110ED">
            <w:pPr>
              <w:rPr>
                <w:rFonts w:ascii="Arial" w:hAnsi="Arial" w:cs="Arial"/>
                <w:sz w:val="12"/>
                <w:szCs w:val="12"/>
              </w:rPr>
            </w:pPr>
          </w:p>
        </w:tc>
      </w:tr>
      <w:tr w:rsidR="002A4DDF" w:rsidRPr="00937C8B" w14:paraId="11123315" w14:textId="77777777" w:rsidTr="00935676">
        <w:trPr>
          <w:cantSplit/>
        </w:trPr>
        <w:tc>
          <w:tcPr>
            <w:tcW w:w="1696" w:type="dxa"/>
            <w:tcBorders>
              <w:left w:val="single" w:sz="4" w:space="0" w:color="auto"/>
            </w:tcBorders>
            <w:shd w:val="clear" w:color="auto" w:fill="auto"/>
          </w:tcPr>
          <w:p w14:paraId="546F8872" w14:textId="77777777" w:rsidR="002A4DDF" w:rsidRPr="00937C8B" w:rsidRDefault="002A4DDF" w:rsidP="009110ED">
            <w:pPr>
              <w:rPr>
                <w:rFonts w:ascii="Arial" w:hAnsi="Arial" w:cs="Arial"/>
                <w:sz w:val="12"/>
                <w:szCs w:val="12"/>
              </w:rPr>
            </w:pPr>
          </w:p>
        </w:tc>
        <w:tc>
          <w:tcPr>
            <w:tcW w:w="1843" w:type="dxa"/>
            <w:shd w:val="clear" w:color="auto" w:fill="auto"/>
          </w:tcPr>
          <w:p w14:paraId="55D26D22" w14:textId="77777777" w:rsidR="002A4DDF" w:rsidRPr="00937C8B" w:rsidRDefault="002A4DDF" w:rsidP="009110ED">
            <w:pPr>
              <w:rPr>
                <w:rFonts w:ascii="Arial" w:hAnsi="Arial" w:cs="Arial"/>
                <w:sz w:val="12"/>
                <w:szCs w:val="12"/>
              </w:rPr>
            </w:pPr>
          </w:p>
        </w:tc>
        <w:tc>
          <w:tcPr>
            <w:tcW w:w="2268" w:type="dxa"/>
            <w:shd w:val="clear" w:color="auto" w:fill="F2F2F2"/>
            <w:hideMark/>
          </w:tcPr>
          <w:p w14:paraId="04B18487" w14:textId="77777777" w:rsidR="002A4DDF" w:rsidRPr="00937C8B" w:rsidRDefault="002A4DDF" w:rsidP="009110ED">
            <w:pPr>
              <w:rPr>
                <w:rFonts w:ascii="Arial" w:hAnsi="Arial" w:cs="Arial"/>
                <w:sz w:val="12"/>
                <w:szCs w:val="12"/>
              </w:rPr>
            </w:pPr>
            <w:r>
              <w:rPr>
                <w:rFonts w:ascii="Arial" w:hAnsi="Arial"/>
                <w:sz w:val="12"/>
                <w:szCs w:val="12"/>
              </w:rPr>
              <w:t>Liendo</w:t>
            </w:r>
          </w:p>
        </w:tc>
        <w:tc>
          <w:tcPr>
            <w:tcW w:w="2268" w:type="dxa"/>
            <w:tcBorders>
              <w:right w:val="single" w:sz="4" w:space="0" w:color="auto"/>
            </w:tcBorders>
            <w:shd w:val="clear" w:color="auto" w:fill="D9D9D9"/>
            <w:hideMark/>
          </w:tcPr>
          <w:p w14:paraId="2935D3FC" w14:textId="77777777" w:rsidR="002A4DDF" w:rsidRPr="00937C8B" w:rsidRDefault="002A4DDF" w:rsidP="009110ED">
            <w:pPr>
              <w:rPr>
                <w:rFonts w:ascii="Arial" w:hAnsi="Arial" w:cs="Arial"/>
                <w:sz w:val="12"/>
                <w:szCs w:val="12"/>
              </w:rPr>
            </w:pPr>
          </w:p>
        </w:tc>
      </w:tr>
      <w:tr w:rsidR="002A4DDF" w:rsidRPr="00937C8B" w14:paraId="62F411A4" w14:textId="77777777" w:rsidTr="00935676">
        <w:trPr>
          <w:cantSplit/>
        </w:trPr>
        <w:tc>
          <w:tcPr>
            <w:tcW w:w="1696" w:type="dxa"/>
            <w:tcBorders>
              <w:left w:val="single" w:sz="4" w:space="0" w:color="auto"/>
            </w:tcBorders>
            <w:shd w:val="clear" w:color="auto" w:fill="auto"/>
          </w:tcPr>
          <w:p w14:paraId="023E5984" w14:textId="77777777" w:rsidR="002A4DDF" w:rsidRPr="00937C8B" w:rsidRDefault="002A4DDF" w:rsidP="009110ED">
            <w:pPr>
              <w:rPr>
                <w:rFonts w:ascii="Arial" w:hAnsi="Arial" w:cs="Arial"/>
                <w:sz w:val="12"/>
                <w:szCs w:val="12"/>
              </w:rPr>
            </w:pPr>
          </w:p>
        </w:tc>
        <w:tc>
          <w:tcPr>
            <w:tcW w:w="1843" w:type="dxa"/>
            <w:shd w:val="clear" w:color="auto" w:fill="auto"/>
          </w:tcPr>
          <w:p w14:paraId="2CFCC8DD" w14:textId="77777777" w:rsidR="002A4DDF" w:rsidRPr="00937C8B" w:rsidRDefault="002A4DDF" w:rsidP="009110ED">
            <w:pPr>
              <w:rPr>
                <w:rFonts w:ascii="Arial" w:hAnsi="Arial" w:cs="Arial"/>
                <w:sz w:val="12"/>
                <w:szCs w:val="12"/>
              </w:rPr>
            </w:pPr>
          </w:p>
        </w:tc>
        <w:tc>
          <w:tcPr>
            <w:tcW w:w="2268" w:type="dxa"/>
            <w:shd w:val="clear" w:color="auto" w:fill="F2F2F2"/>
            <w:hideMark/>
          </w:tcPr>
          <w:p w14:paraId="78B28AB2" w14:textId="77777777" w:rsidR="002A4DDF" w:rsidRPr="00937C8B" w:rsidRDefault="002A4DDF" w:rsidP="009110ED">
            <w:pPr>
              <w:rPr>
                <w:rFonts w:ascii="Arial" w:hAnsi="Arial" w:cs="Arial"/>
                <w:sz w:val="12"/>
                <w:szCs w:val="12"/>
              </w:rPr>
            </w:pPr>
            <w:r>
              <w:rPr>
                <w:rFonts w:ascii="Arial" w:hAnsi="Arial"/>
                <w:sz w:val="12"/>
                <w:szCs w:val="12"/>
              </w:rPr>
              <w:t>Liérganes</w:t>
            </w:r>
          </w:p>
        </w:tc>
        <w:tc>
          <w:tcPr>
            <w:tcW w:w="2268" w:type="dxa"/>
            <w:tcBorders>
              <w:right w:val="single" w:sz="4" w:space="0" w:color="auto"/>
            </w:tcBorders>
            <w:shd w:val="clear" w:color="auto" w:fill="D9D9D9"/>
            <w:hideMark/>
          </w:tcPr>
          <w:p w14:paraId="747FB949" w14:textId="77777777" w:rsidR="002A4DDF" w:rsidRPr="00937C8B" w:rsidRDefault="002A4DDF" w:rsidP="009110ED">
            <w:pPr>
              <w:rPr>
                <w:rFonts w:ascii="Arial" w:hAnsi="Arial" w:cs="Arial"/>
                <w:sz w:val="12"/>
                <w:szCs w:val="12"/>
              </w:rPr>
            </w:pPr>
          </w:p>
        </w:tc>
      </w:tr>
      <w:tr w:rsidR="002A4DDF" w:rsidRPr="00937C8B" w14:paraId="1D6789B8" w14:textId="77777777" w:rsidTr="00935676">
        <w:trPr>
          <w:cantSplit/>
        </w:trPr>
        <w:tc>
          <w:tcPr>
            <w:tcW w:w="1696" w:type="dxa"/>
            <w:tcBorders>
              <w:left w:val="single" w:sz="4" w:space="0" w:color="auto"/>
            </w:tcBorders>
            <w:shd w:val="clear" w:color="auto" w:fill="auto"/>
          </w:tcPr>
          <w:p w14:paraId="48559E9D" w14:textId="77777777" w:rsidR="002A4DDF" w:rsidRPr="00937C8B" w:rsidRDefault="002A4DDF" w:rsidP="009110ED">
            <w:pPr>
              <w:rPr>
                <w:rFonts w:ascii="Arial" w:hAnsi="Arial" w:cs="Arial"/>
                <w:sz w:val="12"/>
                <w:szCs w:val="12"/>
              </w:rPr>
            </w:pPr>
          </w:p>
        </w:tc>
        <w:tc>
          <w:tcPr>
            <w:tcW w:w="1843" w:type="dxa"/>
            <w:shd w:val="clear" w:color="auto" w:fill="auto"/>
          </w:tcPr>
          <w:p w14:paraId="17B2C54E" w14:textId="77777777" w:rsidR="002A4DDF" w:rsidRPr="00937C8B" w:rsidRDefault="002A4DDF" w:rsidP="009110ED">
            <w:pPr>
              <w:rPr>
                <w:rFonts w:ascii="Arial" w:hAnsi="Arial" w:cs="Arial"/>
                <w:sz w:val="12"/>
                <w:szCs w:val="12"/>
              </w:rPr>
            </w:pPr>
          </w:p>
        </w:tc>
        <w:tc>
          <w:tcPr>
            <w:tcW w:w="2268" w:type="dxa"/>
            <w:shd w:val="clear" w:color="auto" w:fill="F2F2F2"/>
            <w:hideMark/>
          </w:tcPr>
          <w:p w14:paraId="4047F3C3" w14:textId="77777777" w:rsidR="002A4DDF" w:rsidRPr="00937C8B" w:rsidRDefault="002A4DDF" w:rsidP="009110ED">
            <w:pPr>
              <w:rPr>
                <w:rFonts w:ascii="Arial" w:hAnsi="Arial" w:cs="Arial"/>
                <w:sz w:val="12"/>
                <w:szCs w:val="12"/>
              </w:rPr>
            </w:pPr>
            <w:r>
              <w:rPr>
                <w:rFonts w:ascii="Arial" w:hAnsi="Arial"/>
                <w:sz w:val="12"/>
                <w:szCs w:val="12"/>
              </w:rPr>
              <w:t>Los Corrales de Buelna</w:t>
            </w:r>
          </w:p>
        </w:tc>
        <w:tc>
          <w:tcPr>
            <w:tcW w:w="2268" w:type="dxa"/>
            <w:tcBorders>
              <w:right w:val="single" w:sz="4" w:space="0" w:color="auto"/>
            </w:tcBorders>
            <w:shd w:val="clear" w:color="auto" w:fill="D9D9D9"/>
            <w:hideMark/>
          </w:tcPr>
          <w:p w14:paraId="235F630C" w14:textId="77777777" w:rsidR="002A4DDF" w:rsidRPr="00937C8B" w:rsidRDefault="002A4DDF" w:rsidP="009110ED">
            <w:pPr>
              <w:rPr>
                <w:rFonts w:ascii="Arial" w:hAnsi="Arial" w:cs="Arial"/>
                <w:sz w:val="12"/>
                <w:szCs w:val="12"/>
              </w:rPr>
            </w:pPr>
          </w:p>
        </w:tc>
      </w:tr>
      <w:tr w:rsidR="002A4DDF" w:rsidRPr="00937C8B" w14:paraId="7187FD9E" w14:textId="77777777" w:rsidTr="00935676">
        <w:trPr>
          <w:cantSplit/>
        </w:trPr>
        <w:tc>
          <w:tcPr>
            <w:tcW w:w="1696" w:type="dxa"/>
            <w:tcBorders>
              <w:left w:val="single" w:sz="4" w:space="0" w:color="auto"/>
            </w:tcBorders>
            <w:shd w:val="clear" w:color="auto" w:fill="auto"/>
          </w:tcPr>
          <w:p w14:paraId="281B20D3" w14:textId="77777777" w:rsidR="002A4DDF" w:rsidRPr="00937C8B" w:rsidRDefault="002A4DDF" w:rsidP="009110ED">
            <w:pPr>
              <w:rPr>
                <w:rFonts w:ascii="Arial" w:hAnsi="Arial" w:cs="Arial"/>
                <w:sz w:val="12"/>
                <w:szCs w:val="12"/>
              </w:rPr>
            </w:pPr>
          </w:p>
        </w:tc>
        <w:tc>
          <w:tcPr>
            <w:tcW w:w="1843" w:type="dxa"/>
            <w:shd w:val="clear" w:color="auto" w:fill="auto"/>
          </w:tcPr>
          <w:p w14:paraId="33C71558" w14:textId="77777777" w:rsidR="002A4DDF" w:rsidRPr="00937C8B" w:rsidRDefault="002A4DDF" w:rsidP="009110ED">
            <w:pPr>
              <w:rPr>
                <w:rFonts w:ascii="Arial" w:hAnsi="Arial" w:cs="Arial"/>
                <w:sz w:val="12"/>
                <w:szCs w:val="12"/>
              </w:rPr>
            </w:pPr>
          </w:p>
        </w:tc>
        <w:tc>
          <w:tcPr>
            <w:tcW w:w="2268" w:type="dxa"/>
            <w:shd w:val="clear" w:color="auto" w:fill="F2F2F2"/>
            <w:hideMark/>
          </w:tcPr>
          <w:p w14:paraId="778AB0E0" w14:textId="77777777" w:rsidR="002A4DDF" w:rsidRPr="00937C8B" w:rsidRDefault="002A4DDF" w:rsidP="009110ED">
            <w:pPr>
              <w:rPr>
                <w:rFonts w:ascii="Arial" w:hAnsi="Arial" w:cs="Arial"/>
                <w:sz w:val="12"/>
                <w:szCs w:val="12"/>
              </w:rPr>
            </w:pPr>
            <w:r>
              <w:rPr>
                <w:rFonts w:ascii="Arial" w:hAnsi="Arial"/>
                <w:sz w:val="12"/>
                <w:szCs w:val="12"/>
              </w:rPr>
              <w:t>Los Tojos</w:t>
            </w:r>
          </w:p>
        </w:tc>
        <w:tc>
          <w:tcPr>
            <w:tcW w:w="2268" w:type="dxa"/>
            <w:tcBorders>
              <w:right w:val="single" w:sz="4" w:space="0" w:color="auto"/>
            </w:tcBorders>
            <w:shd w:val="clear" w:color="auto" w:fill="D9D9D9"/>
            <w:hideMark/>
          </w:tcPr>
          <w:p w14:paraId="1EB06E66" w14:textId="77777777" w:rsidR="002A4DDF" w:rsidRPr="00937C8B" w:rsidRDefault="002A4DDF" w:rsidP="009110ED">
            <w:pPr>
              <w:rPr>
                <w:rFonts w:ascii="Arial" w:hAnsi="Arial" w:cs="Arial"/>
                <w:sz w:val="12"/>
                <w:szCs w:val="12"/>
              </w:rPr>
            </w:pPr>
          </w:p>
        </w:tc>
      </w:tr>
      <w:tr w:rsidR="002A4DDF" w:rsidRPr="00937C8B" w14:paraId="107AAB8C" w14:textId="77777777" w:rsidTr="00935676">
        <w:trPr>
          <w:cantSplit/>
        </w:trPr>
        <w:tc>
          <w:tcPr>
            <w:tcW w:w="1696" w:type="dxa"/>
            <w:tcBorders>
              <w:left w:val="single" w:sz="4" w:space="0" w:color="auto"/>
            </w:tcBorders>
            <w:shd w:val="clear" w:color="auto" w:fill="auto"/>
          </w:tcPr>
          <w:p w14:paraId="091989F1" w14:textId="77777777" w:rsidR="002A4DDF" w:rsidRPr="00937C8B" w:rsidRDefault="002A4DDF" w:rsidP="009110ED">
            <w:pPr>
              <w:rPr>
                <w:rFonts w:ascii="Arial" w:hAnsi="Arial" w:cs="Arial"/>
                <w:sz w:val="12"/>
                <w:szCs w:val="12"/>
              </w:rPr>
            </w:pPr>
          </w:p>
        </w:tc>
        <w:tc>
          <w:tcPr>
            <w:tcW w:w="1843" w:type="dxa"/>
            <w:shd w:val="clear" w:color="auto" w:fill="auto"/>
          </w:tcPr>
          <w:p w14:paraId="33CD99A0" w14:textId="77777777" w:rsidR="002A4DDF" w:rsidRPr="00937C8B" w:rsidRDefault="002A4DDF" w:rsidP="009110ED">
            <w:pPr>
              <w:rPr>
                <w:rFonts w:ascii="Arial" w:hAnsi="Arial" w:cs="Arial"/>
                <w:sz w:val="12"/>
                <w:szCs w:val="12"/>
              </w:rPr>
            </w:pPr>
          </w:p>
        </w:tc>
        <w:tc>
          <w:tcPr>
            <w:tcW w:w="2268" w:type="dxa"/>
            <w:shd w:val="clear" w:color="auto" w:fill="F2F2F2"/>
            <w:hideMark/>
          </w:tcPr>
          <w:p w14:paraId="718B5601" w14:textId="77777777" w:rsidR="002A4DDF" w:rsidRPr="00937C8B" w:rsidRDefault="002A4DDF" w:rsidP="009110ED">
            <w:pPr>
              <w:rPr>
                <w:rFonts w:ascii="Arial" w:hAnsi="Arial" w:cs="Arial"/>
                <w:sz w:val="12"/>
                <w:szCs w:val="12"/>
              </w:rPr>
            </w:pPr>
            <w:r>
              <w:rPr>
                <w:rFonts w:ascii="Arial" w:hAnsi="Arial"/>
                <w:sz w:val="12"/>
                <w:szCs w:val="12"/>
              </w:rPr>
              <w:t>Marina de Cudeyo</w:t>
            </w:r>
          </w:p>
        </w:tc>
        <w:tc>
          <w:tcPr>
            <w:tcW w:w="2268" w:type="dxa"/>
            <w:tcBorders>
              <w:right w:val="single" w:sz="4" w:space="0" w:color="auto"/>
            </w:tcBorders>
            <w:shd w:val="clear" w:color="auto" w:fill="D9D9D9"/>
            <w:hideMark/>
          </w:tcPr>
          <w:p w14:paraId="096F5E20" w14:textId="77777777" w:rsidR="002A4DDF" w:rsidRPr="00937C8B" w:rsidRDefault="002A4DDF" w:rsidP="009110ED">
            <w:pPr>
              <w:rPr>
                <w:rFonts w:ascii="Arial" w:hAnsi="Arial" w:cs="Arial"/>
                <w:sz w:val="12"/>
                <w:szCs w:val="12"/>
              </w:rPr>
            </w:pPr>
          </w:p>
        </w:tc>
      </w:tr>
      <w:tr w:rsidR="002A4DDF" w:rsidRPr="00937C8B" w14:paraId="542C6007" w14:textId="77777777" w:rsidTr="00935676">
        <w:trPr>
          <w:cantSplit/>
        </w:trPr>
        <w:tc>
          <w:tcPr>
            <w:tcW w:w="1696" w:type="dxa"/>
            <w:tcBorders>
              <w:left w:val="single" w:sz="4" w:space="0" w:color="auto"/>
            </w:tcBorders>
            <w:shd w:val="clear" w:color="auto" w:fill="auto"/>
          </w:tcPr>
          <w:p w14:paraId="4D13DCFF" w14:textId="77777777" w:rsidR="002A4DDF" w:rsidRPr="00937C8B" w:rsidRDefault="002A4DDF" w:rsidP="009110ED">
            <w:pPr>
              <w:rPr>
                <w:rFonts w:ascii="Arial" w:hAnsi="Arial" w:cs="Arial"/>
                <w:sz w:val="12"/>
                <w:szCs w:val="12"/>
              </w:rPr>
            </w:pPr>
          </w:p>
        </w:tc>
        <w:tc>
          <w:tcPr>
            <w:tcW w:w="1843" w:type="dxa"/>
            <w:shd w:val="clear" w:color="auto" w:fill="auto"/>
          </w:tcPr>
          <w:p w14:paraId="0E11F2E3" w14:textId="77777777" w:rsidR="002A4DDF" w:rsidRPr="00937C8B" w:rsidRDefault="002A4DDF" w:rsidP="009110ED">
            <w:pPr>
              <w:rPr>
                <w:rFonts w:ascii="Arial" w:hAnsi="Arial" w:cs="Arial"/>
                <w:sz w:val="12"/>
                <w:szCs w:val="12"/>
              </w:rPr>
            </w:pPr>
          </w:p>
        </w:tc>
        <w:tc>
          <w:tcPr>
            <w:tcW w:w="2268" w:type="dxa"/>
            <w:shd w:val="clear" w:color="auto" w:fill="F2F2F2"/>
            <w:hideMark/>
          </w:tcPr>
          <w:p w14:paraId="619FB68B" w14:textId="77777777" w:rsidR="002A4DDF" w:rsidRPr="00937C8B" w:rsidRDefault="002A4DDF" w:rsidP="009110ED">
            <w:pPr>
              <w:rPr>
                <w:rFonts w:ascii="Arial" w:hAnsi="Arial" w:cs="Arial"/>
                <w:sz w:val="12"/>
                <w:szCs w:val="12"/>
              </w:rPr>
            </w:pPr>
            <w:r>
              <w:rPr>
                <w:rFonts w:ascii="Arial" w:hAnsi="Arial"/>
                <w:sz w:val="12"/>
                <w:szCs w:val="12"/>
              </w:rPr>
              <w:t>Mazcuerras</w:t>
            </w:r>
          </w:p>
        </w:tc>
        <w:tc>
          <w:tcPr>
            <w:tcW w:w="2268" w:type="dxa"/>
            <w:tcBorders>
              <w:right w:val="single" w:sz="4" w:space="0" w:color="auto"/>
            </w:tcBorders>
            <w:shd w:val="clear" w:color="auto" w:fill="D9D9D9"/>
            <w:hideMark/>
          </w:tcPr>
          <w:p w14:paraId="472AE8A8" w14:textId="77777777" w:rsidR="002A4DDF" w:rsidRPr="00937C8B" w:rsidRDefault="002A4DDF" w:rsidP="009110ED">
            <w:pPr>
              <w:rPr>
                <w:rFonts w:ascii="Arial" w:hAnsi="Arial" w:cs="Arial"/>
                <w:sz w:val="12"/>
                <w:szCs w:val="12"/>
              </w:rPr>
            </w:pPr>
          </w:p>
        </w:tc>
      </w:tr>
      <w:tr w:rsidR="002A4DDF" w:rsidRPr="00937C8B" w14:paraId="525B76E7" w14:textId="77777777" w:rsidTr="00935676">
        <w:trPr>
          <w:cantSplit/>
        </w:trPr>
        <w:tc>
          <w:tcPr>
            <w:tcW w:w="1696" w:type="dxa"/>
            <w:tcBorders>
              <w:left w:val="single" w:sz="4" w:space="0" w:color="auto"/>
            </w:tcBorders>
            <w:shd w:val="clear" w:color="auto" w:fill="auto"/>
          </w:tcPr>
          <w:p w14:paraId="456CD511" w14:textId="77777777" w:rsidR="002A4DDF" w:rsidRPr="00937C8B" w:rsidRDefault="002A4DDF" w:rsidP="009110ED">
            <w:pPr>
              <w:rPr>
                <w:rFonts w:ascii="Arial" w:hAnsi="Arial" w:cs="Arial"/>
                <w:sz w:val="12"/>
                <w:szCs w:val="12"/>
              </w:rPr>
            </w:pPr>
          </w:p>
        </w:tc>
        <w:tc>
          <w:tcPr>
            <w:tcW w:w="1843" w:type="dxa"/>
            <w:shd w:val="clear" w:color="auto" w:fill="auto"/>
          </w:tcPr>
          <w:p w14:paraId="7B36D5EC" w14:textId="77777777" w:rsidR="002A4DDF" w:rsidRPr="00937C8B" w:rsidRDefault="002A4DDF" w:rsidP="009110ED">
            <w:pPr>
              <w:rPr>
                <w:rFonts w:ascii="Arial" w:hAnsi="Arial" w:cs="Arial"/>
                <w:sz w:val="12"/>
                <w:szCs w:val="12"/>
              </w:rPr>
            </w:pPr>
          </w:p>
        </w:tc>
        <w:tc>
          <w:tcPr>
            <w:tcW w:w="2268" w:type="dxa"/>
            <w:shd w:val="clear" w:color="auto" w:fill="F2F2F2"/>
            <w:hideMark/>
          </w:tcPr>
          <w:p w14:paraId="01B9BC65" w14:textId="77777777" w:rsidR="002A4DDF" w:rsidRPr="00937C8B" w:rsidRDefault="002A4DDF" w:rsidP="009110ED">
            <w:pPr>
              <w:rPr>
                <w:rFonts w:ascii="Arial" w:hAnsi="Arial" w:cs="Arial"/>
                <w:sz w:val="12"/>
                <w:szCs w:val="12"/>
              </w:rPr>
            </w:pPr>
            <w:r>
              <w:rPr>
                <w:rFonts w:ascii="Arial" w:hAnsi="Arial"/>
                <w:sz w:val="12"/>
                <w:szCs w:val="12"/>
              </w:rPr>
              <w:t>Medio Cudeyo</w:t>
            </w:r>
          </w:p>
        </w:tc>
        <w:tc>
          <w:tcPr>
            <w:tcW w:w="2268" w:type="dxa"/>
            <w:tcBorders>
              <w:right w:val="single" w:sz="4" w:space="0" w:color="auto"/>
            </w:tcBorders>
            <w:shd w:val="clear" w:color="auto" w:fill="D9D9D9"/>
            <w:hideMark/>
          </w:tcPr>
          <w:p w14:paraId="4D7D1355" w14:textId="77777777" w:rsidR="002A4DDF" w:rsidRPr="00937C8B" w:rsidRDefault="002A4DDF" w:rsidP="009110ED">
            <w:pPr>
              <w:rPr>
                <w:rFonts w:ascii="Arial" w:hAnsi="Arial" w:cs="Arial"/>
                <w:sz w:val="12"/>
                <w:szCs w:val="12"/>
              </w:rPr>
            </w:pPr>
          </w:p>
        </w:tc>
      </w:tr>
      <w:tr w:rsidR="002A4DDF" w:rsidRPr="00937C8B" w14:paraId="2DFAF625" w14:textId="77777777" w:rsidTr="00935676">
        <w:trPr>
          <w:cantSplit/>
        </w:trPr>
        <w:tc>
          <w:tcPr>
            <w:tcW w:w="1696" w:type="dxa"/>
            <w:tcBorders>
              <w:left w:val="single" w:sz="4" w:space="0" w:color="auto"/>
            </w:tcBorders>
            <w:shd w:val="clear" w:color="auto" w:fill="auto"/>
          </w:tcPr>
          <w:p w14:paraId="19ED504A" w14:textId="77777777" w:rsidR="002A4DDF" w:rsidRPr="00937C8B" w:rsidRDefault="002A4DDF" w:rsidP="009110ED">
            <w:pPr>
              <w:rPr>
                <w:rFonts w:ascii="Arial" w:hAnsi="Arial" w:cs="Arial"/>
                <w:sz w:val="12"/>
                <w:szCs w:val="12"/>
              </w:rPr>
            </w:pPr>
          </w:p>
        </w:tc>
        <w:tc>
          <w:tcPr>
            <w:tcW w:w="1843" w:type="dxa"/>
            <w:shd w:val="clear" w:color="auto" w:fill="auto"/>
          </w:tcPr>
          <w:p w14:paraId="402DEE97" w14:textId="77777777" w:rsidR="002A4DDF" w:rsidRPr="00937C8B" w:rsidRDefault="002A4DDF" w:rsidP="009110ED">
            <w:pPr>
              <w:rPr>
                <w:rFonts w:ascii="Arial" w:hAnsi="Arial" w:cs="Arial"/>
                <w:sz w:val="12"/>
                <w:szCs w:val="12"/>
              </w:rPr>
            </w:pPr>
          </w:p>
        </w:tc>
        <w:tc>
          <w:tcPr>
            <w:tcW w:w="2268" w:type="dxa"/>
            <w:shd w:val="clear" w:color="auto" w:fill="F2F2F2"/>
            <w:hideMark/>
          </w:tcPr>
          <w:p w14:paraId="3D26EA2D" w14:textId="77777777" w:rsidR="002A4DDF" w:rsidRPr="00937C8B" w:rsidRDefault="002A4DDF" w:rsidP="009110ED">
            <w:pPr>
              <w:rPr>
                <w:rFonts w:ascii="Arial" w:hAnsi="Arial" w:cs="Arial"/>
                <w:sz w:val="12"/>
                <w:szCs w:val="12"/>
              </w:rPr>
            </w:pPr>
            <w:r>
              <w:rPr>
                <w:rFonts w:ascii="Arial" w:hAnsi="Arial"/>
                <w:sz w:val="12"/>
                <w:szCs w:val="12"/>
              </w:rPr>
              <w:t>Meruelo</w:t>
            </w:r>
          </w:p>
        </w:tc>
        <w:tc>
          <w:tcPr>
            <w:tcW w:w="2268" w:type="dxa"/>
            <w:tcBorders>
              <w:right w:val="single" w:sz="4" w:space="0" w:color="auto"/>
            </w:tcBorders>
            <w:shd w:val="clear" w:color="auto" w:fill="D9D9D9"/>
            <w:hideMark/>
          </w:tcPr>
          <w:p w14:paraId="18F29997" w14:textId="77777777" w:rsidR="002A4DDF" w:rsidRPr="00937C8B" w:rsidRDefault="002A4DDF" w:rsidP="009110ED">
            <w:pPr>
              <w:rPr>
                <w:rFonts w:ascii="Arial" w:hAnsi="Arial" w:cs="Arial"/>
                <w:sz w:val="12"/>
                <w:szCs w:val="12"/>
              </w:rPr>
            </w:pPr>
          </w:p>
        </w:tc>
      </w:tr>
      <w:tr w:rsidR="002A4DDF" w:rsidRPr="00937C8B" w14:paraId="3B1515B3" w14:textId="77777777" w:rsidTr="00935676">
        <w:trPr>
          <w:cantSplit/>
        </w:trPr>
        <w:tc>
          <w:tcPr>
            <w:tcW w:w="1696" w:type="dxa"/>
            <w:tcBorders>
              <w:left w:val="single" w:sz="4" w:space="0" w:color="auto"/>
            </w:tcBorders>
            <w:shd w:val="clear" w:color="auto" w:fill="auto"/>
          </w:tcPr>
          <w:p w14:paraId="0FC1BD70" w14:textId="77777777" w:rsidR="002A4DDF" w:rsidRPr="00937C8B" w:rsidRDefault="002A4DDF" w:rsidP="009110ED">
            <w:pPr>
              <w:rPr>
                <w:rFonts w:ascii="Arial" w:hAnsi="Arial" w:cs="Arial"/>
                <w:sz w:val="12"/>
                <w:szCs w:val="12"/>
              </w:rPr>
            </w:pPr>
          </w:p>
        </w:tc>
        <w:tc>
          <w:tcPr>
            <w:tcW w:w="1843" w:type="dxa"/>
            <w:shd w:val="clear" w:color="auto" w:fill="auto"/>
          </w:tcPr>
          <w:p w14:paraId="168D3CEB" w14:textId="77777777" w:rsidR="002A4DDF" w:rsidRPr="00937C8B" w:rsidRDefault="002A4DDF" w:rsidP="009110ED">
            <w:pPr>
              <w:rPr>
                <w:rFonts w:ascii="Arial" w:hAnsi="Arial" w:cs="Arial"/>
                <w:sz w:val="12"/>
                <w:szCs w:val="12"/>
              </w:rPr>
            </w:pPr>
          </w:p>
        </w:tc>
        <w:tc>
          <w:tcPr>
            <w:tcW w:w="2268" w:type="dxa"/>
            <w:shd w:val="clear" w:color="auto" w:fill="F2F2F2"/>
            <w:hideMark/>
          </w:tcPr>
          <w:p w14:paraId="4366C4EF" w14:textId="77777777" w:rsidR="002A4DDF" w:rsidRPr="00937C8B" w:rsidRDefault="002A4DDF" w:rsidP="009110ED">
            <w:pPr>
              <w:rPr>
                <w:rFonts w:ascii="Arial" w:hAnsi="Arial" w:cs="Arial"/>
                <w:sz w:val="12"/>
                <w:szCs w:val="12"/>
              </w:rPr>
            </w:pPr>
            <w:r>
              <w:rPr>
                <w:rFonts w:ascii="Arial" w:hAnsi="Arial"/>
                <w:sz w:val="12"/>
                <w:szCs w:val="12"/>
              </w:rPr>
              <w:t>Molledo</w:t>
            </w:r>
          </w:p>
        </w:tc>
        <w:tc>
          <w:tcPr>
            <w:tcW w:w="2268" w:type="dxa"/>
            <w:tcBorders>
              <w:right w:val="single" w:sz="4" w:space="0" w:color="auto"/>
            </w:tcBorders>
            <w:shd w:val="clear" w:color="auto" w:fill="D9D9D9"/>
            <w:hideMark/>
          </w:tcPr>
          <w:p w14:paraId="589DDC30" w14:textId="77777777" w:rsidR="002A4DDF" w:rsidRPr="00937C8B" w:rsidRDefault="002A4DDF" w:rsidP="009110ED">
            <w:pPr>
              <w:rPr>
                <w:rFonts w:ascii="Arial" w:hAnsi="Arial" w:cs="Arial"/>
                <w:sz w:val="12"/>
                <w:szCs w:val="12"/>
              </w:rPr>
            </w:pPr>
          </w:p>
        </w:tc>
      </w:tr>
      <w:tr w:rsidR="002A4DDF" w:rsidRPr="00937C8B" w14:paraId="60D2E17D" w14:textId="77777777" w:rsidTr="00935676">
        <w:trPr>
          <w:cantSplit/>
        </w:trPr>
        <w:tc>
          <w:tcPr>
            <w:tcW w:w="1696" w:type="dxa"/>
            <w:tcBorders>
              <w:left w:val="single" w:sz="4" w:space="0" w:color="auto"/>
            </w:tcBorders>
            <w:shd w:val="clear" w:color="auto" w:fill="auto"/>
          </w:tcPr>
          <w:p w14:paraId="32EE3BF6" w14:textId="77777777" w:rsidR="002A4DDF" w:rsidRPr="00937C8B" w:rsidRDefault="002A4DDF" w:rsidP="009110ED">
            <w:pPr>
              <w:rPr>
                <w:rFonts w:ascii="Arial" w:hAnsi="Arial" w:cs="Arial"/>
                <w:sz w:val="12"/>
                <w:szCs w:val="12"/>
              </w:rPr>
            </w:pPr>
          </w:p>
        </w:tc>
        <w:tc>
          <w:tcPr>
            <w:tcW w:w="1843" w:type="dxa"/>
            <w:shd w:val="clear" w:color="auto" w:fill="auto"/>
          </w:tcPr>
          <w:p w14:paraId="787F0E3A" w14:textId="77777777" w:rsidR="002A4DDF" w:rsidRPr="00937C8B" w:rsidRDefault="002A4DDF" w:rsidP="009110ED">
            <w:pPr>
              <w:rPr>
                <w:rFonts w:ascii="Arial" w:hAnsi="Arial" w:cs="Arial"/>
                <w:sz w:val="12"/>
                <w:szCs w:val="12"/>
              </w:rPr>
            </w:pPr>
          </w:p>
        </w:tc>
        <w:tc>
          <w:tcPr>
            <w:tcW w:w="2268" w:type="dxa"/>
            <w:shd w:val="clear" w:color="auto" w:fill="F2F2F2"/>
            <w:hideMark/>
          </w:tcPr>
          <w:p w14:paraId="3D51BA4F" w14:textId="77777777" w:rsidR="002A4DDF" w:rsidRPr="00937C8B" w:rsidRDefault="002A4DDF" w:rsidP="009110ED">
            <w:pPr>
              <w:rPr>
                <w:rFonts w:ascii="Arial" w:hAnsi="Arial" w:cs="Arial"/>
                <w:sz w:val="12"/>
                <w:szCs w:val="12"/>
              </w:rPr>
            </w:pPr>
            <w:r>
              <w:rPr>
                <w:rFonts w:ascii="Arial" w:hAnsi="Arial"/>
                <w:sz w:val="12"/>
                <w:szCs w:val="12"/>
              </w:rPr>
              <w:t>Penagos</w:t>
            </w:r>
          </w:p>
        </w:tc>
        <w:tc>
          <w:tcPr>
            <w:tcW w:w="2268" w:type="dxa"/>
            <w:tcBorders>
              <w:right w:val="single" w:sz="4" w:space="0" w:color="auto"/>
            </w:tcBorders>
            <w:shd w:val="clear" w:color="auto" w:fill="D9D9D9"/>
            <w:hideMark/>
          </w:tcPr>
          <w:p w14:paraId="036550A1" w14:textId="77777777" w:rsidR="002A4DDF" w:rsidRPr="00937C8B" w:rsidRDefault="002A4DDF" w:rsidP="009110ED">
            <w:pPr>
              <w:rPr>
                <w:rFonts w:ascii="Arial" w:hAnsi="Arial" w:cs="Arial"/>
                <w:sz w:val="12"/>
                <w:szCs w:val="12"/>
              </w:rPr>
            </w:pPr>
          </w:p>
        </w:tc>
      </w:tr>
      <w:tr w:rsidR="002A4DDF" w:rsidRPr="00937C8B" w14:paraId="33B5C4C3" w14:textId="77777777" w:rsidTr="00935676">
        <w:trPr>
          <w:cantSplit/>
        </w:trPr>
        <w:tc>
          <w:tcPr>
            <w:tcW w:w="1696" w:type="dxa"/>
            <w:tcBorders>
              <w:left w:val="single" w:sz="4" w:space="0" w:color="auto"/>
            </w:tcBorders>
            <w:shd w:val="clear" w:color="auto" w:fill="auto"/>
          </w:tcPr>
          <w:p w14:paraId="152170AC" w14:textId="77777777" w:rsidR="002A4DDF" w:rsidRPr="00937C8B" w:rsidRDefault="002A4DDF" w:rsidP="009110ED">
            <w:pPr>
              <w:rPr>
                <w:rFonts w:ascii="Arial" w:hAnsi="Arial" w:cs="Arial"/>
                <w:sz w:val="12"/>
                <w:szCs w:val="12"/>
              </w:rPr>
            </w:pPr>
          </w:p>
        </w:tc>
        <w:tc>
          <w:tcPr>
            <w:tcW w:w="1843" w:type="dxa"/>
            <w:shd w:val="clear" w:color="auto" w:fill="auto"/>
          </w:tcPr>
          <w:p w14:paraId="3EEC3E6A" w14:textId="77777777" w:rsidR="002A4DDF" w:rsidRPr="00937C8B" w:rsidRDefault="002A4DDF" w:rsidP="009110ED">
            <w:pPr>
              <w:rPr>
                <w:rFonts w:ascii="Arial" w:hAnsi="Arial" w:cs="Arial"/>
                <w:sz w:val="12"/>
                <w:szCs w:val="12"/>
              </w:rPr>
            </w:pPr>
          </w:p>
        </w:tc>
        <w:tc>
          <w:tcPr>
            <w:tcW w:w="2268" w:type="dxa"/>
            <w:shd w:val="clear" w:color="auto" w:fill="F2F2F2"/>
            <w:hideMark/>
          </w:tcPr>
          <w:p w14:paraId="082350BD" w14:textId="77777777" w:rsidR="002A4DDF" w:rsidRPr="00937C8B" w:rsidRDefault="002A4DDF" w:rsidP="009110ED">
            <w:pPr>
              <w:rPr>
                <w:rFonts w:ascii="Arial" w:hAnsi="Arial" w:cs="Arial"/>
                <w:sz w:val="12"/>
                <w:szCs w:val="12"/>
              </w:rPr>
            </w:pPr>
            <w:r>
              <w:rPr>
                <w:rFonts w:ascii="Arial" w:hAnsi="Arial"/>
                <w:sz w:val="12"/>
                <w:szCs w:val="12"/>
              </w:rPr>
              <w:t>Pesaguero</w:t>
            </w:r>
          </w:p>
        </w:tc>
        <w:tc>
          <w:tcPr>
            <w:tcW w:w="2268" w:type="dxa"/>
            <w:tcBorders>
              <w:right w:val="single" w:sz="4" w:space="0" w:color="auto"/>
            </w:tcBorders>
            <w:shd w:val="clear" w:color="auto" w:fill="D9D9D9"/>
            <w:hideMark/>
          </w:tcPr>
          <w:p w14:paraId="4DDD092C" w14:textId="77777777" w:rsidR="002A4DDF" w:rsidRPr="00937C8B" w:rsidRDefault="002A4DDF" w:rsidP="009110ED">
            <w:pPr>
              <w:rPr>
                <w:rFonts w:ascii="Arial" w:hAnsi="Arial" w:cs="Arial"/>
                <w:sz w:val="12"/>
                <w:szCs w:val="12"/>
              </w:rPr>
            </w:pPr>
          </w:p>
        </w:tc>
      </w:tr>
      <w:tr w:rsidR="002A4DDF" w:rsidRPr="00937C8B" w14:paraId="1F8FC6F2" w14:textId="77777777" w:rsidTr="00935676">
        <w:trPr>
          <w:cantSplit/>
        </w:trPr>
        <w:tc>
          <w:tcPr>
            <w:tcW w:w="1696" w:type="dxa"/>
            <w:tcBorders>
              <w:left w:val="single" w:sz="4" w:space="0" w:color="auto"/>
            </w:tcBorders>
            <w:shd w:val="clear" w:color="auto" w:fill="auto"/>
          </w:tcPr>
          <w:p w14:paraId="5F4A3645" w14:textId="77777777" w:rsidR="002A4DDF" w:rsidRPr="00937C8B" w:rsidRDefault="002A4DDF" w:rsidP="009110ED">
            <w:pPr>
              <w:rPr>
                <w:rFonts w:ascii="Arial" w:hAnsi="Arial" w:cs="Arial"/>
                <w:sz w:val="12"/>
                <w:szCs w:val="12"/>
              </w:rPr>
            </w:pPr>
          </w:p>
        </w:tc>
        <w:tc>
          <w:tcPr>
            <w:tcW w:w="1843" w:type="dxa"/>
            <w:shd w:val="clear" w:color="auto" w:fill="auto"/>
          </w:tcPr>
          <w:p w14:paraId="3D10CF35" w14:textId="77777777" w:rsidR="002A4DDF" w:rsidRPr="00937C8B" w:rsidRDefault="002A4DDF" w:rsidP="009110ED">
            <w:pPr>
              <w:rPr>
                <w:rFonts w:ascii="Arial" w:hAnsi="Arial" w:cs="Arial"/>
                <w:sz w:val="12"/>
                <w:szCs w:val="12"/>
              </w:rPr>
            </w:pPr>
          </w:p>
        </w:tc>
        <w:tc>
          <w:tcPr>
            <w:tcW w:w="2268" w:type="dxa"/>
            <w:shd w:val="clear" w:color="auto" w:fill="F2F2F2"/>
            <w:hideMark/>
          </w:tcPr>
          <w:p w14:paraId="48E9EB70" w14:textId="77777777" w:rsidR="002A4DDF" w:rsidRPr="00937C8B" w:rsidRDefault="002A4DDF" w:rsidP="009110ED">
            <w:pPr>
              <w:rPr>
                <w:rFonts w:ascii="Arial" w:hAnsi="Arial" w:cs="Arial"/>
                <w:sz w:val="12"/>
                <w:szCs w:val="12"/>
              </w:rPr>
            </w:pPr>
            <w:r>
              <w:rPr>
                <w:rFonts w:ascii="Arial" w:hAnsi="Arial"/>
                <w:sz w:val="12"/>
                <w:szCs w:val="12"/>
              </w:rPr>
              <w:t>Piélagos</w:t>
            </w:r>
          </w:p>
        </w:tc>
        <w:tc>
          <w:tcPr>
            <w:tcW w:w="2268" w:type="dxa"/>
            <w:tcBorders>
              <w:right w:val="single" w:sz="4" w:space="0" w:color="auto"/>
            </w:tcBorders>
            <w:shd w:val="clear" w:color="auto" w:fill="D9D9D9"/>
            <w:hideMark/>
          </w:tcPr>
          <w:p w14:paraId="50F9F098" w14:textId="77777777" w:rsidR="002A4DDF" w:rsidRPr="00937C8B" w:rsidRDefault="002A4DDF" w:rsidP="009110ED">
            <w:pPr>
              <w:rPr>
                <w:rFonts w:ascii="Arial" w:hAnsi="Arial" w:cs="Arial"/>
                <w:sz w:val="12"/>
                <w:szCs w:val="12"/>
              </w:rPr>
            </w:pPr>
          </w:p>
        </w:tc>
      </w:tr>
      <w:tr w:rsidR="002A4DDF" w:rsidRPr="00937C8B" w14:paraId="6C4C3B85" w14:textId="77777777" w:rsidTr="00935676">
        <w:trPr>
          <w:cantSplit/>
        </w:trPr>
        <w:tc>
          <w:tcPr>
            <w:tcW w:w="1696" w:type="dxa"/>
            <w:tcBorders>
              <w:left w:val="single" w:sz="4" w:space="0" w:color="auto"/>
            </w:tcBorders>
            <w:shd w:val="clear" w:color="auto" w:fill="auto"/>
          </w:tcPr>
          <w:p w14:paraId="69CFEF94" w14:textId="77777777" w:rsidR="002A4DDF" w:rsidRPr="00937C8B" w:rsidRDefault="002A4DDF" w:rsidP="009110ED">
            <w:pPr>
              <w:rPr>
                <w:rFonts w:ascii="Arial" w:hAnsi="Arial" w:cs="Arial"/>
                <w:sz w:val="12"/>
                <w:szCs w:val="12"/>
              </w:rPr>
            </w:pPr>
          </w:p>
        </w:tc>
        <w:tc>
          <w:tcPr>
            <w:tcW w:w="1843" w:type="dxa"/>
            <w:shd w:val="clear" w:color="auto" w:fill="auto"/>
          </w:tcPr>
          <w:p w14:paraId="6926ED69" w14:textId="77777777" w:rsidR="002A4DDF" w:rsidRPr="00937C8B" w:rsidRDefault="002A4DDF" w:rsidP="009110ED">
            <w:pPr>
              <w:rPr>
                <w:rFonts w:ascii="Arial" w:hAnsi="Arial" w:cs="Arial"/>
                <w:sz w:val="12"/>
                <w:szCs w:val="12"/>
              </w:rPr>
            </w:pPr>
          </w:p>
        </w:tc>
        <w:tc>
          <w:tcPr>
            <w:tcW w:w="2268" w:type="dxa"/>
            <w:shd w:val="clear" w:color="auto" w:fill="F2F2F2"/>
            <w:hideMark/>
          </w:tcPr>
          <w:p w14:paraId="156EBD86" w14:textId="77777777" w:rsidR="002A4DDF" w:rsidRPr="00937C8B" w:rsidRDefault="002A4DDF" w:rsidP="009110ED">
            <w:pPr>
              <w:rPr>
                <w:rFonts w:ascii="Arial" w:hAnsi="Arial" w:cs="Arial"/>
                <w:sz w:val="12"/>
                <w:szCs w:val="12"/>
              </w:rPr>
            </w:pPr>
            <w:r>
              <w:rPr>
                <w:rFonts w:ascii="Arial" w:hAnsi="Arial"/>
                <w:sz w:val="12"/>
                <w:szCs w:val="12"/>
              </w:rPr>
              <w:t>Polaciones</w:t>
            </w:r>
          </w:p>
        </w:tc>
        <w:tc>
          <w:tcPr>
            <w:tcW w:w="2268" w:type="dxa"/>
            <w:tcBorders>
              <w:right w:val="single" w:sz="4" w:space="0" w:color="auto"/>
            </w:tcBorders>
            <w:shd w:val="clear" w:color="auto" w:fill="D9D9D9"/>
            <w:hideMark/>
          </w:tcPr>
          <w:p w14:paraId="54697221" w14:textId="77777777" w:rsidR="002A4DDF" w:rsidRPr="00937C8B" w:rsidRDefault="002A4DDF" w:rsidP="009110ED">
            <w:pPr>
              <w:rPr>
                <w:rFonts w:ascii="Arial" w:hAnsi="Arial" w:cs="Arial"/>
                <w:sz w:val="12"/>
                <w:szCs w:val="12"/>
              </w:rPr>
            </w:pPr>
          </w:p>
        </w:tc>
      </w:tr>
      <w:tr w:rsidR="002A4DDF" w:rsidRPr="00937C8B" w14:paraId="067DF792" w14:textId="77777777" w:rsidTr="00935676">
        <w:trPr>
          <w:cantSplit/>
        </w:trPr>
        <w:tc>
          <w:tcPr>
            <w:tcW w:w="1696" w:type="dxa"/>
            <w:tcBorders>
              <w:left w:val="single" w:sz="4" w:space="0" w:color="auto"/>
            </w:tcBorders>
            <w:shd w:val="clear" w:color="auto" w:fill="auto"/>
          </w:tcPr>
          <w:p w14:paraId="43944DDC" w14:textId="77777777" w:rsidR="002A4DDF" w:rsidRPr="00937C8B" w:rsidRDefault="002A4DDF" w:rsidP="009110ED">
            <w:pPr>
              <w:rPr>
                <w:rFonts w:ascii="Arial" w:hAnsi="Arial" w:cs="Arial"/>
                <w:sz w:val="12"/>
                <w:szCs w:val="12"/>
              </w:rPr>
            </w:pPr>
          </w:p>
        </w:tc>
        <w:tc>
          <w:tcPr>
            <w:tcW w:w="1843" w:type="dxa"/>
            <w:shd w:val="clear" w:color="auto" w:fill="auto"/>
          </w:tcPr>
          <w:p w14:paraId="2B7BC42B" w14:textId="77777777" w:rsidR="002A4DDF" w:rsidRPr="00937C8B" w:rsidRDefault="002A4DDF" w:rsidP="009110ED">
            <w:pPr>
              <w:rPr>
                <w:rFonts w:ascii="Arial" w:hAnsi="Arial" w:cs="Arial"/>
                <w:sz w:val="12"/>
                <w:szCs w:val="12"/>
              </w:rPr>
            </w:pPr>
          </w:p>
        </w:tc>
        <w:tc>
          <w:tcPr>
            <w:tcW w:w="2268" w:type="dxa"/>
            <w:shd w:val="clear" w:color="auto" w:fill="F2F2F2"/>
            <w:hideMark/>
          </w:tcPr>
          <w:p w14:paraId="462177E4" w14:textId="77777777" w:rsidR="002A4DDF" w:rsidRPr="00937C8B" w:rsidRDefault="002A4DDF" w:rsidP="009110ED">
            <w:pPr>
              <w:rPr>
                <w:rFonts w:ascii="Arial" w:hAnsi="Arial" w:cs="Arial"/>
                <w:sz w:val="12"/>
                <w:szCs w:val="12"/>
              </w:rPr>
            </w:pPr>
            <w:r>
              <w:rPr>
                <w:rFonts w:ascii="Arial" w:hAnsi="Arial"/>
                <w:sz w:val="12"/>
                <w:szCs w:val="12"/>
              </w:rPr>
              <w:t>Potes</w:t>
            </w:r>
          </w:p>
        </w:tc>
        <w:tc>
          <w:tcPr>
            <w:tcW w:w="2268" w:type="dxa"/>
            <w:tcBorders>
              <w:right w:val="single" w:sz="4" w:space="0" w:color="auto"/>
            </w:tcBorders>
            <w:shd w:val="clear" w:color="auto" w:fill="D9D9D9"/>
            <w:hideMark/>
          </w:tcPr>
          <w:p w14:paraId="0D01509B" w14:textId="77777777" w:rsidR="002A4DDF" w:rsidRPr="00937C8B" w:rsidRDefault="002A4DDF" w:rsidP="009110ED">
            <w:pPr>
              <w:rPr>
                <w:rFonts w:ascii="Arial" w:hAnsi="Arial" w:cs="Arial"/>
                <w:sz w:val="12"/>
                <w:szCs w:val="12"/>
              </w:rPr>
            </w:pPr>
          </w:p>
        </w:tc>
      </w:tr>
      <w:tr w:rsidR="002A4DDF" w:rsidRPr="00937C8B" w14:paraId="74D8B2CB" w14:textId="77777777" w:rsidTr="00935676">
        <w:trPr>
          <w:cantSplit/>
        </w:trPr>
        <w:tc>
          <w:tcPr>
            <w:tcW w:w="1696" w:type="dxa"/>
            <w:tcBorders>
              <w:left w:val="single" w:sz="4" w:space="0" w:color="auto"/>
            </w:tcBorders>
            <w:shd w:val="clear" w:color="auto" w:fill="auto"/>
          </w:tcPr>
          <w:p w14:paraId="298F446D" w14:textId="77777777" w:rsidR="002A4DDF" w:rsidRPr="00937C8B" w:rsidRDefault="002A4DDF" w:rsidP="009110ED">
            <w:pPr>
              <w:rPr>
                <w:rFonts w:ascii="Arial" w:hAnsi="Arial" w:cs="Arial"/>
                <w:sz w:val="12"/>
                <w:szCs w:val="12"/>
              </w:rPr>
            </w:pPr>
          </w:p>
        </w:tc>
        <w:tc>
          <w:tcPr>
            <w:tcW w:w="1843" w:type="dxa"/>
            <w:shd w:val="clear" w:color="auto" w:fill="auto"/>
          </w:tcPr>
          <w:p w14:paraId="7840DFC3" w14:textId="77777777" w:rsidR="002A4DDF" w:rsidRPr="00937C8B" w:rsidRDefault="002A4DDF" w:rsidP="009110ED">
            <w:pPr>
              <w:rPr>
                <w:rFonts w:ascii="Arial" w:hAnsi="Arial" w:cs="Arial"/>
                <w:sz w:val="12"/>
                <w:szCs w:val="12"/>
              </w:rPr>
            </w:pPr>
          </w:p>
        </w:tc>
        <w:tc>
          <w:tcPr>
            <w:tcW w:w="2268" w:type="dxa"/>
            <w:shd w:val="clear" w:color="auto" w:fill="F2F2F2"/>
            <w:hideMark/>
          </w:tcPr>
          <w:p w14:paraId="6BD537B2" w14:textId="77777777" w:rsidR="002A4DDF" w:rsidRPr="00937C8B" w:rsidRDefault="002A4DDF" w:rsidP="009110ED">
            <w:pPr>
              <w:rPr>
                <w:rFonts w:ascii="Arial" w:hAnsi="Arial" w:cs="Arial"/>
                <w:sz w:val="12"/>
                <w:szCs w:val="12"/>
              </w:rPr>
            </w:pPr>
            <w:r>
              <w:rPr>
                <w:rFonts w:ascii="Arial" w:hAnsi="Arial"/>
                <w:sz w:val="12"/>
                <w:szCs w:val="12"/>
              </w:rPr>
              <w:t>Rasines</w:t>
            </w:r>
          </w:p>
        </w:tc>
        <w:tc>
          <w:tcPr>
            <w:tcW w:w="2268" w:type="dxa"/>
            <w:tcBorders>
              <w:right w:val="single" w:sz="4" w:space="0" w:color="auto"/>
            </w:tcBorders>
            <w:shd w:val="clear" w:color="auto" w:fill="D9D9D9"/>
            <w:hideMark/>
          </w:tcPr>
          <w:p w14:paraId="6DC68B3E" w14:textId="77777777" w:rsidR="002A4DDF" w:rsidRPr="00937C8B" w:rsidRDefault="002A4DDF" w:rsidP="009110ED">
            <w:pPr>
              <w:rPr>
                <w:rFonts w:ascii="Arial" w:hAnsi="Arial" w:cs="Arial"/>
                <w:sz w:val="12"/>
                <w:szCs w:val="12"/>
              </w:rPr>
            </w:pPr>
          </w:p>
        </w:tc>
      </w:tr>
      <w:tr w:rsidR="002A4DDF" w:rsidRPr="00937C8B" w14:paraId="14507C7B" w14:textId="77777777" w:rsidTr="00935676">
        <w:trPr>
          <w:cantSplit/>
        </w:trPr>
        <w:tc>
          <w:tcPr>
            <w:tcW w:w="1696" w:type="dxa"/>
            <w:tcBorders>
              <w:left w:val="single" w:sz="4" w:space="0" w:color="auto"/>
            </w:tcBorders>
            <w:shd w:val="clear" w:color="auto" w:fill="auto"/>
          </w:tcPr>
          <w:p w14:paraId="38501DE4" w14:textId="77777777" w:rsidR="002A4DDF" w:rsidRPr="00937C8B" w:rsidRDefault="002A4DDF" w:rsidP="009110ED">
            <w:pPr>
              <w:rPr>
                <w:rFonts w:ascii="Arial" w:hAnsi="Arial" w:cs="Arial"/>
                <w:sz w:val="12"/>
                <w:szCs w:val="12"/>
              </w:rPr>
            </w:pPr>
          </w:p>
        </w:tc>
        <w:tc>
          <w:tcPr>
            <w:tcW w:w="1843" w:type="dxa"/>
            <w:shd w:val="clear" w:color="auto" w:fill="auto"/>
          </w:tcPr>
          <w:p w14:paraId="74978F50" w14:textId="77777777" w:rsidR="002A4DDF" w:rsidRPr="00937C8B" w:rsidRDefault="002A4DDF" w:rsidP="009110ED">
            <w:pPr>
              <w:rPr>
                <w:rFonts w:ascii="Arial" w:hAnsi="Arial" w:cs="Arial"/>
                <w:sz w:val="12"/>
                <w:szCs w:val="12"/>
              </w:rPr>
            </w:pPr>
          </w:p>
        </w:tc>
        <w:tc>
          <w:tcPr>
            <w:tcW w:w="2268" w:type="dxa"/>
            <w:shd w:val="clear" w:color="auto" w:fill="F2F2F2"/>
            <w:hideMark/>
          </w:tcPr>
          <w:p w14:paraId="7561E7F2" w14:textId="77777777" w:rsidR="002A4DDF" w:rsidRPr="00937C8B" w:rsidRDefault="002A4DDF" w:rsidP="009110ED">
            <w:pPr>
              <w:rPr>
                <w:rFonts w:ascii="Arial" w:hAnsi="Arial" w:cs="Arial"/>
                <w:sz w:val="12"/>
                <w:szCs w:val="12"/>
              </w:rPr>
            </w:pPr>
            <w:r>
              <w:rPr>
                <w:rFonts w:ascii="Arial" w:hAnsi="Arial"/>
                <w:sz w:val="12"/>
                <w:szCs w:val="12"/>
              </w:rPr>
              <w:t>Reocín</w:t>
            </w:r>
          </w:p>
        </w:tc>
        <w:tc>
          <w:tcPr>
            <w:tcW w:w="2268" w:type="dxa"/>
            <w:tcBorders>
              <w:right w:val="single" w:sz="4" w:space="0" w:color="auto"/>
            </w:tcBorders>
            <w:shd w:val="clear" w:color="auto" w:fill="D9D9D9"/>
            <w:hideMark/>
          </w:tcPr>
          <w:p w14:paraId="480C20BB" w14:textId="77777777" w:rsidR="002A4DDF" w:rsidRPr="00937C8B" w:rsidRDefault="002A4DDF" w:rsidP="009110ED">
            <w:pPr>
              <w:rPr>
                <w:rFonts w:ascii="Arial" w:hAnsi="Arial" w:cs="Arial"/>
                <w:sz w:val="12"/>
                <w:szCs w:val="12"/>
              </w:rPr>
            </w:pPr>
          </w:p>
        </w:tc>
      </w:tr>
      <w:tr w:rsidR="002A4DDF" w:rsidRPr="00937C8B" w14:paraId="6501712F" w14:textId="77777777" w:rsidTr="00935676">
        <w:trPr>
          <w:cantSplit/>
        </w:trPr>
        <w:tc>
          <w:tcPr>
            <w:tcW w:w="1696" w:type="dxa"/>
            <w:tcBorders>
              <w:left w:val="single" w:sz="4" w:space="0" w:color="auto"/>
            </w:tcBorders>
            <w:shd w:val="clear" w:color="auto" w:fill="auto"/>
          </w:tcPr>
          <w:p w14:paraId="6EC4264A" w14:textId="77777777" w:rsidR="002A4DDF" w:rsidRPr="00937C8B" w:rsidRDefault="002A4DDF" w:rsidP="009110ED">
            <w:pPr>
              <w:rPr>
                <w:rFonts w:ascii="Arial" w:hAnsi="Arial" w:cs="Arial"/>
                <w:sz w:val="12"/>
                <w:szCs w:val="12"/>
              </w:rPr>
            </w:pPr>
          </w:p>
        </w:tc>
        <w:tc>
          <w:tcPr>
            <w:tcW w:w="1843" w:type="dxa"/>
            <w:shd w:val="clear" w:color="auto" w:fill="auto"/>
          </w:tcPr>
          <w:p w14:paraId="75FDDA25" w14:textId="77777777" w:rsidR="002A4DDF" w:rsidRPr="00937C8B" w:rsidRDefault="002A4DDF" w:rsidP="009110ED">
            <w:pPr>
              <w:rPr>
                <w:rFonts w:ascii="Arial" w:hAnsi="Arial" w:cs="Arial"/>
                <w:sz w:val="12"/>
                <w:szCs w:val="12"/>
              </w:rPr>
            </w:pPr>
          </w:p>
        </w:tc>
        <w:tc>
          <w:tcPr>
            <w:tcW w:w="2268" w:type="dxa"/>
            <w:shd w:val="clear" w:color="auto" w:fill="F2F2F2"/>
            <w:hideMark/>
          </w:tcPr>
          <w:p w14:paraId="26A6A19F" w14:textId="77777777" w:rsidR="002A4DDF" w:rsidRPr="00937C8B" w:rsidRDefault="002A4DDF" w:rsidP="009110ED">
            <w:pPr>
              <w:rPr>
                <w:rFonts w:ascii="Arial" w:hAnsi="Arial" w:cs="Arial"/>
                <w:sz w:val="12"/>
                <w:szCs w:val="12"/>
              </w:rPr>
            </w:pPr>
            <w:r>
              <w:rPr>
                <w:rFonts w:ascii="Arial" w:hAnsi="Arial"/>
                <w:sz w:val="12"/>
                <w:szCs w:val="12"/>
              </w:rPr>
              <w:t>Ribamontán al Mar</w:t>
            </w:r>
          </w:p>
        </w:tc>
        <w:tc>
          <w:tcPr>
            <w:tcW w:w="2268" w:type="dxa"/>
            <w:tcBorders>
              <w:right w:val="single" w:sz="4" w:space="0" w:color="auto"/>
            </w:tcBorders>
            <w:shd w:val="clear" w:color="auto" w:fill="D9D9D9"/>
            <w:hideMark/>
          </w:tcPr>
          <w:p w14:paraId="6193250E" w14:textId="77777777" w:rsidR="002A4DDF" w:rsidRPr="00937C8B" w:rsidRDefault="002A4DDF" w:rsidP="009110ED">
            <w:pPr>
              <w:rPr>
                <w:rFonts w:ascii="Arial" w:hAnsi="Arial" w:cs="Arial"/>
                <w:sz w:val="12"/>
                <w:szCs w:val="12"/>
              </w:rPr>
            </w:pPr>
          </w:p>
        </w:tc>
      </w:tr>
      <w:tr w:rsidR="002A4DDF" w:rsidRPr="00937C8B" w14:paraId="0BD1C5DC" w14:textId="77777777" w:rsidTr="00935676">
        <w:trPr>
          <w:cantSplit/>
        </w:trPr>
        <w:tc>
          <w:tcPr>
            <w:tcW w:w="1696" w:type="dxa"/>
            <w:tcBorders>
              <w:left w:val="single" w:sz="4" w:space="0" w:color="auto"/>
            </w:tcBorders>
            <w:shd w:val="clear" w:color="auto" w:fill="auto"/>
          </w:tcPr>
          <w:p w14:paraId="036015E2" w14:textId="77777777" w:rsidR="002A4DDF" w:rsidRPr="00937C8B" w:rsidRDefault="002A4DDF" w:rsidP="009110ED">
            <w:pPr>
              <w:rPr>
                <w:rFonts w:ascii="Arial" w:hAnsi="Arial" w:cs="Arial"/>
                <w:sz w:val="12"/>
                <w:szCs w:val="12"/>
              </w:rPr>
            </w:pPr>
          </w:p>
        </w:tc>
        <w:tc>
          <w:tcPr>
            <w:tcW w:w="1843" w:type="dxa"/>
            <w:shd w:val="clear" w:color="auto" w:fill="auto"/>
          </w:tcPr>
          <w:p w14:paraId="1834319B" w14:textId="77777777" w:rsidR="002A4DDF" w:rsidRPr="00937C8B" w:rsidRDefault="002A4DDF" w:rsidP="009110ED">
            <w:pPr>
              <w:rPr>
                <w:rFonts w:ascii="Arial" w:hAnsi="Arial" w:cs="Arial"/>
                <w:sz w:val="12"/>
                <w:szCs w:val="12"/>
              </w:rPr>
            </w:pPr>
          </w:p>
        </w:tc>
        <w:tc>
          <w:tcPr>
            <w:tcW w:w="2268" w:type="dxa"/>
            <w:shd w:val="clear" w:color="auto" w:fill="F2F2F2"/>
            <w:hideMark/>
          </w:tcPr>
          <w:p w14:paraId="255FCB1F" w14:textId="77777777" w:rsidR="002A4DDF" w:rsidRPr="00937C8B" w:rsidRDefault="002A4DDF" w:rsidP="009110ED">
            <w:pPr>
              <w:rPr>
                <w:rFonts w:ascii="Arial" w:hAnsi="Arial" w:cs="Arial"/>
                <w:sz w:val="12"/>
                <w:szCs w:val="12"/>
              </w:rPr>
            </w:pPr>
            <w:r>
              <w:rPr>
                <w:rFonts w:ascii="Arial" w:hAnsi="Arial"/>
                <w:sz w:val="12"/>
                <w:szCs w:val="12"/>
              </w:rPr>
              <w:t>Ribamontán al Monte</w:t>
            </w:r>
          </w:p>
        </w:tc>
        <w:tc>
          <w:tcPr>
            <w:tcW w:w="2268" w:type="dxa"/>
            <w:tcBorders>
              <w:right w:val="single" w:sz="4" w:space="0" w:color="auto"/>
            </w:tcBorders>
            <w:shd w:val="clear" w:color="auto" w:fill="D9D9D9"/>
            <w:hideMark/>
          </w:tcPr>
          <w:p w14:paraId="6700267F" w14:textId="77777777" w:rsidR="002A4DDF" w:rsidRPr="00937C8B" w:rsidRDefault="002A4DDF" w:rsidP="009110ED">
            <w:pPr>
              <w:rPr>
                <w:rFonts w:ascii="Arial" w:hAnsi="Arial" w:cs="Arial"/>
                <w:sz w:val="12"/>
                <w:szCs w:val="12"/>
              </w:rPr>
            </w:pPr>
          </w:p>
        </w:tc>
      </w:tr>
      <w:tr w:rsidR="002A4DDF" w:rsidRPr="00937C8B" w14:paraId="7647C821" w14:textId="77777777" w:rsidTr="00935676">
        <w:trPr>
          <w:cantSplit/>
        </w:trPr>
        <w:tc>
          <w:tcPr>
            <w:tcW w:w="1696" w:type="dxa"/>
            <w:tcBorders>
              <w:left w:val="single" w:sz="4" w:space="0" w:color="auto"/>
            </w:tcBorders>
            <w:shd w:val="clear" w:color="auto" w:fill="auto"/>
          </w:tcPr>
          <w:p w14:paraId="09A035BC" w14:textId="77777777" w:rsidR="002A4DDF" w:rsidRPr="00937C8B" w:rsidRDefault="002A4DDF" w:rsidP="009110ED">
            <w:pPr>
              <w:rPr>
                <w:rFonts w:ascii="Arial" w:hAnsi="Arial" w:cs="Arial"/>
                <w:sz w:val="12"/>
                <w:szCs w:val="12"/>
              </w:rPr>
            </w:pPr>
          </w:p>
        </w:tc>
        <w:tc>
          <w:tcPr>
            <w:tcW w:w="1843" w:type="dxa"/>
            <w:shd w:val="clear" w:color="auto" w:fill="auto"/>
          </w:tcPr>
          <w:p w14:paraId="623A123C" w14:textId="77777777" w:rsidR="002A4DDF" w:rsidRPr="00937C8B" w:rsidRDefault="002A4DDF" w:rsidP="009110ED">
            <w:pPr>
              <w:rPr>
                <w:rFonts w:ascii="Arial" w:hAnsi="Arial" w:cs="Arial"/>
                <w:sz w:val="12"/>
                <w:szCs w:val="12"/>
              </w:rPr>
            </w:pPr>
          </w:p>
        </w:tc>
        <w:tc>
          <w:tcPr>
            <w:tcW w:w="2268" w:type="dxa"/>
            <w:shd w:val="clear" w:color="auto" w:fill="F2F2F2"/>
            <w:hideMark/>
          </w:tcPr>
          <w:p w14:paraId="68DA76B0" w14:textId="77777777" w:rsidR="002A4DDF" w:rsidRPr="00937C8B" w:rsidRDefault="002A4DDF" w:rsidP="009110ED">
            <w:pPr>
              <w:rPr>
                <w:rFonts w:ascii="Arial" w:hAnsi="Arial" w:cs="Arial"/>
                <w:sz w:val="12"/>
                <w:szCs w:val="12"/>
              </w:rPr>
            </w:pPr>
            <w:r>
              <w:rPr>
                <w:rFonts w:ascii="Arial" w:hAnsi="Arial"/>
                <w:sz w:val="12"/>
                <w:szCs w:val="12"/>
              </w:rPr>
              <w:t>Riotuerto</w:t>
            </w:r>
          </w:p>
        </w:tc>
        <w:tc>
          <w:tcPr>
            <w:tcW w:w="2268" w:type="dxa"/>
            <w:tcBorders>
              <w:right w:val="single" w:sz="4" w:space="0" w:color="auto"/>
            </w:tcBorders>
            <w:shd w:val="clear" w:color="auto" w:fill="D9D9D9"/>
            <w:hideMark/>
          </w:tcPr>
          <w:p w14:paraId="2008378C" w14:textId="77777777" w:rsidR="002A4DDF" w:rsidRPr="00937C8B" w:rsidRDefault="002A4DDF" w:rsidP="009110ED">
            <w:pPr>
              <w:rPr>
                <w:rFonts w:ascii="Arial" w:hAnsi="Arial" w:cs="Arial"/>
                <w:sz w:val="12"/>
                <w:szCs w:val="12"/>
              </w:rPr>
            </w:pPr>
          </w:p>
        </w:tc>
      </w:tr>
      <w:tr w:rsidR="002A4DDF" w:rsidRPr="00937C8B" w14:paraId="2BFC9C60" w14:textId="77777777" w:rsidTr="00935676">
        <w:trPr>
          <w:cantSplit/>
        </w:trPr>
        <w:tc>
          <w:tcPr>
            <w:tcW w:w="1696" w:type="dxa"/>
            <w:tcBorders>
              <w:left w:val="single" w:sz="4" w:space="0" w:color="auto"/>
            </w:tcBorders>
            <w:shd w:val="clear" w:color="auto" w:fill="auto"/>
          </w:tcPr>
          <w:p w14:paraId="3AD584C3" w14:textId="77777777" w:rsidR="002A4DDF" w:rsidRPr="00937C8B" w:rsidRDefault="002A4DDF" w:rsidP="009110ED">
            <w:pPr>
              <w:rPr>
                <w:rFonts w:ascii="Arial" w:hAnsi="Arial" w:cs="Arial"/>
                <w:sz w:val="12"/>
                <w:szCs w:val="12"/>
              </w:rPr>
            </w:pPr>
          </w:p>
        </w:tc>
        <w:tc>
          <w:tcPr>
            <w:tcW w:w="1843" w:type="dxa"/>
            <w:shd w:val="clear" w:color="auto" w:fill="auto"/>
          </w:tcPr>
          <w:p w14:paraId="2C530089" w14:textId="77777777" w:rsidR="002A4DDF" w:rsidRPr="00937C8B" w:rsidRDefault="002A4DDF" w:rsidP="009110ED">
            <w:pPr>
              <w:rPr>
                <w:rFonts w:ascii="Arial" w:hAnsi="Arial" w:cs="Arial"/>
                <w:sz w:val="12"/>
                <w:szCs w:val="12"/>
              </w:rPr>
            </w:pPr>
          </w:p>
        </w:tc>
        <w:tc>
          <w:tcPr>
            <w:tcW w:w="2268" w:type="dxa"/>
            <w:shd w:val="clear" w:color="auto" w:fill="F2F2F2"/>
            <w:hideMark/>
          </w:tcPr>
          <w:p w14:paraId="07485D7E" w14:textId="77777777" w:rsidR="002A4DDF" w:rsidRPr="00937C8B" w:rsidRDefault="002A4DDF" w:rsidP="009110ED">
            <w:pPr>
              <w:rPr>
                <w:rFonts w:ascii="Arial" w:hAnsi="Arial" w:cs="Arial"/>
                <w:sz w:val="12"/>
                <w:szCs w:val="12"/>
              </w:rPr>
            </w:pPr>
            <w:r>
              <w:rPr>
                <w:rFonts w:ascii="Arial" w:hAnsi="Arial"/>
                <w:sz w:val="12"/>
                <w:szCs w:val="12"/>
              </w:rPr>
              <w:t>Ruente</w:t>
            </w:r>
          </w:p>
        </w:tc>
        <w:tc>
          <w:tcPr>
            <w:tcW w:w="2268" w:type="dxa"/>
            <w:tcBorders>
              <w:right w:val="single" w:sz="4" w:space="0" w:color="auto"/>
            </w:tcBorders>
            <w:shd w:val="clear" w:color="auto" w:fill="D9D9D9"/>
            <w:hideMark/>
          </w:tcPr>
          <w:p w14:paraId="7E375674" w14:textId="77777777" w:rsidR="002A4DDF" w:rsidRPr="00937C8B" w:rsidRDefault="002A4DDF" w:rsidP="009110ED">
            <w:pPr>
              <w:rPr>
                <w:rFonts w:ascii="Arial" w:hAnsi="Arial" w:cs="Arial"/>
                <w:sz w:val="12"/>
                <w:szCs w:val="12"/>
              </w:rPr>
            </w:pPr>
          </w:p>
        </w:tc>
      </w:tr>
      <w:tr w:rsidR="002A4DDF" w:rsidRPr="00937C8B" w14:paraId="7FE2DB2B" w14:textId="77777777" w:rsidTr="00935676">
        <w:trPr>
          <w:cantSplit/>
        </w:trPr>
        <w:tc>
          <w:tcPr>
            <w:tcW w:w="1696" w:type="dxa"/>
            <w:tcBorders>
              <w:left w:val="single" w:sz="4" w:space="0" w:color="auto"/>
            </w:tcBorders>
            <w:shd w:val="clear" w:color="auto" w:fill="auto"/>
          </w:tcPr>
          <w:p w14:paraId="1507C8A6" w14:textId="77777777" w:rsidR="002A4DDF" w:rsidRPr="00937C8B" w:rsidRDefault="002A4DDF" w:rsidP="009110ED">
            <w:pPr>
              <w:rPr>
                <w:rFonts w:ascii="Arial" w:hAnsi="Arial" w:cs="Arial"/>
                <w:sz w:val="12"/>
                <w:szCs w:val="12"/>
              </w:rPr>
            </w:pPr>
          </w:p>
        </w:tc>
        <w:tc>
          <w:tcPr>
            <w:tcW w:w="1843" w:type="dxa"/>
            <w:shd w:val="clear" w:color="auto" w:fill="auto"/>
          </w:tcPr>
          <w:p w14:paraId="66A93D80" w14:textId="77777777" w:rsidR="002A4DDF" w:rsidRPr="00937C8B" w:rsidRDefault="002A4DDF" w:rsidP="009110ED">
            <w:pPr>
              <w:rPr>
                <w:rFonts w:ascii="Arial" w:hAnsi="Arial" w:cs="Arial"/>
                <w:sz w:val="12"/>
                <w:szCs w:val="12"/>
              </w:rPr>
            </w:pPr>
          </w:p>
        </w:tc>
        <w:tc>
          <w:tcPr>
            <w:tcW w:w="2268" w:type="dxa"/>
            <w:shd w:val="clear" w:color="auto" w:fill="F2F2F2"/>
            <w:hideMark/>
          </w:tcPr>
          <w:p w14:paraId="05A9565C" w14:textId="77777777" w:rsidR="002A4DDF" w:rsidRPr="00937C8B" w:rsidRDefault="002A4DDF" w:rsidP="009110ED">
            <w:pPr>
              <w:rPr>
                <w:rFonts w:ascii="Arial" w:hAnsi="Arial" w:cs="Arial"/>
                <w:sz w:val="12"/>
                <w:szCs w:val="12"/>
              </w:rPr>
            </w:pPr>
            <w:r>
              <w:rPr>
                <w:rFonts w:ascii="Arial" w:hAnsi="Arial"/>
                <w:sz w:val="12"/>
                <w:szCs w:val="12"/>
              </w:rPr>
              <w:t>Ruesga</w:t>
            </w:r>
          </w:p>
        </w:tc>
        <w:tc>
          <w:tcPr>
            <w:tcW w:w="2268" w:type="dxa"/>
            <w:tcBorders>
              <w:right w:val="single" w:sz="4" w:space="0" w:color="auto"/>
            </w:tcBorders>
            <w:shd w:val="clear" w:color="auto" w:fill="D9D9D9"/>
            <w:hideMark/>
          </w:tcPr>
          <w:p w14:paraId="4C62A864" w14:textId="77777777" w:rsidR="002A4DDF" w:rsidRPr="00937C8B" w:rsidRDefault="002A4DDF" w:rsidP="009110ED">
            <w:pPr>
              <w:rPr>
                <w:rFonts w:ascii="Arial" w:hAnsi="Arial" w:cs="Arial"/>
                <w:sz w:val="12"/>
                <w:szCs w:val="12"/>
              </w:rPr>
            </w:pPr>
          </w:p>
        </w:tc>
      </w:tr>
      <w:tr w:rsidR="002A4DDF" w:rsidRPr="00937C8B" w14:paraId="006362F7" w14:textId="77777777" w:rsidTr="00935676">
        <w:trPr>
          <w:cantSplit/>
        </w:trPr>
        <w:tc>
          <w:tcPr>
            <w:tcW w:w="1696" w:type="dxa"/>
            <w:tcBorders>
              <w:left w:val="single" w:sz="4" w:space="0" w:color="auto"/>
            </w:tcBorders>
            <w:shd w:val="clear" w:color="auto" w:fill="auto"/>
          </w:tcPr>
          <w:p w14:paraId="3CFEEE77" w14:textId="77777777" w:rsidR="002A4DDF" w:rsidRPr="00937C8B" w:rsidRDefault="002A4DDF" w:rsidP="009110ED">
            <w:pPr>
              <w:rPr>
                <w:rFonts w:ascii="Arial" w:hAnsi="Arial" w:cs="Arial"/>
                <w:sz w:val="12"/>
                <w:szCs w:val="12"/>
              </w:rPr>
            </w:pPr>
          </w:p>
        </w:tc>
        <w:tc>
          <w:tcPr>
            <w:tcW w:w="1843" w:type="dxa"/>
            <w:shd w:val="clear" w:color="auto" w:fill="auto"/>
          </w:tcPr>
          <w:p w14:paraId="1B0F3029" w14:textId="77777777" w:rsidR="002A4DDF" w:rsidRPr="00937C8B" w:rsidRDefault="002A4DDF" w:rsidP="009110ED">
            <w:pPr>
              <w:rPr>
                <w:rFonts w:ascii="Arial" w:hAnsi="Arial" w:cs="Arial"/>
                <w:sz w:val="12"/>
                <w:szCs w:val="12"/>
              </w:rPr>
            </w:pPr>
          </w:p>
        </w:tc>
        <w:tc>
          <w:tcPr>
            <w:tcW w:w="2268" w:type="dxa"/>
            <w:shd w:val="clear" w:color="auto" w:fill="F2F2F2"/>
            <w:hideMark/>
          </w:tcPr>
          <w:p w14:paraId="30B76212" w14:textId="77777777" w:rsidR="002A4DDF" w:rsidRPr="00937C8B" w:rsidRDefault="002A4DDF" w:rsidP="009110ED">
            <w:pPr>
              <w:rPr>
                <w:rFonts w:ascii="Arial" w:hAnsi="Arial" w:cs="Arial"/>
                <w:sz w:val="12"/>
                <w:szCs w:val="12"/>
              </w:rPr>
            </w:pPr>
            <w:r>
              <w:rPr>
                <w:rFonts w:ascii="Arial" w:hAnsi="Arial"/>
                <w:sz w:val="12"/>
                <w:szCs w:val="12"/>
              </w:rPr>
              <w:t>San Felices de Buelna</w:t>
            </w:r>
          </w:p>
        </w:tc>
        <w:tc>
          <w:tcPr>
            <w:tcW w:w="2268" w:type="dxa"/>
            <w:tcBorders>
              <w:right w:val="single" w:sz="4" w:space="0" w:color="auto"/>
            </w:tcBorders>
            <w:shd w:val="clear" w:color="auto" w:fill="D9D9D9"/>
            <w:hideMark/>
          </w:tcPr>
          <w:p w14:paraId="063A29D4" w14:textId="77777777" w:rsidR="002A4DDF" w:rsidRPr="00937C8B" w:rsidRDefault="002A4DDF" w:rsidP="009110ED">
            <w:pPr>
              <w:rPr>
                <w:rFonts w:ascii="Arial" w:hAnsi="Arial" w:cs="Arial"/>
                <w:sz w:val="12"/>
                <w:szCs w:val="12"/>
              </w:rPr>
            </w:pPr>
          </w:p>
        </w:tc>
      </w:tr>
      <w:tr w:rsidR="002A4DDF" w:rsidRPr="00937C8B" w14:paraId="159E89D5" w14:textId="77777777" w:rsidTr="00935676">
        <w:trPr>
          <w:cantSplit/>
        </w:trPr>
        <w:tc>
          <w:tcPr>
            <w:tcW w:w="1696" w:type="dxa"/>
            <w:tcBorders>
              <w:left w:val="single" w:sz="4" w:space="0" w:color="auto"/>
            </w:tcBorders>
            <w:shd w:val="clear" w:color="auto" w:fill="auto"/>
          </w:tcPr>
          <w:p w14:paraId="7FD85300" w14:textId="77777777" w:rsidR="002A4DDF" w:rsidRPr="00937C8B" w:rsidRDefault="002A4DDF" w:rsidP="009110ED">
            <w:pPr>
              <w:rPr>
                <w:rFonts w:ascii="Arial" w:hAnsi="Arial" w:cs="Arial"/>
                <w:sz w:val="12"/>
                <w:szCs w:val="12"/>
              </w:rPr>
            </w:pPr>
          </w:p>
        </w:tc>
        <w:tc>
          <w:tcPr>
            <w:tcW w:w="1843" w:type="dxa"/>
            <w:shd w:val="clear" w:color="auto" w:fill="auto"/>
          </w:tcPr>
          <w:p w14:paraId="28F52CD3" w14:textId="77777777" w:rsidR="002A4DDF" w:rsidRPr="00937C8B" w:rsidRDefault="002A4DDF" w:rsidP="009110ED">
            <w:pPr>
              <w:rPr>
                <w:rFonts w:ascii="Arial" w:hAnsi="Arial" w:cs="Arial"/>
                <w:sz w:val="12"/>
                <w:szCs w:val="12"/>
              </w:rPr>
            </w:pPr>
          </w:p>
        </w:tc>
        <w:tc>
          <w:tcPr>
            <w:tcW w:w="2268" w:type="dxa"/>
            <w:shd w:val="clear" w:color="auto" w:fill="F2F2F2"/>
            <w:hideMark/>
          </w:tcPr>
          <w:p w14:paraId="60C56C3F" w14:textId="77777777" w:rsidR="002A4DDF" w:rsidRPr="00937C8B" w:rsidRDefault="002A4DDF" w:rsidP="009110ED">
            <w:pPr>
              <w:rPr>
                <w:rFonts w:ascii="Arial" w:hAnsi="Arial" w:cs="Arial"/>
                <w:sz w:val="12"/>
                <w:szCs w:val="12"/>
              </w:rPr>
            </w:pPr>
            <w:r>
              <w:rPr>
                <w:rFonts w:ascii="Arial" w:hAnsi="Arial"/>
                <w:sz w:val="12"/>
                <w:szCs w:val="12"/>
              </w:rPr>
              <w:t>San Pedro del Romeral</w:t>
            </w:r>
          </w:p>
        </w:tc>
        <w:tc>
          <w:tcPr>
            <w:tcW w:w="2268" w:type="dxa"/>
            <w:tcBorders>
              <w:right w:val="single" w:sz="4" w:space="0" w:color="auto"/>
            </w:tcBorders>
            <w:shd w:val="clear" w:color="auto" w:fill="D9D9D9"/>
            <w:hideMark/>
          </w:tcPr>
          <w:p w14:paraId="10D6A5AD" w14:textId="77777777" w:rsidR="002A4DDF" w:rsidRPr="00937C8B" w:rsidRDefault="002A4DDF" w:rsidP="009110ED">
            <w:pPr>
              <w:rPr>
                <w:rFonts w:ascii="Arial" w:hAnsi="Arial" w:cs="Arial"/>
                <w:sz w:val="12"/>
                <w:szCs w:val="12"/>
              </w:rPr>
            </w:pPr>
          </w:p>
        </w:tc>
      </w:tr>
      <w:tr w:rsidR="002A4DDF" w:rsidRPr="00937C8B" w14:paraId="539FBA17" w14:textId="77777777" w:rsidTr="00935676">
        <w:trPr>
          <w:cantSplit/>
        </w:trPr>
        <w:tc>
          <w:tcPr>
            <w:tcW w:w="1696" w:type="dxa"/>
            <w:tcBorders>
              <w:left w:val="single" w:sz="4" w:space="0" w:color="auto"/>
            </w:tcBorders>
            <w:shd w:val="clear" w:color="auto" w:fill="auto"/>
          </w:tcPr>
          <w:p w14:paraId="7E1A7BC1" w14:textId="77777777" w:rsidR="002A4DDF" w:rsidRPr="00937C8B" w:rsidRDefault="002A4DDF" w:rsidP="009110ED">
            <w:pPr>
              <w:rPr>
                <w:rFonts w:ascii="Arial" w:hAnsi="Arial" w:cs="Arial"/>
                <w:sz w:val="12"/>
                <w:szCs w:val="12"/>
              </w:rPr>
            </w:pPr>
          </w:p>
        </w:tc>
        <w:tc>
          <w:tcPr>
            <w:tcW w:w="1843" w:type="dxa"/>
            <w:shd w:val="clear" w:color="auto" w:fill="auto"/>
          </w:tcPr>
          <w:p w14:paraId="590A90F9" w14:textId="77777777" w:rsidR="002A4DDF" w:rsidRPr="00937C8B" w:rsidRDefault="002A4DDF" w:rsidP="009110ED">
            <w:pPr>
              <w:rPr>
                <w:rFonts w:ascii="Arial" w:hAnsi="Arial" w:cs="Arial"/>
                <w:sz w:val="12"/>
                <w:szCs w:val="12"/>
              </w:rPr>
            </w:pPr>
          </w:p>
        </w:tc>
        <w:tc>
          <w:tcPr>
            <w:tcW w:w="2268" w:type="dxa"/>
            <w:shd w:val="clear" w:color="auto" w:fill="F2F2F2"/>
            <w:hideMark/>
          </w:tcPr>
          <w:p w14:paraId="05689606" w14:textId="77777777" w:rsidR="002A4DDF" w:rsidRPr="00937C8B" w:rsidRDefault="002A4DDF" w:rsidP="009110ED">
            <w:pPr>
              <w:rPr>
                <w:rFonts w:ascii="Arial" w:hAnsi="Arial" w:cs="Arial"/>
                <w:sz w:val="12"/>
                <w:szCs w:val="12"/>
              </w:rPr>
            </w:pPr>
            <w:r>
              <w:rPr>
                <w:rFonts w:ascii="Arial" w:hAnsi="Arial"/>
                <w:sz w:val="12"/>
                <w:szCs w:val="12"/>
              </w:rPr>
              <w:t>Santa Cruz de Bezana</w:t>
            </w:r>
          </w:p>
        </w:tc>
        <w:tc>
          <w:tcPr>
            <w:tcW w:w="2268" w:type="dxa"/>
            <w:tcBorders>
              <w:right w:val="single" w:sz="4" w:space="0" w:color="auto"/>
            </w:tcBorders>
            <w:shd w:val="clear" w:color="auto" w:fill="D9D9D9"/>
            <w:hideMark/>
          </w:tcPr>
          <w:p w14:paraId="1850176F" w14:textId="77777777" w:rsidR="002A4DDF" w:rsidRPr="00937C8B" w:rsidRDefault="002A4DDF" w:rsidP="009110ED">
            <w:pPr>
              <w:rPr>
                <w:rFonts w:ascii="Arial" w:hAnsi="Arial" w:cs="Arial"/>
                <w:sz w:val="12"/>
                <w:szCs w:val="12"/>
              </w:rPr>
            </w:pPr>
          </w:p>
        </w:tc>
      </w:tr>
      <w:tr w:rsidR="002A4DDF" w:rsidRPr="00937C8B" w14:paraId="57E79730" w14:textId="77777777" w:rsidTr="00935676">
        <w:trPr>
          <w:cantSplit/>
        </w:trPr>
        <w:tc>
          <w:tcPr>
            <w:tcW w:w="1696" w:type="dxa"/>
            <w:tcBorders>
              <w:left w:val="single" w:sz="4" w:space="0" w:color="auto"/>
            </w:tcBorders>
            <w:shd w:val="clear" w:color="auto" w:fill="auto"/>
          </w:tcPr>
          <w:p w14:paraId="31B2EA1C" w14:textId="77777777" w:rsidR="002A4DDF" w:rsidRPr="00937C8B" w:rsidRDefault="002A4DDF" w:rsidP="009110ED">
            <w:pPr>
              <w:rPr>
                <w:rFonts w:ascii="Arial" w:hAnsi="Arial" w:cs="Arial"/>
                <w:sz w:val="12"/>
                <w:szCs w:val="12"/>
              </w:rPr>
            </w:pPr>
          </w:p>
        </w:tc>
        <w:tc>
          <w:tcPr>
            <w:tcW w:w="1843" w:type="dxa"/>
            <w:shd w:val="clear" w:color="auto" w:fill="auto"/>
          </w:tcPr>
          <w:p w14:paraId="37CC0146" w14:textId="77777777" w:rsidR="002A4DDF" w:rsidRPr="00937C8B" w:rsidRDefault="002A4DDF" w:rsidP="009110ED">
            <w:pPr>
              <w:rPr>
                <w:rFonts w:ascii="Arial" w:hAnsi="Arial" w:cs="Arial"/>
                <w:sz w:val="12"/>
                <w:szCs w:val="12"/>
              </w:rPr>
            </w:pPr>
          </w:p>
        </w:tc>
        <w:tc>
          <w:tcPr>
            <w:tcW w:w="2268" w:type="dxa"/>
            <w:shd w:val="clear" w:color="auto" w:fill="F2F2F2"/>
            <w:hideMark/>
          </w:tcPr>
          <w:p w14:paraId="2859B0C0" w14:textId="77777777" w:rsidR="002A4DDF" w:rsidRPr="00937C8B" w:rsidRDefault="002A4DDF" w:rsidP="009110ED">
            <w:pPr>
              <w:rPr>
                <w:rFonts w:ascii="Arial" w:hAnsi="Arial" w:cs="Arial"/>
                <w:sz w:val="12"/>
                <w:szCs w:val="12"/>
              </w:rPr>
            </w:pPr>
            <w:r>
              <w:rPr>
                <w:rFonts w:ascii="Arial" w:hAnsi="Arial"/>
                <w:sz w:val="12"/>
                <w:szCs w:val="12"/>
              </w:rPr>
              <w:t>Santander</w:t>
            </w:r>
          </w:p>
        </w:tc>
        <w:tc>
          <w:tcPr>
            <w:tcW w:w="2268" w:type="dxa"/>
            <w:tcBorders>
              <w:right w:val="single" w:sz="4" w:space="0" w:color="auto"/>
            </w:tcBorders>
            <w:shd w:val="clear" w:color="auto" w:fill="D9D9D9"/>
            <w:hideMark/>
          </w:tcPr>
          <w:p w14:paraId="13DE72D2" w14:textId="77777777" w:rsidR="002A4DDF" w:rsidRPr="00937C8B" w:rsidRDefault="002A4DDF" w:rsidP="009110ED">
            <w:pPr>
              <w:rPr>
                <w:rFonts w:ascii="Arial" w:hAnsi="Arial" w:cs="Arial"/>
                <w:sz w:val="12"/>
                <w:szCs w:val="12"/>
              </w:rPr>
            </w:pPr>
          </w:p>
        </w:tc>
      </w:tr>
      <w:tr w:rsidR="002A4DDF" w:rsidRPr="00937C8B" w14:paraId="3F8C82AE" w14:textId="77777777" w:rsidTr="00935676">
        <w:trPr>
          <w:cantSplit/>
        </w:trPr>
        <w:tc>
          <w:tcPr>
            <w:tcW w:w="1696" w:type="dxa"/>
            <w:tcBorders>
              <w:left w:val="single" w:sz="4" w:space="0" w:color="auto"/>
            </w:tcBorders>
            <w:shd w:val="clear" w:color="auto" w:fill="auto"/>
          </w:tcPr>
          <w:p w14:paraId="6A9FEF6A" w14:textId="77777777" w:rsidR="002A4DDF" w:rsidRPr="00937C8B" w:rsidRDefault="002A4DDF" w:rsidP="009110ED">
            <w:pPr>
              <w:rPr>
                <w:rFonts w:ascii="Arial" w:hAnsi="Arial" w:cs="Arial"/>
                <w:sz w:val="12"/>
                <w:szCs w:val="12"/>
              </w:rPr>
            </w:pPr>
          </w:p>
        </w:tc>
        <w:tc>
          <w:tcPr>
            <w:tcW w:w="1843" w:type="dxa"/>
            <w:shd w:val="clear" w:color="auto" w:fill="auto"/>
          </w:tcPr>
          <w:p w14:paraId="14B0B3B1" w14:textId="77777777" w:rsidR="002A4DDF" w:rsidRPr="00937C8B" w:rsidRDefault="002A4DDF" w:rsidP="009110ED">
            <w:pPr>
              <w:rPr>
                <w:rFonts w:ascii="Arial" w:hAnsi="Arial" w:cs="Arial"/>
                <w:sz w:val="12"/>
                <w:szCs w:val="12"/>
              </w:rPr>
            </w:pPr>
          </w:p>
        </w:tc>
        <w:tc>
          <w:tcPr>
            <w:tcW w:w="2268" w:type="dxa"/>
            <w:shd w:val="clear" w:color="auto" w:fill="F2F2F2"/>
            <w:hideMark/>
          </w:tcPr>
          <w:p w14:paraId="59EA3C48" w14:textId="77777777" w:rsidR="002A4DDF" w:rsidRPr="00937C8B" w:rsidRDefault="002A4DDF" w:rsidP="009110ED">
            <w:pPr>
              <w:rPr>
                <w:rFonts w:ascii="Arial" w:hAnsi="Arial" w:cs="Arial"/>
                <w:sz w:val="12"/>
                <w:szCs w:val="12"/>
              </w:rPr>
            </w:pPr>
            <w:r>
              <w:rPr>
                <w:rFonts w:ascii="Arial" w:hAnsi="Arial"/>
                <w:sz w:val="12"/>
                <w:szCs w:val="12"/>
              </w:rPr>
              <w:t>Solórzano</w:t>
            </w:r>
          </w:p>
        </w:tc>
        <w:tc>
          <w:tcPr>
            <w:tcW w:w="2268" w:type="dxa"/>
            <w:tcBorders>
              <w:right w:val="single" w:sz="4" w:space="0" w:color="auto"/>
            </w:tcBorders>
            <w:shd w:val="clear" w:color="auto" w:fill="D9D9D9"/>
            <w:hideMark/>
          </w:tcPr>
          <w:p w14:paraId="0A176BBA" w14:textId="77777777" w:rsidR="002A4DDF" w:rsidRPr="00937C8B" w:rsidRDefault="002A4DDF" w:rsidP="009110ED">
            <w:pPr>
              <w:rPr>
                <w:rFonts w:ascii="Arial" w:hAnsi="Arial" w:cs="Arial"/>
                <w:sz w:val="12"/>
                <w:szCs w:val="12"/>
              </w:rPr>
            </w:pPr>
          </w:p>
        </w:tc>
      </w:tr>
      <w:tr w:rsidR="002A4DDF" w:rsidRPr="00937C8B" w14:paraId="2EF85F58" w14:textId="77777777" w:rsidTr="00935676">
        <w:trPr>
          <w:cantSplit/>
        </w:trPr>
        <w:tc>
          <w:tcPr>
            <w:tcW w:w="1696" w:type="dxa"/>
            <w:tcBorders>
              <w:left w:val="single" w:sz="4" w:space="0" w:color="auto"/>
            </w:tcBorders>
            <w:shd w:val="clear" w:color="auto" w:fill="auto"/>
          </w:tcPr>
          <w:p w14:paraId="0C7E2B53" w14:textId="77777777" w:rsidR="002A4DDF" w:rsidRPr="00937C8B" w:rsidRDefault="002A4DDF" w:rsidP="009110ED">
            <w:pPr>
              <w:rPr>
                <w:rFonts w:ascii="Arial" w:hAnsi="Arial" w:cs="Arial"/>
                <w:sz w:val="12"/>
                <w:szCs w:val="12"/>
              </w:rPr>
            </w:pPr>
          </w:p>
        </w:tc>
        <w:tc>
          <w:tcPr>
            <w:tcW w:w="1843" w:type="dxa"/>
            <w:shd w:val="clear" w:color="auto" w:fill="auto"/>
          </w:tcPr>
          <w:p w14:paraId="5F50C805" w14:textId="77777777" w:rsidR="002A4DDF" w:rsidRPr="00937C8B" w:rsidRDefault="002A4DDF" w:rsidP="009110ED">
            <w:pPr>
              <w:rPr>
                <w:rFonts w:ascii="Arial" w:hAnsi="Arial" w:cs="Arial"/>
                <w:sz w:val="12"/>
                <w:szCs w:val="12"/>
              </w:rPr>
            </w:pPr>
          </w:p>
        </w:tc>
        <w:tc>
          <w:tcPr>
            <w:tcW w:w="2268" w:type="dxa"/>
            <w:shd w:val="clear" w:color="auto" w:fill="F2F2F2"/>
            <w:hideMark/>
          </w:tcPr>
          <w:p w14:paraId="391662D9" w14:textId="77777777" w:rsidR="002A4DDF" w:rsidRPr="00937C8B" w:rsidRDefault="002A4DDF" w:rsidP="009110ED">
            <w:pPr>
              <w:rPr>
                <w:rFonts w:ascii="Arial" w:hAnsi="Arial" w:cs="Arial"/>
                <w:sz w:val="12"/>
                <w:szCs w:val="12"/>
              </w:rPr>
            </w:pPr>
            <w:r>
              <w:rPr>
                <w:rFonts w:ascii="Arial" w:hAnsi="Arial"/>
                <w:sz w:val="12"/>
                <w:szCs w:val="12"/>
              </w:rPr>
              <w:t>Tudanca</w:t>
            </w:r>
          </w:p>
        </w:tc>
        <w:tc>
          <w:tcPr>
            <w:tcW w:w="2268" w:type="dxa"/>
            <w:tcBorders>
              <w:right w:val="single" w:sz="4" w:space="0" w:color="auto"/>
            </w:tcBorders>
            <w:shd w:val="clear" w:color="auto" w:fill="D9D9D9"/>
            <w:hideMark/>
          </w:tcPr>
          <w:p w14:paraId="2ADB026A" w14:textId="77777777" w:rsidR="002A4DDF" w:rsidRPr="00937C8B" w:rsidRDefault="002A4DDF" w:rsidP="009110ED">
            <w:pPr>
              <w:rPr>
                <w:rFonts w:ascii="Arial" w:hAnsi="Arial" w:cs="Arial"/>
                <w:sz w:val="12"/>
                <w:szCs w:val="12"/>
              </w:rPr>
            </w:pPr>
          </w:p>
        </w:tc>
      </w:tr>
      <w:tr w:rsidR="002A4DDF" w:rsidRPr="00937C8B" w14:paraId="072984FF" w14:textId="77777777" w:rsidTr="00935676">
        <w:trPr>
          <w:cantSplit/>
        </w:trPr>
        <w:tc>
          <w:tcPr>
            <w:tcW w:w="1696" w:type="dxa"/>
            <w:tcBorders>
              <w:left w:val="single" w:sz="4" w:space="0" w:color="auto"/>
            </w:tcBorders>
            <w:shd w:val="clear" w:color="auto" w:fill="auto"/>
          </w:tcPr>
          <w:p w14:paraId="096E8DB6" w14:textId="77777777" w:rsidR="002A4DDF" w:rsidRPr="00937C8B" w:rsidRDefault="002A4DDF" w:rsidP="009110ED">
            <w:pPr>
              <w:rPr>
                <w:rFonts w:ascii="Arial" w:hAnsi="Arial" w:cs="Arial"/>
                <w:sz w:val="12"/>
                <w:szCs w:val="12"/>
              </w:rPr>
            </w:pPr>
          </w:p>
        </w:tc>
        <w:tc>
          <w:tcPr>
            <w:tcW w:w="1843" w:type="dxa"/>
            <w:shd w:val="clear" w:color="auto" w:fill="auto"/>
          </w:tcPr>
          <w:p w14:paraId="713F3151" w14:textId="77777777" w:rsidR="002A4DDF" w:rsidRPr="00937C8B" w:rsidRDefault="002A4DDF" w:rsidP="009110ED">
            <w:pPr>
              <w:rPr>
                <w:rFonts w:ascii="Arial" w:hAnsi="Arial" w:cs="Arial"/>
                <w:sz w:val="12"/>
                <w:szCs w:val="12"/>
              </w:rPr>
            </w:pPr>
          </w:p>
        </w:tc>
        <w:tc>
          <w:tcPr>
            <w:tcW w:w="2268" w:type="dxa"/>
            <w:shd w:val="clear" w:color="auto" w:fill="F2F2F2"/>
            <w:hideMark/>
          </w:tcPr>
          <w:p w14:paraId="2053E517" w14:textId="77777777" w:rsidR="002A4DDF" w:rsidRPr="00937C8B" w:rsidRDefault="002A4DDF" w:rsidP="009110ED">
            <w:pPr>
              <w:rPr>
                <w:rFonts w:ascii="Arial" w:hAnsi="Arial" w:cs="Arial"/>
                <w:sz w:val="12"/>
                <w:szCs w:val="12"/>
              </w:rPr>
            </w:pPr>
            <w:r>
              <w:rPr>
                <w:rFonts w:ascii="Arial" w:hAnsi="Arial"/>
                <w:sz w:val="12"/>
                <w:szCs w:val="12"/>
              </w:rPr>
              <w:t>Udías</w:t>
            </w:r>
          </w:p>
        </w:tc>
        <w:tc>
          <w:tcPr>
            <w:tcW w:w="2268" w:type="dxa"/>
            <w:tcBorders>
              <w:right w:val="single" w:sz="4" w:space="0" w:color="auto"/>
            </w:tcBorders>
            <w:shd w:val="clear" w:color="auto" w:fill="D9D9D9"/>
            <w:hideMark/>
          </w:tcPr>
          <w:p w14:paraId="4D887627" w14:textId="77777777" w:rsidR="002A4DDF" w:rsidRPr="00937C8B" w:rsidRDefault="002A4DDF" w:rsidP="009110ED">
            <w:pPr>
              <w:rPr>
                <w:rFonts w:ascii="Arial" w:hAnsi="Arial" w:cs="Arial"/>
                <w:sz w:val="12"/>
                <w:szCs w:val="12"/>
              </w:rPr>
            </w:pPr>
          </w:p>
        </w:tc>
      </w:tr>
      <w:tr w:rsidR="002A4DDF" w:rsidRPr="00937C8B" w14:paraId="553B539C" w14:textId="77777777" w:rsidTr="00935676">
        <w:trPr>
          <w:cantSplit/>
        </w:trPr>
        <w:tc>
          <w:tcPr>
            <w:tcW w:w="1696" w:type="dxa"/>
            <w:tcBorders>
              <w:left w:val="single" w:sz="4" w:space="0" w:color="auto"/>
            </w:tcBorders>
            <w:shd w:val="clear" w:color="auto" w:fill="auto"/>
          </w:tcPr>
          <w:p w14:paraId="5EDFE168" w14:textId="77777777" w:rsidR="002A4DDF" w:rsidRPr="00937C8B" w:rsidRDefault="002A4DDF" w:rsidP="009110ED">
            <w:pPr>
              <w:rPr>
                <w:rFonts w:ascii="Arial" w:hAnsi="Arial" w:cs="Arial"/>
                <w:sz w:val="12"/>
                <w:szCs w:val="12"/>
              </w:rPr>
            </w:pPr>
          </w:p>
        </w:tc>
        <w:tc>
          <w:tcPr>
            <w:tcW w:w="1843" w:type="dxa"/>
            <w:shd w:val="clear" w:color="auto" w:fill="auto"/>
          </w:tcPr>
          <w:p w14:paraId="4DD74A84" w14:textId="77777777" w:rsidR="002A4DDF" w:rsidRPr="00937C8B" w:rsidRDefault="002A4DDF" w:rsidP="009110ED">
            <w:pPr>
              <w:rPr>
                <w:rFonts w:ascii="Arial" w:hAnsi="Arial" w:cs="Arial"/>
                <w:sz w:val="12"/>
                <w:szCs w:val="12"/>
              </w:rPr>
            </w:pPr>
          </w:p>
        </w:tc>
        <w:tc>
          <w:tcPr>
            <w:tcW w:w="2268" w:type="dxa"/>
            <w:shd w:val="clear" w:color="auto" w:fill="F2F2F2"/>
            <w:hideMark/>
          </w:tcPr>
          <w:p w14:paraId="57528DD5" w14:textId="77777777" w:rsidR="002A4DDF" w:rsidRPr="00937C8B" w:rsidRDefault="002A4DDF" w:rsidP="009110ED">
            <w:pPr>
              <w:rPr>
                <w:rFonts w:ascii="Arial" w:hAnsi="Arial" w:cs="Arial"/>
                <w:sz w:val="12"/>
                <w:szCs w:val="12"/>
              </w:rPr>
            </w:pPr>
            <w:r>
              <w:rPr>
                <w:rFonts w:ascii="Arial" w:hAnsi="Arial"/>
                <w:sz w:val="12"/>
                <w:szCs w:val="12"/>
              </w:rPr>
              <w:t>Valle de Villaverde</w:t>
            </w:r>
          </w:p>
        </w:tc>
        <w:tc>
          <w:tcPr>
            <w:tcW w:w="2268" w:type="dxa"/>
            <w:tcBorders>
              <w:right w:val="single" w:sz="4" w:space="0" w:color="auto"/>
            </w:tcBorders>
            <w:shd w:val="clear" w:color="auto" w:fill="D9D9D9"/>
            <w:hideMark/>
          </w:tcPr>
          <w:p w14:paraId="15180317" w14:textId="77777777" w:rsidR="002A4DDF" w:rsidRPr="00937C8B" w:rsidRDefault="002A4DDF" w:rsidP="009110ED">
            <w:pPr>
              <w:rPr>
                <w:rFonts w:ascii="Arial" w:hAnsi="Arial" w:cs="Arial"/>
                <w:sz w:val="12"/>
                <w:szCs w:val="12"/>
              </w:rPr>
            </w:pPr>
          </w:p>
        </w:tc>
      </w:tr>
      <w:tr w:rsidR="002A4DDF" w:rsidRPr="00937C8B" w14:paraId="2D1525C1" w14:textId="77777777" w:rsidTr="00935676">
        <w:trPr>
          <w:cantSplit/>
        </w:trPr>
        <w:tc>
          <w:tcPr>
            <w:tcW w:w="1696" w:type="dxa"/>
            <w:tcBorders>
              <w:left w:val="single" w:sz="4" w:space="0" w:color="auto"/>
            </w:tcBorders>
            <w:shd w:val="clear" w:color="auto" w:fill="auto"/>
          </w:tcPr>
          <w:p w14:paraId="600361BC" w14:textId="77777777" w:rsidR="002A4DDF" w:rsidRPr="00937C8B" w:rsidRDefault="002A4DDF" w:rsidP="009110ED">
            <w:pPr>
              <w:rPr>
                <w:rFonts w:ascii="Arial" w:hAnsi="Arial" w:cs="Arial"/>
                <w:sz w:val="12"/>
                <w:szCs w:val="12"/>
              </w:rPr>
            </w:pPr>
          </w:p>
        </w:tc>
        <w:tc>
          <w:tcPr>
            <w:tcW w:w="1843" w:type="dxa"/>
            <w:shd w:val="clear" w:color="auto" w:fill="auto"/>
          </w:tcPr>
          <w:p w14:paraId="7CC94FDF" w14:textId="77777777" w:rsidR="002A4DDF" w:rsidRPr="00937C8B" w:rsidRDefault="002A4DDF" w:rsidP="009110ED">
            <w:pPr>
              <w:rPr>
                <w:rFonts w:ascii="Arial" w:hAnsi="Arial" w:cs="Arial"/>
                <w:sz w:val="12"/>
                <w:szCs w:val="12"/>
              </w:rPr>
            </w:pPr>
          </w:p>
        </w:tc>
        <w:tc>
          <w:tcPr>
            <w:tcW w:w="2268" w:type="dxa"/>
            <w:shd w:val="clear" w:color="auto" w:fill="F2F2F2"/>
            <w:hideMark/>
          </w:tcPr>
          <w:p w14:paraId="520A1167" w14:textId="77777777" w:rsidR="002A4DDF" w:rsidRPr="00937C8B" w:rsidRDefault="002A4DDF" w:rsidP="009110ED">
            <w:pPr>
              <w:rPr>
                <w:rFonts w:ascii="Arial" w:hAnsi="Arial" w:cs="Arial"/>
                <w:sz w:val="12"/>
                <w:szCs w:val="12"/>
              </w:rPr>
            </w:pPr>
            <w:r>
              <w:rPr>
                <w:rFonts w:ascii="Arial" w:hAnsi="Arial"/>
                <w:sz w:val="12"/>
                <w:szCs w:val="12"/>
              </w:rPr>
              <w:t>Vega de Liébana</w:t>
            </w:r>
          </w:p>
        </w:tc>
        <w:tc>
          <w:tcPr>
            <w:tcW w:w="2268" w:type="dxa"/>
            <w:tcBorders>
              <w:right w:val="single" w:sz="4" w:space="0" w:color="auto"/>
            </w:tcBorders>
            <w:shd w:val="clear" w:color="auto" w:fill="D9D9D9"/>
            <w:hideMark/>
          </w:tcPr>
          <w:p w14:paraId="674A6BC4" w14:textId="77777777" w:rsidR="002A4DDF" w:rsidRPr="00937C8B" w:rsidRDefault="002A4DDF" w:rsidP="009110ED">
            <w:pPr>
              <w:rPr>
                <w:rFonts w:ascii="Arial" w:hAnsi="Arial" w:cs="Arial"/>
                <w:sz w:val="12"/>
                <w:szCs w:val="12"/>
              </w:rPr>
            </w:pPr>
          </w:p>
        </w:tc>
      </w:tr>
      <w:tr w:rsidR="002A4DDF" w:rsidRPr="00937C8B" w14:paraId="7B1F1F10" w14:textId="77777777" w:rsidTr="00935676">
        <w:trPr>
          <w:cantSplit/>
        </w:trPr>
        <w:tc>
          <w:tcPr>
            <w:tcW w:w="1696" w:type="dxa"/>
            <w:tcBorders>
              <w:left w:val="single" w:sz="4" w:space="0" w:color="auto"/>
            </w:tcBorders>
            <w:shd w:val="clear" w:color="auto" w:fill="auto"/>
          </w:tcPr>
          <w:p w14:paraId="1F563801" w14:textId="77777777" w:rsidR="002A4DDF" w:rsidRPr="00937C8B" w:rsidRDefault="002A4DDF" w:rsidP="009110ED">
            <w:pPr>
              <w:rPr>
                <w:rFonts w:ascii="Arial" w:hAnsi="Arial" w:cs="Arial"/>
                <w:sz w:val="12"/>
                <w:szCs w:val="12"/>
              </w:rPr>
            </w:pPr>
          </w:p>
        </w:tc>
        <w:tc>
          <w:tcPr>
            <w:tcW w:w="1843" w:type="dxa"/>
            <w:shd w:val="clear" w:color="auto" w:fill="auto"/>
          </w:tcPr>
          <w:p w14:paraId="49AF3E80" w14:textId="77777777" w:rsidR="002A4DDF" w:rsidRPr="00937C8B" w:rsidRDefault="002A4DDF" w:rsidP="009110ED">
            <w:pPr>
              <w:rPr>
                <w:rFonts w:ascii="Arial" w:hAnsi="Arial" w:cs="Arial"/>
                <w:sz w:val="12"/>
                <w:szCs w:val="12"/>
              </w:rPr>
            </w:pPr>
          </w:p>
        </w:tc>
        <w:tc>
          <w:tcPr>
            <w:tcW w:w="2268" w:type="dxa"/>
            <w:shd w:val="clear" w:color="auto" w:fill="F2F2F2"/>
            <w:hideMark/>
          </w:tcPr>
          <w:p w14:paraId="62FDA0EB" w14:textId="77777777" w:rsidR="002A4DDF" w:rsidRPr="00937C8B" w:rsidRDefault="002A4DDF" w:rsidP="009110ED">
            <w:pPr>
              <w:rPr>
                <w:rFonts w:ascii="Arial" w:hAnsi="Arial" w:cs="Arial"/>
                <w:sz w:val="12"/>
                <w:szCs w:val="12"/>
              </w:rPr>
            </w:pPr>
            <w:r>
              <w:rPr>
                <w:rFonts w:ascii="Arial" w:hAnsi="Arial"/>
                <w:sz w:val="12"/>
                <w:szCs w:val="12"/>
              </w:rPr>
              <w:t>Vega de Pas</w:t>
            </w:r>
          </w:p>
        </w:tc>
        <w:tc>
          <w:tcPr>
            <w:tcW w:w="2268" w:type="dxa"/>
            <w:tcBorders>
              <w:right w:val="single" w:sz="4" w:space="0" w:color="auto"/>
            </w:tcBorders>
            <w:shd w:val="clear" w:color="auto" w:fill="D9D9D9"/>
            <w:hideMark/>
          </w:tcPr>
          <w:p w14:paraId="37135135" w14:textId="77777777" w:rsidR="002A4DDF" w:rsidRPr="00937C8B" w:rsidRDefault="002A4DDF" w:rsidP="009110ED">
            <w:pPr>
              <w:rPr>
                <w:rFonts w:ascii="Arial" w:hAnsi="Arial" w:cs="Arial"/>
                <w:sz w:val="12"/>
                <w:szCs w:val="12"/>
              </w:rPr>
            </w:pPr>
          </w:p>
        </w:tc>
      </w:tr>
      <w:tr w:rsidR="002A4DDF" w:rsidRPr="00937C8B" w14:paraId="77A2823B" w14:textId="77777777" w:rsidTr="00935676">
        <w:trPr>
          <w:cantSplit/>
        </w:trPr>
        <w:tc>
          <w:tcPr>
            <w:tcW w:w="1696" w:type="dxa"/>
            <w:tcBorders>
              <w:left w:val="single" w:sz="4" w:space="0" w:color="auto"/>
              <w:bottom w:val="single" w:sz="4" w:space="0" w:color="E7E6E6"/>
            </w:tcBorders>
            <w:shd w:val="clear" w:color="auto" w:fill="auto"/>
          </w:tcPr>
          <w:p w14:paraId="73F7AD95" w14:textId="77777777" w:rsidR="002A4DDF" w:rsidRPr="00937C8B" w:rsidRDefault="002A4DDF" w:rsidP="009110ED">
            <w:pPr>
              <w:rPr>
                <w:rFonts w:ascii="Arial" w:hAnsi="Arial" w:cs="Arial"/>
                <w:sz w:val="12"/>
                <w:szCs w:val="12"/>
              </w:rPr>
            </w:pPr>
          </w:p>
        </w:tc>
        <w:tc>
          <w:tcPr>
            <w:tcW w:w="1843" w:type="dxa"/>
            <w:tcBorders>
              <w:bottom w:val="single" w:sz="4" w:space="0" w:color="E7E6E6"/>
            </w:tcBorders>
            <w:shd w:val="clear" w:color="auto" w:fill="auto"/>
          </w:tcPr>
          <w:p w14:paraId="7FCB283C" w14:textId="77777777" w:rsidR="002A4DDF" w:rsidRPr="00937C8B" w:rsidRDefault="002A4DDF" w:rsidP="009110ED">
            <w:pPr>
              <w:rPr>
                <w:rFonts w:ascii="Arial" w:hAnsi="Arial" w:cs="Arial"/>
                <w:sz w:val="12"/>
                <w:szCs w:val="12"/>
              </w:rPr>
            </w:pPr>
          </w:p>
        </w:tc>
        <w:tc>
          <w:tcPr>
            <w:tcW w:w="2268" w:type="dxa"/>
            <w:tcBorders>
              <w:bottom w:val="single" w:sz="4" w:space="0" w:color="E7E6E6"/>
            </w:tcBorders>
            <w:shd w:val="clear" w:color="auto" w:fill="F2F2F2"/>
            <w:hideMark/>
          </w:tcPr>
          <w:p w14:paraId="2FD3706C" w14:textId="77777777" w:rsidR="002A4DDF" w:rsidRPr="00937C8B" w:rsidRDefault="002A4DDF" w:rsidP="009110ED">
            <w:pPr>
              <w:rPr>
                <w:rFonts w:ascii="Arial" w:hAnsi="Arial" w:cs="Arial"/>
                <w:sz w:val="12"/>
                <w:szCs w:val="12"/>
              </w:rPr>
            </w:pPr>
            <w:r>
              <w:rPr>
                <w:rFonts w:ascii="Arial" w:hAnsi="Arial"/>
                <w:sz w:val="12"/>
                <w:szCs w:val="12"/>
              </w:rPr>
              <w:t>Villaescusa</w:t>
            </w:r>
          </w:p>
        </w:tc>
        <w:tc>
          <w:tcPr>
            <w:tcW w:w="2268" w:type="dxa"/>
            <w:tcBorders>
              <w:bottom w:val="single" w:sz="4" w:space="0" w:color="E7E6E6"/>
              <w:right w:val="single" w:sz="4" w:space="0" w:color="auto"/>
            </w:tcBorders>
            <w:shd w:val="clear" w:color="auto" w:fill="D9D9D9"/>
            <w:hideMark/>
          </w:tcPr>
          <w:p w14:paraId="5D8CA4FE" w14:textId="77777777" w:rsidR="002A4DDF" w:rsidRPr="00937C8B" w:rsidRDefault="002A4DDF" w:rsidP="009110ED">
            <w:pPr>
              <w:rPr>
                <w:rFonts w:ascii="Arial" w:hAnsi="Arial" w:cs="Arial"/>
                <w:sz w:val="12"/>
                <w:szCs w:val="12"/>
              </w:rPr>
            </w:pPr>
          </w:p>
        </w:tc>
      </w:tr>
      <w:tr w:rsidR="002A4DDF" w:rsidRPr="00937C8B" w14:paraId="1962B1E9" w14:textId="77777777" w:rsidTr="00935676">
        <w:trPr>
          <w:cantSplit/>
        </w:trPr>
        <w:tc>
          <w:tcPr>
            <w:tcW w:w="1696" w:type="dxa"/>
            <w:tcBorders>
              <w:left w:val="single" w:sz="4" w:space="0" w:color="auto"/>
              <w:bottom w:val="single" w:sz="4" w:space="0" w:color="auto"/>
            </w:tcBorders>
            <w:shd w:val="clear" w:color="auto" w:fill="auto"/>
            <w:hideMark/>
          </w:tcPr>
          <w:p w14:paraId="306B0918" w14:textId="77777777" w:rsidR="002A4DDF" w:rsidRPr="00937C8B" w:rsidRDefault="002A4DDF" w:rsidP="009110ED">
            <w:pPr>
              <w:rPr>
                <w:rFonts w:ascii="Arial" w:hAnsi="Arial" w:cs="Arial"/>
                <w:sz w:val="12"/>
                <w:szCs w:val="12"/>
              </w:rPr>
            </w:pPr>
            <w:r>
              <w:rPr>
                <w:rFonts w:ascii="Arial" w:hAnsi="Arial"/>
                <w:sz w:val="12"/>
                <w:szCs w:val="12"/>
              </w:rPr>
              <w:t>Cantabrie</w:t>
            </w:r>
          </w:p>
        </w:tc>
        <w:tc>
          <w:tcPr>
            <w:tcW w:w="1843" w:type="dxa"/>
            <w:tcBorders>
              <w:bottom w:val="single" w:sz="4" w:space="0" w:color="auto"/>
            </w:tcBorders>
            <w:shd w:val="clear" w:color="auto" w:fill="auto"/>
            <w:hideMark/>
          </w:tcPr>
          <w:p w14:paraId="1548BAB5" w14:textId="77777777" w:rsidR="002A4DDF" w:rsidRPr="00937C8B" w:rsidRDefault="002A4DDF" w:rsidP="009110ED">
            <w:pPr>
              <w:rPr>
                <w:rFonts w:ascii="Arial" w:hAnsi="Arial" w:cs="Arial"/>
                <w:sz w:val="12"/>
                <w:szCs w:val="12"/>
              </w:rPr>
            </w:pPr>
            <w:r>
              <w:rPr>
                <w:rFonts w:ascii="Arial" w:hAnsi="Arial"/>
                <w:sz w:val="12"/>
                <w:szCs w:val="12"/>
              </w:rPr>
              <w:t>Cantabrie</w:t>
            </w:r>
          </w:p>
        </w:tc>
        <w:tc>
          <w:tcPr>
            <w:tcW w:w="2268" w:type="dxa"/>
            <w:tcBorders>
              <w:bottom w:val="single" w:sz="4" w:space="0" w:color="auto"/>
            </w:tcBorders>
            <w:shd w:val="clear" w:color="auto" w:fill="F2F2F2"/>
            <w:hideMark/>
          </w:tcPr>
          <w:p w14:paraId="222F7531" w14:textId="77777777" w:rsidR="002A4DDF" w:rsidRPr="00937C8B" w:rsidRDefault="002A4DDF" w:rsidP="009110ED">
            <w:pPr>
              <w:rPr>
                <w:rFonts w:ascii="Arial" w:hAnsi="Arial" w:cs="Arial"/>
                <w:sz w:val="12"/>
                <w:szCs w:val="12"/>
              </w:rPr>
            </w:pPr>
            <w:r>
              <w:rPr>
                <w:rFonts w:ascii="Arial" w:hAnsi="Arial"/>
                <w:sz w:val="12"/>
                <w:szCs w:val="12"/>
              </w:rPr>
              <w:t>Voto</w:t>
            </w:r>
          </w:p>
        </w:tc>
        <w:tc>
          <w:tcPr>
            <w:tcW w:w="2268" w:type="dxa"/>
            <w:tcBorders>
              <w:bottom w:val="single" w:sz="4" w:space="0" w:color="auto"/>
              <w:right w:val="single" w:sz="4" w:space="0" w:color="auto"/>
            </w:tcBorders>
            <w:shd w:val="clear" w:color="auto" w:fill="D9D9D9"/>
            <w:hideMark/>
          </w:tcPr>
          <w:p w14:paraId="11AF9E90" w14:textId="77777777" w:rsidR="002A4DDF" w:rsidRPr="00937C8B" w:rsidRDefault="002A4DDF" w:rsidP="009110ED">
            <w:pPr>
              <w:rPr>
                <w:rFonts w:ascii="Arial" w:hAnsi="Arial" w:cs="Arial"/>
                <w:sz w:val="12"/>
                <w:szCs w:val="12"/>
              </w:rPr>
            </w:pPr>
          </w:p>
        </w:tc>
      </w:tr>
      <w:tr w:rsidR="002A4DDF" w:rsidRPr="00937C8B" w14:paraId="4C9E70BD" w14:textId="77777777" w:rsidTr="00935676">
        <w:trPr>
          <w:cantSplit/>
        </w:trPr>
        <w:tc>
          <w:tcPr>
            <w:tcW w:w="1696" w:type="dxa"/>
            <w:tcBorders>
              <w:top w:val="single" w:sz="4" w:space="0" w:color="auto"/>
            </w:tcBorders>
            <w:shd w:val="clear" w:color="auto" w:fill="auto"/>
            <w:hideMark/>
          </w:tcPr>
          <w:p w14:paraId="7A5008F0" w14:textId="77777777" w:rsidR="002A4DDF" w:rsidRPr="00937C8B" w:rsidRDefault="002A4DDF" w:rsidP="009110ED">
            <w:pPr>
              <w:rPr>
                <w:rFonts w:ascii="Arial" w:hAnsi="Arial" w:cs="Arial"/>
                <w:sz w:val="12"/>
                <w:szCs w:val="12"/>
              </w:rPr>
            </w:pPr>
          </w:p>
        </w:tc>
        <w:tc>
          <w:tcPr>
            <w:tcW w:w="1843" w:type="dxa"/>
            <w:tcBorders>
              <w:top w:val="single" w:sz="4" w:space="0" w:color="auto"/>
            </w:tcBorders>
            <w:shd w:val="clear" w:color="auto" w:fill="auto"/>
            <w:hideMark/>
          </w:tcPr>
          <w:p w14:paraId="6B73E276" w14:textId="77777777" w:rsidR="002A4DDF" w:rsidRPr="00937C8B"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14:paraId="57C3ABB2" w14:textId="77777777" w:rsidR="002A4DDF" w:rsidRPr="00937C8B"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14:paraId="089EBBFC" w14:textId="77777777" w:rsidR="002A4DDF" w:rsidRPr="00937C8B" w:rsidRDefault="002A4DDF" w:rsidP="009110ED">
            <w:pPr>
              <w:rPr>
                <w:rFonts w:ascii="Arial" w:hAnsi="Arial" w:cs="Arial"/>
                <w:sz w:val="12"/>
                <w:szCs w:val="12"/>
              </w:rPr>
            </w:pPr>
          </w:p>
        </w:tc>
      </w:tr>
      <w:tr w:rsidR="002A4DDF" w:rsidRPr="00937C8B" w14:paraId="6E20302E" w14:textId="77777777" w:rsidTr="00935676">
        <w:trPr>
          <w:cantSplit/>
        </w:trPr>
        <w:tc>
          <w:tcPr>
            <w:tcW w:w="1696" w:type="dxa"/>
            <w:tcBorders>
              <w:bottom w:val="single" w:sz="4" w:space="0" w:color="auto"/>
            </w:tcBorders>
            <w:shd w:val="clear" w:color="auto" w:fill="auto"/>
            <w:hideMark/>
          </w:tcPr>
          <w:p w14:paraId="7557D35B" w14:textId="77777777" w:rsidR="002A4DDF" w:rsidRPr="00937C8B"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14:paraId="45543BF3" w14:textId="77777777" w:rsidR="002A4DDF" w:rsidRPr="00937C8B"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14:paraId="4B8CB6B6" w14:textId="77777777" w:rsidR="002A4DDF" w:rsidRPr="00937C8B"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14:paraId="704A515C" w14:textId="77777777" w:rsidR="002A4DDF" w:rsidRPr="00937C8B" w:rsidRDefault="002A4DDF" w:rsidP="009110ED">
            <w:pPr>
              <w:rPr>
                <w:rFonts w:ascii="Arial" w:hAnsi="Arial" w:cs="Arial"/>
                <w:sz w:val="12"/>
                <w:szCs w:val="12"/>
              </w:rPr>
            </w:pPr>
          </w:p>
        </w:tc>
      </w:tr>
      <w:tr w:rsidR="002A4DDF" w:rsidRPr="00937C8B" w14:paraId="719EB4BF" w14:textId="77777777" w:rsidTr="00935676">
        <w:trPr>
          <w:cantSplit/>
        </w:trPr>
        <w:tc>
          <w:tcPr>
            <w:tcW w:w="1696" w:type="dxa"/>
            <w:tcBorders>
              <w:top w:val="single" w:sz="4" w:space="0" w:color="auto"/>
              <w:left w:val="single" w:sz="4" w:space="0" w:color="auto"/>
            </w:tcBorders>
            <w:shd w:val="clear" w:color="auto" w:fill="auto"/>
            <w:hideMark/>
          </w:tcPr>
          <w:p w14:paraId="63E534FE"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top w:val="single" w:sz="4" w:space="0" w:color="auto"/>
            </w:tcBorders>
            <w:shd w:val="clear" w:color="auto" w:fill="auto"/>
            <w:hideMark/>
          </w:tcPr>
          <w:p w14:paraId="6B2EDDD8" w14:textId="77777777" w:rsidR="002A4DDF" w:rsidRPr="00937C8B" w:rsidRDefault="002A4DDF" w:rsidP="009110ED">
            <w:pPr>
              <w:rPr>
                <w:rFonts w:ascii="Arial" w:hAnsi="Arial" w:cs="Arial"/>
                <w:sz w:val="12"/>
                <w:szCs w:val="12"/>
              </w:rPr>
            </w:pPr>
            <w:r>
              <w:rPr>
                <w:rFonts w:ascii="Arial" w:hAnsi="Arial"/>
                <w:sz w:val="12"/>
                <w:szCs w:val="12"/>
              </w:rPr>
              <w:t>Ávila</w:t>
            </w:r>
          </w:p>
        </w:tc>
        <w:tc>
          <w:tcPr>
            <w:tcW w:w="2268" w:type="dxa"/>
            <w:tcBorders>
              <w:top w:val="single" w:sz="4" w:space="0" w:color="auto"/>
            </w:tcBorders>
            <w:shd w:val="clear" w:color="auto" w:fill="F2F2F2"/>
            <w:hideMark/>
          </w:tcPr>
          <w:p w14:paraId="0001A50E" w14:textId="77777777" w:rsidR="002A4DDF" w:rsidRPr="00937C8B" w:rsidRDefault="002A4DDF" w:rsidP="009110ED">
            <w:pPr>
              <w:rPr>
                <w:rFonts w:ascii="Arial" w:hAnsi="Arial" w:cs="Arial"/>
                <w:sz w:val="12"/>
                <w:szCs w:val="12"/>
              </w:rPr>
            </w:pPr>
            <w:r>
              <w:rPr>
                <w:rFonts w:ascii="Arial" w:hAnsi="Arial"/>
                <w:sz w:val="12"/>
                <w:szCs w:val="12"/>
              </w:rPr>
              <w:t>Adanero</w:t>
            </w:r>
          </w:p>
        </w:tc>
        <w:tc>
          <w:tcPr>
            <w:tcW w:w="2268" w:type="dxa"/>
            <w:tcBorders>
              <w:top w:val="single" w:sz="4" w:space="0" w:color="auto"/>
              <w:right w:val="single" w:sz="4" w:space="0" w:color="auto"/>
            </w:tcBorders>
            <w:shd w:val="clear" w:color="auto" w:fill="D9D9D9"/>
            <w:hideMark/>
          </w:tcPr>
          <w:p w14:paraId="5A25A7AE" w14:textId="77777777" w:rsidR="002A4DDF" w:rsidRPr="00937C8B" w:rsidRDefault="002A4DDF" w:rsidP="009110ED">
            <w:pPr>
              <w:rPr>
                <w:rFonts w:ascii="Arial" w:hAnsi="Arial" w:cs="Arial"/>
                <w:sz w:val="12"/>
                <w:szCs w:val="12"/>
              </w:rPr>
            </w:pPr>
            <w:r>
              <w:rPr>
                <w:rFonts w:ascii="Arial" w:hAnsi="Arial"/>
                <w:sz w:val="12"/>
                <w:szCs w:val="12"/>
              </w:rPr>
              <w:t>Aldeanueva de Santa Cruz</w:t>
            </w:r>
          </w:p>
        </w:tc>
      </w:tr>
      <w:tr w:rsidR="002A4DDF" w:rsidRPr="00937C8B" w14:paraId="3AC70BC5" w14:textId="77777777" w:rsidTr="00935676">
        <w:trPr>
          <w:cantSplit/>
        </w:trPr>
        <w:tc>
          <w:tcPr>
            <w:tcW w:w="1696" w:type="dxa"/>
            <w:tcBorders>
              <w:left w:val="single" w:sz="4" w:space="0" w:color="auto"/>
            </w:tcBorders>
            <w:shd w:val="clear" w:color="auto" w:fill="auto"/>
          </w:tcPr>
          <w:p w14:paraId="7088F8B9" w14:textId="77777777" w:rsidR="002A4DDF" w:rsidRPr="00937C8B" w:rsidRDefault="002A4DDF" w:rsidP="009110ED">
            <w:pPr>
              <w:rPr>
                <w:rFonts w:ascii="Arial" w:hAnsi="Arial" w:cs="Arial"/>
                <w:sz w:val="12"/>
                <w:szCs w:val="12"/>
              </w:rPr>
            </w:pPr>
          </w:p>
        </w:tc>
        <w:tc>
          <w:tcPr>
            <w:tcW w:w="1843" w:type="dxa"/>
            <w:shd w:val="clear" w:color="auto" w:fill="auto"/>
          </w:tcPr>
          <w:p w14:paraId="51BABC6E" w14:textId="77777777" w:rsidR="002A4DDF" w:rsidRPr="00937C8B" w:rsidRDefault="002A4DDF" w:rsidP="009110ED">
            <w:pPr>
              <w:rPr>
                <w:rFonts w:ascii="Arial" w:hAnsi="Arial" w:cs="Arial"/>
                <w:sz w:val="12"/>
                <w:szCs w:val="12"/>
              </w:rPr>
            </w:pPr>
          </w:p>
        </w:tc>
        <w:tc>
          <w:tcPr>
            <w:tcW w:w="2268" w:type="dxa"/>
            <w:shd w:val="clear" w:color="auto" w:fill="F2F2F2"/>
            <w:hideMark/>
          </w:tcPr>
          <w:p w14:paraId="03DB9F1B" w14:textId="77777777" w:rsidR="002A4DDF" w:rsidRPr="00937C8B" w:rsidRDefault="002A4DDF" w:rsidP="009110ED">
            <w:pPr>
              <w:rPr>
                <w:rFonts w:ascii="Arial" w:hAnsi="Arial" w:cs="Arial"/>
                <w:sz w:val="12"/>
                <w:szCs w:val="12"/>
              </w:rPr>
            </w:pPr>
            <w:r>
              <w:rPr>
                <w:rFonts w:ascii="Arial" w:hAnsi="Arial"/>
                <w:sz w:val="12"/>
                <w:szCs w:val="12"/>
              </w:rPr>
              <w:t>Albornos</w:t>
            </w:r>
          </w:p>
        </w:tc>
        <w:tc>
          <w:tcPr>
            <w:tcW w:w="2268" w:type="dxa"/>
            <w:tcBorders>
              <w:right w:val="single" w:sz="4" w:space="0" w:color="auto"/>
            </w:tcBorders>
            <w:shd w:val="clear" w:color="auto" w:fill="D9D9D9"/>
            <w:hideMark/>
          </w:tcPr>
          <w:p w14:paraId="1B738BCE" w14:textId="77777777" w:rsidR="002A4DDF" w:rsidRPr="00937C8B" w:rsidRDefault="002A4DDF" w:rsidP="009110ED">
            <w:pPr>
              <w:rPr>
                <w:rFonts w:ascii="Arial" w:hAnsi="Arial" w:cs="Arial"/>
                <w:sz w:val="12"/>
                <w:szCs w:val="12"/>
              </w:rPr>
            </w:pPr>
            <w:r>
              <w:rPr>
                <w:rFonts w:ascii="Arial" w:hAnsi="Arial"/>
                <w:sz w:val="12"/>
                <w:szCs w:val="12"/>
              </w:rPr>
              <w:t>Amavida</w:t>
            </w:r>
          </w:p>
        </w:tc>
      </w:tr>
      <w:tr w:rsidR="002A4DDF" w:rsidRPr="00937C8B" w14:paraId="20E7A124" w14:textId="77777777" w:rsidTr="00935676">
        <w:trPr>
          <w:cantSplit/>
        </w:trPr>
        <w:tc>
          <w:tcPr>
            <w:tcW w:w="1696" w:type="dxa"/>
            <w:tcBorders>
              <w:left w:val="single" w:sz="4" w:space="0" w:color="auto"/>
            </w:tcBorders>
            <w:shd w:val="clear" w:color="auto" w:fill="auto"/>
          </w:tcPr>
          <w:p w14:paraId="011B454F" w14:textId="77777777" w:rsidR="002A4DDF" w:rsidRPr="00937C8B" w:rsidRDefault="002A4DDF" w:rsidP="009110ED">
            <w:pPr>
              <w:rPr>
                <w:rFonts w:ascii="Arial" w:hAnsi="Arial" w:cs="Arial"/>
                <w:sz w:val="12"/>
                <w:szCs w:val="12"/>
              </w:rPr>
            </w:pPr>
          </w:p>
        </w:tc>
        <w:tc>
          <w:tcPr>
            <w:tcW w:w="1843" w:type="dxa"/>
            <w:shd w:val="clear" w:color="auto" w:fill="auto"/>
          </w:tcPr>
          <w:p w14:paraId="0E3E98C8" w14:textId="77777777" w:rsidR="002A4DDF" w:rsidRPr="00937C8B" w:rsidRDefault="002A4DDF" w:rsidP="009110ED">
            <w:pPr>
              <w:rPr>
                <w:rFonts w:ascii="Arial" w:hAnsi="Arial" w:cs="Arial"/>
                <w:sz w:val="12"/>
                <w:szCs w:val="12"/>
              </w:rPr>
            </w:pPr>
          </w:p>
        </w:tc>
        <w:tc>
          <w:tcPr>
            <w:tcW w:w="2268" w:type="dxa"/>
            <w:shd w:val="clear" w:color="auto" w:fill="F2F2F2"/>
            <w:hideMark/>
          </w:tcPr>
          <w:p w14:paraId="1277E32A" w14:textId="77777777" w:rsidR="002A4DDF" w:rsidRPr="00937C8B" w:rsidRDefault="002A4DDF" w:rsidP="009110ED">
            <w:pPr>
              <w:rPr>
                <w:rFonts w:ascii="Arial" w:hAnsi="Arial" w:cs="Arial"/>
                <w:sz w:val="12"/>
                <w:szCs w:val="12"/>
              </w:rPr>
            </w:pPr>
            <w:r>
              <w:rPr>
                <w:rFonts w:ascii="Arial" w:hAnsi="Arial"/>
                <w:sz w:val="12"/>
                <w:szCs w:val="12"/>
              </w:rPr>
              <w:t>Aldeaseca</w:t>
            </w:r>
          </w:p>
        </w:tc>
        <w:tc>
          <w:tcPr>
            <w:tcW w:w="2268" w:type="dxa"/>
            <w:tcBorders>
              <w:right w:val="single" w:sz="4" w:space="0" w:color="auto"/>
            </w:tcBorders>
            <w:shd w:val="clear" w:color="auto" w:fill="D9D9D9"/>
            <w:hideMark/>
          </w:tcPr>
          <w:p w14:paraId="1C526B35" w14:textId="77777777" w:rsidR="002A4DDF" w:rsidRPr="00937C8B" w:rsidRDefault="002A4DDF" w:rsidP="009110ED">
            <w:pPr>
              <w:rPr>
                <w:rFonts w:ascii="Arial" w:hAnsi="Arial" w:cs="Arial"/>
                <w:sz w:val="12"/>
                <w:szCs w:val="12"/>
              </w:rPr>
            </w:pPr>
            <w:r>
              <w:rPr>
                <w:rFonts w:ascii="Arial" w:hAnsi="Arial"/>
                <w:sz w:val="12"/>
                <w:szCs w:val="12"/>
              </w:rPr>
              <w:t>Arenas de San Pedro</w:t>
            </w:r>
          </w:p>
        </w:tc>
      </w:tr>
      <w:tr w:rsidR="002A4DDF" w:rsidRPr="00937C8B" w14:paraId="14750700" w14:textId="77777777" w:rsidTr="00935676">
        <w:trPr>
          <w:cantSplit/>
        </w:trPr>
        <w:tc>
          <w:tcPr>
            <w:tcW w:w="1696" w:type="dxa"/>
            <w:tcBorders>
              <w:left w:val="single" w:sz="4" w:space="0" w:color="auto"/>
            </w:tcBorders>
            <w:shd w:val="clear" w:color="auto" w:fill="auto"/>
          </w:tcPr>
          <w:p w14:paraId="711DABD8" w14:textId="77777777" w:rsidR="002A4DDF" w:rsidRPr="00937C8B" w:rsidRDefault="002A4DDF" w:rsidP="009110ED">
            <w:pPr>
              <w:rPr>
                <w:rFonts w:ascii="Arial" w:hAnsi="Arial" w:cs="Arial"/>
                <w:sz w:val="12"/>
                <w:szCs w:val="12"/>
              </w:rPr>
            </w:pPr>
          </w:p>
        </w:tc>
        <w:tc>
          <w:tcPr>
            <w:tcW w:w="1843" w:type="dxa"/>
            <w:shd w:val="clear" w:color="auto" w:fill="auto"/>
          </w:tcPr>
          <w:p w14:paraId="1A5663C9" w14:textId="77777777" w:rsidR="002A4DDF" w:rsidRPr="00937C8B" w:rsidRDefault="002A4DDF" w:rsidP="009110ED">
            <w:pPr>
              <w:rPr>
                <w:rFonts w:ascii="Arial" w:hAnsi="Arial" w:cs="Arial"/>
                <w:sz w:val="12"/>
                <w:szCs w:val="12"/>
              </w:rPr>
            </w:pPr>
          </w:p>
        </w:tc>
        <w:tc>
          <w:tcPr>
            <w:tcW w:w="2268" w:type="dxa"/>
            <w:shd w:val="clear" w:color="auto" w:fill="F2F2F2"/>
            <w:hideMark/>
          </w:tcPr>
          <w:p w14:paraId="7F3EDDDF" w14:textId="77777777" w:rsidR="002A4DDF" w:rsidRPr="00937C8B" w:rsidRDefault="002A4DDF" w:rsidP="009110ED">
            <w:pPr>
              <w:rPr>
                <w:rFonts w:ascii="Arial" w:hAnsi="Arial" w:cs="Arial"/>
                <w:sz w:val="12"/>
                <w:szCs w:val="12"/>
              </w:rPr>
            </w:pPr>
            <w:r>
              <w:rPr>
                <w:rFonts w:ascii="Arial" w:hAnsi="Arial"/>
                <w:sz w:val="12"/>
                <w:szCs w:val="12"/>
              </w:rPr>
              <w:t>Arévalo</w:t>
            </w:r>
          </w:p>
        </w:tc>
        <w:tc>
          <w:tcPr>
            <w:tcW w:w="2268" w:type="dxa"/>
            <w:tcBorders>
              <w:right w:val="single" w:sz="4" w:space="0" w:color="auto"/>
            </w:tcBorders>
            <w:shd w:val="clear" w:color="auto" w:fill="D9D9D9"/>
            <w:hideMark/>
          </w:tcPr>
          <w:p w14:paraId="29D2BBA2" w14:textId="77777777" w:rsidR="002A4DDF" w:rsidRPr="00937C8B" w:rsidRDefault="002A4DDF" w:rsidP="009110ED">
            <w:pPr>
              <w:rPr>
                <w:rFonts w:ascii="Arial" w:hAnsi="Arial" w:cs="Arial"/>
                <w:sz w:val="12"/>
                <w:szCs w:val="12"/>
              </w:rPr>
            </w:pPr>
            <w:r>
              <w:rPr>
                <w:rFonts w:ascii="Arial" w:hAnsi="Arial"/>
                <w:sz w:val="12"/>
                <w:szCs w:val="12"/>
              </w:rPr>
              <w:t>Arevalillo</w:t>
            </w:r>
          </w:p>
        </w:tc>
      </w:tr>
      <w:tr w:rsidR="002A4DDF" w:rsidRPr="00937C8B" w14:paraId="123926CD" w14:textId="77777777" w:rsidTr="00935676">
        <w:trPr>
          <w:cantSplit/>
        </w:trPr>
        <w:tc>
          <w:tcPr>
            <w:tcW w:w="1696" w:type="dxa"/>
            <w:tcBorders>
              <w:left w:val="single" w:sz="4" w:space="0" w:color="auto"/>
            </w:tcBorders>
            <w:shd w:val="clear" w:color="auto" w:fill="auto"/>
          </w:tcPr>
          <w:p w14:paraId="689A59F9" w14:textId="77777777" w:rsidR="002A4DDF" w:rsidRPr="00937C8B" w:rsidRDefault="002A4DDF" w:rsidP="009110ED">
            <w:pPr>
              <w:rPr>
                <w:rFonts w:ascii="Arial" w:hAnsi="Arial" w:cs="Arial"/>
                <w:sz w:val="12"/>
                <w:szCs w:val="12"/>
              </w:rPr>
            </w:pPr>
          </w:p>
        </w:tc>
        <w:tc>
          <w:tcPr>
            <w:tcW w:w="1843" w:type="dxa"/>
            <w:shd w:val="clear" w:color="auto" w:fill="auto"/>
          </w:tcPr>
          <w:p w14:paraId="047A9089" w14:textId="77777777" w:rsidR="002A4DDF" w:rsidRPr="00937C8B" w:rsidRDefault="002A4DDF" w:rsidP="009110ED">
            <w:pPr>
              <w:rPr>
                <w:rFonts w:ascii="Arial" w:hAnsi="Arial" w:cs="Arial"/>
                <w:sz w:val="12"/>
                <w:szCs w:val="12"/>
              </w:rPr>
            </w:pPr>
          </w:p>
        </w:tc>
        <w:tc>
          <w:tcPr>
            <w:tcW w:w="2268" w:type="dxa"/>
            <w:shd w:val="clear" w:color="auto" w:fill="F2F2F2"/>
            <w:hideMark/>
          </w:tcPr>
          <w:p w14:paraId="6D077A89" w14:textId="77777777" w:rsidR="002A4DDF" w:rsidRPr="00937C8B" w:rsidRDefault="002A4DDF" w:rsidP="009110ED">
            <w:pPr>
              <w:rPr>
                <w:rFonts w:ascii="Arial" w:hAnsi="Arial" w:cs="Arial"/>
                <w:sz w:val="12"/>
                <w:szCs w:val="12"/>
              </w:rPr>
            </w:pPr>
            <w:r>
              <w:rPr>
                <w:rFonts w:ascii="Arial" w:hAnsi="Arial"/>
                <w:sz w:val="12"/>
                <w:szCs w:val="12"/>
              </w:rPr>
              <w:t>Aveinte</w:t>
            </w:r>
          </w:p>
        </w:tc>
        <w:tc>
          <w:tcPr>
            <w:tcW w:w="2268" w:type="dxa"/>
            <w:tcBorders>
              <w:right w:val="single" w:sz="4" w:space="0" w:color="auto"/>
            </w:tcBorders>
            <w:shd w:val="clear" w:color="auto" w:fill="D9D9D9"/>
            <w:hideMark/>
          </w:tcPr>
          <w:p w14:paraId="52F4BE66" w14:textId="77777777" w:rsidR="002A4DDF" w:rsidRPr="00937C8B" w:rsidRDefault="002A4DDF" w:rsidP="009110ED">
            <w:pPr>
              <w:rPr>
                <w:rFonts w:ascii="Arial" w:hAnsi="Arial" w:cs="Arial"/>
                <w:sz w:val="12"/>
                <w:szCs w:val="12"/>
              </w:rPr>
            </w:pPr>
            <w:r>
              <w:rPr>
                <w:rFonts w:ascii="Arial" w:hAnsi="Arial"/>
                <w:sz w:val="12"/>
                <w:szCs w:val="12"/>
              </w:rPr>
              <w:t>Avellaneda</w:t>
            </w:r>
          </w:p>
        </w:tc>
      </w:tr>
      <w:tr w:rsidR="002A4DDF" w:rsidRPr="00937C8B" w14:paraId="3BC5ABB4" w14:textId="77777777" w:rsidTr="00935676">
        <w:trPr>
          <w:cantSplit/>
        </w:trPr>
        <w:tc>
          <w:tcPr>
            <w:tcW w:w="1696" w:type="dxa"/>
            <w:tcBorders>
              <w:left w:val="single" w:sz="4" w:space="0" w:color="auto"/>
            </w:tcBorders>
            <w:shd w:val="clear" w:color="auto" w:fill="auto"/>
          </w:tcPr>
          <w:p w14:paraId="35922E7C" w14:textId="77777777" w:rsidR="002A4DDF" w:rsidRPr="00937C8B" w:rsidRDefault="002A4DDF" w:rsidP="009110ED">
            <w:pPr>
              <w:rPr>
                <w:rFonts w:ascii="Arial" w:hAnsi="Arial" w:cs="Arial"/>
                <w:sz w:val="12"/>
                <w:szCs w:val="12"/>
              </w:rPr>
            </w:pPr>
          </w:p>
        </w:tc>
        <w:tc>
          <w:tcPr>
            <w:tcW w:w="1843" w:type="dxa"/>
            <w:shd w:val="clear" w:color="auto" w:fill="auto"/>
          </w:tcPr>
          <w:p w14:paraId="440E24BC" w14:textId="77777777" w:rsidR="002A4DDF" w:rsidRPr="00937C8B" w:rsidRDefault="002A4DDF" w:rsidP="009110ED">
            <w:pPr>
              <w:rPr>
                <w:rFonts w:ascii="Arial" w:hAnsi="Arial" w:cs="Arial"/>
                <w:sz w:val="12"/>
                <w:szCs w:val="12"/>
              </w:rPr>
            </w:pPr>
          </w:p>
        </w:tc>
        <w:tc>
          <w:tcPr>
            <w:tcW w:w="2268" w:type="dxa"/>
            <w:shd w:val="clear" w:color="auto" w:fill="F2F2F2"/>
            <w:hideMark/>
          </w:tcPr>
          <w:p w14:paraId="6DA42A65" w14:textId="77777777" w:rsidR="002A4DDF" w:rsidRPr="00937C8B" w:rsidRDefault="002A4DDF" w:rsidP="009110ED">
            <w:pPr>
              <w:rPr>
                <w:rFonts w:ascii="Arial" w:hAnsi="Arial" w:cs="Arial"/>
                <w:sz w:val="12"/>
                <w:szCs w:val="12"/>
              </w:rPr>
            </w:pPr>
            <w:r>
              <w:rPr>
                <w:rFonts w:ascii="Arial" w:hAnsi="Arial"/>
                <w:sz w:val="12"/>
                <w:szCs w:val="12"/>
              </w:rPr>
              <w:t>Barromán</w:t>
            </w:r>
          </w:p>
        </w:tc>
        <w:tc>
          <w:tcPr>
            <w:tcW w:w="2268" w:type="dxa"/>
            <w:tcBorders>
              <w:right w:val="single" w:sz="4" w:space="0" w:color="auto"/>
            </w:tcBorders>
            <w:shd w:val="clear" w:color="auto" w:fill="D9D9D9"/>
            <w:hideMark/>
          </w:tcPr>
          <w:p w14:paraId="4DFB4653" w14:textId="77777777" w:rsidR="002A4DDF" w:rsidRPr="00937C8B" w:rsidRDefault="002A4DDF" w:rsidP="009110ED">
            <w:pPr>
              <w:rPr>
                <w:rFonts w:ascii="Arial" w:hAnsi="Arial" w:cs="Arial"/>
                <w:sz w:val="12"/>
                <w:szCs w:val="12"/>
              </w:rPr>
            </w:pPr>
            <w:r>
              <w:rPr>
                <w:rFonts w:ascii="Arial" w:hAnsi="Arial"/>
                <w:sz w:val="12"/>
                <w:szCs w:val="12"/>
              </w:rPr>
              <w:t>Ávila</w:t>
            </w:r>
          </w:p>
        </w:tc>
      </w:tr>
      <w:tr w:rsidR="002A4DDF" w:rsidRPr="00937C8B" w14:paraId="11A6F680" w14:textId="77777777" w:rsidTr="00935676">
        <w:trPr>
          <w:cantSplit/>
        </w:trPr>
        <w:tc>
          <w:tcPr>
            <w:tcW w:w="1696" w:type="dxa"/>
            <w:tcBorders>
              <w:left w:val="single" w:sz="4" w:space="0" w:color="auto"/>
            </w:tcBorders>
            <w:shd w:val="clear" w:color="auto" w:fill="auto"/>
          </w:tcPr>
          <w:p w14:paraId="2958F228" w14:textId="77777777" w:rsidR="002A4DDF" w:rsidRPr="00937C8B" w:rsidRDefault="002A4DDF" w:rsidP="009110ED">
            <w:pPr>
              <w:rPr>
                <w:rFonts w:ascii="Arial" w:hAnsi="Arial" w:cs="Arial"/>
                <w:sz w:val="12"/>
                <w:szCs w:val="12"/>
              </w:rPr>
            </w:pPr>
          </w:p>
        </w:tc>
        <w:tc>
          <w:tcPr>
            <w:tcW w:w="1843" w:type="dxa"/>
            <w:shd w:val="clear" w:color="auto" w:fill="auto"/>
          </w:tcPr>
          <w:p w14:paraId="544EB33C" w14:textId="77777777" w:rsidR="002A4DDF" w:rsidRPr="00937C8B" w:rsidRDefault="002A4DDF" w:rsidP="009110ED">
            <w:pPr>
              <w:rPr>
                <w:rFonts w:ascii="Arial" w:hAnsi="Arial" w:cs="Arial"/>
                <w:sz w:val="12"/>
                <w:szCs w:val="12"/>
              </w:rPr>
            </w:pPr>
          </w:p>
        </w:tc>
        <w:tc>
          <w:tcPr>
            <w:tcW w:w="2268" w:type="dxa"/>
            <w:shd w:val="clear" w:color="auto" w:fill="F2F2F2"/>
            <w:hideMark/>
          </w:tcPr>
          <w:p w14:paraId="6A3EE24E" w14:textId="77777777" w:rsidR="002A4DDF" w:rsidRPr="00937C8B" w:rsidRDefault="002A4DDF" w:rsidP="009110ED">
            <w:pPr>
              <w:rPr>
                <w:rFonts w:ascii="Arial" w:hAnsi="Arial" w:cs="Arial"/>
                <w:sz w:val="12"/>
                <w:szCs w:val="12"/>
              </w:rPr>
            </w:pPr>
            <w:r>
              <w:rPr>
                <w:rFonts w:ascii="Arial" w:hAnsi="Arial"/>
                <w:sz w:val="12"/>
                <w:szCs w:val="12"/>
              </w:rPr>
              <w:t>Bercial de Zapardiel</w:t>
            </w:r>
          </w:p>
        </w:tc>
        <w:tc>
          <w:tcPr>
            <w:tcW w:w="2268" w:type="dxa"/>
            <w:tcBorders>
              <w:right w:val="single" w:sz="4" w:space="0" w:color="auto"/>
            </w:tcBorders>
            <w:shd w:val="clear" w:color="auto" w:fill="D9D9D9"/>
            <w:hideMark/>
          </w:tcPr>
          <w:p w14:paraId="097CBE8E" w14:textId="77777777" w:rsidR="002A4DDF" w:rsidRPr="00937C8B" w:rsidRDefault="002A4DDF" w:rsidP="009110ED">
            <w:pPr>
              <w:rPr>
                <w:rFonts w:ascii="Arial" w:hAnsi="Arial" w:cs="Arial"/>
                <w:sz w:val="12"/>
                <w:szCs w:val="12"/>
              </w:rPr>
            </w:pPr>
            <w:r>
              <w:rPr>
                <w:rFonts w:ascii="Arial" w:hAnsi="Arial"/>
                <w:sz w:val="12"/>
                <w:szCs w:val="12"/>
              </w:rPr>
              <w:t>Becedas</w:t>
            </w:r>
          </w:p>
        </w:tc>
      </w:tr>
      <w:tr w:rsidR="002A4DDF" w:rsidRPr="00937C8B" w14:paraId="424CD729" w14:textId="77777777" w:rsidTr="00935676">
        <w:trPr>
          <w:cantSplit/>
        </w:trPr>
        <w:tc>
          <w:tcPr>
            <w:tcW w:w="1696" w:type="dxa"/>
            <w:tcBorders>
              <w:left w:val="single" w:sz="4" w:space="0" w:color="auto"/>
            </w:tcBorders>
            <w:shd w:val="clear" w:color="auto" w:fill="auto"/>
          </w:tcPr>
          <w:p w14:paraId="4D4B46B8" w14:textId="77777777" w:rsidR="002A4DDF" w:rsidRPr="00937C8B" w:rsidRDefault="002A4DDF" w:rsidP="009110ED">
            <w:pPr>
              <w:rPr>
                <w:rFonts w:ascii="Arial" w:hAnsi="Arial" w:cs="Arial"/>
                <w:sz w:val="12"/>
                <w:szCs w:val="12"/>
              </w:rPr>
            </w:pPr>
          </w:p>
        </w:tc>
        <w:tc>
          <w:tcPr>
            <w:tcW w:w="1843" w:type="dxa"/>
            <w:shd w:val="clear" w:color="auto" w:fill="auto"/>
          </w:tcPr>
          <w:p w14:paraId="5BE4DFDA" w14:textId="77777777" w:rsidR="002A4DDF" w:rsidRPr="00937C8B" w:rsidRDefault="002A4DDF" w:rsidP="009110ED">
            <w:pPr>
              <w:rPr>
                <w:rFonts w:ascii="Arial" w:hAnsi="Arial" w:cs="Arial"/>
                <w:sz w:val="12"/>
                <w:szCs w:val="12"/>
              </w:rPr>
            </w:pPr>
          </w:p>
        </w:tc>
        <w:tc>
          <w:tcPr>
            <w:tcW w:w="2268" w:type="dxa"/>
            <w:shd w:val="clear" w:color="auto" w:fill="F2F2F2"/>
            <w:hideMark/>
          </w:tcPr>
          <w:p w14:paraId="766C9452" w14:textId="77777777" w:rsidR="002A4DDF" w:rsidRPr="00937C8B" w:rsidRDefault="002A4DDF" w:rsidP="009110ED">
            <w:pPr>
              <w:rPr>
                <w:rFonts w:ascii="Arial" w:hAnsi="Arial" w:cs="Arial"/>
                <w:sz w:val="12"/>
                <w:szCs w:val="12"/>
              </w:rPr>
            </w:pPr>
            <w:r>
              <w:rPr>
                <w:rFonts w:ascii="Arial" w:hAnsi="Arial"/>
                <w:sz w:val="12"/>
                <w:szCs w:val="12"/>
              </w:rPr>
              <w:t>Bernuy-Zapardiel</w:t>
            </w:r>
          </w:p>
        </w:tc>
        <w:tc>
          <w:tcPr>
            <w:tcW w:w="2268" w:type="dxa"/>
            <w:tcBorders>
              <w:right w:val="single" w:sz="4" w:space="0" w:color="auto"/>
            </w:tcBorders>
            <w:shd w:val="clear" w:color="auto" w:fill="D9D9D9"/>
            <w:hideMark/>
          </w:tcPr>
          <w:p w14:paraId="3E82FDBB" w14:textId="77777777" w:rsidR="002A4DDF" w:rsidRPr="00937C8B" w:rsidRDefault="002A4DDF" w:rsidP="009110ED">
            <w:pPr>
              <w:rPr>
                <w:rFonts w:ascii="Arial" w:hAnsi="Arial" w:cs="Arial"/>
                <w:sz w:val="12"/>
                <w:szCs w:val="12"/>
              </w:rPr>
            </w:pPr>
            <w:r>
              <w:rPr>
                <w:rFonts w:ascii="Arial" w:hAnsi="Arial"/>
                <w:sz w:val="12"/>
                <w:szCs w:val="12"/>
              </w:rPr>
              <w:t>Becedillas</w:t>
            </w:r>
          </w:p>
        </w:tc>
      </w:tr>
      <w:tr w:rsidR="002A4DDF" w:rsidRPr="00937C8B" w14:paraId="2B296A59" w14:textId="77777777" w:rsidTr="00935676">
        <w:trPr>
          <w:cantSplit/>
        </w:trPr>
        <w:tc>
          <w:tcPr>
            <w:tcW w:w="1696" w:type="dxa"/>
            <w:tcBorders>
              <w:left w:val="single" w:sz="4" w:space="0" w:color="auto"/>
            </w:tcBorders>
            <w:shd w:val="clear" w:color="auto" w:fill="auto"/>
          </w:tcPr>
          <w:p w14:paraId="18E70CC6" w14:textId="77777777" w:rsidR="002A4DDF" w:rsidRPr="00937C8B" w:rsidRDefault="002A4DDF" w:rsidP="009110ED">
            <w:pPr>
              <w:rPr>
                <w:rFonts w:ascii="Arial" w:hAnsi="Arial" w:cs="Arial"/>
                <w:sz w:val="12"/>
                <w:szCs w:val="12"/>
              </w:rPr>
            </w:pPr>
          </w:p>
        </w:tc>
        <w:tc>
          <w:tcPr>
            <w:tcW w:w="1843" w:type="dxa"/>
            <w:shd w:val="clear" w:color="auto" w:fill="auto"/>
          </w:tcPr>
          <w:p w14:paraId="72E1C957" w14:textId="77777777" w:rsidR="002A4DDF" w:rsidRPr="00937C8B" w:rsidRDefault="002A4DDF" w:rsidP="009110ED">
            <w:pPr>
              <w:rPr>
                <w:rFonts w:ascii="Arial" w:hAnsi="Arial" w:cs="Arial"/>
                <w:sz w:val="12"/>
                <w:szCs w:val="12"/>
              </w:rPr>
            </w:pPr>
          </w:p>
        </w:tc>
        <w:tc>
          <w:tcPr>
            <w:tcW w:w="2268" w:type="dxa"/>
            <w:shd w:val="clear" w:color="auto" w:fill="F2F2F2"/>
            <w:hideMark/>
          </w:tcPr>
          <w:p w14:paraId="5AF5FE66" w14:textId="77777777" w:rsidR="002A4DDF" w:rsidRPr="00937C8B" w:rsidRDefault="002A4DDF" w:rsidP="009110ED">
            <w:pPr>
              <w:rPr>
                <w:rFonts w:ascii="Arial" w:hAnsi="Arial" w:cs="Arial"/>
                <w:sz w:val="12"/>
                <w:szCs w:val="12"/>
              </w:rPr>
            </w:pPr>
            <w:r>
              <w:rPr>
                <w:rFonts w:ascii="Arial" w:hAnsi="Arial"/>
                <w:sz w:val="12"/>
                <w:szCs w:val="12"/>
              </w:rPr>
              <w:t>Blascomillán</w:t>
            </w:r>
          </w:p>
        </w:tc>
        <w:tc>
          <w:tcPr>
            <w:tcW w:w="2268" w:type="dxa"/>
            <w:tcBorders>
              <w:right w:val="single" w:sz="4" w:space="0" w:color="auto"/>
            </w:tcBorders>
            <w:shd w:val="clear" w:color="auto" w:fill="D9D9D9"/>
            <w:hideMark/>
          </w:tcPr>
          <w:p w14:paraId="2A2D6932" w14:textId="77777777" w:rsidR="002A4DDF" w:rsidRPr="00937C8B" w:rsidRDefault="002A4DDF" w:rsidP="009110ED">
            <w:pPr>
              <w:rPr>
                <w:rFonts w:ascii="Arial" w:hAnsi="Arial" w:cs="Arial"/>
                <w:sz w:val="12"/>
                <w:szCs w:val="12"/>
              </w:rPr>
            </w:pPr>
            <w:r>
              <w:rPr>
                <w:rFonts w:ascii="Arial" w:hAnsi="Arial"/>
                <w:sz w:val="12"/>
                <w:szCs w:val="12"/>
              </w:rPr>
              <w:t>Berrocalejo de Aragona</w:t>
            </w:r>
          </w:p>
        </w:tc>
      </w:tr>
      <w:tr w:rsidR="002A4DDF" w:rsidRPr="00937C8B" w14:paraId="16C85761" w14:textId="77777777" w:rsidTr="00935676">
        <w:trPr>
          <w:cantSplit/>
        </w:trPr>
        <w:tc>
          <w:tcPr>
            <w:tcW w:w="1696" w:type="dxa"/>
            <w:tcBorders>
              <w:left w:val="single" w:sz="4" w:space="0" w:color="auto"/>
            </w:tcBorders>
            <w:shd w:val="clear" w:color="auto" w:fill="auto"/>
          </w:tcPr>
          <w:p w14:paraId="6EE1A13C" w14:textId="77777777" w:rsidR="002A4DDF" w:rsidRPr="00937C8B" w:rsidRDefault="002A4DDF" w:rsidP="009110ED">
            <w:pPr>
              <w:rPr>
                <w:rFonts w:ascii="Arial" w:hAnsi="Arial" w:cs="Arial"/>
                <w:sz w:val="12"/>
                <w:szCs w:val="12"/>
              </w:rPr>
            </w:pPr>
          </w:p>
        </w:tc>
        <w:tc>
          <w:tcPr>
            <w:tcW w:w="1843" w:type="dxa"/>
            <w:shd w:val="clear" w:color="auto" w:fill="auto"/>
          </w:tcPr>
          <w:p w14:paraId="60F370E2" w14:textId="77777777" w:rsidR="002A4DDF" w:rsidRPr="00937C8B" w:rsidRDefault="002A4DDF" w:rsidP="009110ED">
            <w:pPr>
              <w:rPr>
                <w:rFonts w:ascii="Arial" w:hAnsi="Arial" w:cs="Arial"/>
                <w:sz w:val="12"/>
                <w:szCs w:val="12"/>
              </w:rPr>
            </w:pPr>
          </w:p>
        </w:tc>
        <w:tc>
          <w:tcPr>
            <w:tcW w:w="2268" w:type="dxa"/>
            <w:shd w:val="clear" w:color="auto" w:fill="F2F2F2"/>
            <w:hideMark/>
          </w:tcPr>
          <w:p w14:paraId="763E7221" w14:textId="77777777" w:rsidR="002A4DDF" w:rsidRPr="00937C8B" w:rsidRDefault="002A4DDF" w:rsidP="009110ED">
            <w:pPr>
              <w:rPr>
                <w:rFonts w:ascii="Arial" w:hAnsi="Arial" w:cs="Arial"/>
                <w:sz w:val="12"/>
                <w:szCs w:val="12"/>
              </w:rPr>
            </w:pPr>
            <w:r>
              <w:rPr>
                <w:rFonts w:ascii="Arial" w:hAnsi="Arial"/>
                <w:sz w:val="12"/>
                <w:szCs w:val="12"/>
              </w:rPr>
              <w:t>Blasconuño de Matacabras</w:t>
            </w:r>
          </w:p>
        </w:tc>
        <w:tc>
          <w:tcPr>
            <w:tcW w:w="2268" w:type="dxa"/>
            <w:tcBorders>
              <w:right w:val="single" w:sz="4" w:space="0" w:color="auto"/>
            </w:tcBorders>
            <w:shd w:val="clear" w:color="auto" w:fill="D9D9D9"/>
            <w:hideMark/>
          </w:tcPr>
          <w:p w14:paraId="54AD48A2" w14:textId="77777777" w:rsidR="002A4DDF" w:rsidRPr="00937C8B" w:rsidRDefault="002A4DDF" w:rsidP="009110ED">
            <w:pPr>
              <w:rPr>
                <w:rFonts w:ascii="Arial" w:hAnsi="Arial" w:cs="Arial"/>
                <w:sz w:val="12"/>
                <w:szCs w:val="12"/>
              </w:rPr>
            </w:pPr>
            <w:r>
              <w:rPr>
                <w:rFonts w:ascii="Arial" w:hAnsi="Arial"/>
                <w:sz w:val="12"/>
                <w:szCs w:val="12"/>
              </w:rPr>
              <w:t>Bohoyo</w:t>
            </w:r>
          </w:p>
        </w:tc>
      </w:tr>
      <w:tr w:rsidR="002A4DDF" w:rsidRPr="00937C8B" w14:paraId="51C2769B" w14:textId="77777777" w:rsidTr="00935676">
        <w:trPr>
          <w:cantSplit/>
        </w:trPr>
        <w:tc>
          <w:tcPr>
            <w:tcW w:w="1696" w:type="dxa"/>
            <w:tcBorders>
              <w:left w:val="single" w:sz="4" w:space="0" w:color="auto"/>
            </w:tcBorders>
            <w:shd w:val="clear" w:color="auto" w:fill="auto"/>
          </w:tcPr>
          <w:p w14:paraId="1ECCE6A1" w14:textId="77777777" w:rsidR="002A4DDF" w:rsidRPr="00937C8B" w:rsidRDefault="002A4DDF" w:rsidP="009110ED">
            <w:pPr>
              <w:rPr>
                <w:rFonts w:ascii="Arial" w:hAnsi="Arial" w:cs="Arial"/>
                <w:sz w:val="12"/>
                <w:szCs w:val="12"/>
              </w:rPr>
            </w:pPr>
          </w:p>
        </w:tc>
        <w:tc>
          <w:tcPr>
            <w:tcW w:w="1843" w:type="dxa"/>
            <w:shd w:val="clear" w:color="auto" w:fill="auto"/>
          </w:tcPr>
          <w:p w14:paraId="35B85F6B" w14:textId="77777777" w:rsidR="002A4DDF" w:rsidRPr="00937C8B" w:rsidRDefault="002A4DDF" w:rsidP="009110ED">
            <w:pPr>
              <w:rPr>
                <w:rFonts w:ascii="Arial" w:hAnsi="Arial" w:cs="Arial"/>
                <w:sz w:val="12"/>
                <w:szCs w:val="12"/>
              </w:rPr>
            </w:pPr>
          </w:p>
        </w:tc>
        <w:tc>
          <w:tcPr>
            <w:tcW w:w="2268" w:type="dxa"/>
            <w:shd w:val="clear" w:color="auto" w:fill="F2F2F2"/>
            <w:hideMark/>
          </w:tcPr>
          <w:p w14:paraId="7D3156CC" w14:textId="77777777" w:rsidR="002A4DDF" w:rsidRPr="00937C8B" w:rsidRDefault="002A4DDF" w:rsidP="009110ED">
            <w:pPr>
              <w:rPr>
                <w:rFonts w:ascii="Arial" w:hAnsi="Arial" w:cs="Arial"/>
                <w:sz w:val="12"/>
                <w:szCs w:val="12"/>
              </w:rPr>
            </w:pPr>
            <w:r>
              <w:rPr>
                <w:rFonts w:ascii="Arial" w:hAnsi="Arial"/>
                <w:sz w:val="12"/>
                <w:szCs w:val="12"/>
              </w:rPr>
              <w:t>Blascosancho</w:t>
            </w:r>
          </w:p>
        </w:tc>
        <w:tc>
          <w:tcPr>
            <w:tcW w:w="2268" w:type="dxa"/>
            <w:tcBorders>
              <w:right w:val="single" w:sz="4" w:space="0" w:color="auto"/>
            </w:tcBorders>
            <w:shd w:val="clear" w:color="auto" w:fill="D9D9D9"/>
            <w:hideMark/>
          </w:tcPr>
          <w:p w14:paraId="68DBC286" w14:textId="77777777" w:rsidR="002A4DDF" w:rsidRPr="00937C8B" w:rsidRDefault="002A4DDF" w:rsidP="009110ED">
            <w:pPr>
              <w:rPr>
                <w:rFonts w:ascii="Arial" w:hAnsi="Arial" w:cs="Arial"/>
                <w:sz w:val="12"/>
                <w:szCs w:val="12"/>
              </w:rPr>
            </w:pPr>
            <w:r>
              <w:rPr>
                <w:rFonts w:ascii="Arial" w:hAnsi="Arial"/>
                <w:sz w:val="12"/>
                <w:szCs w:val="12"/>
              </w:rPr>
              <w:t>Bonilla de la Sierra</w:t>
            </w:r>
          </w:p>
        </w:tc>
      </w:tr>
      <w:tr w:rsidR="002A4DDF" w:rsidRPr="00937C8B" w14:paraId="4D97868B" w14:textId="77777777" w:rsidTr="00935676">
        <w:trPr>
          <w:cantSplit/>
        </w:trPr>
        <w:tc>
          <w:tcPr>
            <w:tcW w:w="1696" w:type="dxa"/>
            <w:tcBorders>
              <w:left w:val="single" w:sz="4" w:space="0" w:color="auto"/>
            </w:tcBorders>
            <w:shd w:val="clear" w:color="auto" w:fill="auto"/>
          </w:tcPr>
          <w:p w14:paraId="2C4CEFAD" w14:textId="77777777" w:rsidR="002A4DDF" w:rsidRPr="00937C8B" w:rsidRDefault="002A4DDF" w:rsidP="009110ED">
            <w:pPr>
              <w:rPr>
                <w:rFonts w:ascii="Arial" w:hAnsi="Arial" w:cs="Arial"/>
                <w:sz w:val="12"/>
                <w:szCs w:val="12"/>
              </w:rPr>
            </w:pPr>
          </w:p>
        </w:tc>
        <w:tc>
          <w:tcPr>
            <w:tcW w:w="1843" w:type="dxa"/>
            <w:shd w:val="clear" w:color="auto" w:fill="auto"/>
          </w:tcPr>
          <w:p w14:paraId="1E9391BF" w14:textId="77777777" w:rsidR="002A4DDF" w:rsidRPr="00937C8B" w:rsidRDefault="002A4DDF" w:rsidP="009110ED">
            <w:pPr>
              <w:rPr>
                <w:rFonts w:ascii="Arial" w:hAnsi="Arial" w:cs="Arial"/>
                <w:sz w:val="12"/>
                <w:szCs w:val="12"/>
              </w:rPr>
            </w:pPr>
          </w:p>
        </w:tc>
        <w:tc>
          <w:tcPr>
            <w:tcW w:w="2268" w:type="dxa"/>
            <w:shd w:val="clear" w:color="auto" w:fill="F2F2F2"/>
            <w:hideMark/>
          </w:tcPr>
          <w:p w14:paraId="1E4B1452" w14:textId="77777777" w:rsidR="002A4DDF" w:rsidRPr="00937C8B" w:rsidRDefault="002A4DDF" w:rsidP="009110ED">
            <w:pPr>
              <w:rPr>
                <w:rFonts w:ascii="Arial" w:hAnsi="Arial" w:cs="Arial"/>
                <w:sz w:val="12"/>
                <w:szCs w:val="12"/>
              </w:rPr>
            </w:pPr>
            <w:r>
              <w:rPr>
                <w:rFonts w:ascii="Arial" w:hAnsi="Arial"/>
                <w:sz w:val="12"/>
                <w:szCs w:val="12"/>
              </w:rPr>
              <w:t>Brabos</w:t>
            </w:r>
          </w:p>
        </w:tc>
        <w:tc>
          <w:tcPr>
            <w:tcW w:w="2268" w:type="dxa"/>
            <w:tcBorders>
              <w:right w:val="single" w:sz="4" w:space="0" w:color="auto"/>
            </w:tcBorders>
            <w:shd w:val="clear" w:color="auto" w:fill="D9D9D9"/>
            <w:hideMark/>
          </w:tcPr>
          <w:p w14:paraId="41574FA7" w14:textId="77777777" w:rsidR="002A4DDF" w:rsidRPr="00937C8B" w:rsidRDefault="002A4DDF" w:rsidP="009110ED">
            <w:pPr>
              <w:rPr>
                <w:rFonts w:ascii="Arial" w:hAnsi="Arial" w:cs="Arial"/>
                <w:sz w:val="12"/>
                <w:szCs w:val="12"/>
              </w:rPr>
            </w:pPr>
            <w:r>
              <w:rPr>
                <w:rFonts w:ascii="Arial" w:hAnsi="Arial"/>
                <w:sz w:val="12"/>
                <w:szCs w:val="12"/>
              </w:rPr>
              <w:t>Bularros</w:t>
            </w:r>
          </w:p>
        </w:tc>
      </w:tr>
      <w:tr w:rsidR="002A4DDF" w:rsidRPr="00937C8B" w14:paraId="5A43C58A" w14:textId="77777777" w:rsidTr="00935676">
        <w:trPr>
          <w:cantSplit/>
        </w:trPr>
        <w:tc>
          <w:tcPr>
            <w:tcW w:w="1696" w:type="dxa"/>
            <w:tcBorders>
              <w:left w:val="single" w:sz="4" w:space="0" w:color="auto"/>
            </w:tcBorders>
            <w:shd w:val="clear" w:color="auto" w:fill="auto"/>
          </w:tcPr>
          <w:p w14:paraId="49116A46" w14:textId="77777777" w:rsidR="002A4DDF" w:rsidRPr="00937C8B" w:rsidRDefault="002A4DDF" w:rsidP="009110ED">
            <w:pPr>
              <w:rPr>
                <w:rFonts w:ascii="Arial" w:hAnsi="Arial" w:cs="Arial"/>
                <w:sz w:val="12"/>
                <w:szCs w:val="12"/>
              </w:rPr>
            </w:pPr>
          </w:p>
        </w:tc>
        <w:tc>
          <w:tcPr>
            <w:tcW w:w="1843" w:type="dxa"/>
            <w:shd w:val="clear" w:color="auto" w:fill="auto"/>
          </w:tcPr>
          <w:p w14:paraId="3C26C8DC" w14:textId="77777777" w:rsidR="002A4DDF" w:rsidRPr="00937C8B" w:rsidRDefault="002A4DDF" w:rsidP="009110ED">
            <w:pPr>
              <w:rPr>
                <w:rFonts w:ascii="Arial" w:hAnsi="Arial" w:cs="Arial"/>
                <w:sz w:val="12"/>
                <w:szCs w:val="12"/>
              </w:rPr>
            </w:pPr>
          </w:p>
        </w:tc>
        <w:tc>
          <w:tcPr>
            <w:tcW w:w="2268" w:type="dxa"/>
            <w:shd w:val="clear" w:color="auto" w:fill="F2F2F2"/>
            <w:hideMark/>
          </w:tcPr>
          <w:p w14:paraId="36F47A10" w14:textId="77777777" w:rsidR="002A4DDF" w:rsidRPr="00937C8B" w:rsidRDefault="002A4DDF" w:rsidP="009110ED">
            <w:pPr>
              <w:rPr>
                <w:rFonts w:ascii="Arial" w:hAnsi="Arial" w:cs="Arial"/>
                <w:sz w:val="12"/>
                <w:szCs w:val="12"/>
              </w:rPr>
            </w:pPr>
            <w:r>
              <w:rPr>
                <w:rFonts w:ascii="Arial" w:hAnsi="Arial"/>
                <w:sz w:val="12"/>
                <w:szCs w:val="12"/>
              </w:rPr>
              <w:t>Cabezas de Alambre</w:t>
            </w:r>
          </w:p>
        </w:tc>
        <w:tc>
          <w:tcPr>
            <w:tcW w:w="2268" w:type="dxa"/>
            <w:tcBorders>
              <w:right w:val="single" w:sz="4" w:space="0" w:color="auto"/>
            </w:tcBorders>
            <w:shd w:val="clear" w:color="auto" w:fill="D9D9D9"/>
            <w:hideMark/>
          </w:tcPr>
          <w:p w14:paraId="5BFB7EFE" w14:textId="77777777" w:rsidR="002A4DDF" w:rsidRPr="00937C8B" w:rsidRDefault="002A4DDF" w:rsidP="009110ED">
            <w:pPr>
              <w:rPr>
                <w:rFonts w:ascii="Arial" w:hAnsi="Arial" w:cs="Arial"/>
                <w:sz w:val="12"/>
                <w:szCs w:val="12"/>
              </w:rPr>
            </w:pPr>
            <w:r>
              <w:rPr>
                <w:rFonts w:ascii="Arial" w:hAnsi="Arial"/>
                <w:sz w:val="12"/>
                <w:szCs w:val="12"/>
              </w:rPr>
              <w:t>Burgohondo</w:t>
            </w:r>
          </w:p>
        </w:tc>
      </w:tr>
      <w:tr w:rsidR="002A4DDF" w:rsidRPr="00937C8B" w14:paraId="049674FD" w14:textId="77777777" w:rsidTr="00935676">
        <w:trPr>
          <w:cantSplit/>
        </w:trPr>
        <w:tc>
          <w:tcPr>
            <w:tcW w:w="1696" w:type="dxa"/>
            <w:tcBorders>
              <w:left w:val="single" w:sz="4" w:space="0" w:color="auto"/>
            </w:tcBorders>
            <w:shd w:val="clear" w:color="auto" w:fill="auto"/>
          </w:tcPr>
          <w:p w14:paraId="74FE3538" w14:textId="77777777" w:rsidR="002A4DDF" w:rsidRPr="00937C8B" w:rsidRDefault="002A4DDF" w:rsidP="009110ED">
            <w:pPr>
              <w:rPr>
                <w:rFonts w:ascii="Arial" w:hAnsi="Arial" w:cs="Arial"/>
                <w:sz w:val="12"/>
                <w:szCs w:val="12"/>
              </w:rPr>
            </w:pPr>
          </w:p>
        </w:tc>
        <w:tc>
          <w:tcPr>
            <w:tcW w:w="1843" w:type="dxa"/>
            <w:shd w:val="clear" w:color="auto" w:fill="auto"/>
          </w:tcPr>
          <w:p w14:paraId="574C895F" w14:textId="77777777" w:rsidR="002A4DDF" w:rsidRPr="00937C8B" w:rsidRDefault="002A4DDF" w:rsidP="009110ED">
            <w:pPr>
              <w:rPr>
                <w:rFonts w:ascii="Arial" w:hAnsi="Arial" w:cs="Arial"/>
                <w:sz w:val="12"/>
                <w:szCs w:val="12"/>
              </w:rPr>
            </w:pPr>
          </w:p>
        </w:tc>
        <w:tc>
          <w:tcPr>
            <w:tcW w:w="2268" w:type="dxa"/>
            <w:shd w:val="clear" w:color="auto" w:fill="F2F2F2"/>
            <w:hideMark/>
          </w:tcPr>
          <w:p w14:paraId="2E3EEE3C" w14:textId="77777777" w:rsidR="002A4DDF" w:rsidRPr="00937C8B" w:rsidRDefault="002A4DDF" w:rsidP="009110ED">
            <w:pPr>
              <w:rPr>
                <w:rFonts w:ascii="Arial" w:hAnsi="Arial" w:cs="Arial"/>
                <w:sz w:val="12"/>
                <w:szCs w:val="12"/>
              </w:rPr>
            </w:pPr>
            <w:r>
              <w:rPr>
                <w:rFonts w:ascii="Arial" w:hAnsi="Arial"/>
                <w:sz w:val="12"/>
                <w:szCs w:val="12"/>
              </w:rPr>
              <w:t>Cabezas del Pozo</w:t>
            </w:r>
          </w:p>
        </w:tc>
        <w:tc>
          <w:tcPr>
            <w:tcW w:w="2268" w:type="dxa"/>
            <w:tcBorders>
              <w:right w:val="single" w:sz="4" w:space="0" w:color="auto"/>
            </w:tcBorders>
            <w:shd w:val="clear" w:color="auto" w:fill="D9D9D9"/>
            <w:hideMark/>
          </w:tcPr>
          <w:p w14:paraId="3F463CC7" w14:textId="77777777" w:rsidR="002A4DDF" w:rsidRPr="00937C8B" w:rsidRDefault="002A4DDF" w:rsidP="009110ED">
            <w:pPr>
              <w:rPr>
                <w:rFonts w:ascii="Arial" w:hAnsi="Arial" w:cs="Arial"/>
                <w:sz w:val="12"/>
                <w:szCs w:val="12"/>
              </w:rPr>
            </w:pPr>
            <w:r>
              <w:rPr>
                <w:rFonts w:ascii="Arial" w:hAnsi="Arial"/>
                <w:sz w:val="12"/>
                <w:szCs w:val="12"/>
              </w:rPr>
              <w:t>Cabezas del Villar</w:t>
            </w:r>
          </w:p>
        </w:tc>
      </w:tr>
      <w:tr w:rsidR="002A4DDF" w:rsidRPr="00937C8B" w14:paraId="05372A6A" w14:textId="77777777" w:rsidTr="00935676">
        <w:trPr>
          <w:cantSplit/>
        </w:trPr>
        <w:tc>
          <w:tcPr>
            <w:tcW w:w="1696" w:type="dxa"/>
            <w:tcBorders>
              <w:left w:val="single" w:sz="4" w:space="0" w:color="auto"/>
            </w:tcBorders>
            <w:shd w:val="clear" w:color="auto" w:fill="auto"/>
          </w:tcPr>
          <w:p w14:paraId="1B12C775" w14:textId="77777777" w:rsidR="002A4DDF" w:rsidRPr="00937C8B" w:rsidRDefault="002A4DDF" w:rsidP="009110ED">
            <w:pPr>
              <w:rPr>
                <w:rFonts w:ascii="Arial" w:hAnsi="Arial" w:cs="Arial"/>
                <w:sz w:val="12"/>
                <w:szCs w:val="12"/>
              </w:rPr>
            </w:pPr>
          </w:p>
        </w:tc>
        <w:tc>
          <w:tcPr>
            <w:tcW w:w="1843" w:type="dxa"/>
            <w:shd w:val="clear" w:color="auto" w:fill="auto"/>
          </w:tcPr>
          <w:p w14:paraId="3A7A9A29" w14:textId="77777777" w:rsidR="002A4DDF" w:rsidRPr="00937C8B" w:rsidRDefault="002A4DDF" w:rsidP="009110ED">
            <w:pPr>
              <w:rPr>
                <w:rFonts w:ascii="Arial" w:hAnsi="Arial" w:cs="Arial"/>
                <w:sz w:val="12"/>
                <w:szCs w:val="12"/>
              </w:rPr>
            </w:pPr>
          </w:p>
        </w:tc>
        <w:tc>
          <w:tcPr>
            <w:tcW w:w="2268" w:type="dxa"/>
            <w:shd w:val="clear" w:color="auto" w:fill="F2F2F2"/>
            <w:hideMark/>
          </w:tcPr>
          <w:p w14:paraId="0C78FBC0" w14:textId="77777777" w:rsidR="002A4DDF" w:rsidRPr="00937C8B" w:rsidRDefault="002A4DDF" w:rsidP="009110ED">
            <w:pPr>
              <w:rPr>
                <w:rFonts w:ascii="Arial" w:hAnsi="Arial" w:cs="Arial"/>
                <w:sz w:val="12"/>
                <w:szCs w:val="12"/>
              </w:rPr>
            </w:pPr>
            <w:r>
              <w:rPr>
                <w:rFonts w:ascii="Arial" w:hAnsi="Arial"/>
                <w:sz w:val="12"/>
                <w:szCs w:val="12"/>
              </w:rPr>
              <w:t>Cabizuela</w:t>
            </w:r>
          </w:p>
        </w:tc>
        <w:tc>
          <w:tcPr>
            <w:tcW w:w="2268" w:type="dxa"/>
            <w:tcBorders>
              <w:right w:val="single" w:sz="4" w:space="0" w:color="auto"/>
            </w:tcBorders>
            <w:shd w:val="clear" w:color="auto" w:fill="D9D9D9"/>
            <w:hideMark/>
          </w:tcPr>
          <w:p w14:paraId="185EBAF6" w14:textId="77777777" w:rsidR="002A4DDF" w:rsidRPr="00937C8B" w:rsidRDefault="002A4DDF" w:rsidP="009110ED">
            <w:pPr>
              <w:rPr>
                <w:rFonts w:ascii="Arial" w:hAnsi="Arial" w:cs="Arial"/>
                <w:sz w:val="12"/>
                <w:szCs w:val="12"/>
              </w:rPr>
            </w:pPr>
            <w:r>
              <w:rPr>
                <w:rFonts w:ascii="Arial" w:hAnsi="Arial"/>
                <w:sz w:val="12"/>
                <w:szCs w:val="12"/>
              </w:rPr>
              <w:t>Candeleda</w:t>
            </w:r>
          </w:p>
        </w:tc>
      </w:tr>
      <w:tr w:rsidR="002A4DDF" w:rsidRPr="00937C8B" w14:paraId="46263C86" w14:textId="77777777" w:rsidTr="00935676">
        <w:trPr>
          <w:cantSplit/>
        </w:trPr>
        <w:tc>
          <w:tcPr>
            <w:tcW w:w="1696" w:type="dxa"/>
            <w:tcBorders>
              <w:left w:val="single" w:sz="4" w:space="0" w:color="auto"/>
            </w:tcBorders>
            <w:shd w:val="clear" w:color="auto" w:fill="auto"/>
          </w:tcPr>
          <w:p w14:paraId="3062DD14" w14:textId="77777777" w:rsidR="002A4DDF" w:rsidRPr="00937C8B" w:rsidRDefault="002A4DDF" w:rsidP="009110ED">
            <w:pPr>
              <w:rPr>
                <w:rFonts w:ascii="Arial" w:hAnsi="Arial" w:cs="Arial"/>
                <w:sz w:val="12"/>
                <w:szCs w:val="12"/>
              </w:rPr>
            </w:pPr>
          </w:p>
        </w:tc>
        <w:tc>
          <w:tcPr>
            <w:tcW w:w="1843" w:type="dxa"/>
            <w:shd w:val="clear" w:color="auto" w:fill="auto"/>
          </w:tcPr>
          <w:p w14:paraId="5BC8276C" w14:textId="77777777" w:rsidR="002A4DDF" w:rsidRPr="00937C8B" w:rsidRDefault="002A4DDF" w:rsidP="009110ED">
            <w:pPr>
              <w:rPr>
                <w:rFonts w:ascii="Arial" w:hAnsi="Arial" w:cs="Arial"/>
                <w:sz w:val="12"/>
                <w:szCs w:val="12"/>
              </w:rPr>
            </w:pPr>
          </w:p>
        </w:tc>
        <w:tc>
          <w:tcPr>
            <w:tcW w:w="2268" w:type="dxa"/>
            <w:shd w:val="clear" w:color="auto" w:fill="F2F2F2"/>
            <w:hideMark/>
          </w:tcPr>
          <w:p w14:paraId="289D4E4D" w14:textId="77777777" w:rsidR="002A4DDF" w:rsidRPr="00937C8B" w:rsidRDefault="002A4DDF" w:rsidP="009110ED">
            <w:pPr>
              <w:rPr>
                <w:rFonts w:ascii="Arial" w:hAnsi="Arial" w:cs="Arial"/>
                <w:sz w:val="12"/>
                <w:szCs w:val="12"/>
              </w:rPr>
            </w:pPr>
            <w:r>
              <w:rPr>
                <w:rFonts w:ascii="Arial" w:hAnsi="Arial"/>
                <w:sz w:val="12"/>
                <w:szCs w:val="12"/>
              </w:rPr>
              <w:t>Canales</w:t>
            </w:r>
          </w:p>
        </w:tc>
        <w:tc>
          <w:tcPr>
            <w:tcW w:w="2268" w:type="dxa"/>
            <w:tcBorders>
              <w:right w:val="single" w:sz="4" w:space="0" w:color="auto"/>
            </w:tcBorders>
            <w:shd w:val="clear" w:color="auto" w:fill="D9D9D9"/>
            <w:hideMark/>
          </w:tcPr>
          <w:p w14:paraId="35D1A150" w14:textId="77777777" w:rsidR="002A4DDF" w:rsidRPr="00937C8B" w:rsidRDefault="002A4DDF" w:rsidP="009110ED">
            <w:pPr>
              <w:rPr>
                <w:rFonts w:ascii="Arial" w:hAnsi="Arial" w:cs="Arial"/>
                <w:sz w:val="12"/>
                <w:szCs w:val="12"/>
              </w:rPr>
            </w:pPr>
            <w:r>
              <w:rPr>
                <w:rFonts w:ascii="Arial" w:hAnsi="Arial"/>
                <w:sz w:val="12"/>
                <w:szCs w:val="12"/>
              </w:rPr>
              <w:t>Cardeñosa</w:t>
            </w:r>
          </w:p>
        </w:tc>
      </w:tr>
      <w:tr w:rsidR="002A4DDF" w:rsidRPr="00937C8B" w14:paraId="65D5BB0C" w14:textId="77777777" w:rsidTr="00935676">
        <w:trPr>
          <w:cantSplit/>
        </w:trPr>
        <w:tc>
          <w:tcPr>
            <w:tcW w:w="1696" w:type="dxa"/>
            <w:tcBorders>
              <w:left w:val="single" w:sz="4" w:space="0" w:color="auto"/>
            </w:tcBorders>
            <w:shd w:val="clear" w:color="auto" w:fill="auto"/>
          </w:tcPr>
          <w:p w14:paraId="43ECBEF1" w14:textId="77777777" w:rsidR="002A4DDF" w:rsidRPr="00937C8B" w:rsidRDefault="002A4DDF" w:rsidP="009110ED">
            <w:pPr>
              <w:rPr>
                <w:rFonts w:ascii="Arial" w:hAnsi="Arial" w:cs="Arial"/>
                <w:sz w:val="12"/>
                <w:szCs w:val="12"/>
              </w:rPr>
            </w:pPr>
          </w:p>
        </w:tc>
        <w:tc>
          <w:tcPr>
            <w:tcW w:w="1843" w:type="dxa"/>
            <w:shd w:val="clear" w:color="auto" w:fill="auto"/>
          </w:tcPr>
          <w:p w14:paraId="6C65EA5B" w14:textId="77777777" w:rsidR="002A4DDF" w:rsidRPr="00937C8B" w:rsidRDefault="002A4DDF" w:rsidP="009110ED">
            <w:pPr>
              <w:rPr>
                <w:rFonts w:ascii="Arial" w:hAnsi="Arial" w:cs="Arial"/>
                <w:sz w:val="12"/>
                <w:szCs w:val="12"/>
              </w:rPr>
            </w:pPr>
          </w:p>
        </w:tc>
        <w:tc>
          <w:tcPr>
            <w:tcW w:w="2268" w:type="dxa"/>
            <w:shd w:val="clear" w:color="auto" w:fill="F2F2F2"/>
            <w:hideMark/>
          </w:tcPr>
          <w:p w14:paraId="1CDC97DA" w14:textId="77777777" w:rsidR="002A4DDF" w:rsidRPr="00937C8B" w:rsidRDefault="002A4DDF" w:rsidP="009110ED">
            <w:pPr>
              <w:rPr>
                <w:rFonts w:ascii="Arial" w:hAnsi="Arial" w:cs="Arial"/>
                <w:sz w:val="12"/>
                <w:szCs w:val="12"/>
              </w:rPr>
            </w:pPr>
            <w:r>
              <w:rPr>
                <w:rFonts w:ascii="Arial" w:hAnsi="Arial"/>
                <w:sz w:val="12"/>
                <w:szCs w:val="12"/>
              </w:rPr>
              <w:t>Cantiveros</w:t>
            </w:r>
          </w:p>
        </w:tc>
        <w:tc>
          <w:tcPr>
            <w:tcW w:w="2268" w:type="dxa"/>
            <w:tcBorders>
              <w:right w:val="single" w:sz="4" w:space="0" w:color="auto"/>
            </w:tcBorders>
            <w:shd w:val="clear" w:color="auto" w:fill="D9D9D9"/>
            <w:hideMark/>
          </w:tcPr>
          <w:p w14:paraId="55BA4429" w14:textId="77777777" w:rsidR="002A4DDF" w:rsidRPr="00937C8B" w:rsidRDefault="002A4DDF" w:rsidP="009110ED">
            <w:pPr>
              <w:rPr>
                <w:rFonts w:ascii="Arial" w:hAnsi="Arial" w:cs="Arial"/>
                <w:sz w:val="12"/>
                <w:szCs w:val="12"/>
              </w:rPr>
            </w:pPr>
            <w:r>
              <w:rPr>
                <w:rFonts w:ascii="Arial" w:hAnsi="Arial"/>
                <w:sz w:val="12"/>
                <w:szCs w:val="12"/>
              </w:rPr>
              <w:t>Casas del Puerto</w:t>
            </w:r>
          </w:p>
        </w:tc>
      </w:tr>
      <w:tr w:rsidR="002A4DDF" w:rsidRPr="00937C8B" w14:paraId="2F937FAB" w14:textId="77777777" w:rsidTr="00935676">
        <w:trPr>
          <w:cantSplit/>
        </w:trPr>
        <w:tc>
          <w:tcPr>
            <w:tcW w:w="1696" w:type="dxa"/>
            <w:tcBorders>
              <w:left w:val="single" w:sz="4" w:space="0" w:color="auto"/>
            </w:tcBorders>
            <w:shd w:val="clear" w:color="auto" w:fill="auto"/>
          </w:tcPr>
          <w:p w14:paraId="5375B99D" w14:textId="77777777" w:rsidR="002A4DDF" w:rsidRPr="00937C8B" w:rsidRDefault="002A4DDF" w:rsidP="009110ED">
            <w:pPr>
              <w:rPr>
                <w:rFonts w:ascii="Arial" w:hAnsi="Arial" w:cs="Arial"/>
                <w:sz w:val="12"/>
                <w:szCs w:val="12"/>
              </w:rPr>
            </w:pPr>
          </w:p>
        </w:tc>
        <w:tc>
          <w:tcPr>
            <w:tcW w:w="1843" w:type="dxa"/>
            <w:shd w:val="clear" w:color="auto" w:fill="auto"/>
          </w:tcPr>
          <w:p w14:paraId="665E9858" w14:textId="77777777" w:rsidR="002A4DDF" w:rsidRPr="00937C8B" w:rsidRDefault="002A4DDF" w:rsidP="009110ED">
            <w:pPr>
              <w:rPr>
                <w:rFonts w:ascii="Arial" w:hAnsi="Arial" w:cs="Arial"/>
                <w:sz w:val="12"/>
                <w:szCs w:val="12"/>
              </w:rPr>
            </w:pPr>
          </w:p>
        </w:tc>
        <w:tc>
          <w:tcPr>
            <w:tcW w:w="2268" w:type="dxa"/>
            <w:shd w:val="clear" w:color="auto" w:fill="F2F2F2"/>
            <w:hideMark/>
          </w:tcPr>
          <w:p w14:paraId="56075FC7" w14:textId="77777777" w:rsidR="002A4DDF" w:rsidRPr="00937C8B" w:rsidRDefault="002A4DDF" w:rsidP="009110ED">
            <w:pPr>
              <w:rPr>
                <w:rFonts w:ascii="Arial" w:hAnsi="Arial" w:cs="Arial"/>
                <w:sz w:val="12"/>
                <w:szCs w:val="12"/>
              </w:rPr>
            </w:pPr>
            <w:r>
              <w:rPr>
                <w:rFonts w:ascii="Arial" w:hAnsi="Arial"/>
                <w:sz w:val="12"/>
                <w:szCs w:val="12"/>
              </w:rPr>
              <w:t>Castellanos de Zapardiel</w:t>
            </w:r>
          </w:p>
        </w:tc>
        <w:tc>
          <w:tcPr>
            <w:tcW w:w="2268" w:type="dxa"/>
            <w:tcBorders>
              <w:right w:val="single" w:sz="4" w:space="0" w:color="auto"/>
            </w:tcBorders>
            <w:shd w:val="clear" w:color="auto" w:fill="D9D9D9"/>
            <w:hideMark/>
          </w:tcPr>
          <w:p w14:paraId="73F24023" w14:textId="77777777" w:rsidR="002A4DDF" w:rsidRPr="00937C8B" w:rsidRDefault="002A4DDF" w:rsidP="009110ED">
            <w:pPr>
              <w:rPr>
                <w:rFonts w:ascii="Arial" w:hAnsi="Arial" w:cs="Arial"/>
                <w:sz w:val="12"/>
                <w:szCs w:val="12"/>
              </w:rPr>
            </w:pPr>
            <w:r>
              <w:rPr>
                <w:rFonts w:ascii="Arial" w:hAnsi="Arial"/>
                <w:sz w:val="12"/>
                <w:szCs w:val="12"/>
              </w:rPr>
              <w:t>Casasola</w:t>
            </w:r>
          </w:p>
        </w:tc>
      </w:tr>
      <w:tr w:rsidR="002A4DDF" w:rsidRPr="00937C8B" w14:paraId="03767D00" w14:textId="77777777" w:rsidTr="00935676">
        <w:trPr>
          <w:cantSplit/>
        </w:trPr>
        <w:tc>
          <w:tcPr>
            <w:tcW w:w="1696" w:type="dxa"/>
            <w:tcBorders>
              <w:left w:val="single" w:sz="4" w:space="0" w:color="auto"/>
            </w:tcBorders>
            <w:shd w:val="clear" w:color="auto" w:fill="auto"/>
          </w:tcPr>
          <w:p w14:paraId="48958DD3" w14:textId="77777777" w:rsidR="002A4DDF" w:rsidRPr="00937C8B" w:rsidRDefault="002A4DDF" w:rsidP="009110ED">
            <w:pPr>
              <w:rPr>
                <w:rFonts w:ascii="Arial" w:hAnsi="Arial" w:cs="Arial"/>
                <w:sz w:val="12"/>
                <w:szCs w:val="12"/>
              </w:rPr>
            </w:pPr>
          </w:p>
        </w:tc>
        <w:tc>
          <w:tcPr>
            <w:tcW w:w="1843" w:type="dxa"/>
            <w:shd w:val="clear" w:color="auto" w:fill="auto"/>
          </w:tcPr>
          <w:p w14:paraId="2C6EB52A" w14:textId="77777777" w:rsidR="002A4DDF" w:rsidRPr="00937C8B" w:rsidRDefault="002A4DDF" w:rsidP="009110ED">
            <w:pPr>
              <w:rPr>
                <w:rFonts w:ascii="Arial" w:hAnsi="Arial" w:cs="Arial"/>
                <w:sz w:val="12"/>
                <w:szCs w:val="12"/>
              </w:rPr>
            </w:pPr>
          </w:p>
        </w:tc>
        <w:tc>
          <w:tcPr>
            <w:tcW w:w="2268" w:type="dxa"/>
            <w:shd w:val="clear" w:color="auto" w:fill="F2F2F2"/>
            <w:hideMark/>
          </w:tcPr>
          <w:p w14:paraId="2E28DA1C" w14:textId="77777777" w:rsidR="002A4DDF" w:rsidRPr="00937C8B" w:rsidRDefault="002A4DDF" w:rsidP="009110ED">
            <w:pPr>
              <w:rPr>
                <w:rFonts w:ascii="Arial" w:hAnsi="Arial" w:cs="Arial"/>
                <w:sz w:val="12"/>
                <w:szCs w:val="12"/>
              </w:rPr>
            </w:pPr>
            <w:r>
              <w:rPr>
                <w:rFonts w:ascii="Arial" w:hAnsi="Arial"/>
                <w:sz w:val="12"/>
                <w:szCs w:val="12"/>
              </w:rPr>
              <w:t>Cisla</w:t>
            </w:r>
          </w:p>
        </w:tc>
        <w:tc>
          <w:tcPr>
            <w:tcW w:w="2268" w:type="dxa"/>
            <w:tcBorders>
              <w:right w:val="single" w:sz="4" w:space="0" w:color="auto"/>
            </w:tcBorders>
            <w:shd w:val="clear" w:color="auto" w:fill="D9D9D9"/>
            <w:hideMark/>
          </w:tcPr>
          <w:p w14:paraId="70443372" w14:textId="77777777" w:rsidR="002A4DDF" w:rsidRPr="00937C8B" w:rsidRDefault="002A4DDF" w:rsidP="009110ED">
            <w:pPr>
              <w:rPr>
                <w:rFonts w:ascii="Arial" w:hAnsi="Arial" w:cs="Arial"/>
                <w:sz w:val="12"/>
                <w:szCs w:val="12"/>
              </w:rPr>
            </w:pPr>
            <w:r>
              <w:rPr>
                <w:rFonts w:ascii="Arial" w:hAnsi="Arial"/>
                <w:sz w:val="12"/>
                <w:szCs w:val="12"/>
              </w:rPr>
              <w:t>Casavieja</w:t>
            </w:r>
          </w:p>
        </w:tc>
      </w:tr>
      <w:tr w:rsidR="002A4DDF" w:rsidRPr="00937C8B" w14:paraId="6CA18820" w14:textId="77777777" w:rsidTr="00935676">
        <w:trPr>
          <w:cantSplit/>
        </w:trPr>
        <w:tc>
          <w:tcPr>
            <w:tcW w:w="1696" w:type="dxa"/>
            <w:tcBorders>
              <w:left w:val="single" w:sz="4" w:space="0" w:color="auto"/>
            </w:tcBorders>
            <w:shd w:val="clear" w:color="auto" w:fill="auto"/>
          </w:tcPr>
          <w:p w14:paraId="73A621B8" w14:textId="77777777" w:rsidR="002A4DDF" w:rsidRPr="00937C8B" w:rsidRDefault="002A4DDF" w:rsidP="009110ED">
            <w:pPr>
              <w:rPr>
                <w:rFonts w:ascii="Arial" w:hAnsi="Arial" w:cs="Arial"/>
                <w:sz w:val="12"/>
                <w:szCs w:val="12"/>
              </w:rPr>
            </w:pPr>
          </w:p>
        </w:tc>
        <w:tc>
          <w:tcPr>
            <w:tcW w:w="1843" w:type="dxa"/>
            <w:shd w:val="clear" w:color="auto" w:fill="auto"/>
          </w:tcPr>
          <w:p w14:paraId="47687CF0" w14:textId="77777777" w:rsidR="002A4DDF" w:rsidRPr="00937C8B" w:rsidRDefault="002A4DDF" w:rsidP="009110ED">
            <w:pPr>
              <w:rPr>
                <w:rFonts w:ascii="Arial" w:hAnsi="Arial" w:cs="Arial"/>
                <w:sz w:val="12"/>
                <w:szCs w:val="12"/>
              </w:rPr>
            </w:pPr>
          </w:p>
        </w:tc>
        <w:tc>
          <w:tcPr>
            <w:tcW w:w="2268" w:type="dxa"/>
            <w:shd w:val="clear" w:color="auto" w:fill="F2F2F2"/>
            <w:hideMark/>
          </w:tcPr>
          <w:p w14:paraId="0E8DEF03" w14:textId="77777777" w:rsidR="002A4DDF" w:rsidRPr="00937C8B" w:rsidRDefault="002A4DDF" w:rsidP="009110ED">
            <w:pPr>
              <w:rPr>
                <w:rFonts w:ascii="Arial" w:hAnsi="Arial" w:cs="Arial"/>
                <w:sz w:val="12"/>
                <w:szCs w:val="12"/>
              </w:rPr>
            </w:pPr>
            <w:r>
              <w:rPr>
                <w:rFonts w:ascii="Arial" w:hAnsi="Arial"/>
                <w:sz w:val="12"/>
                <w:szCs w:val="12"/>
              </w:rPr>
              <w:t>Collado de Contreras</w:t>
            </w:r>
          </w:p>
        </w:tc>
        <w:tc>
          <w:tcPr>
            <w:tcW w:w="2268" w:type="dxa"/>
            <w:tcBorders>
              <w:right w:val="single" w:sz="4" w:space="0" w:color="auto"/>
            </w:tcBorders>
            <w:shd w:val="clear" w:color="auto" w:fill="D9D9D9"/>
            <w:hideMark/>
          </w:tcPr>
          <w:p w14:paraId="7617082C" w14:textId="77777777" w:rsidR="002A4DDF" w:rsidRPr="00937C8B" w:rsidRDefault="002A4DDF" w:rsidP="009110ED">
            <w:pPr>
              <w:rPr>
                <w:rFonts w:ascii="Arial" w:hAnsi="Arial" w:cs="Arial"/>
                <w:sz w:val="12"/>
                <w:szCs w:val="12"/>
              </w:rPr>
            </w:pPr>
            <w:r>
              <w:rPr>
                <w:rFonts w:ascii="Arial" w:hAnsi="Arial"/>
                <w:sz w:val="12"/>
                <w:szCs w:val="12"/>
              </w:rPr>
              <w:t>Casillas</w:t>
            </w:r>
          </w:p>
        </w:tc>
      </w:tr>
      <w:tr w:rsidR="002A4DDF" w:rsidRPr="00937C8B" w14:paraId="5DE7BD18" w14:textId="77777777" w:rsidTr="00935676">
        <w:trPr>
          <w:cantSplit/>
        </w:trPr>
        <w:tc>
          <w:tcPr>
            <w:tcW w:w="1696" w:type="dxa"/>
            <w:tcBorders>
              <w:left w:val="single" w:sz="4" w:space="0" w:color="auto"/>
            </w:tcBorders>
            <w:shd w:val="clear" w:color="auto" w:fill="auto"/>
          </w:tcPr>
          <w:p w14:paraId="0BF0357B" w14:textId="77777777" w:rsidR="002A4DDF" w:rsidRPr="00937C8B" w:rsidRDefault="002A4DDF" w:rsidP="009110ED">
            <w:pPr>
              <w:rPr>
                <w:rFonts w:ascii="Arial" w:hAnsi="Arial" w:cs="Arial"/>
                <w:sz w:val="12"/>
                <w:szCs w:val="12"/>
              </w:rPr>
            </w:pPr>
          </w:p>
        </w:tc>
        <w:tc>
          <w:tcPr>
            <w:tcW w:w="1843" w:type="dxa"/>
            <w:shd w:val="clear" w:color="auto" w:fill="auto"/>
          </w:tcPr>
          <w:p w14:paraId="19405AEB" w14:textId="77777777" w:rsidR="002A4DDF" w:rsidRPr="00937C8B" w:rsidRDefault="002A4DDF" w:rsidP="009110ED">
            <w:pPr>
              <w:rPr>
                <w:rFonts w:ascii="Arial" w:hAnsi="Arial" w:cs="Arial"/>
                <w:sz w:val="12"/>
                <w:szCs w:val="12"/>
              </w:rPr>
            </w:pPr>
          </w:p>
        </w:tc>
        <w:tc>
          <w:tcPr>
            <w:tcW w:w="2268" w:type="dxa"/>
            <w:shd w:val="clear" w:color="auto" w:fill="F2F2F2"/>
            <w:hideMark/>
          </w:tcPr>
          <w:p w14:paraId="54ECBBCB" w14:textId="77777777" w:rsidR="002A4DDF" w:rsidRPr="00937C8B" w:rsidRDefault="002A4DDF" w:rsidP="009110ED">
            <w:pPr>
              <w:rPr>
                <w:rFonts w:ascii="Arial" w:hAnsi="Arial" w:cs="Arial"/>
                <w:sz w:val="12"/>
                <w:szCs w:val="12"/>
              </w:rPr>
            </w:pPr>
            <w:r>
              <w:rPr>
                <w:rFonts w:ascii="Arial" w:hAnsi="Arial"/>
                <w:sz w:val="12"/>
                <w:szCs w:val="12"/>
              </w:rPr>
              <w:t>Constanzana</w:t>
            </w:r>
          </w:p>
        </w:tc>
        <w:tc>
          <w:tcPr>
            <w:tcW w:w="2268" w:type="dxa"/>
            <w:tcBorders>
              <w:right w:val="single" w:sz="4" w:space="0" w:color="auto"/>
            </w:tcBorders>
            <w:shd w:val="clear" w:color="auto" w:fill="D9D9D9"/>
            <w:hideMark/>
          </w:tcPr>
          <w:p w14:paraId="18ED2D18" w14:textId="77777777" w:rsidR="002A4DDF" w:rsidRPr="00937C8B" w:rsidRDefault="002A4DDF" w:rsidP="009110ED">
            <w:pPr>
              <w:rPr>
                <w:rFonts w:ascii="Arial" w:hAnsi="Arial" w:cs="Arial"/>
                <w:sz w:val="12"/>
                <w:szCs w:val="12"/>
              </w:rPr>
            </w:pPr>
            <w:r>
              <w:rPr>
                <w:rFonts w:ascii="Arial" w:hAnsi="Arial"/>
                <w:sz w:val="12"/>
                <w:szCs w:val="12"/>
              </w:rPr>
              <w:t>Cebreros</w:t>
            </w:r>
          </w:p>
        </w:tc>
      </w:tr>
      <w:tr w:rsidR="002A4DDF" w:rsidRPr="00937C8B" w14:paraId="1B89FB73" w14:textId="77777777" w:rsidTr="00935676">
        <w:trPr>
          <w:cantSplit/>
        </w:trPr>
        <w:tc>
          <w:tcPr>
            <w:tcW w:w="1696" w:type="dxa"/>
            <w:tcBorders>
              <w:left w:val="single" w:sz="4" w:space="0" w:color="auto"/>
            </w:tcBorders>
            <w:shd w:val="clear" w:color="auto" w:fill="auto"/>
          </w:tcPr>
          <w:p w14:paraId="1E4E3795" w14:textId="77777777" w:rsidR="002A4DDF" w:rsidRPr="00937C8B" w:rsidRDefault="002A4DDF" w:rsidP="009110ED">
            <w:pPr>
              <w:rPr>
                <w:rFonts w:ascii="Arial" w:hAnsi="Arial" w:cs="Arial"/>
                <w:sz w:val="12"/>
                <w:szCs w:val="12"/>
              </w:rPr>
            </w:pPr>
          </w:p>
        </w:tc>
        <w:tc>
          <w:tcPr>
            <w:tcW w:w="1843" w:type="dxa"/>
            <w:shd w:val="clear" w:color="auto" w:fill="auto"/>
          </w:tcPr>
          <w:p w14:paraId="39B71E41" w14:textId="77777777" w:rsidR="002A4DDF" w:rsidRPr="00937C8B" w:rsidRDefault="002A4DDF" w:rsidP="009110ED">
            <w:pPr>
              <w:rPr>
                <w:rFonts w:ascii="Arial" w:hAnsi="Arial" w:cs="Arial"/>
                <w:sz w:val="12"/>
                <w:szCs w:val="12"/>
              </w:rPr>
            </w:pPr>
          </w:p>
        </w:tc>
        <w:tc>
          <w:tcPr>
            <w:tcW w:w="2268" w:type="dxa"/>
            <w:shd w:val="clear" w:color="auto" w:fill="F2F2F2"/>
            <w:hideMark/>
          </w:tcPr>
          <w:p w14:paraId="41107642" w14:textId="77777777" w:rsidR="002A4DDF" w:rsidRPr="00937C8B" w:rsidRDefault="002A4DDF" w:rsidP="009110ED">
            <w:pPr>
              <w:rPr>
                <w:rFonts w:ascii="Arial" w:hAnsi="Arial" w:cs="Arial"/>
                <w:sz w:val="12"/>
                <w:szCs w:val="12"/>
              </w:rPr>
            </w:pPr>
            <w:r>
              <w:rPr>
                <w:rFonts w:ascii="Arial" w:hAnsi="Arial"/>
                <w:sz w:val="12"/>
                <w:szCs w:val="12"/>
              </w:rPr>
              <w:t>Crespos</w:t>
            </w:r>
          </w:p>
        </w:tc>
        <w:tc>
          <w:tcPr>
            <w:tcW w:w="2268" w:type="dxa"/>
            <w:tcBorders>
              <w:right w:val="single" w:sz="4" w:space="0" w:color="auto"/>
            </w:tcBorders>
            <w:shd w:val="clear" w:color="auto" w:fill="D9D9D9"/>
            <w:hideMark/>
          </w:tcPr>
          <w:p w14:paraId="2F95A93B" w14:textId="77777777" w:rsidR="002A4DDF" w:rsidRPr="00937C8B" w:rsidRDefault="002A4DDF" w:rsidP="009110ED">
            <w:pPr>
              <w:rPr>
                <w:rFonts w:ascii="Arial" w:hAnsi="Arial" w:cs="Arial"/>
                <w:sz w:val="12"/>
                <w:szCs w:val="12"/>
              </w:rPr>
            </w:pPr>
            <w:r>
              <w:rPr>
                <w:rFonts w:ascii="Arial" w:hAnsi="Arial"/>
                <w:sz w:val="12"/>
                <w:szCs w:val="12"/>
              </w:rPr>
              <w:t>Cepeda la Mora</w:t>
            </w:r>
          </w:p>
        </w:tc>
      </w:tr>
      <w:tr w:rsidR="002A4DDF" w:rsidRPr="00937C8B" w14:paraId="6F206B4D" w14:textId="77777777" w:rsidTr="00935676">
        <w:trPr>
          <w:cantSplit/>
        </w:trPr>
        <w:tc>
          <w:tcPr>
            <w:tcW w:w="1696" w:type="dxa"/>
            <w:tcBorders>
              <w:left w:val="single" w:sz="4" w:space="0" w:color="auto"/>
            </w:tcBorders>
            <w:shd w:val="clear" w:color="auto" w:fill="auto"/>
          </w:tcPr>
          <w:p w14:paraId="17803B67" w14:textId="77777777" w:rsidR="002A4DDF" w:rsidRPr="00937C8B" w:rsidRDefault="002A4DDF" w:rsidP="009110ED">
            <w:pPr>
              <w:rPr>
                <w:rFonts w:ascii="Arial" w:hAnsi="Arial" w:cs="Arial"/>
                <w:sz w:val="12"/>
                <w:szCs w:val="12"/>
              </w:rPr>
            </w:pPr>
          </w:p>
        </w:tc>
        <w:tc>
          <w:tcPr>
            <w:tcW w:w="1843" w:type="dxa"/>
            <w:shd w:val="clear" w:color="auto" w:fill="auto"/>
          </w:tcPr>
          <w:p w14:paraId="2D73A2FB" w14:textId="77777777" w:rsidR="002A4DDF" w:rsidRPr="00937C8B" w:rsidRDefault="002A4DDF" w:rsidP="009110ED">
            <w:pPr>
              <w:rPr>
                <w:rFonts w:ascii="Arial" w:hAnsi="Arial" w:cs="Arial"/>
                <w:sz w:val="12"/>
                <w:szCs w:val="12"/>
              </w:rPr>
            </w:pPr>
          </w:p>
        </w:tc>
        <w:tc>
          <w:tcPr>
            <w:tcW w:w="2268" w:type="dxa"/>
            <w:shd w:val="clear" w:color="auto" w:fill="F2F2F2"/>
            <w:hideMark/>
          </w:tcPr>
          <w:p w14:paraId="48403260" w14:textId="77777777" w:rsidR="002A4DDF" w:rsidRPr="00937C8B" w:rsidRDefault="002A4DDF" w:rsidP="009110ED">
            <w:pPr>
              <w:rPr>
                <w:rFonts w:ascii="Arial" w:hAnsi="Arial" w:cs="Arial"/>
                <w:sz w:val="12"/>
                <w:szCs w:val="12"/>
              </w:rPr>
            </w:pPr>
            <w:r>
              <w:rPr>
                <w:rFonts w:ascii="Arial" w:hAnsi="Arial"/>
                <w:sz w:val="12"/>
                <w:szCs w:val="12"/>
              </w:rPr>
              <w:t>Donjimeno</w:t>
            </w:r>
          </w:p>
        </w:tc>
        <w:tc>
          <w:tcPr>
            <w:tcW w:w="2268" w:type="dxa"/>
            <w:tcBorders>
              <w:right w:val="single" w:sz="4" w:space="0" w:color="auto"/>
            </w:tcBorders>
            <w:shd w:val="clear" w:color="auto" w:fill="D9D9D9"/>
            <w:hideMark/>
          </w:tcPr>
          <w:p w14:paraId="61D979BE" w14:textId="77777777" w:rsidR="002A4DDF" w:rsidRPr="00937C8B" w:rsidRDefault="002A4DDF" w:rsidP="009110ED">
            <w:pPr>
              <w:rPr>
                <w:rFonts w:ascii="Arial" w:hAnsi="Arial" w:cs="Arial"/>
                <w:sz w:val="12"/>
                <w:szCs w:val="12"/>
              </w:rPr>
            </w:pPr>
            <w:r>
              <w:rPr>
                <w:rFonts w:ascii="Arial" w:hAnsi="Arial"/>
                <w:sz w:val="12"/>
                <w:szCs w:val="12"/>
              </w:rPr>
              <w:t>Chamartín</w:t>
            </w:r>
          </w:p>
        </w:tc>
      </w:tr>
      <w:tr w:rsidR="002A4DDF" w:rsidRPr="00937C8B" w14:paraId="3078B78E" w14:textId="77777777" w:rsidTr="00935676">
        <w:trPr>
          <w:cantSplit/>
        </w:trPr>
        <w:tc>
          <w:tcPr>
            <w:tcW w:w="1696" w:type="dxa"/>
            <w:tcBorders>
              <w:left w:val="single" w:sz="4" w:space="0" w:color="auto"/>
            </w:tcBorders>
            <w:shd w:val="clear" w:color="auto" w:fill="auto"/>
          </w:tcPr>
          <w:p w14:paraId="49C15DC9" w14:textId="77777777" w:rsidR="002A4DDF" w:rsidRPr="00937C8B" w:rsidRDefault="002A4DDF" w:rsidP="009110ED">
            <w:pPr>
              <w:rPr>
                <w:rFonts w:ascii="Arial" w:hAnsi="Arial" w:cs="Arial"/>
                <w:sz w:val="12"/>
                <w:szCs w:val="12"/>
              </w:rPr>
            </w:pPr>
          </w:p>
        </w:tc>
        <w:tc>
          <w:tcPr>
            <w:tcW w:w="1843" w:type="dxa"/>
            <w:shd w:val="clear" w:color="auto" w:fill="auto"/>
          </w:tcPr>
          <w:p w14:paraId="1A37C8C1" w14:textId="77777777" w:rsidR="002A4DDF" w:rsidRPr="00937C8B" w:rsidRDefault="002A4DDF" w:rsidP="009110ED">
            <w:pPr>
              <w:rPr>
                <w:rFonts w:ascii="Arial" w:hAnsi="Arial" w:cs="Arial"/>
                <w:sz w:val="12"/>
                <w:szCs w:val="12"/>
              </w:rPr>
            </w:pPr>
          </w:p>
        </w:tc>
        <w:tc>
          <w:tcPr>
            <w:tcW w:w="2268" w:type="dxa"/>
            <w:shd w:val="clear" w:color="auto" w:fill="F2F2F2"/>
            <w:hideMark/>
          </w:tcPr>
          <w:p w14:paraId="691D5AB2" w14:textId="77777777" w:rsidR="002A4DDF" w:rsidRPr="00937C8B" w:rsidRDefault="002A4DDF" w:rsidP="009110ED">
            <w:pPr>
              <w:rPr>
                <w:rFonts w:ascii="Arial" w:hAnsi="Arial" w:cs="Arial"/>
                <w:sz w:val="12"/>
                <w:szCs w:val="12"/>
              </w:rPr>
            </w:pPr>
            <w:r>
              <w:rPr>
                <w:rFonts w:ascii="Arial" w:hAnsi="Arial"/>
                <w:sz w:val="12"/>
                <w:szCs w:val="12"/>
              </w:rPr>
              <w:t>Donvidas</w:t>
            </w:r>
          </w:p>
        </w:tc>
        <w:tc>
          <w:tcPr>
            <w:tcW w:w="2268" w:type="dxa"/>
            <w:tcBorders>
              <w:right w:val="single" w:sz="4" w:space="0" w:color="auto"/>
            </w:tcBorders>
            <w:shd w:val="clear" w:color="auto" w:fill="D9D9D9"/>
            <w:hideMark/>
          </w:tcPr>
          <w:p w14:paraId="262D3C8D" w14:textId="77777777" w:rsidR="002A4DDF" w:rsidRPr="00937C8B" w:rsidRDefault="002A4DDF" w:rsidP="009110ED">
            <w:pPr>
              <w:rPr>
                <w:rFonts w:ascii="Arial" w:hAnsi="Arial" w:cs="Arial"/>
                <w:sz w:val="12"/>
                <w:szCs w:val="12"/>
              </w:rPr>
            </w:pPr>
            <w:r>
              <w:rPr>
                <w:rFonts w:ascii="Arial" w:hAnsi="Arial"/>
                <w:sz w:val="12"/>
                <w:szCs w:val="12"/>
              </w:rPr>
              <w:t>Cillán</w:t>
            </w:r>
          </w:p>
        </w:tc>
      </w:tr>
      <w:tr w:rsidR="002A4DDF" w:rsidRPr="00937C8B" w14:paraId="418BE52F" w14:textId="77777777" w:rsidTr="00935676">
        <w:trPr>
          <w:cantSplit/>
        </w:trPr>
        <w:tc>
          <w:tcPr>
            <w:tcW w:w="1696" w:type="dxa"/>
            <w:tcBorders>
              <w:left w:val="single" w:sz="4" w:space="0" w:color="auto"/>
            </w:tcBorders>
            <w:shd w:val="clear" w:color="auto" w:fill="auto"/>
          </w:tcPr>
          <w:p w14:paraId="22267D42" w14:textId="77777777" w:rsidR="002A4DDF" w:rsidRPr="00937C8B" w:rsidRDefault="002A4DDF" w:rsidP="009110ED">
            <w:pPr>
              <w:rPr>
                <w:rFonts w:ascii="Arial" w:hAnsi="Arial" w:cs="Arial"/>
                <w:sz w:val="12"/>
                <w:szCs w:val="12"/>
              </w:rPr>
            </w:pPr>
          </w:p>
        </w:tc>
        <w:tc>
          <w:tcPr>
            <w:tcW w:w="1843" w:type="dxa"/>
            <w:shd w:val="clear" w:color="auto" w:fill="auto"/>
          </w:tcPr>
          <w:p w14:paraId="39A00912" w14:textId="77777777" w:rsidR="002A4DDF" w:rsidRPr="00937C8B" w:rsidRDefault="002A4DDF" w:rsidP="009110ED">
            <w:pPr>
              <w:rPr>
                <w:rFonts w:ascii="Arial" w:hAnsi="Arial" w:cs="Arial"/>
                <w:sz w:val="12"/>
                <w:szCs w:val="12"/>
              </w:rPr>
            </w:pPr>
          </w:p>
        </w:tc>
        <w:tc>
          <w:tcPr>
            <w:tcW w:w="2268" w:type="dxa"/>
            <w:shd w:val="clear" w:color="auto" w:fill="F2F2F2"/>
            <w:hideMark/>
          </w:tcPr>
          <w:p w14:paraId="4B88C4F1" w14:textId="77777777" w:rsidR="002A4DDF" w:rsidRPr="00937C8B" w:rsidRDefault="002A4DDF" w:rsidP="009110ED">
            <w:pPr>
              <w:rPr>
                <w:rFonts w:ascii="Arial" w:hAnsi="Arial" w:cs="Arial"/>
                <w:sz w:val="12"/>
                <w:szCs w:val="12"/>
              </w:rPr>
            </w:pPr>
            <w:r>
              <w:rPr>
                <w:rFonts w:ascii="Arial" w:hAnsi="Arial"/>
                <w:sz w:val="12"/>
                <w:szCs w:val="12"/>
              </w:rPr>
              <w:t>El Bohodón</w:t>
            </w:r>
          </w:p>
        </w:tc>
        <w:tc>
          <w:tcPr>
            <w:tcW w:w="2268" w:type="dxa"/>
            <w:tcBorders>
              <w:right w:val="single" w:sz="4" w:space="0" w:color="auto"/>
            </w:tcBorders>
            <w:shd w:val="clear" w:color="auto" w:fill="D9D9D9"/>
            <w:hideMark/>
          </w:tcPr>
          <w:p w14:paraId="58F81D61" w14:textId="77777777" w:rsidR="002A4DDF" w:rsidRPr="00937C8B" w:rsidRDefault="002A4DDF" w:rsidP="009110ED">
            <w:pPr>
              <w:rPr>
                <w:rFonts w:ascii="Arial" w:hAnsi="Arial" w:cs="Arial"/>
                <w:sz w:val="12"/>
                <w:szCs w:val="12"/>
              </w:rPr>
            </w:pPr>
            <w:r>
              <w:rPr>
                <w:rFonts w:ascii="Arial" w:hAnsi="Arial"/>
                <w:sz w:val="12"/>
                <w:szCs w:val="12"/>
              </w:rPr>
              <w:t>Collado del Mirón</w:t>
            </w:r>
          </w:p>
        </w:tc>
      </w:tr>
      <w:tr w:rsidR="002A4DDF" w:rsidRPr="00937C8B" w14:paraId="521C2820" w14:textId="77777777" w:rsidTr="00935676">
        <w:trPr>
          <w:cantSplit/>
        </w:trPr>
        <w:tc>
          <w:tcPr>
            <w:tcW w:w="1696" w:type="dxa"/>
            <w:tcBorders>
              <w:left w:val="single" w:sz="4" w:space="0" w:color="auto"/>
            </w:tcBorders>
            <w:shd w:val="clear" w:color="auto" w:fill="auto"/>
          </w:tcPr>
          <w:p w14:paraId="2EE418D6" w14:textId="77777777" w:rsidR="002A4DDF" w:rsidRPr="00937C8B" w:rsidRDefault="002A4DDF" w:rsidP="009110ED">
            <w:pPr>
              <w:rPr>
                <w:rFonts w:ascii="Arial" w:hAnsi="Arial" w:cs="Arial"/>
                <w:sz w:val="12"/>
                <w:szCs w:val="12"/>
              </w:rPr>
            </w:pPr>
          </w:p>
        </w:tc>
        <w:tc>
          <w:tcPr>
            <w:tcW w:w="1843" w:type="dxa"/>
            <w:shd w:val="clear" w:color="auto" w:fill="auto"/>
          </w:tcPr>
          <w:p w14:paraId="7F999EA2" w14:textId="77777777" w:rsidR="002A4DDF" w:rsidRPr="00937C8B" w:rsidRDefault="002A4DDF" w:rsidP="009110ED">
            <w:pPr>
              <w:rPr>
                <w:rFonts w:ascii="Arial" w:hAnsi="Arial" w:cs="Arial"/>
                <w:sz w:val="12"/>
                <w:szCs w:val="12"/>
              </w:rPr>
            </w:pPr>
          </w:p>
        </w:tc>
        <w:tc>
          <w:tcPr>
            <w:tcW w:w="2268" w:type="dxa"/>
            <w:shd w:val="clear" w:color="auto" w:fill="F2F2F2"/>
            <w:hideMark/>
          </w:tcPr>
          <w:p w14:paraId="4367A556" w14:textId="77777777" w:rsidR="002A4DDF" w:rsidRPr="00937C8B" w:rsidRDefault="002A4DDF" w:rsidP="009110ED">
            <w:pPr>
              <w:rPr>
                <w:rFonts w:ascii="Arial" w:hAnsi="Arial" w:cs="Arial"/>
                <w:sz w:val="12"/>
                <w:szCs w:val="12"/>
              </w:rPr>
            </w:pPr>
            <w:r>
              <w:rPr>
                <w:rFonts w:ascii="Arial" w:hAnsi="Arial"/>
                <w:sz w:val="12"/>
                <w:szCs w:val="12"/>
              </w:rPr>
              <w:t>El Fresno</w:t>
            </w:r>
          </w:p>
        </w:tc>
        <w:tc>
          <w:tcPr>
            <w:tcW w:w="2268" w:type="dxa"/>
            <w:tcBorders>
              <w:right w:val="single" w:sz="4" w:space="0" w:color="auto"/>
            </w:tcBorders>
            <w:shd w:val="clear" w:color="auto" w:fill="D9D9D9"/>
            <w:hideMark/>
          </w:tcPr>
          <w:p w14:paraId="7A3EB113" w14:textId="77777777" w:rsidR="002A4DDF" w:rsidRPr="00937C8B" w:rsidRDefault="002A4DDF" w:rsidP="009110ED">
            <w:pPr>
              <w:rPr>
                <w:rFonts w:ascii="Arial" w:hAnsi="Arial" w:cs="Arial"/>
                <w:sz w:val="12"/>
                <w:szCs w:val="12"/>
              </w:rPr>
            </w:pPr>
            <w:r>
              <w:rPr>
                <w:rFonts w:ascii="Arial" w:hAnsi="Arial"/>
                <w:sz w:val="12"/>
                <w:szCs w:val="12"/>
              </w:rPr>
              <w:t>Cuevas del Valle</w:t>
            </w:r>
          </w:p>
        </w:tc>
      </w:tr>
      <w:tr w:rsidR="002A4DDF" w:rsidRPr="00937C8B" w14:paraId="7ECBCD36" w14:textId="77777777" w:rsidTr="00935676">
        <w:trPr>
          <w:cantSplit/>
        </w:trPr>
        <w:tc>
          <w:tcPr>
            <w:tcW w:w="1696" w:type="dxa"/>
            <w:tcBorders>
              <w:left w:val="single" w:sz="4" w:space="0" w:color="auto"/>
            </w:tcBorders>
            <w:shd w:val="clear" w:color="auto" w:fill="auto"/>
          </w:tcPr>
          <w:p w14:paraId="1D3C4824" w14:textId="77777777" w:rsidR="002A4DDF" w:rsidRPr="00937C8B" w:rsidRDefault="002A4DDF" w:rsidP="009110ED">
            <w:pPr>
              <w:rPr>
                <w:rFonts w:ascii="Arial" w:hAnsi="Arial" w:cs="Arial"/>
                <w:sz w:val="12"/>
                <w:szCs w:val="12"/>
              </w:rPr>
            </w:pPr>
          </w:p>
        </w:tc>
        <w:tc>
          <w:tcPr>
            <w:tcW w:w="1843" w:type="dxa"/>
            <w:shd w:val="clear" w:color="auto" w:fill="auto"/>
          </w:tcPr>
          <w:p w14:paraId="2CA851DD" w14:textId="77777777" w:rsidR="002A4DDF" w:rsidRPr="00937C8B" w:rsidRDefault="002A4DDF" w:rsidP="009110ED">
            <w:pPr>
              <w:rPr>
                <w:rFonts w:ascii="Arial" w:hAnsi="Arial" w:cs="Arial"/>
                <w:sz w:val="12"/>
                <w:szCs w:val="12"/>
              </w:rPr>
            </w:pPr>
          </w:p>
        </w:tc>
        <w:tc>
          <w:tcPr>
            <w:tcW w:w="2268" w:type="dxa"/>
            <w:shd w:val="clear" w:color="auto" w:fill="F2F2F2"/>
            <w:hideMark/>
          </w:tcPr>
          <w:p w14:paraId="50595B62" w14:textId="77777777" w:rsidR="002A4DDF" w:rsidRPr="00937C8B" w:rsidRDefault="002A4DDF" w:rsidP="009110ED">
            <w:pPr>
              <w:rPr>
                <w:rFonts w:ascii="Arial" w:hAnsi="Arial" w:cs="Arial"/>
                <w:sz w:val="12"/>
                <w:szCs w:val="12"/>
              </w:rPr>
            </w:pPr>
            <w:r>
              <w:rPr>
                <w:rFonts w:ascii="Arial" w:hAnsi="Arial"/>
                <w:sz w:val="12"/>
                <w:szCs w:val="12"/>
              </w:rPr>
              <w:t>El Oso</w:t>
            </w:r>
          </w:p>
        </w:tc>
        <w:tc>
          <w:tcPr>
            <w:tcW w:w="2268" w:type="dxa"/>
            <w:tcBorders>
              <w:right w:val="single" w:sz="4" w:space="0" w:color="auto"/>
            </w:tcBorders>
            <w:shd w:val="clear" w:color="auto" w:fill="D9D9D9"/>
            <w:hideMark/>
          </w:tcPr>
          <w:p w14:paraId="0F139F1D" w14:textId="77777777" w:rsidR="002A4DDF" w:rsidRPr="00937C8B" w:rsidRDefault="002A4DDF" w:rsidP="009110ED">
            <w:pPr>
              <w:rPr>
                <w:rFonts w:ascii="Arial" w:hAnsi="Arial" w:cs="Arial"/>
                <w:sz w:val="12"/>
                <w:szCs w:val="12"/>
              </w:rPr>
            </w:pPr>
            <w:r>
              <w:rPr>
                <w:rFonts w:ascii="Arial" w:hAnsi="Arial"/>
                <w:sz w:val="12"/>
                <w:szCs w:val="12"/>
              </w:rPr>
              <w:t>Diego del Carpio</w:t>
            </w:r>
          </w:p>
        </w:tc>
      </w:tr>
      <w:tr w:rsidR="002A4DDF" w:rsidRPr="00937C8B" w14:paraId="0E63937A" w14:textId="77777777" w:rsidTr="00935676">
        <w:trPr>
          <w:cantSplit/>
        </w:trPr>
        <w:tc>
          <w:tcPr>
            <w:tcW w:w="1696" w:type="dxa"/>
            <w:tcBorders>
              <w:left w:val="single" w:sz="4" w:space="0" w:color="auto"/>
            </w:tcBorders>
            <w:shd w:val="clear" w:color="auto" w:fill="auto"/>
          </w:tcPr>
          <w:p w14:paraId="6B8C7ADD" w14:textId="77777777" w:rsidR="002A4DDF" w:rsidRPr="00937C8B" w:rsidRDefault="002A4DDF" w:rsidP="009110ED">
            <w:pPr>
              <w:rPr>
                <w:rFonts w:ascii="Arial" w:hAnsi="Arial" w:cs="Arial"/>
                <w:sz w:val="12"/>
                <w:szCs w:val="12"/>
              </w:rPr>
            </w:pPr>
          </w:p>
        </w:tc>
        <w:tc>
          <w:tcPr>
            <w:tcW w:w="1843" w:type="dxa"/>
            <w:shd w:val="clear" w:color="auto" w:fill="auto"/>
          </w:tcPr>
          <w:p w14:paraId="07526002" w14:textId="77777777" w:rsidR="002A4DDF" w:rsidRPr="00937C8B" w:rsidRDefault="002A4DDF" w:rsidP="009110ED">
            <w:pPr>
              <w:rPr>
                <w:rFonts w:ascii="Arial" w:hAnsi="Arial" w:cs="Arial"/>
                <w:sz w:val="12"/>
                <w:szCs w:val="12"/>
              </w:rPr>
            </w:pPr>
          </w:p>
        </w:tc>
        <w:tc>
          <w:tcPr>
            <w:tcW w:w="2268" w:type="dxa"/>
            <w:shd w:val="clear" w:color="auto" w:fill="F2F2F2"/>
            <w:hideMark/>
          </w:tcPr>
          <w:p w14:paraId="7E39D99B" w14:textId="77777777" w:rsidR="002A4DDF" w:rsidRPr="00937C8B" w:rsidRDefault="002A4DDF" w:rsidP="009110ED">
            <w:pPr>
              <w:rPr>
                <w:rFonts w:ascii="Arial" w:hAnsi="Arial" w:cs="Arial"/>
                <w:sz w:val="12"/>
                <w:szCs w:val="12"/>
              </w:rPr>
            </w:pPr>
            <w:r>
              <w:rPr>
                <w:rFonts w:ascii="Arial" w:hAnsi="Arial"/>
                <w:sz w:val="12"/>
                <w:szCs w:val="12"/>
              </w:rPr>
              <w:t>El Parral</w:t>
            </w:r>
          </w:p>
        </w:tc>
        <w:tc>
          <w:tcPr>
            <w:tcW w:w="2268" w:type="dxa"/>
            <w:tcBorders>
              <w:right w:val="single" w:sz="4" w:space="0" w:color="auto"/>
            </w:tcBorders>
            <w:shd w:val="clear" w:color="auto" w:fill="D9D9D9"/>
            <w:hideMark/>
          </w:tcPr>
          <w:p w14:paraId="0C5E07F2" w14:textId="77777777" w:rsidR="002A4DDF" w:rsidRPr="00937C8B" w:rsidRDefault="002A4DDF" w:rsidP="009110ED">
            <w:pPr>
              <w:rPr>
                <w:rFonts w:ascii="Arial" w:hAnsi="Arial" w:cs="Arial"/>
                <w:sz w:val="12"/>
                <w:szCs w:val="12"/>
              </w:rPr>
            </w:pPr>
            <w:r>
              <w:rPr>
                <w:rFonts w:ascii="Arial" w:hAnsi="Arial"/>
                <w:sz w:val="12"/>
                <w:szCs w:val="12"/>
              </w:rPr>
              <w:t>El Arenal</w:t>
            </w:r>
          </w:p>
        </w:tc>
      </w:tr>
      <w:tr w:rsidR="002A4DDF" w:rsidRPr="00937C8B" w14:paraId="4248B254" w14:textId="77777777" w:rsidTr="00935676">
        <w:trPr>
          <w:cantSplit/>
        </w:trPr>
        <w:tc>
          <w:tcPr>
            <w:tcW w:w="1696" w:type="dxa"/>
            <w:tcBorders>
              <w:left w:val="single" w:sz="4" w:space="0" w:color="auto"/>
            </w:tcBorders>
            <w:shd w:val="clear" w:color="auto" w:fill="auto"/>
          </w:tcPr>
          <w:p w14:paraId="1D1D6A84" w14:textId="77777777" w:rsidR="002A4DDF" w:rsidRPr="00937C8B" w:rsidRDefault="002A4DDF" w:rsidP="009110ED">
            <w:pPr>
              <w:rPr>
                <w:rFonts w:ascii="Arial" w:hAnsi="Arial" w:cs="Arial"/>
                <w:sz w:val="12"/>
                <w:szCs w:val="12"/>
              </w:rPr>
            </w:pPr>
          </w:p>
        </w:tc>
        <w:tc>
          <w:tcPr>
            <w:tcW w:w="1843" w:type="dxa"/>
            <w:shd w:val="clear" w:color="auto" w:fill="auto"/>
          </w:tcPr>
          <w:p w14:paraId="0C8C1077" w14:textId="77777777" w:rsidR="002A4DDF" w:rsidRPr="00937C8B" w:rsidRDefault="002A4DDF" w:rsidP="009110ED">
            <w:pPr>
              <w:rPr>
                <w:rFonts w:ascii="Arial" w:hAnsi="Arial" w:cs="Arial"/>
                <w:sz w:val="12"/>
                <w:szCs w:val="12"/>
              </w:rPr>
            </w:pPr>
          </w:p>
        </w:tc>
        <w:tc>
          <w:tcPr>
            <w:tcW w:w="2268" w:type="dxa"/>
            <w:shd w:val="clear" w:color="auto" w:fill="F2F2F2"/>
            <w:hideMark/>
          </w:tcPr>
          <w:p w14:paraId="746055C8" w14:textId="77777777" w:rsidR="002A4DDF" w:rsidRPr="00937C8B" w:rsidRDefault="002A4DDF" w:rsidP="009110ED">
            <w:pPr>
              <w:rPr>
                <w:rFonts w:ascii="Arial" w:hAnsi="Arial" w:cs="Arial"/>
                <w:sz w:val="12"/>
                <w:szCs w:val="12"/>
              </w:rPr>
            </w:pPr>
            <w:r>
              <w:rPr>
                <w:rFonts w:ascii="Arial" w:hAnsi="Arial"/>
                <w:sz w:val="12"/>
                <w:szCs w:val="12"/>
              </w:rPr>
              <w:t>Espinosa de los Caballeros</w:t>
            </w:r>
          </w:p>
        </w:tc>
        <w:tc>
          <w:tcPr>
            <w:tcW w:w="2268" w:type="dxa"/>
            <w:tcBorders>
              <w:right w:val="single" w:sz="4" w:space="0" w:color="auto"/>
            </w:tcBorders>
            <w:shd w:val="clear" w:color="auto" w:fill="D9D9D9"/>
            <w:hideMark/>
          </w:tcPr>
          <w:p w14:paraId="2EC7CE79" w14:textId="77777777" w:rsidR="002A4DDF" w:rsidRPr="00937C8B" w:rsidRDefault="002A4DDF" w:rsidP="009110ED">
            <w:pPr>
              <w:rPr>
                <w:rFonts w:ascii="Arial" w:hAnsi="Arial" w:cs="Arial"/>
                <w:sz w:val="12"/>
                <w:szCs w:val="12"/>
              </w:rPr>
            </w:pPr>
            <w:r>
              <w:rPr>
                <w:rFonts w:ascii="Arial" w:hAnsi="Arial"/>
                <w:sz w:val="12"/>
                <w:szCs w:val="12"/>
              </w:rPr>
              <w:t>El Barco de Ávila</w:t>
            </w:r>
          </w:p>
        </w:tc>
      </w:tr>
      <w:tr w:rsidR="002A4DDF" w:rsidRPr="00937C8B" w14:paraId="4000A40D" w14:textId="77777777" w:rsidTr="00935676">
        <w:trPr>
          <w:cantSplit/>
        </w:trPr>
        <w:tc>
          <w:tcPr>
            <w:tcW w:w="1696" w:type="dxa"/>
            <w:tcBorders>
              <w:left w:val="single" w:sz="4" w:space="0" w:color="auto"/>
            </w:tcBorders>
            <w:shd w:val="clear" w:color="auto" w:fill="auto"/>
          </w:tcPr>
          <w:p w14:paraId="79EE0718" w14:textId="77777777" w:rsidR="002A4DDF" w:rsidRPr="00937C8B" w:rsidRDefault="002A4DDF" w:rsidP="009110ED">
            <w:pPr>
              <w:rPr>
                <w:rFonts w:ascii="Arial" w:hAnsi="Arial" w:cs="Arial"/>
                <w:sz w:val="12"/>
                <w:szCs w:val="12"/>
              </w:rPr>
            </w:pPr>
          </w:p>
        </w:tc>
        <w:tc>
          <w:tcPr>
            <w:tcW w:w="1843" w:type="dxa"/>
            <w:shd w:val="clear" w:color="auto" w:fill="auto"/>
          </w:tcPr>
          <w:p w14:paraId="3B9327F8" w14:textId="77777777" w:rsidR="002A4DDF" w:rsidRPr="00937C8B" w:rsidRDefault="002A4DDF" w:rsidP="009110ED">
            <w:pPr>
              <w:rPr>
                <w:rFonts w:ascii="Arial" w:hAnsi="Arial" w:cs="Arial"/>
                <w:sz w:val="12"/>
                <w:szCs w:val="12"/>
              </w:rPr>
            </w:pPr>
          </w:p>
        </w:tc>
        <w:tc>
          <w:tcPr>
            <w:tcW w:w="2268" w:type="dxa"/>
            <w:shd w:val="clear" w:color="auto" w:fill="F2F2F2"/>
            <w:hideMark/>
          </w:tcPr>
          <w:p w14:paraId="17711F80" w14:textId="77777777" w:rsidR="002A4DDF" w:rsidRPr="00937C8B" w:rsidRDefault="002A4DDF" w:rsidP="009110ED">
            <w:pPr>
              <w:rPr>
                <w:rFonts w:ascii="Arial" w:hAnsi="Arial" w:cs="Arial"/>
                <w:sz w:val="12"/>
                <w:szCs w:val="12"/>
              </w:rPr>
            </w:pPr>
            <w:r>
              <w:rPr>
                <w:rFonts w:ascii="Arial" w:hAnsi="Arial"/>
                <w:sz w:val="12"/>
                <w:szCs w:val="12"/>
              </w:rPr>
              <w:t>Flores de Ávila</w:t>
            </w:r>
          </w:p>
        </w:tc>
        <w:tc>
          <w:tcPr>
            <w:tcW w:w="2268" w:type="dxa"/>
            <w:tcBorders>
              <w:right w:val="single" w:sz="4" w:space="0" w:color="auto"/>
            </w:tcBorders>
            <w:shd w:val="clear" w:color="auto" w:fill="D9D9D9"/>
            <w:hideMark/>
          </w:tcPr>
          <w:p w14:paraId="69D23323" w14:textId="77777777" w:rsidR="002A4DDF" w:rsidRPr="00937C8B" w:rsidRDefault="002A4DDF" w:rsidP="009110ED">
            <w:pPr>
              <w:rPr>
                <w:rFonts w:ascii="Arial" w:hAnsi="Arial" w:cs="Arial"/>
                <w:sz w:val="12"/>
                <w:szCs w:val="12"/>
              </w:rPr>
            </w:pPr>
            <w:r>
              <w:rPr>
                <w:rFonts w:ascii="Arial" w:hAnsi="Arial"/>
                <w:sz w:val="12"/>
                <w:szCs w:val="12"/>
              </w:rPr>
              <w:t>El Barraco</w:t>
            </w:r>
          </w:p>
        </w:tc>
      </w:tr>
      <w:tr w:rsidR="002A4DDF" w:rsidRPr="00937C8B" w14:paraId="79DE0BBE" w14:textId="77777777" w:rsidTr="00935676">
        <w:trPr>
          <w:cantSplit/>
        </w:trPr>
        <w:tc>
          <w:tcPr>
            <w:tcW w:w="1696" w:type="dxa"/>
            <w:tcBorders>
              <w:left w:val="single" w:sz="4" w:space="0" w:color="auto"/>
            </w:tcBorders>
            <w:shd w:val="clear" w:color="auto" w:fill="auto"/>
          </w:tcPr>
          <w:p w14:paraId="73A2547F" w14:textId="77777777" w:rsidR="002A4DDF" w:rsidRPr="00937C8B" w:rsidRDefault="002A4DDF" w:rsidP="009110ED">
            <w:pPr>
              <w:rPr>
                <w:rFonts w:ascii="Arial" w:hAnsi="Arial" w:cs="Arial"/>
                <w:sz w:val="12"/>
                <w:szCs w:val="12"/>
              </w:rPr>
            </w:pPr>
          </w:p>
        </w:tc>
        <w:tc>
          <w:tcPr>
            <w:tcW w:w="1843" w:type="dxa"/>
            <w:shd w:val="clear" w:color="auto" w:fill="auto"/>
          </w:tcPr>
          <w:p w14:paraId="35907ACF" w14:textId="77777777" w:rsidR="002A4DDF" w:rsidRPr="00937C8B" w:rsidRDefault="002A4DDF" w:rsidP="009110ED">
            <w:pPr>
              <w:rPr>
                <w:rFonts w:ascii="Arial" w:hAnsi="Arial" w:cs="Arial"/>
                <w:sz w:val="12"/>
                <w:szCs w:val="12"/>
              </w:rPr>
            </w:pPr>
          </w:p>
        </w:tc>
        <w:tc>
          <w:tcPr>
            <w:tcW w:w="2268" w:type="dxa"/>
            <w:shd w:val="clear" w:color="auto" w:fill="F2F2F2"/>
            <w:hideMark/>
          </w:tcPr>
          <w:p w14:paraId="02C4159E" w14:textId="77777777" w:rsidR="002A4DDF" w:rsidRPr="00937C8B" w:rsidRDefault="002A4DDF" w:rsidP="009110ED">
            <w:pPr>
              <w:rPr>
                <w:rFonts w:ascii="Arial" w:hAnsi="Arial" w:cs="Arial"/>
                <w:sz w:val="12"/>
                <w:szCs w:val="12"/>
              </w:rPr>
            </w:pPr>
            <w:r>
              <w:rPr>
                <w:rFonts w:ascii="Arial" w:hAnsi="Arial"/>
                <w:sz w:val="12"/>
                <w:szCs w:val="12"/>
              </w:rPr>
              <w:t>Fontiveros</w:t>
            </w:r>
          </w:p>
        </w:tc>
        <w:tc>
          <w:tcPr>
            <w:tcW w:w="2268" w:type="dxa"/>
            <w:tcBorders>
              <w:right w:val="single" w:sz="4" w:space="0" w:color="auto"/>
            </w:tcBorders>
            <w:shd w:val="clear" w:color="auto" w:fill="D9D9D9"/>
            <w:hideMark/>
          </w:tcPr>
          <w:p w14:paraId="377E0DA4" w14:textId="77777777" w:rsidR="002A4DDF" w:rsidRPr="00937C8B" w:rsidRDefault="002A4DDF" w:rsidP="009110ED">
            <w:pPr>
              <w:rPr>
                <w:rFonts w:ascii="Arial" w:hAnsi="Arial" w:cs="Arial"/>
                <w:sz w:val="12"/>
                <w:szCs w:val="12"/>
              </w:rPr>
            </w:pPr>
            <w:r>
              <w:rPr>
                <w:rFonts w:ascii="Arial" w:hAnsi="Arial"/>
                <w:sz w:val="12"/>
                <w:szCs w:val="12"/>
              </w:rPr>
              <w:t>El Hornillo</w:t>
            </w:r>
          </w:p>
        </w:tc>
      </w:tr>
      <w:tr w:rsidR="002A4DDF" w:rsidRPr="00937C8B" w14:paraId="63EFA5DA" w14:textId="77777777" w:rsidTr="00935676">
        <w:trPr>
          <w:cantSplit/>
        </w:trPr>
        <w:tc>
          <w:tcPr>
            <w:tcW w:w="1696" w:type="dxa"/>
            <w:tcBorders>
              <w:left w:val="single" w:sz="4" w:space="0" w:color="auto"/>
            </w:tcBorders>
            <w:shd w:val="clear" w:color="auto" w:fill="auto"/>
          </w:tcPr>
          <w:p w14:paraId="56756D96" w14:textId="77777777" w:rsidR="002A4DDF" w:rsidRPr="00937C8B" w:rsidRDefault="002A4DDF" w:rsidP="009110ED">
            <w:pPr>
              <w:rPr>
                <w:rFonts w:ascii="Arial" w:hAnsi="Arial" w:cs="Arial"/>
                <w:sz w:val="12"/>
                <w:szCs w:val="12"/>
              </w:rPr>
            </w:pPr>
          </w:p>
        </w:tc>
        <w:tc>
          <w:tcPr>
            <w:tcW w:w="1843" w:type="dxa"/>
            <w:shd w:val="clear" w:color="auto" w:fill="auto"/>
          </w:tcPr>
          <w:p w14:paraId="71F9ED2E" w14:textId="77777777" w:rsidR="002A4DDF" w:rsidRPr="00937C8B" w:rsidRDefault="002A4DDF" w:rsidP="009110ED">
            <w:pPr>
              <w:rPr>
                <w:rFonts w:ascii="Arial" w:hAnsi="Arial" w:cs="Arial"/>
                <w:sz w:val="12"/>
                <w:szCs w:val="12"/>
              </w:rPr>
            </w:pPr>
          </w:p>
        </w:tc>
        <w:tc>
          <w:tcPr>
            <w:tcW w:w="2268" w:type="dxa"/>
            <w:shd w:val="clear" w:color="auto" w:fill="F2F2F2"/>
            <w:hideMark/>
          </w:tcPr>
          <w:p w14:paraId="1C0CE7D0" w14:textId="77777777" w:rsidR="002A4DDF" w:rsidRPr="00937C8B" w:rsidRDefault="002A4DDF" w:rsidP="009110ED">
            <w:pPr>
              <w:rPr>
                <w:rFonts w:ascii="Arial" w:hAnsi="Arial" w:cs="Arial"/>
                <w:sz w:val="12"/>
                <w:szCs w:val="12"/>
              </w:rPr>
            </w:pPr>
            <w:r>
              <w:rPr>
                <w:rFonts w:ascii="Arial" w:hAnsi="Arial"/>
                <w:sz w:val="12"/>
                <w:szCs w:val="12"/>
              </w:rPr>
              <w:t>Fuente el Saúz</w:t>
            </w:r>
          </w:p>
        </w:tc>
        <w:tc>
          <w:tcPr>
            <w:tcW w:w="2268" w:type="dxa"/>
            <w:tcBorders>
              <w:right w:val="single" w:sz="4" w:space="0" w:color="auto"/>
            </w:tcBorders>
            <w:shd w:val="clear" w:color="auto" w:fill="D9D9D9"/>
            <w:hideMark/>
          </w:tcPr>
          <w:p w14:paraId="3625D1D5" w14:textId="77777777" w:rsidR="002A4DDF" w:rsidRPr="00937C8B" w:rsidRDefault="002A4DDF" w:rsidP="009110ED">
            <w:pPr>
              <w:rPr>
                <w:rFonts w:ascii="Arial" w:hAnsi="Arial" w:cs="Arial"/>
                <w:sz w:val="12"/>
                <w:szCs w:val="12"/>
              </w:rPr>
            </w:pPr>
            <w:r>
              <w:rPr>
                <w:rFonts w:ascii="Arial" w:hAnsi="Arial"/>
                <w:sz w:val="12"/>
                <w:szCs w:val="12"/>
              </w:rPr>
              <w:t>El Hoyo de Pinares</w:t>
            </w:r>
          </w:p>
        </w:tc>
      </w:tr>
      <w:tr w:rsidR="002A4DDF" w:rsidRPr="00937C8B" w14:paraId="194BF370" w14:textId="77777777" w:rsidTr="00935676">
        <w:trPr>
          <w:cantSplit/>
        </w:trPr>
        <w:tc>
          <w:tcPr>
            <w:tcW w:w="1696" w:type="dxa"/>
            <w:tcBorders>
              <w:left w:val="single" w:sz="4" w:space="0" w:color="auto"/>
            </w:tcBorders>
            <w:shd w:val="clear" w:color="auto" w:fill="auto"/>
          </w:tcPr>
          <w:p w14:paraId="7BBA955A" w14:textId="77777777" w:rsidR="002A4DDF" w:rsidRPr="00937C8B" w:rsidRDefault="002A4DDF" w:rsidP="009110ED">
            <w:pPr>
              <w:rPr>
                <w:rFonts w:ascii="Arial" w:hAnsi="Arial" w:cs="Arial"/>
                <w:sz w:val="12"/>
                <w:szCs w:val="12"/>
              </w:rPr>
            </w:pPr>
          </w:p>
        </w:tc>
        <w:tc>
          <w:tcPr>
            <w:tcW w:w="1843" w:type="dxa"/>
            <w:shd w:val="clear" w:color="auto" w:fill="auto"/>
          </w:tcPr>
          <w:p w14:paraId="400092E2" w14:textId="77777777" w:rsidR="002A4DDF" w:rsidRPr="00937C8B" w:rsidRDefault="002A4DDF" w:rsidP="009110ED">
            <w:pPr>
              <w:rPr>
                <w:rFonts w:ascii="Arial" w:hAnsi="Arial" w:cs="Arial"/>
                <w:sz w:val="12"/>
                <w:szCs w:val="12"/>
              </w:rPr>
            </w:pPr>
          </w:p>
        </w:tc>
        <w:tc>
          <w:tcPr>
            <w:tcW w:w="2268" w:type="dxa"/>
            <w:shd w:val="clear" w:color="auto" w:fill="F2F2F2"/>
            <w:hideMark/>
          </w:tcPr>
          <w:p w14:paraId="710FC53C" w14:textId="77777777" w:rsidR="002A4DDF" w:rsidRPr="00937C8B" w:rsidRDefault="002A4DDF" w:rsidP="009110ED">
            <w:pPr>
              <w:rPr>
                <w:rFonts w:ascii="Arial" w:hAnsi="Arial" w:cs="Arial"/>
                <w:sz w:val="12"/>
                <w:szCs w:val="12"/>
              </w:rPr>
            </w:pPr>
            <w:r>
              <w:rPr>
                <w:rFonts w:ascii="Arial" w:hAnsi="Arial"/>
                <w:sz w:val="12"/>
                <w:szCs w:val="12"/>
              </w:rPr>
              <w:t>Fuentes de Año</w:t>
            </w:r>
          </w:p>
        </w:tc>
        <w:tc>
          <w:tcPr>
            <w:tcW w:w="2268" w:type="dxa"/>
            <w:tcBorders>
              <w:right w:val="single" w:sz="4" w:space="0" w:color="auto"/>
            </w:tcBorders>
            <w:shd w:val="clear" w:color="auto" w:fill="D9D9D9"/>
            <w:hideMark/>
          </w:tcPr>
          <w:p w14:paraId="050E8689" w14:textId="77777777" w:rsidR="002A4DDF" w:rsidRPr="00937C8B" w:rsidRDefault="002A4DDF" w:rsidP="009110ED">
            <w:pPr>
              <w:rPr>
                <w:rFonts w:ascii="Arial" w:hAnsi="Arial" w:cs="Arial"/>
                <w:sz w:val="12"/>
                <w:szCs w:val="12"/>
              </w:rPr>
            </w:pPr>
            <w:r>
              <w:rPr>
                <w:rFonts w:ascii="Arial" w:hAnsi="Arial"/>
                <w:sz w:val="12"/>
                <w:szCs w:val="12"/>
              </w:rPr>
              <w:t>El Losar del Barco</w:t>
            </w:r>
          </w:p>
        </w:tc>
      </w:tr>
      <w:tr w:rsidR="002A4DDF" w:rsidRPr="00937C8B" w14:paraId="0612B39C" w14:textId="77777777" w:rsidTr="00935676">
        <w:trPr>
          <w:cantSplit/>
        </w:trPr>
        <w:tc>
          <w:tcPr>
            <w:tcW w:w="1696" w:type="dxa"/>
            <w:tcBorders>
              <w:left w:val="single" w:sz="4" w:space="0" w:color="auto"/>
            </w:tcBorders>
            <w:shd w:val="clear" w:color="auto" w:fill="auto"/>
          </w:tcPr>
          <w:p w14:paraId="11C6D5F9" w14:textId="77777777" w:rsidR="002A4DDF" w:rsidRPr="00937C8B" w:rsidRDefault="002A4DDF" w:rsidP="009110ED">
            <w:pPr>
              <w:rPr>
                <w:rFonts w:ascii="Arial" w:hAnsi="Arial" w:cs="Arial"/>
                <w:sz w:val="12"/>
                <w:szCs w:val="12"/>
              </w:rPr>
            </w:pPr>
          </w:p>
        </w:tc>
        <w:tc>
          <w:tcPr>
            <w:tcW w:w="1843" w:type="dxa"/>
            <w:shd w:val="clear" w:color="auto" w:fill="auto"/>
          </w:tcPr>
          <w:p w14:paraId="140B7379" w14:textId="77777777" w:rsidR="002A4DDF" w:rsidRPr="00937C8B" w:rsidRDefault="002A4DDF" w:rsidP="009110ED">
            <w:pPr>
              <w:rPr>
                <w:rFonts w:ascii="Arial" w:hAnsi="Arial" w:cs="Arial"/>
                <w:sz w:val="12"/>
                <w:szCs w:val="12"/>
              </w:rPr>
            </w:pPr>
          </w:p>
        </w:tc>
        <w:tc>
          <w:tcPr>
            <w:tcW w:w="2268" w:type="dxa"/>
            <w:shd w:val="clear" w:color="auto" w:fill="F2F2F2"/>
            <w:hideMark/>
          </w:tcPr>
          <w:p w14:paraId="16599D69" w14:textId="77777777" w:rsidR="002A4DDF" w:rsidRPr="00937C8B" w:rsidRDefault="002A4DDF" w:rsidP="009110ED">
            <w:pPr>
              <w:rPr>
                <w:rFonts w:ascii="Arial" w:hAnsi="Arial" w:cs="Arial"/>
                <w:sz w:val="12"/>
                <w:szCs w:val="12"/>
              </w:rPr>
            </w:pPr>
            <w:r>
              <w:rPr>
                <w:rFonts w:ascii="Arial" w:hAnsi="Arial"/>
                <w:sz w:val="12"/>
                <w:szCs w:val="12"/>
              </w:rPr>
              <w:t>Gemuño</w:t>
            </w:r>
          </w:p>
        </w:tc>
        <w:tc>
          <w:tcPr>
            <w:tcW w:w="2268" w:type="dxa"/>
            <w:tcBorders>
              <w:right w:val="single" w:sz="4" w:space="0" w:color="auto"/>
            </w:tcBorders>
            <w:shd w:val="clear" w:color="auto" w:fill="D9D9D9"/>
            <w:hideMark/>
          </w:tcPr>
          <w:p w14:paraId="06F87E52" w14:textId="77777777" w:rsidR="002A4DDF" w:rsidRPr="00937C8B" w:rsidRDefault="002A4DDF" w:rsidP="009110ED">
            <w:pPr>
              <w:rPr>
                <w:rFonts w:ascii="Arial" w:hAnsi="Arial" w:cs="Arial"/>
                <w:sz w:val="12"/>
                <w:szCs w:val="12"/>
              </w:rPr>
            </w:pPr>
            <w:r>
              <w:rPr>
                <w:rFonts w:ascii="Arial" w:hAnsi="Arial"/>
                <w:sz w:val="12"/>
                <w:szCs w:val="12"/>
              </w:rPr>
              <w:t>El Mirón</w:t>
            </w:r>
          </w:p>
        </w:tc>
      </w:tr>
      <w:tr w:rsidR="002A4DDF" w:rsidRPr="00937C8B" w14:paraId="24DEEB62" w14:textId="77777777" w:rsidTr="00935676">
        <w:trPr>
          <w:cantSplit/>
        </w:trPr>
        <w:tc>
          <w:tcPr>
            <w:tcW w:w="1696" w:type="dxa"/>
            <w:tcBorders>
              <w:left w:val="single" w:sz="4" w:space="0" w:color="auto"/>
            </w:tcBorders>
            <w:shd w:val="clear" w:color="auto" w:fill="auto"/>
          </w:tcPr>
          <w:p w14:paraId="16811468" w14:textId="77777777" w:rsidR="002A4DDF" w:rsidRPr="00937C8B" w:rsidRDefault="002A4DDF" w:rsidP="009110ED">
            <w:pPr>
              <w:rPr>
                <w:rFonts w:ascii="Arial" w:hAnsi="Arial" w:cs="Arial"/>
                <w:sz w:val="12"/>
                <w:szCs w:val="12"/>
              </w:rPr>
            </w:pPr>
          </w:p>
        </w:tc>
        <w:tc>
          <w:tcPr>
            <w:tcW w:w="1843" w:type="dxa"/>
            <w:shd w:val="clear" w:color="auto" w:fill="auto"/>
          </w:tcPr>
          <w:p w14:paraId="70F89E1D" w14:textId="77777777" w:rsidR="002A4DDF" w:rsidRPr="00937C8B" w:rsidRDefault="002A4DDF" w:rsidP="009110ED">
            <w:pPr>
              <w:rPr>
                <w:rFonts w:ascii="Arial" w:hAnsi="Arial" w:cs="Arial"/>
                <w:sz w:val="12"/>
                <w:szCs w:val="12"/>
              </w:rPr>
            </w:pPr>
          </w:p>
        </w:tc>
        <w:tc>
          <w:tcPr>
            <w:tcW w:w="2268" w:type="dxa"/>
            <w:shd w:val="clear" w:color="auto" w:fill="F2F2F2"/>
            <w:hideMark/>
          </w:tcPr>
          <w:p w14:paraId="0CD6B18E" w14:textId="77777777" w:rsidR="002A4DDF" w:rsidRPr="00937C8B" w:rsidRDefault="002A4DDF" w:rsidP="009110ED">
            <w:pPr>
              <w:rPr>
                <w:rFonts w:ascii="Arial" w:hAnsi="Arial" w:cs="Arial"/>
                <w:sz w:val="12"/>
                <w:szCs w:val="12"/>
              </w:rPr>
            </w:pPr>
            <w:r>
              <w:rPr>
                <w:rFonts w:ascii="Arial" w:hAnsi="Arial"/>
                <w:sz w:val="12"/>
                <w:szCs w:val="12"/>
              </w:rPr>
              <w:t>Gimialcón</w:t>
            </w:r>
          </w:p>
        </w:tc>
        <w:tc>
          <w:tcPr>
            <w:tcW w:w="2268" w:type="dxa"/>
            <w:tcBorders>
              <w:right w:val="single" w:sz="4" w:space="0" w:color="auto"/>
            </w:tcBorders>
            <w:shd w:val="clear" w:color="auto" w:fill="D9D9D9"/>
            <w:hideMark/>
          </w:tcPr>
          <w:p w14:paraId="2366412C" w14:textId="77777777" w:rsidR="002A4DDF" w:rsidRPr="00937C8B" w:rsidRDefault="002A4DDF" w:rsidP="009110ED">
            <w:pPr>
              <w:rPr>
                <w:rFonts w:ascii="Arial" w:hAnsi="Arial" w:cs="Arial"/>
                <w:sz w:val="12"/>
                <w:szCs w:val="12"/>
              </w:rPr>
            </w:pPr>
            <w:r>
              <w:rPr>
                <w:rFonts w:ascii="Arial" w:hAnsi="Arial"/>
                <w:sz w:val="12"/>
                <w:szCs w:val="12"/>
              </w:rPr>
              <w:t>El Tiemblo</w:t>
            </w:r>
          </w:p>
        </w:tc>
      </w:tr>
      <w:tr w:rsidR="002A4DDF" w:rsidRPr="00937C8B" w14:paraId="30380399" w14:textId="77777777" w:rsidTr="00935676">
        <w:trPr>
          <w:cantSplit/>
        </w:trPr>
        <w:tc>
          <w:tcPr>
            <w:tcW w:w="1696" w:type="dxa"/>
            <w:tcBorders>
              <w:left w:val="single" w:sz="4" w:space="0" w:color="auto"/>
            </w:tcBorders>
            <w:shd w:val="clear" w:color="auto" w:fill="auto"/>
          </w:tcPr>
          <w:p w14:paraId="16F8E380" w14:textId="77777777" w:rsidR="002A4DDF" w:rsidRPr="00937C8B" w:rsidRDefault="002A4DDF" w:rsidP="009110ED">
            <w:pPr>
              <w:rPr>
                <w:rFonts w:ascii="Arial" w:hAnsi="Arial" w:cs="Arial"/>
                <w:sz w:val="12"/>
                <w:szCs w:val="12"/>
              </w:rPr>
            </w:pPr>
          </w:p>
        </w:tc>
        <w:tc>
          <w:tcPr>
            <w:tcW w:w="1843" w:type="dxa"/>
            <w:shd w:val="clear" w:color="auto" w:fill="auto"/>
          </w:tcPr>
          <w:p w14:paraId="653C5142" w14:textId="77777777" w:rsidR="002A4DDF" w:rsidRPr="00937C8B" w:rsidRDefault="002A4DDF" w:rsidP="009110ED">
            <w:pPr>
              <w:rPr>
                <w:rFonts w:ascii="Arial" w:hAnsi="Arial" w:cs="Arial"/>
                <w:sz w:val="12"/>
                <w:szCs w:val="12"/>
              </w:rPr>
            </w:pPr>
          </w:p>
        </w:tc>
        <w:tc>
          <w:tcPr>
            <w:tcW w:w="2268" w:type="dxa"/>
            <w:shd w:val="clear" w:color="auto" w:fill="F2F2F2"/>
            <w:hideMark/>
          </w:tcPr>
          <w:p w14:paraId="56062DD0" w14:textId="77777777" w:rsidR="002A4DDF" w:rsidRPr="00937C8B" w:rsidRDefault="002A4DDF" w:rsidP="009110ED">
            <w:pPr>
              <w:rPr>
                <w:rFonts w:ascii="Arial" w:hAnsi="Arial" w:cs="Arial"/>
                <w:sz w:val="12"/>
                <w:szCs w:val="12"/>
              </w:rPr>
            </w:pPr>
            <w:r>
              <w:rPr>
                <w:rFonts w:ascii="Arial" w:hAnsi="Arial"/>
                <w:sz w:val="12"/>
                <w:szCs w:val="12"/>
              </w:rPr>
              <w:t>Gotarrendura</w:t>
            </w:r>
          </w:p>
        </w:tc>
        <w:tc>
          <w:tcPr>
            <w:tcW w:w="2268" w:type="dxa"/>
            <w:tcBorders>
              <w:right w:val="single" w:sz="4" w:space="0" w:color="auto"/>
            </w:tcBorders>
            <w:shd w:val="clear" w:color="auto" w:fill="D9D9D9"/>
            <w:hideMark/>
          </w:tcPr>
          <w:p w14:paraId="4618606D" w14:textId="77777777" w:rsidR="002A4DDF" w:rsidRPr="00937C8B" w:rsidRDefault="002A4DDF" w:rsidP="009110ED">
            <w:pPr>
              <w:rPr>
                <w:rFonts w:ascii="Arial" w:hAnsi="Arial" w:cs="Arial"/>
                <w:sz w:val="12"/>
                <w:szCs w:val="12"/>
              </w:rPr>
            </w:pPr>
            <w:r>
              <w:rPr>
                <w:rFonts w:ascii="Arial" w:hAnsi="Arial"/>
                <w:sz w:val="12"/>
                <w:szCs w:val="12"/>
              </w:rPr>
              <w:t>Fresnedilla</w:t>
            </w:r>
          </w:p>
        </w:tc>
      </w:tr>
      <w:tr w:rsidR="002A4DDF" w:rsidRPr="00937C8B" w14:paraId="59E19E5D" w14:textId="77777777" w:rsidTr="00935676">
        <w:trPr>
          <w:cantSplit/>
        </w:trPr>
        <w:tc>
          <w:tcPr>
            <w:tcW w:w="1696" w:type="dxa"/>
            <w:tcBorders>
              <w:left w:val="single" w:sz="4" w:space="0" w:color="auto"/>
            </w:tcBorders>
            <w:shd w:val="clear" w:color="auto" w:fill="auto"/>
          </w:tcPr>
          <w:p w14:paraId="6FEEE1CA" w14:textId="77777777" w:rsidR="002A4DDF" w:rsidRPr="00937C8B" w:rsidRDefault="002A4DDF" w:rsidP="009110ED">
            <w:pPr>
              <w:rPr>
                <w:rFonts w:ascii="Arial" w:hAnsi="Arial" w:cs="Arial"/>
                <w:sz w:val="12"/>
                <w:szCs w:val="12"/>
              </w:rPr>
            </w:pPr>
          </w:p>
        </w:tc>
        <w:tc>
          <w:tcPr>
            <w:tcW w:w="1843" w:type="dxa"/>
            <w:shd w:val="clear" w:color="auto" w:fill="auto"/>
          </w:tcPr>
          <w:p w14:paraId="3A590116" w14:textId="77777777" w:rsidR="002A4DDF" w:rsidRPr="00937C8B" w:rsidRDefault="002A4DDF" w:rsidP="009110ED">
            <w:pPr>
              <w:rPr>
                <w:rFonts w:ascii="Arial" w:hAnsi="Arial" w:cs="Arial"/>
                <w:sz w:val="12"/>
                <w:szCs w:val="12"/>
              </w:rPr>
            </w:pPr>
          </w:p>
        </w:tc>
        <w:tc>
          <w:tcPr>
            <w:tcW w:w="2268" w:type="dxa"/>
            <w:shd w:val="clear" w:color="auto" w:fill="F2F2F2"/>
            <w:hideMark/>
          </w:tcPr>
          <w:p w14:paraId="038B88D4" w14:textId="77777777" w:rsidR="002A4DDF" w:rsidRPr="00937C8B" w:rsidRDefault="002A4DDF" w:rsidP="009110ED">
            <w:pPr>
              <w:rPr>
                <w:rFonts w:ascii="Arial" w:hAnsi="Arial" w:cs="Arial"/>
                <w:sz w:val="12"/>
                <w:szCs w:val="12"/>
              </w:rPr>
            </w:pPr>
            <w:r>
              <w:rPr>
                <w:rFonts w:ascii="Arial" w:hAnsi="Arial"/>
                <w:sz w:val="12"/>
                <w:szCs w:val="12"/>
              </w:rPr>
              <w:t>Gutierre-Muñoz</w:t>
            </w:r>
          </w:p>
        </w:tc>
        <w:tc>
          <w:tcPr>
            <w:tcW w:w="2268" w:type="dxa"/>
            <w:tcBorders>
              <w:right w:val="single" w:sz="4" w:space="0" w:color="auto"/>
            </w:tcBorders>
            <w:shd w:val="clear" w:color="auto" w:fill="D9D9D9"/>
            <w:hideMark/>
          </w:tcPr>
          <w:p w14:paraId="1B0CECB5" w14:textId="77777777" w:rsidR="002A4DDF" w:rsidRPr="00937C8B" w:rsidRDefault="002A4DDF" w:rsidP="009110ED">
            <w:pPr>
              <w:rPr>
                <w:rFonts w:ascii="Arial" w:hAnsi="Arial" w:cs="Arial"/>
                <w:sz w:val="12"/>
                <w:szCs w:val="12"/>
              </w:rPr>
            </w:pPr>
            <w:r>
              <w:rPr>
                <w:rFonts w:ascii="Arial" w:hAnsi="Arial"/>
                <w:sz w:val="12"/>
                <w:szCs w:val="12"/>
              </w:rPr>
              <w:t>Gallegos de Altamiros</w:t>
            </w:r>
          </w:p>
        </w:tc>
      </w:tr>
      <w:tr w:rsidR="002A4DDF" w:rsidRPr="00937C8B" w14:paraId="2E2D6D78" w14:textId="77777777" w:rsidTr="00935676">
        <w:trPr>
          <w:cantSplit/>
        </w:trPr>
        <w:tc>
          <w:tcPr>
            <w:tcW w:w="1696" w:type="dxa"/>
            <w:tcBorders>
              <w:left w:val="single" w:sz="4" w:space="0" w:color="auto"/>
            </w:tcBorders>
            <w:shd w:val="clear" w:color="auto" w:fill="auto"/>
          </w:tcPr>
          <w:p w14:paraId="3F8541FB" w14:textId="77777777" w:rsidR="002A4DDF" w:rsidRPr="00937C8B" w:rsidRDefault="002A4DDF" w:rsidP="009110ED">
            <w:pPr>
              <w:rPr>
                <w:rFonts w:ascii="Arial" w:hAnsi="Arial" w:cs="Arial"/>
                <w:sz w:val="12"/>
                <w:szCs w:val="12"/>
              </w:rPr>
            </w:pPr>
          </w:p>
        </w:tc>
        <w:tc>
          <w:tcPr>
            <w:tcW w:w="1843" w:type="dxa"/>
            <w:shd w:val="clear" w:color="auto" w:fill="auto"/>
          </w:tcPr>
          <w:p w14:paraId="76411F1C" w14:textId="77777777" w:rsidR="002A4DDF" w:rsidRPr="00937C8B" w:rsidRDefault="002A4DDF" w:rsidP="009110ED">
            <w:pPr>
              <w:rPr>
                <w:rFonts w:ascii="Arial" w:hAnsi="Arial" w:cs="Arial"/>
                <w:sz w:val="12"/>
                <w:szCs w:val="12"/>
              </w:rPr>
            </w:pPr>
          </w:p>
        </w:tc>
        <w:tc>
          <w:tcPr>
            <w:tcW w:w="2268" w:type="dxa"/>
            <w:shd w:val="clear" w:color="auto" w:fill="F2F2F2"/>
            <w:hideMark/>
          </w:tcPr>
          <w:p w14:paraId="3B5368B6" w14:textId="77777777" w:rsidR="002A4DDF" w:rsidRPr="00937C8B" w:rsidRDefault="002A4DDF" w:rsidP="009110ED">
            <w:pPr>
              <w:rPr>
                <w:rFonts w:ascii="Arial" w:hAnsi="Arial" w:cs="Arial"/>
                <w:sz w:val="12"/>
                <w:szCs w:val="12"/>
              </w:rPr>
            </w:pPr>
            <w:r>
              <w:rPr>
                <w:rFonts w:ascii="Arial" w:hAnsi="Arial"/>
                <w:sz w:val="12"/>
                <w:szCs w:val="12"/>
              </w:rPr>
              <w:t>Hernansancho</w:t>
            </w:r>
          </w:p>
        </w:tc>
        <w:tc>
          <w:tcPr>
            <w:tcW w:w="2268" w:type="dxa"/>
            <w:tcBorders>
              <w:right w:val="single" w:sz="4" w:space="0" w:color="auto"/>
            </w:tcBorders>
            <w:shd w:val="clear" w:color="auto" w:fill="D9D9D9"/>
            <w:hideMark/>
          </w:tcPr>
          <w:p w14:paraId="09E4EB8E" w14:textId="77777777" w:rsidR="002A4DDF" w:rsidRPr="00937C8B" w:rsidRDefault="002A4DDF" w:rsidP="009110ED">
            <w:pPr>
              <w:rPr>
                <w:rFonts w:ascii="Arial" w:hAnsi="Arial" w:cs="Arial"/>
                <w:sz w:val="12"/>
                <w:szCs w:val="12"/>
              </w:rPr>
            </w:pPr>
            <w:r>
              <w:rPr>
                <w:rFonts w:ascii="Arial" w:hAnsi="Arial"/>
                <w:sz w:val="12"/>
                <w:szCs w:val="12"/>
              </w:rPr>
              <w:t>Gallegos de Sobrinos</w:t>
            </w:r>
          </w:p>
        </w:tc>
      </w:tr>
      <w:tr w:rsidR="002A4DDF" w:rsidRPr="00937C8B" w14:paraId="71D1C6BC" w14:textId="77777777" w:rsidTr="00935676">
        <w:trPr>
          <w:cantSplit/>
        </w:trPr>
        <w:tc>
          <w:tcPr>
            <w:tcW w:w="1696" w:type="dxa"/>
            <w:tcBorders>
              <w:left w:val="single" w:sz="4" w:space="0" w:color="auto"/>
            </w:tcBorders>
            <w:shd w:val="clear" w:color="auto" w:fill="auto"/>
          </w:tcPr>
          <w:p w14:paraId="1FCD67FE" w14:textId="77777777" w:rsidR="002A4DDF" w:rsidRPr="00937C8B" w:rsidRDefault="002A4DDF" w:rsidP="009110ED">
            <w:pPr>
              <w:rPr>
                <w:rFonts w:ascii="Arial" w:hAnsi="Arial" w:cs="Arial"/>
                <w:sz w:val="12"/>
                <w:szCs w:val="12"/>
              </w:rPr>
            </w:pPr>
          </w:p>
        </w:tc>
        <w:tc>
          <w:tcPr>
            <w:tcW w:w="1843" w:type="dxa"/>
            <w:shd w:val="clear" w:color="auto" w:fill="auto"/>
          </w:tcPr>
          <w:p w14:paraId="261B351F" w14:textId="77777777" w:rsidR="002A4DDF" w:rsidRPr="00937C8B" w:rsidRDefault="002A4DDF" w:rsidP="009110ED">
            <w:pPr>
              <w:rPr>
                <w:rFonts w:ascii="Arial" w:hAnsi="Arial" w:cs="Arial"/>
                <w:sz w:val="12"/>
                <w:szCs w:val="12"/>
              </w:rPr>
            </w:pPr>
          </w:p>
        </w:tc>
        <w:tc>
          <w:tcPr>
            <w:tcW w:w="2268" w:type="dxa"/>
            <w:shd w:val="clear" w:color="auto" w:fill="F2F2F2"/>
            <w:hideMark/>
          </w:tcPr>
          <w:p w14:paraId="7CD1A26D" w14:textId="77777777" w:rsidR="002A4DDF" w:rsidRPr="00937C8B" w:rsidRDefault="002A4DDF" w:rsidP="009110ED">
            <w:pPr>
              <w:rPr>
                <w:rFonts w:ascii="Arial" w:hAnsi="Arial" w:cs="Arial"/>
                <w:sz w:val="12"/>
                <w:szCs w:val="12"/>
              </w:rPr>
            </w:pPr>
            <w:r>
              <w:rPr>
                <w:rFonts w:ascii="Arial" w:hAnsi="Arial"/>
                <w:sz w:val="12"/>
                <w:szCs w:val="12"/>
              </w:rPr>
              <w:t>Herreros de Suso</w:t>
            </w:r>
          </w:p>
        </w:tc>
        <w:tc>
          <w:tcPr>
            <w:tcW w:w="2268" w:type="dxa"/>
            <w:tcBorders>
              <w:right w:val="single" w:sz="4" w:space="0" w:color="auto"/>
            </w:tcBorders>
            <w:shd w:val="clear" w:color="auto" w:fill="D9D9D9"/>
            <w:hideMark/>
          </w:tcPr>
          <w:p w14:paraId="11512A55" w14:textId="77777777" w:rsidR="002A4DDF" w:rsidRPr="00937C8B" w:rsidRDefault="002A4DDF" w:rsidP="009110ED">
            <w:pPr>
              <w:rPr>
                <w:rFonts w:ascii="Arial" w:hAnsi="Arial" w:cs="Arial"/>
                <w:sz w:val="12"/>
                <w:szCs w:val="12"/>
              </w:rPr>
            </w:pPr>
            <w:r>
              <w:rPr>
                <w:rFonts w:ascii="Arial" w:hAnsi="Arial"/>
                <w:sz w:val="12"/>
                <w:szCs w:val="12"/>
              </w:rPr>
              <w:t>Gavilanes</w:t>
            </w:r>
          </w:p>
        </w:tc>
      </w:tr>
      <w:tr w:rsidR="002A4DDF" w:rsidRPr="00937C8B" w14:paraId="03929E36" w14:textId="77777777" w:rsidTr="00935676">
        <w:trPr>
          <w:cantSplit/>
        </w:trPr>
        <w:tc>
          <w:tcPr>
            <w:tcW w:w="1696" w:type="dxa"/>
            <w:tcBorders>
              <w:left w:val="single" w:sz="4" w:space="0" w:color="auto"/>
            </w:tcBorders>
            <w:shd w:val="clear" w:color="auto" w:fill="auto"/>
          </w:tcPr>
          <w:p w14:paraId="17C1FB8E" w14:textId="77777777" w:rsidR="002A4DDF" w:rsidRPr="00937C8B" w:rsidRDefault="002A4DDF" w:rsidP="009110ED">
            <w:pPr>
              <w:rPr>
                <w:rFonts w:ascii="Arial" w:hAnsi="Arial" w:cs="Arial"/>
                <w:sz w:val="12"/>
                <w:szCs w:val="12"/>
              </w:rPr>
            </w:pPr>
          </w:p>
        </w:tc>
        <w:tc>
          <w:tcPr>
            <w:tcW w:w="1843" w:type="dxa"/>
            <w:shd w:val="clear" w:color="auto" w:fill="auto"/>
          </w:tcPr>
          <w:p w14:paraId="07DC47BD" w14:textId="77777777" w:rsidR="002A4DDF" w:rsidRPr="00937C8B" w:rsidRDefault="002A4DDF" w:rsidP="009110ED">
            <w:pPr>
              <w:rPr>
                <w:rFonts w:ascii="Arial" w:hAnsi="Arial" w:cs="Arial"/>
                <w:sz w:val="12"/>
                <w:szCs w:val="12"/>
              </w:rPr>
            </w:pPr>
          </w:p>
        </w:tc>
        <w:tc>
          <w:tcPr>
            <w:tcW w:w="2268" w:type="dxa"/>
            <w:shd w:val="clear" w:color="auto" w:fill="F2F2F2"/>
            <w:hideMark/>
          </w:tcPr>
          <w:p w14:paraId="28B8C646" w14:textId="77777777" w:rsidR="002A4DDF" w:rsidRPr="00937C8B" w:rsidRDefault="002A4DDF" w:rsidP="009110ED">
            <w:pPr>
              <w:rPr>
                <w:rFonts w:ascii="Arial" w:hAnsi="Arial" w:cs="Arial"/>
                <w:sz w:val="12"/>
                <w:szCs w:val="12"/>
              </w:rPr>
            </w:pPr>
            <w:r>
              <w:rPr>
                <w:rFonts w:ascii="Arial" w:hAnsi="Arial"/>
                <w:sz w:val="12"/>
                <w:szCs w:val="12"/>
              </w:rPr>
              <w:t>Horcajo de las Torres</w:t>
            </w:r>
          </w:p>
        </w:tc>
        <w:tc>
          <w:tcPr>
            <w:tcW w:w="2268" w:type="dxa"/>
            <w:tcBorders>
              <w:right w:val="single" w:sz="4" w:space="0" w:color="auto"/>
            </w:tcBorders>
            <w:shd w:val="clear" w:color="auto" w:fill="D9D9D9"/>
            <w:hideMark/>
          </w:tcPr>
          <w:p w14:paraId="539B3023" w14:textId="77777777" w:rsidR="002A4DDF" w:rsidRPr="00937C8B" w:rsidRDefault="002A4DDF" w:rsidP="009110ED">
            <w:pPr>
              <w:rPr>
                <w:rFonts w:ascii="Arial" w:hAnsi="Arial" w:cs="Arial"/>
                <w:sz w:val="12"/>
                <w:szCs w:val="12"/>
              </w:rPr>
            </w:pPr>
            <w:r>
              <w:rPr>
                <w:rFonts w:ascii="Arial" w:hAnsi="Arial"/>
                <w:sz w:val="12"/>
                <w:szCs w:val="12"/>
              </w:rPr>
              <w:t>Gil García</w:t>
            </w:r>
          </w:p>
        </w:tc>
      </w:tr>
      <w:tr w:rsidR="002A4DDF" w:rsidRPr="00937C8B" w14:paraId="6245104C" w14:textId="77777777" w:rsidTr="00935676">
        <w:trPr>
          <w:cantSplit/>
        </w:trPr>
        <w:tc>
          <w:tcPr>
            <w:tcW w:w="1696" w:type="dxa"/>
            <w:tcBorders>
              <w:left w:val="single" w:sz="4" w:space="0" w:color="auto"/>
            </w:tcBorders>
            <w:shd w:val="clear" w:color="auto" w:fill="auto"/>
          </w:tcPr>
          <w:p w14:paraId="2ACC3BE2" w14:textId="77777777" w:rsidR="002A4DDF" w:rsidRPr="00937C8B" w:rsidRDefault="002A4DDF" w:rsidP="009110ED">
            <w:pPr>
              <w:rPr>
                <w:rFonts w:ascii="Arial" w:hAnsi="Arial" w:cs="Arial"/>
                <w:sz w:val="12"/>
                <w:szCs w:val="12"/>
              </w:rPr>
            </w:pPr>
          </w:p>
        </w:tc>
        <w:tc>
          <w:tcPr>
            <w:tcW w:w="1843" w:type="dxa"/>
            <w:shd w:val="clear" w:color="auto" w:fill="auto"/>
          </w:tcPr>
          <w:p w14:paraId="782224C4" w14:textId="77777777" w:rsidR="002A4DDF" w:rsidRPr="00937C8B" w:rsidRDefault="002A4DDF" w:rsidP="009110ED">
            <w:pPr>
              <w:rPr>
                <w:rFonts w:ascii="Arial" w:hAnsi="Arial" w:cs="Arial"/>
                <w:sz w:val="12"/>
                <w:szCs w:val="12"/>
              </w:rPr>
            </w:pPr>
          </w:p>
        </w:tc>
        <w:tc>
          <w:tcPr>
            <w:tcW w:w="2268" w:type="dxa"/>
            <w:shd w:val="clear" w:color="auto" w:fill="F2F2F2"/>
            <w:hideMark/>
          </w:tcPr>
          <w:p w14:paraId="50E960F9" w14:textId="77777777" w:rsidR="002A4DDF" w:rsidRPr="00937C8B" w:rsidRDefault="002A4DDF" w:rsidP="009110ED">
            <w:pPr>
              <w:rPr>
                <w:rFonts w:ascii="Arial" w:hAnsi="Arial" w:cs="Arial"/>
                <w:sz w:val="12"/>
                <w:szCs w:val="12"/>
              </w:rPr>
            </w:pPr>
            <w:r>
              <w:rPr>
                <w:rFonts w:ascii="Arial" w:hAnsi="Arial"/>
                <w:sz w:val="12"/>
                <w:szCs w:val="12"/>
              </w:rPr>
              <w:t>Junciana</w:t>
            </w:r>
          </w:p>
        </w:tc>
        <w:tc>
          <w:tcPr>
            <w:tcW w:w="2268" w:type="dxa"/>
            <w:tcBorders>
              <w:right w:val="single" w:sz="4" w:space="0" w:color="auto"/>
            </w:tcBorders>
            <w:shd w:val="clear" w:color="auto" w:fill="D9D9D9"/>
            <w:hideMark/>
          </w:tcPr>
          <w:p w14:paraId="243A0E58" w14:textId="77777777" w:rsidR="002A4DDF" w:rsidRPr="00937C8B" w:rsidRDefault="002A4DDF" w:rsidP="009110ED">
            <w:pPr>
              <w:rPr>
                <w:rFonts w:ascii="Arial" w:hAnsi="Arial" w:cs="Arial"/>
                <w:sz w:val="12"/>
                <w:szCs w:val="12"/>
              </w:rPr>
            </w:pPr>
            <w:r>
              <w:rPr>
                <w:rFonts w:ascii="Arial" w:hAnsi="Arial"/>
                <w:sz w:val="12"/>
                <w:szCs w:val="12"/>
              </w:rPr>
              <w:t>Gilbuena</w:t>
            </w:r>
          </w:p>
        </w:tc>
      </w:tr>
      <w:tr w:rsidR="002A4DDF" w:rsidRPr="00937C8B" w14:paraId="3DB85203" w14:textId="77777777" w:rsidTr="00935676">
        <w:trPr>
          <w:cantSplit/>
        </w:trPr>
        <w:tc>
          <w:tcPr>
            <w:tcW w:w="1696" w:type="dxa"/>
            <w:tcBorders>
              <w:left w:val="single" w:sz="4" w:space="0" w:color="auto"/>
            </w:tcBorders>
            <w:shd w:val="clear" w:color="auto" w:fill="auto"/>
          </w:tcPr>
          <w:p w14:paraId="0E8F14A5" w14:textId="77777777" w:rsidR="002A4DDF" w:rsidRPr="00937C8B" w:rsidRDefault="002A4DDF" w:rsidP="009110ED">
            <w:pPr>
              <w:rPr>
                <w:rFonts w:ascii="Arial" w:hAnsi="Arial" w:cs="Arial"/>
                <w:sz w:val="12"/>
                <w:szCs w:val="12"/>
              </w:rPr>
            </w:pPr>
          </w:p>
        </w:tc>
        <w:tc>
          <w:tcPr>
            <w:tcW w:w="1843" w:type="dxa"/>
            <w:shd w:val="clear" w:color="auto" w:fill="auto"/>
          </w:tcPr>
          <w:p w14:paraId="2217BA09" w14:textId="77777777" w:rsidR="002A4DDF" w:rsidRPr="00937C8B" w:rsidRDefault="002A4DDF" w:rsidP="009110ED">
            <w:pPr>
              <w:rPr>
                <w:rFonts w:ascii="Arial" w:hAnsi="Arial" w:cs="Arial"/>
                <w:sz w:val="12"/>
                <w:szCs w:val="12"/>
              </w:rPr>
            </w:pPr>
          </w:p>
        </w:tc>
        <w:tc>
          <w:tcPr>
            <w:tcW w:w="2268" w:type="dxa"/>
            <w:shd w:val="clear" w:color="auto" w:fill="F2F2F2"/>
            <w:hideMark/>
          </w:tcPr>
          <w:p w14:paraId="0348B8AD" w14:textId="77777777" w:rsidR="002A4DDF" w:rsidRPr="00937C8B" w:rsidRDefault="002A4DDF" w:rsidP="009110ED">
            <w:pPr>
              <w:rPr>
                <w:rFonts w:ascii="Arial" w:hAnsi="Arial" w:cs="Arial"/>
                <w:sz w:val="12"/>
                <w:szCs w:val="12"/>
              </w:rPr>
            </w:pPr>
            <w:r>
              <w:rPr>
                <w:rFonts w:ascii="Arial" w:hAnsi="Arial"/>
                <w:sz w:val="12"/>
                <w:szCs w:val="12"/>
              </w:rPr>
              <w:t>Langa</w:t>
            </w:r>
          </w:p>
        </w:tc>
        <w:tc>
          <w:tcPr>
            <w:tcW w:w="2268" w:type="dxa"/>
            <w:tcBorders>
              <w:right w:val="single" w:sz="4" w:space="0" w:color="auto"/>
            </w:tcBorders>
            <w:shd w:val="clear" w:color="auto" w:fill="D9D9D9"/>
            <w:hideMark/>
          </w:tcPr>
          <w:p w14:paraId="17E16A51" w14:textId="77777777" w:rsidR="002A4DDF" w:rsidRPr="00937C8B" w:rsidRDefault="002A4DDF" w:rsidP="009110ED">
            <w:pPr>
              <w:rPr>
                <w:rFonts w:ascii="Arial" w:hAnsi="Arial" w:cs="Arial"/>
                <w:sz w:val="12"/>
                <w:szCs w:val="12"/>
              </w:rPr>
            </w:pPr>
            <w:r>
              <w:rPr>
                <w:rFonts w:ascii="Arial" w:hAnsi="Arial"/>
                <w:sz w:val="12"/>
                <w:szCs w:val="12"/>
              </w:rPr>
              <w:t>Grandes y San Martín</w:t>
            </w:r>
          </w:p>
        </w:tc>
      </w:tr>
      <w:tr w:rsidR="002A4DDF" w:rsidRPr="00937C8B" w14:paraId="647421BF" w14:textId="77777777" w:rsidTr="00935676">
        <w:trPr>
          <w:cantSplit/>
        </w:trPr>
        <w:tc>
          <w:tcPr>
            <w:tcW w:w="1696" w:type="dxa"/>
            <w:tcBorders>
              <w:left w:val="single" w:sz="4" w:space="0" w:color="auto"/>
            </w:tcBorders>
            <w:shd w:val="clear" w:color="auto" w:fill="auto"/>
          </w:tcPr>
          <w:p w14:paraId="632F0A7D" w14:textId="77777777" w:rsidR="002A4DDF" w:rsidRPr="00937C8B" w:rsidRDefault="002A4DDF" w:rsidP="009110ED">
            <w:pPr>
              <w:rPr>
                <w:rFonts w:ascii="Arial" w:hAnsi="Arial" w:cs="Arial"/>
                <w:sz w:val="12"/>
                <w:szCs w:val="12"/>
              </w:rPr>
            </w:pPr>
          </w:p>
        </w:tc>
        <w:tc>
          <w:tcPr>
            <w:tcW w:w="1843" w:type="dxa"/>
            <w:shd w:val="clear" w:color="auto" w:fill="auto"/>
          </w:tcPr>
          <w:p w14:paraId="1EB24F9A" w14:textId="77777777" w:rsidR="002A4DDF" w:rsidRPr="00937C8B" w:rsidRDefault="002A4DDF" w:rsidP="009110ED">
            <w:pPr>
              <w:rPr>
                <w:rFonts w:ascii="Arial" w:hAnsi="Arial" w:cs="Arial"/>
                <w:sz w:val="12"/>
                <w:szCs w:val="12"/>
              </w:rPr>
            </w:pPr>
          </w:p>
        </w:tc>
        <w:tc>
          <w:tcPr>
            <w:tcW w:w="2268" w:type="dxa"/>
            <w:shd w:val="clear" w:color="auto" w:fill="F2F2F2"/>
            <w:hideMark/>
          </w:tcPr>
          <w:p w14:paraId="39A499E4" w14:textId="77777777" w:rsidR="002A4DDF" w:rsidRPr="00937C8B" w:rsidRDefault="002A4DDF" w:rsidP="009110ED">
            <w:pPr>
              <w:rPr>
                <w:rFonts w:ascii="Arial" w:hAnsi="Arial" w:cs="Arial"/>
                <w:sz w:val="12"/>
                <w:szCs w:val="12"/>
              </w:rPr>
            </w:pPr>
            <w:r>
              <w:rPr>
                <w:rFonts w:ascii="Arial" w:hAnsi="Arial"/>
                <w:sz w:val="12"/>
                <w:szCs w:val="12"/>
              </w:rPr>
              <w:t>Las Berlanas</w:t>
            </w:r>
          </w:p>
        </w:tc>
        <w:tc>
          <w:tcPr>
            <w:tcW w:w="2268" w:type="dxa"/>
            <w:tcBorders>
              <w:right w:val="single" w:sz="4" w:space="0" w:color="auto"/>
            </w:tcBorders>
            <w:shd w:val="clear" w:color="auto" w:fill="D9D9D9"/>
            <w:hideMark/>
          </w:tcPr>
          <w:p w14:paraId="7AB09C96" w14:textId="77777777" w:rsidR="002A4DDF" w:rsidRPr="00937C8B" w:rsidRDefault="002A4DDF" w:rsidP="009110ED">
            <w:pPr>
              <w:rPr>
                <w:rFonts w:ascii="Arial" w:hAnsi="Arial" w:cs="Arial"/>
                <w:sz w:val="12"/>
                <w:szCs w:val="12"/>
              </w:rPr>
            </w:pPr>
            <w:r>
              <w:rPr>
                <w:rFonts w:ascii="Arial" w:hAnsi="Arial"/>
                <w:sz w:val="12"/>
                <w:szCs w:val="12"/>
              </w:rPr>
              <w:t>Guisando</w:t>
            </w:r>
          </w:p>
        </w:tc>
      </w:tr>
      <w:tr w:rsidR="002A4DDF" w:rsidRPr="00937C8B" w14:paraId="048E1757" w14:textId="77777777" w:rsidTr="00935676">
        <w:trPr>
          <w:cantSplit/>
        </w:trPr>
        <w:tc>
          <w:tcPr>
            <w:tcW w:w="1696" w:type="dxa"/>
            <w:tcBorders>
              <w:left w:val="single" w:sz="4" w:space="0" w:color="auto"/>
            </w:tcBorders>
            <w:shd w:val="clear" w:color="auto" w:fill="auto"/>
          </w:tcPr>
          <w:p w14:paraId="563F94F2" w14:textId="77777777" w:rsidR="002A4DDF" w:rsidRPr="00937C8B" w:rsidRDefault="002A4DDF" w:rsidP="009110ED">
            <w:pPr>
              <w:rPr>
                <w:rFonts w:ascii="Arial" w:hAnsi="Arial" w:cs="Arial"/>
                <w:sz w:val="12"/>
                <w:szCs w:val="12"/>
              </w:rPr>
            </w:pPr>
          </w:p>
        </w:tc>
        <w:tc>
          <w:tcPr>
            <w:tcW w:w="1843" w:type="dxa"/>
            <w:shd w:val="clear" w:color="auto" w:fill="auto"/>
          </w:tcPr>
          <w:p w14:paraId="6041EBB8" w14:textId="77777777" w:rsidR="002A4DDF" w:rsidRPr="00937C8B" w:rsidRDefault="002A4DDF" w:rsidP="009110ED">
            <w:pPr>
              <w:rPr>
                <w:rFonts w:ascii="Arial" w:hAnsi="Arial" w:cs="Arial"/>
                <w:sz w:val="12"/>
                <w:szCs w:val="12"/>
              </w:rPr>
            </w:pPr>
          </w:p>
        </w:tc>
        <w:tc>
          <w:tcPr>
            <w:tcW w:w="2268" w:type="dxa"/>
            <w:shd w:val="clear" w:color="auto" w:fill="F2F2F2"/>
            <w:hideMark/>
          </w:tcPr>
          <w:p w14:paraId="5BFCC995" w14:textId="77777777" w:rsidR="002A4DDF" w:rsidRPr="00937C8B" w:rsidRDefault="002A4DDF" w:rsidP="009110ED">
            <w:pPr>
              <w:rPr>
                <w:rFonts w:ascii="Arial" w:hAnsi="Arial" w:cs="Arial"/>
                <w:sz w:val="12"/>
                <w:szCs w:val="12"/>
              </w:rPr>
            </w:pPr>
            <w:r>
              <w:rPr>
                <w:rFonts w:ascii="Arial" w:hAnsi="Arial"/>
                <w:sz w:val="12"/>
                <w:szCs w:val="12"/>
              </w:rPr>
              <w:t>Madrigal de las Altas Torres</w:t>
            </w:r>
          </w:p>
        </w:tc>
        <w:tc>
          <w:tcPr>
            <w:tcW w:w="2268" w:type="dxa"/>
            <w:tcBorders>
              <w:right w:val="single" w:sz="4" w:space="0" w:color="auto"/>
            </w:tcBorders>
            <w:shd w:val="clear" w:color="auto" w:fill="D9D9D9"/>
            <w:hideMark/>
          </w:tcPr>
          <w:p w14:paraId="0BCE4DDF" w14:textId="77777777" w:rsidR="002A4DDF" w:rsidRPr="00937C8B" w:rsidRDefault="002A4DDF" w:rsidP="009110ED">
            <w:pPr>
              <w:rPr>
                <w:rFonts w:ascii="Arial" w:hAnsi="Arial" w:cs="Arial"/>
                <w:sz w:val="12"/>
                <w:szCs w:val="12"/>
              </w:rPr>
            </w:pPr>
            <w:r>
              <w:rPr>
                <w:rFonts w:ascii="Arial" w:hAnsi="Arial"/>
                <w:sz w:val="12"/>
                <w:szCs w:val="12"/>
              </w:rPr>
              <w:t>Herradón de Pinares</w:t>
            </w:r>
          </w:p>
        </w:tc>
      </w:tr>
      <w:tr w:rsidR="002A4DDF" w:rsidRPr="00937C8B" w14:paraId="1156B9A9" w14:textId="77777777" w:rsidTr="00935676">
        <w:trPr>
          <w:cantSplit/>
        </w:trPr>
        <w:tc>
          <w:tcPr>
            <w:tcW w:w="1696" w:type="dxa"/>
            <w:tcBorders>
              <w:left w:val="single" w:sz="4" w:space="0" w:color="auto"/>
            </w:tcBorders>
            <w:shd w:val="clear" w:color="auto" w:fill="auto"/>
          </w:tcPr>
          <w:p w14:paraId="5A222857" w14:textId="77777777" w:rsidR="002A4DDF" w:rsidRPr="00937C8B" w:rsidRDefault="002A4DDF" w:rsidP="009110ED">
            <w:pPr>
              <w:rPr>
                <w:rFonts w:ascii="Arial" w:hAnsi="Arial" w:cs="Arial"/>
                <w:sz w:val="12"/>
                <w:szCs w:val="12"/>
              </w:rPr>
            </w:pPr>
          </w:p>
        </w:tc>
        <w:tc>
          <w:tcPr>
            <w:tcW w:w="1843" w:type="dxa"/>
            <w:shd w:val="clear" w:color="auto" w:fill="auto"/>
          </w:tcPr>
          <w:p w14:paraId="6B72733C" w14:textId="77777777" w:rsidR="002A4DDF" w:rsidRPr="00937C8B" w:rsidRDefault="002A4DDF" w:rsidP="009110ED">
            <w:pPr>
              <w:rPr>
                <w:rFonts w:ascii="Arial" w:hAnsi="Arial" w:cs="Arial"/>
                <w:sz w:val="12"/>
                <w:szCs w:val="12"/>
              </w:rPr>
            </w:pPr>
          </w:p>
        </w:tc>
        <w:tc>
          <w:tcPr>
            <w:tcW w:w="2268" w:type="dxa"/>
            <w:shd w:val="clear" w:color="auto" w:fill="F2F2F2"/>
            <w:hideMark/>
          </w:tcPr>
          <w:p w14:paraId="20BBB8A3" w14:textId="77777777" w:rsidR="002A4DDF" w:rsidRPr="00937C8B" w:rsidRDefault="002A4DDF" w:rsidP="009110ED">
            <w:pPr>
              <w:rPr>
                <w:rFonts w:ascii="Arial" w:hAnsi="Arial" w:cs="Arial"/>
                <w:sz w:val="12"/>
                <w:szCs w:val="12"/>
              </w:rPr>
            </w:pPr>
            <w:r>
              <w:rPr>
                <w:rFonts w:ascii="Arial" w:hAnsi="Arial"/>
                <w:sz w:val="12"/>
                <w:szCs w:val="12"/>
              </w:rPr>
              <w:t>Maello</w:t>
            </w:r>
          </w:p>
        </w:tc>
        <w:tc>
          <w:tcPr>
            <w:tcW w:w="2268" w:type="dxa"/>
            <w:tcBorders>
              <w:right w:val="single" w:sz="4" w:space="0" w:color="auto"/>
            </w:tcBorders>
            <w:shd w:val="clear" w:color="auto" w:fill="D9D9D9"/>
            <w:hideMark/>
          </w:tcPr>
          <w:p w14:paraId="5CA71829" w14:textId="77777777" w:rsidR="002A4DDF" w:rsidRPr="00937C8B" w:rsidRDefault="002A4DDF" w:rsidP="009110ED">
            <w:pPr>
              <w:rPr>
                <w:rFonts w:ascii="Arial" w:hAnsi="Arial" w:cs="Arial"/>
                <w:sz w:val="12"/>
                <w:szCs w:val="12"/>
              </w:rPr>
            </w:pPr>
            <w:r>
              <w:rPr>
                <w:rFonts w:ascii="Arial" w:hAnsi="Arial"/>
                <w:sz w:val="12"/>
                <w:szCs w:val="12"/>
              </w:rPr>
              <w:t>Higuera de las Dueñas</w:t>
            </w:r>
          </w:p>
        </w:tc>
      </w:tr>
      <w:tr w:rsidR="002A4DDF" w:rsidRPr="00937C8B" w14:paraId="10316268" w14:textId="77777777" w:rsidTr="00935676">
        <w:trPr>
          <w:cantSplit/>
        </w:trPr>
        <w:tc>
          <w:tcPr>
            <w:tcW w:w="1696" w:type="dxa"/>
            <w:tcBorders>
              <w:left w:val="single" w:sz="4" w:space="0" w:color="auto"/>
            </w:tcBorders>
            <w:shd w:val="clear" w:color="auto" w:fill="auto"/>
          </w:tcPr>
          <w:p w14:paraId="471D36ED" w14:textId="77777777" w:rsidR="002A4DDF" w:rsidRPr="00937C8B" w:rsidRDefault="002A4DDF" w:rsidP="009110ED">
            <w:pPr>
              <w:rPr>
                <w:rFonts w:ascii="Arial" w:hAnsi="Arial" w:cs="Arial"/>
                <w:sz w:val="12"/>
                <w:szCs w:val="12"/>
              </w:rPr>
            </w:pPr>
          </w:p>
        </w:tc>
        <w:tc>
          <w:tcPr>
            <w:tcW w:w="1843" w:type="dxa"/>
            <w:shd w:val="clear" w:color="auto" w:fill="auto"/>
          </w:tcPr>
          <w:p w14:paraId="46D0F438" w14:textId="77777777" w:rsidR="002A4DDF" w:rsidRPr="00937C8B" w:rsidRDefault="002A4DDF" w:rsidP="009110ED">
            <w:pPr>
              <w:rPr>
                <w:rFonts w:ascii="Arial" w:hAnsi="Arial" w:cs="Arial"/>
                <w:sz w:val="12"/>
                <w:szCs w:val="12"/>
              </w:rPr>
            </w:pPr>
          </w:p>
        </w:tc>
        <w:tc>
          <w:tcPr>
            <w:tcW w:w="2268" w:type="dxa"/>
            <w:shd w:val="clear" w:color="auto" w:fill="F2F2F2"/>
            <w:hideMark/>
          </w:tcPr>
          <w:p w14:paraId="5935E52E" w14:textId="77777777" w:rsidR="002A4DDF" w:rsidRPr="00937C8B" w:rsidRDefault="002A4DDF" w:rsidP="009110ED">
            <w:pPr>
              <w:rPr>
                <w:rFonts w:ascii="Arial" w:hAnsi="Arial" w:cs="Arial"/>
                <w:sz w:val="12"/>
                <w:szCs w:val="12"/>
              </w:rPr>
            </w:pPr>
            <w:r>
              <w:rPr>
                <w:rFonts w:ascii="Arial" w:hAnsi="Arial"/>
                <w:sz w:val="12"/>
                <w:szCs w:val="12"/>
              </w:rPr>
              <w:t>Mamblas</w:t>
            </w:r>
          </w:p>
        </w:tc>
        <w:tc>
          <w:tcPr>
            <w:tcW w:w="2268" w:type="dxa"/>
            <w:tcBorders>
              <w:right w:val="single" w:sz="4" w:space="0" w:color="auto"/>
            </w:tcBorders>
            <w:shd w:val="clear" w:color="auto" w:fill="D9D9D9"/>
            <w:hideMark/>
          </w:tcPr>
          <w:p w14:paraId="03A5F194" w14:textId="77777777" w:rsidR="002A4DDF" w:rsidRPr="00937C8B" w:rsidRDefault="002A4DDF" w:rsidP="009110ED">
            <w:pPr>
              <w:rPr>
                <w:rFonts w:ascii="Arial" w:hAnsi="Arial" w:cs="Arial"/>
                <w:sz w:val="12"/>
                <w:szCs w:val="12"/>
              </w:rPr>
            </w:pPr>
            <w:r>
              <w:rPr>
                <w:rFonts w:ascii="Arial" w:hAnsi="Arial"/>
                <w:sz w:val="12"/>
                <w:szCs w:val="12"/>
              </w:rPr>
              <w:t>Hoyocasero</w:t>
            </w:r>
          </w:p>
        </w:tc>
      </w:tr>
      <w:tr w:rsidR="002A4DDF" w:rsidRPr="00937C8B" w14:paraId="252100EE" w14:textId="77777777" w:rsidTr="00935676">
        <w:trPr>
          <w:cantSplit/>
        </w:trPr>
        <w:tc>
          <w:tcPr>
            <w:tcW w:w="1696" w:type="dxa"/>
            <w:tcBorders>
              <w:left w:val="single" w:sz="4" w:space="0" w:color="auto"/>
            </w:tcBorders>
            <w:shd w:val="clear" w:color="auto" w:fill="auto"/>
          </w:tcPr>
          <w:p w14:paraId="5198E6A1" w14:textId="77777777" w:rsidR="002A4DDF" w:rsidRPr="00937C8B" w:rsidRDefault="002A4DDF" w:rsidP="009110ED">
            <w:pPr>
              <w:rPr>
                <w:rFonts w:ascii="Arial" w:hAnsi="Arial" w:cs="Arial"/>
                <w:sz w:val="12"/>
                <w:szCs w:val="12"/>
              </w:rPr>
            </w:pPr>
          </w:p>
        </w:tc>
        <w:tc>
          <w:tcPr>
            <w:tcW w:w="1843" w:type="dxa"/>
            <w:shd w:val="clear" w:color="auto" w:fill="auto"/>
          </w:tcPr>
          <w:p w14:paraId="71D486D3" w14:textId="77777777" w:rsidR="002A4DDF" w:rsidRPr="00937C8B" w:rsidRDefault="002A4DDF" w:rsidP="009110ED">
            <w:pPr>
              <w:rPr>
                <w:rFonts w:ascii="Arial" w:hAnsi="Arial" w:cs="Arial"/>
                <w:sz w:val="12"/>
                <w:szCs w:val="12"/>
              </w:rPr>
            </w:pPr>
          </w:p>
        </w:tc>
        <w:tc>
          <w:tcPr>
            <w:tcW w:w="2268" w:type="dxa"/>
            <w:shd w:val="clear" w:color="auto" w:fill="F2F2F2"/>
            <w:hideMark/>
          </w:tcPr>
          <w:p w14:paraId="014552C7" w14:textId="77777777" w:rsidR="002A4DDF" w:rsidRPr="00937C8B" w:rsidRDefault="002A4DDF" w:rsidP="009110ED">
            <w:pPr>
              <w:rPr>
                <w:rFonts w:ascii="Arial" w:hAnsi="Arial" w:cs="Arial"/>
                <w:sz w:val="12"/>
                <w:szCs w:val="12"/>
              </w:rPr>
            </w:pPr>
            <w:r>
              <w:rPr>
                <w:rFonts w:ascii="Arial" w:hAnsi="Arial"/>
                <w:sz w:val="12"/>
                <w:szCs w:val="12"/>
              </w:rPr>
              <w:t>Mancera de Arriba</w:t>
            </w:r>
          </w:p>
        </w:tc>
        <w:tc>
          <w:tcPr>
            <w:tcW w:w="2268" w:type="dxa"/>
            <w:tcBorders>
              <w:right w:val="single" w:sz="4" w:space="0" w:color="auto"/>
            </w:tcBorders>
            <w:shd w:val="clear" w:color="auto" w:fill="D9D9D9"/>
            <w:hideMark/>
          </w:tcPr>
          <w:p w14:paraId="5B85552A" w14:textId="77777777" w:rsidR="002A4DDF" w:rsidRPr="00937C8B" w:rsidRDefault="002A4DDF" w:rsidP="009110ED">
            <w:pPr>
              <w:rPr>
                <w:rFonts w:ascii="Arial" w:hAnsi="Arial" w:cs="Arial"/>
                <w:sz w:val="12"/>
                <w:szCs w:val="12"/>
              </w:rPr>
            </w:pPr>
            <w:r>
              <w:rPr>
                <w:rFonts w:ascii="Arial" w:hAnsi="Arial"/>
                <w:sz w:val="12"/>
                <w:szCs w:val="12"/>
              </w:rPr>
              <w:t>Hoyorredondo</w:t>
            </w:r>
          </w:p>
        </w:tc>
      </w:tr>
      <w:tr w:rsidR="002A4DDF" w:rsidRPr="00937C8B" w14:paraId="5C3E0EF3" w14:textId="77777777" w:rsidTr="00935676">
        <w:trPr>
          <w:cantSplit/>
        </w:trPr>
        <w:tc>
          <w:tcPr>
            <w:tcW w:w="1696" w:type="dxa"/>
            <w:tcBorders>
              <w:left w:val="single" w:sz="4" w:space="0" w:color="auto"/>
            </w:tcBorders>
            <w:shd w:val="clear" w:color="auto" w:fill="auto"/>
          </w:tcPr>
          <w:p w14:paraId="7E2D7323" w14:textId="77777777" w:rsidR="002A4DDF" w:rsidRPr="00937C8B" w:rsidRDefault="002A4DDF" w:rsidP="009110ED">
            <w:pPr>
              <w:rPr>
                <w:rFonts w:ascii="Arial" w:hAnsi="Arial" w:cs="Arial"/>
                <w:sz w:val="12"/>
                <w:szCs w:val="12"/>
              </w:rPr>
            </w:pPr>
          </w:p>
        </w:tc>
        <w:tc>
          <w:tcPr>
            <w:tcW w:w="1843" w:type="dxa"/>
            <w:shd w:val="clear" w:color="auto" w:fill="auto"/>
          </w:tcPr>
          <w:p w14:paraId="30A70D43" w14:textId="77777777" w:rsidR="002A4DDF" w:rsidRPr="00937C8B" w:rsidRDefault="002A4DDF" w:rsidP="009110ED">
            <w:pPr>
              <w:rPr>
                <w:rFonts w:ascii="Arial" w:hAnsi="Arial" w:cs="Arial"/>
                <w:sz w:val="12"/>
                <w:szCs w:val="12"/>
              </w:rPr>
            </w:pPr>
          </w:p>
        </w:tc>
        <w:tc>
          <w:tcPr>
            <w:tcW w:w="2268" w:type="dxa"/>
            <w:shd w:val="clear" w:color="auto" w:fill="F2F2F2"/>
            <w:hideMark/>
          </w:tcPr>
          <w:p w14:paraId="13B48D72" w14:textId="77777777" w:rsidR="002A4DDF" w:rsidRPr="00937C8B" w:rsidRDefault="002A4DDF" w:rsidP="009110ED">
            <w:pPr>
              <w:rPr>
                <w:rFonts w:ascii="Arial" w:hAnsi="Arial" w:cs="Arial"/>
                <w:sz w:val="12"/>
                <w:szCs w:val="12"/>
              </w:rPr>
            </w:pPr>
            <w:r>
              <w:rPr>
                <w:rFonts w:ascii="Arial" w:hAnsi="Arial"/>
                <w:sz w:val="12"/>
                <w:szCs w:val="12"/>
              </w:rPr>
              <w:t>Monsalupe</w:t>
            </w:r>
          </w:p>
        </w:tc>
        <w:tc>
          <w:tcPr>
            <w:tcW w:w="2268" w:type="dxa"/>
            <w:tcBorders>
              <w:right w:val="single" w:sz="4" w:space="0" w:color="auto"/>
            </w:tcBorders>
            <w:shd w:val="clear" w:color="auto" w:fill="D9D9D9"/>
            <w:hideMark/>
          </w:tcPr>
          <w:p w14:paraId="10A31A8B" w14:textId="77777777" w:rsidR="002A4DDF" w:rsidRPr="00937C8B" w:rsidRDefault="002A4DDF" w:rsidP="009110ED">
            <w:pPr>
              <w:rPr>
                <w:rFonts w:ascii="Arial" w:hAnsi="Arial" w:cs="Arial"/>
                <w:sz w:val="12"/>
                <w:szCs w:val="12"/>
              </w:rPr>
            </w:pPr>
            <w:r>
              <w:rPr>
                <w:rFonts w:ascii="Arial" w:hAnsi="Arial"/>
                <w:sz w:val="12"/>
                <w:szCs w:val="12"/>
              </w:rPr>
              <w:t>Hoyos de Miguel Muñoz</w:t>
            </w:r>
          </w:p>
        </w:tc>
      </w:tr>
      <w:tr w:rsidR="002A4DDF" w:rsidRPr="00937C8B" w14:paraId="16666A55" w14:textId="77777777" w:rsidTr="00935676">
        <w:trPr>
          <w:cantSplit/>
        </w:trPr>
        <w:tc>
          <w:tcPr>
            <w:tcW w:w="1696" w:type="dxa"/>
            <w:tcBorders>
              <w:left w:val="single" w:sz="4" w:space="0" w:color="auto"/>
            </w:tcBorders>
            <w:shd w:val="clear" w:color="auto" w:fill="auto"/>
          </w:tcPr>
          <w:p w14:paraId="53D072EB" w14:textId="77777777" w:rsidR="002A4DDF" w:rsidRPr="00937C8B" w:rsidRDefault="002A4DDF" w:rsidP="009110ED">
            <w:pPr>
              <w:rPr>
                <w:rFonts w:ascii="Arial" w:hAnsi="Arial" w:cs="Arial"/>
                <w:sz w:val="12"/>
                <w:szCs w:val="12"/>
              </w:rPr>
            </w:pPr>
          </w:p>
        </w:tc>
        <w:tc>
          <w:tcPr>
            <w:tcW w:w="1843" w:type="dxa"/>
            <w:shd w:val="clear" w:color="auto" w:fill="auto"/>
          </w:tcPr>
          <w:p w14:paraId="7ED577C3" w14:textId="77777777" w:rsidR="002A4DDF" w:rsidRPr="00937C8B" w:rsidRDefault="002A4DDF" w:rsidP="009110ED">
            <w:pPr>
              <w:rPr>
                <w:rFonts w:ascii="Arial" w:hAnsi="Arial" w:cs="Arial"/>
                <w:sz w:val="12"/>
                <w:szCs w:val="12"/>
              </w:rPr>
            </w:pPr>
          </w:p>
        </w:tc>
        <w:tc>
          <w:tcPr>
            <w:tcW w:w="2268" w:type="dxa"/>
            <w:shd w:val="clear" w:color="auto" w:fill="F2F2F2"/>
            <w:hideMark/>
          </w:tcPr>
          <w:p w14:paraId="5E605E3D" w14:textId="77777777" w:rsidR="002A4DDF" w:rsidRPr="00937C8B" w:rsidRDefault="002A4DDF" w:rsidP="009110ED">
            <w:pPr>
              <w:rPr>
                <w:rFonts w:ascii="Arial" w:hAnsi="Arial" w:cs="Arial"/>
                <w:sz w:val="12"/>
                <w:szCs w:val="12"/>
              </w:rPr>
            </w:pPr>
            <w:r>
              <w:rPr>
                <w:rFonts w:ascii="Arial" w:hAnsi="Arial"/>
                <w:sz w:val="12"/>
                <w:szCs w:val="12"/>
              </w:rPr>
              <w:t>Moraleja de Matacabras</w:t>
            </w:r>
          </w:p>
        </w:tc>
        <w:tc>
          <w:tcPr>
            <w:tcW w:w="2268" w:type="dxa"/>
            <w:tcBorders>
              <w:right w:val="single" w:sz="4" w:space="0" w:color="auto"/>
            </w:tcBorders>
            <w:shd w:val="clear" w:color="auto" w:fill="D9D9D9"/>
            <w:hideMark/>
          </w:tcPr>
          <w:p w14:paraId="320C214E" w14:textId="77777777" w:rsidR="002A4DDF" w:rsidRPr="00937C8B" w:rsidRDefault="002A4DDF" w:rsidP="009110ED">
            <w:pPr>
              <w:rPr>
                <w:rFonts w:ascii="Arial" w:hAnsi="Arial" w:cs="Arial"/>
                <w:sz w:val="12"/>
                <w:szCs w:val="12"/>
              </w:rPr>
            </w:pPr>
            <w:r>
              <w:rPr>
                <w:rFonts w:ascii="Arial" w:hAnsi="Arial"/>
                <w:sz w:val="12"/>
                <w:szCs w:val="12"/>
              </w:rPr>
              <w:t>Hoyos del Collado</w:t>
            </w:r>
          </w:p>
        </w:tc>
      </w:tr>
      <w:tr w:rsidR="002A4DDF" w:rsidRPr="00937C8B" w14:paraId="51579DC3" w14:textId="77777777" w:rsidTr="00935676">
        <w:trPr>
          <w:cantSplit/>
        </w:trPr>
        <w:tc>
          <w:tcPr>
            <w:tcW w:w="1696" w:type="dxa"/>
            <w:tcBorders>
              <w:left w:val="single" w:sz="4" w:space="0" w:color="auto"/>
            </w:tcBorders>
            <w:shd w:val="clear" w:color="auto" w:fill="auto"/>
          </w:tcPr>
          <w:p w14:paraId="7209ECCF" w14:textId="77777777" w:rsidR="002A4DDF" w:rsidRPr="00937C8B" w:rsidRDefault="002A4DDF" w:rsidP="009110ED">
            <w:pPr>
              <w:rPr>
                <w:rFonts w:ascii="Arial" w:hAnsi="Arial" w:cs="Arial"/>
                <w:sz w:val="12"/>
                <w:szCs w:val="12"/>
              </w:rPr>
            </w:pPr>
          </w:p>
        </w:tc>
        <w:tc>
          <w:tcPr>
            <w:tcW w:w="1843" w:type="dxa"/>
            <w:shd w:val="clear" w:color="auto" w:fill="auto"/>
          </w:tcPr>
          <w:p w14:paraId="01CEA84E" w14:textId="77777777" w:rsidR="002A4DDF" w:rsidRPr="00937C8B" w:rsidRDefault="002A4DDF" w:rsidP="009110ED">
            <w:pPr>
              <w:rPr>
                <w:rFonts w:ascii="Arial" w:hAnsi="Arial" w:cs="Arial"/>
                <w:sz w:val="12"/>
                <w:szCs w:val="12"/>
              </w:rPr>
            </w:pPr>
          </w:p>
        </w:tc>
        <w:tc>
          <w:tcPr>
            <w:tcW w:w="2268" w:type="dxa"/>
            <w:shd w:val="clear" w:color="auto" w:fill="F2F2F2"/>
            <w:hideMark/>
          </w:tcPr>
          <w:p w14:paraId="701B6969" w14:textId="77777777" w:rsidR="002A4DDF" w:rsidRPr="00937C8B" w:rsidRDefault="002A4DDF" w:rsidP="009110ED">
            <w:pPr>
              <w:rPr>
                <w:rFonts w:ascii="Arial" w:hAnsi="Arial" w:cs="Arial"/>
                <w:sz w:val="12"/>
                <w:szCs w:val="12"/>
              </w:rPr>
            </w:pPr>
            <w:r>
              <w:rPr>
                <w:rFonts w:ascii="Arial" w:hAnsi="Arial"/>
                <w:sz w:val="12"/>
                <w:szCs w:val="12"/>
              </w:rPr>
              <w:t>Muñico</w:t>
            </w:r>
          </w:p>
        </w:tc>
        <w:tc>
          <w:tcPr>
            <w:tcW w:w="2268" w:type="dxa"/>
            <w:tcBorders>
              <w:right w:val="single" w:sz="4" w:space="0" w:color="auto"/>
            </w:tcBorders>
            <w:shd w:val="clear" w:color="auto" w:fill="D9D9D9"/>
            <w:hideMark/>
          </w:tcPr>
          <w:p w14:paraId="66A7E060" w14:textId="77777777" w:rsidR="002A4DDF" w:rsidRPr="00937C8B" w:rsidRDefault="002A4DDF" w:rsidP="009110ED">
            <w:pPr>
              <w:rPr>
                <w:rFonts w:ascii="Arial" w:hAnsi="Arial" w:cs="Arial"/>
                <w:sz w:val="12"/>
                <w:szCs w:val="12"/>
              </w:rPr>
            </w:pPr>
            <w:r>
              <w:rPr>
                <w:rFonts w:ascii="Arial" w:hAnsi="Arial"/>
                <w:sz w:val="12"/>
                <w:szCs w:val="12"/>
              </w:rPr>
              <w:t>Hoyos del Espino</w:t>
            </w:r>
          </w:p>
        </w:tc>
      </w:tr>
      <w:tr w:rsidR="002A4DDF" w:rsidRPr="00937C8B" w14:paraId="7388171C" w14:textId="77777777" w:rsidTr="00935676">
        <w:trPr>
          <w:cantSplit/>
        </w:trPr>
        <w:tc>
          <w:tcPr>
            <w:tcW w:w="1696" w:type="dxa"/>
            <w:tcBorders>
              <w:left w:val="single" w:sz="4" w:space="0" w:color="auto"/>
            </w:tcBorders>
            <w:shd w:val="clear" w:color="auto" w:fill="auto"/>
          </w:tcPr>
          <w:p w14:paraId="294C2858" w14:textId="77777777" w:rsidR="002A4DDF" w:rsidRPr="00937C8B" w:rsidRDefault="002A4DDF" w:rsidP="009110ED">
            <w:pPr>
              <w:rPr>
                <w:rFonts w:ascii="Arial" w:hAnsi="Arial" w:cs="Arial"/>
                <w:sz w:val="12"/>
                <w:szCs w:val="12"/>
              </w:rPr>
            </w:pPr>
          </w:p>
        </w:tc>
        <w:tc>
          <w:tcPr>
            <w:tcW w:w="1843" w:type="dxa"/>
            <w:shd w:val="clear" w:color="auto" w:fill="auto"/>
          </w:tcPr>
          <w:p w14:paraId="69B47E06" w14:textId="77777777" w:rsidR="002A4DDF" w:rsidRPr="00937C8B" w:rsidRDefault="002A4DDF" w:rsidP="009110ED">
            <w:pPr>
              <w:rPr>
                <w:rFonts w:ascii="Arial" w:hAnsi="Arial" w:cs="Arial"/>
                <w:sz w:val="12"/>
                <w:szCs w:val="12"/>
              </w:rPr>
            </w:pPr>
          </w:p>
        </w:tc>
        <w:tc>
          <w:tcPr>
            <w:tcW w:w="2268" w:type="dxa"/>
            <w:shd w:val="clear" w:color="auto" w:fill="F2F2F2"/>
            <w:hideMark/>
          </w:tcPr>
          <w:p w14:paraId="4C53A603" w14:textId="77777777" w:rsidR="002A4DDF" w:rsidRPr="00937C8B" w:rsidRDefault="002A4DDF" w:rsidP="009110ED">
            <w:pPr>
              <w:rPr>
                <w:rFonts w:ascii="Arial" w:hAnsi="Arial" w:cs="Arial"/>
                <w:sz w:val="12"/>
                <w:szCs w:val="12"/>
              </w:rPr>
            </w:pPr>
            <w:r>
              <w:rPr>
                <w:rFonts w:ascii="Arial" w:hAnsi="Arial"/>
                <w:sz w:val="12"/>
                <w:szCs w:val="12"/>
              </w:rPr>
              <w:t>Muñogalindo</w:t>
            </w:r>
          </w:p>
        </w:tc>
        <w:tc>
          <w:tcPr>
            <w:tcW w:w="2268" w:type="dxa"/>
            <w:tcBorders>
              <w:right w:val="single" w:sz="4" w:space="0" w:color="auto"/>
            </w:tcBorders>
            <w:shd w:val="clear" w:color="auto" w:fill="D9D9D9"/>
            <w:hideMark/>
          </w:tcPr>
          <w:p w14:paraId="4014A844" w14:textId="77777777" w:rsidR="002A4DDF" w:rsidRPr="00937C8B" w:rsidRDefault="002A4DDF" w:rsidP="009110ED">
            <w:pPr>
              <w:rPr>
                <w:rFonts w:ascii="Arial" w:hAnsi="Arial" w:cs="Arial"/>
                <w:sz w:val="12"/>
                <w:szCs w:val="12"/>
              </w:rPr>
            </w:pPr>
            <w:r>
              <w:rPr>
                <w:rFonts w:ascii="Arial" w:hAnsi="Arial"/>
                <w:sz w:val="12"/>
                <w:szCs w:val="12"/>
              </w:rPr>
              <w:t>Hurtumpascual</w:t>
            </w:r>
          </w:p>
        </w:tc>
      </w:tr>
      <w:tr w:rsidR="002A4DDF" w:rsidRPr="00937C8B" w14:paraId="69177542" w14:textId="77777777" w:rsidTr="00935676">
        <w:trPr>
          <w:cantSplit/>
        </w:trPr>
        <w:tc>
          <w:tcPr>
            <w:tcW w:w="1696" w:type="dxa"/>
            <w:tcBorders>
              <w:left w:val="single" w:sz="4" w:space="0" w:color="auto"/>
            </w:tcBorders>
            <w:shd w:val="clear" w:color="auto" w:fill="auto"/>
          </w:tcPr>
          <w:p w14:paraId="46EB8847" w14:textId="77777777" w:rsidR="002A4DDF" w:rsidRPr="00937C8B" w:rsidRDefault="002A4DDF" w:rsidP="009110ED">
            <w:pPr>
              <w:rPr>
                <w:rFonts w:ascii="Arial" w:hAnsi="Arial" w:cs="Arial"/>
                <w:sz w:val="12"/>
                <w:szCs w:val="12"/>
              </w:rPr>
            </w:pPr>
          </w:p>
        </w:tc>
        <w:tc>
          <w:tcPr>
            <w:tcW w:w="1843" w:type="dxa"/>
            <w:shd w:val="clear" w:color="auto" w:fill="auto"/>
          </w:tcPr>
          <w:p w14:paraId="54D7F66A" w14:textId="77777777" w:rsidR="002A4DDF" w:rsidRPr="00937C8B" w:rsidRDefault="002A4DDF" w:rsidP="009110ED">
            <w:pPr>
              <w:rPr>
                <w:rFonts w:ascii="Arial" w:hAnsi="Arial" w:cs="Arial"/>
                <w:sz w:val="12"/>
                <w:szCs w:val="12"/>
              </w:rPr>
            </w:pPr>
          </w:p>
        </w:tc>
        <w:tc>
          <w:tcPr>
            <w:tcW w:w="2268" w:type="dxa"/>
            <w:shd w:val="clear" w:color="auto" w:fill="F2F2F2"/>
            <w:hideMark/>
          </w:tcPr>
          <w:p w14:paraId="7C152C8D" w14:textId="77777777" w:rsidR="002A4DDF" w:rsidRPr="00937C8B" w:rsidRDefault="002A4DDF" w:rsidP="009110ED">
            <w:pPr>
              <w:rPr>
                <w:rFonts w:ascii="Arial" w:hAnsi="Arial" w:cs="Arial"/>
                <w:sz w:val="12"/>
                <w:szCs w:val="12"/>
              </w:rPr>
            </w:pPr>
            <w:r>
              <w:rPr>
                <w:rFonts w:ascii="Arial" w:hAnsi="Arial"/>
                <w:sz w:val="12"/>
                <w:szCs w:val="12"/>
              </w:rPr>
              <w:t>Muñogrande</w:t>
            </w:r>
          </w:p>
        </w:tc>
        <w:tc>
          <w:tcPr>
            <w:tcW w:w="2268" w:type="dxa"/>
            <w:tcBorders>
              <w:right w:val="single" w:sz="4" w:space="0" w:color="auto"/>
            </w:tcBorders>
            <w:shd w:val="clear" w:color="auto" w:fill="D9D9D9"/>
            <w:hideMark/>
          </w:tcPr>
          <w:p w14:paraId="535B1A94" w14:textId="77777777" w:rsidR="002A4DDF" w:rsidRPr="00937C8B" w:rsidRDefault="002A4DDF" w:rsidP="009110ED">
            <w:pPr>
              <w:rPr>
                <w:rFonts w:ascii="Arial" w:hAnsi="Arial" w:cs="Arial"/>
                <w:sz w:val="12"/>
                <w:szCs w:val="12"/>
              </w:rPr>
            </w:pPr>
            <w:r>
              <w:rPr>
                <w:rFonts w:ascii="Arial" w:hAnsi="Arial"/>
                <w:sz w:val="12"/>
                <w:szCs w:val="12"/>
              </w:rPr>
              <w:t>La Adrada</w:t>
            </w:r>
          </w:p>
        </w:tc>
      </w:tr>
      <w:tr w:rsidR="002A4DDF" w:rsidRPr="00937C8B" w14:paraId="0099F4BF" w14:textId="77777777" w:rsidTr="00935676">
        <w:trPr>
          <w:cantSplit/>
        </w:trPr>
        <w:tc>
          <w:tcPr>
            <w:tcW w:w="1696" w:type="dxa"/>
            <w:tcBorders>
              <w:left w:val="single" w:sz="4" w:space="0" w:color="auto"/>
            </w:tcBorders>
            <w:shd w:val="clear" w:color="auto" w:fill="auto"/>
          </w:tcPr>
          <w:p w14:paraId="43FA487B" w14:textId="77777777" w:rsidR="002A4DDF" w:rsidRPr="00937C8B" w:rsidRDefault="002A4DDF" w:rsidP="009110ED">
            <w:pPr>
              <w:rPr>
                <w:rFonts w:ascii="Arial" w:hAnsi="Arial" w:cs="Arial"/>
                <w:sz w:val="12"/>
                <w:szCs w:val="12"/>
              </w:rPr>
            </w:pPr>
          </w:p>
        </w:tc>
        <w:tc>
          <w:tcPr>
            <w:tcW w:w="1843" w:type="dxa"/>
            <w:shd w:val="clear" w:color="auto" w:fill="auto"/>
          </w:tcPr>
          <w:p w14:paraId="73BB78E9" w14:textId="77777777" w:rsidR="002A4DDF" w:rsidRPr="00937C8B" w:rsidRDefault="002A4DDF" w:rsidP="009110ED">
            <w:pPr>
              <w:rPr>
                <w:rFonts w:ascii="Arial" w:hAnsi="Arial" w:cs="Arial"/>
                <w:sz w:val="12"/>
                <w:szCs w:val="12"/>
              </w:rPr>
            </w:pPr>
          </w:p>
        </w:tc>
        <w:tc>
          <w:tcPr>
            <w:tcW w:w="2268" w:type="dxa"/>
            <w:shd w:val="clear" w:color="auto" w:fill="F2F2F2"/>
            <w:hideMark/>
          </w:tcPr>
          <w:p w14:paraId="7A1A87DD" w14:textId="77777777" w:rsidR="002A4DDF" w:rsidRPr="00937C8B" w:rsidRDefault="002A4DDF" w:rsidP="009110ED">
            <w:pPr>
              <w:rPr>
                <w:rFonts w:ascii="Arial" w:hAnsi="Arial" w:cs="Arial"/>
                <w:sz w:val="12"/>
                <w:szCs w:val="12"/>
              </w:rPr>
            </w:pPr>
            <w:r>
              <w:rPr>
                <w:rFonts w:ascii="Arial" w:hAnsi="Arial"/>
                <w:sz w:val="12"/>
                <w:szCs w:val="12"/>
              </w:rPr>
              <w:t>Muñomer del Peco</w:t>
            </w:r>
          </w:p>
        </w:tc>
        <w:tc>
          <w:tcPr>
            <w:tcW w:w="2268" w:type="dxa"/>
            <w:tcBorders>
              <w:right w:val="single" w:sz="4" w:space="0" w:color="auto"/>
            </w:tcBorders>
            <w:shd w:val="clear" w:color="auto" w:fill="D9D9D9"/>
            <w:hideMark/>
          </w:tcPr>
          <w:p w14:paraId="66DB27FD" w14:textId="77777777" w:rsidR="002A4DDF" w:rsidRPr="00937C8B" w:rsidRDefault="002A4DDF" w:rsidP="009110ED">
            <w:pPr>
              <w:rPr>
                <w:rFonts w:ascii="Arial" w:hAnsi="Arial" w:cs="Arial"/>
                <w:sz w:val="12"/>
                <w:szCs w:val="12"/>
              </w:rPr>
            </w:pPr>
            <w:r>
              <w:rPr>
                <w:rFonts w:ascii="Arial" w:hAnsi="Arial"/>
                <w:sz w:val="12"/>
                <w:szCs w:val="12"/>
              </w:rPr>
              <w:t>La Aldehuela</w:t>
            </w:r>
          </w:p>
        </w:tc>
      </w:tr>
      <w:tr w:rsidR="002A4DDF" w:rsidRPr="00937C8B" w14:paraId="3CDEF3B4" w14:textId="77777777" w:rsidTr="00935676">
        <w:trPr>
          <w:cantSplit/>
        </w:trPr>
        <w:tc>
          <w:tcPr>
            <w:tcW w:w="1696" w:type="dxa"/>
            <w:tcBorders>
              <w:left w:val="single" w:sz="4" w:space="0" w:color="auto"/>
            </w:tcBorders>
            <w:shd w:val="clear" w:color="auto" w:fill="auto"/>
          </w:tcPr>
          <w:p w14:paraId="2D4F0314" w14:textId="77777777" w:rsidR="002A4DDF" w:rsidRPr="00937C8B" w:rsidRDefault="002A4DDF" w:rsidP="009110ED">
            <w:pPr>
              <w:rPr>
                <w:rFonts w:ascii="Arial" w:hAnsi="Arial" w:cs="Arial"/>
                <w:sz w:val="12"/>
                <w:szCs w:val="12"/>
              </w:rPr>
            </w:pPr>
          </w:p>
        </w:tc>
        <w:tc>
          <w:tcPr>
            <w:tcW w:w="1843" w:type="dxa"/>
            <w:shd w:val="clear" w:color="auto" w:fill="auto"/>
          </w:tcPr>
          <w:p w14:paraId="4B35D8E1" w14:textId="77777777" w:rsidR="002A4DDF" w:rsidRPr="00937C8B" w:rsidRDefault="002A4DDF" w:rsidP="009110ED">
            <w:pPr>
              <w:rPr>
                <w:rFonts w:ascii="Arial" w:hAnsi="Arial" w:cs="Arial"/>
                <w:sz w:val="12"/>
                <w:szCs w:val="12"/>
              </w:rPr>
            </w:pPr>
          </w:p>
        </w:tc>
        <w:tc>
          <w:tcPr>
            <w:tcW w:w="2268" w:type="dxa"/>
            <w:shd w:val="clear" w:color="auto" w:fill="F2F2F2"/>
            <w:hideMark/>
          </w:tcPr>
          <w:p w14:paraId="6BCE0112" w14:textId="77777777" w:rsidR="002A4DDF" w:rsidRPr="00937C8B" w:rsidRDefault="002A4DDF" w:rsidP="009110ED">
            <w:pPr>
              <w:rPr>
                <w:rFonts w:ascii="Arial" w:hAnsi="Arial" w:cs="Arial"/>
                <w:sz w:val="12"/>
                <w:szCs w:val="12"/>
              </w:rPr>
            </w:pPr>
            <w:r>
              <w:rPr>
                <w:rFonts w:ascii="Arial" w:hAnsi="Arial"/>
                <w:sz w:val="12"/>
                <w:szCs w:val="12"/>
              </w:rPr>
              <w:t>Muñosancho</w:t>
            </w:r>
          </w:p>
        </w:tc>
        <w:tc>
          <w:tcPr>
            <w:tcW w:w="2268" w:type="dxa"/>
            <w:tcBorders>
              <w:right w:val="single" w:sz="4" w:space="0" w:color="auto"/>
            </w:tcBorders>
            <w:shd w:val="clear" w:color="auto" w:fill="D9D9D9"/>
            <w:hideMark/>
          </w:tcPr>
          <w:p w14:paraId="590C0314" w14:textId="77777777" w:rsidR="002A4DDF" w:rsidRPr="00937C8B" w:rsidRDefault="002A4DDF" w:rsidP="009110ED">
            <w:pPr>
              <w:rPr>
                <w:rFonts w:ascii="Arial" w:hAnsi="Arial" w:cs="Arial"/>
                <w:sz w:val="12"/>
                <w:szCs w:val="12"/>
              </w:rPr>
            </w:pPr>
            <w:r>
              <w:rPr>
                <w:rFonts w:ascii="Arial" w:hAnsi="Arial"/>
                <w:sz w:val="12"/>
                <w:szCs w:val="12"/>
              </w:rPr>
              <w:t>La Carrera</w:t>
            </w:r>
          </w:p>
        </w:tc>
      </w:tr>
      <w:tr w:rsidR="002A4DDF" w:rsidRPr="00937C8B" w14:paraId="109A9D97" w14:textId="77777777" w:rsidTr="00935676">
        <w:trPr>
          <w:cantSplit/>
        </w:trPr>
        <w:tc>
          <w:tcPr>
            <w:tcW w:w="1696" w:type="dxa"/>
            <w:tcBorders>
              <w:left w:val="single" w:sz="4" w:space="0" w:color="auto"/>
            </w:tcBorders>
            <w:shd w:val="clear" w:color="auto" w:fill="auto"/>
          </w:tcPr>
          <w:p w14:paraId="50380746" w14:textId="77777777" w:rsidR="002A4DDF" w:rsidRPr="00937C8B" w:rsidRDefault="002A4DDF" w:rsidP="009110ED">
            <w:pPr>
              <w:rPr>
                <w:rFonts w:ascii="Arial" w:hAnsi="Arial" w:cs="Arial"/>
                <w:sz w:val="12"/>
                <w:szCs w:val="12"/>
              </w:rPr>
            </w:pPr>
          </w:p>
        </w:tc>
        <w:tc>
          <w:tcPr>
            <w:tcW w:w="1843" w:type="dxa"/>
            <w:shd w:val="clear" w:color="auto" w:fill="auto"/>
          </w:tcPr>
          <w:p w14:paraId="107BDBD4" w14:textId="77777777" w:rsidR="002A4DDF" w:rsidRPr="00937C8B" w:rsidRDefault="002A4DDF" w:rsidP="009110ED">
            <w:pPr>
              <w:rPr>
                <w:rFonts w:ascii="Arial" w:hAnsi="Arial" w:cs="Arial"/>
                <w:sz w:val="12"/>
                <w:szCs w:val="12"/>
              </w:rPr>
            </w:pPr>
          </w:p>
        </w:tc>
        <w:tc>
          <w:tcPr>
            <w:tcW w:w="2268" w:type="dxa"/>
            <w:shd w:val="clear" w:color="auto" w:fill="F2F2F2"/>
            <w:hideMark/>
          </w:tcPr>
          <w:p w14:paraId="7AAD0DDB" w14:textId="77777777" w:rsidR="002A4DDF" w:rsidRPr="00937C8B" w:rsidRDefault="002A4DDF" w:rsidP="009110ED">
            <w:pPr>
              <w:rPr>
                <w:rFonts w:ascii="Arial" w:hAnsi="Arial" w:cs="Arial"/>
                <w:sz w:val="12"/>
                <w:szCs w:val="12"/>
              </w:rPr>
            </w:pPr>
            <w:r>
              <w:rPr>
                <w:rFonts w:ascii="Arial" w:hAnsi="Arial"/>
                <w:sz w:val="12"/>
                <w:szCs w:val="12"/>
              </w:rPr>
              <w:t>Narros de Saldueña</w:t>
            </w:r>
          </w:p>
        </w:tc>
        <w:tc>
          <w:tcPr>
            <w:tcW w:w="2268" w:type="dxa"/>
            <w:tcBorders>
              <w:right w:val="single" w:sz="4" w:space="0" w:color="auto"/>
            </w:tcBorders>
            <w:shd w:val="clear" w:color="auto" w:fill="D9D9D9"/>
            <w:hideMark/>
          </w:tcPr>
          <w:p w14:paraId="5BF99374" w14:textId="77777777" w:rsidR="002A4DDF" w:rsidRPr="00937C8B" w:rsidRDefault="002A4DDF" w:rsidP="009110ED">
            <w:pPr>
              <w:rPr>
                <w:rFonts w:ascii="Arial" w:hAnsi="Arial" w:cs="Arial"/>
                <w:sz w:val="12"/>
                <w:szCs w:val="12"/>
              </w:rPr>
            </w:pPr>
            <w:r>
              <w:rPr>
                <w:rFonts w:ascii="Arial" w:hAnsi="Arial"/>
                <w:sz w:val="12"/>
                <w:szCs w:val="12"/>
              </w:rPr>
              <w:t>La Colilla</w:t>
            </w:r>
          </w:p>
        </w:tc>
      </w:tr>
      <w:tr w:rsidR="002A4DDF" w:rsidRPr="00937C8B" w14:paraId="710C5A1C" w14:textId="77777777" w:rsidTr="00935676">
        <w:trPr>
          <w:cantSplit/>
        </w:trPr>
        <w:tc>
          <w:tcPr>
            <w:tcW w:w="1696" w:type="dxa"/>
            <w:tcBorders>
              <w:left w:val="single" w:sz="4" w:space="0" w:color="auto"/>
            </w:tcBorders>
            <w:shd w:val="clear" w:color="auto" w:fill="auto"/>
          </w:tcPr>
          <w:p w14:paraId="169C522B" w14:textId="77777777" w:rsidR="002A4DDF" w:rsidRPr="00937C8B" w:rsidRDefault="002A4DDF" w:rsidP="009110ED">
            <w:pPr>
              <w:rPr>
                <w:rFonts w:ascii="Arial" w:hAnsi="Arial" w:cs="Arial"/>
                <w:sz w:val="12"/>
                <w:szCs w:val="12"/>
              </w:rPr>
            </w:pPr>
          </w:p>
        </w:tc>
        <w:tc>
          <w:tcPr>
            <w:tcW w:w="1843" w:type="dxa"/>
            <w:shd w:val="clear" w:color="auto" w:fill="auto"/>
          </w:tcPr>
          <w:p w14:paraId="06090AD3" w14:textId="77777777" w:rsidR="002A4DDF" w:rsidRPr="00937C8B" w:rsidRDefault="002A4DDF" w:rsidP="009110ED">
            <w:pPr>
              <w:rPr>
                <w:rFonts w:ascii="Arial" w:hAnsi="Arial" w:cs="Arial"/>
                <w:sz w:val="12"/>
                <w:szCs w:val="12"/>
              </w:rPr>
            </w:pPr>
          </w:p>
        </w:tc>
        <w:tc>
          <w:tcPr>
            <w:tcW w:w="2268" w:type="dxa"/>
            <w:shd w:val="clear" w:color="auto" w:fill="F2F2F2"/>
            <w:hideMark/>
          </w:tcPr>
          <w:p w14:paraId="23F0F3E8" w14:textId="77777777" w:rsidR="002A4DDF" w:rsidRPr="00937C8B" w:rsidRDefault="002A4DDF" w:rsidP="009110ED">
            <w:pPr>
              <w:rPr>
                <w:rFonts w:ascii="Arial" w:hAnsi="Arial" w:cs="Arial"/>
                <w:sz w:val="12"/>
                <w:szCs w:val="12"/>
              </w:rPr>
            </w:pPr>
            <w:r>
              <w:rPr>
                <w:rFonts w:ascii="Arial" w:hAnsi="Arial"/>
                <w:sz w:val="12"/>
                <w:szCs w:val="12"/>
              </w:rPr>
              <w:t>Narros del Castillo</w:t>
            </w:r>
          </w:p>
        </w:tc>
        <w:tc>
          <w:tcPr>
            <w:tcW w:w="2268" w:type="dxa"/>
            <w:tcBorders>
              <w:right w:val="single" w:sz="4" w:space="0" w:color="auto"/>
            </w:tcBorders>
            <w:shd w:val="clear" w:color="auto" w:fill="D9D9D9"/>
            <w:hideMark/>
          </w:tcPr>
          <w:p w14:paraId="6DC9C80C" w14:textId="77777777" w:rsidR="002A4DDF" w:rsidRPr="00937C8B" w:rsidRDefault="002A4DDF" w:rsidP="009110ED">
            <w:pPr>
              <w:rPr>
                <w:rFonts w:ascii="Arial" w:hAnsi="Arial" w:cs="Arial"/>
                <w:sz w:val="12"/>
                <w:szCs w:val="12"/>
              </w:rPr>
            </w:pPr>
            <w:r>
              <w:rPr>
                <w:rFonts w:ascii="Arial" w:hAnsi="Arial"/>
                <w:sz w:val="12"/>
                <w:szCs w:val="12"/>
              </w:rPr>
              <w:t>La Hija de Dios</w:t>
            </w:r>
          </w:p>
        </w:tc>
      </w:tr>
      <w:tr w:rsidR="002A4DDF" w:rsidRPr="00937C8B" w14:paraId="345BA594" w14:textId="77777777" w:rsidTr="00935676">
        <w:trPr>
          <w:cantSplit/>
        </w:trPr>
        <w:tc>
          <w:tcPr>
            <w:tcW w:w="1696" w:type="dxa"/>
            <w:tcBorders>
              <w:left w:val="single" w:sz="4" w:space="0" w:color="auto"/>
            </w:tcBorders>
            <w:shd w:val="clear" w:color="auto" w:fill="auto"/>
          </w:tcPr>
          <w:p w14:paraId="01E9D7CA" w14:textId="77777777" w:rsidR="002A4DDF" w:rsidRPr="00937C8B" w:rsidRDefault="002A4DDF" w:rsidP="009110ED">
            <w:pPr>
              <w:rPr>
                <w:rFonts w:ascii="Arial" w:hAnsi="Arial" w:cs="Arial"/>
                <w:sz w:val="12"/>
                <w:szCs w:val="12"/>
              </w:rPr>
            </w:pPr>
          </w:p>
        </w:tc>
        <w:tc>
          <w:tcPr>
            <w:tcW w:w="1843" w:type="dxa"/>
            <w:shd w:val="clear" w:color="auto" w:fill="auto"/>
          </w:tcPr>
          <w:p w14:paraId="03081E5A" w14:textId="77777777" w:rsidR="002A4DDF" w:rsidRPr="00937C8B" w:rsidRDefault="002A4DDF" w:rsidP="009110ED">
            <w:pPr>
              <w:rPr>
                <w:rFonts w:ascii="Arial" w:hAnsi="Arial" w:cs="Arial"/>
                <w:sz w:val="12"/>
                <w:szCs w:val="12"/>
              </w:rPr>
            </w:pPr>
          </w:p>
        </w:tc>
        <w:tc>
          <w:tcPr>
            <w:tcW w:w="2268" w:type="dxa"/>
            <w:shd w:val="clear" w:color="auto" w:fill="F2F2F2"/>
            <w:hideMark/>
          </w:tcPr>
          <w:p w14:paraId="69811E7D" w14:textId="77777777" w:rsidR="002A4DDF" w:rsidRPr="00937C8B" w:rsidRDefault="002A4DDF" w:rsidP="009110ED">
            <w:pPr>
              <w:rPr>
                <w:rFonts w:ascii="Arial" w:hAnsi="Arial" w:cs="Arial"/>
                <w:sz w:val="12"/>
                <w:szCs w:val="12"/>
              </w:rPr>
            </w:pPr>
            <w:r>
              <w:rPr>
                <w:rFonts w:ascii="Arial" w:hAnsi="Arial"/>
                <w:sz w:val="12"/>
                <w:szCs w:val="12"/>
              </w:rPr>
              <w:t>Nava de Arévalo</w:t>
            </w:r>
          </w:p>
        </w:tc>
        <w:tc>
          <w:tcPr>
            <w:tcW w:w="2268" w:type="dxa"/>
            <w:tcBorders>
              <w:right w:val="single" w:sz="4" w:space="0" w:color="auto"/>
            </w:tcBorders>
            <w:shd w:val="clear" w:color="auto" w:fill="D9D9D9"/>
            <w:hideMark/>
          </w:tcPr>
          <w:p w14:paraId="197B904D" w14:textId="77777777" w:rsidR="002A4DDF" w:rsidRPr="00937C8B" w:rsidRDefault="002A4DDF" w:rsidP="009110ED">
            <w:pPr>
              <w:rPr>
                <w:rFonts w:ascii="Arial" w:hAnsi="Arial" w:cs="Arial"/>
                <w:sz w:val="12"/>
                <w:szCs w:val="12"/>
              </w:rPr>
            </w:pPr>
            <w:r>
              <w:rPr>
                <w:rFonts w:ascii="Arial" w:hAnsi="Arial"/>
                <w:sz w:val="12"/>
                <w:szCs w:val="12"/>
              </w:rPr>
              <w:t>La Horcajada</w:t>
            </w:r>
          </w:p>
        </w:tc>
      </w:tr>
      <w:tr w:rsidR="002A4DDF" w:rsidRPr="00937C8B" w14:paraId="79C88458" w14:textId="77777777" w:rsidTr="00935676">
        <w:trPr>
          <w:cantSplit/>
        </w:trPr>
        <w:tc>
          <w:tcPr>
            <w:tcW w:w="1696" w:type="dxa"/>
            <w:tcBorders>
              <w:left w:val="single" w:sz="4" w:space="0" w:color="auto"/>
            </w:tcBorders>
            <w:shd w:val="clear" w:color="auto" w:fill="auto"/>
          </w:tcPr>
          <w:p w14:paraId="3AEBDCCF" w14:textId="77777777" w:rsidR="002A4DDF" w:rsidRPr="00937C8B" w:rsidRDefault="002A4DDF" w:rsidP="009110ED">
            <w:pPr>
              <w:rPr>
                <w:rFonts w:ascii="Arial" w:hAnsi="Arial" w:cs="Arial"/>
                <w:sz w:val="12"/>
                <w:szCs w:val="12"/>
              </w:rPr>
            </w:pPr>
          </w:p>
        </w:tc>
        <w:tc>
          <w:tcPr>
            <w:tcW w:w="1843" w:type="dxa"/>
            <w:shd w:val="clear" w:color="auto" w:fill="auto"/>
          </w:tcPr>
          <w:p w14:paraId="0582B3F7" w14:textId="77777777" w:rsidR="002A4DDF" w:rsidRPr="00937C8B" w:rsidRDefault="002A4DDF" w:rsidP="009110ED">
            <w:pPr>
              <w:rPr>
                <w:rFonts w:ascii="Arial" w:hAnsi="Arial" w:cs="Arial"/>
                <w:sz w:val="12"/>
                <w:szCs w:val="12"/>
              </w:rPr>
            </w:pPr>
          </w:p>
        </w:tc>
        <w:tc>
          <w:tcPr>
            <w:tcW w:w="2268" w:type="dxa"/>
            <w:shd w:val="clear" w:color="auto" w:fill="F2F2F2"/>
            <w:hideMark/>
          </w:tcPr>
          <w:p w14:paraId="023EB824" w14:textId="77777777" w:rsidR="002A4DDF" w:rsidRPr="00937C8B" w:rsidRDefault="002A4DDF" w:rsidP="009110ED">
            <w:pPr>
              <w:rPr>
                <w:rFonts w:ascii="Arial" w:hAnsi="Arial" w:cs="Arial"/>
                <w:sz w:val="12"/>
                <w:szCs w:val="12"/>
              </w:rPr>
            </w:pPr>
            <w:r>
              <w:rPr>
                <w:rFonts w:ascii="Arial" w:hAnsi="Arial"/>
                <w:sz w:val="12"/>
                <w:szCs w:val="12"/>
              </w:rPr>
              <w:t>Niharra</w:t>
            </w:r>
          </w:p>
        </w:tc>
        <w:tc>
          <w:tcPr>
            <w:tcW w:w="2268" w:type="dxa"/>
            <w:tcBorders>
              <w:right w:val="single" w:sz="4" w:space="0" w:color="auto"/>
            </w:tcBorders>
            <w:shd w:val="clear" w:color="auto" w:fill="D9D9D9"/>
            <w:hideMark/>
          </w:tcPr>
          <w:p w14:paraId="3B2AF367" w14:textId="77777777" w:rsidR="002A4DDF" w:rsidRPr="00937C8B" w:rsidRDefault="002A4DDF" w:rsidP="009110ED">
            <w:pPr>
              <w:rPr>
                <w:rFonts w:ascii="Arial" w:hAnsi="Arial" w:cs="Arial"/>
                <w:sz w:val="12"/>
                <w:szCs w:val="12"/>
              </w:rPr>
            </w:pPr>
            <w:r>
              <w:rPr>
                <w:rFonts w:ascii="Arial" w:hAnsi="Arial"/>
                <w:sz w:val="12"/>
                <w:szCs w:val="12"/>
              </w:rPr>
              <w:t>La Serrada</w:t>
            </w:r>
          </w:p>
        </w:tc>
      </w:tr>
      <w:tr w:rsidR="002A4DDF" w:rsidRPr="00937C8B" w14:paraId="36D31269" w14:textId="77777777" w:rsidTr="00935676">
        <w:trPr>
          <w:cantSplit/>
        </w:trPr>
        <w:tc>
          <w:tcPr>
            <w:tcW w:w="1696" w:type="dxa"/>
            <w:tcBorders>
              <w:left w:val="single" w:sz="4" w:space="0" w:color="auto"/>
            </w:tcBorders>
            <w:shd w:val="clear" w:color="auto" w:fill="auto"/>
          </w:tcPr>
          <w:p w14:paraId="1C8A1137" w14:textId="77777777" w:rsidR="002A4DDF" w:rsidRPr="00937C8B" w:rsidRDefault="002A4DDF" w:rsidP="009110ED">
            <w:pPr>
              <w:rPr>
                <w:rFonts w:ascii="Arial" w:hAnsi="Arial" w:cs="Arial"/>
                <w:sz w:val="12"/>
                <w:szCs w:val="12"/>
              </w:rPr>
            </w:pPr>
          </w:p>
        </w:tc>
        <w:tc>
          <w:tcPr>
            <w:tcW w:w="1843" w:type="dxa"/>
            <w:shd w:val="clear" w:color="auto" w:fill="auto"/>
          </w:tcPr>
          <w:p w14:paraId="77C33E86" w14:textId="77777777" w:rsidR="002A4DDF" w:rsidRPr="00937C8B" w:rsidRDefault="002A4DDF" w:rsidP="009110ED">
            <w:pPr>
              <w:rPr>
                <w:rFonts w:ascii="Arial" w:hAnsi="Arial" w:cs="Arial"/>
                <w:sz w:val="12"/>
                <w:szCs w:val="12"/>
              </w:rPr>
            </w:pPr>
          </w:p>
        </w:tc>
        <w:tc>
          <w:tcPr>
            <w:tcW w:w="2268" w:type="dxa"/>
            <w:shd w:val="clear" w:color="auto" w:fill="F2F2F2"/>
            <w:hideMark/>
          </w:tcPr>
          <w:p w14:paraId="184288D4" w14:textId="77777777" w:rsidR="002A4DDF" w:rsidRPr="00937C8B" w:rsidRDefault="002A4DDF" w:rsidP="009110ED">
            <w:pPr>
              <w:rPr>
                <w:rFonts w:ascii="Arial" w:hAnsi="Arial" w:cs="Arial"/>
                <w:sz w:val="12"/>
                <w:szCs w:val="12"/>
              </w:rPr>
            </w:pPr>
            <w:r>
              <w:rPr>
                <w:rFonts w:ascii="Arial" w:hAnsi="Arial"/>
                <w:sz w:val="12"/>
                <w:szCs w:val="12"/>
              </w:rPr>
              <w:t>Orbita</w:t>
            </w:r>
          </w:p>
        </w:tc>
        <w:tc>
          <w:tcPr>
            <w:tcW w:w="2268" w:type="dxa"/>
            <w:tcBorders>
              <w:right w:val="single" w:sz="4" w:space="0" w:color="auto"/>
            </w:tcBorders>
            <w:shd w:val="clear" w:color="auto" w:fill="D9D9D9"/>
            <w:hideMark/>
          </w:tcPr>
          <w:p w14:paraId="4B87E117" w14:textId="77777777" w:rsidR="002A4DDF" w:rsidRPr="00937C8B" w:rsidRDefault="002A4DDF" w:rsidP="009110ED">
            <w:pPr>
              <w:rPr>
                <w:rFonts w:ascii="Arial" w:hAnsi="Arial" w:cs="Arial"/>
                <w:sz w:val="12"/>
                <w:szCs w:val="12"/>
              </w:rPr>
            </w:pPr>
            <w:r>
              <w:rPr>
                <w:rFonts w:ascii="Arial" w:hAnsi="Arial"/>
                <w:sz w:val="12"/>
                <w:szCs w:val="12"/>
              </w:rPr>
              <w:t>La Torre</w:t>
            </w:r>
          </w:p>
        </w:tc>
      </w:tr>
      <w:tr w:rsidR="002A4DDF" w:rsidRPr="00937C8B" w14:paraId="549A6140" w14:textId="77777777" w:rsidTr="00935676">
        <w:trPr>
          <w:cantSplit/>
        </w:trPr>
        <w:tc>
          <w:tcPr>
            <w:tcW w:w="1696" w:type="dxa"/>
            <w:tcBorders>
              <w:left w:val="single" w:sz="4" w:space="0" w:color="auto"/>
            </w:tcBorders>
            <w:shd w:val="clear" w:color="auto" w:fill="auto"/>
          </w:tcPr>
          <w:p w14:paraId="5A7624ED" w14:textId="77777777" w:rsidR="002A4DDF" w:rsidRPr="00937C8B" w:rsidRDefault="002A4DDF" w:rsidP="009110ED">
            <w:pPr>
              <w:rPr>
                <w:rFonts w:ascii="Arial" w:hAnsi="Arial" w:cs="Arial"/>
                <w:sz w:val="12"/>
                <w:szCs w:val="12"/>
              </w:rPr>
            </w:pPr>
          </w:p>
        </w:tc>
        <w:tc>
          <w:tcPr>
            <w:tcW w:w="1843" w:type="dxa"/>
            <w:shd w:val="clear" w:color="auto" w:fill="auto"/>
          </w:tcPr>
          <w:p w14:paraId="01738FB0" w14:textId="77777777" w:rsidR="002A4DDF" w:rsidRPr="00937C8B" w:rsidRDefault="002A4DDF" w:rsidP="009110ED">
            <w:pPr>
              <w:rPr>
                <w:rFonts w:ascii="Arial" w:hAnsi="Arial" w:cs="Arial"/>
                <w:sz w:val="12"/>
                <w:szCs w:val="12"/>
              </w:rPr>
            </w:pPr>
          </w:p>
        </w:tc>
        <w:tc>
          <w:tcPr>
            <w:tcW w:w="2268" w:type="dxa"/>
            <w:shd w:val="clear" w:color="auto" w:fill="F2F2F2"/>
            <w:hideMark/>
          </w:tcPr>
          <w:p w14:paraId="495C0284" w14:textId="77777777" w:rsidR="002A4DDF" w:rsidRPr="00937C8B" w:rsidRDefault="002A4DDF" w:rsidP="009110ED">
            <w:pPr>
              <w:rPr>
                <w:rFonts w:ascii="Arial" w:hAnsi="Arial" w:cs="Arial"/>
                <w:sz w:val="12"/>
                <w:szCs w:val="12"/>
              </w:rPr>
            </w:pPr>
            <w:r>
              <w:rPr>
                <w:rFonts w:ascii="Arial" w:hAnsi="Arial"/>
                <w:sz w:val="12"/>
                <w:szCs w:val="12"/>
              </w:rPr>
              <w:t>Padiernos</w:t>
            </w:r>
          </w:p>
        </w:tc>
        <w:tc>
          <w:tcPr>
            <w:tcW w:w="2268" w:type="dxa"/>
            <w:tcBorders>
              <w:right w:val="single" w:sz="4" w:space="0" w:color="auto"/>
            </w:tcBorders>
            <w:shd w:val="clear" w:color="auto" w:fill="D9D9D9"/>
            <w:hideMark/>
          </w:tcPr>
          <w:p w14:paraId="69D968E7" w14:textId="77777777" w:rsidR="002A4DDF" w:rsidRPr="00937C8B" w:rsidRDefault="002A4DDF" w:rsidP="009110ED">
            <w:pPr>
              <w:rPr>
                <w:rFonts w:ascii="Arial" w:hAnsi="Arial" w:cs="Arial"/>
                <w:sz w:val="12"/>
                <w:szCs w:val="12"/>
              </w:rPr>
            </w:pPr>
            <w:r>
              <w:rPr>
                <w:rFonts w:ascii="Arial" w:hAnsi="Arial"/>
                <w:sz w:val="12"/>
                <w:szCs w:val="12"/>
              </w:rPr>
              <w:t>Lanzahíta</w:t>
            </w:r>
          </w:p>
        </w:tc>
      </w:tr>
      <w:tr w:rsidR="002A4DDF" w:rsidRPr="00937C8B" w14:paraId="796646C8" w14:textId="77777777" w:rsidTr="00935676">
        <w:trPr>
          <w:cantSplit/>
        </w:trPr>
        <w:tc>
          <w:tcPr>
            <w:tcW w:w="1696" w:type="dxa"/>
            <w:tcBorders>
              <w:left w:val="single" w:sz="4" w:space="0" w:color="auto"/>
            </w:tcBorders>
            <w:shd w:val="clear" w:color="auto" w:fill="auto"/>
          </w:tcPr>
          <w:p w14:paraId="4191AD57" w14:textId="77777777" w:rsidR="002A4DDF" w:rsidRPr="00937C8B" w:rsidRDefault="002A4DDF" w:rsidP="009110ED">
            <w:pPr>
              <w:rPr>
                <w:rFonts w:ascii="Arial" w:hAnsi="Arial" w:cs="Arial"/>
                <w:sz w:val="12"/>
                <w:szCs w:val="12"/>
              </w:rPr>
            </w:pPr>
          </w:p>
        </w:tc>
        <w:tc>
          <w:tcPr>
            <w:tcW w:w="1843" w:type="dxa"/>
            <w:shd w:val="clear" w:color="auto" w:fill="auto"/>
          </w:tcPr>
          <w:p w14:paraId="0CB3BB53" w14:textId="77777777" w:rsidR="002A4DDF" w:rsidRPr="00937C8B" w:rsidRDefault="002A4DDF" w:rsidP="009110ED">
            <w:pPr>
              <w:rPr>
                <w:rFonts w:ascii="Arial" w:hAnsi="Arial" w:cs="Arial"/>
                <w:sz w:val="12"/>
                <w:szCs w:val="12"/>
              </w:rPr>
            </w:pPr>
          </w:p>
        </w:tc>
        <w:tc>
          <w:tcPr>
            <w:tcW w:w="2268" w:type="dxa"/>
            <w:shd w:val="clear" w:color="auto" w:fill="F2F2F2"/>
            <w:hideMark/>
          </w:tcPr>
          <w:p w14:paraId="66261506" w14:textId="77777777" w:rsidR="002A4DDF" w:rsidRPr="00937C8B" w:rsidRDefault="002A4DDF" w:rsidP="009110ED">
            <w:pPr>
              <w:rPr>
                <w:rFonts w:ascii="Arial" w:hAnsi="Arial" w:cs="Arial"/>
                <w:sz w:val="12"/>
                <w:szCs w:val="12"/>
              </w:rPr>
            </w:pPr>
            <w:r>
              <w:rPr>
                <w:rFonts w:ascii="Arial" w:hAnsi="Arial"/>
                <w:sz w:val="12"/>
                <w:szCs w:val="12"/>
              </w:rPr>
              <w:t>Pajares de Adaja</w:t>
            </w:r>
          </w:p>
        </w:tc>
        <w:tc>
          <w:tcPr>
            <w:tcW w:w="2268" w:type="dxa"/>
            <w:tcBorders>
              <w:right w:val="single" w:sz="4" w:space="0" w:color="auto"/>
            </w:tcBorders>
            <w:shd w:val="clear" w:color="auto" w:fill="D9D9D9"/>
            <w:hideMark/>
          </w:tcPr>
          <w:p w14:paraId="5E017805" w14:textId="77777777" w:rsidR="002A4DDF" w:rsidRPr="00937C8B" w:rsidRDefault="002A4DDF" w:rsidP="009110ED">
            <w:pPr>
              <w:rPr>
                <w:rFonts w:ascii="Arial" w:hAnsi="Arial" w:cs="Arial"/>
                <w:sz w:val="12"/>
                <w:szCs w:val="12"/>
              </w:rPr>
            </w:pPr>
            <w:r>
              <w:rPr>
                <w:rFonts w:ascii="Arial" w:hAnsi="Arial"/>
                <w:sz w:val="12"/>
                <w:szCs w:val="12"/>
              </w:rPr>
              <w:t>Las Navas del Marqués</w:t>
            </w:r>
          </w:p>
        </w:tc>
      </w:tr>
      <w:tr w:rsidR="002A4DDF" w:rsidRPr="00937C8B" w14:paraId="76450139" w14:textId="77777777" w:rsidTr="00935676">
        <w:trPr>
          <w:cantSplit/>
        </w:trPr>
        <w:tc>
          <w:tcPr>
            <w:tcW w:w="1696" w:type="dxa"/>
            <w:tcBorders>
              <w:left w:val="single" w:sz="4" w:space="0" w:color="auto"/>
            </w:tcBorders>
            <w:shd w:val="clear" w:color="auto" w:fill="auto"/>
          </w:tcPr>
          <w:p w14:paraId="63B6673B" w14:textId="77777777" w:rsidR="002A4DDF" w:rsidRPr="00937C8B" w:rsidRDefault="002A4DDF" w:rsidP="009110ED">
            <w:pPr>
              <w:rPr>
                <w:rFonts w:ascii="Arial" w:hAnsi="Arial" w:cs="Arial"/>
                <w:sz w:val="12"/>
                <w:szCs w:val="12"/>
              </w:rPr>
            </w:pPr>
          </w:p>
        </w:tc>
        <w:tc>
          <w:tcPr>
            <w:tcW w:w="1843" w:type="dxa"/>
            <w:shd w:val="clear" w:color="auto" w:fill="auto"/>
          </w:tcPr>
          <w:p w14:paraId="67A336F2" w14:textId="77777777" w:rsidR="002A4DDF" w:rsidRPr="00937C8B" w:rsidRDefault="002A4DDF" w:rsidP="009110ED">
            <w:pPr>
              <w:rPr>
                <w:rFonts w:ascii="Arial" w:hAnsi="Arial" w:cs="Arial"/>
                <w:sz w:val="12"/>
                <w:szCs w:val="12"/>
              </w:rPr>
            </w:pPr>
          </w:p>
        </w:tc>
        <w:tc>
          <w:tcPr>
            <w:tcW w:w="2268" w:type="dxa"/>
            <w:shd w:val="clear" w:color="auto" w:fill="F2F2F2"/>
            <w:hideMark/>
          </w:tcPr>
          <w:p w14:paraId="7B7FCD0F" w14:textId="77777777" w:rsidR="002A4DDF" w:rsidRPr="00937C8B" w:rsidRDefault="002A4DDF" w:rsidP="009110ED">
            <w:pPr>
              <w:rPr>
                <w:rFonts w:ascii="Arial" w:hAnsi="Arial" w:cs="Arial"/>
                <w:sz w:val="12"/>
                <w:szCs w:val="12"/>
              </w:rPr>
            </w:pPr>
            <w:r>
              <w:rPr>
                <w:rFonts w:ascii="Arial" w:hAnsi="Arial"/>
                <w:sz w:val="12"/>
                <w:szCs w:val="12"/>
              </w:rPr>
              <w:t>Palacios de Goda</w:t>
            </w:r>
          </w:p>
        </w:tc>
        <w:tc>
          <w:tcPr>
            <w:tcW w:w="2268" w:type="dxa"/>
            <w:tcBorders>
              <w:right w:val="single" w:sz="4" w:space="0" w:color="auto"/>
            </w:tcBorders>
            <w:shd w:val="clear" w:color="auto" w:fill="D9D9D9"/>
            <w:hideMark/>
          </w:tcPr>
          <w:p w14:paraId="70EAAEE8" w14:textId="77777777" w:rsidR="002A4DDF" w:rsidRPr="00937C8B" w:rsidRDefault="002A4DDF" w:rsidP="009110ED">
            <w:pPr>
              <w:rPr>
                <w:rFonts w:ascii="Arial" w:hAnsi="Arial" w:cs="Arial"/>
                <w:sz w:val="12"/>
                <w:szCs w:val="12"/>
              </w:rPr>
            </w:pPr>
            <w:r>
              <w:rPr>
                <w:rFonts w:ascii="Arial" w:hAnsi="Arial"/>
                <w:sz w:val="12"/>
                <w:szCs w:val="12"/>
              </w:rPr>
              <w:t>Los Llanos de Tormes</w:t>
            </w:r>
          </w:p>
        </w:tc>
      </w:tr>
      <w:tr w:rsidR="002A4DDF" w:rsidRPr="00937C8B" w14:paraId="3D5396F4" w14:textId="77777777" w:rsidTr="00935676">
        <w:trPr>
          <w:cantSplit/>
        </w:trPr>
        <w:tc>
          <w:tcPr>
            <w:tcW w:w="1696" w:type="dxa"/>
            <w:tcBorders>
              <w:left w:val="single" w:sz="4" w:space="0" w:color="auto"/>
            </w:tcBorders>
            <w:shd w:val="clear" w:color="auto" w:fill="auto"/>
          </w:tcPr>
          <w:p w14:paraId="504CED27" w14:textId="77777777" w:rsidR="002A4DDF" w:rsidRPr="00937C8B" w:rsidRDefault="002A4DDF" w:rsidP="009110ED">
            <w:pPr>
              <w:rPr>
                <w:rFonts w:ascii="Arial" w:hAnsi="Arial" w:cs="Arial"/>
                <w:sz w:val="12"/>
                <w:szCs w:val="12"/>
              </w:rPr>
            </w:pPr>
          </w:p>
        </w:tc>
        <w:tc>
          <w:tcPr>
            <w:tcW w:w="1843" w:type="dxa"/>
            <w:shd w:val="clear" w:color="auto" w:fill="auto"/>
          </w:tcPr>
          <w:p w14:paraId="3232DE57" w14:textId="77777777" w:rsidR="002A4DDF" w:rsidRPr="00937C8B" w:rsidRDefault="002A4DDF" w:rsidP="009110ED">
            <w:pPr>
              <w:rPr>
                <w:rFonts w:ascii="Arial" w:hAnsi="Arial" w:cs="Arial"/>
                <w:sz w:val="12"/>
                <w:szCs w:val="12"/>
              </w:rPr>
            </w:pPr>
          </w:p>
        </w:tc>
        <w:tc>
          <w:tcPr>
            <w:tcW w:w="2268" w:type="dxa"/>
            <w:shd w:val="clear" w:color="auto" w:fill="F2F2F2"/>
            <w:hideMark/>
          </w:tcPr>
          <w:p w14:paraId="64887C08" w14:textId="77777777" w:rsidR="002A4DDF" w:rsidRPr="00937C8B" w:rsidRDefault="002A4DDF" w:rsidP="009110ED">
            <w:pPr>
              <w:rPr>
                <w:rFonts w:ascii="Arial" w:hAnsi="Arial" w:cs="Arial"/>
                <w:sz w:val="12"/>
                <w:szCs w:val="12"/>
              </w:rPr>
            </w:pPr>
            <w:r>
              <w:rPr>
                <w:rFonts w:ascii="Arial" w:hAnsi="Arial"/>
                <w:sz w:val="12"/>
                <w:szCs w:val="12"/>
              </w:rPr>
              <w:t>Papatrigo</w:t>
            </w:r>
          </w:p>
        </w:tc>
        <w:tc>
          <w:tcPr>
            <w:tcW w:w="2268" w:type="dxa"/>
            <w:tcBorders>
              <w:right w:val="single" w:sz="4" w:space="0" w:color="auto"/>
            </w:tcBorders>
            <w:shd w:val="clear" w:color="auto" w:fill="D9D9D9"/>
            <w:hideMark/>
          </w:tcPr>
          <w:p w14:paraId="630B233C" w14:textId="77777777" w:rsidR="002A4DDF" w:rsidRPr="00937C8B" w:rsidRDefault="002A4DDF" w:rsidP="009110ED">
            <w:pPr>
              <w:rPr>
                <w:rFonts w:ascii="Arial" w:hAnsi="Arial" w:cs="Arial"/>
                <w:sz w:val="12"/>
                <w:szCs w:val="12"/>
              </w:rPr>
            </w:pPr>
            <w:r>
              <w:rPr>
                <w:rFonts w:ascii="Arial" w:hAnsi="Arial"/>
                <w:sz w:val="12"/>
                <w:szCs w:val="12"/>
              </w:rPr>
              <w:t>Manjabálago y Ortigosa de Rioalmar</w:t>
            </w:r>
          </w:p>
        </w:tc>
      </w:tr>
      <w:tr w:rsidR="002A4DDF" w:rsidRPr="00937C8B" w14:paraId="3A97B8AC" w14:textId="77777777" w:rsidTr="00935676">
        <w:trPr>
          <w:cantSplit/>
        </w:trPr>
        <w:tc>
          <w:tcPr>
            <w:tcW w:w="1696" w:type="dxa"/>
            <w:tcBorders>
              <w:left w:val="single" w:sz="4" w:space="0" w:color="auto"/>
            </w:tcBorders>
            <w:shd w:val="clear" w:color="auto" w:fill="auto"/>
          </w:tcPr>
          <w:p w14:paraId="4AD2E688" w14:textId="77777777" w:rsidR="002A4DDF" w:rsidRPr="00937C8B" w:rsidRDefault="002A4DDF" w:rsidP="009110ED">
            <w:pPr>
              <w:rPr>
                <w:rFonts w:ascii="Arial" w:hAnsi="Arial" w:cs="Arial"/>
                <w:sz w:val="12"/>
                <w:szCs w:val="12"/>
              </w:rPr>
            </w:pPr>
          </w:p>
        </w:tc>
        <w:tc>
          <w:tcPr>
            <w:tcW w:w="1843" w:type="dxa"/>
            <w:shd w:val="clear" w:color="auto" w:fill="auto"/>
          </w:tcPr>
          <w:p w14:paraId="17E2CBB8" w14:textId="77777777" w:rsidR="002A4DDF" w:rsidRPr="00937C8B" w:rsidRDefault="002A4DDF" w:rsidP="009110ED">
            <w:pPr>
              <w:rPr>
                <w:rFonts w:ascii="Arial" w:hAnsi="Arial" w:cs="Arial"/>
                <w:sz w:val="12"/>
                <w:szCs w:val="12"/>
              </w:rPr>
            </w:pPr>
          </w:p>
        </w:tc>
        <w:tc>
          <w:tcPr>
            <w:tcW w:w="2268" w:type="dxa"/>
            <w:shd w:val="clear" w:color="auto" w:fill="F2F2F2"/>
            <w:hideMark/>
          </w:tcPr>
          <w:p w14:paraId="72AE234A" w14:textId="77777777" w:rsidR="002A4DDF" w:rsidRPr="00937C8B" w:rsidRDefault="002A4DDF" w:rsidP="009110ED">
            <w:pPr>
              <w:rPr>
                <w:rFonts w:ascii="Arial" w:hAnsi="Arial" w:cs="Arial"/>
                <w:sz w:val="12"/>
                <w:szCs w:val="12"/>
              </w:rPr>
            </w:pPr>
            <w:r>
              <w:rPr>
                <w:rFonts w:ascii="Arial" w:hAnsi="Arial"/>
                <w:sz w:val="12"/>
                <w:szCs w:val="12"/>
              </w:rPr>
              <w:t>Pedro-Rodríguez</w:t>
            </w:r>
          </w:p>
        </w:tc>
        <w:tc>
          <w:tcPr>
            <w:tcW w:w="2268" w:type="dxa"/>
            <w:tcBorders>
              <w:right w:val="single" w:sz="4" w:space="0" w:color="auto"/>
            </w:tcBorders>
            <w:shd w:val="clear" w:color="auto" w:fill="D9D9D9"/>
            <w:hideMark/>
          </w:tcPr>
          <w:p w14:paraId="1D8CB8BC" w14:textId="77777777" w:rsidR="002A4DDF" w:rsidRPr="00937C8B" w:rsidRDefault="002A4DDF" w:rsidP="009110ED">
            <w:pPr>
              <w:rPr>
                <w:rFonts w:ascii="Arial" w:hAnsi="Arial" w:cs="Arial"/>
                <w:sz w:val="12"/>
                <w:szCs w:val="12"/>
              </w:rPr>
            </w:pPr>
            <w:r>
              <w:rPr>
                <w:rFonts w:ascii="Arial" w:hAnsi="Arial"/>
                <w:sz w:val="12"/>
                <w:szCs w:val="12"/>
              </w:rPr>
              <w:t>Marlín</w:t>
            </w:r>
          </w:p>
        </w:tc>
      </w:tr>
      <w:tr w:rsidR="002A4DDF" w:rsidRPr="00937C8B" w14:paraId="1A25A230" w14:textId="77777777" w:rsidTr="00935676">
        <w:trPr>
          <w:cantSplit/>
        </w:trPr>
        <w:tc>
          <w:tcPr>
            <w:tcW w:w="1696" w:type="dxa"/>
            <w:tcBorders>
              <w:left w:val="single" w:sz="4" w:space="0" w:color="auto"/>
            </w:tcBorders>
            <w:shd w:val="clear" w:color="auto" w:fill="auto"/>
          </w:tcPr>
          <w:p w14:paraId="6994770C" w14:textId="77777777" w:rsidR="002A4DDF" w:rsidRPr="00937C8B" w:rsidRDefault="002A4DDF" w:rsidP="009110ED">
            <w:pPr>
              <w:rPr>
                <w:rFonts w:ascii="Arial" w:hAnsi="Arial" w:cs="Arial"/>
                <w:sz w:val="12"/>
                <w:szCs w:val="12"/>
              </w:rPr>
            </w:pPr>
          </w:p>
        </w:tc>
        <w:tc>
          <w:tcPr>
            <w:tcW w:w="1843" w:type="dxa"/>
            <w:shd w:val="clear" w:color="auto" w:fill="auto"/>
          </w:tcPr>
          <w:p w14:paraId="7FA7FC05" w14:textId="77777777" w:rsidR="002A4DDF" w:rsidRPr="00937C8B" w:rsidRDefault="002A4DDF" w:rsidP="009110ED">
            <w:pPr>
              <w:rPr>
                <w:rFonts w:ascii="Arial" w:hAnsi="Arial" w:cs="Arial"/>
                <w:sz w:val="12"/>
                <w:szCs w:val="12"/>
              </w:rPr>
            </w:pPr>
          </w:p>
        </w:tc>
        <w:tc>
          <w:tcPr>
            <w:tcW w:w="2268" w:type="dxa"/>
            <w:shd w:val="clear" w:color="auto" w:fill="F2F2F2"/>
            <w:hideMark/>
          </w:tcPr>
          <w:p w14:paraId="6A7C44E6" w14:textId="77777777" w:rsidR="002A4DDF" w:rsidRPr="00937C8B" w:rsidRDefault="002A4DDF" w:rsidP="009110ED">
            <w:pPr>
              <w:rPr>
                <w:rFonts w:ascii="Arial" w:hAnsi="Arial" w:cs="Arial"/>
                <w:sz w:val="12"/>
                <w:szCs w:val="12"/>
              </w:rPr>
            </w:pPr>
            <w:r>
              <w:rPr>
                <w:rFonts w:ascii="Arial" w:hAnsi="Arial"/>
                <w:sz w:val="12"/>
                <w:szCs w:val="12"/>
              </w:rPr>
              <w:t>Peñalba de Ávila</w:t>
            </w:r>
          </w:p>
        </w:tc>
        <w:tc>
          <w:tcPr>
            <w:tcW w:w="2268" w:type="dxa"/>
            <w:tcBorders>
              <w:right w:val="single" w:sz="4" w:space="0" w:color="auto"/>
            </w:tcBorders>
            <w:shd w:val="clear" w:color="auto" w:fill="D9D9D9"/>
            <w:hideMark/>
          </w:tcPr>
          <w:p w14:paraId="3C6C19C6" w14:textId="77777777" w:rsidR="002A4DDF" w:rsidRPr="00937C8B" w:rsidRDefault="002A4DDF" w:rsidP="009110ED">
            <w:pPr>
              <w:rPr>
                <w:rFonts w:ascii="Arial" w:hAnsi="Arial" w:cs="Arial"/>
                <w:sz w:val="12"/>
                <w:szCs w:val="12"/>
              </w:rPr>
            </w:pPr>
            <w:r>
              <w:rPr>
                <w:rFonts w:ascii="Arial" w:hAnsi="Arial"/>
                <w:sz w:val="12"/>
                <w:szCs w:val="12"/>
              </w:rPr>
              <w:t>Martiherrero</w:t>
            </w:r>
          </w:p>
        </w:tc>
      </w:tr>
      <w:tr w:rsidR="002A4DDF" w:rsidRPr="00937C8B" w14:paraId="6646C91F" w14:textId="77777777" w:rsidTr="00935676">
        <w:trPr>
          <w:cantSplit/>
        </w:trPr>
        <w:tc>
          <w:tcPr>
            <w:tcW w:w="1696" w:type="dxa"/>
            <w:tcBorders>
              <w:left w:val="single" w:sz="4" w:space="0" w:color="auto"/>
            </w:tcBorders>
            <w:shd w:val="clear" w:color="auto" w:fill="auto"/>
          </w:tcPr>
          <w:p w14:paraId="30CBDC70" w14:textId="77777777" w:rsidR="002A4DDF" w:rsidRPr="00937C8B" w:rsidRDefault="002A4DDF" w:rsidP="009110ED">
            <w:pPr>
              <w:rPr>
                <w:rFonts w:ascii="Arial" w:hAnsi="Arial" w:cs="Arial"/>
                <w:sz w:val="12"/>
                <w:szCs w:val="12"/>
              </w:rPr>
            </w:pPr>
          </w:p>
        </w:tc>
        <w:tc>
          <w:tcPr>
            <w:tcW w:w="1843" w:type="dxa"/>
            <w:shd w:val="clear" w:color="auto" w:fill="auto"/>
          </w:tcPr>
          <w:p w14:paraId="17D475BA" w14:textId="77777777" w:rsidR="002A4DDF" w:rsidRPr="00937C8B" w:rsidRDefault="002A4DDF" w:rsidP="009110ED">
            <w:pPr>
              <w:rPr>
                <w:rFonts w:ascii="Arial" w:hAnsi="Arial" w:cs="Arial"/>
                <w:sz w:val="12"/>
                <w:szCs w:val="12"/>
              </w:rPr>
            </w:pPr>
          </w:p>
        </w:tc>
        <w:tc>
          <w:tcPr>
            <w:tcW w:w="2268" w:type="dxa"/>
            <w:shd w:val="clear" w:color="auto" w:fill="F2F2F2"/>
            <w:hideMark/>
          </w:tcPr>
          <w:p w14:paraId="4CB52D85" w14:textId="77777777" w:rsidR="002A4DDF" w:rsidRPr="00937C8B" w:rsidRDefault="002A4DDF" w:rsidP="009110ED">
            <w:pPr>
              <w:rPr>
                <w:rFonts w:ascii="Arial" w:hAnsi="Arial" w:cs="Arial"/>
                <w:sz w:val="12"/>
                <w:szCs w:val="12"/>
              </w:rPr>
            </w:pPr>
            <w:r>
              <w:rPr>
                <w:rFonts w:ascii="Arial" w:hAnsi="Arial"/>
                <w:sz w:val="12"/>
                <w:szCs w:val="12"/>
              </w:rPr>
              <w:t>Pozanco</w:t>
            </w:r>
          </w:p>
        </w:tc>
        <w:tc>
          <w:tcPr>
            <w:tcW w:w="2268" w:type="dxa"/>
            <w:tcBorders>
              <w:right w:val="single" w:sz="4" w:space="0" w:color="auto"/>
            </w:tcBorders>
            <w:shd w:val="clear" w:color="auto" w:fill="D9D9D9"/>
            <w:hideMark/>
          </w:tcPr>
          <w:p w14:paraId="5DA0360F" w14:textId="77777777" w:rsidR="002A4DDF" w:rsidRPr="00937C8B" w:rsidRDefault="002A4DDF" w:rsidP="009110ED">
            <w:pPr>
              <w:rPr>
                <w:rFonts w:ascii="Arial" w:hAnsi="Arial" w:cs="Arial"/>
                <w:sz w:val="12"/>
                <w:szCs w:val="12"/>
              </w:rPr>
            </w:pPr>
            <w:r>
              <w:rPr>
                <w:rFonts w:ascii="Arial" w:hAnsi="Arial"/>
                <w:sz w:val="12"/>
                <w:szCs w:val="12"/>
              </w:rPr>
              <w:t>Martínez</w:t>
            </w:r>
          </w:p>
        </w:tc>
      </w:tr>
      <w:tr w:rsidR="002A4DDF" w:rsidRPr="00937C8B" w14:paraId="28CC303F" w14:textId="77777777" w:rsidTr="00935676">
        <w:trPr>
          <w:cantSplit/>
        </w:trPr>
        <w:tc>
          <w:tcPr>
            <w:tcW w:w="1696" w:type="dxa"/>
            <w:tcBorders>
              <w:left w:val="single" w:sz="4" w:space="0" w:color="auto"/>
            </w:tcBorders>
            <w:shd w:val="clear" w:color="auto" w:fill="auto"/>
          </w:tcPr>
          <w:p w14:paraId="449E84C6" w14:textId="77777777" w:rsidR="002A4DDF" w:rsidRPr="00937C8B" w:rsidRDefault="002A4DDF" w:rsidP="009110ED">
            <w:pPr>
              <w:rPr>
                <w:rFonts w:ascii="Arial" w:hAnsi="Arial" w:cs="Arial"/>
                <w:sz w:val="12"/>
                <w:szCs w:val="12"/>
              </w:rPr>
            </w:pPr>
          </w:p>
        </w:tc>
        <w:tc>
          <w:tcPr>
            <w:tcW w:w="1843" w:type="dxa"/>
            <w:shd w:val="clear" w:color="auto" w:fill="auto"/>
          </w:tcPr>
          <w:p w14:paraId="105889F5" w14:textId="77777777" w:rsidR="002A4DDF" w:rsidRPr="00937C8B" w:rsidRDefault="002A4DDF" w:rsidP="009110ED">
            <w:pPr>
              <w:rPr>
                <w:rFonts w:ascii="Arial" w:hAnsi="Arial" w:cs="Arial"/>
                <w:sz w:val="12"/>
                <w:szCs w:val="12"/>
              </w:rPr>
            </w:pPr>
          </w:p>
        </w:tc>
        <w:tc>
          <w:tcPr>
            <w:tcW w:w="2268" w:type="dxa"/>
            <w:shd w:val="clear" w:color="auto" w:fill="F2F2F2"/>
            <w:hideMark/>
          </w:tcPr>
          <w:p w14:paraId="2FB1304E" w14:textId="77777777" w:rsidR="002A4DDF" w:rsidRPr="00937C8B" w:rsidRDefault="002A4DDF" w:rsidP="009110ED">
            <w:pPr>
              <w:rPr>
                <w:rFonts w:ascii="Arial" w:hAnsi="Arial" w:cs="Arial"/>
                <w:sz w:val="12"/>
                <w:szCs w:val="12"/>
              </w:rPr>
            </w:pPr>
            <w:r>
              <w:rPr>
                <w:rFonts w:ascii="Arial" w:hAnsi="Arial"/>
                <w:sz w:val="12"/>
                <w:szCs w:val="12"/>
              </w:rPr>
              <w:t>Rasueros</w:t>
            </w:r>
          </w:p>
        </w:tc>
        <w:tc>
          <w:tcPr>
            <w:tcW w:w="2268" w:type="dxa"/>
            <w:tcBorders>
              <w:right w:val="single" w:sz="4" w:space="0" w:color="auto"/>
            </w:tcBorders>
            <w:shd w:val="clear" w:color="auto" w:fill="D9D9D9"/>
            <w:hideMark/>
          </w:tcPr>
          <w:p w14:paraId="3B96F1EF" w14:textId="77777777" w:rsidR="002A4DDF" w:rsidRPr="00937C8B" w:rsidRDefault="002A4DDF" w:rsidP="009110ED">
            <w:pPr>
              <w:rPr>
                <w:rFonts w:ascii="Arial" w:hAnsi="Arial" w:cs="Arial"/>
                <w:sz w:val="12"/>
                <w:szCs w:val="12"/>
              </w:rPr>
            </w:pPr>
            <w:r>
              <w:rPr>
                <w:rFonts w:ascii="Arial" w:hAnsi="Arial"/>
                <w:sz w:val="12"/>
                <w:szCs w:val="12"/>
              </w:rPr>
              <w:t>Mediana de Voltoya</w:t>
            </w:r>
          </w:p>
        </w:tc>
      </w:tr>
      <w:tr w:rsidR="002A4DDF" w:rsidRPr="00937C8B" w14:paraId="1B4C75A7" w14:textId="77777777" w:rsidTr="00935676">
        <w:trPr>
          <w:cantSplit/>
        </w:trPr>
        <w:tc>
          <w:tcPr>
            <w:tcW w:w="1696" w:type="dxa"/>
            <w:tcBorders>
              <w:left w:val="single" w:sz="4" w:space="0" w:color="auto"/>
            </w:tcBorders>
            <w:shd w:val="clear" w:color="auto" w:fill="auto"/>
          </w:tcPr>
          <w:p w14:paraId="3C63B33C" w14:textId="77777777" w:rsidR="002A4DDF" w:rsidRPr="00937C8B" w:rsidRDefault="002A4DDF" w:rsidP="009110ED">
            <w:pPr>
              <w:rPr>
                <w:rFonts w:ascii="Arial" w:hAnsi="Arial" w:cs="Arial"/>
                <w:sz w:val="12"/>
                <w:szCs w:val="12"/>
              </w:rPr>
            </w:pPr>
          </w:p>
        </w:tc>
        <w:tc>
          <w:tcPr>
            <w:tcW w:w="1843" w:type="dxa"/>
            <w:shd w:val="clear" w:color="auto" w:fill="auto"/>
          </w:tcPr>
          <w:p w14:paraId="57DFD02C" w14:textId="77777777" w:rsidR="002A4DDF" w:rsidRPr="00937C8B" w:rsidRDefault="002A4DDF" w:rsidP="009110ED">
            <w:pPr>
              <w:rPr>
                <w:rFonts w:ascii="Arial" w:hAnsi="Arial" w:cs="Arial"/>
                <w:sz w:val="12"/>
                <w:szCs w:val="12"/>
              </w:rPr>
            </w:pPr>
          </w:p>
        </w:tc>
        <w:tc>
          <w:tcPr>
            <w:tcW w:w="2268" w:type="dxa"/>
            <w:shd w:val="clear" w:color="auto" w:fill="F2F2F2"/>
            <w:hideMark/>
          </w:tcPr>
          <w:p w14:paraId="40421DD9" w14:textId="77777777" w:rsidR="002A4DDF" w:rsidRPr="00937C8B" w:rsidRDefault="002A4DDF" w:rsidP="009110ED">
            <w:pPr>
              <w:rPr>
                <w:rFonts w:ascii="Arial" w:hAnsi="Arial" w:cs="Arial"/>
                <w:sz w:val="12"/>
                <w:szCs w:val="12"/>
              </w:rPr>
            </w:pPr>
            <w:r>
              <w:rPr>
                <w:rFonts w:ascii="Arial" w:hAnsi="Arial"/>
                <w:sz w:val="12"/>
                <w:szCs w:val="12"/>
              </w:rPr>
              <w:t>Riocabado</w:t>
            </w:r>
          </w:p>
        </w:tc>
        <w:tc>
          <w:tcPr>
            <w:tcW w:w="2268" w:type="dxa"/>
            <w:tcBorders>
              <w:right w:val="single" w:sz="4" w:space="0" w:color="auto"/>
            </w:tcBorders>
            <w:shd w:val="clear" w:color="auto" w:fill="D9D9D9"/>
            <w:hideMark/>
          </w:tcPr>
          <w:p w14:paraId="437FDCF5" w14:textId="77777777" w:rsidR="002A4DDF" w:rsidRPr="00937C8B" w:rsidRDefault="002A4DDF" w:rsidP="009110ED">
            <w:pPr>
              <w:rPr>
                <w:rFonts w:ascii="Arial" w:hAnsi="Arial" w:cs="Arial"/>
                <w:sz w:val="12"/>
                <w:szCs w:val="12"/>
              </w:rPr>
            </w:pPr>
            <w:r>
              <w:rPr>
                <w:rFonts w:ascii="Arial" w:hAnsi="Arial"/>
                <w:sz w:val="12"/>
                <w:szCs w:val="12"/>
              </w:rPr>
              <w:t>Medinilla</w:t>
            </w:r>
          </w:p>
        </w:tc>
      </w:tr>
      <w:tr w:rsidR="002A4DDF" w:rsidRPr="00937C8B" w14:paraId="5B5111F4" w14:textId="77777777" w:rsidTr="00935676">
        <w:trPr>
          <w:cantSplit/>
        </w:trPr>
        <w:tc>
          <w:tcPr>
            <w:tcW w:w="1696" w:type="dxa"/>
            <w:tcBorders>
              <w:left w:val="single" w:sz="4" w:space="0" w:color="auto"/>
            </w:tcBorders>
            <w:shd w:val="clear" w:color="auto" w:fill="auto"/>
          </w:tcPr>
          <w:p w14:paraId="5F4A488E" w14:textId="77777777" w:rsidR="002A4DDF" w:rsidRPr="00937C8B" w:rsidRDefault="002A4DDF" w:rsidP="009110ED">
            <w:pPr>
              <w:rPr>
                <w:rFonts w:ascii="Arial" w:hAnsi="Arial" w:cs="Arial"/>
                <w:sz w:val="12"/>
                <w:szCs w:val="12"/>
              </w:rPr>
            </w:pPr>
          </w:p>
        </w:tc>
        <w:tc>
          <w:tcPr>
            <w:tcW w:w="1843" w:type="dxa"/>
            <w:shd w:val="clear" w:color="auto" w:fill="auto"/>
          </w:tcPr>
          <w:p w14:paraId="3FCE54F7" w14:textId="77777777" w:rsidR="002A4DDF" w:rsidRPr="00937C8B" w:rsidRDefault="002A4DDF" w:rsidP="009110ED">
            <w:pPr>
              <w:rPr>
                <w:rFonts w:ascii="Arial" w:hAnsi="Arial" w:cs="Arial"/>
                <w:sz w:val="12"/>
                <w:szCs w:val="12"/>
              </w:rPr>
            </w:pPr>
          </w:p>
        </w:tc>
        <w:tc>
          <w:tcPr>
            <w:tcW w:w="2268" w:type="dxa"/>
            <w:shd w:val="clear" w:color="auto" w:fill="F2F2F2"/>
            <w:hideMark/>
          </w:tcPr>
          <w:p w14:paraId="699E585A" w14:textId="77777777" w:rsidR="002A4DDF" w:rsidRPr="00937C8B" w:rsidRDefault="002A4DDF" w:rsidP="009110ED">
            <w:pPr>
              <w:rPr>
                <w:rFonts w:ascii="Arial" w:hAnsi="Arial" w:cs="Arial"/>
                <w:sz w:val="12"/>
                <w:szCs w:val="12"/>
              </w:rPr>
            </w:pPr>
            <w:r>
              <w:rPr>
                <w:rFonts w:ascii="Arial" w:hAnsi="Arial"/>
                <w:sz w:val="12"/>
                <w:szCs w:val="12"/>
              </w:rPr>
              <w:t>Rivilla de Barajas</w:t>
            </w:r>
          </w:p>
        </w:tc>
        <w:tc>
          <w:tcPr>
            <w:tcW w:w="2268" w:type="dxa"/>
            <w:tcBorders>
              <w:right w:val="single" w:sz="4" w:space="0" w:color="auto"/>
            </w:tcBorders>
            <w:shd w:val="clear" w:color="auto" w:fill="D9D9D9"/>
            <w:hideMark/>
          </w:tcPr>
          <w:p w14:paraId="7AB05F9D" w14:textId="77777777" w:rsidR="002A4DDF" w:rsidRPr="00937C8B" w:rsidRDefault="002A4DDF" w:rsidP="009110ED">
            <w:pPr>
              <w:rPr>
                <w:rFonts w:ascii="Arial" w:hAnsi="Arial" w:cs="Arial"/>
                <w:sz w:val="12"/>
                <w:szCs w:val="12"/>
              </w:rPr>
            </w:pPr>
            <w:r>
              <w:rPr>
                <w:rFonts w:ascii="Arial" w:hAnsi="Arial"/>
                <w:sz w:val="12"/>
                <w:szCs w:val="12"/>
              </w:rPr>
              <w:t>Mengamuñoz</w:t>
            </w:r>
          </w:p>
        </w:tc>
      </w:tr>
      <w:tr w:rsidR="002A4DDF" w:rsidRPr="00937C8B" w14:paraId="0BC3D595" w14:textId="77777777" w:rsidTr="00935676">
        <w:trPr>
          <w:cantSplit/>
        </w:trPr>
        <w:tc>
          <w:tcPr>
            <w:tcW w:w="1696" w:type="dxa"/>
            <w:tcBorders>
              <w:left w:val="single" w:sz="4" w:space="0" w:color="auto"/>
            </w:tcBorders>
            <w:shd w:val="clear" w:color="auto" w:fill="auto"/>
          </w:tcPr>
          <w:p w14:paraId="502AAAA9" w14:textId="77777777" w:rsidR="002A4DDF" w:rsidRPr="00937C8B" w:rsidRDefault="002A4DDF" w:rsidP="009110ED">
            <w:pPr>
              <w:rPr>
                <w:rFonts w:ascii="Arial" w:hAnsi="Arial" w:cs="Arial"/>
                <w:sz w:val="12"/>
                <w:szCs w:val="12"/>
              </w:rPr>
            </w:pPr>
          </w:p>
        </w:tc>
        <w:tc>
          <w:tcPr>
            <w:tcW w:w="1843" w:type="dxa"/>
            <w:shd w:val="clear" w:color="auto" w:fill="auto"/>
          </w:tcPr>
          <w:p w14:paraId="0FE1FA40" w14:textId="77777777" w:rsidR="002A4DDF" w:rsidRPr="00937C8B" w:rsidRDefault="002A4DDF" w:rsidP="009110ED">
            <w:pPr>
              <w:rPr>
                <w:rFonts w:ascii="Arial" w:hAnsi="Arial" w:cs="Arial"/>
                <w:sz w:val="12"/>
                <w:szCs w:val="12"/>
              </w:rPr>
            </w:pPr>
          </w:p>
        </w:tc>
        <w:tc>
          <w:tcPr>
            <w:tcW w:w="2268" w:type="dxa"/>
            <w:shd w:val="clear" w:color="auto" w:fill="F2F2F2"/>
            <w:hideMark/>
          </w:tcPr>
          <w:p w14:paraId="6B4A2F75" w14:textId="77777777" w:rsidR="002A4DDF" w:rsidRPr="00937C8B" w:rsidRDefault="002A4DDF" w:rsidP="009110ED">
            <w:pPr>
              <w:rPr>
                <w:rFonts w:ascii="Arial" w:hAnsi="Arial" w:cs="Arial"/>
                <w:sz w:val="12"/>
                <w:szCs w:val="12"/>
              </w:rPr>
            </w:pPr>
            <w:r>
              <w:rPr>
                <w:rFonts w:ascii="Arial" w:hAnsi="Arial"/>
                <w:sz w:val="12"/>
                <w:szCs w:val="12"/>
              </w:rPr>
              <w:t>Salobral</w:t>
            </w:r>
          </w:p>
        </w:tc>
        <w:tc>
          <w:tcPr>
            <w:tcW w:w="2268" w:type="dxa"/>
            <w:tcBorders>
              <w:right w:val="single" w:sz="4" w:space="0" w:color="auto"/>
            </w:tcBorders>
            <w:shd w:val="clear" w:color="auto" w:fill="D9D9D9"/>
            <w:hideMark/>
          </w:tcPr>
          <w:p w14:paraId="180B7CEA" w14:textId="77777777" w:rsidR="002A4DDF" w:rsidRPr="00937C8B" w:rsidRDefault="002A4DDF" w:rsidP="009110ED">
            <w:pPr>
              <w:rPr>
                <w:rFonts w:ascii="Arial" w:hAnsi="Arial" w:cs="Arial"/>
                <w:sz w:val="12"/>
                <w:szCs w:val="12"/>
              </w:rPr>
            </w:pPr>
            <w:r>
              <w:rPr>
                <w:rFonts w:ascii="Arial" w:hAnsi="Arial"/>
                <w:sz w:val="12"/>
                <w:szCs w:val="12"/>
              </w:rPr>
              <w:t>Mijares</w:t>
            </w:r>
          </w:p>
        </w:tc>
      </w:tr>
      <w:tr w:rsidR="002A4DDF" w:rsidRPr="00937C8B" w14:paraId="68773754" w14:textId="77777777" w:rsidTr="00935676">
        <w:trPr>
          <w:cantSplit/>
        </w:trPr>
        <w:tc>
          <w:tcPr>
            <w:tcW w:w="1696" w:type="dxa"/>
            <w:tcBorders>
              <w:left w:val="single" w:sz="4" w:space="0" w:color="auto"/>
            </w:tcBorders>
            <w:shd w:val="clear" w:color="auto" w:fill="auto"/>
          </w:tcPr>
          <w:p w14:paraId="72E56DEC" w14:textId="77777777" w:rsidR="002A4DDF" w:rsidRPr="00937C8B" w:rsidRDefault="002A4DDF" w:rsidP="009110ED">
            <w:pPr>
              <w:rPr>
                <w:rFonts w:ascii="Arial" w:hAnsi="Arial" w:cs="Arial"/>
                <w:sz w:val="12"/>
                <w:szCs w:val="12"/>
              </w:rPr>
            </w:pPr>
          </w:p>
        </w:tc>
        <w:tc>
          <w:tcPr>
            <w:tcW w:w="1843" w:type="dxa"/>
            <w:shd w:val="clear" w:color="auto" w:fill="auto"/>
          </w:tcPr>
          <w:p w14:paraId="66B6EACC" w14:textId="77777777" w:rsidR="002A4DDF" w:rsidRPr="00937C8B" w:rsidRDefault="002A4DDF" w:rsidP="009110ED">
            <w:pPr>
              <w:rPr>
                <w:rFonts w:ascii="Arial" w:hAnsi="Arial" w:cs="Arial"/>
                <w:sz w:val="12"/>
                <w:szCs w:val="12"/>
              </w:rPr>
            </w:pPr>
          </w:p>
        </w:tc>
        <w:tc>
          <w:tcPr>
            <w:tcW w:w="2268" w:type="dxa"/>
            <w:shd w:val="clear" w:color="auto" w:fill="F2F2F2"/>
            <w:hideMark/>
          </w:tcPr>
          <w:p w14:paraId="125A7BE3" w14:textId="77777777" w:rsidR="002A4DDF" w:rsidRPr="00937C8B" w:rsidRDefault="002A4DDF" w:rsidP="009110ED">
            <w:pPr>
              <w:rPr>
                <w:rFonts w:ascii="Arial" w:hAnsi="Arial" w:cs="Arial"/>
                <w:sz w:val="12"/>
                <w:szCs w:val="12"/>
              </w:rPr>
            </w:pPr>
            <w:r>
              <w:rPr>
                <w:rFonts w:ascii="Arial" w:hAnsi="Arial"/>
                <w:sz w:val="12"/>
                <w:szCs w:val="12"/>
              </w:rPr>
              <w:t>Salvadiós</w:t>
            </w:r>
          </w:p>
        </w:tc>
        <w:tc>
          <w:tcPr>
            <w:tcW w:w="2268" w:type="dxa"/>
            <w:tcBorders>
              <w:right w:val="single" w:sz="4" w:space="0" w:color="auto"/>
            </w:tcBorders>
            <w:shd w:val="clear" w:color="auto" w:fill="D9D9D9"/>
            <w:hideMark/>
          </w:tcPr>
          <w:p w14:paraId="344F7CE5" w14:textId="77777777" w:rsidR="002A4DDF" w:rsidRPr="00937C8B" w:rsidRDefault="002A4DDF" w:rsidP="009110ED">
            <w:pPr>
              <w:rPr>
                <w:rFonts w:ascii="Arial" w:hAnsi="Arial" w:cs="Arial"/>
                <w:sz w:val="12"/>
                <w:szCs w:val="12"/>
              </w:rPr>
            </w:pPr>
            <w:r>
              <w:rPr>
                <w:rFonts w:ascii="Arial" w:hAnsi="Arial"/>
                <w:sz w:val="12"/>
                <w:szCs w:val="12"/>
              </w:rPr>
              <w:t>Mingorría</w:t>
            </w:r>
          </w:p>
        </w:tc>
      </w:tr>
      <w:tr w:rsidR="002A4DDF" w:rsidRPr="00937C8B" w14:paraId="312CD30A" w14:textId="77777777" w:rsidTr="00935676">
        <w:trPr>
          <w:cantSplit/>
        </w:trPr>
        <w:tc>
          <w:tcPr>
            <w:tcW w:w="1696" w:type="dxa"/>
            <w:tcBorders>
              <w:left w:val="single" w:sz="4" w:space="0" w:color="auto"/>
            </w:tcBorders>
            <w:shd w:val="clear" w:color="auto" w:fill="auto"/>
          </w:tcPr>
          <w:p w14:paraId="40927F10" w14:textId="77777777" w:rsidR="002A4DDF" w:rsidRPr="00937C8B" w:rsidRDefault="002A4DDF" w:rsidP="009110ED">
            <w:pPr>
              <w:rPr>
                <w:rFonts w:ascii="Arial" w:hAnsi="Arial" w:cs="Arial"/>
                <w:sz w:val="12"/>
                <w:szCs w:val="12"/>
              </w:rPr>
            </w:pPr>
          </w:p>
        </w:tc>
        <w:tc>
          <w:tcPr>
            <w:tcW w:w="1843" w:type="dxa"/>
            <w:shd w:val="clear" w:color="auto" w:fill="auto"/>
          </w:tcPr>
          <w:p w14:paraId="4F2151B8" w14:textId="77777777" w:rsidR="002A4DDF" w:rsidRPr="00937C8B" w:rsidRDefault="002A4DDF" w:rsidP="009110ED">
            <w:pPr>
              <w:rPr>
                <w:rFonts w:ascii="Arial" w:hAnsi="Arial" w:cs="Arial"/>
                <w:sz w:val="12"/>
                <w:szCs w:val="12"/>
              </w:rPr>
            </w:pPr>
          </w:p>
        </w:tc>
        <w:tc>
          <w:tcPr>
            <w:tcW w:w="2268" w:type="dxa"/>
            <w:shd w:val="clear" w:color="auto" w:fill="F2F2F2"/>
            <w:hideMark/>
          </w:tcPr>
          <w:p w14:paraId="4C48CF91" w14:textId="77777777" w:rsidR="002A4DDF" w:rsidRPr="00937C8B" w:rsidRDefault="002A4DDF" w:rsidP="009110ED">
            <w:pPr>
              <w:rPr>
                <w:rFonts w:ascii="Arial" w:hAnsi="Arial" w:cs="Arial"/>
                <w:sz w:val="12"/>
                <w:szCs w:val="12"/>
              </w:rPr>
            </w:pPr>
            <w:r>
              <w:rPr>
                <w:rFonts w:ascii="Arial" w:hAnsi="Arial"/>
                <w:sz w:val="12"/>
                <w:szCs w:val="12"/>
              </w:rPr>
              <w:t>San Esteban de Zapardiel</w:t>
            </w:r>
          </w:p>
        </w:tc>
        <w:tc>
          <w:tcPr>
            <w:tcW w:w="2268" w:type="dxa"/>
            <w:tcBorders>
              <w:right w:val="single" w:sz="4" w:space="0" w:color="auto"/>
            </w:tcBorders>
            <w:shd w:val="clear" w:color="auto" w:fill="D9D9D9"/>
            <w:hideMark/>
          </w:tcPr>
          <w:p w14:paraId="204FD1B5" w14:textId="77777777" w:rsidR="002A4DDF" w:rsidRPr="00937C8B" w:rsidRDefault="002A4DDF" w:rsidP="009110ED">
            <w:pPr>
              <w:rPr>
                <w:rFonts w:ascii="Arial" w:hAnsi="Arial" w:cs="Arial"/>
                <w:sz w:val="12"/>
                <w:szCs w:val="12"/>
              </w:rPr>
            </w:pPr>
            <w:r>
              <w:rPr>
                <w:rFonts w:ascii="Arial" w:hAnsi="Arial"/>
                <w:sz w:val="12"/>
                <w:szCs w:val="12"/>
              </w:rPr>
              <w:t>Mironcillo</w:t>
            </w:r>
          </w:p>
        </w:tc>
      </w:tr>
      <w:tr w:rsidR="002A4DDF" w:rsidRPr="00937C8B" w14:paraId="6052D924" w14:textId="77777777" w:rsidTr="00935676">
        <w:trPr>
          <w:cantSplit/>
        </w:trPr>
        <w:tc>
          <w:tcPr>
            <w:tcW w:w="1696" w:type="dxa"/>
            <w:tcBorders>
              <w:left w:val="single" w:sz="4" w:space="0" w:color="auto"/>
            </w:tcBorders>
            <w:shd w:val="clear" w:color="auto" w:fill="auto"/>
          </w:tcPr>
          <w:p w14:paraId="1FA8E8A6" w14:textId="77777777" w:rsidR="002A4DDF" w:rsidRPr="00937C8B" w:rsidRDefault="002A4DDF" w:rsidP="009110ED">
            <w:pPr>
              <w:rPr>
                <w:rFonts w:ascii="Arial" w:hAnsi="Arial" w:cs="Arial"/>
                <w:sz w:val="12"/>
                <w:szCs w:val="12"/>
              </w:rPr>
            </w:pPr>
          </w:p>
        </w:tc>
        <w:tc>
          <w:tcPr>
            <w:tcW w:w="1843" w:type="dxa"/>
            <w:shd w:val="clear" w:color="auto" w:fill="auto"/>
          </w:tcPr>
          <w:p w14:paraId="2DF1DCC2" w14:textId="77777777" w:rsidR="002A4DDF" w:rsidRPr="00937C8B" w:rsidRDefault="002A4DDF" w:rsidP="009110ED">
            <w:pPr>
              <w:rPr>
                <w:rFonts w:ascii="Arial" w:hAnsi="Arial" w:cs="Arial"/>
                <w:sz w:val="12"/>
                <w:szCs w:val="12"/>
              </w:rPr>
            </w:pPr>
          </w:p>
        </w:tc>
        <w:tc>
          <w:tcPr>
            <w:tcW w:w="2268" w:type="dxa"/>
            <w:shd w:val="clear" w:color="auto" w:fill="F2F2F2"/>
            <w:hideMark/>
          </w:tcPr>
          <w:p w14:paraId="32AEB7A6" w14:textId="77777777" w:rsidR="002A4DDF" w:rsidRPr="00937C8B" w:rsidRDefault="002A4DDF" w:rsidP="009110ED">
            <w:pPr>
              <w:rPr>
                <w:rFonts w:ascii="Arial" w:hAnsi="Arial" w:cs="Arial"/>
                <w:sz w:val="12"/>
                <w:szCs w:val="12"/>
              </w:rPr>
            </w:pPr>
            <w:r>
              <w:rPr>
                <w:rFonts w:ascii="Arial" w:hAnsi="Arial"/>
                <w:sz w:val="12"/>
                <w:szCs w:val="12"/>
              </w:rPr>
              <w:t>San Juan de la Encinilla</w:t>
            </w:r>
          </w:p>
        </w:tc>
        <w:tc>
          <w:tcPr>
            <w:tcW w:w="2268" w:type="dxa"/>
            <w:tcBorders>
              <w:right w:val="single" w:sz="4" w:space="0" w:color="auto"/>
            </w:tcBorders>
            <w:shd w:val="clear" w:color="auto" w:fill="D9D9D9"/>
            <w:hideMark/>
          </w:tcPr>
          <w:p w14:paraId="73C8257B" w14:textId="77777777" w:rsidR="002A4DDF" w:rsidRPr="00937C8B" w:rsidRDefault="002A4DDF" w:rsidP="009110ED">
            <w:pPr>
              <w:rPr>
                <w:rFonts w:ascii="Arial" w:hAnsi="Arial" w:cs="Arial"/>
                <w:sz w:val="12"/>
                <w:szCs w:val="12"/>
              </w:rPr>
            </w:pPr>
            <w:r>
              <w:rPr>
                <w:rFonts w:ascii="Arial" w:hAnsi="Arial"/>
                <w:sz w:val="12"/>
                <w:szCs w:val="12"/>
              </w:rPr>
              <w:t>Mirueña de los Infanzones</w:t>
            </w:r>
          </w:p>
        </w:tc>
      </w:tr>
      <w:tr w:rsidR="002A4DDF" w:rsidRPr="00937C8B" w14:paraId="48773FF2" w14:textId="77777777" w:rsidTr="00935676">
        <w:trPr>
          <w:cantSplit/>
        </w:trPr>
        <w:tc>
          <w:tcPr>
            <w:tcW w:w="1696" w:type="dxa"/>
            <w:tcBorders>
              <w:left w:val="single" w:sz="4" w:space="0" w:color="auto"/>
            </w:tcBorders>
            <w:shd w:val="clear" w:color="auto" w:fill="auto"/>
          </w:tcPr>
          <w:p w14:paraId="656124D9" w14:textId="77777777" w:rsidR="002A4DDF" w:rsidRPr="00937C8B" w:rsidRDefault="002A4DDF" w:rsidP="009110ED">
            <w:pPr>
              <w:rPr>
                <w:rFonts w:ascii="Arial" w:hAnsi="Arial" w:cs="Arial"/>
                <w:sz w:val="12"/>
                <w:szCs w:val="12"/>
              </w:rPr>
            </w:pPr>
          </w:p>
        </w:tc>
        <w:tc>
          <w:tcPr>
            <w:tcW w:w="1843" w:type="dxa"/>
            <w:shd w:val="clear" w:color="auto" w:fill="auto"/>
          </w:tcPr>
          <w:p w14:paraId="5ACF92D0" w14:textId="77777777" w:rsidR="002A4DDF" w:rsidRPr="00937C8B" w:rsidRDefault="002A4DDF" w:rsidP="009110ED">
            <w:pPr>
              <w:rPr>
                <w:rFonts w:ascii="Arial" w:hAnsi="Arial" w:cs="Arial"/>
                <w:sz w:val="12"/>
                <w:szCs w:val="12"/>
              </w:rPr>
            </w:pPr>
          </w:p>
        </w:tc>
        <w:tc>
          <w:tcPr>
            <w:tcW w:w="2268" w:type="dxa"/>
            <w:shd w:val="clear" w:color="auto" w:fill="F2F2F2"/>
            <w:hideMark/>
          </w:tcPr>
          <w:p w14:paraId="68402AAC" w14:textId="77777777" w:rsidR="002A4DDF" w:rsidRPr="00937C8B" w:rsidRDefault="002A4DDF" w:rsidP="009110ED">
            <w:pPr>
              <w:rPr>
                <w:rFonts w:ascii="Arial" w:hAnsi="Arial" w:cs="Arial"/>
                <w:sz w:val="12"/>
                <w:szCs w:val="12"/>
              </w:rPr>
            </w:pPr>
            <w:r>
              <w:rPr>
                <w:rFonts w:ascii="Arial" w:hAnsi="Arial"/>
                <w:sz w:val="12"/>
                <w:szCs w:val="12"/>
              </w:rPr>
              <w:t>San Pascual</w:t>
            </w:r>
          </w:p>
        </w:tc>
        <w:tc>
          <w:tcPr>
            <w:tcW w:w="2268" w:type="dxa"/>
            <w:tcBorders>
              <w:right w:val="single" w:sz="4" w:space="0" w:color="auto"/>
            </w:tcBorders>
            <w:shd w:val="clear" w:color="auto" w:fill="D9D9D9"/>
            <w:hideMark/>
          </w:tcPr>
          <w:p w14:paraId="00B20505" w14:textId="77777777" w:rsidR="002A4DDF" w:rsidRPr="00937C8B" w:rsidRDefault="002A4DDF" w:rsidP="009110ED">
            <w:pPr>
              <w:rPr>
                <w:rFonts w:ascii="Arial" w:hAnsi="Arial" w:cs="Arial"/>
                <w:sz w:val="12"/>
                <w:szCs w:val="12"/>
              </w:rPr>
            </w:pPr>
            <w:r>
              <w:rPr>
                <w:rFonts w:ascii="Arial" w:hAnsi="Arial"/>
                <w:sz w:val="12"/>
                <w:szCs w:val="12"/>
              </w:rPr>
              <w:t>Mombeltrán</w:t>
            </w:r>
          </w:p>
        </w:tc>
      </w:tr>
      <w:tr w:rsidR="002A4DDF" w:rsidRPr="00937C8B" w14:paraId="1158090A" w14:textId="77777777" w:rsidTr="00935676">
        <w:trPr>
          <w:cantSplit/>
        </w:trPr>
        <w:tc>
          <w:tcPr>
            <w:tcW w:w="1696" w:type="dxa"/>
            <w:tcBorders>
              <w:left w:val="single" w:sz="4" w:space="0" w:color="auto"/>
            </w:tcBorders>
            <w:shd w:val="clear" w:color="auto" w:fill="auto"/>
          </w:tcPr>
          <w:p w14:paraId="21DD0A6C" w14:textId="77777777" w:rsidR="002A4DDF" w:rsidRPr="00937C8B" w:rsidRDefault="002A4DDF" w:rsidP="009110ED">
            <w:pPr>
              <w:rPr>
                <w:rFonts w:ascii="Arial" w:hAnsi="Arial" w:cs="Arial"/>
                <w:sz w:val="12"/>
                <w:szCs w:val="12"/>
              </w:rPr>
            </w:pPr>
          </w:p>
        </w:tc>
        <w:tc>
          <w:tcPr>
            <w:tcW w:w="1843" w:type="dxa"/>
            <w:shd w:val="clear" w:color="auto" w:fill="auto"/>
          </w:tcPr>
          <w:p w14:paraId="37E59891" w14:textId="77777777" w:rsidR="002A4DDF" w:rsidRPr="00937C8B" w:rsidRDefault="002A4DDF" w:rsidP="009110ED">
            <w:pPr>
              <w:rPr>
                <w:rFonts w:ascii="Arial" w:hAnsi="Arial" w:cs="Arial"/>
                <w:sz w:val="12"/>
                <w:szCs w:val="12"/>
              </w:rPr>
            </w:pPr>
          </w:p>
        </w:tc>
        <w:tc>
          <w:tcPr>
            <w:tcW w:w="2268" w:type="dxa"/>
            <w:shd w:val="clear" w:color="auto" w:fill="F2F2F2"/>
            <w:hideMark/>
          </w:tcPr>
          <w:p w14:paraId="7E1AC984" w14:textId="77777777" w:rsidR="002A4DDF" w:rsidRPr="00937C8B" w:rsidRDefault="002A4DDF" w:rsidP="009110ED">
            <w:pPr>
              <w:rPr>
                <w:rFonts w:ascii="Arial" w:hAnsi="Arial" w:cs="Arial"/>
                <w:sz w:val="12"/>
                <w:szCs w:val="12"/>
              </w:rPr>
            </w:pPr>
            <w:r>
              <w:rPr>
                <w:rFonts w:ascii="Arial" w:hAnsi="Arial"/>
                <w:sz w:val="12"/>
                <w:szCs w:val="12"/>
              </w:rPr>
              <w:t>San Pedro del Arroyo</w:t>
            </w:r>
          </w:p>
        </w:tc>
        <w:tc>
          <w:tcPr>
            <w:tcW w:w="2268" w:type="dxa"/>
            <w:tcBorders>
              <w:right w:val="single" w:sz="4" w:space="0" w:color="auto"/>
            </w:tcBorders>
            <w:shd w:val="clear" w:color="auto" w:fill="D9D9D9"/>
            <w:hideMark/>
          </w:tcPr>
          <w:p w14:paraId="64B1BACC" w14:textId="77777777" w:rsidR="002A4DDF" w:rsidRPr="00937C8B" w:rsidRDefault="002A4DDF" w:rsidP="009110ED">
            <w:pPr>
              <w:rPr>
                <w:rFonts w:ascii="Arial" w:hAnsi="Arial" w:cs="Arial"/>
                <w:sz w:val="12"/>
                <w:szCs w:val="12"/>
              </w:rPr>
            </w:pPr>
            <w:r>
              <w:rPr>
                <w:rFonts w:ascii="Arial" w:hAnsi="Arial"/>
                <w:sz w:val="12"/>
                <w:szCs w:val="12"/>
              </w:rPr>
              <w:t>Muñana</w:t>
            </w:r>
          </w:p>
        </w:tc>
      </w:tr>
      <w:tr w:rsidR="002A4DDF" w:rsidRPr="00937C8B" w14:paraId="21DF9B04" w14:textId="77777777" w:rsidTr="00935676">
        <w:trPr>
          <w:cantSplit/>
        </w:trPr>
        <w:tc>
          <w:tcPr>
            <w:tcW w:w="1696" w:type="dxa"/>
            <w:tcBorders>
              <w:left w:val="single" w:sz="4" w:space="0" w:color="auto"/>
            </w:tcBorders>
            <w:shd w:val="clear" w:color="auto" w:fill="auto"/>
          </w:tcPr>
          <w:p w14:paraId="795F91CE" w14:textId="77777777" w:rsidR="002A4DDF" w:rsidRPr="00937C8B" w:rsidRDefault="002A4DDF" w:rsidP="009110ED">
            <w:pPr>
              <w:rPr>
                <w:rFonts w:ascii="Arial" w:hAnsi="Arial" w:cs="Arial"/>
                <w:sz w:val="12"/>
                <w:szCs w:val="12"/>
              </w:rPr>
            </w:pPr>
          </w:p>
        </w:tc>
        <w:tc>
          <w:tcPr>
            <w:tcW w:w="1843" w:type="dxa"/>
            <w:shd w:val="clear" w:color="auto" w:fill="auto"/>
          </w:tcPr>
          <w:p w14:paraId="62698F7C" w14:textId="77777777" w:rsidR="002A4DDF" w:rsidRPr="00937C8B" w:rsidRDefault="002A4DDF" w:rsidP="009110ED">
            <w:pPr>
              <w:rPr>
                <w:rFonts w:ascii="Arial" w:hAnsi="Arial" w:cs="Arial"/>
                <w:sz w:val="12"/>
                <w:szCs w:val="12"/>
              </w:rPr>
            </w:pPr>
          </w:p>
        </w:tc>
        <w:tc>
          <w:tcPr>
            <w:tcW w:w="2268" w:type="dxa"/>
            <w:shd w:val="clear" w:color="auto" w:fill="F2F2F2"/>
            <w:hideMark/>
          </w:tcPr>
          <w:p w14:paraId="06B2676F" w14:textId="77777777" w:rsidR="002A4DDF" w:rsidRPr="00937C8B" w:rsidRDefault="002A4DDF" w:rsidP="009110ED">
            <w:pPr>
              <w:rPr>
                <w:rFonts w:ascii="Arial" w:hAnsi="Arial" w:cs="Arial"/>
                <w:sz w:val="12"/>
                <w:szCs w:val="12"/>
              </w:rPr>
            </w:pPr>
            <w:r>
              <w:rPr>
                <w:rFonts w:ascii="Arial" w:hAnsi="Arial"/>
                <w:sz w:val="12"/>
                <w:szCs w:val="12"/>
              </w:rPr>
              <w:t>San Vicente de Arévalo</w:t>
            </w:r>
          </w:p>
        </w:tc>
        <w:tc>
          <w:tcPr>
            <w:tcW w:w="2268" w:type="dxa"/>
            <w:tcBorders>
              <w:right w:val="single" w:sz="4" w:space="0" w:color="auto"/>
            </w:tcBorders>
            <w:shd w:val="clear" w:color="auto" w:fill="D9D9D9"/>
            <w:hideMark/>
          </w:tcPr>
          <w:p w14:paraId="0536C992" w14:textId="77777777" w:rsidR="002A4DDF" w:rsidRPr="00937C8B" w:rsidRDefault="002A4DDF" w:rsidP="009110ED">
            <w:pPr>
              <w:rPr>
                <w:rFonts w:ascii="Arial" w:hAnsi="Arial" w:cs="Arial"/>
                <w:sz w:val="12"/>
                <w:szCs w:val="12"/>
              </w:rPr>
            </w:pPr>
            <w:r>
              <w:rPr>
                <w:rFonts w:ascii="Arial" w:hAnsi="Arial"/>
                <w:sz w:val="12"/>
                <w:szCs w:val="12"/>
              </w:rPr>
              <w:t>Muñopepe</w:t>
            </w:r>
          </w:p>
        </w:tc>
      </w:tr>
      <w:tr w:rsidR="002A4DDF" w:rsidRPr="00937C8B" w14:paraId="71CF3E55" w14:textId="77777777" w:rsidTr="00935676">
        <w:trPr>
          <w:cantSplit/>
        </w:trPr>
        <w:tc>
          <w:tcPr>
            <w:tcW w:w="1696" w:type="dxa"/>
            <w:tcBorders>
              <w:left w:val="single" w:sz="4" w:space="0" w:color="auto"/>
            </w:tcBorders>
            <w:shd w:val="clear" w:color="auto" w:fill="auto"/>
          </w:tcPr>
          <w:p w14:paraId="1A4AAC0B" w14:textId="77777777" w:rsidR="002A4DDF" w:rsidRPr="00937C8B" w:rsidRDefault="002A4DDF" w:rsidP="009110ED">
            <w:pPr>
              <w:rPr>
                <w:rFonts w:ascii="Arial" w:hAnsi="Arial" w:cs="Arial"/>
                <w:sz w:val="12"/>
                <w:szCs w:val="12"/>
              </w:rPr>
            </w:pPr>
          </w:p>
        </w:tc>
        <w:tc>
          <w:tcPr>
            <w:tcW w:w="1843" w:type="dxa"/>
            <w:shd w:val="clear" w:color="auto" w:fill="auto"/>
          </w:tcPr>
          <w:p w14:paraId="3DB6CF54" w14:textId="77777777" w:rsidR="002A4DDF" w:rsidRPr="00937C8B" w:rsidRDefault="002A4DDF" w:rsidP="009110ED">
            <w:pPr>
              <w:rPr>
                <w:rFonts w:ascii="Arial" w:hAnsi="Arial" w:cs="Arial"/>
                <w:sz w:val="12"/>
                <w:szCs w:val="12"/>
              </w:rPr>
            </w:pPr>
          </w:p>
        </w:tc>
        <w:tc>
          <w:tcPr>
            <w:tcW w:w="2268" w:type="dxa"/>
            <w:shd w:val="clear" w:color="auto" w:fill="F2F2F2"/>
            <w:hideMark/>
          </w:tcPr>
          <w:p w14:paraId="293C9F3C" w14:textId="77777777" w:rsidR="002A4DDF" w:rsidRPr="00937C8B" w:rsidRDefault="002A4DDF" w:rsidP="009110ED">
            <w:pPr>
              <w:rPr>
                <w:rFonts w:ascii="Arial" w:hAnsi="Arial" w:cs="Arial"/>
                <w:sz w:val="12"/>
                <w:szCs w:val="12"/>
              </w:rPr>
            </w:pPr>
            <w:r>
              <w:rPr>
                <w:rFonts w:ascii="Arial" w:hAnsi="Arial"/>
                <w:sz w:val="12"/>
                <w:szCs w:val="12"/>
              </w:rPr>
              <w:t>Sanchidrián</w:t>
            </w:r>
          </w:p>
        </w:tc>
        <w:tc>
          <w:tcPr>
            <w:tcW w:w="2268" w:type="dxa"/>
            <w:tcBorders>
              <w:right w:val="single" w:sz="4" w:space="0" w:color="auto"/>
            </w:tcBorders>
            <w:shd w:val="clear" w:color="auto" w:fill="D9D9D9"/>
            <w:hideMark/>
          </w:tcPr>
          <w:p w14:paraId="15B592D9" w14:textId="77777777" w:rsidR="002A4DDF" w:rsidRPr="00937C8B" w:rsidRDefault="002A4DDF" w:rsidP="009110ED">
            <w:pPr>
              <w:rPr>
                <w:rFonts w:ascii="Arial" w:hAnsi="Arial" w:cs="Arial"/>
                <w:sz w:val="12"/>
                <w:szCs w:val="12"/>
              </w:rPr>
            </w:pPr>
            <w:r>
              <w:rPr>
                <w:rFonts w:ascii="Arial" w:hAnsi="Arial"/>
                <w:sz w:val="12"/>
                <w:szCs w:val="12"/>
              </w:rPr>
              <w:t>Muñotello</w:t>
            </w:r>
          </w:p>
        </w:tc>
      </w:tr>
      <w:tr w:rsidR="002A4DDF" w:rsidRPr="00937C8B" w14:paraId="15C0D24E" w14:textId="77777777" w:rsidTr="00935676">
        <w:trPr>
          <w:cantSplit/>
        </w:trPr>
        <w:tc>
          <w:tcPr>
            <w:tcW w:w="1696" w:type="dxa"/>
            <w:tcBorders>
              <w:left w:val="single" w:sz="4" w:space="0" w:color="auto"/>
            </w:tcBorders>
            <w:shd w:val="clear" w:color="auto" w:fill="auto"/>
          </w:tcPr>
          <w:p w14:paraId="3697493A" w14:textId="77777777" w:rsidR="002A4DDF" w:rsidRPr="00937C8B" w:rsidRDefault="002A4DDF" w:rsidP="009110ED">
            <w:pPr>
              <w:rPr>
                <w:rFonts w:ascii="Arial" w:hAnsi="Arial" w:cs="Arial"/>
                <w:sz w:val="12"/>
                <w:szCs w:val="12"/>
              </w:rPr>
            </w:pPr>
          </w:p>
        </w:tc>
        <w:tc>
          <w:tcPr>
            <w:tcW w:w="1843" w:type="dxa"/>
            <w:shd w:val="clear" w:color="auto" w:fill="auto"/>
          </w:tcPr>
          <w:p w14:paraId="64E103C5" w14:textId="77777777" w:rsidR="002A4DDF" w:rsidRPr="00937C8B" w:rsidRDefault="002A4DDF" w:rsidP="009110ED">
            <w:pPr>
              <w:rPr>
                <w:rFonts w:ascii="Arial" w:hAnsi="Arial" w:cs="Arial"/>
                <w:sz w:val="12"/>
                <w:szCs w:val="12"/>
              </w:rPr>
            </w:pPr>
          </w:p>
        </w:tc>
        <w:tc>
          <w:tcPr>
            <w:tcW w:w="2268" w:type="dxa"/>
            <w:shd w:val="clear" w:color="auto" w:fill="F2F2F2"/>
            <w:hideMark/>
          </w:tcPr>
          <w:p w14:paraId="275A8445" w14:textId="77777777" w:rsidR="002A4DDF" w:rsidRPr="00937C8B" w:rsidRDefault="002A4DDF" w:rsidP="009110ED">
            <w:pPr>
              <w:rPr>
                <w:rFonts w:ascii="Arial" w:hAnsi="Arial" w:cs="Arial"/>
                <w:sz w:val="12"/>
                <w:szCs w:val="12"/>
              </w:rPr>
            </w:pPr>
            <w:r>
              <w:rPr>
                <w:rFonts w:ascii="Arial" w:hAnsi="Arial"/>
                <w:sz w:val="12"/>
                <w:szCs w:val="12"/>
              </w:rPr>
              <w:t>Santa María del Arroyo</w:t>
            </w:r>
          </w:p>
        </w:tc>
        <w:tc>
          <w:tcPr>
            <w:tcW w:w="2268" w:type="dxa"/>
            <w:tcBorders>
              <w:right w:val="single" w:sz="4" w:space="0" w:color="auto"/>
            </w:tcBorders>
            <w:shd w:val="clear" w:color="auto" w:fill="D9D9D9"/>
            <w:hideMark/>
          </w:tcPr>
          <w:p w14:paraId="56910D87" w14:textId="77777777" w:rsidR="002A4DDF" w:rsidRPr="00937C8B" w:rsidRDefault="002A4DDF" w:rsidP="009110ED">
            <w:pPr>
              <w:rPr>
                <w:rFonts w:ascii="Arial" w:hAnsi="Arial" w:cs="Arial"/>
                <w:sz w:val="12"/>
                <w:szCs w:val="12"/>
              </w:rPr>
            </w:pPr>
            <w:r>
              <w:rPr>
                <w:rFonts w:ascii="Arial" w:hAnsi="Arial"/>
                <w:sz w:val="12"/>
                <w:szCs w:val="12"/>
              </w:rPr>
              <w:t>Narrillos del Álamo</w:t>
            </w:r>
          </w:p>
        </w:tc>
      </w:tr>
      <w:tr w:rsidR="002A4DDF" w:rsidRPr="00937C8B" w14:paraId="1939F2DD" w14:textId="77777777" w:rsidTr="00935676">
        <w:trPr>
          <w:cantSplit/>
        </w:trPr>
        <w:tc>
          <w:tcPr>
            <w:tcW w:w="1696" w:type="dxa"/>
            <w:tcBorders>
              <w:left w:val="single" w:sz="4" w:space="0" w:color="auto"/>
            </w:tcBorders>
            <w:shd w:val="clear" w:color="auto" w:fill="auto"/>
          </w:tcPr>
          <w:p w14:paraId="2150C125" w14:textId="77777777" w:rsidR="002A4DDF" w:rsidRPr="00937C8B" w:rsidRDefault="002A4DDF" w:rsidP="009110ED">
            <w:pPr>
              <w:rPr>
                <w:rFonts w:ascii="Arial" w:hAnsi="Arial" w:cs="Arial"/>
                <w:sz w:val="12"/>
                <w:szCs w:val="12"/>
              </w:rPr>
            </w:pPr>
          </w:p>
        </w:tc>
        <w:tc>
          <w:tcPr>
            <w:tcW w:w="1843" w:type="dxa"/>
            <w:shd w:val="clear" w:color="auto" w:fill="auto"/>
          </w:tcPr>
          <w:p w14:paraId="320E74DF" w14:textId="77777777" w:rsidR="002A4DDF" w:rsidRPr="00937C8B" w:rsidRDefault="002A4DDF" w:rsidP="009110ED">
            <w:pPr>
              <w:rPr>
                <w:rFonts w:ascii="Arial" w:hAnsi="Arial" w:cs="Arial"/>
                <w:sz w:val="12"/>
                <w:szCs w:val="12"/>
              </w:rPr>
            </w:pPr>
          </w:p>
        </w:tc>
        <w:tc>
          <w:tcPr>
            <w:tcW w:w="2268" w:type="dxa"/>
            <w:shd w:val="clear" w:color="auto" w:fill="F2F2F2"/>
            <w:hideMark/>
          </w:tcPr>
          <w:p w14:paraId="6FA64CFA" w14:textId="77777777" w:rsidR="002A4DDF" w:rsidRPr="00937C8B" w:rsidRDefault="002A4DDF" w:rsidP="009110ED">
            <w:pPr>
              <w:rPr>
                <w:rFonts w:ascii="Arial" w:hAnsi="Arial" w:cs="Arial"/>
                <w:sz w:val="12"/>
                <w:szCs w:val="12"/>
              </w:rPr>
            </w:pPr>
            <w:r>
              <w:rPr>
                <w:rFonts w:ascii="Arial" w:hAnsi="Arial"/>
                <w:sz w:val="12"/>
                <w:szCs w:val="12"/>
              </w:rPr>
              <w:t>Santa María del Berrocal</w:t>
            </w:r>
          </w:p>
        </w:tc>
        <w:tc>
          <w:tcPr>
            <w:tcW w:w="2268" w:type="dxa"/>
            <w:tcBorders>
              <w:right w:val="single" w:sz="4" w:space="0" w:color="auto"/>
            </w:tcBorders>
            <w:shd w:val="clear" w:color="auto" w:fill="D9D9D9"/>
            <w:hideMark/>
          </w:tcPr>
          <w:p w14:paraId="59E3F4FA" w14:textId="77777777" w:rsidR="002A4DDF" w:rsidRPr="00937C8B" w:rsidRDefault="002A4DDF" w:rsidP="009110ED">
            <w:pPr>
              <w:rPr>
                <w:rFonts w:ascii="Arial" w:hAnsi="Arial" w:cs="Arial"/>
                <w:sz w:val="12"/>
                <w:szCs w:val="12"/>
              </w:rPr>
            </w:pPr>
            <w:r>
              <w:rPr>
                <w:rFonts w:ascii="Arial" w:hAnsi="Arial"/>
                <w:sz w:val="12"/>
                <w:szCs w:val="12"/>
              </w:rPr>
              <w:t>Narrillos del Rebollar</w:t>
            </w:r>
          </w:p>
        </w:tc>
      </w:tr>
      <w:tr w:rsidR="002A4DDF" w:rsidRPr="00937C8B" w14:paraId="31F74BB5" w14:textId="77777777" w:rsidTr="00935676">
        <w:trPr>
          <w:cantSplit/>
        </w:trPr>
        <w:tc>
          <w:tcPr>
            <w:tcW w:w="1696" w:type="dxa"/>
            <w:tcBorders>
              <w:left w:val="single" w:sz="4" w:space="0" w:color="auto"/>
            </w:tcBorders>
            <w:shd w:val="clear" w:color="auto" w:fill="auto"/>
          </w:tcPr>
          <w:p w14:paraId="5F26CC2B" w14:textId="77777777" w:rsidR="002A4DDF" w:rsidRPr="00937C8B" w:rsidRDefault="002A4DDF" w:rsidP="009110ED">
            <w:pPr>
              <w:rPr>
                <w:rFonts w:ascii="Arial" w:hAnsi="Arial" w:cs="Arial"/>
                <w:sz w:val="12"/>
                <w:szCs w:val="12"/>
              </w:rPr>
            </w:pPr>
          </w:p>
        </w:tc>
        <w:tc>
          <w:tcPr>
            <w:tcW w:w="1843" w:type="dxa"/>
            <w:shd w:val="clear" w:color="auto" w:fill="auto"/>
          </w:tcPr>
          <w:p w14:paraId="6E737D30" w14:textId="77777777" w:rsidR="002A4DDF" w:rsidRPr="00937C8B" w:rsidRDefault="002A4DDF" w:rsidP="009110ED">
            <w:pPr>
              <w:rPr>
                <w:rFonts w:ascii="Arial" w:hAnsi="Arial" w:cs="Arial"/>
                <w:sz w:val="12"/>
                <w:szCs w:val="12"/>
              </w:rPr>
            </w:pPr>
          </w:p>
        </w:tc>
        <w:tc>
          <w:tcPr>
            <w:tcW w:w="2268" w:type="dxa"/>
            <w:shd w:val="clear" w:color="auto" w:fill="F2F2F2"/>
            <w:hideMark/>
          </w:tcPr>
          <w:p w14:paraId="5F968608" w14:textId="77777777" w:rsidR="002A4DDF" w:rsidRPr="00937C8B" w:rsidRDefault="002A4DDF" w:rsidP="009110ED">
            <w:pPr>
              <w:rPr>
                <w:rFonts w:ascii="Arial" w:hAnsi="Arial" w:cs="Arial"/>
                <w:sz w:val="12"/>
                <w:szCs w:val="12"/>
              </w:rPr>
            </w:pPr>
            <w:r>
              <w:rPr>
                <w:rFonts w:ascii="Arial" w:hAnsi="Arial"/>
                <w:sz w:val="12"/>
                <w:szCs w:val="12"/>
              </w:rPr>
              <w:t>Santo Domingo de las Posadas</w:t>
            </w:r>
          </w:p>
        </w:tc>
        <w:tc>
          <w:tcPr>
            <w:tcW w:w="2268" w:type="dxa"/>
            <w:tcBorders>
              <w:right w:val="single" w:sz="4" w:space="0" w:color="auto"/>
            </w:tcBorders>
            <w:shd w:val="clear" w:color="auto" w:fill="D9D9D9"/>
            <w:hideMark/>
          </w:tcPr>
          <w:p w14:paraId="2CA0DAD1" w14:textId="77777777" w:rsidR="002A4DDF" w:rsidRPr="00937C8B" w:rsidRDefault="002A4DDF" w:rsidP="009110ED">
            <w:pPr>
              <w:rPr>
                <w:rFonts w:ascii="Arial" w:hAnsi="Arial" w:cs="Arial"/>
                <w:sz w:val="12"/>
                <w:szCs w:val="12"/>
              </w:rPr>
            </w:pPr>
            <w:r>
              <w:rPr>
                <w:rFonts w:ascii="Arial" w:hAnsi="Arial"/>
                <w:sz w:val="12"/>
                <w:szCs w:val="12"/>
              </w:rPr>
              <w:t>Narros del Puerto</w:t>
            </w:r>
          </w:p>
        </w:tc>
      </w:tr>
      <w:tr w:rsidR="002A4DDF" w:rsidRPr="00937C8B" w14:paraId="1F2CB728" w14:textId="77777777" w:rsidTr="00935676">
        <w:trPr>
          <w:cantSplit/>
        </w:trPr>
        <w:tc>
          <w:tcPr>
            <w:tcW w:w="1696" w:type="dxa"/>
            <w:tcBorders>
              <w:left w:val="single" w:sz="4" w:space="0" w:color="auto"/>
            </w:tcBorders>
            <w:shd w:val="clear" w:color="auto" w:fill="auto"/>
          </w:tcPr>
          <w:p w14:paraId="7720390A" w14:textId="77777777" w:rsidR="002A4DDF" w:rsidRPr="00937C8B" w:rsidRDefault="002A4DDF" w:rsidP="009110ED">
            <w:pPr>
              <w:rPr>
                <w:rFonts w:ascii="Arial" w:hAnsi="Arial" w:cs="Arial"/>
                <w:sz w:val="12"/>
                <w:szCs w:val="12"/>
              </w:rPr>
            </w:pPr>
          </w:p>
        </w:tc>
        <w:tc>
          <w:tcPr>
            <w:tcW w:w="1843" w:type="dxa"/>
            <w:shd w:val="clear" w:color="auto" w:fill="auto"/>
          </w:tcPr>
          <w:p w14:paraId="2A39301E" w14:textId="77777777" w:rsidR="002A4DDF" w:rsidRPr="00937C8B" w:rsidRDefault="002A4DDF" w:rsidP="009110ED">
            <w:pPr>
              <w:rPr>
                <w:rFonts w:ascii="Arial" w:hAnsi="Arial" w:cs="Arial"/>
                <w:sz w:val="12"/>
                <w:szCs w:val="12"/>
              </w:rPr>
            </w:pPr>
          </w:p>
        </w:tc>
        <w:tc>
          <w:tcPr>
            <w:tcW w:w="2268" w:type="dxa"/>
            <w:shd w:val="clear" w:color="auto" w:fill="F2F2F2"/>
            <w:hideMark/>
          </w:tcPr>
          <w:p w14:paraId="6EF7AF8F" w14:textId="77777777" w:rsidR="002A4DDF" w:rsidRPr="00937C8B" w:rsidRDefault="002A4DDF" w:rsidP="009110ED">
            <w:pPr>
              <w:rPr>
                <w:rFonts w:ascii="Arial" w:hAnsi="Arial" w:cs="Arial"/>
                <w:sz w:val="12"/>
                <w:szCs w:val="12"/>
              </w:rPr>
            </w:pPr>
            <w:r>
              <w:rPr>
                <w:rFonts w:ascii="Arial" w:hAnsi="Arial"/>
                <w:sz w:val="12"/>
                <w:szCs w:val="12"/>
              </w:rPr>
              <w:t>Santo Tomé de Zabarcos</w:t>
            </w:r>
          </w:p>
        </w:tc>
        <w:tc>
          <w:tcPr>
            <w:tcW w:w="2268" w:type="dxa"/>
            <w:tcBorders>
              <w:right w:val="single" w:sz="4" w:space="0" w:color="auto"/>
            </w:tcBorders>
            <w:shd w:val="clear" w:color="auto" w:fill="D9D9D9"/>
            <w:hideMark/>
          </w:tcPr>
          <w:p w14:paraId="2F16F7C9" w14:textId="77777777" w:rsidR="002A4DDF" w:rsidRPr="00937C8B" w:rsidRDefault="002A4DDF" w:rsidP="009110ED">
            <w:pPr>
              <w:rPr>
                <w:rFonts w:ascii="Arial" w:hAnsi="Arial" w:cs="Arial"/>
                <w:sz w:val="12"/>
                <w:szCs w:val="12"/>
              </w:rPr>
            </w:pPr>
            <w:r>
              <w:rPr>
                <w:rFonts w:ascii="Arial" w:hAnsi="Arial"/>
                <w:sz w:val="12"/>
                <w:szCs w:val="12"/>
              </w:rPr>
              <w:t>Nava del Barco</w:t>
            </w:r>
          </w:p>
        </w:tc>
      </w:tr>
      <w:tr w:rsidR="002A4DDF" w:rsidRPr="00937C8B" w14:paraId="1AEF87A3" w14:textId="77777777" w:rsidTr="00935676">
        <w:trPr>
          <w:cantSplit/>
        </w:trPr>
        <w:tc>
          <w:tcPr>
            <w:tcW w:w="1696" w:type="dxa"/>
            <w:tcBorders>
              <w:left w:val="single" w:sz="4" w:space="0" w:color="auto"/>
            </w:tcBorders>
            <w:shd w:val="clear" w:color="auto" w:fill="auto"/>
          </w:tcPr>
          <w:p w14:paraId="117B4AE8" w14:textId="77777777" w:rsidR="002A4DDF" w:rsidRPr="00937C8B" w:rsidRDefault="002A4DDF" w:rsidP="009110ED">
            <w:pPr>
              <w:rPr>
                <w:rFonts w:ascii="Arial" w:hAnsi="Arial" w:cs="Arial"/>
                <w:sz w:val="12"/>
                <w:szCs w:val="12"/>
              </w:rPr>
            </w:pPr>
          </w:p>
        </w:tc>
        <w:tc>
          <w:tcPr>
            <w:tcW w:w="1843" w:type="dxa"/>
            <w:shd w:val="clear" w:color="auto" w:fill="auto"/>
          </w:tcPr>
          <w:p w14:paraId="41F563CC" w14:textId="77777777" w:rsidR="002A4DDF" w:rsidRPr="00937C8B" w:rsidRDefault="002A4DDF" w:rsidP="009110ED">
            <w:pPr>
              <w:rPr>
                <w:rFonts w:ascii="Arial" w:hAnsi="Arial" w:cs="Arial"/>
                <w:sz w:val="12"/>
                <w:szCs w:val="12"/>
              </w:rPr>
            </w:pPr>
          </w:p>
        </w:tc>
        <w:tc>
          <w:tcPr>
            <w:tcW w:w="2268" w:type="dxa"/>
            <w:shd w:val="clear" w:color="auto" w:fill="F2F2F2"/>
            <w:hideMark/>
          </w:tcPr>
          <w:p w14:paraId="7E0267D1" w14:textId="77777777" w:rsidR="002A4DDF" w:rsidRPr="00937C8B" w:rsidRDefault="002A4DDF" w:rsidP="009110ED">
            <w:pPr>
              <w:rPr>
                <w:rFonts w:ascii="Arial" w:hAnsi="Arial" w:cs="Arial"/>
                <w:sz w:val="12"/>
                <w:szCs w:val="12"/>
              </w:rPr>
            </w:pPr>
            <w:r>
              <w:rPr>
                <w:rFonts w:ascii="Arial" w:hAnsi="Arial"/>
                <w:sz w:val="12"/>
                <w:szCs w:val="12"/>
              </w:rPr>
              <w:t>Sigeres</w:t>
            </w:r>
          </w:p>
        </w:tc>
        <w:tc>
          <w:tcPr>
            <w:tcW w:w="2268" w:type="dxa"/>
            <w:tcBorders>
              <w:right w:val="single" w:sz="4" w:space="0" w:color="auto"/>
            </w:tcBorders>
            <w:shd w:val="clear" w:color="auto" w:fill="D9D9D9"/>
            <w:hideMark/>
          </w:tcPr>
          <w:p w14:paraId="3D55AD8B" w14:textId="77777777" w:rsidR="002A4DDF" w:rsidRPr="00937C8B" w:rsidRDefault="002A4DDF" w:rsidP="009110ED">
            <w:pPr>
              <w:rPr>
                <w:rFonts w:ascii="Arial" w:hAnsi="Arial" w:cs="Arial"/>
                <w:sz w:val="12"/>
                <w:szCs w:val="12"/>
              </w:rPr>
            </w:pPr>
            <w:r>
              <w:rPr>
                <w:rFonts w:ascii="Arial" w:hAnsi="Arial"/>
                <w:sz w:val="12"/>
                <w:szCs w:val="12"/>
              </w:rPr>
              <w:t>Navacepedilla de Corneja</w:t>
            </w:r>
          </w:p>
        </w:tc>
      </w:tr>
      <w:tr w:rsidR="002A4DDF" w:rsidRPr="00937C8B" w14:paraId="16D2DD24" w14:textId="77777777" w:rsidTr="00935676">
        <w:trPr>
          <w:cantSplit/>
        </w:trPr>
        <w:tc>
          <w:tcPr>
            <w:tcW w:w="1696" w:type="dxa"/>
            <w:tcBorders>
              <w:left w:val="single" w:sz="4" w:space="0" w:color="auto"/>
            </w:tcBorders>
            <w:shd w:val="clear" w:color="auto" w:fill="auto"/>
          </w:tcPr>
          <w:p w14:paraId="72333F65" w14:textId="77777777" w:rsidR="002A4DDF" w:rsidRPr="00937C8B" w:rsidRDefault="002A4DDF" w:rsidP="009110ED">
            <w:pPr>
              <w:rPr>
                <w:rFonts w:ascii="Arial" w:hAnsi="Arial" w:cs="Arial"/>
                <w:sz w:val="12"/>
                <w:szCs w:val="12"/>
              </w:rPr>
            </w:pPr>
          </w:p>
        </w:tc>
        <w:tc>
          <w:tcPr>
            <w:tcW w:w="1843" w:type="dxa"/>
            <w:shd w:val="clear" w:color="auto" w:fill="auto"/>
          </w:tcPr>
          <w:p w14:paraId="3313F4F6" w14:textId="77777777" w:rsidR="002A4DDF" w:rsidRPr="00937C8B" w:rsidRDefault="002A4DDF" w:rsidP="009110ED">
            <w:pPr>
              <w:rPr>
                <w:rFonts w:ascii="Arial" w:hAnsi="Arial" w:cs="Arial"/>
                <w:sz w:val="12"/>
                <w:szCs w:val="12"/>
              </w:rPr>
            </w:pPr>
          </w:p>
        </w:tc>
        <w:tc>
          <w:tcPr>
            <w:tcW w:w="2268" w:type="dxa"/>
            <w:shd w:val="clear" w:color="auto" w:fill="F2F2F2"/>
            <w:hideMark/>
          </w:tcPr>
          <w:p w14:paraId="1FA9512B" w14:textId="77777777" w:rsidR="002A4DDF" w:rsidRPr="00937C8B" w:rsidRDefault="002A4DDF" w:rsidP="009110ED">
            <w:pPr>
              <w:rPr>
                <w:rFonts w:ascii="Arial" w:hAnsi="Arial" w:cs="Arial"/>
                <w:sz w:val="12"/>
                <w:szCs w:val="12"/>
              </w:rPr>
            </w:pPr>
            <w:r>
              <w:rPr>
                <w:rFonts w:ascii="Arial" w:hAnsi="Arial"/>
                <w:sz w:val="12"/>
                <w:szCs w:val="12"/>
              </w:rPr>
              <w:t>Sinlabajos</w:t>
            </w:r>
          </w:p>
        </w:tc>
        <w:tc>
          <w:tcPr>
            <w:tcW w:w="2268" w:type="dxa"/>
            <w:tcBorders>
              <w:right w:val="single" w:sz="4" w:space="0" w:color="auto"/>
            </w:tcBorders>
            <w:shd w:val="clear" w:color="auto" w:fill="D9D9D9"/>
            <w:hideMark/>
          </w:tcPr>
          <w:p w14:paraId="3D9BA342" w14:textId="77777777" w:rsidR="002A4DDF" w:rsidRPr="00937C8B" w:rsidRDefault="002A4DDF" w:rsidP="009110ED">
            <w:pPr>
              <w:rPr>
                <w:rFonts w:ascii="Arial" w:hAnsi="Arial" w:cs="Arial"/>
                <w:sz w:val="12"/>
                <w:szCs w:val="12"/>
              </w:rPr>
            </w:pPr>
            <w:r>
              <w:rPr>
                <w:rFonts w:ascii="Arial" w:hAnsi="Arial"/>
                <w:sz w:val="12"/>
                <w:szCs w:val="12"/>
              </w:rPr>
              <w:t>Navadijos</w:t>
            </w:r>
          </w:p>
        </w:tc>
      </w:tr>
      <w:tr w:rsidR="002A4DDF" w:rsidRPr="00937C8B" w14:paraId="03458010" w14:textId="77777777" w:rsidTr="00935676">
        <w:trPr>
          <w:cantSplit/>
        </w:trPr>
        <w:tc>
          <w:tcPr>
            <w:tcW w:w="1696" w:type="dxa"/>
            <w:tcBorders>
              <w:left w:val="single" w:sz="4" w:space="0" w:color="auto"/>
            </w:tcBorders>
            <w:shd w:val="clear" w:color="auto" w:fill="auto"/>
          </w:tcPr>
          <w:p w14:paraId="327A7077" w14:textId="77777777" w:rsidR="002A4DDF" w:rsidRPr="00937C8B" w:rsidRDefault="002A4DDF" w:rsidP="009110ED">
            <w:pPr>
              <w:rPr>
                <w:rFonts w:ascii="Arial" w:hAnsi="Arial" w:cs="Arial"/>
                <w:sz w:val="12"/>
                <w:szCs w:val="12"/>
              </w:rPr>
            </w:pPr>
          </w:p>
        </w:tc>
        <w:tc>
          <w:tcPr>
            <w:tcW w:w="1843" w:type="dxa"/>
            <w:shd w:val="clear" w:color="auto" w:fill="auto"/>
          </w:tcPr>
          <w:p w14:paraId="1E395C86" w14:textId="77777777" w:rsidR="002A4DDF" w:rsidRPr="00937C8B" w:rsidRDefault="002A4DDF" w:rsidP="009110ED">
            <w:pPr>
              <w:rPr>
                <w:rFonts w:ascii="Arial" w:hAnsi="Arial" w:cs="Arial"/>
                <w:sz w:val="12"/>
                <w:szCs w:val="12"/>
              </w:rPr>
            </w:pPr>
          </w:p>
        </w:tc>
        <w:tc>
          <w:tcPr>
            <w:tcW w:w="2268" w:type="dxa"/>
            <w:shd w:val="clear" w:color="auto" w:fill="F2F2F2"/>
            <w:hideMark/>
          </w:tcPr>
          <w:p w14:paraId="199F4B9C" w14:textId="77777777" w:rsidR="002A4DDF" w:rsidRPr="00937C8B" w:rsidRDefault="002A4DDF" w:rsidP="009110ED">
            <w:pPr>
              <w:rPr>
                <w:rFonts w:ascii="Arial" w:hAnsi="Arial" w:cs="Arial"/>
                <w:sz w:val="12"/>
                <w:szCs w:val="12"/>
              </w:rPr>
            </w:pPr>
            <w:r>
              <w:rPr>
                <w:rFonts w:ascii="Arial" w:hAnsi="Arial"/>
                <w:sz w:val="12"/>
                <w:szCs w:val="12"/>
              </w:rPr>
              <w:t>Tiñosillos</w:t>
            </w:r>
          </w:p>
        </w:tc>
        <w:tc>
          <w:tcPr>
            <w:tcW w:w="2268" w:type="dxa"/>
            <w:tcBorders>
              <w:right w:val="single" w:sz="4" w:space="0" w:color="auto"/>
            </w:tcBorders>
            <w:shd w:val="clear" w:color="auto" w:fill="D9D9D9"/>
            <w:hideMark/>
          </w:tcPr>
          <w:p w14:paraId="0F246BBA" w14:textId="77777777" w:rsidR="002A4DDF" w:rsidRPr="00937C8B" w:rsidRDefault="002A4DDF" w:rsidP="009110ED">
            <w:pPr>
              <w:rPr>
                <w:rFonts w:ascii="Arial" w:hAnsi="Arial" w:cs="Arial"/>
                <w:sz w:val="12"/>
                <w:szCs w:val="12"/>
              </w:rPr>
            </w:pPr>
            <w:r>
              <w:rPr>
                <w:rFonts w:ascii="Arial" w:hAnsi="Arial"/>
                <w:sz w:val="12"/>
                <w:szCs w:val="12"/>
              </w:rPr>
              <w:t>Navaescurial</w:t>
            </w:r>
          </w:p>
        </w:tc>
      </w:tr>
      <w:tr w:rsidR="002A4DDF" w:rsidRPr="00937C8B" w14:paraId="15B3360E" w14:textId="77777777" w:rsidTr="00935676">
        <w:trPr>
          <w:cantSplit/>
        </w:trPr>
        <w:tc>
          <w:tcPr>
            <w:tcW w:w="1696" w:type="dxa"/>
            <w:tcBorders>
              <w:left w:val="single" w:sz="4" w:space="0" w:color="auto"/>
            </w:tcBorders>
            <w:shd w:val="clear" w:color="auto" w:fill="auto"/>
          </w:tcPr>
          <w:p w14:paraId="1C4E8FDA" w14:textId="77777777" w:rsidR="002A4DDF" w:rsidRPr="00937C8B" w:rsidRDefault="002A4DDF" w:rsidP="009110ED">
            <w:pPr>
              <w:rPr>
                <w:rFonts w:ascii="Arial" w:hAnsi="Arial" w:cs="Arial"/>
                <w:sz w:val="12"/>
                <w:szCs w:val="12"/>
              </w:rPr>
            </w:pPr>
          </w:p>
        </w:tc>
        <w:tc>
          <w:tcPr>
            <w:tcW w:w="1843" w:type="dxa"/>
            <w:shd w:val="clear" w:color="auto" w:fill="auto"/>
          </w:tcPr>
          <w:p w14:paraId="0CF14DDB" w14:textId="77777777" w:rsidR="002A4DDF" w:rsidRPr="00937C8B" w:rsidRDefault="002A4DDF" w:rsidP="009110ED">
            <w:pPr>
              <w:rPr>
                <w:rFonts w:ascii="Arial" w:hAnsi="Arial" w:cs="Arial"/>
                <w:sz w:val="12"/>
                <w:szCs w:val="12"/>
              </w:rPr>
            </w:pPr>
          </w:p>
        </w:tc>
        <w:tc>
          <w:tcPr>
            <w:tcW w:w="2268" w:type="dxa"/>
            <w:shd w:val="clear" w:color="auto" w:fill="F2F2F2"/>
            <w:hideMark/>
          </w:tcPr>
          <w:p w14:paraId="204482C2" w14:textId="77777777" w:rsidR="002A4DDF" w:rsidRPr="00937C8B" w:rsidRDefault="002A4DDF" w:rsidP="009110ED">
            <w:pPr>
              <w:rPr>
                <w:rFonts w:ascii="Arial" w:hAnsi="Arial" w:cs="Arial"/>
                <w:sz w:val="12"/>
                <w:szCs w:val="12"/>
              </w:rPr>
            </w:pPr>
            <w:r>
              <w:rPr>
                <w:rFonts w:ascii="Arial" w:hAnsi="Arial"/>
                <w:sz w:val="12"/>
                <w:szCs w:val="12"/>
              </w:rPr>
              <w:t>Vega de Santa María</w:t>
            </w:r>
          </w:p>
        </w:tc>
        <w:tc>
          <w:tcPr>
            <w:tcW w:w="2268" w:type="dxa"/>
            <w:tcBorders>
              <w:right w:val="single" w:sz="4" w:space="0" w:color="auto"/>
            </w:tcBorders>
            <w:shd w:val="clear" w:color="auto" w:fill="D9D9D9"/>
            <w:hideMark/>
          </w:tcPr>
          <w:p w14:paraId="7F5908CA" w14:textId="77777777" w:rsidR="002A4DDF" w:rsidRPr="00937C8B" w:rsidRDefault="002A4DDF" w:rsidP="009110ED">
            <w:pPr>
              <w:rPr>
                <w:rFonts w:ascii="Arial" w:hAnsi="Arial" w:cs="Arial"/>
                <w:sz w:val="12"/>
                <w:szCs w:val="12"/>
              </w:rPr>
            </w:pPr>
            <w:r>
              <w:rPr>
                <w:rFonts w:ascii="Arial" w:hAnsi="Arial"/>
                <w:sz w:val="12"/>
                <w:szCs w:val="12"/>
              </w:rPr>
              <w:t>Navahondilla</w:t>
            </w:r>
          </w:p>
        </w:tc>
      </w:tr>
      <w:tr w:rsidR="002A4DDF" w:rsidRPr="00937C8B" w14:paraId="10CED94E" w14:textId="77777777" w:rsidTr="00935676">
        <w:trPr>
          <w:cantSplit/>
        </w:trPr>
        <w:tc>
          <w:tcPr>
            <w:tcW w:w="1696" w:type="dxa"/>
            <w:tcBorders>
              <w:left w:val="single" w:sz="4" w:space="0" w:color="auto"/>
            </w:tcBorders>
            <w:shd w:val="clear" w:color="auto" w:fill="auto"/>
          </w:tcPr>
          <w:p w14:paraId="172D768E" w14:textId="77777777" w:rsidR="002A4DDF" w:rsidRPr="00937C8B" w:rsidRDefault="002A4DDF" w:rsidP="009110ED">
            <w:pPr>
              <w:rPr>
                <w:rFonts w:ascii="Arial" w:hAnsi="Arial" w:cs="Arial"/>
                <w:sz w:val="12"/>
                <w:szCs w:val="12"/>
              </w:rPr>
            </w:pPr>
          </w:p>
        </w:tc>
        <w:tc>
          <w:tcPr>
            <w:tcW w:w="1843" w:type="dxa"/>
            <w:shd w:val="clear" w:color="auto" w:fill="auto"/>
          </w:tcPr>
          <w:p w14:paraId="4629D34B" w14:textId="77777777" w:rsidR="002A4DDF" w:rsidRPr="00937C8B" w:rsidRDefault="002A4DDF" w:rsidP="009110ED">
            <w:pPr>
              <w:rPr>
                <w:rFonts w:ascii="Arial" w:hAnsi="Arial" w:cs="Arial"/>
                <w:sz w:val="12"/>
                <w:szCs w:val="12"/>
              </w:rPr>
            </w:pPr>
          </w:p>
        </w:tc>
        <w:tc>
          <w:tcPr>
            <w:tcW w:w="2268" w:type="dxa"/>
            <w:shd w:val="clear" w:color="auto" w:fill="F2F2F2"/>
            <w:hideMark/>
          </w:tcPr>
          <w:p w14:paraId="4D9BB671" w14:textId="77777777" w:rsidR="002A4DDF" w:rsidRPr="00937C8B" w:rsidRDefault="002A4DDF" w:rsidP="009110ED">
            <w:pPr>
              <w:rPr>
                <w:rFonts w:ascii="Arial" w:hAnsi="Arial" w:cs="Arial"/>
                <w:sz w:val="12"/>
                <w:szCs w:val="12"/>
              </w:rPr>
            </w:pPr>
            <w:r>
              <w:rPr>
                <w:rFonts w:ascii="Arial" w:hAnsi="Arial"/>
                <w:sz w:val="12"/>
                <w:szCs w:val="12"/>
              </w:rPr>
              <w:t>Velayos</w:t>
            </w:r>
          </w:p>
        </w:tc>
        <w:tc>
          <w:tcPr>
            <w:tcW w:w="2268" w:type="dxa"/>
            <w:tcBorders>
              <w:right w:val="single" w:sz="4" w:space="0" w:color="auto"/>
            </w:tcBorders>
            <w:shd w:val="clear" w:color="auto" w:fill="D9D9D9"/>
            <w:hideMark/>
          </w:tcPr>
          <w:p w14:paraId="69B2F0DA" w14:textId="77777777" w:rsidR="002A4DDF" w:rsidRPr="00937C8B" w:rsidRDefault="002A4DDF" w:rsidP="009110ED">
            <w:pPr>
              <w:rPr>
                <w:rFonts w:ascii="Arial" w:hAnsi="Arial" w:cs="Arial"/>
                <w:sz w:val="12"/>
                <w:szCs w:val="12"/>
              </w:rPr>
            </w:pPr>
            <w:r>
              <w:rPr>
                <w:rFonts w:ascii="Arial" w:hAnsi="Arial"/>
                <w:sz w:val="12"/>
                <w:szCs w:val="12"/>
              </w:rPr>
              <w:t>Navalacruz</w:t>
            </w:r>
          </w:p>
        </w:tc>
      </w:tr>
      <w:tr w:rsidR="002A4DDF" w:rsidRPr="00937C8B" w14:paraId="7020A90D" w14:textId="77777777" w:rsidTr="00935676">
        <w:trPr>
          <w:cantSplit/>
        </w:trPr>
        <w:tc>
          <w:tcPr>
            <w:tcW w:w="1696" w:type="dxa"/>
            <w:tcBorders>
              <w:left w:val="single" w:sz="4" w:space="0" w:color="auto"/>
            </w:tcBorders>
            <w:shd w:val="clear" w:color="auto" w:fill="auto"/>
          </w:tcPr>
          <w:p w14:paraId="6A732D58" w14:textId="77777777" w:rsidR="002A4DDF" w:rsidRPr="00937C8B" w:rsidRDefault="002A4DDF" w:rsidP="009110ED">
            <w:pPr>
              <w:rPr>
                <w:rFonts w:ascii="Arial" w:hAnsi="Arial" w:cs="Arial"/>
                <w:sz w:val="12"/>
                <w:szCs w:val="12"/>
              </w:rPr>
            </w:pPr>
          </w:p>
        </w:tc>
        <w:tc>
          <w:tcPr>
            <w:tcW w:w="1843" w:type="dxa"/>
            <w:shd w:val="clear" w:color="auto" w:fill="auto"/>
          </w:tcPr>
          <w:p w14:paraId="5F9F8905" w14:textId="77777777" w:rsidR="002A4DDF" w:rsidRPr="00937C8B" w:rsidRDefault="002A4DDF" w:rsidP="009110ED">
            <w:pPr>
              <w:rPr>
                <w:rFonts w:ascii="Arial" w:hAnsi="Arial" w:cs="Arial"/>
                <w:sz w:val="12"/>
                <w:szCs w:val="12"/>
              </w:rPr>
            </w:pPr>
          </w:p>
        </w:tc>
        <w:tc>
          <w:tcPr>
            <w:tcW w:w="2268" w:type="dxa"/>
            <w:shd w:val="clear" w:color="auto" w:fill="F2F2F2"/>
            <w:hideMark/>
          </w:tcPr>
          <w:p w14:paraId="06586EEB" w14:textId="77777777" w:rsidR="002A4DDF" w:rsidRPr="00937C8B" w:rsidRDefault="002A4DDF" w:rsidP="009110ED">
            <w:pPr>
              <w:rPr>
                <w:rFonts w:ascii="Arial" w:hAnsi="Arial" w:cs="Arial"/>
                <w:sz w:val="12"/>
                <w:szCs w:val="12"/>
              </w:rPr>
            </w:pPr>
            <w:r>
              <w:rPr>
                <w:rFonts w:ascii="Arial" w:hAnsi="Arial"/>
                <w:sz w:val="12"/>
                <w:szCs w:val="12"/>
              </w:rPr>
              <w:t>Villaflor</w:t>
            </w:r>
          </w:p>
        </w:tc>
        <w:tc>
          <w:tcPr>
            <w:tcW w:w="2268" w:type="dxa"/>
            <w:tcBorders>
              <w:right w:val="single" w:sz="4" w:space="0" w:color="auto"/>
            </w:tcBorders>
            <w:shd w:val="clear" w:color="auto" w:fill="D9D9D9"/>
            <w:hideMark/>
          </w:tcPr>
          <w:p w14:paraId="09A3E8A5" w14:textId="77777777" w:rsidR="002A4DDF" w:rsidRPr="00937C8B" w:rsidRDefault="002A4DDF" w:rsidP="009110ED">
            <w:pPr>
              <w:rPr>
                <w:rFonts w:ascii="Arial" w:hAnsi="Arial" w:cs="Arial"/>
                <w:sz w:val="12"/>
                <w:szCs w:val="12"/>
              </w:rPr>
            </w:pPr>
            <w:r>
              <w:rPr>
                <w:rFonts w:ascii="Arial" w:hAnsi="Arial"/>
                <w:sz w:val="12"/>
                <w:szCs w:val="12"/>
              </w:rPr>
              <w:t>Navalmoral</w:t>
            </w:r>
          </w:p>
        </w:tc>
      </w:tr>
      <w:tr w:rsidR="002A4DDF" w:rsidRPr="00937C8B" w14:paraId="03FBADC8" w14:textId="77777777" w:rsidTr="00935676">
        <w:trPr>
          <w:cantSplit/>
        </w:trPr>
        <w:tc>
          <w:tcPr>
            <w:tcW w:w="1696" w:type="dxa"/>
            <w:tcBorders>
              <w:left w:val="single" w:sz="4" w:space="0" w:color="auto"/>
            </w:tcBorders>
            <w:shd w:val="clear" w:color="auto" w:fill="auto"/>
          </w:tcPr>
          <w:p w14:paraId="300250E2" w14:textId="77777777" w:rsidR="002A4DDF" w:rsidRPr="00937C8B" w:rsidRDefault="002A4DDF" w:rsidP="009110ED">
            <w:pPr>
              <w:rPr>
                <w:rFonts w:ascii="Arial" w:hAnsi="Arial" w:cs="Arial"/>
                <w:sz w:val="12"/>
                <w:szCs w:val="12"/>
              </w:rPr>
            </w:pPr>
          </w:p>
        </w:tc>
        <w:tc>
          <w:tcPr>
            <w:tcW w:w="1843" w:type="dxa"/>
            <w:shd w:val="clear" w:color="auto" w:fill="auto"/>
          </w:tcPr>
          <w:p w14:paraId="63E5BD00" w14:textId="77777777" w:rsidR="002A4DDF" w:rsidRPr="00937C8B" w:rsidRDefault="002A4DDF" w:rsidP="009110ED">
            <w:pPr>
              <w:rPr>
                <w:rFonts w:ascii="Arial" w:hAnsi="Arial" w:cs="Arial"/>
                <w:sz w:val="12"/>
                <w:szCs w:val="12"/>
              </w:rPr>
            </w:pPr>
          </w:p>
        </w:tc>
        <w:tc>
          <w:tcPr>
            <w:tcW w:w="2268" w:type="dxa"/>
            <w:shd w:val="clear" w:color="auto" w:fill="F2F2F2"/>
            <w:hideMark/>
          </w:tcPr>
          <w:p w14:paraId="7F908D1A" w14:textId="77777777" w:rsidR="002A4DDF" w:rsidRPr="00937C8B" w:rsidRDefault="002A4DDF" w:rsidP="009110ED">
            <w:pPr>
              <w:rPr>
                <w:rFonts w:ascii="Arial" w:hAnsi="Arial" w:cs="Arial"/>
                <w:sz w:val="12"/>
                <w:szCs w:val="12"/>
              </w:rPr>
            </w:pPr>
            <w:r>
              <w:rPr>
                <w:rFonts w:ascii="Arial" w:hAnsi="Arial"/>
                <w:sz w:val="12"/>
                <w:szCs w:val="12"/>
              </w:rPr>
              <w:t>Villanueva de Gómez</w:t>
            </w:r>
          </w:p>
        </w:tc>
        <w:tc>
          <w:tcPr>
            <w:tcW w:w="2268" w:type="dxa"/>
            <w:tcBorders>
              <w:right w:val="single" w:sz="4" w:space="0" w:color="auto"/>
            </w:tcBorders>
            <w:shd w:val="clear" w:color="auto" w:fill="D9D9D9"/>
            <w:hideMark/>
          </w:tcPr>
          <w:p w14:paraId="6782120F" w14:textId="77777777" w:rsidR="002A4DDF" w:rsidRPr="00937C8B" w:rsidRDefault="002A4DDF" w:rsidP="009110ED">
            <w:pPr>
              <w:rPr>
                <w:rFonts w:ascii="Arial" w:hAnsi="Arial" w:cs="Arial"/>
                <w:sz w:val="12"/>
                <w:szCs w:val="12"/>
              </w:rPr>
            </w:pPr>
            <w:r>
              <w:rPr>
                <w:rFonts w:ascii="Arial" w:hAnsi="Arial"/>
                <w:sz w:val="12"/>
                <w:szCs w:val="12"/>
              </w:rPr>
              <w:t>Navalonguilla</w:t>
            </w:r>
          </w:p>
        </w:tc>
      </w:tr>
      <w:tr w:rsidR="002A4DDF" w:rsidRPr="00937C8B" w14:paraId="37750F6A" w14:textId="77777777" w:rsidTr="00935676">
        <w:trPr>
          <w:cantSplit/>
        </w:trPr>
        <w:tc>
          <w:tcPr>
            <w:tcW w:w="1696" w:type="dxa"/>
            <w:tcBorders>
              <w:left w:val="single" w:sz="4" w:space="0" w:color="auto"/>
            </w:tcBorders>
            <w:shd w:val="clear" w:color="auto" w:fill="auto"/>
          </w:tcPr>
          <w:p w14:paraId="69468D72" w14:textId="77777777" w:rsidR="002A4DDF" w:rsidRPr="00937C8B" w:rsidRDefault="002A4DDF" w:rsidP="009110ED">
            <w:pPr>
              <w:rPr>
                <w:rFonts w:ascii="Arial" w:hAnsi="Arial" w:cs="Arial"/>
                <w:sz w:val="12"/>
                <w:szCs w:val="12"/>
              </w:rPr>
            </w:pPr>
          </w:p>
        </w:tc>
        <w:tc>
          <w:tcPr>
            <w:tcW w:w="1843" w:type="dxa"/>
            <w:shd w:val="clear" w:color="auto" w:fill="auto"/>
          </w:tcPr>
          <w:p w14:paraId="52AD4CAB" w14:textId="77777777" w:rsidR="002A4DDF" w:rsidRPr="00937C8B" w:rsidRDefault="002A4DDF" w:rsidP="009110ED">
            <w:pPr>
              <w:rPr>
                <w:rFonts w:ascii="Arial" w:hAnsi="Arial" w:cs="Arial"/>
                <w:sz w:val="12"/>
                <w:szCs w:val="12"/>
              </w:rPr>
            </w:pPr>
          </w:p>
        </w:tc>
        <w:tc>
          <w:tcPr>
            <w:tcW w:w="2268" w:type="dxa"/>
            <w:shd w:val="clear" w:color="auto" w:fill="F2F2F2"/>
            <w:hideMark/>
          </w:tcPr>
          <w:p w14:paraId="5D63186E" w14:textId="77777777" w:rsidR="002A4DDF" w:rsidRPr="00937C8B" w:rsidRDefault="002A4DDF" w:rsidP="009110ED">
            <w:pPr>
              <w:rPr>
                <w:rFonts w:ascii="Arial" w:hAnsi="Arial" w:cs="Arial"/>
                <w:sz w:val="12"/>
                <w:szCs w:val="12"/>
              </w:rPr>
            </w:pPr>
            <w:r>
              <w:rPr>
                <w:rFonts w:ascii="Arial" w:hAnsi="Arial"/>
                <w:sz w:val="12"/>
                <w:szCs w:val="12"/>
              </w:rPr>
              <w:t>Villanueva del Aceral</w:t>
            </w:r>
          </w:p>
        </w:tc>
        <w:tc>
          <w:tcPr>
            <w:tcW w:w="2268" w:type="dxa"/>
            <w:tcBorders>
              <w:right w:val="single" w:sz="4" w:space="0" w:color="auto"/>
            </w:tcBorders>
            <w:shd w:val="clear" w:color="auto" w:fill="D9D9D9"/>
            <w:hideMark/>
          </w:tcPr>
          <w:p w14:paraId="3DAD2BC6" w14:textId="77777777" w:rsidR="002A4DDF" w:rsidRPr="00937C8B" w:rsidRDefault="002A4DDF" w:rsidP="009110ED">
            <w:pPr>
              <w:rPr>
                <w:rFonts w:ascii="Arial" w:hAnsi="Arial" w:cs="Arial"/>
                <w:sz w:val="12"/>
                <w:szCs w:val="12"/>
              </w:rPr>
            </w:pPr>
            <w:r>
              <w:rPr>
                <w:rFonts w:ascii="Arial" w:hAnsi="Arial"/>
                <w:sz w:val="12"/>
                <w:szCs w:val="12"/>
              </w:rPr>
              <w:t>Navalosa</w:t>
            </w:r>
          </w:p>
        </w:tc>
      </w:tr>
      <w:tr w:rsidR="002A4DDF" w:rsidRPr="00937C8B" w14:paraId="24DD2F0D" w14:textId="77777777" w:rsidTr="00935676">
        <w:trPr>
          <w:cantSplit/>
        </w:trPr>
        <w:tc>
          <w:tcPr>
            <w:tcW w:w="1696" w:type="dxa"/>
            <w:tcBorders>
              <w:left w:val="single" w:sz="4" w:space="0" w:color="auto"/>
            </w:tcBorders>
            <w:shd w:val="clear" w:color="auto" w:fill="auto"/>
          </w:tcPr>
          <w:p w14:paraId="20DD3019" w14:textId="77777777" w:rsidR="002A4DDF" w:rsidRPr="00937C8B" w:rsidRDefault="002A4DDF" w:rsidP="009110ED">
            <w:pPr>
              <w:rPr>
                <w:rFonts w:ascii="Arial" w:hAnsi="Arial" w:cs="Arial"/>
                <w:sz w:val="12"/>
                <w:szCs w:val="12"/>
              </w:rPr>
            </w:pPr>
          </w:p>
        </w:tc>
        <w:tc>
          <w:tcPr>
            <w:tcW w:w="1843" w:type="dxa"/>
            <w:shd w:val="clear" w:color="auto" w:fill="auto"/>
          </w:tcPr>
          <w:p w14:paraId="608AF9B5" w14:textId="77777777" w:rsidR="002A4DDF" w:rsidRPr="00937C8B" w:rsidRDefault="002A4DDF" w:rsidP="009110ED">
            <w:pPr>
              <w:rPr>
                <w:rFonts w:ascii="Arial" w:hAnsi="Arial" w:cs="Arial"/>
                <w:sz w:val="12"/>
                <w:szCs w:val="12"/>
              </w:rPr>
            </w:pPr>
          </w:p>
        </w:tc>
        <w:tc>
          <w:tcPr>
            <w:tcW w:w="2268" w:type="dxa"/>
            <w:shd w:val="clear" w:color="auto" w:fill="F2F2F2"/>
            <w:hideMark/>
          </w:tcPr>
          <w:p w14:paraId="4E9A91A9" w14:textId="77777777" w:rsidR="002A4DDF" w:rsidRPr="00937C8B" w:rsidRDefault="002A4DDF" w:rsidP="009110ED">
            <w:pPr>
              <w:rPr>
                <w:rFonts w:ascii="Arial" w:hAnsi="Arial" w:cs="Arial"/>
                <w:sz w:val="12"/>
                <w:szCs w:val="12"/>
              </w:rPr>
            </w:pPr>
            <w:r>
              <w:rPr>
                <w:rFonts w:ascii="Arial" w:hAnsi="Arial"/>
                <w:sz w:val="12"/>
                <w:szCs w:val="12"/>
              </w:rPr>
              <w:t>Viñegra de Moraña</w:t>
            </w:r>
          </w:p>
        </w:tc>
        <w:tc>
          <w:tcPr>
            <w:tcW w:w="2268" w:type="dxa"/>
            <w:tcBorders>
              <w:right w:val="single" w:sz="4" w:space="0" w:color="auto"/>
            </w:tcBorders>
            <w:shd w:val="clear" w:color="auto" w:fill="D9D9D9"/>
            <w:hideMark/>
          </w:tcPr>
          <w:p w14:paraId="1AD2D25E" w14:textId="77777777" w:rsidR="002A4DDF" w:rsidRPr="00937C8B" w:rsidRDefault="002A4DDF" w:rsidP="009110ED">
            <w:pPr>
              <w:rPr>
                <w:rFonts w:ascii="Arial" w:hAnsi="Arial" w:cs="Arial"/>
                <w:sz w:val="12"/>
                <w:szCs w:val="12"/>
              </w:rPr>
            </w:pPr>
            <w:r>
              <w:rPr>
                <w:rFonts w:ascii="Arial" w:hAnsi="Arial"/>
                <w:sz w:val="12"/>
                <w:szCs w:val="12"/>
              </w:rPr>
              <w:t>Navalperal de Pinares</w:t>
            </w:r>
          </w:p>
        </w:tc>
      </w:tr>
      <w:tr w:rsidR="002A4DDF" w:rsidRPr="00937C8B" w14:paraId="516A07A1" w14:textId="77777777" w:rsidTr="00935676">
        <w:trPr>
          <w:cantSplit/>
        </w:trPr>
        <w:tc>
          <w:tcPr>
            <w:tcW w:w="1696" w:type="dxa"/>
            <w:tcBorders>
              <w:left w:val="single" w:sz="4" w:space="0" w:color="auto"/>
            </w:tcBorders>
            <w:shd w:val="clear" w:color="auto" w:fill="auto"/>
          </w:tcPr>
          <w:p w14:paraId="5462C376" w14:textId="77777777" w:rsidR="002A4DDF" w:rsidRPr="00937C8B" w:rsidRDefault="002A4DDF" w:rsidP="009110ED">
            <w:pPr>
              <w:rPr>
                <w:rFonts w:ascii="Arial" w:hAnsi="Arial" w:cs="Arial"/>
                <w:sz w:val="12"/>
                <w:szCs w:val="12"/>
              </w:rPr>
            </w:pPr>
          </w:p>
        </w:tc>
        <w:tc>
          <w:tcPr>
            <w:tcW w:w="1843" w:type="dxa"/>
            <w:shd w:val="clear" w:color="auto" w:fill="auto"/>
          </w:tcPr>
          <w:p w14:paraId="6BF1797B" w14:textId="77777777" w:rsidR="002A4DDF" w:rsidRPr="00937C8B" w:rsidRDefault="002A4DDF" w:rsidP="009110ED">
            <w:pPr>
              <w:rPr>
                <w:rFonts w:ascii="Arial" w:hAnsi="Arial" w:cs="Arial"/>
                <w:sz w:val="12"/>
                <w:szCs w:val="12"/>
              </w:rPr>
            </w:pPr>
          </w:p>
        </w:tc>
        <w:tc>
          <w:tcPr>
            <w:tcW w:w="2268" w:type="dxa"/>
            <w:shd w:val="clear" w:color="auto" w:fill="F2F2F2"/>
            <w:hideMark/>
          </w:tcPr>
          <w:p w14:paraId="29CE47F0" w14:textId="77777777" w:rsidR="002A4DDF" w:rsidRPr="00937C8B" w:rsidRDefault="002A4DDF" w:rsidP="009110ED">
            <w:pPr>
              <w:rPr>
                <w:rFonts w:ascii="Arial" w:hAnsi="Arial" w:cs="Arial"/>
                <w:sz w:val="12"/>
                <w:szCs w:val="12"/>
              </w:rPr>
            </w:pPr>
            <w:r>
              <w:rPr>
                <w:rFonts w:ascii="Arial" w:hAnsi="Arial"/>
                <w:sz w:val="12"/>
                <w:szCs w:val="12"/>
              </w:rPr>
              <w:t>Vita</w:t>
            </w:r>
          </w:p>
        </w:tc>
        <w:tc>
          <w:tcPr>
            <w:tcW w:w="2268" w:type="dxa"/>
            <w:tcBorders>
              <w:right w:val="single" w:sz="4" w:space="0" w:color="auto"/>
            </w:tcBorders>
            <w:shd w:val="clear" w:color="auto" w:fill="D9D9D9"/>
            <w:hideMark/>
          </w:tcPr>
          <w:p w14:paraId="69AA9D86" w14:textId="77777777" w:rsidR="002A4DDF" w:rsidRPr="00937C8B" w:rsidRDefault="002A4DDF" w:rsidP="009110ED">
            <w:pPr>
              <w:rPr>
                <w:rFonts w:ascii="Arial" w:hAnsi="Arial" w:cs="Arial"/>
                <w:sz w:val="12"/>
                <w:szCs w:val="12"/>
              </w:rPr>
            </w:pPr>
            <w:r>
              <w:rPr>
                <w:rFonts w:ascii="Arial" w:hAnsi="Arial"/>
                <w:sz w:val="12"/>
                <w:szCs w:val="12"/>
              </w:rPr>
              <w:t>Navalperal de Tormes</w:t>
            </w:r>
          </w:p>
        </w:tc>
      </w:tr>
      <w:tr w:rsidR="002A4DDF" w:rsidRPr="00937C8B" w14:paraId="5D83F804" w14:textId="77777777" w:rsidTr="00935676">
        <w:trPr>
          <w:cantSplit/>
        </w:trPr>
        <w:tc>
          <w:tcPr>
            <w:tcW w:w="1696" w:type="dxa"/>
            <w:tcBorders>
              <w:left w:val="single" w:sz="4" w:space="0" w:color="auto"/>
            </w:tcBorders>
            <w:shd w:val="clear" w:color="auto" w:fill="auto"/>
          </w:tcPr>
          <w:p w14:paraId="6BB37F2E" w14:textId="77777777" w:rsidR="002A4DDF" w:rsidRPr="00937C8B" w:rsidRDefault="002A4DDF" w:rsidP="009110ED">
            <w:pPr>
              <w:rPr>
                <w:rFonts w:ascii="Arial" w:hAnsi="Arial" w:cs="Arial"/>
                <w:sz w:val="12"/>
                <w:szCs w:val="12"/>
              </w:rPr>
            </w:pPr>
          </w:p>
        </w:tc>
        <w:tc>
          <w:tcPr>
            <w:tcW w:w="1843" w:type="dxa"/>
            <w:shd w:val="clear" w:color="auto" w:fill="auto"/>
          </w:tcPr>
          <w:p w14:paraId="602303CA" w14:textId="77777777" w:rsidR="002A4DDF" w:rsidRPr="00937C8B" w:rsidRDefault="002A4DDF" w:rsidP="009110ED">
            <w:pPr>
              <w:rPr>
                <w:rFonts w:ascii="Arial" w:hAnsi="Arial" w:cs="Arial"/>
                <w:sz w:val="12"/>
                <w:szCs w:val="12"/>
              </w:rPr>
            </w:pPr>
          </w:p>
        </w:tc>
        <w:tc>
          <w:tcPr>
            <w:tcW w:w="2268" w:type="dxa"/>
            <w:shd w:val="clear" w:color="auto" w:fill="F2F2F2"/>
            <w:hideMark/>
          </w:tcPr>
          <w:p w14:paraId="3A5554C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6A2C59C" w14:textId="77777777" w:rsidR="002A4DDF" w:rsidRPr="00937C8B" w:rsidRDefault="002A4DDF" w:rsidP="009110ED">
            <w:pPr>
              <w:rPr>
                <w:rFonts w:ascii="Arial" w:hAnsi="Arial" w:cs="Arial"/>
                <w:sz w:val="12"/>
                <w:szCs w:val="12"/>
              </w:rPr>
            </w:pPr>
            <w:r>
              <w:rPr>
                <w:rFonts w:ascii="Arial" w:hAnsi="Arial"/>
                <w:sz w:val="12"/>
                <w:szCs w:val="12"/>
              </w:rPr>
              <w:t>Navaluenga</w:t>
            </w:r>
          </w:p>
        </w:tc>
      </w:tr>
      <w:tr w:rsidR="002A4DDF" w:rsidRPr="00937C8B" w14:paraId="53C5A713" w14:textId="77777777" w:rsidTr="00935676">
        <w:trPr>
          <w:cantSplit/>
        </w:trPr>
        <w:tc>
          <w:tcPr>
            <w:tcW w:w="1696" w:type="dxa"/>
            <w:tcBorders>
              <w:left w:val="single" w:sz="4" w:space="0" w:color="auto"/>
            </w:tcBorders>
            <w:shd w:val="clear" w:color="auto" w:fill="auto"/>
          </w:tcPr>
          <w:p w14:paraId="2ACEA585" w14:textId="77777777" w:rsidR="002A4DDF" w:rsidRPr="00937C8B" w:rsidRDefault="002A4DDF" w:rsidP="009110ED">
            <w:pPr>
              <w:rPr>
                <w:rFonts w:ascii="Arial" w:hAnsi="Arial" w:cs="Arial"/>
                <w:sz w:val="12"/>
                <w:szCs w:val="12"/>
              </w:rPr>
            </w:pPr>
          </w:p>
        </w:tc>
        <w:tc>
          <w:tcPr>
            <w:tcW w:w="1843" w:type="dxa"/>
            <w:shd w:val="clear" w:color="auto" w:fill="auto"/>
          </w:tcPr>
          <w:p w14:paraId="54B0A0A7" w14:textId="77777777" w:rsidR="002A4DDF" w:rsidRPr="00937C8B" w:rsidRDefault="002A4DDF" w:rsidP="009110ED">
            <w:pPr>
              <w:rPr>
                <w:rFonts w:ascii="Arial" w:hAnsi="Arial" w:cs="Arial"/>
                <w:sz w:val="12"/>
                <w:szCs w:val="12"/>
              </w:rPr>
            </w:pPr>
          </w:p>
        </w:tc>
        <w:tc>
          <w:tcPr>
            <w:tcW w:w="2268" w:type="dxa"/>
            <w:shd w:val="clear" w:color="auto" w:fill="F2F2F2"/>
            <w:hideMark/>
          </w:tcPr>
          <w:p w14:paraId="17100F7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E2F3308" w14:textId="77777777" w:rsidR="002A4DDF" w:rsidRPr="00937C8B" w:rsidRDefault="002A4DDF" w:rsidP="009110ED">
            <w:pPr>
              <w:rPr>
                <w:rFonts w:ascii="Arial" w:hAnsi="Arial" w:cs="Arial"/>
                <w:sz w:val="12"/>
                <w:szCs w:val="12"/>
              </w:rPr>
            </w:pPr>
            <w:r>
              <w:rPr>
                <w:rFonts w:ascii="Arial" w:hAnsi="Arial"/>
                <w:sz w:val="12"/>
                <w:szCs w:val="12"/>
              </w:rPr>
              <w:t>Navaquesera</w:t>
            </w:r>
          </w:p>
        </w:tc>
      </w:tr>
      <w:tr w:rsidR="002A4DDF" w:rsidRPr="00937C8B" w14:paraId="65A76EB0" w14:textId="77777777" w:rsidTr="00935676">
        <w:trPr>
          <w:cantSplit/>
        </w:trPr>
        <w:tc>
          <w:tcPr>
            <w:tcW w:w="1696" w:type="dxa"/>
            <w:tcBorders>
              <w:left w:val="single" w:sz="4" w:space="0" w:color="auto"/>
            </w:tcBorders>
            <w:shd w:val="clear" w:color="auto" w:fill="auto"/>
          </w:tcPr>
          <w:p w14:paraId="60A776B1" w14:textId="77777777" w:rsidR="002A4DDF" w:rsidRPr="00937C8B" w:rsidRDefault="002A4DDF" w:rsidP="009110ED">
            <w:pPr>
              <w:rPr>
                <w:rFonts w:ascii="Arial" w:hAnsi="Arial" w:cs="Arial"/>
                <w:sz w:val="12"/>
                <w:szCs w:val="12"/>
              </w:rPr>
            </w:pPr>
          </w:p>
        </w:tc>
        <w:tc>
          <w:tcPr>
            <w:tcW w:w="1843" w:type="dxa"/>
            <w:shd w:val="clear" w:color="auto" w:fill="auto"/>
          </w:tcPr>
          <w:p w14:paraId="138148A2" w14:textId="77777777" w:rsidR="002A4DDF" w:rsidRPr="00937C8B" w:rsidRDefault="002A4DDF" w:rsidP="009110ED">
            <w:pPr>
              <w:rPr>
                <w:rFonts w:ascii="Arial" w:hAnsi="Arial" w:cs="Arial"/>
                <w:sz w:val="12"/>
                <w:szCs w:val="12"/>
              </w:rPr>
            </w:pPr>
          </w:p>
        </w:tc>
        <w:tc>
          <w:tcPr>
            <w:tcW w:w="2268" w:type="dxa"/>
            <w:shd w:val="clear" w:color="auto" w:fill="F2F2F2"/>
            <w:hideMark/>
          </w:tcPr>
          <w:p w14:paraId="61CC2AA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08CD3D4" w14:textId="77777777" w:rsidR="002A4DDF" w:rsidRPr="00937C8B" w:rsidRDefault="002A4DDF" w:rsidP="009110ED">
            <w:pPr>
              <w:rPr>
                <w:rFonts w:ascii="Arial" w:hAnsi="Arial" w:cs="Arial"/>
                <w:sz w:val="12"/>
                <w:szCs w:val="12"/>
              </w:rPr>
            </w:pPr>
            <w:r>
              <w:rPr>
                <w:rFonts w:ascii="Arial" w:hAnsi="Arial"/>
                <w:sz w:val="12"/>
                <w:szCs w:val="12"/>
              </w:rPr>
              <w:t>Navarredonda de Gredos</w:t>
            </w:r>
          </w:p>
        </w:tc>
      </w:tr>
      <w:tr w:rsidR="002A4DDF" w:rsidRPr="00937C8B" w14:paraId="0812E4C4" w14:textId="77777777" w:rsidTr="00935676">
        <w:trPr>
          <w:cantSplit/>
        </w:trPr>
        <w:tc>
          <w:tcPr>
            <w:tcW w:w="1696" w:type="dxa"/>
            <w:tcBorders>
              <w:left w:val="single" w:sz="4" w:space="0" w:color="auto"/>
            </w:tcBorders>
            <w:shd w:val="clear" w:color="auto" w:fill="auto"/>
          </w:tcPr>
          <w:p w14:paraId="634E4DBF" w14:textId="77777777" w:rsidR="002A4DDF" w:rsidRPr="00937C8B" w:rsidRDefault="002A4DDF" w:rsidP="009110ED">
            <w:pPr>
              <w:rPr>
                <w:rFonts w:ascii="Arial" w:hAnsi="Arial" w:cs="Arial"/>
                <w:sz w:val="12"/>
                <w:szCs w:val="12"/>
              </w:rPr>
            </w:pPr>
          </w:p>
        </w:tc>
        <w:tc>
          <w:tcPr>
            <w:tcW w:w="1843" w:type="dxa"/>
            <w:shd w:val="clear" w:color="auto" w:fill="auto"/>
          </w:tcPr>
          <w:p w14:paraId="4E09833C" w14:textId="77777777" w:rsidR="002A4DDF" w:rsidRPr="00937C8B" w:rsidRDefault="002A4DDF" w:rsidP="009110ED">
            <w:pPr>
              <w:rPr>
                <w:rFonts w:ascii="Arial" w:hAnsi="Arial" w:cs="Arial"/>
                <w:sz w:val="12"/>
                <w:szCs w:val="12"/>
              </w:rPr>
            </w:pPr>
          </w:p>
        </w:tc>
        <w:tc>
          <w:tcPr>
            <w:tcW w:w="2268" w:type="dxa"/>
            <w:shd w:val="clear" w:color="auto" w:fill="F2F2F2"/>
            <w:hideMark/>
          </w:tcPr>
          <w:p w14:paraId="5DFC6F6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849F398" w14:textId="77777777" w:rsidR="002A4DDF" w:rsidRPr="00937C8B" w:rsidRDefault="002A4DDF" w:rsidP="009110ED">
            <w:pPr>
              <w:rPr>
                <w:rFonts w:ascii="Arial" w:hAnsi="Arial" w:cs="Arial"/>
                <w:sz w:val="12"/>
                <w:szCs w:val="12"/>
              </w:rPr>
            </w:pPr>
            <w:r>
              <w:rPr>
                <w:rFonts w:ascii="Arial" w:hAnsi="Arial"/>
                <w:sz w:val="12"/>
                <w:szCs w:val="12"/>
              </w:rPr>
              <w:t>Navarredondilla</w:t>
            </w:r>
          </w:p>
        </w:tc>
      </w:tr>
      <w:tr w:rsidR="002A4DDF" w:rsidRPr="00937C8B" w14:paraId="50E64F02" w14:textId="77777777" w:rsidTr="00935676">
        <w:trPr>
          <w:cantSplit/>
        </w:trPr>
        <w:tc>
          <w:tcPr>
            <w:tcW w:w="1696" w:type="dxa"/>
            <w:tcBorders>
              <w:left w:val="single" w:sz="4" w:space="0" w:color="auto"/>
            </w:tcBorders>
            <w:shd w:val="clear" w:color="auto" w:fill="auto"/>
          </w:tcPr>
          <w:p w14:paraId="57DEDECF" w14:textId="77777777" w:rsidR="002A4DDF" w:rsidRPr="00937C8B" w:rsidRDefault="002A4DDF" w:rsidP="009110ED">
            <w:pPr>
              <w:rPr>
                <w:rFonts w:ascii="Arial" w:hAnsi="Arial" w:cs="Arial"/>
                <w:sz w:val="12"/>
                <w:szCs w:val="12"/>
              </w:rPr>
            </w:pPr>
          </w:p>
        </w:tc>
        <w:tc>
          <w:tcPr>
            <w:tcW w:w="1843" w:type="dxa"/>
            <w:shd w:val="clear" w:color="auto" w:fill="auto"/>
          </w:tcPr>
          <w:p w14:paraId="1C16A077" w14:textId="77777777" w:rsidR="002A4DDF" w:rsidRPr="00937C8B" w:rsidRDefault="002A4DDF" w:rsidP="009110ED">
            <w:pPr>
              <w:rPr>
                <w:rFonts w:ascii="Arial" w:hAnsi="Arial" w:cs="Arial"/>
                <w:sz w:val="12"/>
                <w:szCs w:val="12"/>
              </w:rPr>
            </w:pPr>
          </w:p>
        </w:tc>
        <w:tc>
          <w:tcPr>
            <w:tcW w:w="2268" w:type="dxa"/>
            <w:shd w:val="clear" w:color="auto" w:fill="F2F2F2"/>
            <w:hideMark/>
          </w:tcPr>
          <w:p w14:paraId="2B16B2F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0DCC7B6" w14:textId="77777777" w:rsidR="002A4DDF" w:rsidRPr="00937C8B" w:rsidRDefault="002A4DDF" w:rsidP="009110ED">
            <w:pPr>
              <w:rPr>
                <w:rFonts w:ascii="Arial" w:hAnsi="Arial" w:cs="Arial"/>
                <w:sz w:val="12"/>
                <w:szCs w:val="12"/>
              </w:rPr>
            </w:pPr>
            <w:r>
              <w:rPr>
                <w:rFonts w:ascii="Arial" w:hAnsi="Arial"/>
                <w:sz w:val="12"/>
                <w:szCs w:val="12"/>
              </w:rPr>
              <w:t>Navarrevisca</w:t>
            </w:r>
          </w:p>
        </w:tc>
      </w:tr>
      <w:tr w:rsidR="002A4DDF" w:rsidRPr="00937C8B" w14:paraId="63BF69B7" w14:textId="77777777" w:rsidTr="00935676">
        <w:trPr>
          <w:cantSplit/>
        </w:trPr>
        <w:tc>
          <w:tcPr>
            <w:tcW w:w="1696" w:type="dxa"/>
            <w:tcBorders>
              <w:left w:val="single" w:sz="4" w:space="0" w:color="auto"/>
            </w:tcBorders>
            <w:shd w:val="clear" w:color="auto" w:fill="auto"/>
          </w:tcPr>
          <w:p w14:paraId="2E71DAEA" w14:textId="77777777" w:rsidR="002A4DDF" w:rsidRPr="00937C8B" w:rsidRDefault="002A4DDF" w:rsidP="009110ED">
            <w:pPr>
              <w:rPr>
                <w:rFonts w:ascii="Arial" w:hAnsi="Arial" w:cs="Arial"/>
                <w:sz w:val="12"/>
                <w:szCs w:val="12"/>
              </w:rPr>
            </w:pPr>
          </w:p>
        </w:tc>
        <w:tc>
          <w:tcPr>
            <w:tcW w:w="1843" w:type="dxa"/>
            <w:shd w:val="clear" w:color="auto" w:fill="auto"/>
          </w:tcPr>
          <w:p w14:paraId="60E81F05" w14:textId="77777777" w:rsidR="002A4DDF" w:rsidRPr="00937C8B" w:rsidRDefault="002A4DDF" w:rsidP="009110ED">
            <w:pPr>
              <w:rPr>
                <w:rFonts w:ascii="Arial" w:hAnsi="Arial" w:cs="Arial"/>
                <w:sz w:val="12"/>
                <w:szCs w:val="12"/>
              </w:rPr>
            </w:pPr>
          </w:p>
        </w:tc>
        <w:tc>
          <w:tcPr>
            <w:tcW w:w="2268" w:type="dxa"/>
            <w:shd w:val="clear" w:color="auto" w:fill="F2F2F2"/>
            <w:hideMark/>
          </w:tcPr>
          <w:p w14:paraId="43FADEC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A406716" w14:textId="77777777" w:rsidR="002A4DDF" w:rsidRPr="00937C8B" w:rsidRDefault="002A4DDF" w:rsidP="009110ED">
            <w:pPr>
              <w:rPr>
                <w:rFonts w:ascii="Arial" w:hAnsi="Arial" w:cs="Arial"/>
                <w:sz w:val="12"/>
                <w:szCs w:val="12"/>
              </w:rPr>
            </w:pPr>
            <w:r>
              <w:rPr>
                <w:rFonts w:ascii="Arial" w:hAnsi="Arial"/>
                <w:sz w:val="12"/>
                <w:szCs w:val="12"/>
              </w:rPr>
              <w:t>Navatalgordo</w:t>
            </w:r>
          </w:p>
        </w:tc>
      </w:tr>
      <w:tr w:rsidR="002A4DDF" w:rsidRPr="00937C8B" w14:paraId="4958C8C6" w14:textId="77777777" w:rsidTr="00935676">
        <w:trPr>
          <w:cantSplit/>
        </w:trPr>
        <w:tc>
          <w:tcPr>
            <w:tcW w:w="1696" w:type="dxa"/>
            <w:tcBorders>
              <w:left w:val="single" w:sz="4" w:space="0" w:color="auto"/>
            </w:tcBorders>
            <w:shd w:val="clear" w:color="auto" w:fill="auto"/>
          </w:tcPr>
          <w:p w14:paraId="4147908F" w14:textId="77777777" w:rsidR="002A4DDF" w:rsidRPr="00937C8B" w:rsidRDefault="002A4DDF" w:rsidP="009110ED">
            <w:pPr>
              <w:rPr>
                <w:rFonts w:ascii="Arial" w:hAnsi="Arial" w:cs="Arial"/>
                <w:sz w:val="12"/>
                <w:szCs w:val="12"/>
              </w:rPr>
            </w:pPr>
          </w:p>
        </w:tc>
        <w:tc>
          <w:tcPr>
            <w:tcW w:w="1843" w:type="dxa"/>
            <w:shd w:val="clear" w:color="auto" w:fill="auto"/>
          </w:tcPr>
          <w:p w14:paraId="71819A2F" w14:textId="77777777" w:rsidR="002A4DDF" w:rsidRPr="00937C8B" w:rsidRDefault="002A4DDF" w:rsidP="009110ED">
            <w:pPr>
              <w:rPr>
                <w:rFonts w:ascii="Arial" w:hAnsi="Arial" w:cs="Arial"/>
                <w:sz w:val="12"/>
                <w:szCs w:val="12"/>
              </w:rPr>
            </w:pPr>
          </w:p>
        </w:tc>
        <w:tc>
          <w:tcPr>
            <w:tcW w:w="2268" w:type="dxa"/>
            <w:shd w:val="clear" w:color="auto" w:fill="F2F2F2"/>
            <w:hideMark/>
          </w:tcPr>
          <w:p w14:paraId="1404EDE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C281921" w14:textId="77777777" w:rsidR="002A4DDF" w:rsidRPr="00937C8B" w:rsidRDefault="002A4DDF" w:rsidP="009110ED">
            <w:pPr>
              <w:rPr>
                <w:rFonts w:ascii="Arial" w:hAnsi="Arial" w:cs="Arial"/>
                <w:sz w:val="12"/>
                <w:szCs w:val="12"/>
              </w:rPr>
            </w:pPr>
            <w:r>
              <w:rPr>
                <w:rFonts w:ascii="Arial" w:hAnsi="Arial"/>
                <w:sz w:val="12"/>
                <w:szCs w:val="12"/>
              </w:rPr>
              <w:t>Navatejares</w:t>
            </w:r>
          </w:p>
        </w:tc>
      </w:tr>
      <w:tr w:rsidR="002A4DDF" w:rsidRPr="00937C8B" w14:paraId="659DE44D" w14:textId="77777777" w:rsidTr="00935676">
        <w:trPr>
          <w:cantSplit/>
        </w:trPr>
        <w:tc>
          <w:tcPr>
            <w:tcW w:w="1696" w:type="dxa"/>
            <w:tcBorders>
              <w:left w:val="single" w:sz="4" w:space="0" w:color="auto"/>
            </w:tcBorders>
            <w:shd w:val="clear" w:color="auto" w:fill="auto"/>
          </w:tcPr>
          <w:p w14:paraId="6E1B4033" w14:textId="77777777" w:rsidR="002A4DDF" w:rsidRPr="00937C8B" w:rsidRDefault="002A4DDF" w:rsidP="009110ED">
            <w:pPr>
              <w:rPr>
                <w:rFonts w:ascii="Arial" w:hAnsi="Arial" w:cs="Arial"/>
                <w:sz w:val="12"/>
                <w:szCs w:val="12"/>
              </w:rPr>
            </w:pPr>
          </w:p>
        </w:tc>
        <w:tc>
          <w:tcPr>
            <w:tcW w:w="1843" w:type="dxa"/>
            <w:shd w:val="clear" w:color="auto" w:fill="auto"/>
          </w:tcPr>
          <w:p w14:paraId="267AD06D" w14:textId="77777777" w:rsidR="002A4DDF" w:rsidRPr="00937C8B" w:rsidRDefault="002A4DDF" w:rsidP="009110ED">
            <w:pPr>
              <w:rPr>
                <w:rFonts w:ascii="Arial" w:hAnsi="Arial" w:cs="Arial"/>
                <w:sz w:val="12"/>
                <w:szCs w:val="12"/>
              </w:rPr>
            </w:pPr>
          </w:p>
        </w:tc>
        <w:tc>
          <w:tcPr>
            <w:tcW w:w="2268" w:type="dxa"/>
            <w:shd w:val="clear" w:color="auto" w:fill="F2F2F2"/>
            <w:hideMark/>
          </w:tcPr>
          <w:p w14:paraId="509AAEA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92B1A54" w14:textId="77777777" w:rsidR="002A4DDF" w:rsidRPr="00937C8B" w:rsidRDefault="002A4DDF" w:rsidP="009110ED">
            <w:pPr>
              <w:rPr>
                <w:rFonts w:ascii="Arial" w:hAnsi="Arial" w:cs="Arial"/>
                <w:sz w:val="12"/>
                <w:szCs w:val="12"/>
              </w:rPr>
            </w:pPr>
            <w:r>
              <w:rPr>
                <w:rFonts w:ascii="Arial" w:hAnsi="Arial"/>
                <w:sz w:val="12"/>
                <w:szCs w:val="12"/>
              </w:rPr>
              <w:t>Neila de San Miguel</w:t>
            </w:r>
          </w:p>
        </w:tc>
      </w:tr>
      <w:tr w:rsidR="002A4DDF" w:rsidRPr="00937C8B" w14:paraId="20448CB6" w14:textId="77777777" w:rsidTr="00935676">
        <w:trPr>
          <w:cantSplit/>
        </w:trPr>
        <w:tc>
          <w:tcPr>
            <w:tcW w:w="1696" w:type="dxa"/>
            <w:tcBorders>
              <w:left w:val="single" w:sz="4" w:space="0" w:color="auto"/>
            </w:tcBorders>
            <w:shd w:val="clear" w:color="auto" w:fill="auto"/>
          </w:tcPr>
          <w:p w14:paraId="754C4B5D" w14:textId="77777777" w:rsidR="002A4DDF" w:rsidRPr="00937C8B" w:rsidRDefault="002A4DDF" w:rsidP="009110ED">
            <w:pPr>
              <w:rPr>
                <w:rFonts w:ascii="Arial" w:hAnsi="Arial" w:cs="Arial"/>
                <w:sz w:val="12"/>
                <w:szCs w:val="12"/>
              </w:rPr>
            </w:pPr>
          </w:p>
        </w:tc>
        <w:tc>
          <w:tcPr>
            <w:tcW w:w="1843" w:type="dxa"/>
            <w:shd w:val="clear" w:color="auto" w:fill="auto"/>
          </w:tcPr>
          <w:p w14:paraId="0AF4367C" w14:textId="77777777" w:rsidR="002A4DDF" w:rsidRPr="00937C8B" w:rsidRDefault="002A4DDF" w:rsidP="009110ED">
            <w:pPr>
              <w:rPr>
                <w:rFonts w:ascii="Arial" w:hAnsi="Arial" w:cs="Arial"/>
                <w:sz w:val="12"/>
                <w:szCs w:val="12"/>
              </w:rPr>
            </w:pPr>
          </w:p>
        </w:tc>
        <w:tc>
          <w:tcPr>
            <w:tcW w:w="2268" w:type="dxa"/>
            <w:shd w:val="clear" w:color="auto" w:fill="F2F2F2"/>
            <w:hideMark/>
          </w:tcPr>
          <w:p w14:paraId="55DAE4B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9857775" w14:textId="77777777" w:rsidR="002A4DDF" w:rsidRPr="00937C8B" w:rsidRDefault="002A4DDF" w:rsidP="009110ED">
            <w:pPr>
              <w:rPr>
                <w:rFonts w:ascii="Arial" w:hAnsi="Arial" w:cs="Arial"/>
                <w:sz w:val="12"/>
                <w:szCs w:val="12"/>
              </w:rPr>
            </w:pPr>
            <w:r>
              <w:rPr>
                <w:rFonts w:ascii="Arial" w:hAnsi="Arial"/>
                <w:sz w:val="12"/>
                <w:szCs w:val="12"/>
              </w:rPr>
              <w:t>Ojos-Albos</w:t>
            </w:r>
          </w:p>
        </w:tc>
      </w:tr>
      <w:tr w:rsidR="002A4DDF" w:rsidRPr="00937C8B" w14:paraId="23480675" w14:textId="77777777" w:rsidTr="00935676">
        <w:trPr>
          <w:cantSplit/>
        </w:trPr>
        <w:tc>
          <w:tcPr>
            <w:tcW w:w="1696" w:type="dxa"/>
            <w:tcBorders>
              <w:left w:val="single" w:sz="4" w:space="0" w:color="auto"/>
            </w:tcBorders>
            <w:shd w:val="clear" w:color="auto" w:fill="auto"/>
          </w:tcPr>
          <w:p w14:paraId="00D6E75B" w14:textId="77777777" w:rsidR="002A4DDF" w:rsidRPr="00937C8B" w:rsidRDefault="002A4DDF" w:rsidP="009110ED">
            <w:pPr>
              <w:rPr>
                <w:rFonts w:ascii="Arial" w:hAnsi="Arial" w:cs="Arial"/>
                <w:sz w:val="12"/>
                <w:szCs w:val="12"/>
              </w:rPr>
            </w:pPr>
          </w:p>
        </w:tc>
        <w:tc>
          <w:tcPr>
            <w:tcW w:w="1843" w:type="dxa"/>
            <w:shd w:val="clear" w:color="auto" w:fill="auto"/>
          </w:tcPr>
          <w:p w14:paraId="4F763B3D" w14:textId="77777777" w:rsidR="002A4DDF" w:rsidRPr="00937C8B" w:rsidRDefault="002A4DDF" w:rsidP="009110ED">
            <w:pPr>
              <w:rPr>
                <w:rFonts w:ascii="Arial" w:hAnsi="Arial" w:cs="Arial"/>
                <w:sz w:val="12"/>
                <w:szCs w:val="12"/>
              </w:rPr>
            </w:pPr>
          </w:p>
        </w:tc>
        <w:tc>
          <w:tcPr>
            <w:tcW w:w="2268" w:type="dxa"/>
            <w:shd w:val="clear" w:color="auto" w:fill="F2F2F2"/>
            <w:hideMark/>
          </w:tcPr>
          <w:p w14:paraId="05CB814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B2C7316" w14:textId="77777777" w:rsidR="002A4DDF" w:rsidRPr="00937C8B" w:rsidRDefault="002A4DDF" w:rsidP="009110ED">
            <w:pPr>
              <w:rPr>
                <w:rFonts w:ascii="Arial" w:hAnsi="Arial" w:cs="Arial"/>
                <w:sz w:val="12"/>
                <w:szCs w:val="12"/>
              </w:rPr>
            </w:pPr>
            <w:r>
              <w:rPr>
                <w:rFonts w:ascii="Arial" w:hAnsi="Arial"/>
                <w:sz w:val="12"/>
                <w:szCs w:val="12"/>
              </w:rPr>
              <w:t>Pascualcobo</w:t>
            </w:r>
          </w:p>
        </w:tc>
      </w:tr>
      <w:tr w:rsidR="002A4DDF" w:rsidRPr="00937C8B" w14:paraId="25E2DB92" w14:textId="77777777" w:rsidTr="00935676">
        <w:trPr>
          <w:cantSplit/>
        </w:trPr>
        <w:tc>
          <w:tcPr>
            <w:tcW w:w="1696" w:type="dxa"/>
            <w:tcBorders>
              <w:left w:val="single" w:sz="4" w:space="0" w:color="auto"/>
            </w:tcBorders>
            <w:shd w:val="clear" w:color="auto" w:fill="auto"/>
          </w:tcPr>
          <w:p w14:paraId="1D2C8CE6" w14:textId="77777777" w:rsidR="002A4DDF" w:rsidRPr="00937C8B" w:rsidRDefault="002A4DDF" w:rsidP="009110ED">
            <w:pPr>
              <w:rPr>
                <w:rFonts w:ascii="Arial" w:hAnsi="Arial" w:cs="Arial"/>
                <w:sz w:val="12"/>
                <w:szCs w:val="12"/>
              </w:rPr>
            </w:pPr>
          </w:p>
        </w:tc>
        <w:tc>
          <w:tcPr>
            <w:tcW w:w="1843" w:type="dxa"/>
            <w:shd w:val="clear" w:color="auto" w:fill="auto"/>
          </w:tcPr>
          <w:p w14:paraId="51261797" w14:textId="77777777" w:rsidR="002A4DDF" w:rsidRPr="00937C8B" w:rsidRDefault="002A4DDF" w:rsidP="009110ED">
            <w:pPr>
              <w:rPr>
                <w:rFonts w:ascii="Arial" w:hAnsi="Arial" w:cs="Arial"/>
                <w:sz w:val="12"/>
                <w:szCs w:val="12"/>
              </w:rPr>
            </w:pPr>
          </w:p>
        </w:tc>
        <w:tc>
          <w:tcPr>
            <w:tcW w:w="2268" w:type="dxa"/>
            <w:shd w:val="clear" w:color="auto" w:fill="F2F2F2"/>
            <w:hideMark/>
          </w:tcPr>
          <w:p w14:paraId="3D63D2F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9A263FE" w14:textId="77777777" w:rsidR="002A4DDF" w:rsidRPr="00937C8B" w:rsidRDefault="002A4DDF" w:rsidP="009110ED">
            <w:pPr>
              <w:rPr>
                <w:rFonts w:ascii="Arial" w:hAnsi="Arial" w:cs="Arial"/>
                <w:sz w:val="12"/>
                <w:szCs w:val="12"/>
              </w:rPr>
            </w:pPr>
            <w:r>
              <w:rPr>
                <w:rFonts w:ascii="Arial" w:hAnsi="Arial"/>
                <w:sz w:val="12"/>
                <w:szCs w:val="12"/>
              </w:rPr>
              <w:t>Pedro Bernardo</w:t>
            </w:r>
          </w:p>
        </w:tc>
      </w:tr>
      <w:tr w:rsidR="002A4DDF" w:rsidRPr="00937C8B" w14:paraId="7EDE51C6" w14:textId="77777777" w:rsidTr="00935676">
        <w:trPr>
          <w:cantSplit/>
        </w:trPr>
        <w:tc>
          <w:tcPr>
            <w:tcW w:w="1696" w:type="dxa"/>
            <w:tcBorders>
              <w:left w:val="single" w:sz="4" w:space="0" w:color="auto"/>
            </w:tcBorders>
            <w:shd w:val="clear" w:color="auto" w:fill="auto"/>
          </w:tcPr>
          <w:p w14:paraId="0B0E30C8" w14:textId="77777777" w:rsidR="002A4DDF" w:rsidRPr="00937C8B" w:rsidRDefault="002A4DDF" w:rsidP="009110ED">
            <w:pPr>
              <w:rPr>
                <w:rFonts w:ascii="Arial" w:hAnsi="Arial" w:cs="Arial"/>
                <w:sz w:val="12"/>
                <w:szCs w:val="12"/>
              </w:rPr>
            </w:pPr>
          </w:p>
        </w:tc>
        <w:tc>
          <w:tcPr>
            <w:tcW w:w="1843" w:type="dxa"/>
            <w:shd w:val="clear" w:color="auto" w:fill="auto"/>
          </w:tcPr>
          <w:p w14:paraId="3A7219BC" w14:textId="77777777" w:rsidR="002A4DDF" w:rsidRPr="00937C8B" w:rsidRDefault="002A4DDF" w:rsidP="009110ED">
            <w:pPr>
              <w:rPr>
                <w:rFonts w:ascii="Arial" w:hAnsi="Arial" w:cs="Arial"/>
                <w:sz w:val="12"/>
                <w:szCs w:val="12"/>
              </w:rPr>
            </w:pPr>
          </w:p>
        </w:tc>
        <w:tc>
          <w:tcPr>
            <w:tcW w:w="2268" w:type="dxa"/>
            <w:shd w:val="clear" w:color="auto" w:fill="F2F2F2"/>
            <w:hideMark/>
          </w:tcPr>
          <w:p w14:paraId="46521A2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6C28111" w14:textId="77777777" w:rsidR="002A4DDF" w:rsidRPr="00937C8B" w:rsidRDefault="002A4DDF" w:rsidP="009110ED">
            <w:pPr>
              <w:rPr>
                <w:rFonts w:ascii="Arial" w:hAnsi="Arial" w:cs="Arial"/>
                <w:sz w:val="12"/>
                <w:szCs w:val="12"/>
              </w:rPr>
            </w:pPr>
            <w:r>
              <w:rPr>
                <w:rFonts w:ascii="Arial" w:hAnsi="Arial"/>
                <w:sz w:val="12"/>
                <w:szCs w:val="12"/>
              </w:rPr>
              <w:t>Peguerinos</w:t>
            </w:r>
          </w:p>
        </w:tc>
      </w:tr>
      <w:tr w:rsidR="002A4DDF" w:rsidRPr="00937C8B" w14:paraId="55127C4B" w14:textId="77777777" w:rsidTr="00935676">
        <w:trPr>
          <w:cantSplit/>
        </w:trPr>
        <w:tc>
          <w:tcPr>
            <w:tcW w:w="1696" w:type="dxa"/>
            <w:tcBorders>
              <w:left w:val="single" w:sz="4" w:space="0" w:color="auto"/>
            </w:tcBorders>
            <w:shd w:val="clear" w:color="auto" w:fill="auto"/>
          </w:tcPr>
          <w:p w14:paraId="31F408A6" w14:textId="77777777" w:rsidR="002A4DDF" w:rsidRPr="00937C8B" w:rsidRDefault="002A4DDF" w:rsidP="009110ED">
            <w:pPr>
              <w:rPr>
                <w:rFonts w:ascii="Arial" w:hAnsi="Arial" w:cs="Arial"/>
                <w:sz w:val="12"/>
                <w:szCs w:val="12"/>
              </w:rPr>
            </w:pPr>
          </w:p>
        </w:tc>
        <w:tc>
          <w:tcPr>
            <w:tcW w:w="1843" w:type="dxa"/>
            <w:shd w:val="clear" w:color="auto" w:fill="auto"/>
          </w:tcPr>
          <w:p w14:paraId="79FC9B8C" w14:textId="77777777" w:rsidR="002A4DDF" w:rsidRPr="00937C8B" w:rsidRDefault="002A4DDF" w:rsidP="009110ED">
            <w:pPr>
              <w:rPr>
                <w:rFonts w:ascii="Arial" w:hAnsi="Arial" w:cs="Arial"/>
                <w:sz w:val="12"/>
                <w:szCs w:val="12"/>
              </w:rPr>
            </w:pPr>
          </w:p>
        </w:tc>
        <w:tc>
          <w:tcPr>
            <w:tcW w:w="2268" w:type="dxa"/>
            <w:shd w:val="clear" w:color="auto" w:fill="F2F2F2"/>
            <w:hideMark/>
          </w:tcPr>
          <w:p w14:paraId="6AE8427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B4BC6B2" w14:textId="77777777" w:rsidR="002A4DDF" w:rsidRPr="00937C8B" w:rsidRDefault="002A4DDF" w:rsidP="009110ED">
            <w:pPr>
              <w:rPr>
                <w:rFonts w:ascii="Arial" w:hAnsi="Arial" w:cs="Arial"/>
                <w:sz w:val="12"/>
                <w:szCs w:val="12"/>
              </w:rPr>
            </w:pPr>
            <w:r>
              <w:rPr>
                <w:rFonts w:ascii="Arial" w:hAnsi="Arial"/>
                <w:sz w:val="12"/>
                <w:szCs w:val="12"/>
              </w:rPr>
              <w:t>Piedrahíta</w:t>
            </w:r>
          </w:p>
        </w:tc>
      </w:tr>
      <w:tr w:rsidR="002A4DDF" w:rsidRPr="00937C8B" w14:paraId="0DDD71F1" w14:textId="77777777" w:rsidTr="00935676">
        <w:trPr>
          <w:cantSplit/>
        </w:trPr>
        <w:tc>
          <w:tcPr>
            <w:tcW w:w="1696" w:type="dxa"/>
            <w:tcBorders>
              <w:left w:val="single" w:sz="4" w:space="0" w:color="auto"/>
            </w:tcBorders>
            <w:shd w:val="clear" w:color="auto" w:fill="auto"/>
          </w:tcPr>
          <w:p w14:paraId="41373D29" w14:textId="77777777" w:rsidR="002A4DDF" w:rsidRPr="00937C8B" w:rsidRDefault="002A4DDF" w:rsidP="009110ED">
            <w:pPr>
              <w:rPr>
                <w:rFonts w:ascii="Arial" w:hAnsi="Arial" w:cs="Arial"/>
                <w:sz w:val="12"/>
                <w:szCs w:val="12"/>
              </w:rPr>
            </w:pPr>
          </w:p>
        </w:tc>
        <w:tc>
          <w:tcPr>
            <w:tcW w:w="1843" w:type="dxa"/>
            <w:shd w:val="clear" w:color="auto" w:fill="auto"/>
          </w:tcPr>
          <w:p w14:paraId="7F3227A8" w14:textId="77777777" w:rsidR="002A4DDF" w:rsidRPr="00937C8B" w:rsidRDefault="002A4DDF" w:rsidP="009110ED">
            <w:pPr>
              <w:rPr>
                <w:rFonts w:ascii="Arial" w:hAnsi="Arial" w:cs="Arial"/>
                <w:sz w:val="12"/>
                <w:szCs w:val="12"/>
              </w:rPr>
            </w:pPr>
          </w:p>
        </w:tc>
        <w:tc>
          <w:tcPr>
            <w:tcW w:w="2268" w:type="dxa"/>
            <w:shd w:val="clear" w:color="auto" w:fill="F2F2F2"/>
            <w:hideMark/>
          </w:tcPr>
          <w:p w14:paraId="4228491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E8921AB" w14:textId="77777777" w:rsidR="002A4DDF" w:rsidRPr="00937C8B" w:rsidRDefault="002A4DDF" w:rsidP="009110ED">
            <w:pPr>
              <w:rPr>
                <w:rFonts w:ascii="Arial" w:hAnsi="Arial" w:cs="Arial"/>
                <w:sz w:val="12"/>
                <w:szCs w:val="12"/>
              </w:rPr>
            </w:pPr>
            <w:r>
              <w:rPr>
                <w:rFonts w:ascii="Arial" w:hAnsi="Arial"/>
                <w:sz w:val="12"/>
                <w:szCs w:val="12"/>
              </w:rPr>
              <w:t>Piedralaves</w:t>
            </w:r>
          </w:p>
        </w:tc>
      </w:tr>
      <w:tr w:rsidR="002A4DDF" w:rsidRPr="00937C8B" w14:paraId="35331BE3" w14:textId="77777777" w:rsidTr="00935676">
        <w:trPr>
          <w:cantSplit/>
        </w:trPr>
        <w:tc>
          <w:tcPr>
            <w:tcW w:w="1696" w:type="dxa"/>
            <w:tcBorders>
              <w:left w:val="single" w:sz="4" w:space="0" w:color="auto"/>
            </w:tcBorders>
            <w:shd w:val="clear" w:color="auto" w:fill="auto"/>
          </w:tcPr>
          <w:p w14:paraId="0368F5B5" w14:textId="77777777" w:rsidR="002A4DDF" w:rsidRPr="00937C8B" w:rsidRDefault="002A4DDF" w:rsidP="009110ED">
            <w:pPr>
              <w:rPr>
                <w:rFonts w:ascii="Arial" w:hAnsi="Arial" w:cs="Arial"/>
                <w:sz w:val="12"/>
                <w:szCs w:val="12"/>
              </w:rPr>
            </w:pPr>
          </w:p>
        </w:tc>
        <w:tc>
          <w:tcPr>
            <w:tcW w:w="1843" w:type="dxa"/>
            <w:shd w:val="clear" w:color="auto" w:fill="auto"/>
          </w:tcPr>
          <w:p w14:paraId="6CA6DB58" w14:textId="77777777" w:rsidR="002A4DDF" w:rsidRPr="00937C8B" w:rsidRDefault="002A4DDF" w:rsidP="009110ED">
            <w:pPr>
              <w:rPr>
                <w:rFonts w:ascii="Arial" w:hAnsi="Arial" w:cs="Arial"/>
                <w:sz w:val="12"/>
                <w:szCs w:val="12"/>
              </w:rPr>
            </w:pPr>
          </w:p>
        </w:tc>
        <w:tc>
          <w:tcPr>
            <w:tcW w:w="2268" w:type="dxa"/>
            <w:shd w:val="clear" w:color="auto" w:fill="F2F2F2"/>
            <w:hideMark/>
          </w:tcPr>
          <w:p w14:paraId="5839C0D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AA709E3" w14:textId="77777777" w:rsidR="002A4DDF" w:rsidRPr="00937C8B" w:rsidRDefault="002A4DDF" w:rsidP="009110ED">
            <w:pPr>
              <w:rPr>
                <w:rFonts w:ascii="Arial" w:hAnsi="Arial" w:cs="Arial"/>
                <w:sz w:val="12"/>
                <w:szCs w:val="12"/>
              </w:rPr>
            </w:pPr>
            <w:r>
              <w:rPr>
                <w:rFonts w:ascii="Arial" w:hAnsi="Arial"/>
                <w:sz w:val="12"/>
                <w:szCs w:val="12"/>
              </w:rPr>
              <w:t>Poveda</w:t>
            </w:r>
          </w:p>
        </w:tc>
      </w:tr>
      <w:tr w:rsidR="002A4DDF" w:rsidRPr="00937C8B" w14:paraId="79190C7A" w14:textId="77777777" w:rsidTr="00935676">
        <w:trPr>
          <w:cantSplit/>
        </w:trPr>
        <w:tc>
          <w:tcPr>
            <w:tcW w:w="1696" w:type="dxa"/>
            <w:tcBorders>
              <w:left w:val="single" w:sz="4" w:space="0" w:color="auto"/>
            </w:tcBorders>
            <w:shd w:val="clear" w:color="auto" w:fill="auto"/>
          </w:tcPr>
          <w:p w14:paraId="04C1A5D1" w14:textId="77777777" w:rsidR="002A4DDF" w:rsidRPr="00937C8B" w:rsidRDefault="002A4DDF" w:rsidP="009110ED">
            <w:pPr>
              <w:rPr>
                <w:rFonts w:ascii="Arial" w:hAnsi="Arial" w:cs="Arial"/>
                <w:sz w:val="12"/>
                <w:szCs w:val="12"/>
              </w:rPr>
            </w:pPr>
          </w:p>
        </w:tc>
        <w:tc>
          <w:tcPr>
            <w:tcW w:w="1843" w:type="dxa"/>
            <w:shd w:val="clear" w:color="auto" w:fill="auto"/>
          </w:tcPr>
          <w:p w14:paraId="1402E7F2" w14:textId="77777777" w:rsidR="002A4DDF" w:rsidRPr="00937C8B" w:rsidRDefault="002A4DDF" w:rsidP="009110ED">
            <w:pPr>
              <w:rPr>
                <w:rFonts w:ascii="Arial" w:hAnsi="Arial" w:cs="Arial"/>
                <w:sz w:val="12"/>
                <w:szCs w:val="12"/>
              </w:rPr>
            </w:pPr>
          </w:p>
        </w:tc>
        <w:tc>
          <w:tcPr>
            <w:tcW w:w="2268" w:type="dxa"/>
            <w:shd w:val="clear" w:color="auto" w:fill="F2F2F2"/>
            <w:hideMark/>
          </w:tcPr>
          <w:p w14:paraId="4E88D80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2D539D8" w14:textId="77777777" w:rsidR="002A4DDF" w:rsidRPr="00937C8B" w:rsidRDefault="002A4DDF" w:rsidP="009110ED">
            <w:pPr>
              <w:rPr>
                <w:rFonts w:ascii="Arial" w:hAnsi="Arial" w:cs="Arial"/>
                <w:sz w:val="12"/>
                <w:szCs w:val="12"/>
              </w:rPr>
            </w:pPr>
            <w:r>
              <w:rPr>
                <w:rFonts w:ascii="Arial" w:hAnsi="Arial"/>
                <w:sz w:val="12"/>
                <w:szCs w:val="12"/>
              </w:rPr>
              <w:t>Poyales del Hoyo</w:t>
            </w:r>
          </w:p>
        </w:tc>
      </w:tr>
      <w:tr w:rsidR="002A4DDF" w:rsidRPr="00937C8B" w14:paraId="52818BCB" w14:textId="77777777" w:rsidTr="00935676">
        <w:trPr>
          <w:cantSplit/>
        </w:trPr>
        <w:tc>
          <w:tcPr>
            <w:tcW w:w="1696" w:type="dxa"/>
            <w:tcBorders>
              <w:left w:val="single" w:sz="4" w:space="0" w:color="auto"/>
            </w:tcBorders>
            <w:shd w:val="clear" w:color="auto" w:fill="auto"/>
          </w:tcPr>
          <w:p w14:paraId="51008BA5" w14:textId="77777777" w:rsidR="002A4DDF" w:rsidRPr="00937C8B" w:rsidRDefault="002A4DDF" w:rsidP="009110ED">
            <w:pPr>
              <w:rPr>
                <w:rFonts w:ascii="Arial" w:hAnsi="Arial" w:cs="Arial"/>
                <w:sz w:val="12"/>
                <w:szCs w:val="12"/>
              </w:rPr>
            </w:pPr>
          </w:p>
        </w:tc>
        <w:tc>
          <w:tcPr>
            <w:tcW w:w="1843" w:type="dxa"/>
            <w:shd w:val="clear" w:color="auto" w:fill="auto"/>
          </w:tcPr>
          <w:p w14:paraId="1CFA255D" w14:textId="77777777" w:rsidR="002A4DDF" w:rsidRPr="00937C8B" w:rsidRDefault="002A4DDF" w:rsidP="009110ED">
            <w:pPr>
              <w:rPr>
                <w:rFonts w:ascii="Arial" w:hAnsi="Arial" w:cs="Arial"/>
                <w:sz w:val="12"/>
                <w:szCs w:val="12"/>
              </w:rPr>
            </w:pPr>
          </w:p>
        </w:tc>
        <w:tc>
          <w:tcPr>
            <w:tcW w:w="2268" w:type="dxa"/>
            <w:shd w:val="clear" w:color="auto" w:fill="F2F2F2"/>
            <w:hideMark/>
          </w:tcPr>
          <w:p w14:paraId="4378344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57988C9" w14:textId="77777777" w:rsidR="002A4DDF" w:rsidRPr="00937C8B" w:rsidRDefault="002A4DDF" w:rsidP="009110ED">
            <w:pPr>
              <w:rPr>
                <w:rFonts w:ascii="Arial" w:hAnsi="Arial" w:cs="Arial"/>
                <w:sz w:val="12"/>
                <w:szCs w:val="12"/>
              </w:rPr>
            </w:pPr>
            <w:r>
              <w:rPr>
                <w:rFonts w:ascii="Arial" w:hAnsi="Arial"/>
                <w:sz w:val="12"/>
                <w:szCs w:val="12"/>
              </w:rPr>
              <w:t>Pradosegar</w:t>
            </w:r>
          </w:p>
        </w:tc>
      </w:tr>
      <w:tr w:rsidR="002A4DDF" w:rsidRPr="00937C8B" w14:paraId="00AFF212" w14:textId="77777777" w:rsidTr="00935676">
        <w:trPr>
          <w:cantSplit/>
        </w:trPr>
        <w:tc>
          <w:tcPr>
            <w:tcW w:w="1696" w:type="dxa"/>
            <w:tcBorders>
              <w:left w:val="single" w:sz="4" w:space="0" w:color="auto"/>
            </w:tcBorders>
            <w:shd w:val="clear" w:color="auto" w:fill="auto"/>
          </w:tcPr>
          <w:p w14:paraId="4EDCBF7D" w14:textId="77777777" w:rsidR="002A4DDF" w:rsidRPr="00937C8B" w:rsidRDefault="002A4DDF" w:rsidP="009110ED">
            <w:pPr>
              <w:rPr>
                <w:rFonts w:ascii="Arial" w:hAnsi="Arial" w:cs="Arial"/>
                <w:sz w:val="12"/>
                <w:szCs w:val="12"/>
              </w:rPr>
            </w:pPr>
          </w:p>
        </w:tc>
        <w:tc>
          <w:tcPr>
            <w:tcW w:w="1843" w:type="dxa"/>
            <w:shd w:val="clear" w:color="auto" w:fill="auto"/>
          </w:tcPr>
          <w:p w14:paraId="05AB08F6" w14:textId="77777777" w:rsidR="002A4DDF" w:rsidRPr="00937C8B" w:rsidRDefault="002A4DDF" w:rsidP="009110ED">
            <w:pPr>
              <w:rPr>
                <w:rFonts w:ascii="Arial" w:hAnsi="Arial" w:cs="Arial"/>
                <w:sz w:val="12"/>
                <w:szCs w:val="12"/>
              </w:rPr>
            </w:pPr>
          </w:p>
        </w:tc>
        <w:tc>
          <w:tcPr>
            <w:tcW w:w="2268" w:type="dxa"/>
            <w:shd w:val="clear" w:color="auto" w:fill="F2F2F2"/>
            <w:hideMark/>
          </w:tcPr>
          <w:p w14:paraId="0D83841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96EF4BF" w14:textId="77777777" w:rsidR="002A4DDF" w:rsidRPr="00937C8B" w:rsidRDefault="002A4DDF" w:rsidP="009110ED">
            <w:pPr>
              <w:rPr>
                <w:rFonts w:ascii="Arial" w:hAnsi="Arial" w:cs="Arial"/>
                <w:sz w:val="12"/>
                <w:szCs w:val="12"/>
              </w:rPr>
            </w:pPr>
            <w:r>
              <w:rPr>
                <w:rFonts w:ascii="Arial" w:hAnsi="Arial"/>
                <w:sz w:val="12"/>
                <w:szCs w:val="12"/>
              </w:rPr>
              <w:t>Puerto Castilla</w:t>
            </w:r>
          </w:p>
        </w:tc>
      </w:tr>
      <w:tr w:rsidR="002A4DDF" w:rsidRPr="00937C8B" w14:paraId="4BD52EA4" w14:textId="77777777" w:rsidTr="00935676">
        <w:trPr>
          <w:cantSplit/>
        </w:trPr>
        <w:tc>
          <w:tcPr>
            <w:tcW w:w="1696" w:type="dxa"/>
            <w:tcBorders>
              <w:left w:val="single" w:sz="4" w:space="0" w:color="auto"/>
            </w:tcBorders>
            <w:shd w:val="clear" w:color="auto" w:fill="auto"/>
          </w:tcPr>
          <w:p w14:paraId="78E6563B" w14:textId="77777777" w:rsidR="002A4DDF" w:rsidRPr="00937C8B" w:rsidRDefault="002A4DDF" w:rsidP="009110ED">
            <w:pPr>
              <w:rPr>
                <w:rFonts w:ascii="Arial" w:hAnsi="Arial" w:cs="Arial"/>
                <w:sz w:val="12"/>
                <w:szCs w:val="12"/>
              </w:rPr>
            </w:pPr>
          </w:p>
        </w:tc>
        <w:tc>
          <w:tcPr>
            <w:tcW w:w="1843" w:type="dxa"/>
            <w:shd w:val="clear" w:color="auto" w:fill="auto"/>
          </w:tcPr>
          <w:p w14:paraId="37871065" w14:textId="77777777" w:rsidR="002A4DDF" w:rsidRPr="00937C8B" w:rsidRDefault="002A4DDF" w:rsidP="009110ED">
            <w:pPr>
              <w:rPr>
                <w:rFonts w:ascii="Arial" w:hAnsi="Arial" w:cs="Arial"/>
                <w:sz w:val="12"/>
                <w:szCs w:val="12"/>
              </w:rPr>
            </w:pPr>
          </w:p>
        </w:tc>
        <w:tc>
          <w:tcPr>
            <w:tcW w:w="2268" w:type="dxa"/>
            <w:shd w:val="clear" w:color="auto" w:fill="F2F2F2"/>
            <w:hideMark/>
          </w:tcPr>
          <w:p w14:paraId="538CB48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7F77876" w14:textId="77777777" w:rsidR="002A4DDF" w:rsidRPr="00937C8B" w:rsidRDefault="002A4DDF" w:rsidP="009110ED">
            <w:pPr>
              <w:rPr>
                <w:rFonts w:ascii="Arial" w:hAnsi="Arial" w:cs="Arial"/>
                <w:sz w:val="12"/>
                <w:szCs w:val="12"/>
              </w:rPr>
            </w:pPr>
            <w:r>
              <w:rPr>
                <w:rFonts w:ascii="Arial" w:hAnsi="Arial"/>
                <w:sz w:val="12"/>
                <w:szCs w:val="12"/>
              </w:rPr>
              <w:t>Riofrío</w:t>
            </w:r>
          </w:p>
        </w:tc>
      </w:tr>
      <w:tr w:rsidR="002A4DDF" w:rsidRPr="00937C8B" w14:paraId="6002C52B" w14:textId="77777777" w:rsidTr="00935676">
        <w:trPr>
          <w:cantSplit/>
        </w:trPr>
        <w:tc>
          <w:tcPr>
            <w:tcW w:w="1696" w:type="dxa"/>
            <w:tcBorders>
              <w:left w:val="single" w:sz="4" w:space="0" w:color="auto"/>
            </w:tcBorders>
            <w:shd w:val="clear" w:color="auto" w:fill="auto"/>
          </w:tcPr>
          <w:p w14:paraId="4C6B395F" w14:textId="77777777" w:rsidR="002A4DDF" w:rsidRPr="00937C8B" w:rsidRDefault="002A4DDF" w:rsidP="009110ED">
            <w:pPr>
              <w:rPr>
                <w:rFonts w:ascii="Arial" w:hAnsi="Arial" w:cs="Arial"/>
                <w:sz w:val="12"/>
                <w:szCs w:val="12"/>
              </w:rPr>
            </w:pPr>
          </w:p>
        </w:tc>
        <w:tc>
          <w:tcPr>
            <w:tcW w:w="1843" w:type="dxa"/>
            <w:shd w:val="clear" w:color="auto" w:fill="auto"/>
          </w:tcPr>
          <w:p w14:paraId="4884CBA6" w14:textId="77777777" w:rsidR="002A4DDF" w:rsidRPr="00937C8B" w:rsidRDefault="002A4DDF" w:rsidP="009110ED">
            <w:pPr>
              <w:rPr>
                <w:rFonts w:ascii="Arial" w:hAnsi="Arial" w:cs="Arial"/>
                <w:sz w:val="12"/>
                <w:szCs w:val="12"/>
              </w:rPr>
            </w:pPr>
          </w:p>
        </w:tc>
        <w:tc>
          <w:tcPr>
            <w:tcW w:w="2268" w:type="dxa"/>
            <w:shd w:val="clear" w:color="auto" w:fill="F2F2F2"/>
            <w:hideMark/>
          </w:tcPr>
          <w:p w14:paraId="29858CD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379501B" w14:textId="77777777" w:rsidR="002A4DDF" w:rsidRPr="00937C8B" w:rsidRDefault="002A4DDF" w:rsidP="009110ED">
            <w:pPr>
              <w:rPr>
                <w:rFonts w:ascii="Arial" w:hAnsi="Arial" w:cs="Arial"/>
                <w:sz w:val="12"/>
                <w:szCs w:val="12"/>
              </w:rPr>
            </w:pPr>
            <w:r>
              <w:rPr>
                <w:rFonts w:ascii="Arial" w:hAnsi="Arial"/>
                <w:sz w:val="12"/>
                <w:szCs w:val="12"/>
              </w:rPr>
              <w:t>San Bartolomé de Béjar</w:t>
            </w:r>
          </w:p>
        </w:tc>
      </w:tr>
      <w:tr w:rsidR="002A4DDF" w:rsidRPr="00937C8B" w14:paraId="0EE02F38" w14:textId="77777777" w:rsidTr="00935676">
        <w:trPr>
          <w:cantSplit/>
        </w:trPr>
        <w:tc>
          <w:tcPr>
            <w:tcW w:w="1696" w:type="dxa"/>
            <w:tcBorders>
              <w:left w:val="single" w:sz="4" w:space="0" w:color="auto"/>
            </w:tcBorders>
            <w:shd w:val="clear" w:color="auto" w:fill="auto"/>
          </w:tcPr>
          <w:p w14:paraId="6552E6A6" w14:textId="77777777" w:rsidR="002A4DDF" w:rsidRPr="00937C8B" w:rsidRDefault="002A4DDF" w:rsidP="009110ED">
            <w:pPr>
              <w:rPr>
                <w:rFonts w:ascii="Arial" w:hAnsi="Arial" w:cs="Arial"/>
                <w:sz w:val="12"/>
                <w:szCs w:val="12"/>
              </w:rPr>
            </w:pPr>
          </w:p>
        </w:tc>
        <w:tc>
          <w:tcPr>
            <w:tcW w:w="1843" w:type="dxa"/>
            <w:shd w:val="clear" w:color="auto" w:fill="auto"/>
          </w:tcPr>
          <w:p w14:paraId="38675AF4" w14:textId="77777777" w:rsidR="002A4DDF" w:rsidRPr="00937C8B" w:rsidRDefault="002A4DDF" w:rsidP="009110ED">
            <w:pPr>
              <w:rPr>
                <w:rFonts w:ascii="Arial" w:hAnsi="Arial" w:cs="Arial"/>
                <w:sz w:val="12"/>
                <w:szCs w:val="12"/>
              </w:rPr>
            </w:pPr>
          </w:p>
        </w:tc>
        <w:tc>
          <w:tcPr>
            <w:tcW w:w="2268" w:type="dxa"/>
            <w:shd w:val="clear" w:color="auto" w:fill="F2F2F2"/>
            <w:hideMark/>
          </w:tcPr>
          <w:p w14:paraId="701904A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AD4557C" w14:textId="77777777" w:rsidR="002A4DDF" w:rsidRPr="00937C8B" w:rsidRDefault="002A4DDF" w:rsidP="009110ED">
            <w:pPr>
              <w:rPr>
                <w:rFonts w:ascii="Arial" w:hAnsi="Arial" w:cs="Arial"/>
                <w:sz w:val="12"/>
                <w:szCs w:val="12"/>
              </w:rPr>
            </w:pPr>
            <w:r>
              <w:rPr>
                <w:rFonts w:ascii="Arial" w:hAnsi="Arial"/>
                <w:sz w:val="12"/>
                <w:szCs w:val="12"/>
              </w:rPr>
              <w:t>San Bartolomé de Pinares</w:t>
            </w:r>
          </w:p>
        </w:tc>
      </w:tr>
      <w:tr w:rsidR="002A4DDF" w:rsidRPr="00937C8B" w14:paraId="7ED0AAF2" w14:textId="77777777" w:rsidTr="00935676">
        <w:trPr>
          <w:cantSplit/>
        </w:trPr>
        <w:tc>
          <w:tcPr>
            <w:tcW w:w="1696" w:type="dxa"/>
            <w:tcBorders>
              <w:left w:val="single" w:sz="4" w:space="0" w:color="auto"/>
            </w:tcBorders>
            <w:shd w:val="clear" w:color="auto" w:fill="auto"/>
          </w:tcPr>
          <w:p w14:paraId="49804186" w14:textId="77777777" w:rsidR="002A4DDF" w:rsidRPr="00937C8B" w:rsidRDefault="002A4DDF" w:rsidP="009110ED">
            <w:pPr>
              <w:rPr>
                <w:rFonts w:ascii="Arial" w:hAnsi="Arial" w:cs="Arial"/>
                <w:sz w:val="12"/>
                <w:szCs w:val="12"/>
              </w:rPr>
            </w:pPr>
          </w:p>
        </w:tc>
        <w:tc>
          <w:tcPr>
            <w:tcW w:w="1843" w:type="dxa"/>
            <w:shd w:val="clear" w:color="auto" w:fill="auto"/>
          </w:tcPr>
          <w:p w14:paraId="585E84C6" w14:textId="77777777" w:rsidR="002A4DDF" w:rsidRPr="00937C8B" w:rsidRDefault="002A4DDF" w:rsidP="009110ED">
            <w:pPr>
              <w:rPr>
                <w:rFonts w:ascii="Arial" w:hAnsi="Arial" w:cs="Arial"/>
                <w:sz w:val="12"/>
                <w:szCs w:val="12"/>
              </w:rPr>
            </w:pPr>
          </w:p>
        </w:tc>
        <w:tc>
          <w:tcPr>
            <w:tcW w:w="2268" w:type="dxa"/>
            <w:shd w:val="clear" w:color="auto" w:fill="F2F2F2"/>
            <w:hideMark/>
          </w:tcPr>
          <w:p w14:paraId="3D188AA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18B0F23" w14:textId="77777777" w:rsidR="002A4DDF" w:rsidRPr="00937C8B" w:rsidRDefault="002A4DDF" w:rsidP="009110ED">
            <w:pPr>
              <w:rPr>
                <w:rFonts w:ascii="Arial" w:hAnsi="Arial" w:cs="Arial"/>
                <w:sz w:val="12"/>
                <w:szCs w:val="12"/>
              </w:rPr>
            </w:pPr>
            <w:r>
              <w:rPr>
                <w:rFonts w:ascii="Arial" w:hAnsi="Arial"/>
                <w:sz w:val="12"/>
                <w:szCs w:val="12"/>
              </w:rPr>
              <w:t>San Esteban de los Patos</w:t>
            </w:r>
          </w:p>
        </w:tc>
      </w:tr>
      <w:tr w:rsidR="002A4DDF" w:rsidRPr="00937C8B" w14:paraId="635AF034" w14:textId="77777777" w:rsidTr="00935676">
        <w:trPr>
          <w:cantSplit/>
        </w:trPr>
        <w:tc>
          <w:tcPr>
            <w:tcW w:w="1696" w:type="dxa"/>
            <w:tcBorders>
              <w:left w:val="single" w:sz="4" w:space="0" w:color="auto"/>
            </w:tcBorders>
            <w:shd w:val="clear" w:color="auto" w:fill="auto"/>
          </w:tcPr>
          <w:p w14:paraId="263B0239" w14:textId="77777777" w:rsidR="002A4DDF" w:rsidRPr="00937C8B" w:rsidRDefault="002A4DDF" w:rsidP="009110ED">
            <w:pPr>
              <w:rPr>
                <w:rFonts w:ascii="Arial" w:hAnsi="Arial" w:cs="Arial"/>
                <w:sz w:val="12"/>
                <w:szCs w:val="12"/>
              </w:rPr>
            </w:pPr>
          </w:p>
        </w:tc>
        <w:tc>
          <w:tcPr>
            <w:tcW w:w="1843" w:type="dxa"/>
            <w:shd w:val="clear" w:color="auto" w:fill="auto"/>
          </w:tcPr>
          <w:p w14:paraId="40D1055F" w14:textId="77777777" w:rsidR="002A4DDF" w:rsidRPr="00937C8B" w:rsidRDefault="002A4DDF" w:rsidP="009110ED">
            <w:pPr>
              <w:rPr>
                <w:rFonts w:ascii="Arial" w:hAnsi="Arial" w:cs="Arial"/>
                <w:sz w:val="12"/>
                <w:szCs w:val="12"/>
              </w:rPr>
            </w:pPr>
          </w:p>
        </w:tc>
        <w:tc>
          <w:tcPr>
            <w:tcW w:w="2268" w:type="dxa"/>
            <w:shd w:val="clear" w:color="auto" w:fill="F2F2F2"/>
            <w:hideMark/>
          </w:tcPr>
          <w:p w14:paraId="2DC7DDF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79BE988" w14:textId="77777777" w:rsidR="002A4DDF" w:rsidRPr="00937C8B" w:rsidRDefault="002A4DDF" w:rsidP="009110ED">
            <w:pPr>
              <w:rPr>
                <w:rFonts w:ascii="Arial" w:hAnsi="Arial" w:cs="Arial"/>
                <w:sz w:val="12"/>
                <w:szCs w:val="12"/>
              </w:rPr>
            </w:pPr>
            <w:r>
              <w:rPr>
                <w:rFonts w:ascii="Arial" w:hAnsi="Arial"/>
                <w:sz w:val="12"/>
                <w:szCs w:val="12"/>
              </w:rPr>
              <w:t>San Esteban del Valle</w:t>
            </w:r>
          </w:p>
        </w:tc>
      </w:tr>
      <w:tr w:rsidR="002A4DDF" w:rsidRPr="00937C8B" w14:paraId="3C137E67" w14:textId="77777777" w:rsidTr="00935676">
        <w:trPr>
          <w:cantSplit/>
        </w:trPr>
        <w:tc>
          <w:tcPr>
            <w:tcW w:w="1696" w:type="dxa"/>
            <w:tcBorders>
              <w:left w:val="single" w:sz="4" w:space="0" w:color="auto"/>
            </w:tcBorders>
            <w:shd w:val="clear" w:color="auto" w:fill="auto"/>
          </w:tcPr>
          <w:p w14:paraId="32BDE703" w14:textId="77777777" w:rsidR="002A4DDF" w:rsidRPr="00937C8B" w:rsidRDefault="002A4DDF" w:rsidP="009110ED">
            <w:pPr>
              <w:rPr>
                <w:rFonts w:ascii="Arial" w:hAnsi="Arial" w:cs="Arial"/>
                <w:sz w:val="12"/>
                <w:szCs w:val="12"/>
              </w:rPr>
            </w:pPr>
          </w:p>
        </w:tc>
        <w:tc>
          <w:tcPr>
            <w:tcW w:w="1843" w:type="dxa"/>
            <w:shd w:val="clear" w:color="auto" w:fill="auto"/>
          </w:tcPr>
          <w:p w14:paraId="3A543C0D" w14:textId="77777777" w:rsidR="002A4DDF" w:rsidRPr="00937C8B" w:rsidRDefault="002A4DDF" w:rsidP="009110ED">
            <w:pPr>
              <w:rPr>
                <w:rFonts w:ascii="Arial" w:hAnsi="Arial" w:cs="Arial"/>
                <w:sz w:val="12"/>
                <w:szCs w:val="12"/>
              </w:rPr>
            </w:pPr>
          </w:p>
        </w:tc>
        <w:tc>
          <w:tcPr>
            <w:tcW w:w="2268" w:type="dxa"/>
            <w:shd w:val="clear" w:color="auto" w:fill="F2F2F2"/>
            <w:hideMark/>
          </w:tcPr>
          <w:p w14:paraId="4C90900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0F1ECBA" w14:textId="77777777" w:rsidR="002A4DDF" w:rsidRPr="00937C8B" w:rsidRDefault="002A4DDF" w:rsidP="009110ED">
            <w:pPr>
              <w:rPr>
                <w:rFonts w:ascii="Arial" w:hAnsi="Arial" w:cs="Arial"/>
                <w:sz w:val="12"/>
                <w:szCs w:val="12"/>
              </w:rPr>
            </w:pPr>
            <w:r>
              <w:rPr>
                <w:rFonts w:ascii="Arial" w:hAnsi="Arial"/>
                <w:sz w:val="12"/>
                <w:szCs w:val="12"/>
              </w:rPr>
              <w:t>San García de Ingelmos</w:t>
            </w:r>
          </w:p>
        </w:tc>
      </w:tr>
      <w:tr w:rsidR="002A4DDF" w:rsidRPr="00937C8B" w14:paraId="2BE62010" w14:textId="77777777" w:rsidTr="00935676">
        <w:trPr>
          <w:cantSplit/>
        </w:trPr>
        <w:tc>
          <w:tcPr>
            <w:tcW w:w="1696" w:type="dxa"/>
            <w:tcBorders>
              <w:left w:val="single" w:sz="4" w:space="0" w:color="auto"/>
            </w:tcBorders>
            <w:shd w:val="clear" w:color="auto" w:fill="auto"/>
          </w:tcPr>
          <w:p w14:paraId="52E4FF4C" w14:textId="77777777" w:rsidR="002A4DDF" w:rsidRPr="00937C8B" w:rsidRDefault="002A4DDF" w:rsidP="009110ED">
            <w:pPr>
              <w:rPr>
                <w:rFonts w:ascii="Arial" w:hAnsi="Arial" w:cs="Arial"/>
                <w:sz w:val="12"/>
                <w:szCs w:val="12"/>
              </w:rPr>
            </w:pPr>
          </w:p>
        </w:tc>
        <w:tc>
          <w:tcPr>
            <w:tcW w:w="1843" w:type="dxa"/>
            <w:shd w:val="clear" w:color="auto" w:fill="auto"/>
          </w:tcPr>
          <w:p w14:paraId="3622E432" w14:textId="77777777" w:rsidR="002A4DDF" w:rsidRPr="00937C8B" w:rsidRDefault="002A4DDF" w:rsidP="009110ED">
            <w:pPr>
              <w:rPr>
                <w:rFonts w:ascii="Arial" w:hAnsi="Arial" w:cs="Arial"/>
                <w:sz w:val="12"/>
                <w:szCs w:val="12"/>
              </w:rPr>
            </w:pPr>
          </w:p>
        </w:tc>
        <w:tc>
          <w:tcPr>
            <w:tcW w:w="2268" w:type="dxa"/>
            <w:shd w:val="clear" w:color="auto" w:fill="F2F2F2"/>
            <w:hideMark/>
          </w:tcPr>
          <w:p w14:paraId="739926F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5795CB3" w14:textId="77777777" w:rsidR="002A4DDF" w:rsidRPr="00937C8B" w:rsidRDefault="002A4DDF" w:rsidP="009110ED">
            <w:pPr>
              <w:rPr>
                <w:rFonts w:ascii="Arial" w:hAnsi="Arial" w:cs="Arial"/>
                <w:sz w:val="12"/>
                <w:szCs w:val="12"/>
              </w:rPr>
            </w:pPr>
            <w:r>
              <w:rPr>
                <w:rFonts w:ascii="Arial" w:hAnsi="Arial"/>
                <w:sz w:val="12"/>
                <w:szCs w:val="12"/>
              </w:rPr>
              <w:t>San Juan de Gredos</w:t>
            </w:r>
          </w:p>
        </w:tc>
      </w:tr>
      <w:tr w:rsidR="002A4DDF" w:rsidRPr="00937C8B" w14:paraId="66E1198B" w14:textId="77777777" w:rsidTr="00935676">
        <w:trPr>
          <w:cantSplit/>
        </w:trPr>
        <w:tc>
          <w:tcPr>
            <w:tcW w:w="1696" w:type="dxa"/>
            <w:tcBorders>
              <w:left w:val="single" w:sz="4" w:space="0" w:color="auto"/>
            </w:tcBorders>
            <w:shd w:val="clear" w:color="auto" w:fill="auto"/>
          </w:tcPr>
          <w:p w14:paraId="3668C1E8" w14:textId="77777777" w:rsidR="002A4DDF" w:rsidRPr="00937C8B" w:rsidRDefault="002A4DDF" w:rsidP="009110ED">
            <w:pPr>
              <w:rPr>
                <w:rFonts w:ascii="Arial" w:hAnsi="Arial" w:cs="Arial"/>
                <w:sz w:val="12"/>
                <w:szCs w:val="12"/>
              </w:rPr>
            </w:pPr>
          </w:p>
        </w:tc>
        <w:tc>
          <w:tcPr>
            <w:tcW w:w="1843" w:type="dxa"/>
            <w:shd w:val="clear" w:color="auto" w:fill="auto"/>
          </w:tcPr>
          <w:p w14:paraId="6BE3AEAE" w14:textId="77777777" w:rsidR="002A4DDF" w:rsidRPr="00937C8B" w:rsidRDefault="002A4DDF" w:rsidP="009110ED">
            <w:pPr>
              <w:rPr>
                <w:rFonts w:ascii="Arial" w:hAnsi="Arial" w:cs="Arial"/>
                <w:sz w:val="12"/>
                <w:szCs w:val="12"/>
              </w:rPr>
            </w:pPr>
          </w:p>
        </w:tc>
        <w:tc>
          <w:tcPr>
            <w:tcW w:w="2268" w:type="dxa"/>
            <w:shd w:val="clear" w:color="auto" w:fill="F2F2F2"/>
            <w:hideMark/>
          </w:tcPr>
          <w:p w14:paraId="18B13B6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240B15D" w14:textId="77777777" w:rsidR="002A4DDF" w:rsidRPr="00937C8B" w:rsidRDefault="002A4DDF" w:rsidP="009110ED">
            <w:pPr>
              <w:rPr>
                <w:rFonts w:ascii="Arial" w:hAnsi="Arial" w:cs="Arial"/>
                <w:sz w:val="12"/>
                <w:szCs w:val="12"/>
              </w:rPr>
            </w:pPr>
            <w:r>
              <w:rPr>
                <w:rFonts w:ascii="Arial" w:hAnsi="Arial"/>
                <w:sz w:val="12"/>
                <w:szCs w:val="12"/>
              </w:rPr>
              <w:t>San Juan de la Nava</w:t>
            </w:r>
          </w:p>
        </w:tc>
      </w:tr>
      <w:tr w:rsidR="002A4DDF" w:rsidRPr="00937C8B" w14:paraId="70AF987A" w14:textId="77777777" w:rsidTr="00935676">
        <w:trPr>
          <w:cantSplit/>
        </w:trPr>
        <w:tc>
          <w:tcPr>
            <w:tcW w:w="1696" w:type="dxa"/>
            <w:tcBorders>
              <w:left w:val="single" w:sz="4" w:space="0" w:color="auto"/>
            </w:tcBorders>
            <w:shd w:val="clear" w:color="auto" w:fill="auto"/>
          </w:tcPr>
          <w:p w14:paraId="649DE4C0" w14:textId="77777777" w:rsidR="002A4DDF" w:rsidRPr="00937C8B" w:rsidRDefault="002A4DDF" w:rsidP="009110ED">
            <w:pPr>
              <w:rPr>
                <w:rFonts w:ascii="Arial" w:hAnsi="Arial" w:cs="Arial"/>
                <w:sz w:val="12"/>
                <w:szCs w:val="12"/>
              </w:rPr>
            </w:pPr>
          </w:p>
        </w:tc>
        <w:tc>
          <w:tcPr>
            <w:tcW w:w="1843" w:type="dxa"/>
            <w:shd w:val="clear" w:color="auto" w:fill="auto"/>
          </w:tcPr>
          <w:p w14:paraId="185D923D" w14:textId="77777777" w:rsidR="002A4DDF" w:rsidRPr="00937C8B" w:rsidRDefault="002A4DDF" w:rsidP="009110ED">
            <w:pPr>
              <w:rPr>
                <w:rFonts w:ascii="Arial" w:hAnsi="Arial" w:cs="Arial"/>
                <w:sz w:val="12"/>
                <w:szCs w:val="12"/>
              </w:rPr>
            </w:pPr>
          </w:p>
        </w:tc>
        <w:tc>
          <w:tcPr>
            <w:tcW w:w="2268" w:type="dxa"/>
            <w:shd w:val="clear" w:color="auto" w:fill="F2F2F2"/>
            <w:hideMark/>
          </w:tcPr>
          <w:p w14:paraId="58BFE4A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4B2F6B6" w14:textId="77777777" w:rsidR="002A4DDF" w:rsidRPr="00937C8B" w:rsidRDefault="002A4DDF" w:rsidP="009110ED">
            <w:pPr>
              <w:rPr>
                <w:rFonts w:ascii="Arial" w:hAnsi="Arial" w:cs="Arial"/>
                <w:sz w:val="12"/>
                <w:szCs w:val="12"/>
              </w:rPr>
            </w:pPr>
            <w:r>
              <w:rPr>
                <w:rFonts w:ascii="Arial" w:hAnsi="Arial"/>
                <w:sz w:val="12"/>
                <w:szCs w:val="12"/>
              </w:rPr>
              <w:t>San Juan del Molinillo</w:t>
            </w:r>
          </w:p>
        </w:tc>
      </w:tr>
      <w:tr w:rsidR="002A4DDF" w:rsidRPr="00937C8B" w14:paraId="7F4201B3" w14:textId="77777777" w:rsidTr="00935676">
        <w:trPr>
          <w:cantSplit/>
        </w:trPr>
        <w:tc>
          <w:tcPr>
            <w:tcW w:w="1696" w:type="dxa"/>
            <w:tcBorders>
              <w:left w:val="single" w:sz="4" w:space="0" w:color="auto"/>
            </w:tcBorders>
            <w:shd w:val="clear" w:color="auto" w:fill="auto"/>
          </w:tcPr>
          <w:p w14:paraId="1B7983E6" w14:textId="77777777" w:rsidR="002A4DDF" w:rsidRPr="00937C8B" w:rsidRDefault="002A4DDF" w:rsidP="009110ED">
            <w:pPr>
              <w:rPr>
                <w:rFonts w:ascii="Arial" w:hAnsi="Arial" w:cs="Arial"/>
                <w:sz w:val="12"/>
                <w:szCs w:val="12"/>
              </w:rPr>
            </w:pPr>
          </w:p>
        </w:tc>
        <w:tc>
          <w:tcPr>
            <w:tcW w:w="1843" w:type="dxa"/>
            <w:shd w:val="clear" w:color="auto" w:fill="auto"/>
          </w:tcPr>
          <w:p w14:paraId="1FC5C089" w14:textId="77777777" w:rsidR="002A4DDF" w:rsidRPr="00937C8B" w:rsidRDefault="002A4DDF" w:rsidP="009110ED">
            <w:pPr>
              <w:rPr>
                <w:rFonts w:ascii="Arial" w:hAnsi="Arial" w:cs="Arial"/>
                <w:sz w:val="12"/>
                <w:szCs w:val="12"/>
              </w:rPr>
            </w:pPr>
          </w:p>
        </w:tc>
        <w:tc>
          <w:tcPr>
            <w:tcW w:w="2268" w:type="dxa"/>
            <w:shd w:val="clear" w:color="auto" w:fill="F2F2F2"/>
            <w:hideMark/>
          </w:tcPr>
          <w:p w14:paraId="0078012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6D18758" w14:textId="77777777" w:rsidR="002A4DDF" w:rsidRPr="00937C8B" w:rsidRDefault="002A4DDF" w:rsidP="009110ED">
            <w:pPr>
              <w:rPr>
                <w:rFonts w:ascii="Arial" w:hAnsi="Arial" w:cs="Arial"/>
                <w:sz w:val="12"/>
                <w:szCs w:val="12"/>
              </w:rPr>
            </w:pPr>
            <w:r>
              <w:rPr>
                <w:rFonts w:ascii="Arial" w:hAnsi="Arial"/>
                <w:sz w:val="12"/>
                <w:szCs w:val="12"/>
              </w:rPr>
              <w:t>San Juan del Olmo</w:t>
            </w:r>
          </w:p>
        </w:tc>
      </w:tr>
      <w:tr w:rsidR="002A4DDF" w:rsidRPr="00937C8B" w14:paraId="090A32F3" w14:textId="77777777" w:rsidTr="00935676">
        <w:trPr>
          <w:cantSplit/>
        </w:trPr>
        <w:tc>
          <w:tcPr>
            <w:tcW w:w="1696" w:type="dxa"/>
            <w:tcBorders>
              <w:left w:val="single" w:sz="4" w:space="0" w:color="auto"/>
            </w:tcBorders>
            <w:shd w:val="clear" w:color="auto" w:fill="auto"/>
          </w:tcPr>
          <w:p w14:paraId="2248275A" w14:textId="77777777" w:rsidR="002A4DDF" w:rsidRPr="00937C8B" w:rsidRDefault="002A4DDF" w:rsidP="009110ED">
            <w:pPr>
              <w:rPr>
                <w:rFonts w:ascii="Arial" w:hAnsi="Arial" w:cs="Arial"/>
                <w:sz w:val="12"/>
                <w:szCs w:val="12"/>
              </w:rPr>
            </w:pPr>
          </w:p>
        </w:tc>
        <w:tc>
          <w:tcPr>
            <w:tcW w:w="1843" w:type="dxa"/>
            <w:shd w:val="clear" w:color="auto" w:fill="auto"/>
          </w:tcPr>
          <w:p w14:paraId="451A788B" w14:textId="77777777" w:rsidR="002A4DDF" w:rsidRPr="00937C8B" w:rsidRDefault="002A4DDF" w:rsidP="009110ED">
            <w:pPr>
              <w:rPr>
                <w:rFonts w:ascii="Arial" w:hAnsi="Arial" w:cs="Arial"/>
                <w:sz w:val="12"/>
                <w:szCs w:val="12"/>
              </w:rPr>
            </w:pPr>
          </w:p>
        </w:tc>
        <w:tc>
          <w:tcPr>
            <w:tcW w:w="2268" w:type="dxa"/>
            <w:shd w:val="clear" w:color="auto" w:fill="F2F2F2"/>
            <w:hideMark/>
          </w:tcPr>
          <w:p w14:paraId="238F45F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A7BC38F" w14:textId="77777777" w:rsidR="002A4DDF" w:rsidRPr="00937C8B" w:rsidRDefault="002A4DDF" w:rsidP="009110ED">
            <w:pPr>
              <w:rPr>
                <w:rFonts w:ascii="Arial" w:hAnsi="Arial" w:cs="Arial"/>
                <w:sz w:val="12"/>
                <w:szCs w:val="12"/>
              </w:rPr>
            </w:pPr>
            <w:r>
              <w:rPr>
                <w:rFonts w:ascii="Arial" w:hAnsi="Arial"/>
                <w:sz w:val="12"/>
                <w:szCs w:val="12"/>
              </w:rPr>
              <w:t>San Lorenzo de Tormes</w:t>
            </w:r>
          </w:p>
        </w:tc>
      </w:tr>
      <w:tr w:rsidR="002A4DDF" w:rsidRPr="00937C8B" w14:paraId="75171BD8" w14:textId="77777777" w:rsidTr="00935676">
        <w:trPr>
          <w:cantSplit/>
        </w:trPr>
        <w:tc>
          <w:tcPr>
            <w:tcW w:w="1696" w:type="dxa"/>
            <w:tcBorders>
              <w:left w:val="single" w:sz="4" w:space="0" w:color="auto"/>
            </w:tcBorders>
            <w:shd w:val="clear" w:color="auto" w:fill="auto"/>
          </w:tcPr>
          <w:p w14:paraId="67513A44" w14:textId="77777777" w:rsidR="002A4DDF" w:rsidRPr="00937C8B" w:rsidRDefault="002A4DDF" w:rsidP="009110ED">
            <w:pPr>
              <w:rPr>
                <w:rFonts w:ascii="Arial" w:hAnsi="Arial" w:cs="Arial"/>
                <w:sz w:val="12"/>
                <w:szCs w:val="12"/>
              </w:rPr>
            </w:pPr>
          </w:p>
        </w:tc>
        <w:tc>
          <w:tcPr>
            <w:tcW w:w="1843" w:type="dxa"/>
            <w:shd w:val="clear" w:color="auto" w:fill="auto"/>
          </w:tcPr>
          <w:p w14:paraId="32352011" w14:textId="77777777" w:rsidR="002A4DDF" w:rsidRPr="00937C8B" w:rsidRDefault="002A4DDF" w:rsidP="009110ED">
            <w:pPr>
              <w:rPr>
                <w:rFonts w:ascii="Arial" w:hAnsi="Arial" w:cs="Arial"/>
                <w:sz w:val="12"/>
                <w:szCs w:val="12"/>
              </w:rPr>
            </w:pPr>
          </w:p>
        </w:tc>
        <w:tc>
          <w:tcPr>
            <w:tcW w:w="2268" w:type="dxa"/>
            <w:shd w:val="clear" w:color="auto" w:fill="F2F2F2"/>
            <w:hideMark/>
          </w:tcPr>
          <w:p w14:paraId="3B1BEC1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93D05DF" w14:textId="77777777" w:rsidR="002A4DDF" w:rsidRPr="00937C8B" w:rsidRDefault="002A4DDF" w:rsidP="009110ED">
            <w:pPr>
              <w:rPr>
                <w:rFonts w:ascii="Arial" w:hAnsi="Arial" w:cs="Arial"/>
                <w:sz w:val="12"/>
                <w:szCs w:val="12"/>
              </w:rPr>
            </w:pPr>
            <w:r>
              <w:rPr>
                <w:rFonts w:ascii="Arial" w:hAnsi="Arial"/>
                <w:sz w:val="12"/>
                <w:szCs w:val="12"/>
              </w:rPr>
              <w:t>San Martín de la Vega del Alberche</w:t>
            </w:r>
          </w:p>
        </w:tc>
      </w:tr>
      <w:tr w:rsidR="002A4DDF" w:rsidRPr="00937C8B" w14:paraId="1280D0D3" w14:textId="77777777" w:rsidTr="00935676">
        <w:trPr>
          <w:cantSplit/>
        </w:trPr>
        <w:tc>
          <w:tcPr>
            <w:tcW w:w="1696" w:type="dxa"/>
            <w:tcBorders>
              <w:left w:val="single" w:sz="4" w:space="0" w:color="auto"/>
            </w:tcBorders>
            <w:shd w:val="clear" w:color="auto" w:fill="auto"/>
          </w:tcPr>
          <w:p w14:paraId="12941386" w14:textId="77777777" w:rsidR="002A4DDF" w:rsidRPr="00937C8B" w:rsidRDefault="002A4DDF" w:rsidP="009110ED">
            <w:pPr>
              <w:rPr>
                <w:rFonts w:ascii="Arial" w:hAnsi="Arial" w:cs="Arial"/>
                <w:sz w:val="12"/>
                <w:szCs w:val="12"/>
              </w:rPr>
            </w:pPr>
          </w:p>
        </w:tc>
        <w:tc>
          <w:tcPr>
            <w:tcW w:w="1843" w:type="dxa"/>
            <w:shd w:val="clear" w:color="auto" w:fill="auto"/>
          </w:tcPr>
          <w:p w14:paraId="55BDBE71" w14:textId="77777777" w:rsidR="002A4DDF" w:rsidRPr="00937C8B" w:rsidRDefault="002A4DDF" w:rsidP="009110ED">
            <w:pPr>
              <w:rPr>
                <w:rFonts w:ascii="Arial" w:hAnsi="Arial" w:cs="Arial"/>
                <w:sz w:val="12"/>
                <w:szCs w:val="12"/>
              </w:rPr>
            </w:pPr>
          </w:p>
        </w:tc>
        <w:tc>
          <w:tcPr>
            <w:tcW w:w="2268" w:type="dxa"/>
            <w:shd w:val="clear" w:color="auto" w:fill="F2F2F2"/>
            <w:hideMark/>
          </w:tcPr>
          <w:p w14:paraId="6B3FC8D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907FCFB" w14:textId="77777777" w:rsidR="002A4DDF" w:rsidRPr="00937C8B" w:rsidRDefault="002A4DDF" w:rsidP="009110ED">
            <w:pPr>
              <w:rPr>
                <w:rFonts w:ascii="Arial" w:hAnsi="Arial" w:cs="Arial"/>
                <w:sz w:val="12"/>
                <w:szCs w:val="12"/>
              </w:rPr>
            </w:pPr>
            <w:r>
              <w:rPr>
                <w:rFonts w:ascii="Arial" w:hAnsi="Arial"/>
                <w:sz w:val="12"/>
                <w:szCs w:val="12"/>
              </w:rPr>
              <w:t>San Martín del Pimpollar</w:t>
            </w:r>
          </w:p>
        </w:tc>
      </w:tr>
      <w:tr w:rsidR="002A4DDF" w:rsidRPr="00937C8B" w14:paraId="43BB7823" w14:textId="77777777" w:rsidTr="00935676">
        <w:trPr>
          <w:cantSplit/>
        </w:trPr>
        <w:tc>
          <w:tcPr>
            <w:tcW w:w="1696" w:type="dxa"/>
            <w:tcBorders>
              <w:left w:val="single" w:sz="4" w:space="0" w:color="auto"/>
            </w:tcBorders>
            <w:shd w:val="clear" w:color="auto" w:fill="auto"/>
          </w:tcPr>
          <w:p w14:paraId="72D7E57F" w14:textId="77777777" w:rsidR="002A4DDF" w:rsidRPr="00937C8B" w:rsidRDefault="002A4DDF" w:rsidP="009110ED">
            <w:pPr>
              <w:rPr>
                <w:rFonts w:ascii="Arial" w:hAnsi="Arial" w:cs="Arial"/>
                <w:sz w:val="12"/>
                <w:szCs w:val="12"/>
              </w:rPr>
            </w:pPr>
          </w:p>
        </w:tc>
        <w:tc>
          <w:tcPr>
            <w:tcW w:w="1843" w:type="dxa"/>
            <w:shd w:val="clear" w:color="auto" w:fill="auto"/>
          </w:tcPr>
          <w:p w14:paraId="5F8C37D7" w14:textId="77777777" w:rsidR="002A4DDF" w:rsidRPr="00937C8B" w:rsidRDefault="002A4DDF" w:rsidP="009110ED">
            <w:pPr>
              <w:rPr>
                <w:rFonts w:ascii="Arial" w:hAnsi="Arial" w:cs="Arial"/>
                <w:sz w:val="12"/>
                <w:szCs w:val="12"/>
              </w:rPr>
            </w:pPr>
          </w:p>
        </w:tc>
        <w:tc>
          <w:tcPr>
            <w:tcW w:w="2268" w:type="dxa"/>
            <w:shd w:val="clear" w:color="auto" w:fill="F2F2F2"/>
            <w:hideMark/>
          </w:tcPr>
          <w:p w14:paraId="214712F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EAE673E" w14:textId="77777777" w:rsidR="002A4DDF" w:rsidRPr="00937C8B" w:rsidRDefault="002A4DDF" w:rsidP="009110ED">
            <w:pPr>
              <w:rPr>
                <w:rFonts w:ascii="Arial" w:hAnsi="Arial" w:cs="Arial"/>
                <w:sz w:val="12"/>
                <w:szCs w:val="12"/>
              </w:rPr>
            </w:pPr>
            <w:r>
              <w:rPr>
                <w:rFonts w:ascii="Arial" w:hAnsi="Arial"/>
                <w:sz w:val="12"/>
                <w:szCs w:val="12"/>
              </w:rPr>
              <w:t>San Miguel de Serrezuela</w:t>
            </w:r>
          </w:p>
        </w:tc>
      </w:tr>
      <w:tr w:rsidR="002A4DDF" w:rsidRPr="00937C8B" w14:paraId="31A8F51B" w14:textId="77777777" w:rsidTr="00935676">
        <w:trPr>
          <w:cantSplit/>
        </w:trPr>
        <w:tc>
          <w:tcPr>
            <w:tcW w:w="1696" w:type="dxa"/>
            <w:tcBorders>
              <w:left w:val="single" w:sz="4" w:space="0" w:color="auto"/>
            </w:tcBorders>
            <w:shd w:val="clear" w:color="auto" w:fill="auto"/>
          </w:tcPr>
          <w:p w14:paraId="09FC9C8D" w14:textId="77777777" w:rsidR="002A4DDF" w:rsidRPr="00937C8B" w:rsidRDefault="002A4DDF" w:rsidP="009110ED">
            <w:pPr>
              <w:rPr>
                <w:rFonts w:ascii="Arial" w:hAnsi="Arial" w:cs="Arial"/>
                <w:sz w:val="12"/>
                <w:szCs w:val="12"/>
              </w:rPr>
            </w:pPr>
          </w:p>
        </w:tc>
        <w:tc>
          <w:tcPr>
            <w:tcW w:w="1843" w:type="dxa"/>
            <w:shd w:val="clear" w:color="auto" w:fill="auto"/>
          </w:tcPr>
          <w:p w14:paraId="3B0E8BCA" w14:textId="77777777" w:rsidR="002A4DDF" w:rsidRPr="00937C8B" w:rsidRDefault="002A4DDF" w:rsidP="009110ED">
            <w:pPr>
              <w:rPr>
                <w:rFonts w:ascii="Arial" w:hAnsi="Arial" w:cs="Arial"/>
                <w:sz w:val="12"/>
                <w:szCs w:val="12"/>
              </w:rPr>
            </w:pPr>
          </w:p>
        </w:tc>
        <w:tc>
          <w:tcPr>
            <w:tcW w:w="2268" w:type="dxa"/>
            <w:shd w:val="clear" w:color="auto" w:fill="F2F2F2"/>
            <w:hideMark/>
          </w:tcPr>
          <w:p w14:paraId="3815918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E7DF83D" w14:textId="77777777" w:rsidR="002A4DDF" w:rsidRPr="00937C8B" w:rsidRDefault="002A4DDF" w:rsidP="009110ED">
            <w:pPr>
              <w:rPr>
                <w:rFonts w:ascii="Arial" w:hAnsi="Arial" w:cs="Arial"/>
                <w:sz w:val="12"/>
                <w:szCs w:val="12"/>
              </w:rPr>
            </w:pPr>
            <w:r>
              <w:rPr>
                <w:rFonts w:ascii="Arial" w:hAnsi="Arial"/>
                <w:sz w:val="12"/>
                <w:szCs w:val="12"/>
              </w:rPr>
              <w:t>Sanchorreja</w:t>
            </w:r>
          </w:p>
        </w:tc>
      </w:tr>
      <w:tr w:rsidR="002A4DDF" w:rsidRPr="00937C8B" w14:paraId="4FB376F2" w14:textId="77777777" w:rsidTr="00935676">
        <w:trPr>
          <w:cantSplit/>
        </w:trPr>
        <w:tc>
          <w:tcPr>
            <w:tcW w:w="1696" w:type="dxa"/>
            <w:tcBorders>
              <w:left w:val="single" w:sz="4" w:space="0" w:color="auto"/>
            </w:tcBorders>
            <w:shd w:val="clear" w:color="auto" w:fill="auto"/>
          </w:tcPr>
          <w:p w14:paraId="39CFE872" w14:textId="77777777" w:rsidR="002A4DDF" w:rsidRPr="00937C8B" w:rsidRDefault="002A4DDF" w:rsidP="009110ED">
            <w:pPr>
              <w:rPr>
                <w:rFonts w:ascii="Arial" w:hAnsi="Arial" w:cs="Arial"/>
                <w:sz w:val="12"/>
                <w:szCs w:val="12"/>
              </w:rPr>
            </w:pPr>
          </w:p>
        </w:tc>
        <w:tc>
          <w:tcPr>
            <w:tcW w:w="1843" w:type="dxa"/>
            <w:shd w:val="clear" w:color="auto" w:fill="auto"/>
          </w:tcPr>
          <w:p w14:paraId="78153CDF" w14:textId="77777777" w:rsidR="002A4DDF" w:rsidRPr="00937C8B" w:rsidRDefault="002A4DDF" w:rsidP="009110ED">
            <w:pPr>
              <w:rPr>
                <w:rFonts w:ascii="Arial" w:hAnsi="Arial" w:cs="Arial"/>
                <w:sz w:val="12"/>
                <w:szCs w:val="12"/>
              </w:rPr>
            </w:pPr>
          </w:p>
        </w:tc>
        <w:tc>
          <w:tcPr>
            <w:tcW w:w="2268" w:type="dxa"/>
            <w:shd w:val="clear" w:color="auto" w:fill="F2F2F2"/>
            <w:hideMark/>
          </w:tcPr>
          <w:p w14:paraId="61CD209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567F1C9" w14:textId="77777777" w:rsidR="002A4DDF" w:rsidRPr="00937C8B" w:rsidRDefault="002A4DDF" w:rsidP="009110ED">
            <w:pPr>
              <w:rPr>
                <w:rFonts w:ascii="Arial" w:hAnsi="Arial" w:cs="Arial"/>
                <w:sz w:val="12"/>
                <w:szCs w:val="12"/>
              </w:rPr>
            </w:pPr>
            <w:r>
              <w:rPr>
                <w:rFonts w:ascii="Arial" w:hAnsi="Arial"/>
                <w:sz w:val="12"/>
                <w:szCs w:val="12"/>
              </w:rPr>
              <w:t>Santa Cruz de Pinares</w:t>
            </w:r>
          </w:p>
        </w:tc>
      </w:tr>
      <w:tr w:rsidR="002A4DDF" w:rsidRPr="00937C8B" w14:paraId="0CE66F4C" w14:textId="77777777" w:rsidTr="00935676">
        <w:trPr>
          <w:cantSplit/>
        </w:trPr>
        <w:tc>
          <w:tcPr>
            <w:tcW w:w="1696" w:type="dxa"/>
            <w:tcBorders>
              <w:left w:val="single" w:sz="4" w:space="0" w:color="auto"/>
            </w:tcBorders>
            <w:shd w:val="clear" w:color="auto" w:fill="auto"/>
          </w:tcPr>
          <w:p w14:paraId="32E71455" w14:textId="77777777" w:rsidR="002A4DDF" w:rsidRPr="00937C8B" w:rsidRDefault="002A4DDF" w:rsidP="009110ED">
            <w:pPr>
              <w:rPr>
                <w:rFonts w:ascii="Arial" w:hAnsi="Arial" w:cs="Arial"/>
                <w:sz w:val="12"/>
                <w:szCs w:val="12"/>
              </w:rPr>
            </w:pPr>
          </w:p>
        </w:tc>
        <w:tc>
          <w:tcPr>
            <w:tcW w:w="1843" w:type="dxa"/>
            <w:shd w:val="clear" w:color="auto" w:fill="auto"/>
          </w:tcPr>
          <w:p w14:paraId="6603C25D" w14:textId="77777777" w:rsidR="002A4DDF" w:rsidRPr="00937C8B" w:rsidRDefault="002A4DDF" w:rsidP="009110ED">
            <w:pPr>
              <w:rPr>
                <w:rFonts w:ascii="Arial" w:hAnsi="Arial" w:cs="Arial"/>
                <w:sz w:val="12"/>
                <w:szCs w:val="12"/>
              </w:rPr>
            </w:pPr>
          </w:p>
        </w:tc>
        <w:tc>
          <w:tcPr>
            <w:tcW w:w="2268" w:type="dxa"/>
            <w:shd w:val="clear" w:color="auto" w:fill="F2F2F2"/>
            <w:hideMark/>
          </w:tcPr>
          <w:p w14:paraId="3944608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F38B0E1" w14:textId="77777777" w:rsidR="002A4DDF" w:rsidRPr="00937C8B" w:rsidRDefault="002A4DDF" w:rsidP="009110ED">
            <w:pPr>
              <w:rPr>
                <w:rFonts w:ascii="Arial" w:hAnsi="Arial" w:cs="Arial"/>
                <w:sz w:val="12"/>
                <w:szCs w:val="12"/>
              </w:rPr>
            </w:pPr>
            <w:r>
              <w:rPr>
                <w:rFonts w:ascii="Arial" w:hAnsi="Arial"/>
                <w:sz w:val="12"/>
                <w:szCs w:val="12"/>
              </w:rPr>
              <w:t>Santa Cruz del Valle</w:t>
            </w:r>
          </w:p>
        </w:tc>
      </w:tr>
      <w:tr w:rsidR="002A4DDF" w:rsidRPr="00937C8B" w14:paraId="29513FBE" w14:textId="77777777" w:rsidTr="00935676">
        <w:trPr>
          <w:cantSplit/>
        </w:trPr>
        <w:tc>
          <w:tcPr>
            <w:tcW w:w="1696" w:type="dxa"/>
            <w:tcBorders>
              <w:left w:val="single" w:sz="4" w:space="0" w:color="auto"/>
            </w:tcBorders>
            <w:shd w:val="clear" w:color="auto" w:fill="auto"/>
          </w:tcPr>
          <w:p w14:paraId="7F487BFD" w14:textId="77777777" w:rsidR="002A4DDF" w:rsidRPr="00937C8B" w:rsidRDefault="002A4DDF" w:rsidP="009110ED">
            <w:pPr>
              <w:rPr>
                <w:rFonts w:ascii="Arial" w:hAnsi="Arial" w:cs="Arial"/>
                <w:sz w:val="12"/>
                <w:szCs w:val="12"/>
              </w:rPr>
            </w:pPr>
          </w:p>
        </w:tc>
        <w:tc>
          <w:tcPr>
            <w:tcW w:w="1843" w:type="dxa"/>
            <w:shd w:val="clear" w:color="auto" w:fill="auto"/>
          </w:tcPr>
          <w:p w14:paraId="1AC9A0C2" w14:textId="77777777" w:rsidR="002A4DDF" w:rsidRPr="00937C8B" w:rsidRDefault="002A4DDF" w:rsidP="009110ED">
            <w:pPr>
              <w:rPr>
                <w:rFonts w:ascii="Arial" w:hAnsi="Arial" w:cs="Arial"/>
                <w:sz w:val="12"/>
                <w:szCs w:val="12"/>
              </w:rPr>
            </w:pPr>
          </w:p>
        </w:tc>
        <w:tc>
          <w:tcPr>
            <w:tcW w:w="2268" w:type="dxa"/>
            <w:shd w:val="clear" w:color="auto" w:fill="F2F2F2"/>
            <w:hideMark/>
          </w:tcPr>
          <w:p w14:paraId="4428F21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1DC3E5C" w14:textId="77777777" w:rsidR="002A4DDF" w:rsidRPr="00937C8B" w:rsidRDefault="002A4DDF" w:rsidP="009110ED">
            <w:pPr>
              <w:rPr>
                <w:rFonts w:ascii="Arial" w:hAnsi="Arial" w:cs="Arial"/>
                <w:sz w:val="12"/>
                <w:szCs w:val="12"/>
              </w:rPr>
            </w:pPr>
            <w:r>
              <w:rPr>
                <w:rFonts w:ascii="Arial" w:hAnsi="Arial"/>
                <w:sz w:val="12"/>
                <w:szCs w:val="12"/>
              </w:rPr>
              <w:t>Santa María de los Caballeros</w:t>
            </w:r>
          </w:p>
        </w:tc>
      </w:tr>
      <w:tr w:rsidR="002A4DDF" w:rsidRPr="00937C8B" w14:paraId="24CD9B56" w14:textId="77777777" w:rsidTr="00935676">
        <w:trPr>
          <w:cantSplit/>
        </w:trPr>
        <w:tc>
          <w:tcPr>
            <w:tcW w:w="1696" w:type="dxa"/>
            <w:tcBorders>
              <w:left w:val="single" w:sz="4" w:space="0" w:color="auto"/>
            </w:tcBorders>
            <w:shd w:val="clear" w:color="auto" w:fill="auto"/>
          </w:tcPr>
          <w:p w14:paraId="2D071A4A" w14:textId="77777777" w:rsidR="002A4DDF" w:rsidRPr="00937C8B" w:rsidRDefault="002A4DDF" w:rsidP="009110ED">
            <w:pPr>
              <w:rPr>
                <w:rFonts w:ascii="Arial" w:hAnsi="Arial" w:cs="Arial"/>
                <w:sz w:val="12"/>
                <w:szCs w:val="12"/>
              </w:rPr>
            </w:pPr>
          </w:p>
        </w:tc>
        <w:tc>
          <w:tcPr>
            <w:tcW w:w="1843" w:type="dxa"/>
            <w:shd w:val="clear" w:color="auto" w:fill="auto"/>
          </w:tcPr>
          <w:p w14:paraId="0488608E" w14:textId="77777777" w:rsidR="002A4DDF" w:rsidRPr="00937C8B" w:rsidRDefault="002A4DDF" w:rsidP="009110ED">
            <w:pPr>
              <w:rPr>
                <w:rFonts w:ascii="Arial" w:hAnsi="Arial" w:cs="Arial"/>
                <w:sz w:val="12"/>
                <w:szCs w:val="12"/>
              </w:rPr>
            </w:pPr>
          </w:p>
        </w:tc>
        <w:tc>
          <w:tcPr>
            <w:tcW w:w="2268" w:type="dxa"/>
            <w:shd w:val="clear" w:color="auto" w:fill="F2F2F2"/>
            <w:hideMark/>
          </w:tcPr>
          <w:p w14:paraId="7EECC8A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CD9A64C" w14:textId="77777777" w:rsidR="002A4DDF" w:rsidRPr="00937C8B" w:rsidRDefault="002A4DDF" w:rsidP="009110ED">
            <w:pPr>
              <w:rPr>
                <w:rFonts w:ascii="Arial" w:hAnsi="Arial" w:cs="Arial"/>
                <w:sz w:val="12"/>
                <w:szCs w:val="12"/>
              </w:rPr>
            </w:pPr>
            <w:r>
              <w:rPr>
                <w:rFonts w:ascii="Arial" w:hAnsi="Arial"/>
                <w:sz w:val="12"/>
                <w:szCs w:val="12"/>
              </w:rPr>
              <w:t>Santa María del Cubillo</w:t>
            </w:r>
          </w:p>
        </w:tc>
      </w:tr>
      <w:tr w:rsidR="002A4DDF" w:rsidRPr="00937C8B" w14:paraId="402E5487" w14:textId="77777777" w:rsidTr="00935676">
        <w:trPr>
          <w:cantSplit/>
        </w:trPr>
        <w:tc>
          <w:tcPr>
            <w:tcW w:w="1696" w:type="dxa"/>
            <w:tcBorders>
              <w:left w:val="single" w:sz="4" w:space="0" w:color="auto"/>
            </w:tcBorders>
            <w:shd w:val="clear" w:color="auto" w:fill="auto"/>
          </w:tcPr>
          <w:p w14:paraId="7ECCF107" w14:textId="77777777" w:rsidR="002A4DDF" w:rsidRPr="00937C8B" w:rsidRDefault="002A4DDF" w:rsidP="009110ED">
            <w:pPr>
              <w:rPr>
                <w:rFonts w:ascii="Arial" w:hAnsi="Arial" w:cs="Arial"/>
                <w:sz w:val="12"/>
                <w:szCs w:val="12"/>
              </w:rPr>
            </w:pPr>
          </w:p>
        </w:tc>
        <w:tc>
          <w:tcPr>
            <w:tcW w:w="1843" w:type="dxa"/>
            <w:shd w:val="clear" w:color="auto" w:fill="auto"/>
          </w:tcPr>
          <w:p w14:paraId="1747A1FD" w14:textId="77777777" w:rsidR="002A4DDF" w:rsidRPr="00937C8B" w:rsidRDefault="002A4DDF" w:rsidP="009110ED">
            <w:pPr>
              <w:rPr>
                <w:rFonts w:ascii="Arial" w:hAnsi="Arial" w:cs="Arial"/>
                <w:sz w:val="12"/>
                <w:szCs w:val="12"/>
              </w:rPr>
            </w:pPr>
          </w:p>
        </w:tc>
        <w:tc>
          <w:tcPr>
            <w:tcW w:w="2268" w:type="dxa"/>
            <w:shd w:val="clear" w:color="auto" w:fill="F2F2F2"/>
            <w:hideMark/>
          </w:tcPr>
          <w:p w14:paraId="321E37E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C53A6AF" w14:textId="77777777" w:rsidR="002A4DDF" w:rsidRPr="00937C8B" w:rsidRDefault="002A4DDF" w:rsidP="009110ED">
            <w:pPr>
              <w:rPr>
                <w:rFonts w:ascii="Arial" w:hAnsi="Arial" w:cs="Arial"/>
                <w:sz w:val="12"/>
                <w:szCs w:val="12"/>
              </w:rPr>
            </w:pPr>
            <w:r>
              <w:rPr>
                <w:rFonts w:ascii="Arial" w:hAnsi="Arial"/>
                <w:sz w:val="12"/>
                <w:szCs w:val="12"/>
              </w:rPr>
              <w:t>Santa María del Tiétar</w:t>
            </w:r>
          </w:p>
        </w:tc>
      </w:tr>
      <w:tr w:rsidR="002A4DDF" w:rsidRPr="00937C8B" w14:paraId="532D083B" w14:textId="77777777" w:rsidTr="00935676">
        <w:trPr>
          <w:cantSplit/>
        </w:trPr>
        <w:tc>
          <w:tcPr>
            <w:tcW w:w="1696" w:type="dxa"/>
            <w:tcBorders>
              <w:left w:val="single" w:sz="4" w:space="0" w:color="auto"/>
            </w:tcBorders>
            <w:shd w:val="clear" w:color="auto" w:fill="auto"/>
          </w:tcPr>
          <w:p w14:paraId="4C6D876C" w14:textId="77777777" w:rsidR="002A4DDF" w:rsidRPr="00937C8B" w:rsidRDefault="002A4DDF" w:rsidP="009110ED">
            <w:pPr>
              <w:rPr>
                <w:rFonts w:ascii="Arial" w:hAnsi="Arial" w:cs="Arial"/>
                <w:sz w:val="12"/>
                <w:szCs w:val="12"/>
              </w:rPr>
            </w:pPr>
          </w:p>
        </w:tc>
        <w:tc>
          <w:tcPr>
            <w:tcW w:w="1843" w:type="dxa"/>
            <w:shd w:val="clear" w:color="auto" w:fill="auto"/>
          </w:tcPr>
          <w:p w14:paraId="20F125E9" w14:textId="77777777" w:rsidR="002A4DDF" w:rsidRPr="00937C8B" w:rsidRDefault="002A4DDF" w:rsidP="009110ED">
            <w:pPr>
              <w:rPr>
                <w:rFonts w:ascii="Arial" w:hAnsi="Arial" w:cs="Arial"/>
                <w:sz w:val="12"/>
                <w:szCs w:val="12"/>
              </w:rPr>
            </w:pPr>
          </w:p>
        </w:tc>
        <w:tc>
          <w:tcPr>
            <w:tcW w:w="2268" w:type="dxa"/>
            <w:shd w:val="clear" w:color="auto" w:fill="F2F2F2"/>
            <w:hideMark/>
          </w:tcPr>
          <w:p w14:paraId="5E480FC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D92C8C6" w14:textId="77777777" w:rsidR="002A4DDF" w:rsidRPr="00937C8B" w:rsidRDefault="002A4DDF" w:rsidP="009110ED">
            <w:pPr>
              <w:rPr>
                <w:rFonts w:ascii="Arial" w:hAnsi="Arial" w:cs="Arial"/>
                <w:sz w:val="12"/>
                <w:szCs w:val="12"/>
              </w:rPr>
            </w:pPr>
            <w:r>
              <w:rPr>
                <w:rFonts w:ascii="Arial" w:hAnsi="Arial"/>
                <w:sz w:val="12"/>
                <w:szCs w:val="12"/>
              </w:rPr>
              <w:t>Santiago del Collado</w:t>
            </w:r>
          </w:p>
        </w:tc>
      </w:tr>
      <w:tr w:rsidR="002A4DDF" w:rsidRPr="00937C8B" w14:paraId="7E4A4C5D" w14:textId="77777777" w:rsidTr="00935676">
        <w:trPr>
          <w:cantSplit/>
        </w:trPr>
        <w:tc>
          <w:tcPr>
            <w:tcW w:w="1696" w:type="dxa"/>
            <w:tcBorders>
              <w:left w:val="single" w:sz="4" w:space="0" w:color="auto"/>
            </w:tcBorders>
            <w:shd w:val="clear" w:color="auto" w:fill="auto"/>
          </w:tcPr>
          <w:p w14:paraId="01A19109" w14:textId="77777777" w:rsidR="002A4DDF" w:rsidRPr="00937C8B" w:rsidRDefault="002A4DDF" w:rsidP="009110ED">
            <w:pPr>
              <w:rPr>
                <w:rFonts w:ascii="Arial" w:hAnsi="Arial" w:cs="Arial"/>
                <w:sz w:val="12"/>
                <w:szCs w:val="12"/>
              </w:rPr>
            </w:pPr>
          </w:p>
        </w:tc>
        <w:tc>
          <w:tcPr>
            <w:tcW w:w="1843" w:type="dxa"/>
            <w:shd w:val="clear" w:color="auto" w:fill="auto"/>
          </w:tcPr>
          <w:p w14:paraId="2E45B254" w14:textId="77777777" w:rsidR="002A4DDF" w:rsidRPr="00937C8B" w:rsidRDefault="002A4DDF" w:rsidP="009110ED">
            <w:pPr>
              <w:rPr>
                <w:rFonts w:ascii="Arial" w:hAnsi="Arial" w:cs="Arial"/>
                <w:sz w:val="12"/>
                <w:szCs w:val="12"/>
              </w:rPr>
            </w:pPr>
          </w:p>
        </w:tc>
        <w:tc>
          <w:tcPr>
            <w:tcW w:w="2268" w:type="dxa"/>
            <w:shd w:val="clear" w:color="auto" w:fill="F2F2F2"/>
            <w:hideMark/>
          </w:tcPr>
          <w:p w14:paraId="42D712D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FFB7F2A" w14:textId="77777777" w:rsidR="002A4DDF" w:rsidRPr="00937C8B" w:rsidRDefault="002A4DDF" w:rsidP="009110ED">
            <w:pPr>
              <w:rPr>
                <w:rFonts w:ascii="Arial" w:hAnsi="Arial" w:cs="Arial"/>
                <w:sz w:val="12"/>
                <w:szCs w:val="12"/>
              </w:rPr>
            </w:pPr>
            <w:r>
              <w:rPr>
                <w:rFonts w:ascii="Arial" w:hAnsi="Arial"/>
                <w:sz w:val="12"/>
                <w:szCs w:val="12"/>
              </w:rPr>
              <w:t>Santiago del Tormes</w:t>
            </w:r>
          </w:p>
        </w:tc>
      </w:tr>
      <w:tr w:rsidR="002A4DDF" w:rsidRPr="00937C8B" w14:paraId="51224605" w14:textId="77777777" w:rsidTr="00935676">
        <w:trPr>
          <w:cantSplit/>
        </w:trPr>
        <w:tc>
          <w:tcPr>
            <w:tcW w:w="1696" w:type="dxa"/>
            <w:tcBorders>
              <w:left w:val="single" w:sz="4" w:space="0" w:color="auto"/>
            </w:tcBorders>
            <w:shd w:val="clear" w:color="auto" w:fill="auto"/>
          </w:tcPr>
          <w:p w14:paraId="03609163" w14:textId="77777777" w:rsidR="002A4DDF" w:rsidRPr="00937C8B" w:rsidRDefault="002A4DDF" w:rsidP="009110ED">
            <w:pPr>
              <w:rPr>
                <w:rFonts w:ascii="Arial" w:hAnsi="Arial" w:cs="Arial"/>
                <w:sz w:val="12"/>
                <w:szCs w:val="12"/>
              </w:rPr>
            </w:pPr>
          </w:p>
        </w:tc>
        <w:tc>
          <w:tcPr>
            <w:tcW w:w="1843" w:type="dxa"/>
            <w:shd w:val="clear" w:color="auto" w:fill="auto"/>
          </w:tcPr>
          <w:p w14:paraId="2AB63159" w14:textId="77777777" w:rsidR="002A4DDF" w:rsidRPr="00937C8B" w:rsidRDefault="002A4DDF" w:rsidP="009110ED">
            <w:pPr>
              <w:rPr>
                <w:rFonts w:ascii="Arial" w:hAnsi="Arial" w:cs="Arial"/>
                <w:sz w:val="12"/>
                <w:szCs w:val="12"/>
              </w:rPr>
            </w:pPr>
          </w:p>
        </w:tc>
        <w:tc>
          <w:tcPr>
            <w:tcW w:w="2268" w:type="dxa"/>
            <w:shd w:val="clear" w:color="auto" w:fill="F2F2F2"/>
            <w:hideMark/>
          </w:tcPr>
          <w:p w14:paraId="2A8FE78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DB19807" w14:textId="77777777" w:rsidR="002A4DDF" w:rsidRPr="00937C8B" w:rsidRDefault="002A4DDF" w:rsidP="009110ED">
            <w:pPr>
              <w:rPr>
                <w:rFonts w:ascii="Arial" w:hAnsi="Arial" w:cs="Arial"/>
                <w:sz w:val="12"/>
                <w:szCs w:val="12"/>
              </w:rPr>
            </w:pPr>
            <w:r>
              <w:rPr>
                <w:rFonts w:ascii="Arial" w:hAnsi="Arial"/>
                <w:sz w:val="12"/>
                <w:szCs w:val="12"/>
              </w:rPr>
              <w:t>Serranillos</w:t>
            </w:r>
          </w:p>
        </w:tc>
      </w:tr>
      <w:tr w:rsidR="002A4DDF" w:rsidRPr="00937C8B" w14:paraId="2C2E4F3D" w14:textId="77777777" w:rsidTr="00935676">
        <w:trPr>
          <w:cantSplit/>
        </w:trPr>
        <w:tc>
          <w:tcPr>
            <w:tcW w:w="1696" w:type="dxa"/>
            <w:tcBorders>
              <w:left w:val="single" w:sz="4" w:space="0" w:color="auto"/>
            </w:tcBorders>
            <w:shd w:val="clear" w:color="auto" w:fill="auto"/>
          </w:tcPr>
          <w:p w14:paraId="2AE502DD" w14:textId="77777777" w:rsidR="002A4DDF" w:rsidRPr="00937C8B" w:rsidRDefault="002A4DDF" w:rsidP="009110ED">
            <w:pPr>
              <w:rPr>
                <w:rFonts w:ascii="Arial" w:hAnsi="Arial" w:cs="Arial"/>
                <w:sz w:val="12"/>
                <w:szCs w:val="12"/>
              </w:rPr>
            </w:pPr>
          </w:p>
        </w:tc>
        <w:tc>
          <w:tcPr>
            <w:tcW w:w="1843" w:type="dxa"/>
            <w:shd w:val="clear" w:color="auto" w:fill="auto"/>
          </w:tcPr>
          <w:p w14:paraId="2EAB91FB" w14:textId="77777777" w:rsidR="002A4DDF" w:rsidRPr="00937C8B" w:rsidRDefault="002A4DDF" w:rsidP="009110ED">
            <w:pPr>
              <w:rPr>
                <w:rFonts w:ascii="Arial" w:hAnsi="Arial" w:cs="Arial"/>
                <w:sz w:val="12"/>
                <w:szCs w:val="12"/>
              </w:rPr>
            </w:pPr>
          </w:p>
        </w:tc>
        <w:tc>
          <w:tcPr>
            <w:tcW w:w="2268" w:type="dxa"/>
            <w:shd w:val="clear" w:color="auto" w:fill="F2F2F2"/>
            <w:hideMark/>
          </w:tcPr>
          <w:p w14:paraId="070C1EC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70594E7" w14:textId="77777777" w:rsidR="002A4DDF" w:rsidRPr="00937C8B" w:rsidRDefault="002A4DDF" w:rsidP="009110ED">
            <w:pPr>
              <w:rPr>
                <w:rFonts w:ascii="Arial" w:hAnsi="Arial" w:cs="Arial"/>
                <w:sz w:val="12"/>
                <w:szCs w:val="12"/>
              </w:rPr>
            </w:pPr>
            <w:r>
              <w:rPr>
                <w:rFonts w:ascii="Arial" w:hAnsi="Arial"/>
                <w:sz w:val="12"/>
                <w:szCs w:val="12"/>
              </w:rPr>
              <w:t>Solana de Ávila</w:t>
            </w:r>
          </w:p>
        </w:tc>
      </w:tr>
      <w:tr w:rsidR="002A4DDF" w:rsidRPr="00937C8B" w14:paraId="26648AA7" w14:textId="77777777" w:rsidTr="00935676">
        <w:trPr>
          <w:cantSplit/>
        </w:trPr>
        <w:tc>
          <w:tcPr>
            <w:tcW w:w="1696" w:type="dxa"/>
            <w:tcBorders>
              <w:left w:val="single" w:sz="4" w:space="0" w:color="auto"/>
            </w:tcBorders>
            <w:shd w:val="clear" w:color="auto" w:fill="auto"/>
          </w:tcPr>
          <w:p w14:paraId="07A2B19A" w14:textId="77777777" w:rsidR="002A4DDF" w:rsidRPr="00937C8B" w:rsidRDefault="002A4DDF" w:rsidP="009110ED">
            <w:pPr>
              <w:rPr>
                <w:rFonts w:ascii="Arial" w:hAnsi="Arial" w:cs="Arial"/>
                <w:sz w:val="12"/>
                <w:szCs w:val="12"/>
              </w:rPr>
            </w:pPr>
          </w:p>
        </w:tc>
        <w:tc>
          <w:tcPr>
            <w:tcW w:w="1843" w:type="dxa"/>
            <w:shd w:val="clear" w:color="auto" w:fill="auto"/>
          </w:tcPr>
          <w:p w14:paraId="07841DA4" w14:textId="77777777" w:rsidR="002A4DDF" w:rsidRPr="00937C8B" w:rsidRDefault="002A4DDF" w:rsidP="009110ED">
            <w:pPr>
              <w:rPr>
                <w:rFonts w:ascii="Arial" w:hAnsi="Arial" w:cs="Arial"/>
                <w:sz w:val="12"/>
                <w:szCs w:val="12"/>
              </w:rPr>
            </w:pPr>
          </w:p>
        </w:tc>
        <w:tc>
          <w:tcPr>
            <w:tcW w:w="2268" w:type="dxa"/>
            <w:shd w:val="clear" w:color="auto" w:fill="F2F2F2"/>
            <w:hideMark/>
          </w:tcPr>
          <w:p w14:paraId="7271D4F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405323A" w14:textId="77777777" w:rsidR="002A4DDF" w:rsidRPr="00937C8B" w:rsidRDefault="002A4DDF" w:rsidP="009110ED">
            <w:pPr>
              <w:rPr>
                <w:rFonts w:ascii="Arial" w:hAnsi="Arial" w:cs="Arial"/>
                <w:sz w:val="12"/>
                <w:szCs w:val="12"/>
              </w:rPr>
            </w:pPr>
            <w:r>
              <w:rPr>
                <w:rFonts w:ascii="Arial" w:hAnsi="Arial"/>
                <w:sz w:val="12"/>
                <w:szCs w:val="12"/>
              </w:rPr>
              <w:t>Solana de Rioalmar</w:t>
            </w:r>
          </w:p>
        </w:tc>
      </w:tr>
      <w:tr w:rsidR="002A4DDF" w:rsidRPr="00937C8B" w14:paraId="69CB8F5E" w14:textId="77777777" w:rsidTr="00935676">
        <w:trPr>
          <w:cantSplit/>
        </w:trPr>
        <w:tc>
          <w:tcPr>
            <w:tcW w:w="1696" w:type="dxa"/>
            <w:tcBorders>
              <w:left w:val="single" w:sz="4" w:space="0" w:color="auto"/>
            </w:tcBorders>
            <w:shd w:val="clear" w:color="auto" w:fill="auto"/>
          </w:tcPr>
          <w:p w14:paraId="7A27E941" w14:textId="77777777" w:rsidR="002A4DDF" w:rsidRPr="00937C8B" w:rsidRDefault="002A4DDF" w:rsidP="009110ED">
            <w:pPr>
              <w:rPr>
                <w:rFonts w:ascii="Arial" w:hAnsi="Arial" w:cs="Arial"/>
                <w:sz w:val="12"/>
                <w:szCs w:val="12"/>
              </w:rPr>
            </w:pPr>
          </w:p>
        </w:tc>
        <w:tc>
          <w:tcPr>
            <w:tcW w:w="1843" w:type="dxa"/>
            <w:shd w:val="clear" w:color="auto" w:fill="auto"/>
          </w:tcPr>
          <w:p w14:paraId="682C527B" w14:textId="77777777" w:rsidR="002A4DDF" w:rsidRPr="00937C8B" w:rsidRDefault="002A4DDF" w:rsidP="009110ED">
            <w:pPr>
              <w:rPr>
                <w:rFonts w:ascii="Arial" w:hAnsi="Arial" w:cs="Arial"/>
                <w:sz w:val="12"/>
                <w:szCs w:val="12"/>
              </w:rPr>
            </w:pPr>
          </w:p>
        </w:tc>
        <w:tc>
          <w:tcPr>
            <w:tcW w:w="2268" w:type="dxa"/>
            <w:shd w:val="clear" w:color="auto" w:fill="F2F2F2"/>
            <w:hideMark/>
          </w:tcPr>
          <w:p w14:paraId="076519D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C9E23AD" w14:textId="77777777" w:rsidR="002A4DDF" w:rsidRPr="00937C8B" w:rsidRDefault="002A4DDF" w:rsidP="009110ED">
            <w:pPr>
              <w:rPr>
                <w:rFonts w:ascii="Arial" w:hAnsi="Arial" w:cs="Arial"/>
                <w:sz w:val="12"/>
                <w:szCs w:val="12"/>
              </w:rPr>
            </w:pPr>
            <w:r>
              <w:rPr>
                <w:rFonts w:ascii="Arial" w:hAnsi="Arial"/>
                <w:sz w:val="12"/>
                <w:szCs w:val="12"/>
              </w:rPr>
              <w:t>Solosancho</w:t>
            </w:r>
          </w:p>
        </w:tc>
      </w:tr>
      <w:tr w:rsidR="002A4DDF" w:rsidRPr="00937C8B" w14:paraId="1AF24A54" w14:textId="77777777" w:rsidTr="00935676">
        <w:trPr>
          <w:cantSplit/>
        </w:trPr>
        <w:tc>
          <w:tcPr>
            <w:tcW w:w="1696" w:type="dxa"/>
            <w:tcBorders>
              <w:left w:val="single" w:sz="4" w:space="0" w:color="auto"/>
            </w:tcBorders>
            <w:shd w:val="clear" w:color="auto" w:fill="auto"/>
          </w:tcPr>
          <w:p w14:paraId="4147FC17" w14:textId="77777777" w:rsidR="002A4DDF" w:rsidRPr="00937C8B" w:rsidRDefault="002A4DDF" w:rsidP="009110ED">
            <w:pPr>
              <w:rPr>
                <w:rFonts w:ascii="Arial" w:hAnsi="Arial" w:cs="Arial"/>
                <w:sz w:val="12"/>
                <w:szCs w:val="12"/>
              </w:rPr>
            </w:pPr>
          </w:p>
        </w:tc>
        <w:tc>
          <w:tcPr>
            <w:tcW w:w="1843" w:type="dxa"/>
            <w:shd w:val="clear" w:color="auto" w:fill="auto"/>
          </w:tcPr>
          <w:p w14:paraId="019ECA43" w14:textId="77777777" w:rsidR="002A4DDF" w:rsidRPr="00937C8B" w:rsidRDefault="002A4DDF" w:rsidP="009110ED">
            <w:pPr>
              <w:rPr>
                <w:rFonts w:ascii="Arial" w:hAnsi="Arial" w:cs="Arial"/>
                <w:sz w:val="12"/>
                <w:szCs w:val="12"/>
              </w:rPr>
            </w:pPr>
          </w:p>
        </w:tc>
        <w:tc>
          <w:tcPr>
            <w:tcW w:w="2268" w:type="dxa"/>
            <w:shd w:val="clear" w:color="auto" w:fill="F2F2F2"/>
            <w:hideMark/>
          </w:tcPr>
          <w:p w14:paraId="43C21FE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94E4679" w14:textId="77777777" w:rsidR="002A4DDF" w:rsidRPr="00937C8B" w:rsidRDefault="002A4DDF" w:rsidP="009110ED">
            <w:pPr>
              <w:rPr>
                <w:rFonts w:ascii="Arial" w:hAnsi="Arial" w:cs="Arial"/>
                <w:sz w:val="12"/>
                <w:szCs w:val="12"/>
              </w:rPr>
            </w:pPr>
            <w:r>
              <w:rPr>
                <w:rFonts w:ascii="Arial" w:hAnsi="Arial"/>
                <w:sz w:val="12"/>
                <w:szCs w:val="12"/>
              </w:rPr>
              <w:t>Sotalbo</w:t>
            </w:r>
          </w:p>
        </w:tc>
      </w:tr>
      <w:tr w:rsidR="002A4DDF" w:rsidRPr="00937C8B" w14:paraId="425BF229" w14:textId="77777777" w:rsidTr="00935676">
        <w:trPr>
          <w:cantSplit/>
        </w:trPr>
        <w:tc>
          <w:tcPr>
            <w:tcW w:w="1696" w:type="dxa"/>
            <w:tcBorders>
              <w:left w:val="single" w:sz="4" w:space="0" w:color="auto"/>
            </w:tcBorders>
            <w:shd w:val="clear" w:color="auto" w:fill="auto"/>
          </w:tcPr>
          <w:p w14:paraId="5C1A3F19" w14:textId="77777777" w:rsidR="002A4DDF" w:rsidRPr="00937C8B" w:rsidRDefault="002A4DDF" w:rsidP="009110ED">
            <w:pPr>
              <w:rPr>
                <w:rFonts w:ascii="Arial" w:hAnsi="Arial" w:cs="Arial"/>
                <w:sz w:val="12"/>
                <w:szCs w:val="12"/>
              </w:rPr>
            </w:pPr>
          </w:p>
        </w:tc>
        <w:tc>
          <w:tcPr>
            <w:tcW w:w="1843" w:type="dxa"/>
            <w:shd w:val="clear" w:color="auto" w:fill="auto"/>
          </w:tcPr>
          <w:p w14:paraId="75F37FF7" w14:textId="77777777" w:rsidR="002A4DDF" w:rsidRPr="00937C8B" w:rsidRDefault="002A4DDF" w:rsidP="009110ED">
            <w:pPr>
              <w:rPr>
                <w:rFonts w:ascii="Arial" w:hAnsi="Arial" w:cs="Arial"/>
                <w:sz w:val="12"/>
                <w:szCs w:val="12"/>
              </w:rPr>
            </w:pPr>
          </w:p>
        </w:tc>
        <w:tc>
          <w:tcPr>
            <w:tcW w:w="2268" w:type="dxa"/>
            <w:shd w:val="clear" w:color="auto" w:fill="F2F2F2"/>
            <w:hideMark/>
          </w:tcPr>
          <w:p w14:paraId="1981176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86C6B45" w14:textId="77777777" w:rsidR="002A4DDF" w:rsidRPr="00937C8B" w:rsidRDefault="002A4DDF" w:rsidP="009110ED">
            <w:pPr>
              <w:rPr>
                <w:rFonts w:ascii="Arial" w:hAnsi="Arial" w:cs="Arial"/>
                <w:sz w:val="12"/>
                <w:szCs w:val="12"/>
              </w:rPr>
            </w:pPr>
            <w:r>
              <w:rPr>
                <w:rFonts w:ascii="Arial" w:hAnsi="Arial"/>
                <w:sz w:val="12"/>
                <w:szCs w:val="12"/>
              </w:rPr>
              <w:t>Sotillo de la Adrada</w:t>
            </w:r>
          </w:p>
        </w:tc>
      </w:tr>
      <w:tr w:rsidR="002A4DDF" w:rsidRPr="00937C8B" w14:paraId="595F4D14" w14:textId="77777777" w:rsidTr="00935676">
        <w:trPr>
          <w:cantSplit/>
        </w:trPr>
        <w:tc>
          <w:tcPr>
            <w:tcW w:w="1696" w:type="dxa"/>
            <w:tcBorders>
              <w:left w:val="single" w:sz="4" w:space="0" w:color="auto"/>
            </w:tcBorders>
            <w:shd w:val="clear" w:color="auto" w:fill="auto"/>
          </w:tcPr>
          <w:p w14:paraId="5C65DC4B" w14:textId="77777777" w:rsidR="002A4DDF" w:rsidRPr="00937C8B" w:rsidRDefault="002A4DDF" w:rsidP="009110ED">
            <w:pPr>
              <w:rPr>
                <w:rFonts w:ascii="Arial" w:hAnsi="Arial" w:cs="Arial"/>
                <w:sz w:val="12"/>
                <w:szCs w:val="12"/>
              </w:rPr>
            </w:pPr>
          </w:p>
        </w:tc>
        <w:tc>
          <w:tcPr>
            <w:tcW w:w="1843" w:type="dxa"/>
            <w:shd w:val="clear" w:color="auto" w:fill="auto"/>
          </w:tcPr>
          <w:p w14:paraId="4AC11B70" w14:textId="77777777" w:rsidR="002A4DDF" w:rsidRPr="00937C8B" w:rsidRDefault="002A4DDF" w:rsidP="009110ED">
            <w:pPr>
              <w:rPr>
                <w:rFonts w:ascii="Arial" w:hAnsi="Arial" w:cs="Arial"/>
                <w:sz w:val="12"/>
                <w:szCs w:val="12"/>
              </w:rPr>
            </w:pPr>
          </w:p>
        </w:tc>
        <w:tc>
          <w:tcPr>
            <w:tcW w:w="2268" w:type="dxa"/>
            <w:shd w:val="clear" w:color="auto" w:fill="F2F2F2"/>
            <w:hideMark/>
          </w:tcPr>
          <w:p w14:paraId="6D466AA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175A59D" w14:textId="77777777" w:rsidR="002A4DDF" w:rsidRPr="00937C8B" w:rsidRDefault="002A4DDF" w:rsidP="009110ED">
            <w:pPr>
              <w:rPr>
                <w:rFonts w:ascii="Arial" w:hAnsi="Arial" w:cs="Arial"/>
                <w:sz w:val="12"/>
                <w:szCs w:val="12"/>
              </w:rPr>
            </w:pPr>
            <w:r>
              <w:rPr>
                <w:rFonts w:ascii="Arial" w:hAnsi="Arial"/>
                <w:sz w:val="12"/>
                <w:szCs w:val="12"/>
              </w:rPr>
              <w:t>Tolbaños</w:t>
            </w:r>
          </w:p>
        </w:tc>
      </w:tr>
      <w:tr w:rsidR="002A4DDF" w:rsidRPr="00937C8B" w14:paraId="076A875F" w14:textId="77777777" w:rsidTr="00935676">
        <w:trPr>
          <w:cantSplit/>
        </w:trPr>
        <w:tc>
          <w:tcPr>
            <w:tcW w:w="1696" w:type="dxa"/>
            <w:tcBorders>
              <w:left w:val="single" w:sz="4" w:space="0" w:color="auto"/>
            </w:tcBorders>
            <w:shd w:val="clear" w:color="auto" w:fill="auto"/>
          </w:tcPr>
          <w:p w14:paraId="381CD853" w14:textId="77777777" w:rsidR="002A4DDF" w:rsidRPr="00937C8B" w:rsidRDefault="002A4DDF" w:rsidP="009110ED">
            <w:pPr>
              <w:rPr>
                <w:rFonts w:ascii="Arial" w:hAnsi="Arial" w:cs="Arial"/>
                <w:sz w:val="12"/>
                <w:szCs w:val="12"/>
              </w:rPr>
            </w:pPr>
          </w:p>
        </w:tc>
        <w:tc>
          <w:tcPr>
            <w:tcW w:w="1843" w:type="dxa"/>
            <w:shd w:val="clear" w:color="auto" w:fill="auto"/>
          </w:tcPr>
          <w:p w14:paraId="45A3BCBF" w14:textId="77777777" w:rsidR="002A4DDF" w:rsidRPr="00937C8B" w:rsidRDefault="002A4DDF" w:rsidP="009110ED">
            <w:pPr>
              <w:rPr>
                <w:rFonts w:ascii="Arial" w:hAnsi="Arial" w:cs="Arial"/>
                <w:sz w:val="12"/>
                <w:szCs w:val="12"/>
              </w:rPr>
            </w:pPr>
          </w:p>
        </w:tc>
        <w:tc>
          <w:tcPr>
            <w:tcW w:w="2268" w:type="dxa"/>
            <w:shd w:val="clear" w:color="auto" w:fill="F2F2F2"/>
            <w:hideMark/>
          </w:tcPr>
          <w:p w14:paraId="358CC80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4E16EF4" w14:textId="77777777" w:rsidR="002A4DDF" w:rsidRPr="00937C8B" w:rsidRDefault="002A4DDF" w:rsidP="009110ED">
            <w:pPr>
              <w:rPr>
                <w:rFonts w:ascii="Arial" w:hAnsi="Arial" w:cs="Arial"/>
                <w:sz w:val="12"/>
                <w:szCs w:val="12"/>
              </w:rPr>
            </w:pPr>
            <w:r>
              <w:rPr>
                <w:rFonts w:ascii="Arial" w:hAnsi="Arial"/>
                <w:sz w:val="12"/>
                <w:szCs w:val="12"/>
              </w:rPr>
              <w:t>Tormellas</w:t>
            </w:r>
          </w:p>
        </w:tc>
      </w:tr>
      <w:tr w:rsidR="002A4DDF" w:rsidRPr="00937C8B" w14:paraId="7CDEEE0E" w14:textId="77777777" w:rsidTr="00935676">
        <w:trPr>
          <w:cantSplit/>
        </w:trPr>
        <w:tc>
          <w:tcPr>
            <w:tcW w:w="1696" w:type="dxa"/>
            <w:tcBorders>
              <w:left w:val="single" w:sz="4" w:space="0" w:color="auto"/>
            </w:tcBorders>
            <w:shd w:val="clear" w:color="auto" w:fill="auto"/>
          </w:tcPr>
          <w:p w14:paraId="1CD7FD63" w14:textId="77777777" w:rsidR="002A4DDF" w:rsidRPr="00937C8B" w:rsidRDefault="002A4DDF" w:rsidP="009110ED">
            <w:pPr>
              <w:rPr>
                <w:rFonts w:ascii="Arial" w:hAnsi="Arial" w:cs="Arial"/>
                <w:sz w:val="12"/>
                <w:szCs w:val="12"/>
              </w:rPr>
            </w:pPr>
          </w:p>
        </w:tc>
        <w:tc>
          <w:tcPr>
            <w:tcW w:w="1843" w:type="dxa"/>
            <w:shd w:val="clear" w:color="auto" w:fill="auto"/>
          </w:tcPr>
          <w:p w14:paraId="25208972" w14:textId="77777777" w:rsidR="002A4DDF" w:rsidRPr="00937C8B" w:rsidRDefault="002A4DDF" w:rsidP="009110ED">
            <w:pPr>
              <w:rPr>
                <w:rFonts w:ascii="Arial" w:hAnsi="Arial" w:cs="Arial"/>
                <w:sz w:val="12"/>
                <w:szCs w:val="12"/>
              </w:rPr>
            </w:pPr>
          </w:p>
        </w:tc>
        <w:tc>
          <w:tcPr>
            <w:tcW w:w="2268" w:type="dxa"/>
            <w:shd w:val="clear" w:color="auto" w:fill="F2F2F2"/>
            <w:hideMark/>
          </w:tcPr>
          <w:p w14:paraId="6C45A30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68BD108" w14:textId="77777777" w:rsidR="002A4DDF" w:rsidRPr="00937C8B" w:rsidRDefault="002A4DDF" w:rsidP="009110ED">
            <w:pPr>
              <w:rPr>
                <w:rFonts w:ascii="Arial" w:hAnsi="Arial" w:cs="Arial"/>
                <w:sz w:val="12"/>
                <w:szCs w:val="12"/>
              </w:rPr>
            </w:pPr>
            <w:r>
              <w:rPr>
                <w:rFonts w:ascii="Arial" w:hAnsi="Arial"/>
                <w:sz w:val="12"/>
                <w:szCs w:val="12"/>
              </w:rPr>
              <w:t>Tornadizos de Ávila</w:t>
            </w:r>
          </w:p>
        </w:tc>
      </w:tr>
      <w:tr w:rsidR="002A4DDF" w:rsidRPr="00937C8B" w14:paraId="5E4B49D4" w14:textId="77777777" w:rsidTr="00935676">
        <w:trPr>
          <w:cantSplit/>
        </w:trPr>
        <w:tc>
          <w:tcPr>
            <w:tcW w:w="1696" w:type="dxa"/>
            <w:tcBorders>
              <w:left w:val="single" w:sz="4" w:space="0" w:color="auto"/>
            </w:tcBorders>
            <w:shd w:val="clear" w:color="auto" w:fill="auto"/>
          </w:tcPr>
          <w:p w14:paraId="0F5F7A3D" w14:textId="77777777" w:rsidR="002A4DDF" w:rsidRPr="00937C8B" w:rsidRDefault="002A4DDF" w:rsidP="009110ED">
            <w:pPr>
              <w:rPr>
                <w:rFonts w:ascii="Arial" w:hAnsi="Arial" w:cs="Arial"/>
                <w:sz w:val="12"/>
                <w:szCs w:val="12"/>
              </w:rPr>
            </w:pPr>
          </w:p>
        </w:tc>
        <w:tc>
          <w:tcPr>
            <w:tcW w:w="1843" w:type="dxa"/>
            <w:shd w:val="clear" w:color="auto" w:fill="auto"/>
          </w:tcPr>
          <w:p w14:paraId="5CE1200B" w14:textId="77777777" w:rsidR="002A4DDF" w:rsidRPr="00937C8B" w:rsidRDefault="002A4DDF" w:rsidP="009110ED">
            <w:pPr>
              <w:rPr>
                <w:rFonts w:ascii="Arial" w:hAnsi="Arial" w:cs="Arial"/>
                <w:sz w:val="12"/>
                <w:szCs w:val="12"/>
              </w:rPr>
            </w:pPr>
          </w:p>
        </w:tc>
        <w:tc>
          <w:tcPr>
            <w:tcW w:w="2268" w:type="dxa"/>
            <w:shd w:val="clear" w:color="auto" w:fill="F2F2F2"/>
            <w:hideMark/>
          </w:tcPr>
          <w:p w14:paraId="4397347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AC3A2DA" w14:textId="77777777" w:rsidR="002A4DDF" w:rsidRPr="00937C8B" w:rsidRDefault="002A4DDF" w:rsidP="009110ED">
            <w:pPr>
              <w:rPr>
                <w:rFonts w:ascii="Arial" w:hAnsi="Arial" w:cs="Arial"/>
                <w:sz w:val="12"/>
                <w:szCs w:val="12"/>
              </w:rPr>
            </w:pPr>
            <w:r>
              <w:rPr>
                <w:rFonts w:ascii="Arial" w:hAnsi="Arial"/>
                <w:sz w:val="12"/>
                <w:szCs w:val="12"/>
              </w:rPr>
              <w:t>Tórtoles</w:t>
            </w:r>
          </w:p>
        </w:tc>
      </w:tr>
      <w:tr w:rsidR="002A4DDF" w:rsidRPr="00937C8B" w14:paraId="5AFF95D0" w14:textId="77777777" w:rsidTr="00935676">
        <w:trPr>
          <w:cantSplit/>
        </w:trPr>
        <w:tc>
          <w:tcPr>
            <w:tcW w:w="1696" w:type="dxa"/>
            <w:tcBorders>
              <w:left w:val="single" w:sz="4" w:space="0" w:color="auto"/>
            </w:tcBorders>
            <w:shd w:val="clear" w:color="auto" w:fill="auto"/>
          </w:tcPr>
          <w:p w14:paraId="095C328B" w14:textId="77777777" w:rsidR="002A4DDF" w:rsidRPr="00937C8B" w:rsidRDefault="002A4DDF" w:rsidP="009110ED">
            <w:pPr>
              <w:rPr>
                <w:rFonts w:ascii="Arial" w:hAnsi="Arial" w:cs="Arial"/>
                <w:sz w:val="12"/>
                <w:szCs w:val="12"/>
              </w:rPr>
            </w:pPr>
          </w:p>
        </w:tc>
        <w:tc>
          <w:tcPr>
            <w:tcW w:w="1843" w:type="dxa"/>
            <w:shd w:val="clear" w:color="auto" w:fill="auto"/>
          </w:tcPr>
          <w:p w14:paraId="310BC0E2" w14:textId="77777777" w:rsidR="002A4DDF" w:rsidRPr="00937C8B" w:rsidRDefault="002A4DDF" w:rsidP="009110ED">
            <w:pPr>
              <w:rPr>
                <w:rFonts w:ascii="Arial" w:hAnsi="Arial" w:cs="Arial"/>
                <w:sz w:val="12"/>
                <w:szCs w:val="12"/>
              </w:rPr>
            </w:pPr>
          </w:p>
        </w:tc>
        <w:tc>
          <w:tcPr>
            <w:tcW w:w="2268" w:type="dxa"/>
            <w:shd w:val="clear" w:color="auto" w:fill="F2F2F2"/>
            <w:hideMark/>
          </w:tcPr>
          <w:p w14:paraId="2AF3756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8EB6E9E" w14:textId="77777777" w:rsidR="002A4DDF" w:rsidRPr="00937C8B" w:rsidRDefault="002A4DDF" w:rsidP="009110ED">
            <w:pPr>
              <w:rPr>
                <w:rFonts w:ascii="Arial" w:hAnsi="Arial" w:cs="Arial"/>
                <w:sz w:val="12"/>
                <w:szCs w:val="12"/>
              </w:rPr>
            </w:pPr>
            <w:r>
              <w:rPr>
                <w:rFonts w:ascii="Arial" w:hAnsi="Arial"/>
                <w:sz w:val="12"/>
                <w:szCs w:val="12"/>
              </w:rPr>
              <w:t>Umbrías</w:t>
            </w:r>
          </w:p>
        </w:tc>
      </w:tr>
      <w:tr w:rsidR="002A4DDF" w:rsidRPr="00937C8B" w14:paraId="1B576BCB" w14:textId="77777777" w:rsidTr="00935676">
        <w:trPr>
          <w:cantSplit/>
        </w:trPr>
        <w:tc>
          <w:tcPr>
            <w:tcW w:w="1696" w:type="dxa"/>
            <w:tcBorders>
              <w:left w:val="single" w:sz="4" w:space="0" w:color="auto"/>
            </w:tcBorders>
            <w:shd w:val="clear" w:color="auto" w:fill="auto"/>
          </w:tcPr>
          <w:p w14:paraId="1A23346A" w14:textId="77777777" w:rsidR="002A4DDF" w:rsidRPr="00937C8B" w:rsidRDefault="002A4DDF" w:rsidP="009110ED">
            <w:pPr>
              <w:rPr>
                <w:rFonts w:ascii="Arial" w:hAnsi="Arial" w:cs="Arial"/>
                <w:sz w:val="12"/>
                <w:szCs w:val="12"/>
              </w:rPr>
            </w:pPr>
          </w:p>
        </w:tc>
        <w:tc>
          <w:tcPr>
            <w:tcW w:w="1843" w:type="dxa"/>
            <w:shd w:val="clear" w:color="auto" w:fill="auto"/>
          </w:tcPr>
          <w:p w14:paraId="539E96E8" w14:textId="77777777" w:rsidR="002A4DDF" w:rsidRPr="00937C8B" w:rsidRDefault="002A4DDF" w:rsidP="009110ED">
            <w:pPr>
              <w:rPr>
                <w:rFonts w:ascii="Arial" w:hAnsi="Arial" w:cs="Arial"/>
                <w:sz w:val="12"/>
                <w:szCs w:val="12"/>
              </w:rPr>
            </w:pPr>
          </w:p>
        </w:tc>
        <w:tc>
          <w:tcPr>
            <w:tcW w:w="2268" w:type="dxa"/>
            <w:shd w:val="clear" w:color="auto" w:fill="F2F2F2"/>
            <w:hideMark/>
          </w:tcPr>
          <w:p w14:paraId="0610184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2810988" w14:textId="77777777" w:rsidR="002A4DDF" w:rsidRPr="00937C8B" w:rsidRDefault="002A4DDF" w:rsidP="009110ED">
            <w:pPr>
              <w:rPr>
                <w:rFonts w:ascii="Arial" w:hAnsi="Arial" w:cs="Arial"/>
                <w:sz w:val="12"/>
                <w:szCs w:val="12"/>
              </w:rPr>
            </w:pPr>
            <w:r>
              <w:rPr>
                <w:rFonts w:ascii="Arial" w:hAnsi="Arial"/>
                <w:sz w:val="12"/>
                <w:szCs w:val="12"/>
              </w:rPr>
              <w:t>Vadillo de la Sierra</w:t>
            </w:r>
          </w:p>
        </w:tc>
      </w:tr>
      <w:tr w:rsidR="002A4DDF" w:rsidRPr="00937C8B" w14:paraId="645099DE" w14:textId="77777777" w:rsidTr="00935676">
        <w:trPr>
          <w:cantSplit/>
        </w:trPr>
        <w:tc>
          <w:tcPr>
            <w:tcW w:w="1696" w:type="dxa"/>
            <w:tcBorders>
              <w:left w:val="single" w:sz="4" w:space="0" w:color="auto"/>
            </w:tcBorders>
            <w:shd w:val="clear" w:color="auto" w:fill="auto"/>
          </w:tcPr>
          <w:p w14:paraId="03CF05DE" w14:textId="77777777" w:rsidR="002A4DDF" w:rsidRPr="00937C8B" w:rsidRDefault="002A4DDF" w:rsidP="009110ED">
            <w:pPr>
              <w:rPr>
                <w:rFonts w:ascii="Arial" w:hAnsi="Arial" w:cs="Arial"/>
                <w:sz w:val="12"/>
                <w:szCs w:val="12"/>
              </w:rPr>
            </w:pPr>
          </w:p>
        </w:tc>
        <w:tc>
          <w:tcPr>
            <w:tcW w:w="1843" w:type="dxa"/>
            <w:shd w:val="clear" w:color="auto" w:fill="auto"/>
          </w:tcPr>
          <w:p w14:paraId="3820D530" w14:textId="77777777" w:rsidR="002A4DDF" w:rsidRPr="00937C8B" w:rsidRDefault="002A4DDF" w:rsidP="009110ED">
            <w:pPr>
              <w:rPr>
                <w:rFonts w:ascii="Arial" w:hAnsi="Arial" w:cs="Arial"/>
                <w:sz w:val="12"/>
                <w:szCs w:val="12"/>
              </w:rPr>
            </w:pPr>
          </w:p>
        </w:tc>
        <w:tc>
          <w:tcPr>
            <w:tcW w:w="2268" w:type="dxa"/>
            <w:shd w:val="clear" w:color="auto" w:fill="F2F2F2"/>
            <w:hideMark/>
          </w:tcPr>
          <w:p w14:paraId="5E9F6D7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537AF66" w14:textId="77777777" w:rsidR="002A4DDF" w:rsidRPr="00937C8B" w:rsidRDefault="002A4DDF" w:rsidP="009110ED">
            <w:pPr>
              <w:rPr>
                <w:rFonts w:ascii="Arial" w:hAnsi="Arial" w:cs="Arial"/>
                <w:sz w:val="12"/>
                <w:szCs w:val="12"/>
              </w:rPr>
            </w:pPr>
            <w:r>
              <w:rPr>
                <w:rFonts w:ascii="Arial" w:hAnsi="Arial"/>
                <w:sz w:val="12"/>
                <w:szCs w:val="12"/>
              </w:rPr>
              <w:t>Valdecasa</w:t>
            </w:r>
          </w:p>
        </w:tc>
      </w:tr>
      <w:tr w:rsidR="002A4DDF" w:rsidRPr="00937C8B" w14:paraId="065B3F4D" w14:textId="77777777" w:rsidTr="00935676">
        <w:trPr>
          <w:cantSplit/>
        </w:trPr>
        <w:tc>
          <w:tcPr>
            <w:tcW w:w="1696" w:type="dxa"/>
            <w:tcBorders>
              <w:left w:val="single" w:sz="4" w:space="0" w:color="auto"/>
            </w:tcBorders>
            <w:shd w:val="clear" w:color="auto" w:fill="auto"/>
          </w:tcPr>
          <w:p w14:paraId="032BD43C" w14:textId="77777777" w:rsidR="002A4DDF" w:rsidRPr="00937C8B" w:rsidRDefault="002A4DDF" w:rsidP="009110ED">
            <w:pPr>
              <w:rPr>
                <w:rFonts w:ascii="Arial" w:hAnsi="Arial" w:cs="Arial"/>
                <w:sz w:val="12"/>
                <w:szCs w:val="12"/>
              </w:rPr>
            </w:pPr>
          </w:p>
        </w:tc>
        <w:tc>
          <w:tcPr>
            <w:tcW w:w="1843" w:type="dxa"/>
            <w:shd w:val="clear" w:color="auto" w:fill="auto"/>
          </w:tcPr>
          <w:p w14:paraId="4379BB91" w14:textId="77777777" w:rsidR="002A4DDF" w:rsidRPr="00937C8B" w:rsidRDefault="002A4DDF" w:rsidP="009110ED">
            <w:pPr>
              <w:rPr>
                <w:rFonts w:ascii="Arial" w:hAnsi="Arial" w:cs="Arial"/>
                <w:sz w:val="12"/>
                <w:szCs w:val="12"/>
              </w:rPr>
            </w:pPr>
          </w:p>
        </w:tc>
        <w:tc>
          <w:tcPr>
            <w:tcW w:w="2268" w:type="dxa"/>
            <w:shd w:val="clear" w:color="auto" w:fill="F2F2F2"/>
            <w:hideMark/>
          </w:tcPr>
          <w:p w14:paraId="301D853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78D64A6" w14:textId="77777777" w:rsidR="002A4DDF" w:rsidRPr="00937C8B" w:rsidRDefault="002A4DDF" w:rsidP="009110ED">
            <w:pPr>
              <w:rPr>
                <w:rFonts w:ascii="Arial" w:hAnsi="Arial" w:cs="Arial"/>
                <w:sz w:val="12"/>
                <w:szCs w:val="12"/>
              </w:rPr>
            </w:pPr>
            <w:r>
              <w:rPr>
                <w:rFonts w:ascii="Arial" w:hAnsi="Arial"/>
                <w:sz w:val="12"/>
                <w:szCs w:val="12"/>
              </w:rPr>
              <w:t>Villafranca de la Sierra</w:t>
            </w:r>
          </w:p>
        </w:tc>
      </w:tr>
      <w:tr w:rsidR="002A4DDF" w:rsidRPr="00937C8B" w14:paraId="096A570A" w14:textId="77777777" w:rsidTr="00935676">
        <w:trPr>
          <w:cantSplit/>
        </w:trPr>
        <w:tc>
          <w:tcPr>
            <w:tcW w:w="1696" w:type="dxa"/>
            <w:tcBorders>
              <w:left w:val="single" w:sz="4" w:space="0" w:color="auto"/>
            </w:tcBorders>
            <w:shd w:val="clear" w:color="auto" w:fill="auto"/>
          </w:tcPr>
          <w:p w14:paraId="75981E59" w14:textId="77777777" w:rsidR="002A4DDF" w:rsidRPr="00937C8B" w:rsidRDefault="002A4DDF" w:rsidP="009110ED">
            <w:pPr>
              <w:rPr>
                <w:rFonts w:ascii="Arial" w:hAnsi="Arial" w:cs="Arial"/>
                <w:sz w:val="12"/>
                <w:szCs w:val="12"/>
              </w:rPr>
            </w:pPr>
          </w:p>
        </w:tc>
        <w:tc>
          <w:tcPr>
            <w:tcW w:w="1843" w:type="dxa"/>
            <w:shd w:val="clear" w:color="auto" w:fill="auto"/>
          </w:tcPr>
          <w:p w14:paraId="67D13111" w14:textId="77777777" w:rsidR="002A4DDF" w:rsidRPr="00937C8B" w:rsidRDefault="002A4DDF" w:rsidP="009110ED">
            <w:pPr>
              <w:rPr>
                <w:rFonts w:ascii="Arial" w:hAnsi="Arial" w:cs="Arial"/>
                <w:sz w:val="12"/>
                <w:szCs w:val="12"/>
              </w:rPr>
            </w:pPr>
          </w:p>
        </w:tc>
        <w:tc>
          <w:tcPr>
            <w:tcW w:w="2268" w:type="dxa"/>
            <w:shd w:val="clear" w:color="auto" w:fill="F2F2F2"/>
            <w:hideMark/>
          </w:tcPr>
          <w:p w14:paraId="5F54596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1F5AFE9" w14:textId="77777777" w:rsidR="002A4DDF" w:rsidRPr="00937C8B" w:rsidRDefault="002A4DDF" w:rsidP="009110ED">
            <w:pPr>
              <w:rPr>
                <w:rFonts w:ascii="Arial" w:hAnsi="Arial" w:cs="Arial"/>
                <w:sz w:val="12"/>
                <w:szCs w:val="12"/>
              </w:rPr>
            </w:pPr>
            <w:r>
              <w:rPr>
                <w:rFonts w:ascii="Arial" w:hAnsi="Arial"/>
                <w:sz w:val="12"/>
                <w:szCs w:val="12"/>
              </w:rPr>
              <w:t>Villanueva de Ávila</w:t>
            </w:r>
          </w:p>
        </w:tc>
      </w:tr>
      <w:tr w:rsidR="002A4DDF" w:rsidRPr="00937C8B" w14:paraId="6CF0716F" w14:textId="77777777" w:rsidTr="00935676">
        <w:trPr>
          <w:cantSplit/>
        </w:trPr>
        <w:tc>
          <w:tcPr>
            <w:tcW w:w="1696" w:type="dxa"/>
            <w:tcBorders>
              <w:left w:val="single" w:sz="4" w:space="0" w:color="auto"/>
            </w:tcBorders>
            <w:shd w:val="clear" w:color="auto" w:fill="auto"/>
          </w:tcPr>
          <w:p w14:paraId="4F99C27E" w14:textId="77777777" w:rsidR="002A4DDF" w:rsidRPr="00937C8B" w:rsidRDefault="002A4DDF" w:rsidP="009110ED">
            <w:pPr>
              <w:rPr>
                <w:rFonts w:ascii="Arial" w:hAnsi="Arial" w:cs="Arial"/>
                <w:sz w:val="12"/>
                <w:szCs w:val="12"/>
              </w:rPr>
            </w:pPr>
          </w:p>
        </w:tc>
        <w:tc>
          <w:tcPr>
            <w:tcW w:w="1843" w:type="dxa"/>
            <w:shd w:val="clear" w:color="auto" w:fill="auto"/>
          </w:tcPr>
          <w:p w14:paraId="58C74DE3" w14:textId="77777777" w:rsidR="002A4DDF" w:rsidRPr="00937C8B" w:rsidRDefault="002A4DDF" w:rsidP="009110ED">
            <w:pPr>
              <w:rPr>
                <w:rFonts w:ascii="Arial" w:hAnsi="Arial" w:cs="Arial"/>
                <w:sz w:val="12"/>
                <w:szCs w:val="12"/>
              </w:rPr>
            </w:pPr>
          </w:p>
        </w:tc>
        <w:tc>
          <w:tcPr>
            <w:tcW w:w="2268" w:type="dxa"/>
            <w:shd w:val="clear" w:color="auto" w:fill="F2F2F2"/>
            <w:hideMark/>
          </w:tcPr>
          <w:p w14:paraId="7103EFC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F1392B8" w14:textId="77777777" w:rsidR="002A4DDF" w:rsidRPr="00937C8B" w:rsidRDefault="002A4DDF" w:rsidP="009110ED">
            <w:pPr>
              <w:rPr>
                <w:rFonts w:ascii="Arial" w:hAnsi="Arial" w:cs="Arial"/>
                <w:sz w:val="12"/>
                <w:szCs w:val="12"/>
              </w:rPr>
            </w:pPr>
            <w:r>
              <w:rPr>
                <w:rFonts w:ascii="Arial" w:hAnsi="Arial"/>
                <w:sz w:val="12"/>
                <w:szCs w:val="12"/>
              </w:rPr>
              <w:t>Villanueva del Campillo</w:t>
            </w:r>
          </w:p>
        </w:tc>
      </w:tr>
      <w:tr w:rsidR="002A4DDF" w:rsidRPr="00937C8B" w14:paraId="1D1E0DA5" w14:textId="77777777" w:rsidTr="00935676">
        <w:trPr>
          <w:cantSplit/>
        </w:trPr>
        <w:tc>
          <w:tcPr>
            <w:tcW w:w="1696" w:type="dxa"/>
            <w:tcBorders>
              <w:left w:val="single" w:sz="4" w:space="0" w:color="auto"/>
            </w:tcBorders>
            <w:shd w:val="clear" w:color="auto" w:fill="auto"/>
          </w:tcPr>
          <w:p w14:paraId="5F3CB24C" w14:textId="77777777" w:rsidR="002A4DDF" w:rsidRPr="00937C8B" w:rsidRDefault="002A4DDF" w:rsidP="009110ED">
            <w:pPr>
              <w:rPr>
                <w:rFonts w:ascii="Arial" w:hAnsi="Arial" w:cs="Arial"/>
                <w:sz w:val="12"/>
                <w:szCs w:val="12"/>
              </w:rPr>
            </w:pPr>
          </w:p>
        </w:tc>
        <w:tc>
          <w:tcPr>
            <w:tcW w:w="1843" w:type="dxa"/>
            <w:shd w:val="clear" w:color="auto" w:fill="auto"/>
          </w:tcPr>
          <w:p w14:paraId="3690FAEE" w14:textId="77777777" w:rsidR="002A4DDF" w:rsidRPr="00937C8B" w:rsidRDefault="002A4DDF" w:rsidP="009110ED">
            <w:pPr>
              <w:rPr>
                <w:rFonts w:ascii="Arial" w:hAnsi="Arial" w:cs="Arial"/>
                <w:sz w:val="12"/>
                <w:szCs w:val="12"/>
              </w:rPr>
            </w:pPr>
          </w:p>
        </w:tc>
        <w:tc>
          <w:tcPr>
            <w:tcW w:w="2268" w:type="dxa"/>
            <w:shd w:val="clear" w:color="auto" w:fill="F2F2F2"/>
            <w:hideMark/>
          </w:tcPr>
          <w:p w14:paraId="72F756D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5CAB8BE" w14:textId="77777777" w:rsidR="002A4DDF" w:rsidRPr="00937C8B" w:rsidRDefault="002A4DDF" w:rsidP="009110ED">
            <w:pPr>
              <w:rPr>
                <w:rFonts w:ascii="Arial" w:hAnsi="Arial" w:cs="Arial"/>
                <w:sz w:val="12"/>
                <w:szCs w:val="12"/>
              </w:rPr>
            </w:pPr>
            <w:r>
              <w:rPr>
                <w:rFonts w:ascii="Arial" w:hAnsi="Arial"/>
                <w:sz w:val="12"/>
                <w:szCs w:val="12"/>
              </w:rPr>
              <w:t>Villarejo del Valle</w:t>
            </w:r>
          </w:p>
        </w:tc>
      </w:tr>
      <w:tr w:rsidR="002A4DDF" w:rsidRPr="00937C8B" w14:paraId="6D300217" w14:textId="77777777" w:rsidTr="00935676">
        <w:trPr>
          <w:cantSplit/>
        </w:trPr>
        <w:tc>
          <w:tcPr>
            <w:tcW w:w="1696" w:type="dxa"/>
            <w:tcBorders>
              <w:left w:val="single" w:sz="4" w:space="0" w:color="auto"/>
            </w:tcBorders>
            <w:shd w:val="clear" w:color="auto" w:fill="auto"/>
          </w:tcPr>
          <w:p w14:paraId="24FE2465" w14:textId="77777777" w:rsidR="002A4DDF" w:rsidRPr="00937C8B" w:rsidRDefault="002A4DDF" w:rsidP="009110ED">
            <w:pPr>
              <w:rPr>
                <w:rFonts w:ascii="Arial" w:hAnsi="Arial" w:cs="Arial"/>
                <w:sz w:val="12"/>
                <w:szCs w:val="12"/>
              </w:rPr>
            </w:pPr>
          </w:p>
        </w:tc>
        <w:tc>
          <w:tcPr>
            <w:tcW w:w="1843" w:type="dxa"/>
            <w:shd w:val="clear" w:color="auto" w:fill="auto"/>
          </w:tcPr>
          <w:p w14:paraId="44C70C09" w14:textId="77777777" w:rsidR="002A4DDF" w:rsidRPr="00937C8B" w:rsidRDefault="002A4DDF" w:rsidP="009110ED">
            <w:pPr>
              <w:rPr>
                <w:rFonts w:ascii="Arial" w:hAnsi="Arial" w:cs="Arial"/>
                <w:sz w:val="12"/>
                <w:szCs w:val="12"/>
              </w:rPr>
            </w:pPr>
          </w:p>
        </w:tc>
        <w:tc>
          <w:tcPr>
            <w:tcW w:w="2268" w:type="dxa"/>
            <w:shd w:val="clear" w:color="auto" w:fill="F2F2F2"/>
            <w:hideMark/>
          </w:tcPr>
          <w:p w14:paraId="23258AD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24C1E36" w14:textId="77777777" w:rsidR="002A4DDF" w:rsidRPr="00937C8B" w:rsidRDefault="002A4DDF" w:rsidP="009110ED">
            <w:pPr>
              <w:rPr>
                <w:rFonts w:ascii="Arial" w:hAnsi="Arial" w:cs="Arial"/>
                <w:sz w:val="12"/>
                <w:szCs w:val="12"/>
              </w:rPr>
            </w:pPr>
            <w:r>
              <w:rPr>
                <w:rFonts w:ascii="Arial" w:hAnsi="Arial"/>
                <w:sz w:val="12"/>
                <w:szCs w:val="12"/>
              </w:rPr>
              <w:t>Villatoro</w:t>
            </w:r>
          </w:p>
        </w:tc>
      </w:tr>
      <w:tr w:rsidR="002A4DDF" w:rsidRPr="00937C8B" w14:paraId="29FD5E4A" w14:textId="77777777" w:rsidTr="00935676">
        <w:trPr>
          <w:cantSplit/>
        </w:trPr>
        <w:tc>
          <w:tcPr>
            <w:tcW w:w="1696" w:type="dxa"/>
            <w:tcBorders>
              <w:left w:val="single" w:sz="4" w:space="0" w:color="auto"/>
            </w:tcBorders>
            <w:shd w:val="clear" w:color="auto" w:fill="auto"/>
          </w:tcPr>
          <w:p w14:paraId="65CD0B96" w14:textId="77777777" w:rsidR="002A4DDF" w:rsidRPr="00937C8B" w:rsidRDefault="002A4DDF" w:rsidP="009110ED">
            <w:pPr>
              <w:rPr>
                <w:rFonts w:ascii="Arial" w:hAnsi="Arial" w:cs="Arial"/>
                <w:sz w:val="12"/>
                <w:szCs w:val="12"/>
              </w:rPr>
            </w:pPr>
          </w:p>
        </w:tc>
        <w:tc>
          <w:tcPr>
            <w:tcW w:w="1843" w:type="dxa"/>
            <w:shd w:val="clear" w:color="auto" w:fill="auto"/>
          </w:tcPr>
          <w:p w14:paraId="0642749A" w14:textId="77777777" w:rsidR="002A4DDF" w:rsidRPr="00937C8B" w:rsidRDefault="002A4DDF" w:rsidP="009110ED">
            <w:pPr>
              <w:rPr>
                <w:rFonts w:ascii="Arial" w:hAnsi="Arial" w:cs="Arial"/>
                <w:sz w:val="12"/>
                <w:szCs w:val="12"/>
              </w:rPr>
            </w:pPr>
          </w:p>
        </w:tc>
        <w:tc>
          <w:tcPr>
            <w:tcW w:w="2268" w:type="dxa"/>
            <w:shd w:val="clear" w:color="auto" w:fill="F2F2F2"/>
            <w:hideMark/>
          </w:tcPr>
          <w:p w14:paraId="3E7FFC2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EF86311" w14:textId="77777777" w:rsidR="002A4DDF" w:rsidRPr="00937C8B" w:rsidRDefault="002A4DDF" w:rsidP="009110ED">
            <w:pPr>
              <w:rPr>
                <w:rFonts w:ascii="Arial" w:hAnsi="Arial" w:cs="Arial"/>
                <w:sz w:val="12"/>
                <w:szCs w:val="12"/>
              </w:rPr>
            </w:pPr>
            <w:r>
              <w:rPr>
                <w:rFonts w:ascii="Arial" w:hAnsi="Arial"/>
                <w:sz w:val="12"/>
                <w:szCs w:val="12"/>
              </w:rPr>
              <w:t>Zapardiel de la Cañada</w:t>
            </w:r>
          </w:p>
        </w:tc>
      </w:tr>
      <w:tr w:rsidR="002A4DDF" w:rsidRPr="00937C8B" w14:paraId="354946E6" w14:textId="77777777" w:rsidTr="00935676">
        <w:trPr>
          <w:cantSplit/>
        </w:trPr>
        <w:tc>
          <w:tcPr>
            <w:tcW w:w="1696" w:type="dxa"/>
            <w:tcBorders>
              <w:left w:val="single" w:sz="4" w:space="0" w:color="auto"/>
              <w:bottom w:val="single" w:sz="4" w:space="0" w:color="auto"/>
            </w:tcBorders>
            <w:shd w:val="clear" w:color="auto" w:fill="auto"/>
            <w:hideMark/>
          </w:tcPr>
          <w:p w14:paraId="781711EC"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bottom w:val="single" w:sz="4" w:space="0" w:color="auto"/>
            </w:tcBorders>
            <w:shd w:val="clear" w:color="auto" w:fill="auto"/>
            <w:hideMark/>
          </w:tcPr>
          <w:p w14:paraId="28179128" w14:textId="77777777" w:rsidR="002A4DDF" w:rsidRPr="00937C8B" w:rsidRDefault="002A4DDF" w:rsidP="009110ED">
            <w:pPr>
              <w:rPr>
                <w:rFonts w:ascii="Arial" w:hAnsi="Arial" w:cs="Arial"/>
                <w:sz w:val="12"/>
                <w:szCs w:val="12"/>
              </w:rPr>
            </w:pPr>
            <w:r>
              <w:rPr>
                <w:rFonts w:ascii="Arial" w:hAnsi="Arial"/>
                <w:sz w:val="12"/>
                <w:szCs w:val="12"/>
              </w:rPr>
              <w:t>Ávila</w:t>
            </w:r>
          </w:p>
        </w:tc>
        <w:tc>
          <w:tcPr>
            <w:tcW w:w="2268" w:type="dxa"/>
            <w:tcBorders>
              <w:bottom w:val="single" w:sz="4" w:space="0" w:color="auto"/>
            </w:tcBorders>
            <w:shd w:val="clear" w:color="auto" w:fill="F2F2F2"/>
            <w:hideMark/>
          </w:tcPr>
          <w:p w14:paraId="2B288047"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4BCDE7FA" w14:textId="77777777" w:rsidR="002A4DDF" w:rsidRPr="00937C8B" w:rsidRDefault="002A4DDF" w:rsidP="009110ED">
            <w:pPr>
              <w:rPr>
                <w:rFonts w:ascii="Arial" w:hAnsi="Arial" w:cs="Arial"/>
                <w:sz w:val="12"/>
                <w:szCs w:val="12"/>
              </w:rPr>
            </w:pPr>
            <w:r>
              <w:rPr>
                <w:rFonts w:ascii="Arial" w:hAnsi="Arial"/>
                <w:sz w:val="12"/>
                <w:szCs w:val="12"/>
              </w:rPr>
              <w:t>Zapardiel de la Ribera</w:t>
            </w:r>
          </w:p>
        </w:tc>
      </w:tr>
      <w:tr w:rsidR="002A4DDF" w:rsidRPr="00937C8B" w14:paraId="5BC1806D" w14:textId="77777777" w:rsidTr="00935676">
        <w:trPr>
          <w:cantSplit/>
        </w:trPr>
        <w:tc>
          <w:tcPr>
            <w:tcW w:w="1696" w:type="dxa"/>
            <w:tcBorders>
              <w:top w:val="single" w:sz="4" w:space="0" w:color="auto"/>
              <w:bottom w:val="single" w:sz="4" w:space="0" w:color="auto"/>
            </w:tcBorders>
            <w:shd w:val="clear" w:color="auto" w:fill="auto"/>
            <w:hideMark/>
          </w:tcPr>
          <w:p w14:paraId="5731C0AB"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2AB9352B"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1E396C51"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1BFD3406" w14:textId="77777777" w:rsidR="002A4DDF" w:rsidRPr="00937C8B" w:rsidRDefault="002A4DDF" w:rsidP="009110ED">
            <w:pPr>
              <w:rPr>
                <w:rFonts w:ascii="Arial" w:hAnsi="Arial" w:cs="Arial"/>
                <w:sz w:val="12"/>
                <w:szCs w:val="12"/>
              </w:rPr>
            </w:pPr>
          </w:p>
        </w:tc>
      </w:tr>
      <w:tr w:rsidR="002A4DDF" w:rsidRPr="00937C8B" w14:paraId="6EBC5512" w14:textId="77777777" w:rsidTr="00935676">
        <w:trPr>
          <w:cantSplit/>
        </w:trPr>
        <w:tc>
          <w:tcPr>
            <w:tcW w:w="1696" w:type="dxa"/>
            <w:tcBorders>
              <w:top w:val="single" w:sz="4" w:space="0" w:color="auto"/>
              <w:left w:val="single" w:sz="4" w:space="0" w:color="auto"/>
            </w:tcBorders>
            <w:shd w:val="clear" w:color="auto" w:fill="auto"/>
            <w:hideMark/>
          </w:tcPr>
          <w:p w14:paraId="2968C2EB"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top w:val="single" w:sz="4" w:space="0" w:color="auto"/>
            </w:tcBorders>
            <w:shd w:val="clear" w:color="auto" w:fill="auto"/>
            <w:hideMark/>
          </w:tcPr>
          <w:p w14:paraId="330A8BBC" w14:textId="77777777" w:rsidR="002A4DDF" w:rsidRPr="00937C8B" w:rsidRDefault="002A4DDF" w:rsidP="009110ED">
            <w:pPr>
              <w:rPr>
                <w:rFonts w:ascii="Arial" w:hAnsi="Arial" w:cs="Arial"/>
                <w:sz w:val="12"/>
                <w:szCs w:val="12"/>
              </w:rPr>
            </w:pPr>
            <w:r>
              <w:rPr>
                <w:rFonts w:ascii="Arial" w:hAnsi="Arial"/>
                <w:sz w:val="12"/>
                <w:szCs w:val="12"/>
              </w:rPr>
              <w:t>Burgos</w:t>
            </w:r>
          </w:p>
        </w:tc>
        <w:tc>
          <w:tcPr>
            <w:tcW w:w="2268" w:type="dxa"/>
            <w:tcBorders>
              <w:top w:val="single" w:sz="4" w:space="0" w:color="auto"/>
            </w:tcBorders>
            <w:shd w:val="clear" w:color="auto" w:fill="F2F2F2"/>
            <w:hideMark/>
          </w:tcPr>
          <w:p w14:paraId="369F8762" w14:textId="77777777" w:rsidR="002A4DDF" w:rsidRPr="00937C8B" w:rsidRDefault="002A4DDF" w:rsidP="009110ED">
            <w:pPr>
              <w:rPr>
                <w:rFonts w:ascii="Arial" w:hAnsi="Arial" w:cs="Arial"/>
                <w:sz w:val="12"/>
                <w:szCs w:val="12"/>
              </w:rPr>
            </w:pPr>
            <w:r>
              <w:rPr>
                <w:rFonts w:ascii="Arial" w:hAnsi="Arial"/>
                <w:sz w:val="12"/>
                <w:szCs w:val="12"/>
              </w:rPr>
              <w:t>Alcocero de Mola</w:t>
            </w:r>
          </w:p>
        </w:tc>
        <w:tc>
          <w:tcPr>
            <w:tcW w:w="2268" w:type="dxa"/>
            <w:tcBorders>
              <w:top w:val="single" w:sz="4" w:space="0" w:color="auto"/>
              <w:right w:val="single" w:sz="4" w:space="0" w:color="auto"/>
            </w:tcBorders>
            <w:shd w:val="clear" w:color="auto" w:fill="D9D9D9"/>
            <w:hideMark/>
          </w:tcPr>
          <w:p w14:paraId="21199D82" w14:textId="77777777" w:rsidR="002A4DDF" w:rsidRPr="00937C8B" w:rsidRDefault="002A4DDF" w:rsidP="009110ED">
            <w:pPr>
              <w:rPr>
                <w:rFonts w:ascii="Arial" w:hAnsi="Arial" w:cs="Arial"/>
                <w:sz w:val="12"/>
                <w:szCs w:val="12"/>
              </w:rPr>
            </w:pPr>
          </w:p>
        </w:tc>
      </w:tr>
      <w:tr w:rsidR="002A4DDF" w:rsidRPr="00937C8B" w14:paraId="0E0ACA74" w14:textId="77777777" w:rsidTr="00935676">
        <w:trPr>
          <w:cantSplit/>
        </w:trPr>
        <w:tc>
          <w:tcPr>
            <w:tcW w:w="1696" w:type="dxa"/>
            <w:tcBorders>
              <w:left w:val="single" w:sz="4" w:space="0" w:color="auto"/>
            </w:tcBorders>
            <w:shd w:val="clear" w:color="auto" w:fill="auto"/>
          </w:tcPr>
          <w:p w14:paraId="4A18935E" w14:textId="77777777" w:rsidR="002A4DDF" w:rsidRPr="00937C8B" w:rsidRDefault="002A4DDF" w:rsidP="009110ED">
            <w:pPr>
              <w:rPr>
                <w:rFonts w:ascii="Arial" w:hAnsi="Arial" w:cs="Arial"/>
                <w:sz w:val="12"/>
                <w:szCs w:val="12"/>
              </w:rPr>
            </w:pPr>
          </w:p>
        </w:tc>
        <w:tc>
          <w:tcPr>
            <w:tcW w:w="1843" w:type="dxa"/>
            <w:shd w:val="clear" w:color="auto" w:fill="auto"/>
          </w:tcPr>
          <w:p w14:paraId="2BDA527E" w14:textId="77777777" w:rsidR="002A4DDF" w:rsidRPr="00937C8B" w:rsidRDefault="002A4DDF" w:rsidP="009110ED">
            <w:pPr>
              <w:rPr>
                <w:rFonts w:ascii="Arial" w:hAnsi="Arial" w:cs="Arial"/>
                <w:sz w:val="12"/>
                <w:szCs w:val="12"/>
              </w:rPr>
            </w:pPr>
          </w:p>
        </w:tc>
        <w:tc>
          <w:tcPr>
            <w:tcW w:w="2268" w:type="dxa"/>
            <w:shd w:val="clear" w:color="auto" w:fill="F2F2F2"/>
            <w:hideMark/>
          </w:tcPr>
          <w:p w14:paraId="719B8157" w14:textId="77777777" w:rsidR="002A4DDF" w:rsidRPr="00937C8B" w:rsidRDefault="002A4DDF" w:rsidP="009110ED">
            <w:pPr>
              <w:rPr>
                <w:rFonts w:ascii="Arial" w:hAnsi="Arial" w:cs="Arial"/>
                <w:sz w:val="12"/>
                <w:szCs w:val="12"/>
              </w:rPr>
            </w:pPr>
            <w:r>
              <w:rPr>
                <w:rFonts w:ascii="Arial" w:hAnsi="Arial"/>
                <w:sz w:val="12"/>
                <w:szCs w:val="12"/>
              </w:rPr>
              <w:t>Arlanzón</w:t>
            </w:r>
          </w:p>
        </w:tc>
        <w:tc>
          <w:tcPr>
            <w:tcW w:w="2268" w:type="dxa"/>
            <w:tcBorders>
              <w:right w:val="single" w:sz="4" w:space="0" w:color="auto"/>
            </w:tcBorders>
            <w:shd w:val="clear" w:color="auto" w:fill="D9D9D9"/>
            <w:hideMark/>
          </w:tcPr>
          <w:p w14:paraId="75BDD113" w14:textId="77777777" w:rsidR="002A4DDF" w:rsidRPr="00937C8B" w:rsidRDefault="002A4DDF" w:rsidP="009110ED">
            <w:pPr>
              <w:rPr>
                <w:rFonts w:ascii="Arial" w:hAnsi="Arial" w:cs="Arial"/>
                <w:sz w:val="12"/>
                <w:szCs w:val="12"/>
              </w:rPr>
            </w:pPr>
          </w:p>
        </w:tc>
      </w:tr>
      <w:tr w:rsidR="002A4DDF" w:rsidRPr="00937C8B" w14:paraId="35F72FF2" w14:textId="77777777" w:rsidTr="00935676">
        <w:trPr>
          <w:cantSplit/>
        </w:trPr>
        <w:tc>
          <w:tcPr>
            <w:tcW w:w="1696" w:type="dxa"/>
            <w:tcBorders>
              <w:left w:val="single" w:sz="4" w:space="0" w:color="auto"/>
            </w:tcBorders>
            <w:shd w:val="clear" w:color="auto" w:fill="auto"/>
          </w:tcPr>
          <w:p w14:paraId="4F05840E" w14:textId="77777777" w:rsidR="002A4DDF" w:rsidRPr="00937C8B" w:rsidRDefault="002A4DDF" w:rsidP="009110ED">
            <w:pPr>
              <w:rPr>
                <w:rFonts w:ascii="Arial" w:hAnsi="Arial" w:cs="Arial"/>
                <w:sz w:val="12"/>
                <w:szCs w:val="12"/>
              </w:rPr>
            </w:pPr>
          </w:p>
        </w:tc>
        <w:tc>
          <w:tcPr>
            <w:tcW w:w="1843" w:type="dxa"/>
            <w:shd w:val="clear" w:color="auto" w:fill="auto"/>
          </w:tcPr>
          <w:p w14:paraId="21A7E49B" w14:textId="77777777" w:rsidR="002A4DDF" w:rsidRPr="00937C8B" w:rsidRDefault="002A4DDF" w:rsidP="009110ED">
            <w:pPr>
              <w:rPr>
                <w:rFonts w:ascii="Arial" w:hAnsi="Arial" w:cs="Arial"/>
                <w:sz w:val="12"/>
                <w:szCs w:val="12"/>
              </w:rPr>
            </w:pPr>
          </w:p>
        </w:tc>
        <w:tc>
          <w:tcPr>
            <w:tcW w:w="2268" w:type="dxa"/>
            <w:shd w:val="clear" w:color="auto" w:fill="F2F2F2"/>
            <w:hideMark/>
          </w:tcPr>
          <w:p w14:paraId="40F9C7C7" w14:textId="77777777" w:rsidR="002A4DDF" w:rsidRPr="00937C8B" w:rsidRDefault="002A4DDF" w:rsidP="009110ED">
            <w:pPr>
              <w:rPr>
                <w:rFonts w:ascii="Arial" w:hAnsi="Arial" w:cs="Arial"/>
                <w:sz w:val="12"/>
                <w:szCs w:val="12"/>
              </w:rPr>
            </w:pPr>
            <w:r>
              <w:rPr>
                <w:rFonts w:ascii="Arial" w:hAnsi="Arial"/>
                <w:sz w:val="12"/>
                <w:szCs w:val="12"/>
              </w:rPr>
              <w:t>Arraya de Oca</w:t>
            </w:r>
          </w:p>
        </w:tc>
        <w:tc>
          <w:tcPr>
            <w:tcW w:w="2268" w:type="dxa"/>
            <w:tcBorders>
              <w:right w:val="single" w:sz="4" w:space="0" w:color="auto"/>
            </w:tcBorders>
            <w:shd w:val="clear" w:color="auto" w:fill="D9D9D9"/>
            <w:hideMark/>
          </w:tcPr>
          <w:p w14:paraId="49720358" w14:textId="77777777" w:rsidR="002A4DDF" w:rsidRPr="00937C8B" w:rsidRDefault="002A4DDF" w:rsidP="009110ED">
            <w:pPr>
              <w:rPr>
                <w:rFonts w:ascii="Arial" w:hAnsi="Arial" w:cs="Arial"/>
                <w:sz w:val="12"/>
                <w:szCs w:val="12"/>
              </w:rPr>
            </w:pPr>
          </w:p>
        </w:tc>
      </w:tr>
      <w:tr w:rsidR="002A4DDF" w:rsidRPr="00937C8B" w14:paraId="4BA023BE" w14:textId="77777777" w:rsidTr="00935676">
        <w:trPr>
          <w:cantSplit/>
        </w:trPr>
        <w:tc>
          <w:tcPr>
            <w:tcW w:w="1696" w:type="dxa"/>
            <w:tcBorders>
              <w:left w:val="single" w:sz="4" w:space="0" w:color="auto"/>
            </w:tcBorders>
            <w:shd w:val="clear" w:color="auto" w:fill="auto"/>
          </w:tcPr>
          <w:p w14:paraId="66F71CBF" w14:textId="77777777" w:rsidR="002A4DDF" w:rsidRPr="00937C8B" w:rsidRDefault="002A4DDF" w:rsidP="009110ED">
            <w:pPr>
              <w:rPr>
                <w:rFonts w:ascii="Arial" w:hAnsi="Arial" w:cs="Arial"/>
                <w:sz w:val="12"/>
                <w:szCs w:val="12"/>
              </w:rPr>
            </w:pPr>
          </w:p>
        </w:tc>
        <w:tc>
          <w:tcPr>
            <w:tcW w:w="1843" w:type="dxa"/>
            <w:shd w:val="clear" w:color="auto" w:fill="auto"/>
          </w:tcPr>
          <w:p w14:paraId="3116B051" w14:textId="77777777" w:rsidR="002A4DDF" w:rsidRPr="00937C8B" w:rsidRDefault="002A4DDF" w:rsidP="009110ED">
            <w:pPr>
              <w:rPr>
                <w:rFonts w:ascii="Arial" w:hAnsi="Arial" w:cs="Arial"/>
                <w:sz w:val="12"/>
                <w:szCs w:val="12"/>
              </w:rPr>
            </w:pPr>
          </w:p>
        </w:tc>
        <w:tc>
          <w:tcPr>
            <w:tcW w:w="2268" w:type="dxa"/>
            <w:shd w:val="clear" w:color="auto" w:fill="F2F2F2"/>
            <w:hideMark/>
          </w:tcPr>
          <w:p w14:paraId="4E76E09A" w14:textId="77777777" w:rsidR="002A4DDF" w:rsidRPr="00937C8B" w:rsidRDefault="002A4DDF" w:rsidP="009110ED">
            <w:pPr>
              <w:rPr>
                <w:rFonts w:ascii="Arial" w:hAnsi="Arial" w:cs="Arial"/>
                <w:sz w:val="12"/>
                <w:szCs w:val="12"/>
              </w:rPr>
            </w:pPr>
            <w:r>
              <w:rPr>
                <w:rFonts w:ascii="Arial" w:hAnsi="Arial"/>
                <w:sz w:val="12"/>
                <w:szCs w:val="12"/>
              </w:rPr>
              <w:t>Atapuerca</w:t>
            </w:r>
          </w:p>
        </w:tc>
        <w:tc>
          <w:tcPr>
            <w:tcW w:w="2268" w:type="dxa"/>
            <w:tcBorders>
              <w:right w:val="single" w:sz="4" w:space="0" w:color="auto"/>
            </w:tcBorders>
            <w:shd w:val="clear" w:color="auto" w:fill="D9D9D9"/>
            <w:hideMark/>
          </w:tcPr>
          <w:p w14:paraId="4193513B" w14:textId="77777777" w:rsidR="002A4DDF" w:rsidRPr="00937C8B" w:rsidRDefault="002A4DDF" w:rsidP="009110ED">
            <w:pPr>
              <w:rPr>
                <w:rFonts w:ascii="Arial" w:hAnsi="Arial" w:cs="Arial"/>
                <w:sz w:val="12"/>
                <w:szCs w:val="12"/>
              </w:rPr>
            </w:pPr>
          </w:p>
        </w:tc>
      </w:tr>
      <w:tr w:rsidR="002A4DDF" w:rsidRPr="00937C8B" w14:paraId="759077FA" w14:textId="77777777" w:rsidTr="00935676">
        <w:trPr>
          <w:cantSplit/>
        </w:trPr>
        <w:tc>
          <w:tcPr>
            <w:tcW w:w="1696" w:type="dxa"/>
            <w:tcBorders>
              <w:left w:val="single" w:sz="4" w:space="0" w:color="auto"/>
            </w:tcBorders>
            <w:shd w:val="clear" w:color="auto" w:fill="auto"/>
          </w:tcPr>
          <w:p w14:paraId="59880BA9" w14:textId="77777777" w:rsidR="002A4DDF" w:rsidRPr="00937C8B" w:rsidRDefault="002A4DDF" w:rsidP="009110ED">
            <w:pPr>
              <w:rPr>
                <w:rFonts w:ascii="Arial" w:hAnsi="Arial" w:cs="Arial"/>
                <w:sz w:val="12"/>
                <w:szCs w:val="12"/>
              </w:rPr>
            </w:pPr>
          </w:p>
        </w:tc>
        <w:tc>
          <w:tcPr>
            <w:tcW w:w="1843" w:type="dxa"/>
            <w:shd w:val="clear" w:color="auto" w:fill="auto"/>
          </w:tcPr>
          <w:p w14:paraId="533431DA" w14:textId="77777777" w:rsidR="002A4DDF" w:rsidRPr="00937C8B" w:rsidRDefault="002A4DDF" w:rsidP="009110ED">
            <w:pPr>
              <w:rPr>
                <w:rFonts w:ascii="Arial" w:hAnsi="Arial" w:cs="Arial"/>
                <w:sz w:val="12"/>
                <w:szCs w:val="12"/>
              </w:rPr>
            </w:pPr>
          </w:p>
        </w:tc>
        <w:tc>
          <w:tcPr>
            <w:tcW w:w="2268" w:type="dxa"/>
            <w:shd w:val="clear" w:color="auto" w:fill="F2F2F2"/>
            <w:hideMark/>
          </w:tcPr>
          <w:p w14:paraId="146961C6" w14:textId="77777777" w:rsidR="002A4DDF" w:rsidRPr="00937C8B" w:rsidRDefault="002A4DDF" w:rsidP="009110ED">
            <w:pPr>
              <w:rPr>
                <w:rFonts w:ascii="Arial" w:hAnsi="Arial" w:cs="Arial"/>
                <w:sz w:val="12"/>
                <w:szCs w:val="12"/>
              </w:rPr>
            </w:pPr>
            <w:r>
              <w:rPr>
                <w:rFonts w:ascii="Arial" w:hAnsi="Arial"/>
                <w:sz w:val="12"/>
                <w:szCs w:val="12"/>
              </w:rPr>
              <w:t>Bañuelos de Bureba</w:t>
            </w:r>
          </w:p>
        </w:tc>
        <w:tc>
          <w:tcPr>
            <w:tcW w:w="2268" w:type="dxa"/>
            <w:tcBorders>
              <w:right w:val="single" w:sz="4" w:space="0" w:color="auto"/>
            </w:tcBorders>
            <w:shd w:val="clear" w:color="auto" w:fill="D9D9D9"/>
            <w:hideMark/>
          </w:tcPr>
          <w:p w14:paraId="29D899C9" w14:textId="77777777" w:rsidR="002A4DDF" w:rsidRPr="00937C8B" w:rsidRDefault="002A4DDF" w:rsidP="009110ED">
            <w:pPr>
              <w:rPr>
                <w:rFonts w:ascii="Arial" w:hAnsi="Arial" w:cs="Arial"/>
                <w:sz w:val="12"/>
                <w:szCs w:val="12"/>
              </w:rPr>
            </w:pPr>
          </w:p>
        </w:tc>
      </w:tr>
      <w:tr w:rsidR="002A4DDF" w:rsidRPr="00937C8B" w14:paraId="15D92967" w14:textId="77777777" w:rsidTr="00935676">
        <w:trPr>
          <w:cantSplit/>
        </w:trPr>
        <w:tc>
          <w:tcPr>
            <w:tcW w:w="1696" w:type="dxa"/>
            <w:tcBorders>
              <w:left w:val="single" w:sz="4" w:space="0" w:color="auto"/>
            </w:tcBorders>
            <w:shd w:val="clear" w:color="auto" w:fill="auto"/>
          </w:tcPr>
          <w:p w14:paraId="4257A85B" w14:textId="77777777" w:rsidR="002A4DDF" w:rsidRPr="00937C8B" w:rsidRDefault="002A4DDF" w:rsidP="009110ED">
            <w:pPr>
              <w:rPr>
                <w:rFonts w:ascii="Arial" w:hAnsi="Arial" w:cs="Arial"/>
                <w:sz w:val="12"/>
                <w:szCs w:val="12"/>
              </w:rPr>
            </w:pPr>
          </w:p>
        </w:tc>
        <w:tc>
          <w:tcPr>
            <w:tcW w:w="1843" w:type="dxa"/>
            <w:shd w:val="clear" w:color="auto" w:fill="auto"/>
          </w:tcPr>
          <w:p w14:paraId="37E292AF" w14:textId="77777777" w:rsidR="002A4DDF" w:rsidRPr="00937C8B" w:rsidRDefault="002A4DDF" w:rsidP="009110ED">
            <w:pPr>
              <w:rPr>
                <w:rFonts w:ascii="Arial" w:hAnsi="Arial" w:cs="Arial"/>
                <w:sz w:val="12"/>
                <w:szCs w:val="12"/>
              </w:rPr>
            </w:pPr>
          </w:p>
        </w:tc>
        <w:tc>
          <w:tcPr>
            <w:tcW w:w="2268" w:type="dxa"/>
            <w:shd w:val="clear" w:color="auto" w:fill="F2F2F2"/>
            <w:hideMark/>
          </w:tcPr>
          <w:p w14:paraId="0A22256F" w14:textId="77777777" w:rsidR="002A4DDF" w:rsidRPr="00937C8B" w:rsidRDefault="002A4DDF" w:rsidP="009110ED">
            <w:pPr>
              <w:rPr>
                <w:rFonts w:ascii="Arial" w:hAnsi="Arial" w:cs="Arial"/>
                <w:sz w:val="12"/>
                <w:szCs w:val="12"/>
              </w:rPr>
            </w:pPr>
            <w:r>
              <w:rPr>
                <w:rFonts w:ascii="Arial" w:hAnsi="Arial"/>
                <w:sz w:val="12"/>
                <w:szCs w:val="12"/>
              </w:rPr>
              <w:t>Barbadillo del Mercado</w:t>
            </w:r>
          </w:p>
        </w:tc>
        <w:tc>
          <w:tcPr>
            <w:tcW w:w="2268" w:type="dxa"/>
            <w:tcBorders>
              <w:right w:val="single" w:sz="4" w:space="0" w:color="auto"/>
            </w:tcBorders>
            <w:shd w:val="clear" w:color="auto" w:fill="D9D9D9"/>
            <w:hideMark/>
          </w:tcPr>
          <w:p w14:paraId="5B02CF57" w14:textId="77777777" w:rsidR="002A4DDF" w:rsidRPr="00937C8B" w:rsidRDefault="002A4DDF" w:rsidP="009110ED">
            <w:pPr>
              <w:rPr>
                <w:rFonts w:ascii="Arial" w:hAnsi="Arial" w:cs="Arial"/>
                <w:sz w:val="12"/>
                <w:szCs w:val="12"/>
              </w:rPr>
            </w:pPr>
          </w:p>
        </w:tc>
      </w:tr>
      <w:tr w:rsidR="002A4DDF" w:rsidRPr="00937C8B" w14:paraId="445D93E0" w14:textId="77777777" w:rsidTr="00935676">
        <w:trPr>
          <w:cantSplit/>
        </w:trPr>
        <w:tc>
          <w:tcPr>
            <w:tcW w:w="1696" w:type="dxa"/>
            <w:tcBorders>
              <w:left w:val="single" w:sz="4" w:space="0" w:color="auto"/>
            </w:tcBorders>
            <w:shd w:val="clear" w:color="auto" w:fill="auto"/>
          </w:tcPr>
          <w:p w14:paraId="4716245E" w14:textId="77777777" w:rsidR="002A4DDF" w:rsidRPr="00937C8B" w:rsidRDefault="002A4DDF" w:rsidP="009110ED">
            <w:pPr>
              <w:rPr>
                <w:rFonts w:ascii="Arial" w:hAnsi="Arial" w:cs="Arial"/>
                <w:sz w:val="12"/>
                <w:szCs w:val="12"/>
              </w:rPr>
            </w:pPr>
          </w:p>
        </w:tc>
        <w:tc>
          <w:tcPr>
            <w:tcW w:w="1843" w:type="dxa"/>
            <w:shd w:val="clear" w:color="auto" w:fill="auto"/>
          </w:tcPr>
          <w:p w14:paraId="377DFCB8" w14:textId="77777777" w:rsidR="002A4DDF" w:rsidRPr="00937C8B" w:rsidRDefault="002A4DDF" w:rsidP="009110ED">
            <w:pPr>
              <w:rPr>
                <w:rFonts w:ascii="Arial" w:hAnsi="Arial" w:cs="Arial"/>
                <w:sz w:val="12"/>
                <w:szCs w:val="12"/>
              </w:rPr>
            </w:pPr>
          </w:p>
        </w:tc>
        <w:tc>
          <w:tcPr>
            <w:tcW w:w="2268" w:type="dxa"/>
            <w:shd w:val="clear" w:color="auto" w:fill="F2F2F2"/>
            <w:hideMark/>
          </w:tcPr>
          <w:p w14:paraId="7754FF20" w14:textId="77777777" w:rsidR="002A4DDF" w:rsidRPr="00937C8B" w:rsidRDefault="002A4DDF" w:rsidP="009110ED">
            <w:pPr>
              <w:rPr>
                <w:rFonts w:ascii="Arial" w:hAnsi="Arial" w:cs="Arial"/>
                <w:sz w:val="12"/>
                <w:szCs w:val="12"/>
              </w:rPr>
            </w:pPr>
            <w:r>
              <w:rPr>
                <w:rFonts w:ascii="Arial" w:hAnsi="Arial"/>
                <w:sz w:val="12"/>
                <w:szCs w:val="12"/>
              </w:rPr>
              <w:t>Barbadillo del Pez</w:t>
            </w:r>
          </w:p>
        </w:tc>
        <w:tc>
          <w:tcPr>
            <w:tcW w:w="2268" w:type="dxa"/>
            <w:tcBorders>
              <w:right w:val="single" w:sz="4" w:space="0" w:color="auto"/>
            </w:tcBorders>
            <w:shd w:val="clear" w:color="auto" w:fill="D9D9D9"/>
            <w:hideMark/>
          </w:tcPr>
          <w:p w14:paraId="12CC5821" w14:textId="77777777" w:rsidR="002A4DDF" w:rsidRPr="00937C8B" w:rsidRDefault="002A4DDF" w:rsidP="009110ED">
            <w:pPr>
              <w:rPr>
                <w:rFonts w:ascii="Arial" w:hAnsi="Arial" w:cs="Arial"/>
                <w:sz w:val="12"/>
                <w:szCs w:val="12"/>
              </w:rPr>
            </w:pPr>
          </w:p>
        </w:tc>
      </w:tr>
      <w:tr w:rsidR="002A4DDF" w:rsidRPr="00937C8B" w14:paraId="726AAC25" w14:textId="77777777" w:rsidTr="00935676">
        <w:trPr>
          <w:cantSplit/>
        </w:trPr>
        <w:tc>
          <w:tcPr>
            <w:tcW w:w="1696" w:type="dxa"/>
            <w:tcBorders>
              <w:left w:val="single" w:sz="4" w:space="0" w:color="auto"/>
            </w:tcBorders>
            <w:shd w:val="clear" w:color="auto" w:fill="auto"/>
          </w:tcPr>
          <w:p w14:paraId="54FEC074" w14:textId="77777777" w:rsidR="002A4DDF" w:rsidRPr="00937C8B" w:rsidRDefault="002A4DDF" w:rsidP="009110ED">
            <w:pPr>
              <w:rPr>
                <w:rFonts w:ascii="Arial" w:hAnsi="Arial" w:cs="Arial"/>
                <w:sz w:val="12"/>
                <w:szCs w:val="12"/>
              </w:rPr>
            </w:pPr>
          </w:p>
        </w:tc>
        <w:tc>
          <w:tcPr>
            <w:tcW w:w="1843" w:type="dxa"/>
            <w:shd w:val="clear" w:color="auto" w:fill="auto"/>
          </w:tcPr>
          <w:p w14:paraId="4C2A184D" w14:textId="77777777" w:rsidR="002A4DDF" w:rsidRPr="00937C8B" w:rsidRDefault="002A4DDF" w:rsidP="009110ED">
            <w:pPr>
              <w:rPr>
                <w:rFonts w:ascii="Arial" w:hAnsi="Arial" w:cs="Arial"/>
                <w:sz w:val="12"/>
                <w:szCs w:val="12"/>
              </w:rPr>
            </w:pPr>
          </w:p>
        </w:tc>
        <w:tc>
          <w:tcPr>
            <w:tcW w:w="2268" w:type="dxa"/>
            <w:shd w:val="clear" w:color="auto" w:fill="F2F2F2"/>
            <w:hideMark/>
          </w:tcPr>
          <w:p w14:paraId="05F32CF9" w14:textId="77777777" w:rsidR="002A4DDF" w:rsidRPr="00937C8B" w:rsidRDefault="002A4DDF" w:rsidP="009110ED">
            <w:pPr>
              <w:rPr>
                <w:rFonts w:ascii="Arial" w:hAnsi="Arial" w:cs="Arial"/>
                <w:sz w:val="12"/>
                <w:szCs w:val="12"/>
              </w:rPr>
            </w:pPr>
            <w:r>
              <w:rPr>
                <w:rFonts w:ascii="Arial" w:hAnsi="Arial"/>
                <w:sz w:val="12"/>
                <w:szCs w:val="12"/>
              </w:rPr>
              <w:t>Barrios de Colina</w:t>
            </w:r>
          </w:p>
        </w:tc>
        <w:tc>
          <w:tcPr>
            <w:tcW w:w="2268" w:type="dxa"/>
            <w:tcBorders>
              <w:right w:val="single" w:sz="4" w:space="0" w:color="auto"/>
            </w:tcBorders>
            <w:shd w:val="clear" w:color="auto" w:fill="D9D9D9"/>
            <w:hideMark/>
          </w:tcPr>
          <w:p w14:paraId="5D110E9E" w14:textId="77777777" w:rsidR="002A4DDF" w:rsidRPr="00937C8B" w:rsidRDefault="002A4DDF" w:rsidP="009110ED">
            <w:pPr>
              <w:rPr>
                <w:rFonts w:ascii="Arial" w:hAnsi="Arial" w:cs="Arial"/>
                <w:sz w:val="12"/>
                <w:szCs w:val="12"/>
              </w:rPr>
            </w:pPr>
          </w:p>
        </w:tc>
      </w:tr>
      <w:tr w:rsidR="002A4DDF" w:rsidRPr="00937C8B" w14:paraId="3E81E140" w14:textId="77777777" w:rsidTr="00935676">
        <w:trPr>
          <w:cantSplit/>
        </w:trPr>
        <w:tc>
          <w:tcPr>
            <w:tcW w:w="1696" w:type="dxa"/>
            <w:tcBorders>
              <w:left w:val="single" w:sz="4" w:space="0" w:color="auto"/>
            </w:tcBorders>
            <w:shd w:val="clear" w:color="auto" w:fill="auto"/>
          </w:tcPr>
          <w:p w14:paraId="015B051A" w14:textId="77777777" w:rsidR="002A4DDF" w:rsidRPr="00937C8B" w:rsidRDefault="002A4DDF" w:rsidP="009110ED">
            <w:pPr>
              <w:rPr>
                <w:rFonts w:ascii="Arial" w:hAnsi="Arial" w:cs="Arial"/>
                <w:sz w:val="12"/>
                <w:szCs w:val="12"/>
              </w:rPr>
            </w:pPr>
          </w:p>
        </w:tc>
        <w:tc>
          <w:tcPr>
            <w:tcW w:w="1843" w:type="dxa"/>
            <w:shd w:val="clear" w:color="auto" w:fill="auto"/>
          </w:tcPr>
          <w:p w14:paraId="1BDF5B16" w14:textId="77777777" w:rsidR="002A4DDF" w:rsidRPr="00937C8B" w:rsidRDefault="002A4DDF" w:rsidP="009110ED">
            <w:pPr>
              <w:rPr>
                <w:rFonts w:ascii="Arial" w:hAnsi="Arial" w:cs="Arial"/>
                <w:sz w:val="12"/>
                <w:szCs w:val="12"/>
              </w:rPr>
            </w:pPr>
          </w:p>
        </w:tc>
        <w:tc>
          <w:tcPr>
            <w:tcW w:w="2268" w:type="dxa"/>
            <w:shd w:val="clear" w:color="auto" w:fill="F2F2F2"/>
            <w:hideMark/>
          </w:tcPr>
          <w:p w14:paraId="62B62E03" w14:textId="77777777" w:rsidR="002A4DDF" w:rsidRPr="00937C8B" w:rsidRDefault="002A4DDF" w:rsidP="009110ED">
            <w:pPr>
              <w:rPr>
                <w:rFonts w:ascii="Arial" w:hAnsi="Arial" w:cs="Arial"/>
                <w:sz w:val="12"/>
                <w:szCs w:val="12"/>
              </w:rPr>
            </w:pPr>
            <w:r>
              <w:rPr>
                <w:rFonts w:ascii="Arial" w:hAnsi="Arial"/>
                <w:sz w:val="12"/>
                <w:szCs w:val="12"/>
              </w:rPr>
              <w:t>Bascuñana</w:t>
            </w:r>
          </w:p>
        </w:tc>
        <w:tc>
          <w:tcPr>
            <w:tcW w:w="2268" w:type="dxa"/>
            <w:tcBorders>
              <w:right w:val="single" w:sz="4" w:space="0" w:color="auto"/>
            </w:tcBorders>
            <w:shd w:val="clear" w:color="auto" w:fill="D9D9D9"/>
            <w:hideMark/>
          </w:tcPr>
          <w:p w14:paraId="02101853" w14:textId="77777777" w:rsidR="002A4DDF" w:rsidRPr="00937C8B" w:rsidRDefault="002A4DDF" w:rsidP="009110ED">
            <w:pPr>
              <w:rPr>
                <w:rFonts w:ascii="Arial" w:hAnsi="Arial" w:cs="Arial"/>
                <w:sz w:val="12"/>
                <w:szCs w:val="12"/>
              </w:rPr>
            </w:pPr>
          </w:p>
        </w:tc>
      </w:tr>
      <w:tr w:rsidR="002A4DDF" w:rsidRPr="00937C8B" w14:paraId="6BC64D49" w14:textId="77777777" w:rsidTr="00935676">
        <w:trPr>
          <w:cantSplit/>
        </w:trPr>
        <w:tc>
          <w:tcPr>
            <w:tcW w:w="1696" w:type="dxa"/>
            <w:tcBorders>
              <w:left w:val="single" w:sz="4" w:space="0" w:color="auto"/>
            </w:tcBorders>
            <w:shd w:val="clear" w:color="auto" w:fill="auto"/>
          </w:tcPr>
          <w:p w14:paraId="17AB1777" w14:textId="77777777" w:rsidR="002A4DDF" w:rsidRPr="00937C8B" w:rsidRDefault="002A4DDF" w:rsidP="009110ED">
            <w:pPr>
              <w:rPr>
                <w:rFonts w:ascii="Arial" w:hAnsi="Arial" w:cs="Arial"/>
                <w:sz w:val="12"/>
                <w:szCs w:val="12"/>
              </w:rPr>
            </w:pPr>
          </w:p>
        </w:tc>
        <w:tc>
          <w:tcPr>
            <w:tcW w:w="1843" w:type="dxa"/>
            <w:shd w:val="clear" w:color="auto" w:fill="auto"/>
          </w:tcPr>
          <w:p w14:paraId="19AFF817" w14:textId="77777777" w:rsidR="002A4DDF" w:rsidRPr="00937C8B" w:rsidRDefault="002A4DDF" w:rsidP="009110ED">
            <w:pPr>
              <w:rPr>
                <w:rFonts w:ascii="Arial" w:hAnsi="Arial" w:cs="Arial"/>
                <w:sz w:val="12"/>
                <w:szCs w:val="12"/>
              </w:rPr>
            </w:pPr>
          </w:p>
        </w:tc>
        <w:tc>
          <w:tcPr>
            <w:tcW w:w="2268" w:type="dxa"/>
            <w:shd w:val="clear" w:color="auto" w:fill="F2F2F2"/>
            <w:hideMark/>
          </w:tcPr>
          <w:p w14:paraId="0ECD4541" w14:textId="77777777" w:rsidR="002A4DDF" w:rsidRPr="00937C8B" w:rsidRDefault="002A4DDF" w:rsidP="009110ED">
            <w:pPr>
              <w:rPr>
                <w:rFonts w:ascii="Arial" w:hAnsi="Arial" w:cs="Arial"/>
                <w:sz w:val="12"/>
                <w:szCs w:val="12"/>
              </w:rPr>
            </w:pPr>
            <w:r>
              <w:rPr>
                <w:rFonts w:ascii="Arial" w:hAnsi="Arial"/>
                <w:sz w:val="12"/>
                <w:szCs w:val="12"/>
              </w:rPr>
              <w:t>Belorado</w:t>
            </w:r>
          </w:p>
        </w:tc>
        <w:tc>
          <w:tcPr>
            <w:tcW w:w="2268" w:type="dxa"/>
            <w:tcBorders>
              <w:right w:val="single" w:sz="4" w:space="0" w:color="auto"/>
            </w:tcBorders>
            <w:shd w:val="clear" w:color="auto" w:fill="D9D9D9"/>
            <w:hideMark/>
          </w:tcPr>
          <w:p w14:paraId="73E6793F" w14:textId="77777777" w:rsidR="002A4DDF" w:rsidRPr="00937C8B" w:rsidRDefault="002A4DDF" w:rsidP="009110ED">
            <w:pPr>
              <w:rPr>
                <w:rFonts w:ascii="Arial" w:hAnsi="Arial" w:cs="Arial"/>
                <w:sz w:val="12"/>
                <w:szCs w:val="12"/>
              </w:rPr>
            </w:pPr>
          </w:p>
        </w:tc>
      </w:tr>
      <w:tr w:rsidR="002A4DDF" w:rsidRPr="00937C8B" w14:paraId="78BCEA35" w14:textId="77777777" w:rsidTr="00935676">
        <w:trPr>
          <w:cantSplit/>
        </w:trPr>
        <w:tc>
          <w:tcPr>
            <w:tcW w:w="1696" w:type="dxa"/>
            <w:tcBorders>
              <w:left w:val="single" w:sz="4" w:space="0" w:color="auto"/>
            </w:tcBorders>
            <w:shd w:val="clear" w:color="auto" w:fill="auto"/>
          </w:tcPr>
          <w:p w14:paraId="318FDCD6" w14:textId="77777777" w:rsidR="002A4DDF" w:rsidRPr="00937C8B" w:rsidRDefault="002A4DDF" w:rsidP="009110ED">
            <w:pPr>
              <w:rPr>
                <w:rFonts w:ascii="Arial" w:hAnsi="Arial" w:cs="Arial"/>
                <w:sz w:val="12"/>
                <w:szCs w:val="12"/>
              </w:rPr>
            </w:pPr>
          </w:p>
        </w:tc>
        <w:tc>
          <w:tcPr>
            <w:tcW w:w="1843" w:type="dxa"/>
            <w:shd w:val="clear" w:color="auto" w:fill="auto"/>
          </w:tcPr>
          <w:p w14:paraId="7717C632" w14:textId="77777777" w:rsidR="002A4DDF" w:rsidRPr="00937C8B" w:rsidRDefault="002A4DDF" w:rsidP="009110ED">
            <w:pPr>
              <w:rPr>
                <w:rFonts w:ascii="Arial" w:hAnsi="Arial" w:cs="Arial"/>
                <w:sz w:val="12"/>
                <w:szCs w:val="12"/>
              </w:rPr>
            </w:pPr>
          </w:p>
        </w:tc>
        <w:tc>
          <w:tcPr>
            <w:tcW w:w="2268" w:type="dxa"/>
            <w:shd w:val="clear" w:color="auto" w:fill="F2F2F2"/>
            <w:hideMark/>
          </w:tcPr>
          <w:p w14:paraId="661B5ECD" w14:textId="77777777" w:rsidR="002A4DDF" w:rsidRPr="00937C8B" w:rsidRDefault="002A4DDF" w:rsidP="009110ED">
            <w:pPr>
              <w:rPr>
                <w:rFonts w:ascii="Arial" w:hAnsi="Arial" w:cs="Arial"/>
                <w:sz w:val="12"/>
                <w:szCs w:val="12"/>
              </w:rPr>
            </w:pPr>
            <w:r>
              <w:rPr>
                <w:rFonts w:ascii="Arial" w:hAnsi="Arial"/>
                <w:sz w:val="12"/>
                <w:szCs w:val="12"/>
              </w:rPr>
              <w:t>Brazacorta</w:t>
            </w:r>
          </w:p>
        </w:tc>
        <w:tc>
          <w:tcPr>
            <w:tcW w:w="2268" w:type="dxa"/>
            <w:tcBorders>
              <w:right w:val="single" w:sz="4" w:space="0" w:color="auto"/>
            </w:tcBorders>
            <w:shd w:val="clear" w:color="auto" w:fill="D9D9D9"/>
            <w:hideMark/>
          </w:tcPr>
          <w:p w14:paraId="4310DB61" w14:textId="77777777" w:rsidR="002A4DDF" w:rsidRPr="00937C8B" w:rsidRDefault="002A4DDF" w:rsidP="009110ED">
            <w:pPr>
              <w:rPr>
                <w:rFonts w:ascii="Arial" w:hAnsi="Arial" w:cs="Arial"/>
                <w:sz w:val="12"/>
                <w:szCs w:val="12"/>
              </w:rPr>
            </w:pPr>
          </w:p>
        </w:tc>
      </w:tr>
      <w:tr w:rsidR="002A4DDF" w:rsidRPr="00937C8B" w14:paraId="587418FE" w14:textId="77777777" w:rsidTr="00935676">
        <w:trPr>
          <w:cantSplit/>
        </w:trPr>
        <w:tc>
          <w:tcPr>
            <w:tcW w:w="1696" w:type="dxa"/>
            <w:tcBorders>
              <w:left w:val="single" w:sz="4" w:space="0" w:color="auto"/>
            </w:tcBorders>
            <w:shd w:val="clear" w:color="auto" w:fill="auto"/>
          </w:tcPr>
          <w:p w14:paraId="0271E885" w14:textId="77777777" w:rsidR="002A4DDF" w:rsidRPr="00937C8B" w:rsidRDefault="002A4DDF" w:rsidP="009110ED">
            <w:pPr>
              <w:rPr>
                <w:rFonts w:ascii="Arial" w:hAnsi="Arial" w:cs="Arial"/>
                <w:sz w:val="12"/>
                <w:szCs w:val="12"/>
              </w:rPr>
            </w:pPr>
          </w:p>
        </w:tc>
        <w:tc>
          <w:tcPr>
            <w:tcW w:w="1843" w:type="dxa"/>
            <w:shd w:val="clear" w:color="auto" w:fill="auto"/>
          </w:tcPr>
          <w:p w14:paraId="66F1F421" w14:textId="77777777" w:rsidR="002A4DDF" w:rsidRPr="00937C8B" w:rsidRDefault="002A4DDF" w:rsidP="009110ED">
            <w:pPr>
              <w:rPr>
                <w:rFonts w:ascii="Arial" w:hAnsi="Arial" w:cs="Arial"/>
                <w:sz w:val="12"/>
                <w:szCs w:val="12"/>
              </w:rPr>
            </w:pPr>
          </w:p>
        </w:tc>
        <w:tc>
          <w:tcPr>
            <w:tcW w:w="2268" w:type="dxa"/>
            <w:shd w:val="clear" w:color="auto" w:fill="F2F2F2"/>
            <w:hideMark/>
          </w:tcPr>
          <w:p w14:paraId="6B2F9092" w14:textId="77777777" w:rsidR="002A4DDF" w:rsidRPr="00937C8B" w:rsidRDefault="002A4DDF" w:rsidP="009110ED">
            <w:pPr>
              <w:rPr>
                <w:rFonts w:ascii="Arial" w:hAnsi="Arial" w:cs="Arial"/>
                <w:sz w:val="12"/>
                <w:szCs w:val="12"/>
              </w:rPr>
            </w:pPr>
            <w:r>
              <w:rPr>
                <w:rFonts w:ascii="Arial" w:hAnsi="Arial"/>
                <w:sz w:val="12"/>
                <w:szCs w:val="12"/>
              </w:rPr>
              <w:t>Burgos</w:t>
            </w:r>
          </w:p>
        </w:tc>
        <w:tc>
          <w:tcPr>
            <w:tcW w:w="2268" w:type="dxa"/>
            <w:tcBorders>
              <w:right w:val="single" w:sz="4" w:space="0" w:color="auto"/>
            </w:tcBorders>
            <w:shd w:val="clear" w:color="auto" w:fill="D9D9D9"/>
            <w:hideMark/>
          </w:tcPr>
          <w:p w14:paraId="1ACA282D" w14:textId="77777777" w:rsidR="002A4DDF" w:rsidRPr="00937C8B" w:rsidRDefault="002A4DDF" w:rsidP="009110ED">
            <w:pPr>
              <w:rPr>
                <w:rFonts w:ascii="Arial" w:hAnsi="Arial" w:cs="Arial"/>
                <w:sz w:val="12"/>
                <w:szCs w:val="12"/>
              </w:rPr>
            </w:pPr>
          </w:p>
        </w:tc>
      </w:tr>
      <w:tr w:rsidR="002A4DDF" w:rsidRPr="00937C8B" w14:paraId="610E5450" w14:textId="77777777" w:rsidTr="00935676">
        <w:trPr>
          <w:cantSplit/>
        </w:trPr>
        <w:tc>
          <w:tcPr>
            <w:tcW w:w="1696" w:type="dxa"/>
            <w:tcBorders>
              <w:left w:val="single" w:sz="4" w:space="0" w:color="auto"/>
            </w:tcBorders>
            <w:shd w:val="clear" w:color="auto" w:fill="auto"/>
          </w:tcPr>
          <w:p w14:paraId="78EFAF85" w14:textId="77777777" w:rsidR="002A4DDF" w:rsidRPr="00937C8B" w:rsidRDefault="002A4DDF" w:rsidP="009110ED">
            <w:pPr>
              <w:rPr>
                <w:rFonts w:ascii="Arial" w:hAnsi="Arial" w:cs="Arial"/>
                <w:sz w:val="12"/>
                <w:szCs w:val="12"/>
              </w:rPr>
            </w:pPr>
          </w:p>
        </w:tc>
        <w:tc>
          <w:tcPr>
            <w:tcW w:w="1843" w:type="dxa"/>
            <w:shd w:val="clear" w:color="auto" w:fill="auto"/>
          </w:tcPr>
          <w:p w14:paraId="1E2D8D0F" w14:textId="77777777" w:rsidR="002A4DDF" w:rsidRPr="00937C8B" w:rsidRDefault="002A4DDF" w:rsidP="009110ED">
            <w:pPr>
              <w:rPr>
                <w:rFonts w:ascii="Arial" w:hAnsi="Arial" w:cs="Arial"/>
                <w:sz w:val="12"/>
                <w:szCs w:val="12"/>
              </w:rPr>
            </w:pPr>
          </w:p>
        </w:tc>
        <w:tc>
          <w:tcPr>
            <w:tcW w:w="2268" w:type="dxa"/>
            <w:shd w:val="clear" w:color="auto" w:fill="F2F2F2"/>
            <w:hideMark/>
          </w:tcPr>
          <w:p w14:paraId="54894925" w14:textId="77777777" w:rsidR="002A4DDF" w:rsidRPr="00937C8B" w:rsidRDefault="002A4DDF" w:rsidP="009110ED">
            <w:pPr>
              <w:rPr>
                <w:rFonts w:ascii="Arial" w:hAnsi="Arial" w:cs="Arial"/>
                <w:sz w:val="12"/>
                <w:szCs w:val="12"/>
              </w:rPr>
            </w:pPr>
            <w:r>
              <w:rPr>
                <w:rFonts w:ascii="Arial" w:hAnsi="Arial"/>
                <w:sz w:val="12"/>
                <w:szCs w:val="12"/>
              </w:rPr>
              <w:t>Cabeza Alta</w:t>
            </w:r>
          </w:p>
        </w:tc>
        <w:tc>
          <w:tcPr>
            <w:tcW w:w="2268" w:type="dxa"/>
            <w:tcBorders>
              <w:right w:val="single" w:sz="4" w:space="0" w:color="auto"/>
            </w:tcBorders>
            <w:shd w:val="clear" w:color="auto" w:fill="D9D9D9"/>
            <w:hideMark/>
          </w:tcPr>
          <w:p w14:paraId="31C80255" w14:textId="77777777" w:rsidR="002A4DDF" w:rsidRPr="00937C8B" w:rsidRDefault="002A4DDF" w:rsidP="009110ED">
            <w:pPr>
              <w:rPr>
                <w:rFonts w:ascii="Arial" w:hAnsi="Arial" w:cs="Arial"/>
                <w:sz w:val="12"/>
                <w:szCs w:val="12"/>
              </w:rPr>
            </w:pPr>
          </w:p>
        </w:tc>
      </w:tr>
      <w:tr w:rsidR="002A4DDF" w:rsidRPr="00937C8B" w14:paraId="5166C4BF" w14:textId="77777777" w:rsidTr="00935676">
        <w:trPr>
          <w:cantSplit/>
        </w:trPr>
        <w:tc>
          <w:tcPr>
            <w:tcW w:w="1696" w:type="dxa"/>
            <w:tcBorders>
              <w:left w:val="single" w:sz="4" w:space="0" w:color="auto"/>
            </w:tcBorders>
            <w:shd w:val="clear" w:color="auto" w:fill="auto"/>
          </w:tcPr>
          <w:p w14:paraId="7DC56E4E" w14:textId="77777777" w:rsidR="002A4DDF" w:rsidRPr="00937C8B" w:rsidRDefault="002A4DDF" w:rsidP="009110ED">
            <w:pPr>
              <w:rPr>
                <w:rFonts w:ascii="Arial" w:hAnsi="Arial" w:cs="Arial"/>
                <w:sz w:val="12"/>
                <w:szCs w:val="12"/>
              </w:rPr>
            </w:pPr>
          </w:p>
        </w:tc>
        <w:tc>
          <w:tcPr>
            <w:tcW w:w="1843" w:type="dxa"/>
            <w:shd w:val="clear" w:color="auto" w:fill="auto"/>
          </w:tcPr>
          <w:p w14:paraId="1A25A019" w14:textId="77777777" w:rsidR="002A4DDF" w:rsidRPr="00937C8B" w:rsidRDefault="002A4DDF" w:rsidP="009110ED">
            <w:pPr>
              <w:rPr>
                <w:rFonts w:ascii="Arial" w:hAnsi="Arial" w:cs="Arial"/>
                <w:sz w:val="12"/>
                <w:szCs w:val="12"/>
              </w:rPr>
            </w:pPr>
          </w:p>
        </w:tc>
        <w:tc>
          <w:tcPr>
            <w:tcW w:w="2268" w:type="dxa"/>
            <w:shd w:val="clear" w:color="auto" w:fill="F2F2F2"/>
            <w:hideMark/>
          </w:tcPr>
          <w:p w14:paraId="307B9901" w14:textId="77777777" w:rsidR="002A4DDF" w:rsidRPr="00937C8B" w:rsidRDefault="002A4DDF" w:rsidP="009110ED">
            <w:pPr>
              <w:rPr>
                <w:rFonts w:ascii="Arial" w:hAnsi="Arial" w:cs="Arial"/>
                <w:sz w:val="12"/>
                <w:szCs w:val="12"/>
              </w:rPr>
            </w:pPr>
            <w:r>
              <w:rPr>
                <w:rFonts w:ascii="Arial" w:hAnsi="Arial"/>
                <w:sz w:val="12"/>
                <w:szCs w:val="12"/>
              </w:rPr>
              <w:t>Campolara</w:t>
            </w:r>
          </w:p>
        </w:tc>
        <w:tc>
          <w:tcPr>
            <w:tcW w:w="2268" w:type="dxa"/>
            <w:tcBorders>
              <w:right w:val="single" w:sz="4" w:space="0" w:color="auto"/>
            </w:tcBorders>
            <w:shd w:val="clear" w:color="auto" w:fill="D9D9D9"/>
            <w:hideMark/>
          </w:tcPr>
          <w:p w14:paraId="10A97E81" w14:textId="77777777" w:rsidR="002A4DDF" w:rsidRPr="00937C8B" w:rsidRDefault="002A4DDF" w:rsidP="009110ED">
            <w:pPr>
              <w:rPr>
                <w:rFonts w:ascii="Arial" w:hAnsi="Arial" w:cs="Arial"/>
                <w:sz w:val="12"/>
                <w:szCs w:val="12"/>
              </w:rPr>
            </w:pPr>
          </w:p>
        </w:tc>
      </w:tr>
      <w:tr w:rsidR="002A4DDF" w:rsidRPr="00937C8B" w14:paraId="4A57D56A" w14:textId="77777777" w:rsidTr="00935676">
        <w:trPr>
          <w:cantSplit/>
        </w:trPr>
        <w:tc>
          <w:tcPr>
            <w:tcW w:w="1696" w:type="dxa"/>
            <w:tcBorders>
              <w:left w:val="single" w:sz="4" w:space="0" w:color="auto"/>
            </w:tcBorders>
            <w:shd w:val="clear" w:color="auto" w:fill="auto"/>
          </w:tcPr>
          <w:p w14:paraId="6E96C1D4" w14:textId="77777777" w:rsidR="002A4DDF" w:rsidRPr="00937C8B" w:rsidRDefault="002A4DDF" w:rsidP="009110ED">
            <w:pPr>
              <w:rPr>
                <w:rFonts w:ascii="Arial" w:hAnsi="Arial" w:cs="Arial"/>
                <w:sz w:val="12"/>
                <w:szCs w:val="12"/>
              </w:rPr>
            </w:pPr>
          </w:p>
        </w:tc>
        <w:tc>
          <w:tcPr>
            <w:tcW w:w="1843" w:type="dxa"/>
            <w:shd w:val="clear" w:color="auto" w:fill="auto"/>
          </w:tcPr>
          <w:p w14:paraId="2896D82E" w14:textId="77777777" w:rsidR="002A4DDF" w:rsidRPr="00937C8B" w:rsidRDefault="002A4DDF" w:rsidP="009110ED">
            <w:pPr>
              <w:rPr>
                <w:rFonts w:ascii="Arial" w:hAnsi="Arial" w:cs="Arial"/>
                <w:sz w:val="12"/>
                <w:szCs w:val="12"/>
              </w:rPr>
            </w:pPr>
          </w:p>
        </w:tc>
        <w:tc>
          <w:tcPr>
            <w:tcW w:w="2268" w:type="dxa"/>
            <w:shd w:val="clear" w:color="auto" w:fill="F2F2F2"/>
            <w:hideMark/>
          </w:tcPr>
          <w:p w14:paraId="3DF0216C" w14:textId="77777777" w:rsidR="002A4DDF" w:rsidRPr="00937C8B" w:rsidRDefault="002A4DDF" w:rsidP="009110ED">
            <w:pPr>
              <w:rPr>
                <w:rFonts w:ascii="Arial" w:hAnsi="Arial" w:cs="Arial"/>
                <w:sz w:val="12"/>
                <w:szCs w:val="12"/>
              </w:rPr>
            </w:pPr>
            <w:r>
              <w:rPr>
                <w:rFonts w:ascii="Arial" w:hAnsi="Arial"/>
                <w:sz w:val="12"/>
                <w:szCs w:val="12"/>
              </w:rPr>
              <w:t>Carcedo de Burgos</w:t>
            </w:r>
          </w:p>
        </w:tc>
        <w:tc>
          <w:tcPr>
            <w:tcW w:w="2268" w:type="dxa"/>
            <w:tcBorders>
              <w:right w:val="single" w:sz="4" w:space="0" w:color="auto"/>
            </w:tcBorders>
            <w:shd w:val="clear" w:color="auto" w:fill="D9D9D9"/>
            <w:hideMark/>
          </w:tcPr>
          <w:p w14:paraId="403EF55D" w14:textId="77777777" w:rsidR="002A4DDF" w:rsidRPr="00937C8B" w:rsidRDefault="002A4DDF" w:rsidP="009110ED">
            <w:pPr>
              <w:rPr>
                <w:rFonts w:ascii="Arial" w:hAnsi="Arial" w:cs="Arial"/>
                <w:sz w:val="12"/>
                <w:szCs w:val="12"/>
              </w:rPr>
            </w:pPr>
          </w:p>
        </w:tc>
      </w:tr>
      <w:tr w:rsidR="002A4DDF" w:rsidRPr="00937C8B" w14:paraId="3BB5ADA8" w14:textId="77777777" w:rsidTr="00935676">
        <w:trPr>
          <w:cantSplit/>
        </w:trPr>
        <w:tc>
          <w:tcPr>
            <w:tcW w:w="1696" w:type="dxa"/>
            <w:tcBorders>
              <w:left w:val="single" w:sz="4" w:space="0" w:color="auto"/>
            </w:tcBorders>
            <w:shd w:val="clear" w:color="auto" w:fill="auto"/>
          </w:tcPr>
          <w:p w14:paraId="26A31B2D" w14:textId="77777777" w:rsidR="002A4DDF" w:rsidRPr="00937C8B" w:rsidRDefault="002A4DDF" w:rsidP="009110ED">
            <w:pPr>
              <w:rPr>
                <w:rFonts w:ascii="Arial" w:hAnsi="Arial" w:cs="Arial"/>
                <w:sz w:val="12"/>
                <w:szCs w:val="12"/>
              </w:rPr>
            </w:pPr>
          </w:p>
        </w:tc>
        <w:tc>
          <w:tcPr>
            <w:tcW w:w="1843" w:type="dxa"/>
            <w:shd w:val="clear" w:color="auto" w:fill="auto"/>
          </w:tcPr>
          <w:p w14:paraId="5A5654C1" w14:textId="77777777" w:rsidR="002A4DDF" w:rsidRPr="00937C8B" w:rsidRDefault="002A4DDF" w:rsidP="009110ED">
            <w:pPr>
              <w:rPr>
                <w:rFonts w:ascii="Arial" w:hAnsi="Arial" w:cs="Arial"/>
                <w:sz w:val="12"/>
                <w:szCs w:val="12"/>
              </w:rPr>
            </w:pPr>
          </w:p>
        </w:tc>
        <w:tc>
          <w:tcPr>
            <w:tcW w:w="2268" w:type="dxa"/>
            <w:shd w:val="clear" w:color="auto" w:fill="F2F2F2"/>
            <w:hideMark/>
          </w:tcPr>
          <w:p w14:paraId="3CFE4DED" w14:textId="77777777" w:rsidR="002A4DDF" w:rsidRPr="00937C8B" w:rsidRDefault="002A4DDF" w:rsidP="009110ED">
            <w:pPr>
              <w:rPr>
                <w:rFonts w:ascii="Arial" w:hAnsi="Arial" w:cs="Arial"/>
                <w:sz w:val="12"/>
                <w:szCs w:val="12"/>
              </w:rPr>
            </w:pPr>
            <w:r>
              <w:rPr>
                <w:rFonts w:ascii="Arial" w:hAnsi="Arial"/>
                <w:sz w:val="12"/>
                <w:szCs w:val="12"/>
              </w:rPr>
              <w:t>Cardeñajimeno</w:t>
            </w:r>
          </w:p>
        </w:tc>
        <w:tc>
          <w:tcPr>
            <w:tcW w:w="2268" w:type="dxa"/>
            <w:tcBorders>
              <w:right w:val="single" w:sz="4" w:space="0" w:color="auto"/>
            </w:tcBorders>
            <w:shd w:val="clear" w:color="auto" w:fill="D9D9D9"/>
            <w:hideMark/>
          </w:tcPr>
          <w:p w14:paraId="03004076" w14:textId="77777777" w:rsidR="002A4DDF" w:rsidRPr="00937C8B" w:rsidRDefault="002A4DDF" w:rsidP="009110ED">
            <w:pPr>
              <w:rPr>
                <w:rFonts w:ascii="Arial" w:hAnsi="Arial" w:cs="Arial"/>
                <w:sz w:val="12"/>
                <w:szCs w:val="12"/>
              </w:rPr>
            </w:pPr>
          </w:p>
        </w:tc>
      </w:tr>
      <w:tr w:rsidR="002A4DDF" w:rsidRPr="00937C8B" w14:paraId="60618598" w14:textId="77777777" w:rsidTr="00935676">
        <w:trPr>
          <w:cantSplit/>
        </w:trPr>
        <w:tc>
          <w:tcPr>
            <w:tcW w:w="1696" w:type="dxa"/>
            <w:tcBorders>
              <w:left w:val="single" w:sz="4" w:space="0" w:color="auto"/>
            </w:tcBorders>
            <w:shd w:val="clear" w:color="auto" w:fill="auto"/>
          </w:tcPr>
          <w:p w14:paraId="43D3E81D" w14:textId="77777777" w:rsidR="002A4DDF" w:rsidRPr="00937C8B" w:rsidRDefault="002A4DDF" w:rsidP="009110ED">
            <w:pPr>
              <w:rPr>
                <w:rFonts w:ascii="Arial" w:hAnsi="Arial" w:cs="Arial"/>
                <w:sz w:val="12"/>
                <w:szCs w:val="12"/>
              </w:rPr>
            </w:pPr>
          </w:p>
        </w:tc>
        <w:tc>
          <w:tcPr>
            <w:tcW w:w="1843" w:type="dxa"/>
            <w:shd w:val="clear" w:color="auto" w:fill="auto"/>
          </w:tcPr>
          <w:p w14:paraId="337C8876" w14:textId="77777777" w:rsidR="002A4DDF" w:rsidRPr="00937C8B" w:rsidRDefault="002A4DDF" w:rsidP="009110ED">
            <w:pPr>
              <w:rPr>
                <w:rFonts w:ascii="Arial" w:hAnsi="Arial" w:cs="Arial"/>
                <w:sz w:val="12"/>
                <w:szCs w:val="12"/>
              </w:rPr>
            </w:pPr>
          </w:p>
        </w:tc>
        <w:tc>
          <w:tcPr>
            <w:tcW w:w="2268" w:type="dxa"/>
            <w:shd w:val="clear" w:color="auto" w:fill="F2F2F2"/>
            <w:hideMark/>
          </w:tcPr>
          <w:p w14:paraId="4B8BEE3C" w14:textId="77777777" w:rsidR="002A4DDF" w:rsidRPr="00937C8B" w:rsidRDefault="002A4DDF" w:rsidP="009110ED">
            <w:pPr>
              <w:rPr>
                <w:rFonts w:ascii="Arial" w:hAnsi="Arial" w:cs="Arial"/>
                <w:sz w:val="12"/>
                <w:szCs w:val="12"/>
              </w:rPr>
            </w:pPr>
            <w:r>
              <w:rPr>
                <w:rFonts w:ascii="Arial" w:hAnsi="Arial"/>
                <w:sz w:val="12"/>
                <w:szCs w:val="12"/>
              </w:rPr>
              <w:t>Cardeñuela Riopico</w:t>
            </w:r>
          </w:p>
        </w:tc>
        <w:tc>
          <w:tcPr>
            <w:tcW w:w="2268" w:type="dxa"/>
            <w:tcBorders>
              <w:right w:val="single" w:sz="4" w:space="0" w:color="auto"/>
            </w:tcBorders>
            <w:shd w:val="clear" w:color="auto" w:fill="D9D9D9"/>
            <w:hideMark/>
          </w:tcPr>
          <w:p w14:paraId="523F45B1" w14:textId="77777777" w:rsidR="002A4DDF" w:rsidRPr="00937C8B" w:rsidRDefault="002A4DDF" w:rsidP="009110ED">
            <w:pPr>
              <w:rPr>
                <w:rFonts w:ascii="Arial" w:hAnsi="Arial" w:cs="Arial"/>
                <w:sz w:val="12"/>
                <w:szCs w:val="12"/>
              </w:rPr>
            </w:pPr>
          </w:p>
        </w:tc>
      </w:tr>
      <w:tr w:rsidR="002A4DDF" w:rsidRPr="00937C8B" w14:paraId="662D7CCA" w14:textId="77777777" w:rsidTr="00935676">
        <w:trPr>
          <w:cantSplit/>
        </w:trPr>
        <w:tc>
          <w:tcPr>
            <w:tcW w:w="1696" w:type="dxa"/>
            <w:tcBorders>
              <w:left w:val="single" w:sz="4" w:space="0" w:color="auto"/>
            </w:tcBorders>
            <w:shd w:val="clear" w:color="auto" w:fill="auto"/>
          </w:tcPr>
          <w:p w14:paraId="184F0072" w14:textId="77777777" w:rsidR="002A4DDF" w:rsidRPr="00937C8B" w:rsidRDefault="002A4DDF" w:rsidP="009110ED">
            <w:pPr>
              <w:rPr>
                <w:rFonts w:ascii="Arial" w:hAnsi="Arial" w:cs="Arial"/>
                <w:sz w:val="12"/>
                <w:szCs w:val="12"/>
              </w:rPr>
            </w:pPr>
          </w:p>
        </w:tc>
        <w:tc>
          <w:tcPr>
            <w:tcW w:w="1843" w:type="dxa"/>
            <w:shd w:val="clear" w:color="auto" w:fill="auto"/>
          </w:tcPr>
          <w:p w14:paraId="29D0E24B" w14:textId="77777777" w:rsidR="002A4DDF" w:rsidRPr="00937C8B" w:rsidRDefault="002A4DDF" w:rsidP="009110ED">
            <w:pPr>
              <w:rPr>
                <w:rFonts w:ascii="Arial" w:hAnsi="Arial" w:cs="Arial"/>
                <w:sz w:val="12"/>
                <w:szCs w:val="12"/>
              </w:rPr>
            </w:pPr>
          </w:p>
        </w:tc>
        <w:tc>
          <w:tcPr>
            <w:tcW w:w="2268" w:type="dxa"/>
            <w:shd w:val="clear" w:color="auto" w:fill="F2F2F2"/>
            <w:hideMark/>
          </w:tcPr>
          <w:p w14:paraId="4D8618A8" w14:textId="77777777" w:rsidR="002A4DDF" w:rsidRPr="00937C8B" w:rsidRDefault="002A4DDF" w:rsidP="009110ED">
            <w:pPr>
              <w:rPr>
                <w:rFonts w:ascii="Arial" w:hAnsi="Arial" w:cs="Arial"/>
                <w:sz w:val="12"/>
                <w:szCs w:val="12"/>
              </w:rPr>
            </w:pPr>
            <w:r>
              <w:rPr>
                <w:rFonts w:ascii="Arial" w:hAnsi="Arial"/>
                <w:sz w:val="12"/>
                <w:szCs w:val="12"/>
              </w:rPr>
              <w:t>Carrias</w:t>
            </w:r>
          </w:p>
        </w:tc>
        <w:tc>
          <w:tcPr>
            <w:tcW w:w="2268" w:type="dxa"/>
            <w:tcBorders>
              <w:right w:val="single" w:sz="4" w:space="0" w:color="auto"/>
            </w:tcBorders>
            <w:shd w:val="clear" w:color="auto" w:fill="D9D9D9"/>
            <w:hideMark/>
          </w:tcPr>
          <w:p w14:paraId="2C6CD4D3" w14:textId="77777777" w:rsidR="002A4DDF" w:rsidRPr="00937C8B" w:rsidRDefault="002A4DDF" w:rsidP="009110ED">
            <w:pPr>
              <w:rPr>
                <w:rFonts w:ascii="Arial" w:hAnsi="Arial" w:cs="Arial"/>
                <w:sz w:val="12"/>
                <w:szCs w:val="12"/>
              </w:rPr>
            </w:pPr>
          </w:p>
        </w:tc>
      </w:tr>
      <w:tr w:rsidR="002A4DDF" w:rsidRPr="00937C8B" w14:paraId="0868332C" w14:textId="77777777" w:rsidTr="00935676">
        <w:trPr>
          <w:cantSplit/>
        </w:trPr>
        <w:tc>
          <w:tcPr>
            <w:tcW w:w="1696" w:type="dxa"/>
            <w:tcBorders>
              <w:left w:val="single" w:sz="4" w:space="0" w:color="auto"/>
            </w:tcBorders>
            <w:shd w:val="clear" w:color="auto" w:fill="auto"/>
          </w:tcPr>
          <w:p w14:paraId="7A193EED" w14:textId="77777777" w:rsidR="002A4DDF" w:rsidRPr="00937C8B" w:rsidRDefault="002A4DDF" w:rsidP="009110ED">
            <w:pPr>
              <w:rPr>
                <w:rFonts w:ascii="Arial" w:hAnsi="Arial" w:cs="Arial"/>
                <w:sz w:val="12"/>
                <w:szCs w:val="12"/>
              </w:rPr>
            </w:pPr>
          </w:p>
        </w:tc>
        <w:tc>
          <w:tcPr>
            <w:tcW w:w="1843" w:type="dxa"/>
            <w:shd w:val="clear" w:color="auto" w:fill="auto"/>
          </w:tcPr>
          <w:p w14:paraId="358FF95E" w14:textId="77777777" w:rsidR="002A4DDF" w:rsidRPr="00937C8B" w:rsidRDefault="002A4DDF" w:rsidP="009110ED">
            <w:pPr>
              <w:rPr>
                <w:rFonts w:ascii="Arial" w:hAnsi="Arial" w:cs="Arial"/>
                <w:sz w:val="12"/>
                <w:szCs w:val="12"/>
              </w:rPr>
            </w:pPr>
          </w:p>
        </w:tc>
        <w:tc>
          <w:tcPr>
            <w:tcW w:w="2268" w:type="dxa"/>
            <w:shd w:val="clear" w:color="auto" w:fill="F2F2F2"/>
            <w:hideMark/>
          </w:tcPr>
          <w:p w14:paraId="6F5E5AF2" w14:textId="77777777" w:rsidR="002A4DDF" w:rsidRPr="00937C8B" w:rsidRDefault="002A4DDF" w:rsidP="009110ED">
            <w:pPr>
              <w:rPr>
                <w:rFonts w:ascii="Arial" w:hAnsi="Arial" w:cs="Arial"/>
                <w:sz w:val="12"/>
                <w:szCs w:val="12"/>
              </w:rPr>
            </w:pPr>
            <w:r>
              <w:rPr>
                <w:rFonts w:ascii="Arial" w:hAnsi="Arial"/>
                <w:sz w:val="12"/>
                <w:szCs w:val="12"/>
              </w:rPr>
              <w:t>Cascajares de la Sierra</w:t>
            </w:r>
          </w:p>
        </w:tc>
        <w:tc>
          <w:tcPr>
            <w:tcW w:w="2268" w:type="dxa"/>
            <w:tcBorders>
              <w:right w:val="single" w:sz="4" w:space="0" w:color="auto"/>
            </w:tcBorders>
            <w:shd w:val="clear" w:color="auto" w:fill="D9D9D9"/>
            <w:hideMark/>
          </w:tcPr>
          <w:p w14:paraId="11D3E0EA" w14:textId="77777777" w:rsidR="002A4DDF" w:rsidRPr="00937C8B" w:rsidRDefault="002A4DDF" w:rsidP="009110ED">
            <w:pPr>
              <w:rPr>
                <w:rFonts w:ascii="Arial" w:hAnsi="Arial" w:cs="Arial"/>
                <w:sz w:val="12"/>
                <w:szCs w:val="12"/>
              </w:rPr>
            </w:pPr>
          </w:p>
        </w:tc>
      </w:tr>
      <w:tr w:rsidR="002A4DDF" w:rsidRPr="00937C8B" w14:paraId="57240576" w14:textId="77777777" w:rsidTr="00935676">
        <w:trPr>
          <w:cantSplit/>
        </w:trPr>
        <w:tc>
          <w:tcPr>
            <w:tcW w:w="1696" w:type="dxa"/>
            <w:tcBorders>
              <w:left w:val="single" w:sz="4" w:space="0" w:color="auto"/>
            </w:tcBorders>
            <w:shd w:val="clear" w:color="auto" w:fill="auto"/>
          </w:tcPr>
          <w:p w14:paraId="207FE160" w14:textId="77777777" w:rsidR="002A4DDF" w:rsidRPr="00937C8B" w:rsidRDefault="002A4DDF" w:rsidP="009110ED">
            <w:pPr>
              <w:rPr>
                <w:rFonts w:ascii="Arial" w:hAnsi="Arial" w:cs="Arial"/>
                <w:sz w:val="12"/>
                <w:szCs w:val="12"/>
              </w:rPr>
            </w:pPr>
          </w:p>
        </w:tc>
        <w:tc>
          <w:tcPr>
            <w:tcW w:w="1843" w:type="dxa"/>
            <w:shd w:val="clear" w:color="auto" w:fill="auto"/>
          </w:tcPr>
          <w:p w14:paraId="64F5D0CD" w14:textId="77777777" w:rsidR="002A4DDF" w:rsidRPr="00937C8B" w:rsidRDefault="002A4DDF" w:rsidP="009110ED">
            <w:pPr>
              <w:rPr>
                <w:rFonts w:ascii="Arial" w:hAnsi="Arial" w:cs="Arial"/>
                <w:sz w:val="12"/>
                <w:szCs w:val="12"/>
              </w:rPr>
            </w:pPr>
          </w:p>
        </w:tc>
        <w:tc>
          <w:tcPr>
            <w:tcW w:w="2268" w:type="dxa"/>
            <w:shd w:val="clear" w:color="auto" w:fill="F2F2F2"/>
            <w:hideMark/>
          </w:tcPr>
          <w:p w14:paraId="455839C4" w14:textId="77777777" w:rsidR="002A4DDF" w:rsidRPr="00937C8B" w:rsidRDefault="002A4DDF" w:rsidP="009110ED">
            <w:pPr>
              <w:rPr>
                <w:rFonts w:ascii="Arial" w:hAnsi="Arial" w:cs="Arial"/>
                <w:sz w:val="12"/>
                <w:szCs w:val="12"/>
              </w:rPr>
            </w:pPr>
            <w:r>
              <w:rPr>
                <w:rFonts w:ascii="Arial" w:hAnsi="Arial"/>
                <w:sz w:val="12"/>
                <w:szCs w:val="12"/>
              </w:rPr>
              <w:t>Castil de Peones</w:t>
            </w:r>
          </w:p>
        </w:tc>
        <w:tc>
          <w:tcPr>
            <w:tcW w:w="2268" w:type="dxa"/>
            <w:tcBorders>
              <w:right w:val="single" w:sz="4" w:space="0" w:color="auto"/>
            </w:tcBorders>
            <w:shd w:val="clear" w:color="auto" w:fill="D9D9D9"/>
            <w:hideMark/>
          </w:tcPr>
          <w:p w14:paraId="64ACE041" w14:textId="77777777" w:rsidR="002A4DDF" w:rsidRPr="00937C8B" w:rsidRDefault="002A4DDF" w:rsidP="009110ED">
            <w:pPr>
              <w:rPr>
                <w:rFonts w:ascii="Arial" w:hAnsi="Arial" w:cs="Arial"/>
                <w:sz w:val="12"/>
                <w:szCs w:val="12"/>
              </w:rPr>
            </w:pPr>
          </w:p>
        </w:tc>
      </w:tr>
      <w:tr w:rsidR="002A4DDF" w:rsidRPr="00937C8B" w14:paraId="7AEC1B0C" w14:textId="77777777" w:rsidTr="00935676">
        <w:trPr>
          <w:cantSplit/>
        </w:trPr>
        <w:tc>
          <w:tcPr>
            <w:tcW w:w="1696" w:type="dxa"/>
            <w:tcBorders>
              <w:left w:val="single" w:sz="4" w:space="0" w:color="auto"/>
            </w:tcBorders>
            <w:shd w:val="clear" w:color="auto" w:fill="auto"/>
          </w:tcPr>
          <w:p w14:paraId="1BF276A2" w14:textId="77777777" w:rsidR="002A4DDF" w:rsidRPr="00937C8B" w:rsidRDefault="002A4DDF" w:rsidP="009110ED">
            <w:pPr>
              <w:rPr>
                <w:rFonts w:ascii="Arial" w:hAnsi="Arial" w:cs="Arial"/>
                <w:sz w:val="12"/>
                <w:szCs w:val="12"/>
              </w:rPr>
            </w:pPr>
          </w:p>
        </w:tc>
        <w:tc>
          <w:tcPr>
            <w:tcW w:w="1843" w:type="dxa"/>
            <w:shd w:val="clear" w:color="auto" w:fill="auto"/>
          </w:tcPr>
          <w:p w14:paraId="3FBDD482" w14:textId="77777777" w:rsidR="002A4DDF" w:rsidRPr="00937C8B" w:rsidRDefault="002A4DDF" w:rsidP="009110ED">
            <w:pPr>
              <w:rPr>
                <w:rFonts w:ascii="Arial" w:hAnsi="Arial" w:cs="Arial"/>
                <w:sz w:val="12"/>
                <w:szCs w:val="12"/>
              </w:rPr>
            </w:pPr>
          </w:p>
        </w:tc>
        <w:tc>
          <w:tcPr>
            <w:tcW w:w="2268" w:type="dxa"/>
            <w:shd w:val="clear" w:color="auto" w:fill="F2F2F2"/>
            <w:hideMark/>
          </w:tcPr>
          <w:p w14:paraId="708E46C8" w14:textId="77777777" w:rsidR="002A4DDF" w:rsidRPr="00937C8B" w:rsidRDefault="002A4DDF" w:rsidP="009110ED">
            <w:pPr>
              <w:rPr>
                <w:rFonts w:ascii="Arial" w:hAnsi="Arial" w:cs="Arial"/>
                <w:sz w:val="12"/>
                <w:szCs w:val="12"/>
              </w:rPr>
            </w:pPr>
            <w:r>
              <w:rPr>
                <w:rFonts w:ascii="Arial" w:hAnsi="Arial"/>
                <w:sz w:val="12"/>
                <w:szCs w:val="12"/>
              </w:rPr>
              <w:t>Castrillo del Val</w:t>
            </w:r>
          </w:p>
        </w:tc>
        <w:tc>
          <w:tcPr>
            <w:tcW w:w="2268" w:type="dxa"/>
            <w:tcBorders>
              <w:right w:val="single" w:sz="4" w:space="0" w:color="auto"/>
            </w:tcBorders>
            <w:shd w:val="clear" w:color="auto" w:fill="D9D9D9"/>
            <w:hideMark/>
          </w:tcPr>
          <w:p w14:paraId="1D3E5268" w14:textId="77777777" w:rsidR="002A4DDF" w:rsidRPr="00937C8B" w:rsidRDefault="002A4DDF" w:rsidP="009110ED">
            <w:pPr>
              <w:rPr>
                <w:rFonts w:ascii="Arial" w:hAnsi="Arial" w:cs="Arial"/>
                <w:sz w:val="12"/>
                <w:szCs w:val="12"/>
              </w:rPr>
            </w:pPr>
          </w:p>
        </w:tc>
      </w:tr>
      <w:tr w:rsidR="002A4DDF" w:rsidRPr="00937C8B" w14:paraId="510E0FDB" w14:textId="77777777" w:rsidTr="00935676">
        <w:trPr>
          <w:cantSplit/>
        </w:trPr>
        <w:tc>
          <w:tcPr>
            <w:tcW w:w="1696" w:type="dxa"/>
            <w:tcBorders>
              <w:left w:val="single" w:sz="4" w:space="0" w:color="auto"/>
            </w:tcBorders>
            <w:shd w:val="clear" w:color="auto" w:fill="auto"/>
          </w:tcPr>
          <w:p w14:paraId="4ED68F33" w14:textId="77777777" w:rsidR="002A4DDF" w:rsidRPr="00937C8B" w:rsidRDefault="002A4DDF" w:rsidP="009110ED">
            <w:pPr>
              <w:rPr>
                <w:rFonts w:ascii="Arial" w:hAnsi="Arial" w:cs="Arial"/>
                <w:sz w:val="12"/>
                <w:szCs w:val="12"/>
              </w:rPr>
            </w:pPr>
          </w:p>
        </w:tc>
        <w:tc>
          <w:tcPr>
            <w:tcW w:w="1843" w:type="dxa"/>
            <w:shd w:val="clear" w:color="auto" w:fill="auto"/>
          </w:tcPr>
          <w:p w14:paraId="18406A7A" w14:textId="77777777" w:rsidR="002A4DDF" w:rsidRPr="00937C8B" w:rsidRDefault="002A4DDF" w:rsidP="009110ED">
            <w:pPr>
              <w:rPr>
                <w:rFonts w:ascii="Arial" w:hAnsi="Arial" w:cs="Arial"/>
                <w:sz w:val="12"/>
                <w:szCs w:val="12"/>
              </w:rPr>
            </w:pPr>
          </w:p>
        </w:tc>
        <w:tc>
          <w:tcPr>
            <w:tcW w:w="2268" w:type="dxa"/>
            <w:shd w:val="clear" w:color="auto" w:fill="F2F2F2"/>
            <w:hideMark/>
          </w:tcPr>
          <w:p w14:paraId="7A4180B7" w14:textId="77777777" w:rsidR="002A4DDF" w:rsidRPr="00937C8B" w:rsidRDefault="002A4DDF" w:rsidP="009110ED">
            <w:pPr>
              <w:rPr>
                <w:rFonts w:ascii="Arial" w:hAnsi="Arial" w:cs="Arial"/>
                <w:sz w:val="12"/>
                <w:szCs w:val="12"/>
              </w:rPr>
            </w:pPr>
            <w:r>
              <w:rPr>
                <w:rFonts w:ascii="Arial" w:hAnsi="Arial"/>
                <w:sz w:val="12"/>
                <w:szCs w:val="12"/>
              </w:rPr>
              <w:t>Castrojeriz</w:t>
            </w:r>
          </w:p>
        </w:tc>
        <w:tc>
          <w:tcPr>
            <w:tcW w:w="2268" w:type="dxa"/>
            <w:tcBorders>
              <w:right w:val="single" w:sz="4" w:space="0" w:color="auto"/>
            </w:tcBorders>
            <w:shd w:val="clear" w:color="auto" w:fill="D9D9D9"/>
            <w:hideMark/>
          </w:tcPr>
          <w:p w14:paraId="3DF3E7BD" w14:textId="77777777" w:rsidR="002A4DDF" w:rsidRPr="00937C8B" w:rsidRDefault="002A4DDF" w:rsidP="009110ED">
            <w:pPr>
              <w:rPr>
                <w:rFonts w:ascii="Arial" w:hAnsi="Arial" w:cs="Arial"/>
                <w:sz w:val="12"/>
                <w:szCs w:val="12"/>
              </w:rPr>
            </w:pPr>
          </w:p>
        </w:tc>
      </w:tr>
      <w:tr w:rsidR="002A4DDF" w:rsidRPr="00937C8B" w14:paraId="60F0CDDD" w14:textId="77777777" w:rsidTr="00935676">
        <w:trPr>
          <w:cantSplit/>
        </w:trPr>
        <w:tc>
          <w:tcPr>
            <w:tcW w:w="1696" w:type="dxa"/>
            <w:tcBorders>
              <w:left w:val="single" w:sz="4" w:space="0" w:color="auto"/>
            </w:tcBorders>
            <w:shd w:val="clear" w:color="auto" w:fill="auto"/>
          </w:tcPr>
          <w:p w14:paraId="2383285D" w14:textId="77777777" w:rsidR="002A4DDF" w:rsidRPr="00937C8B" w:rsidRDefault="002A4DDF" w:rsidP="009110ED">
            <w:pPr>
              <w:rPr>
                <w:rFonts w:ascii="Arial" w:hAnsi="Arial" w:cs="Arial"/>
                <w:sz w:val="12"/>
                <w:szCs w:val="12"/>
              </w:rPr>
            </w:pPr>
          </w:p>
        </w:tc>
        <w:tc>
          <w:tcPr>
            <w:tcW w:w="1843" w:type="dxa"/>
            <w:shd w:val="clear" w:color="auto" w:fill="auto"/>
          </w:tcPr>
          <w:p w14:paraId="79B04F86" w14:textId="77777777" w:rsidR="002A4DDF" w:rsidRPr="00937C8B" w:rsidRDefault="002A4DDF" w:rsidP="009110ED">
            <w:pPr>
              <w:rPr>
                <w:rFonts w:ascii="Arial" w:hAnsi="Arial" w:cs="Arial"/>
                <w:sz w:val="12"/>
                <w:szCs w:val="12"/>
              </w:rPr>
            </w:pPr>
          </w:p>
        </w:tc>
        <w:tc>
          <w:tcPr>
            <w:tcW w:w="2268" w:type="dxa"/>
            <w:shd w:val="clear" w:color="auto" w:fill="F2F2F2"/>
            <w:hideMark/>
          </w:tcPr>
          <w:p w14:paraId="7BE7BC6A" w14:textId="77777777" w:rsidR="002A4DDF" w:rsidRPr="00937C8B" w:rsidRDefault="002A4DDF" w:rsidP="009110ED">
            <w:pPr>
              <w:rPr>
                <w:rFonts w:ascii="Arial" w:hAnsi="Arial" w:cs="Arial"/>
                <w:sz w:val="12"/>
                <w:szCs w:val="12"/>
              </w:rPr>
            </w:pPr>
            <w:r>
              <w:rPr>
                <w:rFonts w:ascii="Arial" w:hAnsi="Arial"/>
                <w:sz w:val="12"/>
                <w:szCs w:val="12"/>
              </w:rPr>
              <w:t>Cebrecos</w:t>
            </w:r>
          </w:p>
        </w:tc>
        <w:tc>
          <w:tcPr>
            <w:tcW w:w="2268" w:type="dxa"/>
            <w:tcBorders>
              <w:right w:val="single" w:sz="4" w:space="0" w:color="auto"/>
            </w:tcBorders>
            <w:shd w:val="clear" w:color="auto" w:fill="D9D9D9"/>
            <w:hideMark/>
          </w:tcPr>
          <w:p w14:paraId="04342EB7" w14:textId="77777777" w:rsidR="002A4DDF" w:rsidRPr="00937C8B" w:rsidRDefault="002A4DDF" w:rsidP="009110ED">
            <w:pPr>
              <w:rPr>
                <w:rFonts w:ascii="Arial" w:hAnsi="Arial" w:cs="Arial"/>
                <w:sz w:val="12"/>
                <w:szCs w:val="12"/>
              </w:rPr>
            </w:pPr>
          </w:p>
        </w:tc>
      </w:tr>
      <w:tr w:rsidR="002A4DDF" w:rsidRPr="00937C8B" w14:paraId="0FD3BAEE" w14:textId="77777777" w:rsidTr="00935676">
        <w:trPr>
          <w:cantSplit/>
        </w:trPr>
        <w:tc>
          <w:tcPr>
            <w:tcW w:w="1696" w:type="dxa"/>
            <w:tcBorders>
              <w:left w:val="single" w:sz="4" w:space="0" w:color="auto"/>
            </w:tcBorders>
            <w:shd w:val="clear" w:color="auto" w:fill="auto"/>
          </w:tcPr>
          <w:p w14:paraId="111677A5" w14:textId="77777777" w:rsidR="002A4DDF" w:rsidRPr="00937C8B" w:rsidRDefault="002A4DDF" w:rsidP="009110ED">
            <w:pPr>
              <w:rPr>
                <w:rFonts w:ascii="Arial" w:hAnsi="Arial" w:cs="Arial"/>
                <w:sz w:val="12"/>
                <w:szCs w:val="12"/>
              </w:rPr>
            </w:pPr>
          </w:p>
        </w:tc>
        <w:tc>
          <w:tcPr>
            <w:tcW w:w="1843" w:type="dxa"/>
            <w:shd w:val="clear" w:color="auto" w:fill="auto"/>
          </w:tcPr>
          <w:p w14:paraId="25F8BF0C" w14:textId="77777777" w:rsidR="002A4DDF" w:rsidRPr="00937C8B" w:rsidRDefault="002A4DDF" w:rsidP="009110ED">
            <w:pPr>
              <w:rPr>
                <w:rFonts w:ascii="Arial" w:hAnsi="Arial" w:cs="Arial"/>
                <w:sz w:val="12"/>
                <w:szCs w:val="12"/>
              </w:rPr>
            </w:pPr>
          </w:p>
        </w:tc>
        <w:tc>
          <w:tcPr>
            <w:tcW w:w="2268" w:type="dxa"/>
            <w:shd w:val="clear" w:color="auto" w:fill="F2F2F2"/>
            <w:hideMark/>
          </w:tcPr>
          <w:p w14:paraId="52C5FB7C" w14:textId="77777777" w:rsidR="002A4DDF" w:rsidRPr="00937C8B" w:rsidRDefault="002A4DDF" w:rsidP="009110ED">
            <w:pPr>
              <w:rPr>
                <w:rFonts w:ascii="Arial" w:hAnsi="Arial" w:cs="Arial"/>
                <w:sz w:val="12"/>
                <w:szCs w:val="12"/>
              </w:rPr>
            </w:pPr>
            <w:r>
              <w:rPr>
                <w:rFonts w:ascii="Arial" w:hAnsi="Arial"/>
                <w:sz w:val="12"/>
                <w:szCs w:val="12"/>
              </w:rPr>
              <w:t>Cerezo de Río Tirón</w:t>
            </w:r>
          </w:p>
        </w:tc>
        <w:tc>
          <w:tcPr>
            <w:tcW w:w="2268" w:type="dxa"/>
            <w:tcBorders>
              <w:right w:val="single" w:sz="4" w:space="0" w:color="auto"/>
            </w:tcBorders>
            <w:shd w:val="clear" w:color="auto" w:fill="D9D9D9"/>
            <w:hideMark/>
          </w:tcPr>
          <w:p w14:paraId="104DB2DE" w14:textId="77777777" w:rsidR="002A4DDF" w:rsidRPr="00937C8B" w:rsidRDefault="002A4DDF" w:rsidP="009110ED">
            <w:pPr>
              <w:rPr>
                <w:rFonts w:ascii="Arial" w:hAnsi="Arial" w:cs="Arial"/>
                <w:sz w:val="12"/>
                <w:szCs w:val="12"/>
              </w:rPr>
            </w:pPr>
          </w:p>
        </w:tc>
      </w:tr>
      <w:tr w:rsidR="002A4DDF" w:rsidRPr="00937C8B" w14:paraId="5D510EA9" w14:textId="77777777" w:rsidTr="00935676">
        <w:trPr>
          <w:cantSplit/>
        </w:trPr>
        <w:tc>
          <w:tcPr>
            <w:tcW w:w="1696" w:type="dxa"/>
            <w:tcBorders>
              <w:left w:val="single" w:sz="4" w:space="0" w:color="auto"/>
            </w:tcBorders>
            <w:shd w:val="clear" w:color="auto" w:fill="auto"/>
          </w:tcPr>
          <w:p w14:paraId="48B6EC7D" w14:textId="77777777" w:rsidR="002A4DDF" w:rsidRPr="00937C8B" w:rsidRDefault="002A4DDF" w:rsidP="009110ED">
            <w:pPr>
              <w:rPr>
                <w:rFonts w:ascii="Arial" w:hAnsi="Arial" w:cs="Arial"/>
                <w:sz w:val="12"/>
                <w:szCs w:val="12"/>
              </w:rPr>
            </w:pPr>
          </w:p>
        </w:tc>
        <w:tc>
          <w:tcPr>
            <w:tcW w:w="1843" w:type="dxa"/>
            <w:shd w:val="clear" w:color="auto" w:fill="auto"/>
          </w:tcPr>
          <w:p w14:paraId="2C9B61CF" w14:textId="77777777" w:rsidR="002A4DDF" w:rsidRPr="00937C8B" w:rsidRDefault="002A4DDF" w:rsidP="009110ED">
            <w:pPr>
              <w:rPr>
                <w:rFonts w:ascii="Arial" w:hAnsi="Arial" w:cs="Arial"/>
                <w:sz w:val="12"/>
                <w:szCs w:val="12"/>
              </w:rPr>
            </w:pPr>
          </w:p>
        </w:tc>
        <w:tc>
          <w:tcPr>
            <w:tcW w:w="2268" w:type="dxa"/>
            <w:shd w:val="clear" w:color="auto" w:fill="F2F2F2"/>
            <w:hideMark/>
          </w:tcPr>
          <w:p w14:paraId="60041957" w14:textId="77777777" w:rsidR="002A4DDF" w:rsidRPr="00937C8B" w:rsidRDefault="002A4DDF" w:rsidP="009110ED">
            <w:pPr>
              <w:rPr>
                <w:rFonts w:ascii="Arial" w:hAnsi="Arial" w:cs="Arial"/>
                <w:sz w:val="12"/>
                <w:szCs w:val="12"/>
              </w:rPr>
            </w:pPr>
            <w:r>
              <w:rPr>
                <w:rFonts w:ascii="Arial" w:hAnsi="Arial"/>
                <w:sz w:val="12"/>
                <w:szCs w:val="12"/>
              </w:rPr>
              <w:t>Cerratón de Juarros</w:t>
            </w:r>
          </w:p>
        </w:tc>
        <w:tc>
          <w:tcPr>
            <w:tcW w:w="2268" w:type="dxa"/>
            <w:tcBorders>
              <w:right w:val="single" w:sz="4" w:space="0" w:color="auto"/>
            </w:tcBorders>
            <w:shd w:val="clear" w:color="auto" w:fill="D9D9D9"/>
            <w:hideMark/>
          </w:tcPr>
          <w:p w14:paraId="184D01F7" w14:textId="77777777" w:rsidR="002A4DDF" w:rsidRPr="00937C8B" w:rsidRDefault="002A4DDF" w:rsidP="009110ED">
            <w:pPr>
              <w:rPr>
                <w:rFonts w:ascii="Arial" w:hAnsi="Arial" w:cs="Arial"/>
                <w:sz w:val="12"/>
                <w:szCs w:val="12"/>
              </w:rPr>
            </w:pPr>
          </w:p>
        </w:tc>
      </w:tr>
      <w:tr w:rsidR="002A4DDF" w:rsidRPr="00937C8B" w14:paraId="0FB93EFF" w14:textId="77777777" w:rsidTr="00935676">
        <w:trPr>
          <w:cantSplit/>
        </w:trPr>
        <w:tc>
          <w:tcPr>
            <w:tcW w:w="1696" w:type="dxa"/>
            <w:tcBorders>
              <w:left w:val="single" w:sz="4" w:space="0" w:color="auto"/>
            </w:tcBorders>
            <w:shd w:val="clear" w:color="auto" w:fill="auto"/>
          </w:tcPr>
          <w:p w14:paraId="09AC5080" w14:textId="77777777" w:rsidR="002A4DDF" w:rsidRPr="00937C8B" w:rsidRDefault="002A4DDF" w:rsidP="009110ED">
            <w:pPr>
              <w:rPr>
                <w:rFonts w:ascii="Arial" w:hAnsi="Arial" w:cs="Arial"/>
                <w:sz w:val="12"/>
                <w:szCs w:val="12"/>
              </w:rPr>
            </w:pPr>
          </w:p>
        </w:tc>
        <w:tc>
          <w:tcPr>
            <w:tcW w:w="1843" w:type="dxa"/>
            <w:shd w:val="clear" w:color="auto" w:fill="auto"/>
          </w:tcPr>
          <w:p w14:paraId="3298EF94" w14:textId="77777777" w:rsidR="002A4DDF" w:rsidRPr="00937C8B" w:rsidRDefault="002A4DDF" w:rsidP="009110ED">
            <w:pPr>
              <w:rPr>
                <w:rFonts w:ascii="Arial" w:hAnsi="Arial" w:cs="Arial"/>
                <w:sz w:val="12"/>
                <w:szCs w:val="12"/>
              </w:rPr>
            </w:pPr>
          </w:p>
        </w:tc>
        <w:tc>
          <w:tcPr>
            <w:tcW w:w="2268" w:type="dxa"/>
            <w:shd w:val="clear" w:color="auto" w:fill="F2F2F2"/>
            <w:hideMark/>
          </w:tcPr>
          <w:p w14:paraId="302BD9A2" w14:textId="77777777" w:rsidR="002A4DDF" w:rsidRPr="00937C8B" w:rsidRDefault="002A4DDF" w:rsidP="009110ED">
            <w:pPr>
              <w:rPr>
                <w:rFonts w:ascii="Arial" w:hAnsi="Arial" w:cs="Arial"/>
                <w:sz w:val="12"/>
                <w:szCs w:val="12"/>
              </w:rPr>
            </w:pPr>
            <w:r>
              <w:rPr>
                <w:rFonts w:ascii="Arial" w:hAnsi="Arial"/>
                <w:sz w:val="12"/>
                <w:szCs w:val="12"/>
              </w:rPr>
              <w:t>Contreras</w:t>
            </w:r>
          </w:p>
        </w:tc>
        <w:tc>
          <w:tcPr>
            <w:tcW w:w="2268" w:type="dxa"/>
            <w:tcBorders>
              <w:right w:val="single" w:sz="4" w:space="0" w:color="auto"/>
            </w:tcBorders>
            <w:shd w:val="clear" w:color="auto" w:fill="D9D9D9"/>
            <w:hideMark/>
          </w:tcPr>
          <w:p w14:paraId="1D48DFAA" w14:textId="77777777" w:rsidR="002A4DDF" w:rsidRPr="00937C8B" w:rsidRDefault="002A4DDF" w:rsidP="009110ED">
            <w:pPr>
              <w:rPr>
                <w:rFonts w:ascii="Arial" w:hAnsi="Arial" w:cs="Arial"/>
                <w:sz w:val="12"/>
                <w:szCs w:val="12"/>
              </w:rPr>
            </w:pPr>
          </w:p>
        </w:tc>
      </w:tr>
      <w:tr w:rsidR="002A4DDF" w:rsidRPr="00937C8B" w14:paraId="26B60911" w14:textId="77777777" w:rsidTr="00935676">
        <w:trPr>
          <w:cantSplit/>
        </w:trPr>
        <w:tc>
          <w:tcPr>
            <w:tcW w:w="1696" w:type="dxa"/>
            <w:tcBorders>
              <w:left w:val="single" w:sz="4" w:space="0" w:color="auto"/>
            </w:tcBorders>
            <w:shd w:val="clear" w:color="auto" w:fill="auto"/>
          </w:tcPr>
          <w:p w14:paraId="50B285FE" w14:textId="77777777" w:rsidR="002A4DDF" w:rsidRPr="00937C8B" w:rsidRDefault="002A4DDF" w:rsidP="009110ED">
            <w:pPr>
              <w:rPr>
                <w:rFonts w:ascii="Arial" w:hAnsi="Arial" w:cs="Arial"/>
                <w:sz w:val="12"/>
                <w:szCs w:val="12"/>
              </w:rPr>
            </w:pPr>
          </w:p>
        </w:tc>
        <w:tc>
          <w:tcPr>
            <w:tcW w:w="1843" w:type="dxa"/>
            <w:shd w:val="clear" w:color="auto" w:fill="auto"/>
          </w:tcPr>
          <w:p w14:paraId="6BCB3471" w14:textId="77777777" w:rsidR="002A4DDF" w:rsidRPr="00937C8B" w:rsidRDefault="002A4DDF" w:rsidP="009110ED">
            <w:pPr>
              <w:rPr>
                <w:rFonts w:ascii="Arial" w:hAnsi="Arial" w:cs="Arial"/>
                <w:sz w:val="12"/>
                <w:szCs w:val="12"/>
              </w:rPr>
            </w:pPr>
          </w:p>
        </w:tc>
        <w:tc>
          <w:tcPr>
            <w:tcW w:w="2268" w:type="dxa"/>
            <w:shd w:val="clear" w:color="auto" w:fill="F2F2F2"/>
            <w:hideMark/>
          </w:tcPr>
          <w:p w14:paraId="6DA7C4B7" w14:textId="77777777" w:rsidR="002A4DDF" w:rsidRPr="00937C8B" w:rsidRDefault="002A4DDF" w:rsidP="009110ED">
            <w:pPr>
              <w:rPr>
                <w:rFonts w:ascii="Arial" w:hAnsi="Arial" w:cs="Arial"/>
                <w:sz w:val="12"/>
                <w:szCs w:val="12"/>
              </w:rPr>
            </w:pPr>
            <w:r>
              <w:rPr>
                <w:rFonts w:ascii="Arial" w:hAnsi="Arial"/>
                <w:sz w:val="12"/>
                <w:szCs w:val="12"/>
              </w:rPr>
              <w:t>Covarrubias</w:t>
            </w:r>
          </w:p>
        </w:tc>
        <w:tc>
          <w:tcPr>
            <w:tcW w:w="2268" w:type="dxa"/>
            <w:tcBorders>
              <w:right w:val="single" w:sz="4" w:space="0" w:color="auto"/>
            </w:tcBorders>
            <w:shd w:val="clear" w:color="auto" w:fill="D9D9D9"/>
            <w:hideMark/>
          </w:tcPr>
          <w:p w14:paraId="58328F73" w14:textId="77777777" w:rsidR="002A4DDF" w:rsidRPr="00937C8B" w:rsidRDefault="002A4DDF" w:rsidP="009110ED">
            <w:pPr>
              <w:rPr>
                <w:rFonts w:ascii="Arial" w:hAnsi="Arial" w:cs="Arial"/>
                <w:sz w:val="12"/>
                <w:szCs w:val="12"/>
              </w:rPr>
            </w:pPr>
          </w:p>
        </w:tc>
      </w:tr>
      <w:tr w:rsidR="002A4DDF" w:rsidRPr="00937C8B" w14:paraId="0DFF88B8" w14:textId="77777777" w:rsidTr="00935676">
        <w:trPr>
          <w:cantSplit/>
        </w:trPr>
        <w:tc>
          <w:tcPr>
            <w:tcW w:w="1696" w:type="dxa"/>
            <w:tcBorders>
              <w:left w:val="single" w:sz="4" w:space="0" w:color="auto"/>
            </w:tcBorders>
            <w:shd w:val="clear" w:color="auto" w:fill="auto"/>
          </w:tcPr>
          <w:p w14:paraId="3086A64C" w14:textId="77777777" w:rsidR="002A4DDF" w:rsidRPr="00937C8B" w:rsidRDefault="002A4DDF" w:rsidP="009110ED">
            <w:pPr>
              <w:rPr>
                <w:rFonts w:ascii="Arial" w:hAnsi="Arial" w:cs="Arial"/>
                <w:sz w:val="12"/>
                <w:szCs w:val="12"/>
              </w:rPr>
            </w:pPr>
          </w:p>
        </w:tc>
        <w:tc>
          <w:tcPr>
            <w:tcW w:w="1843" w:type="dxa"/>
            <w:shd w:val="clear" w:color="auto" w:fill="auto"/>
          </w:tcPr>
          <w:p w14:paraId="38A67246" w14:textId="77777777" w:rsidR="002A4DDF" w:rsidRPr="00937C8B" w:rsidRDefault="002A4DDF" w:rsidP="009110ED">
            <w:pPr>
              <w:rPr>
                <w:rFonts w:ascii="Arial" w:hAnsi="Arial" w:cs="Arial"/>
                <w:sz w:val="12"/>
                <w:szCs w:val="12"/>
              </w:rPr>
            </w:pPr>
          </w:p>
        </w:tc>
        <w:tc>
          <w:tcPr>
            <w:tcW w:w="2268" w:type="dxa"/>
            <w:shd w:val="clear" w:color="auto" w:fill="F2F2F2"/>
            <w:hideMark/>
          </w:tcPr>
          <w:p w14:paraId="647AB7E7" w14:textId="77777777" w:rsidR="002A4DDF" w:rsidRPr="00937C8B" w:rsidRDefault="002A4DDF" w:rsidP="009110ED">
            <w:pPr>
              <w:rPr>
                <w:rFonts w:ascii="Arial" w:hAnsi="Arial" w:cs="Arial"/>
                <w:sz w:val="12"/>
                <w:szCs w:val="12"/>
              </w:rPr>
            </w:pPr>
            <w:r>
              <w:rPr>
                <w:rFonts w:ascii="Arial" w:hAnsi="Arial"/>
                <w:sz w:val="12"/>
                <w:szCs w:val="12"/>
              </w:rPr>
              <w:t>Cuevas de San Clemente</w:t>
            </w:r>
          </w:p>
        </w:tc>
        <w:tc>
          <w:tcPr>
            <w:tcW w:w="2268" w:type="dxa"/>
            <w:tcBorders>
              <w:right w:val="single" w:sz="4" w:space="0" w:color="auto"/>
            </w:tcBorders>
            <w:shd w:val="clear" w:color="auto" w:fill="D9D9D9"/>
            <w:hideMark/>
          </w:tcPr>
          <w:p w14:paraId="52EDF5E7" w14:textId="77777777" w:rsidR="002A4DDF" w:rsidRPr="00937C8B" w:rsidRDefault="002A4DDF" w:rsidP="009110ED">
            <w:pPr>
              <w:rPr>
                <w:rFonts w:ascii="Arial" w:hAnsi="Arial" w:cs="Arial"/>
                <w:sz w:val="12"/>
                <w:szCs w:val="12"/>
              </w:rPr>
            </w:pPr>
          </w:p>
        </w:tc>
      </w:tr>
      <w:tr w:rsidR="002A4DDF" w:rsidRPr="00937C8B" w14:paraId="027EE3AF" w14:textId="77777777" w:rsidTr="00935676">
        <w:trPr>
          <w:cantSplit/>
        </w:trPr>
        <w:tc>
          <w:tcPr>
            <w:tcW w:w="1696" w:type="dxa"/>
            <w:tcBorders>
              <w:left w:val="single" w:sz="4" w:space="0" w:color="auto"/>
            </w:tcBorders>
            <w:shd w:val="clear" w:color="auto" w:fill="auto"/>
          </w:tcPr>
          <w:p w14:paraId="1F2CC09B" w14:textId="77777777" w:rsidR="002A4DDF" w:rsidRPr="00937C8B" w:rsidRDefault="002A4DDF" w:rsidP="009110ED">
            <w:pPr>
              <w:rPr>
                <w:rFonts w:ascii="Arial" w:hAnsi="Arial" w:cs="Arial"/>
                <w:sz w:val="12"/>
                <w:szCs w:val="12"/>
              </w:rPr>
            </w:pPr>
          </w:p>
        </w:tc>
        <w:tc>
          <w:tcPr>
            <w:tcW w:w="1843" w:type="dxa"/>
            <w:shd w:val="clear" w:color="auto" w:fill="auto"/>
          </w:tcPr>
          <w:p w14:paraId="12E5B1E9" w14:textId="77777777" w:rsidR="002A4DDF" w:rsidRPr="00937C8B" w:rsidRDefault="002A4DDF" w:rsidP="009110ED">
            <w:pPr>
              <w:rPr>
                <w:rFonts w:ascii="Arial" w:hAnsi="Arial" w:cs="Arial"/>
                <w:sz w:val="12"/>
                <w:szCs w:val="12"/>
              </w:rPr>
            </w:pPr>
          </w:p>
        </w:tc>
        <w:tc>
          <w:tcPr>
            <w:tcW w:w="2268" w:type="dxa"/>
            <w:shd w:val="clear" w:color="auto" w:fill="F2F2F2"/>
            <w:hideMark/>
          </w:tcPr>
          <w:p w14:paraId="10E6E295" w14:textId="77777777" w:rsidR="002A4DDF" w:rsidRPr="00937C8B" w:rsidRDefault="002A4DDF" w:rsidP="009110ED">
            <w:pPr>
              <w:rPr>
                <w:rFonts w:ascii="Arial" w:hAnsi="Arial" w:cs="Arial"/>
                <w:sz w:val="12"/>
                <w:szCs w:val="12"/>
              </w:rPr>
            </w:pPr>
            <w:r>
              <w:rPr>
                <w:rFonts w:ascii="Arial" w:hAnsi="Arial"/>
                <w:sz w:val="12"/>
                <w:szCs w:val="12"/>
              </w:rPr>
              <w:t>Espinosa de los Monteros</w:t>
            </w:r>
          </w:p>
        </w:tc>
        <w:tc>
          <w:tcPr>
            <w:tcW w:w="2268" w:type="dxa"/>
            <w:tcBorders>
              <w:right w:val="single" w:sz="4" w:space="0" w:color="auto"/>
            </w:tcBorders>
            <w:shd w:val="clear" w:color="auto" w:fill="D9D9D9"/>
            <w:hideMark/>
          </w:tcPr>
          <w:p w14:paraId="048F24AE" w14:textId="77777777" w:rsidR="002A4DDF" w:rsidRPr="00937C8B" w:rsidRDefault="002A4DDF" w:rsidP="009110ED">
            <w:pPr>
              <w:rPr>
                <w:rFonts w:ascii="Arial" w:hAnsi="Arial" w:cs="Arial"/>
                <w:sz w:val="12"/>
                <w:szCs w:val="12"/>
              </w:rPr>
            </w:pPr>
          </w:p>
        </w:tc>
      </w:tr>
      <w:tr w:rsidR="002A4DDF" w:rsidRPr="00937C8B" w14:paraId="57660326" w14:textId="77777777" w:rsidTr="00935676">
        <w:trPr>
          <w:cantSplit/>
        </w:trPr>
        <w:tc>
          <w:tcPr>
            <w:tcW w:w="1696" w:type="dxa"/>
            <w:tcBorders>
              <w:left w:val="single" w:sz="4" w:space="0" w:color="auto"/>
            </w:tcBorders>
            <w:shd w:val="clear" w:color="auto" w:fill="auto"/>
          </w:tcPr>
          <w:p w14:paraId="58F15417" w14:textId="77777777" w:rsidR="002A4DDF" w:rsidRPr="00937C8B" w:rsidRDefault="002A4DDF" w:rsidP="009110ED">
            <w:pPr>
              <w:rPr>
                <w:rFonts w:ascii="Arial" w:hAnsi="Arial" w:cs="Arial"/>
                <w:sz w:val="12"/>
                <w:szCs w:val="12"/>
              </w:rPr>
            </w:pPr>
          </w:p>
        </w:tc>
        <w:tc>
          <w:tcPr>
            <w:tcW w:w="1843" w:type="dxa"/>
            <w:shd w:val="clear" w:color="auto" w:fill="auto"/>
          </w:tcPr>
          <w:p w14:paraId="3D33D3F2" w14:textId="77777777" w:rsidR="002A4DDF" w:rsidRPr="00937C8B" w:rsidRDefault="002A4DDF" w:rsidP="009110ED">
            <w:pPr>
              <w:rPr>
                <w:rFonts w:ascii="Arial" w:hAnsi="Arial" w:cs="Arial"/>
                <w:sz w:val="12"/>
                <w:szCs w:val="12"/>
              </w:rPr>
            </w:pPr>
          </w:p>
        </w:tc>
        <w:tc>
          <w:tcPr>
            <w:tcW w:w="2268" w:type="dxa"/>
            <w:shd w:val="clear" w:color="auto" w:fill="F2F2F2"/>
            <w:hideMark/>
          </w:tcPr>
          <w:p w14:paraId="0856B060" w14:textId="77777777" w:rsidR="002A4DDF" w:rsidRPr="00937C8B" w:rsidRDefault="002A4DDF" w:rsidP="009110ED">
            <w:pPr>
              <w:rPr>
                <w:rFonts w:ascii="Arial" w:hAnsi="Arial" w:cs="Arial"/>
                <w:sz w:val="12"/>
                <w:szCs w:val="12"/>
              </w:rPr>
            </w:pPr>
            <w:r>
              <w:rPr>
                <w:rFonts w:ascii="Arial" w:hAnsi="Arial"/>
                <w:sz w:val="12"/>
                <w:szCs w:val="12"/>
              </w:rPr>
              <w:t>Espinosa del Camino</w:t>
            </w:r>
          </w:p>
        </w:tc>
        <w:tc>
          <w:tcPr>
            <w:tcW w:w="2268" w:type="dxa"/>
            <w:tcBorders>
              <w:right w:val="single" w:sz="4" w:space="0" w:color="auto"/>
            </w:tcBorders>
            <w:shd w:val="clear" w:color="auto" w:fill="D9D9D9"/>
            <w:hideMark/>
          </w:tcPr>
          <w:p w14:paraId="00B914F7" w14:textId="77777777" w:rsidR="002A4DDF" w:rsidRPr="00937C8B" w:rsidRDefault="002A4DDF" w:rsidP="009110ED">
            <w:pPr>
              <w:rPr>
                <w:rFonts w:ascii="Arial" w:hAnsi="Arial" w:cs="Arial"/>
                <w:sz w:val="12"/>
                <w:szCs w:val="12"/>
              </w:rPr>
            </w:pPr>
          </w:p>
        </w:tc>
      </w:tr>
      <w:tr w:rsidR="002A4DDF" w:rsidRPr="00937C8B" w14:paraId="513A142D" w14:textId="77777777" w:rsidTr="00935676">
        <w:trPr>
          <w:cantSplit/>
        </w:trPr>
        <w:tc>
          <w:tcPr>
            <w:tcW w:w="1696" w:type="dxa"/>
            <w:tcBorders>
              <w:left w:val="single" w:sz="4" w:space="0" w:color="auto"/>
            </w:tcBorders>
            <w:shd w:val="clear" w:color="auto" w:fill="auto"/>
          </w:tcPr>
          <w:p w14:paraId="7F93A437" w14:textId="77777777" w:rsidR="002A4DDF" w:rsidRPr="00937C8B" w:rsidRDefault="002A4DDF" w:rsidP="009110ED">
            <w:pPr>
              <w:rPr>
                <w:rFonts w:ascii="Arial" w:hAnsi="Arial" w:cs="Arial"/>
                <w:sz w:val="12"/>
                <w:szCs w:val="12"/>
              </w:rPr>
            </w:pPr>
          </w:p>
        </w:tc>
        <w:tc>
          <w:tcPr>
            <w:tcW w:w="1843" w:type="dxa"/>
            <w:shd w:val="clear" w:color="auto" w:fill="auto"/>
          </w:tcPr>
          <w:p w14:paraId="5E0FCE5C" w14:textId="77777777" w:rsidR="002A4DDF" w:rsidRPr="00937C8B" w:rsidRDefault="002A4DDF" w:rsidP="009110ED">
            <w:pPr>
              <w:rPr>
                <w:rFonts w:ascii="Arial" w:hAnsi="Arial" w:cs="Arial"/>
                <w:sz w:val="12"/>
                <w:szCs w:val="12"/>
              </w:rPr>
            </w:pPr>
          </w:p>
        </w:tc>
        <w:tc>
          <w:tcPr>
            <w:tcW w:w="2268" w:type="dxa"/>
            <w:shd w:val="clear" w:color="auto" w:fill="F2F2F2"/>
            <w:hideMark/>
          </w:tcPr>
          <w:p w14:paraId="1F6C8D58" w14:textId="77777777" w:rsidR="002A4DDF" w:rsidRPr="00937C8B" w:rsidRDefault="002A4DDF" w:rsidP="009110ED">
            <w:pPr>
              <w:rPr>
                <w:rFonts w:ascii="Arial" w:hAnsi="Arial" w:cs="Arial"/>
                <w:sz w:val="12"/>
                <w:szCs w:val="12"/>
              </w:rPr>
            </w:pPr>
            <w:r>
              <w:rPr>
                <w:rFonts w:ascii="Arial" w:hAnsi="Arial"/>
                <w:sz w:val="12"/>
                <w:szCs w:val="12"/>
              </w:rPr>
              <w:t>Fresneda de la Sierra Tirón</w:t>
            </w:r>
          </w:p>
        </w:tc>
        <w:tc>
          <w:tcPr>
            <w:tcW w:w="2268" w:type="dxa"/>
            <w:tcBorders>
              <w:right w:val="single" w:sz="4" w:space="0" w:color="auto"/>
            </w:tcBorders>
            <w:shd w:val="clear" w:color="auto" w:fill="D9D9D9"/>
            <w:hideMark/>
          </w:tcPr>
          <w:p w14:paraId="22772E5B" w14:textId="77777777" w:rsidR="002A4DDF" w:rsidRPr="00937C8B" w:rsidRDefault="002A4DDF" w:rsidP="009110ED">
            <w:pPr>
              <w:rPr>
                <w:rFonts w:ascii="Arial" w:hAnsi="Arial" w:cs="Arial"/>
                <w:sz w:val="12"/>
                <w:szCs w:val="12"/>
              </w:rPr>
            </w:pPr>
          </w:p>
        </w:tc>
      </w:tr>
      <w:tr w:rsidR="002A4DDF" w:rsidRPr="00937C8B" w14:paraId="58309409" w14:textId="77777777" w:rsidTr="00935676">
        <w:trPr>
          <w:cantSplit/>
        </w:trPr>
        <w:tc>
          <w:tcPr>
            <w:tcW w:w="1696" w:type="dxa"/>
            <w:tcBorders>
              <w:left w:val="single" w:sz="4" w:space="0" w:color="auto"/>
            </w:tcBorders>
            <w:shd w:val="clear" w:color="auto" w:fill="auto"/>
          </w:tcPr>
          <w:p w14:paraId="3C24E840" w14:textId="77777777" w:rsidR="002A4DDF" w:rsidRPr="00937C8B" w:rsidRDefault="002A4DDF" w:rsidP="009110ED">
            <w:pPr>
              <w:rPr>
                <w:rFonts w:ascii="Arial" w:hAnsi="Arial" w:cs="Arial"/>
                <w:sz w:val="12"/>
                <w:szCs w:val="12"/>
              </w:rPr>
            </w:pPr>
          </w:p>
        </w:tc>
        <w:tc>
          <w:tcPr>
            <w:tcW w:w="1843" w:type="dxa"/>
            <w:shd w:val="clear" w:color="auto" w:fill="auto"/>
          </w:tcPr>
          <w:p w14:paraId="6EEEBA49" w14:textId="77777777" w:rsidR="002A4DDF" w:rsidRPr="00937C8B" w:rsidRDefault="002A4DDF" w:rsidP="009110ED">
            <w:pPr>
              <w:rPr>
                <w:rFonts w:ascii="Arial" w:hAnsi="Arial" w:cs="Arial"/>
                <w:sz w:val="12"/>
                <w:szCs w:val="12"/>
              </w:rPr>
            </w:pPr>
          </w:p>
        </w:tc>
        <w:tc>
          <w:tcPr>
            <w:tcW w:w="2268" w:type="dxa"/>
            <w:shd w:val="clear" w:color="auto" w:fill="F2F2F2"/>
            <w:hideMark/>
          </w:tcPr>
          <w:p w14:paraId="576D76F5" w14:textId="77777777" w:rsidR="002A4DDF" w:rsidRPr="00937C8B" w:rsidRDefault="002A4DDF" w:rsidP="009110ED">
            <w:pPr>
              <w:rPr>
                <w:rFonts w:ascii="Arial" w:hAnsi="Arial" w:cs="Arial"/>
                <w:sz w:val="12"/>
                <w:szCs w:val="12"/>
              </w:rPr>
            </w:pPr>
            <w:r>
              <w:rPr>
                <w:rFonts w:ascii="Arial" w:hAnsi="Arial"/>
                <w:sz w:val="12"/>
                <w:szCs w:val="12"/>
              </w:rPr>
              <w:t>Fresneña</w:t>
            </w:r>
          </w:p>
        </w:tc>
        <w:tc>
          <w:tcPr>
            <w:tcW w:w="2268" w:type="dxa"/>
            <w:tcBorders>
              <w:right w:val="single" w:sz="4" w:space="0" w:color="auto"/>
            </w:tcBorders>
            <w:shd w:val="clear" w:color="auto" w:fill="D9D9D9"/>
            <w:hideMark/>
          </w:tcPr>
          <w:p w14:paraId="1D797956" w14:textId="77777777" w:rsidR="002A4DDF" w:rsidRPr="00937C8B" w:rsidRDefault="002A4DDF" w:rsidP="009110ED">
            <w:pPr>
              <w:rPr>
                <w:rFonts w:ascii="Arial" w:hAnsi="Arial" w:cs="Arial"/>
                <w:sz w:val="12"/>
                <w:szCs w:val="12"/>
              </w:rPr>
            </w:pPr>
          </w:p>
        </w:tc>
      </w:tr>
      <w:tr w:rsidR="002A4DDF" w:rsidRPr="00937C8B" w14:paraId="3C4F70F7" w14:textId="77777777" w:rsidTr="00935676">
        <w:trPr>
          <w:cantSplit/>
        </w:trPr>
        <w:tc>
          <w:tcPr>
            <w:tcW w:w="1696" w:type="dxa"/>
            <w:tcBorders>
              <w:left w:val="single" w:sz="4" w:space="0" w:color="auto"/>
            </w:tcBorders>
            <w:shd w:val="clear" w:color="auto" w:fill="auto"/>
          </w:tcPr>
          <w:p w14:paraId="5AABF529" w14:textId="77777777" w:rsidR="002A4DDF" w:rsidRPr="00937C8B" w:rsidRDefault="002A4DDF" w:rsidP="009110ED">
            <w:pPr>
              <w:rPr>
                <w:rFonts w:ascii="Arial" w:hAnsi="Arial" w:cs="Arial"/>
                <w:sz w:val="12"/>
                <w:szCs w:val="12"/>
              </w:rPr>
            </w:pPr>
          </w:p>
        </w:tc>
        <w:tc>
          <w:tcPr>
            <w:tcW w:w="1843" w:type="dxa"/>
            <w:shd w:val="clear" w:color="auto" w:fill="auto"/>
          </w:tcPr>
          <w:p w14:paraId="11E90236" w14:textId="77777777" w:rsidR="002A4DDF" w:rsidRPr="00937C8B" w:rsidRDefault="002A4DDF" w:rsidP="009110ED">
            <w:pPr>
              <w:rPr>
                <w:rFonts w:ascii="Arial" w:hAnsi="Arial" w:cs="Arial"/>
                <w:sz w:val="12"/>
                <w:szCs w:val="12"/>
              </w:rPr>
            </w:pPr>
          </w:p>
        </w:tc>
        <w:tc>
          <w:tcPr>
            <w:tcW w:w="2268" w:type="dxa"/>
            <w:shd w:val="clear" w:color="auto" w:fill="F2F2F2"/>
            <w:hideMark/>
          </w:tcPr>
          <w:p w14:paraId="33067CB4" w14:textId="77777777" w:rsidR="002A4DDF" w:rsidRPr="00937C8B" w:rsidRDefault="002A4DDF" w:rsidP="009110ED">
            <w:pPr>
              <w:rPr>
                <w:rFonts w:ascii="Arial" w:hAnsi="Arial" w:cs="Arial"/>
                <w:sz w:val="12"/>
                <w:szCs w:val="12"/>
              </w:rPr>
            </w:pPr>
            <w:r>
              <w:rPr>
                <w:rFonts w:ascii="Arial" w:hAnsi="Arial"/>
                <w:sz w:val="12"/>
                <w:szCs w:val="12"/>
              </w:rPr>
              <w:t>Fresno de Río Tirón</w:t>
            </w:r>
          </w:p>
        </w:tc>
        <w:tc>
          <w:tcPr>
            <w:tcW w:w="2268" w:type="dxa"/>
            <w:tcBorders>
              <w:right w:val="single" w:sz="4" w:space="0" w:color="auto"/>
            </w:tcBorders>
            <w:shd w:val="clear" w:color="auto" w:fill="D9D9D9"/>
            <w:hideMark/>
          </w:tcPr>
          <w:p w14:paraId="1AEAC9E1" w14:textId="77777777" w:rsidR="002A4DDF" w:rsidRPr="00937C8B" w:rsidRDefault="002A4DDF" w:rsidP="009110ED">
            <w:pPr>
              <w:rPr>
                <w:rFonts w:ascii="Arial" w:hAnsi="Arial" w:cs="Arial"/>
                <w:sz w:val="12"/>
                <w:szCs w:val="12"/>
              </w:rPr>
            </w:pPr>
          </w:p>
        </w:tc>
      </w:tr>
      <w:tr w:rsidR="002A4DDF" w:rsidRPr="00937C8B" w14:paraId="19B598BB" w14:textId="77777777" w:rsidTr="00935676">
        <w:trPr>
          <w:cantSplit/>
        </w:trPr>
        <w:tc>
          <w:tcPr>
            <w:tcW w:w="1696" w:type="dxa"/>
            <w:tcBorders>
              <w:left w:val="single" w:sz="4" w:space="0" w:color="auto"/>
            </w:tcBorders>
            <w:shd w:val="clear" w:color="auto" w:fill="auto"/>
          </w:tcPr>
          <w:p w14:paraId="4EAD7E5C" w14:textId="77777777" w:rsidR="002A4DDF" w:rsidRPr="00937C8B" w:rsidRDefault="002A4DDF" w:rsidP="009110ED">
            <w:pPr>
              <w:rPr>
                <w:rFonts w:ascii="Arial" w:hAnsi="Arial" w:cs="Arial"/>
                <w:sz w:val="12"/>
                <w:szCs w:val="12"/>
              </w:rPr>
            </w:pPr>
          </w:p>
        </w:tc>
        <w:tc>
          <w:tcPr>
            <w:tcW w:w="1843" w:type="dxa"/>
            <w:shd w:val="clear" w:color="auto" w:fill="auto"/>
          </w:tcPr>
          <w:p w14:paraId="70D565F6" w14:textId="77777777" w:rsidR="002A4DDF" w:rsidRPr="00937C8B" w:rsidRDefault="002A4DDF" w:rsidP="009110ED">
            <w:pPr>
              <w:rPr>
                <w:rFonts w:ascii="Arial" w:hAnsi="Arial" w:cs="Arial"/>
                <w:sz w:val="12"/>
                <w:szCs w:val="12"/>
              </w:rPr>
            </w:pPr>
          </w:p>
        </w:tc>
        <w:tc>
          <w:tcPr>
            <w:tcW w:w="2268" w:type="dxa"/>
            <w:shd w:val="clear" w:color="auto" w:fill="F2F2F2"/>
            <w:hideMark/>
          </w:tcPr>
          <w:p w14:paraId="45B586B4" w14:textId="77777777" w:rsidR="002A4DDF" w:rsidRPr="00937C8B" w:rsidRDefault="002A4DDF" w:rsidP="009110ED">
            <w:pPr>
              <w:rPr>
                <w:rFonts w:ascii="Arial" w:hAnsi="Arial" w:cs="Arial"/>
                <w:sz w:val="12"/>
                <w:szCs w:val="12"/>
              </w:rPr>
            </w:pPr>
            <w:r>
              <w:rPr>
                <w:rFonts w:ascii="Arial" w:hAnsi="Arial"/>
                <w:sz w:val="12"/>
                <w:szCs w:val="12"/>
              </w:rPr>
              <w:t>Fresno de Rodilla</w:t>
            </w:r>
          </w:p>
        </w:tc>
        <w:tc>
          <w:tcPr>
            <w:tcW w:w="2268" w:type="dxa"/>
            <w:tcBorders>
              <w:right w:val="single" w:sz="4" w:space="0" w:color="auto"/>
            </w:tcBorders>
            <w:shd w:val="clear" w:color="auto" w:fill="D9D9D9"/>
            <w:hideMark/>
          </w:tcPr>
          <w:p w14:paraId="5FFD7670" w14:textId="77777777" w:rsidR="002A4DDF" w:rsidRPr="00937C8B" w:rsidRDefault="002A4DDF" w:rsidP="009110ED">
            <w:pPr>
              <w:rPr>
                <w:rFonts w:ascii="Arial" w:hAnsi="Arial" w:cs="Arial"/>
                <w:sz w:val="12"/>
                <w:szCs w:val="12"/>
              </w:rPr>
            </w:pPr>
          </w:p>
        </w:tc>
      </w:tr>
      <w:tr w:rsidR="002A4DDF" w:rsidRPr="00937C8B" w14:paraId="708F80C3" w14:textId="77777777" w:rsidTr="00935676">
        <w:trPr>
          <w:cantSplit/>
        </w:trPr>
        <w:tc>
          <w:tcPr>
            <w:tcW w:w="1696" w:type="dxa"/>
            <w:tcBorders>
              <w:left w:val="single" w:sz="4" w:space="0" w:color="auto"/>
            </w:tcBorders>
            <w:shd w:val="clear" w:color="auto" w:fill="auto"/>
          </w:tcPr>
          <w:p w14:paraId="66B102F1" w14:textId="77777777" w:rsidR="002A4DDF" w:rsidRPr="00937C8B" w:rsidRDefault="002A4DDF" w:rsidP="009110ED">
            <w:pPr>
              <w:rPr>
                <w:rFonts w:ascii="Arial" w:hAnsi="Arial" w:cs="Arial"/>
                <w:sz w:val="12"/>
                <w:szCs w:val="12"/>
              </w:rPr>
            </w:pPr>
          </w:p>
        </w:tc>
        <w:tc>
          <w:tcPr>
            <w:tcW w:w="1843" w:type="dxa"/>
            <w:shd w:val="clear" w:color="auto" w:fill="auto"/>
          </w:tcPr>
          <w:p w14:paraId="2FCABC8E" w14:textId="77777777" w:rsidR="002A4DDF" w:rsidRPr="00937C8B" w:rsidRDefault="002A4DDF" w:rsidP="009110ED">
            <w:pPr>
              <w:rPr>
                <w:rFonts w:ascii="Arial" w:hAnsi="Arial" w:cs="Arial"/>
                <w:sz w:val="12"/>
                <w:szCs w:val="12"/>
              </w:rPr>
            </w:pPr>
          </w:p>
        </w:tc>
        <w:tc>
          <w:tcPr>
            <w:tcW w:w="2268" w:type="dxa"/>
            <w:shd w:val="clear" w:color="auto" w:fill="F2F2F2"/>
            <w:hideMark/>
          </w:tcPr>
          <w:p w14:paraId="0FB067BC" w14:textId="77777777" w:rsidR="002A4DDF" w:rsidRPr="00937C8B" w:rsidRDefault="002A4DDF" w:rsidP="009110ED">
            <w:pPr>
              <w:rPr>
                <w:rFonts w:ascii="Arial" w:hAnsi="Arial" w:cs="Arial"/>
                <w:sz w:val="12"/>
                <w:szCs w:val="12"/>
              </w:rPr>
            </w:pPr>
            <w:r>
              <w:rPr>
                <w:rFonts w:ascii="Arial" w:hAnsi="Arial"/>
                <w:sz w:val="12"/>
                <w:szCs w:val="12"/>
              </w:rPr>
              <w:t>Hortigüela</w:t>
            </w:r>
          </w:p>
        </w:tc>
        <w:tc>
          <w:tcPr>
            <w:tcW w:w="2268" w:type="dxa"/>
            <w:tcBorders>
              <w:right w:val="single" w:sz="4" w:space="0" w:color="auto"/>
            </w:tcBorders>
            <w:shd w:val="clear" w:color="auto" w:fill="D9D9D9"/>
            <w:hideMark/>
          </w:tcPr>
          <w:p w14:paraId="7D884A18" w14:textId="77777777" w:rsidR="002A4DDF" w:rsidRPr="00937C8B" w:rsidRDefault="002A4DDF" w:rsidP="009110ED">
            <w:pPr>
              <w:rPr>
                <w:rFonts w:ascii="Arial" w:hAnsi="Arial" w:cs="Arial"/>
                <w:sz w:val="12"/>
                <w:szCs w:val="12"/>
              </w:rPr>
            </w:pPr>
          </w:p>
        </w:tc>
      </w:tr>
      <w:tr w:rsidR="002A4DDF" w:rsidRPr="00937C8B" w14:paraId="01F39BD8" w14:textId="77777777" w:rsidTr="00935676">
        <w:trPr>
          <w:cantSplit/>
        </w:trPr>
        <w:tc>
          <w:tcPr>
            <w:tcW w:w="1696" w:type="dxa"/>
            <w:tcBorders>
              <w:left w:val="single" w:sz="4" w:space="0" w:color="auto"/>
            </w:tcBorders>
            <w:shd w:val="clear" w:color="auto" w:fill="auto"/>
          </w:tcPr>
          <w:p w14:paraId="4C4BB765" w14:textId="77777777" w:rsidR="002A4DDF" w:rsidRPr="00937C8B" w:rsidRDefault="002A4DDF" w:rsidP="009110ED">
            <w:pPr>
              <w:rPr>
                <w:rFonts w:ascii="Arial" w:hAnsi="Arial" w:cs="Arial"/>
                <w:sz w:val="12"/>
                <w:szCs w:val="12"/>
              </w:rPr>
            </w:pPr>
          </w:p>
        </w:tc>
        <w:tc>
          <w:tcPr>
            <w:tcW w:w="1843" w:type="dxa"/>
            <w:shd w:val="clear" w:color="auto" w:fill="auto"/>
          </w:tcPr>
          <w:p w14:paraId="0FC76F97" w14:textId="77777777" w:rsidR="002A4DDF" w:rsidRPr="00937C8B" w:rsidRDefault="002A4DDF" w:rsidP="009110ED">
            <w:pPr>
              <w:rPr>
                <w:rFonts w:ascii="Arial" w:hAnsi="Arial" w:cs="Arial"/>
                <w:sz w:val="12"/>
                <w:szCs w:val="12"/>
              </w:rPr>
            </w:pPr>
          </w:p>
        </w:tc>
        <w:tc>
          <w:tcPr>
            <w:tcW w:w="2268" w:type="dxa"/>
            <w:shd w:val="clear" w:color="auto" w:fill="F2F2F2"/>
            <w:hideMark/>
          </w:tcPr>
          <w:p w14:paraId="7110BBC9" w14:textId="77777777" w:rsidR="002A4DDF" w:rsidRPr="00937C8B" w:rsidRDefault="002A4DDF" w:rsidP="009110ED">
            <w:pPr>
              <w:rPr>
                <w:rFonts w:ascii="Arial" w:hAnsi="Arial" w:cs="Arial"/>
                <w:sz w:val="12"/>
                <w:szCs w:val="12"/>
              </w:rPr>
            </w:pPr>
            <w:r>
              <w:rPr>
                <w:rFonts w:ascii="Arial" w:hAnsi="Arial"/>
                <w:sz w:val="12"/>
                <w:szCs w:val="12"/>
              </w:rPr>
              <w:t>Huerta de Arriba</w:t>
            </w:r>
          </w:p>
        </w:tc>
        <w:tc>
          <w:tcPr>
            <w:tcW w:w="2268" w:type="dxa"/>
            <w:tcBorders>
              <w:right w:val="single" w:sz="4" w:space="0" w:color="auto"/>
            </w:tcBorders>
            <w:shd w:val="clear" w:color="auto" w:fill="D9D9D9"/>
            <w:hideMark/>
          </w:tcPr>
          <w:p w14:paraId="2A00F63F" w14:textId="77777777" w:rsidR="002A4DDF" w:rsidRPr="00937C8B" w:rsidRDefault="002A4DDF" w:rsidP="009110ED">
            <w:pPr>
              <w:rPr>
                <w:rFonts w:ascii="Arial" w:hAnsi="Arial" w:cs="Arial"/>
                <w:sz w:val="12"/>
                <w:szCs w:val="12"/>
              </w:rPr>
            </w:pPr>
          </w:p>
        </w:tc>
      </w:tr>
      <w:tr w:rsidR="002A4DDF" w:rsidRPr="00937C8B" w14:paraId="1DFFC9BA" w14:textId="77777777" w:rsidTr="00935676">
        <w:trPr>
          <w:cantSplit/>
        </w:trPr>
        <w:tc>
          <w:tcPr>
            <w:tcW w:w="1696" w:type="dxa"/>
            <w:tcBorders>
              <w:left w:val="single" w:sz="4" w:space="0" w:color="auto"/>
            </w:tcBorders>
            <w:shd w:val="clear" w:color="auto" w:fill="auto"/>
          </w:tcPr>
          <w:p w14:paraId="79AE4F7C" w14:textId="77777777" w:rsidR="002A4DDF" w:rsidRPr="00937C8B" w:rsidRDefault="002A4DDF" w:rsidP="009110ED">
            <w:pPr>
              <w:rPr>
                <w:rFonts w:ascii="Arial" w:hAnsi="Arial" w:cs="Arial"/>
                <w:sz w:val="12"/>
                <w:szCs w:val="12"/>
              </w:rPr>
            </w:pPr>
          </w:p>
        </w:tc>
        <w:tc>
          <w:tcPr>
            <w:tcW w:w="1843" w:type="dxa"/>
            <w:shd w:val="clear" w:color="auto" w:fill="auto"/>
          </w:tcPr>
          <w:p w14:paraId="2F2C33B9" w14:textId="77777777" w:rsidR="002A4DDF" w:rsidRPr="00937C8B" w:rsidRDefault="002A4DDF" w:rsidP="009110ED">
            <w:pPr>
              <w:rPr>
                <w:rFonts w:ascii="Arial" w:hAnsi="Arial" w:cs="Arial"/>
                <w:sz w:val="12"/>
                <w:szCs w:val="12"/>
              </w:rPr>
            </w:pPr>
          </w:p>
        </w:tc>
        <w:tc>
          <w:tcPr>
            <w:tcW w:w="2268" w:type="dxa"/>
            <w:shd w:val="clear" w:color="auto" w:fill="F2F2F2"/>
            <w:hideMark/>
          </w:tcPr>
          <w:p w14:paraId="4DC90B5C" w14:textId="77777777" w:rsidR="002A4DDF" w:rsidRPr="00937C8B" w:rsidRDefault="002A4DDF" w:rsidP="009110ED">
            <w:pPr>
              <w:rPr>
                <w:rFonts w:ascii="Arial" w:hAnsi="Arial" w:cs="Arial"/>
                <w:sz w:val="12"/>
                <w:szCs w:val="12"/>
              </w:rPr>
            </w:pPr>
            <w:r>
              <w:rPr>
                <w:rFonts w:ascii="Arial" w:hAnsi="Arial"/>
                <w:sz w:val="12"/>
                <w:szCs w:val="12"/>
              </w:rPr>
              <w:t>Hurones</w:t>
            </w:r>
          </w:p>
        </w:tc>
        <w:tc>
          <w:tcPr>
            <w:tcW w:w="2268" w:type="dxa"/>
            <w:tcBorders>
              <w:right w:val="single" w:sz="4" w:space="0" w:color="auto"/>
            </w:tcBorders>
            <w:shd w:val="clear" w:color="auto" w:fill="D9D9D9"/>
            <w:hideMark/>
          </w:tcPr>
          <w:p w14:paraId="34C5A961" w14:textId="77777777" w:rsidR="002A4DDF" w:rsidRPr="00937C8B" w:rsidRDefault="002A4DDF" w:rsidP="009110ED">
            <w:pPr>
              <w:rPr>
                <w:rFonts w:ascii="Arial" w:hAnsi="Arial" w:cs="Arial"/>
                <w:sz w:val="12"/>
                <w:szCs w:val="12"/>
              </w:rPr>
            </w:pPr>
          </w:p>
        </w:tc>
      </w:tr>
      <w:tr w:rsidR="002A4DDF" w:rsidRPr="00937C8B" w14:paraId="32BF095B" w14:textId="77777777" w:rsidTr="00935676">
        <w:trPr>
          <w:cantSplit/>
        </w:trPr>
        <w:tc>
          <w:tcPr>
            <w:tcW w:w="1696" w:type="dxa"/>
            <w:tcBorders>
              <w:left w:val="single" w:sz="4" w:space="0" w:color="auto"/>
            </w:tcBorders>
            <w:shd w:val="clear" w:color="auto" w:fill="auto"/>
          </w:tcPr>
          <w:p w14:paraId="78EAB617" w14:textId="77777777" w:rsidR="002A4DDF" w:rsidRPr="00937C8B" w:rsidRDefault="002A4DDF" w:rsidP="009110ED">
            <w:pPr>
              <w:rPr>
                <w:rFonts w:ascii="Arial" w:hAnsi="Arial" w:cs="Arial"/>
                <w:sz w:val="12"/>
                <w:szCs w:val="12"/>
              </w:rPr>
            </w:pPr>
          </w:p>
        </w:tc>
        <w:tc>
          <w:tcPr>
            <w:tcW w:w="1843" w:type="dxa"/>
            <w:shd w:val="clear" w:color="auto" w:fill="auto"/>
          </w:tcPr>
          <w:p w14:paraId="5F58822C" w14:textId="77777777" w:rsidR="002A4DDF" w:rsidRPr="00937C8B" w:rsidRDefault="002A4DDF" w:rsidP="009110ED">
            <w:pPr>
              <w:rPr>
                <w:rFonts w:ascii="Arial" w:hAnsi="Arial" w:cs="Arial"/>
                <w:sz w:val="12"/>
                <w:szCs w:val="12"/>
              </w:rPr>
            </w:pPr>
          </w:p>
        </w:tc>
        <w:tc>
          <w:tcPr>
            <w:tcW w:w="2268" w:type="dxa"/>
            <w:shd w:val="clear" w:color="auto" w:fill="F2F2F2"/>
            <w:hideMark/>
          </w:tcPr>
          <w:p w14:paraId="6186A886" w14:textId="77777777" w:rsidR="002A4DDF" w:rsidRPr="00937C8B" w:rsidRDefault="002A4DDF" w:rsidP="009110ED">
            <w:pPr>
              <w:rPr>
                <w:rFonts w:ascii="Arial" w:hAnsi="Arial" w:cs="Arial"/>
                <w:sz w:val="12"/>
                <w:szCs w:val="12"/>
              </w:rPr>
            </w:pPr>
            <w:r>
              <w:rPr>
                <w:rFonts w:ascii="Arial" w:hAnsi="Arial"/>
                <w:sz w:val="12"/>
                <w:szCs w:val="12"/>
              </w:rPr>
              <w:t>Ibeas de Juarros</w:t>
            </w:r>
          </w:p>
        </w:tc>
        <w:tc>
          <w:tcPr>
            <w:tcW w:w="2268" w:type="dxa"/>
            <w:tcBorders>
              <w:right w:val="single" w:sz="4" w:space="0" w:color="auto"/>
            </w:tcBorders>
            <w:shd w:val="clear" w:color="auto" w:fill="D9D9D9"/>
            <w:hideMark/>
          </w:tcPr>
          <w:p w14:paraId="05FC1505" w14:textId="77777777" w:rsidR="002A4DDF" w:rsidRPr="00937C8B" w:rsidRDefault="002A4DDF" w:rsidP="009110ED">
            <w:pPr>
              <w:rPr>
                <w:rFonts w:ascii="Arial" w:hAnsi="Arial" w:cs="Arial"/>
                <w:sz w:val="12"/>
                <w:szCs w:val="12"/>
              </w:rPr>
            </w:pPr>
          </w:p>
        </w:tc>
      </w:tr>
      <w:tr w:rsidR="002A4DDF" w:rsidRPr="00937C8B" w14:paraId="36D669EA" w14:textId="77777777" w:rsidTr="00935676">
        <w:trPr>
          <w:cantSplit/>
        </w:trPr>
        <w:tc>
          <w:tcPr>
            <w:tcW w:w="1696" w:type="dxa"/>
            <w:tcBorders>
              <w:left w:val="single" w:sz="4" w:space="0" w:color="auto"/>
            </w:tcBorders>
            <w:shd w:val="clear" w:color="auto" w:fill="auto"/>
          </w:tcPr>
          <w:p w14:paraId="65D6A5CC" w14:textId="77777777" w:rsidR="002A4DDF" w:rsidRPr="00937C8B" w:rsidRDefault="002A4DDF" w:rsidP="009110ED">
            <w:pPr>
              <w:rPr>
                <w:rFonts w:ascii="Arial" w:hAnsi="Arial" w:cs="Arial"/>
                <w:sz w:val="12"/>
                <w:szCs w:val="12"/>
              </w:rPr>
            </w:pPr>
          </w:p>
        </w:tc>
        <w:tc>
          <w:tcPr>
            <w:tcW w:w="1843" w:type="dxa"/>
            <w:shd w:val="clear" w:color="auto" w:fill="auto"/>
          </w:tcPr>
          <w:p w14:paraId="76A376B9" w14:textId="77777777" w:rsidR="002A4DDF" w:rsidRPr="00937C8B" w:rsidRDefault="002A4DDF" w:rsidP="009110ED">
            <w:pPr>
              <w:rPr>
                <w:rFonts w:ascii="Arial" w:hAnsi="Arial" w:cs="Arial"/>
                <w:sz w:val="12"/>
                <w:szCs w:val="12"/>
              </w:rPr>
            </w:pPr>
          </w:p>
        </w:tc>
        <w:tc>
          <w:tcPr>
            <w:tcW w:w="2268" w:type="dxa"/>
            <w:shd w:val="clear" w:color="auto" w:fill="F2F2F2"/>
            <w:hideMark/>
          </w:tcPr>
          <w:p w14:paraId="780E7B75" w14:textId="77777777" w:rsidR="002A4DDF" w:rsidRPr="00937C8B" w:rsidRDefault="002A4DDF" w:rsidP="009110ED">
            <w:pPr>
              <w:rPr>
                <w:rFonts w:ascii="Arial" w:hAnsi="Arial" w:cs="Arial"/>
                <w:sz w:val="12"/>
                <w:szCs w:val="12"/>
              </w:rPr>
            </w:pPr>
            <w:r>
              <w:rPr>
                <w:rFonts w:ascii="Arial" w:hAnsi="Arial"/>
                <w:sz w:val="12"/>
                <w:szCs w:val="12"/>
              </w:rPr>
              <w:t>Jaramillo de la Fuente</w:t>
            </w:r>
          </w:p>
        </w:tc>
        <w:tc>
          <w:tcPr>
            <w:tcW w:w="2268" w:type="dxa"/>
            <w:tcBorders>
              <w:right w:val="single" w:sz="4" w:space="0" w:color="auto"/>
            </w:tcBorders>
            <w:shd w:val="clear" w:color="auto" w:fill="D9D9D9"/>
            <w:hideMark/>
          </w:tcPr>
          <w:p w14:paraId="5EA33934" w14:textId="77777777" w:rsidR="002A4DDF" w:rsidRPr="00937C8B" w:rsidRDefault="002A4DDF" w:rsidP="009110ED">
            <w:pPr>
              <w:rPr>
                <w:rFonts w:ascii="Arial" w:hAnsi="Arial" w:cs="Arial"/>
                <w:sz w:val="12"/>
                <w:szCs w:val="12"/>
              </w:rPr>
            </w:pPr>
          </w:p>
        </w:tc>
      </w:tr>
      <w:tr w:rsidR="002A4DDF" w:rsidRPr="00937C8B" w14:paraId="1A14CEEB" w14:textId="77777777" w:rsidTr="00935676">
        <w:trPr>
          <w:cantSplit/>
        </w:trPr>
        <w:tc>
          <w:tcPr>
            <w:tcW w:w="1696" w:type="dxa"/>
            <w:tcBorders>
              <w:left w:val="single" w:sz="4" w:space="0" w:color="auto"/>
            </w:tcBorders>
            <w:shd w:val="clear" w:color="auto" w:fill="auto"/>
          </w:tcPr>
          <w:p w14:paraId="5AAA10AB" w14:textId="77777777" w:rsidR="002A4DDF" w:rsidRPr="00937C8B" w:rsidRDefault="002A4DDF" w:rsidP="009110ED">
            <w:pPr>
              <w:rPr>
                <w:rFonts w:ascii="Arial" w:hAnsi="Arial" w:cs="Arial"/>
                <w:sz w:val="12"/>
                <w:szCs w:val="12"/>
              </w:rPr>
            </w:pPr>
          </w:p>
        </w:tc>
        <w:tc>
          <w:tcPr>
            <w:tcW w:w="1843" w:type="dxa"/>
            <w:shd w:val="clear" w:color="auto" w:fill="auto"/>
          </w:tcPr>
          <w:p w14:paraId="494E6815" w14:textId="77777777" w:rsidR="002A4DDF" w:rsidRPr="00937C8B" w:rsidRDefault="002A4DDF" w:rsidP="009110ED">
            <w:pPr>
              <w:rPr>
                <w:rFonts w:ascii="Arial" w:hAnsi="Arial" w:cs="Arial"/>
                <w:sz w:val="12"/>
                <w:szCs w:val="12"/>
              </w:rPr>
            </w:pPr>
          </w:p>
        </w:tc>
        <w:tc>
          <w:tcPr>
            <w:tcW w:w="2268" w:type="dxa"/>
            <w:shd w:val="clear" w:color="auto" w:fill="F2F2F2"/>
            <w:hideMark/>
          </w:tcPr>
          <w:p w14:paraId="5FFBC00C" w14:textId="77777777" w:rsidR="002A4DDF" w:rsidRPr="00937C8B" w:rsidRDefault="002A4DDF" w:rsidP="009110ED">
            <w:pPr>
              <w:rPr>
                <w:rFonts w:ascii="Arial" w:hAnsi="Arial" w:cs="Arial"/>
                <w:sz w:val="12"/>
                <w:szCs w:val="12"/>
              </w:rPr>
            </w:pPr>
            <w:r>
              <w:rPr>
                <w:rFonts w:ascii="Arial" w:hAnsi="Arial"/>
                <w:sz w:val="12"/>
                <w:szCs w:val="12"/>
              </w:rPr>
              <w:t>Jaramillo Quemado</w:t>
            </w:r>
          </w:p>
        </w:tc>
        <w:tc>
          <w:tcPr>
            <w:tcW w:w="2268" w:type="dxa"/>
            <w:tcBorders>
              <w:right w:val="single" w:sz="4" w:space="0" w:color="auto"/>
            </w:tcBorders>
            <w:shd w:val="clear" w:color="auto" w:fill="D9D9D9"/>
            <w:hideMark/>
          </w:tcPr>
          <w:p w14:paraId="58038511" w14:textId="77777777" w:rsidR="002A4DDF" w:rsidRPr="00937C8B" w:rsidRDefault="002A4DDF" w:rsidP="009110ED">
            <w:pPr>
              <w:rPr>
                <w:rFonts w:ascii="Arial" w:hAnsi="Arial" w:cs="Arial"/>
                <w:sz w:val="12"/>
                <w:szCs w:val="12"/>
              </w:rPr>
            </w:pPr>
          </w:p>
        </w:tc>
      </w:tr>
      <w:tr w:rsidR="002A4DDF" w:rsidRPr="00937C8B" w14:paraId="5915B2DC" w14:textId="77777777" w:rsidTr="00935676">
        <w:trPr>
          <w:cantSplit/>
        </w:trPr>
        <w:tc>
          <w:tcPr>
            <w:tcW w:w="1696" w:type="dxa"/>
            <w:tcBorders>
              <w:left w:val="single" w:sz="4" w:space="0" w:color="auto"/>
            </w:tcBorders>
            <w:shd w:val="clear" w:color="auto" w:fill="auto"/>
          </w:tcPr>
          <w:p w14:paraId="2B52DCDF" w14:textId="77777777" w:rsidR="002A4DDF" w:rsidRPr="00937C8B" w:rsidRDefault="002A4DDF" w:rsidP="009110ED">
            <w:pPr>
              <w:rPr>
                <w:rFonts w:ascii="Arial" w:hAnsi="Arial" w:cs="Arial"/>
                <w:sz w:val="12"/>
                <w:szCs w:val="12"/>
              </w:rPr>
            </w:pPr>
          </w:p>
        </w:tc>
        <w:tc>
          <w:tcPr>
            <w:tcW w:w="1843" w:type="dxa"/>
            <w:shd w:val="clear" w:color="auto" w:fill="auto"/>
          </w:tcPr>
          <w:p w14:paraId="24F02623" w14:textId="77777777" w:rsidR="002A4DDF" w:rsidRPr="00937C8B" w:rsidRDefault="002A4DDF" w:rsidP="009110ED">
            <w:pPr>
              <w:rPr>
                <w:rFonts w:ascii="Arial" w:hAnsi="Arial" w:cs="Arial"/>
                <w:sz w:val="12"/>
                <w:szCs w:val="12"/>
              </w:rPr>
            </w:pPr>
          </w:p>
        </w:tc>
        <w:tc>
          <w:tcPr>
            <w:tcW w:w="2268" w:type="dxa"/>
            <w:shd w:val="clear" w:color="auto" w:fill="F2F2F2"/>
            <w:hideMark/>
          </w:tcPr>
          <w:p w14:paraId="2BF3DF5D" w14:textId="77777777" w:rsidR="002A4DDF" w:rsidRPr="00937C8B" w:rsidRDefault="002A4DDF" w:rsidP="009110ED">
            <w:pPr>
              <w:rPr>
                <w:rFonts w:ascii="Arial" w:hAnsi="Arial" w:cs="Arial"/>
                <w:sz w:val="12"/>
                <w:szCs w:val="12"/>
              </w:rPr>
            </w:pPr>
            <w:r>
              <w:rPr>
                <w:rFonts w:ascii="Arial" w:hAnsi="Arial"/>
                <w:sz w:val="12"/>
                <w:szCs w:val="12"/>
              </w:rPr>
              <w:t>Junta de Traslaloma</w:t>
            </w:r>
          </w:p>
        </w:tc>
        <w:tc>
          <w:tcPr>
            <w:tcW w:w="2268" w:type="dxa"/>
            <w:tcBorders>
              <w:right w:val="single" w:sz="4" w:space="0" w:color="auto"/>
            </w:tcBorders>
            <w:shd w:val="clear" w:color="auto" w:fill="D9D9D9"/>
            <w:hideMark/>
          </w:tcPr>
          <w:p w14:paraId="45CCB3AC" w14:textId="77777777" w:rsidR="002A4DDF" w:rsidRPr="00937C8B" w:rsidRDefault="002A4DDF" w:rsidP="009110ED">
            <w:pPr>
              <w:rPr>
                <w:rFonts w:ascii="Arial" w:hAnsi="Arial" w:cs="Arial"/>
                <w:sz w:val="12"/>
                <w:szCs w:val="12"/>
              </w:rPr>
            </w:pPr>
          </w:p>
        </w:tc>
      </w:tr>
      <w:tr w:rsidR="002A4DDF" w:rsidRPr="00937C8B" w14:paraId="18371070" w14:textId="77777777" w:rsidTr="00935676">
        <w:trPr>
          <w:cantSplit/>
        </w:trPr>
        <w:tc>
          <w:tcPr>
            <w:tcW w:w="1696" w:type="dxa"/>
            <w:tcBorders>
              <w:left w:val="single" w:sz="4" w:space="0" w:color="auto"/>
            </w:tcBorders>
            <w:shd w:val="clear" w:color="auto" w:fill="auto"/>
          </w:tcPr>
          <w:p w14:paraId="307B98E9" w14:textId="77777777" w:rsidR="002A4DDF" w:rsidRPr="00937C8B" w:rsidRDefault="002A4DDF" w:rsidP="009110ED">
            <w:pPr>
              <w:rPr>
                <w:rFonts w:ascii="Arial" w:hAnsi="Arial" w:cs="Arial"/>
                <w:sz w:val="12"/>
                <w:szCs w:val="12"/>
              </w:rPr>
            </w:pPr>
          </w:p>
        </w:tc>
        <w:tc>
          <w:tcPr>
            <w:tcW w:w="1843" w:type="dxa"/>
            <w:shd w:val="clear" w:color="auto" w:fill="auto"/>
          </w:tcPr>
          <w:p w14:paraId="10A5E735" w14:textId="77777777" w:rsidR="002A4DDF" w:rsidRPr="00937C8B" w:rsidRDefault="002A4DDF" w:rsidP="009110ED">
            <w:pPr>
              <w:rPr>
                <w:rFonts w:ascii="Arial" w:hAnsi="Arial" w:cs="Arial"/>
                <w:sz w:val="12"/>
                <w:szCs w:val="12"/>
              </w:rPr>
            </w:pPr>
          </w:p>
        </w:tc>
        <w:tc>
          <w:tcPr>
            <w:tcW w:w="2268" w:type="dxa"/>
            <w:shd w:val="clear" w:color="auto" w:fill="F2F2F2"/>
            <w:hideMark/>
          </w:tcPr>
          <w:p w14:paraId="47A39772" w14:textId="77777777" w:rsidR="002A4DDF" w:rsidRPr="00937C8B" w:rsidRDefault="002A4DDF" w:rsidP="009110ED">
            <w:pPr>
              <w:rPr>
                <w:rFonts w:ascii="Arial" w:hAnsi="Arial" w:cs="Arial"/>
                <w:sz w:val="12"/>
                <w:szCs w:val="12"/>
              </w:rPr>
            </w:pPr>
            <w:r>
              <w:rPr>
                <w:rFonts w:ascii="Arial" w:hAnsi="Arial"/>
                <w:sz w:val="12"/>
                <w:szCs w:val="12"/>
              </w:rPr>
              <w:t>Jurisdicción de Lara</w:t>
            </w:r>
          </w:p>
        </w:tc>
        <w:tc>
          <w:tcPr>
            <w:tcW w:w="2268" w:type="dxa"/>
            <w:tcBorders>
              <w:right w:val="single" w:sz="4" w:space="0" w:color="auto"/>
            </w:tcBorders>
            <w:shd w:val="clear" w:color="auto" w:fill="D9D9D9"/>
            <w:hideMark/>
          </w:tcPr>
          <w:p w14:paraId="69F5DD48" w14:textId="77777777" w:rsidR="002A4DDF" w:rsidRPr="00937C8B" w:rsidRDefault="002A4DDF" w:rsidP="009110ED">
            <w:pPr>
              <w:rPr>
                <w:rFonts w:ascii="Arial" w:hAnsi="Arial" w:cs="Arial"/>
                <w:sz w:val="12"/>
                <w:szCs w:val="12"/>
              </w:rPr>
            </w:pPr>
          </w:p>
        </w:tc>
      </w:tr>
      <w:tr w:rsidR="002A4DDF" w:rsidRPr="00937C8B" w14:paraId="37871FB2" w14:textId="77777777" w:rsidTr="00935676">
        <w:trPr>
          <w:cantSplit/>
        </w:trPr>
        <w:tc>
          <w:tcPr>
            <w:tcW w:w="1696" w:type="dxa"/>
            <w:tcBorders>
              <w:left w:val="single" w:sz="4" w:space="0" w:color="auto"/>
            </w:tcBorders>
            <w:shd w:val="clear" w:color="auto" w:fill="auto"/>
          </w:tcPr>
          <w:p w14:paraId="137E6724" w14:textId="77777777" w:rsidR="002A4DDF" w:rsidRPr="00937C8B" w:rsidRDefault="002A4DDF" w:rsidP="009110ED">
            <w:pPr>
              <w:rPr>
                <w:rFonts w:ascii="Arial" w:hAnsi="Arial" w:cs="Arial"/>
                <w:sz w:val="12"/>
                <w:szCs w:val="12"/>
              </w:rPr>
            </w:pPr>
          </w:p>
        </w:tc>
        <w:tc>
          <w:tcPr>
            <w:tcW w:w="1843" w:type="dxa"/>
            <w:shd w:val="clear" w:color="auto" w:fill="auto"/>
          </w:tcPr>
          <w:p w14:paraId="73478A5F" w14:textId="77777777" w:rsidR="002A4DDF" w:rsidRPr="00937C8B" w:rsidRDefault="002A4DDF" w:rsidP="009110ED">
            <w:pPr>
              <w:rPr>
                <w:rFonts w:ascii="Arial" w:hAnsi="Arial" w:cs="Arial"/>
                <w:sz w:val="12"/>
                <w:szCs w:val="12"/>
              </w:rPr>
            </w:pPr>
          </w:p>
        </w:tc>
        <w:tc>
          <w:tcPr>
            <w:tcW w:w="2268" w:type="dxa"/>
            <w:shd w:val="clear" w:color="auto" w:fill="F2F2F2"/>
            <w:hideMark/>
          </w:tcPr>
          <w:p w14:paraId="1A94447E" w14:textId="77777777" w:rsidR="002A4DDF" w:rsidRPr="00937C8B" w:rsidRDefault="002A4DDF" w:rsidP="009110ED">
            <w:pPr>
              <w:rPr>
                <w:rFonts w:ascii="Arial" w:hAnsi="Arial" w:cs="Arial"/>
                <w:sz w:val="12"/>
                <w:szCs w:val="12"/>
              </w:rPr>
            </w:pPr>
            <w:r>
              <w:rPr>
                <w:rFonts w:ascii="Arial" w:hAnsi="Arial"/>
                <w:sz w:val="12"/>
                <w:szCs w:val="12"/>
              </w:rPr>
              <w:t>La Revilla y Ahedo</w:t>
            </w:r>
          </w:p>
        </w:tc>
        <w:tc>
          <w:tcPr>
            <w:tcW w:w="2268" w:type="dxa"/>
            <w:tcBorders>
              <w:right w:val="single" w:sz="4" w:space="0" w:color="auto"/>
            </w:tcBorders>
            <w:shd w:val="clear" w:color="auto" w:fill="D9D9D9"/>
            <w:hideMark/>
          </w:tcPr>
          <w:p w14:paraId="4514517E" w14:textId="77777777" w:rsidR="002A4DDF" w:rsidRPr="00937C8B" w:rsidRDefault="002A4DDF" w:rsidP="009110ED">
            <w:pPr>
              <w:rPr>
                <w:rFonts w:ascii="Arial" w:hAnsi="Arial" w:cs="Arial"/>
                <w:sz w:val="12"/>
                <w:szCs w:val="12"/>
              </w:rPr>
            </w:pPr>
          </w:p>
        </w:tc>
      </w:tr>
      <w:tr w:rsidR="002A4DDF" w:rsidRPr="00937C8B" w14:paraId="577CC07C" w14:textId="77777777" w:rsidTr="00935676">
        <w:trPr>
          <w:cantSplit/>
        </w:trPr>
        <w:tc>
          <w:tcPr>
            <w:tcW w:w="1696" w:type="dxa"/>
            <w:tcBorders>
              <w:left w:val="single" w:sz="4" w:space="0" w:color="auto"/>
            </w:tcBorders>
            <w:shd w:val="clear" w:color="auto" w:fill="auto"/>
          </w:tcPr>
          <w:p w14:paraId="55D7D019" w14:textId="77777777" w:rsidR="002A4DDF" w:rsidRPr="00937C8B" w:rsidRDefault="002A4DDF" w:rsidP="009110ED">
            <w:pPr>
              <w:rPr>
                <w:rFonts w:ascii="Arial" w:hAnsi="Arial" w:cs="Arial"/>
                <w:sz w:val="12"/>
                <w:szCs w:val="12"/>
              </w:rPr>
            </w:pPr>
          </w:p>
        </w:tc>
        <w:tc>
          <w:tcPr>
            <w:tcW w:w="1843" w:type="dxa"/>
            <w:shd w:val="clear" w:color="auto" w:fill="auto"/>
          </w:tcPr>
          <w:p w14:paraId="53572027" w14:textId="77777777" w:rsidR="002A4DDF" w:rsidRPr="00937C8B" w:rsidRDefault="002A4DDF" w:rsidP="009110ED">
            <w:pPr>
              <w:rPr>
                <w:rFonts w:ascii="Arial" w:hAnsi="Arial" w:cs="Arial"/>
                <w:sz w:val="12"/>
                <w:szCs w:val="12"/>
              </w:rPr>
            </w:pPr>
          </w:p>
        </w:tc>
        <w:tc>
          <w:tcPr>
            <w:tcW w:w="2268" w:type="dxa"/>
            <w:shd w:val="clear" w:color="auto" w:fill="F2F2F2"/>
            <w:hideMark/>
          </w:tcPr>
          <w:p w14:paraId="50796689" w14:textId="77777777" w:rsidR="002A4DDF" w:rsidRPr="00937C8B" w:rsidRDefault="002A4DDF" w:rsidP="009110ED">
            <w:pPr>
              <w:rPr>
                <w:rFonts w:ascii="Arial" w:hAnsi="Arial" w:cs="Arial"/>
                <w:sz w:val="12"/>
                <w:szCs w:val="12"/>
              </w:rPr>
            </w:pPr>
            <w:r>
              <w:rPr>
                <w:rFonts w:ascii="Arial" w:hAnsi="Arial"/>
                <w:sz w:val="12"/>
                <w:szCs w:val="12"/>
              </w:rPr>
              <w:t>Los Ausines</w:t>
            </w:r>
          </w:p>
        </w:tc>
        <w:tc>
          <w:tcPr>
            <w:tcW w:w="2268" w:type="dxa"/>
            <w:tcBorders>
              <w:right w:val="single" w:sz="4" w:space="0" w:color="auto"/>
            </w:tcBorders>
            <w:shd w:val="clear" w:color="auto" w:fill="D9D9D9"/>
            <w:hideMark/>
          </w:tcPr>
          <w:p w14:paraId="5C5F84F6" w14:textId="77777777" w:rsidR="002A4DDF" w:rsidRPr="00937C8B" w:rsidRDefault="002A4DDF" w:rsidP="009110ED">
            <w:pPr>
              <w:rPr>
                <w:rFonts w:ascii="Arial" w:hAnsi="Arial" w:cs="Arial"/>
                <w:sz w:val="12"/>
                <w:szCs w:val="12"/>
              </w:rPr>
            </w:pPr>
          </w:p>
        </w:tc>
      </w:tr>
      <w:tr w:rsidR="002A4DDF" w:rsidRPr="00937C8B" w14:paraId="0DF99A81" w14:textId="77777777" w:rsidTr="00935676">
        <w:trPr>
          <w:cantSplit/>
        </w:trPr>
        <w:tc>
          <w:tcPr>
            <w:tcW w:w="1696" w:type="dxa"/>
            <w:tcBorders>
              <w:left w:val="single" w:sz="4" w:space="0" w:color="auto"/>
            </w:tcBorders>
            <w:shd w:val="clear" w:color="auto" w:fill="auto"/>
          </w:tcPr>
          <w:p w14:paraId="67F13D32" w14:textId="77777777" w:rsidR="002A4DDF" w:rsidRPr="00937C8B" w:rsidRDefault="002A4DDF" w:rsidP="009110ED">
            <w:pPr>
              <w:rPr>
                <w:rFonts w:ascii="Arial" w:hAnsi="Arial" w:cs="Arial"/>
                <w:sz w:val="12"/>
                <w:szCs w:val="12"/>
              </w:rPr>
            </w:pPr>
          </w:p>
        </w:tc>
        <w:tc>
          <w:tcPr>
            <w:tcW w:w="1843" w:type="dxa"/>
            <w:shd w:val="clear" w:color="auto" w:fill="auto"/>
          </w:tcPr>
          <w:p w14:paraId="2CC59370" w14:textId="77777777" w:rsidR="002A4DDF" w:rsidRPr="00937C8B" w:rsidRDefault="002A4DDF" w:rsidP="009110ED">
            <w:pPr>
              <w:rPr>
                <w:rFonts w:ascii="Arial" w:hAnsi="Arial" w:cs="Arial"/>
                <w:sz w:val="12"/>
                <w:szCs w:val="12"/>
              </w:rPr>
            </w:pPr>
          </w:p>
        </w:tc>
        <w:tc>
          <w:tcPr>
            <w:tcW w:w="2268" w:type="dxa"/>
            <w:shd w:val="clear" w:color="auto" w:fill="F2F2F2"/>
            <w:hideMark/>
          </w:tcPr>
          <w:p w14:paraId="32B5F539" w14:textId="77777777" w:rsidR="002A4DDF" w:rsidRPr="00937C8B" w:rsidRDefault="002A4DDF" w:rsidP="009110ED">
            <w:pPr>
              <w:rPr>
                <w:rFonts w:ascii="Arial" w:hAnsi="Arial" w:cs="Arial"/>
                <w:sz w:val="12"/>
                <w:szCs w:val="12"/>
              </w:rPr>
            </w:pPr>
            <w:r>
              <w:rPr>
                <w:rFonts w:ascii="Arial" w:hAnsi="Arial"/>
                <w:sz w:val="12"/>
                <w:szCs w:val="12"/>
              </w:rPr>
              <w:t>Mambrillas de Lara</w:t>
            </w:r>
          </w:p>
        </w:tc>
        <w:tc>
          <w:tcPr>
            <w:tcW w:w="2268" w:type="dxa"/>
            <w:tcBorders>
              <w:right w:val="single" w:sz="4" w:space="0" w:color="auto"/>
            </w:tcBorders>
            <w:shd w:val="clear" w:color="auto" w:fill="D9D9D9"/>
            <w:hideMark/>
          </w:tcPr>
          <w:p w14:paraId="098D54C4" w14:textId="77777777" w:rsidR="002A4DDF" w:rsidRPr="00937C8B" w:rsidRDefault="002A4DDF" w:rsidP="009110ED">
            <w:pPr>
              <w:rPr>
                <w:rFonts w:ascii="Arial" w:hAnsi="Arial" w:cs="Arial"/>
                <w:sz w:val="12"/>
                <w:szCs w:val="12"/>
              </w:rPr>
            </w:pPr>
          </w:p>
        </w:tc>
      </w:tr>
      <w:tr w:rsidR="002A4DDF" w:rsidRPr="00937C8B" w14:paraId="1CB79052" w14:textId="77777777" w:rsidTr="00935676">
        <w:trPr>
          <w:cantSplit/>
        </w:trPr>
        <w:tc>
          <w:tcPr>
            <w:tcW w:w="1696" w:type="dxa"/>
            <w:tcBorders>
              <w:left w:val="single" w:sz="4" w:space="0" w:color="auto"/>
            </w:tcBorders>
            <w:shd w:val="clear" w:color="auto" w:fill="auto"/>
          </w:tcPr>
          <w:p w14:paraId="3BA8FC4A" w14:textId="77777777" w:rsidR="002A4DDF" w:rsidRPr="00937C8B" w:rsidRDefault="002A4DDF" w:rsidP="009110ED">
            <w:pPr>
              <w:rPr>
                <w:rFonts w:ascii="Arial" w:hAnsi="Arial" w:cs="Arial"/>
                <w:sz w:val="12"/>
                <w:szCs w:val="12"/>
              </w:rPr>
            </w:pPr>
          </w:p>
        </w:tc>
        <w:tc>
          <w:tcPr>
            <w:tcW w:w="1843" w:type="dxa"/>
            <w:shd w:val="clear" w:color="auto" w:fill="auto"/>
          </w:tcPr>
          <w:p w14:paraId="5CE369EA" w14:textId="77777777" w:rsidR="002A4DDF" w:rsidRPr="00937C8B" w:rsidRDefault="002A4DDF" w:rsidP="009110ED">
            <w:pPr>
              <w:rPr>
                <w:rFonts w:ascii="Arial" w:hAnsi="Arial" w:cs="Arial"/>
                <w:sz w:val="12"/>
                <w:szCs w:val="12"/>
              </w:rPr>
            </w:pPr>
          </w:p>
        </w:tc>
        <w:tc>
          <w:tcPr>
            <w:tcW w:w="2268" w:type="dxa"/>
            <w:shd w:val="clear" w:color="auto" w:fill="F2F2F2"/>
            <w:hideMark/>
          </w:tcPr>
          <w:p w14:paraId="1B631758" w14:textId="77777777" w:rsidR="002A4DDF" w:rsidRPr="00937C8B" w:rsidRDefault="002A4DDF" w:rsidP="009110ED">
            <w:pPr>
              <w:rPr>
                <w:rFonts w:ascii="Arial" w:hAnsi="Arial" w:cs="Arial"/>
                <w:sz w:val="12"/>
                <w:szCs w:val="12"/>
              </w:rPr>
            </w:pPr>
            <w:r>
              <w:rPr>
                <w:rFonts w:ascii="Arial" w:hAnsi="Arial"/>
                <w:sz w:val="12"/>
                <w:szCs w:val="12"/>
              </w:rPr>
              <w:t>Mecerreyes</w:t>
            </w:r>
          </w:p>
        </w:tc>
        <w:tc>
          <w:tcPr>
            <w:tcW w:w="2268" w:type="dxa"/>
            <w:tcBorders>
              <w:right w:val="single" w:sz="4" w:space="0" w:color="auto"/>
            </w:tcBorders>
            <w:shd w:val="clear" w:color="auto" w:fill="D9D9D9"/>
            <w:hideMark/>
          </w:tcPr>
          <w:p w14:paraId="43833C92" w14:textId="77777777" w:rsidR="002A4DDF" w:rsidRPr="00937C8B" w:rsidRDefault="002A4DDF" w:rsidP="009110ED">
            <w:pPr>
              <w:rPr>
                <w:rFonts w:ascii="Arial" w:hAnsi="Arial" w:cs="Arial"/>
                <w:sz w:val="12"/>
                <w:szCs w:val="12"/>
              </w:rPr>
            </w:pPr>
          </w:p>
        </w:tc>
      </w:tr>
      <w:tr w:rsidR="002A4DDF" w:rsidRPr="00937C8B" w14:paraId="2A93FD85" w14:textId="77777777" w:rsidTr="00935676">
        <w:trPr>
          <w:cantSplit/>
        </w:trPr>
        <w:tc>
          <w:tcPr>
            <w:tcW w:w="1696" w:type="dxa"/>
            <w:tcBorders>
              <w:left w:val="single" w:sz="4" w:space="0" w:color="auto"/>
            </w:tcBorders>
            <w:shd w:val="clear" w:color="auto" w:fill="auto"/>
          </w:tcPr>
          <w:p w14:paraId="4928671D" w14:textId="77777777" w:rsidR="002A4DDF" w:rsidRPr="00937C8B" w:rsidRDefault="002A4DDF" w:rsidP="009110ED">
            <w:pPr>
              <w:rPr>
                <w:rFonts w:ascii="Arial" w:hAnsi="Arial" w:cs="Arial"/>
                <w:sz w:val="12"/>
                <w:szCs w:val="12"/>
              </w:rPr>
            </w:pPr>
          </w:p>
        </w:tc>
        <w:tc>
          <w:tcPr>
            <w:tcW w:w="1843" w:type="dxa"/>
            <w:shd w:val="clear" w:color="auto" w:fill="auto"/>
          </w:tcPr>
          <w:p w14:paraId="2E08AEC2" w14:textId="77777777" w:rsidR="002A4DDF" w:rsidRPr="00937C8B" w:rsidRDefault="002A4DDF" w:rsidP="009110ED">
            <w:pPr>
              <w:rPr>
                <w:rFonts w:ascii="Arial" w:hAnsi="Arial" w:cs="Arial"/>
                <w:sz w:val="12"/>
                <w:szCs w:val="12"/>
              </w:rPr>
            </w:pPr>
          </w:p>
        </w:tc>
        <w:tc>
          <w:tcPr>
            <w:tcW w:w="2268" w:type="dxa"/>
            <w:shd w:val="clear" w:color="auto" w:fill="F2F2F2"/>
            <w:hideMark/>
          </w:tcPr>
          <w:p w14:paraId="1E251F8C" w14:textId="77777777" w:rsidR="002A4DDF" w:rsidRPr="00937C8B" w:rsidRDefault="002A4DDF" w:rsidP="009110ED">
            <w:pPr>
              <w:rPr>
                <w:rFonts w:ascii="Arial" w:hAnsi="Arial" w:cs="Arial"/>
                <w:sz w:val="12"/>
                <w:szCs w:val="12"/>
              </w:rPr>
            </w:pPr>
            <w:r>
              <w:rPr>
                <w:rFonts w:ascii="Arial" w:hAnsi="Arial"/>
                <w:sz w:val="12"/>
                <w:szCs w:val="12"/>
              </w:rPr>
              <w:t>Medina de Pomar</w:t>
            </w:r>
          </w:p>
        </w:tc>
        <w:tc>
          <w:tcPr>
            <w:tcW w:w="2268" w:type="dxa"/>
            <w:tcBorders>
              <w:right w:val="single" w:sz="4" w:space="0" w:color="auto"/>
            </w:tcBorders>
            <w:shd w:val="clear" w:color="auto" w:fill="D9D9D9"/>
            <w:hideMark/>
          </w:tcPr>
          <w:p w14:paraId="1137F3E3" w14:textId="77777777" w:rsidR="002A4DDF" w:rsidRPr="00937C8B" w:rsidRDefault="002A4DDF" w:rsidP="009110ED">
            <w:pPr>
              <w:rPr>
                <w:rFonts w:ascii="Arial" w:hAnsi="Arial" w:cs="Arial"/>
                <w:sz w:val="12"/>
                <w:szCs w:val="12"/>
              </w:rPr>
            </w:pPr>
          </w:p>
        </w:tc>
      </w:tr>
      <w:tr w:rsidR="002A4DDF" w:rsidRPr="00937C8B" w14:paraId="10CEFEE6" w14:textId="77777777" w:rsidTr="00935676">
        <w:trPr>
          <w:cantSplit/>
        </w:trPr>
        <w:tc>
          <w:tcPr>
            <w:tcW w:w="1696" w:type="dxa"/>
            <w:tcBorders>
              <w:left w:val="single" w:sz="4" w:space="0" w:color="auto"/>
            </w:tcBorders>
            <w:shd w:val="clear" w:color="auto" w:fill="auto"/>
          </w:tcPr>
          <w:p w14:paraId="0A7197AF" w14:textId="77777777" w:rsidR="002A4DDF" w:rsidRPr="00937C8B" w:rsidRDefault="002A4DDF" w:rsidP="009110ED">
            <w:pPr>
              <w:rPr>
                <w:rFonts w:ascii="Arial" w:hAnsi="Arial" w:cs="Arial"/>
                <w:sz w:val="12"/>
                <w:szCs w:val="12"/>
              </w:rPr>
            </w:pPr>
          </w:p>
        </w:tc>
        <w:tc>
          <w:tcPr>
            <w:tcW w:w="1843" w:type="dxa"/>
            <w:shd w:val="clear" w:color="auto" w:fill="auto"/>
          </w:tcPr>
          <w:p w14:paraId="42D4C92D" w14:textId="77777777" w:rsidR="002A4DDF" w:rsidRPr="00937C8B" w:rsidRDefault="002A4DDF" w:rsidP="009110ED">
            <w:pPr>
              <w:rPr>
                <w:rFonts w:ascii="Arial" w:hAnsi="Arial" w:cs="Arial"/>
                <w:sz w:val="12"/>
                <w:szCs w:val="12"/>
              </w:rPr>
            </w:pPr>
          </w:p>
        </w:tc>
        <w:tc>
          <w:tcPr>
            <w:tcW w:w="2268" w:type="dxa"/>
            <w:shd w:val="clear" w:color="auto" w:fill="F2F2F2"/>
            <w:hideMark/>
          </w:tcPr>
          <w:p w14:paraId="78368A74" w14:textId="77777777" w:rsidR="002A4DDF" w:rsidRPr="00937C8B" w:rsidRDefault="002A4DDF" w:rsidP="009110ED">
            <w:pPr>
              <w:rPr>
                <w:rFonts w:ascii="Arial" w:hAnsi="Arial" w:cs="Arial"/>
                <w:sz w:val="12"/>
                <w:szCs w:val="12"/>
              </w:rPr>
            </w:pPr>
            <w:r>
              <w:rPr>
                <w:rFonts w:ascii="Arial" w:hAnsi="Arial"/>
                <w:sz w:val="12"/>
                <w:szCs w:val="12"/>
              </w:rPr>
              <w:t>Merindad de Montija</w:t>
            </w:r>
          </w:p>
        </w:tc>
        <w:tc>
          <w:tcPr>
            <w:tcW w:w="2268" w:type="dxa"/>
            <w:tcBorders>
              <w:right w:val="single" w:sz="4" w:space="0" w:color="auto"/>
            </w:tcBorders>
            <w:shd w:val="clear" w:color="auto" w:fill="D9D9D9"/>
            <w:hideMark/>
          </w:tcPr>
          <w:p w14:paraId="5F6A6C70" w14:textId="77777777" w:rsidR="002A4DDF" w:rsidRPr="00937C8B" w:rsidRDefault="002A4DDF" w:rsidP="009110ED">
            <w:pPr>
              <w:rPr>
                <w:rFonts w:ascii="Arial" w:hAnsi="Arial" w:cs="Arial"/>
                <w:sz w:val="12"/>
                <w:szCs w:val="12"/>
              </w:rPr>
            </w:pPr>
          </w:p>
        </w:tc>
      </w:tr>
      <w:tr w:rsidR="002A4DDF" w:rsidRPr="00937C8B" w14:paraId="79E48475" w14:textId="77777777" w:rsidTr="00935676">
        <w:trPr>
          <w:cantSplit/>
        </w:trPr>
        <w:tc>
          <w:tcPr>
            <w:tcW w:w="1696" w:type="dxa"/>
            <w:tcBorders>
              <w:left w:val="single" w:sz="4" w:space="0" w:color="auto"/>
            </w:tcBorders>
            <w:shd w:val="clear" w:color="auto" w:fill="auto"/>
          </w:tcPr>
          <w:p w14:paraId="70157AD8" w14:textId="77777777" w:rsidR="002A4DDF" w:rsidRPr="00937C8B" w:rsidRDefault="002A4DDF" w:rsidP="009110ED">
            <w:pPr>
              <w:rPr>
                <w:rFonts w:ascii="Arial" w:hAnsi="Arial" w:cs="Arial"/>
                <w:sz w:val="12"/>
                <w:szCs w:val="12"/>
              </w:rPr>
            </w:pPr>
          </w:p>
        </w:tc>
        <w:tc>
          <w:tcPr>
            <w:tcW w:w="1843" w:type="dxa"/>
            <w:shd w:val="clear" w:color="auto" w:fill="auto"/>
          </w:tcPr>
          <w:p w14:paraId="0316A0A4" w14:textId="77777777" w:rsidR="002A4DDF" w:rsidRPr="00937C8B" w:rsidRDefault="002A4DDF" w:rsidP="009110ED">
            <w:pPr>
              <w:rPr>
                <w:rFonts w:ascii="Arial" w:hAnsi="Arial" w:cs="Arial"/>
                <w:sz w:val="12"/>
                <w:szCs w:val="12"/>
              </w:rPr>
            </w:pPr>
          </w:p>
        </w:tc>
        <w:tc>
          <w:tcPr>
            <w:tcW w:w="2268" w:type="dxa"/>
            <w:shd w:val="clear" w:color="auto" w:fill="F2F2F2"/>
            <w:hideMark/>
          </w:tcPr>
          <w:p w14:paraId="161D63E9" w14:textId="77777777" w:rsidR="002A4DDF" w:rsidRPr="00937C8B" w:rsidRDefault="002A4DDF" w:rsidP="009110ED">
            <w:pPr>
              <w:rPr>
                <w:rFonts w:ascii="Arial" w:hAnsi="Arial" w:cs="Arial"/>
                <w:sz w:val="12"/>
                <w:szCs w:val="12"/>
              </w:rPr>
            </w:pPr>
            <w:r>
              <w:rPr>
                <w:rFonts w:ascii="Arial" w:hAnsi="Arial"/>
                <w:sz w:val="12"/>
                <w:szCs w:val="12"/>
              </w:rPr>
              <w:t>Monasterio de Rodilla</w:t>
            </w:r>
          </w:p>
        </w:tc>
        <w:tc>
          <w:tcPr>
            <w:tcW w:w="2268" w:type="dxa"/>
            <w:tcBorders>
              <w:right w:val="single" w:sz="4" w:space="0" w:color="auto"/>
            </w:tcBorders>
            <w:shd w:val="clear" w:color="auto" w:fill="D9D9D9"/>
            <w:hideMark/>
          </w:tcPr>
          <w:p w14:paraId="008E9B32" w14:textId="77777777" w:rsidR="002A4DDF" w:rsidRPr="00937C8B" w:rsidRDefault="002A4DDF" w:rsidP="009110ED">
            <w:pPr>
              <w:rPr>
                <w:rFonts w:ascii="Arial" w:hAnsi="Arial" w:cs="Arial"/>
                <w:sz w:val="12"/>
                <w:szCs w:val="12"/>
              </w:rPr>
            </w:pPr>
          </w:p>
        </w:tc>
      </w:tr>
      <w:tr w:rsidR="002A4DDF" w:rsidRPr="00937C8B" w14:paraId="036B607E" w14:textId="77777777" w:rsidTr="00935676">
        <w:trPr>
          <w:cantSplit/>
        </w:trPr>
        <w:tc>
          <w:tcPr>
            <w:tcW w:w="1696" w:type="dxa"/>
            <w:tcBorders>
              <w:left w:val="single" w:sz="4" w:space="0" w:color="auto"/>
            </w:tcBorders>
            <w:shd w:val="clear" w:color="auto" w:fill="auto"/>
          </w:tcPr>
          <w:p w14:paraId="4EBA7EA8" w14:textId="77777777" w:rsidR="002A4DDF" w:rsidRPr="00937C8B" w:rsidRDefault="002A4DDF" w:rsidP="009110ED">
            <w:pPr>
              <w:rPr>
                <w:rFonts w:ascii="Arial" w:hAnsi="Arial" w:cs="Arial"/>
                <w:sz w:val="12"/>
                <w:szCs w:val="12"/>
              </w:rPr>
            </w:pPr>
          </w:p>
        </w:tc>
        <w:tc>
          <w:tcPr>
            <w:tcW w:w="1843" w:type="dxa"/>
            <w:shd w:val="clear" w:color="auto" w:fill="auto"/>
          </w:tcPr>
          <w:p w14:paraId="6399C5AD" w14:textId="77777777" w:rsidR="002A4DDF" w:rsidRPr="00937C8B" w:rsidRDefault="002A4DDF" w:rsidP="009110ED">
            <w:pPr>
              <w:rPr>
                <w:rFonts w:ascii="Arial" w:hAnsi="Arial" w:cs="Arial"/>
                <w:sz w:val="12"/>
                <w:szCs w:val="12"/>
              </w:rPr>
            </w:pPr>
          </w:p>
        </w:tc>
        <w:tc>
          <w:tcPr>
            <w:tcW w:w="2268" w:type="dxa"/>
            <w:shd w:val="clear" w:color="auto" w:fill="F2F2F2"/>
            <w:hideMark/>
          </w:tcPr>
          <w:p w14:paraId="1D41651A" w14:textId="77777777" w:rsidR="002A4DDF" w:rsidRPr="00937C8B" w:rsidRDefault="002A4DDF" w:rsidP="009110ED">
            <w:pPr>
              <w:rPr>
                <w:rFonts w:ascii="Arial" w:hAnsi="Arial" w:cs="Arial"/>
                <w:sz w:val="12"/>
                <w:szCs w:val="12"/>
              </w:rPr>
            </w:pPr>
            <w:r>
              <w:rPr>
                <w:rFonts w:ascii="Arial" w:hAnsi="Arial"/>
                <w:sz w:val="12"/>
                <w:szCs w:val="12"/>
              </w:rPr>
              <w:t>Monterrubio de la Demanda</w:t>
            </w:r>
          </w:p>
        </w:tc>
        <w:tc>
          <w:tcPr>
            <w:tcW w:w="2268" w:type="dxa"/>
            <w:tcBorders>
              <w:right w:val="single" w:sz="4" w:space="0" w:color="auto"/>
            </w:tcBorders>
            <w:shd w:val="clear" w:color="auto" w:fill="D9D9D9"/>
            <w:hideMark/>
          </w:tcPr>
          <w:p w14:paraId="70D05575" w14:textId="77777777" w:rsidR="002A4DDF" w:rsidRPr="00937C8B" w:rsidRDefault="002A4DDF" w:rsidP="009110ED">
            <w:pPr>
              <w:rPr>
                <w:rFonts w:ascii="Arial" w:hAnsi="Arial" w:cs="Arial"/>
                <w:sz w:val="12"/>
                <w:szCs w:val="12"/>
              </w:rPr>
            </w:pPr>
          </w:p>
        </w:tc>
      </w:tr>
      <w:tr w:rsidR="002A4DDF" w:rsidRPr="00937C8B" w14:paraId="6E519814" w14:textId="77777777" w:rsidTr="00935676">
        <w:trPr>
          <w:cantSplit/>
        </w:trPr>
        <w:tc>
          <w:tcPr>
            <w:tcW w:w="1696" w:type="dxa"/>
            <w:tcBorders>
              <w:left w:val="single" w:sz="4" w:space="0" w:color="auto"/>
            </w:tcBorders>
            <w:shd w:val="clear" w:color="auto" w:fill="auto"/>
          </w:tcPr>
          <w:p w14:paraId="49618655" w14:textId="77777777" w:rsidR="002A4DDF" w:rsidRPr="00937C8B" w:rsidRDefault="002A4DDF" w:rsidP="009110ED">
            <w:pPr>
              <w:rPr>
                <w:rFonts w:ascii="Arial" w:hAnsi="Arial" w:cs="Arial"/>
                <w:sz w:val="12"/>
                <w:szCs w:val="12"/>
              </w:rPr>
            </w:pPr>
          </w:p>
        </w:tc>
        <w:tc>
          <w:tcPr>
            <w:tcW w:w="1843" w:type="dxa"/>
            <w:shd w:val="clear" w:color="auto" w:fill="auto"/>
          </w:tcPr>
          <w:p w14:paraId="3D6B4C70" w14:textId="77777777" w:rsidR="002A4DDF" w:rsidRPr="00937C8B" w:rsidRDefault="002A4DDF" w:rsidP="009110ED">
            <w:pPr>
              <w:rPr>
                <w:rFonts w:ascii="Arial" w:hAnsi="Arial" w:cs="Arial"/>
                <w:sz w:val="12"/>
                <w:szCs w:val="12"/>
              </w:rPr>
            </w:pPr>
          </w:p>
        </w:tc>
        <w:tc>
          <w:tcPr>
            <w:tcW w:w="2268" w:type="dxa"/>
            <w:shd w:val="clear" w:color="auto" w:fill="F2F2F2"/>
            <w:hideMark/>
          </w:tcPr>
          <w:p w14:paraId="58602B32" w14:textId="77777777" w:rsidR="002A4DDF" w:rsidRPr="00937C8B" w:rsidRDefault="002A4DDF" w:rsidP="009110ED">
            <w:pPr>
              <w:rPr>
                <w:rFonts w:ascii="Arial" w:hAnsi="Arial" w:cs="Arial"/>
                <w:sz w:val="12"/>
                <w:szCs w:val="12"/>
              </w:rPr>
            </w:pPr>
            <w:r>
              <w:rPr>
                <w:rFonts w:ascii="Arial" w:hAnsi="Arial"/>
                <w:sz w:val="12"/>
                <w:szCs w:val="12"/>
              </w:rPr>
              <w:t>Nebreda</w:t>
            </w:r>
          </w:p>
        </w:tc>
        <w:tc>
          <w:tcPr>
            <w:tcW w:w="2268" w:type="dxa"/>
            <w:tcBorders>
              <w:right w:val="single" w:sz="4" w:space="0" w:color="auto"/>
            </w:tcBorders>
            <w:shd w:val="clear" w:color="auto" w:fill="D9D9D9"/>
            <w:hideMark/>
          </w:tcPr>
          <w:p w14:paraId="7C65F414" w14:textId="77777777" w:rsidR="002A4DDF" w:rsidRPr="00937C8B" w:rsidRDefault="002A4DDF" w:rsidP="009110ED">
            <w:pPr>
              <w:rPr>
                <w:rFonts w:ascii="Arial" w:hAnsi="Arial" w:cs="Arial"/>
                <w:sz w:val="12"/>
                <w:szCs w:val="12"/>
              </w:rPr>
            </w:pPr>
          </w:p>
        </w:tc>
      </w:tr>
      <w:tr w:rsidR="002A4DDF" w:rsidRPr="00937C8B" w14:paraId="13C1D8E5" w14:textId="77777777" w:rsidTr="00935676">
        <w:trPr>
          <w:cantSplit/>
        </w:trPr>
        <w:tc>
          <w:tcPr>
            <w:tcW w:w="1696" w:type="dxa"/>
            <w:tcBorders>
              <w:left w:val="single" w:sz="4" w:space="0" w:color="auto"/>
            </w:tcBorders>
            <w:shd w:val="clear" w:color="auto" w:fill="auto"/>
          </w:tcPr>
          <w:p w14:paraId="4B4417FF" w14:textId="77777777" w:rsidR="002A4DDF" w:rsidRPr="00937C8B" w:rsidRDefault="002A4DDF" w:rsidP="009110ED">
            <w:pPr>
              <w:rPr>
                <w:rFonts w:ascii="Arial" w:hAnsi="Arial" w:cs="Arial"/>
                <w:sz w:val="12"/>
                <w:szCs w:val="12"/>
              </w:rPr>
            </w:pPr>
          </w:p>
        </w:tc>
        <w:tc>
          <w:tcPr>
            <w:tcW w:w="1843" w:type="dxa"/>
            <w:shd w:val="clear" w:color="auto" w:fill="auto"/>
          </w:tcPr>
          <w:p w14:paraId="0E597EA9" w14:textId="77777777" w:rsidR="002A4DDF" w:rsidRPr="00937C8B" w:rsidRDefault="002A4DDF" w:rsidP="009110ED">
            <w:pPr>
              <w:rPr>
                <w:rFonts w:ascii="Arial" w:hAnsi="Arial" w:cs="Arial"/>
                <w:sz w:val="12"/>
                <w:szCs w:val="12"/>
              </w:rPr>
            </w:pPr>
          </w:p>
        </w:tc>
        <w:tc>
          <w:tcPr>
            <w:tcW w:w="2268" w:type="dxa"/>
            <w:shd w:val="clear" w:color="auto" w:fill="F2F2F2"/>
            <w:hideMark/>
          </w:tcPr>
          <w:p w14:paraId="1A5CD7E3" w14:textId="77777777" w:rsidR="002A4DDF" w:rsidRPr="00937C8B" w:rsidRDefault="002A4DDF" w:rsidP="009110ED">
            <w:pPr>
              <w:rPr>
                <w:rFonts w:ascii="Arial" w:hAnsi="Arial" w:cs="Arial"/>
                <w:sz w:val="12"/>
                <w:szCs w:val="12"/>
              </w:rPr>
            </w:pPr>
            <w:r>
              <w:rPr>
                <w:rFonts w:ascii="Arial" w:hAnsi="Arial"/>
                <w:sz w:val="12"/>
                <w:szCs w:val="12"/>
              </w:rPr>
              <w:t>Neila</w:t>
            </w:r>
          </w:p>
        </w:tc>
        <w:tc>
          <w:tcPr>
            <w:tcW w:w="2268" w:type="dxa"/>
            <w:tcBorders>
              <w:right w:val="single" w:sz="4" w:space="0" w:color="auto"/>
            </w:tcBorders>
            <w:shd w:val="clear" w:color="auto" w:fill="D9D9D9"/>
            <w:hideMark/>
          </w:tcPr>
          <w:p w14:paraId="76D2E5AB" w14:textId="77777777" w:rsidR="002A4DDF" w:rsidRPr="00937C8B" w:rsidRDefault="002A4DDF" w:rsidP="009110ED">
            <w:pPr>
              <w:rPr>
                <w:rFonts w:ascii="Arial" w:hAnsi="Arial" w:cs="Arial"/>
                <w:sz w:val="12"/>
                <w:szCs w:val="12"/>
              </w:rPr>
            </w:pPr>
          </w:p>
        </w:tc>
      </w:tr>
      <w:tr w:rsidR="002A4DDF" w:rsidRPr="00937C8B" w14:paraId="67461865" w14:textId="77777777" w:rsidTr="00935676">
        <w:trPr>
          <w:cantSplit/>
        </w:trPr>
        <w:tc>
          <w:tcPr>
            <w:tcW w:w="1696" w:type="dxa"/>
            <w:tcBorders>
              <w:left w:val="single" w:sz="4" w:space="0" w:color="auto"/>
            </w:tcBorders>
            <w:shd w:val="clear" w:color="auto" w:fill="auto"/>
          </w:tcPr>
          <w:p w14:paraId="0EAA81C4" w14:textId="77777777" w:rsidR="002A4DDF" w:rsidRPr="00937C8B" w:rsidRDefault="002A4DDF" w:rsidP="009110ED">
            <w:pPr>
              <w:rPr>
                <w:rFonts w:ascii="Arial" w:hAnsi="Arial" w:cs="Arial"/>
                <w:sz w:val="12"/>
                <w:szCs w:val="12"/>
              </w:rPr>
            </w:pPr>
          </w:p>
        </w:tc>
        <w:tc>
          <w:tcPr>
            <w:tcW w:w="1843" w:type="dxa"/>
            <w:shd w:val="clear" w:color="auto" w:fill="auto"/>
          </w:tcPr>
          <w:p w14:paraId="3E40F500" w14:textId="77777777" w:rsidR="002A4DDF" w:rsidRPr="00937C8B" w:rsidRDefault="002A4DDF" w:rsidP="009110ED">
            <w:pPr>
              <w:rPr>
                <w:rFonts w:ascii="Arial" w:hAnsi="Arial" w:cs="Arial"/>
                <w:sz w:val="12"/>
                <w:szCs w:val="12"/>
              </w:rPr>
            </w:pPr>
          </w:p>
        </w:tc>
        <w:tc>
          <w:tcPr>
            <w:tcW w:w="2268" w:type="dxa"/>
            <w:shd w:val="clear" w:color="auto" w:fill="F2F2F2"/>
            <w:hideMark/>
          </w:tcPr>
          <w:p w14:paraId="5D03CEB3" w14:textId="77777777" w:rsidR="002A4DDF" w:rsidRPr="00937C8B" w:rsidRDefault="002A4DDF" w:rsidP="009110ED">
            <w:pPr>
              <w:rPr>
                <w:rFonts w:ascii="Arial" w:hAnsi="Arial" w:cs="Arial"/>
                <w:sz w:val="12"/>
                <w:szCs w:val="12"/>
              </w:rPr>
            </w:pPr>
            <w:r>
              <w:rPr>
                <w:rFonts w:ascii="Arial" w:hAnsi="Arial"/>
                <w:sz w:val="12"/>
                <w:szCs w:val="12"/>
              </w:rPr>
              <w:t>Orbaneja Riopico</w:t>
            </w:r>
          </w:p>
        </w:tc>
        <w:tc>
          <w:tcPr>
            <w:tcW w:w="2268" w:type="dxa"/>
            <w:tcBorders>
              <w:right w:val="single" w:sz="4" w:space="0" w:color="auto"/>
            </w:tcBorders>
            <w:shd w:val="clear" w:color="auto" w:fill="D9D9D9"/>
            <w:hideMark/>
          </w:tcPr>
          <w:p w14:paraId="761D90BA" w14:textId="77777777" w:rsidR="002A4DDF" w:rsidRPr="00937C8B" w:rsidRDefault="002A4DDF" w:rsidP="009110ED">
            <w:pPr>
              <w:rPr>
                <w:rFonts w:ascii="Arial" w:hAnsi="Arial" w:cs="Arial"/>
                <w:sz w:val="12"/>
                <w:szCs w:val="12"/>
              </w:rPr>
            </w:pPr>
          </w:p>
        </w:tc>
      </w:tr>
      <w:tr w:rsidR="002A4DDF" w:rsidRPr="00937C8B" w14:paraId="0CFEE3DF" w14:textId="77777777" w:rsidTr="00935676">
        <w:trPr>
          <w:cantSplit/>
        </w:trPr>
        <w:tc>
          <w:tcPr>
            <w:tcW w:w="1696" w:type="dxa"/>
            <w:tcBorders>
              <w:left w:val="single" w:sz="4" w:space="0" w:color="auto"/>
            </w:tcBorders>
            <w:shd w:val="clear" w:color="auto" w:fill="auto"/>
          </w:tcPr>
          <w:p w14:paraId="0722B908" w14:textId="77777777" w:rsidR="002A4DDF" w:rsidRPr="00937C8B" w:rsidRDefault="002A4DDF" w:rsidP="009110ED">
            <w:pPr>
              <w:rPr>
                <w:rFonts w:ascii="Arial" w:hAnsi="Arial" w:cs="Arial"/>
                <w:sz w:val="12"/>
                <w:szCs w:val="12"/>
              </w:rPr>
            </w:pPr>
          </w:p>
        </w:tc>
        <w:tc>
          <w:tcPr>
            <w:tcW w:w="1843" w:type="dxa"/>
            <w:shd w:val="clear" w:color="auto" w:fill="auto"/>
          </w:tcPr>
          <w:p w14:paraId="5A210F51" w14:textId="77777777" w:rsidR="002A4DDF" w:rsidRPr="00937C8B" w:rsidRDefault="002A4DDF" w:rsidP="009110ED">
            <w:pPr>
              <w:rPr>
                <w:rFonts w:ascii="Arial" w:hAnsi="Arial" w:cs="Arial"/>
                <w:sz w:val="12"/>
                <w:szCs w:val="12"/>
              </w:rPr>
            </w:pPr>
          </w:p>
        </w:tc>
        <w:tc>
          <w:tcPr>
            <w:tcW w:w="2268" w:type="dxa"/>
            <w:shd w:val="clear" w:color="auto" w:fill="F2F2F2"/>
            <w:hideMark/>
          </w:tcPr>
          <w:p w14:paraId="41558518" w14:textId="77777777" w:rsidR="002A4DDF" w:rsidRPr="00937C8B" w:rsidRDefault="002A4DDF" w:rsidP="009110ED">
            <w:pPr>
              <w:rPr>
                <w:rFonts w:ascii="Arial" w:hAnsi="Arial" w:cs="Arial"/>
                <w:sz w:val="12"/>
                <w:szCs w:val="12"/>
              </w:rPr>
            </w:pPr>
            <w:r>
              <w:rPr>
                <w:rFonts w:ascii="Arial" w:hAnsi="Arial"/>
                <w:sz w:val="12"/>
                <w:szCs w:val="12"/>
              </w:rPr>
              <w:t>Palazuelos de la Sierra</w:t>
            </w:r>
          </w:p>
        </w:tc>
        <w:tc>
          <w:tcPr>
            <w:tcW w:w="2268" w:type="dxa"/>
            <w:tcBorders>
              <w:right w:val="single" w:sz="4" w:space="0" w:color="auto"/>
            </w:tcBorders>
            <w:shd w:val="clear" w:color="auto" w:fill="D9D9D9"/>
            <w:hideMark/>
          </w:tcPr>
          <w:p w14:paraId="08DFCE6D" w14:textId="77777777" w:rsidR="002A4DDF" w:rsidRPr="00937C8B" w:rsidRDefault="002A4DDF" w:rsidP="009110ED">
            <w:pPr>
              <w:rPr>
                <w:rFonts w:ascii="Arial" w:hAnsi="Arial" w:cs="Arial"/>
                <w:sz w:val="12"/>
                <w:szCs w:val="12"/>
              </w:rPr>
            </w:pPr>
          </w:p>
        </w:tc>
      </w:tr>
      <w:tr w:rsidR="002A4DDF" w:rsidRPr="00937C8B" w14:paraId="1C9D279C" w14:textId="77777777" w:rsidTr="00935676">
        <w:trPr>
          <w:cantSplit/>
        </w:trPr>
        <w:tc>
          <w:tcPr>
            <w:tcW w:w="1696" w:type="dxa"/>
            <w:tcBorders>
              <w:left w:val="single" w:sz="4" w:space="0" w:color="auto"/>
            </w:tcBorders>
            <w:shd w:val="clear" w:color="auto" w:fill="auto"/>
          </w:tcPr>
          <w:p w14:paraId="2978A54D" w14:textId="77777777" w:rsidR="002A4DDF" w:rsidRPr="00937C8B" w:rsidRDefault="002A4DDF" w:rsidP="009110ED">
            <w:pPr>
              <w:rPr>
                <w:rFonts w:ascii="Arial" w:hAnsi="Arial" w:cs="Arial"/>
                <w:sz w:val="12"/>
                <w:szCs w:val="12"/>
              </w:rPr>
            </w:pPr>
          </w:p>
        </w:tc>
        <w:tc>
          <w:tcPr>
            <w:tcW w:w="1843" w:type="dxa"/>
            <w:shd w:val="clear" w:color="auto" w:fill="auto"/>
          </w:tcPr>
          <w:p w14:paraId="146A32CC" w14:textId="77777777" w:rsidR="002A4DDF" w:rsidRPr="00937C8B" w:rsidRDefault="002A4DDF" w:rsidP="009110ED">
            <w:pPr>
              <w:rPr>
                <w:rFonts w:ascii="Arial" w:hAnsi="Arial" w:cs="Arial"/>
                <w:sz w:val="12"/>
                <w:szCs w:val="12"/>
              </w:rPr>
            </w:pPr>
          </w:p>
        </w:tc>
        <w:tc>
          <w:tcPr>
            <w:tcW w:w="2268" w:type="dxa"/>
            <w:shd w:val="clear" w:color="auto" w:fill="F2F2F2"/>
            <w:hideMark/>
          </w:tcPr>
          <w:p w14:paraId="492B7BF3" w14:textId="77777777" w:rsidR="002A4DDF" w:rsidRPr="00937C8B" w:rsidRDefault="002A4DDF" w:rsidP="009110ED">
            <w:pPr>
              <w:rPr>
                <w:rFonts w:ascii="Arial" w:hAnsi="Arial" w:cs="Arial"/>
                <w:sz w:val="12"/>
                <w:szCs w:val="12"/>
              </w:rPr>
            </w:pPr>
            <w:r>
              <w:rPr>
                <w:rFonts w:ascii="Arial" w:hAnsi="Arial"/>
                <w:sz w:val="12"/>
                <w:szCs w:val="12"/>
              </w:rPr>
              <w:t>Pedrosa del Páramo</w:t>
            </w:r>
          </w:p>
        </w:tc>
        <w:tc>
          <w:tcPr>
            <w:tcW w:w="2268" w:type="dxa"/>
            <w:tcBorders>
              <w:right w:val="single" w:sz="4" w:space="0" w:color="auto"/>
            </w:tcBorders>
            <w:shd w:val="clear" w:color="auto" w:fill="D9D9D9"/>
            <w:hideMark/>
          </w:tcPr>
          <w:p w14:paraId="243EE9D4" w14:textId="77777777" w:rsidR="002A4DDF" w:rsidRPr="00937C8B" w:rsidRDefault="002A4DDF" w:rsidP="009110ED">
            <w:pPr>
              <w:rPr>
                <w:rFonts w:ascii="Arial" w:hAnsi="Arial" w:cs="Arial"/>
                <w:sz w:val="12"/>
                <w:szCs w:val="12"/>
              </w:rPr>
            </w:pPr>
          </w:p>
        </w:tc>
      </w:tr>
      <w:tr w:rsidR="002A4DDF" w:rsidRPr="00937C8B" w14:paraId="740A1305" w14:textId="77777777" w:rsidTr="00935676">
        <w:trPr>
          <w:cantSplit/>
        </w:trPr>
        <w:tc>
          <w:tcPr>
            <w:tcW w:w="1696" w:type="dxa"/>
            <w:tcBorders>
              <w:left w:val="single" w:sz="4" w:space="0" w:color="auto"/>
            </w:tcBorders>
            <w:shd w:val="clear" w:color="auto" w:fill="auto"/>
          </w:tcPr>
          <w:p w14:paraId="54054AFC" w14:textId="77777777" w:rsidR="002A4DDF" w:rsidRPr="00937C8B" w:rsidRDefault="002A4DDF" w:rsidP="009110ED">
            <w:pPr>
              <w:rPr>
                <w:rFonts w:ascii="Arial" w:hAnsi="Arial" w:cs="Arial"/>
                <w:sz w:val="12"/>
                <w:szCs w:val="12"/>
              </w:rPr>
            </w:pPr>
          </w:p>
        </w:tc>
        <w:tc>
          <w:tcPr>
            <w:tcW w:w="1843" w:type="dxa"/>
            <w:shd w:val="clear" w:color="auto" w:fill="auto"/>
          </w:tcPr>
          <w:p w14:paraId="6A1A920A" w14:textId="77777777" w:rsidR="002A4DDF" w:rsidRPr="00937C8B" w:rsidRDefault="002A4DDF" w:rsidP="009110ED">
            <w:pPr>
              <w:rPr>
                <w:rFonts w:ascii="Arial" w:hAnsi="Arial" w:cs="Arial"/>
                <w:sz w:val="12"/>
                <w:szCs w:val="12"/>
              </w:rPr>
            </w:pPr>
          </w:p>
        </w:tc>
        <w:tc>
          <w:tcPr>
            <w:tcW w:w="2268" w:type="dxa"/>
            <w:shd w:val="clear" w:color="auto" w:fill="F2F2F2"/>
            <w:hideMark/>
          </w:tcPr>
          <w:p w14:paraId="18618A70" w14:textId="77777777" w:rsidR="002A4DDF" w:rsidRPr="00937C8B" w:rsidRDefault="002A4DDF" w:rsidP="009110ED">
            <w:pPr>
              <w:rPr>
                <w:rFonts w:ascii="Arial" w:hAnsi="Arial" w:cs="Arial"/>
                <w:sz w:val="12"/>
                <w:szCs w:val="12"/>
              </w:rPr>
            </w:pPr>
            <w:r>
              <w:rPr>
                <w:rFonts w:ascii="Arial" w:hAnsi="Arial"/>
                <w:sz w:val="12"/>
                <w:szCs w:val="12"/>
              </w:rPr>
              <w:t>Pedrosa del Príncipe</w:t>
            </w:r>
          </w:p>
        </w:tc>
        <w:tc>
          <w:tcPr>
            <w:tcW w:w="2268" w:type="dxa"/>
            <w:tcBorders>
              <w:right w:val="single" w:sz="4" w:space="0" w:color="auto"/>
            </w:tcBorders>
            <w:shd w:val="clear" w:color="auto" w:fill="D9D9D9"/>
            <w:hideMark/>
          </w:tcPr>
          <w:p w14:paraId="7108A760" w14:textId="77777777" w:rsidR="002A4DDF" w:rsidRPr="00937C8B" w:rsidRDefault="002A4DDF" w:rsidP="009110ED">
            <w:pPr>
              <w:rPr>
                <w:rFonts w:ascii="Arial" w:hAnsi="Arial" w:cs="Arial"/>
                <w:sz w:val="12"/>
                <w:szCs w:val="12"/>
              </w:rPr>
            </w:pPr>
          </w:p>
        </w:tc>
      </w:tr>
      <w:tr w:rsidR="002A4DDF" w:rsidRPr="00937C8B" w14:paraId="06E414EC" w14:textId="77777777" w:rsidTr="00935676">
        <w:trPr>
          <w:cantSplit/>
        </w:trPr>
        <w:tc>
          <w:tcPr>
            <w:tcW w:w="1696" w:type="dxa"/>
            <w:tcBorders>
              <w:left w:val="single" w:sz="4" w:space="0" w:color="auto"/>
            </w:tcBorders>
            <w:shd w:val="clear" w:color="auto" w:fill="auto"/>
          </w:tcPr>
          <w:p w14:paraId="41889E7A" w14:textId="77777777" w:rsidR="002A4DDF" w:rsidRPr="00937C8B" w:rsidRDefault="002A4DDF" w:rsidP="009110ED">
            <w:pPr>
              <w:rPr>
                <w:rFonts w:ascii="Arial" w:hAnsi="Arial" w:cs="Arial"/>
                <w:sz w:val="12"/>
                <w:szCs w:val="12"/>
              </w:rPr>
            </w:pPr>
          </w:p>
        </w:tc>
        <w:tc>
          <w:tcPr>
            <w:tcW w:w="1843" w:type="dxa"/>
            <w:shd w:val="clear" w:color="auto" w:fill="auto"/>
          </w:tcPr>
          <w:p w14:paraId="31348B4F" w14:textId="77777777" w:rsidR="002A4DDF" w:rsidRPr="00937C8B" w:rsidRDefault="002A4DDF" w:rsidP="009110ED">
            <w:pPr>
              <w:rPr>
                <w:rFonts w:ascii="Arial" w:hAnsi="Arial" w:cs="Arial"/>
                <w:sz w:val="12"/>
                <w:szCs w:val="12"/>
              </w:rPr>
            </w:pPr>
          </w:p>
        </w:tc>
        <w:tc>
          <w:tcPr>
            <w:tcW w:w="2268" w:type="dxa"/>
            <w:shd w:val="clear" w:color="auto" w:fill="F2F2F2"/>
            <w:hideMark/>
          </w:tcPr>
          <w:p w14:paraId="47D11922" w14:textId="77777777" w:rsidR="002A4DDF" w:rsidRPr="00937C8B" w:rsidRDefault="002A4DDF" w:rsidP="009110ED">
            <w:pPr>
              <w:rPr>
                <w:rFonts w:ascii="Arial" w:hAnsi="Arial" w:cs="Arial"/>
                <w:sz w:val="12"/>
                <w:szCs w:val="12"/>
              </w:rPr>
            </w:pPr>
            <w:r>
              <w:rPr>
                <w:rFonts w:ascii="Arial" w:hAnsi="Arial"/>
                <w:sz w:val="12"/>
                <w:szCs w:val="12"/>
              </w:rPr>
              <w:t>Peñaranda de Duero</w:t>
            </w:r>
          </w:p>
        </w:tc>
        <w:tc>
          <w:tcPr>
            <w:tcW w:w="2268" w:type="dxa"/>
            <w:tcBorders>
              <w:right w:val="single" w:sz="4" w:space="0" w:color="auto"/>
            </w:tcBorders>
            <w:shd w:val="clear" w:color="auto" w:fill="D9D9D9"/>
            <w:hideMark/>
          </w:tcPr>
          <w:p w14:paraId="3BBE1979" w14:textId="77777777" w:rsidR="002A4DDF" w:rsidRPr="00937C8B" w:rsidRDefault="002A4DDF" w:rsidP="009110ED">
            <w:pPr>
              <w:rPr>
                <w:rFonts w:ascii="Arial" w:hAnsi="Arial" w:cs="Arial"/>
                <w:sz w:val="12"/>
                <w:szCs w:val="12"/>
              </w:rPr>
            </w:pPr>
          </w:p>
        </w:tc>
      </w:tr>
      <w:tr w:rsidR="002A4DDF" w:rsidRPr="00937C8B" w14:paraId="7F75B1B7" w14:textId="77777777" w:rsidTr="00935676">
        <w:trPr>
          <w:cantSplit/>
        </w:trPr>
        <w:tc>
          <w:tcPr>
            <w:tcW w:w="1696" w:type="dxa"/>
            <w:tcBorders>
              <w:left w:val="single" w:sz="4" w:space="0" w:color="auto"/>
            </w:tcBorders>
            <w:shd w:val="clear" w:color="auto" w:fill="auto"/>
          </w:tcPr>
          <w:p w14:paraId="77034CAA" w14:textId="77777777" w:rsidR="002A4DDF" w:rsidRPr="00937C8B" w:rsidRDefault="002A4DDF" w:rsidP="009110ED">
            <w:pPr>
              <w:rPr>
                <w:rFonts w:ascii="Arial" w:hAnsi="Arial" w:cs="Arial"/>
                <w:sz w:val="12"/>
                <w:szCs w:val="12"/>
              </w:rPr>
            </w:pPr>
          </w:p>
        </w:tc>
        <w:tc>
          <w:tcPr>
            <w:tcW w:w="1843" w:type="dxa"/>
            <w:shd w:val="clear" w:color="auto" w:fill="auto"/>
          </w:tcPr>
          <w:p w14:paraId="54A11908" w14:textId="77777777" w:rsidR="002A4DDF" w:rsidRPr="00937C8B" w:rsidRDefault="002A4DDF" w:rsidP="009110ED">
            <w:pPr>
              <w:rPr>
                <w:rFonts w:ascii="Arial" w:hAnsi="Arial" w:cs="Arial"/>
                <w:sz w:val="12"/>
                <w:szCs w:val="12"/>
              </w:rPr>
            </w:pPr>
          </w:p>
        </w:tc>
        <w:tc>
          <w:tcPr>
            <w:tcW w:w="2268" w:type="dxa"/>
            <w:shd w:val="clear" w:color="auto" w:fill="F2F2F2"/>
            <w:hideMark/>
          </w:tcPr>
          <w:p w14:paraId="434A2ABD" w14:textId="77777777" w:rsidR="002A4DDF" w:rsidRPr="00937C8B" w:rsidRDefault="002A4DDF" w:rsidP="009110ED">
            <w:pPr>
              <w:rPr>
                <w:rFonts w:ascii="Arial" w:hAnsi="Arial" w:cs="Arial"/>
                <w:sz w:val="12"/>
                <w:szCs w:val="12"/>
              </w:rPr>
            </w:pPr>
            <w:r>
              <w:rPr>
                <w:rFonts w:ascii="Arial" w:hAnsi="Arial"/>
                <w:sz w:val="12"/>
                <w:szCs w:val="12"/>
              </w:rPr>
              <w:t>Pineda de la Sierra</w:t>
            </w:r>
          </w:p>
        </w:tc>
        <w:tc>
          <w:tcPr>
            <w:tcW w:w="2268" w:type="dxa"/>
            <w:tcBorders>
              <w:right w:val="single" w:sz="4" w:space="0" w:color="auto"/>
            </w:tcBorders>
            <w:shd w:val="clear" w:color="auto" w:fill="D9D9D9"/>
            <w:hideMark/>
          </w:tcPr>
          <w:p w14:paraId="0F565E8B" w14:textId="77777777" w:rsidR="002A4DDF" w:rsidRPr="00937C8B" w:rsidRDefault="002A4DDF" w:rsidP="009110ED">
            <w:pPr>
              <w:rPr>
                <w:rFonts w:ascii="Arial" w:hAnsi="Arial" w:cs="Arial"/>
                <w:sz w:val="12"/>
                <w:szCs w:val="12"/>
              </w:rPr>
            </w:pPr>
          </w:p>
        </w:tc>
      </w:tr>
      <w:tr w:rsidR="002A4DDF" w:rsidRPr="00937C8B" w14:paraId="654DB1A9" w14:textId="77777777" w:rsidTr="00935676">
        <w:trPr>
          <w:cantSplit/>
        </w:trPr>
        <w:tc>
          <w:tcPr>
            <w:tcW w:w="1696" w:type="dxa"/>
            <w:tcBorders>
              <w:left w:val="single" w:sz="4" w:space="0" w:color="auto"/>
            </w:tcBorders>
            <w:shd w:val="clear" w:color="auto" w:fill="auto"/>
          </w:tcPr>
          <w:p w14:paraId="612FB4A9" w14:textId="77777777" w:rsidR="002A4DDF" w:rsidRPr="00937C8B" w:rsidRDefault="002A4DDF" w:rsidP="009110ED">
            <w:pPr>
              <w:rPr>
                <w:rFonts w:ascii="Arial" w:hAnsi="Arial" w:cs="Arial"/>
                <w:sz w:val="12"/>
                <w:szCs w:val="12"/>
              </w:rPr>
            </w:pPr>
          </w:p>
        </w:tc>
        <w:tc>
          <w:tcPr>
            <w:tcW w:w="1843" w:type="dxa"/>
            <w:shd w:val="clear" w:color="auto" w:fill="auto"/>
          </w:tcPr>
          <w:p w14:paraId="7E32A8E8" w14:textId="77777777" w:rsidR="002A4DDF" w:rsidRPr="00937C8B" w:rsidRDefault="002A4DDF" w:rsidP="009110ED">
            <w:pPr>
              <w:rPr>
                <w:rFonts w:ascii="Arial" w:hAnsi="Arial" w:cs="Arial"/>
                <w:sz w:val="12"/>
                <w:szCs w:val="12"/>
              </w:rPr>
            </w:pPr>
          </w:p>
        </w:tc>
        <w:tc>
          <w:tcPr>
            <w:tcW w:w="2268" w:type="dxa"/>
            <w:shd w:val="clear" w:color="auto" w:fill="F2F2F2"/>
            <w:hideMark/>
          </w:tcPr>
          <w:p w14:paraId="7886D399" w14:textId="77777777" w:rsidR="002A4DDF" w:rsidRPr="00937C8B" w:rsidRDefault="002A4DDF" w:rsidP="009110ED">
            <w:pPr>
              <w:rPr>
                <w:rFonts w:ascii="Arial" w:hAnsi="Arial" w:cs="Arial"/>
                <w:sz w:val="12"/>
                <w:szCs w:val="12"/>
              </w:rPr>
            </w:pPr>
            <w:r>
              <w:rPr>
                <w:rFonts w:ascii="Arial" w:hAnsi="Arial"/>
                <w:sz w:val="12"/>
                <w:szCs w:val="12"/>
              </w:rPr>
              <w:t>Pinilla de los Moros</w:t>
            </w:r>
          </w:p>
        </w:tc>
        <w:tc>
          <w:tcPr>
            <w:tcW w:w="2268" w:type="dxa"/>
            <w:tcBorders>
              <w:right w:val="single" w:sz="4" w:space="0" w:color="auto"/>
            </w:tcBorders>
            <w:shd w:val="clear" w:color="auto" w:fill="D9D9D9"/>
            <w:hideMark/>
          </w:tcPr>
          <w:p w14:paraId="67709695" w14:textId="77777777" w:rsidR="002A4DDF" w:rsidRPr="00937C8B" w:rsidRDefault="002A4DDF" w:rsidP="009110ED">
            <w:pPr>
              <w:rPr>
                <w:rFonts w:ascii="Arial" w:hAnsi="Arial" w:cs="Arial"/>
                <w:sz w:val="12"/>
                <w:szCs w:val="12"/>
              </w:rPr>
            </w:pPr>
          </w:p>
        </w:tc>
      </w:tr>
      <w:tr w:rsidR="002A4DDF" w:rsidRPr="00937C8B" w14:paraId="77C09060" w14:textId="77777777" w:rsidTr="00935676">
        <w:trPr>
          <w:cantSplit/>
        </w:trPr>
        <w:tc>
          <w:tcPr>
            <w:tcW w:w="1696" w:type="dxa"/>
            <w:tcBorders>
              <w:left w:val="single" w:sz="4" w:space="0" w:color="auto"/>
            </w:tcBorders>
            <w:shd w:val="clear" w:color="auto" w:fill="auto"/>
          </w:tcPr>
          <w:p w14:paraId="70A590EF" w14:textId="77777777" w:rsidR="002A4DDF" w:rsidRPr="00937C8B" w:rsidRDefault="002A4DDF" w:rsidP="009110ED">
            <w:pPr>
              <w:rPr>
                <w:rFonts w:ascii="Arial" w:hAnsi="Arial" w:cs="Arial"/>
                <w:sz w:val="12"/>
                <w:szCs w:val="12"/>
              </w:rPr>
            </w:pPr>
          </w:p>
        </w:tc>
        <w:tc>
          <w:tcPr>
            <w:tcW w:w="1843" w:type="dxa"/>
            <w:shd w:val="clear" w:color="auto" w:fill="auto"/>
          </w:tcPr>
          <w:p w14:paraId="1AB61A49" w14:textId="77777777" w:rsidR="002A4DDF" w:rsidRPr="00937C8B" w:rsidRDefault="002A4DDF" w:rsidP="009110ED">
            <w:pPr>
              <w:rPr>
                <w:rFonts w:ascii="Arial" w:hAnsi="Arial" w:cs="Arial"/>
                <w:sz w:val="12"/>
                <w:szCs w:val="12"/>
              </w:rPr>
            </w:pPr>
          </w:p>
        </w:tc>
        <w:tc>
          <w:tcPr>
            <w:tcW w:w="2268" w:type="dxa"/>
            <w:shd w:val="clear" w:color="auto" w:fill="F2F2F2"/>
            <w:hideMark/>
          </w:tcPr>
          <w:p w14:paraId="571B26EE" w14:textId="77777777" w:rsidR="002A4DDF" w:rsidRPr="00937C8B" w:rsidRDefault="002A4DDF" w:rsidP="009110ED">
            <w:pPr>
              <w:rPr>
                <w:rFonts w:ascii="Arial" w:hAnsi="Arial" w:cs="Arial"/>
                <w:sz w:val="12"/>
                <w:szCs w:val="12"/>
              </w:rPr>
            </w:pPr>
            <w:r>
              <w:rPr>
                <w:rFonts w:ascii="Arial" w:hAnsi="Arial"/>
                <w:sz w:val="12"/>
                <w:szCs w:val="12"/>
              </w:rPr>
              <w:t>Prádanos de Bureba</w:t>
            </w:r>
          </w:p>
        </w:tc>
        <w:tc>
          <w:tcPr>
            <w:tcW w:w="2268" w:type="dxa"/>
            <w:tcBorders>
              <w:right w:val="single" w:sz="4" w:space="0" w:color="auto"/>
            </w:tcBorders>
            <w:shd w:val="clear" w:color="auto" w:fill="D9D9D9"/>
            <w:hideMark/>
          </w:tcPr>
          <w:p w14:paraId="47B14C15" w14:textId="77777777" w:rsidR="002A4DDF" w:rsidRPr="00937C8B" w:rsidRDefault="002A4DDF" w:rsidP="009110ED">
            <w:pPr>
              <w:rPr>
                <w:rFonts w:ascii="Arial" w:hAnsi="Arial" w:cs="Arial"/>
                <w:sz w:val="12"/>
                <w:szCs w:val="12"/>
              </w:rPr>
            </w:pPr>
          </w:p>
        </w:tc>
      </w:tr>
      <w:tr w:rsidR="002A4DDF" w:rsidRPr="00937C8B" w14:paraId="7BE1F55A" w14:textId="77777777" w:rsidTr="00935676">
        <w:trPr>
          <w:cantSplit/>
        </w:trPr>
        <w:tc>
          <w:tcPr>
            <w:tcW w:w="1696" w:type="dxa"/>
            <w:tcBorders>
              <w:left w:val="single" w:sz="4" w:space="0" w:color="auto"/>
            </w:tcBorders>
            <w:shd w:val="clear" w:color="auto" w:fill="auto"/>
          </w:tcPr>
          <w:p w14:paraId="316FAF68" w14:textId="77777777" w:rsidR="002A4DDF" w:rsidRPr="00937C8B" w:rsidRDefault="002A4DDF" w:rsidP="009110ED">
            <w:pPr>
              <w:rPr>
                <w:rFonts w:ascii="Arial" w:hAnsi="Arial" w:cs="Arial"/>
                <w:sz w:val="12"/>
                <w:szCs w:val="12"/>
              </w:rPr>
            </w:pPr>
          </w:p>
        </w:tc>
        <w:tc>
          <w:tcPr>
            <w:tcW w:w="1843" w:type="dxa"/>
            <w:shd w:val="clear" w:color="auto" w:fill="auto"/>
          </w:tcPr>
          <w:p w14:paraId="24A8FE6D" w14:textId="77777777" w:rsidR="002A4DDF" w:rsidRPr="00937C8B" w:rsidRDefault="002A4DDF" w:rsidP="009110ED">
            <w:pPr>
              <w:rPr>
                <w:rFonts w:ascii="Arial" w:hAnsi="Arial" w:cs="Arial"/>
                <w:sz w:val="12"/>
                <w:szCs w:val="12"/>
              </w:rPr>
            </w:pPr>
          </w:p>
        </w:tc>
        <w:tc>
          <w:tcPr>
            <w:tcW w:w="2268" w:type="dxa"/>
            <w:shd w:val="clear" w:color="auto" w:fill="F2F2F2"/>
            <w:hideMark/>
          </w:tcPr>
          <w:p w14:paraId="023566AE" w14:textId="77777777" w:rsidR="002A4DDF" w:rsidRPr="00937C8B" w:rsidRDefault="002A4DDF" w:rsidP="009110ED">
            <w:pPr>
              <w:rPr>
                <w:rFonts w:ascii="Arial" w:hAnsi="Arial" w:cs="Arial"/>
                <w:sz w:val="12"/>
                <w:szCs w:val="12"/>
              </w:rPr>
            </w:pPr>
            <w:r>
              <w:rPr>
                <w:rFonts w:ascii="Arial" w:hAnsi="Arial"/>
                <w:sz w:val="12"/>
                <w:szCs w:val="12"/>
              </w:rPr>
              <w:t>Pradoluengo</w:t>
            </w:r>
          </w:p>
        </w:tc>
        <w:tc>
          <w:tcPr>
            <w:tcW w:w="2268" w:type="dxa"/>
            <w:tcBorders>
              <w:right w:val="single" w:sz="4" w:space="0" w:color="auto"/>
            </w:tcBorders>
            <w:shd w:val="clear" w:color="auto" w:fill="D9D9D9"/>
            <w:hideMark/>
          </w:tcPr>
          <w:p w14:paraId="55B0D4D6" w14:textId="77777777" w:rsidR="002A4DDF" w:rsidRPr="00937C8B" w:rsidRDefault="002A4DDF" w:rsidP="009110ED">
            <w:pPr>
              <w:rPr>
                <w:rFonts w:ascii="Arial" w:hAnsi="Arial" w:cs="Arial"/>
                <w:sz w:val="12"/>
                <w:szCs w:val="12"/>
              </w:rPr>
            </w:pPr>
          </w:p>
        </w:tc>
      </w:tr>
      <w:tr w:rsidR="002A4DDF" w:rsidRPr="00937C8B" w14:paraId="65FB3481" w14:textId="77777777" w:rsidTr="00935676">
        <w:trPr>
          <w:cantSplit/>
        </w:trPr>
        <w:tc>
          <w:tcPr>
            <w:tcW w:w="1696" w:type="dxa"/>
            <w:tcBorders>
              <w:left w:val="single" w:sz="4" w:space="0" w:color="auto"/>
            </w:tcBorders>
            <w:shd w:val="clear" w:color="auto" w:fill="auto"/>
          </w:tcPr>
          <w:p w14:paraId="268E65D9" w14:textId="77777777" w:rsidR="002A4DDF" w:rsidRPr="00937C8B" w:rsidRDefault="002A4DDF" w:rsidP="009110ED">
            <w:pPr>
              <w:rPr>
                <w:rFonts w:ascii="Arial" w:hAnsi="Arial" w:cs="Arial"/>
                <w:sz w:val="12"/>
                <w:szCs w:val="12"/>
              </w:rPr>
            </w:pPr>
          </w:p>
        </w:tc>
        <w:tc>
          <w:tcPr>
            <w:tcW w:w="1843" w:type="dxa"/>
            <w:shd w:val="clear" w:color="auto" w:fill="auto"/>
          </w:tcPr>
          <w:p w14:paraId="3FE5FBE4" w14:textId="77777777" w:rsidR="002A4DDF" w:rsidRPr="00937C8B" w:rsidRDefault="002A4DDF" w:rsidP="009110ED">
            <w:pPr>
              <w:rPr>
                <w:rFonts w:ascii="Arial" w:hAnsi="Arial" w:cs="Arial"/>
                <w:sz w:val="12"/>
                <w:szCs w:val="12"/>
              </w:rPr>
            </w:pPr>
          </w:p>
        </w:tc>
        <w:tc>
          <w:tcPr>
            <w:tcW w:w="2268" w:type="dxa"/>
            <w:shd w:val="clear" w:color="auto" w:fill="F2F2F2"/>
            <w:hideMark/>
          </w:tcPr>
          <w:p w14:paraId="74FD2D4C" w14:textId="77777777" w:rsidR="002A4DDF" w:rsidRPr="00937C8B" w:rsidRDefault="002A4DDF" w:rsidP="009110ED">
            <w:pPr>
              <w:rPr>
                <w:rFonts w:ascii="Arial" w:hAnsi="Arial" w:cs="Arial"/>
                <w:sz w:val="12"/>
                <w:szCs w:val="12"/>
              </w:rPr>
            </w:pPr>
            <w:r>
              <w:rPr>
                <w:rFonts w:ascii="Arial" w:hAnsi="Arial"/>
                <w:sz w:val="12"/>
                <w:szCs w:val="12"/>
              </w:rPr>
              <w:t>Puentedura</w:t>
            </w:r>
          </w:p>
        </w:tc>
        <w:tc>
          <w:tcPr>
            <w:tcW w:w="2268" w:type="dxa"/>
            <w:tcBorders>
              <w:right w:val="single" w:sz="4" w:space="0" w:color="auto"/>
            </w:tcBorders>
            <w:shd w:val="clear" w:color="auto" w:fill="D9D9D9"/>
            <w:hideMark/>
          </w:tcPr>
          <w:p w14:paraId="2FBFA3C9" w14:textId="77777777" w:rsidR="002A4DDF" w:rsidRPr="00937C8B" w:rsidRDefault="002A4DDF" w:rsidP="009110ED">
            <w:pPr>
              <w:rPr>
                <w:rFonts w:ascii="Arial" w:hAnsi="Arial" w:cs="Arial"/>
                <w:sz w:val="12"/>
                <w:szCs w:val="12"/>
              </w:rPr>
            </w:pPr>
          </w:p>
        </w:tc>
      </w:tr>
      <w:tr w:rsidR="002A4DDF" w:rsidRPr="00937C8B" w14:paraId="189F71C5" w14:textId="77777777" w:rsidTr="00935676">
        <w:trPr>
          <w:cantSplit/>
        </w:trPr>
        <w:tc>
          <w:tcPr>
            <w:tcW w:w="1696" w:type="dxa"/>
            <w:tcBorders>
              <w:left w:val="single" w:sz="4" w:space="0" w:color="auto"/>
            </w:tcBorders>
            <w:shd w:val="clear" w:color="auto" w:fill="auto"/>
          </w:tcPr>
          <w:p w14:paraId="711A1493" w14:textId="77777777" w:rsidR="002A4DDF" w:rsidRPr="00937C8B" w:rsidRDefault="002A4DDF" w:rsidP="009110ED">
            <w:pPr>
              <w:rPr>
                <w:rFonts w:ascii="Arial" w:hAnsi="Arial" w:cs="Arial"/>
                <w:sz w:val="12"/>
                <w:szCs w:val="12"/>
              </w:rPr>
            </w:pPr>
          </w:p>
        </w:tc>
        <w:tc>
          <w:tcPr>
            <w:tcW w:w="1843" w:type="dxa"/>
            <w:shd w:val="clear" w:color="auto" w:fill="auto"/>
          </w:tcPr>
          <w:p w14:paraId="109431D5" w14:textId="77777777" w:rsidR="002A4DDF" w:rsidRPr="00937C8B" w:rsidRDefault="002A4DDF" w:rsidP="009110ED">
            <w:pPr>
              <w:rPr>
                <w:rFonts w:ascii="Arial" w:hAnsi="Arial" w:cs="Arial"/>
                <w:sz w:val="12"/>
                <w:szCs w:val="12"/>
              </w:rPr>
            </w:pPr>
          </w:p>
        </w:tc>
        <w:tc>
          <w:tcPr>
            <w:tcW w:w="2268" w:type="dxa"/>
            <w:shd w:val="clear" w:color="auto" w:fill="F2F2F2"/>
            <w:hideMark/>
          </w:tcPr>
          <w:p w14:paraId="2048778C" w14:textId="77777777" w:rsidR="002A4DDF" w:rsidRPr="00937C8B" w:rsidRDefault="002A4DDF" w:rsidP="009110ED">
            <w:pPr>
              <w:rPr>
                <w:rFonts w:ascii="Arial" w:hAnsi="Arial" w:cs="Arial"/>
                <w:sz w:val="12"/>
                <w:szCs w:val="12"/>
              </w:rPr>
            </w:pPr>
            <w:r>
              <w:rPr>
                <w:rFonts w:ascii="Arial" w:hAnsi="Arial"/>
                <w:sz w:val="12"/>
                <w:szCs w:val="12"/>
              </w:rPr>
              <w:t>Quintanapalla</w:t>
            </w:r>
          </w:p>
        </w:tc>
        <w:tc>
          <w:tcPr>
            <w:tcW w:w="2268" w:type="dxa"/>
            <w:tcBorders>
              <w:right w:val="single" w:sz="4" w:space="0" w:color="auto"/>
            </w:tcBorders>
            <w:shd w:val="clear" w:color="auto" w:fill="D9D9D9"/>
            <w:hideMark/>
          </w:tcPr>
          <w:p w14:paraId="171EEE0F" w14:textId="77777777" w:rsidR="002A4DDF" w:rsidRPr="00937C8B" w:rsidRDefault="002A4DDF" w:rsidP="009110ED">
            <w:pPr>
              <w:rPr>
                <w:rFonts w:ascii="Arial" w:hAnsi="Arial" w:cs="Arial"/>
                <w:sz w:val="12"/>
                <w:szCs w:val="12"/>
              </w:rPr>
            </w:pPr>
          </w:p>
        </w:tc>
      </w:tr>
      <w:tr w:rsidR="002A4DDF" w:rsidRPr="00937C8B" w14:paraId="1736FB74" w14:textId="77777777" w:rsidTr="00935676">
        <w:trPr>
          <w:cantSplit/>
        </w:trPr>
        <w:tc>
          <w:tcPr>
            <w:tcW w:w="1696" w:type="dxa"/>
            <w:tcBorders>
              <w:left w:val="single" w:sz="4" w:space="0" w:color="auto"/>
            </w:tcBorders>
            <w:shd w:val="clear" w:color="auto" w:fill="auto"/>
          </w:tcPr>
          <w:p w14:paraId="37DC4E83" w14:textId="77777777" w:rsidR="002A4DDF" w:rsidRPr="00937C8B" w:rsidRDefault="002A4DDF" w:rsidP="009110ED">
            <w:pPr>
              <w:rPr>
                <w:rFonts w:ascii="Arial" w:hAnsi="Arial" w:cs="Arial"/>
                <w:sz w:val="12"/>
                <w:szCs w:val="12"/>
              </w:rPr>
            </w:pPr>
          </w:p>
        </w:tc>
        <w:tc>
          <w:tcPr>
            <w:tcW w:w="1843" w:type="dxa"/>
            <w:shd w:val="clear" w:color="auto" w:fill="auto"/>
          </w:tcPr>
          <w:p w14:paraId="19BCB70F" w14:textId="77777777" w:rsidR="002A4DDF" w:rsidRPr="00937C8B" w:rsidRDefault="002A4DDF" w:rsidP="009110ED">
            <w:pPr>
              <w:rPr>
                <w:rFonts w:ascii="Arial" w:hAnsi="Arial" w:cs="Arial"/>
                <w:sz w:val="12"/>
                <w:szCs w:val="12"/>
              </w:rPr>
            </w:pPr>
          </w:p>
        </w:tc>
        <w:tc>
          <w:tcPr>
            <w:tcW w:w="2268" w:type="dxa"/>
            <w:shd w:val="clear" w:color="auto" w:fill="F2F2F2"/>
            <w:hideMark/>
          </w:tcPr>
          <w:p w14:paraId="77C76827" w14:textId="77777777" w:rsidR="002A4DDF" w:rsidRPr="00937C8B" w:rsidRDefault="002A4DDF" w:rsidP="009110ED">
            <w:pPr>
              <w:rPr>
                <w:rFonts w:ascii="Arial" w:hAnsi="Arial" w:cs="Arial"/>
                <w:sz w:val="12"/>
                <w:szCs w:val="12"/>
              </w:rPr>
            </w:pPr>
            <w:r>
              <w:rPr>
                <w:rFonts w:ascii="Arial" w:hAnsi="Arial"/>
                <w:sz w:val="12"/>
                <w:szCs w:val="12"/>
              </w:rPr>
              <w:t>Quintanavides</w:t>
            </w:r>
          </w:p>
        </w:tc>
        <w:tc>
          <w:tcPr>
            <w:tcW w:w="2268" w:type="dxa"/>
            <w:tcBorders>
              <w:right w:val="single" w:sz="4" w:space="0" w:color="auto"/>
            </w:tcBorders>
            <w:shd w:val="clear" w:color="auto" w:fill="D9D9D9"/>
            <w:hideMark/>
          </w:tcPr>
          <w:p w14:paraId="37F398BA" w14:textId="77777777" w:rsidR="002A4DDF" w:rsidRPr="00937C8B" w:rsidRDefault="002A4DDF" w:rsidP="009110ED">
            <w:pPr>
              <w:rPr>
                <w:rFonts w:ascii="Arial" w:hAnsi="Arial" w:cs="Arial"/>
                <w:sz w:val="12"/>
                <w:szCs w:val="12"/>
              </w:rPr>
            </w:pPr>
          </w:p>
        </w:tc>
      </w:tr>
      <w:tr w:rsidR="002A4DDF" w:rsidRPr="00937C8B" w14:paraId="586794AC" w14:textId="77777777" w:rsidTr="00935676">
        <w:trPr>
          <w:cantSplit/>
        </w:trPr>
        <w:tc>
          <w:tcPr>
            <w:tcW w:w="1696" w:type="dxa"/>
            <w:tcBorders>
              <w:left w:val="single" w:sz="4" w:space="0" w:color="auto"/>
            </w:tcBorders>
            <w:shd w:val="clear" w:color="auto" w:fill="auto"/>
          </w:tcPr>
          <w:p w14:paraId="3359497D" w14:textId="77777777" w:rsidR="002A4DDF" w:rsidRPr="00937C8B" w:rsidRDefault="002A4DDF" w:rsidP="009110ED">
            <w:pPr>
              <w:rPr>
                <w:rFonts w:ascii="Arial" w:hAnsi="Arial" w:cs="Arial"/>
                <w:sz w:val="12"/>
                <w:szCs w:val="12"/>
              </w:rPr>
            </w:pPr>
          </w:p>
        </w:tc>
        <w:tc>
          <w:tcPr>
            <w:tcW w:w="1843" w:type="dxa"/>
            <w:shd w:val="clear" w:color="auto" w:fill="auto"/>
          </w:tcPr>
          <w:p w14:paraId="03650AAB" w14:textId="77777777" w:rsidR="002A4DDF" w:rsidRPr="00937C8B" w:rsidRDefault="002A4DDF" w:rsidP="009110ED">
            <w:pPr>
              <w:rPr>
                <w:rFonts w:ascii="Arial" w:hAnsi="Arial" w:cs="Arial"/>
                <w:sz w:val="12"/>
                <w:szCs w:val="12"/>
              </w:rPr>
            </w:pPr>
          </w:p>
        </w:tc>
        <w:tc>
          <w:tcPr>
            <w:tcW w:w="2268" w:type="dxa"/>
            <w:shd w:val="clear" w:color="auto" w:fill="F2F2F2"/>
            <w:hideMark/>
          </w:tcPr>
          <w:p w14:paraId="5656F5D2" w14:textId="77777777" w:rsidR="002A4DDF" w:rsidRPr="00937C8B" w:rsidRDefault="002A4DDF" w:rsidP="009110ED">
            <w:pPr>
              <w:rPr>
                <w:rFonts w:ascii="Arial" w:hAnsi="Arial" w:cs="Arial"/>
                <w:sz w:val="12"/>
                <w:szCs w:val="12"/>
              </w:rPr>
            </w:pPr>
            <w:r>
              <w:rPr>
                <w:rFonts w:ascii="Arial" w:hAnsi="Arial"/>
                <w:sz w:val="12"/>
                <w:szCs w:val="12"/>
              </w:rPr>
              <w:t>Quintanilla del Agua y Tordueles</w:t>
            </w:r>
          </w:p>
        </w:tc>
        <w:tc>
          <w:tcPr>
            <w:tcW w:w="2268" w:type="dxa"/>
            <w:tcBorders>
              <w:right w:val="single" w:sz="4" w:space="0" w:color="auto"/>
            </w:tcBorders>
            <w:shd w:val="clear" w:color="auto" w:fill="D9D9D9"/>
            <w:hideMark/>
          </w:tcPr>
          <w:p w14:paraId="61215FDD" w14:textId="77777777" w:rsidR="002A4DDF" w:rsidRPr="00937C8B" w:rsidRDefault="002A4DDF" w:rsidP="009110ED">
            <w:pPr>
              <w:rPr>
                <w:rFonts w:ascii="Arial" w:hAnsi="Arial" w:cs="Arial"/>
                <w:sz w:val="12"/>
                <w:szCs w:val="12"/>
              </w:rPr>
            </w:pPr>
          </w:p>
        </w:tc>
      </w:tr>
      <w:tr w:rsidR="002A4DDF" w:rsidRPr="00937C8B" w14:paraId="738B90B9" w14:textId="77777777" w:rsidTr="00935676">
        <w:trPr>
          <w:cantSplit/>
        </w:trPr>
        <w:tc>
          <w:tcPr>
            <w:tcW w:w="1696" w:type="dxa"/>
            <w:tcBorders>
              <w:left w:val="single" w:sz="4" w:space="0" w:color="auto"/>
            </w:tcBorders>
            <w:shd w:val="clear" w:color="auto" w:fill="auto"/>
          </w:tcPr>
          <w:p w14:paraId="18BF8033" w14:textId="77777777" w:rsidR="002A4DDF" w:rsidRPr="00937C8B" w:rsidRDefault="002A4DDF" w:rsidP="009110ED">
            <w:pPr>
              <w:rPr>
                <w:rFonts w:ascii="Arial" w:hAnsi="Arial" w:cs="Arial"/>
                <w:sz w:val="12"/>
                <w:szCs w:val="12"/>
              </w:rPr>
            </w:pPr>
          </w:p>
        </w:tc>
        <w:tc>
          <w:tcPr>
            <w:tcW w:w="1843" w:type="dxa"/>
            <w:shd w:val="clear" w:color="auto" w:fill="auto"/>
          </w:tcPr>
          <w:p w14:paraId="05A5E5B8" w14:textId="77777777" w:rsidR="002A4DDF" w:rsidRPr="00937C8B" w:rsidRDefault="002A4DDF" w:rsidP="009110ED">
            <w:pPr>
              <w:rPr>
                <w:rFonts w:ascii="Arial" w:hAnsi="Arial" w:cs="Arial"/>
                <w:sz w:val="12"/>
                <w:szCs w:val="12"/>
              </w:rPr>
            </w:pPr>
          </w:p>
        </w:tc>
        <w:tc>
          <w:tcPr>
            <w:tcW w:w="2268" w:type="dxa"/>
            <w:shd w:val="clear" w:color="auto" w:fill="F2F2F2"/>
            <w:hideMark/>
          </w:tcPr>
          <w:p w14:paraId="486A785E" w14:textId="77777777" w:rsidR="002A4DDF" w:rsidRPr="00937C8B" w:rsidRDefault="002A4DDF" w:rsidP="009110ED">
            <w:pPr>
              <w:rPr>
                <w:rFonts w:ascii="Arial" w:hAnsi="Arial" w:cs="Arial"/>
                <w:sz w:val="12"/>
                <w:szCs w:val="12"/>
              </w:rPr>
            </w:pPr>
            <w:r>
              <w:rPr>
                <w:rFonts w:ascii="Arial" w:hAnsi="Arial"/>
                <w:sz w:val="12"/>
                <w:szCs w:val="12"/>
              </w:rPr>
              <w:t>Quintanilla San García</w:t>
            </w:r>
          </w:p>
        </w:tc>
        <w:tc>
          <w:tcPr>
            <w:tcW w:w="2268" w:type="dxa"/>
            <w:tcBorders>
              <w:right w:val="single" w:sz="4" w:space="0" w:color="auto"/>
            </w:tcBorders>
            <w:shd w:val="clear" w:color="auto" w:fill="D9D9D9"/>
            <w:hideMark/>
          </w:tcPr>
          <w:p w14:paraId="379894A7" w14:textId="77777777" w:rsidR="002A4DDF" w:rsidRPr="00937C8B" w:rsidRDefault="002A4DDF" w:rsidP="009110ED">
            <w:pPr>
              <w:rPr>
                <w:rFonts w:ascii="Arial" w:hAnsi="Arial" w:cs="Arial"/>
                <w:sz w:val="12"/>
                <w:szCs w:val="12"/>
              </w:rPr>
            </w:pPr>
          </w:p>
        </w:tc>
      </w:tr>
      <w:tr w:rsidR="002A4DDF" w:rsidRPr="00937C8B" w14:paraId="11F25A8A" w14:textId="77777777" w:rsidTr="00935676">
        <w:trPr>
          <w:cantSplit/>
        </w:trPr>
        <w:tc>
          <w:tcPr>
            <w:tcW w:w="1696" w:type="dxa"/>
            <w:tcBorders>
              <w:left w:val="single" w:sz="4" w:space="0" w:color="auto"/>
            </w:tcBorders>
            <w:shd w:val="clear" w:color="auto" w:fill="auto"/>
          </w:tcPr>
          <w:p w14:paraId="4C3C030A" w14:textId="77777777" w:rsidR="002A4DDF" w:rsidRPr="00937C8B" w:rsidRDefault="002A4DDF" w:rsidP="009110ED">
            <w:pPr>
              <w:rPr>
                <w:rFonts w:ascii="Arial" w:hAnsi="Arial" w:cs="Arial"/>
                <w:sz w:val="12"/>
                <w:szCs w:val="12"/>
              </w:rPr>
            </w:pPr>
          </w:p>
        </w:tc>
        <w:tc>
          <w:tcPr>
            <w:tcW w:w="1843" w:type="dxa"/>
            <w:shd w:val="clear" w:color="auto" w:fill="auto"/>
          </w:tcPr>
          <w:p w14:paraId="354D7DF6" w14:textId="77777777" w:rsidR="002A4DDF" w:rsidRPr="00937C8B" w:rsidRDefault="002A4DDF" w:rsidP="009110ED">
            <w:pPr>
              <w:rPr>
                <w:rFonts w:ascii="Arial" w:hAnsi="Arial" w:cs="Arial"/>
                <w:sz w:val="12"/>
                <w:szCs w:val="12"/>
              </w:rPr>
            </w:pPr>
          </w:p>
        </w:tc>
        <w:tc>
          <w:tcPr>
            <w:tcW w:w="2268" w:type="dxa"/>
            <w:shd w:val="clear" w:color="auto" w:fill="F2F2F2"/>
            <w:hideMark/>
          </w:tcPr>
          <w:p w14:paraId="78E60C59" w14:textId="77777777" w:rsidR="002A4DDF" w:rsidRPr="00937C8B" w:rsidRDefault="002A4DDF" w:rsidP="009110ED">
            <w:pPr>
              <w:rPr>
                <w:rFonts w:ascii="Arial" w:hAnsi="Arial" w:cs="Arial"/>
                <w:sz w:val="12"/>
                <w:szCs w:val="12"/>
              </w:rPr>
            </w:pPr>
            <w:r>
              <w:rPr>
                <w:rFonts w:ascii="Arial" w:hAnsi="Arial"/>
                <w:sz w:val="12"/>
                <w:szCs w:val="12"/>
              </w:rPr>
              <w:t>Rábanos</w:t>
            </w:r>
          </w:p>
        </w:tc>
        <w:tc>
          <w:tcPr>
            <w:tcW w:w="2268" w:type="dxa"/>
            <w:tcBorders>
              <w:right w:val="single" w:sz="4" w:space="0" w:color="auto"/>
            </w:tcBorders>
            <w:shd w:val="clear" w:color="auto" w:fill="D9D9D9"/>
            <w:hideMark/>
          </w:tcPr>
          <w:p w14:paraId="2C74A533" w14:textId="77777777" w:rsidR="002A4DDF" w:rsidRPr="00937C8B" w:rsidRDefault="002A4DDF" w:rsidP="009110ED">
            <w:pPr>
              <w:rPr>
                <w:rFonts w:ascii="Arial" w:hAnsi="Arial" w:cs="Arial"/>
                <w:sz w:val="12"/>
                <w:szCs w:val="12"/>
              </w:rPr>
            </w:pPr>
          </w:p>
        </w:tc>
      </w:tr>
      <w:tr w:rsidR="002A4DDF" w:rsidRPr="00937C8B" w14:paraId="756D6F09" w14:textId="77777777" w:rsidTr="00935676">
        <w:trPr>
          <w:cantSplit/>
        </w:trPr>
        <w:tc>
          <w:tcPr>
            <w:tcW w:w="1696" w:type="dxa"/>
            <w:tcBorders>
              <w:left w:val="single" w:sz="4" w:space="0" w:color="auto"/>
            </w:tcBorders>
            <w:shd w:val="clear" w:color="auto" w:fill="auto"/>
          </w:tcPr>
          <w:p w14:paraId="19881EC7" w14:textId="77777777" w:rsidR="002A4DDF" w:rsidRPr="00937C8B" w:rsidRDefault="002A4DDF" w:rsidP="009110ED">
            <w:pPr>
              <w:rPr>
                <w:rFonts w:ascii="Arial" w:hAnsi="Arial" w:cs="Arial"/>
                <w:sz w:val="12"/>
                <w:szCs w:val="12"/>
              </w:rPr>
            </w:pPr>
          </w:p>
        </w:tc>
        <w:tc>
          <w:tcPr>
            <w:tcW w:w="1843" w:type="dxa"/>
            <w:shd w:val="clear" w:color="auto" w:fill="auto"/>
          </w:tcPr>
          <w:p w14:paraId="16116614" w14:textId="77777777" w:rsidR="002A4DDF" w:rsidRPr="00937C8B" w:rsidRDefault="002A4DDF" w:rsidP="009110ED">
            <w:pPr>
              <w:rPr>
                <w:rFonts w:ascii="Arial" w:hAnsi="Arial" w:cs="Arial"/>
                <w:sz w:val="12"/>
                <w:szCs w:val="12"/>
              </w:rPr>
            </w:pPr>
          </w:p>
        </w:tc>
        <w:tc>
          <w:tcPr>
            <w:tcW w:w="2268" w:type="dxa"/>
            <w:shd w:val="clear" w:color="auto" w:fill="F2F2F2"/>
            <w:hideMark/>
          </w:tcPr>
          <w:p w14:paraId="3485C011" w14:textId="77777777" w:rsidR="002A4DDF" w:rsidRPr="00937C8B" w:rsidRDefault="002A4DDF" w:rsidP="009110ED">
            <w:pPr>
              <w:rPr>
                <w:rFonts w:ascii="Arial" w:hAnsi="Arial" w:cs="Arial"/>
                <w:sz w:val="12"/>
                <w:szCs w:val="12"/>
              </w:rPr>
            </w:pPr>
            <w:r>
              <w:rPr>
                <w:rFonts w:ascii="Arial" w:hAnsi="Arial"/>
                <w:sz w:val="12"/>
                <w:szCs w:val="12"/>
              </w:rPr>
              <w:t>Redecilla del Campo</w:t>
            </w:r>
          </w:p>
        </w:tc>
        <w:tc>
          <w:tcPr>
            <w:tcW w:w="2268" w:type="dxa"/>
            <w:tcBorders>
              <w:right w:val="single" w:sz="4" w:space="0" w:color="auto"/>
            </w:tcBorders>
            <w:shd w:val="clear" w:color="auto" w:fill="D9D9D9"/>
            <w:hideMark/>
          </w:tcPr>
          <w:p w14:paraId="0A262BDD" w14:textId="77777777" w:rsidR="002A4DDF" w:rsidRPr="00937C8B" w:rsidRDefault="002A4DDF" w:rsidP="009110ED">
            <w:pPr>
              <w:rPr>
                <w:rFonts w:ascii="Arial" w:hAnsi="Arial" w:cs="Arial"/>
                <w:sz w:val="12"/>
                <w:szCs w:val="12"/>
              </w:rPr>
            </w:pPr>
          </w:p>
        </w:tc>
      </w:tr>
      <w:tr w:rsidR="002A4DDF" w:rsidRPr="00937C8B" w14:paraId="1F955330" w14:textId="77777777" w:rsidTr="00935676">
        <w:trPr>
          <w:cantSplit/>
        </w:trPr>
        <w:tc>
          <w:tcPr>
            <w:tcW w:w="1696" w:type="dxa"/>
            <w:tcBorders>
              <w:left w:val="single" w:sz="4" w:space="0" w:color="auto"/>
            </w:tcBorders>
            <w:shd w:val="clear" w:color="auto" w:fill="auto"/>
          </w:tcPr>
          <w:p w14:paraId="02499D7E" w14:textId="77777777" w:rsidR="002A4DDF" w:rsidRPr="00937C8B" w:rsidRDefault="002A4DDF" w:rsidP="009110ED">
            <w:pPr>
              <w:rPr>
                <w:rFonts w:ascii="Arial" w:hAnsi="Arial" w:cs="Arial"/>
                <w:sz w:val="12"/>
                <w:szCs w:val="12"/>
              </w:rPr>
            </w:pPr>
          </w:p>
        </w:tc>
        <w:tc>
          <w:tcPr>
            <w:tcW w:w="1843" w:type="dxa"/>
            <w:shd w:val="clear" w:color="auto" w:fill="auto"/>
          </w:tcPr>
          <w:p w14:paraId="5D2B8991" w14:textId="77777777" w:rsidR="002A4DDF" w:rsidRPr="00937C8B" w:rsidRDefault="002A4DDF" w:rsidP="009110ED">
            <w:pPr>
              <w:rPr>
                <w:rFonts w:ascii="Arial" w:hAnsi="Arial" w:cs="Arial"/>
                <w:sz w:val="12"/>
                <w:szCs w:val="12"/>
              </w:rPr>
            </w:pPr>
          </w:p>
        </w:tc>
        <w:tc>
          <w:tcPr>
            <w:tcW w:w="2268" w:type="dxa"/>
            <w:shd w:val="clear" w:color="auto" w:fill="F2F2F2"/>
            <w:hideMark/>
          </w:tcPr>
          <w:p w14:paraId="6A49729E" w14:textId="77777777" w:rsidR="002A4DDF" w:rsidRPr="00937C8B" w:rsidRDefault="002A4DDF" w:rsidP="009110ED">
            <w:pPr>
              <w:rPr>
                <w:rFonts w:ascii="Arial" w:hAnsi="Arial" w:cs="Arial"/>
                <w:sz w:val="12"/>
                <w:szCs w:val="12"/>
              </w:rPr>
            </w:pPr>
            <w:r>
              <w:rPr>
                <w:rFonts w:ascii="Arial" w:hAnsi="Arial"/>
                <w:sz w:val="12"/>
                <w:szCs w:val="12"/>
              </w:rPr>
              <w:t>Revilla del Campo</w:t>
            </w:r>
          </w:p>
        </w:tc>
        <w:tc>
          <w:tcPr>
            <w:tcW w:w="2268" w:type="dxa"/>
            <w:tcBorders>
              <w:right w:val="single" w:sz="4" w:space="0" w:color="auto"/>
            </w:tcBorders>
            <w:shd w:val="clear" w:color="auto" w:fill="D9D9D9"/>
            <w:hideMark/>
          </w:tcPr>
          <w:p w14:paraId="1EBEFA4E" w14:textId="77777777" w:rsidR="002A4DDF" w:rsidRPr="00937C8B" w:rsidRDefault="002A4DDF" w:rsidP="009110ED">
            <w:pPr>
              <w:rPr>
                <w:rFonts w:ascii="Arial" w:hAnsi="Arial" w:cs="Arial"/>
                <w:sz w:val="12"/>
                <w:szCs w:val="12"/>
              </w:rPr>
            </w:pPr>
          </w:p>
        </w:tc>
      </w:tr>
      <w:tr w:rsidR="002A4DDF" w:rsidRPr="00937C8B" w14:paraId="6DF9F9E4" w14:textId="77777777" w:rsidTr="00935676">
        <w:trPr>
          <w:cantSplit/>
        </w:trPr>
        <w:tc>
          <w:tcPr>
            <w:tcW w:w="1696" w:type="dxa"/>
            <w:tcBorders>
              <w:left w:val="single" w:sz="4" w:space="0" w:color="auto"/>
            </w:tcBorders>
            <w:shd w:val="clear" w:color="auto" w:fill="auto"/>
          </w:tcPr>
          <w:p w14:paraId="3EA50B8A" w14:textId="77777777" w:rsidR="002A4DDF" w:rsidRPr="00937C8B" w:rsidRDefault="002A4DDF" w:rsidP="009110ED">
            <w:pPr>
              <w:rPr>
                <w:rFonts w:ascii="Arial" w:hAnsi="Arial" w:cs="Arial"/>
                <w:sz w:val="12"/>
                <w:szCs w:val="12"/>
              </w:rPr>
            </w:pPr>
          </w:p>
        </w:tc>
        <w:tc>
          <w:tcPr>
            <w:tcW w:w="1843" w:type="dxa"/>
            <w:shd w:val="clear" w:color="auto" w:fill="auto"/>
          </w:tcPr>
          <w:p w14:paraId="5CB88253" w14:textId="77777777" w:rsidR="002A4DDF" w:rsidRPr="00937C8B" w:rsidRDefault="002A4DDF" w:rsidP="009110ED">
            <w:pPr>
              <w:rPr>
                <w:rFonts w:ascii="Arial" w:hAnsi="Arial" w:cs="Arial"/>
                <w:sz w:val="12"/>
                <w:szCs w:val="12"/>
              </w:rPr>
            </w:pPr>
          </w:p>
        </w:tc>
        <w:tc>
          <w:tcPr>
            <w:tcW w:w="2268" w:type="dxa"/>
            <w:shd w:val="clear" w:color="auto" w:fill="F2F2F2"/>
            <w:hideMark/>
          </w:tcPr>
          <w:p w14:paraId="2D6C9826" w14:textId="77777777" w:rsidR="002A4DDF" w:rsidRPr="00937C8B" w:rsidRDefault="002A4DDF" w:rsidP="009110ED">
            <w:pPr>
              <w:rPr>
                <w:rFonts w:ascii="Arial" w:hAnsi="Arial" w:cs="Arial"/>
                <w:sz w:val="12"/>
                <w:szCs w:val="12"/>
              </w:rPr>
            </w:pPr>
            <w:r>
              <w:rPr>
                <w:rFonts w:ascii="Arial" w:hAnsi="Arial"/>
                <w:sz w:val="12"/>
                <w:szCs w:val="12"/>
              </w:rPr>
              <w:t>Riocavado de la Sierra</w:t>
            </w:r>
          </w:p>
        </w:tc>
        <w:tc>
          <w:tcPr>
            <w:tcW w:w="2268" w:type="dxa"/>
            <w:tcBorders>
              <w:right w:val="single" w:sz="4" w:space="0" w:color="auto"/>
            </w:tcBorders>
            <w:shd w:val="clear" w:color="auto" w:fill="D9D9D9"/>
            <w:hideMark/>
          </w:tcPr>
          <w:p w14:paraId="3A15B628" w14:textId="77777777" w:rsidR="002A4DDF" w:rsidRPr="00937C8B" w:rsidRDefault="002A4DDF" w:rsidP="009110ED">
            <w:pPr>
              <w:rPr>
                <w:rFonts w:ascii="Arial" w:hAnsi="Arial" w:cs="Arial"/>
                <w:sz w:val="12"/>
                <w:szCs w:val="12"/>
              </w:rPr>
            </w:pPr>
          </w:p>
        </w:tc>
      </w:tr>
      <w:tr w:rsidR="002A4DDF" w:rsidRPr="00937C8B" w14:paraId="205767C3" w14:textId="77777777" w:rsidTr="00935676">
        <w:trPr>
          <w:cantSplit/>
        </w:trPr>
        <w:tc>
          <w:tcPr>
            <w:tcW w:w="1696" w:type="dxa"/>
            <w:tcBorders>
              <w:left w:val="single" w:sz="4" w:space="0" w:color="auto"/>
            </w:tcBorders>
            <w:shd w:val="clear" w:color="auto" w:fill="auto"/>
          </w:tcPr>
          <w:p w14:paraId="29F4861B" w14:textId="77777777" w:rsidR="002A4DDF" w:rsidRPr="00937C8B" w:rsidRDefault="002A4DDF" w:rsidP="009110ED">
            <w:pPr>
              <w:rPr>
                <w:rFonts w:ascii="Arial" w:hAnsi="Arial" w:cs="Arial"/>
                <w:sz w:val="12"/>
                <w:szCs w:val="12"/>
              </w:rPr>
            </w:pPr>
          </w:p>
        </w:tc>
        <w:tc>
          <w:tcPr>
            <w:tcW w:w="1843" w:type="dxa"/>
            <w:shd w:val="clear" w:color="auto" w:fill="auto"/>
          </w:tcPr>
          <w:p w14:paraId="24C99167" w14:textId="77777777" w:rsidR="002A4DDF" w:rsidRPr="00937C8B" w:rsidRDefault="002A4DDF" w:rsidP="009110ED">
            <w:pPr>
              <w:rPr>
                <w:rFonts w:ascii="Arial" w:hAnsi="Arial" w:cs="Arial"/>
                <w:sz w:val="12"/>
                <w:szCs w:val="12"/>
              </w:rPr>
            </w:pPr>
          </w:p>
        </w:tc>
        <w:tc>
          <w:tcPr>
            <w:tcW w:w="2268" w:type="dxa"/>
            <w:shd w:val="clear" w:color="auto" w:fill="F2F2F2"/>
            <w:hideMark/>
          </w:tcPr>
          <w:p w14:paraId="63DBDCDB" w14:textId="77777777" w:rsidR="002A4DDF" w:rsidRPr="00937C8B" w:rsidRDefault="002A4DDF" w:rsidP="009110ED">
            <w:pPr>
              <w:rPr>
                <w:rFonts w:ascii="Arial" w:hAnsi="Arial" w:cs="Arial"/>
                <w:sz w:val="12"/>
                <w:szCs w:val="12"/>
              </w:rPr>
            </w:pPr>
            <w:r>
              <w:rPr>
                <w:rFonts w:ascii="Arial" w:hAnsi="Arial"/>
                <w:sz w:val="12"/>
                <w:szCs w:val="12"/>
              </w:rPr>
              <w:t>Rubena</w:t>
            </w:r>
          </w:p>
        </w:tc>
        <w:tc>
          <w:tcPr>
            <w:tcW w:w="2268" w:type="dxa"/>
            <w:tcBorders>
              <w:right w:val="single" w:sz="4" w:space="0" w:color="auto"/>
            </w:tcBorders>
            <w:shd w:val="clear" w:color="auto" w:fill="D9D9D9"/>
            <w:hideMark/>
          </w:tcPr>
          <w:p w14:paraId="04B49F7E" w14:textId="77777777" w:rsidR="002A4DDF" w:rsidRPr="00937C8B" w:rsidRDefault="002A4DDF" w:rsidP="009110ED">
            <w:pPr>
              <w:rPr>
                <w:rFonts w:ascii="Arial" w:hAnsi="Arial" w:cs="Arial"/>
                <w:sz w:val="12"/>
                <w:szCs w:val="12"/>
              </w:rPr>
            </w:pPr>
          </w:p>
        </w:tc>
      </w:tr>
      <w:tr w:rsidR="002A4DDF" w:rsidRPr="00937C8B" w14:paraId="393AA1C2" w14:textId="77777777" w:rsidTr="00935676">
        <w:trPr>
          <w:cantSplit/>
        </w:trPr>
        <w:tc>
          <w:tcPr>
            <w:tcW w:w="1696" w:type="dxa"/>
            <w:tcBorders>
              <w:left w:val="single" w:sz="4" w:space="0" w:color="auto"/>
            </w:tcBorders>
            <w:shd w:val="clear" w:color="auto" w:fill="auto"/>
          </w:tcPr>
          <w:p w14:paraId="54346627" w14:textId="77777777" w:rsidR="002A4DDF" w:rsidRPr="00937C8B" w:rsidRDefault="002A4DDF" w:rsidP="009110ED">
            <w:pPr>
              <w:rPr>
                <w:rFonts w:ascii="Arial" w:hAnsi="Arial" w:cs="Arial"/>
                <w:sz w:val="12"/>
                <w:szCs w:val="12"/>
              </w:rPr>
            </w:pPr>
          </w:p>
        </w:tc>
        <w:tc>
          <w:tcPr>
            <w:tcW w:w="1843" w:type="dxa"/>
            <w:shd w:val="clear" w:color="auto" w:fill="auto"/>
          </w:tcPr>
          <w:p w14:paraId="793FB67D" w14:textId="77777777" w:rsidR="002A4DDF" w:rsidRPr="00937C8B" w:rsidRDefault="002A4DDF" w:rsidP="009110ED">
            <w:pPr>
              <w:rPr>
                <w:rFonts w:ascii="Arial" w:hAnsi="Arial" w:cs="Arial"/>
                <w:sz w:val="12"/>
                <w:szCs w:val="12"/>
              </w:rPr>
            </w:pPr>
          </w:p>
        </w:tc>
        <w:tc>
          <w:tcPr>
            <w:tcW w:w="2268" w:type="dxa"/>
            <w:shd w:val="clear" w:color="auto" w:fill="F2F2F2"/>
            <w:hideMark/>
          </w:tcPr>
          <w:p w14:paraId="1C48CED3" w14:textId="77777777" w:rsidR="002A4DDF" w:rsidRPr="00937C8B" w:rsidRDefault="002A4DDF" w:rsidP="009110ED">
            <w:pPr>
              <w:rPr>
                <w:rFonts w:ascii="Arial" w:hAnsi="Arial" w:cs="Arial"/>
                <w:sz w:val="12"/>
                <w:szCs w:val="12"/>
              </w:rPr>
            </w:pPr>
            <w:r>
              <w:rPr>
                <w:rFonts w:ascii="Arial" w:hAnsi="Arial"/>
                <w:sz w:val="12"/>
                <w:szCs w:val="12"/>
              </w:rPr>
              <w:t>Salas de los Infantes</w:t>
            </w:r>
          </w:p>
        </w:tc>
        <w:tc>
          <w:tcPr>
            <w:tcW w:w="2268" w:type="dxa"/>
            <w:tcBorders>
              <w:right w:val="single" w:sz="4" w:space="0" w:color="auto"/>
            </w:tcBorders>
            <w:shd w:val="clear" w:color="auto" w:fill="D9D9D9"/>
            <w:hideMark/>
          </w:tcPr>
          <w:p w14:paraId="30334068" w14:textId="77777777" w:rsidR="002A4DDF" w:rsidRPr="00937C8B" w:rsidRDefault="002A4DDF" w:rsidP="009110ED">
            <w:pPr>
              <w:rPr>
                <w:rFonts w:ascii="Arial" w:hAnsi="Arial" w:cs="Arial"/>
                <w:sz w:val="12"/>
                <w:szCs w:val="12"/>
              </w:rPr>
            </w:pPr>
          </w:p>
        </w:tc>
      </w:tr>
      <w:tr w:rsidR="002A4DDF" w:rsidRPr="00937C8B" w14:paraId="5CD4F583" w14:textId="77777777" w:rsidTr="00935676">
        <w:trPr>
          <w:cantSplit/>
        </w:trPr>
        <w:tc>
          <w:tcPr>
            <w:tcW w:w="1696" w:type="dxa"/>
            <w:tcBorders>
              <w:left w:val="single" w:sz="4" w:space="0" w:color="auto"/>
            </w:tcBorders>
            <w:shd w:val="clear" w:color="auto" w:fill="auto"/>
          </w:tcPr>
          <w:p w14:paraId="195C705D" w14:textId="77777777" w:rsidR="002A4DDF" w:rsidRPr="00937C8B" w:rsidRDefault="002A4DDF" w:rsidP="009110ED">
            <w:pPr>
              <w:rPr>
                <w:rFonts w:ascii="Arial" w:hAnsi="Arial" w:cs="Arial"/>
                <w:sz w:val="12"/>
                <w:szCs w:val="12"/>
              </w:rPr>
            </w:pPr>
          </w:p>
        </w:tc>
        <w:tc>
          <w:tcPr>
            <w:tcW w:w="1843" w:type="dxa"/>
            <w:shd w:val="clear" w:color="auto" w:fill="auto"/>
          </w:tcPr>
          <w:p w14:paraId="0A4F4DF2" w14:textId="77777777" w:rsidR="002A4DDF" w:rsidRPr="00937C8B" w:rsidRDefault="002A4DDF" w:rsidP="009110ED">
            <w:pPr>
              <w:rPr>
                <w:rFonts w:ascii="Arial" w:hAnsi="Arial" w:cs="Arial"/>
                <w:sz w:val="12"/>
                <w:szCs w:val="12"/>
              </w:rPr>
            </w:pPr>
          </w:p>
        </w:tc>
        <w:tc>
          <w:tcPr>
            <w:tcW w:w="2268" w:type="dxa"/>
            <w:shd w:val="clear" w:color="auto" w:fill="F2F2F2"/>
            <w:hideMark/>
          </w:tcPr>
          <w:p w14:paraId="1F6DEC32" w14:textId="77777777" w:rsidR="002A4DDF" w:rsidRPr="00937C8B" w:rsidRDefault="002A4DDF" w:rsidP="009110ED">
            <w:pPr>
              <w:rPr>
                <w:rFonts w:ascii="Arial" w:hAnsi="Arial" w:cs="Arial"/>
                <w:sz w:val="12"/>
                <w:szCs w:val="12"/>
              </w:rPr>
            </w:pPr>
            <w:r>
              <w:rPr>
                <w:rFonts w:ascii="Arial" w:hAnsi="Arial"/>
                <w:sz w:val="12"/>
                <w:szCs w:val="12"/>
              </w:rPr>
              <w:t>San Adrián de Juarros</w:t>
            </w:r>
          </w:p>
        </w:tc>
        <w:tc>
          <w:tcPr>
            <w:tcW w:w="2268" w:type="dxa"/>
            <w:tcBorders>
              <w:right w:val="single" w:sz="4" w:space="0" w:color="auto"/>
            </w:tcBorders>
            <w:shd w:val="clear" w:color="auto" w:fill="D9D9D9"/>
            <w:hideMark/>
          </w:tcPr>
          <w:p w14:paraId="570B053E" w14:textId="77777777" w:rsidR="002A4DDF" w:rsidRPr="00937C8B" w:rsidRDefault="002A4DDF" w:rsidP="009110ED">
            <w:pPr>
              <w:rPr>
                <w:rFonts w:ascii="Arial" w:hAnsi="Arial" w:cs="Arial"/>
                <w:sz w:val="12"/>
                <w:szCs w:val="12"/>
              </w:rPr>
            </w:pPr>
          </w:p>
        </w:tc>
      </w:tr>
      <w:tr w:rsidR="002A4DDF" w:rsidRPr="00937C8B" w14:paraId="13FC57CF" w14:textId="77777777" w:rsidTr="00935676">
        <w:trPr>
          <w:cantSplit/>
        </w:trPr>
        <w:tc>
          <w:tcPr>
            <w:tcW w:w="1696" w:type="dxa"/>
            <w:tcBorders>
              <w:left w:val="single" w:sz="4" w:space="0" w:color="auto"/>
            </w:tcBorders>
            <w:shd w:val="clear" w:color="auto" w:fill="auto"/>
          </w:tcPr>
          <w:p w14:paraId="70DB8232" w14:textId="77777777" w:rsidR="002A4DDF" w:rsidRPr="00937C8B" w:rsidRDefault="002A4DDF" w:rsidP="009110ED">
            <w:pPr>
              <w:rPr>
                <w:rFonts w:ascii="Arial" w:hAnsi="Arial" w:cs="Arial"/>
                <w:sz w:val="12"/>
                <w:szCs w:val="12"/>
              </w:rPr>
            </w:pPr>
          </w:p>
        </w:tc>
        <w:tc>
          <w:tcPr>
            <w:tcW w:w="1843" w:type="dxa"/>
            <w:shd w:val="clear" w:color="auto" w:fill="auto"/>
          </w:tcPr>
          <w:p w14:paraId="301EAFAD" w14:textId="77777777" w:rsidR="002A4DDF" w:rsidRPr="00937C8B" w:rsidRDefault="002A4DDF" w:rsidP="009110ED">
            <w:pPr>
              <w:rPr>
                <w:rFonts w:ascii="Arial" w:hAnsi="Arial" w:cs="Arial"/>
                <w:sz w:val="12"/>
                <w:szCs w:val="12"/>
              </w:rPr>
            </w:pPr>
          </w:p>
        </w:tc>
        <w:tc>
          <w:tcPr>
            <w:tcW w:w="2268" w:type="dxa"/>
            <w:shd w:val="clear" w:color="auto" w:fill="F2F2F2"/>
            <w:hideMark/>
          </w:tcPr>
          <w:p w14:paraId="24464EE6" w14:textId="77777777" w:rsidR="002A4DDF" w:rsidRPr="00937C8B" w:rsidRDefault="002A4DDF" w:rsidP="009110ED">
            <w:pPr>
              <w:rPr>
                <w:rFonts w:ascii="Arial" w:hAnsi="Arial" w:cs="Arial"/>
                <w:sz w:val="12"/>
                <w:szCs w:val="12"/>
              </w:rPr>
            </w:pPr>
            <w:r>
              <w:rPr>
                <w:rFonts w:ascii="Arial" w:hAnsi="Arial"/>
                <w:sz w:val="12"/>
                <w:szCs w:val="12"/>
              </w:rPr>
              <w:t>San Millán de Lara</w:t>
            </w:r>
          </w:p>
        </w:tc>
        <w:tc>
          <w:tcPr>
            <w:tcW w:w="2268" w:type="dxa"/>
            <w:tcBorders>
              <w:right w:val="single" w:sz="4" w:space="0" w:color="auto"/>
            </w:tcBorders>
            <w:shd w:val="clear" w:color="auto" w:fill="D9D9D9"/>
            <w:hideMark/>
          </w:tcPr>
          <w:p w14:paraId="384D993C" w14:textId="77777777" w:rsidR="002A4DDF" w:rsidRPr="00937C8B" w:rsidRDefault="002A4DDF" w:rsidP="009110ED">
            <w:pPr>
              <w:rPr>
                <w:rFonts w:ascii="Arial" w:hAnsi="Arial" w:cs="Arial"/>
                <w:sz w:val="12"/>
                <w:szCs w:val="12"/>
              </w:rPr>
            </w:pPr>
          </w:p>
        </w:tc>
      </w:tr>
      <w:tr w:rsidR="002A4DDF" w:rsidRPr="00937C8B" w14:paraId="589193EA" w14:textId="77777777" w:rsidTr="00935676">
        <w:trPr>
          <w:cantSplit/>
        </w:trPr>
        <w:tc>
          <w:tcPr>
            <w:tcW w:w="1696" w:type="dxa"/>
            <w:tcBorders>
              <w:left w:val="single" w:sz="4" w:space="0" w:color="auto"/>
            </w:tcBorders>
            <w:shd w:val="clear" w:color="auto" w:fill="auto"/>
          </w:tcPr>
          <w:p w14:paraId="52C15ED7" w14:textId="77777777" w:rsidR="002A4DDF" w:rsidRPr="00937C8B" w:rsidRDefault="002A4DDF" w:rsidP="009110ED">
            <w:pPr>
              <w:rPr>
                <w:rFonts w:ascii="Arial" w:hAnsi="Arial" w:cs="Arial"/>
                <w:sz w:val="12"/>
                <w:szCs w:val="12"/>
              </w:rPr>
            </w:pPr>
          </w:p>
        </w:tc>
        <w:tc>
          <w:tcPr>
            <w:tcW w:w="1843" w:type="dxa"/>
            <w:shd w:val="clear" w:color="auto" w:fill="auto"/>
          </w:tcPr>
          <w:p w14:paraId="5F603240" w14:textId="77777777" w:rsidR="002A4DDF" w:rsidRPr="00937C8B" w:rsidRDefault="002A4DDF" w:rsidP="009110ED">
            <w:pPr>
              <w:rPr>
                <w:rFonts w:ascii="Arial" w:hAnsi="Arial" w:cs="Arial"/>
                <w:sz w:val="12"/>
                <w:szCs w:val="12"/>
              </w:rPr>
            </w:pPr>
          </w:p>
        </w:tc>
        <w:tc>
          <w:tcPr>
            <w:tcW w:w="2268" w:type="dxa"/>
            <w:shd w:val="clear" w:color="auto" w:fill="F2F2F2"/>
            <w:hideMark/>
          </w:tcPr>
          <w:p w14:paraId="08749A6B" w14:textId="77777777" w:rsidR="002A4DDF" w:rsidRPr="00937C8B" w:rsidRDefault="002A4DDF" w:rsidP="009110ED">
            <w:pPr>
              <w:rPr>
                <w:rFonts w:ascii="Arial" w:hAnsi="Arial" w:cs="Arial"/>
                <w:sz w:val="12"/>
                <w:szCs w:val="12"/>
              </w:rPr>
            </w:pPr>
            <w:r>
              <w:rPr>
                <w:rFonts w:ascii="Arial" w:hAnsi="Arial"/>
                <w:sz w:val="12"/>
                <w:szCs w:val="12"/>
              </w:rPr>
              <w:t>San Vicente del Valle</w:t>
            </w:r>
          </w:p>
        </w:tc>
        <w:tc>
          <w:tcPr>
            <w:tcW w:w="2268" w:type="dxa"/>
            <w:tcBorders>
              <w:right w:val="single" w:sz="4" w:space="0" w:color="auto"/>
            </w:tcBorders>
            <w:shd w:val="clear" w:color="auto" w:fill="D9D9D9"/>
            <w:hideMark/>
          </w:tcPr>
          <w:p w14:paraId="7C54B430" w14:textId="77777777" w:rsidR="002A4DDF" w:rsidRPr="00937C8B" w:rsidRDefault="002A4DDF" w:rsidP="009110ED">
            <w:pPr>
              <w:rPr>
                <w:rFonts w:ascii="Arial" w:hAnsi="Arial" w:cs="Arial"/>
                <w:sz w:val="12"/>
                <w:szCs w:val="12"/>
              </w:rPr>
            </w:pPr>
          </w:p>
        </w:tc>
      </w:tr>
      <w:tr w:rsidR="002A4DDF" w:rsidRPr="00937C8B" w14:paraId="1E4FEAFD" w14:textId="77777777" w:rsidTr="00935676">
        <w:trPr>
          <w:cantSplit/>
        </w:trPr>
        <w:tc>
          <w:tcPr>
            <w:tcW w:w="1696" w:type="dxa"/>
            <w:tcBorders>
              <w:left w:val="single" w:sz="4" w:space="0" w:color="auto"/>
            </w:tcBorders>
            <w:shd w:val="clear" w:color="auto" w:fill="auto"/>
          </w:tcPr>
          <w:p w14:paraId="63E46939" w14:textId="77777777" w:rsidR="002A4DDF" w:rsidRPr="00937C8B" w:rsidRDefault="002A4DDF" w:rsidP="009110ED">
            <w:pPr>
              <w:rPr>
                <w:rFonts w:ascii="Arial" w:hAnsi="Arial" w:cs="Arial"/>
                <w:sz w:val="12"/>
                <w:szCs w:val="12"/>
              </w:rPr>
            </w:pPr>
          </w:p>
        </w:tc>
        <w:tc>
          <w:tcPr>
            <w:tcW w:w="1843" w:type="dxa"/>
            <w:shd w:val="clear" w:color="auto" w:fill="auto"/>
          </w:tcPr>
          <w:p w14:paraId="4CA59B27" w14:textId="77777777" w:rsidR="002A4DDF" w:rsidRPr="00937C8B" w:rsidRDefault="002A4DDF" w:rsidP="009110ED">
            <w:pPr>
              <w:rPr>
                <w:rFonts w:ascii="Arial" w:hAnsi="Arial" w:cs="Arial"/>
                <w:sz w:val="12"/>
                <w:szCs w:val="12"/>
              </w:rPr>
            </w:pPr>
          </w:p>
        </w:tc>
        <w:tc>
          <w:tcPr>
            <w:tcW w:w="2268" w:type="dxa"/>
            <w:shd w:val="clear" w:color="auto" w:fill="F2F2F2"/>
            <w:hideMark/>
          </w:tcPr>
          <w:p w14:paraId="083E1325" w14:textId="77777777" w:rsidR="002A4DDF" w:rsidRPr="00937C8B" w:rsidRDefault="002A4DDF" w:rsidP="009110ED">
            <w:pPr>
              <w:rPr>
                <w:rFonts w:ascii="Arial" w:hAnsi="Arial" w:cs="Arial"/>
                <w:sz w:val="12"/>
                <w:szCs w:val="12"/>
              </w:rPr>
            </w:pPr>
            <w:r>
              <w:rPr>
                <w:rFonts w:ascii="Arial" w:hAnsi="Arial"/>
                <w:sz w:val="12"/>
                <w:szCs w:val="12"/>
              </w:rPr>
              <w:t>Santa Cruz del Valle Urbión</w:t>
            </w:r>
          </w:p>
        </w:tc>
        <w:tc>
          <w:tcPr>
            <w:tcW w:w="2268" w:type="dxa"/>
            <w:tcBorders>
              <w:right w:val="single" w:sz="4" w:space="0" w:color="auto"/>
            </w:tcBorders>
            <w:shd w:val="clear" w:color="auto" w:fill="D9D9D9"/>
            <w:hideMark/>
          </w:tcPr>
          <w:p w14:paraId="50711C1A" w14:textId="77777777" w:rsidR="002A4DDF" w:rsidRPr="00937C8B" w:rsidRDefault="002A4DDF" w:rsidP="009110ED">
            <w:pPr>
              <w:rPr>
                <w:rFonts w:ascii="Arial" w:hAnsi="Arial" w:cs="Arial"/>
                <w:sz w:val="12"/>
                <w:szCs w:val="12"/>
              </w:rPr>
            </w:pPr>
          </w:p>
        </w:tc>
      </w:tr>
      <w:tr w:rsidR="002A4DDF" w:rsidRPr="00937C8B" w14:paraId="5F6DC1DA" w14:textId="77777777" w:rsidTr="00935676">
        <w:trPr>
          <w:cantSplit/>
        </w:trPr>
        <w:tc>
          <w:tcPr>
            <w:tcW w:w="1696" w:type="dxa"/>
            <w:tcBorders>
              <w:left w:val="single" w:sz="4" w:space="0" w:color="auto"/>
            </w:tcBorders>
            <w:shd w:val="clear" w:color="auto" w:fill="auto"/>
          </w:tcPr>
          <w:p w14:paraId="7AF6A1B5" w14:textId="77777777" w:rsidR="002A4DDF" w:rsidRPr="00937C8B" w:rsidRDefault="002A4DDF" w:rsidP="009110ED">
            <w:pPr>
              <w:rPr>
                <w:rFonts w:ascii="Arial" w:hAnsi="Arial" w:cs="Arial"/>
                <w:sz w:val="12"/>
                <w:szCs w:val="12"/>
              </w:rPr>
            </w:pPr>
          </w:p>
        </w:tc>
        <w:tc>
          <w:tcPr>
            <w:tcW w:w="1843" w:type="dxa"/>
            <w:shd w:val="clear" w:color="auto" w:fill="auto"/>
          </w:tcPr>
          <w:p w14:paraId="62A686A0" w14:textId="77777777" w:rsidR="002A4DDF" w:rsidRPr="00937C8B" w:rsidRDefault="002A4DDF" w:rsidP="009110ED">
            <w:pPr>
              <w:rPr>
                <w:rFonts w:ascii="Arial" w:hAnsi="Arial" w:cs="Arial"/>
                <w:sz w:val="12"/>
                <w:szCs w:val="12"/>
              </w:rPr>
            </w:pPr>
          </w:p>
        </w:tc>
        <w:tc>
          <w:tcPr>
            <w:tcW w:w="2268" w:type="dxa"/>
            <w:shd w:val="clear" w:color="auto" w:fill="F2F2F2"/>
            <w:hideMark/>
          </w:tcPr>
          <w:p w14:paraId="29879B4B" w14:textId="77777777" w:rsidR="002A4DDF" w:rsidRPr="00937C8B" w:rsidRDefault="002A4DDF" w:rsidP="009110ED">
            <w:pPr>
              <w:rPr>
                <w:rFonts w:ascii="Arial" w:hAnsi="Arial" w:cs="Arial"/>
                <w:sz w:val="12"/>
                <w:szCs w:val="12"/>
              </w:rPr>
            </w:pPr>
            <w:r>
              <w:rPr>
                <w:rFonts w:ascii="Arial" w:hAnsi="Arial"/>
                <w:sz w:val="12"/>
                <w:szCs w:val="12"/>
              </w:rPr>
              <w:t>Santa Inés</w:t>
            </w:r>
          </w:p>
        </w:tc>
        <w:tc>
          <w:tcPr>
            <w:tcW w:w="2268" w:type="dxa"/>
            <w:tcBorders>
              <w:right w:val="single" w:sz="4" w:space="0" w:color="auto"/>
            </w:tcBorders>
            <w:shd w:val="clear" w:color="auto" w:fill="D9D9D9"/>
            <w:hideMark/>
          </w:tcPr>
          <w:p w14:paraId="525D46B0" w14:textId="77777777" w:rsidR="002A4DDF" w:rsidRPr="00937C8B" w:rsidRDefault="002A4DDF" w:rsidP="009110ED">
            <w:pPr>
              <w:rPr>
                <w:rFonts w:ascii="Arial" w:hAnsi="Arial" w:cs="Arial"/>
                <w:sz w:val="12"/>
                <w:szCs w:val="12"/>
              </w:rPr>
            </w:pPr>
          </w:p>
        </w:tc>
      </w:tr>
      <w:tr w:rsidR="002A4DDF" w:rsidRPr="00937C8B" w14:paraId="385B5FC1" w14:textId="77777777" w:rsidTr="00935676">
        <w:trPr>
          <w:cantSplit/>
        </w:trPr>
        <w:tc>
          <w:tcPr>
            <w:tcW w:w="1696" w:type="dxa"/>
            <w:tcBorders>
              <w:left w:val="single" w:sz="4" w:space="0" w:color="auto"/>
            </w:tcBorders>
            <w:shd w:val="clear" w:color="auto" w:fill="auto"/>
          </w:tcPr>
          <w:p w14:paraId="10B2A1F6" w14:textId="77777777" w:rsidR="002A4DDF" w:rsidRPr="00937C8B" w:rsidRDefault="002A4DDF" w:rsidP="009110ED">
            <w:pPr>
              <w:rPr>
                <w:rFonts w:ascii="Arial" w:hAnsi="Arial" w:cs="Arial"/>
                <w:sz w:val="12"/>
                <w:szCs w:val="12"/>
              </w:rPr>
            </w:pPr>
          </w:p>
        </w:tc>
        <w:tc>
          <w:tcPr>
            <w:tcW w:w="1843" w:type="dxa"/>
            <w:shd w:val="clear" w:color="auto" w:fill="auto"/>
          </w:tcPr>
          <w:p w14:paraId="2FFC2512" w14:textId="77777777" w:rsidR="002A4DDF" w:rsidRPr="00937C8B" w:rsidRDefault="002A4DDF" w:rsidP="009110ED">
            <w:pPr>
              <w:rPr>
                <w:rFonts w:ascii="Arial" w:hAnsi="Arial" w:cs="Arial"/>
                <w:sz w:val="12"/>
                <w:szCs w:val="12"/>
              </w:rPr>
            </w:pPr>
          </w:p>
        </w:tc>
        <w:tc>
          <w:tcPr>
            <w:tcW w:w="2268" w:type="dxa"/>
            <w:shd w:val="clear" w:color="auto" w:fill="F2F2F2"/>
            <w:hideMark/>
          </w:tcPr>
          <w:p w14:paraId="7727010C" w14:textId="77777777" w:rsidR="002A4DDF" w:rsidRPr="00937C8B" w:rsidRDefault="002A4DDF" w:rsidP="009110ED">
            <w:pPr>
              <w:rPr>
                <w:rFonts w:ascii="Arial" w:hAnsi="Arial" w:cs="Arial"/>
                <w:sz w:val="12"/>
                <w:szCs w:val="12"/>
              </w:rPr>
            </w:pPr>
            <w:r>
              <w:rPr>
                <w:rFonts w:ascii="Arial" w:hAnsi="Arial"/>
                <w:sz w:val="12"/>
                <w:szCs w:val="12"/>
              </w:rPr>
              <w:t>Santa María del Invierno</w:t>
            </w:r>
          </w:p>
        </w:tc>
        <w:tc>
          <w:tcPr>
            <w:tcW w:w="2268" w:type="dxa"/>
            <w:tcBorders>
              <w:right w:val="single" w:sz="4" w:space="0" w:color="auto"/>
            </w:tcBorders>
            <w:shd w:val="clear" w:color="auto" w:fill="D9D9D9"/>
            <w:hideMark/>
          </w:tcPr>
          <w:p w14:paraId="2E601D93" w14:textId="77777777" w:rsidR="002A4DDF" w:rsidRPr="00937C8B" w:rsidRDefault="002A4DDF" w:rsidP="009110ED">
            <w:pPr>
              <w:rPr>
                <w:rFonts w:ascii="Arial" w:hAnsi="Arial" w:cs="Arial"/>
                <w:sz w:val="12"/>
                <w:szCs w:val="12"/>
              </w:rPr>
            </w:pPr>
          </w:p>
        </w:tc>
      </w:tr>
      <w:tr w:rsidR="002A4DDF" w:rsidRPr="00937C8B" w14:paraId="083A4181" w14:textId="77777777" w:rsidTr="00935676">
        <w:trPr>
          <w:cantSplit/>
        </w:trPr>
        <w:tc>
          <w:tcPr>
            <w:tcW w:w="1696" w:type="dxa"/>
            <w:tcBorders>
              <w:left w:val="single" w:sz="4" w:space="0" w:color="auto"/>
            </w:tcBorders>
            <w:shd w:val="clear" w:color="auto" w:fill="auto"/>
          </w:tcPr>
          <w:p w14:paraId="2475304E" w14:textId="77777777" w:rsidR="002A4DDF" w:rsidRPr="00937C8B" w:rsidRDefault="002A4DDF" w:rsidP="009110ED">
            <w:pPr>
              <w:rPr>
                <w:rFonts w:ascii="Arial" w:hAnsi="Arial" w:cs="Arial"/>
                <w:sz w:val="12"/>
                <w:szCs w:val="12"/>
              </w:rPr>
            </w:pPr>
          </w:p>
        </w:tc>
        <w:tc>
          <w:tcPr>
            <w:tcW w:w="1843" w:type="dxa"/>
            <w:shd w:val="clear" w:color="auto" w:fill="auto"/>
          </w:tcPr>
          <w:p w14:paraId="3ECAD4DC" w14:textId="77777777" w:rsidR="002A4DDF" w:rsidRPr="00937C8B" w:rsidRDefault="002A4DDF" w:rsidP="009110ED">
            <w:pPr>
              <w:rPr>
                <w:rFonts w:ascii="Arial" w:hAnsi="Arial" w:cs="Arial"/>
                <w:sz w:val="12"/>
                <w:szCs w:val="12"/>
              </w:rPr>
            </w:pPr>
          </w:p>
        </w:tc>
        <w:tc>
          <w:tcPr>
            <w:tcW w:w="2268" w:type="dxa"/>
            <w:shd w:val="clear" w:color="auto" w:fill="F2F2F2"/>
            <w:hideMark/>
          </w:tcPr>
          <w:p w14:paraId="0654E26D" w14:textId="77777777" w:rsidR="002A4DDF" w:rsidRPr="00937C8B" w:rsidRDefault="002A4DDF" w:rsidP="009110ED">
            <w:pPr>
              <w:rPr>
                <w:rFonts w:ascii="Arial" w:hAnsi="Arial" w:cs="Arial"/>
                <w:sz w:val="12"/>
                <w:szCs w:val="12"/>
              </w:rPr>
            </w:pPr>
            <w:r>
              <w:rPr>
                <w:rFonts w:ascii="Arial" w:hAnsi="Arial"/>
                <w:sz w:val="12"/>
                <w:szCs w:val="12"/>
              </w:rPr>
              <w:t>Santa Olalla de Bureba</w:t>
            </w:r>
          </w:p>
        </w:tc>
        <w:tc>
          <w:tcPr>
            <w:tcW w:w="2268" w:type="dxa"/>
            <w:tcBorders>
              <w:right w:val="single" w:sz="4" w:space="0" w:color="auto"/>
            </w:tcBorders>
            <w:shd w:val="clear" w:color="auto" w:fill="D9D9D9"/>
            <w:hideMark/>
          </w:tcPr>
          <w:p w14:paraId="017F35A9" w14:textId="77777777" w:rsidR="002A4DDF" w:rsidRPr="00937C8B" w:rsidRDefault="002A4DDF" w:rsidP="009110ED">
            <w:pPr>
              <w:rPr>
                <w:rFonts w:ascii="Arial" w:hAnsi="Arial" w:cs="Arial"/>
                <w:sz w:val="12"/>
                <w:szCs w:val="12"/>
              </w:rPr>
            </w:pPr>
          </w:p>
        </w:tc>
      </w:tr>
      <w:tr w:rsidR="002A4DDF" w:rsidRPr="00937C8B" w14:paraId="39D4ED96" w14:textId="77777777" w:rsidTr="00935676">
        <w:trPr>
          <w:cantSplit/>
        </w:trPr>
        <w:tc>
          <w:tcPr>
            <w:tcW w:w="1696" w:type="dxa"/>
            <w:tcBorders>
              <w:left w:val="single" w:sz="4" w:space="0" w:color="auto"/>
            </w:tcBorders>
            <w:shd w:val="clear" w:color="auto" w:fill="auto"/>
          </w:tcPr>
          <w:p w14:paraId="3DEFB2AE" w14:textId="77777777" w:rsidR="002A4DDF" w:rsidRPr="00937C8B" w:rsidRDefault="002A4DDF" w:rsidP="009110ED">
            <w:pPr>
              <w:rPr>
                <w:rFonts w:ascii="Arial" w:hAnsi="Arial" w:cs="Arial"/>
                <w:sz w:val="12"/>
                <w:szCs w:val="12"/>
              </w:rPr>
            </w:pPr>
          </w:p>
        </w:tc>
        <w:tc>
          <w:tcPr>
            <w:tcW w:w="1843" w:type="dxa"/>
            <w:shd w:val="clear" w:color="auto" w:fill="auto"/>
          </w:tcPr>
          <w:p w14:paraId="2FA680C3" w14:textId="77777777" w:rsidR="002A4DDF" w:rsidRPr="00937C8B" w:rsidRDefault="002A4DDF" w:rsidP="009110ED">
            <w:pPr>
              <w:rPr>
                <w:rFonts w:ascii="Arial" w:hAnsi="Arial" w:cs="Arial"/>
                <w:sz w:val="12"/>
                <w:szCs w:val="12"/>
              </w:rPr>
            </w:pPr>
          </w:p>
        </w:tc>
        <w:tc>
          <w:tcPr>
            <w:tcW w:w="2268" w:type="dxa"/>
            <w:shd w:val="clear" w:color="auto" w:fill="F2F2F2"/>
            <w:hideMark/>
          </w:tcPr>
          <w:p w14:paraId="21A675D5" w14:textId="77777777" w:rsidR="002A4DDF" w:rsidRPr="00937C8B" w:rsidRDefault="002A4DDF" w:rsidP="009110ED">
            <w:pPr>
              <w:rPr>
                <w:rFonts w:ascii="Arial" w:hAnsi="Arial" w:cs="Arial"/>
                <w:sz w:val="12"/>
                <w:szCs w:val="12"/>
              </w:rPr>
            </w:pPr>
            <w:r>
              <w:rPr>
                <w:rFonts w:ascii="Arial" w:hAnsi="Arial"/>
                <w:sz w:val="12"/>
                <w:szCs w:val="12"/>
              </w:rPr>
              <w:t>Sasamón</w:t>
            </w:r>
          </w:p>
        </w:tc>
        <w:tc>
          <w:tcPr>
            <w:tcW w:w="2268" w:type="dxa"/>
            <w:tcBorders>
              <w:right w:val="single" w:sz="4" w:space="0" w:color="auto"/>
            </w:tcBorders>
            <w:shd w:val="clear" w:color="auto" w:fill="D9D9D9"/>
            <w:hideMark/>
          </w:tcPr>
          <w:p w14:paraId="0A0340AD" w14:textId="77777777" w:rsidR="002A4DDF" w:rsidRPr="00937C8B" w:rsidRDefault="002A4DDF" w:rsidP="009110ED">
            <w:pPr>
              <w:rPr>
                <w:rFonts w:ascii="Arial" w:hAnsi="Arial" w:cs="Arial"/>
                <w:sz w:val="12"/>
                <w:szCs w:val="12"/>
              </w:rPr>
            </w:pPr>
          </w:p>
        </w:tc>
      </w:tr>
      <w:tr w:rsidR="002A4DDF" w:rsidRPr="00937C8B" w14:paraId="564AD849" w14:textId="77777777" w:rsidTr="00935676">
        <w:trPr>
          <w:cantSplit/>
        </w:trPr>
        <w:tc>
          <w:tcPr>
            <w:tcW w:w="1696" w:type="dxa"/>
            <w:tcBorders>
              <w:left w:val="single" w:sz="4" w:space="0" w:color="auto"/>
            </w:tcBorders>
            <w:shd w:val="clear" w:color="auto" w:fill="auto"/>
          </w:tcPr>
          <w:p w14:paraId="38AB6AEF" w14:textId="77777777" w:rsidR="002A4DDF" w:rsidRPr="00937C8B" w:rsidRDefault="002A4DDF" w:rsidP="009110ED">
            <w:pPr>
              <w:rPr>
                <w:rFonts w:ascii="Arial" w:hAnsi="Arial" w:cs="Arial"/>
                <w:sz w:val="12"/>
                <w:szCs w:val="12"/>
              </w:rPr>
            </w:pPr>
          </w:p>
        </w:tc>
        <w:tc>
          <w:tcPr>
            <w:tcW w:w="1843" w:type="dxa"/>
            <w:shd w:val="clear" w:color="auto" w:fill="auto"/>
          </w:tcPr>
          <w:p w14:paraId="23322BB1" w14:textId="77777777" w:rsidR="002A4DDF" w:rsidRPr="00937C8B" w:rsidRDefault="002A4DDF" w:rsidP="009110ED">
            <w:pPr>
              <w:rPr>
                <w:rFonts w:ascii="Arial" w:hAnsi="Arial" w:cs="Arial"/>
                <w:sz w:val="12"/>
                <w:szCs w:val="12"/>
              </w:rPr>
            </w:pPr>
          </w:p>
        </w:tc>
        <w:tc>
          <w:tcPr>
            <w:tcW w:w="2268" w:type="dxa"/>
            <w:shd w:val="clear" w:color="auto" w:fill="F2F2F2"/>
            <w:hideMark/>
          </w:tcPr>
          <w:p w14:paraId="56C2E91C" w14:textId="77777777" w:rsidR="002A4DDF" w:rsidRPr="00937C8B" w:rsidRDefault="002A4DDF" w:rsidP="009110ED">
            <w:pPr>
              <w:rPr>
                <w:rFonts w:ascii="Arial" w:hAnsi="Arial" w:cs="Arial"/>
                <w:sz w:val="12"/>
                <w:szCs w:val="12"/>
              </w:rPr>
            </w:pPr>
            <w:r>
              <w:rPr>
                <w:rFonts w:ascii="Arial" w:hAnsi="Arial"/>
                <w:sz w:val="12"/>
                <w:szCs w:val="12"/>
              </w:rPr>
              <w:t>Solarana</w:t>
            </w:r>
          </w:p>
        </w:tc>
        <w:tc>
          <w:tcPr>
            <w:tcW w:w="2268" w:type="dxa"/>
            <w:tcBorders>
              <w:right w:val="single" w:sz="4" w:space="0" w:color="auto"/>
            </w:tcBorders>
            <w:shd w:val="clear" w:color="auto" w:fill="D9D9D9"/>
            <w:hideMark/>
          </w:tcPr>
          <w:p w14:paraId="0E75BFC6" w14:textId="77777777" w:rsidR="002A4DDF" w:rsidRPr="00937C8B" w:rsidRDefault="002A4DDF" w:rsidP="009110ED">
            <w:pPr>
              <w:rPr>
                <w:rFonts w:ascii="Arial" w:hAnsi="Arial" w:cs="Arial"/>
                <w:sz w:val="12"/>
                <w:szCs w:val="12"/>
              </w:rPr>
            </w:pPr>
          </w:p>
        </w:tc>
      </w:tr>
      <w:tr w:rsidR="002A4DDF" w:rsidRPr="00937C8B" w14:paraId="46AA9FF7" w14:textId="77777777" w:rsidTr="00935676">
        <w:trPr>
          <w:cantSplit/>
        </w:trPr>
        <w:tc>
          <w:tcPr>
            <w:tcW w:w="1696" w:type="dxa"/>
            <w:tcBorders>
              <w:left w:val="single" w:sz="4" w:space="0" w:color="auto"/>
            </w:tcBorders>
            <w:shd w:val="clear" w:color="auto" w:fill="auto"/>
          </w:tcPr>
          <w:p w14:paraId="10583BB1" w14:textId="77777777" w:rsidR="002A4DDF" w:rsidRPr="00937C8B" w:rsidRDefault="002A4DDF" w:rsidP="009110ED">
            <w:pPr>
              <w:rPr>
                <w:rFonts w:ascii="Arial" w:hAnsi="Arial" w:cs="Arial"/>
                <w:sz w:val="12"/>
                <w:szCs w:val="12"/>
              </w:rPr>
            </w:pPr>
          </w:p>
        </w:tc>
        <w:tc>
          <w:tcPr>
            <w:tcW w:w="1843" w:type="dxa"/>
            <w:shd w:val="clear" w:color="auto" w:fill="auto"/>
          </w:tcPr>
          <w:p w14:paraId="23F6C09B" w14:textId="77777777" w:rsidR="002A4DDF" w:rsidRPr="00937C8B" w:rsidRDefault="002A4DDF" w:rsidP="009110ED">
            <w:pPr>
              <w:rPr>
                <w:rFonts w:ascii="Arial" w:hAnsi="Arial" w:cs="Arial"/>
                <w:sz w:val="12"/>
                <w:szCs w:val="12"/>
              </w:rPr>
            </w:pPr>
          </w:p>
        </w:tc>
        <w:tc>
          <w:tcPr>
            <w:tcW w:w="2268" w:type="dxa"/>
            <w:shd w:val="clear" w:color="auto" w:fill="F2F2F2"/>
            <w:hideMark/>
          </w:tcPr>
          <w:p w14:paraId="4C47C2D7" w14:textId="77777777" w:rsidR="002A4DDF" w:rsidRPr="00937C8B" w:rsidRDefault="002A4DDF" w:rsidP="009110ED">
            <w:pPr>
              <w:rPr>
                <w:rFonts w:ascii="Arial" w:hAnsi="Arial" w:cs="Arial"/>
                <w:sz w:val="12"/>
                <w:szCs w:val="12"/>
              </w:rPr>
            </w:pPr>
            <w:r>
              <w:rPr>
                <w:rFonts w:ascii="Arial" w:hAnsi="Arial"/>
                <w:sz w:val="12"/>
                <w:szCs w:val="12"/>
              </w:rPr>
              <w:t>Tinieblas de la Sierra</w:t>
            </w:r>
          </w:p>
        </w:tc>
        <w:tc>
          <w:tcPr>
            <w:tcW w:w="2268" w:type="dxa"/>
            <w:tcBorders>
              <w:right w:val="single" w:sz="4" w:space="0" w:color="auto"/>
            </w:tcBorders>
            <w:shd w:val="clear" w:color="auto" w:fill="D9D9D9"/>
            <w:hideMark/>
          </w:tcPr>
          <w:p w14:paraId="780A8559" w14:textId="77777777" w:rsidR="002A4DDF" w:rsidRPr="00937C8B" w:rsidRDefault="002A4DDF" w:rsidP="009110ED">
            <w:pPr>
              <w:rPr>
                <w:rFonts w:ascii="Arial" w:hAnsi="Arial" w:cs="Arial"/>
                <w:sz w:val="12"/>
                <w:szCs w:val="12"/>
              </w:rPr>
            </w:pPr>
          </w:p>
        </w:tc>
      </w:tr>
      <w:tr w:rsidR="002A4DDF" w:rsidRPr="00937C8B" w14:paraId="416BD3E5" w14:textId="77777777" w:rsidTr="00935676">
        <w:trPr>
          <w:cantSplit/>
        </w:trPr>
        <w:tc>
          <w:tcPr>
            <w:tcW w:w="1696" w:type="dxa"/>
            <w:tcBorders>
              <w:left w:val="single" w:sz="4" w:space="0" w:color="auto"/>
            </w:tcBorders>
            <w:shd w:val="clear" w:color="auto" w:fill="auto"/>
          </w:tcPr>
          <w:p w14:paraId="1AC7B1A8" w14:textId="77777777" w:rsidR="002A4DDF" w:rsidRPr="00937C8B" w:rsidRDefault="002A4DDF" w:rsidP="009110ED">
            <w:pPr>
              <w:rPr>
                <w:rFonts w:ascii="Arial" w:hAnsi="Arial" w:cs="Arial"/>
                <w:sz w:val="12"/>
                <w:szCs w:val="12"/>
              </w:rPr>
            </w:pPr>
          </w:p>
        </w:tc>
        <w:tc>
          <w:tcPr>
            <w:tcW w:w="1843" w:type="dxa"/>
            <w:shd w:val="clear" w:color="auto" w:fill="auto"/>
          </w:tcPr>
          <w:p w14:paraId="79F73539" w14:textId="77777777" w:rsidR="002A4DDF" w:rsidRPr="00937C8B" w:rsidRDefault="002A4DDF" w:rsidP="009110ED">
            <w:pPr>
              <w:rPr>
                <w:rFonts w:ascii="Arial" w:hAnsi="Arial" w:cs="Arial"/>
                <w:sz w:val="12"/>
                <w:szCs w:val="12"/>
              </w:rPr>
            </w:pPr>
          </w:p>
        </w:tc>
        <w:tc>
          <w:tcPr>
            <w:tcW w:w="2268" w:type="dxa"/>
            <w:shd w:val="clear" w:color="auto" w:fill="F2F2F2"/>
            <w:hideMark/>
          </w:tcPr>
          <w:p w14:paraId="1BC1B895" w14:textId="77777777" w:rsidR="002A4DDF" w:rsidRPr="00937C8B" w:rsidRDefault="002A4DDF" w:rsidP="009110ED">
            <w:pPr>
              <w:rPr>
                <w:rFonts w:ascii="Arial" w:hAnsi="Arial" w:cs="Arial"/>
                <w:sz w:val="12"/>
                <w:szCs w:val="12"/>
              </w:rPr>
            </w:pPr>
            <w:r>
              <w:rPr>
                <w:rFonts w:ascii="Arial" w:hAnsi="Arial"/>
                <w:sz w:val="12"/>
                <w:szCs w:val="12"/>
              </w:rPr>
              <w:t>Torrelara</w:t>
            </w:r>
          </w:p>
        </w:tc>
        <w:tc>
          <w:tcPr>
            <w:tcW w:w="2268" w:type="dxa"/>
            <w:tcBorders>
              <w:right w:val="single" w:sz="4" w:space="0" w:color="auto"/>
            </w:tcBorders>
            <w:shd w:val="clear" w:color="auto" w:fill="D9D9D9"/>
            <w:hideMark/>
          </w:tcPr>
          <w:p w14:paraId="71D2DCC1" w14:textId="77777777" w:rsidR="002A4DDF" w:rsidRPr="00937C8B" w:rsidRDefault="002A4DDF" w:rsidP="009110ED">
            <w:pPr>
              <w:rPr>
                <w:rFonts w:ascii="Arial" w:hAnsi="Arial" w:cs="Arial"/>
                <w:sz w:val="12"/>
                <w:szCs w:val="12"/>
              </w:rPr>
            </w:pPr>
          </w:p>
        </w:tc>
      </w:tr>
      <w:tr w:rsidR="002A4DDF" w:rsidRPr="00937C8B" w14:paraId="098B4884" w14:textId="77777777" w:rsidTr="00935676">
        <w:trPr>
          <w:cantSplit/>
        </w:trPr>
        <w:tc>
          <w:tcPr>
            <w:tcW w:w="1696" w:type="dxa"/>
            <w:tcBorders>
              <w:left w:val="single" w:sz="4" w:space="0" w:color="auto"/>
            </w:tcBorders>
            <w:shd w:val="clear" w:color="auto" w:fill="auto"/>
          </w:tcPr>
          <w:p w14:paraId="60ACD4BA" w14:textId="77777777" w:rsidR="002A4DDF" w:rsidRPr="00937C8B" w:rsidRDefault="002A4DDF" w:rsidP="009110ED">
            <w:pPr>
              <w:rPr>
                <w:rFonts w:ascii="Arial" w:hAnsi="Arial" w:cs="Arial"/>
                <w:sz w:val="12"/>
                <w:szCs w:val="12"/>
              </w:rPr>
            </w:pPr>
          </w:p>
        </w:tc>
        <w:tc>
          <w:tcPr>
            <w:tcW w:w="1843" w:type="dxa"/>
            <w:shd w:val="clear" w:color="auto" w:fill="auto"/>
          </w:tcPr>
          <w:p w14:paraId="6169C9EC" w14:textId="77777777" w:rsidR="002A4DDF" w:rsidRPr="00937C8B" w:rsidRDefault="002A4DDF" w:rsidP="009110ED">
            <w:pPr>
              <w:rPr>
                <w:rFonts w:ascii="Arial" w:hAnsi="Arial" w:cs="Arial"/>
                <w:sz w:val="12"/>
                <w:szCs w:val="12"/>
              </w:rPr>
            </w:pPr>
          </w:p>
        </w:tc>
        <w:tc>
          <w:tcPr>
            <w:tcW w:w="2268" w:type="dxa"/>
            <w:shd w:val="clear" w:color="auto" w:fill="F2F2F2"/>
            <w:hideMark/>
          </w:tcPr>
          <w:p w14:paraId="32744138" w14:textId="77777777" w:rsidR="002A4DDF" w:rsidRPr="00937C8B" w:rsidRDefault="002A4DDF" w:rsidP="009110ED">
            <w:pPr>
              <w:rPr>
                <w:rFonts w:ascii="Arial" w:hAnsi="Arial" w:cs="Arial"/>
                <w:sz w:val="12"/>
                <w:szCs w:val="12"/>
              </w:rPr>
            </w:pPr>
            <w:r>
              <w:rPr>
                <w:rFonts w:ascii="Arial" w:hAnsi="Arial"/>
                <w:sz w:val="12"/>
                <w:szCs w:val="12"/>
              </w:rPr>
              <w:t>Tosantos</w:t>
            </w:r>
          </w:p>
        </w:tc>
        <w:tc>
          <w:tcPr>
            <w:tcW w:w="2268" w:type="dxa"/>
            <w:tcBorders>
              <w:right w:val="single" w:sz="4" w:space="0" w:color="auto"/>
            </w:tcBorders>
            <w:shd w:val="clear" w:color="auto" w:fill="D9D9D9"/>
            <w:hideMark/>
          </w:tcPr>
          <w:p w14:paraId="30F6DD0F" w14:textId="77777777" w:rsidR="002A4DDF" w:rsidRPr="00937C8B" w:rsidRDefault="002A4DDF" w:rsidP="009110ED">
            <w:pPr>
              <w:rPr>
                <w:rFonts w:ascii="Arial" w:hAnsi="Arial" w:cs="Arial"/>
                <w:sz w:val="12"/>
                <w:szCs w:val="12"/>
              </w:rPr>
            </w:pPr>
          </w:p>
        </w:tc>
      </w:tr>
      <w:tr w:rsidR="002A4DDF" w:rsidRPr="00937C8B" w14:paraId="5E7663C5" w14:textId="77777777" w:rsidTr="00935676">
        <w:trPr>
          <w:cantSplit/>
        </w:trPr>
        <w:tc>
          <w:tcPr>
            <w:tcW w:w="1696" w:type="dxa"/>
            <w:tcBorders>
              <w:left w:val="single" w:sz="4" w:space="0" w:color="auto"/>
            </w:tcBorders>
            <w:shd w:val="clear" w:color="auto" w:fill="auto"/>
          </w:tcPr>
          <w:p w14:paraId="3F69AF0B" w14:textId="77777777" w:rsidR="002A4DDF" w:rsidRPr="00937C8B" w:rsidRDefault="002A4DDF" w:rsidP="009110ED">
            <w:pPr>
              <w:rPr>
                <w:rFonts w:ascii="Arial" w:hAnsi="Arial" w:cs="Arial"/>
                <w:sz w:val="12"/>
                <w:szCs w:val="12"/>
              </w:rPr>
            </w:pPr>
          </w:p>
        </w:tc>
        <w:tc>
          <w:tcPr>
            <w:tcW w:w="1843" w:type="dxa"/>
            <w:shd w:val="clear" w:color="auto" w:fill="auto"/>
          </w:tcPr>
          <w:p w14:paraId="546D1096" w14:textId="77777777" w:rsidR="002A4DDF" w:rsidRPr="00937C8B" w:rsidRDefault="002A4DDF" w:rsidP="009110ED">
            <w:pPr>
              <w:rPr>
                <w:rFonts w:ascii="Arial" w:hAnsi="Arial" w:cs="Arial"/>
                <w:sz w:val="12"/>
                <w:szCs w:val="12"/>
              </w:rPr>
            </w:pPr>
          </w:p>
        </w:tc>
        <w:tc>
          <w:tcPr>
            <w:tcW w:w="2268" w:type="dxa"/>
            <w:shd w:val="clear" w:color="auto" w:fill="F2F2F2"/>
            <w:hideMark/>
          </w:tcPr>
          <w:p w14:paraId="7722314A" w14:textId="77777777" w:rsidR="002A4DDF" w:rsidRPr="00937C8B" w:rsidRDefault="002A4DDF" w:rsidP="009110ED">
            <w:pPr>
              <w:rPr>
                <w:rFonts w:ascii="Arial" w:hAnsi="Arial" w:cs="Arial"/>
                <w:sz w:val="12"/>
                <w:szCs w:val="12"/>
              </w:rPr>
            </w:pPr>
            <w:r>
              <w:rPr>
                <w:rFonts w:ascii="Arial" w:hAnsi="Arial"/>
                <w:sz w:val="12"/>
                <w:szCs w:val="12"/>
              </w:rPr>
              <w:t>Vallarta de Bureba</w:t>
            </w:r>
          </w:p>
        </w:tc>
        <w:tc>
          <w:tcPr>
            <w:tcW w:w="2268" w:type="dxa"/>
            <w:tcBorders>
              <w:right w:val="single" w:sz="4" w:space="0" w:color="auto"/>
            </w:tcBorders>
            <w:shd w:val="clear" w:color="auto" w:fill="D9D9D9"/>
            <w:hideMark/>
          </w:tcPr>
          <w:p w14:paraId="75C9EC2D" w14:textId="77777777" w:rsidR="002A4DDF" w:rsidRPr="00937C8B" w:rsidRDefault="002A4DDF" w:rsidP="009110ED">
            <w:pPr>
              <w:rPr>
                <w:rFonts w:ascii="Arial" w:hAnsi="Arial" w:cs="Arial"/>
                <w:sz w:val="12"/>
                <w:szCs w:val="12"/>
              </w:rPr>
            </w:pPr>
          </w:p>
        </w:tc>
      </w:tr>
      <w:tr w:rsidR="002A4DDF" w:rsidRPr="00937C8B" w14:paraId="559F2D22" w14:textId="77777777" w:rsidTr="00935676">
        <w:trPr>
          <w:cantSplit/>
        </w:trPr>
        <w:tc>
          <w:tcPr>
            <w:tcW w:w="1696" w:type="dxa"/>
            <w:tcBorders>
              <w:left w:val="single" w:sz="4" w:space="0" w:color="auto"/>
            </w:tcBorders>
            <w:shd w:val="clear" w:color="auto" w:fill="auto"/>
          </w:tcPr>
          <w:p w14:paraId="7EDE6C48" w14:textId="77777777" w:rsidR="002A4DDF" w:rsidRPr="00937C8B" w:rsidRDefault="002A4DDF" w:rsidP="009110ED">
            <w:pPr>
              <w:rPr>
                <w:rFonts w:ascii="Arial" w:hAnsi="Arial" w:cs="Arial"/>
                <w:sz w:val="12"/>
                <w:szCs w:val="12"/>
              </w:rPr>
            </w:pPr>
          </w:p>
        </w:tc>
        <w:tc>
          <w:tcPr>
            <w:tcW w:w="1843" w:type="dxa"/>
            <w:shd w:val="clear" w:color="auto" w:fill="auto"/>
          </w:tcPr>
          <w:p w14:paraId="35ECFFB1" w14:textId="77777777" w:rsidR="002A4DDF" w:rsidRPr="00937C8B" w:rsidRDefault="002A4DDF" w:rsidP="009110ED">
            <w:pPr>
              <w:rPr>
                <w:rFonts w:ascii="Arial" w:hAnsi="Arial" w:cs="Arial"/>
                <w:sz w:val="12"/>
                <w:szCs w:val="12"/>
              </w:rPr>
            </w:pPr>
          </w:p>
        </w:tc>
        <w:tc>
          <w:tcPr>
            <w:tcW w:w="2268" w:type="dxa"/>
            <w:shd w:val="clear" w:color="auto" w:fill="F2F2F2"/>
            <w:hideMark/>
          </w:tcPr>
          <w:p w14:paraId="6019F4C0" w14:textId="77777777" w:rsidR="002A4DDF" w:rsidRPr="00937C8B" w:rsidRDefault="002A4DDF" w:rsidP="009110ED">
            <w:pPr>
              <w:rPr>
                <w:rFonts w:ascii="Arial" w:hAnsi="Arial" w:cs="Arial"/>
                <w:sz w:val="12"/>
                <w:szCs w:val="12"/>
              </w:rPr>
            </w:pPr>
            <w:r>
              <w:rPr>
                <w:rFonts w:ascii="Arial" w:hAnsi="Arial"/>
                <w:sz w:val="12"/>
                <w:szCs w:val="12"/>
              </w:rPr>
              <w:t>Valle de Mena</w:t>
            </w:r>
          </w:p>
        </w:tc>
        <w:tc>
          <w:tcPr>
            <w:tcW w:w="2268" w:type="dxa"/>
            <w:tcBorders>
              <w:right w:val="single" w:sz="4" w:space="0" w:color="auto"/>
            </w:tcBorders>
            <w:shd w:val="clear" w:color="auto" w:fill="D9D9D9"/>
            <w:hideMark/>
          </w:tcPr>
          <w:p w14:paraId="5ECF6694" w14:textId="77777777" w:rsidR="002A4DDF" w:rsidRPr="00937C8B" w:rsidRDefault="002A4DDF" w:rsidP="009110ED">
            <w:pPr>
              <w:rPr>
                <w:rFonts w:ascii="Arial" w:hAnsi="Arial" w:cs="Arial"/>
                <w:sz w:val="12"/>
                <w:szCs w:val="12"/>
              </w:rPr>
            </w:pPr>
          </w:p>
        </w:tc>
      </w:tr>
      <w:tr w:rsidR="002A4DDF" w:rsidRPr="00937C8B" w14:paraId="4D48DA1F" w14:textId="77777777" w:rsidTr="00935676">
        <w:trPr>
          <w:cantSplit/>
        </w:trPr>
        <w:tc>
          <w:tcPr>
            <w:tcW w:w="1696" w:type="dxa"/>
            <w:tcBorders>
              <w:left w:val="single" w:sz="4" w:space="0" w:color="auto"/>
            </w:tcBorders>
            <w:shd w:val="clear" w:color="auto" w:fill="auto"/>
          </w:tcPr>
          <w:p w14:paraId="5693445F" w14:textId="77777777" w:rsidR="002A4DDF" w:rsidRPr="00937C8B" w:rsidRDefault="002A4DDF" w:rsidP="009110ED">
            <w:pPr>
              <w:rPr>
                <w:rFonts w:ascii="Arial" w:hAnsi="Arial" w:cs="Arial"/>
                <w:sz w:val="12"/>
                <w:szCs w:val="12"/>
              </w:rPr>
            </w:pPr>
          </w:p>
        </w:tc>
        <w:tc>
          <w:tcPr>
            <w:tcW w:w="1843" w:type="dxa"/>
            <w:shd w:val="clear" w:color="auto" w:fill="auto"/>
          </w:tcPr>
          <w:p w14:paraId="6AB2D43D" w14:textId="77777777" w:rsidR="002A4DDF" w:rsidRPr="00937C8B" w:rsidRDefault="002A4DDF" w:rsidP="009110ED">
            <w:pPr>
              <w:rPr>
                <w:rFonts w:ascii="Arial" w:hAnsi="Arial" w:cs="Arial"/>
                <w:sz w:val="12"/>
                <w:szCs w:val="12"/>
              </w:rPr>
            </w:pPr>
          </w:p>
        </w:tc>
        <w:tc>
          <w:tcPr>
            <w:tcW w:w="2268" w:type="dxa"/>
            <w:shd w:val="clear" w:color="auto" w:fill="F2F2F2"/>
            <w:hideMark/>
          </w:tcPr>
          <w:p w14:paraId="69851F4B" w14:textId="77777777" w:rsidR="002A4DDF" w:rsidRPr="00937C8B" w:rsidRDefault="002A4DDF" w:rsidP="009110ED">
            <w:pPr>
              <w:rPr>
                <w:rFonts w:ascii="Arial" w:hAnsi="Arial" w:cs="Arial"/>
                <w:sz w:val="12"/>
                <w:szCs w:val="12"/>
              </w:rPr>
            </w:pPr>
            <w:r>
              <w:rPr>
                <w:rFonts w:ascii="Arial" w:hAnsi="Arial"/>
                <w:sz w:val="12"/>
                <w:szCs w:val="12"/>
              </w:rPr>
              <w:t>Valle de Oca</w:t>
            </w:r>
          </w:p>
        </w:tc>
        <w:tc>
          <w:tcPr>
            <w:tcW w:w="2268" w:type="dxa"/>
            <w:tcBorders>
              <w:right w:val="single" w:sz="4" w:space="0" w:color="auto"/>
            </w:tcBorders>
            <w:shd w:val="clear" w:color="auto" w:fill="D9D9D9"/>
            <w:hideMark/>
          </w:tcPr>
          <w:p w14:paraId="330E791B" w14:textId="77777777" w:rsidR="002A4DDF" w:rsidRPr="00937C8B" w:rsidRDefault="002A4DDF" w:rsidP="009110ED">
            <w:pPr>
              <w:rPr>
                <w:rFonts w:ascii="Arial" w:hAnsi="Arial" w:cs="Arial"/>
                <w:sz w:val="12"/>
                <w:szCs w:val="12"/>
              </w:rPr>
            </w:pPr>
          </w:p>
        </w:tc>
      </w:tr>
      <w:tr w:rsidR="002A4DDF" w:rsidRPr="00937C8B" w14:paraId="0EF54820" w14:textId="77777777" w:rsidTr="00935676">
        <w:trPr>
          <w:cantSplit/>
        </w:trPr>
        <w:tc>
          <w:tcPr>
            <w:tcW w:w="1696" w:type="dxa"/>
            <w:tcBorders>
              <w:left w:val="single" w:sz="4" w:space="0" w:color="auto"/>
            </w:tcBorders>
            <w:shd w:val="clear" w:color="auto" w:fill="auto"/>
          </w:tcPr>
          <w:p w14:paraId="7EE4C4E1" w14:textId="77777777" w:rsidR="002A4DDF" w:rsidRPr="00937C8B" w:rsidRDefault="002A4DDF" w:rsidP="009110ED">
            <w:pPr>
              <w:rPr>
                <w:rFonts w:ascii="Arial" w:hAnsi="Arial" w:cs="Arial"/>
                <w:sz w:val="12"/>
                <w:szCs w:val="12"/>
              </w:rPr>
            </w:pPr>
          </w:p>
        </w:tc>
        <w:tc>
          <w:tcPr>
            <w:tcW w:w="1843" w:type="dxa"/>
            <w:shd w:val="clear" w:color="auto" w:fill="auto"/>
          </w:tcPr>
          <w:p w14:paraId="2961E1FA" w14:textId="77777777" w:rsidR="002A4DDF" w:rsidRPr="00937C8B" w:rsidRDefault="002A4DDF" w:rsidP="009110ED">
            <w:pPr>
              <w:rPr>
                <w:rFonts w:ascii="Arial" w:hAnsi="Arial" w:cs="Arial"/>
                <w:sz w:val="12"/>
                <w:szCs w:val="12"/>
              </w:rPr>
            </w:pPr>
          </w:p>
        </w:tc>
        <w:tc>
          <w:tcPr>
            <w:tcW w:w="2268" w:type="dxa"/>
            <w:shd w:val="clear" w:color="auto" w:fill="F2F2F2"/>
            <w:hideMark/>
          </w:tcPr>
          <w:p w14:paraId="2B26FF93" w14:textId="77777777" w:rsidR="002A4DDF" w:rsidRPr="00937C8B" w:rsidRDefault="002A4DDF" w:rsidP="009110ED">
            <w:pPr>
              <w:rPr>
                <w:rFonts w:ascii="Arial" w:hAnsi="Arial" w:cs="Arial"/>
                <w:sz w:val="12"/>
                <w:szCs w:val="12"/>
              </w:rPr>
            </w:pPr>
            <w:r>
              <w:rPr>
                <w:rFonts w:ascii="Arial" w:hAnsi="Arial"/>
                <w:sz w:val="12"/>
                <w:szCs w:val="12"/>
              </w:rPr>
              <w:t>Valle de Valdelaguna</w:t>
            </w:r>
          </w:p>
        </w:tc>
        <w:tc>
          <w:tcPr>
            <w:tcW w:w="2268" w:type="dxa"/>
            <w:tcBorders>
              <w:right w:val="single" w:sz="4" w:space="0" w:color="auto"/>
            </w:tcBorders>
            <w:shd w:val="clear" w:color="auto" w:fill="D9D9D9"/>
            <w:hideMark/>
          </w:tcPr>
          <w:p w14:paraId="12277662" w14:textId="77777777" w:rsidR="002A4DDF" w:rsidRPr="00937C8B" w:rsidRDefault="002A4DDF" w:rsidP="009110ED">
            <w:pPr>
              <w:rPr>
                <w:rFonts w:ascii="Arial" w:hAnsi="Arial" w:cs="Arial"/>
                <w:sz w:val="12"/>
                <w:szCs w:val="12"/>
              </w:rPr>
            </w:pPr>
          </w:p>
        </w:tc>
      </w:tr>
      <w:tr w:rsidR="002A4DDF" w:rsidRPr="00937C8B" w14:paraId="259EDF9E" w14:textId="77777777" w:rsidTr="00935676">
        <w:trPr>
          <w:cantSplit/>
        </w:trPr>
        <w:tc>
          <w:tcPr>
            <w:tcW w:w="1696" w:type="dxa"/>
            <w:tcBorders>
              <w:left w:val="single" w:sz="4" w:space="0" w:color="auto"/>
            </w:tcBorders>
            <w:shd w:val="clear" w:color="auto" w:fill="auto"/>
          </w:tcPr>
          <w:p w14:paraId="72DCA1C7" w14:textId="77777777" w:rsidR="002A4DDF" w:rsidRPr="00937C8B" w:rsidRDefault="002A4DDF" w:rsidP="009110ED">
            <w:pPr>
              <w:rPr>
                <w:rFonts w:ascii="Arial" w:hAnsi="Arial" w:cs="Arial"/>
                <w:sz w:val="12"/>
                <w:szCs w:val="12"/>
              </w:rPr>
            </w:pPr>
          </w:p>
        </w:tc>
        <w:tc>
          <w:tcPr>
            <w:tcW w:w="1843" w:type="dxa"/>
            <w:shd w:val="clear" w:color="auto" w:fill="auto"/>
          </w:tcPr>
          <w:p w14:paraId="15374B4D" w14:textId="77777777" w:rsidR="002A4DDF" w:rsidRPr="00937C8B" w:rsidRDefault="002A4DDF" w:rsidP="009110ED">
            <w:pPr>
              <w:rPr>
                <w:rFonts w:ascii="Arial" w:hAnsi="Arial" w:cs="Arial"/>
                <w:sz w:val="12"/>
                <w:szCs w:val="12"/>
              </w:rPr>
            </w:pPr>
          </w:p>
        </w:tc>
        <w:tc>
          <w:tcPr>
            <w:tcW w:w="2268" w:type="dxa"/>
            <w:shd w:val="clear" w:color="auto" w:fill="F2F2F2"/>
            <w:hideMark/>
          </w:tcPr>
          <w:p w14:paraId="05509421" w14:textId="77777777" w:rsidR="002A4DDF" w:rsidRPr="00937C8B" w:rsidRDefault="002A4DDF" w:rsidP="009110ED">
            <w:pPr>
              <w:rPr>
                <w:rFonts w:ascii="Arial" w:hAnsi="Arial" w:cs="Arial"/>
                <w:sz w:val="12"/>
                <w:szCs w:val="12"/>
              </w:rPr>
            </w:pPr>
            <w:r>
              <w:rPr>
                <w:rFonts w:ascii="Arial" w:hAnsi="Arial"/>
                <w:sz w:val="12"/>
                <w:szCs w:val="12"/>
              </w:rPr>
              <w:t>Valluércanes</w:t>
            </w:r>
          </w:p>
        </w:tc>
        <w:tc>
          <w:tcPr>
            <w:tcW w:w="2268" w:type="dxa"/>
            <w:tcBorders>
              <w:right w:val="single" w:sz="4" w:space="0" w:color="auto"/>
            </w:tcBorders>
            <w:shd w:val="clear" w:color="auto" w:fill="D9D9D9"/>
            <w:hideMark/>
          </w:tcPr>
          <w:p w14:paraId="7F4F7094" w14:textId="77777777" w:rsidR="002A4DDF" w:rsidRPr="00937C8B" w:rsidRDefault="002A4DDF" w:rsidP="009110ED">
            <w:pPr>
              <w:rPr>
                <w:rFonts w:ascii="Arial" w:hAnsi="Arial" w:cs="Arial"/>
                <w:sz w:val="12"/>
                <w:szCs w:val="12"/>
              </w:rPr>
            </w:pPr>
          </w:p>
        </w:tc>
      </w:tr>
      <w:tr w:rsidR="002A4DDF" w:rsidRPr="00937C8B" w14:paraId="726C2B0E" w14:textId="77777777" w:rsidTr="00935676">
        <w:trPr>
          <w:cantSplit/>
        </w:trPr>
        <w:tc>
          <w:tcPr>
            <w:tcW w:w="1696" w:type="dxa"/>
            <w:tcBorders>
              <w:left w:val="single" w:sz="4" w:space="0" w:color="auto"/>
            </w:tcBorders>
            <w:shd w:val="clear" w:color="auto" w:fill="auto"/>
          </w:tcPr>
          <w:p w14:paraId="5AF581FE" w14:textId="77777777" w:rsidR="002A4DDF" w:rsidRPr="00937C8B" w:rsidRDefault="002A4DDF" w:rsidP="009110ED">
            <w:pPr>
              <w:rPr>
                <w:rFonts w:ascii="Arial" w:hAnsi="Arial" w:cs="Arial"/>
                <w:sz w:val="12"/>
                <w:szCs w:val="12"/>
              </w:rPr>
            </w:pPr>
          </w:p>
        </w:tc>
        <w:tc>
          <w:tcPr>
            <w:tcW w:w="1843" w:type="dxa"/>
            <w:shd w:val="clear" w:color="auto" w:fill="auto"/>
          </w:tcPr>
          <w:p w14:paraId="1788E610" w14:textId="77777777" w:rsidR="002A4DDF" w:rsidRPr="00937C8B" w:rsidRDefault="002A4DDF" w:rsidP="009110ED">
            <w:pPr>
              <w:rPr>
                <w:rFonts w:ascii="Arial" w:hAnsi="Arial" w:cs="Arial"/>
                <w:sz w:val="12"/>
                <w:szCs w:val="12"/>
              </w:rPr>
            </w:pPr>
          </w:p>
        </w:tc>
        <w:tc>
          <w:tcPr>
            <w:tcW w:w="2268" w:type="dxa"/>
            <w:shd w:val="clear" w:color="auto" w:fill="F2F2F2"/>
            <w:hideMark/>
          </w:tcPr>
          <w:p w14:paraId="79EE9FCB" w14:textId="77777777" w:rsidR="002A4DDF" w:rsidRPr="00937C8B" w:rsidRDefault="002A4DDF" w:rsidP="009110ED">
            <w:pPr>
              <w:rPr>
                <w:rFonts w:ascii="Arial" w:hAnsi="Arial" w:cs="Arial"/>
                <w:sz w:val="12"/>
                <w:szCs w:val="12"/>
              </w:rPr>
            </w:pPr>
            <w:r>
              <w:rPr>
                <w:rFonts w:ascii="Arial" w:hAnsi="Arial"/>
                <w:sz w:val="12"/>
                <w:szCs w:val="12"/>
              </w:rPr>
              <w:t>Valmala</w:t>
            </w:r>
          </w:p>
        </w:tc>
        <w:tc>
          <w:tcPr>
            <w:tcW w:w="2268" w:type="dxa"/>
            <w:tcBorders>
              <w:right w:val="single" w:sz="4" w:space="0" w:color="auto"/>
            </w:tcBorders>
            <w:shd w:val="clear" w:color="auto" w:fill="D9D9D9"/>
            <w:hideMark/>
          </w:tcPr>
          <w:p w14:paraId="5275207D" w14:textId="77777777" w:rsidR="002A4DDF" w:rsidRPr="00937C8B" w:rsidRDefault="002A4DDF" w:rsidP="009110ED">
            <w:pPr>
              <w:rPr>
                <w:rFonts w:ascii="Arial" w:hAnsi="Arial" w:cs="Arial"/>
                <w:sz w:val="12"/>
                <w:szCs w:val="12"/>
              </w:rPr>
            </w:pPr>
          </w:p>
        </w:tc>
      </w:tr>
      <w:tr w:rsidR="002A4DDF" w:rsidRPr="00937C8B" w14:paraId="446F1620" w14:textId="77777777" w:rsidTr="00935676">
        <w:trPr>
          <w:cantSplit/>
        </w:trPr>
        <w:tc>
          <w:tcPr>
            <w:tcW w:w="1696" w:type="dxa"/>
            <w:tcBorders>
              <w:left w:val="single" w:sz="4" w:space="0" w:color="auto"/>
            </w:tcBorders>
            <w:shd w:val="clear" w:color="auto" w:fill="auto"/>
          </w:tcPr>
          <w:p w14:paraId="3ABCBB83" w14:textId="77777777" w:rsidR="002A4DDF" w:rsidRPr="00937C8B" w:rsidRDefault="002A4DDF" w:rsidP="009110ED">
            <w:pPr>
              <w:rPr>
                <w:rFonts w:ascii="Arial" w:hAnsi="Arial" w:cs="Arial"/>
                <w:sz w:val="12"/>
                <w:szCs w:val="12"/>
              </w:rPr>
            </w:pPr>
          </w:p>
        </w:tc>
        <w:tc>
          <w:tcPr>
            <w:tcW w:w="1843" w:type="dxa"/>
            <w:shd w:val="clear" w:color="auto" w:fill="auto"/>
          </w:tcPr>
          <w:p w14:paraId="75725B24" w14:textId="77777777" w:rsidR="002A4DDF" w:rsidRPr="00937C8B" w:rsidRDefault="002A4DDF" w:rsidP="009110ED">
            <w:pPr>
              <w:rPr>
                <w:rFonts w:ascii="Arial" w:hAnsi="Arial" w:cs="Arial"/>
                <w:sz w:val="12"/>
                <w:szCs w:val="12"/>
              </w:rPr>
            </w:pPr>
          </w:p>
        </w:tc>
        <w:tc>
          <w:tcPr>
            <w:tcW w:w="2268" w:type="dxa"/>
            <w:shd w:val="clear" w:color="auto" w:fill="F2F2F2"/>
            <w:hideMark/>
          </w:tcPr>
          <w:p w14:paraId="3F1F6A04" w14:textId="77777777" w:rsidR="002A4DDF" w:rsidRPr="00937C8B" w:rsidRDefault="002A4DDF" w:rsidP="009110ED">
            <w:pPr>
              <w:rPr>
                <w:rFonts w:ascii="Arial" w:hAnsi="Arial" w:cs="Arial"/>
                <w:sz w:val="12"/>
                <w:szCs w:val="12"/>
              </w:rPr>
            </w:pPr>
            <w:r>
              <w:rPr>
                <w:rFonts w:ascii="Arial" w:hAnsi="Arial"/>
                <w:sz w:val="12"/>
                <w:szCs w:val="12"/>
              </w:rPr>
              <w:t>Villaescusa la Sombría</w:t>
            </w:r>
          </w:p>
        </w:tc>
        <w:tc>
          <w:tcPr>
            <w:tcW w:w="2268" w:type="dxa"/>
            <w:tcBorders>
              <w:right w:val="single" w:sz="4" w:space="0" w:color="auto"/>
            </w:tcBorders>
            <w:shd w:val="clear" w:color="auto" w:fill="D9D9D9"/>
            <w:hideMark/>
          </w:tcPr>
          <w:p w14:paraId="3332F1B2" w14:textId="77777777" w:rsidR="002A4DDF" w:rsidRPr="00937C8B" w:rsidRDefault="002A4DDF" w:rsidP="009110ED">
            <w:pPr>
              <w:rPr>
                <w:rFonts w:ascii="Arial" w:hAnsi="Arial" w:cs="Arial"/>
                <w:sz w:val="12"/>
                <w:szCs w:val="12"/>
              </w:rPr>
            </w:pPr>
          </w:p>
        </w:tc>
      </w:tr>
      <w:tr w:rsidR="002A4DDF" w:rsidRPr="00937C8B" w14:paraId="332CE528" w14:textId="77777777" w:rsidTr="00935676">
        <w:trPr>
          <w:cantSplit/>
        </w:trPr>
        <w:tc>
          <w:tcPr>
            <w:tcW w:w="1696" w:type="dxa"/>
            <w:tcBorders>
              <w:left w:val="single" w:sz="4" w:space="0" w:color="auto"/>
            </w:tcBorders>
            <w:shd w:val="clear" w:color="auto" w:fill="auto"/>
          </w:tcPr>
          <w:p w14:paraId="74B0A901" w14:textId="77777777" w:rsidR="002A4DDF" w:rsidRPr="00937C8B" w:rsidRDefault="002A4DDF" w:rsidP="009110ED">
            <w:pPr>
              <w:rPr>
                <w:rFonts w:ascii="Arial" w:hAnsi="Arial" w:cs="Arial"/>
                <w:sz w:val="12"/>
                <w:szCs w:val="12"/>
              </w:rPr>
            </w:pPr>
          </w:p>
        </w:tc>
        <w:tc>
          <w:tcPr>
            <w:tcW w:w="1843" w:type="dxa"/>
            <w:shd w:val="clear" w:color="auto" w:fill="auto"/>
          </w:tcPr>
          <w:p w14:paraId="38509455" w14:textId="77777777" w:rsidR="002A4DDF" w:rsidRPr="00937C8B" w:rsidRDefault="002A4DDF" w:rsidP="009110ED">
            <w:pPr>
              <w:rPr>
                <w:rFonts w:ascii="Arial" w:hAnsi="Arial" w:cs="Arial"/>
                <w:sz w:val="12"/>
                <w:szCs w:val="12"/>
              </w:rPr>
            </w:pPr>
          </w:p>
        </w:tc>
        <w:tc>
          <w:tcPr>
            <w:tcW w:w="2268" w:type="dxa"/>
            <w:shd w:val="clear" w:color="auto" w:fill="F2F2F2"/>
            <w:hideMark/>
          </w:tcPr>
          <w:p w14:paraId="06575C38" w14:textId="77777777" w:rsidR="002A4DDF" w:rsidRPr="00937C8B" w:rsidRDefault="002A4DDF" w:rsidP="009110ED">
            <w:pPr>
              <w:rPr>
                <w:rFonts w:ascii="Arial" w:hAnsi="Arial" w:cs="Arial"/>
                <w:sz w:val="12"/>
                <w:szCs w:val="12"/>
              </w:rPr>
            </w:pPr>
            <w:r>
              <w:rPr>
                <w:rFonts w:ascii="Arial" w:hAnsi="Arial"/>
                <w:sz w:val="12"/>
                <w:szCs w:val="12"/>
              </w:rPr>
              <w:t>Villaespasa</w:t>
            </w:r>
          </w:p>
        </w:tc>
        <w:tc>
          <w:tcPr>
            <w:tcW w:w="2268" w:type="dxa"/>
            <w:tcBorders>
              <w:right w:val="single" w:sz="4" w:space="0" w:color="auto"/>
            </w:tcBorders>
            <w:shd w:val="clear" w:color="auto" w:fill="D9D9D9"/>
            <w:hideMark/>
          </w:tcPr>
          <w:p w14:paraId="607993ED" w14:textId="77777777" w:rsidR="002A4DDF" w:rsidRPr="00937C8B" w:rsidRDefault="002A4DDF" w:rsidP="009110ED">
            <w:pPr>
              <w:rPr>
                <w:rFonts w:ascii="Arial" w:hAnsi="Arial" w:cs="Arial"/>
                <w:sz w:val="12"/>
                <w:szCs w:val="12"/>
              </w:rPr>
            </w:pPr>
          </w:p>
        </w:tc>
      </w:tr>
      <w:tr w:rsidR="002A4DDF" w:rsidRPr="00937C8B" w14:paraId="0552E90A" w14:textId="77777777" w:rsidTr="00935676">
        <w:trPr>
          <w:cantSplit/>
        </w:trPr>
        <w:tc>
          <w:tcPr>
            <w:tcW w:w="1696" w:type="dxa"/>
            <w:tcBorders>
              <w:left w:val="single" w:sz="4" w:space="0" w:color="auto"/>
            </w:tcBorders>
            <w:shd w:val="clear" w:color="auto" w:fill="auto"/>
          </w:tcPr>
          <w:p w14:paraId="5C60053F" w14:textId="77777777" w:rsidR="002A4DDF" w:rsidRPr="00937C8B" w:rsidRDefault="002A4DDF" w:rsidP="009110ED">
            <w:pPr>
              <w:rPr>
                <w:rFonts w:ascii="Arial" w:hAnsi="Arial" w:cs="Arial"/>
                <w:sz w:val="12"/>
                <w:szCs w:val="12"/>
              </w:rPr>
            </w:pPr>
          </w:p>
        </w:tc>
        <w:tc>
          <w:tcPr>
            <w:tcW w:w="1843" w:type="dxa"/>
            <w:shd w:val="clear" w:color="auto" w:fill="auto"/>
          </w:tcPr>
          <w:p w14:paraId="6AB63A4B" w14:textId="77777777" w:rsidR="002A4DDF" w:rsidRPr="00937C8B" w:rsidRDefault="002A4DDF" w:rsidP="009110ED">
            <w:pPr>
              <w:rPr>
                <w:rFonts w:ascii="Arial" w:hAnsi="Arial" w:cs="Arial"/>
                <w:sz w:val="12"/>
                <w:szCs w:val="12"/>
              </w:rPr>
            </w:pPr>
          </w:p>
        </w:tc>
        <w:tc>
          <w:tcPr>
            <w:tcW w:w="2268" w:type="dxa"/>
            <w:shd w:val="clear" w:color="auto" w:fill="F2F2F2"/>
            <w:hideMark/>
          </w:tcPr>
          <w:p w14:paraId="6BE74B7A" w14:textId="77777777" w:rsidR="002A4DDF" w:rsidRPr="00937C8B" w:rsidRDefault="002A4DDF" w:rsidP="009110ED">
            <w:pPr>
              <w:rPr>
                <w:rFonts w:ascii="Arial" w:hAnsi="Arial" w:cs="Arial"/>
                <w:sz w:val="12"/>
                <w:szCs w:val="12"/>
              </w:rPr>
            </w:pPr>
            <w:r>
              <w:rPr>
                <w:rFonts w:ascii="Arial" w:hAnsi="Arial"/>
                <w:sz w:val="12"/>
                <w:szCs w:val="12"/>
              </w:rPr>
              <w:t>Villafranca Montes de Oca</w:t>
            </w:r>
          </w:p>
        </w:tc>
        <w:tc>
          <w:tcPr>
            <w:tcW w:w="2268" w:type="dxa"/>
            <w:tcBorders>
              <w:right w:val="single" w:sz="4" w:space="0" w:color="auto"/>
            </w:tcBorders>
            <w:shd w:val="clear" w:color="auto" w:fill="D9D9D9"/>
            <w:hideMark/>
          </w:tcPr>
          <w:p w14:paraId="2347674E" w14:textId="77777777" w:rsidR="002A4DDF" w:rsidRPr="00937C8B" w:rsidRDefault="002A4DDF" w:rsidP="009110ED">
            <w:pPr>
              <w:rPr>
                <w:rFonts w:ascii="Arial" w:hAnsi="Arial" w:cs="Arial"/>
                <w:sz w:val="12"/>
                <w:szCs w:val="12"/>
              </w:rPr>
            </w:pPr>
          </w:p>
        </w:tc>
      </w:tr>
      <w:tr w:rsidR="002A4DDF" w:rsidRPr="00937C8B" w14:paraId="7815A4D1" w14:textId="77777777" w:rsidTr="00935676">
        <w:trPr>
          <w:cantSplit/>
        </w:trPr>
        <w:tc>
          <w:tcPr>
            <w:tcW w:w="1696" w:type="dxa"/>
            <w:tcBorders>
              <w:left w:val="single" w:sz="4" w:space="0" w:color="auto"/>
            </w:tcBorders>
            <w:shd w:val="clear" w:color="auto" w:fill="auto"/>
          </w:tcPr>
          <w:p w14:paraId="58C2E5F8" w14:textId="77777777" w:rsidR="002A4DDF" w:rsidRPr="00937C8B" w:rsidRDefault="002A4DDF" w:rsidP="009110ED">
            <w:pPr>
              <w:rPr>
                <w:rFonts w:ascii="Arial" w:hAnsi="Arial" w:cs="Arial"/>
                <w:sz w:val="12"/>
                <w:szCs w:val="12"/>
              </w:rPr>
            </w:pPr>
          </w:p>
        </w:tc>
        <w:tc>
          <w:tcPr>
            <w:tcW w:w="1843" w:type="dxa"/>
            <w:shd w:val="clear" w:color="auto" w:fill="auto"/>
          </w:tcPr>
          <w:p w14:paraId="47FD43EB" w14:textId="77777777" w:rsidR="002A4DDF" w:rsidRPr="00937C8B" w:rsidRDefault="002A4DDF" w:rsidP="009110ED">
            <w:pPr>
              <w:rPr>
                <w:rFonts w:ascii="Arial" w:hAnsi="Arial" w:cs="Arial"/>
                <w:sz w:val="12"/>
                <w:szCs w:val="12"/>
              </w:rPr>
            </w:pPr>
          </w:p>
        </w:tc>
        <w:tc>
          <w:tcPr>
            <w:tcW w:w="2268" w:type="dxa"/>
            <w:shd w:val="clear" w:color="auto" w:fill="F2F2F2"/>
            <w:hideMark/>
          </w:tcPr>
          <w:p w14:paraId="5A236CA1" w14:textId="77777777" w:rsidR="002A4DDF" w:rsidRPr="00937C8B" w:rsidRDefault="002A4DDF" w:rsidP="009110ED">
            <w:pPr>
              <w:rPr>
                <w:rFonts w:ascii="Arial" w:hAnsi="Arial" w:cs="Arial"/>
                <w:sz w:val="12"/>
                <w:szCs w:val="12"/>
              </w:rPr>
            </w:pPr>
            <w:r>
              <w:rPr>
                <w:rFonts w:ascii="Arial" w:hAnsi="Arial"/>
                <w:sz w:val="12"/>
                <w:szCs w:val="12"/>
              </w:rPr>
              <w:t>Villagalijo</w:t>
            </w:r>
          </w:p>
        </w:tc>
        <w:tc>
          <w:tcPr>
            <w:tcW w:w="2268" w:type="dxa"/>
            <w:tcBorders>
              <w:right w:val="single" w:sz="4" w:space="0" w:color="auto"/>
            </w:tcBorders>
            <w:shd w:val="clear" w:color="auto" w:fill="D9D9D9"/>
            <w:hideMark/>
          </w:tcPr>
          <w:p w14:paraId="1C0B49A9" w14:textId="77777777" w:rsidR="002A4DDF" w:rsidRPr="00937C8B" w:rsidRDefault="002A4DDF" w:rsidP="009110ED">
            <w:pPr>
              <w:rPr>
                <w:rFonts w:ascii="Arial" w:hAnsi="Arial" w:cs="Arial"/>
                <w:sz w:val="12"/>
                <w:szCs w:val="12"/>
              </w:rPr>
            </w:pPr>
          </w:p>
        </w:tc>
      </w:tr>
      <w:tr w:rsidR="002A4DDF" w:rsidRPr="00937C8B" w14:paraId="2B2FF865" w14:textId="77777777" w:rsidTr="00935676">
        <w:trPr>
          <w:cantSplit/>
        </w:trPr>
        <w:tc>
          <w:tcPr>
            <w:tcW w:w="1696" w:type="dxa"/>
            <w:tcBorders>
              <w:left w:val="single" w:sz="4" w:space="0" w:color="auto"/>
            </w:tcBorders>
            <w:shd w:val="clear" w:color="auto" w:fill="auto"/>
          </w:tcPr>
          <w:p w14:paraId="7160F09E" w14:textId="77777777" w:rsidR="002A4DDF" w:rsidRPr="00937C8B" w:rsidRDefault="002A4DDF" w:rsidP="009110ED">
            <w:pPr>
              <w:rPr>
                <w:rFonts w:ascii="Arial" w:hAnsi="Arial" w:cs="Arial"/>
                <w:sz w:val="12"/>
                <w:szCs w:val="12"/>
              </w:rPr>
            </w:pPr>
          </w:p>
        </w:tc>
        <w:tc>
          <w:tcPr>
            <w:tcW w:w="1843" w:type="dxa"/>
            <w:shd w:val="clear" w:color="auto" w:fill="auto"/>
          </w:tcPr>
          <w:p w14:paraId="2EFBBFA1" w14:textId="77777777" w:rsidR="002A4DDF" w:rsidRPr="00937C8B" w:rsidRDefault="002A4DDF" w:rsidP="009110ED">
            <w:pPr>
              <w:rPr>
                <w:rFonts w:ascii="Arial" w:hAnsi="Arial" w:cs="Arial"/>
                <w:sz w:val="12"/>
                <w:szCs w:val="12"/>
              </w:rPr>
            </w:pPr>
          </w:p>
        </w:tc>
        <w:tc>
          <w:tcPr>
            <w:tcW w:w="2268" w:type="dxa"/>
            <w:shd w:val="clear" w:color="auto" w:fill="F2F2F2"/>
            <w:hideMark/>
          </w:tcPr>
          <w:p w14:paraId="0AF3626D" w14:textId="77777777" w:rsidR="002A4DDF" w:rsidRPr="00937C8B" w:rsidRDefault="002A4DDF" w:rsidP="009110ED">
            <w:pPr>
              <w:rPr>
                <w:rFonts w:ascii="Arial" w:hAnsi="Arial" w:cs="Arial"/>
                <w:sz w:val="12"/>
                <w:szCs w:val="12"/>
              </w:rPr>
            </w:pPr>
            <w:r>
              <w:rPr>
                <w:rFonts w:ascii="Arial" w:hAnsi="Arial"/>
                <w:sz w:val="12"/>
                <w:szCs w:val="12"/>
              </w:rPr>
              <w:t>Villambistia</w:t>
            </w:r>
          </w:p>
        </w:tc>
        <w:tc>
          <w:tcPr>
            <w:tcW w:w="2268" w:type="dxa"/>
            <w:tcBorders>
              <w:right w:val="single" w:sz="4" w:space="0" w:color="auto"/>
            </w:tcBorders>
            <w:shd w:val="clear" w:color="auto" w:fill="D9D9D9"/>
            <w:hideMark/>
          </w:tcPr>
          <w:p w14:paraId="3613A865" w14:textId="77777777" w:rsidR="002A4DDF" w:rsidRPr="00937C8B" w:rsidRDefault="002A4DDF" w:rsidP="009110ED">
            <w:pPr>
              <w:rPr>
                <w:rFonts w:ascii="Arial" w:hAnsi="Arial" w:cs="Arial"/>
                <w:sz w:val="12"/>
                <w:szCs w:val="12"/>
              </w:rPr>
            </w:pPr>
          </w:p>
        </w:tc>
      </w:tr>
      <w:tr w:rsidR="002A4DDF" w:rsidRPr="00937C8B" w14:paraId="67E36FCF" w14:textId="77777777" w:rsidTr="00935676">
        <w:trPr>
          <w:cantSplit/>
        </w:trPr>
        <w:tc>
          <w:tcPr>
            <w:tcW w:w="1696" w:type="dxa"/>
            <w:tcBorders>
              <w:left w:val="single" w:sz="4" w:space="0" w:color="auto"/>
            </w:tcBorders>
            <w:shd w:val="clear" w:color="auto" w:fill="auto"/>
          </w:tcPr>
          <w:p w14:paraId="6A58FC07" w14:textId="77777777" w:rsidR="002A4DDF" w:rsidRPr="00937C8B" w:rsidRDefault="002A4DDF" w:rsidP="009110ED">
            <w:pPr>
              <w:rPr>
                <w:rFonts w:ascii="Arial" w:hAnsi="Arial" w:cs="Arial"/>
                <w:sz w:val="12"/>
                <w:szCs w:val="12"/>
              </w:rPr>
            </w:pPr>
          </w:p>
        </w:tc>
        <w:tc>
          <w:tcPr>
            <w:tcW w:w="1843" w:type="dxa"/>
            <w:shd w:val="clear" w:color="auto" w:fill="auto"/>
          </w:tcPr>
          <w:p w14:paraId="72C9815D" w14:textId="77777777" w:rsidR="002A4DDF" w:rsidRPr="00937C8B" w:rsidRDefault="002A4DDF" w:rsidP="009110ED">
            <w:pPr>
              <w:rPr>
                <w:rFonts w:ascii="Arial" w:hAnsi="Arial" w:cs="Arial"/>
                <w:sz w:val="12"/>
                <w:szCs w:val="12"/>
              </w:rPr>
            </w:pPr>
          </w:p>
        </w:tc>
        <w:tc>
          <w:tcPr>
            <w:tcW w:w="2268" w:type="dxa"/>
            <w:shd w:val="clear" w:color="auto" w:fill="F2F2F2"/>
            <w:hideMark/>
          </w:tcPr>
          <w:p w14:paraId="3774D169" w14:textId="77777777" w:rsidR="002A4DDF" w:rsidRPr="00937C8B" w:rsidRDefault="002A4DDF" w:rsidP="009110ED">
            <w:pPr>
              <w:rPr>
                <w:rFonts w:ascii="Arial" w:hAnsi="Arial" w:cs="Arial"/>
                <w:sz w:val="12"/>
                <w:szCs w:val="12"/>
              </w:rPr>
            </w:pPr>
            <w:r>
              <w:rPr>
                <w:rFonts w:ascii="Arial" w:hAnsi="Arial"/>
                <w:sz w:val="12"/>
                <w:szCs w:val="12"/>
              </w:rPr>
              <w:t>Villamiel de la Sierra</w:t>
            </w:r>
          </w:p>
        </w:tc>
        <w:tc>
          <w:tcPr>
            <w:tcW w:w="2268" w:type="dxa"/>
            <w:tcBorders>
              <w:right w:val="single" w:sz="4" w:space="0" w:color="auto"/>
            </w:tcBorders>
            <w:shd w:val="clear" w:color="auto" w:fill="D9D9D9"/>
            <w:hideMark/>
          </w:tcPr>
          <w:p w14:paraId="1792701B" w14:textId="77777777" w:rsidR="002A4DDF" w:rsidRPr="00937C8B" w:rsidRDefault="002A4DDF" w:rsidP="009110ED">
            <w:pPr>
              <w:rPr>
                <w:rFonts w:ascii="Arial" w:hAnsi="Arial" w:cs="Arial"/>
                <w:sz w:val="12"/>
                <w:szCs w:val="12"/>
              </w:rPr>
            </w:pPr>
          </w:p>
        </w:tc>
      </w:tr>
      <w:tr w:rsidR="002A4DDF" w:rsidRPr="00937C8B" w14:paraId="380D6BEF" w14:textId="77777777" w:rsidTr="00935676">
        <w:trPr>
          <w:cantSplit/>
        </w:trPr>
        <w:tc>
          <w:tcPr>
            <w:tcW w:w="1696" w:type="dxa"/>
            <w:tcBorders>
              <w:left w:val="single" w:sz="4" w:space="0" w:color="auto"/>
            </w:tcBorders>
            <w:shd w:val="clear" w:color="auto" w:fill="auto"/>
          </w:tcPr>
          <w:p w14:paraId="1B45344A" w14:textId="77777777" w:rsidR="002A4DDF" w:rsidRPr="00937C8B" w:rsidRDefault="002A4DDF" w:rsidP="009110ED">
            <w:pPr>
              <w:rPr>
                <w:rFonts w:ascii="Arial" w:hAnsi="Arial" w:cs="Arial"/>
                <w:sz w:val="12"/>
                <w:szCs w:val="12"/>
              </w:rPr>
            </w:pPr>
          </w:p>
        </w:tc>
        <w:tc>
          <w:tcPr>
            <w:tcW w:w="1843" w:type="dxa"/>
            <w:shd w:val="clear" w:color="auto" w:fill="auto"/>
          </w:tcPr>
          <w:p w14:paraId="48F3B76D" w14:textId="77777777" w:rsidR="002A4DDF" w:rsidRPr="00937C8B" w:rsidRDefault="002A4DDF" w:rsidP="009110ED">
            <w:pPr>
              <w:rPr>
                <w:rFonts w:ascii="Arial" w:hAnsi="Arial" w:cs="Arial"/>
                <w:sz w:val="12"/>
                <w:szCs w:val="12"/>
              </w:rPr>
            </w:pPr>
          </w:p>
        </w:tc>
        <w:tc>
          <w:tcPr>
            <w:tcW w:w="2268" w:type="dxa"/>
            <w:shd w:val="clear" w:color="auto" w:fill="F2F2F2"/>
            <w:hideMark/>
          </w:tcPr>
          <w:p w14:paraId="48D0A172" w14:textId="77777777" w:rsidR="002A4DDF" w:rsidRPr="00937C8B" w:rsidRDefault="002A4DDF" w:rsidP="009110ED">
            <w:pPr>
              <w:rPr>
                <w:rFonts w:ascii="Arial" w:hAnsi="Arial" w:cs="Arial"/>
                <w:sz w:val="12"/>
                <w:szCs w:val="12"/>
              </w:rPr>
            </w:pPr>
            <w:r>
              <w:rPr>
                <w:rFonts w:ascii="Arial" w:hAnsi="Arial"/>
                <w:sz w:val="12"/>
                <w:szCs w:val="12"/>
              </w:rPr>
              <w:t>Villasur de Herreros</w:t>
            </w:r>
          </w:p>
        </w:tc>
        <w:tc>
          <w:tcPr>
            <w:tcW w:w="2268" w:type="dxa"/>
            <w:tcBorders>
              <w:right w:val="single" w:sz="4" w:space="0" w:color="auto"/>
            </w:tcBorders>
            <w:shd w:val="clear" w:color="auto" w:fill="D9D9D9"/>
            <w:hideMark/>
          </w:tcPr>
          <w:p w14:paraId="06CE6BE2" w14:textId="77777777" w:rsidR="002A4DDF" w:rsidRPr="00937C8B" w:rsidRDefault="002A4DDF" w:rsidP="009110ED">
            <w:pPr>
              <w:rPr>
                <w:rFonts w:ascii="Arial" w:hAnsi="Arial" w:cs="Arial"/>
                <w:sz w:val="12"/>
                <w:szCs w:val="12"/>
              </w:rPr>
            </w:pPr>
          </w:p>
        </w:tc>
      </w:tr>
      <w:tr w:rsidR="002A4DDF" w:rsidRPr="00937C8B" w14:paraId="1E96F396" w14:textId="77777777" w:rsidTr="00935676">
        <w:trPr>
          <w:cantSplit/>
        </w:trPr>
        <w:tc>
          <w:tcPr>
            <w:tcW w:w="1696" w:type="dxa"/>
            <w:tcBorders>
              <w:left w:val="single" w:sz="4" w:space="0" w:color="auto"/>
            </w:tcBorders>
            <w:shd w:val="clear" w:color="auto" w:fill="auto"/>
          </w:tcPr>
          <w:p w14:paraId="75F27774" w14:textId="77777777" w:rsidR="002A4DDF" w:rsidRPr="00937C8B" w:rsidRDefault="002A4DDF" w:rsidP="009110ED">
            <w:pPr>
              <w:rPr>
                <w:rFonts w:ascii="Arial" w:hAnsi="Arial" w:cs="Arial"/>
                <w:sz w:val="12"/>
                <w:szCs w:val="12"/>
              </w:rPr>
            </w:pPr>
          </w:p>
        </w:tc>
        <w:tc>
          <w:tcPr>
            <w:tcW w:w="1843" w:type="dxa"/>
            <w:shd w:val="clear" w:color="auto" w:fill="auto"/>
          </w:tcPr>
          <w:p w14:paraId="71DD8FDA" w14:textId="77777777" w:rsidR="002A4DDF" w:rsidRPr="00937C8B" w:rsidRDefault="002A4DDF" w:rsidP="009110ED">
            <w:pPr>
              <w:rPr>
                <w:rFonts w:ascii="Arial" w:hAnsi="Arial" w:cs="Arial"/>
                <w:sz w:val="12"/>
                <w:szCs w:val="12"/>
              </w:rPr>
            </w:pPr>
          </w:p>
        </w:tc>
        <w:tc>
          <w:tcPr>
            <w:tcW w:w="2268" w:type="dxa"/>
            <w:shd w:val="clear" w:color="auto" w:fill="F2F2F2"/>
            <w:hideMark/>
          </w:tcPr>
          <w:p w14:paraId="5BE4A1FE" w14:textId="77777777" w:rsidR="002A4DDF" w:rsidRPr="00937C8B" w:rsidRDefault="002A4DDF" w:rsidP="009110ED">
            <w:pPr>
              <w:rPr>
                <w:rFonts w:ascii="Arial" w:hAnsi="Arial" w:cs="Arial"/>
                <w:sz w:val="12"/>
                <w:szCs w:val="12"/>
              </w:rPr>
            </w:pPr>
            <w:r>
              <w:rPr>
                <w:rFonts w:ascii="Arial" w:hAnsi="Arial"/>
                <w:sz w:val="12"/>
                <w:szCs w:val="12"/>
              </w:rPr>
              <w:t>Villegas</w:t>
            </w:r>
          </w:p>
        </w:tc>
        <w:tc>
          <w:tcPr>
            <w:tcW w:w="2268" w:type="dxa"/>
            <w:tcBorders>
              <w:right w:val="single" w:sz="4" w:space="0" w:color="auto"/>
            </w:tcBorders>
            <w:shd w:val="clear" w:color="auto" w:fill="D9D9D9"/>
            <w:hideMark/>
          </w:tcPr>
          <w:p w14:paraId="6D277A97" w14:textId="77777777" w:rsidR="002A4DDF" w:rsidRPr="00937C8B" w:rsidRDefault="002A4DDF" w:rsidP="009110ED">
            <w:pPr>
              <w:rPr>
                <w:rFonts w:ascii="Arial" w:hAnsi="Arial" w:cs="Arial"/>
                <w:sz w:val="12"/>
                <w:szCs w:val="12"/>
              </w:rPr>
            </w:pPr>
          </w:p>
        </w:tc>
      </w:tr>
      <w:tr w:rsidR="002A4DDF" w:rsidRPr="00937C8B" w14:paraId="14DC60D9" w14:textId="77777777" w:rsidTr="00935676">
        <w:trPr>
          <w:cantSplit/>
        </w:trPr>
        <w:tc>
          <w:tcPr>
            <w:tcW w:w="1696" w:type="dxa"/>
            <w:tcBorders>
              <w:left w:val="single" w:sz="4" w:space="0" w:color="auto"/>
            </w:tcBorders>
            <w:shd w:val="clear" w:color="auto" w:fill="auto"/>
          </w:tcPr>
          <w:p w14:paraId="200B775E" w14:textId="77777777" w:rsidR="002A4DDF" w:rsidRPr="00937C8B" w:rsidRDefault="002A4DDF" w:rsidP="009110ED">
            <w:pPr>
              <w:rPr>
                <w:rFonts w:ascii="Arial" w:hAnsi="Arial" w:cs="Arial"/>
                <w:sz w:val="12"/>
                <w:szCs w:val="12"/>
              </w:rPr>
            </w:pPr>
          </w:p>
        </w:tc>
        <w:tc>
          <w:tcPr>
            <w:tcW w:w="1843" w:type="dxa"/>
            <w:shd w:val="clear" w:color="auto" w:fill="auto"/>
          </w:tcPr>
          <w:p w14:paraId="72EF1BA0" w14:textId="77777777" w:rsidR="002A4DDF" w:rsidRPr="00937C8B" w:rsidRDefault="002A4DDF" w:rsidP="009110ED">
            <w:pPr>
              <w:rPr>
                <w:rFonts w:ascii="Arial" w:hAnsi="Arial" w:cs="Arial"/>
                <w:sz w:val="12"/>
                <w:szCs w:val="12"/>
              </w:rPr>
            </w:pPr>
          </w:p>
        </w:tc>
        <w:tc>
          <w:tcPr>
            <w:tcW w:w="2268" w:type="dxa"/>
            <w:shd w:val="clear" w:color="auto" w:fill="F2F2F2"/>
            <w:hideMark/>
          </w:tcPr>
          <w:p w14:paraId="5A03B818" w14:textId="77777777" w:rsidR="002A4DDF" w:rsidRPr="00937C8B" w:rsidRDefault="002A4DDF" w:rsidP="009110ED">
            <w:pPr>
              <w:rPr>
                <w:rFonts w:ascii="Arial" w:hAnsi="Arial" w:cs="Arial"/>
                <w:sz w:val="12"/>
                <w:szCs w:val="12"/>
              </w:rPr>
            </w:pPr>
            <w:r>
              <w:rPr>
                <w:rFonts w:ascii="Arial" w:hAnsi="Arial"/>
                <w:sz w:val="12"/>
                <w:szCs w:val="12"/>
              </w:rPr>
              <w:t>Villoruebo</w:t>
            </w:r>
          </w:p>
        </w:tc>
        <w:tc>
          <w:tcPr>
            <w:tcW w:w="2268" w:type="dxa"/>
            <w:tcBorders>
              <w:right w:val="single" w:sz="4" w:space="0" w:color="auto"/>
            </w:tcBorders>
            <w:shd w:val="clear" w:color="auto" w:fill="D9D9D9"/>
            <w:hideMark/>
          </w:tcPr>
          <w:p w14:paraId="5BBA4B02" w14:textId="77777777" w:rsidR="002A4DDF" w:rsidRPr="00937C8B" w:rsidRDefault="002A4DDF" w:rsidP="009110ED">
            <w:pPr>
              <w:rPr>
                <w:rFonts w:ascii="Arial" w:hAnsi="Arial" w:cs="Arial"/>
                <w:sz w:val="12"/>
                <w:szCs w:val="12"/>
              </w:rPr>
            </w:pPr>
          </w:p>
        </w:tc>
      </w:tr>
      <w:tr w:rsidR="002A4DDF" w:rsidRPr="00937C8B" w14:paraId="10600124" w14:textId="77777777" w:rsidTr="00935676">
        <w:trPr>
          <w:cantSplit/>
        </w:trPr>
        <w:tc>
          <w:tcPr>
            <w:tcW w:w="1696" w:type="dxa"/>
            <w:tcBorders>
              <w:left w:val="single" w:sz="4" w:space="0" w:color="auto"/>
            </w:tcBorders>
            <w:shd w:val="clear" w:color="auto" w:fill="auto"/>
          </w:tcPr>
          <w:p w14:paraId="657C257E" w14:textId="77777777" w:rsidR="002A4DDF" w:rsidRPr="00937C8B" w:rsidRDefault="002A4DDF" w:rsidP="009110ED">
            <w:pPr>
              <w:rPr>
                <w:rFonts w:ascii="Arial" w:hAnsi="Arial" w:cs="Arial"/>
                <w:sz w:val="12"/>
                <w:szCs w:val="12"/>
              </w:rPr>
            </w:pPr>
          </w:p>
        </w:tc>
        <w:tc>
          <w:tcPr>
            <w:tcW w:w="1843" w:type="dxa"/>
            <w:shd w:val="clear" w:color="auto" w:fill="auto"/>
          </w:tcPr>
          <w:p w14:paraId="66B7499C" w14:textId="77777777" w:rsidR="002A4DDF" w:rsidRPr="00937C8B" w:rsidRDefault="002A4DDF" w:rsidP="009110ED">
            <w:pPr>
              <w:rPr>
                <w:rFonts w:ascii="Arial" w:hAnsi="Arial" w:cs="Arial"/>
                <w:sz w:val="12"/>
                <w:szCs w:val="12"/>
              </w:rPr>
            </w:pPr>
          </w:p>
        </w:tc>
        <w:tc>
          <w:tcPr>
            <w:tcW w:w="2268" w:type="dxa"/>
            <w:shd w:val="clear" w:color="auto" w:fill="F2F2F2"/>
            <w:hideMark/>
          </w:tcPr>
          <w:p w14:paraId="208FC2A9" w14:textId="77777777" w:rsidR="002A4DDF" w:rsidRPr="00937C8B" w:rsidRDefault="002A4DDF" w:rsidP="009110ED">
            <w:pPr>
              <w:rPr>
                <w:rFonts w:ascii="Arial" w:hAnsi="Arial" w:cs="Arial"/>
                <w:sz w:val="12"/>
                <w:szCs w:val="12"/>
              </w:rPr>
            </w:pPr>
            <w:r>
              <w:rPr>
                <w:rFonts w:ascii="Arial" w:hAnsi="Arial"/>
                <w:sz w:val="12"/>
                <w:szCs w:val="12"/>
              </w:rPr>
              <w:t>Viloria de Rioja</w:t>
            </w:r>
          </w:p>
        </w:tc>
        <w:tc>
          <w:tcPr>
            <w:tcW w:w="2268" w:type="dxa"/>
            <w:tcBorders>
              <w:right w:val="single" w:sz="4" w:space="0" w:color="auto"/>
            </w:tcBorders>
            <w:shd w:val="clear" w:color="auto" w:fill="D9D9D9"/>
            <w:hideMark/>
          </w:tcPr>
          <w:p w14:paraId="462B90D4" w14:textId="77777777" w:rsidR="002A4DDF" w:rsidRPr="00937C8B" w:rsidRDefault="002A4DDF" w:rsidP="009110ED">
            <w:pPr>
              <w:rPr>
                <w:rFonts w:ascii="Arial" w:hAnsi="Arial" w:cs="Arial"/>
                <w:sz w:val="12"/>
                <w:szCs w:val="12"/>
              </w:rPr>
            </w:pPr>
          </w:p>
        </w:tc>
      </w:tr>
      <w:tr w:rsidR="002A4DDF" w:rsidRPr="00937C8B" w14:paraId="6EE6AEEB" w14:textId="77777777" w:rsidTr="00935676">
        <w:trPr>
          <w:cantSplit/>
        </w:trPr>
        <w:tc>
          <w:tcPr>
            <w:tcW w:w="1696" w:type="dxa"/>
            <w:tcBorders>
              <w:left w:val="single" w:sz="4" w:space="0" w:color="auto"/>
              <w:bottom w:val="single" w:sz="4" w:space="0" w:color="auto"/>
            </w:tcBorders>
            <w:shd w:val="clear" w:color="auto" w:fill="auto"/>
            <w:hideMark/>
          </w:tcPr>
          <w:p w14:paraId="4E1879AD"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bottom w:val="single" w:sz="4" w:space="0" w:color="auto"/>
            </w:tcBorders>
            <w:shd w:val="clear" w:color="auto" w:fill="auto"/>
            <w:hideMark/>
          </w:tcPr>
          <w:p w14:paraId="1C00B326" w14:textId="77777777" w:rsidR="002A4DDF" w:rsidRPr="00937C8B" w:rsidRDefault="002A4DDF" w:rsidP="009110ED">
            <w:pPr>
              <w:rPr>
                <w:rFonts w:ascii="Arial" w:hAnsi="Arial" w:cs="Arial"/>
                <w:sz w:val="12"/>
                <w:szCs w:val="12"/>
              </w:rPr>
            </w:pPr>
            <w:r>
              <w:rPr>
                <w:rFonts w:ascii="Arial" w:hAnsi="Arial"/>
                <w:sz w:val="12"/>
                <w:szCs w:val="12"/>
              </w:rPr>
              <w:t>Burgos</w:t>
            </w:r>
          </w:p>
        </w:tc>
        <w:tc>
          <w:tcPr>
            <w:tcW w:w="2268" w:type="dxa"/>
            <w:tcBorders>
              <w:bottom w:val="single" w:sz="4" w:space="0" w:color="auto"/>
            </w:tcBorders>
            <w:shd w:val="clear" w:color="auto" w:fill="F2F2F2"/>
            <w:hideMark/>
          </w:tcPr>
          <w:p w14:paraId="61E56F5A" w14:textId="77777777" w:rsidR="002A4DDF" w:rsidRPr="00937C8B" w:rsidRDefault="002A4DDF" w:rsidP="009110ED">
            <w:pPr>
              <w:rPr>
                <w:rFonts w:ascii="Arial" w:hAnsi="Arial" w:cs="Arial"/>
                <w:sz w:val="12"/>
                <w:szCs w:val="12"/>
              </w:rPr>
            </w:pPr>
            <w:r>
              <w:rPr>
                <w:rFonts w:ascii="Arial" w:hAnsi="Arial"/>
                <w:sz w:val="12"/>
                <w:szCs w:val="12"/>
              </w:rPr>
              <w:t>Vizcaínos</w:t>
            </w:r>
          </w:p>
        </w:tc>
        <w:tc>
          <w:tcPr>
            <w:tcW w:w="2268" w:type="dxa"/>
            <w:tcBorders>
              <w:bottom w:val="single" w:sz="4" w:space="0" w:color="auto"/>
              <w:right w:val="single" w:sz="4" w:space="0" w:color="auto"/>
            </w:tcBorders>
            <w:shd w:val="clear" w:color="auto" w:fill="D9D9D9"/>
            <w:hideMark/>
          </w:tcPr>
          <w:p w14:paraId="39EDB287" w14:textId="77777777" w:rsidR="002A4DDF" w:rsidRPr="00937C8B" w:rsidRDefault="002A4DDF" w:rsidP="009110ED">
            <w:pPr>
              <w:rPr>
                <w:rFonts w:ascii="Arial" w:hAnsi="Arial" w:cs="Arial"/>
                <w:sz w:val="12"/>
                <w:szCs w:val="12"/>
              </w:rPr>
            </w:pPr>
          </w:p>
        </w:tc>
      </w:tr>
      <w:tr w:rsidR="002A4DDF" w:rsidRPr="00937C8B" w14:paraId="62FB496F" w14:textId="77777777" w:rsidTr="00935676">
        <w:trPr>
          <w:cantSplit/>
        </w:trPr>
        <w:tc>
          <w:tcPr>
            <w:tcW w:w="1696" w:type="dxa"/>
            <w:tcBorders>
              <w:top w:val="single" w:sz="4" w:space="0" w:color="auto"/>
              <w:bottom w:val="single" w:sz="4" w:space="0" w:color="auto"/>
            </w:tcBorders>
            <w:shd w:val="clear" w:color="auto" w:fill="auto"/>
            <w:hideMark/>
          </w:tcPr>
          <w:p w14:paraId="22D17152"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57F52BAF"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7399AAB1"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69364B7F" w14:textId="77777777" w:rsidR="002A4DDF" w:rsidRPr="00937C8B" w:rsidRDefault="002A4DDF" w:rsidP="009110ED">
            <w:pPr>
              <w:rPr>
                <w:rFonts w:ascii="Arial" w:hAnsi="Arial" w:cs="Arial"/>
                <w:sz w:val="12"/>
                <w:szCs w:val="12"/>
              </w:rPr>
            </w:pPr>
          </w:p>
        </w:tc>
      </w:tr>
      <w:tr w:rsidR="002A4DDF" w:rsidRPr="00937C8B" w14:paraId="07B235EF" w14:textId="77777777" w:rsidTr="00935676">
        <w:trPr>
          <w:cantSplit/>
        </w:trPr>
        <w:tc>
          <w:tcPr>
            <w:tcW w:w="1696" w:type="dxa"/>
            <w:tcBorders>
              <w:top w:val="single" w:sz="4" w:space="0" w:color="auto"/>
              <w:left w:val="single" w:sz="4" w:space="0" w:color="auto"/>
            </w:tcBorders>
            <w:shd w:val="clear" w:color="auto" w:fill="auto"/>
            <w:hideMark/>
          </w:tcPr>
          <w:p w14:paraId="5D3D22A8"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top w:val="single" w:sz="4" w:space="0" w:color="auto"/>
            </w:tcBorders>
            <w:shd w:val="clear" w:color="auto" w:fill="auto"/>
            <w:hideMark/>
          </w:tcPr>
          <w:p w14:paraId="0D676020" w14:textId="77777777" w:rsidR="002A4DDF" w:rsidRPr="00937C8B" w:rsidRDefault="002A4DDF" w:rsidP="009110ED">
            <w:pPr>
              <w:rPr>
                <w:rFonts w:ascii="Arial" w:hAnsi="Arial" w:cs="Arial"/>
                <w:sz w:val="12"/>
                <w:szCs w:val="12"/>
              </w:rPr>
            </w:pPr>
            <w:r>
              <w:rPr>
                <w:rFonts w:ascii="Arial" w:hAnsi="Arial"/>
                <w:sz w:val="12"/>
                <w:szCs w:val="12"/>
              </w:rPr>
              <w:t>León</w:t>
            </w:r>
          </w:p>
        </w:tc>
        <w:tc>
          <w:tcPr>
            <w:tcW w:w="2268" w:type="dxa"/>
            <w:tcBorders>
              <w:top w:val="single" w:sz="4" w:space="0" w:color="auto"/>
            </w:tcBorders>
            <w:shd w:val="clear" w:color="auto" w:fill="F2F2F2"/>
            <w:hideMark/>
          </w:tcPr>
          <w:p w14:paraId="51DF5DFA" w14:textId="77777777" w:rsidR="002A4DDF" w:rsidRPr="00937C8B" w:rsidRDefault="002A4DDF" w:rsidP="009110ED">
            <w:pPr>
              <w:rPr>
                <w:rFonts w:ascii="Arial" w:hAnsi="Arial" w:cs="Arial"/>
                <w:sz w:val="12"/>
                <w:szCs w:val="12"/>
              </w:rPr>
            </w:pPr>
            <w:r>
              <w:rPr>
                <w:rFonts w:ascii="Arial" w:hAnsi="Arial"/>
                <w:sz w:val="12"/>
                <w:szCs w:val="12"/>
              </w:rPr>
              <w:t>Acebedo</w:t>
            </w:r>
          </w:p>
        </w:tc>
        <w:tc>
          <w:tcPr>
            <w:tcW w:w="2268" w:type="dxa"/>
            <w:tcBorders>
              <w:top w:val="single" w:sz="4" w:space="0" w:color="auto"/>
              <w:right w:val="single" w:sz="4" w:space="0" w:color="auto"/>
            </w:tcBorders>
            <w:shd w:val="clear" w:color="auto" w:fill="D9D9D9"/>
            <w:hideMark/>
          </w:tcPr>
          <w:p w14:paraId="01251C10" w14:textId="77777777" w:rsidR="002A4DDF" w:rsidRPr="00937C8B" w:rsidRDefault="002A4DDF" w:rsidP="009110ED">
            <w:pPr>
              <w:rPr>
                <w:rFonts w:ascii="Arial" w:hAnsi="Arial" w:cs="Arial"/>
                <w:sz w:val="12"/>
                <w:szCs w:val="12"/>
              </w:rPr>
            </w:pPr>
            <w:r>
              <w:rPr>
                <w:rFonts w:ascii="Arial" w:hAnsi="Arial"/>
                <w:sz w:val="12"/>
                <w:szCs w:val="12"/>
              </w:rPr>
              <w:t>Astorga</w:t>
            </w:r>
          </w:p>
        </w:tc>
      </w:tr>
      <w:tr w:rsidR="002A4DDF" w:rsidRPr="00937C8B" w14:paraId="53CFC0DF" w14:textId="77777777" w:rsidTr="00935676">
        <w:trPr>
          <w:cantSplit/>
        </w:trPr>
        <w:tc>
          <w:tcPr>
            <w:tcW w:w="1696" w:type="dxa"/>
            <w:tcBorders>
              <w:left w:val="single" w:sz="4" w:space="0" w:color="auto"/>
            </w:tcBorders>
            <w:shd w:val="clear" w:color="auto" w:fill="auto"/>
          </w:tcPr>
          <w:p w14:paraId="5ACBB411" w14:textId="77777777" w:rsidR="002A4DDF" w:rsidRPr="00937C8B" w:rsidRDefault="002A4DDF" w:rsidP="009110ED">
            <w:pPr>
              <w:rPr>
                <w:rFonts w:ascii="Arial" w:hAnsi="Arial" w:cs="Arial"/>
                <w:sz w:val="12"/>
                <w:szCs w:val="12"/>
              </w:rPr>
            </w:pPr>
          </w:p>
        </w:tc>
        <w:tc>
          <w:tcPr>
            <w:tcW w:w="1843" w:type="dxa"/>
            <w:shd w:val="clear" w:color="auto" w:fill="auto"/>
          </w:tcPr>
          <w:p w14:paraId="53C7D5E4" w14:textId="77777777" w:rsidR="002A4DDF" w:rsidRPr="00937C8B" w:rsidRDefault="002A4DDF" w:rsidP="009110ED">
            <w:pPr>
              <w:rPr>
                <w:rFonts w:ascii="Arial" w:hAnsi="Arial" w:cs="Arial"/>
                <w:sz w:val="12"/>
                <w:szCs w:val="12"/>
              </w:rPr>
            </w:pPr>
          </w:p>
        </w:tc>
        <w:tc>
          <w:tcPr>
            <w:tcW w:w="2268" w:type="dxa"/>
            <w:shd w:val="clear" w:color="auto" w:fill="F2F2F2"/>
            <w:hideMark/>
          </w:tcPr>
          <w:p w14:paraId="34656897" w14:textId="77777777" w:rsidR="002A4DDF" w:rsidRPr="00937C8B" w:rsidRDefault="002A4DDF" w:rsidP="009110ED">
            <w:pPr>
              <w:rPr>
                <w:rFonts w:ascii="Arial" w:hAnsi="Arial" w:cs="Arial"/>
                <w:sz w:val="12"/>
                <w:szCs w:val="12"/>
              </w:rPr>
            </w:pPr>
            <w:r>
              <w:rPr>
                <w:rFonts w:ascii="Arial" w:hAnsi="Arial"/>
                <w:sz w:val="12"/>
                <w:szCs w:val="12"/>
              </w:rPr>
              <w:t>Arganza</w:t>
            </w:r>
          </w:p>
        </w:tc>
        <w:tc>
          <w:tcPr>
            <w:tcW w:w="2268" w:type="dxa"/>
            <w:tcBorders>
              <w:right w:val="single" w:sz="4" w:space="0" w:color="auto"/>
            </w:tcBorders>
            <w:shd w:val="clear" w:color="auto" w:fill="D9D9D9"/>
            <w:hideMark/>
          </w:tcPr>
          <w:p w14:paraId="316A3DC0" w14:textId="77777777" w:rsidR="002A4DDF" w:rsidRPr="00937C8B" w:rsidRDefault="002A4DDF" w:rsidP="009110ED">
            <w:pPr>
              <w:rPr>
                <w:rFonts w:ascii="Arial" w:hAnsi="Arial" w:cs="Arial"/>
                <w:sz w:val="12"/>
                <w:szCs w:val="12"/>
              </w:rPr>
            </w:pPr>
            <w:r>
              <w:rPr>
                <w:rFonts w:ascii="Arial" w:hAnsi="Arial"/>
                <w:sz w:val="12"/>
                <w:szCs w:val="12"/>
              </w:rPr>
              <w:t>Balboa</w:t>
            </w:r>
          </w:p>
        </w:tc>
      </w:tr>
      <w:tr w:rsidR="002A4DDF" w:rsidRPr="00937C8B" w14:paraId="1884A170" w14:textId="77777777" w:rsidTr="00935676">
        <w:trPr>
          <w:cantSplit/>
        </w:trPr>
        <w:tc>
          <w:tcPr>
            <w:tcW w:w="1696" w:type="dxa"/>
            <w:tcBorders>
              <w:left w:val="single" w:sz="4" w:space="0" w:color="auto"/>
            </w:tcBorders>
            <w:shd w:val="clear" w:color="auto" w:fill="auto"/>
          </w:tcPr>
          <w:p w14:paraId="642707D9" w14:textId="77777777" w:rsidR="002A4DDF" w:rsidRPr="00937C8B" w:rsidRDefault="002A4DDF" w:rsidP="009110ED">
            <w:pPr>
              <w:rPr>
                <w:rFonts w:ascii="Arial" w:hAnsi="Arial" w:cs="Arial"/>
                <w:sz w:val="12"/>
                <w:szCs w:val="12"/>
              </w:rPr>
            </w:pPr>
          </w:p>
        </w:tc>
        <w:tc>
          <w:tcPr>
            <w:tcW w:w="1843" w:type="dxa"/>
            <w:shd w:val="clear" w:color="auto" w:fill="auto"/>
          </w:tcPr>
          <w:p w14:paraId="4864EBB2" w14:textId="77777777" w:rsidR="002A4DDF" w:rsidRPr="00937C8B" w:rsidRDefault="002A4DDF" w:rsidP="009110ED">
            <w:pPr>
              <w:rPr>
                <w:rFonts w:ascii="Arial" w:hAnsi="Arial" w:cs="Arial"/>
                <w:sz w:val="12"/>
                <w:szCs w:val="12"/>
              </w:rPr>
            </w:pPr>
          </w:p>
        </w:tc>
        <w:tc>
          <w:tcPr>
            <w:tcW w:w="2268" w:type="dxa"/>
            <w:shd w:val="clear" w:color="auto" w:fill="F2F2F2"/>
            <w:hideMark/>
          </w:tcPr>
          <w:p w14:paraId="62B2D9AA" w14:textId="77777777" w:rsidR="002A4DDF" w:rsidRPr="00937C8B" w:rsidRDefault="002A4DDF" w:rsidP="009110ED">
            <w:pPr>
              <w:rPr>
                <w:rFonts w:ascii="Arial" w:hAnsi="Arial" w:cs="Arial"/>
                <w:sz w:val="12"/>
                <w:szCs w:val="12"/>
              </w:rPr>
            </w:pPr>
            <w:r>
              <w:rPr>
                <w:rFonts w:ascii="Arial" w:hAnsi="Arial"/>
                <w:sz w:val="12"/>
                <w:szCs w:val="12"/>
              </w:rPr>
              <w:t>Bembibre</w:t>
            </w:r>
          </w:p>
        </w:tc>
        <w:tc>
          <w:tcPr>
            <w:tcW w:w="2268" w:type="dxa"/>
            <w:tcBorders>
              <w:right w:val="single" w:sz="4" w:space="0" w:color="auto"/>
            </w:tcBorders>
            <w:shd w:val="clear" w:color="auto" w:fill="D9D9D9"/>
            <w:hideMark/>
          </w:tcPr>
          <w:p w14:paraId="02552BF9" w14:textId="77777777" w:rsidR="002A4DDF" w:rsidRPr="00937C8B" w:rsidRDefault="002A4DDF" w:rsidP="009110ED">
            <w:pPr>
              <w:rPr>
                <w:rFonts w:ascii="Arial" w:hAnsi="Arial" w:cs="Arial"/>
                <w:sz w:val="12"/>
                <w:szCs w:val="12"/>
              </w:rPr>
            </w:pPr>
            <w:r>
              <w:rPr>
                <w:rFonts w:ascii="Arial" w:hAnsi="Arial"/>
                <w:sz w:val="12"/>
                <w:szCs w:val="12"/>
              </w:rPr>
              <w:t>Barjas</w:t>
            </w:r>
          </w:p>
        </w:tc>
      </w:tr>
      <w:tr w:rsidR="002A4DDF" w:rsidRPr="00937C8B" w14:paraId="31C74463" w14:textId="77777777" w:rsidTr="00935676">
        <w:trPr>
          <w:cantSplit/>
        </w:trPr>
        <w:tc>
          <w:tcPr>
            <w:tcW w:w="1696" w:type="dxa"/>
            <w:tcBorders>
              <w:left w:val="single" w:sz="4" w:space="0" w:color="auto"/>
            </w:tcBorders>
            <w:shd w:val="clear" w:color="auto" w:fill="auto"/>
          </w:tcPr>
          <w:p w14:paraId="3331FF16" w14:textId="77777777" w:rsidR="002A4DDF" w:rsidRPr="00937C8B" w:rsidRDefault="002A4DDF" w:rsidP="009110ED">
            <w:pPr>
              <w:rPr>
                <w:rFonts w:ascii="Arial" w:hAnsi="Arial" w:cs="Arial"/>
                <w:sz w:val="12"/>
                <w:szCs w:val="12"/>
              </w:rPr>
            </w:pPr>
          </w:p>
        </w:tc>
        <w:tc>
          <w:tcPr>
            <w:tcW w:w="1843" w:type="dxa"/>
            <w:shd w:val="clear" w:color="auto" w:fill="auto"/>
          </w:tcPr>
          <w:p w14:paraId="2013BEB8" w14:textId="77777777" w:rsidR="002A4DDF" w:rsidRPr="00937C8B" w:rsidRDefault="002A4DDF" w:rsidP="009110ED">
            <w:pPr>
              <w:rPr>
                <w:rFonts w:ascii="Arial" w:hAnsi="Arial" w:cs="Arial"/>
                <w:sz w:val="12"/>
                <w:szCs w:val="12"/>
              </w:rPr>
            </w:pPr>
          </w:p>
        </w:tc>
        <w:tc>
          <w:tcPr>
            <w:tcW w:w="2268" w:type="dxa"/>
            <w:shd w:val="clear" w:color="auto" w:fill="F2F2F2"/>
            <w:hideMark/>
          </w:tcPr>
          <w:p w14:paraId="30885683" w14:textId="77777777" w:rsidR="002A4DDF" w:rsidRPr="00937C8B" w:rsidRDefault="002A4DDF" w:rsidP="009110ED">
            <w:pPr>
              <w:rPr>
                <w:rFonts w:ascii="Arial" w:hAnsi="Arial" w:cs="Arial"/>
                <w:sz w:val="12"/>
                <w:szCs w:val="12"/>
              </w:rPr>
            </w:pPr>
            <w:r>
              <w:rPr>
                <w:rFonts w:ascii="Arial" w:hAnsi="Arial"/>
                <w:sz w:val="12"/>
                <w:szCs w:val="12"/>
              </w:rPr>
              <w:t>Berlanga del Bierzo</w:t>
            </w:r>
          </w:p>
        </w:tc>
        <w:tc>
          <w:tcPr>
            <w:tcW w:w="2268" w:type="dxa"/>
            <w:tcBorders>
              <w:right w:val="single" w:sz="4" w:space="0" w:color="auto"/>
            </w:tcBorders>
            <w:shd w:val="clear" w:color="auto" w:fill="D9D9D9"/>
            <w:hideMark/>
          </w:tcPr>
          <w:p w14:paraId="796BA5DF" w14:textId="77777777" w:rsidR="002A4DDF" w:rsidRPr="00937C8B" w:rsidRDefault="002A4DDF" w:rsidP="009110ED">
            <w:pPr>
              <w:rPr>
                <w:rFonts w:ascii="Arial" w:hAnsi="Arial" w:cs="Arial"/>
                <w:sz w:val="12"/>
                <w:szCs w:val="12"/>
              </w:rPr>
            </w:pPr>
            <w:r>
              <w:rPr>
                <w:rFonts w:ascii="Arial" w:hAnsi="Arial"/>
                <w:sz w:val="12"/>
                <w:szCs w:val="12"/>
              </w:rPr>
              <w:t>Benuza</w:t>
            </w:r>
          </w:p>
        </w:tc>
      </w:tr>
      <w:tr w:rsidR="002A4DDF" w:rsidRPr="00937C8B" w14:paraId="16A352FE" w14:textId="77777777" w:rsidTr="00935676">
        <w:trPr>
          <w:cantSplit/>
        </w:trPr>
        <w:tc>
          <w:tcPr>
            <w:tcW w:w="1696" w:type="dxa"/>
            <w:tcBorders>
              <w:left w:val="single" w:sz="4" w:space="0" w:color="auto"/>
            </w:tcBorders>
            <w:shd w:val="clear" w:color="auto" w:fill="auto"/>
          </w:tcPr>
          <w:p w14:paraId="449764DA" w14:textId="77777777" w:rsidR="002A4DDF" w:rsidRPr="00937C8B" w:rsidRDefault="002A4DDF" w:rsidP="009110ED">
            <w:pPr>
              <w:rPr>
                <w:rFonts w:ascii="Arial" w:hAnsi="Arial" w:cs="Arial"/>
                <w:sz w:val="12"/>
                <w:szCs w:val="12"/>
              </w:rPr>
            </w:pPr>
          </w:p>
        </w:tc>
        <w:tc>
          <w:tcPr>
            <w:tcW w:w="1843" w:type="dxa"/>
            <w:shd w:val="clear" w:color="auto" w:fill="auto"/>
          </w:tcPr>
          <w:p w14:paraId="7F04E5B2" w14:textId="77777777" w:rsidR="002A4DDF" w:rsidRPr="00937C8B" w:rsidRDefault="002A4DDF" w:rsidP="009110ED">
            <w:pPr>
              <w:rPr>
                <w:rFonts w:ascii="Arial" w:hAnsi="Arial" w:cs="Arial"/>
                <w:sz w:val="12"/>
                <w:szCs w:val="12"/>
              </w:rPr>
            </w:pPr>
          </w:p>
        </w:tc>
        <w:tc>
          <w:tcPr>
            <w:tcW w:w="2268" w:type="dxa"/>
            <w:shd w:val="clear" w:color="auto" w:fill="F2F2F2"/>
            <w:hideMark/>
          </w:tcPr>
          <w:p w14:paraId="79ECCA15" w14:textId="77777777" w:rsidR="002A4DDF" w:rsidRPr="00937C8B" w:rsidRDefault="002A4DDF" w:rsidP="009110ED">
            <w:pPr>
              <w:rPr>
                <w:rFonts w:ascii="Arial" w:hAnsi="Arial" w:cs="Arial"/>
                <w:sz w:val="12"/>
                <w:szCs w:val="12"/>
              </w:rPr>
            </w:pPr>
            <w:r>
              <w:rPr>
                <w:rFonts w:ascii="Arial" w:hAnsi="Arial"/>
                <w:sz w:val="12"/>
                <w:szCs w:val="12"/>
              </w:rPr>
              <w:t>Boca de Huérgano</w:t>
            </w:r>
          </w:p>
        </w:tc>
        <w:tc>
          <w:tcPr>
            <w:tcW w:w="2268" w:type="dxa"/>
            <w:tcBorders>
              <w:right w:val="single" w:sz="4" w:space="0" w:color="auto"/>
            </w:tcBorders>
            <w:shd w:val="clear" w:color="auto" w:fill="D9D9D9"/>
            <w:hideMark/>
          </w:tcPr>
          <w:p w14:paraId="0C11818A" w14:textId="77777777" w:rsidR="002A4DDF" w:rsidRPr="00937C8B" w:rsidRDefault="002A4DDF" w:rsidP="009110ED">
            <w:pPr>
              <w:rPr>
                <w:rFonts w:ascii="Arial" w:hAnsi="Arial" w:cs="Arial"/>
                <w:sz w:val="12"/>
                <w:szCs w:val="12"/>
              </w:rPr>
            </w:pPr>
            <w:r>
              <w:rPr>
                <w:rFonts w:ascii="Arial" w:hAnsi="Arial"/>
                <w:sz w:val="12"/>
                <w:szCs w:val="12"/>
              </w:rPr>
              <w:t>Candín</w:t>
            </w:r>
          </w:p>
        </w:tc>
      </w:tr>
      <w:tr w:rsidR="002A4DDF" w:rsidRPr="00937C8B" w14:paraId="4B2691FA" w14:textId="77777777" w:rsidTr="00935676">
        <w:trPr>
          <w:cantSplit/>
        </w:trPr>
        <w:tc>
          <w:tcPr>
            <w:tcW w:w="1696" w:type="dxa"/>
            <w:tcBorders>
              <w:left w:val="single" w:sz="4" w:space="0" w:color="auto"/>
            </w:tcBorders>
            <w:shd w:val="clear" w:color="auto" w:fill="auto"/>
          </w:tcPr>
          <w:p w14:paraId="12B3952C" w14:textId="77777777" w:rsidR="002A4DDF" w:rsidRPr="00937C8B" w:rsidRDefault="002A4DDF" w:rsidP="009110ED">
            <w:pPr>
              <w:rPr>
                <w:rFonts w:ascii="Arial" w:hAnsi="Arial" w:cs="Arial"/>
                <w:sz w:val="12"/>
                <w:szCs w:val="12"/>
              </w:rPr>
            </w:pPr>
          </w:p>
        </w:tc>
        <w:tc>
          <w:tcPr>
            <w:tcW w:w="1843" w:type="dxa"/>
            <w:shd w:val="clear" w:color="auto" w:fill="auto"/>
          </w:tcPr>
          <w:p w14:paraId="0E6E639F" w14:textId="77777777" w:rsidR="002A4DDF" w:rsidRPr="00937C8B" w:rsidRDefault="002A4DDF" w:rsidP="009110ED">
            <w:pPr>
              <w:rPr>
                <w:rFonts w:ascii="Arial" w:hAnsi="Arial" w:cs="Arial"/>
                <w:sz w:val="12"/>
                <w:szCs w:val="12"/>
              </w:rPr>
            </w:pPr>
          </w:p>
        </w:tc>
        <w:tc>
          <w:tcPr>
            <w:tcW w:w="2268" w:type="dxa"/>
            <w:shd w:val="clear" w:color="auto" w:fill="F2F2F2"/>
            <w:hideMark/>
          </w:tcPr>
          <w:p w14:paraId="3BF08BCD" w14:textId="77777777" w:rsidR="002A4DDF" w:rsidRPr="00937C8B" w:rsidRDefault="002A4DDF" w:rsidP="009110ED">
            <w:pPr>
              <w:rPr>
                <w:rFonts w:ascii="Arial" w:hAnsi="Arial" w:cs="Arial"/>
                <w:sz w:val="12"/>
                <w:szCs w:val="12"/>
              </w:rPr>
            </w:pPr>
            <w:r>
              <w:rPr>
                <w:rFonts w:ascii="Arial" w:hAnsi="Arial"/>
                <w:sz w:val="12"/>
                <w:szCs w:val="12"/>
              </w:rPr>
              <w:t>Boñar</w:t>
            </w:r>
          </w:p>
        </w:tc>
        <w:tc>
          <w:tcPr>
            <w:tcW w:w="2268" w:type="dxa"/>
            <w:tcBorders>
              <w:right w:val="single" w:sz="4" w:space="0" w:color="auto"/>
            </w:tcBorders>
            <w:shd w:val="clear" w:color="auto" w:fill="D9D9D9"/>
            <w:hideMark/>
          </w:tcPr>
          <w:p w14:paraId="1630046D" w14:textId="77777777" w:rsidR="002A4DDF" w:rsidRPr="00937C8B" w:rsidRDefault="002A4DDF" w:rsidP="009110ED">
            <w:pPr>
              <w:rPr>
                <w:rFonts w:ascii="Arial" w:hAnsi="Arial" w:cs="Arial"/>
                <w:sz w:val="12"/>
                <w:szCs w:val="12"/>
              </w:rPr>
            </w:pPr>
            <w:r>
              <w:rPr>
                <w:rFonts w:ascii="Arial" w:hAnsi="Arial"/>
                <w:sz w:val="12"/>
                <w:szCs w:val="12"/>
              </w:rPr>
              <w:t>Carucedo</w:t>
            </w:r>
          </w:p>
        </w:tc>
      </w:tr>
      <w:tr w:rsidR="002A4DDF" w:rsidRPr="00937C8B" w14:paraId="71349EA3" w14:textId="77777777" w:rsidTr="00935676">
        <w:trPr>
          <w:cantSplit/>
        </w:trPr>
        <w:tc>
          <w:tcPr>
            <w:tcW w:w="1696" w:type="dxa"/>
            <w:tcBorders>
              <w:left w:val="single" w:sz="4" w:space="0" w:color="auto"/>
            </w:tcBorders>
            <w:shd w:val="clear" w:color="auto" w:fill="auto"/>
          </w:tcPr>
          <w:p w14:paraId="21BB0F7F" w14:textId="77777777" w:rsidR="002A4DDF" w:rsidRPr="00937C8B" w:rsidRDefault="002A4DDF" w:rsidP="009110ED">
            <w:pPr>
              <w:rPr>
                <w:rFonts w:ascii="Arial" w:hAnsi="Arial" w:cs="Arial"/>
                <w:sz w:val="12"/>
                <w:szCs w:val="12"/>
              </w:rPr>
            </w:pPr>
          </w:p>
        </w:tc>
        <w:tc>
          <w:tcPr>
            <w:tcW w:w="1843" w:type="dxa"/>
            <w:shd w:val="clear" w:color="auto" w:fill="auto"/>
          </w:tcPr>
          <w:p w14:paraId="204E2F4A" w14:textId="77777777" w:rsidR="002A4DDF" w:rsidRPr="00937C8B" w:rsidRDefault="002A4DDF" w:rsidP="009110ED">
            <w:pPr>
              <w:rPr>
                <w:rFonts w:ascii="Arial" w:hAnsi="Arial" w:cs="Arial"/>
                <w:sz w:val="12"/>
                <w:szCs w:val="12"/>
              </w:rPr>
            </w:pPr>
          </w:p>
        </w:tc>
        <w:tc>
          <w:tcPr>
            <w:tcW w:w="2268" w:type="dxa"/>
            <w:shd w:val="clear" w:color="auto" w:fill="F2F2F2"/>
            <w:hideMark/>
          </w:tcPr>
          <w:p w14:paraId="7278ED8A" w14:textId="77777777" w:rsidR="002A4DDF" w:rsidRPr="00937C8B" w:rsidRDefault="002A4DDF" w:rsidP="009110ED">
            <w:pPr>
              <w:rPr>
                <w:rFonts w:ascii="Arial" w:hAnsi="Arial" w:cs="Arial"/>
                <w:sz w:val="12"/>
                <w:szCs w:val="12"/>
              </w:rPr>
            </w:pPr>
            <w:r>
              <w:rPr>
                <w:rFonts w:ascii="Arial" w:hAnsi="Arial"/>
                <w:sz w:val="12"/>
                <w:szCs w:val="12"/>
              </w:rPr>
              <w:t>Borrenes</w:t>
            </w:r>
          </w:p>
        </w:tc>
        <w:tc>
          <w:tcPr>
            <w:tcW w:w="2268" w:type="dxa"/>
            <w:tcBorders>
              <w:right w:val="single" w:sz="4" w:space="0" w:color="auto"/>
            </w:tcBorders>
            <w:shd w:val="clear" w:color="auto" w:fill="D9D9D9"/>
            <w:hideMark/>
          </w:tcPr>
          <w:p w14:paraId="243DC829" w14:textId="77777777" w:rsidR="002A4DDF" w:rsidRPr="00937C8B" w:rsidRDefault="002A4DDF" w:rsidP="009110ED">
            <w:pPr>
              <w:rPr>
                <w:rFonts w:ascii="Arial" w:hAnsi="Arial" w:cs="Arial"/>
                <w:sz w:val="12"/>
                <w:szCs w:val="12"/>
              </w:rPr>
            </w:pPr>
            <w:r>
              <w:rPr>
                <w:rFonts w:ascii="Arial" w:hAnsi="Arial"/>
                <w:sz w:val="12"/>
                <w:szCs w:val="12"/>
              </w:rPr>
              <w:t>Congosto</w:t>
            </w:r>
          </w:p>
        </w:tc>
      </w:tr>
      <w:tr w:rsidR="002A4DDF" w:rsidRPr="00937C8B" w14:paraId="60C8C78F" w14:textId="77777777" w:rsidTr="00935676">
        <w:trPr>
          <w:cantSplit/>
        </w:trPr>
        <w:tc>
          <w:tcPr>
            <w:tcW w:w="1696" w:type="dxa"/>
            <w:tcBorders>
              <w:left w:val="single" w:sz="4" w:space="0" w:color="auto"/>
            </w:tcBorders>
            <w:shd w:val="clear" w:color="auto" w:fill="auto"/>
          </w:tcPr>
          <w:p w14:paraId="0AB6D9F1" w14:textId="77777777" w:rsidR="002A4DDF" w:rsidRPr="00937C8B" w:rsidRDefault="002A4DDF" w:rsidP="009110ED">
            <w:pPr>
              <w:rPr>
                <w:rFonts w:ascii="Arial" w:hAnsi="Arial" w:cs="Arial"/>
                <w:sz w:val="12"/>
                <w:szCs w:val="12"/>
              </w:rPr>
            </w:pPr>
          </w:p>
        </w:tc>
        <w:tc>
          <w:tcPr>
            <w:tcW w:w="1843" w:type="dxa"/>
            <w:shd w:val="clear" w:color="auto" w:fill="auto"/>
          </w:tcPr>
          <w:p w14:paraId="23D39672" w14:textId="77777777" w:rsidR="002A4DDF" w:rsidRPr="00937C8B" w:rsidRDefault="002A4DDF" w:rsidP="009110ED">
            <w:pPr>
              <w:rPr>
                <w:rFonts w:ascii="Arial" w:hAnsi="Arial" w:cs="Arial"/>
                <w:sz w:val="12"/>
                <w:szCs w:val="12"/>
              </w:rPr>
            </w:pPr>
          </w:p>
        </w:tc>
        <w:tc>
          <w:tcPr>
            <w:tcW w:w="2268" w:type="dxa"/>
            <w:shd w:val="clear" w:color="auto" w:fill="F2F2F2"/>
            <w:hideMark/>
          </w:tcPr>
          <w:p w14:paraId="073F471E" w14:textId="77777777" w:rsidR="002A4DDF" w:rsidRPr="00937C8B" w:rsidRDefault="002A4DDF" w:rsidP="009110ED">
            <w:pPr>
              <w:rPr>
                <w:rFonts w:ascii="Arial" w:hAnsi="Arial" w:cs="Arial"/>
                <w:sz w:val="12"/>
                <w:szCs w:val="12"/>
              </w:rPr>
            </w:pPr>
            <w:r>
              <w:rPr>
                <w:rFonts w:ascii="Arial" w:hAnsi="Arial"/>
                <w:sz w:val="12"/>
                <w:szCs w:val="12"/>
              </w:rPr>
              <w:t>Brazuelo</w:t>
            </w:r>
          </w:p>
        </w:tc>
        <w:tc>
          <w:tcPr>
            <w:tcW w:w="2268" w:type="dxa"/>
            <w:tcBorders>
              <w:right w:val="single" w:sz="4" w:space="0" w:color="auto"/>
            </w:tcBorders>
            <w:shd w:val="clear" w:color="auto" w:fill="D9D9D9"/>
            <w:hideMark/>
          </w:tcPr>
          <w:p w14:paraId="21980A1D" w14:textId="77777777" w:rsidR="002A4DDF" w:rsidRPr="00937C8B" w:rsidRDefault="002A4DDF" w:rsidP="009110ED">
            <w:pPr>
              <w:rPr>
                <w:rFonts w:ascii="Arial" w:hAnsi="Arial" w:cs="Arial"/>
                <w:sz w:val="12"/>
                <w:szCs w:val="12"/>
              </w:rPr>
            </w:pPr>
            <w:r>
              <w:rPr>
                <w:rFonts w:ascii="Arial" w:hAnsi="Arial"/>
                <w:sz w:val="12"/>
                <w:szCs w:val="12"/>
              </w:rPr>
              <w:t>Corullón</w:t>
            </w:r>
          </w:p>
        </w:tc>
      </w:tr>
      <w:tr w:rsidR="002A4DDF" w:rsidRPr="00937C8B" w14:paraId="503060E1" w14:textId="77777777" w:rsidTr="00935676">
        <w:trPr>
          <w:cantSplit/>
        </w:trPr>
        <w:tc>
          <w:tcPr>
            <w:tcW w:w="1696" w:type="dxa"/>
            <w:tcBorders>
              <w:left w:val="single" w:sz="4" w:space="0" w:color="auto"/>
            </w:tcBorders>
            <w:shd w:val="clear" w:color="auto" w:fill="auto"/>
          </w:tcPr>
          <w:p w14:paraId="119CAEAA" w14:textId="77777777" w:rsidR="002A4DDF" w:rsidRPr="00937C8B" w:rsidRDefault="002A4DDF" w:rsidP="009110ED">
            <w:pPr>
              <w:rPr>
                <w:rFonts w:ascii="Arial" w:hAnsi="Arial" w:cs="Arial"/>
                <w:sz w:val="12"/>
                <w:szCs w:val="12"/>
              </w:rPr>
            </w:pPr>
          </w:p>
        </w:tc>
        <w:tc>
          <w:tcPr>
            <w:tcW w:w="1843" w:type="dxa"/>
            <w:shd w:val="clear" w:color="auto" w:fill="auto"/>
          </w:tcPr>
          <w:p w14:paraId="42E570F2" w14:textId="77777777" w:rsidR="002A4DDF" w:rsidRPr="00937C8B" w:rsidRDefault="002A4DDF" w:rsidP="009110ED">
            <w:pPr>
              <w:rPr>
                <w:rFonts w:ascii="Arial" w:hAnsi="Arial" w:cs="Arial"/>
                <w:sz w:val="12"/>
                <w:szCs w:val="12"/>
              </w:rPr>
            </w:pPr>
          </w:p>
        </w:tc>
        <w:tc>
          <w:tcPr>
            <w:tcW w:w="2268" w:type="dxa"/>
            <w:shd w:val="clear" w:color="auto" w:fill="F2F2F2"/>
            <w:hideMark/>
          </w:tcPr>
          <w:p w14:paraId="772ACECD" w14:textId="77777777" w:rsidR="002A4DDF" w:rsidRPr="00937C8B" w:rsidRDefault="002A4DDF" w:rsidP="009110ED">
            <w:pPr>
              <w:rPr>
                <w:rFonts w:ascii="Arial" w:hAnsi="Arial" w:cs="Arial"/>
                <w:sz w:val="12"/>
                <w:szCs w:val="12"/>
              </w:rPr>
            </w:pPr>
            <w:r>
              <w:rPr>
                <w:rFonts w:ascii="Arial" w:hAnsi="Arial"/>
                <w:sz w:val="12"/>
                <w:szCs w:val="12"/>
              </w:rPr>
              <w:t>Burón</w:t>
            </w:r>
          </w:p>
        </w:tc>
        <w:tc>
          <w:tcPr>
            <w:tcW w:w="2268" w:type="dxa"/>
            <w:tcBorders>
              <w:right w:val="single" w:sz="4" w:space="0" w:color="auto"/>
            </w:tcBorders>
            <w:shd w:val="clear" w:color="auto" w:fill="D9D9D9"/>
            <w:hideMark/>
          </w:tcPr>
          <w:p w14:paraId="404C74FA" w14:textId="77777777" w:rsidR="002A4DDF" w:rsidRPr="00937C8B" w:rsidRDefault="002A4DDF" w:rsidP="009110ED">
            <w:pPr>
              <w:rPr>
                <w:rFonts w:ascii="Arial" w:hAnsi="Arial" w:cs="Arial"/>
                <w:sz w:val="12"/>
                <w:szCs w:val="12"/>
              </w:rPr>
            </w:pPr>
            <w:r>
              <w:rPr>
                <w:rFonts w:ascii="Arial" w:hAnsi="Arial"/>
                <w:sz w:val="12"/>
                <w:szCs w:val="12"/>
              </w:rPr>
              <w:t>Encinedo</w:t>
            </w:r>
          </w:p>
        </w:tc>
      </w:tr>
      <w:tr w:rsidR="002A4DDF" w:rsidRPr="00937C8B" w14:paraId="28937C0E" w14:textId="77777777" w:rsidTr="00935676">
        <w:trPr>
          <w:cantSplit/>
        </w:trPr>
        <w:tc>
          <w:tcPr>
            <w:tcW w:w="1696" w:type="dxa"/>
            <w:tcBorders>
              <w:left w:val="single" w:sz="4" w:space="0" w:color="auto"/>
            </w:tcBorders>
            <w:shd w:val="clear" w:color="auto" w:fill="auto"/>
          </w:tcPr>
          <w:p w14:paraId="6B016B35" w14:textId="77777777" w:rsidR="002A4DDF" w:rsidRPr="00937C8B" w:rsidRDefault="002A4DDF" w:rsidP="009110ED">
            <w:pPr>
              <w:rPr>
                <w:rFonts w:ascii="Arial" w:hAnsi="Arial" w:cs="Arial"/>
                <w:sz w:val="12"/>
                <w:szCs w:val="12"/>
              </w:rPr>
            </w:pPr>
          </w:p>
        </w:tc>
        <w:tc>
          <w:tcPr>
            <w:tcW w:w="1843" w:type="dxa"/>
            <w:shd w:val="clear" w:color="auto" w:fill="auto"/>
          </w:tcPr>
          <w:p w14:paraId="307AB76E" w14:textId="77777777" w:rsidR="002A4DDF" w:rsidRPr="00937C8B" w:rsidRDefault="002A4DDF" w:rsidP="009110ED">
            <w:pPr>
              <w:rPr>
                <w:rFonts w:ascii="Arial" w:hAnsi="Arial" w:cs="Arial"/>
                <w:sz w:val="12"/>
                <w:szCs w:val="12"/>
              </w:rPr>
            </w:pPr>
          </w:p>
        </w:tc>
        <w:tc>
          <w:tcPr>
            <w:tcW w:w="2268" w:type="dxa"/>
            <w:shd w:val="clear" w:color="auto" w:fill="F2F2F2"/>
            <w:hideMark/>
          </w:tcPr>
          <w:p w14:paraId="6EDBD571" w14:textId="77777777" w:rsidR="002A4DDF" w:rsidRPr="00937C8B" w:rsidRDefault="002A4DDF" w:rsidP="009110ED">
            <w:pPr>
              <w:rPr>
                <w:rFonts w:ascii="Arial" w:hAnsi="Arial" w:cs="Arial"/>
                <w:sz w:val="12"/>
                <w:szCs w:val="12"/>
              </w:rPr>
            </w:pPr>
            <w:r>
              <w:rPr>
                <w:rFonts w:ascii="Arial" w:hAnsi="Arial"/>
                <w:sz w:val="12"/>
                <w:szCs w:val="12"/>
              </w:rPr>
              <w:t>Cabañas Raras</w:t>
            </w:r>
          </w:p>
        </w:tc>
        <w:tc>
          <w:tcPr>
            <w:tcW w:w="2268" w:type="dxa"/>
            <w:tcBorders>
              <w:right w:val="single" w:sz="4" w:space="0" w:color="auto"/>
            </w:tcBorders>
            <w:shd w:val="clear" w:color="auto" w:fill="D9D9D9"/>
            <w:hideMark/>
          </w:tcPr>
          <w:p w14:paraId="02985221" w14:textId="77777777" w:rsidR="002A4DDF" w:rsidRPr="00937C8B" w:rsidRDefault="002A4DDF" w:rsidP="009110ED">
            <w:pPr>
              <w:rPr>
                <w:rFonts w:ascii="Arial" w:hAnsi="Arial" w:cs="Arial"/>
                <w:sz w:val="12"/>
                <w:szCs w:val="12"/>
              </w:rPr>
            </w:pPr>
            <w:r>
              <w:rPr>
                <w:rFonts w:ascii="Arial" w:hAnsi="Arial"/>
                <w:sz w:val="12"/>
                <w:szCs w:val="12"/>
              </w:rPr>
              <w:t>Igüeña</w:t>
            </w:r>
          </w:p>
        </w:tc>
      </w:tr>
      <w:tr w:rsidR="002A4DDF" w:rsidRPr="00937C8B" w14:paraId="2537A0DB" w14:textId="77777777" w:rsidTr="00935676">
        <w:trPr>
          <w:cantSplit/>
        </w:trPr>
        <w:tc>
          <w:tcPr>
            <w:tcW w:w="1696" w:type="dxa"/>
            <w:tcBorders>
              <w:left w:val="single" w:sz="4" w:space="0" w:color="auto"/>
            </w:tcBorders>
            <w:shd w:val="clear" w:color="auto" w:fill="auto"/>
          </w:tcPr>
          <w:p w14:paraId="3D0AE42E" w14:textId="77777777" w:rsidR="002A4DDF" w:rsidRPr="00937C8B" w:rsidRDefault="002A4DDF" w:rsidP="009110ED">
            <w:pPr>
              <w:rPr>
                <w:rFonts w:ascii="Arial" w:hAnsi="Arial" w:cs="Arial"/>
                <w:sz w:val="12"/>
                <w:szCs w:val="12"/>
              </w:rPr>
            </w:pPr>
          </w:p>
        </w:tc>
        <w:tc>
          <w:tcPr>
            <w:tcW w:w="1843" w:type="dxa"/>
            <w:shd w:val="clear" w:color="auto" w:fill="auto"/>
          </w:tcPr>
          <w:p w14:paraId="65E080F1" w14:textId="77777777" w:rsidR="002A4DDF" w:rsidRPr="00937C8B" w:rsidRDefault="002A4DDF" w:rsidP="009110ED">
            <w:pPr>
              <w:rPr>
                <w:rFonts w:ascii="Arial" w:hAnsi="Arial" w:cs="Arial"/>
                <w:sz w:val="12"/>
                <w:szCs w:val="12"/>
              </w:rPr>
            </w:pPr>
          </w:p>
        </w:tc>
        <w:tc>
          <w:tcPr>
            <w:tcW w:w="2268" w:type="dxa"/>
            <w:shd w:val="clear" w:color="auto" w:fill="F2F2F2"/>
            <w:hideMark/>
          </w:tcPr>
          <w:p w14:paraId="70BF7B49" w14:textId="77777777" w:rsidR="002A4DDF" w:rsidRPr="00937C8B" w:rsidRDefault="002A4DDF" w:rsidP="009110ED">
            <w:pPr>
              <w:rPr>
                <w:rFonts w:ascii="Arial" w:hAnsi="Arial" w:cs="Arial"/>
                <w:sz w:val="12"/>
                <w:szCs w:val="12"/>
              </w:rPr>
            </w:pPr>
            <w:r>
              <w:rPr>
                <w:rFonts w:ascii="Arial" w:hAnsi="Arial"/>
                <w:sz w:val="12"/>
                <w:szCs w:val="12"/>
              </w:rPr>
              <w:t>Cabrillanes</w:t>
            </w:r>
          </w:p>
        </w:tc>
        <w:tc>
          <w:tcPr>
            <w:tcW w:w="2268" w:type="dxa"/>
            <w:tcBorders>
              <w:right w:val="single" w:sz="4" w:space="0" w:color="auto"/>
            </w:tcBorders>
            <w:shd w:val="clear" w:color="auto" w:fill="D9D9D9"/>
            <w:hideMark/>
          </w:tcPr>
          <w:p w14:paraId="7CE98246" w14:textId="77777777" w:rsidR="002A4DDF" w:rsidRPr="00937C8B" w:rsidRDefault="002A4DDF" w:rsidP="009110ED">
            <w:pPr>
              <w:rPr>
                <w:rFonts w:ascii="Arial" w:hAnsi="Arial" w:cs="Arial"/>
                <w:sz w:val="12"/>
                <w:szCs w:val="12"/>
              </w:rPr>
            </w:pPr>
            <w:r>
              <w:rPr>
                <w:rFonts w:ascii="Arial" w:hAnsi="Arial"/>
                <w:sz w:val="12"/>
                <w:szCs w:val="12"/>
              </w:rPr>
              <w:t>Los Barrios de Luna</w:t>
            </w:r>
          </w:p>
        </w:tc>
      </w:tr>
      <w:tr w:rsidR="002A4DDF" w:rsidRPr="00937C8B" w14:paraId="3C1951CB" w14:textId="77777777" w:rsidTr="00935676">
        <w:trPr>
          <w:cantSplit/>
        </w:trPr>
        <w:tc>
          <w:tcPr>
            <w:tcW w:w="1696" w:type="dxa"/>
            <w:tcBorders>
              <w:left w:val="single" w:sz="4" w:space="0" w:color="auto"/>
            </w:tcBorders>
            <w:shd w:val="clear" w:color="auto" w:fill="auto"/>
          </w:tcPr>
          <w:p w14:paraId="6222BAE9" w14:textId="77777777" w:rsidR="002A4DDF" w:rsidRPr="00937C8B" w:rsidRDefault="002A4DDF" w:rsidP="009110ED">
            <w:pPr>
              <w:rPr>
                <w:rFonts w:ascii="Arial" w:hAnsi="Arial" w:cs="Arial"/>
                <w:sz w:val="12"/>
                <w:szCs w:val="12"/>
              </w:rPr>
            </w:pPr>
          </w:p>
        </w:tc>
        <w:tc>
          <w:tcPr>
            <w:tcW w:w="1843" w:type="dxa"/>
            <w:shd w:val="clear" w:color="auto" w:fill="auto"/>
          </w:tcPr>
          <w:p w14:paraId="6969762D" w14:textId="77777777" w:rsidR="002A4DDF" w:rsidRPr="00937C8B" w:rsidRDefault="002A4DDF" w:rsidP="009110ED">
            <w:pPr>
              <w:rPr>
                <w:rFonts w:ascii="Arial" w:hAnsi="Arial" w:cs="Arial"/>
                <w:sz w:val="12"/>
                <w:szCs w:val="12"/>
              </w:rPr>
            </w:pPr>
          </w:p>
        </w:tc>
        <w:tc>
          <w:tcPr>
            <w:tcW w:w="2268" w:type="dxa"/>
            <w:shd w:val="clear" w:color="auto" w:fill="F2F2F2"/>
            <w:hideMark/>
          </w:tcPr>
          <w:p w14:paraId="0DE78E04" w14:textId="77777777" w:rsidR="002A4DDF" w:rsidRPr="00937C8B" w:rsidRDefault="002A4DDF" w:rsidP="009110ED">
            <w:pPr>
              <w:rPr>
                <w:rFonts w:ascii="Arial" w:hAnsi="Arial" w:cs="Arial"/>
                <w:sz w:val="12"/>
                <w:szCs w:val="12"/>
              </w:rPr>
            </w:pPr>
            <w:r>
              <w:rPr>
                <w:rFonts w:ascii="Arial" w:hAnsi="Arial"/>
                <w:sz w:val="12"/>
                <w:szCs w:val="12"/>
              </w:rPr>
              <w:t>Cacabelos</w:t>
            </w:r>
          </w:p>
        </w:tc>
        <w:tc>
          <w:tcPr>
            <w:tcW w:w="2268" w:type="dxa"/>
            <w:tcBorders>
              <w:right w:val="single" w:sz="4" w:space="0" w:color="auto"/>
            </w:tcBorders>
            <w:shd w:val="clear" w:color="auto" w:fill="D9D9D9"/>
            <w:hideMark/>
          </w:tcPr>
          <w:p w14:paraId="073FF7FD" w14:textId="77777777" w:rsidR="002A4DDF" w:rsidRPr="00937C8B" w:rsidRDefault="002A4DDF" w:rsidP="009110ED">
            <w:pPr>
              <w:rPr>
                <w:rFonts w:ascii="Arial" w:hAnsi="Arial" w:cs="Arial"/>
                <w:sz w:val="12"/>
                <w:szCs w:val="12"/>
              </w:rPr>
            </w:pPr>
            <w:r>
              <w:rPr>
                <w:rFonts w:ascii="Arial" w:hAnsi="Arial"/>
                <w:sz w:val="12"/>
                <w:szCs w:val="12"/>
              </w:rPr>
              <w:t>Murias de Paredes</w:t>
            </w:r>
          </w:p>
        </w:tc>
      </w:tr>
      <w:tr w:rsidR="002A4DDF" w:rsidRPr="00937C8B" w14:paraId="70DE7CE3" w14:textId="77777777" w:rsidTr="00935676">
        <w:trPr>
          <w:cantSplit/>
        </w:trPr>
        <w:tc>
          <w:tcPr>
            <w:tcW w:w="1696" w:type="dxa"/>
            <w:tcBorders>
              <w:left w:val="single" w:sz="4" w:space="0" w:color="auto"/>
            </w:tcBorders>
            <w:shd w:val="clear" w:color="auto" w:fill="auto"/>
          </w:tcPr>
          <w:p w14:paraId="3263AB05" w14:textId="77777777" w:rsidR="002A4DDF" w:rsidRPr="00937C8B" w:rsidRDefault="002A4DDF" w:rsidP="009110ED">
            <w:pPr>
              <w:rPr>
                <w:rFonts w:ascii="Arial" w:hAnsi="Arial" w:cs="Arial"/>
                <w:sz w:val="12"/>
                <w:szCs w:val="12"/>
              </w:rPr>
            </w:pPr>
          </w:p>
        </w:tc>
        <w:tc>
          <w:tcPr>
            <w:tcW w:w="1843" w:type="dxa"/>
            <w:shd w:val="clear" w:color="auto" w:fill="auto"/>
          </w:tcPr>
          <w:p w14:paraId="34A4A33A" w14:textId="77777777" w:rsidR="002A4DDF" w:rsidRPr="00937C8B" w:rsidRDefault="002A4DDF" w:rsidP="009110ED">
            <w:pPr>
              <w:rPr>
                <w:rFonts w:ascii="Arial" w:hAnsi="Arial" w:cs="Arial"/>
                <w:sz w:val="12"/>
                <w:szCs w:val="12"/>
              </w:rPr>
            </w:pPr>
          </w:p>
        </w:tc>
        <w:tc>
          <w:tcPr>
            <w:tcW w:w="2268" w:type="dxa"/>
            <w:shd w:val="clear" w:color="auto" w:fill="F2F2F2"/>
            <w:hideMark/>
          </w:tcPr>
          <w:p w14:paraId="2B16BBB1" w14:textId="77777777" w:rsidR="002A4DDF" w:rsidRPr="00937C8B" w:rsidRDefault="002A4DDF" w:rsidP="009110ED">
            <w:pPr>
              <w:rPr>
                <w:rFonts w:ascii="Arial" w:hAnsi="Arial" w:cs="Arial"/>
                <w:sz w:val="12"/>
                <w:szCs w:val="12"/>
              </w:rPr>
            </w:pPr>
            <w:r>
              <w:rPr>
                <w:rFonts w:ascii="Arial" w:hAnsi="Arial"/>
                <w:sz w:val="12"/>
                <w:szCs w:val="12"/>
              </w:rPr>
              <w:t>Camponaraya</w:t>
            </w:r>
          </w:p>
        </w:tc>
        <w:tc>
          <w:tcPr>
            <w:tcW w:w="2268" w:type="dxa"/>
            <w:tcBorders>
              <w:right w:val="single" w:sz="4" w:space="0" w:color="auto"/>
            </w:tcBorders>
            <w:shd w:val="clear" w:color="auto" w:fill="D9D9D9"/>
            <w:hideMark/>
          </w:tcPr>
          <w:p w14:paraId="222B440D" w14:textId="77777777" w:rsidR="002A4DDF" w:rsidRPr="00937C8B" w:rsidRDefault="002A4DDF" w:rsidP="009110ED">
            <w:pPr>
              <w:rPr>
                <w:rFonts w:ascii="Arial" w:hAnsi="Arial" w:cs="Arial"/>
                <w:sz w:val="12"/>
                <w:szCs w:val="12"/>
              </w:rPr>
            </w:pPr>
            <w:r>
              <w:rPr>
                <w:rFonts w:ascii="Arial" w:hAnsi="Arial"/>
                <w:sz w:val="12"/>
                <w:szCs w:val="12"/>
              </w:rPr>
              <w:t>Oencia</w:t>
            </w:r>
          </w:p>
        </w:tc>
      </w:tr>
      <w:tr w:rsidR="002A4DDF" w:rsidRPr="00937C8B" w14:paraId="5B5C3C2E" w14:textId="77777777" w:rsidTr="00935676">
        <w:trPr>
          <w:cantSplit/>
        </w:trPr>
        <w:tc>
          <w:tcPr>
            <w:tcW w:w="1696" w:type="dxa"/>
            <w:tcBorders>
              <w:left w:val="single" w:sz="4" w:space="0" w:color="auto"/>
            </w:tcBorders>
            <w:shd w:val="clear" w:color="auto" w:fill="auto"/>
          </w:tcPr>
          <w:p w14:paraId="226A0C53" w14:textId="77777777" w:rsidR="002A4DDF" w:rsidRPr="00937C8B" w:rsidRDefault="002A4DDF" w:rsidP="009110ED">
            <w:pPr>
              <w:rPr>
                <w:rFonts w:ascii="Arial" w:hAnsi="Arial" w:cs="Arial"/>
                <w:sz w:val="12"/>
                <w:szCs w:val="12"/>
              </w:rPr>
            </w:pPr>
          </w:p>
        </w:tc>
        <w:tc>
          <w:tcPr>
            <w:tcW w:w="1843" w:type="dxa"/>
            <w:shd w:val="clear" w:color="auto" w:fill="auto"/>
          </w:tcPr>
          <w:p w14:paraId="5967895E" w14:textId="77777777" w:rsidR="002A4DDF" w:rsidRPr="00937C8B" w:rsidRDefault="002A4DDF" w:rsidP="009110ED">
            <w:pPr>
              <w:rPr>
                <w:rFonts w:ascii="Arial" w:hAnsi="Arial" w:cs="Arial"/>
                <w:sz w:val="12"/>
                <w:szCs w:val="12"/>
              </w:rPr>
            </w:pPr>
          </w:p>
        </w:tc>
        <w:tc>
          <w:tcPr>
            <w:tcW w:w="2268" w:type="dxa"/>
            <w:shd w:val="clear" w:color="auto" w:fill="F2F2F2"/>
            <w:hideMark/>
          </w:tcPr>
          <w:p w14:paraId="740DC458" w14:textId="77777777" w:rsidR="002A4DDF" w:rsidRPr="00937C8B" w:rsidRDefault="002A4DDF" w:rsidP="009110ED">
            <w:pPr>
              <w:rPr>
                <w:rFonts w:ascii="Arial" w:hAnsi="Arial" w:cs="Arial"/>
                <w:sz w:val="12"/>
                <w:szCs w:val="12"/>
              </w:rPr>
            </w:pPr>
            <w:r>
              <w:rPr>
                <w:rFonts w:ascii="Arial" w:hAnsi="Arial"/>
                <w:sz w:val="12"/>
                <w:szCs w:val="12"/>
              </w:rPr>
              <w:t>Cármenes</w:t>
            </w:r>
          </w:p>
        </w:tc>
        <w:tc>
          <w:tcPr>
            <w:tcW w:w="2268" w:type="dxa"/>
            <w:tcBorders>
              <w:right w:val="single" w:sz="4" w:space="0" w:color="auto"/>
            </w:tcBorders>
            <w:shd w:val="clear" w:color="auto" w:fill="D9D9D9"/>
            <w:hideMark/>
          </w:tcPr>
          <w:p w14:paraId="4F326512" w14:textId="77777777" w:rsidR="002A4DDF" w:rsidRPr="00937C8B" w:rsidRDefault="002A4DDF" w:rsidP="009110ED">
            <w:pPr>
              <w:rPr>
                <w:rFonts w:ascii="Arial" w:hAnsi="Arial" w:cs="Arial"/>
                <w:sz w:val="12"/>
                <w:szCs w:val="12"/>
              </w:rPr>
            </w:pPr>
            <w:r>
              <w:rPr>
                <w:rFonts w:ascii="Arial" w:hAnsi="Arial"/>
                <w:sz w:val="12"/>
                <w:szCs w:val="12"/>
              </w:rPr>
              <w:t>Palacios del Sil</w:t>
            </w:r>
          </w:p>
        </w:tc>
      </w:tr>
      <w:tr w:rsidR="002A4DDF" w:rsidRPr="00937C8B" w14:paraId="6FA71F10" w14:textId="77777777" w:rsidTr="00935676">
        <w:trPr>
          <w:cantSplit/>
        </w:trPr>
        <w:tc>
          <w:tcPr>
            <w:tcW w:w="1696" w:type="dxa"/>
            <w:tcBorders>
              <w:left w:val="single" w:sz="4" w:space="0" w:color="auto"/>
            </w:tcBorders>
            <w:shd w:val="clear" w:color="auto" w:fill="auto"/>
          </w:tcPr>
          <w:p w14:paraId="7C7D85FA" w14:textId="77777777" w:rsidR="002A4DDF" w:rsidRPr="00937C8B" w:rsidRDefault="002A4DDF" w:rsidP="009110ED">
            <w:pPr>
              <w:rPr>
                <w:rFonts w:ascii="Arial" w:hAnsi="Arial" w:cs="Arial"/>
                <w:sz w:val="12"/>
                <w:szCs w:val="12"/>
              </w:rPr>
            </w:pPr>
          </w:p>
        </w:tc>
        <w:tc>
          <w:tcPr>
            <w:tcW w:w="1843" w:type="dxa"/>
            <w:shd w:val="clear" w:color="auto" w:fill="auto"/>
          </w:tcPr>
          <w:p w14:paraId="7689BCC8" w14:textId="77777777" w:rsidR="002A4DDF" w:rsidRPr="00937C8B" w:rsidRDefault="002A4DDF" w:rsidP="009110ED">
            <w:pPr>
              <w:rPr>
                <w:rFonts w:ascii="Arial" w:hAnsi="Arial" w:cs="Arial"/>
                <w:sz w:val="12"/>
                <w:szCs w:val="12"/>
              </w:rPr>
            </w:pPr>
          </w:p>
        </w:tc>
        <w:tc>
          <w:tcPr>
            <w:tcW w:w="2268" w:type="dxa"/>
            <w:shd w:val="clear" w:color="auto" w:fill="F2F2F2"/>
            <w:hideMark/>
          </w:tcPr>
          <w:p w14:paraId="1D1C3354" w14:textId="77777777" w:rsidR="002A4DDF" w:rsidRPr="00937C8B" w:rsidRDefault="002A4DDF" w:rsidP="009110ED">
            <w:pPr>
              <w:rPr>
                <w:rFonts w:ascii="Arial" w:hAnsi="Arial" w:cs="Arial"/>
                <w:sz w:val="12"/>
                <w:szCs w:val="12"/>
              </w:rPr>
            </w:pPr>
            <w:r>
              <w:rPr>
                <w:rFonts w:ascii="Arial" w:hAnsi="Arial"/>
                <w:sz w:val="12"/>
                <w:szCs w:val="12"/>
              </w:rPr>
              <w:t>Carracedelo</w:t>
            </w:r>
          </w:p>
        </w:tc>
        <w:tc>
          <w:tcPr>
            <w:tcW w:w="2268" w:type="dxa"/>
            <w:tcBorders>
              <w:right w:val="single" w:sz="4" w:space="0" w:color="auto"/>
            </w:tcBorders>
            <w:shd w:val="clear" w:color="auto" w:fill="D9D9D9"/>
            <w:hideMark/>
          </w:tcPr>
          <w:p w14:paraId="5DE9DBEE" w14:textId="77777777" w:rsidR="002A4DDF" w:rsidRPr="00937C8B" w:rsidRDefault="002A4DDF" w:rsidP="009110ED">
            <w:pPr>
              <w:rPr>
                <w:rFonts w:ascii="Arial" w:hAnsi="Arial" w:cs="Arial"/>
                <w:sz w:val="12"/>
                <w:szCs w:val="12"/>
              </w:rPr>
            </w:pPr>
            <w:r>
              <w:rPr>
                <w:rFonts w:ascii="Arial" w:hAnsi="Arial"/>
                <w:sz w:val="12"/>
                <w:szCs w:val="12"/>
              </w:rPr>
              <w:t>Páramo del Sil</w:t>
            </w:r>
          </w:p>
        </w:tc>
      </w:tr>
      <w:tr w:rsidR="002A4DDF" w:rsidRPr="00937C8B" w14:paraId="70D521B1" w14:textId="77777777" w:rsidTr="00935676">
        <w:trPr>
          <w:cantSplit/>
        </w:trPr>
        <w:tc>
          <w:tcPr>
            <w:tcW w:w="1696" w:type="dxa"/>
            <w:tcBorders>
              <w:left w:val="single" w:sz="4" w:space="0" w:color="auto"/>
            </w:tcBorders>
            <w:shd w:val="clear" w:color="auto" w:fill="auto"/>
          </w:tcPr>
          <w:p w14:paraId="795F8E56" w14:textId="77777777" w:rsidR="002A4DDF" w:rsidRPr="00937C8B" w:rsidRDefault="002A4DDF" w:rsidP="009110ED">
            <w:pPr>
              <w:rPr>
                <w:rFonts w:ascii="Arial" w:hAnsi="Arial" w:cs="Arial"/>
                <w:sz w:val="12"/>
                <w:szCs w:val="12"/>
              </w:rPr>
            </w:pPr>
          </w:p>
        </w:tc>
        <w:tc>
          <w:tcPr>
            <w:tcW w:w="1843" w:type="dxa"/>
            <w:shd w:val="clear" w:color="auto" w:fill="auto"/>
          </w:tcPr>
          <w:p w14:paraId="61E47E3D" w14:textId="77777777" w:rsidR="002A4DDF" w:rsidRPr="00937C8B" w:rsidRDefault="002A4DDF" w:rsidP="009110ED">
            <w:pPr>
              <w:rPr>
                <w:rFonts w:ascii="Arial" w:hAnsi="Arial" w:cs="Arial"/>
                <w:sz w:val="12"/>
                <w:szCs w:val="12"/>
              </w:rPr>
            </w:pPr>
          </w:p>
        </w:tc>
        <w:tc>
          <w:tcPr>
            <w:tcW w:w="2268" w:type="dxa"/>
            <w:shd w:val="clear" w:color="auto" w:fill="F2F2F2"/>
            <w:hideMark/>
          </w:tcPr>
          <w:p w14:paraId="15CBD3E3" w14:textId="77777777" w:rsidR="002A4DDF" w:rsidRPr="00937C8B" w:rsidRDefault="002A4DDF" w:rsidP="009110ED">
            <w:pPr>
              <w:rPr>
                <w:rFonts w:ascii="Arial" w:hAnsi="Arial" w:cs="Arial"/>
                <w:sz w:val="12"/>
                <w:szCs w:val="12"/>
              </w:rPr>
            </w:pPr>
            <w:r>
              <w:rPr>
                <w:rFonts w:ascii="Arial" w:hAnsi="Arial"/>
                <w:sz w:val="12"/>
                <w:szCs w:val="12"/>
              </w:rPr>
              <w:t>Carrocera</w:t>
            </w:r>
          </w:p>
        </w:tc>
        <w:tc>
          <w:tcPr>
            <w:tcW w:w="2268" w:type="dxa"/>
            <w:tcBorders>
              <w:right w:val="single" w:sz="4" w:space="0" w:color="auto"/>
            </w:tcBorders>
            <w:shd w:val="clear" w:color="auto" w:fill="D9D9D9"/>
            <w:hideMark/>
          </w:tcPr>
          <w:p w14:paraId="478C6A41" w14:textId="77777777" w:rsidR="002A4DDF" w:rsidRPr="00937C8B" w:rsidRDefault="002A4DDF" w:rsidP="009110ED">
            <w:pPr>
              <w:rPr>
                <w:rFonts w:ascii="Arial" w:hAnsi="Arial" w:cs="Arial"/>
                <w:sz w:val="12"/>
                <w:szCs w:val="12"/>
              </w:rPr>
            </w:pPr>
            <w:r>
              <w:rPr>
                <w:rFonts w:ascii="Arial" w:hAnsi="Arial"/>
                <w:sz w:val="12"/>
                <w:szCs w:val="12"/>
              </w:rPr>
              <w:t>Peranzanes</w:t>
            </w:r>
          </w:p>
        </w:tc>
      </w:tr>
      <w:tr w:rsidR="002A4DDF" w:rsidRPr="00937C8B" w14:paraId="2E1E751B" w14:textId="77777777" w:rsidTr="00935676">
        <w:trPr>
          <w:cantSplit/>
        </w:trPr>
        <w:tc>
          <w:tcPr>
            <w:tcW w:w="1696" w:type="dxa"/>
            <w:tcBorders>
              <w:left w:val="single" w:sz="4" w:space="0" w:color="auto"/>
            </w:tcBorders>
            <w:shd w:val="clear" w:color="auto" w:fill="auto"/>
          </w:tcPr>
          <w:p w14:paraId="3B7A7A96" w14:textId="77777777" w:rsidR="002A4DDF" w:rsidRPr="00937C8B" w:rsidRDefault="002A4DDF" w:rsidP="009110ED">
            <w:pPr>
              <w:rPr>
                <w:rFonts w:ascii="Arial" w:hAnsi="Arial" w:cs="Arial"/>
                <w:sz w:val="12"/>
                <w:szCs w:val="12"/>
              </w:rPr>
            </w:pPr>
          </w:p>
        </w:tc>
        <w:tc>
          <w:tcPr>
            <w:tcW w:w="1843" w:type="dxa"/>
            <w:shd w:val="clear" w:color="auto" w:fill="auto"/>
          </w:tcPr>
          <w:p w14:paraId="64BDACEC" w14:textId="77777777" w:rsidR="002A4DDF" w:rsidRPr="00937C8B" w:rsidRDefault="002A4DDF" w:rsidP="009110ED">
            <w:pPr>
              <w:rPr>
                <w:rFonts w:ascii="Arial" w:hAnsi="Arial" w:cs="Arial"/>
                <w:sz w:val="12"/>
                <w:szCs w:val="12"/>
              </w:rPr>
            </w:pPr>
          </w:p>
        </w:tc>
        <w:tc>
          <w:tcPr>
            <w:tcW w:w="2268" w:type="dxa"/>
            <w:shd w:val="clear" w:color="auto" w:fill="F2F2F2"/>
            <w:hideMark/>
          </w:tcPr>
          <w:p w14:paraId="5B9FD12B" w14:textId="77777777" w:rsidR="002A4DDF" w:rsidRPr="00937C8B" w:rsidRDefault="002A4DDF" w:rsidP="009110ED">
            <w:pPr>
              <w:rPr>
                <w:rFonts w:ascii="Arial" w:hAnsi="Arial" w:cs="Arial"/>
                <w:sz w:val="12"/>
                <w:szCs w:val="12"/>
              </w:rPr>
            </w:pPr>
            <w:r>
              <w:rPr>
                <w:rFonts w:ascii="Arial" w:hAnsi="Arial"/>
                <w:sz w:val="12"/>
                <w:szCs w:val="12"/>
              </w:rPr>
              <w:t>Castrillo de Cabrera</w:t>
            </w:r>
          </w:p>
        </w:tc>
        <w:tc>
          <w:tcPr>
            <w:tcW w:w="2268" w:type="dxa"/>
            <w:tcBorders>
              <w:right w:val="single" w:sz="4" w:space="0" w:color="auto"/>
            </w:tcBorders>
            <w:shd w:val="clear" w:color="auto" w:fill="D9D9D9"/>
            <w:hideMark/>
          </w:tcPr>
          <w:p w14:paraId="1D284CFE" w14:textId="77777777" w:rsidR="002A4DDF" w:rsidRPr="00937C8B" w:rsidRDefault="002A4DDF" w:rsidP="009110ED">
            <w:pPr>
              <w:rPr>
                <w:rFonts w:ascii="Arial" w:hAnsi="Arial" w:cs="Arial"/>
                <w:sz w:val="12"/>
                <w:szCs w:val="12"/>
              </w:rPr>
            </w:pPr>
            <w:r>
              <w:rPr>
                <w:rFonts w:ascii="Arial" w:hAnsi="Arial"/>
                <w:sz w:val="12"/>
                <w:szCs w:val="12"/>
              </w:rPr>
              <w:t>Ponferrada</w:t>
            </w:r>
          </w:p>
        </w:tc>
      </w:tr>
      <w:tr w:rsidR="002A4DDF" w:rsidRPr="00937C8B" w14:paraId="4C26F5F6" w14:textId="77777777" w:rsidTr="00935676">
        <w:trPr>
          <w:cantSplit/>
        </w:trPr>
        <w:tc>
          <w:tcPr>
            <w:tcW w:w="1696" w:type="dxa"/>
            <w:tcBorders>
              <w:left w:val="single" w:sz="4" w:space="0" w:color="auto"/>
            </w:tcBorders>
            <w:shd w:val="clear" w:color="auto" w:fill="auto"/>
          </w:tcPr>
          <w:p w14:paraId="617F5590" w14:textId="77777777" w:rsidR="002A4DDF" w:rsidRPr="00937C8B" w:rsidRDefault="002A4DDF" w:rsidP="009110ED">
            <w:pPr>
              <w:rPr>
                <w:rFonts w:ascii="Arial" w:hAnsi="Arial" w:cs="Arial"/>
                <w:sz w:val="12"/>
                <w:szCs w:val="12"/>
              </w:rPr>
            </w:pPr>
          </w:p>
        </w:tc>
        <w:tc>
          <w:tcPr>
            <w:tcW w:w="1843" w:type="dxa"/>
            <w:shd w:val="clear" w:color="auto" w:fill="auto"/>
          </w:tcPr>
          <w:p w14:paraId="6D025D76" w14:textId="77777777" w:rsidR="002A4DDF" w:rsidRPr="00937C8B" w:rsidRDefault="002A4DDF" w:rsidP="009110ED">
            <w:pPr>
              <w:rPr>
                <w:rFonts w:ascii="Arial" w:hAnsi="Arial" w:cs="Arial"/>
                <w:sz w:val="12"/>
                <w:szCs w:val="12"/>
              </w:rPr>
            </w:pPr>
          </w:p>
        </w:tc>
        <w:tc>
          <w:tcPr>
            <w:tcW w:w="2268" w:type="dxa"/>
            <w:shd w:val="clear" w:color="auto" w:fill="F2F2F2"/>
            <w:hideMark/>
          </w:tcPr>
          <w:p w14:paraId="0EC86424" w14:textId="77777777" w:rsidR="002A4DDF" w:rsidRPr="00937C8B" w:rsidRDefault="002A4DDF" w:rsidP="009110ED">
            <w:pPr>
              <w:rPr>
                <w:rFonts w:ascii="Arial" w:hAnsi="Arial" w:cs="Arial"/>
                <w:sz w:val="12"/>
                <w:szCs w:val="12"/>
              </w:rPr>
            </w:pPr>
            <w:r>
              <w:rPr>
                <w:rFonts w:ascii="Arial" w:hAnsi="Arial"/>
                <w:sz w:val="12"/>
                <w:szCs w:val="12"/>
              </w:rPr>
              <w:t>Castrillo de la Valduerna</w:t>
            </w:r>
          </w:p>
        </w:tc>
        <w:tc>
          <w:tcPr>
            <w:tcW w:w="2268" w:type="dxa"/>
            <w:tcBorders>
              <w:right w:val="single" w:sz="4" w:space="0" w:color="auto"/>
            </w:tcBorders>
            <w:shd w:val="clear" w:color="auto" w:fill="D9D9D9"/>
            <w:hideMark/>
          </w:tcPr>
          <w:p w14:paraId="38B67EB0" w14:textId="77777777" w:rsidR="002A4DDF" w:rsidRPr="00937C8B" w:rsidRDefault="002A4DDF" w:rsidP="009110ED">
            <w:pPr>
              <w:rPr>
                <w:rFonts w:ascii="Arial" w:hAnsi="Arial" w:cs="Arial"/>
                <w:sz w:val="12"/>
                <w:szCs w:val="12"/>
              </w:rPr>
            </w:pPr>
            <w:r>
              <w:rPr>
                <w:rFonts w:ascii="Arial" w:hAnsi="Arial"/>
                <w:sz w:val="12"/>
                <w:szCs w:val="12"/>
              </w:rPr>
              <w:t>Quintana del Castillo</w:t>
            </w:r>
          </w:p>
        </w:tc>
      </w:tr>
      <w:tr w:rsidR="002A4DDF" w:rsidRPr="00937C8B" w14:paraId="553AA77E" w14:textId="77777777" w:rsidTr="00935676">
        <w:trPr>
          <w:cantSplit/>
        </w:trPr>
        <w:tc>
          <w:tcPr>
            <w:tcW w:w="1696" w:type="dxa"/>
            <w:tcBorders>
              <w:left w:val="single" w:sz="4" w:space="0" w:color="auto"/>
            </w:tcBorders>
            <w:shd w:val="clear" w:color="auto" w:fill="auto"/>
          </w:tcPr>
          <w:p w14:paraId="0DB6B7E9" w14:textId="77777777" w:rsidR="002A4DDF" w:rsidRPr="00937C8B" w:rsidRDefault="002A4DDF" w:rsidP="009110ED">
            <w:pPr>
              <w:rPr>
                <w:rFonts w:ascii="Arial" w:hAnsi="Arial" w:cs="Arial"/>
                <w:sz w:val="12"/>
                <w:szCs w:val="12"/>
              </w:rPr>
            </w:pPr>
          </w:p>
        </w:tc>
        <w:tc>
          <w:tcPr>
            <w:tcW w:w="1843" w:type="dxa"/>
            <w:shd w:val="clear" w:color="auto" w:fill="auto"/>
          </w:tcPr>
          <w:p w14:paraId="35BA1B72" w14:textId="77777777" w:rsidR="002A4DDF" w:rsidRPr="00937C8B" w:rsidRDefault="002A4DDF" w:rsidP="009110ED">
            <w:pPr>
              <w:rPr>
                <w:rFonts w:ascii="Arial" w:hAnsi="Arial" w:cs="Arial"/>
                <w:sz w:val="12"/>
                <w:szCs w:val="12"/>
              </w:rPr>
            </w:pPr>
          </w:p>
        </w:tc>
        <w:tc>
          <w:tcPr>
            <w:tcW w:w="2268" w:type="dxa"/>
            <w:shd w:val="clear" w:color="auto" w:fill="F2F2F2"/>
            <w:hideMark/>
          </w:tcPr>
          <w:p w14:paraId="3FBBA7ED" w14:textId="77777777" w:rsidR="002A4DDF" w:rsidRPr="00937C8B" w:rsidRDefault="002A4DDF" w:rsidP="009110ED">
            <w:pPr>
              <w:rPr>
                <w:rFonts w:ascii="Arial" w:hAnsi="Arial" w:cs="Arial"/>
                <w:sz w:val="12"/>
                <w:szCs w:val="12"/>
              </w:rPr>
            </w:pPr>
            <w:r>
              <w:rPr>
                <w:rFonts w:ascii="Arial" w:hAnsi="Arial"/>
                <w:sz w:val="12"/>
                <w:szCs w:val="12"/>
              </w:rPr>
              <w:t>Castrocalbón</w:t>
            </w:r>
          </w:p>
        </w:tc>
        <w:tc>
          <w:tcPr>
            <w:tcW w:w="2268" w:type="dxa"/>
            <w:tcBorders>
              <w:right w:val="single" w:sz="4" w:space="0" w:color="auto"/>
            </w:tcBorders>
            <w:shd w:val="clear" w:color="auto" w:fill="D9D9D9"/>
            <w:hideMark/>
          </w:tcPr>
          <w:p w14:paraId="1D25FBD4" w14:textId="77777777" w:rsidR="002A4DDF" w:rsidRPr="00937C8B" w:rsidRDefault="002A4DDF" w:rsidP="009110ED">
            <w:pPr>
              <w:rPr>
                <w:rFonts w:ascii="Arial" w:hAnsi="Arial" w:cs="Arial"/>
                <w:sz w:val="12"/>
                <w:szCs w:val="12"/>
              </w:rPr>
            </w:pPr>
            <w:r>
              <w:rPr>
                <w:rFonts w:ascii="Arial" w:hAnsi="Arial"/>
                <w:sz w:val="12"/>
                <w:szCs w:val="12"/>
              </w:rPr>
              <w:t>Santa María de Ordás</w:t>
            </w:r>
          </w:p>
        </w:tc>
      </w:tr>
      <w:tr w:rsidR="002A4DDF" w:rsidRPr="00937C8B" w14:paraId="2D4D8CA8" w14:textId="77777777" w:rsidTr="00935676">
        <w:trPr>
          <w:cantSplit/>
        </w:trPr>
        <w:tc>
          <w:tcPr>
            <w:tcW w:w="1696" w:type="dxa"/>
            <w:tcBorders>
              <w:left w:val="single" w:sz="4" w:space="0" w:color="auto"/>
            </w:tcBorders>
            <w:shd w:val="clear" w:color="auto" w:fill="auto"/>
          </w:tcPr>
          <w:p w14:paraId="46385E72" w14:textId="77777777" w:rsidR="002A4DDF" w:rsidRPr="00937C8B" w:rsidRDefault="002A4DDF" w:rsidP="009110ED">
            <w:pPr>
              <w:rPr>
                <w:rFonts w:ascii="Arial" w:hAnsi="Arial" w:cs="Arial"/>
                <w:sz w:val="12"/>
                <w:szCs w:val="12"/>
              </w:rPr>
            </w:pPr>
          </w:p>
        </w:tc>
        <w:tc>
          <w:tcPr>
            <w:tcW w:w="1843" w:type="dxa"/>
            <w:shd w:val="clear" w:color="auto" w:fill="auto"/>
          </w:tcPr>
          <w:p w14:paraId="7B8C14CD" w14:textId="77777777" w:rsidR="002A4DDF" w:rsidRPr="00937C8B" w:rsidRDefault="002A4DDF" w:rsidP="009110ED">
            <w:pPr>
              <w:rPr>
                <w:rFonts w:ascii="Arial" w:hAnsi="Arial" w:cs="Arial"/>
                <w:sz w:val="12"/>
                <w:szCs w:val="12"/>
              </w:rPr>
            </w:pPr>
          </w:p>
        </w:tc>
        <w:tc>
          <w:tcPr>
            <w:tcW w:w="2268" w:type="dxa"/>
            <w:shd w:val="clear" w:color="auto" w:fill="F2F2F2"/>
            <w:hideMark/>
          </w:tcPr>
          <w:p w14:paraId="4806F110" w14:textId="77777777" w:rsidR="002A4DDF" w:rsidRPr="00937C8B" w:rsidRDefault="002A4DDF" w:rsidP="009110ED">
            <w:pPr>
              <w:rPr>
                <w:rFonts w:ascii="Arial" w:hAnsi="Arial" w:cs="Arial"/>
                <w:sz w:val="12"/>
                <w:szCs w:val="12"/>
              </w:rPr>
            </w:pPr>
            <w:r>
              <w:rPr>
                <w:rFonts w:ascii="Arial" w:hAnsi="Arial"/>
                <w:sz w:val="12"/>
                <w:szCs w:val="12"/>
              </w:rPr>
              <w:t>Castrocontrigo</w:t>
            </w:r>
          </w:p>
        </w:tc>
        <w:tc>
          <w:tcPr>
            <w:tcW w:w="2268" w:type="dxa"/>
            <w:tcBorders>
              <w:right w:val="single" w:sz="4" w:space="0" w:color="auto"/>
            </w:tcBorders>
            <w:shd w:val="clear" w:color="auto" w:fill="D9D9D9"/>
            <w:hideMark/>
          </w:tcPr>
          <w:p w14:paraId="4D5ABE91" w14:textId="77777777" w:rsidR="002A4DDF" w:rsidRPr="00937C8B" w:rsidRDefault="002A4DDF" w:rsidP="009110ED">
            <w:pPr>
              <w:rPr>
                <w:rFonts w:ascii="Arial" w:hAnsi="Arial" w:cs="Arial"/>
                <w:sz w:val="12"/>
                <w:szCs w:val="12"/>
              </w:rPr>
            </w:pPr>
            <w:r>
              <w:rPr>
                <w:rFonts w:ascii="Arial" w:hAnsi="Arial"/>
                <w:sz w:val="12"/>
                <w:szCs w:val="12"/>
              </w:rPr>
              <w:t>Sobrado</w:t>
            </w:r>
          </w:p>
        </w:tc>
      </w:tr>
      <w:tr w:rsidR="002A4DDF" w:rsidRPr="00937C8B" w14:paraId="037E9786" w14:textId="77777777" w:rsidTr="00935676">
        <w:trPr>
          <w:cantSplit/>
        </w:trPr>
        <w:tc>
          <w:tcPr>
            <w:tcW w:w="1696" w:type="dxa"/>
            <w:tcBorders>
              <w:left w:val="single" w:sz="4" w:space="0" w:color="auto"/>
            </w:tcBorders>
            <w:shd w:val="clear" w:color="auto" w:fill="auto"/>
          </w:tcPr>
          <w:p w14:paraId="1319C38E" w14:textId="77777777" w:rsidR="002A4DDF" w:rsidRPr="00937C8B" w:rsidRDefault="002A4DDF" w:rsidP="009110ED">
            <w:pPr>
              <w:rPr>
                <w:rFonts w:ascii="Arial" w:hAnsi="Arial" w:cs="Arial"/>
                <w:sz w:val="12"/>
                <w:szCs w:val="12"/>
              </w:rPr>
            </w:pPr>
          </w:p>
        </w:tc>
        <w:tc>
          <w:tcPr>
            <w:tcW w:w="1843" w:type="dxa"/>
            <w:shd w:val="clear" w:color="auto" w:fill="auto"/>
          </w:tcPr>
          <w:p w14:paraId="5E6FCCBE" w14:textId="77777777" w:rsidR="002A4DDF" w:rsidRPr="00937C8B" w:rsidRDefault="002A4DDF" w:rsidP="009110ED">
            <w:pPr>
              <w:rPr>
                <w:rFonts w:ascii="Arial" w:hAnsi="Arial" w:cs="Arial"/>
                <w:sz w:val="12"/>
                <w:szCs w:val="12"/>
              </w:rPr>
            </w:pPr>
          </w:p>
        </w:tc>
        <w:tc>
          <w:tcPr>
            <w:tcW w:w="2268" w:type="dxa"/>
            <w:shd w:val="clear" w:color="auto" w:fill="F2F2F2"/>
            <w:hideMark/>
          </w:tcPr>
          <w:p w14:paraId="020E6AAC" w14:textId="77777777" w:rsidR="002A4DDF" w:rsidRPr="00937C8B" w:rsidRDefault="002A4DDF" w:rsidP="009110ED">
            <w:pPr>
              <w:rPr>
                <w:rFonts w:ascii="Arial" w:hAnsi="Arial" w:cs="Arial"/>
                <w:sz w:val="12"/>
                <w:szCs w:val="12"/>
              </w:rPr>
            </w:pPr>
            <w:r>
              <w:rPr>
                <w:rFonts w:ascii="Arial" w:hAnsi="Arial"/>
                <w:sz w:val="12"/>
                <w:szCs w:val="12"/>
              </w:rPr>
              <w:t>Castropodame</w:t>
            </w:r>
          </w:p>
        </w:tc>
        <w:tc>
          <w:tcPr>
            <w:tcW w:w="2268" w:type="dxa"/>
            <w:tcBorders>
              <w:right w:val="single" w:sz="4" w:space="0" w:color="auto"/>
            </w:tcBorders>
            <w:shd w:val="clear" w:color="auto" w:fill="D9D9D9"/>
            <w:hideMark/>
          </w:tcPr>
          <w:p w14:paraId="7E1EED32" w14:textId="77777777" w:rsidR="002A4DDF" w:rsidRPr="00937C8B" w:rsidRDefault="002A4DDF" w:rsidP="009110ED">
            <w:pPr>
              <w:rPr>
                <w:rFonts w:ascii="Arial" w:hAnsi="Arial" w:cs="Arial"/>
                <w:sz w:val="12"/>
                <w:szCs w:val="12"/>
              </w:rPr>
            </w:pPr>
            <w:r>
              <w:rPr>
                <w:rFonts w:ascii="Arial" w:hAnsi="Arial"/>
                <w:sz w:val="12"/>
                <w:szCs w:val="12"/>
              </w:rPr>
              <w:t>Truchas</w:t>
            </w:r>
          </w:p>
        </w:tc>
      </w:tr>
      <w:tr w:rsidR="002A4DDF" w:rsidRPr="00937C8B" w14:paraId="5449EB1F" w14:textId="77777777" w:rsidTr="00935676">
        <w:trPr>
          <w:cantSplit/>
        </w:trPr>
        <w:tc>
          <w:tcPr>
            <w:tcW w:w="1696" w:type="dxa"/>
            <w:tcBorders>
              <w:left w:val="single" w:sz="4" w:space="0" w:color="auto"/>
            </w:tcBorders>
            <w:shd w:val="clear" w:color="auto" w:fill="auto"/>
          </w:tcPr>
          <w:p w14:paraId="2A879991" w14:textId="77777777" w:rsidR="002A4DDF" w:rsidRPr="00937C8B" w:rsidRDefault="002A4DDF" w:rsidP="009110ED">
            <w:pPr>
              <w:rPr>
                <w:rFonts w:ascii="Arial" w:hAnsi="Arial" w:cs="Arial"/>
                <w:sz w:val="12"/>
                <w:szCs w:val="12"/>
              </w:rPr>
            </w:pPr>
          </w:p>
        </w:tc>
        <w:tc>
          <w:tcPr>
            <w:tcW w:w="1843" w:type="dxa"/>
            <w:shd w:val="clear" w:color="auto" w:fill="auto"/>
          </w:tcPr>
          <w:p w14:paraId="2F1B17C2" w14:textId="77777777" w:rsidR="002A4DDF" w:rsidRPr="00937C8B" w:rsidRDefault="002A4DDF" w:rsidP="009110ED">
            <w:pPr>
              <w:rPr>
                <w:rFonts w:ascii="Arial" w:hAnsi="Arial" w:cs="Arial"/>
                <w:sz w:val="12"/>
                <w:szCs w:val="12"/>
              </w:rPr>
            </w:pPr>
          </w:p>
        </w:tc>
        <w:tc>
          <w:tcPr>
            <w:tcW w:w="2268" w:type="dxa"/>
            <w:shd w:val="clear" w:color="auto" w:fill="F2F2F2"/>
            <w:hideMark/>
          </w:tcPr>
          <w:p w14:paraId="3D6B3D47" w14:textId="77777777" w:rsidR="002A4DDF" w:rsidRPr="00937C8B" w:rsidRDefault="002A4DDF" w:rsidP="009110ED">
            <w:pPr>
              <w:rPr>
                <w:rFonts w:ascii="Arial" w:hAnsi="Arial" w:cs="Arial"/>
                <w:sz w:val="12"/>
                <w:szCs w:val="12"/>
              </w:rPr>
            </w:pPr>
            <w:r>
              <w:rPr>
                <w:rFonts w:ascii="Arial" w:hAnsi="Arial"/>
                <w:sz w:val="12"/>
                <w:szCs w:val="12"/>
              </w:rPr>
              <w:t>Crémenes</w:t>
            </w:r>
          </w:p>
        </w:tc>
        <w:tc>
          <w:tcPr>
            <w:tcW w:w="2268" w:type="dxa"/>
            <w:tcBorders>
              <w:right w:val="single" w:sz="4" w:space="0" w:color="auto"/>
            </w:tcBorders>
            <w:shd w:val="clear" w:color="auto" w:fill="D9D9D9"/>
          </w:tcPr>
          <w:p w14:paraId="561A916D" w14:textId="77777777" w:rsidR="002A4DDF" w:rsidRPr="00937C8B" w:rsidRDefault="002A4DDF" w:rsidP="009110ED">
            <w:pPr>
              <w:rPr>
                <w:rFonts w:ascii="Arial" w:hAnsi="Arial" w:cs="Arial"/>
                <w:sz w:val="12"/>
                <w:szCs w:val="12"/>
              </w:rPr>
            </w:pPr>
            <w:r>
              <w:rPr>
                <w:rFonts w:ascii="Arial" w:hAnsi="Arial"/>
                <w:sz w:val="12"/>
                <w:szCs w:val="12"/>
              </w:rPr>
              <w:t>Vega de Valcarce</w:t>
            </w:r>
          </w:p>
        </w:tc>
      </w:tr>
      <w:tr w:rsidR="002A4DDF" w:rsidRPr="00937C8B" w14:paraId="560A825A" w14:textId="77777777" w:rsidTr="00935676">
        <w:trPr>
          <w:cantSplit/>
        </w:trPr>
        <w:tc>
          <w:tcPr>
            <w:tcW w:w="1696" w:type="dxa"/>
            <w:tcBorders>
              <w:left w:val="single" w:sz="4" w:space="0" w:color="auto"/>
            </w:tcBorders>
            <w:shd w:val="clear" w:color="auto" w:fill="auto"/>
          </w:tcPr>
          <w:p w14:paraId="32CDED03" w14:textId="77777777" w:rsidR="002A4DDF" w:rsidRPr="00937C8B" w:rsidRDefault="002A4DDF" w:rsidP="009110ED">
            <w:pPr>
              <w:rPr>
                <w:rFonts w:ascii="Arial" w:hAnsi="Arial" w:cs="Arial"/>
                <w:sz w:val="12"/>
                <w:szCs w:val="12"/>
              </w:rPr>
            </w:pPr>
          </w:p>
        </w:tc>
        <w:tc>
          <w:tcPr>
            <w:tcW w:w="1843" w:type="dxa"/>
            <w:shd w:val="clear" w:color="auto" w:fill="auto"/>
          </w:tcPr>
          <w:p w14:paraId="210A6362" w14:textId="77777777" w:rsidR="002A4DDF" w:rsidRPr="00937C8B" w:rsidRDefault="002A4DDF" w:rsidP="009110ED">
            <w:pPr>
              <w:rPr>
                <w:rFonts w:ascii="Arial" w:hAnsi="Arial" w:cs="Arial"/>
                <w:sz w:val="12"/>
                <w:szCs w:val="12"/>
              </w:rPr>
            </w:pPr>
          </w:p>
        </w:tc>
        <w:tc>
          <w:tcPr>
            <w:tcW w:w="2268" w:type="dxa"/>
            <w:shd w:val="clear" w:color="auto" w:fill="F2F2F2"/>
            <w:hideMark/>
          </w:tcPr>
          <w:p w14:paraId="26937188" w14:textId="77777777" w:rsidR="002A4DDF" w:rsidRPr="00937C8B" w:rsidRDefault="002A4DDF" w:rsidP="009110ED">
            <w:pPr>
              <w:rPr>
                <w:rFonts w:ascii="Arial" w:hAnsi="Arial" w:cs="Arial"/>
                <w:sz w:val="12"/>
                <w:szCs w:val="12"/>
              </w:rPr>
            </w:pPr>
            <w:r>
              <w:rPr>
                <w:rFonts w:ascii="Arial" w:hAnsi="Arial"/>
                <w:sz w:val="12"/>
                <w:szCs w:val="12"/>
              </w:rPr>
              <w:t>Cuadros</w:t>
            </w:r>
          </w:p>
        </w:tc>
        <w:tc>
          <w:tcPr>
            <w:tcW w:w="2268" w:type="dxa"/>
            <w:tcBorders>
              <w:right w:val="single" w:sz="4" w:space="0" w:color="auto"/>
            </w:tcBorders>
            <w:shd w:val="clear" w:color="auto" w:fill="D9D9D9"/>
          </w:tcPr>
          <w:p w14:paraId="01773A76" w14:textId="77777777" w:rsidR="002A4DDF" w:rsidRPr="00937C8B" w:rsidRDefault="002A4DDF" w:rsidP="009110ED">
            <w:pPr>
              <w:rPr>
                <w:rFonts w:ascii="Arial" w:hAnsi="Arial" w:cs="Arial"/>
                <w:sz w:val="12"/>
                <w:szCs w:val="12"/>
              </w:rPr>
            </w:pPr>
            <w:r>
              <w:rPr>
                <w:rFonts w:ascii="Arial" w:hAnsi="Arial"/>
                <w:sz w:val="12"/>
                <w:szCs w:val="12"/>
              </w:rPr>
              <w:t>Villagatón</w:t>
            </w:r>
          </w:p>
        </w:tc>
      </w:tr>
      <w:tr w:rsidR="002A4DDF" w:rsidRPr="00937C8B" w14:paraId="67DF82E4" w14:textId="77777777" w:rsidTr="00935676">
        <w:trPr>
          <w:cantSplit/>
        </w:trPr>
        <w:tc>
          <w:tcPr>
            <w:tcW w:w="1696" w:type="dxa"/>
            <w:tcBorders>
              <w:left w:val="single" w:sz="4" w:space="0" w:color="auto"/>
            </w:tcBorders>
            <w:shd w:val="clear" w:color="auto" w:fill="auto"/>
          </w:tcPr>
          <w:p w14:paraId="6C37AD75" w14:textId="77777777" w:rsidR="002A4DDF" w:rsidRPr="00937C8B" w:rsidRDefault="002A4DDF" w:rsidP="009110ED">
            <w:pPr>
              <w:rPr>
                <w:rFonts w:ascii="Arial" w:hAnsi="Arial" w:cs="Arial"/>
                <w:sz w:val="12"/>
                <w:szCs w:val="12"/>
              </w:rPr>
            </w:pPr>
          </w:p>
        </w:tc>
        <w:tc>
          <w:tcPr>
            <w:tcW w:w="1843" w:type="dxa"/>
            <w:shd w:val="clear" w:color="auto" w:fill="auto"/>
          </w:tcPr>
          <w:p w14:paraId="2F0642FD" w14:textId="77777777" w:rsidR="002A4DDF" w:rsidRPr="00937C8B" w:rsidRDefault="002A4DDF" w:rsidP="009110ED">
            <w:pPr>
              <w:rPr>
                <w:rFonts w:ascii="Arial" w:hAnsi="Arial" w:cs="Arial"/>
                <w:sz w:val="12"/>
                <w:szCs w:val="12"/>
              </w:rPr>
            </w:pPr>
          </w:p>
        </w:tc>
        <w:tc>
          <w:tcPr>
            <w:tcW w:w="2268" w:type="dxa"/>
            <w:shd w:val="clear" w:color="auto" w:fill="F2F2F2"/>
            <w:hideMark/>
          </w:tcPr>
          <w:p w14:paraId="1E44A387" w14:textId="77777777" w:rsidR="002A4DDF" w:rsidRPr="00937C8B" w:rsidRDefault="002A4DDF" w:rsidP="009110ED">
            <w:pPr>
              <w:rPr>
                <w:rFonts w:ascii="Arial" w:hAnsi="Arial" w:cs="Arial"/>
                <w:sz w:val="12"/>
                <w:szCs w:val="12"/>
              </w:rPr>
            </w:pPr>
            <w:r>
              <w:rPr>
                <w:rFonts w:ascii="Arial" w:hAnsi="Arial"/>
                <w:sz w:val="12"/>
                <w:szCs w:val="12"/>
              </w:rPr>
              <w:t>Cubillos del Sil</w:t>
            </w:r>
          </w:p>
        </w:tc>
        <w:tc>
          <w:tcPr>
            <w:tcW w:w="2268" w:type="dxa"/>
            <w:tcBorders>
              <w:right w:val="single" w:sz="4" w:space="0" w:color="auto"/>
            </w:tcBorders>
            <w:shd w:val="clear" w:color="auto" w:fill="D9D9D9"/>
            <w:hideMark/>
          </w:tcPr>
          <w:p w14:paraId="4A422DB0" w14:textId="77777777" w:rsidR="002A4DDF" w:rsidRPr="00937C8B" w:rsidRDefault="002A4DDF" w:rsidP="009110ED">
            <w:pPr>
              <w:rPr>
                <w:rFonts w:ascii="Arial" w:hAnsi="Arial" w:cs="Arial"/>
                <w:sz w:val="12"/>
                <w:szCs w:val="12"/>
              </w:rPr>
            </w:pPr>
          </w:p>
        </w:tc>
      </w:tr>
      <w:tr w:rsidR="002A4DDF" w:rsidRPr="00937C8B" w14:paraId="0CB39313" w14:textId="77777777" w:rsidTr="00935676">
        <w:trPr>
          <w:cantSplit/>
        </w:trPr>
        <w:tc>
          <w:tcPr>
            <w:tcW w:w="1696" w:type="dxa"/>
            <w:tcBorders>
              <w:left w:val="single" w:sz="4" w:space="0" w:color="auto"/>
            </w:tcBorders>
            <w:shd w:val="clear" w:color="auto" w:fill="auto"/>
          </w:tcPr>
          <w:p w14:paraId="04AD4963" w14:textId="77777777" w:rsidR="002A4DDF" w:rsidRPr="00937C8B" w:rsidRDefault="002A4DDF" w:rsidP="009110ED">
            <w:pPr>
              <w:rPr>
                <w:rFonts w:ascii="Arial" w:hAnsi="Arial" w:cs="Arial"/>
                <w:sz w:val="12"/>
                <w:szCs w:val="12"/>
              </w:rPr>
            </w:pPr>
          </w:p>
        </w:tc>
        <w:tc>
          <w:tcPr>
            <w:tcW w:w="1843" w:type="dxa"/>
            <w:shd w:val="clear" w:color="auto" w:fill="auto"/>
          </w:tcPr>
          <w:p w14:paraId="06E5054E" w14:textId="77777777" w:rsidR="002A4DDF" w:rsidRPr="00937C8B" w:rsidRDefault="002A4DDF" w:rsidP="009110ED">
            <w:pPr>
              <w:rPr>
                <w:rFonts w:ascii="Arial" w:hAnsi="Arial" w:cs="Arial"/>
                <w:sz w:val="12"/>
                <w:szCs w:val="12"/>
              </w:rPr>
            </w:pPr>
          </w:p>
        </w:tc>
        <w:tc>
          <w:tcPr>
            <w:tcW w:w="2268" w:type="dxa"/>
            <w:shd w:val="clear" w:color="auto" w:fill="F2F2F2"/>
            <w:hideMark/>
          </w:tcPr>
          <w:p w14:paraId="1B092681" w14:textId="77777777" w:rsidR="002A4DDF" w:rsidRPr="00937C8B" w:rsidRDefault="002A4DDF" w:rsidP="009110ED">
            <w:pPr>
              <w:rPr>
                <w:rFonts w:ascii="Arial" w:hAnsi="Arial" w:cs="Arial"/>
                <w:sz w:val="12"/>
                <w:szCs w:val="12"/>
              </w:rPr>
            </w:pPr>
            <w:r>
              <w:rPr>
                <w:rFonts w:ascii="Arial" w:hAnsi="Arial"/>
                <w:sz w:val="12"/>
                <w:szCs w:val="12"/>
              </w:rPr>
              <w:t>Destriana</w:t>
            </w:r>
          </w:p>
        </w:tc>
        <w:tc>
          <w:tcPr>
            <w:tcW w:w="2268" w:type="dxa"/>
            <w:tcBorders>
              <w:right w:val="single" w:sz="4" w:space="0" w:color="auto"/>
            </w:tcBorders>
            <w:shd w:val="clear" w:color="auto" w:fill="D9D9D9"/>
            <w:hideMark/>
          </w:tcPr>
          <w:p w14:paraId="4916D9EF" w14:textId="77777777" w:rsidR="002A4DDF" w:rsidRPr="00937C8B" w:rsidRDefault="002A4DDF" w:rsidP="009110ED">
            <w:pPr>
              <w:rPr>
                <w:rFonts w:ascii="Arial" w:hAnsi="Arial" w:cs="Arial"/>
                <w:sz w:val="12"/>
                <w:szCs w:val="12"/>
              </w:rPr>
            </w:pPr>
          </w:p>
        </w:tc>
      </w:tr>
      <w:tr w:rsidR="002A4DDF" w:rsidRPr="00937C8B" w14:paraId="204E8E07" w14:textId="77777777" w:rsidTr="00935676">
        <w:trPr>
          <w:cantSplit/>
        </w:trPr>
        <w:tc>
          <w:tcPr>
            <w:tcW w:w="1696" w:type="dxa"/>
            <w:tcBorders>
              <w:left w:val="single" w:sz="4" w:space="0" w:color="auto"/>
            </w:tcBorders>
            <w:shd w:val="clear" w:color="auto" w:fill="auto"/>
          </w:tcPr>
          <w:p w14:paraId="601DECEF" w14:textId="77777777" w:rsidR="002A4DDF" w:rsidRPr="00937C8B" w:rsidRDefault="002A4DDF" w:rsidP="009110ED">
            <w:pPr>
              <w:rPr>
                <w:rFonts w:ascii="Arial" w:hAnsi="Arial" w:cs="Arial"/>
                <w:sz w:val="12"/>
                <w:szCs w:val="12"/>
              </w:rPr>
            </w:pPr>
          </w:p>
        </w:tc>
        <w:tc>
          <w:tcPr>
            <w:tcW w:w="1843" w:type="dxa"/>
            <w:shd w:val="clear" w:color="auto" w:fill="auto"/>
          </w:tcPr>
          <w:p w14:paraId="77176D07" w14:textId="77777777" w:rsidR="002A4DDF" w:rsidRPr="00937C8B" w:rsidRDefault="002A4DDF" w:rsidP="009110ED">
            <w:pPr>
              <w:rPr>
                <w:rFonts w:ascii="Arial" w:hAnsi="Arial" w:cs="Arial"/>
                <w:sz w:val="12"/>
                <w:szCs w:val="12"/>
              </w:rPr>
            </w:pPr>
          </w:p>
        </w:tc>
        <w:tc>
          <w:tcPr>
            <w:tcW w:w="2268" w:type="dxa"/>
            <w:shd w:val="clear" w:color="auto" w:fill="F2F2F2"/>
            <w:hideMark/>
          </w:tcPr>
          <w:p w14:paraId="58BEAE70" w14:textId="77777777" w:rsidR="002A4DDF" w:rsidRPr="00937C8B" w:rsidRDefault="002A4DDF" w:rsidP="009110ED">
            <w:pPr>
              <w:rPr>
                <w:rFonts w:ascii="Arial" w:hAnsi="Arial" w:cs="Arial"/>
                <w:sz w:val="12"/>
                <w:szCs w:val="12"/>
              </w:rPr>
            </w:pPr>
            <w:r>
              <w:rPr>
                <w:rFonts w:ascii="Arial" w:hAnsi="Arial"/>
                <w:sz w:val="12"/>
                <w:szCs w:val="12"/>
              </w:rPr>
              <w:t>Escobar de Campos</w:t>
            </w:r>
          </w:p>
        </w:tc>
        <w:tc>
          <w:tcPr>
            <w:tcW w:w="2268" w:type="dxa"/>
            <w:tcBorders>
              <w:right w:val="single" w:sz="4" w:space="0" w:color="auto"/>
            </w:tcBorders>
            <w:shd w:val="clear" w:color="auto" w:fill="D9D9D9"/>
            <w:hideMark/>
          </w:tcPr>
          <w:p w14:paraId="2636D322" w14:textId="77777777" w:rsidR="002A4DDF" w:rsidRPr="00937C8B" w:rsidRDefault="002A4DDF" w:rsidP="009110ED">
            <w:pPr>
              <w:rPr>
                <w:rFonts w:ascii="Arial" w:hAnsi="Arial" w:cs="Arial"/>
                <w:sz w:val="12"/>
                <w:szCs w:val="12"/>
              </w:rPr>
            </w:pPr>
          </w:p>
        </w:tc>
      </w:tr>
      <w:tr w:rsidR="002A4DDF" w:rsidRPr="00937C8B" w14:paraId="6D209E85" w14:textId="77777777" w:rsidTr="00935676">
        <w:trPr>
          <w:cantSplit/>
        </w:trPr>
        <w:tc>
          <w:tcPr>
            <w:tcW w:w="1696" w:type="dxa"/>
            <w:tcBorders>
              <w:left w:val="single" w:sz="4" w:space="0" w:color="auto"/>
            </w:tcBorders>
            <w:shd w:val="clear" w:color="auto" w:fill="auto"/>
          </w:tcPr>
          <w:p w14:paraId="00AB71BF" w14:textId="77777777" w:rsidR="002A4DDF" w:rsidRPr="00937C8B" w:rsidRDefault="002A4DDF" w:rsidP="009110ED">
            <w:pPr>
              <w:rPr>
                <w:rFonts w:ascii="Arial" w:hAnsi="Arial" w:cs="Arial"/>
                <w:sz w:val="12"/>
                <w:szCs w:val="12"/>
              </w:rPr>
            </w:pPr>
          </w:p>
        </w:tc>
        <w:tc>
          <w:tcPr>
            <w:tcW w:w="1843" w:type="dxa"/>
            <w:shd w:val="clear" w:color="auto" w:fill="auto"/>
          </w:tcPr>
          <w:p w14:paraId="4C375FA3" w14:textId="77777777" w:rsidR="002A4DDF" w:rsidRPr="00937C8B" w:rsidRDefault="002A4DDF" w:rsidP="009110ED">
            <w:pPr>
              <w:rPr>
                <w:rFonts w:ascii="Arial" w:hAnsi="Arial" w:cs="Arial"/>
                <w:sz w:val="12"/>
                <w:szCs w:val="12"/>
              </w:rPr>
            </w:pPr>
          </w:p>
        </w:tc>
        <w:tc>
          <w:tcPr>
            <w:tcW w:w="2268" w:type="dxa"/>
            <w:shd w:val="clear" w:color="auto" w:fill="F2F2F2"/>
            <w:hideMark/>
          </w:tcPr>
          <w:p w14:paraId="035CD35A" w14:textId="77777777" w:rsidR="002A4DDF" w:rsidRPr="00937C8B" w:rsidRDefault="002A4DDF" w:rsidP="009110ED">
            <w:pPr>
              <w:rPr>
                <w:rFonts w:ascii="Arial" w:hAnsi="Arial" w:cs="Arial"/>
                <w:sz w:val="12"/>
                <w:szCs w:val="12"/>
              </w:rPr>
            </w:pPr>
            <w:r>
              <w:rPr>
                <w:rFonts w:ascii="Arial" w:hAnsi="Arial"/>
                <w:sz w:val="12"/>
                <w:szCs w:val="12"/>
              </w:rPr>
              <w:t>Fabero</w:t>
            </w:r>
          </w:p>
        </w:tc>
        <w:tc>
          <w:tcPr>
            <w:tcW w:w="2268" w:type="dxa"/>
            <w:tcBorders>
              <w:right w:val="single" w:sz="4" w:space="0" w:color="auto"/>
            </w:tcBorders>
            <w:shd w:val="clear" w:color="auto" w:fill="D9D9D9"/>
            <w:hideMark/>
          </w:tcPr>
          <w:p w14:paraId="1B24C830" w14:textId="77777777" w:rsidR="002A4DDF" w:rsidRPr="00937C8B" w:rsidRDefault="002A4DDF" w:rsidP="009110ED">
            <w:pPr>
              <w:rPr>
                <w:rFonts w:ascii="Arial" w:hAnsi="Arial" w:cs="Arial"/>
                <w:sz w:val="12"/>
                <w:szCs w:val="12"/>
              </w:rPr>
            </w:pPr>
          </w:p>
        </w:tc>
      </w:tr>
      <w:tr w:rsidR="002A4DDF" w:rsidRPr="00937C8B" w14:paraId="7631FCDA" w14:textId="77777777" w:rsidTr="00935676">
        <w:trPr>
          <w:cantSplit/>
        </w:trPr>
        <w:tc>
          <w:tcPr>
            <w:tcW w:w="1696" w:type="dxa"/>
            <w:tcBorders>
              <w:left w:val="single" w:sz="4" w:space="0" w:color="auto"/>
            </w:tcBorders>
            <w:shd w:val="clear" w:color="auto" w:fill="auto"/>
          </w:tcPr>
          <w:p w14:paraId="176E404A" w14:textId="77777777" w:rsidR="002A4DDF" w:rsidRPr="00937C8B" w:rsidRDefault="002A4DDF" w:rsidP="009110ED">
            <w:pPr>
              <w:rPr>
                <w:rFonts w:ascii="Arial" w:hAnsi="Arial" w:cs="Arial"/>
                <w:sz w:val="12"/>
                <w:szCs w:val="12"/>
              </w:rPr>
            </w:pPr>
          </w:p>
        </w:tc>
        <w:tc>
          <w:tcPr>
            <w:tcW w:w="1843" w:type="dxa"/>
            <w:shd w:val="clear" w:color="auto" w:fill="auto"/>
          </w:tcPr>
          <w:p w14:paraId="7BA526FA" w14:textId="77777777" w:rsidR="002A4DDF" w:rsidRPr="00937C8B" w:rsidRDefault="002A4DDF" w:rsidP="009110ED">
            <w:pPr>
              <w:rPr>
                <w:rFonts w:ascii="Arial" w:hAnsi="Arial" w:cs="Arial"/>
                <w:sz w:val="12"/>
                <w:szCs w:val="12"/>
              </w:rPr>
            </w:pPr>
          </w:p>
        </w:tc>
        <w:tc>
          <w:tcPr>
            <w:tcW w:w="2268" w:type="dxa"/>
            <w:shd w:val="clear" w:color="auto" w:fill="F2F2F2"/>
            <w:hideMark/>
          </w:tcPr>
          <w:p w14:paraId="09D54BB2" w14:textId="77777777" w:rsidR="002A4DDF" w:rsidRPr="00937C8B" w:rsidRDefault="002A4DDF" w:rsidP="009110ED">
            <w:pPr>
              <w:rPr>
                <w:rFonts w:ascii="Arial" w:hAnsi="Arial" w:cs="Arial"/>
                <w:sz w:val="12"/>
                <w:szCs w:val="12"/>
              </w:rPr>
            </w:pPr>
            <w:r>
              <w:rPr>
                <w:rFonts w:ascii="Arial" w:hAnsi="Arial"/>
                <w:sz w:val="12"/>
                <w:szCs w:val="12"/>
              </w:rPr>
              <w:t>Folgoso de la Ribera</w:t>
            </w:r>
          </w:p>
        </w:tc>
        <w:tc>
          <w:tcPr>
            <w:tcW w:w="2268" w:type="dxa"/>
            <w:tcBorders>
              <w:right w:val="single" w:sz="4" w:space="0" w:color="auto"/>
            </w:tcBorders>
            <w:shd w:val="clear" w:color="auto" w:fill="D9D9D9"/>
            <w:hideMark/>
          </w:tcPr>
          <w:p w14:paraId="56C59D57" w14:textId="77777777" w:rsidR="002A4DDF" w:rsidRPr="00937C8B" w:rsidRDefault="002A4DDF" w:rsidP="009110ED">
            <w:pPr>
              <w:rPr>
                <w:rFonts w:ascii="Arial" w:hAnsi="Arial" w:cs="Arial"/>
                <w:sz w:val="12"/>
                <w:szCs w:val="12"/>
              </w:rPr>
            </w:pPr>
          </w:p>
        </w:tc>
      </w:tr>
      <w:tr w:rsidR="002A4DDF" w:rsidRPr="00937C8B" w14:paraId="7BC46904" w14:textId="77777777" w:rsidTr="00935676">
        <w:trPr>
          <w:cantSplit/>
        </w:trPr>
        <w:tc>
          <w:tcPr>
            <w:tcW w:w="1696" w:type="dxa"/>
            <w:tcBorders>
              <w:left w:val="single" w:sz="4" w:space="0" w:color="auto"/>
            </w:tcBorders>
            <w:shd w:val="clear" w:color="auto" w:fill="auto"/>
          </w:tcPr>
          <w:p w14:paraId="76BE26C3" w14:textId="77777777" w:rsidR="002A4DDF" w:rsidRPr="00937C8B" w:rsidRDefault="002A4DDF" w:rsidP="009110ED">
            <w:pPr>
              <w:rPr>
                <w:rFonts w:ascii="Arial" w:hAnsi="Arial" w:cs="Arial"/>
                <w:sz w:val="12"/>
                <w:szCs w:val="12"/>
              </w:rPr>
            </w:pPr>
          </w:p>
        </w:tc>
        <w:tc>
          <w:tcPr>
            <w:tcW w:w="1843" w:type="dxa"/>
            <w:shd w:val="clear" w:color="auto" w:fill="auto"/>
          </w:tcPr>
          <w:p w14:paraId="77E1F282" w14:textId="77777777" w:rsidR="002A4DDF" w:rsidRPr="00937C8B" w:rsidRDefault="002A4DDF" w:rsidP="009110ED">
            <w:pPr>
              <w:rPr>
                <w:rFonts w:ascii="Arial" w:hAnsi="Arial" w:cs="Arial"/>
                <w:sz w:val="12"/>
                <w:szCs w:val="12"/>
              </w:rPr>
            </w:pPr>
          </w:p>
        </w:tc>
        <w:tc>
          <w:tcPr>
            <w:tcW w:w="2268" w:type="dxa"/>
            <w:shd w:val="clear" w:color="auto" w:fill="F2F2F2"/>
            <w:hideMark/>
          </w:tcPr>
          <w:p w14:paraId="3221662E" w14:textId="77777777" w:rsidR="002A4DDF" w:rsidRPr="00937C8B" w:rsidRDefault="002A4DDF" w:rsidP="009110ED">
            <w:pPr>
              <w:rPr>
                <w:rFonts w:ascii="Arial" w:hAnsi="Arial" w:cs="Arial"/>
                <w:sz w:val="12"/>
                <w:szCs w:val="12"/>
              </w:rPr>
            </w:pPr>
            <w:r>
              <w:rPr>
                <w:rFonts w:ascii="Arial" w:hAnsi="Arial"/>
                <w:sz w:val="12"/>
                <w:szCs w:val="12"/>
              </w:rPr>
              <w:t>Gordaliza del Pino</w:t>
            </w:r>
          </w:p>
        </w:tc>
        <w:tc>
          <w:tcPr>
            <w:tcW w:w="2268" w:type="dxa"/>
            <w:tcBorders>
              <w:right w:val="single" w:sz="4" w:space="0" w:color="auto"/>
            </w:tcBorders>
            <w:shd w:val="clear" w:color="auto" w:fill="D9D9D9"/>
            <w:hideMark/>
          </w:tcPr>
          <w:p w14:paraId="4659BD6A" w14:textId="77777777" w:rsidR="002A4DDF" w:rsidRPr="00937C8B" w:rsidRDefault="002A4DDF" w:rsidP="009110ED">
            <w:pPr>
              <w:rPr>
                <w:rFonts w:ascii="Arial" w:hAnsi="Arial" w:cs="Arial"/>
                <w:sz w:val="12"/>
                <w:szCs w:val="12"/>
              </w:rPr>
            </w:pPr>
          </w:p>
        </w:tc>
      </w:tr>
      <w:tr w:rsidR="002A4DDF" w:rsidRPr="00937C8B" w14:paraId="06FE02C3" w14:textId="77777777" w:rsidTr="00935676">
        <w:trPr>
          <w:cantSplit/>
        </w:trPr>
        <w:tc>
          <w:tcPr>
            <w:tcW w:w="1696" w:type="dxa"/>
            <w:tcBorders>
              <w:left w:val="single" w:sz="4" w:space="0" w:color="auto"/>
            </w:tcBorders>
            <w:shd w:val="clear" w:color="auto" w:fill="auto"/>
          </w:tcPr>
          <w:p w14:paraId="38FDB2AB" w14:textId="77777777" w:rsidR="002A4DDF" w:rsidRPr="00937C8B" w:rsidRDefault="002A4DDF" w:rsidP="009110ED">
            <w:pPr>
              <w:rPr>
                <w:rFonts w:ascii="Arial" w:hAnsi="Arial" w:cs="Arial"/>
                <w:sz w:val="12"/>
                <w:szCs w:val="12"/>
              </w:rPr>
            </w:pPr>
          </w:p>
        </w:tc>
        <w:tc>
          <w:tcPr>
            <w:tcW w:w="1843" w:type="dxa"/>
            <w:shd w:val="clear" w:color="auto" w:fill="auto"/>
          </w:tcPr>
          <w:p w14:paraId="77BC1978" w14:textId="77777777" w:rsidR="002A4DDF" w:rsidRPr="00937C8B" w:rsidRDefault="002A4DDF" w:rsidP="009110ED">
            <w:pPr>
              <w:rPr>
                <w:rFonts w:ascii="Arial" w:hAnsi="Arial" w:cs="Arial"/>
                <w:sz w:val="12"/>
                <w:szCs w:val="12"/>
              </w:rPr>
            </w:pPr>
          </w:p>
        </w:tc>
        <w:tc>
          <w:tcPr>
            <w:tcW w:w="2268" w:type="dxa"/>
            <w:shd w:val="clear" w:color="auto" w:fill="F2F2F2"/>
            <w:hideMark/>
          </w:tcPr>
          <w:p w14:paraId="0629F826" w14:textId="77777777" w:rsidR="002A4DDF" w:rsidRPr="00937C8B" w:rsidRDefault="002A4DDF" w:rsidP="009110ED">
            <w:pPr>
              <w:rPr>
                <w:rFonts w:ascii="Arial" w:hAnsi="Arial" w:cs="Arial"/>
                <w:sz w:val="12"/>
                <w:szCs w:val="12"/>
              </w:rPr>
            </w:pPr>
            <w:r>
              <w:rPr>
                <w:rFonts w:ascii="Arial" w:hAnsi="Arial"/>
                <w:sz w:val="12"/>
                <w:szCs w:val="12"/>
              </w:rPr>
              <w:t>Gradefes</w:t>
            </w:r>
          </w:p>
        </w:tc>
        <w:tc>
          <w:tcPr>
            <w:tcW w:w="2268" w:type="dxa"/>
            <w:tcBorders>
              <w:right w:val="single" w:sz="4" w:space="0" w:color="auto"/>
            </w:tcBorders>
            <w:shd w:val="clear" w:color="auto" w:fill="D9D9D9"/>
            <w:hideMark/>
          </w:tcPr>
          <w:p w14:paraId="13217E7B" w14:textId="77777777" w:rsidR="002A4DDF" w:rsidRPr="00937C8B" w:rsidRDefault="002A4DDF" w:rsidP="009110ED">
            <w:pPr>
              <w:rPr>
                <w:rFonts w:ascii="Arial" w:hAnsi="Arial" w:cs="Arial"/>
                <w:sz w:val="12"/>
                <w:szCs w:val="12"/>
              </w:rPr>
            </w:pPr>
          </w:p>
        </w:tc>
      </w:tr>
      <w:tr w:rsidR="002A4DDF" w:rsidRPr="00937C8B" w14:paraId="6796C6BF" w14:textId="77777777" w:rsidTr="00935676">
        <w:trPr>
          <w:cantSplit/>
        </w:trPr>
        <w:tc>
          <w:tcPr>
            <w:tcW w:w="1696" w:type="dxa"/>
            <w:tcBorders>
              <w:left w:val="single" w:sz="4" w:space="0" w:color="auto"/>
            </w:tcBorders>
            <w:shd w:val="clear" w:color="auto" w:fill="auto"/>
          </w:tcPr>
          <w:p w14:paraId="59BCB0A8" w14:textId="77777777" w:rsidR="002A4DDF" w:rsidRPr="00937C8B" w:rsidRDefault="002A4DDF" w:rsidP="009110ED">
            <w:pPr>
              <w:rPr>
                <w:rFonts w:ascii="Arial" w:hAnsi="Arial" w:cs="Arial"/>
                <w:sz w:val="12"/>
                <w:szCs w:val="12"/>
              </w:rPr>
            </w:pPr>
          </w:p>
        </w:tc>
        <w:tc>
          <w:tcPr>
            <w:tcW w:w="1843" w:type="dxa"/>
            <w:shd w:val="clear" w:color="auto" w:fill="auto"/>
          </w:tcPr>
          <w:p w14:paraId="36D1F140" w14:textId="77777777" w:rsidR="002A4DDF" w:rsidRPr="00937C8B" w:rsidRDefault="002A4DDF" w:rsidP="009110ED">
            <w:pPr>
              <w:rPr>
                <w:rFonts w:ascii="Arial" w:hAnsi="Arial" w:cs="Arial"/>
                <w:sz w:val="12"/>
                <w:szCs w:val="12"/>
              </w:rPr>
            </w:pPr>
          </w:p>
        </w:tc>
        <w:tc>
          <w:tcPr>
            <w:tcW w:w="2268" w:type="dxa"/>
            <w:shd w:val="clear" w:color="auto" w:fill="F2F2F2"/>
            <w:hideMark/>
          </w:tcPr>
          <w:p w14:paraId="2F210462" w14:textId="77777777" w:rsidR="002A4DDF" w:rsidRPr="00937C8B" w:rsidRDefault="002A4DDF" w:rsidP="009110ED">
            <w:pPr>
              <w:rPr>
                <w:rFonts w:ascii="Arial" w:hAnsi="Arial" w:cs="Arial"/>
                <w:sz w:val="12"/>
                <w:szCs w:val="12"/>
              </w:rPr>
            </w:pPr>
            <w:r>
              <w:rPr>
                <w:rFonts w:ascii="Arial" w:hAnsi="Arial"/>
                <w:sz w:val="12"/>
                <w:szCs w:val="12"/>
              </w:rPr>
              <w:t>Grajal de Campos</w:t>
            </w:r>
          </w:p>
        </w:tc>
        <w:tc>
          <w:tcPr>
            <w:tcW w:w="2268" w:type="dxa"/>
            <w:tcBorders>
              <w:right w:val="single" w:sz="4" w:space="0" w:color="auto"/>
            </w:tcBorders>
            <w:shd w:val="clear" w:color="auto" w:fill="D9D9D9"/>
            <w:hideMark/>
          </w:tcPr>
          <w:p w14:paraId="20B1FF2B" w14:textId="77777777" w:rsidR="002A4DDF" w:rsidRPr="00937C8B" w:rsidRDefault="002A4DDF" w:rsidP="009110ED">
            <w:pPr>
              <w:rPr>
                <w:rFonts w:ascii="Arial" w:hAnsi="Arial" w:cs="Arial"/>
                <w:sz w:val="12"/>
                <w:szCs w:val="12"/>
              </w:rPr>
            </w:pPr>
          </w:p>
        </w:tc>
      </w:tr>
      <w:tr w:rsidR="002A4DDF" w:rsidRPr="00937C8B" w14:paraId="41B2DBD5" w14:textId="77777777" w:rsidTr="00935676">
        <w:trPr>
          <w:cantSplit/>
        </w:trPr>
        <w:tc>
          <w:tcPr>
            <w:tcW w:w="1696" w:type="dxa"/>
            <w:tcBorders>
              <w:left w:val="single" w:sz="4" w:space="0" w:color="auto"/>
            </w:tcBorders>
            <w:shd w:val="clear" w:color="auto" w:fill="auto"/>
          </w:tcPr>
          <w:p w14:paraId="1E537B16" w14:textId="77777777" w:rsidR="002A4DDF" w:rsidRPr="00937C8B" w:rsidRDefault="002A4DDF" w:rsidP="009110ED">
            <w:pPr>
              <w:rPr>
                <w:rFonts w:ascii="Arial" w:hAnsi="Arial" w:cs="Arial"/>
                <w:sz w:val="12"/>
                <w:szCs w:val="12"/>
              </w:rPr>
            </w:pPr>
          </w:p>
        </w:tc>
        <w:tc>
          <w:tcPr>
            <w:tcW w:w="1843" w:type="dxa"/>
            <w:shd w:val="clear" w:color="auto" w:fill="auto"/>
          </w:tcPr>
          <w:p w14:paraId="03A5AB7A" w14:textId="77777777" w:rsidR="002A4DDF" w:rsidRPr="00937C8B" w:rsidRDefault="002A4DDF" w:rsidP="009110ED">
            <w:pPr>
              <w:rPr>
                <w:rFonts w:ascii="Arial" w:hAnsi="Arial" w:cs="Arial"/>
                <w:sz w:val="12"/>
                <w:szCs w:val="12"/>
              </w:rPr>
            </w:pPr>
          </w:p>
        </w:tc>
        <w:tc>
          <w:tcPr>
            <w:tcW w:w="2268" w:type="dxa"/>
            <w:shd w:val="clear" w:color="auto" w:fill="F2F2F2"/>
            <w:hideMark/>
          </w:tcPr>
          <w:p w14:paraId="05B00871" w14:textId="77777777" w:rsidR="002A4DDF" w:rsidRPr="00937C8B" w:rsidRDefault="002A4DDF" w:rsidP="009110ED">
            <w:pPr>
              <w:rPr>
                <w:rFonts w:ascii="Arial" w:hAnsi="Arial" w:cs="Arial"/>
                <w:sz w:val="12"/>
                <w:szCs w:val="12"/>
              </w:rPr>
            </w:pPr>
            <w:r>
              <w:rPr>
                <w:rFonts w:ascii="Arial" w:hAnsi="Arial"/>
                <w:sz w:val="12"/>
                <w:szCs w:val="12"/>
              </w:rPr>
              <w:t>Joarilla de las Matas</w:t>
            </w:r>
          </w:p>
        </w:tc>
        <w:tc>
          <w:tcPr>
            <w:tcW w:w="2268" w:type="dxa"/>
            <w:tcBorders>
              <w:right w:val="single" w:sz="4" w:space="0" w:color="auto"/>
            </w:tcBorders>
            <w:shd w:val="clear" w:color="auto" w:fill="D9D9D9"/>
            <w:hideMark/>
          </w:tcPr>
          <w:p w14:paraId="4D409577" w14:textId="77777777" w:rsidR="002A4DDF" w:rsidRPr="00937C8B" w:rsidRDefault="002A4DDF" w:rsidP="009110ED">
            <w:pPr>
              <w:rPr>
                <w:rFonts w:ascii="Arial" w:hAnsi="Arial" w:cs="Arial"/>
                <w:sz w:val="12"/>
                <w:szCs w:val="12"/>
              </w:rPr>
            </w:pPr>
          </w:p>
        </w:tc>
      </w:tr>
      <w:tr w:rsidR="002A4DDF" w:rsidRPr="00937C8B" w14:paraId="65A6D5FA" w14:textId="77777777" w:rsidTr="00935676">
        <w:trPr>
          <w:cantSplit/>
        </w:trPr>
        <w:tc>
          <w:tcPr>
            <w:tcW w:w="1696" w:type="dxa"/>
            <w:tcBorders>
              <w:left w:val="single" w:sz="4" w:space="0" w:color="auto"/>
            </w:tcBorders>
            <w:shd w:val="clear" w:color="auto" w:fill="auto"/>
          </w:tcPr>
          <w:p w14:paraId="05A85FE9" w14:textId="77777777" w:rsidR="002A4DDF" w:rsidRPr="00937C8B" w:rsidRDefault="002A4DDF" w:rsidP="009110ED">
            <w:pPr>
              <w:rPr>
                <w:rFonts w:ascii="Arial" w:hAnsi="Arial" w:cs="Arial"/>
                <w:sz w:val="12"/>
                <w:szCs w:val="12"/>
              </w:rPr>
            </w:pPr>
          </w:p>
        </w:tc>
        <w:tc>
          <w:tcPr>
            <w:tcW w:w="1843" w:type="dxa"/>
            <w:shd w:val="clear" w:color="auto" w:fill="auto"/>
          </w:tcPr>
          <w:p w14:paraId="277425D8" w14:textId="77777777" w:rsidR="002A4DDF" w:rsidRPr="00937C8B" w:rsidRDefault="002A4DDF" w:rsidP="009110ED">
            <w:pPr>
              <w:rPr>
                <w:rFonts w:ascii="Arial" w:hAnsi="Arial" w:cs="Arial"/>
                <w:sz w:val="12"/>
                <w:szCs w:val="12"/>
              </w:rPr>
            </w:pPr>
          </w:p>
        </w:tc>
        <w:tc>
          <w:tcPr>
            <w:tcW w:w="2268" w:type="dxa"/>
            <w:shd w:val="clear" w:color="auto" w:fill="F2F2F2"/>
            <w:hideMark/>
          </w:tcPr>
          <w:p w14:paraId="2DDC8BCA" w14:textId="77777777" w:rsidR="002A4DDF" w:rsidRPr="00937C8B" w:rsidRDefault="002A4DDF" w:rsidP="009110ED">
            <w:pPr>
              <w:rPr>
                <w:rFonts w:ascii="Arial" w:hAnsi="Arial" w:cs="Arial"/>
                <w:sz w:val="12"/>
                <w:szCs w:val="12"/>
              </w:rPr>
            </w:pPr>
            <w:r>
              <w:rPr>
                <w:rFonts w:ascii="Arial" w:hAnsi="Arial"/>
                <w:sz w:val="12"/>
                <w:szCs w:val="12"/>
              </w:rPr>
              <w:t>La Bañeza</w:t>
            </w:r>
          </w:p>
        </w:tc>
        <w:tc>
          <w:tcPr>
            <w:tcW w:w="2268" w:type="dxa"/>
            <w:tcBorders>
              <w:right w:val="single" w:sz="4" w:space="0" w:color="auto"/>
            </w:tcBorders>
            <w:shd w:val="clear" w:color="auto" w:fill="D9D9D9"/>
            <w:hideMark/>
          </w:tcPr>
          <w:p w14:paraId="00EB8054" w14:textId="77777777" w:rsidR="002A4DDF" w:rsidRPr="00937C8B" w:rsidRDefault="002A4DDF" w:rsidP="009110ED">
            <w:pPr>
              <w:rPr>
                <w:rFonts w:ascii="Arial" w:hAnsi="Arial" w:cs="Arial"/>
                <w:sz w:val="12"/>
                <w:szCs w:val="12"/>
              </w:rPr>
            </w:pPr>
          </w:p>
        </w:tc>
      </w:tr>
      <w:tr w:rsidR="002A4DDF" w:rsidRPr="00937C8B" w14:paraId="76453D34" w14:textId="77777777" w:rsidTr="00935676">
        <w:trPr>
          <w:cantSplit/>
        </w:trPr>
        <w:tc>
          <w:tcPr>
            <w:tcW w:w="1696" w:type="dxa"/>
            <w:tcBorders>
              <w:left w:val="single" w:sz="4" w:space="0" w:color="auto"/>
            </w:tcBorders>
            <w:shd w:val="clear" w:color="auto" w:fill="auto"/>
          </w:tcPr>
          <w:p w14:paraId="4C6BD241" w14:textId="77777777" w:rsidR="002A4DDF" w:rsidRPr="00937C8B" w:rsidRDefault="002A4DDF" w:rsidP="009110ED">
            <w:pPr>
              <w:rPr>
                <w:rFonts w:ascii="Arial" w:hAnsi="Arial" w:cs="Arial"/>
                <w:sz w:val="12"/>
                <w:szCs w:val="12"/>
              </w:rPr>
            </w:pPr>
          </w:p>
        </w:tc>
        <w:tc>
          <w:tcPr>
            <w:tcW w:w="1843" w:type="dxa"/>
            <w:shd w:val="clear" w:color="auto" w:fill="auto"/>
          </w:tcPr>
          <w:p w14:paraId="5F6DE546" w14:textId="77777777" w:rsidR="002A4DDF" w:rsidRPr="00937C8B" w:rsidRDefault="002A4DDF" w:rsidP="009110ED">
            <w:pPr>
              <w:rPr>
                <w:rFonts w:ascii="Arial" w:hAnsi="Arial" w:cs="Arial"/>
                <w:sz w:val="12"/>
                <w:szCs w:val="12"/>
              </w:rPr>
            </w:pPr>
          </w:p>
        </w:tc>
        <w:tc>
          <w:tcPr>
            <w:tcW w:w="2268" w:type="dxa"/>
            <w:shd w:val="clear" w:color="auto" w:fill="F2F2F2"/>
            <w:hideMark/>
          </w:tcPr>
          <w:p w14:paraId="16018A38" w14:textId="77777777" w:rsidR="002A4DDF" w:rsidRPr="00937C8B" w:rsidRDefault="002A4DDF" w:rsidP="009110ED">
            <w:pPr>
              <w:rPr>
                <w:rFonts w:ascii="Arial" w:hAnsi="Arial" w:cs="Arial"/>
                <w:sz w:val="12"/>
                <w:szCs w:val="12"/>
              </w:rPr>
            </w:pPr>
            <w:r>
              <w:rPr>
                <w:rFonts w:ascii="Arial" w:hAnsi="Arial"/>
                <w:sz w:val="12"/>
                <w:szCs w:val="12"/>
              </w:rPr>
              <w:t>La Pola de Gordón</w:t>
            </w:r>
          </w:p>
        </w:tc>
        <w:tc>
          <w:tcPr>
            <w:tcW w:w="2268" w:type="dxa"/>
            <w:tcBorders>
              <w:right w:val="single" w:sz="4" w:space="0" w:color="auto"/>
            </w:tcBorders>
            <w:shd w:val="clear" w:color="auto" w:fill="D9D9D9"/>
            <w:hideMark/>
          </w:tcPr>
          <w:p w14:paraId="54204D60" w14:textId="77777777" w:rsidR="002A4DDF" w:rsidRPr="00937C8B" w:rsidRDefault="002A4DDF" w:rsidP="009110ED">
            <w:pPr>
              <w:rPr>
                <w:rFonts w:ascii="Arial" w:hAnsi="Arial" w:cs="Arial"/>
                <w:sz w:val="12"/>
                <w:szCs w:val="12"/>
              </w:rPr>
            </w:pPr>
          </w:p>
        </w:tc>
      </w:tr>
      <w:tr w:rsidR="002A4DDF" w:rsidRPr="00937C8B" w14:paraId="76CDD678" w14:textId="77777777" w:rsidTr="00935676">
        <w:trPr>
          <w:cantSplit/>
        </w:trPr>
        <w:tc>
          <w:tcPr>
            <w:tcW w:w="1696" w:type="dxa"/>
            <w:tcBorders>
              <w:left w:val="single" w:sz="4" w:space="0" w:color="auto"/>
            </w:tcBorders>
            <w:shd w:val="clear" w:color="auto" w:fill="auto"/>
          </w:tcPr>
          <w:p w14:paraId="5949F238" w14:textId="77777777" w:rsidR="002A4DDF" w:rsidRPr="00937C8B" w:rsidRDefault="002A4DDF" w:rsidP="009110ED">
            <w:pPr>
              <w:rPr>
                <w:rFonts w:ascii="Arial" w:hAnsi="Arial" w:cs="Arial"/>
                <w:sz w:val="12"/>
                <w:szCs w:val="12"/>
              </w:rPr>
            </w:pPr>
          </w:p>
        </w:tc>
        <w:tc>
          <w:tcPr>
            <w:tcW w:w="1843" w:type="dxa"/>
            <w:shd w:val="clear" w:color="auto" w:fill="auto"/>
          </w:tcPr>
          <w:p w14:paraId="04DE31C7" w14:textId="77777777" w:rsidR="002A4DDF" w:rsidRPr="00937C8B" w:rsidRDefault="002A4DDF" w:rsidP="009110ED">
            <w:pPr>
              <w:rPr>
                <w:rFonts w:ascii="Arial" w:hAnsi="Arial" w:cs="Arial"/>
                <w:sz w:val="12"/>
                <w:szCs w:val="12"/>
              </w:rPr>
            </w:pPr>
          </w:p>
        </w:tc>
        <w:tc>
          <w:tcPr>
            <w:tcW w:w="2268" w:type="dxa"/>
            <w:shd w:val="clear" w:color="auto" w:fill="F2F2F2"/>
            <w:hideMark/>
          </w:tcPr>
          <w:p w14:paraId="5B285431" w14:textId="77777777" w:rsidR="002A4DDF" w:rsidRPr="00937C8B" w:rsidRDefault="002A4DDF" w:rsidP="009110ED">
            <w:pPr>
              <w:rPr>
                <w:rFonts w:ascii="Arial" w:hAnsi="Arial" w:cs="Arial"/>
                <w:sz w:val="12"/>
                <w:szCs w:val="12"/>
              </w:rPr>
            </w:pPr>
            <w:r>
              <w:rPr>
                <w:rFonts w:ascii="Arial" w:hAnsi="Arial"/>
                <w:sz w:val="12"/>
                <w:szCs w:val="12"/>
              </w:rPr>
              <w:t>La Robla</w:t>
            </w:r>
          </w:p>
        </w:tc>
        <w:tc>
          <w:tcPr>
            <w:tcW w:w="2268" w:type="dxa"/>
            <w:tcBorders>
              <w:right w:val="single" w:sz="4" w:space="0" w:color="auto"/>
            </w:tcBorders>
            <w:shd w:val="clear" w:color="auto" w:fill="D9D9D9"/>
            <w:hideMark/>
          </w:tcPr>
          <w:p w14:paraId="3532BEC8" w14:textId="77777777" w:rsidR="002A4DDF" w:rsidRPr="00937C8B" w:rsidRDefault="002A4DDF" w:rsidP="009110ED">
            <w:pPr>
              <w:rPr>
                <w:rFonts w:ascii="Arial" w:hAnsi="Arial" w:cs="Arial"/>
                <w:sz w:val="12"/>
                <w:szCs w:val="12"/>
              </w:rPr>
            </w:pPr>
          </w:p>
        </w:tc>
      </w:tr>
      <w:tr w:rsidR="002A4DDF" w:rsidRPr="00937C8B" w14:paraId="4AC5A80C" w14:textId="77777777" w:rsidTr="00935676">
        <w:trPr>
          <w:cantSplit/>
        </w:trPr>
        <w:tc>
          <w:tcPr>
            <w:tcW w:w="1696" w:type="dxa"/>
            <w:tcBorders>
              <w:left w:val="single" w:sz="4" w:space="0" w:color="auto"/>
            </w:tcBorders>
            <w:shd w:val="clear" w:color="auto" w:fill="auto"/>
          </w:tcPr>
          <w:p w14:paraId="51A9B54D" w14:textId="77777777" w:rsidR="002A4DDF" w:rsidRPr="00937C8B" w:rsidRDefault="002A4DDF" w:rsidP="009110ED">
            <w:pPr>
              <w:rPr>
                <w:rFonts w:ascii="Arial" w:hAnsi="Arial" w:cs="Arial"/>
                <w:sz w:val="12"/>
                <w:szCs w:val="12"/>
              </w:rPr>
            </w:pPr>
          </w:p>
        </w:tc>
        <w:tc>
          <w:tcPr>
            <w:tcW w:w="1843" w:type="dxa"/>
            <w:shd w:val="clear" w:color="auto" w:fill="auto"/>
          </w:tcPr>
          <w:p w14:paraId="769D209D" w14:textId="77777777" w:rsidR="002A4DDF" w:rsidRPr="00937C8B" w:rsidRDefault="002A4DDF" w:rsidP="009110ED">
            <w:pPr>
              <w:rPr>
                <w:rFonts w:ascii="Arial" w:hAnsi="Arial" w:cs="Arial"/>
                <w:sz w:val="12"/>
                <w:szCs w:val="12"/>
              </w:rPr>
            </w:pPr>
          </w:p>
        </w:tc>
        <w:tc>
          <w:tcPr>
            <w:tcW w:w="2268" w:type="dxa"/>
            <w:shd w:val="clear" w:color="auto" w:fill="F2F2F2"/>
            <w:hideMark/>
          </w:tcPr>
          <w:p w14:paraId="04F9187B" w14:textId="77777777" w:rsidR="002A4DDF" w:rsidRPr="00937C8B" w:rsidRDefault="002A4DDF" w:rsidP="009110ED">
            <w:pPr>
              <w:rPr>
                <w:rFonts w:ascii="Arial" w:hAnsi="Arial" w:cs="Arial"/>
                <w:sz w:val="12"/>
                <w:szCs w:val="12"/>
              </w:rPr>
            </w:pPr>
            <w:r>
              <w:rPr>
                <w:rFonts w:ascii="Arial" w:hAnsi="Arial"/>
                <w:sz w:val="12"/>
                <w:szCs w:val="12"/>
              </w:rPr>
              <w:t>Las Omañas</w:t>
            </w:r>
          </w:p>
        </w:tc>
        <w:tc>
          <w:tcPr>
            <w:tcW w:w="2268" w:type="dxa"/>
            <w:tcBorders>
              <w:right w:val="single" w:sz="4" w:space="0" w:color="auto"/>
            </w:tcBorders>
            <w:shd w:val="clear" w:color="auto" w:fill="D9D9D9"/>
            <w:hideMark/>
          </w:tcPr>
          <w:p w14:paraId="632CDA75" w14:textId="77777777" w:rsidR="002A4DDF" w:rsidRPr="00937C8B" w:rsidRDefault="002A4DDF" w:rsidP="009110ED">
            <w:pPr>
              <w:rPr>
                <w:rFonts w:ascii="Arial" w:hAnsi="Arial" w:cs="Arial"/>
                <w:sz w:val="12"/>
                <w:szCs w:val="12"/>
              </w:rPr>
            </w:pPr>
          </w:p>
        </w:tc>
      </w:tr>
      <w:tr w:rsidR="002A4DDF" w:rsidRPr="00937C8B" w14:paraId="3C15A705" w14:textId="77777777" w:rsidTr="00935676">
        <w:trPr>
          <w:cantSplit/>
        </w:trPr>
        <w:tc>
          <w:tcPr>
            <w:tcW w:w="1696" w:type="dxa"/>
            <w:tcBorders>
              <w:left w:val="single" w:sz="4" w:space="0" w:color="auto"/>
            </w:tcBorders>
            <w:shd w:val="clear" w:color="auto" w:fill="auto"/>
          </w:tcPr>
          <w:p w14:paraId="1BCCC3A1" w14:textId="77777777" w:rsidR="002A4DDF" w:rsidRPr="00937C8B" w:rsidRDefault="002A4DDF" w:rsidP="009110ED">
            <w:pPr>
              <w:rPr>
                <w:rFonts w:ascii="Arial" w:hAnsi="Arial" w:cs="Arial"/>
                <w:sz w:val="12"/>
                <w:szCs w:val="12"/>
              </w:rPr>
            </w:pPr>
          </w:p>
        </w:tc>
        <w:tc>
          <w:tcPr>
            <w:tcW w:w="1843" w:type="dxa"/>
            <w:shd w:val="clear" w:color="auto" w:fill="auto"/>
          </w:tcPr>
          <w:p w14:paraId="1979C737" w14:textId="77777777" w:rsidR="002A4DDF" w:rsidRPr="00937C8B" w:rsidRDefault="002A4DDF" w:rsidP="009110ED">
            <w:pPr>
              <w:rPr>
                <w:rFonts w:ascii="Arial" w:hAnsi="Arial" w:cs="Arial"/>
                <w:sz w:val="12"/>
                <w:szCs w:val="12"/>
              </w:rPr>
            </w:pPr>
          </w:p>
        </w:tc>
        <w:tc>
          <w:tcPr>
            <w:tcW w:w="2268" w:type="dxa"/>
            <w:shd w:val="clear" w:color="auto" w:fill="F2F2F2"/>
            <w:hideMark/>
          </w:tcPr>
          <w:p w14:paraId="6FDC46A5" w14:textId="77777777" w:rsidR="002A4DDF" w:rsidRPr="00937C8B" w:rsidRDefault="002A4DDF" w:rsidP="009110ED">
            <w:pPr>
              <w:rPr>
                <w:rFonts w:ascii="Arial" w:hAnsi="Arial" w:cs="Arial"/>
                <w:sz w:val="12"/>
                <w:szCs w:val="12"/>
              </w:rPr>
            </w:pPr>
            <w:r>
              <w:rPr>
                <w:rFonts w:ascii="Arial" w:hAnsi="Arial"/>
                <w:sz w:val="12"/>
                <w:szCs w:val="12"/>
              </w:rPr>
              <w:t>Lucillo</w:t>
            </w:r>
          </w:p>
        </w:tc>
        <w:tc>
          <w:tcPr>
            <w:tcW w:w="2268" w:type="dxa"/>
            <w:tcBorders>
              <w:right w:val="single" w:sz="4" w:space="0" w:color="auto"/>
            </w:tcBorders>
            <w:shd w:val="clear" w:color="auto" w:fill="D9D9D9"/>
            <w:hideMark/>
          </w:tcPr>
          <w:p w14:paraId="708F1496" w14:textId="77777777" w:rsidR="002A4DDF" w:rsidRPr="00937C8B" w:rsidRDefault="002A4DDF" w:rsidP="009110ED">
            <w:pPr>
              <w:rPr>
                <w:rFonts w:ascii="Arial" w:hAnsi="Arial" w:cs="Arial"/>
                <w:sz w:val="12"/>
                <w:szCs w:val="12"/>
              </w:rPr>
            </w:pPr>
          </w:p>
        </w:tc>
      </w:tr>
      <w:tr w:rsidR="002A4DDF" w:rsidRPr="00937C8B" w14:paraId="6CEA78BA" w14:textId="77777777" w:rsidTr="00935676">
        <w:trPr>
          <w:cantSplit/>
        </w:trPr>
        <w:tc>
          <w:tcPr>
            <w:tcW w:w="1696" w:type="dxa"/>
            <w:tcBorders>
              <w:left w:val="single" w:sz="4" w:space="0" w:color="auto"/>
            </w:tcBorders>
            <w:shd w:val="clear" w:color="auto" w:fill="auto"/>
          </w:tcPr>
          <w:p w14:paraId="25B52D48" w14:textId="77777777" w:rsidR="002A4DDF" w:rsidRPr="00937C8B" w:rsidRDefault="002A4DDF" w:rsidP="009110ED">
            <w:pPr>
              <w:rPr>
                <w:rFonts w:ascii="Arial" w:hAnsi="Arial" w:cs="Arial"/>
                <w:sz w:val="12"/>
                <w:szCs w:val="12"/>
              </w:rPr>
            </w:pPr>
          </w:p>
        </w:tc>
        <w:tc>
          <w:tcPr>
            <w:tcW w:w="1843" w:type="dxa"/>
            <w:shd w:val="clear" w:color="auto" w:fill="auto"/>
          </w:tcPr>
          <w:p w14:paraId="3296DB0E" w14:textId="77777777" w:rsidR="002A4DDF" w:rsidRPr="00937C8B" w:rsidRDefault="002A4DDF" w:rsidP="009110ED">
            <w:pPr>
              <w:rPr>
                <w:rFonts w:ascii="Arial" w:hAnsi="Arial" w:cs="Arial"/>
                <w:sz w:val="12"/>
                <w:szCs w:val="12"/>
              </w:rPr>
            </w:pPr>
          </w:p>
        </w:tc>
        <w:tc>
          <w:tcPr>
            <w:tcW w:w="2268" w:type="dxa"/>
            <w:shd w:val="clear" w:color="auto" w:fill="F2F2F2"/>
            <w:hideMark/>
          </w:tcPr>
          <w:p w14:paraId="605E6EE4" w14:textId="77777777" w:rsidR="002A4DDF" w:rsidRPr="00937C8B" w:rsidRDefault="002A4DDF" w:rsidP="009110ED">
            <w:pPr>
              <w:rPr>
                <w:rFonts w:ascii="Arial" w:hAnsi="Arial" w:cs="Arial"/>
                <w:sz w:val="12"/>
                <w:szCs w:val="12"/>
              </w:rPr>
            </w:pPr>
            <w:r>
              <w:rPr>
                <w:rFonts w:ascii="Arial" w:hAnsi="Arial"/>
                <w:sz w:val="12"/>
                <w:szCs w:val="12"/>
              </w:rPr>
              <w:t>Luyego</w:t>
            </w:r>
          </w:p>
        </w:tc>
        <w:tc>
          <w:tcPr>
            <w:tcW w:w="2268" w:type="dxa"/>
            <w:tcBorders>
              <w:right w:val="single" w:sz="4" w:space="0" w:color="auto"/>
            </w:tcBorders>
            <w:shd w:val="clear" w:color="auto" w:fill="D9D9D9"/>
            <w:hideMark/>
          </w:tcPr>
          <w:p w14:paraId="21D1139F" w14:textId="77777777" w:rsidR="002A4DDF" w:rsidRPr="00937C8B" w:rsidRDefault="002A4DDF" w:rsidP="009110ED">
            <w:pPr>
              <w:rPr>
                <w:rFonts w:ascii="Arial" w:hAnsi="Arial" w:cs="Arial"/>
                <w:sz w:val="12"/>
                <w:szCs w:val="12"/>
              </w:rPr>
            </w:pPr>
          </w:p>
        </w:tc>
      </w:tr>
      <w:tr w:rsidR="002A4DDF" w:rsidRPr="00937C8B" w14:paraId="529A70AD" w14:textId="77777777" w:rsidTr="00935676">
        <w:trPr>
          <w:cantSplit/>
        </w:trPr>
        <w:tc>
          <w:tcPr>
            <w:tcW w:w="1696" w:type="dxa"/>
            <w:tcBorders>
              <w:left w:val="single" w:sz="4" w:space="0" w:color="auto"/>
            </w:tcBorders>
            <w:shd w:val="clear" w:color="auto" w:fill="auto"/>
          </w:tcPr>
          <w:p w14:paraId="7A2659B9" w14:textId="77777777" w:rsidR="002A4DDF" w:rsidRPr="00937C8B" w:rsidRDefault="002A4DDF" w:rsidP="009110ED">
            <w:pPr>
              <w:rPr>
                <w:rFonts w:ascii="Arial" w:hAnsi="Arial" w:cs="Arial"/>
                <w:sz w:val="12"/>
                <w:szCs w:val="12"/>
              </w:rPr>
            </w:pPr>
          </w:p>
        </w:tc>
        <w:tc>
          <w:tcPr>
            <w:tcW w:w="1843" w:type="dxa"/>
            <w:shd w:val="clear" w:color="auto" w:fill="auto"/>
          </w:tcPr>
          <w:p w14:paraId="2C4D0C9D" w14:textId="77777777" w:rsidR="002A4DDF" w:rsidRPr="00937C8B" w:rsidRDefault="002A4DDF" w:rsidP="009110ED">
            <w:pPr>
              <w:rPr>
                <w:rFonts w:ascii="Arial" w:hAnsi="Arial" w:cs="Arial"/>
                <w:sz w:val="12"/>
                <w:szCs w:val="12"/>
              </w:rPr>
            </w:pPr>
          </w:p>
        </w:tc>
        <w:tc>
          <w:tcPr>
            <w:tcW w:w="2268" w:type="dxa"/>
            <w:shd w:val="clear" w:color="auto" w:fill="F2F2F2"/>
            <w:hideMark/>
          </w:tcPr>
          <w:p w14:paraId="22E9A6FF" w14:textId="77777777" w:rsidR="002A4DDF" w:rsidRPr="00937C8B" w:rsidRDefault="002A4DDF" w:rsidP="009110ED">
            <w:pPr>
              <w:rPr>
                <w:rFonts w:ascii="Arial" w:hAnsi="Arial" w:cs="Arial"/>
                <w:sz w:val="12"/>
                <w:szCs w:val="12"/>
              </w:rPr>
            </w:pPr>
            <w:r>
              <w:rPr>
                <w:rFonts w:ascii="Arial" w:hAnsi="Arial"/>
                <w:sz w:val="12"/>
                <w:szCs w:val="12"/>
              </w:rPr>
              <w:t>Magaz de Cepeda</w:t>
            </w:r>
          </w:p>
        </w:tc>
        <w:tc>
          <w:tcPr>
            <w:tcW w:w="2268" w:type="dxa"/>
            <w:tcBorders>
              <w:right w:val="single" w:sz="4" w:space="0" w:color="auto"/>
            </w:tcBorders>
            <w:shd w:val="clear" w:color="auto" w:fill="D9D9D9"/>
            <w:hideMark/>
          </w:tcPr>
          <w:p w14:paraId="78B854CF" w14:textId="77777777" w:rsidR="002A4DDF" w:rsidRPr="00937C8B" w:rsidRDefault="002A4DDF" w:rsidP="009110ED">
            <w:pPr>
              <w:rPr>
                <w:rFonts w:ascii="Arial" w:hAnsi="Arial" w:cs="Arial"/>
                <w:sz w:val="12"/>
                <w:szCs w:val="12"/>
              </w:rPr>
            </w:pPr>
          </w:p>
        </w:tc>
      </w:tr>
      <w:tr w:rsidR="002A4DDF" w:rsidRPr="00937C8B" w14:paraId="112565C2" w14:textId="77777777" w:rsidTr="00935676">
        <w:trPr>
          <w:cantSplit/>
        </w:trPr>
        <w:tc>
          <w:tcPr>
            <w:tcW w:w="1696" w:type="dxa"/>
            <w:tcBorders>
              <w:left w:val="single" w:sz="4" w:space="0" w:color="auto"/>
            </w:tcBorders>
            <w:shd w:val="clear" w:color="auto" w:fill="auto"/>
          </w:tcPr>
          <w:p w14:paraId="09E170D9" w14:textId="77777777" w:rsidR="002A4DDF" w:rsidRPr="00937C8B" w:rsidRDefault="002A4DDF" w:rsidP="009110ED">
            <w:pPr>
              <w:rPr>
                <w:rFonts w:ascii="Arial" w:hAnsi="Arial" w:cs="Arial"/>
                <w:sz w:val="12"/>
                <w:szCs w:val="12"/>
              </w:rPr>
            </w:pPr>
          </w:p>
        </w:tc>
        <w:tc>
          <w:tcPr>
            <w:tcW w:w="1843" w:type="dxa"/>
            <w:shd w:val="clear" w:color="auto" w:fill="auto"/>
          </w:tcPr>
          <w:p w14:paraId="28B2D9B3" w14:textId="77777777" w:rsidR="002A4DDF" w:rsidRPr="00937C8B" w:rsidRDefault="002A4DDF" w:rsidP="009110ED">
            <w:pPr>
              <w:rPr>
                <w:rFonts w:ascii="Arial" w:hAnsi="Arial" w:cs="Arial"/>
                <w:sz w:val="12"/>
                <w:szCs w:val="12"/>
              </w:rPr>
            </w:pPr>
          </w:p>
        </w:tc>
        <w:tc>
          <w:tcPr>
            <w:tcW w:w="2268" w:type="dxa"/>
            <w:shd w:val="clear" w:color="auto" w:fill="F2F2F2"/>
            <w:hideMark/>
          </w:tcPr>
          <w:p w14:paraId="70566996" w14:textId="77777777" w:rsidR="002A4DDF" w:rsidRPr="00937C8B" w:rsidRDefault="002A4DDF" w:rsidP="009110ED">
            <w:pPr>
              <w:rPr>
                <w:rFonts w:ascii="Arial" w:hAnsi="Arial" w:cs="Arial"/>
                <w:sz w:val="12"/>
                <w:szCs w:val="12"/>
              </w:rPr>
            </w:pPr>
            <w:r>
              <w:rPr>
                <w:rFonts w:ascii="Arial" w:hAnsi="Arial"/>
                <w:sz w:val="12"/>
                <w:szCs w:val="12"/>
              </w:rPr>
              <w:t>Maraña</w:t>
            </w:r>
          </w:p>
        </w:tc>
        <w:tc>
          <w:tcPr>
            <w:tcW w:w="2268" w:type="dxa"/>
            <w:tcBorders>
              <w:right w:val="single" w:sz="4" w:space="0" w:color="auto"/>
            </w:tcBorders>
            <w:shd w:val="clear" w:color="auto" w:fill="D9D9D9"/>
            <w:hideMark/>
          </w:tcPr>
          <w:p w14:paraId="3E1D9D39" w14:textId="77777777" w:rsidR="002A4DDF" w:rsidRPr="00937C8B" w:rsidRDefault="002A4DDF" w:rsidP="009110ED">
            <w:pPr>
              <w:rPr>
                <w:rFonts w:ascii="Arial" w:hAnsi="Arial" w:cs="Arial"/>
                <w:sz w:val="12"/>
                <w:szCs w:val="12"/>
              </w:rPr>
            </w:pPr>
          </w:p>
        </w:tc>
      </w:tr>
      <w:tr w:rsidR="002A4DDF" w:rsidRPr="00937C8B" w14:paraId="5112016B" w14:textId="77777777" w:rsidTr="00935676">
        <w:trPr>
          <w:cantSplit/>
        </w:trPr>
        <w:tc>
          <w:tcPr>
            <w:tcW w:w="1696" w:type="dxa"/>
            <w:tcBorders>
              <w:left w:val="single" w:sz="4" w:space="0" w:color="auto"/>
            </w:tcBorders>
            <w:shd w:val="clear" w:color="auto" w:fill="auto"/>
          </w:tcPr>
          <w:p w14:paraId="62BD72FB" w14:textId="77777777" w:rsidR="002A4DDF" w:rsidRPr="00937C8B" w:rsidRDefault="002A4DDF" w:rsidP="009110ED">
            <w:pPr>
              <w:rPr>
                <w:rFonts w:ascii="Arial" w:hAnsi="Arial" w:cs="Arial"/>
                <w:sz w:val="12"/>
                <w:szCs w:val="12"/>
              </w:rPr>
            </w:pPr>
          </w:p>
        </w:tc>
        <w:tc>
          <w:tcPr>
            <w:tcW w:w="1843" w:type="dxa"/>
            <w:shd w:val="clear" w:color="auto" w:fill="auto"/>
          </w:tcPr>
          <w:p w14:paraId="18F0E72B" w14:textId="77777777" w:rsidR="002A4DDF" w:rsidRPr="00937C8B" w:rsidRDefault="002A4DDF" w:rsidP="009110ED">
            <w:pPr>
              <w:rPr>
                <w:rFonts w:ascii="Arial" w:hAnsi="Arial" w:cs="Arial"/>
                <w:sz w:val="12"/>
                <w:szCs w:val="12"/>
              </w:rPr>
            </w:pPr>
          </w:p>
        </w:tc>
        <w:tc>
          <w:tcPr>
            <w:tcW w:w="2268" w:type="dxa"/>
            <w:shd w:val="clear" w:color="auto" w:fill="F2F2F2"/>
            <w:hideMark/>
          </w:tcPr>
          <w:p w14:paraId="6CE12A3F" w14:textId="77777777" w:rsidR="002A4DDF" w:rsidRPr="00937C8B" w:rsidRDefault="002A4DDF" w:rsidP="009110ED">
            <w:pPr>
              <w:rPr>
                <w:rFonts w:ascii="Arial" w:hAnsi="Arial" w:cs="Arial"/>
                <w:sz w:val="12"/>
                <w:szCs w:val="12"/>
              </w:rPr>
            </w:pPr>
            <w:r>
              <w:rPr>
                <w:rFonts w:ascii="Arial" w:hAnsi="Arial"/>
                <w:sz w:val="12"/>
                <w:szCs w:val="12"/>
              </w:rPr>
              <w:t>Matallana de Torío</w:t>
            </w:r>
          </w:p>
        </w:tc>
        <w:tc>
          <w:tcPr>
            <w:tcW w:w="2268" w:type="dxa"/>
            <w:tcBorders>
              <w:right w:val="single" w:sz="4" w:space="0" w:color="auto"/>
            </w:tcBorders>
            <w:shd w:val="clear" w:color="auto" w:fill="D9D9D9"/>
            <w:hideMark/>
          </w:tcPr>
          <w:p w14:paraId="151E939F" w14:textId="77777777" w:rsidR="002A4DDF" w:rsidRPr="00937C8B" w:rsidRDefault="002A4DDF" w:rsidP="009110ED">
            <w:pPr>
              <w:rPr>
                <w:rFonts w:ascii="Arial" w:hAnsi="Arial" w:cs="Arial"/>
                <w:sz w:val="12"/>
                <w:szCs w:val="12"/>
              </w:rPr>
            </w:pPr>
          </w:p>
        </w:tc>
      </w:tr>
      <w:tr w:rsidR="002A4DDF" w:rsidRPr="00937C8B" w14:paraId="66A33799" w14:textId="77777777" w:rsidTr="00935676">
        <w:trPr>
          <w:cantSplit/>
        </w:trPr>
        <w:tc>
          <w:tcPr>
            <w:tcW w:w="1696" w:type="dxa"/>
            <w:tcBorders>
              <w:left w:val="single" w:sz="4" w:space="0" w:color="auto"/>
            </w:tcBorders>
            <w:shd w:val="clear" w:color="auto" w:fill="auto"/>
          </w:tcPr>
          <w:p w14:paraId="3ACD4ABA" w14:textId="77777777" w:rsidR="002A4DDF" w:rsidRPr="00937C8B" w:rsidRDefault="002A4DDF" w:rsidP="009110ED">
            <w:pPr>
              <w:rPr>
                <w:rFonts w:ascii="Arial" w:hAnsi="Arial" w:cs="Arial"/>
                <w:sz w:val="12"/>
                <w:szCs w:val="12"/>
              </w:rPr>
            </w:pPr>
          </w:p>
        </w:tc>
        <w:tc>
          <w:tcPr>
            <w:tcW w:w="1843" w:type="dxa"/>
            <w:shd w:val="clear" w:color="auto" w:fill="auto"/>
          </w:tcPr>
          <w:p w14:paraId="70B887C7" w14:textId="77777777" w:rsidR="002A4DDF" w:rsidRPr="00937C8B" w:rsidRDefault="002A4DDF" w:rsidP="009110ED">
            <w:pPr>
              <w:rPr>
                <w:rFonts w:ascii="Arial" w:hAnsi="Arial" w:cs="Arial"/>
                <w:sz w:val="12"/>
                <w:szCs w:val="12"/>
              </w:rPr>
            </w:pPr>
          </w:p>
        </w:tc>
        <w:tc>
          <w:tcPr>
            <w:tcW w:w="2268" w:type="dxa"/>
            <w:shd w:val="clear" w:color="auto" w:fill="F2F2F2"/>
            <w:hideMark/>
          </w:tcPr>
          <w:p w14:paraId="723DBEB2" w14:textId="77777777" w:rsidR="002A4DDF" w:rsidRPr="00937C8B" w:rsidRDefault="002A4DDF" w:rsidP="009110ED">
            <w:pPr>
              <w:rPr>
                <w:rFonts w:ascii="Arial" w:hAnsi="Arial" w:cs="Arial"/>
                <w:sz w:val="12"/>
                <w:szCs w:val="12"/>
              </w:rPr>
            </w:pPr>
            <w:r>
              <w:rPr>
                <w:rFonts w:ascii="Arial" w:hAnsi="Arial"/>
                <w:sz w:val="12"/>
                <w:szCs w:val="12"/>
              </w:rPr>
              <w:t>Molinaseca</w:t>
            </w:r>
          </w:p>
        </w:tc>
        <w:tc>
          <w:tcPr>
            <w:tcW w:w="2268" w:type="dxa"/>
            <w:tcBorders>
              <w:right w:val="single" w:sz="4" w:space="0" w:color="auto"/>
            </w:tcBorders>
            <w:shd w:val="clear" w:color="auto" w:fill="D9D9D9"/>
            <w:hideMark/>
          </w:tcPr>
          <w:p w14:paraId="45C9B7F6" w14:textId="77777777" w:rsidR="002A4DDF" w:rsidRPr="00937C8B" w:rsidRDefault="002A4DDF" w:rsidP="009110ED">
            <w:pPr>
              <w:rPr>
                <w:rFonts w:ascii="Arial" w:hAnsi="Arial" w:cs="Arial"/>
                <w:sz w:val="12"/>
                <w:szCs w:val="12"/>
              </w:rPr>
            </w:pPr>
          </w:p>
        </w:tc>
      </w:tr>
      <w:tr w:rsidR="002A4DDF" w:rsidRPr="00937C8B" w14:paraId="2D192D56" w14:textId="77777777" w:rsidTr="00935676">
        <w:trPr>
          <w:cantSplit/>
        </w:trPr>
        <w:tc>
          <w:tcPr>
            <w:tcW w:w="1696" w:type="dxa"/>
            <w:tcBorders>
              <w:left w:val="single" w:sz="4" w:space="0" w:color="auto"/>
            </w:tcBorders>
            <w:shd w:val="clear" w:color="auto" w:fill="auto"/>
          </w:tcPr>
          <w:p w14:paraId="1E98E39E" w14:textId="77777777" w:rsidR="002A4DDF" w:rsidRPr="00937C8B" w:rsidRDefault="002A4DDF" w:rsidP="009110ED">
            <w:pPr>
              <w:rPr>
                <w:rFonts w:ascii="Arial" w:hAnsi="Arial" w:cs="Arial"/>
                <w:sz w:val="12"/>
                <w:szCs w:val="12"/>
              </w:rPr>
            </w:pPr>
          </w:p>
        </w:tc>
        <w:tc>
          <w:tcPr>
            <w:tcW w:w="1843" w:type="dxa"/>
            <w:shd w:val="clear" w:color="auto" w:fill="auto"/>
          </w:tcPr>
          <w:p w14:paraId="6A60E19D" w14:textId="77777777" w:rsidR="002A4DDF" w:rsidRPr="00937C8B" w:rsidRDefault="002A4DDF" w:rsidP="009110ED">
            <w:pPr>
              <w:rPr>
                <w:rFonts w:ascii="Arial" w:hAnsi="Arial" w:cs="Arial"/>
                <w:sz w:val="12"/>
                <w:szCs w:val="12"/>
              </w:rPr>
            </w:pPr>
          </w:p>
        </w:tc>
        <w:tc>
          <w:tcPr>
            <w:tcW w:w="2268" w:type="dxa"/>
            <w:shd w:val="clear" w:color="auto" w:fill="F2F2F2"/>
            <w:hideMark/>
          </w:tcPr>
          <w:p w14:paraId="21BC2D3D" w14:textId="77777777" w:rsidR="002A4DDF" w:rsidRPr="00937C8B" w:rsidRDefault="002A4DDF" w:rsidP="009110ED">
            <w:pPr>
              <w:rPr>
                <w:rFonts w:ascii="Arial" w:hAnsi="Arial" w:cs="Arial"/>
                <w:sz w:val="12"/>
                <w:szCs w:val="12"/>
              </w:rPr>
            </w:pPr>
            <w:r>
              <w:rPr>
                <w:rFonts w:ascii="Arial" w:hAnsi="Arial"/>
                <w:sz w:val="12"/>
                <w:szCs w:val="12"/>
              </w:rPr>
              <w:t>Noceda del Bierzo</w:t>
            </w:r>
          </w:p>
        </w:tc>
        <w:tc>
          <w:tcPr>
            <w:tcW w:w="2268" w:type="dxa"/>
            <w:tcBorders>
              <w:right w:val="single" w:sz="4" w:space="0" w:color="auto"/>
            </w:tcBorders>
            <w:shd w:val="clear" w:color="auto" w:fill="D9D9D9"/>
            <w:hideMark/>
          </w:tcPr>
          <w:p w14:paraId="4B203189" w14:textId="77777777" w:rsidR="002A4DDF" w:rsidRPr="00937C8B" w:rsidRDefault="002A4DDF" w:rsidP="009110ED">
            <w:pPr>
              <w:rPr>
                <w:rFonts w:ascii="Arial" w:hAnsi="Arial" w:cs="Arial"/>
                <w:sz w:val="12"/>
                <w:szCs w:val="12"/>
              </w:rPr>
            </w:pPr>
          </w:p>
        </w:tc>
      </w:tr>
      <w:tr w:rsidR="002A4DDF" w:rsidRPr="00937C8B" w14:paraId="17243A05" w14:textId="77777777" w:rsidTr="00935676">
        <w:trPr>
          <w:cantSplit/>
        </w:trPr>
        <w:tc>
          <w:tcPr>
            <w:tcW w:w="1696" w:type="dxa"/>
            <w:tcBorders>
              <w:left w:val="single" w:sz="4" w:space="0" w:color="auto"/>
            </w:tcBorders>
            <w:shd w:val="clear" w:color="auto" w:fill="auto"/>
          </w:tcPr>
          <w:p w14:paraId="39ED0A8B" w14:textId="77777777" w:rsidR="002A4DDF" w:rsidRPr="00937C8B" w:rsidRDefault="002A4DDF" w:rsidP="009110ED">
            <w:pPr>
              <w:rPr>
                <w:rFonts w:ascii="Arial" w:hAnsi="Arial" w:cs="Arial"/>
                <w:sz w:val="12"/>
                <w:szCs w:val="12"/>
              </w:rPr>
            </w:pPr>
          </w:p>
        </w:tc>
        <w:tc>
          <w:tcPr>
            <w:tcW w:w="1843" w:type="dxa"/>
            <w:shd w:val="clear" w:color="auto" w:fill="auto"/>
          </w:tcPr>
          <w:p w14:paraId="55BA4937" w14:textId="77777777" w:rsidR="002A4DDF" w:rsidRPr="00937C8B" w:rsidRDefault="002A4DDF" w:rsidP="009110ED">
            <w:pPr>
              <w:rPr>
                <w:rFonts w:ascii="Arial" w:hAnsi="Arial" w:cs="Arial"/>
                <w:sz w:val="12"/>
                <w:szCs w:val="12"/>
              </w:rPr>
            </w:pPr>
          </w:p>
        </w:tc>
        <w:tc>
          <w:tcPr>
            <w:tcW w:w="2268" w:type="dxa"/>
            <w:shd w:val="clear" w:color="auto" w:fill="F2F2F2"/>
            <w:hideMark/>
          </w:tcPr>
          <w:p w14:paraId="6697B133" w14:textId="77777777" w:rsidR="002A4DDF" w:rsidRPr="00937C8B" w:rsidRDefault="002A4DDF" w:rsidP="009110ED">
            <w:pPr>
              <w:rPr>
                <w:rFonts w:ascii="Arial" w:hAnsi="Arial" w:cs="Arial"/>
                <w:sz w:val="12"/>
                <w:szCs w:val="12"/>
              </w:rPr>
            </w:pPr>
            <w:r>
              <w:rPr>
                <w:rFonts w:ascii="Arial" w:hAnsi="Arial"/>
                <w:sz w:val="12"/>
                <w:szCs w:val="12"/>
              </w:rPr>
              <w:t>Oseja de Sajambre</w:t>
            </w:r>
          </w:p>
        </w:tc>
        <w:tc>
          <w:tcPr>
            <w:tcW w:w="2268" w:type="dxa"/>
            <w:tcBorders>
              <w:right w:val="single" w:sz="4" w:space="0" w:color="auto"/>
            </w:tcBorders>
            <w:shd w:val="clear" w:color="auto" w:fill="D9D9D9"/>
            <w:hideMark/>
          </w:tcPr>
          <w:p w14:paraId="6475D2C8" w14:textId="77777777" w:rsidR="002A4DDF" w:rsidRPr="00937C8B" w:rsidRDefault="002A4DDF" w:rsidP="009110ED">
            <w:pPr>
              <w:rPr>
                <w:rFonts w:ascii="Arial" w:hAnsi="Arial" w:cs="Arial"/>
                <w:sz w:val="12"/>
                <w:szCs w:val="12"/>
              </w:rPr>
            </w:pPr>
          </w:p>
        </w:tc>
      </w:tr>
      <w:tr w:rsidR="002A4DDF" w:rsidRPr="00937C8B" w14:paraId="596C93B7" w14:textId="77777777" w:rsidTr="00935676">
        <w:trPr>
          <w:cantSplit/>
        </w:trPr>
        <w:tc>
          <w:tcPr>
            <w:tcW w:w="1696" w:type="dxa"/>
            <w:tcBorders>
              <w:left w:val="single" w:sz="4" w:space="0" w:color="auto"/>
            </w:tcBorders>
            <w:shd w:val="clear" w:color="auto" w:fill="auto"/>
          </w:tcPr>
          <w:p w14:paraId="63D292DA" w14:textId="77777777" w:rsidR="002A4DDF" w:rsidRPr="00937C8B" w:rsidRDefault="002A4DDF" w:rsidP="009110ED">
            <w:pPr>
              <w:rPr>
                <w:rFonts w:ascii="Arial" w:hAnsi="Arial" w:cs="Arial"/>
                <w:sz w:val="12"/>
                <w:szCs w:val="12"/>
              </w:rPr>
            </w:pPr>
          </w:p>
        </w:tc>
        <w:tc>
          <w:tcPr>
            <w:tcW w:w="1843" w:type="dxa"/>
            <w:shd w:val="clear" w:color="auto" w:fill="auto"/>
          </w:tcPr>
          <w:p w14:paraId="2058A883" w14:textId="77777777" w:rsidR="002A4DDF" w:rsidRPr="00937C8B" w:rsidRDefault="002A4DDF" w:rsidP="009110ED">
            <w:pPr>
              <w:rPr>
                <w:rFonts w:ascii="Arial" w:hAnsi="Arial" w:cs="Arial"/>
                <w:sz w:val="12"/>
                <w:szCs w:val="12"/>
              </w:rPr>
            </w:pPr>
          </w:p>
        </w:tc>
        <w:tc>
          <w:tcPr>
            <w:tcW w:w="2268" w:type="dxa"/>
            <w:shd w:val="clear" w:color="auto" w:fill="F2F2F2"/>
            <w:hideMark/>
          </w:tcPr>
          <w:p w14:paraId="044571F9" w14:textId="77777777" w:rsidR="002A4DDF" w:rsidRPr="00937C8B" w:rsidRDefault="002A4DDF" w:rsidP="009110ED">
            <w:pPr>
              <w:rPr>
                <w:rFonts w:ascii="Arial" w:hAnsi="Arial" w:cs="Arial"/>
                <w:sz w:val="12"/>
                <w:szCs w:val="12"/>
              </w:rPr>
            </w:pPr>
            <w:r>
              <w:rPr>
                <w:rFonts w:ascii="Arial" w:hAnsi="Arial"/>
                <w:sz w:val="12"/>
                <w:szCs w:val="12"/>
              </w:rPr>
              <w:t>Palacios de la Valduerna</w:t>
            </w:r>
          </w:p>
        </w:tc>
        <w:tc>
          <w:tcPr>
            <w:tcW w:w="2268" w:type="dxa"/>
            <w:tcBorders>
              <w:right w:val="single" w:sz="4" w:space="0" w:color="auto"/>
            </w:tcBorders>
            <w:shd w:val="clear" w:color="auto" w:fill="D9D9D9"/>
            <w:hideMark/>
          </w:tcPr>
          <w:p w14:paraId="773222C3" w14:textId="77777777" w:rsidR="002A4DDF" w:rsidRPr="00937C8B" w:rsidRDefault="002A4DDF" w:rsidP="009110ED">
            <w:pPr>
              <w:rPr>
                <w:rFonts w:ascii="Arial" w:hAnsi="Arial" w:cs="Arial"/>
                <w:sz w:val="12"/>
                <w:szCs w:val="12"/>
              </w:rPr>
            </w:pPr>
          </w:p>
        </w:tc>
      </w:tr>
      <w:tr w:rsidR="002A4DDF" w:rsidRPr="00937C8B" w14:paraId="2AEE8FD0" w14:textId="77777777" w:rsidTr="00935676">
        <w:trPr>
          <w:cantSplit/>
        </w:trPr>
        <w:tc>
          <w:tcPr>
            <w:tcW w:w="1696" w:type="dxa"/>
            <w:tcBorders>
              <w:left w:val="single" w:sz="4" w:space="0" w:color="auto"/>
            </w:tcBorders>
            <w:shd w:val="clear" w:color="auto" w:fill="auto"/>
          </w:tcPr>
          <w:p w14:paraId="356BBD81" w14:textId="77777777" w:rsidR="002A4DDF" w:rsidRPr="00937C8B" w:rsidRDefault="002A4DDF" w:rsidP="009110ED">
            <w:pPr>
              <w:rPr>
                <w:rFonts w:ascii="Arial" w:hAnsi="Arial" w:cs="Arial"/>
                <w:sz w:val="12"/>
                <w:szCs w:val="12"/>
              </w:rPr>
            </w:pPr>
          </w:p>
        </w:tc>
        <w:tc>
          <w:tcPr>
            <w:tcW w:w="1843" w:type="dxa"/>
            <w:shd w:val="clear" w:color="auto" w:fill="auto"/>
          </w:tcPr>
          <w:p w14:paraId="0151D888" w14:textId="77777777" w:rsidR="002A4DDF" w:rsidRPr="00937C8B" w:rsidRDefault="002A4DDF" w:rsidP="009110ED">
            <w:pPr>
              <w:rPr>
                <w:rFonts w:ascii="Arial" w:hAnsi="Arial" w:cs="Arial"/>
                <w:sz w:val="12"/>
                <w:szCs w:val="12"/>
              </w:rPr>
            </w:pPr>
          </w:p>
        </w:tc>
        <w:tc>
          <w:tcPr>
            <w:tcW w:w="2268" w:type="dxa"/>
            <w:shd w:val="clear" w:color="auto" w:fill="F2F2F2"/>
            <w:hideMark/>
          </w:tcPr>
          <w:p w14:paraId="3BEC84A4" w14:textId="77777777" w:rsidR="002A4DDF" w:rsidRPr="00937C8B" w:rsidRDefault="002A4DDF" w:rsidP="009110ED">
            <w:pPr>
              <w:rPr>
                <w:rFonts w:ascii="Arial" w:hAnsi="Arial" w:cs="Arial"/>
                <w:sz w:val="12"/>
                <w:szCs w:val="12"/>
              </w:rPr>
            </w:pPr>
            <w:r>
              <w:rPr>
                <w:rFonts w:ascii="Arial" w:hAnsi="Arial"/>
                <w:sz w:val="12"/>
                <w:szCs w:val="12"/>
              </w:rPr>
              <w:t>Posada de Valdeón</w:t>
            </w:r>
          </w:p>
        </w:tc>
        <w:tc>
          <w:tcPr>
            <w:tcW w:w="2268" w:type="dxa"/>
            <w:tcBorders>
              <w:right w:val="single" w:sz="4" w:space="0" w:color="auto"/>
            </w:tcBorders>
            <w:shd w:val="clear" w:color="auto" w:fill="D9D9D9"/>
            <w:hideMark/>
          </w:tcPr>
          <w:p w14:paraId="7BA959FF" w14:textId="77777777" w:rsidR="002A4DDF" w:rsidRPr="00937C8B" w:rsidRDefault="002A4DDF" w:rsidP="009110ED">
            <w:pPr>
              <w:rPr>
                <w:rFonts w:ascii="Arial" w:hAnsi="Arial" w:cs="Arial"/>
                <w:sz w:val="12"/>
                <w:szCs w:val="12"/>
              </w:rPr>
            </w:pPr>
          </w:p>
        </w:tc>
      </w:tr>
      <w:tr w:rsidR="002A4DDF" w:rsidRPr="00937C8B" w14:paraId="6B332916" w14:textId="77777777" w:rsidTr="00935676">
        <w:trPr>
          <w:cantSplit/>
        </w:trPr>
        <w:tc>
          <w:tcPr>
            <w:tcW w:w="1696" w:type="dxa"/>
            <w:tcBorders>
              <w:left w:val="single" w:sz="4" w:space="0" w:color="auto"/>
            </w:tcBorders>
            <w:shd w:val="clear" w:color="auto" w:fill="auto"/>
          </w:tcPr>
          <w:p w14:paraId="1D0FE1ED" w14:textId="77777777" w:rsidR="002A4DDF" w:rsidRPr="00937C8B" w:rsidRDefault="002A4DDF" w:rsidP="009110ED">
            <w:pPr>
              <w:rPr>
                <w:rFonts w:ascii="Arial" w:hAnsi="Arial" w:cs="Arial"/>
                <w:sz w:val="12"/>
                <w:szCs w:val="12"/>
              </w:rPr>
            </w:pPr>
          </w:p>
        </w:tc>
        <w:tc>
          <w:tcPr>
            <w:tcW w:w="1843" w:type="dxa"/>
            <w:shd w:val="clear" w:color="auto" w:fill="auto"/>
          </w:tcPr>
          <w:p w14:paraId="055AFFE4" w14:textId="77777777" w:rsidR="002A4DDF" w:rsidRPr="00937C8B" w:rsidRDefault="002A4DDF" w:rsidP="009110ED">
            <w:pPr>
              <w:rPr>
                <w:rFonts w:ascii="Arial" w:hAnsi="Arial" w:cs="Arial"/>
                <w:sz w:val="12"/>
                <w:szCs w:val="12"/>
              </w:rPr>
            </w:pPr>
          </w:p>
        </w:tc>
        <w:tc>
          <w:tcPr>
            <w:tcW w:w="2268" w:type="dxa"/>
            <w:shd w:val="clear" w:color="auto" w:fill="F2F2F2"/>
            <w:hideMark/>
          </w:tcPr>
          <w:p w14:paraId="0F17898D" w14:textId="77777777" w:rsidR="002A4DDF" w:rsidRPr="00937C8B" w:rsidRDefault="002A4DDF" w:rsidP="009110ED">
            <w:pPr>
              <w:rPr>
                <w:rFonts w:ascii="Arial" w:hAnsi="Arial" w:cs="Arial"/>
                <w:sz w:val="12"/>
                <w:szCs w:val="12"/>
              </w:rPr>
            </w:pPr>
            <w:r>
              <w:rPr>
                <w:rFonts w:ascii="Arial" w:hAnsi="Arial"/>
                <w:sz w:val="12"/>
                <w:szCs w:val="12"/>
              </w:rPr>
              <w:t>Prado de la Guzpeña</w:t>
            </w:r>
          </w:p>
        </w:tc>
        <w:tc>
          <w:tcPr>
            <w:tcW w:w="2268" w:type="dxa"/>
            <w:tcBorders>
              <w:right w:val="single" w:sz="4" w:space="0" w:color="auto"/>
            </w:tcBorders>
            <w:shd w:val="clear" w:color="auto" w:fill="D9D9D9"/>
            <w:hideMark/>
          </w:tcPr>
          <w:p w14:paraId="150490C9" w14:textId="77777777" w:rsidR="002A4DDF" w:rsidRPr="00937C8B" w:rsidRDefault="002A4DDF" w:rsidP="009110ED">
            <w:pPr>
              <w:rPr>
                <w:rFonts w:ascii="Arial" w:hAnsi="Arial" w:cs="Arial"/>
                <w:sz w:val="12"/>
                <w:szCs w:val="12"/>
              </w:rPr>
            </w:pPr>
          </w:p>
        </w:tc>
      </w:tr>
      <w:tr w:rsidR="002A4DDF" w:rsidRPr="00937C8B" w14:paraId="4419C8C0" w14:textId="77777777" w:rsidTr="00935676">
        <w:trPr>
          <w:cantSplit/>
        </w:trPr>
        <w:tc>
          <w:tcPr>
            <w:tcW w:w="1696" w:type="dxa"/>
            <w:tcBorders>
              <w:left w:val="single" w:sz="4" w:space="0" w:color="auto"/>
            </w:tcBorders>
            <w:shd w:val="clear" w:color="auto" w:fill="auto"/>
          </w:tcPr>
          <w:p w14:paraId="24BC286E" w14:textId="77777777" w:rsidR="002A4DDF" w:rsidRPr="00937C8B" w:rsidRDefault="002A4DDF" w:rsidP="009110ED">
            <w:pPr>
              <w:rPr>
                <w:rFonts w:ascii="Arial" w:hAnsi="Arial" w:cs="Arial"/>
                <w:sz w:val="12"/>
                <w:szCs w:val="12"/>
              </w:rPr>
            </w:pPr>
          </w:p>
        </w:tc>
        <w:tc>
          <w:tcPr>
            <w:tcW w:w="1843" w:type="dxa"/>
            <w:shd w:val="clear" w:color="auto" w:fill="auto"/>
          </w:tcPr>
          <w:p w14:paraId="6167CC1D" w14:textId="77777777" w:rsidR="002A4DDF" w:rsidRPr="00937C8B" w:rsidRDefault="002A4DDF" w:rsidP="009110ED">
            <w:pPr>
              <w:rPr>
                <w:rFonts w:ascii="Arial" w:hAnsi="Arial" w:cs="Arial"/>
                <w:sz w:val="12"/>
                <w:szCs w:val="12"/>
              </w:rPr>
            </w:pPr>
          </w:p>
        </w:tc>
        <w:tc>
          <w:tcPr>
            <w:tcW w:w="2268" w:type="dxa"/>
            <w:shd w:val="clear" w:color="auto" w:fill="F2F2F2"/>
            <w:hideMark/>
          </w:tcPr>
          <w:p w14:paraId="660E71AA" w14:textId="77777777" w:rsidR="002A4DDF" w:rsidRPr="00937C8B" w:rsidRDefault="002A4DDF" w:rsidP="009110ED">
            <w:pPr>
              <w:rPr>
                <w:rFonts w:ascii="Arial" w:hAnsi="Arial" w:cs="Arial"/>
                <w:sz w:val="12"/>
                <w:szCs w:val="12"/>
              </w:rPr>
            </w:pPr>
            <w:r>
              <w:rPr>
                <w:rFonts w:ascii="Arial" w:hAnsi="Arial"/>
                <w:sz w:val="12"/>
                <w:szCs w:val="12"/>
              </w:rPr>
              <w:t>Priaranza del Bierzo</w:t>
            </w:r>
          </w:p>
        </w:tc>
        <w:tc>
          <w:tcPr>
            <w:tcW w:w="2268" w:type="dxa"/>
            <w:tcBorders>
              <w:right w:val="single" w:sz="4" w:space="0" w:color="auto"/>
            </w:tcBorders>
            <w:shd w:val="clear" w:color="auto" w:fill="D9D9D9"/>
            <w:hideMark/>
          </w:tcPr>
          <w:p w14:paraId="532B6DA2" w14:textId="77777777" w:rsidR="002A4DDF" w:rsidRPr="00937C8B" w:rsidRDefault="002A4DDF" w:rsidP="009110ED">
            <w:pPr>
              <w:rPr>
                <w:rFonts w:ascii="Arial" w:hAnsi="Arial" w:cs="Arial"/>
                <w:sz w:val="12"/>
                <w:szCs w:val="12"/>
              </w:rPr>
            </w:pPr>
          </w:p>
        </w:tc>
      </w:tr>
      <w:tr w:rsidR="002A4DDF" w:rsidRPr="00937C8B" w14:paraId="4D236210" w14:textId="77777777" w:rsidTr="00935676">
        <w:trPr>
          <w:cantSplit/>
        </w:trPr>
        <w:tc>
          <w:tcPr>
            <w:tcW w:w="1696" w:type="dxa"/>
            <w:tcBorders>
              <w:left w:val="single" w:sz="4" w:space="0" w:color="auto"/>
            </w:tcBorders>
            <w:shd w:val="clear" w:color="auto" w:fill="auto"/>
          </w:tcPr>
          <w:p w14:paraId="2C3752FB" w14:textId="77777777" w:rsidR="002A4DDF" w:rsidRPr="00937C8B" w:rsidRDefault="002A4DDF" w:rsidP="009110ED">
            <w:pPr>
              <w:rPr>
                <w:rFonts w:ascii="Arial" w:hAnsi="Arial" w:cs="Arial"/>
                <w:sz w:val="12"/>
                <w:szCs w:val="12"/>
              </w:rPr>
            </w:pPr>
          </w:p>
        </w:tc>
        <w:tc>
          <w:tcPr>
            <w:tcW w:w="1843" w:type="dxa"/>
            <w:shd w:val="clear" w:color="auto" w:fill="auto"/>
          </w:tcPr>
          <w:p w14:paraId="617729DE" w14:textId="77777777" w:rsidR="002A4DDF" w:rsidRPr="00937C8B" w:rsidRDefault="002A4DDF" w:rsidP="009110ED">
            <w:pPr>
              <w:rPr>
                <w:rFonts w:ascii="Arial" w:hAnsi="Arial" w:cs="Arial"/>
                <w:sz w:val="12"/>
                <w:szCs w:val="12"/>
              </w:rPr>
            </w:pPr>
          </w:p>
        </w:tc>
        <w:tc>
          <w:tcPr>
            <w:tcW w:w="2268" w:type="dxa"/>
            <w:shd w:val="clear" w:color="auto" w:fill="F2F2F2"/>
            <w:hideMark/>
          </w:tcPr>
          <w:p w14:paraId="338E1CD0" w14:textId="77777777" w:rsidR="002A4DDF" w:rsidRPr="00937C8B" w:rsidRDefault="002A4DDF" w:rsidP="009110ED">
            <w:pPr>
              <w:rPr>
                <w:rFonts w:ascii="Arial" w:hAnsi="Arial" w:cs="Arial"/>
                <w:sz w:val="12"/>
                <w:szCs w:val="12"/>
              </w:rPr>
            </w:pPr>
            <w:r>
              <w:rPr>
                <w:rFonts w:ascii="Arial" w:hAnsi="Arial"/>
                <w:sz w:val="12"/>
                <w:szCs w:val="12"/>
              </w:rPr>
              <w:t>Prioro</w:t>
            </w:r>
          </w:p>
        </w:tc>
        <w:tc>
          <w:tcPr>
            <w:tcW w:w="2268" w:type="dxa"/>
            <w:tcBorders>
              <w:right w:val="single" w:sz="4" w:space="0" w:color="auto"/>
            </w:tcBorders>
            <w:shd w:val="clear" w:color="auto" w:fill="D9D9D9"/>
            <w:hideMark/>
          </w:tcPr>
          <w:p w14:paraId="6DF4385E" w14:textId="77777777" w:rsidR="002A4DDF" w:rsidRPr="00937C8B" w:rsidRDefault="002A4DDF" w:rsidP="009110ED">
            <w:pPr>
              <w:rPr>
                <w:rFonts w:ascii="Arial" w:hAnsi="Arial" w:cs="Arial"/>
                <w:sz w:val="12"/>
                <w:szCs w:val="12"/>
              </w:rPr>
            </w:pPr>
          </w:p>
        </w:tc>
      </w:tr>
      <w:tr w:rsidR="002A4DDF" w:rsidRPr="00937C8B" w14:paraId="4C7D3C89" w14:textId="77777777" w:rsidTr="00935676">
        <w:trPr>
          <w:cantSplit/>
        </w:trPr>
        <w:tc>
          <w:tcPr>
            <w:tcW w:w="1696" w:type="dxa"/>
            <w:tcBorders>
              <w:left w:val="single" w:sz="4" w:space="0" w:color="auto"/>
            </w:tcBorders>
            <w:shd w:val="clear" w:color="auto" w:fill="auto"/>
          </w:tcPr>
          <w:p w14:paraId="6175D9A6" w14:textId="77777777" w:rsidR="002A4DDF" w:rsidRPr="00937C8B" w:rsidRDefault="002A4DDF" w:rsidP="009110ED">
            <w:pPr>
              <w:rPr>
                <w:rFonts w:ascii="Arial" w:hAnsi="Arial" w:cs="Arial"/>
                <w:sz w:val="12"/>
                <w:szCs w:val="12"/>
              </w:rPr>
            </w:pPr>
          </w:p>
        </w:tc>
        <w:tc>
          <w:tcPr>
            <w:tcW w:w="1843" w:type="dxa"/>
            <w:shd w:val="clear" w:color="auto" w:fill="auto"/>
          </w:tcPr>
          <w:p w14:paraId="012BAD58" w14:textId="77777777" w:rsidR="002A4DDF" w:rsidRPr="00937C8B" w:rsidRDefault="002A4DDF" w:rsidP="009110ED">
            <w:pPr>
              <w:rPr>
                <w:rFonts w:ascii="Arial" w:hAnsi="Arial" w:cs="Arial"/>
                <w:sz w:val="12"/>
                <w:szCs w:val="12"/>
              </w:rPr>
            </w:pPr>
          </w:p>
        </w:tc>
        <w:tc>
          <w:tcPr>
            <w:tcW w:w="2268" w:type="dxa"/>
            <w:shd w:val="clear" w:color="auto" w:fill="F2F2F2"/>
            <w:hideMark/>
          </w:tcPr>
          <w:p w14:paraId="03A5BC00" w14:textId="77777777" w:rsidR="002A4DDF" w:rsidRPr="00937C8B" w:rsidRDefault="002A4DDF" w:rsidP="009110ED">
            <w:pPr>
              <w:rPr>
                <w:rFonts w:ascii="Arial" w:hAnsi="Arial" w:cs="Arial"/>
                <w:sz w:val="12"/>
                <w:szCs w:val="12"/>
              </w:rPr>
            </w:pPr>
            <w:r>
              <w:rPr>
                <w:rFonts w:ascii="Arial" w:hAnsi="Arial"/>
                <w:sz w:val="12"/>
                <w:szCs w:val="12"/>
              </w:rPr>
              <w:t>Puebla de Lillo</w:t>
            </w:r>
          </w:p>
        </w:tc>
        <w:tc>
          <w:tcPr>
            <w:tcW w:w="2268" w:type="dxa"/>
            <w:tcBorders>
              <w:right w:val="single" w:sz="4" w:space="0" w:color="auto"/>
            </w:tcBorders>
            <w:shd w:val="clear" w:color="auto" w:fill="D9D9D9"/>
            <w:hideMark/>
          </w:tcPr>
          <w:p w14:paraId="0829F3DE" w14:textId="77777777" w:rsidR="002A4DDF" w:rsidRPr="00937C8B" w:rsidRDefault="002A4DDF" w:rsidP="009110ED">
            <w:pPr>
              <w:rPr>
                <w:rFonts w:ascii="Arial" w:hAnsi="Arial" w:cs="Arial"/>
                <w:sz w:val="12"/>
                <w:szCs w:val="12"/>
              </w:rPr>
            </w:pPr>
          </w:p>
        </w:tc>
      </w:tr>
      <w:tr w:rsidR="002A4DDF" w:rsidRPr="00937C8B" w14:paraId="6A599EAF" w14:textId="77777777" w:rsidTr="00935676">
        <w:trPr>
          <w:cantSplit/>
        </w:trPr>
        <w:tc>
          <w:tcPr>
            <w:tcW w:w="1696" w:type="dxa"/>
            <w:tcBorders>
              <w:left w:val="single" w:sz="4" w:space="0" w:color="auto"/>
            </w:tcBorders>
            <w:shd w:val="clear" w:color="auto" w:fill="auto"/>
          </w:tcPr>
          <w:p w14:paraId="7B8826C5" w14:textId="77777777" w:rsidR="002A4DDF" w:rsidRPr="00937C8B" w:rsidRDefault="002A4DDF" w:rsidP="009110ED">
            <w:pPr>
              <w:rPr>
                <w:rFonts w:ascii="Arial" w:hAnsi="Arial" w:cs="Arial"/>
                <w:sz w:val="12"/>
                <w:szCs w:val="12"/>
              </w:rPr>
            </w:pPr>
          </w:p>
        </w:tc>
        <w:tc>
          <w:tcPr>
            <w:tcW w:w="1843" w:type="dxa"/>
            <w:shd w:val="clear" w:color="auto" w:fill="auto"/>
          </w:tcPr>
          <w:p w14:paraId="31443F2A" w14:textId="77777777" w:rsidR="002A4DDF" w:rsidRPr="00937C8B" w:rsidRDefault="002A4DDF" w:rsidP="009110ED">
            <w:pPr>
              <w:rPr>
                <w:rFonts w:ascii="Arial" w:hAnsi="Arial" w:cs="Arial"/>
                <w:sz w:val="12"/>
                <w:szCs w:val="12"/>
              </w:rPr>
            </w:pPr>
          </w:p>
        </w:tc>
        <w:tc>
          <w:tcPr>
            <w:tcW w:w="2268" w:type="dxa"/>
            <w:shd w:val="clear" w:color="auto" w:fill="F2F2F2"/>
            <w:hideMark/>
          </w:tcPr>
          <w:p w14:paraId="223801CE" w14:textId="77777777" w:rsidR="002A4DDF" w:rsidRPr="00937C8B" w:rsidRDefault="002A4DDF" w:rsidP="009110ED">
            <w:pPr>
              <w:rPr>
                <w:rFonts w:ascii="Arial" w:hAnsi="Arial" w:cs="Arial"/>
                <w:sz w:val="12"/>
                <w:szCs w:val="12"/>
              </w:rPr>
            </w:pPr>
            <w:r>
              <w:rPr>
                <w:rFonts w:ascii="Arial" w:hAnsi="Arial"/>
                <w:sz w:val="12"/>
                <w:szCs w:val="12"/>
              </w:rPr>
              <w:t>Puente de Domingo Flórez</w:t>
            </w:r>
          </w:p>
        </w:tc>
        <w:tc>
          <w:tcPr>
            <w:tcW w:w="2268" w:type="dxa"/>
            <w:tcBorders>
              <w:right w:val="single" w:sz="4" w:space="0" w:color="auto"/>
            </w:tcBorders>
            <w:shd w:val="clear" w:color="auto" w:fill="D9D9D9"/>
            <w:hideMark/>
          </w:tcPr>
          <w:p w14:paraId="59AA039E" w14:textId="77777777" w:rsidR="002A4DDF" w:rsidRPr="00937C8B" w:rsidRDefault="002A4DDF" w:rsidP="009110ED">
            <w:pPr>
              <w:rPr>
                <w:rFonts w:ascii="Arial" w:hAnsi="Arial" w:cs="Arial"/>
                <w:sz w:val="12"/>
                <w:szCs w:val="12"/>
              </w:rPr>
            </w:pPr>
          </w:p>
        </w:tc>
      </w:tr>
      <w:tr w:rsidR="002A4DDF" w:rsidRPr="00937C8B" w14:paraId="5F63D0EA" w14:textId="77777777" w:rsidTr="00935676">
        <w:trPr>
          <w:cantSplit/>
        </w:trPr>
        <w:tc>
          <w:tcPr>
            <w:tcW w:w="1696" w:type="dxa"/>
            <w:tcBorders>
              <w:left w:val="single" w:sz="4" w:space="0" w:color="auto"/>
            </w:tcBorders>
            <w:shd w:val="clear" w:color="auto" w:fill="auto"/>
          </w:tcPr>
          <w:p w14:paraId="0B299B0F" w14:textId="77777777" w:rsidR="002A4DDF" w:rsidRPr="00937C8B" w:rsidRDefault="002A4DDF" w:rsidP="009110ED">
            <w:pPr>
              <w:rPr>
                <w:rFonts w:ascii="Arial" w:hAnsi="Arial" w:cs="Arial"/>
                <w:sz w:val="12"/>
                <w:szCs w:val="12"/>
              </w:rPr>
            </w:pPr>
          </w:p>
        </w:tc>
        <w:tc>
          <w:tcPr>
            <w:tcW w:w="1843" w:type="dxa"/>
            <w:shd w:val="clear" w:color="auto" w:fill="auto"/>
          </w:tcPr>
          <w:p w14:paraId="562E4F1C" w14:textId="77777777" w:rsidR="002A4DDF" w:rsidRPr="00937C8B" w:rsidRDefault="002A4DDF" w:rsidP="009110ED">
            <w:pPr>
              <w:rPr>
                <w:rFonts w:ascii="Arial" w:hAnsi="Arial" w:cs="Arial"/>
                <w:sz w:val="12"/>
                <w:szCs w:val="12"/>
              </w:rPr>
            </w:pPr>
          </w:p>
        </w:tc>
        <w:tc>
          <w:tcPr>
            <w:tcW w:w="2268" w:type="dxa"/>
            <w:shd w:val="clear" w:color="auto" w:fill="F2F2F2"/>
            <w:hideMark/>
          </w:tcPr>
          <w:p w14:paraId="499DDC02" w14:textId="77777777" w:rsidR="002A4DDF" w:rsidRPr="00937C8B" w:rsidRDefault="002A4DDF" w:rsidP="009110ED">
            <w:pPr>
              <w:rPr>
                <w:rFonts w:ascii="Arial" w:hAnsi="Arial" w:cs="Arial"/>
                <w:sz w:val="12"/>
                <w:szCs w:val="12"/>
              </w:rPr>
            </w:pPr>
            <w:r>
              <w:rPr>
                <w:rFonts w:ascii="Arial" w:hAnsi="Arial"/>
                <w:sz w:val="12"/>
                <w:szCs w:val="12"/>
              </w:rPr>
              <w:t>Quintana del Marco</w:t>
            </w:r>
          </w:p>
        </w:tc>
        <w:tc>
          <w:tcPr>
            <w:tcW w:w="2268" w:type="dxa"/>
            <w:tcBorders>
              <w:right w:val="single" w:sz="4" w:space="0" w:color="auto"/>
            </w:tcBorders>
            <w:shd w:val="clear" w:color="auto" w:fill="D9D9D9"/>
            <w:hideMark/>
          </w:tcPr>
          <w:p w14:paraId="480E15B6" w14:textId="77777777" w:rsidR="002A4DDF" w:rsidRPr="00937C8B" w:rsidRDefault="002A4DDF" w:rsidP="009110ED">
            <w:pPr>
              <w:rPr>
                <w:rFonts w:ascii="Arial" w:hAnsi="Arial" w:cs="Arial"/>
                <w:sz w:val="12"/>
                <w:szCs w:val="12"/>
              </w:rPr>
            </w:pPr>
          </w:p>
        </w:tc>
      </w:tr>
      <w:tr w:rsidR="002A4DDF" w:rsidRPr="00937C8B" w14:paraId="07052EE6" w14:textId="77777777" w:rsidTr="00935676">
        <w:trPr>
          <w:cantSplit/>
        </w:trPr>
        <w:tc>
          <w:tcPr>
            <w:tcW w:w="1696" w:type="dxa"/>
            <w:tcBorders>
              <w:left w:val="single" w:sz="4" w:space="0" w:color="auto"/>
            </w:tcBorders>
            <w:shd w:val="clear" w:color="auto" w:fill="auto"/>
          </w:tcPr>
          <w:p w14:paraId="13528D22" w14:textId="77777777" w:rsidR="002A4DDF" w:rsidRPr="00937C8B" w:rsidRDefault="002A4DDF" w:rsidP="009110ED">
            <w:pPr>
              <w:rPr>
                <w:rFonts w:ascii="Arial" w:hAnsi="Arial" w:cs="Arial"/>
                <w:sz w:val="12"/>
                <w:szCs w:val="12"/>
              </w:rPr>
            </w:pPr>
          </w:p>
        </w:tc>
        <w:tc>
          <w:tcPr>
            <w:tcW w:w="1843" w:type="dxa"/>
            <w:shd w:val="clear" w:color="auto" w:fill="auto"/>
          </w:tcPr>
          <w:p w14:paraId="60FD08F2" w14:textId="77777777" w:rsidR="002A4DDF" w:rsidRPr="00937C8B" w:rsidRDefault="002A4DDF" w:rsidP="009110ED">
            <w:pPr>
              <w:rPr>
                <w:rFonts w:ascii="Arial" w:hAnsi="Arial" w:cs="Arial"/>
                <w:sz w:val="12"/>
                <w:szCs w:val="12"/>
              </w:rPr>
            </w:pPr>
          </w:p>
        </w:tc>
        <w:tc>
          <w:tcPr>
            <w:tcW w:w="2268" w:type="dxa"/>
            <w:shd w:val="clear" w:color="auto" w:fill="F2F2F2"/>
            <w:hideMark/>
          </w:tcPr>
          <w:p w14:paraId="664D2393" w14:textId="77777777" w:rsidR="002A4DDF" w:rsidRPr="00937C8B" w:rsidRDefault="002A4DDF" w:rsidP="009110ED">
            <w:pPr>
              <w:rPr>
                <w:rFonts w:ascii="Arial" w:hAnsi="Arial" w:cs="Arial"/>
                <w:sz w:val="12"/>
                <w:szCs w:val="12"/>
              </w:rPr>
            </w:pPr>
            <w:r>
              <w:rPr>
                <w:rFonts w:ascii="Arial" w:hAnsi="Arial"/>
                <w:sz w:val="12"/>
                <w:szCs w:val="12"/>
              </w:rPr>
              <w:t>Quintana y Congosto</w:t>
            </w:r>
          </w:p>
        </w:tc>
        <w:tc>
          <w:tcPr>
            <w:tcW w:w="2268" w:type="dxa"/>
            <w:tcBorders>
              <w:right w:val="single" w:sz="4" w:space="0" w:color="auto"/>
            </w:tcBorders>
            <w:shd w:val="clear" w:color="auto" w:fill="D9D9D9"/>
            <w:hideMark/>
          </w:tcPr>
          <w:p w14:paraId="385A9B50" w14:textId="77777777" w:rsidR="002A4DDF" w:rsidRPr="00937C8B" w:rsidRDefault="002A4DDF" w:rsidP="009110ED">
            <w:pPr>
              <w:rPr>
                <w:rFonts w:ascii="Arial" w:hAnsi="Arial" w:cs="Arial"/>
                <w:sz w:val="12"/>
                <w:szCs w:val="12"/>
              </w:rPr>
            </w:pPr>
          </w:p>
        </w:tc>
      </w:tr>
      <w:tr w:rsidR="002A4DDF" w:rsidRPr="00937C8B" w14:paraId="6D2D7685" w14:textId="77777777" w:rsidTr="00935676">
        <w:trPr>
          <w:cantSplit/>
        </w:trPr>
        <w:tc>
          <w:tcPr>
            <w:tcW w:w="1696" w:type="dxa"/>
            <w:tcBorders>
              <w:left w:val="single" w:sz="4" w:space="0" w:color="auto"/>
            </w:tcBorders>
            <w:shd w:val="clear" w:color="auto" w:fill="auto"/>
          </w:tcPr>
          <w:p w14:paraId="6CE4D111" w14:textId="77777777" w:rsidR="002A4DDF" w:rsidRPr="00937C8B" w:rsidRDefault="002A4DDF" w:rsidP="009110ED">
            <w:pPr>
              <w:rPr>
                <w:rFonts w:ascii="Arial" w:hAnsi="Arial" w:cs="Arial"/>
                <w:sz w:val="12"/>
                <w:szCs w:val="12"/>
              </w:rPr>
            </w:pPr>
          </w:p>
        </w:tc>
        <w:tc>
          <w:tcPr>
            <w:tcW w:w="1843" w:type="dxa"/>
            <w:shd w:val="clear" w:color="auto" w:fill="auto"/>
          </w:tcPr>
          <w:p w14:paraId="21357D20" w14:textId="77777777" w:rsidR="002A4DDF" w:rsidRPr="00937C8B" w:rsidRDefault="002A4DDF" w:rsidP="009110ED">
            <w:pPr>
              <w:rPr>
                <w:rFonts w:ascii="Arial" w:hAnsi="Arial" w:cs="Arial"/>
                <w:sz w:val="12"/>
                <w:szCs w:val="12"/>
              </w:rPr>
            </w:pPr>
          </w:p>
        </w:tc>
        <w:tc>
          <w:tcPr>
            <w:tcW w:w="2268" w:type="dxa"/>
            <w:shd w:val="clear" w:color="auto" w:fill="F2F2F2"/>
            <w:hideMark/>
          </w:tcPr>
          <w:p w14:paraId="1C0E0985" w14:textId="77777777" w:rsidR="002A4DDF" w:rsidRPr="00937C8B" w:rsidRDefault="002A4DDF" w:rsidP="009110ED">
            <w:pPr>
              <w:rPr>
                <w:rFonts w:ascii="Arial" w:hAnsi="Arial" w:cs="Arial"/>
                <w:sz w:val="12"/>
                <w:szCs w:val="12"/>
              </w:rPr>
            </w:pPr>
            <w:r>
              <w:rPr>
                <w:rFonts w:ascii="Arial" w:hAnsi="Arial"/>
                <w:sz w:val="12"/>
                <w:szCs w:val="12"/>
              </w:rPr>
              <w:t>Reyero</w:t>
            </w:r>
          </w:p>
        </w:tc>
        <w:tc>
          <w:tcPr>
            <w:tcW w:w="2268" w:type="dxa"/>
            <w:tcBorders>
              <w:right w:val="single" w:sz="4" w:space="0" w:color="auto"/>
            </w:tcBorders>
            <w:shd w:val="clear" w:color="auto" w:fill="D9D9D9"/>
            <w:hideMark/>
          </w:tcPr>
          <w:p w14:paraId="61900570" w14:textId="77777777" w:rsidR="002A4DDF" w:rsidRPr="00937C8B" w:rsidRDefault="002A4DDF" w:rsidP="009110ED">
            <w:pPr>
              <w:rPr>
                <w:rFonts w:ascii="Arial" w:hAnsi="Arial" w:cs="Arial"/>
                <w:sz w:val="12"/>
                <w:szCs w:val="12"/>
              </w:rPr>
            </w:pPr>
          </w:p>
        </w:tc>
      </w:tr>
      <w:tr w:rsidR="002A4DDF" w:rsidRPr="00937C8B" w14:paraId="749C21A5" w14:textId="77777777" w:rsidTr="00935676">
        <w:trPr>
          <w:cantSplit/>
        </w:trPr>
        <w:tc>
          <w:tcPr>
            <w:tcW w:w="1696" w:type="dxa"/>
            <w:tcBorders>
              <w:left w:val="single" w:sz="4" w:space="0" w:color="auto"/>
            </w:tcBorders>
            <w:shd w:val="clear" w:color="auto" w:fill="auto"/>
          </w:tcPr>
          <w:p w14:paraId="0428CE8C" w14:textId="77777777" w:rsidR="002A4DDF" w:rsidRPr="00937C8B" w:rsidRDefault="002A4DDF" w:rsidP="009110ED">
            <w:pPr>
              <w:rPr>
                <w:rFonts w:ascii="Arial" w:hAnsi="Arial" w:cs="Arial"/>
                <w:sz w:val="12"/>
                <w:szCs w:val="12"/>
              </w:rPr>
            </w:pPr>
          </w:p>
        </w:tc>
        <w:tc>
          <w:tcPr>
            <w:tcW w:w="1843" w:type="dxa"/>
            <w:shd w:val="clear" w:color="auto" w:fill="auto"/>
          </w:tcPr>
          <w:p w14:paraId="2C8878A6" w14:textId="77777777" w:rsidR="002A4DDF" w:rsidRPr="00937C8B" w:rsidRDefault="002A4DDF" w:rsidP="009110ED">
            <w:pPr>
              <w:rPr>
                <w:rFonts w:ascii="Arial" w:hAnsi="Arial" w:cs="Arial"/>
                <w:sz w:val="12"/>
                <w:szCs w:val="12"/>
              </w:rPr>
            </w:pPr>
          </w:p>
        </w:tc>
        <w:tc>
          <w:tcPr>
            <w:tcW w:w="2268" w:type="dxa"/>
            <w:shd w:val="clear" w:color="auto" w:fill="F2F2F2"/>
            <w:hideMark/>
          </w:tcPr>
          <w:p w14:paraId="0A893D18" w14:textId="77777777" w:rsidR="002A4DDF" w:rsidRPr="00937C8B" w:rsidRDefault="002A4DDF" w:rsidP="009110ED">
            <w:pPr>
              <w:rPr>
                <w:rFonts w:ascii="Arial" w:hAnsi="Arial" w:cs="Arial"/>
                <w:sz w:val="12"/>
                <w:szCs w:val="12"/>
              </w:rPr>
            </w:pPr>
            <w:r>
              <w:rPr>
                <w:rFonts w:ascii="Arial" w:hAnsi="Arial"/>
                <w:sz w:val="12"/>
                <w:szCs w:val="12"/>
              </w:rPr>
              <w:t>Riaño</w:t>
            </w:r>
          </w:p>
        </w:tc>
        <w:tc>
          <w:tcPr>
            <w:tcW w:w="2268" w:type="dxa"/>
            <w:tcBorders>
              <w:right w:val="single" w:sz="4" w:space="0" w:color="auto"/>
            </w:tcBorders>
            <w:shd w:val="clear" w:color="auto" w:fill="D9D9D9"/>
            <w:hideMark/>
          </w:tcPr>
          <w:p w14:paraId="4DF96B74" w14:textId="77777777" w:rsidR="002A4DDF" w:rsidRPr="00937C8B" w:rsidRDefault="002A4DDF" w:rsidP="009110ED">
            <w:pPr>
              <w:rPr>
                <w:rFonts w:ascii="Arial" w:hAnsi="Arial" w:cs="Arial"/>
                <w:sz w:val="12"/>
                <w:szCs w:val="12"/>
              </w:rPr>
            </w:pPr>
          </w:p>
        </w:tc>
      </w:tr>
      <w:tr w:rsidR="002A4DDF" w:rsidRPr="00937C8B" w14:paraId="3624ED41" w14:textId="77777777" w:rsidTr="00935676">
        <w:trPr>
          <w:cantSplit/>
        </w:trPr>
        <w:tc>
          <w:tcPr>
            <w:tcW w:w="1696" w:type="dxa"/>
            <w:tcBorders>
              <w:left w:val="single" w:sz="4" w:space="0" w:color="auto"/>
            </w:tcBorders>
            <w:shd w:val="clear" w:color="auto" w:fill="auto"/>
          </w:tcPr>
          <w:p w14:paraId="24C3B559" w14:textId="77777777" w:rsidR="002A4DDF" w:rsidRPr="00937C8B" w:rsidRDefault="002A4DDF" w:rsidP="009110ED">
            <w:pPr>
              <w:rPr>
                <w:rFonts w:ascii="Arial" w:hAnsi="Arial" w:cs="Arial"/>
                <w:sz w:val="12"/>
                <w:szCs w:val="12"/>
              </w:rPr>
            </w:pPr>
          </w:p>
        </w:tc>
        <w:tc>
          <w:tcPr>
            <w:tcW w:w="1843" w:type="dxa"/>
            <w:shd w:val="clear" w:color="auto" w:fill="auto"/>
          </w:tcPr>
          <w:p w14:paraId="0310DB4C" w14:textId="77777777" w:rsidR="002A4DDF" w:rsidRPr="00937C8B" w:rsidRDefault="002A4DDF" w:rsidP="009110ED">
            <w:pPr>
              <w:rPr>
                <w:rFonts w:ascii="Arial" w:hAnsi="Arial" w:cs="Arial"/>
                <w:sz w:val="12"/>
                <w:szCs w:val="12"/>
              </w:rPr>
            </w:pPr>
          </w:p>
        </w:tc>
        <w:tc>
          <w:tcPr>
            <w:tcW w:w="2268" w:type="dxa"/>
            <w:shd w:val="clear" w:color="auto" w:fill="F2F2F2"/>
            <w:hideMark/>
          </w:tcPr>
          <w:p w14:paraId="38B99C6C" w14:textId="77777777" w:rsidR="002A4DDF" w:rsidRPr="00937C8B" w:rsidRDefault="002A4DDF" w:rsidP="009110ED">
            <w:pPr>
              <w:rPr>
                <w:rFonts w:ascii="Arial" w:hAnsi="Arial" w:cs="Arial"/>
                <w:sz w:val="12"/>
                <w:szCs w:val="12"/>
              </w:rPr>
            </w:pPr>
            <w:r>
              <w:rPr>
                <w:rFonts w:ascii="Arial" w:hAnsi="Arial"/>
                <w:sz w:val="12"/>
                <w:szCs w:val="12"/>
              </w:rPr>
              <w:t>Riego de la Vega</w:t>
            </w:r>
          </w:p>
        </w:tc>
        <w:tc>
          <w:tcPr>
            <w:tcW w:w="2268" w:type="dxa"/>
            <w:tcBorders>
              <w:right w:val="single" w:sz="4" w:space="0" w:color="auto"/>
            </w:tcBorders>
            <w:shd w:val="clear" w:color="auto" w:fill="D9D9D9"/>
            <w:hideMark/>
          </w:tcPr>
          <w:p w14:paraId="43B29C59" w14:textId="77777777" w:rsidR="002A4DDF" w:rsidRPr="00937C8B" w:rsidRDefault="002A4DDF" w:rsidP="009110ED">
            <w:pPr>
              <w:rPr>
                <w:rFonts w:ascii="Arial" w:hAnsi="Arial" w:cs="Arial"/>
                <w:sz w:val="12"/>
                <w:szCs w:val="12"/>
              </w:rPr>
            </w:pPr>
          </w:p>
        </w:tc>
      </w:tr>
      <w:tr w:rsidR="002A4DDF" w:rsidRPr="00937C8B" w14:paraId="5C27B068" w14:textId="77777777" w:rsidTr="00935676">
        <w:trPr>
          <w:cantSplit/>
        </w:trPr>
        <w:tc>
          <w:tcPr>
            <w:tcW w:w="1696" w:type="dxa"/>
            <w:tcBorders>
              <w:left w:val="single" w:sz="4" w:space="0" w:color="auto"/>
            </w:tcBorders>
            <w:shd w:val="clear" w:color="auto" w:fill="auto"/>
          </w:tcPr>
          <w:p w14:paraId="41AEB82C" w14:textId="77777777" w:rsidR="002A4DDF" w:rsidRPr="00937C8B" w:rsidRDefault="002A4DDF" w:rsidP="009110ED">
            <w:pPr>
              <w:rPr>
                <w:rFonts w:ascii="Arial" w:hAnsi="Arial" w:cs="Arial"/>
                <w:sz w:val="12"/>
                <w:szCs w:val="12"/>
              </w:rPr>
            </w:pPr>
          </w:p>
        </w:tc>
        <w:tc>
          <w:tcPr>
            <w:tcW w:w="1843" w:type="dxa"/>
            <w:shd w:val="clear" w:color="auto" w:fill="auto"/>
          </w:tcPr>
          <w:p w14:paraId="66DC367D" w14:textId="77777777" w:rsidR="002A4DDF" w:rsidRPr="00937C8B" w:rsidRDefault="002A4DDF" w:rsidP="009110ED">
            <w:pPr>
              <w:rPr>
                <w:rFonts w:ascii="Arial" w:hAnsi="Arial" w:cs="Arial"/>
                <w:sz w:val="12"/>
                <w:szCs w:val="12"/>
              </w:rPr>
            </w:pPr>
          </w:p>
        </w:tc>
        <w:tc>
          <w:tcPr>
            <w:tcW w:w="2268" w:type="dxa"/>
            <w:shd w:val="clear" w:color="auto" w:fill="F2F2F2"/>
            <w:hideMark/>
          </w:tcPr>
          <w:p w14:paraId="292356B1" w14:textId="77777777" w:rsidR="002A4DDF" w:rsidRPr="00937C8B" w:rsidRDefault="002A4DDF" w:rsidP="009110ED">
            <w:pPr>
              <w:rPr>
                <w:rFonts w:ascii="Arial" w:hAnsi="Arial" w:cs="Arial"/>
                <w:sz w:val="12"/>
                <w:szCs w:val="12"/>
              </w:rPr>
            </w:pPr>
            <w:r>
              <w:rPr>
                <w:rFonts w:ascii="Arial" w:hAnsi="Arial"/>
                <w:sz w:val="12"/>
                <w:szCs w:val="12"/>
              </w:rPr>
              <w:t>Riello</w:t>
            </w:r>
          </w:p>
        </w:tc>
        <w:tc>
          <w:tcPr>
            <w:tcW w:w="2268" w:type="dxa"/>
            <w:tcBorders>
              <w:right w:val="single" w:sz="4" w:space="0" w:color="auto"/>
            </w:tcBorders>
            <w:shd w:val="clear" w:color="auto" w:fill="D9D9D9"/>
            <w:hideMark/>
          </w:tcPr>
          <w:p w14:paraId="4BC192C0" w14:textId="77777777" w:rsidR="002A4DDF" w:rsidRPr="00937C8B" w:rsidRDefault="002A4DDF" w:rsidP="009110ED">
            <w:pPr>
              <w:rPr>
                <w:rFonts w:ascii="Arial" w:hAnsi="Arial" w:cs="Arial"/>
                <w:sz w:val="12"/>
                <w:szCs w:val="12"/>
              </w:rPr>
            </w:pPr>
          </w:p>
        </w:tc>
      </w:tr>
      <w:tr w:rsidR="002A4DDF" w:rsidRPr="00937C8B" w14:paraId="269AA249" w14:textId="77777777" w:rsidTr="00935676">
        <w:trPr>
          <w:cantSplit/>
        </w:trPr>
        <w:tc>
          <w:tcPr>
            <w:tcW w:w="1696" w:type="dxa"/>
            <w:tcBorders>
              <w:left w:val="single" w:sz="4" w:space="0" w:color="auto"/>
            </w:tcBorders>
            <w:shd w:val="clear" w:color="auto" w:fill="auto"/>
          </w:tcPr>
          <w:p w14:paraId="79A76BC1" w14:textId="77777777" w:rsidR="002A4DDF" w:rsidRPr="00937C8B" w:rsidRDefault="002A4DDF" w:rsidP="009110ED">
            <w:pPr>
              <w:rPr>
                <w:rFonts w:ascii="Arial" w:hAnsi="Arial" w:cs="Arial"/>
                <w:sz w:val="12"/>
                <w:szCs w:val="12"/>
              </w:rPr>
            </w:pPr>
          </w:p>
        </w:tc>
        <w:tc>
          <w:tcPr>
            <w:tcW w:w="1843" w:type="dxa"/>
            <w:shd w:val="clear" w:color="auto" w:fill="auto"/>
          </w:tcPr>
          <w:p w14:paraId="26DDD37C" w14:textId="77777777" w:rsidR="002A4DDF" w:rsidRPr="00937C8B" w:rsidRDefault="002A4DDF" w:rsidP="009110ED">
            <w:pPr>
              <w:rPr>
                <w:rFonts w:ascii="Arial" w:hAnsi="Arial" w:cs="Arial"/>
                <w:sz w:val="12"/>
                <w:szCs w:val="12"/>
              </w:rPr>
            </w:pPr>
          </w:p>
        </w:tc>
        <w:tc>
          <w:tcPr>
            <w:tcW w:w="2268" w:type="dxa"/>
            <w:shd w:val="clear" w:color="auto" w:fill="F2F2F2"/>
            <w:hideMark/>
          </w:tcPr>
          <w:p w14:paraId="27070601" w14:textId="77777777" w:rsidR="002A4DDF" w:rsidRPr="00937C8B" w:rsidRDefault="002A4DDF" w:rsidP="009110ED">
            <w:pPr>
              <w:rPr>
                <w:rFonts w:ascii="Arial" w:hAnsi="Arial" w:cs="Arial"/>
                <w:sz w:val="12"/>
                <w:szCs w:val="12"/>
              </w:rPr>
            </w:pPr>
            <w:r>
              <w:rPr>
                <w:rFonts w:ascii="Arial" w:hAnsi="Arial"/>
                <w:sz w:val="12"/>
                <w:szCs w:val="12"/>
              </w:rPr>
              <w:t>Rioseco de Tapia</w:t>
            </w:r>
          </w:p>
        </w:tc>
        <w:tc>
          <w:tcPr>
            <w:tcW w:w="2268" w:type="dxa"/>
            <w:tcBorders>
              <w:right w:val="single" w:sz="4" w:space="0" w:color="auto"/>
            </w:tcBorders>
            <w:shd w:val="clear" w:color="auto" w:fill="D9D9D9"/>
            <w:hideMark/>
          </w:tcPr>
          <w:p w14:paraId="537E128E" w14:textId="77777777" w:rsidR="002A4DDF" w:rsidRPr="00937C8B" w:rsidRDefault="002A4DDF" w:rsidP="009110ED">
            <w:pPr>
              <w:rPr>
                <w:rFonts w:ascii="Arial" w:hAnsi="Arial" w:cs="Arial"/>
                <w:sz w:val="12"/>
                <w:szCs w:val="12"/>
              </w:rPr>
            </w:pPr>
          </w:p>
        </w:tc>
      </w:tr>
      <w:tr w:rsidR="002A4DDF" w:rsidRPr="00937C8B" w14:paraId="60CAD254" w14:textId="77777777" w:rsidTr="00935676">
        <w:trPr>
          <w:cantSplit/>
        </w:trPr>
        <w:tc>
          <w:tcPr>
            <w:tcW w:w="1696" w:type="dxa"/>
            <w:tcBorders>
              <w:left w:val="single" w:sz="4" w:space="0" w:color="auto"/>
            </w:tcBorders>
            <w:shd w:val="clear" w:color="auto" w:fill="auto"/>
          </w:tcPr>
          <w:p w14:paraId="1550960D" w14:textId="77777777" w:rsidR="002A4DDF" w:rsidRPr="00937C8B" w:rsidRDefault="002A4DDF" w:rsidP="009110ED">
            <w:pPr>
              <w:rPr>
                <w:rFonts w:ascii="Arial" w:hAnsi="Arial" w:cs="Arial"/>
                <w:sz w:val="12"/>
                <w:szCs w:val="12"/>
              </w:rPr>
            </w:pPr>
          </w:p>
        </w:tc>
        <w:tc>
          <w:tcPr>
            <w:tcW w:w="1843" w:type="dxa"/>
            <w:shd w:val="clear" w:color="auto" w:fill="auto"/>
          </w:tcPr>
          <w:p w14:paraId="4F9927CB" w14:textId="77777777" w:rsidR="002A4DDF" w:rsidRPr="00937C8B" w:rsidRDefault="002A4DDF" w:rsidP="009110ED">
            <w:pPr>
              <w:rPr>
                <w:rFonts w:ascii="Arial" w:hAnsi="Arial" w:cs="Arial"/>
                <w:sz w:val="12"/>
                <w:szCs w:val="12"/>
              </w:rPr>
            </w:pPr>
          </w:p>
        </w:tc>
        <w:tc>
          <w:tcPr>
            <w:tcW w:w="2268" w:type="dxa"/>
            <w:shd w:val="clear" w:color="auto" w:fill="F2F2F2"/>
            <w:hideMark/>
          </w:tcPr>
          <w:p w14:paraId="419883FE" w14:textId="77777777" w:rsidR="002A4DDF" w:rsidRPr="00937C8B" w:rsidRDefault="002A4DDF" w:rsidP="009110ED">
            <w:pPr>
              <w:rPr>
                <w:rFonts w:ascii="Arial" w:hAnsi="Arial" w:cs="Arial"/>
                <w:sz w:val="12"/>
                <w:szCs w:val="12"/>
              </w:rPr>
            </w:pPr>
            <w:r>
              <w:rPr>
                <w:rFonts w:ascii="Arial" w:hAnsi="Arial"/>
                <w:sz w:val="12"/>
                <w:szCs w:val="12"/>
              </w:rPr>
              <w:t>Sabero</w:t>
            </w:r>
          </w:p>
        </w:tc>
        <w:tc>
          <w:tcPr>
            <w:tcW w:w="2268" w:type="dxa"/>
            <w:tcBorders>
              <w:right w:val="single" w:sz="4" w:space="0" w:color="auto"/>
            </w:tcBorders>
            <w:shd w:val="clear" w:color="auto" w:fill="D9D9D9"/>
            <w:hideMark/>
          </w:tcPr>
          <w:p w14:paraId="130C7AAC" w14:textId="77777777" w:rsidR="002A4DDF" w:rsidRPr="00937C8B" w:rsidRDefault="002A4DDF" w:rsidP="009110ED">
            <w:pPr>
              <w:rPr>
                <w:rFonts w:ascii="Arial" w:hAnsi="Arial" w:cs="Arial"/>
                <w:sz w:val="12"/>
                <w:szCs w:val="12"/>
              </w:rPr>
            </w:pPr>
          </w:p>
        </w:tc>
      </w:tr>
      <w:tr w:rsidR="002A4DDF" w:rsidRPr="00937C8B" w14:paraId="080BA6CC" w14:textId="77777777" w:rsidTr="00935676">
        <w:trPr>
          <w:cantSplit/>
        </w:trPr>
        <w:tc>
          <w:tcPr>
            <w:tcW w:w="1696" w:type="dxa"/>
            <w:tcBorders>
              <w:left w:val="single" w:sz="4" w:space="0" w:color="auto"/>
            </w:tcBorders>
            <w:shd w:val="clear" w:color="auto" w:fill="auto"/>
          </w:tcPr>
          <w:p w14:paraId="5FF3C30B" w14:textId="77777777" w:rsidR="002A4DDF" w:rsidRPr="00937C8B" w:rsidRDefault="002A4DDF" w:rsidP="009110ED">
            <w:pPr>
              <w:rPr>
                <w:rFonts w:ascii="Arial" w:hAnsi="Arial" w:cs="Arial"/>
                <w:sz w:val="12"/>
                <w:szCs w:val="12"/>
              </w:rPr>
            </w:pPr>
          </w:p>
        </w:tc>
        <w:tc>
          <w:tcPr>
            <w:tcW w:w="1843" w:type="dxa"/>
            <w:shd w:val="clear" w:color="auto" w:fill="auto"/>
          </w:tcPr>
          <w:p w14:paraId="258E77BB" w14:textId="77777777" w:rsidR="002A4DDF" w:rsidRPr="00937C8B" w:rsidRDefault="002A4DDF" w:rsidP="009110ED">
            <w:pPr>
              <w:rPr>
                <w:rFonts w:ascii="Arial" w:hAnsi="Arial" w:cs="Arial"/>
                <w:sz w:val="12"/>
                <w:szCs w:val="12"/>
              </w:rPr>
            </w:pPr>
          </w:p>
        </w:tc>
        <w:tc>
          <w:tcPr>
            <w:tcW w:w="2268" w:type="dxa"/>
            <w:shd w:val="clear" w:color="auto" w:fill="F2F2F2"/>
            <w:hideMark/>
          </w:tcPr>
          <w:p w14:paraId="659408A3" w14:textId="77777777" w:rsidR="002A4DDF" w:rsidRPr="00937C8B" w:rsidRDefault="002A4DDF" w:rsidP="009110ED">
            <w:pPr>
              <w:rPr>
                <w:rFonts w:ascii="Arial" w:hAnsi="Arial" w:cs="Arial"/>
                <w:sz w:val="12"/>
                <w:szCs w:val="12"/>
              </w:rPr>
            </w:pPr>
            <w:r>
              <w:rPr>
                <w:rFonts w:ascii="Arial" w:hAnsi="Arial"/>
                <w:sz w:val="12"/>
                <w:szCs w:val="12"/>
              </w:rPr>
              <w:t>Sahagún</w:t>
            </w:r>
          </w:p>
        </w:tc>
        <w:tc>
          <w:tcPr>
            <w:tcW w:w="2268" w:type="dxa"/>
            <w:tcBorders>
              <w:right w:val="single" w:sz="4" w:space="0" w:color="auto"/>
            </w:tcBorders>
            <w:shd w:val="clear" w:color="auto" w:fill="D9D9D9"/>
            <w:hideMark/>
          </w:tcPr>
          <w:p w14:paraId="7B1C4EE5" w14:textId="77777777" w:rsidR="002A4DDF" w:rsidRPr="00937C8B" w:rsidRDefault="002A4DDF" w:rsidP="009110ED">
            <w:pPr>
              <w:rPr>
                <w:rFonts w:ascii="Arial" w:hAnsi="Arial" w:cs="Arial"/>
                <w:sz w:val="12"/>
                <w:szCs w:val="12"/>
              </w:rPr>
            </w:pPr>
          </w:p>
        </w:tc>
      </w:tr>
      <w:tr w:rsidR="002A4DDF" w:rsidRPr="00937C8B" w14:paraId="0E28D9A1" w14:textId="77777777" w:rsidTr="00935676">
        <w:trPr>
          <w:cantSplit/>
        </w:trPr>
        <w:tc>
          <w:tcPr>
            <w:tcW w:w="1696" w:type="dxa"/>
            <w:tcBorders>
              <w:left w:val="single" w:sz="4" w:space="0" w:color="auto"/>
            </w:tcBorders>
            <w:shd w:val="clear" w:color="auto" w:fill="auto"/>
          </w:tcPr>
          <w:p w14:paraId="420AA079" w14:textId="77777777" w:rsidR="002A4DDF" w:rsidRPr="00937C8B" w:rsidRDefault="002A4DDF" w:rsidP="009110ED">
            <w:pPr>
              <w:rPr>
                <w:rFonts w:ascii="Arial" w:hAnsi="Arial" w:cs="Arial"/>
                <w:sz w:val="12"/>
                <w:szCs w:val="12"/>
              </w:rPr>
            </w:pPr>
          </w:p>
        </w:tc>
        <w:tc>
          <w:tcPr>
            <w:tcW w:w="1843" w:type="dxa"/>
            <w:shd w:val="clear" w:color="auto" w:fill="auto"/>
          </w:tcPr>
          <w:p w14:paraId="2CBB1CEC" w14:textId="77777777" w:rsidR="002A4DDF" w:rsidRPr="00937C8B" w:rsidRDefault="002A4DDF" w:rsidP="009110ED">
            <w:pPr>
              <w:rPr>
                <w:rFonts w:ascii="Arial" w:hAnsi="Arial" w:cs="Arial"/>
                <w:sz w:val="12"/>
                <w:szCs w:val="12"/>
              </w:rPr>
            </w:pPr>
          </w:p>
        </w:tc>
        <w:tc>
          <w:tcPr>
            <w:tcW w:w="2268" w:type="dxa"/>
            <w:shd w:val="clear" w:color="auto" w:fill="F2F2F2"/>
            <w:hideMark/>
          </w:tcPr>
          <w:p w14:paraId="215150D8" w14:textId="77777777" w:rsidR="002A4DDF" w:rsidRPr="00937C8B" w:rsidRDefault="002A4DDF" w:rsidP="009110ED">
            <w:pPr>
              <w:rPr>
                <w:rFonts w:ascii="Arial" w:hAnsi="Arial" w:cs="Arial"/>
                <w:sz w:val="12"/>
                <w:szCs w:val="12"/>
              </w:rPr>
            </w:pPr>
            <w:r>
              <w:rPr>
                <w:rFonts w:ascii="Arial" w:hAnsi="Arial"/>
                <w:sz w:val="12"/>
                <w:szCs w:val="12"/>
              </w:rPr>
              <w:t>San Cristóbal de la Polantera</w:t>
            </w:r>
          </w:p>
        </w:tc>
        <w:tc>
          <w:tcPr>
            <w:tcW w:w="2268" w:type="dxa"/>
            <w:tcBorders>
              <w:right w:val="single" w:sz="4" w:space="0" w:color="auto"/>
            </w:tcBorders>
            <w:shd w:val="clear" w:color="auto" w:fill="D9D9D9"/>
            <w:hideMark/>
          </w:tcPr>
          <w:p w14:paraId="47973068" w14:textId="77777777" w:rsidR="002A4DDF" w:rsidRPr="00937C8B" w:rsidRDefault="002A4DDF" w:rsidP="009110ED">
            <w:pPr>
              <w:rPr>
                <w:rFonts w:ascii="Arial" w:hAnsi="Arial" w:cs="Arial"/>
                <w:sz w:val="12"/>
                <w:szCs w:val="12"/>
              </w:rPr>
            </w:pPr>
          </w:p>
        </w:tc>
      </w:tr>
      <w:tr w:rsidR="002A4DDF" w:rsidRPr="00937C8B" w14:paraId="3A88D6B0" w14:textId="77777777" w:rsidTr="00935676">
        <w:trPr>
          <w:cantSplit/>
        </w:trPr>
        <w:tc>
          <w:tcPr>
            <w:tcW w:w="1696" w:type="dxa"/>
            <w:tcBorders>
              <w:left w:val="single" w:sz="4" w:space="0" w:color="auto"/>
            </w:tcBorders>
            <w:shd w:val="clear" w:color="auto" w:fill="auto"/>
          </w:tcPr>
          <w:p w14:paraId="5031B2C7" w14:textId="77777777" w:rsidR="002A4DDF" w:rsidRPr="00937C8B" w:rsidRDefault="002A4DDF" w:rsidP="009110ED">
            <w:pPr>
              <w:rPr>
                <w:rFonts w:ascii="Arial" w:hAnsi="Arial" w:cs="Arial"/>
                <w:sz w:val="12"/>
                <w:szCs w:val="12"/>
              </w:rPr>
            </w:pPr>
          </w:p>
        </w:tc>
        <w:tc>
          <w:tcPr>
            <w:tcW w:w="1843" w:type="dxa"/>
            <w:shd w:val="clear" w:color="auto" w:fill="auto"/>
          </w:tcPr>
          <w:p w14:paraId="1DA46C77" w14:textId="77777777" w:rsidR="002A4DDF" w:rsidRPr="00937C8B" w:rsidRDefault="002A4DDF" w:rsidP="009110ED">
            <w:pPr>
              <w:rPr>
                <w:rFonts w:ascii="Arial" w:hAnsi="Arial" w:cs="Arial"/>
                <w:sz w:val="12"/>
                <w:szCs w:val="12"/>
              </w:rPr>
            </w:pPr>
          </w:p>
        </w:tc>
        <w:tc>
          <w:tcPr>
            <w:tcW w:w="2268" w:type="dxa"/>
            <w:shd w:val="clear" w:color="auto" w:fill="F2F2F2"/>
            <w:hideMark/>
          </w:tcPr>
          <w:p w14:paraId="47E1C17C" w14:textId="77777777" w:rsidR="002A4DDF" w:rsidRPr="00937C8B" w:rsidRDefault="002A4DDF" w:rsidP="009110ED">
            <w:pPr>
              <w:rPr>
                <w:rFonts w:ascii="Arial" w:hAnsi="Arial" w:cs="Arial"/>
                <w:sz w:val="12"/>
                <w:szCs w:val="12"/>
              </w:rPr>
            </w:pPr>
            <w:r>
              <w:rPr>
                <w:rFonts w:ascii="Arial" w:hAnsi="Arial"/>
                <w:sz w:val="12"/>
                <w:szCs w:val="12"/>
              </w:rPr>
              <w:t>San Emiliano</w:t>
            </w:r>
          </w:p>
        </w:tc>
        <w:tc>
          <w:tcPr>
            <w:tcW w:w="2268" w:type="dxa"/>
            <w:tcBorders>
              <w:right w:val="single" w:sz="4" w:space="0" w:color="auto"/>
            </w:tcBorders>
            <w:shd w:val="clear" w:color="auto" w:fill="D9D9D9"/>
            <w:hideMark/>
          </w:tcPr>
          <w:p w14:paraId="3AC88AFD" w14:textId="77777777" w:rsidR="002A4DDF" w:rsidRPr="00937C8B" w:rsidRDefault="002A4DDF" w:rsidP="009110ED">
            <w:pPr>
              <w:rPr>
                <w:rFonts w:ascii="Arial" w:hAnsi="Arial" w:cs="Arial"/>
                <w:sz w:val="12"/>
                <w:szCs w:val="12"/>
              </w:rPr>
            </w:pPr>
          </w:p>
        </w:tc>
      </w:tr>
      <w:tr w:rsidR="002A4DDF" w:rsidRPr="00937C8B" w14:paraId="2709FF6F" w14:textId="77777777" w:rsidTr="00935676">
        <w:trPr>
          <w:cantSplit/>
        </w:trPr>
        <w:tc>
          <w:tcPr>
            <w:tcW w:w="1696" w:type="dxa"/>
            <w:tcBorders>
              <w:left w:val="single" w:sz="4" w:space="0" w:color="auto"/>
            </w:tcBorders>
            <w:shd w:val="clear" w:color="auto" w:fill="auto"/>
          </w:tcPr>
          <w:p w14:paraId="2EA1026B" w14:textId="77777777" w:rsidR="002A4DDF" w:rsidRPr="00937C8B" w:rsidRDefault="002A4DDF" w:rsidP="009110ED">
            <w:pPr>
              <w:rPr>
                <w:rFonts w:ascii="Arial" w:hAnsi="Arial" w:cs="Arial"/>
                <w:sz w:val="12"/>
                <w:szCs w:val="12"/>
              </w:rPr>
            </w:pPr>
          </w:p>
        </w:tc>
        <w:tc>
          <w:tcPr>
            <w:tcW w:w="1843" w:type="dxa"/>
            <w:shd w:val="clear" w:color="auto" w:fill="auto"/>
          </w:tcPr>
          <w:p w14:paraId="71E68C99" w14:textId="77777777" w:rsidR="002A4DDF" w:rsidRPr="00937C8B" w:rsidRDefault="002A4DDF" w:rsidP="009110ED">
            <w:pPr>
              <w:rPr>
                <w:rFonts w:ascii="Arial" w:hAnsi="Arial" w:cs="Arial"/>
                <w:sz w:val="12"/>
                <w:szCs w:val="12"/>
              </w:rPr>
            </w:pPr>
          </w:p>
        </w:tc>
        <w:tc>
          <w:tcPr>
            <w:tcW w:w="2268" w:type="dxa"/>
            <w:shd w:val="clear" w:color="auto" w:fill="F2F2F2"/>
            <w:hideMark/>
          </w:tcPr>
          <w:p w14:paraId="34ACBF98" w14:textId="77777777" w:rsidR="002A4DDF" w:rsidRPr="00937C8B" w:rsidRDefault="002A4DDF" w:rsidP="009110ED">
            <w:pPr>
              <w:rPr>
                <w:rFonts w:ascii="Arial" w:hAnsi="Arial" w:cs="Arial"/>
                <w:sz w:val="12"/>
                <w:szCs w:val="12"/>
              </w:rPr>
            </w:pPr>
            <w:r>
              <w:rPr>
                <w:rFonts w:ascii="Arial" w:hAnsi="Arial"/>
                <w:sz w:val="12"/>
                <w:szCs w:val="12"/>
              </w:rPr>
              <w:t>San Esteban de Nogales</w:t>
            </w:r>
          </w:p>
        </w:tc>
        <w:tc>
          <w:tcPr>
            <w:tcW w:w="2268" w:type="dxa"/>
            <w:tcBorders>
              <w:right w:val="single" w:sz="4" w:space="0" w:color="auto"/>
            </w:tcBorders>
            <w:shd w:val="clear" w:color="auto" w:fill="D9D9D9"/>
            <w:hideMark/>
          </w:tcPr>
          <w:p w14:paraId="623F075A" w14:textId="77777777" w:rsidR="002A4DDF" w:rsidRPr="00937C8B" w:rsidRDefault="002A4DDF" w:rsidP="009110ED">
            <w:pPr>
              <w:rPr>
                <w:rFonts w:ascii="Arial" w:hAnsi="Arial" w:cs="Arial"/>
                <w:sz w:val="12"/>
                <w:szCs w:val="12"/>
              </w:rPr>
            </w:pPr>
          </w:p>
        </w:tc>
      </w:tr>
      <w:tr w:rsidR="002A4DDF" w:rsidRPr="00937C8B" w14:paraId="2EA2A482" w14:textId="77777777" w:rsidTr="00935676">
        <w:trPr>
          <w:cantSplit/>
        </w:trPr>
        <w:tc>
          <w:tcPr>
            <w:tcW w:w="1696" w:type="dxa"/>
            <w:tcBorders>
              <w:left w:val="single" w:sz="4" w:space="0" w:color="auto"/>
            </w:tcBorders>
            <w:shd w:val="clear" w:color="auto" w:fill="auto"/>
          </w:tcPr>
          <w:p w14:paraId="459902D7" w14:textId="77777777" w:rsidR="002A4DDF" w:rsidRPr="00937C8B" w:rsidRDefault="002A4DDF" w:rsidP="009110ED">
            <w:pPr>
              <w:rPr>
                <w:rFonts w:ascii="Arial" w:hAnsi="Arial" w:cs="Arial"/>
                <w:sz w:val="12"/>
                <w:szCs w:val="12"/>
              </w:rPr>
            </w:pPr>
          </w:p>
        </w:tc>
        <w:tc>
          <w:tcPr>
            <w:tcW w:w="1843" w:type="dxa"/>
            <w:shd w:val="clear" w:color="auto" w:fill="auto"/>
          </w:tcPr>
          <w:p w14:paraId="1A0ED0D1" w14:textId="77777777" w:rsidR="002A4DDF" w:rsidRPr="00937C8B" w:rsidRDefault="002A4DDF" w:rsidP="009110ED">
            <w:pPr>
              <w:rPr>
                <w:rFonts w:ascii="Arial" w:hAnsi="Arial" w:cs="Arial"/>
                <w:sz w:val="12"/>
                <w:szCs w:val="12"/>
              </w:rPr>
            </w:pPr>
          </w:p>
        </w:tc>
        <w:tc>
          <w:tcPr>
            <w:tcW w:w="2268" w:type="dxa"/>
            <w:shd w:val="clear" w:color="auto" w:fill="F2F2F2"/>
            <w:hideMark/>
          </w:tcPr>
          <w:p w14:paraId="456DAC2E" w14:textId="77777777" w:rsidR="002A4DDF" w:rsidRPr="00937C8B" w:rsidRDefault="002A4DDF" w:rsidP="009110ED">
            <w:pPr>
              <w:rPr>
                <w:rFonts w:ascii="Arial" w:hAnsi="Arial" w:cs="Arial"/>
                <w:sz w:val="12"/>
                <w:szCs w:val="12"/>
              </w:rPr>
            </w:pPr>
            <w:r>
              <w:rPr>
                <w:rFonts w:ascii="Arial" w:hAnsi="Arial"/>
                <w:sz w:val="12"/>
                <w:szCs w:val="12"/>
              </w:rPr>
              <w:t>San Justo de la Vega</w:t>
            </w:r>
          </w:p>
        </w:tc>
        <w:tc>
          <w:tcPr>
            <w:tcW w:w="2268" w:type="dxa"/>
            <w:tcBorders>
              <w:right w:val="single" w:sz="4" w:space="0" w:color="auto"/>
            </w:tcBorders>
            <w:shd w:val="clear" w:color="auto" w:fill="D9D9D9"/>
            <w:hideMark/>
          </w:tcPr>
          <w:p w14:paraId="1B733AC7" w14:textId="77777777" w:rsidR="002A4DDF" w:rsidRPr="00937C8B" w:rsidRDefault="002A4DDF" w:rsidP="009110ED">
            <w:pPr>
              <w:rPr>
                <w:rFonts w:ascii="Arial" w:hAnsi="Arial" w:cs="Arial"/>
                <w:sz w:val="12"/>
                <w:szCs w:val="12"/>
              </w:rPr>
            </w:pPr>
          </w:p>
        </w:tc>
      </w:tr>
      <w:tr w:rsidR="002A4DDF" w:rsidRPr="00937C8B" w14:paraId="3225907B" w14:textId="77777777" w:rsidTr="00935676">
        <w:trPr>
          <w:cantSplit/>
        </w:trPr>
        <w:tc>
          <w:tcPr>
            <w:tcW w:w="1696" w:type="dxa"/>
            <w:tcBorders>
              <w:left w:val="single" w:sz="4" w:space="0" w:color="auto"/>
            </w:tcBorders>
            <w:shd w:val="clear" w:color="auto" w:fill="auto"/>
          </w:tcPr>
          <w:p w14:paraId="308DDC41" w14:textId="77777777" w:rsidR="002A4DDF" w:rsidRPr="00937C8B" w:rsidRDefault="002A4DDF" w:rsidP="009110ED">
            <w:pPr>
              <w:rPr>
                <w:rFonts w:ascii="Arial" w:hAnsi="Arial" w:cs="Arial"/>
                <w:sz w:val="12"/>
                <w:szCs w:val="12"/>
              </w:rPr>
            </w:pPr>
          </w:p>
        </w:tc>
        <w:tc>
          <w:tcPr>
            <w:tcW w:w="1843" w:type="dxa"/>
            <w:shd w:val="clear" w:color="auto" w:fill="auto"/>
          </w:tcPr>
          <w:p w14:paraId="4D4778F6" w14:textId="77777777" w:rsidR="002A4DDF" w:rsidRPr="00937C8B" w:rsidRDefault="002A4DDF" w:rsidP="009110ED">
            <w:pPr>
              <w:rPr>
                <w:rFonts w:ascii="Arial" w:hAnsi="Arial" w:cs="Arial"/>
                <w:sz w:val="12"/>
                <w:szCs w:val="12"/>
              </w:rPr>
            </w:pPr>
          </w:p>
        </w:tc>
        <w:tc>
          <w:tcPr>
            <w:tcW w:w="2268" w:type="dxa"/>
            <w:shd w:val="clear" w:color="auto" w:fill="F2F2F2"/>
            <w:hideMark/>
          </w:tcPr>
          <w:p w14:paraId="49F85CEB" w14:textId="77777777" w:rsidR="002A4DDF" w:rsidRPr="00937C8B" w:rsidRDefault="002A4DDF" w:rsidP="009110ED">
            <w:pPr>
              <w:rPr>
                <w:rFonts w:ascii="Arial" w:hAnsi="Arial" w:cs="Arial"/>
                <w:sz w:val="12"/>
                <w:szCs w:val="12"/>
              </w:rPr>
            </w:pPr>
            <w:r>
              <w:rPr>
                <w:rFonts w:ascii="Arial" w:hAnsi="Arial"/>
                <w:sz w:val="12"/>
                <w:szCs w:val="12"/>
              </w:rPr>
              <w:t>Sancedo</w:t>
            </w:r>
          </w:p>
        </w:tc>
        <w:tc>
          <w:tcPr>
            <w:tcW w:w="2268" w:type="dxa"/>
            <w:tcBorders>
              <w:right w:val="single" w:sz="4" w:space="0" w:color="auto"/>
            </w:tcBorders>
            <w:shd w:val="clear" w:color="auto" w:fill="D9D9D9"/>
            <w:hideMark/>
          </w:tcPr>
          <w:p w14:paraId="58117E42" w14:textId="77777777" w:rsidR="002A4DDF" w:rsidRPr="00937C8B" w:rsidRDefault="002A4DDF" w:rsidP="009110ED">
            <w:pPr>
              <w:rPr>
                <w:rFonts w:ascii="Arial" w:hAnsi="Arial" w:cs="Arial"/>
                <w:sz w:val="12"/>
                <w:szCs w:val="12"/>
              </w:rPr>
            </w:pPr>
          </w:p>
        </w:tc>
      </w:tr>
      <w:tr w:rsidR="002A4DDF" w:rsidRPr="00937C8B" w14:paraId="4B74A4AE" w14:textId="77777777" w:rsidTr="00935676">
        <w:trPr>
          <w:cantSplit/>
        </w:trPr>
        <w:tc>
          <w:tcPr>
            <w:tcW w:w="1696" w:type="dxa"/>
            <w:tcBorders>
              <w:left w:val="single" w:sz="4" w:space="0" w:color="auto"/>
            </w:tcBorders>
            <w:shd w:val="clear" w:color="auto" w:fill="auto"/>
          </w:tcPr>
          <w:p w14:paraId="662484BD" w14:textId="77777777" w:rsidR="002A4DDF" w:rsidRPr="00937C8B" w:rsidRDefault="002A4DDF" w:rsidP="009110ED">
            <w:pPr>
              <w:rPr>
                <w:rFonts w:ascii="Arial" w:hAnsi="Arial" w:cs="Arial"/>
                <w:sz w:val="12"/>
                <w:szCs w:val="12"/>
              </w:rPr>
            </w:pPr>
          </w:p>
        </w:tc>
        <w:tc>
          <w:tcPr>
            <w:tcW w:w="1843" w:type="dxa"/>
            <w:shd w:val="clear" w:color="auto" w:fill="auto"/>
          </w:tcPr>
          <w:p w14:paraId="2205407F" w14:textId="77777777" w:rsidR="002A4DDF" w:rsidRPr="00937C8B" w:rsidRDefault="002A4DDF" w:rsidP="009110ED">
            <w:pPr>
              <w:rPr>
                <w:rFonts w:ascii="Arial" w:hAnsi="Arial" w:cs="Arial"/>
                <w:sz w:val="12"/>
                <w:szCs w:val="12"/>
              </w:rPr>
            </w:pPr>
          </w:p>
        </w:tc>
        <w:tc>
          <w:tcPr>
            <w:tcW w:w="2268" w:type="dxa"/>
            <w:shd w:val="clear" w:color="auto" w:fill="F2F2F2"/>
            <w:hideMark/>
          </w:tcPr>
          <w:p w14:paraId="3E8808F3" w14:textId="77777777" w:rsidR="002A4DDF" w:rsidRPr="00937C8B" w:rsidRDefault="002A4DDF" w:rsidP="009110ED">
            <w:pPr>
              <w:rPr>
                <w:rFonts w:ascii="Arial" w:hAnsi="Arial" w:cs="Arial"/>
                <w:sz w:val="12"/>
                <w:szCs w:val="12"/>
              </w:rPr>
            </w:pPr>
            <w:r>
              <w:rPr>
                <w:rFonts w:ascii="Arial" w:hAnsi="Arial"/>
                <w:sz w:val="12"/>
                <w:szCs w:val="12"/>
              </w:rPr>
              <w:t>Santa Colomba de Somoza</w:t>
            </w:r>
          </w:p>
        </w:tc>
        <w:tc>
          <w:tcPr>
            <w:tcW w:w="2268" w:type="dxa"/>
            <w:tcBorders>
              <w:right w:val="single" w:sz="4" w:space="0" w:color="auto"/>
            </w:tcBorders>
            <w:shd w:val="clear" w:color="auto" w:fill="D9D9D9"/>
            <w:hideMark/>
          </w:tcPr>
          <w:p w14:paraId="03CC30B1" w14:textId="77777777" w:rsidR="002A4DDF" w:rsidRPr="00937C8B" w:rsidRDefault="002A4DDF" w:rsidP="009110ED">
            <w:pPr>
              <w:rPr>
                <w:rFonts w:ascii="Arial" w:hAnsi="Arial" w:cs="Arial"/>
                <w:sz w:val="12"/>
                <w:szCs w:val="12"/>
              </w:rPr>
            </w:pPr>
          </w:p>
        </w:tc>
      </w:tr>
      <w:tr w:rsidR="002A4DDF" w:rsidRPr="00937C8B" w14:paraId="1623809A" w14:textId="77777777" w:rsidTr="00935676">
        <w:trPr>
          <w:cantSplit/>
        </w:trPr>
        <w:tc>
          <w:tcPr>
            <w:tcW w:w="1696" w:type="dxa"/>
            <w:tcBorders>
              <w:left w:val="single" w:sz="4" w:space="0" w:color="auto"/>
            </w:tcBorders>
            <w:shd w:val="clear" w:color="auto" w:fill="auto"/>
          </w:tcPr>
          <w:p w14:paraId="54DE91C2" w14:textId="77777777" w:rsidR="002A4DDF" w:rsidRPr="00937C8B" w:rsidRDefault="002A4DDF" w:rsidP="009110ED">
            <w:pPr>
              <w:rPr>
                <w:rFonts w:ascii="Arial" w:hAnsi="Arial" w:cs="Arial"/>
                <w:sz w:val="12"/>
                <w:szCs w:val="12"/>
              </w:rPr>
            </w:pPr>
          </w:p>
        </w:tc>
        <w:tc>
          <w:tcPr>
            <w:tcW w:w="1843" w:type="dxa"/>
            <w:shd w:val="clear" w:color="auto" w:fill="auto"/>
          </w:tcPr>
          <w:p w14:paraId="798AA48D" w14:textId="77777777" w:rsidR="002A4DDF" w:rsidRPr="00937C8B" w:rsidRDefault="002A4DDF" w:rsidP="009110ED">
            <w:pPr>
              <w:rPr>
                <w:rFonts w:ascii="Arial" w:hAnsi="Arial" w:cs="Arial"/>
                <w:sz w:val="12"/>
                <w:szCs w:val="12"/>
              </w:rPr>
            </w:pPr>
          </w:p>
        </w:tc>
        <w:tc>
          <w:tcPr>
            <w:tcW w:w="2268" w:type="dxa"/>
            <w:shd w:val="clear" w:color="auto" w:fill="F2F2F2"/>
            <w:hideMark/>
          </w:tcPr>
          <w:p w14:paraId="56D7B6B3" w14:textId="77777777" w:rsidR="002A4DDF" w:rsidRPr="00937C8B" w:rsidRDefault="002A4DDF" w:rsidP="009110ED">
            <w:pPr>
              <w:rPr>
                <w:rFonts w:ascii="Arial" w:hAnsi="Arial" w:cs="Arial"/>
                <w:sz w:val="12"/>
                <w:szCs w:val="12"/>
              </w:rPr>
            </w:pPr>
            <w:r>
              <w:rPr>
                <w:rFonts w:ascii="Arial" w:hAnsi="Arial"/>
                <w:sz w:val="12"/>
                <w:szCs w:val="12"/>
              </w:rPr>
              <w:t>Santa Elena de Jamuz</w:t>
            </w:r>
          </w:p>
        </w:tc>
        <w:tc>
          <w:tcPr>
            <w:tcW w:w="2268" w:type="dxa"/>
            <w:tcBorders>
              <w:right w:val="single" w:sz="4" w:space="0" w:color="auto"/>
            </w:tcBorders>
            <w:shd w:val="clear" w:color="auto" w:fill="D9D9D9"/>
            <w:hideMark/>
          </w:tcPr>
          <w:p w14:paraId="2C88C613" w14:textId="77777777" w:rsidR="002A4DDF" w:rsidRPr="00937C8B" w:rsidRDefault="002A4DDF" w:rsidP="009110ED">
            <w:pPr>
              <w:rPr>
                <w:rFonts w:ascii="Arial" w:hAnsi="Arial" w:cs="Arial"/>
                <w:sz w:val="12"/>
                <w:szCs w:val="12"/>
              </w:rPr>
            </w:pPr>
          </w:p>
        </w:tc>
      </w:tr>
      <w:tr w:rsidR="002A4DDF" w:rsidRPr="00937C8B" w14:paraId="32292E31" w14:textId="77777777" w:rsidTr="00935676">
        <w:trPr>
          <w:cantSplit/>
        </w:trPr>
        <w:tc>
          <w:tcPr>
            <w:tcW w:w="1696" w:type="dxa"/>
            <w:tcBorders>
              <w:left w:val="single" w:sz="4" w:space="0" w:color="auto"/>
            </w:tcBorders>
            <w:shd w:val="clear" w:color="auto" w:fill="auto"/>
          </w:tcPr>
          <w:p w14:paraId="6B09422C" w14:textId="77777777" w:rsidR="002A4DDF" w:rsidRPr="00937C8B" w:rsidRDefault="002A4DDF" w:rsidP="009110ED">
            <w:pPr>
              <w:rPr>
                <w:rFonts w:ascii="Arial" w:hAnsi="Arial" w:cs="Arial"/>
                <w:sz w:val="12"/>
                <w:szCs w:val="12"/>
              </w:rPr>
            </w:pPr>
          </w:p>
        </w:tc>
        <w:tc>
          <w:tcPr>
            <w:tcW w:w="1843" w:type="dxa"/>
            <w:shd w:val="clear" w:color="auto" w:fill="auto"/>
          </w:tcPr>
          <w:p w14:paraId="5D3C94F5" w14:textId="77777777" w:rsidR="002A4DDF" w:rsidRPr="00937C8B" w:rsidRDefault="002A4DDF" w:rsidP="009110ED">
            <w:pPr>
              <w:rPr>
                <w:rFonts w:ascii="Arial" w:hAnsi="Arial" w:cs="Arial"/>
                <w:sz w:val="12"/>
                <w:szCs w:val="12"/>
              </w:rPr>
            </w:pPr>
          </w:p>
        </w:tc>
        <w:tc>
          <w:tcPr>
            <w:tcW w:w="2268" w:type="dxa"/>
            <w:shd w:val="clear" w:color="auto" w:fill="F2F2F2"/>
            <w:hideMark/>
          </w:tcPr>
          <w:p w14:paraId="782B6852" w14:textId="77777777" w:rsidR="002A4DDF" w:rsidRPr="00937C8B" w:rsidRDefault="002A4DDF" w:rsidP="009110ED">
            <w:pPr>
              <w:rPr>
                <w:rFonts w:ascii="Arial" w:hAnsi="Arial" w:cs="Arial"/>
                <w:sz w:val="12"/>
                <w:szCs w:val="12"/>
              </w:rPr>
            </w:pPr>
            <w:r>
              <w:rPr>
                <w:rFonts w:ascii="Arial" w:hAnsi="Arial"/>
                <w:sz w:val="12"/>
                <w:szCs w:val="12"/>
              </w:rPr>
              <w:t>Santa María de la Isla</w:t>
            </w:r>
          </w:p>
        </w:tc>
        <w:tc>
          <w:tcPr>
            <w:tcW w:w="2268" w:type="dxa"/>
            <w:tcBorders>
              <w:right w:val="single" w:sz="4" w:space="0" w:color="auto"/>
            </w:tcBorders>
            <w:shd w:val="clear" w:color="auto" w:fill="D9D9D9"/>
            <w:hideMark/>
          </w:tcPr>
          <w:p w14:paraId="344E1284" w14:textId="77777777" w:rsidR="002A4DDF" w:rsidRPr="00937C8B" w:rsidRDefault="002A4DDF" w:rsidP="009110ED">
            <w:pPr>
              <w:rPr>
                <w:rFonts w:ascii="Arial" w:hAnsi="Arial" w:cs="Arial"/>
                <w:sz w:val="12"/>
                <w:szCs w:val="12"/>
              </w:rPr>
            </w:pPr>
          </w:p>
        </w:tc>
      </w:tr>
      <w:tr w:rsidR="002A4DDF" w:rsidRPr="00937C8B" w14:paraId="53AB5AD6" w14:textId="77777777" w:rsidTr="00935676">
        <w:trPr>
          <w:cantSplit/>
        </w:trPr>
        <w:tc>
          <w:tcPr>
            <w:tcW w:w="1696" w:type="dxa"/>
            <w:tcBorders>
              <w:left w:val="single" w:sz="4" w:space="0" w:color="auto"/>
            </w:tcBorders>
            <w:shd w:val="clear" w:color="auto" w:fill="auto"/>
          </w:tcPr>
          <w:p w14:paraId="70DDD847" w14:textId="77777777" w:rsidR="002A4DDF" w:rsidRPr="00937C8B" w:rsidRDefault="002A4DDF" w:rsidP="009110ED">
            <w:pPr>
              <w:rPr>
                <w:rFonts w:ascii="Arial" w:hAnsi="Arial" w:cs="Arial"/>
                <w:sz w:val="12"/>
                <w:szCs w:val="12"/>
              </w:rPr>
            </w:pPr>
          </w:p>
        </w:tc>
        <w:tc>
          <w:tcPr>
            <w:tcW w:w="1843" w:type="dxa"/>
            <w:shd w:val="clear" w:color="auto" w:fill="auto"/>
          </w:tcPr>
          <w:p w14:paraId="09BF0AC4" w14:textId="77777777" w:rsidR="002A4DDF" w:rsidRPr="00937C8B" w:rsidRDefault="002A4DDF" w:rsidP="009110ED">
            <w:pPr>
              <w:rPr>
                <w:rFonts w:ascii="Arial" w:hAnsi="Arial" w:cs="Arial"/>
                <w:sz w:val="12"/>
                <w:szCs w:val="12"/>
              </w:rPr>
            </w:pPr>
          </w:p>
        </w:tc>
        <w:tc>
          <w:tcPr>
            <w:tcW w:w="2268" w:type="dxa"/>
            <w:shd w:val="clear" w:color="auto" w:fill="F2F2F2"/>
            <w:hideMark/>
          </w:tcPr>
          <w:p w14:paraId="010CB522" w14:textId="77777777" w:rsidR="002A4DDF" w:rsidRPr="00937C8B" w:rsidRDefault="002A4DDF" w:rsidP="009110ED">
            <w:pPr>
              <w:rPr>
                <w:rFonts w:ascii="Arial" w:hAnsi="Arial" w:cs="Arial"/>
                <w:sz w:val="12"/>
                <w:szCs w:val="12"/>
              </w:rPr>
            </w:pPr>
            <w:r>
              <w:rPr>
                <w:rFonts w:ascii="Arial" w:hAnsi="Arial"/>
                <w:sz w:val="12"/>
                <w:szCs w:val="12"/>
              </w:rPr>
              <w:t>Santa María del Monte de Cea</w:t>
            </w:r>
          </w:p>
        </w:tc>
        <w:tc>
          <w:tcPr>
            <w:tcW w:w="2268" w:type="dxa"/>
            <w:tcBorders>
              <w:right w:val="single" w:sz="4" w:space="0" w:color="auto"/>
            </w:tcBorders>
            <w:shd w:val="clear" w:color="auto" w:fill="D9D9D9"/>
            <w:hideMark/>
          </w:tcPr>
          <w:p w14:paraId="5F8D881B" w14:textId="77777777" w:rsidR="002A4DDF" w:rsidRPr="00937C8B" w:rsidRDefault="002A4DDF" w:rsidP="009110ED">
            <w:pPr>
              <w:rPr>
                <w:rFonts w:ascii="Arial" w:hAnsi="Arial" w:cs="Arial"/>
                <w:sz w:val="12"/>
                <w:szCs w:val="12"/>
              </w:rPr>
            </w:pPr>
          </w:p>
        </w:tc>
      </w:tr>
      <w:tr w:rsidR="002A4DDF" w:rsidRPr="00937C8B" w14:paraId="25CB2A54" w14:textId="77777777" w:rsidTr="00935676">
        <w:trPr>
          <w:cantSplit/>
        </w:trPr>
        <w:tc>
          <w:tcPr>
            <w:tcW w:w="1696" w:type="dxa"/>
            <w:tcBorders>
              <w:left w:val="single" w:sz="4" w:space="0" w:color="auto"/>
            </w:tcBorders>
            <w:shd w:val="clear" w:color="auto" w:fill="auto"/>
          </w:tcPr>
          <w:p w14:paraId="6FC89FAD" w14:textId="77777777" w:rsidR="002A4DDF" w:rsidRPr="00937C8B" w:rsidRDefault="002A4DDF" w:rsidP="009110ED">
            <w:pPr>
              <w:rPr>
                <w:rFonts w:ascii="Arial" w:hAnsi="Arial" w:cs="Arial"/>
                <w:sz w:val="12"/>
                <w:szCs w:val="12"/>
              </w:rPr>
            </w:pPr>
          </w:p>
        </w:tc>
        <w:tc>
          <w:tcPr>
            <w:tcW w:w="1843" w:type="dxa"/>
            <w:shd w:val="clear" w:color="auto" w:fill="auto"/>
          </w:tcPr>
          <w:p w14:paraId="7EA2AB2D" w14:textId="77777777" w:rsidR="002A4DDF" w:rsidRPr="00937C8B" w:rsidRDefault="002A4DDF" w:rsidP="009110ED">
            <w:pPr>
              <w:rPr>
                <w:rFonts w:ascii="Arial" w:hAnsi="Arial" w:cs="Arial"/>
                <w:sz w:val="12"/>
                <w:szCs w:val="12"/>
              </w:rPr>
            </w:pPr>
          </w:p>
        </w:tc>
        <w:tc>
          <w:tcPr>
            <w:tcW w:w="2268" w:type="dxa"/>
            <w:shd w:val="clear" w:color="auto" w:fill="F2F2F2"/>
            <w:hideMark/>
          </w:tcPr>
          <w:p w14:paraId="418DDCF3" w14:textId="77777777" w:rsidR="002A4DDF" w:rsidRPr="00937C8B" w:rsidRDefault="002A4DDF" w:rsidP="009110ED">
            <w:pPr>
              <w:rPr>
                <w:rFonts w:ascii="Arial" w:hAnsi="Arial" w:cs="Arial"/>
                <w:sz w:val="12"/>
                <w:szCs w:val="12"/>
              </w:rPr>
            </w:pPr>
            <w:r>
              <w:rPr>
                <w:rFonts w:ascii="Arial" w:hAnsi="Arial"/>
                <w:sz w:val="12"/>
                <w:szCs w:val="12"/>
              </w:rPr>
              <w:t>Santiago Millas</w:t>
            </w:r>
          </w:p>
        </w:tc>
        <w:tc>
          <w:tcPr>
            <w:tcW w:w="2268" w:type="dxa"/>
            <w:tcBorders>
              <w:right w:val="single" w:sz="4" w:space="0" w:color="auto"/>
            </w:tcBorders>
            <w:shd w:val="clear" w:color="auto" w:fill="D9D9D9"/>
            <w:hideMark/>
          </w:tcPr>
          <w:p w14:paraId="7A623D00" w14:textId="77777777" w:rsidR="002A4DDF" w:rsidRPr="00937C8B" w:rsidRDefault="002A4DDF" w:rsidP="009110ED">
            <w:pPr>
              <w:rPr>
                <w:rFonts w:ascii="Arial" w:hAnsi="Arial" w:cs="Arial"/>
                <w:sz w:val="12"/>
                <w:szCs w:val="12"/>
              </w:rPr>
            </w:pPr>
          </w:p>
        </w:tc>
      </w:tr>
      <w:tr w:rsidR="002A4DDF" w:rsidRPr="00937C8B" w14:paraId="69D7B842" w14:textId="77777777" w:rsidTr="00935676">
        <w:trPr>
          <w:cantSplit/>
        </w:trPr>
        <w:tc>
          <w:tcPr>
            <w:tcW w:w="1696" w:type="dxa"/>
            <w:tcBorders>
              <w:left w:val="single" w:sz="4" w:space="0" w:color="auto"/>
            </w:tcBorders>
            <w:shd w:val="clear" w:color="auto" w:fill="auto"/>
          </w:tcPr>
          <w:p w14:paraId="7E239FC5" w14:textId="77777777" w:rsidR="002A4DDF" w:rsidRPr="00937C8B" w:rsidRDefault="002A4DDF" w:rsidP="009110ED">
            <w:pPr>
              <w:rPr>
                <w:rFonts w:ascii="Arial" w:hAnsi="Arial" w:cs="Arial"/>
                <w:sz w:val="12"/>
                <w:szCs w:val="12"/>
              </w:rPr>
            </w:pPr>
          </w:p>
        </w:tc>
        <w:tc>
          <w:tcPr>
            <w:tcW w:w="1843" w:type="dxa"/>
            <w:shd w:val="clear" w:color="auto" w:fill="auto"/>
          </w:tcPr>
          <w:p w14:paraId="37B53ECE" w14:textId="77777777" w:rsidR="002A4DDF" w:rsidRPr="00937C8B" w:rsidRDefault="002A4DDF" w:rsidP="009110ED">
            <w:pPr>
              <w:rPr>
                <w:rFonts w:ascii="Arial" w:hAnsi="Arial" w:cs="Arial"/>
                <w:sz w:val="12"/>
                <w:szCs w:val="12"/>
              </w:rPr>
            </w:pPr>
          </w:p>
        </w:tc>
        <w:tc>
          <w:tcPr>
            <w:tcW w:w="2268" w:type="dxa"/>
            <w:shd w:val="clear" w:color="auto" w:fill="F2F2F2"/>
            <w:hideMark/>
          </w:tcPr>
          <w:p w14:paraId="3F373097" w14:textId="77777777" w:rsidR="002A4DDF" w:rsidRPr="00937C8B" w:rsidRDefault="002A4DDF" w:rsidP="009110ED">
            <w:pPr>
              <w:rPr>
                <w:rFonts w:ascii="Arial" w:hAnsi="Arial" w:cs="Arial"/>
                <w:sz w:val="12"/>
                <w:szCs w:val="12"/>
              </w:rPr>
            </w:pPr>
            <w:r>
              <w:rPr>
                <w:rFonts w:ascii="Arial" w:hAnsi="Arial"/>
                <w:sz w:val="12"/>
                <w:szCs w:val="12"/>
              </w:rPr>
              <w:t>Sena de Luna</w:t>
            </w:r>
          </w:p>
        </w:tc>
        <w:tc>
          <w:tcPr>
            <w:tcW w:w="2268" w:type="dxa"/>
            <w:tcBorders>
              <w:right w:val="single" w:sz="4" w:space="0" w:color="auto"/>
            </w:tcBorders>
            <w:shd w:val="clear" w:color="auto" w:fill="D9D9D9"/>
            <w:hideMark/>
          </w:tcPr>
          <w:p w14:paraId="434FDCD5" w14:textId="77777777" w:rsidR="002A4DDF" w:rsidRPr="00937C8B" w:rsidRDefault="002A4DDF" w:rsidP="009110ED">
            <w:pPr>
              <w:rPr>
                <w:rFonts w:ascii="Arial" w:hAnsi="Arial" w:cs="Arial"/>
                <w:sz w:val="12"/>
                <w:szCs w:val="12"/>
              </w:rPr>
            </w:pPr>
          </w:p>
        </w:tc>
      </w:tr>
      <w:tr w:rsidR="002A4DDF" w:rsidRPr="00937C8B" w14:paraId="01D276CD" w14:textId="77777777" w:rsidTr="00935676">
        <w:trPr>
          <w:cantSplit/>
        </w:trPr>
        <w:tc>
          <w:tcPr>
            <w:tcW w:w="1696" w:type="dxa"/>
            <w:tcBorders>
              <w:left w:val="single" w:sz="4" w:space="0" w:color="auto"/>
            </w:tcBorders>
            <w:shd w:val="clear" w:color="auto" w:fill="auto"/>
          </w:tcPr>
          <w:p w14:paraId="13C4B6DD" w14:textId="77777777" w:rsidR="002A4DDF" w:rsidRPr="00937C8B" w:rsidRDefault="002A4DDF" w:rsidP="009110ED">
            <w:pPr>
              <w:rPr>
                <w:rFonts w:ascii="Arial" w:hAnsi="Arial" w:cs="Arial"/>
                <w:sz w:val="12"/>
                <w:szCs w:val="12"/>
              </w:rPr>
            </w:pPr>
          </w:p>
        </w:tc>
        <w:tc>
          <w:tcPr>
            <w:tcW w:w="1843" w:type="dxa"/>
            <w:shd w:val="clear" w:color="auto" w:fill="auto"/>
          </w:tcPr>
          <w:p w14:paraId="7CA7EB90" w14:textId="77777777" w:rsidR="002A4DDF" w:rsidRPr="00937C8B" w:rsidRDefault="002A4DDF" w:rsidP="009110ED">
            <w:pPr>
              <w:rPr>
                <w:rFonts w:ascii="Arial" w:hAnsi="Arial" w:cs="Arial"/>
                <w:sz w:val="12"/>
                <w:szCs w:val="12"/>
              </w:rPr>
            </w:pPr>
          </w:p>
        </w:tc>
        <w:tc>
          <w:tcPr>
            <w:tcW w:w="2268" w:type="dxa"/>
            <w:shd w:val="clear" w:color="auto" w:fill="F2F2F2"/>
            <w:hideMark/>
          </w:tcPr>
          <w:p w14:paraId="5104E4C1" w14:textId="77777777" w:rsidR="002A4DDF" w:rsidRPr="00937C8B" w:rsidRDefault="002A4DDF" w:rsidP="009110ED">
            <w:pPr>
              <w:rPr>
                <w:rFonts w:ascii="Arial" w:hAnsi="Arial" w:cs="Arial"/>
                <w:sz w:val="12"/>
                <w:szCs w:val="12"/>
              </w:rPr>
            </w:pPr>
            <w:r>
              <w:rPr>
                <w:rFonts w:ascii="Arial" w:hAnsi="Arial"/>
                <w:sz w:val="12"/>
                <w:szCs w:val="12"/>
              </w:rPr>
              <w:t>Soto y Amío</w:t>
            </w:r>
          </w:p>
        </w:tc>
        <w:tc>
          <w:tcPr>
            <w:tcW w:w="2268" w:type="dxa"/>
            <w:tcBorders>
              <w:right w:val="single" w:sz="4" w:space="0" w:color="auto"/>
            </w:tcBorders>
            <w:shd w:val="clear" w:color="auto" w:fill="D9D9D9"/>
            <w:hideMark/>
          </w:tcPr>
          <w:p w14:paraId="43C89A41" w14:textId="77777777" w:rsidR="002A4DDF" w:rsidRPr="00937C8B" w:rsidRDefault="002A4DDF" w:rsidP="009110ED">
            <w:pPr>
              <w:rPr>
                <w:rFonts w:ascii="Arial" w:hAnsi="Arial" w:cs="Arial"/>
                <w:sz w:val="12"/>
                <w:szCs w:val="12"/>
              </w:rPr>
            </w:pPr>
          </w:p>
        </w:tc>
      </w:tr>
      <w:tr w:rsidR="002A4DDF" w:rsidRPr="00937C8B" w14:paraId="57235D88" w14:textId="77777777" w:rsidTr="00935676">
        <w:trPr>
          <w:cantSplit/>
        </w:trPr>
        <w:tc>
          <w:tcPr>
            <w:tcW w:w="1696" w:type="dxa"/>
            <w:tcBorders>
              <w:left w:val="single" w:sz="4" w:space="0" w:color="auto"/>
            </w:tcBorders>
            <w:shd w:val="clear" w:color="auto" w:fill="auto"/>
          </w:tcPr>
          <w:p w14:paraId="02243905" w14:textId="77777777" w:rsidR="002A4DDF" w:rsidRPr="00937C8B" w:rsidRDefault="002A4DDF" w:rsidP="009110ED">
            <w:pPr>
              <w:rPr>
                <w:rFonts w:ascii="Arial" w:hAnsi="Arial" w:cs="Arial"/>
                <w:sz w:val="12"/>
                <w:szCs w:val="12"/>
              </w:rPr>
            </w:pPr>
          </w:p>
        </w:tc>
        <w:tc>
          <w:tcPr>
            <w:tcW w:w="1843" w:type="dxa"/>
            <w:shd w:val="clear" w:color="auto" w:fill="auto"/>
          </w:tcPr>
          <w:p w14:paraId="42AC1E2E" w14:textId="77777777" w:rsidR="002A4DDF" w:rsidRPr="00937C8B" w:rsidRDefault="002A4DDF" w:rsidP="009110ED">
            <w:pPr>
              <w:rPr>
                <w:rFonts w:ascii="Arial" w:hAnsi="Arial" w:cs="Arial"/>
                <w:sz w:val="12"/>
                <w:szCs w:val="12"/>
              </w:rPr>
            </w:pPr>
          </w:p>
        </w:tc>
        <w:tc>
          <w:tcPr>
            <w:tcW w:w="2268" w:type="dxa"/>
            <w:shd w:val="clear" w:color="auto" w:fill="F2F2F2"/>
            <w:hideMark/>
          </w:tcPr>
          <w:p w14:paraId="600E9F60" w14:textId="77777777" w:rsidR="002A4DDF" w:rsidRPr="00937C8B" w:rsidRDefault="002A4DDF" w:rsidP="009110ED">
            <w:pPr>
              <w:rPr>
                <w:rFonts w:ascii="Arial" w:hAnsi="Arial" w:cs="Arial"/>
                <w:sz w:val="12"/>
                <w:szCs w:val="12"/>
              </w:rPr>
            </w:pPr>
            <w:r>
              <w:rPr>
                <w:rFonts w:ascii="Arial" w:hAnsi="Arial"/>
                <w:sz w:val="12"/>
                <w:szCs w:val="12"/>
              </w:rPr>
              <w:t>Toral de los Vados</w:t>
            </w:r>
          </w:p>
        </w:tc>
        <w:tc>
          <w:tcPr>
            <w:tcW w:w="2268" w:type="dxa"/>
            <w:tcBorders>
              <w:right w:val="single" w:sz="4" w:space="0" w:color="auto"/>
            </w:tcBorders>
            <w:shd w:val="clear" w:color="auto" w:fill="D9D9D9"/>
            <w:hideMark/>
          </w:tcPr>
          <w:p w14:paraId="2C0501D0" w14:textId="77777777" w:rsidR="002A4DDF" w:rsidRPr="00937C8B" w:rsidRDefault="002A4DDF" w:rsidP="009110ED">
            <w:pPr>
              <w:rPr>
                <w:rFonts w:ascii="Arial" w:hAnsi="Arial" w:cs="Arial"/>
                <w:sz w:val="12"/>
                <w:szCs w:val="12"/>
              </w:rPr>
            </w:pPr>
          </w:p>
        </w:tc>
      </w:tr>
      <w:tr w:rsidR="002A4DDF" w:rsidRPr="00937C8B" w14:paraId="2FDF2DBD" w14:textId="77777777" w:rsidTr="00935676">
        <w:trPr>
          <w:cantSplit/>
        </w:trPr>
        <w:tc>
          <w:tcPr>
            <w:tcW w:w="1696" w:type="dxa"/>
            <w:tcBorders>
              <w:left w:val="single" w:sz="4" w:space="0" w:color="auto"/>
            </w:tcBorders>
            <w:shd w:val="clear" w:color="auto" w:fill="auto"/>
          </w:tcPr>
          <w:p w14:paraId="02C80380" w14:textId="77777777" w:rsidR="002A4DDF" w:rsidRPr="00937C8B" w:rsidRDefault="002A4DDF" w:rsidP="009110ED">
            <w:pPr>
              <w:rPr>
                <w:rFonts w:ascii="Arial" w:hAnsi="Arial" w:cs="Arial"/>
                <w:sz w:val="12"/>
                <w:szCs w:val="12"/>
              </w:rPr>
            </w:pPr>
          </w:p>
        </w:tc>
        <w:tc>
          <w:tcPr>
            <w:tcW w:w="1843" w:type="dxa"/>
            <w:shd w:val="clear" w:color="auto" w:fill="auto"/>
          </w:tcPr>
          <w:p w14:paraId="4E3AF7DA" w14:textId="77777777" w:rsidR="002A4DDF" w:rsidRPr="00937C8B" w:rsidRDefault="002A4DDF" w:rsidP="009110ED">
            <w:pPr>
              <w:rPr>
                <w:rFonts w:ascii="Arial" w:hAnsi="Arial" w:cs="Arial"/>
                <w:sz w:val="12"/>
                <w:szCs w:val="12"/>
              </w:rPr>
            </w:pPr>
          </w:p>
        </w:tc>
        <w:tc>
          <w:tcPr>
            <w:tcW w:w="2268" w:type="dxa"/>
            <w:shd w:val="clear" w:color="auto" w:fill="F2F2F2"/>
            <w:hideMark/>
          </w:tcPr>
          <w:p w14:paraId="4743426F" w14:textId="77777777" w:rsidR="002A4DDF" w:rsidRPr="00937C8B" w:rsidRDefault="002A4DDF" w:rsidP="009110ED">
            <w:pPr>
              <w:rPr>
                <w:rFonts w:ascii="Arial" w:hAnsi="Arial" w:cs="Arial"/>
                <w:sz w:val="12"/>
                <w:szCs w:val="12"/>
              </w:rPr>
            </w:pPr>
            <w:r>
              <w:rPr>
                <w:rFonts w:ascii="Arial" w:hAnsi="Arial"/>
                <w:sz w:val="12"/>
                <w:szCs w:val="12"/>
              </w:rPr>
              <w:t>Toreno</w:t>
            </w:r>
          </w:p>
        </w:tc>
        <w:tc>
          <w:tcPr>
            <w:tcW w:w="2268" w:type="dxa"/>
            <w:tcBorders>
              <w:right w:val="single" w:sz="4" w:space="0" w:color="auto"/>
            </w:tcBorders>
            <w:shd w:val="clear" w:color="auto" w:fill="D9D9D9"/>
            <w:hideMark/>
          </w:tcPr>
          <w:p w14:paraId="7A587DCD" w14:textId="77777777" w:rsidR="002A4DDF" w:rsidRPr="00937C8B" w:rsidRDefault="002A4DDF" w:rsidP="009110ED">
            <w:pPr>
              <w:rPr>
                <w:rFonts w:ascii="Arial" w:hAnsi="Arial" w:cs="Arial"/>
                <w:sz w:val="12"/>
                <w:szCs w:val="12"/>
              </w:rPr>
            </w:pPr>
          </w:p>
        </w:tc>
      </w:tr>
      <w:tr w:rsidR="002A4DDF" w:rsidRPr="00937C8B" w14:paraId="648F5918" w14:textId="77777777" w:rsidTr="00935676">
        <w:trPr>
          <w:cantSplit/>
        </w:trPr>
        <w:tc>
          <w:tcPr>
            <w:tcW w:w="1696" w:type="dxa"/>
            <w:tcBorders>
              <w:left w:val="single" w:sz="4" w:space="0" w:color="auto"/>
            </w:tcBorders>
            <w:shd w:val="clear" w:color="auto" w:fill="auto"/>
          </w:tcPr>
          <w:p w14:paraId="1FEA86B3" w14:textId="77777777" w:rsidR="002A4DDF" w:rsidRPr="00937C8B" w:rsidRDefault="002A4DDF" w:rsidP="009110ED">
            <w:pPr>
              <w:rPr>
                <w:rFonts w:ascii="Arial" w:hAnsi="Arial" w:cs="Arial"/>
                <w:sz w:val="12"/>
                <w:szCs w:val="12"/>
              </w:rPr>
            </w:pPr>
          </w:p>
        </w:tc>
        <w:tc>
          <w:tcPr>
            <w:tcW w:w="1843" w:type="dxa"/>
            <w:shd w:val="clear" w:color="auto" w:fill="auto"/>
          </w:tcPr>
          <w:p w14:paraId="033E4F1B" w14:textId="77777777" w:rsidR="002A4DDF" w:rsidRPr="00937C8B" w:rsidRDefault="002A4DDF" w:rsidP="009110ED">
            <w:pPr>
              <w:rPr>
                <w:rFonts w:ascii="Arial" w:hAnsi="Arial" w:cs="Arial"/>
                <w:sz w:val="12"/>
                <w:szCs w:val="12"/>
              </w:rPr>
            </w:pPr>
          </w:p>
        </w:tc>
        <w:tc>
          <w:tcPr>
            <w:tcW w:w="2268" w:type="dxa"/>
            <w:shd w:val="clear" w:color="auto" w:fill="F2F2F2"/>
            <w:hideMark/>
          </w:tcPr>
          <w:p w14:paraId="086D7CA1" w14:textId="77777777" w:rsidR="002A4DDF" w:rsidRPr="00937C8B" w:rsidRDefault="002A4DDF" w:rsidP="009110ED">
            <w:pPr>
              <w:rPr>
                <w:rFonts w:ascii="Arial" w:hAnsi="Arial" w:cs="Arial"/>
                <w:sz w:val="12"/>
                <w:szCs w:val="12"/>
              </w:rPr>
            </w:pPr>
            <w:r>
              <w:rPr>
                <w:rFonts w:ascii="Arial" w:hAnsi="Arial"/>
                <w:sz w:val="12"/>
                <w:szCs w:val="12"/>
              </w:rPr>
              <w:t>Torre del Bierzo</w:t>
            </w:r>
          </w:p>
        </w:tc>
        <w:tc>
          <w:tcPr>
            <w:tcW w:w="2268" w:type="dxa"/>
            <w:tcBorders>
              <w:right w:val="single" w:sz="4" w:space="0" w:color="auto"/>
            </w:tcBorders>
            <w:shd w:val="clear" w:color="auto" w:fill="D9D9D9"/>
            <w:hideMark/>
          </w:tcPr>
          <w:p w14:paraId="6B52DA58" w14:textId="77777777" w:rsidR="002A4DDF" w:rsidRPr="00937C8B" w:rsidRDefault="002A4DDF" w:rsidP="009110ED">
            <w:pPr>
              <w:rPr>
                <w:rFonts w:ascii="Arial" w:hAnsi="Arial" w:cs="Arial"/>
                <w:sz w:val="12"/>
                <w:szCs w:val="12"/>
              </w:rPr>
            </w:pPr>
          </w:p>
        </w:tc>
      </w:tr>
      <w:tr w:rsidR="002A4DDF" w:rsidRPr="00937C8B" w14:paraId="317D1DAC" w14:textId="77777777" w:rsidTr="00935676">
        <w:trPr>
          <w:cantSplit/>
        </w:trPr>
        <w:tc>
          <w:tcPr>
            <w:tcW w:w="1696" w:type="dxa"/>
            <w:tcBorders>
              <w:left w:val="single" w:sz="4" w:space="0" w:color="auto"/>
            </w:tcBorders>
            <w:shd w:val="clear" w:color="auto" w:fill="auto"/>
          </w:tcPr>
          <w:p w14:paraId="6A59D771" w14:textId="77777777" w:rsidR="002A4DDF" w:rsidRPr="00937C8B" w:rsidRDefault="002A4DDF" w:rsidP="009110ED">
            <w:pPr>
              <w:rPr>
                <w:rFonts w:ascii="Arial" w:hAnsi="Arial" w:cs="Arial"/>
                <w:sz w:val="12"/>
                <w:szCs w:val="12"/>
              </w:rPr>
            </w:pPr>
          </w:p>
        </w:tc>
        <w:tc>
          <w:tcPr>
            <w:tcW w:w="1843" w:type="dxa"/>
            <w:shd w:val="clear" w:color="auto" w:fill="auto"/>
          </w:tcPr>
          <w:p w14:paraId="13AAEF35" w14:textId="77777777" w:rsidR="002A4DDF" w:rsidRPr="00937C8B" w:rsidRDefault="002A4DDF" w:rsidP="009110ED">
            <w:pPr>
              <w:rPr>
                <w:rFonts w:ascii="Arial" w:hAnsi="Arial" w:cs="Arial"/>
                <w:sz w:val="12"/>
                <w:szCs w:val="12"/>
              </w:rPr>
            </w:pPr>
          </w:p>
        </w:tc>
        <w:tc>
          <w:tcPr>
            <w:tcW w:w="2268" w:type="dxa"/>
            <w:shd w:val="clear" w:color="auto" w:fill="F2F2F2"/>
            <w:hideMark/>
          </w:tcPr>
          <w:p w14:paraId="1FA77FF9" w14:textId="77777777" w:rsidR="002A4DDF" w:rsidRPr="00937C8B" w:rsidRDefault="002A4DDF" w:rsidP="009110ED">
            <w:pPr>
              <w:rPr>
                <w:rFonts w:ascii="Arial" w:hAnsi="Arial" w:cs="Arial"/>
                <w:sz w:val="12"/>
                <w:szCs w:val="12"/>
              </w:rPr>
            </w:pPr>
            <w:r>
              <w:rPr>
                <w:rFonts w:ascii="Arial" w:hAnsi="Arial"/>
                <w:sz w:val="12"/>
                <w:szCs w:val="12"/>
              </w:rPr>
              <w:t>Trabadelo</w:t>
            </w:r>
          </w:p>
        </w:tc>
        <w:tc>
          <w:tcPr>
            <w:tcW w:w="2268" w:type="dxa"/>
            <w:tcBorders>
              <w:right w:val="single" w:sz="4" w:space="0" w:color="auto"/>
            </w:tcBorders>
            <w:shd w:val="clear" w:color="auto" w:fill="D9D9D9"/>
            <w:hideMark/>
          </w:tcPr>
          <w:p w14:paraId="77E54460" w14:textId="77777777" w:rsidR="002A4DDF" w:rsidRPr="00937C8B" w:rsidRDefault="002A4DDF" w:rsidP="009110ED">
            <w:pPr>
              <w:rPr>
                <w:rFonts w:ascii="Arial" w:hAnsi="Arial" w:cs="Arial"/>
                <w:sz w:val="12"/>
                <w:szCs w:val="12"/>
              </w:rPr>
            </w:pPr>
          </w:p>
        </w:tc>
      </w:tr>
      <w:tr w:rsidR="002A4DDF" w:rsidRPr="00937C8B" w14:paraId="387CD9A8" w14:textId="77777777" w:rsidTr="00935676">
        <w:trPr>
          <w:cantSplit/>
        </w:trPr>
        <w:tc>
          <w:tcPr>
            <w:tcW w:w="1696" w:type="dxa"/>
            <w:tcBorders>
              <w:left w:val="single" w:sz="4" w:space="0" w:color="auto"/>
            </w:tcBorders>
            <w:shd w:val="clear" w:color="auto" w:fill="auto"/>
          </w:tcPr>
          <w:p w14:paraId="27E820A2" w14:textId="77777777" w:rsidR="002A4DDF" w:rsidRPr="00937C8B" w:rsidRDefault="002A4DDF" w:rsidP="009110ED">
            <w:pPr>
              <w:rPr>
                <w:rFonts w:ascii="Arial" w:hAnsi="Arial" w:cs="Arial"/>
                <w:sz w:val="12"/>
                <w:szCs w:val="12"/>
              </w:rPr>
            </w:pPr>
          </w:p>
        </w:tc>
        <w:tc>
          <w:tcPr>
            <w:tcW w:w="1843" w:type="dxa"/>
            <w:shd w:val="clear" w:color="auto" w:fill="auto"/>
          </w:tcPr>
          <w:p w14:paraId="0F38B5D4" w14:textId="77777777" w:rsidR="002A4DDF" w:rsidRPr="00937C8B" w:rsidRDefault="002A4DDF" w:rsidP="009110ED">
            <w:pPr>
              <w:rPr>
                <w:rFonts w:ascii="Arial" w:hAnsi="Arial" w:cs="Arial"/>
                <w:sz w:val="12"/>
                <w:szCs w:val="12"/>
              </w:rPr>
            </w:pPr>
          </w:p>
        </w:tc>
        <w:tc>
          <w:tcPr>
            <w:tcW w:w="2268" w:type="dxa"/>
            <w:shd w:val="clear" w:color="auto" w:fill="F2F2F2"/>
            <w:hideMark/>
          </w:tcPr>
          <w:p w14:paraId="0DA44ABA" w14:textId="77777777" w:rsidR="002A4DDF" w:rsidRPr="00937C8B" w:rsidRDefault="002A4DDF" w:rsidP="009110ED">
            <w:pPr>
              <w:rPr>
                <w:rFonts w:ascii="Arial" w:hAnsi="Arial" w:cs="Arial"/>
                <w:sz w:val="12"/>
                <w:szCs w:val="12"/>
              </w:rPr>
            </w:pPr>
            <w:r>
              <w:rPr>
                <w:rFonts w:ascii="Arial" w:hAnsi="Arial"/>
                <w:sz w:val="12"/>
                <w:szCs w:val="12"/>
              </w:rPr>
              <w:t>Val de San Lorenzo</w:t>
            </w:r>
          </w:p>
        </w:tc>
        <w:tc>
          <w:tcPr>
            <w:tcW w:w="2268" w:type="dxa"/>
            <w:tcBorders>
              <w:right w:val="single" w:sz="4" w:space="0" w:color="auto"/>
            </w:tcBorders>
            <w:shd w:val="clear" w:color="auto" w:fill="D9D9D9"/>
            <w:hideMark/>
          </w:tcPr>
          <w:p w14:paraId="72D38AB3" w14:textId="77777777" w:rsidR="002A4DDF" w:rsidRPr="00937C8B" w:rsidRDefault="002A4DDF" w:rsidP="009110ED">
            <w:pPr>
              <w:rPr>
                <w:rFonts w:ascii="Arial" w:hAnsi="Arial" w:cs="Arial"/>
                <w:sz w:val="12"/>
                <w:szCs w:val="12"/>
              </w:rPr>
            </w:pPr>
          </w:p>
        </w:tc>
      </w:tr>
      <w:tr w:rsidR="002A4DDF" w:rsidRPr="00937C8B" w14:paraId="09DCFA6E" w14:textId="77777777" w:rsidTr="00935676">
        <w:trPr>
          <w:cantSplit/>
        </w:trPr>
        <w:tc>
          <w:tcPr>
            <w:tcW w:w="1696" w:type="dxa"/>
            <w:tcBorders>
              <w:left w:val="single" w:sz="4" w:space="0" w:color="auto"/>
            </w:tcBorders>
            <w:shd w:val="clear" w:color="auto" w:fill="auto"/>
          </w:tcPr>
          <w:p w14:paraId="28B6D9C6" w14:textId="77777777" w:rsidR="002A4DDF" w:rsidRPr="00937C8B" w:rsidRDefault="002A4DDF" w:rsidP="009110ED">
            <w:pPr>
              <w:rPr>
                <w:rFonts w:ascii="Arial" w:hAnsi="Arial" w:cs="Arial"/>
                <w:sz w:val="12"/>
                <w:szCs w:val="12"/>
              </w:rPr>
            </w:pPr>
          </w:p>
        </w:tc>
        <w:tc>
          <w:tcPr>
            <w:tcW w:w="1843" w:type="dxa"/>
            <w:shd w:val="clear" w:color="auto" w:fill="auto"/>
          </w:tcPr>
          <w:p w14:paraId="09CD4F4F" w14:textId="77777777" w:rsidR="002A4DDF" w:rsidRPr="00937C8B" w:rsidRDefault="002A4DDF" w:rsidP="009110ED">
            <w:pPr>
              <w:rPr>
                <w:rFonts w:ascii="Arial" w:hAnsi="Arial" w:cs="Arial"/>
                <w:sz w:val="12"/>
                <w:szCs w:val="12"/>
              </w:rPr>
            </w:pPr>
          </w:p>
        </w:tc>
        <w:tc>
          <w:tcPr>
            <w:tcW w:w="2268" w:type="dxa"/>
            <w:shd w:val="clear" w:color="auto" w:fill="F2F2F2"/>
            <w:hideMark/>
          </w:tcPr>
          <w:p w14:paraId="24683D07" w14:textId="77777777" w:rsidR="002A4DDF" w:rsidRPr="00937C8B" w:rsidRDefault="002A4DDF" w:rsidP="009110ED">
            <w:pPr>
              <w:rPr>
                <w:rFonts w:ascii="Arial" w:hAnsi="Arial" w:cs="Arial"/>
                <w:sz w:val="12"/>
                <w:szCs w:val="12"/>
              </w:rPr>
            </w:pPr>
            <w:r>
              <w:rPr>
                <w:rFonts w:ascii="Arial" w:hAnsi="Arial"/>
                <w:sz w:val="12"/>
                <w:szCs w:val="12"/>
              </w:rPr>
              <w:t>Valdelugueros</w:t>
            </w:r>
          </w:p>
        </w:tc>
        <w:tc>
          <w:tcPr>
            <w:tcW w:w="2268" w:type="dxa"/>
            <w:tcBorders>
              <w:right w:val="single" w:sz="4" w:space="0" w:color="auto"/>
            </w:tcBorders>
            <w:shd w:val="clear" w:color="auto" w:fill="D9D9D9"/>
            <w:hideMark/>
          </w:tcPr>
          <w:p w14:paraId="4DF9F947" w14:textId="77777777" w:rsidR="002A4DDF" w:rsidRPr="00937C8B" w:rsidRDefault="002A4DDF" w:rsidP="009110ED">
            <w:pPr>
              <w:rPr>
                <w:rFonts w:ascii="Arial" w:hAnsi="Arial" w:cs="Arial"/>
                <w:sz w:val="12"/>
                <w:szCs w:val="12"/>
              </w:rPr>
            </w:pPr>
          </w:p>
        </w:tc>
      </w:tr>
      <w:tr w:rsidR="002A4DDF" w:rsidRPr="00937C8B" w14:paraId="25052525" w14:textId="77777777" w:rsidTr="00935676">
        <w:trPr>
          <w:cantSplit/>
        </w:trPr>
        <w:tc>
          <w:tcPr>
            <w:tcW w:w="1696" w:type="dxa"/>
            <w:tcBorders>
              <w:left w:val="single" w:sz="4" w:space="0" w:color="auto"/>
            </w:tcBorders>
            <w:shd w:val="clear" w:color="auto" w:fill="auto"/>
          </w:tcPr>
          <w:p w14:paraId="7D7FF512" w14:textId="77777777" w:rsidR="002A4DDF" w:rsidRPr="00937C8B" w:rsidRDefault="002A4DDF" w:rsidP="009110ED">
            <w:pPr>
              <w:rPr>
                <w:rFonts w:ascii="Arial" w:hAnsi="Arial" w:cs="Arial"/>
                <w:sz w:val="12"/>
                <w:szCs w:val="12"/>
              </w:rPr>
            </w:pPr>
          </w:p>
        </w:tc>
        <w:tc>
          <w:tcPr>
            <w:tcW w:w="1843" w:type="dxa"/>
            <w:shd w:val="clear" w:color="auto" w:fill="auto"/>
          </w:tcPr>
          <w:p w14:paraId="30E9ACB3" w14:textId="77777777" w:rsidR="002A4DDF" w:rsidRPr="00937C8B" w:rsidRDefault="002A4DDF" w:rsidP="009110ED">
            <w:pPr>
              <w:rPr>
                <w:rFonts w:ascii="Arial" w:hAnsi="Arial" w:cs="Arial"/>
                <w:sz w:val="12"/>
                <w:szCs w:val="12"/>
              </w:rPr>
            </w:pPr>
          </w:p>
        </w:tc>
        <w:tc>
          <w:tcPr>
            <w:tcW w:w="2268" w:type="dxa"/>
            <w:shd w:val="clear" w:color="auto" w:fill="F2F2F2"/>
            <w:hideMark/>
          </w:tcPr>
          <w:p w14:paraId="0F931DEE" w14:textId="77777777" w:rsidR="002A4DDF" w:rsidRPr="00937C8B" w:rsidRDefault="002A4DDF" w:rsidP="009110ED">
            <w:pPr>
              <w:rPr>
                <w:rFonts w:ascii="Arial" w:hAnsi="Arial" w:cs="Arial"/>
                <w:sz w:val="12"/>
                <w:szCs w:val="12"/>
              </w:rPr>
            </w:pPr>
            <w:r>
              <w:rPr>
                <w:rFonts w:ascii="Arial" w:hAnsi="Arial"/>
                <w:sz w:val="12"/>
                <w:szCs w:val="12"/>
              </w:rPr>
              <w:t>Valdepiélago</w:t>
            </w:r>
          </w:p>
        </w:tc>
        <w:tc>
          <w:tcPr>
            <w:tcW w:w="2268" w:type="dxa"/>
            <w:tcBorders>
              <w:right w:val="single" w:sz="4" w:space="0" w:color="auto"/>
            </w:tcBorders>
            <w:shd w:val="clear" w:color="auto" w:fill="D9D9D9"/>
            <w:hideMark/>
          </w:tcPr>
          <w:p w14:paraId="19EFF134" w14:textId="77777777" w:rsidR="002A4DDF" w:rsidRPr="00937C8B" w:rsidRDefault="002A4DDF" w:rsidP="009110ED">
            <w:pPr>
              <w:rPr>
                <w:rFonts w:ascii="Arial" w:hAnsi="Arial" w:cs="Arial"/>
                <w:sz w:val="12"/>
                <w:szCs w:val="12"/>
              </w:rPr>
            </w:pPr>
          </w:p>
        </w:tc>
      </w:tr>
      <w:tr w:rsidR="002A4DDF" w:rsidRPr="00937C8B" w14:paraId="38AE6AD8" w14:textId="77777777" w:rsidTr="00935676">
        <w:trPr>
          <w:cantSplit/>
        </w:trPr>
        <w:tc>
          <w:tcPr>
            <w:tcW w:w="1696" w:type="dxa"/>
            <w:tcBorders>
              <w:left w:val="single" w:sz="4" w:space="0" w:color="auto"/>
            </w:tcBorders>
            <w:shd w:val="clear" w:color="auto" w:fill="auto"/>
          </w:tcPr>
          <w:p w14:paraId="516EBA55" w14:textId="77777777" w:rsidR="002A4DDF" w:rsidRPr="00937C8B" w:rsidRDefault="002A4DDF" w:rsidP="009110ED">
            <w:pPr>
              <w:rPr>
                <w:rFonts w:ascii="Arial" w:hAnsi="Arial" w:cs="Arial"/>
                <w:sz w:val="12"/>
                <w:szCs w:val="12"/>
              </w:rPr>
            </w:pPr>
          </w:p>
        </w:tc>
        <w:tc>
          <w:tcPr>
            <w:tcW w:w="1843" w:type="dxa"/>
            <w:shd w:val="clear" w:color="auto" w:fill="auto"/>
          </w:tcPr>
          <w:p w14:paraId="1FEF2A12" w14:textId="77777777" w:rsidR="002A4DDF" w:rsidRPr="00937C8B" w:rsidRDefault="002A4DDF" w:rsidP="009110ED">
            <w:pPr>
              <w:rPr>
                <w:rFonts w:ascii="Arial" w:hAnsi="Arial" w:cs="Arial"/>
                <w:sz w:val="12"/>
                <w:szCs w:val="12"/>
              </w:rPr>
            </w:pPr>
          </w:p>
        </w:tc>
        <w:tc>
          <w:tcPr>
            <w:tcW w:w="2268" w:type="dxa"/>
            <w:shd w:val="clear" w:color="auto" w:fill="F2F2F2"/>
            <w:hideMark/>
          </w:tcPr>
          <w:p w14:paraId="352DAA30" w14:textId="77777777" w:rsidR="002A4DDF" w:rsidRPr="00937C8B" w:rsidRDefault="002A4DDF" w:rsidP="009110ED">
            <w:pPr>
              <w:rPr>
                <w:rFonts w:ascii="Arial" w:hAnsi="Arial" w:cs="Arial"/>
                <w:sz w:val="12"/>
                <w:szCs w:val="12"/>
              </w:rPr>
            </w:pPr>
            <w:r>
              <w:rPr>
                <w:rFonts w:ascii="Arial" w:hAnsi="Arial"/>
                <w:sz w:val="12"/>
                <w:szCs w:val="12"/>
              </w:rPr>
              <w:t>Valdepolo</w:t>
            </w:r>
          </w:p>
        </w:tc>
        <w:tc>
          <w:tcPr>
            <w:tcW w:w="2268" w:type="dxa"/>
            <w:tcBorders>
              <w:right w:val="single" w:sz="4" w:space="0" w:color="auto"/>
            </w:tcBorders>
            <w:shd w:val="clear" w:color="auto" w:fill="D9D9D9"/>
            <w:hideMark/>
          </w:tcPr>
          <w:p w14:paraId="33E6CF60" w14:textId="77777777" w:rsidR="002A4DDF" w:rsidRPr="00937C8B" w:rsidRDefault="002A4DDF" w:rsidP="009110ED">
            <w:pPr>
              <w:rPr>
                <w:rFonts w:ascii="Arial" w:hAnsi="Arial" w:cs="Arial"/>
                <w:sz w:val="12"/>
                <w:szCs w:val="12"/>
              </w:rPr>
            </w:pPr>
          </w:p>
        </w:tc>
      </w:tr>
      <w:tr w:rsidR="002A4DDF" w:rsidRPr="00937C8B" w14:paraId="744EC880" w14:textId="77777777" w:rsidTr="00935676">
        <w:trPr>
          <w:cantSplit/>
        </w:trPr>
        <w:tc>
          <w:tcPr>
            <w:tcW w:w="1696" w:type="dxa"/>
            <w:tcBorders>
              <w:left w:val="single" w:sz="4" w:space="0" w:color="auto"/>
            </w:tcBorders>
            <w:shd w:val="clear" w:color="auto" w:fill="auto"/>
          </w:tcPr>
          <w:p w14:paraId="1645B990" w14:textId="77777777" w:rsidR="002A4DDF" w:rsidRPr="00937C8B" w:rsidRDefault="002A4DDF" w:rsidP="009110ED">
            <w:pPr>
              <w:rPr>
                <w:rFonts w:ascii="Arial" w:hAnsi="Arial" w:cs="Arial"/>
                <w:sz w:val="12"/>
                <w:szCs w:val="12"/>
              </w:rPr>
            </w:pPr>
          </w:p>
        </w:tc>
        <w:tc>
          <w:tcPr>
            <w:tcW w:w="1843" w:type="dxa"/>
            <w:shd w:val="clear" w:color="auto" w:fill="auto"/>
          </w:tcPr>
          <w:p w14:paraId="0BEC7BAB" w14:textId="77777777" w:rsidR="002A4DDF" w:rsidRPr="00937C8B" w:rsidRDefault="002A4DDF" w:rsidP="009110ED">
            <w:pPr>
              <w:rPr>
                <w:rFonts w:ascii="Arial" w:hAnsi="Arial" w:cs="Arial"/>
                <w:sz w:val="12"/>
                <w:szCs w:val="12"/>
              </w:rPr>
            </w:pPr>
          </w:p>
        </w:tc>
        <w:tc>
          <w:tcPr>
            <w:tcW w:w="2268" w:type="dxa"/>
            <w:shd w:val="clear" w:color="auto" w:fill="F2F2F2"/>
            <w:hideMark/>
          </w:tcPr>
          <w:p w14:paraId="0A510500" w14:textId="77777777" w:rsidR="002A4DDF" w:rsidRPr="00937C8B" w:rsidRDefault="002A4DDF" w:rsidP="009110ED">
            <w:pPr>
              <w:rPr>
                <w:rFonts w:ascii="Arial" w:hAnsi="Arial" w:cs="Arial"/>
                <w:sz w:val="12"/>
                <w:szCs w:val="12"/>
              </w:rPr>
            </w:pPr>
            <w:r>
              <w:rPr>
                <w:rFonts w:ascii="Arial" w:hAnsi="Arial"/>
                <w:sz w:val="12"/>
                <w:szCs w:val="12"/>
              </w:rPr>
              <w:t>Valderrey</w:t>
            </w:r>
          </w:p>
        </w:tc>
        <w:tc>
          <w:tcPr>
            <w:tcW w:w="2268" w:type="dxa"/>
            <w:tcBorders>
              <w:right w:val="single" w:sz="4" w:space="0" w:color="auto"/>
            </w:tcBorders>
            <w:shd w:val="clear" w:color="auto" w:fill="D9D9D9"/>
            <w:hideMark/>
          </w:tcPr>
          <w:p w14:paraId="6139751D" w14:textId="77777777" w:rsidR="002A4DDF" w:rsidRPr="00937C8B" w:rsidRDefault="002A4DDF" w:rsidP="009110ED">
            <w:pPr>
              <w:rPr>
                <w:rFonts w:ascii="Arial" w:hAnsi="Arial" w:cs="Arial"/>
                <w:sz w:val="12"/>
                <w:szCs w:val="12"/>
              </w:rPr>
            </w:pPr>
          </w:p>
        </w:tc>
      </w:tr>
      <w:tr w:rsidR="002A4DDF" w:rsidRPr="00937C8B" w14:paraId="61DDF83C" w14:textId="77777777" w:rsidTr="00935676">
        <w:trPr>
          <w:cantSplit/>
        </w:trPr>
        <w:tc>
          <w:tcPr>
            <w:tcW w:w="1696" w:type="dxa"/>
            <w:tcBorders>
              <w:left w:val="single" w:sz="4" w:space="0" w:color="auto"/>
            </w:tcBorders>
            <w:shd w:val="clear" w:color="auto" w:fill="auto"/>
          </w:tcPr>
          <w:p w14:paraId="0D6ED715" w14:textId="77777777" w:rsidR="002A4DDF" w:rsidRPr="00937C8B" w:rsidRDefault="002A4DDF" w:rsidP="009110ED">
            <w:pPr>
              <w:rPr>
                <w:rFonts w:ascii="Arial" w:hAnsi="Arial" w:cs="Arial"/>
                <w:sz w:val="12"/>
                <w:szCs w:val="12"/>
              </w:rPr>
            </w:pPr>
          </w:p>
        </w:tc>
        <w:tc>
          <w:tcPr>
            <w:tcW w:w="1843" w:type="dxa"/>
            <w:shd w:val="clear" w:color="auto" w:fill="auto"/>
          </w:tcPr>
          <w:p w14:paraId="703DE86A" w14:textId="77777777" w:rsidR="002A4DDF" w:rsidRPr="00937C8B" w:rsidRDefault="002A4DDF" w:rsidP="009110ED">
            <w:pPr>
              <w:rPr>
                <w:rFonts w:ascii="Arial" w:hAnsi="Arial" w:cs="Arial"/>
                <w:sz w:val="12"/>
                <w:szCs w:val="12"/>
              </w:rPr>
            </w:pPr>
          </w:p>
        </w:tc>
        <w:tc>
          <w:tcPr>
            <w:tcW w:w="2268" w:type="dxa"/>
            <w:shd w:val="clear" w:color="auto" w:fill="F2F2F2"/>
            <w:hideMark/>
          </w:tcPr>
          <w:p w14:paraId="120A15A9" w14:textId="77777777" w:rsidR="002A4DDF" w:rsidRPr="00937C8B" w:rsidRDefault="002A4DDF" w:rsidP="009110ED">
            <w:pPr>
              <w:rPr>
                <w:rFonts w:ascii="Arial" w:hAnsi="Arial" w:cs="Arial"/>
                <w:sz w:val="12"/>
                <w:szCs w:val="12"/>
              </w:rPr>
            </w:pPr>
            <w:r>
              <w:rPr>
                <w:rFonts w:ascii="Arial" w:hAnsi="Arial"/>
                <w:sz w:val="12"/>
                <w:szCs w:val="12"/>
              </w:rPr>
              <w:t>Valderrueda</w:t>
            </w:r>
          </w:p>
        </w:tc>
        <w:tc>
          <w:tcPr>
            <w:tcW w:w="2268" w:type="dxa"/>
            <w:tcBorders>
              <w:right w:val="single" w:sz="4" w:space="0" w:color="auto"/>
            </w:tcBorders>
            <w:shd w:val="clear" w:color="auto" w:fill="D9D9D9"/>
            <w:hideMark/>
          </w:tcPr>
          <w:p w14:paraId="27ED9E48" w14:textId="77777777" w:rsidR="002A4DDF" w:rsidRPr="00937C8B" w:rsidRDefault="002A4DDF" w:rsidP="009110ED">
            <w:pPr>
              <w:rPr>
                <w:rFonts w:ascii="Arial" w:hAnsi="Arial" w:cs="Arial"/>
                <w:sz w:val="12"/>
                <w:szCs w:val="12"/>
              </w:rPr>
            </w:pPr>
          </w:p>
        </w:tc>
      </w:tr>
      <w:tr w:rsidR="002A4DDF" w:rsidRPr="00937C8B" w14:paraId="0AEB6920" w14:textId="77777777" w:rsidTr="00935676">
        <w:trPr>
          <w:cantSplit/>
        </w:trPr>
        <w:tc>
          <w:tcPr>
            <w:tcW w:w="1696" w:type="dxa"/>
            <w:tcBorders>
              <w:left w:val="single" w:sz="4" w:space="0" w:color="auto"/>
            </w:tcBorders>
            <w:shd w:val="clear" w:color="auto" w:fill="auto"/>
          </w:tcPr>
          <w:p w14:paraId="1B890BF6" w14:textId="77777777" w:rsidR="002A4DDF" w:rsidRPr="00937C8B" w:rsidRDefault="002A4DDF" w:rsidP="009110ED">
            <w:pPr>
              <w:rPr>
                <w:rFonts w:ascii="Arial" w:hAnsi="Arial" w:cs="Arial"/>
                <w:sz w:val="12"/>
                <w:szCs w:val="12"/>
              </w:rPr>
            </w:pPr>
          </w:p>
        </w:tc>
        <w:tc>
          <w:tcPr>
            <w:tcW w:w="1843" w:type="dxa"/>
            <w:shd w:val="clear" w:color="auto" w:fill="auto"/>
          </w:tcPr>
          <w:p w14:paraId="739CA100" w14:textId="77777777" w:rsidR="002A4DDF" w:rsidRPr="00937C8B" w:rsidRDefault="002A4DDF" w:rsidP="009110ED">
            <w:pPr>
              <w:rPr>
                <w:rFonts w:ascii="Arial" w:hAnsi="Arial" w:cs="Arial"/>
                <w:sz w:val="12"/>
                <w:szCs w:val="12"/>
              </w:rPr>
            </w:pPr>
          </w:p>
        </w:tc>
        <w:tc>
          <w:tcPr>
            <w:tcW w:w="2268" w:type="dxa"/>
            <w:shd w:val="clear" w:color="auto" w:fill="F2F2F2"/>
            <w:hideMark/>
          </w:tcPr>
          <w:p w14:paraId="5AD96586" w14:textId="77777777" w:rsidR="002A4DDF" w:rsidRPr="00937C8B" w:rsidRDefault="002A4DDF" w:rsidP="009110ED">
            <w:pPr>
              <w:rPr>
                <w:rFonts w:ascii="Arial" w:hAnsi="Arial" w:cs="Arial"/>
                <w:sz w:val="12"/>
                <w:szCs w:val="12"/>
              </w:rPr>
            </w:pPr>
            <w:r>
              <w:rPr>
                <w:rFonts w:ascii="Arial" w:hAnsi="Arial"/>
                <w:sz w:val="12"/>
                <w:szCs w:val="12"/>
              </w:rPr>
              <w:t>Valdesamario</w:t>
            </w:r>
          </w:p>
        </w:tc>
        <w:tc>
          <w:tcPr>
            <w:tcW w:w="2268" w:type="dxa"/>
            <w:tcBorders>
              <w:right w:val="single" w:sz="4" w:space="0" w:color="auto"/>
            </w:tcBorders>
            <w:shd w:val="clear" w:color="auto" w:fill="D9D9D9"/>
            <w:hideMark/>
          </w:tcPr>
          <w:p w14:paraId="6118AE81" w14:textId="77777777" w:rsidR="002A4DDF" w:rsidRPr="00937C8B" w:rsidRDefault="002A4DDF" w:rsidP="009110ED">
            <w:pPr>
              <w:rPr>
                <w:rFonts w:ascii="Arial" w:hAnsi="Arial" w:cs="Arial"/>
                <w:sz w:val="12"/>
                <w:szCs w:val="12"/>
              </w:rPr>
            </w:pPr>
          </w:p>
        </w:tc>
      </w:tr>
      <w:tr w:rsidR="002A4DDF" w:rsidRPr="00937C8B" w14:paraId="2D25CB20" w14:textId="77777777" w:rsidTr="00935676">
        <w:trPr>
          <w:cantSplit/>
        </w:trPr>
        <w:tc>
          <w:tcPr>
            <w:tcW w:w="1696" w:type="dxa"/>
            <w:tcBorders>
              <w:left w:val="single" w:sz="4" w:space="0" w:color="auto"/>
            </w:tcBorders>
            <w:shd w:val="clear" w:color="auto" w:fill="auto"/>
          </w:tcPr>
          <w:p w14:paraId="042CB770" w14:textId="77777777" w:rsidR="002A4DDF" w:rsidRPr="00937C8B" w:rsidRDefault="002A4DDF" w:rsidP="009110ED">
            <w:pPr>
              <w:rPr>
                <w:rFonts w:ascii="Arial" w:hAnsi="Arial" w:cs="Arial"/>
                <w:sz w:val="12"/>
                <w:szCs w:val="12"/>
              </w:rPr>
            </w:pPr>
          </w:p>
        </w:tc>
        <w:tc>
          <w:tcPr>
            <w:tcW w:w="1843" w:type="dxa"/>
            <w:shd w:val="clear" w:color="auto" w:fill="auto"/>
          </w:tcPr>
          <w:p w14:paraId="4285E9C0" w14:textId="77777777" w:rsidR="002A4DDF" w:rsidRPr="00937C8B" w:rsidRDefault="002A4DDF" w:rsidP="009110ED">
            <w:pPr>
              <w:rPr>
                <w:rFonts w:ascii="Arial" w:hAnsi="Arial" w:cs="Arial"/>
                <w:sz w:val="12"/>
                <w:szCs w:val="12"/>
              </w:rPr>
            </w:pPr>
          </w:p>
        </w:tc>
        <w:tc>
          <w:tcPr>
            <w:tcW w:w="2268" w:type="dxa"/>
            <w:shd w:val="clear" w:color="auto" w:fill="F2F2F2"/>
            <w:hideMark/>
          </w:tcPr>
          <w:p w14:paraId="26654F15" w14:textId="77777777" w:rsidR="002A4DDF" w:rsidRPr="00937C8B" w:rsidRDefault="002A4DDF" w:rsidP="009110ED">
            <w:pPr>
              <w:rPr>
                <w:rFonts w:ascii="Arial" w:hAnsi="Arial" w:cs="Arial"/>
                <w:sz w:val="12"/>
                <w:szCs w:val="12"/>
              </w:rPr>
            </w:pPr>
            <w:r>
              <w:rPr>
                <w:rFonts w:ascii="Arial" w:hAnsi="Arial"/>
                <w:sz w:val="12"/>
                <w:szCs w:val="12"/>
              </w:rPr>
              <w:t>Vallecillo</w:t>
            </w:r>
          </w:p>
        </w:tc>
        <w:tc>
          <w:tcPr>
            <w:tcW w:w="2268" w:type="dxa"/>
            <w:tcBorders>
              <w:right w:val="single" w:sz="4" w:space="0" w:color="auto"/>
            </w:tcBorders>
            <w:shd w:val="clear" w:color="auto" w:fill="D9D9D9"/>
            <w:hideMark/>
          </w:tcPr>
          <w:p w14:paraId="1797946D" w14:textId="77777777" w:rsidR="002A4DDF" w:rsidRPr="00937C8B" w:rsidRDefault="002A4DDF" w:rsidP="009110ED">
            <w:pPr>
              <w:rPr>
                <w:rFonts w:ascii="Arial" w:hAnsi="Arial" w:cs="Arial"/>
                <w:sz w:val="12"/>
                <w:szCs w:val="12"/>
              </w:rPr>
            </w:pPr>
          </w:p>
        </w:tc>
      </w:tr>
      <w:tr w:rsidR="002A4DDF" w:rsidRPr="00937C8B" w14:paraId="477BF807" w14:textId="77777777" w:rsidTr="00935676">
        <w:trPr>
          <w:cantSplit/>
        </w:trPr>
        <w:tc>
          <w:tcPr>
            <w:tcW w:w="1696" w:type="dxa"/>
            <w:tcBorders>
              <w:left w:val="single" w:sz="4" w:space="0" w:color="auto"/>
            </w:tcBorders>
            <w:shd w:val="clear" w:color="auto" w:fill="auto"/>
          </w:tcPr>
          <w:p w14:paraId="1DEE66F0" w14:textId="77777777" w:rsidR="002A4DDF" w:rsidRPr="00937C8B" w:rsidRDefault="002A4DDF" w:rsidP="009110ED">
            <w:pPr>
              <w:rPr>
                <w:rFonts w:ascii="Arial" w:hAnsi="Arial" w:cs="Arial"/>
                <w:sz w:val="12"/>
                <w:szCs w:val="12"/>
              </w:rPr>
            </w:pPr>
          </w:p>
        </w:tc>
        <w:tc>
          <w:tcPr>
            <w:tcW w:w="1843" w:type="dxa"/>
            <w:shd w:val="clear" w:color="auto" w:fill="auto"/>
          </w:tcPr>
          <w:p w14:paraId="5DEFD6A2" w14:textId="77777777" w:rsidR="002A4DDF" w:rsidRPr="00937C8B" w:rsidRDefault="002A4DDF" w:rsidP="009110ED">
            <w:pPr>
              <w:rPr>
                <w:rFonts w:ascii="Arial" w:hAnsi="Arial" w:cs="Arial"/>
                <w:sz w:val="12"/>
                <w:szCs w:val="12"/>
              </w:rPr>
            </w:pPr>
          </w:p>
        </w:tc>
        <w:tc>
          <w:tcPr>
            <w:tcW w:w="2268" w:type="dxa"/>
            <w:shd w:val="clear" w:color="auto" w:fill="F2F2F2"/>
            <w:hideMark/>
          </w:tcPr>
          <w:p w14:paraId="5509EFB3" w14:textId="77777777" w:rsidR="002A4DDF" w:rsidRPr="00937C8B" w:rsidRDefault="002A4DDF" w:rsidP="009110ED">
            <w:pPr>
              <w:rPr>
                <w:rFonts w:ascii="Arial" w:hAnsi="Arial" w:cs="Arial"/>
                <w:sz w:val="12"/>
                <w:szCs w:val="12"/>
              </w:rPr>
            </w:pPr>
            <w:r>
              <w:rPr>
                <w:rFonts w:ascii="Arial" w:hAnsi="Arial"/>
                <w:sz w:val="12"/>
                <w:szCs w:val="12"/>
              </w:rPr>
              <w:t>Vega de Espinareda</w:t>
            </w:r>
          </w:p>
        </w:tc>
        <w:tc>
          <w:tcPr>
            <w:tcW w:w="2268" w:type="dxa"/>
            <w:tcBorders>
              <w:right w:val="single" w:sz="4" w:space="0" w:color="auto"/>
            </w:tcBorders>
            <w:shd w:val="clear" w:color="auto" w:fill="D9D9D9"/>
            <w:hideMark/>
          </w:tcPr>
          <w:p w14:paraId="793D809D" w14:textId="77777777" w:rsidR="002A4DDF" w:rsidRPr="00937C8B" w:rsidRDefault="002A4DDF" w:rsidP="009110ED">
            <w:pPr>
              <w:rPr>
                <w:rFonts w:ascii="Arial" w:hAnsi="Arial" w:cs="Arial"/>
                <w:sz w:val="12"/>
                <w:szCs w:val="12"/>
              </w:rPr>
            </w:pPr>
          </w:p>
        </w:tc>
      </w:tr>
      <w:tr w:rsidR="002A4DDF" w:rsidRPr="00937C8B" w14:paraId="7C6B3A3F" w14:textId="77777777" w:rsidTr="00935676">
        <w:trPr>
          <w:cantSplit/>
        </w:trPr>
        <w:tc>
          <w:tcPr>
            <w:tcW w:w="1696" w:type="dxa"/>
            <w:tcBorders>
              <w:left w:val="single" w:sz="4" w:space="0" w:color="auto"/>
            </w:tcBorders>
            <w:shd w:val="clear" w:color="auto" w:fill="auto"/>
          </w:tcPr>
          <w:p w14:paraId="79E6FB15" w14:textId="77777777" w:rsidR="002A4DDF" w:rsidRPr="00937C8B" w:rsidRDefault="002A4DDF" w:rsidP="009110ED">
            <w:pPr>
              <w:rPr>
                <w:rFonts w:ascii="Arial" w:hAnsi="Arial" w:cs="Arial"/>
                <w:sz w:val="12"/>
                <w:szCs w:val="12"/>
              </w:rPr>
            </w:pPr>
          </w:p>
        </w:tc>
        <w:tc>
          <w:tcPr>
            <w:tcW w:w="1843" w:type="dxa"/>
            <w:shd w:val="clear" w:color="auto" w:fill="auto"/>
          </w:tcPr>
          <w:p w14:paraId="2D3B4CF7" w14:textId="77777777" w:rsidR="002A4DDF" w:rsidRPr="00937C8B" w:rsidRDefault="002A4DDF" w:rsidP="009110ED">
            <w:pPr>
              <w:rPr>
                <w:rFonts w:ascii="Arial" w:hAnsi="Arial" w:cs="Arial"/>
                <w:sz w:val="12"/>
                <w:szCs w:val="12"/>
              </w:rPr>
            </w:pPr>
          </w:p>
        </w:tc>
        <w:tc>
          <w:tcPr>
            <w:tcW w:w="2268" w:type="dxa"/>
            <w:shd w:val="clear" w:color="auto" w:fill="F2F2F2"/>
            <w:hideMark/>
          </w:tcPr>
          <w:p w14:paraId="57046EC7" w14:textId="77777777" w:rsidR="002A4DDF" w:rsidRPr="00937C8B" w:rsidRDefault="002A4DDF" w:rsidP="009110ED">
            <w:pPr>
              <w:rPr>
                <w:rFonts w:ascii="Arial" w:hAnsi="Arial" w:cs="Arial"/>
                <w:sz w:val="12"/>
                <w:szCs w:val="12"/>
              </w:rPr>
            </w:pPr>
            <w:r>
              <w:rPr>
                <w:rFonts w:ascii="Arial" w:hAnsi="Arial"/>
                <w:sz w:val="12"/>
                <w:szCs w:val="12"/>
              </w:rPr>
              <w:t>Vegacervera</w:t>
            </w:r>
          </w:p>
        </w:tc>
        <w:tc>
          <w:tcPr>
            <w:tcW w:w="2268" w:type="dxa"/>
            <w:tcBorders>
              <w:right w:val="single" w:sz="4" w:space="0" w:color="auto"/>
            </w:tcBorders>
            <w:shd w:val="clear" w:color="auto" w:fill="D9D9D9"/>
            <w:hideMark/>
          </w:tcPr>
          <w:p w14:paraId="601ABA55" w14:textId="77777777" w:rsidR="002A4DDF" w:rsidRPr="00937C8B" w:rsidRDefault="002A4DDF" w:rsidP="009110ED">
            <w:pPr>
              <w:rPr>
                <w:rFonts w:ascii="Arial" w:hAnsi="Arial" w:cs="Arial"/>
                <w:sz w:val="12"/>
                <w:szCs w:val="12"/>
              </w:rPr>
            </w:pPr>
          </w:p>
        </w:tc>
      </w:tr>
      <w:tr w:rsidR="002A4DDF" w:rsidRPr="00937C8B" w14:paraId="5100EF74" w14:textId="77777777" w:rsidTr="00935676">
        <w:trPr>
          <w:cantSplit/>
        </w:trPr>
        <w:tc>
          <w:tcPr>
            <w:tcW w:w="1696" w:type="dxa"/>
            <w:tcBorders>
              <w:left w:val="single" w:sz="4" w:space="0" w:color="auto"/>
            </w:tcBorders>
            <w:shd w:val="clear" w:color="auto" w:fill="auto"/>
          </w:tcPr>
          <w:p w14:paraId="38A68E41" w14:textId="77777777" w:rsidR="002A4DDF" w:rsidRPr="00937C8B" w:rsidRDefault="002A4DDF" w:rsidP="009110ED">
            <w:pPr>
              <w:rPr>
                <w:rFonts w:ascii="Arial" w:hAnsi="Arial" w:cs="Arial"/>
                <w:sz w:val="12"/>
                <w:szCs w:val="12"/>
              </w:rPr>
            </w:pPr>
          </w:p>
        </w:tc>
        <w:tc>
          <w:tcPr>
            <w:tcW w:w="1843" w:type="dxa"/>
            <w:shd w:val="clear" w:color="auto" w:fill="auto"/>
          </w:tcPr>
          <w:p w14:paraId="68AC27C1" w14:textId="77777777" w:rsidR="002A4DDF" w:rsidRPr="00937C8B" w:rsidRDefault="002A4DDF" w:rsidP="009110ED">
            <w:pPr>
              <w:rPr>
                <w:rFonts w:ascii="Arial" w:hAnsi="Arial" w:cs="Arial"/>
                <w:sz w:val="12"/>
                <w:szCs w:val="12"/>
              </w:rPr>
            </w:pPr>
          </w:p>
        </w:tc>
        <w:tc>
          <w:tcPr>
            <w:tcW w:w="2268" w:type="dxa"/>
            <w:shd w:val="clear" w:color="auto" w:fill="F2F2F2"/>
            <w:hideMark/>
          </w:tcPr>
          <w:p w14:paraId="2F7E16A4" w14:textId="77777777" w:rsidR="002A4DDF" w:rsidRPr="00937C8B" w:rsidRDefault="002A4DDF" w:rsidP="009110ED">
            <w:pPr>
              <w:rPr>
                <w:rFonts w:ascii="Arial" w:hAnsi="Arial" w:cs="Arial"/>
                <w:sz w:val="12"/>
                <w:szCs w:val="12"/>
              </w:rPr>
            </w:pPr>
            <w:r>
              <w:rPr>
                <w:rFonts w:ascii="Arial" w:hAnsi="Arial"/>
                <w:sz w:val="12"/>
                <w:szCs w:val="12"/>
              </w:rPr>
              <w:t>Vegaquemada</w:t>
            </w:r>
          </w:p>
        </w:tc>
        <w:tc>
          <w:tcPr>
            <w:tcW w:w="2268" w:type="dxa"/>
            <w:tcBorders>
              <w:right w:val="single" w:sz="4" w:space="0" w:color="auto"/>
            </w:tcBorders>
            <w:shd w:val="clear" w:color="auto" w:fill="D9D9D9"/>
            <w:hideMark/>
          </w:tcPr>
          <w:p w14:paraId="13377144" w14:textId="77777777" w:rsidR="002A4DDF" w:rsidRPr="00937C8B" w:rsidRDefault="002A4DDF" w:rsidP="009110ED">
            <w:pPr>
              <w:rPr>
                <w:rFonts w:ascii="Arial" w:hAnsi="Arial" w:cs="Arial"/>
                <w:sz w:val="12"/>
                <w:szCs w:val="12"/>
              </w:rPr>
            </w:pPr>
          </w:p>
        </w:tc>
      </w:tr>
      <w:tr w:rsidR="002A4DDF" w:rsidRPr="00937C8B" w14:paraId="266D01BF" w14:textId="77777777" w:rsidTr="00935676">
        <w:trPr>
          <w:cantSplit/>
        </w:trPr>
        <w:tc>
          <w:tcPr>
            <w:tcW w:w="1696" w:type="dxa"/>
            <w:tcBorders>
              <w:left w:val="single" w:sz="4" w:space="0" w:color="auto"/>
            </w:tcBorders>
            <w:shd w:val="clear" w:color="auto" w:fill="auto"/>
          </w:tcPr>
          <w:p w14:paraId="2BEF265C" w14:textId="77777777" w:rsidR="002A4DDF" w:rsidRPr="00937C8B" w:rsidRDefault="002A4DDF" w:rsidP="009110ED">
            <w:pPr>
              <w:rPr>
                <w:rFonts w:ascii="Arial" w:hAnsi="Arial" w:cs="Arial"/>
                <w:sz w:val="12"/>
                <w:szCs w:val="12"/>
              </w:rPr>
            </w:pPr>
          </w:p>
        </w:tc>
        <w:tc>
          <w:tcPr>
            <w:tcW w:w="1843" w:type="dxa"/>
            <w:shd w:val="clear" w:color="auto" w:fill="auto"/>
          </w:tcPr>
          <w:p w14:paraId="109F5C82" w14:textId="77777777" w:rsidR="002A4DDF" w:rsidRPr="00937C8B" w:rsidRDefault="002A4DDF" w:rsidP="009110ED">
            <w:pPr>
              <w:rPr>
                <w:rFonts w:ascii="Arial" w:hAnsi="Arial" w:cs="Arial"/>
                <w:sz w:val="12"/>
                <w:szCs w:val="12"/>
              </w:rPr>
            </w:pPr>
          </w:p>
        </w:tc>
        <w:tc>
          <w:tcPr>
            <w:tcW w:w="2268" w:type="dxa"/>
            <w:shd w:val="clear" w:color="auto" w:fill="F2F2F2"/>
            <w:hideMark/>
          </w:tcPr>
          <w:p w14:paraId="4CACACD6" w14:textId="77777777" w:rsidR="002A4DDF" w:rsidRPr="00937C8B" w:rsidRDefault="002A4DDF" w:rsidP="009110ED">
            <w:pPr>
              <w:rPr>
                <w:rFonts w:ascii="Arial" w:hAnsi="Arial" w:cs="Arial"/>
                <w:sz w:val="12"/>
                <w:szCs w:val="12"/>
              </w:rPr>
            </w:pPr>
            <w:r>
              <w:rPr>
                <w:rFonts w:ascii="Arial" w:hAnsi="Arial"/>
                <w:sz w:val="12"/>
                <w:szCs w:val="12"/>
              </w:rPr>
              <w:t>Villablino</w:t>
            </w:r>
          </w:p>
        </w:tc>
        <w:tc>
          <w:tcPr>
            <w:tcW w:w="2268" w:type="dxa"/>
            <w:tcBorders>
              <w:right w:val="single" w:sz="4" w:space="0" w:color="auto"/>
            </w:tcBorders>
            <w:shd w:val="clear" w:color="auto" w:fill="D9D9D9"/>
            <w:hideMark/>
          </w:tcPr>
          <w:p w14:paraId="176F5DC5" w14:textId="77777777" w:rsidR="002A4DDF" w:rsidRPr="00937C8B" w:rsidRDefault="002A4DDF" w:rsidP="009110ED">
            <w:pPr>
              <w:rPr>
                <w:rFonts w:ascii="Arial" w:hAnsi="Arial" w:cs="Arial"/>
                <w:sz w:val="12"/>
                <w:szCs w:val="12"/>
              </w:rPr>
            </w:pPr>
          </w:p>
        </w:tc>
      </w:tr>
      <w:tr w:rsidR="002A4DDF" w:rsidRPr="00937C8B" w14:paraId="0AA7EF34" w14:textId="77777777" w:rsidTr="00935676">
        <w:trPr>
          <w:cantSplit/>
        </w:trPr>
        <w:tc>
          <w:tcPr>
            <w:tcW w:w="1696" w:type="dxa"/>
            <w:tcBorders>
              <w:left w:val="single" w:sz="4" w:space="0" w:color="auto"/>
            </w:tcBorders>
            <w:shd w:val="clear" w:color="auto" w:fill="auto"/>
          </w:tcPr>
          <w:p w14:paraId="3EE8B230" w14:textId="77777777" w:rsidR="002A4DDF" w:rsidRPr="00937C8B" w:rsidRDefault="002A4DDF" w:rsidP="009110ED">
            <w:pPr>
              <w:rPr>
                <w:rFonts w:ascii="Arial" w:hAnsi="Arial" w:cs="Arial"/>
                <w:sz w:val="12"/>
                <w:szCs w:val="12"/>
              </w:rPr>
            </w:pPr>
          </w:p>
        </w:tc>
        <w:tc>
          <w:tcPr>
            <w:tcW w:w="1843" w:type="dxa"/>
            <w:shd w:val="clear" w:color="auto" w:fill="auto"/>
          </w:tcPr>
          <w:p w14:paraId="00089EF4" w14:textId="77777777" w:rsidR="002A4DDF" w:rsidRPr="00937C8B" w:rsidRDefault="002A4DDF" w:rsidP="009110ED">
            <w:pPr>
              <w:rPr>
                <w:rFonts w:ascii="Arial" w:hAnsi="Arial" w:cs="Arial"/>
                <w:sz w:val="12"/>
                <w:szCs w:val="12"/>
              </w:rPr>
            </w:pPr>
          </w:p>
        </w:tc>
        <w:tc>
          <w:tcPr>
            <w:tcW w:w="2268" w:type="dxa"/>
            <w:shd w:val="clear" w:color="auto" w:fill="F2F2F2"/>
            <w:hideMark/>
          </w:tcPr>
          <w:p w14:paraId="65C69D00" w14:textId="77777777" w:rsidR="002A4DDF" w:rsidRPr="00937C8B" w:rsidRDefault="002A4DDF" w:rsidP="009110ED">
            <w:pPr>
              <w:rPr>
                <w:rFonts w:ascii="Arial" w:hAnsi="Arial" w:cs="Arial"/>
                <w:sz w:val="12"/>
                <w:szCs w:val="12"/>
              </w:rPr>
            </w:pPr>
            <w:r>
              <w:rPr>
                <w:rFonts w:ascii="Arial" w:hAnsi="Arial"/>
                <w:sz w:val="12"/>
                <w:szCs w:val="12"/>
              </w:rPr>
              <w:t>Villafranca del Bierzo</w:t>
            </w:r>
          </w:p>
        </w:tc>
        <w:tc>
          <w:tcPr>
            <w:tcW w:w="2268" w:type="dxa"/>
            <w:tcBorders>
              <w:right w:val="single" w:sz="4" w:space="0" w:color="auto"/>
            </w:tcBorders>
            <w:shd w:val="clear" w:color="auto" w:fill="D9D9D9"/>
            <w:hideMark/>
          </w:tcPr>
          <w:p w14:paraId="0F820935" w14:textId="77777777" w:rsidR="002A4DDF" w:rsidRPr="00937C8B" w:rsidRDefault="002A4DDF" w:rsidP="009110ED">
            <w:pPr>
              <w:rPr>
                <w:rFonts w:ascii="Arial" w:hAnsi="Arial" w:cs="Arial"/>
                <w:sz w:val="12"/>
                <w:szCs w:val="12"/>
              </w:rPr>
            </w:pPr>
          </w:p>
        </w:tc>
      </w:tr>
      <w:tr w:rsidR="002A4DDF" w:rsidRPr="00937C8B" w14:paraId="07B7BF4D" w14:textId="77777777" w:rsidTr="00935676">
        <w:trPr>
          <w:cantSplit/>
        </w:trPr>
        <w:tc>
          <w:tcPr>
            <w:tcW w:w="1696" w:type="dxa"/>
            <w:tcBorders>
              <w:left w:val="single" w:sz="4" w:space="0" w:color="auto"/>
            </w:tcBorders>
            <w:shd w:val="clear" w:color="auto" w:fill="auto"/>
          </w:tcPr>
          <w:p w14:paraId="6790532A" w14:textId="77777777" w:rsidR="002A4DDF" w:rsidRPr="00937C8B" w:rsidRDefault="002A4DDF" w:rsidP="009110ED">
            <w:pPr>
              <w:rPr>
                <w:rFonts w:ascii="Arial" w:hAnsi="Arial" w:cs="Arial"/>
                <w:sz w:val="12"/>
                <w:szCs w:val="12"/>
              </w:rPr>
            </w:pPr>
          </w:p>
        </w:tc>
        <w:tc>
          <w:tcPr>
            <w:tcW w:w="1843" w:type="dxa"/>
            <w:shd w:val="clear" w:color="auto" w:fill="auto"/>
          </w:tcPr>
          <w:p w14:paraId="26D351B8" w14:textId="77777777" w:rsidR="002A4DDF" w:rsidRPr="00937C8B" w:rsidRDefault="002A4DDF" w:rsidP="009110ED">
            <w:pPr>
              <w:rPr>
                <w:rFonts w:ascii="Arial" w:hAnsi="Arial" w:cs="Arial"/>
                <w:sz w:val="12"/>
                <w:szCs w:val="12"/>
              </w:rPr>
            </w:pPr>
          </w:p>
        </w:tc>
        <w:tc>
          <w:tcPr>
            <w:tcW w:w="2268" w:type="dxa"/>
            <w:shd w:val="clear" w:color="auto" w:fill="F2F2F2"/>
            <w:hideMark/>
          </w:tcPr>
          <w:p w14:paraId="13F2C30F" w14:textId="77777777" w:rsidR="002A4DDF" w:rsidRPr="00937C8B" w:rsidRDefault="002A4DDF" w:rsidP="009110ED">
            <w:pPr>
              <w:rPr>
                <w:rFonts w:ascii="Arial" w:hAnsi="Arial" w:cs="Arial"/>
                <w:sz w:val="12"/>
                <w:szCs w:val="12"/>
              </w:rPr>
            </w:pPr>
            <w:r>
              <w:rPr>
                <w:rFonts w:ascii="Arial" w:hAnsi="Arial"/>
                <w:sz w:val="12"/>
                <w:szCs w:val="12"/>
              </w:rPr>
              <w:t>Villamanín</w:t>
            </w:r>
          </w:p>
        </w:tc>
        <w:tc>
          <w:tcPr>
            <w:tcW w:w="2268" w:type="dxa"/>
            <w:tcBorders>
              <w:right w:val="single" w:sz="4" w:space="0" w:color="auto"/>
            </w:tcBorders>
            <w:shd w:val="clear" w:color="auto" w:fill="D9D9D9"/>
            <w:hideMark/>
          </w:tcPr>
          <w:p w14:paraId="6331C74D" w14:textId="77777777" w:rsidR="002A4DDF" w:rsidRPr="00937C8B" w:rsidRDefault="002A4DDF" w:rsidP="009110ED">
            <w:pPr>
              <w:rPr>
                <w:rFonts w:ascii="Arial" w:hAnsi="Arial" w:cs="Arial"/>
                <w:sz w:val="12"/>
                <w:szCs w:val="12"/>
              </w:rPr>
            </w:pPr>
          </w:p>
        </w:tc>
      </w:tr>
      <w:tr w:rsidR="002A4DDF" w:rsidRPr="00937C8B" w14:paraId="400B0AFC" w14:textId="77777777" w:rsidTr="00935676">
        <w:trPr>
          <w:cantSplit/>
        </w:trPr>
        <w:tc>
          <w:tcPr>
            <w:tcW w:w="1696" w:type="dxa"/>
            <w:tcBorders>
              <w:left w:val="single" w:sz="4" w:space="0" w:color="auto"/>
            </w:tcBorders>
            <w:shd w:val="clear" w:color="auto" w:fill="auto"/>
          </w:tcPr>
          <w:p w14:paraId="2F3296C9" w14:textId="77777777" w:rsidR="002A4DDF" w:rsidRPr="00937C8B" w:rsidRDefault="002A4DDF" w:rsidP="009110ED">
            <w:pPr>
              <w:rPr>
                <w:rFonts w:ascii="Arial" w:hAnsi="Arial" w:cs="Arial"/>
                <w:sz w:val="12"/>
                <w:szCs w:val="12"/>
              </w:rPr>
            </w:pPr>
          </w:p>
        </w:tc>
        <w:tc>
          <w:tcPr>
            <w:tcW w:w="1843" w:type="dxa"/>
            <w:shd w:val="clear" w:color="auto" w:fill="auto"/>
          </w:tcPr>
          <w:p w14:paraId="42CF5E22" w14:textId="77777777" w:rsidR="002A4DDF" w:rsidRPr="00937C8B" w:rsidRDefault="002A4DDF" w:rsidP="009110ED">
            <w:pPr>
              <w:rPr>
                <w:rFonts w:ascii="Arial" w:hAnsi="Arial" w:cs="Arial"/>
                <w:sz w:val="12"/>
                <w:szCs w:val="12"/>
              </w:rPr>
            </w:pPr>
          </w:p>
        </w:tc>
        <w:tc>
          <w:tcPr>
            <w:tcW w:w="2268" w:type="dxa"/>
            <w:shd w:val="clear" w:color="auto" w:fill="F2F2F2"/>
            <w:hideMark/>
          </w:tcPr>
          <w:p w14:paraId="285B1246" w14:textId="77777777" w:rsidR="002A4DDF" w:rsidRPr="00937C8B" w:rsidRDefault="002A4DDF" w:rsidP="009110ED">
            <w:pPr>
              <w:rPr>
                <w:rFonts w:ascii="Arial" w:hAnsi="Arial" w:cs="Arial"/>
                <w:sz w:val="12"/>
                <w:szCs w:val="12"/>
              </w:rPr>
            </w:pPr>
            <w:r>
              <w:rPr>
                <w:rFonts w:ascii="Arial" w:hAnsi="Arial"/>
                <w:sz w:val="12"/>
                <w:szCs w:val="12"/>
              </w:rPr>
              <w:t>Villamejil</w:t>
            </w:r>
          </w:p>
        </w:tc>
        <w:tc>
          <w:tcPr>
            <w:tcW w:w="2268" w:type="dxa"/>
            <w:tcBorders>
              <w:right w:val="single" w:sz="4" w:space="0" w:color="auto"/>
            </w:tcBorders>
            <w:shd w:val="clear" w:color="auto" w:fill="D9D9D9"/>
            <w:hideMark/>
          </w:tcPr>
          <w:p w14:paraId="48D8CBB0" w14:textId="77777777" w:rsidR="002A4DDF" w:rsidRPr="00937C8B" w:rsidRDefault="002A4DDF" w:rsidP="009110ED">
            <w:pPr>
              <w:rPr>
                <w:rFonts w:ascii="Arial" w:hAnsi="Arial" w:cs="Arial"/>
                <w:sz w:val="12"/>
                <w:szCs w:val="12"/>
              </w:rPr>
            </w:pPr>
          </w:p>
        </w:tc>
      </w:tr>
      <w:tr w:rsidR="002A4DDF" w:rsidRPr="00937C8B" w14:paraId="10FC63CD" w14:textId="77777777" w:rsidTr="00935676">
        <w:trPr>
          <w:cantSplit/>
        </w:trPr>
        <w:tc>
          <w:tcPr>
            <w:tcW w:w="1696" w:type="dxa"/>
            <w:tcBorders>
              <w:left w:val="single" w:sz="4" w:space="0" w:color="auto"/>
            </w:tcBorders>
            <w:shd w:val="clear" w:color="auto" w:fill="auto"/>
          </w:tcPr>
          <w:p w14:paraId="02B13C8B" w14:textId="77777777" w:rsidR="002A4DDF" w:rsidRPr="00937C8B" w:rsidRDefault="002A4DDF" w:rsidP="009110ED">
            <w:pPr>
              <w:rPr>
                <w:rFonts w:ascii="Arial" w:hAnsi="Arial" w:cs="Arial"/>
                <w:sz w:val="12"/>
                <w:szCs w:val="12"/>
              </w:rPr>
            </w:pPr>
          </w:p>
        </w:tc>
        <w:tc>
          <w:tcPr>
            <w:tcW w:w="1843" w:type="dxa"/>
            <w:shd w:val="clear" w:color="auto" w:fill="auto"/>
          </w:tcPr>
          <w:p w14:paraId="646C4F8D" w14:textId="77777777" w:rsidR="002A4DDF" w:rsidRPr="00937C8B" w:rsidRDefault="002A4DDF" w:rsidP="009110ED">
            <w:pPr>
              <w:rPr>
                <w:rFonts w:ascii="Arial" w:hAnsi="Arial" w:cs="Arial"/>
                <w:sz w:val="12"/>
                <w:szCs w:val="12"/>
              </w:rPr>
            </w:pPr>
          </w:p>
        </w:tc>
        <w:tc>
          <w:tcPr>
            <w:tcW w:w="2268" w:type="dxa"/>
            <w:shd w:val="clear" w:color="auto" w:fill="F2F2F2"/>
            <w:hideMark/>
          </w:tcPr>
          <w:p w14:paraId="2A34B0C3" w14:textId="77777777" w:rsidR="002A4DDF" w:rsidRPr="00937C8B" w:rsidRDefault="002A4DDF" w:rsidP="009110ED">
            <w:pPr>
              <w:rPr>
                <w:rFonts w:ascii="Arial" w:hAnsi="Arial" w:cs="Arial"/>
                <w:sz w:val="12"/>
                <w:szCs w:val="12"/>
              </w:rPr>
            </w:pPr>
            <w:r>
              <w:rPr>
                <w:rFonts w:ascii="Arial" w:hAnsi="Arial"/>
                <w:sz w:val="12"/>
                <w:szCs w:val="12"/>
              </w:rPr>
              <w:t>Villamontán de la Valduerna</w:t>
            </w:r>
          </w:p>
        </w:tc>
        <w:tc>
          <w:tcPr>
            <w:tcW w:w="2268" w:type="dxa"/>
            <w:tcBorders>
              <w:right w:val="single" w:sz="4" w:space="0" w:color="auto"/>
            </w:tcBorders>
            <w:shd w:val="clear" w:color="auto" w:fill="D9D9D9"/>
            <w:hideMark/>
          </w:tcPr>
          <w:p w14:paraId="426DFFD5" w14:textId="77777777" w:rsidR="002A4DDF" w:rsidRPr="00937C8B" w:rsidRDefault="002A4DDF" w:rsidP="009110ED">
            <w:pPr>
              <w:rPr>
                <w:rFonts w:ascii="Arial" w:hAnsi="Arial" w:cs="Arial"/>
                <w:sz w:val="12"/>
                <w:szCs w:val="12"/>
              </w:rPr>
            </w:pPr>
          </w:p>
        </w:tc>
      </w:tr>
      <w:tr w:rsidR="002A4DDF" w:rsidRPr="00937C8B" w14:paraId="5213053D" w14:textId="77777777" w:rsidTr="00935676">
        <w:trPr>
          <w:cantSplit/>
        </w:trPr>
        <w:tc>
          <w:tcPr>
            <w:tcW w:w="1696" w:type="dxa"/>
            <w:tcBorders>
              <w:left w:val="single" w:sz="4" w:space="0" w:color="auto"/>
              <w:bottom w:val="single" w:sz="4" w:space="0" w:color="auto"/>
            </w:tcBorders>
            <w:shd w:val="clear" w:color="auto" w:fill="auto"/>
            <w:hideMark/>
          </w:tcPr>
          <w:p w14:paraId="3D8D65A5"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bottom w:val="single" w:sz="4" w:space="0" w:color="auto"/>
            </w:tcBorders>
            <w:shd w:val="clear" w:color="auto" w:fill="auto"/>
            <w:hideMark/>
          </w:tcPr>
          <w:p w14:paraId="7481514A" w14:textId="77777777" w:rsidR="002A4DDF" w:rsidRPr="00937C8B" w:rsidRDefault="002A4DDF" w:rsidP="009110ED">
            <w:pPr>
              <w:rPr>
                <w:rFonts w:ascii="Arial" w:hAnsi="Arial" w:cs="Arial"/>
                <w:sz w:val="12"/>
                <w:szCs w:val="12"/>
              </w:rPr>
            </w:pPr>
            <w:r>
              <w:rPr>
                <w:rFonts w:ascii="Arial" w:hAnsi="Arial"/>
                <w:sz w:val="12"/>
                <w:szCs w:val="12"/>
              </w:rPr>
              <w:t>León</w:t>
            </w:r>
          </w:p>
        </w:tc>
        <w:tc>
          <w:tcPr>
            <w:tcW w:w="2268" w:type="dxa"/>
            <w:tcBorders>
              <w:bottom w:val="single" w:sz="4" w:space="0" w:color="auto"/>
            </w:tcBorders>
            <w:shd w:val="clear" w:color="auto" w:fill="F2F2F2"/>
            <w:hideMark/>
          </w:tcPr>
          <w:p w14:paraId="201888BC" w14:textId="77777777" w:rsidR="002A4DDF" w:rsidRPr="00937C8B" w:rsidRDefault="002A4DDF" w:rsidP="009110ED">
            <w:pPr>
              <w:rPr>
                <w:rFonts w:ascii="Arial" w:hAnsi="Arial" w:cs="Arial"/>
                <w:sz w:val="12"/>
                <w:szCs w:val="12"/>
              </w:rPr>
            </w:pPr>
            <w:r>
              <w:rPr>
                <w:rFonts w:ascii="Arial" w:hAnsi="Arial"/>
                <w:sz w:val="12"/>
                <w:szCs w:val="12"/>
              </w:rPr>
              <w:t>Villaobispo de Otero</w:t>
            </w:r>
          </w:p>
        </w:tc>
        <w:tc>
          <w:tcPr>
            <w:tcW w:w="2268" w:type="dxa"/>
            <w:tcBorders>
              <w:bottom w:val="single" w:sz="4" w:space="0" w:color="auto"/>
              <w:right w:val="single" w:sz="4" w:space="0" w:color="auto"/>
            </w:tcBorders>
            <w:shd w:val="clear" w:color="auto" w:fill="D9D9D9"/>
            <w:hideMark/>
          </w:tcPr>
          <w:p w14:paraId="684249B8" w14:textId="77777777" w:rsidR="002A4DDF" w:rsidRPr="00937C8B" w:rsidRDefault="002A4DDF" w:rsidP="009110ED">
            <w:pPr>
              <w:rPr>
                <w:rFonts w:ascii="Arial" w:hAnsi="Arial" w:cs="Arial"/>
                <w:sz w:val="12"/>
                <w:szCs w:val="12"/>
              </w:rPr>
            </w:pPr>
          </w:p>
        </w:tc>
      </w:tr>
      <w:tr w:rsidR="002A4DDF" w:rsidRPr="00937C8B" w14:paraId="46994E78" w14:textId="77777777" w:rsidTr="00935676">
        <w:trPr>
          <w:cantSplit/>
        </w:trPr>
        <w:tc>
          <w:tcPr>
            <w:tcW w:w="1696" w:type="dxa"/>
            <w:tcBorders>
              <w:top w:val="single" w:sz="4" w:space="0" w:color="auto"/>
              <w:bottom w:val="single" w:sz="4" w:space="0" w:color="auto"/>
            </w:tcBorders>
            <w:shd w:val="clear" w:color="auto" w:fill="auto"/>
            <w:hideMark/>
          </w:tcPr>
          <w:p w14:paraId="3EBCD67E"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6D7D77BD"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016770F2"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78649AF3" w14:textId="77777777" w:rsidR="002A4DDF" w:rsidRPr="00937C8B" w:rsidRDefault="002A4DDF" w:rsidP="009110ED">
            <w:pPr>
              <w:rPr>
                <w:rFonts w:ascii="Arial" w:hAnsi="Arial" w:cs="Arial"/>
                <w:sz w:val="12"/>
                <w:szCs w:val="12"/>
              </w:rPr>
            </w:pPr>
          </w:p>
        </w:tc>
      </w:tr>
      <w:tr w:rsidR="002A4DDF" w:rsidRPr="00937C8B" w14:paraId="0D5C0E92" w14:textId="77777777" w:rsidTr="00935676">
        <w:trPr>
          <w:cantSplit/>
        </w:trPr>
        <w:tc>
          <w:tcPr>
            <w:tcW w:w="1696" w:type="dxa"/>
            <w:tcBorders>
              <w:top w:val="single" w:sz="4" w:space="0" w:color="auto"/>
              <w:left w:val="single" w:sz="4" w:space="0" w:color="auto"/>
            </w:tcBorders>
            <w:shd w:val="clear" w:color="auto" w:fill="auto"/>
            <w:hideMark/>
          </w:tcPr>
          <w:p w14:paraId="02643015"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top w:val="single" w:sz="4" w:space="0" w:color="auto"/>
            </w:tcBorders>
            <w:shd w:val="clear" w:color="auto" w:fill="auto"/>
            <w:hideMark/>
          </w:tcPr>
          <w:p w14:paraId="58954AFA" w14:textId="77777777" w:rsidR="002A4DDF" w:rsidRPr="00937C8B" w:rsidRDefault="002A4DDF" w:rsidP="009110ED">
            <w:pPr>
              <w:rPr>
                <w:rFonts w:ascii="Arial" w:hAnsi="Arial" w:cs="Arial"/>
                <w:sz w:val="12"/>
                <w:szCs w:val="12"/>
              </w:rPr>
            </w:pPr>
            <w:r>
              <w:rPr>
                <w:rFonts w:ascii="Arial" w:hAnsi="Arial"/>
                <w:sz w:val="12"/>
                <w:szCs w:val="12"/>
              </w:rPr>
              <w:t>Palencia</w:t>
            </w:r>
          </w:p>
        </w:tc>
        <w:tc>
          <w:tcPr>
            <w:tcW w:w="2268" w:type="dxa"/>
            <w:tcBorders>
              <w:top w:val="single" w:sz="4" w:space="0" w:color="auto"/>
            </w:tcBorders>
            <w:shd w:val="clear" w:color="auto" w:fill="F2F2F2"/>
            <w:hideMark/>
          </w:tcPr>
          <w:p w14:paraId="726A3F3F" w14:textId="77777777" w:rsidR="002A4DDF" w:rsidRPr="00937C8B" w:rsidRDefault="002A4DDF" w:rsidP="009110ED">
            <w:pPr>
              <w:rPr>
                <w:rFonts w:ascii="Arial" w:hAnsi="Arial" w:cs="Arial"/>
                <w:sz w:val="12"/>
                <w:szCs w:val="12"/>
              </w:rPr>
            </w:pPr>
            <w:r>
              <w:rPr>
                <w:rFonts w:ascii="Arial" w:hAnsi="Arial"/>
                <w:sz w:val="12"/>
                <w:szCs w:val="12"/>
              </w:rPr>
              <w:t>Abarca de Campos</w:t>
            </w:r>
          </w:p>
        </w:tc>
        <w:tc>
          <w:tcPr>
            <w:tcW w:w="2268" w:type="dxa"/>
            <w:tcBorders>
              <w:top w:val="single" w:sz="4" w:space="0" w:color="auto"/>
              <w:right w:val="single" w:sz="4" w:space="0" w:color="auto"/>
            </w:tcBorders>
            <w:shd w:val="clear" w:color="auto" w:fill="D9D9D9"/>
            <w:hideMark/>
          </w:tcPr>
          <w:p w14:paraId="71095057" w14:textId="77777777" w:rsidR="002A4DDF" w:rsidRPr="00937C8B" w:rsidRDefault="002A4DDF" w:rsidP="009110ED">
            <w:pPr>
              <w:rPr>
                <w:rFonts w:ascii="Arial" w:hAnsi="Arial" w:cs="Arial"/>
                <w:sz w:val="12"/>
                <w:szCs w:val="12"/>
              </w:rPr>
            </w:pPr>
          </w:p>
        </w:tc>
      </w:tr>
      <w:tr w:rsidR="002A4DDF" w:rsidRPr="00937C8B" w14:paraId="12FB8C8B" w14:textId="77777777" w:rsidTr="00935676">
        <w:trPr>
          <w:cantSplit/>
        </w:trPr>
        <w:tc>
          <w:tcPr>
            <w:tcW w:w="1696" w:type="dxa"/>
            <w:tcBorders>
              <w:left w:val="single" w:sz="4" w:space="0" w:color="auto"/>
            </w:tcBorders>
            <w:shd w:val="clear" w:color="auto" w:fill="auto"/>
          </w:tcPr>
          <w:p w14:paraId="1FA7BF59" w14:textId="77777777" w:rsidR="002A4DDF" w:rsidRPr="00937C8B" w:rsidRDefault="002A4DDF" w:rsidP="009110ED">
            <w:pPr>
              <w:rPr>
                <w:rFonts w:ascii="Arial" w:hAnsi="Arial" w:cs="Arial"/>
                <w:sz w:val="12"/>
                <w:szCs w:val="12"/>
              </w:rPr>
            </w:pPr>
          </w:p>
        </w:tc>
        <w:tc>
          <w:tcPr>
            <w:tcW w:w="1843" w:type="dxa"/>
            <w:shd w:val="clear" w:color="auto" w:fill="auto"/>
          </w:tcPr>
          <w:p w14:paraId="016477AD" w14:textId="77777777" w:rsidR="002A4DDF" w:rsidRPr="00937C8B" w:rsidRDefault="002A4DDF" w:rsidP="009110ED">
            <w:pPr>
              <w:rPr>
                <w:rFonts w:ascii="Arial" w:hAnsi="Arial" w:cs="Arial"/>
                <w:sz w:val="12"/>
                <w:szCs w:val="12"/>
              </w:rPr>
            </w:pPr>
          </w:p>
        </w:tc>
        <w:tc>
          <w:tcPr>
            <w:tcW w:w="2268" w:type="dxa"/>
            <w:shd w:val="clear" w:color="auto" w:fill="F2F2F2"/>
            <w:hideMark/>
          </w:tcPr>
          <w:p w14:paraId="064FE01F" w14:textId="77777777" w:rsidR="002A4DDF" w:rsidRPr="00937C8B" w:rsidRDefault="002A4DDF" w:rsidP="009110ED">
            <w:pPr>
              <w:rPr>
                <w:rFonts w:ascii="Arial" w:hAnsi="Arial" w:cs="Arial"/>
                <w:sz w:val="12"/>
                <w:szCs w:val="12"/>
              </w:rPr>
            </w:pPr>
            <w:r>
              <w:rPr>
                <w:rFonts w:ascii="Arial" w:hAnsi="Arial"/>
                <w:sz w:val="12"/>
                <w:szCs w:val="12"/>
              </w:rPr>
              <w:t>Autillo de Campos</w:t>
            </w:r>
          </w:p>
        </w:tc>
        <w:tc>
          <w:tcPr>
            <w:tcW w:w="2268" w:type="dxa"/>
            <w:tcBorders>
              <w:right w:val="single" w:sz="4" w:space="0" w:color="auto"/>
            </w:tcBorders>
            <w:shd w:val="clear" w:color="auto" w:fill="D9D9D9"/>
            <w:hideMark/>
          </w:tcPr>
          <w:p w14:paraId="4155C88C" w14:textId="77777777" w:rsidR="002A4DDF" w:rsidRPr="00937C8B" w:rsidRDefault="002A4DDF" w:rsidP="009110ED">
            <w:pPr>
              <w:rPr>
                <w:rFonts w:ascii="Arial" w:hAnsi="Arial" w:cs="Arial"/>
                <w:sz w:val="12"/>
                <w:szCs w:val="12"/>
              </w:rPr>
            </w:pPr>
          </w:p>
        </w:tc>
      </w:tr>
      <w:tr w:rsidR="002A4DDF" w:rsidRPr="00937C8B" w14:paraId="4274008E" w14:textId="77777777" w:rsidTr="00935676">
        <w:trPr>
          <w:cantSplit/>
        </w:trPr>
        <w:tc>
          <w:tcPr>
            <w:tcW w:w="1696" w:type="dxa"/>
            <w:tcBorders>
              <w:left w:val="single" w:sz="4" w:space="0" w:color="auto"/>
            </w:tcBorders>
            <w:shd w:val="clear" w:color="auto" w:fill="auto"/>
          </w:tcPr>
          <w:p w14:paraId="574B7761" w14:textId="77777777" w:rsidR="002A4DDF" w:rsidRPr="00937C8B" w:rsidRDefault="002A4DDF" w:rsidP="009110ED">
            <w:pPr>
              <w:rPr>
                <w:rFonts w:ascii="Arial" w:hAnsi="Arial" w:cs="Arial"/>
                <w:sz w:val="12"/>
                <w:szCs w:val="12"/>
              </w:rPr>
            </w:pPr>
          </w:p>
        </w:tc>
        <w:tc>
          <w:tcPr>
            <w:tcW w:w="1843" w:type="dxa"/>
            <w:shd w:val="clear" w:color="auto" w:fill="auto"/>
          </w:tcPr>
          <w:p w14:paraId="052F97A3" w14:textId="77777777" w:rsidR="002A4DDF" w:rsidRPr="00937C8B" w:rsidRDefault="002A4DDF" w:rsidP="009110ED">
            <w:pPr>
              <w:rPr>
                <w:rFonts w:ascii="Arial" w:hAnsi="Arial" w:cs="Arial"/>
                <w:sz w:val="12"/>
                <w:szCs w:val="12"/>
              </w:rPr>
            </w:pPr>
          </w:p>
        </w:tc>
        <w:tc>
          <w:tcPr>
            <w:tcW w:w="2268" w:type="dxa"/>
            <w:shd w:val="clear" w:color="auto" w:fill="F2F2F2"/>
            <w:hideMark/>
          </w:tcPr>
          <w:p w14:paraId="0DD90210" w14:textId="77777777" w:rsidR="002A4DDF" w:rsidRPr="00937C8B" w:rsidRDefault="002A4DDF" w:rsidP="009110ED">
            <w:pPr>
              <w:rPr>
                <w:rFonts w:ascii="Arial" w:hAnsi="Arial" w:cs="Arial"/>
                <w:sz w:val="12"/>
                <w:szCs w:val="12"/>
              </w:rPr>
            </w:pPr>
            <w:r>
              <w:rPr>
                <w:rFonts w:ascii="Arial" w:hAnsi="Arial"/>
                <w:sz w:val="12"/>
                <w:szCs w:val="12"/>
              </w:rPr>
              <w:t>Barruelo de Santullán</w:t>
            </w:r>
          </w:p>
        </w:tc>
        <w:tc>
          <w:tcPr>
            <w:tcW w:w="2268" w:type="dxa"/>
            <w:tcBorders>
              <w:right w:val="single" w:sz="4" w:space="0" w:color="auto"/>
            </w:tcBorders>
            <w:shd w:val="clear" w:color="auto" w:fill="D9D9D9"/>
            <w:hideMark/>
          </w:tcPr>
          <w:p w14:paraId="5930DBFB" w14:textId="77777777" w:rsidR="002A4DDF" w:rsidRPr="00937C8B" w:rsidRDefault="002A4DDF" w:rsidP="009110ED">
            <w:pPr>
              <w:rPr>
                <w:rFonts w:ascii="Arial" w:hAnsi="Arial" w:cs="Arial"/>
                <w:sz w:val="12"/>
                <w:szCs w:val="12"/>
              </w:rPr>
            </w:pPr>
          </w:p>
        </w:tc>
      </w:tr>
      <w:tr w:rsidR="002A4DDF" w:rsidRPr="00937C8B" w14:paraId="101CDC64" w14:textId="77777777" w:rsidTr="00935676">
        <w:trPr>
          <w:cantSplit/>
        </w:trPr>
        <w:tc>
          <w:tcPr>
            <w:tcW w:w="1696" w:type="dxa"/>
            <w:tcBorders>
              <w:left w:val="single" w:sz="4" w:space="0" w:color="auto"/>
            </w:tcBorders>
            <w:shd w:val="clear" w:color="auto" w:fill="auto"/>
          </w:tcPr>
          <w:p w14:paraId="77460F4A" w14:textId="77777777" w:rsidR="002A4DDF" w:rsidRPr="00937C8B" w:rsidRDefault="002A4DDF" w:rsidP="009110ED">
            <w:pPr>
              <w:rPr>
                <w:rFonts w:ascii="Arial" w:hAnsi="Arial" w:cs="Arial"/>
                <w:sz w:val="12"/>
                <w:szCs w:val="12"/>
              </w:rPr>
            </w:pPr>
          </w:p>
        </w:tc>
        <w:tc>
          <w:tcPr>
            <w:tcW w:w="1843" w:type="dxa"/>
            <w:shd w:val="clear" w:color="auto" w:fill="auto"/>
          </w:tcPr>
          <w:p w14:paraId="55C58391" w14:textId="77777777" w:rsidR="002A4DDF" w:rsidRPr="00937C8B" w:rsidRDefault="002A4DDF" w:rsidP="009110ED">
            <w:pPr>
              <w:rPr>
                <w:rFonts w:ascii="Arial" w:hAnsi="Arial" w:cs="Arial"/>
                <w:sz w:val="12"/>
                <w:szCs w:val="12"/>
              </w:rPr>
            </w:pPr>
          </w:p>
        </w:tc>
        <w:tc>
          <w:tcPr>
            <w:tcW w:w="2268" w:type="dxa"/>
            <w:shd w:val="clear" w:color="auto" w:fill="F2F2F2"/>
            <w:hideMark/>
          </w:tcPr>
          <w:p w14:paraId="15552AEB" w14:textId="77777777" w:rsidR="002A4DDF" w:rsidRPr="00937C8B" w:rsidRDefault="002A4DDF" w:rsidP="009110ED">
            <w:pPr>
              <w:rPr>
                <w:rFonts w:ascii="Arial" w:hAnsi="Arial" w:cs="Arial"/>
                <w:sz w:val="12"/>
                <w:szCs w:val="12"/>
              </w:rPr>
            </w:pPr>
            <w:r>
              <w:rPr>
                <w:rFonts w:ascii="Arial" w:hAnsi="Arial"/>
                <w:sz w:val="12"/>
                <w:szCs w:val="12"/>
              </w:rPr>
              <w:t>Becerril de Campos</w:t>
            </w:r>
          </w:p>
        </w:tc>
        <w:tc>
          <w:tcPr>
            <w:tcW w:w="2268" w:type="dxa"/>
            <w:tcBorders>
              <w:right w:val="single" w:sz="4" w:space="0" w:color="auto"/>
            </w:tcBorders>
            <w:shd w:val="clear" w:color="auto" w:fill="D9D9D9"/>
            <w:hideMark/>
          </w:tcPr>
          <w:p w14:paraId="7F5C39A8" w14:textId="77777777" w:rsidR="002A4DDF" w:rsidRPr="00937C8B" w:rsidRDefault="002A4DDF" w:rsidP="009110ED">
            <w:pPr>
              <w:rPr>
                <w:rFonts w:ascii="Arial" w:hAnsi="Arial" w:cs="Arial"/>
                <w:sz w:val="12"/>
                <w:szCs w:val="12"/>
              </w:rPr>
            </w:pPr>
          </w:p>
        </w:tc>
      </w:tr>
      <w:tr w:rsidR="002A4DDF" w:rsidRPr="00937C8B" w14:paraId="767DEB5D" w14:textId="77777777" w:rsidTr="00935676">
        <w:trPr>
          <w:cantSplit/>
        </w:trPr>
        <w:tc>
          <w:tcPr>
            <w:tcW w:w="1696" w:type="dxa"/>
            <w:tcBorders>
              <w:left w:val="single" w:sz="4" w:space="0" w:color="auto"/>
            </w:tcBorders>
            <w:shd w:val="clear" w:color="auto" w:fill="auto"/>
          </w:tcPr>
          <w:p w14:paraId="3E3FB3A2" w14:textId="77777777" w:rsidR="002A4DDF" w:rsidRPr="00937C8B" w:rsidRDefault="002A4DDF" w:rsidP="009110ED">
            <w:pPr>
              <w:rPr>
                <w:rFonts w:ascii="Arial" w:hAnsi="Arial" w:cs="Arial"/>
                <w:sz w:val="12"/>
                <w:szCs w:val="12"/>
              </w:rPr>
            </w:pPr>
          </w:p>
        </w:tc>
        <w:tc>
          <w:tcPr>
            <w:tcW w:w="1843" w:type="dxa"/>
            <w:shd w:val="clear" w:color="auto" w:fill="auto"/>
          </w:tcPr>
          <w:p w14:paraId="2CDB1662" w14:textId="77777777" w:rsidR="002A4DDF" w:rsidRPr="00937C8B" w:rsidRDefault="002A4DDF" w:rsidP="009110ED">
            <w:pPr>
              <w:rPr>
                <w:rFonts w:ascii="Arial" w:hAnsi="Arial" w:cs="Arial"/>
                <w:sz w:val="12"/>
                <w:szCs w:val="12"/>
              </w:rPr>
            </w:pPr>
          </w:p>
        </w:tc>
        <w:tc>
          <w:tcPr>
            <w:tcW w:w="2268" w:type="dxa"/>
            <w:shd w:val="clear" w:color="auto" w:fill="F2F2F2"/>
            <w:hideMark/>
          </w:tcPr>
          <w:p w14:paraId="6BF680D8" w14:textId="77777777" w:rsidR="002A4DDF" w:rsidRPr="00937C8B" w:rsidRDefault="002A4DDF" w:rsidP="009110ED">
            <w:pPr>
              <w:rPr>
                <w:rFonts w:ascii="Arial" w:hAnsi="Arial" w:cs="Arial"/>
                <w:sz w:val="12"/>
                <w:szCs w:val="12"/>
              </w:rPr>
            </w:pPr>
            <w:r>
              <w:rPr>
                <w:rFonts w:ascii="Arial" w:hAnsi="Arial"/>
                <w:sz w:val="12"/>
                <w:szCs w:val="12"/>
              </w:rPr>
              <w:t>Boadilla de Rioseco</w:t>
            </w:r>
          </w:p>
        </w:tc>
        <w:tc>
          <w:tcPr>
            <w:tcW w:w="2268" w:type="dxa"/>
            <w:tcBorders>
              <w:right w:val="single" w:sz="4" w:space="0" w:color="auto"/>
            </w:tcBorders>
            <w:shd w:val="clear" w:color="auto" w:fill="D9D9D9"/>
            <w:hideMark/>
          </w:tcPr>
          <w:p w14:paraId="6AB9D71A" w14:textId="77777777" w:rsidR="002A4DDF" w:rsidRPr="00937C8B" w:rsidRDefault="002A4DDF" w:rsidP="009110ED">
            <w:pPr>
              <w:rPr>
                <w:rFonts w:ascii="Arial" w:hAnsi="Arial" w:cs="Arial"/>
                <w:sz w:val="12"/>
                <w:szCs w:val="12"/>
              </w:rPr>
            </w:pPr>
          </w:p>
        </w:tc>
      </w:tr>
      <w:tr w:rsidR="002A4DDF" w:rsidRPr="00937C8B" w14:paraId="6476DDA9" w14:textId="77777777" w:rsidTr="00935676">
        <w:trPr>
          <w:cantSplit/>
        </w:trPr>
        <w:tc>
          <w:tcPr>
            <w:tcW w:w="1696" w:type="dxa"/>
            <w:tcBorders>
              <w:left w:val="single" w:sz="4" w:space="0" w:color="auto"/>
            </w:tcBorders>
            <w:shd w:val="clear" w:color="auto" w:fill="auto"/>
          </w:tcPr>
          <w:p w14:paraId="57BB56B4" w14:textId="77777777" w:rsidR="002A4DDF" w:rsidRPr="00937C8B" w:rsidRDefault="002A4DDF" w:rsidP="009110ED">
            <w:pPr>
              <w:rPr>
                <w:rFonts w:ascii="Arial" w:hAnsi="Arial" w:cs="Arial"/>
                <w:sz w:val="12"/>
                <w:szCs w:val="12"/>
              </w:rPr>
            </w:pPr>
          </w:p>
        </w:tc>
        <w:tc>
          <w:tcPr>
            <w:tcW w:w="1843" w:type="dxa"/>
            <w:shd w:val="clear" w:color="auto" w:fill="auto"/>
          </w:tcPr>
          <w:p w14:paraId="48FA2469" w14:textId="77777777" w:rsidR="002A4DDF" w:rsidRPr="00937C8B" w:rsidRDefault="002A4DDF" w:rsidP="009110ED">
            <w:pPr>
              <w:rPr>
                <w:rFonts w:ascii="Arial" w:hAnsi="Arial" w:cs="Arial"/>
                <w:sz w:val="12"/>
                <w:szCs w:val="12"/>
              </w:rPr>
            </w:pPr>
          </w:p>
        </w:tc>
        <w:tc>
          <w:tcPr>
            <w:tcW w:w="2268" w:type="dxa"/>
            <w:shd w:val="clear" w:color="auto" w:fill="F2F2F2"/>
            <w:hideMark/>
          </w:tcPr>
          <w:p w14:paraId="3F53B500" w14:textId="77777777" w:rsidR="002A4DDF" w:rsidRPr="00937C8B" w:rsidRDefault="002A4DDF" w:rsidP="009110ED">
            <w:pPr>
              <w:rPr>
                <w:rFonts w:ascii="Arial" w:hAnsi="Arial" w:cs="Arial"/>
                <w:sz w:val="12"/>
                <w:szCs w:val="12"/>
              </w:rPr>
            </w:pPr>
            <w:r>
              <w:rPr>
                <w:rFonts w:ascii="Arial" w:hAnsi="Arial"/>
                <w:sz w:val="12"/>
                <w:szCs w:val="12"/>
              </w:rPr>
              <w:t>Bustillo de la Vega</w:t>
            </w:r>
          </w:p>
        </w:tc>
        <w:tc>
          <w:tcPr>
            <w:tcW w:w="2268" w:type="dxa"/>
            <w:tcBorders>
              <w:right w:val="single" w:sz="4" w:space="0" w:color="auto"/>
            </w:tcBorders>
            <w:shd w:val="clear" w:color="auto" w:fill="D9D9D9"/>
            <w:hideMark/>
          </w:tcPr>
          <w:p w14:paraId="09538736" w14:textId="77777777" w:rsidR="002A4DDF" w:rsidRPr="00937C8B" w:rsidRDefault="002A4DDF" w:rsidP="009110ED">
            <w:pPr>
              <w:rPr>
                <w:rFonts w:ascii="Arial" w:hAnsi="Arial" w:cs="Arial"/>
                <w:sz w:val="12"/>
                <w:szCs w:val="12"/>
              </w:rPr>
            </w:pPr>
          </w:p>
        </w:tc>
      </w:tr>
      <w:tr w:rsidR="002A4DDF" w:rsidRPr="00937C8B" w14:paraId="51422EC6" w14:textId="77777777" w:rsidTr="00935676">
        <w:trPr>
          <w:cantSplit/>
        </w:trPr>
        <w:tc>
          <w:tcPr>
            <w:tcW w:w="1696" w:type="dxa"/>
            <w:tcBorders>
              <w:left w:val="single" w:sz="4" w:space="0" w:color="auto"/>
            </w:tcBorders>
            <w:shd w:val="clear" w:color="auto" w:fill="auto"/>
          </w:tcPr>
          <w:p w14:paraId="3F227B54" w14:textId="77777777" w:rsidR="002A4DDF" w:rsidRPr="00937C8B" w:rsidRDefault="002A4DDF" w:rsidP="009110ED">
            <w:pPr>
              <w:rPr>
                <w:rFonts w:ascii="Arial" w:hAnsi="Arial" w:cs="Arial"/>
                <w:sz w:val="12"/>
                <w:szCs w:val="12"/>
              </w:rPr>
            </w:pPr>
          </w:p>
        </w:tc>
        <w:tc>
          <w:tcPr>
            <w:tcW w:w="1843" w:type="dxa"/>
            <w:shd w:val="clear" w:color="auto" w:fill="auto"/>
          </w:tcPr>
          <w:p w14:paraId="28E224AD" w14:textId="77777777" w:rsidR="002A4DDF" w:rsidRPr="00937C8B" w:rsidRDefault="002A4DDF" w:rsidP="009110ED">
            <w:pPr>
              <w:rPr>
                <w:rFonts w:ascii="Arial" w:hAnsi="Arial" w:cs="Arial"/>
                <w:sz w:val="12"/>
                <w:szCs w:val="12"/>
              </w:rPr>
            </w:pPr>
          </w:p>
        </w:tc>
        <w:tc>
          <w:tcPr>
            <w:tcW w:w="2268" w:type="dxa"/>
            <w:shd w:val="clear" w:color="auto" w:fill="F2F2F2"/>
            <w:hideMark/>
          </w:tcPr>
          <w:p w14:paraId="06A5CE8D" w14:textId="77777777" w:rsidR="002A4DDF" w:rsidRPr="00937C8B" w:rsidRDefault="002A4DDF" w:rsidP="009110ED">
            <w:pPr>
              <w:rPr>
                <w:rFonts w:ascii="Arial" w:hAnsi="Arial" w:cs="Arial"/>
                <w:sz w:val="12"/>
                <w:szCs w:val="12"/>
              </w:rPr>
            </w:pPr>
            <w:r>
              <w:rPr>
                <w:rFonts w:ascii="Arial" w:hAnsi="Arial"/>
                <w:sz w:val="12"/>
                <w:szCs w:val="12"/>
              </w:rPr>
              <w:t>Bustillo del Páramo de Carrión</w:t>
            </w:r>
          </w:p>
        </w:tc>
        <w:tc>
          <w:tcPr>
            <w:tcW w:w="2268" w:type="dxa"/>
            <w:tcBorders>
              <w:right w:val="single" w:sz="4" w:space="0" w:color="auto"/>
            </w:tcBorders>
            <w:shd w:val="clear" w:color="auto" w:fill="D9D9D9"/>
            <w:hideMark/>
          </w:tcPr>
          <w:p w14:paraId="21F1B890" w14:textId="77777777" w:rsidR="002A4DDF" w:rsidRPr="00937C8B" w:rsidRDefault="002A4DDF" w:rsidP="009110ED">
            <w:pPr>
              <w:rPr>
                <w:rFonts w:ascii="Arial" w:hAnsi="Arial" w:cs="Arial"/>
                <w:sz w:val="12"/>
                <w:szCs w:val="12"/>
              </w:rPr>
            </w:pPr>
          </w:p>
        </w:tc>
      </w:tr>
      <w:tr w:rsidR="002A4DDF" w:rsidRPr="00937C8B" w14:paraId="0A626A32" w14:textId="77777777" w:rsidTr="00935676">
        <w:trPr>
          <w:cantSplit/>
        </w:trPr>
        <w:tc>
          <w:tcPr>
            <w:tcW w:w="1696" w:type="dxa"/>
            <w:tcBorders>
              <w:left w:val="single" w:sz="4" w:space="0" w:color="auto"/>
            </w:tcBorders>
            <w:shd w:val="clear" w:color="auto" w:fill="auto"/>
          </w:tcPr>
          <w:p w14:paraId="73094030" w14:textId="77777777" w:rsidR="002A4DDF" w:rsidRPr="00937C8B" w:rsidRDefault="002A4DDF" w:rsidP="009110ED">
            <w:pPr>
              <w:rPr>
                <w:rFonts w:ascii="Arial" w:hAnsi="Arial" w:cs="Arial"/>
                <w:sz w:val="12"/>
                <w:szCs w:val="12"/>
              </w:rPr>
            </w:pPr>
          </w:p>
        </w:tc>
        <w:tc>
          <w:tcPr>
            <w:tcW w:w="1843" w:type="dxa"/>
            <w:shd w:val="clear" w:color="auto" w:fill="auto"/>
          </w:tcPr>
          <w:p w14:paraId="44F05E9C" w14:textId="77777777" w:rsidR="002A4DDF" w:rsidRPr="00937C8B" w:rsidRDefault="002A4DDF" w:rsidP="009110ED">
            <w:pPr>
              <w:rPr>
                <w:rFonts w:ascii="Arial" w:hAnsi="Arial" w:cs="Arial"/>
                <w:sz w:val="12"/>
                <w:szCs w:val="12"/>
              </w:rPr>
            </w:pPr>
          </w:p>
        </w:tc>
        <w:tc>
          <w:tcPr>
            <w:tcW w:w="2268" w:type="dxa"/>
            <w:shd w:val="clear" w:color="auto" w:fill="F2F2F2"/>
            <w:hideMark/>
          </w:tcPr>
          <w:p w14:paraId="546A532C" w14:textId="77777777" w:rsidR="002A4DDF" w:rsidRPr="00937C8B" w:rsidRDefault="002A4DDF" w:rsidP="009110ED">
            <w:pPr>
              <w:rPr>
                <w:rFonts w:ascii="Arial" w:hAnsi="Arial" w:cs="Arial"/>
                <w:sz w:val="12"/>
                <w:szCs w:val="12"/>
              </w:rPr>
            </w:pPr>
            <w:r>
              <w:rPr>
                <w:rFonts w:ascii="Arial" w:hAnsi="Arial"/>
                <w:sz w:val="12"/>
                <w:szCs w:val="12"/>
              </w:rPr>
              <w:t>Calzada de los Molinos</w:t>
            </w:r>
          </w:p>
        </w:tc>
        <w:tc>
          <w:tcPr>
            <w:tcW w:w="2268" w:type="dxa"/>
            <w:tcBorders>
              <w:right w:val="single" w:sz="4" w:space="0" w:color="auto"/>
            </w:tcBorders>
            <w:shd w:val="clear" w:color="auto" w:fill="D9D9D9"/>
            <w:hideMark/>
          </w:tcPr>
          <w:p w14:paraId="0E05AA49" w14:textId="77777777" w:rsidR="002A4DDF" w:rsidRPr="00937C8B" w:rsidRDefault="002A4DDF" w:rsidP="009110ED">
            <w:pPr>
              <w:rPr>
                <w:rFonts w:ascii="Arial" w:hAnsi="Arial" w:cs="Arial"/>
                <w:sz w:val="12"/>
                <w:szCs w:val="12"/>
              </w:rPr>
            </w:pPr>
          </w:p>
        </w:tc>
      </w:tr>
      <w:tr w:rsidR="002A4DDF" w:rsidRPr="00937C8B" w14:paraId="1452B2BC" w14:textId="77777777" w:rsidTr="00935676">
        <w:trPr>
          <w:cantSplit/>
        </w:trPr>
        <w:tc>
          <w:tcPr>
            <w:tcW w:w="1696" w:type="dxa"/>
            <w:tcBorders>
              <w:left w:val="single" w:sz="4" w:space="0" w:color="auto"/>
            </w:tcBorders>
            <w:shd w:val="clear" w:color="auto" w:fill="auto"/>
          </w:tcPr>
          <w:p w14:paraId="7C90B210" w14:textId="77777777" w:rsidR="002A4DDF" w:rsidRPr="00937C8B" w:rsidRDefault="002A4DDF" w:rsidP="009110ED">
            <w:pPr>
              <w:rPr>
                <w:rFonts w:ascii="Arial" w:hAnsi="Arial" w:cs="Arial"/>
                <w:sz w:val="12"/>
                <w:szCs w:val="12"/>
              </w:rPr>
            </w:pPr>
          </w:p>
        </w:tc>
        <w:tc>
          <w:tcPr>
            <w:tcW w:w="1843" w:type="dxa"/>
            <w:shd w:val="clear" w:color="auto" w:fill="auto"/>
          </w:tcPr>
          <w:p w14:paraId="560C0EF7" w14:textId="77777777" w:rsidR="002A4DDF" w:rsidRPr="00937C8B" w:rsidRDefault="002A4DDF" w:rsidP="009110ED">
            <w:pPr>
              <w:rPr>
                <w:rFonts w:ascii="Arial" w:hAnsi="Arial" w:cs="Arial"/>
                <w:sz w:val="12"/>
                <w:szCs w:val="12"/>
              </w:rPr>
            </w:pPr>
          </w:p>
        </w:tc>
        <w:tc>
          <w:tcPr>
            <w:tcW w:w="2268" w:type="dxa"/>
            <w:shd w:val="clear" w:color="auto" w:fill="F2F2F2"/>
            <w:hideMark/>
          </w:tcPr>
          <w:p w14:paraId="27A6FD03" w14:textId="77777777" w:rsidR="002A4DDF" w:rsidRPr="00937C8B" w:rsidRDefault="002A4DDF" w:rsidP="009110ED">
            <w:pPr>
              <w:rPr>
                <w:rFonts w:ascii="Arial" w:hAnsi="Arial" w:cs="Arial"/>
                <w:sz w:val="12"/>
                <w:szCs w:val="12"/>
              </w:rPr>
            </w:pPr>
            <w:r>
              <w:rPr>
                <w:rFonts w:ascii="Arial" w:hAnsi="Arial"/>
                <w:sz w:val="12"/>
                <w:szCs w:val="12"/>
              </w:rPr>
              <w:t>Capillas</w:t>
            </w:r>
          </w:p>
        </w:tc>
        <w:tc>
          <w:tcPr>
            <w:tcW w:w="2268" w:type="dxa"/>
            <w:tcBorders>
              <w:right w:val="single" w:sz="4" w:space="0" w:color="auto"/>
            </w:tcBorders>
            <w:shd w:val="clear" w:color="auto" w:fill="D9D9D9"/>
            <w:hideMark/>
          </w:tcPr>
          <w:p w14:paraId="4C45296A" w14:textId="77777777" w:rsidR="002A4DDF" w:rsidRPr="00937C8B" w:rsidRDefault="002A4DDF" w:rsidP="009110ED">
            <w:pPr>
              <w:rPr>
                <w:rFonts w:ascii="Arial" w:hAnsi="Arial" w:cs="Arial"/>
                <w:sz w:val="12"/>
                <w:szCs w:val="12"/>
              </w:rPr>
            </w:pPr>
          </w:p>
        </w:tc>
      </w:tr>
      <w:tr w:rsidR="002A4DDF" w:rsidRPr="00937C8B" w14:paraId="3C8352C5" w14:textId="77777777" w:rsidTr="00935676">
        <w:trPr>
          <w:cantSplit/>
        </w:trPr>
        <w:tc>
          <w:tcPr>
            <w:tcW w:w="1696" w:type="dxa"/>
            <w:tcBorders>
              <w:left w:val="single" w:sz="4" w:space="0" w:color="auto"/>
            </w:tcBorders>
            <w:shd w:val="clear" w:color="auto" w:fill="auto"/>
          </w:tcPr>
          <w:p w14:paraId="439F8700" w14:textId="77777777" w:rsidR="002A4DDF" w:rsidRPr="00937C8B" w:rsidRDefault="002A4DDF" w:rsidP="009110ED">
            <w:pPr>
              <w:rPr>
                <w:rFonts w:ascii="Arial" w:hAnsi="Arial" w:cs="Arial"/>
                <w:sz w:val="12"/>
                <w:szCs w:val="12"/>
              </w:rPr>
            </w:pPr>
          </w:p>
        </w:tc>
        <w:tc>
          <w:tcPr>
            <w:tcW w:w="1843" w:type="dxa"/>
            <w:shd w:val="clear" w:color="auto" w:fill="auto"/>
          </w:tcPr>
          <w:p w14:paraId="5A0AE763" w14:textId="77777777" w:rsidR="002A4DDF" w:rsidRPr="00937C8B" w:rsidRDefault="002A4DDF" w:rsidP="009110ED">
            <w:pPr>
              <w:rPr>
                <w:rFonts w:ascii="Arial" w:hAnsi="Arial" w:cs="Arial"/>
                <w:sz w:val="12"/>
                <w:szCs w:val="12"/>
              </w:rPr>
            </w:pPr>
          </w:p>
        </w:tc>
        <w:tc>
          <w:tcPr>
            <w:tcW w:w="2268" w:type="dxa"/>
            <w:shd w:val="clear" w:color="auto" w:fill="F2F2F2"/>
            <w:hideMark/>
          </w:tcPr>
          <w:p w14:paraId="6F5B9961" w14:textId="77777777" w:rsidR="002A4DDF" w:rsidRPr="00937C8B" w:rsidRDefault="002A4DDF" w:rsidP="009110ED">
            <w:pPr>
              <w:rPr>
                <w:rFonts w:ascii="Arial" w:hAnsi="Arial" w:cs="Arial"/>
                <w:sz w:val="12"/>
                <w:szCs w:val="12"/>
              </w:rPr>
            </w:pPr>
            <w:r>
              <w:rPr>
                <w:rFonts w:ascii="Arial" w:hAnsi="Arial"/>
                <w:sz w:val="12"/>
                <w:szCs w:val="12"/>
              </w:rPr>
              <w:t>Cardeñosa de Volpejera</w:t>
            </w:r>
          </w:p>
        </w:tc>
        <w:tc>
          <w:tcPr>
            <w:tcW w:w="2268" w:type="dxa"/>
            <w:tcBorders>
              <w:right w:val="single" w:sz="4" w:space="0" w:color="auto"/>
            </w:tcBorders>
            <w:shd w:val="clear" w:color="auto" w:fill="D9D9D9"/>
            <w:hideMark/>
          </w:tcPr>
          <w:p w14:paraId="281804F7" w14:textId="77777777" w:rsidR="002A4DDF" w:rsidRPr="00937C8B" w:rsidRDefault="002A4DDF" w:rsidP="009110ED">
            <w:pPr>
              <w:rPr>
                <w:rFonts w:ascii="Arial" w:hAnsi="Arial" w:cs="Arial"/>
                <w:sz w:val="12"/>
                <w:szCs w:val="12"/>
              </w:rPr>
            </w:pPr>
          </w:p>
        </w:tc>
      </w:tr>
      <w:tr w:rsidR="002A4DDF" w:rsidRPr="00937C8B" w14:paraId="5C75DFAC" w14:textId="77777777" w:rsidTr="00935676">
        <w:trPr>
          <w:cantSplit/>
        </w:trPr>
        <w:tc>
          <w:tcPr>
            <w:tcW w:w="1696" w:type="dxa"/>
            <w:tcBorders>
              <w:left w:val="single" w:sz="4" w:space="0" w:color="auto"/>
            </w:tcBorders>
            <w:shd w:val="clear" w:color="auto" w:fill="auto"/>
          </w:tcPr>
          <w:p w14:paraId="150B1DA5" w14:textId="77777777" w:rsidR="002A4DDF" w:rsidRPr="00937C8B" w:rsidRDefault="002A4DDF" w:rsidP="009110ED">
            <w:pPr>
              <w:rPr>
                <w:rFonts w:ascii="Arial" w:hAnsi="Arial" w:cs="Arial"/>
                <w:sz w:val="12"/>
                <w:szCs w:val="12"/>
              </w:rPr>
            </w:pPr>
          </w:p>
        </w:tc>
        <w:tc>
          <w:tcPr>
            <w:tcW w:w="1843" w:type="dxa"/>
            <w:shd w:val="clear" w:color="auto" w:fill="auto"/>
          </w:tcPr>
          <w:p w14:paraId="667D00C1" w14:textId="77777777" w:rsidR="002A4DDF" w:rsidRPr="00937C8B" w:rsidRDefault="002A4DDF" w:rsidP="009110ED">
            <w:pPr>
              <w:rPr>
                <w:rFonts w:ascii="Arial" w:hAnsi="Arial" w:cs="Arial"/>
                <w:sz w:val="12"/>
                <w:szCs w:val="12"/>
              </w:rPr>
            </w:pPr>
          </w:p>
        </w:tc>
        <w:tc>
          <w:tcPr>
            <w:tcW w:w="2268" w:type="dxa"/>
            <w:shd w:val="clear" w:color="auto" w:fill="F2F2F2"/>
            <w:hideMark/>
          </w:tcPr>
          <w:p w14:paraId="6492E6B2" w14:textId="77777777" w:rsidR="002A4DDF" w:rsidRPr="00937C8B" w:rsidRDefault="002A4DDF" w:rsidP="009110ED">
            <w:pPr>
              <w:rPr>
                <w:rFonts w:ascii="Arial" w:hAnsi="Arial" w:cs="Arial"/>
                <w:sz w:val="12"/>
                <w:szCs w:val="12"/>
              </w:rPr>
            </w:pPr>
            <w:r>
              <w:rPr>
                <w:rFonts w:ascii="Arial" w:hAnsi="Arial"/>
                <w:sz w:val="12"/>
                <w:szCs w:val="12"/>
              </w:rPr>
              <w:t>Carrión de los Condes</w:t>
            </w:r>
          </w:p>
        </w:tc>
        <w:tc>
          <w:tcPr>
            <w:tcW w:w="2268" w:type="dxa"/>
            <w:tcBorders>
              <w:right w:val="single" w:sz="4" w:space="0" w:color="auto"/>
            </w:tcBorders>
            <w:shd w:val="clear" w:color="auto" w:fill="D9D9D9"/>
            <w:hideMark/>
          </w:tcPr>
          <w:p w14:paraId="72A91ACB" w14:textId="77777777" w:rsidR="002A4DDF" w:rsidRPr="00937C8B" w:rsidRDefault="002A4DDF" w:rsidP="009110ED">
            <w:pPr>
              <w:rPr>
                <w:rFonts w:ascii="Arial" w:hAnsi="Arial" w:cs="Arial"/>
                <w:sz w:val="12"/>
                <w:szCs w:val="12"/>
              </w:rPr>
            </w:pPr>
          </w:p>
        </w:tc>
      </w:tr>
      <w:tr w:rsidR="002A4DDF" w:rsidRPr="00937C8B" w14:paraId="2214948F" w14:textId="77777777" w:rsidTr="00935676">
        <w:trPr>
          <w:cantSplit/>
        </w:trPr>
        <w:tc>
          <w:tcPr>
            <w:tcW w:w="1696" w:type="dxa"/>
            <w:tcBorders>
              <w:left w:val="single" w:sz="4" w:space="0" w:color="auto"/>
            </w:tcBorders>
            <w:shd w:val="clear" w:color="auto" w:fill="auto"/>
          </w:tcPr>
          <w:p w14:paraId="3112A220" w14:textId="77777777" w:rsidR="002A4DDF" w:rsidRPr="00937C8B" w:rsidRDefault="002A4DDF" w:rsidP="009110ED">
            <w:pPr>
              <w:rPr>
                <w:rFonts w:ascii="Arial" w:hAnsi="Arial" w:cs="Arial"/>
                <w:sz w:val="12"/>
                <w:szCs w:val="12"/>
              </w:rPr>
            </w:pPr>
          </w:p>
        </w:tc>
        <w:tc>
          <w:tcPr>
            <w:tcW w:w="1843" w:type="dxa"/>
            <w:shd w:val="clear" w:color="auto" w:fill="auto"/>
          </w:tcPr>
          <w:p w14:paraId="32E27AE5" w14:textId="77777777" w:rsidR="002A4DDF" w:rsidRPr="00937C8B" w:rsidRDefault="002A4DDF" w:rsidP="009110ED">
            <w:pPr>
              <w:rPr>
                <w:rFonts w:ascii="Arial" w:hAnsi="Arial" w:cs="Arial"/>
                <w:sz w:val="12"/>
                <w:szCs w:val="12"/>
              </w:rPr>
            </w:pPr>
          </w:p>
        </w:tc>
        <w:tc>
          <w:tcPr>
            <w:tcW w:w="2268" w:type="dxa"/>
            <w:shd w:val="clear" w:color="auto" w:fill="F2F2F2"/>
            <w:hideMark/>
          </w:tcPr>
          <w:p w14:paraId="359171CB" w14:textId="77777777" w:rsidR="002A4DDF" w:rsidRPr="00937C8B" w:rsidRDefault="002A4DDF" w:rsidP="009110ED">
            <w:pPr>
              <w:rPr>
                <w:rFonts w:ascii="Arial" w:hAnsi="Arial" w:cs="Arial"/>
                <w:sz w:val="12"/>
                <w:szCs w:val="12"/>
              </w:rPr>
            </w:pPr>
            <w:r>
              <w:rPr>
                <w:rFonts w:ascii="Arial" w:hAnsi="Arial"/>
                <w:sz w:val="12"/>
                <w:szCs w:val="12"/>
              </w:rPr>
              <w:t>Castromocho</w:t>
            </w:r>
          </w:p>
        </w:tc>
        <w:tc>
          <w:tcPr>
            <w:tcW w:w="2268" w:type="dxa"/>
            <w:tcBorders>
              <w:right w:val="single" w:sz="4" w:space="0" w:color="auto"/>
            </w:tcBorders>
            <w:shd w:val="clear" w:color="auto" w:fill="D9D9D9"/>
            <w:hideMark/>
          </w:tcPr>
          <w:p w14:paraId="27C740FB" w14:textId="77777777" w:rsidR="002A4DDF" w:rsidRPr="00937C8B" w:rsidRDefault="002A4DDF" w:rsidP="009110ED">
            <w:pPr>
              <w:rPr>
                <w:rFonts w:ascii="Arial" w:hAnsi="Arial" w:cs="Arial"/>
                <w:sz w:val="12"/>
                <w:szCs w:val="12"/>
              </w:rPr>
            </w:pPr>
          </w:p>
        </w:tc>
      </w:tr>
      <w:tr w:rsidR="002A4DDF" w:rsidRPr="00937C8B" w14:paraId="75459498" w14:textId="77777777" w:rsidTr="00935676">
        <w:trPr>
          <w:cantSplit/>
        </w:trPr>
        <w:tc>
          <w:tcPr>
            <w:tcW w:w="1696" w:type="dxa"/>
            <w:tcBorders>
              <w:left w:val="single" w:sz="4" w:space="0" w:color="auto"/>
            </w:tcBorders>
            <w:shd w:val="clear" w:color="auto" w:fill="auto"/>
          </w:tcPr>
          <w:p w14:paraId="0A93EE58" w14:textId="77777777" w:rsidR="002A4DDF" w:rsidRPr="00937C8B" w:rsidRDefault="002A4DDF" w:rsidP="009110ED">
            <w:pPr>
              <w:rPr>
                <w:rFonts w:ascii="Arial" w:hAnsi="Arial" w:cs="Arial"/>
                <w:sz w:val="12"/>
                <w:szCs w:val="12"/>
              </w:rPr>
            </w:pPr>
          </w:p>
        </w:tc>
        <w:tc>
          <w:tcPr>
            <w:tcW w:w="1843" w:type="dxa"/>
            <w:shd w:val="clear" w:color="auto" w:fill="auto"/>
          </w:tcPr>
          <w:p w14:paraId="682B68E1" w14:textId="77777777" w:rsidR="002A4DDF" w:rsidRPr="00937C8B" w:rsidRDefault="002A4DDF" w:rsidP="009110ED">
            <w:pPr>
              <w:rPr>
                <w:rFonts w:ascii="Arial" w:hAnsi="Arial" w:cs="Arial"/>
                <w:sz w:val="12"/>
                <w:szCs w:val="12"/>
              </w:rPr>
            </w:pPr>
          </w:p>
        </w:tc>
        <w:tc>
          <w:tcPr>
            <w:tcW w:w="2268" w:type="dxa"/>
            <w:shd w:val="clear" w:color="auto" w:fill="F2F2F2"/>
            <w:hideMark/>
          </w:tcPr>
          <w:p w14:paraId="64636171" w14:textId="77777777" w:rsidR="002A4DDF" w:rsidRPr="00937C8B" w:rsidRDefault="002A4DDF" w:rsidP="009110ED">
            <w:pPr>
              <w:rPr>
                <w:rFonts w:ascii="Arial" w:hAnsi="Arial" w:cs="Arial"/>
                <w:sz w:val="12"/>
                <w:szCs w:val="12"/>
              </w:rPr>
            </w:pPr>
            <w:r>
              <w:rPr>
                <w:rFonts w:ascii="Arial" w:hAnsi="Arial"/>
                <w:sz w:val="12"/>
                <w:szCs w:val="12"/>
              </w:rPr>
              <w:t>Cervatos de la Cueza</w:t>
            </w:r>
          </w:p>
        </w:tc>
        <w:tc>
          <w:tcPr>
            <w:tcW w:w="2268" w:type="dxa"/>
            <w:tcBorders>
              <w:right w:val="single" w:sz="4" w:space="0" w:color="auto"/>
            </w:tcBorders>
            <w:shd w:val="clear" w:color="auto" w:fill="D9D9D9"/>
            <w:hideMark/>
          </w:tcPr>
          <w:p w14:paraId="539E26DB" w14:textId="77777777" w:rsidR="002A4DDF" w:rsidRPr="00937C8B" w:rsidRDefault="002A4DDF" w:rsidP="009110ED">
            <w:pPr>
              <w:rPr>
                <w:rFonts w:ascii="Arial" w:hAnsi="Arial" w:cs="Arial"/>
                <w:sz w:val="12"/>
                <w:szCs w:val="12"/>
              </w:rPr>
            </w:pPr>
          </w:p>
        </w:tc>
      </w:tr>
      <w:tr w:rsidR="002A4DDF" w:rsidRPr="00937C8B" w14:paraId="09756FC1" w14:textId="77777777" w:rsidTr="00935676">
        <w:trPr>
          <w:cantSplit/>
        </w:trPr>
        <w:tc>
          <w:tcPr>
            <w:tcW w:w="1696" w:type="dxa"/>
            <w:tcBorders>
              <w:left w:val="single" w:sz="4" w:space="0" w:color="auto"/>
            </w:tcBorders>
            <w:shd w:val="clear" w:color="auto" w:fill="auto"/>
          </w:tcPr>
          <w:p w14:paraId="096280C9" w14:textId="77777777" w:rsidR="002A4DDF" w:rsidRPr="00937C8B" w:rsidRDefault="002A4DDF" w:rsidP="009110ED">
            <w:pPr>
              <w:rPr>
                <w:rFonts w:ascii="Arial" w:hAnsi="Arial" w:cs="Arial"/>
                <w:sz w:val="12"/>
                <w:szCs w:val="12"/>
              </w:rPr>
            </w:pPr>
          </w:p>
        </w:tc>
        <w:tc>
          <w:tcPr>
            <w:tcW w:w="1843" w:type="dxa"/>
            <w:shd w:val="clear" w:color="auto" w:fill="auto"/>
          </w:tcPr>
          <w:p w14:paraId="22F35259" w14:textId="77777777" w:rsidR="002A4DDF" w:rsidRPr="00937C8B" w:rsidRDefault="002A4DDF" w:rsidP="009110ED">
            <w:pPr>
              <w:rPr>
                <w:rFonts w:ascii="Arial" w:hAnsi="Arial" w:cs="Arial"/>
                <w:sz w:val="12"/>
                <w:szCs w:val="12"/>
              </w:rPr>
            </w:pPr>
          </w:p>
        </w:tc>
        <w:tc>
          <w:tcPr>
            <w:tcW w:w="2268" w:type="dxa"/>
            <w:shd w:val="clear" w:color="auto" w:fill="F2F2F2"/>
            <w:hideMark/>
          </w:tcPr>
          <w:p w14:paraId="6BAAE411" w14:textId="77777777" w:rsidR="002A4DDF" w:rsidRPr="00937C8B" w:rsidRDefault="002A4DDF" w:rsidP="009110ED">
            <w:pPr>
              <w:rPr>
                <w:rFonts w:ascii="Arial" w:hAnsi="Arial" w:cs="Arial"/>
                <w:sz w:val="12"/>
                <w:szCs w:val="12"/>
              </w:rPr>
            </w:pPr>
            <w:r>
              <w:rPr>
                <w:rFonts w:ascii="Arial" w:hAnsi="Arial"/>
                <w:sz w:val="12"/>
                <w:szCs w:val="12"/>
              </w:rPr>
              <w:t>Cervera de Pisuerga</w:t>
            </w:r>
          </w:p>
        </w:tc>
        <w:tc>
          <w:tcPr>
            <w:tcW w:w="2268" w:type="dxa"/>
            <w:tcBorders>
              <w:right w:val="single" w:sz="4" w:space="0" w:color="auto"/>
            </w:tcBorders>
            <w:shd w:val="clear" w:color="auto" w:fill="D9D9D9"/>
            <w:hideMark/>
          </w:tcPr>
          <w:p w14:paraId="15FC41CF" w14:textId="77777777" w:rsidR="002A4DDF" w:rsidRPr="00937C8B" w:rsidRDefault="002A4DDF" w:rsidP="009110ED">
            <w:pPr>
              <w:rPr>
                <w:rFonts w:ascii="Arial" w:hAnsi="Arial" w:cs="Arial"/>
                <w:sz w:val="12"/>
                <w:szCs w:val="12"/>
              </w:rPr>
            </w:pPr>
          </w:p>
        </w:tc>
      </w:tr>
      <w:tr w:rsidR="002A4DDF" w:rsidRPr="00937C8B" w14:paraId="4BC6AF7F" w14:textId="77777777" w:rsidTr="00935676">
        <w:trPr>
          <w:cantSplit/>
        </w:trPr>
        <w:tc>
          <w:tcPr>
            <w:tcW w:w="1696" w:type="dxa"/>
            <w:tcBorders>
              <w:left w:val="single" w:sz="4" w:space="0" w:color="auto"/>
            </w:tcBorders>
            <w:shd w:val="clear" w:color="auto" w:fill="auto"/>
          </w:tcPr>
          <w:p w14:paraId="794CF283" w14:textId="77777777" w:rsidR="002A4DDF" w:rsidRPr="00937C8B" w:rsidRDefault="002A4DDF" w:rsidP="009110ED">
            <w:pPr>
              <w:rPr>
                <w:rFonts w:ascii="Arial" w:hAnsi="Arial" w:cs="Arial"/>
                <w:sz w:val="12"/>
                <w:szCs w:val="12"/>
              </w:rPr>
            </w:pPr>
          </w:p>
        </w:tc>
        <w:tc>
          <w:tcPr>
            <w:tcW w:w="1843" w:type="dxa"/>
            <w:shd w:val="clear" w:color="auto" w:fill="auto"/>
          </w:tcPr>
          <w:p w14:paraId="18007CA9" w14:textId="77777777" w:rsidR="002A4DDF" w:rsidRPr="00937C8B" w:rsidRDefault="002A4DDF" w:rsidP="009110ED">
            <w:pPr>
              <w:rPr>
                <w:rFonts w:ascii="Arial" w:hAnsi="Arial" w:cs="Arial"/>
                <w:sz w:val="12"/>
                <w:szCs w:val="12"/>
              </w:rPr>
            </w:pPr>
          </w:p>
        </w:tc>
        <w:tc>
          <w:tcPr>
            <w:tcW w:w="2268" w:type="dxa"/>
            <w:shd w:val="clear" w:color="auto" w:fill="F2F2F2"/>
            <w:hideMark/>
          </w:tcPr>
          <w:p w14:paraId="65BB169D" w14:textId="77777777" w:rsidR="002A4DDF" w:rsidRPr="00937C8B" w:rsidRDefault="002A4DDF" w:rsidP="009110ED">
            <w:pPr>
              <w:rPr>
                <w:rFonts w:ascii="Arial" w:hAnsi="Arial" w:cs="Arial"/>
                <w:sz w:val="12"/>
                <w:szCs w:val="12"/>
              </w:rPr>
            </w:pPr>
            <w:r>
              <w:rPr>
                <w:rFonts w:ascii="Arial" w:hAnsi="Arial"/>
                <w:sz w:val="12"/>
                <w:szCs w:val="12"/>
              </w:rPr>
              <w:t>Cisneros</w:t>
            </w:r>
          </w:p>
        </w:tc>
        <w:tc>
          <w:tcPr>
            <w:tcW w:w="2268" w:type="dxa"/>
            <w:tcBorders>
              <w:right w:val="single" w:sz="4" w:space="0" w:color="auto"/>
            </w:tcBorders>
            <w:shd w:val="clear" w:color="auto" w:fill="D9D9D9"/>
            <w:hideMark/>
          </w:tcPr>
          <w:p w14:paraId="555F8037" w14:textId="77777777" w:rsidR="002A4DDF" w:rsidRPr="00937C8B" w:rsidRDefault="002A4DDF" w:rsidP="009110ED">
            <w:pPr>
              <w:rPr>
                <w:rFonts w:ascii="Arial" w:hAnsi="Arial" w:cs="Arial"/>
                <w:sz w:val="12"/>
                <w:szCs w:val="12"/>
              </w:rPr>
            </w:pPr>
          </w:p>
        </w:tc>
      </w:tr>
      <w:tr w:rsidR="002A4DDF" w:rsidRPr="00937C8B" w14:paraId="3CAB50DB" w14:textId="77777777" w:rsidTr="00935676">
        <w:trPr>
          <w:cantSplit/>
        </w:trPr>
        <w:tc>
          <w:tcPr>
            <w:tcW w:w="1696" w:type="dxa"/>
            <w:tcBorders>
              <w:left w:val="single" w:sz="4" w:space="0" w:color="auto"/>
            </w:tcBorders>
            <w:shd w:val="clear" w:color="auto" w:fill="auto"/>
          </w:tcPr>
          <w:p w14:paraId="20477C19" w14:textId="77777777" w:rsidR="002A4DDF" w:rsidRPr="00937C8B" w:rsidRDefault="002A4DDF" w:rsidP="009110ED">
            <w:pPr>
              <w:rPr>
                <w:rFonts w:ascii="Arial" w:hAnsi="Arial" w:cs="Arial"/>
                <w:sz w:val="12"/>
                <w:szCs w:val="12"/>
              </w:rPr>
            </w:pPr>
          </w:p>
        </w:tc>
        <w:tc>
          <w:tcPr>
            <w:tcW w:w="1843" w:type="dxa"/>
            <w:shd w:val="clear" w:color="auto" w:fill="auto"/>
          </w:tcPr>
          <w:p w14:paraId="71708034" w14:textId="77777777" w:rsidR="002A4DDF" w:rsidRPr="00937C8B" w:rsidRDefault="002A4DDF" w:rsidP="009110ED">
            <w:pPr>
              <w:rPr>
                <w:rFonts w:ascii="Arial" w:hAnsi="Arial" w:cs="Arial"/>
                <w:sz w:val="12"/>
                <w:szCs w:val="12"/>
              </w:rPr>
            </w:pPr>
          </w:p>
        </w:tc>
        <w:tc>
          <w:tcPr>
            <w:tcW w:w="2268" w:type="dxa"/>
            <w:shd w:val="clear" w:color="auto" w:fill="F2F2F2"/>
            <w:hideMark/>
          </w:tcPr>
          <w:p w14:paraId="03F342C8" w14:textId="77777777" w:rsidR="002A4DDF" w:rsidRPr="00937C8B" w:rsidRDefault="002A4DDF" w:rsidP="009110ED">
            <w:pPr>
              <w:rPr>
                <w:rFonts w:ascii="Arial" w:hAnsi="Arial" w:cs="Arial"/>
                <w:sz w:val="12"/>
                <w:szCs w:val="12"/>
              </w:rPr>
            </w:pPr>
            <w:r>
              <w:rPr>
                <w:rFonts w:ascii="Arial" w:hAnsi="Arial"/>
                <w:sz w:val="12"/>
                <w:szCs w:val="12"/>
              </w:rPr>
              <w:t>Dehesa de Montejo</w:t>
            </w:r>
          </w:p>
        </w:tc>
        <w:tc>
          <w:tcPr>
            <w:tcW w:w="2268" w:type="dxa"/>
            <w:tcBorders>
              <w:right w:val="single" w:sz="4" w:space="0" w:color="auto"/>
            </w:tcBorders>
            <w:shd w:val="clear" w:color="auto" w:fill="D9D9D9"/>
            <w:hideMark/>
          </w:tcPr>
          <w:p w14:paraId="265597BF" w14:textId="77777777" w:rsidR="002A4DDF" w:rsidRPr="00937C8B" w:rsidRDefault="002A4DDF" w:rsidP="009110ED">
            <w:pPr>
              <w:rPr>
                <w:rFonts w:ascii="Arial" w:hAnsi="Arial" w:cs="Arial"/>
                <w:sz w:val="12"/>
                <w:szCs w:val="12"/>
              </w:rPr>
            </w:pPr>
          </w:p>
        </w:tc>
      </w:tr>
      <w:tr w:rsidR="002A4DDF" w:rsidRPr="00937C8B" w14:paraId="1945C410" w14:textId="77777777" w:rsidTr="00935676">
        <w:trPr>
          <w:cantSplit/>
        </w:trPr>
        <w:tc>
          <w:tcPr>
            <w:tcW w:w="1696" w:type="dxa"/>
            <w:tcBorders>
              <w:left w:val="single" w:sz="4" w:space="0" w:color="auto"/>
            </w:tcBorders>
            <w:shd w:val="clear" w:color="auto" w:fill="auto"/>
          </w:tcPr>
          <w:p w14:paraId="1349AC91" w14:textId="77777777" w:rsidR="002A4DDF" w:rsidRPr="00937C8B" w:rsidRDefault="002A4DDF" w:rsidP="009110ED">
            <w:pPr>
              <w:rPr>
                <w:rFonts w:ascii="Arial" w:hAnsi="Arial" w:cs="Arial"/>
                <w:sz w:val="12"/>
                <w:szCs w:val="12"/>
              </w:rPr>
            </w:pPr>
          </w:p>
        </w:tc>
        <w:tc>
          <w:tcPr>
            <w:tcW w:w="1843" w:type="dxa"/>
            <w:shd w:val="clear" w:color="auto" w:fill="auto"/>
          </w:tcPr>
          <w:p w14:paraId="0C6DE356" w14:textId="77777777" w:rsidR="002A4DDF" w:rsidRPr="00937C8B" w:rsidRDefault="002A4DDF" w:rsidP="009110ED">
            <w:pPr>
              <w:rPr>
                <w:rFonts w:ascii="Arial" w:hAnsi="Arial" w:cs="Arial"/>
                <w:sz w:val="12"/>
                <w:szCs w:val="12"/>
              </w:rPr>
            </w:pPr>
          </w:p>
        </w:tc>
        <w:tc>
          <w:tcPr>
            <w:tcW w:w="2268" w:type="dxa"/>
            <w:shd w:val="clear" w:color="auto" w:fill="F2F2F2"/>
            <w:hideMark/>
          </w:tcPr>
          <w:p w14:paraId="6EB7179B" w14:textId="77777777" w:rsidR="002A4DDF" w:rsidRPr="00937C8B" w:rsidRDefault="002A4DDF" w:rsidP="009110ED">
            <w:pPr>
              <w:rPr>
                <w:rFonts w:ascii="Arial" w:hAnsi="Arial" w:cs="Arial"/>
                <w:sz w:val="12"/>
                <w:szCs w:val="12"/>
              </w:rPr>
            </w:pPr>
            <w:r>
              <w:rPr>
                <w:rFonts w:ascii="Arial" w:hAnsi="Arial"/>
                <w:sz w:val="12"/>
                <w:szCs w:val="12"/>
              </w:rPr>
              <w:t>Frechilla</w:t>
            </w:r>
          </w:p>
        </w:tc>
        <w:tc>
          <w:tcPr>
            <w:tcW w:w="2268" w:type="dxa"/>
            <w:tcBorders>
              <w:right w:val="single" w:sz="4" w:space="0" w:color="auto"/>
            </w:tcBorders>
            <w:shd w:val="clear" w:color="auto" w:fill="D9D9D9"/>
            <w:hideMark/>
          </w:tcPr>
          <w:p w14:paraId="01118C73" w14:textId="77777777" w:rsidR="002A4DDF" w:rsidRPr="00937C8B" w:rsidRDefault="002A4DDF" w:rsidP="009110ED">
            <w:pPr>
              <w:rPr>
                <w:rFonts w:ascii="Arial" w:hAnsi="Arial" w:cs="Arial"/>
                <w:sz w:val="12"/>
                <w:szCs w:val="12"/>
              </w:rPr>
            </w:pPr>
          </w:p>
        </w:tc>
      </w:tr>
      <w:tr w:rsidR="002A4DDF" w:rsidRPr="00937C8B" w14:paraId="3F526C5A" w14:textId="77777777" w:rsidTr="00935676">
        <w:trPr>
          <w:cantSplit/>
        </w:trPr>
        <w:tc>
          <w:tcPr>
            <w:tcW w:w="1696" w:type="dxa"/>
            <w:tcBorders>
              <w:left w:val="single" w:sz="4" w:space="0" w:color="auto"/>
            </w:tcBorders>
            <w:shd w:val="clear" w:color="auto" w:fill="auto"/>
          </w:tcPr>
          <w:p w14:paraId="247F5AB4" w14:textId="77777777" w:rsidR="002A4DDF" w:rsidRPr="00937C8B" w:rsidRDefault="002A4DDF" w:rsidP="009110ED">
            <w:pPr>
              <w:rPr>
                <w:rFonts w:ascii="Arial" w:hAnsi="Arial" w:cs="Arial"/>
                <w:sz w:val="12"/>
                <w:szCs w:val="12"/>
              </w:rPr>
            </w:pPr>
          </w:p>
        </w:tc>
        <w:tc>
          <w:tcPr>
            <w:tcW w:w="1843" w:type="dxa"/>
            <w:shd w:val="clear" w:color="auto" w:fill="auto"/>
          </w:tcPr>
          <w:p w14:paraId="44C775E8" w14:textId="77777777" w:rsidR="002A4DDF" w:rsidRPr="00937C8B" w:rsidRDefault="002A4DDF" w:rsidP="009110ED">
            <w:pPr>
              <w:rPr>
                <w:rFonts w:ascii="Arial" w:hAnsi="Arial" w:cs="Arial"/>
                <w:sz w:val="12"/>
                <w:szCs w:val="12"/>
              </w:rPr>
            </w:pPr>
          </w:p>
        </w:tc>
        <w:tc>
          <w:tcPr>
            <w:tcW w:w="2268" w:type="dxa"/>
            <w:shd w:val="clear" w:color="auto" w:fill="F2F2F2"/>
            <w:hideMark/>
          </w:tcPr>
          <w:p w14:paraId="3303248E" w14:textId="77777777" w:rsidR="002A4DDF" w:rsidRPr="00937C8B" w:rsidRDefault="002A4DDF" w:rsidP="009110ED">
            <w:pPr>
              <w:rPr>
                <w:rFonts w:ascii="Arial" w:hAnsi="Arial" w:cs="Arial"/>
                <w:sz w:val="12"/>
                <w:szCs w:val="12"/>
              </w:rPr>
            </w:pPr>
            <w:r>
              <w:rPr>
                <w:rFonts w:ascii="Arial" w:hAnsi="Arial"/>
                <w:sz w:val="12"/>
                <w:szCs w:val="12"/>
              </w:rPr>
              <w:t>Fuentes de Nava</w:t>
            </w:r>
          </w:p>
        </w:tc>
        <w:tc>
          <w:tcPr>
            <w:tcW w:w="2268" w:type="dxa"/>
            <w:tcBorders>
              <w:right w:val="single" w:sz="4" w:space="0" w:color="auto"/>
            </w:tcBorders>
            <w:shd w:val="clear" w:color="auto" w:fill="D9D9D9"/>
            <w:hideMark/>
          </w:tcPr>
          <w:p w14:paraId="1A9E2086" w14:textId="77777777" w:rsidR="002A4DDF" w:rsidRPr="00937C8B" w:rsidRDefault="002A4DDF" w:rsidP="009110ED">
            <w:pPr>
              <w:rPr>
                <w:rFonts w:ascii="Arial" w:hAnsi="Arial" w:cs="Arial"/>
                <w:sz w:val="12"/>
                <w:szCs w:val="12"/>
              </w:rPr>
            </w:pPr>
          </w:p>
        </w:tc>
      </w:tr>
      <w:tr w:rsidR="002A4DDF" w:rsidRPr="00937C8B" w14:paraId="4AB27BCD" w14:textId="77777777" w:rsidTr="00935676">
        <w:trPr>
          <w:cantSplit/>
        </w:trPr>
        <w:tc>
          <w:tcPr>
            <w:tcW w:w="1696" w:type="dxa"/>
            <w:tcBorders>
              <w:left w:val="single" w:sz="4" w:space="0" w:color="auto"/>
            </w:tcBorders>
            <w:shd w:val="clear" w:color="auto" w:fill="auto"/>
          </w:tcPr>
          <w:p w14:paraId="581390F6" w14:textId="77777777" w:rsidR="002A4DDF" w:rsidRPr="00937C8B" w:rsidRDefault="002A4DDF" w:rsidP="009110ED">
            <w:pPr>
              <w:rPr>
                <w:rFonts w:ascii="Arial" w:hAnsi="Arial" w:cs="Arial"/>
                <w:sz w:val="12"/>
                <w:szCs w:val="12"/>
              </w:rPr>
            </w:pPr>
          </w:p>
        </w:tc>
        <w:tc>
          <w:tcPr>
            <w:tcW w:w="1843" w:type="dxa"/>
            <w:shd w:val="clear" w:color="auto" w:fill="auto"/>
          </w:tcPr>
          <w:p w14:paraId="01AD0629" w14:textId="77777777" w:rsidR="002A4DDF" w:rsidRPr="00937C8B" w:rsidRDefault="002A4DDF" w:rsidP="009110ED">
            <w:pPr>
              <w:rPr>
                <w:rFonts w:ascii="Arial" w:hAnsi="Arial" w:cs="Arial"/>
                <w:sz w:val="12"/>
                <w:szCs w:val="12"/>
              </w:rPr>
            </w:pPr>
          </w:p>
        </w:tc>
        <w:tc>
          <w:tcPr>
            <w:tcW w:w="2268" w:type="dxa"/>
            <w:shd w:val="clear" w:color="auto" w:fill="F2F2F2"/>
            <w:hideMark/>
          </w:tcPr>
          <w:p w14:paraId="65D20FBC" w14:textId="77777777" w:rsidR="002A4DDF" w:rsidRPr="00937C8B" w:rsidRDefault="002A4DDF" w:rsidP="009110ED">
            <w:pPr>
              <w:rPr>
                <w:rFonts w:ascii="Arial" w:hAnsi="Arial" w:cs="Arial"/>
                <w:sz w:val="12"/>
                <w:szCs w:val="12"/>
              </w:rPr>
            </w:pPr>
            <w:r>
              <w:rPr>
                <w:rFonts w:ascii="Arial" w:hAnsi="Arial"/>
                <w:sz w:val="12"/>
                <w:szCs w:val="12"/>
              </w:rPr>
              <w:t>Guaza de Campos</w:t>
            </w:r>
          </w:p>
        </w:tc>
        <w:tc>
          <w:tcPr>
            <w:tcW w:w="2268" w:type="dxa"/>
            <w:tcBorders>
              <w:right w:val="single" w:sz="4" w:space="0" w:color="auto"/>
            </w:tcBorders>
            <w:shd w:val="clear" w:color="auto" w:fill="D9D9D9"/>
            <w:hideMark/>
          </w:tcPr>
          <w:p w14:paraId="46B28C05" w14:textId="77777777" w:rsidR="002A4DDF" w:rsidRPr="00937C8B" w:rsidRDefault="002A4DDF" w:rsidP="009110ED">
            <w:pPr>
              <w:rPr>
                <w:rFonts w:ascii="Arial" w:hAnsi="Arial" w:cs="Arial"/>
                <w:sz w:val="12"/>
                <w:szCs w:val="12"/>
              </w:rPr>
            </w:pPr>
          </w:p>
        </w:tc>
      </w:tr>
      <w:tr w:rsidR="002A4DDF" w:rsidRPr="00937C8B" w14:paraId="63EBAFDD" w14:textId="77777777" w:rsidTr="00935676">
        <w:trPr>
          <w:cantSplit/>
        </w:trPr>
        <w:tc>
          <w:tcPr>
            <w:tcW w:w="1696" w:type="dxa"/>
            <w:tcBorders>
              <w:left w:val="single" w:sz="4" w:space="0" w:color="auto"/>
            </w:tcBorders>
            <w:shd w:val="clear" w:color="auto" w:fill="auto"/>
          </w:tcPr>
          <w:p w14:paraId="3C443519" w14:textId="77777777" w:rsidR="002A4DDF" w:rsidRPr="00937C8B" w:rsidRDefault="002A4DDF" w:rsidP="009110ED">
            <w:pPr>
              <w:rPr>
                <w:rFonts w:ascii="Arial" w:hAnsi="Arial" w:cs="Arial"/>
                <w:sz w:val="12"/>
                <w:szCs w:val="12"/>
              </w:rPr>
            </w:pPr>
          </w:p>
        </w:tc>
        <w:tc>
          <w:tcPr>
            <w:tcW w:w="1843" w:type="dxa"/>
            <w:shd w:val="clear" w:color="auto" w:fill="auto"/>
          </w:tcPr>
          <w:p w14:paraId="1FB5E0D1" w14:textId="77777777" w:rsidR="002A4DDF" w:rsidRPr="00937C8B" w:rsidRDefault="002A4DDF" w:rsidP="009110ED">
            <w:pPr>
              <w:rPr>
                <w:rFonts w:ascii="Arial" w:hAnsi="Arial" w:cs="Arial"/>
                <w:sz w:val="12"/>
                <w:szCs w:val="12"/>
              </w:rPr>
            </w:pPr>
          </w:p>
        </w:tc>
        <w:tc>
          <w:tcPr>
            <w:tcW w:w="2268" w:type="dxa"/>
            <w:shd w:val="clear" w:color="auto" w:fill="F2F2F2"/>
            <w:hideMark/>
          </w:tcPr>
          <w:p w14:paraId="1F7E7883" w14:textId="77777777" w:rsidR="002A4DDF" w:rsidRPr="00937C8B" w:rsidRDefault="002A4DDF" w:rsidP="009110ED">
            <w:pPr>
              <w:rPr>
                <w:rFonts w:ascii="Arial" w:hAnsi="Arial" w:cs="Arial"/>
                <w:sz w:val="12"/>
                <w:szCs w:val="12"/>
              </w:rPr>
            </w:pPr>
            <w:r>
              <w:rPr>
                <w:rFonts w:ascii="Arial" w:hAnsi="Arial"/>
                <w:sz w:val="12"/>
                <w:szCs w:val="12"/>
              </w:rPr>
              <w:t>La Pernía</w:t>
            </w:r>
          </w:p>
        </w:tc>
        <w:tc>
          <w:tcPr>
            <w:tcW w:w="2268" w:type="dxa"/>
            <w:tcBorders>
              <w:right w:val="single" w:sz="4" w:space="0" w:color="auto"/>
            </w:tcBorders>
            <w:shd w:val="clear" w:color="auto" w:fill="D9D9D9"/>
            <w:hideMark/>
          </w:tcPr>
          <w:p w14:paraId="51E1F11C" w14:textId="77777777" w:rsidR="002A4DDF" w:rsidRPr="00937C8B" w:rsidRDefault="002A4DDF" w:rsidP="009110ED">
            <w:pPr>
              <w:rPr>
                <w:rFonts w:ascii="Arial" w:hAnsi="Arial" w:cs="Arial"/>
                <w:sz w:val="12"/>
                <w:szCs w:val="12"/>
              </w:rPr>
            </w:pPr>
          </w:p>
        </w:tc>
      </w:tr>
      <w:tr w:rsidR="002A4DDF" w:rsidRPr="00937C8B" w14:paraId="67B6873F" w14:textId="77777777" w:rsidTr="00935676">
        <w:trPr>
          <w:cantSplit/>
        </w:trPr>
        <w:tc>
          <w:tcPr>
            <w:tcW w:w="1696" w:type="dxa"/>
            <w:tcBorders>
              <w:left w:val="single" w:sz="4" w:space="0" w:color="auto"/>
            </w:tcBorders>
            <w:shd w:val="clear" w:color="auto" w:fill="auto"/>
          </w:tcPr>
          <w:p w14:paraId="63C69251" w14:textId="77777777" w:rsidR="002A4DDF" w:rsidRPr="00937C8B" w:rsidRDefault="002A4DDF" w:rsidP="009110ED">
            <w:pPr>
              <w:rPr>
                <w:rFonts w:ascii="Arial" w:hAnsi="Arial" w:cs="Arial"/>
                <w:sz w:val="12"/>
                <w:szCs w:val="12"/>
              </w:rPr>
            </w:pPr>
          </w:p>
        </w:tc>
        <w:tc>
          <w:tcPr>
            <w:tcW w:w="1843" w:type="dxa"/>
            <w:shd w:val="clear" w:color="auto" w:fill="auto"/>
          </w:tcPr>
          <w:p w14:paraId="53E80FE1" w14:textId="77777777" w:rsidR="002A4DDF" w:rsidRPr="00937C8B" w:rsidRDefault="002A4DDF" w:rsidP="009110ED">
            <w:pPr>
              <w:rPr>
                <w:rFonts w:ascii="Arial" w:hAnsi="Arial" w:cs="Arial"/>
                <w:sz w:val="12"/>
                <w:szCs w:val="12"/>
              </w:rPr>
            </w:pPr>
          </w:p>
        </w:tc>
        <w:tc>
          <w:tcPr>
            <w:tcW w:w="2268" w:type="dxa"/>
            <w:shd w:val="clear" w:color="auto" w:fill="F2F2F2"/>
            <w:hideMark/>
          </w:tcPr>
          <w:p w14:paraId="08B61E82" w14:textId="77777777" w:rsidR="002A4DDF" w:rsidRPr="00937C8B" w:rsidRDefault="002A4DDF" w:rsidP="009110ED">
            <w:pPr>
              <w:rPr>
                <w:rFonts w:ascii="Arial" w:hAnsi="Arial" w:cs="Arial"/>
                <w:sz w:val="12"/>
                <w:szCs w:val="12"/>
              </w:rPr>
            </w:pPr>
            <w:r>
              <w:rPr>
                <w:rFonts w:ascii="Arial" w:hAnsi="Arial"/>
                <w:sz w:val="12"/>
                <w:szCs w:val="12"/>
              </w:rPr>
              <w:t>La Serna</w:t>
            </w:r>
          </w:p>
        </w:tc>
        <w:tc>
          <w:tcPr>
            <w:tcW w:w="2268" w:type="dxa"/>
            <w:tcBorders>
              <w:right w:val="single" w:sz="4" w:space="0" w:color="auto"/>
            </w:tcBorders>
            <w:shd w:val="clear" w:color="auto" w:fill="D9D9D9"/>
            <w:hideMark/>
          </w:tcPr>
          <w:p w14:paraId="4DBD06B1" w14:textId="77777777" w:rsidR="002A4DDF" w:rsidRPr="00937C8B" w:rsidRDefault="002A4DDF" w:rsidP="009110ED">
            <w:pPr>
              <w:rPr>
                <w:rFonts w:ascii="Arial" w:hAnsi="Arial" w:cs="Arial"/>
                <w:sz w:val="12"/>
                <w:szCs w:val="12"/>
              </w:rPr>
            </w:pPr>
          </w:p>
        </w:tc>
      </w:tr>
      <w:tr w:rsidR="002A4DDF" w:rsidRPr="00937C8B" w14:paraId="2D77F0F1" w14:textId="77777777" w:rsidTr="00935676">
        <w:trPr>
          <w:cantSplit/>
        </w:trPr>
        <w:tc>
          <w:tcPr>
            <w:tcW w:w="1696" w:type="dxa"/>
            <w:tcBorders>
              <w:left w:val="single" w:sz="4" w:space="0" w:color="auto"/>
            </w:tcBorders>
            <w:shd w:val="clear" w:color="auto" w:fill="auto"/>
          </w:tcPr>
          <w:p w14:paraId="606F58A5" w14:textId="77777777" w:rsidR="002A4DDF" w:rsidRPr="00937C8B" w:rsidRDefault="002A4DDF" w:rsidP="009110ED">
            <w:pPr>
              <w:rPr>
                <w:rFonts w:ascii="Arial" w:hAnsi="Arial" w:cs="Arial"/>
                <w:sz w:val="12"/>
                <w:szCs w:val="12"/>
              </w:rPr>
            </w:pPr>
          </w:p>
        </w:tc>
        <w:tc>
          <w:tcPr>
            <w:tcW w:w="1843" w:type="dxa"/>
            <w:shd w:val="clear" w:color="auto" w:fill="auto"/>
          </w:tcPr>
          <w:p w14:paraId="2AA8AD33" w14:textId="77777777" w:rsidR="002A4DDF" w:rsidRPr="00937C8B" w:rsidRDefault="002A4DDF" w:rsidP="009110ED">
            <w:pPr>
              <w:rPr>
                <w:rFonts w:ascii="Arial" w:hAnsi="Arial" w:cs="Arial"/>
                <w:sz w:val="12"/>
                <w:szCs w:val="12"/>
              </w:rPr>
            </w:pPr>
          </w:p>
        </w:tc>
        <w:tc>
          <w:tcPr>
            <w:tcW w:w="2268" w:type="dxa"/>
            <w:shd w:val="clear" w:color="auto" w:fill="F2F2F2"/>
            <w:hideMark/>
          </w:tcPr>
          <w:p w14:paraId="24094FA7" w14:textId="77777777" w:rsidR="002A4DDF" w:rsidRPr="00937C8B" w:rsidRDefault="002A4DDF" w:rsidP="009110ED">
            <w:pPr>
              <w:rPr>
                <w:rFonts w:ascii="Arial" w:hAnsi="Arial" w:cs="Arial"/>
                <w:sz w:val="12"/>
                <w:szCs w:val="12"/>
              </w:rPr>
            </w:pPr>
            <w:r>
              <w:rPr>
                <w:rFonts w:ascii="Arial" w:hAnsi="Arial"/>
                <w:sz w:val="12"/>
                <w:szCs w:val="12"/>
              </w:rPr>
              <w:t>Lagartos</w:t>
            </w:r>
          </w:p>
        </w:tc>
        <w:tc>
          <w:tcPr>
            <w:tcW w:w="2268" w:type="dxa"/>
            <w:tcBorders>
              <w:right w:val="single" w:sz="4" w:space="0" w:color="auto"/>
            </w:tcBorders>
            <w:shd w:val="clear" w:color="auto" w:fill="D9D9D9"/>
            <w:hideMark/>
          </w:tcPr>
          <w:p w14:paraId="14417025" w14:textId="77777777" w:rsidR="002A4DDF" w:rsidRPr="00937C8B" w:rsidRDefault="002A4DDF" w:rsidP="009110ED">
            <w:pPr>
              <w:rPr>
                <w:rFonts w:ascii="Arial" w:hAnsi="Arial" w:cs="Arial"/>
                <w:sz w:val="12"/>
                <w:szCs w:val="12"/>
              </w:rPr>
            </w:pPr>
          </w:p>
        </w:tc>
      </w:tr>
      <w:tr w:rsidR="002A4DDF" w:rsidRPr="00937C8B" w14:paraId="3A5BC70A" w14:textId="77777777" w:rsidTr="00935676">
        <w:trPr>
          <w:cantSplit/>
        </w:trPr>
        <w:tc>
          <w:tcPr>
            <w:tcW w:w="1696" w:type="dxa"/>
            <w:tcBorders>
              <w:left w:val="single" w:sz="4" w:space="0" w:color="auto"/>
            </w:tcBorders>
            <w:shd w:val="clear" w:color="auto" w:fill="auto"/>
          </w:tcPr>
          <w:p w14:paraId="6D631B8C" w14:textId="77777777" w:rsidR="002A4DDF" w:rsidRPr="00937C8B" w:rsidRDefault="002A4DDF" w:rsidP="009110ED">
            <w:pPr>
              <w:rPr>
                <w:rFonts w:ascii="Arial" w:hAnsi="Arial" w:cs="Arial"/>
                <w:sz w:val="12"/>
                <w:szCs w:val="12"/>
              </w:rPr>
            </w:pPr>
          </w:p>
        </w:tc>
        <w:tc>
          <w:tcPr>
            <w:tcW w:w="1843" w:type="dxa"/>
            <w:shd w:val="clear" w:color="auto" w:fill="auto"/>
          </w:tcPr>
          <w:p w14:paraId="0E24CD70" w14:textId="77777777" w:rsidR="002A4DDF" w:rsidRPr="00937C8B" w:rsidRDefault="002A4DDF" w:rsidP="009110ED">
            <w:pPr>
              <w:rPr>
                <w:rFonts w:ascii="Arial" w:hAnsi="Arial" w:cs="Arial"/>
                <w:sz w:val="12"/>
                <w:szCs w:val="12"/>
              </w:rPr>
            </w:pPr>
          </w:p>
        </w:tc>
        <w:tc>
          <w:tcPr>
            <w:tcW w:w="2268" w:type="dxa"/>
            <w:shd w:val="clear" w:color="auto" w:fill="F2F2F2"/>
            <w:hideMark/>
          </w:tcPr>
          <w:p w14:paraId="34E9F3AA" w14:textId="77777777" w:rsidR="002A4DDF" w:rsidRPr="00937C8B" w:rsidRDefault="002A4DDF" w:rsidP="009110ED">
            <w:pPr>
              <w:rPr>
                <w:rFonts w:ascii="Arial" w:hAnsi="Arial" w:cs="Arial"/>
                <w:sz w:val="12"/>
                <w:szCs w:val="12"/>
              </w:rPr>
            </w:pPr>
            <w:r>
              <w:rPr>
                <w:rFonts w:ascii="Arial" w:hAnsi="Arial"/>
                <w:sz w:val="12"/>
                <w:szCs w:val="12"/>
              </w:rPr>
              <w:t>Ledigos</w:t>
            </w:r>
          </w:p>
        </w:tc>
        <w:tc>
          <w:tcPr>
            <w:tcW w:w="2268" w:type="dxa"/>
            <w:tcBorders>
              <w:right w:val="single" w:sz="4" w:space="0" w:color="auto"/>
            </w:tcBorders>
            <w:shd w:val="clear" w:color="auto" w:fill="D9D9D9"/>
            <w:hideMark/>
          </w:tcPr>
          <w:p w14:paraId="0E35A085" w14:textId="77777777" w:rsidR="002A4DDF" w:rsidRPr="00937C8B" w:rsidRDefault="002A4DDF" w:rsidP="009110ED">
            <w:pPr>
              <w:rPr>
                <w:rFonts w:ascii="Arial" w:hAnsi="Arial" w:cs="Arial"/>
                <w:sz w:val="12"/>
                <w:szCs w:val="12"/>
              </w:rPr>
            </w:pPr>
          </w:p>
        </w:tc>
      </w:tr>
      <w:tr w:rsidR="002A4DDF" w:rsidRPr="00937C8B" w14:paraId="43D62748" w14:textId="77777777" w:rsidTr="00935676">
        <w:trPr>
          <w:cantSplit/>
        </w:trPr>
        <w:tc>
          <w:tcPr>
            <w:tcW w:w="1696" w:type="dxa"/>
            <w:tcBorders>
              <w:left w:val="single" w:sz="4" w:space="0" w:color="auto"/>
            </w:tcBorders>
            <w:shd w:val="clear" w:color="auto" w:fill="auto"/>
          </w:tcPr>
          <w:p w14:paraId="6DEF915D" w14:textId="77777777" w:rsidR="002A4DDF" w:rsidRPr="00937C8B" w:rsidRDefault="002A4DDF" w:rsidP="009110ED">
            <w:pPr>
              <w:rPr>
                <w:rFonts w:ascii="Arial" w:hAnsi="Arial" w:cs="Arial"/>
                <w:sz w:val="12"/>
                <w:szCs w:val="12"/>
              </w:rPr>
            </w:pPr>
          </w:p>
        </w:tc>
        <w:tc>
          <w:tcPr>
            <w:tcW w:w="1843" w:type="dxa"/>
            <w:shd w:val="clear" w:color="auto" w:fill="auto"/>
          </w:tcPr>
          <w:p w14:paraId="1AA8889C" w14:textId="77777777" w:rsidR="002A4DDF" w:rsidRPr="00937C8B" w:rsidRDefault="002A4DDF" w:rsidP="009110ED">
            <w:pPr>
              <w:rPr>
                <w:rFonts w:ascii="Arial" w:hAnsi="Arial" w:cs="Arial"/>
                <w:sz w:val="12"/>
                <w:szCs w:val="12"/>
              </w:rPr>
            </w:pPr>
          </w:p>
        </w:tc>
        <w:tc>
          <w:tcPr>
            <w:tcW w:w="2268" w:type="dxa"/>
            <w:shd w:val="clear" w:color="auto" w:fill="F2F2F2"/>
            <w:hideMark/>
          </w:tcPr>
          <w:p w14:paraId="4E8D8AD5" w14:textId="77777777" w:rsidR="002A4DDF" w:rsidRPr="00937C8B" w:rsidRDefault="002A4DDF" w:rsidP="009110ED">
            <w:pPr>
              <w:rPr>
                <w:rFonts w:ascii="Arial" w:hAnsi="Arial" w:cs="Arial"/>
                <w:sz w:val="12"/>
                <w:szCs w:val="12"/>
              </w:rPr>
            </w:pPr>
            <w:r>
              <w:rPr>
                <w:rFonts w:ascii="Arial" w:hAnsi="Arial"/>
                <w:sz w:val="12"/>
                <w:szCs w:val="12"/>
              </w:rPr>
              <w:t>Lomas</w:t>
            </w:r>
          </w:p>
        </w:tc>
        <w:tc>
          <w:tcPr>
            <w:tcW w:w="2268" w:type="dxa"/>
            <w:tcBorders>
              <w:right w:val="single" w:sz="4" w:space="0" w:color="auto"/>
            </w:tcBorders>
            <w:shd w:val="clear" w:color="auto" w:fill="D9D9D9"/>
            <w:hideMark/>
          </w:tcPr>
          <w:p w14:paraId="2713F621" w14:textId="77777777" w:rsidR="002A4DDF" w:rsidRPr="00937C8B" w:rsidRDefault="002A4DDF" w:rsidP="009110ED">
            <w:pPr>
              <w:rPr>
                <w:rFonts w:ascii="Arial" w:hAnsi="Arial" w:cs="Arial"/>
                <w:sz w:val="12"/>
                <w:szCs w:val="12"/>
              </w:rPr>
            </w:pPr>
          </w:p>
        </w:tc>
      </w:tr>
      <w:tr w:rsidR="002A4DDF" w:rsidRPr="00937C8B" w14:paraId="15DB7B87" w14:textId="77777777" w:rsidTr="00935676">
        <w:trPr>
          <w:cantSplit/>
        </w:trPr>
        <w:tc>
          <w:tcPr>
            <w:tcW w:w="1696" w:type="dxa"/>
            <w:tcBorders>
              <w:left w:val="single" w:sz="4" w:space="0" w:color="auto"/>
            </w:tcBorders>
            <w:shd w:val="clear" w:color="auto" w:fill="auto"/>
          </w:tcPr>
          <w:p w14:paraId="09ADC017" w14:textId="77777777" w:rsidR="002A4DDF" w:rsidRPr="00937C8B" w:rsidRDefault="002A4DDF" w:rsidP="009110ED">
            <w:pPr>
              <w:rPr>
                <w:rFonts w:ascii="Arial" w:hAnsi="Arial" w:cs="Arial"/>
                <w:sz w:val="12"/>
                <w:szCs w:val="12"/>
              </w:rPr>
            </w:pPr>
          </w:p>
        </w:tc>
        <w:tc>
          <w:tcPr>
            <w:tcW w:w="1843" w:type="dxa"/>
            <w:shd w:val="clear" w:color="auto" w:fill="auto"/>
          </w:tcPr>
          <w:p w14:paraId="69AED80B" w14:textId="77777777" w:rsidR="002A4DDF" w:rsidRPr="00937C8B" w:rsidRDefault="002A4DDF" w:rsidP="009110ED">
            <w:pPr>
              <w:rPr>
                <w:rFonts w:ascii="Arial" w:hAnsi="Arial" w:cs="Arial"/>
                <w:sz w:val="12"/>
                <w:szCs w:val="12"/>
              </w:rPr>
            </w:pPr>
          </w:p>
        </w:tc>
        <w:tc>
          <w:tcPr>
            <w:tcW w:w="2268" w:type="dxa"/>
            <w:shd w:val="clear" w:color="auto" w:fill="F2F2F2"/>
            <w:hideMark/>
          </w:tcPr>
          <w:p w14:paraId="73A305D8" w14:textId="77777777" w:rsidR="002A4DDF" w:rsidRPr="00937C8B" w:rsidRDefault="002A4DDF" w:rsidP="009110ED">
            <w:pPr>
              <w:rPr>
                <w:rFonts w:ascii="Arial" w:hAnsi="Arial" w:cs="Arial"/>
                <w:sz w:val="12"/>
                <w:szCs w:val="12"/>
              </w:rPr>
            </w:pPr>
            <w:r>
              <w:rPr>
                <w:rFonts w:ascii="Arial" w:hAnsi="Arial"/>
                <w:sz w:val="12"/>
                <w:szCs w:val="12"/>
              </w:rPr>
              <w:t>Mazariegos</w:t>
            </w:r>
          </w:p>
        </w:tc>
        <w:tc>
          <w:tcPr>
            <w:tcW w:w="2268" w:type="dxa"/>
            <w:tcBorders>
              <w:right w:val="single" w:sz="4" w:space="0" w:color="auto"/>
            </w:tcBorders>
            <w:shd w:val="clear" w:color="auto" w:fill="D9D9D9"/>
            <w:hideMark/>
          </w:tcPr>
          <w:p w14:paraId="5024263B" w14:textId="77777777" w:rsidR="002A4DDF" w:rsidRPr="00937C8B" w:rsidRDefault="002A4DDF" w:rsidP="009110ED">
            <w:pPr>
              <w:rPr>
                <w:rFonts w:ascii="Arial" w:hAnsi="Arial" w:cs="Arial"/>
                <w:sz w:val="12"/>
                <w:szCs w:val="12"/>
              </w:rPr>
            </w:pPr>
          </w:p>
        </w:tc>
      </w:tr>
      <w:tr w:rsidR="002A4DDF" w:rsidRPr="00937C8B" w14:paraId="6EA31F7C" w14:textId="77777777" w:rsidTr="00935676">
        <w:trPr>
          <w:cantSplit/>
        </w:trPr>
        <w:tc>
          <w:tcPr>
            <w:tcW w:w="1696" w:type="dxa"/>
            <w:tcBorders>
              <w:left w:val="single" w:sz="4" w:space="0" w:color="auto"/>
            </w:tcBorders>
            <w:shd w:val="clear" w:color="auto" w:fill="auto"/>
          </w:tcPr>
          <w:p w14:paraId="201EB892" w14:textId="77777777" w:rsidR="002A4DDF" w:rsidRPr="00937C8B" w:rsidRDefault="002A4DDF" w:rsidP="009110ED">
            <w:pPr>
              <w:rPr>
                <w:rFonts w:ascii="Arial" w:hAnsi="Arial" w:cs="Arial"/>
                <w:sz w:val="12"/>
                <w:szCs w:val="12"/>
              </w:rPr>
            </w:pPr>
          </w:p>
        </w:tc>
        <w:tc>
          <w:tcPr>
            <w:tcW w:w="1843" w:type="dxa"/>
            <w:shd w:val="clear" w:color="auto" w:fill="auto"/>
          </w:tcPr>
          <w:p w14:paraId="559B7A4D" w14:textId="77777777" w:rsidR="002A4DDF" w:rsidRPr="00937C8B" w:rsidRDefault="002A4DDF" w:rsidP="009110ED">
            <w:pPr>
              <w:rPr>
                <w:rFonts w:ascii="Arial" w:hAnsi="Arial" w:cs="Arial"/>
                <w:sz w:val="12"/>
                <w:szCs w:val="12"/>
              </w:rPr>
            </w:pPr>
          </w:p>
        </w:tc>
        <w:tc>
          <w:tcPr>
            <w:tcW w:w="2268" w:type="dxa"/>
            <w:shd w:val="clear" w:color="auto" w:fill="F2F2F2"/>
            <w:hideMark/>
          </w:tcPr>
          <w:p w14:paraId="48AFBDD4" w14:textId="77777777" w:rsidR="002A4DDF" w:rsidRPr="00937C8B" w:rsidRDefault="002A4DDF" w:rsidP="009110ED">
            <w:pPr>
              <w:rPr>
                <w:rFonts w:ascii="Arial" w:hAnsi="Arial" w:cs="Arial"/>
                <w:sz w:val="12"/>
                <w:szCs w:val="12"/>
              </w:rPr>
            </w:pPr>
            <w:r>
              <w:rPr>
                <w:rFonts w:ascii="Arial" w:hAnsi="Arial"/>
                <w:sz w:val="12"/>
                <w:szCs w:val="12"/>
              </w:rPr>
              <w:t>Mazuecos de Valdeginate</w:t>
            </w:r>
          </w:p>
        </w:tc>
        <w:tc>
          <w:tcPr>
            <w:tcW w:w="2268" w:type="dxa"/>
            <w:tcBorders>
              <w:right w:val="single" w:sz="4" w:space="0" w:color="auto"/>
            </w:tcBorders>
            <w:shd w:val="clear" w:color="auto" w:fill="D9D9D9"/>
            <w:hideMark/>
          </w:tcPr>
          <w:p w14:paraId="19125066" w14:textId="77777777" w:rsidR="002A4DDF" w:rsidRPr="00937C8B" w:rsidRDefault="002A4DDF" w:rsidP="009110ED">
            <w:pPr>
              <w:rPr>
                <w:rFonts w:ascii="Arial" w:hAnsi="Arial" w:cs="Arial"/>
                <w:sz w:val="12"/>
                <w:szCs w:val="12"/>
              </w:rPr>
            </w:pPr>
          </w:p>
        </w:tc>
      </w:tr>
      <w:tr w:rsidR="002A4DDF" w:rsidRPr="00937C8B" w14:paraId="27C156BE" w14:textId="77777777" w:rsidTr="00935676">
        <w:trPr>
          <w:cantSplit/>
        </w:trPr>
        <w:tc>
          <w:tcPr>
            <w:tcW w:w="1696" w:type="dxa"/>
            <w:tcBorders>
              <w:left w:val="single" w:sz="4" w:space="0" w:color="auto"/>
            </w:tcBorders>
            <w:shd w:val="clear" w:color="auto" w:fill="auto"/>
          </w:tcPr>
          <w:p w14:paraId="02FBCE5D" w14:textId="77777777" w:rsidR="002A4DDF" w:rsidRPr="00937C8B" w:rsidRDefault="002A4DDF" w:rsidP="009110ED">
            <w:pPr>
              <w:rPr>
                <w:rFonts w:ascii="Arial" w:hAnsi="Arial" w:cs="Arial"/>
                <w:sz w:val="12"/>
                <w:szCs w:val="12"/>
              </w:rPr>
            </w:pPr>
          </w:p>
        </w:tc>
        <w:tc>
          <w:tcPr>
            <w:tcW w:w="1843" w:type="dxa"/>
            <w:shd w:val="clear" w:color="auto" w:fill="auto"/>
          </w:tcPr>
          <w:p w14:paraId="11287212" w14:textId="77777777" w:rsidR="002A4DDF" w:rsidRPr="00937C8B" w:rsidRDefault="002A4DDF" w:rsidP="009110ED">
            <w:pPr>
              <w:rPr>
                <w:rFonts w:ascii="Arial" w:hAnsi="Arial" w:cs="Arial"/>
                <w:sz w:val="12"/>
                <w:szCs w:val="12"/>
              </w:rPr>
            </w:pPr>
          </w:p>
        </w:tc>
        <w:tc>
          <w:tcPr>
            <w:tcW w:w="2268" w:type="dxa"/>
            <w:shd w:val="clear" w:color="auto" w:fill="F2F2F2"/>
            <w:hideMark/>
          </w:tcPr>
          <w:p w14:paraId="57ACDD6E" w14:textId="77777777" w:rsidR="002A4DDF" w:rsidRPr="00937C8B" w:rsidRDefault="002A4DDF" w:rsidP="009110ED">
            <w:pPr>
              <w:rPr>
                <w:rFonts w:ascii="Arial" w:hAnsi="Arial" w:cs="Arial"/>
                <w:sz w:val="12"/>
                <w:szCs w:val="12"/>
              </w:rPr>
            </w:pPr>
            <w:r>
              <w:rPr>
                <w:rFonts w:ascii="Arial" w:hAnsi="Arial"/>
                <w:sz w:val="12"/>
                <w:szCs w:val="12"/>
              </w:rPr>
              <w:t>Moratinos</w:t>
            </w:r>
          </w:p>
        </w:tc>
        <w:tc>
          <w:tcPr>
            <w:tcW w:w="2268" w:type="dxa"/>
            <w:tcBorders>
              <w:right w:val="single" w:sz="4" w:space="0" w:color="auto"/>
            </w:tcBorders>
            <w:shd w:val="clear" w:color="auto" w:fill="D9D9D9"/>
            <w:hideMark/>
          </w:tcPr>
          <w:p w14:paraId="1DB79AFB" w14:textId="77777777" w:rsidR="002A4DDF" w:rsidRPr="00937C8B" w:rsidRDefault="002A4DDF" w:rsidP="009110ED">
            <w:pPr>
              <w:rPr>
                <w:rFonts w:ascii="Arial" w:hAnsi="Arial" w:cs="Arial"/>
                <w:sz w:val="12"/>
                <w:szCs w:val="12"/>
              </w:rPr>
            </w:pPr>
          </w:p>
        </w:tc>
      </w:tr>
      <w:tr w:rsidR="002A4DDF" w:rsidRPr="00937C8B" w14:paraId="1B26D264" w14:textId="77777777" w:rsidTr="00935676">
        <w:trPr>
          <w:cantSplit/>
        </w:trPr>
        <w:tc>
          <w:tcPr>
            <w:tcW w:w="1696" w:type="dxa"/>
            <w:tcBorders>
              <w:left w:val="single" w:sz="4" w:space="0" w:color="auto"/>
            </w:tcBorders>
            <w:shd w:val="clear" w:color="auto" w:fill="auto"/>
          </w:tcPr>
          <w:p w14:paraId="3F297C68" w14:textId="77777777" w:rsidR="002A4DDF" w:rsidRPr="00937C8B" w:rsidRDefault="002A4DDF" w:rsidP="009110ED">
            <w:pPr>
              <w:rPr>
                <w:rFonts w:ascii="Arial" w:hAnsi="Arial" w:cs="Arial"/>
                <w:sz w:val="12"/>
                <w:szCs w:val="12"/>
              </w:rPr>
            </w:pPr>
          </w:p>
        </w:tc>
        <w:tc>
          <w:tcPr>
            <w:tcW w:w="1843" w:type="dxa"/>
            <w:shd w:val="clear" w:color="auto" w:fill="auto"/>
          </w:tcPr>
          <w:p w14:paraId="35968344" w14:textId="77777777" w:rsidR="002A4DDF" w:rsidRPr="00937C8B" w:rsidRDefault="002A4DDF" w:rsidP="009110ED">
            <w:pPr>
              <w:rPr>
                <w:rFonts w:ascii="Arial" w:hAnsi="Arial" w:cs="Arial"/>
                <w:sz w:val="12"/>
                <w:szCs w:val="12"/>
              </w:rPr>
            </w:pPr>
          </w:p>
        </w:tc>
        <w:tc>
          <w:tcPr>
            <w:tcW w:w="2268" w:type="dxa"/>
            <w:shd w:val="clear" w:color="auto" w:fill="F2F2F2"/>
            <w:hideMark/>
          </w:tcPr>
          <w:p w14:paraId="6A36873D" w14:textId="77777777" w:rsidR="002A4DDF" w:rsidRPr="00937C8B" w:rsidRDefault="002A4DDF" w:rsidP="009110ED">
            <w:pPr>
              <w:rPr>
                <w:rFonts w:ascii="Arial" w:hAnsi="Arial" w:cs="Arial"/>
                <w:sz w:val="12"/>
                <w:szCs w:val="12"/>
              </w:rPr>
            </w:pPr>
            <w:r>
              <w:rPr>
                <w:rFonts w:ascii="Arial" w:hAnsi="Arial"/>
                <w:sz w:val="12"/>
                <w:szCs w:val="12"/>
              </w:rPr>
              <w:t>Nogal de las Huertas</w:t>
            </w:r>
          </w:p>
        </w:tc>
        <w:tc>
          <w:tcPr>
            <w:tcW w:w="2268" w:type="dxa"/>
            <w:tcBorders>
              <w:right w:val="single" w:sz="4" w:space="0" w:color="auto"/>
            </w:tcBorders>
            <w:shd w:val="clear" w:color="auto" w:fill="D9D9D9"/>
            <w:hideMark/>
          </w:tcPr>
          <w:p w14:paraId="48EF3090" w14:textId="77777777" w:rsidR="002A4DDF" w:rsidRPr="00937C8B" w:rsidRDefault="002A4DDF" w:rsidP="009110ED">
            <w:pPr>
              <w:rPr>
                <w:rFonts w:ascii="Arial" w:hAnsi="Arial" w:cs="Arial"/>
                <w:sz w:val="12"/>
                <w:szCs w:val="12"/>
              </w:rPr>
            </w:pPr>
          </w:p>
        </w:tc>
      </w:tr>
      <w:tr w:rsidR="002A4DDF" w:rsidRPr="00937C8B" w14:paraId="0A473ACD" w14:textId="77777777" w:rsidTr="00935676">
        <w:trPr>
          <w:cantSplit/>
        </w:trPr>
        <w:tc>
          <w:tcPr>
            <w:tcW w:w="1696" w:type="dxa"/>
            <w:tcBorders>
              <w:left w:val="single" w:sz="4" w:space="0" w:color="auto"/>
            </w:tcBorders>
            <w:shd w:val="clear" w:color="auto" w:fill="auto"/>
          </w:tcPr>
          <w:p w14:paraId="3B620425" w14:textId="77777777" w:rsidR="002A4DDF" w:rsidRPr="00937C8B" w:rsidRDefault="002A4DDF" w:rsidP="009110ED">
            <w:pPr>
              <w:rPr>
                <w:rFonts w:ascii="Arial" w:hAnsi="Arial" w:cs="Arial"/>
                <w:sz w:val="12"/>
                <w:szCs w:val="12"/>
              </w:rPr>
            </w:pPr>
          </w:p>
        </w:tc>
        <w:tc>
          <w:tcPr>
            <w:tcW w:w="1843" w:type="dxa"/>
            <w:shd w:val="clear" w:color="auto" w:fill="auto"/>
          </w:tcPr>
          <w:p w14:paraId="3A45D3A9" w14:textId="77777777" w:rsidR="002A4DDF" w:rsidRPr="00937C8B" w:rsidRDefault="002A4DDF" w:rsidP="009110ED">
            <w:pPr>
              <w:rPr>
                <w:rFonts w:ascii="Arial" w:hAnsi="Arial" w:cs="Arial"/>
                <w:sz w:val="12"/>
                <w:szCs w:val="12"/>
              </w:rPr>
            </w:pPr>
          </w:p>
        </w:tc>
        <w:tc>
          <w:tcPr>
            <w:tcW w:w="2268" w:type="dxa"/>
            <w:shd w:val="clear" w:color="auto" w:fill="F2F2F2"/>
            <w:hideMark/>
          </w:tcPr>
          <w:p w14:paraId="23D5DA88" w14:textId="77777777" w:rsidR="002A4DDF" w:rsidRPr="00937C8B" w:rsidRDefault="002A4DDF" w:rsidP="009110ED">
            <w:pPr>
              <w:rPr>
                <w:rFonts w:ascii="Arial" w:hAnsi="Arial" w:cs="Arial"/>
                <w:sz w:val="12"/>
                <w:szCs w:val="12"/>
              </w:rPr>
            </w:pPr>
            <w:r>
              <w:rPr>
                <w:rFonts w:ascii="Arial" w:hAnsi="Arial"/>
                <w:sz w:val="12"/>
                <w:szCs w:val="12"/>
              </w:rPr>
              <w:t>Paredes de Nava</w:t>
            </w:r>
          </w:p>
        </w:tc>
        <w:tc>
          <w:tcPr>
            <w:tcW w:w="2268" w:type="dxa"/>
            <w:tcBorders>
              <w:right w:val="single" w:sz="4" w:space="0" w:color="auto"/>
            </w:tcBorders>
            <w:shd w:val="clear" w:color="auto" w:fill="D9D9D9"/>
            <w:hideMark/>
          </w:tcPr>
          <w:p w14:paraId="5E2D489B" w14:textId="77777777" w:rsidR="002A4DDF" w:rsidRPr="00937C8B" w:rsidRDefault="002A4DDF" w:rsidP="009110ED">
            <w:pPr>
              <w:rPr>
                <w:rFonts w:ascii="Arial" w:hAnsi="Arial" w:cs="Arial"/>
                <w:sz w:val="12"/>
                <w:szCs w:val="12"/>
              </w:rPr>
            </w:pPr>
          </w:p>
        </w:tc>
      </w:tr>
      <w:tr w:rsidR="002A4DDF" w:rsidRPr="00937C8B" w14:paraId="221DD7DF" w14:textId="77777777" w:rsidTr="00935676">
        <w:trPr>
          <w:cantSplit/>
        </w:trPr>
        <w:tc>
          <w:tcPr>
            <w:tcW w:w="1696" w:type="dxa"/>
            <w:tcBorders>
              <w:left w:val="single" w:sz="4" w:space="0" w:color="auto"/>
            </w:tcBorders>
            <w:shd w:val="clear" w:color="auto" w:fill="auto"/>
          </w:tcPr>
          <w:p w14:paraId="69A791CD" w14:textId="77777777" w:rsidR="002A4DDF" w:rsidRPr="00937C8B" w:rsidRDefault="002A4DDF" w:rsidP="009110ED">
            <w:pPr>
              <w:rPr>
                <w:rFonts w:ascii="Arial" w:hAnsi="Arial" w:cs="Arial"/>
                <w:sz w:val="12"/>
                <w:szCs w:val="12"/>
              </w:rPr>
            </w:pPr>
          </w:p>
        </w:tc>
        <w:tc>
          <w:tcPr>
            <w:tcW w:w="1843" w:type="dxa"/>
            <w:shd w:val="clear" w:color="auto" w:fill="auto"/>
          </w:tcPr>
          <w:p w14:paraId="5C9162AD" w14:textId="77777777" w:rsidR="002A4DDF" w:rsidRPr="00937C8B" w:rsidRDefault="002A4DDF" w:rsidP="009110ED">
            <w:pPr>
              <w:rPr>
                <w:rFonts w:ascii="Arial" w:hAnsi="Arial" w:cs="Arial"/>
                <w:sz w:val="12"/>
                <w:szCs w:val="12"/>
              </w:rPr>
            </w:pPr>
          </w:p>
        </w:tc>
        <w:tc>
          <w:tcPr>
            <w:tcW w:w="2268" w:type="dxa"/>
            <w:shd w:val="clear" w:color="auto" w:fill="F2F2F2"/>
            <w:hideMark/>
          </w:tcPr>
          <w:p w14:paraId="508374B1" w14:textId="77777777" w:rsidR="002A4DDF" w:rsidRPr="00937C8B" w:rsidRDefault="002A4DDF" w:rsidP="009110ED">
            <w:pPr>
              <w:rPr>
                <w:rFonts w:ascii="Arial" w:hAnsi="Arial" w:cs="Arial"/>
                <w:sz w:val="12"/>
                <w:szCs w:val="12"/>
              </w:rPr>
            </w:pPr>
            <w:r>
              <w:rPr>
                <w:rFonts w:ascii="Arial" w:hAnsi="Arial"/>
                <w:sz w:val="12"/>
                <w:szCs w:val="12"/>
              </w:rPr>
              <w:t>Pedrosa de la Vega</w:t>
            </w:r>
          </w:p>
        </w:tc>
        <w:tc>
          <w:tcPr>
            <w:tcW w:w="2268" w:type="dxa"/>
            <w:tcBorders>
              <w:right w:val="single" w:sz="4" w:space="0" w:color="auto"/>
            </w:tcBorders>
            <w:shd w:val="clear" w:color="auto" w:fill="D9D9D9"/>
            <w:hideMark/>
          </w:tcPr>
          <w:p w14:paraId="5E208F14" w14:textId="77777777" w:rsidR="002A4DDF" w:rsidRPr="00937C8B" w:rsidRDefault="002A4DDF" w:rsidP="009110ED">
            <w:pPr>
              <w:rPr>
                <w:rFonts w:ascii="Arial" w:hAnsi="Arial" w:cs="Arial"/>
                <w:sz w:val="12"/>
                <w:szCs w:val="12"/>
              </w:rPr>
            </w:pPr>
          </w:p>
        </w:tc>
      </w:tr>
      <w:tr w:rsidR="002A4DDF" w:rsidRPr="00937C8B" w14:paraId="2D739A18" w14:textId="77777777" w:rsidTr="00935676">
        <w:trPr>
          <w:cantSplit/>
        </w:trPr>
        <w:tc>
          <w:tcPr>
            <w:tcW w:w="1696" w:type="dxa"/>
            <w:tcBorders>
              <w:left w:val="single" w:sz="4" w:space="0" w:color="auto"/>
            </w:tcBorders>
            <w:shd w:val="clear" w:color="auto" w:fill="auto"/>
          </w:tcPr>
          <w:p w14:paraId="6DEF452C" w14:textId="77777777" w:rsidR="002A4DDF" w:rsidRPr="00937C8B" w:rsidRDefault="002A4DDF" w:rsidP="009110ED">
            <w:pPr>
              <w:rPr>
                <w:rFonts w:ascii="Arial" w:hAnsi="Arial" w:cs="Arial"/>
                <w:sz w:val="12"/>
                <w:szCs w:val="12"/>
              </w:rPr>
            </w:pPr>
          </w:p>
        </w:tc>
        <w:tc>
          <w:tcPr>
            <w:tcW w:w="1843" w:type="dxa"/>
            <w:shd w:val="clear" w:color="auto" w:fill="auto"/>
          </w:tcPr>
          <w:p w14:paraId="0F3DADE9" w14:textId="77777777" w:rsidR="002A4DDF" w:rsidRPr="00937C8B" w:rsidRDefault="002A4DDF" w:rsidP="009110ED">
            <w:pPr>
              <w:rPr>
                <w:rFonts w:ascii="Arial" w:hAnsi="Arial" w:cs="Arial"/>
                <w:sz w:val="12"/>
                <w:szCs w:val="12"/>
              </w:rPr>
            </w:pPr>
          </w:p>
        </w:tc>
        <w:tc>
          <w:tcPr>
            <w:tcW w:w="2268" w:type="dxa"/>
            <w:shd w:val="clear" w:color="auto" w:fill="F2F2F2"/>
            <w:hideMark/>
          </w:tcPr>
          <w:p w14:paraId="4C45801C" w14:textId="77777777" w:rsidR="002A4DDF" w:rsidRPr="00937C8B" w:rsidRDefault="002A4DDF" w:rsidP="009110ED">
            <w:pPr>
              <w:rPr>
                <w:rFonts w:ascii="Arial" w:hAnsi="Arial" w:cs="Arial"/>
                <w:sz w:val="12"/>
                <w:szCs w:val="12"/>
              </w:rPr>
            </w:pPr>
            <w:r>
              <w:rPr>
                <w:rFonts w:ascii="Arial" w:hAnsi="Arial"/>
                <w:sz w:val="12"/>
                <w:szCs w:val="12"/>
              </w:rPr>
              <w:t>Población de Arroyo</w:t>
            </w:r>
          </w:p>
        </w:tc>
        <w:tc>
          <w:tcPr>
            <w:tcW w:w="2268" w:type="dxa"/>
            <w:tcBorders>
              <w:right w:val="single" w:sz="4" w:space="0" w:color="auto"/>
            </w:tcBorders>
            <w:shd w:val="clear" w:color="auto" w:fill="D9D9D9"/>
            <w:hideMark/>
          </w:tcPr>
          <w:p w14:paraId="2150A26B" w14:textId="77777777" w:rsidR="002A4DDF" w:rsidRPr="00937C8B" w:rsidRDefault="002A4DDF" w:rsidP="009110ED">
            <w:pPr>
              <w:rPr>
                <w:rFonts w:ascii="Arial" w:hAnsi="Arial" w:cs="Arial"/>
                <w:sz w:val="12"/>
                <w:szCs w:val="12"/>
              </w:rPr>
            </w:pPr>
          </w:p>
        </w:tc>
      </w:tr>
      <w:tr w:rsidR="002A4DDF" w:rsidRPr="00937C8B" w14:paraId="413E92B9" w14:textId="77777777" w:rsidTr="00935676">
        <w:trPr>
          <w:cantSplit/>
        </w:trPr>
        <w:tc>
          <w:tcPr>
            <w:tcW w:w="1696" w:type="dxa"/>
            <w:tcBorders>
              <w:left w:val="single" w:sz="4" w:space="0" w:color="auto"/>
            </w:tcBorders>
            <w:shd w:val="clear" w:color="auto" w:fill="auto"/>
          </w:tcPr>
          <w:p w14:paraId="46EB5F8A" w14:textId="77777777" w:rsidR="002A4DDF" w:rsidRPr="00937C8B" w:rsidRDefault="002A4DDF" w:rsidP="009110ED">
            <w:pPr>
              <w:rPr>
                <w:rFonts w:ascii="Arial" w:hAnsi="Arial" w:cs="Arial"/>
                <w:sz w:val="12"/>
                <w:szCs w:val="12"/>
              </w:rPr>
            </w:pPr>
          </w:p>
        </w:tc>
        <w:tc>
          <w:tcPr>
            <w:tcW w:w="1843" w:type="dxa"/>
            <w:shd w:val="clear" w:color="auto" w:fill="auto"/>
          </w:tcPr>
          <w:p w14:paraId="4EBCFC49" w14:textId="77777777" w:rsidR="002A4DDF" w:rsidRPr="00937C8B" w:rsidRDefault="002A4DDF" w:rsidP="009110ED">
            <w:pPr>
              <w:rPr>
                <w:rFonts w:ascii="Arial" w:hAnsi="Arial" w:cs="Arial"/>
                <w:sz w:val="12"/>
                <w:szCs w:val="12"/>
              </w:rPr>
            </w:pPr>
          </w:p>
        </w:tc>
        <w:tc>
          <w:tcPr>
            <w:tcW w:w="2268" w:type="dxa"/>
            <w:shd w:val="clear" w:color="auto" w:fill="F2F2F2"/>
            <w:hideMark/>
          </w:tcPr>
          <w:p w14:paraId="43275D7A" w14:textId="77777777" w:rsidR="002A4DDF" w:rsidRPr="00937C8B" w:rsidRDefault="002A4DDF" w:rsidP="009110ED">
            <w:pPr>
              <w:rPr>
                <w:rFonts w:ascii="Arial" w:hAnsi="Arial" w:cs="Arial"/>
                <w:sz w:val="12"/>
                <w:szCs w:val="12"/>
              </w:rPr>
            </w:pPr>
            <w:r>
              <w:rPr>
                <w:rFonts w:ascii="Arial" w:hAnsi="Arial"/>
                <w:sz w:val="12"/>
                <w:szCs w:val="12"/>
              </w:rPr>
              <w:t>Población de Campos</w:t>
            </w:r>
          </w:p>
        </w:tc>
        <w:tc>
          <w:tcPr>
            <w:tcW w:w="2268" w:type="dxa"/>
            <w:tcBorders>
              <w:right w:val="single" w:sz="4" w:space="0" w:color="auto"/>
            </w:tcBorders>
            <w:shd w:val="clear" w:color="auto" w:fill="D9D9D9"/>
            <w:hideMark/>
          </w:tcPr>
          <w:p w14:paraId="5839ECCE" w14:textId="77777777" w:rsidR="002A4DDF" w:rsidRPr="00937C8B" w:rsidRDefault="002A4DDF" w:rsidP="009110ED">
            <w:pPr>
              <w:rPr>
                <w:rFonts w:ascii="Arial" w:hAnsi="Arial" w:cs="Arial"/>
                <w:sz w:val="12"/>
                <w:szCs w:val="12"/>
              </w:rPr>
            </w:pPr>
          </w:p>
        </w:tc>
      </w:tr>
      <w:tr w:rsidR="002A4DDF" w:rsidRPr="00937C8B" w14:paraId="44A1D2A6" w14:textId="77777777" w:rsidTr="00935676">
        <w:trPr>
          <w:cantSplit/>
        </w:trPr>
        <w:tc>
          <w:tcPr>
            <w:tcW w:w="1696" w:type="dxa"/>
            <w:tcBorders>
              <w:left w:val="single" w:sz="4" w:space="0" w:color="auto"/>
            </w:tcBorders>
            <w:shd w:val="clear" w:color="auto" w:fill="auto"/>
          </w:tcPr>
          <w:p w14:paraId="188F8EAA" w14:textId="77777777" w:rsidR="002A4DDF" w:rsidRPr="00937C8B" w:rsidRDefault="002A4DDF" w:rsidP="009110ED">
            <w:pPr>
              <w:rPr>
                <w:rFonts w:ascii="Arial" w:hAnsi="Arial" w:cs="Arial"/>
                <w:sz w:val="12"/>
                <w:szCs w:val="12"/>
              </w:rPr>
            </w:pPr>
          </w:p>
        </w:tc>
        <w:tc>
          <w:tcPr>
            <w:tcW w:w="1843" w:type="dxa"/>
            <w:shd w:val="clear" w:color="auto" w:fill="auto"/>
          </w:tcPr>
          <w:p w14:paraId="5660BFDC" w14:textId="77777777" w:rsidR="002A4DDF" w:rsidRPr="00937C8B" w:rsidRDefault="002A4DDF" w:rsidP="009110ED">
            <w:pPr>
              <w:rPr>
                <w:rFonts w:ascii="Arial" w:hAnsi="Arial" w:cs="Arial"/>
                <w:sz w:val="12"/>
                <w:szCs w:val="12"/>
              </w:rPr>
            </w:pPr>
          </w:p>
        </w:tc>
        <w:tc>
          <w:tcPr>
            <w:tcW w:w="2268" w:type="dxa"/>
            <w:shd w:val="clear" w:color="auto" w:fill="F2F2F2"/>
            <w:hideMark/>
          </w:tcPr>
          <w:p w14:paraId="58AD4C4A" w14:textId="77777777" w:rsidR="002A4DDF" w:rsidRPr="00937C8B" w:rsidRDefault="002A4DDF" w:rsidP="009110ED">
            <w:pPr>
              <w:rPr>
                <w:rFonts w:ascii="Arial" w:hAnsi="Arial" w:cs="Arial"/>
                <w:sz w:val="12"/>
                <w:szCs w:val="12"/>
              </w:rPr>
            </w:pPr>
            <w:r>
              <w:rPr>
                <w:rFonts w:ascii="Arial" w:hAnsi="Arial"/>
                <w:sz w:val="12"/>
                <w:szCs w:val="12"/>
              </w:rPr>
              <w:t>Pozo de Urama</w:t>
            </w:r>
          </w:p>
        </w:tc>
        <w:tc>
          <w:tcPr>
            <w:tcW w:w="2268" w:type="dxa"/>
            <w:tcBorders>
              <w:right w:val="single" w:sz="4" w:space="0" w:color="auto"/>
            </w:tcBorders>
            <w:shd w:val="clear" w:color="auto" w:fill="D9D9D9"/>
            <w:hideMark/>
          </w:tcPr>
          <w:p w14:paraId="0B5485E8" w14:textId="77777777" w:rsidR="002A4DDF" w:rsidRPr="00937C8B" w:rsidRDefault="002A4DDF" w:rsidP="009110ED">
            <w:pPr>
              <w:rPr>
                <w:rFonts w:ascii="Arial" w:hAnsi="Arial" w:cs="Arial"/>
                <w:sz w:val="12"/>
                <w:szCs w:val="12"/>
              </w:rPr>
            </w:pPr>
          </w:p>
        </w:tc>
      </w:tr>
      <w:tr w:rsidR="002A4DDF" w:rsidRPr="00937C8B" w14:paraId="4127C842" w14:textId="77777777" w:rsidTr="00935676">
        <w:trPr>
          <w:cantSplit/>
        </w:trPr>
        <w:tc>
          <w:tcPr>
            <w:tcW w:w="1696" w:type="dxa"/>
            <w:tcBorders>
              <w:left w:val="single" w:sz="4" w:space="0" w:color="auto"/>
            </w:tcBorders>
            <w:shd w:val="clear" w:color="auto" w:fill="auto"/>
          </w:tcPr>
          <w:p w14:paraId="0F1AFB15" w14:textId="77777777" w:rsidR="002A4DDF" w:rsidRPr="00937C8B" w:rsidRDefault="002A4DDF" w:rsidP="009110ED">
            <w:pPr>
              <w:rPr>
                <w:rFonts w:ascii="Arial" w:hAnsi="Arial" w:cs="Arial"/>
                <w:sz w:val="12"/>
                <w:szCs w:val="12"/>
              </w:rPr>
            </w:pPr>
          </w:p>
        </w:tc>
        <w:tc>
          <w:tcPr>
            <w:tcW w:w="1843" w:type="dxa"/>
            <w:shd w:val="clear" w:color="auto" w:fill="auto"/>
          </w:tcPr>
          <w:p w14:paraId="191F00C4" w14:textId="77777777" w:rsidR="002A4DDF" w:rsidRPr="00937C8B" w:rsidRDefault="002A4DDF" w:rsidP="009110ED">
            <w:pPr>
              <w:rPr>
                <w:rFonts w:ascii="Arial" w:hAnsi="Arial" w:cs="Arial"/>
                <w:sz w:val="12"/>
                <w:szCs w:val="12"/>
              </w:rPr>
            </w:pPr>
          </w:p>
        </w:tc>
        <w:tc>
          <w:tcPr>
            <w:tcW w:w="2268" w:type="dxa"/>
            <w:shd w:val="clear" w:color="auto" w:fill="F2F2F2"/>
            <w:hideMark/>
          </w:tcPr>
          <w:p w14:paraId="556D1227" w14:textId="77777777" w:rsidR="002A4DDF" w:rsidRPr="00937C8B" w:rsidRDefault="002A4DDF" w:rsidP="009110ED">
            <w:pPr>
              <w:rPr>
                <w:rFonts w:ascii="Arial" w:hAnsi="Arial" w:cs="Arial"/>
                <w:sz w:val="12"/>
                <w:szCs w:val="12"/>
              </w:rPr>
            </w:pPr>
            <w:r>
              <w:rPr>
                <w:rFonts w:ascii="Arial" w:hAnsi="Arial"/>
                <w:sz w:val="12"/>
                <w:szCs w:val="12"/>
              </w:rPr>
              <w:t>Quintanilla de Onsoña</w:t>
            </w:r>
          </w:p>
        </w:tc>
        <w:tc>
          <w:tcPr>
            <w:tcW w:w="2268" w:type="dxa"/>
            <w:tcBorders>
              <w:right w:val="single" w:sz="4" w:space="0" w:color="auto"/>
            </w:tcBorders>
            <w:shd w:val="clear" w:color="auto" w:fill="D9D9D9"/>
            <w:hideMark/>
          </w:tcPr>
          <w:p w14:paraId="545E4FCA" w14:textId="77777777" w:rsidR="002A4DDF" w:rsidRPr="00937C8B" w:rsidRDefault="002A4DDF" w:rsidP="009110ED">
            <w:pPr>
              <w:rPr>
                <w:rFonts w:ascii="Arial" w:hAnsi="Arial" w:cs="Arial"/>
                <w:sz w:val="12"/>
                <w:szCs w:val="12"/>
              </w:rPr>
            </w:pPr>
          </w:p>
        </w:tc>
      </w:tr>
      <w:tr w:rsidR="002A4DDF" w:rsidRPr="00937C8B" w14:paraId="2C38AD5E" w14:textId="77777777" w:rsidTr="00935676">
        <w:trPr>
          <w:cantSplit/>
        </w:trPr>
        <w:tc>
          <w:tcPr>
            <w:tcW w:w="1696" w:type="dxa"/>
            <w:tcBorders>
              <w:left w:val="single" w:sz="4" w:space="0" w:color="auto"/>
            </w:tcBorders>
            <w:shd w:val="clear" w:color="auto" w:fill="auto"/>
          </w:tcPr>
          <w:p w14:paraId="2E3A5795" w14:textId="77777777" w:rsidR="002A4DDF" w:rsidRPr="00937C8B" w:rsidRDefault="002A4DDF" w:rsidP="009110ED">
            <w:pPr>
              <w:rPr>
                <w:rFonts w:ascii="Arial" w:hAnsi="Arial" w:cs="Arial"/>
                <w:sz w:val="12"/>
                <w:szCs w:val="12"/>
              </w:rPr>
            </w:pPr>
          </w:p>
        </w:tc>
        <w:tc>
          <w:tcPr>
            <w:tcW w:w="1843" w:type="dxa"/>
            <w:shd w:val="clear" w:color="auto" w:fill="auto"/>
          </w:tcPr>
          <w:p w14:paraId="0F3EAD2C" w14:textId="77777777" w:rsidR="002A4DDF" w:rsidRPr="00937C8B" w:rsidRDefault="002A4DDF" w:rsidP="009110ED">
            <w:pPr>
              <w:rPr>
                <w:rFonts w:ascii="Arial" w:hAnsi="Arial" w:cs="Arial"/>
                <w:sz w:val="12"/>
                <w:szCs w:val="12"/>
              </w:rPr>
            </w:pPr>
          </w:p>
        </w:tc>
        <w:tc>
          <w:tcPr>
            <w:tcW w:w="2268" w:type="dxa"/>
            <w:shd w:val="clear" w:color="auto" w:fill="F2F2F2"/>
            <w:hideMark/>
          </w:tcPr>
          <w:p w14:paraId="728633BE" w14:textId="77777777" w:rsidR="002A4DDF" w:rsidRPr="00937C8B" w:rsidRDefault="002A4DDF" w:rsidP="009110ED">
            <w:pPr>
              <w:rPr>
                <w:rFonts w:ascii="Arial" w:hAnsi="Arial" w:cs="Arial"/>
                <w:sz w:val="12"/>
                <w:szCs w:val="12"/>
              </w:rPr>
            </w:pPr>
            <w:r>
              <w:rPr>
                <w:rFonts w:ascii="Arial" w:hAnsi="Arial"/>
                <w:sz w:val="12"/>
                <w:szCs w:val="12"/>
              </w:rPr>
              <w:t>Renedo de la Vega</w:t>
            </w:r>
          </w:p>
        </w:tc>
        <w:tc>
          <w:tcPr>
            <w:tcW w:w="2268" w:type="dxa"/>
            <w:tcBorders>
              <w:right w:val="single" w:sz="4" w:space="0" w:color="auto"/>
            </w:tcBorders>
            <w:shd w:val="clear" w:color="auto" w:fill="D9D9D9"/>
            <w:hideMark/>
          </w:tcPr>
          <w:p w14:paraId="217BFA29" w14:textId="77777777" w:rsidR="002A4DDF" w:rsidRPr="00937C8B" w:rsidRDefault="002A4DDF" w:rsidP="009110ED">
            <w:pPr>
              <w:rPr>
                <w:rFonts w:ascii="Arial" w:hAnsi="Arial" w:cs="Arial"/>
                <w:sz w:val="12"/>
                <w:szCs w:val="12"/>
              </w:rPr>
            </w:pPr>
          </w:p>
        </w:tc>
      </w:tr>
      <w:tr w:rsidR="002A4DDF" w:rsidRPr="00937C8B" w14:paraId="267BE737" w14:textId="77777777" w:rsidTr="00935676">
        <w:trPr>
          <w:cantSplit/>
        </w:trPr>
        <w:tc>
          <w:tcPr>
            <w:tcW w:w="1696" w:type="dxa"/>
            <w:tcBorders>
              <w:left w:val="single" w:sz="4" w:space="0" w:color="auto"/>
            </w:tcBorders>
            <w:shd w:val="clear" w:color="auto" w:fill="auto"/>
          </w:tcPr>
          <w:p w14:paraId="155FCB03" w14:textId="77777777" w:rsidR="002A4DDF" w:rsidRPr="00937C8B" w:rsidRDefault="002A4DDF" w:rsidP="009110ED">
            <w:pPr>
              <w:rPr>
                <w:rFonts w:ascii="Arial" w:hAnsi="Arial" w:cs="Arial"/>
                <w:sz w:val="12"/>
                <w:szCs w:val="12"/>
              </w:rPr>
            </w:pPr>
          </w:p>
        </w:tc>
        <w:tc>
          <w:tcPr>
            <w:tcW w:w="1843" w:type="dxa"/>
            <w:shd w:val="clear" w:color="auto" w:fill="auto"/>
          </w:tcPr>
          <w:p w14:paraId="16FC0018" w14:textId="77777777" w:rsidR="002A4DDF" w:rsidRPr="00937C8B" w:rsidRDefault="002A4DDF" w:rsidP="009110ED">
            <w:pPr>
              <w:rPr>
                <w:rFonts w:ascii="Arial" w:hAnsi="Arial" w:cs="Arial"/>
                <w:sz w:val="12"/>
                <w:szCs w:val="12"/>
              </w:rPr>
            </w:pPr>
          </w:p>
        </w:tc>
        <w:tc>
          <w:tcPr>
            <w:tcW w:w="2268" w:type="dxa"/>
            <w:shd w:val="clear" w:color="auto" w:fill="F2F2F2"/>
            <w:hideMark/>
          </w:tcPr>
          <w:p w14:paraId="5C9C4F91" w14:textId="77777777" w:rsidR="002A4DDF" w:rsidRPr="00937C8B" w:rsidRDefault="002A4DDF" w:rsidP="009110ED">
            <w:pPr>
              <w:rPr>
                <w:rFonts w:ascii="Arial" w:hAnsi="Arial" w:cs="Arial"/>
                <w:sz w:val="12"/>
                <w:szCs w:val="12"/>
              </w:rPr>
            </w:pPr>
            <w:r>
              <w:rPr>
                <w:rFonts w:ascii="Arial" w:hAnsi="Arial"/>
                <w:sz w:val="12"/>
                <w:szCs w:val="12"/>
              </w:rPr>
              <w:t>Revenga de Campos</w:t>
            </w:r>
          </w:p>
        </w:tc>
        <w:tc>
          <w:tcPr>
            <w:tcW w:w="2268" w:type="dxa"/>
            <w:tcBorders>
              <w:right w:val="single" w:sz="4" w:space="0" w:color="auto"/>
            </w:tcBorders>
            <w:shd w:val="clear" w:color="auto" w:fill="D9D9D9"/>
            <w:hideMark/>
          </w:tcPr>
          <w:p w14:paraId="73A54603" w14:textId="77777777" w:rsidR="002A4DDF" w:rsidRPr="00937C8B" w:rsidRDefault="002A4DDF" w:rsidP="009110ED">
            <w:pPr>
              <w:rPr>
                <w:rFonts w:ascii="Arial" w:hAnsi="Arial" w:cs="Arial"/>
                <w:sz w:val="12"/>
                <w:szCs w:val="12"/>
              </w:rPr>
            </w:pPr>
          </w:p>
        </w:tc>
      </w:tr>
      <w:tr w:rsidR="002A4DDF" w:rsidRPr="00937C8B" w14:paraId="64D5C3B7" w14:textId="77777777" w:rsidTr="00935676">
        <w:trPr>
          <w:cantSplit/>
        </w:trPr>
        <w:tc>
          <w:tcPr>
            <w:tcW w:w="1696" w:type="dxa"/>
            <w:tcBorders>
              <w:left w:val="single" w:sz="4" w:space="0" w:color="auto"/>
            </w:tcBorders>
            <w:shd w:val="clear" w:color="auto" w:fill="auto"/>
          </w:tcPr>
          <w:p w14:paraId="7A61E1D9" w14:textId="77777777" w:rsidR="002A4DDF" w:rsidRPr="00937C8B" w:rsidRDefault="002A4DDF" w:rsidP="009110ED">
            <w:pPr>
              <w:rPr>
                <w:rFonts w:ascii="Arial" w:hAnsi="Arial" w:cs="Arial"/>
                <w:sz w:val="12"/>
                <w:szCs w:val="12"/>
              </w:rPr>
            </w:pPr>
          </w:p>
        </w:tc>
        <w:tc>
          <w:tcPr>
            <w:tcW w:w="1843" w:type="dxa"/>
            <w:shd w:val="clear" w:color="auto" w:fill="auto"/>
          </w:tcPr>
          <w:p w14:paraId="18223CDE" w14:textId="77777777" w:rsidR="002A4DDF" w:rsidRPr="00937C8B" w:rsidRDefault="002A4DDF" w:rsidP="009110ED">
            <w:pPr>
              <w:rPr>
                <w:rFonts w:ascii="Arial" w:hAnsi="Arial" w:cs="Arial"/>
                <w:sz w:val="12"/>
                <w:szCs w:val="12"/>
              </w:rPr>
            </w:pPr>
          </w:p>
        </w:tc>
        <w:tc>
          <w:tcPr>
            <w:tcW w:w="2268" w:type="dxa"/>
            <w:shd w:val="clear" w:color="auto" w:fill="F2F2F2"/>
            <w:hideMark/>
          </w:tcPr>
          <w:p w14:paraId="7485CE03" w14:textId="77777777" w:rsidR="002A4DDF" w:rsidRPr="00937C8B" w:rsidRDefault="002A4DDF" w:rsidP="009110ED">
            <w:pPr>
              <w:rPr>
                <w:rFonts w:ascii="Arial" w:hAnsi="Arial" w:cs="Arial"/>
                <w:sz w:val="12"/>
                <w:szCs w:val="12"/>
              </w:rPr>
            </w:pPr>
            <w:r>
              <w:rPr>
                <w:rFonts w:ascii="Arial" w:hAnsi="Arial"/>
                <w:sz w:val="12"/>
                <w:szCs w:val="12"/>
              </w:rPr>
              <w:t>Riberos de la Cueza</w:t>
            </w:r>
          </w:p>
        </w:tc>
        <w:tc>
          <w:tcPr>
            <w:tcW w:w="2268" w:type="dxa"/>
            <w:tcBorders>
              <w:right w:val="single" w:sz="4" w:space="0" w:color="auto"/>
            </w:tcBorders>
            <w:shd w:val="clear" w:color="auto" w:fill="D9D9D9"/>
            <w:hideMark/>
          </w:tcPr>
          <w:p w14:paraId="4C3D403A" w14:textId="77777777" w:rsidR="002A4DDF" w:rsidRPr="00937C8B" w:rsidRDefault="002A4DDF" w:rsidP="009110ED">
            <w:pPr>
              <w:rPr>
                <w:rFonts w:ascii="Arial" w:hAnsi="Arial" w:cs="Arial"/>
                <w:sz w:val="12"/>
                <w:szCs w:val="12"/>
              </w:rPr>
            </w:pPr>
          </w:p>
        </w:tc>
      </w:tr>
      <w:tr w:rsidR="002A4DDF" w:rsidRPr="00937C8B" w14:paraId="139A1D75" w14:textId="77777777" w:rsidTr="00935676">
        <w:trPr>
          <w:cantSplit/>
        </w:trPr>
        <w:tc>
          <w:tcPr>
            <w:tcW w:w="1696" w:type="dxa"/>
            <w:tcBorders>
              <w:left w:val="single" w:sz="4" w:space="0" w:color="auto"/>
            </w:tcBorders>
            <w:shd w:val="clear" w:color="auto" w:fill="auto"/>
          </w:tcPr>
          <w:p w14:paraId="77C22ABB" w14:textId="77777777" w:rsidR="002A4DDF" w:rsidRPr="00937C8B" w:rsidRDefault="002A4DDF" w:rsidP="009110ED">
            <w:pPr>
              <w:rPr>
                <w:rFonts w:ascii="Arial" w:hAnsi="Arial" w:cs="Arial"/>
                <w:sz w:val="12"/>
                <w:szCs w:val="12"/>
              </w:rPr>
            </w:pPr>
          </w:p>
        </w:tc>
        <w:tc>
          <w:tcPr>
            <w:tcW w:w="1843" w:type="dxa"/>
            <w:shd w:val="clear" w:color="auto" w:fill="auto"/>
          </w:tcPr>
          <w:p w14:paraId="6EEE2D4F" w14:textId="77777777" w:rsidR="002A4DDF" w:rsidRPr="00937C8B" w:rsidRDefault="002A4DDF" w:rsidP="009110ED">
            <w:pPr>
              <w:rPr>
                <w:rFonts w:ascii="Arial" w:hAnsi="Arial" w:cs="Arial"/>
                <w:sz w:val="12"/>
                <w:szCs w:val="12"/>
              </w:rPr>
            </w:pPr>
          </w:p>
        </w:tc>
        <w:tc>
          <w:tcPr>
            <w:tcW w:w="2268" w:type="dxa"/>
            <w:shd w:val="clear" w:color="auto" w:fill="F2F2F2"/>
            <w:hideMark/>
          </w:tcPr>
          <w:p w14:paraId="424D26C3" w14:textId="77777777" w:rsidR="002A4DDF" w:rsidRPr="00937C8B" w:rsidRDefault="002A4DDF" w:rsidP="009110ED">
            <w:pPr>
              <w:rPr>
                <w:rFonts w:ascii="Arial" w:hAnsi="Arial" w:cs="Arial"/>
                <w:sz w:val="12"/>
                <w:szCs w:val="12"/>
              </w:rPr>
            </w:pPr>
            <w:r>
              <w:rPr>
                <w:rFonts w:ascii="Arial" w:hAnsi="Arial"/>
                <w:sz w:val="12"/>
                <w:szCs w:val="12"/>
              </w:rPr>
              <w:t>Salinas de Pisuerga</w:t>
            </w:r>
          </w:p>
        </w:tc>
        <w:tc>
          <w:tcPr>
            <w:tcW w:w="2268" w:type="dxa"/>
            <w:tcBorders>
              <w:right w:val="single" w:sz="4" w:space="0" w:color="auto"/>
            </w:tcBorders>
            <w:shd w:val="clear" w:color="auto" w:fill="D9D9D9"/>
            <w:hideMark/>
          </w:tcPr>
          <w:p w14:paraId="24D4D272" w14:textId="77777777" w:rsidR="002A4DDF" w:rsidRPr="00937C8B" w:rsidRDefault="002A4DDF" w:rsidP="009110ED">
            <w:pPr>
              <w:rPr>
                <w:rFonts w:ascii="Arial" w:hAnsi="Arial" w:cs="Arial"/>
                <w:sz w:val="12"/>
                <w:szCs w:val="12"/>
              </w:rPr>
            </w:pPr>
          </w:p>
        </w:tc>
      </w:tr>
      <w:tr w:rsidR="002A4DDF" w:rsidRPr="00937C8B" w14:paraId="4429BBE4" w14:textId="77777777" w:rsidTr="00935676">
        <w:trPr>
          <w:cantSplit/>
        </w:trPr>
        <w:tc>
          <w:tcPr>
            <w:tcW w:w="1696" w:type="dxa"/>
            <w:tcBorders>
              <w:left w:val="single" w:sz="4" w:space="0" w:color="auto"/>
            </w:tcBorders>
            <w:shd w:val="clear" w:color="auto" w:fill="auto"/>
          </w:tcPr>
          <w:p w14:paraId="1A68D445" w14:textId="77777777" w:rsidR="002A4DDF" w:rsidRPr="00937C8B" w:rsidRDefault="002A4DDF" w:rsidP="009110ED">
            <w:pPr>
              <w:rPr>
                <w:rFonts w:ascii="Arial" w:hAnsi="Arial" w:cs="Arial"/>
                <w:sz w:val="12"/>
                <w:szCs w:val="12"/>
              </w:rPr>
            </w:pPr>
          </w:p>
        </w:tc>
        <w:tc>
          <w:tcPr>
            <w:tcW w:w="1843" w:type="dxa"/>
            <w:shd w:val="clear" w:color="auto" w:fill="auto"/>
          </w:tcPr>
          <w:p w14:paraId="42A40879" w14:textId="77777777" w:rsidR="002A4DDF" w:rsidRPr="00937C8B" w:rsidRDefault="002A4DDF" w:rsidP="009110ED">
            <w:pPr>
              <w:rPr>
                <w:rFonts w:ascii="Arial" w:hAnsi="Arial" w:cs="Arial"/>
                <w:sz w:val="12"/>
                <w:szCs w:val="12"/>
              </w:rPr>
            </w:pPr>
          </w:p>
        </w:tc>
        <w:tc>
          <w:tcPr>
            <w:tcW w:w="2268" w:type="dxa"/>
            <w:shd w:val="clear" w:color="auto" w:fill="F2F2F2"/>
            <w:hideMark/>
          </w:tcPr>
          <w:p w14:paraId="29E5E6A5" w14:textId="77777777" w:rsidR="002A4DDF" w:rsidRPr="00937C8B" w:rsidRDefault="002A4DDF" w:rsidP="009110ED">
            <w:pPr>
              <w:rPr>
                <w:rFonts w:ascii="Arial" w:hAnsi="Arial" w:cs="Arial"/>
                <w:sz w:val="12"/>
                <w:szCs w:val="12"/>
              </w:rPr>
            </w:pPr>
            <w:r>
              <w:rPr>
                <w:rFonts w:ascii="Arial" w:hAnsi="Arial"/>
                <w:sz w:val="12"/>
                <w:szCs w:val="12"/>
              </w:rPr>
              <w:t>San Mamés de Campos</w:t>
            </w:r>
          </w:p>
        </w:tc>
        <w:tc>
          <w:tcPr>
            <w:tcW w:w="2268" w:type="dxa"/>
            <w:tcBorders>
              <w:right w:val="single" w:sz="4" w:space="0" w:color="auto"/>
            </w:tcBorders>
            <w:shd w:val="clear" w:color="auto" w:fill="D9D9D9"/>
            <w:hideMark/>
          </w:tcPr>
          <w:p w14:paraId="73CE15DD" w14:textId="77777777" w:rsidR="002A4DDF" w:rsidRPr="00937C8B" w:rsidRDefault="002A4DDF" w:rsidP="009110ED">
            <w:pPr>
              <w:rPr>
                <w:rFonts w:ascii="Arial" w:hAnsi="Arial" w:cs="Arial"/>
                <w:sz w:val="12"/>
                <w:szCs w:val="12"/>
              </w:rPr>
            </w:pPr>
          </w:p>
        </w:tc>
      </w:tr>
      <w:tr w:rsidR="002A4DDF" w:rsidRPr="00937C8B" w14:paraId="780C5396" w14:textId="77777777" w:rsidTr="00935676">
        <w:trPr>
          <w:cantSplit/>
        </w:trPr>
        <w:tc>
          <w:tcPr>
            <w:tcW w:w="1696" w:type="dxa"/>
            <w:tcBorders>
              <w:left w:val="single" w:sz="4" w:space="0" w:color="auto"/>
            </w:tcBorders>
            <w:shd w:val="clear" w:color="auto" w:fill="auto"/>
          </w:tcPr>
          <w:p w14:paraId="1019F65E" w14:textId="77777777" w:rsidR="002A4DDF" w:rsidRPr="00937C8B" w:rsidRDefault="002A4DDF" w:rsidP="009110ED">
            <w:pPr>
              <w:rPr>
                <w:rFonts w:ascii="Arial" w:hAnsi="Arial" w:cs="Arial"/>
                <w:sz w:val="12"/>
                <w:szCs w:val="12"/>
              </w:rPr>
            </w:pPr>
          </w:p>
        </w:tc>
        <w:tc>
          <w:tcPr>
            <w:tcW w:w="1843" w:type="dxa"/>
            <w:shd w:val="clear" w:color="auto" w:fill="auto"/>
          </w:tcPr>
          <w:p w14:paraId="4F0D3423" w14:textId="77777777" w:rsidR="002A4DDF" w:rsidRPr="00937C8B" w:rsidRDefault="002A4DDF" w:rsidP="009110ED">
            <w:pPr>
              <w:rPr>
                <w:rFonts w:ascii="Arial" w:hAnsi="Arial" w:cs="Arial"/>
                <w:sz w:val="12"/>
                <w:szCs w:val="12"/>
              </w:rPr>
            </w:pPr>
          </w:p>
        </w:tc>
        <w:tc>
          <w:tcPr>
            <w:tcW w:w="2268" w:type="dxa"/>
            <w:shd w:val="clear" w:color="auto" w:fill="F2F2F2"/>
            <w:hideMark/>
          </w:tcPr>
          <w:p w14:paraId="48960133" w14:textId="77777777" w:rsidR="002A4DDF" w:rsidRPr="00937C8B" w:rsidRDefault="002A4DDF" w:rsidP="009110ED">
            <w:pPr>
              <w:rPr>
                <w:rFonts w:ascii="Arial" w:hAnsi="Arial" w:cs="Arial"/>
                <w:sz w:val="12"/>
                <w:szCs w:val="12"/>
              </w:rPr>
            </w:pPr>
            <w:r>
              <w:rPr>
                <w:rFonts w:ascii="Arial" w:hAnsi="Arial"/>
                <w:sz w:val="12"/>
                <w:szCs w:val="12"/>
              </w:rPr>
              <w:t>San Román de la Cuba</w:t>
            </w:r>
          </w:p>
        </w:tc>
        <w:tc>
          <w:tcPr>
            <w:tcW w:w="2268" w:type="dxa"/>
            <w:tcBorders>
              <w:right w:val="single" w:sz="4" w:space="0" w:color="auto"/>
            </w:tcBorders>
            <w:shd w:val="clear" w:color="auto" w:fill="D9D9D9"/>
            <w:hideMark/>
          </w:tcPr>
          <w:p w14:paraId="3DB8DD3D" w14:textId="77777777" w:rsidR="002A4DDF" w:rsidRPr="00937C8B" w:rsidRDefault="002A4DDF" w:rsidP="009110ED">
            <w:pPr>
              <w:rPr>
                <w:rFonts w:ascii="Arial" w:hAnsi="Arial" w:cs="Arial"/>
                <w:sz w:val="12"/>
                <w:szCs w:val="12"/>
              </w:rPr>
            </w:pPr>
          </w:p>
        </w:tc>
      </w:tr>
      <w:tr w:rsidR="002A4DDF" w:rsidRPr="00937C8B" w14:paraId="5097F882" w14:textId="77777777" w:rsidTr="00935676">
        <w:trPr>
          <w:cantSplit/>
        </w:trPr>
        <w:tc>
          <w:tcPr>
            <w:tcW w:w="1696" w:type="dxa"/>
            <w:tcBorders>
              <w:left w:val="single" w:sz="4" w:space="0" w:color="auto"/>
            </w:tcBorders>
            <w:shd w:val="clear" w:color="auto" w:fill="auto"/>
          </w:tcPr>
          <w:p w14:paraId="0BEF86F3" w14:textId="77777777" w:rsidR="002A4DDF" w:rsidRPr="00937C8B" w:rsidRDefault="002A4DDF" w:rsidP="009110ED">
            <w:pPr>
              <w:rPr>
                <w:rFonts w:ascii="Arial" w:hAnsi="Arial" w:cs="Arial"/>
                <w:sz w:val="12"/>
                <w:szCs w:val="12"/>
              </w:rPr>
            </w:pPr>
          </w:p>
        </w:tc>
        <w:tc>
          <w:tcPr>
            <w:tcW w:w="1843" w:type="dxa"/>
            <w:shd w:val="clear" w:color="auto" w:fill="auto"/>
          </w:tcPr>
          <w:p w14:paraId="7F18C9A7" w14:textId="77777777" w:rsidR="002A4DDF" w:rsidRPr="00937C8B" w:rsidRDefault="002A4DDF" w:rsidP="009110ED">
            <w:pPr>
              <w:rPr>
                <w:rFonts w:ascii="Arial" w:hAnsi="Arial" w:cs="Arial"/>
                <w:sz w:val="12"/>
                <w:szCs w:val="12"/>
              </w:rPr>
            </w:pPr>
          </w:p>
        </w:tc>
        <w:tc>
          <w:tcPr>
            <w:tcW w:w="2268" w:type="dxa"/>
            <w:shd w:val="clear" w:color="auto" w:fill="F2F2F2"/>
            <w:hideMark/>
          </w:tcPr>
          <w:p w14:paraId="74FD0067" w14:textId="77777777" w:rsidR="002A4DDF" w:rsidRPr="00937C8B" w:rsidRDefault="002A4DDF" w:rsidP="009110ED">
            <w:pPr>
              <w:rPr>
                <w:rFonts w:ascii="Arial" w:hAnsi="Arial" w:cs="Arial"/>
                <w:sz w:val="12"/>
                <w:szCs w:val="12"/>
              </w:rPr>
            </w:pPr>
            <w:r>
              <w:rPr>
                <w:rFonts w:ascii="Arial" w:hAnsi="Arial"/>
                <w:sz w:val="12"/>
                <w:szCs w:val="12"/>
              </w:rPr>
              <w:t>Triollo</w:t>
            </w:r>
          </w:p>
        </w:tc>
        <w:tc>
          <w:tcPr>
            <w:tcW w:w="2268" w:type="dxa"/>
            <w:tcBorders>
              <w:right w:val="single" w:sz="4" w:space="0" w:color="auto"/>
            </w:tcBorders>
            <w:shd w:val="clear" w:color="auto" w:fill="D9D9D9"/>
            <w:hideMark/>
          </w:tcPr>
          <w:p w14:paraId="29056F9F" w14:textId="77777777" w:rsidR="002A4DDF" w:rsidRPr="00937C8B" w:rsidRDefault="002A4DDF" w:rsidP="009110ED">
            <w:pPr>
              <w:rPr>
                <w:rFonts w:ascii="Arial" w:hAnsi="Arial" w:cs="Arial"/>
                <w:sz w:val="12"/>
                <w:szCs w:val="12"/>
              </w:rPr>
            </w:pPr>
          </w:p>
        </w:tc>
      </w:tr>
      <w:tr w:rsidR="002A4DDF" w:rsidRPr="00937C8B" w14:paraId="0053CB93" w14:textId="77777777" w:rsidTr="00935676">
        <w:trPr>
          <w:cantSplit/>
        </w:trPr>
        <w:tc>
          <w:tcPr>
            <w:tcW w:w="1696" w:type="dxa"/>
            <w:tcBorders>
              <w:left w:val="single" w:sz="4" w:space="0" w:color="auto"/>
            </w:tcBorders>
            <w:shd w:val="clear" w:color="auto" w:fill="auto"/>
          </w:tcPr>
          <w:p w14:paraId="71257395" w14:textId="77777777" w:rsidR="002A4DDF" w:rsidRPr="00937C8B" w:rsidRDefault="002A4DDF" w:rsidP="009110ED">
            <w:pPr>
              <w:rPr>
                <w:rFonts w:ascii="Arial" w:hAnsi="Arial" w:cs="Arial"/>
                <w:sz w:val="12"/>
                <w:szCs w:val="12"/>
              </w:rPr>
            </w:pPr>
          </w:p>
        </w:tc>
        <w:tc>
          <w:tcPr>
            <w:tcW w:w="1843" w:type="dxa"/>
            <w:shd w:val="clear" w:color="auto" w:fill="auto"/>
          </w:tcPr>
          <w:p w14:paraId="44D00B99" w14:textId="77777777" w:rsidR="002A4DDF" w:rsidRPr="00937C8B" w:rsidRDefault="002A4DDF" w:rsidP="009110ED">
            <w:pPr>
              <w:rPr>
                <w:rFonts w:ascii="Arial" w:hAnsi="Arial" w:cs="Arial"/>
                <w:sz w:val="12"/>
                <w:szCs w:val="12"/>
              </w:rPr>
            </w:pPr>
          </w:p>
        </w:tc>
        <w:tc>
          <w:tcPr>
            <w:tcW w:w="2268" w:type="dxa"/>
            <w:shd w:val="clear" w:color="auto" w:fill="F2F2F2"/>
            <w:hideMark/>
          </w:tcPr>
          <w:p w14:paraId="7C59B8C8" w14:textId="77777777" w:rsidR="002A4DDF" w:rsidRPr="00937C8B" w:rsidRDefault="002A4DDF" w:rsidP="009110ED">
            <w:pPr>
              <w:rPr>
                <w:rFonts w:ascii="Arial" w:hAnsi="Arial" w:cs="Arial"/>
                <w:sz w:val="12"/>
                <w:szCs w:val="12"/>
              </w:rPr>
            </w:pPr>
            <w:r>
              <w:rPr>
                <w:rFonts w:ascii="Arial" w:hAnsi="Arial"/>
                <w:sz w:val="12"/>
                <w:szCs w:val="12"/>
              </w:rPr>
              <w:t>Valle del Retortillo</w:t>
            </w:r>
          </w:p>
        </w:tc>
        <w:tc>
          <w:tcPr>
            <w:tcW w:w="2268" w:type="dxa"/>
            <w:tcBorders>
              <w:right w:val="single" w:sz="4" w:space="0" w:color="auto"/>
            </w:tcBorders>
            <w:shd w:val="clear" w:color="auto" w:fill="D9D9D9"/>
            <w:hideMark/>
          </w:tcPr>
          <w:p w14:paraId="1912C672" w14:textId="77777777" w:rsidR="002A4DDF" w:rsidRPr="00937C8B" w:rsidRDefault="002A4DDF" w:rsidP="009110ED">
            <w:pPr>
              <w:rPr>
                <w:rFonts w:ascii="Arial" w:hAnsi="Arial" w:cs="Arial"/>
                <w:sz w:val="12"/>
                <w:szCs w:val="12"/>
              </w:rPr>
            </w:pPr>
          </w:p>
        </w:tc>
      </w:tr>
      <w:tr w:rsidR="002A4DDF" w:rsidRPr="00937C8B" w14:paraId="1B334345" w14:textId="77777777" w:rsidTr="00935676">
        <w:trPr>
          <w:cantSplit/>
        </w:trPr>
        <w:tc>
          <w:tcPr>
            <w:tcW w:w="1696" w:type="dxa"/>
            <w:tcBorders>
              <w:left w:val="single" w:sz="4" w:space="0" w:color="auto"/>
            </w:tcBorders>
            <w:shd w:val="clear" w:color="auto" w:fill="auto"/>
          </w:tcPr>
          <w:p w14:paraId="29B576CF" w14:textId="77777777" w:rsidR="002A4DDF" w:rsidRPr="00937C8B" w:rsidRDefault="002A4DDF" w:rsidP="009110ED">
            <w:pPr>
              <w:rPr>
                <w:rFonts w:ascii="Arial" w:hAnsi="Arial" w:cs="Arial"/>
                <w:sz w:val="12"/>
                <w:szCs w:val="12"/>
              </w:rPr>
            </w:pPr>
          </w:p>
        </w:tc>
        <w:tc>
          <w:tcPr>
            <w:tcW w:w="1843" w:type="dxa"/>
            <w:shd w:val="clear" w:color="auto" w:fill="auto"/>
          </w:tcPr>
          <w:p w14:paraId="319BA3B7" w14:textId="77777777" w:rsidR="002A4DDF" w:rsidRPr="00937C8B" w:rsidRDefault="002A4DDF" w:rsidP="009110ED">
            <w:pPr>
              <w:rPr>
                <w:rFonts w:ascii="Arial" w:hAnsi="Arial" w:cs="Arial"/>
                <w:sz w:val="12"/>
                <w:szCs w:val="12"/>
              </w:rPr>
            </w:pPr>
          </w:p>
        </w:tc>
        <w:tc>
          <w:tcPr>
            <w:tcW w:w="2268" w:type="dxa"/>
            <w:shd w:val="clear" w:color="auto" w:fill="F2F2F2"/>
            <w:hideMark/>
          </w:tcPr>
          <w:p w14:paraId="3AE47467" w14:textId="77777777" w:rsidR="002A4DDF" w:rsidRPr="00937C8B" w:rsidRDefault="002A4DDF" w:rsidP="009110ED">
            <w:pPr>
              <w:rPr>
                <w:rFonts w:ascii="Arial" w:hAnsi="Arial" w:cs="Arial"/>
                <w:sz w:val="12"/>
                <w:szCs w:val="12"/>
              </w:rPr>
            </w:pPr>
            <w:r>
              <w:rPr>
                <w:rFonts w:ascii="Arial" w:hAnsi="Arial"/>
                <w:sz w:val="12"/>
                <w:szCs w:val="12"/>
              </w:rPr>
              <w:t>Velilla del Río Carrión</w:t>
            </w:r>
          </w:p>
        </w:tc>
        <w:tc>
          <w:tcPr>
            <w:tcW w:w="2268" w:type="dxa"/>
            <w:tcBorders>
              <w:right w:val="single" w:sz="4" w:space="0" w:color="auto"/>
            </w:tcBorders>
            <w:shd w:val="clear" w:color="auto" w:fill="D9D9D9"/>
            <w:hideMark/>
          </w:tcPr>
          <w:p w14:paraId="695273D9" w14:textId="77777777" w:rsidR="002A4DDF" w:rsidRPr="00937C8B" w:rsidRDefault="002A4DDF" w:rsidP="009110ED">
            <w:pPr>
              <w:rPr>
                <w:rFonts w:ascii="Arial" w:hAnsi="Arial" w:cs="Arial"/>
                <w:sz w:val="12"/>
                <w:szCs w:val="12"/>
              </w:rPr>
            </w:pPr>
          </w:p>
        </w:tc>
      </w:tr>
      <w:tr w:rsidR="002A4DDF" w:rsidRPr="00937C8B" w14:paraId="18116149" w14:textId="77777777" w:rsidTr="00935676">
        <w:trPr>
          <w:cantSplit/>
        </w:trPr>
        <w:tc>
          <w:tcPr>
            <w:tcW w:w="1696" w:type="dxa"/>
            <w:tcBorders>
              <w:left w:val="single" w:sz="4" w:space="0" w:color="auto"/>
            </w:tcBorders>
            <w:shd w:val="clear" w:color="auto" w:fill="auto"/>
          </w:tcPr>
          <w:p w14:paraId="18A87613" w14:textId="77777777" w:rsidR="002A4DDF" w:rsidRPr="00937C8B" w:rsidRDefault="002A4DDF" w:rsidP="009110ED">
            <w:pPr>
              <w:rPr>
                <w:rFonts w:ascii="Arial" w:hAnsi="Arial" w:cs="Arial"/>
                <w:sz w:val="12"/>
                <w:szCs w:val="12"/>
              </w:rPr>
            </w:pPr>
          </w:p>
        </w:tc>
        <w:tc>
          <w:tcPr>
            <w:tcW w:w="1843" w:type="dxa"/>
            <w:shd w:val="clear" w:color="auto" w:fill="auto"/>
          </w:tcPr>
          <w:p w14:paraId="11C67FBC" w14:textId="77777777" w:rsidR="002A4DDF" w:rsidRPr="00937C8B" w:rsidRDefault="002A4DDF" w:rsidP="009110ED">
            <w:pPr>
              <w:rPr>
                <w:rFonts w:ascii="Arial" w:hAnsi="Arial" w:cs="Arial"/>
                <w:sz w:val="12"/>
                <w:szCs w:val="12"/>
              </w:rPr>
            </w:pPr>
          </w:p>
        </w:tc>
        <w:tc>
          <w:tcPr>
            <w:tcW w:w="2268" w:type="dxa"/>
            <w:shd w:val="clear" w:color="auto" w:fill="F2F2F2"/>
            <w:hideMark/>
          </w:tcPr>
          <w:p w14:paraId="071F180E" w14:textId="77777777" w:rsidR="002A4DDF" w:rsidRPr="00937C8B" w:rsidRDefault="002A4DDF" w:rsidP="009110ED">
            <w:pPr>
              <w:rPr>
                <w:rFonts w:ascii="Arial" w:hAnsi="Arial" w:cs="Arial"/>
                <w:sz w:val="12"/>
                <w:szCs w:val="12"/>
              </w:rPr>
            </w:pPr>
            <w:r>
              <w:rPr>
                <w:rFonts w:ascii="Arial" w:hAnsi="Arial"/>
                <w:sz w:val="12"/>
                <w:szCs w:val="12"/>
              </w:rPr>
              <w:t>Villacidaler</w:t>
            </w:r>
          </w:p>
        </w:tc>
        <w:tc>
          <w:tcPr>
            <w:tcW w:w="2268" w:type="dxa"/>
            <w:tcBorders>
              <w:right w:val="single" w:sz="4" w:space="0" w:color="auto"/>
            </w:tcBorders>
            <w:shd w:val="clear" w:color="auto" w:fill="D9D9D9"/>
            <w:hideMark/>
          </w:tcPr>
          <w:p w14:paraId="4EEA92DF" w14:textId="77777777" w:rsidR="002A4DDF" w:rsidRPr="00937C8B" w:rsidRDefault="002A4DDF" w:rsidP="009110ED">
            <w:pPr>
              <w:rPr>
                <w:rFonts w:ascii="Arial" w:hAnsi="Arial" w:cs="Arial"/>
                <w:sz w:val="12"/>
                <w:szCs w:val="12"/>
              </w:rPr>
            </w:pPr>
          </w:p>
        </w:tc>
      </w:tr>
      <w:tr w:rsidR="002A4DDF" w:rsidRPr="00937C8B" w14:paraId="4E00C1B3" w14:textId="77777777" w:rsidTr="00935676">
        <w:trPr>
          <w:cantSplit/>
        </w:trPr>
        <w:tc>
          <w:tcPr>
            <w:tcW w:w="1696" w:type="dxa"/>
            <w:tcBorders>
              <w:left w:val="single" w:sz="4" w:space="0" w:color="auto"/>
            </w:tcBorders>
            <w:shd w:val="clear" w:color="auto" w:fill="auto"/>
          </w:tcPr>
          <w:p w14:paraId="6DCDF30D" w14:textId="77777777" w:rsidR="002A4DDF" w:rsidRPr="00937C8B" w:rsidRDefault="002A4DDF" w:rsidP="009110ED">
            <w:pPr>
              <w:rPr>
                <w:rFonts w:ascii="Arial" w:hAnsi="Arial" w:cs="Arial"/>
                <w:sz w:val="12"/>
                <w:szCs w:val="12"/>
              </w:rPr>
            </w:pPr>
          </w:p>
        </w:tc>
        <w:tc>
          <w:tcPr>
            <w:tcW w:w="1843" w:type="dxa"/>
            <w:shd w:val="clear" w:color="auto" w:fill="auto"/>
          </w:tcPr>
          <w:p w14:paraId="10F22925" w14:textId="77777777" w:rsidR="002A4DDF" w:rsidRPr="00937C8B" w:rsidRDefault="002A4DDF" w:rsidP="009110ED">
            <w:pPr>
              <w:rPr>
                <w:rFonts w:ascii="Arial" w:hAnsi="Arial" w:cs="Arial"/>
                <w:sz w:val="12"/>
                <w:szCs w:val="12"/>
              </w:rPr>
            </w:pPr>
          </w:p>
        </w:tc>
        <w:tc>
          <w:tcPr>
            <w:tcW w:w="2268" w:type="dxa"/>
            <w:shd w:val="clear" w:color="auto" w:fill="F2F2F2"/>
            <w:hideMark/>
          </w:tcPr>
          <w:p w14:paraId="352127D0" w14:textId="77777777" w:rsidR="002A4DDF" w:rsidRPr="00937C8B" w:rsidRDefault="002A4DDF" w:rsidP="009110ED">
            <w:pPr>
              <w:rPr>
                <w:rFonts w:ascii="Arial" w:hAnsi="Arial" w:cs="Arial"/>
                <w:sz w:val="12"/>
                <w:szCs w:val="12"/>
              </w:rPr>
            </w:pPr>
            <w:r>
              <w:rPr>
                <w:rFonts w:ascii="Arial" w:hAnsi="Arial"/>
                <w:sz w:val="12"/>
                <w:szCs w:val="12"/>
              </w:rPr>
              <w:t>Villada</w:t>
            </w:r>
          </w:p>
        </w:tc>
        <w:tc>
          <w:tcPr>
            <w:tcW w:w="2268" w:type="dxa"/>
            <w:tcBorders>
              <w:right w:val="single" w:sz="4" w:space="0" w:color="auto"/>
            </w:tcBorders>
            <w:shd w:val="clear" w:color="auto" w:fill="D9D9D9"/>
            <w:hideMark/>
          </w:tcPr>
          <w:p w14:paraId="54013951" w14:textId="77777777" w:rsidR="002A4DDF" w:rsidRPr="00937C8B" w:rsidRDefault="002A4DDF" w:rsidP="009110ED">
            <w:pPr>
              <w:rPr>
                <w:rFonts w:ascii="Arial" w:hAnsi="Arial" w:cs="Arial"/>
                <w:sz w:val="12"/>
                <w:szCs w:val="12"/>
              </w:rPr>
            </w:pPr>
          </w:p>
        </w:tc>
      </w:tr>
      <w:tr w:rsidR="002A4DDF" w:rsidRPr="00937C8B" w14:paraId="476CC4AF" w14:textId="77777777" w:rsidTr="00935676">
        <w:trPr>
          <w:cantSplit/>
        </w:trPr>
        <w:tc>
          <w:tcPr>
            <w:tcW w:w="1696" w:type="dxa"/>
            <w:tcBorders>
              <w:left w:val="single" w:sz="4" w:space="0" w:color="auto"/>
            </w:tcBorders>
            <w:shd w:val="clear" w:color="auto" w:fill="auto"/>
          </w:tcPr>
          <w:p w14:paraId="0E13D1BD" w14:textId="77777777" w:rsidR="002A4DDF" w:rsidRPr="00937C8B" w:rsidRDefault="002A4DDF" w:rsidP="009110ED">
            <w:pPr>
              <w:rPr>
                <w:rFonts w:ascii="Arial" w:hAnsi="Arial" w:cs="Arial"/>
                <w:sz w:val="12"/>
                <w:szCs w:val="12"/>
              </w:rPr>
            </w:pPr>
          </w:p>
        </w:tc>
        <w:tc>
          <w:tcPr>
            <w:tcW w:w="1843" w:type="dxa"/>
            <w:shd w:val="clear" w:color="auto" w:fill="auto"/>
          </w:tcPr>
          <w:p w14:paraId="2961EDBE" w14:textId="77777777" w:rsidR="002A4DDF" w:rsidRPr="00937C8B" w:rsidRDefault="002A4DDF" w:rsidP="009110ED">
            <w:pPr>
              <w:rPr>
                <w:rFonts w:ascii="Arial" w:hAnsi="Arial" w:cs="Arial"/>
                <w:sz w:val="12"/>
                <w:szCs w:val="12"/>
              </w:rPr>
            </w:pPr>
          </w:p>
        </w:tc>
        <w:tc>
          <w:tcPr>
            <w:tcW w:w="2268" w:type="dxa"/>
            <w:shd w:val="clear" w:color="auto" w:fill="F2F2F2"/>
            <w:hideMark/>
          </w:tcPr>
          <w:p w14:paraId="2CEA60B3" w14:textId="77777777" w:rsidR="002A4DDF" w:rsidRPr="00937C8B" w:rsidRDefault="002A4DDF" w:rsidP="009110ED">
            <w:pPr>
              <w:rPr>
                <w:rFonts w:ascii="Arial" w:hAnsi="Arial" w:cs="Arial"/>
                <w:sz w:val="12"/>
                <w:szCs w:val="12"/>
              </w:rPr>
            </w:pPr>
            <w:r>
              <w:rPr>
                <w:rFonts w:ascii="Arial" w:hAnsi="Arial"/>
                <w:sz w:val="12"/>
                <w:szCs w:val="12"/>
              </w:rPr>
              <w:t>Villalcázar de Sirga</w:t>
            </w:r>
          </w:p>
        </w:tc>
        <w:tc>
          <w:tcPr>
            <w:tcW w:w="2268" w:type="dxa"/>
            <w:tcBorders>
              <w:right w:val="single" w:sz="4" w:space="0" w:color="auto"/>
            </w:tcBorders>
            <w:shd w:val="clear" w:color="auto" w:fill="D9D9D9"/>
            <w:hideMark/>
          </w:tcPr>
          <w:p w14:paraId="368C823A" w14:textId="77777777" w:rsidR="002A4DDF" w:rsidRPr="00937C8B" w:rsidRDefault="002A4DDF" w:rsidP="009110ED">
            <w:pPr>
              <w:rPr>
                <w:rFonts w:ascii="Arial" w:hAnsi="Arial" w:cs="Arial"/>
                <w:sz w:val="12"/>
                <w:szCs w:val="12"/>
              </w:rPr>
            </w:pPr>
          </w:p>
        </w:tc>
      </w:tr>
      <w:tr w:rsidR="002A4DDF" w:rsidRPr="00937C8B" w14:paraId="03D493FF" w14:textId="77777777" w:rsidTr="00935676">
        <w:trPr>
          <w:cantSplit/>
        </w:trPr>
        <w:tc>
          <w:tcPr>
            <w:tcW w:w="1696" w:type="dxa"/>
            <w:tcBorders>
              <w:left w:val="single" w:sz="4" w:space="0" w:color="auto"/>
            </w:tcBorders>
            <w:shd w:val="clear" w:color="auto" w:fill="auto"/>
          </w:tcPr>
          <w:p w14:paraId="32C250B5" w14:textId="77777777" w:rsidR="002A4DDF" w:rsidRPr="00937C8B" w:rsidRDefault="002A4DDF" w:rsidP="009110ED">
            <w:pPr>
              <w:rPr>
                <w:rFonts w:ascii="Arial" w:hAnsi="Arial" w:cs="Arial"/>
                <w:sz w:val="12"/>
                <w:szCs w:val="12"/>
              </w:rPr>
            </w:pPr>
          </w:p>
        </w:tc>
        <w:tc>
          <w:tcPr>
            <w:tcW w:w="1843" w:type="dxa"/>
            <w:shd w:val="clear" w:color="auto" w:fill="auto"/>
          </w:tcPr>
          <w:p w14:paraId="639EEF24" w14:textId="77777777" w:rsidR="002A4DDF" w:rsidRPr="00937C8B" w:rsidRDefault="002A4DDF" w:rsidP="009110ED">
            <w:pPr>
              <w:rPr>
                <w:rFonts w:ascii="Arial" w:hAnsi="Arial" w:cs="Arial"/>
                <w:sz w:val="12"/>
                <w:szCs w:val="12"/>
              </w:rPr>
            </w:pPr>
          </w:p>
        </w:tc>
        <w:tc>
          <w:tcPr>
            <w:tcW w:w="2268" w:type="dxa"/>
            <w:shd w:val="clear" w:color="auto" w:fill="F2F2F2"/>
            <w:hideMark/>
          </w:tcPr>
          <w:p w14:paraId="63492B8A" w14:textId="77777777" w:rsidR="002A4DDF" w:rsidRPr="00937C8B" w:rsidRDefault="002A4DDF" w:rsidP="009110ED">
            <w:pPr>
              <w:rPr>
                <w:rFonts w:ascii="Arial" w:hAnsi="Arial" w:cs="Arial"/>
                <w:sz w:val="12"/>
                <w:szCs w:val="12"/>
              </w:rPr>
            </w:pPr>
            <w:r>
              <w:rPr>
                <w:rFonts w:ascii="Arial" w:hAnsi="Arial"/>
                <w:sz w:val="12"/>
                <w:szCs w:val="12"/>
              </w:rPr>
              <w:t>Villalcón</w:t>
            </w:r>
          </w:p>
        </w:tc>
        <w:tc>
          <w:tcPr>
            <w:tcW w:w="2268" w:type="dxa"/>
            <w:tcBorders>
              <w:right w:val="single" w:sz="4" w:space="0" w:color="auto"/>
            </w:tcBorders>
            <w:shd w:val="clear" w:color="auto" w:fill="D9D9D9"/>
            <w:hideMark/>
          </w:tcPr>
          <w:p w14:paraId="091849D1" w14:textId="77777777" w:rsidR="002A4DDF" w:rsidRPr="00937C8B" w:rsidRDefault="002A4DDF" w:rsidP="009110ED">
            <w:pPr>
              <w:rPr>
                <w:rFonts w:ascii="Arial" w:hAnsi="Arial" w:cs="Arial"/>
                <w:sz w:val="12"/>
                <w:szCs w:val="12"/>
              </w:rPr>
            </w:pPr>
          </w:p>
        </w:tc>
      </w:tr>
      <w:tr w:rsidR="002A4DDF" w:rsidRPr="00937C8B" w14:paraId="6AE72E62" w14:textId="77777777" w:rsidTr="00935676">
        <w:trPr>
          <w:cantSplit/>
        </w:trPr>
        <w:tc>
          <w:tcPr>
            <w:tcW w:w="1696" w:type="dxa"/>
            <w:tcBorders>
              <w:left w:val="single" w:sz="4" w:space="0" w:color="auto"/>
            </w:tcBorders>
            <w:shd w:val="clear" w:color="auto" w:fill="auto"/>
          </w:tcPr>
          <w:p w14:paraId="0D3E528A" w14:textId="77777777" w:rsidR="002A4DDF" w:rsidRPr="00937C8B" w:rsidRDefault="002A4DDF" w:rsidP="009110ED">
            <w:pPr>
              <w:rPr>
                <w:rFonts w:ascii="Arial" w:hAnsi="Arial" w:cs="Arial"/>
                <w:sz w:val="12"/>
                <w:szCs w:val="12"/>
              </w:rPr>
            </w:pPr>
          </w:p>
        </w:tc>
        <w:tc>
          <w:tcPr>
            <w:tcW w:w="1843" w:type="dxa"/>
            <w:shd w:val="clear" w:color="auto" w:fill="auto"/>
          </w:tcPr>
          <w:p w14:paraId="2AF134C0" w14:textId="77777777" w:rsidR="002A4DDF" w:rsidRPr="00937C8B" w:rsidRDefault="002A4DDF" w:rsidP="009110ED">
            <w:pPr>
              <w:rPr>
                <w:rFonts w:ascii="Arial" w:hAnsi="Arial" w:cs="Arial"/>
                <w:sz w:val="12"/>
                <w:szCs w:val="12"/>
              </w:rPr>
            </w:pPr>
          </w:p>
        </w:tc>
        <w:tc>
          <w:tcPr>
            <w:tcW w:w="2268" w:type="dxa"/>
            <w:shd w:val="clear" w:color="auto" w:fill="F2F2F2"/>
            <w:hideMark/>
          </w:tcPr>
          <w:p w14:paraId="02818192" w14:textId="77777777" w:rsidR="002A4DDF" w:rsidRPr="00937C8B" w:rsidRDefault="002A4DDF" w:rsidP="009110ED">
            <w:pPr>
              <w:rPr>
                <w:rFonts w:ascii="Arial" w:hAnsi="Arial" w:cs="Arial"/>
                <w:sz w:val="12"/>
                <w:szCs w:val="12"/>
              </w:rPr>
            </w:pPr>
            <w:r>
              <w:rPr>
                <w:rFonts w:ascii="Arial" w:hAnsi="Arial"/>
                <w:sz w:val="12"/>
                <w:szCs w:val="12"/>
              </w:rPr>
              <w:t>Villamartín de Campos</w:t>
            </w:r>
          </w:p>
        </w:tc>
        <w:tc>
          <w:tcPr>
            <w:tcW w:w="2268" w:type="dxa"/>
            <w:tcBorders>
              <w:right w:val="single" w:sz="4" w:space="0" w:color="auto"/>
            </w:tcBorders>
            <w:shd w:val="clear" w:color="auto" w:fill="D9D9D9"/>
            <w:hideMark/>
          </w:tcPr>
          <w:p w14:paraId="3D546D05" w14:textId="77777777" w:rsidR="002A4DDF" w:rsidRPr="00937C8B" w:rsidRDefault="002A4DDF" w:rsidP="009110ED">
            <w:pPr>
              <w:rPr>
                <w:rFonts w:ascii="Arial" w:hAnsi="Arial" w:cs="Arial"/>
                <w:sz w:val="12"/>
                <w:szCs w:val="12"/>
              </w:rPr>
            </w:pPr>
          </w:p>
        </w:tc>
      </w:tr>
      <w:tr w:rsidR="002A4DDF" w:rsidRPr="00937C8B" w14:paraId="08EC5AE5" w14:textId="77777777" w:rsidTr="00935676">
        <w:trPr>
          <w:cantSplit/>
        </w:trPr>
        <w:tc>
          <w:tcPr>
            <w:tcW w:w="1696" w:type="dxa"/>
            <w:tcBorders>
              <w:left w:val="single" w:sz="4" w:space="0" w:color="auto"/>
            </w:tcBorders>
            <w:shd w:val="clear" w:color="auto" w:fill="auto"/>
          </w:tcPr>
          <w:p w14:paraId="41EB6714" w14:textId="77777777" w:rsidR="002A4DDF" w:rsidRPr="00937C8B" w:rsidRDefault="002A4DDF" w:rsidP="009110ED">
            <w:pPr>
              <w:rPr>
                <w:rFonts w:ascii="Arial" w:hAnsi="Arial" w:cs="Arial"/>
                <w:sz w:val="12"/>
                <w:szCs w:val="12"/>
              </w:rPr>
            </w:pPr>
          </w:p>
        </w:tc>
        <w:tc>
          <w:tcPr>
            <w:tcW w:w="1843" w:type="dxa"/>
            <w:shd w:val="clear" w:color="auto" w:fill="auto"/>
          </w:tcPr>
          <w:p w14:paraId="7EDE3F4E" w14:textId="77777777" w:rsidR="002A4DDF" w:rsidRPr="00937C8B" w:rsidRDefault="002A4DDF" w:rsidP="009110ED">
            <w:pPr>
              <w:rPr>
                <w:rFonts w:ascii="Arial" w:hAnsi="Arial" w:cs="Arial"/>
                <w:sz w:val="12"/>
                <w:szCs w:val="12"/>
              </w:rPr>
            </w:pPr>
          </w:p>
        </w:tc>
        <w:tc>
          <w:tcPr>
            <w:tcW w:w="2268" w:type="dxa"/>
            <w:shd w:val="clear" w:color="auto" w:fill="F2F2F2"/>
            <w:hideMark/>
          </w:tcPr>
          <w:p w14:paraId="2F2F99C2" w14:textId="77777777" w:rsidR="002A4DDF" w:rsidRPr="00937C8B" w:rsidRDefault="002A4DDF" w:rsidP="009110ED">
            <w:pPr>
              <w:rPr>
                <w:rFonts w:ascii="Arial" w:hAnsi="Arial" w:cs="Arial"/>
                <w:sz w:val="12"/>
                <w:szCs w:val="12"/>
              </w:rPr>
            </w:pPr>
            <w:r>
              <w:rPr>
                <w:rFonts w:ascii="Arial" w:hAnsi="Arial"/>
                <w:sz w:val="12"/>
                <w:szCs w:val="12"/>
              </w:rPr>
              <w:t>Villamoronta</w:t>
            </w:r>
          </w:p>
        </w:tc>
        <w:tc>
          <w:tcPr>
            <w:tcW w:w="2268" w:type="dxa"/>
            <w:tcBorders>
              <w:right w:val="single" w:sz="4" w:space="0" w:color="auto"/>
            </w:tcBorders>
            <w:shd w:val="clear" w:color="auto" w:fill="D9D9D9"/>
            <w:hideMark/>
          </w:tcPr>
          <w:p w14:paraId="502A7C38" w14:textId="77777777" w:rsidR="002A4DDF" w:rsidRPr="00937C8B" w:rsidRDefault="002A4DDF" w:rsidP="009110ED">
            <w:pPr>
              <w:rPr>
                <w:rFonts w:ascii="Arial" w:hAnsi="Arial" w:cs="Arial"/>
                <w:sz w:val="12"/>
                <w:szCs w:val="12"/>
              </w:rPr>
            </w:pPr>
          </w:p>
        </w:tc>
      </w:tr>
      <w:tr w:rsidR="002A4DDF" w:rsidRPr="00937C8B" w14:paraId="129D6EA8" w14:textId="77777777" w:rsidTr="00935676">
        <w:trPr>
          <w:cantSplit/>
        </w:trPr>
        <w:tc>
          <w:tcPr>
            <w:tcW w:w="1696" w:type="dxa"/>
            <w:tcBorders>
              <w:left w:val="single" w:sz="4" w:space="0" w:color="auto"/>
            </w:tcBorders>
            <w:shd w:val="clear" w:color="auto" w:fill="auto"/>
          </w:tcPr>
          <w:p w14:paraId="6E67C1E7" w14:textId="77777777" w:rsidR="002A4DDF" w:rsidRPr="00937C8B" w:rsidRDefault="002A4DDF" w:rsidP="009110ED">
            <w:pPr>
              <w:rPr>
                <w:rFonts w:ascii="Arial" w:hAnsi="Arial" w:cs="Arial"/>
                <w:sz w:val="12"/>
                <w:szCs w:val="12"/>
              </w:rPr>
            </w:pPr>
          </w:p>
        </w:tc>
        <w:tc>
          <w:tcPr>
            <w:tcW w:w="1843" w:type="dxa"/>
            <w:shd w:val="clear" w:color="auto" w:fill="auto"/>
          </w:tcPr>
          <w:p w14:paraId="1D86BC65" w14:textId="77777777" w:rsidR="002A4DDF" w:rsidRPr="00937C8B" w:rsidRDefault="002A4DDF" w:rsidP="009110ED">
            <w:pPr>
              <w:rPr>
                <w:rFonts w:ascii="Arial" w:hAnsi="Arial" w:cs="Arial"/>
                <w:sz w:val="12"/>
                <w:szCs w:val="12"/>
              </w:rPr>
            </w:pPr>
          </w:p>
        </w:tc>
        <w:tc>
          <w:tcPr>
            <w:tcW w:w="2268" w:type="dxa"/>
            <w:shd w:val="clear" w:color="auto" w:fill="F2F2F2"/>
            <w:hideMark/>
          </w:tcPr>
          <w:p w14:paraId="54F643BC" w14:textId="77777777" w:rsidR="002A4DDF" w:rsidRPr="00937C8B" w:rsidRDefault="002A4DDF" w:rsidP="009110ED">
            <w:pPr>
              <w:rPr>
                <w:rFonts w:ascii="Arial" w:hAnsi="Arial" w:cs="Arial"/>
                <w:sz w:val="12"/>
                <w:szCs w:val="12"/>
              </w:rPr>
            </w:pPr>
            <w:r>
              <w:rPr>
                <w:rFonts w:ascii="Arial" w:hAnsi="Arial"/>
                <w:sz w:val="12"/>
                <w:szCs w:val="12"/>
              </w:rPr>
              <w:t>Villamuera de la Cueza</w:t>
            </w:r>
          </w:p>
        </w:tc>
        <w:tc>
          <w:tcPr>
            <w:tcW w:w="2268" w:type="dxa"/>
            <w:tcBorders>
              <w:right w:val="single" w:sz="4" w:space="0" w:color="auto"/>
            </w:tcBorders>
            <w:shd w:val="clear" w:color="auto" w:fill="D9D9D9"/>
            <w:hideMark/>
          </w:tcPr>
          <w:p w14:paraId="0691635C" w14:textId="77777777" w:rsidR="002A4DDF" w:rsidRPr="00937C8B" w:rsidRDefault="002A4DDF" w:rsidP="009110ED">
            <w:pPr>
              <w:rPr>
                <w:rFonts w:ascii="Arial" w:hAnsi="Arial" w:cs="Arial"/>
                <w:sz w:val="12"/>
                <w:szCs w:val="12"/>
              </w:rPr>
            </w:pPr>
          </w:p>
        </w:tc>
      </w:tr>
      <w:tr w:rsidR="002A4DDF" w:rsidRPr="00937C8B" w14:paraId="1A9AE8FD" w14:textId="77777777" w:rsidTr="00935676">
        <w:trPr>
          <w:cantSplit/>
        </w:trPr>
        <w:tc>
          <w:tcPr>
            <w:tcW w:w="1696" w:type="dxa"/>
            <w:tcBorders>
              <w:left w:val="single" w:sz="4" w:space="0" w:color="auto"/>
            </w:tcBorders>
            <w:shd w:val="clear" w:color="auto" w:fill="auto"/>
          </w:tcPr>
          <w:p w14:paraId="3CAAD948" w14:textId="77777777" w:rsidR="002A4DDF" w:rsidRPr="00937C8B" w:rsidRDefault="002A4DDF" w:rsidP="009110ED">
            <w:pPr>
              <w:rPr>
                <w:rFonts w:ascii="Arial" w:hAnsi="Arial" w:cs="Arial"/>
                <w:sz w:val="12"/>
                <w:szCs w:val="12"/>
              </w:rPr>
            </w:pPr>
          </w:p>
        </w:tc>
        <w:tc>
          <w:tcPr>
            <w:tcW w:w="1843" w:type="dxa"/>
            <w:shd w:val="clear" w:color="auto" w:fill="auto"/>
          </w:tcPr>
          <w:p w14:paraId="015E661E" w14:textId="77777777" w:rsidR="002A4DDF" w:rsidRPr="00937C8B" w:rsidRDefault="002A4DDF" w:rsidP="009110ED">
            <w:pPr>
              <w:rPr>
                <w:rFonts w:ascii="Arial" w:hAnsi="Arial" w:cs="Arial"/>
                <w:sz w:val="12"/>
                <w:szCs w:val="12"/>
              </w:rPr>
            </w:pPr>
          </w:p>
        </w:tc>
        <w:tc>
          <w:tcPr>
            <w:tcW w:w="2268" w:type="dxa"/>
            <w:shd w:val="clear" w:color="auto" w:fill="F2F2F2"/>
            <w:hideMark/>
          </w:tcPr>
          <w:p w14:paraId="1D8040E7" w14:textId="77777777" w:rsidR="002A4DDF" w:rsidRPr="00937C8B" w:rsidRDefault="002A4DDF" w:rsidP="009110ED">
            <w:pPr>
              <w:rPr>
                <w:rFonts w:ascii="Arial" w:hAnsi="Arial" w:cs="Arial"/>
                <w:sz w:val="12"/>
                <w:szCs w:val="12"/>
              </w:rPr>
            </w:pPr>
            <w:r>
              <w:rPr>
                <w:rFonts w:ascii="Arial" w:hAnsi="Arial"/>
                <w:sz w:val="12"/>
                <w:szCs w:val="12"/>
              </w:rPr>
              <w:t>Villanueva del Rebollar</w:t>
            </w:r>
          </w:p>
        </w:tc>
        <w:tc>
          <w:tcPr>
            <w:tcW w:w="2268" w:type="dxa"/>
            <w:tcBorders>
              <w:right w:val="single" w:sz="4" w:space="0" w:color="auto"/>
            </w:tcBorders>
            <w:shd w:val="clear" w:color="auto" w:fill="D9D9D9"/>
            <w:hideMark/>
          </w:tcPr>
          <w:p w14:paraId="5C4693A4" w14:textId="77777777" w:rsidR="002A4DDF" w:rsidRPr="00937C8B" w:rsidRDefault="002A4DDF" w:rsidP="009110ED">
            <w:pPr>
              <w:rPr>
                <w:rFonts w:ascii="Arial" w:hAnsi="Arial" w:cs="Arial"/>
                <w:sz w:val="12"/>
                <w:szCs w:val="12"/>
              </w:rPr>
            </w:pPr>
          </w:p>
        </w:tc>
      </w:tr>
      <w:tr w:rsidR="002A4DDF" w:rsidRPr="00937C8B" w14:paraId="5CC18245" w14:textId="77777777" w:rsidTr="00935676">
        <w:trPr>
          <w:cantSplit/>
        </w:trPr>
        <w:tc>
          <w:tcPr>
            <w:tcW w:w="1696" w:type="dxa"/>
            <w:tcBorders>
              <w:left w:val="single" w:sz="4" w:space="0" w:color="auto"/>
            </w:tcBorders>
            <w:shd w:val="clear" w:color="auto" w:fill="auto"/>
          </w:tcPr>
          <w:p w14:paraId="43E8EB01" w14:textId="77777777" w:rsidR="002A4DDF" w:rsidRPr="00937C8B" w:rsidRDefault="002A4DDF" w:rsidP="009110ED">
            <w:pPr>
              <w:rPr>
                <w:rFonts w:ascii="Arial" w:hAnsi="Arial" w:cs="Arial"/>
                <w:sz w:val="12"/>
                <w:szCs w:val="12"/>
              </w:rPr>
            </w:pPr>
          </w:p>
        </w:tc>
        <w:tc>
          <w:tcPr>
            <w:tcW w:w="1843" w:type="dxa"/>
            <w:shd w:val="clear" w:color="auto" w:fill="auto"/>
          </w:tcPr>
          <w:p w14:paraId="598C6EF0" w14:textId="77777777" w:rsidR="002A4DDF" w:rsidRPr="00937C8B" w:rsidRDefault="002A4DDF" w:rsidP="009110ED">
            <w:pPr>
              <w:rPr>
                <w:rFonts w:ascii="Arial" w:hAnsi="Arial" w:cs="Arial"/>
                <w:sz w:val="12"/>
                <w:szCs w:val="12"/>
              </w:rPr>
            </w:pPr>
          </w:p>
        </w:tc>
        <w:tc>
          <w:tcPr>
            <w:tcW w:w="2268" w:type="dxa"/>
            <w:shd w:val="clear" w:color="auto" w:fill="F2F2F2"/>
            <w:hideMark/>
          </w:tcPr>
          <w:p w14:paraId="7B88C467" w14:textId="77777777" w:rsidR="002A4DDF" w:rsidRPr="00937C8B" w:rsidRDefault="002A4DDF" w:rsidP="009110ED">
            <w:pPr>
              <w:rPr>
                <w:rFonts w:ascii="Arial" w:hAnsi="Arial" w:cs="Arial"/>
                <w:sz w:val="12"/>
                <w:szCs w:val="12"/>
              </w:rPr>
            </w:pPr>
            <w:r>
              <w:rPr>
                <w:rFonts w:ascii="Arial" w:hAnsi="Arial"/>
                <w:sz w:val="12"/>
                <w:szCs w:val="12"/>
              </w:rPr>
              <w:t>Villarmentero de Campos</w:t>
            </w:r>
          </w:p>
        </w:tc>
        <w:tc>
          <w:tcPr>
            <w:tcW w:w="2268" w:type="dxa"/>
            <w:tcBorders>
              <w:right w:val="single" w:sz="4" w:space="0" w:color="auto"/>
            </w:tcBorders>
            <w:shd w:val="clear" w:color="auto" w:fill="D9D9D9"/>
            <w:hideMark/>
          </w:tcPr>
          <w:p w14:paraId="48E38DBE" w14:textId="77777777" w:rsidR="002A4DDF" w:rsidRPr="00937C8B" w:rsidRDefault="002A4DDF" w:rsidP="009110ED">
            <w:pPr>
              <w:rPr>
                <w:rFonts w:ascii="Arial" w:hAnsi="Arial" w:cs="Arial"/>
                <w:sz w:val="12"/>
                <w:szCs w:val="12"/>
              </w:rPr>
            </w:pPr>
          </w:p>
        </w:tc>
      </w:tr>
      <w:tr w:rsidR="002A4DDF" w:rsidRPr="00937C8B" w14:paraId="59554894" w14:textId="77777777" w:rsidTr="00935676">
        <w:trPr>
          <w:cantSplit/>
        </w:trPr>
        <w:tc>
          <w:tcPr>
            <w:tcW w:w="1696" w:type="dxa"/>
            <w:tcBorders>
              <w:left w:val="single" w:sz="4" w:space="0" w:color="auto"/>
            </w:tcBorders>
            <w:shd w:val="clear" w:color="auto" w:fill="auto"/>
          </w:tcPr>
          <w:p w14:paraId="06AF7F84" w14:textId="77777777" w:rsidR="002A4DDF" w:rsidRPr="00937C8B" w:rsidRDefault="002A4DDF" w:rsidP="009110ED">
            <w:pPr>
              <w:rPr>
                <w:rFonts w:ascii="Arial" w:hAnsi="Arial" w:cs="Arial"/>
                <w:sz w:val="12"/>
                <w:szCs w:val="12"/>
              </w:rPr>
            </w:pPr>
          </w:p>
        </w:tc>
        <w:tc>
          <w:tcPr>
            <w:tcW w:w="1843" w:type="dxa"/>
            <w:shd w:val="clear" w:color="auto" w:fill="auto"/>
          </w:tcPr>
          <w:p w14:paraId="15BB9464" w14:textId="77777777" w:rsidR="002A4DDF" w:rsidRPr="00937C8B" w:rsidRDefault="002A4DDF" w:rsidP="009110ED">
            <w:pPr>
              <w:rPr>
                <w:rFonts w:ascii="Arial" w:hAnsi="Arial" w:cs="Arial"/>
                <w:sz w:val="12"/>
                <w:szCs w:val="12"/>
              </w:rPr>
            </w:pPr>
          </w:p>
        </w:tc>
        <w:tc>
          <w:tcPr>
            <w:tcW w:w="2268" w:type="dxa"/>
            <w:shd w:val="clear" w:color="auto" w:fill="F2F2F2"/>
            <w:hideMark/>
          </w:tcPr>
          <w:p w14:paraId="583884F6" w14:textId="77777777" w:rsidR="002A4DDF" w:rsidRPr="00937C8B" w:rsidRDefault="002A4DDF" w:rsidP="009110ED">
            <w:pPr>
              <w:rPr>
                <w:rFonts w:ascii="Arial" w:hAnsi="Arial" w:cs="Arial"/>
                <w:sz w:val="12"/>
                <w:szCs w:val="12"/>
              </w:rPr>
            </w:pPr>
            <w:r>
              <w:rPr>
                <w:rFonts w:ascii="Arial" w:hAnsi="Arial"/>
                <w:sz w:val="12"/>
                <w:szCs w:val="12"/>
              </w:rPr>
              <w:t>Villarrabé</w:t>
            </w:r>
          </w:p>
        </w:tc>
        <w:tc>
          <w:tcPr>
            <w:tcW w:w="2268" w:type="dxa"/>
            <w:tcBorders>
              <w:right w:val="single" w:sz="4" w:space="0" w:color="auto"/>
            </w:tcBorders>
            <w:shd w:val="clear" w:color="auto" w:fill="D9D9D9"/>
            <w:hideMark/>
          </w:tcPr>
          <w:p w14:paraId="0B51B9E5" w14:textId="77777777" w:rsidR="002A4DDF" w:rsidRPr="00937C8B" w:rsidRDefault="002A4DDF" w:rsidP="009110ED">
            <w:pPr>
              <w:rPr>
                <w:rFonts w:ascii="Arial" w:hAnsi="Arial" w:cs="Arial"/>
                <w:sz w:val="12"/>
                <w:szCs w:val="12"/>
              </w:rPr>
            </w:pPr>
          </w:p>
        </w:tc>
      </w:tr>
      <w:tr w:rsidR="002A4DDF" w:rsidRPr="00937C8B" w14:paraId="0C56CE92" w14:textId="77777777" w:rsidTr="00935676">
        <w:trPr>
          <w:cantSplit/>
        </w:trPr>
        <w:tc>
          <w:tcPr>
            <w:tcW w:w="1696" w:type="dxa"/>
            <w:tcBorders>
              <w:left w:val="single" w:sz="4" w:space="0" w:color="auto"/>
            </w:tcBorders>
            <w:shd w:val="clear" w:color="auto" w:fill="auto"/>
          </w:tcPr>
          <w:p w14:paraId="37CE2D0F" w14:textId="77777777" w:rsidR="002A4DDF" w:rsidRPr="00937C8B" w:rsidRDefault="002A4DDF" w:rsidP="009110ED">
            <w:pPr>
              <w:rPr>
                <w:rFonts w:ascii="Arial" w:hAnsi="Arial" w:cs="Arial"/>
                <w:sz w:val="12"/>
                <w:szCs w:val="12"/>
              </w:rPr>
            </w:pPr>
          </w:p>
        </w:tc>
        <w:tc>
          <w:tcPr>
            <w:tcW w:w="1843" w:type="dxa"/>
            <w:shd w:val="clear" w:color="auto" w:fill="auto"/>
          </w:tcPr>
          <w:p w14:paraId="7BA36360" w14:textId="77777777" w:rsidR="002A4DDF" w:rsidRPr="00937C8B" w:rsidRDefault="002A4DDF" w:rsidP="009110ED">
            <w:pPr>
              <w:rPr>
                <w:rFonts w:ascii="Arial" w:hAnsi="Arial" w:cs="Arial"/>
                <w:sz w:val="12"/>
                <w:szCs w:val="12"/>
              </w:rPr>
            </w:pPr>
          </w:p>
        </w:tc>
        <w:tc>
          <w:tcPr>
            <w:tcW w:w="2268" w:type="dxa"/>
            <w:shd w:val="clear" w:color="auto" w:fill="F2F2F2"/>
            <w:hideMark/>
          </w:tcPr>
          <w:p w14:paraId="46284C4A" w14:textId="77777777" w:rsidR="002A4DDF" w:rsidRPr="00937C8B" w:rsidRDefault="002A4DDF" w:rsidP="009110ED">
            <w:pPr>
              <w:rPr>
                <w:rFonts w:ascii="Arial" w:hAnsi="Arial" w:cs="Arial"/>
                <w:sz w:val="12"/>
                <w:szCs w:val="12"/>
              </w:rPr>
            </w:pPr>
            <w:r>
              <w:rPr>
                <w:rFonts w:ascii="Arial" w:hAnsi="Arial"/>
                <w:sz w:val="12"/>
                <w:szCs w:val="12"/>
              </w:rPr>
              <w:t>Villarramiel</w:t>
            </w:r>
          </w:p>
        </w:tc>
        <w:tc>
          <w:tcPr>
            <w:tcW w:w="2268" w:type="dxa"/>
            <w:tcBorders>
              <w:right w:val="single" w:sz="4" w:space="0" w:color="auto"/>
            </w:tcBorders>
            <w:shd w:val="clear" w:color="auto" w:fill="D9D9D9"/>
            <w:hideMark/>
          </w:tcPr>
          <w:p w14:paraId="13039AD0" w14:textId="77777777" w:rsidR="002A4DDF" w:rsidRPr="00937C8B" w:rsidRDefault="002A4DDF" w:rsidP="009110ED">
            <w:pPr>
              <w:rPr>
                <w:rFonts w:ascii="Arial" w:hAnsi="Arial" w:cs="Arial"/>
                <w:sz w:val="12"/>
                <w:szCs w:val="12"/>
              </w:rPr>
            </w:pPr>
          </w:p>
        </w:tc>
      </w:tr>
      <w:tr w:rsidR="002A4DDF" w:rsidRPr="00937C8B" w14:paraId="54DC3359" w14:textId="77777777" w:rsidTr="00935676">
        <w:trPr>
          <w:cantSplit/>
        </w:trPr>
        <w:tc>
          <w:tcPr>
            <w:tcW w:w="1696" w:type="dxa"/>
            <w:tcBorders>
              <w:left w:val="single" w:sz="4" w:space="0" w:color="auto"/>
            </w:tcBorders>
            <w:shd w:val="clear" w:color="auto" w:fill="auto"/>
          </w:tcPr>
          <w:p w14:paraId="793F6292" w14:textId="77777777" w:rsidR="002A4DDF" w:rsidRPr="00937C8B" w:rsidRDefault="002A4DDF" w:rsidP="009110ED">
            <w:pPr>
              <w:rPr>
                <w:rFonts w:ascii="Arial" w:hAnsi="Arial" w:cs="Arial"/>
                <w:sz w:val="12"/>
                <w:szCs w:val="12"/>
              </w:rPr>
            </w:pPr>
          </w:p>
        </w:tc>
        <w:tc>
          <w:tcPr>
            <w:tcW w:w="1843" w:type="dxa"/>
            <w:shd w:val="clear" w:color="auto" w:fill="auto"/>
          </w:tcPr>
          <w:p w14:paraId="0FB56956" w14:textId="77777777" w:rsidR="002A4DDF" w:rsidRPr="00937C8B" w:rsidRDefault="002A4DDF" w:rsidP="009110ED">
            <w:pPr>
              <w:rPr>
                <w:rFonts w:ascii="Arial" w:hAnsi="Arial" w:cs="Arial"/>
                <w:sz w:val="12"/>
                <w:szCs w:val="12"/>
              </w:rPr>
            </w:pPr>
          </w:p>
        </w:tc>
        <w:tc>
          <w:tcPr>
            <w:tcW w:w="2268" w:type="dxa"/>
            <w:shd w:val="clear" w:color="auto" w:fill="F2F2F2"/>
            <w:hideMark/>
          </w:tcPr>
          <w:p w14:paraId="3D96CA1B" w14:textId="77777777" w:rsidR="002A4DDF" w:rsidRPr="00937C8B" w:rsidRDefault="002A4DDF" w:rsidP="009110ED">
            <w:pPr>
              <w:rPr>
                <w:rFonts w:ascii="Arial" w:hAnsi="Arial" w:cs="Arial"/>
                <w:sz w:val="12"/>
                <w:szCs w:val="12"/>
              </w:rPr>
            </w:pPr>
            <w:r>
              <w:rPr>
                <w:rFonts w:ascii="Arial" w:hAnsi="Arial"/>
                <w:sz w:val="12"/>
                <w:szCs w:val="12"/>
              </w:rPr>
              <w:t>Villaturde</w:t>
            </w:r>
          </w:p>
        </w:tc>
        <w:tc>
          <w:tcPr>
            <w:tcW w:w="2268" w:type="dxa"/>
            <w:tcBorders>
              <w:right w:val="single" w:sz="4" w:space="0" w:color="auto"/>
            </w:tcBorders>
            <w:shd w:val="clear" w:color="auto" w:fill="D9D9D9"/>
            <w:hideMark/>
          </w:tcPr>
          <w:p w14:paraId="5CD43AAF" w14:textId="77777777" w:rsidR="002A4DDF" w:rsidRPr="00937C8B" w:rsidRDefault="002A4DDF" w:rsidP="009110ED">
            <w:pPr>
              <w:rPr>
                <w:rFonts w:ascii="Arial" w:hAnsi="Arial" w:cs="Arial"/>
                <w:sz w:val="12"/>
                <w:szCs w:val="12"/>
              </w:rPr>
            </w:pPr>
          </w:p>
        </w:tc>
      </w:tr>
      <w:tr w:rsidR="002A4DDF" w:rsidRPr="00937C8B" w14:paraId="0AFD0CBD" w14:textId="77777777" w:rsidTr="00935676">
        <w:trPr>
          <w:cantSplit/>
        </w:trPr>
        <w:tc>
          <w:tcPr>
            <w:tcW w:w="1696" w:type="dxa"/>
            <w:tcBorders>
              <w:left w:val="single" w:sz="4" w:space="0" w:color="auto"/>
            </w:tcBorders>
            <w:shd w:val="clear" w:color="auto" w:fill="auto"/>
          </w:tcPr>
          <w:p w14:paraId="1EAACD21" w14:textId="77777777" w:rsidR="002A4DDF" w:rsidRPr="00937C8B" w:rsidRDefault="002A4DDF" w:rsidP="009110ED">
            <w:pPr>
              <w:rPr>
                <w:rFonts w:ascii="Arial" w:hAnsi="Arial" w:cs="Arial"/>
                <w:sz w:val="12"/>
                <w:szCs w:val="12"/>
              </w:rPr>
            </w:pPr>
          </w:p>
        </w:tc>
        <w:tc>
          <w:tcPr>
            <w:tcW w:w="1843" w:type="dxa"/>
            <w:shd w:val="clear" w:color="auto" w:fill="auto"/>
          </w:tcPr>
          <w:p w14:paraId="198C1EC4" w14:textId="77777777" w:rsidR="002A4DDF" w:rsidRPr="00937C8B" w:rsidRDefault="002A4DDF" w:rsidP="009110ED">
            <w:pPr>
              <w:rPr>
                <w:rFonts w:ascii="Arial" w:hAnsi="Arial" w:cs="Arial"/>
                <w:sz w:val="12"/>
                <w:szCs w:val="12"/>
              </w:rPr>
            </w:pPr>
          </w:p>
        </w:tc>
        <w:tc>
          <w:tcPr>
            <w:tcW w:w="2268" w:type="dxa"/>
            <w:shd w:val="clear" w:color="auto" w:fill="F2F2F2"/>
            <w:hideMark/>
          </w:tcPr>
          <w:p w14:paraId="2F850C63" w14:textId="77777777" w:rsidR="002A4DDF" w:rsidRPr="00937C8B" w:rsidRDefault="002A4DDF" w:rsidP="009110ED">
            <w:pPr>
              <w:rPr>
                <w:rFonts w:ascii="Arial" w:hAnsi="Arial" w:cs="Arial"/>
                <w:sz w:val="12"/>
                <w:szCs w:val="12"/>
              </w:rPr>
            </w:pPr>
            <w:r>
              <w:rPr>
                <w:rFonts w:ascii="Arial" w:hAnsi="Arial"/>
                <w:sz w:val="12"/>
                <w:szCs w:val="12"/>
              </w:rPr>
              <w:t>Villaumbrales</w:t>
            </w:r>
          </w:p>
        </w:tc>
        <w:tc>
          <w:tcPr>
            <w:tcW w:w="2268" w:type="dxa"/>
            <w:tcBorders>
              <w:right w:val="single" w:sz="4" w:space="0" w:color="auto"/>
            </w:tcBorders>
            <w:shd w:val="clear" w:color="auto" w:fill="D9D9D9"/>
            <w:hideMark/>
          </w:tcPr>
          <w:p w14:paraId="1E38FADF" w14:textId="77777777" w:rsidR="002A4DDF" w:rsidRPr="00937C8B" w:rsidRDefault="002A4DDF" w:rsidP="009110ED">
            <w:pPr>
              <w:rPr>
                <w:rFonts w:ascii="Arial" w:hAnsi="Arial" w:cs="Arial"/>
                <w:sz w:val="12"/>
                <w:szCs w:val="12"/>
              </w:rPr>
            </w:pPr>
          </w:p>
        </w:tc>
      </w:tr>
      <w:tr w:rsidR="002A4DDF" w:rsidRPr="00937C8B" w14:paraId="1AB3CC54" w14:textId="77777777" w:rsidTr="00935676">
        <w:trPr>
          <w:cantSplit/>
        </w:trPr>
        <w:tc>
          <w:tcPr>
            <w:tcW w:w="1696" w:type="dxa"/>
            <w:tcBorders>
              <w:left w:val="single" w:sz="4" w:space="0" w:color="auto"/>
              <w:bottom w:val="single" w:sz="4" w:space="0" w:color="auto"/>
            </w:tcBorders>
            <w:shd w:val="clear" w:color="auto" w:fill="auto"/>
            <w:hideMark/>
          </w:tcPr>
          <w:p w14:paraId="28DE6C54"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bottom w:val="single" w:sz="4" w:space="0" w:color="auto"/>
            </w:tcBorders>
            <w:shd w:val="clear" w:color="auto" w:fill="auto"/>
            <w:hideMark/>
          </w:tcPr>
          <w:p w14:paraId="77EE98CC" w14:textId="77777777" w:rsidR="002A4DDF" w:rsidRPr="00937C8B" w:rsidRDefault="002A4DDF" w:rsidP="009110ED">
            <w:pPr>
              <w:rPr>
                <w:rFonts w:ascii="Arial" w:hAnsi="Arial" w:cs="Arial"/>
                <w:sz w:val="12"/>
                <w:szCs w:val="12"/>
              </w:rPr>
            </w:pPr>
            <w:r>
              <w:rPr>
                <w:rFonts w:ascii="Arial" w:hAnsi="Arial"/>
                <w:sz w:val="12"/>
                <w:szCs w:val="12"/>
              </w:rPr>
              <w:t>Palencia</w:t>
            </w:r>
          </w:p>
        </w:tc>
        <w:tc>
          <w:tcPr>
            <w:tcW w:w="2268" w:type="dxa"/>
            <w:tcBorders>
              <w:bottom w:val="single" w:sz="4" w:space="0" w:color="auto"/>
            </w:tcBorders>
            <w:shd w:val="clear" w:color="auto" w:fill="F2F2F2"/>
            <w:hideMark/>
          </w:tcPr>
          <w:p w14:paraId="1768B27D" w14:textId="77777777" w:rsidR="002A4DDF" w:rsidRPr="00937C8B" w:rsidRDefault="002A4DDF" w:rsidP="009110ED">
            <w:pPr>
              <w:rPr>
                <w:rFonts w:ascii="Arial" w:hAnsi="Arial" w:cs="Arial"/>
                <w:sz w:val="12"/>
                <w:szCs w:val="12"/>
              </w:rPr>
            </w:pPr>
            <w:r>
              <w:rPr>
                <w:rFonts w:ascii="Arial" w:hAnsi="Arial"/>
                <w:sz w:val="12"/>
                <w:szCs w:val="12"/>
              </w:rPr>
              <w:t>Villoldo</w:t>
            </w:r>
          </w:p>
        </w:tc>
        <w:tc>
          <w:tcPr>
            <w:tcW w:w="2268" w:type="dxa"/>
            <w:tcBorders>
              <w:bottom w:val="single" w:sz="4" w:space="0" w:color="auto"/>
              <w:right w:val="single" w:sz="4" w:space="0" w:color="auto"/>
            </w:tcBorders>
            <w:shd w:val="clear" w:color="auto" w:fill="D9D9D9"/>
            <w:hideMark/>
          </w:tcPr>
          <w:p w14:paraId="269419F0" w14:textId="77777777" w:rsidR="002A4DDF" w:rsidRPr="00937C8B" w:rsidRDefault="002A4DDF" w:rsidP="009110ED">
            <w:pPr>
              <w:rPr>
                <w:rFonts w:ascii="Arial" w:hAnsi="Arial" w:cs="Arial"/>
                <w:sz w:val="12"/>
                <w:szCs w:val="12"/>
              </w:rPr>
            </w:pPr>
          </w:p>
        </w:tc>
      </w:tr>
      <w:tr w:rsidR="002A4DDF" w:rsidRPr="00937C8B" w14:paraId="2E203C5C" w14:textId="77777777" w:rsidTr="00935676">
        <w:trPr>
          <w:cantSplit/>
        </w:trPr>
        <w:tc>
          <w:tcPr>
            <w:tcW w:w="1696" w:type="dxa"/>
            <w:tcBorders>
              <w:top w:val="single" w:sz="4" w:space="0" w:color="auto"/>
              <w:bottom w:val="single" w:sz="4" w:space="0" w:color="auto"/>
            </w:tcBorders>
            <w:shd w:val="clear" w:color="auto" w:fill="auto"/>
            <w:hideMark/>
          </w:tcPr>
          <w:p w14:paraId="7EB27892"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1FC872E0"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67EBBC56"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59A51B96" w14:textId="77777777" w:rsidR="002A4DDF" w:rsidRPr="00937C8B" w:rsidRDefault="002A4DDF" w:rsidP="009110ED">
            <w:pPr>
              <w:rPr>
                <w:rFonts w:ascii="Arial" w:hAnsi="Arial" w:cs="Arial"/>
                <w:sz w:val="12"/>
                <w:szCs w:val="12"/>
              </w:rPr>
            </w:pPr>
          </w:p>
        </w:tc>
      </w:tr>
      <w:tr w:rsidR="002A4DDF" w:rsidRPr="00937C8B" w14:paraId="39406173" w14:textId="77777777" w:rsidTr="00935676">
        <w:trPr>
          <w:cantSplit/>
        </w:trPr>
        <w:tc>
          <w:tcPr>
            <w:tcW w:w="1696" w:type="dxa"/>
            <w:tcBorders>
              <w:top w:val="single" w:sz="4" w:space="0" w:color="auto"/>
              <w:left w:val="single" w:sz="4" w:space="0" w:color="auto"/>
            </w:tcBorders>
            <w:shd w:val="clear" w:color="auto" w:fill="auto"/>
            <w:hideMark/>
          </w:tcPr>
          <w:p w14:paraId="25B85A5C"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top w:val="single" w:sz="4" w:space="0" w:color="auto"/>
            </w:tcBorders>
            <w:shd w:val="clear" w:color="auto" w:fill="auto"/>
            <w:hideMark/>
          </w:tcPr>
          <w:p w14:paraId="2C6F3318" w14:textId="77777777" w:rsidR="002A4DDF" w:rsidRPr="00937C8B" w:rsidRDefault="002A4DDF" w:rsidP="009110ED">
            <w:pPr>
              <w:rPr>
                <w:rFonts w:ascii="Arial" w:hAnsi="Arial" w:cs="Arial"/>
                <w:sz w:val="12"/>
                <w:szCs w:val="12"/>
              </w:rPr>
            </w:pPr>
            <w:r>
              <w:rPr>
                <w:rFonts w:ascii="Arial" w:hAnsi="Arial"/>
                <w:sz w:val="12"/>
                <w:szCs w:val="12"/>
              </w:rPr>
              <w:t>Salamanque</w:t>
            </w:r>
          </w:p>
        </w:tc>
        <w:tc>
          <w:tcPr>
            <w:tcW w:w="2268" w:type="dxa"/>
            <w:tcBorders>
              <w:top w:val="single" w:sz="4" w:space="0" w:color="auto"/>
            </w:tcBorders>
            <w:shd w:val="clear" w:color="auto" w:fill="F2F2F2"/>
            <w:hideMark/>
          </w:tcPr>
          <w:p w14:paraId="4107F7FC" w14:textId="77777777" w:rsidR="002A4DDF" w:rsidRPr="00937C8B" w:rsidRDefault="002A4DDF" w:rsidP="009110ED">
            <w:pPr>
              <w:rPr>
                <w:rFonts w:ascii="Arial" w:hAnsi="Arial" w:cs="Arial"/>
                <w:sz w:val="12"/>
                <w:szCs w:val="12"/>
              </w:rPr>
            </w:pPr>
            <w:r>
              <w:rPr>
                <w:rFonts w:ascii="Arial" w:hAnsi="Arial"/>
                <w:sz w:val="12"/>
                <w:szCs w:val="12"/>
              </w:rPr>
              <w:t>Abusejo</w:t>
            </w:r>
          </w:p>
        </w:tc>
        <w:tc>
          <w:tcPr>
            <w:tcW w:w="2268" w:type="dxa"/>
            <w:tcBorders>
              <w:top w:val="single" w:sz="4" w:space="0" w:color="auto"/>
              <w:right w:val="single" w:sz="4" w:space="0" w:color="auto"/>
            </w:tcBorders>
            <w:shd w:val="clear" w:color="auto" w:fill="D9D9D9"/>
            <w:hideMark/>
          </w:tcPr>
          <w:p w14:paraId="69C15756" w14:textId="77777777" w:rsidR="002A4DDF" w:rsidRPr="00937C8B" w:rsidRDefault="002A4DDF" w:rsidP="009110ED">
            <w:pPr>
              <w:rPr>
                <w:rFonts w:ascii="Arial" w:hAnsi="Arial" w:cs="Arial"/>
                <w:sz w:val="12"/>
                <w:szCs w:val="12"/>
              </w:rPr>
            </w:pPr>
            <w:r>
              <w:rPr>
                <w:rFonts w:ascii="Arial" w:hAnsi="Arial"/>
                <w:sz w:val="12"/>
                <w:szCs w:val="12"/>
              </w:rPr>
              <w:t>Agallas</w:t>
            </w:r>
          </w:p>
        </w:tc>
      </w:tr>
      <w:tr w:rsidR="002A4DDF" w:rsidRPr="00937C8B" w14:paraId="085E6BB0" w14:textId="77777777" w:rsidTr="00935676">
        <w:trPr>
          <w:cantSplit/>
        </w:trPr>
        <w:tc>
          <w:tcPr>
            <w:tcW w:w="1696" w:type="dxa"/>
            <w:tcBorders>
              <w:left w:val="single" w:sz="4" w:space="0" w:color="auto"/>
            </w:tcBorders>
            <w:shd w:val="clear" w:color="auto" w:fill="auto"/>
          </w:tcPr>
          <w:p w14:paraId="75E73F22" w14:textId="77777777" w:rsidR="002A4DDF" w:rsidRPr="00937C8B" w:rsidRDefault="002A4DDF" w:rsidP="009110ED">
            <w:pPr>
              <w:rPr>
                <w:rFonts w:ascii="Arial" w:hAnsi="Arial" w:cs="Arial"/>
                <w:sz w:val="12"/>
                <w:szCs w:val="12"/>
              </w:rPr>
            </w:pPr>
          </w:p>
        </w:tc>
        <w:tc>
          <w:tcPr>
            <w:tcW w:w="1843" w:type="dxa"/>
            <w:shd w:val="clear" w:color="auto" w:fill="auto"/>
          </w:tcPr>
          <w:p w14:paraId="436DEAB2" w14:textId="77777777" w:rsidR="002A4DDF" w:rsidRPr="00937C8B" w:rsidRDefault="002A4DDF" w:rsidP="009110ED">
            <w:pPr>
              <w:rPr>
                <w:rFonts w:ascii="Arial" w:hAnsi="Arial" w:cs="Arial"/>
                <w:sz w:val="12"/>
                <w:szCs w:val="12"/>
              </w:rPr>
            </w:pPr>
          </w:p>
        </w:tc>
        <w:tc>
          <w:tcPr>
            <w:tcW w:w="2268" w:type="dxa"/>
            <w:shd w:val="clear" w:color="auto" w:fill="F2F2F2"/>
            <w:hideMark/>
          </w:tcPr>
          <w:p w14:paraId="6AD18581" w14:textId="77777777" w:rsidR="002A4DDF" w:rsidRPr="00937C8B" w:rsidRDefault="002A4DDF" w:rsidP="009110ED">
            <w:pPr>
              <w:rPr>
                <w:rFonts w:ascii="Arial" w:hAnsi="Arial" w:cs="Arial"/>
                <w:sz w:val="12"/>
                <w:szCs w:val="12"/>
              </w:rPr>
            </w:pPr>
            <w:r>
              <w:rPr>
                <w:rFonts w:ascii="Arial" w:hAnsi="Arial"/>
                <w:sz w:val="12"/>
                <w:szCs w:val="12"/>
              </w:rPr>
              <w:t>Alaraz</w:t>
            </w:r>
          </w:p>
        </w:tc>
        <w:tc>
          <w:tcPr>
            <w:tcW w:w="2268" w:type="dxa"/>
            <w:tcBorders>
              <w:right w:val="single" w:sz="4" w:space="0" w:color="auto"/>
            </w:tcBorders>
            <w:shd w:val="clear" w:color="auto" w:fill="D9D9D9"/>
            <w:hideMark/>
          </w:tcPr>
          <w:p w14:paraId="02FB93B6" w14:textId="77777777" w:rsidR="002A4DDF" w:rsidRPr="00937C8B" w:rsidRDefault="002A4DDF" w:rsidP="009110ED">
            <w:pPr>
              <w:rPr>
                <w:rFonts w:ascii="Arial" w:hAnsi="Arial" w:cs="Arial"/>
                <w:sz w:val="12"/>
                <w:szCs w:val="12"/>
              </w:rPr>
            </w:pPr>
            <w:r>
              <w:rPr>
                <w:rFonts w:ascii="Arial" w:hAnsi="Arial"/>
                <w:sz w:val="12"/>
                <w:szCs w:val="12"/>
              </w:rPr>
              <w:t>Ahigal de los Aceiteros</w:t>
            </w:r>
          </w:p>
        </w:tc>
      </w:tr>
      <w:tr w:rsidR="002A4DDF" w:rsidRPr="00937C8B" w14:paraId="37FBB167" w14:textId="77777777" w:rsidTr="00935676">
        <w:trPr>
          <w:cantSplit/>
        </w:trPr>
        <w:tc>
          <w:tcPr>
            <w:tcW w:w="1696" w:type="dxa"/>
            <w:tcBorders>
              <w:left w:val="single" w:sz="4" w:space="0" w:color="auto"/>
            </w:tcBorders>
            <w:shd w:val="clear" w:color="auto" w:fill="auto"/>
          </w:tcPr>
          <w:p w14:paraId="2955E5C1" w14:textId="77777777" w:rsidR="002A4DDF" w:rsidRPr="00937C8B" w:rsidRDefault="002A4DDF" w:rsidP="009110ED">
            <w:pPr>
              <w:rPr>
                <w:rFonts w:ascii="Arial" w:hAnsi="Arial" w:cs="Arial"/>
                <w:sz w:val="12"/>
                <w:szCs w:val="12"/>
              </w:rPr>
            </w:pPr>
          </w:p>
        </w:tc>
        <w:tc>
          <w:tcPr>
            <w:tcW w:w="1843" w:type="dxa"/>
            <w:shd w:val="clear" w:color="auto" w:fill="auto"/>
          </w:tcPr>
          <w:p w14:paraId="5F5BEB07" w14:textId="77777777" w:rsidR="002A4DDF" w:rsidRPr="00937C8B" w:rsidRDefault="002A4DDF" w:rsidP="009110ED">
            <w:pPr>
              <w:rPr>
                <w:rFonts w:ascii="Arial" w:hAnsi="Arial" w:cs="Arial"/>
                <w:sz w:val="12"/>
                <w:szCs w:val="12"/>
              </w:rPr>
            </w:pPr>
          </w:p>
        </w:tc>
        <w:tc>
          <w:tcPr>
            <w:tcW w:w="2268" w:type="dxa"/>
            <w:shd w:val="clear" w:color="auto" w:fill="F2F2F2"/>
            <w:hideMark/>
          </w:tcPr>
          <w:p w14:paraId="645458E6" w14:textId="77777777" w:rsidR="002A4DDF" w:rsidRPr="00937C8B" w:rsidRDefault="002A4DDF" w:rsidP="009110ED">
            <w:pPr>
              <w:rPr>
                <w:rFonts w:ascii="Arial" w:hAnsi="Arial" w:cs="Arial"/>
                <w:sz w:val="12"/>
                <w:szCs w:val="12"/>
              </w:rPr>
            </w:pPr>
            <w:r>
              <w:rPr>
                <w:rFonts w:ascii="Arial" w:hAnsi="Arial"/>
                <w:sz w:val="12"/>
                <w:szCs w:val="12"/>
              </w:rPr>
              <w:t>Alba de Yeltes</w:t>
            </w:r>
          </w:p>
        </w:tc>
        <w:tc>
          <w:tcPr>
            <w:tcW w:w="2268" w:type="dxa"/>
            <w:tcBorders>
              <w:right w:val="single" w:sz="4" w:space="0" w:color="auto"/>
            </w:tcBorders>
            <w:shd w:val="clear" w:color="auto" w:fill="D9D9D9"/>
            <w:hideMark/>
          </w:tcPr>
          <w:p w14:paraId="12E3608D" w14:textId="77777777" w:rsidR="002A4DDF" w:rsidRPr="00937C8B" w:rsidRDefault="002A4DDF" w:rsidP="009110ED">
            <w:pPr>
              <w:rPr>
                <w:rFonts w:ascii="Arial" w:hAnsi="Arial" w:cs="Arial"/>
                <w:sz w:val="12"/>
                <w:szCs w:val="12"/>
              </w:rPr>
            </w:pPr>
            <w:r>
              <w:rPr>
                <w:rFonts w:ascii="Arial" w:hAnsi="Arial"/>
                <w:sz w:val="12"/>
                <w:szCs w:val="12"/>
              </w:rPr>
              <w:t>Ahigal de Villarino</w:t>
            </w:r>
          </w:p>
        </w:tc>
      </w:tr>
      <w:tr w:rsidR="002A4DDF" w:rsidRPr="00937C8B" w14:paraId="5D2C32D6" w14:textId="77777777" w:rsidTr="00935676">
        <w:trPr>
          <w:cantSplit/>
        </w:trPr>
        <w:tc>
          <w:tcPr>
            <w:tcW w:w="1696" w:type="dxa"/>
            <w:tcBorders>
              <w:left w:val="single" w:sz="4" w:space="0" w:color="auto"/>
            </w:tcBorders>
            <w:shd w:val="clear" w:color="auto" w:fill="auto"/>
          </w:tcPr>
          <w:p w14:paraId="4DD18E64" w14:textId="77777777" w:rsidR="002A4DDF" w:rsidRPr="00937C8B" w:rsidRDefault="002A4DDF" w:rsidP="009110ED">
            <w:pPr>
              <w:rPr>
                <w:rFonts w:ascii="Arial" w:hAnsi="Arial" w:cs="Arial"/>
                <w:sz w:val="12"/>
                <w:szCs w:val="12"/>
              </w:rPr>
            </w:pPr>
          </w:p>
        </w:tc>
        <w:tc>
          <w:tcPr>
            <w:tcW w:w="1843" w:type="dxa"/>
            <w:shd w:val="clear" w:color="auto" w:fill="auto"/>
          </w:tcPr>
          <w:p w14:paraId="7B506139" w14:textId="77777777" w:rsidR="002A4DDF" w:rsidRPr="00937C8B" w:rsidRDefault="002A4DDF" w:rsidP="009110ED">
            <w:pPr>
              <w:rPr>
                <w:rFonts w:ascii="Arial" w:hAnsi="Arial" w:cs="Arial"/>
                <w:sz w:val="12"/>
                <w:szCs w:val="12"/>
              </w:rPr>
            </w:pPr>
          </w:p>
        </w:tc>
        <w:tc>
          <w:tcPr>
            <w:tcW w:w="2268" w:type="dxa"/>
            <w:shd w:val="clear" w:color="auto" w:fill="F2F2F2"/>
            <w:hideMark/>
          </w:tcPr>
          <w:p w14:paraId="55AED22C" w14:textId="77777777" w:rsidR="002A4DDF" w:rsidRPr="00937C8B" w:rsidRDefault="002A4DDF" w:rsidP="009110ED">
            <w:pPr>
              <w:rPr>
                <w:rFonts w:ascii="Arial" w:hAnsi="Arial" w:cs="Arial"/>
                <w:sz w:val="12"/>
                <w:szCs w:val="12"/>
              </w:rPr>
            </w:pPr>
            <w:r>
              <w:rPr>
                <w:rFonts w:ascii="Arial" w:hAnsi="Arial"/>
                <w:sz w:val="12"/>
                <w:szCs w:val="12"/>
              </w:rPr>
              <w:t>Alconada</w:t>
            </w:r>
          </w:p>
        </w:tc>
        <w:tc>
          <w:tcPr>
            <w:tcW w:w="2268" w:type="dxa"/>
            <w:tcBorders>
              <w:right w:val="single" w:sz="4" w:space="0" w:color="auto"/>
            </w:tcBorders>
            <w:shd w:val="clear" w:color="auto" w:fill="D9D9D9"/>
            <w:hideMark/>
          </w:tcPr>
          <w:p w14:paraId="2EC1D59A" w14:textId="77777777" w:rsidR="002A4DDF" w:rsidRPr="00937C8B" w:rsidRDefault="002A4DDF" w:rsidP="009110ED">
            <w:pPr>
              <w:rPr>
                <w:rFonts w:ascii="Arial" w:hAnsi="Arial" w:cs="Arial"/>
                <w:sz w:val="12"/>
                <w:szCs w:val="12"/>
              </w:rPr>
            </w:pPr>
            <w:r>
              <w:rPr>
                <w:rFonts w:ascii="Arial" w:hAnsi="Arial"/>
                <w:sz w:val="12"/>
                <w:szCs w:val="12"/>
              </w:rPr>
              <w:t>Alba de Tormes</w:t>
            </w:r>
          </w:p>
        </w:tc>
      </w:tr>
      <w:tr w:rsidR="002A4DDF" w:rsidRPr="00937C8B" w14:paraId="41DB04FC" w14:textId="77777777" w:rsidTr="00935676">
        <w:trPr>
          <w:cantSplit/>
        </w:trPr>
        <w:tc>
          <w:tcPr>
            <w:tcW w:w="1696" w:type="dxa"/>
            <w:tcBorders>
              <w:left w:val="single" w:sz="4" w:space="0" w:color="auto"/>
            </w:tcBorders>
            <w:shd w:val="clear" w:color="auto" w:fill="auto"/>
          </w:tcPr>
          <w:p w14:paraId="03A716EF" w14:textId="77777777" w:rsidR="002A4DDF" w:rsidRPr="00937C8B" w:rsidRDefault="002A4DDF" w:rsidP="009110ED">
            <w:pPr>
              <w:rPr>
                <w:rFonts w:ascii="Arial" w:hAnsi="Arial" w:cs="Arial"/>
                <w:sz w:val="12"/>
                <w:szCs w:val="12"/>
              </w:rPr>
            </w:pPr>
          </w:p>
        </w:tc>
        <w:tc>
          <w:tcPr>
            <w:tcW w:w="1843" w:type="dxa"/>
            <w:shd w:val="clear" w:color="auto" w:fill="auto"/>
          </w:tcPr>
          <w:p w14:paraId="3C278479" w14:textId="77777777" w:rsidR="002A4DDF" w:rsidRPr="00937C8B" w:rsidRDefault="002A4DDF" w:rsidP="009110ED">
            <w:pPr>
              <w:rPr>
                <w:rFonts w:ascii="Arial" w:hAnsi="Arial" w:cs="Arial"/>
                <w:sz w:val="12"/>
                <w:szCs w:val="12"/>
              </w:rPr>
            </w:pPr>
          </w:p>
        </w:tc>
        <w:tc>
          <w:tcPr>
            <w:tcW w:w="2268" w:type="dxa"/>
            <w:shd w:val="clear" w:color="auto" w:fill="F2F2F2"/>
            <w:hideMark/>
          </w:tcPr>
          <w:p w14:paraId="5311F1E5" w14:textId="77777777" w:rsidR="002A4DDF" w:rsidRPr="00937C8B" w:rsidRDefault="002A4DDF" w:rsidP="009110ED">
            <w:pPr>
              <w:rPr>
                <w:rFonts w:ascii="Arial" w:hAnsi="Arial" w:cs="Arial"/>
                <w:sz w:val="12"/>
                <w:szCs w:val="12"/>
              </w:rPr>
            </w:pPr>
            <w:r>
              <w:rPr>
                <w:rFonts w:ascii="Arial" w:hAnsi="Arial"/>
                <w:sz w:val="12"/>
                <w:szCs w:val="12"/>
              </w:rPr>
              <w:t>Aldealengua</w:t>
            </w:r>
          </w:p>
        </w:tc>
        <w:tc>
          <w:tcPr>
            <w:tcW w:w="2268" w:type="dxa"/>
            <w:tcBorders>
              <w:right w:val="single" w:sz="4" w:space="0" w:color="auto"/>
            </w:tcBorders>
            <w:shd w:val="clear" w:color="auto" w:fill="D9D9D9"/>
            <w:hideMark/>
          </w:tcPr>
          <w:p w14:paraId="7279B328" w14:textId="77777777" w:rsidR="002A4DDF" w:rsidRPr="00937C8B" w:rsidRDefault="002A4DDF" w:rsidP="009110ED">
            <w:pPr>
              <w:rPr>
                <w:rFonts w:ascii="Arial" w:hAnsi="Arial" w:cs="Arial"/>
                <w:sz w:val="12"/>
                <w:szCs w:val="12"/>
              </w:rPr>
            </w:pPr>
            <w:r>
              <w:rPr>
                <w:rFonts w:ascii="Arial" w:hAnsi="Arial"/>
                <w:sz w:val="12"/>
                <w:szCs w:val="12"/>
              </w:rPr>
              <w:t>Aldea del Obispo</w:t>
            </w:r>
          </w:p>
        </w:tc>
      </w:tr>
      <w:tr w:rsidR="002A4DDF" w:rsidRPr="00937C8B" w14:paraId="01C08E5C" w14:textId="77777777" w:rsidTr="00935676">
        <w:trPr>
          <w:cantSplit/>
        </w:trPr>
        <w:tc>
          <w:tcPr>
            <w:tcW w:w="1696" w:type="dxa"/>
            <w:tcBorders>
              <w:left w:val="single" w:sz="4" w:space="0" w:color="auto"/>
            </w:tcBorders>
            <w:shd w:val="clear" w:color="auto" w:fill="auto"/>
          </w:tcPr>
          <w:p w14:paraId="0A5B1057" w14:textId="77777777" w:rsidR="002A4DDF" w:rsidRPr="00937C8B" w:rsidRDefault="002A4DDF" w:rsidP="009110ED">
            <w:pPr>
              <w:rPr>
                <w:rFonts w:ascii="Arial" w:hAnsi="Arial" w:cs="Arial"/>
                <w:sz w:val="12"/>
                <w:szCs w:val="12"/>
              </w:rPr>
            </w:pPr>
          </w:p>
        </w:tc>
        <w:tc>
          <w:tcPr>
            <w:tcW w:w="1843" w:type="dxa"/>
            <w:shd w:val="clear" w:color="auto" w:fill="auto"/>
          </w:tcPr>
          <w:p w14:paraId="628E9672" w14:textId="77777777" w:rsidR="002A4DDF" w:rsidRPr="00937C8B" w:rsidRDefault="002A4DDF" w:rsidP="009110ED">
            <w:pPr>
              <w:rPr>
                <w:rFonts w:ascii="Arial" w:hAnsi="Arial" w:cs="Arial"/>
                <w:sz w:val="12"/>
                <w:szCs w:val="12"/>
              </w:rPr>
            </w:pPr>
          </w:p>
        </w:tc>
        <w:tc>
          <w:tcPr>
            <w:tcW w:w="2268" w:type="dxa"/>
            <w:shd w:val="clear" w:color="auto" w:fill="F2F2F2"/>
            <w:hideMark/>
          </w:tcPr>
          <w:p w14:paraId="132E8023" w14:textId="77777777" w:rsidR="002A4DDF" w:rsidRPr="00937C8B" w:rsidRDefault="002A4DDF" w:rsidP="009110ED">
            <w:pPr>
              <w:rPr>
                <w:rFonts w:ascii="Arial" w:hAnsi="Arial" w:cs="Arial"/>
                <w:sz w:val="12"/>
                <w:szCs w:val="12"/>
              </w:rPr>
            </w:pPr>
            <w:r>
              <w:rPr>
                <w:rFonts w:ascii="Arial" w:hAnsi="Arial"/>
                <w:sz w:val="12"/>
                <w:szCs w:val="12"/>
              </w:rPr>
              <w:t>Aldeanueva de Figueroa</w:t>
            </w:r>
          </w:p>
        </w:tc>
        <w:tc>
          <w:tcPr>
            <w:tcW w:w="2268" w:type="dxa"/>
            <w:tcBorders>
              <w:right w:val="single" w:sz="4" w:space="0" w:color="auto"/>
            </w:tcBorders>
            <w:shd w:val="clear" w:color="auto" w:fill="D9D9D9"/>
            <w:hideMark/>
          </w:tcPr>
          <w:p w14:paraId="79F687B1" w14:textId="77777777" w:rsidR="002A4DDF" w:rsidRPr="00937C8B" w:rsidRDefault="002A4DDF" w:rsidP="009110ED">
            <w:pPr>
              <w:rPr>
                <w:rFonts w:ascii="Arial" w:hAnsi="Arial" w:cs="Arial"/>
                <w:sz w:val="12"/>
                <w:szCs w:val="12"/>
              </w:rPr>
            </w:pPr>
            <w:r>
              <w:rPr>
                <w:rFonts w:ascii="Arial" w:hAnsi="Arial"/>
                <w:sz w:val="12"/>
                <w:szCs w:val="12"/>
              </w:rPr>
              <w:t>Aldeacipreste</w:t>
            </w:r>
          </w:p>
        </w:tc>
      </w:tr>
      <w:tr w:rsidR="002A4DDF" w:rsidRPr="00937C8B" w14:paraId="72763F29" w14:textId="77777777" w:rsidTr="00935676">
        <w:trPr>
          <w:cantSplit/>
        </w:trPr>
        <w:tc>
          <w:tcPr>
            <w:tcW w:w="1696" w:type="dxa"/>
            <w:tcBorders>
              <w:left w:val="single" w:sz="4" w:space="0" w:color="auto"/>
            </w:tcBorders>
            <w:shd w:val="clear" w:color="auto" w:fill="auto"/>
          </w:tcPr>
          <w:p w14:paraId="5322190A" w14:textId="77777777" w:rsidR="002A4DDF" w:rsidRPr="00937C8B" w:rsidRDefault="002A4DDF" w:rsidP="009110ED">
            <w:pPr>
              <w:rPr>
                <w:rFonts w:ascii="Arial" w:hAnsi="Arial" w:cs="Arial"/>
                <w:sz w:val="12"/>
                <w:szCs w:val="12"/>
              </w:rPr>
            </w:pPr>
          </w:p>
        </w:tc>
        <w:tc>
          <w:tcPr>
            <w:tcW w:w="1843" w:type="dxa"/>
            <w:shd w:val="clear" w:color="auto" w:fill="auto"/>
          </w:tcPr>
          <w:p w14:paraId="5E27889F" w14:textId="77777777" w:rsidR="002A4DDF" w:rsidRPr="00937C8B" w:rsidRDefault="002A4DDF" w:rsidP="009110ED">
            <w:pPr>
              <w:rPr>
                <w:rFonts w:ascii="Arial" w:hAnsi="Arial" w:cs="Arial"/>
                <w:sz w:val="12"/>
                <w:szCs w:val="12"/>
              </w:rPr>
            </w:pPr>
          </w:p>
        </w:tc>
        <w:tc>
          <w:tcPr>
            <w:tcW w:w="2268" w:type="dxa"/>
            <w:shd w:val="clear" w:color="auto" w:fill="F2F2F2"/>
            <w:hideMark/>
          </w:tcPr>
          <w:p w14:paraId="2DB13380" w14:textId="77777777" w:rsidR="002A4DDF" w:rsidRPr="00937C8B" w:rsidRDefault="002A4DDF" w:rsidP="009110ED">
            <w:pPr>
              <w:rPr>
                <w:rFonts w:ascii="Arial" w:hAnsi="Arial" w:cs="Arial"/>
                <w:sz w:val="12"/>
                <w:szCs w:val="12"/>
              </w:rPr>
            </w:pPr>
            <w:r>
              <w:rPr>
                <w:rFonts w:ascii="Arial" w:hAnsi="Arial"/>
                <w:sz w:val="12"/>
                <w:szCs w:val="12"/>
              </w:rPr>
              <w:t>Aldeanueva de la Sierra</w:t>
            </w:r>
          </w:p>
        </w:tc>
        <w:tc>
          <w:tcPr>
            <w:tcW w:w="2268" w:type="dxa"/>
            <w:tcBorders>
              <w:right w:val="single" w:sz="4" w:space="0" w:color="auto"/>
            </w:tcBorders>
            <w:shd w:val="clear" w:color="auto" w:fill="D9D9D9"/>
            <w:hideMark/>
          </w:tcPr>
          <w:p w14:paraId="02117305" w14:textId="77777777" w:rsidR="002A4DDF" w:rsidRPr="00937C8B" w:rsidRDefault="002A4DDF" w:rsidP="009110ED">
            <w:pPr>
              <w:rPr>
                <w:rFonts w:ascii="Arial" w:hAnsi="Arial" w:cs="Arial"/>
                <w:sz w:val="12"/>
                <w:szCs w:val="12"/>
              </w:rPr>
            </w:pPr>
            <w:r>
              <w:rPr>
                <w:rFonts w:ascii="Arial" w:hAnsi="Arial"/>
                <w:sz w:val="12"/>
                <w:szCs w:val="12"/>
              </w:rPr>
              <w:t>Aldeadávila de la Ribera</w:t>
            </w:r>
          </w:p>
        </w:tc>
      </w:tr>
      <w:tr w:rsidR="002A4DDF" w:rsidRPr="00937C8B" w14:paraId="28142B9C" w14:textId="77777777" w:rsidTr="00935676">
        <w:trPr>
          <w:cantSplit/>
        </w:trPr>
        <w:tc>
          <w:tcPr>
            <w:tcW w:w="1696" w:type="dxa"/>
            <w:tcBorders>
              <w:left w:val="single" w:sz="4" w:space="0" w:color="auto"/>
            </w:tcBorders>
            <w:shd w:val="clear" w:color="auto" w:fill="auto"/>
          </w:tcPr>
          <w:p w14:paraId="3D61F884" w14:textId="77777777" w:rsidR="002A4DDF" w:rsidRPr="00937C8B" w:rsidRDefault="002A4DDF" w:rsidP="009110ED">
            <w:pPr>
              <w:rPr>
                <w:rFonts w:ascii="Arial" w:hAnsi="Arial" w:cs="Arial"/>
                <w:sz w:val="12"/>
                <w:szCs w:val="12"/>
              </w:rPr>
            </w:pPr>
          </w:p>
        </w:tc>
        <w:tc>
          <w:tcPr>
            <w:tcW w:w="1843" w:type="dxa"/>
            <w:shd w:val="clear" w:color="auto" w:fill="auto"/>
          </w:tcPr>
          <w:p w14:paraId="7287AAA7" w14:textId="77777777" w:rsidR="002A4DDF" w:rsidRPr="00937C8B" w:rsidRDefault="002A4DDF" w:rsidP="009110ED">
            <w:pPr>
              <w:rPr>
                <w:rFonts w:ascii="Arial" w:hAnsi="Arial" w:cs="Arial"/>
                <w:sz w:val="12"/>
                <w:szCs w:val="12"/>
              </w:rPr>
            </w:pPr>
          </w:p>
        </w:tc>
        <w:tc>
          <w:tcPr>
            <w:tcW w:w="2268" w:type="dxa"/>
            <w:shd w:val="clear" w:color="auto" w:fill="F2F2F2"/>
            <w:hideMark/>
          </w:tcPr>
          <w:p w14:paraId="59AACC8A" w14:textId="77777777" w:rsidR="002A4DDF" w:rsidRPr="00937C8B" w:rsidRDefault="002A4DDF" w:rsidP="009110ED">
            <w:pPr>
              <w:rPr>
                <w:rFonts w:ascii="Arial" w:hAnsi="Arial" w:cs="Arial"/>
                <w:sz w:val="12"/>
                <w:szCs w:val="12"/>
              </w:rPr>
            </w:pPr>
            <w:r>
              <w:rPr>
                <w:rFonts w:ascii="Arial" w:hAnsi="Arial"/>
                <w:sz w:val="12"/>
                <w:szCs w:val="12"/>
              </w:rPr>
              <w:t>Aldearrodrigo</w:t>
            </w:r>
          </w:p>
        </w:tc>
        <w:tc>
          <w:tcPr>
            <w:tcW w:w="2268" w:type="dxa"/>
            <w:tcBorders>
              <w:right w:val="single" w:sz="4" w:space="0" w:color="auto"/>
            </w:tcBorders>
            <w:shd w:val="clear" w:color="auto" w:fill="D9D9D9"/>
            <w:hideMark/>
          </w:tcPr>
          <w:p w14:paraId="0875BE5A" w14:textId="77777777" w:rsidR="002A4DDF" w:rsidRPr="00937C8B" w:rsidRDefault="002A4DDF" w:rsidP="009110ED">
            <w:pPr>
              <w:rPr>
                <w:rFonts w:ascii="Arial" w:hAnsi="Arial" w:cs="Arial"/>
                <w:sz w:val="12"/>
                <w:szCs w:val="12"/>
              </w:rPr>
            </w:pPr>
            <w:r>
              <w:rPr>
                <w:rFonts w:ascii="Arial" w:hAnsi="Arial"/>
                <w:sz w:val="12"/>
                <w:szCs w:val="12"/>
              </w:rPr>
              <w:t>Aldeatejada</w:t>
            </w:r>
          </w:p>
        </w:tc>
      </w:tr>
      <w:tr w:rsidR="002A4DDF" w:rsidRPr="00937C8B" w14:paraId="6D6F91EE" w14:textId="77777777" w:rsidTr="00935676">
        <w:trPr>
          <w:cantSplit/>
        </w:trPr>
        <w:tc>
          <w:tcPr>
            <w:tcW w:w="1696" w:type="dxa"/>
            <w:tcBorders>
              <w:left w:val="single" w:sz="4" w:space="0" w:color="auto"/>
            </w:tcBorders>
            <w:shd w:val="clear" w:color="auto" w:fill="auto"/>
          </w:tcPr>
          <w:p w14:paraId="28D9B9E5" w14:textId="77777777" w:rsidR="002A4DDF" w:rsidRPr="00937C8B" w:rsidRDefault="002A4DDF" w:rsidP="009110ED">
            <w:pPr>
              <w:rPr>
                <w:rFonts w:ascii="Arial" w:hAnsi="Arial" w:cs="Arial"/>
                <w:sz w:val="12"/>
                <w:szCs w:val="12"/>
              </w:rPr>
            </w:pPr>
          </w:p>
        </w:tc>
        <w:tc>
          <w:tcPr>
            <w:tcW w:w="1843" w:type="dxa"/>
            <w:shd w:val="clear" w:color="auto" w:fill="auto"/>
          </w:tcPr>
          <w:p w14:paraId="43BD3ED6" w14:textId="77777777" w:rsidR="002A4DDF" w:rsidRPr="00937C8B" w:rsidRDefault="002A4DDF" w:rsidP="009110ED">
            <w:pPr>
              <w:rPr>
                <w:rFonts w:ascii="Arial" w:hAnsi="Arial" w:cs="Arial"/>
                <w:sz w:val="12"/>
                <w:szCs w:val="12"/>
              </w:rPr>
            </w:pPr>
          </w:p>
        </w:tc>
        <w:tc>
          <w:tcPr>
            <w:tcW w:w="2268" w:type="dxa"/>
            <w:shd w:val="clear" w:color="auto" w:fill="F2F2F2"/>
            <w:hideMark/>
          </w:tcPr>
          <w:p w14:paraId="4E207DDE" w14:textId="77777777" w:rsidR="002A4DDF" w:rsidRPr="00937C8B" w:rsidRDefault="002A4DDF" w:rsidP="009110ED">
            <w:pPr>
              <w:rPr>
                <w:rFonts w:ascii="Arial" w:hAnsi="Arial" w:cs="Arial"/>
                <w:sz w:val="12"/>
                <w:szCs w:val="12"/>
              </w:rPr>
            </w:pPr>
            <w:r>
              <w:rPr>
                <w:rFonts w:ascii="Arial" w:hAnsi="Arial"/>
                <w:sz w:val="12"/>
                <w:szCs w:val="12"/>
              </w:rPr>
              <w:t>Aldearrubia</w:t>
            </w:r>
          </w:p>
        </w:tc>
        <w:tc>
          <w:tcPr>
            <w:tcW w:w="2268" w:type="dxa"/>
            <w:tcBorders>
              <w:right w:val="single" w:sz="4" w:space="0" w:color="auto"/>
            </w:tcBorders>
            <w:shd w:val="clear" w:color="auto" w:fill="D9D9D9"/>
            <w:hideMark/>
          </w:tcPr>
          <w:p w14:paraId="4F899D97" w14:textId="77777777" w:rsidR="002A4DDF" w:rsidRPr="00937C8B" w:rsidRDefault="002A4DDF" w:rsidP="009110ED">
            <w:pPr>
              <w:rPr>
                <w:rFonts w:ascii="Arial" w:hAnsi="Arial" w:cs="Arial"/>
                <w:sz w:val="12"/>
                <w:szCs w:val="12"/>
              </w:rPr>
            </w:pPr>
            <w:r>
              <w:rPr>
                <w:rFonts w:ascii="Arial" w:hAnsi="Arial"/>
                <w:sz w:val="12"/>
                <w:szCs w:val="12"/>
              </w:rPr>
              <w:t>Aldeavieja de Tormes</w:t>
            </w:r>
          </w:p>
        </w:tc>
      </w:tr>
      <w:tr w:rsidR="002A4DDF" w:rsidRPr="00937C8B" w14:paraId="7177AB0E" w14:textId="77777777" w:rsidTr="00935676">
        <w:trPr>
          <w:cantSplit/>
        </w:trPr>
        <w:tc>
          <w:tcPr>
            <w:tcW w:w="1696" w:type="dxa"/>
            <w:tcBorders>
              <w:left w:val="single" w:sz="4" w:space="0" w:color="auto"/>
            </w:tcBorders>
            <w:shd w:val="clear" w:color="auto" w:fill="auto"/>
          </w:tcPr>
          <w:p w14:paraId="6C3E3CC3" w14:textId="77777777" w:rsidR="002A4DDF" w:rsidRPr="00937C8B" w:rsidRDefault="002A4DDF" w:rsidP="009110ED">
            <w:pPr>
              <w:rPr>
                <w:rFonts w:ascii="Arial" w:hAnsi="Arial" w:cs="Arial"/>
                <w:sz w:val="12"/>
                <w:szCs w:val="12"/>
              </w:rPr>
            </w:pPr>
          </w:p>
        </w:tc>
        <w:tc>
          <w:tcPr>
            <w:tcW w:w="1843" w:type="dxa"/>
            <w:shd w:val="clear" w:color="auto" w:fill="auto"/>
          </w:tcPr>
          <w:p w14:paraId="2AADF4DC" w14:textId="77777777" w:rsidR="002A4DDF" w:rsidRPr="00937C8B" w:rsidRDefault="002A4DDF" w:rsidP="009110ED">
            <w:pPr>
              <w:rPr>
                <w:rFonts w:ascii="Arial" w:hAnsi="Arial" w:cs="Arial"/>
                <w:sz w:val="12"/>
                <w:szCs w:val="12"/>
              </w:rPr>
            </w:pPr>
          </w:p>
        </w:tc>
        <w:tc>
          <w:tcPr>
            <w:tcW w:w="2268" w:type="dxa"/>
            <w:shd w:val="clear" w:color="auto" w:fill="F2F2F2"/>
            <w:hideMark/>
          </w:tcPr>
          <w:p w14:paraId="6E9764AD" w14:textId="77777777" w:rsidR="002A4DDF" w:rsidRPr="00937C8B" w:rsidRDefault="002A4DDF" w:rsidP="009110ED">
            <w:pPr>
              <w:rPr>
                <w:rFonts w:ascii="Arial" w:hAnsi="Arial" w:cs="Arial"/>
                <w:sz w:val="12"/>
                <w:szCs w:val="12"/>
              </w:rPr>
            </w:pPr>
            <w:r>
              <w:rPr>
                <w:rFonts w:ascii="Arial" w:hAnsi="Arial"/>
                <w:sz w:val="12"/>
                <w:szCs w:val="12"/>
              </w:rPr>
              <w:t>Aldeaseca de Alba</w:t>
            </w:r>
          </w:p>
        </w:tc>
        <w:tc>
          <w:tcPr>
            <w:tcW w:w="2268" w:type="dxa"/>
            <w:tcBorders>
              <w:right w:val="single" w:sz="4" w:space="0" w:color="auto"/>
            </w:tcBorders>
            <w:shd w:val="clear" w:color="auto" w:fill="D9D9D9"/>
            <w:hideMark/>
          </w:tcPr>
          <w:p w14:paraId="40FE2900" w14:textId="77777777" w:rsidR="002A4DDF" w:rsidRPr="00937C8B" w:rsidRDefault="002A4DDF" w:rsidP="009110ED">
            <w:pPr>
              <w:rPr>
                <w:rFonts w:ascii="Arial" w:hAnsi="Arial" w:cs="Arial"/>
                <w:sz w:val="12"/>
                <w:szCs w:val="12"/>
              </w:rPr>
            </w:pPr>
            <w:r>
              <w:rPr>
                <w:rFonts w:ascii="Arial" w:hAnsi="Arial"/>
                <w:sz w:val="12"/>
                <w:szCs w:val="12"/>
              </w:rPr>
              <w:t>Almendra</w:t>
            </w:r>
          </w:p>
        </w:tc>
      </w:tr>
      <w:tr w:rsidR="002A4DDF" w:rsidRPr="00937C8B" w14:paraId="03A32728" w14:textId="77777777" w:rsidTr="00935676">
        <w:trPr>
          <w:cantSplit/>
        </w:trPr>
        <w:tc>
          <w:tcPr>
            <w:tcW w:w="1696" w:type="dxa"/>
            <w:tcBorders>
              <w:left w:val="single" w:sz="4" w:space="0" w:color="auto"/>
            </w:tcBorders>
            <w:shd w:val="clear" w:color="auto" w:fill="auto"/>
          </w:tcPr>
          <w:p w14:paraId="16EA31EC" w14:textId="77777777" w:rsidR="002A4DDF" w:rsidRPr="00937C8B" w:rsidRDefault="002A4DDF" w:rsidP="009110ED">
            <w:pPr>
              <w:rPr>
                <w:rFonts w:ascii="Arial" w:hAnsi="Arial" w:cs="Arial"/>
                <w:sz w:val="12"/>
                <w:szCs w:val="12"/>
              </w:rPr>
            </w:pPr>
          </w:p>
        </w:tc>
        <w:tc>
          <w:tcPr>
            <w:tcW w:w="1843" w:type="dxa"/>
            <w:shd w:val="clear" w:color="auto" w:fill="auto"/>
          </w:tcPr>
          <w:p w14:paraId="3189EBB3" w14:textId="77777777" w:rsidR="002A4DDF" w:rsidRPr="00937C8B" w:rsidRDefault="002A4DDF" w:rsidP="009110ED">
            <w:pPr>
              <w:rPr>
                <w:rFonts w:ascii="Arial" w:hAnsi="Arial" w:cs="Arial"/>
                <w:sz w:val="12"/>
                <w:szCs w:val="12"/>
              </w:rPr>
            </w:pPr>
          </w:p>
        </w:tc>
        <w:tc>
          <w:tcPr>
            <w:tcW w:w="2268" w:type="dxa"/>
            <w:shd w:val="clear" w:color="auto" w:fill="F2F2F2"/>
            <w:hideMark/>
          </w:tcPr>
          <w:p w14:paraId="1323F803" w14:textId="77777777" w:rsidR="002A4DDF" w:rsidRPr="00937C8B" w:rsidRDefault="002A4DDF" w:rsidP="009110ED">
            <w:pPr>
              <w:rPr>
                <w:rFonts w:ascii="Arial" w:hAnsi="Arial" w:cs="Arial"/>
                <w:sz w:val="12"/>
                <w:szCs w:val="12"/>
              </w:rPr>
            </w:pPr>
            <w:r>
              <w:rPr>
                <w:rFonts w:ascii="Arial" w:hAnsi="Arial"/>
                <w:sz w:val="12"/>
                <w:szCs w:val="12"/>
              </w:rPr>
              <w:t>Aldeaseca de la Frontera</w:t>
            </w:r>
          </w:p>
        </w:tc>
        <w:tc>
          <w:tcPr>
            <w:tcW w:w="2268" w:type="dxa"/>
            <w:tcBorders>
              <w:right w:val="single" w:sz="4" w:space="0" w:color="auto"/>
            </w:tcBorders>
            <w:shd w:val="clear" w:color="auto" w:fill="D9D9D9"/>
            <w:hideMark/>
          </w:tcPr>
          <w:p w14:paraId="65EE5797" w14:textId="77777777" w:rsidR="002A4DDF" w:rsidRPr="00937C8B" w:rsidRDefault="002A4DDF" w:rsidP="009110ED">
            <w:pPr>
              <w:rPr>
                <w:rFonts w:ascii="Arial" w:hAnsi="Arial" w:cs="Arial"/>
                <w:sz w:val="12"/>
                <w:szCs w:val="12"/>
              </w:rPr>
            </w:pPr>
            <w:r>
              <w:rPr>
                <w:rFonts w:ascii="Arial" w:hAnsi="Arial"/>
                <w:sz w:val="12"/>
                <w:szCs w:val="12"/>
              </w:rPr>
              <w:t>Añover de Tormes</w:t>
            </w:r>
          </w:p>
        </w:tc>
      </w:tr>
      <w:tr w:rsidR="002A4DDF" w:rsidRPr="00937C8B" w14:paraId="5554A7FE" w14:textId="77777777" w:rsidTr="00935676">
        <w:trPr>
          <w:cantSplit/>
        </w:trPr>
        <w:tc>
          <w:tcPr>
            <w:tcW w:w="1696" w:type="dxa"/>
            <w:tcBorders>
              <w:left w:val="single" w:sz="4" w:space="0" w:color="auto"/>
            </w:tcBorders>
            <w:shd w:val="clear" w:color="auto" w:fill="auto"/>
          </w:tcPr>
          <w:p w14:paraId="2521E134" w14:textId="77777777" w:rsidR="002A4DDF" w:rsidRPr="00937C8B" w:rsidRDefault="002A4DDF" w:rsidP="009110ED">
            <w:pPr>
              <w:rPr>
                <w:rFonts w:ascii="Arial" w:hAnsi="Arial" w:cs="Arial"/>
                <w:sz w:val="12"/>
                <w:szCs w:val="12"/>
              </w:rPr>
            </w:pPr>
          </w:p>
        </w:tc>
        <w:tc>
          <w:tcPr>
            <w:tcW w:w="1843" w:type="dxa"/>
            <w:shd w:val="clear" w:color="auto" w:fill="auto"/>
          </w:tcPr>
          <w:p w14:paraId="1FC96029" w14:textId="77777777" w:rsidR="002A4DDF" w:rsidRPr="00937C8B" w:rsidRDefault="002A4DDF" w:rsidP="009110ED">
            <w:pPr>
              <w:rPr>
                <w:rFonts w:ascii="Arial" w:hAnsi="Arial" w:cs="Arial"/>
                <w:sz w:val="12"/>
                <w:szCs w:val="12"/>
              </w:rPr>
            </w:pPr>
          </w:p>
        </w:tc>
        <w:tc>
          <w:tcPr>
            <w:tcW w:w="2268" w:type="dxa"/>
            <w:shd w:val="clear" w:color="auto" w:fill="F2F2F2"/>
            <w:hideMark/>
          </w:tcPr>
          <w:p w14:paraId="0B7AB753" w14:textId="77777777" w:rsidR="002A4DDF" w:rsidRPr="00937C8B" w:rsidRDefault="002A4DDF" w:rsidP="009110ED">
            <w:pPr>
              <w:rPr>
                <w:rFonts w:ascii="Arial" w:hAnsi="Arial" w:cs="Arial"/>
                <w:sz w:val="12"/>
                <w:szCs w:val="12"/>
              </w:rPr>
            </w:pPr>
            <w:r>
              <w:rPr>
                <w:rFonts w:ascii="Arial" w:hAnsi="Arial"/>
                <w:sz w:val="12"/>
                <w:szCs w:val="12"/>
              </w:rPr>
              <w:t>Aldehuela de la Bóveda</w:t>
            </w:r>
          </w:p>
        </w:tc>
        <w:tc>
          <w:tcPr>
            <w:tcW w:w="2268" w:type="dxa"/>
            <w:tcBorders>
              <w:right w:val="single" w:sz="4" w:space="0" w:color="auto"/>
            </w:tcBorders>
            <w:shd w:val="clear" w:color="auto" w:fill="D9D9D9"/>
            <w:hideMark/>
          </w:tcPr>
          <w:p w14:paraId="7DD7A7FE" w14:textId="77777777" w:rsidR="002A4DDF" w:rsidRPr="00937C8B" w:rsidRDefault="002A4DDF" w:rsidP="009110ED">
            <w:pPr>
              <w:rPr>
                <w:rFonts w:ascii="Arial" w:hAnsi="Arial" w:cs="Arial"/>
                <w:sz w:val="12"/>
                <w:szCs w:val="12"/>
              </w:rPr>
            </w:pPr>
            <w:r>
              <w:rPr>
                <w:rFonts w:ascii="Arial" w:hAnsi="Arial"/>
                <w:sz w:val="12"/>
                <w:szCs w:val="12"/>
              </w:rPr>
              <w:t>Arapiles</w:t>
            </w:r>
          </w:p>
        </w:tc>
      </w:tr>
      <w:tr w:rsidR="002A4DDF" w:rsidRPr="00937C8B" w14:paraId="7C2C00A4" w14:textId="77777777" w:rsidTr="00935676">
        <w:trPr>
          <w:cantSplit/>
        </w:trPr>
        <w:tc>
          <w:tcPr>
            <w:tcW w:w="1696" w:type="dxa"/>
            <w:tcBorders>
              <w:left w:val="single" w:sz="4" w:space="0" w:color="auto"/>
            </w:tcBorders>
            <w:shd w:val="clear" w:color="auto" w:fill="auto"/>
          </w:tcPr>
          <w:p w14:paraId="2BBDAAB2" w14:textId="77777777" w:rsidR="002A4DDF" w:rsidRPr="00937C8B" w:rsidRDefault="002A4DDF" w:rsidP="009110ED">
            <w:pPr>
              <w:rPr>
                <w:rFonts w:ascii="Arial" w:hAnsi="Arial" w:cs="Arial"/>
                <w:sz w:val="12"/>
                <w:szCs w:val="12"/>
              </w:rPr>
            </w:pPr>
          </w:p>
        </w:tc>
        <w:tc>
          <w:tcPr>
            <w:tcW w:w="1843" w:type="dxa"/>
            <w:shd w:val="clear" w:color="auto" w:fill="auto"/>
          </w:tcPr>
          <w:p w14:paraId="264A25F7" w14:textId="77777777" w:rsidR="002A4DDF" w:rsidRPr="00937C8B" w:rsidRDefault="002A4DDF" w:rsidP="009110ED">
            <w:pPr>
              <w:rPr>
                <w:rFonts w:ascii="Arial" w:hAnsi="Arial" w:cs="Arial"/>
                <w:sz w:val="12"/>
                <w:szCs w:val="12"/>
              </w:rPr>
            </w:pPr>
          </w:p>
        </w:tc>
        <w:tc>
          <w:tcPr>
            <w:tcW w:w="2268" w:type="dxa"/>
            <w:shd w:val="clear" w:color="auto" w:fill="F2F2F2"/>
            <w:hideMark/>
          </w:tcPr>
          <w:p w14:paraId="059F2A29" w14:textId="77777777" w:rsidR="002A4DDF" w:rsidRPr="00937C8B" w:rsidRDefault="002A4DDF" w:rsidP="009110ED">
            <w:pPr>
              <w:rPr>
                <w:rFonts w:ascii="Arial" w:hAnsi="Arial" w:cs="Arial"/>
                <w:sz w:val="12"/>
                <w:szCs w:val="12"/>
              </w:rPr>
            </w:pPr>
            <w:r>
              <w:rPr>
                <w:rFonts w:ascii="Arial" w:hAnsi="Arial"/>
                <w:sz w:val="12"/>
                <w:szCs w:val="12"/>
              </w:rPr>
              <w:t>Aldehuela de Yeltes</w:t>
            </w:r>
          </w:p>
        </w:tc>
        <w:tc>
          <w:tcPr>
            <w:tcW w:w="2268" w:type="dxa"/>
            <w:tcBorders>
              <w:right w:val="single" w:sz="4" w:space="0" w:color="auto"/>
            </w:tcBorders>
            <w:shd w:val="clear" w:color="auto" w:fill="D9D9D9"/>
            <w:hideMark/>
          </w:tcPr>
          <w:p w14:paraId="46210790" w14:textId="77777777" w:rsidR="002A4DDF" w:rsidRPr="00937C8B" w:rsidRDefault="002A4DDF" w:rsidP="009110ED">
            <w:pPr>
              <w:rPr>
                <w:rFonts w:ascii="Arial" w:hAnsi="Arial" w:cs="Arial"/>
                <w:sz w:val="12"/>
                <w:szCs w:val="12"/>
              </w:rPr>
            </w:pPr>
            <w:r>
              <w:rPr>
                <w:rFonts w:ascii="Arial" w:hAnsi="Arial"/>
                <w:sz w:val="12"/>
                <w:szCs w:val="12"/>
              </w:rPr>
              <w:t>Armenteros</w:t>
            </w:r>
          </w:p>
        </w:tc>
      </w:tr>
      <w:tr w:rsidR="002A4DDF" w:rsidRPr="00937C8B" w14:paraId="2B170529" w14:textId="77777777" w:rsidTr="00935676">
        <w:trPr>
          <w:cantSplit/>
        </w:trPr>
        <w:tc>
          <w:tcPr>
            <w:tcW w:w="1696" w:type="dxa"/>
            <w:tcBorders>
              <w:left w:val="single" w:sz="4" w:space="0" w:color="auto"/>
            </w:tcBorders>
            <w:shd w:val="clear" w:color="auto" w:fill="auto"/>
          </w:tcPr>
          <w:p w14:paraId="3F2191E8" w14:textId="77777777" w:rsidR="002A4DDF" w:rsidRPr="00937C8B" w:rsidRDefault="002A4DDF" w:rsidP="009110ED">
            <w:pPr>
              <w:rPr>
                <w:rFonts w:ascii="Arial" w:hAnsi="Arial" w:cs="Arial"/>
                <w:sz w:val="12"/>
                <w:szCs w:val="12"/>
              </w:rPr>
            </w:pPr>
          </w:p>
        </w:tc>
        <w:tc>
          <w:tcPr>
            <w:tcW w:w="1843" w:type="dxa"/>
            <w:shd w:val="clear" w:color="auto" w:fill="auto"/>
          </w:tcPr>
          <w:p w14:paraId="05E754B7" w14:textId="77777777" w:rsidR="002A4DDF" w:rsidRPr="00937C8B" w:rsidRDefault="002A4DDF" w:rsidP="009110ED">
            <w:pPr>
              <w:rPr>
                <w:rFonts w:ascii="Arial" w:hAnsi="Arial" w:cs="Arial"/>
                <w:sz w:val="12"/>
                <w:szCs w:val="12"/>
              </w:rPr>
            </w:pPr>
          </w:p>
        </w:tc>
        <w:tc>
          <w:tcPr>
            <w:tcW w:w="2268" w:type="dxa"/>
            <w:shd w:val="clear" w:color="auto" w:fill="F2F2F2"/>
            <w:hideMark/>
          </w:tcPr>
          <w:p w14:paraId="16A9A562" w14:textId="77777777" w:rsidR="002A4DDF" w:rsidRPr="00937C8B" w:rsidRDefault="002A4DDF" w:rsidP="009110ED">
            <w:pPr>
              <w:rPr>
                <w:rFonts w:ascii="Arial" w:hAnsi="Arial" w:cs="Arial"/>
                <w:sz w:val="12"/>
                <w:szCs w:val="12"/>
              </w:rPr>
            </w:pPr>
            <w:r>
              <w:rPr>
                <w:rFonts w:ascii="Arial" w:hAnsi="Arial"/>
                <w:sz w:val="12"/>
                <w:szCs w:val="12"/>
              </w:rPr>
              <w:t>Almenara de Tormes</w:t>
            </w:r>
          </w:p>
        </w:tc>
        <w:tc>
          <w:tcPr>
            <w:tcW w:w="2268" w:type="dxa"/>
            <w:tcBorders>
              <w:right w:val="single" w:sz="4" w:space="0" w:color="auto"/>
            </w:tcBorders>
            <w:shd w:val="clear" w:color="auto" w:fill="D9D9D9"/>
            <w:hideMark/>
          </w:tcPr>
          <w:p w14:paraId="053A5D39" w14:textId="77777777" w:rsidR="002A4DDF" w:rsidRPr="00937C8B" w:rsidRDefault="002A4DDF" w:rsidP="009110ED">
            <w:pPr>
              <w:rPr>
                <w:rFonts w:ascii="Arial" w:hAnsi="Arial" w:cs="Arial"/>
                <w:sz w:val="12"/>
                <w:szCs w:val="12"/>
              </w:rPr>
            </w:pPr>
            <w:r>
              <w:rPr>
                <w:rFonts w:ascii="Arial" w:hAnsi="Arial"/>
                <w:sz w:val="12"/>
                <w:szCs w:val="12"/>
              </w:rPr>
              <w:t>Bañobárez</w:t>
            </w:r>
          </w:p>
        </w:tc>
      </w:tr>
      <w:tr w:rsidR="002A4DDF" w:rsidRPr="00937C8B" w14:paraId="591D110B" w14:textId="77777777" w:rsidTr="00935676">
        <w:trPr>
          <w:cantSplit/>
        </w:trPr>
        <w:tc>
          <w:tcPr>
            <w:tcW w:w="1696" w:type="dxa"/>
            <w:tcBorders>
              <w:left w:val="single" w:sz="4" w:space="0" w:color="auto"/>
            </w:tcBorders>
            <w:shd w:val="clear" w:color="auto" w:fill="auto"/>
          </w:tcPr>
          <w:p w14:paraId="2D2DCB3D" w14:textId="77777777" w:rsidR="002A4DDF" w:rsidRPr="00937C8B" w:rsidRDefault="002A4DDF" w:rsidP="009110ED">
            <w:pPr>
              <w:rPr>
                <w:rFonts w:ascii="Arial" w:hAnsi="Arial" w:cs="Arial"/>
                <w:sz w:val="12"/>
                <w:szCs w:val="12"/>
              </w:rPr>
            </w:pPr>
          </w:p>
        </w:tc>
        <w:tc>
          <w:tcPr>
            <w:tcW w:w="1843" w:type="dxa"/>
            <w:shd w:val="clear" w:color="auto" w:fill="auto"/>
          </w:tcPr>
          <w:p w14:paraId="50DAB8BA" w14:textId="77777777" w:rsidR="002A4DDF" w:rsidRPr="00937C8B" w:rsidRDefault="002A4DDF" w:rsidP="009110ED">
            <w:pPr>
              <w:rPr>
                <w:rFonts w:ascii="Arial" w:hAnsi="Arial" w:cs="Arial"/>
                <w:sz w:val="12"/>
                <w:szCs w:val="12"/>
              </w:rPr>
            </w:pPr>
          </w:p>
        </w:tc>
        <w:tc>
          <w:tcPr>
            <w:tcW w:w="2268" w:type="dxa"/>
            <w:shd w:val="clear" w:color="auto" w:fill="F2F2F2"/>
            <w:hideMark/>
          </w:tcPr>
          <w:p w14:paraId="71EDA20A" w14:textId="77777777" w:rsidR="002A4DDF" w:rsidRPr="00937C8B" w:rsidRDefault="002A4DDF" w:rsidP="009110ED">
            <w:pPr>
              <w:rPr>
                <w:rFonts w:ascii="Arial" w:hAnsi="Arial" w:cs="Arial"/>
                <w:sz w:val="12"/>
                <w:szCs w:val="12"/>
              </w:rPr>
            </w:pPr>
            <w:r>
              <w:rPr>
                <w:rFonts w:ascii="Arial" w:hAnsi="Arial"/>
                <w:sz w:val="12"/>
                <w:szCs w:val="12"/>
              </w:rPr>
              <w:t>Anaya de Alba</w:t>
            </w:r>
          </w:p>
        </w:tc>
        <w:tc>
          <w:tcPr>
            <w:tcW w:w="2268" w:type="dxa"/>
            <w:tcBorders>
              <w:right w:val="single" w:sz="4" w:space="0" w:color="auto"/>
            </w:tcBorders>
            <w:shd w:val="clear" w:color="auto" w:fill="D9D9D9"/>
            <w:hideMark/>
          </w:tcPr>
          <w:p w14:paraId="446E5E1B" w14:textId="77777777" w:rsidR="002A4DDF" w:rsidRPr="00937C8B" w:rsidRDefault="002A4DDF" w:rsidP="009110ED">
            <w:pPr>
              <w:rPr>
                <w:rFonts w:ascii="Arial" w:hAnsi="Arial" w:cs="Arial"/>
                <w:sz w:val="12"/>
                <w:szCs w:val="12"/>
              </w:rPr>
            </w:pPr>
            <w:r>
              <w:rPr>
                <w:rFonts w:ascii="Arial" w:hAnsi="Arial"/>
                <w:sz w:val="12"/>
                <w:szCs w:val="12"/>
              </w:rPr>
              <w:t>Barbalos</w:t>
            </w:r>
          </w:p>
        </w:tc>
      </w:tr>
      <w:tr w:rsidR="002A4DDF" w:rsidRPr="00937C8B" w14:paraId="1F6476F3" w14:textId="77777777" w:rsidTr="00935676">
        <w:trPr>
          <w:cantSplit/>
        </w:trPr>
        <w:tc>
          <w:tcPr>
            <w:tcW w:w="1696" w:type="dxa"/>
            <w:tcBorders>
              <w:left w:val="single" w:sz="4" w:space="0" w:color="auto"/>
            </w:tcBorders>
            <w:shd w:val="clear" w:color="auto" w:fill="auto"/>
          </w:tcPr>
          <w:p w14:paraId="4B23A7AA" w14:textId="77777777" w:rsidR="002A4DDF" w:rsidRPr="00937C8B" w:rsidRDefault="002A4DDF" w:rsidP="009110ED">
            <w:pPr>
              <w:rPr>
                <w:rFonts w:ascii="Arial" w:hAnsi="Arial" w:cs="Arial"/>
                <w:sz w:val="12"/>
                <w:szCs w:val="12"/>
              </w:rPr>
            </w:pPr>
          </w:p>
        </w:tc>
        <w:tc>
          <w:tcPr>
            <w:tcW w:w="1843" w:type="dxa"/>
            <w:shd w:val="clear" w:color="auto" w:fill="auto"/>
          </w:tcPr>
          <w:p w14:paraId="31E40857" w14:textId="77777777" w:rsidR="002A4DDF" w:rsidRPr="00937C8B" w:rsidRDefault="002A4DDF" w:rsidP="009110ED">
            <w:pPr>
              <w:rPr>
                <w:rFonts w:ascii="Arial" w:hAnsi="Arial" w:cs="Arial"/>
                <w:sz w:val="12"/>
                <w:szCs w:val="12"/>
              </w:rPr>
            </w:pPr>
          </w:p>
        </w:tc>
        <w:tc>
          <w:tcPr>
            <w:tcW w:w="2268" w:type="dxa"/>
            <w:shd w:val="clear" w:color="auto" w:fill="F2F2F2"/>
            <w:hideMark/>
          </w:tcPr>
          <w:p w14:paraId="1420B472" w14:textId="77777777" w:rsidR="002A4DDF" w:rsidRPr="00937C8B" w:rsidRDefault="002A4DDF" w:rsidP="009110ED">
            <w:pPr>
              <w:rPr>
                <w:rFonts w:ascii="Arial" w:hAnsi="Arial" w:cs="Arial"/>
                <w:sz w:val="12"/>
                <w:szCs w:val="12"/>
              </w:rPr>
            </w:pPr>
            <w:r>
              <w:rPr>
                <w:rFonts w:ascii="Arial" w:hAnsi="Arial"/>
                <w:sz w:val="12"/>
                <w:szCs w:val="12"/>
              </w:rPr>
              <w:t>Arabayona de Mógica</w:t>
            </w:r>
          </w:p>
        </w:tc>
        <w:tc>
          <w:tcPr>
            <w:tcW w:w="2268" w:type="dxa"/>
            <w:tcBorders>
              <w:right w:val="single" w:sz="4" w:space="0" w:color="auto"/>
            </w:tcBorders>
            <w:shd w:val="clear" w:color="auto" w:fill="D9D9D9"/>
            <w:hideMark/>
          </w:tcPr>
          <w:p w14:paraId="45B72DCA" w14:textId="77777777" w:rsidR="002A4DDF" w:rsidRPr="00937C8B" w:rsidRDefault="002A4DDF" w:rsidP="009110ED">
            <w:pPr>
              <w:rPr>
                <w:rFonts w:ascii="Arial" w:hAnsi="Arial" w:cs="Arial"/>
                <w:sz w:val="12"/>
                <w:szCs w:val="12"/>
              </w:rPr>
            </w:pPr>
            <w:r>
              <w:rPr>
                <w:rFonts w:ascii="Arial" w:hAnsi="Arial"/>
                <w:sz w:val="12"/>
                <w:szCs w:val="12"/>
              </w:rPr>
              <w:t>Barceo</w:t>
            </w:r>
          </w:p>
        </w:tc>
      </w:tr>
      <w:tr w:rsidR="002A4DDF" w:rsidRPr="00937C8B" w14:paraId="169CAC84" w14:textId="77777777" w:rsidTr="00935676">
        <w:trPr>
          <w:cantSplit/>
        </w:trPr>
        <w:tc>
          <w:tcPr>
            <w:tcW w:w="1696" w:type="dxa"/>
            <w:tcBorders>
              <w:left w:val="single" w:sz="4" w:space="0" w:color="auto"/>
            </w:tcBorders>
            <w:shd w:val="clear" w:color="auto" w:fill="auto"/>
          </w:tcPr>
          <w:p w14:paraId="6C341693" w14:textId="77777777" w:rsidR="002A4DDF" w:rsidRPr="00937C8B" w:rsidRDefault="002A4DDF" w:rsidP="009110ED">
            <w:pPr>
              <w:rPr>
                <w:rFonts w:ascii="Arial" w:hAnsi="Arial" w:cs="Arial"/>
                <w:sz w:val="12"/>
                <w:szCs w:val="12"/>
              </w:rPr>
            </w:pPr>
          </w:p>
        </w:tc>
        <w:tc>
          <w:tcPr>
            <w:tcW w:w="1843" w:type="dxa"/>
            <w:shd w:val="clear" w:color="auto" w:fill="auto"/>
          </w:tcPr>
          <w:p w14:paraId="2552FE7D" w14:textId="77777777" w:rsidR="002A4DDF" w:rsidRPr="00937C8B" w:rsidRDefault="002A4DDF" w:rsidP="009110ED">
            <w:pPr>
              <w:rPr>
                <w:rFonts w:ascii="Arial" w:hAnsi="Arial" w:cs="Arial"/>
                <w:sz w:val="12"/>
                <w:szCs w:val="12"/>
              </w:rPr>
            </w:pPr>
          </w:p>
        </w:tc>
        <w:tc>
          <w:tcPr>
            <w:tcW w:w="2268" w:type="dxa"/>
            <w:shd w:val="clear" w:color="auto" w:fill="F2F2F2"/>
            <w:hideMark/>
          </w:tcPr>
          <w:p w14:paraId="7BF9C943" w14:textId="77777777" w:rsidR="002A4DDF" w:rsidRPr="00937C8B" w:rsidRDefault="002A4DDF" w:rsidP="009110ED">
            <w:pPr>
              <w:rPr>
                <w:rFonts w:ascii="Arial" w:hAnsi="Arial" w:cs="Arial"/>
                <w:sz w:val="12"/>
                <w:szCs w:val="12"/>
              </w:rPr>
            </w:pPr>
            <w:r>
              <w:rPr>
                <w:rFonts w:ascii="Arial" w:hAnsi="Arial"/>
                <w:sz w:val="12"/>
                <w:szCs w:val="12"/>
              </w:rPr>
              <w:t>Arcediano</w:t>
            </w:r>
          </w:p>
        </w:tc>
        <w:tc>
          <w:tcPr>
            <w:tcW w:w="2268" w:type="dxa"/>
            <w:tcBorders>
              <w:right w:val="single" w:sz="4" w:space="0" w:color="auto"/>
            </w:tcBorders>
            <w:shd w:val="clear" w:color="auto" w:fill="D9D9D9"/>
            <w:hideMark/>
          </w:tcPr>
          <w:p w14:paraId="38AB16F6" w14:textId="77777777" w:rsidR="002A4DDF" w:rsidRPr="00937C8B" w:rsidRDefault="002A4DDF" w:rsidP="009110ED">
            <w:pPr>
              <w:rPr>
                <w:rFonts w:ascii="Arial" w:hAnsi="Arial" w:cs="Arial"/>
                <w:sz w:val="12"/>
                <w:szCs w:val="12"/>
              </w:rPr>
            </w:pPr>
            <w:r>
              <w:rPr>
                <w:rFonts w:ascii="Arial" w:hAnsi="Arial"/>
                <w:sz w:val="12"/>
                <w:szCs w:val="12"/>
              </w:rPr>
              <w:t>Barruecopardo</w:t>
            </w:r>
          </w:p>
        </w:tc>
      </w:tr>
      <w:tr w:rsidR="002A4DDF" w:rsidRPr="00937C8B" w14:paraId="323251ED" w14:textId="77777777" w:rsidTr="00935676">
        <w:trPr>
          <w:cantSplit/>
        </w:trPr>
        <w:tc>
          <w:tcPr>
            <w:tcW w:w="1696" w:type="dxa"/>
            <w:tcBorders>
              <w:left w:val="single" w:sz="4" w:space="0" w:color="auto"/>
            </w:tcBorders>
            <w:shd w:val="clear" w:color="auto" w:fill="auto"/>
          </w:tcPr>
          <w:p w14:paraId="139312EE" w14:textId="77777777" w:rsidR="002A4DDF" w:rsidRPr="00937C8B" w:rsidRDefault="002A4DDF" w:rsidP="009110ED">
            <w:pPr>
              <w:rPr>
                <w:rFonts w:ascii="Arial" w:hAnsi="Arial" w:cs="Arial"/>
                <w:sz w:val="12"/>
                <w:szCs w:val="12"/>
              </w:rPr>
            </w:pPr>
          </w:p>
        </w:tc>
        <w:tc>
          <w:tcPr>
            <w:tcW w:w="1843" w:type="dxa"/>
            <w:shd w:val="clear" w:color="auto" w:fill="auto"/>
          </w:tcPr>
          <w:p w14:paraId="0C49F92C" w14:textId="77777777" w:rsidR="002A4DDF" w:rsidRPr="00937C8B" w:rsidRDefault="002A4DDF" w:rsidP="009110ED">
            <w:pPr>
              <w:rPr>
                <w:rFonts w:ascii="Arial" w:hAnsi="Arial" w:cs="Arial"/>
                <w:sz w:val="12"/>
                <w:szCs w:val="12"/>
              </w:rPr>
            </w:pPr>
          </w:p>
        </w:tc>
        <w:tc>
          <w:tcPr>
            <w:tcW w:w="2268" w:type="dxa"/>
            <w:shd w:val="clear" w:color="auto" w:fill="F2F2F2"/>
            <w:hideMark/>
          </w:tcPr>
          <w:p w14:paraId="0CE8D61E" w14:textId="77777777" w:rsidR="002A4DDF" w:rsidRPr="00937C8B" w:rsidRDefault="002A4DDF" w:rsidP="009110ED">
            <w:pPr>
              <w:rPr>
                <w:rFonts w:ascii="Arial" w:hAnsi="Arial" w:cs="Arial"/>
                <w:sz w:val="12"/>
                <w:szCs w:val="12"/>
              </w:rPr>
            </w:pPr>
            <w:r>
              <w:rPr>
                <w:rFonts w:ascii="Arial" w:hAnsi="Arial"/>
                <w:sz w:val="12"/>
                <w:szCs w:val="12"/>
              </w:rPr>
              <w:t>Babilafuente</w:t>
            </w:r>
          </w:p>
        </w:tc>
        <w:tc>
          <w:tcPr>
            <w:tcW w:w="2268" w:type="dxa"/>
            <w:tcBorders>
              <w:right w:val="single" w:sz="4" w:space="0" w:color="auto"/>
            </w:tcBorders>
            <w:shd w:val="clear" w:color="auto" w:fill="D9D9D9"/>
            <w:hideMark/>
          </w:tcPr>
          <w:p w14:paraId="5B6AFB2A" w14:textId="77777777" w:rsidR="002A4DDF" w:rsidRPr="00937C8B" w:rsidRDefault="002A4DDF" w:rsidP="009110ED">
            <w:pPr>
              <w:rPr>
                <w:rFonts w:ascii="Arial" w:hAnsi="Arial" w:cs="Arial"/>
                <w:sz w:val="12"/>
                <w:szCs w:val="12"/>
              </w:rPr>
            </w:pPr>
            <w:r>
              <w:rPr>
                <w:rFonts w:ascii="Arial" w:hAnsi="Arial"/>
                <w:sz w:val="12"/>
                <w:szCs w:val="12"/>
              </w:rPr>
              <w:t>Béjar</w:t>
            </w:r>
          </w:p>
        </w:tc>
      </w:tr>
      <w:tr w:rsidR="002A4DDF" w:rsidRPr="00937C8B" w14:paraId="1A1E97DD" w14:textId="77777777" w:rsidTr="00935676">
        <w:trPr>
          <w:cantSplit/>
        </w:trPr>
        <w:tc>
          <w:tcPr>
            <w:tcW w:w="1696" w:type="dxa"/>
            <w:tcBorders>
              <w:left w:val="single" w:sz="4" w:space="0" w:color="auto"/>
            </w:tcBorders>
            <w:shd w:val="clear" w:color="auto" w:fill="auto"/>
          </w:tcPr>
          <w:p w14:paraId="4F7DB881" w14:textId="77777777" w:rsidR="002A4DDF" w:rsidRPr="00937C8B" w:rsidRDefault="002A4DDF" w:rsidP="009110ED">
            <w:pPr>
              <w:rPr>
                <w:rFonts w:ascii="Arial" w:hAnsi="Arial" w:cs="Arial"/>
                <w:sz w:val="12"/>
                <w:szCs w:val="12"/>
              </w:rPr>
            </w:pPr>
          </w:p>
        </w:tc>
        <w:tc>
          <w:tcPr>
            <w:tcW w:w="1843" w:type="dxa"/>
            <w:shd w:val="clear" w:color="auto" w:fill="auto"/>
          </w:tcPr>
          <w:p w14:paraId="251C0AAD" w14:textId="77777777" w:rsidR="002A4DDF" w:rsidRPr="00937C8B" w:rsidRDefault="002A4DDF" w:rsidP="009110ED">
            <w:pPr>
              <w:rPr>
                <w:rFonts w:ascii="Arial" w:hAnsi="Arial" w:cs="Arial"/>
                <w:sz w:val="12"/>
                <w:szCs w:val="12"/>
              </w:rPr>
            </w:pPr>
          </w:p>
        </w:tc>
        <w:tc>
          <w:tcPr>
            <w:tcW w:w="2268" w:type="dxa"/>
            <w:shd w:val="clear" w:color="auto" w:fill="F2F2F2"/>
            <w:hideMark/>
          </w:tcPr>
          <w:p w14:paraId="3FD25235" w14:textId="77777777" w:rsidR="002A4DDF" w:rsidRPr="00937C8B" w:rsidRDefault="002A4DDF" w:rsidP="009110ED">
            <w:pPr>
              <w:rPr>
                <w:rFonts w:ascii="Arial" w:hAnsi="Arial" w:cs="Arial"/>
                <w:sz w:val="12"/>
                <w:szCs w:val="12"/>
              </w:rPr>
            </w:pPr>
            <w:r>
              <w:rPr>
                <w:rFonts w:ascii="Arial" w:hAnsi="Arial"/>
                <w:sz w:val="12"/>
                <w:szCs w:val="12"/>
              </w:rPr>
              <w:t>Barbadillo</w:t>
            </w:r>
          </w:p>
        </w:tc>
        <w:tc>
          <w:tcPr>
            <w:tcW w:w="2268" w:type="dxa"/>
            <w:tcBorders>
              <w:right w:val="single" w:sz="4" w:space="0" w:color="auto"/>
            </w:tcBorders>
            <w:shd w:val="clear" w:color="auto" w:fill="D9D9D9"/>
            <w:hideMark/>
          </w:tcPr>
          <w:p w14:paraId="02A8A069" w14:textId="77777777" w:rsidR="002A4DDF" w:rsidRPr="00937C8B" w:rsidRDefault="002A4DDF" w:rsidP="009110ED">
            <w:pPr>
              <w:rPr>
                <w:rFonts w:ascii="Arial" w:hAnsi="Arial" w:cs="Arial"/>
                <w:sz w:val="12"/>
                <w:szCs w:val="12"/>
              </w:rPr>
            </w:pPr>
            <w:r>
              <w:rPr>
                <w:rFonts w:ascii="Arial" w:hAnsi="Arial"/>
                <w:sz w:val="12"/>
                <w:szCs w:val="12"/>
              </w:rPr>
              <w:t>Beleña</w:t>
            </w:r>
          </w:p>
        </w:tc>
      </w:tr>
      <w:tr w:rsidR="002A4DDF" w:rsidRPr="00937C8B" w14:paraId="0AA69D2A" w14:textId="77777777" w:rsidTr="00935676">
        <w:trPr>
          <w:cantSplit/>
        </w:trPr>
        <w:tc>
          <w:tcPr>
            <w:tcW w:w="1696" w:type="dxa"/>
            <w:tcBorders>
              <w:left w:val="single" w:sz="4" w:space="0" w:color="auto"/>
            </w:tcBorders>
            <w:shd w:val="clear" w:color="auto" w:fill="auto"/>
          </w:tcPr>
          <w:p w14:paraId="22B4CA36" w14:textId="77777777" w:rsidR="002A4DDF" w:rsidRPr="00937C8B" w:rsidRDefault="002A4DDF" w:rsidP="009110ED">
            <w:pPr>
              <w:rPr>
                <w:rFonts w:ascii="Arial" w:hAnsi="Arial" w:cs="Arial"/>
                <w:sz w:val="12"/>
                <w:szCs w:val="12"/>
              </w:rPr>
            </w:pPr>
          </w:p>
        </w:tc>
        <w:tc>
          <w:tcPr>
            <w:tcW w:w="1843" w:type="dxa"/>
            <w:shd w:val="clear" w:color="auto" w:fill="auto"/>
          </w:tcPr>
          <w:p w14:paraId="0CBE4AB1" w14:textId="77777777" w:rsidR="002A4DDF" w:rsidRPr="00937C8B" w:rsidRDefault="002A4DDF" w:rsidP="009110ED">
            <w:pPr>
              <w:rPr>
                <w:rFonts w:ascii="Arial" w:hAnsi="Arial" w:cs="Arial"/>
                <w:sz w:val="12"/>
                <w:szCs w:val="12"/>
              </w:rPr>
            </w:pPr>
          </w:p>
        </w:tc>
        <w:tc>
          <w:tcPr>
            <w:tcW w:w="2268" w:type="dxa"/>
            <w:shd w:val="clear" w:color="auto" w:fill="F2F2F2"/>
            <w:hideMark/>
          </w:tcPr>
          <w:p w14:paraId="7B44304E" w14:textId="77777777" w:rsidR="002A4DDF" w:rsidRPr="00937C8B" w:rsidRDefault="002A4DDF" w:rsidP="009110ED">
            <w:pPr>
              <w:rPr>
                <w:rFonts w:ascii="Arial" w:hAnsi="Arial" w:cs="Arial"/>
                <w:sz w:val="12"/>
                <w:szCs w:val="12"/>
              </w:rPr>
            </w:pPr>
            <w:r>
              <w:rPr>
                <w:rFonts w:ascii="Arial" w:hAnsi="Arial"/>
                <w:sz w:val="12"/>
                <w:szCs w:val="12"/>
              </w:rPr>
              <w:t>Bóveda del Río Almar</w:t>
            </w:r>
          </w:p>
        </w:tc>
        <w:tc>
          <w:tcPr>
            <w:tcW w:w="2268" w:type="dxa"/>
            <w:tcBorders>
              <w:right w:val="single" w:sz="4" w:space="0" w:color="auto"/>
            </w:tcBorders>
            <w:shd w:val="clear" w:color="auto" w:fill="D9D9D9"/>
            <w:hideMark/>
          </w:tcPr>
          <w:p w14:paraId="01FE0F89" w14:textId="77777777" w:rsidR="002A4DDF" w:rsidRPr="00937C8B" w:rsidRDefault="002A4DDF" w:rsidP="009110ED">
            <w:pPr>
              <w:rPr>
                <w:rFonts w:ascii="Arial" w:hAnsi="Arial" w:cs="Arial"/>
                <w:sz w:val="12"/>
                <w:szCs w:val="12"/>
              </w:rPr>
            </w:pPr>
            <w:r>
              <w:rPr>
                <w:rFonts w:ascii="Arial" w:hAnsi="Arial"/>
                <w:sz w:val="12"/>
                <w:szCs w:val="12"/>
              </w:rPr>
              <w:t>Bermellar</w:t>
            </w:r>
          </w:p>
        </w:tc>
      </w:tr>
      <w:tr w:rsidR="002A4DDF" w:rsidRPr="00937C8B" w14:paraId="4641F42F" w14:textId="77777777" w:rsidTr="00935676">
        <w:trPr>
          <w:cantSplit/>
        </w:trPr>
        <w:tc>
          <w:tcPr>
            <w:tcW w:w="1696" w:type="dxa"/>
            <w:tcBorders>
              <w:left w:val="single" w:sz="4" w:space="0" w:color="auto"/>
            </w:tcBorders>
            <w:shd w:val="clear" w:color="auto" w:fill="auto"/>
          </w:tcPr>
          <w:p w14:paraId="34E8160C" w14:textId="77777777" w:rsidR="002A4DDF" w:rsidRPr="00937C8B" w:rsidRDefault="002A4DDF" w:rsidP="009110ED">
            <w:pPr>
              <w:rPr>
                <w:rFonts w:ascii="Arial" w:hAnsi="Arial" w:cs="Arial"/>
                <w:sz w:val="12"/>
                <w:szCs w:val="12"/>
              </w:rPr>
            </w:pPr>
          </w:p>
        </w:tc>
        <w:tc>
          <w:tcPr>
            <w:tcW w:w="1843" w:type="dxa"/>
            <w:shd w:val="clear" w:color="auto" w:fill="auto"/>
          </w:tcPr>
          <w:p w14:paraId="46A2A743" w14:textId="77777777" w:rsidR="002A4DDF" w:rsidRPr="00937C8B" w:rsidRDefault="002A4DDF" w:rsidP="009110ED">
            <w:pPr>
              <w:rPr>
                <w:rFonts w:ascii="Arial" w:hAnsi="Arial" w:cs="Arial"/>
                <w:sz w:val="12"/>
                <w:szCs w:val="12"/>
              </w:rPr>
            </w:pPr>
          </w:p>
        </w:tc>
        <w:tc>
          <w:tcPr>
            <w:tcW w:w="2268" w:type="dxa"/>
            <w:shd w:val="clear" w:color="auto" w:fill="F2F2F2"/>
            <w:hideMark/>
          </w:tcPr>
          <w:p w14:paraId="68F788EC" w14:textId="77777777" w:rsidR="002A4DDF" w:rsidRPr="00937C8B" w:rsidRDefault="002A4DDF" w:rsidP="009110ED">
            <w:pPr>
              <w:rPr>
                <w:rFonts w:ascii="Arial" w:hAnsi="Arial" w:cs="Arial"/>
                <w:sz w:val="12"/>
                <w:szCs w:val="12"/>
              </w:rPr>
            </w:pPr>
            <w:r>
              <w:rPr>
                <w:rFonts w:ascii="Arial" w:hAnsi="Arial"/>
                <w:sz w:val="12"/>
                <w:szCs w:val="12"/>
              </w:rPr>
              <w:t>Cabezabellosa de la Calzada</w:t>
            </w:r>
          </w:p>
        </w:tc>
        <w:tc>
          <w:tcPr>
            <w:tcW w:w="2268" w:type="dxa"/>
            <w:tcBorders>
              <w:right w:val="single" w:sz="4" w:space="0" w:color="auto"/>
            </w:tcBorders>
            <w:shd w:val="clear" w:color="auto" w:fill="D9D9D9"/>
            <w:hideMark/>
          </w:tcPr>
          <w:p w14:paraId="7B4CA424" w14:textId="77777777" w:rsidR="002A4DDF" w:rsidRPr="00937C8B" w:rsidRDefault="002A4DDF" w:rsidP="009110ED">
            <w:pPr>
              <w:rPr>
                <w:rFonts w:ascii="Arial" w:hAnsi="Arial" w:cs="Arial"/>
                <w:sz w:val="12"/>
                <w:szCs w:val="12"/>
              </w:rPr>
            </w:pPr>
            <w:r>
              <w:rPr>
                <w:rFonts w:ascii="Arial" w:hAnsi="Arial"/>
                <w:sz w:val="12"/>
                <w:szCs w:val="12"/>
              </w:rPr>
              <w:t>Berrocal de Huebra</w:t>
            </w:r>
          </w:p>
        </w:tc>
      </w:tr>
      <w:tr w:rsidR="002A4DDF" w:rsidRPr="00937C8B" w14:paraId="3A74822D" w14:textId="77777777" w:rsidTr="00935676">
        <w:trPr>
          <w:cantSplit/>
        </w:trPr>
        <w:tc>
          <w:tcPr>
            <w:tcW w:w="1696" w:type="dxa"/>
            <w:tcBorders>
              <w:left w:val="single" w:sz="4" w:space="0" w:color="auto"/>
            </w:tcBorders>
            <w:shd w:val="clear" w:color="auto" w:fill="auto"/>
          </w:tcPr>
          <w:p w14:paraId="6B4199B2" w14:textId="77777777" w:rsidR="002A4DDF" w:rsidRPr="00937C8B" w:rsidRDefault="002A4DDF" w:rsidP="009110ED">
            <w:pPr>
              <w:rPr>
                <w:rFonts w:ascii="Arial" w:hAnsi="Arial" w:cs="Arial"/>
                <w:sz w:val="12"/>
                <w:szCs w:val="12"/>
              </w:rPr>
            </w:pPr>
          </w:p>
        </w:tc>
        <w:tc>
          <w:tcPr>
            <w:tcW w:w="1843" w:type="dxa"/>
            <w:shd w:val="clear" w:color="auto" w:fill="auto"/>
          </w:tcPr>
          <w:p w14:paraId="4EB22DB6" w14:textId="77777777" w:rsidR="002A4DDF" w:rsidRPr="00937C8B" w:rsidRDefault="002A4DDF" w:rsidP="009110ED">
            <w:pPr>
              <w:rPr>
                <w:rFonts w:ascii="Arial" w:hAnsi="Arial" w:cs="Arial"/>
                <w:sz w:val="12"/>
                <w:szCs w:val="12"/>
              </w:rPr>
            </w:pPr>
          </w:p>
        </w:tc>
        <w:tc>
          <w:tcPr>
            <w:tcW w:w="2268" w:type="dxa"/>
            <w:shd w:val="clear" w:color="auto" w:fill="F2F2F2"/>
            <w:hideMark/>
          </w:tcPr>
          <w:p w14:paraId="24907643" w14:textId="77777777" w:rsidR="002A4DDF" w:rsidRPr="00937C8B" w:rsidRDefault="002A4DDF" w:rsidP="009110ED">
            <w:pPr>
              <w:rPr>
                <w:rFonts w:ascii="Arial" w:hAnsi="Arial" w:cs="Arial"/>
                <w:sz w:val="12"/>
                <w:szCs w:val="12"/>
              </w:rPr>
            </w:pPr>
            <w:r>
              <w:rPr>
                <w:rFonts w:ascii="Arial" w:hAnsi="Arial"/>
                <w:sz w:val="12"/>
                <w:szCs w:val="12"/>
              </w:rPr>
              <w:t>Cabrerizos</w:t>
            </w:r>
          </w:p>
        </w:tc>
        <w:tc>
          <w:tcPr>
            <w:tcW w:w="2268" w:type="dxa"/>
            <w:tcBorders>
              <w:right w:val="single" w:sz="4" w:space="0" w:color="auto"/>
            </w:tcBorders>
            <w:shd w:val="clear" w:color="auto" w:fill="D9D9D9"/>
            <w:hideMark/>
          </w:tcPr>
          <w:p w14:paraId="5515A555" w14:textId="77777777" w:rsidR="002A4DDF" w:rsidRPr="00937C8B" w:rsidRDefault="002A4DDF" w:rsidP="009110ED">
            <w:pPr>
              <w:rPr>
                <w:rFonts w:ascii="Arial" w:hAnsi="Arial" w:cs="Arial"/>
                <w:sz w:val="12"/>
                <w:szCs w:val="12"/>
              </w:rPr>
            </w:pPr>
            <w:r>
              <w:rPr>
                <w:rFonts w:ascii="Arial" w:hAnsi="Arial"/>
                <w:sz w:val="12"/>
                <w:szCs w:val="12"/>
              </w:rPr>
              <w:t>Berrocal de Salvatierra</w:t>
            </w:r>
          </w:p>
        </w:tc>
      </w:tr>
      <w:tr w:rsidR="002A4DDF" w:rsidRPr="00937C8B" w14:paraId="18696346" w14:textId="77777777" w:rsidTr="00935676">
        <w:trPr>
          <w:cantSplit/>
        </w:trPr>
        <w:tc>
          <w:tcPr>
            <w:tcW w:w="1696" w:type="dxa"/>
            <w:tcBorders>
              <w:left w:val="single" w:sz="4" w:space="0" w:color="auto"/>
            </w:tcBorders>
            <w:shd w:val="clear" w:color="auto" w:fill="auto"/>
          </w:tcPr>
          <w:p w14:paraId="22B2B916" w14:textId="77777777" w:rsidR="002A4DDF" w:rsidRPr="00937C8B" w:rsidRDefault="002A4DDF" w:rsidP="009110ED">
            <w:pPr>
              <w:rPr>
                <w:rFonts w:ascii="Arial" w:hAnsi="Arial" w:cs="Arial"/>
                <w:sz w:val="12"/>
                <w:szCs w:val="12"/>
              </w:rPr>
            </w:pPr>
          </w:p>
        </w:tc>
        <w:tc>
          <w:tcPr>
            <w:tcW w:w="1843" w:type="dxa"/>
            <w:shd w:val="clear" w:color="auto" w:fill="auto"/>
          </w:tcPr>
          <w:p w14:paraId="3D73586F" w14:textId="77777777" w:rsidR="002A4DDF" w:rsidRPr="00937C8B" w:rsidRDefault="002A4DDF" w:rsidP="009110ED">
            <w:pPr>
              <w:rPr>
                <w:rFonts w:ascii="Arial" w:hAnsi="Arial" w:cs="Arial"/>
                <w:sz w:val="12"/>
                <w:szCs w:val="12"/>
              </w:rPr>
            </w:pPr>
          </w:p>
        </w:tc>
        <w:tc>
          <w:tcPr>
            <w:tcW w:w="2268" w:type="dxa"/>
            <w:shd w:val="clear" w:color="auto" w:fill="F2F2F2"/>
            <w:hideMark/>
          </w:tcPr>
          <w:p w14:paraId="0D147331" w14:textId="77777777" w:rsidR="002A4DDF" w:rsidRPr="00937C8B" w:rsidRDefault="002A4DDF" w:rsidP="009110ED">
            <w:pPr>
              <w:rPr>
                <w:rFonts w:ascii="Arial" w:hAnsi="Arial" w:cs="Arial"/>
                <w:sz w:val="12"/>
                <w:szCs w:val="12"/>
              </w:rPr>
            </w:pPr>
            <w:r>
              <w:rPr>
                <w:rFonts w:ascii="Arial" w:hAnsi="Arial"/>
                <w:sz w:val="12"/>
                <w:szCs w:val="12"/>
              </w:rPr>
              <w:t>Cabrillas</w:t>
            </w:r>
          </w:p>
        </w:tc>
        <w:tc>
          <w:tcPr>
            <w:tcW w:w="2268" w:type="dxa"/>
            <w:tcBorders>
              <w:right w:val="single" w:sz="4" w:space="0" w:color="auto"/>
            </w:tcBorders>
            <w:shd w:val="clear" w:color="auto" w:fill="D9D9D9"/>
            <w:hideMark/>
          </w:tcPr>
          <w:p w14:paraId="6493E29C" w14:textId="77777777" w:rsidR="002A4DDF" w:rsidRPr="00937C8B" w:rsidRDefault="002A4DDF" w:rsidP="009110ED">
            <w:pPr>
              <w:rPr>
                <w:rFonts w:ascii="Arial" w:hAnsi="Arial" w:cs="Arial"/>
                <w:sz w:val="12"/>
                <w:szCs w:val="12"/>
              </w:rPr>
            </w:pPr>
            <w:r>
              <w:rPr>
                <w:rFonts w:ascii="Arial" w:hAnsi="Arial"/>
                <w:sz w:val="12"/>
                <w:szCs w:val="12"/>
              </w:rPr>
              <w:t>Boada</w:t>
            </w:r>
          </w:p>
        </w:tc>
      </w:tr>
      <w:tr w:rsidR="002A4DDF" w:rsidRPr="00937C8B" w14:paraId="3BAAE2DA" w14:textId="77777777" w:rsidTr="00935676">
        <w:trPr>
          <w:cantSplit/>
        </w:trPr>
        <w:tc>
          <w:tcPr>
            <w:tcW w:w="1696" w:type="dxa"/>
            <w:tcBorders>
              <w:left w:val="single" w:sz="4" w:space="0" w:color="auto"/>
            </w:tcBorders>
            <w:shd w:val="clear" w:color="auto" w:fill="auto"/>
          </w:tcPr>
          <w:p w14:paraId="1E123DC9" w14:textId="77777777" w:rsidR="002A4DDF" w:rsidRPr="00937C8B" w:rsidRDefault="002A4DDF" w:rsidP="009110ED">
            <w:pPr>
              <w:rPr>
                <w:rFonts w:ascii="Arial" w:hAnsi="Arial" w:cs="Arial"/>
                <w:sz w:val="12"/>
                <w:szCs w:val="12"/>
              </w:rPr>
            </w:pPr>
          </w:p>
        </w:tc>
        <w:tc>
          <w:tcPr>
            <w:tcW w:w="1843" w:type="dxa"/>
            <w:shd w:val="clear" w:color="auto" w:fill="auto"/>
          </w:tcPr>
          <w:p w14:paraId="3CD91B31" w14:textId="77777777" w:rsidR="002A4DDF" w:rsidRPr="00937C8B" w:rsidRDefault="002A4DDF" w:rsidP="009110ED">
            <w:pPr>
              <w:rPr>
                <w:rFonts w:ascii="Arial" w:hAnsi="Arial" w:cs="Arial"/>
                <w:sz w:val="12"/>
                <w:szCs w:val="12"/>
              </w:rPr>
            </w:pPr>
          </w:p>
        </w:tc>
        <w:tc>
          <w:tcPr>
            <w:tcW w:w="2268" w:type="dxa"/>
            <w:shd w:val="clear" w:color="auto" w:fill="F2F2F2"/>
            <w:hideMark/>
          </w:tcPr>
          <w:p w14:paraId="6FF4F21A" w14:textId="77777777" w:rsidR="002A4DDF" w:rsidRPr="00937C8B" w:rsidRDefault="002A4DDF" w:rsidP="009110ED">
            <w:pPr>
              <w:rPr>
                <w:rFonts w:ascii="Arial" w:hAnsi="Arial" w:cs="Arial"/>
                <w:sz w:val="12"/>
                <w:szCs w:val="12"/>
              </w:rPr>
            </w:pPr>
            <w:r>
              <w:rPr>
                <w:rFonts w:ascii="Arial" w:hAnsi="Arial"/>
                <w:sz w:val="12"/>
                <w:szCs w:val="12"/>
              </w:rPr>
              <w:t>Calvarrasa de Abajo</w:t>
            </w:r>
          </w:p>
        </w:tc>
        <w:tc>
          <w:tcPr>
            <w:tcW w:w="2268" w:type="dxa"/>
            <w:tcBorders>
              <w:right w:val="single" w:sz="4" w:space="0" w:color="auto"/>
            </w:tcBorders>
            <w:shd w:val="clear" w:color="auto" w:fill="D9D9D9"/>
            <w:hideMark/>
          </w:tcPr>
          <w:p w14:paraId="22F8BE57" w14:textId="77777777" w:rsidR="002A4DDF" w:rsidRPr="00937C8B" w:rsidRDefault="002A4DDF" w:rsidP="009110ED">
            <w:pPr>
              <w:rPr>
                <w:rFonts w:ascii="Arial" w:hAnsi="Arial" w:cs="Arial"/>
                <w:sz w:val="12"/>
                <w:szCs w:val="12"/>
              </w:rPr>
            </w:pPr>
            <w:r>
              <w:rPr>
                <w:rFonts w:ascii="Arial" w:hAnsi="Arial"/>
                <w:sz w:val="12"/>
                <w:szCs w:val="12"/>
              </w:rPr>
              <w:t>Bogajo</w:t>
            </w:r>
          </w:p>
        </w:tc>
      </w:tr>
      <w:tr w:rsidR="002A4DDF" w:rsidRPr="00937C8B" w14:paraId="585ACBC7" w14:textId="77777777" w:rsidTr="00935676">
        <w:trPr>
          <w:cantSplit/>
        </w:trPr>
        <w:tc>
          <w:tcPr>
            <w:tcW w:w="1696" w:type="dxa"/>
            <w:tcBorders>
              <w:left w:val="single" w:sz="4" w:space="0" w:color="auto"/>
            </w:tcBorders>
            <w:shd w:val="clear" w:color="auto" w:fill="auto"/>
          </w:tcPr>
          <w:p w14:paraId="25CD9778" w14:textId="77777777" w:rsidR="002A4DDF" w:rsidRPr="00937C8B" w:rsidRDefault="002A4DDF" w:rsidP="009110ED">
            <w:pPr>
              <w:rPr>
                <w:rFonts w:ascii="Arial" w:hAnsi="Arial" w:cs="Arial"/>
                <w:sz w:val="12"/>
                <w:szCs w:val="12"/>
              </w:rPr>
            </w:pPr>
          </w:p>
        </w:tc>
        <w:tc>
          <w:tcPr>
            <w:tcW w:w="1843" w:type="dxa"/>
            <w:shd w:val="clear" w:color="auto" w:fill="auto"/>
          </w:tcPr>
          <w:p w14:paraId="5B389B00" w14:textId="77777777" w:rsidR="002A4DDF" w:rsidRPr="00937C8B" w:rsidRDefault="002A4DDF" w:rsidP="009110ED">
            <w:pPr>
              <w:rPr>
                <w:rFonts w:ascii="Arial" w:hAnsi="Arial" w:cs="Arial"/>
                <w:sz w:val="12"/>
                <w:szCs w:val="12"/>
              </w:rPr>
            </w:pPr>
          </w:p>
        </w:tc>
        <w:tc>
          <w:tcPr>
            <w:tcW w:w="2268" w:type="dxa"/>
            <w:shd w:val="clear" w:color="auto" w:fill="F2F2F2"/>
            <w:hideMark/>
          </w:tcPr>
          <w:p w14:paraId="259F48FC" w14:textId="77777777" w:rsidR="002A4DDF" w:rsidRPr="00937C8B" w:rsidRDefault="002A4DDF" w:rsidP="009110ED">
            <w:pPr>
              <w:rPr>
                <w:rFonts w:ascii="Arial" w:hAnsi="Arial" w:cs="Arial"/>
                <w:sz w:val="12"/>
                <w:szCs w:val="12"/>
              </w:rPr>
            </w:pPr>
            <w:r>
              <w:rPr>
                <w:rFonts w:ascii="Arial" w:hAnsi="Arial"/>
                <w:sz w:val="12"/>
                <w:szCs w:val="12"/>
              </w:rPr>
              <w:t>Calvarrasa de Arriba</w:t>
            </w:r>
          </w:p>
        </w:tc>
        <w:tc>
          <w:tcPr>
            <w:tcW w:w="2268" w:type="dxa"/>
            <w:tcBorders>
              <w:right w:val="single" w:sz="4" w:space="0" w:color="auto"/>
            </w:tcBorders>
            <w:shd w:val="clear" w:color="auto" w:fill="D9D9D9"/>
            <w:hideMark/>
          </w:tcPr>
          <w:p w14:paraId="6ABFBA4B" w14:textId="77777777" w:rsidR="002A4DDF" w:rsidRPr="00937C8B" w:rsidRDefault="002A4DDF" w:rsidP="009110ED">
            <w:pPr>
              <w:rPr>
                <w:rFonts w:ascii="Arial" w:hAnsi="Arial" w:cs="Arial"/>
                <w:sz w:val="12"/>
                <w:szCs w:val="12"/>
              </w:rPr>
            </w:pPr>
            <w:r>
              <w:rPr>
                <w:rFonts w:ascii="Arial" w:hAnsi="Arial"/>
                <w:sz w:val="12"/>
                <w:szCs w:val="12"/>
              </w:rPr>
              <w:t xml:space="preserve"> Brincones</w:t>
            </w:r>
          </w:p>
        </w:tc>
      </w:tr>
      <w:tr w:rsidR="002A4DDF" w:rsidRPr="00937C8B" w14:paraId="315DA80E" w14:textId="77777777" w:rsidTr="00935676">
        <w:trPr>
          <w:cantSplit/>
        </w:trPr>
        <w:tc>
          <w:tcPr>
            <w:tcW w:w="1696" w:type="dxa"/>
            <w:tcBorders>
              <w:left w:val="single" w:sz="4" w:space="0" w:color="auto"/>
            </w:tcBorders>
            <w:shd w:val="clear" w:color="auto" w:fill="auto"/>
          </w:tcPr>
          <w:p w14:paraId="2E4866CA" w14:textId="77777777" w:rsidR="002A4DDF" w:rsidRPr="00937C8B" w:rsidRDefault="002A4DDF" w:rsidP="009110ED">
            <w:pPr>
              <w:rPr>
                <w:rFonts w:ascii="Arial" w:hAnsi="Arial" w:cs="Arial"/>
                <w:sz w:val="12"/>
                <w:szCs w:val="12"/>
              </w:rPr>
            </w:pPr>
          </w:p>
        </w:tc>
        <w:tc>
          <w:tcPr>
            <w:tcW w:w="1843" w:type="dxa"/>
            <w:shd w:val="clear" w:color="auto" w:fill="auto"/>
          </w:tcPr>
          <w:p w14:paraId="2A9C1087" w14:textId="77777777" w:rsidR="002A4DDF" w:rsidRPr="00937C8B" w:rsidRDefault="002A4DDF" w:rsidP="009110ED">
            <w:pPr>
              <w:rPr>
                <w:rFonts w:ascii="Arial" w:hAnsi="Arial" w:cs="Arial"/>
                <w:sz w:val="12"/>
                <w:szCs w:val="12"/>
              </w:rPr>
            </w:pPr>
          </w:p>
        </w:tc>
        <w:tc>
          <w:tcPr>
            <w:tcW w:w="2268" w:type="dxa"/>
            <w:shd w:val="clear" w:color="auto" w:fill="F2F2F2"/>
            <w:hideMark/>
          </w:tcPr>
          <w:p w14:paraId="4032C6E9" w14:textId="77777777" w:rsidR="002A4DDF" w:rsidRPr="00937C8B" w:rsidRDefault="002A4DDF" w:rsidP="009110ED">
            <w:pPr>
              <w:rPr>
                <w:rFonts w:ascii="Arial" w:hAnsi="Arial" w:cs="Arial"/>
                <w:sz w:val="12"/>
                <w:szCs w:val="12"/>
              </w:rPr>
            </w:pPr>
            <w:r>
              <w:rPr>
                <w:rFonts w:ascii="Arial" w:hAnsi="Arial"/>
                <w:sz w:val="12"/>
                <w:szCs w:val="12"/>
              </w:rPr>
              <w:t>Calzada de Don Diego</w:t>
            </w:r>
          </w:p>
        </w:tc>
        <w:tc>
          <w:tcPr>
            <w:tcW w:w="2268" w:type="dxa"/>
            <w:tcBorders>
              <w:right w:val="single" w:sz="4" w:space="0" w:color="auto"/>
            </w:tcBorders>
            <w:shd w:val="clear" w:color="auto" w:fill="D9D9D9"/>
            <w:hideMark/>
          </w:tcPr>
          <w:p w14:paraId="7705B780" w14:textId="77777777" w:rsidR="002A4DDF" w:rsidRPr="00937C8B" w:rsidRDefault="002A4DDF" w:rsidP="009110ED">
            <w:pPr>
              <w:rPr>
                <w:rFonts w:ascii="Arial" w:hAnsi="Arial" w:cs="Arial"/>
                <w:sz w:val="12"/>
                <w:szCs w:val="12"/>
              </w:rPr>
            </w:pPr>
            <w:r>
              <w:rPr>
                <w:rFonts w:ascii="Arial" w:hAnsi="Arial"/>
                <w:sz w:val="12"/>
                <w:szCs w:val="12"/>
              </w:rPr>
              <w:t>Buenamadre</w:t>
            </w:r>
          </w:p>
        </w:tc>
      </w:tr>
      <w:tr w:rsidR="002A4DDF" w:rsidRPr="00937C8B" w14:paraId="33E15839" w14:textId="77777777" w:rsidTr="00935676">
        <w:trPr>
          <w:cantSplit/>
        </w:trPr>
        <w:tc>
          <w:tcPr>
            <w:tcW w:w="1696" w:type="dxa"/>
            <w:tcBorders>
              <w:left w:val="single" w:sz="4" w:space="0" w:color="auto"/>
            </w:tcBorders>
            <w:shd w:val="clear" w:color="auto" w:fill="auto"/>
          </w:tcPr>
          <w:p w14:paraId="7104F2FB" w14:textId="77777777" w:rsidR="002A4DDF" w:rsidRPr="00937C8B" w:rsidRDefault="002A4DDF" w:rsidP="009110ED">
            <w:pPr>
              <w:rPr>
                <w:rFonts w:ascii="Arial" w:hAnsi="Arial" w:cs="Arial"/>
                <w:sz w:val="12"/>
                <w:szCs w:val="12"/>
              </w:rPr>
            </w:pPr>
          </w:p>
        </w:tc>
        <w:tc>
          <w:tcPr>
            <w:tcW w:w="1843" w:type="dxa"/>
            <w:shd w:val="clear" w:color="auto" w:fill="auto"/>
          </w:tcPr>
          <w:p w14:paraId="65EA757A" w14:textId="77777777" w:rsidR="002A4DDF" w:rsidRPr="00937C8B" w:rsidRDefault="002A4DDF" w:rsidP="009110ED">
            <w:pPr>
              <w:rPr>
                <w:rFonts w:ascii="Arial" w:hAnsi="Arial" w:cs="Arial"/>
                <w:sz w:val="12"/>
                <w:szCs w:val="12"/>
              </w:rPr>
            </w:pPr>
          </w:p>
        </w:tc>
        <w:tc>
          <w:tcPr>
            <w:tcW w:w="2268" w:type="dxa"/>
            <w:shd w:val="clear" w:color="auto" w:fill="F2F2F2"/>
            <w:hideMark/>
          </w:tcPr>
          <w:p w14:paraId="6EA9B18B" w14:textId="77777777" w:rsidR="002A4DDF" w:rsidRPr="00937C8B" w:rsidRDefault="002A4DDF" w:rsidP="009110ED">
            <w:pPr>
              <w:rPr>
                <w:rFonts w:ascii="Arial" w:hAnsi="Arial" w:cs="Arial"/>
                <w:sz w:val="12"/>
                <w:szCs w:val="12"/>
              </w:rPr>
            </w:pPr>
            <w:r>
              <w:rPr>
                <w:rFonts w:ascii="Arial" w:hAnsi="Arial"/>
                <w:sz w:val="12"/>
                <w:szCs w:val="12"/>
              </w:rPr>
              <w:t>Calzada de Valdunciel</w:t>
            </w:r>
          </w:p>
        </w:tc>
        <w:tc>
          <w:tcPr>
            <w:tcW w:w="2268" w:type="dxa"/>
            <w:tcBorders>
              <w:right w:val="single" w:sz="4" w:space="0" w:color="auto"/>
            </w:tcBorders>
            <w:shd w:val="clear" w:color="auto" w:fill="D9D9D9"/>
            <w:hideMark/>
          </w:tcPr>
          <w:p w14:paraId="7F0D14BB" w14:textId="77777777" w:rsidR="002A4DDF" w:rsidRPr="00937C8B" w:rsidRDefault="002A4DDF" w:rsidP="009110ED">
            <w:pPr>
              <w:rPr>
                <w:rFonts w:ascii="Arial" w:hAnsi="Arial" w:cs="Arial"/>
                <w:sz w:val="12"/>
                <w:szCs w:val="12"/>
              </w:rPr>
            </w:pPr>
            <w:r>
              <w:rPr>
                <w:rFonts w:ascii="Arial" w:hAnsi="Arial"/>
                <w:sz w:val="12"/>
                <w:szCs w:val="12"/>
              </w:rPr>
              <w:t>Buenavista</w:t>
            </w:r>
          </w:p>
        </w:tc>
      </w:tr>
      <w:tr w:rsidR="002A4DDF" w:rsidRPr="00937C8B" w14:paraId="4FE34530" w14:textId="77777777" w:rsidTr="00935676">
        <w:trPr>
          <w:cantSplit/>
        </w:trPr>
        <w:tc>
          <w:tcPr>
            <w:tcW w:w="1696" w:type="dxa"/>
            <w:tcBorders>
              <w:left w:val="single" w:sz="4" w:space="0" w:color="auto"/>
            </w:tcBorders>
            <w:shd w:val="clear" w:color="auto" w:fill="auto"/>
          </w:tcPr>
          <w:p w14:paraId="67025A25" w14:textId="77777777" w:rsidR="002A4DDF" w:rsidRPr="00937C8B" w:rsidRDefault="002A4DDF" w:rsidP="009110ED">
            <w:pPr>
              <w:rPr>
                <w:rFonts w:ascii="Arial" w:hAnsi="Arial" w:cs="Arial"/>
                <w:sz w:val="12"/>
                <w:szCs w:val="12"/>
              </w:rPr>
            </w:pPr>
          </w:p>
        </w:tc>
        <w:tc>
          <w:tcPr>
            <w:tcW w:w="1843" w:type="dxa"/>
            <w:shd w:val="clear" w:color="auto" w:fill="auto"/>
          </w:tcPr>
          <w:p w14:paraId="60493CAB" w14:textId="77777777" w:rsidR="002A4DDF" w:rsidRPr="00937C8B" w:rsidRDefault="002A4DDF" w:rsidP="009110ED">
            <w:pPr>
              <w:rPr>
                <w:rFonts w:ascii="Arial" w:hAnsi="Arial" w:cs="Arial"/>
                <w:sz w:val="12"/>
                <w:szCs w:val="12"/>
              </w:rPr>
            </w:pPr>
          </w:p>
        </w:tc>
        <w:tc>
          <w:tcPr>
            <w:tcW w:w="2268" w:type="dxa"/>
            <w:shd w:val="clear" w:color="auto" w:fill="F2F2F2"/>
            <w:hideMark/>
          </w:tcPr>
          <w:p w14:paraId="74A9564B" w14:textId="77777777" w:rsidR="002A4DDF" w:rsidRPr="00937C8B" w:rsidRDefault="002A4DDF" w:rsidP="009110ED">
            <w:pPr>
              <w:rPr>
                <w:rFonts w:ascii="Arial" w:hAnsi="Arial" w:cs="Arial"/>
                <w:sz w:val="12"/>
                <w:szCs w:val="12"/>
              </w:rPr>
            </w:pPr>
            <w:r>
              <w:rPr>
                <w:rFonts w:ascii="Arial" w:hAnsi="Arial"/>
                <w:sz w:val="12"/>
                <w:szCs w:val="12"/>
              </w:rPr>
              <w:t>Canillas de Abajo</w:t>
            </w:r>
          </w:p>
        </w:tc>
        <w:tc>
          <w:tcPr>
            <w:tcW w:w="2268" w:type="dxa"/>
            <w:tcBorders>
              <w:right w:val="single" w:sz="4" w:space="0" w:color="auto"/>
            </w:tcBorders>
            <w:shd w:val="clear" w:color="auto" w:fill="D9D9D9"/>
            <w:hideMark/>
          </w:tcPr>
          <w:p w14:paraId="1F6063D9" w14:textId="77777777" w:rsidR="002A4DDF" w:rsidRPr="00937C8B" w:rsidRDefault="002A4DDF" w:rsidP="009110ED">
            <w:pPr>
              <w:rPr>
                <w:rFonts w:ascii="Arial" w:hAnsi="Arial" w:cs="Arial"/>
                <w:sz w:val="12"/>
                <w:szCs w:val="12"/>
              </w:rPr>
            </w:pPr>
            <w:r>
              <w:rPr>
                <w:rFonts w:ascii="Arial" w:hAnsi="Arial"/>
                <w:sz w:val="12"/>
                <w:szCs w:val="12"/>
              </w:rPr>
              <w:t>Cabeza del Caballo</w:t>
            </w:r>
          </w:p>
        </w:tc>
      </w:tr>
      <w:tr w:rsidR="002A4DDF" w:rsidRPr="00937C8B" w14:paraId="74C315D2" w14:textId="77777777" w:rsidTr="00935676">
        <w:trPr>
          <w:cantSplit/>
        </w:trPr>
        <w:tc>
          <w:tcPr>
            <w:tcW w:w="1696" w:type="dxa"/>
            <w:tcBorders>
              <w:left w:val="single" w:sz="4" w:space="0" w:color="auto"/>
            </w:tcBorders>
            <w:shd w:val="clear" w:color="auto" w:fill="auto"/>
          </w:tcPr>
          <w:p w14:paraId="5CE2159B" w14:textId="77777777" w:rsidR="002A4DDF" w:rsidRPr="00937C8B" w:rsidRDefault="002A4DDF" w:rsidP="009110ED">
            <w:pPr>
              <w:rPr>
                <w:rFonts w:ascii="Arial" w:hAnsi="Arial" w:cs="Arial"/>
                <w:sz w:val="12"/>
                <w:szCs w:val="12"/>
              </w:rPr>
            </w:pPr>
          </w:p>
        </w:tc>
        <w:tc>
          <w:tcPr>
            <w:tcW w:w="1843" w:type="dxa"/>
            <w:shd w:val="clear" w:color="auto" w:fill="auto"/>
          </w:tcPr>
          <w:p w14:paraId="6863CCF9" w14:textId="77777777" w:rsidR="002A4DDF" w:rsidRPr="00937C8B" w:rsidRDefault="002A4DDF" w:rsidP="009110ED">
            <w:pPr>
              <w:rPr>
                <w:rFonts w:ascii="Arial" w:hAnsi="Arial" w:cs="Arial"/>
                <w:sz w:val="12"/>
                <w:szCs w:val="12"/>
              </w:rPr>
            </w:pPr>
          </w:p>
        </w:tc>
        <w:tc>
          <w:tcPr>
            <w:tcW w:w="2268" w:type="dxa"/>
            <w:shd w:val="clear" w:color="auto" w:fill="F2F2F2"/>
            <w:hideMark/>
          </w:tcPr>
          <w:p w14:paraId="57BB5B5A" w14:textId="77777777" w:rsidR="002A4DDF" w:rsidRPr="00937C8B" w:rsidRDefault="002A4DDF" w:rsidP="009110ED">
            <w:pPr>
              <w:rPr>
                <w:rFonts w:ascii="Arial" w:hAnsi="Arial" w:cs="Arial"/>
                <w:sz w:val="12"/>
                <w:szCs w:val="12"/>
              </w:rPr>
            </w:pPr>
            <w:r>
              <w:rPr>
                <w:rFonts w:ascii="Arial" w:hAnsi="Arial"/>
                <w:sz w:val="12"/>
                <w:szCs w:val="12"/>
              </w:rPr>
              <w:t>Cantalapiedra</w:t>
            </w:r>
          </w:p>
        </w:tc>
        <w:tc>
          <w:tcPr>
            <w:tcW w:w="2268" w:type="dxa"/>
            <w:tcBorders>
              <w:right w:val="single" w:sz="4" w:space="0" w:color="auto"/>
            </w:tcBorders>
            <w:shd w:val="clear" w:color="auto" w:fill="D9D9D9"/>
            <w:hideMark/>
          </w:tcPr>
          <w:p w14:paraId="49AC5EF1" w14:textId="77777777" w:rsidR="002A4DDF" w:rsidRPr="00937C8B" w:rsidRDefault="002A4DDF" w:rsidP="009110ED">
            <w:pPr>
              <w:rPr>
                <w:rFonts w:ascii="Arial" w:hAnsi="Arial" w:cs="Arial"/>
                <w:sz w:val="12"/>
                <w:szCs w:val="12"/>
              </w:rPr>
            </w:pPr>
            <w:r>
              <w:rPr>
                <w:rFonts w:ascii="Arial" w:hAnsi="Arial"/>
                <w:sz w:val="12"/>
                <w:szCs w:val="12"/>
              </w:rPr>
              <w:t>Campillo de Azaba</w:t>
            </w:r>
          </w:p>
        </w:tc>
      </w:tr>
      <w:tr w:rsidR="002A4DDF" w:rsidRPr="00937C8B" w14:paraId="7EC8CEFE" w14:textId="77777777" w:rsidTr="00935676">
        <w:trPr>
          <w:cantSplit/>
        </w:trPr>
        <w:tc>
          <w:tcPr>
            <w:tcW w:w="1696" w:type="dxa"/>
            <w:tcBorders>
              <w:left w:val="single" w:sz="4" w:space="0" w:color="auto"/>
            </w:tcBorders>
            <w:shd w:val="clear" w:color="auto" w:fill="auto"/>
          </w:tcPr>
          <w:p w14:paraId="7B29040F" w14:textId="77777777" w:rsidR="002A4DDF" w:rsidRPr="00937C8B" w:rsidRDefault="002A4DDF" w:rsidP="009110ED">
            <w:pPr>
              <w:rPr>
                <w:rFonts w:ascii="Arial" w:hAnsi="Arial" w:cs="Arial"/>
                <w:sz w:val="12"/>
                <w:szCs w:val="12"/>
              </w:rPr>
            </w:pPr>
          </w:p>
        </w:tc>
        <w:tc>
          <w:tcPr>
            <w:tcW w:w="1843" w:type="dxa"/>
            <w:shd w:val="clear" w:color="auto" w:fill="auto"/>
          </w:tcPr>
          <w:p w14:paraId="6F8DAD81" w14:textId="77777777" w:rsidR="002A4DDF" w:rsidRPr="00937C8B" w:rsidRDefault="002A4DDF" w:rsidP="009110ED">
            <w:pPr>
              <w:rPr>
                <w:rFonts w:ascii="Arial" w:hAnsi="Arial" w:cs="Arial"/>
                <w:sz w:val="12"/>
                <w:szCs w:val="12"/>
              </w:rPr>
            </w:pPr>
          </w:p>
        </w:tc>
        <w:tc>
          <w:tcPr>
            <w:tcW w:w="2268" w:type="dxa"/>
            <w:shd w:val="clear" w:color="auto" w:fill="F2F2F2"/>
            <w:hideMark/>
          </w:tcPr>
          <w:p w14:paraId="29462A05" w14:textId="77777777" w:rsidR="002A4DDF" w:rsidRPr="00937C8B" w:rsidRDefault="002A4DDF" w:rsidP="009110ED">
            <w:pPr>
              <w:rPr>
                <w:rFonts w:ascii="Arial" w:hAnsi="Arial" w:cs="Arial"/>
                <w:sz w:val="12"/>
                <w:szCs w:val="12"/>
              </w:rPr>
            </w:pPr>
            <w:r>
              <w:rPr>
                <w:rFonts w:ascii="Arial" w:hAnsi="Arial"/>
                <w:sz w:val="12"/>
                <w:szCs w:val="12"/>
              </w:rPr>
              <w:t>Cantalpino</w:t>
            </w:r>
          </w:p>
        </w:tc>
        <w:tc>
          <w:tcPr>
            <w:tcW w:w="2268" w:type="dxa"/>
            <w:tcBorders>
              <w:right w:val="single" w:sz="4" w:space="0" w:color="auto"/>
            </w:tcBorders>
            <w:shd w:val="clear" w:color="auto" w:fill="D9D9D9"/>
            <w:hideMark/>
          </w:tcPr>
          <w:p w14:paraId="03C6DAE9" w14:textId="77777777" w:rsidR="002A4DDF" w:rsidRPr="00937C8B" w:rsidRDefault="002A4DDF" w:rsidP="009110ED">
            <w:pPr>
              <w:rPr>
                <w:rFonts w:ascii="Arial" w:hAnsi="Arial" w:cs="Arial"/>
                <w:sz w:val="12"/>
                <w:szCs w:val="12"/>
              </w:rPr>
            </w:pPr>
            <w:r>
              <w:rPr>
                <w:rFonts w:ascii="Arial" w:hAnsi="Arial"/>
                <w:sz w:val="12"/>
                <w:szCs w:val="12"/>
              </w:rPr>
              <w:t>Candelario</w:t>
            </w:r>
          </w:p>
        </w:tc>
      </w:tr>
      <w:tr w:rsidR="002A4DDF" w:rsidRPr="00937C8B" w14:paraId="3DC2345A" w14:textId="77777777" w:rsidTr="00935676">
        <w:trPr>
          <w:cantSplit/>
        </w:trPr>
        <w:tc>
          <w:tcPr>
            <w:tcW w:w="1696" w:type="dxa"/>
            <w:tcBorders>
              <w:left w:val="single" w:sz="4" w:space="0" w:color="auto"/>
            </w:tcBorders>
            <w:shd w:val="clear" w:color="auto" w:fill="auto"/>
          </w:tcPr>
          <w:p w14:paraId="78B9E8DF" w14:textId="77777777" w:rsidR="002A4DDF" w:rsidRPr="00937C8B" w:rsidRDefault="002A4DDF" w:rsidP="009110ED">
            <w:pPr>
              <w:rPr>
                <w:rFonts w:ascii="Arial" w:hAnsi="Arial" w:cs="Arial"/>
                <w:sz w:val="12"/>
                <w:szCs w:val="12"/>
              </w:rPr>
            </w:pPr>
          </w:p>
        </w:tc>
        <w:tc>
          <w:tcPr>
            <w:tcW w:w="1843" w:type="dxa"/>
            <w:shd w:val="clear" w:color="auto" w:fill="auto"/>
          </w:tcPr>
          <w:p w14:paraId="0F27A3EF" w14:textId="77777777" w:rsidR="002A4DDF" w:rsidRPr="00937C8B" w:rsidRDefault="002A4DDF" w:rsidP="009110ED">
            <w:pPr>
              <w:rPr>
                <w:rFonts w:ascii="Arial" w:hAnsi="Arial" w:cs="Arial"/>
                <w:sz w:val="12"/>
                <w:szCs w:val="12"/>
              </w:rPr>
            </w:pPr>
          </w:p>
        </w:tc>
        <w:tc>
          <w:tcPr>
            <w:tcW w:w="2268" w:type="dxa"/>
            <w:shd w:val="clear" w:color="auto" w:fill="F2F2F2"/>
            <w:hideMark/>
          </w:tcPr>
          <w:p w14:paraId="7EC8B11B" w14:textId="77777777" w:rsidR="002A4DDF" w:rsidRPr="00937C8B" w:rsidRDefault="002A4DDF" w:rsidP="009110ED">
            <w:pPr>
              <w:rPr>
                <w:rFonts w:ascii="Arial" w:hAnsi="Arial" w:cs="Arial"/>
                <w:sz w:val="12"/>
                <w:szCs w:val="12"/>
              </w:rPr>
            </w:pPr>
            <w:r>
              <w:rPr>
                <w:rFonts w:ascii="Arial" w:hAnsi="Arial"/>
                <w:sz w:val="12"/>
                <w:szCs w:val="12"/>
              </w:rPr>
              <w:t>Cantaracillo</w:t>
            </w:r>
          </w:p>
        </w:tc>
        <w:tc>
          <w:tcPr>
            <w:tcW w:w="2268" w:type="dxa"/>
            <w:tcBorders>
              <w:right w:val="single" w:sz="4" w:space="0" w:color="auto"/>
            </w:tcBorders>
            <w:shd w:val="clear" w:color="auto" w:fill="D9D9D9"/>
            <w:hideMark/>
          </w:tcPr>
          <w:p w14:paraId="743F5C3B" w14:textId="77777777" w:rsidR="002A4DDF" w:rsidRPr="00937C8B" w:rsidRDefault="002A4DDF" w:rsidP="009110ED">
            <w:pPr>
              <w:rPr>
                <w:rFonts w:ascii="Arial" w:hAnsi="Arial" w:cs="Arial"/>
                <w:sz w:val="12"/>
                <w:szCs w:val="12"/>
              </w:rPr>
            </w:pPr>
            <w:r>
              <w:rPr>
                <w:rFonts w:ascii="Arial" w:hAnsi="Arial"/>
                <w:sz w:val="12"/>
                <w:szCs w:val="12"/>
              </w:rPr>
              <w:t>Cantagallo</w:t>
            </w:r>
          </w:p>
        </w:tc>
      </w:tr>
      <w:tr w:rsidR="002A4DDF" w:rsidRPr="00937C8B" w14:paraId="64CDCD5C" w14:textId="77777777" w:rsidTr="00935676">
        <w:trPr>
          <w:cantSplit/>
        </w:trPr>
        <w:tc>
          <w:tcPr>
            <w:tcW w:w="1696" w:type="dxa"/>
            <w:tcBorders>
              <w:left w:val="single" w:sz="4" w:space="0" w:color="auto"/>
            </w:tcBorders>
            <w:shd w:val="clear" w:color="auto" w:fill="auto"/>
          </w:tcPr>
          <w:p w14:paraId="5E5F3058" w14:textId="77777777" w:rsidR="002A4DDF" w:rsidRPr="00937C8B" w:rsidRDefault="002A4DDF" w:rsidP="009110ED">
            <w:pPr>
              <w:rPr>
                <w:rFonts w:ascii="Arial" w:hAnsi="Arial" w:cs="Arial"/>
                <w:sz w:val="12"/>
                <w:szCs w:val="12"/>
              </w:rPr>
            </w:pPr>
          </w:p>
        </w:tc>
        <w:tc>
          <w:tcPr>
            <w:tcW w:w="1843" w:type="dxa"/>
            <w:shd w:val="clear" w:color="auto" w:fill="auto"/>
          </w:tcPr>
          <w:p w14:paraId="04CE7D09" w14:textId="77777777" w:rsidR="002A4DDF" w:rsidRPr="00937C8B" w:rsidRDefault="002A4DDF" w:rsidP="009110ED">
            <w:pPr>
              <w:rPr>
                <w:rFonts w:ascii="Arial" w:hAnsi="Arial" w:cs="Arial"/>
                <w:sz w:val="12"/>
                <w:szCs w:val="12"/>
              </w:rPr>
            </w:pPr>
          </w:p>
        </w:tc>
        <w:tc>
          <w:tcPr>
            <w:tcW w:w="2268" w:type="dxa"/>
            <w:shd w:val="clear" w:color="auto" w:fill="F2F2F2"/>
            <w:hideMark/>
          </w:tcPr>
          <w:p w14:paraId="009F6650" w14:textId="77777777" w:rsidR="002A4DDF" w:rsidRPr="00937C8B" w:rsidRDefault="002A4DDF" w:rsidP="009110ED">
            <w:pPr>
              <w:rPr>
                <w:rFonts w:ascii="Arial" w:hAnsi="Arial" w:cs="Arial"/>
                <w:sz w:val="12"/>
                <w:szCs w:val="12"/>
              </w:rPr>
            </w:pPr>
            <w:r>
              <w:rPr>
                <w:rFonts w:ascii="Arial" w:hAnsi="Arial"/>
                <w:sz w:val="12"/>
                <w:szCs w:val="12"/>
              </w:rPr>
              <w:t>Carbajosa de la Sagrada</w:t>
            </w:r>
          </w:p>
        </w:tc>
        <w:tc>
          <w:tcPr>
            <w:tcW w:w="2268" w:type="dxa"/>
            <w:tcBorders>
              <w:right w:val="single" w:sz="4" w:space="0" w:color="auto"/>
            </w:tcBorders>
            <w:shd w:val="clear" w:color="auto" w:fill="D9D9D9"/>
            <w:hideMark/>
          </w:tcPr>
          <w:p w14:paraId="7E24CCB2" w14:textId="77777777" w:rsidR="002A4DDF" w:rsidRPr="00937C8B" w:rsidRDefault="002A4DDF" w:rsidP="009110ED">
            <w:pPr>
              <w:rPr>
                <w:rFonts w:ascii="Arial" w:hAnsi="Arial" w:cs="Arial"/>
                <w:sz w:val="12"/>
                <w:szCs w:val="12"/>
              </w:rPr>
            </w:pPr>
            <w:r>
              <w:rPr>
                <w:rFonts w:ascii="Arial" w:hAnsi="Arial"/>
                <w:sz w:val="12"/>
                <w:szCs w:val="12"/>
              </w:rPr>
              <w:t>Carpio de Azaba</w:t>
            </w:r>
          </w:p>
        </w:tc>
      </w:tr>
      <w:tr w:rsidR="002A4DDF" w:rsidRPr="00937C8B" w14:paraId="2FA2E6FB" w14:textId="77777777" w:rsidTr="00935676">
        <w:trPr>
          <w:cantSplit/>
        </w:trPr>
        <w:tc>
          <w:tcPr>
            <w:tcW w:w="1696" w:type="dxa"/>
            <w:tcBorders>
              <w:left w:val="single" w:sz="4" w:space="0" w:color="auto"/>
            </w:tcBorders>
            <w:shd w:val="clear" w:color="auto" w:fill="auto"/>
          </w:tcPr>
          <w:p w14:paraId="464C422D" w14:textId="77777777" w:rsidR="002A4DDF" w:rsidRPr="00937C8B" w:rsidRDefault="002A4DDF" w:rsidP="009110ED">
            <w:pPr>
              <w:rPr>
                <w:rFonts w:ascii="Arial" w:hAnsi="Arial" w:cs="Arial"/>
                <w:sz w:val="12"/>
                <w:szCs w:val="12"/>
              </w:rPr>
            </w:pPr>
          </w:p>
        </w:tc>
        <w:tc>
          <w:tcPr>
            <w:tcW w:w="1843" w:type="dxa"/>
            <w:shd w:val="clear" w:color="auto" w:fill="auto"/>
          </w:tcPr>
          <w:p w14:paraId="76938692" w14:textId="77777777" w:rsidR="002A4DDF" w:rsidRPr="00937C8B" w:rsidRDefault="002A4DDF" w:rsidP="009110ED">
            <w:pPr>
              <w:rPr>
                <w:rFonts w:ascii="Arial" w:hAnsi="Arial" w:cs="Arial"/>
                <w:sz w:val="12"/>
                <w:szCs w:val="12"/>
              </w:rPr>
            </w:pPr>
          </w:p>
        </w:tc>
        <w:tc>
          <w:tcPr>
            <w:tcW w:w="2268" w:type="dxa"/>
            <w:shd w:val="clear" w:color="auto" w:fill="F2F2F2"/>
            <w:hideMark/>
          </w:tcPr>
          <w:p w14:paraId="149E8128" w14:textId="77777777" w:rsidR="002A4DDF" w:rsidRPr="00937C8B" w:rsidRDefault="002A4DDF" w:rsidP="009110ED">
            <w:pPr>
              <w:rPr>
                <w:rFonts w:ascii="Arial" w:hAnsi="Arial" w:cs="Arial"/>
                <w:sz w:val="12"/>
                <w:szCs w:val="12"/>
              </w:rPr>
            </w:pPr>
            <w:r>
              <w:rPr>
                <w:rFonts w:ascii="Arial" w:hAnsi="Arial"/>
                <w:sz w:val="12"/>
                <w:szCs w:val="12"/>
              </w:rPr>
              <w:t>Carrascal de Barregas</w:t>
            </w:r>
          </w:p>
        </w:tc>
        <w:tc>
          <w:tcPr>
            <w:tcW w:w="2268" w:type="dxa"/>
            <w:tcBorders>
              <w:right w:val="single" w:sz="4" w:space="0" w:color="auto"/>
            </w:tcBorders>
            <w:shd w:val="clear" w:color="auto" w:fill="D9D9D9"/>
            <w:hideMark/>
          </w:tcPr>
          <w:p w14:paraId="1FCDA796" w14:textId="77777777" w:rsidR="002A4DDF" w:rsidRPr="00937C8B" w:rsidRDefault="002A4DDF" w:rsidP="009110ED">
            <w:pPr>
              <w:rPr>
                <w:rFonts w:ascii="Arial" w:hAnsi="Arial" w:cs="Arial"/>
                <w:sz w:val="12"/>
                <w:szCs w:val="12"/>
              </w:rPr>
            </w:pPr>
            <w:r>
              <w:rPr>
                <w:rFonts w:ascii="Arial" w:hAnsi="Arial"/>
                <w:sz w:val="12"/>
                <w:szCs w:val="12"/>
              </w:rPr>
              <w:t>Carrascal del Obispo</w:t>
            </w:r>
          </w:p>
        </w:tc>
      </w:tr>
      <w:tr w:rsidR="002A4DDF" w:rsidRPr="00937C8B" w14:paraId="61B7D21A" w14:textId="77777777" w:rsidTr="00935676">
        <w:trPr>
          <w:cantSplit/>
        </w:trPr>
        <w:tc>
          <w:tcPr>
            <w:tcW w:w="1696" w:type="dxa"/>
            <w:tcBorders>
              <w:left w:val="single" w:sz="4" w:space="0" w:color="auto"/>
            </w:tcBorders>
            <w:shd w:val="clear" w:color="auto" w:fill="auto"/>
          </w:tcPr>
          <w:p w14:paraId="1783FB96" w14:textId="77777777" w:rsidR="002A4DDF" w:rsidRPr="00937C8B" w:rsidRDefault="002A4DDF" w:rsidP="009110ED">
            <w:pPr>
              <w:rPr>
                <w:rFonts w:ascii="Arial" w:hAnsi="Arial" w:cs="Arial"/>
                <w:sz w:val="12"/>
                <w:szCs w:val="12"/>
              </w:rPr>
            </w:pPr>
          </w:p>
        </w:tc>
        <w:tc>
          <w:tcPr>
            <w:tcW w:w="1843" w:type="dxa"/>
            <w:shd w:val="clear" w:color="auto" w:fill="auto"/>
          </w:tcPr>
          <w:p w14:paraId="3D575926" w14:textId="77777777" w:rsidR="002A4DDF" w:rsidRPr="00937C8B" w:rsidRDefault="002A4DDF" w:rsidP="009110ED">
            <w:pPr>
              <w:rPr>
                <w:rFonts w:ascii="Arial" w:hAnsi="Arial" w:cs="Arial"/>
                <w:sz w:val="12"/>
                <w:szCs w:val="12"/>
              </w:rPr>
            </w:pPr>
          </w:p>
        </w:tc>
        <w:tc>
          <w:tcPr>
            <w:tcW w:w="2268" w:type="dxa"/>
            <w:shd w:val="clear" w:color="auto" w:fill="F2F2F2"/>
            <w:hideMark/>
          </w:tcPr>
          <w:p w14:paraId="5B03CE5C" w14:textId="77777777" w:rsidR="002A4DDF" w:rsidRPr="00937C8B" w:rsidRDefault="002A4DDF" w:rsidP="009110ED">
            <w:pPr>
              <w:rPr>
                <w:rFonts w:ascii="Arial" w:hAnsi="Arial" w:cs="Arial"/>
                <w:sz w:val="12"/>
                <w:szCs w:val="12"/>
              </w:rPr>
            </w:pPr>
            <w:r>
              <w:rPr>
                <w:rFonts w:ascii="Arial" w:hAnsi="Arial"/>
                <w:sz w:val="12"/>
                <w:szCs w:val="12"/>
              </w:rPr>
              <w:t>Castellanos de Moriscos</w:t>
            </w:r>
          </w:p>
        </w:tc>
        <w:tc>
          <w:tcPr>
            <w:tcW w:w="2268" w:type="dxa"/>
            <w:tcBorders>
              <w:right w:val="single" w:sz="4" w:space="0" w:color="auto"/>
            </w:tcBorders>
            <w:shd w:val="clear" w:color="auto" w:fill="D9D9D9"/>
            <w:hideMark/>
          </w:tcPr>
          <w:p w14:paraId="3C108B2B" w14:textId="77777777" w:rsidR="002A4DDF" w:rsidRPr="00937C8B" w:rsidRDefault="002A4DDF" w:rsidP="009110ED">
            <w:pPr>
              <w:rPr>
                <w:rFonts w:ascii="Arial" w:hAnsi="Arial" w:cs="Arial"/>
                <w:sz w:val="12"/>
                <w:szCs w:val="12"/>
              </w:rPr>
            </w:pPr>
            <w:r>
              <w:rPr>
                <w:rFonts w:ascii="Arial" w:hAnsi="Arial"/>
                <w:sz w:val="12"/>
                <w:szCs w:val="12"/>
              </w:rPr>
              <w:t>Casafranca</w:t>
            </w:r>
          </w:p>
        </w:tc>
      </w:tr>
      <w:tr w:rsidR="002A4DDF" w:rsidRPr="00937C8B" w14:paraId="3823B4B4" w14:textId="77777777" w:rsidTr="00935676">
        <w:trPr>
          <w:cantSplit/>
        </w:trPr>
        <w:tc>
          <w:tcPr>
            <w:tcW w:w="1696" w:type="dxa"/>
            <w:tcBorders>
              <w:left w:val="single" w:sz="4" w:space="0" w:color="auto"/>
            </w:tcBorders>
            <w:shd w:val="clear" w:color="auto" w:fill="auto"/>
          </w:tcPr>
          <w:p w14:paraId="64041559" w14:textId="77777777" w:rsidR="002A4DDF" w:rsidRPr="00937C8B" w:rsidRDefault="002A4DDF" w:rsidP="009110ED">
            <w:pPr>
              <w:rPr>
                <w:rFonts w:ascii="Arial" w:hAnsi="Arial" w:cs="Arial"/>
                <w:sz w:val="12"/>
                <w:szCs w:val="12"/>
              </w:rPr>
            </w:pPr>
          </w:p>
        </w:tc>
        <w:tc>
          <w:tcPr>
            <w:tcW w:w="1843" w:type="dxa"/>
            <w:shd w:val="clear" w:color="auto" w:fill="auto"/>
          </w:tcPr>
          <w:p w14:paraId="0BB3D260" w14:textId="77777777" w:rsidR="002A4DDF" w:rsidRPr="00937C8B" w:rsidRDefault="002A4DDF" w:rsidP="009110ED">
            <w:pPr>
              <w:rPr>
                <w:rFonts w:ascii="Arial" w:hAnsi="Arial" w:cs="Arial"/>
                <w:sz w:val="12"/>
                <w:szCs w:val="12"/>
              </w:rPr>
            </w:pPr>
          </w:p>
        </w:tc>
        <w:tc>
          <w:tcPr>
            <w:tcW w:w="2268" w:type="dxa"/>
            <w:shd w:val="clear" w:color="auto" w:fill="F2F2F2"/>
            <w:hideMark/>
          </w:tcPr>
          <w:p w14:paraId="0C9A5497" w14:textId="77777777" w:rsidR="002A4DDF" w:rsidRPr="00937C8B" w:rsidRDefault="002A4DDF" w:rsidP="009110ED">
            <w:pPr>
              <w:rPr>
                <w:rFonts w:ascii="Arial" w:hAnsi="Arial" w:cs="Arial"/>
                <w:sz w:val="12"/>
                <w:szCs w:val="12"/>
              </w:rPr>
            </w:pPr>
            <w:r>
              <w:rPr>
                <w:rFonts w:ascii="Arial" w:hAnsi="Arial"/>
                <w:sz w:val="12"/>
                <w:szCs w:val="12"/>
              </w:rPr>
              <w:t>Castellanos de Villiquera</w:t>
            </w:r>
          </w:p>
        </w:tc>
        <w:tc>
          <w:tcPr>
            <w:tcW w:w="2268" w:type="dxa"/>
            <w:tcBorders>
              <w:right w:val="single" w:sz="4" w:space="0" w:color="auto"/>
            </w:tcBorders>
            <w:shd w:val="clear" w:color="auto" w:fill="D9D9D9"/>
            <w:hideMark/>
          </w:tcPr>
          <w:p w14:paraId="17ABE2AD" w14:textId="77777777" w:rsidR="002A4DDF" w:rsidRPr="00937C8B" w:rsidRDefault="002A4DDF" w:rsidP="009110ED">
            <w:pPr>
              <w:rPr>
                <w:rFonts w:ascii="Arial" w:hAnsi="Arial" w:cs="Arial"/>
                <w:sz w:val="12"/>
                <w:szCs w:val="12"/>
              </w:rPr>
            </w:pPr>
            <w:r>
              <w:rPr>
                <w:rFonts w:ascii="Arial" w:hAnsi="Arial"/>
                <w:sz w:val="12"/>
                <w:szCs w:val="12"/>
              </w:rPr>
              <w:t>Casillas de Flores</w:t>
            </w:r>
          </w:p>
        </w:tc>
      </w:tr>
      <w:tr w:rsidR="002A4DDF" w:rsidRPr="00937C8B" w14:paraId="14B8CDDD" w14:textId="77777777" w:rsidTr="00935676">
        <w:trPr>
          <w:cantSplit/>
        </w:trPr>
        <w:tc>
          <w:tcPr>
            <w:tcW w:w="1696" w:type="dxa"/>
            <w:tcBorders>
              <w:left w:val="single" w:sz="4" w:space="0" w:color="auto"/>
            </w:tcBorders>
            <w:shd w:val="clear" w:color="auto" w:fill="auto"/>
          </w:tcPr>
          <w:p w14:paraId="4CD83D86" w14:textId="77777777" w:rsidR="002A4DDF" w:rsidRPr="00937C8B" w:rsidRDefault="002A4DDF" w:rsidP="009110ED">
            <w:pPr>
              <w:rPr>
                <w:rFonts w:ascii="Arial" w:hAnsi="Arial" w:cs="Arial"/>
                <w:sz w:val="12"/>
                <w:szCs w:val="12"/>
              </w:rPr>
            </w:pPr>
          </w:p>
        </w:tc>
        <w:tc>
          <w:tcPr>
            <w:tcW w:w="1843" w:type="dxa"/>
            <w:shd w:val="clear" w:color="auto" w:fill="auto"/>
          </w:tcPr>
          <w:p w14:paraId="1EBD193F" w14:textId="77777777" w:rsidR="002A4DDF" w:rsidRPr="00937C8B" w:rsidRDefault="002A4DDF" w:rsidP="009110ED">
            <w:pPr>
              <w:rPr>
                <w:rFonts w:ascii="Arial" w:hAnsi="Arial" w:cs="Arial"/>
                <w:sz w:val="12"/>
                <w:szCs w:val="12"/>
              </w:rPr>
            </w:pPr>
          </w:p>
        </w:tc>
        <w:tc>
          <w:tcPr>
            <w:tcW w:w="2268" w:type="dxa"/>
            <w:shd w:val="clear" w:color="auto" w:fill="F2F2F2"/>
            <w:hideMark/>
          </w:tcPr>
          <w:p w14:paraId="577E3803" w14:textId="77777777" w:rsidR="002A4DDF" w:rsidRPr="00937C8B" w:rsidRDefault="002A4DDF" w:rsidP="009110ED">
            <w:pPr>
              <w:rPr>
                <w:rFonts w:ascii="Arial" w:hAnsi="Arial" w:cs="Arial"/>
                <w:sz w:val="12"/>
                <w:szCs w:val="12"/>
              </w:rPr>
            </w:pPr>
            <w:r>
              <w:rPr>
                <w:rFonts w:ascii="Arial" w:hAnsi="Arial"/>
                <w:sz w:val="12"/>
                <w:szCs w:val="12"/>
              </w:rPr>
              <w:t>Castraz</w:t>
            </w:r>
          </w:p>
        </w:tc>
        <w:tc>
          <w:tcPr>
            <w:tcW w:w="2268" w:type="dxa"/>
            <w:tcBorders>
              <w:right w:val="single" w:sz="4" w:space="0" w:color="auto"/>
            </w:tcBorders>
            <w:shd w:val="clear" w:color="auto" w:fill="D9D9D9"/>
            <w:hideMark/>
          </w:tcPr>
          <w:p w14:paraId="2037B8CA" w14:textId="77777777" w:rsidR="002A4DDF" w:rsidRPr="00937C8B" w:rsidRDefault="002A4DDF" w:rsidP="009110ED">
            <w:pPr>
              <w:rPr>
                <w:rFonts w:ascii="Arial" w:hAnsi="Arial" w:cs="Arial"/>
                <w:sz w:val="12"/>
                <w:szCs w:val="12"/>
              </w:rPr>
            </w:pPr>
            <w:r>
              <w:rPr>
                <w:rFonts w:ascii="Arial" w:hAnsi="Arial"/>
                <w:sz w:val="12"/>
                <w:szCs w:val="12"/>
              </w:rPr>
              <w:t>Castillejo de Martín Viejo</w:t>
            </w:r>
          </w:p>
        </w:tc>
      </w:tr>
      <w:tr w:rsidR="002A4DDF" w:rsidRPr="00937C8B" w14:paraId="47646C6B" w14:textId="77777777" w:rsidTr="00935676">
        <w:trPr>
          <w:cantSplit/>
        </w:trPr>
        <w:tc>
          <w:tcPr>
            <w:tcW w:w="1696" w:type="dxa"/>
            <w:tcBorders>
              <w:left w:val="single" w:sz="4" w:space="0" w:color="auto"/>
            </w:tcBorders>
            <w:shd w:val="clear" w:color="auto" w:fill="auto"/>
          </w:tcPr>
          <w:p w14:paraId="10BE5EC5" w14:textId="77777777" w:rsidR="002A4DDF" w:rsidRPr="00937C8B" w:rsidRDefault="002A4DDF" w:rsidP="009110ED">
            <w:pPr>
              <w:rPr>
                <w:rFonts w:ascii="Arial" w:hAnsi="Arial" w:cs="Arial"/>
                <w:sz w:val="12"/>
                <w:szCs w:val="12"/>
              </w:rPr>
            </w:pPr>
          </w:p>
        </w:tc>
        <w:tc>
          <w:tcPr>
            <w:tcW w:w="1843" w:type="dxa"/>
            <w:shd w:val="clear" w:color="auto" w:fill="auto"/>
          </w:tcPr>
          <w:p w14:paraId="724669FB" w14:textId="77777777" w:rsidR="002A4DDF" w:rsidRPr="00937C8B" w:rsidRDefault="002A4DDF" w:rsidP="009110ED">
            <w:pPr>
              <w:rPr>
                <w:rFonts w:ascii="Arial" w:hAnsi="Arial" w:cs="Arial"/>
                <w:sz w:val="12"/>
                <w:szCs w:val="12"/>
              </w:rPr>
            </w:pPr>
          </w:p>
        </w:tc>
        <w:tc>
          <w:tcPr>
            <w:tcW w:w="2268" w:type="dxa"/>
            <w:shd w:val="clear" w:color="auto" w:fill="F2F2F2"/>
            <w:hideMark/>
          </w:tcPr>
          <w:p w14:paraId="125CA7CA" w14:textId="77777777" w:rsidR="002A4DDF" w:rsidRPr="00937C8B" w:rsidRDefault="002A4DDF" w:rsidP="009110ED">
            <w:pPr>
              <w:rPr>
                <w:rFonts w:ascii="Arial" w:hAnsi="Arial" w:cs="Arial"/>
                <w:sz w:val="12"/>
                <w:szCs w:val="12"/>
              </w:rPr>
            </w:pPr>
            <w:r>
              <w:rPr>
                <w:rFonts w:ascii="Arial" w:hAnsi="Arial"/>
                <w:sz w:val="12"/>
                <w:szCs w:val="12"/>
              </w:rPr>
              <w:t>Cilleros de la Bastida</w:t>
            </w:r>
          </w:p>
        </w:tc>
        <w:tc>
          <w:tcPr>
            <w:tcW w:w="2268" w:type="dxa"/>
            <w:tcBorders>
              <w:right w:val="single" w:sz="4" w:space="0" w:color="auto"/>
            </w:tcBorders>
            <w:shd w:val="clear" w:color="auto" w:fill="D9D9D9"/>
            <w:hideMark/>
          </w:tcPr>
          <w:p w14:paraId="079DAF8D" w14:textId="77777777" w:rsidR="002A4DDF" w:rsidRPr="00937C8B" w:rsidRDefault="002A4DDF" w:rsidP="009110ED">
            <w:pPr>
              <w:rPr>
                <w:rFonts w:ascii="Arial" w:hAnsi="Arial" w:cs="Arial"/>
                <w:sz w:val="12"/>
                <w:szCs w:val="12"/>
              </w:rPr>
            </w:pPr>
            <w:r>
              <w:rPr>
                <w:rFonts w:ascii="Arial" w:hAnsi="Arial"/>
                <w:sz w:val="12"/>
                <w:szCs w:val="12"/>
              </w:rPr>
              <w:t>Cepeda</w:t>
            </w:r>
          </w:p>
        </w:tc>
      </w:tr>
      <w:tr w:rsidR="002A4DDF" w:rsidRPr="00937C8B" w14:paraId="714BE0D3" w14:textId="77777777" w:rsidTr="00935676">
        <w:trPr>
          <w:cantSplit/>
        </w:trPr>
        <w:tc>
          <w:tcPr>
            <w:tcW w:w="1696" w:type="dxa"/>
            <w:tcBorders>
              <w:left w:val="single" w:sz="4" w:space="0" w:color="auto"/>
            </w:tcBorders>
            <w:shd w:val="clear" w:color="auto" w:fill="auto"/>
          </w:tcPr>
          <w:p w14:paraId="72A0278D" w14:textId="77777777" w:rsidR="002A4DDF" w:rsidRPr="00937C8B" w:rsidRDefault="002A4DDF" w:rsidP="009110ED">
            <w:pPr>
              <w:rPr>
                <w:rFonts w:ascii="Arial" w:hAnsi="Arial" w:cs="Arial"/>
                <w:sz w:val="12"/>
                <w:szCs w:val="12"/>
              </w:rPr>
            </w:pPr>
          </w:p>
        </w:tc>
        <w:tc>
          <w:tcPr>
            <w:tcW w:w="1843" w:type="dxa"/>
            <w:shd w:val="clear" w:color="auto" w:fill="auto"/>
          </w:tcPr>
          <w:p w14:paraId="051A2E88" w14:textId="77777777" w:rsidR="002A4DDF" w:rsidRPr="00937C8B" w:rsidRDefault="002A4DDF" w:rsidP="009110ED">
            <w:pPr>
              <w:rPr>
                <w:rFonts w:ascii="Arial" w:hAnsi="Arial" w:cs="Arial"/>
                <w:sz w:val="12"/>
                <w:szCs w:val="12"/>
              </w:rPr>
            </w:pPr>
          </w:p>
        </w:tc>
        <w:tc>
          <w:tcPr>
            <w:tcW w:w="2268" w:type="dxa"/>
            <w:shd w:val="clear" w:color="auto" w:fill="F2F2F2"/>
            <w:hideMark/>
          </w:tcPr>
          <w:p w14:paraId="5877D6DF" w14:textId="77777777" w:rsidR="002A4DDF" w:rsidRPr="00937C8B" w:rsidRDefault="002A4DDF" w:rsidP="009110ED">
            <w:pPr>
              <w:rPr>
                <w:rFonts w:ascii="Arial" w:hAnsi="Arial" w:cs="Arial"/>
                <w:sz w:val="12"/>
                <w:szCs w:val="12"/>
              </w:rPr>
            </w:pPr>
            <w:r>
              <w:rPr>
                <w:rFonts w:ascii="Arial" w:hAnsi="Arial"/>
                <w:sz w:val="12"/>
                <w:szCs w:val="12"/>
              </w:rPr>
              <w:t>Coca de Alba</w:t>
            </w:r>
          </w:p>
        </w:tc>
        <w:tc>
          <w:tcPr>
            <w:tcW w:w="2268" w:type="dxa"/>
            <w:tcBorders>
              <w:right w:val="single" w:sz="4" w:space="0" w:color="auto"/>
            </w:tcBorders>
            <w:shd w:val="clear" w:color="auto" w:fill="D9D9D9"/>
            <w:hideMark/>
          </w:tcPr>
          <w:p w14:paraId="087AFD16" w14:textId="77777777" w:rsidR="002A4DDF" w:rsidRPr="00937C8B" w:rsidRDefault="002A4DDF" w:rsidP="009110ED">
            <w:pPr>
              <w:rPr>
                <w:rFonts w:ascii="Arial" w:hAnsi="Arial" w:cs="Arial"/>
                <w:sz w:val="12"/>
                <w:szCs w:val="12"/>
              </w:rPr>
            </w:pPr>
            <w:r>
              <w:rPr>
                <w:rFonts w:ascii="Arial" w:hAnsi="Arial"/>
                <w:sz w:val="12"/>
                <w:szCs w:val="12"/>
              </w:rPr>
              <w:t>Cereceda de la Sierra</w:t>
            </w:r>
          </w:p>
        </w:tc>
      </w:tr>
      <w:tr w:rsidR="002A4DDF" w:rsidRPr="00937C8B" w14:paraId="202BA3A5" w14:textId="77777777" w:rsidTr="00935676">
        <w:trPr>
          <w:cantSplit/>
        </w:trPr>
        <w:tc>
          <w:tcPr>
            <w:tcW w:w="1696" w:type="dxa"/>
            <w:tcBorders>
              <w:left w:val="single" w:sz="4" w:space="0" w:color="auto"/>
            </w:tcBorders>
            <w:shd w:val="clear" w:color="auto" w:fill="auto"/>
          </w:tcPr>
          <w:p w14:paraId="06FCE276" w14:textId="77777777" w:rsidR="002A4DDF" w:rsidRPr="00937C8B" w:rsidRDefault="002A4DDF" w:rsidP="009110ED">
            <w:pPr>
              <w:rPr>
                <w:rFonts w:ascii="Arial" w:hAnsi="Arial" w:cs="Arial"/>
                <w:sz w:val="12"/>
                <w:szCs w:val="12"/>
              </w:rPr>
            </w:pPr>
          </w:p>
        </w:tc>
        <w:tc>
          <w:tcPr>
            <w:tcW w:w="1843" w:type="dxa"/>
            <w:shd w:val="clear" w:color="auto" w:fill="auto"/>
          </w:tcPr>
          <w:p w14:paraId="2E887A3F" w14:textId="77777777" w:rsidR="002A4DDF" w:rsidRPr="00937C8B" w:rsidRDefault="002A4DDF" w:rsidP="009110ED">
            <w:pPr>
              <w:rPr>
                <w:rFonts w:ascii="Arial" w:hAnsi="Arial" w:cs="Arial"/>
                <w:sz w:val="12"/>
                <w:szCs w:val="12"/>
              </w:rPr>
            </w:pPr>
          </w:p>
        </w:tc>
        <w:tc>
          <w:tcPr>
            <w:tcW w:w="2268" w:type="dxa"/>
            <w:shd w:val="clear" w:color="auto" w:fill="F2F2F2"/>
            <w:hideMark/>
          </w:tcPr>
          <w:p w14:paraId="44C69143" w14:textId="77777777" w:rsidR="002A4DDF" w:rsidRPr="00937C8B" w:rsidRDefault="002A4DDF" w:rsidP="009110ED">
            <w:pPr>
              <w:rPr>
                <w:rFonts w:ascii="Arial" w:hAnsi="Arial" w:cs="Arial"/>
                <w:sz w:val="12"/>
                <w:szCs w:val="12"/>
              </w:rPr>
            </w:pPr>
            <w:r>
              <w:rPr>
                <w:rFonts w:ascii="Arial" w:hAnsi="Arial"/>
                <w:sz w:val="12"/>
                <w:szCs w:val="12"/>
              </w:rPr>
              <w:t>Cordovilla</w:t>
            </w:r>
          </w:p>
        </w:tc>
        <w:tc>
          <w:tcPr>
            <w:tcW w:w="2268" w:type="dxa"/>
            <w:tcBorders>
              <w:right w:val="single" w:sz="4" w:space="0" w:color="auto"/>
            </w:tcBorders>
            <w:shd w:val="clear" w:color="auto" w:fill="D9D9D9"/>
            <w:hideMark/>
          </w:tcPr>
          <w:p w14:paraId="10BF9108" w14:textId="77777777" w:rsidR="002A4DDF" w:rsidRPr="00937C8B" w:rsidRDefault="002A4DDF" w:rsidP="009110ED">
            <w:pPr>
              <w:rPr>
                <w:rFonts w:ascii="Arial" w:hAnsi="Arial" w:cs="Arial"/>
                <w:sz w:val="12"/>
                <w:szCs w:val="12"/>
              </w:rPr>
            </w:pPr>
            <w:r>
              <w:rPr>
                <w:rFonts w:ascii="Arial" w:hAnsi="Arial"/>
                <w:sz w:val="12"/>
                <w:szCs w:val="12"/>
              </w:rPr>
              <w:t>Cerezal de Peñahorcada</w:t>
            </w:r>
          </w:p>
        </w:tc>
      </w:tr>
      <w:tr w:rsidR="002A4DDF" w:rsidRPr="00937C8B" w14:paraId="133A156F" w14:textId="77777777" w:rsidTr="00935676">
        <w:trPr>
          <w:cantSplit/>
        </w:trPr>
        <w:tc>
          <w:tcPr>
            <w:tcW w:w="1696" w:type="dxa"/>
            <w:tcBorders>
              <w:left w:val="single" w:sz="4" w:space="0" w:color="auto"/>
            </w:tcBorders>
            <w:shd w:val="clear" w:color="auto" w:fill="auto"/>
          </w:tcPr>
          <w:p w14:paraId="4531AC36" w14:textId="77777777" w:rsidR="002A4DDF" w:rsidRPr="00937C8B" w:rsidRDefault="002A4DDF" w:rsidP="009110ED">
            <w:pPr>
              <w:rPr>
                <w:rFonts w:ascii="Arial" w:hAnsi="Arial" w:cs="Arial"/>
                <w:sz w:val="12"/>
                <w:szCs w:val="12"/>
              </w:rPr>
            </w:pPr>
          </w:p>
        </w:tc>
        <w:tc>
          <w:tcPr>
            <w:tcW w:w="1843" w:type="dxa"/>
            <w:shd w:val="clear" w:color="auto" w:fill="auto"/>
          </w:tcPr>
          <w:p w14:paraId="1DA86118" w14:textId="77777777" w:rsidR="002A4DDF" w:rsidRPr="00937C8B" w:rsidRDefault="002A4DDF" w:rsidP="009110ED">
            <w:pPr>
              <w:rPr>
                <w:rFonts w:ascii="Arial" w:hAnsi="Arial" w:cs="Arial"/>
                <w:sz w:val="12"/>
                <w:szCs w:val="12"/>
              </w:rPr>
            </w:pPr>
          </w:p>
        </w:tc>
        <w:tc>
          <w:tcPr>
            <w:tcW w:w="2268" w:type="dxa"/>
            <w:shd w:val="clear" w:color="auto" w:fill="F2F2F2"/>
            <w:hideMark/>
          </w:tcPr>
          <w:p w14:paraId="5FA1A883" w14:textId="77777777" w:rsidR="002A4DDF" w:rsidRPr="00937C8B" w:rsidRDefault="002A4DDF" w:rsidP="009110ED">
            <w:pPr>
              <w:rPr>
                <w:rFonts w:ascii="Arial" w:hAnsi="Arial" w:cs="Arial"/>
                <w:sz w:val="12"/>
                <w:szCs w:val="12"/>
              </w:rPr>
            </w:pPr>
            <w:r>
              <w:rPr>
                <w:rFonts w:ascii="Arial" w:hAnsi="Arial"/>
                <w:sz w:val="12"/>
                <w:szCs w:val="12"/>
              </w:rPr>
              <w:t>Coto Mancomunado</w:t>
            </w:r>
          </w:p>
        </w:tc>
        <w:tc>
          <w:tcPr>
            <w:tcW w:w="2268" w:type="dxa"/>
            <w:tcBorders>
              <w:right w:val="single" w:sz="4" w:space="0" w:color="auto"/>
            </w:tcBorders>
            <w:shd w:val="clear" w:color="auto" w:fill="D9D9D9"/>
            <w:hideMark/>
          </w:tcPr>
          <w:p w14:paraId="57CA9EC7" w14:textId="77777777" w:rsidR="002A4DDF" w:rsidRPr="00937C8B" w:rsidRDefault="002A4DDF" w:rsidP="009110ED">
            <w:pPr>
              <w:rPr>
                <w:rFonts w:ascii="Arial" w:hAnsi="Arial" w:cs="Arial"/>
                <w:sz w:val="12"/>
                <w:szCs w:val="12"/>
              </w:rPr>
            </w:pPr>
            <w:r>
              <w:rPr>
                <w:rFonts w:ascii="Arial" w:hAnsi="Arial"/>
                <w:sz w:val="12"/>
                <w:szCs w:val="12"/>
              </w:rPr>
              <w:t>Cerralbo</w:t>
            </w:r>
          </w:p>
        </w:tc>
      </w:tr>
      <w:tr w:rsidR="002A4DDF" w:rsidRPr="00937C8B" w14:paraId="361F365E" w14:textId="77777777" w:rsidTr="00935676">
        <w:trPr>
          <w:cantSplit/>
        </w:trPr>
        <w:tc>
          <w:tcPr>
            <w:tcW w:w="1696" w:type="dxa"/>
            <w:tcBorders>
              <w:left w:val="single" w:sz="4" w:space="0" w:color="auto"/>
            </w:tcBorders>
            <w:shd w:val="clear" w:color="auto" w:fill="auto"/>
          </w:tcPr>
          <w:p w14:paraId="3654EE55" w14:textId="77777777" w:rsidR="002A4DDF" w:rsidRPr="00937C8B" w:rsidRDefault="002A4DDF" w:rsidP="009110ED">
            <w:pPr>
              <w:rPr>
                <w:rFonts w:ascii="Arial" w:hAnsi="Arial" w:cs="Arial"/>
                <w:sz w:val="12"/>
                <w:szCs w:val="12"/>
              </w:rPr>
            </w:pPr>
          </w:p>
        </w:tc>
        <w:tc>
          <w:tcPr>
            <w:tcW w:w="1843" w:type="dxa"/>
            <w:shd w:val="clear" w:color="auto" w:fill="auto"/>
          </w:tcPr>
          <w:p w14:paraId="734816C1" w14:textId="77777777" w:rsidR="002A4DDF" w:rsidRPr="00937C8B" w:rsidRDefault="002A4DDF" w:rsidP="009110ED">
            <w:pPr>
              <w:rPr>
                <w:rFonts w:ascii="Arial" w:hAnsi="Arial" w:cs="Arial"/>
                <w:sz w:val="12"/>
                <w:szCs w:val="12"/>
              </w:rPr>
            </w:pPr>
          </w:p>
        </w:tc>
        <w:tc>
          <w:tcPr>
            <w:tcW w:w="2268" w:type="dxa"/>
            <w:shd w:val="clear" w:color="auto" w:fill="F2F2F2"/>
            <w:hideMark/>
          </w:tcPr>
          <w:p w14:paraId="2F9DEF30" w14:textId="77777777" w:rsidR="002A4DDF" w:rsidRPr="00937C8B" w:rsidRDefault="002A4DDF" w:rsidP="009110ED">
            <w:pPr>
              <w:rPr>
                <w:rFonts w:ascii="Arial" w:hAnsi="Arial" w:cs="Arial"/>
                <w:sz w:val="12"/>
                <w:szCs w:val="12"/>
              </w:rPr>
            </w:pPr>
            <w:r>
              <w:rPr>
                <w:rFonts w:ascii="Arial" w:hAnsi="Arial"/>
                <w:sz w:val="12"/>
                <w:szCs w:val="12"/>
              </w:rPr>
              <w:t>Dios le Guarde</w:t>
            </w:r>
          </w:p>
        </w:tc>
        <w:tc>
          <w:tcPr>
            <w:tcW w:w="2268" w:type="dxa"/>
            <w:tcBorders>
              <w:right w:val="single" w:sz="4" w:space="0" w:color="auto"/>
            </w:tcBorders>
            <w:shd w:val="clear" w:color="auto" w:fill="D9D9D9"/>
            <w:hideMark/>
          </w:tcPr>
          <w:p w14:paraId="58EDCEB1" w14:textId="77777777" w:rsidR="002A4DDF" w:rsidRPr="00937C8B" w:rsidRDefault="002A4DDF" w:rsidP="009110ED">
            <w:pPr>
              <w:rPr>
                <w:rFonts w:ascii="Arial" w:hAnsi="Arial" w:cs="Arial"/>
                <w:sz w:val="12"/>
                <w:szCs w:val="12"/>
              </w:rPr>
            </w:pPr>
            <w:r>
              <w:rPr>
                <w:rFonts w:ascii="Arial" w:hAnsi="Arial"/>
                <w:sz w:val="12"/>
                <w:szCs w:val="12"/>
              </w:rPr>
              <w:t>Cespedosa de Tormes</w:t>
            </w:r>
          </w:p>
        </w:tc>
      </w:tr>
      <w:tr w:rsidR="002A4DDF" w:rsidRPr="00937C8B" w14:paraId="2DAE4D0E" w14:textId="77777777" w:rsidTr="00935676">
        <w:trPr>
          <w:cantSplit/>
        </w:trPr>
        <w:tc>
          <w:tcPr>
            <w:tcW w:w="1696" w:type="dxa"/>
            <w:tcBorders>
              <w:left w:val="single" w:sz="4" w:space="0" w:color="auto"/>
            </w:tcBorders>
            <w:shd w:val="clear" w:color="auto" w:fill="auto"/>
          </w:tcPr>
          <w:p w14:paraId="6675745C" w14:textId="77777777" w:rsidR="002A4DDF" w:rsidRPr="00937C8B" w:rsidRDefault="002A4DDF" w:rsidP="009110ED">
            <w:pPr>
              <w:rPr>
                <w:rFonts w:ascii="Arial" w:hAnsi="Arial" w:cs="Arial"/>
                <w:sz w:val="12"/>
                <w:szCs w:val="12"/>
              </w:rPr>
            </w:pPr>
          </w:p>
        </w:tc>
        <w:tc>
          <w:tcPr>
            <w:tcW w:w="1843" w:type="dxa"/>
            <w:shd w:val="clear" w:color="auto" w:fill="auto"/>
          </w:tcPr>
          <w:p w14:paraId="42FDE0D0" w14:textId="77777777" w:rsidR="002A4DDF" w:rsidRPr="00937C8B" w:rsidRDefault="002A4DDF" w:rsidP="009110ED">
            <w:pPr>
              <w:rPr>
                <w:rFonts w:ascii="Arial" w:hAnsi="Arial" w:cs="Arial"/>
                <w:sz w:val="12"/>
                <w:szCs w:val="12"/>
              </w:rPr>
            </w:pPr>
          </w:p>
        </w:tc>
        <w:tc>
          <w:tcPr>
            <w:tcW w:w="2268" w:type="dxa"/>
            <w:shd w:val="clear" w:color="auto" w:fill="F2F2F2"/>
            <w:hideMark/>
          </w:tcPr>
          <w:p w14:paraId="20A65AEA" w14:textId="77777777" w:rsidR="002A4DDF" w:rsidRPr="00937C8B" w:rsidRDefault="002A4DDF" w:rsidP="009110ED">
            <w:pPr>
              <w:rPr>
                <w:rFonts w:ascii="Arial" w:hAnsi="Arial" w:cs="Arial"/>
                <w:sz w:val="12"/>
                <w:szCs w:val="12"/>
              </w:rPr>
            </w:pPr>
            <w:r>
              <w:rPr>
                <w:rFonts w:ascii="Arial" w:hAnsi="Arial"/>
                <w:sz w:val="12"/>
                <w:szCs w:val="12"/>
              </w:rPr>
              <w:t>Doñinos de Salamanca</w:t>
            </w:r>
          </w:p>
        </w:tc>
        <w:tc>
          <w:tcPr>
            <w:tcW w:w="2268" w:type="dxa"/>
            <w:tcBorders>
              <w:right w:val="single" w:sz="4" w:space="0" w:color="auto"/>
            </w:tcBorders>
            <w:shd w:val="clear" w:color="auto" w:fill="D9D9D9"/>
            <w:hideMark/>
          </w:tcPr>
          <w:p w14:paraId="28FA8432" w14:textId="77777777" w:rsidR="002A4DDF" w:rsidRPr="00937C8B" w:rsidRDefault="002A4DDF" w:rsidP="009110ED">
            <w:pPr>
              <w:rPr>
                <w:rFonts w:ascii="Arial" w:hAnsi="Arial" w:cs="Arial"/>
                <w:sz w:val="12"/>
                <w:szCs w:val="12"/>
              </w:rPr>
            </w:pPr>
            <w:r>
              <w:rPr>
                <w:rFonts w:ascii="Arial" w:hAnsi="Arial"/>
                <w:sz w:val="12"/>
                <w:szCs w:val="12"/>
              </w:rPr>
              <w:t>Chagarcía Medianero</w:t>
            </w:r>
          </w:p>
        </w:tc>
      </w:tr>
      <w:tr w:rsidR="002A4DDF" w:rsidRPr="00937C8B" w14:paraId="06CEB6A0" w14:textId="77777777" w:rsidTr="00935676">
        <w:trPr>
          <w:cantSplit/>
        </w:trPr>
        <w:tc>
          <w:tcPr>
            <w:tcW w:w="1696" w:type="dxa"/>
            <w:tcBorders>
              <w:left w:val="single" w:sz="4" w:space="0" w:color="auto"/>
            </w:tcBorders>
            <w:shd w:val="clear" w:color="auto" w:fill="auto"/>
          </w:tcPr>
          <w:p w14:paraId="12CED23A" w14:textId="77777777" w:rsidR="002A4DDF" w:rsidRPr="00937C8B" w:rsidRDefault="002A4DDF" w:rsidP="009110ED">
            <w:pPr>
              <w:rPr>
                <w:rFonts w:ascii="Arial" w:hAnsi="Arial" w:cs="Arial"/>
                <w:sz w:val="12"/>
                <w:szCs w:val="12"/>
              </w:rPr>
            </w:pPr>
          </w:p>
        </w:tc>
        <w:tc>
          <w:tcPr>
            <w:tcW w:w="1843" w:type="dxa"/>
            <w:shd w:val="clear" w:color="auto" w:fill="auto"/>
          </w:tcPr>
          <w:p w14:paraId="2363C121" w14:textId="77777777" w:rsidR="002A4DDF" w:rsidRPr="00937C8B" w:rsidRDefault="002A4DDF" w:rsidP="009110ED">
            <w:pPr>
              <w:rPr>
                <w:rFonts w:ascii="Arial" w:hAnsi="Arial" w:cs="Arial"/>
                <w:sz w:val="12"/>
                <w:szCs w:val="12"/>
              </w:rPr>
            </w:pPr>
          </w:p>
        </w:tc>
        <w:tc>
          <w:tcPr>
            <w:tcW w:w="2268" w:type="dxa"/>
            <w:shd w:val="clear" w:color="auto" w:fill="F2F2F2"/>
            <w:hideMark/>
          </w:tcPr>
          <w:p w14:paraId="44F4E275" w14:textId="77777777" w:rsidR="002A4DDF" w:rsidRPr="00937C8B" w:rsidRDefault="002A4DDF" w:rsidP="009110ED">
            <w:pPr>
              <w:rPr>
                <w:rFonts w:ascii="Arial" w:hAnsi="Arial" w:cs="Arial"/>
                <w:sz w:val="12"/>
                <w:szCs w:val="12"/>
              </w:rPr>
            </w:pPr>
            <w:r>
              <w:rPr>
                <w:rFonts w:ascii="Arial" w:hAnsi="Arial"/>
                <w:sz w:val="12"/>
                <w:szCs w:val="12"/>
              </w:rPr>
              <w:t>Ejeme</w:t>
            </w:r>
          </w:p>
        </w:tc>
        <w:tc>
          <w:tcPr>
            <w:tcW w:w="2268" w:type="dxa"/>
            <w:tcBorders>
              <w:right w:val="single" w:sz="4" w:space="0" w:color="auto"/>
            </w:tcBorders>
            <w:shd w:val="clear" w:color="auto" w:fill="D9D9D9"/>
            <w:hideMark/>
          </w:tcPr>
          <w:p w14:paraId="01A089AF" w14:textId="77777777" w:rsidR="002A4DDF" w:rsidRPr="00937C8B" w:rsidRDefault="002A4DDF" w:rsidP="009110ED">
            <w:pPr>
              <w:rPr>
                <w:rFonts w:ascii="Arial" w:hAnsi="Arial" w:cs="Arial"/>
                <w:sz w:val="12"/>
                <w:szCs w:val="12"/>
              </w:rPr>
            </w:pPr>
            <w:r>
              <w:rPr>
                <w:rFonts w:ascii="Arial" w:hAnsi="Arial"/>
                <w:sz w:val="12"/>
                <w:szCs w:val="12"/>
              </w:rPr>
              <w:t>Cipérez</w:t>
            </w:r>
          </w:p>
        </w:tc>
      </w:tr>
      <w:tr w:rsidR="002A4DDF" w:rsidRPr="00937C8B" w14:paraId="0ACB2A84" w14:textId="77777777" w:rsidTr="00935676">
        <w:trPr>
          <w:cantSplit/>
        </w:trPr>
        <w:tc>
          <w:tcPr>
            <w:tcW w:w="1696" w:type="dxa"/>
            <w:tcBorders>
              <w:left w:val="single" w:sz="4" w:space="0" w:color="auto"/>
            </w:tcBorders>
            <w:shd w:val="clear" w:color="auto" w:fill="auto"/>
          </w:tcPr>
          <w:p w14:paraId="4340C682" w14:textId="77777777" w:rsidR="002A4DDF" w:rsidRPr="00937C8B" w:rsidRDefault="002A4DDF" w:rsidP="009110ED">
            <w:pPr>
              <w:rPr>
                <w:rFonts w:ascii="Arial" w:hAnsi="Arial" w:cs="Arial"/>
                <w:sz w:val="12"/>
                <w:szCs w:val="12"/>
              </w:rPr>
            </w:pPr>
          </w:p>
        </w:tc>
        <w:tc>
          <w:tcPr>
            <w:tcW w:w="1843" w:type="dxa"/>
            <w:shd w:val="clear" w:color="auto" w:fill="auto"/>
          </w:tcPr>
          <w:p w14:paraId="270C38EA" w14:textId="77777777" w:rsidR="002A4DDF" w:rsidRPr="00937C8B" w:rsidRDefault="002A4DDF" w:rsidP="009110ED">
            <w:pPr>
              <w:rPr>
                <w:rFonts w:ascii="Arial" w:hAnsi="Arial" w:cs="Arial"/>
                <w:sz w:val="12"/>
                <w:szCs w:val="12"/>
              </w:rPr>
            </w:pPr>
          </w:p>
        </w:tc>
        <w:tc>
          <w:tcPr>
            <w:tcW w:w="2268" w:type="dxa"/>
            <w:shd w:val="clear" w:color="auto" w:fill="F2F2F2"/>
            <w:hideMark/>
          </w:tcPr>
          <w:p w14:paraId="1AF03656" w14:textId="77777777" w:rsidR="002A4DDF" w:rsidRPr="00937C8B" w:rsidRDefault="002A4DDF" w:rsidP="009110ED">
            <w:pPr>
              <w:rPr>
                <w:rFonts w:ascii="Arial" w:hAnsi="Arial" w:cs="Arial"/>
                <w:sz w:val="12"/>
                <w:szCs w:val="12"/>
              </w:rPr>
            </w:pPr>
            <w:r>
              <w:rPr>
                <w:rFonts w:ascii="Arial" w:hAnsi="Arial"/>
                <w:sz w:val="12"/>
                <w:szCs w:val="12"/>
              </w:rPr>
              <w:t>El Arco</w:t>
            </w:r>
          </w:p>
        </w:tc>
        <w:tc>
          <w:tcPr>
            <w:tcW w:w="2268" w:type="dxa"/>
            <w:tcBorders>
              <w:right w:val="single" w:sz="4" w:space="0" w:color="auto"/>
            </w:tcBorders>
            <w:shd w:val="clear" w:color="auto" w:fill="D9D9D9"/>
            <w:hideMark/>
          </w:tcPr>
          <w:p w14:paraId="0C61461B" w14:textId="77777777" w:rsidR="002A4DDF" w:rsidRPr="00937C8B" w:rsidRDefault="002A4DDF" w:rsidP="009110ED">
            <w:pPr>
              <w:rPr>
                <w:rFonts w:ascii="Arial" w:hAnsi="Arial" w:cs="Arial"/>
                <w:sz w:val="12"/>
                <w:szCs w:val="12"/>
              </w:rPr>
            </w:pPr>
            <w:r>
              <w:rPr>
                <w:rFonts w:ascii="Arial" w:hAnsi="Arial"/>
                <w:sz w:val="12"/>
                <w:szCs w:val="12"/>
              </w:rPr>
              <w:t>Ciudad Rodrigo</w:t>
            </w:r>
          </w:p>
        </w:tc>
      </w:tr>
      <w:tr w:rsidR="002A4DDF" w:rsidRPr="00937C8B" w14:paraId="6A8CD20C" w14:textId="77777777" w:rsidTr="00935676">
        <w:trPr>
          <w:cantSplit/>
        </w:trPr>
        <w:tc>
          <w:tcPr>
            <w:tcW w:w="1696" w:type="dxa"/>
            <w:tcBorders>
              <w:left w:val="single" w:sz="4" w:space="0" w:color="auto"/>
            </w:tcBorders>
            <w:shd w:val="clear" w:color="auto" w:fill="auto"/>
          </w:tcPr>
          <w:p w14:paraId="2F2ABFFA" w14:textId="77777777" w:rsidR="002A4DDF" w:rsidRPr="00937C8B" w:rsidRDefault="002A4DDF" w:rsidP="009110ED">
            <w:pPr>
              <w:rPr>
                <w:rFonts w:ascii="Arial" w:hAnsi="Arial" w:cs="Arial"/>
                <w:sz w:val="12"/>
                <w:szCs w:val="12"/>
              </w:rPr>
            </w:pPr>
          </w:p>
        </w:tc>
        <w:tc>
          <w:tcPr>
            <w:tcW w:w="1843" w:type="dxa"/>
            <w:shd w:val="clear" w:color="auto" w:fill="auto"/>
          </w:tcPr>
          <w:p w14:paraId="1613B23D" w14:textId="77777777" w:rsidR="002A4DDF" w:rsidRPr="00937C8B" w:rsidRDefault="002A4DDF" w:rsidP="009110ED">
            <w:pPr>
              <w:rPr>
                <w:rFonts w:ascii="Arial" w:hAnsi="Arial" w:cs="Arial"/>
                <w:sz w:val="12"/>
                <w:szCs w:val="12"/>
              </w:rPr>
            </w:pPr>
          </w:p>
        </w:tc>
        <w:tc>
          <w:tcPr>
            <w:tcW w:w="2268" w:type="dxa"/>
            <w:shd w:val="clear" w:color="auto" w:fill="F2F2F2"/>
            <w:hideMark/>
          </w:tcPr>
          <w:p w14:paraId="0CA98E87" w14:textId="77777777" w:rsidR="002A4DDF" w:rsidRPr="00937C8B" w:rsidRDefault="002A4DDF" w:rsidP="009110ED">
            <w:pPr>
              <w:rPr>
                <w:rFonts w:ascii="Arial" w:hAnsi="Arial" w:cs="Arial"/>
                <w:sz w:val="12"/>
                <w:szCs w:val="12"/>
              </w:rPr>
            </w:pPr>
            <w:r>
              <w:rPr>
                <w:rFonts w:ascii="Arial" w:hAnsi="Arial"/>
                <w:sz w:val="12"/>
                <w:szCs w:val="12"/>
              </w:rPr>
              <w:t>El Campo de Peñaranda</w:t>
            </w:r>
          </w:p>
        </w:tc>
        <w:tc>
          <w:tcPr>
            <w:tcW w:w="2268" w:type="dxa"/>
            <w:tcBorders>
              <w:right w:val="single" w:sz="4" w:space="0" w:color="auto"/>
            </w:tcBorders>
            <w:shd w:val="clear" w:color="auto" w:fill="D9D9D9"/>
            <w:hideMark/>
          </w:tcPr>
          <w:p w14:paraId="5FCD85A4" w14:textId="77777777" w:rsidR="002A4DDF" w:rsidRPr="00937C8B" w:rsidRDefault="002A4DDF" w:rsidP="009110ED">
            <w:pPr>
              <w:rPr>
                <w:rFonts w:ascii="Arial" w:hAnsi="Arial" w:cs="Arial"/>
                <w:sz w:val="12"/>
                <w:szCs w:val="12"/>
              </w:rPr>
            </w:pPr>
            <w:r>
              <w:rPr>
                <w:rFonts w:ascii="Arial" w:hAnsi="Arial"/>
                <w:sz w:val="12"/>
                <w:szCs w:val="12"/>
              </w:rPr>
              <w:t>Colmenar de Montemayor</w:t>
            </w:r>
          </w:p>
        </w:tc>
      </w:tr>
      <w:tr w:rsidR="002A4DDF" w:rsidRPr="00937C8B" w14:paraId="0DE70B4C" w14:textId="77777777" w:rsidTr="00935676">
        <w:trPr>
          <w:cantSplit/>
        </w:trPr>
        <w:tc>
          <w:tcPr>
            <w:tcW w:w="1696" w:type="dxa"/>
            <w:tcBorders>
              <w:left w:val="single" w:sz="4" w:space="0" w:color="auto"/>
            </w:tcBorders>
            <w:shd w:val="clear" w:color="auto" w:fill="auto"/>
          </w:tcPr>
          <w:p w14:paraId="3762FEA9" w14:textId="77777777" w:rsidR="002A4DDF" w:rsidRPr="00937C8B" w:rsidRDefault="002A4DDF" w:rsidP="009110ED">
            <w:pPr>
              <w:rPr>
                <w:rFonts w:ascii="Arial" w:hAnsi="Arial" w:cs="Arial"/>
                <w:sz w:val="12"/>
                <w:szCs w:val="12"/>
              </w:rPr>
            </w:pPr>
          </w:p>
        </w:tc>
        <w:tc>
          <w:tcPr>
            <w:tcW w:w="1843" w:type="dxa"/>
            <w:shd w:val="clear" w:color="auto" w:fill="auto"/>
          </w:tcPr>
          <w:p w14:paraId="6BD06D3D" w14:textId="77777777" w:rsidR="002A4DDF" w:rsidRPr="00937C8B" w:rsidRDefault="002A4DDF" w:rsidP="009110ED">
            <w:pPr>
              <w:rPr>
                <w:rFonts w:ascii="Arial" w:hAnsi="Arial" w:cs="Arial"/>
                <w:sz w:val="12"/>
                <w:szCs w:val="12"/>
              </w:rPr>
            </w:pPr>
          </w:p>
        </w:tc>
        <w:tc>
          <w:tcPr>
            <w:tcW w:w="2268" w:type="dxa"/>
            <w:shd w:val="clear" w:color="auto" w:fill="F2F2F2"/>
            <w:hideMark/>
          </w:tcPr>
          <w:p w14:paraId="35FBA0D1" w14:textId="77777777" w:rsidR="002A4DDF" w:rsidRPr="00937C8B" w:rsidRDefault="002A4DDF" w:rsidP="009110ED">
            <w:pPr>
              <w:rPr>
                <w:rFonts w:ascii="Arial" w:hAnsi="Arial" w:cs="Arial"/>
                <w:sz w:val="12"/>
                <w:szCs w:val="12"/>
              </w:rPr>
            </w:pPr>
            <w:r>
              <w:rPr>
                <w:rFonts w:ascii="Arial" w:hAnsi="Arial"/>
                <w:sz w:val="12"/>
                <w:szCs w:val="12"/>
              </w:rPr>
              <w:t>El Cubo de Don Sancho</w:t>
            </w:r>
          </w:p>
        </w:tc>
        <w:tc>
          <w:tcPr>
            <w:tcW w:w="2268" w:type="dxa"/>
            <w:tcBorders>
              <w:right w:val="single" w:sz="4" w:space="0" w:color="auto"/>
            </w:tcBorders>
            <w:shd w:val="clear" w:color="auto" w:fill="D9D9D9"/>
            <w:hideMark/>
          </w:tcPr>
          <w:p w14:paraId="11553BE2" w14:textId="77777777" w:rsidR="002A4DDF" w:rsidRPr="00937C8B" w:rsidRDefault="002A4DDF" w:rsidP="009110ED">
            <w:pPr>
              <w:rPr>
                <w:rFonts w:ascii="Arial" w:hAnsi="Arial" w:cs="Arial"/>
                <w:sz w:val="12"/>
                <w:szCs w:val="12"/>
              </w:rPr>
            </w:pPr>
            <w:r>
              <w:rPr>
                <w:rFonts w:ascii="Arial" w:hAnsi="Arial"/>
                <w:sz w:val="12"/>
                <w:szCs w:val="12"/>
              </w:rPr>
              <w:t>Cristóbal</w:t>
            </w:r>
          </w:p>
        </w:tc>
      </w:tr>
      <w:tr w:rsidR="002A4DDF" w:rsidRPr="00937C8B" w14:paraId="4A5B8DA4" w14:textId="77777777" w:rsidTr="00935676">
        <w:trPr>
          <w:cantSplit/>
        </w:trPr>
        <w:tc>
          <w:tcPr>
            <w:tcW w:w="1696" w:type="dxa"/>
            <w:tcBorders>
              <w:left w:val="single" w:sz="4" w:space="0" w:color="auto"/>
            </w:tcBorders>
            <w:shd w:val="clear" w:color="auto" w:fill="auto"/>
          </w:tcPr>
          <w:p w14:paraId="73A90CF1" w14:textId="77777777" w:rsidR="002A4DDF" w:rsidRPr="00937C8B" w:rsidRDefault="002A4DDF" w:rsidP="009110ED">
            <w:pPr>
              <w:rPr>
                <w:rFonts w:ascii="Arial" w:hAnsi="Arial" w:cs="Arial"/>
                <w:sz w:val="12"/>
                <w:szCs w:val="12"/>
              </w:rPr>
            </w:pPr>
          </w:p>
        </w:tc>
        <w:tc>
          <w:tcPr>
            <w:tcW w:w="1843" w:type="dxa"/>
            <w:shd w:val="clear" w:color="auto" w:fill="auto"/>
          </w:tcPr>
          <w:p w14:paraId="37626B71" w14:textId="77777777" w:rsidR="002A4DDF" w:rsidRPr="00937C8B" w:rsidRDefault="002A4DDF" w:rsidP="009110ED">
            <w:pPr>
              <w:rPr>
                <w:rFonts w:ascii="Arial" w:hAnsi="Arial" w:cs="Arial"/>
                <w:sz w:val="12"/>
                <w:szCs w:val="12"/>
              </w:rPr>
            </w:pPr>
          </w:p>
        </w:tc>
        <w:tc>
          <w:tcPr>
            <w:tcW w:w="2268" w:type="dxa"/>
            <w:shd w:val="clear" w:color="auto" w:fill="F2F2F2"/>
            <w:hideMark/>
          </w:tcPr>
          <w:p w14:paraId="55C0AB7C" w14:textId="77777777" w:rsidR="002A4DDF" w:rsidRPr="00937C8B" w:rsidRDefault="002A4DDF" w:rsidP="009110ED">
            <w:pPr>
              <w:rPr>
                <w:rFonts w:ascii="Arial" w:hAnsi="Arial" w:cs="Arial"/>
                <w:sz w:val="12"/>
                <w:szCs w:val="12"/>
              </w:rPr>
            </w:pPr>
            <w:r>
              <w:rPr>
                <w:rFonts w:ascii="Arial" w:hAnsi="Arial"/>
                <w:sz w:val="12"/>
                <w:szCs w:val="12"/>
              </w:rPr>
              <w:t>El Pedroso de la Armuña</w:t>
            </w:r>
          </w:p>
        </w:tc>
        <w:tc>
          <w:tcPr>
            <w:tcW w:w="2268" w:type="dxa"/>
            <w:tcBorders>
              <w:right w:val="single" w:sz="4" w:space="0" w:color="auto"/>
            </w:tcBorders>
            <w:shd w:val="clear" w:color="auto" w:fill="D9D9D9"/>
            <w:hideMark/>
          </w:tcPr>
          <w:p w14:paraId="5B7FA14A" w14:textId="77777777" w:rsidR="002A4DDF" w:rsidRPr="00937C8B" w:rsidRDefault="002A4DDF" w:rsidP="009110ED">
            <w:pPr>
              <w:rPr>
                <w:rFonts w:ascii="Arial" w:hAnsi="Arial" w:cs="Arial"/>
                <w:sz w:val="12"/>
                <w:szCs w:val="12"/>
              </w:rPr>
            </w:pPr>
            <w:r>
              <w:rPr>
                <w:rFonts w:ascii="Arial" w:hAnsi="Arial"/>
                <w:sz w:val="12"/>
                <w:szCs w:val="12"/>
              </w:rPr>
              <w:t>Doñinos de Ledesma</w:t>
            </w:r>
          </w:p>
        </w:tc>
      </w:tr>
      <w:tr w:rsidR="002A4DDF" w:rsidRPr="00937C8B" w14:paraId="5F7DBB6B" w14:textId="77777777" w:rsidTr="00935676">
        <w:trPr>
          <w:cantSplit/>
        </w:trPr>
        <w:tc>
          <w:tcPr>
            <w:tcW w:w="1696" w:type="dxa"/>
            <w:tcBorders>
              <w:left w:val="single" w:sz="4" w:space="0" w:color="auto"/>
            </w:tcBorders>
            <w:shd w:val="clear" w:color="auto" w:fill="auto"/>
          </w:tcPr>
          <w:p w14:paraId="3555ACC9" w14:textId="77777777" w:rsidR="002A4DDF" w:rsidRPr="00937C8B" w:rsidRDefault="002A4DDF" w:rsidP="009110ED">
            <w:pPr>
              <w:rPr>
                <w:rFonts w:ascii="Arial" w:hAnsi="Arial" w:cs="Arial"/>
                <w:sz w:val="12"/>
                <w:szCs w:val="12"/>
              </w:rPr>
            </w:pPr>
          </w:p>
        </w:tc>
        <w:tc>
          <w:tcPr>
            <w:tcW w:w="1843" w:type="dxa"/>
            <w:shd w:val="clear" w:color="auto" w:fill="auto"/>
          </w:tcPr>
          <w:p w14:paraId="32D27D8D" w14:textId="77777777" w:rsidR="002A4DDF" w:rsidRPr="00937C8B" w:rsidRDefault="002A4DDF" w:rsidP="009110ED">
            <w:pPr>
              <w:rPr>
                <w:rFonts w:ascii="Arial" w:hAnsi="Arial" w:cs="Arial"/>
                <w:sz w:val="12"/>
                <w:szCs w:val="12"/>
              </w:rPr>
            </w:pPr>
          </w:p>
        </w:tc>
        <w:tc>
          <w:tcPr>
            <w:tcW w:w="2268" w:type="dxa"/>
            <w:shd w:val="clear" w:color="auto" w:fill="F2F2F2"/>
            <w:hideMark/>
          </w:tcPr>
          <w:p w14:paraId="50275E97" w14:textId="77777777" w:rsidR="002A4DDF" w:rsidRPr="00937C8B" w:rsidRDefault="002A4DDF" w:rsidP="009110ED">
            <w:pPr>
              <w:rPr>
                <w:rFonts w:ascii="Arial" w:hAnsi="Arial" w:cs="Arial"/>
                <w:sz w:val="12"/>
                <w:szCs w:val="12"/>
              </w:rPr>
            </w:pPr>
            <w:r>
              <w:rPr>
                <w:rFonts w:ascii="Arial" w:hAnsi="Arial"/>
                <w:sz w:val="12"/>
                <w:szCs w:val="12"/>
              </w:rPr>
              <w:t>El Pino de Tormes</w:t>
            </w:r>
          </w:p>
        </w:tc>
        <w:tc>
          <w:tcPr>
            <w:tcW w:w="2268" w:type="dxa"/>
            <w:tcBorders>
              <w:right w:val="single" w:sz="4" w:space="0" w:color="auto"/>
            </w:tcBorders>
            <w:shd w:val="clear" w:color="auto" w:fill="D9D9D9"/>
            <w:hideMark/>
          </w:tcPr>
          <w:p w14:paraId="1164B4EE" w14:textId="77777777" w:rsidR="002A4DDF" w:rsidRPr="00937C8B" w:rsidRDefault="002A4DDF" w:rsidP="009110ED">
            <w:pPr>
              <w:rPr>
                <w:rFonts w:ascii="Arial" w:hAnsi="Arial" w:cs="Arial"/>
                <w:sz w:val="12"/>
                <w:szCs w:val="12"/>
              </w:rPr>
            </w:pPr>
            <w:r>
              <w:rPr>
                <w:rFonts w:ascii="Arial" w:hAnsi="Arial"/>
                <w:sz w:val="12"/>
                <w:szCs w:val="12"/>
              </w:rPr>
              <w:t>El Bodón</w:t>
            </w:r>
          </w:p>
        </w:tc>
      </w:tr>
      <w:tr w:rsidR="002A4DDF" w:rsidRPr="00937C8B" w14:paraId="2220D744" w14:textId="77777777" w:rsidTr="00935676">
        <w:trPr>
          <w:cantSplit/>
        </w:trPr>
        <w:tc>
          <w:tcPr>
            <w:tcW w:w="1696" w:type="dxa"/>
            <w:tcBorders>
              <w:left w:val="single" w:sz="4" w:space="0" w:color="auto"/>
            </w:tcBorders>
            <w:shd w:val="clear" w:color="auto" w:fill="auto"/>
          </w:tcPr>
          <w:p w14:paraId="758BD11C" w14:textId="77777777" w:rsidR="002A4DDF" w:rsidRPr="00937C8B" w:rsidRDefault="002A4DDF" w:rsidP="009110ED">
            <w:pPr>
              <w:rPr>
                <w:rFonts w:ascii="Arial" w:hAnsi="Arial" w:cs="Arial"/>
                <w:sz w:val="12"/>
                <w:szCs w:val="12"/>
              </w:rPr>
            </w:pPr>
          </w:p>
        </w:tc>
        <w:tc>
          <w:tcPr>
            <w:tcW w:w="1843" w:type="dxa"/>
            <w:shd w:val="clear" w:color="auto" w:fill="auto"/>
          </w:tcPr>
          <w:p w14:paraId="0FE205D4" w14:textId="77777777" w:rsidR="002A4DDF" w:rsidRPr="00937C8B" w:rsidRDefault="002A4DDF" w:rsidP="009110ED">
            <w:pPr>
              <w:rPr>
                <w:rFonts w:ascii="Arial" w:hAnsi="Arial" w:cs="Arial"/>
                <w:sz w:val="12"/>
                <w:szCs w:val="12"/>
              </w:rPr>
            </w:pPr>
          </w:p>
        </w:tc>
        <w:tc>
          <w:tcPr>
            <w:tcW w:w="2268" w:type="dxa"/>
            <w:shd w:val="clear" w:color="auto" w:fill="F2F2F2"/>
            <w:hideMark/>
          </w:tcPr>
          <w:p w14:paraId="6D0643CB" w14:textId="77777777" w:rsidR="002A4DDF" w:rsidRPr="00937C8B" w:rsidRDefault="002A4DDF" w:rsidP="009110ED">
            <w:pPr>
              <w:rPr>
                <w:rFonts w:ascii="Arial" w:hAnsi="Arial" w:cs="Arial"/>
                <w:sz w:val="12"/>
                <w:szCs w:val="12"/>
              </w:rPr>
            </w:pPr>
            <w:r>
              <w:rPr>
                <w:rFonts w:ascii="Arial" w:hAnsi="Arial"/>
                <w:sz w:val="12"/>
                <w:szCs w:val="12"/>
              </w:rPr>
              <w:t>Encinas de Abajo</w:t>
            </w:r>
          </w:p>
        </w:tc>
        <w:tc>
          <w:tcPr>
            <w:tcW w:w="2268" w:type="dxa"/>
            <w:tcBorders>
              <w:right w:val="single" w:sz="4" w:space="0" w:color="auto"/>
            </w:tcBorders>
            <w:shd w:val="clear" w:color="auto" w:fill="D9D9D9"/>
            <w:hideMark/>
          </w:tcPr>
          <w:p w14:paraId="2463C247" w14:textId="77777777" w:rsidR="002A4DDF" w:rsidRPr="00937C8B" w:rsidRDefault="002A4DDF" w:rsidP="009110ED">
            <w:pPr>
              <w:rPr>
                <w:rFonts w:ascii="Arial" w:hAnsi="Arial" w:cs="Arial"/>
                <w:sz w:val="12"/>
                <w:szCs w:val="12"/>
              </w:rPr>
            </w:pPr>
            <w:r>
              <w:rPr>
                <w:rFonts w:ascii="Arial" w:hAnsi="Arial"/>
                <w:sz w:val="12"/>
                <w:szCs w:val="12"/>
              </w:rPr>
              <w:t>El Cabaco</w:t>
            </w:r>
          </w:p>
        </w:tc>
      </w:tr>
      <w:tr w:rsidR="002A4DDF" w:rsidRPr="00937C8B" w14:paraId="71474665" w14:textId="77777777" w:rsidTr="00935676">
        <w:trPr>
          <w:cantSplit/>
        </w:trPr>
        <w:tc>
          <w:tcPr>
            <w:tcW w:w="1696" w:type="dxa"/>
            <w:tcBorders>
              <w:left w:val="single" w:sz="4" w:space="0" w:color="auto"/>
            </w:tcBorders>
            <w:shd w:val="clear" w:color="auto" w:fill="auto"/>
          </w:tcPr>
          <w:p w14:paraId="60EF0B64" w14:textId="77777777" w:rsidR="002A4DDF" w:rsidRPr="00937C8B" w:rsidRDefault="002A4DDF" w:rsidP="009110ED">
            <w:pPr>
              <w:rPr>
                <w:rFonts w:ascii="Arial" w:hAnsi="Arial" w:cs="Arial"/>
                <w:sz w:val="12"/>
                <w:szCs w:val="12"/>
              </w:rPr>
            </w:pPr>
          </w:p>
        </w:tc>
        <w:tc>
          <w:tcPr>
            <w:tcW w:w="1843" w:type="dxa"/>
            <w:shd w:val="clear" w:color="auto" w:fill="auto"/>
          </w:tcPr>
          <w:p w14:paraId="4D94E44D" w14:textId="77777777" w:rsidR="002A4DDF" w:rsidRPr="00937C8B" w:rsidRDefault="002A4DDF" w:rsidP="009110ED">
            <w:pPr>
              <w:rPr>
                <w:rFonts w:ascii="Arial" w:hAnsi="Arial" w:cs="Arial"/>
                <w:sz w:val="12"/>
                <w:szCs w:val="12"/>
              </w:rPr>
            </w:pPr>
          </w:p>
        </w:tc>
        <w:tc>
          <w:tcPr>
            <w:tcW w:w="2268" w:type="dxa"/>
            <w:shd w:val="clear" w:color="auto" w:fill="F2F2F2"/>
            <w:hideMark/>
          </w:tcPr>
          <w:p w14:paraId="64074A2B" w14:textId="77777777" w:rsidR="002A4DDF" w:rsidRPr="00937C8B" w:rsidRDefault="002A4DDF" w:rsidP="009110ED">
            <w:pPr>
              <w:rPr>
                <w:rFonts w:ascii="Arial" w:hAnsi="Arial" w:cs="Arial"/>
                <w:sz w:val="12"/>
                <w:szCs w:val="12"/>
              </w:rPr>
            </w:pPr>
            <w:r>
              <w:rPr>
                <w:rFonts w:ascii="Arial" w:hAnsi="Arial"/>
                <w:sz w:val="12"/>
                <w:szCs w:val="12"/>
              </w:rPr>
              <w:t>Encinas de Arriba</w:t>
            </w:r>
          </w:p>
        </w:tc>
        <w:tc>
          <w:tcPr>
            <w:tcW w:w="2268" w:type="dxa"/>
            <w:tcBorders>
              <w:right w:val="single" w:sz="4" w:space="0" w:color="auto"/>
            </w:tcBorders>
            <w:shd w:val="clear" w:color="auto" w:fill="D9D9D9"/>
            <w:hideMark/>
          </w:tcPr>
          <w:p w14:paraId="06B5388E" w14:textId="77777777" w:rsidR="002A4DDF" w:rsidRPr="00937C8B" w:rsidRDefault="002A4DDF" w:rsidP="009110ED">
            <w:pPr>
              <w:rPr>
                <w:rFonts w:ascii="Arial" w:hAnsi="Arial" w:cs="Arial"/>
                <w:sz w:val="12"/>
                <w:szCs w:val="12"/>
              </w:rPr>
            </w:pPr>
            <w:r>
              <w:rPr>
                <w:rFonts w:ascii="Arial" w:hAnsi="Arial"/>
                <w:sz w:val="12"/>
                <w:szCs w:val="12"/>
              </w:rPr>
              <w:t xml:space="preserve"> El Cerro</w:t>
            </w:r>
          </w:p>
        </w:tc>
      </w:tr>
      <w:tr w:rsidR="002A4DDF" w:rsidRPr="00937C8B" w14:paraId="5A0DBFD5" w14:textId="77777777" w:rsidTr="00935676">
        <w:trPr>
          <w:cantSplit/>
        </w:trPr>
        <w:tc>
          <w:tcPr>
            <w:tcW w:w="1696" w:type="dxa"/>
            <w:tcBorders>
              <w:left w:val="single" w:sz="4" w:space="0" w:color="auto"/>
            </w:tcBorders>
            <w:shd w:val="clear" w:color="auto" w:fill="auto"/>
          </w:tcPr>
          <w:p w14:paraId="56649457" w14:textId="77777777" w:rsidR="002A4DDF" w:rsidRPr="00937C8B" w:rsidRDefault="002A4DDF" w:rsidP="009110ED">
            <w:pPr>
              <w:rPr>
                <w:rFonts w:ascii="Arial" w:hAnsi="Arial" w:cs="Arial"/>
                <w:sz w:val="12"/>
                <w:szCs w:val="12"/>
              </w:rPr>
            </w:pPr>
          </w:p>
        </w:tc>
        <w:tc>
          <w:tcPr>
            <w:tcW w:w="1843" w:type="dxa"/>
            <w:shd w:val="clear" w:color="auto" w:fill="auto"/>
          </w:tcPr>
          <w:p w14:paraId="6B9BACFD" w14:textId="77777777" w:rsidR="002A4DDF" w:rsidRPr="00937C8B" w:rsidRDefault="002A4DDF" w:rsidP="009110ED">
            <w:pPr>
              <w:rPr>
                <w:rFonts w:ascii="Arial" w:hAnsi="Arial" w:cs="Arial"/>
                <w:sz w:val="12"/>
                <w:szCs w:val="12"/>
              </w:rPr>
            </w:pPr>
          </w:p>
        </w:tc>
        <w:tc>
          <w:tcPr>
            <w:tcW w:w="2268" w:type="dxa"/>
            <w:shd w:val="clear" w:color="auto" w:fill="F2F2F2"/>
            <w:hideMark/>
          </w:tcPr>
          <w:p w14:paraId="4E484884" w14:textId="77777777" w:rsidR="002A4DDF" w:rsidRPr="00937C8B" w:rsidRDefault="002A4DDF" w:rsidP="009110ED">
            <w:pPr>
              <w:rPr>
                <w:rFonts w:ascii="Arial" w:hAnsi="Arial" w:cs="Arial"/>
                <w:sz w:val="12"/>
                <w:szCs w:val="12"/>
              </w:rPr>
            </w:pPr>
            <w:r>
              <w:rPr>
                <w:rFonts w:ascii="Arial" w:hAnsi="Arial"/>
                <w:sz w:val="12"/>
                <w:szCs w:val="12"/>
              </w:rPr>
              <w:t>Espino de la Orbada</w:t>
            </w:r>
          </w:p>
        </w:tc>
        <w:tc>
          <w:tcPr>
            <w:tcW w:w="2268" w:type="dxa"/>
            <w:tcBorders>
              <w:right w:val="single" w:sz="4" w:space="0" w:color="auto"/>
            </w:tcBorders>
            <w:shd w:val="clear" w:color="auto" w:fill="D9D9D9"/>
            <w:hideMark/>
          </w:tcPr>
          <w:p w14:paraId="4612CB4A" w14:textId="77777777" w:rsidR="002A4DDF" w:rsidRPr="00937C8B" w:rsidRDefault="002A4DDF" w:rsidP="009110ED">
            <w:pPr>
              <w:rPr>
                <w:rFonts w:ascii="Arial" w:hAnsi="Arial" w:cs="Arial"/>
                <w:sz w:val="12"/>
                <w:szCs w:val="12"/>
              </w:rPr>
            </w:pPr>
            <w:r>
              <w:rPr>
                <w:rFonts w:ascii="Arial" w:hAnsi="Arial"/>
                <w:sz w:val="12"/>
                <w:szCs w:val="12"/>
              </w:rPr>
              <w:t>El Maíllo</w:t>
            </w:r>
          </w:p>
        </w:tc>
      </w:tr>
      <w:tr w:rsidR="002A4DDF" w:rsidRPr="00937C8B" w14:paraId="7FB69007" w14:textId="77777777" w:rsidTr="00935676">
        <w:trPr>
          <w:cantSplit/>
        </w:trPr>
        <w:tc>
          <w:tcPr>
            <w:tcW w:w="1696" w:type="dxa"/>
            <w:tcBorders>
              <w:left w:val="single" w:sz="4" w:space="0" w:color="auto"/>
            </w:tcBorders>
            <w:shd w:val="clear" w:color="auto" w:fill="auto"/>
          </w:tcPr>
          <w:p w14:paraId="5C852213" w14:textId="77777777" w:rsidR="002A4DDF" w:rsidRPr="00937C8B" w:rsidRDefault="002A4DDF" w:rsidP="009110ED">
            <w:pPr>
              <w:rPr>
                <w:rFonts w:ascii="Arial" w:hAnsi="Arial" w:cs="Arial"/>
                <w:sz w:val="12"/>
                <w:szCs w:val="12"/>
              </w:rPr>
            </w:pPr>
          </w:p>
        </w:tc>
        <w:tc>
          <w:tcPr>
            <w:tcW w:w="1843" w:type="dxa"/>
            <w:shd w:val="clear" w:color="auto" w:fill="auto"/>
          </w:tcPr>
          <w:p w14:paraId="7A79089E" w14:textId="77777777" w:rsidR="002A4DDF" w:rsidRPr="00937C8B" w:rsidRDefault="002A4DDF" w:rsidP="009110ED">
            <w:pPr>
              <w:rPr>
                <w:rFonts w:ascii="Arial" w:hAnsi="Arial" w:cs="Arial"/>
                <w:sz w:val="12"/>
                <w:szCs w:val="12"/>
              </w:rPr>
            </w:pPr>
          </w:p>
        </w:tc>
        <w:tc>
          <w:tcPr>
            <w:tcW w:w="2268" w:type="dxa"/>
            <w:shd w:val="clear" w:color="auto" w:fill="F2F2F2"/>
            <w:hideMark/>
          </w:tcPr>
          <w:p w14:paraId="104C8DD0" w14:textId="77777777" w:rsidR="002A4DDF" w:rsidRPr="00937C8B" w:rsidRDefault="002A4DDF" w:rsidP="009110ED">
            <w:pPr>
              <w:rPr>
                <w:rFonts w:ascii="Arial" w:hAnsi="Arial" w:cs="Arial"/>
                <w:sz w:val="12"/>
                <w:szCs w:val="12"/>
              </w:rPr>
            </w:pPr>
            <w:r>
              <w:rPr>
                <w:rFonts w:ascii="Arial" w:hAnsi="Arial"/>
                <w:sz w:val="12"/>
                <w:szCs w:val="12"/>
              </w:rPr>
              <w:t>Fresno Alhándiga</w:t>
            </w:r>
          </w:p>
        </w:tc>
        <w:tc>
          <w:tcPr>
            <w:tcW w:w="2268" w:type="dxa"/>
            <w:tcBorders>
              <w:right w:val="single" w:sz="4" w:space="0" w:color="auto"/>
            </w:tcBorders>
            <w:shd w:val="clear" w:color="auto" w:fill="D9D9D9"/>
            <w:hideMark/>
          </w:tcPr>
          <w:p w14:paraId="63E91424" w14:textId="77777777" w:rsidR="002A4DDF" w:rsidRPr="00937C8B" w:rsidRDefault="002A4DDF" w:rsidP="009110ED">
            <w:pPr>
              <w:rPr>
                <w:rFonts w:ascii="Arial" w:hAnsi="Arial" w:cs="Arial"/>
                <w:sz w:val="12"/>
                <w:szCs w:val="12"/>
              </w:rPr>
            </w:pPr>
            <w:r>
              <w:rPr>
                <w:rFonts w:ascii="Arial" w:hAnsi="Arial"/>
                <w:sz w:val="12"/>
                <w:szCs w:val="12"/>
              </w:rPr>
              <w:t>El Manzano</w:t>
            </w:r>
          </w:p>
        </w:tc>
      </w:tr>
      <w:tr w:rsidR="002A4DDF" w:rsidRPr="00937C8B" w14:paraId="4965D4E5" w14:textId="77777777" w:rsidTr="00935676">
        <w:trPr>
          <w:cantSplit/>
        </w:trPr>
        <w:tc>
          <w:tcPr>
            <w:tcW w:w="1696" w:type="dxa"/>
            <w:tcBorders>
              <w:left w:val="single" w:sz="4" w:space="0" w:color="auto"/>
            </w:tcBorders>
            <w:shd w:val="clear" w:color="auto" w:fill="auto"/>
          </w:tcPr>
          <w:p w14:paraId="19C04C6A" w14:textId="77777777" w:rsidR="002A4DDF" w:rsidRPr="00937C8B" w:rsidRDefault="002A4DDF" w:rsidP="009110ED">
            <w:pPr>
              <w:rPr>
                <w:rFonts w:ascii="Arial" w:hAnsi="Arial" w:cs="Arial"/>
                <w:sz w:val="12"/>
                <w:szCs w:val="12"/>
              </w:rPr>
            </w:pPr>
          </w:p>
        </w:tc>
        <w:tc>
          <w:tcPr>
            <w:tcW w:w="1843" w:type="dxa"/>
            <w:shd w:val="clear" w:color="auto" w:fill="auto"/>
          </w:tcPr>
          <w:p w14:paraId="01403955" w14:textId="77777777" w:rsidR="002A4DDF" w:rsidRPr="00937C8B" w:rsidRDefault="002A4DDF" w:rsidP="009110ED">
            <w:pPr>
              <w:rPr>
                <w:rFonts w:ascii="Arial" w:hAnsi="Arial" w:cs="Arial"/>
                <w:sz w:val="12"/>
                <w:szCs w:val="12"/>
              </w:rPr>
            </w:pPr>
          </w:p>
        </w:tc>
        <w:tc>
          <w:tcPr>
            <w:tcW w:w="2268" w:type="dxa"/>
            <w:shd w:val="clear" w:color="auto" w:fill="F2F2F2"/>
            <w:hideMark/>
          </w:tcPr>
          <w:p w14:paraId="17E4158C" w14:textId="77777777" w:rsidR="002A4DDF" w:rsidRPr="00937C8B" w:rsidRDefault="002A4DDF" w:rsidP="009110ED">
            <w:pPr>
              <w:rPr>
                <w:rFonts w:ascii="Arial" w:hAnsi="Arial" w:cs="Arial"/>
                <w:sz w:val="12"/>
                <w:szCs w:val="12"/>
              </w:rPr>
            </w:pPr>
            <w:r>
              <w:rPr>
                <w:rFonts w:ascii="Arial" w:hAnsi="Arial"/>
                <w:sz w:val="12"/>
                <w:szCs w:val="12"/>
              </w:rPr>
              <w:t>Gajates</w:t>
            </w:r>
          </w:p>
        </w:tc>
        <w:tc>
          <w:tcPr>
            <w:tcW w:w="2268" w:type="dxa"/>
            <w:tcBorders>
              <w:right w:val="single" w:sz="4" w:space="0" w:color="auto"/>
            </w:tcBorders>
            <w:shd w:val="clear" w:color="auto" w:fill="D9D9D9"/>
            <w:hideMark/>
          </w:tcPr>
          <w:p w14:paraId="241B6105" w14:textId="77777777" w:rsidR="002A4DDF" w:rsidRPr="00937C8B" w:rsidRDefault="002A4DDF" w:rsidP="009110ED">
            <w:pPr>
              <w:rPr>
                <w:rFonts w:ascii="Arial" w:hAnsi="Arial" w:cs="Arial"/>
                <w:sz w:val="12"/>
                <w:szCs w:val="12"/>
              </w:rPr>
            </w:pPr>
            <w:r>
              <w:rPr>
                <w:rFonts w:ascii="Arial" w:hAnsi="Arial"/>
                <w:sz w:val="12"/>
                <w:szCs w:val="12"/>
              </w:rPr>
              <w:t>El Milano</w:t>
            </w:r>
          </w:p>
        </w:tc>
      </w:tr>
      <w:tr w:rsidR="002A4DDF" w:rsidRPr="00937C8B" w14:paraId="44BCF235" w14:textId="77777777" w:rsidTr="00935676">
        <w:trPr>
          <w:cantSplit/>
        </w:trPr>
        <w:tc>
          <w:tcPr>
            <w:tcW w:w="1696" w:type="dxa"/>
            <w:tcBorders>
              <w:left w:val="single" w:sz="4" w:space="0" w:color="auto"/>
            </w:tcBorders>
            <w:shd w:val="clear" w:color="auto" w:fill="auto"/>
          </w:tcPr>
          <w:p w14:paraId="62A52FBE" w14:textId="77777777" w:rsidR="002A4DDF" w:rsidRPr="00937C8B" w:rsidRDefault="002A4DDF" w:rsidP="009110ED">
            <w:pPr>
              <w:rPr>
                <w:rFonts w:ascii="Arial" w:hAnsi="Arial" w:cs="Arial"/>
                <w:sz w:val="12"/>
                <w:szCs w:val="12"/>
              </w:rPr>
            </w:pPr>
          </w:p>
        </w:tc>
        <w:tc>
          <w:tcPr>
            <w:tcW w:w="1843" w:type="dxa"/>
            <w:shd w:val="clear" w:color="auto" w:fill="auto"/>
          </w:tcPr>
          <w:p w14:paraId="76256662" w14:textId="77777777" w:rsidR="002A4DDF" w:rsidRPr="00937C8B" w:rsidRDefault="002A4DDF" w:rsidP="009110ED">
            <w:pPr>
              <w:rPr>
                <w:rFonts w:ascii="Arial" w:hAnsi="Arial" w:cs="Arial"/>
                <w:sz w:val="12"/>
                <w:szCs w:val="12"/>
              </w:rPr>
            </w:pPr>
          </w:p>
        </w:tc>
        <w:tc>
          <w:tcPr>
            <w:tcW w:w="2268" w:type="dxa"/>
            <w:shd w:val="clear" w:color="auto" w:fill="F2F2F2"/>
            <w:hideMark/>
          </w:tcPr>
          <w:p w14:paraId="13D5C00E" w14:textId="77777777" w:rsidR="002A4DDF" w:rsidRPr="00937C8B" w:rsidRDefault="002A4DDF" w:rsidP="009110ED">
            <w:pPr>
              <w:rPr>
                <w:rFonts w:ascii="Arial" w:hAnsi="Arial" w:cs="Arial"/>
                <w:sz w:val="12"/>
                <w:szCs w:val="12"/>
              </w:rPr>
            </w:pPr>
            <w:r>
              <w:rPr>
                <w:rFonts w:ascii="Arial" w:hAnsi="Arial"/>
                <w:sz w:val="12"/>
                <w:szCs w:val="12"/>
              </w:rPr>
              <w:t>Galindo y Perahuy</w:t>
            </w:r>
          </w:p>
        </w:tc>
        <w:tc>
          <w:tcPr>
            <w:tcW w:w="2268" w:type="dxa"/>
            <w:tcBorders>
              <w:right w:val="single" w:sz="4" w:space="0" w:color="auto"/>
            </w:tcBorders>
            <w:shd w:val="clear" w:color="auto" w:fill="D9D9D9"/>
            <w:hideMark/>
          </w:tcPr>
          <w:p w14:paraId="0A3595B5" w14:textId="77777777" w:rsidR="002A4DDF" w:rsidRPr="00937C8B" w:rsidRDefault="002A4DDF" w:rsidP="009110ED">
            <w:pPr>
              <w:rPr>
                <w:rFonts w:ascii="Arial" w:hAnsi="Arial" w:cs="Arial"/>
                <w:sz w:val="12"/>
                <w:szCs w:val="12"/>
              </w:rPr>
            </w:pPr>
            <w:r>
              <w:rPr>
                <w:rFonts w:ascii="Arial" w:hAnsi="Arial"/>
                <w:sz w:val="12"/>
                <w:szCs w:val="12"/>
              </w:rPr>
              <w:t>El Payo</w:t>
            </w:r>
          </w:p>
        </w:tc>
      </w:tr>
      <w:tr w:rsidR="002A4DDF" w:rsidRPr="00937C8B" w14:paraId="1BF65528" w14:textId="77777777" w:rsidTr="00935676">
        <w:trPr>
          <w:cantSplit/>
        </w:trPr>
        <w:tc>
          <w:tcPr>
            <w:tcW w:w="1696" w:type="dxa"/>
            <w:tcBorders>
              <w:left w:val="single" w:sz="4" w:space="0" w:color="auto"/>
            </w:tcBorders>
            <w:shd w:val="clear" w:color="auto" w:fill="auto"/>
          </w:tcPr>
          <w:p w14:paraId="1FA4B099" w14:textId="77777777" w:rsidR="002A4DDF" w:rsidRPr="00937C8B" w:rsidRDefault="002A4DDF" w:rsidP="009110ED">
            <w:pPr>
              <w:rPr>
                <w:rFonts w:ascii="Arial" w:hAnsi="Arial" w:cs="Arial"/>
                <w:sz w:val="12"/>
                <w:szCs w:val="12"/>
              </w:rPr>
            </w:pPr>
          </w:p>
        </w:tc>
        <w:tc>
          <w:tcPr>
            <w:tcW w:w="1843" w:type="dxa"/>
            <w:shd w:val="clear" w:color="auto" w:fill="auto"/>
          </w:tcPr>
          <w:p w14:paraId="0C17B327" w14:textId="77777777" w:rsidR="002A4DDF" w:rsidRPr="00937C8B" w:rsidRDefault="002A4DDF" w:rsidP="009110ED">
            <w:pPr>
              <w:rPr>
                <w:rFonts w:ascii="Arial" w:hAnsi="Arial" w:cs="Arial"/>
                <w:sz w:val="12"/>
                <w:szCs w:val="12"/>
              </w:rPr>
            </w:pPr>
          </w:p>
        </w:tc>
        <w:tc>
          <w:tcPr>
            <w:tcW w:w="2268" w:type="dxa"/>
            <w:shd w:val="clear" w:color="auto" w:fill="F2F2F2"/>
            <w:hideMark/>
          </w:tcPr>
          <w:p w14:paraId="0440A348" w14:textId="77777777" w:rsidR="002A4DDF" w:rsidRPr="00937C8B" w:rsidRDefault="002A4DDF" w:rsidP="009110ED">
            <w:pPr>
              <w:rPr>
                <w:rFonts w:ascii="Arial" w:hAnsi="Arial" w:cs="Arial"/>
                <w:sz w:val="12"/>
                <w:szCs w:val="12"/>
              </w:rPr>
            </w:pPr>
            <w:r>
              <w:rPr>
                <w:rFonts w:ascii="Arial" w:hAnsi="Arial"/>
                <w:sz w:val="12"/>
                <w:szCs w:val="12"/>
              </w:rPr>
              <w:t>Galisancho</w:t>
            </w:r>
          </w:p>
        </w:tc>
        <w:tc>
          <w:tcPr>
            <w:tcW w:w="2268" w:type="dxa"/>
            <w:tcBorders>
              <w:right w:val="single" w:sz="4" w:space="0" w:color="auto"/>
            </w:tcBorders>
            <w:shd w:val="clear" w:color="auto" w:fill="D9D9D9"/>
            <w:hideMark/>
          </w:tcPr>
          <w:p w14:paraId="3EC4B8E7" w14:textId="77777777" w:rsidR="002A4DDF" w:rsidRPr="00937C8B" w:rsidRDefault="002A4DDF" w:rsidP="009110ED">
            <w:pPr>
              <w:rPr>
                <w:rFonts w:ascii="Arial" w:hAnsi="Arial" w:cs="Arial"/>
                <w:sz w:val="12"/>
                <w:szCs w:val="12"/>
              </w:rPr>
            </w:pPr>
            <w:r>
              <w:rPr>
                <w:rFonts w:ascii="Arial" w:hAnsi="Arial"/>
                <w:sz w:val="12"/>
                <w:szCs w:val="12"/>
              </w:rPr>
              <w:t>El Sahugo</w:t>
            </w:r>
          </w:p>
        </w:tc>
      </w:tr>
      <w:tr w:rsidR="002A4DDF" w:rsidRPr="00937C8B" w14:paraId="779514DE" w14:textId="77777777" w:rsidTr="00935676">
        <w:trPr>
          <w:cantSplit/>
        </w:trPr>
        <w:tc>
          <w:tcPr>
            <w:tcW w:w="1696" w:type="dxa"/>
            <w:tcBorders>
              <w:left w:val="single" w:sz="4" w:space="0" w:color="auto"/>
            </w:tcBorders>
            <w:shd w:val="clear" w:color="auto" w:fill="auto"/>
          </w:tcPr>
          <w:p w14:paraId="542D8DD6" w14:textId="77777777" w:rsidR="002A4DDF" w:rsidRPr="00937C8B" w:rsidRDefault="002A4DDF" w:rsidP="009110ED">
            <w:pPr>
              <w:rPr>
                <w:rFonts w:ascii="Arial" w:hAnsi="Arial" w:cs="Arial"/>
                <w:sz w:val="12"/>
                <w:szCs w:val="12"/>
              </w:rPr>
            </w:pPr>
          </w:p>
        </w:tc>
        <w:tc>
          <w:tcPr>
            <w:tcW w:w="1843" w:type="dxa"/>
            <w:shd w:val="clear" w:color="auto" w:fill="auto"/>
          </w:tcPr>
          <w:p w14:paraId="72A72E52" w14:textId="77777777" w:rsidR="002A4DDF" w:rsidRPr="00937C8B" w:rsidRDefault="002A4DDF" w:rsidP="009110ED">
            <w:pPr>
              <w:rPr>
                <w:rFonts w:ascii="Arial" w:hAnsi="Arial" w:cs="Arial"/>
                <w:sz w:val="12"/>
                <w:szCs w:val="12"/>
              </w:rPr>
            </w:pPr>
          </w:p>
        </w:tc>
        <w:tc>
          <w:tcPr>
            <w:tcW w:w="2268" w:type="dxa"/>
            <w:shd w:val="clear" w:color="auto" w:fill="F2F2F2"/>
            <w:hideMark/>
          </w:tcPr>
          <w:p w14:paraId="12A8E8FE" w14:textId="77777777" w:rsidR="002A4DDF" w:rsidRPr="00937C8B" w:rsidRDefault="002A4DDF" w:rsidP="009110ED">
            <w:pPr>
              <w:rPr>
                <w:rFonts w:ascii="Arial" w:hAnsi="Arial" w:cs="Arial"/>
                <w:sz w:val="12"/>
                <w:szCs w:val="12"/>
              </w:rPr>
            </w:pPr>
            <w:r>
              <w:rPr>
                <w:rFonts w:ascii="Arial" w:hAnsi="Arial"/>
                <w:sz w:val="12"/>
                <w:szCs w:val="12"/>
              </w:rPr>
              <w:t>Garcihernández</w:t>
            </w:r>
          </w:p>
        </w:tc>
        <w:tc>
          <w:tcPr>
            <w:tcW w:w="2268" w:type="dxa"/>
            <w:tcBorders>
              <w:right w:val="single" w:sz="4" w:space="0" w:color="auto"/>
            </w:tcBorders>
            <w:shd w:val="clear" w:color="auto" w:fill="D9D9D9"/>
            <w:hideMark/>
          </w:tcPr>
          <w:p w14:paraId="74FF0CA5" w14:textId="77777777" w:rsidR="002A4DDF" w:rsidRPr="00937C8B" w:rsidRDefault="002A4DDF" w:rsidP="009110ED">
            <w:pPr>
              <w:rPr>
                <w:rFonts w:ascii="Arial" w:hAnsi="Arial" w:cs="Arial"/>
                <w:sz w:val="12"/>
                <w:szCs w:val="12"/>
              </w:rPr>
            </w:pPr>
            <w:r>
              <w:rPr>
                <w:rFonts w:ascii="Arial" w:hAnsi="Arial"/>
                <w:sz w:val="12"/>
                <w:szCs w:val="12"/>
              </w:rPr>
              <w:t>El Tejado</w:t>
            </w:r>
          </w:p>
        </w:tc>
      </w:tr>
      <w:tr w:rsidR="002A4DDF" w:rsidRPr="00937C8B" w14:paraId="428E2ECA" w14:textId="77777777" w:rsidTr="00935676">
        <w:trPr>
          <w:cantSplit/>
        </w:trPr>
        <w:tc>
          <w:tcPr>
            <w:tcW w:w="1696" w:type="dxa"/>
            <w:tcBorders>
              <w:left w:val="single" w:sz="4" w:space="0" w:color="auto"/>
            </w:tcBorders>
            <w:shd w:val="clear" w:color="auto" w:fill="auto"/>
          </w:tcPr>
          <w:p w14:paraId="2D4E7D77" w14:textId="77777777" w:rsidR="002A4DDF" w:rsidRPr="00937C8B" w:rsidRDefault="002A4DDF" w:rsidP="009110ED">
            <w:pPr>
              <w:rPr>
                <w:rFonts w:ascii="Arial" w:hAnsi="Arial" w:cs="Arial"/>
                <w:sz w:val="12"/>
                <w:szCs w:val="12"/>
              </w:rPr>
            </w:pPr>
          </w:p>
        </w:tc>
        <w:tc>
          <w:tcPr>
            <w:tcW w:w="1843" w:type="dxa"/>
            <w:shd w:val="clear" w:color="auto" w:fill="auto"/>
          </w:tcPr>
          <w:p w14:paraId="372FF89A" w14:textId="77777777" w:rsidR="002A4DDF" w:rsidRPr="00937C8B" w:rsidRDefault="002A4DDF" w:rsidP="009110ED">
            <w:pPr>
              <w:rPr>
                <w:rFonts w:ascii="Arial" w:hAnsi="Arial" w:cs="Arial"/>
                <w:sz w:val="12"/>
                <w:szCs w:val="12"/>
              </w:rPr>
            </w:pPr>
          </w:p>
        </w:tc>
        <w:tc>
          <w:tcPr>
            <w:tcW w:w="2268" w:type="dxa"/>
            <w:shd w:val="clear" w:color="auto" w:fill="F2F2F2"/>
            <w:hideMark/>
          </w:tcPr>
          <w:p w14:paraId="4660F287" w14:textId="77777777" w:rsidR="002A4DDF" w:rsidRPr="00937C8B" w:rsidRDefault="002A4DDF" w:rsidP="009110ED">
            <w:pPr>
              <w:rPr>
                <w:rFonts w:ascii="Arial" w:hAnsi="Arial" w:cs="Arial"/>
                <w:sz w:val="12"/>
                <w:szCs w:val="12"/>
              </w:rPr>
            </w:pPr>
            <w:r>
              <w:rPr>
                <w:rFonts w:ascii="Arial" w:hAnsi="Arial"/>
                <w:sz w:val="12"/>
                <w:szCs w:val="12"/>
              </w:rPr>
              <w:t>Golpejas</w:t>
            </w:r>
          </w:p>
        </w:tc>
        <w:tc>
          <w:tcPr>
            <w:tcW w:w="2268" w:type="dxa"/>
            <w:tcBorders>
              <w:right w:val="single" w:sz="4" w:space="0" w:color="auto"/>
            </w:tcBorders>
            <w:shd w:val="clear" w:color="auto" w:fill="D9D9D9"/>
            <w:hideMark/>
          </w:tcPr>
          <w:p w14:paraId="104502EE" w14:textId="77777777" w:rsidR="002A4DDF" w:rsidRPr="00937C8B" w:rsidRDefault="002A4DDF" w:rsidP="009110ED">
            <w:pPr>
              <w:rPr>
                <w:rFonts w:ascii="Arial" w:hAnsi="Arial" w:cs="Arial"/>
                <w:sz w:val="12"/>
                <w:szCs w:val="12"/>
              </w:rPr>
            </w:pPr>
            <w:r>
              <w:rPr>
                <w:rFonts w:ascii="Arial" w:hAnsi="Arial"/>
                <w:sz w:val="12"/>
                <w:szCs w:val="12"/>
              </w:rPr>
              <w:t>El Tornadizo</w:t>
            </w:r>
          </w:p>
        </w:tc>
      </w:tr>
      <w:tr w:rsidR="002A4DDF" w:rsidRPr="00937C8B" w14:paraId="4B74F487" w14:textId="77777777" w:rsidTr="00935676">
        <w:trPr>
          <w:cantSplit/>
        </w:trPr>
        <w:tc>
          <w:tcPr>
            <w:tcW w:w="1696" w:type="dxa"/>
            <w:tcBorders>
              <w:left w:val="single" w:sz="4" w:space="0" w:color="auto"/>
            </w:tcBorders>
            <w:shd w:val="clear" w:color="auto" w:fill="auto"/>
          </w:tcPr>
          <w:p w14:paraId="63A5DC6A" w14:textId="77777777" w:rsidR="002A4DDF" w:rsidRPr="00937C8B" w:rsidRDefault="002A4DDF" w:rsidP="009110ED">
            <w:pPr>
              <w:rPr>
                <w:rFonts w:ascii="Arial" w:hAnsi="Arial" w:cs="Arial"/>
                <w:sz w:val="12"/>
                <w:szCs w:val="12"/>
              </w:rPr>
            </w:pPr>
          </w:p>
        </w:tc>
        <w:tc>
          <w:tcPr>
            <w:tcW w:w="1843" w:type="dxa"/>
            <w:shd w:val="clear" w:color="auto" w:fill="auto"/>
          </w:tcPr>
          <w:p w14:paraId="6D05B0F6" w14:textId="77777777" w:rsidR="002A4DDF" w:rsidRPr="00937C8B" w:rsidRDefault="002A4DDF" w:rsidP="009110ED">
            <w:pPr>
              <w:rPr>
                <w:rFonts w:ascii="Arial" w:hAnsi="Arial" w:cs="Arial"/>
                <w:sz w:val="12"/>
                <w:szCs w:val="12"/>
              </w:rPr>
            </w:pPr>
          </w:p>
        </w:tc>
        <w:tc>
          <w:tcPr>
            <w:tcW w:w="2268" w:type="dxa"/>
            <w:shd w:val="clear" w:color="auto" w:fill="F2F2F2"/>
            <w:hideMark/>
          </w:tcPr>
          <w:p w14:paraId="0E62C122" w14:textId="77777777" w:rsidR="002A4DDF" w:rsidRPr="00937C8B" w:rsidRDefault="002A4DDF" w:rsidP="009110ED">
            <w:pPr>
              <w:rPr>
                <w:rFonts w:ascii="Arial" w:hAnsi="Arial" w:cs="Arial"/>
                <w:sz w:val="12"/>
                <w:szCs w:val="12"/>
              </w:rPr>
            </w:pPr>
            <w:r>
              <w:rPr>
                <w:rFonts w:ascii="Arial" w:hAnsi="Arial"/>
                <w:sz w:val="12"/>
                <w:szCs w:val="12"/>
              </w:rPr>
              <w:t>Gomecello</w:t>
            </w:r>
          </w:p>
        </w:tc>
        <w:tc>
          <w:tcPr>
            <w:tcW w:w="2268" w:type="dxa"/>
            <w:tcBorders>
              <w:right w:val="single" w:sz="4" w:space="0" w:color="auto"/>
            </w:tcBorders>
            <w:shd w:val="clear" w:color="auto" w:fill="D9D9D9"/>
            <w:hideMark/>
          </w:tcPr>
          <w:p w14:paraId="7D980140" w14:textId="77777777" w:rsidR="002A4DDF" w:rsidRPr="00937C8B" w:rsidRDefault="002A4DDF" w:rsidP="009110ED">
            <w:pPr>
              <w:rPr>
                <w:rFonts w:ascii="Arial" w:hAnsi="Arial" w:cs="Arial"/>
                <w:sz w:val="12"/>
                <w:szCs w:val="12"/>
              </w:rPr>
            </w:pPr>
            <w:r>
              <w:rPr>
                <w:rFonts w:ascii="Arial" w:hAnsi="Arial"/>
                <w:sz w:val="12"/>
                <w:szCs w:val="12"/>
              </w:rPr>
              <w:t>Encina de San Silvestre</w:t>
            </w:r>
          </w:p>
        </w:tc>
      </w:tr>
      <w:tr w:rsidR="002A4DDF" w:rsidRPr="00937C8B" w14:paraId="7F65CE4D" w14:textId="77777777" w:rsidTr="00935676">
        <w:trPr>
          <w:cantSplit/>
        </w:trPr>
        <w:tc>
          <w:tcPr>
            <w:tcW w:w="1696" w:type="dxa"/>
            <w:tcBorders>
              <w:left w:val="single" w:sz="4" w:space="0" w:color="auto"/>
            </w:tcBorders>
            <w:shd w:val="clear" w:color="auto" w:fill="auto"/>
          </w:tcPr>
          <w:p w14:paraId="60D5B7AE" w14:textId="77777777" w:rsidR="002A4DDF" w:rsidRPr="00937C8B" w:rsidRDefault="002A4DDF" w:rsidP="009110ED">
            <w:pPr>
              <w:rPr>
                <w:rFonts w:ascii="Arial" w:hAnsi="Arial" w:cs="Arial"/>
                <w:sz w:val="12"/>
                <w:szCs w:val="12"/>
              </w:rPr>
            </w:pPr>
          </w:p>
        </w:tc>
        <w:tc>
          <w:tcPr>
            <w:tcW w:w="1843" w:type="dxa"/>
            <w:shd w:val="clear" w:color="auto" w:fill="auto"/>
          </w:tcPr>
          <w:p w14:paraId="01F489D9" w14:textId="77777777" w:rsidR="002A4DDF" w:rsidRPr="00937C8B" w:rsidRDefault="002A4DDF" w:rsidP="009110ED">
            <w:pPr>
              <w:rPr>
                <w:rFonts w:ascii="Arial" w:hAnsi="Arial" w:cs="Arial"/>
                <w:sz w:val="12"/>
                <w:szCs w:val="12"/>
              </w:rPr>
            </w:pPr>
          </w:p>
        </w:tc>
        <w:tc>
          <w:tcPr>
            <w:tcW w:w="2268" w:type="dxa"/>
            <w:shd w:val="clear" w:color="auto" w:fill="F2F2F2"/>
            <w:hideMark/>
          </w:tcPr>
          <w:p w14:paraId="1D58F212" w14:textId="77777777" w:rsidR="002A4DDF" w:rsidRPr="00937C8B" w:rsidRDefault="002A4DDF" w:rsidP="009110ED">
            <w:pPr>
              <w:rPr>
                <w:rFonts w:ascii="Arial" w:hAnsi="Arial" w:cs="Arial"/>
                <w:sz w:val="12"/>
                <w:szCs w:val="12"/>
              </w:rPr>
            </w:pPr>
            <w:r>
              <w:rPr>
                <w:rFonts w:ascii="Arial" w:hAnsi="Arial"/>
                <w:sz w:val="12"/>
                <w:szCs w:val="12"/>
              </w:rPr>
              <w:t>Huerta</w:t>
            </w:r>
          </w:p>
        </w:tc>
        <w:tc>
          <w:tcPr>
            <w:tcW w:w="2268" w:type="dxa"/>
            <w:tcBorders>
              <w:right w:val="single" w:sz="4" w:space="0" w:color="auto"/>
            </w:tcBorders>
            <w:shd w:val="clear" w:color="auto" w:fill="D9D9D9"/>
            <w:hideMark/>
          </w:tcPr>
          <w:p w14:paraId="784B64C5" w14:textId="77777777" w:rsidR="002A4DDF" w:rsidRPr="00937C8B" w:rsidRDefault="002A4DDF" w:rsidP="009110ED">
            <w:pPr>
              <w:rPr>
                <w:rFonts w:ascii="Arial" w:hAnsi="Arial" w:cs="Arial"/>
                <w:sz w:val="12"/>
                <w:szCs w:val="12"/>
              </w:rPr>
            </w:pPr>
            <w:r>
              <w:rPr>
                <w:rFonts w:ascii="Arial" w:hAnsi="Arial"/>
                <w:sz w:val="12"/>
                <w:szCs w:val="12"/>
              </w:rPr>
              <w:t>Encinasola de los Comendadores</w:t>
            </w:r>
          </w:p>
        </w:tc>
      </w:tr>
      <w:tr w:rsidR="002A4DDF" w:rsidRPr="00937C8B" w14:paraId="5D328867" w14:textId="77777777" w:rsidTr="00935676">
        <w:trPr>
          <w:cantSplit/>
        </w:trPr>
        <w:tc>
          <w:tcPr>
            <w:tcW w:w="1696" w:type="dxa"/>
            <w:tcBorders>
              <w:left w:val="single" w:sz="4" w:space="0" w:color="auto"/>
            </w:tcBorders>
            <w:shd w:val="clear" w:color="auto" w:fill="auto"/>
          </w:tcPr>
          <w:p w14:paraId="7FA8602C" w14:textId="77777777" w:rsidR="002A4DDF" w:rsidRPr="00937C8B" w:rsidRDefault="002A4DDF" w:rsidP="009110ED">
            <w:pPr>
              <w:rPr>
                <w:rFonts w:ascii="Arial" w:hAnsi="Arial" w:cs="Arial"/>
                <w:sz w:val="12"/>
                <w:szCs w:val="12"/>
              </w:rPr>
            </w:pPr>
          </w:p>
        </w:tc>
        <w:tc>
          <w:tcPr>
            <w:tcW w:w="1843" w:type="dxa"/>
            <w:shd w:val="clear" w:color="auto" w:fill="auto"/>
          </w:tcPr>
          <w:p w14:paraId="797E7017" w14:textId="77777777" w:rsidR="002A4DDF" w:rsidRPr="00937C8B" w:rsidRDefault="002A4DDF" w:rsidP="009110ED">
            <w:pPr>
              <w:rPr>
                <w:rFonts w:ascii="Arial" w:hAnsi="Arial" w:cs="Arial"/>
                <w:sz w:val="12"/>
                <w:szCs w:val="12"/>
              </w:rPr>
            </w:pPr>
          </w:p>
        </w:tc>
        <w:tc>
          <w:tcPr>
            <w:tcW w:w="2268" w:type="dxa"/>
            <w:shd w:val="clear" w:color="auto" w:fill="F2F2F2"/>
            <w:hideMark/>
          </w:tcPr>
          <w:p w14:paraId="029F2928" w14:textId="77777777" w:rsidR="002A4DDF" w:rsidRPr="00937C8B" w:rsidRDefault="002A4DDF" w:rsidP="009110ED">
            <w:pPr>
              <w:rPr>
                <w:rFonts w:ascii="Arial" w:hAnsi="Arial" w:cs="Arial"/>
                <w:sz w:val="12"/>
                <w:szCs w:val="12"/>
              </w:rPr>
            </w:pPr>
            <w:r>
              <w:rPr>
                <w:rFonts w:ascii="Arial" w:hAnsi="Arial"/>
                <w:sz w:val="12"/>
                <w:szCs w:val="12"/>
              </w:rPr>
              <w:t>La Bastida</w:t>
            </w:r>
          </w:p>
        </w:tc>
        <w:tc>
          <w:tcPr>
            <w:tcW w:w="2268" w:type="dxa"/>
            <w:tcBorders>
              <w:right w:val="single" w:sz="4" w:space="0" w:color="auto"/>
            </w:tcBorders>
            <w:shd w:val="clear" w:color="auto" w:fill="D9D9D9"/>
            <w:hideMark/>
          </w:tcPr>
          <w:p w14:paraId="2EFA8E51" w14:textId="77777777" w:rsidR="002A4DDF" w:rsidRPr="00937C8B" w:rsidRDefault="002A4DDF" w:rsidP="009110ED">
            <w:pPr>
              <w:rPr>
                <w:rFonts w:ascii="Arial" w:hAnsi="Arial" w:cs="Arial"/>
                <w:sz w:val="12"/>
                <w:szCs w:val="12"/>
              </w:rPr>
            </w:pPr>
            <w:r>
              <w:rPr>
                <w:rFonts w:ascii="Arial" w:hAnsi="Arial"/>
                <w:sz w:val="12"/>
                <w:szCs w:val="12"/>
              </w:rPr>
              <w:t>Endrinal</w:t>
            </w:r>
          </w:p>
        </w:tc>
      </w:tr>
      <w:tr w:rsidR="002A4DDF" w:rsidRPr="00937C8B" w14:paraId="04C905B3" w14:textId="77777777" w:rsidTr="00935676">
        <w:trPr>
          <w:cantSplit/>
        </w:trPr>
        <w:tc>
          <w:tcPr>
            <w:tcW w:w="1696" w:type="dxa"/>
            <w:tcBorders>
              <w:left w:val="single" w:sz="4" w:space="0" w:color="auto"/>
            </w:tcBorders>
            <w:shd w:val="clear" w:color="auto" w:fill="auto"/>
          </w:tcPr>
          <w:p w14:paraId="76A7B321" w14:textId="77777777" w:rsidR="002A4DDF" w:rsidRPr="00937C8B" w:rsidRDefault="002A4DDF" w:rsidP="009110ED">
            <w:pPr>
              <w:rPr>
                <w:rFonts w:ascii="Arial" w:hAnsi="Arial" w:cs="Arial"/>
                <w:sz w:val="12"/>
                <w:szCs w:val="12"/>
              </w:rPr>
            </w:pPr>
          </w:p>
        </w:tc>
        <w:tc>
          <w:tcPr>
            <w:tcW w:w="1843" w:type="dxa"/>
            <w:shd w:val="clear" w:color="auto" w:fill="auto"/>
          </w:tcPr>
          <w:p w14:paraId="1A8FDF6B" w14:textId="77777777" w:rsidR="002A4DDF" w:rsidRPr="00937C8B" w:rsidRDefault="002A4DDF" w:rsidP="009110ED">
            <w:pPr>
              <w:rPr>
                <w:rFonts w:ascii="Arial" w:hAnsi="Arial" w:cs="Arial"/>
                <w:sz w:val="12"/>
                <w:szCs w:val="12"/>
              </w:rPr>
            </w:pPr>
          </w:p>
        </w:tc>
        <w:tc>
          <w:tcPr>
            <w:tcW w:w="2268" w:type="dxa"/>
            <w:shd w:val="clear" w:color="auto" w:fill="F2F2F2"/>
            <w:hideMark/>
          </w:tcPr>
          <w:p w14:paraId="1C7ACB0A" w14:textId="77777777" w:rsidR="002A4DDF" w:rsidRPr="00937C8B" w:rsidRDefault="002A4DDF" w:rsidP="009110ED">
            <w:pPr>
              <w:rPr>
                <w:rFonts w:ascii="Arial" w:hAnsi="Arial" w:cs="Arial"/>
                <w:sz w:val="12"/>
                <w:szCs w:val="12"/>
              </w:rPr>
            </w:pPr>
            <w:r>
              <w:rPr>
                <w:rFonts w:ascii="Arial" w:hAnsi="Arial"/>
                <w:sz w:val="12"/>
                <w:szCs w:val="12"/>
              </w:rPr>
              <w:t>La Maya</w:t>
            </w:r>
          </w:p>
        </w:tc>
        <w:tc>
          <w:tcPr>
            <w:tcW w:w="2268" w:type="dxa"/>
            <w:tcBorders>
              <w:right w:val="single" w:sz="4" w:space="0" w:color="auto"/>
            </w:tcBorders>
            <w:shd w:val="clear" w:color="auto" w:fill="D9D9D9"/>
            <w:hideMark/>
          </w:tcPr>
          <w:p w14:paraId="2DCBF6D5" w14:textId="77777777" w:rsidR="002A4DDF" w:rsidRPr="00937C8B" w:rsidRDefault="002A4DDF" w:rsidP="009110ED">
            <w:pPr>
              <w:rPr>
                <w:rFonts w:ascii="Arial" w:hAnsi="Arial" w:cs="Arial"/>
                <w:sz w:val="12"/>
                <w:szCs w:val="12"/>
              </w:rPr>
            </w:pPr>
            <w:r>
              <w:rPr>
                <w:rFonts w:ascii="Arial" w:hAnsi="Arial"/>
                <w:sz w:val="12"/>
                <w:szCs w:val="12"/>
              </w:rPr>
              <w:t>Escurial de la Sierra</w:t>
            </w:r>
          </w:p>
        </w:tc>
      </w:tr>
      <w:tr w:rsidR="002A4DDF" w:rsidRPr="00937C8B" w14:paraId="3C1BB6B6" w14:textId="77777777" w:rsidTr="00935676">
        <w:trPr>
          <w:cantSplit/>
        </w:trPr>
        <w:tc>
          <w:tcPr>
            <w:tcW w:w="1696" w:type="dxa"/>
            <w:tcBorders>
              <w:left w:val="single" w:sz="4" w:space="0" w:color="auto"/>
            </w:tcBorders>
            <w:shd w:val="clear" w:color="auto" w:fill="auto"/>
          </w:tcPr>
          <w:p w14:paraId="2EEC5FF9" w14:textId="77777777" w:rsidR="002A4DDF" w:rsidRPr="00937C8B" w:rsidRDefault="002A4DDF" w:rsidP="009110ED">
            <w:pPr>
              <w:rPr>
                <w:rFonts w:ascii="Arial" w:hAnsi="Arial" w:cs="Arial"/>
                <w:sz w:val="12"/>
                <w:szCs w:val="12"/>
              </w:rPr>
            </w:pPr>
          </w:p>
        </w:tc>
        <w:tc>
          <w:tcPr>
            <w:tcW w:w="1843" w:type="dxa"/>
            <w:shd w:val="clear" w:color="auto" w:fill="auto"/>
          </w:tcPr>
          <w:p w14:paraId="3D2A92EC" w14:textId="77777777" w:rsidR="002A4DDF" w:rsidRPr="00937C8B" w:rsidRDefault="002A4DDF" w:rsidP="009110ED">
            <w:pPr>
              <w:rPr>
                <w:rFonts w:ascii="Arial" w:hAnsi="Arial" w:cs="Arial"/>
                <w:sz w:val="12"/>
                <w:szCs w:val="12"/>
              </w:rPr>
            </w:pPr>
          </w:p>
        </w:tc>
        <w:tc>
          <w:tcPr>
            <w:tcW w:w="2268" w:type="dxa"/>
            <w:shd w:val="clear" w:color="auto" w:fill="F2F2F2"/>
            <w:hideMark/>
          </w:tcPr>
          <w:p w14:paraId="25533BCE" w14:textId="77777777" w:rsidR="002A4DDF" w:rsidRPr="00937C8B" w:rsidRDefault="002A4DDF" w:rsidP="009110ED">
            <w:pPr>
              <w:rPr>
                <w:rFonts w:ascii="Arial" w:hAnsi="Arial" w:cs="Arial"/>
                <w:sz w:val="12"/>
                <w:szCs w:val="12"/>
              </w:rPr>
            </w:pPr>
            <w:r>
              <w:rPr>
                <w:rFonts w:ascii="Arial" w:hAnsi="Arial"/>
                <w:sz w:val="12"/>
                <w:szCs w:val="12"/>
              </w:rPr>
              <w:t>La Orbada</w:t>
            </w:r>
          </w:p>
        </w:tc>
        <w:tc>
          <w:tcPr>
            <w:tcW w:w="2268" w:type="dxa"/>
            <w:tcBorders>
              <w:right w:val="single" w:sz="4" w:space="0" w:color="auto"/>
            </w:tcBorders>
            <w:shd w:val="clear" w:color="auto" w:fill="D9D9D9"/>
            <w:hideMark/>
          </w:tcPr>
          <w:p w14:paraId="052A2009" w14:textId="77777777" w:rsidR="002A4DDF" w:rsidRPr="00937C8B" w:rsidRDefault="002A4DDF" w:rsidP="009110ED">
            <w:pPr>
              <w:rPr>
                <w:rFonts w:ascii="Arial" w:hAnsi="Arial" w:cs="Arial"/>
                <w:sz w:val="12"/>
                <w:szCs w:val="12"/>
              </w:rPr>
            </w:pPr>
            <w:r>
              <w:rPr>
                <w:rFonts w:ascii="Arial" w:hAnsi="Arial"/>
                <w:sz w:val="12"/>
                <w:szCs w:val="12"/>
              </w:rPr>
              <w:t>Espadaña</w:t>
            </w:r>
          </w:p>
        </w:tc>
      </w:tr>
      <w:tr w:rsidR="002A4DDF" w:rsidRPr="00937C8B" w14:paraId="5BC9E862" w14:textId="77777777" w:rsidTr="00935676">
        <w:trPr>
          <w:cantSplit/>
        </w:trPr>
        <w:tc>
          <w:tcPr>
            <w:tcW w:w="1696" w:type="dxa"/>
            <w:tcBorders>
              <w:left w:val="single" w:sz="4" w:space="0" w:color="auto"/>
            </w:tcBorders>
            <w:shd w:val="clear" w:color="auto" w:fill="auto"/>
          </w:tcPr>
          <w:p w14:paraId="0E3D3BDD" w14:textId="77777777" w:rsidR="002A4DDF" w:rsidRPr="00937C8B" w:rsidRDefault="002A4DDF" w:rsidP="009110ED">
            <w:pPr>
              <w:rPr>
                <w:rFonts w:ascii="Arial" w:hAnsi="Arial" w:cs="Arial"/>
                <w:sz w:val="12"/>
                <w:szCs w:val="12"/>
              </w:rPr>
            </w:pPr>
          </w:p>
        </w:tc>
        <w:tc>
          <w:tcPr>
            <w:tcW w:w="1843" w:type="dxa"/>
            <w:shd w:val="clear" w:color="auto" w:fill="auto"/>
          </w:tcPr>
          <w:p w14:paraId="5E2E354C" w14:textId="77777777" w:rsidR="002A4DDF" w:rsidRPr="00937C8B" w:rsidRDefault="002A4DDF" w:rsidP="009110ED">
            <w:pPr>
              <w:rPr>
                <w:rFonts w:ascii="Arial" w:hAnsi="Arial" w:cs="Arial"/>
                <w:sz w:val="12"/>
                <w:szCs w:val="12"/>
              </w:rPr>
            </w:pPr>
          </w:p>
        </w:tc>
        <w:tc>
          <w:tcPr>
            <w:tcW w:w="2268" w:type="dxa"/>
            <w:shd w:val="clear" w:color="auto" w:fill="F2F2F2"/>
            <w:hideMark/>
          </w:tcPr>
          <w:p w14:paraId="2DBF7E4D" w14:textId="77777777" w:rsidR="002A4DDF" w:rsidRPr="00937C8B" w:rsidRDefault="002A4DDF" w:rsidP="009110ED">
            <w:pPr>
              <w:rPr>
                <w:rFonts w:ascii="Arial" w:hAnsi="Arial" w:cs="Arial"/>
                <w:sz w:val="12"/>
                <w:szCs w:val="12"/>
              </w:rPr>
            </w:pPr>
            <w:r>
              <w:rPr>
                <w:rFonts w:ascii="Arial" w:hAnsi="Arial"/>
                <w:sz w:val="12"/>
                <w:szCs w:val="12"/>
              </w:rPr>
              <w:t>La Sagrada</w:t>
            </w:r>
          </w:p>
        </w:tc>
        <w:tc>
          <w:tcPr>
            <w:tcW w:w="2268" w:type="dxa"/>
            <w:tcBorders>
              <w:right w:val="single" w:sz="4" w:space="0" w:color="auto"/>
            </w:tcBorders>
            <w:shd w:val="clear" w:color="auto" w:fill="D9D9D9"/>
            <w:hideMark/>
          </w:tcPr>
          <w:p w14:paraId="265D13B6" w14:textId="77777777" w:rsidR="002A4DDF" w:rsidRPr="00937C8B" w:rsidRDefault="002A4DDF" w:rsidP="009110ED">
            <w:pPr>
              <w:rPr>
                <w:rFonts w:ascii="Arial" w:hAnsi="Arial" w:cs="Arial"/>
                <w:sz w:val="12"/>
                <w:szCs w:val="12"/>
              </w:rPr>
            </w:pPr>
            <w:r>
              <w:rPr>
                <w:rFonts w:ascii="Arial" w:hAnsi="Arial"/>
                <w:sz w:val="12"/>
                <w:szCs w:val="12"/>
              </w:rPr>
              <w:t>Espeja</w:t>
            </w:r>
          </w:p>
        </w:tc>
      </w:tr>
      <w:tr w:rsidR="002A4DDF" w:rsidRPr="00937C8B" w14:paraId="2F5219E3" w14:textId="77777777" w:rsidTr="00935676">
        <w:trPr>
          <w:cantSplit/>
        </w:trPr>
        <w:tc>
          <w:tcPr>
            <w:tcW w:w="1696" w:type="dxa"/>
            <w:tcBorders>
              <w:left w:val="single" w:sz="4" w:space="0" w:color="auto"/>
            </w:tcBorders>
            <w:shd w:val="clear" w:color="auto" w:fill="auto"/>
          </w:tcPr>
          <w:p w14:paraId="6BE4EB70" w14:textId="77777777" w:rsidR="002A4DDF" w:rsidRPr="00937C8B" w:rsidRDefault="002A4DDF" w:rsidP="009110ED">
            <w:pPr>
              <w:rPr>
                <w:rFonts w:ascii="Arial" w:hAnsi="Arial" w:cs="Arial"/>
                <w:sz w:val="12"/>
                <w:szCs w:val="12"/>
              </w:rPr>
            </w:pPr>
          </w:p>
        </w:tc>
        <w:tc>
          <w:tcPr>
            <w:tcW w:w="1843" w:type="dxa"/>
            <w:shd w:val="clear" w:color="auto" w:fill="auto"/>
          </w:tcPr>
          <w:p w14:paraId="482920D9" w14:textId="77777777" w:rsidR="002A4DDF" w:rsidRPr="00937C8B" w:rsidRDefault="002A4DDF" w:rsidP="009110ED">
            <w:pPr>
              <w:rPr>
                <w:rFonts w:ascii="Arial" w:hAnsi="Arial" w:cs="Arial"/>
                <w:sz w:val="12"/>
                <w:szCs w:val="12"/>
              </w:rPr>
            </w:pPr>
          </w:p>
        </w:tc>
        <w:tc>
          <w:tcPr>
            <w:tcW w:w="2268" w:type="dxa"/>
            <w:shd w:val="clear" w:color="auto" w:fill="F2F2F2"/>
            <w:hideMark/>
          </w:tcPr>
          <w:p w14:paraId="6CDDF3BB" w14:textId="77777777" w:rsidR="002A4DDF" w:rsidRPr="00937C8B" w:rsidRDefault="002A4DDF" w:rsidP="009110ED">
            <w:pPr>
              <w:rPr>
                <w:rFonts w:ascii="Arial" w:hAnsi="Arial" w:cs="Arial"/>
                <w:sz w:val="12"/>
                <w:szCs w:val="12"/>
              </w:rPr>
            </w:pPr>
            <w:r>
              <w:rPr>
                <w:rFonts w:ascii="Arial" w:hAnsi="Arial"/>
                <w:sz w:val="12"/>
                <w:szCs w:val="12"/>
              </w:rPr>
              <w:t>La Vellés</w:t>
            </w:r>
          </w:p>
        </w:tc>
        <w:tc>
          <w:tcPr>
            <w:tcW w:w="2268" w:type="dxa"/>
            <w:tcBorders>
              <w:right w:val="single" w:sz="4" w:space="0" w:color="auto"/>
            </w:tcBorders>
            <w:shd w:val="clear" w:color="auto" w:fill="D9D9D9"/>
            <w:hideMark/>
          </w:tcPr>
          <w:p w14:paraId="19DC310A" w14:textId="77777777" w:rsidR="002A4DDF" w:rsidRPr="00937C8B" w:rsidRDefault="002A4DDF" w:rsidP="009110ED">
            <w:pPr>
              <w:rPr>
                <w:rFonts w:ascii="Arial" w:hAnsi="Arial" w:cs="Arial"/>
                <w:sz w:val="12"/>
                <w:szCs w:val="12"/>
              </w:rPr>
            </w:pPr>
            <w:r>
              <w:rPr>
                <w:rFonts w:ascii="Arial" w:hAnsi="Arial"/>
                <w:sz w:val="12"/>
                <w:szCs w:val="12"/>
              </w:rPr>
              <w:t>Frades de la Sierra</w:t>
            </w:r>
          </w:p>
        </w:tc>
      </w:tr>
      <w:tr w:rsidR="002A4DDF" w:rsidRPr="00937C8B" w14:paraId="4B12F0A2" w14:textId="77777777" w:rsidTr="00935676">
        <w:trPr>
          <w:cantSplit/>
        </w:trPr>
        <w:tc>
          <w:tcPr>
            <w:tcW w:w="1696" w:type="dxa"/>
            <w:tcBorders>
              <w:left w:val="single" w:sz="4" w:space="0" w:color="auto"/>
            </w:tcBorders>
            <w:shd w:val="clear" w:color="auto" w:fill="auto"/>
          </w:tcPr>
          <w:p w14:paraId="7BB7D75A" w14:textId="77777777" w:rsidR="002A4DDF" w:rsidRPr="00937C8B" w:rsidRDefault="002A4DDF" w:rsidP="009110ED">
            <w:pPr>
              <w:rPr>
                <w:rFonts w:ascii="Arial" w:hAnsi="Arial" w:cs="Arial"/>
                <w:sz w:val="12"/>
                <w:szCs w:val="12"/>
              </w:rPr>
            </w:pPr>
          </w:p>
        </w:tc>
        <w:tc>
          <w:tcPr>
            <w:tcW w:w="1843" w:type="dxa"/>
            <w:shd w:val="clear" w:color="auto" w:fill="auto"/>
          </w:tcPr>
          <w:p w14:paraId="56CD993F" w14:textId="77777777" w:rsidR="002A4DDF" w:rsidRPr="00937C8B" w:rsidRDefault="002A4DDF" w:rsidP="009110ED">
            <w:pPr>
              <w:rPr>
                <w:rFonts w:ascii="Arial" w:hAnsi="Arial" w:cs="Arial"/>
                <w:sz w:val="12"/>
                <w:szCs w:val="12"/>
              </w:rPr>
            </w:pPr>
          </w:p>
        </w:tc>
        <w:tc>
          <w:tcPr>
            <w:tcW w:w="2268" w:type="dxa"/>
            <w:shd w:val="clear" w:color="auto" w:fill="F2F2F2"/>
            <w:hideMark/>
          </w:tcPr>
          <w:p w14:paraId="287CE1FA" w14:textId="77777777" w:rsidR="002A4DDF" w:rsidRPr="00937C8B" w:rsidRDefault="002A4DDF" w:rsidP="009110ED">
            <w:pPr>
              <w:rPr>
                <w:rFonts w:ascii="Arial" w:hAnsi="Arial" w:cs="Arial"/>
                <w:sz w:val="12"/>
                <w:szCs w:val="12"/>
              </w:rPr>
            </w:pPr>
            <w:r>
              <w:rPr>
                <w:rFonts w:ascii="Arial" w:hAnsi="Arial"/>
                <w:sz w:val="12"/>
                <w:szCs w:val="12"/>
              </w:rPr>
              <w:t>Larrodrigo</w:t>
            </w:r>
          </w:p>
        </w:tc>
        <w:tc>
          <w:tcPr>
            <w:tcW w:w="2268" w:type="dxa"/>
            <w:tcBorders>
              <w:right w:val="single" w:sz="4" w:space="0" w:color="auto"/>
            </w:tcBorders>
            <w:shd w:val="clear" w:color="auto" w:fill="D9D9D9"/>
            <w:hideMark/>
          </w:tcPr>
          <w:p w14:paraId="59F5F05C" w14:textId="77777777" w:rsidR="002A4DDF" w:rsidRPr="00937C8B" w:rsidRDefault="002A4DDF" w:rsidP="009110ED">
            <w:pPr>
              <w:rPr>
                <w:rFonts w:ascii="Arial" w:hAnsi="Arial" w:cs="Arial"/>
                <w:sz w:val="12"/>
                <w:szCs w:val="12"/>
              </w:rPr>
            </w:pPr>
            <w:r>
              <w:rPr>
                <w:rFonts w:ascii="Arial" w:hAnsi="Arial"/>
                <w:sz w:val="12"/>
                <w:szCs w:val="12"/>
              </w:rPr>
              <w:t>Fresnedoso</w:t>
            </w:r>
          </w:p>
        </w:tc>
      </w:tr>
      <w:tr w:rsidR="002A4DDF" w:rsidRPr="00937C8B" w14:paraId="280F315C" w14:textId="77777777" w:rsidTr="00935676">
        <w:trPr>
          <w:cantSplit/>
        </w:trPr>
        <w:tc>
          <w:tcPr>
            <w:tcW w:w="1696" w:type="dxa"/>
            <w:tcBorders>
              <w:left w:val="single" w:sz="4" w:space="0" w:color="auto"/>
            </w:tcBorders>
            <w:shd w:val="clear" w:color="auto" w:fill="auto"/>
          </w:tcPr>
          <w:p w14:paraId="30A65051" w14:textId="77777777" w:rsidR="002A4DDF" w:rsidRPr="00937C8B" w:rsidRDefault="002A4DDF" w:rsidP="009110ED">
            <w:pPr>
              <w:rPr>
                <w:rFonts w:ascii="Arial" w:hAnsi="Arial" w:cs="Arial"/>
                <w:sz w:val="12"/>
                <w:szCs w:val="12"/>
              </w:rPr>
            </w:pPr>
          </w:p>
        </w:tc>
        <w:tc>
          <w:tcPr>
            <w:tcW w:w="1843" w:type="dxa"/>
            <w:shd w:val="clear" w:color="auto" w:fill="auto"/>
          </w:tcPr>
          <w:p w14:paraId="7764089E" w14:textId="77777777" w:rsidR="002A4DDF" w:rsidRPr="00937C8B" w:rsidRDefault="002A4DDF" w:rsidP="009110ED">
            <w:pPr>
              <w:rPr>
                <w:rFonts w:ascii="Arial" w:hAnsi="Arial" w:cs="Arial"/>
                <w:sz w:val="12"/>
                <w:szCs w:val="12"/>
              </w:rPr>
            </w:pPr>
          </w:p>
        </w:tc>
        <w:tc>
          <w:tcPr>
            <w:tcW w:w="2268" w:type="dxa"/>
            <w:shd w:val="clear" w:color="auto" w:fill="F2F2F2"/>
            <w:hideMark/>
          </w:tcPr>
          <w:p w14:paraId="53AB8364" w14:textId="77777777" w:rsidR="002A4DDF" w:rsidRPr="00937C8B" w:rsidRDefault="002A4DDF" w:rsidP="009110ED">
            <w:pPr>
              <w:rPr>
                <w:rFonts w:ascii="Arial" w:hAnsi="Arial" w:cs="Arial"/>
                <w:sz w:val="12"/>
                <w:szCs w:val="12"/>
              </w:rPr>
            </w:pPr>
            <w:r>
              <w:rPr>
                <w:rFonts w:ascii="Arial" w:hAnsi="Arial"/>
                <w:sz w:val="12"/>
                <w:szCs w:val="12"/>
              </w:rPr>
              <w:t>Machacón</w:t>
            </w:r>
          </w:p>
        </w:tc>
        <w:tc>
          <w:tcPr>
            <w:tcW w:w="2268" w:type="dxa"/>
            <w:tcBorders>
              <w:right w:val="single" w:sz="4" w:space="0" w:color="auto"/>
            </w:tcBorders>
            <w:shd w:val="clear" w:color="auto" w:fill="D9D9D9"/>
            <w:hideMark/>
          </w:tcPr>
          <w:p w14:paraId="75DC860A" w14:textId="77777777" w:rsidR="002A4DDF" w:rsidRPr="00937C8B" w:rsidRDefault="002A4DDF" w:rsidP="009110ED">
            <w:pPr>
              <w:rPr>
                <w:rFonts w:ascii="Arial" w:hAnsi="Arial" w:cs="Arial"/>
                <w:sz w:val="12"/>
                <w:szCs w:val="12"/>
              </w:rPr>
            </w:pPr>
            <w:r>
              <w:rPr>
                <w:rFonts w:ascii="Arial" w:hAnsi="Arial"/>
                <w:sz w:val="12"/>
                <w:szCs w:val="12"/>
              </w:rPr>
              <w:t>Fuenteguinaldo</w:t>
            </w:r>
          </w:p>
        </w:tc>
      </w:tr>
      <w:tr w:rsidR="002A4DDF" w:rsidRPr="00937C8B" w14:paraId="6E8E8376" w14:textId="77777777" w:rsidTr="00935676">
        <w:trPr>
          <w:cantSplit/>
        </w:trPr>
        <w:tc>
          <w:tcPr>
            <w:tcW w:w="1696" w:type="dxa"/>
            <w:tcBorders>
              <w:left w:val="single" w:sz="4" w:space="0" w:color="auto"/>
            </w:tcBorders>
            <w:shd w:val="clear" w:color="auto" w:fill="auto"/>
          </w:tcPr>
          <w:p w14:paraId="69E5567C" w14:textId="77777777" w:rsidR="002A4DDF" w:rsidRPr="00937C8B" w:rsidRDefault="002A4DDF" w:rsidP="009110ED">
            <w:pPr>
              <w:rPr>
                <w:rFonts w:ascii="Arial" w:hAnsi="Arial" w:cs="Arial"/>
                <w:sz w:val="12"/>
                <w:szCs w:val="12"/>
              </w:rPr>
            </w:pPr>
          </w:p>
        </w:tc>
        <w:tc>
          <w:tcPr>
            <w:tcW w:w="1843" w:type="dxa"/>
            <w:shd w:val="clear" w:color="auto" w:fill="auto"/>
          </w:tcPr>
          <w:p w14:paraId="1E33B881" w14:textId="77777777" w:rsidR="002A4DDF" w:rsidRPr="00937C8B" w:rsidRDefault="002A4DDF" w:rsidP="009110ED">
            <w:pPr>
              <w:rPr>
                <w:rFonts w:ascii="Arial" w:hAnsi="Arial" w:cs="Arial"/>
                <w:sz w:val="12"/>
                <w:szCs w:val="12"/>
              </w:rPr>
            </w:pPr>
          </w:p>
        </w:tc>
        <w:tc>
          <w:tcPr>
            <w:tcW w:w="2268" w:type="dxa"/>
            <w:shd w:val="clear" w:color="auto" w:fill="F2F2F2"/>
            <w:hideMark/>
          </w:tcPr>
          <w:p w14:paraId="4139DE17" w14:textId="77777777" w:rsidR="002A4DDF" w:rsidRPr="00937C8B" w:rsidRDefault="002A4DDF" w:rsidP="009110ED">
            <w:pPr>
              <w:rPr>
                <w:rFonts w:ascii="Arial" w:hAnsi="Arial" w:cs="Arial"/>
                <w:sz w:val="12"/>
                <w:szCs w:val="12"/>
              </w:rPr>
            </w:pPr>
            <w:r>
              <w:rPr>
                <w:rFonts w:ascii="Arial" w:hAnsi="Arial"/>
                <w:sz w:val="12"/>
                <w:szCs w:val="12"/>
              </w:rPr>
              <w:t>Macotera</w:t>
            </w:r>
          </w:p>
        </w:tc>
        <w:tc>
          <w:tcPr>
            <w:tcW w:w="2268" w:type="dxa"/>
            <w:tcBorders>
              <w:right w:val="single" w:sz="4" w:space="0" w:color="auto"/>
            </w:tcBorders>
            <w:shd w:val="clear" w:color="auto" w:fill="D9D9D9"/>
            <w:hideMark/>
          </w:tcPr>
          <w:p w14:paraId="6409FF28" w14:textId="77777777" w:rsidR="002A4DDF" w:rsidRPr="00937C8B" w:rsidRDefault="002A4DDF" w:rsidP="009110ED">
            <w:pPr>
              <w:rPr>
                <w:rFonts w:ascii="Arial" w:hAnsi="Arial" w:cs="Arial"/>
                <w:sz w:val="12"/>
                <w:szCs w:val="12"/>
              </w:rPr>
            </w:pPr>
            <w:r>
              <w:rPr>
                <w:rFonts w:ascii="Arial" w:hAnsi="Arial"/>
                <w:sz w:val="12"/>
                <w:szCs w:val="12"/>
              </w:rPr>
              <w:t>Fuenteliante</w:t>
            </w:r>
          </w:p>
        </w:tc>
      </w:tr>
      <w:tr w:rsidR="002A4DDF" w:rsidRPr="00937C8B" w14:paraId="53733425" w14:textId="77777777" w:rsidTr="00935676">
        <w:trPr>
          <w:cantSplit/>
        </w:trPr>
        <w:tc>
          <w:tcPr>
            <w:tcW w:w="1696" w:type="dxa"/>
            <w:tcBorders>
              <w:left w:val="single" w:sz="4" w:space="0" w:color="auto"/>
            </w:tcBorders>
            <w:shd w:val="clear" w:color="auto" w:fill="auto"/>
          </w:tcPr>
          <w:p w14:paraId="6C562F37" w14:textId="77777777" w:rsidR="002A4DDF" w:rsidRPr="00937C8B" w:rsidRDefault="002A4DDF" w:rsidP="009110ED">
            <w:pPr>
              <w:rPr>
                <w:rFonts w:ascii="Arial" w:hAnsi="Arial" w:cs="Arial"/>
                <w:sz w:val="12"/>
                <w:szCs w:val="12"/>
              </w:rPr>
            </w:pPr>
          </w:p>
        </w:tc>
        <w:tc>
          <w:tcPr>
            <w:tcW w:w="1843" w:type="dxa"/>
            <w:shd w:val="clear" w:color="auto" w:fill="auto"/>
          </w:tcPr>
          <w:p w14:paraId="415E39CE" w14:textId="77777777" w:rsidR="002A4DDF" w:rsidRPr="00937C8B" w:rsidRDefault="002A4DDF" w:rsidP="009110ED">
            <w:pPr>
              <w:rPr>
                <w:rFonts w:ascii="Arial" w:hAnsi="Arial" w:cs="Arial"/>
                <w:sz w:val="12"/>
                <w:szCs w:val="12"/>
              </w:rPr>
            </w:pPr>
          </w:p>
        </w:tc>
        <w:tc>
          <w:tcPr>
            <w:tcW w:w="2268" w:type="dxa"/>
            <w:shd w:val="clear" w:color="auto" w:fill="F2F2F2"/>
            <w:hideMark/>
          </w:tcPr>
          <w:p w14:paraId="56DC722B" w14:textId="77777777" w:rsidR="002A4DDF" w:rsidRPr="00937C8B" w:rsidRDefault="002A4DDF" w:rsidP="009110ED">
            <w:pPr>
              <w:rPr>
                <w:rFonts w:ascii="Arial" w:hAnsi="Arial" w:cs="Arial"/>
                <w:sz w:val="12"/>
                <w:szCs w:val="12"/>
              </w:rPr>
            </w:pPr>
            <w:r>
              <w:rPr>
                <w:rFonts w:ascii="Arial" w:hAnsi="Arial"/>
                <w:sz w:val="12"/>
                <w:szCs w:val="12"/>
              </w:rPr>
              <w:t>Malpartida</w:t>
            </w:r>
          </w:p>
        </w:tc>
        <w:tc>
          <w:tcPr>
            <w:tcW w:w="2268" w:type="dxa"/>
            <w:tcBorders>
              <w:right w:val="single" w:sz="4" w:space="0" w:color="auto"/>
            </w:tcBorders>
            <w:shd w:val="clear" w:color="auto" w:fill="D9D9D9"/>
            <w:hideMark/>
          </w:tcPr>
          <w:p w14:paraId="6214CFC2" w14:textId="77777777" w:rsidR="002A4DDF" w:rsidRPr="00937C8B" w:rsidRDefault="002A4DDF" w:rsidP="009110ED">
            <w:pPr>
              <w:rPr>
                <w:rFonts w:ascii="Arial" w:hAnsi="Arial" w:cs="Arial"/>
                <w:sz w:val="12"/>
                <w:szCs w:val="12"/>
              </w:rPr>
            </w:pPr>
            <w:r>
              <w:rPr>
                <w:rFonts w:ascii="Arial" w:hAnsi="Arial"/>
                <w:sz w:val="12"/>
                <w:szCs w:val="12"/>
              </w:rPr>
              <w:t>Fuenterroble de Salvatierra</w:t>
            </w:r>
          </w:p>
        </w:tc>
      </w:tr>
      <w:tr w:rsidR="002A4DDF" w:rsidRPr="00937C8B" w14:paraId="230A16FC" w14:textId="77777777" w:rsidTr="00935676">
        <w:trPr>
          <w:cantSplit/>
        </w:trPr>
        <w:tc>
          <w:tcPr>
            <w:tcW w:w="1696" w:type="dxa"/>
            <w:tcBorders>
              <w:left w:val="single" w:sz="4" w:space="0" w:color="auto"/>
            </w:tcBorders>
            <w:shd w:val="clear" w:color="auto" w:fill="auto"/>
          </w:tcPr>
          <w:p w14:paraId="05A45426" w14:textId="77777777" w:rsidR="002A4DDF" w:rsidRPr="00937C8B" w:rsidRDefault="002A4DDF" w:rsidP="009110ED">
            <w:pPr>
              <w:rPr>
                <w:rFonts w:ascii="Arial" w:hAnsi="Arial" w:cs="Arial"/>
                <w:sz w:val="12"/>
                <w:szCs w:val="12"/>
              </w:rPr>
            </w:pPr>
          </w:p>
        </w:tc>
        <w:tc>
          <w:tcPr>
            <w:tcW w:w="1843" w:type="dxa"/>
            <w:shd w:val="clear" w:color="auto" w:fill="auto"/>
          </w:tcPr>
          <w:p w14:paraId="0C3CEE14" w14:textId="77777777" w:rsidR="002A4DDF" w:rsidRPr="00937C8B" w:rsidRDefault="002A4DDF" w:rsidP="009110ED">
            <w:pPr>
              <w:rPr>
                <w:rFonts w:ascii="Arial" w:hAnsi="Arial" w:cs="Arial"/>
                <w:sz w:val="12"/>
                <w:szCs w:val="12"/>
              </w:rPr>
            </w:pPr>
          </w:p>
        </w:tc>
        <w:tc>
          <w:tcPr>
            <w:tcW w:w="2268" w:type="dxa"/>
            <w:shd w:val="clear" w:color="auto" w:fill="F2F2F2"/>
            <w:hideMark/>
          </w:tcPr>
          <w:p w14:paraId="1886388E" w14:textId="77777777" w:rsidR="002A4DDF" w:rsidRPr="00937C8B" w:rsidRDefault="002A4DDF" w:rsidP="009110ED">
            <w:pPr>
              <w:rPr>
                <w:rFonts w:ascii="Arial" w:hAnsi="Arial" w:cs="Arial"/>
                <w:sz w:val="12"/>
                <w:szCs w:val="12"/>
              </w:rPr>
            </w:pPr>
            <w:r>
              <w:rPr>
                <w:rFonts w:ascii="Arial" w:hAnsi="Arial"/>
                <w:sz w:val="12"/>
                <w:szCs w:val="12"/>
              </w:rPr>
              <w:t>Mancera de Abajo</w:t>
            </w:r>
          </w:p>
        </w:tc>
        <w:tc>
          <w:tcPr>
            <w:tcW w:w="2268" w:type="dxa"/>
            <w:tcBorders>
              <w:right w:val="single" w:sz="4" w:space="0" w:color="auto"/>
            </w:tcBorders>
            <w:shd w:val="clear" w:color="auto" w:fill="D9D9D9"/>
            <w:hideMark/>
          </w:tcPr>
          <w:p w14:paraId="70345768" w14:textId="77777777" w:rsidR="002A4DDF" w:rsidRPr="00937C8B" w:rsidRDefault="002A4DDF" w:rsidP="009110ED">
            <w:pPr>
              <w:rPr>
                <w:rFonts w:ascii="Arial" w:hAnsi="Arial" w:cs="Arial"/>
                <w:sz w:val="12"/>
                <w:szCs w:val="12"/>
              </w:rPr>
            </w:pPr>
            <w:r>
              <w:rPr>
                <w:rFonts w:ascii="Arial" w:hAnsi="Arial"/>
                <w:sz w:val="12"/>
                <w:szCs w:val="12"/>
              </w:rPr>
              <w:t>Fuentes de Béjar</w:t>
            </w:r>
          </w:p>
        </w:tc>
      </w:tr>
      <w:tr w:rsidR="002A4DDF" w:rsidRPr="00937C8B" w14:paraId="6E6FADC4" w14:textId="77777777" w:rsidTr="00935676">
        <w:trPr>
          <w:cantSplit/>
        </w:trPr>
        <w:tc>
          <w:tcPr>
            <w:tcW w:w="1696" w:type="dxa"/>
            <w:tcBorders>
              <w:left w:val="single" w:sz="4" w:space="0" w:color="auto"/>
            </w:tcBorders>
            <w:shd w:val="clear" w:color="auto" w:fill="auto"/>
          </w:tcPr>
          <w:p w14:paraId="55209218" w14:textId="77777777" w:rsidR="002A4DDF" w:rsidRPr="00937C8B" w:rsidRDefault="002A4DDF" w:rsidP="009110ED">
            <w:pPr>
              <w:rPr>
                <w:rFonts w:ascii="Arial" w:hAnsi="Arial" w:cs="Arial"/>
                <w:sz w:val="12"/>
                <w:szCs w:val="12"/>
              </w:rPr>
            </w:pPr>
          </w:p>
        </w:tc>
        <w:tc>
          <w:tcPr>
            <w:tcW w:w="1843" w:type="dxa"/>
            <w:shd w:val="clear" w:color="auto" w:fill="auto"/>
          </w:tcPr>
          <w:p w14:paraId="5D9186AC" w14:textId="77777777" w:rsidR="002A4DDF" w:rsidRPr="00937C8B" w:rsidRDefault="002A4DDF" w:rsidP="009110ED">
            <w:pPr>
              <w:rPr>
                <w:rFonts w:ascii="Arial" w:hAnsi="Arial" w:cs="Arial"/>
                <w:sz w:val="12"/>
                <w:szCs w:val="12"/>
              </w:rPr>
            </w:pPr>
          </w:p>
        </w:tc>
        <w:tc>
          <w:tcPr>
            <w:tcW w:w="2268" w:type="dxa"/>
            <w:shd w:val="clear" w:color="auto" w:fill="F2F2F2"/>
            <w:hideMark/>
          </w:tcPr>
          <w:p w14:paraId="32E85A2A" w14:textId="77777777" w:rsidR="002A4DDF" w:rsidRPr="00937C8B" w:rsidRDefault="002A4DDF" w:rsidP="009110ED">
            <w:pPr>
              <w:rPr>
                <w:rFonts w:ascii="Arial" w:hAnsi="Arial" w:cs="Arial"/>
                <w:sz w:val="12"/>
                <w:szCs w:val="12"/>
              </w:rPr>
            </w:pPr>
            <w:r>
              <w:rPr>
                <w:rFonts w:ascii="Arial" w:hAnsi="Arial"/>
                <w:sz w:val="12"/>
                <w:szCs w:val="12"/>
              </w:rPr>
              <w:t>Matilla de los Caños del Río</w:t>
            </w:r>
          </w:p>
        </w:tc>
        <w:tc>
          <w:tcPr>
            <w:tcW w:w="2268" w:type="dxa"/>
            <w:tcBorders>
              <w:right w:val="single" w:sz="4" w:space="0" w:color="auto"/>
            </w:tcBorders>
            <w:shd w:val="clear" w:color="auto" w:fill="D9D9D9"/>
            <w:hideMark/>
          </w:tcPr>
          <w:p w14:paraId="16D7C365" w14:textId="77777777" w:rsidR="002A4DDF" w:rsidRPr="00937C8B" w:rsidRDefault="002A4DDF" w:rsidP="009110ED">
            <w:pPr>
              <w:rPr>
                <w:rFonts w:ascii="Arial" w:hAnsi="Arial" w:cs="Arial"/>
                <w:sz w:val="12"/>
                <w:szCs w:val="12"/>
              </w:rPr>
            </w:pPr>
            <w:r>
              <w:rPr>
                <w:rFonts w:ascii="Arial" w:hAnsi="Arial"/>
                <w:sz w:val="12"/>
                <w:szCs w:val="12"/>
              </w:rPr>
              <w:t>Fuentes de Oñoro</w:t>
            </w:r>
          </w:p>
        </w:tc>
      </w:tr>
      <w:tr w:rsidR="002A4DDF" w:rsidRPr="00937C8B" w14:paraId="05F55137" w14:textId="77777777" w:rsidTr="00935676">
        <w:trPr>
          <w:cantSplit/>
        </w:trPr>
        <w:tc>
          <w:tcPr>
            <w:tcW w:w="1696" w:type="dxa"/>
            <w:tcBorders>
              <w:left w:val="single" w:sz="4" w:space="0" w:color="auto"/>
            </w:tcBorders>
            <w:shd w:val="clear" w:color="auto" w:fill="auto"/>
          </w:tcPr>
          <w:p w14:paraId="4D6A1B42" w14:textId="77777777" w:rsidR="002A4DDF" w:rsidRPr="00937C8B" w:rsidRDefault="002A4DDF" w:rsidP="009110ED">
            <w:pPr>
              <w:rPr>
                <w:rFonts w:ascii="Arial" w:hAnsi="Arial" w:cs="Arial"/>
                <w:sz w:val="12"/>
                <w:szCs w:val="12"/>
              </w:rPr>
            </w:pPr>
          </w:p>
        </w:tc>
        <w:tc>
          <w:tcPr>
            <w:tcW w:w="1843" w:type="dxa"/>
            <w:shd w:val="clear" w:color="auto" w:fill="auto"/>
          </w:tcPr>
          <w:p w14:paraId="7AA491E8" w14:textId="77777777" w:rsidR="002A4DDF" w:rsidRPr="00937C8B" w:rsidRDefault="002A4DDF" w:rsidP="009110ED">
            <w:pPr>
              <w:rPr>
                <w:rFonts w:ascii="Arial" w:hAnsi="Arial" w:cs="Arial"/>
                <w:sz w:val="12"/>
                <w:szCs w:val="12"/>
              </w:rPr>
            </w:pPr>
          </w:p>
        </w:tc>
        <w:tc>
          <w:tcPr>
            <w:tcW w:w="2268" w:type="dxa"/>
            <w:shd w:val="clear" w:color="auto" w:fill="F2F2F2"/>
            <w:hideMark/>
          </w:tcPr>
          <w:p w14:paraId="167E76CE" w14:textId="77777777" w:rsidR="002A4DDF" w:rsidRPr="00937C8B" w:rsidRDefault="002A4DDF" w:rsidP="009110ED">
            <w:pPr>
              <w:rPr>
                <w:rFonts w:ascii="Arial" w:hAnsi="Arial" w:cs="Arial"/>
                <w:sz w:val="12"/>
                <w:szCs w:val="12"/>
              </w:rPr>
            </w:pPr>
            <w:r>
              <w:rPr>
                <w:rFonts w:ascii="Arial" w:hAnsi="Arial"/>
                <w:sz w:val="12"/>
                <w:szCs w:val="12"/>
              </w:rPr>
              <w:t>Monterrubio de Armuña</w:t>
            </w:r>
          </w:p>
        </w:tc>
        <w:tc>
          <w:tcPr>
            <w:tcW w:w="2268" w:type="dxa"/>
            <w:tcBorders>
              <w:right w:val="single" w:sz="4" w:space="0" w:color="auto"/>
            </w:tcBorders>
            <w:shd w:val="clear" w:color="auto" w:fill="D9D9D9"/>
            <w:hideMark/>
          </w:tcPr>
          <w:p w14:paraId="0CA08AB1" w14:textId="77777777" w:rsidR="002A4DDF" w:rsidRPr="00937C8B" w:rsidRDefault="002A4DDF" w:rsidP="009110ED">
            <w:pPr>
              <w:rPr>
                <w:rFonts w:ascii="Arial" w:hAnsi="Arial" w:cs="Arial"/>
                <w:sz w:val="12"/>
                <w:szCs w:val="12"/>
              </w:rPr>
            </w:pPr>
            <w:r>
              <w:rPr>
                <w:rFonts w:ascii="Arial" w:hAnsi="Arial"/>
                <w:sz w:val="12"/>
                <w:szCs w:val="12"/>
              </w:rPr>
              <w:t>Galinduste</w:t>
            </w:r>
          </w:p>
        </w:tc>
      </w:tr>
      <w:tr w:rsidR="002A4DDF" w:rsidRPr="00937C8B" w14:paraId="18D7366E" w14:textId="77777777" w:rsidTr="00935676">
        <w:trPr>
          <w:cantSplit/>
        </w:trPr>
        <w:tc>
          <w:tcPr>
            <w:tcW w:w="1696" w:type="dxa"/>
            <w:tcBorders>
              <w:left w:val="single" w:sz="4" w:space="0" w:color="auto"/>
            </w:tcBorders>
            <w:shd w:val="clear" w:color="auto" w:fill="auto"/>
          </w:tcPr>
          <w:p w14:paraId="2F396533" w14:textId="77777777" w:rsidR="002A4DDF" w:rsidRPr="00937C8B" w:rsidRDefault="002A4DDF" w:rsidP="009110ED">
            <w:pPr>
              <w:rPr>
                <w:rFonts w:ascii="Arial" w:hAnsi="Arial" w:cs="Arial"/>
                <w:sz w:val="12"/>
                <w:szCs w:val="12"/>
              </w:rPr>
            </w:pPr>
          </w:p>
        </w:tc>
        <w:tc>
          <w:tcPr>
            <w:tcW w:w="1843" w:type="dxa"/>
            <w:shd w:val="clear" w:color="auto" w:fill="auto"/>
          </w:tcPr>
          <w:p w14:paraId="47EC3489" w14:textId="77777777" w:rsidR="002A4DDF" w:rsidRPr="00937C8B" w:rsidRDefault="002A4DDF" w:rsidP="009110ED">
            <w:pPr>
              <w:rPr>
                <w:rFonts w:ascii="Arial" w:hAnsi="Arial" w:cs="Arial"/>
                <w:sz w:val="12"/>
                <w:szCs w:val="12"/>
              </w:rPr>
            </w:pPr>
          </w:p>
        </w:tc>
        <w:tc>
          <w:tcPr>
            <w:tcW w:w="2268" w:type="dxa"/>
            <w:shd w:val="clear" w:color="auto" w:fill="F2F2F2"/>
            <w:hideMark/>
          </w:tcPr>
          <w:p w14:paraId="4BA851E5" w14:textId="77777777" w:rsidR="002A4DDF" w:rsidRPr="00937C8B" w:rsidRDefault="002A4DDF" w:rsidP="009110ED">
            <w:pPr>
              <w:rPr>
                <w:rFonts w:ascii="Arial" w:hAnsi="Arial" w:cs="Arial"/>
                <w:sz w:val="12"/>
                <w:szCs w:val="12"/>
              </w:rPr>
            </w:pPr>
            <w:r>
              <w:rPr>
                <w:rFonts w:ascii="Arial" w:hAnsi="Arial"/>
                <w:sz w:val="12"/>
                <w:szCs w:val="12"/>
              </w:rPr>
              <w:t>Morasverdes</w:t>
            </w:r>
          </w:p>
        </w:tc>
        <w:tc>
          <w:tcPr>
            <w:tcW w:w="2268" w:type="dxa"/>
            <w:tcBorders>
              <w:right w:val="single" w:sz="4" w:space="0" w:color="auto"/>
            </w:tcBorders>
            <w:shd w:val="clear" w:color="auto" w:fill="D9D9D9"/>
            <w:hideMark/>
          </w:tcPr>
          <w:p w14:paraId="135AAE23" w14:textId="77777777" w:rsidR="002A4DDF" w:rsidRPr="00937C8B" w:rsidRDefault="002A4DDF" w:rsidP="009110ED">
            <w:pPr>
              <w:rPr>
                <w:rFonts w:ascii="Arial" w:hAnsi="Arial" w:cs="Arial"/>
                <w:sz w:val="12"/>
                <w:szCs w:val="12"/>
              </w:rPr>
            </w:pPr>
            <w:r>
              <w:rPr>
                <w:rFonts w:ascii="Arial" w:hAnsi="Arial"/>
                <w:sz w:val="12"/>
                <w:szCs w:val="12"/>
              </w:rPr>
              <w:t>Gallegos de Argañán</w:t>
            </w:r>
          </w:p>
        </w:tc>
      </w:tr>
      <w:tr w:rsidR="002A4DDF" w:rsidRPr="00937C8B" w14:paraId="5C498E55" w14:textId="77777777" w:rsidTr="00935676">
        <w:trPr>
          <w:cantSplit/>
        </w:trPr>
        <w:tc>
          <w:tcPr>
            <w:tcW w:w="1696" w:type="dxa"/>
            <w:tcBorders>
              <w:left w:val="single" w:sz="4" w:space="0" w:color="auto"/>
            </w:tcBorders>
            <w:shd w:val="clear" w:color="auto" w:fill="auto"/>
          </w:tcPr>
          <w:p w14:paraId="134FD8E7" w14:textId="77777777" w:rsidR="002A4DDF" w:rsidRPr="00937C8B" w:rsidRDefault="002A4DDF" w:rsidP="009110ED">
            <w:pPr>
              <w:rPr>
                <w:rFonts w:ascii="Arial" w:hAnsi="Arial" w:cs="Arial"/>
                <w:sz w:val="12"/>
                <w:szCs w:val="12"/>
              </w:rPr>
            </w:pPr>
          </w:p>
        </w:tc>
        <w:tc>
          <w:tcPr>
            <w:tcW w:w="1843" w:type="dxa"/>
            <w:shd w:val="clear" w:color="auto" w:fill="auto"/>
          </w:tcPr>
          <w:p w14:paraId="7940DF92" w14:textId="77777777" w:rsidR="002A4DDF" w:rsidRPr="00937C8B" w:rsidRDefault="002A4DDF" w:rsidP="009110ED">
            <w:pPr>
              <w:rPr>
                <w:rFonts w:ascii="Arial" w:hAnsi="Arial" w:cs="Arial"/>
                <w:sz w:val="12"/>
                <w:szCs w:val="12"/>
              </w:rPr>
            </w:pPr>
          </w:p>
        </w:tc>
        <w:tc>
          <w:tcPr>
            <w:tcW w:w="2268" w:type="dxa"/>
            <w:shd w:val="clear" w:color="auto" w:fill="F2F2F2"/>
            <w:hideMark/>
          </w:tcPr>
          <w:p w14:paraId="48CDD315" w14:textId="77777777" w:rsidR="002A4DDF" w:rsidRPr="00937C8B" w:rsidRDefault="002A4DDF" w:rsidP="009110ED">
            <w:pPr>
              <w:rPr>
                <w:rFonts w:ascii="Arial" w:hAnsi="Arial" w:cs="Arial"/>
                <w:sz w:val="12"/>
                <w:szCs w:val="12"/>
              </w:rPr>
            </w:pPr>
            <w:r>
              <w:rPr>
                <w:rFonts w:ascii="Arial" w:hAnsi="Arial"/>
                <w:sz w:val="12"/>
                <w:szCs w:val="12"/>
              </w:rPr>
              <w:t>Morille</w:t>
            </w:r>
          </w:p>
        </w:tc>
        <w:tc>
          <w:tcPr>
            <w:tcW w:w="2268" w:type="dxa"/>
            <w:tcBorders>
              <w:right w:val="single" w:sz="4" w:space="0" w:color="auto"/>
            </w:tcBorders>
            <w:shd w:val="clear" w:color="auto" w:fill="D9D9D9"/>
            <w:hideMark/>
          </w:tcPr>
          <w:p w14:paraId="1B27ADF7" w14:textId="77777777" w:rsidR="002A4DDF" w:rsidRPr="00937C8B" w:rsidRDefault="002A4DDF" w:rsidP="009110ED">
            <w:pPr>
              <w:rPr>
                <w:rFonts w:ascii="Arial" w:hAnsi="Arial" w:cs="Arial"/>
                <w:sz w:val="12"/>
                <w:szCs w:val="12"/>
              </w:rPr>
            </w:pPr>
            <w:r>
              <w:rPr>
                <w:rFonts w:ascii="Arial" w:hAnsi="Arial"/>
                <w:sz w:val="12"/>
                <w:szCs w:val="12"/>
              </w:rPr>
              <w:t>Gallegos de Solmirón</w:t>
            </w:r>
          </w:p>
        </w:tc>
      </w:tr>
      <w:tr w:rsidR="002A4DDF" w:rsidRPr="00937C8B" w14:paraId="3A69B948" w14:textId="77777777" w:rsidTr="00935676">
        <w:trPr>
          <w:cantSplit/>
        </w:trPr>
        <w:tc>
          <w:tcPr>
            <w:tcW w:w="1696" w:type="dxa"/>
            <w:tcBorders>
              <w:left w:val="single" w:sz="4" w:space="0" w:color="auto"/>
            </w:tcBorders>
            <w:shd w:val="clear" w:color="auto" w:fill="auto"/>
          </w:tcPr>
          <w:p w14:paraId="0CE6362A" w14:textId="77777777" w:rsidR="002A4DDF" w:rsidRPr="00937C8B" w:rsidRDefault="002A4DDF" w:rsidP="009110ED">
            <w:pPr>
              <w:rPr>
                <w:rFonts w:ascii="Arial" w:hAnsi="Arial" w:cs="Arial"/>
                <w:sz w:val="12"/>
                <w:szCs w:val="12"/>
              </w:rPr>
            </w:pPr>
          </w:p>
        </w:tc>
        <w:tc>
          <w:tcPr>
            <w:tcW w:w="1843" w:type="dxa"/>
            <w:shd w:val="clear" w:color="auto" w:fill="auto"/>
          </w:tcPr>
          <w:p w14:paraId="76B89038" w14:textId="77777777" w:rsidR="002A4DDF" w:rsidRPr="00937C8B" w:rsidRDefault="002A4DDF" w:rsidP="009110ED">
            <w:pPr>
              <w:rPr>
                <w:rFonts w:ascii="Arial" w:hAnsi="Arial" w:cs="Arial"/>
                <w:sz w:val="12"/>
                <w:szCs w:val="12"/>
              </w:rPr>
            </w:pPr>
          </w:p>
        </w:tc>
        <w:tc>
          <w:tcPr>
            <w:tcW w:w="2268" w:type="dxa"/>
            <w:shd w:val="clear" w:color="auto" w:fill="F2F2F2"/>
            <w:hideMark/>
          </w:tcPr>
          <w:p w14:paraId="21819F91" w14:textId="77777777" w:rsidR="002A4DDF" w:rsidRPr="00937C8B" w:rsidRDefault="002A4DDF" w:rsidP="009110ED">
            <w:pPr>
              <w:rPr>
                <w:rFonts w:ascii="Arial" w:hAnsi="Arial" w:cs="Arial"/>
                <w:sz w:val="12"/>
                <w:szCs w:val="12"/>
              </w:rPr>
            </w:pPr>
            <w:r>
              <w:rPr>
                <w:rFonts w:ascii="Arial" w:hAnsi="Arial"/>
                <w:sz w:val="12"/>
                <w:szCs w:val="12"/>
              </w:rPr>
              <w:t>Moríñigo</w:t>
            </w:r>
          </w:p>
        </w:tc>
        <w:tc>
          <w:tcPr>
            <w:tcW w:w="2268" w:type="dxa"/>
            <w:tcBorders>
              <w:right w:val="single" w:sz="4" w:space="0" w:color="auto"/>
            </w:tcBorders>
            <w:shd w:val="clear" w:color="auto" w:fill="D9D9D9"/>
            <w:hideMark/>
          </w:tcPr>
          <w:p w14:paraId="04D354D2" w14:textId="77777777" w:rsidR="002A4DDF" w:rsidRPr="00937C8B" w:rsidRDefault="002A4DDF" w:rsidP="009110ED">
            <w:pPr>
              <w:rPr>
                <w:rFonts w:ascii="Arial" w:hAnsi="Arial" w:cs="Arial"/>
                <w:sz w:val="12"/>
                <w:szCs w:val="12"/>
              </w:rPr>
            </w:pPr>
            <w:r>
              <w:rPr>
                <w:rFonts w:ascii="Arial" w:hAnsi="Arial"/>
                <w:sz w:val="12"/>
                <w:szCs w:val="12"/>
              </w:rPr>
              <w:t>Garcibuey</w:t>
            </w:r>
          </w:p>
        </w:tc>
      </w:tr>
      <w:tr w:rsidR="002A4DDF" w:rsidRPr="00937C8B" w14:paraId="343ACE94" w14:textId="77777777" w:rsidTr="00935676">
        <w:trPr>
          <w:cantSplit/>
        </w:trPr>
        <w:tc>
          <w:tcPr>
            <w:tcW w:w="1696" w:type="dxa"/>
            <w:tcBorders>
              <w:left w:val="single" w:sz="4" w:space="0" w:color="auto"/>
            </w:tcBorders>
            <w:shd w:val="clear" w:color="auto" w:fill="auto"/>
          </w:tcPr>
          <w:p w14:paraId="04F5D374" w14:textId="77777777" w:rsidR="002A4DDF" w:rsidRPr="00937C8B" w:rsidRDefault="002A4DDF" w:rsidP="009110ED">
            <w:pPr>
              <w:rPr>
                <w:rFonts w:ascii="Arial" w:hAnsi="Arial" w:cs="Arial"/>
                <w:sz w:val="12"/>
                <w:szCs w:val="12"/>
              </w:rPr>
            </w:pPr>
          </w:p>
        </w:tc>
        <w:tc>
          <w:tcPr>
            <w:tcW w:w="1843" w:type="dxa"/>
            <w:shd w:val="clear" w:color="auto" w:fill="auto"/>
          </w:tcPr>
          <w:p w14:paraId="65BDC9E0" w14:textId="77777777" w:rsidR="002A4DDF" w:rsidRPr="00937C8B" w:rsidRDefault="002A4DDF" w:rsidP="009110ED">
            <w:pPr>
              <w:rPr>
                <w:rFonts w:ascii="Arial" w:hAnsi="Arial" w:cs="Arial"/>
                <w:sz w:val="12"/>
                <w:szCs w:val="12"/>
              </w:rPr>
            </w:pPr>
          </w:p>
        </w:tc>
        <w:tc>
          <w:tcPr>
            <w:tcW w:w="2268" w:type="dxa"/>
            <w:shd w:val="clear" w:color="auto" w:fill="F2F2F2"/>
            <w:hideMark/>
          </w:tcPr>
          <w:p w14:paraId="3CF6942E" w14:textId="77777777" w:rsidR="002A4DDF" w:rsidRPr="00937C8B" w:rsidRDefault="002A4DDF" w:rsidP="009110ED">
            <w:pPr>
              <w:rPr>
                <w:rFonts w:ascii="Arial" w:hAnsi="Arial" w:cs="Arial"/>
                <w:sz w:val="12"/>
                <w:szCs w:val="12"/>
              </w:rPr>
            </w:pPr>
            <w:r>
              <w:rPr>
                <w:rFonts w:ascii="Arial" w:hAnsi="Arial"/>
                <w:sz w:val="12"/>
                <w:szCs w:val="12"/>
              </w:rPr>
              <w:t>Moriscos</w:t>
            </w:r>
          </w:p>
        </w:tc>
        <w:tc>
          <w:tcPr>
            <w:tcW w:w="2268" w:type="dxa"/>
            <w:tcBorders>
              <w:right w:val="single" w:sz="4" w:space="0" w:color="auto"/>
            </w:tcBorders>
            <w:shd w:val="clear" w:color="auto" w:fill="D9D9D9"/>
            <w:hideMark/>
          </w:tcPr>
          <w:p w14:paraId="5A9F8193" w14:textId="77777777" w:rsidR="002A4DDF" w:rsidRPr="00937C8B" w:rsidRDefault="002A4DDF" w:rsidP="009110ED">
            <w:pPr>
              <w:rPr>
                <w:rFonts w:ascii="Arial" w:hAnsi="Arial" w:cs="Arial"/>
                <w:sz w:val="12"/>
                <w:szCs w:val="12"/>
              </w:rPr>
            </w:pPr>
            <w:r>
              <w:rPr>
                <w:rFonts w:ascii="Arial" w:hAnsi="Arial"/>
                <w:sz w:val="12"/>
                <w:szCs w:val="12"/>
              </w:rPr>
              <w:t>Garcirrey</w:t>
            </w:r>
          </w:p>
        </w:tc>
      </w:tr>
      <w:tr w:rsidR="002A4DDF" w:rsidRPr="00937C8B" w14:paraId="0EAC9603" w14:textId="77777777" w:rsidTr="00935676">
        <w:trPr>
          <w:cantSplit/>
        </w:trPr>
        <w:tc>
          <w:tcPr>
            <w:tcW w:w="1696" w:type="dxa"/>
            <w:tcBorders>
              <w:left w:val="single" w:sz="4" w:space="0" w:color="auto"/>
            </w:tcBorders>
            <w:shd w:val="clear" w:color="auto" w:fill="auto"/>
          </w:tcPr>
          <w:p w14:paraId="4F13C600" w14:textId="77777777" w:rsidR="002A4DDF" w:rsidRPr="00937C8B" w:rsidRDefault="002A4DDF" w:rsidP="009110ED">
            <w:pPr>
              <w:rPr>
                <w:rFonts w:ascii="Arial" w:hAnsi="Arial" w:cs="Arial"/>
                <w:sz w:val="12"/>
                <w:szCs w:val="12"/>
              </w:rPr>
            </w:pPr>
          </w:p>
        </w:tc>
        <w:tc>
          <w:tcPr>
            <w:tcW w:w="1843" w:type="dxa"/>
            <w:shd w:val="clear" w:color="auto" w:fill="auto"/>
          </w:tcPr>
          <w:p w14:paraId="449FDDB8" w14:textId="77777777" w:rsidR="002A4DDF" w:rsidRPr="00937C8B" w:rsidRDefault="002A4DDF" w:rsidP="009110ED">
            <w:pPr>
              <w:rPr>
                <w:rFonts w:ascii="Arial" w:hAnsi="Arial" w:cs="Arial"/>
                <w:sz w:val="12"/>
                <w:szCs w:val="12"/>
              </w:rPr>
            </w:pPr>
          </w:p>
        </w:tc>
        <w:tc>
          <w:tcPr>
            <w:tcW w:w="2268" w:type="dxa"/>
            <w:shd w:val="clear" w:color="auto" w:fill="F2F2F2"/>
            <w:hideMark/>
          </w:tcPr>
          <w:p w14:paraId="4409AF04" w14:textId="77777777" w:rsidR="002A4DDF" w:rsidRPr="00937C8B" w:rsidRDefault="002A4DDF" w:rsidP="009110ED">
            <w:pPr>
              <w:rPr>
                <w:rFonts w:ascii="Arial" w:hAnsi="Arial" w:cs="Arial"/>
                <w:sz w:val="12"/>
                <w:szCs w:val="12"/>
              </w:rPr>
            </w:pPr>
            <w:r>
              <w:rPr>
                <w:rFonts w:ascii="Arial" w:hAnsi="Arial"/>
                <w:sz w:val="12"/>
                <w:szCs w:val="12"/>
              </w:rPr>
              <w:t>Nava de Sotrobal</w:t>
            </w:r>
          </w:p>
        </w:tc>
        <w:tc>
          <w:tcPr>
            <w:tcW w:w="2268" w:type="dxa"/>
            <w:tcBorders>
              <w:right w:val="single" w:sz="4" w:space="0" w:color="auto"/>
            </w:tcBorders>
            <w:shd w:val="clear" w:color="auto" w:fill="D9D9D9"/>
            <w:hideMark/>
          </w:tcPr>
          <w:p w14:paraId="428BF7C2" w14:textId="77777777" w:rsidR="002A4DDF" w:rsidRPr="00937C8B" w:rsidRDefault="002A4DDF" w:rsidP="009110ED">
            <w:pPr>
              <w:rPr>
                <w:rFonts w:ascii="Arial" w:hAnsi="Arial" w:cs="Arial"/>
                <w:sz w:val="12"/>
                <w:szCs w:val="12"/>
              </w:rPr>
            </w:pPr>
            <w:r>
              <w:rPr>
                <w:rFonts w:ascii="Arial" w:hAnsi="Arial"/>
                <w:sz w:val="12"/>
                <w:szCs w:val="12"/>
              </w:rPr>
              <w:t>Gejuelo del Barro</w:t>
            </w:r>
          </w:p>
        </w:tc>
      </w:tr>
      <w:tr w:rsidR="002A4DDF" w:rsidRPr="00937C8B" w14:paraId="33D9F79B" w14:textId="77777777" w:rsidTr="00935676">
        <w:trPr>
          <w:cantSplit/>
        </w:trPr>
        <w:tc>
          <w:tcPr>
            <w:tcW w:w="1696" w:type="dxa"/>
            <w:tcBorders>
              <w:left w:val="single" w:sz="4" w:space="0" w:color="auto"/>
            </w:tcBorders>
            <w:shd w:val="clear" w:color="auto" w:fill="auto"/>
          </w:tcPr>
          <w:p w14:paraId="0E039DFA" w14:textId="77777777" w:rsidR="002A4DDF" w:rsidRPr="00937C8B" w:rsidRDefault="002A4DDF" w:rsidP="009110ED">
            <w:pPr>
              <w:rPr>
                <w:rFonts w:ascii="Arial" w:hAnsi="Arial" w:cs="Arial"/>
                <w:sz w:val="12"/>
                <w:szCs w:val="12"/>
              </w:rPr>
            </w:pPr>
          </w:p>
        </w:tc>
        <w:tc>
          <w:tcPr>
            <w:tcW w:w="1843" w:type="dxa"/>
            <w:shd w:val="clear" w:color="auto" w:fill="auto"/>
          </w:tcPr>
          <w:p w14:paraId="3BD02BBB" w14:textId="77777777" w:rsidR="002A4DDF" w:rsidRPr="00937C8B" w:rsidRDefault="002A4DDF" w:rsidP="009110ED">
            <w:pPr>
              <w:rPr>
                <w:rFonts w:ascii="Arial" w:hAnsi="Arial" w:cs="Arial"/>
                <w:sz w:val="12"/>
                <w:szCs w:val="12"/>
              </w:rPr>
            </w:pPr>
          </w:p>
        </w:tc>
        <w:tc>
          <w:tcPr>
            <w:tcW w:w="2268" w:type="dxa"/>
            <w:shd w:val="clear" w:color="auto" w:fill="F2F2F2"/>
            <w:hideMark/>
          </w:tcPr>
          <w:p w14:paraId="3C2A6958" w14:textId="77777777" w:rsidR="002A4DDF" w:rsidRPr="00937C8B" w:rsidRDefault="002A4DDF" w:rsidP="009110ED">
            <w:pPr>
              <w:rPr>
                <w:rFonts w:ascii="Arial" w:hAnsi="Arial" w:cs="Arial"/>
                <w:sz w:val="12"/>
                <w:szCs w:val="12"/>
              </w:rPr>
            </w:pPr>
            <w:r>
              <w:rPr>
                <w:rFonts w:ascii="Arial" w:hAnsi="Arial"/>
                <w:sz w:val="12"/>
                <w:szCs w:val="12"/>
              </w:rPr>
              <w:t>Navales</w:t>
            </w:r>
          </w:p>
        </w:tc>
        <w:tc>
          <w:tcPr>
            <w:tcW w:w="2268" w:type="dxa"/>
            <w:tcBorders>
              <w:right w:val="single" w:sz="4" w:space="0" w:color="auto"/>
            </w:tcBorders>
            <w:shd w:val="clear" w:color="auto" w:fill="D9D9D9"/>
            <w:hideMark/>
          </w:tcPr>
          <w:p w14:paraId="42182897" w14:textId="77777777" w:rsidR="002A4DDF" w:rsidRPr="00937C8B" w:rsidRDefault="002A4DDF" w:rsidP="009110ED">
            <w:pPr>
              <w:rPr>
                <w:rFonts w:ascii="Arial" w:hAnsi="Arial" w:cs="Arial"/>
                <w:sz w:val="12"/>
                <w:szCs w:val="12"/>
              </w:rPr>
            </w:pPr>
            <w:r>
              <w:rPr>
                <w:rFonts w:ascii="Arial" w:hAnsi="Arial"/>
                <w:sz w:val="12"/>
                <w:szCs w:val="12"/>
              </w:rPr>
              <w:t>Guadramiro</w:t>
            </w:r>
          </w:p>
        </w:tc>
      </w:tr>
      <w:tr w:rsidR="002A4DDF" w:rsidRPr="00937C8B" w14:paraId="24087DA4" w14:textId="77777777" w:rsidTr="00935676">
        <w:trPr>
          <w:cantSplit/>
        </w:trPr>
        <w:tc>
          <w:tcPr>
            <w:tcW w:w="1696" w:type="dxa"/>
            <w:tcBorders>
              <w:left w:val="single" w:sz="4" w:space="0" w:color="auto"/>
            </w:tcBorders>
            <w:shd w:val="clear" w:color="auto" w:fill="auto"/>
          </w:tcPr>
          <w:p w14:paraId="4BFCCB7A" w14:textId="77777777" w:rsidR="002A4DDF" w:rsidRPr="00937C8B" w:rsidRDefault="002A4DDF" w:rsidP="009110ED">
            <w:pPr>
              <w:rPr>
                <w:rFonts w:ascii="Arial" w:hAnsi="Arial" w:cs="Arial"/>
                <w:sz w:val="12"/>
                <w:szCs w:val="12"/>
              </w:rPr>
            </w:pPr>
          </w:p>
        </w:tc>
        <w:tc>
          <w:tcPr>
            <w:tcW w:w="1843" w:type="dxa"/>
            <w:shd w:val="clear" w:color="auto" w:fill="auto"/>
          </w:tcPr>
          <w:p w14:paraId="3C16DCD0" w14:textId="77777777" w:rsidR="002A4DDF" w:rsidRPr="00937C8B" w:rsidRDefault="002A4DDF" w:rsidP="009110ED">
            <w:pPr>
              <w:rPr>
                <w:rFonts w:ascii="Arial" w:hAnsi="Arial" w:cs="Arial"/>
                <w:sz w:val="12"/>
                <w:szCs w:val="12"/>
              </w:rPr>
            </w:pPr>
          </w:p>
        </w:tc>
        <w:tc>
          <w:tcPr>
            <w:tcW w:w="2268" w:type="dxa"/>
            <w:shd w:val="clear" w:color="auto" w:fill="F2F2F2"/>
            <w:hideMark/>
          </w:tcPr>
          <w:p w14:paraId="5421FB11" w14:textId="77777777" w:rsidR="002A4DDF" w:rsidRPr="00937C8B" w:rsidRDefault="002A4DDF" w:rsidP="009110ED">
            <w:pPr>
              <w:rPr>
                <w:rFonts w:ascii="Arial" w:hAnsi="Arial" w:cs="Arial"/>
                <w:sz w:val="12"/>
                <w:szCs w:val="12"/>
              </w:rPr>
            </w:pPr>
            <w:r>
              <w:rPr>
                <w:rFonts w:ascii="Arial" w:hAnsi="Arial"/>
                <w:sz w:val="12"/>
                <w:szCs w:val="12"/>
              </w:rPr>
              <w:t>Negrilla de Palencia</w:t>
            </w:r>
          </w:p>
        </w:tc>
        <w:tc>
          <w:tcPr>
            <w:tcW w:w="2268" w:type="dxa"/>
            <w:tcBorders>
              <w:right w:val="single" w:sz="4" w:space="0" w:color="auto"/>
            </w:tcBorders>
            <w:shd w:val="clear" w:color="auto" w:fill="D9D9D9"/>
            <w:hideMark/>
          </w:tcPr>
          <w:p w14:paraId="36A99D68" w14:textId="77777777" w:rsidR="002A4DDF" w:rsidRPr="00937C8B" w:rsidRDefault="002A4DDF" w:rsidP="009110ED">
            <w:pPr>
              <w:rPr>
                <w:rFonts w:ascii="Arial" w:hAnsi="Arial" w:cs="Arial"/>
                <w:sz w:val="12"/>
                <w:szCs w:val="12"/>
              </w:rPr>
            </w:pPr>
            <w:r>
              <w:rPr>
                <w:rFonts w:ascii="Arial" w:hAnsi="Arial"/>
                <w:sz w:val="12"/>
                <w:szCs w:val="12"/>
              </w:rPr>
              <w:t>Guijo de Ávila</w:t>
            </w:r>
          </w:p>
        </w:tc>
      </w:tr>
      <w:tr w:rsidR="002A4DDF" w:rsidRPr="00937C8B" w14:paraId="3F9DE6F0" w14:textId="77777777" w:rsidTr="00935676">
        <w:trPr>
          <w:cantSplit/>
        </w:trPr>
        <w:tc>
          <w:tcPr>
            <w:tcW w:w="1696" w:type="dxa"/>
            <w:tcBorders>
              <w:left w:val="single" w:sz="4" w:space="0" w:color="auto"/>
            </w:tcBorders>
            <w:shd w:val="clear" w:color="auto" w:fill="auto"/>
          </w:tcPr>
          <w:p w14:paraId="74C8D4C4" w14:textId="77777777" w:rsidR="002A4DDF" w:rsidRPr="00937C8B" w:rsidRDefault="002A4DDF" w:rsidP="009110ED">
            <w:pPr>
              <w:rPr>
                <w:rFonts w:ascii="Arial" w:hAnsi="Arial" w:cs="Arial"/>
                <w:sz w:val="12"/>
                <w:szCs w:val="12"/>
              </w:rPr>
            </w:pPr>
          </w:p>
        </w:tc>
        <w:tc>
          <w:tcPr>
            <w:tcW w:w="1843" w:type="dxa"/>
            <w:shd w:val="clear" w:color="auto" w:fill="auto"/>
          </w:tcPr>
          <w:p w14:paraId="57975B63" w14:textId="77777777" w:rsidR="002A4DDF" w:rsidRPr="00937C8B" w:rsidRDefault="002A4DDF" w:rsidP="009110ED">
            <w:pPr>
              <w:rPr>
                <w:rFonts w:ascii="Arial" w:hAnsi="Arial" w:cs="Arial"/>
                <w:sz w:val="12"/>
                <w:szCs w:val="12"/>
              </w:rPr>
            </w:pPr>
          </w:p>
        </w:tc>
        <w:tc>
          <w:tcPr>
            <w:tcW w:w="2268" w:type="dxa"/>
            <w:shd w:val="clear" w:color="auto" w:fill="F2F2F2"/>
            <w:hideMark/>
          </w:tcPr>
          <w:p w14:paraId="6499CC4A" w14:textId="77777777" w:rsidR="002A4DDF" w:rsidRPr="00937C8B" w:rsidRDefault="002A4DDF" w:rsidP="009110ED">
            <w:pPr>
              <w:rPr>
                <w:rFonts w:ascii="Arial" w:hAnsi="Arial" w:cs="Arial"/>
                <w:sz w:val="12"/>
                <w:szCs w:val="12"/>
              </w:rPr>
            </w:pPr>
            <w:r>
              <w:rPr>
                <w:rFonts w:ascii="Arial" w:hAnsi="Arial"/>
                <w:sz w:val="12"/>
                <w:szCs w:val="12"/>
              </w:rPr>
              <w:t>Pajares de la Laguna</w:t>
            </w:r>
          </w:p>
        </w:tc>
        <w:tc>
          <w:tcPr>
            <w:tcW w:w="2268" w:type="dxa"/>
            <w:tcBorders>
              <w:right w:val="single" w:sz="4" w:space="0" w:color="auto"/>
            </w:tcBorders>
            <w:shd w:val="clear" w:color="auto" w:fill="D9D9D9"/>
            <w:hideMark/>
          </w:tcPr>
          <w:p w14:paraId="7B3F1F3A" w14:textId="77777777" w:rsidR="002A4DDF" w:rsidRPr="00937C8B" w:rsidRDefault="002A4DDF" w:rsidP="009110ED">
            <w:pPr>
              <w:rPr>
                <w:rFonts w:ascii="Arial" w:hAnsi="Arial" w:cs="Arial"/>
                <w:sz w:val="12"/>
                <w:szCs w:val="12"/>
              </w:rPr>
            </w:pPr>
            <w:r>
              <w:rPr>
                <w:rFonts w:ascii="Arial" w:hAnsi="Arial"/>
                <w:sz w:val="12"/>
                <w:szCs w:val="12"/>
              </w:rPr>
              <w:t>Guijuelo</w:t>
            </w:r>
          </w:p>
        </w:tc>
      </w:tr>
      <w:tr w:rsidR="002A4DDF" w:rsidRPr="00937C8B" w14:paraId="3F14D3D5" w14:textId="77777777" w:rsidTr="00935676">
        <w:trPr>
          <w:cantSplit/>
        </w:trPr>
        <w:tc>
          <w:tcPr>
            <w:tcW w:w="1696" w:type="dxa"/>
            <w:tcBorders>
              <w:left w:val="single" w:sz="4" w:space="0" w:color="auto"/>
            </w:tcBorders>
            <w:shd w:val="clear" w:color="auto" w:fill="auto"/>
          </w:tcPr>
          <w:p w14:paraId="27B14A33" w14:textId="77777777" w:rsidR="002A4DDF" w:rsidRPr="00937C8B" w:rsidRDefault="002A4DDF" w:rsidP="009110ED">
            <w:pPr>
              <w:rPr>
                <w:rFonts w:ascii="Arial" w:hAnsi="Arial" w:cs="Arial"/>
                <w:sz w:val="12"/>
                <w:szCs w:val="12"/>
              </w:rPr>
            </w:pPr>
          </w:p>
        </w:tc>
        <w:tc>
          <w:tcPr>
            <w:tcW w:w="1843" w:type="dxa"/>
            <w:shd w:val="clear" w:color="auto" w:fill="auto"/>
          </w:tcPr>
          <w:p w14:paraId="5778452B" w14:textId="77777777" w:rsidR="002A4DDF" w:rsidRPr="00937C8B" w:rsidRDefault="002A4DDF" w:rsidP="009110ED">
            <w:pPr>
              <w:rPr>
                <w:rFonts w:ascii="Arial" w:hAnsi="Arial" w:cs="Arial"/>
                <w:sz w:val="12"/>
                <w:szCs w:val="12"/>
              </w:rPr>
            </w:pPr>
          </w:p>
        </w:tc>
        <w:tc>
          <w:tcPr>
            <w:tcW w:w="2268" w:type="dxa"/>
            <w:shd w:val="clear" w:color="auto" w:fill="F2F2F2"/>
            <w:hideMark/>
          </w:tcPr>
          <w:p w14:paraId="3C0256C4" w14:textId="77777777" w:rsidR="002A4DDF" w:rsidRPr="00937C8B" w:rsidRDefault="002A4DDF" w:rsidP="009110ED">
            <w:pPr>
              <w:rPr>
                <w:rFonts w:ascii="Arial" w:hAnsi="Arial" w:cs="Arial"/>
                <w:sz w:val="12"/>
                <w:szCs w:val="12"/>
              </w:rPr>
            </w:pPr>
            <w:r>
              <w:rPr>
                <w:rFonts w:ascii="Arial" w:hAnsi="Arial"/>
                <w:sz w:val="12"/>
                <w:szCs w:val="12"/>
              </w:rPr>
              <w:t>Palaciosrubios</w:t>
            </w:r>
          </w:p>
        </w:tc>
        <w:tc>
          <w:tcPr>
            <w:tcW w:w="2268" w:type="dxa"/>
            <w:tcBorders>
              <w:right w:val="single" w:sz="4" w:space="0" w:color="auto"/>
            </w:tcBorders>
            <w:shd w:val="clear" w:color="auto" w:fill="D9D9D9"/>
            <w:hideMark/>
          </w:tcPr>
          <w:p w14:paraId="40C7765E" w14:textId="77777777" w:rsidR="002A4DDF" w:rsidRPr="00937C8B" w:rsidRDefault="002A4DDF" w:rsidP="009110ED">
            <w:pPr>
              <w:rPr>
                <w:rFonts w:ascii="Arial" w:hAnsi="Arial" w:cs="Arial"/>
                <w:sz w:val="12"/>
                <w:szCs w:val="12"/>
              </w:rPr>
            </w:pPr>
            <w:r>
              <w:rPr>
                <w:rFonts w:ascii="Arial" w:hAnsi="Arial"/>
                <w:sz w:val="12"/>
                <w:szCs w:val="12"/>
              </w:rPr>
              <w:t>Herguijuela de Ciudad Rodrigo</w:t>
            </w:r>
          </w:p>
        </w:tc>
      </w:tr>
      <w:tr w:rsidR="002A4DDF" w:rsidRPr="00937C8B" w14:paraId="590896BF" w14:textId="77777777" w:rsidTr="00935676">
        <w:trPr>
          <w:cantSplit/>
        </w:trPr>
        <w:tc>
          <w:tcPr>
            <w:tcW w:w="1696" w:type="dxa"/>
            <w:tcBorders>
              <w:left w:val="single" w:sz="4" w:space="0" w:color="auto"/>
            </w:tcBorders>
            <w:shd w:val="clear" w:color="auto" w:fill="auto"/>
          </w:tcPr>
          <w:p w14:paraId="1D0F6A7F" w14:textId="77777777" w:rsidR="002A4DDF" w:rsidRPr="00937C8B" w:rsidRDefault="002A4DDF" w:rsidP="009110ED">
            <w:pPr>
              <w:rPr>
                <w:rFonts w:ascii="Arial" w:hAnsi="Arial" w:cs="Arial"/>
                <w:sz w:val="12"/>
                <w:szCs w:val="12"/>
              </w:rPr>
            </w:pPr>
          </w:p>
        </w:tc>
        <w:tc>
          <w:tcPr>
            <w:tcW w:w="1843" w:type="dxa"/>
            <w:shd w:val="clear" w:color="auto" w:fill="auto"/>
          </w:tcPr>
          <w:p w14:paraId="737554FD" w14:textId="77777777" w:rsidR="002A4DDF" w:rsidRPr="00937C8B" w:rsidRDefault="002A4DDF" w:rsidP="009110ED">
            <w:pPr>
              <w:rPr>
                <w:rFonts w:ascii="Arial" w:hAnsi="Arial" w:cs="Arial"/>
                <w:sz w:val="12"/>
                <w:szCs w:val="12"/>
              </w:rPr>
            </w:pPr>
          </w:p>
        </w:tc>
        <w:tc>
          <w:tcPr>
            <w:tcW w:w="2268" w:type="dxa"/>
            <w:shd w:val="clear" w:color="auto" w:fill="F2F2F2"/>
            <w:hideMark/>
          </w:tcPr>
          <w:p w14:paraId="774A595B" w14:textId="77777777" w:rsidR="002A4DDF" w:rsidRPr="00937C8B" w:rsidRDefault="002A4DDF" w:rsidP="009110ED">
            <w:pPr>
              <w:rPr>
                <w:rFonts w:ascii="Arial" w:hAnsi="Arial" w:cs="Arial"/>
                <w:sz w:val="12"/>
                <w:szCs w:val="12"/>
              </w:rPr>
            </w:pPr>
            <w:r>
              <w:rPr>
                <w:rFonts w:ascii="Arial" w:hAnsi="Arial"/>
                <w:sz w:val="12"/>
                <w:szCs w:val="12"/>
              </w:rPr>
              <w:t>Palencia de Negrilla</w:t>
            </w:r>
          </w:p>
        </w:tc>
        <w:tc>
          <w:tcPr>
            <w:tcW w:w="2268" w:type="dxa"/>
            <w:tcBorders>
              <w:right w:val="single" w:sz="4" w:space="0" w:color="auto"/>
            </w:tcBorders>
            <w:shd w:val="clear" w:color="auto" w:fill="D9D9D9"/>
            <w:hideMark/>
          </w:tcPr>
          <w:p w14:paraId="7A52E42D" w14:textId="77777777" w:rsidR="002A4DDF" w:rsidRPr="00937C8B" w:rsidRDefault="002A4DDF" w:rsidP="009110ED">
            <w:pPr>
              <w:rPr>
                <w:rFonts w:ascii="Arial" w:hAnsi="Arial" w:cs="Arial"/>
                <w:sz w:val="12"/>
                <w:szCs w:val="12"/>
              </w:rPr>
            </w:pPr>
            <w:r>
              <w:rPr>
                <w:rFonts w:ascii="Arial" w:hAnsi="Arial"/>
                <w:sz w:val="12"/>
                <w:szCs w:val="12"/>
              </w:rPr>
              <w:t>Herguijuela de la Sierra</w:t>
            </w:r>
          </w:p>
        </w:tc>
      </w:tr>
      <w:tr w:rsidR="002A4DDF" w:rsidRPr="00937C8B" w14:paraId="5BC0A7AB" w14:textId="77777777" w:rsidTr="00935676">
        <w:trPr>
          <w:cantSplit/>
        </w:trPr>
        <w:tc>
          <w:tcPr>
            <w:tcW w:w="1696" w:type="dxa"/>
            <w:tcBorders>
              <w:left w:val="single" w:sz="4" w:space="0" w:color="auto"/>
            </w:tcBorders>
            <w:shd w:val="clear" w:color="auto" w:fill="auto"/>
          </w:tcPr>
          <w:p w14:paraId="398BF5BA" w14:textId="77777777" w:rsidR="002A4DDF" w:rsidRPr="00937C8B" w:rsidRDefault="002A4DDF" w:rsidP="009110ED">
            <w:pPr>
              <w:rPr>
                <w:rFonts w:ascii="Arial" w:hAnsi="Arial" w:cs="Arial"/>
                <w:sz w:val="12"/>
                <w:szCs w:val="12"/>
              </w:rPr>
            </w:pPr>
          </w:p>
        </w:tc>
        <w:tc>
          <w:tcPr>
            <w:tcW w:w="1843" w:type="dxa"/>
            <w:shd w:val="clear" w:color="auto" w:fill="auto"/>
          </w:tcPr>
          <w:p w14:paraId="495EC054" w14:textId="77777777" w:rsidR="002A4DDF" w:rsidRPr="00937C8B" w:rsidRDefault="002A4DDF" w:rsidP="009110ED">
            <w:pPr>
              <w:rPr>
                <w:rFonts w:ascii="Arial" w:hAnsi="Arial" w:cs="Arial"/>
                <w:sz w:val="12"/>
                <w:szCs w:val="12"/>
              </w:rPr>
            </w:pPr>
          </w:p>
        </w:tc>
        <w:tc>
          <w:tcPr>
            <w:tcW w:w="2268" w:type="dxa"/>
            <w:shd w:val="clear" w:color="auto" w:fill="F2F2F2"/>
            <w:hideMark/>
          </w:tcPr>
          <w:p w14:paraId="53053599" w14:textId="77777777" w:rsidR="002A4DDF" w:rsidRPr="00937C8B" w:rsidRDefault="002A4DDF" w:rsidP="009110ED">
            <w:pPr>
              <w:rPr>
                <w:rFonts w:ascii="Arial" w:hAnsi="Arial" w:cs="Arial"/>
                <w:sz w:val="12"/>
                <w:szCs w:val="12"/>
              </w:rPr>
            </w:pPr>
            <w:r>
              <w:rPr>
                <w:rFonts w:ascii="Arial" w:hAnsi="Arial"/>
                <w:sz w:val="12"/>
                <w:szCs w:val="12"/>
              </w:rPr>
              <w:t>Parada de Arriba</w:t>
            </w:r>
          </w:p>
        </w:tc>
        <w:tc>
          <w:tcPr>
            <w:tcW w:w="2268" w:type="dxa"/>
            <w:tcBorders>
              <w:right w:val="single" w:sz="4" w:space="0" w:color="auto"/>
            </w:tcBorders>
            <w:shd w:val="clear" w:color="auto" w:fill="D9D9D9"/>
            <w:hideMark/>
          </w:tcPr>
          <w:p w14:paraId="09E61BAE" w14:textId="77777777" w:rsidR="002A4DDF" w:rsidRPr="00937C8B" w:rsidRDefault="002A4DDF" w:rsidP="009110ED">
            <w:pPr>
              <w:rPr>
                <w:rFonts w:ascii="Arial" w:hAnsi="Arial" w:cs="Arial"/>
                <w:sz w:val="12"/>
                <w:szCs w:val="12"/>
              </w:rPr>
            </w:pPr>
            <w:r>
              <w:rPr>
                <w:rFonts w:ascii="Arial" w:hAnsi="Arial"/>
                <w:sz w:val="12"/>
                <w:szCs w:val="12"/>
              </w:rPr>
              <w:t>Herguijuela del Campo</w:t>
            </w:r>
          </w:p>
        </w:tc>
      </w:tr>
      <w:tr w:rsidR="002A4DDF" w:rsidRPr="00937C8B" w14:paraId="0A12827E" w14:textId="77777777" w:rsidTr="00935676">
        <w:trPr>
          <w:cantSplit/>
        </w:trPr>
        <w:tc>
          <w:tcPr>
            <w:tcW w:w="1696" w:type="dxa"/>
            <w:tcBorders>
              <w:left w:val="single" w:sz="4" w:space="0" w:color="auto"/>
            </w:tcBorders>
            <w:shd w:val="clear" w:color="auto" w:fill="auto"/>
          </w:tcPr>
          <w:p w14:paraId="08ED3393" w14:textId="77777777" w:rsidR="002A4DDF" w:rsidRPr="00937C8B" w:rsidRDefault="002A4DDF" w:rsidP="009110ED">
            <w:pPr>
              <w:rPr>
                <w:rFonts w:ascii="Arial" w:hAnsi="Arial" w:cs="Arial"/>
                <w:sz w:val="12"/>
                <w:szCs w:val="12"/>
              </w:rPr>
            </w:pPr>
          </w:p>
        </w:tc>
        <w:tc>
          <w:tcPr>
            <w:tcW w:w="1843" w:type="dxa"/>
            <w:shd w:val="clear" w:color="auto" w:fill="auto"/>
          </w:tcPr>
          <w:p w14:paraId="0EE049D3" w14:textId="77777777" w:rsidR="002A4DDF" w:rsidRPr="00937C8B" w:rsidRDefault="002A4DDF" w:rsidP="009110ED">
            <w:pPr>
              <w:rPr>
                <w:rFonts w:ascii="Arial" w:hAnsi="Arial" w:cs="Arial"/>
                <w:sz w:val="12"/>
                <w:szCs w:val="12"/>
              </w:rPr>
            </w:pPr>
          </w:p>
        </w:tc>
        <w:tc>
          <w:tcPr>
            <w:tcW w:w="2268" w:type="dxa"/>
            <w:shd w:val="clear" w:color="auto" w:fill="F2F2F2"/>
            <w:hideMark/>
          </w:tcPr>
          <w:p w14:paraId="4D7CD8B3" w14:textId="77777777" w:rsidR="002A4DDF" w:rsidRPr="00937C8B" w:rsidRDefault="002A4DDF" w:rsidP="009110ED">
            <w:pPr>
              <w:rPr>
                <w:rFonts w:ascii="Arial" w:hAnsi="Arial" w:cs="Arial"/>
                <w:sz w:val="12"/>
                <w:szCs w:val="12"/>
              </w:rPr>
            </w:pPr>
            <w:r>
              <w:rPr>
                <w:rFonts w:ascii="Arial" w:hAnsi="Arial"/>
                <w:sz w:val="12"/>
                <w:szCs w:val="12"/>
              </w:rPr>
              <w:t>Parada de Rubiales</w:t>
            </w:r>
          </w:p>
        </w:tc>
        <w:tc>
          <w:tcPr>
            <w:tcW w:w="2268" w:type="dxa"/>
            <w:tcBorders>
              <w:right w:val="single" w:sz="4" w:space="0" w:color="auto"/>
            </w:tcBorders>
            <w:shd w:val="clear" w:color="auto" w:fill="D9D9D9"/>
            <w:hideMark/>
          </w:tcPr>
          <w:p w14:paraId="49923BF2" w14:textId="77777777" w:rsidR="002A4DDF" w:rsidRPr="00937C8B" w:rsidRDefault="002A4DDF" w:rsidP="009110ED">
            <w:pPr>
              <w:rPr>
                <w:rFonts w:ascii="Arial" w:hAnsi="Arial" w:cs="Arial"/>
                <w:sz w:val="12"/>
                <w:szCs w:val="12"/>
              </w:rPr>
            </w:pPr>
            <w:r>
              <w:rPr>
                <w:rFonts w:ascii="Arial" w:hAnsi="Arial"/>
                <w:sz w:val="12"/>
                <w:szCs w:val="12"/>
              </w:rPr>
              <w:t>Hinojosa de Duero</w:t>
            </w:r>
          </w:p>
        </w:tc>
      </w:tr>
      <w:tr w:rsidR="002A4DDF" w:rsidRPr="00937C8B" w14:paraId="40CCA9CC" w14:textId="77777777" w:rsidTr="00935676">
        <w:trPr>
          <w:cantSplit/>
        </w:trPr>
        <w:tc>
          <w:tcPr>
            <w:tcW w:w="1696" w:type="dxa"/>
            <w:tcBorders>
              <w:left w:val="single" w:sz="4" w:space="0" w:color="auto"/>
            </w:tcBorders>
            <w:shd w:val="clear" w:color="auto" w:fill="auto"/>
          </w:tcPr>
          <w:p w14:paraId="0324CB82" w14:textId="77777777" w:rsidR="002A4DDF" w:rsidRPr="00937C8B" w:rsidRDefault="002A4DDF" w:rsidP="009110ED">
            <w:pPr>
              <w:rPr>
                <w:rFonts w:ascii="Arial" w:hAnsi="Arial" w:cs="Arial"/>
                <w:sz w:val="12"/>
                <w:szCs w:val="12"/>
              </w:rPr>
            </w:pPr>
          </w:p>
        </w:tc>
        <w:tc>
          <w:tcPr>
            <w:tcW w:w="1843" w:type="dxa"/>
            <w:shd w:val="clear" w:color="auto" w:fill="auto"/>
          </w:tcPr>
          <w:p w14:paraId="359FE264" w14:textId="77777777" w:rsidR="002A4DDF" w:rsidRPr="00937C8B" w:rsidRDefault="002A4DDF" w:rsidP="009110ED">
            <w:pPr>
              <w:rPr>
                <w:rFonts w:ascii="Arial" w:hAnsi="Arial" w:cs="Arial"/>
                <w:sz w:val="12"/>
                <w:szCs w:val="12"/>
              </w:rPr>
            </w:pPr>
          </w:p>
        </w:tc>
        <w:tc>
          <w:tcPr>
            <w:tcW w:w="2268" w:type="dxa"/>
            <w:shd w:val="clear" w:color="auto" w:fill="F2F2F2"/>
            <w:hideMark/>
          </w:tcPr>
          <w:p w14:paraId="51BCD798" w14:textId="77777777" w:rsidR="002A4DDF" w:rsidRPr="00937C8B" w:rsidRDefault="002A4DDF" w:rsidP="009110ED">
            <w:pPr>
              <w:rPr>
                <w:rFonts w:ascii="Arial" w:hAnsi="Arial" w:cs="Arial"/>
                <w:sz w:val="12"/>
                <w:szCs w:val="12"/>
              </w:rPr>
            </w:pPr>
            <w:r>
              <w:rPr>
                <w:rFonts w:ascii="Arial" w:hAnsi="Arial"/>
                <w:sz w:val="12"/>
                <w:szCs w:val="12"/>
              </w:rPr>
              <w:t>Paradinas de San Juan</w:t>
            </w:r>
          </w:p>
        </w:tc>
        <w:tc>
          <w:tcPr>
            <w:tcW w:w="2268" w:type="dxa"/>
            <w:tcBorders>
              <w:right w:val="single" w:sz="4" w:space="0" w:color="auto"/>
            </w:tcBorders>
            <w:shd w:val="clear" w:color="auto" w:fill="D9D9D9"/>
            <w:hideMark/>
          </w:tcPr>
          <w:p w14:paraId="54A7B4B7" w14:textId="77777777" w:rsidR="002A4DDF" w:rsidRPr="00937C8B" w:rsidRDefault="002A4DDF" w:rsidP="009110ED">
            <w:pPr>
              <w:rPr>
                <w:rFonts w:ascii="Arial" w:hAnsi="Arial" w:cs="Arial"/>
                <w:sz w:val="12"/>
                <w:szCs w:val="12"/>
              </w:rPr>
            </w:pPr>
            <w:r>
              <w:rPr>
                <w:rFonts w:ascii="Arial" w:hAnsi="Arial"/>
                <w:sz w:val="12"/>
                <w:szCs w:val="12"/>
              </w:rPr>
              <w:t>Horcajo de Montemayor</w:t>
            </w:r>
          </w:p>
        </w:tc>
      </w:tr>
      <w:tr w:rsidR="002A4DDF" w:rsidRPr="00937C8B" w14:paraId="42DCE672" w14:textId="77777777" w:rsidTr="00935676">
        <w:trPr>
          <w:cantSplit/>
        </w:trPr>
        <w:tc>
          <w:tcPr>
            <w:tcW w:w="1696" w:type="dxa"/>
            <w:tcBorders>
              <w:left w:val="single" w:sz="4" w:space="0" w:color="auto"/>
            </w:tcBorders>
            <w:shd w:val="clear" w:color="auto" w:fill="auto"/>
          </w:tcPr>
          <w:p w14:paraId="069ABE5F" w14:textId="77777777" w:rsidR="002A4DDF" w:rsidRPr="00937C8B" w:rsidRDefault="002A4DDF" w:rsidP="009110ED">
            <w:pPr>
              <w:rPr>
                <w:rFonts w:ascii="Arial" w:hAnsi="Arial" w:cs="Arial"/>
                <w:sz w:val="12"/>
                <w:szCs w:val="12"/>
              </w:rPr>
            </w:pPr>
          </w:p>
        </w:tc>
        <w:tc>
          <w:tcPr>
            <w:tcW w:w="1843" w:type="dxa"/>
            <w:shd w:val="clear" w:color="auto" w:fill="auto"/>
          </w:tcPr>
          <w:p w14:paraId="7985EC05" w14:textId="77777777" w:rsidR="002A4DDF" w:rsidRPr="00937C8B" w:rsidRDefault="002A4DDF" w:rsidP="009110ED">
            <w:pPr>
              <w:rPr>
                <w:rFonts w:ascii="Arial" w:hAnsi="Arial" w:cs="Arial"/>
                <w:sz w:val="12"/>
                <w:szCs w:val="12"/>
              </w:rPr>
            </w:pPr>
          </w:p>
        </w:tc>
        <w:tc>
          <w:tcPr>
            <w:tcW w:w="2268" w:type="dxa"/>
            <w:shd w:val="clear" w:color="auto" w:fill="F2F2F2"/>
            <w:hideMark/>
          </w:tcPr>
          <w:p w14:paraId="21BC6DC9" w14:textId="77777777" w:rsidR="002A4DDF" w:rsidRPr="00937C8B" w:rsidRDefault="002A4DDF" w:rsidP="009110ED">
            <w:pPr>
              <w:rPr>
                <w:rFonts w:ascii="Arial" w:hAnsi="Arial" w:cs="Arial"/>
                <w:sz w:val="12"/>
                <w:szCs w:val="12"/>
              </w:rPr>
            </w:pPr>
            <w:r>
              <w:rPr>
                <w:rFonts w:ascii="Arial" w:hAnsi="Arial"/>
                <w:sz w:val="12"/>
                <w:szCs w:val="12"/>
              </w:rPr>
              <w:t>Pedraza de Alba</w:t>
            </w:r>
          </w:p>
        </w:tc>
        <w:tc>
          <w:tcPr>
            <w:tcW w:w="2268" w:type="dxa"/>
            <w:tcBorders>
              <w:right w:val="single" w:sz="4" w:space="0" w:color="auto"/>
            </w:tcBorders>
            <w:shd w:val="clear" w:color="auto" w:fill="D9D9D9"/>
            <w:hideMark/>
          </w:tcPr>
          <w:p w14:paraId="54CC7622" w14:textId="77777777" w:rsidR="002A4DDF" w:rsidRPr="00937C8B" w:rsidRDefault="002A4DDF" w:rsidP="009110ED">
            <w:pPr>
              <w:rPr>
                <w:rFonts w:ascii="Arial" w:hAnsi="Arial" w:cs="Arial"/>
                <w:sz w:val="12"/>
                <w:szCs w:val="12"/>
              </w:rPr>
            </w:pPr>
            <w:r>
              <w:rPr>
                <w:rFonts w:ascii="Arial" w:hAnsi="Arial"/>
                <w:sz w:val="12"/>
                <w:szCs w:val="12"/>
              </w:rPr>
              <w:t>Horcajo Medianero</w:t>
            </w:r>
          </w:p>
        </w:tc>
      </w:tr>
      <w:tr w:rsidR="002A4DDF" w:rsidRPr="00937C8B" w14:paraId="5D9E4D94" w14:textId="77777777" w:rsidTr="00935676">
        <w:trPr>
          <w:cantSplit/>
        </w:trPr>
        <w:tc>
          <w:tcPr>
            <w:tcW w:w="1696" w:type="dxa"/>
            <w:tcBorders>
              <w:left w:val="single" w:sz="4" w:space="0" w:color="auto"/>
            </w:tcBorders>
            <w:shd w:val="clear" w:color="auto" w:fill="auto"/>
          </w:tcPr>
          <w:p w14:paraId="2F817310" w14:textId="77777777" w:rsidR="002A4DDF" w:rsidRPr="00937C8B" w:rsidRDefault="002A4DDF" w:rsidP="009110ED">
            <w:pPr>
              <w:rPr>
                <w:rFonts w:ascii="Arial" w:hAnsi="Arial" w:cs="Arial"/>
                <w:sz w:val="12"/>
                <w:szCs w:val="12"/>
              </w:rPr>
            </w:pPr>
          </w:p>
        </w:tc>
        <w:tc>
          <w:tcPr>
            <w:tcW w:w="1843" w:type="dxa"/>
            <w:shd w:val="clear" w:color="auto" w:fill="auto"/>
          </w:tcPr>
          <w:p w14:paraId="142809E0" w14:textId="77777777" w:rsidR="002A4DDF" w:rsidRPr="00937C8B" w:rsidRDefault="002A4DDF" w:rsidP="009110ED">
            <w:pPr>
              <w:rPr>
                <w:rFonts w:ascii="Arial" w:hAnsi="Arial" w:cs="Arial"/>
                <w:sz w:val="12"/>
                <w:szCs w:val="12"/>
              </w:rPr>
            </w:pPr>
          </w:p>
        </w:tc>
        <w:tc>
          <w:tcPr>
            <w:tcW w:w="2268" w:type="dxa"/>
            <w:shd w:val="clear" w:color="auto" w:fill="F2F2F2"/>
            <w:hideMark/>
          </w:tcPr>
          <w:p w14:paraId="5F0FA0C7" w14:textId="77777777" w:rsidR="002A4DDF" w:rsidRPr="00937C8B" w:rsidRDefault="002A4DDF" w:rsidP="009110ED">
            <w:pPr>
              <w:rPr>
                <w:rFonts w:ascii="Arial" w:hAnsi="Arial" w:cs="Arial"/>
                <w:sz w:val="12"/>
                <w:szCs w:val="12"/>
              </w:rPr>
            </w:pPr>
            <w:r>
              <w:rPr>
                <w:rFonts w:ascii="Arial" w:hAnsi="Arial"/>
                <w:sz w:val="12"/>
                <w:szCs w:val="12"/>
              </w:rPr>
              <w:t>Pedrosillo de Alba</w:t>
            </w:r>
          </w:p>
        </w:tc>
        <w:tc>
          <w:tcPr>
            <w:tcW w:w="2268" w:type="dxa"/>
            <w:tcBorders>
              <w:right w:val="single" w:sz="4" w:space="0" w:color="auto"/>
            </w:tcBorders>
            <w:shd w:val="clear" w:color="auto" w:fill="D9D9D9"/>
            <w:hideMark/>
          </w:tcPr>
          <w:p w14:paraId="7597DA4A" w14:textId="77777777" w:rsidR="002A4DDF" w:rsidRPr="00937C8B" w:rsidRDefault="002A4DDF" w:rsidP="009110ED">
            <w:pPr>
              <w:rPr>
                <w:rFonts w:ascii="Arial" w:hAnsi="Arial" w:cs="Arial"/>
                <w:sz w:val="12"/>
                <w:szCs w:val="12"/>
              </w:rPr>
            </w:pPr>
            <w:r>
              <w:rPr>
                <w:rFonts w:ascii="Arial" w:hAnsi="Arial"/>
                <w:sz w:val="12"/>
                <w:szCs w:val="12"/>
              </w:rPr>
              <w:t>Iruelos</w:t>
            </w:r>
          </w:p>
        </w:tc>
      </w:tr>
      <w:tr w:rsidR="002A4DDF" w:rsidRPr="00937C8B" w14:paraId="081E5798" w14:textId="77777777" w:rsidTr="00935676">
        <w:trPr>
          <w:cantSplit/>
        </w:trPr>
        <w:tc>
          <w:tcPr>
            <w:tcW w:w="1696" w:type="dxa"/>
            <w:tcBorders>
              <w:left w:val="single" w:sz="4" w:space="0" w:color="auto"/>
            </w:tcBorders>
            <w:shd w:val="clear" w:color="auto" w:fill="auto"/>
          </w:tcPr>
          <w:p w14:paraId="1D131AFB" w14:textId="77777777" w:rsidR="002A4DDF" w:rsidRPr="00937C8B" w:rsidRDefault="002A4DDF" w:rsidP="009110ED">
            <w:pPr>
              <w:rPr>
                <w:rFonts w:ascii="Arial" w:hAnsi="Arial" w:cs="Arial"/>
                <w:sz w:val="12"/>
                <w:szCs w:val="12"/>
              </w:rPr>
            </w:pPr>
          </w:p>
        </w:tc>
        <w:tc>
          <w:tcPr>
            <w:tcW w:w="1843" w:type="dxa"/>
            <w:shd w:val="clear" w:color="auto" w:fill="auto"/>
          </w:tcPr>
          <w:p w14:paraId="00FEDE76" w14:textId="77777777" w:rsidR="002A4DDF" w:rsidRPr="00937C8B" w:rsidRDefault="002A4DDF" w:rsidP="009110ED">
            <w:pPr>
              <w:rPr>
                <w:rFonts w:ascii="Arial" w:hAnsi="Arial" w:cs="Arial"/>
                <w:sz w:val="12"/>
                <w:szCs w:val="12"/>
              </w:rPr>
            </w:pPr>
          </w:p>
        </w:tc>
        <w:tc>
          <w:tcPr>
            <w:tcW w:w="2268" w:type="dxa"/>
            <w:shd w:val="clear" w:color="auto" w:fill="F2F2F2"/>
            <w:hideMark/>
          </w:tcPr>
          <w:p w14:paraId="4CA90F16" w14:textId="77777777" w:rsidR="002A4DDF" w:rsidRPr="00937C8B" w:rsidRDefault="002A4DDF" w:rsidP="009110ED">
            <w:pPr>
              <w:rPr>
                <w:rFonts w:ascii="Arial" w:hAnsi="Arial" w:cs="Arial"/>
                <w:sz w:val="12"/>
                <w:szCs w:val="12"/>
              </w:rPr>
            </w:pPr>
            <w:r>
              <w:rPr>
                <w:rFonts w:ascii="Arial" w:hAnsi="Arial"/>
                <w:sz w:val="12"/>
                <w:szCs w:val="12"/>
              </w:rPr>
              <w:t>Pedrosillo el Ralo</w:t>
            </w:r>
          </w:p>
        </w:tc>
        <w:tc>
          <w:tcPr>
            <w:tcW w:w="2268" w:type="dxa"/>
            <w:tcBorders>
              <w:right w:val="single" w:sz="4" w:space="0" w:color="auto"/>
            </w:tcBorders>
            <w:shd w:val="clear" w:color="auto" w:fill="D9D9D9"/>
            <w:hideMark/>
          </w:tcPr>
          <w:p w14:paraId="0CB49E02" w14:textId="77777777" w:rsidR="002A4DDF" w:rsidRPr="00937C8B" w:rsidRDefault="002A4DDF" w:rsidP="009110ED">
            <w:pPr>
              <w:rPr>
                <w:rFonts w:ascii="Arial" w:hAnsi="Arial" w:cs="Arial"/>
                <w:sz w:val="12"/>
                <w:szCs w:val="12"/>
              </w:rPr>
            </w:pPr>
            <w:r>
              <w:rPr>
                <w:rFonts w:ascii="Arial" w:hAnsi="Arial"/>
                <w:sz w:val="12"/>
                <w:szCs w:val="12"/>
              </w:rPr>
              <w:t>Ituero de Azaba</w:t>
            </w:r>
          </w:p>
        </w:tc>
      </w:tr>
      <w:tr w:rsidR="002A4DDF" w:rsidRPr="00937C8B" w14:paraId="3A04AC43" w14:textId="77777777" w:rsidTr="00935676">
        <w:trPr>
          <w:cantSplit/>
        </w:trPr>
        <w:tc>
          <w:tcPr>
            <w:tcW w:w="1696" w:type="dxa"/>
            <w:tcBorders>
              <w:left w:val="single" w:sz="4" w:space="0" w:color="auto"/>
            </w:tcBorders>
            <w:shd w:val="clear" w:color="auto" w:fill="auto"/>
          </w:tcPr>
          <w:p w14:paraId="0F1323C9" w14:textId="77777777" w:rsidR="002A4DDF" w:rsidRPr="00937C8B" w:rsidRDefault="002A4DDF" w:rsidP="009110ED">
            <w:pPr>
              <w:rPr>
                <w:rFonts w:ascii="Arial" w:hAnsi="Arial" w:cs="Arial"/>
                <w:sz w:val="12"/>
                <w:szCs w:val="12"/>
              </w:rPr>
            </w:pPr>
          </w:p>
        </w:tc>
        <w:tc>
          <w:tcPr>
            <w:tcW w:w="1843" w:type="dxa"/>
            <w:shd w:val="clear" w:color="auto" w:fill="auto"/>
          </w:tcPr>
          <w:p w14:paraId="6C508705" w14:textId="77777777" w:rsidR="002A4DDF" w:rsidRPr="00937C8B" w:rsidRDefault="002A4DDF" w:rsidP="009110ED">
            <w:pPr>
              <w:rPr>
                <w:rFonts w:ascii="Arial" w:hAnsi="Arial" w:cs="Arial"/>
                <w:sz w:val="12"/>
                <w:szCs w:val="12"/>
              </w:rPr>
            </w:pPr>
          </w:p>
        </w:tc>
        <w:tc>
          <w:tcPr>
            <w:tcW w:w="2268" w:type="dxa"/>
            <w:shd w:val="clear" w:color="auto" w:fill="F2F2F2"/>
            <w:hideMark/>
          </w:tcPr>
          <w:p w14:paraId="6858C313" w14:textId="77777777" w:rsidR="002A4DDF" w:rsidRPr="00937C8B" w:rsidRDefault="002A4DDF" w:rsidP="009110ED">
            <w:pPr>
              <w:rPr>
                <w:rFonts w:ascii="Arial" w:hAnsi="Arial" w:cs="Arial"/>
                <w:sz w:val="12"/>
                <w:szCs w:val="12"/>
              </w:rPr>
            </w:pPr>
            <w:r>
              <w:rPr>
                <w:rFonts w:ascii="Arial" w:hAnsi="Arial"/>
                <w:sz w:val="12"/>
                <w:szCs w:val="12"/>
              </w:rPr>
              <w:t>Pelabravo</w:t>
            </w:r>
          </w:p>
        </w:tc>
        <w:tc>
          <w:tcPr>
            <w:tcW w:w="2268" w:type="dxa"/>
            <w:tcBorders>
              <w:right w:val="single" w:sz="4" w:space="0" w:color="auto"/>
            </w:tcBorders>
            <w:shd w:val="clear" w:color="auto" w:fill="D9D9D9"/>
            <w:hideMark/>
          </w:tcPr>
          <w:p w14:paraId="30409E46" w14:textId="77777777" w:rsidR="002A4DDF" w:rsidRPr="00937C8B" w:rsidRDefault="002A4DDF" w:rsidP="009110ED">
            <w:pPr>
              <w:rPr>
                <w:rFonts w:ascii="Arial" w:hAnsi="Arial" w:cs="Arial"/>
                <w:sz w:val="12"/>
                <w:szCs w:val="12"/>
              </w:rPr>
            </w:pPr>
            <w:r>
              <w:rPr>
                <w:rFonts w:ascii="Arial" w:hAnsi="Arial"/>
                <w:sz w:val="12"/>
                <w:szCs w:val="12"/>
              </w:rPr>
              <w:t>Juzbado</w:t>
            </w:r>
          </w:p>
        </w:tc>
      </w:tr>
      <w:tr w:rsidR="002A4DDF" w:rsidRPr="00937C8B" w14:paraId="05F68620" w14:textId="77777777" w:rsidTr="00935676">
        <w:trPr>
          <w:cantSplit/>
        </w:trPr>
        <w:tc>
          <w:tcPr>
            <w:tcW w:w="1696" w:type="dxa"/>
            <w:tcBorders>
              <w:left w:val="single" w:sz="4" w:space="0" w:color="auto"/>
            </w:tcBorders>
            <w:shd w:val="clear" w:color="auto" w:fill="auto"/>
          </w:tcPr>
          <w:p w14:paraId="60514F18" w14:textId="77777777" w:rsidR="002A4DDF" w:rsidRPr="00937C8B" w:rsidRDefault="002A4DDF" w:rsidP="009110ED">
            <w:pPr>
              <w:rPr>
                <w:rFonts w:ascii="Arial" w:hAnsi="Arial" w:cs="Arial"/>
                <w:sz w:val="12"/>
                <w:szCs w:val="12"/>
              </w:rPr>
            </w:pPr>
          </w:p>
        </w:tc>
        <w:tc>
          <w:tcPr>
            <w:tcW w:w="1843" w:type="dxa"/>
            <w:shd w:val="clear" w:color="auto" w:fill="auto"/>
          </w:tcPr>
          <w:p w14:paraId="2A5433DF" w14:textId="77777777" w:rsidR="002A4DDF" w:rsidRPr="00937C8B" w:rsidRDefault="002A4DDF" w:rsidP="009110ED">
            <w:pPr>
              <w:rPr>
                <w:rFonts w:ascii="Arial" w:hAnsi="Arial" w:cs="Arial"/>
                <w:sz w:val="12"/>
                <w:szCs w:val="12"/>
              </w:rPr>
            </w:pPr>
          </w:p>
        </w:tc>
        <w:tc>
          <w:tcPr>
            <w:tcW w:w="2268" w:type="dxa"/>
            <w:shd w:val="clear" w:color="auto" w:fill="F2F2F2"/>
            <w:hideMark/>
          </w:tcPr>
          <w:p w14:paraId="7B56B7EB" w14:textId="77777777" w:rsidR="002A4DDF" w:rsidRPr="00937C8B" w:rsidRDefault="002A4DDF" w:rsidP="009110ED">
            <w:pPr>
              <w:rPr>
                <w:rFonts w:ascii="Arial" w:hAnsi="Arial" w:cs="Arial"/>
                <w:sz w:val="12"/>
                <w:szCs w:val="12"/>
              </w:rPr>
            </w:pPr>
            <w:r>
              <w:rPr>
                <w:rFonts w:ascii="Arial" w:hAnsi="Arial"/>
                <w:sz w:val="12"/>
                <w:szCs w:val="12"/>
              </w:rPr>
              <w:t>Peñaranda de Bracamonte</w:t>
            </w:r>
          </w:p>
        </w:tc>
        <w:tc>
          <w:tcPr>
            <w:tcW w:w="2268" w:type="dxa"/>
            <w:tcBorders>
              <w:right w:val="single" w:sz="4" w:space="0" w:color="auto"/>
            </w:tcBorders>
            <w:shd w:val="clear" w:color="auto" w:fill="D9D9D9"/>
            <w:hideMark/>
          </w:tcPr>
          <w:p w14:paraId="48DA9E45" w14:textId="77777777" w:rsidR="002A4DDF" w:rsidRPr="00937C8B" w:rsidRDefault="002A4DDF" w:rsidP="009110ED">
            <w:pPr>
              <w:rPr>
                <w:rFonts w:ascii="Arial" w:hAnsi="Arial" w:cs="Arial"/>
                <w:sz w:val="12"/>
                <w:szCs w:val="12"/>
              </w:rPr>
            </w:pPr>
            <w:r>
              <w:rPr>
                <w:rFonts w:ascii="Arial" w:hAnsi="Arial"/>
                <w:sz w:val="12"/>
                <w:szCs w:val="12"/>
              </w:rPr>
              <w:t>La Alameda de Gardón</w:t>
            </w:r>
          </w:p>
        </w:tc>
      </w:tr>
      <w:tr w:rsidR="002A4DDF" w:rsidRPr="00937C8B" w14:paraId="19AD7ED2" w14:textId="77777777" w:rsidTr="00935676">
        <w:trPr>
          <w:cantSplit/>
        </w:trPr>
        <w:tc>
          <w:tcPr>
            <w:tcW w:w="1696" w:type="dxa"/>
            <w:tcBorders>
              <w:left w:val="single" w:sz="4" w:space="0" w:color="auto"/>
            </w:tcBorders>
            <w:shd w:val="clear" w:color="auto" w:fill="auto"/>
          </w:tcPr>
          <w:p w14:paraId="5D8430EC" w14:textId="77777777" w:rsidR="002A4DDF" w:rsidRPr="00937C8B" w:rsidRDefault="002A4DDF" w:rsidP="009110ED">
            <w:pPr>
              <w:rPr>
                <w:rFonts w:ascii="Arial" w:hAnsi="Arial" w:cs="Arial"/>
                <w:sz w:val="12"/>
                <w:szCs w:val="12"/>
              </w:rPr>
            </w:pPr>
          </w:p>
        </w:tc>
        <w:tc>
          <w:tcPr>
            <w:tcW w:w="1843" w:type="dxa"/>
            <w:shd w:val="clear" w:color="auto" w:fill="auto"/>
          </w:tcPr>
          <w:p w14:paraId="3355A986" w14:textId="77777777" w:rsidR="002A4DDF" w:rsidRPr="00937C8B" w:rsidRDefault="002A4DDF" w:rsidP="009110ED">
            <w:pPr>
              <w:rPr>
                <w:rFonts w:ascii="Arial" w:hAnsi="Arial" w:cs="Arial"/>
                <w:sz w:val="12"/>
                <w:szCs w:val="12"/>
              </w:rPr>
            </w:pPr>
          </w:p>
        </w:tc>
        <w:tc>
          <w:tcPr>
            <w:tcW w:w="2268" w:type="dxa"/>
            <w:shd w:val="clear" w:color="auto" w:fill="F2F2F2"/>
            <w:hideMark/>
          </w:tcPr>
          <w:p w14:paraId="785540B5" w14:textId="77777777" w:rsidR="002A4DDF" w:rsidRPr="00937C8B" w:rsidRDefault="002A4DDF" w:rsidP="009110ED">
            <w:pPr>
              <w:rPr>
                <w:rFonts w:ascii="Arial" w:hAnsi="Arial" w:cs="Arial"/>
                <w:sz w:val="12"/>
                <w:szCs w:val="12"/>
              </w:rPr>
            </w:pPr>
            <w:r>
              <w:rPr>
                <w:rFonts w:ascii="Arial" w:hAnsi="Arial"/>
                <w:sz w:val="12"/>
                <w:szCs w:val="12"/>
              </w:rPr>
              <w:t>Peñarandilla</w:t>
            </w:r>
          </w:p>
        </w:tc>
        <w:tc>
          <w:tcPr>
            <w:tcW w:w="2268" w:type="dxa"/>
            <w:tcBorders>
              <w:right w:val="single" w:sz="4" w:space="0" w:color="auto"/>
            </w:tcBorders>
            <w:shd w:val="clear" w:color="auto" w:fill="D9D9D9"/>
            <w:hideMark/>
          </w:tcPr>
          <w:p w14:paraId="79A06772" w14:textId="77777777" w:rsidR="002A4DDF" w:rsidRPr="00937C8B" w:rsidRDefault="002A4DDF" w:rsidP="009110ED">
            <w:pPr>
              <w:rPr>
                <w:rFonts w:ascii="Arial" w:hAnsi="Arial" w:cs="Arial"/>
                <w:sz w:val="12"/>
                <w:szCs w:val="12"/>
              </w:rPr>
            </w:pPr>
            <w:r>
              <w:rPr>
                <w:rFonts w:ascii="Arial" w:hAnsi="Arial"/>
                <w:sz w:val="12"/>
                <w:szCs w:val="12"/>
              </w:rPr>
              <w:t>La Alamedilla</w:t>
            </w:r>
          </w:p>
        </w:tc>
      </w:tr>
      <w:tr w:rsidR="002A4DDF" w:rsidRPr="00937C8B" w14:paraId="53DEA0E4" w14:textId="77777777" w:rsidTr="00935676">
        <w:trPr>
          <w:cantSplit/>
        </w:trPr>
        <w:tc>
          <w:tcPr>
            <w:tcW w:w="1696" w:type="dxa"/>
            <w:tcBorders>
              <w:left w:val="single" w:sz="4" w:space="0" w:color="auto"/>
            </w:tcBorders>
            <w:shd w:val="clear" w:color="auto" w:fill="auto"/>
          </w:tcPr>
          <w:p w14:paraId="2FE70240" w14:textId="77777777" w:rsidR="002A4DDF" w:rsidRPr="00937C8B" w:rsidRDefault="002A4DDF" w:rsidP="009110ED">
            <w:pPr>
              <w:rPr>
                <w:rFonts w:ascii="Arial" w:hAnsi="Arial" w:cs="Arial"/>
                <w:sz w:val="12"/>
                <w:szCs w:val="12"/>
              </w:rPr>
            </w:pPr>
          </w:p>
        </w:tc>
        <w:tc>
          <w:tcPr>
            <w:tcW w:w="1843" w:type="dxa"/>
            <w:shd w:val="clear" w:color="auto" w:fill="auto"/>
          </w:tcPr>
          <w:p w14:paraId="4C4E216C" w14:textId="77777777" w:rsidR="002A4DDF" w:rsidRPr="00937C8B" w:rsidRDefault="002A4DDF" w:rsidP="009110ED">
            <w:pPr>
              <w:rPr>
                <w:rFonts w:ascii="Arial" w:hAnsi="Arial" w:cs="Arial"/>
                <w:sz w:val="12"/>
                <w:szCs w:val="12"/>
              </w:rPr>
            </w:pPr>
          </w:p>
        </w:tc>
        <w:tc>
          <w:tcPr>
            <w:tcW w:w="2268" w:type="dxa"/>
            <w:shd w:val="clear" w:color="auto" w:fill="F2F2F2"/>
            <w:hideMark/>
          </w:tcPr>
          <w:p w14:paraId="6C6513B5" w14:textId="77777777" w:rsidR="002A4DDF" w:rsidRPr="00937C8B" w:rsidRDefault="002A4DDF" w:rsidP="009110ED">
            <w:pPr>
              <w:rPr>
                <w:rFonts w:ascii="Arial" w:hAnsi="Arial" w:cs="Arial"/>
                <w:sz w:val="12"/>
                <w:szCs w:val="12"/>
              </w:rPr>
            </w:pPr>
            <w:r>
              <w:rPr>
                <w:rFonts w:ascii="Arial" w:hAnsi="Arial"/>
                <w:sz w:val="12"/>
                <w:szCs w:val="12"/>
              </w:rPr>
              <w:t>Pitiegua</w:t>
            </w:r>
          </w:p>
        </w:tc>
        <w:tc>
          <w:tcPr>
            <w:tcW w:w="2268" w:type="dxa"/>
            <w:tcBorders>
              <w:right w:val="single" w:sz="4" w:space="0" w:color="auto"/>
            </w:tcBorders>
            <w:shd w:val="clear" w:color="auto" w:fill="D9D9D9"/>
            <w:hideMark/>
          </w:tcPr>
          <w:p w14:paraId="7CB20109" w14:textId="77777777" w:rsidR="002A4DDF" w:rsidRPr="00937C8B" w:rsidRDefault="002A4DDF" w:rsidP="009110ED">
            <w:pPr>
              <w:rPr>
                <w:rFonts w:ascii="Arial" w:hAnsi="Arial" w:cs="Arial"/>
                <w:sz w:val="12"/>
                <w:szCs w:val="12"/>
              </w:rPr>
            </w:pPr>
            <w:r>
              <w:rPr>
                <w:rFonts w:ascii="Arial" w:hAnsi="Arial"/>
                <w:sz w:val="12"/>
                <w:szCs w:val="12"/>
              </w:rPr>
              <w:t>La Alberca</w:t>
            </w:r>
          </w:p>
        </w:tc>
      </w:tr>
      <w:tr w:rsidR="002A4DDF" w:rsidRPr="00937C8B" w14:paraId="635F5156" w14:textId="77777777" w:rsidTr="00935676">
        <w:trPr>
          <w:cantSplit/>
        </w:trPr>
        <w:tc>
          <w:tcPr>
            <w:tcW w:w="1696" w:type="dxa"/>
            <w:tcBorders>
              <w:left w:val="single" w:sz="4" w:space="0" w:color="auto"/>
            </w:tcBorders>
            <w:shd w:val="clear" w:color="auto" w:fill="auto"/>
          </w:tcPr>
          <w:p w14:paraId="1ECF36F4" w14:textId="77777777" w:rsidR="002A4DDF" w:rsidRPr="00937C8B" w:rsidRDefault="002A4DDF" w:rsidP="009110ED">
            <w:pPr>
              <w:rPr>
                <w:rFonts w:ascii="Arial" w:hAnsi="Arial" w:cs="Arial"/>
                <w:sz w:val="12"/>
                <w:szCs w:val="12"/>
              </w:rPr>
            </w:pPr>
          </w:p>
        </w:tc>
        <w:tc>
          <w:tcPr>
            <w:tcW w:w="1843" w:type="dxa"/>
            <w:shd w:val="clear" w:color="auto" w:fill="auto"/>
          </w:tcPr>
          <w:p w14:paraId="0E7BE63E" w14:textId="77777777" w:rsidR="002A4DDF" w:rsidRPr="00937C8B" w:rsidRDefault="002A4DDF" w:rsidP="009110ED">
            <w:pPr>
              <w:rPr>
                <w:rFonts w:ascii="Arial" w:hAnsi="Arial" w:cs="Arial"/>
                <w:sz w:val="12"/>
                <w:szCs w:val="12"/>
              </w:rPr>
            </w:pPr>
          </w:p>
        </w:tc>
        <w:tc>
          <w:tcPr>
            <w:tcW w:w="2268" w:type="dxa"/>
            <w:shd w:val="clear" w:color="auto" w:fill="F2F2F2"/>
            <w:hideMark/>
          </w:tcPr>
          <w:p w14:paraId="423C8375" w14:textId="77777777" w:rsidR="002A4DDF" w:rsidRPr="00937C8B" w:rsidRDefault="002A4DDF" w:rsidP="009110ED">
            <w:pPr>
              <w:rPr>
                <w:rFonts w:ascii="Arial" w:hAnsi="Arial" w:cs="Arial"/>
                <w:sz w:val="12"/>
                <w:szCs w:val="12"/>
              </w:rPr>
            </w:pPr>
            <w:r>
              <w:rPr>
                <w:rFonts w:ascii="Arial" w:hAnsi="Arial"/>
                <w:sz w:val="12"/>
                <w:szCs w:val="12"/>
              </w:rPr>
              <w:t>Poveda de las Cintas</w:t>
            </w:r>
          </w:p>
        </w:tc>
        <w:tc>
          <w:tcPr>
            <w:tcW w:w="2268" w:type="dxa"/>
            <w:tcBorders>
              <w:right w:val="single" w:sz="4" w:space="0" w:color="auto"/>
            </w:tcBorders>
            <w:shd w:val="clear" w:color="auto" w:fill="D9D9D9"/>
            <w:hideMark/>
          </w:tcPr>
          <w:p w14:paraId="268BFC6B" w14:textId="77777777" w:rsidR="002A4DDF" w:rsidRPr="00937C8B" w:rsidRDefault="002A4DDF" w:rsidP="009110ED">
            <w:pPr>
              <w:rPr>
                <w:rFonts w:ascii="Arial" w:hAnsi="Arial" w:cs="Arial"/>
                <w:sz w:val="12"/>
                <w:szCs w:val="12"/>
              </w:rPr>
            </w:pPr>
            <w:r>
              <w:rPr>
                <w:rFonts w:ascii="Arial" w:hAnsi="Arial"/>
                <w:sz w:val="12"/>
                <w:szCs w:val="12"/>
              </w:rPr>
              <w:t>La Alberguería de Argañán</w:t>
            </w:r>
          </w:p>
        </w:tc>
      </w:tr>
      <w:tr w:rsidR="002A4DDF" w:rsidRPr="00937C8B" w14:paraId="0B20A82D" w14:textId="77777777" w:rsidTr="00935676">
        <w:trPr>
          <w:cantSplit/>
        </w:trPr>
        <w:tc>
          <w:tcPr>
            <w:tcW w:w="1696" w:type="dxa"/>
            <w:tcBorders>
              <w:left w:val="single" w:sz="4" w:space="0" w:color="auto"/>
            </w:tcBorders>
            <w:shd w:val="clear" w:color="auto" w:fill="auto"/>
          </w:tcPr>
          <w:p w14:paraId="5AC0407C" w14:textId="77777777" w:rsidR="002A4DDF" w:rsidRPr="00937C8B" w:rsidRDefault="002A4DDF" w:rsidP="009110ED">
            <w:pPr>
              <w:rPr>
                <w:rFonts w:ascii="Arial" w:hAnsi="Arial" w:cs="Arial"/>
                <w:sz w:val="12"/>
                <w:szCs w:val="12"/>
              </w:rPr>
            </w:pPr>
          </w:p>
        </w:tc>
        <w:tc>
          <w:tcPr>
            <w:tcW w:w="1843" w:type="dxa"/>
            <w:shd w:val="clear" w:color="auto" w:fill="auto"/>
          </w:tcPr>
          <w:p w14:paraId="1C76B2A3" w14:textId="77777777" w:rsidR="002A4DDF" w:rsidRPr="00937C8B" w:rsidRDefault="002A4DDF" w:rsidP="009110ED">
            <w:pPr>
              <w:rPr>
                <w:rFonts w:ascii="Arial" w:hAnsi="Arial" w:cs="Arial"/>
                <w:sz w:val="12"/>
                <w:szCs w:val="12"/>
              </w:rPr>
            </w:pPr>
          </w:p>
        </w:tc>
        <w:tc>
          <w:tcPr>
            <w:tcW w:w="2268" w:type="dxa"/>
            <w:shd w:val="clear" w:color="auto" w:fill="F2F2F2"/>
            <w:hideMark/>
          </w:tcPr>
          <w:p w14:paraId="10AFC5AC" w14:textId="77777777" w:rsidR="002A4DDF" w:rsidRPr="00937C8B" w:rsidRDefault="002A4DDF" w:rsidP="009110ED">
            <w:pPr>
              <w:rPr>
                <w:rFonts w:ascii="Arial" w:hAnsi="Arial" w:cs="Arial"/>
                <w:sz w:val="12"/>
                <w:szCs w:val="12"/>
              </w:rPr>
            </w:pPr>
            <w:r>
              <w:rPr>
                <w:rFonts w:ascii="Arial" w:hAnsi="Arial"/>
                <w:sz w:val="12"/>
                <w:szCs w:val="12"/>
              </w:rPr>
              <w:t>Puebla de Yeltes</w:t>
            </w:r>
          </w:p>
        </w:tc>
        <w:tc>
          <w:tcPr>
            <w:tcW w:w="2268" w:type="dxa"/>
            <w:tcBorders>
              <w:right w:val="single" w:sz="4" w:space="0" w:color="auto"/>
            </w:tcBorders>
            <w:shd w:val="clear" w:color="auto" w:fill="D9D9D9"/>
            <w:hideMark/>
          </w:tcPr>
          <w:p w14:paraId="423F22A3" w14:textId="77777777" w:rsidR="002A4DDF" w:rsidRPr="00937C8B" w:rsidRDefault="002A4DDF" w:rsidP="009110ED">
            <w:pPr>
              <w:rPr>
                <w:rFonts w:ascii="Arial" w:hAnsi="Arial" w:cs="Arial"/>
                <w:sz w:val="12"/>
                <w:szCs w:val="12"/>
              </w:rPr>
            </w:pPr>
            <w:r>
              <w:rPr>
                <w:rFonts w:ascii="Arial" w:hAnsi="Arial"/>
                <w:sz w:val="12"/>
                <w:szCs w:val="12"/>
              </w:rPr>
              <w:t>La Atalaya</w:t>
            </w:r>
          </w:p>
        </w:tc>
      </w:tr>
      <w:tr w:rsidR="002A4DDF" w:rsidRPr="00937C8B" w14:paraId="044E2B15" w14:textId="77777777" w:rsidTr="00935676">
        <w:trPr>
          <w:cantSplit/>
        </w:trPr>
        <w:tc>
          <w:tcPr>
            <w:tcW w:w="1696" w:type="dxa"/>
            <w:tcBorders>
              <w:left w:val="single" w:sz="4" w:space="0" w:color="auto"/>
            </w:tcBorders>
            <w:shd w:val="clear" w:color="auto" w:fill="auto"/>
          </w:tcPr>
          <w:p w14:paraId="7EE07B78" w14:textId="77777777" w:rsidR="002A4DDF" w:rsidRPr="00937C8B" w:rsidRDefault="002A4DDF" w:rsidP="009110ED">
            <w:pPr>
              <w:rPr>
                <w:rFonts w:ascii="Arial" w:hAnsi="Arial" w:cs="Arial"/>
                <w:sz w:val="12"/>
                <w:szCs w:val="12"/>
              </w:rPr>
            </w:pPr>
          </w:p>
        </w:tc>
        <w:tc>
          <w:tcPr>
            <w:tcW w:w="1843" w:type="dxa"/>
            <w:shd w:val="clear" w:color="auto" w:fill="auto"/>
          </w:tcPr>
          <w:p w14:paraId="04EDA27C" w14:textId="77777777" w:rsidR="002A4DDF" w:rsidRPr="00937C8B" w:rsidRDefault="002A4DDF" w:rsidP="009110ED">
            <w:pPr>
              <w:rPr>
                <w:rFonts w:ascii="Arial" w:hAnsi="Arial" w:cs="Arial"/>
                <w:sz w:val="12"/>
                <w:szCs w:val="12"/>
              </w:rPr>
            </w:pPr>
          </w:p>
        </w:tc>
        <w:tc>
          <w:tcPr>
            <w:tcW w:w="2268" w:type="dxa"/>
            <w:shd w:val="clear" w:color="auto" w:fill="F2F2F2"/>
            <w:hideMark/>
          </w:tcPr>
          <w:p w14:paraId="2B7F1423" w14:textId="77777777" w:rsidR="002A4DDF" w:rsidRPr="00937C8B" w:rsidRDefault="002A4DDF" w:rsidP="009110ED">
            <w:pPr>
              <w:rPr>
                <w:rFonts w:ascii="Arial" w:hAnsi="Arial" w:cs="Arial"/>
                <w:sz w:val="12"/>
                <w:szCs w:val="12"/>
              </w:rPr>
            </w:pPr>
            <w:r>
              <w:rPr>
                <w:rFonts w:ascii="Arial" w:hAnsi="Arial"/>
                <w:sz w:val="12"/>
                <w:szCs w:val="12"/>
              </w:rPr>
              <w:t>Rágama</w:t>
            </w:r>
          </w:p>
        </w:tc>
        <w:tc>
          <w:tcPr>
            <w:tcW w:w="2268" w:type="dxa"/>
            <w:tcBorders>
              <w:right w:val="single" w:sz="4" w:space="0" w:color="auto"/>
            </w:tcBorders>
            <w:shd w:val="clear" w:color="auto" w:fill="D9D9D9"/>
            <w:hideMark/>
          </w:tcPr>
          <w:p w14:paraId="4534592F" w14:textId="77777777" w:rsidR="002A4DDF" w:rsidRPr="00937C8B" w:rsidRDefault="002A4DDF" w:rsidP="009110ED">
            <w:pPr>
              <w:rPr>
                <w:rFonts w:ascii="Arial" w:hAnsi="Arial" w:cs="Arial"/>
                <w:sz w:val="12"/>
                <w:szCs w:val="12"/>
              </w:rPr>
            </w:pPr>
            <w:r>
              <w:rPr>
                <w:rFonts w:ascii="Arial" w:hAnsi="Arial"/>
                <w:sz w:val="12"/>
                <w:szCs w:val="12"/>
              </w:rPr>
              <w:t>La Bouza</w:t>
            </w:r>
          </w:p>
        </w:tc>
      </w:tr>
      <w:tr w:rsidR="002A4DDF" w:rsidRPr="00937C8B" w14:paraId="14496AE8" w14:textId="77777777" w:rsidTr="00935676">
        <w:trPr>
          <w:cantSplit/>
        </w:trPr>
        <w:tc>
          <w:tcPr>
            <w:tcW w:w="1696" w:type="dxa"/>
            <w:tcBorders>
              <w:left w:val="single" w:sz="4" w:space="0" w:color="auto"/>
            </w:tcBorders>
            <w:shd w:val="clear" w:color="auto" w:fill="auto"/>
          </w:tcPr>
          <w:p w14:paraId="45D77149" w14:textId="77777777" w:rsidR="002A4DDF" w:rsidRPr="00937C8B" w:rsidRDefault="002A4DDF" w:rsidP="009110ED">
            <w:pPr>
              <w:rPr>
                <w:rFonts w:ascii="Arial" w:hAnsi="Arial" w:cs="Arial"/>
                <w:sz w:val="12"/>
                <w:szCs w:val="12"/>
              </w:rPr>
            </w:pPr>
          </w:p>
        </w:tc>
        <w:tc>
          <w:tcPr>
            <w:tcW w:w="1843" w:type="dxa"/>
            <w:shd w:val="clear" w:color="auto" w:fill="auto"/>
          </w:tcPr>
          <w:p w14:paraId="7521E13F" w14:textId="77777777" w:rsidR="002A4DDF" w:rsidRPr="00937C8B" w:rsidRDefault="002A4DDF" w:rsidP="009110ED">
            <w:pPr>
              <w:rPr>
                <w:rFonts w:ascii="Arial" w:hAnsi="Arial" w:cs="Arial"/>
                <w:sz w:val="12"/>
                <w:szCs w:val="12"/>
              </w:rPr>
            </w:pPr>
          </w:p>
        </w:tc>
        <w:tc>
          <w:tcPr>
            <w:tcW w:w="2268" w:type="dxa"/>
            <w:shd w:val="clear" w:color="auto" w:fill="F2F2F2"/>
            <w:hideMark/>
          </w:tcPr>
          <w:p w14:paraId="2FCB2506" w14:textId="77777777" w:rsidR="002A4DDF" w:rsidRPr="00937C8B" w:rsidRDefault="002A4DDF" w:rsidP="009110ED">
            <w:pPr>
              <w:rPr>
                <w:rFonts w:ascii="Arial" w:hAnsi="Arial" w:cs="Arial"/>
                <w:sz w:val="12"/>
                <w:szCs w:val="12"/>
              </w:rPr>
            </w:pPr>
            <w:r>
              <w:rPr>
                <w:rFonts w:ascii="Arial" w:hAnsi="Arial"/>
                <w:sz w:val="12"/>
                <w:szCs w:val="12"/>
              </w:rPr>
              <w:t>Retortillo</w:t>
            </w:r>
          </w:p>
        </w:tc>
        <w:tc>
          <w:tcPr>
            <w:tcW w:w="2268" w:type="dxa"/>
            <w:tcBorders>
              <w:right w:val="single" w:sz="4" w:space="0" w:color="auto"/>
            </w:tcBorders>
            <w:shd w:val="clear" w:color="auto" w:fill="D9D9D9"/>
            <w:hideMark/>
          </w:tcPr>
          <w:p w14:paraId="1F5829D4" w14:textId="77777777" w:rsidR="002A4DDF" w:rsidRPr="00937C8B" w:rsidRDefault="002A4DDF" w:rsidP="009110ED">
            <w:pPr>
              <w:rPr>
                <w:rFonts w:ascii="Arial" w:hAnsi="Arial" w:cs="Arial"/>
                <w:sz w:val="12"/>
                <w:szCs w:val="12"/>
              </w:rPr>
            </w:pPr>
            <w:r>
              <w:rPr>
                <w:rFonts w:ascii="Arial" w:hAnsi="Arial"/>
                <w:sz w:val="12"/>
                <w:szCs w:val="12"/>
              </w:rPr>
              <w:t>La Cabeza de Béjar</w:t>
            </w:r>
          </w:p>
        </w:tc>
      </w:tr>
      <w:tr w:rsidR="002A4DDF" w:rsidRPr="00937C8B" w14:paraId="2F14D2E8" w14:textId="77777777" w:rsidTr="00935676">
        <w:trPr>
          <w:cantSplit/>
        </w:trPr>
        <w:tc>
          <w:tcPr>
            <w:tcW w:w="1696" w:type="dxa"/>
            <w:tcBorders>
              <w:left w:val="single" w:sz="4" w:space="0" w:color="auto"/>
            </w:tcBorders>
            <w:shd w:val="clear" w:color="auto" w:fill="auto"/>
          </w:tcPr>
          <w:p w14:paraId="5F97054B" w14:textId="77777777" w:rsidR="002A4DDF" w:rsidRPr="00937C8B" w:rsidRDefault="002A4DDF" w:rsidP="009110ED">
            <w:pPr>
              <w:rPr>
                <w:rFonts w:ascii="Arial" w:hAnsi="Arial" w:cs="Arial"/>
                <w:sz w:val="12"/>
                <w:szCs w:val="12"/>
              </w:rPr>
            </w:pPr>
          </w:p>
        </w:tc>
        <w:tc>
          <w:tcPr>
            <w:tcW w:w="1843" w:type="dxa"/>
            <w:shd w:val="clear" w:color="auto" w:fill="auto"/>
          </w:tcPr>
          <w:p w14:paraId="3FB3053C" w14:textId="77777777" w:rsidR="002A4DDF" w:rsidRPr="00937C8B" w:rsidRDefault="002A4DDF" w:rsidP="009110ED">
            <w:pPr>
              <w:rPr>
                <w:rFonts w:ascii="Arial" w:hAnsi="Arial" w:cs="Arial"/>
                <w:sz w:val="12"/>
                <w:szCs w:val="12"/>
              </w:rPr>
            </w:pPr>
          </w:p>
        </w:tc>
        <w:tc>
          <w:tcPr>
            <w:tcW w:w="2268" w:type="dxa"/>
            <w:shd w:val="clear" w:color="auto" w:fill="F2F2F2"/>
            <w:hideMark/>
          </w:tcPr>
          <w:p w14:paraId="51DC935B" w14:textId="77777777" w:rsidR="002A4DDF" w:rsidRPr="00937C8B" w:rsidRDefault="002A4DDF" w:rsidP="009110ED">
            <w:pPr>
              <w:rPr>
                <w:rFonts w:ascii="Arial" w:hAnsi="Arial" w:cs="Arial"/>
                <w:sz w:val="12"/>
                <w:szCs w:val="12"/>
              </w:rPr>
            </w:pPr>
            <w:r>
              <w:rPr>
                <w:rFonts w:ascii="Arial" w:hAnsi="Arial"/>
                <w:sz w:val="12"/>
                <w:szCs w:val="12"/>
              </w:rPr>
              <w:t>Robliza de Cojos</w:t>
            </w:r>
          </w:p>
        </w:tc>
        <w:tc>
          <w:tcPr>
            <w:tcW w:w="2268" w:type="dxa"/>
            <w:tcBorders>
              <w:right w:val="single" w:sz="4" w:space="0" w:color="auto"/>
            </w:tcBorders>
            <w:shd w:val="clear" w:color="auto" w:fill="D9D9D9"/>
            <w:hideMark/>
          </w:tcPr>
          <w:p w14:paraId="160DEB9E" w14:textId="77777777" w:rsidR="002A4DDF" w:rsidRPr="00937C8B" w:rsidRDefault="002A4DDF" w:rsidP="009110ED">
            <w:pPr>
              <w:rPr>
                <w:rFonts w:ascii="Arial" w:hAnsi="Arial" w:cs="Arial"/>
                <w:sz w:val="12"/>
                <w:szCs w:val="12"/>
              </w:rPr>
            </w:pPr>
            <w:r>
              <w:rPr>
                <w:rFonts w:ascii="Arial" w:hAnsi="Arial"/>
                <w:sz w:val="12"/>
                <w:szCs w:val="12"/>
              </w:rPr>
              <w:t>La Calzada de Béjar</w:t>
            </w:r>
          </w:p>
        </w:tc>
      </w:tr>
      <w:tr w:rsidR="002A4DDF" w:rsidRPr="00937C8B" w14:paraId="5030799D" w14:textId="77777777" w:rsidTr="00935676">
        <w:trPr>
          <w:cantSplit/>
        </w:trPr>
        <w:tc>
          <w:tcPr>
            <w:tcW w:w="1696" w:type="dxa"/>
            <w:tcBorders>
              <w:left w:val="single" w:sz="4" w:space="0" w:color="auto"/>
            </w:tcBorders>
            <w:shd w:val="clear" w:color="auto" w:fill="auto"/>
          </w:tcPr>
          <w:p w14:paraId="4CEBE533" w14:textId="77777777" w:rsidR="002A4DDF" w:rsidRPr="00937C8B" w:rsidRDefault="002A4DDF" w:rsidP="009110ED">
            <w:pPr>
              <w:rPr>
                <w:rFonts w:ascii="Arial" w:hAnsi="Arial" w:cs="Arial"/>
                <w:sz w:val="12"/>
                <w:szCs w:val="12"/>
              </w:rPr>
            </w:pPr>
          </w:p>
        </w:tc>
        <w:tc>
          <w:tcPr>
            <w:tcW w:w="1843" w:type="dxa"/>
            <w:shd w:val="clear" w:color="auto" w:fill="auto"/>
          </w:tcPr>
          <w:p w14:paraId="10C4A3FB" w14:textId="77777777" w:rsidR="002A4DDF" w:rsidRPr="00937C8B" w:rsidRDefault="002A4DDF" w:rsidP="009110ED">
            <w:pPr>
              <w:rPr>
                <w:rFonts w:ascii="Arial" w:hAnsi="Arial" w:cs="Arial"/>
                <w:sz w:val="12"/>
                <w:szCs w:val="12"/>
              </w:rPr>
            </w:pPr>
          </w:p>
        </w:tc>
        <w:tc>
          <w:tcPr>
            <w:tcW w:w="2268" w:type="dxa"/>
            <w:shd w:val="clear" w:color="auto" w:fill="F2F2F2"/>
            <w:hideMark/>
          </w:tcPr>
          <w:p w14:paraId="62D38E7A" w14:textId="77777777" w:rsidR="002A4DDF" w:rsidRPr="00937C8B" w:rsidRDefault="002A4DDF" w:rsidP="009110ED">
            <w:pPr>
              <w:rPr>
                <w:rFonts w:ascii="Arial" w:hAnsi="Arial" w:cs="Arial"/>
                <w:sz w:val="12"/>
                <w:szCs w:val="12"/>
              </w:rPr>
            </w:pPr>
            <w:r>
              <w:rPr>
                <w:rFonts w:ascii="Arial" w:hAnsi="Arial"/>
                <w:sz w:val="12"/>
                <w:szCs w:val="12"/>
              </w:rPr>
              <w:t>Rollán</w:t>
            </w:r>
          </w:p>
        </w:tc>
        <w:tc>
          <w:tcPr>
            <w:tcW w:w="2268" w:type="dxa"/>
            <w:tcBorders>
              <w:right w:val="single" w:sz="4" w:space="0" w:color="auto"/>
            </w:tcBorders>
            <w:shd w:val="clear" w:color="auto" w:fill="D9D9D9"/>
            <w:hideMark/>
          </w:tcPr>
          <w:p w14:paraId="690DC44C" w14:textId="77777777" w:rsidR="002A4DDF" w:rsidRPr="00937C8B" w:rsidRDefault="002A4DDF" w:rsidP="009110ED">
            <w:pPr>
              <w:rPr>
                <w:rFonts w:ascii="Arial" w:hAnsi="Arial" w:cs="Arial"/>
                <w:sz w:val="12"/>
                <w:szCs w:val="12"/>
              </w:rPr>
            </w:pPr>
            <w:r>
              <w:rPr>
                <w:rFonts w:ascii="Arial" w:hAnsi="Arial"/>
                <w:sz w:val="12"/>
                <w:szCs w:val="12"/>
              </w:rPr>
              <w:t>La Encina</w:t>
            </w:r>
          </w:p>
        </w:tc>
      </w:tr>
      <w:tr w:rsidR="002A4DDF" w:rsidRPr="00937C8B" w14:paraId="2CC6C10E" w14:textId="77777777" w:rsidTr="00935676">
        <w:trPr>
          <w:cantSplit/>
        </w:trPr>
        <w:tc>
          <w:tcPr>
            <w:tcW w:w="1696" w:type="dxa"/>
            <w:tcBorders>
              <w:left w:val="single" w:sz="4" w:space="0" w:color="auto"/>
            </w:tcBorders>
            <w:shd w:val="clear" w:color="auto" w:fill="auto"/>
          </w:tcPr>
          <w:p w14:paraId="6EB66C5A" w14:textId="77777777" w:rsidR="002A4DDF" w:rsidRPr="00937C8B" w:rsidRDefault="002A4DDF" w:rsidP="009110ED">
            <w:pPr>
              <w:rPr>
                <w:rFonts w:ascii="Arial" w:hAnsi="Arial" w:cs="Arial"/>
                <w:sz w:val="12"/>
                <w:szCs w:val="12"/>
              </w:rPr>
            </w:pPr>
          </w:p>
        </w:tc>
        <w:tc>
          <w:tcPr>
            <w:tcW w:w="1843" w:type="dxa"/>
            <w:shd w:val="clear" w:color="auto" w:fill="auto"/>
          </w:tcPr>
          <w:p w14:paraId="67679D3F" w14:textId="77777777" w:rsidR="002A4DDF" w:rsidRPr="00937C8B" w:rsidRDefault="002A4DDF" w:rsidP="009110ED">
            <w:pPr>
              <w:rPr>
                <w:rFonts w:ascii="Arial" w:hAnsi="Arial" w:cs="Arial"/>
                <w:sz w:val="12"/>
                <w:szCs w:val="12"/>
              </w:rPr>
            </w:pPr>
          </w:p>
        </w:tc>
        <w:tc>
          <w:tcPr>
            <w:tcW w:w="2268" w:type="dxa"/>
            <w:shd w:val="clear" w:color="auto" w:fill="F2F2F2"/>
            <w:hideMark/>
          </w:tcPr>
          <w:p w14:paraId="0D08711A" w14:textId="77777777" w:rsidR="002A4DDF" w:rsidRPr="00937C8B" w:rsidRDefault="002A4DDF" w:rsidP="009110ED">
            <w:pPr>
              <w:rPr>
                <w:rFonts w:ascii="Arial" w:hAnsi="Arial" w:cs="Arial"/>
                <w:sz w:val="12"/>
                <w:szCs w:val="12"/>
              </w:rPr>
            </w:pPr>
            <w:r>
              <w:rPr>
                <w:rFonts w:ascii="Arial" w:hAnsi="Arial"/>
                <w:sz w:val="12"/>
                <w:szCs w:val="12"/>
              </w:rPr>
              <w:t>Salmoral</w:t>
            </w:r>
          </w:p>
        </w:tc>
        <w:tc>
          <w:tcPr>
            <w:tcW w:w="2268" w:type="dxa"/>
            <w:tcBorders>
              <w:right w:val="single" w:sz="4" w:space="0" w:color="auto"/>
            </w:tcBorders>
            <w:shd w:val="clear" w:color="auto" w:fill="D9D9D9"/>
            <w:hideMark/>
          </w:tcPr>
          <w:p w14:paraId="17E7A58D" w14:textId="77777777" w:rsidR="002A4DDF" w:rsidRPr="00937C8B" w:rsidRDefault="002A4DDF" w:rsidP="009110ED">
            <w:pPr>
              <w:rPr>
                <w:rFonts w:ascii="Arial" w:hAnsi="Arial" w:cs="Arial"/>
                <w:sz w:val="12"/>
                <w:szCs w:val="12"/>
              </w:rPr>
            </w:pPr>
            <w:r>
              <w:rPr>
                <w:rFonts w:ascii="Arial" w:hAnsi="Arial"/>
                <w:sz w:val="12"/>
                <w:szCs w:val="12"/>
              </w:rPr>
              <w:t>La Fregeneda</w:t>
            </w:r>
          </w:p>
        </w:tc>
      </w:tr>
      <w:tr w:rsidR="002A4DDF" w:rsidRPr="00937C8B" w14:paraId="14763B86" w14:textId="77777777" w:rsidTr="00935676">
        <w:trPr>
          <w:cantSplit/>
        </w:trPr>
        <w:tc>
          <w:tcPr>
            <w:tcW w:w="1696" w:type="dxa"/>
            <w:tcBorders>
              <w:left w:val="single" w:sz="4" w:space="0" w:color="auto"/>
            </w:tcBorders>
            <w:shd w:val="clear" w:color="auto" w:fill="auto"/>
          </w:tcPr>
          <w:p w14:paraId="5FE8FDB7" w14:textId="77777777" w:rsidR="002A4DDF" w:rsidRPr="00937C8B" w:rsidRDefault="002A4DDF" w:rsidP="009110ED">
            <w:pPr>
              <w:rPr>
                <w:rFonts w:ascii="Arial" w:hAnsi="Arial" w:cs="Arial"/>
                <w:sz w:val="12"/>
                <w:szCs w:val="12"/>
              </w:rPr>
            </w:pPr>
          </w:p>
        </w:tc>
        <w:tc>
          <w:tcPr>
            <w:tcW w:w="1843" w:type="dxa"/>
            <w:shd w:val="clear" w:color="auto" w:fill="auto"/>
          </w:tcPr>
          <w:p w14:paraId="085A4833" w14:textId="77777777" w:rsidR="002A4DDF" w:rsidRPr="00937C8B" w:rsidRDefault="002A4DDF" w:rsidP="009110ED">
            <w:pPr>
              <w:rPr>
                <w:rFonts w:ascii="Arial" w:hAnsi="Arial" w:cs="Arial"/>
                <w:sz w:val="12"/>
                <w:szCs w:val="12"/>
              </w:rPr>
            </w:pPr>
          </w:p>
        </w:tc>
        <w:tc>
          <w:tcPr>
            <w:tcW w:w="2268" w:type="dxa"/>
            <w:shd w:val="clear" w:color="auto" w:fill="F2F2F2"/>
            <w:hideMark/>
          </w:tcPr>
          <w:p w14:paraId="0A908387" w14:textId="77777777" w:rsidR="002A4DDF" w:rsidRPr="00937C8B" w:rsidRDefault="002A4DDF" w:rsidP="009110ED">
            <w:pPr>
              <w:rPr>
                <w:rFonts w:ascii="Arial" w:hAnsi="Arial" w:cs="Arial"/>
                <w:sz w:val="12"/>
                <w:szCs w:val="12"/>
              </w:rPr>
            </w:pPr>
            <w:r>
              <w:rPr>
                <w:rFonts w:ascii="Arial" w:hAnsi="Arial"/>
                <w:sz w:val="12"/>
                <w:szCs w:val="12"/>
              </w:rPr>
              <w:t>San Cristóbal de la Cuesta</w:t>
            </w:r>
          </w:p>
        </w:tc>
        <w:tc>
          <w:tcPr>
            <w:tcW w:w="2268" w:type="dxa"/>
            <w:tcBorders>
              <w:right w:val="single" w:sz="4" w:space="0" w:color="auto"/>
            </w:tcBorders>
            <w:shd w:val="clear" w:color="auto" w:fill="D9D9D9"/>
            <w:hideMark/>
          </w:tcPr>
          <w:p w14:paraId="651291F4" w14:textId="77777777" w:rsidR="002A4DDF" w:rsidRPr="00937C8B" w:rsidRDefault="002A4DDF" w:rsidP="009110ED">
            <w:pPr>
              <w:rPr>
                <w:rFonts w:ascii="Arial" w:hAnsi="Arial" w:cs="Arial"/>
                <w:sz w:val="12"/>
                <w:szCs w:val="12"/>
              </w:rPr>
            </w:pPr>
            <w:r>
              <w:rPr>
                <w:rFonts w:ascii="Arial" w:hAnsi="Arial"/>
                <w:sz w:val="12"/>
                <w:szCs w:val="12"/>
              </w:rPr>
              <w:t>La Fuente de San Esteban</w:t>
            </w:r>
          </w:p>
        </w:tc>
      </w:tr>
      <w:tr w:rsidR="002A4DDF" w:rsidRPr="00937C8B" w14:paraId="40ABBBE0" w14:textId="77777777" w:rsidTr="00935676">
        <w:trPr>
          <w:cantSplit/>
        </w:trPr>
        <w:tc>
          <w:tcPr>
            <w:tcW w:w="1696" w:type="dxa"/>
            <w:tcBorders>
              <w:left w:val="single" w:sz="4" w:space="0" w:color="auto"/>
            </w:tcBorders>
            <w:shd w:val="clear" w:color="auto" w:fill="auto"/>
          </w:tcPr>
          <w:p w14:paraId="16D63D27" w14:textId="77777777" w:rsidR="002A4DDF" w:rsidRPr="00937C8B" w:rsidRDefault="002A4DDF" w:rsidP="009110ED">
            <w:pPr>
              <w:rPr>
                <w:rFonts w:ascii="Arial" w:hAnsi="Arial" w:cs="Arial"/>
                <w:sz w:val="12"/>
                <w:szCs w:val="12"/>
              </w:rPr>
            </w:pPr>
          </w:p>
        </w:tc>
        <w:tc>
          <w:tcPr>
            <w:tcW w:w="1843" w:type="dxa"/>
            <w:shd w:val="clear" w:color="auto" w:fill="auto"/>
          </w:tcPr>
          <w:p w14:paraId="33F4C0DC" w14:textId="77777777" w:rsidR="002A4DDF" w:rsidRPr="00937C8B" w:rsidRDefault="002A4DDF" w:rsidP="009110ED">
            <w:pPr>
              <w:rPr>
                <w:rFonts w:ascii="Arial" w:hAnsi="Arial" w:cs="Arial"/>
                <w:sz w:val="12"/>
                <w:szCs w:val="12"/>
              </w:rPr>
            </w:pPr>
          </w:p>
        </w:tc>
        <w:tc>
          <w:tcPr>
            <w:tcW w:w="2268" w:type="dxa"/>
            <w:shd w:val="clear" w:color="auto" w:fill="F2F2F2"/>
            <w:hideMark/>
          </w:tcPr>
          <w:p w14:paraId="4F977A88" w14:textId="77777777" w:rsidR="002A4DDF" w:rsidRPr="00937C8B" w:rsidRDefault="002A4DDF" w:rsidP="009110ED">
            <w:pPr>
              <w:rPr>
                <w:rFonts w:ascii="Arial" w:hAnsi="Arial" w:cs="Arial"/>
                <w:sz w:val="12"/>
                <w:szCs w:val="12"/>
              </w:rPr>
            </w:pPr>
            <w:r>
              <w:rPr>
                <w:rFonts w:ascii="Arial" w:hAnsi="Arial"/>
                <w:sz w:val="12"/>
                <w:szCs w:val="12"/>
              </w:rPr>
              <w:t>San Morales</w:t>
            </w:r>
          </w:p>
        </w:tc>
        <w:tc>
          <w:tcPr>
            <w:tcW w:w="2268" w:type="dxa"/>
            <w:tcBorders>
              <w:right w:val="single" w:sz="4" w:space="0" w:color="auto"/>
            </w:tcBorders>
            <w:shd w:val="clear" w:color="auto" w:fill="D9D9D9"/>
            <w:hideMark/>
          </w:tcPr>
          <w:p w14:paraId="01449F9B" w14:textId="77777777" w:rsidR="002A4DDF" w:rsidRPr="00937C8B" w:rsidRDefault="002A4DDF" w:rsidP="009110ED">
            <w:pPr>
              <w:rPr>
                <w:rFonts w:ascii="Arial" w:hAnsi="Arial" w:cs="Arial"/>
                <w:sz w:val="12"/>
                <w:szCs w:val="12"/>
              </w:rPr>
            </w:pPr>
            <w:r>
              <w:rPr>
                <w:rFonts w:ascii="Arial" w:hAnsi="Arial"/>
                <w:sz w:val="12"/>
                <w:szCs w:val="12"/>
              </w:rPr>
              <w:t>La Hoya</w:t>
            </w:r>
          </w:p>
        </w:tc>
      </w:tr>
      <w:tr w:rsidR="002A4DDF" w:rsidRPr="00937C8B" w14:paraId="577DB822" w14:textId="77777777" w:rsidTr="00935676">
        <w:trPr>
          <w:cantSplit/>
        </w:trPr>
        <w:tc>
          <w:tcPr>
            <w:tcW w:w="1696" w:type="dxa"/>
            <w:tcBorders>
              <w:left w:val="single" w:sz="4" w:space="0" w:color="auto"/>
            </w:tcBorders>
            <w:shd w:val="clear" w:color="auto" w:fill="auto"/>
          </w:tcPr>
          <w:p w14:paraId="17534D8E" w14:textId="77777777" w:rsidR="002A4DDF" w:rsidRPr="00937C8B" w:rsidRDefault="002A4DDF" w:rsidP="009110ED">
            <w:pPr>
              <w:rPr>
                <w:rFonts w:ascii="Arial" w:hAnsi="Arial" w:cs="Arial"/>
                <w:sz w:val="12"/>
                <w:szCs w:val="12"/>
              </w:rPr>
            </w:pPr>
          </w:p>
        </w:tc>
        <w:tc>
          <w:tcPr>
            <w:tcW w:w="1843" w:type="dxa"/>
            <w:shd w:val="clear" w:color="auto" w:fill="auto"/>
          </w:tcPr>
          <w:p w14:paraId="71D302F8" w14:textId="77777777" w:rsidR="002A4DDF" w:rsidRPr="00937C8B" w:rsidRDefault="002A4DDF" w:rsidP="009110ED">
            <w:pPr>
              <w:rPr>
                <w:rFonts w:ascii="Arial" w:hAnsi="Arial" w:cs="Arial"/>
                <w:sz w:val="12"/>
                <w:szCs w:val="12"/>
              </w:rPr>
            </w:pPr>
          </w:p>
        </w:tc>
        <w:tc>
          <w:tcPr>
            <w:tcW w:w="2268" w:type="dxa"/>
            <w:shd w:val="clear" w:color="auto" w:fill="F2F2F2"/>
            <w:hideMark/>
          </w:tcPr>
          <w:p w14:paraId="4725E1C0" w14:textId="77777777" w:rsidR="002A4DDF" w:rsidRPr="00937C8B" w:rsidRDefault="002A4DDF" w:rsidP="009110ED">
            <w:pPr>
              <w:rPr>
                <w:rFonts w:ascii="Arial" w:hAnsi="Arial" w:cs="Arial"/>
                <w:sz w:val="12"/>
                <w:szCs w:val="12"/>
              </w:rPr>
            </w:pPr>
            <w:r>
              <w:rPr>
                <w:rFonts w:ascii="Arial" w:hAnsi="Arial"/>
                <w:sz w:val="12"/>
                <w:szCs w:val="12"/>
              </w:rPr>
              <w:t>Santa Marta de Tormes</w:t>
            </w:r>
          </w:p>
        </w:tc>
        <w:tc>
          <w:tcPr>
            <w:tcW w:w="2268" w:type="dxa"/>
            <w:tcBorders>
              <w:right w:val="single" w:sz="4" w:space="0" w:color="auto"/>
            </w:tcBorders>
            <w:shd w:val="clear" w:color="auto" w:fill="D9D9D9"/>
            <w:hideMark/>
          </w:tcPr>
          <w:p w14:paraId="13524DC2" w14:textId="77777777" w:rsidR="002A4DDF" w:rsidRPr="00937C8B" w:rsidRDefault="002A4DDF" w:rsidP="009110ED">
            <w:pPr>
              <w:rPr>
                <w:rFonts w:ascii="Arial" w:hAnsi="Arial" w:cs="Arial"/>
                <w:sz w:val="12"/>
                <w:szCs w:val="12"/>
              </w:rPr>
            </w:pPr>
            <w:r>
              <w:rPr>
                <w:rFonts w:ascii="Arial" w:hAnsi="Arial"/>
                <w:sz w:val="12"/>
                <w:szCs w:val="12"/>
              </w:rPr>
              <w:t>La Mata de Ledesma</w:t>
            </w:r>
          </w:p>
        </w:tc>
      </w:tr>
      <w:tr w:rsidR="002A4DDF" w:rsidRPr="00937C8B" w14:paraId="367F2469" w14:textId="77777777" w:rsidTr="00935676">
        <w:trPr>
          <w:cantSplit/>
        </w:trPr>
        <w:tc>
          <w:tcPr>
            <w:tcW w:w="1696" w:type="dxa"/>
            <w:tcBorders>
              <w:left w:val="single" w:sz="4" w:space="0" w:color="auto"/>
            </w:tcBorders>
            <w:shd w:val="clear" w:color="auto" w:fill="auto"/>
          </w:tcPr>
          <w:p w14:paraId="0D0DD416" w14:textId="77777777" w:rsidR="002A4DDF" w:rsidRPr="00937C8B" w:rsidRDefault="002A4DDF" w:rsidP="009110ED">
            <w:pPr>
              <w:rPr>
                <w:rFonts w:ascii="Arial" w:hAnsi="Arial" w:cs="Arial"/>
                <w:sz w:val="12"/>
                <w:szCs w:val="12"/>
              </w:rPr>
            </w:pPr>
          </w:p>
        </w:tc>
        <w:tc>
          <w:tcPr>
            <w:tcW w:w="1843" w:type="dxa"/>
            <w:shd w:val="clear" w:color="auto" w:fill="auto"/>
          </w:tcPr>
          <w:p w14:paraId="668DFA66" w14:textId="77777777" w:rsidR="002A4DDF" w:rsidRPr="00937C8B" w:rsidRDefault="002A4DDF" w:rsidP="009110ED">
            <w:pPr>
              <w:rPr>
                <w:rFonts w:ascii="Arial" w:hAnsi="Arial" w:cs="Arial"/>
                <w:sz w:val="12"/>
                <w:szCs w:val="12"/>
              </w:rPr>
            </w:pPr>
          </w:p>
        </w:tc>
        <w:tc>
          <w:tcPr>
            <w:tcW w:w="2268" w:type="dxa"/>
            <w:shd w:val="clear" w:color="auto" w:fill="F2F2F2"/>
            <w:hideMark/>
          </w:tcPr>
          <w:p w14:paraId="6FCC13E9" w14:textId="77777777" w:rsidR="002A4DDF" w:rsidRPr="00937C8B" w:rsidRDefault="002A4DDF" w:rsidP="009110ED">
            <w:pPr>
              <w:rPr>
                <w:rFonts w:ascii="Arial" w:hAnsi="Arial" w:cs="Arial"/>
                <w:sz w:val="12"/>
                <w:szCs w:val="12"/>
              </w:rPr>
            </w:pPr>
            <w:r>
              <w:rPr>
                <w:rFonts w:ascii="Arial" w:hAnsi="Arial"/>
                <w:sz w:val="12"/>
                <w:szCs w:val="12"/>
              </w:rPr>
              <w:t>Santiago de la Puebla</w:t>
            </w:r>
          </w:p>
        </w:tc>
        <w:tc>
          <w:tcPr>
            <w:tcW w:w="2268" w:type="dxa"/>
            <w:tcBorders>
              <w:right w:val="single" w:sz="4" w:space="0" w:color="auto"/>
            </w:tcBorders>
            <w:shd w:val="clear" w:color="auto" w:fill="D9D9D9"/>
            <w:hideMark/>
          </w:tcPr>
          <w:p w14:paraId="0324D154" w14:textId="77777777" w:rsidR="002A4DDF" w:rsidRPr="00937C8B" w:rsidRDefault="002A4DDF" w:rsidP="009110ED">
            <w:pPr>
              <w:rPr>
                <w:rFonts w:ascii="Arial" w:hAnsi="Arial" w:cs="Arial"/>
                <w:sz w:val="12"/>
                <w:szCs w:val="12"/>
              </w:rPr>
            </w:pPr>
            <w:r>
              <w:rPr>
                <w:rFonts w:ascii="Arial" w:hAnsi="Arial"/>
                <w:sz w:val="12"/>
                <w:szCs w:val="12"/>
              </w:rPr>
              <w:t>La Peña</w:t>
            </w:r>
          </w:p>
        </w:tc>
      </w:tr>
      <w:tr w:rsidR="002A4DDF" w:rsidRPr="00937C8B" w14:paraId="6D9BC39A" w14:textId="77777777" w:rsidTr="00935676">
        <w:trPr>
          <w:cantSplit/>
        </w:trPr>
        <w:tc>
          <w:tcPr>
            <w:tcW w:w="1696" w:type="dxa"/>
            <w:tcBorders>
              <w:left w:val="single" w:sz="4" w:space="0" w:color="auto"/>
            </w:tcBorders>
            <w:shd w:val="clear" w:color="auto" w:fill="auto"/>
          </w:tcPr>
          <w:p w14:paraId="46A4A005" w14:textId="77777777" w:rsidR="002A4DDF" w:rsidRPr="00937C8B" w:rsidRDefault="002A4DDF" w:rsidP="009110ED">
            <w:pPr>
              <w:rPr>
                <w:rFonts w:ascii="Arial" w:hAnsi="Arial" w:cs="Arial"/>
                <w:sz w:val="12"/>
                <w:szCs w:val="12"/>
              </w:rPr>
            </w:pPr>
          </w:p>
        </w:tc>
        <w:tc>
          <w:tcPr>
            <w:tcW w:w="1843" w:type="dxa"/>
            <w:shd w:val="clear" w:color="auto" w:fill="auto"/>
          </w:tcPr>
          <w:p w14:paraId="349BC26C" w14:textId="77777777" w:rsidR="002A4DDF" w:rsidRPr="00937C8B" w:rsidRDefault="002A4DDF" w:rsidP="009110ED">
            <w:pPr>
              <w:rPr>
                <w:rFonts w:ascii="Arial" w:hAnsi="Arial" w:cs="Arial"/>
                <w:sz w:val="12"/>
                <w:szCs w:val="12"/>
              </w:rPr>
            </w:pPr>
          </w:p>
        </w:tc>
        <w:tc>
          <w:tcPr>
            <w:tcW w:w="2268" w:type="dxa"/>
            <w:shd w:val="clear" w:color="auto" w:fill="F2F2F2"/>
            <w:hideMark/>
          </w:tcPr>
          <w:p w14:paraId="567E8492" w14:textId="77777777" w:rsidR="002A4DDF" w:rsidRPr="00937C8B" w:rsidRDefault="002A4DDF" w:rsidP="009110ED">
            <w:pPr>
              <w:rPr>
                <w:rFonts w:ascii="Arial" w:hAnsi="Arial" w:cs="Arial"/>
                <w:sz w:val="12"/>
                <w:szCs w:val="12"/>
              </w:rPr>
            </w:pPr>
            <w:r>
              <w:rPr>
                <w:rFonts w:ascii="Arial" w:hAnsi="Arial"/>
                <w:sz w:val="12"/>
                <w:szCs w:val="12"/>
              </w:rPr>
              <w:t>Santiz</w:t>
            </w:r>
          </w:p>
        </w:tc>
        <w:tc>
          <w:tcPr>
            <w:tcW w:w="2268" w:type="dxa"/>
            <w:tcBorders>
              <w:right w:val="single" w:sz="4" w:space="0" w:color="auto"/>
            </w:tcBorders>
            <w:shd w:val="clear" w:color="auto" w:fill="D9D9D9"/>
            <w:hideMark/>
          </w:tcPr>
          <w:p w14:paraId="4EB0BEFD" w14:textId="77777777" w:rsidR="002A4DDF" w:rsidRPr="00937C8B" w:rsidRDefault="002A4DDF" w:rsidP="009110ED">
            <w:pPr>
              <w:rPr>
                <w:rFonts w:ascii="Arial" w:hAnsi="Arial" w:cs="Arial"/>
                <w:sz w:val="12"/>
                <w:szCs w:val="12"/>
              </w:rPr>
            </w:pPr>
            <w:r>
              <w:rPr>
                <w:rFonts w:ascii="Arial" w:hAnsi="Arial"/>
                <w:sz w:val="12"/>
                <w:szCs w:val="12"/>
              </w:rPr>
              <w:t>La Redonda</w:t>
            </w:r>
          </w:p>
        </w:tc>
      </w:tr>
      <w:tr w:rsidR="002A4DDF" w:rsidRPr="00937C8B" w14:paraId="6E7D4D6D" w14:textId="77777777" w:rsidTr="00935676">
        <w:trPr>
          <w:cantSplit/>
        </w:trPr>
        <w:tc>
          <w:tcPr>
            <w:tcW w:w="1696" w:type="dxa"/>
            <w:tcBorders>
              <w:left w:val="single" w:sz="4" w:space="0" w:color="auto"/>
            </w:tcBorders>
            <w:shd w:val="clear" w:color="auto" w:fill="auto"/>
          </w:tcPr>
          <w:p w14:paraId="0BABE708" w14:textId="77777777" w:rsidR="002A4DDF" w:rsidRPr="00937C8B" w:rsidRDefault="002A4DDF" w:rsidP="009110ED">
            <w:pPr>
              <w:rPr>
                <w:rFonts w:ascii="Arial" w:hAnsi="Arial" w:cs="Arial"/>
                <w:sz w:val="12"/>
                <w:szCs w:val="12"/>
              </w:rPr>
            </w:pPr>
          </w:p>
        </w:tc>
        <w:tc>
          <w:tcPr>
            <w:tcW w:w="1843" w:type="dxa"/>
            <w:shd w:val="clear" w:color="auto" w:fill="auto"/>
          </w:tcPr>
          <w:p w14:paraId="5CCAC997" w14:textId="77777777" w:rsidR="002A4DDF" w:rsidRPr="00937C8B" w:rsidRDefault="002A4DDF" w:rsidP="009110ED">
            <w:pPr>
              <w:rPr>
                <w:rFonts w:ascii="Arial" w:hAnsi="Arial" w:cs="Arial"/>
                <w:sz w:val="12"/>
                <w:szCs w:val="12"/>
              </w:rPr>
            </w:pPr>
          </w:p>
        </w:tc>
        <w:tc>
          <w:tcPr>
            <w:tcW w:w="2268" w:type="dxa"/>
            <w:shd w:val="clear" w:color="auto" w:fill="F2F2F2"/>
            <w:hideMark/>
          </w:tcPr>
          <w:p w14:paraId="6AA47BB9" w14:textId="77777777" w:rsidR="002A4DDF" w:rsidRPr="00937C8B" w:rsidRDefault="002A4DDF" w:rsidP="009110ED">
            <w:pPr>
              <w:rPr>
                <w:rFonts w:ascii="Arial" w:hAnsi="Arial" w:cs="Arial"/>
                <w:sz w:val="12"/>
                <w:szCs w:val="12"/>
              </w:rPr>
            </w:pPr>
            <w:r>
              <w:rPr>
                <w:rFonts w:ascii="Arial" w:hAnsi="Arial"/>
                <w:sz w:val="12"/>
                <w:szCs w:val="12"/>
              </w:rPr>
              <w:t>Sepulcro-Hilario</w:t>
            </w:r>
          </w:p>
        </w:tc>
        <w:tc>
          <w:tcPr>
            <w:tcW w:w="2268" w:type="dxa"/>
            <w:tcBorders>
              <w:right w:val="single" w:sz="4" w:space="0" w:color="auto"/>
            </w:tcBorders>
            <w:shd w:val="clear" w:color="auto" w:fill="D9D9D9"/>
            <w:hideMark/>
          </w:tcPr>
          <w:p w14:paraId="432B4831" w14:textId="77777777" w:rsidR="002A4DDF" w:rsidRPr="00937C8B" w:rsidRDefault="002A4DDF" w:rsidP="009110ED">
            <w:pPr>
              <w:rPr>
                <w:rFonts w:ascii="Arial" w:hAnsi="Arial" w:cs="Arial"/>
                <w:sz w:val="12"/>
                <w:szCs w:val="12"/>
              </w:rPr>
            </w:pPr>
            <w:r>
              <w:rPr>
                <w:rFonts w:ascii="Arial" w:hAnsi="Arial"/>
                <w:sz w:val="12"/>
                <w:szCs w:val="12"/>
              </w:rPr>
              <w:t>La Rinconada de la Sierra</w:t>
            </w:r>
          </w:p>
        </w:tc>
      </w:tr>
      <w:tr w:rsidR="002A4DDF" w:rsidRPr="00937C8B" w14:paraId="30E9D807" w14:textId="77777777" w:rsidTr="00935676">
        <w:trPr>
          <w:cantSplit/>
        </w:trPr>
        <w:tc>
          <w:tcPr>
            <w:tcW w:w="1696" w:type="dxa"/>
            <w:tcBorders>
              <w:left w:val="single" w:sz="4" w:space="0" w:color="auto"/>
            </w:tcBorders>
            <w:shd w:val="clear" w:color="auto" w:fill="auto"/>
          </w:tcPr>
          <w:p w14:paraId="58102F54" w14:textId="77777777" w:rsidR="002A4DDF" w:rsidRPr="00937C8B" w:rsidRDefault="002A4DDF" w:rsidP="009110ED">
            <w:pPr>
              <w:rPr>
                <w:rFonts w:ascii="Arial" w:hAnsi="Arial" w:cs="Arial"/>
                <w:sz w:val="12"/>
                <w:szCs w:val="12"/>
              </w:rPr>
            </w:pPr>
          </w:p>
        </w:tc>
        <w:tc>
          <w:tcPr>
            <w:tcW w:w="1843" w:type="dxa"/>
            <w:shd w:val="clear" w:color="auto" w:fill="auto"/>
          </w:tcPr>
          <w:p w14:paraId="7FF49688" w14:textId="77777777" w:rsidR="002A4DDF" w:rsidRPr="00937C8B" w:rsidRDefault="002A4DDF" w:rsidP="009110ED">
            <w:pPr>
              <w:rPr>
                <w:rFonts w:ascii="Arial" w:hAnsi="Arial" w:cs="Arial"/>
                <w:sz w:val="12"/>
                <w:szCs w:val="12"/>
              </w:rPr>
            </w:pPr>
          </w:p>
        </w:tc>
        <w:tc>
          <w:tcPr>
            <w:tcW w:w="2268" w:type="dxa"/>
            <w:shd w:val="clear" w:color="auto" w:fill="F2F2F2"/>
            <w:hideMark/>
          </w:tcPr>
          <w:p w14:paraId="653FEA9F" w14:textId="77777777" w:rsidR="002A4DDF" w:rsidRPr="00937C8B" w:rsidRDefault="002A4DDF" w:rsidP="009110ED">
            <w:pPr>
              <w:rPr>
                <w:rFonts w:ascii="Arial" w:hAnsi="Arial" w:cs="Arial"/>
                <w:sz w:val="12"/>
                <w:szCs w:val="12"/>
              </w:rPr>
            </w:pPr>
            <w:r>
              <w:rPr>
                <w:rFonts w:ascii="Arial" w:hAnsi="Arial"/>
                <w:sz w:val="12"/>
                <w:szCs w:val="12"/>
              </w:rPr>
              <w:t>Sieteiglesias de Tormes</w:t>
            </w:r>
          </w:p>
        </w:tc>
        <w:tc>
          <w:tcPr>
            <w:tcW w:w="2268" w:type="dxa"/>
            <w:tcBorders>
              <w:right w:val="single" w:sz="4" w:space="0" w:color="auto"/>
            </w:tcBorders>
            <w:shd w:val="clear" w:color="auto" w:fill="D9D9D9"/>
            <w:hideMark/>
          </w:tcPr>
          <w:p w14:paraId="6018C27B" w14:textId="77777777" w:rsidR="002A4DDF" w:rsidRPr="00937C8B" w:rsidRDefault="002A4DDF" w:rsidP="009110ED">
            <w:pPr>
              <w:rPr>
                <w:rFonts w:ascii="Arial" w:hAnsi="Arial" w:cs="Arial"/>
                <w:sz w:val="12"/>
                <w:szCs w:val="12"/>
              </w:rPr>
            </w:pPr>
            <w:r>
              <w:rPr>
                <w:rFonts w:ascii="Arial" w:hAnsi="Arial"/>
                <w:sz w:val="12"/>
                <w:szCs w:val="12"/>
              </w:rPr>
              <w:t>La Sierpe</w:t>
            </w:r>
          </w:p>
        </w:tc>
      </w:tr>
      <w:tr w:rsidR="002A4DDF" w:rsidRPr="00937C8B" w14:paraId="38587535" w14:textId="77777777" w:rsidTr="00935676">
        <w:trPr>
          <w:cantSplit/>
        </w:trPr>
        <w:tc>
          <w:tcPr>
            <w:tcW w:w="1696" w:type="dxa"/>
            <w:tcBorders>
              <w:left w:val="single" w:sz="4" w:space="0" w:color="auto"/>
            </w:tcBorders>
            <w:shd w:val="clear" w:color="auto" w:fill="auto"/>
          </w:tcPr>
          <w:p w14:paraId="16115B3D" w14:textId="77777777" w:rsidR="002A4DDF" w:rsidRPr="00937C8B" w:rsidRDefault="002A4DDF" w:rsidP="009110ED">
            <w:pPr>
              <w:rPr>
                <w:rFonts w:ascii="Arial" w:hAnsi="Arial" w:cs="Arial"/>
                <w:sz w:val="12"/>
                <w:szCs w:val="12"/>
              </w:rPr>
            </w:pPr>
          </w:p>
        </w:tc>
        <w:tc>
          <w:tcPr>
            <w:tcW w:w="1843" w:type="dxa"/>
            <w:shd w:val="clear" w:color="auto" w:fill="auto"/>
          </w:tcPr>
          <w:p w14:paraId="32E5ECB5" w14:textId="77777777" w:rsidR="002A4DDF" w:rsidRPr="00937C8B" w:rsidRDefault="002A4DDF" w:rsidP="009110ED">
            <w:pPr>
              <w:rPr>
                <w:rFonts w:ascii="Arial" w:hAnsi="Arial" w:cs="Arial"/>
                <w:sz w:val="12"/>
                <w:szCs w:val="12"/>
              </w:rPr>
            </w:pPr>
          </w:p>
        </w:tc>
        <w:tc>
          <w:tcPr>
            <w:tcW w:w="2268" w:type="dxa"/>
            <w:shd w:val="clear" w:color="auto" w:fill="F2F2F2"/>
            <w:hideMark/>
          </w:tcPr>
          <w:p w14:paraId="39B6A269" w14:textId="77777777" w:rsidR="002A4DDF" w:rsidRPr="00937C8B" w:rsidRDefault="002A4DDF" w:rsidP="009110ED">
            <w:pPr>
              <w:rPr>
                <w:rFonts w:ascii="Arial" w:hAnsi="Arial" w:cs="Arial"/>
                <w:sz w:val="12"/>
                <w:szCs w:val="12"/>
              </w:rPr>
            </w:pPr>
            <w:r>
              <w:rPr>
                <w:rFonts w:ascii="Arial" w:hAnsi="Arial"/>
                <w:sz w:val="12"/>
                <w:szCs w:val="12"/>
              </w:rPr>
              <w:t>Tarazona de Guareña</w:t>
            </w:r>
          </w:p>
        </w:tc>
        <w:tc>
          <w:tcPr>
            <w:tcW w:w="2268" w:type="dxa"/>
            <w:tcBorders>
              <w:right w:val="single" w:sz="4" w:space="0" w:color="auto"/>
            </w:tcBorders>
            <w:shd w:val="clear" w:color="auto" w:fill="D9D9D9"/>
            <w:hideMark/>
          </w:tcPr>
          <w:p w14:paraId="2E817B00" w14:textId="77777777" w:rsidR="002A4DDF" w:rsidRPr="00937C8B" w:rsidRDefault="002A4DDF" w:rsidP="009110ED">
            <w:pPr>
              <w:rPr>
                <w:rFonts w:ascii="Arial" w:hAnsi="Arial" w:cs="Arial"/>
                <w:sz w:val="12"/>
                <w:szCs w:val="12"/>
              </w:rPr>
            </w:pPr>
            <w:r>
              <w:rPr>
                <w:rFonts w:ascii="Arial" w:hAnsi="Arial"/>
                <w:sz w:val="12"/>
                <w:szCs w:val="12"/>
              </w:rPr>
              <w:t>La Tala</w:t>
            </w:r>
          </w:p>
        </w:tc>
      </w:tr>
      <w:tr w:rsidR="002A4DDF" w:rsidRPr="00937C8B" w14:paraId="0C4A0E90" w14:textId="77777777" w:rsidTr="00935676">
        <w:trPr>
          <w:cantSplit/>
        </w:trPr>
        <w:tc>
          <w:tcPr>
            <w:tcW w:w="1696" w:type="dxa"/>
            <w:tcBorders>
              <w:left w:val="single" w:sz="4" w:space="0" w:color="auto"/>
            </w:tcBorders>
            <w:shd w:val="clear" w:color="auto" w:fill="auto"/>
          </w:tcPr>
          <w:p w14:paraId="349553A9" w14:textId="77777777" w:rsidR="002A4DDF" w:rsidRPr="00937C8B" w:rsidRDefault="002A4DDF" w:rsidP="009110ED">
            <w:pPr>
              <w:rPr>
                <w:rFonts w:ascii="Arial" w:hAnsi="Arial" w:cs="Arial"/>
                <w:sz w:val="12"/>
                <w:szCs w:val="12"/>
              </w:rPr>
            </w:pPr>
          </w:p>
        </w:tc>
        <w:tc>
          <w:tcPr>
            <w:tcW w:w="1843" w:type="dxa"/>
            <w:shd w:val="clear" w:color="auto" w:fill="auto"/>
          </w:tcPr>
          <w:p w14:paraId="5FB75954" w14:textId="77777777" w:rsidR="002A4DDF" w:rsidRPr="00937C8B" w:rsidRDefault="002A4DDF" w:rsidP="009110ED">
            <w:pPr>
              <w:rPr>
                <w:rFonts w:ascii="Arial" w:hAnsi="Arial" w:cs="Arial"/>
                <w:sz w:val="12"/>
                <w:szCs w:val="12"/>
              </w:rPr>
            </w:pPr>
          </w:p>
        </w:tc>
        <w:tc>
          <w:tcPr>
            <w:tcW w:w="2268" w:type="dxa"/>
            <w:shd w:val="clear" w:color="auto" w:fill="F2F2F2"/>
            <w:hideMark/>
          </w:tcPr>
          <w:p w14:paraId="17EACAAD" w14:textId="77777777" w:rsidR="002A4DDF" w:rsidRPr="00937C8B" w:rsidRDefault="002A4DDF" w:rsidP="009110ED">
            <w:pPr>
              <w:rPr>
                <w:rFonts w:ascii="Arial" w:hAnsi="Arial" w:cs="Arial"/>
                <w:sz w:val="12"/>
                <w:szCs w:val="12"/>
              </w:rPr>
            </w:pPr>
            <w:r>
              <w:rPr>
                <w:rFonts w:ascii="Arial" w:hAnsi="Arial"/>
                <w:sz w:val="12"/>
                <w:szCs w:val="12"/>
              </w:rPr>
              <w:t>Tardáguila</w:t>
            </w:r>
          </w:p>
        </w:tc>
        <w:tc>
          <w:tcPr>
            <w:tcW w:w="2268" w:type="dxa"/>
            <w:tcBorders>
              <w:right w:val="single" w:sz="4" w:space="0" w:color="auto"/>
            </w:tcBorders>
            <w:shd w:val="clear" w:color="auto" w:fill="D9D9D9"/>
            <w:hideMark/>
          </w:tcPr>
          <w:p w14:paraId="256E1C8D" w14:textId="77777777" w:rsidR="002A4DDF" w:rsidRPr="00937C8B" w:rsidRDefault="002A4DDF" w:rsidP="009110ED">
            <w:pPr>
              <w:rPr>
                <w:rFonts w:ascii="Arial" w:hAnsi="Arial" w:cs="Arial"/>
                <w:sz w:val="12"/>
                <w:szCs w:val="12"/>
              </w:rPr>
            </w:pPr>
            <w:r>
              <w:rPr>
                <w:rFonts w:ascii="Arial" w:hAnsi="Arial"/>
                <w:sz w:val="12"/>
                <w:szCs w:val="12"/>
              </w:rPr>
              <w:t>La Vídola</w:t>
            </w:r>
          </w:p>
        </w:tc>
      </w:tr>
      <w:tr w:rsidR="002A4DDF" w:rsidRPr="00937C8B" w14:paraId="54F26869" w14:textId="77777777" w:rsidTr="00935676">
        <w:trPr>
          <w:cantSplit/>
        </w:trPr>
        <w:tc>
          <w:tcPr>
            <w:tcW w:w="1696" w:type="dxa"/>
            <w:tcBorders>
              <w:left w:val="single" w:sz="4" w:space="0" w:color="auto"/>
            </w:tcBorders>
            <w:shd w:val="clear" w:color="auto" w:fill="auto"/>
          </w:tcPr>
          <w:p w14:paraId="101D6CC7" w14:textId="77777777" w:rsidR="002A4DDF" w:rsidRPr="00937C8B" w:rsidRDefault="002A4DDF" w:rsidP="009110ED">
            <w:pPr>
              <w:rPr>
                <w:rFonts w:ascii="Arial" w:hAnsi="Arial" w:cs="Arial"/>
                <w:sz w:val="12"/>
                <w:szCs w:val="12"/>
              </w:rPr>
            </w:pPr>
          </w:p>
        </w:tc>
        <w:tc>
          <w:tcPr>
            <w:tcW w:w="1843" w:type="dxa"/>
            <w:shd w:val="clear" w:color="auto" w:fill="auto"/>
          </w:tcPr>
          <w:p w14:paraId="53E2C630" w14:textId="77777777" w:rsidR="002A4DDF" w:rsidRPr="00937C8B" w:rsidRDefault="002A4DDF" w:rsidP="009110ED">
            <w:pPr>
              <w:rPr>
                <w:rFonts w:ascii="Arial" w:hAnsi="Arial" w:cs="Arial"/>
                <w:sz w:val="12"/>
                <w:szCs w:val="12"/>
              </w:rPr>
            </w:pPr>
          </w:p>
        </w:tc>
        <w:tc>
          <w:tcPr>
            <w:tcW w:w="2268" w:type="dxa"/>
            <w:shd w:val="clear" w:color="auto" w:fill="F2F2F2"/>
            <w:hideMark/>
          </w:tcPr>
          <w:p w14:paraId="3DDA0C9C" w14:textId="77777777" w:rsidR="002A4DDF" w:rsidRPr="00937C8B" w:rsidRDefault="002A4DDF" w:rsidP="009110ED">
            <w:pPr>
              <w:rPr>
                <w:rFonts w:ascii="Arial" w:hAnsi="Arial" w:cs="Arial"/>
                <w:sz w:val="12"/>
                <w:szCs w:val="12"/>
              </w:rPr>
            </w:pPr>
            <w:r>
              <w:rPr>
                <w:rFonts w:ascii="Arial" w:hAnsi="Arial"/>
                <w:sz w:val="12"/>
                <w:szCs w:val="12"/>
              </w:rPr>
              <w:t>Topas</w:t>
            </w:r>
          </w:p>
        </w:tc>
        <w:tc>
          <w:tcPr>
            <w:tcW w:w="2268" w:type="dxa"/>
            <w:tcBorders>
              <w:right w:val="single" w:sz="4" w:space="0" w:color="auto"/>
            </w:tcBorders>
            <w:shd w:val="clear" w:color="auto" w:fill="D9D9D9"/>
            <w:hideMark/>
          </w:tcPr>
          <w:p w14:paraId="71228919" w14:textId="77777777" w:rsidR="002A4DDF" w:rsidRPr="00937C8B" w:rsidRDefault="002A4DDF" w:rsidP="009110ED">
            <w:pPr>
              <w:rPr>
                <w:rFonts w:ascii="Arial" w:hAnsi="Arial" w:cs="Arial"/>
                <w:sz w:val="12"/>
                <w:szCs w:val="12"/>
              </w:rPr>
            </w:pPr>
            <w:r>
              <w:rPr>
                <w:rFonts w:ascii="Arial" w:hAnsi="Arial"/>
                <w:sz w:val="12"/>
                <w:szCs w:val="12"/>
              </w:rPr>
              <w:t>La Zarza de Pumareda</w:t>
            </w:r>
          </w:p>
        </w:tc>
      </w:tr>
      <w:tr w:rsidR="002A4DDF" w:rsidRPr="00937C8B" w14:paraId="3C3B5A6A" w14:textId="77777777" w:rsidTr="00935676">
        <w:trPr>
          <w:cantSplit/>
        </w:trPr>
        <w:tc>
          <w:tcPr>
            <w:tcW w:w="1696" w:type="dxa"/>
            <w:tcBorders>
              <w:left w:val="single" w:sz="4" w:space="0" w:color="auto"/>
            </w:tcBorders>
            <w:shd w:val="clear" w:color="auto" w:fill="auto"/>
          </w:tcPr>
          <w:p w14:paraId="729C665F" w14:textId="77777777" w:rsidR="002A4DDF" w:rsidRPr="00937C8B" w:rsidRDefault="002A4DDF" w:rsidP="009110ED">
            <w:pPr>
              <w:rPr>
                <w:rFonts w:ascii="Arial" w:hAnsi="Arial" w:cs="Arial"/>
                <w:sz w:val="12"/>
                <w:szCs w:val="12"/>
              </w:rPr>
            </w:pPr>
          </w:p>
        </w:tc>
        <w:tc>
          <w:tcPr>
            <w:tcW w:w="1843" w:type="dxa"/>
            <w:shd w:val="clear" w:color="auto" w:fill="auto"/>
          </w:tcPr>
          <w:p w14:paraId="75104FBB" w14:textId="77777777" w:rsidR="002A4DDF" w:rsidRPr="00937C8B" w:rsidRDefault="002A4DDF" w:rsidP="009110ED">
            <w:pPr>
              <w:rPr>
                <w:rFonts w:ascii="Arial" w:hAnsi="Arial" w:cs="Arial"/>
                <w:sz w:val="12"/>
                <w:szCs w:val="12"/>
              </w:rPr>
            </w:pPr>
          </w:p>
        </w:tc>
        <w:tc>
          <w:tcPr>
            <w:tcW w:w="2268" w:type="dxa"/>
            <w:shd w:val="clear" w:color="auto" w:fill="F2F2F2"/>
            <w:hideMark/>
          </w:tcPr>
          <w:p w14:paraId="0DCFB7A4" w14:textId="77777777" w:rsidR="002A4DDF" w:rsidRPr="00937C8B" w:rsidRDefault="002A4DDF" w:rsidP="009110ED">
            <w:pPr>
              <w:rPr>
                <w:rFonts w:ascii="Arial" w:hAnsi="Arial" w:cs="Arial"/>
                <w:sz w:val="12"/>
                <w:szCs w:val="12"/>
              </w:rPr>
            </w:pPr>
            <w:r>
              <w:rPr>
                <w:rFonts w:ascii="Arial" w:hAnsi="Arial"/>
                <w:sz w:val="12"/>
                <w:szCs w:val="12"/>
              </w:rPr>
              <w:t>Tordillos</w:t>
            </w:r>
          </w:p>
        </w:tc>
        <w:tc>
          <w:tcPr>
            <w:tcW w:w="2268" w:type="dxa"/>
            <w:tcBorders>
              <w:right w:val="single" w:sz="4" w:space="0" w:color="auto"/>
            </w:tcBorders>
            <w:shd w:val="clear" w:color="auto" w:fill="D9D9D9"/>
            <w:hideMark/>
          </w:tcPr>
          <w:p w14:paraId="74C4C80C" w14:textId="77777777" w:rsidR="002A4DDF" w:rsidRPr="00937C8B" w:rsidRDefault="002A4DDF" w:rsidP="009110ED">
            <w:pPr>
              <w:rPr>
                <w:rFonts w:ascii="Arial" w:hAnsi="Arial" w:cs="Arial"/>
                <w:sz w:val="12"/>
                <w:szCs w:val="12"/>
              </w:rPr>
            </w:pPr>
            <w:r>
              <w:rPr>
                <w:rFonts w:ascii="Arial" w:hAnsi="Arial"/>
                <w:sz w:val="12"/>
                <w:szCs w:val="12"/>
              </w:rPr>
              <w:t>Lagunilla</w:t>
            </w:r>
          </w:p>
        </w:tc>
      </w:tr>
      <w:tr w:rsidR="002A4DDF" w:rsidRPr="00937C8B" w14:paraId="6DBBF693" w14:textId="77777777" w:rsidTr="00935676">
        <w:trPr>
          <w:cantSplit/>
        </w:trPr>
        <w:tc>
          <w:tcPr>
            <w:tcW w:w="1696" w:type="dxa"/>
            <w:tcBorders>
              <w:left w:val="single" w:sz="4" w:space="0" w:color="auto"/>
            </w:tcBorders>
            <w:shd w:val="clear" w:color="auto" w:fill="auto"/>
          </w:tcPr>
          <w:p w14:paraId="4C085745" w14:textId="77777777" w:rsidR="002A4DDF" w:rsidRPr="00937C8B" w:rsidRDefault="002A4DDF" w:rsidP="009110ED">
            <w:pPr>
              <w:rPr>
                <w:rFonts w:ascii="Arial" w:hAnsi="Arial" w:cs="Arial"/>
                <w:sz w:val="12"/>
                <w:szCs w:val="12"/>
              </w:rPr>
            </w:pPr>
          </w:p>
        </w:tc>
        <w:tc>
          <w:tcPr>
            <w:tcW w:w="1843" w:type="dxa"/>
            <w:shd w:val="clear" w:color="auto" w:fill="auto"/>
          </w:tcPr>
          <w:p w14:paraId="7708C5D5" w14:textId="77777777" w:rsidR="002A4DDF" w:rsidRPr="00937C8B" w:rsidRDefault="002A4DDF" w:rsidP="009110ED">
            <w:pPr>
              <w:rPr>
                <w:rFonts w:ascii="Arial" w:hAnsi="Arial" w:cs="Arial"/>
                <w:sz w:val="12"/>
                <w:szCs w:val="12"/>
              </w:rPr>
            </w:pPr>
          </w:p>
        </w:tc>
        <w:tc>
          <w:tcPr>
            <w:tcW w:w="2268" w:type="dxa"/>
            <w:shd w:val="clear" w:color="auto" w:fill="F2F2F2"/>
            <w:hideMark/>
          </w:tcPr>
          <w:p w14:paraId="269A7F6E" w14:textId="77777777" w:rsidR="002A4DDF" w:rsidRPr="00937C8B" w:rsidRDefault="002A4DDF" w:rsidP="009110ED">
            <w:pPr>
              <w:rPr>
                <w:rFonts w:ascii="Arial" w:hAnsi="Arial" w:cs="Arial"/>
                <w:sz w:val="12"/>
                <w:szCs w:val="12"/>
              </w:rPr>
            </w:pPr>
            <w:r>
              <w:rPr>
                <w:rFonts w:ascii="Arial" w:hAnsi="Arial"/>
                <w:sz w:val="12"/>
                <w:szCs w:val="12"/>
              </w:rPr>
              <w:t>Torresmenudas</w:t>
            </w:r>
          </w:p>
        </w:tc>
        <w:tc>
          <w:tcPr>
            <w:tcW w:w="2268" w:type="dxa"/>
            <w:tcBorders>
              <w:right w:val="single" w:sz="4" w:space="0" w:color="auto"/>
            </w:tcBorders>
            <w:shd w:val="clear" w:color="auto" w:fill="D9D9D9"/>
            <w:hideMark/>
          </w:tcPr>
          <w:p w14:paraId="10176CF7" w14:textId="77777777" w:rsidR="002A4DDF" w:rsidRPr="00937C8B" w:rsidRDefault="002A4DDF" w:rsidP="009110ED">
            <w:pPr>
              <w:rPr>
                <w:rFonts w:ascii="Arial" w:hAnsi="Arial" w:cs="Arial"/>
                <w:sz w:val="12"/>
                <w:szCs w:val="12"/>
              </w:rPr>
            </w:pPr>
            <w:r>
              <w:rPr>
                <w:rFonts w:ascii="Arial" w:hAnsi="Arial"/>
                <w:sz w:val="12"/>
                <w:szCs w:val="12"/>
              </w:rPr>
              <w:t>Las Casas del Conde</w:t>
            </w:r>
          </w:p>
        </w:tc>
      </w:tr>
      <w:tr w:rsidR="002A4DDF" w:rsidRPr="00937C8B" w14:paraId="7B431C0F" w14:textId="77777777" w:rsidTr="00935676">
        <w:trPr>
          <w:cantSplit/>
        </w:trPr>
        <w:tc>
          <w:tcPr>
            <w:tcW w:w="1696" w:type="dxa"/>
            <w:tcBorders>
              <w:left w:val="single" w:sz="4" w:space="0" w:color="auto"/>
            </w:tcBorders>
            <w:shd w:val="clear" w:color="auto" w:fill="auto"/>
          </w:tcPr>
          <w:p w14:paraId="5EEF641B" w14:textId="77777777" w:rsidR="002A4DDF" w:rsidRPr="00937C8B" w:rsidRDefault="002A4DDF" w:rsidP="009110ED">
            <w:pPr>
              <w:rPr>
                <w:rFonts w:ascii="Arial" w:hAnsi="Arial" w:cs="Arial"/>
                <w:sz w:val="12"/>
                <w:szCs w:val="12"/>
              </w:rPr>
            </w:pPr>
          </w:p>
        </w:tc>
        <w:tc>
          <w:tcPr>
            <w:tcW w:w="1843" w:type="dxa"/>
            <w:shd w:val="clear" w:color="auto" w:fill="auto"/>
          </w:tcPr>
          <w:p w14:paraId="20E03FA5" w14:textId="77777777" w:rsidR="002A4DDF" w:rsidRPr="00937C8B" w:rsidRDefault="002A4DDF" w:rsidP="009110ED">
            <w:pPr>
              <w:rPr>
                <w:rFonts w:ascii="Arial" w:hAnsi="Arial" w:cs="Arial"/>
                <w:sz w:val="12"/>
                <w:szCs w:val="12"/>
              </w:rPr>
            </w:pPr>
          </w:p>
        </w:tc>
        <w:tc>
          <w:tcPr>
            <w:tcW w:w="2268" w:type="dxa"/>
            <w:shd w:val="clear" w:color="auto" w:fill="F2F2F2"/>
            <w:hideMark/>
          </w:tcPr>
          <w:p w14:paraId="55F65CA1" w14:textId="77777777" w:rsidR="002A4DDF" w:rsidRPr="00937C8B" w:rsidRDefault="002A4DDF" w:rsidP="009110ED">
            <w:pPr>
              <w:rPr>
                <w:rFonts w:ascii="Arial" w:hAnsi="Arial" w:cs="Arial"/>
                <w:sz w:val="12"/>
                <w:szCs w:val="12"/>
              </w:rPr>
            </w:pPr>
            <w:r>
              <w:rPr>
                <w:rFonts w:ascii="Arial" w:hAnsi="Arial"/>
                <w:sz w:val="12"/>
                <w:szCs w:val="12"/>
              </w:rPr>
              <w:t>Valdecarros</w:t>
            </w:r>
          </w:p>
        </w:tc>
        <w:tc>
          <w:tcPr>
            <w:tcW w:w="2268" w:type="dxa"/>
            <w:tcBorders>
              <w:right w:val="single" w:sz="4" w:space="0" w:color="auto"/>
            </w:tcBorders>
            <w:shd w:val="clear" w:color="auto" w:fill="D9D9D9"/>
            <w:hideMark/>
          </w:tcPr>
          <w:p w14:paraId="674C7576" w14:textId="77777777" w:rsidR="002A4DDF" w:rsidRPr="00937C8B" w:rsidRDefault="002A4DDF" w:rsidP="009110ED">
            <w:pPr>
              <w:rPr>
                <w:rFonts w:ascii="Arial" w:hAnsi="Arial" w:cs="Arial"/>
                <w:sz w:val="12"/>
                <w:szCs w:val="12"/>
              </w:rPr>
            </w:pPr>
            <w:r>
              <w:rPr>
                <w:rFonts w:ascii="Arial" w:hAnsi="Arial"/>
                <w:sz w:val="12"/>
                <w:szCs w:val="12"/>
              </w:rPr>
              <w:t>Las Veguillas</w:t>
            </w:r>
          </w:p>
        </w:tc>
      </w:tr>
      <w:tr w:rsidR="002A4DDF" w:rsidRPr="00937C8B" w14:paraId="10C2F599" w14:textId="77777777" w:rsidTr="00935676">
        <w:trPr>
          <w:cantSplit/>
        </w:trPr>
        <w:tc>
          <w:tcPr>
            <w:tcW w:w="1696" w:type="dxa"/>
            <w:tcBorders>
              <w:left w:val="single" w:sz="4" w:space="0" w:color="auto"/>
            </w:tcBorders>
            <w:shd w:val="clear" w:color="auto" w:fill="auto"/>
          </w:tcPr>
          <w:p w14:paraId="589876BD" w14:textId="77777777" w:rsidR="002A4DDF" w:rsidRPr="00937C8B" w:rsidRDefault="002A4DDF" w:rsidP="009110ED">
            <w:pPr>
              <w:rPr>
                <w:rFonts w:ascii="Arial" w:hAnsi="Arial" w:cs="Arial"/>
                <w:sz w:val="12"/>
                <w:szCs w:val="12"/>
              </w:rPr>
            </w:pPr>
          </w:p>
        </w:tc>
        <w:tc>
          <w:tcPr>
            <w:tcW w:w="1843" w:type="dxa"/>
            <w:shd w:val="clear" w:color="auto" w:fill="auto"/>
          </w:tcPr>
          <w:p w14:paraId="6C102446" w14:textId="77777777" w:rsidR="002A4DDF" w:rsidRPr="00937C8B" w:rsidRDefault="002A4DDF" w:rsidP="009110ED">
            <w:pPr>
              <w:rPr>
                <w:rFonts w:ascii="Arial" w:hAnsi="Arial" w:cs="Arial"/>
                <w:sz w:val="12"/>
                <w:szCs w:val="12"/>
              </w:rPr>
            </w:pPr>
          </w:p>
        </w:tc>
        <w:tc>
          <w:tcPr>
            <w:tcW w:w="2268" w:type="dxa"/>
            <w:shd w:val="clear" w:color="auto" w:fill="F2F2F2"/>
            <w:hideMark/>
          </w:tcPr>
          <w:p w14:paraId="424C75AF" w14:textId="77777777" w:rsidR="002A4DDF" w:rsidRPr="00937C8B" w:rsidRDefault="002A4DDF" w:rsidP="009110ED">
            <w:pPr>
              <w:rPr>
                <w:rFonts w:ascii="Arial" w:hAnsi="Arial" w:cs="Arial"/>
                <w:sz w:val="12"/>
                <w:szCs w:val="12"/>
              </w:rPr>
            </w:pPr>
            <w:r>
              <w:rPr>
                <w:rFonts w:ascii="Arial" w:hAnsi="Arial"/>
                <w:sz w:val="12"/>
                <w:szCs w:val="12"/>
              </w:rPr>
              <w:t>Valdehijaderos</w:t>
            </w:r>
          </w:p>
        </w:tc>
        <w:tc>
          <w:tcPr>
            <w:tcW w:w="2268" w:type="dxa"/>
            <w:tcBorders>
              <w:right w:val="single" w:sz="4" w:space="0" w:color="auto"/>
            </w:tcBorders>
            <w:shd w:val="clear" w:color="auto" w:fill="D9D9D9"/>
            <w:hideMark/>
          </w:tcPr>
          <w:p w14:paraId="0A4B95EA" w14:textId="77777777" w:rsidR="002A4DDF" w:rsidRPr="00937C8B" w:rsidRDefault="002A4DDF" w:rsidP="009110ED">
            <w:pPr>
              <w:rPr>
                <w:rFonts w:ascii="Arial" w:hAnsi="Arial" w:cs="Arial"/>
                <w:sz w:val="12"/>
                <w:szCs w:val="12"/>
              </w:rPr>
            </w:pPr>
            <w:r>
              <w:rPr>
                <w:rFonts w:ascii="Arial" w:hAnsi="Arial"/>
                <w:sz w:val="12"/>
                <w:szCs w:val="12"/>
              </w:rPr>
              <w:t>Ledesma</w:t>
            </w:r>
          </w:p>
        </w:tc>
      </w:tr>
      <w:tr w:rsidR="002A4DDF" w:rsidRPr="00937C8B" w14:paraId="467BA9B0" w14:textId="77777777" w:rsidTr="00935676">
        <w:trPr>
          <w:cantSplit/>
        </w:trPr>
        <w:tc>
          <w:tcPr>
            <w:tcW w:w="1696" w:type="dxa"/>
            <w:tcBorders>
              <w:left w:val="single" w:sz="4" w:space="0" w:color="auto"/>
            </w:tcBorders>
            <w:shd w:val="clear" w:color="auto" w:fill="auto"/>
          </w:tcPr>
          <w:p w14:paraId="22549BEA" w14:textId="77777777" w:rsidR="002A4DDF" w:rsidRPr="00937C8B" w:rsidRDefault="002A4DDF" w:rsidP="009110ED">
            <w:pPr>
              <w:rPr>
                <w:rFonts w:ascii="Arial" w:hAnsi="Arial" w:cs="Arial"/>
                <w:sz w:val="12"/>
                <w:szCs w:val="12"/>
              </w:rPr>
            </w:pPr>
          </w:p>
        </w:tc>
        <w:tc>
          <w:tcPr>
            <w:tcW w:w="1843" w:type="dxa"/>
            <w:shd w:val="clear" w:color="auto" w:fill="auto"/>
          </w:tcPr>
          <w:p w14:paraId="22EE35BA" w14:textId="77777777" w:rsidR="002A4DDF" w:rsidRPr="00937C8B" w:rsidRDefault="002A4DDF" w:rsidP="009110ED">
            <w:pPr>
              <w:rPr>
                <w:rFonts w:ascii="Arial" w:hAnsi="Arial" w:cs="Arial"/>
                <w:sz w:val="12"/>
                <w:szCs w:val="12"/>
              </w:rPr>
            </w:pPr>
          </w:p>
        </w:tc>
        <w:tc>
          <w:tcPr>
            <w:tcW w:w="2268" w:type="dxa"/>
            <w:shd w:val="clear" w:color="auto" w:fill="F2F2F2"/>
            <w:hideMark/>
          </w:tcPr>
          <w:p w14:paraId="278FF29E" w14:textId="77777777" w:rsidR="002A4DDF" w:rsidRPr="00937C8B" w:rsidRDefault="002A4DDF" w:rsidP="009110ED">
            <w:pPr>
              <w:rPr>
                <w:rFonts w:ascii="Arial" w:hAnsi="Arial" w:cs="Arial"/>
                <w:sz w:val="12"/>
                <w:szCs w:val="12"/>
              </w:rPr>
            </w:pPr>
            <w:r>
              <w:rPr>
                <w:rFonts w:ascii="Arial" w:hAnsi="Arial"/>
                <w:sz w:val="12"/>
                <w:szCs w:val="12"/>
              </w:rPr>
              <w:t>Valdelosa</w:t>
            </w:r>
          </w:p>
        </w:tc>
        <w:tc>
          <w:tcPr>
            <w:tcW w:w="2268" w:type="dxa"/>
            <w:tcBorders>
              <w:right w:val="single" w:sz="4" w:space="0" w:color="auto"/>
            </w:tcBorders>
            <w:shd w:val="clear" w:color="auto" w:fill="D9D9D9"/>
            <w:hideMark/>
          </w:tcPr>
          <w:p w14:paraId="585B6D44" w14:textId="77777777" w:rsidR="002A4DDF" w:rsidRPr="00937C8B" w:rsidRDefault="002A4DDF" w:rsidP="009110ED">
            <w:pPr>
              <w:rPr>
                <w:rFonts w:ascii="Arial" w:hAnsi="Arial" w:cs="Arial"/>
                <w:sz w:val="12"/>
                <w:szCs w:val="12"/>
              </w:rPr>
            </w:pPr>
            <w:r>
              <w:rPr>
                <w:rFonts w:ascii="Arial" w:hAnsi="Arial"/>
                <w:sz w:val="12"/>
                <w:szCs w:val="12"/>
              </w:rPr>
              <w:t>Ledrada</w:t>
            </w:r>
          </w:p>
        </w:tc>
      </w:tr>
      <w:tr w:rsidR="002A4DDF" w:rsidRPr="00937C8B" w14:paraId="0E27F606" w14:textId="77777777" w:rsidTr="00935676">
        <w:trPr>
          <w:cantSplit/>
        </w:trPr>
        <w:tc>
          <w:tcPr>
            <w:tcW w:w="1696" w:type="dxa"/>
            <w:tcBorders>
              <w:left w:val="single" w:sz="4" w:space="0" w:color="auto"/>
            </w:tcBorders>
            <w:shd w:val="clear" w:color="auto" w:fill="auto"/>
          </w:tcPr>
          <w:p w14:paraId="11299291" w14:textId="77777777" w:rsidR="002A4DDF" w:rsidRPr="00937C8B" w:rsidRDefault="002A4DDF" w:rsidP="009110ED">
            <w:pPr>
              <w:rPr>
                <w:rFonts w:ascii="Arial" w:hAnsi="Arial" w:cs="Arial"/>
                <w:sz w:val="12"/>
                <w:szCs w:val="12"/>
              </w:rPr>
            </w:pPr>
          </w:p>
        </w:tc>
        <w:tc>
          <w:tcPr>
            <w:tcW w:w="1843" w:type="dxa"/>
            <w:shd w:val="clear" w:color="auto" w:fill="auto"/>
          </w:tcPr>
          <w:p w14:paraId="02E87F0D" w14:textId="77777777" w:rsidR="002A4DDF" w:rsidRPr="00937C8B" w:rsidRDefault="002A4DDF" w:rsidP="009110ED">
            <w:pPr>
              <w:rPr>
                <w:rFonts w:ascii="Arial" w:hAnsi="Arial" w:cs="Arial"/>
                <w:sz w:val="12"/>
                <w:szCs w:val="12"/>
              </w:rPr>
            </w:pPr>
          </w:p>
        </w:tc>
        <w:tc>
          <w:tcPr>
            <w:tcW w:w="2268" w:type="dxa"/>
            <w:shd w:val="clear" w:color="auto" w:fill="F2F2F2"/>
            <w:hideMark/>
          </w:tcPr>
          <w:p w14:paraId="2C5EB5F1" w14:textId="77777777" w:rsidR="002A4DDF" w:rsidRPr="00937C8B" w:rsidRDefault="002A4DDF" w:rsidP="009110ED">
            <w:pPr>
              <w:rPr>
                <w:rFonts w:ascii="Arial" w:hAnsi="Arial" w:cs="Arial"/>
                <w:sz w:val="12"/>
                <w:szCs w:val="12"/>
              </w:rPr>
            </w:pPr>
            <w:r>
              <w:rPr>
                <w:rFonts w:ascii="Arial" w:hAnsi="Arial"/>
                <w:sz w:val="12"/>
                <w:szCs w:val="12"/>
              </w:rPr>
              <w:t>Valdunciel</w:t>
            </w:r>
          </w:p>
        </w:tc>
        <w:tc>
          <w:tcPr>
            <w:tcW w:w="2268" w:type="dxa"/>
            <w:tcBorders>
              <w:right w:val="single" w:sz="4" w:space="0" w:color="auto"/>
            </w:tcBorders>
            <w:shd w:val="clear" w:color="auto" w:fill="D9D9D9"/>
            <w:hideMark/>
          </w:tcPr>
          <w:p w14:paraId="4876BC70" w14:textId="77777777" w:rsidR="002A4DDF" w:rsidRPr="00937C8B" w:rsidRDefault="002A4DDF" w:rsidP="009110ED">
            <w:pPr>
              <w:rPr>
                <w:rFonts w:ascii="Arial" w:hAnsi="Arial" w:cs="Arial"/>
                <w:sz w:val="12"/>
                <w:szCs w:val="12"/>
              </w:rPr>
            </w:pPr>
            <w:r>
              <w:rPr>
                <w:rFonts w:ascii="Arial" w:hAnsi="Arial"/>
                <w:sz w:val="12"/>
                <w:szCs w:val="12"/>
              </w:rPr>
              <w:t>Linares de Riofrío</w:t>
            </w:r>
          </w:p>
        </w:tc>
      </w:tr>
      <w:tr w:rsidR="002A4DDF" w:rsidRPr="00937C8B" w14:paraId="7A330EA0" w14:textId="77777777" w:rsidTr="00935676">
        <w:trPr>
          <w:cantSplit/>
        </w:trPr>
        <w:tc>
          <w:tcPr>
            <w:tcW w:w="1696" w:type="dxa"/>
            <w:tcBorders>
              <w:left w:val="single" w:sz="4" w:space="0" w:color="auto"/>
            </w:tcBorders>
            <w:shd w:val="clear" w:color="auto" w:fill="auto"/>
          </w:tcPr>
          <w:p w14:paraId="2E15F5C9" w14:textId="77777777" w:rsidR="002A4DDF" w:rsidRPr="00937C8B" w:rsidRDefault="002A4DDF" w:rsidP="009110ED">
            <w:pPr>
              <w:rPr>
                <w:rFonts w:ascii="Arial" w:hAnsi="Arial" w:cs="Arial"/>
                <w:sz w:val="12"/>
                <w:szCs w:val="12"/>
              </w:rPr>
            </w:pPr>
          </w:p>
        </w:tc>
        <w:tc>
          <w:tcPr>
            <w:tcW w:w="1843" w:type="dxa"/>
            <w:shd w:val="clear" w:color="auto" w:fill="auto"/>
          </w:tcPr>
          <w:p w14:paraId="1B82DCF0" w14:textId="77777777" w:rsidR="002A4DDF" w:rsidRPr="00937C8B" w:rsidRDefault="002A4DDF" w:rsidP="009110ED">
            <w:pPr>
              <w:rPr>
                <w:rFonts w:ascii="Arial" w:hAnsi="Arial" w:cs="Arial"/>
                <w:sz w:val="12"/>
                <w:szCs w:val="12"/>
              </w:rPr>
            </w:pPr>
          </w:p>
        </w:tc>
        <w:tc>
          <w:tcPr>
            <w:tcW w:w="2268" w:type="dxa"/>
            <w:shd w:val="clear" w:color="auto" w:fill="F2F2F2"/>
            <w:hideMark/>
          </w:tcPr>
          <w:p w14:paraId="0662B084" w14:textId="77777777" w:rsidR="002A4DDF" w:rsidRPr="00937C8B" w:rsidRDefault="002A4DDF" w:rsidP="009110ED">
            <w:pPr>
              <w:rPr>
                <w:rFonts w:ascii="Arial" w:hAnsi="Arial" w:cs="Arial"/>
                <w:sz w:val="12"/>
                <w:szCs w:val="12"/>
              </w:rPr>
            </w:pPr>
            <w:r>
              <w:rPr>
                <w:rFonts w:ascii="Arial" w:hAnsi="Arial"/>
                <w:sz w:val="12"/>
                <w:szCs w:val="12"/>
              </w:rPr>
              <w:t>Valero</w:t>
            </w:r>
          </w:p>
        </w:tc>
        <w:tc>
          <w:tcPr>
            <w:tcW w:w="2268" w:type="dxa"/>
            <w:tcBorders>
              <w:right w:val="single" w:sz="4" w:space="0" w:color="auto"/>
            </w:tcBorders>
            <w:shd w:val="clear" w:color="auto" w:fill="D9D9D9"/>
            <w:hideMark/>
          </w:tcPr>
          <w:p w14:paraId="131A7CD1" w14:textId="77777777" w:rsidR="002A4DDF" w:rsidRPr="00937C8B" w:rsidRDefault="002A4DDF" w:rsidP="009110ED">
            <w:pPr>
              <w:rPr>
                <w:rFonts w:ascii="Arial" w:hAnsi="Arial" w:cs="Arial"/>
                <w:sz w:val="12"/>
                <w:szCs w:val="12"/>
              </w:rPr>
            </w:pPr>
            <w:r>
              <w:rPr>
                <w:rFonts w:ascii="Arial" w:hAnsi="Arial"/>
                <w:sz w:val="12"/>
                <w:szCs w:val="12"/>
              </w:rPr>
              <w:t>Los Santos</w:t>
            </w:r>
          </w:p>
        </w:tc>
      </w:tr>
      <w:tr w:rsidR="002A4DDF" w:rsidRPr="00937C8B" w14:paraId="06F15A07" w14:textId="77777777" w:rsidTr="00935676">
        <w:trPr>
          <w:cantSplit/>
        </w:trPr>
        <w:tc>
          <w:tcPr>
            <w:tcW w:w="1696" w:type="dxa"/>
            <w:tcBorders>
              <w:left w:val="single" w:sz="4" w:space="0" w:color="auto"/>
            </w:tcBorders>
            <w:shd w:val="clear" w:color="auto" w:fill="auto"/>
          </w:tcPr>
          <w:p w14:paraId="13C512E1" w14:textId="77777777" w:rsidR="002A4DDF" w:rsidRPr="00937C8B" w:rsidRDefault="002A4DDF" w:rsidP="009110ED">
            <w:pPr>
              <w:rPr>
                <w:rFonts w:ascii="Arial" w:hAnsi="Arial" w:cs="Arial"/>
                <w:sz w:val="12"/>
                <w:szCs w:val="12"/>
              </w:rPr>
            </w:pPr>
          </w:p>
        </w:tc>
        <w:tc>
          <w:tcPr>
            <w:tcW w:w="1843" w:type="dxa"/>
            <w:shd w:val="clear" w:color="auto" w:fill="auto"/>
          </w:tcPr>
          <w:p w14:paraId="0A71F3DE" w14:textId="77777777" w:rsidR="002A4DDF" w:rsidRPr="00937C8B" w:rsidRDefault="002A4DDF" w:rsidP="009110ED">
            <w:pPr>
              <w:rPr>
                <w:rFonts w:ascii="Arial" w:hAnsi="Arial" w:cs="Arial"/>
                <w:sz w:val="12"/>
                <w:szCs w:val="12"/>
              </w:rPr>
            </w:pPr>
          </w:p>
        </w:tc>
        <w:tc>
          <w:tcPr>
            <w:tcW w:w="2268" w:type="dxa"/>
            <w:shd w:val="clear" w:color="auto" w:fill="F2F2F2"/>
            <w:hideMark/>
          </w:tcPr>
          <w:p w14:paraId="50A552FB" w14:textId="77777777" w:rsidR="002A4DDF" w:rsidRPr="00937C8B" w:rsidRDefault="002A4DDF" w:rsidP="009110ED">
            <w:pPr>
              <w:rPr>
                <w:rFonts w:ascii="Arial" w:hAnsi="Arial" w:cs="Arial"/>
                <w:sz w:val="12"/>
                <w:szCs w:val="12"/>
              </w:rPr>
            </w:pPr>
            <w:r>
              <w:rPr>
                <w:rFonts w:ascii="Arial" w:hAnsi="Arial"/>
                <w:sz w:val="12"/>
                <w:szCs w:val="12"/>
              </w:rPr>
              <w:t>Ventosa del Río Almar</w:t>
            </w:r>
          </w:p>
        </w:tc>
        <w:tc>
          <w:tcPr>
            <w:tcW w:w="2268" w:type="dxa"/>
            <w:tcBorders>
              <w:right w:val="single" w:sz="4" w:space="0" w:color="auto"/>
            </w:tcBorders>
            <w:shd w:val="clear" w:color="auto" w:fill="D9D9D9"/>
            <w:hideMark/>
          </w:tcPr>
          <w:p w14:paraId="716D3E06" w14:textId="77777777" w:rsidR="002A4DDF" w:rsidRPr="00937C8B" w:rsidRDefault="002A4DDF" w:rsidP="009110ED">
            <w:pPr>
              <w:rPr>
                <w:rFonts w:ascii="Arial" w:hAnsi="Arial" w:cs="Arial"/>
                <w:sz w:val="12"/>
                <w:szCs w:val="12"/>
              </w:rPr>
            </w:pPr>
            <w:r>
              <w:rPr>
                <w:rFonts w:ascii="Arial" w:hAnsi="Arial"/>
                <w:sz w:val="12"/>
                <w:szCs w:val="12"/>
              </w:rPr>
              <w:t>Lumbrales</w:t>
            </w:r>
          </w:p>
        </w:tc>
      </w:tr>
      <w:tr w:rsidR="002A4DDF" w:rsidRPr="00937C8B" w14:paraId="4301BE2C" w14:textId="77777777" w:rsidTr="00935676">
        <w:trPr>
          <w:cantSplit/>
        </w:trPr>
        <w:tc>
          <w:tcPr>
            <w:tcW w:w="1696" w:type="dxa"/>
            <w:tcBorders>
              <w:left w:val="single" w:sz="4" w:space="0" w:color="auto"/>
            </w:tcBorders>
            <w:shd w:val="clear" w:color="auto" w:fill="auto"/>
          </w:tcPr>
          <w:p w14:paraId="74177D1B" w14:textId="77777777" w:rsidR="002A4DDF" w:rsidRPr="00937C8B" w:rsidRDefault="002A4DDF" w:rsidP="009110ED">
            <w:pPr>
              <w:rPr>
                <w:rFonts w:ascii="Arial" w:hAnsi="Arial" w:cs="Arial"/>
                <w:sz w:val="12"/>
                <w:szCs w:val="12"/>
              </w:rPr>
            </w:pPr>
          </w:p>
        </w:tc>
        <w:tc>
          <w:tcPr>
            <w:tcW w:w="1843" w:type="dxa"/>
            <w:shd w:val="clear" w:color="auto" w:fill="auto"/>
          </w:tcPr>
          <w:p w14:paraId="44276859" w14:textId="77777777" w:rsidR="002A4DDF" w:rsidRPr="00937C8B" w:rsidRDefault="002A4DDF" w:rsidP="009110ED">
            <w:pPr>
              <w:rPr>
                <w:rFonts w:ascii="Arial" w:hAnsi="Arial" w:cs="Arial"/>
                <w:sz w:val="12"/>
                <w:szCs w:val="12"/>
              </w:rPr>
            </w:pPr>
          </w:p>
        </w:tc>
        <w:tc>
          <w:tcPr>
            <w:tcW w:w="2268" w:type="dxa"/>
            <w:shd w:val="clear" w:color="auto" w:fill="F2F2F2"/>
            <w:hideMark/>
          </w:tcPr>
          <w:p w14:paraId="36DAFBC5" w14:textId="77777777" w:rsidR="002A4DDF" w:rsidRPr="00937C8B" w:rsidRDefault="002A4DDF" w:rsidP="009110ED">
            <w:pPr>
              <w:rPr>
                <w:rFonts w:ascii="Arial" w:hAnsi="Arial" w:cs="Arial"/>
                <w:sz w:val="12"/>
                <w:szCs w:val="12"/>
              </w:rPr>
            </w:pPr>
            <w:r>
              <w:rPr>
                <w:rFonts w:ascii="Arial" w:hAnsi="Arial"/>
                <w:sz w:val="12"/>
                <w:szCs w:val="12"/>
              </w:rPr>
              <w:t>Villaflores</w:t>
            </w:r>
          </w:p>
        </w:tc>
        <w:tc>
          <w:tcPr>
            <w:tcW w:w="2268" w:type="dxa"/>
            <w:tcBorders>
              <w:right w:val="single" w:sz="4" w:space="0" w:color="auto"/>
            </w:tcBorders>
            <w:shd w:val="clear" w:color="auto" w:fill="D9D9D9"/>
            <w:hideMark/>
          </w:tcPr>
          <w:p w14:paraId="09F97B74" w14:textId="77777777" w:rsidR="002A4DDF" w:rsidRPr="00937C8B" w:rsidRDefault="002A4DDF" w:rsidP="009110ED">
            <w:pPr>
              <w:rPr>
                <w:rFonts w:ascii="Arial" w:hAnsi="Arial" w:cs="Arial"/>
                <w:sz w:val="12"/>
                <w:szCs w:val="12"/>
              </w:rPr>
            </w:pPr>
            <w:r>
              <w:rPr>
                <w:rFonts w:ascii="Arial" w:hAnsi="Arial"/>
                <w:sz w:val="12"/>
                <w:szCs w:val="12"/>
              </w:rPr>
              <w:t>Madroñal</w:t>
            </w:r>
          </w:p>
        </w:tc>
      </w:tr>
      <w:tr w:rsidR="002A4DDF" w:rsidRPr="00937C8B" w14:paraId="21724911" w14:textId="77777777" w:rsidTr="00935676">
        <w:trPr>
          <w:cantSplit/>
        </w:trPr>
        <w:tc>
          <w:tcPr>
            <w:tcW w:w="1696" w:type="dxa"/>
            <w:tcBorders>
              <w:left w:val="single" w:sz="4" w:space="0" w:color="auto"/>
            </w:tcBorders>
            <w:shd w:val="clear" w:color="auto" w:fill="auto"/>
          </w:tcPr>
          <w:p w14:paraId="34E97E31" w14:textId="77777777" w:rsidR="002A4DDF" w:rsidRPr="00937C8B" w:rsidRDefault="002A4DDF" w:rsidP="009110ED">
            <w:pPr>
              <w:rPr>
                <w:rFonts w:ascii="Arial" w:hAnsi="Arial" w:cs="Arial"/>
                <w:sz w:val="12"/>
                <w:szCs w:val="12"/>
              </w:rPr>
            </w:pPr>
          </w:p>
        </w:tc>
        <w:tc>
          <w:tcPr>
            <w:tcW w:w="1843" w:type="dxa"/>
            <w:shd w:val="clear" w:color="auto" w:fill="auto"/>
          </w:tcPr>
          <w:p w14:paraId="7C9B0054" w14:textId="77777777" w:rsidR="002A4DDF" w:rsidRPr="00937C8B" w:rsidRDefault="002A4DDF" w:rsidP="009110ED">
            <w:pPr>
              <w:rPr>
                <w:rFonts w:ascii="Arial" w:hAnsi="Arial" w:cs="Arial"/>
                <w:sz w:val="12"/>
                <w:szCs w:val="12"/>
              </w:rPr>
            </w:pPr>
          </w:p>
        </w:tc>
        <w:tc>
          <w:tcPr>
            <w:tcW w:w="2268" w:type="dxa"/>
            <w:shd w:val="clear" w:color="auto" w:fill="F2F2F2"/>
            <w:hideMark/>
          </w:tcPr>
          <w:p w14:paraId="6168913F" w14:textId="77777777" w:rsidR="002A4DDF" w:rsidRPr="00937C8B" w:rsidRDefault="002A4DDF" w:rsidP="009110ED">
            <w:pPr>
              <w:rPr>
                <w:rFonts w:ascii="Arial" w:hAnsi="Arial" w:cs="Arial"/>
                <w:sz w:val="12"/>
                <w:szCs w:val="12"/>
              </w:rPr>
            </w:pPr>
            <w:r>
              <w:rPr>
                <w:rFonts w:ascii="Arial" w:hAnsi="Arial"/>
                <w:sz w:val="12"/>
                <w:szCs w:val="12"/>
              </w:rPr>
              <w:t>Villalba de los Llanos</w:t>
            </w:r>
          </w:p>
        </w:tc>
        <w:tc>
          <w:tcPr>
            <w:tcW w:w="2268" w:type="dxa"/>
            <w:tcBorders>
              <w:right w:val="single" w:sz="4" w:space="0" w:color="auto"/>
            </w:tcBorders>
            <w:shd w:val="clear" w:color="auto" w:fill="D9D9D9"/>
            <w:hideMark/>
          </w:tcPr>
          <w:p w14:paraId="03990C1C" w14:textId="77777777" w:rsidR="002A4DDF" w:rsidRPr="00937C8B" w:rsidRDefault="002A4DDF" w:rsidP="009110ED">
            <w:pPr>
              <w:rPr>
                <w:rFonts w:ascii="Arial" w:hAnsi="Arial" w:cs="Arial"/>
                <w:sz w:val="12"/>
                <w:szCs w:val="12"/>
              </w:rPr>
            </w:pPr>
            <w:r>
              <w:rPr>
                <w:rFonts w:ascii="Arial" w:hAnsi="Arial"/>
                <w:sz w:val="12"/>
                <w:szCs w:val="12"/>
              </w:rPr>
              <w:t>Martiago</w:t>
            </w:r>
          </w:p>
        </w:tc>
      </w:tr>
      <w:tr w:rsidR="002A4DDF" w:rsidRPr="00937C8B" w14:paraId="00B88393" w14:textId="77777777" w:rsidTr="00935676">
        <w:trPr>
          <w:cantSplit/>
        </w:trPr>
        <w:tc>
          <w:tcPr>
            <w:tcW w:w="1696" w:type="dxa"/>
            <w:tcBorders>
              <w:left w:val="single" w:sz="4" w:space="0" w:color="auto"/>
            </w:tcBorders>
            <w:shd w:val="clear" w:color="auto" w:fill="auto"/>
          </w:tcPr>
          <w:p w14:paraId="3869E22D" w14:textId="77777777" w:rsidR="002A4DDF" w:rsidRPr="00937C8B" w:rsidRDefault="002A4DDF" w:rsidP="009110ED">
            <w:pPr>
              <w:rPr>
                <w:rFonts w:ascii="Arial" w:hAnsi="Arial" w:cs="Arial"/>
                <w:sz w:val="12"/>
                <w:szCs w:val="12"/>
              </w:rPr>
            </w:pPr>
          </w:p>
        </w:tc>
        <w:tc>
          <w:tcPr>
            <w:tcW w:w="1843" w:type="dxa"/>
            <w:shd w:val="clear" w:color="auto" w:fill="auto"/>
          </w:tcPr>
          <w:p w14:paraId="51169962" w14:textId="77777777" w:rsidR="002A4DDF" w:rsidRPr="00937C8B" w:rsidRDefault="002A4DDF" w:rsidP="009110ED">
            <w:pPr>
              <w:rPr>
                <w:rFonts w:ascii="Arial" w:hAnsi="Arial" w:cs="Arial"/>
                <w:sz w:val="12"/>
                <w:szCs w:val="12"/>
              </w:rPr>
            </w:pPr>
          </w:p>
        </w:tc>
        <w:tc>
          <w:tcPr>
            <w:tcW w:w="2268" w:type="dxa"/>
            <w:shd w:val="clear" w:color="auto" w:fill="F2F2F2"/>
            <w:hideMark/>
          </w:tcPr>
          <w:p w14:paraId="6B0737EA" w14:textId="77777777" w:rsidR="002A4DDF" w:rsidRPr="00937C8B" w:rsidRDefault="002A4DDF" w:rsidP="009110ED">
            <w:pPr>
              <w:rPr>
                <w:rFonts w:ascii="Arial" w:hAnsi="Arial" w:cs="Arial"/>
                <w:sz w:val="12"/>
                <w:szCs w:val="12"/>
              </w:rPr>
            </w:pPr>
            <w:r>
              <w:rPr>
                <w:rFonts w:ascii="Arial" w:hAnsi="Arial"/>
                <w:sz w:val="12"/>
                <w:szCs w:val="12"/>
              </w:rPr>
              <w:t>Villamayor</w:t>
            </w:r>
          </w:p>
        </w:tc>
        <w:tc>
          <w:tcPr>
            <w:tcW w:w="2268" w:type="dxa"/>
            <w:tcBorders>
              <w:right w:val="single" w:sz="4" w:space="0" w:color="auto"/>
            </w:tcBorders>
            <w:shd w:val="clear" w:color="auto" w:fill="D9D9D9"/>
            <w:hideMark/>
          </w:tcPr>
          <w:p w14:paraId="0EF8FAC1" w14:textId="77777777" w:rsidR="002A4DDF" w:rsidRPr="00937C8B" w:rsidRDefault="002A4DDF" w:rsidP="009110ED">
            <w:pPr>
              <w:rPr>
                <w:rFonts w:ascii="Arial" w:hAnsi="Arial" w:cs="Arial"/>
                <w:sz w:val="12"/>
                <w:szCs w:val="12"/>
              </w:rPr>
            </w:pPr>
            <w:r>
              <w:rPr>
                <w:rFonts w:ascii="Arial" w:hAnsi="Arial"/>
                <w:sz w:val="12"/>
                <w:szCs w:val="12"/>
              </w:rPr>
              <w:t>Martín de Yeltes</w:t>
            </w:r>
          </w:p>
        </w:tc>
      </w:tr>
      <w:tr w:rsidR="002A4DDF" w:rsidRPr="00937C8B" w14:paraId="4F1E049D" w14:textId="77777777" w:rsidTr="00935676">
        <w:trPr>
          <w:cantSplit/>
        </w:trPr>
        <w:tc>
          <w:tcPr>
            <w:tcW w:w="1696" w:type="dxa"/>
            <w:tcBorders>
              <w:left w:val="single" w:sz="4" w:space="0" w:color="auto"/>
            </w:tcBorders>
            <w:shd w:val="clear" w:color="auto" w:fill="auto"/>
          </w:tcPr>
          <w:p w14:paraId="419C607D" w14:textId="77777777" w:rsidR="002A4DDF" w:rsidRPr="00937C8B" w:rsidRDefault="002A4DDF" w:rsidP="009110ED">
            <w:pPr>
              <w:rPr>
                <w:rFonts w:ascii="Arial" w:hAnsi="Arial" w:cs="Arial"/>
                <w:sz w:val="12"/>
                <w:szCs w:val="12"/>
              </w:rPr>
            </w:pPr>
          </w:p>
        </w:tc>
        <w:tc>
          <w:tcPr>
            <w:tcW w:w="1843" w:type="dxa"/>
            <w:shd w:val="clear" w:color="auto" w:fill="auto"/>
          </w:tcPr>
          <w:p w14:paraId="272E7D32" w14:textId="77777777" w:rsidR="002A4DDF" w:rsidRPr="00937C8B" w:rsidRDefault="002A4DDF" w:rsidP="009110ED">
            <w:pPr>
              <w:rPr>
                <w:rFonts w:ascii="Arial" w:hAnsi="Arial" w:cs="Arial"/>
                <w:sz w:val="12"/>
                <w:szCs w:val="12"/>
              </w:rPr>
            </w:pPr>
          </w:p>
        </w:tc>
        <w:tc>
          <w:tcPr>
            <w:tcW w:w="2268" w:type="dxa"/>
            <w:shd w:val="clear" w:color="auto" w:fill="F2F2F2"/>
            <w:hideMark/>
          </w:tcPr>
          <w:p w14:paraId="3D85A7AE" w14:textId="77777777" w:rsidR="002A4DDF" w:rsidRPr="00937C8B" w:rsidRDefault="002A4DDF" w:rsidP="009110ED">
            <w:pPr>
              <w:rPr>
                <w:rFonts w:ascii="Arial" w:hAnsi="Arial" w:cs="Arial"/>
                <w:sz w:val="12"/>
                <w:szCs w:val="12"/>
              </w:rPr>
            </w:pPr>
            <w:r>
              <w:rPr>
                <w:rFonts w:ascii="Arial" w:hAnsi="Arial"/>
                <w:sz w:val="12"/>
                <w:szCs w:val="12"/>
              </w:rPr>
              <w:t>Villar de Gallimazo</w:t>
            </w:r>
          </w:p>
        </w:tc>
        <w:tc>
          <w:tcPr>
            <w:tcW w:w="2268" w:type="dxa"/>
            <w:tcBorders>
              <w:right w:val="single" w:sz="4" w:space="0" w:color="auto"/>
            </w:tcBorders>
            <w:shd w:val="clear" w:color="auto" w:fill="D9D9D9"/>
            <w:hideMark/>
          </w:tcPr>
          <w:p w14:paraId="4B7E80BF" w14:textId="77777777" w:rsidR="002A4DDF" w:rsidRPr="00937C8B" w:rsidRDefault="002A4DDF" w:rsidP="009110ED">
            <w:pPr>
              <w:rPr>
                <w:rFonts w:ascii="Arial" w:hAnsi="Arial" w:cs="Arial"/>
                <w:sz w:val="12"/>
                <w:szCs w:val="12"/>
              </w:rPr>
            </w:pPr>
            <w:r>
              <w:rPr>
                <w:rFonts w:ascii="Arial" w:hAnsi="Arial"/>
                <w:sz w:val="12"/>
                <w:szCs w:val="12"/>
              </w:rPr>
              <w:t>Martinamor</w:t>
            </w:r>
          </w:p>
        </w:tc>
      </w:tr>
      <w:tr w:rsidR="002A4DDF" w:rsidRPr="00937C8B" w14:paraId="3B46017B" w14:textId="77777777" w:rsidTr="00935676">
        <w:trPr>
          <w:cantSplit/>
        </w:trPr>
        <w:tc>
          <w:tcPr>
            <w:tcW w:w="1696" w:type="dxa"/>
            <w:tcBorders>
              <w:left w:val="single" w:sz="4" w:space="0" w:color="auto"/>
            </w:tcBorders>
            <w:shd w:val="clear" w:color="auto" w:fill="auto"/>
          </w:tcPr>
          <w:p w14:paraId="4DA3E416" w14:textId="77777777" w:rsidR="002A4DDF" w:rsidRPr="00937C8B" w:rsidRDefault="002A4DDF" w:rsidP="009110ED">
            <w:pPr>
              <w:rPr>
                <w:rFonts w:ascii="Arial" w:hAnsi="Arial" w:cs="Arial"/>
                <w:sz w:val="12"/>
                <w:szCs w:val="12"/>
              </w:rPr>
            </w:pPr>
          </w:p>
        </w:tc>
        <w:tc>
          <w:tcPr>
            <w:tcW w:w="1843" w:type="dxa"/>
            <w:shd w:val="clear" w:color="auto" w:fill="auto"/>
          </w:tcPr>
          <w:p w14:paraId="2371ECCC" w14:textId="77777777" w:rsidR="002A4DDF" w:rsidRPr="00937C8B" w:rsidRDefault="002A4DDF" w:rsidP="009110ED">
            <w:pPr>
              <w:rPr>
                <w:rFonts w:ascii="Arial" w:hAnsi="Arial" w:cs="Arial"/>
                <w:sz w:val="12"/>
                <w:szCs w:val="12"/>
              </w:rPr>
            </w:pPr>
          </w:p>
        </w:tc>
        <w:tc>
          <w:tcPr>
            <w:tcW w:w="2268" w:type="dxa"/>
            <w:shd w:val="clear" w:color="auto" w:fill="F2F2F2"/>
            <w:hideMark/>
          </w:tcPr>
          <w:p w14:paraId="6496088D" w14:textId="77777777" w:rsidR="002A4DDF" w:rsidRPr="00937C8B" w:rsidRDefault="002A4DDF" w:rsidP="009110ED">
            <w:pPr>
              <w:rPr>
                <w:rFonts w:ascii="Arial" w:hAnsi="Arial" w:cs="Arial"/>
                <w:sz w:val="12"/>
                <w:szCs w:val="12"/>
              </w:rPr>
            </w:pPr>
            <w:r>
              <w:rPr>
                <w:rFonts w:ascii="Arial" w:hAnsi="Arial"/>
                <w:sz w:val="12"/>
                <w:szCs w:val="12"/>
              </w:rPr>
              <w:t>Villares de la Reina</w:t>
            </w:r>
          </w:p>
        </w:tc>
        <w:tc>
          <w:tcPr>
            <w:tcW w:w="2268" w:type="dxa"/>
            <w:tcBorders>
              <w:right w:val="single" w:sz="4" w:space="0" w:color="auto"/>
            </w:tcBorders>
            <w:shd w:val="clear" w:color="auto" w:fill="D9D9D9"/>
            <w:hideMark/>
          </w:tcPr>
          <w:p w14:paraId="6AD2FD22" w14:textId="77777777" w:rsidR="002A4DDF" w:rsidRPr="00937C8B" w:rsidRDefault="002A4DDF" w:rsidP="009110ED">
            <w:pPr>
              <w:rPr>
                <w:rFonts w:ascii="Arial" w:hAnsi="Arial" w:cs="Arial"/>
                <w:sz w:val="12"/>
                <w:szCs w:val="12"/>
              </w:rPr>
            </w:pPr>
            <w:r>
              <w:rPr>
                <w:rFonts w:ascii="Arial" w:hAnsi="Arial"/>
                <w:sz w:val="12"/>
                <w:szCs w:val="12"/>
              </w:rPr>
              <w:t>Masueco</w:t>
            </w:r>
          </w:p>
        </w:tc>
      </w:tr>
      <w:tr w:rsidR="002A4DDF" w:rsidRPr="00937C8B" w14:paraId="07AF194D" w14:textId="77777777" w:rsidTr="00935676">
        <w:trPr>
          <w:cantSplit/>
        </w:trPr>
        <w:tc>
          <w:tcPr>
            <w:tcW w:w="1696" w:type="dxa"/>
            <w:tcBorders>
              <w:left w:val="single" w:sz="4" w:space="0" w:color="auto"/>
            </w:tcBorders>
            <w:shd w:val="clear" w:color="auto" w:fill="auto"/>
          </w:tcPr>
          <w:p w14:paraId="07B3968A" w14:textId="77777777" w:rsidR="002A4DDF" w:rsidRPr="00937C8B" w:rsidRDefault="002A4DDF" w:rsidP="009110ED">
            <w:pPr>
              <w:rPr>
                <w:rFonts w:ascii="Arial" w:hAnsi="Arial" w:cs="Arial"/>
                <w:sz w:val="12"/>
                <w:szCs w:val="12"/>
              </w:rPr>
            </w:pPr>
          </w:p>
        </w:tc>
        <w:tc>
          <w:tcPr>
            <w:tcW w:w="1843" w:type="dxa"/>
            <w:shd w:val="clear" w:color="auto" w:fill="auto"/>
          </w:tcPr>
          <w:p w14:paraId="0FA2F138" w14:textId="77777777" w:rsidR="002A4DDF" w:rsidRPr="00937C8B" w:rsidRDefault="002A4DDF" w:rsidP="009110ED">
            <w:pPr>
              <w:rPr>
                <w:rFonts w:ascii="Arial" w:hAnsi="Arial" w:cs="Arial"/>
                <w:sz w:val="12"/>
                <w:szCs w:val="12"/>
              </w:rPr>
            </w:pPr>
          </w:p>
        </w:tc>
        <w:tc>
          <w:tcPr>
            <w:tcW w:w="2268" w:type="dxa"/>
            <w:shd w:val="clear" w:color="auto" w:fill="F2F2F2"/>
            <w:hideMark/>
          </w:tcPr>
          <w:p w14:paraId="790CB6F3" w14:textId="77777777" w:rsidR="002A4DDF" w:rsidRPr="00937C8B" w:rsidRDefault="002A4DDF" w:rsidP="009110ED">
            <w:pPr>
              <w:rPr>
                <w:rFonts w:ascii="Arial" w:hAnsi="Arial" w:cs="Arial"/>
                <w:sz w:val="12"/>
                <w:szCs w:val="12"/>
              </w:rPr>
            </w:pPr>
            <w:r>
              <w:rPr>
                <w:rFonts w:ascii="Arial" w:hAnsi="Arial"/>
                <w:sz w:val="12"/>
                <w:szCs w:val="12"/>
              </w:rPr>
              <w:t>Villarmayor</w:t>
            </w:r>
          </w:p>
        </w:tc>
        <w:tc>
          <w:tcPr>
            <w:tcW w:w="2268" w:type="dxa"/>
            <w:tcBorders>
              <w:right w:val="single" w:sz="4" w:space="0" w:color="auto"/>
            </w:tcBorders>
            <w:shd w:val="clear" w:color="auto" w:fill="D9D9D9"/>
            <w:hideMark/>
          </w:tcPr>
          <w:p w14:paraId="77D37EA9" w14:textId="77777777" w:rsidR="002A4DDF" w:rsidRPr="00937C8B" w:rsidRDefault="002A4DDF" w:rsidP="009110ED">
            <w:pPr>
              <w:rPr>
                <w:rFonts w:ascii="Arial" w:hAnsi="Arial" w:cs="Arial"/>
                <w:sz w:val="12"/>
                <w:szCs w:val="12"/>
              </w:rPr>
            </w:pPr>
            <w:r>
              <w:rPr>
                <w:rFonts w:ascii="Arial" w:hAnsi="Arial"/>
                <w:sz w:val="12"/>
                <w:szCs w:val="12"/>
              </w:rPr>
              <w:t>Membribe de la Sierra</w:t>
            </w:r>
          </w:p>
        </w:tc>
      </w:tr>
      <w:tr w:rsidR="002A4DDF" w:rsidRPr="00937C8B" w14:paraId="3548DAEF" w14:textId="77777777" w:rsidTr="00935676">
        <w:trPr>
          <w:cantSplit/>
        </w:trPr>
        <w:tc>
          <w:tcPr>
            <w:tcW w:w="1696" w:type="dxa"/>
            <w:tcBorders>
              <w:left w:val="single" w:sz="4" w:space="0" w:color="auto"/>
            </w:tcBorders>
            <w:shd w:val="clear" w:color="auto" w:fill="auto"/>
          </w:tcPr>
          <w:p w14:paraId="636A54D8" w14:textId="77777777" w:rsidR="002A4DDF" w:rsidRPr="00937C8B" w:rsidRDefault="002A4DDF" w:rsidP="009110ED">
            <w:pPr>
              <w:rPr>
                <w:rFonts w:ascii="Arial" w:hAnsi="Arial" w:cs="Arial"/>
                <w:sz w:val="12"/>
                <w:szCs w:val="12"/>
              </w:rPr>
            </w:pPr>
          </w:p>
        </w:tc>
        <w:tc>
          <w:tcPr>
            <w:tcW w:w="1843" w:type="dxa"/>
            <w:shd w:val="clear" w:color="auto" w:fill="auto"/>
          </w:tcPr>
          <w:p w14:paraId="0145D351" w14:textId="77777777" w:rsidR="002A4DDF" w:rsidRPr="00937C8B" w:rsidRDefault="002A4DDF" w:rsidP="009110ED">
            <w:pPr>
              <w:rPr>
                <w:rFonts w:ascii="Arial" w:hAnsi="Arial" w:cs="Arial"/>
                <w:sz w:val="12"/>
                <w:szCs w:val="12"/>
              </w:rPr>
            </w:pPr>
          </w:p>
        </w:tc>
        <w:tc>
          <w:tcPr>
            <w:tcW w:w="2268" w:type="dxa"/>
            <w:shd w:val="clear" w:color="auto" w:fill="F2F2F2"/>
            <w:hideMark/>
          </w:tcPr>
          <w:p w14:paraId="6EC86CAA" w14:textId="77777777" w:rsidR="002A4DDF" w:rsidRPr="00937C8B" w:rsidRDefault="002A4DDF" w:rsidP="009110ED">
            <w:pPr>
              <w:rPr>
                <w:rFonts w:ascii="Arial" w:hAnsi="Arial" w:cs="Arial"/>
                <w:sz w:val="12"/>
                <w:szCs w:val="12"/>
              </w:rPr>
            </w:pPr>
            <w:r>
              <w:rPr>
                <w:rFonts w:ascii="Arial" w:hAnsi="Arial"/>
                <w:sz w:val="12"/>
                <w:szCs w:val="12"/>
              </w:rPr>
              <w:t>Villaverde de Guareña</w:t>
            </w:r>
          </w:p>
        </w:tc>
        <w:tc>
          <w:tcPr>
            <w:tcW w:w="2268" w:type="dxa"/>
            <w:tcBorders>
              <w:right w:val="single" w:sz="4" w:space="0" w:color="auto"/>
            </w:tcBorders>
            <w:shd w:val="clear" w:color="auto" w:fill="D9D9D9"/>
            <w:hideMark/>
          </w:tcPr>
          <w:p w14:paraId="19FDB657" w14:textId="77777777" w:rsidR="002A4DDF" w:rsidRPr="00937C8B" w:rsidRDefault="002A4DDF" w:rsidP="009110ED">
            <w:pPr>
              <w:rPr>
                <w:rFonts w:ascii="Arial" w:hAnsi="Arial" w:cs="Arial"/>
                <w:sz w:val="12"/>
                <w:szCs w:val="12"/>
              </w:rPr>
            </w:pPr>
            <w:r>
              <w:rPr>
                <w:rFonts w:ascii="Arial" w:hAnsi="Arial"/>
                <w:sz w:val="12"/>
                <w:szCs w:val="12"/>
              </w:rPr>
              <w:t>Mieza</w:t>
            </w:r>
          </w:p>
        </w:tc>
      </w:tr>
      <w:tr w:rsidR="002A4DDF" w:rsidRPr="00937C8B" w14:paraId="5F316D5F" w14:textId="77777777" w:rsidTr="00935676">
        <w:trPr>
          <w:cantSplit/>
        </w:trPr>
        <w:tc>
          <w:tcPr>
            <w:tcW w:w="1696" w:type="dxa"/>
            <w:tcBorders>
              <w:left w:val="single" w:sz="4" w:space="0" w:color="auto"/>
            </w:tcBorders>
            <w:shd w:val="clear" w:color="auto" w:fill="auto"/>
          </w:tcPr>
          <w:p w14:paraId="4703C68F" w14:textId="77777777" w:rsidR="002A4DDF" w:rsidRPr="00937C8B" w:rsidRDefault="002A4DDF" w:rsidP="009110ED">
            <w:pPr>
              <w:rPr>
                <w:rFonts w:ascii="Arial" w:hAnsi="Arial" w:cs="Arial"/>
                <w:sz w:val="12"/>
                <w:szCs w:val="12"/>
              </w:rPr>
            </w:pPr>
          </w:p>
        </w:tc>
        <w:tc>
          <w:tcPr>
            <w:tcW w:w="1843" w:type="dxa"/>
            <w:shd w:val="clear" w:color="auto" w:fill="auto"/>
          </w:tcPr>
          <w:p w14:paraId="76E53D94" w14:textId="77777777" w:rsidR="002A4DDF" w:rsidRPr="00937C8B" w:rsidRDefault="002A4DDF" w:rsidP="009110ED">
            <w:pPr>
              <w:rPr>
                <w:rFonts w:ascii="Arial" w:hAnsi="Arial" w:cs="Arial"/>
                <w:sz w:val="12"/>
                <w:szCs w:val="12"/>
              </w:rPr>
            </w:pPr>
          </w:p>
        </w:tc>
        <w:tc>
          <w:tcPr>
            <w:tcW w:w="2268" w:type="dxa"/>
            <w:shd w:val="clear" w:color="auto" w:fill="F2F2F2"/>
            <w:hideMark/>
          </w:tcPr>
          <w:p w14:paraId="53784A9B" w14:textId="77777777" w:rsidR="002A4DDF" w:rsidRPr="00937C8B" w:rsidRDefault="002A4DDF" w:rsidP="009110ED">
            <w:pPr>
              <w:rPr>
                <w:rFonts w:ascii="Arial" w:hAnsi="Arial" w:cs="Arial"/>
                <w:sz w:val="12"/>
                <w:szCs w:val="12"/>
              </w:rPr>
            </w:pPr>
            <w:r>
              <w:rPr>
                <w:rFonts w:ascii="Arial" w:hAnsi="Arial"/>
                <w:sz w:val="12"/>
                <w:szCs w:val="12"/>
              </w:rPr>
              <w:t>Villoria</w:t>
            </w:r>
          </w:p>
        </w:tc>
        <w:tc>
          <w:tcPr>
            <w:tcW w:w="2268" w:type="dxa"/>
            <w:tcBorders>
              <w:right w:val="single" w:sz="4" w:space="0" w:color="auto"/>
            </w:tcBorders>
            <w:shd w:val="clear" w:color="auto" w:fill="D9D9D9"/>
            <w:hideMark/>
          </w:tcPr>
          <w:p w14:paraId="48D2EF41" w14:textId="77777777" w:rsidR="002A4DDF" w:rsidRPr="00937C8B" w:rsidRDefault="002A4DDF" w:rsidP="009110ED">
            <w:pPr>
              <w:rPr>
                <w:rFonts w:ascii="Arial" w:hAnsi="Arial" w:cs="Arial"/>
                <w:sz w:val="12"/>
                <w:szCs w:val="12"/>
              </w:rPr>
            </w:pPr>
            <w:r>
              <w:rPr>
                <w:rFonts w:ascii="Arial" w:hAnsi="Arial"/>
                <w:sz w:val="12"/>
                <w:szCs w:val="12"/>
              </w:rPr>
              <w:t>Miranda de Azán</w:t>
            </w:r>
          </w:p>
        </w:tc>
      </w:tr>
      <w:tr w:rsidR="002A4DDF" w:rsidRPr="00937C8B" w14:paraId="1EB4E3E6" w14:textId="77777777" w:rsidTr="00935676">
        <w:trPr>
          <w:cantSplit/>
        </w:trPr>
        <w:tc>
          <w:tcPr>
            <w:tcW w:w="1696" w:type="dxa"/>
            <w:tcBorders>
              <w:left w:val="single" w:sz="4" w:space="0" w:color="auto"/>
            </w:tcBorders>
            <w:shd w:val="clear" w:color="auto" w:fill="auto"/>
          </w:tcPr>
          <w:p w14:paraId="063DD0C6" w14:textId="77777777" w:rsidR="002A4DDF" w:rsidRPr="00937C8B" w:rsidRDefault="002A4DDF" w:rsidP="009110ED">
            <w:pPr>
              <w:rPr>
                <w:rFonts w:ascii="Arial" w:hAnsi="Arial" w:cs="Arial"/>
                <w:sz w:val="12"/>
                <w:szCs w:val="12"/>
              </w:rPr>
            </w:pPr>
          </w:p>
        </w:tc>
        <w:tc>
          <w:tcPr>
            <w:tcW w:w="1843" w:type="dxa"/>
            <w:shd w:val="clear" w:color="auto" w:fill="auto"/>
          </w:tcPr>
          <w:p w14:paraId="0C7EE7B1" w14:textId="77777777" w:rsidR="002A4DDF" w:rsidRPr="00937C8B" w:rsidRDefault="002A4DDF" w:rsidP="009110ED">
            <w:pPr>
              <w:rPr>
                <w:rFonts w:ascii="Arial" w:hAnsi="Arial" w:cs="Arial"/>
                <w:sz w:val="12"/>
                <w:szCs w:val="12"/>
              </w:rPr>
            </w:pPr>
          </w:p>
        </w:tc>
        <w:tc>
          <w:tcPr>
            <w:tcW w:w="2268" w:type="dxa"/>
            <w:shd w:val="clear" w:color="auto" w:fill="F2F2F2"/>
            <w:hideMark/>
          </w:tcPr>
          <w:p w14:paraId="7B8B27C5" w14:textId="77777777" w:rsidR="002A4DDF" w:rsidRPr="00937C8B" w:rsidRDefault="002A4DDF" w:rsidP="009110ED">
            <w:pPr>
              <w:rPr>
                <w:rFonts w:ascii="Arial" w:hAnsi="Arial" w:cs="Arial"/>
                <w:sz w:val="12"/>
                <w:szCs w:val="12"/>
              </w:rPr>
            </w:pPr>
            <w:r>
              <w:rPr>
                <w:rFonts w:ascii="Arial" w:hAnsi="Arial"/>
                <w:sz w:val="12"/>
                <w:szCs w:val="12"/>
              </w:rPr>
              <w:t>Villoruela</w:t>
            </w:r>
          </w:p>
        </w:tc>
        <w:tc>
          <w:tcPr>
            <w:tcW w:w="2268" w:type="dxa"/>
            <w:tcBorders>
              <w:right w:val="single" w:sz="4" w:space="0" w:color="auto"/>
            </w:tcBorders>
            <w:shd w:val="clear" w:color="auto" w:fill="D9D9D9"/>
            <w:hideMark/>
          </w:tcPr>
          <w:p w14:paraId="2481B2CB" w14:textId="77777777" w:rsidR="002A4DDF" w:rsidRPr="00937C8B" w:rsidRDefault="002A4DDF" w:rsidP="009110ED">
            <w:pPr>
              <w:rPr>
                <w:rFonts w:ascii="Arial" w:hAnsi="Arial" w:cs="Arial"/>
                <w:sz w:val="12"/>
                <w:szCs w:val="12"/>
              </w:rPr>
            </w:pPr>
            <w:r>
              <w:rPr>
                <w:rFonts w:ascii="Arial" w:hAnsi="Arial"/>
                <w:sz w:val="12"/>
                <w:szCs w:val="12"/>
              </w:rPr>
              <w:t>Miranda del Castañar</w:t>
            </w:r>
          </w:p>
        </w:tc>
      </w:tr>
      <w:tr w:rsidR="002A4DDF" w:rsidRPr="00937C8B" w14:paraId="7A733C78" w14:textId="77777777" w:rsidTr="00935676">
        <w:trPr>
          <w:cantSplit/>
        </w:trPr>
        <w:tc>
          <w:tcPr>
            <w:tcW w:w="1696" w:type="dxa"/>
            <w:tcBorders>
              <w:left w:val="single" w:sz="4" w:space="0" w:color="auto"/>
            </w:tcBorders>
            <w:shd w:val="clear" w:color="auto" w:fill="auto"/>
          </w:tcPr>
          <w:p w14:paraId="1C97B357" w14:textId="77777777" w:rsidR="002A4DDF" w:rsidRPr="00937C8B" w:rsidRDefault="002A4DDF" w:rsidP="009110ED">
            <w:pPr>
              <w:rPr>
                <w:rFonts w:ascii="Arial" w:hAnsi="Arial" w:cs="Arial"/>
                <w:sz w:val="12"/>
                <w:szCs w:val="12"/>
              </w:rPr>
            </w:pPr>
          </w:p>
        </w:tc>
        <w:tc>
          <w:tcPr>
            <w:tcW w:w="1843" w:type="dxa"/>
            <w:shd w:val="clear" w:color="auto" w:fill="auto"/>
          </w:tcPr>
          <w:p w14:paraId="02C7E0B5" w14:textId="77777777" w:rsidR="002A4DDF" w:rsidRPr="00937C8B" w:rsidRDefault="002A4DDF" w:rsidP="009110ED">
            <w:pPr>
              <w:rPr>
                <w:rFonts w:ascii="Arial" w:hAnsi="Arial" w:cs="Arial"/>
                <w:sz w:val="12"/>
                <w:szCs w:val="12"/>
              </w:rPr>
            </w:pPr>
          </w:p>
        </w:tc>
        <w:tc>
          <w:tcPr>
            <w:tcW w:w="2268" w:type="dxa"/>
            <w:shd w:val="clear" w:color="auto" w:fill="F2F2F2"/>
            <w:hideMark/>
          </w:tcPr>
          <w:p w14:paraId="490439E6" w14:textId="77777777" w:rsidR="002A4DDF" w:rsidRPr="00937C8B" w:rsidRDefault="002A4DDF" w:rsidP="009110ED">
            <w:pPr>
              <w:rPr>
                <w:rFonts w:ascii="Arial" w:hAnsi="Arial" w:cs="Arial"/>
                <w:sz w:val="12"/>
                <w:szCs w:val="12"/>
              </w:rPr>
            </w:pPr>
            <w:r>
              <w:rPr>
                <w:rFonts w:ascii="Arial" w:hAnsi="Arial"/>
                <w:sz w:val="12"/>
                <w:szCs w:val="12"/>
              </w:rPr>
              <w:t>Zarapicos</w:t>
            </w:r>
          </w:p>
        </w:tc>
        <w:tc>
          <w:tcPr>
            <w:tcW w:w="2268" w:type="dxa"/>
            <w:tcBorders>
              <w:right w:val="single" w:sz="4" w:space="0" w:color="auto"/>
            </w:tcBorders>
            <w:shd w:val="clear" w:color="auto" w:fill="D9D9D9"/>
            <w:hideMark/>
          </w:tcPr>
          <w:p w14:paraId="422E0499" w14:textId="77777777" w:rsidR="002A4DDF" w:rsidRPr="00937C8B" w:rsidRDefault="002A4DDF" w:rsidP="009110ED">
            <w:pPr>
              <w:rPr>
                <w:rFonts w:ascii="Arial" w:hAnsi="Arial" w:cs="Arial"/>
                <w:sz w:val="12"/>
                <w:szCs w:val="12"/>
              </w:rPr>
            </w:pPr>
            <w:r>
              <w:rPr>
                <w:rFonts w:ascii="Arial" w:hAnsi="Arial"/>
                <w:sz w:val="12"/>
                <w:szCs w:val="12"/>
              </w:rPr>
              <w:t>Mogarraz</w:t>
            </w:r>
          </w:p>
        </w:tc>
      </w:tr>
      <w:tr w:rsidR="002A4DDF" w:rsidRPr="00937C8B" w14:paraId="1EACF0C2" w14:textId="77777777" w:rsidTr="00935676">
        <w:trPr>
          <w:cantSplit/>
        </w:trPr>
        <w:tc>
          <w:tcPr>
            <w:tcW w:w="1696" w:type="dxa"/>
            <w:tcBorders>
              <w:left w:val="single" w:sz="4" w:space="0" w:color="auto"/>
            </w:tcBorders>
            <w:shd w:val="clear" w:color="auto" w:fill="auto"/>
          </w:tcPr>
          <w:p w14:paraId="31E3AE19" w14:textId="77777777" w:rsidR="002A4DDF" w:rsidRPr="00937C8B" w:rsidRDefault="002A4DDF" w:rsidP="009110ED">
            <w:pPr>
              <w:rPr>
                <w:rFonts w:ascii="Arial" w:hAnsi="Arial" w:cs="Arial"/>
                <w:sz w:val="12"/>
                <w:szCs w:val="12"/>
              </w:rPr>
            </w:pPr>
          </w:p>
        </w:tc>
        <w:tc>
          <w:tcPr>
            <w:tcW w:w="1843" w:type="dxa"/>
            <w:shd w:val="clear" w:color="auto" w:fill="auto"/>
          </w:tcPr>
          <w:p w14:paraId="069ABB25" w14:textId="77777777" w:rsidR="002A4DDF" w:rsidRPr="00937C8B" w:rsidRDefault="002A4DDF" w:rsidP="009110ED">
            <w:pPr>
              <w:rPr>
                <w:rFonts w:ascii="Arial" w:hAnsi="Arial" w:cs="Arial"/>
                <w:sz w:val="12"/>
                <w:szCs w:val="12"/>
              </w:rPr>
            </w:pPr>
          </w:p>
        </w:tc>
        <w:tc>
          <w:tcPr>
            <w:tcW w:w="2268" w:type="dxa"/>
            <w:shd w:val="clear" w:color="auto" w:fill="F2F2F2"/>
            <w:hideMark/>
          </w:tcPr>
          <w:p w14:paraId="790A278C" w14:textId="77777777" w:rsidR="002A4DDF" w:rsidRPr="00937C8B" w:rsidRDefault="002A4DDF" w:rsidP="009110ED">
            <w:pPr>
              <w:rPr>
                <w:rFonts w:ascii="Arial" w:hAnsi="Arial" w:cs="Arial"/>
                <w:sz w:val="12"/>
                <w:szCs w:val="12"/>
              </w:rPr>
            </w:pPr>
            <w:r>
              <w:rPr>
                <w:rFonts w:ascii="Arial" w:hAnsi="Arial"/>
                <w:sz w:val="12"/>
                <w:szCs w:val="12"/>
              </w:rPr>
              <w:t>Zorita de la Frontera</w:t>
            </w:r>
          </w:p>
        </w:tc>
        <w:tc>
          <w:tcPr>
            <w:tcW w:w="2268" w:type="dxa"/>
            <w:tcBorders>
              <w:right w:val="single" w:sz="4" w:space="0" w:color="auto"/>
            </w:tcBorders>
            <w:shd w:val="clear" w:color="auto" w:fill="D9D9D9"/>
            <w:hideMark/>
          </w:tcPr>
          <w:p w14:paraId="159C0D0A" w14:textId="77777777" w:rsidR="002A4DDF" w:rsidRPr="00937C8B" w:rsidRDefault="002A4DDF" w:rsidP="009110ED">
            <w:pPr>
              <w:rPr>
                <w:rFonts w:ascii="Arial" w:hAnsi="Arial" w:cs="Arial"/>
                <w:sz w:val="12"/>
                <w:szCs w:val="12"/>
              </w:rPr>
            </w:pPr>
            <w:r>
              <w:rPr>
                <w:rFonts w:ascii="Arial" w:hAnsi="Arial"/>
                <w:sz w:val="12"/>
                <w:szCs w:val="12"/>
              </w:rPr>
              <w:t>Molinillo</w:t>
            </w:r>
          </w:p>
        </w:tc>
      </w:tr>
      <w:tr w:rsidR="002A4DDF" w:rsidRPr="00937C8B" w14:paraId="4EEC98E3" w14:textId="77777777" w:rsidTr="00935676">
        <w:trPr>
          <w:cantSplit/>
        </w:trPr>
        <w:tc>
          <w:tcPr>
            <w:tcW w:w="1696" w:type="dxa"/>
            <w:tcBorders>
              <w:left w:val="single" w:sz="4" w:space="0" w:color="auto"/>
            </w:tcBorders>
            <w:shd w:val="clear" w:color="auto" w:fill="auto"/>
          </w:tcPr>
          <w:p w14:paraId="6B9CF7D3" w14:textId="77777777" w:rsidR="002A4DDF" w:rsidRPr="00937C8B" w:rsidRDefault="002A4DDF" w:rsidP="009110ED">
            <w:pPr>
              <w:rPr>
                <w:rFonts w:ascii="Arial" w:hAnsi="Arial" w:cs="Arial"/>
                <w:sz w:val="12"/>
                <w:szCs w:val="12"/>
              </w:rPr>
            </w:pPr>
          </w:p>
        </w:tc>
        <w:tc>
          <w:tcPr>
            <w:tcW w:w="1843" w:type="dxa"/>
            <w:shd w:val="clear" w:color="auto" w:fill="auto"/>
          </w:tcPr>
          <w:p w14:paraId="7FDC4013" w14:textId="77777777" w:rsidR="002A4DDF" w:rsidRPr="00937C8B" w:rsidRDefault="002A4DDF" w:rsidP="009110ED">
            <w:pPr>
              <w:rPr>
                <w:rFonts w:ascii="Arial" w:hAnsi="Arial" w:cs="Arial"/>
                <w:sz w:val="12"/>
                <w:szCs w:val="12"/>
              </w:rPr>
            </w:pPr>
          </w:p>
        </w:tc>
        <w:tc>
          <w:tcPr>
            <w:tcW w:w="2268" w:type="dxa"/>
            <w:shd w:val="clear" w:color="auto" w:fill="F2F2F2"/>
            <w:hideMark/>
          </w:tcPr>
          <w:p w14:paraId="3F9324C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AF75E62" w14:textId="77777777" w:rsidR="002A4DDF" w:rsidRPr="00937C8B" w:rsidRDefault="002A4DDF" w:rsidP="009110ED">
            <w:pPr>
              <w:rPr>
                <w:rFonts w:ascii="Arial" w:hAnsi="Arial" w:cs="Arial"/>
                <w:sz w:val="12"/>
                <w:szCs w:val="12"/>
              </w:rPr>
            </w:pPr>
            <w:r>
              <w:rPr>
                <w:rFonts w:ascii="Arial" w:hAnsi="Arial"/>
                <w:sz w:val="12"/>
                <w:szCs w:val="12"/>
              </w:rPr>
              <w:t>Monforte de la Sierra</w:t>
            </w:r>
          </w:p>
        </w:tc>
      </w:tr>
      <w:tr w:rsidR="002A4DDF" w:rsidRPr="00937C8B" w14:paraId="0EE591A7" w14:textId="77777777" w:rsidTr="00935676">
        <w:trPr>
          <w:cantSplit/>
        </w:trPr>
        <w:tc>
          <w:tcPr>
            <w:tcW w:w="1696" w:type="dxa"/>
            <w:tcBorders>
              <w:left w:val="single" w:sz="4" w:space="0" w:color="auto"/>
            </w:tcBorders>
            <w:shd w:val="clear" w:color="auto" w:fill="auto"/>
          </w:tcPr>
          <w:p w14:paraId="65B21AA6" w14:textId="77777777" w:rsidR="002A4DDF" w:rsidRPr="00937C8B" w:rsidRDefault="002A4DDF" w:rsidP="009110ED">
            <w:pPr>
              <w:rPr>
                <w:rFonts w:ascii="Arial" w:hAnsi="Arial" w:cs="Arial"/>
                <w:sz w:val="12"/>
                <w:szCs w:val="12"/>
              </w:rPr>
            </w:pPr>
          </w:p>
        </w:tc>
        <w:tc>
          <w:tcPr>
            <w:tcW w:w="1843" w:type="dxa"/>
            <w:shd w:val="clear" w:color="auto" w:fill="auto"/>
          </w:tcPr>
          <w:p w14:paraId="7CB53881" w14:textId="77777777" w:rsidR="002A4DDF" w:rsidRPr="00937C8B" w:rsidRDefault="002A4DDF" w:rsidP="009110ED">
            <w:pPr>
              <w:rPr>
                <w:rFonts w:ascii="Arial" w:hAnsi="Arial" w:cs="Arial"/>
                <w:sz w:val="12"/>
                <w:szCs w:val="12"/>
              </w:rPr>
            </w:pPr>
          </w:p>
        </w:tc>
        <w:tc>
          <w:tcPr>
            <w:tcW w:w="2268" w:type="dxa"/>
            <w:shd w:val="clear" w:color="auto" w:fill="F2F2F2"/>
            <w:hideMark/>
          </w:tcPr>
          <w:p w14:paraId="4F45A3C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DA8C6F6" w14:textId="77777777" w:rsidR="002A4DDF" w:rsidRPr="00937C8B" w:rsidRDefault="002A4DDF" w:rsidP="009110ED">
            <w:pPr>
              <w:rPr>
                <w:rFonts w:ascii="Arial" w:hAnsi="Arial" w:cs="Arial"/>
                <w:sz w:val="12"/>
                <w:szCs w:val="12"/>
              </w:rPr>
            </w:pPr>
            <w:r>
              <w:rPr>
                <w:rFonts w:ascii="Arial" w:hAnsi="Arial"/>
                <w:sz w:val="12"/>
                <w:szCs w:val="12"/>
              </w:rPr>
              <w:t>Monleón</w:t>
            </w:r>
          </w:p>
        </w:tc>
      </w:tr>
      <w:tr w:rsidR="002A4DDF" w:rsidRPr="00937C8B" w14:paraId="3C0F7C5C" w14:textId="77777777" w:rsidTr="00935676">
        <w:trPr>
          <w:cantSplit/>
        </w:trPr>
        <w:tc>
          <w:tcPr>
            <w:tcW w:w="1696" w:type="dxa"/>
            <w:tcBorders>
              <w:left w:val="single" w:sz="4" w:space="0" w:color="auto"/>
            </w:tcBorders>
            <w:shd w:val="clear" w:color="auto" w:fill="auto"/>
          </w:tcPr>
          <w:p w14:paraId="181175AF" w14:textId="77777777" w:rsidR="002A4DDF" w:rsidRPr="00937C8B" w:rsidRDefault="002A4DDF" w:rsidP="009110ED">
            <w:pPr>
              <w:rPr>
                <w:rFonts w:ascii="Arial" w:hAnsi="Arial" w:cs="Arial"/>
                <w:sz w:val="12"/>
                <w:szCs w:val="12"/>
              </w:rPr>
            </w:pPr>
          </w:p>
        </w:tc>
        <w:tc>
          <w:tcPr>
            <w:tcW w:w="1843" w:type="dxa"/>
            <w:shd w:val="clear" w:color="auto" w:fill="auto"/>
          </w:tcPr>
          <w:p w14:paraId="70DC6F05" w14:textId="77777777" w:rsidR="002A4DDF" w:rsidRPr="00937C8B" w:rsidRDefault="002A4DDF" w:rsidP="009110ED">
            <w:pPr>
              <w:rPr>
                <w:rFonts w:ascii="Arial" w:hAnsi="Arial" w:cs="Arial"/>
                <w:sz w:val="12"/>
                <w:szCs w:val="12"/>
              </w:rPr>
            </w:pPr>
          </w:p>
        </w:tc>
        <w:tc>
          <w:tcPr>
            <w:tcW w:w="2268" w:type="dxa"/>
            <w:shd w:val="clear" w:color="auto" w:fill="F2F2F2"/>
            <w:hideMark/>
          </w:tcPr>
          <w:p w14:paraId="539C18B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66CEEBC" w14:textId="77777777" w:rsidR="002A4DDF" w:rsidRPr="00937C8B" w:rsidRDefault="002A4DDF" w:rsidP="009110ED">
            <w:pPr>
              <w:rPr>
                <w:rFonts w:ascii="Arial" w:hAnsi="Arial" w:cs="Arial"/>
                <w:sz w:val="12"/>
                <w:szCs w:val="12"/>
              </w:rPr>
            </w:pPr>
            <w:r>
              <w:rPr>
                <w:rFonts w:ascii="Arial" w:hAnsi="Arial"/>
                <w:sz w:val="12"/>
                <w:szCs w:val="12"/>
              </w:rPr>
              <w:t>Monleras</w:t>
            </w:r>
          </w:p>
        </w:tc>
      </w:tr>
      <w:tr w:rsidR="002A4DDF" w:rsidRPr="00937C8B" w14:paraId="72D85E20" w14:textId="77777777" w:rsidTr="00935676">
        <w:trPr>
          <w:cantSplit/>
        </w:trPr>
        <w:tc>
          <w:tcPr>
            <w:tcW w:w="1696" w:type="dxa"/>
            <w:tcBorders>
              <w:left w:val="single" w:sz="4" w:space="0" w:color="auto"/>
            </w:tcBorders>
            <w:shd w:val="clear" w:color="auto" w:fill="auto"/>
          </w:tcPr>
          <w:p w14:paraId="3922BC00" w14:textId="77777777" w:rsidR="002A4DDF" w:rsidRPr="00937C8B" w:rsidRDefault="002A4DDF" w:rsidP="009110ED">
            <w:pPr>
              <w:rPr>
                <w:rFonts w:ascii="Arial" w:hAnsi="Arial" w:cs="Arial"/>
                <w:sz w:val="12"/>
                <w:szCs w:val="12"/>
              </w:rPr>
            </w:pPr>
          </w:p>
        </w:tc>
        <w:tc>
          <w:tcPr>
            <w:tcW w:w="1843" w:type="dxa"/>
            <w:shd w:val="clear" w:color="auto" w:fill="auto"/>
          </w:tcPr>
          <w:p w14:paraId="04931908" w14:textId="77777777" w:rsidR="002A4DDF" w:rsidRPr="00937C8B" w:rsidRDefault="002A4DDF" w:rsidP="009110ED">
            <w:pPr>
              <w:rPr>
                <w:rFonts w:ascii="Arial" w:hAnsi="Arial" w:cs="Arial"/>
                <w:sz w:val="12"/>
                <w:szCs w:val="12"/>
              </w:rPr>
            </w:pPr>
          </w:p>
        </w:tc>
        <w:tc>
          <w:tcPr>
            <w:tcW w:w="2268" w:type="dxa"/>
            <w:shd w:val="clear" w:color="auto" w:fill="F2F2F2"/>
            <w:hideMark/>
          </w:tcPr>
          <w:p w14:paraId="1A33F0E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5AD4261" w14:textId="77777777" w:rsidR="002A4DDF" w:rsidRPr="00937C8B" w:rsidRDefault="002A4DDF" w:rsidP="009110ED">
            <w:pPr>
              <w:rPr>
                <w:rFonts w:ascii="Arial" w:hAnsi="Arial" w:cs="Arial"/>
                <w:sz w:val="12"/>
                <w:szCs w:val="12"/>
              </w:rPr>
            </w:pPr>
            <w:r>
              <w:rPr>
                <w:rFonts w:ascii="Arial" w:hAnsi="Arial"/>
                <w:sz w:val="12"/>
                <w:szCs w:val="12"/>
              </w:rPr>
              <w:t>Monsagro</w:t>
            </w:r>
          </w:p>
        </w:tc>
      </w:tr>
      <w:tr w:rsidR="002A4DDF" w:rsidRPr="00937C8B" w14:paraId="4F7AE340" w14:textId="77777777" w:rsidTr="00935676">
        <w:trPr>
          <w:cantSplit/>
        </w:trPr>
        <w:tc>
          <w:tcPr>
            <w:tcW w:w="1696" w:type="dxa"/>
            <w:tcBorders>
              <w:left w:val="single" w:sz="4" w:space="0" w:color="auto"/>
            </w:tcBorders>
            <w:shd w:val="clear" w:color="auto" w:fill="auto"/>
          </w:tcPr>
          <w:p w14:paraId="719FD820" w14:textId="77777777" w:rsidR="002A4DDF" w:rsidRPr="00937C8B" w:rsidRDefault="002A4DDF" w:rsidP="009110ED">
            <w:pPr>
              <w:rPr>
                <w:rFonts w:ascii="Arial" w:hAnsi="Arial" w:cs="Arial"/>
                <w:sz w:val="12"/>
                <w:szCs w:val="12"/>
              </w:rPr>
            </w:pPr>
          </w:p>
        </w:tc>
        <w:tc>
          <w:tcPr>
            <w:tcW w:w="1843" w:type="dxa"/>
            <w:shd w:val="clear" w:color="auto" w:fill="auto"/>
          </w:tcPr>
          <w:p w14:paraId="1C33300C" w14:textId="77777777" w:rsidR="002A4DDF" w:rsidRPr="00937C8B" w:rsidRDefault="002A4DDF" w:rsidP="009110ED">
            <w:pPr>
              <w:rPr>
                <w:rFonts w:ascii="Arial" w:hAnsi="Arial" w:cs="Arial"/>
                <w:sz w:val="12"/>
                <w:szCs w:val="12"/>
              </w:rPr>
            </w:pPr>
          </w:p>
        </w:tc>
        <w:tc>
          <w:tcPr>
            <w:tcW w:w="2268" w:type="dxa"/>
            <w:shd w:val="clear" w:color="auto" w:fill="F2F2F2"/>
            <w:hideMark/>
          </w:tcPr>
          <w:p w14:paraId="72C70FE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9B9FF10" w14:textId="77777777" w:rsidR="002A4DDF" w:rsidRPr="00937C8B" w:rsidRDefault="002A4DDF" w:rsidP="009110ED">
            <w:pPr>
              <w:rPr>
                <w:rFonts w:ascii="Arial" w:hAnsi="Arial" w:cs="Arial"/>
                <w:sz w:val="12"/>
                <w:szCs w:val="12"/>
              </w:rPr>
            </w:pPr>
            <w:r>
              <w:rPr>
                <w:rFonts w:ascii="Arial" w:hAnsi="Arial"/>
                <w:sz w:val="12"/>
                <w:szCs w:val="12"/>
              </w:rPr>
              <w:t>Montejo</w:t>
            </w:r>
          </w:p>
        </w:tc>
      </w:tr>
      <w:tr w:rsidR="002A4DDF" w:rsidRPr="00937C8B" w14:paraId="684684DC" w14:textId="77777777" w:rsidTr="00935676">
        <w:trPr>
          <w:cantSplit/>
        </w:trPr>
        <w:tc>
          <w:tcPr>
            <w:tcW w:w="1696" w:type="dxa"/>
            <w:tcBorders>
              <w:left w:val="single" w:sz="4" w:space="0" w:color="auto"/>
            </w:tcBorders>
            <w:shd w:val="clear" w:color="auto" w:fill="auto"/>
          </w:tcPr>
          <w:p w14:paraId="386CF14E" w14:textId="77777777" w:rsidR="002A4DDF" w:rsidRPr="00937C8B" w:rsidRDefault="002A4DDF" w:rsidP="009110ED">
            <w:pPr>
              <w:rPr>
                <w:rFonts w:ascii="Arial" w:hAnsi="Arial" w:cs="Arial"/>
                <w:sz w:val="12"/>
                <w:szCs w:val="12"/>
              </w:rPr>
            </w:pPr>
          </w:p>
        </w:tc>
        <w:tc>
          <w:tcPr>
            <w:tcW w:w="1843" w:type="dxa"/>
            <w:shd w:val="clear" w:color="auto" w:fill="auto"/>
          </w:tcPr>
          <w:p w14:paraId="46721C1F" w14:textId="77777777" w:rsidR="002A4DDF" w:rsidRPr="00937C8B" w:rsidRDefault="002A4DDF" w:rsidP="009110ED">
            <w:pPr>
              <w:rPr>
                <w:rFonts w:ascii="Arial" w:hAnsi="Arial" w:cs="Arial"/>
                <w:sz w:val="12"/>
                <w:szCs w:val="12"/>
              </w:rPr>
            </w:pPr>
          </w:p>
        </w:tc>
        <w:tc>
          <w:tcPr>
            <w:tcW w:w="2268" w:type="dxa"/>
            <w:shd w:val="clear" w:color="auto" w:fill="F2F2F2"/>
            <w:hideMark/>
          </w:tcPr>
          <w:p w14:paraId="22ADA27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A3F44FD" w14:textId="77777777" w:rsidR="002A4DDF" w:rsidRPr="00937C8B" w:rsidRDefault="002A4DDF" w:rsidP="009110ED">
            <w:pPr>
              <w:rPr>
                <w:rFonts w:ascii="Arial" w:hAnsi="Arial" w:cs="Arial"/>
                <w:sz w:val="12"/>
                <w:szCs w:val="12"/>
              </w:rPr>
            </w:pPr>
            <w:r>
              <w:rPr>
                <w:rFonts w:ascii="Arial" w:hAnsi="Arial"/>
                <w:sz w:val="12"/>
                <w:szCs w:val="12"/>
              </w:rPr>
              <w:t>Montemayor del Río</w:t>
            </w:r>
          </w:p>
        </w:tc>
      </w:tr>
      <w:tr w:rsidR="002A4DDF" w:rsidRPr="00937C8B" w14:paraId="32C010E7" w14:textId="77777777" w:rsidTr="00935676">
        <w:trPr>
          <w:cantSplit/>
        </w:trPr>
        <w:tc>
          <w:tcPr>
            <w:tcW w:w="1696" w:type="dxa"/>
            <w:tcBorders>
              <w:left w:val="single" w:sz="4" w:space="0" w:color="auto"/>
            </w:tcBorders>
            <w:shd w:val="clear" w:color="auto" w:fill="auto"/>
          </w:tcPr>
          <w:p w14:paraId="7463DBF0" w14:textId="77777777" w:rsidR="002A4DDF" w:rsidRPr="00937C8B" w:rsidRDefault="002A4DDF" w:rsidP="009110ED">
            <w:pPr>
              <w:rPr>
                <w:rFonts w:ascii="Arial" w:hAnsi="Arial" w:cs="Arial"/>
                <w:sz w:val="12"/>
                <w:szCs w:val="12"/>
              </w:rPr>
            </w:pPr>
          </w:p>
        </w:tc>
        <w:tc>
          <w:tcPr>
            <w:tcW w:w="1843" w:type="dxa"/>
            <w:shd w:val="clear" w:color="auto" w:fill="auto"/>
          </w:tcPr>
          <w:p w14:paraId="35F9753B" w14:textId="77777777" w:rsidR="002A4DDF" w:rsidRPr="00937C8B" w:rsidRDefault="002A4DDF" w:rsidP="009110ED">
            <w:pPr>
              <w:rPr>
                <w:rFonts w:ascii="Arial" w:hAnsi="Arial" w:cs="Arial"/>
                <w:sz w:val="12"/>
                <w:szCs w:val="12"/>
              </w:rPr>
            </w:pPr>
          </w:p>
        </w:tc>
        <w:tc>
          <w:tcPr>
            <w:tcW w:w="2268" w:type="dxa"/>
            <w:shd w:val="clear" w:color="auto" w:fill="F2F2F2"/>
            <w:hideMark/>
          </w:tcPr>
          <w:p w14:paraId="3E1339C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29BEC2C" w14:textId="77777777" w:rsidR="002A4DDF" w:rsidRPr="00937C8B" w:rsidRDefault="002A4DDF" w:rsidP="009110ED">
            <w:pPr>
              <w:rPr>
                <w:rFonts w:ascii="Arial" w:hAnsi="Arial" w:cs="Arial"/>
                <w:sz w:val="12"/>
                <w:szCs w:val="12"/>
              </w:rPr>
            </w:pPr>
            <w:r>
              <w:rPr>
                <w:rFonts w:ascii="Arial" w:hAnsi="Arial"/>
                <w:sz w:val="12"/>
                <w:szCs w:val="12"/>
              </w:rPr>
              <w:t>Monterrubio de la Sierra</w:t>
            </w:r>
          </w:p>
        </w:tc>
      </w:tr>
      <w:tr w:rsidR="002A4DDF" w:rsidRPr="00937C8B" w14:paraId="7DAAA1B4" w14:textId="77777777" w:rsidTr="00935676">
        <w:trPr>
          <w:cantSplit/>
        </w:trPr>
        <w:tc>
          <w:tcPr>
            <w:tcW w:w="1696" w:type="dxa"/>
            <w:tcBorders>
              <w:left w:val="single" w:sz="4" w:space="0" w:color="auto"/>
            </w:tcBorders>
            <w:shd w:val="clear" w:color="auto" w:fill="auto"/>
          </w:tcPr>
          <w:p w14:paraId="0D553B40" w14:textId="77777777" w:rsidR="002A4DDF" w:rsidRPr="00937C8B" w:rsidRDefault="002A4DDF" w:rsidP="009110ED">
            <w:pPr>
              <w:rPr>
                <w:rFonts w:ascii="Arial" w:hAnsi="Arial" w:cs="Arial"/>
                <w:sz w:val="12"/>
                <w:szCs w:val="12"/>
              </w:rPr>
            </w:pPr>
          </w:p>
        </w:tc>
        <w:tc>
          <w:tcPr>
            <w:tcW w:w="1843" w:type="dxa"/>
            <w:shd w:val="clear" w:color="auto" w:fill="auto"/>
          </w:tcPr>
          <w:p w14:paraId="19CEBBC0" w14:textId="77777777" w:rsidR="002A4DDF" w:rsidRPr="00937C8B" w:rsidRDefault="002A4DDF" w:rsidP="009110ED">
            <w:pPr>
              <w:rPr>
                <w:rFonts w:ascii="Arial" w:hAnsi="Arial" w:cs="Arial"/>
                <w:sz w:val="12"/>
                <w:szCs w:val="12"/>
              </w:rPr>
            </w:pPr>
          </w:p>
        </w:tc>
        <w:tc>
          <w:tcPr>
            <w:tcW w:w="2268" w:type="dxa"/>
            <w:shd w:val="clear" w:color="auto" w:fill="F2F2F2"/>
            <w:hideMark/>
          </w:tcPr>
          <w:p w14:paraId="2B0582C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D75DCF7" w14:textId="77777777" w:rsidR="002A4DDF" w:rsidRPr="00937C8B" w:rsidRDefault="002A4DDF" w:rsidP="009110ED">
            <w:pPr>
              <w:rPr>
                <w:rFonts w:ascii="Arial" w:hAnsi="Arial" w:cs="Arial"/>
                <w:sz w:val="12"/>
                <w:szCs w:val="12"/>
              </w:rPr>
            </w:pPr>
            <w:r>
              <w:rPr>
                <w:rFonts w:ascii="Arial" w:hAnsi="Arial"/>
                <w:sz w:val="12"/>
                <w:szCs w:val="12"/>
              </w:rPr>
              <w:t>Moronta</w:t>
            </w:r>
          </w:p>
        </w:tc>
      </w:tr>
      <w:tr w:rsidR="002A4DDF" w:rsidRPr="00937C8B" w14:paraId="45D15F59" w14:textId="77777777" w:rsidTr="00935676">
        <w:trPr>
          <w:cantSplit/>
        </w:trPr>
        <w:tc>
          <w:tcPr>
            <w:tcW w:w="1696" w:type="dxa"/>
            <w:tcBorders>
              <w:left w:val="single" w:sz="4" w:space="0" w:color="auto"/>
            </w:tcBorders>
            <w:shd w:val="clear" w:color="auto" w:fill="auto"/>
          </w:tcPr>
          <w:p w14:paraId="160A7C84" w14:textId="77777777" w:rsidR="002A4DDF" w:rsidRPr="00937C8B" w:rsidRDefault="002A4DDF" w:rsidP="009110ED">
            <w:pPr>
              <w:rPr>
                <w:rFonts w:ascii="Arial" w:hAnsi="Arial" w:cs="Arial"/>
                <w:sz w:val="12"/>
                <w:szCs w:val="12"/>
              </w:rPr>
            </w:pPr>
          </w:p>
        </w:tc>
        <w:tc>
          <w:tcPr>
            <w:tcW w:w="1843" w:type="dxa"/>
            <w:shd w:val="clear" w:color="auto" w:fill="auto"/>
          </w:tcPr>
          <w:p w14:paraId="2B578CD3" w14:textId="77777777" w:rsidR="002A4DDF" w:rsidRPr="00937C8B" w:rsidRDefault="002A4DDF" w:rsidP="009110ED">
            <w:pPr>
              <w:rPr>
                <w:rFonts w:ascii="Arial" w:hAnsi="Arial" w:cs="Arial"/>
                <w:sz w:val="12"/>
                <w:szCs w:val="12"/>
              </w:rPr>
            </w:pPr>
          </w:p>
        </w:tc>
        <w:tc>
          <w:tcPr>
            <w:tcW w:w="2268" w:type="dxa"/>
            <w:shd w:val="clear" w:color="auto" w:fill="F2F2F2"/>
            <w:hideMark/>
          </w:tcPr>
          <w:p w14:paraId="58C24F5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169E05F" w14:textId="77777777" w:rsidR="002A4DDF" w:rsidRPr="00937C8B" w:rsidRDefault="002A4DDF" w:rsidP="009110ED">
            <w:pPr>
              <w:rPr>
                <w:rFonts w:ascii="Arial" w:hAnsi="Arial" w:cs="Arial"/>
                <w:sz w:val="12"/>
                <w:szCs w:val="12"/>
              </w:rPr>
            </w:pPr>
            <w:r>
              <w:rPr>
                <w:rFonts w:ascii="Arial" w:hAnsi="Arial"/>
                <w:sz w:val="12"/>
                <w:szCs w:val="12"/>
              </w:rPr>
              <w:t>Mozárbez</w:t>
            </w:r>
          </w:p>
        </w:tc>
      </w:tr>
      <w:tr w:rsidR="002A4DDF" w:rsidRPr="00937C8B" w14:paraId="4BBA620C" w14:textId="77777777" w:rsidTr="00935676">
        <w:trPr>
          <w:cantSplit/>
        </w:trPr>
        <w:tc>
          <w:tcPr>
            <w:tcW w:w="1696" w:type="dxa"/>
            <w:tcBorders>
              <w:left w:val="single" w:sz="4" w:space="0" w:color="auto"/>
            </w:tcBorders>
            <w:shd w:val="clear" w:color="auto" w:fill="auto"/>
          </w:tcPr>
          <w:p w14:paraId="0C43B413" w14:textId="77777777" w:rsidR="002A4DDF" w:rsidRPr="00937C8B" w:rsidRDefault="002A4DDF" w:rsidP="009110ED">
            <w:pPr>
              <w:rPr>
                <w:rFonts w:ascii="Arial" w:hAnsi="Arial" w:cs="Arial"/>
                <w:sz w:val="12"/>
                <w:szCs w:val="12"/>
              </w:rPr>
            </w:pPr>
          </w:p>
        </w:tc>
        <w:tc>
          <w:tcPr>
            <w:tcW w:w="1843" w:type="dxa"/>
            <w:shd w:val="clear" w:color="auto" w:fill="auto"/>
          </w:tcPr>
          <w:p w14:paraId="1C5FEF1B" w14:textId="77777777" w:rsidR="002A4DDF" w:rsidRPr="00937C8B" w:rsidRDefault="002A4DDF" w:rsidP="009110ED">
            <w:pPr>
              <w:rPr>
                <w:rFonts w:ascii="Arial" w:hAnsi="Arial" w:cs="Arial"/>
                <w:sz w:val="12"/>
                <w:szCs w:val="12"/>
              </w:rPr>
            </w:pPr>
          </w:p>
        </w:tc>
        <w:tc>
          <w:tcPr>
            <w:tcW w:w="2268" w:type="dxa"/>
            <w:shd w:val="clear" w:color="auto" w:fill="F2F2F2"/>
            <w:hideMark/>
          </w:tcPr>
          <w:p w14:paraId="2764AD1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C51DDE4" w14:textId="77777777" w:rsidR="002A4DDF" w:rsidRPr="00937C8B" w:rsidRDefault="002A4DDF" w:rsidP="009110ED">
            <w:pPr>
              <w:rPr>
                <w:rFonts w:ascii="Arial" w:hAnsi="Arial" w:cs="Arial"/>
                <w:sz w:val="12"/>
                <w:szCs w:val="12"/>
              </w:rPr>
            </w:pPr>
            <w:r>
              <w:rPr>
                <w:rFonts w:ascii="Arial" w:hAnsi="Arial"/>
                <w:sz w:val="12"/>
                <w:szCs w:val="12"/>
              </w:rPr>
              <w:t>Narros de Matalayegua</w:t>
            </w:r>
          </w:p>
        </w:tc>
      </w:tr>
      <w:tr w:rsidR="002A4DDF" w:rsidRPr="00937C8B" w14:paraId="6BC086DD" w14:textId="77777777" w:rsidTr="00935676">
        <w:trPr>
          <w:cantSplit/>
        </w:trPr>
        <w:tc>
          <w:tcPr>
            <w:tcW w:w="1696" w:type="dxa"/>
            <w:tcBorders>
              <w:left w:val="single" w:sz="4" w:space="0" w:color="auto"/>
            </w:tcBorders>
            <w:shd w:val="clear" w:color="auto" w:fill="auto"/>
          </w:tcPr>
          <w:p w14:paraId="4850479E" w14:textId="77777777" w:rsidR="002A4DDF" w:rsidRPr="00937C8B" w:rsidRDefault="002A4DDF" w:rsidP="009110ED">
            <w:pPr>
              <w:rPr>
                <w:rFonts w:ascii="Arial" w:hAnsi="Arial" w:cs="Arial"/>
                <w:sz w:val="12"/>
                <w:szCs w:val="12"/>
              </w:rPr>
            </w:pPr>
          </w:p>
        </w:tc>
        <w:tc>
          <w:tcPr>
            <w:tcW w:w="1843" w:type="dxa"/>
            <w:shd w:val="clear" w:color="auto" w:fill="auto"/>
          </w:tcPr>
          <w:p w14:paraId="4AD84965" w14:textId="77777777" w:rsidR="002A4DDF" w:rsidRPr="00937C8B" w:rsidRDefault="002A4DDF" w:rsidP="009110ED">
            <w:pPr>
              <w:rPr>
                <w:rFonts w:ascii="Arial" w:hAnsi="Arial" w:cs="Arial"/>
                <w:sz w:val="12"/>
                <w:szCs w:val="12"/>
              </w:rPr>
            </w:pPr>
          </w:p>
        </w:tc>
        <w:tc>
          <w:tcPr>
            <w:tcW w:w="2268" w:type="dxa"/>
            <w:shd w:val="clear" w:color="auto" w:fill="F2F2F2"/>
            <w:hideMark/>
          </w:tcPr>
          <w:p w14:paraId="66848F1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67258AD" w14:textId="77777777" w:rsidR="002A4DDF" w:rsidRPr="00937C8B" w:rsidRDefault="002A4DDF" w:rsidP="009110ED">
            <w:pPr>
              <w:rPr>
                <w:rFonts w:ascii="Arial" w:hAnsi="Arial" w:cs="Arial"/>
                <w:sz w:val="12"/>
                <w:szCs w:val="12"/>
              </w:rPr>
            </w:pPr>
            <w:r>
              <w:rPr>
                <w:rFonts w:ascii="Arial" w:hAnsi="Arial"/>
                <w:sz w:val="12"/>
                <w:szCs w:val="12"/>
              </w:rPr>
              <w:t>Nava de Béjar</w:t>
            </w:r>
          </w:p>
        </w:tc>
      </w:tr>
      <w:tr w:rsidR="002A4DDF" w:rsidRPr="00937C8B" w14:paraId="482958D9" w14:textId="77777777" w:rsidTr="00935676">
        <w:trPr>
          <w:cantSplit/>
        </w:trPr>
        <w:tc>
          <w:tcPr>
            <w:tcW w:w="1696" w:type="dxa"/>
            <w:tcBorders>
              <w:left w:val="single" w:sz="4" w:space="0" w:color="auto"/>
            </w:tcBorders>
            <w:shd w:val="clear" w:color="auto" w:fill="auto"/>
          </w:tcPr>
          <w:p w14:paraId="5402B7F5" w14:textId="77777777" w:rsidR="002A4DDF" w:rsidRPr="00937C8B" w:rsidRDefault="002A4DDF" w:rsidP="009110ED">
            <w:pPr>
              <w:rPr>
                <w:rFonts w:ascii="Arial" w:hAnsi="Arial" w:cs="Arial"/>
                <w:sz w:val="12"/>
                <w:szCs w:val="12"/>
              </w:rPr>
            </w:pPr>
          </w:p>
        </w:tc>
        <w:tc>
          <w:tcPr>
            <w:tcW w:w="1843" w:type="dxa"/>
            <w:shd w:val="clear" w:color="auto" w:fill="auto"/>
          </w:tcPr>
          <w:p w14:paraId="07580C99" w14:textId="77777777" w:rsidR="002A4DDF" w:rsidRPr="00937C8B" w:rsidRDefault="002A4DDF" w:rsidP="009110ED">
            <w:pPr>
              <w:rPr>
                <w:rFonts w:ascii="Arial" w:hAnsi="Arial" w:cs="Arial"/>
                <w:sz w:val="12"/>
                <w:szCs w:val="12"/>
              </w:rPr>
            </w:pPr>
          </w:p>
        </w:tc>
        <w:tc>
          <w:tcPr>
            <w:tcW w:w="2268" w:type="dxa"/>
            <w:shd w:val="clear" w:color="auto" w:fill="F2F2F2"/>
            <w:hideMark/>
          </w:tcPr>
          <w:p w14:paraId="57E7EDD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79C745F" w14:textId="77777777" w:rsidR="002A4DDF" w:rsidRPr="00937C8B" w:rsidRDefault="002A4DDF" w:rsidP="009110ED">
            <w:pPr>
              <w:rPr>
                <w:rFonts w:ascii="Arial" w:hAnsi="Arial" w:cs="Arial"/>
                <w:sz w:val="12"/>
                <w:szCs w:val="12"/>
              </w:rPr>
            </w:pPr>
            <w:r>
              <w:rPr>
                <w:rFonts w:ascii="Arial" w:hAnsi="Arial"/>
                <w:sz w:val="12"/>
                <w:szCs w:val="12"/>
              </w:rPr>
              <w:t>Nava de Francia</w:t>
            </w:r>
          </w:p>
        </w:tc>
      </w:tr>
      <w:tr w:rsidR="002A4DDF" w:rsidRPr="00937C8B" w14:paraId="79EFF3C3" w14:textId="77777777" w:rsidTr="00935676">
        <w:trPr>
          <w:cantSplit/>
        </w:trPr>
        <w:tc>
          <w:tcPr>
            <w:tcW w:w="1696" w:type="dxa"/>
            <w:tcBorders>
              <w:left w:val="single" w:sz="4" w:space="0" w:color="auto"/>
            </w:tcBorders>
            <w:shd w:val="clear" w:color="auto" w:fill="auto"/>
          </w:tcPr>
          <w:p w14:paraId="75424BE1" w14:textId="77777777" w:rsidR="002A4DDF" w:rsidRPr="00937C8B" w:rsidRDefault="002A4DDF" w:rsidP="009110ED">
            <w:pPr>
              <w:rPr>
                <w:rFonts w:ascii="Arial" w:hAnsi="Arial" w:cs="Arial"/>
                <w:sz w:val="12"/>
                <w:szCs w:val="12"/>
              </w:rPr>
            </w:pPr>
          </w:p>
        </w:tc>
        <w:tc>
          <w:tcPr>
            <w:tcW w:w="1843" w:type="dxa"/>
            <w:shd w:val="clear" w:color="auto" w:fill="auto"/>
          </w:tcPr>
          <w:p w14:paraId="0B65E8C8" w14:textId="77777777" w:rsidR="002A4DDF" w:rsidRPr="00937C8B" w:rsidRDefault="002A4DDF" w:rsidP="009110ED">
            <w:pPr>
              <w:rPr>
                <w:rFonts w:ascii="Arial" w:hAnsi="Arial" w:cs="Arial"/>
                <w:sz w:val="12"/>
                <w:szCs w:val="12"/>
              </w:rPr>
            </w:pPr>
          </w:p>
        </w:tc>
        <w:tc>
          <w:tcPr>
            <w:tcW w:w="2268" w:type="dxa"/>
            <w:shd w:val="clear" w:color="auto" w:fill="F2F2F2"/>
            <w:hideMark/>
          </w:tcPr>
          <w:p w14:paraId="5FA005D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90BEF81" w14:textId="77777777" w:rsidR="002A4DDF" w:rsidRPr="00937C8B" w:rsidRDefault="002A4DDF" w:rsidP="009110ED">
            <w:pPr>
              <w:rPr>
                <w:rFonts w:ascii="Arial" w:hAnsi="Arial" w:cs="Arial"/>
                <w:sz w:val="12"/>
                <w:szCs w:val="12"/>
              </w:rPr>
            </w:pPr>
            <w:r>
              <w:rPr>
                <w:rFonts w:ascii="Arial" w:hAnsi="Arial"/>
                <w:sz w:val="12"/>
                <w:szCs w:val="12"/>
              </w:rPr>
              <w:t>Navacarros</w:t>
            </w:r>
          </w:p>
        </w:tc>
      </w:tr>
      <w:tr w:rsidR="002A4DDF" w:rsidRPr="00937C8B" w14:paraId="43DEDBCA" w14:textId="77777777" w:rsidTr="00935676">
        <w:trPr>
          <w:cantSplit/>
        </w:trPr>
        <w:tc>
          <w:tcPr>
            <w:tcW w:w="1696" w:type="dxa"/>
            <w:tcBorders>
              <w:left w:val="single" w:sz="4" w:space="0" w:color="auto"/>
            </w:tcBorders>
            <w:shd w:val="clear" w:color="auto" w:fill="auto"/>
          </w:tcPr>
          <w:p w14:paraId="0567801F" w14:textId="77777777" w:rsidR="002A4DDF" w:rsidRPr="00937C8B" w:rsidRDefault="002A4DDF" w:rsidP="009110ED">
            <w:pPr>
              <w:rPr>
                <w:rFonts w:ascii="Arial" w:hAnsi="Arial" w:cs="Arial"/>
                <w:sz w:val="12"/>
                <w:szCs w:val="12"/>
              </w:rPr>
            </w:pPr>
          </w:p>
        </w:tc>
        <w:tc>
          <w:tcPr>
            <w:tcW w:w="1843" w:type="dxa"/>
            <w:shd w:val="clear" w:color="auto" w:fill="auto"/>
          </w:tcPr>
          <w:p w14:paraId="6EAAD789" w14:textId="77777777" w:rsidR="002A4DDF" w:rsidRPr="00937C8B" w:rsidRDefault="002A4DDF" w:rsidP="009110ED">
            <w:pPr>
              <w:rPr>
                <w:rFonts w:ascii="Arial" w:hAnsi="Arial" w:cs="Arial"/>
                <w:sz w:val="12"/>
                <w:szCs w:val="12"/>
              </w:rPr>
            </w:pPr>
          </w:p>
        </w:tc>
        <w:tc>
          <w:tcPr>
            <w:tcW w:w="2268" w:type="dxa"/>
            <w:shd w:val="clear" w:color="auto" w:fill="F2F2F2"/>
            <w:hideMark/>
          </w:tcPr>
          <w:p w14:paraId="2B1B9E6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D98A42B" w14:textId="77777777" w:rsidR="002A4DDF" w:rsidRPr="00937C8B" w:rsidRDefault="002A4DDF" w:rsidP="009110ED">
            <w:pPr>
              <w:rPr>
                <w:rFonts w:ascii="Arial" w:hAnsi="Arial" w:cs="Arial"/>
                <w:sz w:val="12"/>
                <w:szCs w:val="12"/>
              </w:rPr>
            </w:pPr>
            <w:r>
              <w:rPr>
                <w:rFonts w:ascii="Arial" w:hAnsi="Arial"/>
                <w:sz w:val="12"/>
                <w:szCs w:val="12"/>
              </w:rPr>
              <w:t>Navalmoral de Béjar</w:t>
            </w:r>
          </w:p>
        </w:tc>
      </w:tr>
      <w:tr w:rsidR="002A4DDF" w:rsidRPr="00937C8B" w14:paraId="5B6CAED4" w14:textId="77777777" w:rsidTr="00935676">
        <w:trPr>
          <w:cantSplit/>
        </w:trPr>
        <w:tc>
          <w:tcPr>
            <w:tcW w:w="1696" w:type="dxa"/>
            <w:tcBorders>
              <w:left w:val="single" w:sz="4" w:space="0" w:color="auto"/>
            </w:tcBorders>
            <w:shd w:val="clear" w:color="auto" w:fill="auto"/>
          </w:tcPr>
          <w:p w14:paraId="57A2A9E0" w14:textId="77777777" w:rsidR="002A4DDF" w:rsidRPr="00937C8B" w:rsidRDefault="002A4DDF" w:rsidP="009110ED">
            <w:pPr>
              <w:rPr>
                <w:rFonts w:ascii="Arial" w:hAnsi="Arial" w:cs="Arial"/>
                <w:sz w:val="12"/>
                <w:szCs w:val="12"/>
              </w:rPr>
            </w:pPr>
          </w:p>
        </w:tc>
        <w:tc>
          <w:tcPr>
            <w:tcW w:w="1843" w:type="dxa"/>
            <w:shd w:val="clear" w:color="auto" w:fill="auto"/>
          </w:tcPr>
          <w:p w14:paraId="165BD9E2" w14:textId="77777777" w:rsidR="002A4DDF" w:rsidRPr="00937C8B" w:rsidRDefault="002A4DDF" w:rsidP="009110ED">
            <w:pPr>
              <w:rPr>
                <w:rFonts w:ascii="Arial" w:hAnsi="Arial" w:cs="Arial"/>
                <w:sz w:val="12"/>
                <w:szCs w:val="12"/>
              </w:rPr>
            </w:pPr>
          </w:p>
        </w:tc>
        <w:tc>
          <w:tcPr>
            <w:tcW w:w="2268" w:type="dxa"/>
            <w:shd w:val="clear" w:color="auto" w:fill="F2F2F2"/>
            <w:hideMark/>
          </w:tcPr>
          <w:p w14:paraId="5CC26EF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A27FEF4" w14:textId="77777777" w:rsidR="002A4DDF" w:rsidRPr="00937C8B" w:rsidRDefault="002A4DDF" w:rsidP="009110ED">
            <w:pPr>
              <w:rPr>
                <w:rFonts w:ascii="Arial" w:hAnsi="Arial" w:cs="Arial"/>
                <w:sz w:val="12"/>
                <w:szCs w:val="12"/>
              </w:rPr>
            </w:pPr>
            <w:r>
              <w:rPr>
                <w:rFonts w:ascii="Arial" w:hAnsi="Arial"/>
                <w:sz w:val="12"/>
                <w:szCs w:val="12"/>
              </w:rPr>
              <w:t>Navamorales</w:t>
            </w:r>
          </w:p>
        </w:tc>
      </w:tr>
      <w:tr w:rsidR="002A4DDF" w:rsidRPr="00937C8B" w14:paraId="36AF34C5" w14:textId="77777777" w:rsidTr="00935676">
        <w:trPr>
          <w:cantSplit/>
        </w:trPr>
        <w:tc>
          <w:tcPr>
            <w:tcW w:w="1696" w:type="dxa"/>
            <w:tcBorders>
              <w:left w:val="single" w:sz="4" w:space="0" w:color="auto"/>
            </w:tcBorders>
            <w:shd w:val="clear" w:color="auto" w:fill="auto"/>
          </w:tcPr>
          <w:p w14:paraId="737BF333" w14:textId="77777777" w:rsidR="002A4DDF" w:rsidRPr="00937C8B" w:rsidRDefault="002A4DDF" w:rsidP="009110ED">
            <w:pPr>
              <w:rPr>
                <w:rFonts w:ascii="Arial" w:hAnsi="Arial" w:cs="Arial"/>
                <w:sz w:val="12"/>
                <w:szCs w:val="12"/>
              </w:rPr>
            </w:pPr>
          </w:p>
        </w:tc>
        <w:tc>
          <w:tcPr>
            <w:tcW w:w="1843" w:type="dxa"/>
            <w:shd w:val="clear" w:color="auto" w:fill="auto"/>
          </w:tcPr>
          <w:p w14:paraId="752DD2DA" w14:textId="77777777" w:rsidR="002A4DDF" w:rsidRPr="00937C8B" w:rsidRDefault="002A4DDF" w:rsidP="009110ED">
            <w:pPr>
              <w:rPr>
                <w:rFonts w:ascii="Arial" w:hAnsi="Arial" w:cs="Arial"/>
                <w:sz w:val="12"/>
                <w:szCs w:val="12"/>
              </w:rPr>
            </w:pPr>
          </w:p>
        </w:tc>
        <w:tc>
          <w:tcPr>
            <w:tcW w:w="2268" w:type="dxa"/>
            <w:shd w:val="clear" w:color="auto" w:fill="F2F2F2"/>
            <w:hideMark/>
          </w:tcPr>
          <w:p w14:paraId="79FEE19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2223DF2" w14:textId="77777777" w:rsidR="002A4DDF" w:rsidRPr="00937C8B" w:rsidRDefault="002A4DDF" w:rsidP="009110ED">
            <w:pPr>
              <w:rPr>
                <w:rFonts w:ascii="Arial" w:hAnsi="Arial" w:cs="Arial"/>
                <w:sz w:val="12"/>
                <w:szCs w:val="12"/>
              </w:rPr>
            </w:pPr>
            <w:r>
              <w:rPr>
                <w:rFonts w:ascii="Arial" w:hAnsi="Arial"/>
                <w:sz w:val="12"/>
                <w:szCs w:val="12"/>
              </w:rPr>
              <w:t>Navarredonda de la Rinconada</w:t>
            </w:r>
          </w:p>
        </w:tc>
      </w:tr>
      <w:tr w:rsidR="002A4DDF" w:rsidRPr="00937C8B" w14:paraId="5C2BE206" w14:textId="77777777" w:rsidTr="00935676">
        <w:trPr>
          <w:cantSplit/>
        </w:trPr>
        <w:tc>
          <w:tcPr>
            <w:tcW w:w="1696" w:type="dxa"/>
            <w:tcBorders>
              <w:left w:val="single" w:sz="4" w:space="0" w:color="auto"/>
            </w:tcBorders>
            <w:shd w:val="clear" w:color="auto" w:fill="auto"/>
          </w:tcPr>
          <w:p w14:paraId="7A884AD2" w14:textId="77777777" w:rsidR="002A4DDF" w:rsidRPr="00937C8B" w:rsidRDefault="002A4DDF" w:rsidP="009110ED">
            <w:pPr>
              <w:rPr>
                <w:rFonts w:ascii="Arial" w:hAnsi="Arial" w:cs="Arial"/>
                <w:sz w:val="12"/>
                <w:szCs w:val="12"/>
              </w:rPr>
            </w:pPr>
          </w:p>
        </w:tc>
        <w:tc>
          <w:tcPr>
            <w:tcW w:w="1843" w:type="dxa"/>
            <w:shd w:val="clear" w:color="auto" w:fill="auto"/>
          </w:tcPr>
          <w:p w14:paraId="59AB51A6" w14:textId="77777777" w:rsidR="002A4DDF" w:rsidRPr="00937C8B" w:rsidRDefault="002A4DDF" w:rsidP="009110ED">
            <w:pPr>
              <w:rPr>
                <w:rFonts w:ascii="Arial" w:hAnsi="Arial" w:cs="Arial"/>
                <w:sz w:val="12"/>
                <w:szCs w:val="12"/>
              </w:rPr>
            </w:pPr>
          </w:p>
        </w:tc>
        <w:tc>
          <w:tcPr>
            <w:tcW w:w="2268" w:type="dxa"/>
            <w:shd w:val="clear" w:color="auto" w:fill="F2F2F2"/>
            <w:hideMark/>
          </w:tcPr>
          <w:p w14:paraId="1C6834C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4BDB093" w14:textId="77777777" w:rsidR="002A4DDF" w:rsidRPr="00937C8B" w:rsidRDefault="002A4DDF" w:rsidP="009110ED">
            <w:pPr>
              <w:rPr>
                <w:rFonts w:ascii="Arial" w:hAnsi="Arial" w:cs="Arial"/>
                <w:sz w:val="12"/>
                <w:szCs w:val="12"/>
              </w:rPr>
            </w:pPr>
            <w:r>
              <w:rPr>
                <w:rFonts w:ascii="Arial" w:hAnsi="Arial"/>
                <w:sz w:val="12"/>
                <w:szCs w:val="12"/>
              </w:rPr>
              <w:t>Navasfrías</w:t>
            </w:r>
          </w:p>
        </w:tc>
      </w:tr>
      <w:tr w:rsidR="002A4DDF" w:rsidRPr="00937C8B" w14:paraId="2F34BE72" w14:textId="77777777" w:rsidTr="00935676">
        <w:trPr>
          <w:cantSplit/>
        </w:trPr>
        <w:tc>
          <w:tcPr>
            <w:tcW w:w="1696" w:type="dxa"/>
            <w:tcBorders>
              <w:left w:val="single" w:sz="4" w:space="0" w:color="auto"/>
            </w:tcBorders>
            <w:shd w:val="clear" w:color="auto" w:fill="auto"/>
          </w:tcPr>
          <w:p w14:paraId="1A8AEC3B" w14:textId="77777777" w:rsidR="002A4DDF" w:rsidRPr="00937C8B" w:rsidRDefault="002A4DDF" w:rsidP="009110ED">
            <w:pPr>
              <w:rPr>
                <w:rFonts w:ascii="Arial" w:hAnsi="Arial" w:cs="Arial"/>
                <w:sz w:val="12"/>
                <w:szCs w:val="12"/>
              </w:rPr>
            </w:pPr>
          </w:p>
        </w:tc>
        <w:tc>
          <w:tcPr>
            <w:tcW w:w="1843" w:type="dxa"/>
            <w:shd w:val="clear" w:color="auto" w:fill="auto"/>
          </w:tcPr>
          <w:p w14:paraId="5E95440F" w14:textId="77777777" w:rsidR="002A4DDF" w:rsidRPr="00937C8B" w:rsidRDefault="002A4DDF" w:rsidP="009110ED">
            <w:pPr>
              <w:rPr>
                <w:rFonts w:ascii="Arial" w:hAnsi="Arial" w:cs="Arial"/>
                <w:sz w:val="12"/>
                <w:szCs w:val="12"/>
              </w:rPr>
            </w:pPr>
          </w:p>
        </w:tc>
        <w:tc>
          <w:tcPr>
            <w:tcW w:w="2268" w:type="dxa"/>
            <w:shd w:val="clear" w:color="auto" w:fill="F2F2F2"/>
            <w:hideMark/>
          </w:tcPr>
          <w:p w14:paraId="1F60EF3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4C686F8" w14:textId="77777777" w:rsidR="002A4DDF" w:rsidRPr="00937C8B" w:rsidRDefault="002A4DDF" w:rsidP="009110ED">
            <w:pPr>
              <w:rPr>
                <w:rFonts w:ascii="Arial" w:hAnsi="Arial" w:cs="Arial"/>
                <w:sz w:val="12"/>
                <w:szCs w:val="12"/>
              </w:rPr>
            </w:pPr>
            <w:r>
              <w:rPr>
                <w:rFonts w:ascii="Arial" w:hAnsi="Arial"/>
                <w:sz w:val="12"/>
                <w:szCs w:val="12"/>
              </w:rPr>
              <w:t>Olmedo de Camaces</w:t>
            </w:r>
          </w:p>
        </w:tc>
      </w:tr>
      <w:tr w:rsidR="002A4DDF" w:rsidRPr="00937C8B" w14:paraId="1DF7D8CB" w14:textId="77777777" w:rsidTr="00935676">
        <w:trPr>
          <w:cantSplit/>
        </w:trPr>
        <w:tc>
          <w:tcPr>
            <w:tcW w:w="1696" w:type="dxa"/>
            <w:tcBorders>
              <w:left w:val="single" w:sz="4" w:space="0" w:color="auto"/>
            </w:tcBorders>
            <w:shd w:val="clear" w:color="auto" w:fill="auto"/>
          </w:tcPr>
          <w:p w14:paraId="157AF9E7" w14:textId="77777777" w:rsidR="002A4DDF" w:rsidRPr="00937C8B" w:rsidRDefault="002A4DDF" w:rsidP="009110ED">
            <w:pPr>
              <w:rPr>
                <w:rFonts w:ascii="Arial" w:hAnsi="Arial" w:cs="Arial"/>
                <w:sz w:val="12"/>
                <w:szCs w:val="12"/>
              </w:rPr>
            </w:pPr>
          </w:p>
        </w:tc>
        <w:tc>
          <w:tcPr>
            <w:tcW w:w="1843" w:type="dxa"/>
            <w:shd w:val="clear" w:color="auto" w:fill="auto"/>
          </w:tcPr>
          <w:p w14:paraId="29D1C845" w14:textId="77777777" w:rsidR="002A4DDF" w:rsidRPr="00937C8B" w:rsidRDefault="002A4DDF" w:rsidP="009110ED">
            <w:pPr>
              <w:rPr>
                <w:rFonts w:ascii="Arial" w:hAnsi="Arial" w:cs="Arial"/>
                <w:sz w:val="12"/>
                <w:szCs w:val="12"/>
              </w:rPr>
            </w:pPr>
          </w:p>
        </w:tc>
        <w:tc>
          <w:tcPr>
            <w:tcW w:w="2268" w:type="dxa"/>
            <w:shd w:val="clear" w:color="auto" w:fill="F2F2F2"/>
            <w:hideMark/>
          </w:tcPr>
          <w:p w14:paraId="6FFCBF2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E3D3A71" w14:textId="77777777" w:rsidR="002A4DDF" w:rsidRPr="00937C8B" w:rsidRDefault="002A4DDF" w:rsidP="009110ED">
            <w:pPr>
              <w:rPr>
                <w:rFonts w:ascii="Arial" w:hAnsi="Arial" w:cs="Arial"/>
                <w:sz w:val="12"/>
                <w:szCs w:val="12"/>
              </w:rPr>
            </w:pPr>
            <w:r>
              <w:rPr>
                <w:rFonts w:ascii="Arial" w:hAnsi="Arial"/>
                <w:sz w:val="12"/>
                <w:szCs w:val="12"/>
              </w:rPr>
              <w:t>Palacios del Arzobispo</w:t>
            </w:r>
          </w:p>
        </w:tc>
      </w:tr>
      <w:tr w:rsidR="002A4DDF" w:rsidRPr="00937C8B" w14:paraId="6059B8B3" w14:textId="77777777" w:rsidTr="00935676">
        <w:trPr>
          <w:cantSplit/>
        </w:trPr>
        <w:tc>
          <w:tcPr>
            <w:tcW w:w="1696" w:type="dxa"/>
            <w:tcBorders>
              <w:left w:val="single" w:sz="4" w:space="0" w:color="auto"/>
            </w:tcBorders>
            <w:shd w:val="clear" w:color="auto" w:fill="auto"/>
          </w:tcPr>
          <w:p w14:paraId="4844B21F" w14:textId="77777777" w:rsidR="002A4DDF" w:rsidRPr="00937C8B" w:rsidRDefault="002A4DDF" w:rsidP="009110ED">
            <w:pPr>
              <w:rPr>
                <w:rFonts w:ascii="Arial" w:hAnsi="Arial" w:cs="Arial"/>
                <w:sz w:val="12"/>
                <w:szCs w:val="12"/>
              </w:rPr>
            </w:pPr>
          </w:p>
        </w:tc>
        <w:tc>
          <w:tcPr>
            <w:tcW w:w="1843" w:type="dxa"/>
            <w:shd w:val="clear" w:color="auto" w:fill="auto"/>
          </w:tcPr>
          <w:p w14:paraId="0E7228F4" w14:textId="77777777" w:rsidR="002A4DDF" w:rsidRPr="00937C8B" w:rsidRDefault="002A4DDF" w:rsidP="009110ED">
            <w:pPr>
              <w:rPr>
                <w:rFonts w:ascii="Arial" w:hAnsi="Arial" w:cs="Arial"/>
                <w:sz w:val="12"/>
                <w:szCs w:val="12"/>
              </w:rPr>
            </w:pPr>
          </w:p>
        </w:tc>
        <w:tc>
          <w:tcPr>
            <w:tcW w:w="2268" w:type="dxa"/>
            <w:shd w:val="clear" w:color="auto" w:fill="F2F2F2"/>
            <w:hideMark/>
          </w:tcPr>
          <w:p w14:paraId="4C99DC6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5A83082" w14:textId="77777777" w:rsidR="002A4DDF" w:rsidRPr="00937C8B" w:rsidRDefault="002A4DDF" w:rsidP="009110ED">
            <w:pPr>
              <w:rPr>
                <w:rFonts w:ascii="Arial" w:hAnsi="Arial" w:cs="Arial"/>
                <w:sz w:val="12"/>
                <w:szCs w:val="12"/>
              </w:rPr>
            </w:pPr>
            <w:r>
              <w:rPr>
                <w:rFonts w:ascii="Arial" w:hAnsi="Arial"/>
                <w:sz w:val="12"/>
                <w:szCs w:val="12"/>
              </w:rPr>
              <w:t>Pastores</w:t>
            </w:r>
          </w:p>
        </w:tc>
      </w:tr>
      <w:tr w:rsidR="002A4DDF" w:rsidRPr="00937C8B" w14:paraId="15D4C255" w14:textId="77777777" w:rsidTr="00935676">
        <w:trPr>
          <w:cantSplit/>
        </w:trPr>
        <w:tc>
          <w:tcPr>
            <w:tcW w:w="1696" w:type="dxa"/>
            <w:tcBorders>
              <w:left w:val="single" w:sz="4" w:space="0" w:color="auto"/>
            </w:tcBorders>
            <w:shd w:val="clear" w:color="auto" w:fill="auto"/>
          </w:tcPr>
          <w:p w14:paraId="6D0FA42F" w14:textId="77777777" w:rsidR="002A4DDF" w:rsidRPr="00937C8B" w:rsidRDefault="002A4DDF" w:rsidP="009110ED">
            <w:pPr>
              <w:rPr>
                <w:rFonts w:ascii="Arial" w:hAnsi="Arial" w:cs="Arial"/>
                <w:sz w:val="12"/>
                <w:szCs w:val="12"/>
              </w:rPr>
            </w:pPr>
          </w:p>
        </w:tc>
        <w:tc>
          <w:tcPr>
            <w:tcW w:w="1843" w:type="dxa"/>
            <w:shd w:val="clear" w:color="auto" w:fill="auto"/>
          </w:tcPr>
          <w:p w14:paraId="0C1A9444" w14:textId="77777777" w:rsidR="002A4DDF" w:rsidRPr="00937C8B" w:rsidRDefault="002A4DDF" w:rsidP="009110ED">
            <w:pPr>
              <w:rPr>
                <w:rFonts w:ascii="Arial" w:hAnsi="Arial" w:cs="Arial"/>
                <w:sz w:val="12"/>
                <w:szCs w:val="12"/>
              </w:rPr>
            </w:pPr>
          </w:p>
        </w:tc>
        <w:tc>
          <w:tcPr>
            <w:tcW w:w="2268" w:type="dxa"/>
            <w:shd w:val="clear" w:color="auto" w:fill="F2F2F2"/>
            <w:hideMark/>
          </w:tcPr>
          <w:p w14:paraId="72B6AB7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4DD38B1" w14:textId="77777777" w:rsidR="002A4DDF" w:rsidRPr="00937C8B" w:rsidRDefault="002A4DDF" w:rsidP="009110ED">
            <w:pPr>
              <w:rPr>
                <w:rFonts w:ascii="Arial" w:hAnsi="Arial" w:cs="Arial"/>
                <w:sz w:val="12"/>
                <w:szCs w:val="12"/>
              </w:rPr>
            </w:pPr>
            <w:r>
              <w:rPr>
                <w:rFonts w:ascii="Arial" w:hAnsi="Arial"/>
                <w:sz w:val="12"/>
                <w:szCs w:val="12"/>
              </w:rPr>
              <w:t>Pedrosillo de los Aires</w:t>
            </w:r>
          </w:p>
        </w:tc>
      </w:tr>
      <w:tr w:rsidR="002A4DDF" w:rsidRPr="00937C8B" w14:paraId="0D50699D" w14:textId="77777777" w:rsidTr="00935676">
        <w:trPr>
          <w:cantSplit/>
        </w:trPr>
        <w:tc>
          <w:tcPr>
            <w:tcW w:w="1696" w:type="dxa"/>
            <w:tcBorders>
              <w:left w:val="single" w:sz="4" w:space="0" w:color="auto"/>
            </w:tcBorders>
            <w:shd w:val="clear" w:color="auto" w:fill="auto"/>
          </w:tcPr>
          <w:p w14:paraId="1E2FFD2A" w14:textId="77777777" w:rsidR="002A4DDF" w:rsidRPr="00937C8B" w:rsidRDefault="002A4DDF" w:rsidP="009110ED">
            <w:pPr>
              <w:rPr>
                <w:rFonts w:ascii="Arial" w:hAnsi="Arial" w:cs="Arial"/>
                <w:sz w:val="12"/>
                <w:szCs w:val="12"/>
              </w:rPr>
            </w:pPr>
          </w:p>
        </w:tc>
        <w:tc>
          <w:tcPr>
            <w:tcW w:w="1843" w:type="dxa"/>
            <w:shd w:val="clear" w:color="auto" w:fill="auto"/>
          </w:tcPr>
          <w:p w14:paraId="320FF645" w14:textId="77777777" w:rsidR="002A4DDF" w:rsidRPr="00937C8B" w:rsidRDefault="002A4DDF" w:rsidP="009110ED">
            <w:pPr>
              <w:rPr>
                <w:rFonts w:ascii="Arial" w:hAnsi="Arial" w:cs="Arial"/>
                <w:sz w:val="12"/>
                <w:szCs w:val="12"/>
              </w:rPr>
            </w:pPr>
          </w:p>
        </w:tc>
        <w:tc>
          <w:tcPr>
            <w:tcW w:w="2268" w:type="dxa"/>
            <w:shd w:val="clear" w:color="auto" w:fill="F2F2F2"/>
            <w:hideMark/>
          </w:tcPr>
          <w:p w14:paraId="29678FE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5078A47" w14:textId="77777777" w:rsidR="002A4DDF" w:rsidRPr="00937C8B" w:rsidRDefault="002A4DDF" w:rsidP="009110ED">
            <w:pPr>
              <w:rPr>
                <w:rFonts w:ascii="Arial" w:hAnsi="Arial" w:cs="Arial"/>
                <w:sz w:val="12"/>
                <w:szCs w:val="12"/>
              </w:rPr>
            </w:pPr>
            <w:r>
              <w:rPr>
                <w:rFonts w:ascii="Arial" w:hAnsi="Arial"/>
                <w:sz w:val="12"/>
                <w:szCs w:val="12"/>
              </w:rPr>
              <w:t>Pelarrodríguez</w:t>
            </w:r>
          </w:p>
        </w:tc>
      </w:tr>
      <w:tr w:rsidR="002A4DDF" w:rsidRPr="00937C8B" w14:paraId="20572663" w14:textId="77777777" w:rsidTr="00935676">
        <w:trPr>
          <w:cantSplit/>
        </w:trPr>
        <w:tc>
          <w:tcPr>
            <w:tcW w:w="1696" w:type="dxa"/>
            <w:tcBorders>
              <w:left w:val="single" w:sz="4" w:space="0" w:color="auto"/>
            </w:tcBorders>
            <w:shd w:val="clear" w:color="auto" w:fill="auto"/>
          </w:tcPr>
          <w:p w14:paraId="60F058C4" w14:textId="77777777" w:rsidR="002A4DDF" w:rsidRPr="00937C8B" w:rsidRDefault="002A4DDF" w:rsidP="009110ED">
            <w:pPr>
              <w:rPr>
                <w:rFonts w:ascii="Arial" w:hAnsi="Arial" w:cs="Arial"/>
                <w:sz w:val="12"/>
                <w:szCs w:val="12"/>
              </w:rPr>
            </w:pPr>
          </w:p>
        </w:tc>
        <w:tc>
          <w:tcPr>
            <w:tcW w:w="1843" w:type="dxa"/>
            <w:shd w:val="clear" w:color="auto" w:fill="auto"/>
          </w:tcPr>
          <w:p w14:paraId="7F8A41E6" w14:textId="77777777" w:rsidR="002A4DDF" w:rsidRPr="00937C8B" w:rsidRDefault="002A4DDF" w:rsidP="009110ED">
            <w:pPr>
              <w:rPr>
                <w:rFonts w:ascii="Arial" w:hAnsi="Arial" w:cs="Arial"/>
                <w:sz w:val="12"/>
                <w:szCs w:val="12"/>
              </w:rPr>
            </w:pPr>
          </w:p>
        </w:tc>
        <w:tc>
          <w:tcPr>
            <w:tcW w:w="2268" w:type="dxa"/>
            <w:shd w:val="clear" w:color="auto" w:fill="F2F2F2"/>
            <w:hideMark/>
          </w:tcPr>
          <w:p w14:paraId="760F079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9A23EFC" w14:textId="77777777" w:rsidR="002A4DDF" w:rsidRPr="00937C8B" w:rsidRDefault="002A4DDF" w:rsidP="009110ED">
            <w:pPr>
              <w:rPr>
                <w:rFonts w:ascii="Arial" w:hAnsi="Arial" w:cs="Arial"/>
                <w:sz w:val="12"/>
                <w:szCs w:val="12"/>
              </w:rPr>
            </w:pPr>
            <w:r>
              <w:rPr>
                <w:rFonts w:ascii="Arial" w:hAnsi="Arial"/>
                <w:sz w:val="12"/>
                <w:szCs w:val="12"/>
              </w:rPr>
              <w:t>Pelayos</w:t>
            </w:r>
          </w:p>
        </w:tc>
      </w:tr>
      <w:tr w:rsidR="002A4DDF" w:rsidRPr="00937C8B" w14:paraId="4C48DFEA" w14:textId="77777777" w:rsidTr="00935676">
        <w:trPr>
          <w:cantSplit/>
        </w:trPr>
        <w:tc>
          <w:tcPr>
            <w:tcW w:w="1696" w:type="dxa"/>
            <w:tcBorders>
              <w:left w:val="single" w:sz="4" w:space="0" w:color="auto"/>
            </w:tcBorders>
            <w:shd w:val="clear" w:color="auto" w:fill="auto"/>
          </w:tcPr>
          <w:p w14:paraId="4A685977" w14:textId="77777777" w:rsidR="002A4DDF" w:rsidRPr="00937C8B" w:rsidRDefault="002A4DDF" w:rsidP="009110ED">
            <w:pPr>
              <w:rPr>
                <w:rFonts w:ascii="Arial" w:hAnsi="Arial" w:cs="Arial"/>
                <w:sz w:val="12"/>
                <w:szCs w:val="12"/>
              </w:rPr>
            </w:pPr>
          </w:p>
        </w:tc>
        <w:tc>
          <w:tcPr>
            <w:tcW w:w="1843" w:type="dxa"/>
            <w:shd w:val="clear" w:color="auto" w:fill="auto"/>
          </w:tcPr>
          <w:p w14:paraId="203CF83C" w14:textId="77777777" w:rsidR="002A4DDF" w:rsidRPr="00937C8B" w:rsidRDefault="002A4DDF" w:rsidP="009110ED">
            <w:pPr>
              <w:rPr>
                <w:rFonts w:ascii="Arial" w:hAnsi="Arial" w:cs="Arial"/>
                <w:sz w:val="12"/>
                <w:szCs w:val="12"/>
              </w:rPr>
            </w:pPr>
          </w:p>
        </w:tc>
        <w:tc>
          <w:tcPr>
            <w:tcW w:w="2268" w:type="dxa"/>
            <w:shd w:val="clear" w:color="auto" w:fill="F2F2F2"/>
            <w:hideMark/>
          </w:tcPr>
          <w:p w14:paraId="5E0BCCA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5B6AE49" w14:textId="77777777" w:rsidR="002A4DDF" w:rsidRPr="00937C8B" w:rsidRDefault="002A4DDF" w:rsidP="009110ED">
            <w:pPr>
              <w:rPr>
                <w:rFonts w:ascii="Arial" w:hAnsi="Arial" w:cs="Arial"/>
                <w:sz w:val="12"/>
                <w:szCs w:val="12"/>
              </w:rPr>
            </w:pPr>
            <w:r>
              <w:rPr>
                <w:rFonts w:ascii="Arial" w:hAnsi="Arial"/>
                <w:sz w:val="12"/>
                <w:szCs w:val="12"/>
              </w:rPr>
              <w:t>Peñacaballera</w:t>
            </w:r>
          </w:p>
        </w:tc>
      </w:tr>
      <w:tr w:rsidR="002A4DDF" w:rsidRPr="00937C8B" w14:paraId="3EC5AFB0" w14:textId="77777777" w:rsidTr="00935676">
        <w:trPr>
          <w:cantSplit/>
        </w:trPr>
        <w:tc>
          <w:tcPr>
            <w:tcW w:w="1696" w:type="dxa"/>
            <w:tcBorders>
              <w:left w:val="single" w:sz="4" w:space="0" w:color="auto"/>
            </w:tcBorders>
            <w:shd w:val="clear" w:color="auto" w:fill="auto"/>
          </w:tcPr>
          <w:p w14:paraId="22C2F318" w14:textId="77777777" w:rsidR="002A4DDF" w:rsidRPr="00937C8B" w:rsidRDefault="002A4DDF" w:rsidP="009110ED">
            <w:pPr>
              <w:rPr>
                <w:rFonts w:ascii="Arial" w:hAnsi="Arial" w:cs="Arial"/>
                <w:sz w:val="12"/>
                <w:szCs w:val="12"/>
              </w:rPr>
            </w:pPr>
          </w:p>
        </w:tc>
        <w:tc>
          <w:tcPr>
            <w:tcW w:w="1843" w:type="dxa"/>
            <w:shd w:val="clear" w:color="auto" w:fill="auto"/>
          </w:tcPr>
          <w:p w14:paraId="2BF4A674" w14:textId="77777777" w:rsidR="002A4DDF" w:rsidRPr="00937C8B" w:rsidRDefault="002A4DDF" w:rsidP="009110ED">
            <w:pPr>
              <w:rPr>
                <w:rFonts w:ascii="Arial" w:hAnsi="Arial" w:cs="Arial"/>
                <w:sz w:val="12"/>
                <w:szCs w:val="12"/>
              </w:rPr>
            </w:pPr>
          </w:p>
        </w:tc>
        <w:tc>
          <w:tcPr>
            <w:tcW w:w="2268" w:type="dxa"/>
            <w:shd w:val="clear" w:color="auto" w:fill="F2F2F2"/>
            <w:hideMark/>
          </w:tcPr>
          <w:p w14:paraId="63A2759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A865708" w14:textId="77777777" w:rsidR="002A4DDF" w:rsidRPr="00937C8B" w:rsidRDefault="002A4DDF" w:rsidP="009110ED">
            <w:pPr>
              <w:rPr>
                <w:rFonts w:ascii="Arial" w:hAnsi="Arial" w:cs="Arial"/>
                <w:sz w:val="12"/>
                <w:szCs w:val="12"/>
              </w:rPr>
            </w:pPr>
            <w:r>
              <w:rPr>
                <w:rFonts w:ascii="Arial" w:hAnsi="Arial"/>
                <w:sz w:val="12"/>
                <w:szCs w:val="12"/>
              </w:rPr>
              <w:t>Peñaparda</w:t>
            </w:r>
          </w:p>
        </w:tc>
      </w:tr>
      <w:tr w:rsidR="002A4DDF" w:rsidRPr="00937C8B" w14:paraId="1EB238EA" w14:textId="77777777" w:rsidTr="00935676">
        <w:trPr>
          <w:cantSplit/>
        </w:trPr>
        <w:tc>
          <w:tcPr>
            <w:tcW w:w="1696" w:type="dxa"/>
            <w:tcBorders>
              <w:left w:val="single" w:sz="4" w:space="0" w:color="auto"/>
            </w:tcBorders>
            <w:shd w:val="clear" w:color="auto" w:fill="auto"/>
          </w:tcPr>
          <w:p w14:paraId="40F1CE5A" w14:textId="77777777" w:rsidR="002A4DDF" w:rsidRPr="00937C8B" w:rsidRDefault="002A4DDF" w:rsidP="009110ED">
            <w:pPr>
              <w:rPr>
                <w:rFonts w:ascii="Arial" w:hAnsi="Arial" w:cs="Arial"/>
                <w:sz w:val="12"/>
                <w:szCs w:val="12"/>
              </w:rPr>
            </w:pPr>
          </w:p>
        </w:tc>
        <w:tc>
          <w:tcPr>
            <w:tcW w:w="1843" w:type="dxa"/>
            <w:shd w:val="clear" w:color="auto" w:fill="auto"/>
          </w:tcPr>
          <w:p w14:paraId="17861D40" w14:textId="77777777" w:rsidR="002A4DDF" w:rsidRPr="00937C8B" w:rsidRDefault="002A4DDF" w:rsidP="009110ED">
            <w:pPr>
              <w:rPr>
                <w:rFonts w:ascii="Arial" w:hAnsi="Arial" w:cs="Arial"/>
                <w:sz w:val="12"/>
                <w:szCs w:val="12"/>
              </w:rPr>
            </w:pPr>
          </w:p>
        </w:tc>
        <w:tc>
          <w:tcPr>
            <w:tcW w:w="2268" w:type="dxa"/>
            <w:shd w:val="clear" w:color="auto" w:fill="F2F2F2"/>
            <w:hideMark/>
          </w:tcPr>
          <w:p w14:paraId="0F1CEFD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42947BE" w14:textId="77777777" w:rsidR="002A4DDF" w:rsidRPr="00937C8B" w:rsidRDefault="002A4DDF" w:rsidP="009110ED">
            <w:pPr>
              <w:rPr>
                <w:rFonts w:ascii="Arial" w:hAnsi="Arial" w:cs="Arial"/>
                <w:sz w:val="12"/>
                <w:szCs w:val="12"/>
              </w:rPr>
            </w:pPr>
            <w:r>
              <w:rPr>
                <w:rFonts w:ascii="Arial" w:hAnsi="Arial"/>
                <w:sz w:val="12"/>
                <w:szCs w:val="12"/>
              </w:rPr>
              <w:t>Peralejos de Abajo</w:t>
            </w:r>
          </w:p>
        </w:tc>
      </w:tr>
      <w:tr w:rsidR="002A4DDF" w:rsidRPr="00937C8B" w14:paraId="179A3FD5" w14:textId="77777777" w:rsidTr="00935676">
        <w:trPr>
          <w:cantSplit/>
        </w:trPr>
        <w:tc>
          <w:tcPr>
            <w:tcW w:w="1696" w:type="dxa"/>
            <w:tcBorders>
              <w:left w:val="single" w:sz="4" w:space="0" w:color="auto"/>
            </w:tcBorders>
            <w:shd w:val="clear" w:color="auto" w:fill="auto"/>
          </w:tcPr>
          <w:p w14:paraId="363E2A45" w14:textId="77777777" w:rsidR="002A4DDF" w:rsidRPr="00937C8B" w:rsidRDefault="002A4DDF" w:rsidP="009110ED">
            <w:pPr>
              <w:rPr>
                <w:rFonts w:ascii="Arial" w:hAnsi="Arial" w:cs="Arial"/>
                <w:sz w:val="12"/>
                <w:szCs w:val="12"/>
              </w:rPr>
            </w:pPr>
          </w:p>
        </w:tc>
        <w:tc>
          <w:tcPr>
            <w:tcW w:w="1843" w:type="dxa"/>
            <w:shd w:val="clear" w:color="auto" w:fill="auto"/>
          </w:tcPr>
          <w:p w14:paraId="09E87AED" w14:textId="77777777" w:rsidR="002A4DDF" w:rsidRPr="00937C8B" w:rsidRDefault="002A4DDF" w:rsidP="009110ED">
            <w:pPr>
              <w:rPr>
                <w:rFonts w:ascii="Arial" w:hAnsi="Arial" w:cs="Arial"/>
                <w:sz w:val="12"/>
                <w:szCs w:val="12"/>
              </w:rPr>
            </w:pPr>
          </w:p>
        </w:tc>
        <w:tc>
          <w:tcPr>
            <w:tcW w:w="2268" w:type="dxa"/>
            <w:shd w:val="clear" w:color="auto" w:fill="F2F2F2"/>
            <w:hideMark/>
          </w:tcPr>
          <w:p w14:paraId="36C0921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4B24F56" w14:textId="77777777" w:rsidR="002A4DDF" w:rsidRPr="00937C8B" w:rsidRDefault="002A4DDF" w:rsidP="009110ED">
            <w:pPr>
              <w:rPr>
                <w:rFonts w:ascii="Arial" w:hAnsi="Arial" w:cs="Arial"/>
                <w:sz w:val="12"/>
                <w:szCs w:val="12"/>
              </w:rPr>
            </w:pPr>
            <w:r>
              <w:rPr>
                <w:rFonts w:ascii="Arial" w:hAnsi="Arial"/>
                <w:sz w:val="12"/>
                <w:szCs w:val="12"/>
              </w:rPr>
              <w:t>Peralejos de Arriba</w:t>
            </w:r>
          </w:p>
        </w:tc>
      </w:tr>
      <w:tr w:rsidR="002A4DDF" w:rsidRPr="00937C8B" w14:paraId="03AAEBB2" w14:textId="77777777" w:rsidTr="00935676">
        <w:trPr>
          <w:cantSplit/>
        </w:trPr>
        <w:tc>
          <w:tcPr>
            <w:tcW w:w="1696" w:type="dxa"/>
            <w:tcBorders>
              <w:left w:val="single" w:sz="4" w:space="0" w:color="auto"/>
            </w:tcBorders>
            <w:shd w:val="clear" w:color="auto" w:fill="auto"/>
          </w:tcPr>
          <w:p w14:paraId="138F7A97" w14:textId="77777777" w:rsidR="002A4DDF" w:rsidRPr="00937C8B" w:rsidRDefault="002A4DDF" w:rsidP="009110ED">
            <w:pPr>
              <w:rPr>
                <w:rFonts w:ascii="Arial" w:hAnsi="Arial" w:cs="Arial"/>
                <w:sz w:val="12"/>
                <w:szCs w:val="12"/>
              </w:rPr>
            </w:pPr>
          </w:p>
        </w:tc>
        <w:tc>
          <w:tcPr>
            <w:tcW w:w="1843" w:type="dxa"/>
            <w:shd w:val="clear" w:color="auto" w:fill="auto"/>
          </w:tcPr>
          <w:p w14:paraId="025EACC7" w14:textId="77777777" w:rsidR="002A4DDF" w:rsidRPr="00937C8B" w:rsidRDefault="002A4DDF" w:rsidP="009110ED">
            <w:pPr>
              <w:rPr>
                <w:rFonts w:ascii="Arial" w:hAnsi="Arial" w:cs="Arial"/>
                <w:sz w:val="12"/>
                <w:szCs w:val="12"/>
              </w:rPr>
            </w:pPr>
          </w:p>
        </w:tc>
        <w:tc>
          <w:tcPr>
            <w:tcW w:w="2268" w:type="dxa"/>
            <w:shd w:val="clear" w:color="auto" w:fill="F2F2F2"/>
            <w:hideMark/>
          </w:tcPr>
          <w:p w14:paraId="0517116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1047936" w14:textId="77777777" w:rsidR="002A4DDF" w:rsidRPr="00937C8B" w:rsidRDefault="002A4DDF" w:rsidP="009110ED">
            <w:pPr>
              <w:rPr>
                <w:rFonts w:ascii="Arial" w:hAnsi="Arial" w:cs="Arial"/>
                <w:sz w:val="12"/>
                <w:szCs w:val="12"/>
              </w:rPr>
            </w:pPr>
            <w:r>
              <w:rPr>
                <w:rFonts w:ascii="Arial" w:hAnsi="Arial"/>
                <w:sz w:val="12"/>
                <w:szCs w:val="12"/>
              </w:rPr>
              <w:t>Pereña de la Ribera</w:t>
            </w:r>
          </w:p>
        </w:tc>
      </w:tr>
      <w:tr w:rsidR="002A4DDF" w:rsidRPr="00937C8B" w14:paraId="1CC46DA6" w14:textId="77777777" w:rsidTr="00935676">
        <w:trPr>
          <w:cantSplit/>
        </w:trPr>
        <w:tc>
          <w:tcPr>
            <w:tcW w:w="1696" w:type="dxa"/>
            <w:tcBorders>
              <w:left w:val="single" w:sz="4" w:space="0" w:color="auto"/>
            </w:tcBorders>
            <w:shd w:val="clear" w:color="auto" w:fill="auto"/>
          </w:tcPr>
          <w:p w14:paraId="4F20C31C" w14:textId="77777777" w:rsidR="002A4DDF" w:rsidRPr="00937C8B" w:rsidRDefault="002A4DDF" w:rsidP="009110ED">
            <w:pPr>
              <w:rPr>
                <w:rFonts w:ascii="Arial" w:hAnsi="Arial" w:cs="Arial"/>
                <w:sz w:val="12"/>
                <w:szCs w:val="12"/>
              </w:rPr>
            </w:pPr>
          </w:p>
        </w:tc>
        <w:tc>
          <w:tcPr>
            <w:tcW w:w="1843" w:type="dxa"/>
            <w:shd w:val="clear" w:color="auto" w:fill="auto"/>
          </w:tcPr>
          <w:p w14:paraId="36E9F2E6" w14:textId="77777777" w:rsidR="002A4DDF" w:rsidRPr="00937C8B" w:rsidRDefault="002A4DDF" w:rsidP="009110ED">
            <w:pPr>
              <w:rPr>
                <w:rFonts w:ascii="Arial" w:hAnsi="Arial" w:cs="Arial"/>
                <w:sz w:val="12"/>
                <w:szCs w:val="12"/>
              </w:rPr>
            </w:pPr>
          </w:p>
        </w:tc>
        <w:tc>
          <w:tcPr>
            <w:tcW w:w="2268" w:type="dxa"/>
            <w:shd w:val="clear" w:color="auto" w:fill="F2F2F2"/>
            <w:hideMark/>
          </w:tcPr>
          <w:p w14:paraId="4818205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09DB20C" w14:textId="77777777" w:rsidR="002A4DDF" w:rsidRPr="00937C8B" w:rsidRDefault="002A4DDF" w:rsidP="009110ED">
            <w:pPr>
              <w:rPr>
                <w:rFonts w:ascii="Arial" w:hAnsi="Arial" w:cs="Arial"/>
                <w:sz w:val="12"/>
                <w:szCs w:val="12"/>
              </w:rPr>
            </w:pPr>
            <w:r>
              <w:rPr>
                <w:rFonts w:ascii="Arial" w:hAnsi="Arial"/>
                <w:sz w:val="12"/>
                <w:szCs w:val="12"/>
              </w:rPr>
              <w:t>Peromingo</w:t>
            </w:r>
          </w:p>
        </w:tc>
      </w:tr>
      <w:tr w:rsidR="002A4DDF" w:rsidRPr="00937C8B" w14:paraId="44A93E52" w14:textId="77777777" w:rsidTr="00935676">
        <w:trPr>
          <w:cantSplit/>
        </w:trPr>
        <w:tc>
          <w:tcPr>
            <w:tcW w:w="1696" w:type="dxa"/>
            <w:tcBorders>
              <w:left w:val="single" w:sz="4" w:space="0" w:color="auto"/>
            </w:tcBorders>
            <w:shd w:val="clear" w:color="auto" w:fill="auto"/>
          </w:tcPr>
          <w:p w14:paraId="36AF3360" w14:textId="77777777" w:rsidR="002A4DDF" w:rsidRPr="00937C8B" w:rsidRDefault="002A4DDF" w:rsidP="009110ED">
            <w:pPr>
              <w:rPr>
                <w:rFonts w:ascii="Arial" w:hAnsi="Arial" w:cs="Arial"/>
                <w:sz w:val="12"/>
                <w:szCs w:val="12"/>
              </w:rPr>
            </w:pPr>
          </w:p>
        </w:tc>
        <w:tc>
          <w:tcPr>
            <w:tcW w:w="1843" w:type="dxa"/>
            <w:shd w:val="clear" w:color="auto" w:fill="auto"/>
          </w:tcPr>
          <w:p w14:paraId="7A52BAF2" w14:textId="77777777" w:rsidR="002A4DDF" w:rsidRPr="00937C8B" w:rsidRDefault="002A4DDF" w:rsidP="009110ED">
            <w:pPr>
              <w:rPr>
                <w:rFonts w:ascii="Arial" w:hAnsi="Arial" w:cs="Arial"/>
                <w:sz w:val="12"/>
                <w:szCs w:val="12"/>
              </w:rPr>
            </w:pPr>
          </w:p>
        </w:tc>
        <w:tc>
          <w:tcPr>
            <w:tcW w:w="2268" w:type="dxa"/>
            <w:shd w:val="clear" w:color="auto" w:fill="F2F2F2"/>
            <w:hideMark/>
          </w:tcPr>
          <w:p w14:paraId="52DAC44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DA8ED6D" w14:textId="77777777" w:rsidR="002A4DDF" w:rsidRPr="00937C8B" w:rsidRDefault="002A4DDF" w:rsidP="009110ED">
            <w:pPr>
              <w:rPr>
                <w:rFonts w:ascii="Arial" w:hAnsi="Arial" w:cs="Arial"/>
                <w:sz w:val="12"/>
                <w:szCs w:val="12"/>
              </w:rPr>
            </w:pPr>
            <w:r>
              <w:rPr>
                <w:rFonts w:ascii="Arial" w:hAnsi="Arial"/>
                <w:sz w:val="12"/>
                <w:szCs w:val="12"/>
              </w:rPr>
              <w:t>Pinedas</w:t>
            </w:r>
          </w:p>
        </w:tc>
      </w:tr>
      <w:tr w:rsidR="002A4DDF" w:rsidRPr="00937C8B" w14:paraId="3D78FC53" w14:textId="77777777" w:rsidTr="00935676">
        <w:trPr>
          <w:cantSplit/>
        </w:trPr>
        <w:tc>
          <w:tcPr>
            <w:tcW w:w="1696" w:type="dxa"/>
            <w:tcBorders>
              <w:left w:val="single" w:sz="4" w:space="0" w:color="auto"/>
            </w:tcBorders>
            <w:shd w:val="clear" w:color="auto" w:fill="auto"/>
          </w:tcPr>
          <w:p w14:paraId="2BC8B3D2" w14:textId="77777777" w:rsidR="002A4DDF" w:rsidRPr="00937C8B" w:rsidRDefault="002A4DDF" w:rsidP="009110ED">
            <w:pPr>
              <w:rPr>
                <w:rFonts w:ascii="Arial" w:hAnsi="Arial" w:cs="Arial"/>
                <w:sz w:val="12"/>
                <w:szCs w:val="12"/>
              </w:rPr>
            </w:pPr>
          </w:p>
        </w:tc>
        <w:tc>
          <w:tcPr>
            <w:tcW w:w="1843" w:type="dxa"/>
            <w:shd w:val="clear" w:color="auto" w:fill="auto"/>
          </w:tcPr>
          <w:p w14:paraId="4DA74592" w14:textId="77777777" w:rsidR="002A4DDF" w:rsidRPr="00937C8B" w:rsidRDefault="002A4DDF" w:rsidP="009110ED">
            <w:pPr>
              <w:rPr>
                <w:rFonts w:ascii="Arial" w:hAnsi="Arial" w:cs="Arial"/>
                <w:sz w:val="12"/>
                <w:szCs w:val="12"/>
              </w:rPr>
            </w:pPr>
          </w:p>
        </w:tc>
        <w:tc>
          <w:tcPr>
            <w:tcW w:w="2268" w:type="dxa"/>
            <w:shd w:val="clear" w:color="auto" w:fill="F2F2F2"/>
            <w:hideMark/>
          </w:tcPr>
          <w:p w14:paraId="2524DA6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1DBEF53" w14:textId="77777777" w:rsidR="002A4DDF" w:rsidRPr="00937C8B" w:rsidRDefault="002A4DDF" w:rsidP="009110ED">
            <w:pPr>
              <w:rPr>
                <w:rFonts w:ascii="Arial" w:hAnsi="Arial" w:cs="Arial"/>
                <w:sz w:val="12"/>
                <w:szCs w:val="12"/>
              </w:rPr>
            </w:pPr>
            <w:r>
              <w:rPr>
                <w:rFonts w:ascii="Arial" w:hAnsi="Arial"/>
                <w:sz w:val="12"/>
                <w:szCs w:val="12"/>
              </w:rPr>
              <w:t>Pizarral</w:t>
            </w:r>
          </w:p>
        </w:tc>
      </w:tr>
      <w:tr w:rsidR="002A4DDF" w:rsidRPr="00937C8B" w14:paraId="1C4060F3" w14:textId="77777777" w:rsidTr="00935676">
        <w:trPr>
          <w:cantSplit/>
        </w:trPr>
        <w:tc>
          <w:tcPr>
            <w:tcW w:w="1696" w:type="dxa"/>
            <w:tcBorders>
              <w:left w:val="single" w:sz="4" w:space="0" w:color="auto"/>
            </w:tcBorders>
            <w:shd w:val="clear" w:color="auto" w:fill="auto"/>
          </w:tcPr>
          <w:p w14:paraId="6574C654" w14:textId="77777777" w:rsidR="002A4DDF" w:rsidRPr="00937C8B" w:rsidRDefault="002A4DDF" w:rsidP="009110ED">
            <w:pPr>
              <w:rPr>
                <w:rFonts w:ascii="Arial" w:hAnsi="Arial" w:cs="Arial"/>
                <w:sz w:val="12"/>
                <w:szCs w:val="12"/>
              </w:rPr>
            </w:pPr>
          </w:p>
        </w:tc>
        <w:tc>
          <w:tcPr>
            <w:tcW w:w="1843" w:type="dxa"/>
            <w:shd w:val="clear" w:color="auto" w:fill="auto"/>
          </w:tcPr>
          <w:p w14:paraId="4BE97DF9" w14:textId="77777777" w:rsidR="002A4DDF" w:rsidRPr="00937C8B" w:rsidRDefault="002A4DDF" w:rsidP="009110ED">
            <w:pPr>
              <w:rPr>
                <w:rFonts w:ascii="Arial" w:hAnsi="Arial" w:cs="Arial"/>
                <w:sz w:val="12"/>
                <w:szCs w:val="12"/>
              </w:rPr>
            </w:pPr>
          </w:p>
        </w:tc>
        <w:tc>
          <w:tcPr>
            <w:tcW w:w="2268" w:type="dxa"/>
            <w:shd w:val="clear" w:color="auto" w:fill="F2F2F2"/>
            <w:hideMark/>
          </w:tcPr>
          <w:p w14:paraId="5792A42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FB05F2F" w14:textId="77777777" w:rsidR="002A4DDF" w:rsidRPr="00937C8B" w:rsidRDefault="002A4DDF" w:rsidP="009110ED">
            <w:pPr>
              <w:rPr>
                <w:rFonts w:ascii="Arial" w:hAnsi="Arial" w:cs="Arial"/>
                <w:sz w:val="12"/>
                <w:szCs w:val="12"/>
              </w:rPr>
            </w:pPr>
            <w:r>
              <w:rPr>
                <w:rFonts w:ascii="Arial" w:hAnsi="Arial"/>
                <w:sz w:val="12"/>
                <w:szCs w:val="12"/>
              </w:rPr>
              <w:t>Pozos de Hinojo</w:t>
            </w:r>
          </w:p>
        </w:tc>
      </w:tr>
      <w:tr w:rsidR="002A4DDF" w:rsidRPr="00937C8B" w14:paraId="0F31B257" w14:textId="77777777" w:rsidTr="00935676">
        <w:trPr>
          <w:cantSplit/>
        </w:trPr>
        <w:tc>
          <w:tcPr>
            <w:tcW w:w="1696" w:type="dxa"/>
            <w:tcBorders>
              <w:left w:val="single" w:sz="4" w:space="0" w:color="auto"/>
            </w:tcBorders>
            <w:shd w:val="clear" w:color="auto" w:fill="auto"/>
          </w:tcPr>
          <w:p w14:paraId="6CD3F9B4" w14:textId="77777777" w:rsidR="002A4DDF" w:rsidRPr="00937C8B" w:rsidRDefault="002A4DDF" w:rsidP="009110ED">
            <w:pPr>
              <w:rPr>
                <w:rFonts w:ascii="Arial" w:hAnsi="Arial" w:cs="Arial"/>
                <w:sz w:val="12"/>
                <w:szCs w:val="12"/>
              </w:rPr>
            </w:pPr>
          </w:p>
        </w:tc>
        <w:tc>
          <w:tcPr>
            <w:tcW w:w="1843" w:type="dxa"/>
            <w:shd w:val="clear" w:color="auto" w:fill="auto"/>
          </w:tcPr>
          <w:p w14:paraId="1B1F6DC5" w14:textId="77777777" w:rsidR="002A4DDF" w:rsidRPr="00937C8B" w:rsidRDefault="002A4DDF" w:rsidP="009110ED">
            <w:pPr>
              <w:rPr>
                <w:rFonts w:ascii="Arial" w:hAnsi="Arial" w:cs="Arial"/>
                <w:sz w:val="12"/>
                <w:szCs w:val="12"/>
              </w:rPr>
            </w:pPr>
          </w:p>
        </w:tc>
        <w:tc>
          <w:tcPr>
            <w:tcW w:w="2268" w:type="dxa"/>
            <w:shd w:val="clear" w:color="auto" w:fill="F2F2F2"/>
            <w:hideMark/>
          </w:tcPr>
          <w:p w14:paraId="1FC2F05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48A0D6C" w14:textId="77777777" w:rsidR="002A4DDF" w:rsidRPr="00937C8B" w:rsidRDefault="002A4DDF" w:rsidP="009110ED">
            <w:pPr>
              <w:rPr>
                <w:rFonts w:ascii="Arial" w:hAnsi="Arial" w:cs="Arial"/>
                <w:sz w:val="12"/>
                <w:szCs w:val="12"/>
              </w:rPr>
            </w:pPr>
            <w:r>
              <w:rPr>
                <w:rFonts w:ascii="Arial" w:hAnsi="Arial"/>
                <w:sz w:val="12"/>
                <w:szCs w:val="12"/>
              </w:rPr>
              <w:t>Puebla de Azaba</w:t>
            </w:r>
          </w:p>
        </w:tc>
      </w:tr>
      <w:tr w:rsidR="002A4DDF" w:rsidRPr="00937C8B" w14:paraId="52B17E74" w14:textId="77777777" w:rsidTr="00935676">
        <w:trPr>
          <w:cantSplit/>
        </w:trPr>
        <w:tc>
          <w:tcPr>
            <w:tcW w:w="1696" w:type="dxa"/>
            <w:tcBorders>
              <w:left w:val="single" w:sz="4" w:space="0" w:color="auto"/>
            </w:tcBorders>
            <w:shd w:val="clear" w:color="auto" w:fill="auto"/>
          </w:tcPr>
          <w:p w14:paraId="00937FBD" w14:textId="77777777" w:rsidR="002A4DDF" w:rsidRPr="00937C8B" w:rsidRDefault="002A4DDF" w:rsidP="009110ED">
            <w:pPr>
              <w:rPr>
                <w:rFonts w:ascii="Arial" w:hAnsi="Arial" w:cs="Arial"/>
                <w:sz w:val="12"/>
                <w:szCs w:val="12"/>
              </w:rPr>
            </w:pPr>
          </w:p>
        </w:tc>
        <w:tc>
          <w:tcPr>
            <w:tcW w:w="1843" w:type="dxa"/>
            <w:shd w:val="clear" w:color="auto" w:fill="auto"/>
          </w:tcPr>
          <w:p w14:paraId="359817C1" w14:textId="77777777" w:rsidR="002A4DDF" w:rsidRPr="00937C8B" w:rsidRDefault="002A4DDF" w:rsidP="009110ED">
            <w:pPr>
              <w:rPr>
                <w:rFonts w:ascii="Arial" w:hAnsi="Arial" w:cs="Arial"/>
                <w:sz w:val="12"/>
                <w:szCs w:val="12"/>
              </w:rPr>
            </w:pPr>
          </w:p>
        </w:tc>
        <w:tc>
          <w:tcPr>
            <w:tcW w:w="2268" w:type="dxa"/>
            <w:shd w:val="clear" w:color="auto" w:fill="F2F2F2"/>
            <w:hideMark/>
          </w:tcPr>
          <w:p w14:paraId="26D4136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0F8C530" w14:textId="77777777" w:rsidR="002A4DDF" w:rsidRPr="00937C8B" w:rsidRDefault="002A4DDF" w:rsidP="009110ED">
            <w:pPr>
              <w:rPr>
                <w:rFonts w:ascii="Arial" w:hAnsi="Arial" w:cs="Arial"/>
                <w:sz w:val="12"/>
                <w:szCs w:val="12"/>
              </w:rPr>
            </w:pPr>
            <w:r>
              <w:rPr>
                <w:rFonts w:ascii="Arial" w:hAnsi="Arial"/>
                <w:sz w:val="12"/>
                <w:szCs w:val="12"/>
              </w:rPr>
              <w:t>Puebla de San Medel</w:t>
            </w:r>
          </w:p>
        </w:tc>
      </w:tr>
      <w:tr w:rsidR="002A4DDF" w:rsidRPr="00937C8B" w14:paraId="791D0BBB" w14:textId="77777777" w:rsidTr="00935676">
        <w:trPr>
          <w:cantSplit/>
        </w:trPr>
        <w:tc>
          <w:tcPr>
            <w:tcW w:w="1696" w:type="dxa"/>
            <w:tcBorders>
              <w:left w:val="single" w:sz="4" w:space="0" w:color="auto"/>
            </w:tcBorders>
            <w:shd w:val="clear" w:color="auto" w:fill="auto"/>
          </w:tcPr>
          <w:p w14:paraId="7E4D14EF" w14:textId="77777777" w:rsidR="002A4DDF" w:rsidRPr="00937C8B" w:rsidRDefault="002A4DDF" w:rsidP="009110ED">
            <w:pPr>
              <w:rPr>
                <w:rFonts w:ascii="Arial" w:hAnsi="Arial" w:cs="Arial"/>
                <w:sz w:val="12"/>
                <w:szCs w:val="12"/>
              </w:rPr>
            </w:pPr>
          </w:p>
        </w:tc>
        <w:tc>
          <w:tcPr>
            <w:tcW w:w="1843" w:type="dxa"/>
            <w:shd w:val="clear" w:color="auto" w:fill="auto"/>
          </w:tcPr>
          <w:p w14:paraId="6E290B22" w14:textId="77777777" w:rsidR="002A4DDF" w:rsidRPr="00937C8B" w:rsidRDefault="002A4DDF" w:rsidP="009110ED">
            <w:pPr>
              <w:rPr>
                <w:rFonts w:ascii="Arial" w:hAnsi="Arial" w:cs="Arial"/>
                <w:sz w:val="12"/>
                <w:szCs w:val="12"/>
              </w:rPr>
            </w:pPr>
          </w:p>
        </w:tc>
        <w:tc>
          <w:tcPr>
            <w:tcW w:w="2268" w:type="dxa"/>
            <w:shd w:val="clear" w:color="auto" w:fill="F2F2F2"/>
            <w:hideMark/>
          </w:tcPr>
          <w:p w14:paraId="379D105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F8980C0" w14:textId="77777777" w:rsidR="002A4DDF" w:rsidRPr="00937C8B" w:rsidRDefault="002A4DDF" w:rsidP="009110ED">
            <w:pPr>
              <w:rPr>
                <w:rFonts w:ascii="Arial" w:hAnsi="Arial" w:cs="Arial"/>
                <w:sz w:val="12"/>
                <w:szCs w:val="12"/>
              </w:rPr>
            </w:pPr>
            <w:r>
              <w:rPr>
                <w:rFonts w:ascii="Arial" w:hAnsi="Arial"/>
                <w:sz w:val="12"/>
                <w:szCs w:val="12"/>
              </w:rPr>
              <w:t>Puente del Congosto</w:t>
            </w:r>
          </w:p>
        </w:tc>
      </w:tr>
      <w:tr w:rsidR="002A4DDF" w:rsidRPr="00937C8B" w14:paraId="419825CB" w14:textId="77777777" w:rsidTr="00935676">
        <w:trPr>
          <w:cantSplit/>
        </w:trPr>
        <w:tc>
          <w:tcPr>
            <w:tcW w:w="1696" w:type="dxa"/>
            <w:tcBorders>
              <w:left w:val="single" w:sz="4" w:space="0" w:color="auto"/>
            </w:tcBorders>
            <w:shd w:val="clear" w:color="auto" w:fill="auto"/>
          </w:tcPr>
          <w:p w14:paraId="6A57F7CC" w14:textId="77777777" w:rsidR="002A4DDF" w:rsidRPr="00937C8B" w:rsidRDefault="002A4DDF" w:rsidP="009110ED">
            <w:pPr>
              <w:rPr>
                <w:rFonts w:ascii="Arial" w:hAnsi="Arial" w:cs="Arial"/>
                <w:sz w:val="12"/>
                <w:szCs w:val="12"/>
              </w:rPr>
            </w:pPr>
          </w:p>
        </w:tc>
        <w:tc>
          <w:tcPr>
            <w:tcW w:w="1843" w:type="dxa"/>
            <w:shd w:val="clear" w:color="auto" w:fill="auto"/>
          </w:tcPr>
          <w:p w14:paraId="4BCA387B" w14:textId="77777777" w:rsidR="002A4DDF" w:rsidRPr="00937C8B" w:rsidRDefault="002A4DDF" w:rsidP="009110ED">
            <w:pPr>
              <w:rPr>
                <w:rFonts w:ascii="Arial" w:hAnsi="Arial" w:cs="Arial"/>
                <w:sz w:val="12"/>
                <w:szCs w:val="12"/>
              </w:rPr>
            </w:pPr>
          </w:p>
        </w:tc>
        <w:tc>
          <w:tcPr>
            <w:tcW w:w="2268" w:type="dxa"/>
            <w:shd w:val="clear" w:color="auto" w:fill="F2F2F2"/>
            <w:hideMark/>
          </w:tcPr>
          <w:p w14:paraId="27E5ABB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0F85315" w14:textId="77777777" w:rsidR="002A4DDF" w:rsidRPr="00937C8B" w:rsidRDefault="002A4DDF" w:rsidP="009110ED">
            <w:pPr>
              <w:rPr>
                <w:rFonts w:ascii="Arial" w:hAnsi="Arial" w:cs="Arial"/>
                <w:sz w:val="12"/>
                <w:szCs w:val="12"/>
              </w:rPr>
            </w:pPr>
            <w:r>
              <w:rPr>
                <w:rFonts w:ascii="Arial" w:hAnsi="Arial"/>
                <w:sz w:val="12"/>
                <w:szCs w:val="12"/>
              </w:rPr>
              <w:t>Puertas</w:t>
            </w:r>
          </w:p>
        </w:tc>
      </w:tr>
      <w:tr w:rsidR="002A4DDF" w:rsidRPr="00937C8B" w14:paraId="656F57F0" w14:textId="77777777" w:rsidTr="00935676">
        <w:trPr>
          <w:cantSplit/>
        </w:trPr>
        <w:tc>
          <w:tcPr>
            <w:tcW w:w="1696" w:type="dxa"/>
            <w:tcBorders>
              <w:left w:val="single" w:sz="4" w:space="0" w:color="auto"/>
            </w:tcBorders>
            <w:shd w:val="clear" w:color="auto" w:fill="auto"/>
          </w:tcPr>
          <w:p w14:paraId="04EEBC6F" w14:textId="77777777" w:rsidR="002A4DDF" w:rsidRPr="00937C8B" w:rsidRDefault="002A4DDF" w:rsidP="009110ED">
            <w:pPr>
              <w:rPr>
                <w:rFonts w:ascii="Arial" w:hAnsi="Arial" w:cs="Arial"/>
                <w:sz w:val="12"/>
                <w:szCs w:val="12"/>
              </w:rPr>
            </w:pPr>
          </w:p>
        </w:tc>
        <w:tc>
          <w:tcPr>
            <w:tcW w:w="1843" w:type="dxa"/>
            <w:shd w:val="clear" w:color="auto" w:fill="auto"/>
          </w:tcPr>
          <w:p w14:paraId="55BFA013" w14:textId="77777777" w:rsidR="002A4DDF" w:rsidRPr="00937C8B" w:rsidRDefault="002A4DDF" w:rsidP="009110ED">
            <w:pPr>
              <w:rPr>
                <w:rFonts w:ascii="Arial" w:hAnsi="Arial" w:cs="Arial"/>
                <w:sz w:val="12"/>
                <w:szCs w:val="12"/>
              </w:rPr>
            </w:pPr>
          </w:p>
        </w:tc>
        <w:tc>
          <w:tcPr>
            <w:tcW w:w="2268" w:type="dxa"/>
            <w:shd w:val="clear" w:color="auto" w:fill="F2F2F2"/>
            <w:hideMark/>
          </w:tcPr>
          <w:p w14:paraId="336CEA1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45E6C58" w14:textId="77777777" w:rsidR="002A4DDF" w:rsidRPr="00937C8B" w:rsidRDefault="002A4DDF" w:rsidP="009110ED">
            <w:pPr>
              <w:rPr>
                <w:rFonts w:ascii="Arial" w:hAnsi="Arial" w:cs="Arial"/>
                <w:sz w:val="12"/>
                <w:szCs w:val="12"/>
              </w:rPr>
            </w:pPr>
            <w:r>
              <w:rPr>
                <w:rFonts w:ascii="Arial" w:hAnsi="Arial"/>
                <w:sz w:val="12"/>
                <w:szCs w:val="12"/>
              </w:rPr>
              <w:t>Puerto de Béjar</w:t>
            </w:r>
          </w:p>
        </w:tc>
      </w:tr>
      <w:tr w:rsidR="002A4DDF" w:rsidRPr="00937C8B" w14:paraId="75A4903D" w14:textId="77777777" w:rsidTr="00935676">
        <w:trPr>
          <w:cantSplit/>
        </w:trPr>
        <w:tc>
          <w:tcPr>
            <w:tcW w:w="1696" w:type="dxa"/>
            <w:tcBorders>
              <w:left w:val="single" w:sz="4" w:space="0" w:color="auto"/>
            </w:tcBorders>
            <w:shd w:val="clear" w:color="auto" w:fill="auto"/>
          </w:tcPr>
          <w:p w14:paraId="7B8D88A5" w14:textId="77777777" w:rsidR="002A4DDF" w:rsidRPr="00937C8B" w:rsidRDefault="002A4DDF" w:rsidP="009110ED">
            <w:pPr>
              <w:rPr>
                <w:rFonts w:ascii="Arial" w:hAnsi="Arial" w:cs="Arial"/>
                <w:sz w:val="12"/>
                <w:szCs w:val="12"/>
              </w:rPr>
            </w:pPr>
          </w:p>
        </w:tc>
        <w:tc>
          <w:tcPr>
            <w:tcW w:w="1843" w:type="dxa"/>
            <w:shd w:val="clear" w:color="auto" w:fill="auto"/>
          </w:tcPr>
          <w:p w14:paraId="7FC028CF" w14:textId="77777777" w:rsidR="002A4DDF" w:rsidRPr="00937C8B" w:rsidRDefault="002A4DDF" w:rsidP="009110ED">
            <w:pPr>
              <w:rPr>
                <w:rFonts w:ascii="Arial" w:hAnsi="Arial" w:cs="Arial"/>
                <w:sz w:val="12"/>
                <w:szCs w:val="12"/>
              </w:rPr>
            </w:pPr>
          </w:p>
        </w:tc>
        <w:tc>
          <w:tcPr>
            <w:tcW w:w="2268" w:type="dxa"/>
            <w:shd w:val="clear" w:color="auto" w:fill="F2F2F2"/>
            <w:hideMark/>
          </w:tcPr>
          <w:p w14:paraId="09EA8B9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5FA7D46" w14:textId="77777777" w:rsidR="002A4DDF" w:rsidRPr="00937C8B" w:rsidRDefault="002A4DDF" w:rsidP="009110ED">
            <w:pPr>
              <w:rPr>
                <w:rFonts w:ascii="Arial" w:hAnsi="Arial" w:cs="Arial"/>
                <w:sz w:val="12"/>
                <w:szCs w:val="12"/>
              </w:rPr>
            </w:pPr>
            <w:r>
              <w:rPr>
                <w:rFonts w:ascii="Arial" w:hAnsi="Arial"/>
                <w:sz w:val="12"/>
                <w:szCs w:val="12"/>
              </w:rPr>
              <w:t>Puerto Seguro</w:t>
            </w:r>
          </w:p>
        </w:tc>
      </w:tr>
      <w:tr w:rsidR="002A4DDF" w:rsidRPr="00937C8B" w14:paraId="33396A0F" w14:textId="77777777" w:rsidTr="00935676">
        <w:trPr>
          <w:cantSplit/>
        </w:trPr>
        <w:tc>
          <w:tcPr>
            <w:tcW w:w="1696" w:type="dxa"/>
            <w:tcBorders>
              <w:left w:val="single" w:sz="4" w:space="0" w:color="auto"/>
            </w:tcBorders>
            <w:shd w:val="clear" w:color="auto" w:fill="auto"/>
          </w:tcPr>
          <w:p w14:paraId="453E5BA3" w14:textId="77777777" w:rsidR="002A4DDF" w:rsidRPr="00937C8B" w:rsidRDefault="002A4DDF" w:rsidP="009110ED">
            <w:pPr>
              <w:rPr>
                <w:rFonts w:ascii="Arial" w:hAnsi="Arial" w:cs="Arial"/>
                <w:sz w:val="12"/>
                <w:szCs w:val="12"/>
              </w:rPr>
            </w:pPr>
          </w:p>
        </w:tc>
        <w:tc>
          <w:tcPr>
            <w:tcW w:w="1843" w:type="dxa"/>
            <w:shd w:val="clear" w:color="auto" w:fill="auto"/>
          </w:tcPr>
          <w:p w14:paraId="044E5037" w14:textId="77777777" w:rsidR="002A4DDF" w:rsidRPr="00937C8B" w:rsidRDefault="002A4DDF" w:rsidP="009110ED">
            <w:pPr>
              <w:rPr>
                <w:rFonts w:ascii="Arial" w:hAnsi="Arial" w:cs="Arial"/>
                <w:sz w:val="12"/>
                <w:szCs w:val="12"/>
              </w:rPr>
            </w:pPr>
          </w:p>
        </w:tc>
        <w:tc>
          <w:tcPr>
            <w:tcW w:w="2268" w:type="dxa"/>
            <w:shd w:val="clear" w:color="auto" w:fill="F2F2F2"/>
            <w:hideMark/>
          </w:tcPr>
          <w:p w14:paraId="4B67F2D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DDC3064" w14:textId="77777777" w:rsidR="002A4DDF" w:rsidRPr="00937C8B" w:rsidRDefault="002A4DDF" w:rsidP="009110ED">
            <w:pPr>
              <w:rPr>
                <w:rFonts w:ascii="Arial" w:hAnsi="Arial" w:cs="Arial"/>
                <w:sz w:val="12"/>
                <w:szCs w:val="12"/>
              </w:rPr>
            </w:pPr>
            <w:r>
              <w:rPr>
                <w:rFonts w:ascii="Arial" w:hAnsi="Arial"/>
                <w:sz w:val="12"/>
                <w:szCs w:val="12"/>
              </w:rPr>
              <w:t>Robleda</w:t>
            </w:r>
          </w:p>
        </w:tc>
      </w:tr>
      <w:tr w:rsidR="002A4DDF" w:rsidRPr="00937C8B" w14:paraId="79BC5DBC" w14:textId="77777777" w:rsidTr="00935676">
        <w:trPr>
          <w:cantSplit/>
        </w:trPr>
        <w:tc>
          <w:tcPr>
            <w:tcW w:w="1696" w:type="dxa"/>
            <w:tcBorders>
              <w:left w:val="single" w:sz="4" w:space="0" w:color="auto"/>
            </w:tcBorders>
            <w:shd w:val="clear" w:color="auto" w:fill="auto"/>
          </w:tcPr>
          <w:p w14:paraId="3CA6937F" w14:textId="77777777" w:rsidR="002A4DDF" w:rsidRPr="00937C8B" w:rsidRDefault="002A4DDF" w:rsidP="009110ED">
            <w:pPr>
              <w:rPr>
                <w:rFonts w:ascii="Arial" w:hAnsi="Arial" w:cs="Arial"/>
                <w:sz w:val="12"/>
                <w:szCs w:val="12"/>
              </w:rPr>
            </w:pPr>
          </w:p>
        </w:tc>
        <w:tc>
          <w:tcPr>
            <w:tcW w:w="1843" w:type="dxa"/>
            <w:shd w:val="clear" w:color="auto" w:fill="auto"/>
          </w:tcPr>
          <w:p w14:paraId="5D754501" w14:textId="77777777" w:rsidR="002A4DDF" w:rsidRPr="00937C8B" w:rsidRDefault="002A4DDF" w:rsidP="009110ED">
            <w:pPr>
              <w:rPr>
                <w:rFonts w:ascii="Arial" w:hAnsi="Arial" w:cs="Arial"/>
                <w:sz w:val="12"/>
                <w:szCs w:val="12"/>
              </w:rPr>
            </w:pPr>
          </w:p>
        </w:tc>
        <w:tc>
          <w:tcPr>
            <w:tcW w:w="2268" w:type="dxa"/>
            <w:shd w:val="clear" w:color="auto" w:fill="F2F2F2"/>
            <w:hideMark/>
          </w:tcPr>
          <w:p w14:paraId="76E5175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DBD7EF5" w14:textId="77777777" w:rsidR="002A4DDF" w:rsidRPr="00937C8B" w:rsidRDefault="002A4DDF" w:rsidP="009110ED">
            <w:pPr>
              <w:rPr>
                <w:rFonts w:ascii="Arial" w:hAnsi="Arial" w:cs="Arial"/>
                <w:sz w:val="12"/>
                <w:szCs w:val="12"/>
              </w:rPr>
            </w:pPr>
            <w:r>
              <w:rPr>
                <w:rFonts w:ascii="Arial" w:hAnsi="Arial"/>
                <w:sz w:val="12"/>
                <w:szCs w:val="12"/>
              </w:rPr>
              <w:t>Saelices el Chico</w:t>
            </w:r>
          </w:p>
        </w:tc>
      </w:tr>
      <w:tr w:rsidR="002A4DDF" w:rsidRPr="00937C8B" w14:paraId="4AA7A6C5" w14:textId="77777777" w:rsidTr="00935676">
        <w:trPr>
          <w:cantSplit/>
        </w:trPr>
        <w:tc>
          <w:tcPr>
            <w:tcW w:w="1696" w:type="dxa"/>
            <w:tcBorders>
              <w:left w:val="single" w:sz="4" w:space="0" w:color="auto"/>
            </w:tcBorders>
            <w:shd w:val="clear" w:color="auto" w:fill="auto"/>
          </w:tcPr>
          <w:p w14:paraId="4A64E23E" w14:textId="77777777" w:rsidR="002A4DDF" w:rsidRPr="00937C8B" w:rsidRDefault="002A4DDF" w:rsidP="009110ED">
            <w:pPr>
              <w:rPr>
                <w:rFonts w:ascii="Arial" w:hAnsi="Arial" w:cs="Arial"/>
                <w:sz w:val="12"/>
                <w:szCs w:val="12"/>
              </w:rPr>
            </w:pPr>
          </w:p>
        </w:tc>
        <w:tc>
          <w:tcPr>
            <w:tcW w:w="1843" w:type="dxa"/>
            <w:shd w:val="clear" w:color="auto" w:fill="auto"/>
          </w:tcPr>
          <w:p w14:paraId="1B484290" w14:textId="77777777" w:rsidR="002A4DDF" w:rsidRPr="00937C8B" w:rsidRDefault="002A4DDF" w:rsidP="009110ED">
            <w:pPr>
              <w:rPr>
                <w:rFonts w:ascii="Arial" w:hAnsi="Arial" w:cs="Arial"/>
                <w:sz w:val="12"/>
                <w:szCs w:val="12"/>
              </w:rPr>
            </w:pPr>
          </w:p>
        </w:tc>
        <w:tc>
          <w:tcPr>
            <w:tcW w:w="2268" w:type="dxa"/>
            <w:shd w:val="clear" w:color="auto" w:fill="F2F2F2"/>
            <w:hideMark/>
          </w:tcPr>
          <w:p w14:paraId="3E2E403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F6256C6" w14:textId="77777777" w:rsidR="002A4DDF" w:rsidRPr="00937C8B" w:rsidRDefault="002A4DDF" w:rsidP="009110ED">
            <w:pPr>
              <w:rPr>
                <w:rFonts w:ascii="Arial" w:hAnsi="Arial" w:cs="Arial"/>
                <w:sz w:val="12"/>
                <w:szCs w:val="12"/>
              </w:rPr>
            </w:pPr>
            <w:r>
              <w:rPr>
                <w:rFonts w:ascii="Arial" w:hAnsi="Arial"/>
                <w:sz w:val="12"/>
                <w:szCs w:val="12"/>
              </w:rPr>
              <w:t>Salamanque</w:t>
            </w:r>
          </w:p>
        </w:tc>
      </w:tr>
      <w:tr w:rsidR="002A4DDF" w:rsidRPr="00937C8B" w14:paraId="50BFB997" w14:textId="77777777" w:rsidTr="00935676">
        <w:trPr>
          <w:cantSplit/>
        </w:trPr>
        <w:tc>
          <w:tcPr>
            <w:tcW w:w="1696" w:type="dxa"/>
            <w:tcBorders>
              <w:left w:val="single" w:sz="4" w:space="0" w:color="auto"/>
            </w:tcBorders>
            <w:shd w:val="clear" w:color="auto" w:fill="auto"/>
          </w:tcPr>
          <w:p w14:paraId="1CB5C04A" w14:textId="77777777" w:rsidR="002A4DDF" w:rsidRPr="00937C8B" w:rsidRDefault="002A4DDF" w:rsidP="009110ED">
            <w:pPr>
              <w:rPr>
                <w:rFonts w:ascii="Arial" w:hAnsi="Arial" w:cs="Arial"/>
                <w:sz w:val="12"/>
                <w:szCs w:val="12"/>
              </w:rPr>
            </w:pPr>
          </w:p>
        </w:tc>
        <w:tc>
          <w:tcPr>
            <w:tcW w:w="1843" w:type="dxa"/>
            <w:shd w:val="clear" w:color="auto" w:fill="auto"/>
          </w:tcPr>
          <w:p w14:paraId="039E9FDE" w14:textId="77777777" w:rsidR="002A4DDF" w:rsidRPr="00937C8B" w:rsidRDefault="002A4DDF" w:rsidP="009110ED">
            <w:pPr>
              <w:rPr>
                <w:rFonts w:ascii="Arial" w:hAnsi="Arial" w:cs="Arial"/>
                <w:sz w:val="12"/>
                <w:szCs w:val="12"/>
              </w:rPr>
            </w:pPr>
          </w:p>
        </w:tc>
        <w:tc>
          <w:tcPr>
            <w:tcW w:w="2268" w:type="dxa"/>
            <w:shd w:val="clear" w:color="auto" w:fill="F2F2F2"/>
            <w:hideMark/>
          </w:tcPr>
          <w:p w14:paraId="7767B7F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109D1BA" w14:textId="77777777" w:rsidR="002A4DDF" w:rsidRPr="00937C8B" w:rsidRDefault="002A4DDF" w:rsidP="009110ED">
            <w:pPr>
              <w:rPr>
                <w:rFonts w:ascii="Arial" w:hAnsi="Arial" w:cs="Arial"/>
                <w:sz w:val="12"/>
                <w:szCs w:val="12"/>
              </w:rPr>
            </w:pPr>
            <w:r>
              <w:rPr>
                <w:rFonts w:ascii="Arial" w:hAnsi="Arial"/>
                <w:sz w:val="12"/>
                <w:szCs w:val="12"/>
              </w:rPr>
              <w:t>Saldeana</w:t>
            </w:r>
          </w:p>
        </w:tc>
      </w:tr>
      <w:tr w:rsidR="002A4DDF" w:rsidRPr="00937C8B" w14:paraId="079F0844" w14:textId="77777777" w:rsidTr="00935676">
        <w:trPr>
          <w:cantSplit/>
        </w:trPr>
        <w:tc>
          <w:tcPr>
            <w:tcW w:w="1696" w:type="dxa"/>
            <w:tcBorders>
              <w:left w:val="single" w:sz="4" w:space="0" w:color="auto"/>
            </w:tcBorders>
            <w:shd w:val="clear" w:color="auto" w:fill="auto"/>
          </w:tcPr>
          <w:p w14:paraId="663FBAB5" w14:textId="77777777" w:rsidR="002A4DDF" w:rsidRPr="00937C8B" w:rsidRDefault="002A4DDF" w:rsidP="009110ED">
            <w:pPr>
              <w:rPr>
                <w:rFonts w:ascii="Arial" w:hAnsi="Arial" w:cs="Arial"/>
                <w:sz w:val="12"/>
                <w:szCs w:val="12"/>
              </w:rPr>
            </w:pPr>
          </w:p>
        </w:tc>
        <w:tc>
          <w:tcPr>
            <w:tcW w:w="1843" w:type="dxa"/>
            <w:shd w:val="clear" w:color="auto" w:fill="auto"/>
          </w:tcPr>
          <w:p w14:paraId="35EA9E53" w14:textId="77777777" w:rsidR="002A4DDF" w:rsidRPr="00937C8B" w:rsidRDefault="002A4DDF" w:rsidP="009110ED">
            <w:pPr>
              <w:rPr>
                <w:rFonts w:ascii="Arial" w:hAnsi="Arial" w:cs="Arial"/>
                <w:sz w:val="12"/>
                <w:szCs w:val="12"/>
              </w:rPr>
            </w:pPr>
          </w:p>
        </w:tc>
        <w:tc>
          <w:tcPr>
            <w:tcW w:w="2268" w:type="dxa"/>
            <w:shd w:val="clear" w:color="auto" w:fill="F2F2F2"/>
            <w:hideMark/>
          </w:tcPr>
          <w:p w14:paraId="04C8B79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336C7E3" w14:textId="77777777" w:rsidR="002A4DDF" w:rsidRPr="00937C8B" w:rsidRDefault="002A4DDF" w:rsidP="009110ED">
            <w:pPr>
              <w:rPr>
                <w:rFonts w:ascii="Arial" w:hAnsi="Arial" w:cs="Arial"/>
                <w:sz w:val="12"/>
                <w:szCs w:val="12"/>
              </w:rPr>
            </w:pPr>
            <w:r>
              <w:rPr>
                <w:rFonts w:ascii="Arial" w:hAnsi="Arial"/>
                <w:sz w:val="12"/>
                <w:szCs w:val="12"/>
              </w:rPr>
              <w:t>Salvatierra de Tormes</w:t>
            </w:r>
          </w:p>
        </w:tc>
      </w:tr>
      <w:tr w:rsidR="002A4DDF" w:rsidRPr="00937C8B" w14:paraId="76E53879" w14:textId="77777777" w:rsidTr="00935676">
        <w:trPr>
          <w:cantSplit/>
        </w:trPr>
        <w:tc>
          <w:tcPr>
            <w:tcW w:w="1696" w:type="dxa"/>
            <w:tcBorders>
              <w:left w:val="single" w:sz="4" w:space="0" w:color="auto"/>
            </w:tcBorders>
            <w:shd w:val="clear" w:color="auto" w:fill="auto"/>
          </w:tcPr>
          <w:p w14:paraId="7B0CC00A" w14:textId="77777777" w:rsidR="002A4DDF" w:rsidRPr="00937C8B" w:rsidRDefault="002A4DDF" w:rsidP="009110ED">
            <w:pPr>
              <w:rPr>
                <w:rFonts w:ascii="Arial" w:hAnsi="Arial" w:cs="Arial"/>
                <w:sz w:val="12"/>
                <w:szCs w:val="12"/>
              </w:rPr>
            </w:pPr>
          </w:p>
        </w:tc>
        <w:tc>
          <w:tcPr>
            <w:tcW w:w="1843" w:type="dxa"/>
            <w:shd w:val="clear" w:color="auto" w:fill="auto"/>
          </w:tcPr>
          <w:p w14:paraId="33302756" w14:textId="77777777" w:rsidR="002A4DDF" w:rsidRPr="00937C8B" w:rsidRDefault="002A4DDF" w:rsidP="009110ED">
            <w:pPr>
              <w:rPr>
                <w:rFonts w:ascii="Arial" w:hAnsi="Arial" w:cs="Arial"/>
                <w:sz w:val="12"/>
                <w:szCs w:val="12"/>
              </w:rPr>
            </w:pPr>
          </w:p>
        </w:tc>
        <w:tc>
          <w:tcPr>
            <w:tcW w:w="2268" w:type="dxa"/>
            <w:shd w:val="clear" w:color="auto" w:fill="F2F2F2"/>
            <w:hideMark/>
          </w:tcPr>
          <w:p w14:paraId="5961D0B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89067A7" w14:textId="77777777" w:rsidR="002A4DDF" w:rsidRPr="00937C8B" w:rsidRDefault="002A4DDF" w:rsidP="009110ED">
            <w:pPr>
              <w:rPr>
                <w:rFonts w:ascii="Arial" w:hAnsi="Arial" w:cs="Arial"/>
                <w:sz w:val="12"/>
                <w:szCs w:val="12"/>
              </w:rPr>
            </w:pPr>
            <w:r>
              <w:rPr>
                <w:rFonts w:ascii="Arial" w:hAnsi="Arial"/>
                <w:sz w:val="12"/>
                <w:szCs w:val="12"/>
              </w:rPr>
              <w:t>San Esteban de la Sierra</w:t>
            </w:r>
          </w:p>
        </w:tc>
      </w:tr>
      <w:tr w:rsidR="002A4DDF" w:rsidRPr="00937C8B" w14:paraId="5201B1DC" w14:textId="77777777" w:rsidTr="00935676">
        <w:trPr>
          <w:cantSplit/>
        </w:trPr>
        <w:tc>
          <w:tcPr>
            <w:tcW w:w="1696" w:type="dxa"/>
            <w:tcBorders>
              <w:left w:val="single" w:sz="4" w:space="0" w:color="auto"/>
            </w:tcBorders>
            <w:shd w:val="clear" w:color="auto" w:fill="auto"/>
          </w:tcPr>
          <w:p w14:paraId="52B46CBF" w14:textId="77777777" w:rsidR="002A4DDF" w:rsidRPr="00937C8B" w:rsidRDefault="002A4DDF" w:rsidP="009110ED">
            <w:pPr>
              <w:rPr>
                <w:rFonts w:ascii="Arial" w:hAnsi="Arial" w:cs="Arial"/>
                <w:sz w:val="12"/>
                <w:szCs w:val="12"/>
              </w:rPr>
            </w:pPr>
          </w:p>
        </w:tc>
        <w:tc>
          <w:tcPr>
            <w:tcW w:w="1843" w:type="dxa"/>
            <w:shd w:val="clear" w:color="auto" w:fill="auto"/>
          </w:tcPr>
          <w:p w14:paraId="6EBCBFB7" w14:textId="77777777" w:rsidR="002A4DDF" w:rsidRPr="00937C8B" w:rsidRDefault="002A4DDF" w:rsidP="009110ED">
            <w:pPr>
              <w:rPr>
                <w:rFonts w:ascii="Arial" w:hAnsi="Arial" w:cs="Arial"/>
                <w:sz w:val="12"/>
                <w:szCs w:val="12"/>
              </w:rPr>
            </w:pPr>
          </w:p>
        </w:tc>
        <w:tc>
          <w:tcPr>
            <w:tcW w:w="2268" w:type="dxa"/>
            <w:shd w:val="clear" w:color="auto" w:fill="F2F2F2"/>
            <w:hideMark/>
          </w:tcPr>
          <w:p w14:paraId="5A13B1A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0929242" w14:textId="77777777" w:rsidR="002A4DDF" w:rsidRPr="00937C8B" w:rsidRDefault="002A4DDF" w:rsidP="009110ED">
            <w:pPr>
              <w:rPr>
                <w:rFonts w:ascii="Arial" w:hAnsi="Arial" w:cs="Arial"/>
                <w:sz w:val="12"/>
                <w:szCs w:val="12"/>
              </w:rPr>
            </w:pPr>
            <w:r>
              <w:rPr>
                <w:rFonts w:ascii="Arial" w:hAnsi="Arial"/>
                <w:sz w:val="12"/>
                <w:szCs w:val="12"/>
              </w:rPr>
              <w:t>San Felices de los Gallegos</w:t>
            </w:r>
          </w:p>
        </w:tc>
      </w:tr>
      <w:tr w:rsidR="002A4DDF" w:rsidRPr="00937C8B" w14:paraId="1BC5B9C7" w14:textId="77777777" w:rsidTr="00935676">
        <w:trPr>
          <w:cantSplit/>
        </w:trPr>
        <w:tc>
          <w:tcPr>
            <w:tcW w:w="1696" w:type="dxa"/>
            <w:tcBorders>
              <w:left w:val="single" w:sz="4" w:space="0" w:color="auto"/>
            </w:tcBorders>
            <w:shd w:val="clear" w:color="auto" w:fill="auto"/>
          </w:tcPr>
          <w:p w14:paraId="2611347E" w14:textId="77777777" w:rsidR="002A4DDF" w:rsidRPr="00937C8B" w:rsidRDefault="002A4DDF" w:rsidP="009110ED">
            <w:pPr>
              <w:rPr>
                <w:rFonts w:ascii="Arial" w:hAnsi="Arial" w:cs="Arial"/>
                <w:sz w:val="12"/>
                <w:szCs w:val="12"/>
              </w:rPr>
            </w:pPr>
          </w:p>
        </w:tc>
        <w:tc>
          <w:tcPr>
            <w:tcW w:w="1843" w:type="dxa"/>
            <w:shd w:val="clear" w:color="auto" w:fill="auto"/>
          </w:tcPr>
          <w:p w14:paraId="7D178B01" w14:textId="77777777" w:rsidR="002A4DDF" w:rsidRPr="00937C8B" w:rsidRDefault="002A4DDF" w:rsidP="009110ED">
            <w:pPr>
              <w:rPr>
                <w:rFonts w:ascii="Arial" w:hAnsi="Arial" w:cs="Arial"/>
                <w:sz w:val="12"/>
                <w:szCs w:val="12"/>
              </w:rPr>
            </w:pPr>
          </w:p>
        </w:tc>
        <w:tc>
          <w:tcPr>
            <w:tcW w:w="2268" w:type="dxa"/>
            <w:shd w:val="clear" w:color="auto" w:fill="F2F2F2"/>
            <w:hideMark/>
          </w:tcPr>
          <w:p w14:paraId="0B3C9F4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FB7084A" w14:textId="77777777" w:rsidR="002A4DDF" w:rsidRPr="00937C8B" w:rsidRDefault="002A4DDF" w:rsidP="009110ED">
            <w:pPr>
              <w:rPr>
                <w:rFonts w:ascii="Arial" w:hAnsi="Arial" w:cs="Arial"/>
                <w:sz w:val="12"/>
                <w:szCs w:val="12"/>
              </w:rPr>
            </w:pPr>
            <w:r>
              <w:rPr>
                <w:rFonts w:ascii="Arial" w:hAnsi="Arial"/>
                <w:sz w:val="12"/>
                <w:szCs w:val="12"/>
              </w:rPr>
              <w:t>San Martín del Castañar</w:t>
            </w:r>
          </w:p>
        </w:tc>
      </w:tr>
      <w:tr w:rsidR="002A4DDF" w:rsidRPr="00937C8B" w14:paraId="58718410" w14:textId="77777777" w:rsidTr="00935676">
        <w:trPr>
          <w:cantSplit/>
        </w:trPr>
        <w:tc>
          <w:tcPr>
            <w:tcW w:w="1696" w:type="dxa"/>
            <w:tcBorders>
              <w:left w:val="single" w:sz="4" w:space="0" w:color="auto"/>
            </w:tcBorders>
            <w:shd w:val="clear" w:color="auto" w:fill="auto"/>
          </w:tcPr>
          <w:p w14:paraId="0B74D84B" w14:textId="77777777" w:rsidR="002A4DDF" w:rsidRPr="00937C8B" w:rsidRDefault="002A4DDF" w:rsidP="009110ED">
            <w:pPr>
              <w:rPr>
                <w:rFonts w:ascii="Arial" w:hAnsi="Arial" w:cs="Arial"/>
                <w:sz w:val="12"/>
                <w:szCs w:val="12"/>
              </w:rPr>
            </w:pPr>
          </w:p>
        </w:tc>
        <w:tc>
          <w:tcPr>
            <w:tcW w:w="1843" w:type="dxa"/>
            <w:shd w:val="clear" w:color="auto" w:fill="auto"/>
          </w:tcPr>
          <w:p w14:paraId="1C9A7649" w14:textId="77777777" w:rsidR="002A4DDF" w:rsidRPr="00937C8B" w:rsidRDefault="002A4DDF" w:rsidP="009110ED">
            <w:pPr>
              <w:rPr>
                <w:rFonts w:ascii="Arial" w:hAnsi="Arial" w:cs="Arial"/>
                <w:sz w:val="12"/>
                <w:szCs w:val="12"/>
              </w:rPr>
            </w:pPr>
          </w:p>
        </w:tc>
        <w:tc>
          <w:tcPr>
            <w:tcW w:w="2268" w:type="dxa"/>
            <w:shd w:val="clear" w:color="auto" w:fill="F2F2F2"/>
            <w:hideMark/>
          </w:tcPr>
          <w:p w14:paraId="6CB89B7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1313958" w14:textId="77777777" w:rsidR="002A4DDF" w:rsidRPr="00937C8B" w:rsidRDefault="002A4DDF" w:rsidP="009110ED">
            <w:pPr>
              <w:rPr>
                <w:rFonts w:ascii="Arial" w:hAnsi="Arial" w:cs="Arial"/>
                <w:sz w:val="12"/>
                <w:szCs w:val="12"/>
              </w:rPr>
            </w:pPr>
            <w:r>
              <w:rPr>
                <w:rFonts w:ascii="Arial" w:hAnsi="Arial"/>
                <w:sz w:val="12"/>
                <w:szCs w:val="12"/>
              </w:rPr>
              <w:t>San Miguel de Valero</w:t>
            </w:r>
          </w:p>
        </w:tc>
      </w:tr>
      <w:tr w:rsidR="002A4DDF" w:rsidRPr="00937C8B" w14:paraId="45ED86E3" w14:textId="77777777" w:rsidTr="00935676">
        <w:trPr>
          <w:cantSplit/>
        </w:trPr>
        <w:tc>
          <w:tcPr>
            <w:tcW w:w="1696" w:type="dxa"/>
            <w:tcBorders>
              <w:left w:val="single" w:sz="4" w:space="0" w:color="auto"/>
            </w:tcBorders>
            <w:shd w:val="clear" w:color="auto" w:fill="auto"/>
          </w:tcPr>
          <w:p w14:paraId="15E44244" w14:textId="77777777" w:rsidR="002A4DDF" w:rsidRPr="00937C8B" w:rsidRDefault="002A4DDF" w:rsidP="009110ED">
            <w:pPr>
              <w:rPr>
                <w:rFonts w:ascii="Arial" w:hAnsi="Arial" w:cs="Arial"/>
                <w:sz w:val="12"/>
                <w:szCs w:val="12"/>
              </w:rPr>
            </w:pPr>
          </w:p>
        </w:tc>
        <w:tc>
          <w:tcPr>
            <w:tcW w:w="1843" w:type="dxa"/>
            <w:shd w:val="clear" w:color="auto" w:fill="auto"/>
          </w:tcPr>
          <w:p w14:paraId="70CEF195" w14:textId="77777777" w:rsidR="002A4DDF" w:rsidRPr="00937C8B" w:rsidRDefault="002A4DDF" w:rsidP="009110ED">
            <w:pPr>
              <w:rPr>
                <w:rFonts w:ascii="Arial" w:hAnsi="Arial" w:cs="Arial"/>
                <w:sz w:val="12"/>
                <w:szCs w:val="12"/>
              </w:rPr>
            </w:pPr>
          </w:p>
        </w:tc>
        <w:tc>
          <w:tcPr>
            <w:tcW w:w="2268" w:type="dxa"/>
            <w:shd w:val="clear" w:color="auto" w:fill="F2F2F2"/>
            <w:hideMark/>
          </w:tcPr>
          <w:p w14:paraId="4E16DAE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DD816BF" w14:textId="77777777" w:rsidR="002A4DDF" w:rsidRPr="00937C8B" w:rsidRDefault="002A4DDF" w:rsidP="009110ED">
            <w:pPr>
              <w:rPr>
                <w:rFonts w:ascii="Arial" w:hAnsi="Arial" w:cs="Arial"/>
                <w:sz w:val="12"/>
                <w:szCs w:val="12"/>
              </w:rPr>
            </w:pPr>
            <w:r>
              <w:rPr>
                <w:rFonts w:ascii="Arial" w:hAnsi="Arial"/>
                <w:sz w:val="12"/>
                <w:szCs w:val="12"/>
              </w:rPr>
              <w:t>San Miguel del Robledo</w:t>
            </w:r>
          </w:p>
        </w:tc>
      </w:tr>
      <w:tr w:rsidR="002A4DDF" w:rsidRPr="00937C8B" w14:paraId="5CAA8D25" w14:textId="77777777" w:rsidTr="00935676">
        <w:trPr>
          <w:cantSplit/>
        </w:trPr>
        <w:tc>
          <w:tcPr>
            <w:tcW w:w="1696" w:type="dxa"/>
            <w:tcBorders>
              <w:left w:val="single" w:sz="4" w:space="0" w:color="auto"/>
            </w:tcBorders>
            <w:shd w:val="clear" w:color="auto" w:fill="auto"/>
          </w:tcPr>
          <w:p w14:paraId="445C82B7" w14:textId="77777777" w:rsidR="002A4DDF" w:rsidRPr="00937C8B" w:rsidRDefault="002A4DDF" w:rsidP="009110ED">
            <w:pPr>
              <w:rPr>
                <w:rFonts w:ascii="Arial" w:hAnsi="Arial" w:cs="Arial"/>
                <w:sz w:val="12"/>
                <w:szCs w:val="12"/>
              </w:rPr>
            </w:pPr>
          </w:p>
        </w:tc>
        <w:tc>
          <w:tcPr>
            <w:tcW w:w="1843" w:type="dxa"/>
            <w:shd w:val="clear" w:color="auto" w:fill="auto"/>
          </w:tcPr>
          <w:p w14:paraId="2C0F6E90" w14:textId="77777777" w:rsidR="002A4DDF" w:rsidRPr="00937C8B" w:rsidRDefault="002A4DDF" w:rsidP="009110ED">
            <w:pPr>
              <w:rPr>
                <w:rFonts w:ascii="Arial" w:hAnsi="Arial" w:cs="Arial"/>
                <w:sz w:val="12"/>
                <w:szCs w:val="12"/>
              </w:rPr>
            </w:pPr>
          </w:p>
        </w:tc>
        <w:tc>
          <w:tcPr>
            <w:tcW w:w="2268" w:type="dxa"/>
            <w:shd w:val="clear" w:color="auto" w:fill="F2F2F2"/>
            <w:hideMark/>
          </w:tcPr>
          <w:p w14:paraId="67115A1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FBACF2C" w14:textId="77777777" w:rsidR="002A4DDF" w:rsidRPr="00937C8B" w:rsidRDefault="002A4DDF" w:rsidP="009110ED">
            <w:pPr>
              <w:rPr>
                <w:rFonts w:ascii="Arial" w:hAnsi="Arial" w:cs="Arial"/>
                <w:sz w:val="12"/>
                <w:szCs w:val="12"/>
              </w:rPr>
            </w:pPr>
            <w:r>
              <w:rPr>
                <w:rFonts w:ascii="Arial" w:hAnsi="Arial"/>
                <w:sz w:val="12"/>
                <w:szCs w:val="12"/>
              </w:rPr>
              <w:t>San Muñoz</w:t>
            </w:r>
          </w:p>
        </w:tc>
      </w:tr>
      <w:tr w:rsidR="002A4DDF" w:rsidRPr="00937C8B" w14:paraId="3490E9E9" w14:textId="77777777" w:rsidTr="00935676">
        <w:trPr>
          <w:cantSplit/>
        </w:trPr>
        <w:tc>
          <w:tcPr>
            <w:tcW w:w="1696" w:type="dxa"/>
            <w:tcBorders>
              <w:left w:val="single" w:sz="4" w:space="0" w:color="auto"/>
            </w:tcBorders>
            <w:shd w:val="clear" w:color="auto" w:fill="auto"/>
          </w:tcPr>
          <w:p w14:paraId="15F5AD32" w14:textId="77777777" w:rsidR="002A4DDF" w:rsidRPr="00937C8B" w:rsidRDefault="002A4DDF" w:rsidP="009110ED">
            <w:pPr>
              <w:rPr>
                <w:rFonts w:ascii="Arial" w:hAnsi="Arial" w:cs="Arial"/>
                <w:sz w:val="12"/>
                <w:szCs w:val="12"/>
              </w:rPr>
            </w:pPr>
          </w:p>
        </w:tc>
        <w:tc>
          <w:tcPr>
            <w:tcW w:w="1843" w:type="dxa"/>
            <w:shd w:val="clear" w:color="auto" w:fill="auto"/>
          </w:tcPr>
          <w:p w14:paraId="0D020818" w14:textId="77777777" w:rsidR="002A4DDF" w:rsidRPr="00937C8B" w:rsidRDefault="002A4DDF" w:rsidP="009110ED">
            <w:pPr>
              <w:rPr>
                <w:rFonts w:ascii="Arial" w:hAnsi="Arial" w:cs="Arial"/>
                <w:sz w:val="12"/>
                <w:szCs w:val="12"/>
              </w:rPr>
            </w:pPr>
          </w:p>
        </w:tc>
        <w:tc>
          <w:tcPr>
            <w:tcW w:w="2268" w:type="dxa"/>
            <w:shd w:val="clear" w:color="auto" w:fill="F2F2F2"/>
            <w:hideMark/>
          </w:tcPr>
          <w:p w14:paraId="21FD4BA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D4BEB5C" w14:textId="77777777" w:rsidR="002A4DDF" w:rsidRPr="00937C8B" w:rsidRDefault="002A4DDF" w:rsidP="009110ED">
            <w:pPr>
              <w:rPr>
                <w:rFonts w:ascii="Arial" w:hAnsi="Arial" w:cs="Arial"/>
                <w:sz w:val="12"/>
                <w:szCs w:val="12"/>
              </w:rPr>
            </w:pPr>
            <w:r>
              <w:rPr>
                <w:rFonts w:ascii="Arial" w:hAnsi="Arial"/>
                <w:sz w:val="12"/>
                <w:szCs w:val="12"/>
              </w:rPr>
              <w:t>San Pedro de Rozados</w:t>
            </w:r>
          </w:p>
        </w:tc>
      </w:tr>
      <w:tr w:rsidR="002A4DDF" w:rsidRPr="00937C8B" w14:paraId="27FB5097" w14:textId="77777777" w:rsidTr="00935676">
        <w:trPr>
          <w:cantSplit/>
        </w:trPr>
        <w:tc>
          <w:tcPr>
            <w:tcW w:w="1696" w:type="dxa"/>
            <w:tcBorders>
              <w:left w:val="single" w:sz="4" w:space="0" w:color="auto"/>
            </w:tcBorders>
            <w:shd w:val="clear" w:color="auto" w:fill="auto"/>
          </w:tcPr>
          <w:p w14:paraId="366A600B" w14:textId="77777777" w:rsidR="002A4DDF" w:rsidRPr="00937C8B" w:rsidRDefault="002A4DDF" w:rsidP="009110ED">
            <w:pPr>
              <w:rPr>
                <w:rFonts w:ascii="Arial" w:hAnsi="Arial" w:cs="Arial"/>
                <w:sz w:val="12"/>
                <w:szCs w:val="12"/>
              </w:rPr>
            </w:pPr>
          </w:p>
        </w:tc>
        <w:tc>
          <w:tcPr>
            <w:tcW w:w="1843" w:type="dxa"/>
            <w:shd w:val="clear" w:color="auto" w:fill="auto"/>
          </w:tcPr>
          <w:p w14:paraId="29F35C04" w14:textId="77777777" w:rsidR="002A4DDF" w:rsidRPr="00937C8B" w:rsidRDefault="002A4DDF" w:rsidP="009110ED">
            <w:pPr>
              <w:rPr>
                <w:rFonts w:ascii="Arial" w:hAnsi="Arial" w:cs="Arial"/>
                <w:sz w:val="12"/>
                <w:szCs w:val="12"/>
              </w:rPr>
            </w:pPr>
          </w:p>
        </w:tc>
        <w:tc>
          <w:tcPr>
            <w:tcW w:w="2268" w:type="dxa"/>
            <w:shd w:val="clear" w:color="auto" w:fill="F2F2F2"/>
            <w:hideMark/>
          </w:tcPr>
          <w:p w14:paraId="781DCD0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A4EB17A" w14:textId="77777777" w:rsidR="002A4DDF" w:rsidRPr="00937C8B" w:rsidRDefault="002A4DDF" w:rsidP="009110ED">
            <w:pPr>
              <w:rPr>
                <w:rFonts w:ascii="Arial" w:hAnsi="Arial" w:cs="Arial"/>
                <w:sz w:val="12"/>
                <w:szCs w:val="12"/>
              </w:rPr>
            </w:pPr>
            <w:r>
              <w:rPr>
                <w:rFonts w:ascii="Arial" w:hAnsi="Arial"/>
                <w:sz w:val="12"/>
                <w:szCs w:val="12"/>
              </w:rPr>
              <w:t>San Pedro del Valle</w:t>
            </w:r>
          </w:p>
        </w:tc>
      </w:tr>
      <w:tr w:rsidR="002A4DDF" w:rsidRPr="00937C8B" w14:paraId="08EDC207" w14:textId="77777777" w:rsidTr="00935676">
        <w:trPr>
          <w:cantSplit/>
        </w:trPr>
        <w:tc>
          <w:tcPr>
            <w:tcW w:w="1696" w:type="dxa"/>
            <w:tcBorders>
              <w:left w:val="single" w:sz="4" w:space="0" w:color="auto"/>
            </w:tcBorders>
            <w:shd w:val="clear" w:color="auto" w:fill="auto"/>
          </w:tcPr>
          <w:p w14:paraId="6F4F7E54" w14:textId="77777777" w:rsidR="002A4DDF" w:rsidRPr="00937C8B" w:rsidRDefault="002A4DDF" w:rsidP="009110ED">
            <w:pPr>
              <w:rPr>
                <w:rFonts w:ascii="Arial" w:hAnsi="Arial" w:cs="Arial"/>
                <w:sz w:val="12"/>
                <w:szCs w:val="12"/>
              </w:rPr>
            </w:pPr>
          </w:p>
        </w:tc>
        <w:tc>
          <w:tcPr>
            <w:tcW w:w="1843" w:type="dxa"/>
            <w:shd w:val="clear" w:color="auto" w:fill="auto"/>
          </w:tcPr>
          <w:p w14:paraId="57AE55AC" w14:textId="77777777" w:rsidR="002A4DDF" w:rsidRPr="00937C8B" w:rsidRDefault="002A4DDF" w:rsidP="009110ED">
            <w:pPr>
              <w:rPr>
                <w:rFonts w:ascii="Arial" w:hAnsi="Arial" w:cs="Arial"/>
                <w:sz w:val="12"/>
                <w:szCs w:val="12"/>
              </w:rPr>
            </w:pPr>
          </w:p>
        </w:tc>
        <w:tc>
          <w:tcPr>
            <w:tcW w:w="2268" w:type="dxa"/>
            <w:shd w:val="clear" w:color="auto" w:fill="F2F2F2"/>
            <w:hideMark/>
          </w:tcPr>
          <w:p w14:paraId="56199CB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F9F2F7E" w14:textId="77777777" w:rsidR="002A4DDF" w:rsidRPr="00937C8B" w:rsidRDefault="002A4DDF" w:rsidP="009110ED">
            <w:pPr>
              <w:rPr>
                <w:rFonts w:ascii="Arial" w:hAnsi="Arial" w:cs="Arial"/>
                <w:sz w:val="12"/>
                <w:szCs w:val="12"/>
              </w:rPr>
            </w:pPr>
            <w:r>
              <w:rPr>
                <w:rFonts w:ascii="Arial" w:hAnsi="Arial"/>
                <w:sz w:val="12"/>
                <w:szCs w:val="12"/>
              </w:rPr>
              <w:t>San Pelayo de Guareña</w:t>
            </w:r>
          </w:p>
        </w:tc>
      </w:tr>
      <w:tr w:rsidR="002A4DDF" w:rsidRPr="00937C8B" w14:paraId="0DD9A013" w14:textId="77777777" w:rsidTr="00935676">
        <w:trPr>
          <w:cantSplit/>
        </w:trPr>
        <w:tc>
          <w:tcPr>
            <w:tcW w:w="1696" w:type="dxa"/>
            <w:tcBorders>
              <w:left w:val="single" w:sz="4" w:space="0" w:color="auto"/>
            </w:tcBorders>
            <w:shd w:val="clear" w:color="auto" w:fill="auto"/>
          </w:tcPr>
          <w:p w14:paraId="24394470" w14:textId="77777777" w:rsidR="002A4DDF" w:rsidRPr="00937C8B" w:rsidRDefault="002A4DDF" w:rsidP="009110ED">
            <w:pPr>
              <w:rPr>
                <w:rFonts w:ascii="Arial" w:hAnsi="Arial" w:cs="Arial"/>
                <w:sz w:val="12"/>
                <w:szCs w:val="12"/>
              </w:rPr>
            </w:pPr>
          </w:p>
        </w:tc>
        <w:tc>
          <w:tcPr>
            <w:tcW w:w="1843" w:type="dxa"/>
            <w:shd w:val="clear" w:color="auto" w:fill="auto"/>
          </w:tcPr>
          <w:p w14:paraId="44033183" w14:textId="77777777" w:rsidR="002A4DDF" w:rsidRPr="00937C8B" w:rsidRDefault="002A4DDF" w:rsidP="009110ED">
            <w:pPr>
              <w:rPr>
                <w:rFonts w:ascii="Arial" w:hAnsi="Arial" w:cs="Arial"/>
                <w:sz w:val="12"/>
                <w:szCs w:val="12"/>
              </w:rPr>
            </w:pPr>
          </w:p>
        </w:tc>
        <w:tc>
          <w:tcPr>
            <w:tcW w:w="2268" w:type="dxa"/>
            <w:shd w:val="clear" w:color="auto" w:fill="F2F2F2"/>
            <w:hideMark/>
          </w:tcPr>
          <w:p w14:paraId="498F4A9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92DD1E3" w14:textId="77777777" w:rsidR="002A4DDF" w:rsidRPr="00937C8B" w:rsidRDefault="002A4DDF" w:rsidP="009110ED">
            <w:pPr>
              <w:rPr>
                <w:rFonts w:ascii="Arial" w:hAnsi="Arial" w:cs="Arial"/>
                <w:sz w:val="12"/>
                <w:szCs w:val="12"/>
              </w:rPr>
            </w:pPr>
            <w:r>
              <w:rPr>
                <w:rFonts w:ascii="Arial" w:hAnsi="Arial"/>
                <w:sz w:val="12"/>
                <w:szCs w:val="12"/>
              </w:rPr>
              <w:t>Sanchón de la Ribera</w:t>
            </w:r>
          </w:p>
        </w:tc>
      </w:tr>
      <w:tr w:rsidR="002A4DDF" w:rsidRPr="00937C8B" w14:paraId="6FD1A732" w14:textId="77777777" w:rsidTr="00935676">
        <w:trPr>
          <w:cantSplit/>
        </w:trPr>
        <w:tc>
          <w:tcPr>
            <w:tcW w:w="1696" w:type="dxa"/>
            <w:tcBorders>
              <w:left w:val="single" w:sz="4" w:space="0" w:color="auto"/>
            </w:tcBorders>
            <w:shd w:val="clear" w:color="auto" w:fill="auto"/>
          </w:tcPr>
          <w:p w14:paraId="70DEABA0" w14:textId="77777777" w:rsidR="002A4DDF" w:rsidRPr="00937C8B" w:rsidRDefault="002A4DDF" w:rsidP="009110ED">
            <w:pPr>
              <w:rPr>
                <w:rFonts w:ascii="Arial" w:hAnsi="Arial" w:cs="Arial"/>
                <w:sz w:val="12"/>
                <w:szCs w:val="12"/>
              </w:rPr>
            </w:pPr>
          </w:p>
        </w:tc>
        <w:tc>
          <w:tcPr>
            <w:tcW w:w="1843" w:type="dxa"/>
            <w:shd w:val="clear" w:color="auto" w:fill="auto"/>
          </w:tcPr>
          <w:p w14:paraId="296B1835" w14:textId="77777777" w:rsidR="002A4DDF" w:rsidRPr="00937C8B" w:rsidRDefault="002A4DDF" w:rsidP="009110ED">
            <w:pPr>
              <w:rPr>
                <w:rFonts w:ascii="Arial" w:hAnsi="Arial" w:cs="Arial"/>
                <w:sz w:val="12"/>
                <w:szCs w:val="12"/>
              </w:rPr>
            </w:pPr>
          </w:p>
        </w:tc>
        <w:tc>
          <w:tcPr>
            <w:tcW w:w="2268" w:type="dxa"/>
            <w:shd w:val="clear" w:color="auto" w:fill="F2F2F2"/>
            <w:hideMark/>
          </w:tcPr>
          <w:p w14:paraId="0C8C5F2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02A3F79" w14:textId="77777777" w:rsidR="002A4DDF" w:rsidRPr="00937C8B" w:rsidRDefault="002A4DDF" w:rsidP="009110ED">
            <w:pPr>
              <w:rPr>
                <w:rFonts w:ascii="Arial" w:hAnsi="Arial" w:cs="Arial"/>
                <w:sz w:val="12"/>
                <w:szCs w:val="12"/>
              </w:rPr>
            </w:pPr>
            <w:r>
              <w:rPr>
                <w:rFonts w:ascii="Arial" w:hAnsi="Arial"/>
                <w:sz w:val="12"/>
                <w:szCs w:val="12"/>
              </w:rPr>
              <w:t>Sanchón de la Sagrada</w:t>
            </w:r>
          </w:p>
        </w:tc>
      </w:tr>
      <w:tr w:rsidR="002A4DDF" w:rsidRPr="00937C8B" w14:paraId="5DC34237" w14:textId="77777777" w:rsidTr="00935676">
        <w:trPr>
          <w:cantSplit/>
        </w:trPr>
        <w:tc>
          <w:tcPr>
            <w:tcW w:w="1696" w:type="dxa"/>
            <w:tcBorders>
              <w:left w:val="single" w:sz="4" w:space="0" w:color="auto"/>
            </w:tcBorders>
            <w:shd w:val="clear" w:color="auto" w:fill="auto"/>
          </w:tcPr>
          <w:p w14:paraId="590829BE" w14:textId="77777777" w:rsidR="002A4DDF" w:rsidRPr="00937C8B" w:rsidRDefault="002A4DDF" w:rsidP="009110ED">
            <w:pPr>
              <w:rPr>
                <w:rFonts w:ascii="Arial" w:hAnsi="Arial" w:cs="Arial"/>
                <w:sz w:val="12"/>
                <w:szCs w:val="12"/>
              </w:rPr>
            </w:pPr>
          </w:p>
        </w:tc>
        <w:tc>
          <w:tcPr>
            <w:tcW w:w="1843" w:type="dxa"/>
            <w:shd w:val="clear" w:color="auto" w:fill="auto"/>
          </w:tcPr>
          <w:p w14:paraId="29363A90" w14:textId="77777777" w:rsidR="002A4DDF" w:rsidRPr="00937C8B" w:rsidRDefault="002A4DDF" w:rsidP="009110ED">
            <w:pPr>
              <w:rPr>
                <w:rFonts w:ascii="Arial" w:hAnsi="Arial" w:cs="Arial"/>
                <w:sz w:val="12"/>
                <w:szCs w:val="12"/>
              </w:rPr>
            </w:pPr>
          </w:p>
        </w:tc>
        <w:tc>
          <w:tcPr>
            <w:tcW w:w="2268" w:type="dxa"/>
            <w:shd w:val="clear" w:color="auto" w:fill="F2F2F2"/>
            <w:hideMark/>
          </w:tcPr>
          <w:p w14:paraId="2071664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96E7675" w14:textId="77777777" w:rsidR="002A4DDF" w:rsidRPr="00937C8B" w:rsidRDefault="002A4DDF" w:rsidP="009110ED">
            <w:pPr>
              <w:rPr>
                <w:rFonts w:ascii="Arial" w:hAnsi="Arial" w:cs="Arial"/>
                <w:sz w:val="12"/>
                <w:szCs w:val="12"/>
              </w:rPr>
            </w:pPr>
            <w:r>
              <w:rPr>
                <w:rFonts w:ascii="Arial" w:hAnsi="Arial"/>
                <w:sz w:val="12"/>
                <w:szCs w:val="12"/>
              </w:rPr>
              <w:t>Sanchotello</w:t>
            </w:r>
          </w:p>
        </w:tc>
      </w:tr>
      <w:tr w:rsidR="002A4DDF" w:rsidRPr="00937C8B" w14:paraId="342BAF23" w14:textId="77777777" w:rsidTr="00935676">
        <w:trPr>
          <w:cantSplit/>
        </w:trPr>
        <w:tc>
          <w:tcPr>
            <w:tcW w:w="1696" w:type="dxa"/>
            <w:tcBorders>
              <w:left w:val="single" w:sz="4" w:space="0" w:color="auto"/>
            </w:tcBorders>
            <w:shd w:val="clear" w:color="auto" w:fill="auto"/>
          </w:tcPr>
          <w:p w14:paraId="26D01E69" w14:textId="77777777" w:rsidR="002A4DDF" w:rsidRPr="00937C8B" w:rsidRDefault="002A4DDF" w:rsidP="009110ED">
            <w:pPr>
              <w:rPr>
                <w:rFonts w:ascii="Arial" w:hAnsi="Arial" w:cs="Arial"/>
                <w:sz w:val="12"/>
                <w:szCs w:val="12"/>
              </w:rPr>
            </w:pPr>
          </w:p>
        </w:tc>
        <w:tc>
          <w:tcPr>
            <w:tcW w:w="1843" w:type="dxa"/>
            <w:shd w:val="clear" w:color="auto" w:fill="auto"/>
          </w:tcPr>
          <w:p w14:paraId="192B613D" w14:textId="77777777" w:rsidR="002A4DDF" w:rsidRPr="00937C8B" w:rsidRDefault="002A4DDF" w:rsidP="009110ED">
            <w:pPr>
              <w:rPr>
                <w:rFonts w:ascii="Arial" w:hAnsi="Arial" w:cs="Arial"/>
                <w:sz w:val="12"/>
                <w:szCs w:val="12"/>
              </w:rPr>
            </w:pPr>
          </w:p>
        </w:tc>
        <w:tc>
          <w:tcPr>
            <w:tcW w:w="2268" w:type="dxa"/>
            <w:shd w:val="clear" w:color="auto" w:fill="F2F2F2"/>
            <w:hideMark/>
          </w:tcPr>
          <w:p w14:paraId="303E126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85446C4" w14:textId="77777777" w:rsidR="002A4DDF" w:rsidRPr="00937C8B" w:rsidRDefault="002A4DDF" w:rsidP="009110ED">
            <w:pPr>
              <w:rPr>
                <w:rFonts w:ascii="Arial" w:hAnsi="Arial" w:cs="Arial"/>
                <w:sz w:val="12"/>
                <w:szCs w:val="12"/>
              </w:rPr>
            </w:pPr>
            <w:r>
              <w:rPr>
                <w:rFonts w:ascii="Arial" w:hAnsi="Arial"/>
                <w:sz w:val="12"/>
                <w:szCs w:val="12"/>
              </w:rPr>
              <w:t>Sancti-Spíritus</w:t>
            </w:r>
          </w:p>
        </w:tc>
      </w:tr>
      <w:tr w:rsidR="002A4DDF" w:rsidRPr="00937C8B" w14:paraId="180FE816" w14:textId="77777777" w:rsidTr="00935676">
        <w:trPr>
          <w:cantSplit/>
        </w:trPr>
        <w:tc>
          <w:tcPr>
            <w:tcW w:w="1696" w:type="dxa"/>
            <w:tcBorders>
              <w:left w:val="single" w:sz="4" w:space="0" w:color="auto"/>
            </w:tcBorders>
            <w:shd w:val="clear" w:color="auto" w:fill="auto"/>
          </w:tcPr>
          <w:p w14:paraId="0AEA94B4" w14:textId="77777777" w:rsidR="002A4DDF" w:rsidRPr="00937C8B" w:rsidRDefault="002A4DDF" w:rsidP="009110ED">
            <w:pPr>
              <w:rPr>
                <w:rFonts w:ascii="Arial" w:hAnsi="Arial" w:cs="Arial"/>
                <w:sz w:val="12"/>
                <w:szCs w:val="12"/>
              </w:rPr>
            </w:pPr>
          </w:p>
        </w:tc>
        <w:tc>
          <w:tcPr>
            <w:tcW w:w="1843" w:type="dxa"/>
            <w:shd w:val="clear" w:color="auto" w:fill="auto"/>
          </w:tcPr>
          <w:p w14:paraId="64577FB3" w14:textId="77777777" w:rsidR="002A4DDF" w:rsidRPr="00937C8B" w:rsidRDefault="002A4DDF" w:rsidP="009110ED">
            <w:pPr>
              <w:rPr>
                <w:rFonts w:ascii="Arial" w:hAnsi="Arial" w:cs="Arial"/>
                <w:sz w:val="12"/>
                <w:szCs w:val="12"/>
              </w:rPr>
            </w:pPr>
          </w:p>
        </w:tc>
        <w:tc>
          <w:tcPr>
            <w:tcW w:w="2268" w:type="dxa"/>
            <w:shd w:val="clear" w:color="auto" w:fill="F2F2F2"/>
            <w:hideMark/>
          </w:tcPr>
          <w:p w14:paraId="0BCAECB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2E7F789" w14:textId="77777777" w:rsidR="002A4DDF" w:rsidRPr="00937C8B" w:rsidRDefault="002A4DDF" w:rsidP="009110ED">
            <w:pPr>
              <w:rPr>
                <w:rFonts w:ascii="Arial" w:hAnsi="Arial" w:cs="Arial"/>
                <w:sz w:val="12"/>
                <w:szCs w:val="12"/>
              </w:rPr>
            </w:pPr>
            <w:r>
              <w:rPr>
                <w:rFonts w:ascii="Arial" w:hAnsi="Arial"/>
                <w:sz w:val="12"/>
                <w:szCs w:val="12"/>
              </w:rPr>
              <w:t>Sando</w:t>
            </w:r>
          </w:p>
        </w:tc>
      </w:tr>
      <w:tr w:rsidR="002A4DDF" w:rsidRPr="00937C8B" w14:paraId="3BCFFA43" w14:textId="77777777" w:rsidTr="00935676">
        <w:trPr>
          <w:cantSplit/>
        </w:trPr>
        <w:tc>
          <w:tcPr>
            <w:tcW w:w="1696" w:type="dxa"/>
            <w:tcBorders>
              <w:left w:val="single" w:sz="4" w:space="0" w:color="auto"/>
            </w:tcBorders>
            <w:shd w:val="clear" w:color="auto" w:fill="auto"/>
          </w:tcPr>
          <w:p w14:paraId="35475901" w14:textId="77777777" w:rsidR="002A4DDF" w:rsidRPr="00937C8B" w:rsidRDefault="002A4DDF" w:rsidP="009110ED">
            <w:pPr>
              <w:rPr>
                <w:rFonts w:ascii="Arial" w:hAnsi="Arial" w:cs="Arial"/>
                <w:sz w:val="12"/>
                <w:szCs w:val="12"/>
              </w:rPr>
            </w:pPr>
          </w:p>
        </w:tc>
        <w:tc>
          <w:tcPr>
            <w:tcW w:w="1843" w:type="dxa"/>
            <w:shd w:val="clear" w:color="auto" w:fill="auto"/>
          </w:tcPr>
          <w:p w14:paraId="0D2E5102" w14:textId="77777777" w:rsidR="002A4DDF" w:rsidRPr="00937C8B" w:rsidRDefault="002A4DDF" w:rsidP="009110ED">
            <w:pPr>
              <w:rPr>
                <w:rFonts w:ascii="Arial" w:hAnsi="Arial" w:cs="Arial"/>
                <w:sz w:val="12"/>
                <w:szCs w:val="12"/>
              </w:rPr>
            </w:pPr>
          </w:p>
        </w:tc>
        <w:tc>
          <w:tcPr>
            <w:tcW w:w="2268" w:type="dxa"/>
            <w:shd w:val="clear" w:color="auto" w:fill="F2F2F2"/>
            <w:hideMark/>
          </w:tcPr>
          <w:p w14:paraId="44E684C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A81ACD3" w14:textId="77777777" w:rsidR="002A4DDF" w:rsidRPr="00937C8B" w:rsidRDefault="002A4DDF" w:rsidP="009110ED">
            <w:pPr>
              <w:rPr>
                <w:rFonts w:ascii="Arial" w:hAnsi="Arial" w:cs="Arial"/>
                <w:sz w:val="12"/>
                <w:szCs w:val="12"/>
              </w:rPr>
            </w:pPr>
            <w:r>
              <w:rPr>
                <w:rFonts w:ascii="Arial" w:hAnsi="Arial"/>
                <w:sz w:val="12"/>
                <w:szCs w:val="12"/>
              </w:rPr>
              <w:t>Santa María de Sando</w:t>
            </w:r>
          </w:p>
        </w:tc>
      </w:tr>
      <w:tr w:rsidR="002A4DDF" w:rsidRPr="00937C8B" w14:paraId="66D3F572" w14:textId="77777777" w:rsidTr="00935676">
        <w:trPr>
          <w:cantSplit/>
        </w:trPr>
        <w:tc>
          <w:tcPr>
            <w:tcW w:w="1696" w:type="dxa"/>
            <w:tcBorders>
              <w:left w:val="single" w:sz="4" w:space="0" w:color="auto"/>
            </w:tcBorders>
            <w:shd w:val="clear" w:color="auto" w:fill="auto"/>
          </w:tcPr>
          <w:p w14:paraId="34C0AD7D" w14:textId="77777777" w:rsidR="002A4DDF" w:rsidRPr="00937C8B" w:rsidRDefault="002A4DDF" w:rsidP="009110ED">
            <w:pPr>
              <w:rPr>
                <w:rFonts w:ascii="Arial" w:hAnsi="Arial" w:cs="Arial"/>
                <w:sz w:val="12"/>
                <w:szCs w:val="12"/>
              </w:rPr>
            </w:pPr>
          </w:p>
        </w:tc>
        <w:tc>
          <w:tcPr>
            <w:tcW w:w="1843" w:type="dxa"/>
            <w:shd w:val="clear" w:color="auto" w:fill="auto"/>
          </w:tcPr>
          <w:p w14:paraId="5ECC6362" w14:textId="77777777" w:rsidR="002A4DDF" w:rsidRPr="00937C8B" w:rsidRDefault="002A4DDF" w:rsidP="009110ED">
            <w:pPr>
              <w:rPr>
                <w:rFonts w:ascii="Arial" w:hAnsi="Arial" w:cs="Arial"/>
                <w:sz w:val="12"/>
                <w:szCs w:val="12"/>
              </w:rPr>
            </w:pPr>
          </w:p>
        </w:tc>
        <w:tc>
          <w:tcPr>
            <w:tcW w:w="2268" w:type="dxa"/>
            <w:shd w:val="clear" w:color="auto" w:fill="F2F2F2"/>
            <w:hideMark/>
          </w:tcPr>
          <w:p w14:paraId="620D91A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D9A62FA" w14:textId="77777777" w:rsidR="002A4DDF" w:rsidRPr="00937C8B" w:rsidRDefault="002A4DDF" w:rsidP="009110ED">
            <w:pPr>
              <w:rPr>
                <w:rFonts w:ascii="Arial" w:hAnsi="Arial" w:cs="Arial"/>
                <w:sz w:val="12"/>
                <w:szCs w:val="12"/>
              </w:rPr>
            </w:pPr>
            <w:r>
              <w:rPr>
                <w:rFonts w:ascii="Arial" w:hAnsi="Arial"/>
                <w:sz w:val="12"/>
                <w:szCs w:val="12"/>
              </w:rPr>
              <w:t>Santibáñez de Béjar</w:t>
            </w:r>
          </w:p>
        </w:tc>
      </w:tr>
      <w:tr w:rsidR="002A4DDF" w:rsidRPr="00937C8B" w14:paraId="3F8D3BC0" w14:textId="77777777" w:rsidTr="00935676">
        <w:trPr>
          <w:cantSplit/>
        </w:trPr>
        <w:tc>
          <w:tcPr>
            <w:tcW w:w="1696" w:type="dxa"/>
            <w:tcBorders>
              <w:left w:val="single" w:sz="4" w:space="0" w:color="auto"/>
            </w:tcBorders>
            <w:shd w:val="clear" w:color="auto" w:fill="auto"/>
          </w:tcPr>
          <w:p w14:paraId="6C7C1471" w14:textId="77777777" w:rsidR="002A4DDF" w:rsidRPr="00937C8B" w:rsidRDefault="002A4DDF" w:rsidP="009110ED">
            <w:pPr>
              <w:rPr>
                <w:rFonts w:ascii="Arial" w:hAnsi="Arial" w:cs="Arial"/>
                <w:sz w:val="12"/>
                <w:szCs w:val="12"/>
              </w:rPr>
            </w:pPr>
          </w:p>
        </w:tc>
        <w:tc>
          <w:tcPr>
            <w:tcW w:w="1843" w:type="dxa"/>
            <w:shd w:val="clear" w:color="auto" w:fill="auto"/>
          </w:tcPr>
          <w:p w14:paraId="6F2920D1" w14:textId="77777777" w:rsidR="002A4DDF" w:rsidRPr="00937C8B" w:rsidRDefault="002A4DDF" w:rsidP="009110ED">
            <w:pPr>
              <w:rPr>
                <w:rFonts w:ascii="Arial" w:hAnsi="Arial" w:cs="Arial"/>
                <w:sz w:val="12"/>
                <w:szCs w:val="12"/>
              </w:rPr>
            </w:pPr>
          </w:p>
        </w:tc>
        <w:tc>
          <w:tcPr>
            <w:tcW w:w="2268" w:type="dxa"/>
            <w:shd w:val="clear" w:color="auto" w:fill="F2F2F2"/>
            <w:hideMark/>
          </w:tcPr>
          <w:p w14:paraId="17DCF62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2DCE6C1" w14:textId="77777777" w:rsidR="002A4DDF" w:rsidRPr="00937C8B" w:rsidRDefault="002A4DDF" w:rsidP="009110ED">
            <w:pPr>
              <w:rPr>
                <w:rFonts w:ascii="Arial" w:hAnsi="Arial" w:cs="Arial"/>
                <w:sz w:val="12"/>
                <w:szCs w:val="12"/>
              </w:rPr>
            </w:pPr>
            <w:r>
              <w:rPr>
                <w:rFonts w:ascii="Arial" w:hAnsi="Arial"/>
                <w:sz w:val="12"/>
                <w:szCs w:val="12"/>
              </w:rPr>
              <w:t>Santibáñez de la Sierra</w:t>
            </w:r>
          </w:p>
        </w:tc>
      </w:tr>
      <w:tr w:rsidR="002A4DDF" w:rsidRPr="00937C8B" w14:paraId="27AB731E" w14:textId="77777777" w:rsidTr="00935676">
        <w:trPr>
          <w:cantSplit/>
        </w:trPr>
        <w:tc>
          <w:tcPr>
            <w:tcW w:w="1696" w:type="dxa"/>
            <w:tcBorders>
              <w:left w:val="single" w:sz="4" w:space="0" w:color="auto"/>
            </w:tcBorders>
            <w:shd w:val="clear" w:color="auto" w:fill="auto"/>
          </w:tcPr>
          <w:p w14:paraId="283A1316" w14:textId="77777777" w:rsidR="002A4DDF" w:rsidRPr="00937C8B" w:rsidRDefault="002A4DDF" w:rsidP="009110ED">
            <w:pPr>
              <w:rPr>
                <w:rFonts w:ascii="Arial" w:hAnsi="Arial" w:cs="Arial"/>
                <w:sz w:val="12"/>
                <w:szCs w:val="12"/>
              </w:rPr>
            </w:pPr>
          </w:p>
        </w:tc>
        <w:tc>
          <w:tcPr>
            <w:tcW w:w="1843" w:type="dxa"/>
            <w:shd w:val="clear" w:color="auto" w:fill="auto"/>
          </w:tcPr>
          <w:p w14:paraId="56FB00C4" w14:textId="77777777" w:rsidR="002A4DDF" w:rsidRPr="00937C8B" w:rsidRDefault="002A4DDF" w:rsidP="009110ED">
            <w:pPr>
              <w:rPr>
                <w:rFonts w:ascii="Arial" w:hAnsi="Arial" w:cs="Arial"/>
                <w:sz w:val="12"/>
                <w:szCs w:val="12"/>
              </w:rPr>
            </w:pPr>
          </w:p>
        </w:tc>
        <w:tc>
          <w:tcPr>
            <w:tcW w:w="2268" w:type="dxa"/>
            <w:shd w:val="clear" w:color="auto" w:fill="F2F2F2"/>
            <w:hideMark/>
          </w:tcPr>
          <w:p w14:paraId="76594DD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B0D48B7" w14:textId="77777777" w:rsidR="002A4DDF" w:rsidRPr="00937C8B" w:rsidRDefault="002A4DDF" w:rsidP="009110ED">
            <w:pPr>
              <w:rPr>
                <w:rFonts w:ascii="Arial" w:hAnsi="Arial" w:cs="Arial"/>
                <w:sz w:val="12"/>
                <w:szCs w:val="12"/>
              </w:rPr>
            </w:pPr>
            <w:r>
              <w:rPr>
                <w:rFonts w:ascii="Arial" w:hAnsi="Arial"/>
                <w:sz w:val="12"/>
                <w:szCs w:val="12"/>
              </w:rPr>
              <w:t>Sardón de los Frailes</w:t>
            </w:r>
          </w:p>
        </w:tc>
      </w:tr>
      <w:tr w:rsidR="002A4DDF" w:rsidRPr="00937C8B" w14:paraId="51A872D2" w14:textId="77777777" w:rsidTr="00935676">
        <w:trPr>
          <w:cantSplit/>
        </w:trPr>
        <w:tc>
          <w:tcPr>
            <w:tcW w:w="1696" w:type="dxa"/>
            <w:tcBorders>
              <w:left w:val="single" w:sz="4" w:space="0" w:color="auto"/>
            </w:tcBorders>
            <w:shd w:val="clear" w:color="auto" w:fill="auto"/>
          </w:tcPr>
          <w:p w14:paraId="776C092E" w14:textId="77777777" w:rsidR="002A4DDF" w:rsidRPr="00937C8B" w:rsidRDefault="002A4DDF" w:rsidP="009110ED">
            <w:pPr>
              <w:rPr>
                <w:rFonts w:ascii="Arial" w:hAnsi="Arial" w:cs="Arial"/>
                <w:sz w:val="12"/>
                <w:szCs w:val="12"/>
              </w:rPr>
            </w:pPr>
          </w:p>
        </w:tc>
        <w:tc>
          <w:tcPr>
            <w:tcW w:w="1843" w:type="dxa"/>
            <w:shd w:val="clear" w:color="auto" w:fill="auto"/>
          </w:tcPr>
          <w:p w14:paraId="06A92E43" w14:textId="77777777" w:rsidR="002A4DDF" w:rsidRPr="00937C8B" w:rsidRDefault="002A4DDF" w:rsidP="009110ED">
            <w:pPr>
              <w:rPr>
                <w:rFonts w:ascii="Arial" w:hAnsi="Arial" w:cs="Arial"/>
                <w:sz w:val="12"/>
                <w:szCs w:val="12"/>
              </w:rPr>
            </w:pPr>
          </w:p>
        </w:tc>
        <w:tc>
          <w:tcPr>
            <w:tcW w:w="2268" w:type="dxa"/>
            <w:shd w:val="clear" w:color="auto" w:fill="F2F2F2"/>
            <w:hideMark/>
          </w:tcPr>
          <w:p w14:paraId="2360804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8251521" w14:textId="77777777" w:rsidR="002A4DDF" w:rsidRPr="00937C8B" w:rsidRDefault="002A4DDF" w:rsidP="009110ED">
            <w:pPr>
              <w:rPr>
                <w:rFonts w:ascii="Arial" w:hAnsi="Arial" w:cs="Arial"/>
                <w:sz w:val="12"/>
                <w:szCs w:val="12"/>
              </w:rPr>
            </w:pPr>
            <w:r>
              <w:rPr>
                <w:rFonts w:ascii="Arial" w:hAnsi="Arial"/>
                <w:sz w:val="12"/>
                <w:szCs w:val="12"/>
              </w:rPr>
              <w:t>Saucelle</w:t>
            </w:r>
          </w:p>
        </w:tc>
      </w:tr>
      <w:tr w:rsidR="002A4DDF" w:rsidRPr="00937C8B" w14:paraId="12414DCA" w14:textId="77777777" w:rsidTr="00935676">
        <w:trPr>
          <w:cantSplit/>
        </w:trPr>
        <w:tc>
          <w:tcPr>
            <w:tcW w:w="1696" w:type="dxa"/>
            <w:tcBorders>
              <w:left w:val="single" w:sz="4" w:space="0" w:color="auto"/>
            </w:tcBorders>
            <w:shd w:val="clear" w:color="auto" w:fill="auto"/>
          </w:tcPr>
          <w:p w14:paraId="4649C857" w14:textId="77777777" w:rsidR="002A4DDF" w:rsidRPr="00937C8B" w:rsidRDefault="002A4DDF" w:rsidP="009110ED">
            <w:pPr>
              <w:rPr>
                <w:rFonts w:ascii="Arial" w:hAnsi="Arial" w:cs="Arial"/>
                <w:sz w:val="12"/>
                <w:szCs w:val="12"/>
              </w:rPr>
            </w:pPr>
          </w:p>
        </w:tc>
        <w:tc>
          <w:tcPr>
            <w:tcW w:w="1843" w:type="dxa"/>
            <w:shd w:val="clear" w:color="auto" w:fill="auto"/>
          </w:tcPr>
          <w:p w14:paraId="17979A95" w14:textId="77777777" w:rsidR="002A4DDF" w:rsidRPr="00937C8B" w:rsidRDefault="002A4DDF" w:rsidP="009110ED">
            <w:pPr>
              <w:rPr>
                <w:rFonts w:ascii="Arial" w:hAnsi="Arial" w:cs="Arial"/>
                <w:sz w:val="12"/>
                <w:szCs w:val="12"/>
              </w:rPr>
            </w:pPr>
          </w:p>
        </w:tc>
        <w:tc>
          <w:tcPr>
            <w:tcW w:w="2268" w:type="dxa"/>
            <w:shd w:val="clear" w:color="auto" w:fill="F2F2F2"/>
            <w:hideMark/>
          </w:tcPr>
          <w:p w14:paraId="2E120BF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561C14D" w14:textId="77777777" w:rsidR="002A4DDF" w:rsidRPr="00937C8B" w:rsidRDefault="002A4DDF" w:rsidP="009110ED">
            <w:pPr>
              <w:rPr>
                <w:rFonts w:ascii="Arial" w:hAnsi="Arial" w:cs="Arial"/>
                <w:sz w:val="12"/>
                <w:szCs w:val="12"/>
              </w:rPr>
            </w:pPr>
            <w:r>
              <w:rPr>
                <w:rFonts w:ascii="Arial" w:hAnsi="Arial"/>
                <w:sz w:val="12"/>
                <w:szCs w:val="12"/>
              </w:rPr>
              <w:t>Sequeros</w:t>
            </w:r>
          </w:p>
        </w:tc>
      </w:tr>
      <w:tr w:rsidR="002A4DDF" w:rsidRPr="00937C8B" w14:paraId="23F0FA48" w14:textId="77777777" w:rsidTr="00935676">
        <w:trPr>
          <w:cantSplit/>
        </w:trPr>
        <w:tc>
          <w:tcPr>
            <w:tcW w:w="1696" w:type="dxa"/>
            <w:tcBorders>
              <w:left w:val="single" w:sz="4" w:space="0" w:color="auto"/>
            </w:tcBorders>
            <w:shd w:val="clear" w:color="auto" w:fill="auto"/>
          </w:tcPr>
          <w:p w14:paraId="6E51F54E" w14:textId="77777777" w:rsidR="002A4DDF" w:rsidRPr="00937C8B" w:rsidRDefault="002A4DDF" w:rsidP="009110ED">
            <w:pPr>
              <w:rPr>
                <w:rFonts w:ascii="Arial" w:hAnsi="Arial" w:cs="Arial"/>
                <w:sz w:val="12"/>
                <w:szCs w:val="12"/>
              </w:rPr>
            </w:pPr>
          </w:p>
        </w:tc>
        <w:tc>
          <w:tcPr>
            <w:tcW w:w="1843" w:type="dxa"/>
            <w:shd w:val="clear" w:color="auto" w:fill="auto"/>
          </w:tcPr>
          <w:p w14:paraId="593C90A5" w14:textId="77777777" w:rsidR="002A4DDF" w:rsidRPr="00937C8B" w:rsidRDefault="002A4DDF" w:rsidP="009110ED">
            <w:pPr>
              <w:rPr>
                <w:rFonts w:ascii="Arial" w:hAnsi="Arial" w:cs="Arial"/>
                <w:sz w:val="12"/>
                <w:szCs w:val="12"/>
              </w:rPr>
            </w:pPr>
          </w:p>
        </w:tc>
        <w:tc>
          <w:tcPr>
            <w:tcW w:w="2268" w:type="dxa"/>
            <w:shd w:val="clear" w:color="auto" w:fill="F2F2F2"/>
            <w:hideMark/>
          </w:tcPr>
          <w:p w14:paraId="0385E59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2C53E39" w14:textId="77777777" w:rsidR="002A4DDF" w:rsidRPr="00937C8B" w:rsidRDefault="002A4DDF" w:rsidP="009110ED">
            <w:pPr>
              <w:rPr>
                <w:rFonts w:ascii="Arial" w:hAnsi="Arial" w:cs="Arial"/>
                <w:sz w:val="12"/>
                <w:szCs w:val="12"/>
              </w:rPr>
            </w:pPr>
            <w:r>
              <w:rPr>
                <w:rFonts w:ascii="Arial" w:hAnsi="Arial"/>
                <w:sz w:val="12"/>
                <w:szCs w:val="12"/>
              </w:rPr>
              <w:t>Serradilla del Arroyo</w:t>
            </w:r>
          </w:p>
        </w:tc>
      </w:tr>
      <w:tr w:rsidR="002A4DDF" w:rsidRPr="00937C8B" w14:paraId="58F534DB" w14:textId="77777777" w:rsidTr="00935676">
        <w:trPr>
          <w:cantSplit/>
        </w:trPr>
        <w:tc>
          <w:tcPr>
            <w:tcW w:w="1696" w:type="dxa"/>
            <w:tcBorders>
              <w:left w:val="single" w:sz="4" w:space="0" w:color="auto"/>
            </w:tcBorders>
            <w:shd w:val="clear" w:color="auto" w:fill="auto"/>
          </w:tcPr>
          <w:p w14:paraId="6EBE735F" w14:textId="77777777" w:rsidR="002A4DDF" w:rsidRPr="00937C8B" w:rsidRDefault="002A4DDF" w:rsidP="009110ED">
            <w:pPr>
              <w:rPr>
                <w:rFonts w:ascii="Arial" w:hAnsi="Arial" w:cs="Arial"/>
                <w:sz w:val="12"/>
                <w:szCs w:val="12"/>
              </w:rPr>
            </w:pPr>
          </w:p>
        </w:tc>
        <w:tc>
          <w:tcPr>
            <w:tcW w:w="1843" w:type="dxa"/>
            <w:shd w:val="clear" w:color="auto" w:fill="auto"/>
          </w:tcPr>
          <w:p w14:paraId="1B5CEDD6" w14:textId="77777777" w:rsidR="002A4DDF" w:rsidRPr="00937C8B" w:rsidRDefault="002A4DDF" w:rsidP="009110ED">
            <w:pPr>
              <w:rPr>
                <w:rFonts w:ascii="Arial" w:hAnsi="Arial" w:cs="Arial"/>
                <w:sz w:val="12"/>
                <w:szCs w:val="12"/>
              </w:rPr>
            </w:pPr>
          </w:p>
        </w:tc>
        <w:tc>
          <w:tcPr>
            <w:tcW w:w="2268" w:type="dxa"/>
            <w:shd w:val="clear" w:color="auto" w:fill="F2F2F2"/>
            <w:hideMark/>
          </w:tcPr>
          <w:p w14:paraId="571CFAF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DD5AA5C" w14:textId="77777777" w:rsidR="002A4DDF" w:rsidRPr="00937C8B" w:rsidRDefault="002A4DDF" w:rsidP="009110ED">
            <w:pPr>
              <w:rPr>
                <w:rFonts w:ascii="Arial" w:hAnsi="Arial" w:cs="Arial"/>
                <w:sz w:val="12"/>
                <w:szCs w:val="12"/>
              </w:rPr>
            </w:pPr>
            <w:r>
              <w:rPr>
                <w:rFonts w:ascii="Arial" w:hAnsi="Arial"/>
                <w:sz w:val="12"/>
                <w:szCs w:val="12"/>
              </w:rPr>
              <w:t>Serradilla del Llano</w:t>
            </w:r>
          </w:p>
        </w:tc>
      </w:tr>
      <w:tr w:rsidR="002A4DDF" w:rsidRPr="00937C8B" w14:paraId="136AD237" w14:textId="77777777" w:rsidTr="00935676">
        <w:trPr>
          <w:cantSplit/>
        </w:trPr>
        <w:tc>
          <w:tcPr>
            <w:tcW w:w="1696" w:type="dxa"/>
            <w:tcBorders>
              <w:left w:val="single" w:sz="4" w:space="0" w:color="auto"/>
            </w:tcBorders>
            <w:shd w:val="clear" w:color="auto" w:fill="auto"/>
          </w:tcPr>
          <w:p w14:paraId="51F9A08E" w14:textId="77777777" w:rsidR="002A4DDF" w:rsidRPr="00937C8B" w:rsidRDefault="002A4DDF" w:rsidP="009110ED">
            <w:pPr>
              <w:rPr>
                <w:rFonts w:ascii="Arial" w:hAnsi="Arial" w:cs="Arial"/>
                <w:sz w:val="12"/>
                <w:szCs w:val="12"/>
              </w:rPr>
            </w:pPr>
          </w:p>
        </w:tc>
        <w:tc>
          <w:tcPr>
            <w:tcW w:w="1843" w:type="dxa"/>
            <w:shd w:val="clear" w:color="auto" w:fill="auto"/>
          </w:tcPr>
          <w:p w14:paraId="7091501C" w14:textId="77777777" w:rsidR="002A4DDF" w:rsidRPr="00937C8B" w:rsidRDefault="002A4DDF" w:rsidP="009110ED">
            <w:pPr>
              <w:rPr>
                <w:rFonts w:ascii="Arial" w:hAnsi="Arial" w:cs="Arial"/>
                <w:sz w:val="12"/>
                <w:szCs w:val="12"/>
              </w:rPr>
            </w:pPr>
          </w:p>
        </w:tc>
        <w:tc>
          <w:tcPr>
            <w:tcW w:w="2268" w:type="dxa"/>
            <w:shd w:val="clear" w:color="auto" w:fill="F2F2F2"/>
            <w:hideMark/>
          </w:tcPr>
          <w:p w14:paraId="11BB2AE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46A772D" w14:textId="77777777" w:rsidR="002A4DDF" w:rsidRPr="00937C8B" w:rsidRDefault="002A4DDF" w:rsidP="009110ED">
            <w:pPr>
              <w:rPr>
                <w:rFonts w:ascii="Arial" w:hAnsi="Arial" w:cs="Arial"/>
                <w:sz w:val="12"/>
                <w:szCs w:val="12"/>
              </w:rPr>
            </w:pPr>
            <w:r>
              <w:rPr>
                <w:rFonts w:ascii="Arial" w:hAnsi="Arial"/>
                <w:sz w:val="12"/>
                <w:szCs w:val="12"/>
              </w:rPr>
              <w:t>Sobradillo</w:t>
            </w:r>
          </w:p>
        </w:tc>
      </w:tr>
      <w:tr w:rsidR="002A4DDF" w:rsidRPr="00937C8B" w14:paraId="57C752A8" w14:textId="77777777" w:rsidTr="00935676">
        <w:trPr>
          <w:cantSplit/>
        </w:trPr>
        <w:tc>
          <w:tcPr>
            <w:tcW w:w="1696" w:type="dxa"/>
            <w:tcBorders>
              <w:left w:val="single" w:sz="4" w:space="0" w:color="auto"/>
            </w:tcBorders>
            <w:shd w:val="clear" w:color="auto" w:fill="auto"/>
          </w:tcPr>
          <w:p w14:paraId="040F4BCB" w14:textId="77777777" w:rsidR="002A4DDF" w:rsidRPr="00937C8B" w:rsidRDefault="002A4DDF" w:rsidP="009110ED">
            <w:pPr>
              <w:rPr>
                <w:rFonts w:ascii="Arial" w:hAnsi="Arial" w:cs="Arial"/>
                <w:sz w:val="12"/>
                <w:szCs w:val="12"/>
              </w:rPr>
            </w:pPr>
          </w:p>
        </w:tc>
        <w:tc>
          <w:tcPr>
            <w:tcW w:w="1843" w:type="dxa"/>
            <w:shd w:val="clear" w:color="auto" w:fill="auto"/>
          </w:tcPr>
          <w:p w14:paraId="59DB6CFB" w14:textId="77777777" w:rsidR="002A4DDF" w:rsidRPr="00937C8B" w:rsidRDefault="002A4DDF" w:rsidP="009110ED">
            <w:pPr>
              <w:rPr>
                <w:rFonts w:ascii="Arial" w:hAnsi="Arial" w:cs="Arial"/>
                <w:sz w:val="12"/>
                <w:szCs w:val="12"/>
              </w:rPr>
            </w:pPr>
          </w:p>
        </w:tc>
        <w:tc>
          <w:tcPr>
            <w:tcW w:w="2268" w:type="dxa"/>
            <w:shd w:val="clear" w:color="auto" w:fill="F2F2F2"/>
            <w:hideMark/>
          </w:tcPr>
          <w:p w14:paraId="51F0C8E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D581917" w14:textId="77777777" w:rsidR="002A4DDF" w:rsidRPr="00937C8B" w:rsidRDefault="002A4DDF" w:rsidP="009110ED">
            <w:pPr>
              <w:rPr>
                <w:rFonts w:ascii="Arial" w:hAnsi="Arial" w:cs="Arial"/>
                <w:sz w:val="12"/>
                <w:szCs w:val="12"/>
              </w:rPr>
            </w:pPr>
            <w:r>
              <w:rPr>
                <w:rFonts w:ascii="Arial" w:hAnsi="Arial"/>
                <w:sz w:val="12"/>
                <w:szCs w:val="12"/>
              </w:rPr>
              <w:t>Sorihuela</w:t>
            </w:r>
          </w:p>
        </w:tc>
      </w:tr>
      <w:tr w:rsidR="002A4DDF" w:rsidRPr="00937C8B" w14:paraId="70CEF471" w14:textId="77777777" w:rsidTr="00935676">
        <w:trPr>
          <w:cantSplit/>
        </w:trPr>
        <w:tc>
          <w:tcPr>
            <w:tcW w:w="1696" w:type="dxa"/>
            <w:tcBorders>
              <w:left w:val="single" w:sz="4" w:space="0" w:color="auto"/>
            </w:tcBorders>
            <w:shd w:val="clear" w:color="auto" w:fill="auto"/>
          </w:tcPr>
          <w:p w14:paraId="14BAE5EE" w14:textId="77777777" w:rsidR="002A4DDF" w:rsidRPr="00937C8B" w:rsidRDefault="002A4DDF" w:rsidP="009110ED">
            <w:pPr>
              <w:rPr>
                <w:rFonts w:ascii="Arial" w:hAnsi="Arial" w:cs="Arial"/>
                <w:sz w:val="12"/>
                <w:szCs w:val="12"/>
              </w:rPr>
            </w:pPr>
          </w:p>
        </w:tc>
        <w:tc>
          <w:tcPr>
            <w:tcW w:w="1843" w:type="dxa"/>
            <w:shd w:val="clear" w:color="auto" w:fill="auto"/>
          </w:tcPr>
          <w:p w14:paraId="61138857" w14:textId="77777777" w:rsidR="002A4DDF" w:rsidRPr="00937C8B" w:rsidRDefault="002A4DDF" w:rsidP="009110ED">
            <w:pPr>
              <w:rPr>
                <w:rFonts w:ascii="Arial" w:hAnsi="Arial" w:cs="Arial"/>
                <w:sz w:val="12"/>
                <w:szCs w:val="12"/>
              </w:rPr>
            </w:pPr>
          </w:p>
        </w:tc>
        <w:tc>
          <w:tcPr>
            <w:tcW w:w="2268" w:type="dxa"/>
            <w:shd w:val="clear" w:color="auto" w:fill="F2F2F2"/>
            <w:hideMark/>
          </w:tcPr>
          <w:p w14:paraId="45626A3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B9290EE" w14:textId="77777777" w:rsidR="002A4DDF" w:rsidRPr="00937C8B" w:rsidRDefault="002A4DDF" w:rsidP="009110ED">
            <w:pPr>
              <w:rPr>
                <w:rFonts w:ascii="Arial" w:hAnsi="Arial" w:cs="Arial"/>
                <w:sz w:val="12"/>
                <w:szCs w:val="12"/>
              </w:rPr>
            </w:pPr>
            <w:r>
              <w:rPr>
                <w:rFonts w:ascii="Arial" w:hAnsi="Arial"/>
                <w:sz w:val="12"/>
                <w:szCs w:val="12"/>
              </w:rPr>
              <w:t>Sotoserrano</w:t>
            </w:r>
          </w:p>
        </w:tc>
      </w:tr>
      <w:tr w:rsidR="002A4DDF" w:rsidRPr="00937C8B" w14:paraId="60BF7B5B" w14:textId="77777777" w:rsidTr="00935676">
        <w:trPr>
          <w:cantSplit/>
        </w:trPr>
        <w:tc>
          <w:tcPr>
            <w:tcW w:w="1696" w:type="dxa"/>
            <w:tcBorders>
              <w:left w:val="single" w:sz="4" w:space="0" w:color="auto"/>
            </w:tcBorders>
            <w:shd w:val="clear" w:color="auto" w:fill="auto"/>
          </w:tcPr>
          <w:p w14:paraId="4E84882A" w14:textId="77777777" w:rsidR="002A4DDF" w:rsidRPr="00937C8B" w:rsidRDefault="002A4DDF" w:rsidP="009110ED">
            <w:pPr>
              <w:rPr>
                <w:rFonts w:ascii="Arial" w:hAnsi="Arial" w:cs="Arial"/>
                <w:sz w:val="12"/>
                <w:szCs w:val="12"/>
              </w:rPr>
            </w:pPr>
          </w:p>
        </w:tc>
        <w:tc>
          <w:tcPr>
            <w:tcW w:w="1843" w:type="dxa"/>
            <w:shd w:val="clear" w:color="auto" w:fill="auto"/>
          </w:tcPr>
          <w:p w14:paraId="4D688980" w14:textId="77777777" w:rsidR="002A4DDF" w:rsidRPr="00937C8B" w:rsidRDefault="002A4DDF" w:rsidP="009110ED">
            <w:pPr>
              <w:rPr>
                <w:rFonts w:ascii="Arial" w:hAnsi="Arial" w:cs="Arial"/>
                <w:sz w:val="12"/>
                <w:szCs w:val="12"/>
              </w:rPr>
            </w:pPr>
          </w:p>
        </w:tc>
        <w:tc>
          <w:tcPr>
            <w:tcW w:w="2268" w:type="dxa"/>
            <w:shd w:val="clear" w:color="auto" w:fill="F2F2F2"/>
            <w:hideMark/>
          </w:tcPr>
          <w:p w14:paraId="3E6FCFF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289EFC0" w14:textId="77777777" w:rsidR="002A4DDF" w:rsidRPr="00937C8B" w:rsidRDefault="002A4DDF" w:rsidP="009110ED">
            <w:pPr>
              <w:rPr>
                <w:rFonts w:ascii="Arial" w:hAnsi="Arial" w:cs="Arial"/>
                <w:sz w:val="12"/>
                <w:szCs w:val="12"/>
              </w:rPr>
            </w:pPr>
            <w:r>
              <w:rPr>
                <w:rFonts w:ascii="Arial" w:hAnsi="Arial"/>
                <w:sz w:val="12"/>
                <w:szCs w:val="12"/>
              </w:rPr>
              <w:t>Tabera de Abajo</w:t>
            </w:r>
          </w:p>
        </w:tc>
      </w:tr>
      <w:tr w:rsidR="002A4DDF" w:rsidRPr="00937C8B" w14:paraId="572162B9" w14:textId="77777777" w:rsidTr="00935676">
        <w:trPr>
          <w:cantSplit/>
        </w:trPr>
        <w:tc>
          <w:tcPr>
            <w:tcW w:w="1696" w:type="dxa"/>
            <w:tcBorders>
              <w:left w:val="single" w:sz="4" w:space="0" w:color="auto"/>
            </w:tcBorders>
            <w:shd w:val="clear" w:color="auto" w:fill="auto"/>
          </w:tcPr>
          <w:p w14:paraId="2CEC2D66" w14:textId="77777777" w:rsidR="002A4DDF" w:rsidRPr="00937C8B" w:rsidRDefault="002A4DDF" w:rsidP="009110ED">
            <w:pPr>
              <w:rPr>
                <w:rFonts w:ascii="Arial" w:hAnsi="Arial" w:cs="Arial"/>
                <w:sz w:val="12"/>
                <w:szCs w:val="12"/>
              </w:rPr>
            </w:pPr>
          </w:p>
        </w:tc>
        <w:tc>
          <w:tcPr>
            <w:tcW w:w="1843" w:type="dxa"/>
            <w:shd w:val="clear" w:color="auto" w:fill="auto"/>
          </w:tcPr>
          <w:p w14:paraId="7B9665A3" w14:textId="77777777" w:rsidR="002A4DDF" w:rsidRPr="00937C8B" w:rsidRDefault="002A4DDF" w:rsidP="009110ED">
            <w:pPr>
              <w:rPr>
                <w:rFonts w:ascii="Arial" w:hAnsi="Arial" w:cs="Arial"/>
                <w:sz w:val="12"/>
                <w:szCs w:val="12"/>
              </w:rPr>
            </w:pPr>
          </w:p>
        </w:tc>
        <w:tc>
          <w:tcPr>
            <w:tcW w:w="2268" w:type="dxa"/>
            <w:shd w:val="clear" w:color="auto" w:fill="F2F2F2"/>
            <w:hideMark/>
          </w:tcPr>
          <w:p w14:paraId="53C6184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19E0B38" w14:textId="77777777" w:rsidR="002A4DDF" w:rsidRPr="00937C8B" w:rsidRDefault="002A4DDF" w:rsidP="009110ED">
            <w:pPr>
              <w:rPr>
                <w:rFonts w:ascii="Arial" w:hAnsi="Arial" w:cs="Arial"/>
                <w:sz w:val="12"/>
                <w:szCs w:val="12"/>
              </w:rPr>
            </w:pPr>
            <w:r>
              <w:rPr>
                <w:rFonts w:ascii="Arial" w:hAnsi="Arial"/>
                <w:sz w:val="12"/>
                <w:szCs w:val="12"/>
              </w:rPr>
              <w:t>Tamames</w:t>
            </w:r>
          </w:p>
        </w:tc>
      </w:tr>
      <w:tr w:rsidR="002A4DDF" w:rsidRPr="00937C8B" w14:paraId="25230DA5" w14:textId="77777777" w:rsidTr="00935676">
        <w:trPr>
          <w:cantSplit/>
        </w:trPr>
        <w:tc>
          <w:tcPr>
            <w:tcW w:w="1696" w:type="dxa"/>
            <w:tcBorders>
              <w:left w:val="single" w:sz="4" w:space="0" w:color="auto"/>
            </w:tcBorders>
            <w:shd w:val="clear" w:color="auto" w:fill="auto"/>
          </w:tcPr>
          <w:p w14:paraId="36D524F4" w14:textId="77777777" w:rsidR="002A4DDF" w:rsidRPr="00937C8B" w:rsidRDefault="002A4DDF" w:rsidP="009110ED">
            <w:pPr>
              <w:rPr>
                <w:rFonts w:ascii="Arial" w:hAnsi="Arial" w:cs="Arial"/>
                <w:sz w:val="12"/>
                <w:szCs w:val="12"/>
              </w:rPr>
            </w:pPr>
          </w:p>
        </w:tc>
        <w:tc>
          <w:tcPr>
            <w:tcW w:w="1843" w:type="dxa"/>
            <w:shd w:val="clear" w:color="auto" w:fill="auto"/>
          </w:tcPr>
          <w:p w14:paraId="29F78500" w14:textId="77777777" w:rsidR="002A4DDF" w:rsidRPr="00937C8B" w:rsidRDefault="002A4DDF" w:rsidP="009110ED">
            <w:pPr>
              <w:rPr>
                <w:rFonts w:ascii="Arial" w:hAnsi="Arial" w:cs="Arial"/>
                <w:sz w:val="12"/>
                <w:szCs w:val="12"/>
              </w:rPr>
            </w:pPr>
          </w:p>
        </w:tc>
        <w:tc>
          <w:tcPr>
            <w:tcW w:w="2268" w:type="dxa"/>
            <w:shd w:val="clear" w:color="auto" w:fill="F2F2F2"/>
            <w:hideMark/>
          </w:tcPr>
          <w:p w14:paraId="17B61B1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03AA6F0" w14:textId="77777777" w:rsidR="002A4DDF" w:rsidRPr="00937C8B" w:rsidRDefault="002A4DDF" w:rsidP="009110ED">
            <w:pPr>
              <w:rPr>
                <w:rFonts w:ascii="Arial" w:hAnsi="Arial" w:cs="Arial"/>
                <w:sz w:val="12"/>
                <w:szCs w:val="12"/>
              </w:rPr>
            </w:pPr>
            <w:r>
              <w:rPr>
                <w:rFonts w:ascii="Arial" w:hAnsi="Arial"/>
                <w:sz w:val="12"/>
                <w:szCs w:val="12"/>
              </w:rPr>
              <w:t>Tejeda y Segoyuela</w:t>
            </w:r>
          </w:p>
        </w:tc>
      </w:tr>
      <w:tr w:rsidR="002A4DDF" w:rsidRPr="00937C8B" w14:paraId="4ABE3031" w14:textId="77777777" w:rsidTr="00935676">
        <w:trPr>
          <w:cantSplit/>
        </w:trPr>
        <w:tc>
          <w:tcPr>
            <w:tcW w:w="1696" w:type="dxa"/>
            <w:tcBorders>
              <w:left w:val="single" w:sz="4" w:space="0" w:color="auto"/>
            </w:tcBorders>
            <w:shd w:val="clear" w:color="auto" w:fill="auto"/>
          </w:tcPr>
          <w:p w14:paraId="4CCF3F38" w14:textId="77777777" w:rsidR="002A4DDF" w:rsidRPr="00937C8B" w:rsidRDefault="002A4DDF" w:rsidP="009110ED">
            <w:pPr>
              <w:rPr>
                <w:rFonts w:ascii="Arial" w:hAnsi="Arial" w:cs="Arial"/>
                <w:sz w:val="12"/>
                <w:szCs w:val="12"/>
              </w:rPr>
            </w:pPr>
          </w:p>
        </w:tc>
        <w:tc>
          <w:tcPr>
            <w:tcW w:w="1843" w:type="dxa"/>
            <w:shd w:val="clear" w:color="auto" w:fill="auto"/>
          </w:tcPr>
          <w:p w14:paraId="45B91DBC" w14:textId="77777777" w:rsidR="002A4DDF" w:rsidRPr="00937C8B" w:rsidRDefault="002A4DDF" w:rsidP="009110ED">
            <w:pPr>
              <w:rPr>
                <w:rFonts w:ascii="Arial" w:hAnsi="Arial" w:cs="Arial"/>
                <w:sz w:val="12"/>
                <w:szCs w:val="12"/>
              </w:rPr>
            </w:pPr>
          </w:p>
        </w:tc>
        <w:tc>
          <w:tcPr>
            <w:tcW w:w="2268" w:type="dxa"/>
            <w:shd w:val="clear" w:color="auto" w:fill="F2F2F2"/>
            <w:hideMark/>
          </w:tcPr>
          <w:p w14:paraId="69B69FB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E1946CF" w14:textId="77777777" w:rsidR="002A4DDF" w:rsidRPr="00937C8B" w:rsidRDefault="002A4DDF" w:rsidP="009110ED">
            <w:pPr>
              <w:rPr>
                <w:rFonts w:ascii="Arial" w:hAnsi="Arial" w:cs="Arial"/>
                <w:sz w:val="12"/>
                <w:szCs w:val="12"/>
              </w:rPr>
            </w:pPr>
            <w:r>
              <w:rPr>
                <w:rFonts w:ascii="Arial" w:hAnsi="Arial"/>
                <w:sz w:val="12"/>
                <w:szCs w:val="12"/>
              </w:rPr>
              <w:t>Tenebrón</w:t>
            </w:r>
          </w:p>
        </w:tc>
      </w:tr>
      <w:tr w:rsidR="002A4DDF" w:rsidRPr="00937C8B" w14:paraId="551E006F" w14:textId="77777777" w:rsidTr="00935676">
        <w:trPr>
          <w:cantSplit/>
        </w:trPr>
        <w:tc>
          <w:tcPr>
            <w:tcW w:w="1696" w:type="dxa"/>
            <w:tcBorders>
              <w:left w:val="single" w:sz="4" w:space="0" w:color="auto"/>
            </w:tcBorders>
            <w:shd w:val="clear" w:color="auto" w:fill="auto"/>
          </w:tcPr>
          <w:p w14:paraId="7D4B9C17" w14:textId="77777777" w:rsidR="002A4DDF" w:rsidRPr="00937C8B" w:rsidRDefault="002A4DDF" w:rsidP="009110ED">
            <w:pPr>
              <w:rPr>
                <w:rFonts w:ascii="Arial" w:hAnsi="Arial" w:cs="Arial"/>
                <w:sz w:val="12"/>
                <w:szCs w:val="12"/>
              </w:rPr>
            </w:pPr>
          </w:p>
        </w:tc>
        <w:tc>
          <w:tcPr>
            <w:tcW w:w="1843" w:type="dxa"/>
            <w:shd w:val="clear" w:color="auto" w:fill="auto"/>
          </w:tcPr>
          <w:p w14:paraId="58B02BD2" w14:textId="77777777" w:rsidR="002A4DDF" w:rsidRPr="00937C8B" w:rsidRDefault="002A4DDF" w:rsidP="009110ED">
            <w:pPr>
              <w:rPr>
                <w:rFonts w:ascii="Arial" w:hAnsi="Arial" w:cs="Arial"/>
                <w:sz w:val="12"/>
                <w:szCs w:val="12"/>
              </w:rPr>
            </w:pPr>
          </w:p>
        </w:tc>
        <w:tc>
          <w:tcPr>
            <w:tcW w:w="2268" w:type="dxa"/>
            <w:shd w:val="clear" w:color="auto" w:fill="F2F2F2"/>
            <w:hideMark/>
          </w:tcPr>
          <w:p w14:paraId="798DEEB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50C54CC" w14:textId="77777777" w:rsidR="002A4DDF" w:rsidRPr="00937C8B" w:rsidRDefault="002A4DDF" w:rsidP="009110ED">
            <w:pPr>
              <w:rPr>
                <w:rFonts w:ascii="Arial" w:hAnsi="Arial" w:cs="Arial"/>
                <w:sz w:val="12"/>
                <w:szCs w:val="12"/>
              </w:rPr>
            </w:pPr>
            <w:r>
              <w:rPr>
                <w:rFonts w:ascii="Arial" w:hAnsi="Arial"/>
                <w:sz w:val="12"/>
                <w:szCs w:val="12"/>
              </w:rPr>
              <w:t>Terradillos</w:t>
            </w:r>
          </w:p>
        </w:tc>
      </w:tr>
      <w:tr w:rsidR="002A4DDF" w:rsidRPr="00937C8B" w14:paraId="169B7648" w14:textId="77777777" w:rsidTr="00935676">
        <w:trPr>
          <w:cantSplit/>
        </w:trPr>
        <w:tc>
          <w:tcPr>
            <w:tcW w:w="1696" w:type="dxa"/>
            <w:tcBorders>
              <w:left w:val="single" w:sz="4" w:space="0" w:color="auto"/>
            </w:tcBorders>
            <w:shd w:val="clear" w:color="auto" w:fill="auto"/>
          </w:tcPr>
          <w:p w14:paraId="7B03727F" w14:textId="77777777" w:rsidR="002A4DDF" w:rsidRPr="00937C8B" w:rsidRDefault="002A4DDF" w:rsidP="009110ED">
            <w:pPr>
              <w:rPr>
                <w:rFonts w:ascii="Arial" w:hAnsi="Arial" w:cs="Arial"/>
                <w:sz w:val="12"/>
                <w:szCs w:val="12"/>
              </w:rPr>
            </w:pPr>
          </w:p>
        </w:tc>
        <w:tc>
          <w:tcPr>
            <w:tcW w:w="1843" w:type="dxa"/>
            <w:shd w:val="clear" w:color="auto" w:fill="auto"/>
          </w:tcPr>
          <w:p w14:paraId="4E4C599D" w14:textId="77777777" w:rsidR="002A4DDF" w:rsidRPr="00937C8B" w:rsidRDefault="002A4DDF" w:rsidP="009110ED">
            <w:pPr>
              <w:rPr>
                <w:rFonts w:ascii="Arial" w:hAnsi="Arial" w:cs="Arial"/>
                <w:sz w:val="12"/>
                <w:szCs w:val="12"/>
              </w:rPr>
            </w:pPr>
          </w:p>
        </w:tc>
        <w:tc>
          <w:tcPr>
            <w:tcW w:w="2268" w:type="dxa"/>
            <w:shd w:val="clear" w:color="auto" w:fill="F2F2F2"/>
            <w:hideMark/>
          </w:tcPr>
          <w:p w14:paraId="6216B00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B6BEE23" w14:textId="77777777" w:rsidR="002A4DDF" w:rsidRPr="00937C8B" w:rsidRDefault="002A4DDF" w:rsidP="009110ED">
            <w:pPr>
              <w:rPr>
                <w:rFonts w:ascii="Arial" w:hAnsi="Arial" w:cs="Arial"/>
                <w:sz w:val="12"/>
                <w:szCs w:val="12"/>
              </w:rPr>
            </w:pPr>
            <w:r>
              <w:rPr>
                <w:rFonts w:ascii="Arial" w:hAnsi="Arial"/>
                <w:sz w:val="12"/>
                <w:szCs w:val="12"/>
              </w:rPr>
              <w:t>Trabanca</w:t>
            </w:r>
          </w:p>
        </w:tc>
      </w:tr>
      <w:tr w:rsidR="002A4DDF" w:rsidRPr="00937C8B" w14:paraId="592688C7" w14:textId="77777777" w:rsidTr="00935676">
        <w:trPr>
          <w:cantSplit/>
        </w:trPr>
        <w:tc>
          <w:tcPr>
            <w:tcW w:w="1696" w:type="dxa"/>
            <w:tcBorders>
              <w:left w:val="single" w:sz="4" w:space="0" w:color="auto"/>
            </w:tcBorders>
            <w:shd w:val="clear" w:color="auto" w:fill="auto"/>
          </w:tcPr>
          <w:p w14:paraId="65155928" w14:textId="77777777" w:rsidR="002A4DDF" w:rsidRPr="00937C8B" w:rsidRDefault="002A4DDF" w:rsidP="009110ED">
            <w:pPr>
              <w:rPr>
                <w:rFonts w:ascii="Arial" w:hAnsi="Arial" w:cs="Arial"/>
                <w:sz w:val="12"/>
                <w:szCs w:val="12"/>
              </w:rPr>
            </w:pPr>
          </w:p>
        </w:tc>
        <w:tc>
          <w:tcPr>
            <w:tcW w:w="1843" w:type="dxa"/>
            <w:shd w:val="clear" w:color="auto" w:fill="auto"/>
          </w:tcPr>
          <w:p w14:paraId="7F0A4BCA" w14:textId="77777777" w:rsidR="002A4DDF" w:rsidRPr="00937C8B" w:rsidRDefault="002A4DDF" w:rsidP="009110ED">
            <w:pPr>
              <w:rPr>
                <w:rFonts w:ascii="Arial" w:hAnsi="Arial" w:cs="Arial"/>
                <w:sz w:val="12"/>
                <w:szCs w:val="12"/>
              </w:rPr>
            </w:pPr>
          </w:p>
        </w:tc>
        <w:tc>
          <w:tcPr>
            <w:tcW w:w="2268" w:type="dxa"/>
            <w:shd w:val="clear" w:color="auto" w:fill="F2F2F2"/>
            <w:hideMark/>
          </w:tcPr>
          <w:p w14:paraId="490A72A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0DE3F13" w14:textId="77777777" w:rsidR="002A4DDF" w:rsidRPr="00937C8B" w:rsidRDefault="002A4DDF" w:rsidP="009110ED">
            <w:pPr>
              <w:rPr>
                <w:rFonts w:ascii="Arial" w:hAnsi="Arial" w:cs="Arial"/>
                <w:sz w:val="12"/>
                <w:szCs w:val="12"/>
              </w:rPr>
            </w:pPr>
            <w:r>
              <w:rPr>
                <w:rFonts w:ascii="Arial" w:hAnsi="Arial"/>
                <w:sz w:val="12"/>
                <w:szCs w:val="12"/>
              </w:rPr>
              <w:t>Tremedal de Tormes</w:t>
            </w:r>
          </w:p>
        </w:tc>
      </w:tr>
      <w:tr w:rsidR="002A4DDF" w:rsidRPr="00937C8B" w14:paraId="5414E717" w14:textId="77777777" w:rsidTr="00935676">
        <w:trPr>
          <w:cantSplit/>
        </w:trPr>
        <w:tc>
          <w:tcPr>
            <w:tcW w:w="1696" w:type="dxa"/>
            <w:tcBorders>
              <w:left w:val="single" w:sz="4" w:space="0" w:color="auto"/>
            </w:tcBorders>
            <w:shd w:val="clear" w:color="auto" w:fill="auto"/>
          </w:tcPr>
          <w:p w14:paraId="365A2212" w14:textId="77777777" w:rsidR="002A4DDF" w:rsidRPr="00937C8B" w:rsidRDefault="002A4DDF" w:rsidP="009110ED">
            <w:pPr>
              <w:rPr>
                <w:rFonts w:ascii="Arial" w:hAnsi="Arial" w:cs="Arial"/>
                <w:sz w:val="12"/>
                <w:szCs w:val="12"/>
              </w:rPr>
            </w:pPr>
          </w:p>
        </w:tc>
        <w:tc>
          <w:tcPr>
            <w:tcW w:w="1843" w:type="dxa"/>
            <w:shd w:val="clear" w:color="auto" w:fill="auto"/>
          </w:tcPr>
          <w:p w14:paraId="3AD9D5F8" w14:textId="77777777" w:rsidR="002A4DDF" w:rsidRPr="00937C8B" w:rsidRDefault="002A4DDF" w:rsidP="009110ED">
            <w:pPr>
              <w:rPr>
                <w:rFonts w:ascii="Arial" w:hAnsi="Arial" w:cs="Arial"/>
                <w:sz w:val="12"/>
                <w:szCs w:val="12"/>
              </w:rPr>
            </w:pPr>
          </w:p>
        </w:tc>
        <w:tc>
          <w:tcPr>
            <w:tcW w:w="2268" w:type="dxa"/>
            <w:shd w:val="clear" w:color="auto" w:fill="F2F2F2"/>
            <w:hideMark/>
          </w:tcPr>
          <w:p w14:paraId="51F2653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B2275FA" w14:textId="77777777" w:rsidR="002A4DDF" w:rsidRPr="00937C8B" w:rsidRDefault="002A4DDF" w:rsidP="009110ED">
            <w:pPr>
              <w:rPr>
                <w:rFonts w:ascii="Arial" w:hAnsi="Arial" w:cs="Arial"/>
                <w:sz w:val="12"/>
                <w:szCs w:val="12"/>
              </w:rPr>
            </w:pPr>
            <w:r>
              <w:rPr>
                <w:rFonts w:ascii="Arial" w:hAnsi="Arial"/>
                <w:sz w:val="12"/>
                <w:szCs w:val="12"/>
              </w:rPr>
              <w:t>Valdefuentes de Sangusín</w:t>
            </w:r>
          </w:p>
        </w:tc>
      </w:tr>
      <w:tr w:rsidR="002A4DDF" w:rsidRPr="00937C8B" w14:paraId="4AB6E9B4" w14:textId="77777777" w:rsidTr="00935676">
        <w:trPr>
          <w:cantSplit/>
        </w:trPr>
        <w:tc>
          <w:tcPr>
            <w:tcW w:w="1696" w:type="dxa"/>
            <w:tcBorders>
              <w:left w:val="single" w:sz="4" w:space="0" w:color="auto"/>
            </w:tcBorders>
            <w:shd w:val="clear" w:color="auto" w:fill="auto"/>
          </w:tcPr>
          <w:p w14:paraId="40F22D14" w14:textId="77777777" w:rsidR="002A4DDF" w:rsidRPr="00937C8B" w:rsidRDefault="002A4DDF" w:rsidP="009110ED">
            <w:pPr>
              <w:rPr>
                <w:rFonts w:ascii="Arial" w:hAnsi="Arial" w:cs="Arial"/>
                <w:sz w:val="12"/>
                <w:szCs w:val="12"/>
              </w:rPr>
            </w:pPr>
          </w:p>
        </w:tc>
        <w:tc>
          <w:tcPr>
            <w:tcW w:w="1843" w:type="dxa"/>
            <w:shd w:val="clear" w:color="auto" w:fill="auto"/>
          </w:tcPr>
          <w:p w14:paraId="25B83C4C" w14:textId="77777777" w:rsidR="002A4DDF" w:rsidRPr="00937C8B" w:rsidRDefault="002A4DDF" w:rsidP="009110ED">
            <w:pPr>
              <w:rPr>
                <w:rFonts w:ascii="Arial" w:hAnsi="Arial" w:cs="Arial"/>
                <w:sz w:val="12"/>
                <w:szCs w:val="12"/>
              </w:rPr>
            </w:pPr>
          </w:p>
        </w:tc>
        <w:tc>
          <w:tcPr>
            <w:tcW w:w="2268" w:type="dxa"/>
            <w:shd w:val="clear" w:color="auto" w:fill="F2F2F2"/>
            <w:hideMark/>
          </w:tcPr>
          <w:p w14:paraId="27EDF5E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EFF1433" w14:textId="77777777" w:rsidR="002A4DDF" w:rsidRPr="00937C8B" w:rsidRDefault="002A4DDF" w:rsidP="009110ED">
            <w:pPr>
              <w:rPr>
                <w:rFonts w:ascii="Arial" w:hAnsi="Arial" w:cs="Arial"/>
                <w:sz w:val="12"/>
                <w:szCs w:val="12"/>
              </w:rPr>
            </w:pPr>
            <w:r>
              <w:rPr>
                <w:rFonts w:ascii="Arial" w:hAnsi="Arial"/>
                <w:sz w:val="12"/>
                <w:szCs w:val="12"/>
              </w:rPr>
              <w:t>Valdelacasa</w:t>
            </w:r>
          </w:p>
        </w:tc>
      </w:tr>
      <w:tr w:rsidR="002A4DDF" w:rsidRPr="00937C8B" w14:paraId="32E903DB" w14:textId="77777777" w:rsidTr="00935676">
        <w:trPr>
          <w:cantSplit/>
        </w:trPr>
        <w:tc>
          <w:tcPr>
            <w:tcW w:w="1696" w:type="dxa"/>
            <w:tcBorders>
              <w:left w:val="single" w:sz="4" w:space="0" w:color="auto"/>
            </w:tcBorders>
            <w:shd w:val="clear" w:color="auto" w:fill="auto"/>
          </w:tcPr>
          <w:p w14:paraId="66307DEC" w14:textId="77777777" w:rsidR="002A4DDF" w:rsidRPr="00937C8B" w:rsidRDefault="002A4DDF" w:rsidP="009110ED">
            <w:pPr>
              <w:rPr>
                <w:rFonts w:ascii="Arial" w:hAnsi="Arial" w:cs="Arial"/>
                <w:sz w:val="12"/>
                <w:szCs w:val="12"/>
              </w:rPr>
            </w:pPr>
          </w:p>
        </w:tc>
        <w:tc>
          <w:tcPr>
            <w:tcW w:w="1843" w:type="dxa"/>
            <w:shd w:val="clear" w:color="auto" w:fill="auto"/>
          </w:tcPr>
          <w:p w14:paraId="6D5BB746" w14:textId="77777777" w:rsidR="002A4DDF" w:rsidRPr="00937C8B" w:rsidRDefault="002A4DDF" w:rsidP="009110ED">
            <w:pPr>
              <w:rPr>
                <w:rFonts w:ascii="Arial" w:hAnsi="Arial" w:cs="Arial"/>
                <w:sz w:val="12"/>
                <w:szCs w:val="12"/>
              </w:rPr>
            </w:pPr>
          </w:p>
        </w:tc>
        <w:tc>
          <w:tcPr>
            <w:tcW w:w="2268" w:type="dxa"/>
            <w:shd w:val="clear" w:color="auto" w:fill="F2F2F2"/>
            <w:hideMark/>
          </w:tcPr>
          <w:p w14:paraId="7292F1E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A567C3E" w14:textId="77777777" w:rsidR="002A4DDF" w:rsidRPr="00937C8B" w:rsidRDefault="002A4DDF" w:rsidP="009110ED">
            <w:pPr>
              <w:rPr>
                <w:rFonts w:ascii="Arial" w:hAnsi="Arial" w:cs="Arial"/>
                <w:sz w:val="12"/>
                <w:szCs w:val="12"/>
              </w:rPr>
            </w:pPr>
            <w:r>
              <w:rPr>
                <w:rFonts w:ascii="Arial" w:hAnsi="Arial"/>
                <w:sz w:val="12"/>
                <w:szCs w:val="12"/>
              </w:rPr>
              <w:t>Valdelageve</w:t>
            </w:r>
          </w:p>
        </w:tc>
      </w:tr>
      <w:tr w:rsidR="002A4DDF" w:rsidRPr="00937C8B" w14:paraId="3DB6886B" w14:textId="77777777" w:rsidTr="00935676">
        <w:trPr>
          <w:cantSplit/>
        </w:trPr>
        <w:tc>
          <w:tcPr>
            <w:tcW w:w="1696" w:type="dxa"/>
            <w:tcBorders>
              <w:left w:val="single" w:sz="4" w:space="0" w:color="auto"/>
            </w:tcBorders>
            <w:shd w:val="clear" w:color="auto" w:fill="auto"/>
          </w:tcPr>
          <w:p w14:paraId="3045BE47" w14:textId="77777777" w:rsidR="002A4DDF" w:rsidRPr="00937C8B" w:rsidRDefault="002A4DDF" w:rsidP="009110ED">
            <w:pPr>
              <w:rPr>
                <w:rFonts w:ascii="Arial" w:hAnsi="Arial" w:cs="Arial"/>
                <w:sz w:val="12"/>
                <w:szCs w:val="12"/>
              </w:rPr>
            </w:pPr>
          </w:p>
        </w:tc>
        <w:tc>
          <w:tcPr>
            <w:tcW w:w="1843" w:type="dxa"/>
            <w:shd w:val="clear" w:color="auto" w:fill="auto"/>
          </w:tcPr>
          <w:p w14:paraId="7EA17BD6" w14:textId="77777777" w:rsidR="002A4DDF" w:rsidRPr="00937C8B" w:rsidRDefault="002A4DDF" w:rsidP="009110ED">
            <w:pPr>
              <w:rPr>
                <w:rFonts w:ascii="Arial" w:hAnsi="Arial" w:cs="Arial"/>
                <w:sz w:val="12"/>
                <w:szCs w:val="12"/>
              </w:rPr>
            </w:pPr>
          </w:p>
        </w:tc>
        <w:tc>
          <w:tcPr>
            <w:tcW w:w="2268" w:type="dxa"/>
            <w:shd w:val="clear" w:color="auto" w:fill="F2F2F2"/>
            <w:hideMark/>
          </w:tcPr>
          <w:p w14:paraId="1418BCF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4167C98" w14:textId="77777777" w:rsidR="002A4DDF" w:rsidRPr="00937C8B" w:rsidRDefault="002A4DDF" w:rsidP="009110ED">
            <w:pPr>
              <w:rPr>
                <w:rFonts w:ascii="Arial" w:hAnsi="Arial" w:cs="Arial"/>
                <w:sz w:val="12"/>
                <w:szCs w:val="12"/>
              </w:rPr>
            </w:pPr>
            <w:r>
              <w:rPr>
                <w:rFonts w:ascii="Arial" w:hAnsi="Arial"/>
                <w:sz w:val="12"/>
                <w:szCs w:val="12"/>
              </w:rPr>
              <w:t>Valdemierque</w:t>
            </w:r>
          </w:p>
        </w:tc>
      </w:tr>
      <w:tr w:rsidR="002A4DDF" w:rsidRPr="00937C8B" w14:paraId="4A704283" w14:textId="77777777" w:rsidTr="00935676">
        <w:trPr>
          <w:cantSplit/>
        </w:trPr>
        <w:tc>
          <w:tcPr>
            <w:tcW w:w="1696" w:type="dxa"/>
            <w:tcBorders>
              <w:left w:val="single" w:sz="4" w:space="0" w:color="auto"/>
            </w:tcBorders>
            <w:shd w:val="clear" w:color="auto" w:fill="auto"/>
          </w:tcPr>
          <w:p w14:paraId="1E9C495D" w14:textId="77777777" w:rsidR="002A4DDF" w:rsidRPr="00937C8B" w:rsidRDefault="002A4DDF" w:rsidP="009110ED">
            <w:pPr>
              <w:rPr>
                <w:rFonts w:ascii="Arial" w:hAnsi="Arial" w:cs="Arial"/>
                <w:sz w:val="12"/>
                <w:szCs w:val="12"/>
              </w:rPr>
            </w:pPr>
          </w:p>
        </w:tc>
        <w:tc>
          <w:tcPr>
            <w:tcW w:w="1843" w:type="dxa"/>
            <w:shd w:val="clear" w:color="auto" w:fill="auto"/>
          </w:tcPr>
          <w:p w14:paraId="6CB73C1D" w14:textId="77777777" w:rsidR="002A4DDF" w:rsidRPr="00937C8B" w:rsidRDefault="002A4DDF" w:rsidP="009110ED">
            <w:pPr>
              <w:rPr>
                <w:rFonts w:ascii="Arial" w:hAnsi="Arial" w:cs="Arial"/>
                <w:sz w:val="12"/>
                <w:szCs w:val="12"/>
              </w:rPr>
            </w:pPr>
          </w:p>
        </w:tc>
        <w:tc>
          <w:tcPr>
            <w:tcW w:w="2268" w:type="dxa"/>
            <w:shd w:val="clear" w:color="auto" w:fill="F2F2F2"/>
            <w:hideMark/>
          </w:tcPr>
          <w:p w14:paraId="4C8A21B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A3D3D94" w14:textId="77777777" w:rsidR="002A4DDF" w:rsidRPr="00937C8B" w:rsidRDefault="002A4DDF" w:rsidP="009110ED">
            <w:pPr>
              <w:rPr>
                <w:rFonts w:ascii="Arial" w:hAnsi="Arial" w:cs="Arial"/>
                <w:sz w:val="12"/>
                <w:szCs w:val="12"/>
              </w:rPr>
            </w:pPr>
            <w:r>
              <w:rPr>
                <w:rFonts w:ascii="Arial" w:hAnsi="Arial"/>
                <w:sz w:val="12"/>
                <w:szCs w:val="12"/>
              </w:rPr>
              <w:t>Valderrodrigo</w:t>
            </w:r>
          </w:p>
        </w:tc>
      </w:tr>
      <w:tr w:rsidR="002A4DDF" w:rsidRPr="00937C8B" w14:paraId="26BD3F24" w14:textId="77777777" w:rsidTr="00935676">
        <w:trPr>
          <w:cantSplit/>
        </w:trPr>
        <w:tc>
          <w:tcPr>
            <w:tcW w:w="1696" w:type="dxa"/>
            <w:tcBorders>
              <w:left w:val="single" w:sz="4" w:space="0" w:color="auto"/>
            </w:tcBorders>
            <w:shd w:val="clear" w:color="auto" w:fill="auto"/>
          </w:tcPr>
          <w:p w14:paraId="4FB47D12" w14:textId="77777777" w:rsidR="002A4DDF" w:rsidRPr="00937C8B" w:rsidRDefault="002A4DDF" w:rsidP="009110ED">
            <w:pPr>
              <w:rPr>
                <w:rFonts w:ascii="Arial" w:hAnsi="Arial" w:cs="Arial"/>
                <w:sz w:val="12"/>
                <w:szCs w:val="12"/>
              </w:rPr>
            </w:pPr>
          </w:p>
        </w:tc>
        <w:tc>
          <w:tcPr>
            <w:tcW w:w="1843" w:type="dxa"/>
            <w:shd w:val="clear" w:color="auto" w:fill="auto"/>
          </w:tcPr>
          <w:p w14:paraId="5A2F0171" w14:textId="77777777" w:rsidR="002A4DDF" w:rsidRPr="00937C8B" w:rsidRDefault="002A4DDF" w:rsidP="009110ED">
            <w:pPr>
              <w:rPr>
                <w:rFonts w:ascii="Arial" w:hAnsi="Arial" w:cs="Arial"/>
                <w:sz w:val="12"/>
                <w:szCs w:val="12"/>
              </w:rPr>
            </w:pPr>
          </w:p>
        </w:tc>
        <w:tc>
          <w:tcPr>
            <w:tcW w:w="2268" w:type="dxa"/>
            <w:shd w:val="clear" w:color="auto" w:fill="F2F2F2"/>
            <w:hideMark/>
          </w:tcPr>
          <w:p w14:paraId="5857271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2836B6F" w14:textId="77777777" w:rsidR="002A4DDF" w:rsidRPr="00937C8B" w:rsidRDefault="002A4DDF" w:rsidP="009110ED">
            <w:pPr>
              <w:rPr>
                <w:rFonts w:ascii="Arial" w:hAnsi="Arial" w:cs="Arial"/>
                <w:sz w:val="12"/>
                <w:szCs w:val="12"/>
              </w:rPr>
            </w:pPr>
            <w:r>
              <w:rPr>
                <w:rFonts w:ascii="Arial" w:hAnsi="Arial"/>
                <w:sz w:val="12"/>
                <w:szCs w:val="12"/>
              </w:rPr>
              <w:t>Vallejera de Riofrío</w:t>
            </w:r>
          </w:p>
        </w:tc>
      </w:tr>
      <w:tr w:rsidR="002A4DDF" w:rsidRPr="00937C8B" w14:paraId="24C273E1" w14:textId="77777777" w:rsidTr="00935676">
        <w:trPr>
          <w:cantSplit/>
        </w:trPr>
        <w:tc>
          <w:tcPr>
            <w:tcW w:w="1696" w:type="dxa"/>
            <w:tcBorders>
              <w:left w:val="single" w:sz="4" w:space="0" w:color="auto"/>
            </w:tcBorders>
            <w:shd w:val="clear" w:color="auto" w:fill="auto"/>
          </w:tcPr>
          <w:p w14:paraId="452C1C4C" w14:textId="77777777" w:rsidR="002A4DDF" w:rsidRPr="00937C8B" w:rsidRDefault="002A4DDF" w:rsidP="009110ED">
            <w:pPr>
              <w:rPr>
                <w:rFonts w:ascii="Arial" w:hAnsi="Arial" w:cs="Arial"/>
                <w:sz w:val="12"/>
                <w:szCs w:val="12"/>
              </w:rPr>
            </w:pPr>
          </w:p>
        </w:tc>
        <w:tc>
          <w:tcPr>
            <w:tcW w:w="1843" w:type="dxa"/>
            <w:shd w:val="clear" w:color="auto" w:fill="auto"/>
          </w:tcPr>
          <w:p w14:paraId="48466FBE" w14:textId="77777777" w:rsidR="002A4DDF" w:rsidRPr="00937C8B" w:rsidRDefault="002A4DDF" w:rsidP="009110ED">
            <w:pPr>
              <w:rPr>
                <w:rFonts w:ascii="Arial" w:hAnsi="Arial" w:cs="Arial"/>
                <w:sz w:val="12"/>
                <w:szCs w:val="12"/>
              </w:rPr>
            </w:pPr>
          </w:p>
        </w:tc>
        <w:tc>
          <w:tcPr>
            <w:tcW w:w="2268" w:type="dxa"/>
            <w:shd w:val="clear" w:color="auto" w:fill="F2F2F2"/>
            <w:hideMark/>
          </w:tcPr>
          <w:p w14:paraId="5139A79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BDEFDFC" w14:textId="77777777" w:rsidR="002A4DDF" w:rsidRPr="00937C8B" w:rsidRDefault="002A4DDF" w:rsidP="009110ED">
            <w:pPr>
              <w:rPr>
                <w:rFonts w:ascii="Arial" w:hAnsi="Arial" w:cs="Arial"/>
                <w:sz w:val="12"/>
                <w:szCs w:val="12"/>
              </w:rPr>
            </w:pPr>
            <w:r>
              <w:rPr>
                <w:rFonts w:ascii="Arial" w:hAnsi="Arial"/>
                <w:sz w:val="12"/>
                <w:szCs w:val="12"/>
              </w:rPr>
              <w:t>Valsalabroso</w:t>
            </w:r>
          </w:p>
        </w:tc>
      </w:tr>
      <w:tr w:rsidR="002A4DDF" w:rsidRPr="00937C8B" w14:paraId="5FC284C4" w14:textId="77777777" w:rsidTr="00935676">
        <w:trPr>
          <w:cantSplit/>
        </w:trPr>
        <w:tc>
          <w:tcPr>
            <w:tcW w:w="1696" w:type="dxa"/>
            <w:tcBorders>
              <w:left w:val="single" w:sz="4" w:space="0" w:color="auto"/>
            </w:tcBorders>
            <w:shd w:val="clear" w:color="auto" w:fill="auto"/>
          </w:tcPr>
          <w:p w14:paraId="52E45594" w14:textId="77777777" w:rsidR="002A4DDF" w:rsidRPr="00937C8B" w:rsidRDefault="002A4DDF" w:rsidP="009110ED">
            <w:pPr>
              <w:rPr>
                <w:rFonts w:ascii="Arial" w:hAnsi="Arial" w:cs="Arial"/>
                <w:sz w:val="12"/>
                <w:szCs w:val="12"/>
              </w:rPr>
            </w:pPr>
          </w:p>
        </w:tc>
        <w:tc>
          <w:tcPr>
            <w:tcW w:w="1843" w:type="dxa"/>
            <w:shd w:val="clear" w:color="auto" w:fill="auto"/>
          </w:tcPr>
          <w:p w14:paraId="1CB3FC9D" w14:textId="77777777" w:rsidR="002A4DDF" w:rsidRPr="00937C8B" w:rsidRDefault="002A4DDF" w:rsidP="009110ED">
            <w:pPr>
              <w:rPr>
                <w:rFonts w:ascii="Arial" w:hAnsi="Arial" w:cs="Arial"/>
                <w:sz w:val="12"/>
                <w:szCs w:val="12"/>
              </w:rPr>
            </w:pPr>
          </w:p>
        </w:tc>
        <w:tc>
          <w:tcPr>
            <w:tcW w:w="2268" w:type="dxa"/>
            <w:shd w:val="clear" w:color="auto" w:fill="F2F2F2"/>
            <w:hideMark/>
          </w:tcPr>
          <w:p w14:paraId="3FEED17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7E60E61" w14:textId="77777777" w:rsidR="002A4DDF" w:rsidRPr="00937C8B" w:rsidRDefault="002A4DDF" w:rsidP="009110ED">
            <w:pPr>
              <w:rPr>
                <w:rFonts w:ascii="Arial" w:hAnsi="Arial" w:cs="Arial"/>
                <w:sz w:val="12"/>
                <w:szCs w:val="12"/>
              </w:rPr>
            </w:pPr>
            <w:r>
              <w:rPr>
                <w:rFonts w:ascii="Arial" w:hAnsi="Arial"/>
                <w:sz w:val="12"/>
                <w:szCs w:val="12"/>
              </w:rPr>
              <w:t>Valverde de Valdelacasa</w:t>
            </w:r>
          </w:p>
        </w:tc>
      </w:tr>
      <w:tr w:rsidR="002A4DDF" w:rsidRPr="00937C8B" w14:paraId="533981ED" w14:textId="77777777" w:rsidTr="00935676">
        <w:trPr>
          <w:cantSplit/>
        </w:trPr>
        <w:tc>
          <w:tcPr>
            <w:tcW w:w="1696" w:type="dxa"/>
            <w:tcBorders>
              <w:left w:val="single" w:sz="4" w:space="0" w:color="auto"/>
            </w:tcBorders>
            <w:shd w:val="clear" w:color="auto" w:fill="auto"/>
          </w:tcPr>
          <w:p w14:paraId="446C31C3" w14:textId="77777777" w:rsidR="002A4DDF" w:rsidRPr="00937C8B" w:rsidRDefault="002A4DDF" w:rsidP="009110ED">
            <w:pPr>
              <w:rPr>
                <w:rFonts w:ascii="Arial" w:hAnsi="Arial" w:cs="Arial"/>
                <w:sz w:val="12"/>
                <w:szCs w:val="12"/>
              </w:rPr>
            </w:pPr>
          </w:p>
        </w:tc>
        <w:tc>
          <w:tcPr>
            <w:tcW w:w="1843" w:type="dxa"/>
            <w:shd w:val="clear" w:color="auto" w:fill="auto"/>
          </w:tcPr>
          <w:p w14:paraId="05BDE886" w14:textId="77777777" w:rsidR="002A4DDF" w:rsidRPr="00937C8B" w:rsidRDefault="002A4DDF" w:rsidP="009110ED">
            <w:pPr>
              <w:rPr>
                <w:rFonts w:ascii="Arial" w:hAnsi="Arial" w:cs="Arial"/>
                <w:sz w:val="12"/>
                <w:szCs w:val="12"/>
              </w:rPr>
            </w:pPr>
          </w:p>
        </w:tc>
        <w:tc>
          <w:tcPr>
            <w:tcW w:w="2268" w:type="dxa"/>
            <w:shd w:val="clear" w:color="auto" w:fill="F2F2F2"/>
            <w:hideMark/>
          </w:tcPr>
          <w:p w14:paraId="618E189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3537197" w14:textId="77777777" w:rsidR="002A4DDF" w:rsidRPr="00937C8B" w:rsidRDefault="002A4DDF" w:rsidP="009110ED">
            <w:pPr>
              <w:rPr>
                <w:rFonts w:ascii="Arial" w:hAnsi="Arial" w:cs="Arial"/>
                <w:sz w:val="12"/>
                <w:szCs w:val="12"/>
              </w:rPr>
            </w:pPr>
            <w:r>
              <w:rPr>
                <w:rFonts w:ascii="Arial" w:hAnsi="Arial"/>
                <w:sz w:val="12"/>
                <w:szCs w:val="12"/>
              </w:rPr>
              <w:t>Vecinos</w:t>
            </w:r>
          </w:p>
        </w:tc>
      </w:tr>
      <w:tr w:rsidR="002A4DDF" w:rsidRPr="00937C8B" w14:paraId="4F7F2CFF" w14:textId="77777777" w:rsidTr="00935676">
        <w:trPr>
          <w:cantSplit/>
        </w:trPr>
        <w:tc>
          <w:tcPr>
            <w:tcW w:w="1696" w:type="dxa"/>
            <w:tcBorders>
              <w:left w:val="single" w:sz="4" w:space="0" w:color="auto"/>
            </w:tcBorders>
            <w:shd w:val="clear" w:color="auto" w:fill="auto"/>
          </w:tcPr>
          <w:p w14:paraId="603A334B" w14:textId="77777777" w:rsidR="002A4DDF" w:rsidRPr="00937C8B" w:rsidRDefault="002A4DDF" w:rsidP="009110ED">
            <w:pPr>
              <w:rPr>
                <w:rFonts w:ascii="Arial" w:hAnsi="Arial" w:cs="Arial"/>
                <w:sz w:val="12"/>
                <w:szCs w:val="12"/>
              </w:rPr>
            </w:pPr>
          </w:p>
        </w:tc>
        <w:tc>
          <w:tcPr>
            <w:tcW w:w="1843" w:type="dxa"/>
            <w:shd w:val="clear" w:color="auto" w:fill="auto"/>
          </w:tcPr>
          <w:p w14:paraId="33CEA80D" w14:textId="77777777" w:rsidR="002A4DDF" w:rsidRPr="00937C8B" w:rsidRDefault="002A4DDF" w:rsidP="009110ED">
            <w:pPr>
              <w:rPr>
                <w:rFonts w:ascii="Arial" w:hAnsi="Arial" w:cs="Arial"/>
                <w:sz w:val="12"/>
                <w:szCs w:val="12"/>
              </w:rPr>
            </w:pPr>
          </w:p>
        </w:tc>
        <w:tc>
          <w:tcPr>
            <w:tcW w:w="2268" w:type="dxa"/>
            <w:shd w:val="clear" w:color="auto" w:fill="F2F2F2"/>
            <w:hideMark/>
          </w:tcPr>
          <w:p w14:paraId="1A11D27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8C3ED9B" w14:textId="77777777" w:rsidR="002A4DDF" w:rsidRPr="00937C8B" w:rsidRDefault="002A4DDF" w:rsidP="009110ED">
            <w:pPr>
              <w:rPr>
                <w:rFonts w:ascii="Arial" w:hAnsi="Arial" w:cs="Arial"/>
                <w:sz w:val="12"/>
                <w:szCs w:val="12"/>
              </w:rPr>
            </w:pPr>
            <w:r>
              <w:rPr>
                <w:rFonts w:ascii="Arial" w:hAnsi="Arial"/>
                <w:sz w:val="12"/>
                <w:szCs w:val="12"/>
              </w:rPr>
              <w:t>Vega de Tirados</w:t>
            </w:r>
          </w:p>
        </w:tc>
      </w:tr>
      <w:tr w:rsidR="002A4DDF" w:rsidRPr="00937C8B" w14:paraId="20482360" w14:textId="77777777" w:rsidTr="00935676">
        <w:trPr>
          <w:cantSplit/>
        </w:trPr>
        <w:tc>
          <w:tcPr>
            <w:tcW w:w="1696" w:type="dxa"/>
            <w:tcBorders>
              <w:left w:val="single" w:sz="4" w:space="0" w:color="auto"/>
            </w:tcBorders>
            <w:shd w:val="clear" w:color="auto" w:fill="auto"/>
          </w:tcPr>
          <w:p w14:paraId="5CEE1CBC" w14:textId="77777777" w:rsidR="002A4DDF" w:rsidRPr="00937C8B" w:rsidRDefault="002A4DDF" w:rsidP="009110ED">
            <w:pPr>
              <w:rPr>
                <w:rFonts w:ascii="Arial" w:hAnsi="Arial" w:cs="Arial"/>
                <w:sz w:val="12"/>
                <w:szCs w:val="12"/>
              </w:rPr>
            </w:pPr>
          </w:p>
        </w:tc>
        <w:tc>
          <w:tcPr>
            <w:tcW w:w="1843" w:type="dxa"/>
            <w:shd w:val="clear" w:color="auto" w:fill="auto"/>
          </w:tcPr>
          <w:p w14:paraId="35D139EE" w14:textId="77777777" w:rsidR="002A4DDF" w:rsidRPr="00937C8B" w:rsidRDefault="002A4DDF" w:rsidP="009110ED">
            <w:pPr>
              <w:rPr>
                <w:rFonts w:ascii="Arial" w:hAnsi="Arial" w:cs="Arial"/>
                <w:sz w:val="12"/>
                <w:szCs w:val="12"/>
              </w:rPr>
            </w:pPr>
          </w:p>
        </w:tc>
        <w:tc>
          <w:tcPr>
            <w:tcW w:w="2268" w:type="dxa"/>
            <w:shd w:val="clear" w:color="auto" w:fill="F2F2F2"/>
            <w:hideMark/>
          </w:tcPr>
          <w:p w14:paraId="36A82CF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CD0C5FB" w14:textId="77777777" w:rsidR="002A4DDF" w:rsidRPr="00937C8B" w:rsidRDefault="002A4DDF" w:rsidP="009110ED">
            <w:pPr>
              <w:rPr>
                <w:rFonts w:ascii="Arial" w:hAnsi="Arial" w:cs="Arial"/>
                <w:sz w:val="12"/>
                <w:szCs w:val="12"/>
              </w:rPr>
            </w:pPr>
            <w:r>
              <w:rPr>
                <w:rFonts w:ascii="Arial" w:hAnsi="Arial"/>
                <w:sz w:val="12"/>
                <w:szCs w:val="12"/>
              </w:rPr>
              <w:t>Villagonzalo de Tormes</w:t>
            </w:r>
          </w:p>
        </w:tc>
      </w:tr>
      <w:tr w:rsidR="002A4DDF" w:rsidRPr="00937C8B" w14:paraId="59D12F69" w14:textId="77777777" w:rsidTr="00935676">
        <w:trPr>
          <w:cantSplit/>
        </w:trPr>
        <w:tc>
          <w:tcPr>
            <w:tcW w:w="1696" w:type="dxa"/>
            <w:tcBorders>
              <w:left w:val="single" w:sz="4" w:space="0" w:color="auto"/>
            </w:tcBorders>
            <w:shd w:val="clear" w:color="auto" w:fill="auto"/>
          </w:tcPr>
          <w:p w14:paraId="0A81D0A7" w14:textId="77777777" w:rsidR="002A4DDF" w:rsidRPr="00937C8B" w:rsidRDefault="002A4DDF" w:rsidP="009110ED">
            <w:pPr>
              <w:rPr>
                <w:rFonts w:ascii="Arial" w:hAnsi="Arial" w:cs="Arial"/>
                <w:sz w:val="12"/>
                <w:szCs w:val="12"/>
              </w:rPr>
            </w:pPr>
          </w:p>
        </w:tc>
        <w:tc>
          <w:tcPr>
            <w:tcW w:w="1843" w:type="dxa"/>
            <w:shd w:val="clear" w:color="auto" w:fill="auto"/>
          </w:tcPr>
          <w:p w14:paraId="312E41AE" w14:textId="77777777" w:rsidR="002A4DDF" w:rsidRPr="00937C8B" w:rsidRDefault="002A4DDF" w:rsidP="009110ED">
            <w:pPr>
              <w:rPr>
                <w:rFonts w:ascii="Arial" w:hAnsi="Arial" w:cs="Arial"/>
                <w:sz w:val="12"/>
                <w:szCs w:val="12"/>
              </w:rPr>
            </w:pPr>
          </w:p>
        </w:tc>
        <w:tc>
          <w:tcPr>
            <w:tcW w:w="2268" w:type="dxa"/>
            <w:shd w:val="clear" w:color="auto" w:fill="F2F2F2"/>
            <w:hideMark/>
          </w:tcPr>
          <w:p w14:paraId="569A6DB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D705747" w14:textId="77777777" w:rsidR="002A4DDF" w:rsidRPr="00937C8B" w:rsidRDefault="002A4DDF" w:rsidP="009110ED">
            <w:pPr>
              <w:rPr>
                <w:rFonts w:ascii="Arial" w:hAnsi="Arial" w:cs="Arial"/>
                <w:sz w:val="12"/>
                <w:szCs w:val="12"/>
              </w:rPr>
            </w:pPr>
            <w:r>
              <w:rPr>
                <w:rFonts w:ascii="Arial" w:hAnsi="Arial"/>
                <w:sz w:val="12"/>
                <w:szCs w:val="12"/>
              </w:rPr>
              <w:t>Villanueva del Conde</w:t>
            </w:r>
          </w:p>
        </w:tc>
      </w:tr>
      <w:tr w:rsidR="002A4DDF" w:rsidRPr="00937C8B" w14:paraId="723305E8" w14:textId="77777777" w:rsidTr="00935676">
        <w:trPr>
          <w:cantSplit/>
        </w:trPr>
        <w:tc>
          <w:tcPr>
            <w:tcW w:w="1696" w:type="dxa"/>
            <w:tcBorders>
              <w:left w:val="single" w:sz="4" w:space="0" w:color="auto"/>
            </w:tcBorders>
            <w:shd w:val="clear" w:color="auto" w:fill="auto"/>
          </w:tcPr>
          <w:p w14:paraId="4914A948" w14:textId="77777777" w:rsidR="002A4DDF" w:rsidRPr="00937C8B" w:rsidRDefault="002A4DDF" w:rsidP="009110ED">
            <w:pPr>
              <w:rPr>
                <w:rFonts w:ascii="Arial" w:hAnsi="Arial" w:cs="Arial"/>
                <w:sz w:val="12"/>
                <w:szCs w:val="12"/>
              </w:rPr>
            </w:pPr>
          </w:p>
        </w:tc>
        <w:tc>
          <w:tcPr>
            <w:tcW w:w="1843" w:type="dxa"/>
            <w:shd w:val="clear" w:color="auto" w:fill="auto"/>
          </w:tcPr>
          <w:p w14:paraId="38AF1CB4" w14:textId="77777777" w:rsidR="002A4DDF" w:rsidRPr="00937C8B" w:rsidRDefault="002A4DDF" w:rsidP="009110ED">
            <w:pPr>
              <w:rPr>
                <w:rFonts w:ascii="Arial" w:hAnsi="Arial" w:cs="Arial"/>
                <w:sz w:val="12"/>
                <w:szCs w:val="12"/>
              </w:rPr>
            </w:pPr>
          </w:p>
        </w:tc>
        <w:tc>
          <w:tcPr>
            <w:tcW w:w="2268" w:type="dxa"/>
            <w:shd w:val="clear" w:color="auto" w:fill="F2F2F2"/>
            <w:hideMark/>
          </w:tcPr>
          <w:p w14:paraId="30ECEE4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C7EA956" w14:textId="77777777" w:rsidR="002A4DDF" w:rsidRPr="00937C8B" w:rsidRDefault="002A4DDF" w:rsidP="009110ED">
            <w:pPr>
              <w:rPr>
                <w:rFonts w:ascii="Arial" w:hAnsi="Arial" w:cs="Arial"/>
                <w:sz w:val="12"/>
                <w:szCs w:val="12"/>
              </w:rPr>
            </w:pPr>
            <w:r>
              <w:rPr>
                <w:rFonts w:ascii="Arial" w:hAnsi="Arial"/>
                <w:sz w:val="12"/>
                <w:szCs w:val="12"/>
              </w:rPr>
              <w:t>Villar de Argañán</w:t>
            </w:r>
          </w:p>
        </w:tc>
      </w:tr>
      <w:tr w:rsidR="002A4DDF" w:rsidRPr="00937C8B" w14:paraId="53664A07" w14:textId="77777777" w:rsidTr="00935676">
        <w:trPr>
          <w:cantSplit/>
        </w:trPr>
        <w:tc>
          <w:tcPr>
            <w:tcW w:w="1696" w:type="dxa"/>
            <w:tcBorders>
              <w:left w:val="single" w:sz="4" w:space="0" w:color="auto"/>
            </w:tcBorders>
            <w:shd w:val="clear" w:color="auto" w:fill="auto"/>
          </w:tcPr>
          <w:p w14:paraId="2A7681EE" w14:textId="77777777" w:rsidR="002A4DDF" w:rsidRPr="00937C8B" w:rsidRDefault="002A4DDF" w:rsidP="009110ED">
            <w:pPr>
              <w:rPr>
                <w:rFonts w:ascii="Arial" w:hAnsi="Arial" w:cs="Arial"/>
                <w:sz w:val="12"/>
                <w:szCs w:val="12"/>
              </w:rPr>
            </w:pPr>
          </w:p>
        </w:tc>
        <w:tc>
          <w:tcPr>
            <w:tcW w:w="1843" w:type="dxa"/>
            <w:shd w:val="clear" w:color="auto" w:fill="auto"/>
          </w:tcPr>
          <w:p w14:paraId="1F6349A0" w14:textId="77777777" w:rsidR="002A4DDF" w:rsidRPr="00937C8B" w:rsidRDefault="002A4DDF" w:rsidP="009110ED">
            <w:pPr>
              <w:rPr>
                <w:rFonts w:ascii="Arial" w:hAnsi="Arial" w:cs="Arial"/>
                <w:sz w:val="12"/>
                <w:szCs w:val="12"/>
              </w:rPr>
            </w:pPr>
          </w:p>
        </w:tc>
        <w:tc>
          <w:tcPr>
            <w:tcW w:w="2268" w:type="dxa"/>
            <w:shd w:val="clear" w:color="auto" w:fill="F2F2F2"/>
            <w:hideMark/>
          </w:tcPr>
          <w:p w14:paraId="3F0C418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43A15E1" w14:textId="77777777" w:rsidR="002A4DDF" w:rsidRPr="00937C8B" w:rsidRDefault="002A4DDF" w:rsidP="009110ED">
            <w:pPr>
              <w:rPr>
                <w:rFonts w:ascii="Arial" w:hAnsi="Arial" w:cs="Arial"/>
                <w:sz w:val="12"/>
                <w:szCs w:val="12"/>
              </w:rPr>
            </w:pPr>
            <w:r>
              <w:rPr>
                <w:rFonts w:ascii="Arial" w:hAnsi="Arial"/>
                <w:sz w:val="12"/>
                <w:szCs w:val="12"/>
              </w:rPr>
              <w:t>Villar de Ciervo</w:t>
            </w:r>
          </w:p>
        </w:tc>
      </w:tr>
      <w:tr w:rsidR="002A4DDF" w:rsidRPr="00937C8B" w14:paraId="19BD45BD" w14:textId="77777777" w:rsidTr="00935676">
        <w:trPr>
          <w:cantSplit/>
        </w:trPr>
        <w:tc>
          <w:tcPr>
            <w:tcW w:w="1696" w:type="dxa"/>
            <w:tcBorders>
              <w:left w:val="single" w:sz="4" w:space="0" w:color="auto"/>
            </w:tcBorders>
            <w:shd w:val="clear" w:color="auto" w:fill="auto"/>
          </w:tcPr>
          <w:p w14:paraId="1632E0F6" w14:textId="77777777" w:rsidR="002A4DDF" w:rsidRPr="00937C8B" w:rsidRDefault="002A4DDF" w:rsidP="009110ED">
            <w:pPr>
              <w:rPr>
                <w:rFonts w:ascii="Arial" w:hAnsi="Arial" w:cs="Arial"/>
                <w:sz w:val="12"/>
                <w:szCs w:val="12"/>
              </w:rPr>
            </w:pPr>
          </w:p>
        </w:tc>
        <w:tc>
          <w:tcPr>
            <w:tcW w:w="1843" w:type="dxa"/>
            <w:shd w:val="clear" w:color="auto" w:fill="auto"/>
          </w:tcPr>
          <w:p w14:paraId="38ECFEDB" w14:textId="77777777" w:rsidR="002A4DDF" w:rsidRPr="00937C8B" w:rsidRDefault="002A4DDF" w:rsidP="009110ED">
            <w:pPr>
              <w:rPr>
                <w:rFonts w:ascii="Arial" w:hAnsi="Arial" w:cs="Arial"/>
                <w:sz w:val="12"/>
                <w:szCs w:val="12"/>
              </w:rPr>
            </w:pPr>
          </w:p>
        </w:tc>
        <w:tc>
          <w:tcPr>
            <w:tcW w:w="2268" w:type="dxa"/>
            <w:shd w:val="clear" w:color="auto" w:fill="F2F2F2"/>
            <w:hideMark/>
          </w:tcPr>
          <w:p w14:paraId="76F9E7F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C447805" w14:textId="77777777" w:rsidR="002A4DDF" w:rsidRPr="00937C8B" w:rsidRDefault="002A4DDF" w:rsidP="009110ED">
            <w:pPr>
              <w:rPr>
                <w:rFonts w:ascii="Arial" w:hAnsi="Arial" w:cs="Arial"/>
                <w:sz w:val="12"/>
                <w:szCs w:val="12"/>
              </w:rPr>
            </w:pPr>
            <w:r>
              <w:rPr>
                <w:rFonts w:ascii="Arial" w:hAnsi="Arial"/>
                <w:sz w:val="12"/>
                <w:szCs w:val="12"/>
              </w:rPr>
              <w:t>Villar de la Yegua</w:t>
            </w:r>
          </w:p>
        </w:tc>
      </w:tr>
      <w:tr w:rsidR="002A4DDF" w:rsidRPr="00937C8B" w14:paraId="5BDC0FB3" w14:textId="77777777" w:rsidTr="00935676">
        <w:trPr>
          <w:cantSplit/>
        </w:trPr>
        <w:tc>
          <w:tcPr>
            <w:tcW w:w="1696" w:type="dxa"/>
            <w:tcBorders>
              <w:left w:val="single" w:sz="4" w:space="0" w:color="auto"/>
            </w:tcBorders>
            <w:shd w:val="clear" w:color="auto" w:fill="auto"/>
          </w:tcPr>
          <w:p w14:paraId="0D29291F" w14:textId="77777777" w:rsidR="002A4DDF" w:rsidRPr="00937C8B" w:rsidRDefault="002A4DDF" w:rsidP="009110ED">
            <w:pPr>
              <w:rPr>
                <w:rFonts w:ascii="Arial" w:hAnsi="Arial" w:cs="Arial"/>
                <w:sz w:val="12"/>
                <w:szCs w:val="12"/>
              </w:rPr>
            </w:pPr>
          </w:p>
        </w:tc>
        <w:tc>
          <w:tcPr>
            <w:tcW w:w="1843" w:type="dxa"/>
            <w:shd w:val="clear" w:color="auto" w:fill="auto"/>
          </w:tcPr>
          <w:p w14:paraId="7F1B4C58" w14:textId="77777777" w:rsidR="002A4DDF" w:rsidRPr="00937C8B" w:rsidRDefault="002A4DDF" w:rsidP="009110ED">
            <w:pPr>
              <w:rPr>
                <w:rFonts w:ascii="Arial" w:hAnsi="Arial" w:cs="Arial"/>
                <w:sz w:val="12"/>
                <w:szCs w:val="12"/>
              </w:rPr>
            </w:pPr>
          </w:p>
        </w:tc>
        <w:tc>
          <w:tcPr>
            <w:tcW w:w="2268" w:type="dxa"/>
            <w:shd w:val="clear" w:color="auto" w:fill="F2F2F2"/>
            <w:hideMark/>
          </w:tcPr>
          <w:p w14:paraId="554CD41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F723805" w14:textId="77777777" w:rsidR="002A4DDF" w:rsidRPr="00937C8B" w:rsidRDefault="002A4DDF" w:rsidP="009110ED">
            <w:pPr>
              <w:rPr>
                <w:rFonts w:ascii="Arial" w:hAnsi="Arial" w:cs="Arial"/>
                <w:sz w:val="12"/>
                <w:szCs w:val="12"/>
              </w:rPr>
            </w:pPr>
            <w:r>
              <w:rPr>
                <w:rFonts w:ascii="Arial" w:hAnsi="Arial"/>
                <w:sz w:val="12"/>
                <w:szCs w:val="12"/>
              </w:rPr>
              <w:t>Villar de Peralonso</w:t>
            </w:r>
          </w:p>
        </w:tc>
      </w:tr>
      <w:tr w:rsidR="002A4DDF" w:rsidRPr="00937C8B" w14:paraId="3DD0DB05" w14:textId="77777777" w:rsidTr="00935676">
        <w:trPr>
          <w:cantSplit/>
        </w:trPr>
        <w:tc>
          <w:tcPr>
            <w:tcW w:w="1696" w:type="dxa"/>
            <w:tcBorders>
              <w:left w:val="single" w:sz="4" w:space="0" w:color="auto"/>
            </w:tcBorders>
            <w:shd w:val="clear" w:color="auto" w:fill="auto"/>
          </w:tcPr>
          <w:p w14:paraId="245337D8" w14:textId="77777777" w:rsidR="002A4DDF" w:rsidRPr="00937C8B" w:rsidRDefault="002A4DDF" w:rsidP="009110ED">
            <w:pPr>
              <w:rPr>
                <w:rFonts w:ascii="Arial" w:hAnsi="Arial" w:cs="Arial"/>
                <w:sz w:val="12"/>
                <w:szCs w:val="12"/>
              </w:rPr>
            </w:pPr>
          </w:p>
        </w:tc>
        <w:tc>
          <w:tcPr>
            <w:tcW w:w="1843" w:type="dxa"/>
            <w:shd w:val="clear" w:color="auto" w:fill="auto"/>
          </w:tcPr>
          <w:p w14:paraId="27922FF0" w14:textId="77777777" w:rsidR="002A4DDF" w:rsidRPr="00937C8B" w:rsidRDefault="002A4DDF" w:rsidP="009110ED">
            <w:pPr>
              <w:rPr>
                <w:rFonts w:ascii="Arial" w:hAnsi="Arial" w:cs="Arial"/>
                <w:sz w:val="12"/>
                <w:szCs w:val="12"/>
              </w:rPr>
            </w:pPr>
          </w:p>
        </w:tc>
        <w:tc>
          <w:tcPr>
            <w:tcW w:w="2268" w:type="dxa"/>
            <w:shd w:val="clear" w:color="auto" w:fill="F2F2F2"/>
            <w:hideMark/>
          </w:tcPr>
          <w:p w14:paraId="2E45D53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8108BD2" w14:textId="77777777" w:rsidR="002A4DDF" w:rsidRPr="00937C8B" w:rsidRDefault="002A4DDF" w:rsidP="009110ED">
            <w:pPr>
              <w:rPr>
                <w:rFonts w:ascii="Arial" w:hAnsi="Arial" w:cs="Arial"/>
                <w:sz w:val="12"/>
                <w:szCs w:val="12"/>
              </w:rPr>
            </w:pPr>
            <w:r>
              <w:rPr>
                <w:rFonts w:ascii="Arial" w:hAnsi="Arial"/>
                <w:sz w:val="12"/>
                <w:szCs w:val="12"/>
              </w:rPr>
              <w:t>Villar de Samaniego</w:t>
            </w:r>
          </w:p>
        </w:tc>
      </w:tr>
      <w:tr w:rsidR="002A4DDF" w:rsidRPr="00937C8B" w14:paraId="4B6A4C35" w14:textId="77777777" w:rsidTr="00935676">
        <w:trPr>
          <w:cantSplit/>
        </w:trPr>
        <w:tc>
          <w:tcPr>
            <w:tcW w:w="1696" w:type="dxa"/>
            <w:tcBorders>
              <w:left w:val="single" w:sz="4" w:space="0" w:color="auto"/>
            </w:tcBorders>
            <w:shd w:val="clear" w:color="auto" w:fill="auto"/>
          </w:tcPr>
          <w:p w14:paraId="106F1F98" w14:textId="77777777" w:rsidR="002A4DDF" w:rsidRPr="00937C8B" w:rsidRDefault="002A4DDF" w:rsidP="009110ED">
            <w:pPr>
              <w:rPr>
                <w:rFonts w:ascii="Arial" w:hAnsi="Arial" w:cs="Arial"/>
                <w:sz w:val="12"/>
                <w:szCs w:val="12"/>
              </w:rPr>
            </w:pPr>
          </w:p>
        </w:tc>
        <w:tc>
          <w:tcPr>
            <w:tcW w:w="1843" w:type="dxa"/>
            <w:shd w:val="clear" w:color="auto" w:fill="auto"/>
          </w:tcPr>
          <w:p w14:paraId="121BB65B" w14:textId="77777777" w:rsidR="002A4DDF" w:rsidRPr="00937C8B" w:rsidRDefault="002A4DDF" w:rsidP="009110ED">
            <w:pPr>
              <w:rPr>
                <w:rFonts w:ascii="Arial" w:hAnsi="Arial" w:cs="Arial"/>
                <w:sz w:val="12"/>
                <w:szCs w:val="12"/>
              </w:rPr>
            </w:pPr>
          </w:p>
        </w:tc>
        <w:tc>
          <w:tcPr>
            <w:tcW w:w="2268" w:type="dxa"/>
            <w:shd w:val="clear" w:color="auto" w:fill="F2F2F2"/>
            <w:hideMark/>
          </w:tcPr>
          <w:p w14:paraId="4C2F740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3825E59" w14:textId="77777777" w:rsidR="002A4DDF" w:rsidRPr="00937C8B" w:rsidRDefault="002A4DDF" w:rsidP="009110ED">
            <w:pPr>
              <w:rPr>
                <w:rFonts w:ascii="Arial" w:hAnsi="Arial" w:cs="Arial"/>
                <w:sz w:val="12"/>
                <w:szCs w:val="12"/>
              </w:rPr>
            </w:pPr>
            <w:r>
              <w:rPr>
                <w:rFonts w:ascii="Arial" w:hAnsi="Arial"/>
                <w:sz w:val="12"/>
                <w:szCs w:val="12"/>
              </w:rPr>
              <w:t>Villares de Yeltes</w:t>
            </w:r>
          </w:p>
        </w:tc>
      </w:tr>
      <w:tr w:rsidR="002A4DDF" w:rsidRPr="00937C8B" w14:paraId="66DD492E" w14:textId="77777777" w:rsidTr="00935676">
        <w:trPr>
          <w:cantSplit/>
        </w:trPr>
        <w:tc>
          <w:tcPr>
            <w:tcW w:w="1696" w:type="dxa"/>
            <w:tcBorders>
              <w:left w:val="single" w:sz="4" w:space="0" w:color="auto"/>
            </w:tcBorders>
            <w:shd w:val="clear" w:color="auto" w:fill="auto"/>
          </w:tcPr>
          <w:p w14:paraId="47FA58DB" w14:textId="77777777" w:rsidR="002A4DDF" w:rsidRPr="00937C8B" w:rsidRDefault="002A4DDF" w:rsidP="009110ED">
            <w:pPr>
              <w:rPr>
                <w:rFonts w:ascii="Arial" w:hAnsi="Arial" w:cs="Arial"/>
                <w:sz w:val="12"/>
                <w:szCs w:val="12"/>
              </w:rPr>
            </w:pPr>
          </w:p>
        </w:tc>
        <w:tc>
          <w:tcPr>
            <w:tcW w:w="1843" w:type="dxa"/>
            <w:shd w:val="clear" w:color="auto" w:fill="auto"/>
          </w:tcPr>
          <w:p w14:paraId="6A2FADF6" w14:textId="77777777" w:rsidR="002A4DDF" w:rsidRPr="00937C8B" w:rsidRDefault="002A4DDF" w:rsidP="009110ED">
            <w:pPr>
              <w:rPr>
                <w:rFonts w:ascii="Arial" w:hAnsi="Arial" w:cs="Arial"/>
                <w:sz w:val="12"/>
                <w:szCs w:val="12"/>
              </w:rPr>
            </w:pPr>
          </w:p>
        </w:tc>
        <w:tc>
          <w:tcPr>
            <w:tcW w:w="2268" w:type="dxa"/>
            <w:shd w:val="clear" w:color="auto" w:fill="F2F2F2"/>
            <w:hideMark/>
          </w:tcPr>
          <w:p w14:paraId="42319F7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4C0788C" w14:textId="77777777" w:rsidR="002A4DDF" w:rsidRPr="00937C8B" w:rsidRDefault="002A4DDF" w:rsidP="009110ED">
            <w:pPr>
              <w:rPr>
                <w:rFonts w:ascii="Arial" w:hAnsi="Arial" w:cs="Arial"/>
                <w:sz w:val="12"/>
                <w:szCs w:val="12"/>
              </w:rPr>
            </w:pPr>
            <w:r>
              <w:rPr>
                <w:rFonts w:ascii="Arial" w:hAnsi="Arial"/>
                <w:sz w:val="12"/>
                <w:szCs w:val="12"/>
              </w:rPr>
              <w:t>Villarino de los Aires</w:t>
            </w:r>
          </w:p>
        </w:tc>
      </w:tr>
      <w:tr w:rsidR="002A4DDF" w:rsidRPr="00937C8B" w14:paraId="7B84E8CE" w14:textId="77777777" w:rsidTr="00935676">
        <w:trPr>
          <w:cantSplit/>
        </w:trPr>
        <w:tc>
          <w:tcPr>
            <w:tcW w:w="1696" w:type="dxa"/>
            <w:tcBorders>
              <w:left w:val="single" w:sz="4" w:space="0" w:color="auto"/>
            </w:tcBorders>
            <w:shd w:val="clear" w:color="auto" w:fill="auto"/>
          </w:tcPr>
          <w:p w14:paraId="524D5E00" w14:textId="77777777" w:rsidR="002A4DDF" w:rsidRPr="00937C8B" w:rsidRDefault="002A4DDF" w:rsidP="009110ED">
            <w:pPr>
              <w:rPr>
                <w:rFonts w:ascii="Arial" w:hAnsi="Arial" w:cs="Arial"/>
                <w:sz w:val="12"/>
                <w:szCs w:val="12"/>
              </w:rPr>
            </w:pPr>
          </w:p>
        </w:tc>
        <w:tc>
          <w:tcPr>
            <w:tcW w:w="1843" w:type="dxa"/>
            <w:shd w:val="clear" w:color="auto" w:fill="auto"/>
          </w:tcPr>
          <w:p w14:paraId="7D1BFC3D" w14:textId="77777777" w:rsidR="002A4DDF" w:rsidRPr="00937C8B" w:rsidRDefault="002A4DDF" w:rsidP="009110ED">
            <w:pPr>
              <w:rPr>
                <w:rFonts w:ascii="Arial" w:hAnsi="Arial" w:cs="Arial"/>
                <w:sz w:val="12"/>
                <w:szCs w:val="12"/>
              </w:rPr>
            </w:pPr>
          </w:p>
        </w:tc>
        <w:tc>
          <w:tcPr>
            <w:tcW w:w="2268" w:type="dxa"/>
            <w:shd w:val="clear" w:color="auto" w:fill="F2F2F2"/>
            <w:hideMark/>
          </w:tcPr>
          <w:p w14:paraId="35A8B2F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3E74D15" w14:textId="77777777" w:rsidR="002A4DDF" w:rsidRPr="00937C8B" w:rsidRDefault="002A4DDF" w:rsidP="009110ED">
            <w:pPr>
              <w:rPr>
                <w:rFonts w:ascii="Arial" w:hAnsi="Arial" w:cs="Arial"/>
                <w:sz w:val="12"/>
                <w:szCs w:val="12"/>
              </w:rPr>
            </w:pPr>
            <w:r>
              <w:rPr>
                <w:rFonts w:ascii="Arial" w:hAnsi="Arial"/>
                <w:sz w:val="12"/>
                <w:szCs w:val="12"/>
              </w:rPr>
              <w:t>Villarmuerto</w:t>
            </w:r>
          </w:p>
        </w:tc>
      </w:tr>
      <w:tr w:rsidR="002A4DDF" w:rsidRPr="00937C8B" w14:paraId="1F4DCCDB" w14:textId="77777777" w:rsidTr="00935676">
        <w:trPr>
          <w:cantSplit/>
        </w:trPr>
        <w:tc>
          <w:tcPr>
            <w:tcW w:w="1696" w:type="dxa"/>
            <w:tcBorders>
              <w:left w:val="single" w:sz="4" w:space="0" w:color="auto"/>
            </w:tcBorders>
            <w:shd w:val="clear" w:color="auto" w:fill="auto"/>
          </w:tcPr>
          <w:p w14:paraId="34E4204C" w14:textId="77777777" w:rsidR="002A4DDF" w:rsidRPr="00937C8B" w:rsidRDefault="002A4DDF" w:rsidP="009110ED">
            <w:pPr>
              <w:rPr>
                <w:rFonts w:ascii="Arial" w:hAnsi="Arial" w:cs="Arial"/>
                <w:sz w:val="12"/>
                <w:szCs w:val="12"/>
              </w:rPr>
            </w:pPr>
          </w:p>
        </w:tc>
        <w:tc>
          <w:tcPr>
            <w:tcW w:w="1843" w:type="dxa"/>
            <w:shd w:val="clear" w:color="auto" w:fill="auto"/>
          </w:tcPr>
          <w:p w14:paraId="2EB7C805" w14:textId="77777777" w:rsidR="002A4DDF" w:rsidRPr="00937C8B" w:rsidRDefault="002A4DDF" w:rsidP="009110ED">
            <w:pPr>
              <w:rPr>
                <w:rFonts w:ascii="Arial" w:hAnsi="Arial" w:cs="Arial"/>
                <w:sz w:val="12"/>
                <w:szCs w:val="12"/>
              </w:rPr>
            </w:pPr>
          </w:p>
        </w:tc>
        <w:tc>
          <w:tcPr>
            <w:tcW w:w="2268" w:type="dxa"/>
            <w:shd w:val="clear" w:color="auto" w:fill="F2F2F2"/>
            <w:hideMark/>
          </w:tcPr>
          <w:p w14:paraId="5B813B6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7D20671" w14:textId="77777777" w:rsidR="002A4DDF" w:rsidRPr="00937C8B" w:rsidRDefault="002A4DDF" w:rsidP="009110ED">
            <w:pPr>
              <w:rPr>
                <w:rFonts w:ascii="Arial" w:hAnsi="Arial" w:cs="Arial"/>
                <w:sz w:val="12"/>
                <w:szCs w:val="12"/>
              </w:rPr>
            </w:pPr>
            <w:r>
              <w:rPr>
                <w:rFonts w:ascii="Arial" w:hAnsi="Arial"/>
                <w:sz w:val="12"/>
                <w:szCs w:val="12"/>
              </w:rPr>
              <w:t>Villasbuenas</w:t>
            </w:r>
          </w:p>
        </w:tc>
      </w:tr>
      <w:tr w:rsidR="002A4DDF" w:rsidRPr="00937C8B" w14:paraId="24BB3771" w14:textId="77777777" w:rsidTr="00935676">
        <w:trPr>
          <w:cantSplit/>
        </w:trPr>
        <w:tc>
          <w:tcPr>
            <w:tcW w:w="1696" w:type="dxa"/>
            <w:tcBorders>
              <w:left w:val="single" w:sz="4" w:space="0" w:color="auto"/>
            </w:tcBorders>
            <w:shd w:val="clear" w:color="auto" w:fill="auto"/>
          </w:tcPr>
          <w:p w14:paraId="06B8C30E" w14:textId="77777777" w:rsidR="002A4DDF" w:rsidRPr="00937C8B" w:rsidRDefault="002A4DDF" w:rsidP="009110ED">
            <w:pPr>
              <w:rPr>
                <w:rFonts w:ascii="Arial" w:hAnsi="Arial" w:cs="Arial"/>
                <w:sz w:val="12"/>
                <w:szCs w:val="12"/>
              </w:rPr>
            </w:pPr>
          </w:p>
        </w:tc>
        <w:tc>
          <w:tcPr>
            <w:tcW w:w="1843" w:type="dxa"/>
            <w:shd w:val="clear" w:color="auto" w:fill="auto"/>
          </w:tcPr>
          <w:p w14:paraId="791FAD39" w14:textId="77777777" w:rsidR="002A4DDF" w:rsidRPr="00937C8B" w:rsidRDefault="002A4DDF" w:rsidP="009110ED">
            <w:pPr>
              <w:rPr>
                <w:rFonts w:ascii="Arial" w:hAnsi="Arial" w:cs="Arial"/>
                <w:sz w:val="12"/>
                <w:szCs w:val="12"/>
              </w:rPr>
            </w:pPr>
          </w:p>
        </w:tc>
        <w:tc>
          <w:tcPr>
            <w:tcW w:w="2268" w:type="dxa"/>
            <w:shd w:val="clear" w:color="auto" w:fill="F2F2F2"/>
            <w:hideMark/>
          </w:tcPr>
          <w:p w14:paraId="4F456C4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558A4E8" w14:textId="77777777" w:rsidR="002A4DDF" w:rsidRPr="00937C8B" w:rsidRDefault="002A4DDF" w:rsidP="009110ED">
            <w:pPr>
              <w:rPr>
                <w:rFonts w:ascii="Arial" w:hAnsi="Arial" w:cs="Arial"/>
                <w:sz w:val="12"/>
                <w:szCs w:val="12"/>
              </w:rPr>
            </w:pPr>
            <w:r>
              <w:rPr>
                <w:rFonts w:ascii="Arial" w:hAnsi="Arial"/>
                <w:sz w:val="12"/>
                <w:szCs w:val="12"/>
              </w:rPr>
              <w:t>Villasdardo</w:t>
            </w:r>
          </w:p>
        </w:tc>
      </w:tr>
      <w:tr w:rsidR="002A4DDF" w:rsidRPr="00937C8B" w14:paraId="5BE98E01" w14:textId="77777777" w:rsidTr="00935676">
        <w:trPr>
          <w:cantSplit/>
        </w:trPr>
        <w:tc>
          <w:tcPr>
            <w:tcW w:w="1696" w:type="dxa"/>
            <w:tcBorders>
              <w:left w:val="single" w:sz="4" w:space="0" w:color="auto"/>
            </w:tcBorders>
            <w:shd w:val="clear" w:color="auto" w:fill="auto"/>
          </w:tcPr>
          <w:p w14:paraId="3D4AB7C0" w14:textId="77777777" w:rsidR="002A4DDF" w:rsidRPr="00937C8B" w:rsidRDefault="002A4DDF" w:rsidP="009110ED">
            <w:pPr>
              <w:rPr>
                <w:rFonts w:ascii="Arial" w:hAnsi="Arial" w:cs="Arial"/>
                <w:sz w:val="12"/>
                <w:szCs w:val="12"/>
              </w:rPr>
            </w:pPr>
          </w:p>
        </w:tc>
        <w:tc>
          <w:tcPr>
            <w:tcW w:w="1843" w:type="dxa"/>
            <w:shd w:val="clear" w:color="auto" w:fill="auto"/>
          </w:tcPr>
          <w:p w14:paraId="76782873" w14:textId="77777777" w:rsidR="002A4DDF" w:rsidRPr="00937C8B" w:rsidRDefault="002A4DDF" w:rsidP="009110ED">
            <w:pPr>
              <w:rPr>
                <w:rFonts w:ascii="Arial" w:hAnsi="Arial" w:cs="Arial"/>
                <w:sz w:val="12"/>
                <w:szCs w:val="12"/>
              </w:rPr>
            </w:pPr>
          </w:p>
        </w:tc>
        <w:tc>
          <w:tcPr>
            <w:tcW w:w="2268" w:type="dxa"/>
            <w:shd w:val="clear" w:color="auto" w:fill="F2F2F2"/>
            <w:hideMark/>
          </w:tcPr>
          <w:p w14:paraId="7AB4AC9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04E6E49" w14:textId="77777777" w:rsidR="002A4DDF" w:rsidRPr="00937C8B" w:rsidRDefault="002A4DDF" w:rsidP="009110ED">
            <w:pPr>
              <w:rPr>
                <w:rFonts w:ascii="Arial" w:hAnsi="Arial" w:cs="Arial"/>
                <w:sz w:val="12"/>
                <w:szCs w:val="12"/>
              </w:rPr>
            </w:pPr>
            <w:r>
              <w:rPr>
                <w:rFonts w:ascii="Arial" w:hAnsi="Arial"/>
                <w:sz w:val="12"/>
                <w:szCs w:val="12"/>
              </w:rPr>
              <w:t>Villaseco de los Gamitos</w:t>
            </w:r>
          </w:p>
        </w:tc>
      </w:tr>
      <w:tr w:rsidR="002A4DDF" w:rsidRPr="00937C8B" w14:paraId="255B200E" w14:textId="77777777" w:rsidTr="00935676">
        <w:trPr>
          <w:cantSplit/>
        </w:trPr>
        <w:tc>
          <w:tcPr>
            <w:tcW w:w="1696" w:type="dxa"/>
            <w:tcBorders>
              <w:left w:val="single" w:sz="4" w:space="0" w:color="auto"/>
            </w:tcBorders>
            <w:shd w:val="clear" w:color="auto" w:fill="auto"/>
          </w:tcPr>
          <w:p w14:paraId="29F9B201" w14:textId="77777777" w:rsidR="002A4DDF" w:rsidRPr="00937C8B" w:rsidRDefault="002A4DDF" w:rsidP="009110ED">
            <w:pPr>
              <w:rPr>
                <w:rFonts w:ascii="Arial" w:hAnsi="Arial" w:cs="Arial"/>
                <w:sz w:val="12"/>
                <w:szCs w:val="12"/>
              </w:rPr>
            </w:pPr>
          </w:p>
        </w:tc>
        <w:tc>
          <w:tcPr>
            <w:tcW w:w="1843" w:type="dxa"/>
            <w:shd w:val="clear" w:color="auto" w:fill="auto"/>
          </w:tcPr>
          <w:p w14:paraId="6B2E98F7" w14:textId="77777777" w:rsidR="002A4DDF" w:rsidRPr="00937C8B" w:rsidRDefault="002A4DDF" w:rsidP="009110ED">
            <w:pPr>
              <w:rPr>
                <w:rFonts w:ascii="Arial" w:hAnsi="Arial" w:cs="Arial"/>
                <w:sz w:val="12"/>
                <w:szCs w:val="12"/>
              </w:rPr>
            </w:pPr>
          </w:p>
        </w:tc>
        <w:tc>
          <w:tcPr>
            <w:tcW w:w="2268" w:type="dxa"/>
            <w:shd w:val="clear" w:color="auto" w:fill="F2F2F2"/>
            <w:hideMark/>
          </w:tcPr>
          <w:p w14:paraId="75AF3C4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EA970D9" w14:textId="77777777" w:rsidR="002A4DDF" w:rsidRPr="00937C8B" w:rsidRDefault="002A4DDF" w:rsidP="009110ED">
            <w:pPr>
              <w:rPr>
                <w:rFonts w:ascii="Arial" w:hAnsi="Arial" w:cs="Arial"/>
                <w:sz w:val="12"/>
                <w:szCs w:val="12"/>
              </w:rPr>
            </w:pPr>
            <w:r>
              <w:rPr>
                <w:rFonts w:ascii="Arial" w:hAnsi="Arial"/>
                <w:sz w:val="12"/>
                <w:szCs w:val="12"/>
              </w:rPr>
              <w:t>Villaseco de los Reyes</w:t>
            </w:r>
          </w:p>
        </w:tc>
      </w:tr>
      <w:tr w:rsidR="002A4DDF" w:rsidRPr="00937C8B" w14:paraId="13037C89" w14:textId="77777777" w:rsidTr="00935676">
        <w:trPr>
          <w:cantSplit/>
        </w:trPr>
        <w:tc>
          <w:tcPr>
            <w:tcW w:w="1696" w:type="dxa"/>
            <w:tcBorders>
              <w:left w:val="single" w:sz="4" w:space="0" w:color="auto"/>
            </w:tcBorders>
            <w:shd w:val="clear" w:color="auto" w:fill="auto"/>
          </w:tcPr>
          <w:p w14:paraId="33E99027" w14:textId="77777777" w:rsidR="002A4DDF" w:rsidRPr="00937C8B" w:rsidRDefault="002A4DDF" w:rsidP="009110ED">
            <w:pPr>
              <w:rPr>
                <w:rFonts w:ascii="Arial" w:hAnsi="Arial" w:cs="Arial"/>
                <w:sz w:val="12"/>
                <w:szCs w:val="12"/>
              </w:rPr>
            </w:pPr>
          </w:p>
        </w:tc>
        <w:tc>
          <w:tcPr>
            <w:tcW w:w="1843" w:type="dxa"/>
            <w:shd w:val="clear" w:color="auto" w:fill="auto"/>
          </w:tcPr>
          <w:p w14:paraId="224C048F" w14:textId="77777777" w:rsidR="002A4DDF" w:rsidRPr="00937C8B" w:rsidRDefault="002A4DDF" w:rsidP="009110ED">
            <w:pPr>
              <w:rPr>
                <w:rFonts w:ascii="Arial" w:hAnsi="Arial" w:cs="Arial"/>
                <w:sz w:val="12"/>
                <w:szCs w:val="12"/>
              </w:rPr>
            </w:pPr>
          </w:p>
        </w:tc>
        <w:tc>
          <w:tcPr>
            <w:tcW w:w="2268" w:type="dxa"/>
            <w:shd w:val="clear" w:color="auto" w:fill="F2F2F2"/>
            <w:hideMark/>
          </w:tcPr>
          <w:p w14:paraId="5957940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FD5AABB" w14:textId="77777777" w:rsidR="002A4DDF" w:rsidRPr="00937C8B" w:rsidRDefault="002A4DDF" w:rsidP="009110ED">
            <w:pPr>
              <w:rPr>
                <w:rFonts w:ascii="Arial" w:hAnsi="Arial" w:cs="Arial"/>
                <w:sz w:val="12"/>
                <w:szCs w:val="12"/>
              </w:rPr>
            </w:pPr>
            <w:r>
              <w:rPr>
                <w:rFonts w:ascii="Arial" w:hAnsi="Arial"/>
                <w:sz w:val="12"/>
                <w:szCs w:val="12"/>
              </w:rPr>
              <w:t>Villasrubias</w:t>
            </w:r>
          </w:p>
        </w:tc>
      </w:tr>
      <w:tr w:rsidR="002A4DDF" w:rsidRPr="00937C8B" w14:paraId="4E951CAE" w14:textId="77777777" w:rsidTr="00935676">
        <w:trPr>
          <w:cantSplit/>
        </w:trPr>
        <w:tc>
          <w:tcPr>
            <w:tcW w:w="1696" w:type="dxa"/>
            <w:tcBorders>
              <w:left w:val="single" w:sz="4" w:space="0" w:color="auto"/>
            </w:tcBorders>
            <w:shd w:val="clear" w:color="auto" w:fill="auto"/>
          </w:tcPr>
          <w:p w14:paraId="07CD5AE1" w14:textId="77777777" w:rsidR="002A4DDF" w:rsidRPr="00937C8B" w:rsidRDefault="002A4DDF" w:rsidP="009110ED">
            <w:pPr>
              <w:rPr>
                <w:rFonts w:ascii="Arial" w:hAnsi="Arial" w:cs="Arial"/>
                <w:sz w:val="12"/>
                <w:szCs w:val="12"/>
              </w:rPr>
            </w:pPr>
          </w:p>
        </w:tc>
        <w:tc>
          <w:tcPr>
            <w:tcW w:w="1843" w:type="dxa"/>
            <w:shd w:val="clear" w:color="auto" w:fill="auto"/>
          </w:tcPr>
          <w:p w14:paraId="6C242BAC" w14:textId="77777777" w:rsidR="002A4DDF" w:rsidRPr="00937C8B" w:rsidRDefault="002A4DDF" w:rsidP="009110ED">
            <w:pPr>
              <w:rPr>
                <w:rFonts w:ascii="Arial" w:hAnsi="Arial" w:cs="Arial"/>
                <w:sz w:val="12"/>
                <w:szCs w:val="12"/>
              </w:rPr>
            </w:pPr>
          </w:p>
        </w:tc>
        <w:tc>
          <w:tcPr>
            <w:tcW w:w="2268" w:type="dxa"/>
            <w:shd w:val="clear" w:color="auto" w:fill="F2F2F2"/>
            <w:hideMark/>
          </w:tcPr>
          <w:p w14:paraId="42AC5FB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9DFED07" w14:textId="77777777" w:rsidR="002A4DDF" w:rsidRPr="00937C8B" w:rsidRDefault="002A4DDF" w:rsidP="009110ED">
            <w:pPr>
              <w:rPr>
                <w:rFonts w:ascii="Arial" w:hAnsi="Arial" w:cs="Arial"/>
                <w:sz w:val="12"/>
                <w:szCs w:val="12"/>
              </w:rPr>
            </w:pPr>
            <w:r>
              <w:rPr>
                <w:rFonts w:ascii="Arial" w:hAnsi="Arial"/>
                <w:sz w:val="12"/>
                <w:szCs w:val="12"/>
              </w:rPr>
              <w:t>Villavieja de Yeltes</w:t>
            </w:r>
          </w:p>
        </w:tc>
      </w:tr>
      <w:tr w:rsidR="002A4DDF" w:rsidRPr="00937C8B" w14:paraId="13A76B06" w14:textId="77777777" w:rsidTr="00935676">
        <w:trPr>
          <w:cantSplit/>
        </w:trPr>
        <w:tc>
          <w:tcPr>
            <w:tcW w:w="1696" w:type="dxa"/>
            <w:tcBorders>
              <w:left w:val="single" w:sz="4" w:space="0" w:color="auto"/>
            </w:tcBorders>
            <w:shd w:val="clear" w:color="auto" w:fill="auto"/>
          </w:tcPr>
          <w:p w14:paraId="497A11B5" w14:textId="77777777" w:rsidR="002A4DDF" w:rsidRPr="00937C8B" w:rsidRDefault="002A4DDF" w:rsidP="009110ED">
            <w:pPr>
              <w:rPr>
                <w:rFonts w:ascii="Arial" w:hAnsi="Arial" w:cs="Arial"/>
                <w:sz w:val="12"/>
                <w:szCs w:val="12"/>
              </w:rPr>
            </w:pPr>
          </w:p>
        </w:tc>
        <w:tc>
          <w:tcPr>
            <w:tcW w:w="1843" w:type="dxa"/>
            <w:shd w:val="clear" w:color="auto" w:fill="auto"/>
          </w:tcPr>
          <w:p w14:paraId="6B062611" w14:textId="77777777" w:rsidR="002A4DDF" w:rsidRPr="00937C8B" w:rsidRDefault="002A4DDF" w:rsidP="009110ED">
            <w:pPr>
              <w:rPr>
                <w:rFonts w:ascii="Arial" w:hAnsi="Arial" w:cs="Arial"/>
                <w:sz w:val="12"/>
                <w:szCs w:val="12"/>
              </w:rPr>
            </w:pPr>
          </w:p>
        </w:tc>
        <w:tc>
          <w:tcPr>
            <w:tcW w:w="2268" w:type="dxa"/>
            <w:shd w:val="clear" w:color="auto" w:fill="F2F2F2"/>
            <w:hideMark/>
          </w:tcPr>
          <w:p w14:paraId="65EF47C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7A22D0F" w14:textId="77777777" w:rsidR="002A4DDF" w:rsidRPr="00937C8B" w:rsidRDefault="002A4DDF" w:rsidP="009110ED">
            <w:pPr>
              <w:rPr>
                <w:rFonts w:ascii="Arial" w:hAnsi="Arial" w:cs="Arial"/>
                <w:sz w:val="12"/>
                <w:szCs w:val="12"/>
              </w:rPr>
            </w:pPr>
            <w:r>
              <w:rPr>
                <w:rFonts w:ascii="Arial" w:hAnsi="Arial"/>
                <w:sz w:val="12"/>
                <w:szCs w:val="12"/>
              </w:rPr>
              <w:t>Vilvestre</w:t>
            </w:r>
          </w:p>
        </w:tc>
      </w:tr>
      <w:tr w:rsidR="002A4DDF" w:rsidRPr="00937C8B" w14:paraId="10DBC1BE" w14:textId="77777777" w:rsidTr="00935676">
        <w:trPr>
          <w:cantSplit/>
        </w:trPr>
        <w:tc>
          <w:tcPr>
            <w:tcW w:w="1696" w:type="dxa"/>
            <w:tcBorders>
              <w:left w:val="single" w:sz="4" w:space="0" w:color="auto"/>
            </w:tcBorders>
            <w:shd w:val="clear" w:color="auto" w:fill="auto"/>
          </w:tcPr>
          <w:p w14:paraId="18C17F1A" w14:textId="77777777" w:rsidR="002A4DDF" w:rsidRPr="00937C8B" w:rsidRDefault="002A4DDF" w:rsidP="009110ED">
            <w:pPr>
              <w:rPr>
                <w:rFonts w:ascii="Arial" w:hAnsi="Arial" w:cs="Arial"/>
                <w:sz w:val="12"/>
                <w:szCs w:val="12"/>
              </w:rPr>
            </w:pPr>
          </w:p>
        </w:tc>
        <w:tc>
          <w:tcPr>
            <w:tcW w:w="1843" w:type="dxa"/>
            <w:shd w:val="clear" w:color="auto" w:fill="auto"/>
          </w:tcPr>
          <w:p w14:paraId="5235CB95" w14:textId="77777777" w:rsidR="002A4DDF" w:rsidRPr="00937C8B" w:rsidRDefault="002A4DDF" w:rsidP="009110ED">
            <w:pPr>
              <w:rPr>
                <w:rFonts w:ascii="Arial" w:hAnsi="Arial" w:cs="Arial"/>
                <w:sz w:val="12"/>
                <w:szCs w:val="12"/>
              </w:rPr>
            </w:pPr>
          </w:p>
        </w:tc>
        <w:tc>
          <w:tcPr>
            <w:tcW w:w="2268" w:type="dxa"/>
            <w:shd w:val="clear" w:color="auto" w:fill="F2F2F2"/>
            <w:hideMark/>
          </w:tcPr>
          <w:p w14:paraId="74CFE36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652C851" w14:textId="77777777" w:rsidR="002A4DDF" w:rsidRPr="00937C8B" w:rsidRDefault="002A4DDF" w:rsidP="009110ED">
            <w:pPr>
              <w:rPr>
                <w:rFonts w:ascii="Arial" w:hAnsi="Arial" w:cs="Arial"/>
                <w:sz w:val="12"/>
                <w:szCs w:val="12"/>
              </w:rPr>
            </w:pPr>
            <w:r>
              <w:rPr>
                <w:rFonts w:ascii="Arial" w:hAnsi="Arial"/>
                <w:sz w:val="12"/>
                <w:szCs w:val="12"/>
              </w:rPr>
              <w:t>Vitigudino</w:t>
            </w:r>
          </w:p>
        </w:tc>
      </w:tr>
      <w:tr w:rsidR="002A4DDF" w:rsidRPr="00937C8B" w14:paraId="56153567" w14:textId="77777777" w:rsidTr="00935676">
        <w:trPr>
          <w:cantSplit/>
        </w:trPr>
        <w:tc>
          <w:tcPr>
            <w:tcW w:w="1696" w:type="dxa"/>
            <w:tcBorders>
              <w:left w:val="single" w:sz="4" w:space="0" w:color="auto"/>
            </w:tcBorders>
            <w:shd w:val="clear" w:color="auto" w:fill="auto"/>
          </w:tcPr>
          <w:p w14:paraId="59A4423B" w14:textId="77777777" w:rsidR="002A4DDF" w:rsidRPr="00937C8B" w:rsidRDefault="002A4DDF" w:rsidP="009110ED">
            <w:pPr>
              <w:rPr>
                <w:rFonts w:ascii="Arial" w:hAnsi="Arial" w:cs="Arial"/>
                <w:sz w:val="12"/>
                <w:szCs w:val="12"/>
              </w:rPr>
            </w:pPr>
          </w:p>
        </w:tc>
        <w:tc>
          <w:tcPr>
            <w:tcW w:w="1843" w:type="dxa"/>
            <w:shd w:val="clear" w:color="auto" w:fill="auto"/>
          </w:tcPr>
          <w:p w14:paraId="0D8DB1B8" w14:textId="77777777" w:rsidR="002A4DDF" w:rsidRPr="00937C8B" w:rsidRDefault="002A4DDF" w:rsidP="009110ED">
            <w:pPr>
              <w:rPr>
                <w:rFonts w:ascii="Arial" w:hAnsi="Arial" w:cs="Arial"/>
                <w:sz w:val="12"/>
                <w:szCs w:val="12"/>
              </w:rPr>
            </w:pPr>
          </w:p>
        </w:tc>
        <w:tc>
          <w:tcPr>
            <w:tcW w:w="2268" w:type="dxa"/>
            <w:shd w:val="clear" w:color="auto" w:fill="F2F2F2"/>
            <w:hideMark/>
          </w:tcPr>
          <w:p w14:paraId="0FE7A2F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464476F" w14:textId="77777777" w:rsidR="002A4DDF" w:rsidRPr="00937C8B" w:rsidRDefault="002A4DDF" w:rsidP="009110ED">
            <w:pPr>
              <w:rPr>
                <w:rFonts w:ascii="Arial" w:hAnsi="Arial" w:cs="Arial"/>
                <w:sz w:val="12"/>
                <w:szCs w:val="12"/>
              </w:rPr>
            </w:pPr>
            <w:r>
              <w:rPr>
                <w:rFonts w:ascii="Arial" w:hAnsi="Arial"/>
                <w:sz w:val="12"/>
                <w:szCs w:val="12"/>
              </w:rPr>
              <w:t>Yecla de Yeltes</w:t>
            </w:r>
          </w:p>
        </w:tc>
      </w:tr>
      <w:tr w:rsidR="002A4DDF" w:rsidRPr="00937C8B" w14:paraId="31349DEF" w14:textId="77777777" w:rsidTr="00935676">
        <w:trPr>
          <w:cantSplit/>
        </w:trPr>
        <w:tc>
          <w:tcPr>
            <w:tcW w:w="1696" w:type="dxa"/>
            <w:tcBorders>
              <w:left w:val="single" w:sz="4" w:space="0" w:color="auto"/>
            </w:tcBorders>
            <w:shd w:val="clear" w:color="auto" w:fill="auto"/>
          </w:tcPr>
          <w:p w14:paraId="06AEA695" w14:textId="77777777" w:rsidR="002A4DDF" w:rsidRPr="00937C8B" w:rsidRDefault="002A4DDF" w:rsidP="009110ED">
            <w:pPr>
              <w:rPr>
                <w:rFonts w:ascii="Arial" w:hAnsi="Arial" w:cs="Arial"/>
                <w:sz w:val="12"/>
                <w:szCs w:val="12"/>
              </w:rPr>
            </w:pPr>
          </w:p>
        </w:tc>
        <w:tc>
          <w:tcPr>
            <w:tcW w:w="1843" w:type="dxa"/>
            <w:shd w:val="clear" w:color="auto" w:fill="auto"/>
          </w:tcPr>
          <w:p w14:paraId="753966C3" w14:textId="77777777" w:rsidR="002A4DDF" w:rsidRPr="00937C8B" w:rsidRDefault="002A4DDF" w:rsidP="009110ED">
            <w:pPr>
              <w:rPr>
                <w:rFonts w:ascii="Arial" w:hAnsi="Arial" w:cs="Arial"/>
                <w:sz w:val="12"/>
                <w:szCs w:val="12"/>
              </w:rPr>
            </w:pPr>
          </w:p>
        </w:tc>
        <w:tc>
          <w:tcPr>
            <w:tcW w:w="2268" w:type="dxa"/>
            <w:shd w:val="clear" w:color="auto" w:fill="F2F2F2"/>
            <w:hideMark/>
          </w:tcPr>
          <w:p w14:paraId="36282F5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EADEB9C" w14:textId="77777777" w:rsidR="002A4DDF" w:rsidRPr="00937C8B" w:rsidRDefault="002A4DDF" w:rsidP="009110ED">
            <w:pPr>
              <w:rPr>
                <w:rFonts w:ascii="Arial" w:hAnsi="Arial" w:cs="Arial"/>
                <w:sz w:val="12"/>
                <w:szCs w:val="12"/>
              </w:rPr>
            </w:pPr>
            <w:r>
              <w:rPr>
                <w:rFonts w:ascii="Arial" w:hAnsi="Arial"/>
                <w:sz w:val="12"/>
                <w:szCs w:val="12"/>
              </w:rPr>
              <w:t>Zamarra</w:t>
            </w:r>
          </w:p>
        </w:tc>
      </w:tr>
      <w:tr w:rsidR="002A4DDF" w:rsidRPr="00937C8B" w14:paraId="5565B2C3" w14:textId="77777777" w:rsidTr="00935676">
        <w:trPr>
          <w:cantSplit/>
        </w:trPr>
        <w:tc>
          <w:tcPr>
            <w:tcW w:w="1696" w:type="dxa"/>
            <w:tcBorders>
              <w:left w:val="single" w:sz="4" w:space="0" w:color="auto"/>
              <w:bottom w:val="single" w:sz="4" w:space="0" w:color="auto"/>
            </w:tcBorders>
            <w:shd w:val="clear" w:color="auto" w:fill="auto"/>
            <w:hideMark/>
          </w:tcPr>
          <w:p w14:paraId="4A9BA0A2"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bottom w:val="single" w:sz="4" w:space="0" w:color="auto"/>
            </w:tcBorders>
            <w:shd w:val="clear" w:color="auto" w:fill="auto"/>
            <w:hideMark/>
          </w:tcPr>
          <w:p w14:paraId="4F6E3347" w14:textId="77777777" w:rsidR="002A4DDF" w:rsidRPr="00937C8B" w:rsidRDefault="002A4DDF" w:rsidP="009110ED">
            <w:pPr>
              <w:rPr>
                <w:rFonts w:ascii="Arial" w:hAnsi="Arial" w:cs="Arial"/>
                <w:sz w:val="12"/>
                <w:szCs w:val="12"/>
              </w:rPr>
            </w:pPr>
            <w:r>
              <w:rPr>
                <w:rFonts w:ascii="Arial" w:hAnsi="Arial"/>
                <w:sz w:val="12"/>
                <w:szCs w:val="12"/>
              </w:rPr>
              <w:t>Salamanque</w:t>
            </w:r>
          </w:p>
        </w:tc>
        <w:tc>
          <w:tcPr>
            <w:tcW w:w="2268" w:type="dxa"/>
            <w:tcBorders>
              <w:bottom w:val="single" w:sz="4" w:space="0" w:color="auto"/>
            </w:tcBorders>
            <w:shd w:val="clear" w:color="auto" w:fill="F2F2F2"/>
            <w:hideMark/>
          </w:tcPr>
          <w:p w14:paraId="51B20F1F"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36FAFA6B" w14:textId="77777777" w:rsidR="002A4DDF" w:rsidRPr="00937C8B" w:rsidRDefault="002A4DDF" w:rsidP="009110ED">
            <w:pPr>
              <w:rPr>
                <w:rFonts w:ascii="Arial" w:hAnsi="Arial" w:cs="Arial"/>
                <w:sz w:val="12"/>
                <w:szCs w:val="12"/>
              </w:rPr>
            </w:pPr>
            <w:r>
              <w:rPr>
                <w:rFonts w:ascii="Arial" w:hAnsi="Arial"/>
                <w:sz w:val="12"/>
                <w:szCs w:val="12"/>
              </w:rPr>
              <w:t>Zamayón</w:t>
            </w:r>
          </w:p>
        </w:tc>
      </w:tr>
      <w:tr w:rsidR="002A4DDF" w:rsidRPr="00937C8B" w14:paraId="4C8B1DEE" w14:textId="77777777" w:rsidTr="00935676">
        <w:trPr>
          <w:cantSplit/>
        </w:trPr>
        <w:tc>
          <w:tcPr>
            <w:tcW w:w="1696" w:type="dxa"/>
            <w:tcBorders>
              <w:top w:val="single" w:sz="4" w:space="0" w:color="auto"/>
              <w:bottom w:val="single" w:sz="4" w:space="0" w:color="auto"/>
            </w:tcBorders>
            <w:shd w:val="clear" w:color="auto" w:fill="auto"/>
            <w:hideMark/>
          </w:tcPr>
          <w:p w14:paraId="3987BF27"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27BD0C9E"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1A99CDE3"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197C31B1" w14:textId="77777777" w:rsidR="002A4DDF" w:rsidRPr="00937C8B" w:rsidRDefault="002A4DDF" w:rsidP="009110ED">
            <w:pPr>
              <w:rPr>
                <w:rFonts w:ascii="Arial" w:hAnsi="Arial" w:cs="Arial"/>
                <w:sz w:val="12"/>
                <w:szCs w:val="12"/>
              </w:rPr>
            </w:pPr>
          </w:p>
        </w:tc>
      </w:tr>
      <w:tr w:rsidR="002A4DDF" w:rsidRPr="00937C8B" w14:paraId="58BC2153" w14:textId="77777777" w:rsidTr="00935676">
        <w:trPr>
          <w:cantSplit/>
        </w:trPr>
        <w:tc>
          <w:tcPr>
            <w:tcW w:w="1696" w:type="dxa"/>
            <w:tcBorders>
              <w:top w:val="single" w:sz="4" w:space="0" w:color="auto"/>
              <w:left w:val="single" w:sz="4" w:space="0" w:color="auto"/>
            </w:tcBorders>
            <w:shd w:val="clear" w:color="auto" w:fill="auto"/>
            <w:hideMark/>
          </w:tcPr>
          <w:p w14:paraId="10080A02"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top w:val="single" w:sz="4" w:space="0" w:color="auto"/>
            </w:tcBorders>
            <w:shd w:val="clear" w:color="auto" w:fill="auto"/>
            <w:hideMark/>
          </w:tcPr>
          <w:p w14:paraId="1F749A56" w14:textId="77777777" w:rsidR="002A4DDF" w:rsidRPr="00937C8B" w:rsidRDefault="002A4DDF" w:rsidP="009110ED">
            <w:pPr>
              <w:rPr>
                <w:rFonts w:ascii="Arial" w:hAnsi="Arial" w:cs="Arial"/>
                <w:sz w:val="12"/>
                <w:szCs w:val="12"/>
              </w:rPr>
            </w:pPr>
            <w:r>
              <w:rPr>
                <w:rFonts w:ascii="Arial" w:hAnsi="Arial"/>
                <w:sz w:val="12"/>
                <w:szCs w:val="12"/>
              </w:rPr>
              <w:t>Ségovie</w:t>
            </w:r>
          </w:p>
        </w:tc>
        <w:tc>
          <w:tcPr>
            <w:tcW w:w="2268" w:type="dxa"/>
            <w:tcBorders>
              <w:top w:val="single" w:sz="4" w:space="0" w:color="auto"/>
            </w:tcBorders>
            <w:shd w:val="clear" w:color="auto" w:fill="F2F2F2"/>
            <w:hideMark/>
          </w:tcPr>
          <w:p w14:paraId="5751A424" w14:textId="77777777" w:rsidR="002A4DDF" w:rsidRPr="00937C8B" w:rsidRDefault="002A4DDF" w:rsidP="009110ED">
            <w:pPr>
              <w:rPr>
                <w:rFonts w:ascii="Arial" w:hAnsi="Arial" w:cs="Arial"/>
                <w:sz w:val="12"/>
                <w:szCs w:val="12"/>
              </w:rPr>
            </w:pPr>
            <w:r>
              <w:rPr>
                <w:rFonts w:ascii="Arial" w:hAnsi="Arial"/>
                <w:sz w:val="12"/>
                <w:szCs w:val="12"/>
              </w:rPr>
              <w:t>Abades</w:t>
            </w:r>
          </w:p>
        </w:tc>
        <w:tc>
          <w:tcPr>
            <w:tcW w:w="2268" w:type="dxa"/>
            <w:tcBorders>
              <w:top w:val="single" w:sz="4" w:space="0" w:color="auto"/>
              <w:right w:val="single" w:sz="4" w:space="0" w:color="auto"/>
            </w:tcBorders>
            <w:shd w:val="clear" w:color="auto" w:fill="D9D9D9"/>
            <w:hideMark/>
          </w:tcPr>
          <w:p w14:paraId="7212DD2E" w14:textId="77777777" w:rsidR="002A4DDF" w:rsidRPr="00937C8B" w:rsidRDefault="002A4DDF" w:rsidP="009110ED">
            <w:pPr>
              <w:rPr>
                <w:rFonts w:ascii="Arial" w:hAnsi="Arial" w:cs="Arial"/>
                <w:sz w:val="12"/>
                <w:szCs w:val="12"/>
              </w:rPr>
            </w:pPr>
            <w:r>
              <w:rPr>
                <w:rFonts w:ascii="Arial" w:hAnsi="Arial"/>
                <w:sz w:val="12"/>
                <w:szCs w:val="12"/>
              </w:rPr>
              <w:t>Adrada de Pirón</w:t>
            </w:r>
          </w:p>
        </w:tc>
      </w:tr>
      <w:tr w:rsidR="002A4DDF" w:rsidRPr="00937C8B" w14:paraId="57DB3DB9" w14:textId="77777777" w:rsidTr="00935676">
        <w:trPr>
          <w:cantSplit/>
        </w:trPr>
        <w:tc>
          <w:tcPr>
            <w:tcW w:w="1696" w:type="dxa"/>
            <w:tcBorders>
              <w:left w:val="single" w:sz="4" w:space="0" w:color="auto"/>
            </w:tcBorders>
            <w:shd w:val="clear" w:color="auto" w:fill="auto"/>
          </w:tcPr>
          <w:p w14:paraId="4457517B" w14:textId="77777777" w:rsidR="002A4DDF" w:rsidRPr="00937C8B" w:rsidRDefault="002A4DDF" w:rsidP="009110ED">
            <w:pPr>
              <w:rPr>
                <w:rFonts w:ascii="Arial" w:hAnsi="Arial" w:cs="Arial"/>
                <w:sz w:val="12"/>
                <w:szCs w:val="12"/>
              </w:rPr>
            </w:pPr>
          </w:p>
        </w:tc>
        <w:tc>
          <w:tcPr>
            <w:tcW w:w="1843" w:type="dxa"/>
            <w:shd w:val="clear" w:color="auto" w:fill="auto"/>
          </w:tcPr>
          <w:p w14:paraId="64DDBDD6" w14:textId="77777777" w:rsidR="002A4DDF" w:rsidRPr="00937C8B" w:rsidRDefault="002A4DDF" w:rsidP="009110ED">
            <w:pPr>
              <w:rPr>
                <w:rFonts w:ascii="Arial" w:hAnsi="Arial" w:cs="Arial"/>
                <w:sz w:val="12"/>
                <w:szCs w:val="12"/>
              </w:rPr>
            </w:pPr>
          </w:p>
        </w:tc>
        <w:tc>
          <w:tcPr>
            <w:tcW w:w="2268" w:type="dxa"/>
            <w:shd w:val="clear" w:color="auto" w:fill="F2F2F2"/>
            <w:hideMark/>
          </w:tcPr>
          <w:p w14:paraId="29C8B8FF" w14:textId="77777777" w:rsidR="002A4DDF" w:rsidRPr="00937C8B" w:rsidRDefault="002A4DDF" w:rsidP="009110ED">
            <w:pPr>
              <w:rPr>
                <w:rFonts w:ascii="Arial" w:hAnsi="Arial" w:cs="Arial"/>
                <w:sz w:val="12"/>
                <w:szCs w:val="12"/>
              </w:rPr>
            </w:pPr>
            <w:r>
              <w:rPr>
                <w:rFonts w:ascii="Arial" w:hAnsi="Arial"/>
                <w:sz w:val="12"/>
                <w:szCs w:val="12"/>
              </w:rPr>
              <w:t>Aguilafuente</w:t>
            </w:r>
          </w:p>
        </w:tc>
        <w:tc>
          <w:tcPr>
            <w:tcW w:w="2268" w:type="dxa"/>
            <w:tcBorders>
              <w:right w:val="single" w:sz="4" w:space="0" w:color="auto"/>
            </w:tcBorders>
            <w:shd w:val="clear" w:color="auto" w:fill="D9D9D9"/>
            <w:hideMark/>
          </w:tcPr>
          <w:p w14:paraId="146DEAF4" w14:textId="77777777" w:rsidR="002A4DDF" w:rsidRPr="00937C8B" w:rsidRDefault="002A4DDF" w:rsidP="009110ED">
            <w:pPr>
              <w:rPr>
                <w:rFonts w:ascii="Arial" w:hAnsi="Arial" w:cs="Arial"/>
                <w:sz w:val="12"/>
                <w:szCs w:val="12"/>
              </w:rPr>
            </w:pPr>
            <w:r>
              <w:rPr>
                <w:rFonts w:ascii="Arial" w:hAnsi="Arial"/>
                <w:sz w:val="12"/>
                <w:szCs w:val="12"/>
              </w:rPr>
              <w:t>Aldealengua de Pedraza</w:t>
            </w:r>
          </w:p>
        </w:tc>
      </w:tr>
      <w:tr w:rsidR="002A4DDF" w:rsidRPr="00937C8B" w14:paraId="5480A141" w14:textId="77777777" w:rsidTr="00935676">
        <w:trPr>
          <w:cantSplit/>
        </w:trPr>
        <w:tc>
          <w:tcPr>
            <w:tcW w:w="1696" w:type="dxa"/>
            <w:tcBorders>
              <w:left w:val="single" w:sz="4" w:space="0" w:color="auto"/>
            </w:tcBorders>
            <w:shd w:val="clear" w:color="auto" w:fill="auto"/>
          </w:tcPr>
          <w:p w14:paraId="10DBCD0F" w14:textId="77777777" w:rsidR="002A4DDF" w:rsidRPr="00937C8B" w:rsidRDefault="002A4DDF" w:rsidP="009110ED">
            <w:pPr>
              <w:rPr>
                <w:rFonts w:ascii="Arial" w:hAnsi="Arial" w:cs="Arial"/>
                <w:sz w:val="12"/>
                <w:szCs w:val="12"/>
              </w:rPr>
            </w:pPr>
          </w:p>
        </w:tc>
        <w:tc>
          <w:tcPr>
            <w:tcW w:w="1843" w:type="dxa"/>
            <w:shd w:val="clear" w:color="auto" w:fill="auto"/>
          </w:tcPr>
          <w:p w14:paraId="5B566CAC" w14:textId="77777777" w:rsidR="002A4DDF" w:rsidRPr="00937C8B" w:rsidRDefault="002A4DDF" w:rsidP="009110ED">
            <w:pPr>
              <w:rPr>
                <w:rFonts w:ascii="Arial" w:hAnsi="Arial" w:cs="Arial"/>
                <w:sz w:val="12"/>
                <w:szCs w:val="12"/>
              </w:rPr>
            </w:pPr>
          </w:p>
        </w:tc>
        <w:tc>
          <w:tcPr>
            <w:tcW w:w="2268" w:type="dxa"/>
            <w:shd w:val="clear" w:color="auto" w:fill="F2F2F2"/>
            <w:hideMark/>
          </w:tcPr>
          <w:p w14:paraId="1D93F37B" w14:textId="77777777" w:rsidR="002A4DDF" w:rsidRPr="00937C8B" w:rsidRDefault="002A4DDF" w:rsidP="009110ED">
            <w:pPr>
              <w:rPr>
                <w:rFonts w:ascii="Arial" w:hAnsi="Arial" w:cs="Arial"/>
                <w:sz w:val="12"/>
                <w:szCs w:val="12"/>
              </w:rPr>
            </w:pPr>
            <w:r>
              <w:rPr>
                <w:rFonts w:ascii="Arial" w:hAnsi="Arial"/>
                <w:sz w:val="12"/>
                <w:szCs w:val="12"/>
              </w:rPr>
              <w:t>Aldea Real</w:t>
            </w:r>
          </w:p>
        </w:tc>
        <w:tc>
          <w:tcPr>
            <w:tcW w:w="2268" w:type="dxa"/>
            <w:tcBorders>
              <w:right w:val="single" w:sz="4" w:space="0" w:color="auto"/>
            </w:tcBorders>
            <w:shd w:val="clear" w:color="auto" w:fill="D9D9D9"/>
            <w:hideMark/>
          </w:tcPr>
          <w:p w14:paraId="4FF065DD" w14:textId="77777777" w:rsidR="002A4DDF" w:rsidRPr="00937C8B" w:rsidRDefault="002A4DDF" w:rsidP="009110ED">
            <w:pPr>
              <w:rPr>
                <w:rFonts w:ascii="Arial" w:hAnsi="Arial" w:cs="Arial"/>
                <w:sz w:val="12"/>
                <w:szCs w:val="12"/>
              </w:rPr>
            </w:pPr>
            <w:r>
              <w:rPr>
                <w:rFonts w:ascii="Arial" w:hAnsi="Arial"/>
                <w:sz w:val="12"/>
                <w:szCs w:val="12"/>
              </w:rPr>
              <w:t>Arahuetes</w:t>
            </w:r>
          </w:p>
        </w:tc>
      </w:tr>
      <w:tr w:rsidR="002A4DDF" w:rsidRPr="00937C8B" w14:paraId="767A9673" w14:textId="77777777" w:rsidTr="00935676">
        <w:trPr>
          <w:cantSplit/>
        </w:trPr>
        <w:tc>
          <w:tcPr>
            <w:tcW w:w="1696" w:type="dxa"/>
            <w:tcBorders>
              <w:left w:val="single" w:sz="4" w:space="0" w:color="auto"/>
            </w:tcBorders>
            <w:shd w:val="clear" w:color="auto" w:fill="auto"/>
          </w:tcPr>
          <w:p w14:paraId="65B72FE0" w14:textId="77777777" w:rsidR="002A4DDF" w:rsidRPr="00937C8B" w:rsidRDefault="002A4DDF" w:rsidP="009110ED">
            <w:pPr>
              <w:rPr>
                <w:rFonts w:ascii="Arial" w:hAnsi="Arial" w:cs="Arial"/>
                <w:sz w:val="12"/>
                <w:szCs w:val="12"/>
              </w:rPr>
            </w:pPr>
          </w:p>
        </w:tc>
        <w:tc>
          <w:tcPr>
            <w:tcW w:w="1843" w:type="dxa"/>
            <w:shd w:val="clear" w:color="auto" w:fill="auto"/>
          </w:tcPr>
          <w:p w14:paraId="3FB4887B" w14:textId="77777777" w:rsidR="002A4DDF" w:rsidRPr="00937C8B" w:rsidRDefault="002A4DDF" w:rsidP="009110ED">
            <w:pPr>
              <w:rPr>
                <w:rFonts w:ascii="Arial" w:hAnsi="Arial" w:cs="Arial"/>
                <w:sz w:val="12"/>
                <w:szCs w:val="12"/>
              </w:rPr>
            </w:pPr>
          </w:p>
        </w:tc>
        <w:tc>
          <w:tcPr>
            <w:tcW w:w="2268" w:type="dxa"/>
            <w:shd w:val="clear" w:color="auto" w:fill="F2F2F2"/>
            <w:hideMark/>
          </w:tcPr>
          <w:p w14:paraId="0BE4A3F0" w14:textId="77777777" w:rsidR="002A4DDF" w:rsidRPr="00937C8B" w:rsidRDefault="002A4DDF" w:rsidP="009110ED">
            <w:pPr>
              <w:rPr>
                <w:rFonts w:ascii="Arial" w:hAnsi="Arial" w:cs="Arial"/>
                <w:sz w:val="12"/>
                <w:szCs w:val="12"/>
              </w:rPr>
            </w:pPr>
            <w:r>
              <w:rPr>
                <w:rFonts w:ascii="Arial" w:hAnsi="Arial"/>
                <w:sz w:val="12"/>
                <w:szCs w:val="12"/>
              </w:rPr>
              <w:t>Aldealcorvo</w:t>
            </w:r>
          </w:p>
        </w:tc>
        <w:tc>
          <w:tcPr>
            <w:tcW w:w="2268" w:type="dxa"/>
            <w:tcBorders>
              <w:right w:val="single" w:sz="4" w:space="0" w:color="auto"/>
            </w:tcBorders>
            <w:shd w:val="clear" w:color="auto" w:fill="D9D9D9"/>
            <w:hideMark/>
          </w:tcPr>
          <w:p w14:paraId="5D71EC14" w14:textId="77777777" w:rsidR="002A4DDF" w:rsidRPr="00937C8B" w:rsidRDefault="002A4DDF" w:rsidP="009110ED">
            <w:pPr>
              <w:rPr>
                <w:rFonts w:ascii="Arial" w:hAnsi="Arial" w:cs="Arial"/>
                <w:sz w:val="12"/>
                <w:szCs w:val="12"/>
              </w:rPr>
            </w:pPr>
            <w:r>
              <w:rPr>
                <w:rFonts w:ascii="Arial" w:hAnsi="Arial"/>
                <w:sz w:val="12"/>
                <w:szCs w:val="12"/>
              </w:rPr>
              <w:t>Arcones</w:t>
            </w:r>
          </w:p>
        </w:tc>
      </w:tr>
      <w:tr w:rsidR="002A4DDF" w:rsidRPr="00937C8B" w14:paraId="5CE28751" w14:textId="77777777" w:rsidTr="00935676">
        <w:trPr>
          <w:cantSplit/>
        </w:trPr>
        <w:tc>
          <w:tcPr>
            <w:tcW w:w="1696" w:type="dxa"/>
            <w:tcBorders>
              <w:left w:val="single" w:sz="4" w:space="0" w:color="auto"/>
            </w:tcBorders>
            <w:shd w:val="clear" w:color="auto" w:fill="auto"/>
          </w:tcPr>
          <w:p w14:paraId="57EABC27" w14:textId="77777777" w:rsidR="002A4DDF" w:rsidRPr="00937C8B" w:rsidRDefault="002A4DDF" w:rsidP="009110ED">
            <w:pPr>
              <w:rPr>
                <w:rFonts w:ascii="Arial" w:hAnsi="Arial" w:cs="Arial"/>
                <w:sz w:val="12"/>
                <w:szCs w:val="12"/>
              </w:rPr>
            </w:pPr>
          </w:p>
        </w:tc>
        <w:tc>
          <w:tcPr>
            <w:tcW w:w="1843" w:type="dxa"/>
            <w:shd w:val="clear" w:color="auto" w:fill="auto"/>
          </w:tcPr>
          <w:p w14:paraId="6341001A" w14:textId="77777777" w:rsidR="002A4DDF" w:rsidRPr="00937C8B" w:rsidRDefault="002A4DDF" w:rsidP="009110ED">
            <w:pPr>
              <w:rPr>
                <w:rFonts w:ascii="Arial" w:hAnsi="Arial" w:cs="Arial"/>
                <w:sz w:val="12"/>
                <w:szCs w:val="12"/>
              </w:rPr>
            </w:pPr>
          </w:p>
        </w:tc>
        <w:tc>
          <w:tcPr>
            <w:tcW w:w="2268" w:type="dxa"/>
            <w:shd w:val="clear" w:color="auto" w:fill="F2F2F2"/>
            <w:hideMark/>
          </w:tcPr>
          <w:p w14:paraId="4FADE0C7" w14:textId="77777777" w:rsidR="002A4DDF" w:rsidRPr="00937C8B" w:rsidRDefault="002A4DDF" w:rsidP="009110ED">
            <w:pPr>
              <w:rPr>
                <w:rFonts w:ascii="Arial" w:hAnsi="Arial" w:cs="Arial"/>
                <w:sz w:val="12"/>
                <w:szCs w:val="12"/>
              </w:rPr>
            </w:pPr>
            <w:r>
              <w:rPr>
                <w:rFonts w:ascii="Arial" w:hAnsi="Arial"/>
                <w:sz w:val="12"/>
                <w:szCs w:val="12"/>
              </w:rPr>
              <w:t>Aldeanueva del Codonal</w:t>
            </w:r>
          </w:p>
        </w:tc>
        <w:tc>
          <w:tcPr>
            <w:tcW w:w="2268" w:type="dxa"/>
            <w:tcBorders>
              <w:right w:val="single" w:sz="4" w:space="0" w:color="auto"/>
            </w:tcBorders>
            <w:shd w:val="clear" w:color="auto" w:fill="D9D9D9"/>
            <w:hideMark/>
          </w:tcPr>
          <w:p w14:paraId="5C950B62" w14:textId="77777777" w:rsidR="002A4DDF" w:rsidRPr="00937C8B" w:rsidRDefault="002A4DDF" w:rsidP="009110ED">
            <w:pPr>
              <w:rPr>
                <w:rFonts w:ascii="Arial" w:hAnsi="Arial" w:cs="Arial"/>
                <w:sz w:val="12"/>
                <w:szCs w:val="12"/>
              </w:rPr>
            </w:pPr>
            <w:r>
              <w:rPr>
                <w:rFonts w:ascii="Arial" w:hAnsi="Arial"/>
                <w:sz w:val="12"/>
                <w:szCs w:val="12"/>
              </w:rPr>
              <w:t>Arevalillo de Cega</w:t>
            </w:r>
          </w:p>
        </w:tc>
      </w:tr>
      <w:tr w:rsidR="002A4DDF" w:rsidRPr="00937C8B" w14:paraId="43A429CD" w14:textId="77777777" w:rsidTr="00935676">
        <w:trPr>
          <w:cantSplit/>
        </w:trPr>
        <w:tc>
          <w:tcPr>
            <w:tcW w:w="1696" w:type="dxa"/>
            <w:tcBorders>
              <w:left w:val="single" w:sz="4" w:space="0" w:color="auto"/>
            </w:tcBorders>
            <w:shd w:val="clear" w:color="auto" w:fill="auto"/>
          </w:tcPr>
          <w:p w14:paraId="796E0AA9" w14:textId="77777777" w:rsidR="002A4DDF" w:rsidRPr="00937C8B" w:rsidRDefault="002A4DDF" w:rsidP="009110ED">
            <w:pPr>
              <w:rPr>
                <w:rFonts w:ascii="Arial" w:hAnsi="Arial" w:cs="Arial"/>
                <w:sz w:val="12"/>
                <w:szCs w:val="12"/>
              </w:rPr>
            </w:pPr>
          </w:p>
        </w:tc>
        <w:tc>
          <w:tcPr>
            <w:tcW w:w="1843" w:type="dxa"/>
            <w:shd w:val="clear" w:color="auto" w:fill="auto"/>
          </w:tcPr>
          <w:p w14:paraId="0D9BE63D" w14:textId="77777777" w:rsidR="002A4DDF" w:rsidRPr="00937C8B" w:rsidRDefault="002A4DDF" w:rsidP="009110ED">
            <w:pPr>
              <w:rPr>
                <w:rFonts w:ascii="Arial" w:hAnsi="Arial" w:cs="Arial"/>
                <w:sz w:val="12"/>
                <w:szCs w:val="12"/>
              </w:rPr>
            </w:pPr>
          </w:p>
        </w:tc>
        <w:tc>
          <w:tcPr>
            <w:tcW w:w="2268" w:type="dxa"/>
            <w:shd w:val="clear" w:color="auto" w:fill="F2F2F2"/>
            <w:hideMark/>
          </w:tcPr>
          <w:p w14:paraId="30DC7AEB" w14:textId="77777777" w:rsidR="002A4DDF" w:rsidRPr="00937C8B" w:rsidRDefault="002A4DDF" w:rsidP="009110ED">
            <w:pPr>
              <w:rPr>
                <w:rFonts w:ascii="Arial" w:hAnsi="Arial" w:cs="Arial"/>
                <w:sz w:val="12"/>
                <w:szCs w:val="12"/>
              </w:rPr>
            </w:pPr>
            <w:r>
              <w:rPr>
                <w:rFonts w:ascii="Arial" w:hAnsi="Arial"/>
                <w:sz w:val="12"/>
                <w:szCs w:val="12"/>
              </w:rPr>
              <w:t>Aldeasoña</w:t>
            </w:r>
          </w:p>
        </w:tc>
        <w:tc>
          <w:tcPr>
            <w:tcW w:w="2268" w:type="dxa"/>
            <w:tcBorders>
              <w:right w:val="single" w:sz="4" w:space="0" w:color="auto"/>
            </w:tcBorders>
            <w:shd w:val="clear" w:color="auto" w:fill="D9D9D9"/>
            <w:hideMark/>
          </w:tcPr>
          <w:p w14:paraId="15644B29" w14:textId="77777777" w:rsidR="002A4DDF" w:rsidRPr="00937C8B" w:rsidRDefault="002A4DDF" w:rsidP="009110ED">
            <w:pPr>
              <w:rPr>
                <w:rFonts w:ascii="Arial" w:hAnsi="Arial" w:cs="Arial"/>
                <w:sz w:val="12"/>
                <w:szCs w:val="12"/>
              </w:rPr>
            </w:pPr>
            <w:r>
              <w:rPr>
                <w:rFonts w:ascii="Arial" w:hAnsi="Arial"/>
                <w:sz w:val="12"/>
                <w:szCs w:val="12"/>
              </w:rPr>
              <w:t>Armuña</w:t>
            </w:r>
          </w:p>
        </w:tc>
      </w:tr>
      <w:tr w:rsidR="002A4DDF" w:rsidRPr="00937C8B" w14:paraId="1145A6F1" w14:textId="77777777" w:rsidTr="00935676">
        <w:trPr>
          <w:cantSplit/>
        </w:trPr>
        <w:tc>
          <w:tcPr>
            <w:tcW w:w="1696" w:type="dxa"/>
            <w:tcBorders>
              <w:left w:val="single" w:sz="4" w:space="0" w:color="auto"/>
            </w:tcBorders>
            <w:shd w:val="clear" w:color="auto" w:fill="auto"/>
          </w:tcPr>
          <w:p w14:paraId="0BE4895F" w14:textId="77777777" w:rsidR="002A4DDF" w:rsidRPr="00937C8B" w:rsidRDefault="002A4DDF" w:rsidP="009110ED">
            <w:pPr>
              <w:rPr>
                <w:rFonts w:ascii="Arial" w:hAnsi="Arial" w:cs="Arial"/>
                <w:sz w:val="12"/>
                <w:szCs w:val="12"/>
              </w:rPr>
            </w:pPr>
          </w:p>
        </w:tc>
        <w:tc>
          <w:tcPr>
            <w:tcW w:w="1843" w:type="dxa"/>
            <w:shd w:val="clear" w:color="auto" w:fill="auto"/>
          </w:tcPr>
          <w:p w14:paraId="5976CA91" w14:textId="77777777" w:rsidR="002A4DDF" w:rsidRPr="00937C8B" w:rsidRDefault="002A4DDF" w:rsidP="009110ED">
            <w:pPr>
              <w:rPr>
                <w:rFonts w:ascii="Arial" w:hAnsi="Arial" w:cs="Arial"/>
                <w:sz w:val="12"/>
                <w:szCs w:val="12"/>
              </w:rPr>
            </w:pPr>
          </w:p>
        </w:tc>
        <w:tc>
          <w:tcPr>
            <w:tcW w:w="2268" w:type="dxa"/>
            <w:shd w:val="clear" w:color="auto" w:fill="F2F2F2"/>
            <w:hideMark/>
          </w:tcPr>
          <w:p w14:paraId="3D45FA56" w14:textId="77777777" w:rsidR="002A4DDF" w:rsidRPr="00937C8B" w:rsidRDefault="002A4DDF" w:rsidP="009110ED">
            <w:pPr>
              <w:rPr>
                <w:rFonts w:ascii="Arial" w:hAnsi="Arial" w:cs="Arial"/>
                <w:sz w:val="12"/>
                <w:szCs w:val="12"/>
              </w:rPr>
            </w:pPr>
            <w:r>
              <w:rPr>
                <w:rFonts w:ascii="Arial" w:hAnsi="Arial"/>
                <w:sz w:val="12"/>
                <w:szCs w:val="12"/>
              </w:rPr>
              <w:t>Aldehuela del Codonal</w:t>
            </w:r>
          </w:p>
        </w:tc>
        <w:tc>
          <w:tcPr>
            <w:tcW w:w="2268" w:type="dxa"/>
            <w:tcBorders>
              <w:right w:val="single" w:sz="4" w:space="0" w:color="auto"/>
            </w:tcBorders>
            <w:shd w:val="clear" w:color="auto" w:fill="D9D9D9"/>
            <w:hideMark/>
          </w:tcPr>
          <w:p w14:paraId="40A19108" w14:textId="77777777" w:rsidR="002A4DDF" w:rsidRPr="00937C8B" w:rsidRDefault="002A4DDF" w:rsidP="009110ED">
            <w:pPr>
              <w:rPr>
                <w:rFonts w:ascii="Arial" w:hAnsi="Arial" w:cs="Arial"/>
                <w:sz w:val="12"/>
                <w:szCs w:val="12"/>
              </w:rPr>
            </w:pPr>
            <w:r>
              <w:rPr>
                <w:rFonts w:ascii="Arial" w:hAnsi="Arial"/>
                <w:sz w:val="12"/>
                <w:szCs w:val="12"/>
              </w:rPr>
              <w:t>Basardilla</w:t>
            </w:r>
          </w:p>
        </w:tc>
      </w:tr>
      <w:tr w:rsidR="002A4DDF" w:rsidRPr="00937C8B" w14:paraId="51DF9550" w14:textId="77777777" w:rsidTr="00935676">
        <w:trPr>
          <w:cantSplit/>
        </w:trPr>
        <w:tc>
          <w:tcPr>
            <w:tcW w:w="1696" w:type="dxa"/>
            <w:tcBorders>
              <w:left w:val="single" w:sz="4" w:space="0" w:color="auto"/>
            </w:tcBorders>
            <w:shd w:val="clear" w:color="auto" w:fill="auto"/>
          </w:tcPr>
          <w:p w14:paraId="38222685" w14:textId="77777777" w:rsidR="002A4DDF" w:rsidRPr="00937C8B" w:rsidRDefault="002A4DDF" w:rsidP="009110ED">
            <w:pPr>
              <w:rPr>
                <w:rFonts w:ascii="Arial" w:hAnsi="Arial" w:cs="Arial"/>
                <w:sz w:val="12"/>
                <w:szCs w:val="12"/>
              </w:rPr>
            </w:pPr>
          </w:p>
        </w:tc>
        <w:tc>
          <w:tcPr>
            <w:tcW w:w="1843" w:type="dxa"/>
            <w:shd w:val="clear" w:color="auto" w:fill="auto"/>
          </w:tcPr>
          <w:p w14:paraId="112C9449" w14:textId="77777777" w:rsidR="002A4DDF" w:rsidRPr="00937C8B" w:rsidRDefault="002A4DDF" w:rsidP="009110ED">
            <w:pPr>
              <w:rPr>
                <w:rFonts w:ascii="Arial" w:hAnsi="Arial" w:cs="Arial"/>
                <w:sz w:val="12"/>
                <w:szCs w:val="12"/>
              </w:rPr>
            </w:pPr>
          </w:p>
        </w:tc>
        <w:tc>
          <w:tcPr>
            <w:tcW w:w="2268" w:type="dxa"/>
            <w:shd w:val="clear" w:color="auto" w:fill="F2F2F2"/>
            <w:hideMark/>
          </w:tcPr>
          <w:p w14:paraId="7641716F" w14:textId="77777777" w:rsidR="002A4DDF" w:rsidRPr="00937C8B" w:rsidRDefault="002A4DDF" w:rsidP="009110ED">
            <w:pPr>
              <w:rPr>
                <w:rFonts w:ascii="Arial" w:hAnsi="Arial" w:cs="Arial"/>
                <w:sz w:val="12"/>
                <w:szCs w:val="12"/>
              </w:rPr>
            </w:pPr>
            <w:r>
              <w:rPr>
                <w:rFonts w:ascii="Arial" w:hAnsi="Arial"/>
                <w:sz w:val="12"/>
                <w:szCs w:val="12"/>
              </w:rPr>
              <w:t>Aldeonte</w:t>
            </w:r>
          </w:p>
        </w:tc>
        <w:tc>
          <w:tcPr>
            <w:tcW w:w="2268" w:type="dxa"/>
            <w:tcBorders>
              <w:right w:val="single" w:sz="4" w:space="0" w:color="auto"/>
            </w:tcBorders>
            <w:shd w:val="clear" w:color="auto" w:fill="D9D9D9"/>
            <w:hideMark/>
          </w:tcPr>
          <w:p w14:paraId="47A9A303" w14:textId="77777777" w:rsidR="002A4DDF" w:rsidRPr="00937C8B" w:rsidRDefault="002A4DDF" w:rsidP="009110ED">
            <w:pPr>
              <w:rPr>
                <w:rFonts w:ascii="Arial" w:hAnsi="Arial" w:cs="Arial"/>
                <w:sz w:val="12"/>
                <w:szCs w:val="12"/>
              </w:rPr>
            </w:pPr>
            <w:r>
              <w:rPr>
                <w:rFonts w:ascii="Arial" w:hAnsi="Arial"/>
                <w:sz w:val="12"/>
                <w:szCs w:val="12"/>
              </w:rPr>
              <w:t>Bernuy de Porreros</w:t>
            </w:r>
          </w:p>
        </w:tc>
      </w:tr>
      <w:tr w:rsidR="002A4DDF" w:rsidRPr="00937C8B" w14:paraId="049C82B7" w14:textId="77777777" w:rsidTr="00935676">
        <w:trPr>
          <w:cantSplit/>
        </w:trPr>
        <w:tc>
          <w:tcPr>
            <w:tcW w:w="1696" w:type="dxa"/>
            <w:tcBorders>
              <w:left w:val="single" w:sz="4" w:space="0" w:color="auto"/>
            </w:tcBorders>
            <w:shd w:val="clear" w:color="auto" w:fill="auto"/>
          </w:tcPr>
          <w:p w14:paraId="096FF522" w14:textId="77777777" w:rsidR="002A4DDF" w:rsidRPr="00937C8B" w:rsidRDefault="002A4DDF" w:rsidP="009110ED">
            <w:pPr>
              <w:rPr>
                <w:rFonts w:ascii="Arial" w:hAnsi="Arial" w:cs="Arial"/>
                <w:sz w:val="12"/>
                <w:szCs w:val="12"/>
              </w:rPr>
            </w:pPr>
          </w:p>
        </w:tc>
        <w:tc>
          <w:tcPr>
            <w:tcW w:w="1843" w:type="dxa"/>
            <w:shd w:val="clear" w:color="auto" w:fill="auto"/>
          </w:tcPr>
          <w:p w14:paraId="271BCF60" w14:textId="77777777" w:rsidR="002A4DDF" w:rsidRPr="00937C8B" w:rsidRDefault="002A4DDF" w:rsidP="009110ED">
            <w:pPr>
              <w:rPr>
                <w:rFonts w:ascii="Arial" w:hAnsi="Arial" w:cs="Arial"/>
                <w:sz w:val="12"/>
                <w:szCs w:val="12"/>
              </w:rPr>
            </w:pPr>
          </w:p>
        </w:tc>
        <w:tc>
          <w:tcPr>
            <w:tcW w:w="2268" w:type="dxa"/>
            <w:shd w:val="clear" w:color="auto" w:fill="F2F2F2"/>
            <w:hideMark/>
          </w:tcPr>
          <w:p w14:paraId="70EF6E4A" w14:textId="77777777" w:rsidR="002A4DDF" w:rsidRPr="00937C8B" w:rsidRDefault="002A4DDF" w:rsidP="009110ED">
            <w:pPr>
              <w:rPr>
                <w:rFonts w:ascii="Arial" w:hAnsi="Arial" w:cs="Arial"/>
                <w:sz w:val="12"/>
                <w:szCs w:val="12"/>
              </w:rPr>
            </w:pPr>
            <w:r>
              <w:rPr>
                <w:rFonts w:ascii="Arial" w:hAnsi="Arial"/>
                <w:sz w:val="12"/>
                <w:szCs w:val="12"/>
              </w:rPr>
              <w:t>Anaya</w:t>
            </w:r>
          </w:p>
        </w:tc>
        <w:tc>
          <w:tcPr>
            <w:tcW w:w="2268" w:type="dxa"/>
            <w:tcBorders>
              <w:right w:val="single" w:sz="4" w:space="0" w:color="auto"/>
            </w:tcBorders>
            <w:shd w:val="clear" w:color="auto" w:fill="D9D9D9"/>
            <w:hideMark/>
          </w:tcPr>
          <w:p w14:paraId="2C66F39C" w14:textId="77777777" w:rsidR="002A4DDF" w:rsidRPr="00937C8B" w:rsidRDefault="002A4DDF" w:rsidP="009110ED">
            <w:pPr>
              <w:rPr>
                <w:rFonts w:ascii="Arial" w:hAnsi="Arial" w:cs="Arial"/>
                <w:sz w:val="12"/>
                <w:szCs w:val="12"/>
              </w:rPr>
            </w:pPr>
            <w:r>
              <w:rPr>
                <w:rFonts w:ascii="Arial" w:hAnsi="Arial"/>
                <w:sz w:val="12"/>
                <w:szCs w:val="12"/>
              </w:rPr>
              <w:t>Brieva</w:t>
            </w:r>
          </w:p>
        </w:tc>
      </w:tr>
      <w:tr w:rsidR="002A4DDF" w:rsidRPr="00937C8B" w14:paraId="653CB614" w14:textId="77777777" w:rsidTr="00935676">
        <w:trPr>
          <w:cantSplit/>
        </w:trPr>
        <w:tc>
          <w:tcPr>
            <w:tcW w:w="1696" w:type="dxa"/>
            <w:tcBorders>
              <w:left w:val="single" w:sz="4" w:space="0" w:color="auto"/>
            </w:tcBorders>
            <w:shd w:val="clear" w:color="auto" w:fill="auto"/>
          </w:tcPr>
          <w:p w14:paraId="034F4E32" w14:textId="77777777" w:rsidR="002A4DDF" w:rsidRPr="00937C8B" w:rsidRDefault="002A4DDF" w:rsidP="009110ED">
            <w:pPr>
              <w:rPr>
                <w:rFonts w:ascii="Arial" w:hAnsi="Arial" w:cs="Arial"/>
                <w:sz w:val="12"/>
                <w:szCs w:val="12"/>
              </w:rPr>
            </w:pPr>
          </w:p>
        </w:tc>
        <w:tc>
          <w:tcPr>
            <w:tcW w:w="1843" w:type="dxa"/>
            <w:shd w:val="clear" w:color="auto" w:fill="auto"/>
          </w:tcPr>
          <w:p w14:paraId="147791FC" w14:textId="77777777" w:rsidR="002A4DDF" w:rsidRPr="00937C8B" w:rsidRDefault="002A4DDF" w:rsidP="009110ED">
            <w:pPr>
              <w:rPr>
                <w:rFonts w:ascii="Arial" w:hAnsi="Arial" w:cs="Arial"/>
                <w:sz w:val="12"/>
                <w:szCs w:val="12"/>
              </w:rPr>
            </w:pPr>
          </w:p>
        </w:tc>
        <w:tc>
          <w:tcPr>
            <w:tcW w:w="2268" w:type="dxa"/>
            <w:shd w:val="clear" w:color="auto" w:fill="F2F2F2"/>
            <w:hideMark/>
          </w:tcPr>
          <w:p w14:paraId="4A281E68" w14:textId="77777777" w:rsidR="002A4DDF" w:rsidRPr="00937C8B" w:rsidRDefault="002A4DDF" w:rsidP="009110ED">
            <w:pPr>
              <w:rPr>
                <w:rFonts w:ascii="Arial" w:hAnsi="Arial" w:cs="Arial"/>
                <w:sz w:val="12"/>
                <w:szCs w:val="12"/>
              </w:rPr>
            </w:pPr>
            <w:r>
              <w:rPr>
                <w:rFonts w:ascii="Arial" w:hAnsi="Arial"/>
                <w:sz w:val="12"/>
                <w:szCs w:val="12"/>
              </w:rPr>
              <w:t>Añe</w:t>
            </w:r>
          </w:p>
        </w:tc>
        <w:tc>
          <w:tcPr>
            <w:tcW w:w="2268" w:type="dxa"/>
            <w:tcBorders>
              <w:right w:val="single" w:sz="4" w:space="0" w:color="auto"/>
            </w:tcBorders>
            <w:shd w:val="clear" w:color="auto" w:fill="D9D9D9"/>
            <w:hideMark/>
          </w:tcPr>
          <w:p w14:paraId="00234C8F" w14:textId="77777777" w:rsidR="002A4DDF" w:rsidRPr="00937C8B" w:rsidRDefault="002A4DDF" w:rsidP="009110ED">
            <w:pPr>
              <w:rPr>
                <w:rFonts w:ascii="Arial" w:hAnsi="Arial" w:cs="Arial"/>
                <w:sz w:val="12"/>
                <w:szCs w:val="12"/>
              </w:rPr>
            </w:pPr>
            <w:r>
              <w:rPr>
                <w:rFonts w:ascii="Arial" w:hAnsi="Arial"/>
                <w:sz w:val="12"/>
                <w:szCs w:val="12"/>
              </w:rPr>
              <w:t>Cabañas de Polendos</w:t>
            </w:r>
          </w:p>
        </w:tc>
      </w:tr>
      <w:tr w:rsidR="002A4DDF" w:rsidRPr="00937C8B" w14:paraId="60DFE903" w14:textId="77777777" w:rsidTr="00935676">
        <w:trPr>
          <w:cantSplit/>
        </w:trPr>
        <w:tc>
          <w:tcPr>
            <w:tcW w:w="1696" w:type="dxa"/>
            <w:tcBorders>
              <w:left w:val="single" w:sz="4" w:space="0" w:color="auto"/>
            </w:tcBorders>
            <w:shd w:val="clear" w:color="auto" w:fill="auto"/>
          </w:tcPr>
          <w:p w14:paraId="65221CF1" w14:textId="77777777" w:rsidR="002A4DDF" w:rsidRPr="00937C8B" w:rsidRDefault="002A4DDF" w:rsidP="009110ED">
            <w:pPr>
              <w:rPr>
                <w:rFonts w:ascii="Arial" w:hAnsi="Arial" w:cs="Arial"/>
                <w:sz w:val="12"/>
                <w:szCs w:val="12"/>
              </w:rPr>
            </w:pPr>
          </w:p>
        </w:tc>
        <w:tc>
          <w:tcPr>
            <w:tcW w:w="1843" w:type="dxa"/>
            <w:shd w:val="clear" w:color="auto" w:fill="auto"/>
          </w:tcPr>
          <w:p w14:paraId="68BD458E" w14:textId="77777777" w:rsidR="002A4DDF" w:rsidRPr="00937C8B" w:rsidRDefault="002A4DDF" w:rsidP="009110ED">
            <w:pPr>
              <w:rPr>
                <w:rFonts w:ascii="Arial" w:hAnsi="Arial" w:cs="Arial"/>
                <w:sz w:val="12"/>
                <w:szCs w:val="12"/>
              </w:rPr>
            </w:pPr>
          </w:p>
        </w:tc>
        <w:tc>
          <w:tcPr>
            <w:tcW w:w="2268" w:type="dxa"/>
            <w:shd w:val="clear" w:color="auto" w:fill="F2F2F2"/>
            <w:hideMark/>
          </w:tcPr>
          <w:p w14:paraId="40224A07" w14:textId="77777777" w:rsidR="002A4DDF" w:rsidRPr="00937C8B" w:rsidRDefault="002A4DDF" w:rsidP="009110ED">
            <w:pPr>
              <w:rPr>
                <w:rFonts w:ascii="Arial" w:hAnsi="Arial" w:cs="Arial"/>
                <w:sz w:val="12"/>
                <w:szCs w:val="12"/>
              </w:rPr>
            </w:pPr>
            <w:r>
              <w:rPr>
                <w:rFonts w:ascii="Arial" w:hAnsi="Arial"/>
                <w:sz w:val="12"/>
                <w:szCs w:val="12"/>
              </w:rPr>
              <w:t>Ayllón</w:t>
            </w:r>
          </w:p>
        </w:tc>
        <w:tc>
          <w:tcPr>
            <w:tcW w:w="2268" w:type="dxa"/>
            <w:tcBorders>
              <w:right w:val="single" w:sz="4" w:space="0" w:color="auto"/>
            </w:tcBorders>
            <w:shd w:val="clear" w:color="auto" w:fill="D9D9D9"/>
            <w:hideMark/>
          </w:tcPr>
          <w:p w14:paraId="7E7EC887" w14:textId="77777777" w:rsidR="002A4DDF" w:rsidRPr="00937C8B" w:rsidRDefault="002A4DDF" w:rsidP="009110ED">
            <w:pPr>
              <w:rPr>
                <w:rFonts w:ascii="Arial" w:hAnsi="Arial" w:cs="Arial"/>
                <w:sz w:val="12"/>
                <w:szCs w:val="12"/>
              </w:rPr>
            </w:pPr>
            <w:r>
              <w:rPr>
                <w:rFonts w:ascii="Arial" w:hAnsi="Arial"/>
                <w:sz w:val="12"/>
                <w:szCs w:val="12"/>
              </w:rPr>
              <w:t>Cerezo de Abajo</w:t>
            </w:r>
          </w:p>
        </w:tc>
      </w:tr>
      <w:tr w:rsidR="002A4DDF" w:rsidRPr="00937C8B" w14:paraId="3217BA20" w14:textId="77777777" w:rsidTr="00935676">
        <w:trPr>
          <w:cantSplit/>
        </w:trPr>
        <w:tc>
          <w:tcPr>
            <w:tcW w:w="1696" w:type="dxa"/>
            <w:tcBorders>
              <w:left w:val="single" w:sz="4" w:space="0" w:color="auto"/>
            </w:tcBorders>
            <w:shd w:val="clear" w:color="auto" w:fill="auto"/>
          </w:tcPr>
          <w:p w14:paraId="08FB0F9B" w14:textId="77777777" w:rsidR="002A4DDF" w:rsidRPr="00937C8B" w:rsidRDefault="002A4DDF" w:rsidP="009110ED">
            <w:pPr>
              <w:rPr>
                <w:rFonts w:ascii="Arial" w:hAnsi="Arial" w:cs="Arial"/>
                <w:sz w:val="12"/>
                <w:szCs w:val="12"/>
              </w:rPr>
            </w:pPr>
          </w:p>
        </w:tc>
        <w:tc>
          <w:tcPr>
            <w:tcW w:w="1843" w:type="dxa"/>
            <w:shd w:val="clear" w:color="auto" w:fill="auto"/>
          </w:tcPr>
          <w:p w14:paraId="229255EC" w14:textId="77777777" w:rsidR="002A4DDF" w:rsidRPr="00937C8B" w:rsidRDefault="002A4DDF" w:rsidP="009110ED">
            <w:pPr>
              <w:rPr>
                <w:rFonts w:ascii="Arial" w:hAnsi="Arial" w:cs="Arial"/>
                <w:sz w:val="12"/>
                <w:szCs w:val="12"/>
              </w:rPr>
            </w:pPr>
          </w:p>
        </w:tc>
        <w:tc>
          <w:tcPr>
            <w:tcW w:w="2268" w:type="dxa"/>
            <w:shd w:val="clear" w:color="auto" w:fill="F2F2F2"/>
            <w:hideMark/>
          </w:tcPr>
          <w:p w14:paraId="62F70371" w14:textId="77777777" w:rsidR="002A4DDF" w:rsidRPr="00937C8B" w:rsidRDefault="002A4DDF" w:rsidP="009110ED">
            <w:pPr>
              <w:rPr>
                <w:rFonts w:ascii="Arial" w:hAnsi="Arial" w:cs="Arial"/>
                <w:sz w:val="12"/>
                <w:szCs w:val="12"/>
              </w:rPr>
            </w:pPr>
            <w:r>
              <w:rPr>
                <w:rFonts w:ascii="Arial" w:hAnsi="Arial"/>
                <w:sz w:val="12"/>
                <w:szCs w:val="12"/>
              </w:rPr>
              <w:t>Barbolla</w:t>
            </w:r>
          </w:p>
        </w:tc>
        <w:tc>
          <w:tcPr>
            <w:tcW w:w="2268" w:type="dxa"/>
            <w:tcBorders>
              <w:right w:val="single" w:sz="4" w:space="0" w:color="auto"/>
            </w:tcBorders>
            <w:shd w:val="clear" w:color="auto" w:fill="D9D9D9"/>
            <w:hideMark/>
          </w:tcPr>
          <w:p w14:paraId="394BF58B" w14:textId="77777777" w:rsidR="002A4DDF" w:rsidRPr="00937C8B" w:rsidRDefault="002A4DDF" w:rsidP="009110ED">
            <w:pPr>
              <w:rPr>
                <w:rFonts w:ascii="Arial" w:hAnsi="Arial" w:cs="Arial"/>
                <w:sz w:val="12"/>
                <w:szCs w:val="12"/>
              </w:rPr>
            </w:pPr>
            <w:r>
              <w:rPr>
                <w:rFonts w:ascii="Arial" w:hAnsi="Arial"/>
                <w:sz w:val="12"/>
                <w:szCs w:val="12"/>
              </w:rPr>
              <w:t>Cerezo de Arriba</w:t>
            </w:r>
          </w:p>
        </w:tc>
      </w:tr>
      <w:tr w:rsidR="002A4DDF" w:rsidRPr="00937C8B" w14:paraId="5E061226" w14:textId="77777777" w:rsidTr="00935676">
        <w:trPr>
          <w:cantSplit/>
        </w:trPr>
        <w:tc>
          <w:tcPr>
            <w:tcW w:w="1696" w:type="dxa"/>
            <w:tcBorders>
              <w:left w:val="single" w:sz="4" w:space="0" w:color="auto"/>
            </w:tcBorders>
            <w:shd w:val="clear" w:color="auto" w:fill="auto"/>
          </w:tcPr>
          <w:p w14:paraId="534C354A" w14:textId="77777777" w:rsidR="002A4DDF" w:rsidRPr="00937C8B" w:rsidRDefault="002A4DDF" w:rsidP="009110ED">
            <w:pPr>
              <w:rPr>
                <w:rFonts w:ascii="Arial" w:hAnsi="Arial" w:cs="Arial"/>
                <w:sz w:val="12"/>
                <w:szCs w:val="12"/>
              </w:rPr>
            </w:pPr>
          </w:p>
        </w:tc>
        <w:tc>
          <w:tcPr>
            <w:tcW w:w="1843" w:type="dxa"/>
            <w:shd w:val="clear" w:color="auto" w:fill="auto"/>
          </w:tcPr>
          <w:p w14:paraId="2DA545A7" w14:textId="77777777" w:rsidR="002A4DDF" w:rsidRPr="00937C8B" w:rsidRDefault="002A4DDF" w:rsidP="009110ED">
            <w:pPr>
              <w:rPr>
                <w:rFonts w:ascii="Arial" w:hAnsi="Arial" w:cs="Arial"/>
                <w:sz w:val="12"/>
                <w:szCs w:val="12"/>
              </w:rPr>
            </w:pPr>
          </w:p>
        </w:tc>
        <w:tc>
          <w:tcPr>
            <w:tcW w:w="2268" w:type="dxa"/>
            <w:shd w:val="clear" w:color="auto" w:fill="F2F2F2"/>
            <w:hideMark/>
          </w:tcPr>
          <w:p w14:paraId="386DF57B" w14:textId="77777777" w:rsidR="002A4DDF" w:rsidRPr="00937C8B" w:rsidRDefault="002A4DDF" w:rsidP="009110ED">
            <w:pPr>
              <w:rPr>
                <w:rFonts w:ascii="Arial" w:hAnsi="Arial" w:cs="Arial"/>
                <w:sz w:val="12"/>
                <w:szCs w:val="12"/>
              </w:rPr>
            </w:pPr>
            <w:r>
              <w:rPr>
                <w:rFonts w:ascii="Arial" w:hAnsi="Arial"/>
                <w:sz w:val="12"/>
                <w:szCs w:val="12"/>
              </w:rPr>
              <w:t>Bercial</w:t>
            </w:r>
          </w:p>
        </w:tc>
        <w:tc>
          <w:tcPr>
            <w:tcW w:w="2268" w:type="dxa"/>
            <w:tcBorders>
              <w:right w:val="single" w:sz="4" w:space="0" w:color="auto"/>
            </w:tcBorders>
            <w:shd w:val="clear" w:color="auto" w:fill="D9D9D9"/>
            <w:hideMark/>
          </w:tcPr>
          <w:p w14:paraId="6D6F330B" w14:textId="77777777" w:rsidR="002A4DDF" w:rsidRPr="00937C8B" w:rsidRDefault="002A4DDF" w:rsidP="009110ED">
            <w:pPr>
              <w:rPr>
                <w:rFonts w:ascii="Arial" w:hAnsi="Arial" w:cs="Arial"/>
                <w:sz w:val="12"/>
                <w:szCs w:val="12"/>
              </w:rPr>
            </w:pPr>
            <w:r>
              <w:rPr>
                <w:rFonts w:ascii="Arial" w:hAnsi="Arial"/>
                <w:sz w:val="12"/>
                <w:szCs w:val="12"/>
              </w:rPr>
              <w:t>Collado Hermoso</w:t>
            </w:r>
          </w:p>
        </w:tc>
      </w:tr>
      <w:tr w:rsidR="002A4DDF" w:rsidRPr="00937C8B" w14:paraId="12FF769B" w14:textId="77777777" w:rsidTr="00935676">
        <w:trPr>
          <w:cantSplit/>
        </w:trPr>
        <w:tc>
          <w:tcPr>
            <w:tcW w:w="1696" w:type="dxa"/>
            <w:tcBorders>
              <w:left w:val="single" w:sz="4" w:space="0" w:color="auto"/>
            </w:tcBorders>
            <w:shd w:val="clear" w:color="auto" w:fill="auto"/>
          </w:tcPr>
          <w:p w14:paraId="29F31E0A" w14:textId="77777777" w:rsidR="002A4DDF" w:rsidRPr="00937C8B" w:rsidRDefault="002A4DDF" w:rsidP="009110ED">
            <w:pPr>
              <w:rPr>
                <w:rFonts w:ascii="Arial" w:hAnsi="Arial" w:cs="Arial"/>
                <w:sz w:val="12"/>
                <w:szCs w:val="12"/>
              </w:rPr>
            </w:pPr>
          </w:p>
        </w:tc>
        <w:tc>
          <w:tcPr>
            <w:tcW w:w="1843" w:type="dxa"/>
            <w:shd w:val="clear" w:color="auto" w:fill="auto"/>
          </w:tcPr>
          <w:p w14:paraId="6ED41E20" w14:textId="77777777" w:rsidR="002A4DDF" w:rsidRPr="00937C8B" w:rsidRDefault="002A4DDF" w:rsidP="009110ED">
            <w:pPr>
              <w:rPr>
                <w:rFonts w:ascii="Arial" w:hAnsi="Arial" w:cs="Arial"/>
                <w:sz w:val="12"/>
                <w:szCs w:val="12"/>
              </w:rPr>
            </w:pPr>
          </w:p>
        </w:tc>
        <w:tc>
          <w:tcPr>
            <w:tcW w:w="2268" w:type="dxa"/>
            <w:shd w:val="clear" w:color="auto" w:fill="F2F2F2"/>
            <w:hideMark/>
          </w:tcPr>
          <w:p w14:paraId="5A94B02D" w14:textId="77777777" w:rsidR="002A4DDF" w:rsidRPr="00937C8B" w:rsidRDefault="002A4DDF" w:rsidP="009110ED">
            <w:pPr>
              <w:rPr>
                <w:rFonts w:ascii="Arial" w:hAnsi="Arial" w:cs="Arial"/>
                <w:sz w:val="12"/>
                <w:szCs w:val="12"/>
              </w:rPr>
            </w:pPr>
            <w:r>
              <w:rPr>
                <w:rFonts w:ascii="Arial" w:hAnsi="Arial"/>
                <w:sz w:val="12"/>
                <w:szCs w:val="12"/>
              </w:rPr>
              <w:t>Bercimuel</w:t>
            </w:r>
          </w:p>
        </w:tc>
        <w:tc>
          <w:tcPr>
            <w:tcW w:w="2268" w:type="dxa"/>
            <w:tcBorders>
              <w:right w:val="single" w:sz="4" w:space="0" w:color="auto"/>
            </w:tcBorders>
            <w:shd w:val="clear" w:color="auto" w:fill="D9D9D9"/>
            <w:hideMark/>
          </w:tcPr>
          <w:p w14:paraId="1537A69C" w14:textId="77777777" w:rsidR="002A4DDF" w:rsidRPr="00937C8B" w:rsidRDefault="002A4DDF" w:rsidP="009110ED">
            <w:pPr>
              <w:rPr>
                <w:rFonts w:ascii="Arial" w:hAnsi="Arial" w:cs="Arial"/>
                <w:sz w:val="12"/>
                <w:szCs w:val="12"/>
              </w:rPr>
            </w:pPr>
            <w:r>
              <w:rPr>
                <w:rFonts w:ascii="Arial" w:hAnsi="Arial"/>
                <w:sz w:val="12"/>
                <w:szCs w:val="12"/>
              </w:rPr>
              <w:t>Cubillo</w:t>
            </w:r>
          </w:p>
        </w:tc>
      </w:tr>
      <w:tr w:rsidR="002A4DDF" w:rsidRPr="00937C8B" w14:paraId="6D4BE792" w14:textId="77777777" w:rsidTr="00935676">
        <w:trPr>
          <w:cantSplit/>
        </w:trPr>
        <w:tc>
          <w:tcPr>
            <w:tcW w:w="1696" w:type="dxa"/>
            <w:tcBorders>
              <w:left w:val="single" w:sz="4" w:space="0" w:color="auto"/>
            </w:tcBorders>
            <w:shd w:val="clear" w:color="auto" w:fill="auto"/>
          </w:tcPr>
          <w:p w14:paraId="6D75DA2B" w14:textId="77777777" w:rsidR="002A4DDF" w:rsidRPr="00937C8B" w:rsidRDefault="002A4DDF" w:rsidP="009110ED">
            <w:pPr>
              <w:rPr>
                <w:rFonts w:ascii="Arial" w:hAnsi="Arial" w:cs="Arial"/>
                <w:sz w:val="12"/>
                <w:szCs w:val="12"/>
              </w:rPr>
            </w:pPr>
          </w:p>
        </w:tc>
        <w:tc>
          <w:tcPr>
            <w:tcW w:w="1843" w:type="dxa"/>
            <w:shd w:val="clear" w:color="auto" w:fill="auto"/>
          </w:tcPr>
          <w:p w14:paraId="5D3F96DC" w14:textId="77777777" w:rsidR="002A4DDF" w:rsidRPr="00937C8B" w:rsidRDefault="002A4DDF" w:rsidP="009110ED">
            <w:pPr>
              <w:rPr>
                <w:rFonts w:ascii="Arial" w:hAnsi="Arial" w:cs="Arial"/>
                <w:sz w:val="12"/>
                <w:szCs w:val="12"/>
              </w:rPr>
            </w:pPr>
          </w:p>
        </w:tc>
        <w:tc>
          <w:tcPr>
            <w:tcW w:w="2268" w:type="dxa"/>
            <w:shd w:val="clear" w:color="auto" w:fill="F2F2F2"/>
            <w:hideMark/>
          </w:tcPr>
          <w:p w14:paraId="6B8B5DD8" w14:textId="77777777" w:rsidR="002A4DDF" w:rsidRPr="00937C8B" w:rsidRDefault="002A4DDF" w:rsidP="009110ED">
            <w:pPr>
              <w:rPr>
                <w:rFonts w:ascii="Arial" w:hAnsi="Arial" w:cs="Arial"/>
                <w:sz w:val="12"/>
                <w:szCs w:val="12"/>
              </w:rPr>
            </w:pPr>
            <w:r>
              <w:rPr>
                <w:rFonts w:ascii="Arial" w:hAnsi="Arial"/>
                <w:sz w:val="12"/>
                <w:szCs w:val="12"/>
              </w:rPr>
              <w:t>Bernardos</w:t>
            </w:r>
          </w:p>
        </w:tc>
        <w:tc>
          <w:tcPr>
            <w:tcW w:w="2268" w:type="dxa"/>
            <w:tcBorders>
              <w:right w:val="single" w:sz="4" w:space="0" w:color="auto"/>
            </w:tcBorders>
            <w:shd w:val="clear" w:color="auto" w:fill="D9D9D9"/>
            <w:hideMark/>
          </w:tcPr>
          <w:p w14:paraId="5C9C2532" w14:textId="77777777" w:rsidR="002A4DDF" w:rsidRPr="00937C8B" w:rsidRDefault="002A4DDF" w:rsidP="009110ED">
            <w:pPr>
              <w:rPr>
                <w:rFonts w:ascii="Arial" w:hAnsi="Arial" w:cs="Arial"/>
                <w:sz w:val="12"/>
                <w:szCs w:val="12"/>
              </w:rPr>
            </w:pPr>
            <w:r>
              <w:rPr>
                <w:rFonts w:ascii="Arial" w:hAnsi="Arial"/>
                <w:sz w:val="12"/>
                <w:szCs w:val="12"/>
              </w:rPr>
              <w:t>El Espinar</w:t>
            </w:r>
          </w:p>
        </w:tc>
      </w:tr>
      <w:tr w:rsidR="002A4DDF" w:rsidRPr="00937C8B" w14:paraId="7D630929" w14:textId="77777777" w:rsidTr="00935676">
        <w:trPr>
          <w:cantSplit/>
        </w:trPr>
        <w:tc>
          <w:tcPr>
            <w:tcW w:w="1696" w:type="dxa"/>
            <w:tcBorders>
              <w:left w:val="single" w:sz="4" w:space="0" w:color="auto"/>
            </w:tcBorders>
            <w:shd w:val="clear" w:color="auto" w:fill="auto"/>
          </w:tcPr>
          <w:p w14:paraId="13FFC846" w14:textId="77777777" w:rsidR="002A4DDF" w:rsidRPr="00937C8B" w:rsidRDefault="002A4DDF" w:rsidP="009110ED">
            <w:pPr>
              <w:rPr>
                <w:rFonts w:ascii="Arial" w:hAnsi="Arial" w:cs="Arial"/>
                <w:sz w:val="12"/>
                <w:szCs w:val="12"/>
              </w:rPr>
            </w:pPr>
          </w:p>
        </w:tc>
        <w:tc>
          <w:tcPr>
            <w:tcW w:w="1843" w:type="dxa"/>
            <w:shd w:val="clear" w:color="auto" w:fill="auto"/>
          </w:tcPr>
          <w:p w14:paraId="56B2DF33" w14:textId="77777777" w:rsidR="002A4DDF" w:rsidRPr="00937C8B" w:rsidRDefault="002A4DDF" w:rsidP="009110ED">
            <w:pPr>
              <w:rPr>
                <w:rFonts w:ascii="Arial" w:hAnsi="Arial" w:cs="Arial"/>
                <w:sz w:val="12"/>
                <w:szCs w:val="12"/>
              </w:rPr>
            </w:pPr>
          </w:p>
        </w:tc>
        <w:tc>
          <w:tcPr>
            <w:tcW w:w="2268" w:type="dxa"/>
            <w:shd w:val="clear" w:color="auto" w:fill="F2F2F2"/>
            <w:hideMark/>
          </w:tcPr>
          <w:p w14:paraId="27298317" w14:textId="77777777" w:rsidR="002A4DDF" w:rsidRPr="00937C8B" w:rsidRDefault="002A4DDF" w:rsidP="009110ED">
            <w:pPr>
              <w:rPr>
                <w:rFonts w:ascii="Arial" w:hAnsi="Arial" w:cs="Arial"/>
                <w:sz w:val="12"/>
                <w:szCs w:val="12"/>
              </w:rPr>
            </w:pPr>
            <w:r>
              <w:rPr>
                <w:rFonts w:ascii="Arial" w:hAnsi="Arial"/>
                <w:sz w:val="12"/>
                <w:szCs w:val="12"/>
              </w:rPr>
              <w:t>Boceguillas</w:t>
            </w:r>
          </w:p>
        </w:tc>
        <w:tc>
          <w:tcPr>
            <w:tcW w:w="2268" w:type="dxa"/>
            <w:tcBorders>
              <w:right w:val="single" w:sz="4" w:space="0" w:color="auto"/>
            </w:tcBorders>
            <w:shd w:val="clear" w:color="auto" w:fill="D9D9D9"/>
            <w:hideMark/>
          </w:tcPr>
          <w:p w14:paraId="7E96E1D8" w14:textId="77777777" w:rsidR="002A4DDF" w:rsidRPr="00937C8B" w:rsidRDefault="002A4DDF" w:rsidP="009110ED">
            <w:pPr>
              <w:rPr>
                <w:rFonts w:ascii="Arial" w:hAnsi="Arial" w:cs="Arial"/>
                <w:sz w:val="12"/>
                <w:szCs w:val="12"/>
              </w:rPr>
            </w:pPr>
            <w:r>
              <w:rPr>
                <w:rFonts w:ascii="Arial" w:hAnsi="Arial"/>
                <w:sz w:val="12"/>
                <w:szCs w:val="12"/>
              </w:rPr>
              <w:t>Espirdo</w:t>
            </w:r>
          </w:p>
        </w:tc>
      </w:tr>
      <w:tr w:rsidR="002A4DDF" w:rsidRPr="00937C8B" w14:paraId="5DF8A58D" w14:textId="77777777" w:rsidTr="00935676">
        <w:trPr>
          <w:cantSplit/>
        </w:trPr>
        <w:tc>
          <w:tcPr>
            <w:tcW w:w="1696" w:type="dxa"/>
            <w:tcBorders>
              <w:left w:val="single" w:sz="4" w:space="0" w:color="auto"/>
            </w:tcBorders>
            <w:shd w:val="clear" w:color="auto" w:fill="auto"/>
          </w:tcPr>
          <w:p w14:paraId="5B636719" w14:textId="77777777" w:rsidR="002A4DDF" w:rsidRPr="00937C8B" w:rsidRDefault="002A4DDF" w:rsidP="009110ED">
            <w:pPr>
              <w:rPr>
                <w:rFonts w:ascii="Arial" w:hAnsi="Arial" w:cs="Arial"/>
                <w:sz w:val="12"/>
                <w:szCs w:val="12"/>
              </w:rPr>
            </w:pPr>
          </w:p>
        </w:tc>
        <w:tc>
          <w:tcPr>
            <w:tcW w:w="1843" w:type="dxa"/>
            <w:shd w:val="clear" w:color="auto" w:fill="auto"/>
          </w:tcPr>
          <w:p w14:paraId="0F771801" w14:textId="77777777" w:rsidR="002A4DDF" w:rsidRPr="00937C8B" w:rsidRDefault="002A4DDF" w:rsidP="009110ED">
            <w:pPr>
              <w:rPr>
                <w:rFonts w:ascii="Arial" w:hAnsi="Arial" w:cs="Arial"/>
                <w:sz w:val="12"/>
                <w:szCs w:val="12"/>
              </w:rPr>
            </w:pPr>
          </w:p>
        </w:tc>
        <w:tc>
          <w:tcPr>
            <w:tcW w:w="2268" w:type="dxa"/>
            <w:shd w:val="clear" w:color="auto" w:fill="F2F2F2"/>
            <w:hideMark/>
          </w:tcPr>
          <w:p w14:paraId="66E0A3BF" w14:textId="77777777" w:rsidR="002A4DDF" w:rsidRPr="00937C8B" w:rsidRDefault="002A4DDF" w:rsidP="009110ED">
            <w:pPr>
              <w:rPr>
                <w:rFonts w:ascii="Arial" w:hAnsi="Arial" w:cs="Arial"/>
                <w:sz w:val="12"/>
                <w:szCs w:val="12"/>
              </w:rPr>
            </w:pPr>
            <w:r>
              <w:rPr>
                <w:rFonts w:ascii="Arial" w:hAnsi="Arial"/>
                <w:sz w:val="12"/>
                <w:szCs w:val="12"/>
              </w:rPr>
              <w:t>Caballar</w:t>
            </w:r>
          </w:p>
        </w:tc>
        <w:tc>
          <w:tcPr>
            <w:tcW w:w="2268" w:type="dxa"/>
            <w:tcBorders>
              <w:right w:val="single" w:sz="4" w:space="0" w:color="auto"/>
            </w:tcBorders>
            <w:shd w:val="clear" w:color="auto" w:fill="D9D9D9"/>
            <w:hideMark/>
          </w:tcPr>
          <w:p w14:paraId="52F6B7DE" w14:textId="77777777" w:rsidR="002A4DDF" w:rsidRPr="00937C8B" w:rsidRDefault="002A4DDF" w:rsidP="009110ED">
            <w:pPr>
              <w:rPr>
                <w:rFonts w:ascii="Arial" w:hAnsi="Arial" w:cs="Arial"/>
                <w:sz w:val="12"/>
                <w:szCs w:val="12"/>
              </w:rPr>
            </w:pPr>
            <w:r>
              <w:rPr>
                <w:rFonts w:ascii="Arial" w:hAnsi="Arial"/>
                <w:sz w:val="12"/>
                <w:szCs w:val="12"/>
              </w:rPr>
              <w:t>Gallegos</w:t>
            </w:r>
          </w:p>
        </w:tc>
      </w:tr>
      <w:tr w:rsidR="002A4DDF" w:rsidRPr="00937C8B" w14:paraId="0582CD8A" w14:textId="77777777" w:rsidTr="00935676">
        <w:trPr>
          <w:cantSplit/>
        </w:trPr>
        <w:tc>
          <w:tcPr>
            <w:tcW w:w="1696" w:type="dxa"/>
            <w:tcBorders>
              <w:left w:val="single" w:sz="4" w:space="0" w:color="auto"/>
            </w:tcBorders>
            <w:shd w:val="clear" w:color="auto" w:fill="auto"/>
          </w:tcPr>
          <w:p w14:paraId="26F3ED43" w14:textId="77777777" w:rsidR="002A4DDF" w:rsidRPr="00937C8B" w:rsidRDefault="002A4DDF" w:rsidP="009110ED">
            <w:pPr>
              <w:rPr>
                <w:rFonts w:ascii="Arial" w:hAnsi="Arial" w:cs="Arial"/>
                <w:sz w:val="12"/>
                <w:szCs w:val="12"/>
              </w:rPr>
            </w:pPr>
          </w:p>
        </w:tc>
        <w:tc>
          <w:tcPr>
            <w:tcW w:w="1843" w:type="dxa"/>
            <w:shd w:val="clear" w:color="auto" w:fill="auto"/>
          </w:tcPr>
          <w:p w14:paraId="76E1F169" w14:textId="77777777" w:rsidR="002A4DDF" w:rsidRPr="00937C8B" w:rsidRDefault="002A4DDF" w:rsidP="009110ED">
            <w:pPr>
              <w:rPr>
                <w:rFonts w:ascii="Arial" w:hAnsi="Arial" w:cs="Arial"/>
                <w:sz w:val="12"/>
                <w:szCs w:val="12"/>
              </w:rPr>
            </w:pPr>
          </w:p>
        </w:tc>
        <w:tc>
          <w:tcPr>
            <w:tcW w:w="2268" w:type="dxa"/>
            <w:shd w:val="clear" w:color="auto" w:fill="F2F2F2"/>
            <w:hideMark/>
          </w:tcPr>
          <w:p w14:paraId="54F753B0" w14:textId="77777777" w:rsidR="002A4DDF" w:rsidRPr="00937C8B" w:rsidRDefault="002A4DDF" w:rsidP="009110ED">
            <w:pPr>
              <w:rPr>
                <w:rFonts w:ascii="Arial" w:hAnsi="Arial" w:cs="Arial"/>
                <w:sz w:val="12"/>
                <w:szCs w:val="12"/>
              </w:rPr>
            </w:pPr>
            <w:r>
              <w:rPr>
                <w:rFonts w:ascii="Arial" w:hAnsi="Arial"/>
                <w:sz w:val="12"/>
                <w:szCs w:val="12"/>
              </w:rPr>
              <w:t>Cabezuela</w:t>
            </w:r>
          </w:p>
        </w:tc>
        <w:tc>
          <w:tcPr>
            <w:tcW w:w="2268" w:type="dxa"/>
            <w:tcBorders>
              <w:right w:val="single" w:sz="4" w:space="0" w:color="auto"/>
            </w:tcBorders>
            <w:shd w:val="clear" w:color="auto" w:fill="D9D9D9"/>
            <w:hideMark/>
          </w:tcPr>
          <w:p w14:paraId="2F525B3C" w14:textId="77777777" w:rsidR="002A4DDF" w:rsidRPr="00937C8B" w:rsidRDefault="002A4DDF" w:rsidP="009110ED">
            <w:pPr>
              <w:rPr>
                <w:rFonts w:ascii="Arial" w:hAnsi="Arial" w:cs="Arial"/>
                <w:sz w:val="12"/>
                <w:szCs w:val="12"/>
              </w:rPr>
            </w:pPr>
            <w:r>
              <w:rPr>
                <w:rFonts w:ascii="Arial" w:hAnsi="Arial"/>
                <w:sz w:val="12"/>
                <w:szCs w:val="12"/>
              </w:rPr>
              <w:t>Ituero y Lama</w:t>
            </w:r>
          </w:p>
        </w:tc>
      </w:tr>
      <w:tr w:rsidR="002A4DDF" w:rsidRPr="00937C8B" w14:paraId="00E3A041" w14:textId="77777777" w:rsidTr="00935676">
        <w:trPr>
          <w:cantSplit/>
        </w:trPr>
        <w:tc>
          <w:tcPr>
            <w:tcW w:w="1696" w:type="dxa"/>
            <w:tcBorders>
              <w:left w:val="single" w:sz="4" w:space="0" w:color="auto"/>
            </w:tcBorders>
            <w:shd w:val="clear" w:color="auto" w:fill="auto"/>
          </w:tcPr>
          <w:p w14:paraId="0613D837" w14:textId="77777777" w:rsidR="002A4DDF" w:rsidRPr="00937C8B" w:rsidRDefault="002A4DDF" w:rsidP="009110ED">
            <w:pPr>
              <w:rPr>
                <w:rFonts w:ascii="Arial" w:hAnsi="Arial" w:cs="Arial"/>
                <w:sz w:val="12"/>
                <w:szCs w:val="12"/>
              </w:rPr>
            </w:pPr>
          </w:p>
        </w:tc>
        <w:tc>
          <w:tcPr>
            <w:tcW w:w="1843" w:type="dxa"/>
            <w:shd w:val="clear" w:color="auto" w:fill="auto"/>
          </w:tcPr>
          <w:p w14:paraId="425A687B" w14:textId="77777777" w:rsidR="002A4DDF" w:rsidRPr="00937C8B" w:rsidRDefault="002A4DDF" w:rsidP="009110ED">
            <w:pPr>
              <w:rPr>
                <w:rFonts w:ascii="Arial" w:hAnsi="Arial" w:cs="Arial"/>
                <w:sz w:val="12"/>
                <w:szCs w:val="12"/>
              </w:rPr>
            </w:pPr>
          </w:p>
        </w:tc>
        <w:tc>
          <w:tcPr>
            <w:tcW w:w="2268" w:type="dxa"/>
            <w:shd w:val="clear" w:color="auto" w:fill="F2F2F2"/>
            <w:hideMark/>
          </w:tcPr>
          <w:p w14:paraId="216720DC" w14:textId="77777777" w:rsidR="002A4DDF" w:rsidRPr="00937C8B" w:rsidRDefault="002A4DDF" w:rsidP="009110ED">
            <w:pPr>
              <w:rPr>
                <w:rFonts w:ascii="Arial" w:hAnsi="Arial" w:cs="Arial"/>
                <w:sz w:val="12"/>
                <w:szCs w:val="12"/>
              </w:rPr>
            </w:pPr>
            <w:r>
              <w:rPr>
                <w:rFonts w:ascii="Arial" w:hAnsi="Arial"/>
                <w:sz w:val="12"/>
                <w:szCs w:val="12"/>
              </w:rPr>
              <w:t>Calabazas de Fuentidueña</w:t>
            </w:r>
          </w:p>
        </w:tc>
        <w:tc>
          <w:tcPr>
            <w:tcW w:w="2268" w:type="dxa"/>
            <w:tcBorders>
              <w:right w:val="single" w:sz="4" w:space="0" w:color="auto"/>
            </w:tcBorders>
            <w:shd w:val="clear" w:color="auto" w:fill="D9D9D9"/>
            <w:hideMark/>
          </w:tcPr>
          <w:p w14:paraId="0C645A29" w14:textId="77777777" w:rsidR="002A4DDF" w:rsidRPr="00937C8B" w:rsidRDefault="002A4DDF" w:rsidP="009110ED">
            <w:pPr>
              <w:rPr>
                <w:rFonts w:ascii="Arial" w:hAnsi="Arial" w:cs="Arial"/>
                <w:sz w:val="12"/>
                <w:szCs w:val="12"/>
              </w:rPr>
            </w:pPr>
            <w:r>
              <w:rPr>
                <w:rFonts w:ascii="Arial" w:hAnsi="Arial"/>
                <w:sz w:val="12"/>
                <w:szCs w:val="12"/>
              </w:rPr>
              <w:t>La Lastrilla</w:t>
            </w:r>
          </w:p>
        </w:tc>
      </w:tr>
      <w:tr w:rsidR="002A4DDF" w:rsidRPr="00937C8B" w14:paraId="71EC6CE7" w14:textId="77777777" w:rsidTr="00935676">
        <w:trPr>
          <w:cantSplit/>
        </w:trPr>
        <w:tc>
          <w:tcPr>
            <w:tcW w:w="1696" w:type="dxa"/>
            <w:tcBorders>
              <w:left w:val="single" w:sz="4" w:space="0" w:color="auto"/>
            </w:tcBorders>
            <w:shd w:val="clear" w:color="auto" w:fill="auto"/>
          </w:tcPr>
          <w:p w14:paraId="37878A6C" w14:textId="77777777" w:rsidR="002A4DDF" w:rsidRPr="00937C8B" w:rsidRDefault="002A4DDF" w:rsidP="009110ED">
            <w:pPr>
              <w:rPr>
                <w:rFonts w:ascii="Arial" w:hAnsi="Arial" w:cs="Arial"/>
                <w:sz w:val="12"/>
                <w:szCs w:val="12"/>
              </w:rPr>
            </w:pPr>
          </w:p>
        </w:tc>
        <w:tc>
          <w:tcPr>
            <w:tcW w:w="1843" w:type="dxa"/>
            <w:shd w:val="clear" w:color="auto" w:fill="auto"/>
          </w:tcPr>
          <w:p w14:paraId="65D61C89" w14:textId="77777777" w:rsidR="002A4DDF" w:rsidRPr="00937C8B" w:rsidRDefault="002A4DDF" w:rsidP="009110ED">
            <w:pPr>
              <w:rPr>
                <w:rFonts w:ascii="Arial" w:hAnsi="Arial" w:cs="Arial"/>
                <w:sz w:val="12"/>
                <w:szCs w:val="12"/>
              </w:rPr>
            </w:pPr>
          </w:p>
        </w:tc>
        <w:tc>
          <w:tcPr>
            <w:tcW w:w="2268" w:type="dxa"/>
            <w:shd w:val="clear" w:color="auto" w:fill="F2F2F2"/>
            <w:hideMark/>
          </w:tcPr>
          <w:p w14:paraId="6211AE20" w14:textId="77777777" w:rsidR="002A4DDF" w:rsidRPr="00937C8B" w:rsidRDefault="002A4DDF" w:rsidP="009110ED">
            <w:pPr>
              <w:rPr>
                <w:rFonts w:ascii="Arial" w:hAnsi="Arial" w:cs="Arial"/>
                <w:sz w:val="12"/>
                <w:szCs w:val="12"/>
              </w:rPr>
            </w:pPr>
            <w:r>
              <w:rPr>
                <w:rFonts w:ascii="Arial" w:hAnsi="Arial"/>
                <w:sz w:val="12"/>
                <w:szCs w:val="12"/>
              </w:rPr>
              <w:t>Campo de San Pedro</w:t>
            </w:r>
          </w:p>
        </w:tc>
        <w:tc>
          <w:tcPr>
            <w:tcW w:w="2268" w:type="dxa"/>
            <w:tcBorders>
              <w:right w:val="single" w:sz="4" w:space="0" w:color="auto"/>
            </w:tcBorders>
            <w:shd w:val="clear" w:color="auto" w:fill="D9D9D9"/>
            <w:hideMark/>
          </w:tcPr>
          <w:p w14:paraId="5B51F337" w14:textId="77777777" w:rsidR="002A4DDF" w:rsidRPr="00937C8B" w:rsidRDefault="002A4DDF" w:rsidP="009110ED">
            <w:pPr>
              <w:rPr>
                <w:rFonts w:ascii="Arial" w:hAnsi="Arial" w:cs="Arial"/>
                <w:sz w:val="12"/>
                <w:szCs w:val="12"/>
              </w:rPr>
            </w:pPr>
            <w:r>
              <w:rPr>
                <w:rFonts w:ascii="Arial" w:hAnsi="Arial"/>
                <w:sz w:val="12"/>
                <w:szCs w:val="12"/>
              </w:rPr>
              <w:t>La Losa</w:t>
            </w:r>
          </w:p>
        </w:tc>
      </w:tr>
      <w:tr w:rsidR="002A4DDF" w:rsidRPr="00937C8B" w14:paraId="613FB83C" w14:textId="77777777" w:rsidTr="00935676">
        <w:trPr>
          <w:cantSplit/>
        </w:trPr>
        <w:tc>
          <w:tcPr>
            <w:tcW w:w="1696" w:type="dxa"/>
            <w:tcBorders>
              <w:left w:val="single" w:sz="4" w:space="0" w:color="auto"/>
            </w:tcBorders>
            <w:shd w:val="clear" w:color="auto" w:fill="auto"/>
          </w:tcPr>
          <w:p w14:paraId="161AD7A7" w14:textId="77777777" w:rsidR="002A4DDF" w:rsidRPr="00937C8B" w:rsidRDefault="002A4DDF" w:rsidP="009110ED">
            <w:pPr>
              <w:rPr>
                <w:rFonts w:ascii="Arial" w:hAnsi="Arial" w:cs="Arial"/>
                <w:sz w:val="12"/>
                <w:szCs w:val="12"/>
              </w:rPr>
            </w:pPr>
          </w:p>
        </w:tc>
        <w:tc>
          <w:tcPr>
            <w:tcW w:w="1843" w:type="dxa"/>
            <w:shd w:val="clear" w:color="auto" w:fill="auto"/>
          </w:tcPr>
          <w:p w14:paraId="1ECFCD5B" w14:textId="77777777" w:rsidR="002A4DDF" w:rsidRPr="00937C8B" w:rsidRDefault="002A4DDF" w:rsidP="009110ED">
            <w:pPr>
              <w:rPr>
                <w:rFonts w:ascii="Arial" w:hAnsi="Arial" w:cs="Arial"/>
                <w:sz w:val="12"/>
                <w:szCs w:val="12"/>
              </w:rPr>
            </w:pPr>
          </w:p>
        </w:tc>
        <w:tc>
          <w:tcPr>
            <w:tcW w:w="2268" w:type="dxa"/>
            <w:shd w:val="clear" w:color="auto" w:fill="F2F2F2"/>
            <w:hideMark/>
          </w:tcPr>
          <w:p w14:paraId="2505CB91" w14:textId="77777777" w:rsidR="002A4DDF" w:rsidRPr="00937C8B" w:rsidRDefault="002A4DDF" w:rsidP="009110ED">
            <w:pPr>
              <w:rPr>
                <w:rFonts w:ascii="Arial" w:hAnsi="Arial" w:cs="Arial"/>
                <w:sz w:val="12"/>
                <w:szCs w:val="12"/>
              </w:rPr>
            </w:pPr>
            <w:r>
              <w:rPr>
                <w:rFonts w:ascii="Arial" w:hAnsi="Arial"/>
                <w:sz w:val="12"/>
                <w:szCs w:val="12"/>
              </w:rPr>
              <w:t>Cantalejo</w:t>
            </w:r>
          </w:p>
        </w:tc>
        <w:tc>
          <w:tcPr>
            <w:tcW w:w="2268" w:type="dxa"/>
            <w:tcBorders>
              <w:right w:val="single" w:sz="4" w:space="0" w:color="auto"/>
            </w:tcBorders>
            <w:shd w:val="clear" w:color="auto" w:fill="D9D9D9"/>
            <w:hideMark/>
          </w:tcPr>
          <w:p w14:paraId="6A5F334B" w14:textId="77777777" w:rsidR="002A4DDF" w:rsidRPr="00937C8B" w:rsidRDefault="002A4DDF" w:rsidP="009110ED">
            <w:pPr>
              <w:rPr>
                <w:rFonts w:ascii="Arial" w:hAnsi="Arial" w:cs="Arial"/>
                <w:sz w:val="12"/>
                <w:szCs w:val="12"/>
              </w:rPr>
            </w:pPr>
            <w:r>
              <w:rPr>
                <w:rFonts w:ascii="Arial" w:hAnsi="Arial"/>
                <w:sz w:val="12"/>
                <w:szCs w:val="12"/>
              </w:rPr>
              <w:t>Matabuena</w:t>
            </w:r>
          </w:p>
        </w:tc>
      </w:tr>
      <w:tr w:rsidR="002A4DDF" w:rsidRPr="00937C8B" w14:paraId="59B6ADB8" w14:textId="77777777" w:rsidTr="00935676">
        <w:trPr>
          <w:cantSplit/>
        </w:trPr>
        <w:tc>
          <w:tcPr>
            <w:tcW w:w="1696" w:type="dxa"/>
            <w:tcBorders>
              <w:left w:val="single" w:sz="4" w:space="0" w:color="auto"/>
            </w:tcBorders>
            <w:shd w:val="clear" w:color="auto" w:fill="auto"/>
          </w:tcPr>
          <w:p w14:paraId="648BB687" w14:textId="77777777" w:rsidR="002A4DDF" w:rsidRPr="00937C8B" w:rsidRDefault="002A4DDF" w:rsidP="009110ED">
            <w:pPr>
              <w:rPr>
                <w:rFonts w:ascii="Arial" w:hAnsi="Arial" w:cs="Arial"/>
                <w:sz w:val="12"/>
                <w:szCs w:val="12"/>
              </w:rPr>
            </w:pPr>
          </w:p>
        </w:tc>
        <w:tc>
          <w:tcPr>
            <w:tcW w:w="1843" w:type="dxa"/>
            <w:shd w:val="clear" w:color="auto" w:fill="auto"/>
          </w:tcPr>
          <w:p w14:paraId="5EE645FD" w14:textId="77777777" w:rsidR="002A4DDF" w:rsidRPr="00937C8B" w:rsidRDefault="002A4DDF" w:rsidP="009110ED">
            <w:pPr>
              <w:rPr>
                <w:rFonts w:ascii="Arial" w:hAnsi="Arial" w:cs="Arial"/>
                <w:sz w:val="12"/>
                <w:szCs w:val="12"/>
              </w:rPr>
            </w:pPr>
          </w:p>
        </w:tc>
        <w:tc>
          <w:tcPr>
            <w:tcW w:w="2268" w:type="dxa"/>
            <w:shd w:val="clear" w:color="auto" w:fill="F2F2F2"/>
            <w:hideMark/>
          </w:tcPr>
          <w:p w14:paraId="4317D8CC" w14:textId="77777777" w:rsidR="002A4DDF" w:rsidRPr="00937C8B" w:rsidRDefault="002A4DDF" w:rsidP="009110ED">
            <w:pPr>
              <w:rPr>
                <w:rFonts w:ascii="Arial" w:hAnsi="Arial" w:cs="Arial"/>
                <w:sz w:val="12"/>
                <w:szCs w:val="12"/>
              </w:rPr>
            </w:pPr>
            <w:r>
              <w:rPr>
                <w:rFonts w:ascii="Arial" w:hAnsi="Arial"/>
                <w:sz w:val="12"/>
                <w:szCs w:val="12"/>
              </w:rPr>
              <w:t>Cantimpalos</w:t>
            </w:r>
          </w:p>
        </w:tc>
        <w:tc>
          <w:tcPr>
            <w:tcW w:w="2268" w:type="dxa"/>
            <w:tcBorders>
              <w:right w:val="single" w:sz="4" w:space="0" w:color="auto"/>
            </w:tcBorders>
            <w:shd w:val="clear" w:color="auto" w:fill="D9D9D9"/>
            <w:hideMark/>
          </w:tcPr>
          <w:p w14:paraId="04E4D471" w14:textId="77777777" w:rsidR="002A4DDF" w:rsidRPr="00937C8B" w:rsidRDefault="002A4DDF" w:rsidP="009110ED">
            <w:pPr>
              <w:rPr>
                <w:rFonts w:ascii="Arial" w:hAnsi="Arial" w:cs="Arial"/>
                <w:sz w:val="12"/>
                <w:szCs w:val="12"/>
              </w:rPr>
            </w:pPr>
            <w:r>
              <w:rPr>
                <w:rFonts w:ascii="Arial" w:hAnsi="Arial"/>
                <w:sz w:val="12"/>
                <w:szCs w:val="12"/>
              </w:rPr>
              <w:t>Navafría</w:t>
            </w:r>
          </w:p>
        </w:tc>
      </w:tr>
      <w:tr w:rsidR="002A4DDF" w:rsidRPr="00937C8B" w14:paraId="2ADA5B01" w14:textId="77777777" w:rsidTr="00935676">
        <w:trPr>
          <w:cantSplit/>
        </w:trPr>
        <w:tc>
          <w:tcPr>
            <w:tcW w:w="1696" w:type="dxa"/>
            <w:tcBorders>
              <w:left w:val="single" w:sz="4" w:space="0" w:color="auto"/>
            </w:tcBorders>
            <w:shd w:val="clear" w:color="auto" w:fill="auto"/>
          </w:tcPr>
          <w:p w14:paraId="50334E4D" w14:textId="77777777" w:rsidR="002A4DDF" w:rsidRPr="00937C8B" w:rsidRDefault="002A4DDF" w:rsidP="009110ED">
            <w:pPr>
              <w:rPr>
                <w:rFonts w:ascii="Arial" w:hAnsi="Arial" w:cs="Arial"/>
                <w:sz w:val="12"/>
                <w:szCs w:val="12"/>
              </w:rPr>
            </w:pPr>
          </w:p>
        </w:tc>
        <w:tc>
          <w:tcPr>
            <w:tcW w:w="1843" w:type="dxa"/>
            <w:shd w:val="clear" w:color="auto" w:fill="auto"/>
          </w:tcPr>
          <w:p w14:paraId="5B4FAD5F" w14:textId="77777777" w:rsidR="002A4DDF" w:rsidRPr="00937C8B" w:rsidRDefault="002A4DDF" w:rsidP="009110ED">
            <w:pPr>
              <w:rPr>
                <w:rFonts w:ascii="Arial" w:hAnsi="Arial" w:cs="Arial"/>
                <w:sz w:val="12"/>
                <w:szCs w:val="12"/>
              </w:rPr>
            </w:pPr>
          </w:p>
        </w:tc>
        <w:tc>
          <w:tcPr>
            <w:tcW w:w="2268" w:type="dxa"/>
            <w:shd w:val="clear" w:color="auto" w:fill="F2F2F2"/>
            <w:hideMark/>
          </w:tcPr>
          <w:p w14:paraId="1ABB07B4" w14:textId="77777777" w:rsidR="002A4DDF" w:rsidRPr="00937C8B" w:rsidRDefault="002A4DDF" w:rsidP="009110ED">
            <w:pPr>
              <w:rPr>
                <w:rFonts w:ascii="Arial" w:hAnsi="Arial" w:cs="Arial"/>
                <w:sz w:val="12"/>
                <w:szCs w:val="12"/>
              </w:rPr>
            </w:pPr>
            <w:r>
              <w:rPr>
                <w:rFonts w:ascii="Arial" w:hAnsi="Arial"/>
                <w:sz w:val="12"/>
                <w:szCs w:val="12"/>
              </w:rPr>
              <w:t>Carbonero el Mayor</w:t>
            </w:r>
          </w:p>
        </w:tc>
        <w:tc>
          <w:tcPr>
            <w:tcW w:w="2268" w:type="dxa"/>
            <w:tcBorders>
              <w:right w:val="single" w:sz="4" w:space="0" w:color="auto"/>
            </w:tcBorders>
            <w:shd w:val="clear" w:color="auto" w:fill="D9D9D9"/>
            <w:hideMark/>
          </w:tcPr>
          <w:p w14:paraId="14235757" w14:textId="77777777" w:rsidR="002A4DDF" w:rsidRPr="00937C8B" w:rsidRDefault="002A4DDF" w:rsidP="009110ED">
            <w:pPr>
              <w:rPr>
                <w:rFonts w:ascii="Arial" w:hAnsi="Arial" w:cs="Arial"/>
                <w:sz w:val="12"/>
                <w:szCs w:val="12"/>
              </w:rPr>
            </w:pPr>
            <w:r>
              <w:rPr>
                <w:rFonts w:ascii="Arial" w:hAnsi="Arial"/>
                <w:sz w:val="12"/>
                <w:szCs w:val="12"/>
              </w:rPr>
              <w:t>Navas de Riofrío</w:t>
            </w:r>
          </w:p>
        </w:tc>
      </w:tr>
      <w:tr w:rsidR="002A4DDF" w:rsidRPr="00937C8B" w14:paraId="1D091DCD" w14:textId="77777777" w:rsidTr="00935676">
        <w:trPr>
          <w:cantSplit/>
        </w:trPr>
        <w:tc>
          <w:tcPr>
            <w:tcW w:w="1696" w:type="dxa"/>
            <w:tcBorders>
              <w:left w:val="single" w:sz="4" w:space="0" w:color="auto"/>
            </w:tcBorders>
            <w:shd w:val="clear" w:color="auto" w:fill="auto"/>
          </w:tcPr>
          <w:p w14:paraId="15E20A43" w14:textId="77777777" w:rsidR="002A4DDF" w:rsidRPr="00937C8B" w:rsidRDefault="002A4DDF" w:rsidP="009110ED">
            <w:pPr>
              <w:rPr>
                <w:rFonts w:ascii="Arial" w:hAnsi="Arial" w:cs="Arial"/>
                <w:sz w:val="12"/>
                <w:szCs w:val="12"/>
              </w:rPr>
            </w:pPr>
          </w:p>
        </w:tc>
        <w:tc>
          <w:tcPr>
            <w:tcW w:w="1843" w:type="dxa"/>
            <w:shd w:val="clear" w:color="auto" w:fill="auto"/>
          </w:tcPr>
          <w:p w14:paraId="1BB0581A" w14:textId="77777777" w:rsidR="002A4DDF" w:rsidRPr="00937C8B" w:rsidRDefault="002A4DDF" w:rsidP="009110ED">
            <w:pPr>
              <w:rPr>
                <w:rFonts w:ascii="Arial" w:hAnsi="Arial" w:cs="Arial"/>
                <w:sz w:val="12"/>
                <w:szCs w:val="12"/>
              </w:rPr>
            </w:pPr>
          </w:p>
        </w:tc>
        <w:tc>
          <w:tcPr>
            <w:tcW w:w="2268" w:type="dxa"/>
            <w:shd w:val="clear" w:color="auto" w:fill="F2F2F2"/>
            <w:hideMark/>
          </w:tcPr>
          <w:p w14:paraId="573093EB" w14:textId="77777777" w:rsidR="002A4DDF" w:rsidRPr="00937C8B" w:rsidRDefault="002A4DDF" w:rsidP="009110ED">
            <w:pPr>
              <w:rPr>
                <w:rFonts w:ascii="Arial" w:hAnsi="Arial" w:cs="Arial"/>
                <w:sz w:val="12"/>
                <w:szCs w:val="12"/>
              </w:rPr>
            </w:pPr>
            <w:r>
              <w:rPr>
                <w:rFonts w:ascii="Arial" w:hAnsi="Arial"/>
                <w:sz w:val="12"/>
                <w:szCs w:val="12"/>
              </w:rPr>
              <w:t>Casla</w:t>
            </w:r>
          </w:p>
        </w:tc>
        <w:tc>
          <w:tcPr>
            <w:tcW w:w="2268" w:type="dxa"/>
            <w:tcBorders>
              <w:right w:val="single" w:sz="4" w:space="0" w:color="auto"/>
            </w:tcBorders>
            <w:shd w:val="clear" w:color="auto" w:fill="D9D9D9"/>
            <w:hideMark/>
          </w:tcPr>
          <w:p w14:paraId="7DA77A3B" w14:textId="77777777" w:rsidR="002A4DDF" w:rsidRPr="00937C8B" w:rsidRDefault="002A4DDF" w:rsidP="009110ED">
            <w:pPr>
              <w:rPr>
                <w:rFonts w:ascii="Arial" w:hAnsi="Arial" w:cs="Arial"/>
                <w:sz w:val="12"/>
                <w:szCs w:val="12"/>
              </w:rPr>
            </w:pPr>
            <w:r>
              <w:rPr>
                <w:rFonts w:ascii="Arial" w:hAnsi="Arial"/>
                <w:sz w:val="12"/>
                <w:szCs w:val="12"/>
              </w:rPr>
              <w:t>Navas de San Antonio</w:t>
            </w:r>
          </w:p>
        </w:tc>
      </w:tr>
      <w:tr w:rsidR="002A4DDF" w:rsidRPr="00937C8B" w14:paraId="042B395C" w14:textId="77777777" w:rsidTr="00935676">
        <w:trPr>
          <w:cantSplit/>
        </w:trPr>
        <w:tc>
          <w:tcPr>
            <w:tcW w:w="1696" w:type="dxa"/>
            <w:tcBorders>
              <w:left w:val="single" w:sz="4" w:space="0" w:color="auto"/>
            </w:tcBorders>
            <w:shd w:val="clear" w:color="auto" w:fill="auto"/>
          </w:tcPr>
          <w:p w14:paraId="01C8F866" w14:textId="77777777" w:rsidR="002A4DDF" w:rsidRPr="00937C8B" w:rsidRDefault="002A4DDF" w:rsidP="009110ED">
            <w:pPr>
              <w:rPr>
                <w:rFonts w:ascii="Arial" w:hAnsi="Arial" w:cs="Arial"/>
                <w:sz w:val="12"/>
                <w:szCs w:val="12"/>
              </w:rPr>
            </w:pPr>
          </w:p>
        </w:tc>
        <w:tc>
          <w:tcPr>
            <w:tcW w:w="1843" w:type="dxa"/>
            <w:shd w:val="clear" w:color="auto" w:fill="auto"/>
          </w:tcPr>
          <w:p w14:paraId="15EE1A01" w14:textId="77777777" w:rsidR="002A4DDF" w:rsidRPr="00937C8B" w:rsidRDefault="002A4DDF" w:rsidP="009110ED">
            <w:pPr>
              <w:rPr>
                <w:rFonts w:ascii="Arial" w:hAnsi="Arial" w:cs="Arial"/>
                <w:sz w:val="12"/>
                <w:szCs w:val="12"/>
              </w:rPr>
            </w:pPr>
          </w:p>
        </w:tc>
        <w:tc>
          <w:tcPr>
            <w:tcW w:w="2268" w:type="dxa"/>
            <w:shd w:val="clear" w:color="auto" w:fill="F2F2F2"/>
            <w:hideMark/>
          </w:tcPr>
          <w:p w14:paraId="6A684DA3" w14:textId="77777777" w:rsidR="002A4DDF" w:rsidRPr="00937C8B" w:rsidRDefault="002A4DDF" w:rsidP="009110ED">
            <w:pPr>
              <w:rPr>
                <w:rFonts w:ascii="Arial" w:hAnsi="Arial" w:cs="Arial"/>
                <w:sz w:val="12"/>
                <w:szCs w:val="12"/>
              </w:rPr>
            </w:pPr>
            <w:r>
              <w:rPr>
                <w:rFonts w:ascii="Arial" w:hAnsi="Arial"/>
                <w:sz w:val="12"/>
                <w:szCs w:val="12"/>
              </w:rPr>
              <w:t>Castillejo de Mesleón</w:t>
            </w:r>
          </w:p>
        </w:tc>
        <w:tc>
          <w:tcPr>
            <w:tcW w:w="2268" w:type="dxa"/>
            <w:tcBorders>
              <w:right w:val="single" w:sz="4" w:space="0" w:color="auto"/>
            </w:tcBorders>
            <w:shd w:val="clear" w:color="auto" w:fill="D9D9D9"/>
            <w:hideMark/>
          </w:tcPr>
          <w:p w14:paraId="3E775CAD" w14:textId="77777777" w:rsidR="002A4DDF" w:rsidRPr="00937C8B" w:rsidRDefault="002A4DDF" w:rsidP="009110ED">
            <w:pPr>
              <w:rPr>
                <w:rFonts w:ascii="Arial" w:hAnsi="Arial" w:cs="Arial"/>
                <w:sz w:val="12"/>
                <w:szCs w:val="12"/>
              </w:rPr>
            </w:pPr>
            <w:r>
              <w:rPr>
                <w:rFonts w:ascii="Arial" w:hAnsi="Arial"/>
                <w:sz w:val="12"/>
                <w:szCs w:val="12"/>
              </w:rPr>
              <w:t>Orejana</w:t>
            </w:r>
          </w:p>
        </w:tc>
      </w:tr>
      <w:tr w:rsidR="002A4DDF" w:rsidRPr="00937C8B" w14:paraId="41C0649E" w14:textId="77777777" w:rsidTr="00935676">
        <w:trPr>
          <w:cantSplit/>
        </w:trPr>
        <w:tc>
          <w:tcPr>
            <w:tcW w:w="1696" w:type="dxa"/>
            <w:tcBorders>
              <w:left w:val="single" w:sz="4" w:space="0" w:color="auto"/>
            </w:tcBorders>
            <w:shd w:val="clear" w:color="auto" w:fill="auto"/>
          </w:tcPr>
          <w:p w14:paraId="0944301A" w14:textId="77777777" w:rsidR="002A4DDF" w:rsidRPr="00937C8B" w:rsidRDefault="002A4DDF" w:rsidP="009110ED">
            <w:pPr>
              <w:rPr>
                <w:rFonts w:ascii="Arial" w:hAnsi="Arial" w:cs="Arial"/>
                <w:sz w:val="12"/>
                <w:szCs w:val="12"/>
              </w:rPr>
            </w:pPr>
          </w:p>
        </w:tc>
        <w:tc>
          <w:tcPr>
            <w:tcW w:w="1843" w:type="dxa"/>
            <w:shd w:val="clear" w:color="auto" w:fill="auto"/>
          </w:tcPr>
          <w:p w14:paraId="17F61955" w14:textId="77777777" w:rsidR="002A4DDF" w:rsidRPr="00937C8B" w:rsidRDefault="002A4DDF" w:rsidP="009110ED">
            <w:pPr>
              <w:rPr>
                <w:rFonts w:ascii="Arial" w:hAnsi="Arial" w:cs="Arial"/>
                <w:sz w:val="12"/>
                <w:szCs w:val="12"/>
              </w:rPr>
            </w:pPr>
          </w:p>
        </w:tc>
        <w:tc>
          <w:tcPr>
            <w:tcW w:w="2268" w:type="dxa"/>
            <w:shd w:val="clear" w:color="auto" w:fill="F2F2F2"/>
            <w:hideMark/>
          </w:tcPr>
          <w:p w14:paraId="57369B15" w14:textId="77777777" w:rsidR="002A4DDF" w:rsidRPr="00937C8B" w:rsidRDefault="002A4DDF" w:rsidP="009110ED">
            <w:pPr>
              <w:rPr>
                <w:rFonts w:ascii="Arial" w:hAnsi="Arial" w:cs="Arial"/>
                <w:sz w:val="12"/>
                <w:szCs w:val="12"/>
              </w:rPr>
            </w:pPr>
            <w:r>
              <w:rPr>
                <w:rFonts w:ascii="Arial" w:hAnsi="Arial"/>
                <w:sz w:val="12"/>
                <w:szCs w:val="12"/>
              </w:rPr>
              <w:t>Castroserna de Abajo</w:t>
            </w:r>
          </w:p>
        </w:tc>
        <w:tc>
          <w:tcPr>
            <w:tcW w:w="2268" w:type="dxa"/>
            <w:tcBorders>
              <w:right w:val="single" w:sz="4" w:space="0" w:color="auto"/>
            </w:tcBorders>
            <w:shd w:val="clear" w:color="auto" w:fill="D9D9D9"/>
            <w:hideMark/>
          </w:tcPr>
          <w:p w14:paraId="64E86039" w14:textId="77777777" w:rsidR="002A4DDF" w:rsidRPr="00937C8B" w:rsidRDefault="002A4DDF" w:rsidP="009110ED">
            <w:pPr>
              <w:rPr>
                <w:rFonts w:ascii="Arial" w:hAnsi="Arial" w:cs="Arial"/>
                <w:sz w:val="12"/>
                <w:szCs w:val="12"/>
              </w:rPr>
            </w:pPr>
            <w:r>
              <w:rPr>
                <w:rFonts w:ascii="Arial" w:hAnsi="Arial"/>
                <w:sz w:val="12"/>
                <w:szCs w:val="12"/>
              </w:rPr>
              <w:t>Ortigosa del Monte</w:t>
            </w:r>
          </w:p>
        </w:tc>
      </w:tr>
      <w:tr w:rsidR="002A4DDF" w:rsidRPr="00937C8B" w14:paraId="1CD21693" w14:textId="77777777" w:rsidTr="00935676">
        <w:trPr>
          <w:cantSplit/>
        </w:trPr>
        <w:tc>
          <w:tcPr>
            <w:tcW w:w="1696" w:type="dxa"/>
            <w:tcBorders>
              <w:left w:val="single" w:sz="4" w:space="0" w:color="auto"/>
            </w:tcBorders>
            <w:shd w:val="clear" w:color="auto" w:fill="auto"/>
          </w:tcPr>
          <w:p w14:paraId="0CE0C92F" w14:textId="77777777" w:rsidR="002A4DDF" w:rsidRPr="00937C8B" w:rsidRDefault="002A4DDF" w:rsidP="009110ED">
            <w:pPr>
              <w:rPr>
                <w:rFonts w:ascii="Arial" w:hAnsi="Arial" w:cs="Arial"/>
                <w:sz w:val="12"/>
                <w:szCs w:val="12"/>
              </w:rPr>
            </w:pPr>
          </w:p>
        </w:tc>
        <w:tc>
          <w:tcPr>
            <w:tcW w:w="1843" w:type="dxa"/>
            <w:shd w:val="clear" w:color="auto" w:fill="auto"/>
          </w:tcPr>
          <w:p w14:paraId="2692C400" w14:textId="77777777" w:rsidR="002A4DDF" w:rsidRPr="00937C8B" w:rsidRDefault="002A4DDF" w:rsidP="009110ED">
            <w:pPr>
              <w:rPr>
                <w:rFonts w:ascii="Arial" w:hAnsi="Arial" w:cs="Arial"/>
                <w:sz w:val="12"/>
                <w:szCs w:val="12"/>
              </w:rPr>
            </w:pPr>
          </w:p>
        </w:tc>
        <w:tc>
          <w:tcPr>
            <w:tcW w:w="2268" w:type="dxa"/>
            <w:shd w:val="clear" w:color="auto" w:fill="F2F2F2"/>
            <w:hideMark/>
          </w:tcPr>
          <w:p w14:paraId="6776091E" w14:textId="77777777" w:rsidR="002A4DDF" w:rsidRPr="00937C8B" w:rsidRDefault="002A4DDF" w:rsidP="009110ED">
            <w:pPr>
              <w:rPr>
                <w:rFonts w:ascii="Arial" w:hAnsi="Arial" w:cs="Arial"/>
                <w:sz w:val="12"/>
                <w:szCs w:val="12"/>
              </w:rPr>
            </w:pPr>
            <w:r>
              <w:rPr>
                <w:rFonts w:ascii="Arial" w:hAnsi="Arial"/>
                <w:sz w:val="12"/>
                <w:szCs w:val="12"/>
              </w:rPr>
              <w:t>Cedillo de la Torre</w:t>
            </w:r>
          </w:p>
        </w:tc>
        <w:tc>
          <w:tcPr>
            <w:tcW w:w="2268" w:type="dxa"/>
            <w:tcBorders>
              <w:right w:val="single" w:sz="4" w:space="0" w:color="auto"/>
            </w:tcBorders>
            <w:shd w:val="clear" w:color="auto" w:fill="D9D9D9"/>
            <w:hideMark/>
          </w:tcPr>
          <w:p w14:paraId="3648AAED" w14:textId="77777777" w:rsidR="002A4DDF" w:rsidRPr="00937C8B" w:rsidRDefault="002A4DDF" w:rsidP="009110ED">
            <w:pPr>
              <w:rPr>
                <w:rFonts w:ascii="Arial" w:hAnsi="Arial" w:cs="Arial"/>
                <w:sz w:val="12"/>
                <w:szCs w:val="12"/>
              </w:rPr>
            </w:pPr>
            <w:r>
              <w:rPr>
                <w:rFonts w:ascii="Arial" w:hAnsi="Arial"/>
                <w:sz w:val="12"/>
                <w:szCs w:val="12"/>
              </w:rPr>
              <w:t>Otero de Herreros</w:t>
            </w:r>
          </w:p>
        </w:tc>
      </w:tr>
      <w:tr w:rsidR="002A4DDF" w:rsidRPr="00937C8B" w14:paraId="26891AE4" w14:textId="77777777" w:rsidTr="00935676">
        <w:trPr>
          <w:cantSplit/>
        </w:trPr>
        <w:tc>
          <w:tcPr>
            <w:tcW w:w="1696" w:type="dxa"/>
            <w:tcBorders>
              <w:left w:val="single" w:sz="4" w:space="0" w:color="auto"/>
            </w:tcBorders>
            <w:shd w:val="clear" w:color="auto" w:fill="auto"/>
          </w:tcPr>
          <w:p w14:paraId="42B8BC06" w14:textId="77777777" w:rsidR="002A4DDF" w:rsidRPr="00937C8B" w:rsidRDefault="002A4DDF" w:rsidP="009110ED">
            <w:pPr>
              <w:rPr>
                <w:rFonts w:ascii="Arial" w:hAnsi="Arial" w:cs="Arial"/>
                <w:sz w:val="12"/>
                <w:szCs w:val="12"/>
              </w:rPr>
            </w:pPr>
          </w:p>
        </w:tc>
        <w:tc>
          <w:tcPr>
            <w:tcW w:w="1843" w:type="dxa"/>
            <w:shd w:val="clear" w:color="auto" w:fill="auto"/>
          </w:tcPr>
          <w:p w14:paraId="44121BFA" w14:textId="77777777" w:rsidR="002A4DDF" w:rsidRPr="00937C8B" w:rsidRDefault="002A4DDF" w:rsidP="009110ED">
            <w:pPr>
              <w:rPr>
                <w:rFonts w:ascii="Arial" w:hAnsi="Arial" w:cs="Arial"/>
                <w:sz w:val="12"/>
                <w:szCs w:val="12"/>
              </w:rPr>
            </w:pPr>
          </w:p>
        </w:tc>
        <w:tc>
          <w:tcPr>
            <w:tcW w:w="2268" w:type="dxa"/>
            <w:shd w:val="clear" w:color="auto" w:fill="F2F2F2"/>
            <w:hideMark/>
          </w:tcPr>
          <w:p w14:paraId="05C831F2" w14:textId="77777777" w:rsidR="002A4DDF" w:rsidRPr="00937C8B" w:rsidRDefault="002A4DDF" w:rsidP="009110ED">
            <w:pPr>
              <w:rPr>
                <w:rFonts w:ascii="Arial" w:hAnsi="Arial" w:cs="Arial"/>
                <w:sz w:val="12"/>
                <w:szCs w:val="12"/>
              </w:rPr>
            </w:pPr>
            <w:r>
              <w:rPr>
                <w:rFonts w:ascii="Arial" w:hAnsi="Arial"/>
                <w:sz w:val="12"/>
                <w:szCs w:val="12"/>
              </w:rPr>
              <w:t>Chañe</w:t>
            </w:r>
          </w:p>
        </w:tc>
        <w:tc>
          <w:tcPr>
            <w:tcW w:w="2268" w:type="dxa"/>
            <w:tcBorders>
              <w:right w:val="single" w:sz="4" w:space="0" w:color="auto"/>
            </w:tcBorders>
            <w:shd w:val="clear" w:color="auto" w:fill="D9D9D9"/>
            <w:hideMark/>
          </w:tcPr>
          <w:p w14:paraId="6C30C882" w14:textId="77777777" w:rsidR="002A4DDF" w:rsidRPr="00937C8B" w:rsidRDefault="002A4DDF" w:rsidP="009110ED">
            <w:pPr>
              <w:rPr>
                <w:rFonts w:ascii="Arial" w:hAnsi="Arial" w:cs="Arial"/>
                <w:sz w:val="12"/>
                <w:szCs w:val="12"/>
              </w:rPr>
            </w:pPr>
            <w:r>
              <w:rPr>
                <w:rFonts w:ascii="Arial" w:hAnsi="Arial"/>
                <w:sz w:val="12"/>
                <w:szCs w:val="12"/>
              </w:rPr>
              <w:t>Palazuelos de Eresma</w:t>
            </w:r>
          </w:p>
        </w:tc>
      </w:tr>
      <w:tr w:rsidR="002A4DDF" w:rsidRPr="00937C8B" w14:paraId="0C3195E1" w14:textId="77777777" w:rsidTr="00935676">
        <w:trPr>
          <w:cantSplit/>
        </w:trPr>
        <w:tc>
          <w:tcPr>
            <w:tcW w:w="1696" w:type="dxa"/>
            <w:tcBorders>
              <w:left w:val="single" w:sz="4" w:space="0" w:color="auto"/>
            </w:tcBorders>
            <w:shd w:val="clear" w:color="auto" w:fill="auto"/>
          </w:tcPr>
          <w:p w14:paraId="74D95373" w14:textId="77777777" w:rsidR="002A4DDF" w:rsidRPr="00937C8B" w:rsidRDefault="002A4DDF" w:rsidP="009110ED">
            <w:pPr>
              <w:rPr>
                <w:rFonts w:ascii="Arial" w:hAnsi="Arial" w:cs="Arial"/>
                <w:sz w:val="12"/>
                <w:szCs w:val="12"/>
              </w:rPr>
            </w:pPr>
          </w:p>
        </w:tc>
        <w:tc>
          <w:tcPr>
            <w:tcW w:w="1843" w:type="dxa"/>
            <w:shd w:val="clear" w:color="auto" w:fill="auto"/>
          </w:tcPr>
          <w:p w14:paraId="50634C93" w14:textId="77777777" w:rsidR="002A4DDF" w:rsidRPr="00937C8B" w:rsidRDefault="002A4DDF" w:rsidP="009110ED">
            <w:pPr>
              <w:rPr>
                <w:rFonts w:ascii="Arial" w:hAnsi="Arial" w:cs="Arial"/>
                <w:sz w:val="12"/>
                <w:szCs w:val="12"/>
              </w:rPr>
            </w:pPr>
          </w:p>
        </w:tc>
        <w:tc>
          <w:tcPr>
            <w:tcW w:w="2268" w:type="dxa"/>
            <w:shd w:val="clear" w:color="auto" w:fill="F2F2F2"/>
            <w:hideMark/>
          </w:tcPr>
          <w:p w14:paraId="0C7D8F87" w14:textId="77777777" w:rsidR="002A4DDF" w:rsidRPr="00937C8B" w:rsidRDefault="002A4DDF" w:rsidP="009110ED">
            <w:pPr>
              <w:rPr>
                <w:rFonts w:ascii="Arial" w:hAnsi="Arial" w:cs="Arial"/>
                <w:sz w:val="12"/>
                <w:szCs w:val="12"/>
              </w:rPr>
            </w:pPr>
            <w:r>
              <w:rPr>
                <w:rFonts w:ascii="Arial" w:hAnsi="Arial"/>
                <w:sz w:val="12"/>
                <w:szCs w:val="12"/>
              </w:rPr>
              <w:t>Cilleruelo de San Mamés</w:t>
            </w:r>
          </w:p>
        </w:tc>
        <w:tc>
          <w:tcPr>
            <w:tcW w:w="2268" w:type="dxa"/>
            <w:tcBorders>
              <w:right w:val="single" w:sz="4" w:space="0" w:color="auto"/>
            </w:tcBorders>
            <w:shd w:val="clear" w:color="auto" w:fill="D9D9D9"/>
            <w:hideMark/>
          </w:tcPr>
          <w:p w14:paraId="47F7E5A4" w14:textId="77777777" w:rsidR="002A4DDF" w:rsidRPr="00937C8B" w:rsidRDefault="002A4DDF" w:rsidP="009110ED">
            <w:pPr>
              <w:rPr>
                <w:rFonts w:ascii="Arial" w:hAnsi="Arial" w:cs="Arial"/>
                <w:sz w:val="12"/>
                <w:szCs w:val="12"/>
              </w:rPr>
            </w:pPr>
            <w:r>
              <w:rPr>
                <w:rFonts w:ascii="Arial" w:hAnsi="Arial"/>
                <w:sz w:val="12"/>
                <w:szCs w:val="12"/>
              </w:rPr>
              <w:t>Pedraza</w:t>
            </w:r>
          </w:p>
        </w:tc>
      </w:tr>
      <w:tr w:rsidR="002A4DDF" w:rsidRPr="00937C8B" w14:paraId="31D266CE" w14:textId="77777777" w:rsidTr="00935676">
        <w:trPr>
          <w:cantSplit/>
        </w:trPr>
        <w:tc>
          <w:tcPr>
            <w:tcW w:w="1696" w:type="dxa"/>
            <w:tcBorders>
              <w:left w:val="single" w:sz="4" w:space="0" w:color="auto"/>
            </w:tcBorders>
            <w:shd w:val="clear" w:color="auto" w:fill="auto"/>
          </w:tcPr>
          <w:p w14:paraId="654F8F49" w14:textId="77777777" w:rsidR="002A4DDF" w:rsidRPr="00937C8B" w:rsidRDefault="002A4DDF" w:rsidP="009110ED">
            <w:pPr>
              <w:rPr>
                <w:rFonts w:ascii="Arial" w:hAnsi="Arial" w:cs="Arial"/>
                <w:sz w:val="12"/>
                <w:szCs w:val="12"/>
              </w:rPr>
            </w:pPr>
          </w:p>
        </w:tc>
        <w:tc>
          <w:tcPr>
            <w:tcW w:w="1843" w:type="dxa"/>
            <w:shd w:val="clear" w:color="auto" w:fill="auto"/>
          </w:tcPr>
          <w:p w14:paraId="3838C65A" w14:textId="77777777" w:rsidR="002A4DDF" w:rsidRPr="00937C8B" w:rsidRDefault="002A4DDF" w:rsidP="009110ED">
            <w:pPr>
              <w:rPr>
                <w:rFonts w:ascii="Arial" w:hAnsi="Arial" w:cs="Arial"/>
                <w:sz w:val="12"/>
                <w:szCs w:val="12"/>
              </w:rPr>
            </w:pPr>
          </w:p>
        </w:tc>
        <w:tc>
          <w:tcPr>
            <w:tcW w:w="2268" w:type="dxa"/>
            <w:shd w:val="clear" w:color="auto" w:fill="F2F2F2"/>
            <w:hideMark/>
          </w:tcPr>
          <w:p w14:paraId="751E3492" w14:textId="77777777" w:rsidR="002A4DDF" w:rsidRPr="00937C8B" w:rsidRDefault="002A4DDF" w:rsidP="009110ED">
            <w:pPr>
              <w:rPr>
                <w:rFonts w:ascii="Arial" w:hAnsi="Arial" w:cs="Arial"/>
                <w:sz w:val="12"/>
                <w:szCs w:val="12"/>
              </w:rPr>
            </w:pPr>
            <w:r>
              <w:rPr>
                <w:rFonts w:ascii="Arial" w:hAnsi="Arial"/>
                <w:sz w:val="12"/>
                <w:szCs w:val="12"/>
              </w:rPr>
              <w:t>Coca</w:t>
            </w:r>
          </w:p>
        </w:tc>
        <w:tc>
          <w:tcPr>
            <w:tcW w:w="2268" w:type="dxa"/>
            <w:tcBorders>
              <w:right w:val="single" w:sz="4" w:space="0" w:color="auto"/>
            </w:tcBorders>
            <w:shd w:val="clear" w:color="auto" w:fill="D9D9D9"/>
            <w:hideMark/>
          </w:tcPr>
          <w:p w14:paraId="22D3C8FD" w14:textId="77777777" w:rsidR="002A4DDF" w:rsidRPr="00937C8B" w:rsidRDefault="002A4DDF" w:rsidP="009110ED">
            <w:pPr>
              <w:rPr>
                <w:rFonts w:ascii="Arial" w:hAnsi="Arial" w:cs="Arial"/>
                <w:sz w:val="12"/>
                <w:szCs w:val="12"/>
              </w:rPr>
            </w:pPr>
            <w:r>
              <w:rPr>
                <w:rFonts w:ascii="Arial" w:hAnsi="Arial"/>
                <w:sz w:val="12"/>
                <w:szCs w:val="12"/>
              </w:rPr>
              <w:t>Pelayos del Arroyo</w:t>
            </w:r>
          </w:p>
        </w:tc>
      </w:tr>
      <w:tr w:rsidR="002A4DDF" w:rsidRPr="00E93486" w14:paraId="44B3DFD2" w14:textId="77777777" w:rsidTr="00935676">
        <w:trPr>
          <w:cantSplit/>
        </w:trPr>
        <w:tc>
          <w:tcPr>
            <w:tcW w:w="1696" w:type="dxa"/>
            <w:tcBorders>
              <w:left w:val="single" w:sz="4" w:space="0" w:color="auto"/>
            </w:tcBorders>
            <w:shd w:val="clear" w:color="auto" w:fill="auto"/>
          </w:tcPr>
          <w:p w14:paraId="6FBEBEF4" w14:textId="77777777" w:rsidR="002A4DDF" w:rsidRPr="00937C8B" w:rsidRDefault="002A4DDF" w:rsidP="009110ED">
            <w:pPr>
              <w:rPr>
                <w:rFonts w:ascii="Arial" w:hAnsi="Arial" w:cs="Arial"/>
                <w:sz w:val="12"/>
                <w:szCs w:val="12"/>
              </w:rPr>
            </w:pPr>
          </w:p>
        </w:tc>
        <w:tc>
          <w:tcPr>
            <w:tcW w:w="1843" w:type="dxa"/>
            <w:shd w:val="clear" w:color="auto" w:fill="auto"/>
          </w:tcPr>
          <w:p w14:paraId="03B099D8" w14:textId="77777777" w:rsidR="002A4DDF" w:rsidRPr="00937C8B" w:rsidRDefault="002A4DDF" w:rsidP="009110ED">
            <w:pPr>
              <w:rPr>
                <w:rFonts w:ascii="Arial" w:hAnsi="Arial" w:cs="Arial"/>
                <w:sz w:val="12"/>
                <w:szCs w:val="12"/>
              </w:rPr>
            </w:pPr>
          </w:p>
        </w:tc>
        <w:tc>
          <w:tcPr>
            <w:tcW w:w="2268" w:type="dxa"/>
            <w:shd w:val="clear" w:color="auto" w:fill="F2F2F2"/>
            <w:hideMark/>
          </w:tcPr>
          <w:p w14:paraId="290AA90B" w14:textId="77777777" w:rsidR="002A4DDF" w:rsidRPr="00937C8B" w:rsidRDefault="002A4DDF" w:rsidP="009110ED">
            <w:pPr>
              <w:rPr>
                <w:rFonts w:ascii="Arial" w:hAnsi="Arial" w:cs="Arial"/>
                <w:sz w:val="12"/>
                <w:szCs w:val="12"/>
              </w:rPr>
            </w:pPr>
            <w:r>
              <w:rPr>
                <w:rFonts w:ascii="Arial" w:hAnsi="Arial"/>
                <w:sz w:val="12"/>
                <w:szCs w:val="12"/>
              </w:rPr>
              <w:t>Codorniz</w:t>
            </w:r>
          </w:p>
        </w:tc>
        <w:tc>
          <w:tcPr>
            <w:tcW w:w="2268" w:type="dxa"/>
            <w:tcBorders>
              <w:right w:val="single" w:sz="4" w:space="0" w:color="auto"/>
            </w:tcBorders>
            <w:shd w:val="clear" w:color="auto" w:fill="D9D9D9"/>
            <w:hideMark/>
          </w:tcPr>
          <w:p w14:paraId="1903DFF8" w14:textId="77777777" w:rsidR="002A4DDF" w:rsidRPr="00E93486" w:rsidRDefault="002A4DDF" w:rsidP="009110ED">
            <w:pPr>
              <w:rPr>
                <w:rFonts w:ascii="Arial" w:hAnsi="Arial" w:cs="Arial"/>
                <w:sz w:val="12"/>
                <w:szCs w:val="12"/>
                <w:lang w:val="en-US"/>
              </w:rPr>
            </w:pPr>
            <w:r w:rsidRPr="00E93486">
              <w:rPr>
                <w:rFonts w:ascii="Arial" w:hAnsi="Arial"/>
                <w:sz w:val="12"/>
                <w:szCs w:val="12"/>
                <w:lang w:val="en-US"/>
              </w:rPr>
              <w:t>Real Sitio de San Ildefonso</w:t>
            </w:r>
          </w:p>
        </w:tc>
      </w:tr>
      <w:tr w:rsidR="002A4DDF" w:rsidRPr="00937C8B" w14:paraId="720B771A" w14:textId="77777777" w:rsidTr="00935676">
        <w:trPr>
          <w:cantSplit/>
        </w:trPr>
        <w:tc>
          <w:tcPr>
            <w:tcW w:w="1696" w:type="dxa"/>
            <w:tcBorders>
              <w:left w:val="single" w:sz="4" w:space="0" w:color="auto"/>
            </w:tcBorders>
            <w:shd w:val="clear" w:color="auto" w:fill="auto"/>
          </w:tcPr>
          <w:p w14:paraId="439E5401" w14:textId="77777777" w:rsidR="002A4DDF" w:rsidRPr="00E93486" w:rsidRDefault="002A4DDF" w:rsidP="009110ED">
            <w:pPr>
              <w:rPr>
                <w:rFonts w:ascii="Arial" w:hAnsi="Arial" w:cs="Arial"/>
                <w:sz w:val="12"/>
                <w:szCs w:val="12"/>
                <w:lang w:val="en-US"/>
              </w:rPr>
            </w:pPr>
          </w:p>
        </w:tc>
        <w:tc>
          <w:tcPr>
            <w:tcW w:w="1843" w:type="dxa"/>
            <w:shd w:val="clear" w:color="auto" w:fill="auto"/>
          </w:tcPr>
          <w:p w14:paraId="2C09869A" w14:textId="77777777" w:rsidR="002A4DDF" w:rsidRPr="00E93486" w:rsidRDefault="002A4DDF" w:rsidP="009110ED">
            <w:pPr>
              <w:rPr>
                <w:rFonts w:ascii="Arial" w:hAnsi="Arial" w:cs="Arial"/>
                <w:sz w:val="12"/>
                <w:szCs w:val="12"/>
                <w:lang w:val="en-US"/>
              </w:rPr>
            </w:pPr>
          </w:p>
        </w:tc>
        <w:tc>
          <w:tcPr>
            <w:tcW w:w="2268" w:type="dxa"/>
            <w:shd w:val="clear" w:color="auto" w:fill="F2F2F2"/>
            <w:hideMark/>
          </w:tcPr>
          <w:p w14:paraId="047D8C6E" w14:textId="77777777" w:rsidR="002A4DDF" w:rsidRPr="00937C8B" w:rsidRDefault="002A4DDF" w:rsidP="009110ED">
            <w:pPr>
              <w:rPr>
                <w:rFonts w:ascii="Arial" w:hAnsi="Arial" w:cs="Arial"/>
                <w:sz w:val="12"/>
                <w:szCs w:val="12"/>
              </w:rPr>
            </w:pPr>
            <w:r>
              <w:rPr>
                <w:rFonts w:ascii="Arial" w:hAnsi="Arial"/>
                <w:sz w:val="12"/>
                <w:szCs w:val="12"/>
              </w:rPr>
              <w:t>Condado de Castilnovo</w:t>
            </w:r>
          </w:p>
        </w:tc>
        <w:tc>
          <w:tcPr>
            <w:tcW w:w="2268" w:type="dxa"/>
            <w:tcBorders>
              <w:right w:val="single" w:sz="4" w:space="0" w:color="auto"/>
            </w:tcBorders>
            <w:shd w:val="clear" w:color="auto" w:fill="D9D9D9"/>
          </w:tcPr>
          <w:p w14:paraId="5F80FA34" w14:textId="77777777" w:rsidR="002A4DDF" w:rsidRPr="00937C8B" w:rsidRDefault="002A4DDF" w:rsidP="009110ED">
            <w:pPr>
              <w:rPr>
                <w:rFonts w:ascii="Arial" w:hAnsi="Arial" w:cs="Arial"/>
                <w:sz w:val="12"/>
                <w:szCs w:val="12"/>
              </w:rPr>
            </w:pPr>
            <w:r>
              <w:rPr>
                <w:rFonts w:ascii="Arial" w:hAnsi="Arial"/>
                <w:sz w:val="12"/>
                <w:szCs w:val="12"/>
              </w:rPr>
              <w:t>Riofrío de Riaza</w:t>
            </w:r>
          </w:p>
        </w:tc>
      </w:tr>
      <w:tr w:rsidR="002A4DDF" w:rsidRPr="00937C8B" w14:paraId="788FD2DC" w14:textId="77777777" w:rsidTr="00935676">
        <w:trPr>
          <w:cantSplit/>
        </w:trPr>
        <w:tc>
          <w:tcPr>
            <w:tcW w:w="1696" w:type="dxa"/>
            <w:tcBorders>
              <w:left w:val="single" w:sz="4" w:space="0" w:color="auto"/>
            </w:tcBorders>
            <w:shd w:val="clear" w:color="auto" w:fill="auto"/>
          </w:tcPr>
          <w:p w14:paraId="3CE514F6" w14:textId="77777777" w:rsidR="002A4DDF" w:rsidRPr="00937C8B" w:rsidRDefault="002A4DDF" w:rsidP="009110ED">
            <w:pPr>
              <w:rPr>
                <w:rFonts w:ascii="Arial" w:hAnsi="Arial" w:cs="Arial"/>
                <w:sz w:val="12"/>
                <w:szCs w:val="12"/>
              </w:rPr>
            </w:pPr>
          </w:p>
        </w:tc>
        <w:tc>
          <w:tcPr>
            <w:tcW w:w="1843" w:type="dxa"/>
            <w:shd w:val="clear" w:color="auto" w:fill="auto"/>
          </w:tcPr>
          <w:p w14:paraId="3B61E63A" w14:textId="77777777" w:rsidR="002A4DDF" w:rsidRPr="00937C8B" w:rsidRDefault="002A4DDF" w:rsidP="009110ED">
            <w:pPr>
              <w:rPr>
                <w:rFonts w:ascii="Arial" w:hAnsi="Arial" w:cs="Arial"/>
                <w:sz w:val="12"/>
                <w:szCs w:val="12"/>
              </w:rPr>
            </w:pPr>
          </w:p>
        </w:tc>
        <w:tc>
          <w:tcPr>
            <w:tcW w:w="2268" w:type="dxa"/>
            <w:shd w:val="clear" w:color="auto" w:fill="F2F2F2"/>
            <w:hideMark/>
          </w:tcPr>
          <w:p w14:paraId="35CA1623" w14:textId="77777777" w:rsidR="002A4DDF" w:rsidRPr="00937C8B" w:rsidRDefault="002A4DDF" w:rsidP="009110ED">
            <w:pPr>
              <w:rPr>
                <w:rFonts w:ascii="Arial" w:hAnsi="Arial" w:cs="Arial"/>
                <w:sz w:val="12"/>
                <w:szCs w:val="12"/>
              </w:rPr>
            </w:pPr>
            <w:r>
              <w:rPr>
                <w:rFonts w:ascii="Arial" w:hAnsi="Arial"/>
                <w:sz w:val="12"/>
                <w:szCs w:val="12"/>
              </w:rPr>
              <w:t>Corral de Ayllón</w:t>
            </w:r>
          </w:p>
        </w:tc>
        <w:tc>
          <w:tcPr>
            <w:tcW w:w="2268" w:type="dxa"/>
            <w:tcBorders>
              <w:right w:val="single" w:sz="4" w:space="0" w:color="auto"/>
            </w:tcBorders>
            <w:shd w:val="clear" w:color="auto" w:fill="D9D9D9"/>
          </w:tcPr>
          <w:p w14:paraId="24C0191A" w14:textId="77777777" w:rsidR="002A4DDF" w:rsidRPr="00937C8B" w:rsidRDefault="002A4DDF" w:rsidP="009110ED">
            <w:pPr>
              <w:rPr>
                <w:rFonts w:ascii="Arial" w:hAnsi="Arial" w:cs="Arial"/>
                <w:sz w:val="12"/>
                <w:szCs w:val="12"/>
              </w:rPr>
            </w:pPr>
            <w:r>
              <w:rPr>
                <w:rFonts w:ascii="Arial" w:hAnsi="Arial"/>
                <w:sz w:val="12"/>
                <w:szCs w:val="12"/>
              </w:rPr>
              <w:t>San Cristóbal de Segovia</w:t>
            </w:r>
          </w:p>
        </w:tc>
      </w:tr>
      <w:tr w:rsidR="002A4DDF" w:rsidRPr="00937C8B" w14:paraId="10BC7192" w14:textId="77777777" w:rsidTr="00935676">
        <w:trPr>
          <w:cantSplit/>
        </w:trPr>
        <w:tc>
          <w:tcPr>
            <w:tcW w:w="1696" w:type="dxa"/>
            <w:tcBorders>
              <w:left w:val="single" w:sz="4" w:space="0" w:color="auto"/>
            </w:tcBorders>
            <w:shd w:val="clear" w:color="auto" w:fill="auto"/>
          </w:tcPr>
          <w:p w14:paraId="409928A6" w14:textId="77777777" w:rsidR="002A4DDF" w:rsidRPr="00937C8B" w:rsidRDefault="002A4DDF" w:rsidP="009110ED">
            <w:pPr>
              <w:rPr>
                <w:rFonts w:ascii="Arial" w:hAnsi="Arial" w:cs="Arial"/>
                <w:sz w:val="12"/>
                <w:szCs w:val="12"/>
              </w:rPr>
            </w:pPr>
          </w:p>
        </w:tc>
        <w:tc>
          <w:tcPr>
            <w:tcW w:w="1843" w:type="dxa"/>
            <w:shd w:val="clear" w:color="auto" w:fill="auto"/>
          </w:tcPr>
          <w:p w14:paraId="4EB94358" w14:textId="77777777" w:rsidR="002A4DDF" w:rsidRPr="00937C8B" w:rsidRDefault="002A4DDF" w:rsidP="009110ED">
            <w:pPr>
              <w:rPr>
                <w:rFonts w:ascii="Arial" w:hAnsi="Arial" w:cs="Arial"/>
                <w:sz w:val="12"/>
                <w:szCs w:val="12"/>
              </w:rPr>
            </w:pPr>
          </w:p>
        </w:tc>
        <w:tc>
          <w:tcPr>
            <w:tcW w:w="2268" w:type="dxa"/>
            <w:shd w:val="clear" w:color="auto" w:fill="F2F2F2"/>
            <w:hideMark/>
          </w:tcPr>
          <w:p w14:paraId="3459550C" w14:textId="77777777" w:rsidR="002A4DDF" w:rsidRPr="00937C8B" w:rsidRDefault="002A4DDF" w:rsidP="009110ED">
            <w:pPr>
              <w:rPr>
                <w:rFonts w:ascii="Arial" w:hAnsi="Arial" w:cs="Arial"/>
                <w:sz w:val="12"/>
                <w:szCs w:val="12"/>
              </w:rPr>
            </w:pPr>
            <w:r>
              <w:rPr>
                <w:rFonts w:ascii="Arial" w:hAnsi="Arial"/>
                <w:sz w:val="12"/>
                <w:szCs w:val="12"/>
              </w:rPr>
              <w:t>Cuéllar</w:t>
            </w:r>
          </w:p>
        </w:tc>
        <w:tc>
          <w:tcPr>
            <w:tcW w:w="2268" w:type="dxa"/>
            <w:tcBorders>
              <w:right w:val="single" w:sz="4" w:space="0" w:color="auto"/>
            </w:tcBorders>
            <w:shd w:val="clear" w:color="auto" w:fill="D9D9D9"/>
          </w:tcPr>
          <w:p w14:paraId="62206B2C" w14:textId="77777777" w:rsidR="002A4DDF" w:rsidRPr="00937C8B" w:rsidRDefault="002A4DDF" w:rsidP="009110ED">
            <w:pPr>
              <w:rPr>
                <w:rFonts w:ascii="Arial" w:hAnsi="Arial" w:cs="Arial"/>
                <w:sz w:val="12"/>
                <w:szCs w:val="12"/>
              </w:rPr>
            </w:pPr>
            <w:r>
              <w:rPr>
                <w:rFonts w:ascii="Arial" w:hAnsi="Arial"/>
                <w:sz w:val="12"/>
                <w:szCs w:val="12"/>
              </w:rPr>
              <w:t>Santa María la Real de Nieva</w:t>
            </w:r>
          </w:p>
        </w:tc>
      </w:tr>
      <w:tr w:rsidR="002A4DDF" w:rsidRPr="00937C8B" w14:paraId="4007F276" w14:textId="77777777" w:rsidTr="00935676">
        <w:trPr>
          <w:cantSplit/>
        </w:trPr>
        <w:tc>
          <w:tcPr>
            <w:tcW w:w="1696" w:type="dxa"/>
            <w:tcBorders>
              <w:left w:val="single" w:sz="4" w:space="0" w:color="auto"/>
            </w:tcBorders>
            <w:shd w:val="clear" w:color="auto" w:fill="auto"/>
          </w:tcPr>
          <w:p w14:paraId="285DA7D0" w14:textId="77777777" w:rsidR="002A4DDF" w:rsidRPr="00937C8B" w:rsidRDefault="002A4DDF" w:rsidP="009110ED">
            <w:pPr>
              <w:rPr>
                <w:rFonts w:ascii="Arial" w:hAnsi="Arial" w:cs="Arial"/>
                <w:sz w:val="12"/>
                <w:szCs w:val="12"/>
              </w:rPr>
            </w:pPr>
          </w:p>
        </w:tc>
        <w:tc>
          <w:tcPr>
            <w:tcW w:w="1843" w:type="dxa"/>
            <w:shd w:val="clear" w:color="auto" w:fill="auto"/>
          </w:tcPr>
          <w:p w14:paraId="2BFB8BC3" w14:textId="77777777" w:rsidR="002A4DDF" w:rsidRPr="00937C8B" w:rsidRDefault="002A4DDF" w:rsidP="009110ED">
            <w:pPr>
              <w:rPr>
                <w:rFonts w:ascii="Arial" w:hAnsi="Arial" w:cs="Arial"/>
                <w:sz w:val="12"/>
                <w:szCs w:val="12"/>
              </w:rPr>
            </w:pPr>
          </w:p>
        </w:tc>
        <w:tc>
          <w:tcPr>
            <w:tcW w:w="2268" w:type="dxa"/>
            <w:shd w:val="clear" w:color="auto" w:fill="F2F2F2"/>
            <w:hideMark/>
          </w:tcPr>
          <w:p w14:paraId="6C2D9054" w14:textId="77777777" w:rsidR="002A4DDF" w:rsidRPr="00937C8B" w:rsidRDefault="002A4DDF" w:rsidP="009110ED">
            <w:pPr>
              <w:rPr>
                <w:rFonts w:ascii="Arial" w:hAnsi="Arial" w:cs="Arial"/>
                <w:sz w:val="12"/>
                <w:szCs w:val="12"/>
              </w:rPr>
            </w:pPr>
            <w:r>
              <w:rPr>
                <w:rFonts w:ascii="Arial" w:hAnsi="Arial"/>
                <w:sz w:val="12"/>
                <w:szCs w:val="12"/>
              </w:rPr>
              <w:t>Cuevas de Provanco</w:t>
            </w:r>
          </w:p>
        </w:tc>
        <w:tc>
          <w:tcPr>
            <w:tcW w:w="2268" w:type="dxa"/>
            <w:tcBorders>
              <w:right w:val="single" w:sz="4" w:space="0" w:color="auto"/>
            </w:tcBorders>
            <w:shd w:val="clear" w:color="auto" w:fill="D9D9D9"/>
          </w:tcPr>
          <w:p w14:paraId="2B06D436" w14:textId="77777777" w:rsidR="002A4DDF" w:rsidRPr="00937C8B" w:rsidRDefault="002A4DDF" w:rsidP="009110ED">
            <w:pPr>
              <w:rPr>
                <w:rFonts w:ascii="Arial" w:hAnsi="Arial" w:cs="Arial"/>
                <w:sz w:val="12"/>
                <w:szCs w:val="12"/>
              </w:rPr>
            </w:pPr>
            <w:r>
              <w:rPr>
                <w:rFonts w:ascii="Arial" w:hAnsi="Arial"/>
                <w:sz w:val="12"/>
                <w:szCs w:val="12"/>
              </w:rPr>
              <w:t>Santiuste de Pedraza</w:t>
            </w:r>
          </w:p>
        </w:tc>
      </w:tr>
      <w:tr w:rsidR="002A4DDF" w:rsidRPr="00937C8B" w14:paraId="3787AA10" w14:textId="77777777" w:rsidTr="00935676">
        <w:trPr>
          <w:cantSplit/>
        </w:trPr>
        <w:tc>
          <w:tcPr>
            <w:tcW w:w="1696" w:type="dxa"/>
            <w:tcBorders>
              <w:left w:val="single" w:sz="4" w:space="0" w:color="auto"/>
            </w:tcBorders>
            <w:shd w:val="clear" w:color="auto" w:fill="auto"/>
          </w:tcPr>
          <w:p w14:paraId="0BED605A" w14:textId="77777777" w:rsidR="002A4DDF" w:rsidRPr="00937C8B" w:rsidRDefault="002A4DDF" w:rsidP="009110ED">
            <w:pPr>
              <w:rPr>
                <w:rFonts w:ascii="Arial" w:hAnsi="Arial" w:cs="Arial"/>
                <w:sz w:val="12"/>
                <w:szCs w:val="12"/>
              </w:rPr>
            </w:pPr>
          </w:p>
        </w:tc>
        <w:tc>
          <w:tcPr>
            <w:tcW w:w="1843" w:type="dxa"/>
            <w:shd w:val="clear" w:color="auto" w:fill="auto"/>
          </w:tcPr>
          <w:p w14:paraId="2C961B1D" w14:textId="77777777" w:rsidR="002A4DDF" w:rsidRPr="00937C8B" w:rsidRDefault="002A4DDF" w:rsidP="009110ED">
            <w:pPr>
              <w:rPr>
                <w:rFonts w:ascii="Arial" w:hAnsi="Arial" w:cs="Arial"/>
                <w:sz w:val="12"/>
                <w:szCs w:val="12"/>
              </w:rPr>
            </w:pPr>
          </w:p>
        </w:tc>
        <w:tc>
          <w:tcPr>
            <w:tcW w:w="2268" w:type="dxa"/>
            <w:shd w:val="clear" w:color="auto" w:fill="F2F2F2"/>
            <w:hideMark/>
          </w:tcPr>
          <w:p w14:paraId="159AE6C7" w14:textId="77777777" w:rsidR="002A4DDF" w:rsidRPr="00937C8B" w:rsidRDefault="002A4DDF" w:rsidP="009110ED">
            <w:pPr>
              <w:rPr>
                <w:rFonts w:ascii="Arial" w:hAnsi="Arial" w:cs="Arial"/>
                <w:sz w:val="12"/>
                <w:szCs w:val="12"/>
              </w:rPr>
            </w:pPr>
            <w:r>
              <w:rPr>
                <w:rFonts w:ascii="Arial" w:hAnsi="Arial"/>
                <w:sz w:val="12"/>
                <w:szCs w:val="12"/>
              </w:rPr>
              <w:t>Domingo García</w:t>
            </w:r>
          </w:p>
        </w:tc>
        <w:tc>
          <w:tcPr>
            <w:tcW w:w="2268" w:type="dxa"/>
            <w:tcBorders>
              <w:right w:val="single" w:sz="4" w:space="0" w:color="auto"/>
            </w:tcBorders>
            <w:shd w:val="clear" w:color="auto" w:fill="D9D9D9"/>
          </w:tcPr>
          <w:p w14:paraId="72941F74" w14:textId="77777777" w:rsidR="002A4DDF" w:rsidRPr="00937C8B" w:rsidRDefault="002A4DDF" w:rsidP="009110ED">
            <w:pPr>
              <w:rPr>
                <w:rFonts w:ascii="Arial" w:hAnsi="Arial" w:cs="Arial"/>
                <w:sz w:val="12"/>
                <w:szCs w:val="12"/>
              </w:rPr>
            </w:pPr>
            <w:r>
              <w:rPr>
                <w:rFonts w:ascii="Arial" w:hAnsi="Arial"/>
                <w:sz w:val="12"/>
                <w:szCs w:val="12"/>
              </w:rPr>
              <w:t>Santo Domingo de Pirón</w:t>
            </w:r>
          </w:p>
        </w:tc>
      </w:tr>
      <w:tr w:rsidR="002A4DDF" w:rsidRPr="00937C8B" w14:paraId="7B98CD50" w14:textId="77777777" w:rsidTr="00935676">
        <w:trPr>
          <w:cantSplit/>
        </w:trPr>
        <w:tc>
          <w:tcPr>
            <w:tcW w:w="1696" w:type="dxa"/>
            <w:tcBorders>
              <w:left w:val="single" w:sz="4" w:space="0" w:color="auto"/>
            </w:tcBorders>
            <w:shd w:val="clear" w:color="auto" w:fill="auto"/>
          </w:tcPr>
          <w:p w14:paraId="6A940AA4" w14:textId="77777777" w:rsidR="002A4DDF" w:rsidRPr="00937C8B" w:rsidRDefault="002A4DDF" w:rsidP="009110ED">
            <w:pPr>
              <w:rPr>
                <w:rFonts w:ascii="Arial" w:hAnsi="Arial" w:cs="Arial"/>
                <w:sz w:val="12"/>
                <w:szCs w:val="12"/>
              </w:rPr>
            </w:pPr>
          </w:p>
        </w:tc>
        <w:tc>
          <w:tcPr>
            <w:tcW w:w="1843" w:type="dxa"/>
            <w:shd w:val="clear" w:color="auto" w:fill="auto"/>
          </w:tcPr>
          <w:p w14:paraId="4C6925D2" w14:textId="77777777" w:rsidR="002A4DDF" w:rsidRPr="00937C8B" w:rsidRDefault="002A4DDF" w:rsidP="009110ED">
            <w:pPr>
              <w:rPr>
                <w:rFonts w:ascii="Arial" w:hAnsi="Arial" w:cs="Arial"/>
                <w:sz w:val="12"/>
                <w:szCs w:val="12"/>
              </w:rPr>
            </w:pPr>
          </w:p>
        </w:tc>
        <w:tc>
          <w:tcPr>
            <w:tcW w:w="2268" w:type="dxa"/>
            <w:shd w:val="clear" w:color="auto" w:fill="F2F2F2"/>
            <w:hideMark/>
          </w:tcPr>
          <w:p w14:paraId="78DCC6DF" w14:textId="77777777" w:rsidR="002A4DDF" w:rsidRPr="00937C8B" w:rsidRDefault="002A4DDF" w:rsidP="009110ED">
            <w:pPr>
              <w:rPr>
                <w:rFonts w:ascii="Arial" w:hAnsi="Arial" w:cs="Arial"/>
                <w:sz w:val="12"/>
                <w:szCs w:val="12"/>
              </w:rPr>
            </w:pPr>
            <w:r>
              <w:rPr>
                <w:rFonts w:ascii="Arial" w:hAnsi="Arial"/>
                <w:sz w:val="12"/>
                <w:szCs w:val="12"/>
              </w:rPr>
              <w:t>Donhierro</w:t>
            </w:r>
          </w:p>
        </w:tc>
        <w:tc>
          <w:tcPr>
            <w:tcW w:w="2268" w:type="dxa"/>
            <w:tcBorders>
              <w:right w:val="single" w:sz="4" w:space="0" w:color="auto"/>
            </w:tcBorders>
            <w:shd w:val="clear" w:color="auto" w:fill="D9D9D9"/>
          </w:tcPr>
          <w:p w14:paraId="48C65432" w14:textId="77777777" w:rsidR="002A4DDF" w:rsidRPr="00937C8B" w:rsidRDefault="002A4DDF" w:rsidP="009110ED">
            <w:pPr>
              <w:rPr>
                <w:rFonts w:ascii="Arial" w:hAnsi="Arial" w:cs="Arial"/>
                <w:sz w:val="12"/>
                <w:szCs w:val="12"/>
              </w:rPr>
            </w:pPr>
            <w:r>
              <w:rPr>
                <w:rFonts w:ascii="Arial" w:hAnsi="Arial"/>
                <w:sz w:val="12"/>
                <w:szCs w:val="12"/>
              </w:rPr>
              <w:t>Santo Tomé del Puerto</w:t>
            </w:r>
          </w:p>
        </w:tc>
      </w:tr>
      <w:tr w:rsidR="002A4DDF" w:rsidRPr="00937C8B" w14:paraId="6D71846A" w14:textId="77777777" w:rsidTr="00935676">
        <w:trPr>
          <w:cantSplit/>
        </w:trPr>
        <w:tc>
          <w:tcPr>
            <w:tcW w:w="1696" w:type="dxa"/>
            <w:tcBorders>
              <w:left w:val="single" w:sz="4" w:space="0" w:color="auto"/>
            </w:tcBorders>
            <w:shd w:val="clear" w:color="auto" w:fill="auto"/>
          </w:tcPr>
          <w:p w14:paraId="30097D62" w14:textId="77777777" w:rsidR="002A4DDF" w:rsidRPr="00937C8B" w:rsidRDefault="002A4DDF" w:rsidP="009110ED">
            <w:pPr>
              <w:rPr>
                <w:rFonts w:ascii="Arial" w:hAnsi="Arial" w:cs="Arial"/>
                <w:sz w:val="12"/>
                <w:szCs w:val="12"/>
              </w:rPr>
            </w:pPr>
          </w:p>
        </w:tc>
        <w:tc>
          <w:tcPr>
            <w:tcW w:w="1843" w:type="dxa"/>
            <w:shd w:val="clear" w:color="auto" w:fill="auto"/>
          </w:tcPr>
          <w:p w14:paraId="771BF43C" w14:textId="77777777" w:rsidR="002A4DDF" w:rsidRPr="00937C8B" w:rsidRDefault="002A4DDF" w:rsidP="009110ED">
            <w:pPr>
              <w:rPr>
                <w:rFonts w:ascii="Arial" w:hAnsi="Arial" w:cs="Arial"/>
                <w:sz w:val="12"/>
                <w:szCs w:val="12"/>
              </w:rPr>
            </w:pPr>
          </w:p>
        </w:tc>
        <w:tc>
          <w:tcPr>
            <w:tcW w:w="2268" w:type="dxa"/>
            <w:shd w:val="clear" w:color="auto" w:fill="F2F2F2"/>
            <w:hideMark/>
          </w:tcPr>
          <w:p w14:paraId="0675A79F" w14:textId="77777777" w:rsidR="002A4DDF" w:rsidRPr="00937C8B" w:rsidRDefault="002A4DDF" w:rsidP="009110ED">
            <w:pPr>
              <w:rPr>
                <w:rFonts w:ascii="Arial" w:hAnsi="Arial" w:cs="Arial"/>
                <w:sz w:val="12"/>
                <w:szCs w:val="12"/>
              </w:rPr>
            </w:pPr>
            <w:r>
              <w:rPr>
                <w:rFonts w:ascii="Arial" w:hAnsi="Arial"/>
                <w:sz w:val="12"/>
                <w:szCs w:val="12"/>
              </w:rPr>
              <w:t>Duruelo</w:t>
            </w:r>
          </w:p>
        </w:tc>
        <w:tc>
          <w:tcPr>
            <w:tcW w:w="2268" w:type="dxa"/>
            <w:tcBorders>
              <w:right w:val="single" w:sz="4" w:space="0" w:color="auto"/>
            </w:tcBorders>
            <w:shd w:val="clear" w:color="auto" w:fill="D9D9D9"/>
          </w:tcPr>
          <w:p w14:paraId="6AAC421F" w14:textId="77777777" w:rsidR="002A4DDF" w:rsidRPr="00937C8B" w:rsidRDefault="002A4DDF" w:rsidP="009110ED">
            <w:pPr>
              <w:rPr>
                <w:rFonts w:ascii="Arial" w:hAnsi="Arial" w:cs="Arial"/>
                <w:sz w:val="12"/>
                <w:szCs w:val="12"/>
              </w:rPr>
            </w:pPr>
            <w:r>
              <w:rPr>
                <w:rFonts w:ascii="Arial" w:hAnsi="Arial"/>
                <w:sz w:val="12"/>
                <w:szCs w:val="12"/>
              </w:rPr>
              <w:t>Ségovie</w:t>
            </w:r>
          </w:p>
        </w:tc>
      </w:tr>
      <w:tr w:rsidR="002A4DDF" w:rsidRPr="00937C8B" w14:paraId="25A1F127" w14:textId="77777777" w:rsidTr="00935676">
        <w:trPr>
          <w:cantSplit/>
        </w:trPr>
        <w:tc>
          <w:tcPr>
            <w:tcW w:w="1696" w:type="dxa"/>
            <w:tcBorders>
              <w:left w:val="single" w:sz="4" w:space="0" w:color="auto"/>
            </w:tcBorders>
            <w:shd w:val="clear" w:color="auto" w:fill="auto"/>
          </w:tcPr>
          <w:p w14:paraId="36F1B897" w14:textId="77777777" w:rsidR="002A4DDF" w:rsidRPr="00937C8B" w:rsidRDefault="002A4DDF" w:rsidP="009110ED">
            <w:pPr>
              <w:rPr>
                <w:rFonts w:ascii="Arial" w:hAnsi="Arial" w:cs="Arial"/>
                <w:sz w:val="12"/>
                <w:szCs w:val="12"/>
              </w:rPr>
            </w:pPr>
          </w:p>
        </w:tc>
        <w:tc>
          <w:tcPr>
            <w:tcW w:w="1843" w:type="dxa"/>
            <w:shd w:val="clear" w:color="auto" w:fill="auto"/>
          </w:tcPr>
          <w:p w14:paraId="724349DA" w14:textId="77777777" w:rsidR="002A4DDF" w:rsidRPr="00937C8B" w:rsidRDefault="002A4DDF" w:rsidP="009110ED">
            <w:pPr>
              <w:rPr>
                <w:rFonts w:ascii="Arial" w:hAnsi="Arial" w:cs="Arial"/>
                <w:sz w:val="12"/>
                <w:szCs w:val="12"/>
              </w:rPr>
            </w:pPr>
          </w:p>
        </w:tc>
        <w:tc>
          <w:tcPr>
            <w:tcW w:w="2268" w:type="dxa"/>
            <w:shd w:val="clear" w:color="auto" w:fill="F2F2F2"/>
            <w:hideMark/>
          </w:tcPr>
          <w:p w14:paraId="1A751799" w14:textId="77777777" w:rsidR="002A4DDF" w:rsidRPr="00937C8B" w:rsidRDefault="002A4DDF" w:rsidP="009110ED">
            <w:pPr>
              <w:rPr>
                <w:rFonts w:ascii="Arial" w:hAnsi="Arial" w:cs="Arial"/>
                <w:sz w:val="12"/>
                <w:szCs w:val="12"/>
              </w:rPr>
            </w:pPr>
            <w:r>
              <w:rPr>
                <w:rFonts w:ascii="Arial" w:hAnsi="Arial"/>
                <w:sz w:val="12"/>
                <w:szCs w:val="12"/>
              </w:rPr>
              <w:t>Encinillas</w:t>
            </w:r>
          </w:p>
        </w:tc>
        <w:tc>
          <w:tcPr>
            <w:tcW w:w="2268" w:type="dxa"/>
            <w:tcBorders>
              <w:right w:val="single" w:sz="4" w:space="0" w:color="auto"/>
            </w:tcBorders>
            <w:shd w:val="clear" w:color="auto" w:fill="D9D9D9"/>
          </w:tcPr>
          <w:p w14:paraId="19171589" w14:textId="77777777" w:rsidR="002A4DDF" w:rsidRPr="00937C8B" w:rsidRDefault="002A4DDF" w:rsidP="009110ED">
            <w:pPr>
              <w:rPr>
                <w:rFonts w:ascii="Arial" w:hAnsi="Arial" w:cs="Arial"/>
                <w:sz w:val="12"/>
                <w:szCs w:val="12"/>
              </w:rPr>
            </w:pPr>
            <w:r>
              <w:rPr>
                <w:rFonts w:ascii="Arial" w:hAnsi="Arial"/>
                <w:sz w:val="12"/>
                <w:szCs w:val="12"/>
              </w:rPr>
              <w:t>Sotosalbos</w:t>
            </w:r>
          </w:p>
        </w:tc>
      </w:tr>
      <w:tr w:rsidR="002A4DDF" w:rsidRPr="00937C8B" w14:paraId="2B380A3A" w14:textId="77777777" w:rsidTr="00935676">
        <w:trPr>
          <w:cantSplit/>
        </w:trPr>
        <w:tc>
          <w:tcPr>
            <w:tcW w:w="1696" w:type="dxa"/>
            <w:tcBorders>
              <w:left w:val="single" w:sz="4" w:space="0" w:color="auto"/>
            </w:tcBorders>
            <w:shd w:val="clear" w:color="auto" w:fill="auto"/>
          </w:tcPr>
          <w:p w14:paraId="50AD2A7A" w14:textId="77777777" w:rsidR="002A4DDF" w:rsidRPr="00937C8B" w:rsidRDefault="002A4DDF" w:rsidP="009110ED">
            <w:pPr>
              <w:rPr>
                <w:rFonts w:ascii="Arial" w:hAnsi="Arial" w:cs="Arial"/>
                <w:sz w:val="12"/>
                <w:szCs w:val="12"/>
              </w:rPr>
            </w:pPr>
          </w:p>
        </w:tc>
        <w:tc>
          <w:tcPr>
            <w:tcW w:w="1843" w:type="dxa"/>
            <w:shd w:val="clear" w:color="auto" w:fill="auto"/>
          </w:tcPr>
          <w:p w14:paraId="1E4364D6" w14:textId="77777777" w:rsidR="002A4DDF" w:rsidRPr="00937C8B" w:rsidRDefault="002A4DDF" w:rsidP="009110ED">
            <w:pPr>
              <w:rPr>
                <w:rFonts w:ascii="Arial" w:hAnsi="Arial" w:cs="Arial"/>
                <w:sz w:val="12"/>
                <w:szCs w:val="12"/>
              </w:rPr>
            </w:pPr>
          </w:p>
        </w:tc>
        <w:tc>
          <w:tcPr>
            <w:tcW w:w="2268" w:type="dxa"/>
            <w:shd w:val="clear" w:color="auto" w:fill="F2F2F2"/>
            <w:hideMark/>
          </w:tcPr>
          <w:p w14:paraId="1A802968" w14:textId="77777777" w:rsidR="002A4DDF" w:rsidRPr="00937C8B" w:rsidRDefault="002A4DDF" w:rsidP="009110ED">
            <w:pPr>
              <w:rPr>
                <w:rFonts w:ascii="Arial" w:hAnsi="Arial" w:cs="Arial"/>
                <w:sz w:val="12"/>
                <w:szCs w:val="12"/>
              </w:rPr>
            </w:pPr>
            <w:r>
              <w:rPr>
                <w:rFonts w:ascii="Arial" w:hAnsi="Arial"/>
                <w:sz w:val="12"/>
                <w:szCs w:val="12"/>
              </w:rPr>
              <w:t>Escalona del Prado</w:t>
            </w:r>
          </w:p>
        </w:tc>
        <w:tc>
          <w:tcPr>
            <w:tcW w:w="2268" w:type="dxa"/>
            <w:tcBorders>
              <w:right w:val="single" w:sz="4" w:space="0" w:color="auto"/>
            </w:tcBorders>
            <w:shd w:val="clear" w:color="auto" w:fill="D9D9D9"/>
          </w:tcPr>
          <w:p w14:paraId="41C12F15" w14:textId="77777777" w:rsidR="002A4DDF" w:rsidRPr="00937C8B" w:rsidRDefault="002A4DDF" w:rsidP="009110ED">
            <w:pPr>
              <w:rPr>
                <w:rFonts w:ascii="Arial" w:hAnsi="Arial" w:cs="Arial"/>
                <w:sz w:val="12"/>
                <w:szCs w:val="12"/>
              </w:rPr>
            </w:pPr>
            <w:r>
              <w:rPr>
                <w:rFonts w:ascii="Arial" w:hAnsi="Arial"/>
                <w:sz w:val="12"/>
                <w:szCs w:val="12"/>
              </w:rPr>
              <w:t>Torre Val de San Pedro</w:t>
            </w:r>
          </w:p>
        </w:tc>
      </w:tr>
      <w:tr w:rsidR="002A4DDF" w:rsidRPr="00937C8B" w14:paraId="77746E76" w14:textId="77777777" w:rsidTr="00935676">
        <w:trPr>
          <w:cantSplit/>
        </w:trPr>
        <w:tc>
          <w:tcPr>
            <w:tcW w:w="1696" w:type="dxa"/>
            <w:tcBorders>
              <w:left w:val="single" w:sz="4" w:space="0" w:color="auto"/>
            </w:tcBorders>
            <w:shd w:val="clear" w:color="auto" w:fill="auto"/>
          </w:tcPr>
          <w:p w14:paraId="1FED257E" w14:textId="77777777" w:rsidR="002A4DDF" w:rsidRPr="00937C8B" w:rsidRDefault="002A4DDF" w:rsidP="009110ED">
            <w:pPr>
              <w:rPr>
                <w:rFonts w:ascii="Arial" w:hAnsi="Arial" w:cs="Arial"/>
                <w:sz w:val="12"/>
                <w:szCs w:val="12"/>
              </w:rPr>
            </w:pPr>
          </w:p>
        </w:tc>
        <w:tc>
          <w:tcPr>
            <w:tcW w:w="1843" w:type="dxa"/>
            <w:shd w:val="clear" w:color="auto" w:fill="auto"/>
          </w:tcPr>
          <w:p w14:paraId="67C4251E" w14:textId="77777777" w:rsidR="002A4DDF" w:rsidRPr="00937C8B" w:rsidRDefault="002A4DDF" w:rsidP="009110ED">
            <w:pPr>
              <w:rPr>
                <w:rFonts w:ascii="Arial" w:hAnsi="Arial" w:cs="Arial"/>
                <w:sz w:val="12"/>
                <w:szCs w:val="12"/>
              </w:rPr>
            </w:pPr>
          </w:p>
        </w:tc>
        <w:tc>
          <w:tcPr>
            <w:tcW w:w="2268" w:type="dxa"/>
            <w:shd w:val="clear" w:color="auto" w:fill="F2F2F2"/>
            <w:hideMark/>
          </w:tcPr>
          <w:p w14:paraId="6AD0E1A3" w14:textId="77777777" w:rsidR="002A4DDF" w:rsidRPr="00937C8B" w:rsidRDefault="002A4DDF" w:rsidP="009110ED">
            <w:pPr>
              <w:rPr>
                <w:rFonts w:ascii="Arial" w:hAnsi="Arial" w:cs="Arial"/>
                <w:sz w:val="12"/>
                <w:szCs w:val="12"/>
              </w:rPr>
            </w:pPr>
            <w:r>
              <w:rPr>
                <w:rFonts w:ascii="Arial" w:hAnsi="Arial"/>
                <w:sz w:val="12"/>
                <w:szCs w:val="12"/>
              </w:rPr>
              <w:t>Escarabajosa de Cabezas</w:t>
            </w:r>
          </w:p>
        </w:tc>
        <w:tc>
          <w:tcPr>
            <w:tcW w:w="2268" w:type="dxa"/>
            <w:tcBorders>
              <w:right w:val="single" w:sz="4" w:space="0" w:color="auto"/>
            </w:tcBorders>
            <w:shd w:val="clear" w:color="auto" w:fill="D9D9D9"/>
          </w:tcPr>
          <w:p w14:paraId="6A6D2013" w14:textId="77777777" w:rsidR="002A4DDF" w:rsidRPr="00937C8B" w:rsidRDefault="002A4DDF" w:rsidP="009110ED">
            <w:pPr>
              <w:rPr>
                <w:rFonts w:ascii="Arial" w:hAnsi="Arial" w:cs="Arial"/>
                <w:sz w:val="12"/>
                <w:szCs w:val="12"/>
              </w:rPr>
            </w:pPr>
            <w:r>
              <w:rPr>
                <w:rFonts w:ascii="Arial" w:hAnsi="Arial"/>
                <w:sz w:val="12"/>
                <w:szCs w:val="12"/>
              </w:rPr>
              <w:t>Torrecaballeros</w:t>
            </w:r>
          </w:p>
        </w:tc>
      </w:tr>
      <w:tr w:rsidR="002A4DDF" w:rsidRPr="00937C8B" w14:paraId="7FC0CA5C" w14:textId="77777777" w:rsidTr="00935676">
        <w:trPr>
          <w:cantSplit/>
        </w:trPr>
        <w:tc>
          <w:tcPr>
            <w:tcW w:w="1696" w:type="dxa"/>
            <w:tcBorders>
              <w:left w:val="single" w:sz="4" w:space="0" w:color="auto"/>
            </w:tcBorders>
            <w:shd w:val="clear" w:color="auto" w:fill="auto"/>
          </w:tcPr>
          <w:p w14:paraId="48BEA4D8" w14:textId="77777777" w:rsidR="002A4DDF" w:rsidRPr="00937C8B" w:rsidRDefault="002A4DDF" w:rsidP="009110ED">
            <w:pPr>
              <w:rPr>
                <w:rFonts w:ascii="Arial" w:hAnsi="Arial" w:cs="Arial"/>
                <w:sz w:val="12"/>
                <w:szCs w:val="12"/>
              </w:rPr>
            </w:pPr>
          </w:p>
        </w:tc>
        <w:tc>
          <w:tcPr>
            <w:tcW w:w="1843" w:type="dxa"/>
            <w:shd w:val="clear" w:color="auto" w:fill="auto"/>
          </w:tcPr>
          <w:p w14:paraId="54C6D599" w14:textId="77777777" w:rsidR="002A4DDF" w:rsidRPr="00937C8B" w:rsidRDefault="002A4DDF" w:rsidP="009110ED">
            <w:pPr>
              <w:rPr>
                <w:rFonts w:ascii="Arial" w:hAnsi="Arial" w:cs="Arial"/>
                <w:sz w:val="12"/>
                <w:szCs w:val="12"/>
              </w:rPr>
            </w:pPr>
          </w:p>
        </w:tc>
        <w:tc>
          <w:tcPr>
            <w:tcW w:w="2268" w:type="dxa"/>
            <w:shd w:val="clear" w:color="auto" w:fill="F2F2F2"/>
            <w:hideMark/>
          </w:tcPr>
          <w:p w14:paraId="6AFD3455" w14:textId="77777777" w:rsidR="002A4DDF" w:rsidRPr="00937C8B" w:rsidRDefault="002A4DDF" w:rsidP="009110ED">
            <w:pPr>
              <w:rPr>
                <w:rFonts w:ascii="Arial" w:hAnsi="Arial" w:cs="Arial"/>
                <w:sz w:val="12"/>
                <w:szCs w:val="12"/>
              </w:rPr>
            </w:pPr>
            <w:r>
              <w:rPr>
                <w:rFonts w:ascii="Arial" w:hAnsi="Arial"/>
                <w:sz w:val="12"/>
                <w:szCs w:val="12"/>
              </w:rPr>
              <w:t>Escobar de Polendos</w:t>
            </w:r>
          </w:p>
        </w:tc>
        <w:tc>
          <w:tcPr>
            <w:tcW w:w="2268" w:type="dxa"/>
            <w:tcBorders>
              <w:right w:val="single" w:sz="4" w:space="0" w:color="auto"/>
            </w:tcBorders>
            <w:shd w:val="clear" w:color="auto" w:fill="D9D9D9"/>
          </w:tcPr>
          <w:p w14:paraId="0ECD9459" w14:textId="77777777" w:rsidR="002A4DDF" w:rsidRPr="00937C8B" w:rsidRDefault="002A4DDF" w:rsidP="009110ED">
            <w:pPr>
              <w:rPr>
                <w:rFonts w:ascii="Arial" w:hAnsi="Arial" w:cs="Arial"/>
                <w:sz w:val="12"/>
                <w:szCs w:val="12"/>
              </w:rPr>
            </w:pPr>
            <w:r>
              <w:rPr>
                <w:rFonts w:ascii="Arial" w:hAnsi="Arial"/>
                <w:sz w:val="12"/>
                <w:szCs w:val="12"/>
              </w:rPr>
              <w:t>Torreiglesias</w:t>
            </w:r>
          </w:p>
        </w:tc>
      </w:tr>
      <w:tr w:rsidR="002A4DDF" w:rsidRPr="00937C8B" w14:paraId="29507BF2" w14:textId="77777777" w:rsidTr="00935676">
        <w:trPr>
          <w:cantSplit/>
        </w:trPr>
        <w:tc>
          <w:tcPr>
            <w:tcW w:w="1696" w:type="dxa"/>
            <w:tcBorders>
              <w:left w:val="single" w:sz="4" w:space="0" w:color="auto"/>
            </w:tcBorders>
            <w:shd w:val="clear" w:color="auto" w:fill="auto"/>
          </w:tcPr>
          <w:p w14:paraId="222015D2" w14:textId="77777777" w:rsidR="002A4DDF" w:rsidRPr="00937C8B" w:rsidRDefault="002A4DDF" w:rsidP="009110ED">
            <w:pPr>
              <w:rPr>
                <w:rFonts w:ascii="Arial" w:hAnsi="Arial" w:cs="Arial"/>
                <w:sz w:val="12"/>
                <w:szCs w:val="12"/>
              </w:rPr>
            </w:pPr>
          </w:p>
        </w:tc>
        <w:tc>
          <w:tcPr>
            <w:tcW w:w="1843" w:type="dxa"/>
            <w:shd w:val="clear" w:color="auto" w:fill="auto"/>
          </w:tcPr>
          <w:p w14:paraId="43F1F06E" w14:textId="77777777" w:rsidR="002A4DDF" w:rsidRPr="00937C8B" w:rsidRDefault="002A4DDF" w:rsidP="009110ED">
            <w:pPr>
              <w:rPr>
                <w:rFonts w:ascii="Arial" w:hAnsi="Arial" w:cs="Arial"/>
                <w:sz w:val="12"/>
                <w:szCs w:val="12"/>
              </w:rPr>
            </w:pPr>
          </w:p>
        </w:tc>
        <w:tc>
          <w:tcPr>
            <w:tcW w:w="2268" w:type="dxa"/>
            <w:shd w:val="clear" w:color="auto" w:fill="F2F2F2"/>
            <w:hideMark/>
          </w:tcPr>
          <w:p w14:paraId="33A18F51" w14:textId="77777777" w:rsidR="002A4DDF" w:rsidRPr="00937C8B" w:rsidRDefault="002A4DDF" w:rsidP="009110ED">
            <w:pPr>
              <w:rPr>
                <w:rFonts w:ascii="Arial" w:hAnsi="Arial" w:cs="Arial"/>
                <w:sz w:val="12"/>
                <w:szCs w:val="12"/>
              </w:rPr>
            </w:pPr>
            <w:r>
              <w:rPr>
                <w:rFonts w:ascii="Arial" w:hAnsi="Arial"/>
                <w:sz w:val="12"/>
                <w:szCs w:val="12"/>
              </w:rPr>
              <w:t>Fresno de Cantespino</w:t>
            </w:r>
          </w:p>
        </w:tc>
        <w:tc>
          <w:tcPr>
            <w:tcW w:w="2268" w:type="dxa"/>
            <w:tcBorders>
              <w:right w:val="single" w:sz="4" w:space="0" w:color="auto"/>
            </w:tcBorders>
            <w:shd w:val="clear" w:color="auto" w:fill="D9D9D9"/>
          </w:tcPr>
          <w:p w14:paraId="5803EAB8" w14:textId="77777777" w:rsidR="002A4DDF" w:rsidRPr="00937C8B" w:rsidRDefault="002A4DDF" w:rsidP="009110ED">
            <w:pPr>
              <w:rPr>
                <w:rFonts w:ascii="Arial" w:hAnsi="Arial" w:cs="Arial"/>
                <w:sz w:val="12"/>
                <w:szCs w:val="12"/>
              </w:rPr>
            </w:pPr>
            <w:r>
              <w:rPr>
                <w:rFonts w:ascii="Arial" w:hAnsi="Arial"/>
                <w:sz w:val="12"/>
                <w:szCs w:val="12"/>
              </w:rPr>
              <w:t>Trescasas</w:t>
            </w:r>
          </w:p>
        </w:tc>
      </w:tr>
      <w:tr w:rsidR="002A4DDF" w:rsidRPr="00937C8B" w14:paraId="66C13374" w14:textId="77777777" w:rsidTr="00935676">
        <w:trPr>
          <w:cantSplit/>
        </w:trPr>
        <w:tc>
          <w:tcPr>
            <w:tcW w:w="1696" w:type="dxa"/>
            <w:tcBorders>
              <w:left w:val="single" w:sz="4" w:space="0" w:color="auto"/>
            </w:tcBorders>
            <w:shd w:val="clear" w:color="auto" w:fill="auto"/>
          </w:tcPr>
          <w:p w14:paraId="0FAFCA5C" w14:textId="77777777" w:rsidR="002A4DDF" w:rsidRPr="00937C8B" w:rsidRDefault="002A4DDF" w:rsidP="009110ED">
            <w:pPr>
              <w:rPr>
                <w:rFonts w:ascii="Arial" w:hAnsi="Arial" w:cs="Arial"/>
                <w:sz w:val="12"/>
                <w:szCs w:val="12"/>
              </w:rPr>
            </w:pPr>
          </w:p>
        </w:tc>
        <w:tc>
          <w:tcPr>
            <w:tcW w:w="1843" w:type="dxa"/>
            <w:shd w:val="clear" w:color="auto" w:fill="auto"/>
          </w:tcPr>
          <w:p w14:paraId="65F2DDEC" w14:textId="77777777" w:rsidR="002A4DDF" w:rsidRPr="00937C8B" w:rsidRDefault="002A4DDF" w:rsidP="009110ED">
            <w:pPr>
              <w:rPr>
                <w:rFonts w:ascii="Arial" w:hAnsi="Arial" w:cs="Arial"/>
                <w:sz w:val="12"/>
                <w:szCs w:val="12"/>
              </w:rPr>
            </w:pPr>
          </w:p>
        </w:tc>
        <w:tc>
          <w:tcPr>
            <w:tcW w:w="2268" w:type="dxa"/>
            <w:shd w:val="clear" w:color="auto" w:fill="F2F2F2"/>
            <w:hideMark/>
          </w:tcPr>
          <w:p w14:paraId="313890E9" w14:textId="77777777" w:rsidR="002A4DDF" w:rsidRPr="00937C8B" w:rsidRDefault="002A4DDF" w:rsidP="009110ED">
            <w:pPr>
              <w:rPr>
                <w:rFonts w:ascii="Arial" w:hAnsi="Arial" w:cs="Arial"/>
                <w:sz w:val="12"/>
                <w:szCs w:val="12"/>
              </w:rPr>
            </w:pPr>
            <w:r>
              <w:rPr>
                <w:rFonts w:ascii="Arial" w:hAnsi="Arial"/>
                <w:sz w:val="12"/>
                <w:szCs w:val="12"/>
              </w:rPr>
              <w:t>Fuente de Santa Cruz</w:t>
            </w:r>
          </w:p>
        </w:tc>
        <w:tc>
          <w:tcPr>
            <w:tcW w:w="2268" w:type="dxa"/>
            <w:tcBorders>
              <w:right w:val="single" w:sz="4" w:space="0" w:color="auto"/>
            </w:tcBorders>
            <w:shd w:val="clear" w:color="auto" w:fill="D9D9D9"/>
          </w:tcPr>
          <w:p w14:paraId="621BFCE1" w14:textId="77777777" w:rsidR="002A4DDF" w:rsidRPr="00937C8B" w:rsidRDefault="002A4DDF" w:rsidP="009110ED">
            <w:pPr>
              <w:rPr>
                <w:rFonts w:ascii="Arial" w:hAnsi="Arial" w:cs="Arial"/>
                <w:sz w:val="12"/>
                <w:szCs w:val="12"/>
              </w:rPr>
            </w:pPr>
            <w:r>
              <w:rPr>
                <w:rFonts w:ascii="Arial" w:hAnsi="Arial"/>
                <w:sz w:val="12"/>
                <w:szCs w:val="12"/>
              </w:rPr>
              <w:t>Turégano</w:t>
            </w:r>
          </w:p>
        </w:tc>
      </w:tr>
      <w:tr w:rsidR="002A4DDF" w:rsidRPr="00937C8B" w14:paraId="131957B4" w14:textId="77777777" w:rsidTr="00935676">
        <w:trPr>
          <w:cantSplit/>
        </w:trPr>
        <w:tc>
          <w:tcPr>
            <w:tcW w:w="1696" w:type="dxa"/>
            <w:tcBorders>
              <w:left w:val="single" w:sz="4" w:space="0" w:color="auto"/>
            </w:tcBorders>
            <w:shd w:val="clear" w:color="auto" w:fill="auto"/>
          </w:tcPr>
          <w:p w14:paraId="1CDFE2AD" w14:textId="77777777" w:rsidR="002A4DDF" w:rsidRPr="00937C8B" w:rsidRDefault="002A4DDF" w:rsidP="009110ED">
            <w:pPr>
              <w:rPr>
                <w:rFonts w:ascii="Arial" w:hAnsi="Arial" w:cs="Arial"/>
                <w:sz w:val="12"/>
                <w:szCs w:val="12"/>
              </w:rPr>
            </w:pPr>
          </w:p>
        </w:tc>
        <w:tc>
          <w:tcPr>
            <w:tcW w:w="1843" w:type="dxa"/>
            <w:shd w:val="clear" w:color="auto" w:fill="auto"/>
          </w:tcPr>
          <w:p w14:paraId="5407D226" w14:textId="77777777" w:rsidR="002A4DDF" w:rsidRPr="00937C8B" w:rsidRDefault="002A4DDF" w:rsidP="009110ED">
            <w:pPr>
              <w:rPr>
                <w:rFonts w:ascii="Arial" w:hAnsi="Arial" w:cs="Arial"/>
                <w:sz w:val="12"/>
                <w:szCs w:val="12"/>
              </w:rPr>
            </w:pPr>
          </w:p>
        </w:tc>
        <w:tc>
          <w:tcPr>
            <w:tcW w:w="2268" w:type="dxa"/>
            <w:shd w:val="clear" w:color="auto" w:fill="F2F2F2"/>
            <w:hideMark/>
          </w:tcPr>
          <w:p w14:paraId="4B15EAB3" w14:textId="77777777" w:rsidR="002A4DDF" w:rsidRPr="00937C8B" w:rsidRDefault="002A4DDF" w:rsidP="009110ED">
            <w:pPr>
              <w:rPr>
                <w:rFonts w:ascii="Arial" w:hAnsi="Arial" w:cs="Arial"/>
                <w:sz w:val="12"/>
                <w:szCs w:val="12"/>
              </w:rPr>
            </w:pPr>
            <w:r>
              <w:rPr>
                <w:rFonts w:ascii="Arial" w:hAnsi="Arial"/>
                <w:sz w:val="12"/>
                <w:szCs w:val="12"/>
              </w:rPr>
              <w:t>Fuentepelayo</w:t>
            </w:r>
          </w:p>
        </w:tc>
        <w:tc>
          <w:tcPr>
            <w:tcW w:w="2268" w:type="dxa"/>
            <w:tcBorders>
              <w:right w:val="single" w:sz="4" w:space="0" w:color="auto"/>
            </w:tcBorders>
            <w:shd w:val="clear" w:color="auto" w:fill="D9D9D9"/>
          </w:tcPr>
          <w:p w14:paraId="22D9A846" w14:textId="77777777" w:rsidR="002A4DDF" w:rsidRPr="00937C8B" w:rsidRDefault="002A4DDF" w:rsidP="009110ED">
            <w:pPr>
              <w:rPr>
                <w:rFonts w:ascii="Arial" w:hAnsi="Arial" w:cs="Arial"/>
                <w:sz w:val="12"/>
                <w:szCs w:val="12"/>
              </w:rPr>
            </w:pPr>
            <w:r>
              <w:rPr>
                <w:rFonts w:ascii="Arial" w:hAnsi="Arial"/>
                <w:sz w:val="12"/>
                <w:szCs w:val="12"/>
              </w:rPr>
              <w:t>Valdeprados</w:t>
            </w:r>
          </w:p>
        </w:tc>
      </w:tr>
      <w:tr w:rsidR="002A4DDF" w:rsidRPr="00937C8B" w14:paraId="63604E47" w14:textId="77777777" w:rsidTr="00935676">
        <w:trPr>
          <w:cantSplit/>
        </w:trPr>
        <w:tc>
          <w:tcPr>
            <w:tcW w:w="1696" w:type="dxa"/>
            <w:tcBorders>
              <w:left w:val="single" w:sz="4" w:space="0" w:color="auto"/>
            </w:tcBorders>
            <w:shd w:val="clear" w:color="auto" w:fill="auto"/>
          </w:tcPr>
          <w:p w14:paraId="4E4658CD" w14:textId="77777777" w:rsidR="002A4DDF" w:rsidRPr="00937C8B" w:rsidRDefault="002A4DDF" w:rsidP="009110ED">
            <w:pPr>
              <w:rPr>
                <w:rFonts w:ascii="Arial" w:hAnsi="Arial" w:cs="Arial"/>
                <w:sz w:val="12"/>
                <w:szCs w:val="12"/>
              </w:rPr>
            </w:pPr>
          </w:p>
        </w:tc>
        <w:tc>
          <w:tcPr>
            <w:tcW w:w="1843" w:type="dxa"/>
            <w:shd w:val="clear" w:color="auto" w:fill="auto"/>
          </w:tcPr>
          <w:p w14:paraId="7BC98417" w14:textId="77777777" w:rsidR="002A4DDF" w:rsidRPr="00937C8B" w:rsidRDefault="002A4DDF" w:rsidP="009110ED">
            <w:pPr>
              <w:rPr>
                <w:rFonts w:ascii="Arial" w:hAnsi="Arial" w:cs="Arial"/>
                <w:sz w:val="12"/>
                <w:szCs w:val="12"/>
              </w:rPr>
            </w:pPr>
          </w:p>
        </w:tc>
        <w:tc>
          <w:tcPr>
            <w:tcW w:w="2268" w:type="dxa"/>
            <w:shd w:val="clear" w:color="auto" w:fill="F2F2F2"/>
            <w:hideMark/>
          </w:tcPr>
          <w:p w14:paraId="7CDD5B77" w14:textId="77777777" w:rsidR="002A4DDF" w:rsidRPr="00937C8B" w:rsidRDefault="002A4DDF" w:rsidP="009110ED">
            <w:pPr>
              <w:rPr>
                <w:rFonts w:ascii="Arial" w:hAnsi="Arial" w:cs="Arial"/>
                <w:sz w:val="12"/>
                <w:szCs w:val="12"/>
              </w:rPr>
            </w:pPr>
            <w:r>
              <w:rPr>
                <w:rFonts w:ascii="Arial" w:hAnsi="Arial"/>
                <w:sz w:val="12"/>
                <w:szCs w:val="12"/>
              </w:rPr>
              <w:t>Fuentesaúco de Fuentidueña</w:t>
            </w:r>
          </w:p>
        </w:tc>
        <w:tc>
          <w:tcPr>
            <w:tcW w:w="2268" w:type="dxa"/>
            <w:tcBorders>
              <w:right w:val="single" w:sz="4" w:space="0" w:color="auto"/>
            </w:tcBorders>
            <w:shd w:val="clear" w:color="auto" w:fill="D9D9D9"/>
          </w:tcPr>
          <w:p w14:paraId="530AE0D6" w14:textId="77777777" w:rsidR="002A4DDF" w:rsidRPr="00937C8B" w:rsidRDefault="002A4DDF" w:rsidP="009110ED">
            <w:pPr>
              <w:rPr>
                <w:rFonts w:ascii="Arial" w:hAnsi="Arial" w:cs="Arial"/>
                <w:sz w:val="12"/>
                <w:szCs w:val="12"/>
              </w:rPr>
            </w:pPr>
            <w:r>
              <w:rPr>
                <w:rFonts w:ascii="Arial" w:hAnsi="Arial"/>
                <w:sz w:val="12"/>
                <w:szCs w:val="12"/>
              </w:rPr>
              <w:t>Valdevacas y Guijar</w:t>
            </w:r>
          </w:p>
        </w:tc>
      </w:tr>
      <w:tr w:rsidR="002A4DDF" w:rsidRPr="00937C8B" w14:paraId="79628ECA" w14:textId="77777777" w:rsidTr="00935676">
        <w:trPr>
          <w:cantSplit/>
        </w:trPr>
        <w:tc>
          <w:tcPr>
            <w:tcW w:w="1696" w:type="dxa"/>
            <w:tcBorders>
              <w:left w:val="single" w:sz="4" w:space="0" w:color="auto"/>
            </w:tcBorders>
            <w:shd w:val="clear" w:color="auto" w:fill="auto"/>
          </w:tcPr>
          <w:p w14:paraId="00A7E026" w14:textId="77777777" w:rsidR="002A4DDF" w:rsidRPr="00937C8B" w:rsidRDefault="002A4DDF" w:rsidP="009110ED">
            <w:pPr>
              <w:rPr>
                <w:rFonts w:ascii="Arial" w:hAnsi="Arial" w:cs="Arial"/>
                <w:sz w:val="12"/>
                <w:szCs w:val="12"/>
              </w:rPr>
            </w:pPr>
          </w:p>
        </w:tc>
        <w:tc>
          <w:tcPr>
            <w:tcW w:w="1843" w:type="dxa"/>
            <w:shd w:val="clear" w:color="auto" w:fill="auto"/>
          </w:tcPr>
          <w:p w14:paraId="434EC9ED" w14:textId="77777777" w:rsidR="002A4DDF" w:rsidRPr="00937C8B" w:rsidRDefault="002A4DDF" w:rsidP="009110ED">
            <w:pPr>
              <w:rPr>
                <w:rFonts w:ascii="Arial" w:hAnsi="Arial" w:cs="Arial"/>
                <w:sz w:val="12"/>
                <w:szCs w:val="12"/>
              </w:rPr>
            </w:pPr>
          </w:p>
        </w:tc>
        <w:tc>
          <w:tcPr>
            <w:tcW w:w="2268" w:type="dxa"/>
            <w:shd w:val="clear" w:color="auto" w:fill="F2F2F2"/>
            <w:hideMark/>
          </w:tcPr>
          <w:p w14:paraId="40A564D0" w14:textId="77777777" w:rsidR="002A4DDF" w:rsidRPr="00937C8B" w:rsidRDefault="002A4DDF" w:rsidP="009110ED">
            <w:pPr>
              <w:rPr>
                <w:rFonts w:ascii="Arial" w:hAnsi="Arial" w:cs="Arial"/>
                <w:sz w:val="12"/>
                <w:szCs w:val="12"/>
              </w:rPr>
            </w:pPr>
            <w:r>
              <w:rPr>
                <w:rFonts w:ascii="Arial" w:hAnsi="Arial"/>
                <w:sz w:val="12"/>
                <w:szCs w:val="12"/>
              </w:rPr>
              <w:t>Fuentidueña</w:t>
            </w:r>
          </w:p>
        </w:tc>
        <w:tc>
          <w:tcPr>
            <w:tcW w:w="2268" w:type="dxa"/>
            <w:tcBorders>
              <w:right w:val="single" w:sz="4" w:space="0" w:color="auto"/>
            </w:tcBorders>
            <w:shd w:val="clear" w:color="auto" w:fill="D9D9D9"/>
          </w:tcPr>
          <w:p w14:paraId="24194B18" w14:textId="77777777" w:rsidR="002A4DDF" w:rsidRPr="00937C8B" w:rsidRDefault="002A4DDF" w:rsidP="009110ED">
            <w:pPr>
              <w:rPr>
                <w:rFonts w:ascii="Arial" w:hAnsi="Arial" w:cs="Arial"/>
                <w:sz w:val="12"/>
                <w:szCs w:val="12"/>
              </w:rPr>
            </w:pPr>
            <w:r>
              <w:rPr>
                <w:rFonts w:ascii="Arial" w:hAnsi="Arial"/>
                <w:sz w:val="12"/>
                <w:szCs w:val="12"/>
              </w:rPr>
              <w:t>Vegas de Matute</w:t>
            </w:r>
          </w:p>
        </w:tc>
      </w:tr>
      <w:tr w:rsidR="002A4DDF" w:rsidRPr="00937C8B" w14:paraId="0390B636" w14:textId="77777777" w:rsidTr="00935676">
        <w:trPr>
          <w:cantSplit/>
        </w:trPr>
        <w:tc>
          <w:tcPr>
            <w:tcW w:w="1696" w:type="dxa"/>
            <w:tcBorders>
              <w:left w:val="single" w:sz="4" w:space="0" w:color="auto"/>
            </w:tcBorders>
            <w:shd w:val="clear" w:color="auto" w:fill="auto"/>
          </w:tcPr>
          <w:p w14:paraId="550CC8A1" w14:textId="77777777" w:rsidR="002A4DDF" w:rsidRPr="00937C8B" w:rsidRDefault="002A4DDF" w:rsidP="009110ED">
            <w:pPr>
              <w:rPr>
                <w:rFonts w:ascii="Arial" w:hAnsi="Arial" w:cs="Arial"/>
                <w:sz w:val="12"/>
                <w:szCs w:val="12"/>
              </w:rPr>
            </w:pPr>
          </w:p>
        </w:tc>
        <w:tc>
          <w:tcPr>
            <w:tcW w:w="1843" w:type="dxa"/>
            <w:shd w:val="clear" w:color="auto" w:fill="auto"/>
          </w:tcPr>
          <w:p w14:paraId="66799C08" w14:textId="77777777" w:rsidR="002A4DDF" w:rsidRPr="00937C8B" w:rsidRDefault="002A4DDF" w:rsidP="009110ED">
            <w:pPr>
              <w:rPr>
                <w:rFonts w:ascii="Arial" w:hAnsi="Arial" w:cs="Arial"/>
                <w:sz w:val="12"/>
                <w:szCs w:val="12"/>
              </w:rPr>
            </w:pPr>
          </w:p>
        </w:tc>
        <w:tc>
          <w:tcPr>
            <w:tcW w:w="2268" w:type="dxa"/>
            <w:shd w:val="clear" w:color="auto" w:fill="F2F2F2"/>
            <w:hideMark/>
          </w:tcPr>
          <w:p w14:paraId="6263CD0D" w14:textId="77777777" w:rsidR="002A4DDF" w:rsidRPr="00937C8B" w:rsidRDefault="002A4DDF" w:rsidP="009110ED">
            <w:pPr>
              <w:rPr>
                <w:rFonts w:ascii="Arial" w:hAnsi="Arial" w:cs="Arial"/>
                <w:sz w:val="12"/>
                <w:szCs w:val="12"/>
              </w:rPr>
            </w:pPr>
            <w:r>
              <w:rPr>
                <w:rFonts w:ascii="Arial" w:hAnsi="Arial"/>
                <w:sz w:val="12"/>
                <w:szCs w:val="12"/>
              </w:rPr>
              <w:t>Garcillán</w:t>
            </w:r>
          </w:p>
        </w:tc>
        <w:tc>
          <w:tcPr>
            <w:tcW w:w="2268" w:type="dxa"/>
            <w:tcBorders>
              <w:right w:val="single" w:sz="4" w:space="0" w:color="auto"/>
            </w:tcBorders>
            <w:shd w:val="clear" w:color="auto" w:fill="D9D9D9"/>
          </w:tcPr>
          <w:p w14:paraId="29BE4603" w14:textId="77777777" w:rsidR="002A4DDF" w:rsidRPr="00937C8B" w:rsidRDefault="002A4DDF" w:rsidP="009110ED">
            <w:pPr>
              <w:rPr>
                <w:rFonts w:ascii="Arial" w:hAnsi="Arial" w:cs="Arial"/>
                <w:sz w:val="12"/>
                <w:szCs w:val="12"/>
              </w:rPr>
            </w:pPr>
            <w:r>
              <w:rPr>
                <w:rFonts w:ascii="Arial" w:hAnsi="Arial"/>
                <w:sz w:val="12"/>
                <w:szCs w:val="12"/>
              </w:rPr>
              <w:t>Ventosilla y Tejadilla</w:t>
            </w:r>
          </w:p>
        </w:tc>
      </w:tr>
      <w:tr w:rsidR="002A4DDF" w:rsidRPr="00937C8B" w14:paraId="1E3C341C" w14:textId="77777777" w:rsidTr="00935676">
        <w:trPr>
          <w:cantSplit/>
        </w:trPr>
        <w:tc>
          <w:tcPr>
            <w:tcW w:w="1696" w:type="dxa"/>
            <w:tcBorders>
              <w:left w:val="single" w:sz="4" w:space="0" w:color="auto"/>
            </w:tcBorders>
            <w:shd w:val="clear" w:color="auto" w:fill="auto"/>
          </w:tcPr>
          <w:p w14:paraId="61AAF647" w14:textId="77777777" w:rsidR="002A4DDF" w:rsidRPr="00937C8B" w:rsidRDefault="002A4DDF" w:rsidP="009110ED">
            <w:pPr>
              <w:rPr>
                <w:rFonts w:ascii="Arial" w:hAnsi="Arial" w:cs="Arial"/>
                <w:sz w:val="12"/>
                <w:szCs w:val="12"/>
              </w:rPr>
            </w:pPr>
          </w:p>
        </w:tc>
        <w:tc>
          <w:tcPr>
            <w:tcW w:w="1843" w:type="dxa"/>
            <w:shd w:val="clear" w:color="auto" w:fill="auto"/>
          </w:tcPr>
          <w:p w14:paraId="76B6F8A0" w14:textId="77777777" w:rsidR="002A4DDF" w:rsidRPr="00937C8B" w:rsidRDefault="002A4DDF" w:rsidP="009110ED">
            <w:pPr>
              <w:rPr>
                <w:rFonts w:ascii="Arial" w:hAnsi="Arial" w:cs="Arial"/>
                <w:sz w:val="12"/>
                <w:szCs w:val="12"/>
              </w:rPr>
            </w:pPr>
          </w:p>
        </w:tc>
        <w:tc>
          <w:tcPr>
            <w:tcW w:w="2268" w:type="dxa"/>
            <w:shd w:val="clear" w:color="auto" w:fill="F2F2F2"/>
            <w:hideMark/>
          </w:tcPr>
          <w:p w14:paraId="646D1579" w14:textId="77777777" w:rsidR="002A4DDF" w:rsidRPr="00937C8B" w:rsidRDefault="002A4DDF" w:rsidP="009110ED">
            <w:pPr>
              <w:rPr>
                <w:rFonts w:ascii="Arial" w:hAnsi="Arial" w:cs="Arial"/>
                <w:sz w:val="12"/>
                <w:szCs w:val="12"/>
              </w:rPr>
            </w:pPr>
            <w:r>
              <w:rPr>
                <w:rFonts w:ascii="Arial" w:hAnsi="Arial"/>
                <w:sz w:val="12"/>
                <w:szCs w:val="12"/>
              </w:rPr>
              <w:t>Gomezserracín</w:t>
            </w:r>
          </w:p>
        </w:tc>
        <w:tc>
          <w:tcPr>
            <w:tcW w:w="2268" w:type="dxa"/>
            <w:tcBorders>
              <w:right w:val="single" w:sz="4" w:space="0" w:color="auto"/>
            </w:tcBorders>
            <w:shd w:val="clear" w:color="auto" w:fill="D9D9D9"/>
          </w:tcPr>
          <w:p w14:paraId="47DDACD5" w14:textId="77777777" w:rsidR="002A4DDF" w:rsidRPr="00937C8B" w:rsidRDefault="002A4DDF" w:rsidP="009110ED">
            <w:pPr>
              <w:rPr>
                <w:rFonts w:ascii="Arial" w:hAnsi="Arial" w:cs="Arial"/>
                <w:sz w:val="12"/>
                <w:szCs w:val="12"/>
              </w:rPr>
            </w:pPr>
            <w:r>
              <w:rPr>
                <w:rFonts w:ascii="Arial" w:hAnsi="Arial"/>
                <w:sz w:val="12"/>
                <w:szCs w:val="12"/>
              </w:rPr>
              <w:t>Villacastín</w:t>
            </w:r>
          </w:p>
        </w:tc>
      </w:tr>
      <w:tr w:rsidR="002A4DDF" w:rsidRPr="00937C8B" w14:paraId="29349918" w14:textId="77777777" w:rsidTr="00935676">
        <w:trPr>
          <w:cantSplit/>
        </w:trPr>
        <w:tc>
          <w:tcPr>
            <w:tcW w:w="1696" w:type="dxa"/>
            <w:tcBorders>
              <w:left w:val="single" w:sz="4" w:space="0" w:color="auto"/>
            </w:tcBorders>
            <w:shd w:val="clear" w:color="auto" w:fill="auto"/>
          </w:tcPr>
          <w:p w14:paraId="06A7C9A7" w14:textId="77777777" w:rsidR="002A4DDF" w:rsidRPr="00937C8B" w:rsidRDefault="002A4DDF" w:rsidP="009110ED">
            <w:pPr>
              <w:rPr>
                <w:rFonts w:ascii="Arial" w:hAnsi="Arial" w:cs="Arial"/>
                <w:sz w:val="12"/>
                <w:szCs w:val="12"/>
              </w:rPr>
            </w:pPr>
          </w:p>
        </w:tc>
        <w:tc>
          <w:tcPr>
            <w:tcW w:w="1843" w:type="dxa"/>
            <w:shd w:val="clear" w:color="auto" w:fill="auto"/>
          </w:tcPr>
          <w:p w14:paraId="6DEFB6F9" w14:textId="77777777" w:rsidR="002A4DDF" w:rsidRPr="00937C8B" w:rsidRDefault="002A4DDF" w:rsidP="009110ED">
            <w:pPr>
              <w:rPr>
                <w:rFonts w:ascii="Arial" w:hAnsi="Arial" w:cs="Arial"/>
                <w:sz w:val="12"/>
                <w:szCs w:val="12"/>
              </w:rPr>
            </w:pPr>
          </w:p>
        </w:tc>
        <w:tc>
          <w:tcPr>
            <w:tcW w:w="2268" w:type="dxa"/>
            <w:shd w:val="clear" w:color="auto" w:fill="F2F2F2"/>
            <w:hideMark/>
          </w:tcPr>
          <w:p w14:paraId="204B6E36" w14:textId="77777777" w:rsidR="002A4DDF" w:rsidRPr="00937C8B" w:rsidRDefault="002A4DDF" w:rsidP="009110ED">
            <w:pPr>
              <w:rPr>
                <w:rFonts w:ascii="Arial" w:hAnsi="Arial" w:cs="Arial"/>
                <w:sz w:val="12"/>
                <w:szCs w:val="12"/>
              </w:rPr>
            </w:pPr>
            <w:r>
              <w:rPr>
                <w:rFonts w:ascii="Arial" w:hAnsi="Arial"/>
                <w:sz w:val="12"/>
                <w:szCs w:val="12"/>
              </w:rPr>
              <w:t>Grajera</w:t>
            </w:r>
          </w:p>
        </w:tc>
        <w:tc>
          <w:tcPr>
            <w:tcW w:w="2268" w:type="dxa"/>
            <w:tcBorders>
              <w:right w:val="single" w:sz="4" w:space="0" w:color="auto"/>
            </w:tcBorders>
            <w:shd w:val="clear" w:color="auto" w:fill="D9D9D9"/>
          </w:tcPr>
          <w:p w14:paraId="08CFDBEC" w14:textId="77777777" w:rsidR="002A4DDF" w:rsidRPr="00937C8B" w:rsidRDefault="002A4DDF" w:rsidP="009110ED">
            <w:pPr>
              <w:rPr>
                <w:rFonts w:ascii="Arial" w:hAnsi="Arial" w:cs="Arial"/>
                <w:sz w:val="12"/>
                <w:szCs w:val="12"/>
              </w:rPr>
            </w:pPr>
            <w:r>
              <w:rPr>
                <w:rFonts w:ascii="Arial" w:hAnsi="Arial"/>
                <w:sz w:val="12"/>
                <w:szCs w:val="12"/>
              </w:rPr>
              <w:t>Zarzuela del Monte</w:t>
            </w:r>
          </w:p>
        </w:tc>
      </w:tr>
      <w:tr w:rsidR="002A4DDF" w:rsidRPr="00937C8B" w14:paraId="657D1AE2" w14:textId="77777777" w:rsidTr="00935676">
        <w:trPr>
          <w:cantSplit/>
        </w:trPr>
        <w:tc>
          <w:tcPr>
            <w:tcW w:w="1696" w:type="dxa"/>
            <w:tcBorders>
              <w:left w:val="single" w:sz="4" w:space="0" w:color="auto"/>
            </w:tcBorders>
            <w:shd w:val="clear" w:color="auto" w:fill="auto"/>
          </w:tcPr>
          <w:p w14:paraId="61E1F593" w14:textId="77777777" w:rsidR="002A4DDF" w:rsidRPr="00937C8B" w:rsidRDefault="002A4DDF" w:rsidP="009110ED">
            <w:pPr>
              <w:rPr>
                <w:rFonts w:ascii="Arial" w:hAnsi="Arial" w:cs="Arial"/>
                <w:sz w:val="12"/>
                <w:szCs w:val="12"/>
              </w:rPr>
            </w:pPr>
          </w:p>
        </w:tc>
        <w:tc>
          <w:tcPr>
            <w:tcW w:w="1843" w:type="dxa"/>
            <w:shd w:val="clear" w:color="auto" w:fill="auto"/>
          </w:tcPr>
          <w:p w14:paraId="3496E9A9" w14:textId="77777777" w:rsidR="002A4DDF" w:rsidRPr="00937C8B" w:rsidRDefault="002A4DDF" w:rsidP="009110ED">
            <w:pPr>
              <w:rPr>
                <w:rFonts w:ascii="Arial" w:hAnsi="Arial" w:cs="Arial"/>
                <w:sz w:val="12"/>
                <w:szCs w:val="12"/>
              </w:rPr>
            </w:pPr>
          </w:p>
        </w:tc>
        <w:tc>
          <w:tcPr>
            <w:tcW w:w="2268" w:type="dxa"/>
            <w:shd w:val="clear" w:color="auto" w:fill="F2F2F2"/>
            <w:hideMark/>
          </w:tcPr>
          <w:p w14:paraId="1C8EC965" w14:textId="77777777" w:rsidR="002A4DDF" w:rsidRPr="00937C8B" w:rsidRDefault="002A4DDF" w:rsidP="009110ED">
            <w:pPr>
              <w:rPr>
                <w:rFonts w:ascii="Arial" w:hAnsi="Arial" w:cs="Arial"/>
                <w:sz w:val="12"/>
                <w:szCs w:val="12"/>
              </w:rPr>
            </w:pPr>
            <w:r>
              <w:rPr>
                <w:rFonts w:ascii="Arial" w:hAnsi="Arial"/>
                <w:sz w:val="12"/>
                <w:szCs w:val="12"/>
              </w:rPr>
              <w:t>Hontanares de Eresma</w:t>
            </w:r>
          </w:p>
        </w:tc>
        <w:tc>
          <w:tcPr>
            <w:tcW w:w="2268" w:type="dxa"/>
            <w:tcBorders>
              <w:right w:val="single" w:sz="4" w:space="0" w:color="auto"/>
            </w:tcBorders>
            <w:shd w:val="clear" w:color="auto" w:fill="D9D9D9"/>
            <w:hideMark/>
          </w:tcPr>
          <w:p w14:paraId="2CD0E8BB" w14:textId="77777777" w:rsidR="002A4DDF" w:rsidRPr="00937C8B" w:rsidRDefault="002A4DDF" w:rsidP="009110ED">
            <w:pPr>
              <w:rPr>
                <w:rFonts w:ascii="Arial" w:hAnsi="Arial" w:cs="Arial"/>
                <w:sz w:val="12"/>
                <w:szCs w:val="12"/>
              </w:rPr>
            </w:pPr>
            <w:r>
              <w:rPr>
                <w:rFonts w:ascii="Arial" w:hAnsi="Arial"/>
                <w:sz w:val="12"/>
                <w:szCs w:val="12"/>
              </w:rPr>
              <w:t>Zarzuela del Pinar</w:t>
            </w:r>
          </w:p>
        </w:tc>
      </w:tr>
      <w:tr w:rsidR="002A4DDF" w:rsidRPr="00937C8B" w14:paraId="654E3B79" w14:textId="77777777" w:rsidTr="00935676">
        <w:trPr>
          <w:cantSplit/>
        </w:trPr>
        <w:tc>
          <w:tcPr>
            <w:tcW w:w="1696" w:type="dxa"/>
            <w:tcBorders>
              <w:left w:val="single" w:sz="4" w:space="0" w:color="auto"/>
            </w:tcBorders>
            <w:shd w:val="clear" w:color="auto" w:fill="auto"/>
          </w:tcPr>
          <w:p w14:paraId="0B7D3ED9" w14:textId="77777777" w:rsidR="002A4DDF" w:rsidRPr="00937C8B" w:rsidRDefault="002A4DDF" w:rsidP="009110ED">
            <w:pPr>
              <w:rPr>
                <w:rFonts w:ascii="Arial" w:hAnsi="Arial" w:cs="Arial"/>
                <w:sz w:val="12"/>
                <w:szCs w:val="12"/>
              </w:rPr>
            </w:pPr>
          </w:p>
        </w:tc>
        <w:tc>
          <w:tcPr>
            <w:tcW w:w="1843" w:type="dxa"/>
            <w:shd w:val="clear" w:color="auto" w:fill="auto"/>
          </w:tcPr>
          <w:p w14:paraId="5EE0D024" w14:textId="77777777" w:rsidR="002A4DDF" w:rsidRPr="00937C8B" w:rsidRDefault="002A4DDF" w:rsidP="009110ED">
            <w:pPr>
              <w:rPr>
                <w:rFonts w:ascii="Arial" w:hAnsi="Arial" w:cs="Arial"/>
                <w:sz w:val="12"/>
                <w:szCs w:val="12"/>
              </w:rPr>
            </w:pPr>
          </w:p>
        </w:tc>
        <w:tc>
          <w:tcPr>
            <w:tcW w:w="2268" w:type="dxa"/>
            <w:shd w:val="clear" w:color="auto" w:fill="F2F2F2"/>
            <w:hideMark/>
          </w:tcPr>
          <w:p w14:paraId="719DCF97" w14:textId="77777777" w:rsidR="002A4DDF" w:rsidRPr="00937C8B" w:rsidRDefault="002A4DDF" w:rsidP="009110ED">
            <w:pPr>
              <w:rPr>
                <w:rFonts w:ascii="Arial" w:hAnsi="Arial" w:cs="Arial"/>
                <w:sz w:val="12"/>
                <w:szCs w:val="12"/>
              </w:rPr>
            </w:pPr>
            <w:r>
              <w:rPr>
                <w:rFonts w:ascii="Arial" w:hAnsi="Arial"/>
                <w:sz w:val="12"/>
                <w:szCs w:val="12"/>
              </w:rPr>
              <w:t>Juarros de Riomoros</w:t>
            </w:r>
          </w:p>
        </w:tc>
        <w:tc>
          <w:tcPr>
            <w:tcW w:w="2268" w:type="dxa"/>
            <w:tcBorders>
              <w:right w:val="single" w:sz="4" w:space="0" w:color="auto"/>
            </w:tcBorders>
            <w:shd w:val="clear" w:color="auto" w:fill="D9D9D9"/>
            <w:hideMark/>
          </w:tcPr>
          <w:p w14:paraId="4E31BDE1" w14:textId="77777777" w:rsidR="002A4DDF" w:rsidRPr="00937C8B" w:rsidRDefault="002A4DDF" w:rsidP="009110ED">
            <w:pPr>
              <w:rPr>
                <w:rFonts w:ascii="Arial" w:hAnsi="Arial" w:cs="Arial"/>
                <w:sz w:val="12"/>
                <w:szCs w:val="12"/>
              </w:rPr>
            </w:pPr>
          </w:p>
        </w:tc>
      </w:tr>
      <w:tr w:rsidR="002A4DDF" w:rsidRPr="00937C8B" w14:paraId="633002E5" w14:textId="77777777" w:rsidTr="00935676">
        <w:trPr>
          <w:cantSplit/>
        </w:trPr>
        <w:tc>
          <w:tcPr>
            <w:tcW w:w="1696" w:type="dxa"/>
            <w:tcBorders>
              <w:left w:val="single" w:sz="4" w:space="0" w:color="auto"/>
            </w:tcBorders>
            <w:shd w:val="clear" w:color="auto" w:fill="auto"/>
          </w:tcPr>
          <w:p w14:paraId="054C8FE4" w14:textId="77777777" w:rsidR="002A4DDF" w:rsidRPr="00937C8B" w:rsidRDefault="002A4DDF" w:rsidP="009110ED">
            <w:pPr>
              <w:rPr>
                <w:rFonts w:ascii="Arial" w:hAnsi="Arial" w:cs="Arial"/>
                <w:sz w:val="12"/>
                <w:szCs w:val="12"/>
              </w:rPr>
            </w:pPr>
          </w:p>
        </w:tc>
        <w:tc>
          <w:tcPr>
            <w:tcW w:w="1843" w:type="dxa"/>
            <w:shd w:val="clear" w:color="auto" w:fill="auto"/>
          </w:tcPr>
          <w:p w14:paraId="6538C5C3" w14:textId="77777777" w:rsidR="002A4DDF" w:rsidRPr="00937C8B" w:rsidRDefault="002A4DDF" w:rsidP="009110ED">
            <w:pPr>
              <w:rPr>
                <w:rFonts w:ascii="Arial" w:hAnsi="Arial" w:cs="Arial"/>
                <w:sz w:val="12"/>
                <w:szCs w:val="12"/>
              </w:rPr>
            </w:pPr>
          </w:p>
        </w:tc>
        <w:tc>
          <w:tcPr>
            <w:tcW w:w="2268" w:type="dxa"/>
            <w:shd w:val="clear" w:color="auto" w:fill="F2F2F2"/>
            <w:hideMark/>
          </w:tcPr>
          <w:p w14:paraId="4E07C2EC" w14:textId="77777777" w:rsidR="002A4DDF" w:rsidRPr="00937C8B" w:rsidRDefault="002A4DDF" w:rsidP="009110ED">
            <w:pPr>
              <w:rPr>
                <w:rFonts w:ascii="Arial" w:hAnsi="Arial" w:cs="Arial"/>
                <w:sz w:val="12"/>
                <w:szCs w:val="12"/>
              </w:rPr>
            </w:pPr>
            <w:r>
              <w:rPr>
                <w:rFonts w:ascii="Arial" w:hAnsi="Arial"/>
                <w:sz w:val="12"/>
                <w:szCs w:val="12"/>
              </w:rPr>
              <w:t>Juarros de Voltoya</w:t>
            </w:r>
          </w:p>
        </w:tc>
        <w:tc>
          <w:tcPr>
            <w:tcW w:w="2268" w:type="dxa"/>
            <w:tcBorders>
              <w:right w:val="single" w:sz="4" w:space="0" w:color="auto"/>
            </w:tcBorders>
            <w:shd w:val="clear" w:color="auto" w:fill="D9D9D9"/>
            <w:hideMark/>
          </w:tcPr>
          <w:p w14:paraId="1ACDC5F5" w14:textId="77777777" w:rsidR="002A4DDF" w:rsidRPr="00937C8B" w:rsidRDefault="002A4DDF" w:rsidP="009110ED">
            <w:pPr>
              <w:rPr>
                <w:rFonts w:ascii="Arial" w:hAnsi="Arial" w:cs="Arial"/>
                <w:sz w:val="12"/>
                <w:szCs w:val="12"/>
              </w:rPr>
            </w:pPr>
          </w:p>
        </w:tc>
      </w:tr>
      <w:tr w:rsidR="002A4DDF" w:rsidRPr="00937C8B" w14:paraId="159BF99E" w14:textId="77777777" w:rsidTr="00935676">
        <w:trPr>
          <w:cantSplit/>
        </w:trPr>
        <w:tc>
          <w:tcPr>
            <w:tcW w:w="1696" w:type="dxa"/>
            <w:tcBorders>
              <w:left w:val="single" w:sz="4" w:space="0" w:color="auto"/>
            </w:tcBorders>
            <w:shd w:val="clear" w:color="auto" w:fill="auto"/>
          </w:tcPr>
          <w:p w14:paraId="43EC028D" w14:textId="77777777" w:rsidR="002A4DDF" w:rsidRPr="00937C8B" w:rsidRDefault="002A4DDF" w:rsidP="009110ED">
            <w:pPr>
              <w:rPr>
                <w:rFonts w:ascii="Arial" w:hAnsi="Arial" w:cs="Arial"/>
                <w:sz w:val="12"/>
                <w:szCs w:val="12"/>
              </w:rPr>
            </w:pPr>
          </w:p>
        </w:tc>
        <w:tc>
          <w:tcPr>
            <w:tcW w:w="1843" w:type="dxa"/>
            <w:shd w:val="clear" w:color="auto" w:fill="auto"/>
          </w:tcPr>
          <w:p w14:paraId="502AC29F" w14:textId="77777777" w:rsidR="002A4DDF" w:rsidRPr="00937C8B" w:rsidRDefault="002A4DDF" w:rsidP="009110ED">
            <w:pPr>
              <w:rPr>
                <w:rFonts w:ascii="Arial" w:hAnsi="Arial" w:cs="Arial"/>
                <w:sz w:val="12"/>
                <w:szCs w:val="12"/>
              </w:rPr>
            </w:pPr>
          </w:p>
        </w:tc>
        <w:tc>
          <w:tcPr>
            <w:tcW w:w="2268" w:type="dxa"/>
            <w:shd w:val="clear" w:color="auto" w:fill="F2F2F2"/>
            <w:hideMark/>
          </w:tcPr>
          <w:p w14:paraId="13794114" w14:textId="77777777" w:rsidR="002A4DDF" w:rsidRPr="00937C8B" w:rsidRDefault="002A4DDF" w:rsidP="009110ED">
            <w:pPr>
              <w:rPr>
                <w:rFonts w:ascii="Arial" w:hAnsi="Arial" w:cs="Arial"/>
                <w:sz w:val="12"/>
                <w:szCs w:val="12"/>
              </w:rPr>
            </w:pPr>
            <w:r>
              <w:rPr>
                <w:rFonts w:ascii="Arial" w:hAnsi="Arial"/>
                <w:sz w:val="12"/>
                <w:szCs w:val="12"/>
              </w:rPr>
              <w:t>La Matilla</w:t>
            </w:r>
          </w:p>
        </w:tc>
        <w:tc>
          <w:tcPr>
            <w:tcW w:w="2268" w:type="dxa"/>
            <w:tcBorders>
              <w:right w:val="single" w:sz="4" w:space="0" w:color="auto"/>
            </w:tcBorders>
            <w:shd w:val="clear" w:color="auto" w:fill="D9D9D9"/>
            <w:hideMark/>
          </w:tcPr>
          <w:p w14:paraId="2DC264A6" w14:textId="77777777" w:rsidR="002A4DDF" w:rsidRPr="00937C8B" w:rsidRDefault="002A4DDF" w:rsidP="009110ED">
            <w:pPr>
              <w:rPr>
                <w:rFonts w:ascii="Arial" w:hAnsi="Arial" w:cs="Arial"/>
                <w:sz w:val="12"/>
                <w:szCs w:val="12"/>
              </w:rPr>
            </w:pPr>
          </w:p>
        </w:tc>
      </w:tr>
      <w:tr w:rsidR="002A4DDF" w:rsidRPr="00937C8B" w14:paraId="7DEA9CE4" w14:textId="77777777" w:rsidTr="00935676">
        <w:trPr>
          <w:cantSplit/>
        </w:trPr>
        <w:tc>
          <w:tcPr>
            <w:tcW w:w="1696" w:type="dxa"/>
            <w:tcBorders>
              <w:left w:val="single" w:sz="4" w:space="0" w:color="auto"/>
            </w:tcBorders>
            <w:shd w:val="clear" w:color="auto" w:fill="auto"/>
          </w:tcPr>
          <w:p w14:paraId="1BC3D68D" w14:textId="77777777" w:rsidR="002A4DDF" w:rsidRPr="00937C8B" w:rsidRDefault="002A4DDF" w:rsidP="009110ED">
            <w:pPr>
              <w:rPr>
                <w:rFonts w:ascii="Arial" w:hAnsi="Arial" w:cs="Arial"/>
                <w:sz w:val="12"/>
                <w:szCs w:val="12"/>
              </w:rPr>
            </w:pPr>
          </w:p>
        </w:tc>
        <w:tc>
          <w:tcPr>
            <w:tcW w:w="1843" w:type="dxa"/>
            <w:shd w:val="clear" w:color="auto" w:fill="auto"/>
          </w:tcPr>
          <w:p w14:paraId="430AA2E2" w14:textId="77777777" w:rsidR="002A4DDF" w:rsidRPr="00937C8B" w:rsidRDefault="002A4DDF" w:rsidP="009110ED">
            <w:pPr>
              <w:rPr>
                <w:rFonts w:ascii="Arial" w:hAnsi="Arial" w:cs="Arial"/>
                <w:sz w:val="12"/>
                <w:szCs w:val="12"/>
              </w:rPr>
            </w:pPr>
          </w:p>
        </w:tc>
        <w:tc>
          <w:tcPr>
            <w:tcW w:w="2268" w:type="dxa"/>
            <w:shd w:val="clear" w:color="auto" w:fill="F2F2F2"/>
            <w:hideMark/>
          </w:tcPr>
          <w:p w14:paraId="0A1792C5" w14:textId="77777777" w:rsidR="002A4DDF" w:rsidRPr="00937C8B" w:rsidRDefault="002A4DDF" w:rsidP="009110ED">
            <w:pPr>
              <w:rPr>
                <w:rFonts w:ascii="Arial" w:hAnsi="Arial" w:cs="Arial"/>
                <w:sz w:val="12"/>
                <w:szCs w:val="12"/>
              </w:rPr>
            </w:pPr>
            <w:r>
              <w:rPr>
                <w:rFonts w:ascii="Arial" w:hAnsi="Arial"/>
                <w:sz w:val="12"/>
                <w:szCs w:val="12"/>
              </w:rPr>
              <w:t>Labajos</w:t>
            </w:r>
          </w:p>
        </w:tc>
        <w:tc>
          <w:tcPr>
            <w:tcW w:w="2268" w:type="dxa"/>
            <w:tcBorders>
              <w:right w:val="single" w:sz="4" w:space="0" w:color="auto"/>
            </w:tcBorders>
            <w:shd w:val="clear" w:color="auto" w:fill="D9D9D9"/>
            <w:hideMark/>
          </w:tcPr>
          <w:p w14:paraId="45663ACD" w14:textId="77777777" w:rsidR="002A4DDF" w:rsidRPr="00937C8B" w:rsidRDefault="002A4DDF" w:rsidP="009110ED">
            <w:pPr>
              <w:rPr>
                <w:rFonts w:ascii="Arial" w:hAnsi="Arial" w:cs="Arial"/>
                <w:sz w:val="12"/>
                <w:szCs w:val="12"/>
              </w:rPr>
            </w:pPr>
          </w:p>
        </w:tc>
      </w:tr>
      <w:tr w:rsidR="002A4DDF" w:rsidRPr="00937C8B" w14:paraId="42670346" w14:textId="77777777" w:rsidTr="00935676">
        <w:trPr>
          <w:cantSplit/>
        </w:trPr>
        <w:tc>
          <w:tcPr>
            <w:tcW w:w="1696" w:type="dxa"/>
            <w:tcBorders>
              <w:left w:val="single" w:sz="4" w:space="0" w:color="auto"/>
            </w:tcBorders>
            <w:shd w:val="clear" w:color="auto" w:fill="auto"/>
          </w:tcPr>
          <w:p w14:paraId="2C91CF8A" w14:textId="77777777" w:rsidR="002A4DDF" w:rsidRPr="00937C8B" w:rsidRDefault="002A4DDF" w:rsidP="009110ED">
            <w:pPr>
              <w:rPr>
                <w:rFonts w:ascii="Arial" w:hAnsi="Arial" w:cs="Arial"/>
                <w:sz w:val="12"/>
                <w:szCs w:val="12"/>
              </w:rPr>
            </w:pPr>
          </w:p>
        </w:tc>
        <w:tc>
          <w:tcPr>
            <w:tcW w:w="1843" w:type="dxa"/>
            <w:shd w:val="clear" w:color="auto" w:fill="auto"/>
          </w:tcPr>
          <w:p w14:paraId="70D3AC95" w14:textId="77777777" w:rsidR="002A4DDF" w:rsidRPr="00937C8B" w:rsidRDefault="002A4DDF" w:rsidP="009110ED">
            <w:pPr>
              <w:rPr>
                <w:rFonts w:ascii="Arial" w:hAnsi="Arial" w:cs="Arial"/>
                <w:sz w:val="12"/>
                <w:szCs w:val="12"/>
              </w:rPr>
            </w:pPr>
          </w:p>
        </w:tc>
        <w:tc>
          <w:tcPr>
            <w:tcW w:w="2268" w:type="dxa"/>
            <w:shd w:val="clear" w:color="auto" w:fill="F2F2F2"/>
            <w:hideMark/>
          </w:tcPr>
          <w:p w14:paraId="0390CCF7" w14:textId="77777777" w:rsidR="002A4DDF" w:rsidRPr="00937C8B" w:rsidRDefault="002A4DDF" w:rsidP="009110ED">
            <w:pPr>
              <w:rPr>
                <w:rFonts w:ascii="Arial" w:hAnsi="Arial" w:cs="Arial"/>
                <w:sz w:val="12"/>
                <w:szCs w:val="12"/>
              </w:rPr>
            </w:pPr>
            <w:r>
              <w:rPr>
                <w:rFonts w:ascii="Arial" w:hAnsi="Arial"/>
                <w:sz w:val="12"/>
                <w:szCs w:val="12"/>
              </w:rPr>
              <w:t>Laguna de Contreras</w:t>
            </w:r>
          </w:p>
        </w:tc>
        <w:tc>
          <w:tcPr>
            <w:tcW w:w="2268" w:type="dxa"/>
            <w:tcBorders>
              <w:right w:val="single" w:sz="4" w:space="0" w:color="auto"/>
            </w:tcBorders>
            <w:shd w:val="clear" w:color="auto" w:fill="D9D9D9"/>
            <w:hideMark/>
          </w:tcPr>
          <w:p w14:paraId="6513C485" w14:textId="77777777" w:rsidR="002A4DDF" w:rsidRPr="00937C8B" w:rsidRDefault="002A4DDF" w:rsidP="009110ED">
            <w:pPr>
              <w:rPr>
                <w:rFonts w:ascii="Arial" w:hAnsi="Arial" w:cs="Arial"/>
                <w:sz w:val="12"/>
                <w:szCs w:val="12"/>
              </w:rPr>
            </w:pPr>
          </w:p>
        </w:tc>
      </w:tr>
      <w:tr w:rsidR="002A4DDF" w:rsidRPr="00937C8B" w14:paraId="61039A25" w14:textId="77777777" w:rsidTr="00935676">
        <w:trPr>
          <w:cantSplit/>
        </w:trPr>
        <w:tc>
          <w:tcPr>
            <w:tcW w:w="1696" w:type="dxa"/>
            <w:tcBorders>
              <w:left w:val="single" w:sz="4" w:space="0" w:color="auto"/>
            </w:tcBorders>
            <w:shd w:val="clear" w:color="auto" w:fill="auto"/>
          </w:tcPr>
          <w:p w14:paraId="04F56FEC" w14:textId="77777777" w:rsidR="002A4DDF" w:rsidRPr="00937C8B" w:rsidRDefault="002A4DDF" w:rsidP="009110ED">
            <w:pPr>
              <w:rPr>
                <w:rFonts w:ascii="Arial" w:hAnsi="Arial" w:cs="Arial"/>
                <w:sz w:val="12"/>
                <w:szCs w:val="12"/>
              </w:rPr>
            </w:pPr>
          </w:p>
        </w:tc>
        <w:tc>
          <w:tcPr>
            <w:tcW w:w="1843" w:type="dxa"/>
            <w:shd w:val="clear" w:color="auto" w:fill="auto"/>
          </w:tcPr>
          <w:p w14:paraId="56D35BE4" w14:textId="77777777" w:rsidR="002A4DDF" w:rsidRPr="00937C8B" w:rsidRDefault="002A4DDF" w:rsidP="009110ED">
            <w:pPr>
              <w:rPr>
                <w:rFonts w:ascii="Arial" w:hAnsi="Arial" w:cs="Arial"/>
                <w:sz w:val="12"/>
                <w:szCs w:val="12"/>
              </w:rPr>
            </w:pPr>
          </w:p>
        </w:tc>
        <w:tc>
          <w:tcPr>
            <w:tcW w:w="2268" w:type="dxa"/>
            <w:shd w:val="clear" w:color="auto" w:fill="F2F2F2"/>
            <w:hideMark/>
          </w:tcPr>
          <w:p w14:paraId="05792BA6" w14:textId="77777777" w:rsidR="002A4DDF" w:rsidRPr="00937C8B" w:rsidRDefault="002A4DDF" w:rsidP="009110ED">
            <w:pPr>
              <w:rPr>
                <w:rFonts w:ascii="Arial" w:hAnsi="Arial" w:cs="Arial"/>
                <w:sz w:val="12"/>
                <w:szCs w:val="12"/>
              </w:rPr>
            </w:pPr>
            <w:r>
              <w:rPr>
                <w:rFonts w:ascii="Arial" w:hAnsi="Arial"/>
                <w:sz w:val="12"/>
                <w:szCs w:val="12"/>
              </w:rPr>
              <w:t>Lastras del Pozo</w:t>
            </w:r>
          </w:p>
        </w:tc>
        <w:tc>
          <w:tcPr>
            <w:tcW w:w="2268" w:type="dxa"/>
            <w:tcBorders>
              <w:right w:val="single" w:sz="4" w:space="0" w:color="auto"/>
            </w:tcBorders>
            <w:shd w:val="clear" w:color="auto" w:fill="D9D9D9"/>
            <w:hideMark/>
          </w:tcPr>
          <w:p w14:paraId="148C2F69" w14:textId="77777777" w:rsidR="002A4DDF" w:rsidRPr="00937C8B" w:rsidRDefault="002A4DDF" w:rsidP="009110ED">
            <w:pPr>
              <w:rPr>
                <w:rFonts w:ascii="Arial" w:hAnsi="Arial" w:cs="Arial"/>
                <w:sz w:val="12"/>
                <w:szCs w:val="12"/>
              </w:rPr>
            </w:pPr>
          </w:p>
        </w:tc>
      </w:tr>
      <w:tr w:rsidR="002A4DDF" w:rsidRPr="00937C8B" w14:paraId="360E7692" w14:textId="77777777" w:rsidTr="00935676">
        <w:trPr>
          <w:cantSplit/>
        </w:trPr>
        <w:tc>
          <w:tcPr>
            <w:tcW w:w="1696" w:type="dxa"/>
            <w:tcBorders>
              <w:left w:val="single" w:sz="4" w:space="0" w:color="auto"/>
            </w:tcBorders>
            <w:shd w:val="clear" w:color="auto" w:fill="auto"/>
          </w:tcPr>
          <w:p w14:paraId="623D76D3" w14:textId="77777777" w:rsidR="002A4DDF" w:rsidRPr="00937C8B" w:rsidRDefault="002A4DDF" w:rsidP="009110ED">
            <w:pPr>
              <w:rPr>
                <w:rFonts w:ascii="Arial" w:hAnsi="Arial" w:cs="Arial"/>
                <w:sz w:val="12"/>
                <w:szCs w:val="12"/>
              </w:rPr>
            </w:pPr>
          </w:p>
        </w:tc>
        <w:tc>
          <w:tcPr>
            <w:tcW w:w="1843" w:type="dxa"/>
            <w:shd w:val="clear" w:color="auto" w:fill="auto"/>
          </w:tcPr>
          <w:p w14:paraId="6B046061" w14:textId="77777777" w:rsidR="002A4DDF" w:rsidRPr="00937C8B" w:rsidRDefault="002A4DDF" w:rsidP="009110ED">
            <w:pPr>
              <w:rPr>
                <w:rFonts w:ascii="Arial" w:hAnsi="Arial" w:cs="Arial"/>
                <w:sz w:val="12"/>
                <w:szCs w:val="12"/>
              </w:rPr>
            </w:pPr>
          </w:p>
        </w:tc>
        <w:tc>
          <w:tcPr>
            <w:tcW w:w="2268" w:type="dxa"/>
            <w:shd w:val="clear" w:color="auto" w:fill="F2F2F2"/>
            <w:hideMark/>
          </w:tcPr>
          <w:p w14:paraId="21F26060" w14:textId="77777777" w:rsidR="002A4DDF" w:rsidRPr="00937C8B" w:rsidRDefault="002A4DDF" w:rsidP="009110ED">
            <w:pPr>
              <w:rPr>
                <w:rFonts w:ascii="Arial" w:hAnsi="Arial" w:cs="Arial"/>
                <w:sz w:val="12"/>
                <w:szCs w:val="12"/>
              </w:rPr>
            </w:pPr>
            <w:r>
              <w:rPr>
                <w:rFonts w:ascii="Arial" w:hAnsi="Arial"/>
                <w:sz w:val="12"/>
                <w:szCs w:val="12"/>
              </w:rPr>
              <w:t>Los Huertos</w:t>
            </w:r>
          </w:p>
        </w:tc>
        <w:tc>
          <w:tcPr>
            <w:tcW w:w="2268" w:type="dxa"/>
            <w:tcBorders>
              <w:right w:val="single" w:sz="4" w:space="0" w:color="auto"/>
            </w:tcBorders>
            <w:shd w:val="clear" w:color="auto" w:fill="D9D9D9"/>
            <w:hideMark/>
          </w:tcPr>
          <w:p w14:paraId="6A681585" w14:textId="77777777" w:rsidR="002A4DDF" w:rsidRPr="00937C8B" w:rsidRDefault="002A4DDF" w:rsidP="009110ED">
            <w:pPr>
              <w:rPr>
                <w:rFonts w:ascii="Arial" w:hAnsi="Arial" w:cs="Arial"/>
                <w:sz w:val="12"/>
                <w:szCs w:val="12"/>
              </w:rPr>
            </w:pPr>
          </w:p>
        </w:tc>
      </w:tr>
      <w:tr w:rsidR="002A4DDF" w:rsidRPr="00937C8B" w14:paraId="3E9D774A" w14:textId="77777777" w:rsidTr="00935676">
        <w:trPr>
          <w:cantSplit/>
        </w:trPr>
        <w:tc>
          <w:tcPr>
            <w:tcW w:w="1696" w:type="dxa"/>
            <w:tcBorders>
              <w:left w:val="single" w:sz="4" w:space="0" w:color="auto"/>
            </w:tcBorders>
            <w:shd w:val="clear" w:color="auto" w:fill="auto"/>
          </w:tcPr>
          <w:p w14:paraId="63E77E0D" w14:textId="77777777" w:rsidR="002A4DDF" w:rsidRPr="00937C8B" w:rsidRDefault="002A4DDF" w:rsidP="009110ED">
            <w:pPr>
              <w:rPr>
                <w:rFonts w:ascii="Arial" w:hAnsi="Arial" w:cs="Arial"/>
                <w:sz w:val="12"/>
                <w:szCs w:val="12"/>
              </w:rPr>
            </w:pPr>
          </w:p>
        </w:tc>
        <w:tc>
          <w:tcPr>
            <w:tcW w:w="1843" w:type="dxa"/>
            <w:shd w:val="clear" w:color="auto" w:fill="auto"/>
          </w:tcPr>
          <w:p w14:paraId="42DBAFB5" w14:textId="77777777" w:rsidR="002A4DDF" w:rsidRPr="00937C8B" w:rsidRDefault="002A4DDF" w:rsidP="009110ED">
            <w:pPr>
              <w:rPr>
                <w:rFonts w:ascii="Arial" w:hAnsi="Arial" w:cs="Arial"/>
                <w:sz w:val="12"/>
                <w:szCs w:val="12"/>
              </w:rPr>
            </w:pPr>
          </w:p>
        </w:tc>
        <w:tc>
          <w:tcPr>
            <w:tcW w:w="2268" w:type="dxa"/>
            <w:shd w:val="clear" w:color="auto" w:fill="F2F2F2"/>
            <w:hideMark/>
          </w:tcPr>
          <w:p w14:paraId="00F09DAE" w14:textId="77777777" w:rsidR="002A4DDF" w:rsidRPr="00937C8B" w:rsidRDefault="002A4DDF" w:rsidP="009110ED">
            <w:pPr>
              <w:rPr>
                <w:rFonts w:ascii="Arial" w:hAnsi="Arial" w:cs="Arial"/>
                <w:sz w:val="12"/>
                <w:szCs w:val="12"/>
              </w:rPr>
            </w:pPr>
            <w:r>
              <w:rPr>
                <w:rFonts w:ascii="Arial" w:hAnsi="Arial"/>
                <w:sz w:val="12"/>
                <w:szCs w:val="12"/>
              </w:rPr>
              <w:t>Marazoleja</w:t>
            </w:r>
          </w:p>
        </w:tc>
        <w:tc>
          <w:tcPr>
            <w:tcW w:w="2268" w:type="dxa"/>
            <w:tcBorders>
              <w:right w:val="single" w:sz="4" w:space="0" w:color="auto"/>
            </w:tcBorders>
            <w:shd w:val="clear" w:color="auto" w:fill="D9D9D9"/>
            <w:hideMark/>
          </w:tcPr>
          <w:p w14:paraId="29DDD768" w14:textId="77777777" w:rsidR="002A4DDF" w:rsidRPr="00937C8B" w:rsidRDefault="002A4DDF" w:rsidP="009110ED">
            <w:pPr>
              <w:rPr>
                <w:rFonts w:ascii="Arial" w:hAnsi="Arial" w:cs="Arial"/>
                <w:sz w:val="12"/>
                <w:szCs w:val="12"/>
              </w:rPr>
            </w:pPr>
          </w:p>
        </w:tc>
      </w:tr>
      <w:tr w:rsidR="002A4DDF" w:rsidRPr="00937C8B" w14:paraId="5ECF9B61" w14:textId="77777777" w:rsidTr="00935676">
        <w:trPr>
          <w:cantSplit/>
        </w:trPr>
        <w:tc>
          <w:tcPr>
            <w:tcW w:w="1696" w:type="dxa"/>
            <w:tcBorders>
              <w:left w:val="single" w:sz="4" w:space="0" w:color="auto"/>
            </w:tcBorders>
            <w:shd w:val="clear" w:color="auto" w:fill="auto"/>
          </w:tcPr>
          <w:p w14:paraId="39F6344D" w14:textId="77777777" w:rsidR="002A4DDF" w:rsidRPr="00937C8B" w:rsidRDefault="002A4DDF" w:rsidP="009110ED">
            <w:pPr>
              <w:rPr>
                <w:rFonts w:ascii="Arial" w:hAnsi="Arial" w:cs="Arial"/>
                <w:sz w:val="12"/>
                <w:szCs w:val="12"/>
              </w:rPr>
            </w:pPr>
          </w:p>
        </w:tc>
        <w:tc>
          <w:tcPr>
            <w:tcW w:w="1843" w:type="dxa"/>
            <w:shd w:val="clear" w:color="auto" w:fill="auto"/>
          </w:tcPr>
          <w:p w14:paraId="35414B09" w14:textId="77777777" w:rsidR="002A4DDF" w:rsidRPr="00937C8B" w:rsidRDefault="002A4DDF" w:rsidP="009110ED">
            <w:pPr>
              <w:rPr>
                <w:rFonts w:ascii="Arial" w:hAnsi="Arial" w:cs="Arial"/>
                <w:sz w:val="12"/>
                <w:szCs w:val="12"/>
              </w:rPr>
            </w:pPr>
          </w:p>
        </w:tc>
        <w:tc>
          <w:tcPr>
            <w:tcW w:w="2268" w:type="dxa"/>
            <w:shd w:val="clear" w:color="auto" w:fill="F2F2F2"/>
            <w:hideMark/>
          </w:tcPr>
          <w:p w14:paraId="24E862AD" w14:textId="77777777" w:rsidR="002A4DDF" w:rsidRPr="00937C8B" w:rsidRDefault="002A4DDF" w:rsidP="009110ED">
            <w:pPr>
              <w:rPr>
                <w:rFonts w:ascii="Arial" w:hAnsi="Arial" w:cs="Arial"/>
                <w:sz w:val="12"/>
                <w:szCs w:val="12"/>
              </w:rPr>
            </w:pPr>
            <w:r>
              <w:rPr>
                <w:rFonts w:ascii="Arial" w:hAnsi="Arial"/>
                <w:sz w:val="12"/>
                <w:szCs w:val="12"/>
              </w:rPr>
              <w:t>Marazuela</w:t>
            </w:r>
          </w:p>
        </w:tc>
        <w:tc>
          <w:tcPr>
            <w:tcW w:w="2268" w:type="dxa"/>
            <w:tcBorders>
              <w:right w:val="single" w:sz="4" w:space="0" w:color="auto"/>
            </w:tcBorders>
            <w:shd w:val="clear" w:color="auto" w:fill="D9D9D9"/>
            <w:hideMark/>
          </w:tcPr>
          <w:p w14:paraId="021E487D" w14:textId="77777777" w:rsidR="002A4DDF" w:rsidRPr="00937C8B" w:rsidRDefault="002A4DDF" w:rsidP="009110ED">
            <w:pPr>
              <w:rPr>
                <w:rFonts w:ascii="Arial" w:hAnsi="Arial" w:cs="Arial"/>
                <w:sz w:val="12"/>
                <w:szCs w:val="12"/>
              </w:rPr>
            </w:pPr>
          </w:p>
        </w:tc>
      </w:tr>
      <w:tr w:rsidR="002A4DDF" w:rsidRPr="00937C8B" w14:paraId="341F35CB" w14:textId="77777777" w:rsidTr="00935676">
        <w:trPr>
          <w:cantSplit/>
        </w:trPr>
        <w:tc>
          <w:tcPr>
            <w:tcW w:w="1696" w:type="dxa"/>
            <w:tcBorders>
              <w:left w:val="single" w:sz="4" w:space="0" w:color="auto"/>
            </w:tcBorders>
            <w:shd w:val="clear" w:color="auto" w:fill="auto"/>
          </w:tcPr>
          <w:p w14:paraId="5D88CC61" w14:textId="77777777" w:rsidR="002A4DDF" w:rsidRPr="00937C8B" w:rsidRDefault="002A4DDF" w:rsidP="009110ED">
            <w:pPr>
              <w:rPr>
                <w:rFonts w:ascii="Arial" w:hAnsi="Arial" w:cs="Arial"/>
                <w:sz w:val="12"/>
                <w:szCs w:val="12"/>
              </w:rPr>
            </w:pPr>
          </w:p>
        </w:tc>
        <w:tc>
          <w:tcPr>
            <w:tcW w:w="1843" w:type="dxa"/>
            <w:shd w:val="clear" w:color="auto" w:fill="auto"/>
          </w:tcPr>
          <w:p w14:paraId="6415848C" w14:textId="77777777" w:rsidR="002A4DDF" w:rsidRPr="00937C8B" w:rsidRDefault="002A4DDF" w:rsidP="009110ED">
            <w:pPr>
              <w:rPr>
                <w:rFonts w:ascii="Arial" w:hAnsi="Arial" w:cs="Arial"/>
                <w:sz w:val="12"/>
                <w:szCs w:val="12"/>
              </w:rPr>
            </w:pPr>
          </w:p>
        </w:tc>
        <w:tc>
          <w:tcPr>
            <w:tcW w:w="2268" w:type="dxa"/>
            <w:shd w:val="clear" w:color="auto" w:fill="F2F2F2"/>
            <w:hideMark/>
          </w:tcPr>
          <w:p w14:paraId="288ACA80" w14:textId="77777777" w:rsidR="002A4DDF" w:rsidRPr="00937C8B" w:rsidRDefault="002A4DDF" w:rsidP="009110ED">
            <w:pPr>
              <w:rPr>
                <w:rFonts w:ascii="Arial" w:hAnsi="Arial" w:cs="Arial"/>
                <w:sz w:val="12"/>
                <w:szCs w:val="12"/>
              </w:rPr>
            </w:pPr>
            <w:r>
              <w:rPr>
                <w:rFonts w:ascii="Arial" w:hAnsi="Arial"/>
                <w:sz w:val="12"/>
                <w:szCs w:val="12"/>
              </w:rPr>
              <w:t>Martín Miguel</w:t>
            </w:r>
          </w:p>
        </w:tc>
        <w:tc>
          <w:tcPr>
            <w:tcW w:w="2268" w:type="dxa"/>
            <w:tcBorders>
              <w:right w:val="single" w:sz="4" w:space="0" w:color="auto"/>
            </w:tcBorders>
            <w:shd w:val="clear" w:color="auto" w:fill="D9D9D9"/>
            <w:hideMark/>
          </w:tcPr>
          <w:p w14:paraId="6F874998" w14:textId="77777777" w:rsidR="002A4DDF" w:rsidRPr="00937C8B" w:rsidRDefault="002A4DDF" w:rsidP="009110ED">
            <w:pPr>
              <w:rPr>
                <w:rFonts w:ascii="Arial" w:hAnsi="Arial" w:cs="Arial"/>
                <w:sz w:val="12"/>
                <w:szCs w:val="12"/>
              </w:rPr>
            </w:pPr>
          </w:p>
        </w:tc>
      </w:tr>
      <w:tr w:rsidR="002A4DDF" w:rsidRPr="00937C8B" w14:paraId="15DAEE9E" w14:textId="77777777" w:rsidTr="00935676">
        <w:trPr>
          <w:cantSplit/>
        </w:trPr>
        <w:tc>
          <w:tcPr>
            <w:tcW w:w="1696" w:type="dxa"/>
            <w:tcBorders>
              <w:left w:val="single" w:sz="4" w:space="0" w:color="auto"/>
            </w:tcBorders>
            <w:shd w:val="clear" w:color="auto" w:fill="auto"/>
          </w:tcPr>
          <w:p w14:paraId="2C5F840A" w14:textId="77777777" w:rsidR="002A4DDF" w:rsidRPr="00937C8B" w:rsidRDefault="002A4DDF" w:rsidP="009110ED">
            <w:pPr>
              <w:rPr>
                <w:rFonts w:ascii="Arial" w:hAnsi="Arial" w:cs="Arial"/>
                <w:sz w:val="12"/>
                <w:szCs w:val="12"/>
              </w:rPr>
            </w:pPr>
          </w:p>
        </w:tc>
        <w:tc>
          <w:tcPr>
            <w:tcW w:w="1843" w:type="dxa"/>
            <w:shd w:val="clear" w:color="auto" w:fill="auto"/>
          </w:tcPr>
          <w:p w14:paraId="67593E8F" w14:textId="77777777" w:rsidR="002A4DDF" w:rsidRPr="00937C8B" w:rsidRDefault="002A4DDF" w:rsidP="009110ED">
            <w:pPr>
              <w:rPr>
                <w:rFonts w:ascii="Arial" w:hAnsi="Arial" w:cs="Arial"/>
                <w:sz w:val="12"/>
                <w:szCs w:val="12"/>
              </w:rPr>
            </w:pPr>
          </w:p>
        </w:tc>
        <w:tc>
          <w:tcPr>
            <w:tcW w:w="2268" w:type="dxa"/>
            <w:shd w:val="clear" w:color="auto" w:fill="F2F2F2"/>
            <w:hideMark/>
          </w:tcPr>
          <w:p w14:paraId="65C1E65D" w14:textId="77777777" w:rsidR="002A4DDF" w:rsidRPr="00937C8B" w:rsidRDefault="002A4DDF" w:rsidP="009110ED">
            <w:pPr>
              <w:rPr>
                <w:rFonts w:ascii="Arial" w:hAnsi="Arial" w:cs="Arial"/>
                <w:sz w:val="12"/>
                <w:szCs w:val="12"/>
              </w:rPr>
            </w:pPr>
            <w:r>
              <w:rPr>
                <w:rFonts w:ascii="Arial" w:hAnsi="Arial"/>
                <w:sz w:val="12"/>
                <w:szCs w:val="12"/>
              </w:rPr>
              <w:t>Martín Muñoz de la Dehesa</w:t>
            </w:r>
          </w:p>
        </w:tc>
        <w:tc>
          <w:tcPr>
            <w:tcW w:w="2268" w:type="dxa"/>
            <w:tcBorders>
              <w:right w:val="single" w:sz="4" w:space="0" w:color="auto"/>
            </w:tcBorders>
            <w:shd w:val="clear" w:color="auto" w:fill="D9D9D9"/>
            <w:hideMark/>
          </w:tcPr>
          <w:p w14:paraId="5AAF65A2" w14:textId="77777777" w:rsidR="002A4DDF" w:rsidRPr="00937C8B" w:rsidRDefault="002A4DDF" w:rsidP="009110ED">
            <w:pPr>
              <w:rPr>
                <w:rFonts w:ascii="Arial" w:hAnsi="Arial" w:cs="Arial"/>
                <w:sz w:val="12"/>
                <w:szCs w:val="12"/>
              </w:rPr>
            </w:pPr>
          </w:p>
        </w:tc>
      </w:tr>
      <w:tr w:rsidR="002A4DDF" w:rsidRPr="00937C8B" w14:paraId="6C6CF3C0" w14:textId="77777777" w:rsidTr="00935676">
        <w:trPr>
          <w:cantSplit/>
        </w:trPr>
        <w:tc>
          <w:tcPr>
            <w:tcW w:w="1696" w:type="dxa"/>
            <w:tcBorders>
              <w:left w:val="single" w:sz="4" w:space="0" w:color="auto"/>
            </w:tcBorders>
            <w:shd w:val="clear" w:color="auto" w:fill="auto"/>
          </w:tcPr>
          <w:p w14:paraId="0B00D30E" w14:textId="77777777" w:rsidR="002A4DDF" w:rsidRPr="00937C8B" w:rsidRDefault="002A4DDF" w:rsidP="009110ED">
            <w:pPr>
              <w:rPr>
                <w:rFonts w:ascii="Arial" w:hAnsi="Arial" w:cs="Arial"/>
                <w:sz w:val="12"/>
                <w:szCs w:val="12"/>
              </w:rPr>
            </w:pPr>
          </w:p>
        </w:tc>
        <w:tc>
          <w:tcPr>
            <w:tcW w:w="1843" w:type="dxa"/>
            <w:shd w:val="clear" w:color="auto" w:fill="auto"/>
          </w:tcPr>
          <w:p w14:paraId="39AD87A5" w14:textId="77777777" w:rsidR="002A4DDF" w:rsidRPr="00937C8B" w:rsidRDefault="002A4DDF" w:rsidP="009110ED">
            <w:pPr>
              <w:rPr>
                <w:rFonts w:ascii="Arial" w:hAnsi="Arial" w:cs="Arial"/>
                <w:sz w:val="12"/>
                <w:szCs w:val="12"/>
              </w:rPr>
            </w:pPr>
          </w:p>
        </w:tc>
        <w:tc>
          <w:tcPr>
            <w:tcW w:w="2268" w:type="dxa"/>
            <w:shd w:val="clear" w:color="auto" w:fill="F2F2F2"/>
            <w:hideMark/>
          </w:tcPr>
          <w:p w14:paraId="51398A53" w14:textId="77777777" w:rsidR="002A4DDF" w:rsidRPr="00937C8B" w:rsidRDefault="002A4DDF" w:rsidP="009110ED">
            <w:pPr>
              <w:rPr>
                <w:rFonts w:ascii="Arial" w:hAnsi="Arial" w:cs="Arial"/>
                <w:sz w:val="12"/>
                <w:szCs w:val="12"/>
              </w:rPr>
            </w:pPr>
            <w:r>
              <w:rPr>
                <w:rFonts w:ascii="Arial" w:hAnsi="Arial"/>
                <w:sz w:val="12"/>
                <w:szCs w:val="12"/>
              </w:rPr>
              <w:t>Martín Muñoz de las Posadas</w:t>
            </w:r>
          </w:p>
        </w:tc>
        <w:tc>
          <w:tcPr>
            <w:tcW w:w="2268" w:type="dxa"/>
            <w:tcBorders>
              <w:right w:val="single" w:sz="4" w:space="0" w:color="auto"/>
            </w:tcBorders>
            <w:shd w:val="clear" w:color="auto" w:fill="D9D9D9"/>
            <w:hideMark/>
          </w:tcPr>
          <w:p w14:paraId="277C73A3" w14:textId="77777777" w:rsidR="002A4DDF" w:rsidRPr="00937C8B" w:rsidRDefault="002A4DDF" w:rsidP="009110ED">
            <w:pPr>
              <w:rPr>
                <w:rFonts w:ascii="Arial" w:hAnsi="Arial" w:cs="Arial"/>
                <w:sz w:val="12"/>
                <w:szCs w:val="12"/>
              </w:rPr>
            </w:pPr>
          </w:p>
        </w:tc>
      </w:tr>
      <w:tr w:rsidR="002A4DDF" w:rsidRPr="00937C8B" w14:paraId="2F3ED402" w14:textId="77777777" w:rsidTr="00935676">
        <w:trPr>
          <w:cantSplit/>
        </w:trPr>
        <w:tc>
          <w:tcPr>
            <w:tcW w:w="1696" w:type="dxa"/>
            <w:tcBorders>
              <w:left w:val="single" w:sz="4" w:space="0" w:color="auto"/>
            </w:tcBorders>
            <w:shd w:val="clear" w:color="auto" w:fill="auto"/>
          </w:tcPr>
          <w:p w14:paraId="2AD00E27" w14:textId="77777777" w:rsidR="002A4DDF" w:rsidRPr="00937C8B" w:rsidRDefault="002A4DDF" w:rsidP="009110ED">
            <w:pPr>
              <w:rPr>
                <w:rFonts w:ascii="Arial" w:hAnsi="Arial" w:cs="Arial"/>
                <w:sz w:val="12"/>
                <w:szCs w:val="12"/>
              </w:rPr>
            </w:pPr>
          </w:p>
        </w:tc>
        <w:tc>
          <w:tcPr>
            <w:tcW w:w="1843" w:type="dxa"/>
            <w:shd w:val="clear" w:color="auto" w:fill="auto"/>
          </w:tcPr>
          <w:p w14:paraId="0ABBBC52" w14:textId="77777777" w:rsidR="002A4DDF" w:rsidRPr="00937C8B" w:rsidRDefault="002A4DDF" w:rsidP="009110ED">
            <w:pPr>
              <w:rPr>
                <w:rFonts w:ascii="Arial" w:hAnsi="Arial" w:cs="Arial"/>
                <w:sz w:val="12"/>
                <w:szCs w:val="12"/>
              </w:rPr>
            </w:pPr>
          </w:p>
        </w:tc>
        <w:tc>
          <w:tcPr>
            <w:tcW w:w="2268" w:type="dxa"/>
            <w:shd w:val="clear" w:color="auto" w:fill="F2F2F2"/>
            <w:hideMark/>
          </w:tcPr>
          <w:p w14:paraId="5F345A92" w14:textId="77777777" w:rsidR="002A4DDF" w:rsidRPr="00937C8B" w:rsidRDefault="002A4DDF" w:rsidP="009110ED">
            <w:pPr>
              <w:rPr>
                <w:rFonts w:ascii="Arial" w:hAnsi="Arial" w:cs="Arial"/>
                <w:sz w:val="12"/>
                <w:szCs w:val="12"/>
              </w:rPr>
            </w:pPr>
            <w:r>
              <w:rPr>
                <w:rFonts w:ascii="Arial" w:hAnsi="Arial"/>
                <w:sz w:val="12"/>
                <w:szCs w:val="12"/>
              </w:rPr>
              <w:t>Marugán</w:t>
            </w:r>
          </w:p>
        </w:tc>
        <w:tc>
          <w:tcPr>
            <w:tcW w:w="2268" w:type="dxa"/>
            <w:tcBorders>
              <w:right w:val="single" w:sz="4" w:space="0" w:color="auto"/>
            </w:tcBorders>
            <w:shd w:val="clear" w:color="auto" w:fill="D9D9D9"/>
            <w:hideMark/>
          </w:tcPr>
          <w:p w14:paraId="7683897F" w14:textId="77777777" w:rsidR="002A4DDF" w:rsidRPr="00937C8B" w:rsidRDefault="002A4DDF" w:rsidP="009110ED">
            <w:pPr>
              <w:rPr>
                <w:rFonts w:ascii="Arial" w:hAnsi="Arial" w:cs="Arial"/>
                <w:sz w:val="12"/>
                <w:szCs w:val="12"/>
              </w:rPr>
            </w:pPr>
          </w:p>
        </w:tc>
      </w:tr>
      <w:tr w:rsidR="002A4DDF" w:rsidRPr="00937C8B" w14:paraId="0CFB3539" w14:textId="77777777" w:rsidTr="00935676">
        <w:trPr>
          <w:cantSplit/>
        </w:trPr>
        <w:tc>
          <w:tcPr>
            <w:tcW w:w="1696" w:type="dxa"/>
            <w:tcBorders>
              <w:left w:val="single" w:sz="4" w:space="0" w:color="auto"/>
            </w:tcBorders>
            <w:shd w:val="clear" w:color="auto" w:fill="auto"/>
          </w:tcPr>
          <w:p w14:paraId="185828C5" w14:textId="77777777" w:rsidR="002A4DDF" w:rsidRPr="00937C8B" w:rsidRDefault="002A4DDF" w:rsidP="009110ED">
            <w:pPr>
              <w:rPr>
                <w:rFonts w:ascii="Arial" w:hAnsi="Arial" w:cs="Arial"/>
                <w:sz w:val="12"/>
                <w:szCs w:val="12"/>
              </w:rPr>
            </w:pPr>
          </w:p>
        </w:tc>
        <w:tc>
          <w:tcPr>
            <w:tcW w:w="1843" w:type="dxa"/>
            <w:shd w:val="clear" w:color="auto" w:fill="auto"/>
          </w:tcPr>
          <w:p w14:paraId="0920D175" w14:textId="77777777" w:rsidR="002A4DDF" w:rsidRPr="00937C8B" w:rsidRDefault="002A4DDF" w:rsidP="009110ED">
            <w:pPr>
              <w:rPr>
                <w:rFonts w:ascii="Arial" w:hAnsi="Arial" w:cs="Arial"/>
                <w:sz w:val="12"/>
                <w:szCs w:val="12"/>
              </w:rPr>
            </w:pPr>
          </w:p>
        </w:tc>
        <w:tc>
          <w:tcPr>
            <w:tcW w:w="2268" w:type="dxa"/>
            <w:shd w:val="clear" w:color="auto" w:fill="F2F2F2"/>
            <w:hideMark/>
          </w:tcPr>
          <w:p w14:paraId="4B101858" w14:textId="77777777" w:rsidR="002A4DDF" w:rsidRPr="00937C8B" w:rsidRDefault="002A4DDF" w:rsidP="009110ED">
            <w:pPr>
              <w:rPr>
                <w:rFonts w:ascii="Arial" w:hAnsi="Arial" w:cs="Arial"/>
                <w:sz w:val="12"/>
                <w:szCs w:val="12"/>
              </w:rPr>
            </w:pPr>
            <w:r>
              <w:rPr>
                <w:rFonts w:ascii="Arial" w:hAnsi="Arial"/>
                <w:sz w:val="12"/>
                <w:szCs w:val="12"/>
              </w:rPr>
              <w:t>Melque de Cercos</w:t>
            </w:r>
          </w:p>
        </w:tc>
        <w:tc>
          <w:tcPr>
            <w:tcW w:w="2268" w:type="dxa"/>
            <w:tcBorders>
              <w:right w:val="single" w:sz="4" w:space="0" w:color="auto"/>
            </w:tcBorders>
            <w:shd w:val="clear" w:color="auto" w:fill="D9D9D9"/>
            <w:hideMark/>
          </w:tcPr>
          <w:p w14:paraId="4382D391" w14:textId="77777777" w:rsidR="002A4DDF" w:rsidRPr="00937C8B" w:rsidRDefault="002A4DDF" w:rsidP="009110ED">
            <w:pPr>
              <w:rPr>
                <w:rFonts w:ascii="Arial" w:hAnsi="Arial" w:cs="Arial"/>
                <w:sz w:val="12"/>
                <w:szCs w:val="12"/>
              </w:rPr>
            </w:pPr>
          </w:p>
        </w:tc>
      </w:tr>
      <w:tr w:rsidR="002A4DDF" w:rsidRPr="00937C8B" w14:paraId="17D10A12" w14:textId="77777777" w:rsidTr="00935676">
        <w:trPr>
          <w:cantSplit/>
        </w:trPr>
        <w:tc>
          <w:tcPr>
            <w:tcW w:w="1696" w:type="dxa"/>
            <w:tcBorders>
              <w:left w:val="single" w:sz="4" w:space="0" w:color="auto"/>
            </w:tcBorders>
            <w:shd w:val="clear" w:color="auto" w:fill="auto"/>
          </w:tcPr>
          <w:p w14:paraId="1C35937E" w14:textId="77777777" w:rsidR="002A4DDF" w:rsidRPr="00937C8B" w:rsidRDefault="002A4DDF" w:rsidP="009110ED">
            <w:pPr>
              <w:rPr>
                <w:rFonts w:ascii="Arial" w:hAnsi="Arial" w:cs="Arial"/>
                <w:sz w:val="12"/>
                <w:szCs w:val="12"/>
              </w:rPr>
            </w:pPr>
          </w:p>
        </w:tc>
        <w:tc>
          <w:tcPr>
            <w:tcW w:w="1843" w:type="dxa"/>
            <w:shd w:val="clear" w:color="auto" w:fill="auto"/>
          </w:tcPr>
          <w:p w14:paraId="4E67FCB3" w14:textId="77777777" w:rsidR="002A4DDF" w:rsidRPr="00937C8B" w:rsidRDefault="002A4DDF" w:rsidP="009110ED">
            <w:pPr>
              <w:rPr>
                <w:rFonts w:ascii="Arial" w:hAnsi="Arial" w:cs="Arial"/>
                <w:sz w:val="12"/>
                <w:szCs w:val="12"/>
              </w:rPr>
            </w:pPr>
          </w:p>
        </w:tc>
        <w:tc>
          <w:tcPr>
            <w:tcW w:w="2268" w:type="dxa"/>
            <w:shd w:val="clear" w:color="auto" w:fill="F2F2F2"/>
            <w:hideMark/>
          </w:tcPr>
          <w:p w14:paraId="06563426" w14:textId="77777777" w:rsidR="002A4DDF" w:rsidRPr="00937C8B" w:rsidRDefault="002A4DDF" w:rsidP="009110ED">
            <w:pPr>
              <w:rPr>
                <w:rFonts w:ascii="Arial" w:hAnsi="Arial" w:cs="Arial"/>
                <w:sz w:val="12"/>
                <w:szCs w:val="12"/>
              </w:rPr>
            </w:pPr>
            <w:r>
              <w:rPr>
                <w:rFonts w:ascii="Arial" w:hAnsi="Arial"/>
                <w:sz w:val="12"/>
                <w:szCs w:val="12"/>
              </w:rPr>
              <w:t>Membibre de la Hoz</w:t>
            </w:r>
          </w:p>
        </w:tc>
        <w:tc>
          <w:tcPr>
            <w:tcW w:w="2268" w:type="dxa"/>
            <w:tcBorders>
              <w:right w:val="single" w:sz="4" w:space="0" w:color="auto"/>
            </w:tcBorders>
            <w:shd w:val="clear" w:color="auto" w:fill="D9D9D9"/>
            <w:hideMark/>
          </w:tcPr>
          <w:p w14:paraId="341B5678" w14:textId="77777777" w:rsidR="002A4DDF" w:rsidRPr="00937C8B" w:rsidRDefault="002A4DDF" w:rsidP="009110ED">
            <w:pPr>
              <w:rPr>
                <w:rFonts w:ascii="Arial" w:hAnsi="Arial" w:cs="Arial"/>
                <w:sz w:val="12"/>
                <w:szCs w:val="12"/>
              </w:rPr>
            </w:pPr>
          </w:p>
        </w:tc>
      </w:tr>
      <w:tr w:rsidR="002A4DDF" w:rsidRPr="00937C8B" w14:paraId="7EB3CB75" w14:textId="77777777" w:rsidTr="00935676">
        <w:trPr>
          <w:cantSplit/>
        </w:trPr>
        <w:tc>
          <w:tcPr>
            <w:tcW w:w="1696" w:type="dxa"/>
            <w:tcBorders>
              <w:left w:val="single" w:sz="4" w:space="0" w:color="auto"/>
            </w:tcBorders>
            <w:shd w:val="clear" w:color="auto" w:fill="auto"/>
          </w:tcPr>
          <w:p w14:paraId="497C0B29" w14:textId="77777777" w:rsidR="002A4DDF" w:rsidRPr="00937C8B" w:rsidRDefault="002A4DDF" w:rsidP="009110ED">
            <w:pPr>
              <w:rPr>
                <w:rFonts w:ascii="Arial" w:hAnsi="Arial" w:cs="Arial"/>
                <w:sz w:val="12"/>
                <w:szCs w:val="12"/>
              </w:rPr>
            </w:pPr>
          </w:p>
        </w:tc>
        <w:tc>
          <w:tcPr>
            <w:tcW w:w="1843" w:type="dxa"/>
            <w:shd w:val="clear" w:color="auto" w:fill="auto"/>
          </w:tcPr>
          <w:p w14:paraId="36C50DB2" w14:textId="77777777" w:rsidR="002A4DDF" w:rsidRPr="00937C8B" w:rsidRDefault="002A4DDF" w:rsidP="009110ED">
            <w:pPr>
              <w:rPr>
                <w:rFonts w:ascii="Arial" w:hAnsi="Arial" w:cs="Arial"/>
                <w:sz w:val="12"/>
                <w:szCs w:val="12"/>
              </w:rPr>
            </w:pPr>
          </w:p>
        </w:tc>
        <w:tc>
          <w:tcPr>
            <w:tcW w:w="2268" w:type="dxa"/>
            <w:shd w:val="clear" w:color="auto" w:fill="F2F2F2"/>
            <w:hideMark/>
          </w:tcPr>
          <w:p w14:paraId="40AB2B6C" w14:textId="77777777" w:rsidR="002A4DDF" w:rsidRPr="00937C8B" w:rsidRDefault="002A4DDF" w:rsidP="009110ED">
            <w:pPr>
              <w:rPr>
                <w:rFonts w:ascii="Arial" w:hAnsi="Arial" w:cs="Arial"/>
                <w:sz w:val="12"/>
                <w:szCs w:val="12"/>
              </w:rPr>
            </w:pPr>
            <w:r>
              <w:rPr>
                <w:rFonts w:ascii="Arial" w:hAnsi="Arial"/>
                <w:sz w:val="12"/>
                <w:szCs w:val="12"/>
              </w:rPr>
              <w:t>Migueláñez</w:t>
            </w:r>
          </w:p>
        </w:tc>
        <w:tc>
          <w:tcPr>
            <w:tcW w:w="2268" w:type="dxa"/>
            <w:tcBorders>
              <w:right w:val="single" w:sz="4" w:space="0" w:color="auto"/>
            </w:tcBorders>
            <w:shd w:val="clear" w:color="auto" w:fill="D9D9D9"/>
            <w:hideMark/>
          </w:tcPr>
          <w:p w14:paraId="01ADAC33" w14:textId="77777777" w:rsidR="002A4DDF" w:rsidRPr="00937C8B" w:rsidRDefault="002A4DDF" w:rsidP="009110ED">
            <w:pPr>
              <w:rPr>
                <w:rFonts w:ascii="Arial" w:hAnsi="Arial" w:cs="Arial"/>
                <w:sz w:val="12"/>
                <w:szCs w:val="12"/>
              </w:rPr>
            </w:pPr>
          </w:p>
        </w:tc>
      </w:tr>
      <w:tr w:rsidR="002A4DDF" w:rsidRPr="00937C8B" w14:paraId="4D7CA90C" w14:textId="77777777" w:rsidTr="00935676">
        <w:trPr>
          <w:cantSplit/>
        </w:trPr>
        <w:tc>
          <w:tcPr>
            <w:tcW w:w="1696" w:type="dxa"/>
            <w:tcBorders>
              <w:left w:val="single" w:sz="4" w:space="0" w:color="auto"/>
            </w:tcBorders>
            <w:shd w:val="clear" w:color="auto" w:fill="auto"/>
          </w:tcPr>
          <w:p w14:paraId="52914AC8" w14:textId="77777777" w:rsidR="002A4DDF" w:rsidRPr="00937C8B" w:rsidRDefault="002A4DDF" w:rsidP="009110ED">
            <w:pPr>
              <w:rPr>
                <w:rFonts w:ascii="Arial" w:hAnsi="Arial" w:cs="Arial"/>
                <w:sz w:val="12"/>
                <w:szCs w:val="12"/>
              </w:rPr>
            </w:pPr>
          </w:p>
        </w:tc>
        <w:tc>
          <w:tcPr>
            <w:tcW w:w="1843" w:type="dxa"/>
            <w:shd w:val="clear" w:color="auto" w:fill="auto"/>
          </w:tcPr>
          <w:p w14:paraId="2AEEAE34" w14:textId="77777777" w:rsidR="002A4DDF" w:rsidRPr="00937C8B" w:rsidRDefault="002A4DDF" w:rsidP="009110ED">
            <w:pPr>
              <w:rPr>
                <w:rFonts w:ascii="Arial" w:hAnsi="Arial" w:cs="Arial"/>
                <w:sz w:val="12"/>
                <w:szCs w:val="12"/>
              </w:rPr>
            </w:pPr>
          </w:p>
        </w:tc>
        <w:tc>
          <w:tcPr>
            <w:tcW w:w="2268" w:type="dxa"/>
            <w:shd w:val="clear" w:color="auto" w:fill="F2F2F2"/>
            <w:hideMark/>
          </w:tcPr>
          <w:p w14:paraId="219DC8AD" w14:textId="77777777" w:rsidR="002A4DDF" w:rsidRPr="00937C8B" w:rsidRDefault="002A4DDF" w:rsidP="009110ED">
            <w:pPr>
              <w:rPr>
                <w:rFonts w:ascii="Arial" w:hAnsi="Arial" w:cs="Arial"/>
                <w:sz w:val="12"/>
                <w:szCs w:val="12"/>
              </w:rPr>
            </w:pPr>
            <w:r>
              <w:rPr>
                <w:rFonts w:ascii="Arial" w:hAnsi="Arial"/>
                <w:sz w:val="12"/>
                <w:szCs w:val="12"/>
              </w:rPr>
              <w:t>Montejo de Arévalo</w:t>
            </w:r>
          </w:p>
        </w:tc>
        <w:tc>
          <w:tcPr>
            <w:tcW w:w="2268" w:type="dxa"/>
            <w:tcBorders>
              <w:right w:val="single" w:sz="4" w:space="0" w:color="auto"/>
            </w:tcBorders>
            <w:shd w:val="clear" w:color="auto" w:fill="D9D9D9"/>
            <w:hideMark/>
          </w:tcPr>
          <w:p w14:paraId="3D2848C6" w14:textId="77777777" w:rsidR="002A4DDF" w:rsidRPr="00937C8B" w:rsidRDefault="002A4DDF" w:rsidP="009110ED">
            <w:pPr>
              <w:rPr>
                <w:rFonts w:ascii="Arial" w:hAnsi="Arial" w:cs="Arial"/>
                <w:sz w:val="12"/>
                <w:szCs w:val="12"/>
              </w:rPr>
            </w:pPr>
          </w:p>
        </w:tc>
      </w:tr>
      <w:tr w:rsidR="002A4DDF" w:rsidRPr="00937C8B" w14:paraId="79210946" w14:textId="77777777" w:rsidTr="00935676">
        <w:trPr>
          <w:cantSplit/>
        </w:trPr>
        <w:tc>
          <w:tcPr>
            <w:tcW w:w="1696" w:type="dxa"/>
            <w:tcBorders>
              <w:left w:val="single" w:sz="4" w:space="0" w:color="auto"/>
            </w:tcBorders>
            <w:shd w:val="clear" w:color="auto" w:fill="auto"/>
          </w:tcPr>
          <w:p w14:paraId="426E1863" w14:textId="77777777" w:rsidR="002A4DDF" w:rsidRPr="00937C8B" w:rsidRDefault="002A4DDF" w:rsidP="009110ED">
            <w:pPr>
              <w:rPr>
                <w:rFonts w:ascii="Arial" w:hAnsi="Arial" w:cs="Arial"/>
                <w:sz w:val="12"/>
                <w:szCs w:val="12"/>
              </w:rPr>
            </w:pPr>
          </w:p>
        </w:tc>
        <w:tc>
          <w:tcPr>
            <w:tcW w:w="1843" w:type="dxa"/>
            <w:shd w:val="clear" w:color="auto" w:fill="auto"/>
          </w:tcPr>
          <w:p w14:paraId="14AA5E71" w14:textId="77777777" w:rsidR="002A4DDF" w:rsidRPr="00937C8B" w:rsidRDefault="002A4DDF" w:rsidP="009110ED">
            <w:pPr>
              <w:rPr>
                <w:rFonts w:ascii="Arial" w:hAnsi="Arial" w:cs="Arial"/>
                <w:sz w:val="12"/>
                <w:szCs w:val="12"/>
              </w:rPr>
            </w:pPr>
          </w:p>
        </w:tc>
        <w:tc>
          <w:tcPr>
            <w:tcW w:w="2268" w:type="dxa"/>
            <w:shd w:val="clear" w:color="auto" w:fill="F2F2F2"/>
            <w:hideMark/>
          </w:tcPr>
          <w:p w14:paraId="66F5CBAC" w14:textId="77777777" w:rsidR="002A4DDF" w:rsidRPr="00937C8B" w:rsidRDefault="002A4DDF" w:rsidP="009110ED">
            <w:pPr>
              <w:rPr>
                <w:rFonts w:ascii="Arial" w:hAnsi="Arial" w:cs="Arial"/>
                <w:sz w:val="12"/>
                <w:szCs w:val="12"/>
              </w:rPr>
            </w:pPr>
            <w:r>
              <w:rPr>
                <w:rFonts w:ascii="Arial" w:hAnsi="Arial"/>
                <w:sz w:val="12"/>
                <w:szCs w:val="12"/>
              </w:rPr>
              <w:t>Monterrubio</w:t>
            </w:r>
          </w:p>
        </w:tc>
        <w:tc>
          <w:tcPr>
            <w:tcW w:w="2268" w:type="dxa"/>
            <w:tcBorders>
              <w:right w:val="single" w:sz="4" w:space="0" w:color="auto"/>
            </w:tcBorders>
            <w:shd w:val="clear" w:color="auto" w:fill="D9D9D9"/>
            <w:hideMark/>
          </w:tcPr>
          <w:p w14:paraId="7E936F48" w14:textId="77777777" w:rsidR="002A4DDF" w:rsidRPr="00937C8B" w:rsidRDefault="002A4DDF" w:rsidP="009110ED">
            <w:pPr>
              <w:rPr>
                <w:rFonts w:ascii="Arial" w:hAnsi="Arial" w:cs="Arial"/>
                <w:sz w:val="12"/>
                <w:szCs w:val="12"/>
              </w:rPr>
            </w:pPr>
          </w:p>
        </w:tc>
      </w:tr>
      <w:tr w:rsidR="002A4DDF" w:rsidRPr="00937C8B" w14:paraId="61FACFD2" w14:textId="77777777" w:rsidTr="00935676">
        <w:trPr>
          <w:cantSplit/>
        </w:trPr>
        <w:tc>
          <w:tcPr>
            <w:tcW w:w="1696" w:type="dxa"/>
            <w:tcBorders>
              <w:left w:val="single" w:sz="4" w:space="0" w:color="auto"/>
            </w:tcBorders>
            <w:shd w:val="clear" w:color="auto" w:fill="auto"/>
          </w:tcPr>
          <w:p w14:paraId="036DC6D5" w14:textId="77777777" w:rsidR="002A4DDF" w:rsidRPr="00937C8B" w:rsidRDefault="002A4DDF" w:rsidP="009110ED">
            <w:pPr>
              <w:rPr>
                <w:rFonts w:ascii="Arial" w:hAnsi="Arial" w:cs="Arial"/>
                <w:sz w:val="12"/>
                <w:szCs w:val="12"/>
              </w:rPr>
            </w:pPr>
          </w:p>
        </w:tc>
        <w:tc>
          <w:tcPr>
            <w:tcW w:w="1843" w:type="dxa"/>
            <w:shd w:val="clear" w:color="auto" w:fill="auto"/>
          </w:tcPr>
          <w:p w14:paraId="25718B5C" w14:textId="77777777" w:rsidR="002A4DDF" w:rsidRPr="00937C8B" w:rsidRDefault="002A4DDF" w:rsidP="009110ED">
            <w:pPr>
              <w:rPr>
                <w:rFonts w:ascii="Arial" w:hAnsi="Arial" w:cs="Arial"/>
                <w:sz w:val="12"/>
                <w:szCs w:val="12"/>
              </w:rPr>
            </w:pPr>
          </w:p>
        </w:tc>
        <w:tc>
          <w:tcPr>
            <w:tcW w:w="2268" w:type="dxa"/>
            <w:shd w:val="clear" w:color="auto" w:fill="F2F2F2"/>
            <w:hideMark/>
          </w:tcPr>
          <w:p w14:paraId="0FFC01D2" w14:textId="77777777" w:rsidR="002A4DDF" w:rsidRPr="00937C8B" w:rsidRDefault="002A4DDF" w:rsidP="009110ED">
            <w:pPr>
              <w:rPr>
                <w:rFonts w:ascii="Arial" w:hAnsi="Arial" w:cs="Arial"/>
                <w:sz w:val="12"/>
                <w:szCs w:val="12"/>
              </w:rPr>
            </w:pPr>
            <w:r>
              <w:rPr>
                <w:rFonts w:ascii="Arial" w:hAnsi="Arial"/>
                <w:sz w:val="12"/>
                <w:szCs w:val="12"/>
              </w:rPr>
              <w:t>Mozoncillo</w:t>
            </w:r>
          </w:p>
        </w:tc>
        <w:tc>
          <w:tcPr>
            <w:tcW w:w="2268" w:type="dxa"/>
            <w:tcBorders>
              <w:right w:val="single" w:sz="4" w:space="0" w:color="auto"/>
            </w:tcBorders>
            <w:shd w:val="clear" w:color="auto" w:fill="D9D9D9"/>
            <w:hideMark/>
          </w:tcPr>
          <w:p w14:paraId="51DE8E02" w14:textId="77777777" w:rsidR="002A4DDF" w:rsidRPr="00937C8B" w:rsidRDefault="002A4DDF" w:rsidP="009110ED">
            <w:pPr>
              <w:rPr>
                <w:rFonts w:ascii="Arial" w:hAnsi="Arial" w:cs="Arial"/>
                <w:sz w:val="12"/>
                <w:szCs w:val="12"/>
              </w:rPr>
            </w:pPr>
          </w:p>
        </w:tc>
      </w:tr>
      <w:tr w:rsidR="002A4DDF" w:rsidRPr="00937C8B" w14:paraId="3BBB01FB" w14:textId="77777777" w:rsidTr="00935676">
        <w:trPr>
          <w:cantSplit/>
        </w:trPr>
        <w:tc>
          <w:tcPr>
            <w:tcW w:w="1696" w:type="dxa"/>
            <w:tcBorders>
              <w:left w:val="single" w:sz="4" w:space="0" w:color="auto"/>
            </w:tcBorders>
            <w:shd w:val="clear" w:color="auto" w:fill="auto"/>
          </w:tcPr>
          <w:p w14:paraId="6E03971C" w14:textId="77777777" w:rsidR="002A4DDF" w:rsidRPr="00937C8B" w:rsidRDefault="002A4DDF" w:rsidP="009110ED">
            <w:pPr>
              <w:rPr>
                <w:rFonts w:ascii="Arial" w:hAnsi="Arial" w:cs="Arial"/>
                <w:sz w:val="12"/>
                <w:szCs w:val="12"/>
              </w:rPr>
            </w:pPr>
          </w:p>
        </w:tc>
        <w:tc>
          <w:tcPr>
            <w:tcW w:w="1843" w:type="dxa"/>
            <w:shd w:val="clear" w:color="auto" w:fill="auto"/>
          </w:tcPr>
          <w:p w14:paraId="1AC8F5A0" w14:textId="77777777" w:rsidR="002A4DDF" w:rsidRPr="00937C8B" w:rsidRDefault="002A4DDF" w:rsidP="009110ED">
            <w:pPr>
              <w:rPr>
                <w:rFonts w:ascii="Arial" w:hAnsi="Arial" w:cs="Arial"/>
                <w:sz w:val="12"/>
                <w:szCs w:val="12"/>
              </w:rPr>
            </w:pPr>
          </w:p>
        </w:tc>
        <w:tc>
          <w:tcPr>
            <w:tcW w:w="2268" w:type="dxa"/>
            <w:shd w:val="clear" w:color="auto" w:fill="F2F2F2"/>
            <w:hideMark/>
          </w:tcPr>
          <w:p w14:paraId="2A83B6B2" w14:textId="77777777" w:rsidR="002A4DDF" w:rsidRPr="00937C8B" w:rsidRDefault="002A4DDF" w:rsidP="009110ED">
            <w:pPr>
              <w:rPr>
                <w:rFonts w:ascii="Arial" w:hAnsi="Arial" w:cs="Arial"/>
                <w:sz w:val="12"/>
                <w:szCs w:val="12"/>
              </w:rPr>
            </w:pPr>
            <w:r>
              <w:rPr>
                <w:rFonts w:ascii="Arial" w:hAnsi="Arial"/>
                <w:sz w:val="12"/>
                <w:szCs w:val="12"/>
              </w:rPr>
              <w:t>Muñopedro</w:t>
            </w:r>
          </w:p>
        </w:tc>
        <w:tc>
          <w:tcPr>
            <w:tcW w:w="2268" w:type="dxa"/>
            <w:tcBorders>
              <w:right w:val="single" w:sz="4" w:space="0" w:color="auto"/>
            </w:tcBorders>
            <w:shd w:val="clear" w:color="auto" w:fill="D9D9D9"/>
            <w:hideMark/>
          </w:tcPr>
          <w:p w14:paraId="1A048DA7" w14:textId="77777777" w:rsidR="002A4DDF" w:rsidRPr="00937C8B" w:rsidRDefault="002A4DDF" w:rsidP="009110ED">
            <w:pPr>
              <w:rPr>
                <w:rFonts w:ascii="Arial" w:hAnsi="Arial" w:cs="Arial"/>
                <w:sz w:val="12"/>
                <w:szCs w:val="12"/>
              </w:rPr>
            </w:pPr>
          </w:p>
        </w:tc>
      </w:tr>
      <w:tr w:rsidR="002A4DDF" w:rsidRPr="00937C8B" w14:paraId="1B3BF9BD" w14:textId="77777777" w:rsidTr="00935676">
        <w:trPr>
          <w:cantSplit/>
        </w:trPr>
        <w:tc>
          <w:tcPr>
            <w:tcW w:w="1696" w:type="dxa"/>
            <w:tcBorders>
              <w:left w:val="single" w:sz="4" w:space="0" w:color="auto"/>
            </w:tcBorders>
            <w:shd w:val="clear" w:color="auto" w:fill="auto"/>
          </w:tcPr>
          <w:p w14:paraId="1047CA83" w14:textId="77777777" w:rsidR="002A4DDF" w:rsidRPr="00937C8B" w:rsidRDefault="002A4DDF" w:rsidP="009110ED">
            <w:pPr>
              <w:rPr>
                <w:rFonts w:ascii="Arial" w:hAnsi="Arial" w:cs="Arial"/>
                <w:sz w:val="12"/>
                <w:szCs w:val="12"/>
              </w:rPr>
            </w:pPr>
          </w:p>
        </w:tc>
        <w:tc>
          <w:tcPr>
            <w:tcW w:w="1843" w:type="dxa"/>
            <w:shd w:val="clear" w:color="auto" w:fill="auto"/>
          </w:tcPr>
          <w:p w14:paraId="2D30AC47" w14:textId="77777777" w:rsidR="002A4DDF" w:rsidRPr="00937C8B" w:rsidRDefault="002A4DDF" w:rsidP="009110ED">
            <w:pPr>
              <w:rPr>
                <w:rFonts w:ascii="Arial" w:hAnsi="Arial" w:cs="Arial"/>
                <w:sz w:val="12"/>
                <w:szCs w:val="12"/>
              </w:rPr>
            </w:pPr>
          </w:p>
        </w:tc>
        <w:tc>
          <w:tcPr>
            <w:tcW w:w="2268" w:type="dxa"/>
            <w:shd w:val="clear" w:color="auto" w:fill="F2F2F2"/>
            <w:hideMark/>
          </w:tcPr>
          <w:p w14:paraId="3F4DEB79" w14:textId="77777777" w:rsidR="002A4DDF" w:rsidRPr="00937C8B" w:rsidRDefault="002A4DDF" w:rsidP="009110ED">
            <w:pPr>
              <w:rPr>
                <w:rFonts w:ascii="Arial" w:hAnsi="Arial" w:cs="Arial"/>
                <w:sz w:val="12"/>
                <w:szCs w:val="12"/>
              </w:rPr>
            </w:pPr>
            <w:r>
              <w:rPr>
                <w:rFonts w:ascii="Arial" w:hAnsi="Arial"/>
                <w:sz w:val="12"/>
                <w:szCs w:val="12"/>
              </w:rPr>
              <w:t>Muñoveros</w:t>
            </w:r>
          </w:p>
        </w:tc>
        <w:tc>
          <w:tcPr>
            <w:tcW w:w="2268" w:type="dxa"/>
            <w:tcBorders>
              <w:right w:val="single" w:sz="4" w:space="0" w:color="auto"/>
            </w:tcBorders>
            <w:shd w:val="clear" w:color="auto" w:fill="D9D9D9"/>
            <w:hideMark/>
          </w:tcPr>
          <w:p w14:paraId="2B4F45F8" w14:textId="77777777" w:rsidR="002A4DDF" w:rsidRPr="00937C8B" w:rsidRDefault="002A4DDF" w:rsidP="009110ED">
            <w:pPr>
              <w:rPr>
                <w:rFonts w:ascii="Arial" w:hAnsi="Arial" w:cs="Arial"/>
                <w:sz w:val="12"/>
                <w:szCs w:val="12"/>
              </w:rPr>
            </w:pPr>
          </w:p>
        </w:tc>
      </w:tr>
      <w:tr w:rsidR="002A4DDF" w:rsidRPr="00937C8B" w14:paraId="73CEDB19" w14:textId="77777777" w:rsidTr="00935676">
        <w:trPr>
          <w:cantSplit/>
        </w:trPr>
        <w:tc>
          <w:tcPr>
            <w:tcW w:w="1696" w:type="dxa"/>
            <w:tcBorders>
              <w:left w:val="single" w:sz="4" w:space="0" w:color="auto"/>
            </w:tcBorders>
            <w:shd w:val="clear" w:color="auto" w:fill="auto"/>
          </w:tcPr>
          <w:p w14:paraId="66E87570" w14:textId="77777777" w:rsidR="002A4DDF" w:rsidRPr="00937C8B" w:rsidRDefault="002A4DDF" w:rsidP="009110ED">
            <w:pPr>
              <w:rPr>
                <w:rFonts w:ascii="Arial" w:hAnsi="Arial" w:cs="Arial"/>
                <w:sz w:val="12"/>
                <w:szCs w:val="12"/>
              </w:rPr>
            </w:pPr>
          </w:p>
        </w:tc>
        <w:tc>
          <w:tcPr>
            <w:tcW w:w="1843" w:type="dxa"/>
            <w:shd w:val="clear" w:color="auto" w:fill="auto"/>
          </w:tcPr>
          <w:p w14:paraId="7EEE4936" w14:textId="77777777" w:rsidR="002A4DDF" w:rsidRPr="00937C8B" w:rsidRDefault="002A4DDF" w:rsidP="009110ED">
            <w:pPr>
              <w:rPr>
                <w:rFonts w:ascii="Arial" w:hAnsi="Arial" w:cs="Arial"/>
                <w:sz w:val="12"/>
                <w:szCs w:val="12"/>
              </w:rPr>
            </w:pPr>
          </w:p>
        </w:tc>
        <w:tc>
          <w:tcPr>
            <w:tcW w:w="2268" w:type="dxa"/>
            <w:shd w:val="clear" w:color="auto" w:fill="F2F2F2"/>
            <w:hideMark/>
          </w:tcPr>
          <w:p w14:paraId="167BA2AB" w14:textId="77777777" w:rsidR="002A4DDF" w:rsidRPr="00937C8B" w:rsidRDefault="002A4DDF" w:rsidP="009110ED">
            <w:pPr>
              <w:rPr>
                <w:rFonts w:ascii="Arial" w:hAnsi="Arial" w:cs="Arial"/>
                <w:sz w:val="12"/>
                <w:szCs w:val="12"/>
              </w:rPr>
            </w:pPr>
            <w:r>
              <w:rPr>
                <w:rFonts w:ascii="Arial" w:hAnsi="Arial"/>
                <w:sz w:val="12"/>
                <w:szCs w:val="12"/>
              </w:rPr>
              <w:t>Nava de la Asunción</w:t>
            </w:r>
          </w:p>
        </w:tc>
        <w:tc>
          <w:tcPr>
            <w:tcW w:w="2268" w:type="dxa"/>
            <w:tcBorders>
              <w:right w:val="single" w:sz="4" w:space="0" w:color="auto"/>
            </w:tcBorders>
            <w:shd w:val="clear" w:color="auto" w:fill="D9D9D9"/>
            <w:hideMark/>
          </w:tcPr>
          <w:p w14:paraId="201C2BF3" w14:textId="77777777" w:rsidR="002A4DDF" w:rsidRPr="00937C8B" w:rsidRDefault="002A4DDF" w:rsidP="009110ED">
            <w:pPr>
              <w:rPr>
                <w:rFonts w:ascii="Arial" w:hAnsi="Arial" w:cs="Arial"/>
                <w:sz w:val="12"/>
                <w:szCs w:val="12"/>
              </w:rPr>
            </w:pPr>
          </w:p>
        </w:tc>
      </w:tr>
      <w:tr w:rsidR="002A4DDF" w:rsidRPr="00937C8B" w14:paraId="3FA658CF" w14:textId="77777777" w:rsidTr="00935676">
        <w:trPr>
          <w:cantSplit/>
        </w:trPr>
        <w:tc>
          <w:tcPr>
            <w:tcW w:w="1696" w:type="dxa"/>
            <w:tcBorders>
              <w:left w:val="single" w:sz="4" w:space="0" w:color="auto"/>
            </w:tcBorders>
            <w:shd w:val="clear" w:color="auto" w:fill="auto"/>
          </w:tcPr>
          <w:p w14:paraId="61B83568" w14:textId="77777777" w:rsidR="002A4DDF" w:rsidRPr="00937C8B" w:rsidRDefault="002A4DDF" w:rsidP="009110ED">
            <w:pPr>
              <w:rPr>
                <w:rFonts w:ascii="Arial" w:hAnsi="Arial" w:cs="Arial"/>
                <w:sz w:val="12"/>
                <w:szCs w:val="12"/>
              </w:rPr>
            </w:pPr>
          </w:p>
        </w:tc>
        <w:tc>
          <w:tcPr>
            <w:tcW w:w="1843" w:type="dxa"/>
            <w:shd w:val="clear" w:color="auto" w:fill="auto"/>
          </w:tcPr>
          <w:p w14:paraId="72E5C333" w14:textId="77777777" w:rsidR="002A4DDF" w:rsidRPr="00937C8B" w:rsidRDefault="002A4DDF" w:rsidP="009110ED">
            <w:pPr>
              <w:rPr>
                <w:rFonts w:ascii="Arial" w:hAnsi="Arial" w:cs="Arial"/>
                <w:sz w:val="12"/>
                <w:szCs w:val="12"/>
              </w:rPr>
            </w:pPr>
          </w:p>
        </w:tc>
        <w:tc>
          <w:tcPr>
            <w:tcW w:w="2268" w:type="dxa"/>
            <w:shd w:val="clear" w:color="auto" w:fill="F2F2F2"/>
            <w:hideMark/>
          </w:tcPr>
          <w:p w14:paraId="737E755C" w14:textId="77777777" w:rsidR="002A4DDF" w:rsidRPr="00937C8B" w:rsidRDefault="002A4DDF" w:rsidP="009110ED">
            <w:pPr>
              <w:rPr>
                <w:rFonts w:ascii="Arial" w:hAnsi="Arial" w:cs="Arial"/>
                <w:sz w:val="12"/>
                <w:szCs w:val="12"/>
              </w:rPr>
            </w:pPr>
            <w:r>
              <w:rPr>
                <w:rFonts w:ascii="Arial" w:hAnsi="Arial"/>
                <w:sz w:val="12"/>
                <w:szCs w:val="12"/>
              </w:rPr>
              <w:t>Navalmanzano</w:t>
            </w:r>
          </w:p>
        </w:tc>
        <w:tc>
          <w:tcPr>
            <w:tcW w:w="2268" w:type="dxa"/>
            <w:tcBorders>
              <w:right w:val="single" w:sz="4" w:space="0" w:color="auto"/>
            </w:tcBorders>
            <w:shd w:val="clear" w:color="auto" w:fill="D9D9D9"/>
            <w:hideMark/>
          </w:tcPr>
          <w:p w14:paraId="556931BF" w14:textId="77777777" w:rsidR="002A4DDF" w:rsidRPr="00937C8B" w:rsidRDefault="002A4DDF" w:rsidP="009110ED">
            <w:pPr>
              <w:rPr>
                <w:rFonts w:ascii="Arial" w:hAnsi="Arial" w:cs="Arial"/>
                <w:sz w:val="12"/>
                <w:szCs w:val="12"/>
              </w:rPr>
            </w:pPr>
          </w:p>
        </w:tc>
      </w:tr>
      <w:tr w:rsidR="002A4DDF" w:rsidRPr="00937C8B" w14:paraId="6CA3AB42" w14:textId="77777777" w:rsidTr="00935676">
        <w:trPr>
          <w:cantSplit/>
        </w:trPr>
        <w:tc>
          <w:tcPr>
            <w:tcW w:w="1696" w:type="dxa"/>
            <w:tcBorders>
              <w:left w:val="single" w:sz="4" w:space="0" w:color="auto"/>
            </w:tcBorders>
            <w:shd w:val="clear" w:color="auto" w:fill="auto"/>
          </w:tcPr>
          <w:p w14:paraId="6BA9D0AB" w14:textId="77777777" w:rsidR="002A4DDF" w:rsidRPr="00937C8B" w:rsidRDefault="002A4DDF" w:rsidP="009110ED">
            <w:pPr>
              <w:rPr>
                <w:rFonts w:ascii="Arial" w:hAnsi="Arial" w:cs="Arial"/>
                <w:sz w:val="12"/>
                <w:szCs w:val="12"/>
              </w:rPr>
            </w:pPr>
          </w:p>
        </w:tc>
        <w:tc>
          <w:tcPr>
            <w:tcW w:w="1843" w:type="dxa"/>
            <w:shd w:val="clear" w:color="auto" w:fill="auto"/>
          </w:tcPr>
          <w:p w14:paraId="6CB7174C" w14:textId="77777777" w:rsidR="002A4DDF" w:rsidRPr="00937C8B" w:rsidRDefault="002A4DDF" w:rsidP="009110ED">
            <w:pPr>
              <w:rPr>
                <w:rFonts w:ascii="Arial" w:hAnsi="Arial" w:cs="Arial"/>
                <w:sz w:val="12"/>
                <w:szCs w:val="12"/>
              </w:rPr>
            </w:pPr>
          </w:p>
        </w:tc>
        <w:tc>
          <w:tcPr>
            <w:tcW w:w="2268" w:type="dxa"/>
            <w:shd w:val="clear" w:color="auto" w:fill="F2F2F2"/>
            <w:hideMark/>
          </w:tcPr>
          <w:p w14:paraId="47059D18" w14:textId="77777777" w:rsidR="002A4DDF" w:rsidRPr="00937C8B" w:rsidRDefault="002A4DDF" w:rsidP="009110ED">
            <w:pPr>
              <w:rPr>
                <w:rFonts w:ascii="Arial" w:hAnsi="Arial" w:cs="Arial"/>
                <w:sz w:val="12"/>
                <w:szCs w:val="12"/>
              </w:rPr>
            </w:pPr>
            <w:r>
              <w:rPr>
                <w:rFonts w:ascii="Arial" w:hAnsi="Arial"/>
                <w:sz w:val="12"/>
                <w:szCs w:val="12"/>
              </w:rPr>
              <w:t>Navas de Oro</w:t>
            </w:r>
          </w:p>
        </w:tc>
        <w:tc>
          <w:tcPr>
            <w:tcW w:w="2268" w:type="dxa"/>
            <w:tcBorders>
              <w:right w:val="single" w:sz="4" w:space="0" w:color="auto"/>
            </w:tcBorders>
            <w:shd w:val="clear" w:color="auto" w:fill="D9D9D9"/>
            <w:hideMark/>
          </w:tcPr>
          <w:p w14:paraId="3D687D82" w14:textId="77777777" w:rsidR="002A4DDF" w:rsidRPr="00937C8B" w:rsidRDefault="002A4DDF" w:rsidP="009110ED">
            <w:pPr>
              <w:rPr>
                <w:rFonts w:ascii="Arial" w:hAnsi="Arial" w:cs="Arial"/>
                <w:sz w:val="12"/>
                <w:szCs w:val="12"/>
              </w:rPr>
            </w:pPr>
          </w:p>
        </w:tc>
      </w:tr>
      <w:tr w:rsidR="002A4DDF" w:rsidRPr="00937C8B" w14:paraId="381E1D6E" w14:textId="77777777" w:rsidTr="00935676">
        <w:trPr>
          <w:cantSplit/>
        </w:trPr>
        <w:tc>
          <w:tcPr>
            <w:tcW w:w="1696" w:type="dxa"/>
            <w:tcBorders>
              <w:left w:val="single" w:sz="4" w:space="0" w:color="auto"/>
            </w:tcBorders>
            <w:shd w:val="clear" w:color="auto" w:fill="auto"/>
          </w:tcPr>
          <w:p w14:paraId="5DEDE44F" w14:textId="77777777" w:rsidR="002A4DDF" w:rsidRPr="00937C8B" w:rsidRDefault="002A4DDF" w:rsidP="009110ED">
            <w:pPr>
              <w:rPr>
                <w:rFonts w:ascii="Arial" w:hAnsi="Arial" w:cs="Arial"/>
                <w:sz w:val="12"/>
                <w:szCs w:val="12"/>
              </w:rPr>
            </w:pPr>
          </w:p>
        </w:tc>
        <w:tc>
          <w:tcPr>
            <w:tcW w:w="1843" w:type="dxa"/>
            <w:shd w:val="clear" w:color="auto" w:fill="auto"/>
          </w:tcPr>
          <w:p w14:paraId="0A5C82BE" w14:textId="77777777" w:rsidR="002A4DDF" w:rsidRPr="00937C8B" w:rsidRDefault="002A4DDF" w:rsidP="009110ED">
            <w:pPr>
              <w:rPr>
                <w:rFonts w:ascii="Arial" w:hAnsi="Arial" w:cs="Arial"/>
                <w:sz w:val="12"/>
                <w:szCs w:val="12"/>
              </w:rPr>
            </w:pPr>
          </w:p>
        </w:tc>
        <w:tc>
          <w:tcPr>
            <w:tcW w:w="2268" w:type="dxa"/>
            <w:shd w:val="clear" w:color="auto" w:fill="F2F2F2"/>
            <w:hideMark/>
          </w:tcPr>
          <w:p w14:paraId="1A1076E9" w14:textId="77777777" w:rsidR="002A4DDF" w:rsidRPr="00937C8B" w:rsidRDefault="002A4DDF" w:rsidP="009110ED">
            <w:pPr>
              <w:rPr>
                <w:rFonts w:ascii="Arial" w:hAnsi="Arial" w:cs="Arial"/>
                <w:sz w:val="12"/>
                <w:szCs w:val="12"/>
              </w:rPr>
            </w:pPr>
            <w:r>
              <w:rPr>
                <w:rFonts w:ascii="Arial" w:hAnsi="Arial"/>
                <w:sz w:val="12"/>
                <w:szCs w:val="12"/>
              </w:rPr>
              <w:t>Nieva</w:t>
            </w:r>
          </w:p>
        </w:tc>
        <w:tc>
          <w:tcPr>
            <w:tcW w:w="2268" w:type="dxa"/>
            <w:tcBorders>
              <w:right w:val="single" w:sz="4" w:space="0" w:color="auto"/>
            </w:tcBorders>
            <w:shd w:val="clear" w:color="auto" w:fill="D9D9D9"/>
            <w:hideMark/>
          </w:tcPr>
          <w:p w14:paraId="04AE91DA" w14:textId="77777777" w:rsidR="002A4DDF" w:rsidRPr="00937C8B" w:rsidRDefault="002A4DDF" w:rsidP="009110ED">
            <w:pPr>
              <w:rPr>
                <w:rFonts w:ascii="Arial" w:hAnsi="Arial" w:cs="Arial"/>
                <w:sz w:val="12"/>
                <w:szCs w:val="12"/>
              </w:rPr>
            </w:pPr>
          </w:p>
        </w:tc>
      </w:tr>
      <w:tr w:rsidR="002A4DDF" w:rsidRPr="00937C8B" w14:paraId="5FDFD7D8" w14:textId="77777777" w:rsidTr="00935676">
        <w:trPr>
          <w:cantSplit/>
        </w:trPr>
        <w:tc>
          <w:tcPr>
            <w:tcW w:w="1696" w:type="dxa"/>
            <w:tcBorders>
              <w:left w:val="single" w:sz="4" w:space="0" w:color="auto"/>
            </w:tcBorders>
            <w:shd w:val="clear" w:color="auto" w:fill="auto"/>
          </w:tcPr>
          <w:p w14:paraId="765BD881" w14:textId="77777777" w:rsidR="002A4DDF" w:rsidRPr="00937C8B" w:rsidRDefault="002A4DDF" w:rsidP="009110ED">
            <w:pPr>
              <w:rPr>
                <w:rFonts w:ascii="Arial" w:hAnsi="Arial" w:cs="Arial"/>
                <w:sz w:val="12"/>
                <w:szCs w:val="12"/>
              </w:rPr>
            </w:pPr>
          </w:p>
        </w:tc>
        <w:tc>
          <w:tcPr>
            <w:tcW w:w="1843" w:type="dxa"/>
            <w:shd w:val="clear" w:color="auto" w:fill="auto"/>
          </w:tcPr>
          <w:p w14:paraId="3C8DBB02" w14:textId="77777777" w:rsidR="002A4DDF" w:rsidRPr="00937C8B" w:rsidRDefault="002A4DDF" w:rsidP="009110ED">
            <w:pPr>
              <w:rPr>
                <w:rFonts w:ascii="Arial" w:hAnsi="Arial" w:cs="Arial"/>
                <w:sz w:val="12"/>
                <w:szCs w:val="12"/>
              </w:rPr>
            </w:pPr>
          </w:p>
        </w:tc>
        <w:tc>
          <w:tcPr>
            <w:tcW w:w="2268" w:type="dxa"/>
            <w:shd w:val="clear" w:color="auto" w:fill="F2F2F2"/>
            <w:hideMark/>
          </w:tcPr>
          <w:p w14:paraId="244C162B" w14:textId="77777777" w:rsidR="002A4DDF" w:rsidRPr="00937C8B" w:rsidRDefault="002A4DDF" w:rsidP="009110ED">
            <w:pPr>
              <w:rPr>
                <w:rFonts w:ascii="Arial" w:hAnsi="Arial" w:cs="Arial"/>
                <w:sz w:val="12"/>
                <w:szCs w:val="12"/>
              </w:rPr>
            </w:pPr>
            <w:r>
              <w:rPr>
                <w:rFonts w:ascii="Arial" w:hAnsi="Arial"/>
                <w:sz w:val="12"/>
                <w:szCs w:val="12"/>
              </w:rPr>
              <w:t>Ortigosa de Pestaño</w:t>
            </w:r>
          </w:p>
        </w:tc>
        <w:tc>
          <w:tcPr>
            <w:tcW w:w="2268" w:type="dxa"/>
            <w:tcBorders>
              <w:right w:val="single" w:sz="4" w:space="0" w:color="auto"/>
            </w:tcBorders>
            <w:shd w:val="clear" w:color="auto" w:fill="D9D9D9"/>
            <w:hideMark/>
          </w:tcPr>
          <w:p w14:paraId="15FB2C51" w14:textId="77777777" w:rsidR="002A4DDF" w:rsidRPr="00937C8B" w:rsidRDefault="002A4DDF" w:rsidP="009110ED">
            <w:pPr>
              <w:rPr>
                <w:rFonts w:ascii="Arial" w:hAnsi="Arial" w:cs="Arial"/>
                <w:sz w:val="12"/>
                <w:szCs w:val="12"/>
              </w:rPr>
            </w:pPr>
          </w:p>
        </w:tc>
      </w:tr>
      <w:tr w:rsidR="002A4DDF" w:rsidRPr="00937C8B" w14:paraId="28D318B0" w14:textId="77777777" w:rsidTr="00935676">
        <w:trPr>
          <w:cantSplit/>
        </w:trPr>
        <w:tc>
          <w:tcPr>
            <w:tcW w:w="1696" w:type="dxa"/>
            <w:tcBorders>
              <w:left w:val="single" w:sz="4" w:space="0" w:color="auto"/>
            </w:tcBorders>
            <w:shd w:val="clear" w:color="auto" w:fill="auto"/>
          </w:tcPr>
          <w:p w14:paraId="2968710E" w14:textId="77777777" w:rsidR="002A4DDF" w:rsidRPr="00937C8B" w:rsidRDefault="002A4DDF" w:rsidP="009110ED">
            <w:pPr>
              <w:rPr>
                <w:rFonts w:ascii="Arial" w:hAnsi="Arial" w:cs="Arial"/>
                <w:sz w:val="12"/>
                <w:szCs w:val="12"/>
              </w:rPr>
            </w:pPr>
          </w:p>
        </w:tc>
        <w:tc>
          <w:tcPr>
            <w:tcW w:w="1843" w:type="dxa"/>
            <w:shd w:val="clear" w:color="auto" w:fill="auto"/>
          </w:tcPr>
          <w:p w14:paraId="26C5FC08" w14:textId="77777777" w:rsidR="002A4DDF" w:rsidRPr="00937C8B" w:rsidRDefault="002A4DDF" w:rsidP="009110ED">
            <w:pPr>
              <w:rPr>
                <w:rFonts w:ascii="Arial" w:hAnsi="Arial" w:cs="Arial"/>
                <w:sz w:val="12"/>
                <w:szCs w:val="12"/>
              </w:rPr>
            </w:pPr>
          </w:p>
        </w:tc>
        <w:tc>
          <w:tcPr>
            <w:tcW w:w="2268" w:type="dxa"/>
            <w:shd w:val="clear" w:color="auto" w:fill="F2F2F2"/>
            <w:hideMark/>
          </w:tcPr>
          <w:p w14:paraId="14627F7F" w14:textId="77777777" w:rsidR="002A4DDF" w:rsidRPr="00937C8B" w:rsidRDefault="002A4DDF" w:rsidP="009110ED">
            <w:pPr>
              <w:rPr>
                <w:rFonts w:ascii="Arial" w:hAnsi="Arial" w:cs="Arial"/>
                <w:sz w:val="12"/>
                <w:szCs w:val="12"/>
              </w:rPr>
            </w:pPr>
            <w:r>
              <w:rPr>
                <w:rFonts w:ascii="Arial" w:hAnsi="Arial"/>
                <w:sz w:val="12"/>
                <w:szCs w:val="12"/>
              </w:rPr>
              <w:t>Pajarejos</w:t>
            </w:r>
          </w:p>
        </w:tc>
        <w:tc>
          <w:tcPr>
            <w:tcW w:w="2268" w:type="dxa"/>
            <w:tcBorders>
              <w:right w:val="single" w:sz="4" w:space="0" w:color="auto"/>
            </w:tcBorders>
            <w:shd w:val="clear" w:color="auto" w:fill="D9D9D9"/>
            <w:hideMark/>
          </w:tcPr>
          <w:p w14:paraId="21C1F4A5" w14:textId="77777777" w:rsidR="002A4DDF" w:rsidRPr="00937C8B" w:rsidRDefault="002A4DDF" w:rsidP="009110ED">
            <w:pPr>
              <w:rPr>
                <w:rFonts w:ascii="Arial" w:hAnsi="Arial" w:cs="Arial"/>
                <w:sz w:val="12"/>
                <w:szCs w:val="12"/>
              </w:rPr>
            </w:pPr>
          </w:p>
        </w:tc>
      </w:tr>
      <w:tr w:rsidR="002A4DDF" w:rsidRPr="00937C8B" w14:paraId="1A0702FE" w14:textId="77777777" w:rsidTr="00935676">
        <w:trPr>
          <w:cantSplit/>
        </w:trPr>
        <w:tc>
          <w:tcPr>
            <w:tcW w:w="1696" w:type="dxa"/>
            <w:tcBorders>
              <w:left w:val="single" w:sz="4" w:space="0" w:color="auto"/>
            </w:tcBorders>
            <w:shd w:val="clear" w:color="auto" w:fill="auto"/>
          </w:tcPr>
          <w:p w14:paraId="4566DB00" w14:textId="77777777" w:rsidR="002A4DDF" w:rsidRPr="00937C8B" w:rsidRDefault="002A4DDF" w:rsidP="009110ED">
            <w:pPr>
              <w:rPr>
                <w:rFonts w:ascii="Arial" w:hAnsi="Arial" w:cs="Arial"/>
                <w:sz w:val="12"/>
                <w:szCs w:val="12"/>
              </w:rPr>
            </w:pPr>
          </w:p>
        </w:tc>
        <w:tc>
          <w:tcPr>
            <w:tcW w:w="1843" w:type="dxa"/>
            <w:shd w:val="clear" w:color="auto" w:fill="auto"/>
          </w:tcPr>
          <w:p w14:paraId="15EC5848" w14:textId="77777777" w:rsidR="002A4DDF" w:rsidRPr="00937C8B" w:rsidRDefault="002A4DDF" w:rsidP="009110ED">
            <w:pPr>
              <w:rPr>
                <w:rFonts w:ascii="Arial" w:hAnsi="Arial" w:cs="Arial"/>
                <w:sz w:val="12"/>
                <w:szCs w:val="12"/>
              </w:rPr>
            </w:pPr>
          </w:p>
        </w:tc>
        <w:tc>
          <w:tcPr>
            <w:tcW w:w="2268" w:type="dxa"/>
            <w:shd w:val="clear" w:color="auto" w:fill="F2F2F2"/>
            <w:hideMark/>
          </w:tcPr>
          <w:p w14:paraId="27038E5C" w14:textId="77777777" w:rsidR="002A4DDF" w:rsidRPr="00937C8B" w:rsidRDefault="002A4DDF" w:rsidP="009110ED">
            <w:pPr>
              <w:rPr>
                <w:rFonts w:ascii="Arial" w:hAnsi="Arial" w:cs="Arial"/>
                <w:sz w:val="12"/>
                <w:szCs w:val="12"/>
              </w:rPr>
            </w:pPr>
            <w:r>
              <w:rPr>
                <w:rFonts w:ascii="Arial" w:hAnsi="Arial"/>
                <w:sz w:val="12"/>
                <w:szCs w:val="12"/>
              </w:rPr>
              <w:t>Pinarejos</w:t>
            </w:r>
          </w:p>
        </w:tc>
        <w:tc>
          <w:tcPr>
            <w:tcW w:w="2268" w:type="dxa"/>
            <w:tcBorders>
              <w:right w:val="single" w:sz="4" w:space="0" w:color="auto"/>
            </w:tcBorders>
            <w:shd w:val="clear" w:color="auto" w:fill="D9D9D9"/>
            <w:hideMark/>
          </w:tcPr>
          <w:p w14:paraId="4E792ED8" w14:textId="77777777" w:rsidR="002A4DDF" w:rsidRPr="00937C8B" w:rsidRDefault="002A4DDF" w:rsidP="009110ED">
            <w:pPr>
              <w:rPr>
                <w:rFonts w:ascii="Arial" w:hAnsi="Arial" w:cs="Arial"/>
                <w:sz w:val="12"/>
                <w:szCs w:val="12"/>
              </w:rPr>
            </w:pPr>
          </w:p>
        </w:tc>
      </w:tr>
      <w:tr w:rsidR="002A4DDF" w:rsidRPr="00937C8B" w14:paraId="23BABA65" w14:textId="77777777" w:rsidTr="00935676">
        <w:trPr>
          <w:cantSplit/>
        </w:trPr>
        <w:tc>
          <w:tcPr>
            <w:tcW w:w="1696" w:type="dxa"/>
            <w:tcBorders>
              <w:left w:val="single" w:sz="4" w:space="0" w:color="auto"/>
            </w:tcBorders>
            <w:shd w:val="clear" w:color="auto" w:fill="auto"/>
          </w:tcPr>
          <w:p w14:paraId="1A0A7AAE" w14:textId="77777777" w:rsidR="002A4DDF" w:rsidRPr="00937C8B" w:rsidRDefault="002A4DDF" w:rsidP="009110ED">
            <w:pPr>
              <w:rPr>
                <w:rFonts w:ascii="Arial" w:hAnsi="Arial" w:cs="Arial"/>
                <w:sz w:val="12"/>
                <w:szCs w:val="12"/>
              </w:rPr>
            </w:pPr>
          </w:p>
        </w:tc>
        <w:tc>
          <w:tcPr>
            <w:tcW w:w="1843" w:type="dxa"/>
            <w:shd w:val="clear" w:color="auto" w:fill="auto"/>
          </w:tcPr>
          <w:p w14:paraId="1F1125BA" w14:textId="77777777" w:rsidR="002A4DDF" w:rsidRPr="00937C8B" w:rsidRDefault="002A4DDF" w:rsidP="009110ED">
            <w:pPr>
              <w:rPr>
                <w:rFonts w:ascii="Arial" w:hAnsi="Arial" w:cs="Arial"/>
                <w:sz w:val="12"/>
                <w:szCs w:val="12"/>
              </w:rPr>
            </w:pPr>
          </w:p>
        </w:tc>
        <w:tc>
          <w:tcPr>
            <w:tcW w:w="2268" w:type="dxa"/>
            <w:shd w:val="clear" w:color="auto" w:fill="F2F2F2"/>
            <w:hideMark/>
          </w:tcPr>
          <w:p w14:paraId="6FE1131B" w14:textId="77777777" w:rsidR="002A4DDF" w:rsidRPr="00937C8B" w:rsidRDefault="002A4DDF" w:rsidP="009110ED">
            <w:pPr>
              <w:rPr>
                <w:rFonts w:ascii="Arial" w:hAnsi="Arial" w:cs="Arial"/>
                <w:sz w:val="12"/>
                <w:szCs w:val="12"/>
              </w:rPr>
            </w:pPr>
            <w:r>
              <w:rPr>
                <w:rFonts w:ascii="Arial" w:hAnsi="Arial"/>
                <w:sz w:val="12"/>
                <w:szCs w:val="12"/>
              </w:rPr>
              <w:t>Pinarnegrillo</w:t>
            </w:r>
          </w:p>
        </w:tc>
        <w:tc>
          <w:tcPr>
            <w:tcW w:w="2268" w:type="dxa"/>
            <w:tcBorders>
              <w:right w:val="single" w:sz="4" w:space="0" w:color="auto"/>
            </w:tcBorders>
            <w:shd w:val="clear" w:color="auto" w:fill="D9D9D9"/>
            <w:hideMark/>
          </w:tcPr>
          <w:p w14:paraId="28A6D80A" w14:textId="77777777" w:rsidR="002A4DDF" w:rsidRPr="00937C8B" w:rsidRDefault="002A4DDF" w:rsidP="009110ED">
            <w:pPr>
              <w:rPr>
                <w:rFonts w:ascii="Arial" w:hAnsi="Arial" w:cs="Arial"/>
                <w:sz w:val="12"/>
                <w:szCs w:val="12"/>
              </w:rPr>
            </w:pPr>
          </w:p>
        </w:tc>
      </w:tr>
      <w:tr w:rsidR="002A4DDF" w:rsidRPr="00937C8B" w14:paraId="215A3ED8" w14:textId="77777777" w:rsidTr="00935676">
        <w:trPr>
          <w:cantSplit/>
        </w:trPr>
        <w:tc>
          <w:tcPr>
            <w:tcW w:w="1696" w:type="dxa"/>
            <w:tcBorders>
              <w:left w:val="single" w:sz="4" w:space="0" w:color="auto"/>
            </w:tcBorders>
            <w:shd w:val="clear" w:color="auto" w:fill="auto"/>
          </w:tcPr>
          <w:p w14:paraId="4D8D8876" w14:textId="77777777" w:rsidR="002A4DDF" w:rsidRPr="00937C8B" w:rsidRDefault="002A4DDF" w:rsidP="009110ED">
            <w:pPr>
              <w:rPr>
                <w:rFonts w:ascii="Arial" w:hAnsi="Arial" w:cs="Arial"/>
                <w:sz w:val="12"/>
                <w:szCs w:val="12"/>
              </w:rPr>
            </w:pPr>
          </w:p>
        </w:tc>
        <w:tc>
          <w:tcPr>
            <w:tcW w:w="1843" w:type="dxa"/>
            <w:shd w:val="clear" w:color="auto" w:fill="auto"/>
          </w:tcPr>
          <w:p w14:paraId="49B8F38E" w14:textId="77777777" w:rsidR="002A4DDF" w:rsidRPr="00937C8B" w:rsidRDefault="002A4DDF" w:rsidP="009110ED">
            <w:pPr>
              <w:rPr>
                <w:rFonts w:ascii="Arial" w:hAnsi="Arial" w:cs="Arial"/>
                <w:sz w:val="12"/>
                <w:szCs w:val="12"/>
              </w:rPr>
            </w:pPr>
          </w:p>
        </w:tc>
        <w:tc>
          <w:tcPr>
            <w:tcW w:w="2268" w:type="dxa"/>
            <w:shd w:val="clear" w:color="auto" w:fill="F2F2F2"/>
            <w:hideMark/>
          </w:tcPr>
          <w:p w14:paraId="57645C83" w14:textId="77777777" w:rsidR="002A4DDF" w:rsidRPr="00937C8B" w:rsidRDefault="002A4DDF" w:rsidP="009110ED">
            <w:pPr>
              <w:rPr>
                <w:rFonts w:ascii="Arial" w:hAnsi="Arial" w:cs="Arial"/>
                <w:sz w:val="12"/>
                <w:szCs w:val="12"/>
              </w:rPr>
            </w:pPr>
            <w:r>
              <w:rPr>
                <w:rFonts w:ascii="Arial" w:hAnsi="Arial"/>
                <w:sz w:val="12"/>
                <w:szCs w:val="12"/>
              </w:rPr>
              <w:t>Prádena</w:t>
            </w:r>
          </w:p>
        </w:tc>
        <w:tc>
          <w:tcPr>
            <w:tcW w:w="2268" w:type="dxa"/>
            <w:tcBorders>
              <w:right w:val="single" w:sz="4" w:space="0" w:color="auto"/>
            </w:tcBorders>
            <w:shd w:val="clear" w:color="auto" w:fill="D9D9D9"/>
            <w:hideMark/>
          </w:tcPr>
          <w:p w14:paraId="403DE3D5" w14:textId="77777777" w:rsidR="002A4DDF" w:rsidRPr="00937C8B" w:rsidRDefault="002A4DDF" w:rsidP="009110ED">
            <w:pPr>
              <w:rPr>
                <w:rFonts w:ascii="Arial" w:hAnsi="Arial" w:cs="Arial"/>
                <w:sz w:val="12"/>
                <w:szCs w:val="12"/>
              </w:rPr>
            </w:pPr>
          </w:p>
        </w:tc>
      </w:tr>
      <w:tr w:rsidR="002A4DDF" w:rsidRPr="00937C8B" w14:paraId="0E29FA94" w14:textId="77777777" w:rsidTr="00935676">
        <w:trPr>
          <w:cantSplit/>
        </w:trPr>
        <w:tc>
          <w:tcPr>
            <w:tcW w:w="1696" w:type="dxa"/>
            <w:tcBorders>
              <w:left w:val="single" w:sz="4" w:space="0" w:color="auto"/>
            </w:tcBorders>
            <w:shd w:val="clear" w:color="auto" w:fill="auto"/>
          </w:tcPr>
          <w:p w14:paraId="1E299D7E" w14:textId="77777777" w:rsidR="002A4DDF" w:rsidRPr="00937C8B" w:rsidRDefault="002A4DDF" w:rsidP="009110ED">
            <w:pPr>
              <w:rPr>
                <w:rFonts w:ascii="Arial" w:hAnsi="Arial" w:cs="Arial"/>
                <w:sz w:val="12"/>
                <w:szCs w:val="12"/>
              </w:rPr>
            </w:pPr>
          </w:p>
        </w:tc>
        <w:tc>
          <w:tcPr>
            <w:tcW w:w="1843" w:type="dxa"/>
            <w:shd w:val="clear" w:color="auto" w:fill="auto"/>
          </w:tcPr>
          <w:p w14:paraId="3D8BA704" w14:textId="77777777" w:rsidR="002A4DDF" w:rsidRPr="00937C8B" w:rsidRDefault="002A4DDF" w:rsidP="009110ED">
            <w:pPr>
              <w:rPr>
                <w:rFonts w:ascii="Arial" w:hAnsi="Arial" w:cs="Arial"/>
                <w:sz w:val="12"/>
                <w:szCs w:val="12"/>
              </w:rPr>
            </w:pPr>
          </w:p>
        </w:tc>
        <w:tc>
          <w:tcPr>
            <w:tcW w:w="2268" w:type="dxa"/>
            <w:shd w:val="clear" w:color="auto" w:fill="F2F2F2"/>
            <w:hideMark/>
          </w:tcPr>
          <w:p w14:paraId="31931FCB" w14:textId="77777777" w:rsidR="002A4DDF" w:rsidRPr="00937C8B" w:rsidRDefault="002A4DDF" w:rsidP="009110ED">
            <w:pPr>
              <w:rPr>
                <w:rFonts w:ascii="Arial" w:hAnsi="Arial" w:cs="Arial"/>
                <w:sz w:val="12"/>
                <w:szCs w:val="12"/>
              </w:rPr>
            </w:pPr>
            <w:r>
              <w:rPr>
                <w:rFonts w:ascii="Arial" w:hAnsi="Arial"/>
                <w:sz w:val="12"/>
                <w:szCs w:val="12"/>
              </w:rPr>
              <w:t>Puebla de Pedraza</w:t>
            </w:r>
          </w:p>
        </w:tc>
        <w:tc>
          <w:tcPr>
            <w:tcW w:w="2268" w:type="dxa"/>
            <w:tcBorders>
              <w:right w:val="single" w:sz="4" w:space="0" w:color="auto"/>
            </w:tcBorders>
            <w:shd w:val="clear" w:color="auto" w:fill="D9D9D9"/>
            <w:hideMark/>
          </w:tcPr>
          <w:p w14:paraId="74377254" w14:textId="77777777" w:rsidR="002A4DDF" w:rsidRPr="00937C8B" w:rsidRDefault="002A4DDF" w:rsidP="009110ED">
            <w:pPr>
              <w:rPr>
                <w:rFonts w:ascii="Arial" w:hAnsi="Arial" w:cs="Arial"/>
                <w:sz w:val="12"/>
                <w:szCs w:val="12"/>
              </w:rPr>
            </w:pPr>
          </w:p>
        </w:tc>
      </w:tr>
      <w:tr w:rsidR="002A4DDF" w:rsidRPr="00937C8B" w14:paraId="5DB52863" w14:textId="77777777" w:rsidTr="00935676">
        <w:trPr>
          <w:cantSplit/>
        </w:trPr>
        <w:tc>
          <w:tcPr>
            <w:tcW w:w="1696" w:type="dxa"/>
            <w:tcBorders>
              <w:left w:val="single" w:sz="4" w:space="0" w:color="auto"/>
            </w:tcBorders>
            <w:shd w:val="clear" w:color="auto" w:fill="auto"/>
          </w:tcPr>
          <w:p w14:paraId="7B7EAF31" w14:textId="77777777" w:rsidR="002A4DDF" w:rsidRPr="00937C8B" w:rsidRDefault="002A4DDF" w:rsidP="009110ED">
            <w:pPr>
              <w:rPr>
                <w:rFonts w:ascii="Arial" w:hAnsi="Arial" w:cs="Arial"/>
                <w:sz w:val="12"/>
                <w:szCs w:val="12"/>
              </w:rPr>
            </w:pPr>
          </w:p>
        </w:tc>
        <w:tc>
          <w:tcPr>
            <w:tcW w:w="1843" w:type="dxa"/>
            <w:shd w:val="clear" w:color="auto" w:fill="auto"/>
          </w:tcPr>
          <w:p w14:paraId="4613EA2E" w14:textId="77777777" w:rsidR="002A4DDF" w:rsidRPr="00937C8B" w:rsidRDefault="002A4DDF" w:rsidP="009110ED">
            <w:pPr>
              <w:rPr>
                <w:rFonts w:ascii="Arial" w:hAnsi="Arial" w:cs="Arial"/>
                <w:sz w:val="12"/>
                <w:szCs w:val="12"/>
              </w:rPr>
            </w:pPr>
          </w:p>
        </w:tc>
        <w:tc>
          <w:tcPr>
            <w:tcW w:w="2268" w:type="dxa"/>
            <w:shd w:val="clear" w:color="auto" w:fill="F2F2F2"/>
            <w:hideMark/>
          </w:tcPr>
          <w:p w14:paraId="050BB876" w14:textId="77777777" w:rsidR="002A4DDF" w:rsidRPr="00937C8B" w:rsidRDefault="002A4DDF" w:rsidP="009110ED">
            <w:pPr>
              <w:rPr>
                <w:rFonts w:ascii="Arial" w:hAnsi="Arial" w:cs="Arial"/>
                <w:sz w:val="12"/>
                <w:szCs w:val="12"/>
              </w:rPr>
            </w:pPr>
            <w:r>
              <w:rPr>
                <w:rFonts w:ascii="Arial" w:hAnsi="Arial"/>
                <w:sz w:val="12"/>
                <w:szCs w:val="12"/>
              </w:rPr>
              <w:t>Rapariegos</w:t>
            </w:r>
          </w:p>
        </w:tc>
        <w:tc>
          <w:tcPr>
            <w:tcW w:w="2268" w:type="dxa"/>
            <w:tcBorders>
              <w:right w:val="single" w:sz="4" w:space="0" w:color="auto"/>
            </w:tcBorders>
            <w:shd w:val="clear" w:color="auto" w:fill="D9D9D9"/>
            <w:hideMark/>
          </w:tcPr>
          <w:p w14:paraId="2DB040DD" w14:textId="77777777" w:rsidR="002A4DDF" w:rsidRPr="00937C8B" w:rsidRDefault="002A4DDF" w:rsidP="009110ED">
            <w:pPr>
              <w:rPr>
                <w:rFonts w:ascii="Arial" w:hAnsi="Arial" w:cs="Arial"/>
                <w:sz w:val="12"/>
                <w:szCs w:val="12"/>
              </w:rPr>
            </w:pPr>
          </w:p>
        </w:tc>
      </w:tr>
      <w:tr w:rsidR="002A4DDF" w:rsidRPr="00937C8B" w14:paraId="15358848" w14:textId="77777777" w:rsidTr="00935676">
        <w:trPr>
          <w:cantSplit/>
        </w:trPr>
        <w:tc>
          <w:tcPr>
            <w:tcW w:w="1696" w:type="dxa"/>
            <w:tcBorders>
              <w:left w:val="single" w:sz="4" w:space="0" w:color="auto"/>
            </w:tcBorders>
            <w:shd w:val="clear" w:color="auto" w:fill="auto"/>
          </w:tcPr>
          <w:p w14:paraId="09DB5075" w14:textId="77777777" w:rsidR="002A4DDF" w:rsidRPr="00937C8B" w:rsidRDefault="002A4DDF" w:rsidP="009110ED">
            <w:pPr>
              <w:rPr>
                <w:rFonts w:ascii="Arial" w:hAnsi="Arial" w:cs="Arial"/>
                <w:sz w:val="12"/>
                <w:szCs w:val="12"/>
              </w:rPr>
            </w:pPr>
          </w:p>
        </w:tc>
        <w:tc>
          <w:tcPr>
            <w:tcW w:w="1843" w:type="dxa"/>
            <w:shd w:val="clear" w:color="auto" w:fill="auto"/>
          </w:tcPr>
          <w:p w14:paraId="3DAA60F6" w14:textId="77777777" w:rsidR="002A4DDF" w:rsidRPr="00937C8B" w:rsidRDefault="002A4DDF" w:rsidP="009110ED">
            <w:pPr>
              <w:rPr>
                <w:rFonts w:ascii="Arial" w:hAnsi="Arial" w:cs="Arial"/>
                <w:sz w:val="12"/>
                <w:szCs w:val="12"/>
              </w:rPr>
            </w:pPr>
          </w:p>
        </w:tc>
        <w:tc>
          <w:tcPr>
            <w:tcW w:w="2268" w:type="dxa"/>
            <w:shd w:val="clear" w:color="auto" w:fill="F2F2F2"/>
            <w:hideMark/>
          </w:tcPr>
          <w:p w14:paraId="4C5689A5" w14:textId="77777777" w:rsidR="002A4DDF" w:rsidRPr="00937C8B" w:rsidRDefault="002A4DDF" w:rsidP="009110ED">
            <w:pPr>
              <w:rPr>
                <w:rFonts w:ascii="Arial" w:hAnsi="Arial" w:cs="Arial"/>
                <w:sz w:val="12"/>
                <w:szCs w:val="12"/>
              </w:rPr>
            </w:pPr>
            <w:r>
              <w:rPr>
                <w:rFonts w:ascii="Arial" w:hAnsi="Arial"/>
                <w:sz w:val="12"/>
                <w:szCs w:val="12"/>
              </w:rPr>
              <w:t>Rebollo</w:t>
            </w:r>
          </w:p>
        </w:tc>
        <w:tc>
          <w:tcPr>
            <w:tcW w:w="2268" w:type="dxa"/>
            <w:tcBorders>
              <w:right w:val="single" w:sz="4" w:space="0" w:color="auto"/>
            </w:tcBorders>
            <w:shd w:val="clear" w:color="auto" w:fill="D9D9D9"/>
            <w:hideMark/>
          </w:tcPr>
          <w:p w14:paraId="2EEB5556" w14:textId="77777777" w:rsidR="002A4DDF" w:rsidRPr="00937C8B" w:rsidRDefault="002A4DDF" w:rsidP="009110ED">
            <w:pPr>
              <w:rPr>
                <w:rFonts w:ascii="Arial" w:hAnsi="Arial" w:cs="Arial"/>
                <w:sz w:val="12"/>
                <w:szCs w:val="12"/>
              </w:rPr>
            </w:pPr>
          </w:p>
        </w:tc>
      </w:tr>
      <w:tr w:rsidR="002A4DDF" w:rsidRPr="00937C8B" w14:paraId="5B1EACAC" w14:textId="77777777" w:rsidTr="00935676">
        <w:trPr>
          <w:cantSplit/>
        </w:trPr>
        <w:tc>
          <w:tcPr>
            <w:tcW w:w="1696" w:type="dxa"/>
            <w:tcBorders>
              <w:left w:val="single" w:sz="4" w:space="0" w:color="auto"/>
            </w:tcBorders>
            <w:shd w:val="clear" w:color="auto" w:fill="auto"/>
          </w:tcPr>
          <w:p w14:paraId="41B9E2EF" w14:textId="77777777" w:rsidR="002A4DDF" w:rsidRPr="00937C8B" w:rsidRDefault="002A4DDF" w:rsidP="009110ED">
            <w:pPr>
              <w:rPr>
                <w:rFonts w:ascii="Arial" w:hAnsi="Arial" w:cs="Arial"/>
                <w:sz w:val="12"/>
                <w:szCs w:val="12"/>
              </w:rPr>
            </w:pPr>
          </w:p>
        </w:tc>
        <w:tc>
          <w:tcPr>
            <w:tcW w:w="1843" w:type="dxa"/>
            <w:shd w:val="clear" w:color="auto" w:fill="auto"/>
          </w:tcPr>
          <w:p w14:paraId="1343CE2F" w14:textId="77777777" w:rsidR="002A4DDF" w:rsidRPr="00937C8B" w:rsidRDefault="002A4DDF" w:rsidP="009110ED">
            <w:pPr>
              <w:rPr>
                <w:rFonts w:ascii="Arial" w:hAnsi="Arial" w:cs="Arial"/>
                <w:sz w:val="12"/>
                <w:szCs w:val="12"/>
              </w:rPr>
            </w:pPr>
          </w:p>
        </w:tc>
        <w:tc>
          <w:tcPr>
            <w:tcW w:w="2268" w:type="dxa"/>
            <w:shd w:val="clear" w:color="auto" w:fill="F2F2F2"/>
            <w:hideMark/>
          </w:tcPr>
          <w:p w14:paraId="2B498F02" w14:textId="77777777" w:rsidR="002A4DDF" w:rsidRPr="00937C8B" w:rsidRDefault="002A4DDF" w:rsidP="009110ED">
            <w:pPr>
              <w:rPr>
                <w:rFonts w:ascii="Arial" w:hAnsi="Arial" w:cs="Arial"/>
                <w:sz w:val="12"/>
                <w:szCs w:val="12"/>
              </w:rPr>
            </w:pPr>
            <w:r>
              <w:rPr>
                <w:rFonts w:ascii="Arial" w:hAnsi="Arial"/>
                <w:sz w:val="12"/>
                <w:szCs w:val="12"/>
              </w:rPr>
              <w:t>Riaguas de San Bartolomé</w:t>
            </w:r>
          </w:p>
        </w:tc>
        <w:tc>
          <w:tcPr>
            <w:tcW w:w="2268" w:type="dxa"/>
            <w:tcBorders>
              <w:right w:val="single" w:sz="4" w:space="0" w:color="auto"/>
            </w:tcBorders>
            <w:shd w:val="clear" w:color="auto" w:fill="D9D9D9"/>
            <w:hideMark/>
          </w:tcPr>
          <w:p w14:paraId="40000077" w14:textId="77777777" w:rsidR="002A4DDF" w:rsidRPr="00937C8B" w:rsidRDefault="002A4DDF" w:rsidP="009110ED">
            <w:pPr>
              <w:rPr>
                <w:rFonts w:ascii="Arial" w:hAnsi="Arial" w:cs="Arial"/>
                <w:sz w:val="12"/>
                <w:szCs w:val="12"/>
              </w:rPr>
            </w:pPr>
          </w:p>
        </w:tc>
      </w:tr>
      <w:tr w:rsidR="002A4DDF" w:rsidRPr="00937C8B" w14:paraId="44C8E3AA" w14:textId="77777777" w:rsidTr="00935676">
        <w:trPr>
          <w:cantSplit/>
        </w:trPr>
        <w:tc>
          <w:tcPr>
            <w:tcW w:w="1696" w:type="dxa"/>
            <w:tcBorders>
              <w:left w:val="single" w:sz="4" w:space="0" w:color="auto"/>
            </w:tcBorders>
            <w:shd w:val="clear" w:color="auto" w:fill="auto"/>
          </w:tcPr>
          <w:p w14:paraId="42D31B59" w14:textId="77777777" w:rsidR="002A4DDF" w:rsidRPr="00937C8B" w:rsidRDefault="002A4DDF" w:rsidP="009110ED">
            <w:pPr>
              <w:rPr>
                <w:rFonts w:ascii="Arial" w:hAnsi="Arial" w:cs="Arial"/>
                <w:sz w:val="12"/>
                <w:szCs w:val="12"/>
              </w:rPr>
            </w:pPr>
          </w:p>
        </w:tc>
        <w:tc>
          <w:tcPr>
            <w:tcW w:w="1843" w:type="dxa"/>
            <w:shd w:val="clear" w:color="auto" w:fill="auto"/>
          </w:tcPr>
          <w:p w14:paraId="37CD0F82" w14:textId="77777777" w:rsidR="002A4DDF" w:rsidRPr="00937C8B" w:rsidRDefault="002A4DDF" w:rsidP="009110ED">
            <w:pPr>
              <w:rPr>
                <w:rFonts w:ascii="Arial" w:hAnsi="Arial" w:cs="Arial"/>
                <w:sz w:val="12"/>
                <w:szCs w:val="12"/>
              </w:rPr>
            </w:pPr>
          </w:p>
        </w:tc>
        <w:tc>
          <w:tcPr>
            <w:tcW w:w="2268" w:type="dxa"/>
            <w:shd w:val="clear" w:color="auto" w:fill="F2F2F2"/>
            <w:hideMark/>
          </w:tcPr>
          <w:p w14:paraId="50D8B076" w14:textId="77777777" w:rsidR="002A4DDF" w:rsidRPr="00937C8B" w:rsidRDefault="002A4DDF" w:rsidP="009110ED">
            <w:pPr>
              <w:rPr>
                <w:rFonts w:ascii="Arial" w:hAnsi="Arial" w:cs="Arial"/>
                <w:sz w:val="12"/>
                <w:szCs w:val="12"/>
              </w:rPr>
            </w:pPr>
            <w:r>
              <w:rPr>
                <w:rFonts w:ascii="Arial" w:hAnsi="Arial"/>
                <w:sz w:val="12"/>
                <w:szCs w:val="12"/>
              </w:rPr>
              <w:t>Riaza</w:t>
            </w:r>
          </w:p>
        </w:tc>
        <w:tc>
          <w:tcPr>
            <w:tcW w:w="2268" w:type="dxa"/>
            <w:tcBorders>
              <w:right w:val="single" w:sz="4" w:space="0" w:color="auto"/>
            </w:tcBorders>
            <w:shd w:val="clear" w:color="auto" w:fill="D9D9D9"/>
            <w:hideMark/>
          </w:tcPr>
          <w:p w14:paraId="23F68E96" w14:textId="77777777" w:rsidR="002A4DDF" w:rsidRPr="00937C8B" w:rsidRDefault="002A4DDF" w:rsidP="009110ED">
            <w:pPr>
              <w:rPr>
                <w:rFonts w:ascii="Arial" w:hAnsi="Arial" w:cs="Arial"/>
                <w:sz w:val="12"/>
                <w:szCs w:val="12"/>
              </w:rPr>
            </w:pPr>
          </w:p>
        </w:tc>
      </w:tr>
      <w:tr w:rsidR="002A4DDF" w:rsidRPr="00937C8B" w14:paraId="46AC0F06" w14:textId="77777777" w:rsidTr="00935676">
        <w:trPr>
          <w:cantSplit/>
        </w:trPr>
        <w:tc>
          <w:tcPr>
            <w:tcW w:w="1696" w:type="dxa"/>
            <w:tcBorders>
              <w:left w:val="single" w:sz="4" w:space="0" w:color="auto"/>
            </w:tcBorders>
            <w:shd w:val="clear" w:color="auto" w:fill="auto"/>
          </w:tcPr>
          <w:p w14:paraId="69D2BC0F" w14:textId="77777777" w:rsidR="002A4DDF" w:rsidRPr="00937C8B" w:rsidRDefault="002A4DDF" w:rsidP="009110ED">
            <w:pPr>
              <w:rPr>
                <w:rFonts w:ascii="Arial" w:hAnsi="Arial" w:cs="Arial"/>
                <w:sz w:val="12"/>
                <w:szCs w:val="12"/>
              </w:rPr>
            </w:pPr>
          </w:p>
        </w:tc>
        <w:tc>
          <w:tcPr>
            <w:tcW w:w="1843" w:type="dxa"/>
            <w:shd w:val="clear" w:color="auto" w:fill="auto"/>
          </w:tcPr>
          <w:p w14:paraId="54857A58" w14:textId="77777777" w:rsidR="002A4DDF" w:rsidRPr="00937C8B" w:rsidRDefault="002A4DDF" w:rsidP="009110ED">
            <w:pPr>
              <w:rPr>
                <w:rFonts w:ascii="Arial" w:hAnsi="Arial" w:cs="Arial"/>
                <w:sz w:val="12"/>
                <w:szCs w:val="12"/>
              </w:rPr>
            </w:pPr>
          </w:p>
        </w:tc>
        <w:tc>
          <w:tcPr>
            <w:tcW w:w="2268" w:type="dxa"/>
            <w:shd w:val="clear" w:color="auto" w:fill="F2F2F2"/>
            <w:hideMark/>
          </w:tcPr>
          <w:p w14:paraId="1FB35537" w14:textId="77777777" w:rsidR="002A4DDF" w:rsidRPr="00937C8B" w:rsidRDefault="002A4DDF" w:rsidP="009110ED">
            <w:pPr>
              <w:rPr>
                <w:rFonts w:ascii="Arial" w:hAnsi="Arial" w:cs="Arial"/>
                <w:sz w:val="12"/>
                <w:szCs w:val="12"/>
              </w:rPr>
            </w:pPr>
            <w:r>
              <w:rPr>
                <w:rFonts w:ascii="Arial" w:hAnsi="Arial"/>
                <w:sz w:val="12"/>
                <w:szCs w:val="12"/>
              </w:rPr>
              <w:t>Ribota</w:t>
            </w:r>
          </w:p>
        </w:tc>
        <w:tc>
          <w:tcPr>
            <w:tcW w:w="2268" w:type="dxa"/>
            <w:tcBorders>
              <w:right w:val="single" w:sz="4" w:space="0" w:color="auto"/>
            </w:tcBorders>
            <w:shd w:val="clear" w:color="auto" w:fill="D9D9D9"/>
            <w:hideMark/>
          </w:tcPr>
          <w:p w14:paraId="3DD8F141" w14:textId="77777777" w:rsidR="002A4DDF" w:rsidRPr="00937C8B" w:rsidRDefault="002A4DDF" w:rsidP="009110ED">
            <w:pPr>
              <w:rPr>
                <w:rFonts w:ascii="Arial" w:hAnsi="Arial" w:cs="Arial"/>
                <w:sz w:val="12"/>
                <w:szCs w:val="12"/>
              </w:rPr>
            </w:pPr>
          </w:p>
        </w:tc>
      </w:tr>
      <w:tr w:rsidR="002A4DDF" w:rsidRPr="00937C8B" w14:paraId="0E182528" w14:textId="77777777" w:rsidTr="00935676">
        <w:trPr>
          <w:cantSplit/>
        </w:trPr>
        <w:tc>
          <w:tcPr>
            <w:tcW w:w="1696" w:type="dxa"/>
            <w:tcBorders>
              <w:left w:val="single" w:sz="4" w:space="0" w:color="auto"/>
            </w:tcBorders>
            <w:shd w:val="clear" w:color="auto" w:fill="auto"/>
          </w:tcPr>
          <w:p w14:paraId="51C92CCD" w14:textId="77777777" w:rsidR="002A4DDF" w:rsidRPr="00937C8B" w:rsidRDefault="002A4DDF" w:rsidP="009110ED">
            <w:pPr>
              <w:rPr>
                <w:rFonts w:ascii="Arial" w:hAnsi="Arial" w:cs="Arial"/>
                <w:sz w:val="12"/>
                <w:szCs w:val="12"/>
              </w:rPr>
            </w:pPr>
          </w:p>
        </w:tc>
        <w:tc>
          <w:tcPr>
            <w:tcW w:w="1843" w:type="dxa"/>
            <w:shd w:val="clear" w:color="auto" w:fill="auto"/>
          </w:tcPr>
          <w:p w14:paraId="2DC88339" w14:textId="77777777" w:rsidR="002A4DDF" w:rsidRPr="00937C8B" w:rsidRDefault="002A4DDF" w:rsidP="009110ED">
            <w:pPr>
              <w:rPr>
                <w:rFonts w:ascii="Arial" w:hAnsi="Arial" w:cs="Arial"/>
                <w:sz w:val="12"/>
                <w:szCs w:val="12"/>
              </w:rPr>
            </w:pPr>
          </w:p>
        </w:tc>
        <w:tc>
          <w:tcPr>
            <w:tcW w:w="2268" w:type="dxa"/>
            <w:shd w:val="clear" w:color="auto" w:fill="F2F2F2"/>
            <w:hideMark/>
          </w:tcPr>
          <w:p w14:paraId="005EF7E1" w14:textId="77777777" w:rsidR="002A4DDF" w:rsidRPr="00937C8B" w:rsidRDefault="002A4DDF" w:rsidP="009110ED">
            <w:pPr>
              <w:rPr>
                <w:rFonts w:ascii="Arial" w:hAnsi="Arial" w:cs="Arial"/>
                <w:sz w:val="12"/>
                <w:szCs w:val="12"/>
              </w:rPr>
            </w:pPr>
            <w:r>
              <w:rPr>
                <w:rFonts w:ascii="Arial" w:hAnsi="Arial"/>
                <w:sz w:val="12"/>
                <w:szCs w:val="12"/>
              </w:rPr>
              <w:t>Roda de Eresma</w:t>
            </w:r>
          </w:p>
        </w:tc>
        <w:tc>
          <w:tcPr>
            <w:tcW w:w="2268" w:type="dxa"/>
            <w:tcBorders>
              <w:right w:val="single" w:sz="4" w:space="0" w:color="auto"/>
            </w:tcBorders>
            <w:shd w:val="clear" w:color="auto" w:fill="D9D9D9"/>
            <w:hideMark/>
          </w:tcPr>
          <w:p w14:paraId="565821DE" w14:textId="77777777" w:rsidR="002A4DDF" w:rsidRPr="00937C8B" w:rsidRDefault="002A4DDF" w:rsidP="009110ED">
            <w:pPr>
              <w:rPr>
                <w:rFonts w:ascii="Arial" w:hAnsi="Arial" w:cs="Arial"/>
                <w:sz w:val="12"/>
                <w:szCs w:val="12"/>
              </w:rPr>
            </w:pPr>
          </w:p>
        </w:tc>
      </w:tr>
      <w:tr w:rsidR="002A4DDF" w:rsidRPr="00937C8B" w14:paraId="7DFC7180" w14:textId="77777777" w:rsidTr="00935676">
        <w:trPr>
          <w:cantSplit/>
        </w:trPr>
        <w:tc>
          <w:tcPr>
            <w:tcW w:w="1696" w:type="dxa"/>
            <w:tcBorders>
              <w:left w:val="single" w:sz="4" w:space="0" w:color="auto"/>
            </w:tcBorders>
            <w:shd w:val="clear" w:color="auto" w:fill="auto"/>
          </w:tcPr>
          <w:p w14:paraId="4F5639C9" w14:textId="77777777" w:rsidR="002A4DDF" w:rsidRPr="00937C8B" w:rsidRDefault="002A4DDF" w:rsidP="009110ED">
            <w:pPr>
              <w:rPr>
                <w:rFonts w:ascii="Arial" w:hAnsi="Arial" w:cs="Arial"/>
                <w:sz w:val="12"/>
                <w:szCs w:val="12"/>
              </w:rPr>
            </w:pPr>
          </w:p>
        </w:tc>
        <w:tc>
          <w:tcPr>
            <w:tcW w:w="1843" w:type="dxa"/>
            <w:shd w:val="clear" w:color="auto" w:fill="auto"/>
          </w:tcPr>
          <w:p w14:paraId="39F3AE16" w14:textId="77777777" w:rsidR="002A4DDF" w:rsidRPr="00937C8B" w:rsidRDefault="002A4DDF" w:rsidP="009110ED">
            <w:pPr>
              <w:rPr>
                <w:rFonts w:ascii="Arial" w:hAnsi="Arial" w:cs="Arial"/>
                <w:sz w:val="12"/>
                <w:szCs w:val="12"/>
              </w:rPr>
            </w:pPr>
          </w:p>
        </w:tc>
        <w:tc>
          <w:tcPr>
            <w:tcW w:w="2268" w:type="dxa"/>
            <w:shd w:val="clear" w:color="auto" w:fill="F2F2F2"/>
            <w:hideMark/>
          </w:tcPr>
          <w:p w14:paraId="546A4234" w14:textId="77777777" w:rsidR="002A4DDF" w:rsidRPr="00937C8B" w:rsidRDefault="002A4DDF" w:rsidP="009110ED">
            <w:pPr>
              <w:rPr>
                <w:rFonts w:ascii="Arial" w:hAnsi="Arial" w:cs="Arial"/>
                <w:sz w:val="12"/>
                <w:szCs w:val="12"/>
              </w:rPr>
            </w:pPr>
            <w:r>
              <w:rPr>
                <w:rFonts w:ascii="Arial" w:hAnsi="Arial"/>
                <w:sz w:val="12"/>
                <w:szCs w:val="12"/>
              </w:rPr>
              <w:t>Sacramenia</w:t>
            </w:r>
          </w:p>
        </w:tc>
        <w:tc>
          <w:tcPr>
            <w:tcW w:w="2268" w:type="dxa"/>
            <w:tcBorders>
              <w:right w:val="single" w:sz="4" w:space="0" w:color="auto"/>
            </w:tcBorders>
            <w:shd w:val="clear" w:color="auto" w:fill="D9D9D9"/>
            <w:hideMark/>
          </w:tcPr>
          <w:p w14:paraId="0B7AB849" w14:textId="77777777" w:rsidR="002A4DDF" w:rsidRPr="00937C8B" w:rsidRDefault="002A4DDF" w:rsidP="009110ED">
            <w:pPr>
              <w:rPr>
                <w:rFonts w:ascii="Arial" w:hAnsi="Arial" w:cs="Arial"/>
                <w:sz w:val="12"/>
                <w:szCs w:val="12"/>
              </w:rPr>
            </w:pPr>
          </w:p>
        </w:tc>
      </w:tr>
      <w:tr w:rsidR="002A4DDF" w:rsidRPr="00937C8B" w14:paraId="60280D95" w14:textId="77777777" w:rsidTr="00935676">
        <w:trPr>
          <w:cantSplit/>
        </w:trPr>
        <w:tc>
          <w:tcPr>
            <w:tcW w:w="1696" w:type="dxa"/>
            <w:tcBorders>
              <w:left w:val="single" w:sz="4" w:space="0" w:color="auto"/>
            </w:tcBorders>
            <w:shd w:val="clear" w:color="auto" w:fill="auto"/>
          </w:tcPr>
          <w:p w14:paraId="589B496A" w14:textId="77777777" w:rsidR="002A4DDF" w:rsidRPr="00937C8B" w:rsidRDefault="002A4DDF" w:rsidP="009110ED">
            <w:pPr>
              <w:rPr>
                <w:rFonts w:ascii="Arial" w:hAnsi="Arial" w:cs="Arial"/>
                <w:sz w:val="12"/>
                <w:szCs w:val="12"/>
              </w:rPr>
            </w:pPr>
          </w:p>
        </w:tc>
        <w:tc>
          <w:tcPr>
            <w:tcW w:w="1843" w:type="dxa"/>
            <w:shd w:val="clear" w:color="auto" w:fill="auto"/>
          </w:tcPr>
          <w:p w14:paraId="585C428B" w14:textId="77777777" w:rsidR="002A4DDF" w:rsidRPr="00937C8B" w:rsidRDefault="002A4DDF" w:rsidP="009110ED">
            <w:pPr>
              <w:rPr>
                <w:rFonts w:ascii="Arial" w:hAnsi="Arial" w:cs="Arial"/>
                <w:sz w:val="12"/>
                <w:szCs w:val="12"/>
              </w:rPr>
            </w:pPr>
          </w:p>
        </w:tc>
        <w:tc>
          <w:tcPr>
            <w:tcW w:w="2268" w:type="dxa"/>
            <w:shd w:val="clear" w:color="auto" w:fill="F2F2F2"/>
            <w:hideMark/>
          </w:tcPr>
          <w:p w14:paraId="6671C2EF" w14:textId="77777777" w:rsidR="002A4DDF" w:rsidRPr="00937C8B" w:rsidRDefault="002A4DDF" w:rsidP="009110ED">
            <w:pPr>
              <w:rPr>
                <w:rFonts w:ascii="Arial" w:hAnsi="Arial" w:cs="Arial"/>
                <w:sz w:val="12"/>
                <w:szCs w:val="12"/>
              </w:rPr>
            </w:pPr>
            <w:r>
              <w:rPr>
                <w:rFonts w:ascii="Arial" w:hAnsi="Arial"/>
                <w:sz w:val="12"/>
                <w:szCs w:val="12"/>
              </w:rPr>
              <w:t>Samboal</w:t>
            </w:r>
          </w:p>
        </w:tc>
        <w:tc>
          <w:tcPr>
            <w:tcW w:w="2268" w:type="dxa"/>
            <w:tcBorders>
              <w:right w:val="single" w:sz="4" w:space="0" w:color="auto"/>
            </w:tcBorders>
            <w:shd w:val="clear" w:color="auto" w:fill="D9D9D9"/>
            <w:hideMark/>
          </w:tcPr>
          <w:p w14:paraId="35502F01" w14:textId="77777777" w:rsidR="002A4DDF" w:rsidRPr="00937C8B" w:rsidRDefault="002A4DDF" w:rsidP="009110ED">
            <w:pPr>
              <w:rPr>
                <w:rFonts w:ascii="Arial" w:hAnsi="Arial" w:cs="Arial"/>
                <w:sz w:val="12"/>
                <w:szCs w:val="12"/>
              </w:rPr>
            </w:pPr>
          </w:p>
        </w:tc>
      </w:tr>
      <w:tr w:rsidR="002A4DDF" w:rsidRPr="00937C8B" w14:paraId="388205D1" w14:textId="77777777" w:rsidTr="00935676">
        <w:trPr>
          <w:cantSplit/>
        </w:trPr>
        <w:tc>
          <w:tcPr>
            <w:tcW w:w="1696" w:type="dxa"/>
            <w:tcBorders>
              <w:left w:val="single" w:sz="4" w:space="0" w:color="auto"/>
            </w:tcBorders>
            <w:shd w:val="clear" w:color="auto" w:fill="auto"/>
          </w:tcPr>
          <w:p w14:paraId="7B9DED42" w14:textId="77777777" w:rsidR="002A4DDF" w:rsidRPr="00937C8B" w:rsidRDefault="002A4DDF" w:rsidP="009110ED">
            <w:pPr>
              <w:rPr>
                <w:rFonts w:ascii="Arial" w:hAnsi="Arial" w:cs="Arial"/>
                <w:sz w:val="12"/>
                <w:szCs w:val="12"/>
              </w:rPr>
            </w:pPr>
          </w:p>
        </w:tc>
        <w:tc>
          <w:tcPr>
            <w:tcW w:w="1843" w:type="dxa"/>
            <w:shd w:val="clear" w:color="auto" w:fill="auto"/>
          </w:tcPr>
          <w:p w14:paraId="74A3FEE6" w14:textId="77777777" w:rsidR="002A4DDF" w:rsidRPr="00937C8B" w:rsidRDefault="002A4DDF" w:rsidP="009110ED">
            <w:pPr>
              <w:rPr>
                <w:rFonts w:ascii="Arial" w:hAnsi="Arial" w:cs="Arial"/>
                <w:sz w:val="12"/>
                <w:szCs w:val="12"/>
              </w:rPr>
            </w:pPr>
          </w:p>
        </w:tc>
        <w:tc>
          <w:tcPr>
            <w:tcW w:w="2268" w:type="dxa"/>
            <w:shd w:val="clear" w:color="auto" w:fill="F2F2F2"/>
            <w:hideMark/>
          </w:tcPr>
          <w:p w14:paraId="5276BC8F" w14:textId="77777777" w:rsidR="002A4DDF" w:rsidRPr="00937C8B" w:rsidRDefault="002A4DDF" w:rsidP="009110ED">
            <w:pPr>
              <w:rPr>
                <w:rFonts w:ascii="Arial" w:hAnsi="Arial" w:cs="Arial"/>
                <w:sz w:val="12"/>
                <w:szCs w:val="12"/>
              </w:rPr>
            </w:pPr>
            <w:r>
              <w:rPr>
                <w:rFonts w:ascii="Arial" w:hAnsi="Arial"/>
                <w:sz w:val="12"/>
                <w:szCs w:val="12"/>
              </w:rPr>
              <w:t>San Cristóbal de la Vega</w:t>
            </w:r>
          </w:p>
        </w:tc>
        <w:tc>
          <w:tcPr>
            <w:tcW w:w="2268" w:type="dxa"/>
            <w:tcBorders>
              <w:right w:val="single" w:sz="4" w:space="0" w:color="auto"/>
            </w:tcBorders>
            <w:shd w:val="clear" w:color="auto" w:fill="D9D9D9"/>
            <w:hideMark/>
          </w:tcPr>
          <w:p w14:paraId="302C8F4B" w14:textId="77777777" w:rsidR="002A4DDF" w:rsidRPr="00937C8B" w:rsidRDefault="002A4DDF" w:rsidP="009110ED">
            <w:pPr>
              <w:rPr>
                <w:rFonts w:ascii="Arial" w:hAnsi="Arial" w:cs="Arial"/>
                <w:sz w:val="12"/>
                <w:szCs w:val="12"/>
              </w:rPr>
            </w:pPr>
          </w:p>
        </w:tc>
      </w:tr>
      <w:tr w:rsidR="002A4DDF" w:rsidRPr="00937C8B" w14:paraId="7F568DB3" w14:textId="77777777" w:rsidTr="00935676">
        <w:trPr>
          <w:cantSplit/>
        </w:trPr>
        <w:tc>
          <w:tcPr>
            <w:tcW w:w="1696" w:type="dxa"/>
            <w:tcBorders>
              <w:left w:val="single" w:sz="4" w:space="0" w:color="auto"/>
            </w:tcBorders>
            <w:shd w:val="clear" w:color="auto" w:fill="auto"/>
          </w:tcPr>
          <w:p w14:paraId="6F25E708" w14:textId="77777777" w:rsidR="002A4DDF" w:rsidRPr="00937C8B" w:rsidRDefault="002A4DDF" w:rsidP="009110ED">
            <w:pPr>
              <w:rPr>
                <w:rFonts w:ascii="Arial" w:hAnsi="Arial" w:cs="Arial"/>
                <w:sz w:val="12"/>
                <w:szCs w:val="12"/>
              </w:rPr>
            </w:pPr>
          </w:p>
        </w:tc>
        <w:tc>
          <w:tcPr>
            <w:tcW w:w="1843" w:type="dxa"/>
            <w:shd w:val="clear" w:color="auto" w:fill="auto"/>
          </w:tcPr>
          <w:p w14:paraId="1C1D2262" w14:textId="77777777" w:rsidR="002A4DDF" w:rsidRPr="00937C8B" w:rsidRDefault="002A4DDF" w:rsidP="009110ED">
            <w:pPr>
              <w:rPr>
                <w:rFonts w:ascii="Arial" w:hAnsi="Arial" w:cs="Arial"/>
                <w:sz w:val="12"/>
                <w:szCs w:val="12"/>
              </w:rPr>
            </w:pPr>
          </w:p>
        </w:tc>
        <w:tc>
          <w:tcPr>
            <w:tcW w:w="2268" w:type="dxa"/>
            <w:shd w:val="clear" w:color="auto" w:fill="F2F2F2"/>
            <w:hideMark/>
          </w:tcPr>
          <w:p w14:paraId="24BCC279" w14:textId="77777777" w:rsidR="002A4DDF" w:rsidRPr="00937C8B" w:rsidRDefault="002A4DDF" w:rsidP="009110ED">
            <w:pPr>
              <w:rPr>
                <w:rFonts w:ascii="Arial" w:hAnsi="Arial" w:cs="Arial"/>
                <w:sz w:val="12"/>
                <w:szCs w:val="12"/>
              </w:rPr>
            </w:pPr>
            <w:r>
              <w:rPr>
                <w:rFonts w:ascii="Arial" w:hAnsi="Arial"/>
                <w:sz w:val="12"/>
                <w:szCs w:val="12"/>
              </w:rPr>
              <w:t>San Martín y Mudrián</w:t>
            </w:r>
          </w:p>
        </w:tc>
        <w:tc>
          <w:tcPr>
            <w:tcW w:w="2268" w:type="dxa"/>
            <w:tcBorders>
              <w:right w:val="single" w:sz="4" w:space="0" w:color="auto"/>
            </w:tcBorders>
            <w:shd w:val="clear" w:color="auto" w:fill="D9D9D9"/>
            <w:hideMark/>
          </w:tcPr>
          <w:p w14:paraId="787D709F" w14:textId="77777777" w:rsidR="002A4DDF" w:rsidRPr="00937C8B" w:rsidRDefault="002A4DDF" w:rsidP="009110ED">
            <w:pPr>
              <w:rPr>
                <w:rFonts w:ascii="Arial" w:hAnsi="Arial" w:cs="Arial"/>
                <w:sz w:val="12"/>
                <w:szCs w:val="12"/>
              </w:rPr>
            </w:pPr>
          </w:p>
        </w:tc>
      </w:tr>
      <w:tr w:rsidR="002A4DDF" w:rsidRPr="00937C8B" w14:paraId="001AA616" w14:textId="77777777" w:rsidTr="00935676">
        <w:trPr>
          <w:cantSplit/>
        </w:trPr>
        <w:tc>
          <w:tcPr>
            <w:tcW w:w="1696" w:type="dxa"/>
            <w:tcBorders>
              <w:left w:val="single" w:sz="4" w:space="0" w:color="auto"/>
            </w:tcBorders>
            <w:shd w:val="clear" w:color="auto" w:fill="auto"/>
          </w:tcPr>
          <w:p w14:paraId="36871BAA" w14:textId="77777777" w:rsidR="002A4DDF" w:rsidRPr="00937C8B" w:rsidRDefault="002A4DDF" w:rsidP="009110ED">
            <w:pPr>
              <w:rPr>
                <w:rFonts w:ascii="Arial" w:hAnsi="Arial" w:cs="Arial"/>
                <w:sz w:val="12"/>
                <w:szCs w:val="12"/>
              </w:rPr>
            </w:pPr>
          </w:p>
        </w:tc>
        <w:tc>
          <w:tcPr>
            <w:tcW w:w="1843" w:type="dxa"/>
            <w:shd w:val="clear" w:color="auto" w:fill="auto"/>
          </w:tcPr>
          <w:p w14:paraId="783D2A89" w14:textId="77777777" w:rsidR="002A4DDF" w:rsidRPr="00937C8B" w:rsidRDefault="002A4DDF" w:rsidP="009110ED">
            <w:pPr>
              <w:rPr>
                <w:rFonts w:ascii="Arial" w:hAnsi="Arial" w:cs="Arial"/>
                <w:sz w:val="12"/>
                <w:szCs w:val="12"/>
              </w:rPr>
            </w:pPr>
          </w:p>
        </w:tc>
        <w:tc>
          <w:tcPr>
            <w:tcW w:w="2268" w:type="dxa"/>
            <w:shd w:val="clear" w:color="auto" w:fill="F2F2F2"/>
            <w:hideMark/>
          </w:tcPr>
          <w:p w14:paraId="5D95CB8B" w14:textId="77777777" w:rsidR="002A4DDF" w:rsidRPr="00937C8B" w:rsidRDefault="002A4DDF" w:rsidP="009110ED">
            <w:pPr>
              <w:rPr>
                <w:rFonts w:ascii="Arial" w:hAnsi="Arial" w:cs="Arial"/>
                <w:sz w:val="12"/>
                <w:szCs w:val="12"/>
              </w:rPr>
            </w:pPr>
            <w:r>
              <w:rPr>
                <w:rFonts w:ascii="Arial" w:hAnsi="Arial"/>
                <w:sz w:val="12"/>
                <w:szCs w:val="12"/>
              </w:rPr>
              <w:t>San Pedro de Gaíllos</w:t>
            </w:r>
          </w:p>
        </w:tc>
        <w:tc>
          <w:tcPr>
            <w:tcW w:w="2268" w:type="dxa"/>
            <w:tcBorders>
              <w:right w:val="single" w:sz="4" w:space="0" w:color="auto"/>
            </w:tcBorders>
            <w:shd w:val="clear" w:color="auto" w:fill="D9D9D9"/>
            <w:hideMark/>
          </w:tcPr>
          <w:p w14:paraId="56AE8469" w14:textId="77777777" w:rsidR="002A4DDF" w:rsidRPr="00937C8B" w:rsidRDefault="002A4DDF" w:rsidP="009110ED">
            <w:pPr>
              <w:rPr>
                <w:rFonts w:ascii="Arial" w:hAnsi="Arial" w:cs="Arial"/>
                <w:sz w:val="12"/>
                <w:szCs w:val="12"/>
              </w:rPr>
            </w:pPr>
          </w:p>
        </w:tc>
      </w:tr>
      <w:tr w:rsidR="002A4DDF" w:rsidRPr="00937C8B" w14:paraId="5F954DCB" w14:textId="77777777" w:rsidTr="00935676">
        <w:trPr>
          <w:cantSplit/>
        </w:trPr>
        <w:tc>
          <w:tcPr>
            <w:tcW w:w="1696" w:type="dxa"/>
            <w:tcBorders>
              <w:left w:val="single" w:sz="4" w:space="0" w:color="auto"/>
            </w:tcBorders>
            <w:shd w:val="clear" w:color="auto" w:fill="auto"/>
          </w:tcPr>
          <w:p w14:paraId="196249B9" w14:textId="77777777" w:rsidR="002A4DDF" w:rsidRPr="00937C8B" w:rsidRDefault="002A4DDF" w:rsidP="009110ED">
            <w:pPr>
              <w:rPr>
                <w:rFonts w:ascii="Arial" w:hAnsi="Arial" w:cs="Arial"/>
                <w:sz w:val="12"/>
                <w:szCs w:val="12"/>
              </w:rPr>
            </w:pPr>
          </w:p>
        </w:tc>
        <w:tc>
          <w:tcPr>
            <w:tcW w:w="1843" w:type="dxa"/>
            <w:shd w:val="clear" w:color="auto" w:fill="auto"/>
          </w:tcPr>
          <w:p w14:paraId="6AB30CBB" w14:textId="77777777" w:rsidR="002A4DDF" w:rsidRPr="00937C8B" w:rsidRDefault="002A4DDF" w:rsidP="009110ED">
            <w:pPr>
              <w:rPr>
                <w:rFonts w:ascii="Arial" w:hAnsi="Arial" w:cs="Arial"/>
                <w:sz w:val="12"/>
                <w:szCs w:val="12"/>
              </w:rPr>
            </w:pPr>
          </w:p>
        </w:tc>
        <w:tc>
          <w:tcPr>
            <w:tcW w:w="2268" w:type="dxa"/>
            <w:shd w:val="clear" w:color="auto" w:fill="F2F2F2"/>
            <w:hideMark/>
          </w:tcPr>
          <w:p w14:paraId="71FC57ED" w14:textId="77777777" w:rsidR="002A4DDF" w:rsidRPr="00937C8B" w:rsidRDefault="002A4DDF" w:rsidP="009110ED">
            <w:pPr>
              <w:rPr>
                <w:rFonts w:ascii="Arial" w:hAnsi="Arial" w:cs="Arial"/>
                <w:sz w:val="12"/>
                <w:szCs w:val="12"/>
              </w:rPr>
            </w:pPr>
            <w:r>
              <w:rPr>
                <w:rFonts w:ascii="Arial" w:hAnsi="Arial"/>
                <w:sz w:val="12"/>
                <w:szCs w:val="12"/>
              </w:rPr>
              <w:t>Sanchonuño</w:t>
            </w:r>
          </w:p>
        </w:tc>
        <w:tc>
          <w:tcPr>
            <w:tcW w:w="2268" w:type="dxa"/>
            <w:tcBorders>
              <w:right w:val="single" w:sz="4" w:space="0" w:color="auto"/>
            </w:tcBorders>
            <w:shd w:val="clear" w:color="auto" w:fill="D9D9D9"/>
            <w:hideMark/>
          </w:tcPr>
          <w:p w14:paraId="78C60406" w14:textId="77777777" w:rsidR="002A4DDF" w:rsidRPr="00937C8B" w:rsidRDefault="002A4DDF" w:rsidP="009110ED">
            <w:pPr>
              <w:rPr>
                <w:rFonts w:ascii="Arial" w:hAnsi="Arial" w:cs="Arial"/>
                <w:sz w:val="12"/>
                <w:szCs w:val="12"/>
              </w:rPr>
            </w:pPr>
          </w:p>
        </w:tc>
      </w:tr>
      <w:tr w:rsidR="002A4DDF" w:rsidRPr="00937C8B" w14:paraId="39AE5C9A" w14:textId="77777777" w:rsidTr="00935676">
        <w:trPr>
          <w:cantSplit/>
        </w:trPr>
        <w:tc>
          <w:tcPr>
            <w:tcW w:w="1696" w:type="dxa"/>
            <w:tcBorders>
              <w:left w:val="single" w:sz="4" w:space="0" w:color="auto"/>
            </w:tcBorders>
            <w:shd w:val="clear" w:color="auto" w:fill="auto"/>
          </w:tcPr>
          <w:p w14:paraId="7DD64912" w14:textId="77777777" w:rsidR="002A4DDF" w:rsidRPr="00937C8B" w:rsidRDefault="002A4DDF" w:rsidP="009110ED">
            <w:pPr>
              <w:rPr>
                <w:rFonts w:ascii="Arial" w:hAnsi="Arial" w:cs="Arial"/>
                <w:sz w:val="12"/>
                <w:szCs w:val="12"/>
              </w:rPr>
            </w:pPr>
          </w:p>
        </w:tc>
        <w:tc>
          <w:tcPr>
            <w:tcW w:w="1843" w:type="dxa"/>
            <w:shd w:val="clear" w:color="auto" w:fill="auto"/>
          </w:tcPr>
          <w:p w14:paraId="20BE4010" w14:textId="77777777" w:rsidR="002A4DDF" w:rsidRPr="00937C8B" w:rsidRDefault="002A4DDF" w:rsidP="009110ED">
            <w:pPr>
              <w:rPr>
                <w:rFonts w:ascii="Arial" w:hAnsi="Arial" w:cs="Arial"/>
                <w:sz w:val="12"/>
                <w:szCs w:val="12"/>
              </w:rPr>
            </w:pPr>
          </w:p>
        </w:tc>
        <w:tc>
          <w:tcPr>
            <w:tcW w:w="2268" w:type="dxa"/>
            <w:shd w:val="clear" w:color="auto" w:fill="F2F2F2"/>
            <w:hideMark/>
          </w:tcPr>
          <w:p w14:paraId="3DAC577E" w14:textId="77777777" w:rsidR="002A4DDF" w:rsidRPr="00937C8B" w:rsidRDefault="002A4DDF" w:rsidP="009110ED">
            <w:pPr>
              <w:rPr>
                <w:rFonts w:ascii="Arial" w:hAnsi="Arial" w:cs="Arial"/>
                <w:sz w:val="12"/>
                <w:szCs w:val="12"/>
              </w:rPr>
            </w:pPr>
            <w:r>
              <w:rPr>
                <w:rFonts w:ascii="Arial" w:hAnsi="Arial"/>
                <w:sz w:val="12"/>
                <w:szCs w:val="12"/>
              </w:rPr>
              <w:t>Sangarcía</w:t>
            </w:r>
          </w:p>
        </w:tc>
        <w:tc>
          <w:tcPr>
            <w:tcW w:w="2268" w:type="dxa"/>
            <w:tcBorders>
              <w:right w:val="single" w:sz="4" w:space="0" w:color="auto"/>
            </w:tcBorders>
            <w:shd w:val="clear" w:color="auto" w:fill="D9D9D9"/>
            <w:hideMark/>
          </w:tcPr>
          <w:p w14:paraId="17A540A9" w14:textId="77777777" w:rsidR="002A4DDF" w:rsidRPr="00937C8B" w:rsidRDefault="002A4DDF" w:rsidP="009110ED">
            <w:pPr>
              <w:rPr>
                <w:rFonts w:ascii="Arial" w:hAnsi="Arial" w:cs="Arial"/>
                <w:sz w:val="12"/>
                <w:szCs w:val="12"/>
              </w:rPr>
            </w:pPr>
          </w:p>
        </w:tc>
      </w:tr>
      <w:tr w:rsidR="002A4DDF" w:rsidRPr="00937C8B" w14:paraId="7C726A14" w14:textId="77777777" w:rsidTr="00935676">
        <w:trPr>
          <w:cantSplit/>
        </w:trPr>
        <w:tc>
          <w:tcPr>
            <w:tcW w:w="1696" w:type="dxa"/>
            <w:tcBorders>
              <w:left w:val="single" w:sz="4" w:space="0" w:color="auto"/>
            </w:tcBorders>
            <w:shd w:val="clear" w:color="auto" w:fill="auto"/>
          </w:tcPr>
          <w:p w14:paraId="7123452D" w14:textId="77777777" w:rsidR="002A4DDF" w:rsidRPr="00937C8B" w:rsidRDefault="002A4DDF" w:rsidP="009110ED">
            <w:pPr>
              <w:rPr>
                <w:rFonts w:ascii="Arial" w:hAnsi="Arial" w:cs="Arial"/>
                <w:sz w:val="12"/>
                <w:szCs w:val="12"/>
              </w:rPr>
            </w:pPr>
          </w:p>
        </w:tc>
        <w:tc>
          <w:tcPr>
            <w:tcW w:w="1843" w:type="dxa"/>
            <w:shd w:val="clear" w:color="auto" w:fill="auto"/>
          </w:tcPr>
          <w:p w14:paraId="7121C941" w14:textId="77777777" w:rsidR="002A4DDF" w:rsidRPr="00937C8B" w:rsidRDefault="002A4DDF" w:rsidP="009110ED">
            <w:pPr>
              <w:rPr>
                <w:rFonts w:ascii="Arial" w:hAnsi="Arial" w:cs="Arial"/>
                <w:sz w:val="12"/>
                <w:szCs w:val="12"/>
              </w:rPr>
            </w:pPr>
          </w:p>
        </w:tc>
        <w:tc>
          <w:tcPr>
            <w:tcW w:w="2268" w:type="dxa"/>
            <w:shd w:val="clear" w:color="auto" w:fill="F2F2F2"/>
            <w:hideMark/>
          </w:tcPr>
          <w:p w14:paraId="3832B0D5" w14:textId="77777777" w:rsidR="002A4DDF" w:rsidRPr="00937C8B" w:rsidRDefault="002A4DDF" w:rsidP="009110ED">
            <w:pPr>
              <w:rPr>
                <w:rFonts w:ascii="Arial" w:hAnsi="Arial" w:cs="Arial"/>
                <w:sz w:val="12"/>
                <w:szCs w:val="12"/>
              </w:rPr>
            </w:pPr>
            <w:r>
              <w:rPr>
                <w:rFonts w:ascii="Arial" w:hAnsi="Arial"/>
                <w:sz w:val="12"/>
                <w:szCs w:val="12"/>
              </w:rPr>
              <w:t>Santa Marta del Cerro</w:t>
            </w:r>
          </w:p>
        </w:tc>
        <w:tc>
          <w:tcPr>
            <w:tcW w:w="2268" w:type="dxa"/>
            <w:tcBorders>
              <w:right w:val="single" w:sz="4" w:space="0" w:color="auto"/>
            </w:tcBorders>
            <w:shd w:val="clear" w:color="auto" w:fill="D9D9D9"/>
            <w:hideMark/>
          </w:tcPr>
          <w:p w14:paraId="0BB6BCB7" w14:textId="77777777" w:rsidR="002A4DDF" w:rsidRPr="00937C8B" w:rsidRDefault="002A4DDF" w:rsidP="009110ED">
            <w:pPr>
              <w:rPr>
                <w:rFonts w:ascii="Arial" w:hAnsi="Arial" w:cs="Arial"/>
                <w:sz w:val="12"/>
                <w:szCs w:val="12"/>
              </w:rPr>
            </w:pPr>
          </w:p>
        </w:tc>
      </w:tr>
      <w:tr w:rsidR="002A4DDF" w:rsidRPr="00937C8B" w14:paraId="21679A5D" w14:textId="77777777" w:rsidTr="00935676">
        <w:trPr>
          <w:cantSplit/>
        </w:trPr>
        <w:tc>
          <w:tcPr>
            <w:tcW w:w="1696" w:type="dxa"/>
            <w:tcBorders>
              <w:left w:val="single" w:sz="4" w:space="0" w:color="auto"/>
            </w:tcBorders>
            <w:shd w:val="clear" w:color="auto" w:fill="auto"/>
          </w:tcPr>
          <w:p w14:paraId="4C5C8AE9" w14:textId="77777777" w:rsidR="002A4DDF" w:rsidRPr="00937C8B" w:rsidRDefault="002A4DDF" w:rsidP="009110ED">
            <w:pPr>
              <w:rPr>
                <w:rFonts w:ascii="Arial" w:hAnsi="Arial" w:cs="Arial"/>
                <w:sz w:val="12"/>
                <w:szCs w:val="12"/>
              </w:rPr>
            </w:pPr>
          </w:p>
        </w:tc>
        <w:tc>
          <w:tcPr>
            <w:tcW w:w="1843" w:type="dxa"/>
            <w:shd w:val="clear" w:color="auto" w:fill="auto"/>
          </w:tcPr>
          <w:p w14:paraId="1549DA0C" w14:textId="77777777" w:rsidR="002A4DDF" w:rsidRPr="00937C8B" w:rsidRDefault="002A4DDF" w:rsidP="009110ED">
            <w:pPr>
              <w:rPr>
                <w:rFonts w:ascii="Arial" w:hAnsi="Arial" w:cs="Arial"/>
                <w:sz w:val="12"/>
                <w:szCs w:val="12"/>
              </w:rPr>
            </w:pPr>
          </w:p>
        </w:tc>
        <w:tc>
          <w:tcPr>
            <w:tcW w:w="2268" w:type="dxa"/>
            <w:shd w:val="clear" w:color="auto" w:fill="F2F2F2"/>
            <w:hideMark/>
          </w:tcPr>
          <w:p w14:paraId="4D3ECA30" w14:textId="77777777" w:rsidR="002A4DDF" w:rsidRPr="00937C8B" w:rsidRDefault="002A4DDF" w:rsidP="009110ED">
            <w:pPr>
              <w:rPr>
                <w:rFonts w:ascii="Arial" w:hAnsi="Arial" w:cs="Arial"/>
                <w:sz w:val="12"/>
                <w:szCs w:val="12"/>
              </w:rPr>
            </w:pPr>
            <w:r>
              <w:rPr>
                <w:rFonts w:ascii="Arial" w:hAnsi="Arial"/>
                <w:sz w:val="12"/>
                <w:szCs w:val="12"/>
              </w:rPr>
              <w:t>Santiuste de San Juan Bautista</w:t>
            </w:r>
          </w:p>
        </w:tc>
        <w:tc>
          <w:tcPr>
            <w:tcW w:w="2268" w:type="dxa"/>
            <w:tcBorders>
              <w:right w:val="single" w:sz="4" w:space="0" w:color="auto"/>
            </w:tcBorders>
            <w:shd w:val="clear" w:color="auto" w:fill="D9D9D9"/>
            <w:hideMark/>
          </w:tcPr>
          <w:p w14:paraId="7CDF6661" w14:textId="77777777" w:rsidR="002A4DDF" w:rsidRPr="00937C8B" w:rsidRDefault="002A4DDF" w:rsidP="009110ED">
            <w:pPr>
              <w:rPr>
                <w:rFonts w:ascii="Arial" w:hAnsi="Arial" w:cs="Arial"/>
                <w:sz w:val="12"/>
                <w:szCs w:val="12"/>
              </w:rPr>
            </w:pPr>
          </w:p>
        </w:tc>
      </w:tr>
      <w:tr w:rsidR="002A4DDF" w:rsidRPr="00937C8B" w14:paraId="121E04B6" w14:textId="77777777" w:rsidTr="00935676">
        <w:trPr>
          <w:cantSplit/>
        </w:trPr>
        <w:tc>
          <w:tcPr>
            <w:tcW w:w="1696" w:type="dxa"/>
            <w:tcBorders>
              <w:left w:val="single" w:sz="4" w:space="0" w:color="auto"/>
            </w:tcBorders>
            <w:shd w:val="clear" w:color="auto" w:fill="auto"/>
          </w:tcPr>
          <w:p w14:paraId="1E99B6D5" w14:textId="77777777" w:rsidR="002A4DDF" w:rsidRPr="00937C8B" w:rsidRDefault="002A4DDF" w:rsidP="009110ED">
            <w:pPr>
              <w:rPr>
                <w:rFonts w:ascii="Arial" w:hAnsi="Arial" w:cs="Arial"/>
                <w:sz w:val="12"/>
                <w:szCs w:val="12"/>
              </w:rPr>
            </w:pPr>
          </w:p>
        </w:tc>
        <w:tc>
          <w:tcPr>
            <w:tcW w:w="1843" w:type="dxa"/>
            <w:shd w:val="clear" w:color="auto" w:fill="auto"/>
          </w:tcPr>
          <w:p w14:paraId="0A07C314" w14:textId="77777777" w:rsidR="002A4DDF" w:rsidRPr="00937C8B" w:rsidRDefault="002A4DDF" w:rsidP="009110ED">
            <w:pPr>
              <w:rPr>
                <w:rFonts w:ascii="Arial" w:hAnsi="Arial" w:cs="Arial"/>
                <w:sz w:val="12"/>
                <w:szCs w:val="12"/>
              </w:rPr>
            </w:pPr>
          </w:p>
        </w:tc>
        <w:tc>
          <w:tcPr>
            <w:tcW w:w="2268" w:type="dxa"/>
            <w:shd w:val="clear" w:color="auto" w:fill="F2F2F2"/>
            <w:hideMark/>
          </w:tcPr>
          <w:p w14:paraId="66D3847F" w14:textId="77777777" w:rsidR="002A4DDF" w:rsidRPr="00937C8B" w:rsidRDefault="002A4DDF" w:rsidP="009110ED">
            <w:pPr>
              <w:rPr>
                <w:rFonts w:ascii="Arial" w:hAnsi="Arial" w:cs="Arial"/>
                <w:sz w:val="12"/>
                <w:szCs w:val="12"/>
              </w:rPr>
            </w:pPr>
            <w:r>
              <w:rPr>
                <w:rFonts w:ascii="Arial" w:hAnsi="Arial"/>
                <w:sz w:val="12"/>
                <w:szCs w:val="12"/>
              </w:rPr>
              <w:t>Sauquillo de Cabezas</w:t>
            </w:r>
          </w:p>
        </w:tc>
        <w:tc>
          <w:tcPr>
            <w:tcW w:w="2268" w:type="dxa"/>
            <w:tcBorders>
              <w:right w:val="single" w:sz="4" w:space="0" w:color="auto"/>
            </w:tcBorders>
            <w:shd w:val="clear" w:color="auto" w:fill="D9D9D9"/>
            <w:hideMark/>
          </w:tcPr>
          <w:p w14:paraId="5B8ED8BF" w14:textId="77777777" w:rsidR="002A4DDF" w:rsidRPr="00937C8B" w:rsidRDefault="002A4DDF" w:rsidP="009110ED">
            <w:pPr>
              <w:rPr>
                <w:rFonts w:ascii="Arial" w:hAnsi="Arial" w:cs="Arial"/>
                <w:sz w:val="12"/>
                <w:szCs w:val="12"/>
              </w:rPr>
            </w:pPr>
          </w:p>
        </w:tc>
      </w:tr>
      <w:tr w:rsidR="002A4DDF" w:rsidRPr="00937C8B" w14:paraId="5782D373" w14:textId="77777777" w:rsidTr="00935676">
        <w:trPr>
          <w:cantSplit/>
        </w:trPr>
        <w:tc>
          <w:tcPr>
            <w:tcW w:w="1696" w:type="dxa"/>
            <w:tcBorders>
              <w:left w:val="single" w:sz="4" w:space="0" w:color="auto"/>
            </w:tcBorders>
            <w:shd w:val="clear" w:color="auto" w:fill="auto"/>
          </w:tcPr>
          <w:p w14:paraId="24A76E1F" w14:textId="77777777" w:rsidR="002A4DDF" w:rsidRPr="00937C8B" w:rsidRDefault="002A4DDF" w:rsidP="009110ED">
            <w:pPr>
              <w:rPr>
                <w:rFonts w:ascii="Arial" w:hAnsi="Arial" w:cs="Arial"/>
                <w:sz w:val="12"/>
                <w:szCs w:val="12"/>
              </w:rPr>
            </w:pPr>
          </w:p>
        </w:tc>
        <w:tc>
          <w:tcPr>
            <w:tcW w:w="1843" w:type="dxa"/>
            <w:shd w:val="clear" w:color="auto" w:fill="auto"/>
          </w:tcPr>
          <w:p w14:paraId="463850FC" w14:textId="77777777" w:rsidR="002A4DDF" w:rsidRPr="00937C8B" w:rsidRDefault="002A4DDF" w:rsidP="009110ED">
            <w:pPr>
              <w:rPr>
                <w:rFonts w:ascii="Arial" w:hAnsi="Arial" w:cs="Arial"/>
                <w:sz w:val="12"/>
                <w:szCs w:val="12"/>
              </w:rPr>
            </w:pPr>
          </w:p>
        </w:tc>
        <w:tc>
          <w:tcPr>
            <w:tcW w:w="2268" w:type="dxa"/>
            <w:shd w:val="clear" w:color="auto" w:fill="F2F2F2"/>
            <w:hideMark/>
          </w:tcPr>
          <w:p w14:paraId="7987B673" w14:textId="77777777" w:rsidR="002A4DDF" w:rsidRPr="00937C8B" w:rsidRDefault="002A4DDF" w:rsidP="009110ED">
            <w:pPr>
              <w:rPr>
                <w:rFonts w:ascii="Arial" w:hAnsi="Arial" w:cs="Arial"/>
                <w:sz w:val="12"/>
                <w:szCs w:val="12"/>
              </w:rPr>
            </w:pPr>
            <w:r>
              <w:rPr>
                <w:rFonts w:ascii="Arial" w:hAnsi="Arial"/>
                <w:sz w:val="12"/>
                <w:szCs w:val="12"/>
              </w:rPr>
              <w:t>Sebúlcor</w:t>
            </w:r>
          </w:p>
        </w:tc>
        <w:tc>
          <w:tcPr>
            <w:tcW w:w="2268" w:type="dxa"/>
            <w:tcBorders>
              <w:right w:val="single" w:sz="4" w:space="0" w:color="auto"/>
            </w:tcBorders>
            <w:shd w:val="clear" w:color="auto" w:fill="D9D9D9"/>
            <w:hideMark/>
          </w:tcPr>
          <w:p w14:paraId="666F50FC" w14:textId="77777777" w:rsidR="002A4DDF" w:rsidRPr="00937C8B" w:rsidRDefault="002A4DDF" w:rsidP="009110ED">
            <w:pPr>
              <w:rPr>
                <w:rFonts w:ascii="Arial" w:hAnsi="Arial" w:cs="Arial"/>
                <w:sz w:val="12"/>
                <w:szCs w:val="12"/>
              </w:rPr>
            </w:pPr>
          </w:p>
        </w:tc>
      </w:tr>
      <w:tr w:rsidR="002A4DDF" w:rsidRPr="00937C8B" w14:paraId="7FE1F220" w14:textId="77777777" w:rsidTr="00935676">
        <w:trPr>
          <w:cantSplit/>
        </w:trPr>
        <w:tc>
          <w:tcPr>
            <w:tcW w:w="1696" w:type="dxa"/>
            <w:tcBorders>
              <w:left w:val="single" w:sz="4" w:space="0" w:color="auto"/>
            </w:tcBorders>
            <w:shd w:val="clear" w:color="auto" w:fill="auto"/>
          </w:tcPr>
          <w:p w14:paraId="50F6BEF0" w14:textId="77777777" w:rsidR="002A4DDF" w:rsidRPr="00937C8B" w:rsidRDefault="002A4DDF" w:rsidP="009110ED">
            <w:pPr>
              <w:rPr>
                <w:rFonts w:ascii="Arial" w:hAnsi="Arial" w:cs="Arial"/>
                <w:sz w:val="12"/>
                <w:szCs w:val="12"/>
              </w:rPr>
            </w:pPr>
          </w:p>
        </w:tc>
        <w:tc>
          <w:tcPr>
            <w:tcW w:w="1843" w:type="dxa"/>
            <w:shd w:val="clear" w:color="auto" w:fill="auto"/>
          </w:tcPr>
          <w:p w14:paraId="2507E710" w14:textId="77777777" w:rsidR="002A4DDF" w:rsidRPr="00937C8B" w:rsidRDefault="002A4DDF" w:rsidP="009110ED">
            <w:pPr>
              <w:rPr>
                <w:rFonts w:ascii="Arial" w:hAnsi="Arial" w:cs="Arial"/>
                <w:sz w:val="12"/>
                <w:szCs w:val="12"/>
              </w:rPr>
            </w:pPr>
          </w:p>
        </w:tc>
        <w:tc>
          <w:tcPr>
            <w:tcW w:w="2268" w:type="dxa"/>
            <w:shd w:val="clear" w:color="auto" w:fill="F2F2F2"/>
            <w:hideMark/>
          </w:tcPr>
          <w:p w14:paraId="3B381D8A" w14:textId="77777777" w:rsidR="002A4DDF" w:rsidRPr="00937C8B" w:rsidRDefault="002A4DDF" w:rsidP="009110ED">
            <w:pPr>
              <w:rPr>
                <w:rFonts w:ascii="Arial" w:hAnsi="Arial" w:cs="Arial"/>
                <w:sz w:val="12"/>
                <w:szCs w:val="12"/>
              </w:rPr>
            </w:pPr>
            <w:r>
              <w:rPr>
                <w:rFonts w:ascii="Arial" w:hAnsi="Arial"/>
                <w:sz w:val="12"/>
                <w:szCs w:val="12"/>
              </w:rPr>
              <w:t>Sepúlveda</w:t>
            </w:r>
          </w:p>
        </w:tc>
        <w:tc>
          <w:tcPr>
            <w:tcW w:w="2268" w:type="dxa"/>
            <w:tcBorders>
              <w:right w:val="single" w:sz="4" w:space="0" w:color="auto"/>
            </w:tcBorders>
            <w:shd w:val="clear" w:color="auto" w:fill="D9D9D9"/>
            <w:hideMark/>
          </w:tcPr>
          <w:p w14:paraId="72D210F8" w14:textId="77777777" w:rsidR="002A4DDF" w:rsidRPr="00937C8B" w:rsidRDefault="002A4DDF" w:rsidP="009110ED">
            <w:pPr>
              <w:rPr>
                <w:rFonts w:ascii="Arial" w:hAnsi="Arial" w:cs="Arial"/>
                <w:sz w:val="12"/>
                <w:szCs w:val="12"/>
              </w:rPr>
            </w:pPr>
          </w:p>
        </w:tc>
      </w:tr>
      <w:tr w:rsidR="002A4DDF" w:rsidRPr="00937C8B" w14:paraId="5E0BFF80" w14:textId="77777777" w:rsidTr="00935676">
        <w:trPr>
          <w:cantSplit/>
        </w:trPr>
        <w:tc>
          <w:tcPr>
            <w:tcW w:w="1696" w:type="dxa"/>
            <w:tcBorders>
              <w:left w:val="single" w:sz="4" w:space="0" w:color="auto"/>
            </w:tcBorders>
            <w:shd w:val="clear" w:color="auto" w:fill="auto"/>
          </w:tcPr>
          <w:p w14:paraId="1A12B588" w14:textId="77777777" w:rsidR="002A4DDF" w:rsidRPr="00937C8B" w:rsidRDefault="002A4DDF" w:rsidP="009110ED">
            <w:pPr>
              <w:rPr>
                <w:rFonts w:ascii="Arial" w:hAnsi="Arial" w:cs="Arial"/>
                <w:sz w:val="12"/>
                <w:szCs w:val="12"/>
              </w:rPr>
            </w:pPr>
          </w:p>
        </w:tc>
        <w:tc>
          <w:tcPr>
            <w:tcW w:w="1843" w:type="dxa"/>
            <w:shd w:val="clear" w:color="auto" w:fill="auto"/>
          </w:tcPr>
          <w:p w14:paraId="5ACAD847" w14:textId="77777777" w:rsidR="002A4DDF" w:rsidRPr="00937C8B" w:rsidRDefault="002A4DDF" w:rsidP="009110ED">
            <w:pPr>
              <w:rPr>
                <w:rFonts w:ascii="Arial" w:hAnsi="Arial" w:cs="Arial"/>
                <w:sz w:val="12"/>
                <w:szCs w:val="12"/>
              </w:rPr>
            </w:pPr>
          </w:p>
        </w:tc>
        <w:tc>
          <w:tcPr>
            <w:tcW w:w="2268" w:type="dxa"/>
            <w:shd w:val="clear" w:color="auto" w:fill="F2F2F2"/>
            <w:hideMark/>
          </w:tcPr>
          <w:p w14:paraId="32D80CA3" w14:textId="77777777" w:rsidR="002A4DDF" w:rsidRPr="00937C8B" w:rsidRDefault="002A4DDF" w:rsidP="009110ED">
            <w:pPr>
              <w:rPr>
                <w:rFonts w:ascii="Arial" w:hAnsi="Arial" w:cs="Arial"/>
                <w:sz w:val="12"/>
                <w:szCs w:val="12"/>
              </w:rPr>
            </w:pPr>
            <w:r>
              <w:rPr>
                <w:rFonts w:ascii="Arial" w:hAnsi="Arial"/>
                <w:sz w:val="12"/>
                <w:szCs w:val="12"/>
              </w:rPr>
              <w:t>Sequera de Fresno</w:t>
            </w:r>
          </w:p>
        </w:tc>
        <w:tc>
          <w:tcPr>
            <w:tcW w:w="2268" w:type="dxa"/>
            <w:tcBorders>
              <w:right w:val="single" w:sz="4" w:space="0" w:color="auto"/>
            </w:tcBorders>
            <w:shd w:val="clear" w:color="auto" w:fill="D9D9D9"/>
            <w:hideMark/>
          </w:tcPr>
          <w:p w14:paraId="256991D3" w14:textId="77777777" w:rsidR="002A4DDF" w:rsidRPr="00937C8B" w:rsidRDefault="002A4DDF" w:rsidP="009110ED">
            <w:pPr>
              <w:rPr>
                <w:rFonts w:ascii="Arial" w:hAnsi="Arial" w:cs="Arial"/>
                <w:sz w:val="12"/>
                <w:szCs w:val="12"/>
              </w:rPr>
            </w:pPr>
          </w:p>
        </w:tc>
      </w:tr>
      <w:tr w:rsidR="002A4DDF" w:rsidRPr="00937C8B" w14:paraId="7140B116" w14:textId="77777777" w:rsidTr="00935676">
        <w:trPr>
          <w:cantSplit/>
        </w:trPr>
        <w:tc>
          <w:tcPr>
            <w:tcW w:w="1696" w:type="dxa"/>
            <w:tcBorders>
              <w:left w:val="single" w:sz="4" w:space="0" w:color="auto"/>
            </w:tcBorders>
            <w:shd w:val="clear" w:color="auto" w:fill="auto"/>
          </w:tcPr>
          <w:p w14:paraId="0D55C604" w14:textId="77777777" w:rsidR="002A4DDF" w:rsidRPr="00937C8B" w:rsidRDefault="002A4DDF" w:rsidP="009110ED">
            <w:pPr>
              <w:rPr>
                <w:rFonts w:ascii="Arial" w:hAnsi="Arial" w:cs="Arial"/>
                <w:sz w:val="12"/>
                <w:szCs w:val="12"/>
              </w:rPr>
            </w:pPr>
          </w:p>
        </w:tc>
        <w:tc>
          <w:tcPr>
            <w:tcW w:w="1843" w:type="dxa"/>
            <w:shd w:val="clear" w:color="auto" w:fill="auto"/>
          </w:tcPr>
          <w:p w14:paraId="2E9A4C3D" w14:textId="77777777" w:rsidR="002A4DDF" w:rsidRPr="00937C8B" w:rsidRDefault="002A4DDF" w:rsidP="009110ED">
            <w:pPr>
              <w:rPr>
                <w:rFonts w:ascii="Arial" w:hAnsi="Arial" w:cs="Arial"/>
                <w:sz w:val="12"/>
                <w:szCs w:val="12"/>
              </w:rPr>
            </w:pPr>
          </w:p>
        </w:tc>
        <w:tc>
          <w:tcPr>
            <w:tcW w:w="2268" w:type="dxa"/>
            <w:shd w:val="clear" w:color="auto" w:fill="F2F2F2"/>
            <w:hideMark/>
          </w:tcPr>
          <w:p w14:paraId="706B9042" w14:textId="77777777" w:rsidR="002A4DDF" w:rsidRPr="00937C8B" w:rsidRDefault="002A4DDF" w:rsidP="009110ED">
            <w:pPr>
              <w:rPr>
                <w:rFonts w:ascii="Arial" w:hAnsi="Arial" w:cs="Arial"/>
                <w:sz w:val="12"/>
                <w:szCs w:val="12"/>
              </w:rPr>
            </w:pPr>
            <w:r>
              <w:rPr>
                <w:rFonts w:ascii="Arial" w:hAnsi="Arial"/>
                <w:sz w:val="12"/>
                <w:szCs w:val="12"/>
              </w:rPr>
              <w:t>Sotillo</w:t>
            </w:r>
          </w:p>
        </w:tc>
        <w:tc>
          <w:tcPr>
            <w:tcW w:w="2268" w:type="dxa"/>
            <w:tcBorders>
              <w:right w:val="single" w:sz="4" w:space="0" w:color="auto"/>
            </w:tcBorders>
            <w:shd w:val="clear" w:color="auto" w:fill="D9D9D9"/>
            <w:hideMark/>
          </w:tcPr>
          <w:p w14:paraId="698A147B" w14:textId="77777777" w:rsidR="002A4DDF" w:rsidRPr="00937C8B" w:rsidRDefault="002A4DDF" w:rsidP="009110ED">
            <w:pPr>
              <w:rPr>
                <w:rFonts w:ascii="Arial" w:hAnsi="Arial" w:cs="Arial"/>
                <w:sz w:val="12"/>
                <w:szCs w:val="12"/>
              </w:rPr>
            </w:pPr>
          </w:p>
        </w:tc>
      </w:tr>
      <w:tr w:rsidR="002A4DDF" w:rsidRPr="00937C8B" w14:paraId="2FEC9FCF" w14:textId="77777777" w:rsidTr="00935676">
        <w:trPr>
          <w:cantSplit/>
        </w:trPr>
        <w:tc>
          <w:tcPr>
            <w:tcW w:w="1696" w:type="dxa"/>
            <w:tcBorders>
              <w:left w:val="single" w:sz="4" w:space="0" w:color="auto"/>
            </w:tcBorders>
            <w:shd w:val="clear" w:color="auto" w:fill="auto"/>
          </w:tcPr>
          <w:p w14:paraId="59D6833D" w14:textId="77777777" w:rsidR="002A4DDF" w:rsidRPr="00937C8B" w:rsidRDefault="002A4DDF" w:rsidP="009110ED">
            <w:pPr>
              <w:rPr>
                <w:rFonts w:ascii="Arial" w:hAnsi="Arial" w:cs="Arial"/>
                <w:sz w:val="12"/>
                <w:szCs w:val="12"/>
              </w:rPr>
            </w:pPr>
          </w:p>
        </w:tc>
        <w:tc>
          <w:tcPr>
            <w:tcW w:w="1843" w:type="dxa"/>
            <w:shd w:val="clear" w:color="auto" w:fill="auto"/>
          </w:tcPr>
          <w:p w14:paraId="1575AAE2" w14:textId="77777777" w:rsidR="002A4DDF" w:rsidRPr="00937C8B" w:rsidRDefault="002A4DDF" w:rsidP="009110ED">
            <w:pPr>
              <w:rPr>
                <w:rFonts w:ascii="Arial" w:hAnsi="Arial" w:cs="Arial"/>
                <w:sz w:val="12"/>
                <w:szCs w:val="12"/>
              </w:rPr>
            </w:pPr>
          </w:p>
        </w:tc>
        <w:tc>
          <w:tcPr>
            <w:tcW w:w="2268" w:type="dxa"/>
            <w:shd w:val="clear" w:color="auto" w:fill="F2F2F2"/>
            <w:hideMark/>
          </w:tcPr>
          <w:p w14:paraId="5E294CE8" w14:textId="77777777" w:rsidR="002A4DDF" w:rsidRPr="00937C8B" w:rsidRDefault="002A4DDF" w:rsidP="009110ED">
            <w:pPr>
              <w:rPr>
                <w:rFonts w:ascii="Arial" w:hAnsi="Arial" w:cs="Arial"/>
                <w:sz w:val="12"/>
                <w:szCs w:val="12"/>
              </w:rPr>
            </w:pPr>
            <w:r>
              <w:rPr>
                <w:rFonts w:ascii="Arial" w:hAnsi="Arial"/>
                <w:sz w:val="12"/>
                <w:szCs w:val="12"/>
              </w:rPr>
              <w:t>Tabanera la Luenga</w:t>
            </w:r>
          </w:p>
        </w:tc>
        <w:tc>
          <w:tcPr>
            <w:tcW w:w="2268" w:type="dxa"/>
            <w:tcBorders>
              <w:right w:val="single" w:sz="4" w:space="0" w:color="auto"/>
            </w:tcBorders>
            <w:shd w:val="clear" w:color="auto" w:fill="D9D9D9"/>
            <w:hideMark/>
          </w:tcPr>
          <w:p w14:paraId="717851F2" w14:textId="77777777" w:rsidR="002A4DDF" w:rsidRPr="00937C8B" w:rsidRDefault="002A4DDF" w:rsidP="009110ED">
            <w:pPr>
              <w:rPr>
                <w:rFonts w:ascii="Arial" w:hAnsi="Arial" w:cs="Arial"/>
                <w:sz w:val="12"/>
                <w:szCs w:val="12"/>
              </w:rPr>
            </w:pPr>
          </w:p>
        </w:tc>
      </w:tr>
      <w:tr w:rsidR="002A4DDF" w:rsidRPr="00937C8B" w14:paraId="39AE7643" w14:textId="77777777" w:rsidTr="00935676">
        <w:trPr>
          <w:cantSplit/>
        </w:trPr>
        <w:tc>
          <w:tcPr>
            <w:tcW w:w="1696" w:type="dxa"/>
            <w:tcBorders>
              <w:left w:val="single" w:sz="4" w:space="0" w:color="auto"/>
            </w:tcBorders>
            <w:shd w:val="clear" w:color="auto" w:fill="auto"/>
          </w:tcPr>
          <w:p w14:paraId="23BB9B72" w14:textId="77777777" w:rsidR="002A4DDF" w:rsidRPr="00937C8B" w:rsidRDefault="002A4DDF" w:rsidP="009110ED">
            <w:pPr>
              <w:rPr>
                <w:rFonts w:ascii="Arial" w:hAnsi="Arial" w:cs="Arial"/>
                <w:sz w:val="12"/>
                <w:szCs w:val="12"/>
              </w:rPr>
            </w:pPr>
          </w:p>
        </w:tc>
        <w:tc>
          <w:tcPr>
            <w:tcW w:w="1843" w:type="dxa"/>
            <w:shd w:val="clear" w:color="auto" w:fill="auto"/>
          </w:tcPr>
          <w:p w14:paraId="6F4736AF" w14:textId="77777777" w:rsidR="002A4DDF" w:rsidRPr="00937C8B" w:rsidRDefault="002A4DDF" w:rsidP="009110ED">
            <w:pPr>
              <w:rPr>
                <w:rFonts w:ascii="Arial" w:hAnsi="Arial" w:cs="Arial"/>
                <w:sz w:val="12"/>
                <w:szCs w:val="12"/>
              </w:rPr>
            </w:pPr>
          </w:p>
        </w:tc>
        <w:tc>
          <w:tcPr>
            <w:tcW w:w="2268" w:type="dxa"/>
            <w:shd w:val="clear" w:color="auto" w:fill="F2F2F2"/>
            <w:hideMark/>
          </w:tcPr>
          <w:p w14:paraId="1A09C25A" w14:textId="77777777" w:rsidR="002A4DDF" w:rsidRPr="00937C8B" w:rsidRDefault="002A4DDF" w:rsidP="009110ED">
            <w:pPr>
              <w:rPr>
                <w:rFonts w:ascii="Arial" w:hAnsi="Arial" w:cs="Arial"/>
                <w:sz w:val="12"/>
                <w:szCs w:val="12"/>
              </w:rPr>
            </w:pPr>
            <w:r>
              <w:rPr>
                <w:rFonts w:ascii="Arial" w:hAnsi="Arial"/>
                <w:sz w:val="12"/>
                <w:szCs w:val="12"/>
              </w:rPr>
              <w:t>Tolocirio</w:t>
            </w:r>
          </w:p>
        </w:tc>
        <w:tc>
          <w:tcPr>
            <w:tcW w:w="2268" w:type="dxa"/>
            <w:tcBorders>
              <w:right w:val="single" w:sz="4" w:space="0" w:color="auto"/>
            </w:tcBorders>
            <w:shd w:val="clear" w:color="auto" w:fill="D9D9D9"/>
            <w:hideMark/>
          </w:tcPr>
          <w:p w14:paraId="0371A408" w14:textId="77777777" w:rsidR="002A4DDF" w:rsidRPr="00937C8B" w:rsidRDefault="002A4DDF" w:rsidP="009110ED">
            <w:pPr>
              <w:rPr>
                <w:rFonts w:ascii="Arial" w:hAnsi="Arial" w:cs="Arial"/>
                <w:sz w:val="12"/>
                <w:szCs w:val="12"/>
              </w:rPr>
            </w:pPr>
          </w:p>
        </w:tc>
      </w:tr>
      <w:tr w:rsidR="002A4DDF" w:rsidRPr="00937C8B" w14:paraId="44F68D87" w14:textId="77777777" w:rsidTr="00935676">
        <w:trPr>
          <w:cantSplit/>
        </w:trPr>
        <w:tc>
          <w:tcPr>
            <w:tcW w:w="1696" w:type="dxa"/>
            <w:tcBorders>
              <w:left w:val="single" w:sz="4" w:space="0" w:color="auto"/>
            </w:tcBorders>
            <w:shd w:val="clear" w:color="auto" w:fill="auto"/>
          </w:tcPr>
          <w:p w14:paraId="74FBBA62" w14:textId="77777777" w:rsidR="002A4DDF" w:rsidRPr="00937C8B" w:rsidRDefault="002A4DDF" w:rsidP="009110ED">
            <w:pPr>
              <w:rPr>
                <w:rFonts w:ascii="Arial" w:hAnsi="Arial" w:cs="Arial"/>
                <w:sz w:val="12"/>
                <w:szCs w:val="12"/>
              </w:rPr>
            </w:pPr>
          </w:p>
        </w:tc>
        <w:tc>
          <w:tcPr>
            <w:tcW w:w="1843" w:type="dxa"/>
            <w:shd w:val="clear" w:color="auto" w:fill="auto"/>
          </w:tcPr>
          <w:p w14:paraId="782A3DD4" w14:textId="77777777" w:rsidR="002A4DDF" w:rsidRPr="00937C8B" w:rsidRDefault="002A4DDF" w:rsidP="009110ED">
            <w:pPr>
              <w:rPr>
                <w:rFonts w:ascii="Arial" w:hAnsi="Arial" w:cs="Arial"/>
                <w:sz w:val="12"/>
                <w:szCs w:val="12"/>
              </w:rPr>
            </w:pPr>
          </w:p>
        </w:tc>
        <w:tc>
          <w:tcPr>
            <w:tcW w:w="2268" w:type="dxa"/>
            <w:shd w:val="clear" w:color="auto" w:fill="F2F2F2"/>
            <w:hideMark/>
          </w:tcPr>
          <w:p w14:paraId="0792F484" w14:textId="77777777" w:rsidR="002A4DDF" w:rsidRPr="00937C8B" w:rsidRDefault="002A4DDF" w:rsidP="009110ED">
            <w:pPr>
              <w:rPr>
                <w:rFonts w:ascii="Arial" w:hAnsi="Arial" w:cs="Arial"/>
                <w:sz w:val="12"/>
                <w:szCs w:val="12"/>
              </w:rPr>
            </w:pPr>
            <w:r>
              <w:rPr>
                <w:rFonts w:ascii="Arial" w:hAnsi="Arial"/>
                <w:sz w:val="12"/>
                <w:szCs w:val="12"/>
              </w:rPr>
              <w:t>Valleruela de Pedraza</w:t>
            </w:r>
          </w:p>
        </w:tc>
        <w:tc>
          <w:tcPr>
            <w:tcW w:w="2268" w:type="dxa"/>
            <w:tcBorders>
              <w:right w:val="single" w:sz="4" w:space="0" w:color="auto"/>
            </w:tcBorders>
            <w:shd w:val="clear" w:color="auto" w:fill="D9D9D9"/>
            <w:hideMark/>
          </w:tcPr>
          <w:p w14:paraId="2BBB213B" w14:textId="77777777" w:rsidR="002A4DDF" w:rsidRPr="00937C8B" w:rsidRDefault="002A4DDF" w:rsidP="009110ED">
            <w:pPr>
              <w:rPr>
                <w:rFonts w:ascii="Arial" w:hAnsi="Arial" w:cs="Arial"/>
                <w:sz w:val="12"/>
                <w:szCs w:val="12"/>
              </w:rPr>
            </w:pPr>
          </w:p>
        </w:tc>
      </w:tr>
      <w:tr w:rsidR="002A4DDF" w:rsidRPr="00937C8B" w14:paraId="00BA7DB3" w14:textId="77777777" w:rsidTr="00935676">
        <w:trPr>
          <w:cantSplit/>
        </w:trPr>
        <w:tc>
          <w:tcPr>
            <w:tcW w:w="1696" w:type="dxa"/>
            <w:tcBorders>
              <w:left w:val="single" w:sz="4" w:space="0" w:color="auto"/>
            </w:tcBorders>
            <w:shd w:val="clear" w:color="auto" w:fill="auto"/>
          </w:tcPr>
          <w:p w14:paraId="41A05D9E" w14:textId="77777777" w:rsidR="002A4DDF" w:rsidRPr="00937C8B" w:rsidRDefault="002A4DDF" w:rsidP="009110ED">
            <w:pPr>
              <w:rPr>
                <w:rFonts w:ascii="Arial" w:hAnsi="Arial" w:cs="Arial"/>
                <w:sz w:val="12"/>
                <w:szCs w:val="12"/>
              </w:rPr>
            </w:pPr>
          </w:p>
        </w:tc>
        <w:tc>
          <w:tcPr>
            <w:tcW w:w="1843" w:type="dxa"/>
            <w:shd w:val="clear" w:color="auto" w:fill="auto"/>
          </w:tcPr>
          <w:p w14:paraId="40344D9E" w14:textId="77777777" w:rsidR="002A4DDF" w:rsidRPr="00937C8B" w:rsidRDefault="002A4DDF" w:rsidP="009110ED">
            <w:pPr>
              <w:rPr>
                <w:rFonts w:ascii="Arial" w:hAnsi="Arial" w:cs="Arial"/>
                <w:sz w:val="12"/>
                <w:szCs w:val="12"/>
              </w:rPr>
            </w:pPr>
          </w:p>
        </w:tc>
        <w:tc>
          <w:tcPr>
            <w:tcW w:w="2268" w:type="dxa"/>
            <w:shd w:val="clear" w:color="auto" w:fill="F2F2F2"/>
            <w:hideMark/>
          </w:tcPr>
          <w:p w14:paraId="31926A5C" w14:textId="77777777" w:rsidR="002A4DDF" w:rsidRPr="00937C8B" w:rsidRDefault="002A4DDF" w:rsidP="009110ED">
            <w:pPr>
              <w:rPr>
                <w:rFonts w:ascii="Arial" w:hAnsi="Arial" w:cs="Arial"/>
                <w:sz w:val="12"/>
                <w:szCs w:val="12"/>
              </w:rPr>
            </w:pPr>
            <w:r>
              <w:rPr>
                <w:rFonts w:ascii="Arial" w:hAnsi="Arial"/>
                <w:sz w:val="12"/>
                <w:szCs w:val="12"/>
              </w:rPr>
              <w:t>Valleruela de Sepúlveda</w:t>
            </w:r>
          </w:p>
        </w:tc>
        <w:tc>
          <w:tcPr>
            <w:tcW w:w="2268" w:type="dxa"/>
            <w:tcBorders>
              <w:right w:val="single" w:sz="4" w:space="0" w:color="auto"/>
            </w:tcBorders>
            <w:shd w:val="clear" w:color="auto" w:fill="D9D9D9"/>
            <w:hideMark/>
          </w:tcPr>
          <w:p w14:paraId="59071B98" w14:textId="77777777" w:rsidR="002A4DDF" w:rsidRPr="00937C8B" w:rsidRDefault="002A4DDF" w:rsidP="009110ED">
            <w:pPr>
              <w:rPr>
                <w:rFonts w:ascii="Arial" w:hAnsi="Arial" w:cs="Arial"/>
                <w:sz w:val="12"/>
                <w:szCs w:val="12"/>
              </w:rPr>
            </w:pPr>
          </w:p>
        </w:tc>
      </w:tr>
      <w:tr w:rsidR="002A4DDF" w:rsidRPr="00937C8B" w14:paraId="055D5626" w14:textId="77777777" w:rsidTr="00935676">
        <w:trPr>
          <w:cantSplit/>
        </w:trPr>
        <w:tc>
          <w:tcPr>
            <w:tcW w:w="1696" w:type="dxa"/>
            <w:tcBorders>
              <w:left w:val="single" w:sz="4" w:space="0" w:color="auto"/>
            </w:tcBorders>
            <w:shd w:val="clear" w:color="auto" w:fill="auto"/>
          </w:tcPr>
          <w:p w14:paraId="0D74E996" w14:textId="77777777" w:rsidR="002A4DDF" w:rsidRPr="00937C8B" w:rsidRDefault="002A4DDF" w:rsidP="009110ED">
            <w:pPr>
              <w:rPr>
                <w:rFonts w:ascii="Arial" w:hAnsi="Arial" w:cs="Arial"/>
                <w:sz w:val="12"/>
                <w:szCs w:val="12"/>
              </w:rPr>
            </w:pPr>
          </w:p>
        </w:tc>
        <w:tc>
          <w:tcPr>
            <w:tcW w:w="1843" w:type="dxa"/>
            <w:shd w:val="clear" w:color="auto" w:fill="auto"/>
          </w:tcPr>
          <w:p w14:paraId="5931E3C0" w14:textId="77777777" w:rsidR="002A4DDF" w:rsidRPr="00937C8B" w:rsidRDefault="002A4DDF" w:rsidP="009110ED">
            <w:pPr>
              <w:rPr>
                <w:rFonts w:ascii="Arial" w:hAnsi="Arial" w:cs="Arial"/>
                <w:sz w:val="12"/>
                <w:szCs w:val="12"/>
              </w:rPr>
            </w:pPr>
          </w:p>
        </w:tc>
        <w:tc>
          <w:tcPr>
            <w:tcW w:w="2268" w:type="dxa"/>
            <w:shd w:val="clear" w:color="auto" w:fill="F2F2F2"/>
            <w:hideMark/>
          </w:tcPr>
          <w:p w14:paraId="69FB344C" w14:textId="77777777" w:rsidR="002A4DDF" w:rsidRPr="00937C8B" w:rsidRDefault="002A4DDF" w:rsidP="009110ED">
            <w:pPr>
              <w:rPr>
                <w:rFonts w:ascii="Arial" w:hAnsi="Arial" w:cs="Arial"/>
                <w:sz w:val="12"/>
                <w:szCs w:val="12"/>
              </w:rPr>
            </w:pPr>
            <w:r>
              <w:rPr>
                <w:rFonts w:ascii="Arial" w:hAnsi="Arial"/>
                <w:sz w:val="12"/>
                <w:szCs w:val="12"/>
              </w:rPr>
              <w:t>Valseca</w:t>
            </w:r>
          </w:p>
        </w:tc>
        <w:tc>
          <w:tcPr>
            <w:tcW w:w="2268" w:type="dxa"/>
            <w:tcBorders>
              <w:right w:val="single" w:sz="4" w:space="0" w:color="auto"/>
            </w:tcBorders>
            <w:shd w:val="clear" w:color="auto" w:fill="D9D9D9"/>
            <w:hideMark/>
          </w:tcPr>
          <w:p w14:paraId="65122D36" w14:textId="77777777" w:rsidR="002A4DDF" w:rsidRPr="00937C8B" w:rsidRDefault="002A4DDF" w:rsidP="009110ED">
            <w:pPr>
              <w:rPr>
                <w:rFonts w:ascii="Arial" w:hAnsi="Arial" w:cs="Arial"/>
                <w:sz w:val="12"/>
                <w:szCs w:val="12"/>
              </w:rPr>
            </w:pPr>
          </w:p>
        </w:tc>
      </w:tr>
      <w:tr w:rsidR="002A4DDF" w:rsidRPr="00937C8B" w14:paraId="463E94BA" w14:textId="77777777" w:rsidTr="00935676">
        <w:trPr>
          <w:cantSplit/>
        </w:trPr>
        <w:tc>
          <w:tcPr>
            <w:tcW w:w="1696" w:type="dxa"/>
            <w:tcBorders>
              <w:left w:val="single" w:sz="4" w:space="0" w:color="auto"/>
            </w:tcBorders>
            <w:shd w:val="clear" w:color="auto" w:fill="auto"/>
          </w:tcPr>
          <w:p w14:paraId="68BEA800" w14:textId="77777777" w:rsidR="002A4DDF" w:rsidRPr="00937C8B" w:rsidRDefault="002A4DDF" w:rsidP="009110ED">
            <w:pPr>
              <w:rPr>
                <w:rFonts w:ascii="Arial" w:hAnsi="Arial" w:cs="Arial"/>
                <w:sz w:val="12"/>
                <w:szCs w:val="12"/>
              </w:rPr>
            </w:pPr>
          </w:p>
        </w:tc>
        <w:tc>
          <w:tcPr>
            <w:tcW w:w="1843" w:type="dxa"/>
            <w:shd w:val="clear" w:color="auto" w:fill="auto"/>
          </w:tcPr>
          <w:p w14:paraId="753FEAAD" w14:textId="77777777" w:rsidR="002A4DDF" w:rsidRPr="00937C8B" w:rsidRDefault="002A4DDF" w:rsidP="009110ED">
            <w:pPr>
              <w:rPr>
                <w:rFonts w:ascii="Arial" w:hAnsi="Arial" w:cs="Arial"/>
                <w:sz w:val="12"/>
                <w:szCs w:val="12"/>
              </w:rPr>
            </w:pPr>
          </w:p>
        </w:tc>
        <w:tc>
          <w:tcPr>
            <w:tcW w:w="2268" w:type="dxa"/>
            <w:shd w:val="clear" w:color="auto" w:fill="F2F2F2"/>
            <w:hideMark/>
          </w:tcPr>
          <w:p w14:paraId="301AF785" w14:textId="77777777" w:rsidR="002A4DDF" w:rsidRPr="00937C8B" w:rsidRDefault="002A4DDF" w:rsidP="009110ED">
            <w:pPr>
              <w:rPr>
                <w:rFonts w:ascii="Arial" w:hAnsi="Arial" w:cs="Arial"/>
                <w:sz w:val="12"/>
                <w:szCs w:val="12"/>
              </w:rPr>
            </w:pPr>
            <w:r>
              <w:rPr>
                <w:rFonts w:ascii="Arial" w:hAnsi="Arial"/>
                <w:sz w:val="12"/>
                <w:szCs w:val="12"/>
              </w:rPr>
              <w:t>Valtiendas</w:t>
            </w:r>
          </w:p>
        </w:tc>
        <w:tc>
          <w:tcPr>
            <w:tcW w:w="2268" w:type="dxa"/>
            <w:tcBorders>
              <w:right w:val="single" w:sz="4" w:space="0" w:color="auto"/>
            </w:tcBorders>
            <w:shd w:val="clear" w:color="auto" w:fill="D9D9D9"/>
            <w:hideMark/>
          </w:tcPr>
          <w:p w14:paraId="159668C9" w14:textId="77777777" w:rsidR="002A4DDF" w:rsidRPr="00937C8B" w:rsidRDefault="002A4DDF" w:rsidP="009110ED">
            <w:pPr>
              <w:rPr>
                <w:rFonts w:ascii="Arial" w:hAnsi="Arial" w:cs="Arial"/>
                <w:sz w:val="12"/>
                <w:szCs w:val="12"/>
              </w:rPr>
            </w:pPr>
          </w:p>
        </w:tc>
      </w:tr>
      <w:tr w:rsidR="002A4DDF" w:rsidRPr="00937C8B" w14:paraId="595620EE" w14:textId="77777777" w:rsidTr="00935676">
        <w:trPr>
          <w:cantSplit/>
        </w:trPr>
        <w:tc>
          <w:tcPr>
            <w:tcW w:w="1696" w:type="dxa"/>
            <w:tcBorders>
              <w:left w:val="single" w:sz="4" w:space="0" w:color="auto"/>
            </w:tcBorders>
            <w:shd w:val="clear" w:color="auto" w:fill="auto"/>
          </w:tcPr>
          <w:p w14:paraId="69DC75C4" w14:textId="77777777" w:rsidR="002A4DDF" w:rsidRPr="00937C8B" w:rsidRDefault="002A4DDF" w:rsidP="009110ED">
            <w:pPr>
              <w:rPr>
                <w:rFonts w:ascii="Arial" w:hAnsi="Arial" w:cs="Arial"/>
                <w:sz w:val="12"/>
                <w:szCs w:val="12"/>
              </w:rPr>
            </w:pPr>
          </w:p>
        </w:tc>
        <w:tc>
          <w:tcPr>
            <w:tcW w:w="1843" w:type="dxa"/>
            <w:shd w:val="clear" w:color="auto" w:fill="auto"/>
          </w:tcPr>
          <w:p w14:paraId="499EC402" w14:textId="77777777" w:rsidR="002A4DDF" w:rsidRPr="00937C8B" w:rsidRDefault="002A4DDF" w:rsidP="009110ED">
            <w:pPr>
              <w:rPr>
                <w:rFonts w:ascii="Arial" w:hAnsi="Arial" w:cs="Arial"/>
                <w:sz w:val="12"/>
                <w:szCs w:val="12"/>
              </w:rPr>
            </w:pPr>
          </w:p>
        </w:tc>
        <w:tc>
          <w:tcPr>
            <w:tcW w:w="2268" w:type="dxa"/>
            <w:shd w:val="clear" w:color="auto" w:fill="F2F2F2"/>
            <w:hideMark/>
          </w:tcPr>
          <w:p w14:paraId="6AD25877" w14:textId="77777777" w:rsidR="002A4DDF" w:rsidRPr="00937C8B" w:rsidRDefault="002A4DDF" w:rsidP="009110ED">
            <w:pPr>
              <w:rPr>
                <w:rFonts w:ascii="Arial" w:hAnsi="Arial" w:cs="Arial"/>
                <w:sz w:val="12"/>
                <w:szCs w:val="12"/>
              </w:rPr>
            </w:pPr>
            <w:r>
              <w:rPr>
                <w:rFonts w:ascii="Arial" w:hAnsi="Arial"/>
                <w:sz w:val="12"/>
                <w:szCs w:val="12"/>
              </w:rPr>
              <w:t>Valverde del Majano</w:t>
            </w:r>
          </w:p>
        </w:tc>
        <w:tc>
          <w:tcPr>
            <w:tcW w:w="2268" w:type="dxa"/>
            <w:tcBorders>
              <w:right w:val="single" w:sz="4" w:space="0" w:color="auto"/>
            </w:tcBorders>
            <w:shd w:val="clear" w:color="auto" w:fill="D9D9D9"/>
            <w:hideMark/>
          </w:tcPr>
          <w:p w14:paraId="2298C1F9" w14:textId="77777777" w:rsidR="002A4DDF" w:rsidRPr="00937C8B" w:rsidRDefault="002A4DDF" w:rsidP="009110ED">
            <w:pPr>
              <w:rPr>
                <w:rFonts w:ascii="Arial" w:hAnsi="Arial" w:cs="Arial"/>
                <w:sz w:val="12"/>
                <w:szCs w:val="12"/>
              </w:rPr>
            </w:pPr>
          </w:p>
        </w:tc>
      </w:tr>
      <w:tr w:rsidR="002A4DDF" w:rsidRPr="00937C8B" w14:paraId="63B9F644" w14:textId="77777777" w:rsidTr="00935676">
        <w:trPr>
          <w:cantSplit/>
        </w:trPr>
        <w:tc>
          <w:tcPr>
            <w:tcW w:w="1696" w:type="dxa"/>
            <w:tcBorders>
              <w:left w:val="single" w:sz="4" w:space="0" w:color="auto"/>
            </w:tcBorders>
            <w:shd w:val="clear" w:color="auto" w:fill="auto"/>
          </w:tcPr>
          <w:p w14:paraId="583A427F" w14:textId="77777777" w:rsidR="002A4DDF" w:rsidRPr="00937C8B" w:rsidRDefault="002A4DDF" w:rsidP="009110ED">
            <w:pPr>
              <w:rPr>
                <w:rFonts w:ascii="Arial" w:hAnsi="Arial" w:cs="Arial"/>
                <w:sz w:val="12"/>
                <w:szCs w:val="12"/>
              </w:rPr>
            </w:pPr>
          </w:p>
        </w:tc>
        <w:tc>
          <w:tcPr>
            <w:tcW w:w="1843" w:type="dxa"/>
            <w:shd w:val="clear" w:color="auto" w:fill="auto"/>
          </w:tcPr>
          <w:p w14:paraId="4E15DB87" w14:textId="77777777" w:rsidR="002A4DDF" w:rsidRPr="00937C8B" w:rsidRDefault="002A4DDF" w:rsidP="009110ED">
            <w:pPr>
              <w:rPr>
                <w:rFonts w:ascii="Arial" w:hAnsi="Arial" w:cs="Arial"/>
                <w:sz w:val="12"/>
                <w:szCs w:val="12"/>
              </w:rPr>
            </w:pPr>
          </w:p>
        </w:tc>
        <w:tc>
          <w:tcPr>
            <w:tcW w:w="2268" w:type="dxa"/>
            <w:shd w:val="clear" w:color="auto" w:fill="F2F2F2"/>
            <w:hideMark/>
          </w:tcPr>
          <w:p w14:paraId="37939845" w14:textId="77777777" w:rsidR="002A4DDF" w:rsidRPr="00937C8B" w:rsidRDefault="002A4DDF" w:rsidP="009110ED">
            <w:pPr>
              <w:rPr>
                <w:rFonts w:ascii="Arial" w:hAnsi="Arial" w:cs="Arial"/>
                <w:sz w:val="12"/>
                <w:szCs w:val="12"/>
              </w:rPr>
            </w:pPr>
            <w:r>
              <w:rPr>
                <w:rFonts w:ascii="Arial" w:hAnsi="Arial"/>
                <w:sz w:val="12"/>
                <w:szCs w:val="12"/>
              </w:rPr>
              <w:t>Veganzones</w:t>
            </w:r>
          </w:p>
        </w:tc>
        <w:tc>
          <w:tcPr>
            <w:tcW w:w="2268" w:type="dxa"/>
            <w:tcBorders>
              <w:right w:val="single" w:sz="4" w:space="0" w:color="auto"/>
            </w:tcBorders>
            <w:shd w:val="clear" w:color="auto" w:fill="D9D9D9"/>
            <w:hideMark/>
          </w:tcPr>
          <w:p w14:paraId="34455AD2" w14:textId="77777777" w:rsidR="002A4DDF" w:rsidRPr="00937C8B" w:rsidRDefault="002A4DDF" w:rsidP="009110ED">
            <w:pPr>
              <w:rPr>
                <w:rFonts w:ascii="Arial" w:hAnsi="Arial" w:cs="Arial"/>
                <w:sz w:val="12"/>
                <w:szCs w:val="12"/>
              </w:rPr>
            </w:pPr>
          </w:p>
        </w:tc>
      </w:tr>
      <w:tr w:rsidR="002A4DDF" w:rsidRPr="00937C8B" w14:paraId="2921B55E" w14:textId="77777777" w:rsidTr="00935676">
        <w:trPr>
          <w:cantSplit/>
        </w:trPr>
        <w:tc>
          <w:tcPr>
            <w:tcW w:w="1696" w:type="dxa"/>
            <w:tcBorders>
              <w:left w:val="single" w:sz="4" w:space="0" w:color="auto"/>
            </w:tcBorders>
            <w:shd w:val="clear" w:color="auto" w:fill="auto"/>
          </w:tcPr>
          <w:p w14:paraId="70296F95" w14:textId="77777777" w:rsidR="002A4DDF" w:rsidRPr="00937C8B" w:rsidRDefault="002A4DDF" w:rsidP="009110ED">
            <w:pPr>
              <w:rPr>
                <w:rFonts w:ascii="Arial" w:hAnsi="Arial" w:cs="Arial"/>
                <w:sz w:val="12"/>
                <w:szCs w:val="12"/>
              </w:rPr>
            </w:pPr>
          </w:p>
        </w:tc>
        <w:tc>
          <w:tcPr>
            <w:tcW w:w="1843" w:type="dxa"/>
            <w:shd w:val="clear" w:color="auto" w:fill="auto"/>
          </w:tcPr>
          <w:p w14:paraId="00AAA204" w14:textId="77777777" w:rsidR="002A4DDF" w:rsidRPr="00937C8B" w:rsidRDefault="002A4DDF" w:rsidP="009110ED">
            <w:pPr>
              <w:rPr>
                <w:rFonts w:ascii="Arial" w:hAnsi="Arial" w:cs="Arial"/>
                <w:sz w:val="12"/>
                <w:szCs w:val="12"/>
              </w:rPr>
            </w:pPr>
          </w:p>
        </w:tc>
        <w:tc>
          <w:tcPr>
            <w:tcW w:w="2268" w:type="dxa"/>
            <w:shd w:val="clear" w:color="auto" w:fill="F2F2F2"/>
            <w:hideMark/>
          </w:tcPr>
          <w:p w14:paraId="2D1622BC" w14:textId="77777777" w:rsidR="002A4DDF" w:rsidRPr="00937C8B" w:rsidRDefault="002A4DDF" w:rsidP="009110ED">
            <w:pPr>
              <w:rPr>
                <w:rFonts w:ascii="Arial" w:hAnsi="Arial" w:cs="Arial"/>
                <w:sz w:val="12"/>
                <w:szCs w:val="12"/>
              </w:rPr>
            </w:pPr>
            <w:r>
              <w:rPr>
                <w:rFonts w:ascii="Arial" w:hAnsi="Arial"/>
                <w:sz w:val="12"/>
                <w:szCs w:val="12"/>
              </w:rPr>
              <w:t>Villeguillo</w:t>
            </w:r>
          </w:p>
        </w:tc>
        <w:tc>
          <w:tcPr>
            <w:tcW w:w="2268" w:type="dxa"/>
            <w:tcBorders>
              <w:right w:val="single" w:sz="4" w:space="0" w:color="auto"/>
            </w:tcBorders>
            <w:shd w:val="clear" w:color="auto" w:fill="D9D9D9"/>
            <w:hideMark/>
          </w:tcPr>
          <w:p w14:paraId="453F5160" w14:textId="77777777" w:rsidR="002A4DDF" w:rsidRPr="00937C8B" w:rsidRDefault="002A4DDF" w:rsidP="009110ED">
            <w:pPr>
              <w:rPr>
                <w:rFonts w:ascii="Arial" w:hAnsi="Arial" w:cs="Arial"/>
                <w:sz w:val="12"/>
                <w:szCs w:val="12"/>
              </w:rPr>
            </w:pPr>
          </w:p>
        </w:tc>
      </w:tr>
      <w:tr w:rsidR="002A4DDF" w:rsidRPr="00937C8B" w14:paraId="78F8870E" w14:textId="77777777" w:rsidTr="00935676">
        <w:trPr>
          <w:cantSplit/>
        </w:trPr>
        <w:tc>
          <w:tcPr>
            <w:tcW w:w="1696" w:type="dxa"/>
            <w:tcBorders>
              <w:left w:val="single" w:sz="4" w:space="0" w:color="auto"/>
              <w:bottom w:val="single" w:sz="4" w:space="0" w:color="auto"/>
            </w:tcBorders>
            <w:shd w:val="clear" w:color="auto" w:fill="auto"/>
            <w:hideMark/>
          </w:tcPr>
          <w:p w14:paraId="0D379F15"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bottom w:val="single" w:sz="4" w:space="0" w:color="auto"/>
            </w:tcBorders>
            <w:shd w:val="clear" w:color="auto" w:fill="auto"/>
            <w:hideMark/>
          </w:tcPr>
          <w:p w14:paraId="29DEAA7E" w14:textId="77777777" w:rsidR="002A4DDF" w:rsidRPr="00937C8B" w:rsidRDefault="002A4DDF" w:rsidP="009110ED">
            <w:pPr>
              <w:rPr>
                <w:rFonts w:ascii="Arial" w:hAnsi="Arial" w:cs="Arial"/>
                <w:sz w:val="12"/>
                <w:szCs w:val="12"/>
              </w:rPr>
            </w:pPr>
            <w:r>
              <w:rPr>
                <w:rFonts w:ascii="Arial" w:hAnsi="Arial"/>
                <w:sz w:val="12"/>
                <w:szCs w:val="12"/>
              </w:rPr>
              <w:t>Ségovie</w:t>
            </w:r>
          </w:p>
        </w:tc>
        <w:tc>
          <w:tcPr>
            <w:tcW w:w="2268" w:type="dxa"/>
            <w:tcBorders>
              <w:bottom w:val="single" w:sz="4" w:space="0" w:color="auto"/>
            </w:tcBorders>
            <w:shd w:val="clear" w:color="auto" w:fill="F2F2F2"/>
            <w:hideMark/>
          </w:tcPr>
          <w:p w14:paraId="5E3F70A6" w14:textId="77777777" w:rsidR="002A4DDF" w:rsidRPr="00937C8B" w:rsidRDefault="002A4DDF" w:rsidP="009110ED">
            <w:pPr>
              <w:rPr>
                <w:rFonts w:ascii="Arial" w:hAnsi="Arial" w:cs="Arial"/>
                <w:sz w:val="12"/>
                <w:szCs w:val="12"/>
              </w:rPr>
            </w:pPr>
            <w:r>
              <w:rPr>
                <w:rFonts w:ascii="Arial" w:hAnsi="Arial"/>
                <w:sz w:val="12"/>
                <w:szCs w:val="12"/>
              </w:rPr>
              <w:t>Yanguas de Eresma</w:t>
            </w:r>
          </w:p>
        </w:tc>
        <w:tc>
          <w:tcPr>
            <w:tcW w:w="2268" w:type="dxa"/>
            <w:tcBorders>
              <w:bottom w:val="single" w:sz="4" w:space="0" w:color="auto"/>
              <w:right w:val="single" w:sz="4" w:space="0" w:color="auto"/>
            </w:tcBorders>
            <w:shd w:val="clear" w:color="auto" w:fill="D9D9D9"/>
            <w:hideMark/>
          </w:tcPr>
          <w:p w14:paraId="42D17815" w14:textId="77777777" w:rsidR="002A4DDF" w:rsidRPr="00937C8B" w:rsidRDefault="002A4DDF" w:rsidP="009110ED">
            <w:pPr>
              <w:rPr>
                <w:rFonts w:ascii="Arial" w:hAnsi="Arial" w:cs="Arial"/>
                <w:sz w:val="12"/>
                <w:szCs w:val="12"/>
              </w:rPr>
            </w:pPr>
          </w:p>
        </w:tc>
      </w:tr>
      <w:tr w:rsidR="002A4DDF" w:rsidRPr="00937C8B" w14:paraId="5863CCAE" w14:textId="77777777" w:rsidTr="00935676">
        <w:trPr>
          <w:cantSplit/>
        </w:trPr>
        <w:tc>
          <w:tcPr>
            <w:tcW w:w="1696" w:type="dxa"/>
            <w:tcBorders>
              <w:top w:val="single" w:sz="4" w:space="0" w:color="auto"/>
              <w:bottom w:val="single" w:sz="4" w:space="0" w:color="auto"/>
            </w:tcBorders>
            <w:shd w:val="clear" w:color="auto" w:fill="auto"/>
            <w:hideMark/>
          </w:tcPr>
          <w:p w14:paraId="71622496"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5D227C1C"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0F00347D"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15EA4B9F" w14:textId="77777777" w:rsidR="002A4DDF" w:rsidRPr="00937C8B" w:rsidRDefault="002A4DDF" w:rsidP="009110ED">
            <w:pPr>
              <w:rPr>
                <w:rFonts w:ascii="Arial" w:hAnsi="Arial" w:cs="Arial"/>
                <w:sz w:val="12"/>
                <w:szCs w:val="12"/>
              </w:rPr>
            </w:pPr>
          </w:p>
        </w:tc>
      </w:tr>
      <w:tr w:rsidR="002A4DDF" w:rsidRPr="00937C8B" w14:paraId="041FC16F" w14:textId="77777777" w:rsidTr="00935676">
        <w:trPr>
          <w:cantSplit/>
        </w:trPr>
        <w:tc>
          <w:tcPr>
            <w:tcW w:w="1696" w:type="dxa"/>
            <w:tcBorders>
              <w:top w:val="single" w:sz="4" w:space="0" w:color="auto"/>
              <w:left w:val="single" w:sz="4" w:space="0" w:color="auto"/>
            </w:tcBorders>
            <w:shd w:val="clear" w:color="auto" w:fill="auto"/>
            <w:hideMark/>
          </w:tcPr>
          <w:p w14:paraId="07B018B7"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top w:val="single" w:sz="4" w:space="0" w:color="auto"/>
            </w:tcBorders>
            <w:shd w:val="clear" w:color="auto" w:fill="auto"/>
            <w:hideMark/>
          </w:tcPr>
          <w:p w14:paraId="09B0CE5E" w14:textId="77777777" w:rsidR="002A4DDF" w:rsidRPr="00937C8B" w:rsidRDefault="002A4DDF" w:rsidP="009110ED">
            <w:pPr>
              <w:rPr>
                <w:rFonts w:ascii="Arial" w:hAnsi="Arial" w:cs="Arial"/>
                <w:sz w:val="12"/>
                <w:szCs w:val="12"/>
              </w:rPr>
            </w:pPr>
            <w:r>
              <w:rPr>
                <w:rFonts w:ascii="Arial" w:hAnsi="Arial"/>
                <w:sz w:val="12"/>
                <w:szCs w:val="12"/>
              </w:rPr>
              <w:t>Soria</w:t>
            </w:r>
          </w:p>
        </w:tc>
        <w:tc>
          <w:tcPr>
            <w:tcW w:w="2268" w:type="dxa"/>
            <w:tcBorders>
              <w:top w:val="single" w:sz="4" w:space="0" w:color="auto"/>
            </w:tcBorders>
            <w:shd w:val="clear" w:color="auto" w:fill="F2F2F2"/>
            <w:hideMark/>
          </w:tcPr>
          <w:p w14:paraId="5EE9B43A" w14:textId="77777777" w:rsidR="002A4DDF" w:rsidRPr="00937C8B" w:rsidRDefault="002A4DDF" w:rsidP="009110ED">
            <w:pPr>
              <w:rPr>
                <w:rFonts w:ascii="Arial" w:hAnsi="Arial" w:cs="Arial"/>
                <w:sz w:val="12"/>
                <w:szCs w:val="12"/>
              </w:rPr>
            </w:pPr>
            <w:r>
              <w:rPr>
                <w:rFonts w:ascii="Arial" w:hAnsi="Arial"/>
                <w:sz w:val="12"/>
                <w:szCs w:val="12"/>
              </w:rPr>
              <w:t>Ágreda</w:t>
            </w:r>
          </w:p>
        </w:tc>
        <w:tc>
          <w:tcPr>
            <w:tcW w:w="2268" w:type="dxa"/>
            <w:tcBorders>
              <w:top w:val="single" w:sz="4" w:space="0" w:color="auto"/>
              <w:right w:val="single" w:sz="4" w:space="0" w:color="auto"/>
            </w:tcBorders>
            <w:shd w:val="clear" w:color="auto" w:fill="D9D9D9"/>
            <w:hideMark/>
          </w:tcPr>
          <w:p w14:paraId="46B40B3B" w14:textId="77777777" w:rsidR="002A4DDF" w:rsidRPr="00937C8B" w:rsidRDefault="002A4DDF" w:rsidP="009110ED">
            <w:pPr>
              <w:rPr>
                <w:rFonts w:ascii="Arial" w:hAnsi="Arial" w:cs="Arial"/>
                <w:sz w:val="12"/>
                <w:szCs w:val="12"/>
              </w:rPr>
            </w:pPr>
          </w:p>
        </w:tc>
      </w:tr>
      <w:tr w:rsidR="002A4DDF" w:rsidRPr="00937C8B" w14:paraId="4D364741" w14:textId="77777777" w:rsidTr="00935676">
        <w:trPr>
          <w:cantSplit/>
        </w:trPr>
        <w:tc>
          <w:tcPr>
            <w:tcW w:w="1696" w:type="dxa"/>
            <w:tcBorders>
              <w:left w:val="single" w:sz="4" w:space="0" w:color="auto"/>
            </w:tcBorders>
            <w:shd w:val="clear" w:color="auto" w:fill="auto"/>
          </w:tcPr>
          <w:p w14:paraId="514C817C" w14:textId="77777777" w:rsidR="002A4DDF" w:rsidRPr="00937C8B" w:rsidRDefault="002A4DDF" w:rsidP="009110ED">
            <w:pPr>
              <w:rPr>
                <w:rFonts w:ascii="Arial" w:hAnsi="Arial" w:cs="Arial"/>
                <w:sz w:val="12"/>
                <w:szCs w:val="12"/>
              </w:rPr>
            </w:pPr>
          </w:p>
        </w:tc>
        <w:tc>
          <w:tcPr>
            <w:tcW w:w="1843" w:type="dxa"/>
            <w:shd w:val="clear" w:color="auto" w:fill="auto"/>
          </w:tcPr>
          <w:p w14:paraId="7F105ACB" w14:textId="77777777" w:rsidR="002A4DDF" w:rsidRPr="00937C8B" w:rsidRDefault="002A4DDF" w:rsidP="009110ED">
            <w:pPr>
              <w:rPr>
                <w:rFonts w:ascii="Arial" w:hAnsi="Arial" w:cs="Arial"/>
                <w:sz w:val="12"/>
                <w:szCs w:val="12"/>
              </w:rPr>
            </w:pPr>
          </w:p>
        </w:tc>
        <w:tc>
          <w:tcPr>
            <w:tcW w:w="2268" w:type="dxa"/>
            <w:shd w:val="clear" w:color="auto" w:fill="F2F2F2"/>
            <w:hideMark/>
          </w:tcPr>
          <w:p w14:paraId="31781B67" w14:textId="77777777" w:rsidR="002A4DDF" w:rsidRPr="00937C8B" w:rsidRDefault="002A4DDF" w:rsidP="009110ED">
            <w:pPr>
              <w:rPr>
                <w:rFonts w:ascii="Arial" w:hAnsi="Arial" w:cs="Arial"/>
                <w:sz w:val="12"/>
                <w:szCs w:val="12"/>
              </w:rPr>
            </w:pPr>
            <w:r>
              <w:rPr>
                <w:rFonts w:ascii="Arial" w:hAnsi="Arial"/>
                <w:sz w:val="12"/>
                <w:szCs w:val="12"/>
              </w:rPr>
              <w:t>Alcubilla de Avellaneda</w:t>
            </w:r>
          </w:p>
        </w:tc>
        <w:tc>
          <w:tcPr>
            <w:tcW w:w="2268" w:type="dxa"/>
            <w:tcBorders>
              <w:right w:val="single" w:sz="4" w:space="0" w:color="auto"/>
            </w:tcBorders>
            <w:shd w:val="clear" w:color="auto" w:fill="D9D9D9"/>
            <w:hideMark/>
          </w:tcPr>
          <w:p w14:paraId="67C0096B" w14:textId="77777777" w:rsidR="002A4DDF" w:rsidRPr="00937C8B" w:rsidRDefault="002A4DDF" w:rsidP="009110ED">
            <w:pPr>
              <w:rPr>
                <w:rFonts w:ascii="Arial" w:hAnsi="Arial" w:cs="Arial"/>
                <w:sz w:val="12"/>
                <w:szCs w:val="12"/>
              </w:rPr>
            </w:pPr>
          </w:p>
        </w:tc>
      </w:tr>
      <w:tr w:rsidR="002A4DDF" w:rsidRPr="00937C8B" w14:paraId="618B47FA" w14:textId="77777777" w:rsidTr="00935676">
        <w:trPr>
          <w:cantSplit/>
        </w:trPr>
        <w:tc>
          <w:tcPr>
            <w:tcW w:w="1696" w:type="dxa"/>
            <w:tcBorders>
              <w:left w:val="single" w:sz="4" w:space="0" w:color="auto"/>
            </w:tcBorders>
            <w:shd w:val="clear" w:color="auto" w:fill="auto"/>
          </w:tcPr>
          <w:p w14:paraId="36586C58" w14:textId="77777777" w:rsidR="002A4DDF" w:rsidRPr="00937C8B" w:rsidRDefault="002A4DDF" w:rsidP="009110ED">
            <w:pPr>
              <w:rPr>
                <w:rFonts w:ascii="Arial" w:hAnsi="Arial" w:cs="Arial"/>
                <w:sz w:val="12"/>
                <w:szCs w:val="12"/>
              </w:rPr>
            </w:pPr>
          </w:p>
        </w:tc>
        <w:tc>
          <w:tcPr>
            <w:tcW w:w="1843" w:type="dxa"/>
            <w:shd w:val="clear" w:color="auto" w:fill="auto"/>
          </w:tcPr>
          <w:p w14:paraId="79413CBD" w14:textId="77777777" w:rsidR="002A4DDF" w:rsidRPr="00937C8B" w:rsidRDefault="002A4DDF" w:rsidP="009110ED">
            <w:pPr>
              <w:rPr>
                <w:rFonts w:ascii="Arial" w:hAnsi="Arial" w:cs="Arial"/>
                <w:sz w:val="12"/>
                <w:szCs w:val="12"/>
              </w:rPr>
            </w:pPr>
          </w:p>
        </w:tc>
        <w:tc>
          <w:tcPr>
            <w:tcW w:w="2268" w:type="dxa"/>
            <w:shd w:val="clear" w:color="auto" w:fill="F2F2F2"/>
            <w:hideMark/>
          </w:tcPr>
          <w:p w14:paraId="56C41785" w14:textId="77777777" w:rsidR="002A4DDF" w:rsidRPr="00937C8B" w:rsidRDefault="002A4DDF" w:rsidP="009110ED">
            <w:pPr>
              <w:rPr>
                <w:rFonts w:ascii="Arial" w:hAnsi="Arial" w:cs="Arial"/>
                <w:sz w:val="12"/>
                <w:szCs w:val="12"/>
              </w:rPr>
            </w:pPr>
            <w:r>
              <w:rPr>
                <w:rFonts w:ascii="Arial" w:hAnsi="Arial"/>
                <w:sz w:val="12"/>
                <w:szCs w:val="12"/>
              </w:rPr>
              <w:t>Aldealafuente</w:t>
            </w:r>
          </w:p>
        </w:tc>
        <w:tc>
          <w:tcPr>
            <w:tcW w:w="2268" w:type="dxa"/>
            <w:tcBorders>
              <w:right w:val="single" w:sz="4" w:space="0" w:color="auto"/>
            </w:tcBorders>
            <w:shd w:val="clear" w:color="auto" w:fill="D9D9D9"/>
            <w:hideMark/>
          </w:tcPr>
          <w:p w14:paraId="3BC722B5" w14:textId="77777777" w:rsidR="002A4DDF" w:rsidRPr="00937C8B" w:rsidRDefault="002A4DDF" w:rsidP="009110ED">
            <w:pPr>
              <w:rPr>
                <w:rFonts w:ascii="Arial" w:hAnsi="Arial" w:cs="Arial"/>
                <w:sz w:val="12"/>
                <w:szCs w:val="12"/>
              </w:rPr>
            </w:pPr>
          </w:p>
        </w:tc>
      </w:tr>
      <w:tr w:rsidR="002A4DDF" w:rsidRPr="00937C8B" w14:paraId="1021763A" w14:textId="77777777" w:rsidTr="00935676">
        <w:trPr>
          <w:cantSplit/>
        </w:trPr>
        <w:tc>
          <w:tcPr>
            <w:tcW w:w="1696" w:type="dxa"/>
            <w:tcBorders>
              <w:left w:val="single" w:sz="4" w:space="0" w:color="auto"/>
            </w:tcBorders>
            <w:shd w:val="clear" w:color="auto" w:fill="auto"/>
          </w:tcPr>
          <w:p w14:paraId="375533F0" w14:textId="77777777" w:rsidR="002A4DDF" w:rsidRPr="00937C8B" w:rsidRDefault="002A4DDF" w:rsidP="009110ED">
            <w:pPr>
              <w:rPr>
                <w:rFonts w:ascii="Arial" w:hAnsi="Arial" w:cs="Arial"/>
                <w:sz w:val="12"/>
                <w:szCs w:val="12"/>
              </w:rPr>
            </w:pPr>
          </w:p>
        </w:tc>
        <w:tc>
          <w:tcPr>
            <w:tcW w:w="1843" w:type="dxa"/>
            <w:shd w:val="clear" w:color="auto" w:fill="auto"/>
          </w:tcPr>
          <w:p w14:paraId="5AB64A2A" w14:textId="77777777" w:rsidR="002A4DDF" w:rsidRPr="00937C8B" w:rsidRDefault="002A4DDF" w:rsidP="009110ED">
            <w:pPr>
              <w:rPr>
                <w:rFonts w:ascii="Arial" w:hAnsi="Arial" w:cs="Arial"/>
                <w:sz w:val="12"/>
                <w:szCs w:val="12"/>
              </w:rPr>
            </w:pPr>
          </w:p>
        </w:tc>
        <w:tc>
          <w:tcPr>
            <w:tcW w:w="2268" w:type="dxa"/>
            <w:shd w:val="clear" w:color="auto" w:fill="F2F2F2"/>
            <w:hideMark/>
          </w:tcPr>
          <w:p w14:paraId="1E480E24" w14:textId="77777777" w:rsidR="002A4DDF" w:rsidRPr="00937C8B" w:rsidRDefault="002A4DDF" w:rsidP="009110ED">
            <w:pPr>
              <w:rPr>
                <w:rFonts w:ascii="Arial" w:hAnsi="Arial" w:cs="Arial"/>
                <w:sz w:val="12"/>
                <w:szCs w:val="12"/>
              </w:rPr>
            </w:pPr>
            <w:r>
              <w:rPr>
                <w:rFonts w:ascii="Arial" w:hAnsi="Arial"/>
                <w:sz w:val="12"/>
                <w:szCs w:val="12"/>
              </w:rPr>
              <w:t>Aldealices</w:t>
            </w:r>
          </w:p>
        </w:tc>
        <w:tc>
          <w:tcPr>
            <w:tcW w:w="2268" w:type="dxa"/>
            <w:tcBorders>
              <w:right w:val="single" w:sz="4" w:space="0" w:color="auto"/>
            </w:tcBorders>
            <w:shd w:val="clear" w:color="auto" w:fill="D9D9D9"/>
            <w:hideMark/>
          </w:tcPr>
          <w:p w14:paraId="4D534F99" w14:textId="77777777" w:rsidR="002A4DDF" w:rsidRPr="00937C8B" w:rsidRDefault="002A4DDF" w:rsidP="009110ED">
            <w:pPr>
              <w:rPr>
                <w:rFonts w:ascii="Arial" w:hAnsi="Arial" w:cs="Arial"/>
                <w:sz w:val="12"/>
                <w:szCs w:val="12"/>
              </w:rPr>
            </w:pPr>
          </w:p>
        </w:tc>
      </w:tr>
      <w:tr w:rsidR="002A4DDF" w:rsidRPr="00937C8B" w14:paraId="1B91621F" w14:textId="77777777" w:rsidTr="00935676">
        <w:trPr>
          <w:cantSplit/>
        </w:trPr>
        <w:tc>
          <w:tcPr>
            <w:tcW w:w="1696" w:type="dxa"/>
            <w:tcBorders>
              <w:left w:val="single" w:sz="4" w:space="0" w:color="auto"/>
            </w:tcBorders>
            <w:shd w:val="clear" w:color="auto" w:fill="auto"/>
          </w:tcPr>
          <w:p w14:paraId="6EC15A25" w14:textId="77777777" w:rsidR="002A4DDF" w:rsidRPr="00937C8B" w:rsidRDefault="002A4DDF" w:rsidP="009110ED">
            <w:pPr>
              <w:rPr>
                <w:rFonts w:ascii="Arial" w:hAnsi="Arial" w:cs="Arial"/>
                <w:sz w:val="12"/>
                <w:szCs w:val="12"/>
              </w:rPr>
            </w:pPr>
          </w:p>
        </w:tc>
        <w:tc>
          <w:tcPr>
            <w:tcW w:w="1843" w:type="dxa"/>
            <w:shd w:val="clear" w:color="auto" w:fill="auto"/>
          </w:tcPr>
          <w:p w14:paraId="0AAC3DCC" w14:textId="77777777" w:rsidR="002A4DDF" w:rsidRPr="00937C8B" w:rsidRDefault="002A4DDF" w:rsidP="009110ED">
            <w:pPr>
              <w:rPr>
                <w:rFonts w:ascii="Arial" w:hAnsi="Arial" w:cs="Arial"/>
                <w:sz w:val="12"/>
                <w:szCs w:val="12"/>
              </w:rPr>
            </w:pPr>
          </w:p>
        </w:tc>
        <w:tc>
          <w:tcPr>
            <w:tcW w:w="2268" w:type="dxa"/>
            <w:shd w:val="clear" w:color="auto" w:fill="F2F2F2"/>
            <w:hideMark/>
          </w:tcPr>
          <w:p w14:paraId="0CCB746F" w14:textId="77777777" w:rsidR="002A4DDF" w:rsidRPr="00937C8B" w:rsidRDefault="002A4DDF" w:rsidP="009110ED">
            <w:pPr>
              <w:rPr>
                <w:rFonts w:ascii="Arial" w:hAnsi="Arial" w:cs="Arial"/>
                <w:sz w:val="12"/>
                <w:szCs w:val="12"/>
              </w:rPr>
            </w:pPr>
            <w:r>
              <w:rPr>
                <w:rFonts w:ascii="Arial" w:hAnsi="Arial"/>
                <w:sz w:val="12"/>
                <w:szCs w:val="12"/>
              </w:rPr>
              <w:t>Aldealpozo</w:t>
            </w:r>
          </w:p>
        </w:tc>
        <w:tc>
          <w:tcPr>
            <w:tcW w:w="2268" w:type="dxa"/>
            <w:tcBorders>
              <w:right w:val="single" w:sz="4" w:space="0" w:color="auto"/>
            </w:tcBorders>
            <w:shd w:val="clear" w:color="auto" w:fill="D9D9D9"/>
            <w:hideMark/>
          </w:tcPr>
          <w:p w14:paraId="743E7813" w14:textId="77777777" w:rsidR="002A4DDF" w:rsidRPr="00937C8B" w:rsidRDefault="002A4DDF" w:rsidP="009110ED">
            <w:pPr>
              <w:rPr>
                <w:rFonts w:ascii="Arial" w:hAnsi="Arial" w:cs="Arial"/>
                <w:sz w:val="12"/>
                <w:szCs w:val="12"/>
              </w:rPr>
            </w:pPr>
          </w:p>
        </w:tc>
      </w:tr>
      <w:tr w:rsidR="002A4DDF" w:rsidRPr="00937C8B" w14:paraId="64281114" w14:textId="77777777" w:rsidTr="00935676">
        <w:trPr>
          <w:cantSplit/>
        </w:trPr>
        <w:tc>
          <w:tcPr>
            <w:tcW w:w="1696" w:type="dxa"/>
            <w:tcBorders>
              <w:left w:val="single" w:sz="4" w:space="0" w:color="auto"/>
            </w:tcBorders>
            <w:shd w:val="clear" w:color="auto" w:fill="auto"/>
          </w:tcPr>
          <w:p w14:paraId="336E046C" w14:textId="77777777" w:rsidR="002A4DDF" w:rsidRPr="00937C8B" w:rsidRDefault="002A4DDF" w:rsidP="009110ED">
            <w:pPr>
              <w:rPr>
                <w:rFonts w:ascii="Arial" w:hAnsi="Arial" w:cs="Arial"/>
                <w:sz w:val="12"/>
                <w:szCs w:val="12"/>
              </w:rPr>
            </w:pPr>
          </w:p>
        </w:tc>
        <w:tc>
          <w:tcPr>
            <w:tcW w:w="1843" w:type="dxa"/>
            <w:shd w:val="clear" w:color="auto" w:fill="auto"/>
          </w:tcPr>
          <w:p w14:paraId="1EAC6FD0" w14:textId="77777777" w:rsidR="002A4DDF" w:rsidRPr="00937C8B" w:rsidRDefault="002A4DDF" w:rsidP="009110ED">
            <w:pPr>
              <w:rPr>
                <w:rFonts w:ascii="Arial" w:hAnsi="Arial" w:cs="Arial"/>
                <w:sz w:val="12"/>
                <w:szCs w:val="12"/>
              </w:rPr>
            </w:pPr>
          </w:p>
        </w:tc>
        <w:tc>
          <w:tcPr>
            <w:tcW w:w="2268" w:type="dxa"/>
            <w:shd w:val="clear" w:color="auto" w:fill="F2F2F2"/>
            <w:hideMark/>
          </w:tcPr>
          <w:p w14:paraId="584A4A77" w14:textId="77777777" w:rsidR="002A4DDF" w:rsidRPr="00937C8B" w:rsidRDefault="002A4DDF" w:rsidP="009110ED">
            <w:pPr>
              <w:rPr>
                <w:rFonts w:ascii="Arial" w:hAnsi="Arial" w:cs="Arial"/>
                <w:sz w:val="12"/>
                <w:szCs w:val="12"/>
              </w:rPr>
            </w:pPr>
            <w:r>
              <w:rPr>
                <w:rFonts w:ascii="Arial" w:hAnsi="Arial"/>
                <w:sz w:val="12"/>
                <w:szCs w:val="12"/>
              </w:rPr>
              <w:t>Aldealseñor</w:t>
            </w:r>
          </w:p>
        </w:tc>
        <w:tc>
          <w:tcPr>
            <w:tcW w:w="2268" w:type="dxa"/>
            <w:tcBorders>
              <w:right w:val="single" w:sz="4" w:space="0" w:color="auto"/>
            </w:tcBorders>
            <w:shd w:val="clear" w:color="auto" w:fill="D9D9D9"/>
            <w:hideMark/>
          </w:tcPr>
          <w:p w14:paraId="35179125" w14:textId="77777777" w:rsidR="002A4DDF" w:rsidRPr="00937C8B" w:rsidRDefault="002A4DDF" w:rsidP="009110ED">
            <w:pPr>
              <w:rPr>
                <w:rFonts w:ascii="Arial" w:hAnsi="Arial" w:cs="Arial"/>
                <w:sz w:val="12"/>
                <w:szCs w:val="12"/>
              </w:rPr>
            </w:pPr>
          </w:p>
        </w:tc>
      </w:tr>
      <w:tr w:rsidR="002A4DDF" w:rsidRPr="00937C8B" w14:paraId="20B3FD0D" w14:textId="77777777" w:rsidTr="00935676">
        <w:trPr>
          <w:cantSplit/>
        </w:trPr>
        <w:tc>
          <w:tcPr>
            <w:tcW w:w="1696" w:type="dxa"/>
            <w:tcBorders>
              <w:left w:val="single" w:sz="4" w:space="0" w:color="auto"/>
            </w:tcBorders>
            <w:shd w:val="clear" w:color="auto" w:fill="auto"/>
          </w:tcPr>
          <w:p w14:paraId="702427E5" w14:textId="77777777" w:rsidR="002A4DDF" w:rsidRPr="00937C8B" w:rsidRDefault="002A4DDF" w:rsidP="009110ED">
            <w:pPr>
              <w:rPr>
                <w:rFonts w:ascii="Arial" w:hAnsi="Arial" w:cs="Arial"/>
                <w:sz w:val="12"/>
                <w:szCs w:val="12"/>
              </w:rPr>
            </w:pPr>
          </w:p>
        </w:tc>
        <w:tc>
          <w:tcPr>
            <w:tcW w:w="1843" w:type="dxa"/>
            <w:shd w:val="clear" w:color="auto" w:fill="auto"/>
          </w:tcPr>
          <w:p w14:paraId="361B7128" w14:textId="77777777" w:rsidR="002A4DDF" w:rsidRPr="00937C8B" w:rsidRDefault="002A4DDF" w:rsidP="009110ED">
            <w:pPr>
              <w:rPr>
                <w:rFonts w:ascii="Arial" w:hAnsi="Arial" w:cs="Arial"/>
                <w:sz w:val="12"/>
                <w:szCs w:val="12"/>
              </w:rPr>
            </w:pPr>
          </w:p>
        </w:tc>
        <w:tc>
          <w:tcPr>
            <w:tcW w:w="2268" w:type="dxa"/>
            <w:shd w:val="clear" w:color="auto" w:fill="F2F2F2"/>
            <w:hideMark/>
          </w:tcPr>
          <w:p w14:paraId="55D0D3D6" w14:textId="77777777" w:rsidR="002A4DDF" w:rsidRPr="00937C8B" w:rsidRDefault="002A4DDF" w:rsidP="009110ED">
            <w:pPr>
              <w:rPr>
                <w:rFonts w:ascii="Arial" w:hAnsi="Arial" w:cs="Arial"/>
                <w:sz w:val="12"/>
                <w:szCs w:val="12"/>
              </w:rPr>
            </w:pPr>
            <w:r>
              <w:rPr>
                <w:rFonts w:ascii="Arial" w:hAnsi="Arial"/>
                <w:sz w:val="12"/>
                <w:szCs w:val="12"/>
              </w:rPr>
              <w:t>Almajano</w:t>
            </w:r>
          </w:p>
        </w:tc>
        <w:tc>
          <w:tcPr>
            <w:tcW w:w="2268" w:type="dxa"/>
            <w:tcBorders>
              <w:right w:val="single" w:sz="4" w:space="0" w:color="auto"/>
            </w:tcBorders>
            <w:shd w:val="clear" w:color="auto" w:fill="D9D9D9"/>
            <w:hideMark/>
          </w:tcPr>
          <w:p w14:paraId="475B9D72" w14:textId="77777777" w:rsidR="002A4DDF" w:rsidRPr="00937C8B" w:rsidRDefault="002A4DDF" w:rsidP="009110ED">
            <w:pPr>
              <w:rPr>
                <w:rFonts w:ascii="Arial" w:hAnsi="Arial" w:cs="Arial"/>
                <w:sz w:val="12"/>
                <w:szCs w:val="12"/>
              </w:rPr>
            </w:pPr>
          </w:p>
        </w:tc>
      </w:tr>
      <w:tr w:rsidR="002A4DDF" w:rsidRPr="00937C8B" w14:paraId="25073F32" w14:textId="77777777" w:rsidTr="00935676">
        <w:trPr>
          <w:cantSplit/>
        </w:trPr>
        <w:tc>
          <w:tcPr>
            <w:tcW w:w="1696" w:type="dxa"/>
            <w:tcBorders>
              <w:left w:val="single" w:sz="4" w:space="0" w:color="auto"/>
            </w:tcBorders>
            <w:shd w:val="clear" w:color="auto" w:fill="auto"/>
          </w:tcPr>
          <w:p w14:paraId="33FF9F02" w14:textId="77777777" w:rsidR="002A4DDF" w:rsidRPr="00937C8B" w:rsidRDefault="002A4DDF" w:rsidP="009110ED">
            <w:pPr>
              <w:rPr>
                <w:rFonts w:ascii="Arial" w:hAnsi="Arial" w:cs="Arial"/>
                <w:sz w:val="12"/>
                <w:szCs w:val="12"/>
              </w:rPr>
            </w:pPr>
          </w:p>
        </w:tc>
        <w:tc>
          <w:tcPr>
            <w:tcW w:w="1843" w:type="dxa"/>
            <w:shd w:val="clear" w:color="auto" w:fill="auto"/>
          </w:tcPr>
          <w:p w14:paraId="7083EDE9" w14:textId="77777777" w:rsidR="002A4DDF" w:rsidRPr="00937C8B" w:rsidRDefault="002A4DDF" w:rsidP="009110ED">
            <w:pPr>
              <w:rPr>
                <w:rFonts w:ascii="Arial" w:hAnsi="Arial" w:cs="Arial"/>
                <w:sz w:val="12"/>
                <w:szCs w:val="12"/>
              </w:rPr>
            </w:pPr>
          </w:p>
        </w:tc>
        <w:tc>
          <w:tcPr>
            <w:tcW w:w="2268" w:type="dxa"/>
            <w:shd w:val="clear" w:color="auto" w:fill="F2F2F2"/>
            <w:hideMark/>
          </w:tcPr>
          <w:p w14:paraId="104AE9DA" w14:textId="77777777" w:rsidR="002A4DDF" w:rsidRPr="00937C8B" w:rsidRDefault="002A4DDF" w:rsidP="009110ED">
            <w:pPr>
              <w:rPr>
                <w:rFonts w:ascii="Arial" w:hAnsi="Arial" w:cs="Arial"/>
                <w:sz w:val="12"/>
                <w:szCs w:val="12"/>
              </w:rPr>
            </w:pPr>
            <w:r>
              <w:rPr>
                <w:rFonts w:ascii="Arial" w:hAnsi="Arial"/>
                <w:sz w:val="12"/>
                <w:szCs w:val="12"/>
              </w:rPr>
              <w:t>Almarza</w:t>
            </w:r>
          </w:p>
        </w:tc>
        <w:tc>
          <w:tcPr>
            <w:tcW w:w="2268" w:type="dxa"/>
            <w:tcBorders>
              <w:right w:val="single" w:sz="4" w:space="0" w:color="auto"/>
            </w:tcBorders>
            <w:shd w:val="clear" w:color="auto" w:fill="D9D9D9"/>
            <w:hideMark/>
          </w:tcPr>
          <w:p w14:paraId="24F9FA62" w14:textId="77777777" w:rsidR="002A4DDF" w:rsidRPr="00937C8B" w:rsidRDefault="002A4DDF" w:rsidP="009110ED">
            <w:pPr>
              <w:rPr>
                <w:rFonts w:ascii="Arial" w:hAnsi="Arial" w:cs="Arial"/>
                <w:sz w:val="12"/>
                <w:szCs w:val="12"/>
              </w:rPr>
            </w:pPr>
          </w:p>
        </w:tc>
      </w:tr>
      <w:tr w:rsidR="002A4DDF" w:rsidRPr="00937C8B" w14:paraId="458810E4" w14:textId="77777777" w:rsidTr="00935676">
        <w:trPr>
          <w:cantSplit/>
        </w:trPr>
        <w:tc>
          <w:tcPr>
            <w:tcW w:w="1696" w:type="dxa"/>
            <w:tcBorders>
              <w:left w:val="single" w:sz="4" w:space="0" w:color="auto"/>
            </w:tcBorders>
            <w:shd w:val="clear" w:color="auto" w:fill="auto"/>
          </w:tcPr>
          <w:p w14:paraId="2210207B" w14:textId="77777777" w:rsidR="002A4DDF" w:rsidRPr="00937C8B" w:rsidRDefault="002A4DDF" w:rsidP="009110ED">
            <w:pPr>
              <w:rPr>
                <w:rFonts w:ascii="Arial" w:hAnsi="Arial" w:cs="Arial"/>
                <w:sz w:val="12"/>
                <w:szCs w:val="12"/>
              </w:rPr>
            </w:pPr>
          </w:p>
        </w:tc>
        <w:tc>
          <w:tcPr>
            <w:tcW w:w="1843" w:type="dxa"/>
            <w:shd w:val="clear" w:color="auto" w:fill="auto"/>
          </w:tcPr>
          <w:p w14:paraId="5FBAD4D1" w14:textId="77777777" w:rsidR="002A4DDF" w:rsidRPr="00937C8B" w:rsidRDefault="002A4DDF" w:rsidP="009110ED">
            <w:pPr>
              <w:rPr>
                <w:rFonts w:ascii="Arial" w:hAnsi="Arial" w:cs="Arial"/>
                <w:sz w:val="12"/>
                <w:szCs w:val="12"/>
              </w:rPr>
            </w:pPr>
          </w:p>
        </w:tc>
        <w:tc>
          <w:tcPr>
            <w:tcW w:w="2268" w:type="dxa"/>
            <w:shd w:val="clear" w:color="auto" w:fill="F2F2F2"/>
            <w:hideMark/>
          </w:tcPr>
          <w:p w14:paraId="1D83305E" w14:textId="77777777" w:rsidR="002A4DDF" w:rsidRPr="00937C8B" w:rsidRDefault="002A4DDF" w:rsidP="009110ED">
            <w:pPr>
              <w:rPr>
                <w:rFonts w:ascii="Arial" w:hAnsi="Arial" w:cs="Arial"/>
                <w:sz w:val="12"/>
                <w:szCs w:val="12"/>
              </w:rPr>
            </w:pPr>
            <w:r>
              <w:rPr>
                <w:rFonts w:ascii="Arial" w:hAnsi="Arial"/>
                <w:sz w:val="12"/>
                <w:szCs w:val="12"/>
              </w:rPr>
              <w:t>Arancón</w:t>
            </w:r>
          </w:p>
        </w:tc>
        <w:tc>
          <w:tcPr>
            <w:tcW w:w="2268" w:type="dxa"/>
            <w:tcBorders>
              <w:right w:val="single" w:sz="4" w:space="0" w:color="auto"/>
            </w:tcBorders>
            <w:shd w:val="clear" w:color="auto" w:fill="D9D9D9"/>
            <w:hideMark/>
          </w:tcPr>
          <w:p w14:paraId="4CE342D7" w14:textId="77777777" w:rsidR="002A4DDF" w:rsidRPr="00937C8B" w:rsidRDefault="002A4DDF" w:rsidP="009110ED">
            <w:pPr>
              <w:rPr>
                <w:rFonts w:ascii="Arial" w:hAnsi="Arial" w:cs="Arial"/>
                <w:sz w:val="12"/>
                <w:szCs w:val="12"/>
              </w:rPr>
            </w:pPr>
          </w:p>
        </w:tc>
      </w:tr>
      <w:tr w:rsidR="002A4DDF" w:rsidRPr="00937C8B" w14:paraId="5FF3BB9C" w14:textId="77777777" w:rsidTr="00935676">
        <w:trPr>
          <w:cantSplit/>
        </w:trPr>
        <w:tc>
          <w:tcPr>
            <w:tcW w:w="1696" w:type="dxa"/>
            <w:tcBorders>
              <w:left w:val="single" w:sz="4" w:space="0" w:color="auto"/>
            </w:tcBorders>
            <w:shd w:val="clear" w:color="auto" w:fill="auto"/>
          </w:tcPr>
          <w:p w14:paraId="0FFCCC0E" w14:textId="77777777" w:rsidR="002A4DDF" w:rsidRPr="00937C8B" w:rsidRDefault="002A4DDF" w:rsidP="009110ED">
            <w:pPr>
              <w:rPr>
                <w:rFonts w:ascii="Arial" w:hAnsi="Arial" w:cs="Arial"/>
                <w:sz w:val="12"/>
                <w:szCs w:val="12"/>
              </w:rPr>
            </w:pPr>
          </w:p>
        </w:tc>
        <w:tc>
          <w:tcPr>
            <w:tcW w:w="1843" w:type="dxa"/>
            <w:shd w:val="clear" w:color="auto" w:fill="auto"/>
          </w:tcPr>
          <w:p w14:paraId="702CE4AA" w14:textId="77777777" w:rsidR="002A4DDF" w:rsidRPr="00937C8B" w:rsidRDefault="002A4DDF" w:rsidP="009110ED">
            <w:pPr>
              <w:rPr>
                <w:rFonts w:ascii="Arial" w:hAnsi="Arial" w:cs="Arial"/>
                <w:sz w:val="12"/>
                <w:szCs w:val="12"/>
              </w:rPr>
            </w:pPr>
          </w:p>
        </w:tc>
        <w:tc>
          <w:tcPr>
            <w:tcW w:w="2268" w:type="dxa"/>
            <w:shd w:val="clear" w:color="auto" w:fill="F2F2F2"/>
            <w:hideMark/>
          </w:tcPr>
          <w:p w14:paraId="054D34B7" w14:textId="77777777" w:rsidR="002A4DDF" w:rsidRPr="00937C8B" w:rsidRDefault="002A4DDF" w:rsidP="009110ED">
            <w:pPr>
              <w:rPr>
                <w:rFonts w:ascii="Arial" w:hAnsi="Arial" w:cs="Arial"/>
                <w:sz w:val="12"/>
                <w:szCs w:val="12"/>
              </w:rPr>
            </w:pPr>
            <w:r>
              <w:rPr>
                <w:rFonts w:ascii="Arial" w:hAnsi="Arial"/>
                <w:sz w:val="12"/>
                <w:szCs w:val="12"/>
              </w:rPr>
              <w:t>Arcos de Jalón</w:t>
            </w:r>
          </w:p>
        </w:tc>
        <w:tc>
          <w:tcPr>
            <w:tcW w:w="2268" w:type="dxa"/>
            <w:tcBorders>
              <w:right w:val="single" w:sz="4" w:space="0" w:color="auto"/>
            </w:tcBorders>
            <w:shd w:val="clear" w:color="auto" w:fill="D9D9D9"/>
            <w:hideMark/>
          </w:tcPr>
          <w:p w14:paraId="7DEBF3C5" w14:textId="77777777" w:rsidR="002A4DDF" w:rsidRPr="00937C8B" w:rsidRDefault="002A4DDF" w:rsidP="009110ED">
            <w:pPr>
              <w:rPr>
                <w:rFonts w:ascii="Arial" w:hAnsi="Arial" w:cs="Arial"/>
                <w:sz w:val="12"/>
                <w:szCs w:val="12"/>
              </w:rPr>
            </w:pPr>
          </w:p>
        </w:tc>
      </w:tr>
      <w:tr w:rsidR="002A4DDF" w:rsidRPr="00937C8B" w14:paraId="391F088C" w14:textId="77777777" w:rsidTr="00935676">
        <w:trPr>
          <w:cantSplit/>
        </w:trPr>
        <w:tc>
          <w:tcPr>
            <w:tcW w:w="1696" w:type="dxa"/>
            <w:tcBorders>
              <w:left w:val="single" w:sz="4" w:space="0" w:color="auto"/>
            </w:tcBorders>
            <w:shd w:val="clear" w:color="auto" w:fill="auto"/>
          </w:tcPr>
          <w:p w14:paraId="24713101" w14:textId="77777777" w:rsidR="002A4DDF" w:rsidRPr="00937C8B" w:rsidRDefault="002A4DDF" w:rsidP="009110ED">
            <w:pPr>
              <w:rPr>
                <w:rFonts w:ascii="Arial" w:hAnsi="Arial" w:cs="Arial"/>
                <w:sz w:val="12"/>
                <w:szCs w:val="12"/>
              </w:rPr>
            </w:pPr>
          </w:p>
        </w:tc>
        <w:tc>
          <w:tcPr>
            <w:tcW w:w="1843" w:type="dxa"/>
            <w:shd w:val="clear" w:color="auto" w:fill="auto"/>
          </w:tcPr>
          <w:p w14:paraId="2571CB55" w14:textId="77777777" w:rsidR="002A4DDF" w:rsidRPr="00937C8B" w:rsidRDefault="002A4DDF" w:rsidP="009110ED">
            <w:pPr>
              <w:rPr>
                <w:rFonts w:ascii="Arial" w:hAnsi="Arial" w:cs="Arial"/>
                <w:sz w:val="12"/>
                <w:szCs w:val="12"/>
              </w:rPr>
            </w:pPr>
          </w:p>
        </w:tc>
        <w:tc>
          <w:tcPr>
            <w:tcW w:w="2268" w:type="dxa"/>
            <w:shd w:val="clear" w:color="auto" w:fill="F2F2F2"/>
            <w:hideMark/>
          </w:tcPr>
          <w:p w14:paraId="199238CC" w14:textId="77777777" w:rsidR="002A4DDF" w:rsidRPr="00937C8B" w:rsidRDefault="002A4DDF" w:rsidP="009110ED">
            <w:pPr>
              <w:rPr>
                <w:rFonts w:ascii="Arial" w:hAnsi="Arial" w:cs="Arial"/>
                <w:sz w:val="12"/>
                <w:szCs w:val="12"/>
              </w:rPr>
            </w:pPr>
            <w:r>
              <w:rPr>
                <w:rFonts w:ascii="Arial" w:hAnsi="Arial"/>
                <w:sz w:val="12"/>
                <w:szCs w:val="12"/>
              </w:rPr>
              <w:t>Arévalo de la Sierra</w:t>
            </w:r>
          </w:p>
        </w:tc>
        <w:tc>
          <w:tcPr>
            <w:tcW w:w="2268" w:type="dxa"/>
            <w:tcBorders>
              <w:right w:val="single" w:sz="4" w:space="0" w:color="auto"/>
            </w:tcBorders>
            <w:shd w:val="clear" w:color="auto" w:fill="D9D9D9"/>
            <w:hideMark/>
          </w:tcPr>
          <w:p w14:paraId="1999B770" w14:textId="77777777" w:rsidR="002A4DDF" w:rsidRPr="00937C8B" w:rsidRDefault="002A4DDF" w:rsidP="009110ED">
            <w:pPr>
              <w:rPr>
                <w:rFonts w:ascii="Arial" w:hAnsi="Arial" w:cs="Arial"/>
                <w:sz w:val="12"/>
                <w:szCs w:val="12"/>
              </w:rPr>
            </w:pPr>
          </w:p>
        </w:tc>
      </w:tr>
      <w:tr w:rsidR="002A4DDF" w:rsidRPr="00937C8B" w14:paraId="3008AB13" w14:textId="77777777" w:rsidTr="00935676">
        <w:trPr>
          <w:cantSplit/>
        </w:trPr>
        <w:tc>
          <w:tcPr>
            <w:tcW w:w="1696" w:type="dxa"/>
            <w:tcBorders>
              <w:left w:val="single" w:sz="4" w:space="0" w:color="auto"/>
            </w:tcBorders>
            <w:shd w:val="clear" w:color="auto" w:fill="auto"/>
          </w:tcPr>
          <w:p w14:paraId="7697B9EC" w14:textId="77777777" w:rsidR="002A4DDF" w:rsidRPr="00937C8B" w:rsidRDefault="002A4DDF" w:rsidP="009110ED">
            <w:pPr>
              <w:rPr>
                <w:rFonts w:ascii="Arial" w:hAnsi="Arial" w:cs="Arial"/>
                <w:sz w:val="12"/>
                <w:szCs w:val="12"/>
              </w:rPr>
            </w:pPr>
          </w:p>
        </w:tc>
        <w:tc>
          <w:tcPr>
            <w:tcW w:w="1843" w:type="dxa"/>
            <w:shd w:val="clear" w:color="auto" w:fill="auto"/>
          </w:tcPr>
          <w:p w14:paraId="35C4957C" w14:textId="77777777" w:rsidR="002A4DDF" w:rsidRPr="00937C8B" w:rsidRDefault="002A4DDF" w:rsidP="009110ED">
            <w:pPr>
              <w:rPr>
                <w:rFonts w:ascii="Arial" w:hAnsi="Arial" w:cs="Arial"/>
                <w:sz w:val="12"/>
                <w:szCs w:val="12"/>
              </w:rPr>
            </w:pPr>
          </w:p>
        </w:tc>
        <w:tc>
          <w:tcPr>
            <w:tcW w:w="2268" w:type="dxa"/>
            <w:shd w:val="clear" w:color="auto" w:fill="F2F2F2"/>
            <w:hideMark/>
          </w:tcPr>
          <w:p w14:paraId="51A78E89" w14:textId="77777777" w:rsidR="002A4DDF" w:rsidRPr="00937C8B" w:rsidRDefault="002A4DDF" w:rsidP="009110ED">
            <w:pPr>
              <w:rPr>
                <w:rFonts w:ascii="Arial" w:hAnsi="Arial" w:cs="Arial"/>
                <w:sz w:val="12"/>
                <w:szCs w:val="12"/>
              </w:rPr>
            </w:pPr>
            <w:r>
              <w:rPr>
                <w:rFonts w:ascii="Arial" w:hAnsi="Arial"/>
                <w:sz w:val="12"/>
                <w:szCs w:val="12"/>
              </w:rPr>
              <w:t>Ausejo de la Sierra</w:t>
            </w:r>
          </w:p>
        </w:tc>
        <w:tc>
          <w:tcPr>
            <w:tcW w:w="2268" w:type="dxa"/>
            <w:tcBorders>
              <w:right w:val="single" w:sz="4" w:space="0" w:color="auto"/>
            </w:tcBorders>
            <w:shd w:val="clear" w:color="auto" w:fill="D9D9D9"/>
            <w:hideMark/>
          </w:tcPr>
          <w:p w14:paraId="24140B77" w14:textId="77777777" w:rsidR="002A4DDF" w:rsidRPr="00937C8B" w:rsidRDefault="002A4DDF" w:rsidP="009110ED">
            <w:pPr>
              <w:rPr>
                <w:rFonts w:ascii="Arial" w:hAnsi="Arial" w:cs="Arial"/>
                <w:sz w:val="12"/>
                <w:szCs w:val="12"/>
              </w:rPr>
            </w:pPr>
          </w:p>
        </w:tc>
      </w:tr>
      <w:tr w:rsidR="002A4DDF" w:rsidRPr="00937C8B" w14:paraId="477BDF69" w14:textId="77777777" w:rsidTr="00935676">
        <w:trPr>
          <w:cantSplit/>
        </w:trPr>
        <w:tc>
          <w:tcPr>
            <w:tcW w:w="1696" w:type="dxa"/>
            <w:tcBorders>
              <w:left w:val="single" w:sz="4" w:space="0" w:color="auto"/>
            </w:tcBorders>
            <w:shd w:val="clear" w:color="auto" w:fill="auto"/>
          </w:tcPr>
          <w:p w14:paraId="5797BF62" w14:textId="77777777" w:rsidR="002A4DDF" w:rsidRPr="00937C8B" w:rsidRDefault="002A4DDF" w:rsidP="009110ED">
            <w:pPr>
              <w:rPr>
                <w:rFonts w:ascii="Arial" w:hAnsi="Arial" w:cs="Arial"/>
                <w:sz w:val="12"/>
                <w:szCs w:val="12"/>
              </w:rPr>
            </w:pPr>
          </w:p>
        </w:tc>
        <w:tc>
          <w:tcPr>
            <w:tcW w:w="1843" w:type="dxa"/>
            <w:shd w:val="clear" w:color="auto" w:fill="auto"/>
          </w:tcPr>
          <w:p w14:paraId="7395F761" w14:textId="77777777" w:rsidR="002A4DDF" w:rsidRPr="00937C8B" w:rsidRDefault="002A4DDF" w:rsidP="009110ED">
            <w:pPr>
              <w:rPr>
                <w:rFonts w:ascii="Arial" w:hAnsi="Arial" w:cs="Arial"/>
                <w:sz w:val="12"/>
                <w:szCs w:val="12"/>
              </w:rPr>
            </w:pPr>
          </w:p>
        </w:tc>
        <w:tc>
          <w:tcPr>
            <w:tcW w:w="2268" w:type="dxa"/>
            <w:shd w:val="clear" w:color="auto" w:fill="F2F2F2"/>
            <w:hideMark/>
          </w:tcPr>
          <w:p w14:paraId="5B4029D7" w14:textId="77777777" w:rsidR="002A4DDF" w:rsidRPr="00937C8B" w:rsidRDefault="002A4DDF" w:rsidP="009110ED">
            <w:pPr>
              <w:rPr>
                <w:rFonts w:ascii="Arial" w:hAnsi="Arial" w:cs="Arial"/>
                <w:sz w:val="12"/>
                <w:szCs w:val="12"/>
              </w:rPr>
            </w:pPr>
            <w:r>
              <w:rPr>
                <w:rFonts w:ascii="Arial" w:hAnsi="Arial"/>
                <w:sz w:val="12"/>
                <w:szCs w:val="12"/>
              </w:rPr>
              <w:t>Beratón</w:t>
            </w:r>
          </w:p>
        </w:tc>
        <w:tc>
          <w:tcPr>
            <w:tcW w:w="2268" w:type="dxa"/>
            <w:tcBorders>
              <w:right w:val="single" w:sz="4" w:space="0" w:color="auto"/>
            </w:tcBorders>
            <w:shd w:val="clear" w:color="auto" w:fill="D9D9D9"/>
            <w:hideMark/>
          </w:tcPr>
          <w:p w14:paraId="479202A2" w14:textId="77777777" w:rsidR="002A4DDF" w:rsidRPr="00937C8B" w:rsidRDefault="002A4DDF" w:rsidP="009110ED">
            <w:pPr>
              <w:rPr>
                <w:rFonts w:ascii="Arial" w:hAnsi="Arial" w:cs="Arial"/>
                <w:sz w:val="12"/>
                <w:szCs w:val="12"/>
              </w:rPr>
            </w:pPr>
          </w:p>
        </w:tc>
      </w:tr>
      <w:tr w:rsidR="002A4DDF" w:rsidRPr="00937C8B" w14:paraId="6617DDF9" w14:textId="77777777" w:rsidTr="00935676">
        <w:trPr>
          <w:cantSplit/>
        </w:trPr>
        <w:tc>
          <w:tcPr>
            <w:tcW w:w="1696" w:type="dxa"/>
            <w:tcBorders>
              <w:left w:val="single" w:sz="4" w:space="0" w:color="auto"/>
            </w:tcBorders>
            <w:shd w:val="clear" w:color="auto" w:fill="auto"/>
          </w:tcPr>
          <w:p w14:paraId="7636A1D2" w14:textId="77777777" w:rsidR="002A4DDF" w:rsidRPr="00937C8B" w:rsidRDefault="002A4DDF" w:rsidP="009110ED">
            <w:pPr>
              <w:rPr>
                <w:rFonts w:ascii="Arial" w:hAnsi="Arial" w:cs="Arial"/>
                <w:sz w:val="12"/>
                <w:szCs w:val="12"/>
              </w:rPr>
            </w:pPr>
          </w:p>
        </w:tc>
        <w:tc>
          <w:tcPr>
            <w:tcW w:w="1843" w:type="dxa"/>
            <w:shd w:val="clear" w:color="auto" w:fill="auto"/>
          </w:tcPr>
          <w:p w14:paraId="28EAFDF6" w14:textId="77777777" w:rsidR="002A4DDF" w:rsidRPr="00937C8B" w:rsidRDefault="002A4DDF" w:rsidP="009110ED">
            <w:pPr>
              <w:rPr>
                <w:rFonts w:ascii="Arial" w:hAnsi="Arial" w:cs="Arial"/>
                <w:sz w:val="12"/>
                <w:szCs w:val="12"/>
              </w:rPr>
            </w:pPr>
          </w:p>
        </w:tc>
        <w:tc>
          <w:tcPr>
            <w:tcW w:w="2268" w:type="dxa"/>
            <w:shd w:val="clear" w:color="auto" w:fill="F2F2F2"/>
            <w:hideMark/>
          </w:tcPr>
          <w:p w14:paraId="5A1D85D5" w14:textId="77777777" w:rsidR="002A4DDF" w:rsidRPr="00937C8B" w:rsidRDefault="002A4DDF" w:rsidP="009110ED">
            <w:pPr>
              <w:rPr>
                <w:rFonts w:ascii="Arial" w:hAnsi="Arial" w:cs="Arial"/>
                <w:sz w:val="12"/>
                <w:szCs w:val="12"/>
              </w:rPr>
            </w:pPr>
            <w:r>
              <w:rPr>
                <w:rFonts w:ascii="Arial" w:hAnsi="Arial"/>
                <w:sz w:val="12"/>
                <w:szCs w:val="12"/>
              </w:rPr>
              <w:t>Bliecos</w:t>
            </w:r>
          </w:p>
        </w:tc>
        <w:tc>
          <w:tcPr>
            <w:tcW w:w="2268" w:type="dxa"/>
            <w:tcBorders>
              <w:right w:val="single" w:sz="4" w:space="0" w:color="auto"/>
            </w:tcBorders>
            <w:shd w:val="clear" w:color="auto" w:fill="D9D9D9"/>
            <w:hideMark/>
          </w:tcPr>
          <w:p w14:paraId="39A41073" w14:textId="77777777" w:rsidR="002A4DDF" w:rsidRPr="00937C8B" w:rsidRDefault="002A4DDF" w:rsidP="009110ED">
            <w:pPr>
              <w:rPr>
                <w:rFonts w:ascii="Arial" w:hAnsi="Arial" w:cs="Arial"/>
                <w:sz w:val="12"/>
                <w:szCs w:val="12"/>
              </w:rPr>
            </w:pPr>
          </w:p>
        </w:tc>
      </w:tr>
      <w:tr w:rsidR="002A4DDF" w:rsidRPr="00937C8B" w14:paraId="44C0E7D2" w14:textId="77777777" w:rsidTr="00935676">
        <w:trPr>
          <w:cantSplit/>
        </w:trPr>
        <w:tc>
          <w:tcPr>
            <w:tcW w:w="1696" w:type="dxa"/>
            <w:tcBorders>
              <w:left w:val="single" w:sz="4" w:space="0" w:color="auto"/>
            </w:tcBorders>
            <w:shd w:val="clear" w:color="auto" w:fill="auto"/>
          </w:tcPr>
          <w:p w14:paraId="3CAB7D43" w14:textId="77777777" w:rsidR="002A4DDF" w:rsidRPr="00937C8B" w:rsidRDefault="002A4DDF" w:rsidP="009110ED">
            <w:pPr>
              <w:rPr>
                <w:rFonts w:ascii="Arial" w:hAnsi="Arial" w:cs="Arial"/>
                <w:sz w:val="12"/>
                <w:szCs w:val="12"/>
              </w:rPr>
            </w:pPr>
          </w:p>
        </w:tc>
        <w:tc>
          <w:tcPr>
            <w:tcW w:w="1843" w:type="dxa"/>
            <w:shd w:val="clear" w:color="auto" w:fill="auto"/>
          </w:tcPr>
          <w:p w14:paraId="19F14B15" w14:textId="77777777" w:rsidR="002A4DDF" w:rsidRPr="00937C8B" w:rsidRDefault="002A4DDF" w:rsidP="009110ED">
            <w:pPr>
              <w:rPr>
                <w:rFonts w:ascii="Arial" w:hAnsi="Arial" w:cs="Arial"/>
                <w:sz w:val="12"/>
                <w:szCs w:val="12"/>
              </w:rPr>
            </w:pPr>
          </w:p>
        </w:tc>
        <w:tc>
          <w:tcPr>
            <w:tcW w:w="2268" w:type="dxa"/>
            <w:shd w:val="clear" w:color="auto" w:fill="F2F2F2"/>
            <w:hideMark/>
          </w:tcPr>
          <w:p w14:paraId="58DA3301" w14:textId="77777777" w:rsidR="002A4DDF" w:rsidRPr="00937C8B" w:rsidRDefault="002A4DDF" w:rsidP="009110ED">
            <w:pPr>
              <w:rPr>
                <w:rFonts w:ascii="Arial" w:hAnsi="Arial" w:cs="Arial"/>
                <w:sz w:val="12"/>
                <w:szCs w:val="12"/>
              </w:rPr>
            </w:pPr>
            <w:r>
              <w:rPr>
                <w:rFonts w:ascii="Arial" w:hAnsi="Arial"/>
                <w:sz w:val="12"/>
                <w:szCs w:val="12"/>
              </w:rPr>
              <w:t>Borjabad</w:t>
            </w:r>
          </w:p>
        </w:tc>
        <w:tc>
          <w:tcPr>
            <w:tcW w:w="2268" w:type="dxa"/>
            <w:tcBorders>
              <w:right w:val="single" w:sz="4" w:space="0" w:color="auto"/>
            </w:tcBorders>
            <w:shd w:val="clear" w:color="auto" w:fill="D9D9D9"/>
            <w:hideMark/>
          </w:tcPr>
          <w:p w14:paraId="45E3870D" w14:textId="77777777" w:rsidR="002A4DDF" w:rsidRPr="00937C8B" w:rsidRDefault="002A4DDF" w:rsidP="009110ED">
            <w:pPr>
              <w:rPr>
                <w:rFonts w:ascii="Arial" w:hAnsi="Arial" w:cs="Arial"/>
                <w:sz w:val="12"/>
                <w:szCs w:val="12"/>
              </w:rPr>
            </w:pPr>
          </w:p>
        </w:tc>
      </w:tr>
      <w:tr w:rsidR="002A4DDF" w:rsidRPr="00937C8B" w14:paraId="14BFFC05" w14:textId="77777777" w:rsidTr="00935676">
        <w:trPr>
          <w:cantSplit/>
        </w:trPr>
        <w:tc>
          <w:tcPr>
            <w:tcW w:w="1696" w:type="dxa"/>
            <w:tcBorders>
              <w:left w:val="single" w:sz="4" w:space="0" w:color="auto"/>
            </w:tcBorders>
            <w:shd w:val="clear" w:color="auto" w:fill="auto"/>
          </w:tcPr>
          <w:p w14:paraId="378A44EC" w14:textId="77777777" w:rsidR="002A4DDF" w:rsidRPr="00937C8B" w:rsidRDefault="002A4DDF" w:rsidP="009110ED">
            <w:pPr>
              <w:rPr>
                <w:rFonts w:ascii="Arial" w:hAnsi="Arial" w:cs="Arial"/>
                <w:sz w:val="12"/>
                <w:szCs w:val="12"/>
              </w:rPr>
            </w:pPr>
          </w:p>
        </w:tc>
        <w:tc>
          <w:tcPr>
            <w:tcW w:w="1843" w:type="dxa"/>
            <w:shd w:val="clear" w:color="auto" w:fill="auto"/>
          </w:tcPr>
          <w:p w14:paraId="4E82DF36" w14:textId="77777777" w:rsidR="002A4DDF" w:rsidRPr="00937C8B" w:rsidRDefault="002A4DDF" w:rsidP="009110ED">
            <w:pPr>
              <w:rPr>
                <w:rFonts w:ascii="Arial" w:hAnsi="Arial" w:cs="Arial"/>
                <w:sz w:val="12"/>
                <w:szCs w:val="12"/>
              </w:rPr>
            </w:pPr>
          </w:p>
        </w:tc>
        <w:tc>
          <w:tcPr>
            <w:tcW w:w="2268" w:type="dxa"/>
            <w:shd w:val="clear" w:color="auto" w:fill="F2F2F2"/>
            <w:hideMark/>
          </w:tcPr>
          <w:p w14:paraId="0DB9ED6B" w14:textId="77777777" w:rsidR="002A4DDF" w:rsidRPr="00937C8B" w:rsidRDefault="002A4DDF" w:rsidP="009110ED">
            <w:pPr>
              <w:rPr>
                <w:rFonts w:ascii="Arial" w:hAnsi="Arial" w:cs="Arial"/>
                <w:sz w:val="12"/>
                <w:szCs w:val="12"/>
              </w:rPr>
            </w:pPr>
            <w:r>
              <w:rPr>
                <w:rFonts w:ascii="Arial" w:hAnsi="Arial"/>
                <w:sz w:val="12"/>
                <w:szCs w:val="12"/>
              </w:rPr>
              <w:t>Borobia</w:t>
            </w:r>
          </w:p>
        </w:tc>
        <w:tc>
          <w:tcPr>
            <w:tcW w:w="2268" w:type="dxa"/>
            <w:tcBorders>
              <w:right w:val="single" w:sz="4" w:space="0" w:color="auto"/>
            </w:tcBorders>
            <w:shd w:val="clear" w:color="auto" w:fill="D9D9D9"/>
            <w:hideMark/>
          </w:tcPr>
          <w:p w14:paraId="30D5CA55" w14:textId="77777777" w:rsidR="002A4DDF" w:rsidRPr="00937C8B" w:rsidRDefault="002A4DDF" w:rsidP="009110ED">
            <w:pPr>
              <w:rPr>
                <w:rFonts w:ascii="Arial" w:hAnsi="Arial" w:cs="Arial"/>
                <w:sz w:val="12"/>
                <w:szCs w:val="12"/>
              </w:rPr>
            </w:pPr>
          </w:p>
        </w:tc>
      </w:tr>
      <w:tr w:rsidR="002A4DDF" w:rsidRPr="00937C8B" w14:paraId="445FD73B" w14:textId="77777777" w:rsidTr="00935676">
        <w:trPr>
          <w:cantSplit/>
        </w:trPr>
        <w:tc>
          <w:tcPr>
            <w:tcW w:w="1696" w:type="dxa"/>
            <w:tcBorders>
              <w:left w:val="single" w:sz="4" w:space="0" w:color="auto"/>
            </w:tcBorders>
            <w:shd w:val="clear" w:color="auto" w:fill="auto"/>
          </w:tcPr>
          <w:p w14:paraId="2433F6D4" w14:textId="77777777" w:rsidR="002A4DDF" w:rsidRPr="00937C8B" w:rsidRDefault="002A4DDF" w:rsidP="009110ED">
            <w:pPr>
              <w:rPr>
                <w:rFonts w:ascii="Arial" w:hAnsi="Arial" w:cs="Arial"/>
                <w:sz w:val="12"/>
                <w:szCs w:val="12"/>
              </w:rPr>
            </w:pPr>
          </w:p>
        </w:tc>
        <w:tc>
          <w:tcPr>
            <w:tcW w:w="1843" w:type="dxa"/>
            <w:shd w:val="clear" w:color="auto" w:fill="auto"/>
          </w:tcPr>
          <w:p w14:paraId="7890E087" w14:textId="77777777" w:rsidR="002A4DDF" w:rsidRPr="00937C8B" w:rsidRDefault="002A4DDF" w:rsidP="009110ED">
            <w:pPr>
              <w:rPr>
                <w:rFonts w:ascii="Arial" w:hAnsi="Arial" w:cs="Arial"/>
                <w:sz w:val="12"/>
                <w:szCs w:val="12"/>
              </w:rPr>
            </w:pPr>
          </w:p>
        </w:tc>
        <w:tc>
          <w:tcPr>
            <w:tcW w:w="2268" w:type="dxa"/>
            <w:shd w:val="clear" w:color="auto" w:fill="F2F2F2"/>
            <w:hideMark/>
          </w:tcPr>
          <w:p w14:paraId="6902A01D" w14:textId="77777777" w:rsidR="002A4DDF" w:rsidRPr="00937C8B" w:rsidRDefault="002A4DDF" w:rsidP="009110ED">
            <w:pPr>
              <w:rPr>
                <w:rFonts w:ascii="Arial" w:hAnsi="Arial" w:cs="Arial"/>
                <w:sz w:val="12"/>
                <w:szCs w:val="12"/>
              </w:rPr>
            </w:pPr>
            <w:r>
              <w:rPr>
                <w:rFonts w:ascii="Arial" w:hAnsi="Arial"/>
                <w:sz w:val="12"/>
                <w:szCs w:val="12"/>
              </w:rPr>
              <w:t>Carrascosa de la Sierra</w:t>
            </w:r>
          </w:p>
        </w:tc>
        <w:tc>
          <w:tcPr>
            <w:tcW w:w="2268" w:type="dxa"/>
            <w:tcBorders>
              <w:right w:val="single" w:sz="4" w:space="0" w:color="auto"/>
            </w:tcBorders>
            <w:shd w:val="clear" w:color="auto" w:fill="D9D9D9"/>
            <w:hideMark/>
          </w:tcPr>
          <w:p w14:paraId="24C56928" w14:textId="77777777" w:rsidR="002A4DDF" w:rsidRPr="00937C8B" w:rsidRDefault="002A4DDF" w:rsidP="009110ED">
            <w:pPr>
              <w:rPr>
                <w:rFonts w:ascii="Arial" w:hAnsi="Arial" w:cs="Arial"/>
                <w:sz w:val="12"/>
                <w:szCs w:val="12"/>
              </w:rPr>
            </w:pPr>
          </w:p>
        </w:tc>
      </w:tr>
      <w:tr w:rsidR="002A4DDF" w:rsidRPr="00937C8B" w14:paraId="0A8A4294" w14:textId="77777777" w:rsidTr="00935676">
        <w:trPr>
          <w:cantSplit/>
        </w:trPr>
        <w:tc>
          <w:tcPr>
            <w:tcW w:w="1696" w:type="dxa"/>
            <w:tcBorders>
              <w:left w:val="single" w:sz="4" w:space="0" w:color="auto"/>
            </w:tcBorders>
            <w:shd w:val="clear" w:color="auto" w:fill="auto"/>
          </w:tcPr>
          <w:p w14:paraId="2BD0D903" w14:textId="77777777" w:rsidR="002A4DDF" w:rsidRPr="00937C8B" w:rsidRDefault="002A4DDF" w:rsidP="009110ED">
            <w:pPr>
              <w:rPr>
                <w:rFonts w:ascii="Arial" w:hAnsi="Arial" w:cs="Arial"/>
                <w:sz w:val="12"/>
                <w:szCs w:val="12"/>
              </w:rPr>
            </w:pPr>
          </w:p>
        </w:tc>
        <w:tc>
          <w:tcPr>
            <w:tcW w:w="1843" w:type="dxa"/>
            <w:shd w:val="clear" w:color="auto" w:fill="auto"/>
          </w:tcPr>
          <w:p w14:paraId="0622151F" w14:textId="77777777" w:rsidR="002A4DDF" w:rsidRPr="00937C8B" w:rsidRDefault="002A4DDF" w:rsidP="009110ED">
            <w:pPr>
              <w:rPr>
                <w:rFonts w:ascii="Arial" w:hAnsi="Arial" w:cs="Arial"/>
                <w:sz w:val="12"/>
                <w:szCs w:val="12"/>
              </w:rPr>
            </w:pPr>
          </w:p>
        </w:tc>
        <w:tc>
          <w:tcPr>
            <w:tcW w:w="2268" w:type="dxa"/>
            <w:shd w:val="clear" w:color="auto" w:fill="F2F2F2"/>
            <w:hideMark/>
          </w:tcPr>
          <w:p w14:paraId="6490EF3F" w14:textId="77777777" w:rsidR="002A4DDF" w:rsidRPr="00937C8B" w:rsidRDefault="002A4DDF" w:rsidP="009110ED">
            <w:pPr>
              <w:rPr>
                <w:rFonts w:ascii="Arial" w:hAnsi="Arial" w:cs="Arial"/>
                <w:sz w:val="12"/>
                <w:szCs w:val="12"/>
              </w:rPr>
            </w:pPr>
            <w:r>
              <w:rPr>
                <w:rFonts w:ascii="Arial" w:hAnsi="Arial"/>
                <w:sz w:val="12"/>
                <w:szCs w:val="12"/>
              </w:rPr>
              <w:t>Castilfrío de la Sierra</w:t>
            </w:r>
          </w:p>
        </w:tc>
        <w:tc>
          <w:tcPr>
            <w:tcW w:w="2268" w:type="dxa"/>
            <w:tcBorders>
              <w:right w:val="single" w:sz="4" w:space="0" w:color="auto"/>
            </w:tcBorders>
            <w:shd w:val="clear" w:color="auto" w:fill="D9D9D9"/>
            <w:hideMark/>
          </w:tcPr>
          <w:p w14:paraId="27372B71" w14:textId="77777777" w:rsidR="002A4DDF" w:rsidRPr="00937C8B" w:rsidRDefault="002A4DDF" w:rsidP="009110ED">
            <w:pPr>
              <w:rPr>
                <w:rFonts w:ascii="Arial" w:hAnsi="Arial" w:cs="Arial"/>
                <w:sz w:val="12"/>
                <w:szCs w:val="12"/>
              </w:rPr>
            </w:pPr>
          </w:p>
        </w:tc>
      </w:tr>
      <w:tr w:rsidR="002A4DDF" w:rsidRPr="00937C8B" w14:paraId="5C19D591" w14:textId="77777777" w:rsidTr="00935676">
        <w:trPr>
          <w:cantSplit/>
        </w:trPr>
        <w:tc>
          <w:tcPr>
            <w:tcW w:w="1696" w:type="dxa"/>
            <w:tcBorders>
              <w:left w:val="single" w:sz="4" w:space="0" w:color="auto"/>
            </w:tcBorders>
            <w:shd w:val="clear" w:color="auto" w:fill="auto"/>
          </w:tcPr>
          <w:p w14:paraId="7528E7E7" w14:textId="77777777" w:rsidR="002A4DDF" w:rsidRPr="00937C8B" w:rsidRDefault="002A4DDF" w:rsidP="009110ED">
            <w:pPr>
              <w:rPr>
                <w:rFonts w:ascii="Arial" w:hAnsi="Arial" w:cs="Arial"/>
                <w:sz w:val="12"/>
                <w:szCs w:val="12"/>
              </w:rPr>
            </w:pPr>
          </w:p>
        </w:tc>
        <w:tc>
          <w:tcPr>
            <w:tcW w:w="1843" w:type="dxa"/>
            <w:shd w:val="clear" w:color="auto" w:fill="auto"/>
          </w:tcPr>
          <w:p w14:paraId="3D557557" w14:textId="77777777" w:rsidR="002A4DDF" w:rsidRPr="00937C8B" w:rsidRDefault="002A4DDF" w:rsidP="009110ED">
            <w:pPr>
              <w:rPr>
                <w:rFonts w:ascii="Arial" w:hAnsi="Arial" w:cs="Arial"/>
                <w:sz w:val="12"/>
                <w:szCs w:val="12"/>
              </w:rPr>
            </w:pPr>
          </w:p>
        </w:tc>
        <w:tc>
          <w:tcPr>
            <w:tcW w:w="2268" w:type="dxa"/>
            <w:shd w:val="clear" w:color="auto" w:fill="F2F2F2"/>
            <w:hideMark/>
          </w:tcPr>
          <w:p w14:paraId="12835E27" w14:textId="77777777" w:rsidR="002A4DDF" w:rsidRPr="00937C8B" w:rsidRDefault="002A4DDF" w:rsidP="009110ED">
            <w:pPr>
              <w:rPr>
                <w:rFonts w:ascii="Arial" w:hAnsi="Arial" w:cs="Arial"/>
                <w:sz w:val="12"/>
                <w:szCs w:val="12"/>
              </w:rPr>
            </w:pPr>
            <w:r>
              <w:rPr>
                <w:rFonts w:ascii="Arial" w:hAnsi="Arial"/>
                <w:sz w:val="12"/>
                <w:szCs w:val="12"/>
              </w:rPr>
              <w:t>Cerbón</w:t>
            </w:r>
          </w:p>
        </w:tc>
        <w:tc>
          <w:tcPr>
            <w:tcW w:w="2268" w:type="dxa"/>
            <w:tcBorders>
              <w:right w:val="single" w:sz="4" w:space="0" w:color="auto"/>
            </w:tcBorders>
            <w:shd w:val="clear" w:color="auto" w:fill="D9D9D9"/>
            <w:hideMark/>
          </w:tcPr>
          <w:p w14:paraId="54BFC5F3" w14:textId="77777777" w:rsidR="002A4DDF" w:rsidRPr="00937C8B" w:rsidRDefault="002A4DDF" w:rsidP="009110ED">
            <w:pPr>
              <w:rPr>
                <w:rFonts w:ascii="Arial" w:hAnsi="Arial" w:cs="Arial"/>
                <w:sz w:val="12"/>
                <w:szCs w:val="12"/>
              </w:rPr>
            </w:pPr>
          </w:p>
        </w:tc>
      </w:tr>
      <w:tr w:rsidR="002A4DDF" w:rsidRPr="00937C8B" w14:paraId="4491DB4B" w14:textId="77777777" w:rsidTr="00935676">
        <w:trPr>
          <w:cantSplit/>
        </w:trPr>
        <w:tc>
          <w:tcPr>
            <w:tcW w:w="1696" w:type="dxa"/>
            <w:tcBorders>
              <w:left w:val="single" w:sz="4" w:space="0" w:color="auto"/>
            </w:tcBorders>
            <w:shd w:val="clear" w:color="auto" w:fill="auto"/>
          </w:tcPr>
          <w:p w14:paraId="6622F0CB" w14:textId="77777777" w:rsidR="002A4DDF" w:rsidRPr="00937C8B" w:rsidRDefault="002A4DDF" w:rsidP="009110ED">
            <w:pPr>
              <w:rPr>
                <w:rFonts w:ascii="Arial" w:hAnsi="Arial" w:cs="Arial"/>
                <w:sz w:val="12"/>
                <w:szCs w:val="12"/>
              </w:rPr>
            </w:pPr>
          </w:p>
        </w:tc>
        <w:tc>
          <w:tcPr>
            <w:tcW w:w="1843" w:type="dxa"/>
            <w:shd w:val="clear" w:color="auto" w:fill="auto"/>
          </w:tcPr>
          <w:p w14:paraId="657C82C5" w14:textId="77777777" w:rsidR="002A4DDF" w:rsidRPr="00937C8B" w:rsidRDefault="002A4DDF" w:rsidP="009110ED">
            <w:pPr>
              <w:rPr>
                <w:rFonts w:ascii="Arial" w:hAnsi="Arial" w:cs="Arial"/>
                <w:sz w:val="12"/>
                <w:szCs w:val="12"/>
              </w:rPr>
            </w:pPr>
          </w:p>
        </w:tc>
        <w:tc>
          <w:tcPr>
            <w:tcW w:w="2268" w:type="dxa"/>
            <w:shd w:val="clear" w:color="auto" w:fill="F2F2F2"/>
            <w:hideMark/>
          </w:tcPr>
          <w:p w14:paraId="74B1B666" w14:textId="77777777" w:rsidR="002A4DDF" w:rsidRPr="00937C8B" w:rsidRDefault="002A4DDF" w:rsidP="009110ED">
            <w:pPr>
              <w:rPr>
                <w:rFonts w:ascii="Arial" w:hAnsi="Arial" w:cs="Arial"/>
                <w:sz w:val="12"/>
                <w:szCs w:val="12"/>
              </w:rPr>
            </w:pPr>
            <w:r>
              <w:rPr>
                <w:rFonts w:ascii="Arial" w:hAnsi="Arial"/>
                <w:sz w:val="12"/>
                <w:szCs w:val="12"/>
              </w:rPr>
              <w:t>Cidones</w:t>
            </w:r>
          </w:p>
        </w:tc>
        <w:tc>
          <w:tcPr>
            <w:tcW w:w="2268" w:type="dxa"/>
            <w:tcBorders>
              <w:right w:val="single" w:sz="4" w:space="0" w:color="auto"/>
            </w:tcBorders>
            <w:shd w:val="clear" w:color="auto" w:fill="D9D9D9"/>
            <w:hideMark/>
          </w:tcPr>
          <w:p w14:paraId="60AF6A67" w14:textId="77777777" w:rsidR="002A4DDF" w:rsidRPr="00937C8B" w:rsidRDefault="002A4DDF" w:rsidP="009110ED">
            <w:pPr>
              <w:rPr>
                <w:rFonts w:ascii="Arial" w:hAnsi="Arial" w:cs="Arial"/>
                <w:sz w:val="12"/>
                <w:szCs w:val="12"/>
              </w:rPr>
            </w:pPr>
          </w:p>
        </w:tc>
      </w:tr>
      <w:tr w:rsidR="002A4DDF" w:rsidRPr="00937C8B" w14:paraId="57F746E6" w14:textId="77777777" w:rsidTr="00935676">
        <w:trPr>
          <w:cantSplit/>
        </w:trPr>
        <w:tc>
          <w:tcPr>
            <w:tcW w:w="1696" w:type="dxa"/>
            <w:tcBorders>
              <w:left w:val="single" w:sz="4" w:space="0" w:color="auto"/>
            </w:tcBorders>
            <w:shd w:val="clear" w:color="auto" w:fill="auto"/>
          </w:tcPr>
          <w:p w14:paraId="2A9698F9" w14:textId="77777777" w:rsidR="002A4DDF" w:rsidRPr="00937C8B" w:rsidRDefault="002A4DDF" w:rsidP="009110ED">
            <w:pPr>
              <w:rPr>
                <w:rFonts w:ascii="Arial" w:hAnsi="Arial" w:cs="Arial"/>
                <w:sz w:val="12"/>
                <w:szCs w:val="12"/>
              </w:rPr>
            </w:pPr>
          </w:p>
        </w:tc>
        <w:tc>
          <w:tcPr>
            <w:tcW w:w="1843" w:type="dxa"/>
            <w:shd w:val="clear" w:color="auto" w:fill="auto"/>
          </w:tcPr>
          <w:p w14:paraId="6E77624B" w14:textId="77777777" w:rsidR="002A4DDF" w:rsidRPr="00937C8B" w:rsidRDefault="002A4DDF" w:rsidP="009110ED">
            <w:pPr>
              <w:rPr>
                <w:rFonts w:ascii="Arial" w:hAnsi="Arial" w:cs="Arial"/>
                <w:sz w:val="12"/>
                <w:szCs w:val="12"/>
              </w:rPr>
            </w:pPr>
          </w:p>
        </w:tc>
        <w:tc>
          <w:tcPr>
            <w:tcW w:w="2268" w:type="dxa"/>
            <w:shd w:val="clear" w:color="auto" w:fill="F2F2F2"/>
            <w:hideMark/>
          </w:tcPr>
          <w:p w14:paraId="7502CF47" w14:textId="77777777" w:rsidR="002A4DDF" w:rsidRPr="00937C8B" w:rsidRDefault="002A4DDF" w:rsidP="009110ED">
            <w:pPr>
              <w:rPr>
                <w:rFonts w:ascii="Arial" w:hAnsi="Arial" w:cs="Arial"/>
                <w:sz w:val="12"/>
                <w:szCs w:val="12"/>
              </w:rPr>
            </w:pPr>
            <w:r>
              <w:rPr>
                <w:rFonts w:ascii="Arial" w:hAnsi="Arial"/>
                <w:sz w:val="12"/>
                <w:szCs w:val="12"/>
              </w:rPr>
              <w:t>Cihuela</w:t>
            </w:r>
          </w:p>
        </w:tc>
        <w:tc>
          <w:tcPr>
            <w:tcW w:w="2268" w:type="dxa"/>
            <w:tcBorders>
              <w:right w:val="single" w:sz="4" w:space="0" w:color="auto"/>
            </w:tcBorders>
            <w:shd w:val="clear" w:color="auto" w:fill="D9D9D9"/>
            <w:hideMark/>
          </w:tcPr>
          <w:p w14:paraId="07D6D6B3" w14:textId="77777777" w:rsidR="002A4DDF" w:rsidRPr="00937C8B" w:rsidRDefault="002A4DDF" w:rsidP="009110ED">
            <w:pPr>
              <w:rPr>
                <w:rFonts w:ascii="Arial" w:hAnsi="Arial" w:cs="Arial"/>
                <w:sz w:val="12"/>
                <w:szCs w:val="12"/>
              </w:rPr>
            </w:pPr>
          </w:p>
        </w:tc>
      </w:tr>
      <w:tr w:rsidR="002A4DDF" w:rsidRPr="00937C8B" w14:paraId="410B7970" w14:textId="77777777" w:rsidTr="00935676">
        <w:trPr>
          <w:cantSplit/>
        </w:trPr>
        <w:tc>
          <w:tcPr>
            <w:tcW w:w="1696" w:type="dxa"/>
            <w:tcBorders>
              <w:left w:val="single" w:sz="4" w:space="0" w:color="auto"/>
            </w:tcBorders>
            <w:shd w:val="clear" w:color="auto" w:fill="auto"/>
          </w:tcPr>
          <w:p w14:paraId="4467D666" w14:textId="77777777" w:rsidR="002A4DDF" w:rsidRPr="00937C8B" w:rsidRDefault="002A4DDF" w:rsidP="009110ED">
            <w:pPr>
              <w:rPr>
                <w:rFonts w:ascii="Arial" w:hAnsi="Arial" w:cs="Arial"/>
                <w:sz w:val="12"/>
                <w:szCs w:val="12"/>
              </w:rPr>
            </w:pPr>
          </w:p>
        </w:tc>
        <w:tc>
          <w:tcPr>
            <w:tcW w:w="1843" w:type="dxa"/>
            <w:shd w:val="clear" w:color="auto" w:fill="auto"/>
          </w:tcPr>
          <w:p w14:paraId="5E98CFA9" w14:textId="77777777" w:rsidR="002A4DDF" w:rsidRPr="00937C8B" w:rsidRDefault="002A4DDF" w:rsidP="009110ED">
            <w:pPr>
              <w:rPr>
                <w:rFonts w:ascii="Arial" w:hAnsi="Arial" w:cs="Arial"/>
                <w:sz w:val="12"/>
                <w:szCs w:val="12"/>
              </w:rPr>
            </w:pPr>
          </w:p>
        </w:tc>
        <w:tc>
          <w:tcPr>
            <w:tcW w:w="2268" w:type="dxa"/>
            <w:shd w:val="clear" w:color="auto" w:fill="F2F2F2"/>
            <w:hideMark/>
          </w:tcPr>
          <w:p w14:paraId="2763609C" w14:textId="77777777" w:rsidR="002A4DDF" w:rsidRPr="00937C8B" w:rsidRDefault="002A4DDF" w:rsidP="009110ED">
            <w:pPr>
              <w:rPr>
                <w:rFonts w:ascii="Arial" w:hAnsi="Arial" w:cs="Arial"/>
                <w:sz w:val="12"/>
                <w:szCs w:val="12"/>
              </w:rPr>
            </w:pPr>
            <w:r>
              <w:rPr>
                <w:rFonts w:ascii="Arial" w:hAnsi="Arial"/>
                <w:sz w:val="12"/>
                <w:szCs w:val="12"/>
              </w:rPr>
              <w:t>Cirujales del Río</w:t>
            </w:r>
          </w:p>
        </w:tc>
        <w:tc>
          <w:tcPr>
            <w:tcW w:w="2268" w:type="dxa"/>
            <w:tcBorders>
              <w:right w:val="single" w:sz="4" w:space="0" w:color="auto"/>
            </w:tcBorders>
            <w:shd w:val="clear" w:color="auto" w:fill="D9D9D9"/>
            <w:hideMark/>
          </w:tcPr>
          <w:p w14:paraId="2A7E0ED3" w14:textId="77777777" w:rsidR="002A4DDF" w:rsidRPr="00937C8B" w:rsidRDefault="002A4DDF" w:rsidP="009110ED">
            <w:pPr>
              <w:rPr>
                <w:rFonts w:ascii="Arial" w:hAnsi="Arial" w:cs="Arial"/>
                <w:sz w:val="12"/>
                <w:szCs w:val="12"/>
              </w:rPr>
            </w:pPr>
          </w:p>
        </w:tc>
      </w:tr>
      <w:tr w:rsidR="002A4DDF" w:rsidRPr="00937C8B" w14:paraId="7117F6F1" w14:textId="77777777" w:rsidTr="00935676">
        <w:trPr>
          <w:cantSplit/>
        </w:trPr>
        <w:tc>
          <w:tcPr>
            <w:tcW w:w="1696" w:type="dxa"/>
            <w:tcBorders>
              <w:left w:val="single" w:sz="4" w:space="0" w:color="auto"/>
            </w:tcBorders>
            <w:shd w:val="clear" w:color="auto" w:fill="auto"/>
          </w:tcPr>
          <w:p w14:paraId="703E8DC9" w14:textId="77777777" w:rsidR="002A4DDF" w:rsidRPr="00937C8B" w:rsidRDefault="002A4DDF" w:rsidP="009110ED">
            <w:pPr>
              <w:rPr>
                <w:rFonts w:ascii="Arial" w:hAnsi="Arial" w:cs="Arial"/>
                <w:sz w:val="12"/>
                <w:szCs w:val="12"/>
              </w:rPr>
            </w:pPr>
          </w:p>
        </w:tc>
        <w:tc>
          <w:tcPr>
            <w:tcW w:w="1843" w:type="dxa"/>
            <w:shd w:val="clear" w:color="auto" w:fill="auto"/>
          </w:tcPr>
          <w:p w14:paraId="2AD23887" w14:textId="77777777" w:rsidR="002A4DDF" w:rsidRPr="00937C8B" w:rsidRDefault="002A4DDF" w:rsidP="009110ED">
            <w:pPr>
              <w:rPr>
                <w:rFonts w:ascii="Arial" w:hAnsi="Arial" w:cs="Arial"/>
                <w:sz w:val="12"/>
                <w:szCs w:val="12"/>
              </w:rPr>
            </w:pPr>
          </w:p>
        </w:tc>
        <w:tc>
          <w:tcPr>
            <w:tcW w:w="2268" w:type="dxa"/>
            <w:shd w:val="clear" w:color="auto" w:fill="F2F2F2"/>
            <w:hideMark/>
          </w:tcPr>
          <w:p w14:paraId="5DCF6B15" w14:textId="77777777" w:rsidR="002A4DDF" w:rsidRPr="00937C8B" w:rsidRDefault="002A4DDF" w:rsidP="009110ED">
            <w:pPr>
              <w:rPr>
                <w:rFonts w:ascii="Arial" w:hAnsi="Arial" w:cs="Arial"/>
                <w:sz w:val="12"/>
                <w:szCs w:val="12"/>
              </w:rPr>
            </w:pPr>
            <w:r>
              <w:rPr>
                <w:rFonts w:ascii="Arial" w:hAnsi="Arial"/>
                <w:sz w:val="12"/>
                <w:szCs w:val="12"/>
              </w:rPr>
              <w:t>Coscurita</w:t>
            </w:r>
          </w:p>
        </w:tc>
        <w:tc>
          <w:tcPr>
            <w:tcW w:w="2268" w:type="dxa"/>
            <w:tcBorders>
              <w:right w:val="single" w:sz="4" w:space="0" w:color="auto"/>
            </w:tcBorders>
            <w:shd w:val="clear" w:color="auto" w:fill="D9D9D9"/>
            <w:hideMark/>
          </w:tcPr>
          <w:p w14:paraId="794BEEE0" w14:textId="77777777" w:rsidR="002A4DDF" w:rsidRPr="00937C8B" w:rsidRDefault="002A4DDF" w:rsidP="009110ED">
            <w:pPr>
              <w:rPr>
                <w:rFonts w:ascii="Arial" w:hAnsi="Arial" w:cs="Arial"/>
                <w:sz w:val="12"/>
                <w:szCs w:val="12"/>
              </w:rPr>
            </w:pPr>
          </w:p>
        </w:tc>
      </w:tr>
      <w:tr w:rsidR="002A4DDF" w:rsidRPr="00937C8B" w14:paraId="3202CB5D" w14:textId="77777777" w:rsidTr="00935676">
        <w:trPr>
          <w:cantSplit/>
        </w:trPr>
        <w:tc>
          <w:tcPr>
            <w:tcW w:w="1696" w:type="dxa"/>
            <w:tcBorders>
              <w:left w:val="single" w:sz="4" w:space="0" w:color="auto"/>
            </w:tcBorders>
            <w:shd w:val="clear" w:color="auto" w:fill="auto"/>
          </w:tcPr>
          <w:p w14:paraId="3F696739" w14:textId="77777777" w:rsidR="002A4DDF" w:rsidRPr="00937C8B" w:rsidRDefault="002A4DDF" w:rsidP="009110ED">
            <w:pPr>
              <w:rPr>
                <w:rFonts w:ascii="Arial" w:hAnsi="Arial" w:cs="Arial"/>
                <w:sz w:val="12"/>
                <w:szCs w:val="12"/>
              </w:rPr>
            </w:pPr>
          </w:p>
        </w:tc>
        <w:tc>
          <w:tcPr>
            <w:tcW w:w="1843" w:type="dxa"/>
            <w:shd w:val="clear" w:color="auto" w:fill="auto"/>
          </w:tcPr>
          <w:p w14:paraId="49A9D04C" w14:textId="77777777" w:rsidR="002A4DDF" w:rsidRPr="00937C8B" w:rsidRDefault="002A4DDF" w:rsidP="009110ED">
            <w:pPr>
              <w:rPr>
                <w:rFonts w:ascii="Arial" w:hAnsi="Arial" w:cs="Arial"/>
                <w:sz w:val="12"/>
                <w:szCs w:val="12"/>
              </w:rPr>
            </w:pPr>
          </w:p>
        </w:tc>
        <w:tc>
          <w:tcPr>
            <w:tcW w:w="2268" w:type="dxa"/>
            <w:shd w:val="clear" w:color="auto" w:fill="F2F2F2"/>
            <w:hideMark/>
          </w:tcPr>
          <w:p w14:paraId="12A8BE3E" w14:textId="77777777" w:rsidR="002A4DDF" w:rsidRPr="00937C8B" w:rsidRDefault="002A4DDF" w:rsidP="009110ED">
            <w:pPr>
              <w:rPr>
                <w:rFonts w:ascii="Arial" w:hAnsi="Arial" w:cs="Arial"/>
                <w:sz w:val="12"/>
                <w:szCs w:val="12"/>
              </w:rPr>
            </w:pPr>
            <w:r>
              <w:rPr>
                <w:rFonts w:ascii="Arial" w:hAnsi="Arial"/>
                <w:sz w:val="12"/>
                <w:szCs w:val="12"/>
              </w:rPr>
              <w:t>Cubo de la Solana</w:t>
            </w:r>
          </w:p>
        </w:tc>
        <w:tc>
          <w:tcPr>
            <w:tcW w:w="2268" w:type="dxa"/>
            <w:tcBorders>
              <w:right w:val="single" w:sz="4" w:space="0" w:color="auto"/>
            </w:tcBorders>
            <w:shd w:val="clear" w:color="auto" w:fill="D9D9D9"/>
            <w:hideMark/>
          </w:tcPr>
          <w:p w14:paraId="6E9700B3" w14:textId="77777777" w:rsidR="002A4DDF" w:rsidRPr="00937C8B" w:rsidRDefault="002A4DDF" w:rsidP="009110ED">
            <w:pPr>
              <w:rPr>
                <w:rFonts w:ascii="Arial" w:hAnsi="Arial" w:cs="Arial"/>
                <w:sz w:val="12"/>
                <w:szCs w:val="12"/>
              </w:rPr>
            </w:pPr>
          </w:p>
        </w:tc>
      </w:tr>
      <w:tr w:rsidR="002A4DDF" w:rsidRPr="00937C8B" w14:paraId="25831430" w14:textId="77777777" w:rsidTr="00935676">
        <w:trPr>
          <w:cantSplit/>
        </w:trPr>
        <w:tc>
          <w:tcPr>
            <w:tcW w:w="1696" w:type="dxa"/>
            <w:tcBorders>
              <w:left w:val="single" w:sz="4" w:space="0" w:color="auto"/>
            </w:tcBorders>
            <w:shd w:val="clear" w:color="auto" w:fill="auto"/>
          </w:tcPr>
          <w:p w14:paraId="30407DD6" w14:textId="77777777" w:rsidR="002A4DDF" w:rsidRPr="00937C8B" w:rsidRDefault="002A4DDF" w:rsidP="009110ED">
            <w:pPr>
              <w:rPr>
                <w:rFonts w:ascii="Arial" w:hAnsi="Arial" w:cs="Arial"/>
                <w:sz w:val="12"/>
                <w:szCs w:val="12"/>
              </w:rPr>
            </w:pPr>
          </w:p>
        </w:tc>
        <w:tc>
          <w:tcPr>
            <w:tcW w:w="1843" w:type="dxa"/>
            <w:shd w:val="clear" w:color="auto" w:fill="auto"/>
          </w:tcPr>
          <w:p w14:paraId="3528466C" w14:textId="77777777" w:rsidR="002A4DDF" w:rsidRPr="00937C8B" w:rsidRDefault="002A4DDF" w:rsidP="009110ED">
            <w:pPr>
              <w:rPr>
                <w:rFonts w:ascii="Arial" w:hAnsi="Arial" w:cs="Arial"/>
                <w:sz w:val="12"/>
                <w:szCs w:val="12"/>
              </w:rPr>
            </w:pPr>
          </w:p>
        </w:tc>
        <w:tc>
          <w:tcPr>
            <w:tcW w:w="2268" w:type="dxa"/>
            <w:shd w:val="clear" w:color="auto" w:fill="F2F2F2"/>
            <w:hideMark/>
          </w:tcPr>
          <w:p w14:paraId="6522623E" w14:textId="77777777" w:rsidR="002A4DDF" w:rsidRPr="00937C8B" w:rsidRDefault="002A4DDF" w:rsidP="009110ED">
            <w:pPr>
              <w:rPr>
                <w:rFonts w:ascii="Arial" w:hAnsi="Arial" w:cs="Arial"/>
                <w:sz w:val="12"/>
                <w:szCs w:val="12"/>
              </w:rPr>
            </w:pPr>
            <w:r>
              <w:rPr>
                <w:rFonts w:ascii="Arial" w:hAnsi="Arial"/>
                <w:sz w:val="12"/>
                <w:szCs w:val="12"/>
              </w:rPr>
              <w:t>Cueva de Ágreda</w:t>
            </w:r>
          </w:p>
        </w:tc>
        <w:tc>
          <w:tcPr>
            <w:tcW w:w="2268" w:type="dxa"/>
            <w:tcBorders>
              <w:right w:val="single" w:sz="4" w:space="0" w:color="auto"/>
            </w:tcBorders>
            <w:shd w:val="clear" w:color="auto" w:fill="D9D9D9"/>
            <w:hideMark/>
          </w:tcPr>
          <w:p w14:paraId="731FC986" w14:textId="77777777" w:rsidR="002A4DDF" w:rsidRPr="00937C8B" w:rsidRDefault="002A4DDF" w:rsidP="009110ED">
            <w:pPr>
              <w:rPr>
                <w:rFonts w:ascii="Arial" w:hAnsi="Arial" w:cs="Arial"/>
                <w:sz w:val="12"/>
                <w:szCs w:val="12"/>
              </w:rPr>
            </w:pPr>
          </w:p>
        </w:tc>
      </w:tr>
      <w:tr w:rsidR="002A4DDF" w:rsidRPr="00937C8B" w14:paraId="609DDDB6" w14:textId="77777777" w:rsidTr="00935676">
        <w:trPr>
          <w:cantSplit/>
        </w:trPr>
        <w:tc>
          <w:tcPr>
            <w:tcW w:w="1696" w:type="dxa"/>
            <w:tcBorders>
              <w:left w:val="single" w:sz="4" w:space="0" w:color="auto"/>
            </w:tcBorders>
            <w:shd w:val="clear" w:color="auto" w:fill="auto"/>
          </w:tcPr>
          <w:p w14:paraId="30AA4EAE" w14:textId="77777777" w:rsidR="002A4DDF" w:rsidRPr="00937C8B" w:rsidRDefault="002A4DDF" w:rsidP="009110ED">
            <w:pPr>
              <w:rPr>
                <w:rFonts w:ascii="Arial" w:hAnsi="Arial" w:cs="Arial"/>
                <w:sz w:val="12"/>
                <w:szCs w:val="12"/>
              </w:rPr>
            </w:pPr>
          </w:p>
        </w:tc>
        <w:tc>
          <w:tcPr>
            <w:tcW w:w="1843" w:type="dxa"/>
            <w:shd w:val="clear" w:color="auto" w:fill="auto"/>
          </w:tcPr>
          <w:p w14:paraId="10992981" w14:textId="77777777" w:rsidR="002A4DDF" w:rsidRPr="00937C8B" w:rsidRDefault="002A4DDF" w:rsidP="009110ED">
            <w:pPr>
              <w:rPr>
                <w:rFonts w:ascii="Arial" w:hAnsi="Arial" w:cs="Arial"/>
                <w:sz w:val="12"/>
                <w:szCs w:val="12"/>
              </w:rPr>
            </w:pPr>
          </w:p>
        </w:tc>
        <w:tc>
          <w:tcPr>
            <w:tcW w:w="2268" w:type="dxa"/>
            <w:shd w:val="clear" w:color="auto" w:fill="F2F2F2"/>
            <w:hideMark/>
          </w:tcPr>
          <w:p w14:paraId="5ED9E77E" w14:textId="77777777" w:rsidR="002A4DDF" w:rsidRPr="00937C8B" w:rsidRDefault="002A4DDF" w:rsidP="009110ED">
            <w:pPr>
              <w:rPr>
                <w:rFonts w:ascii="Arial" w:hAnsi="Arial" w:cs="Arial"/>
                <w:sz w:val="12"/>
                <w:szCs w:val="12"/>
              </w:rPr>
            </w:pPr>
            <w:r>
              <w:rPr>
                <w:rFonts w:ascii="Arial" w:hAnsi="Arial"/>
                <w:sz w:val="12"/>
                <w:szCs w:val="12"/>
              </w:rPr>
              <w:t>Deza</w:t>
            </w:r>
          </w:p>
        </w:tc>
        <w:tc>
          <w:tcPr>
            <w:tcW w:w="2268" w:type="dxa"/>
            <w:tcBorders>
              <w:right w:val="single" w:sz="4" w:space="0" w:color="auto"/>
            </w:tcBorders>
            <w:shd w:val="clear" w:color="auto" w:fill="D9D9D9"/>
            <w:hideMark/>
          </w:tcPr>
          <w:p w14:paraId="6892BE5D" w14:textId="77777777" w:rsidR="002A4DDF" w:rsidRPr="00937C8B" w:rsidRDefault="002A4DDF" w:rsidP="009110ED">
            <w:pPr>
              <w:rPr>
                <w:rFonts w:ascii="Arial" w:hAnsi="Arial" w:cs="Arial"/>
                <w:sz w:val="12"/>
                <w:szCs w:val="12"/>
              </w:rPr>
            </w:pPr>
          </w:p>
        </w:tc>
      </w:tr>
      <w:tr w:rsidR="002A4DDF" w:rsidRPr="00937C8B" w14:paraId="1DC7CE8B" w14:textId="77777777" w:rsidTr="00935676">
        <w:trPr>
          <w:cantSplit/>
        </w:trPr>
        <w:tc>
          <w:tcPr>
            <w:tcW w:w="1696" w:type="dxa"/>
            <w:tcBorders>
              <w:left w:val="single" w:sz="4" w:space="0" w:color="auto"/>
            </w:tcBorders>
            <w:shd w:val="clear" w:color="auto" w:fill="auto"/>
          </w:tcPr>
          <w:p w14:paraId="234F667C" w14:textId="77777777" w:rsidR="002A4DDF" w:rsidRPr="00937C8B" w:rsidRDefault="002A4DDF" w:rsidP="009110ED">
            <w:pPr>
              <w:rPr>
                <w:rFonts w:ascii="Arial" w:hAnsi="Arial" w:cs="Arial"/>
                <w:sz w:val="12"/>
                <w:szCs w:val="12"/>
              </w:rPr>
            </w:pPr>
          </w:p>
        </w:tc>
        <w:tc>
          <w:tcPr>
            <w:tcW w:w="1843" w:type="dxa"/>
            <w:shd w:val="clear" w:color="auto" w:fill="auto"/>
          </w:tcPr>
          <w:p w14:paraId="381B74F2" w14:textId="77777777" w:rsidR="002A4DDF" w:rsidRPr="00937C8B" w:rsidRDefault="002A4DDF" w:rsidP="009110ED">
            <w:pPr>
              <w:rPr>
                <w:rFonts w:ascii="Arial" w:hAnsi="Arial" w:cs="Arial"/>
                <w:sz w:val="12"/>
                <w:szCs w:val="12"/>
              </w:rPr>
            </w:pPr>
          </w:p>
        </w:tc>
        <w:tc>
          <w:tcPr>
            <w:tcW w:w="2268" w:type="dxa"/>
            <w:shd w:val="clear" w:color="auto" w:fill="F2F2F2"/>
            <w:hideMark/>
          </w:tcPr>
          <w:p w14:paraId="10622FD9" w14:textId="77777777" w:rsidR="002A4DDF" w:rsidRPr="00937C8B" w:rsidRDefault="002A4DDF" w:rsidP="009110ED">
            <w:pPr>
              <w:rPr>
                <w:rFonts w:ascii="Arial" w:hAnsi="Arial" w:cs="Arial"/>
                <w:sz w:val="12"/>
                <w:szCs w:val="12"/>
              </w:rPr>
            </w:pPr>
            <w:r>
              <w:rPr>
                <w:rFonts w:ascii="Arial" w:hAnsi="Arial"/>
                <w:sz w:val="12"/>
                <w:szCs w:val="12"/>
              </w:rPr>
              <w:t>Escobosa de Almazán</w:t>
            </w:r>
          </w:p>
        </w:tc>
        <w:tc>
          <w:tcPr>
            <w:tcW w:w="2268" w:type="dxa"/>
            <w:tcBorders>
              <w:right w:val="single" w:sz="4" w:space="0" w:color="auto"/>
            </w:tcBorders>
            <w:shd w:val="clear" w:color="auto" w:fill="D9D9D9"/>
            <w:hideMark/>
          </w:tcPr>
          <w:p w14:paraId="21D259B2" w14:textId="77777777" w:rsidR="002A4DDF" w:rsidRPr="00937C8B" w:rsidRDefault="002A4DDF" w:rsidP="009110ED">
            <w:pPr>
              <w:rPr>
                <w:rFonts w:ascii="Arial" w:hAnsi="Arial" w:cs="Arial"/>
                <w:sz w:val="12"/>
                <w:szCs w:val="12"/>
              </w:rPr>
            </w:pPr>
          </w:p>
        </w:tc>
      </w:tr>
      <w:tr w:rsidR="002A4DDF" w:rsidRPr="00937C8B" w14:paraId="3A27B09E" w14:textId="77777777" w:rsidTr="00935676">
        <w:trPr>
          <w:cantSplit/>
        </w:trPr>
        <w:tc>
          <w:tcPr>
            <w:tcW w:w="1696" w:type="dxa"/>
            <w:tcBorders>
              <w:left w:val="single" w:sz="4" w:space="0" w:color="auto"/>
            </w:tcBorders>
            <w:shd w:val="clear" w:color="auto" w:fill="auto"/>
          </w:tcPr>
          <w:p w14:paraId="154B6BE9" w14:textId="77777777" w:rsidR="002A4DDF" w:rsidRPr="00937C8B" w:rsidRDefault="002A4DDF" w:rsidP="009110ED">
            <w:pPr>
              <w:rPr>
                <w:rFonts w:ascii="Arial" w:hAnsi="Arial" w:cs="Arial"/>
                <w:sz w:val="12"/>
                <w:szCs w:val="12"/>
              </w:rPr>
            </w:pPr>
          </w:p>
        </w:tc>
        <w:tc>
          <w:tcPr>
            <w:tcW w:w="1843" w:type="dxa"/>
            <w:shd w:val="clear" w:color="auto" w:fill="auto"/>
          </w:tcPr>
          <w:p w14:paraId="09779314" w14:textId="77777777" w:rsidR="002A4DDF" w:rsidRPr="00937C8B" w:rsidRDefault="002A4DDF" w:rsidP="009110ED">
            <w:pPr>
              <w:rPr>
                <w:rFonts w:ascii="Arial" w:hAnsi="Arial" w:cs="Arial"/>
                <w:sz w:val="12"/>
                <w:szCs w:val="12"/>
              </w:rPr>
            </w:pPr>
          </w:p>
        </w:tc>
        <w:tc>
          <w:tcPr>
            <w:tcW w:w="2268" w:type="dxa"/>
            <w:shd w:val="clear" w:color="auto" w:fill="F2F2F2"/>
            <w:hideMark/>
          </w:tcPr>
          <w:p w14:paraId="4B521A0A" w14:textId="77777777" w:rsidR="002A4DDF" w:rsidRPr="00937C8B" w:rsidRDefault="002A4DDF" w:rsidP="009110ED">
            <w:pPr>
              <w:rPr>
                <w:rFonts w:ascii="Arial" w:hAnsi="Arial" w:cs="Arial"/>
                <w:sz w:val="12"/>
                <w:szCs w:val="12"/>
              </w:rPr>
            </w:pPr>
            <w:r>
              <w:rPr>
                <w:rFonts w:ascii="Arial" w:hAnsi="Arial"/>
                <w:sz w:val="12"/>
                <w:szCs w:val="12"/>
              </w:rPr>
              <w:t>Estepa de San Juan</w:t>
            </w:r>
          </w:p>
        </w:tc>
        <w:tc>
          <w:tcPr>
            <w:tcW w:w="2268" w:type="dxa"/>
            <w:tcBorders>
              <w:right w:val="single" w:sz="4" w:space="0" w:color="auto"/>
            </w:tcBorders>
            <w:shd w:val="clear" w:color="auto" w:fill="D9D9D9"/>
            <w:hideMark/>
          </w:tcPr>
          <w:p w14:paraId="27BDDF2E" w14:textId="77777777" w:rsidR="002A4DDF" w:rsidRPr="00937C8B" w:rsidRDefault="002A4DDF" w:rsidP="009110ED">
            <w:pPr>
              <w:rPr>
                <w:rFonts w:ascii="Arial" w:hAnsi="Arial" w:cs="Arial"/>
                <w:sz w:val="12"/>
                <w:szCs w:val="12"/>
              </w:rPr>
            </w:pPr>
          </w:p>
        </w:tc>
      </w:tr>
      <w:tr w:rsidR="002A4DDF" w:rsidRPr="00937C8B" w14:paraId="56DC9FAF" w14:textId="77777777" w:rsidTr="00935676">
        <w:trPr>
          <w:cantSplit/>
        </w:trPr>
        <w:tc>
          <w:tcPr>
            <w:tcW w:w="1696" w:type="dxa"/>
            <w:tcBorders>
              <w:left w:val="single" w:sz="4" w:space="0" w:color="auto"/>
            </w:tcBorders>
            <w:shd w:val="clear" w:color="auto" w:fill="auto"/>
          </w:tcPr>
          <w:p w14:paraId="1FAF6D20" w14:textId="77777777" w:rsidR="002A4DDF" w:rsidRPr="00937C8B" w:rsidRDefault="002A4DDF" w:rsidP="009110ED">
            <w:pPr>
              <w:rPr>
                <w:rFonts w:ascii="Arial" w:hAnsi="Arial" w:cs="Arial"/>
                <w:sz w:val="12"/>
                <w:szCs w:val="12"/>
              </w:rPr>
            </w:pPr>
          </w:p>
        </w:tc>
        <w:tc>
          <w:tcPr>
            <w:tcW w:w="1843" w:type="dxa"/>
            <w:shd w:val="clear" w:color="auto" w:fill="auto"/>
          </w:tcPr>
          <w:p w14:paraId="27FA224B" w14:textId="77777777" w:rsidR="002A4DDF" w:rsidRPr="00937C8B" w:rsidRDefault="002A4DDF" w:rsidP="009110ED">
            <w:pPr>
              <w:rPr>
                <w:rFonts w:ascii="Arial" w:hAnsi="Arial" w:cs="Arial"/>
                <w:sz w:val="12"/>
                <w:szCs w:val="12"/>
              </w:rPr>
            </w:pPr>
          </w:p>
        </w:tc>
        <w:tc>
          <w:tcPr>
            <w:tcW w:w="2268" w:type="dxa"/>
            <w:shd w:val="clear" w:color="auto" w:fill="F2F2F2"/>
            <w:hideMark/>
          </w:tcPr>
          <w:p w14:paraId="42025D87" w14:textId="77777777" w:rsidR="002A4DDF" w:rsidRPr="00937C8B" w:rsidRDefault="002A4DDF" w:rsidP="009110ED">
            <w:pPr>
              <w:rPr>
                <w:rFonts w:ascii="Arial" w:hAnsi="Arial" w:cs="Arial"/>
                <w:sz w:val="12"/>
                <w:szCs w:val="12"/>
              </w:rPr>
            </w:pPr>
            <w:r>
              <w:rPr>
                <w:rFonts w:ascii="Arial" w:hAnsi="Arial"/>
                <w:sz w:val="12"/>
                <w:szCs w:val="12"/>
              </w:rPr>
              <w:t>Frechilla de Almazán</w:t>
            </w:r>
          </w:p>
        </w:tc>
        <w:tc>
          <w:tcPr>
            <w:tcW w:w="2268" w:type="dxa"/>
            <w:tcBorders>
              <w:right w:val="single" w:sz="4" w:space="0" w:color="auto"/>
            </w:tcBorders>
            <w:shd w:val="clear" w:color="auto" w:fill="D9D9D9"/>
            <w:hideMark/>
          </w:tcPr>
          <w:p w14:paraId="6FCAEC6A" w14:textId="77777777" w:rsidR="002A4DDF" w:rsidRPr="00937C8B" w:rsidRDefault="002A4DDF" w:rsidP="009110ED">
            <w:pPr>
              <w:rPr>
                <w:rFonts w:ascii="Arial" w:hAnsi="Arial" w:cs="Arial"/>
                <w:sz w:val="12"/>
                <w:szCs w:val="12"/>
              </w:rPr>
            </w:pPr>
          </w:p>
        </w:tc>
      </w:tr>
      <w:tr w:rsidR="002A4DDF" w:rsidRPr="00937C8B" w14:paraId="0F10D128" w14:textId="77777777" w:rsidTr="00935676">
        <w:trPr>
          <w:cantSplit/>
        </w:trPr>
        <w:tc>
          <w:tcPr>
            <w:tcW w:w="1696" w:type="dxa"/>
            <w:tcBorders>
              <w:left w:val="single" w:sz="4" w:space="0" w:color="auto"/>
            </w:tcBorders>
            <w:shd w:val="clear" w:color="auto" w:fill="auto"/>
          </w:tcPr>
          <w:p w14:paraId="68E6DC1B" w14:textId="77777777" w:rsidR="002A4DDF" w:rsidRPr="00937C8B" w:rsidRDefault="002A4DDF" w:rsidP="009110ED">
            <w:pPr>
              <w:rPr>
                <w:rFonts w:ascii="Arial" w:hAnsi="Arial" w:cs="Arial"/>
                <w:sz w:val="12"/>
                <w:szCs w:val="12"/>
              </w:rPr>
            </w:pPr>
          </w:p>
        </w:tc>
        <w:tc>
          <w:tcPr>
            <w:tcW w:w="1843" w:type="dxa"/>
            <w:shd w:val="clear" w:color="auto" w:fill="auto"/>
          </w:tcPr>
          <w:p w14:paraId="7B96E859" w14:textId="77777777" w:rsidR="002A4DDF" w:rsidRPr="00937C8B" w:rsidRDefault="002A4DDF" w:rsidP="009110ED">
            <w:pPr>
              <w:rPr>
                <w:rFonts w:ascii="Arial" w:hAnsi="Arial" w:cs="Arial"/>
                <w:sz w:val="12"/>
                <w:szCs w:val="12"/>
              </w:rPr>
            </w:pPr>
          </w:p>
        </w:tc>
        <w:tc>
          <w:tcPr>
            <w:tcW w:w="2268" w:type="dxa"/>
            <w:shd w:val="clear" w:color="auto" w:fill="F2F2F2"/>
            <w:hideMark/>
          </w:tcPr>
          <w:p w14:paraId="675C97CA" w14:textId="77777777" w:rsidR="002A4DDF" w:rsidRPr="00937C8B" w:rsidRDefault="002A4DDF" w:rsidP="009110ED">
            <w:pPr>
              <w:rPr>
                <w:rFonts w:ascii="Arial" w:hAnsi="Arial" w:cs="Arial"/>
                <w:sz w:val="12"/>
                <w:szCs w:val="12"/>
              </w:rPr>
            </w:pPr>
            <w:r>
              <w:rPr>
                <w:rFonts w:ascii="Arial" w:hAnsi="Arial"/>
                <w:sz w:val="12"/>
                <w:szCs w:val="12"/>
              </w:rPr>
              <w:t>Fuentearmegil</w:t>
            </w:r>
          </w:p>
        </w:tc>
        <w:tc>
          <w:tcPr>
            <w:tcW w:w="2268" w:type="dxa"/>
            <w:tcBorders>
              <w:right w:val="single" w:sz="4" w:space="0" w:color="auto"/>
            </w:tcBorders>
            <w:shd w:val="clear" w:color="auto" w:fill="D9D9D9"/>
            <w:hideMark/>
          </w:tcPr>
          <w:p w14:paraId="66380B27" w14:textId="77777777" w:rsidR="002A4DDF" w:rsidRPr="00937C8B" w:rsidRDefault="002A4DDF" w:rsidP="009110ED">
            <w:pPr>
              <w:rPr>
                <w:rFonts w:ascii="Arial" w:hAnsi="Arial" w:cs="Arial"/>
                <w:sz w:val="12"/>
                <w:szCs w:val="12"/>
              </w:rPr>
            </w:pPr>
          </w:p>
        </w:tc>
      </w:tr>
      <w:tr w:rsidR="002A4DDF" w:rsidRPr="00937C8B" w14:paraId="36876AB8" w14:textId="77777777" w:rsidTr="00935676">
        <w:trPr>
          <w:cantSplit/>
        </w:trPr>
        <w:tc>
          <w:tcPr>
            <w:tcW w:w="1696" w:type="dxa"/>
            <w:tcBorders>
              <w:left w:val="single" w:sz="4" w:space="0" w:color="auto"/>
            </w:tcBorders>
            <w:shd w:val="clear" w:color="auto" w:fill="auto"/>
          </w:tcPr>
          <w:p w14:paraId="133493EC" w14:textId="77777777" w:rsidR="002A4DDF" w:rsidRPr="00937C8B" w:rsidRDefault="002A4DDF" w:rsidP="009110ED">
            <w:pPr>
              <w:rPr>
                <w:rFonts w:ascii="Arial" w:hAnsi="Arial" w:cs="Arial"/>
                <w:sz w:val="12"/>
                <w:szCs w:val="12"/>
              </w:rPr>
            </w:pPr>
          </w:p>
        </w:tc>
        <w:tc>
          <w:tcPr>
            <w:tcW w:w="1843" w:type="dxa"/>
            <w:shd w:val="clear" w:color="auto" w:fill="auto"/>
          </w:tcPr>
          <w:p w14:paraId="631B7489" w14:textId="77777777" w:rsidR="002A4DDF" w:rsidRPr="00937C8B" w:rsidRDefault="002A4DDF" w:rsidP="009110ED">
            <w:pPr>
              <w:rPr>
                <w:rFonts w:ascii="Arial" w:hAnsi="Arial" w:cs="Arial"/>
                <w:sz w:val="12"/>
                <w:szCs w:val="12"/>
              </w:rPr>
            </w:pPr>
          </w:p>
        </w:tc>
        <w:tc>
          <w:tcPr>
            <w:tcW w:w="2268" w:type="dxa"/>
            <w:shd w:val="clear" w:color="auto" w:fill="F2F2F2"/>
            <w:hideMark/>
          </w:tcPr>
          <w:p w14:paraId="2F52A7A1" w14:textId="77777777" w:rsidR="002A4DDF" w:rsidRPr="00937C8B" w:rsidRDefault="002A4DDF" w:rsidP="009110ED">
            <w:pPr>
              <w:rPr>
                <w:rFonts w:ascii="Arial" w:hAnsi="Arial" w:cs="Arial"/>
                <w:sz w:val="12"/>
                <w:szCs w:val="12"/>
              </w:rPr>
            </w:pPr>
            <w:r>
              <w:rPr>
                <w:rFonts w:ascii="Arial" w:hAnsi="Arial"/>
                <w:sz w:val="12"/>
                <w:szCs w:val="12"/>
              </w:rPr>
              <w:t>Fuentes de Magaña</w:t>
            </w:r>
          </w:p>
        </w:tc>
        <w:tc>
          <w:tcPr>
            <w:tcW w:w="2268" w:type="dxa"/>
            <w:tcBorders>
              <w:right w:val="single" w:sz="4" w:space="0" w:color="auto"/>
            </w:tcBorders>
            <w:shd w:val="clear" w:color="auto" w:fill="D9D9D9"/>
            <w:hideMark/>
          </w:tcPr>
          <w:p w14:paraId="10F588A2" w14:textId="77777777" w:rsidR="002A4DDF" w:rsidRPr="00937C8B" w:rsidRDefault="002A4DDF" w:rsidP="009110ED">
            <w:pPr>
              <w:rPr>
                <w:rFonts w:ascii="Arial" w:hAnsi="Arial" w:cs="Arial"/>
                <w:sz w:val="12"/>
                <w:szCs w:val="12"/>
              </w:rPr>
            </w:pPr>
          </w:p>
        </w:tc>
      </w:tr>
      <w:tr w:rsidR="002A4DDF" w:rsidRPr="00937C8B" w14:paraId="1ABCF24B" w14:textId="77777777" w:rsidTr="00935676">
        <w:trPr>
          <w:cantSplit/>
        </w:trPr>
        <w:tc>
          <w:tcPr>
            <w:tcW w:w="1696" w:type="dxa"/>
            <w:tcBorders>
              <w:left w:val="single" w:sz="4" w:space="0" w:color="auto"/>
            </w:tcBorders>
            <w:shd w:val="clear" w:color="auto" w:fill="auto"/>
          </w:tcPr>
          <w:p w14:paraId="0415F3B5" w14:textId="77777777" w:rsidR="002A4DDF" w:rsidRPr="00937C8B" w:rsidRDefault="002A4DDF" w:rsidP="009110ED">
            <w:pPr>
              <w:rPr>
                <w:rFonts w:ascii="Arial" w:hAnsi="Arial" w:cs="Arial"/>
                <w:sz w:val="12"/>
                <w:szCs w:val="12"/>
              </w:rPr>
            </w:pPr>
          </w:p>
        </w:tc>
        <w:tc>
          <w:tcPr>
            <w:tcW w:w="1843" w:type="dxa"/>
            <w:shd w:val="clear" w:color="auto" w:fill="auto"/>
          </w:tcPr>
          <w:p w14:paraId="59331894" w14:textId="77777777" w:rsidR="002A4DDF" w:rsidRPr="00937C8B" w:rsidRDefault="002A4DDF" w:rsidP="009110ED">
            <w:pPr>
              <w:rPr>
                <w:rFonts w:ascii="Arial" w:hAnsi="Arial" w:cs="Arial"/>
                <w:sz w:val="12"/>
                <w:szCs w:val="12"/>
              </w:rPr>
            </w:pPr>
          </w:p>
        </w:tc>
        <w:tc>
          <w:tcPr>
            <w:tcW w:w="2268" w:type="dxa"/>
            <w:shd w:val="clear" w:color="auto" w:fill="F2F2F2"/>
            <w:hideMark/>
          </w:tcPr>
          <w:p w14:paraId="1842DDF4" w14:textId="77777777" w:rsidR="002A4DDF" w:rsidRPr="00937C8B" w:rsidRDefault="002A4DDF" w:rsidP="009110ED">
            <w:pPr>
              <w:rPr>
                <w:rFonts w:ascii="Arial" w:hAnsi="Arial" w:cs="Arial"/>
                <w:sz w:val="12"/>
                <w:szCs w:val="12"/>
              </w:rPr>
            </w:pPr>
            <w:r>
              <w:rPr>
                <w:rFonts w:ascii="Arial" w:hAnsi="Arial"/>
                <w:sz w:val="12"/>
                <w:szCs w:val="12"/>
              </w:rPr>
              <w:t>Fuentestrún</w:t>
            </w:r>
          </w:p>
        </w:tc>
        <w:tc>
          <w:tcPr>
            <w:tcW w:w="2268" w:type="dxa"/>
            <w:tcBorders>
              <w:right w:val="single" w:sz="4" w:space="0" w:color="auto"/>
            </w:tcBorders>
            <w:shd w:val="clear" w:color="auto" w:fill="D9D9D9"/>
            <w:hideMark/>
          </w:tcPr>
          <w:p w14:paraId="58499A9A" w14:textId="77777777" w:rsidR="002A4DDF" w:rsidRPr="00937C8B" w:rsidRDefault="002A4DDF" w:rsidP="009110ED">
            <w:pPr>
              <w:rPr>
                <w:rFonts w:ascii="Arial" w:hAnsi="Arial" w:cs="Arial"/>
                <w:sz w:val="12"/>
                <w:szCs w:val="12"/>
              </w:rPr>
            </w:pPr>
          </w:p>
        </w:tc>
      </w:tr>
      <w:tr w:rsidR="002A4DDF" w:rsidRPr="00937C8B" w14:paraId="50D74C20" w14:textId="77777777" w:rsidTr="00935676">
        <w:trPr>
          <w:cantSplit/>
        </w:trPr>
        <w:tc>
          <w:tcPr>
            <w:tcW w:w="1696" w:type="dxa"/>
            <w:tcBorders>
              <w:left w:val="single" w:sz="4" w:space="0" w:color="auto"/>
            </w:tcBorders>
            <w:shd w:val="clear" w:color="auto" w:fill="auto"/>
          </w:tcPr>
          <w:p w14:paraId="5DA7F3BF" w14:textId="77777777" w:rsidR="002A4DDF" w:rsidRPr="00937C8B" w:rsidRDefault="002A4DDF" w:rsidP="009110ED">
            <w:pPr>
              <w:rPr>
                <w:rFonts w:ascii="Arial" w:hAnsi="Arial" w:cs="Arial"/>
                <w:sz w:val="12"/>
                <w:szCs w:val="12"/>
              </w:rPr>
            </w:pPr>
          </w:p>
        </w:tc>
        <w:tc>
          <w:tcPr>
            <w:tcW w:w="1843" w:type="dxa"/>
            <w:shd w:val="clear" w:color="auto" w:fill="auto"/>
          </w:tcPr>
          <w:p w14:paraId="0F3ED1B0" w14:textId="77777777" w:rsidR="002A4DDF" w:rsidRPr="00937C8B" w:rsidRDefault="002A4DDF" w:rsidP="009110ED">
            <w:pPr>
              <w:rPr>
                <w:rFonts w:ascii="Arial" w:hAnsi="Arial" w:cs="Arial"/>
                <w:sz w:val="12"/>
                <w:szCs w:val="12"/>
              </w:rPr>
            </w:pPr>
          </w:p>
        </w:tc>
        <w:tc>
          <w:tcPr>
            <w:tcW w:w="2268" w:type="dxa"/>
            <w:shd w:val="clear" w:color="auto" w:fill="F2F2F2"/>
            <w:hideMark/>
          </w:tcPr>
          <w:p w14:paraId="77FF049B" w14:textId="77777777" w:rsidR="002A4DDF" w:rsidRPr="00937C8B" w:rsidRDefault="002A4DDF" w:rsidP="009110ED">
            <w:pPr>
              <w:rPr>
                <w:rFonts w:ascii="Arial" w:hAnsi="Arial" w:cs="Arial"/>
                <w:sz w:val="12"/>
                <w:szCs w:val="12"/>
              </w:rPr>
            </w:pPr>
            <w:r>
              <w:rPr>
                <w:rFonts w:ascii="Arial" w:hAnsi="Arial"/>
                <w:sz w:val="12"/>
                <w:szCs w:val="12"/>
              </w:rPr>
              <w:t>Golmayo</w:t>
            </w:r>
          </w:p>
        </w:tc>
        <w:tc>
          <w:tcPr>
            <w:tcW w:w="2268" w:type="dxa"/>
            <w:tcBorders>
              <w:right w:val="single" w:sz="4" w:space="0" w:color="auto"/>
            </w:tcBorders>
            <w:shd w:val="clear" w:color="auto" w:fill="D9D9D9"/>
            <w:hideMark/>
          </w:tcPr>
          <w:p w14:paraId="0D60ACF1" w14:textId="77777777" w:rsidR="002A4DDF" w:rsidRPr="00937C8B" w:rsidRDefault="002A4DDF" w:rsidP="009110ED">
            <w:pPr>
              <w:rPr>
                <w:rFonts w:ascii="Arial" w:hAnsi="Arial" w:cs="Arial"/>
                <w:sz w:val="12"/>
                <w:szCs w:val="12"/>
              </w:rPr>
            </w:pPr>
          </w:p>
        </w:tc>
      </w:tr>
      <w:tr w:rsidR="002A4DDF" w:rsidRPr="00937C8B" w14:paraId="7C7CAF7F" w14:textId="77777777" w:rsidTr="00935676">
        <w:trPr>
          <w:cantSplit/>
        </w:trPr>
        <w:tc>
          <w:tcPr>
            <w:tcW w:w="1696" w:type="dxa"/>
            <w:tcBorders>
              <w:left w:val="single" w:sz="4" w:space="0" w:color="auto"/>
            </w:tcBorders>
            <w:shd w:val="clear" w:color="auto" w:fill="auto"/>
          </w:tcPr>
          <w:p w14:paraId="6E9058C4" w14:textId="77777777" w:rsidR="002A4DDF" w:rsidRPr="00937C8B" w:rsidRDefault="002A4DDF" w:rsidP="009110ED">
            <w:pPr>
              <w:rPr>
                <w:rFonts w:ascii="Arial" w:hAnsi="Arial" w:cs="Arial"/>
                <w:sz w:val="12"/>
                <w:szCs w:val="12"/>
              </w:rPr>
            </w:pPr>
          </w:p>
        </w:tc>
        <w:tc>
          <w:tcPr>
            <w:tcW w:w="1843" w:type="dxa"/>
            <w:shd w:val="clear" w:color="auto" w:fill="auto"/>
          </w:tcPr>
          <w:p w14:paraId="32AA3BAF" w14:textId="77777777" w:rsidR="002A4DDF" w:rsidRPr="00937C8B" w:rsidRDefault="002A4DDF" w:rsidP="009110ED">
            <w:pPr>
              <w:rPr>
                <w:rFonts w:ascii="Arial" w:hAnsi="Arial" w:cs="Arial"/>
                <w:sz w:val="12"/>
                <w:szCs w:val="12"/>
              </w:rPr>
            </w:pPr>
          </w:p>
        </w:tc>
        <w:tc>
          <w:tcPr>
            <w:tcW w:w="2268" w:type="dxa"/>
            <w:shd w:val="clear" w:color="auto" w:fill="F2F2F2"/>
            <w:hideMark/>
          </w:tcPr>
          <w:p w14:paraId="47C07261" w14:textId="77777777" w:rsidR="002A4DDF" w:rsidRPr="00937C8B" w:rsidRDefault="002A4DDF" w:rsidP="009110ED">
            <w:pPr>
              <w:rPr>
                <w:rFonts w:ascii="Arial" w:hAnsi="Arial" w:cs="Arial"/>
                <w:sz w:val="12"/>
                <w:szCs w:val="12"/>
              </w:rPr>
            </w:pPr>
            <w:r>
              <w:rPr>
                <w:rFonts w:ascii="Arial" w:hAnsi="Arial"/>
                <w:sz w:val="12"/>
                <w:szCs w:val="12"/>
              </w:rPr>
              <w:t>Gómara</w:t>
            </w:r>
          </w:p>
        </w:tc>
        <w:tc>
          <w:tcPr>
            <w:tcW w:w="2268" w:type="dxa"/>
            <w:tcBorders>
              <w:right w:val="single" w:sz="4" w:space="0" w:color="auto"/>
            </w:tcBorders>
            <w:shd w:val="clear" w:color="auto" w:fill="D9D9D9"/>
            <w:hideMark/>
          </w:tcPr>
          <w:p w14:paraId="3CF0C9DB" w14:textId="77777777" w:rsidR="002A4DDF" w:rsidRPr="00937C8B" w:rsidRDefault="002A4DDF" w:rsidP="009110ED">
            <w:pPr>
              <w:rPr>
                <w:rFonts w:ascii="Arial" w:hAnsi="Arial" w:cs="Arial"/>
                <w:sz w:val="12"/>
                <w:szCs w:val="12"/>
              </w:rPr>
            </w:pPr>
          </w:p>
        </w:tc>
      </w:tr>
      <w:tr w:rsidR="002A4DDF" w:rsidRPr="00937C8B" w14:paraId="1B77A8F7" w14:textId="77777777" w:rsidTr="00935676">
        <w:trPr>
          <w:cantSplit/>
        </w:trPr>
        <w:tc>
          <w:tcPr>
            <w:tcW w:w="1696" w:type="dxa"/>
            <w:tcBorders>
              <w:left w:val="single" w:sz="4" w:space="0" w:color="auto"/>
            </w:tcBorders>
            <w:shd w:val="clear" w:color="auto" w:fill="auto"/>
          </w:tcPr>
          <w:p w14:paraId="56658C47" w14:textId="77777777" w:rsidR="002A4DDF" w:rsidRPr="00937C8B" w:rsidRDefault="002A4DDF" w:rsidP="009110ED">
            <w:pPr>
              <w:rPr>
                <w:rFonts w:ascii="Arial" w:hAnsi="Arial" w:cs="Arial"/>
                <w:sz w:val="12"/>
                <w:szCs w:val="12"/>
              </w:rPr>
            </w:pPr>
          </w:p>
        </w:tc>
        <w:tc>
          <w:tcPr>
            <w:tcW w:w="1843" w:type="dxa"/>
            <w:shd w:val="clear" w:color="auto" w:fill="auto"/>
          </w:tcPr>
          <w:p w14:paraId="10C3646D" w14:textId="77777777" w:rsidR="002A4DDF" w:rsidRPr="00937C8B" w:rsidRDefault="002A4DDF" w:rsidP="009110ED">
            <w:pPr>
              <w:rPr>
                <w:rFonts w:ascii="Arial" w:hAnsi="Arial" w:cs="Arial"/>
                <w:sz w:val="12"/>
                <w:szCs w:val="12"/>
              </w:rPr>
            </w:pPr>
          </w:p>
        </w:tc>
        <w:tc>
          <w:tcPr>
            <w:tcW w:w="2268" w:type="dxa"/>
            <w:shd w:val="clear" w:color="auto" w:fill="F2F2F2"/>
            <w:hideMark/>
          </w:tcPr>
          <w:p w14:paraId="32F05AE7" w14:textId="77777777" w:rsidR="002A4DDF" w:rsidRPr="00937C8B" w:rsidRDefault="002A4DDF" w:rsidP="009110ED">
            <w:pPr>
              <w:rPr>
                <w:rFonts w:ascii="Arial" w:hAnsi="Arial" w:cs="Arial"/>
                <w:sz w:val="12"/>
                <w:szCs w:val="12"/>
              </w:rPr>
            </w:pPr>
            <w:r>
              <w:rPr>
                <w:rFonts w:ascii="Arial" w:hAnsi="Arial"/>
                <w:sz w:val="12"/>
                <w:szCs w:val="12"/>
              </w:rPr>
              <w:t>Hinojosa del Campo</w:t>
            </w:r>
          </w:p>
        </w:tc>
        <w:tc>
          <w:tcPr>
            <w:tcW w:w="2268" w:type="dxa"/>
            <w:tcBorders>
              <w:right w:val="single" w:sz="4" w:space="0" w:color="auto"/>
            </w:tcBorders>
            <w:shd w:val="clear" w:color="auto" w:fill="D9D9D9"/>
            <w:hideMark/>
          </w:tcPr>
          <w:p w14:paraId="49DC1753" w14:textId="77777777" w:rsidR="002A4DDF" w:rsidRPr="00937C8B" w:rsidRDefault="002A4DDF" w:rsidP="009110ED">
            <w:pPr>
              <w:rPr>
                <w:rFonts w:ascii="Arial" w:hAnsi="Arial" w:cs="Arial"/>
                <w:sz w:val="12"/>
                <w:szCs w:val="12"/>
              </w:rPr>
            </w:pPr>
          </w:p>
        </w:tc>
      </w:tr>
      <w:tr w:rsidR="002A4DDF" w:rsidRPr="00937C8B" w14:paraId="481A1632" w14:textId="77777777" w:rsidTr="00935676">
        <w:trPr>
          <w:cantSplit/>
        </w:trPr>
        <w:tc>
          <w:tcPr>
            <w:tcW w:w="1696" w:type="dxa"/>
            <w:tcBorders>
              <w:left w:val="single" w:sz="4" w:space="0" w:color="auto"/>
            </w:tcBorders>
            <w:shd w:val="clear" w:color="auto" w:fill="auto"/>
          </w:tcPr>
          <w:p w14:paraId="5899CF17" w14:textId="77777777" w:rsidR="002A4DDF" w:rsidRPr="00937C8B" w:rsidRDefault="002A4DDF" w:rsidP="009110ED">
            <w:pPr>
              <w:rPr>
                <w:rFonts w:ascii="Arial" w:hAnsi="Arial" w:cs="Arial"/>
                <w:sz w:val="12"/>
                <w:szCs w:val="12"/>
              </w:rPr>
            </w:pPr>
          </w:p>
        </w:tc>
        <w:tc>
          <w:tcPr>
            <w:tcW w:w="1843" w:type="dxa"/>
            <w:shd w:val="clear" w:color="auto" w:fill="auto"/>
          </w:tcPr>
          <w:p w14:paraId="1FAA8A83" w14:textId="77777777" w:rsidR="002A4DDF" w:rsidRPr="00937C8B" w:rsidRDefault="002A4DDF" w:rsidP="009110ED">
            <w:pPr>
              <w:rPr>
                <w:rFonts w:ascii="Arial" w:hAnsi="Arial" w:cs="Arial"/>
                <w:sz w:val="12"/>
                <w:szCs w:val="12"/>
              </w:rPr>
            </w:pPr>
          </w:p>
        </w:tc>
        <w:tc>
          <w:tcPr>
            <w:tcW w:w="2268" w:type="dxa"/>
            <w:shd w:val="clear" w:color="auto" w:fill="F2F2F2"/>
            <w:hideMark/>
          </w:tcPr>
          <w:p w14:paraId="6C907F4E" w14:textId="77777777" w:rsidR="002A4DDF" w:rsidRPr="00937C8B" w:rsidRDefault="002A4DDF" w:rsidP="009110ED">
            <w:pPr>
              <w:rPr>
                <w:rFonts w:ascii="Arial" w:hAnsi="Arial" w:cs="Arial"/>
                <w:sz w:val="12"/>
                <w:szCs w:val="12"/>
              </w:rPr>
            </w:pPr>
            <w:r>
              <w:rPr>
                <w:rFonts w:ascii="Arial" w:hAnsi="Arial"/>
                <w:sz w:val="12"/>
                <w:szCs w:val="12"/>
              </w:rPr>
              <w:t>La Losilla</w:t>
            </w:r>
          </w:p>
        </w:tc>
        <w:tc>
          <w:tcPr>
            <w:tcW w:w="2268" w:type="dxa"/>
            <w:tcBorders>
              <w:right w:val="single" w:sz="4" w:space="0" w:color="auto"/>
            </w:tcBorders>
            <w:shd w:val="clear" w:color="auto" w:fill="D9D9D9"/>
            <w:hideMark/>
          </w:tcPr>
          <w:p w14:paraId="7E70CA9E" w14:textId="77777777" w:rsidR="002A4DDF" w:rsidRPr="00937C8B" w:rsidRDefault="002A4DDF" w:rsidP="009110ED">
            <w:pPr>
              <w:rPr>
                <w:rFonts w:ascii="Arial" w:hAnsi="Arial" w:cs="Arial"/>
                <w:sz w:val="12"/>
                <w:szCs w:val="12"/>
              </w:rPr>
            </w:pPr>
          </w:p>
        </w:tc>
      </w:tr>
      <w:tr w:rsidR="002A4DDF" w:rsidRPr="00937C8B" w14:paraId="5F6555B6" w14:textId="77777777" w:rsidTr="00935676">
        <w:trPr>
          <w:cantSplit/>
        </w:trPr>
        <w:tc>
          <w:tcPr>
            <w:tcW w:w="1696" w:type="dxa"/>
            <w:tcBorders>
              <w:left w:val="single" w:sz="4" w:space="0" w:color="auto"/>
            </w:tcBorders>
            <w:shd w:val="clear" w:color="auto" w:fill="auto"/>
          </w:tcPr>
          <w:p w14:paraId="2BD24D50" w14:textId="77777777" w:rsidR="002A4DDF" w:rsidRPr="00937C8B" w:rsidRDefault="002A4DDF" w:rsidP="009110ED">
            <w:pPr>
              <w:rPr>
                <w:rFonts w:ascii="Arial" w:hAnsi="Arial" w:cs="Arial"/>
                <w:sz w:val="12"/>
                <w:szCs w:val="12"/>
              </w:rPr>
            </w:pPr>
          </w:p>
        </w:tc>
        <w:tc>
          <w:tcPr>
            <w:tcW w:w="1843" w:type="dxa"/>
            <w:shd w:val="clear" w:color="auto" w:fill="auto"/>
          </w:tcPr>
          <w:p w14:paraId="3DECC50A" w14:textId="77777777" w:rsidR="002A4DDF" w:rsidRPr="00937C8B" w:rsidRDefault="002A4DDF" w:rsidP="009110ED">
            <w:pPr>
              <w:rPr>
                <w:rFonts w:ascii="Arial" w:hAnsi="Arial" w:cs="Arial"/>
                <w:sz w:val="12"/>
                <w:szCs w:val="12"/>
              </w:rPr>
            </w:pPr>
          </w:p>
        </w:tc>
        <w:tc>
          <w:tcPr>
            <w:tcW w:w="2268" w:type="dxa"/>
            <w:shd w:val="clear" w:color="auto" w:fill="F2F2F2"/>
            <w:hideMark/>
          </w:tcPr>
          <w:p w14:paraId="3F4FD558" w14:textId="77777777" w:rsidR="002A4DDF" w:rsidRPr="00937C8B" w:rsidRDefault="002A4DDF" w:rsidP="009110ED">
            <w:pPr>
              <w:rPr>
                <w:rFonts w:ascii="Arial" w:hAnsi="Arial" w:cs="Arial"/>
                <w:sz w:val="12"/>
                <w:szCs w:val="12"/>
              </w:rPr>
            </w:pPr>
            <w:r>
              <w:rPr>
                <w:rFonts w:ascii="Arial" w:hAnsi="Arial"/>
                <w:sz w:val="12"/>
                <w:szCs w:val="12"/>
              </w:rPr>
              <w:t>La Póveda de Soria</w:t>
            </w:r>
          </w:p>
        </w:tc>
        <w:tc>
          <w:tcPr>
            <w:tcW w:w="2268" w:type="dxa"/>
            <w:tcBorders>
              <w:right w:val="single" w:sz="4" w:space="0" w:color="auto"/>
            </w:tcBorders>
            <w:shd w:val="clear" w:color="auto" w:fill="D9D9D9"/>
            <w:hideMark/>
          </w:tcPr>
          <w:p w14:paraId="74B85A19" w14:textId="77777777" w:rsidR="002A4DDF" w:rsidRPr="00937C8B" w:rsidRDefault="002A4DDF" w:rsidP="009110ED">
            <w:pPr>
              <w:rPr>
                <w:rFonts w:ascii="Arial" w:hAnsi="Arial" w:cs="Arial"/>
                <w:sz w:val="12"/>
                <w:szCs w:val="12"/>
              </w:rPr>
            </w:pPr>
          </w:p>
        </w:tc>
      </w:tr>
      <w:tr w:rsidR="002A4DDF" w:rsidRPr="00937C8B" w14:paraId="29B61B63" w14:textId="77777777" w:rsidTr="00935676">
        <w:trPr>
          <w:cantSplit/>
        </w:trPr>
        <w:tc>
          <w:tcPr>
            <w:tcW w:w="1696" w:type="dxa"/>
            <w:tcBorders>
              <w:left w:val="single" w:sz="4" w:space="0" w:color="auto"/>
            </w:tcBorders>
            <w:shd w:val="clear" w:color="auto" w:fill="auto"/>
          </w:tcPr>
          <w:p w14:paraId="4D95FEDC" w14:textId="77777777" w:rsidR="002A4DDF" w:rsidRPr="00937C8B" w:rsidRDefault="002A4DDF" w:rsidP="009110ED">
            <w:pPr>
              <w:rPr>
                <w:rFonts w:ascii="Arial" w:hAnsi="Arial" w:cs="Arial"/>
                <w:sz w:val="12"/>
                <w:szCs w:val="12"/>
              </w:rPr>
            </w:pPr>
          </w:p>
        </w:tc>
        <w:tc>
          <w:tcPr>
            <w:tcW w:w="1843" w:type="dxa"/>
            <w:shd w:val="clear" w:color="auto" w:fill="auto"/>
          </w:tcPr>
          <w:p w14:paraId="0E5F0C4D" w14:textId="77777777" w:rsidR="002A4DDF" w:rsidRPr="00937C8B" w:rsidRDefault="002A4DDF" w:rsidP="009110ED">
            <w:pPr>
              <w:rPr>
                <w:rFonts w:ascii="Arial" w:hAnsi="Arial" w:cs="Arial"/>
                <w:sz w:val="12"/>
                <w:szCs w:val="12"/>
              </w:rPr>
            </w:pPr>
          </w:p>
        </w:tc>
        <w:tc>
          <w:tcPr>
            <w:tcW w:w="2268" w:type="dxa"/>
            <w:shd w:val="clear" w:color="auto" w:fill="F2F2F2"/>
            <w:hideMark/>
          </w:tcPr>
          <w:p w14:paraId="6F67994C" w14:textId="77777777" w:rsidR="002A4DDF" w:rsidRPr="00937C8B" w:rsidRDefault="002A4DDF" w:rsidP="009110ED">
            <w:pPr>
              <w:rPr>
                <w:rFonts w:ascii="Arial" w:hAnsi="Arial" w:cs="Arial"/>
                <w:sz w:val="12"/>
                <w:szCs w:val="12"/>
              </w:rPr>
            </w:pPr>
            <w:r>
              <w:rPr>
                <w:rFonts w:ascii="Arial" w:hAnsi="Arial"/>
                <w:sz w:val="12"/>
                <w:szCs w:val="12"/>
              </w:rPr>
              <w:t>Langa de Duero</w:t>
            </w:r>
          </w:p>
        </w:tc>
        <w:tc>
          <w:tcPr>
            <w:tcW w:w="2268" w:type="dxa"/>
            <w:tcBorders>
              <w:right w:val="single" w:sz="4" w:space="0" w:color="auto"/>
            </w:tcBorders>
            <w:shd w:val="clear" w:color="auto" w:fill="D9D9D9"/>
            <w:hideMark/>
          </w:tcPr>
          <w:p w14:paraId="7470E2B4" w14:textId="77777777" w:rsidR="002A4DDF" w:rsidRPr="00937C8B" w:rsidRDefault="002A4DDF" w:rsidP="009110ED">
            <w:pPr>
              <w:rPr>
                <w:rFonts w:ascii="Arial" w:hAnsi="Arial" w:cs="Arial"/>
                <w:sz w:val="12"/>
                <w:szCs w:val="12"/>
              </w:rPr>
            </w:pPr>
          </w:p>
        </w:tc>
      </w:tr>
      <w:tr w:rsidR="002A4DDF" w:rsidRPr="00937C8B" w14:paraId="0ACBBE5E" w14:textId="77777777" w:rsidTr="00935676">
        <w:trPr>
          <w:cantSplit/>
        </w:trPr>
        <w:tc>
          <w:tcPr>
            <w:tcW w:w="1696" w:type="dxa"/>
            <w:tcBorders>
              <w:left w:val="single" w:sz="4" w:space="0" w:color="auto"/>
            </w:tcBorders>
            <w:shd w:val="clear" w:color="auto" w:fill="auto"/>
          </w:tcPr>
          <w:p w14:paraId="4A457284" w14:textId="77777777" w:rsidR="002A4DDF" w:rsidRPr="00937C8B" w:rsidRDefault="002A4DDF" w:rsidP="009110ED">
            <w:pPr>
              <w:rPr>
                <w:rFonts w:ascii="Arial" w:hAnsi="Arial" w:cs="Arial"/>
                <w:sz w:val="12"/>
                <w:szCs w:val="12"/>
              </w:rPr>
            </w:pPr>
          </w:p>
        </w:tc>
        <w:tc>
          <w:tcPr>
            <w:tcW w:w="1843" w:type="dxa"/>
            <w:shd w:val="clear" w:color="auto" w:fill="auto"/>
          </w:tcPr>
          <w:p w14:paraId="65470BB7" w14:textId="77777777" w:rsidR="002A4DDF" w:rsidRPr="00937C8B" w:rsidRDefault="002A4DDF" w:rsidP="009110ED">
            <w:pPr>
              <w:rPr>
                <w:rFonts w:ascii="Arial" w:hAnsi="Arial" w:cs="Arial"/>
                <w:sz w:val="12"/>
                <w:szCs w:val="12"/>
              </w:rPr>
            </w:pPr>
          </w:p>
        </w:tc>
        <w:tc>
          <w:tcPr>
            <w:tcW w:w="2268" w:type="dxa"/>
            <w:shd w:val="clear" w:color="auto" w:fill="F2F2F2"/>
            <w:hideMark/>
          </w:tcPr>
          <w:p w14:paraId="71995C8B" w14:textId="77777777" w:rsidR="002A4DDF" w:rsidRPr="00937C8B" w:rsidRDefault="002A4DDF" w:rsidP="009110ED">
            <w:pPr>
              <w:rPr>
                <w:rFonts w:ascii="Arial" w:hAnsi="Arial" w:cs="Arial"/>
                <w:sz w:val="12"/>
                <w:szCs w:val="12"/>
              </w:rPr>
            </w:pPr>
            <w:r>
              <w:rPr>
                <w:rFonts w:ascii="Arial" w:hAnsi="Arial"/>
                <w:sz w:val="12"/>
                <w:szCs w:val="12"/>
              </w:rPr>
              <w:t>Las Aldehuelas</w:t>
            </w:r>
          </w:p>
        </w:tc>
        <w:tc>
          <w:tcPr>
            <w:tcW w:w="2268" w:type="dxa"/>
            <w:tcBorders>
              <w:right w:val="single" w:sz="4" w:space="0" w:color="auto"/>
            </w:tcBorders>
            <w:shd w:val="clear" w:color="auto" w:fill="D9D9D9"/>
            <w:hideMark/>
          </w:tcPr>
          <w:p w14:paraId="2380445F" w14:textId="77777777" w:rsidR="002A4DDF" w:rsidRPr="00937C8B" w:rsidRDefault="002A4DDF" w:rsidP="009110ED">
            <w:pPr>
              <w:rPr>
                <w:rFonts w:ascii="Arial" w:hAnsi="Arial" w:cs="Arial"/>
                <w:sz w:val="12"/>
                <w:szCs w:val="12"/>
              </w:rPr>
            </w:pPr>
          </w:p>
        </w:tc>
      </w:tr>
      <w:tr w:rsidR="002A4DDF" w:rsidRPr="00937C8B" w14:paraId="27E2914C" w14:textId="77777777" w:rsidTr="00935676">
        <w:trPr>
          <w:cantSplit/>
        </w:trPr>
        <w:tc>
          <w:tcPr>
            <w:tcW w:w="1696" w:type="dxa"/>
            <w:tcBorders>
              <w:left w:val="single" w:sz="4" w:space="0" w:color="auto"/>
            </w:tcBorders>
            <w:shd w:val="clear" w:color="auto" w:fill="auto"/>
          </w:tcPr>
          <w:p w14:paraId="4552C50F" w14:textId="77777777" w:rsidR="002A4DDF" w:rsidRPr="00937C8B" w:rsidRDefault="002A4DDF" w:rsidP="009110ED">
            <w:pPr>
              <w:rPr>
                <w:rFonts w:ascii="Arial" w:hAnsi="Arial" w:cs="Arial"/>
                <w:sz w:val="12"/>
                <w:szCs w:val="12"/>
              </w:rPr>
            </w:pPr>
          </w:p>
        </w:tc>
        <w:tc>
          <w:tcPr>
            <w:tcW w:w="1843" w:type="dxa"/>
            <w:shd w:val="clear" w:color="auto" w:fill="auto"/>
          </w:tcPr>
          <w:p w14:paraId="135EB109" w14:textId="77777777" w:rsidR="002A4DDF" w:rsidRPr="00937C8B" w:rsidRDefault="002A4DDF" w:rsidP="009110ED">
            <w:pPr>
              <w:rPr>
                <w:rFonts w:ascii="Arial" w:hAnsi="Arial" w:cs="Arial"/>
                <w:sz w:val="12"/>
                <w:szCs w:val="12"/>
              </w:rPr>
            </w:pPr>
          </w:p>
        </w:tc>
        <w:tc>
          <w:tcPr>
            <w:tcW w:w="2268" w:type="dxa"/>
            <w:shd w:val="clear" w:color="auto" w:fill="F2F2F2"/>
            <w:hideMark/>
          </w:tcPr>
          <w:p w14:paraId="32BA5EEB" w14:textId="77777777" w:rsidR="002A4DDF" w:rsidRPr="00937C8B" w:rsidRDefault="002A4DDF" w:rsidP="009110ED">
            <w:pPr>
              <w:rPr>
                <w:rFonts w:ascii="Arial" w:hAnsi="Arial" w:cs="Arial"/>
                <w:sz w:val="12"/>
                <w:szCs w:val="12"/>
              </w:rPr>
            </w:pPr>
            <w:r>
              <w:rPr>
                <w:rFonts w:ascii="Arial" w:hAnsi="Arial"/>
                <w:sz w:val="12"/>
                <w:szCs w:val="12"/>
              </w:rPr>
              <w:t>Los Villares de Soria</w:t>
            </w:r>
          </w:p>
        </w:tc>
        <w:tc>
          <w:tcPr>
            <w:tcW w:w="2268" w:type="dxa"/>
            <w:tcBorders>
              <w:right w:val="single" w:sz="4" w:space="0" w:color="auto"/>
            </w:tcBorders>
            <w:shd w:val="clear" w:color="auto" w:fill="D9D9D9"/>
            <w:hideMark/>
          </w:tcPr>
          <w:p w14:paraId="32D81D23" w14:textId="77777777" w:rsidR="002A4DDF" w:rsidRPr="00937C8B" w:rsidRDefault="002A4DDF" w:rsidP="009110ED">
            <w:pPr>
              <w:rPr>
                <w:rFonts w:ascii="Arial" w:hAnsi="Arial" w:cs="Arial"/>
                <w:sz w:val="12"/>
                <w:szCs w:val="12"/>
              </w:rPr>
            </w:pPr>
          </w:p>
        </w:tc>
      </w:tr>
      <w:tr w:rsidR="002A4DDF" w:rsidRPr="00937C8B" w14:paraId="36A516C5" w14:textId="77777777" w:rsidTr="00935676">
        <w:trPr>
          <w:cantSplit/>
        </w:trPr>
        <w:tc>
          <w:tcPr>
            <w:tcW w:w="1696" w:type="dxa"/>
            <w:tcBorders>
              <w:left w:val="single" w:sz="4" w:space="0" w:color="auto"/>
            </w:tcBorders>
            <w:shd w:val="clear" w:color="auto" w:fill="auto"/>
          </w:tcPr>
          <w:p w14:paraId="39ECD252" w14:textId="77777777" w:rsidR="002A4DDF" w:rsidRPr="00937C8B" w:rsidRDefault="002A4DDF" w:rsidP="009110ED">
            <w:pPr>
              <w:rPr>
                <w:rFonts w:ascii="Arial" w:hAnsi="Arial" w:cs="Arial"/>
                <w:sz w:val="12"/>
                <w:szCs w:val="12"/>
              </w:rPr>
            </w:pPr>
          </w:p>
        </w:tc>
        <w:tc>
          <w:tcPr>
            <w:tcW w:w="1843" w:type="dxa"/>
            <w:shd w:val="clear" w:color="auto" w:fill="auto"/>
          </w:tcPr>
          <w:p w14:paraId="4D4D7917" w14:textId="77777777" w:rsidR="002A4DDF" w:rsidRPr="00937C8B" w:rsidRDefault="002A4DDF" w:rsidP="009110ED">
            <w:pPr>
              <w:rPr>
                <w:rFonts w:ascii="Arial" w:hAnsi="Arial" w:cs="Arial"/>
                <w:sz w:val="12"/>
                <w:szCs w:val="12"/>
              </w:rPr>
            </w:pPr>
          </w:p>
        </w:tc>
        <w:tc>
          <w:tcPr>
            <w:tcW w:w="2268" w:type="dxa"/>
            <w:shd w:val="clear" w:color="auto" w:fill="F2F2F2"/>
            <w:hideMark/>
          </w:tcPr>
          <w:p w14:paraId="302B5760" w14:textId="77777777" w:rsidR="002A4DDF" w:rsidRPr="00937C8B" w:rsidRDefault="002A4DDF" w:rsidP="009110ED">
            <w:pPr>
              <w:rPr>
                <w:rFonts w:ascii="Arial" w:hAnsi="Arial" w:cs="Arial"/>
                <w:sz w:val="12"/>
                <w:szCs w:val="12"/>
              </w:rPr>
            </w:pPr>
            <w:r>
              <w:rPr>
                <w:rFonts w:ascii="Arial" w:hAnsi="Arial"/>
                <w:sz w:val="12"/>
                <w:szCs w:val="12"/>
              </w:rPr>
              <w:t>Magaña</w:t>
            </w:r>
          </w:p>
        </w:tc>
        <w:tc>
          <w:tcPr>
            <w:tcW w:w="2268" w:type="dxa"/>
            <w:tcBorders>
              <w:right w:val="single" w:sz="4" w:space="0" w:color="auto"/>
            </w:tcBorders>
            <w:shd w:val="clear" w:color="auto" w:fill="D9D9D9"/>
            <w:hideMark/>
          </w:tcPr>
          <w:p w14:paraId="09C3C68F" w14:textId="77777777" w:rsidR="002A4DDF" w:rsidRPr="00937C8B" w:rsidRDefault="002A4DDF" w:rsidP="009110ED">
            <w:pPr>
              <w:rPr>
                <w:rFonts w:ascii="Arial" w:hAnsi="Arial" w:cs="Arial"/>
                <w:sz w:val="12"/>
                <w:szCs w:val="12"/>
              </w:rPr>
            </w:pPr>
          </w:p>
        </w:tc>
      </w:tr>
      <w:tr w:rsidR="002A4DDF" w:rsidRPr="00937C8B" w14:paraId="7A042F94" w14:textId="77777777" w:rsidTr="00935676">
        <w:trPr>
          <w:cantSplit/>
        </w:trPr>
        <w:tc>
          <w:tcPr>
            <w:tcW w:w="1696" w:type="dxa"/>
            <w:tcBorders>
              <w:left w:val="single" w:sz="4" w:space="0" w:color="auto"/>
            </w:tcBorders>
            <w:shd w:val="clear" w:color="auto" w:fill="auto"/>
          </w:tcPr>
          <w:p w14:paraId="76674D98" w14:textId="77777777" w:rsidR="002A4DDF" w:rsidRPr="00937C8B" w:rsidRDefault="002A4DDF" w:rsidP="009110ED">
            <w:pPr>
              <w:rPr>
                <w:rFonts w:ascii="Arial" w:hAnsi="Arial" w:cs="Arial"/>
                <w:sz w:val="12"/>
                <w:szCs w:val="12"/>
              </w:rPr>
            </w:pPr>
          </w:p>
        </w:tc>
        <w:tc>
          <w:tcPr>
            <w:tcW w:w="1843" w:type="dxa"/>
            <w:shd w:val="clear" w:color="auto" w:fill="auto"/>
          </w:tcPr>
          <w:p w14:paraId="7418ABBD" w14:textId="77777777" w:rsidR="002A4DDF" w:rsidRPr="00937C8B" w:rsidRDefault="002A4DDF" w:rsidP="009110ED">
            <w:pPr>
              <w:rPr>
                <w:rFonts w:ascii="Arial" w:hAnsi="Arial" w:cs="Arial"/>
                <w:sz w:val="12"/>
                <w:szCs w:val="12"/>
              </w:rPr>
            </w:pPr>
          </w:p>
        </w:tc>
        <w:tc>
          <w:tcPr>
            <w:tcW w:w="2268" w:type="dxa"/>
            <w:shd w:val="clear" w:color="auto" w:fill="F2F2F2"/>
            <w:hideMark/>
          </w:tcPr>
          <w:p w14:paraId="718164AC" w14:textId="77777777" w:rsidR="002A4DDF" w:rsidRPr="00937C8B" w:rsidRDefault="002A4DDF" w:rsidP="009110ED">
            <w:pPr>
              <w:rPr>
                <w:rFonts w:ascii="Arial" w:hAnsi="Arial" w:cs="Arial"/>
                <w:sz w:val="12"/>
                <w:szCs w:val="12"/>
              </w:rPr>
            </w:pPr>
            <w:r>
              <w:rPr>
                <w:rFonts w:ascii="Arial" w:hAnsi="Arial"/>
                <w:sz w:val="12"/>
                <w:szCs w:val="12"/>
              </w:rPr>
              <w:t>Matalebreras</w:t>
            </w:r>
          </w:p>
        </w:tc>
        <w:tc>
          <w:tcPr>
            <w:tcW w:w="2268" w:type="dxa"/>
            <w:tcBorders>
              <w:right w:val="single" w:sz="4" w:space="0" w:color="auto"/>
            </w:tcBorders>
            <w:shd w:val="clear" w:color="auto" w:fill="D9D9D9"/>
            <w:hideMark/>
          </w:tcPr>
          <w:p w14:paraId="0C0013CC" w14:textId="77777777" w:rsidR="002A4DDF" w:rsidRPr="00937C8B" w:rsidRDefault="002A4DDF" w:rsidP="009110ED">
            <w:pPr>
              <w:rPr>
                <w:rFonts w:ascii="Arial" w:hAnsi="Arial" w:cs="Arial"/>
                <w:sz w:val="12"/>
                <w:szCs w:val="12"/>
              </w:rPr>
            </w:pPr>
          </w:p>
        </w:tc>
      </w:tr>
      <w:tr w:rsidR="002A4DDF" w:rsidRPr="00937C8B" w14:paraId="1E7E788A" w14:textId="77777777" w:rsidTr="00935676">
        <w:trPr>
          <w:cantSplit/>
        </w:trPr>
        <w:tc>
          <w:tcPr>
            <w:tcW w:w="1696" w:type="dxa"/>
            <w:tcBorders>
              <w:left w:val="single" w:sz="4" w:space="0" w:color="auto"/>
            </w:tcBorders>
            <w:shd w:val="clear" w:color="auto" w:fill="auto"/>
          </w:tcPr>
          <w:p w14:paraId="0DA242FF" w14:textId="77777777" w:rsidR="002A4DDF" w:rsidRPr="00937C8B" w:rsidRDefault="002A4DDF" w:rsidP="009110ED">
            <w:pPr>
              <w:rPr>
                <w:rFonts w:ascii="Arial" w:hAnsi="Arial" w:cs="Arial"/>
                <w:sz w:val="12"/>
                <w:szCs w:val="12"/>
              </w:rPr>
            </w:pPr>
          </w:p>
        </w:tc>
        <w:tc>
          <w:tcPr>
            <w:tcW w:w="1843" w:type="dxa"/>
            <w:shd w:val="clear" w:color="auto" w:fill="auto"/>
          </w:tcPr>
          <w:p w14:paraId="24F0D86D" w14:textId="77777777" w:rsidR="002A4DDF" w:rsidRPr="00937C8B" w:rsidRDefault="002A4DDF" w:rsidP="009110ED">
            <w:pPr>
              <w:rPr>
                <w:rFonts w:ascii="Arial" w:hAnsi="Arial" w:cs="Arial"/>
                <w:sz w:val="12"/>
                <w:szCs w:val="12"/>
              </w:rPr>
            </w:pPr>
          </w:p>
        </w:tc>
        <w:tc>
          <w:tcPr>
            <w:tcW w:w="2268" w:type="dxa"/>
            <w:shd w:val="clear" w:color="auto" w:fill="F2F2F2"/>
            <w:hideMark/>
          </w:tcPr>
          <w:p w14:paraId="46AB9262" w14:textId="77777777" w:rsidR="002A4DDF" w:rsidRPr="00937C8B" w:rsidRDefault="002A4DDF" w:rsidP="009110ED">
            <w:pPr>
              <w:rPr>
                <w:rFonts w:ascii="Arial" w:hAnsi="Arial" w:cs="Arial"/>
                <w:sz w:val="12"/>
                <w:szCs w:val="12"/>
              </w:rPr>
            </w:pPr>
            <w:r>
              <w:rPr>
                <w:rFonts w:ascii="Arial" w:hAnsi="Arial"/>
                <w:sz w:val="12"/>
                <w:szCs w:val="12"/>
              </w:rPr>
              <w:t>Medinaceli</w:t>
            </w:r>
          </w:p>
        </w:tc>
        <w:tc>
          <w:tcPr>
            <w:tcW w:w="2268" w:type="dxa"/>
            <w:tcBorders>
              <w:right w:val="single" w:sz="4" w:space="0" w:color="auto"/>
            </w:tcBorders>
            <w:shd w:val="clear" w:color="auto" w:fill="D9D9D9"/>
            <w:hideMark/>
          </w:tcPr>
          <w:p w14:paraId="3F1B89B3" w14:textId="77777777" w:rsidR="002A4DDF" w:rsidRPr="00937C8B" w:rsidRDefault="002A4DDF" w:rsidP="009110ED">
            <w:pPr>
              <w:rPr>
                <w:rFonts w:ascii="Arial" w:hAnsi="Arial" w:cs="Arial"/>
                <w:sz w:val="12"/>
                <w:szCs w:val="12"/>
              </w:rPr>
            </w:pPr>
          </w:p>
        </w:tc>
      </w:tr>
      <w:tr w:rsidR="002A4DDF" w:rsidRPr="00937C8B" w14:paraId="3F087DFC" w14:textId="77777777" w:rsidTr="00935676">
        <w:trPr>
          <w:cantSplit/>
        </w:trPr>
        <w:tc>
          <w:tcPr>
            <w:tcW w:w="1696" w:type="dxa"/>
            <w:tcBorders>
              <w:left w:val="single" w:sz="4" w:space="0" w:color="auto"/>
            </w:tcBorders>
            <w:shd w:val="clear" w:color="auto" w:fill="auto"/>
          </w:tcPr>
          <w:p w14:paraId="74E2F7CF" w14:textId="77777777" w:rsidR="002A4DDF" w:rsidRPr="00937C8B" w:rsidRDefault="002A4DDF" w:rsidP="009110ED">
            <w:pPr>
              <w:rPr>
                <w:rFonts w:ascii="Arial" w:hAnsi="Arial" w:cs="Arial"/>
                <w:sz w:val="12"/>
                <w:szCs w:val="12"/>
              </w:rPr>
            </w:pPr>
          </w:p>
        </w:tc>
        <w:tc>
          <w:tcPr>
            <w:tcW w:w="1843" w:type="dxa"/>
            <w:shd w:val="clear" w:color="auto" w:fill="auto"/>
          </w:tcPr>
          <w:p w14:paraId="4249AA73" w14:textId="77777777" w:rsidR="002A4DDF" w:rsidRPr="00937C8B" w:rsidRDefault="002A4DDF" w:rsidP="009110ED">
            <w:pPr>
              <w:rPr>
                <w:rFonts w:ascii="Arial" w:hAnsi="Arial" w:cs="Arial"/>
                <w:sz w:val="12"/>
                <w:szCs w:val="12"/>
              </w:rPr>
            </w:pPr>
          </w:p>
        </w:tc>
        <w:tc>
          <w:tcPr>
            <w:tcW w:w="2268" w:type="dxa"/>
            <w:shd w:val="clear" w:color="auto" w:fill="F2F2F2"/>
            <w:hideMark/>
          </w:tcPr>
          <w:p w14:paraId="1F1CC722" w14:textId="77777777" w:rsidR="002A4DDF" w:rsidRPr="00937C8B" w:rsidRDefault="002A4DDF" w:rsidP="009110ED">
            <w:pPr>
              <w:rPr>
                <w:rFonts w:ascii="Arial" w:hAnsi="Arial" w:cs="Arial"/>
                <w:sz w:val="12"/>
                <w:szCs w:val="12"/>
              </w:rPr>
            </w:pPr>
            <w:r>
              <w:rPr>
                <w:rFonts w:ascii="Arial" w:hAnsi="Arial"/>
                <w:sz w:val="12"/>
                <w:szCs w:val="12"/>
              </w:rPr>
              <w:t>Miño de Medinaceli</w:t>
            </w:r>
          </w:p>
        </w:tc>
        <w:tc>
          <w:tcPr>
            <w:tcW w:w="2268" w:type="dxa"/>
            <w:tcBorders>
              <w:right w:val="single" w:sz="4" w:space="0" w:color="auto"/>
            </w:tcBorders>
            <w:shd w:val="clear" w:color="auto" w:fill="D9D9D9"/>
            <w:hideMark/>
          </w:tcPr>
          <w:p w14:paraId="2E103686" w14:textId="77777777" w:rsidR="002A4DDF" w:rsidRPr="00937C8B" w:rsidRDefault="002A4DDF" w:rsidP="009110ED">
            <w:pPr>
              <w:rPr>
                <w:rFonts w:ascii="Arial" w:hAnsi="Arial" w:cs="Arial"/>
                <w:sz w:val="12"/>
                <w:szCs w:val="12"/>
              </w:rPr>
            </w:pPr>
          </w:p>
        </w:tc>
      </w:tr>
      <w:tr w:rsidR="002A4DDF" w:rsidRPr="00937C8B" w14:paraId="695F1B49" w14:textId="77777777" w:rsidTr="00935676">
        <w:trPr>
          <w:cantSplit/>
        </w:trPr>
        <w:tc>
          <w:tcPr>
            <w:tcW w:w="1696" w:type="dxa"/>
            <w:tcBorders>
              <w:left w:val="single" w:sz="4" w:space="0" w:color="auto"/>
            </w:tcBorders>
            <w:shd w:val="clear" w:color="auto" w:fill="auto"/>
          </w:tcPr>
          <w:p w14:paraId="43D5F514" w14:textId="77777777" w:rsidR="002A4DDF" w:rsidRPr="00937C8B" w:rsidRDefault="002A4DDF" w:rsidP="009110ED">
            <w:pPr>
              <w:rPr>
                <w:rFonts w:ascii="Arial" w:hAnsi="Arial" w:cs="Arial"/>
                <w:sz w:val="12"/>
                <w:szCs w:val="12"/>
              </w:rPr>
            </w:pPr>
          </w:p>
        </w:tc>
        <w:tc>
          <w:tcPr>
            <w:tcW w:w="1843" w:type="dxa"/>
            <w:shd w:val="clear" w:color="auto" w:fill="auto"/>
          </w:tcPr>
          <w:p w14:paraId="0227D384" w14:textId="77777777" w:rsidR="002A4DDF" w:rsidRPr="00937C8B" w:rsidRDefault="002A4DDF" w:rsidP="009110ED">
            <w:pPr>
              <w:rPr>
                <w:rFonts w:ascii="Arial" w:hAnsi="Arial" w:cs="Arial"/>
                <w:sz w:val="12"/>
                <w:szCs w:val="12"/>
              </w:rPr>
            </w:pPr>
          </w:p>
        </w:tc>
        <w:tc>
          <w:tcPr>
            <w:tcW w:w="2268" w:type="dxa"/>
            <w:shd w:val="clear" w:color="auto" w:fill="F2F2F2"/>
            <w:hideMark/>
          </w:tcPr>
          <w:p w14:paraId="4CEA1ADC" w14:textId="77777777" w:rsidR="002A4DDF" w:rsidRPr="00937C8B" w:rsidRDefault="002A4DDF" w:rsidP="009110ED">
            <w:pPr>
              <w:rPr>
                <w:rFonts w:ascii="Arial" w:hAnsi="Arial" w:cs="Arial"/>
                <w:sz w:val="12"/>
                <w:szCs w:val="12"/>
              </w:rPr>
            </w:pPr>
            <w:r>
              <w:rPr>
                <w:rFonts w:ascii="Arial" w:hAnsi="Arial"/>
                <w:sz w:val="12"/>
                <w:szCs w:val="12"/>
              </w:rPr>
              <w:t>Montejo de Tiermes</w:t>
            </w:r>
          </w:p>
        </w:tc>
        <w:tc>
          <w:tcPr>
            <w:tcW w:w="2268" w:type="dxa"/>
            <w:tcBorders>
              <w:right w:val="single" w:sz="4" w:space="0" w:color="auto"/>
            </w:tcBorders>
            <w:shd w:val="clear" w:color="auto" w:fill="D9D9D9"/>
            <w:hideMark/>
          </w:tcPr>
          <w:p w14:paraId="4C1554B2" w14:textId="77777777" w:rsidR="002A4DDF" w:rsidRPr="00937C8B" w:rsidRDefault="002A4DDF" w:rsidP="009110ED">
            <w:pPr>
              <w:rPr>
                <w:rFonts w:ascii="Arial" w:hAnsi="Arial" w:cs="Arial"/>
                <w:sz w:val="12"/>
                <w:szCs w:val="12"/>
              </w:rPr>
            </w:pPr>
          </w:p>
        </w:tc>
      </w:tr>
      <w:tr w:rsidR="002A4DDF" w:rsidRPr="00937C8B" w14:paraId="75F131A8" w14:textId="77777777" w:rsidTr="00935676">
        <w:trPr>
          <w:cantSplit/>
        </w:trPr>
        <w:tc>
          <w:tcPr>
            <w:tcW w:w="1696" w:type="dxa"/>
            <w:tcBorders>
              <w:left w:val="single" w:sz="4" w:space="0" w:color="auto"/>
            </w:tcBorders>
            <w:shd w:val="clear" w:color="auto" w:fill="auto"/>
          </w:tcPr>
          <w:p w14:paraId="00A6AB92" w14:textId="77777777" w:rsidR="002A4DDF" w:rsidRPr="00937C8B" w:rsidRDefault="002A4DDF" w:rsidP="009110ED">
            <w:pPr>
              <w:rPr>
                <w:rFonts w:ascii="Arial" w:hAnsi="Arial" w:cs="Arial"/>
                <w:sz w:val="12"/>
                <w:szCs w:val="12"/>
              </w:rPr>
            </w:pPr>
          </w:p>
        </w:tc>
        <w:tc>
          <w:tcPr>
            <w:tcW w:w="1843" w:type="dxa"/>
            <w:shd w:val="clear" w:color="auto" w:fill="auto"/>
          </w:tcPr>
          <w:p w14:paraId="1510B0AC" w14:textId="77777777" w:rsidR="002A4DDF" w:rsidRPr="00937C8B" w:rsidRDefault="002A4DDF" w:rsidP="009110ED">
            <w:pPr>
              <w:rPr>
                <w:rFonts w:ascii="Arial" w:hAnsi="Arial" w:cs="Arial"/>
                <w:sz w:val="12"/>
                <w:szCs w:val="12"/>
              </w:rPr>
            </w:pPr>
          </w:p>
        </w:tc>
        <w:tc>
          <w:tcPr>
            <w:tcW w:w="2268" w:type="dxa"/>
            <w:shd w:val="clear" w:color="auto" w:fill="F2F2F2"/>
            <w:hideMark/>
          </w:tcPr>
          <w:p w14:paraId="3C56658B" w14:textId="77777777" w:rsidR="002A4DDF" w:rsidRPr="00937C8B" w:rsidRDefault="002A4DDF" w:rsidP="009110ED">
            <w:pPr>
              <w:rPr>
                <w:rFonts w:ascii="Arial" w:hAnsi="Arial" w:cs="Arial"/>
                <w:sz w:val="12"/>
                <w:szCs w:val="12"/>
              </w:rPr>
            </w:pPr>
            <w:r>
              <w:rPr>
                <w:rFonts w:ascii="Arial" w:hAnsi="Arial"/>
                <w:sz w:val="12"/>
                <w:szCs w:val="12"/>
              </w:rPr>
              <w:t>Narros</w:t>
            </w:r>
          </w:p>
        </w:tc>
        <w:tc>
          <w:tcPr>
            <w:tcW w:w="2268" w:type="dxa"/>
            <w:tcBorders>
              <w:right w:val="single" w:sz="4" w:space="0" w:color="auto"/>
            </w:tcBorders>
            <w:shd w:val="clear" w:color="auto" w:fill="D9D9D9"/>
            <w:hideMark/>
          </w:tcPr>
          <w:p w14:paraId="5982472B" w14:textId="77777777" w:rsidR="002A4DDF" w:rsidRPr="00937C8B" w:rsidRDefault="002A4DDF" w:rsidP="009110ED">
            <w:pPr>
              <w:rPr>
                <w:rFonts w:ascii="Arial" w:hAnsi="Arial" w:cs="Arial"/>
                <w:sz w:val="12"/>
                <w:szCs w:val="12"/>
              </w:rPr>
            </w:pPr>
          </w:p>
        </w:tc>
      </w:tr>
      <w:tr w:rsidR="002A4DDF" w:rsidRPr="00937C8B" w14:paraId="008D977E" w14:textId="77777777" w:rsidTr="00935676">
        <w:trPr>
          <w:cantSplit/>
        </w:trPr>
        <w:tc>
          <w:tcPr>
            <w:tcW w:w="1696" w:type="dxa"/>
            <w:tcBorders>
              <w:left w:val="single" w:sz="4" w:space="0" w:color="auto"/>
            </w:tcBorders>
            <w:shd w:val="clear" w:color="auto" w:fill="auto"/>
          </w:tcPr>
          <w:p w14:paraId="410AEF98" w14:textId="77777777" w:rsidR="002A4DDF" w:rsidRPr="00937C8B" w:rsidRDefault="002A4DDF" w:rsidP="009110ED">
            <w:pPr>
              <w:rPr>
                <w:rFonts w:ascii="Arial" w:hAnsi="Arial" w:cs="Arial"/>
                <w:sz w:val="12"/>
                <w:szCs w:val="12"/>
              </w:rPr>
            </w:pPr>
          </w:p>
        </w:tc>
        <w:tc>
          <w:tcPr>
            <w:tcW w:w="1843" w:type="dxa"/>
            <w:shd w:val="clear" w:color="auto" w:fill="auto"/>
          </w:tcPr>
          <w:p w14:paraId="5B9673E8" w14:textId="77777777" w:rsidR="002A4DDF" w:rsidRPr="00937C8B" w:rsidRDefault="002A4DDF" w:rsidP="009110ED">
            <w:pPr>
              <w:rPr>
                <w:rFonts w:ascii="Arial" w:hAnsi="Arial" w:cs="Arial"/>
                <w:sz w:val="12"/>
                <w:szCs w:val="12"/>
              </w:rPr>
            </w:pPr>
          </w:p>
        </w:tc>
        <w:tc>
          <w:tcPr>
            <w:tcW w:w="2268" w:type="dxa"/>
            <w:shd w:val="clear" w:color="auto" w:fill="F2F2F2"/>
            <w:hideMark/>
          </w:tcPr>
          <w:p w14:paraId="35E97561" w14:textId="77777777" w:rsidR="002A4DDF" w:rsidRPr="00937C8B" w:rsidRDefault="002A4DDF" w:rsidP="009110ED">
            <w:pPr>
              <w:rPr>
                <w:rFonts w:ascii="Arial" w:hAnsi="Arial" w:cs="Arial"/>
                <w:sz w:val="12"/>
                <w:szCs w:val="12"/>
              </w:rPr>
            </w:pPr>
            <w:r>
              <w:rPr>
                <w:rFonts w:ascii="Arial" w:hAnsi="Arial"/>
                <w:sz w:val="12"/>
                <w:szCs w:val="12"/>
              </w:rPr>
              <w:t>Nepas</w:t>
            </w:r>
          </w:p>
        </w:tc>
        <w:tc>
          <w:tcPr>
            <w:tcW w:w="2268" w:type="dxa"/>
            <w:tcBorders>
              <w:right w:val="single" w:sz="4" w:space="0" w:color="auto"/>
            </w:tcBorders>
            <w:shd w:val="clear" w:color="auto" w:fill="D9D9D9"/>
            <w:hideMark/>
          </w:tcPr>
          <w:p w14:paraId="5848EBDE" w14:textId="77777777" w:rsidR="002A4DDF" w:rsidRPr="00937C8B" w:rsidRDefault="002A4DDF" w:rsidP="009110ED">
            <w:pPr>
              <w:rPr>
                <w:rFonts w:ascii="Arial" w:hAnsi="Arial" w:cs="Arial"/>
                <w:sz w:val="12"/>
                <w:szCs w:val="12"/>
              </w:rPr>
            </w:pPr>
          </w:p>
        </w:tc>
      </w:tr>
      <w:tr w:rsidR="002A4DDF" w:rsidRPr="00937C8B" w14:paraId="5B28E788" w14:textId="77777777" w:rsidTr="00935676">
        <w:trPr>
          <w:cantSplit/>
        </w:trPr>
        <w:tc>
          <w:tcPr>
            <w:tcW w:w="1696" w:type="dxa"/>
            <w:tcBorders>
              <w:left w:val="single" w:sz="4" w:space="0" w:color="auto"/>
            </w:tcBorders>
            <w:shd w:val="clear" w:color="auto" w:fill="auto"/>
          </w:tcPr>
          <w:p w14:paraId="52F96935" w14:textId="77777777" w:rsidR="002A4DDF" w:rsidRPr="00937C8B" w:rsidRDefault="002A4DDF" w:rsidP="009110ED">
            <w:pPr>
              <w:rPr>
                <w:rFonts w:ascii="Arial" w:hAnsi="Arial" w:cs="Arial"/>
                <w:sz w:val="12"/>
                <w:szCs w:val="12"/>
              </w:rPr>
            </w:pPr>
          </w:p>
        </w:tc>
        <w:tc>
          <w:tcPr>
            <w:tcW w:w="1843" w:type="dxa"/>
            <w:shd w:val="clear" w:color="auto" w:fill="auto"/>
          </w:tcPr>
          <w:p w14:paraId="4545E514" w14:textId="77777777" w:rsidR="002A4DDF" w:rsidRPr="00937C8B" w:rsidRDefault="002A4DDF" w:rsidP="009110ED">
            <w:pPr>
              <w:rPr>
                <w:rFonts w:ascii="Arial" w:hAnsi="Arial" w:cs="Arial"/>
                <w:sz w:val="12"/>
                <w:szCs w:val="12"/>
              </w:rPr>
            </w:pPr>
          </w:p>
        </w:tc>
        <w:tc>
          <w:tcPr>
            <w:tcW w:w="2268" w:type="dxa"/>
            <w:shd w:val="clear" w:color="auto" w:fill="F2F2F2"/>
            <w:hideMark/>
          </w:tcPr>
          <w:p w14:paraId="257218DE" w14:textId="77777777" w:rsidR="002A4DDF" w:rsidRPr="00937C8B" w:rsidRDefault="002A4DDF" w:rsidP="009110ED">
            <w:pPr>
              <w:rPr>
                <w:rFonts w:ascii="Arial" w:hAnsi="Arial" w:cs="Arial"/>
                <w:sz w:val="12"/>
                <w:szCs w:val="12"/>
              </w:rPr>
            </w:pPr>
            <w:r>
              <w:rPr>
                <w:rFonts w:ascii="Arial" w:hAnsi="Arial"/>
                <w:sz w:val="12"/>
                <w:szCs w:val="12"/>
              </w:rPr>
              <w:t>Nolay</w:t>
            </w:r>
          </w:p>
        </w:tc>
        <w:tc>
          <w:tcPr>
            <w:tcW w:w="2268" w:type="dxa"/>
            <w:tcBorders>
              <w:right w:val="single" w:sz="4" w:space="0" w:color="auto"/>
            </w:tcBorders>
            <w:shd w:val="clear" w:color="auto" w:fill="D9D9D9"/>
            <w:hideMark/>
          </w:tcPr>
          <w:p w14:paraId="2530C601" w14:textId="77777777" w:rsidR="002A4DDF" w:rsidRPr="00937C8B" w:rsidRDefault="002A4DDF" w:rsidP="009110ED">
            <w:pPr>
              <w:rPr>
                <w:rFonts w:ascii="Arial" w:hAnsi="Arial" w:cs="Arial"/>
                <w:sz w:val="12"/>
                <w:szCs w:val="12"/>
              </w:rPr>
            </w:pPr>
          </w:p>
        </w:tc>
      </w:tr>
      <w:tr w:rsidR="002A4DDF" w:rsidRPr="00937C8B" w14:paraId="40F96879" w14:textId="77777777" w:rsidTr="00935676">
        <w:trPr>
          <w:cantSplit/>
        </w:trPr>
        <w:tc>
          <w:tcPr>
            <w:tcW w:w="1696" w:type="dxa"/>
            <w:tcBorders>
              <w:left w:val="single" w:sz="4" w:space="0" w:color="auto"/>
            </w:tcBorders>
            <w:shd w:val="clear" w:color="auto" w:fill="auto"/>
          </w:tcPr>
          <w:p w14:paraId="4B473E12" w14:textId="77777777" w:rsidR="002A4DDF" w:rsidRPr="00937C8B" w:rsidRDefault="002A4DDF" w:rsidP="009110ED">
            <w:pPr>
              <w:rPr>
                <w:rFonts w:ascii="Arial" w:hAnsi="Arial" w:cs="Arial"/>
                <w:sz w:val="12"/>
                <w:szCs w:val="12"/>
              </w:rPr>
            </w:pPr>
          </w:p>
        </w:tc>
        <w:tc>
          <w:tcPr>
            <w:tcW w:w="1843" w:type="dxa"/>
            <w:shd w:val="clear" w:color="auto" w:fill="auto"/>
          </w:tcPr>
          <w:p w14:paraId="07252770" w14:textId="77777777" w:rsidR="002A4DDF" w:rsidRPr="00937C8B" w:rsidRDefault="002A4DDF" w:rsidP="009110ED">
            <w:pPr>
              <w:rPr>
                <w:rFonts w:ascii="Arial" w:hAnsi="Arial" w:cs="Arial"/>
                <w:sz w:val="12"/>
                <w:szCs w:val="12"/>
              </w:rPr>
            </w:pPr>
          </w:p>
        </w:tc>
        <w:tc>
          <w:tcPr>
            <w:tcW w:w="2268" w:type="dxa"/>
            <w:shd w:val="clear" w:color="auto" w:fill="F2F2F2"/>
            <w:hideMark/>
          </w:tcPr>
          <w:p w14:paraId="3766A092" w14:textId="77777777" w:rsidR="002A4DDF" w:rsidRPr="00937C8B" w:rsidRDefault="002A4DDF" w:rsidP="009110ED">
            <w:pPr>
              <w:rPr>
                <w:rFonts w:ascii="Arial" w:hAnsi="Arial" w:cs="Arial"/>
                <w:sz w:val="12"/>
                <w:szCs w:val="12"/>
              </w:rPr>
            </w:pPr>
            <w:r>
              <w:rPr>
                <w:rFonts w:ascii="Arial" w:hAnsi="Arial"/>
                <w:sz w:val="12"/>
                <w:szCs w:val="12"/>
              </w:rPr>
              <w:t>Noviercas</w:t>
            </w:r>
          </w:p>
        </w:tc>
        <w:tc>
          <w:tcPr>
            <w:tcW w:w="2268" w:type="dxa"/>
            <w:tcBorders>
              <w:right w:val="single" w:sz="4" w:space="0" w:color="auto"/>
            </w:tcBorders>
            <w:shd w:val="clear" w:color="auto" w:fill="D9D9D9"/>
            <w:hideMark/>
          </w:tcPr>
          <w:p w14:paraId="772AD34F" w14:textId="77777777" w:rsidR="002A4DDF" w:rsidRPr="00937C8B" w:rsidRDefault="002A4DDF" w:rsidP="009110ED">
            <w:pPr>
              <w:rPr>
                <w:rFonts w:ascii="Arial" w:hAnsi="Arial" w:cs="Arial"/>
                <w:sz w:val="12"/>
                <w:szCs w:val="12"/>
              </w:rPr>
            </w:pPr>
          </w:p>
        </w:tc>
      </w:tr>
      <w:tr w:rsidR="002A4DDF" w:rsidRPr="00937C8B" w14:paraId="1B2F3FFD" w14:textId="77777777" w:rsidTr="00935676">
        <w:trPr>
          <w:cantSplit/>
        </w:trPr>
        <w:tc>
          <w:tcPr>
            <w:tcW w:w="1696" w:type="dxa"/>
            <w:tcBorders>
              <w:left w:val="single" w:sz="4" w:space="0" w:color="auto"/>
            </w:tcBorders>
            <w:shd w:val="clear" w:color="auto" w:fill="auto"/>
          </w:tcPr>
          <w:p w14:paraId="3B29BDA7" w14:textId="77777777" w:rsidR="002A4DDF" w:rsidRPr="00937C8B" w:rsidRDefault="002A4DDF" w:rsidP="009110ED">
            <w:pPr>
              <w:rPr>
                <w:rFonts w:ascii="Arial" w:hAnsi="Arial" w:cs="Arial"/>
                <w:sz w:val="12"/>
                <w:szCs w:val="12"/>
              </w:rPr>
            </w:pPr>
          </w:p>
        </w:tc>
        <w:tc>
          <w:tcPr>
            <w:tcW w:w="1843" w:type="dxa"/>
            <w:shd w:val="clear" w:color="auto" w:fill="auto"/>
          </w:tcPr>
          <w:p w14:paraId="4B5D8563" w14:textId="77777777" w:rsidR="002A4DDF" w:rsidRPr="00937C8B" w:rsidRDefault="002A4DDF" w:rsidP="009110ED">
            <w:pPr>
              <w:rPr>
                <w:rFonts w:ascii="Arial" w:hAnsi="Arial" w:cs="Arial"/>
                <w:sz w:val="12"/>
                <w:szCs w:val="12"/>
              </w:rPr>
            </w:pPr>
          </w:p>
        </w:tc>
        <w:tc>
          <w:tcPr>
            <w:tcW w:w="2268" w:type="dxa"/>
            <w:shd w:val="clear" w:color="auto" w:fill="F2F2F2"/>
            <w:hideMark/>
          </w:tcPr>
          <w:p w14:paraId="5DD2F903" w14:textId="77777777" w:rsidR="002A4DDF" w:rsidRPr="00937C8B" w:rsidRDefault="002A4DDF" w:rsidP="009110ED">
            <w:pPr>
              <w:rPr>
                <w:rFonts w:ascii="Arial" w:hAnsi="Arial" w:cs="Arial"/>
                <w:sz w:val="12"/>
                <w:szCs w:val="12"/>
              </w:rPr>
            </w:pPr>
            <w:r>
              <w:rPr>
                <w:rFonts w:ascii="Arial" w:hAnsi="Arial"/>
                <w:sz w:val="12"/>
                <w:szCs w:val="12"/>
              </w:rPr>
              <w:t>Ólvega</w:t>
            </w:r>
          </w:p>
        </w:tc>
        <w:tc>
          <w:tcPr>
            <w:tcW w:w="2268" w:type="dxa"/>
            <w:tcBorders>
              <w:right w:val="single" w:sz="4" w:space="0" w:color="auto"/>
            </w:tcBorders>
            <w:shd w:val="clear" w:color="auto" w:fill="D9D9D9"/>
            <w:hideMark/>
          </w:tcPr>
          <w:p w14:paraId="01A7BDF6" w14:textId="77777777" w:rsidR="002A4DDF" w:rsidRPr="00937C8B" w:rsidRDefault="002A4DDF" w:rsidP="009110ED">
            <w:pPr>
              <w:rPr>
                <w:rFonts w:ascii="Arial" w:hAnsi="Arial" w:cs="Arial"/>
                <w:sz w:val="12"/>
                <w:szCs w:val="12"/>
              </w:rPr>
            </w:pPr>
          </w:p>
        </w:tc>
      </w:tr>
      <w:tr w:rsidR="002A4DDF" w:rsidRPr="00937C8B" w14:paraId="6FCC4642" w14:textId="77777777" w:rsidTr="00935676">
        <w:trPr>
          <w:cantSplit/>
        </w:trPr>
        <w:tc>
          <w:tcPr>
            <w:tcW w:w="1696" w:type="dxa"/>
            <w:tcBorders>
              <w:left w:val="single" w:sz="4" w:space="0" w:color="auto"/>
            </w:tcBorders>
            <w:shd w:val="clear" w:color="auto" w:fill="auto"/>
          </w:tcPr>
          <w:p w14:paraId="7EB69A89" w14:textId="77777777" w:rsidR="002A4DDF" w:rsidRPr="00937C8B" w:rsidRDefault="002A4DDF" w:rsidP="009110ED">
            <w:pPr>
              <w:rPr>
                <w:rFonts w:ascii="Arial" w:hAnsi="Arial" w:cs="Arial"/>
                <w:sz w:val="12"/>
                <w:szCs w:val="12"/>
              </w:rPr>
            </w:pPr>
          </w:p>
        </w:tc>
        <w:tc>
          <w:tcPr>
            <w:tcW w:w="1843" w:type="dxa"/>
            <w:shd w:val="clear" w:color="auto" w:fill="auto"/>
          </w:tcPr>
          <w:p w14:paraId="3E536601" w14:textId="77777777" w:rsidR="002A4DDF" w:rsidRPr="00937C8B" w:rsidRDefault="002A4DDF" w:rsidP="009110ED">
            <w:pPr>
              <w:rPr>
                <w:rFonts w:ascii="Arial" w:hAnsi="Arial" w:cs="Arial"/>
                <w:sz w:val="12"/>
                <w:szCs w:val="12"/>
              </w:rPr>
            </w:pPr>
          </w:p>
        </w:tc>
        <w:tc>
          <w:tcPr>
            <w:tcW w:w="2268" w:type="dxa"/>
            <w:shd w:val="clear" w:color="auto" w:fill="F2F2F2"/>
            <w:hideMark/>
          </w:tcPr>
          <w:p w14:paraId="207D09B5" w14:textId="77777777" w:rsidR="002A4DDF" w:rsidRPr="00937C8B" w:rsidRDefault="002A4DDF" w:rsidP="009110ED">
            <w:pPr>
              <w:rPr>
                <w:rFonts w:ascii="Arial" w:hAnsi="Arial" w:cs="Arial"/>
                <w:sz w:val="12"/>
                <w:szCs w:val="12"/>
              </w:rPr>
            </w:pPr>
            <w:r>
              <w:rPr>
                <w:rFonts w:ascii="Arial" w:hAnsi="Arial"/>
                <w:sz w:val="12"/>
                <w:szCs w:val="12"/>
              </w:rPr>
              <w:t>Oncala</w:t>
            </w:r>
          </w:p>
        </w:tc>
        <w:tc>
          <w:tcPr>
            <w:tcW w:w="2268" w:type="dxa"/>
            <w:tcBorders>
              <w:right w:val="single" w:sz="4" w:space="0" w:color="auto"/>
            </w:tcBorders>
            <w:shd w:val="clear" w:color="auto" w:fill="D9D9D9"/>
            <w:hideMark/>
          </w:tcPr>
          <w:p w14:paraId="77EA3A52" w14:textId="77777777" w:rsidR="002A4DDF" w:rsidRPr="00937C8B" w:rsidRDefault="002A4DDF" w:rsidP="009110ED">
            <w:pPr>
              <w:rPr>
                <w:rFonts w:ascii="Arial" w:hAnsi="Arial" w:cs="Arial"/>
                <w:sz w:val="12"/>
                <w:szCs w:val="12"/>
              </w:rPr>
            </w:pPr>
          </w:p>
        </w:tc>
      </w:tr>
      <w:tr w:rsidR="002A4DDF" w:rsidRPr="00937C8B" w14:paraId="7BD503DB" w14:textId="77777777" w:rsidTr="00935676">
        <w:trPr>
          <w:cantSplit/>
        </w:trPr>
        <w:tc>
          <w:tcPr>
            <w:tcW w:w="1696" w:type="dxa"/>
            <w:tcBorders>
              <w:left w:val="single" w:sz="4" w:space="0" w:color="auto"/>
            </w:tcBorders>
            <w:shd w:val="clear" w:color="auto" w:fill="auto"/>
          </w:tcPr>
          <w:p w14:paraId="0AB05687" w14:textId="77777777" w:rsidR="002A4DDF" w:rsidRPr="00937C8B" w:rsidRDefault="002A4DDF" w:rsidP="009110ED">
            <w:pPr>
              <w:rPr>
                <w:rFonts w:ascii="Arial" w:hAnsi="Arial" w:cs="Arial"/>
                <w:sz w:val="12"/>
                <w:szCs w:val="12"/>
              </w:rPr>
            </w:pPr>
          </w:p>
        </w:tc>
        <w:tc>
          <w:tcPr>
            <w:tcW w:w="1843" w:type="dxa"/>
            <w:shd w:val="clear" w:color="auto" w:fill="auto"/>
          </w:tcPr>
          <w:p w14:paraId="29F438F5" w14:textId="77777777" w:rsidR="002A4DDF" w:rsidRPr="00937C8B" w:rsidRDefault="002A4DDF" w:rsidP="009110ED">
            <w:pPr>
              <w:rPr>
                <w:rFonts w:ascii="Arial" w:hAnsi="Arial" w:cs="Arial"/>
                <w:sz w:val="12"/>
                <w:szCs w:val="12"/>
              </w:rPr>
            </w:pPr>
          </w:p>
        </w:tc>
        <w:tc>
          <w:tcPr>
            <w:tcW w:w="2268" w:type="dxa"/>
            <w:shd w:val="clear" w:color="auto" w:fill="F2F2F2"/>
            <w:hideMark/>
          </w:tcPr>
          <w:p w14:paraId="1939E686" w14:textId="77777777" w:rsidR="002A4DDF" w:rsidRPr="00937C8B" w:rsidRDefault="002A4DDF" w:rsidP="009110ED">
            <w:pPr>
              <w:rPr>
                <w:rFonts w:ascii="Arial" w:hAnsi="Arial" w:cs="Arial"/>
                <w:sz w:val="12"/>
                <w:szCs w:val="12"/>
              </w:rPr>
            </w:pPr>
            <w:r>
              <w:rPr>
                <w:rFonts w:ascii="Arial" w:hAnsi="Arial"/>
                <w:sz w:val="12"/>
                <w:szCs w:val="12"/>
              </w:rPr>
              <w:t>Pinilla del Campo</w:t>
            </w:r>
          </w:p>
        </w:tc>
        <w:tc>
          <w:tcPr>
            <w:tcW w:w="2268" w:type="dxa"/>
            <w:tcBorders>
              <w:right w:val="single" w:sz="4" w:space="0" w:color="auto"/>
            </w:tcBorders>
            <w:shd w:val="clear" w:color="auto" w:fill="D9D9D9"/>
            <w:hideMark/>
          </w:tcPr>
          <w:p w14:paraId="5D4D5C26" w14:textId="77777777" w:rsidR="002A4DDF" w:rsidRPr="00937C8B" w:rsidRDefault="002A4DDF" w:rsidP="009110ED">
            <w:pPr>
              <w:rPr>
                <w:rFonts w:ascii="Arial" w:hAnsi="Arial" w:cs="Arial"/>
                <w:sz w:val="12"/>
                <w:szCs w:val="12"/>
              </w:rPr>
            </w:pPr>
          </w:p>
        </w:tc>
      </w:tr>
      <w:tr w:rsidR="002A4DDF" w:rsidRPr="00937C8B" w14:paraId="3AF14EB6" w14:textId="77777777" w:rsidTr="00935676">
        <w:trPr>
          <w:cantSplit/>
        </w:trPr>
        <w:tc>
          <w:tcPr>
            <w:tcW w:w="1696" w:type="dxa"/>
            <w:tcBorders>
              <w:left w:val="single" w:sz="4" w:space="0" w:color="auto"/>
            </w:tcBorders>
            <w:shd w:val="clear" w:color="auto" w:fill="auto"/>
          </w:tcPr>
          <w:p w14:paraId="3601D189" w14:textId="77777777" w:rsidR="002A4DDF" w:rsidRPr="00937C8B" w:rsidRDefault="002A4DDF" w:rsidP="009110ED">
            <w:pPr>
              <w:rPr>
                <w:rFonts w:ascii="Arial" w:hAnsi="Arial" w:cs="Arial"/>
                <w:sz w:val="12"/>
                <w:szCs w:val="12"/>
              </w:rPr>
            </w:pPr>
          </w:p>
        </w:tc>
        <w:tc>
          <w:tcPr>
            <w:tcW w:w="1843" w:type="dxa"/>
            <w:shd w:val="clear" w:color="auto" w:fill="auto"/>
          </w:tcPr>
          <w:p w14:paraId="7ED03AAD" w14:textId="77777777" w:rsidR="002A4DDF" w:rsidRPr="00937C8B" w:rsidRDefault="002A4DDF" w:rsidP="009110ED">
            <w:pPr>
              <w:rPr>
                <w:rFonts w:ascii="Arial" w:hAnsi="Arial" w:cs="Arial"/>
                <w:sz w:val="12"/>
                <w:szCs w:val="12"/>
              </w:rPr>
            </w:pPr>
          </w:p>
        </w:tc>
        <w:tc>
          <w:tcPr>
            <w:tcW w:w="2268" w:type="dxa"/>
            <w:shd w:val="clear" w:color="auto" w:fill="F2F2F2"/>
            <w:hideMark/>
          </w:tcPr>
          <w:p w14:paraId="1567EABF" w14:textId="77777777" w:rsidR="002A4DDF" w:rsidRPr="00937C8B" w:rsidRDefault="002A4DDF" w:rsidP="009110ED">
            <w:pPr>
              <w:rPr>
                <w:rFonts w:ascii="Arial" w:hAnsi="Arial" w:cs="Arial"/>
                <w:sz w:val="12"/>
                <w:szCs w:val="12"/>
              </w:rPr>
            </w:pPr>
            <w:r>
              <w:rPr>
                <w:rFonts w:ascii="Arial" w:hAnsi="Arial"/>
                <w:sz w:val="12"/>
                <w:szCs w:val="12"/>
              </w:rPr>
              <w:t>Pozalmuro</w:t>
            </w:r>
          </w:p>
        </w:tc>
        <w:tc>
          <w:tcPr>
            <w:tcW w:w="2268" w:type="dxa"/>
            <w:tcBorders>
              <w:right w:val="single" w:sz="4" w:space="0" w:color="auto"/>
            </w:tcBorders>
            <w:shd w:val="clear" w:color="auto" w:fill="D9D9D9"/>
            <w:hideMark/>
          </w:tcPr>
          <w:p w14:paraId="4EA56A71" w14:textId="77777777" w:rsidR="002A4DDF" w:rsidRPr="00937C8B" w:rsidRDefault="002A4DDF" w:rsidP="009110ED">
            <w:pPr>
              <w:rPr>
                <w:rFonts w:ascii="Arial" w:hAnsi="Arial" w:cs="Arial"/>
                <w:sz w:val="12"/>
                <w:szCs w:val="12"/>
              </w:rPr>
            </w:pPr>
          </w:p>
        </w:tc>
      </w:tr>
      <w:tr w:rsidR="002A4DDF" w:rsidRPr="00937C8B" w14:paraId="59150E4F" w14:textId="77777777" w:rsidTr="00935676">
        <w:trPr>
          <w:cantSplit/>
        </w:trPr>
        <w:tc>
          <w:tcPr>
            <w:tcW w:w="1696" w:type="dxa"/>
            <w:tcBorders>
              <w:left w:val="single" w:sz="4" w:space="0" w:color="auto"/>
            </w:tcBorders>
            <w:shd w:val="clear" w:color="auto" w:fill="auto"/>
          </w:tcPr>
          <w:p w14:paraId="566577E7" w14:textId="77777777" w:rsidR="002A4DDF" w:rsidRPr="00937C8B" w:rsidRDefault="002A4DDF" w:rsidP="009110ED">
            <w:pPr>
              <w:rPr>
                <w:rFonts w:ascii="Arial" w:hAnsi="Arial" w:cs="Arial"/>
                <w:sz w:val="12"/>
                <w:szCs w:val="12"/>
              </w:rPr>
            </w:pPr>
          </w:p>
        </w:tc>
        <w:tc>
          <w:tcPr>
            <w:tcW w:w="1843" w:type="dxa"/>
            <w:shd w:val="clear" w:color="auto" w:fill="auto"/>
          </w:tcPr>
          <w:p w14:paraId="0DB5C651" w14:textId="77777777" w:rsidR="002A4DDF" w:rsidRPr="00937C8B" w:rsidRDefault="002A4DDF" w:rsidP="009110ED">
            <w:pPr>
              <w:rPr>
                <w:rFonts w:ascii="Arial" w:hAnsi="Arial" w:cs="Arial"/>
                <w:sz w:val="12"/>
                <w:szCs w:val="12"/>
              </w:rPr>
            </w:pPr>
          </w:p>
        </w:tc>
        <w:tc>
          <w:tcPr>
            <w:tcW w:w="2268" w:type="dxa"/>
            <w:shd w:val="clear" w:color="auto" w:fill="F2F2F2"/>
            <w:hideMark/>
          </w:tcPr>
          <w:p w14:paraId="1185CC66" w14:textId="77777777" w:rsidR="002A4DDF" w:rsidRPr="00937C8B" w:rsidRDefault="002A4DDF" w:rsidP="009110ED">
            <w:pPr>
              <w:rPr>
                <w:rFonts w:ascii="Arial" w:hAnsi="Arial" w:cs="Arial"/>
                <w:sz w:val="12"/>
                <w:szCs w:val="12"/>
              </w:rPr>
            </w:pPr>
            <w:r>
              <w:rPr>
                <w:rFonts w:ascii="Arial" w:hAnsi="Arial"/>
                <w:sz w:val="12"/>
                <w:szCs w:val="12"/>
              </w:rPr>
              <w:t>Quintana Redonda</w:t>
            </w:r>
          </w:p>
        </w:tc>
        <w:tc>
          <w:tcPr>
            <w:tcW w:w="2268" w:type="dxa"/>
            <w:tcBorders>
              <w:right w:val="single" w:sz="4" w:space="0" w:color="auto"/>
            </w:tcBorders>
            <w:shd w:val="clear" w:color="auto" w:fill="D9D9D9"/>
            <w:hideMark/>
          </w:tcPr>
          <w:p w14:paraId="54FF16A8" w14:textId="77777777" w:rsidR="002A4DDF" w:rsidRPr="00937C8B" w:rsidRDefault="002A4DDF" w:rsidP="009110ED">
            <w:pPr>
              <w:rPr>
                <w:rFonts w:ascii="Arial" w:hAnsi="Arial" w:cs="Arial"/>
                <w:sz w:val="12"/>
                <w:szCs w:val="12"/>
              </w:rPr>
            </w:pPr>
          </w:p>
        </w:tc>
      </w:tr>
      <w:tr w:rsidR="002A4DDF" w:rsidRPr="00937C8B" w14:paraId="564C29AA" w14:textId="77777777" w:rsidTr="00935676">
        <w:trPr>
          <w:cantSplit/>
        </w:trPr>
        <w:tc>
          <w:tcPr>
            <w:tcW w:w="1696" w:type="dxa"/>
            <w:tcBorders>
              <w:left w:val="single" w:sz="4" w:space="0" w:color="auto"/>
            </w:tcBorders>
            <w:shd w:val="clear" w:color="auto" w:fill="auto"/>
          </w:tcPr>
          <w:p w14:paraId="17D2E064" w14:textId="77777777" w:rsidR="002A4DDF" w:rsidRPr="00937C8B" w:rsidRDefault="002A4DDF" w:rsidP="009110ED">
            <w:pPr>
              <w:rPr>
                <w:rFonts w:ascii="Arial" w:hAnsi="Arial" w:cs="Arial"/>
                <w:sz w:val="12"/>
                <w:szCs w:val="12"/>
              </w:rPr>
            </w:pPr>
          </w:p>
        </w:tc>
        <w:tc>
          <w:tcPr>
            <w:tcW w:w="1843" w:type="dxa"/>
            <w:shd w:val="clear" w:color="auto" w:fill="auto"/>
          </w:tcPr>
          <w:p w14:paraId="0FF72131" w14:textId="77777777" w:rsidR="002A4DDF" w:rsidRPr="00937C8B" w:rsidRDefault="002A4DDF" w:rsidP="009110ED">
            <w:pPr>
              <w:rPr>
                <w:rFonts w:ascii="Arial" w:hAnsi="Arial" w:cs="Arial"/>
                <w:sz w:val="12"/>
                <w:szCs w:val="12"/>
              </w:rPr>
            </w:pPr>
          </w:p>
        </w:tc>
        <w:tc>
          <w:tcPr>
            <w:tcW w:w="2268" w:type="dxa"/>
            <w:shd w:val="clear" w:color="auto" w:fill="F2F2F2"/>
            <w:hideMark/>
          </w:tcPr>
          <w:p w14:paraId="16C10582" w14:textId="77777777" w:rsidR="002A4DDF" w:rsidRPr="00937C8B" w:rsidRDefault="002A4DDF" w:rsidP="009110ED">
            <w:pPr>
              <w:rPr>
                <w:rFonts w:ascii="Arial" w:hAnsi="Arial" w:cs="Arial"/>
                <w:sz w:val="12"/>
                <w:szCs w:val="12"/>
              </w:rPr>
            </w:pPr>
            <w:r>
              <w:rPr>
                <w:rFonts w:ascii="Arial" w:hAnsi="Arial"/>
                <w:sz w:val="12"/>
                <w:szCs w:val="12"/>
              </w:rPr>
              <w:t>San Esteban de Gormaz</w:t>
            </w:r>
          </w:p>
        </w:tc>
        <w:tc>
          <w:tcPr>
            <w:tcW w:w="2268" w:type="dxa"/>
            <w:tcBorders>
              <w:right w:val="single" w:sz="4" w:space="0" w:color="auto"/>
            </w:tcBorders>
            <w:shd w:val="clear" w:color="auto" w:fill="D9D9D9"/>
            <w:hideMark/>
          </w:tcPr>
          <w:p w14:paraId="05FD0241" w14:textId="77777777" w:rsidR="002A4DDF" w:rsidRPr="00937C8B" w:rsidRDefault="002A4DDF" w:rsidP="009110ED">
            <w:pPr>
              <w:rPr>
                <w:rFonts w:ascii="Arial" w:hAnsi="Arial" w:cs="Arial"/>
                <w:sz w:val="12"/>
                <w:szCs w:val="12"/>
              </w:rPr>
            </w:pPr>
          </w:p>
        </w:tc>
      </w:tr>
      <w:tr w:rsidR="002A4DDF" w:rsidRPr="00937C8B" w14:paraId="728FC613" w14:textId="77777777" w:rsidTr="00935676">
        <w:trPr>
          <w:cantSplit/>
        </w:trPr>
        <w:tc>
          <w:tcPr>
            <w:tcW w:w="1696" w:type="dxa"/>
            <w:tcBorders>
              <w:left w:val="single" w:sz="4" w:space="0" w:color="auto"/>
            </w:tcBorders>
            <w:shd w:val="clear" w:color="auto" w:fill="auto"/>
          </w:tcPr>
          <w:p w14:paraId="42E7457C" w14:textId="77777777" w:rsidR="002A4DDF" w:rsidRPr="00937C8B" w:rsidRDefault="002A4DDF" w:rsidP="009110ED">
            <w:pPr>
              <w:rPr>
                <w:rFonts w:ascii="Arial" w:hAnsi="Arial" w:cs="Arial"/>
                <w:sz w:val="12"/>
                <w:szCs w:val="12"/>
              </w:rPr>
            </w:pPr>
          </w:p>
        </w:tc>
        <w:tc>
          <w:tcPr>
            <w:tcW w:w="1843" w:type="dxa"/>
            <w:shd w:val="clear" w:color="auto" w:fill="auto"/>
          </w:tcPr>
          <w:p w14:paraId="3D618103" w14:textId="77777777" w:rsidR="002A4DDF" w:rsidRPr="00937C8B" w:rsidRDefault="002A4DDF" w:rsidP="009110ED">
            <w:pPr>
              <w:rPr>
                <w:rFonts w:ascii="Arial" w:hAnsi="Arial" w:cs="Arial"/>
                <w:sz w:val="12"/>
                <w:szCs w:val="12"/>
              </w:rPr>
            </w:pPr>
          </w:p>
        </w:tc>
        <w:tc>
          <w:tcPr>
            <w:tcW w:w="2268" w:type="dxa"/>
            <w:shd w:val="clear" w:color="auto" w:fill="F2F2F2"/>
            <w:hideMark/>
          </w:tcPr>
          <w:p w14:paraId="609F1732" w14:textId="77777777" w:rsidR="002A4DDF" w:rsidRPr="00937C8B" w:rsidRDefault="002A4DDF" w:rsidP="009110ED">
            <w:pPr>
              <w:rPr>
                <w:rFonts w:ascii="Arial" w:hAnsi="Arial" w:cs="Arial"/>
                <w:sz w:val="12"/>
                <w:szCs w:val="12"/>
              </w:rPr>
            </w:pPr>
            <w:r>
              <w:rPr>
                <w:rFonts w:ascii="Arial" w:hAnsi="Arial"/>
                <w:sz w:val="12"/>
                <w:szCs w:val="12"/>
              </w:rPr>
              <w:t>San Pedro Manrique</w:t>
            </w:r>
          </w:p>
        </w:tc>
        <w:tc>
          <w:tcPr>
            <w:tcW w:w="2268" w:type="dxa"/>
            <w:tcBorders>
              <w:right w:val="single" w:sz="4" w:space="0" w:color="auto"/>
            </w:tcBorders>
            <w:shd w:val="clear" w:color="auto" w:fill="D9D9D9"/>
            <w:hideMark/>
          </w:tcPr>
          <w:p w14:paraId="5249C177" w14:textId="77777777" w:rsidR="002A4DDF" w:rsidRPr="00937C8B" w:rsidRDefault="002A4DDF" w:rsidP="009110ED">
            <w:pPr>
              <w:rPr>
                <w:rFonts w:ascii="Arial" w:hAnsi="Arial" w:cs="Arial"/>
                <w:sz w:val="12"/>
                <w:szCs w:val="12"/>
              </w:rPr>
            </w:pPr>
          </w:p>
        </w:tc>
      </w:tr>
      <w:tr w:rsidR="002A4DDF" w:rsidRPr="00937C8B" w14:paraId="3338D1A3" w14:textId="77777777" w:rsidTr="00935676">
        <w:trPr>
          <w:cantSplit/>
        </w:trPr>
        <w:tc>
          <w:tcPr>
            <w:tcW w:w="1696" w:type="dxa"/>
            <w:tcBorders>
              <w:left w:val="single" w:sz="4" w:space="0" w:color="auto"/>
            </w:tcBorders>
            <w:shd w:val="clear" w:color="auto" w:fill="auto"/>
          </w:tcPr>
          <w:p w14:paraId="10AEAA8F" w14:textId="77777777" w:rsidR="002A4DDF" w:rsidRPr="00937C8B" w:rsidRDefault="002A4DDF" w:rsidP="009110ED">
            <w:pPr>
              <w:rPr>
                <w:rFonts w:ascii="Arial" w:hAnsi="Arial" w:cs="Arial"/>
                <w:sz w:val="12"/>
                <w:szCs w:val="12"/>
              </w:rPr>
            </w:pPr>
          </w:p>
        </w:tc>
        <w:tc>
          <w:tcPr>
            <w:tcW w:w="1843" w:type="dxa"/>
            <w:shd w:val="clear" w:color="auto" w:fill="auto"/>
          </w:tcPr>
          <w:p w14:paraId="17D1F9E8" w14:textId="77777777" w:rsidR="002A4DDF" w:rsidRPr="00937C8B" w:rsidRDefault="002A4DDF" w:rsidP="009110ED">
            <w:pPr>
              <w:rPr>
                <w:rFonts w:ascii="Arial" w:hAnsi="Arial" w:cs="Arial"/>
                <w:sz w:val="12"/>
                <w:szCs w:val="12"/>
              </w:rPr>
            </w:pPr>
          </w:p>
        </w:tc>
        <w:tc>
          <w:tcPr>
            <w:tcW w:w="2268" w:type="dxa"/>
            <w:shd w:val="clear" w:color="auto" w:fill="F2F2F2"/>
            <w:hideMark/>
          </w:tcPr>
          <w:p w14:paraId="6D6CF778" w14:textId="77777777" w:rsidR="002A4DDF" w:rsidRPr="00937C8B" w:rsidRDefault="002A4DDF" w:rsidP="009110ED">
            <w:pPr>
              <w:rPr>
                <w:rFonts w:ascii="Arial" w:hAnsi="Arial" w:cs="Arial"/>
                <w:sz w:val="12"/>
                <w:szCs w:val="12"/>
              </w:rPr>
            </w:pPr>
            <w:r>
              <w:rPr>
                <w:rFonts w:ascii="Arial" w:hAnsi="Arial"/>
                <w:sz w:val="12"/>
                <w:szCs w:val="12"/>
              </w:rPr>
              <w:t>Santa Cruz de Yanguas</w:t>
            </w:r>
          </w:p>
        </w:tc>
        <w:tc>
          <w:tcPr>
            <w:tcW w:w="2268" w:type="dxa"/>
            <w:tcBorders>
              <w:right w:val="single" w:sz="4" w:space="0" w:color="auto"/>
            </w:tcBorders>
            <w:shd w:val="clear" w:color="auto" w:fill="D9D9D9"/>
            <w:hideMark/>
          </w:tcPr>
          <w:p w14:paraId="085EADA9" w14:textId="77777777" w:rsidR="002A4DDF" w:rsidRPr="00937C8B" w:rsidRDefault="002A4DDF" w:rsidP="009110ED">
            <w:pPr>
              <w:rPr>
                <w:rFonts w:ascii="Arial" w:hAnsi="Arial" w:cs="Arial"/>
                <w:sz w:val="12"/>
                <w:szCs w:val="12"/>
              </w:rPr>
            </w:pPr>
          </w:p>
        </w:tc>
      </w:tr>
      <w:tr w:rsidR="002A4DDF" w:rsidRPr="00937C8B" w14:paraId="1A17523C" w14:textId="77777777" w:rsidTr="00935676">
        <w:trPr>
          <w:cantSplit/>
        </w:trPr>
        <w:tc>
          <w:tcPr>
            <w:tcW w:w="1696" w:type="dxa"/>
            <w:tcBorders>
              <w:left w:val="single" w:sz="4" w:space="0" w:color="auto"/>
            </w:tcBorders>
            <w:shd w:val="clear" w:color="auto" w:fill="auto"/>
          </w:tcPr>
          <w:p w14:paraId="25CF1842" w14:textId="77777777" w:rsidR="002A4DDF" w:rsidRPr="00937C8B" w:rsidRDefault="002A4DDF" w:rsidP="009110ED">
            <w:pPr>
              <w:rPr>
                <w:rFonts w:ascii="Arial" w:hAnsi="Arial" w:cs="Arial"/>
                <w:sz w:val="12"/>
                <w:szCs w:val="12"/>
              </w:rPr>
            </w:pPr>
          </w:p>
        </w:tc>
        <w:tc>
          <w:tcPr>
            <w:tcW w:w="1843" w:type="dxa"/>
            <w:shd w:val="clear" w:color="auto" w:fill="auto"/>
          </w:tcPr>
          <w:p w14:paraId="14E25EBE" w14:textId="77777777" w:rsidR="002A4DDF" w:rsidRPr="00937C8B" w:rsidRDefault="002A4DDF" w:rsidP="009110ED">
            <w:pPr>
              <w:rPr>
                <w:rFonts w:ascii="Arial" w:hAnsi="Arial" w:cs="Arial"/>
                <w:sz w:val="12"/>
                <w:szCs w:val="12"/>
              </w:rPr>
            </w:pPr>
          </w:p>
        </w:tc>
        <w:tc>
          <w:tcPr>
            <w:tcW w:w="2268" w:type="dxa"/>
            <w:shd w:val="clear" w:color="auto" w:fill="F2F2F2"/>
            <w:hideMark/>
          </w:tcPr>
          <w:p w14:paraId="4B594C6E" w14:textId="77777777" w:rsidR="002A4DDF" w:rsidRPr="00937C8B" w:rsidRDefault="002A4DDF" w:rsidP="009110ED">
            <w:pPr>
              <w:rPr>
                <w:rFonts w:ascii="Arial" w:hAnsi="Arial" w:cs="Arial"/>
                <w:sz w:val="12"/>
                <w:szCs w:val="12"/>
              </w:rPr>
            </w:pPr>
            <w:r>
              <w:rPr>
                <w:rFonts w:ascii="Arial" w:hAnsi="Arial"/>
                <w:sz w:val="12"/>
                <w:szCs w:val="12"/>
              </w:rPr>
              <w:t>Soliedra</w:t>
            </w:r>
          </w:p>
        </w:tc>
        <w:tc>
          <w:tcPr>
            <w:tcW w:w="2268" w:type="dxa"/>
            <w:tcBorders>
              <w:right w:val="single" w:sz="4" w:space="0" w:color="auto"/>
            </w:tcBorders>
            <w:shd w:val="clear" w:color="auto" w:fill="D9D9D9"/>
            <w:hideMark/>
          </w:tcPr>
          <w:p w14:paraId="3BD5F4A6" w14:textId="77777777" w:rsidR="002A4DDF" w:rsidRPr="00937C8B" w:rsidRDefault="002A4DDF" w:rsidP="009110ED">
            <w:pPr>
              <w:rPr>
                <w:rFonts w:ascii="Arial" w:hAnsi="Arial" w:cs="Arial"/>
                <w:sz w:val="12"/>
                <w:szCs w:val="12"/>
              </w:rPr>
            </w:pPr>
          </w:p>
        </w:tc>
      </w:tr>
      <w:tr w:rsidR="002A4DDF" w:rsidRPr="00937C8B" w14:paraId="18C3BB23" w14:textId="77777777" w:rsidTr="00935676">
        <w:trPr>
          <w:cantSplit/>
        </w:trPr>
        <w:tc>
          <w:tcPr>
            <w:tcW w:w="1696" w:type="dxa"/>
            <w:tcBorders>
              <w:left w:val="single" w:sz="4" w:space="0" w:color="auto"/>
            </w:tcBorders>
            <w:shd w:val="clear" w:color="auto" w:fill="auto"/>
          </w:tcPr>
          <w:p w14:paraId="0BBA77AE" w14:textId="77777777" w:rsidR="002A4DDF" w:rsidRPr="00937C8B" w:rsidRDefault="002A4DDF" w:rsidP="009110ED">
            <w:pPr>
              <w:rPr>
                <w:rFonts w:ascii="Arial" w:hAnsi="Arial" w:cs="Arial"/>
                <w:sz w:val="12"/>
                <w:szCs w:val="12"/>
              </w:rPr>
            </w:pPr>
          </w:p>
        </w:tc>
        <w:tc>
          <w:tcPr>
            <w:tcW w:w="1843" w:type="dxa"/>
            <w:shd w:val="clear" w:color="auto" w:fill="auto"/>
          </w:tcPr>
          <w:p w14:paraId="0B8E0450" w14:textId="77777777" w:rsidR="002A4DDF" w:rsidRPr="00937C8B" w:rsidRDefault="002A4DDF" w:rsidP="009110ED">
            <w:pPr>
              <w:rPr>
                <w:rFonts w:ascii="Arial" w:hAnsi="Arial" w:cs="Arial"/>
                <w:sz w:val="12"/>
                <w:szCs w:val="12"/>
              </w:rPr>
            </w:pPr>
          </w:p>
        </w:tc>
        <w:tc>
          <w:tcPr>
            <w:tcW w:w="2268" w:type="dxa"/>
            <w:shd w:val="clear" w:color="auto" w:fill="F2F2F2"/>
            <w:hideMark/>
          </w:tcPr>
          <w:p w14:paraId="62482A15" w14:textId="77777777" w:rsidR="002A4DDF" w:rsidRPr="00937C8B" w:rsidRDefault="002A4DDF" w:rsidP="009110ED">
            <w:pPr>
              <w:rPr>
                <w:rFonts w:ascii="Arial" w:hAnsi="Arial" w:cs="Arial"/>
                <w:sz w:val="12"/>
                <w:szCs w:val="12"/>
              </w:rPr>
            </w:pPr>
            <w:r>
              <w:rPr>
                <w:rFonts w:ascii="Arial" w:hAnsi="Arial"/>
                <w:sz w:val="12"/>
                <w:szCs w:val="12"/>
              </w:rPr>
              <w:t>Suellacabras</w:t>
            </w:r>
          </w:p>
        </w:tc>
        <w:tc>
          <w:tcPr>
            <w:tcW w:w="2268" w:type="dxa"/>
            <w:tcBorders>
              <w:right w:val="single" w:sz="4" w:space="0" w:color="auto"/>
            </w:tcBorders>
            <w:shd w:val="clear" w:color="auto" w:fill="D9D9D9"/>
            <w:hideMark/>
          </w:tcPr>
          <w:p w14:paraId="05834A3D" w14:textId="77777777" w:rsidR="002A4DDF" w:rsidRPr="00937C8B" w:rsidRDefault="002A4DDF" w:rsidP="009110ED">
            <w:pPr>
              <w:rPr>
                <w:rFonts w:ascii="Arial" w:hAnsi="Arial" w:cs="Arial"/>
                <w:sz w:val="12"/>
                <w:szCs w:val="12"/>
              </w:rPr>
            </w:pPr>
          </w:p>
        </w:tc>
      </w:tr>
      <w:tr w:rsidR="002A4DDF" w:rsidRPr="00937C8B" w14:paraId="3EA9BF09" w14:textId="77777777" w:rsidTr="00935676">
        <w:trPr>
          <w:cantSplit/>
        </w:trPr>
        <w:tc>
          <w:tcPr>
            <w:tcW w:w="1696" w:type="dxa"/>
            <w:tcBorders>
              <w:left w:val="single" w:sz="4" w:space="0" w:color="auto"/>
            </w:tcBorders>
            <w:shd w:val="clear" w:color="auto" w:fill="auto"/>
          </w:tcPr>
          <w:p w14:paraId="27EEF14D" w14:textId="77777777" w:rsidR="002A4DDF" w:rsidRPr="00937C8B" w:rsidRDefault="002A4DDF" w:rsidP="009110ED">
            <w:pPr>
              <w:rPr>
                <w:rFonts w:ascii="Arial" w:hAnsi="Arial" w:cs="Arial"/>
                <w:sz w:val="12"/>
                <w:szCs w:val="12"/>
              </w:rPr>
            </w:pPr>
          </w:p>
        </w:tc>
        <w:tc>
          <w:tcPr>
            <w:tcW w:w="1843" w:type="dxa"/>
            <w:shd w:val="clear" w:color="auto" w:fill="auto"/>
          </w:tcPr>
          <w:p w14:paraId="14ABEAAC" w14:textId="77777777" w:rsidR="002A4DDF" w:rsidRPr="00937C8B" w:rsidRDefault="002A4DDF" w:rsidP="009110ED">
            <w:pPr>
              <w:rPr>
                <w:rFonts w:ascii="Arial" w:hAnsi="Arial" w:cs="Arial"/>
                <w:sz w:val="12"/>
                <w:szCs w:val="12"/>
              </w:rPr>
            </w:pPr>
          </w:p>
        </w:tc>
        <w:tc>
          <w:tcPr>
            <w:tcW w:w="2268" w:type="dxa"/>
            <w:shd w:val="clear" w:color="auto" w:fill="F2F2F2"/>
            <w:hideMark/>
          </w:tcPr>
          <w:p w14:paraId="225677D7" w14:textId="77777777" w:rsidR="002A4DDF" w:rsidRPr="00937C8B" w:rsidRDefault="002A4DDF" w:rsidP="009110ED">
            <w:pPr>
              <w:rPr>
                <w:rFonts w:ascii="Arial" w:hAnsi="Arial" w:cs="Arial"/>
                <w:sz w:val="12"/>
                <w:szCs w:val="12"/>
              </w:rPr>
            </w:pPr>
            <w:r>
              <w:rPr>
                <w:rFonts w:ascii="Arial" w:hAnsi="Arial"/>
                <w:sz w:val="12"/>
                <w:szCs w:val="12"/>
              </w:rPr>
              <w:t>Tajahuerce</w:t>
            </w:r>
          </w:p>
        </w:tc>
        <w:tc>
          <w:tcPr>
            <w:tcW w:w="2268" w:type="dxa"/>
            <w:tcBorders>
              <w:right w:val="single" w:sz="4" w:space="0" w:color="auto"/>
            </w:tcBorders>
            <w:shd w:val="clear" w:color="auto" w:fill="D9D9D9"/>
            <w:hideMark/>
          </w:tcPr>
          <w:p w14:paraId="6A404526" w14:textId="77777777" w:rsidR="002A4DDF" w:rsidRPr="00937C8B" w:rsidRDefault="002A4DDF" w:rsidP="009110ED">
            <w:pPr>
              <w:rPr>
                <w:rFonts w:ascii="Arial" w:hAnsi="Arial" w:cs="Arial"/>
                <w:sz w:val="12"/>
                <w:szCs w:val="12"/>
              </w:rPr>
            </w:pPr>
          </w:p>
        </w:tc>
      </w:tr>
      <w:tr w:rsidR="002A4DDF" w:rsidRPr="00937C8B" w14:paraId="1BEB1BD1" w14:textId="77777777" w:rsidTr="00935676">
        <w:trPr>
          <w:cantSplit/>
        </w:trPr>
        <w:tc>
          <w:tcPr>
            <w:tcW w:w="1696" w:type="dxa"/>
            <w:tcBorders>
              <w:left w:val="single" w:sz="4" w:space="0" w:color="auto"/>
            </w:tcBorders>
            <w:shd w:val="clear" w:color="auto" w:fill="auto"/>
          </w:tcPr>
          <w:p w14:paraId="11129C42" w14:textId="77777777" w:rsidR="002A4DDF" w:rsidRPr="00937C8B" w:rsidRDefault="002A4DDF" w:rsidP="009110ED">
            <w:pPr>
              <w:rPr>
                <w:rFonts w:ascii="Arial" w:hAnsi="Arial" w:cs="Arial"/>
                <w:sz w:val="12"/>
                <w:szCs w:val="12"/>
              </w:rPr>
            </w:pPr>
          </w:p>
        </w:tc>
        <w:tc>
          <w:tcPr>
            <w:tcW w:w="1843" w:type="dxa"/>
            <w:shd w:val="clear" w:color="auto" w:fill="auto"/>
          </w:tcPr>
          <w:p w14:paraId="1201373E" w14:textId="77777777" w:rsidR="002A4DDF" w:rsidRPr="00937C8B" w:rsidRDefault="002A4DDF" w:rsidP="009110ED">
            <w:pPr>
              <w:rPr>
                <w:rFonts w:ascii="Arial" w:hAnsi="Arial" w:cs="Arial"/>
                <w:sz w:val="12"/>
                <w:szCs w:val="12"/>
              </w:rPr>
            </w:pPr>
          </w:p>
        </w:tc>
        <w:tc>
          <w:tcPr>
            <w:tcW w:w="2268" w:type="dxa"/>
            <w:shd w:val="clear" w:color="auto" w:fill="F2F2F2"/>
            <w:hideMark/>
          </w:tcPr>
          <w:p w14:paraId="53B0FFE4" w14:textId="77777777" w:rsidR="002A4DDF" w:rsidRPr="00937C8B" w:rsidRDefault="002A4DDF" w:rsidP="009110ED">
            <w:pPr>
              <w:rPr>
                <w:rFonts w:ascii="Arial" w:hAnsi="Arial" w:cs="Arial"/>
                <w:sz w:val="12"/>
                <w:szCs w:val="12"/>
              </w:rPr>
            </w:pPr>
            <w:r>
              <w:rPr>
                <w:rFonts w:ascii="Arial" w:hAnsi="Arial"/>
                <w:sz w:val="12"/>
                <w:szCs w:val="12"/>
              </w:rPr>
              <w:t>Tejado</w:t>
            </w:r>
          </w:p>
        </w:tc>
        <w:tc>
          <w:tcPr>
            <w:tcW w:w="2268" w:type="dxa"/>
            <w:tcBorders>
              <w:right w:val="single" w:sz="4" w:space="0" w:color="auto"/>
            </w:tcBorders>
            <w:shd w:val="clear" w:color="auto" w:fill="D9D9D9"/>
            <w:hideMark/>
          </w:tcPr>
          <w:p w14:paraId="4855BAC6" w14:textId="77777777" w:rsidR="002A4DDF" w:rsidRPr="00937C8B" w:rsidRDefault="002A4DDF" w:rsidP="009110ED">
            <w:pPr>
              <w:rPr>
                <w:rFonts w:ascii="Arial" w:hAnsi="Arial" w:cs="Arial"/>
                <w:sz w:val="12"/>
                <w:szCs w:val="12"/>
              </w:rPr>
            </w:pPr>
          </w:p>
        </w:tc>
      </w:tr>
      <w:tr w:rsidR="002A4DDF" w:rsidRPr="00937C8B" w14:paraId="4DEDBF55" w14:textId="77777777" w:rsidTr="00935676">
        <w:trPr>
          <w:cantSplit/>
        </w:trPr>
        <w:tc>
          <w:tcPr>
            <w:tcW w:w="1696" w:type="dxa"/>
            <w:tcBorders>
              <w:left w:val="single" w:sz="4" w:space="0" w:color="auto"/>
            </w:tcBorders>
            <w:shd w:val="clear" w:color="auto" w:fill="auto"/>
          </w:tcPr>
          <w:p w14:paraId="2596EB42" w14:textId="77777777" w:rsidR="002A4DDF" w:rsidRPr="00937C8B" w:rsidRDefault="002A4DDF" w:rsidP="009110ED">
            <w:pPr>
              <w:rPr>
                <w:rFonts w:ascii="Arial" w:hAnsi="Arial" w:cs="Arial"/>
                <w:sz w:val="12"/>
                <w:szCs w:val="12"/>
              </w:rPr>
            </w:pPr>
          </w:p>
        </w:tc>
        <w:tc>
          <w:tcPr>
            <w:tcW w:w="1843" w:type="dxa"/>
            <w:shd w:val="clear" w:color="auto" w:fill="auto"/>
          </w:tcPr>
          <w:p w14:paraId="29CBFDA6" w14:textId="77777777" w:rsidR="002A4DDF" w:rsidRPr="00937C8B" w:rsidRDefault="002A4DDF" w:rsidP="009110ED">
            <w:pPr>
              <w:rPr>
                <w:rFonts w:ascii="Arial" w:hAnsi="Arial" w:cs="Arial"/>
                <w:sz w:val="12"/>
                <w:szCs w:val="12"/>
              </w:rPr>
            </w:pPr>
          </w:p>
        </w:tc>
        <w:tc>
          <w:tcPr>
            <w:tcW w:w="2268" w:type="dxa"/>
            <w:shd w:val="clear" w:color="auto" w:fill="F2F2F2"/>
            <w:hideMark/>
          </w:tcPr>
          <w:p w14:paraId="11CE8566" w14:textId="77777777" w:rsidR="002A4DDF" w:rsidRPr="00937C8B" w:rsidRDefault="002A4DDF" w:rsidP="009110ED">
            <w:pPr>
              <w:rPr>
                <w:rFonts w:ascii="Arial" w:hAnsi="Arial" w:cs="Arial"/>
                <w:sz w:val="12"/>
                <w:szCs w:val="12"/>
              </w:rPr>
            </w:pPr>
            <w:r>
              <w:rPr>
                <w:rFonts w:ascii="Arial" w:hAnsi="Arial"/>
                <w:sz w:val="12"/>
                <w:szCs w:val="12"/>
              </w:rPr>
              <w:t>Trévago</w:t>
            </w:r>
          </w:p>
        </w:tc>
        <w:tc>
          <w:tcPr>
            <w:tcW w:w="2268" w:type="dxa"/>
            <w:tcBorders>
              <w:right w:val="single" w:sz="4" w:space="0" w:color="auto"/>
            </w:tcBorders>
            <w:shd w:val="clear" w:color="auto" w:fill="D9D9D9"/>
            <w:hideMark/>
          </w:tcPr>
          <w:p w14:paraId="3AE06775" w14:textId="77777777" w:rsidR="002A4DDF" w:rsidRPr="00937C8B" w:rsidRDefault="002A4DDF" w:rsidP="009110ED">
            <w:pPr>
              <w:rPr>
                <w:rFonts w:ascii="Arial" w:hAnsi="Arial" w:cs="Arial"/>
                <w:sz w:val="12"/>
                <w:szCs w:val="12"/>
              </w:rPr>
            </w:pPr>
          </w:p>
        </w:tc>
      </w:tr>
      <w:tr w:rsidR="002A4DDF" w:rsidRPr="00937C8B" w14:paraId="2C6FAFD7" w14:textId="77777777" w:rsidTr="00935676">
        <w:trPr>
          <w:cantSplit/>
        </w:trPr>
        <w:tc>
          <w:tcPr>
            <w:tcW w:w="1696" w:type="dxa"/>
            <w:tcBorders>
              <w:left w:val="single" w:sz="4" w:space="0" w:color="auto"/>
            </w:tcBorders>
            <w:shd w:val="clear" w:color="auto" w:fill="auto"/>
          </w:tcPr>
          <w:p w14:paraId="34D1F2D3" w14:textId="77777777" w:rsidR="002A4DDF" w:rsidRPr="00937C8B" w:rsidRDefault="002A4DDF" w:rsidP="009110ED">
            <w:pPr>
              <w:rPr>
                <w:rFonts w:ascii="Arial" w:hAnsi="Arial" w:cs="Arial"/>
                <w:sz w:val="12"/>
                <w:szCs w:val="12"/>
              </w:rPr>
            </w:pPr>
          </w:p>
        </w:tc>
        <w:tc>
          <w:tcPr>
            <w:tcW w:w="1843" w:type="dxa"/>
            <w:shd w:val="clear" w:color="auto" w:fill="auto"/>
          </w:tcPr>
          <w:p w14:paraId="755D6569" w14:textId="77777777" w:rsidR="002A4DDF" w:rsidRPr="00937C8B" w:rsidRDefault="002A4DDF" w:rsidP="009110ED">
            <w:pPr>
              <w:rPr>
                <w:rFonts w:ascii="Arial" w:hAnsi="Arial" w:cs="Arial"/>
                <w:sz w:val="12"/>
                <w:szCs w:val="12"/>
              </w:rPr>
            </w:pPr>
          </w:p>
        </w:tc>
        <w:tc>
          <w:tcPr>
            <w:tcW w:w="2268" w:type="dxa"/>
            <w:shd w:val="clear" w:color="auto" w:fill="F2F2F2"/>
            <w:hideMark/>
          </w:tcPr>
          <w:p w14:paraId="1B086867" w14:textId="77777777" w:rsidR="002A4DDF" w:rsidRPr="00937C8B" w:rsidRDefault="002A4DDF" w:rsidP="009110ED">
            <w:pPr>
              <w:rPr>
                <w:rFonts w:ascii="Arial" w:hAnsi="Arial" w:cs="Arial"/>
                <w:sz w:val="12"/>
                <w:szCs w:val="12"/>
              </w:rPr>
            </w:pPr>
            <w:r>
              <w:rPr>
                <w:rFonts w:ascii="Arial" w:hAnsi="Arial"/>
                <w:sz w:val="12"/>
                <w:szCs w:val="12"/>
              </w:rPr>
              <w:t>Valdegeña</w:t>
            </w:r>
          </w:p>
        </w:tc>
        <w:tc>
          <w:tcPr>
            <w:tcW w:w="2268" w:type="dxa"/>
            <w:tcBorders>
              <w:right w:val="single" w:sz="4" w:space="0" w:color="auto"/>
            </w:tcBorders>
            <w:shd w:val="clear" w:color="auto" w:fill="D9D9D9"/>
            <w:hideMark/>
          </w:tcPr>
          <w:p w14:paraId="2C9A099E" w14:textId="77777777" w:rsidR="002A4DDF" w:rsidRPr="00937C8B" w:rsidRDefault="002A4DDF" w:rsidP="009110ED">
            <w:pPr>
              <w:rPr>
                <w:rFonts w:ascii="Arial" w:hAnsi="Arial" w:cs="Arial"/>
                <w:sz w:val="12"/>
                <w:szCs w:val="12"/>
              </w:rPr>
            </w:pPr>
          </w:p>
        </w:tc>
      </w:tr>
      <w:tr w:rsidR="002A4DDF" w:rsidRPr="00937C8B" w14:paraId="39E9C7F0" w14:textId="77777777" w:rsidTr="00935676">
        <w:trPr>
          <w:cantSplit/>
        </w:trPr>
        <w:tc>
          <w:tcPr>
            <w:tcW w:w="1696" w:type="dxa"/>
            <w:tcBorders>
              <w:left w:val="single" w:sz="4" w:space="0" w:color="auto"/>
            </w:tcBorders>
            <w:shd w:val="clear" w:color="auto" w:fill="auto"/>
          </w:tcPr>
          <w:p w14:paraId="53B9A2D8" w14:textId="77777777" w:rsidR="002A4DDF" w:rsidRPr="00937C8B" w:rsidRDefault="002A4DDF" w:rsidP="009110ED">
            <w:pPr>
              <w:rPr>
                <w:rFonts w:ascii="Arial" w:hAnsi="Arial" w:cs="Arial"/>
                <w:sz w:val="12"/>
                <w:szCs w:val="12"/>
              </w:rPr>
            </w:pPr>
          </w:p>
        </w:tc>
        <w:tc>
          <w:tcPr>
            <w:tcW w:w="1843" w:type="dxa"/>
            <w:shd w:val="clear" w:color="auto" w:fill="auto"/>
          </w:tcPr>
          <w:p w14:paraId="13A92D36" w14:textId="77777777" w:rsidR="002A4DDF" w:rsidRPr="00937C8B" w:rsidRDefault="002A4DDF" w:rsidP="009110ED">
            <w:pPr>
              <w:rPr>
                <w:rFonts w:ascii="Arial" w:hAnsi="Arial" w:cs="Arial"/>
                <w:sz w:val="12"/>
                <w:szCs w:val="12"/>
              </w:rPr>
            </w:pPr>
          </w:p>
        </w:tc>
        <w:tc>
          <w:tcPr>
            <w:tcW w:w="2268" w:type="dxa"/>
            <w:shd w:val="clear" w:color="auto" w:fill="F2F2F2"/>
            <w:hideMark/>
          </w:tcPr>
          <w:p w14:paraId="5C3823F1" w14:textId="77777777" w:rsidR="002A4DDF" w:rsidRPr="00937C8B" w:rsidRDefault="002A4DDF" w:rsidP="009110ED">
            <w:pPr>
              <w:rPr>
                <w:rFonts w:ascii="Arial" w:hAnsi="Arial" w:cs="Arial"/>
                <w:sz w:val="12"/>
                <w:szCs w:val="12"/>
              </w:rPr>
            </w:pPr>
            <w:r>
              <w:rPr>
                <w:rFonts w:ascii="Arial" w:hAnsi="Arial"/>
                <w:sz w:val="12"/>
                <w:szCs w:val="12"/>
              </w:rPr>
              <w:t>Valdelagua del Cerro</w:t>
            </w:r>
          </w:p>
        </w:tc>
        <w:tc>
          <w:tcPr>
            <w:tcW w:w="2268" w:type="dxa"/>
            <w:tcBorders>
              <w:right w:val="single" w:sz="4" w:space="0" w:color="auto"/>
            </w:tcBorders>
            <w:shd w:val="clear" w:color="auto" w:fill="D9D9D9"/>
            <w:hideMark/>
          </w:tcPr>
          <w:p w14:paraId="70C7BEA6" w14:textId="77777777" w:rsidR="002A4DDF" w:rsidRPr="00937C8B" w:rsidRDefault="002A4DDF" w:rsidP="009110ED">
            <w:pPr>
              <w:rPr>
                <w:rFonts w:ascii="Arial" w:hAnsi="Arial" w:cs="Arial"/>
                <w:sz w:val="12"/>
                <w:szCs w:val="12"/>
              </w:rPr>
            </w:pPr>
          </w:p>
        </w:tc>
      </w:tr>
      <w:tr w:rsidR="002A4DDF" w:rsidRPr="00937C8B" w14:paraId="123008E7" w14:textId="77777777" w:rsidTr="00935676">
        <w:trPr>
          <w:cantSplit/>
        </w:trPr>
        <w:tc>
          <w:tcPr>
            <w:tcW w:w="1696" w:type="dxa"/>
            <w:tcBorders>
              <w:left w:val="single" w:sz="4" w:space="0" w:color="auto"/>
            </w:tcBorders>
            <w:shd w:val="clear" w:color="auto" w:fill="auto"/>
          </w:tcPr>
          <w:p w14:paraId="58A80FBD" w14:textId="77777777" w:rsidR="002A4DDF" w:rsidRPr="00937C8B" w:rsidRDefault="002A4DDF" w:rsidP="009110ED">
            <w:pPr>
              <w:rPr>
                <w:rFonts w:ascii="Arial" w:hAnsi="Arial" w:cs="Arial"/>
                <w:sz w:val="12"/>
                <w:szCs w:val="12"/>
              </w:rPr>
            </w:pPr>
          </w:p>
        </w:tc>
        <w:tc>
          <w:tcPr>
            <w:tcW w:w="1843" w:type="dxa"/>
            <w:shd w:val="clear" w:color="auto" w:fill="auto"/>
          </w:tcPr>
          <w:p w14:paraId="42709F6D" w14:textId="77777777" w:rsidR="002A4DDF" w:rsidRPr="00937C8B" w:rsidRDefault="002A4DDF" w:rsidP="009110ED">
            <w:pPr>
              <w:rPr>
                <w:rFonts w:ascii="Arial" w:hAnsi="Arial" w:cs="Arial"/>
                <w:sz w:val="12"/>
                <w:szCs w:val="12"/>
              </w:rPr>
            </w:pPr>
          </w:p>
        </w:tc>
        <w:tc>
          <w:tcPr>
            <w:tcW w:w="2268" w:type="dxa"/>
            <w:shd w:val="clear" w:color="auto" w:fill="F2F2F2"/>
            <w:hideMark/>
          </w:tcPr>
          <w:p w14:paraId="75A0E34C" w14:textId="77777777" w:rsidR="002A4DDF" w:rsidRPr="00937C8B" w:rsidRDefault="002A4DDF" w:rsidP="009110ED">
            <w:pPr>
              <w:rPr>
                <w:rFonts w:ascii="Arial" w:hAnsi="Arial" w:cs="Arial"/>
                <w:sz w:val="12"/>
                <w:szCs w:val="12"/>
              </w:rPr>
            </w:pPr>
            <w:r>
              <w:rPr>
                <w:rFonts w:ascii="Arial" w:hAnsi="Arial"/>
                <w:sz w:val="12"/>
                <w:szCs w:val="12"/>
              </w:rPr>
              <w:t>Valdemaluque</w:t>
            </w:r>
          </w:p>
        </w:tc>
        <w:tc>
          <w:tcPr>
            <w:tcW w:w="2268" w:type="dxa"/>
            <w:tcBorders>
              <w:right w:val="single" w:sz="4" w:space="0" w:color="auto"/>
            </w:tcBorders>
            <w:shd w:val="clear" w:color="auto" w:fill="D9D9D9"/>
            <w:hideMark/>
          </w:tcPr>
          <w:p w14:paraId="383CDE7C" w14:textId="77777777" w:rsidR="002A4DDF" w:rsidRPr="00937C8B" w:rsidRDefault="002A4DDF" w:rsidP="009110ED">
            <w:pPr>
              <w:rPr>
                <w:rFonts w:ascii="Arial" w:hAnsi="Arial" w:cs="Arial"/>
                <w:sz w:val="12"/>
                <w:szCs w:val="12"/>
              </w:rPr>
            </w:pPr>
          </w:p>
        </w:tc>
      </w:tr>
      <w:tr w:rsidR="002A4DDF" w:rsidRPr="00937C8B" w14:paraId="18962E21" w14:textId="77777777" w:rsidTr="00935676">
        <w:trPr>
          <w:cantSplit/>
        </w:trPr>
        <w:tc>
          <w:tcPr>
            <w:tcW w:w="1696" w:type="dxa"/>
            <w:tcBorders>
              <w:left w:val="single" w:sz="4" w:space="0" w:color="auto"/>
            </w:tcBorders>
            <w:shd w:val="clear" w:color="auto" w:fill="auto"/>
          </w:tcPr>
          <w:p w14:paraId="57D22ED4" w14:textId="77777777" w:rsidR="002A4DDF" w:rsidRPr="00937C8B" w:rsidRDefault="002A4DDF" w:rsidP="009110ED">
            <w:pPr>
              <w:rPr>
                <w:rFonts w:ascii="Arial" w:hAnsi="Arial" w:cs="Arial"/>
                <w:sz w:val="12"/>
                <w:szCs w:val="12"/>
              </w:rPr>
            </w:pPr>
          </w:p>
        </w:tc>
        <w:tc>
          <w:tcPr>
            <w:tcW w:w="1843" w:type="dxa"/>
            <w:shd w:val="clear" w:color="auto" w:fill="auto"/>
          </w:tcPr>
          <w:p w14:paraId="355B5B99" w14:textId="77777777" w:rsidR="002A4DDF" w:rsidRPr="00937C8B" w:rsidRDefault="002A4DDF" w:rsidP="009110ED">
            <w:pPr>
              <w:rPr>
                <w:rFonts w:ascii="Arial" w:hAnsi="Arial" w:cs="Arial"/>
                <w:sz w:val="12"/>
                <w:szCs w:val="12"/>
              </w:rPr>
            </w:pPr>
          </w:p>
        </w:tc>
        <w:tc>
          <w:tcPr>
            <w:tcW w:w="2268" w:type="dxa"/>
            <w:shd w:val="clear" w:color="auto" w:fill="F2F2F2"/>
            <w:hideMark/>
          </w:tcPr>
          <w:p w14:paraId="0CD5DB98" w14:textId="77777777" w:rsidR="002A4DDF" w:rsidRPr="00937C8B" w:rsidRDefault="002A4DDF" w:rsidP="009110ED">
            <w:pPr>
              <w:rPr>
                <w:rFonts w:ascii="Arial" w:hAnsi="Arial" w:cs="Arial"/>
                <w:sz w:val="12"/>
                <w:szCs w:val="12"/>
              </w:rPr>
            </w:pPr>
            <w:r>
              <w:rPr>
                <w:rFonts w:ascii="Arial" w:hAnsi="Arial"/>
                <w:sz w:val="12"/>
                <w:szCs w:val="12"/>
              </w:rPr>
              <w:t>Valtajeros</w:t>
            </w:r>
          </w:p>
        </w:tc>
        <w:tc>
          <w:tcPr>
            <w:tcW w:w="2268" w:type="dxa"/>
            <w:tcBorders>
              <w:right w:val="single" w:sz="4" w:space="0" w:color="auto"/>
            </w:tcBorders>
            <w:shd w:val="clear" w:color="auto" w:fill="D9D9D9"/>
            <w:hideMark/>
          </w:tcPr>
          <w:p w14:paraId="035615FD" w14:textId="77777777" w:rsidR="002A4DDF" w:rsidRPr="00937C8B" w:rsidRDefault="002A4DDF" w:rsidP="009110ED">
            <w:pPr>
              <w:rPr>
                <w:rFonts w:ascii="Arial" w:hAnsi="Arial" w:cs="Arial"/>
                <w:sz w:val="12"/>
                <w:szCs w:val="12"/>
              </w:rPr>
            </w:pPr>
          </w:p>
        </w:tc>
      </w:tr>
      <w:tr w:rsidR="002A4DDF" w:rsidRPr="00937C8B" w14:paraId="21DFB41D" w14:textId="77777777" w:rsidTr="00935676">
        <w:trPr>
          <w:cantSplit/>
        </w:trPr>
        <w:tc>
          <w:tcPr>
            <w:tcW w:w="1696" w:type="dxa"/>
            <w:tcBorders>
              <w:left w:val="single" w:sz="4" w:space="0" w:color="auto"/>
            </w:tcBorders>
            <w:shd w:val="clear" w:color="auto" w:fill="auto"/>
          </w:tcPr>
          <w:p w14:paraId="547469B3" w14:textId="77777777" w:rsidR="002A4DDF" w:rsidRPr="00937C8B" w:rsidRDefault="002A4DDF" w:rsidP="009110ED">
            <w:pPr>
              <w:rPr>
                <w:rFonts w:ascii="Arial" w:hAnsi="Arial" w:cs="Arial"/>
                <w:sz w:val="12"/>
                <w:szCs w:val="12"/>
              </w:rPr>
            </w:pPr>
          </w:p>
        </w:tc>
        <w:tc>
          <w:tcPr>
            <w:tcW w:w="1843" w:type="dxa"/>
            <w:shd w:val="clear" w:color="auto" w:fill="auto"/>
          </w:tcPr>
          <w:p w14:paraId="1107DD55" w14:textId="77777777" w:rsidR="002A4DDF" w:rsidRPr="00937C8B" w:rsidRDefault="002A4DDF" w:rsidP="009110ED">
            <w:pPr>
              <w:rPr>
                <w:rFonts w:ascii="Arial" w:hAnsi="Arial" w:cs="Arial"/>
                <w:sz w:val="12"/>
                <w:szCs w:val="12"/>
              </w:rPr>
            </w:pPr>
          </w:p>
        </w:tc>
        <w:tc>
          <w:tcPr>
            <w:tcW w:w="2268" w:type="dxa"/>
            <w:shd w:val="clear" w:color="auto" w:fill="F2F2F2"/>
            <w:hideMark/>
          </w:tcPr>
          <w:p w14:paraId="75C2CF88" w14:textId="77777777" w:rsidR="002A4DDF" w:rsidRPr="00937C8B" w:rsidRDefault="002A4DDF" w:rsidP="009110ED">
            <w:pPr>
              <w:rPr>
                <w:rFonts w:ascii="Arial" w:hAnsi="Arial" w:cs="Arial"/>
                <w:sz w:val="12"/>
                <w:szCs w:val="12"/>
              </w:rPr>
            </w:pPr>
            <w:r>
              <w:rPr>
                <w:rFonts w:ascii="Arial" w:hAnsi="Arial"/>
                <w:sz w:val="12"/>
                <w:szCs w:val="12"/>
              </w:rPr>
              <w:t>Villaciervos</w:t>
            </w:r>
          </w:p>
        </w:tc>
        <w:tc>
          <w:tcPr>
            <w:tcW w:w="2268" w:type="dxa"/>
            <w:tcBorders>
              <w:right w:val="single" w:sz="4" w:space="0" w:color="auto"/>
            </w:tcBorders>
            <w:shd w:val="clear" w:color="auto" w:fill="D9D9D9"/>
            <w:hideMark/>
          </w:tcPr>
          <w:p w14:paraId="4DA08373" w14:textId="77777777" w:rsidR="002A4DDF" w:rsidRPr="00937C8B" w:rsidRDefault="002A4DDF" w:rsidP="009110ED">
            <w:pPr>
              <w:rPr>
                <w:rFonts w:ascii="Arial" w:hAnsi="Arial" w:cs="Arial"/>
                <w:sz w:val="12"/>
                <w:szCs w:val="12"/>
              </w:rPr>
            </w:pPr>
          </w:p>
        </w:tc>
      </w:tr>
      <w:tr w:rsidR="002A4DDF" w:rsidRPr="00937C8B" w14:paraId="3588EDEC" w14:textId="77777777" w:rsidTr="00935676">
        <w:trPr>
          <w:cantSplit/>
        </w:trPr>
        <w:tc>
          <w:tcPr>
            <w:tcW w:w="1696" w:type="dxa"/>
            <w:tcBorders>
              <w:left w:val="single" w:sz="4" w:space="0" w:color="auto"/>
            </w:tcBorders>
            <w:shd w:val="clear" w:color="auto" w:fill="auto"/>
          </w:tcPr>
          <w:p w14:paraId="1E0D6E24" w14:textId="77777777" w:rsidR="002A4DDF" w:rsidRPr="00937C8B" w:rsidRDefault="002A4DDF" w:rsidP="009110ED">
            <w:pPr>
              <w:rPr>
                <w:rFonts w:ascii="Arial" w:hAnsi="Arial" w:cs="Arial"/>
                <w:sz w:val="12"/>
                <w:szCs w:val="12"/>
              </w:rPr>
            </w:pPr>
          </w:p>
        </w:tc>
        <w:tc>
          <w:tcPr>
            <w:tcW w:w="1843" w:type="dxa"/>
            <w:shd w:val="clear" w:color="auto" w:fill="auto"/>
          </w:tcPr>
          <w:p w14:paraId="04471800" w14:textId="77777777" w:rsidR="002A4DDF" w:rsidRPr="00937C8B" w:rsidRDefault="002A4DDF" w:rsidP="009110ED">
            <w:pPr>
              <w:rPr>
                <w:rFonts w:ascii="Arial" w:hAnsi="Arial" w:cs="Arial"/>
                <w:sz w:val="12"/>
                <w:szCs w:val="12"/>
              </w:rPr>
            </w:pPr>
          </w:p>
        </w:tc>
        <w:tc>
          <w:tcPr>
            <w:tcW w:w="2268" w:type="dxa"/>
            <w:shd w:val="clear" w:color="auto" w:fill="F2F2F2"/>
            <w:hideMark/>
          </w:tcPr>
          <w:p w14:paraId="36705EF7" w14:textId="77777777" w:rsidR="002A4DDF" w:rsidRPr="00937C8B" w:rsidRDefault="002A4DDF" w:rsidP="009110ED">
            <w:pPr>
              <w:rPr>
                <w:rFonts w:ascii="Arial" w:hAnsi="Arial" w:cs="Arial"/>
                <w:sz w:val="12"/>
                <w:szCs w:val="12"/>
              </w:rPr>
            </w:pPr>
            <w:r>
              <w:rPr>
                <w:rFonts w:ascii="Arial" w:hAnsi="Arial"/>
                <w:sz w:val="12"/>
                <w:szCs w:val="12"/>
              </w:rPr>
              <w:t>Villar del Campo</w:t>
            </w:r>
          </w:p>
        </w:tc>
        <w:tc>
          <w:tcPr>
            <w:tcW w:w="2268" w:type="dxa"/>
            <w:tcBorders>
              <w:right w:val="single" w:sz="4" w:space="0" w:color="auto"/>
            </w:tcBorders>
            <w:shd w:val="clear" w:color="auto" w:fill="D9D9D9"/>
            <w:hideMark/>
          </w:tcPr>
          <w:p w14:paraId="0FF7EE98" w14:textId="77777777" w:rsidR="002A4DDF" w:rsidRPr="00937C8B" w:rsidRDefault="002A4DDF" w:rsidP="009110ED">
            <w:pPr>
              <w:rPr>
                <w:rFonts w:ascii="Arial" w:hAnsi="Arial" w:cs="Arial"/>
                <w:sz w:val="12"/>
                <w:szCs w:val="12"/>
              </w:rPr>
            </w:pPr>
          </w:p>
        </w:tc>
      </w:tr>
      <w:tr w:rsidR="002A4DDF" w:rsidRPr="00937C8B" w14:paraId="5219D641" w14:textId="77777777" w:rsidTr="00935676">
        <w:trPr>
          <w:cantSplit/>
        </w:trPr>
        <w:tc>
          <w:tcPr>
            <w:tcW w:w="1696" w:type="dxa"/>
            <w:tcBorders>
              <w:left w:val="single" w:sz="4" w:space="0" w:color="auto"/>
            </w:tcBorders>
            <w:shd w:val="clear" w:color="auto" w:fill="auto"/>
          </w:tcPr>
          <w:p w14:paraId="611C531F" w14:textId="77777777" w:rsidR="002A4DDF" w:rsidRPr="00937C8B" w:rsidRDefault="002A4DDF" w:rsidP="009110ED">
            <w:pPr>
              <w:rPr>
                <w:rFonts w:ascii="Arial" w:hAnsi="Arial" w:cs="Arial"/>
                <w:sz w:val="12"/>
                <w:szCs w:val="12"/>
              </w:rPr>
            </w:pPr>
          </w:p>
        </w:tc>
        <w:tc>
          <w:tcPr>
            <w:tcW w:w="1843" w:type="dxa"/>
            <w:shd w:val="clear" w:color="auto" w:fill="auto"/>
          </w:tcPr>
          <w:p w14:paraId="16ADA4AE" w14:textId="77777777" w:rsidR="002A4DDF" w:rsidRPr="00937C8B" w:rsidRDefault="002A4DDF" w:rsidP="009110ED">
            <w:pPr>
              <w:rPr>
                <w:rFonts w:ascii="Arial" w:hAnsi="Arial" w:cs="Arial"/>
                <w:sz w:val="12"/>
                <w:szCs w:val="12"/>
              </w:rPr>
            </w:pPr>
          </w:p>
        </w:tc>
        <w:tc>
          <w:tcPr>
            <w:tcW w:w="2268" w:type="dxa"/>
            <w:shd w:val="clear" w:color="auto" w:fill="F2F2F2"/>
            <w:hideMark/>
          </w:tcPr>
          <w:p w14:paraId="1E936794" w14:textId="77777777" w:rsidR="002A4DDF" w:rsidRPr="00937C8B" w:rsidRDefault="002A4DDF" w:rsidP="009110ED">
            <w:pPr>
              <w:rPr>
                <w:rFonts w:ascii="Arial" w:hAnsi="Arial" w:cs="Arial"/>
                <w:sz w:val="12"/>
                <w:szCs w:val="12"/>
              </w:rPr>
            </w:pPr>
            <w:r>
              <w:rPr>
                <w:rFonts w:ascii="Arial" w:hAnsi="Arial"/>
                <w:sz w:val="12"/>
                <w:szCs w:val="12"/>
              </w:rPr>
              <w:t>Villar del Río</w:t>
            </w:r>
          </w:p>
        </w:tc>
        <w:tc>
          <w:tcPr>
            <w:tcW w:w="2268" w:type="dxa"/>
            <w:tcBorders>
              <w:right w:val="single" w:sz="4" w:space="0" w:color="auto"/>
            </w:tcBorders>
            <w:shd w:val="clear" w:color="auto" w:fill="D9D9D9"/>
            <w:hideMark/>
          </w:tcPr>
          <w:p w14:paraId="17F94D5E" w14:textId="77777777" w:rsidR="002A4DDF" w:rsidRPr="00937C8B" w:rsidRDefault="002A4DDF" w:rsidP="009110ED">
            <w:pPr>
              <w:rPr>
                <w:rFonts w:ascii="Arial" w:hAnsi="Arial" w:cs="Arial"/>
                <w:sz w:val="12"/>
                <w:szCs w:val="12"/>
              </w:rPr>
            </w:pPr>
          </w:p>
        </w:tc>
      </w:tr>
      <w:tr w:rsidR="002A4DDF" w:rsidRPr="00937C8B" w14:paraId="4B8B339F" w14:textId="77777777" w:rsidTr="00935676">
        <w:trPr>
          <w:cantSplit/>
        </w:trPr>
        <w:tc>
          <w:tcPr>
            <w:tcW w:w="1696" w:type="dxa"/>
            <w:tcBorders>
              <w:left w:val="single" w:sz="4" w:space="0" w:color="auto"/>
            </w:tcBorders>
            <w:shd w:val="clear" w:color="auto" w:fill="auto"/>
          </w:tcPr>
          <w:p w14:paraId="443D63EA" w14:textId="77777777" w:rsidR="002A4DDF" w:rsidRPr="00937C8B" w:rsidRDefault="002A4DDF" w:rsidP="009110ED">
            <w:pPr>
              <w:rPr>
                <w:rFonts w:ascii="Arial" w:hAnsi="Arial" w:cs="Arial"/>
                <w:sz w:val="12"/>
                <w:szCs w:val="12"/>
              </w:rPr>
            </w:pPr>
          </w:p>
        </w:tc>
        <w:tc>
          <w:tcPr>
            <w:tcW w:w="1843" w:type="dxa"/>
            <w:shd w:val="clear" w:color="auto" w:fill="auto"/>
          </w:tcPr>
          <w:p w14:paraId="022EDBDB" w14:textId="77777777" w:rsidR="002A4DDF" w:rsidRPr="00937C8B" w:rsidRDefault="002A4DDF" w:rsidP="009110ED">
            <w:pPr>
              <w:rPr>
                <w:rFonts w:ascii="Arial" w:hAnsi="Arial" w:cs="Arial"/>
                <w:sz w:val="12"/>
                <w:szCs w:val="12"/>
              </w:rPr>
            </w:pPr>
          </w:p>
        </w:tc>
        <w:tc>
          <w:tcPr>
            <w:tcW w:w="2268" w:type="dxa"/>
            <w:shd w:val="clear" w:color="auto" w:fill="F2F2F2"/>
            <w:hideMark/>
          </w:tcPr>
          <w:p w14:paraId="5AB51DD9" w14:textId="77777777" w:rsidR="002A4DDF" w:rsidRPr="00937C8B" w:rsidRDefault="002A4DDF" w:rsidP="009110ED">
            <w:pPr>
              <w:rPr>
                <w:rFonts w:ascii="Arial" w:hAnsi="Arial" w:cs="Arial"/>
                <w:sz w:val="12"/>
                <w:szCs w:val="12"/>
              </w:rPr>
            </w:pPr>
            <w:r>
              <w:rPr>
                <w:rFonts w:ascii="Arial" w:hAnsi="Arial"/>
                <w:sz w:val="12"/>
                <w:szCs w:val="12"/>
              </w:rPr>
              <w:t>Vizmanos</w:t>
            </w:r>
          </w:p>
        </w:tc>
        <w:tc>
          <w:tcPr>
            <w:tcW w:w="2268" w:type="dxa"/>
            <w:tcBorders>
              <w:right w:val="single" w:sz="4" w:space="0" w:color="auto"/>
            </w:tcBorders>
            <w:shd w:val="clear" w:color="auto" w:fill="D9D9D9"/>
            <w:hideMark/>
          </w:tcPr>
          <w:p w14:paraId="7146FE00" w14:textId="77777777" w:rsidR="002A4DDF" w:rsidRPr="00937C8B" w:rsidRDefault="002A4DDF" w:rsidP="009110ED">
            <w:pPr>
              <w:rPr>
                <w:rFonts w:ascii="Arial" w:hAnsi="Arial" w:cs="Arial"/>
                <w:sz w:val="12"/>
                <w:szCs w:val="12"/>
              </w:rPr>
            </w:pPr>
          </w:p>
        </w:tc>
      </w:tr>
      <w:tr w:rsidR="002A4DDF" w:rsidRPr="00937C8B" w14:paraId="63C229B7" w14:textId="77777777" w:rsidTr="00935676">
        <w:trPr>
          <w:cantSplit/>
        </w:trPr>
        <w:tc>
          <w:tcPr>
            <w:tcW w:w="1696" w:type="dxa"/>
            <w:tcBorders>
              <w:left w:val="single" w:sz="4" w:space="0" w:color="auto"/>
            </w:tcBorders>
            <w:shd w:val="clear" w:color="auto" w:fill="auto"/>
          </w:tcPr>
          <w:p w14:paraId="36482AB6" w14:textId="77777777" w:rsidR="002A4DDF" w:rsidRPr="00937C8B" w:rsidRDefault="002A4DDF" w:rsidP="009110ED">
            <w:pPr>
              <w:rPr>
                <w:rFonts w:ascii="Arial" w:hAnsi="Arial" w:cs="Arial"/>
                <w:sz w:val="12"/>
                <w:szCs w:val="12"/>
              </w:rPr>
            </w:pPr>
          </w:p>
        </w:tc>
        <w:tc>
          <w:tcPr>
            <w:tcW w:w="1843" w:type="dxa"/>
            <w:shd w:val="clear" w:color="auto" w:fill="auto"/>
          </w:tcPr>
          <w:p w14:paraId="099B5AB1" w14:textId="77777777" w:rsidR="002A4DDF" w:rsidRPr="00937C8B" w:rsidRDefault="002A4DDF" w:rsidP="009110ED">
            <w:pPr>
              <w:rPr>
                <w:rFonts w:ascii="Arial" w:hAnsi="Arial" w:cs="Arial"/>
                <w:sz w:val="12"/>
                <w:szCs w:val="12"/>
              </w:rPr>
            </w:pPr>
          </w:p>
        </w:tc>
        <w:tc>
          <w:tcPr>
            <w:tcW w:w="2268" w:type="dxa"/>
            <w:shd w:val="clear" w:color="auto" w:fill="F2F2F2"/>
            <w:hideMark/>
          </w:tcPr>
          <w:p w14:paraId="27F2F239" w14:textId="77777777" w:rsidR="002A4DDF" w:rsidRPr="00937C8B" w:rsidRDefault="002A4DDF" w:rsidP="009110ED">
            <w:pPr>
              <w:rPr>
                <w:rFonts w:ascii="Arial" w:hAnsi="Arial" w:cs="Arial"/>
                <w:sz w:val="12"/>
                <w:szCs w:val="12"/>
              </w:rPr>
            </w:pPr>
            <w:r>
              <w:rPr>
                <w:rFonts w:ascii="Arial" w:hAnsi="Arial"/>
                <w:sz w:val="12"/>
                <w:szCs w:val="12"/>
              </w:rPr>
              <w:t>Vozmediano</w:t>
            </w:r>
          </w:p>
        </w:tc>
        <w:tc>
          <w:tcPr>
            <w:tcW w:w="2268" w:type="dxa"/>
            <w:tcBorders>
              <w:right w:val="single" w:sz="4" w:space="0" w:color="auto"/>
            </w:tcBorders>
            <w:shd w:val="clear" w:color="auto" w:fill="D9D9D9"/>
            <w:hideMark/>
          </w:tcPr>
          <w:p w14:paraId="2E4337D8" w14:textId="77777777" w:rsidR="002A4DDF" w:rsidRPr="00937C8B" w:rsidRDefault="002A4DDF" w:rsidP="009110ED">
            <w:pPr>
              <w:rPr>
                <w:rFonts w:ascii="Arial" w:hAnsi="Arial" w:cs="Arial"/>
                <w:sz w:val="12"/>
                <w:szCs w:val="12"/>
              </w:rPr>
            </w:pPr>
          </w:p>
        </w:tc>
      </w:tr>
      <w:tr w:rsidR="002A4DDF" w:rsidRPr="00937C8B" w14:paraId="1164051F" w14:textId="77777777" w:rsidTr="00935676">
        <w:trPr>
          <w:cantSplit/>
        </w:trPr>
        <w:tc>
          <w:tcPr>
            <w:tcW w:w="1696" w:type="dxa"/>
            <w:tcBorders>
              <w:left w:val="single" w:sz="4" w:space="0" w:color="auto"/>
              <w:bottom w:val="single" w:sz="4" w:space="0" w:color="auto"/>
            </w:tcBorders>
            <w:shd w:val="clear" w:color="auto" w:fill="auto"/>
            <w:hideMark/>
          </w:tcPr>
          <w:p w14:paraId="2AC73FED"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bottom w:val="single" w:sz="4" w:space="0" w:color="auto"/>
            </w:tcBorders>
            <w:shd w:val="clear" w:color="auto" w:fill="auto"/>
            <w:hideMark/>
          </w:tcPr>
          <w:p w14:paraId="38EC36E6" w14:textId="77777777" w:rsidR="002A4DDF" w:rsidRPr="00937C8B" w:rsidRDefault="002A4DDF" w:rsidP="009110ED">
            <w:pPr>
              <w:rPr>
                <w:rFonts w:ascii="Arial" w:hAnsi="Arial" w:cs="Arial"/>
                <w:sz w:val="12"/>
                <w:szCs w:val="12"/>
              </w:rPr>
            </w:pPr>
            <w:r>
              <w:rPr>
                <w:rFonts w:ascii="Arial" w:hAnsi="Arial"/>
                <w:sz w:val="12"/>
                <w:szCs w:val="12"/>
              </w:rPr>
              <w:t>Soria</w:t>
            </w:r>
          </w:p>
        </w:tc>
        <w:tc>
          <w:tcPr>
            <w:tcW w:w="2268" w:type="dxa"/>
            <w:tcBorders>
              <w:bottom w:val="single" w:sz="4" w:space="0" w:color="auto"/>
            </w:tcBorders>
            <w:shd w:val="clear" w:color="auto" w:fill="F2F2F2"/>
            <w:hideMark/>
          </w:tcPr>
          <w:p w14:paraId="5902DA30" w14:textId="77777777" w:rsidR="002A4DDF" w:rsidRPr="00937C8B" w:rsidRDefault="002A4DDF" w:rsidP="009110ED">
            <w:pPr>
              <w:rPr>
                <w:rFonts w:ascii="Arial" w:hAnsi="Arial" w:cs="Arial"/>
                <w:sz w:val="12"/>
                <w:szCs w:val="12"/>
              </w:rPr>
            </w:pPr>
            <w:r>
              <w:rPr>
                <w:rFonts w:ascii="Arial" w:hAnsi="Arial"/>
                <w:sz w:val="12"/>
                <w:szCs w:val="12"/>
              </w:rPr>
              <w:t>Yanguas</w:t>
            </w:r>
          </w:p>
        </w:tc>
        <w:tc>
          <w:tcPr>
            <w:tcW w:w="2268" w:type="dxa"/>
            <w:tcBorders>
              <w:bottom w:val="single" w:sz="4" w:space="0" w:color="auto"/>
              <w:right w:val="single" w:sz="4" w:space="0" w:color="auto"/>
            </w:tcBorders>
            <w:shd w:val="clear" w:color="auto" w:fill="D9D9D9"/>
            <w:hideMark/>
          </w:tcPr>
          <w:p w14:paraId="5D794BF6" w14:textId="77777777" w:rsidR="002A4DDF" w:rsidRPr="00937C8B" w:rsidRDefault="002A4DDF" w:rsidP="009110ED">
            <w:pPr>
              <w:rPr>
                <w:rFonts w:ascii="Arial" w:hAnsi="Arial" w:cs="Arial"/>
                <w:sz w:val="12"/>
                <w:szCs w:val="12"/>
              </w:rPr>
            </w:pPr>
          </w:p>
        </w:tc>
      </w:tr>
      <w:tr w:rsidR="002A4DDF" w:rsidRPr="00937C8B" w14:paraId="7439D273" w14:textId="77777777" w:rsidTr="00935676">
        <w:trPr>
          <w:cantSplit/>
        </w:trPr>
        <w:tc>
          <w:tcPr>
            <w:tcW w:w="1696" w:type="dxa"/>
            <w:tcBorders>
              <w:top w:val="single" w:sz="4" w:space="0" w:color="auto"/>
              <w:bottom w:val="single" w:sz="4" w:space="0" w:color="auto"/>
            </w:tcBorders>
            <w:shd w:val="clear" w:color="auto" w:fill="auto"/>
            <w:hideMark/>
          </w:tcPr>
          <w:p w14:paraId="45252731"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3D5D4DBB"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3F7BCAFC"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0B270D67" w14:textId="77777777" w:rsidR="002A4DDF" w:rsidRPr="00937C8B" w:rsidRDefault="002A4DDF" w:rsidP="009110ED">
            <w:pPr>
              <w:rPr>
                <w:rFonts w:ascii="Arial" w:hAnsi="Arial" w:cs="Arial"/>
                <w:sz w:val="12"/>
                <w:szCs w:val="12"/>
              </w:rPr>
            </w:pPr>
          </w:p>
        </w:tc>
      </w:tr>
      <w:tr w:rsidR="002A4DDF" w:rsidRPr="00937C8B" w14:paraId="6CB9C5CB" w14:textId="77777777" w:rsidTr="00935676">
        <w:trPr>
          <w:cantSplit/>
        </w:trPr>
        <w:tc>
          <w:tcPr>
            <w:tcW w:w="1696" w:type="dxa"/>
            <w:tcBorders>
              <w:top w:val="single" w:sz="4" w:space="0" w:color="auto"/>
              <w:left w:val="single" w:sz="4" w:space="0" w:color="auto"/>
            </w:tcBorders>
            <w:shd w:val="clear" w:color="auto" w:fill="auto"/>
            <w:hideMark/>
          </w:tcPr>
          <w:p w14:paraId="694B8228"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top w:val="single" w:sz="4" w:space="0" w:color="auto"/>
            </w:tcBorders>
            <w:shd w:val="clear" w:color="auto" w:fill="auto"/>
            <w:hideMark/>
          </w:tcPr>
          <w:p w14:paraId="10CD2674" w14:textId="77777777" w:rsidR="002A4DDF" w:rsidRPr="00937C8B" w:rsidRDefault="002A4DDF" w:rsidP="009110ED">
            <w:pPr>
              <w:rPr>
                <w:rFonts w:ascii="Arial" w:hAnsi="Arial" w:cs="Arial"/>
                <w:sz w:val="12"/>
                <w:szCs w:val="12"/>
              </w:rPr>
            </w:pPr>
            <w:r>
              <w:rPr>
                <w:rFonts w:ascii="Arial" w:hAnsi="Arial"/>
                <w:sz w:val="12"/>
                <w:szCs w:val="12"/>
              </w:rPr>
              <w:t>Valladolid</w:t>
            </w:r>
          </w:p>
        </w:tc>
        <w:tc>
          <w:tcPr>
            <w:tcW w:w="2268" w:type="dxa"/>
            <w:tcBorders>
              <w:top w:val="single" w:sz="4" w:space="0" w:color="auto"/>
            </w:tcBorders>
            <w:shd w:val="clear" w:color="auto" w:fill="F2F2F2"/>
            <w:hideMark/>
          </w:tcPr>
          <w:p w14:paraId="2948F587" w14:textId="77777777" w:rsidR="002A4DDF" w:rsidRPr="00937C8B" w:rsidRDefault="002A4DDF" w:rsidP="009110ED">
            <w:pPr>
              <w:rPr>
                <w:rFonts w:ascii="Arial" w:hAnsi="Arial" w:cs="Arial"/>
                <w:sz w:val="12"/>
                <w:szCs w:val="12"/>
              </w:rPr>
            </w:pPr>
            <w:r>
              <w:rPr>
                <w:rFonts w:ascii="Arial" w:hAnsi="Arial"/>
                <w:sz w:val="12"/>
                <w:szCs w:val="12"/>
              </w:rPr>
              <w:t>Aguasal</w:t>
            </w:r>
          </w:p>
        </w:tc>
        <w:tc>
          <w:tcPr>
            <w:tcW w:w="2268" w:type="dxa"/>
            <w:tcBorders>
              <w:top w:val="single" w:sz="4" w:space="0" w:color="auto"/>
              <w:right w:val="single" w:sz="4" w:space="0" w:color="auto"/>
            </w:tcBorders>
            <w:shd w:val="clear" w:color="auto" w:fill="D9D9D9"/>
            <w:hideMark/>
          </w:tcPr>
          <w:p w14:paraId="6EFFF729" w14:textId="77777777" w:rsidR="002A4DDF" w:rsidRPr="00937C8B" w:rsidRDefault="002A4DDF" w:rsidP="009110ED">
            <w:pPr>
              <w:rPr>
                <w:rFonts w:ascii="Arial" w:hAnsi="Arial" w:cs="Arial"/>
                <w:sz w:val="12"/>
                <w:szCs w:val="12"/>
              </w:rPr>
            </w:pPr>
          </w:p>
        </w:tc>
      </w:tr>
      <w:tr w:rsidR="002A4DDF" w:rsidRPr="00937C8B" w14:paraId="6F1D1BEE" w14:textId="77777777" w:rsidTr="00935676">
        <w:trPr>
          <w:cantSplit/>
        </w:trPr>
        <w:tc>
          <w:tcPr>
            <w:tcW w:w="1696" w:type="dxa"/>
            <w:tcBorders>
              <w:left w:val="single" w:sz="4" w:space="0" w:color="auto"/>
            </w:tcBorders>
            <w:shd w:val="clear" w:color="auto" w:fill="auto"/>
          </w:tcPr>
          <w:p w14:paraId="2DE5FE26" w14:textId="77777777" w:rsidR="002A4DDF" w:rsidRPr="00937C8B" w:rsidRDefault="002A4DDF" w:rsidP="009110ED">
            <w:pPr>
              <w:rPr>
                <w:rFonts w:ascii="Arial" w:hAnsi="Arial" w:cs="Arial"/>
                <w:sz w:val="12"/>
                <w:szCs w:val="12"/>
              </w:rPr>
            </w:pPr>
          </w:p>
        </w:tc>
        <w:tc>
          <w:tcPr>
            <w:tcW w:w="1843" w:type="dxa"/>
            <w:shd w:val="clear" w:color="auto" w:fill="auto"/>
          </w:tcPr>
          <w:p w14:paraId="6B53C5F4" w14:textId="77777777" w:rsidR="002A4DDF" w:rsidRPr="00937C8B" w:rsidRDefault="002A4DDF" w:rsidP="009110ED">
            <w:pPr>
              <w:rPr>
                <w:rFonts w:ascii="Arial" w:hAnsi="Arial" w:cs="Arial"/>
                <w:sz w:val="12"/>
                <w:szCs w:val="12"/>
              </w:rPr>
            </w:pPr>
          </w:p>
        </w:tc>
        <w:tc>
          <w:tcPr>
            <w:tcW w:w="2268" w:type="dxa"/>
            <w:shd w:val="clear" w:color="auto" w:fill="F2F2F2"/>
            <w:hideMark/>
          </w:tcPr>
          <w:p w14:paraId="07DE0CCB" w14:textId="77777777" w:rsidR="002A4DDF" w:rsidRPr="00937C8B" w:rsidRDefault="002A4DDF" w:rsidP="009110ED">
            <w:pPr>
              <w:rPr>
                <w:rFonts w:ascii="Arial" w:hAnsi="Arial" w:cs="Arial"/>
                <w:sz w:val="12"/>
                <w:szCs w:val="12"/>
              </w:rPr>
            </w:pPr>
            <w:r>
              <w:rPr>
                <w:rFonts w:ascii="Arial" w:hAnsi="Arial"/>
                <w:sz w:val="12"/>
                <w:szCs w:val="12"/>
              </w:rPr>
              <w:t>Alaejos</w:t>
            </w:r>
          </w:p>
        </w:tc>
        <w:tc>
          <w:tcPr>
            <w:tcW w:w="2268" w:type="dxa"/>
            <w:tcBorders>
              <w:right w:val="single" w:sz="4" w:space="0" w:color="auto"/>
            </w:tcBorders>
            <w:shd w:val="clear" w:color="auto" w:fill="D9D9D9"/>
            <w:hideMark/>
          </w:tcPr>
          <w:p w14:paraId="6C9D71A1" w14:textId="77777777" w:rsidR="002A4DDF" w:rsidRPr="00937C8B" w:rsidRDefault="002A4DDF" w:rsidP="009110ED">
            <w:pPr>
              <w:rPr>
                <w:rFonts w:ascii="Arial" w:hAnsi="Arial" w:cs="Arial"/>
                <w:sz w:val="12"/>
                <w:szCs w:val="12"/>
              </w:rPr>
            </w:pPr>
          </w:p>
        </w:tc>
      </w:tr>
      <w:tr w:rsidR="002A4DDF" w:rsidRPr="00937C8B" w14:paraId="321D4BFC" w14:textId="77777777" w:rsidTr="00935676">
        <w:trPr>
          <w:cantSplit/>
        </w:trPr>
        <w:tc>
          <w:tcPr>
            <w:tcW w:w="1696" w:type="dxa"/>
            <w:tcBorders>
              <w:left w:val="single" w:sz="4" w:space="0" w:color="auto"/>
            </w:tcBorders>
            <w:shd w:val="clear" w:color="auto" w:fill="auto"/>
          </w:tcPr>
          <w:p w14:paraId="4AC56FC6" w14:textId="77777777" w:rsidR="002A4DDF" w:rsidRPr="00937C8B" w:rsidRDefault="002A4DDF" w:rsidP="009110ED">
            <w:pPr>
              <w:rPr>
                <w:rFonts w:ascii="Arial" w:hAnsi="Arial" w:cs="Arial"/>
                <w:sz w:val="12"/>
                <w:szCs w:val="12"/>
              </w:rPr>
            </w:pPr>
          </w:p>
        </w:tc>
        <w:tc>
          <w:tcPr>
            <w:tcW w:w="1843" w:type="dxa"/>
            <w:shd w:val="clear" w:color="auto" w:fill="auto"/>
          </w:tcPr>
          <w:p w14:paraId="135DD194" w14:textId="77777777" w:rsidR="002A4DDF" w:rsidRPr="00937C8B" w:rsidRDefault="002A4DDF" w:rsidP="009110ED">
            <w:pPr>
              <w:rPr>
                <w:rFonts w:ascii="Arial" w:hAnsi="Arial" w:cs="Arial"/>
                <w:sz w:val="12"/>
                <w:szCs w:val="12"/>
              </w:rPr>
            </w:pPr>
          </w:p>
        </w:tc>
        <w:tc>
          <w:tcPr>
            <w:tcW w:w="2268" w:type="dxa"/>
            <w:shd w:val="clear" w:color="auto" w:fill="F2F2F2"/>
            <w:hideMark/>
          </w:tcPr>
          <w:p w14:paraId="113DDBA8" w14:textId="77777777" w:rsidR="002A4DDF" w:rsidRPr="00937C8B" w:rsidRDefault="002A4DDF" w:rsidP="009110ED">
            <w:pPr>
              <w:rPr>
                <w:rFonts w:ascii="Arial" w:hAnsi="Arial" w:cs="Arial"/>
                <w:sz w:val="12"/>
                <w:szCs w:val="12"/>
              </w:rPr>
            </w:pPr>
            <w:r>
              <w:rPr>
                <w:rFonts w:ascii="Arial" w:hAnsi="Arial"/>
                <w:sz w:val="12"/>
                <w:szCs w:val="12"/>
              </w:rPr>
              <w:t>Alcazarén</w:t>
            </w:r>
          </w:p>
        </w:tc>
        <w:tc>
          <w:tcPr>
            <w:tcW w:w="2268" w:type="dxa"/>
            <w:tcBorders>
              <w:right w:val="single" w:sz="4" w:space="0" w:color="auto"/>
            </w:tcBorders>
            <w:shd w:val="clear" w:color="auto" w:fill="D9D9D9"/>
            <w:hideMark/>
          </w:tcPr>
          <w:p w14:paraId="0D207B0D" w14:textId="77777777" w:rsidR="002A4DDF" w:rsidRPr="00937C8B" w:rsidRDefault="002A4DDF" w:rsidP="009110ED">
            <w:pPr>
              <w:rPr>
                <w:rFonts w:ascii="Arial" w:hAnsi="Arial" w:cs="Arial"/>
                <w:sz w:val="12"/>
                <w:szCs w:val="12"/>
              </w:rPr>
            </w:pPr>
          </w:p>
        </w:tc>
      </w:tr>
      <w:tr w:rsidR="002A4DDF" w:rsidRPr="00937C8B" w14:paraId="5FA00399" w14:textId="77777777" w:rsidTr="00935676">
        <w:trPr>
          <w:cantSplit/>
        </w:trPr>
        <w:tc>
          <w:tcPr>
            <w:tcW w:w="1696" w:type="dxa"/>
            <w:tcBorders>
              <w:left w:val="single" w:sz="4" w:space="0" w:color="auto"/>
            </w:tcBorders>
            <w:shd w:val="clear" w:color="auto" w:fill="auto"/>
          </w:tcPr>
          <w:p w14:paraId="28F8C71C" w14:textId="77777777" w:rsidR="002A4DDF" w:rsidRPr="00937C8B" w:rsidRDefault="002A4DDF" w:rsidP="009110ED">
            <w:pPr>
              <w:rPr>
                <w:rFonts w:ascii="Arial" w:hAnsi="Arial" w:cs="Arial"/>
                <w:sz w:val="12"/>
                <w:szCs w:val="12"/>
              </w:rPr>
            </w:pPr>
          </w:p>
        </w:tc>
        <w:tc>
          <w:tcPr>
            <w:tcW w:w="1843" w:type="dxa"/>
            <w:shd w:val="clear" w:color="auto" w:fill="auto"/>
          </w:tcPr>
          <w:p w14:paraId="6AFB385D" w14:textId="77777777" w:rsidR="002A4DDF" w:rsidRPr="00937C8B" w:rsidRDefault="002A4DDF" w:rsidP="009110ED">
            <w:pPr>
              <w:rPr>
                <w:rFonts w:ascii="Arial" w:hAnsi="Arial" w:cs="Arial"/>
                <w:sz w:val="12"/>
                <w:szCs w:val="12"/>
              </w:rPr>
            </w:pPr>
          </w:p>
        </w:tc>
        <w:tc>
          <w:tcPr>
            <w:tcW w:w="2268" w:type="dxa"/>
            <w:shd w:val="clear" w:color="auto" w:fill="F2F2F2"/>
            <w:hideMark/>
          </w:tcPr>
          <w:p w14:paraId="42AE34A8" w14:textId="77777777" w:rsidR="002A4DDF" w:rsidRPr="00937C8B" w:rsidRDefault="002A4DDF" w:rsidP="009110ED">
            <w:pPr>
              <w:rPr>
                <w:rFonts w:ascii="Arial" w:hAnsi="Arial" w:cs="Arial"/>
                <w:sz w:val="12"/>
                <w:szCs w:val="12"/>
              </w:rPr>
            </w:pPr>
            <w:r>
              <w:rPr>
                <w:rFonts w:ascii="Arial" w:hAnsi="Arial"/>
                <w:sz w:val="12"/>
                <w:szCs w:val="12"/>
              </w:rPr>
              <w:t>Almenara de Adaja</w:t>
            </w:r>
          </w:p>
        </w:tc>
        <w:tc>
          <w:tcPr>
            <w:tcW w:w="2268" w:type="dxa"/>
            <w:tcBorders>
              <w:right w:val="single" w:sz="4" w:space="0" w:color="auto"/>
            </w:tcBorders>
            <w:shd w:val="clear" w:color="auto" w:fill="D9D9D9"/>
            <w:hideMark/>
          </w:tcPr>
          <w:p w14:paraId="3026E806" w14:textId="77777777" w:rsidR="002A4DDF" w:rsidRPr="00937C8B" w:rsidRDefault="002A4DDF" w:rsidP="009110ED">
            <w:pPr>
              <w:rPr>
                <w:rFonts w:ascii="Arial" w:hAnsi="Arial" w:cs="Arial"/>
                <w:sz w:val="12"/>
                <w:szCs w:val="12"/>
              </w:rPr>
            </w:pPr>
          </w:p>
        </w:tc>
      </w:tr>
      <w:tr w:rsidR="002A4DDF" w:rsidRPr="00937C8B" w14:paraId="733BA227" w14:textId="77777777" w:rsidTr="00935676">
        <w:trPr>
          <w:cantSplit/>
        </w:trPr>
        <w:tc>
          <w:tcPr>
            <w:tcW w:w="1696" w:type="dxa"/>
            <w:tcBorders>
              <w:left w:val="single" w:sz="4" w:space="0" w:color="auto"/>
            </w:tcBorders>
            <w:shd w:val="clear" w:color="auto" w:fill="auto"/>
          </w:tcPr>
          <w:p w14:paraId="18B6E11F" w14:textId="77777777" w:rsidR="002A4DDF" w:rsidRPr="00937C8B" w:rsidRDefault="002A4DDF" w:rsidP="009110ED">
            <w:pPr>
              <w:rPr>
                <w:rFonts w:ascii="Arial" w:hAnsi="Arial" w:cs="Arial"/>
                <w:sz w:val="12"/>
                <w:szCs w:val="12"/>
              </w:rPr>
            </w:pPr>
          </w:p>
        </w:tc>
        <w:tc>
          <w:tcPr>
            <w:tcW w:w="1843" w:type="dxa"/>
            <w:shd w:val="clear" w:color="auto" w:fill="auto"/>
          </w:tcPr>
          <w:p w14:paraId="3AE72240" w14:textId="77777777" w:rsidR="002A4DDF" w:rsidRPr="00937C8B" w:rsidRDefault="002A4DDF" w:rsidP="009110ED">
            <w:pPr>
              <w:rPr>
                <w:rFonts w:ascii="Arial" w:hAnsi="Arial" w:cs="Arial"/>
                <w:sz w:val="12"/>
                <w:szCs w:val="12"/>
              </w:rPr>
            </w:pPr>
          </w:p>
        </w:tc>
        <w:tc>
          <w:tcPr>
            <w:tcW w:w="2268" w:type="dxa"/>
            <w:shd w:val="clear" w:color="auto" w:fill="F2F2F2"/>
            <w:hideMark/>
          </w:tcPr>
          <w:p w14:paraId="5019CFBC" w14:textId="77777777" w:rsidR="002A4DDF" w:rsidRPr="00937C8B" w:rsidRDefault="002A4DDF" w:rsidP="009110ED">
            <w:pPr>
              <w:rPr>
                <w:rFonts w:ascii="Arial" w:hAnsi="Arial" w:cs="Arial"/>
                <w:sz w:val="12"/>
                <w:szCs w:val="12"/>
              </w:rPr>
            </w:pPr>
            <w:r>
              <w:rPr>
                <w:rFonts w:ascii="Arial" w:hAnsi="Arial"/>
                <w:sz w:val="12"/>
                <w:szCs w:val="12"/>
              </w:rPr>
              <w:t>Ataquines</w:t>
            </w:r>
          </w:p>
        </w:tc>
        <w:tc>
          <w:tcPr>
            <w:tcW w:w="2268" w:type="dxa"/>
            <w:tcBorders>
              <w:right w:val="single" w:sz="4" w:space="0" w:color="auto"/>
            </w:tcBorders>
            <w:shd w:val="clear" w:color="auto" w:fill="D9D9D9"/>
            <w:hideMark/>
          </w:tcPr>
          <w:p w14:paraId="09433B03" w14:textId="77777777" w:rsidR="002A4DDF" w:rsidRPr="00937C8B" w:rsidRDefault="002A4DDF" w:rsidP="009110ED">
            <w:pPr>
              <w:rPr>
                <w:rFonts w:ascii="Arial" w:hAnsi="Arial" w:cs="Arial"/>
                <w:sz w:val="12"/>
                <w:szCs w:val="12"/>
              </w:rPr>
            </w:pPr>
          </w:p>
        </w:tc>
      </w:tr>
      <w:tr w:rsidR="002A4DDF" w:rsidRPr="00937C8B" w14:paraId="509E70EE" w14:textId="77777777" w:rsidTr="00935676">
        <w:trPr>
          <w:cantSplit/>
        </w:trPr>
        <w:tc>
          <w:tcPr>
            <w:tcW w:w="1696" w:type="dxa"/>
            <w:tcBorders>
              <w:left w:val="single" w:sz="4" w:space="0" w:color="auto"/>
            </w:tcBorders>
            <w:shd w:val="clear" w:color="auto" w:fill="auto"/>
          </w:tcPr>
          <w:p w14:paraId="51C8979F" w14:textId="77777777" w:rsidR="002A4DDF" w:rsidRPr="00937C8B" w:rsidRDefault="002A4DDF" w:rsidP="009110ED">
            <w:pPr>
              <w:rPr>
                <w:rFonts w:ascii="Arial" w:hAnsi="Arial" w:cs="Arial"/>
                <w:sz w:val="12"/>
                <w:szCs w:val="12"/>
              </w:rPr>
            </w:pPr>
          </w:p>
        </w:tc>
        <w:tc>
          <w:tcPr>
            <w:tcW w:w="1843" w:type="dxa"/>
            <w:shd w:val="clear" w:color="auto" w:fill="auto"/>
          </w:tcPr>
          <w:p w14:paraId="176D8681" w14:textId="77777777" w:rsidR="002A4DDF" w:rsidRPr="00937C8B" w:rsidRDefault="002A4DDF" w:rsidP="009110ED">
            <w:pPr>
              <w:rPr>
                <w:rFonts w:ascii="Arial" w:hAnsi="Arial" w:cs="Arial"/>
                <w:sz w:val="12"/>
                <w:szCs w:val="12"/>
              </w:rPr>
            </w:pPr>
          </w:p>
        </w:tc>
        <w:tc>
          <w:tcPr>
            <w:tcW w:w="2268" w:type="dxa"/>
            <w:shd w:val="clear" w:color="auto" w:fill="F2F2F2"/>
            <w:hideMark/>
          </w:tcPr>
          <w:p w14:paraId="5FCDD13D" w14:textId="77777777" w:rsidR="002A4DDF" w:rsidRPr="00937C8B" w:rsidRDefault="002A4DDF" w:rsidP="009110ED">
            <w:pPr>
              <w:rPr>
                <w:rFonts w:ascii="Arial" w:hAnsi="Arial" w:cs="Arial"/>
                <w:sz w:val="12"/>
                <w:szCs w:val="12"/>
              </w:rPr>
            </w:pPr>
            <w:r>
              <w:rPr>
                <w:rFonts w:ascii="Arial" w:hAnsi="Arial"/>
                <w:sz w:val="12"/>
                <w:szCs w:val="12"/>
              </w:rPr>
              <w:t>Bahabón</w:t>
            </w:r>
          </w:p>
        </w:tc>
        <w:tc>
          <w:tcPr>
            <w:tcW w:w="2268" w:type="dxa"/>
            <w:tcBorders>
              <w:right w:val="single" w:sz="4" w:space="0" w:color="auto"/>
            </w:tcBorders>
            <w:shd w:val="clear" w:color="auto" w:fill="D9D9D9"/>
            <w:hideMark/>
          </w:tcPr>
          <w:p w14:paraId="75E0EAD9" w14:textId="77777777" w:rsidR="002A4DDF" w:rsidRPr="00937C8B" w:rsidRDefault="002A4DDF" w:rsidP="009110ED">
            <w:pPr>
              <w:rPr>
                <w:rFonts w:ascii="Arial" w:hAnsi="Arial" w:cs="Arial"/>
                <w:sz w:val="12"/>
                <w:szCs w:val="12"/>
              </w:rPr>
            </w:pPr>
          </w:p>
        </w:tc>
      </w:tr>
      <w:tr w:rsidR="002A4DDF" w:rsidRPr="00937C8B" w14:paraId="0E907AF1" w14:textId="77777777" w:rsidTr="00935676">
        <w:trPr>
          <w:cantSplit/>
        </w:trPr>
        <w:tc>
          <w:tcPr>
            <w:tcW w:w="1696" w:type="dxa"/>
            <w:tcBorders>
              <w:left w:val="single" w:sz="4" w:space="0" w:color="auto"/>
            </w:tcBorders>
            <w:shd w:val="clear" w:color="auto" w:fill="auto"/>
          </w:tcPr>
          <w:p w14:paraId="695F3C17" w14:textId="77777777" w:rsidR="002A4DDF" w:rsidRPr="00937C8B" w:rsidRDefault="002A4DDF" w:rsidP="009110ED">
            <w:pPr>
              <w:rPr>
                <w:rFonts w:ascii="Arial" w:hAnsi="Arial" w:cs="Arial"/>
                <w:sz w:val="12"/>
                <w:szCs w:val="12"/>
              </w:rPr>
            </w:pPr>
          </w:p>
        </w:tc>
        <w:tc>
          <w:tcPr>
            <w:tcW w:w="1843" w:type="dxa"/>
            <w:shd w:val="clear" w:color="auto" w:fill="auto"/>
          </w:tcPr>
          <w:p w14:paraId="05913233" w14:textId="77777777" w:rsidR="002A4DDF" w:rsidRPr="00937C8B" w:rsidRDefault="002A4DDF" w:rsidP="009110ED">
            <w:pPr>
              <w:rPr>
                <w:rFonts w:ascii="Arial" w:hAnsi="Arial" w:cs="Arial"/>
                <w:sz w:val="12"/>
                <w:szCs w:val="12"/>
              </w:rPr>
            </w:pPr>
          </w:p>
        </w:tc>
        <w:tc>
          <w:tcPr>
            <w:tcW w:w="2268" w:type="dxa"/>
            <w:shd w:val="clear" w:color="auto" w:fill="F2F2F2"/>
            <w:hideMark/>
          </w:tcPr>
          <w:p w14:paraId="2E3F7AF6" w14:textId="77777777" w:rsidR="002A4DDF" w:rsidRPr="00937C8B" w:rsidRDefault="002A4DDF" w:rsidP="009110ED">
            <w:pPr>
              <w:rPr>
                <w:rFonts w:ascii="Arial" w:hAnsi="Arial" w:cs="Arial"/>
                <w:sz w:val="12"/>
                <w:szCs w:val="12"/>
              </w:rPr>
            </w:pPr>
            <w:r>
              <w:rPr>
                <w:rFonts w:ascii="Arial" w:hAnsi="Arial"/>
                <w:sz w:val="12"/>
                <w:szCs w:val="12"/>
              </w:rPr>
              <w:t>Becilla de Valderaduey</w:t>
            </w:r>
          </w:p>
        </w:tc>
        <w:tc>
          <w:tcPr>
            <w:tcW w:w="2268" w:type="dxa"/>
            <w:tcBorders>
              <w:right w:val="single" w:sz="4" w:space="0" w:color="auto"/>
            </w:tcBorders>
            <w:shd w:val="clear" w:color="auto" w:fill="D9D9D9"/>
            <w:hideMark/>
          </w:tcPr>
          <w:p w14:paraId="545CFE31" w14:textId="77777777" w:rsidR="002A4DDF" w:rsidRPr="00937C8B" w:rsidRDefault="002A4DDF" w:rsidP="009110ED">
            <w:pPr>
              <w:rPr>
                <w:rFonts w:ascii="Arial" w:hAnsi="Arial" w:cs="Arial"/>
                <w:sz w:val="12"/>
                <w:szCs w:val="12"/>
              </w:rPr>
            </w:pPr>
          </w:p>
        </w:tc>
      </w:tr>
      <w:tr w:rsidR="002A4DDF" w:rsidRPr="00937C8B" w14:paraId="5802A7B7" w14:textId="77777777" w:rsidTr="00935676">
        <w:trPr>
          <w:cantSplit/>
        </w:trPr>
        <w:tc>
          <w:tcPr>
            <w:tcW w:w="1696" w:type="dxa"/>
            <w:tcBorders>
              <w:left w:val="single" w:sz="4" w:space="0" w:color="auto"/>
            </w:tcBorders>
            <w:shd w:val="clear" w:color="auto" w:fill="auto"/>
          </w:tcPr>
          <w:p w14:paraId="57C91A8F" w14:textId="77777777" w:rsidR="002A4DDF" w:rsidRPr="00937C8B" w:rsidRDefault="002A4DDF" w:rsidP="009110ED">
            <w:pPr>
              <w:rPr>
                <w:rFonts w:ascii="Arial" w:hAnsi="Arial" w:cs="Arial"/>
                <w:sz w:val="12"/>
                <w:szCs w:val="12"/>
              </w:rPr>
            </w:pPr>
          </w:p>
        </w:tc>
        <w:tc>
          <w:tcPr>
            <w:tcW w:w="1843" w:type="dxa"/>
            <w:shd w:val="clear" w:color="auto" w:fill="auto"/>
          </w:tcPr>
          <w:p w14:paraId="590CC3D4" w14:textId="77777777" w:rsidR="002A4DDF" w:rsidRPr="00937C8B" w:rsidRDefault="002A4DDF" w:rsidP="009110ED">
            <w:pPr>
              <w:rPr>
                <w:rFonts w:ascii="Arial" w:hAnsi="Arial" w:cs="Arial"/>
                <w:sz w:val="12"/>
                <w:szCs w:val="12"/>
              </w:rPr>
            </w:pPr>
          </w:p>
        </w:tc>
        <w:tc>
          <w:tcPr>
            <w:tcW w:w="2268" w:type="dxa"/>
            <w:shd w:val="clear" w:color="auto" w:fill="F2F2F2"/>
            <w:hideMark/>
          </w:tcPr>
          <w:p w14:paraId="59C17AB9" w14:textId="77777777" w:rsidR="002A4DDF" w:rsidRPr="00937C8B" w:rsidRDefault="002A4DDF" w:rsidP="009110ED">
            <w:pPr>
              <w:rPr>
                <w:rFonts w:ascii="Arial" w:hAnsi="Arial" w:cs="Arial"/>
                <w:sz w:val="12"/>
                <w:szCs w:val="12"/>
              </w:rPr>
            </w:pPr>
            <w:r>
              <w:rPr>
                <w:rFonts w:ascii="Arial" w:hAnsi="Arial"/>
                <w:sz w:val="12"/>
                <w:szCs w:val="12"/>
              </w:rPr>
              <w:t>Bobadilla del Campo</w:t>
            </w:r>
          </w:p>
        </w:tc>
        <w:tc>
          <w:tcPr>
            <w:tcW w:w="2268" w:type="dxa"/>
            <w:tcBorders>
              <w:right w:val="single" w:sz="4" w:space="0" w:color="auto"/>
            </w:tcBorders>
            <w:shd w:val="clear" w:color="auto" w:fill="D9D9D9"/>
            <w:hideMark/>
          </w:tcPr>
          <w:p w14:paraId="6E8DFBD2" w14:textId="77777777" w:rsidR="002A4DDF" w:rsidRPr="00937C8B" w:rsidRDefault="002A4DDF" w:rsidP="009110ED">
            <w:pPr>
              <w:rPr>
                <w:rFonts w:ascii="Arial" w:hAnsi="Arial" w:cs="Arial"/>
                <w:sz w:val="12"/>
                <w:szCs w:val="12"/>
              </w:rPr>
            </w:pPr>
          </w:p>
        </w:tc>
      </w:tr>
      <w:tr w:rsidR="002A4DDF" w:rsidRPr="00937C8B" w14:paraId="6376D80A" w14:textId="77777777" w:rsidTr="00935676">
        <w:trPr>
          <w:cantSplit/>
        </w:trPr>
        <w:tc>
          <w:tcPr>
            <w:tcW w:w="1696" w:type="dxa"/>
            <w:tcBorders>
              <w:left w:val="single" w:sz="4" w:space="0" w:color="auto"/>
            </w:tcBorders>
            <w:shd w:val="clear" w:color="auto" w:fill="auto"/>
          </w:tcPr>
          <w:p w14:paraId="78E8FE34" w14:textId="77777777" w:rsidR="002A4DDF" w:rsidRPr="00937C8B" w:rsidRDefault="002A4DDF" w:rsidP="009110ED">
            <w:pPr>
              <w:rPr>
                <w:rFonts w:ascii="Arial" w:hAnsi="Arial" w:cs="Arial"/>
                <w:sz w:val="12"/>
                <w:szCs w:val="12"/>
              </w:rPr>
            </w:pPr>
          </w:p>
        </w:tc>
        <w:tc>
          <w:tcPr>
            <w:tcW w:w="1843" w:type="dxa"/>
            <w:shd w:val="clear" w:color="auto" w:fill="auto"/>
          </w:tcPr>
          <w:p w14:paraId="1D6D1238" w14:textId="77777777" w:rsidR="002A4DDF" w:rsidRPr="00937C8B" w:rsidRDefault="002A4DDF" w:rsidP="009110ED">
            <w:pPr>
              <w:rPr>
                <w:rFonts w:ascii="Arial" w:hAnsi="Arial" w:cs="Arial"/>
                <w:sz w:val="12"/>
                <w:szCs w:val="12"/>
              </w:rPr>
            </w:pPr>
          </w:p>
        </w:tc>
        <w:tc>
          <w:tcPr>
            <w:tcW w:w="2268" w:type="dxa"/>
            <w:shd w:val="clear" w:color="auto" w:fill="F2F2F2"/>
            <w:hideMark/>
          </w:tcPr>
          <w:p w14:paraId="7C60B599" w14:textId="77777777" w:rsidR="002A4DDF" w:rsidRPr="00937C8B" w:rsidRDefault="002A4DDF" w:rsidP="009110ED">
            <w:pPr>
              <w:rPr>
                <w:rFonts w:ascii="Arial" w:hAnsi="Arial" w:cs="Arial"/>
                <w:sz w:val="12"/>
                <w:szCs w:val="12"/>
              </w:rPr>
            </w:pPr>
            <w:r>
              <w:rPr>
                <w:rFonts w:ascii="Arial" w:hAnsi="Arial"/>
                <w:sz w:val="12"/>
                <w:szCs w:val="12"/>
              </w:rPr>
              <w:t>Bocigas</w:t>
            </w:r>
          </w:p>
        </w:tc>
        <w:tc>
          <w:tcPr>
            <w:tcW w:w="2268" w:type="dxa"/>
            <w:tcBorders>
              <w:right w:val="single" w:sz="4" w:space="0" w:color="auto"/>
            </w:tcBorders>
            <w:shd w:val="clear" w:color="auto" w:fill="D9D9D9"/>
            <w:hideMark/>
          </w:tcPr>
          <w:p w14:paraId="2523A4D2" w14:textId="77777777" w:rsidR="002A4DDF" w:rsidRPr="00937C8B" w:rsidRDefault="002A4DDF" w:rsidP="009110ED">
            <w:pPr>
              <w:rPr>
                <w:rFonts w:ascii="Arial" w:hAnsi="Arial" w:cs="Arial"/>
                <w:sz w:val="12"/>
                <w:szCs w:val="12"/>
              </w:rPr>
            </w:pPr>
          </w:p>
        </w:tc>
      </w:tr>
      <w:tr w:rsidR="002A4DDF" w:rsidRPr="00937C8B" w14:paraId="63C41B38" w14:textId="77777777" w:rsidTr="00935676">
        <w:trPr>
          <w:cantSplit/>
        </w:trPr>
        <w:tc>
          <w:tcPr>
            <w:tcW w:w="1696" w:type="dxa"/>
            <w:tcBorders>
              <w:left w:val="single" w:sz="4" w:space="0" w:color="auto"/>
            </w:tcBorders>
            <w:shd w:val="clear" w:color="auto" w:fill="auto"/>
          </w:tcPr>
          <w:p w14:paraId="614AE9F9" w14:textId="77777777" w:rsidR="002A4DDF" w:rsidRPr="00937C8B" w:rsidRDefault="002A4DDF" w:rsidP="009110ED">
            <w:pPr>
              <w:rPr>
                <w:rFonts w:ascii="Arial" w:hAnsi="Arial" w:cs="Arial"/>
                <w:sz w:val="12"/>
                <w:szCs w:val="12"/>
              </w:rPr>
            </w:pPr>
          </w:p>
        </w:tc>
        <w:tc>
          <w:tcPr>
            <w:tcW w:w="1843" w:type="dxa"/>
            <w:shd w:val="clear" w:color="auto" w:fill="auto"/>
          </w:tcPr>
          <w:p w14:paraId="11FED658" w14:textId="77777777" w:rsidR="002A4DDF" w:rsidRPr="00937C8B" w:rsidRDefault="002A4DDF" w:rsidP="009110ED">
            <w:pPr>
              <w:rPr>
                <w:rFonts w:ascii="Arial" w:hAnsi="Arial" w:cs="Arial"/>
                <w:sz w:val="12"/>
                <w:szCs w:val="12"/>
              </w:rPr>
            </w:pPr>
          </w:p>
        </w:tc>
        <w:tc>
          <w:tcPr>
            <w:tcW w:w="2268" w:type="dxa"/>
            <w:shd w:val="clear" w:color="auto" w:fill="F2F2F2"/>
            <w:hideMark/>
          </w:tcPr>
          <w:p w14:paraId="78719C1F" w14:textId="77777777" w:rsidR="002A4DDF" w:rsidRPr="00937C8B" w:rsidRDefault="002A4DDF" w:rsidP="009110ED">
            <w:pPr>
              <w:rPr>
                <w:rFonts w:ascii="Arial" w:hAnsi="Arial" w:cs="Arial"/>
                <w:sz w:val="12"/>
                <w:szCs w:val="12"/>
              </w:rPr>
            </w:pPr>
            <w:r>
              <w:rPr>
                <w:rFonts w:ascii="Arial" w:hAnsi="Arial"/>
                <w:sz w:val="12"/>
                <w:szCs w:val="12"/>
              </w:rPr>
              <w:t>Bocos de Duero</w:t>
            </w:r>
          </w:p>
        </w:tc>
        <w:tc>
          <w:tcPr>
            <w:tcW w:w="2268" w:type="dxa"/>
            <w:tcBorders>
              <w:right w:val="single" w:sz="4" w:space="0" w:color="auto"/>
            </w:tcBorders>
            <w:shd w:val="clear" w:color="auto" w:fill="D9D9D9"/>
            <w:hideMark/>
          </w:tcPr>
          <w:p w14:paraId="397F4D45" w14:textId="77777777" w:rsidR="002A4DDF" w:rsidRPr="00937C8B" w:rsidRDefault="002A4DDF" w:rsidP="009110ED">
            <w:pPr>
              <w:rPr>
                <w:rFonts w:ascii="Arial" w:hAnsi="Arial" w:cs="Arial"/>
                <w:sz w:val="12"/>
                <w:szCs w:val="12"/>
              </w:rPr>
            </w:pPr>
          </w:p>
        </w:tc>
      </w:tr>
      <w:tr w:rsidR="002A4DDF" w:rsidRPr="00937C8B" w14:paraId="2C685104" w14:textId="77777777" w:rsidTr="00935676">
        <w:trPr>
          <w:cantSplit/>
        </w:trPr>
        <w:tc>
          <w:tcPr>
            <w:tcW w:w="1696" w:type="dxa"/>
            <w:tcBorders>
              <w:left w:val="single" w:sz="4" w:space="0" w:color="auto"/>
            </w:tcBorders>
            <w:shd w:val="clear" w:color="auto" w:fill="auto"/>
          </w:tcPr>
          <w:p w14:paraId="7555144C" w14:textId="77777777" w:rsidR="002A4DDF" w:rsidRPr="00937C8B" w:rsidRDefault="002A4DDF" w:rsidP="009110ED">
            <w:pPr>
              <w:rPr>
                <w:rFonts w:ascii="Arial" w:hAnsi="Arial" w:cs="Arial"/>
                <w:sz w:val="12"/>
                <w:szCs w:val="12"/>
              </w:rPr>
            </w:pPr>
          </w:p>
        </w:tc>
        <w:tc>
          <w:tcPr>
            <w:tcW w:w="1843" w:type="dxa"/>
            <w:shd w:val="clear" w:color="auto" w:fill="auto"/>
          </w:tcPr>
          <w:p w14:paraId="5BF8A975" w14:textId="77777777" w:rsidR="002A4DDF" w:rsidRPr="00937C8B" w:rsidRDefault="002A4DDF" w:rsidP="009110ED">
            <w:pPr>
              <w:rPr>
                <w:rFonts w:ascii="Arial" w:hAnsi="Arial" w:cs="Arial"/>
                <w:sz w:val="12"/>
                <w:szCs w:val="12"/>
              </w:rPr>
            </w:pPr>
          </w:p>
        </w:tc>
        <w:tc>
          <w:tcPr>
            <w:tcW w:w="2268" w:type="dxa"/>
            <w:shd w:val="clear" w:color="auto" w:fill="F2F2F2"/>
            <w:hideMark/>
          </w:tcPr>
          <w:p w14:paraId="6D89E576" w14:textId="77777777" w:rsidR="002A4DDF" w:rsidRPr="00937C8B" w:rsidRDefault="002A4DDF" w:rsidP="009110ED">
            <w:pPr>
              <w:rPr>
                <w:rFonts w:ascii="Arial" w:hAnsi="Arial" w:cs="Arial"/>
                <w:sz w:val="12"/>
                <w:szCs w:val="12"/>
              </w:rPr>
            </w:pPr>
            <w:r>
              <w:rPr>
                <w:rFonts w:ascii="Arial" w:hAnsi="Arial"/>
                <w:sz w:val="12"/>
                <w:szCs w:val="12"/>
              </w:rPr>
              <w:t>Boecillo</w:t>
            </w:r>
          </w:p>
        </w:tc>
        <w:tc>
          <w:tcPr>
            <w:tcW w:w="2268" w:type="dxa"/>
            <w:tcBorders>
              <w:right w:val="single" w:sz="4" w:space="0" w:color="auto"/>
            </w:tcBorders>
            <w:shd w:val="clear" w:color="auto" w:fill="D9D9D9"/>
            <w:hideMark/>
          </w:tcPr>
          <w:p w14:paraId="5E34D8A6" w14:textId="77777777" w:rsidR="002A4DDF" w:rsidRPr="00937C8B" w:rsidRDefault="002A4DDF" w:rsidP="009110ED">
            <w:pPr>
              <w:rPr>
                <w:rFonts w:ascii="Arial" w:hAnsi="Arial" w:cs="Arial"/>
                <w:sz w:val="12"/>
                <w:szCs w:val="12"/>
              </w:rPr>
            </w:pPr>
          </w:p>
        </w:tc>
      </w:tr>
      <w:tr w:rsidR="002A4DDF" w:rsidRPr="00937C8B" w14:paraId="7D5F3AC9" w14:textId="77777777" w:rsidTr="00935676">
        <w:trPr>
          <w:cantSplit/>
        </w:trPr>
        <w:tc>
          <w:tcPr>
            <w:tcW w:w="1696" w:type="dxa"/>
            <w:tcBorders>
              <w:left w:val="single" w:sz="4" w:space="0" w:color="auto"/>
            </w:tcBorders>
            <w:shd w:val="clear" w:color="auto" w:fill="auto"/>
          </w:tcPr>
          <w:p w14:paraId="38F8D1D5" w14:textId="77777777" w:rsidR="002A4DDF" w:rsidRPr="00937C8B" w:rsidRDefault="002A4DDF" w:rsidP="009110ED">
            <w:pPr>
              <w:rPr>
                <w:rFonts w:ascii="Arial" w:hAnsi="Arial" w:cs="Arial"/>
                <w:sz w:val="12"/>
                <w:szCs w:val="12"/>
              </w:rPr>
            </w:pPr>
          </w:p>
        </w:tc>
        <w:tc>
          <w:tcPr>
            <w:tcW w:w="1843" w:type="dxa"/>
            <w:shd w:val="clear" w:color="auto" w:fill="auto"/>
          </w:tcPr>
          <w:p w14:paraId="3C96A7E1" w14:textId="77777777" w:rsidR="002A4DDF" w:rsidRPr="00937C8B" w:rsidRDefault="002A4DDF" w:rsidP="009110ED">
            <w:pPr>
              <w:rPr>
                <w:rFonts w:ascii="Arial" w:hAnsi="Arial" w:cs="Arial"/>
                <w:sz w:val="12"/>
                <w:szCs w:val="12"/>
              </w:rPr>
            </w:pPr>
          </w:p>
        </w:tc>
        <w:tc>
          <w:tcPr>
            <w:tcW w:w="2268" w:type="dxa"/>
            <w:shd w:val="clear" w:color="auto" w:fill="F2F2F2"/>
            <w:hideMark/>
          </w:tcPr>
          <w:p w14:paraId="7AB331DC" w14:textId="77777777" w:rsidR="002A4DDF" w:rsidRPr="00937C8B" w:rsidRDefault="002A4DDF" w:rsidP="009110ED">
            <w:pPr>
              <w:rPr>
                <w:rFonts w:ascii="Arial" w:hAnsi="Arial" w:cs="Arial"/>
                <w:sz w:val="12"/>
                <w:szCs w:val="12"/>
              </w:rPr>
            </w:pPr>
            <w:r>
              <w:rPr>
                <w:rFonts w:ascii="Arial" w:hAnsi="Arial"/>
                <w:sz w:val="12"/>
                <w:szCs w:val="12"/>
              </w:rPr>
              <w:t>Brahojos de Medina</w:t>
            </w:r>
          </w:p>
        </w:tc>
        <w:tc>
          <w:tcPr>
            <w:tcW w:w="2268" w:type="dxa"/>
            <w:tcBorders>
              <w:right w:val="single" w:sz="4" w:space="0" w:color="auto"/>
            </w:tcBorders>
            <w:shd w:val="clear" w:color="auto" w:fill="D9D9D9"/>
            <w:hideMark/>
          </w:tcPr>
          <w:p w14:paraId="478CBDEE" w14:textId="77777777" w:rsidR="002A4DDF" w:rsidRPr="00937C8B" w:rsidRDefault="002A4DDF" w:rsidP="009110ED">
            <w:pPr>
              <w:rPr>
                <w:rFonts w:ascii="Arial" w:hAnsi="Arial" w:cs="Arial"/>
                <w:sz w:val="12"/>
                <w:szCs w:val="12"/>
              </w:rPr>
            </w:pPr>
          </w:p>
        </w:tc>
      </w:tr>
      <w:tr w:rsidR="002A4DDF" w:rsidRPr="00937C8B" w14:paraId="19931CDB" w14:textId="77777777" w:rsidTr="00935676">
        <w:trPr>
          <w:cantSplit/>
        </w:trPr>
        <w:tc>
          <w:tcPr>
            <w:tcW w:w="1696" w:type="dxa"/>
            <w:tcBorders>
              <w:left w:val="single" w:sz="4" w:space="0" w:color="auto"/>
            </w:tcBorders>
            <w:shd w:val="clear" w:color="auto" w:fill="auto"/>
          </w:tcPr>
          <w:p w14:paraId="495F1D5E" w14:textId="77777777" w:rsidR="002A4DDF" w:rsidRPr="00937C8B" w:rsidRDefault="002A4DDF" w:rsidP="009110ED">
            <w:pPr>
              <w:rPr>
                <w:rFonts w:ascii="Arial" w:hAnsi="Arial" w:cs="Arial"/>
                <w:sz w:val="12"/>
                <w:szCs w:val="12"/>
              </w:rPr>
            </w:pPr>
          </w:p>
        </w:tc>
        <w:tc>
          <w:tcPr>
            <w:tcW w:w="1843" w:type="dxa"/>
            <w:shd w:val="clear" w:color="auto" w:fill="auto"/>
          </w:tcPr>
          <w:p w14:paraId="60F66BCC" w14:textId="77777777" w:rsidR="002A4DDF" w:rsidRPr="00937C8B" w:rsidRDefault="002A4DDF" w:rsidP="009110ED">
            <w:pPr>
              <w:rPr>
                <w:rFonts w:ascii="Arial" w:hAnsi="Arial" w:cs="Arial"/>
                <w:sz w:val="12"/>
                <w:szCs w:val="12"/>
              </w:rPr>
            </w:pPr>
          </w:p>
        </w:tc>
        <w:tc>
          <w:tcPr>
            <w:tcW w:w="2268" w:type="dxa"/>
            <w:shd w:val="clear" w:color="auto" w:fill="F2F2F2"/>
            <w:hideMark/>
          </w:tcPr>
          <w:p w14:paraId="68926A57" w14:textId="77777777" w:rsidR="002A4DDF" w:rsidRPr="00937C8B" w:rsidRDefault="002A4DDF" w:rsidP="009110ED">
            <w:pPr>
              <w:rPr>
                <w:rFonts w:ascii="Arial" w:hAnsi="Arial" w:cs="Arial"/>
                <w:sz w:val="12"/>
                <w:szCs w:val="12"/>
              </w:rPr>
            </w:pPr>
            <w:r>
              <w:rPr>
                <w:rFonts w:ascii="Arial" w:hAnsi="Arial"/>
                <w:sz w:val="12"/>
                <w:szCs w:val="12"/>
              </w:rPr>
              <w:t>Bustillo de Chaves</w:t>
            </w:r>
          </w:p>
        </w:tc>
        <w:tc>
          <w:tcPr>
            <w:tcW w:w="2268" w:type="dxa"/>
            <w:tcBorders>
              <w:right w:val="single" w:sz="4" w:space="0" w:color="auto"/>
            </w:tcBorders>
            <w:shd w:val="clear" w:color="auto" w:fill="D9D9D9"/>
            <w:hideMark/>
          </w:tcPr>
          <w:p w14:paraId="540687C3" w14:textId="77777777" w:rsidR="002A4DDF" w:rsidRPr="00937C8B" w:rsidRDefault="002A4DDF" w:rsidP="009110ED">
            <w:pPr>
              <w:rPr>
                <w:rFonts w:ascii="Arial" w:hAnsi="Arial" w:cs="Arial"/>
                <w:sz w:val="12"/>
                <w:szCs w:val="12"/>
              </w:rPr>
            </w:pPr>
          </w:p>
        </w:tc>
      </w:tr>
      <w:tr w:rsidR="002A4DDF" w:rsidRPr="00937C8B" w14:paraId="5239571E" w14:textId="77777777" w:rsidTr="00935676">
        <w:trPr>
          <w:cantSplit/>
        </w:trPr>
        <w:tc>
          <w:tcPr>
            <w:tcW w:w="1696" w:type="dxa"/>
            <w:tcBorders>
              <w:left w:val="single" w:sz="4" w:space="0" w:color="auto"/>
            </w:tcBorders>
            <w:shd w:val="clear" w:color="auto" w:fill="auto"/>
          </w:tcPr>
          <w:p w14:paraId="3BC6CF4E" w14:textId="77777777" w:rsidR="002A4DDF" w:rsidRPr="00937C8B" w:rsidRDefault="002A4DDF" w:rsidP="009110ED">
            <w:pPr>
              <w:rPr>
                <w:rFonts w:ascii="Arial" w:hAnsi="Arial" w:cs="Arial"/>
                <w:sz w:val="12"/>
                <w:szCs w:val="12"/>
              </w:rPr>
            </w:pPr>
          </w:p>
        </w:tc>
        <w:tc>
          <w:tcPr>
            <w:tcW w:w="1843" w:type="dxa"/>
            <w:shd w:val="clear" w:color="auto" w:fill="auto"/>
          </w:tcPr>
          <w:p w14:paraId="550BC3B1" w14:textId="77777777" w:rsidR="002A4DDF" w:rsidRPr="00937C8B" w:rsidRDefault="002A4DDF" w:rsidP="009110ED">
            <w:pPr>
              <w:rPr>
                <w:rFonts w:ascii="Arial" w:hAnsi="Arial" w:cs="Arial"/>
                <w:sz w:val="12"/>
                <w:szCs w:val="12"/>
              </w:rPr>
            </w:pPr>
          </w:p>
        </w:tc>
        <w:tc>
          <w:tcPr>
            <w:tcW w:w="2268" w:type="dxa"/>
            <w:shd w:val="clear" w:color="auto" w:fill="F2F2F2"/>
            <w:hideMark/>
          </w:tcPr>
          <w:p w14:paraId="3F5F4DC5" w14:textId="77777777" w:rsidR="002A4DDF" w:rsidRPr="00937C8B" w:rsidRDefault="002A4DDF" w:rsidP="009110ED">
            <w:pPr>
              <w:rPr>
                <w:rFonts w:ascii="Arial" w:hAnsi="Arial" w:cs="Arial"/>
                <w:sz w:val="12"/>
                <w:szCs w:val="12"/>
              </w:rPr>
            </w:pPr>
            <w:r>
              <w:rPr>
                <w:rFonts w:ascii="Arial" w:hAnsi="Arial"/>
                <w:sz w:val="12"/>
                <w:szCs w:val="12"/>
              </w:rPr>
              <w:t>Cabezón de Valderaduey</w:t>
            </w:r>
          </w:p>
        </w:tc>
        <w:tc>
          <w:tcPr>
            <w:tcW w:w="2268" w:type="dxa"/>
            <w:tcBorders>
              <w:right w:val="single" w:sz="4" w:space="0" w:color="auto"/>
            </w:tcBorders>
            <w:shd w:val="clear" w:color="auto" w:fill="D9D9D9"/>
            <w:hideMark/>
          </w:tcPr>
          <w:p w14:paraId="46374AB2" w14:textId="77777777" w:rsidR="002A4DDF" w:rsidRPr="00937C8B" w:rsidRDefault="002A4DDF" w:rsidP="009110ED">
            <w:pPr>
              <w:rPr>
                <w:rFonts w:ascii="Arial" w:hAnsi="Arial" w:cs="Arial"/>
                <w:sz w:val="12"/>
                <w:szCs w:val="12"/>
              </w:rPr>
            </w:pPr>
          </w:p>
        </w:tc>
      </w:tr>
      <w:tr w:rsidR="002A4DDF" w:rsidRPr="00937C8B" w14:paraId="3F883807" w14:textId="77777777" w:rsidTr="00935676">
        <w:trPr>
          <w:cantSplit/>
        </w:trPr>
        <w:tc>
          <w:tcPr>
            <w:tcW w:w="1696" w:type="dxa"/>
            <w:tcBorders>
              <w:left w:val="single" w:sz="4" w:space="0" w:color="auto"/>
            </w:tcBorders>
            <w:shd w:val="clear" w:color="auto" w:fill="auto"/>
          </w:tcPr>
          <w:p w14:paraId="7CD00C89" w14:textId="77777777" w:rsidR="002A4DDF" w:rsidRPr="00937C8B" w:rsidRDefault="002A4DDF" w:rsidP="009110ED">
            <w:pPr>
              <w:rPr>
                <w:rFonts w:ascii="Arial" w:hAnsi="Arial" w:cs="Arial"/>
                <w:sz w:val="12"/>
                <w:szCs w:val="12"/>
              </w:rPr>
            </w:pPr>
          </w:p>
        </w:tc>
        <w:tc>
          <w:tcPr>
            <w:tcW w:w="1843" w:type="dxa"/>
            <w:shd w:val="clear" w:color="auto" w:fill="auto"/>
          </w:tcPr>
          <w:p w14:paraId="547DE086" w14:textId="77777777" w:rsidR="002A4DDF" w:rsidRPr="00937C8B" w:rsidRDefault="002A4DDF" w:rsidP="009110ED">
            <w:pPr>
              <w:rPr>
                <w:rFonts w:ascii="Arial" w:hAnsi="Arial" w:cs="Arial"/>
                <w:sz w:val="12"/>
                <w:szCs w:val="12"/>
              </w:rPr>
            </w:pPr>
          </w:p>
        </w:tc>
        <w:tc>
          <w:tcPr>
            <w:tcW w:w="2268" w:type="dxa"/>
            <w:shd w:val="clear" w:color="auto" w:fill="F2F2F2"/>
            <w:hideMark/>
          </w:tcPr>
          <w:p w14:paraId="7C1B5F26" w14:textId="77777777" w:rsidR="002A4DDF" w:rsidRPr="00937C8B" w:rsidRDefault="002A4DDF" w:rsidP="009110ED">
            <w:pPr>
              <w:rPr>
                <w:rFonts w:ascii="Arial" w:hAnsi="Arial" w:cs="Arial"/>
                <w:sz w:val="12"/>
                <w:szCs w:val="12"/>
              </w:rPr>
            </w:pPr>
            <w:r>
              <w:rPr>
                <w:rFonts w:ascii="Arial" w:hAnsi="Arial"/>
                <w:sz w:val="12"/>
                <w:szCs w:val="12"/>
              </w:rPr>
              <w:t>Canalejas de Peñafiel</w:t>
            </w:r>
          </w:p>
        </w:tc>
        <w:tc>
          <w:tcPr>
            <w:tcW w:w="2268" w:type="dxa"/>
            <w:tcBorders>
              <w:right w:val="single" w:sz="4" w:space="0" w:color="auto"/>
            </w:tcBorders>
            <w:shd w:val="clear" w:color="auto" w:fill="D9D9D9"/>
            <w:hideMark/>
          </w:tcPr>
          <w:p w14:paraId="411E3947" w14:textId="77777777" w:rsidR="002A4DDF" w:rsidRPr="00937C8B" w:rsidRDefault="002A4DDF" w:rsidP="009110ED">
            <w:pPr>
              <w:rPr>
                <w:rFonts w:ascii="Arial" w:hAnsi="Arial" w:cs="Arial"/>
                <w:sz w:val="12"/>
                <w:szCs w:val="12"/>
              </w:rPr>
            </w:pPr>
          </w:p>
        </w:tc>
      </w:tr>
      <w:tr w:rsidR="002A4DDF" w:rsidRPr="00937C8B" w14:paraId="1C809E3F" w14:textId="77777777" w:rsidTr="00935676">
        <w:trPr>
          <w:cantSplit/>
        </w:trPr>
        <w:tc>
          <w:tcPr>
            <w:tcW w:w="1696" w:type="dxa"/>
            <w:tcBorders>
              <w:left w:val="single" w:sz="4" w:space="0" w:color="auto"/>
            </w:tcBorders>
            <w:shd w:val="clear" w:color="auto" w:fill="auto"/>
          </w:tcPr>
          <w:p w14:paraId="67DA3936" w14:textId="77777777" w:rsidR="002A4DDF" w:rsidRPr="00937C8B" w:rsidRDefault="002A4DDF" w:rsidP="009110ED">
            <w:pPr>
              <w:rPr>
                <w:rFonts w:ascii="Arial" w:hAnsi="Arial" w:cs="Arial"/>
                <w:sz w:val="12"/>
                <w:szCs w:val="12"/>
              </w:rPr>
            </w:pPr>
          </w:p>
        </w:tc>
        <w:tc>
          <w:tcPr>
            <w:tcW w:w="1843" w:type="dxa"/>
            <w:shd w:val="clear" w:color="auto" w:fill="auto"/>
          </w:tcPr>
          <w:p w14:paraId="39D1B033" w14:textId="77777777" w:rsidR="002A4DDF" w:rsidRPr="00937C8B" w:rsidRDefault="002A4DDF" w:rsidP="009110ED">
            <w:pPr>
              <w:rPr>
                <w:rFonts w:ascii="Arial" w:hAnsi="Arial" w:cs="Arial"/>
                <w:sz w:val="12"/>
                <w:szCs w:val="12"/>
              </w:rPr>
            </w:pPr>
          </w:p>
        </w:tc>
        <w:tc>
          <w:tcPr>
            <w:tcW w:w="2268" w:type="dxa"/>
            <w:shd w:val="clear" w:color="auto" w:fill="F2F2F2"/>
            <w:hideMark/>
          </w:tcPr>
          <w:p w14:paraId="3C61575D" w14:textId="77777777" w:rsidR="002A4DDF" w:rsidRPr="00937C8B" w:rsidRDefault="002A4DDF" w:rsidP="009110ED">
            <w:pPr>
              <w:rPr>
                <w:rFonts w:ascii="Arial" w:hAnsi="Arial" w:cs="Arial"/>
                <w:sz w:val="12"/>
                <w:szCs w:val="12"/>
              </w:rPr>
            </w:pPr>
            <w:r>
              <w:rPr>
                <w:rFonts w:ascii="Arial" w:hAnsi="Arial"/>
                <w:sz w:val="12"/>
                <w:szCs w:val="12"/>
              </w:rPr>
              <w:t>Carpio</w:t>
            </w:r>
          </w:p>
        </w:tc>
        <w:tc>
          <w:tcPr>
            <w:tcW w:w="2268" w:type="dxa"/>
            <w:tcBorders>
              <w:right w:val="single" w:sz="4" w:space="0" w:color="auto"/>
            </w:tcBorders>
            <w:shd w:val="clear" w:color="auto" w:fill="D9D9D9"/>
            <w:hideMark/>
          </w:tcPr>
          <w:p w14:paraId="7D616585" w14:textId="77777777" w:rsidR="002A4DDF" w:rsidRPr="00937C8B" w:rsidRDefault="002A4DDF" w:rsidP="009110ED">
            <w:pPr>
              <w:rPr>
                <w:rFonts w:ascii="Arial" w:hAnsi="Arial" w:cs="Arial"/>
                <w:sz w:val="12"/>
                <w:szCs w:val="12"/>
              </w:rPr>
            </w:pPr>
          </w:p>
        </w:tc>
      </w:tr>
      <w:tr w:rsidR="002A4DDF" w:rsidRPr="00937C8B" w14:paraId="25756C56" w14:textId="77777777" w:rsidTr="00935676">
        <w:trPr>
          <w:cantSplit/>
        </w:trPr>
        <w:tc>
          <w:tcPr>
            <w:tcW w:w="1696" w:type="dxa"/>
            <w:tcBorders>
              <w:left w:val="single" w:sz="4" w:space="0" w:color="auto"/>
            </w:tcBorders>
            <w:shd w:val="clear" w:color="auto" w:fill="auto"/>
          </w:tcPr>
          <w:p w14:paraId="0D43A557" w14:textId="77777777" w:rsidR="002A4DDF" w:rsidRPr="00937C8B" w:rsidRDefault="002A4DDF" w:rsidP="009110ED">
            <w:pPr>
              <w:rPr>
                <w:rFonts w:ascii="Arial" w:hAnsi="Arial" w:cs="Arial"/>
                <w:sz w:val="12"/>
                <w:szCs w:val="12"/>
              </w:rPr>
            </w:pPr>
          </w:p>
        </w:tc>
        <w:tc>
          <w:tcPr>
            <w:tcW w:w="1843" w:type="dxa"/>
            <w:shd w:val="clear" w:color="auto" w:fill="auto"/>
          </w:tcPr>
          <w:p w14:paraId="772AB4E6" w14:textId="77777777" w:rsidR="002A4DDF" w:rsidRPr="00937C8B" w:rsidRDefault="002A4DDF" w:rsidP="009110ED">
            <w:pPr>
              <w:rPr>
                <w:rFonts w:ascii="Arial" w:hAnsi="Arial" w:cs="Arial"/>
                <w:sz w:val="12"/>
                <w:szCs w:val="12"/>
              </w:rPr>
            </w:pPr>
          </w:p>
        </w:tc>
        <w:tc>
          <w:tcPr>
            <w:tcW w:w="2268" w:type="dxa"/>
            <w:shd w:val="clear" w:color="auto" w:fill="F2F2F2"/>
            <w:hideMark/>
          </w:tcPr>
          <w:p w14:paraId="3C6AC188" w14:textId="77777777" w:rsidR="002A4DDF" w:rsidRPr="00937C8B" w:rsidRDefault="002A4DDF" w:rsidP="009110ED">
            <w:pPr>
              <w:rPr>
                <w:rFonts w:ascii="Arial" w:hAnsi="Arial" w:cs="Arial"/>
                <w:sz w:val="12"/>
                <w:szCs w:val="12"/>
              </w:rPr>
            </w:pPr>
            <w:r>
              <w:rPr>
                <w:rFonts w:ascii="Arial" w:hAnsi="Arial"/>
                <w:sz w:val="12"/>
                <w:szCs w:val="12"/>
              </w:rPr>
              <w:t>Casasola de Arión</w:t>
            </w:r>
          </w:p>
        </w:tc>
        <w:tc>
          <w:tcPr>
            <w:tcW w:w="2268" w:type="dxa"/>
            <w:tcBorders>
              <w:right w:val="single" w:sz="4" w:space="0" w:color="auto"/>
            </w:tcBorders>
            <w:shd w:val="clear" w:color="auto" w:fill="D9D9D9"/>
            <w:hideMark/>
          </w:tcPr>
          <w:p w14:paraId="668F607C" w14:textId="77777777" w:rsidR="002A4DDF" w:rsidRPr="00937C8B" w:rsidRDefault="002A4DDF" w:rsidP="009110ED">
            <w:pPr>
              <w:rPr>
                <w:rFonts w:ascii="Arial" w:hAnsi="Arial" w:cs="Arial"/>
                <w:sz w:val="12"/>
                <w:szCs w:val="12"/>
              </w:rPr>
            </w:pPr>
          </w:p>
        </w:tc>
      </w:tr>
      <w:tr w:rsidR="002A4DDF" w:rsidRPr="00937C8B" w14:paraId="172E4756" w14:textId="77777777" w:rsidTr="00935676">
        <w:trPr>
          <w:cantSplit/>
        </w:trPr>
        <w:tc>
          <w:tcPr>
            <w:tcW w:w="1696" w:type="dxa"/>
            <w:tcBorders>
              <w:left w:val="single" w:sz="4" w:space="0" w:color="auto"/>
            </w:tcBorders>
            <w:shd w:val="clear" w:color="auto" w:fill="auto"/>
          </w:tcPr>
          <w:p w14:paraId="24C9D950" w14:textId="77777777" w:rsidR="002A4DDF" w:rsidRPr="00937C8B" w:rsidRDefault="002A4DDF" w:rsidP="009110ED">
            <w:pPr>
              <w:rPr>
                <w:rFonts w:ascii="Arial" w:hAnsi="Arial" w:cs="Arial"/>
                <w:sz w:val="12"/>
                <w:szCs w:val="12"/>
              </w:rPr>
            </w:pPr>
          </w:p>
        </w:tc>
        <w:tc>
          <w:tcPr>
            <w:tcW w:w="1843" w:type="dxa"/>
            <w:shd w:val="clear" w:color="auto" w:fill="auto"/>
          </w:tcPr>
          <w:p w14:paraId="6EA2A322" w14:textId="77777777" w:rsidR="002A4DDF" w:rsidRPr="00937C8B" w:rsidRDefault="002A4DDF" w:rsidP="009110ED">
            <w:pPr>
              <w:rPr>
                <w:rFonts w:ascii="Arial" w:hAnsi="Arial" w:cs="Arial"/>
                <w:sz w:val="12"/>
                <w:szCs w:val="12"/>
              </w:rPr>
            </w:pPr>
          </w:p>
        </w:tc>
        <w:tc>
          <w:tcPr>
            <w:tcW w:w="2268" w:type="dxa"/>
            <w:shd w:val="clear" w:color="auto" w:fill="F2F2F2"/>
            <w:hideMark/>
          </w:tcPr>
          <w:p w14:paraId="70593DB8" w14:textId="77777777" w:rsidR="002A4DDF" w:rsidRPr="00937C8B" w:rsidRDefault="002A4DDF" w:rsidP="009110ED">
            <w:pPr>
              <w:rPr>
                <w:rFonts w:ascii="Arial" w:hAnsi="Arial" w:cs="Arial"/>
                <w:sz w:val="12"/>
                <w:szCs w:val="12"/>
              </w:rPr>
            </w:pPr>
            <w:r>
              <w:rPr>
                <w:rFonts w:ascii="Arial" w:hAnsi="Arial"/>
                <w:sz w:val="12"/>
                <w:szCs w:val="12"/>
              </w:rPr>
              <w:t>Castrejón de Trabancos</w:t>
            </w:r>
          </w:p>
        </w:tc>
        <w:tc>
          <w:tcPr>
            <w:tcW w:w="2268" w:type="dxa"/>
            <w:tcBorders>
              <w:right w:val="single" w:sz="4" w:space="0" w:color="auto"/>
            </w:tcBorders>
            <w:shd w:val="clear" w:color="auto" w:fill="D9D9D9"/>
            <w:hideMark/>
          </w:tcPr>
          <w:p w14:paraId="2AA1AB1D" w14:textId="77777777" w:rsidR="002A4DDF" w:rsidRPr="00937C8B" w:rsidRDefault="002A4DDF" w:rsidP="009110ED">
            <w:pPr>
              <w:rPr>
                <w:rFonts w:ascii="Arial" w:hAnsi="Arial" w:cs="Arial"/>
                <w:sz w:val="12"/>
                <w:szCs w:val="12"/>
              </w:rPr>
            </w:pPr>
          </w:p>
        </w:tc>
      </w:tr>
      <w:tr w:rsidR="002A4DDF" w:rsidRPr="00937C8B" w14:paraId="20B8C56B" w14:textId="77777777" w:rsidTr="00935676">
        <w:trPr>
          <w:cantSplit/>
        </w:trPr>
        <w:tc>
          <w:tcPr>
            <w:tcW w:w="1696" w:type="dxa"/>
            <w:tcBorders>
              <w:left w:val="single" w:sz="4" w:space="0" w:color="auto"/>
            </w:tcBorders>
            <w:shd w:val="clear" w:color="auto" w:fill="auto"/>
          </w:tcPr>
          <w:p w14:paraId="657372E0" w14:textId="77777777" w:rsidR="002A4DDF" w:rsidRPr="00937C8B" w:rsidRDefault="002A4DDF" w:rsidP="009110ED">
            <w:pPr>
              <w:rPr>
                <w:rFonts w:ascii="Arial" w:hAnsi="Arial" w:cs="Arial"/>
                <w:sz w:val="12"/>
                <w:szCs w:val="12"/>
              </w:rPr>
            </w:pPr>
          </w:p>
        </w:tc>
        <w:tc>
          <w:tcPr>
            <w:tcW w:w="1843" w:type="dxa"/>
            <w:shd w:val="clear" w:color="auto" w:fill="auto"/>
          </w:tcPr>
          <w:p w14:paraId="190AE3E7" w14:textId="77777777" w:rsidR="002A4DDF" w:rsidRPr="00937C8B" w:rsidRDefault="002A4DDF" w:rsidP="009110ED">
            <w:pPr>
              <w:rPr>
                <w:rFonts w:ascii="Arial" w:hAnsi="Arial" w:cs="Arial"/>
                <w:sz w:val="12"/>
                <w:szCs w:val="12"/>
              </w:rPr>
            </w:pPr>
          </w:p>
        </w:tc>
        <w:tc>
          <w:tcPr>
            <w:tcW w:w="2268" w:type="dxa"/>
            <w:shd w:val="clear" w:color="auto" w:fill="F2F2F2"/>
            <w:hideMark/>
          </w:tcPr>
          <w:p w14:paraId="51D5D74E" w14:textId="77777777" w:rsidR="002A4DDF" w:rsidRPr="00937C8B" w:rsidRDefault="002A4DDF" w:rsidP="009110ED">
            <w:pPr>
              <w:rPr>
                <w:rFonts w:ascii="Arial" w:hAnsi="Arial" w:cs="Arial"/>
                <w:sz w:val="12"/>
                <w:szCs w:val="12"/>
              </w:rPr>
            </w:pPr>
            <w:r>
              <w:rPr>
                <w:rFonts w:ascii="Arial" w:hAnsi="Arial"/>
                <w:sz w:val="12"/>
                <w:szCs w:val="12"/>
              </w:rPr>
              <w:t>Castrillo de Duero</w:t>
            </w:r>
          </w:p>
        </w:tc>
        <w:tc>
          <w:tcPr>
            <w:tcW w:w="2268" w:type="dxa"/>
            <w:tcBorders>
              <w:right w:val="single" w:sz="4" w:space="0" w:color="auto"/>
            </w:tcBorders>
            <w:shd w:val="clear" w:color="auto" w:fill="D9D9D9"/>
            <w:hideMark/>
          </w:tcPr>
          <w:p w14:paraId="13B1A2A1" w14:textId="77777777" w:rsidR="002A4DDF" w:rsidRPr="00937C8B" w:rsidRDefault="002A4DDF" w:rsidP="009110ED">
            <w:pPr>
              <w:rPr>
                <w:rFonts w:ascii="Arial" w:hAnsi="Arial" w:cs="Arial"/>
                <w:sz w:val="12"/>
                <w:szCs w:val="12"/>
              </w:rPr>
            </w:pPr>
          </w:p>
        </w:tc>
      </w:tr>
      <w:tr w:rsidR="002A4DDF" w:rsidRPr="00937C8B" w14:paraId="1E8D082C" w14:textId="77777777" w:rsidTr="00935676">
        <w:trPr>
          <w:cantSplit/>
        </w:trPr>
        <w:tc>
          <w:tcPr>
            <w:tcW w:w="1696" w:type="dxa"/>
            <w:tcBorders>
              <w:left w:val="single" w:sz="4" w:space="0" w:color="auto"/>
            </w:tcBorders>
            <w:shd w:val="clear" w:color="auto" w:fill="auto"/>
          </w:tcPr>
          <w:p w14:paraId="6B7A65EC" w14:textId="77777777" w:rsidR="002A4DDF" w:rsidRPr="00937C8B" w:rsidRDefault="002A4DDF" w:rsidP="009110ED">
            <w:pPr>
              <w:rPr>
                <w:rFonts w:ascii="Arial" w:hAnsi="Arial" w:cs="Arial"/>
                <w:sz w:val="12"/>
                <w:szCs w:val="12"/>
              </w:rPr>
            </w:pPr>
          </w:p>
        </w:tc>
        <w:tc>
          <w:tcPr>
            <w:tcW w:w="1843" w:type="dxa"/>
            <w:shd w:val="clear" w:color="auto" w:fill="auto"/>
          </w:tcPr>
          <w:p w14:paraId="51A4F696" w14:textId="77777777" w:rsidR="002A4DDF" w:rsidRPr="00937C8B" w:rsidRDefault="002A4DDF" w:rsidP="009110ED">
            <w:pPr>
              <w:rPr>
                <w:rFonts w:ascii="Arial" w:hAnsi="Arial" w:cs="Arial"/>
                <w:sz w:val="12"/>
                <w:szCs w:val="12"/>
              </w:rPr>
            </w:pPr>
          </w:p>
        </w:tc>
        <w:tc>
          <w:tcPr>
            <w:tcW w:w="2268" w:type="dxa"/>
            <w:shd w:val="clear" w:color="auto" w:fill="F2F2F2"/>
            <w:hideMark/>
          </w:tcPr>
          <w:p w14:paraId="4094A90A" w14:textId="77777777" w:rsidR="002A4DDF" w:rsidRPr="00937C8B" w:rsidRDefault="002A4DDF" w:rsidP="009110ED">
            <w:pPr>
              <w:rPr>
                <w:rFonts w:ascii="Arial" w:hAnsi="Arial" w:cs="Arial"/>
                <w:sz w:val="12"/>
                <w:szCs w:val="12"/>
              </w:rPr>
            </w:pPr>
            <w:r>
              <w:rPr>
                <w:rFonts w:ascii="Arial" w:hAnsi="Arial"/>
                <w:sz w:val="12"/>
                <w:szCs w:val="12"/>
              </w:rPr>
              <w:t>Castronuño</w:t>
            </w:r>
          </w:p>
        </w:tc>
        <w:tc>
          <w:tcPr>
            <w:tcW w:w="2268" w:type="dxa"/>
            <w:tcBorders>
              <w:right w:val="single" w:sz="4" w:space="0" w:color="auto"/>
            </w:tcBorders>
            <w:shd w:val="clear" w:color="auto" w:fill="D9D9D9"/>
            <w:hideMark/>
          </w:tcPr>
          <w:p w14:paraId="2225C897" w14:textId="77777777" w:rsidR="002A4DDF" w:rsidRPr="00937C8B" w:rsidRDefault="002A4DDF" w:rsidP="009110ED">
            <w:pPr>
              <w:rPr>
                <w:rFonts w:ascii="Arial" w:hAnsi="Arial" w:cs="Arial"/>
                <w:sz w:val="12"/>
                <w:szCs w:val="12"/>
              </w:rPr>
            </w:pPr>
          </w:p>
        </w:tc>
      </w:tr>
      <w:tr w:rsidR="002A4DDF" w:rsidRPr="00937C8B" w14:paraId="751346E9" w14:textId="77777777" w:rsidTr="00935676">
        <w:trPr>
          <w:cantSplit/>
        </w:trPr>
        <w:tc>
          <w:tcPr>
            <w:tcW w:w="1696" w:type="dxa"/>
            <w:tcBorders>
              <w:left w:val="single" w:sz="4" w:space="0" w:color="auto"/>
            </w:tcBorders>
            <w:shd w:val="clear" w:color="auto" w:fill="auto"/>
          </w:tcPr>
          <w:p w14:paraId="237F461F" w14:textId="77777777" w:rsidR="002A4DDF" w:rsidRPr="00937C8B" w:rsidRDefault="002A4DDF" w:rsidP="009110ED">
            <w:pPr>
              <w:rPr>
                <w:rFonts w:ascii="Arial" w:hAnsi="Arial" w:cs="Arial"/>
                <w:sz w:val="12"/>
                <w:szCs w:val="12"/>
              </w:rPr>
            </w:pPr>
          </w:p>
        </w:tc>
        <w:tc>
          <w:tcPr>
            <w:tcW w:w="1843" w:type="dxa"/>
            <w:shd w:val="clear" w:color="auto" w:fill="auto"/>
          </w:tcPr>
          <w:p w14:paraId="64B1C756" w14:textId="77777777" w:rsidR="002A4DDF" w:rsidRPr="00937C8B" w:rsidRDefault="002A4DDF" w:rsidP="009110ED">
            <w:pPr>
              <w:rPr>
                <w:rFonts w:ascii="Arial" w:hAnsi="Arial" w:cs="Arial"/>
                <w:sz w:val="12"/>
                <w:szCs w:val="12"/>
              </w:rPr>
            </w:pPr>
          </w:p>
        </w:tc>
        <w:tc>
          <w:tcPr>
            <w:tcW w:w="2268" w:type="dxa"/>
            <w:shd w:val="clear" w:color="auto" w:fill="F2F2F2"/>
            <w:hideMark/>
          </w:tcPr>
          <w:p w14:paraId="1339114D" w14:textId="77777777" w:rsidR="002A4DDF" w:rsidRPr="00937C8B" w:rsidRDefault="002A4DDF" w:rsidP="009110ED">
            <w:pPr>
              <w:rPr>
                <w:rFonts w:ascii="Arial" w:hAnsi="Arial" w:cs="Arial"/>
                <w:sz w:val="12"/>
                <w:szCs w:val="12"/>
              </w:rPr>
            </w:pPr>
            <w:r>
              <w:rPr>
                <w:rFonts w:ascii="Arial" w:hAnsi="Arial"/>
                <w:sz w:val="12"/>
                <w:szCs w:val="12"/>
              </w:rPr>
              <w:t>Castroponce</w:t>
            </w:r>
          </w:p>
        </w:tc>
        <w:tc>
          <w:tcPr>
            <w:tcW w:w="2268" w:type="dxa"/>
            <w:tcBorders>
              <w:right w:val="single" w:sz="4" w:space="0" w:color="auto"/>
            </w:tcBorders>
            <w:shd w:val="clear" w:color="auto" w:fill="D9D9D9"/>
            <w:hideMark/>
          </w:tcPr>
          <w:p w14:paraId="0F596F66" w14:textId="77777777" w:rsidR="002A4DDF" w:rsidRPr="00937C8B" w:rsidRDefault="002A4DDF" w:rsidP="009110ED">
            <w:pPr>
              <w:rPr>
                <w:rFonts w:ascii="Arial" w:hAnsi="Arial" w:cs="Arial"/>
                <w:sz w:val="12"/>
                <w:szCs w:val="12"/>
              </w:rPr>
            </w:pPr>
          </w:p>
        </w:tc>
      </w:tr>
      <w:tr w:rsidR="002A4DDF" w:rsidRPr="00937C8B" w14:paraId="70BA01A2" w14:textId="77777777" w:rsidTr="00935676">
        <w:trPr>
          <w:cantSplit/>
        </w:trPr>
        <w:tc>
          <w:tcPr>
            <w:tcW w:w="1696" w:type="dxa"/>
            <w:tcBorders>
              <w:left w:val="single" w:sz="4" w:space="0" w:color="auto"/>
            </w:tcBorders>
            <w:shd w:val="clear" w:color="auto" w:fill="auto"/>
          </w:tcPr>
          <w:p w14:paraId="7F9454F2" w14:textId="77777777" w:rsidR="002A4DDF" w:rsidRPr="00937C8B" w:rsidRDefault="002A4DDF" w:rsidP="009110ED">
            <w:pPr>
              <w:rPr>
                <w:rFonts w:ascii="Arial" w:hAnsi="Arial" w:cs="Arial"/>
                <w:sz w:val="12"/>
                <w:szCs w:val="12"/>
              </w:rPr>
            </w:pPr>
          </w:p>
        </w:tc>
        <w:tc>
          <w:tcPr>
            <w:tcW w:w="1843" w:type="dxa"/>
            <w:shd w:val="clear" w:color="auto" w:fill="auto"/>
          </w:tcPr>
          <w:p w14:paraId="788BD54D" w14:textId="77777777" w:rsidR="002A4DDF" w:rsidRPr="00937C8B" w:rsidRDefault="002A4DDF" w:rsidP="009110ED">
            <w:pPr>
              <w:rPr>
                <w:rFonts w:ascii="Arial" w:hAnsi="Arial" w:cs="Arial"/>
                <w:sz w:val="12"/>
                <w:szCs w:val="12"/>
              </w:rPr>
            </w:pPr>
          </w:p>
        </w:tc>
        <w:tc>
          <w:tcPr>
            <w:tcW w:w="2268" w:type="dxa"/>
            <w:shd w:val="clear" w:color="auto" w:fill="F2F2F2"/>
            <w:hideMark/>
          </w:tcPr>
          <w:p w14:paraId="2782E1E3" w14:textId="77777777" w:rsidR="002A4DDF" w:rsidRPr="00937C8B" w:rsidRDefault="002A4DDF" w:rsidP="009110ED">
            <w:pPr>
              <w:rPr>
                <w:rFonts w:ascii="Arial" w:hAnsi="Arial" w:cs="Arial"/>
                <w:sz w:val="12"/>
                <w:szCs w:val="12"/>
              </w:rPr>
            </w:pPr>
            <w:r>
              <w:rPr>
                <w:rFonts w:ascii="Arial" w:hAnsi="Arial"/>
                <w:sz w:val="12"/>
                <w:szCs w:val="12"/>
              </w:rPr>
              <w:t>Ceinos de Campos</w:t>
            </w:r>
          </w:p>
        </w:tc>
        <w:tc>
          <w:tcPr>
            <w:tcW w:w="2268" w:type="dxa"/>
            <w:tcBorders>
              <w:right w:val="single" w:sz="4" w:space="0" w:color="auto"/>
            </w:tcBorders>
            <w:shd w:val="clear" w:color="auto" w:fill="D9D9D9"/>
            <w:hideMark/>
          </w:tcPr>
          <w:p w14:paraId="63207F21" w14:textId="77777777" w:rsidR="002A4DDF" w:rsidRPr="00937C8B" w:rsidRDefault="002A4DDF" w:rsidP="009110ED">
            <w:pPr>
              <w:rPr>
                <w:rFonts w:ascii="Arial" w:hAnsi="Arial" w:cs="Arial"/>
                <w:sz w:val="12"/>
                <w:szCs w:val="12"/>
              </w:rPr>
            </w:pPr>
          </w:p>
        </w:tc>
      </w:tr>
      <w:tr w:rsidR="002A4DDF" w:rsidRPr="00937C8B" w14:paraId="6C89A8FD" w14:textId="77777777" w:rsidTr="00935676">
        <w:trPr>
          <w:cantSplit/>
        </w:trPr>
        <w:tc>
          <w:tcPr>
            <w:tcW w:w="1696" w:type="dxa"/>
            <w:tcBorders>
              <w:left w:val="single" w:sz="4" w:space="0" w:color="auto"/>
            </w:tcBorders>
            <w:shd w:val="clear" w:color="auto" w:fill="auto"/>
          </w:tcPr>
          <w:p w14:paraId="2ADD8C3A" w14:textId="77777777" w:rsidR="002A4DDF" w:rsidRPr="00937C8B" w:rsidRDefault="002A4DDF" w:rsidP="009110ED">
            <w:pPr>
              <w:rPr>
                <w:rFonts w:ascii="Arial" w:hAnsi="Arial" w:cs="Arial"/>
                <w:sz w:val="12"/>
                <w:szCs w:val="12"/>
              </w:rPr>
            </w:pPr>
          </w:p>
        </w:tc>
        <w:tc>
          <w:tcPr>
            <w:tcW w:w="1843" w:type="dxa"/>
            <w:shd w:val="clear" w:color="auto" w:fill="auto"/>
          </w:tcPr>
          <w:p w14:paraId="105967F6" w14:textId="77777777" w:rsidR="002A4DDF" w:rsidRPr="00937C8B" w:rsidRDefault="002A4DDF" w:rsidP="009110ED">
            <w:pPr>
              <w:rPr>
                <w:rFonts w:ascii="Arial" w:hAnsi="Arial" w:cs="Arial"/>
                <w:sz w:val="12"/>
                <w:szCs w:val="12"/>
              </w:rPr>
            </w:pPr>
          </w:p>
        </w:tc>
        <w:tc>
          <w:tcPr>
            <w:tcW w:w="2268" w:type="dxa"/>
            <w:shd w:val="clear" w:color="auto" w:fill="F2F2F2"/>
            <w:hideMark/>
          </w:tcPr>
          <w:p w14:paraId="50F60881" w14:textId="77777777" w:rsidR="002A4DDF" w:rsidRPr="00937C8B" w:rsidRDefault="002A4DDF" w:rsidP="009110ED">
            <w:pPr>
              <w:rPr>
                <w:rFonts w:ascii="Arial" w:hAnsi="Arial" w:cs="Arial"/>
                <w:sz w:val="12"/>
                <w:szCs w:val="12"/>
              </w:rPr>
            </w:pPr>
            <w:r>
              <w:rPr>
                <w:rFonts w:ascii="Arial" w:hAnsi="Arial"/>
                <w:sz w:val="12"/>
                <w:szCs w:val="12"/>
              </w:rPr>
              <w:t>Cervillego de la Cruz</w:t>
            </w:r>
          </w:p>
        </w:tc>
        <w:tc>
          <w:tcPr>
            <w:tcW w:w="2268" w:type="dxa"/>
            <w:tcBorders>
              <w:right w:val="single" w:sz="4" w:space="0" w:color="auto"/>
            </w:tcBorders>
            <w:shd w:val="clear" w:color="auto" w:fill="D9D9D9"/>
            <w:hideMark/>
          </w:tcPr>
          <w:p w14:paraId="09B1294A" w14:textId="77777777" w:rsidR="002A4DDF" w:rsidRPr="00937C8B" w:rsidRDefault="002A4DDF" w:rsidP="009110ED">
            <w:pPr>
              <w:rPr>
                <w:rFonts w:ascii="Arial" w:hAnsi="Arial" w:cs="Arial"/>
                <w:sz w:val="12"/>
                <w:szCs w:val="12"/>
              </w:rPr>
            </w:pPr>
          </w:p>
        </w:tc>
      </w:tr>
      <w:tr w:rsidR="002A4DDF" w:rsidRPr="00937C8B" w14:paraId="69C16038" w14:textId="77777777" w:rsidTr="00935676">
        <w:trPr>
          <w:cantSplit/>
        </w:trPr>
        <w:tc>
          <w:tcPr>
            <w:tcW w:w="1696" w:type="dxa"/>
            <w:tcBorders>
              <w:left w:val="single" w:sz="4" w:space="0" w:color="auto"/>
            </w:tcBorders>
            <w:shd w:val="clear" w:color="auto" w:fill="auto"/>
          </w:tcPr>
          <w:p w14:paraId="7824D915" w14:textId="77777777" w:rsidR="002A4DDF" w:rsidRPr="00937C8B" w:rsidRDefault="002A4DDF" w:rsidP="009110ED">
            <w:pPr>
              <w:rPr>
                <w:rFonts w:ascii="Arial" w:hAnsi="Arial" w:cs="Arial"/>
                <w:sz w:val="12"/>
                <w:szCs w:val="12"/>
              </w:rPr>
            </w:pPr>
          </w:p>
        </w:tc>
        <w:tc>
          <w:tcPr>
            <w:tcW w:w="1843" w:type="dxa"/>
            <w:shd w:val="clear" w:color="auto" w:fill="auto"/>
          </w:tcPr>
          <w:p w14:paraId="38A8FF7A" w14:textId="77777777" w:rsidR="002A4DDF" w:rsidRPr="00937C8B" w:rsidRDefault="002A4DDF" w:rsidP="009110ED">
            <w:pPr>
              <w:rPr>
                <w:rFonts w:ascii="Arial" w:hAnsi="Arial" w:cs="Arial"/>
                <w:sz w:val="12"/>
                <w:szCs w:val="12"/>
              </w:rPr>
            </w:pPr>
          </w:p>
        </w:tc>
        <w:tc>
          <w:tcPr>
            <w:tcW w:w="2268" w:type="dxa"/>
            <w:shd w:val="clear" w:color="auto" w:fill="F2F2F2"/>
            <w:hideMark/>
          </w:tcPr>
          <w:p w14:paraId="465DC71B" w14:textId="77777777" w:rsidR="002A4DDF" w:rsidRPr="00937C8B" w:rsidRDefault="002A4DDF" w:rsidP="009110ED">
            <w:pPr>
              <w:rPr>
                <w:rFonts w:ascii="Arial" w:hAnsi="Arial" w:cs="Arial"/>
                <w:sz w:val="12"/>
                <w:szCs w:val="12"/>
              </w:rPr>
            </w:pPr>
            <w:r>
              <w:rPr>
                <w:rFonts w:ascii="Arial" w:hAnsi="Arial"/>
                <w:sz w:val="12"/>
                <w:szCs w:val="12"/>
              </w:rPr>
              <w:t>Cogeces del Monte</w:t>
            </w:r>
          </w:p>
        </w:tc>
        <w:tc>
          <w:tcPr>
            <w:tcW w:w="2268" w:type="dxa"/>
            <w:tcBorders>
              <w:right w:val="single" w:sz="4" w:space="0" w:color="auto"/>
            </w:tcBorders>
            <w:shd w:val="clear" w:color="auto" w:fill="D9D9D9"/>
            <w:hideMark/>
          </w:tcPr>
          <w:p w14:paraId="16AC4435" w14:textId="77777777" w:rsidR="002A4DDF" w:rsidRPr="00937C8B" w:rsidRDefault="002A4DDF" w:rsidP="009110ED">
            <w:pPr>
              <w:rPr>
                <w:rFonts w:ascii="Arial" w:hAnsi="Arial" w:cs="Arial"/>
                <w:sz w:val="12"/>
                <w:szCs w:val="12"/>
              </w:rPr>
            </w:pPr>
          </w:p>
        </w:tc>
      </w:tr>
      <w:tr w:rsidR="002A4DDF" w:rsidRPr="00937C8B" w14:paraId="549090C5" w14:textId="77777777" w:rsidTr="00935676">
        <w:trPr>
          <w:cantSplit/>
        </w:trPr>
        <w:tc>
          <w:tcPr>
            <w:tcW w:w="1696" w:type="dxa"/>
            <w:tcBorders>
              <w:left w:val="single" w:sz="4" w:space="0" w:color="auto"/>
            </w:tcBorders>
            <w:shd w:val="clear" w:color="auto" w:fill="auto"/>
          </w:tcPr>
          <w:p w14:paraId="3A9542AC" w14:textId="77777777" w:rsidR="002A4DDF" w:rsidRPr="00937C8B" w:rsidRDefault="002A4DDF" w:rsidP="009110ED">
            <w:pPr>
              <w:rPr>
                <w:rFonts w:ascii="Arial" w:hAnsi="Arial" w:cs="Arial"/>
                <w:sz w:val="12"/>
                <w:szCs w:val="12"/>
              </w:rPr>
            </w:pPr>
          </w:p>
        </w:tc>
        <w:tc>
          <w:tcPr>
            <w:tcW w:w="1843" w:type="dxa"/>
            <w:shd w:val="clear" w:color="auto" w:fill="auto"/>
          </w:tcPr>
          <w:p w14:paraId="0B2BA3C5" w14:textId="77777777" w:rsidR="002A4DDF" w:rsidRPr="00937C8B" w:rsidRDefault="002A4DDF" w:rsidP="009110ED">
            <w:pPr>
              <w:rPr>
                <w:rFonts w:ascii="Arial" w:hAnsi="Arial" w:cs="Arial"/>
                <w:sz w:val="12"/>
                <w:szCs w:val="12"/>
              </w:rPr>
            </w:pPr>
          </w:p>
        </w:tc>
        <w:tc>
          <w:tcPr>
            <w:tcW w:w="2268" w:type="dxa"/>
            <w:shd w:val="clear" w:color="auto" w:fill="F2F2F2"/>
            <w:hideMark/>
          </w:tcPr>
          <w:p w14:paraId="24366388" w14:textId="77777777" w:rsidR="002A4DDF" w:rsidRPr="00937C8B" w:rsidRDefault="002A4DDF" w:rsidP="009110ED">
            <w:pPr>
              <w:rPr>
                <w:rFonts w:ascii="Arial" w:hAnsi="Arial" w:cs="Arial"/>
                <w:sz w:val="12"/>
                <w:szCs w:val="12"/>
              </w:rPr>
            </w:pPr>
            <w:r>
              <w:rPr>
                <w:rFonts w:ascii="Arial" w:hAnsi="Arial"/>
                <w:sz w:val="12"/>
                <w:szCs w:val="12"/>
              </w:rPr>
              <w:t>Cuenca de Campos</w:t>
            </w:r>
          </w:p>
        </w:tc>
        <w:tc>
          <w:tcPr>
            <w:tcW w:w="2268" w:type="dxa"/>
            <w:tcBorders>
              <w:right w:val="single" w:sz="4" w:space="0" w:color="auto"/>
            </w:tcBorders>
            <w:shd w:val="clear" w:color="auto" w:fill="D9D9D9"/>
            <w:hideMark/>
          </w:tcPr>
          <w:p w14:paraId="55951D44" w14:textId="77777777" w:rsidR="002A4DDF" w:rsidRPr="00937C8B" w:rsidRDefault="002A4DDF" w:rsidP="009110ED">
            <w:pPr>
              <w:rPr>
                <w:rFonts w:ascii="Arial" w:hAnsi="Arial" w:cs="Arial"/>
                <w:sz w:val="12"/>
                <w:szCs w:val="12"/>
              </w:rPr>
            </w:pPr>
          </w:p>
        </w:tc>
      </w:tr>
      <w:tr w:rsidR="002A4DDF" w:rsidRPr="00937C8B" w14:paraId="7040F526" w14:textId="77777777" w:rsidTr="00935676">
        <w:trPr>
          <w:cantSplit/>
        </w:trPr>
        <w:tc>
          <w:tcPr>
            <w:tcW w:w="1696" w:type="dxa"/>
            <w:tcBorders>
              <w:left w:val="single" w:sz="4" w:space="0" w:color="auto"/>
            </w:tcBorders>
            <w:shd w:val="clear" w:color="auto" w:fill="auto"/>
          </w:tcPr>
          <w:p w14:paraId="490EB1F4" w14:textId="77777777" w:rsidR="002A4DDF" w:rsidRPr="00937C8B" w:rsidRDefault="002A4DDF" w:rsidP="009110ED">
            <w:pPr>
              <w:rPr>
                <w:rFonts w:ascii="Arial" w:hAnsi="Arial" w:cs="Arial"/>
                <w:sz w:val="12"/>
                <w:szCs w:val="12"/>
              </w:rPr>
            </w:pPr>
          </w:p>
        </w:tc>
        <w:tc>
          <w:tcPr>
            <w:tcW w:w="1843" w:type="dxa"/>
            <w:shd w:val="clear" w:color="auto" w:fill="auto"/>
          </w:tcPr>
          <w:p w14:paraId="53CDB60E" w14:textId="77777777" w:rsidR="002A4DDF" w:rsidRPr="00937C8B" w:rsidRDefault="002A4DDF" w:rsidP="009110ED">
            <w:pPr>
              <w:rPr>
                <w:rFonts w:ascii="Arial" w:hAnsi="Arial" w:cs="Arial"/>
                <w:sz w:val="12"/>
                <w:szCs w:val="12"/>
              </w:rPr>
            </w:pPr>
          </w:p>
        </w:tc>
        <w:tc>
          <w:tcPr>
            <w:tcW w:w="2268" w:type="dxa"/>
            <w:shd w:val="clear" w:color="auto" w:fill="F2F2F2"/>
            <w:hideMark/>
          </w:tcPr>
          <w:p w14:paraId="15CE1DD1" w14:textId="77777777" w:rsidR="002A4DDF" w:rsidRPr="00937C8B" w:rsidRDefault="002A4DDF" w:rsidP="009110ED">
            <w:pPr>
              <w:rPr>
                <w:rFonts w:ascii="Arial" w:hAnsi="Arial" w:cs="Arial"/>
                <w:sz w:val="12"/>
                <w:szCs w:val="12"/>
              </w:rPr>
            </w:pPr>
            <w:r>
              <w:rPr>
                <w:rFonts w:ascii="Arial" w:hAnsi="Arial"/>
                <w:sz w:val="12"/>
                <w:szCs w:val="12"/>
              </w:rPr>
              <w:t>Curiel de Duero</w:t>
            </w:r>
          </w:p>
        </w:tc>
        <w:tc>
          <w:tcPr>
            <w:tcW w:w="2268" w:type="dxa"/>
            <w:tcBorders>
              <w:right w:val="single" w:sz="4" w:space="0" w:color="auto"/>
            </w:tcBorders>
            <w:shd w:val="clear" w:color="auto" w:fill="D9D9D9"/>
            <w:hideMark/>
          </w:tcPr>
          <w:p w14:paraId="1F5A8F87" w14:textId="77777777" w:rsidR="002A4DDF" w:rsidRPr="00937C8B" w:rsidRDefault="002A4DDF" w:rsidP="009110ED">
            <w:pPr>
              <w:rPr>
                <w:rFonts w:ascii="Arial" w:hAnsi="Arial" w:cs="Arial"/>
                <w:sz w:val="12"/>
                <w:szCs w:val="12"/>
              </w:rPr>
            </w:pPr>
          </w:p>
        </w:tc>
      </w:tr>
      <w:tr w:rsidR="002A4DDF" w:rsidRPr="00937C8B" w14:paraId="1518E2A0" w14:textId="77777777" w:rsidTr="00935676">
        <w:trPr>
          <w:cantSplit/>
        </w:trPr>
        <w:tc>
          <w:tcPr>
            <w:tcW w:w="1696" w:type="dxa"/>
            <w:tcBorders>
              <w:left w:val="single" w:sz="4" w:space="0" w:color="auto"/>
            </w:tcBorders>
            <w:shd w:val="clear" w:color="auto" w:fill="auto"/>
          </w:tcPr>
          <w:p w14:paraId="07099B1C" w14:textId="77777777" w:rsidR="002A4DDF" w:rsidRPr="00937C8B" w:rsidRDefault="002A4DDF" w:rsidP="009110ED">
            <w:pPr>
              <w:rPr>
                <w:rFonts w:ascii="Arial" w:hAnsi="Arial" w:cs="Arial"/>
                <w:sz w:val="12"/>
                <w:szCs w:val="12"/>
              </w:rPr>
            </w:pPr>
          </w:p>
        </w:tc>
        <w:tc>
          <w:tcPr>
            <w:tcW w:w="1843" w:type="dxa"/>
            <w:shd w:val="clear" w:color="auto" w:fill="auto"/>
          </w:tcPr>
          <w:p w14:paraId="16902EA8" w14:textId="77777777" w:rsidR="002A4DDF" w:rsidRPr="00937C8B" w:rsidRDefault="002A4DDF" w:rsidP="009110ED">
            <w:pPr>
              <w:rPr>
                <w:rFonts w:ascii="Arial" w:hAnsi="Arial" w:cs="Arial"/>
                <w:sz w:val="12"/>
                <w:szCs w:val="12"/>
              </w:rPr>
            </w:pPr>
          </w:p>
        </w:tc>
        <w:tc>
          <w:tcPr>
            <w:tcW w:w="2268" w:type="dxa"/>
            <w:shd w:val="clear" w:color="auto" w:fill="F2F2F2"/>
            <w:hideMark/>
          </w:tcPr>
          <w:p w14:paraId="345AA053" w14:textId="77777777" w:rsidR="002A4DDF" w:rsidRPr="00937C8B" w:rsidRDefault="002A4DDF" w:rsidP="009110ED">
            <w:pPr>
              <w:rPr>
                <w:rFonts w:ascii="Arial" w:hAnsi="Arial" w:cs="Arial"/>
                <w:sz w:val="12"/>
                <w:szCs w:val="12"/>
              </w:rPr>
            </w:pPr>
            <w:r>
              <w:rPr>
                <w:rFonts w:ascii="Arial" w:hAnsi="Arial"/>
                <w:sz w:val="12"/>
                <w:szCs w:val="12"/>
              </w:rPr>
              <w:t>El Campillo</w:t>
            </w:r>
          </w:p>
        </w:tc>
        <w:tc>
          <w:tcPr>
            <w:tcW w:w="2268" w:type="dxa"/>
            <w:tcBorders>
              <w:right w:val="single" w:sz="4" w:space="0" w:color="auto"/>
            </w:tcBorders>
            <w:shd w:val="clear" w:color="auto" w:fill="D9D9D9"/>
            <w:hideMark/>
          </w:tcPr>
          <w:p w14:paraId="13C559F6" w14:textId="77777777" w:rsidR="002A4DDF" w:rsidRPr="00937C8B" w:rsidRDefault="002A4DDF" w:rsidP="009110ED">
            <w:pPr>
              <w:rPr>
                <w:rFonts w:ascii="Arial" w:hAnsi="Arial" w:cs="Arial"/>
                <w:sz w:val="12"/>
                <w:szCs w:val="12"/>
              </w:rPr>
            </w:pPr>
          </w:p>
        </w:tc>
      </w:tr>
      <w:tr w:rsidR="002A4DDF" w:rsidRPr="00937C8B" w14:paraId="7265D4A5" w14:textId="77777777" w:rsidTr="00935676">
        <w:trPr>
          <w:cantSplit/>
        </w:trPr>
        <w:tc>
          <w:tcPr>
            <w:tcW w:w="1696" w:type="dxa"/>
            <w:tcBorders>
              <w:left w:val="single" w:sz="4" w:space="0" w:color="auto"/>
            </w:tcBorders>
            <w:shd w:val="clear" w:color="auto" w:fill="auto"/>
          </w:tcPr>
          <w:p w14:paraId="76BAC6B3" w14:textId="77777777" w:rsidR="002A4DDF" w:rsidRPr="00937C8B" w:rsidRDefault="002A4DDF" w:rsidP="009110ED">
            <w:pPr>
              <w:rPr>
                <w:rFonts w:ascii="Arial" w:hAnsi="Arial" w:cs="Arial"/>
                <w:sz w:val="12"/>
                <w:szCs w:val="12"/>
              </w:rPr>
            </w:pPr>
          </w:p>
        </w:tc>
        <w:tc>
          <w:tcPr>
            <w:tcW w:w="1843" w:type="dxa"/>
            <w:shd w:val="clear" w:color="auto" w:fill="auto"/>
          </w:tcPr>
          <w:p w14:paraId="7665B22B" w14:textId="77777777" w:rsidR="002A4DDF" w:rsidRPr="00937C8B" w:rsidRDefault="002A4DDF" w:rsidP="009110ED">
            <w:pPr>
              <w:rPr>
                <w:rFonts w:ascii="Arial" w:hAnsi="Arial" w:cs="Arial"/>
                <w:sz w:val="12"/>
                <w:szCs w:val="12"/>
              </w:rPr>
            </w:pPr>
          </w:p>
        </w:tc>
        <w:tc>
          <w:tcPr>
            <w:tcW w:w="2268" w:type="dxa"/>
            <w:shd w:val="clear" w:color="auto" w:fill="F2F2F2"/>
            <w:hideMark/>
          </w:tcPr>
          <w:p w14:paraId="36710040" w14:textId="77777777" w:rsidR="002A4DDF" w:rsidRPr="00937C8B" w:rsidRDefault="002A4DDF" w:rsidP="009110ED">
            <w:pPr>
              <w:rPr>
                <w:rFonts w:ascii="Arial" w:hAnsi="Arial" w:cs="Arial"/>
                <w:sz w:val="12"/>
                <w:szCs w:val="12"/>
              </w:rPr>
            </w:pPr>
            <w:r>
              <w:rPr>
                <w:rFonts w:ascii="Arial" w:hAnsi="Arial"/>
                <w:sz w:val="12"/>
                <w:szCs w:val="12"/>
              </w:rPr>
              <w:t>Fompedraza</w:t>
            </w:r>
          </w:p>
        </w:tc>
        <w:tc>
          <w:tcPr>
            <w:tcW w:w="2268" w:type="dxa"/>
            <w:tcBorders>
              <w:right w:val="single" w:sz="4" w:space="0" w:color="auto"/>
            </w:tcBorders>
            <w:shd w:val="clear" w:color="auto" w:fill="D9D9D9"/>
            <w:hideMark/>
          </w:tcPr>
          <w:p w14:paraId="28236EFE" w14:textId="77777777" w:rsidR="002A4DDF" w:rsidRPr="00937C8B" w:rsidRDefault="002A4DDF" w:rsidP="009110ED">
            <w:pPr>
              <w:rPr>
                <w:rFonts w:ascii="Arial" w:hAnsi="Arial" w:cs="Arial"/>
                <w:sz w:val="12"/>
                <w:szCs w:val="12"/>
              </w:rPr>
            </w:pPr>
          </w:p>
        </w:tc>
      </w:tr>
      <w:tr w:rsidR="002A4DDF" w:rsidRPr="00937C8B" w14:paraId="05260F60" w14:textId="77777777" w:rsidTr="00935676">
        <w:trPr>
          <w:cantSplit/>
        </w:trPr>
        <w:tc>
          <w:tcPr>
            <w:tcW w:w="1696" w:type="dxa"/>
            <w:tcBorders>
              <w:left w:val="single" w:sz="4" w:space="0" w:color="auto"/>
            </w:tcBorders>
            <w:shd w:val="clear" w:color="auto" w:fill="auto"/>
          </w:tcPr>
          <w:p w14:paraId="479BBDFE" w14:textId="77777777" w:rsidR="002A4DDF" w:rsidRPr="00937C8B" w:rsidRDefault="002A4DDF" w:rsidP="009110ED">
            <w:pPr>
              <w:rPr>
                <w:rFonts w:ascii="Arial" w:hAnsi="Arial" w:cs="Arial"/>
                <w:sz w:val="12"/>
                <w:szCs w:val="12"/>
              </w:rPr>
            </w:pPr>
          </w:p>
        </w:tc>
        <w:tc>
          <w:tcPr>
            <w:tcW w:w="1843" w:type="dxa"/>
            <w:shd w:val="clear" w:color="auto" w:fill="auto"/>
          </w:tcPr>
          <w:p w14:paraId="3CD4A373" w14:textId="77777777" w:rsidR="002A4DDF" w:rsidRPr="00937C8B" w:rsidRDefault="002A4DDF" w:rsidP="009110ED">
            <w:pPr>
              <w:rPr>
                <w:rFonts w:ascii="Arial" w:hAnsi="Arial" w:cs="Arial"/>
                <w:sz w:val="12"/>
                <w:szCs w:val="12"/>
              </w:rPr>
            </w:pPr>
          </w:p>
        </w:tc>
        <w:tc>
          <w:tcPr>
            <w:tcW w:w="2268" w:type="dxa"/>
            <w:shd w:val="clear" w:color="auto" w:fill="F2F2F2"/>
            <w:hideMark/>
          </w:tcPr>
          <w:p w14:paraId="448F3504" w14:textId="77777777" w:rsidR="002A4DDF" w:rsidRPr="00937C8B" w:rsidRDefault="002A4DDF" w:rsidP="009110ED">
            <w:pPr>
              <w:rPr>
                <w:rFonts w:ascii="Arial" w:hAnsi="Arial" w:cs="Arial"/>
                <w:sz w:val="12"/>
                <w:szCs w:val="12"/>
              </w:rPr>
            </w:pPr>
            <w:r>
              <w:rPr>
                <w:rFonts w:ascii="Arial" w:hAnsi="Arial"/>
                <w:sz w:val="12"/>
                <w:szCs w:val="12"/>
              </w:rPr>
              <w:t>Fontihoyuelo</w:t>
            </w:r>
          </w:p>
        </w:tc>
        <w:tc>
          <w:tcPr>
            <w:tcW w:w="2268" w:type="dxa"/>
            <w:tcBorders>
              <w:right w:val="single" w:sz="4" w:space="0" w:color="auto"/>
            </w:tcBorders>
            <w:shd w:val="clear" w:color="auto" w:fill="D9D9D9"/>
            <w:hideMark/>
          </w:tcPr>
          <w:p w14:paraId="44F1A3CF" w14:textId="77777777" w:rsidR="002A4DDF" w:rsidRPr="00937C8B" w:rsidRDefault="002A4DDF" w:rsidP="009110ED">
            <w:pPr>
              <w:rPr>
                <w:rFonts w:ascii="Arial" w:hAnsi="Arial" w:cs="Arial"/>
                <w:sz w:val="12"/>
                <w:szCs w:val="12"/>
              </w:rPr>
            </w:pPr>
          </w:p>
        </w:tc>
      </w:tr>
      <w:tr w:rsidR="002A4DDF" w:rsidRPr="00937C8B" w14:paraId="730C7196" w14:textId="77777777" w:rsidTr="00935676">
        <w:trPr>
          <w:cantSplit/>
        </w:trPr>
        <w:tc>
          <w:tcPr>
            <w:tcW w:w="1696" w:type="dxa"/>
            <w:tcBorders>
              <w:left w:val="single" w:sz="4" w:space="0" w:color="auto"/>
            </w:tcBorders>
            <w:shd w:val="clear" w:color="auto" w:fill="auto"/>
          </w:tcPr>
          <w:p w14:paraId="20287AD1" w14:textId="77777777" w:rsidR="002A4DDF" w:rsidRPr="00937C8B" w:rsidRDefault="002A4DDF" w:rsidP="009110ED">
            <w:pPr>
              <w:rPr>
                <w:rFonts w:ascii="Arial" w:hAnsi="Arial" w:cs="Arial"/>
                <w:sz w:val="12"/>
                <w:szCs w:val="12"/>
              </w:rPr>
            </w:pPr>
          </w:p>
        </w:tc>
        <w:tc>
          <w:tcPr>
            <w:tcW w:w="1843" w:type="dxa"/>
            <w:shd w:val="clear" w:color="auto" w:fill="auto"/>
          </w:tcPr>
          <w:p w14:paraId="4BFC6C75" w14:textId="77777777" w:rsidR="002A4DDF" w:rsidRPr="00937C8B" w:rsidRDefault="002A4DDF" w:rsidP="009110ED">
            <w:pPr>
              <w:rPr>
                <w:rFonts w:ascii="Arial" w:hAnsi="Arial" w:cs="Arial"/>
                <w:sz w:val="12"/>
                <w:szCs w:val="12"/>
              </w:rPr>
            </w:pPr>
          </w:p>
        </w:tc>
        <w:tc>
          <w:tcPr>
            <w:tcW w:w="2268" w:type="dxa"/>
            <w:shd w:val="clear" w:color="auto" w:fill="F2F2F2"/>
            <w:hideMark/>
          </w:tcPr>
          <w:p w14:paraId="2DD997C0" w14:textId="77777777" w:rsidR="002A4DDF" w:rsidRPr="00937C8B" w:rsidRDefault="002A4DDF" w:rsidP="009110ED">
            <w:pPr>
              <w:rPr>
                <w:rFonts w:ascii="Arial" w:hAnsi="Arial" w:cs="Arial"/>
                <w:sz w:val="12"/>
                <w:szCs w:val="12"/>
              </w:rPr>
            </w:pPr>
            <w:r>
              <w:rPr>
                <w:rFonts w:ascii="Arial" w:hAnsi="Arial"/>
                <w:sz w:val="12"/>
                <w:szCs w:val="12"/>
              </w:rPr>
              <w:t>Fresno el Viejo</w:t>
            </w:r>
          </w:p>
        </w:tc>
        <w:tc>
          <w:tcPr>
            <w:tcW w:w="2268" w:type="dxa"/>
            <w:tcBorders>
              <w:right w:val="single" w:sz="4" w:space="0" w:color="auto"/>
            </w:tcBorders>
            <w:shd w:val="clear" w:color="auto" w:fill="D9D9D9"/>
            <w:hideMark/>
          </w:tcPr>
          <w:p w14:paraId="0F9F7306" w14:textId="77777777" w:rsidR="002A4DDF" w:rsidRPr="00937C8B" w:rsidRDefault="002A4DDF" w:rsidP="009110ED">
            <w:pPr>
              <w:rPr>
                <w:rFonts w:ascii="Arial" w:hAnsi="Arial" w:cs="Arial"/>
                <w:sz w:val="12"/>
                <w:szCs w:val="12"/>
              </w:rPr>
            </w:pPr>
          </w:p>
        </w:tc>
      </w:tr>
      <w:tr w:rsidR="002A4DDF" w:rsidRPr="00937C8B" w14:paraId="3B43E164" w14:textId="77777777" w:rsidTr="00935676">
        <w:trPr>
          <w:cantSplit/>
        </w:trPr>
        <w:tc>
          <w:tcPr>
            <w:tcW w:w="1696" w:type="dxa"/>
            <w:tcBorders>
              <w:left w:val="single" w:sz="4" w:space="0" w:color="auto"/>
            </w:tcBorders>
            <w:shd w:val="clear" w:color="auto" w:fill="auto"/>
          </w:tcPr>
          <w:p w14:paraId="3F6E817A" w14:textId="77777777" w:rsidR="002A4DDF" w:rsidRPr="00937C8B" w:rsidRDefault="002A4DDF" w:rsidP="009110ED">
            <w:pPr>
              <w:rPr>
                <w:rFonts w:ascii="Arial" w:hAnsi="Arial" w:cs="Arial"/>
                <w:sz w:val="12"/>
                <w:szCs w:val="12"/>
              </w:rPr>
            </w:pPr>
          </w:p>
        </w:tc>
        <w:tc>
          <w:tcPr>
            <w:tcW w:w="1843" w:type="dxa"/>
            <w:shd w:val="clear" w:color="auto" w:fill="auto"/>
          </w:tcPr>
          <w:p w14:paraId="0D69F413" w14:textId="77777777" w:rsidR="002A4DDF" w:rsidRPr="00937C8B" w:rsidRDefault="002A4DDF" w:rsidP="009110ED">
            <w:pPr>
              <w:rPr>
                <w:rFonts w:ascii="Arial" w:hAnsi="Arial" w:cs="Arial"/>
                <w:sz w:val="12"/>
                <w:szCs w:val="12"/>
              </w:rPr>
            </w:pPr>
          </w:p>
        </w:tc>
        <w:tc>
          <w:tcPr>
            <w:tcW w:w="2268" w:type="dxa"/>
            <w:shd w:val="clear" w:color="auto" w:fill="F2F2F2"/>
            <w:hideMark/>
          </w:tcPr>
          <w:p w14:paraId="34C52CB5" w14:textId="77777777" w:rsidR="002A4DDF" w:rsidRPr="00937C8B" w:rsidRDefault="002A4DDF" w:rsidP="009110ED">
            <w:pPr>
              <w:rPr>
                <w:rFonts w:ascii="Arial" w:hAnsi="Arial" w:cs="Arial"/>
                <w:sz w:val="12"/>
                <w:szCs w:val="12"/>
              </w:rPr>
            </w:pPr>
            <w:r>
              <w:rPr>
                <w:rFonts w:ascii="Arial" w:hAnsi="Arial"/>
                <w:sz w:val="12"/>
                <w:szCs w:val="12"/>
              </w:rPr>
              <w:t>Fuente el Sol</w:t>
            </w:r>
          </w:p>
        </w:tc>
        <w:tc>
          <w:tcPr>
            <w:tcW w:w="2268" w:type="dxa"/>
            <w:tcBorders>
              <w:right w:val="single" w:sz="4" w:space="0" w:color="auto"/>
            </w:tcBorders>
            <w:shd w:val="clear" w:color="auto" w:fill="D9D9D9"/>
            <w:hideMark/>
          </w:tcPr>
          <w:p w14:paraId="0B50F140" w14:textId="77777777" w:rsidR="002A4DDF" w:rsidRPr="00937C8B" w:rsidRDefault="002A4DDF" w:rsidP="009110ED">
            <w:pPr>
              <w:rPr>
                <w:rFonts w:ascii="Arial" w:hAnsi="Arial" w:cs="Arial"/>
                <w:sz w:val="12"/>
                <w:szCs w:val="12"/>
              </w:rPr>
            </w:pPr>
          </w:p>
        </w:tc>
      </w:tr>
      <w:tr w:rsidR="002A4DDF" w:rsidRPr="00937C8B" w14:paraId="638AFB21" w14:textId="77777777" w:rsidTr="00935676">
        <w:trPr>
          <w:cantSplit/>
        </w:trPr>
        <w:tc>
          <w:tcPr>
            <w:tcW w:w="1696" w:type="dxa"/>
            <w:tcBorders>
              <w:left w:val="single" w:sz="4" w:space="0" w:color="auto"/>
            </w:tcBorders>
            <w:shd w:val="clear" w:color="auto" w:fill="auto"/>
          </w:tcPr>
          <w:p w14:paraId="362A9B8F" w14:textId="77777777" w:rsidR="002A4DDF" w:rsidRPr="00937C8B" w:rsidRDefault="002A4DDF" w:rsidP="009110ED">
            <w:pPr>
              <w:rPr>
                <w:rFonts w:ascii="Arial" w:hAnsi="Arial" w:cs="Arial"/>
                <w:sz w:val="12"/>
                <w:szCs w:val="12"/>
              </w:rPr>
            </w:pPr>
          </w:p>
        </w:tc>
        <w:tc>
          <w:tcPr>
            <w:tcW w:w="1843" w:type="dxa"/>
            <w:shd w:val="clear" w:color="auto" w:fill="auto"/>
          </w:tcPr>
          <w:p w14:paraId="1B9E9BD0" w14:textId="77777777" w:rsidR="002A4DDF" w:rsidRPr="00937C8B" w:rsidRDefault="002A4DDF" w:rsidP="009110ED">
            <w:pPr>
              <w:rPr>
                <w:rFonts w:ascii="Arial" w:hAnsi="Arial" w:cs="Arial"/>
                <w:sz w:val="12"/>
                <w:szCs w:val="12"/>
              </w:rPr>
            </w:pPr>
          </w:p>
        </w:tc>
        <w:tc>
          <w:tcPr>
            <w:tcW w:w="2268" w:type="dxa"/>
            <w:shd w:val="clear" w:color="auto" w:fill="F2F2F2"/>
            <w:hideMark/>
          </w:tcPr>
          <w:p w14:paraId="2ECC2C64" w14:textId="77777777" w:rsidR="002A4DDF" w:rsidRPr="00937C8B" w:rsidRDefault="002A4DDF" w:rsidP="009110ED">
            <w:pPr>
              <w:rPr>
                <w:rFonts w:ascii="Arial" w:hAnsi="Arial" w:cs="Arial"/>
                <w:sz w:val="12"/>
                <w:szCs w:val="12"/>
              </w:rPr>
            </w:pPr>
            <w:r>
              <w:rPr>
                <w:rFonts w:ascii="Arial" w:hAnsi="Arial"/>
                <w:sz w:val="12"/>
                <w:szCs w:val="12"/>
              </w:rPr>
              <w:t>Fuente-Olmedo</w:t>
            </w:r>
          </w:p>
        </w:tc>
        <w:tc>
          <w:tcPr>
            <w:tcW w:w="2268" w:type="dxa"/>
            <w:tcBorders>
              <w:right w:val="single" w:sz="4" w:space="0" w:color="auto"/>
            </w:tcBorders>
            <w:shd w:val="clear" w:color="auto" w:fill="D9D9D9"/>
            <w:hideMark/>
          </w:tcPr>
          <w:p w14:paraId="69CFCA26" w14:textId="77777777" w:rsidR="002A4DDF" w:rsidRPr="00937C8B" w:rsidRDefault="002A4DDF" w:rsidP="009110ED">
            <w:pPr>
              <w:rPr>
                <w:rFonts w:ascii="Arial" w:hAnsi="Arial" w:cs="Arial"/>
                <w:sz w:val="12"/>
                <w:szCs w:val="12"/>
              </w:rPr>
            </w:pPr>
          </w:p>
        </w:tc>
      </w:tr>
      <w:tr w:rsidR="002A4DDF" w:rsidRPr="00937C8B" w14:paraId="5E8C2DEB" w14:textId="77777777" w:rsidTr="00935676">
        <w:trPr>
          <w:cantSplit/>
        </w:trPr>
        <w:tc>
          <w:tcPr>
            <w:tcW w:w="1696" w:type="dxa"/>
            <w:tcBorders>
              <w:left w:val="single" w:sz="4" w:space="0" w:color="auto"/>
            </w:tcBorders>
            <w:shd w:val="clear" w:color="auto" w:fill="auto"/>
          </w:tcPr>
          <w:p w14:paraId="65D10D55" w14:textId="77777777" w:rsidR="002A4DDF" w:rsidRPr="00937C8B" w:rsidRDefault="002A4DDF" w:rsidP="009110ED">
            <w:pPr>
              <w:rPr>
                <w:rFonts w:ascii="Arial" w:hAnsi="Arial" w:cs="Arial"/>
                <w:sz w:val="12"/>
                <w:szCs w:val="12"/>
              </w:rPr>
            </w:pPr>
          </w:p>
        </w:tc>
        <w:tc>
          <w:tcPr>
            <w:tcW w:w="1843" w:type="dxa"/>
            <w:shd w:val="clear" w:color="auto" w:fill="auto"/>
          </w:tcPr>
          <w:p w14:paraId="1FF968BF" w14:textId="77777777" w:rsidR="002A4DDF" w:rsidRPr="00937C8B" w:rsidRDefault="002A4DDF" w:rsidP="009110ED">
            <w:pPr>
              <w:rPr>
                <w:rFonts w:ascii="Arial" w:hAnsi="Arial" w:cs="Arial"/>
                <w:sz w:val="12"/>
                <w:szCs w:val="12"/>
              </w:rPr>
            </w:pPr>
          </w:p>
        </w:tc>
        <w:tc>
          <w:tcPr>
            <w:tcW w:w="2268" w:type="dxa"/>
            <w:shd w:val="clear" w:color="auto" w:fill="F2F2F2"/>
            <w:hideMark/>
          </w:tcPr>
          <w:p w14:paraId="3E342C52" w14:textId="77777777" w:rsidR="002A4DDF" w:rsidRPr="00937C8B" w:rsidRDefault="002A4DDF" w:rsidP="009110ED">
            <w:pPr>
              <w:rPr>
                <w:rFonts w:ascii="Arial" w:hAnsi="Arial" w:cs="Arial"/>
                <w:sz w:val="12"/>
                <w:szCs w:val="12"/>
              </w:rPr>
            </w:pPr>
            <w:r>
              <w:rPr>
                <w:rFonts w:ascii="Arial" w:hAnsi="Arial"/>
                <w:sz w:val="12"/>
                <w:szCs w:val="12"/>
              </w:rPr>
              <w:t>Gatón de Campos</w:t>
            </w:r>
          </w:p>
        </w:tc>
        <w:tc>
          <w:tcPr>
            <w:tcW w:w="2268" w:type="dxa"/>
            <w:tcBorders>
              <w:right w:val="single" w:sz="4" w:space="0" w:color="auto"/>
            </w:tcBorders>
            <w:shd w:val="clear" w:color="auto" w:fill="D9D9D9"/>
            <w:hideMark/>
          </w:tcPr>
          <w:p w14:paraId="729523D2" w14:textId="77777777" w:rsidR="002A4DDF" w:rsidRPr="00937C8B" w:rsidRDefault="002A4DDF" w:rsidP="009110ED">
            <w:pPr>
              <w:rPr>
                <w:rFonts w:ascii="Arial" w:hAnsi="Arial" w:cs="Arial"/>
                <w:sz w:val="12"/>
                <w:szCs w:val="12"/>
              </w:rPr>
            </w:pPr>
          </w:p>
        </w:tc>
      </w:tr>
      <w:tr w:rsidR="002A4DDF" w:rsidRPr="00937C8B" w14:paraId="3A86A65B" w14:textId="77777777" w:rsidTr="00935676">
        <w:trPr>
          <w:cantSplit/>
        </w:trPr>
        <w:tc>
          <w:tcPr>
            <w:tcW w:w="1696" w:type="dxa"/>
            <w:tcBorders>
              <w:left w:val="single" w:sz="4" w:space="0" w:color="auto"/>
            </w:tcBorders>
            <w:shd w:val="clear" w:color="auto" w:fill="auto"/>
          </w:tcPr>
          <w:p w14:paraId="42CA6950" w14:textId="77777777" w:rsidR="002A4DDF" w:rsidRPr="00937C8B" w:rsidRDefault="002A4DDF" w:rsidP="009110ED">
            <w:pPr>
              <w:rPr>
                <w:rFonts w:ascii="Arial" w:hAnsi="Arial" w:cs="Arial"/>
                <w:sz w:val="12"/>
                <w:szCs w:val="12"/>
              </w:rPr>
            </w:pPr>
          </w:p>
        </w:tc>
        <w:tc>
          <w:tcPr>
            <w:tcW w:w="1843" w:type="dxa"/>
            <w:shd w:val="clear" w:color="auto" w:fill="auto"/>
          </w:tcPr>
          <w:p w14:paraId="6A36ECD7" w14:textId="77777777" w:rsidR="002A4DDF" w:rsidRPr="00937C8B" w:rsidRDefault="002A4DDF" w:rsidP="009110ED">
            <w:pPr>
              <w:rPr>
                <w:rFonts w:ascii="Arial" w:hAnsi="Arial" w:cs="Arial"/>
                <w:sz w:val="12"/>
                <w:szCs w:val="12"/>
              </w:rPr>
            </w:pPr>
          </w:p>
        </w:tc>
        <w:tc>
          <w:tcPr>
            <w:tcW w:w="2268" w:type="dxa"/>
            <w:shd w:val="clear" w:color="auto" w:fill="F2F2F2"/>
            <w:hideMark/>
          </w:tcPr>
          <w:p w14:paraId="5828D895" w14:textId="77777777" w:rsidR="002A4DDF" w:rsidRPr="00937C8B" w:rsidRDefault="002A4DDF" w:rsidP="009110ED">
            <w:pPr>
              <w:rPr>
                <w:rFonts w:ascii="Arial" w:hAnsi="Arial" w:cs="Arial"/>
                <w:sz w:val="12"/>
                <w:szCs w:val="12"/>
              </w:rPr>
            </w:pPr>
            <w:r>
              <w:rPr>
                <w:rFonts w:ascii="Arial" w:hAnsi="Arial"/>
                <w:sz w:val="12"/>
                <w:szCs w:val="12"/>
              </w:rPr>
              <w:t>Herrín de Campos</w:t>
            </w:r>
          </w:p>
        </w:tc>
        <w:tc>
          <w:tcPr>
            <w:tcW w:w="2268" w:type="dxa"/>
            <w:tcBorders>
              <w:right w:val="single" w:sz="4" w:space="0" w:color="auto"/>
            </w:tcBorders>
            <w:shd w:val="clear" w:color="auto" w:fill="D9D9D9"/>
            <w:hideMark/>
          </w:tcPr>
          <w:p w14:paraId="3209BC39" w14:textId="77777777" w:rsidR="002A4DDF" w:rsidRPr="00937C8B" w:rsidRDefault="002A4DDF" w:rsidP="009110ED">
            <w:pPr>
              <w:rPr>
                <w:rFonts w:ascii="Arial" w:hAnsi="Arial" w:cs="Arial"/>
                <w:sz w:val="12"/>
                <w:szCs w:val="12"/>
              </w:rPr>
            </w:pPr>
          </w:p>
        </w:tc>
      </w:tr>
      <w:tr w:rsidR="002A4DDF" w:rsidRPr="00937C8B" w14:paraId="0A88AB57" w14:textId="77777777" w:rsidTr="00935676">
        <w:trPr>
          <w:cantSplit/>
        </w:trPr>
        <w:tc>
          <w:tcPr>
            <w:tcW w:w="1696" w:type="dxa"/>
            <w:tcBorders>
              <w:left w:val="single" w:sz="4" w:space="0" w:color="auto"/>
            </w:tcBorders>
            <w:shd w:val="clear" w:color="auto" w:fill="auto"/>
          </w:tcPr>
          <w:p w14:paraId="5AA8CE1E" w14:textId="77777777" w:rsidR="002A4DDF" w:rsidRPr="00937C8B" w:rsidRDefault="002A4DDF" w:rsidP="009110ED">
            <w:pPr>
              <w:rPr>
                <w:rFonts w:ascii="Arial" w:hAnsi="Arial" w:cs="Arial"/>
                <w:sz w:val="12"/>
                <w:szCs w:val="12"/>
              </w:rPr>
            </w:pPr>
          </w:p>
        </w:tc>
        <w:tc>
          <w:tcPr>
            <w:tcW w:w="1843" w:type="dxa"/>
            <w:shd w:val="clear" w:color="auto" w:fill="auto"/>
          </w:tcPr>
          <w:p w14:paraId="18F845AB" w14:textId="77777777" w:rsidR="002A4DDF" w:rsidRPr="00937C8B" w:rsidRDefault="002A4DDF" w:rsidP="009110ED">
            <w:pPr>
              <w:rPr>
                <w:rFonts w:ascii="Arial" w:hAnsi="Arial" w:cs="Arial"/>
                <w:sz w:val="12"/>
                <w:szCs w:val="12"/>
              </w:rPr>
            </w:pPr>
          </w:p>
        </w:tc>
        <w:tc>
          <w:tcPr>
            <w:tcW w:w="2268" w:type="dxa"/>
            <w:shd w:val="clear" w:color="auto" w:fill="F2F2F2"/>
            <w:hideMark/>
          </w:tcPr>
          <w:p w14:paraId="079572C3" w14:textId="77777777" w:rsidR="002A4DDF" w:rsidRPr="00937C8B" w:rsidRDefault="002A4DDF" w:rsidP="009110ED">
            <w:pPr>
              <w:rPr>
                <w:rFonts w:ascii="Arial" w:hAnsi="Arial" w:cs="Arial"/>
                <w:sz w:val="12"/>
                <w:szCs w:val="12"/>
              </w:rPr>
            </w:pPr>
            <w:r>
              <w:rPr>
                <w:rFonts w:ascii="Arial" w:hAnsi="Arial"/>
                <w:sz w:val="12"/>
                <w:szCs w:val="12"/>
              </w:rPr>
              <w:t>Hornillos de Eresma</w:t>
            </w:r>
          </w:p>
        </w:tc>
        <w:tc>
          <w:tcPr>
            <w:tcW w:w="2268" w:type="dxa"/>
            <w:tcBorders>
              <w:right w:val="single" w:sz="4" w:space="0" w:color="auto"/>
            </w:tcBorders>
            <w:shd w:val="clear" w:color="auto" w:fill="D9D9D9"/>
            <w:hideMark/>
          </w:tcPr>
          <w:p w14:paraId="0B605AD1" w14:textId="77777777" w:rsidR="002A4DDF" w:rsidRPr="00937C8B" w:rsidRDefault="002A4DDF" w:rsidP="009110ED">
            <w:pPr>
              <w:rPr>
                <w:rFonts w:ascii="Arial" w:hAnsi="Arial" w:cs="Arial"/>
                <w:sz w:val="12"/>
                <w:szCs w:val="12"/>
              </w:rPr>
            </w:pPr>
          </w:p>
        </w:tc>
      </w:tr>
      <w:tr w:rsidR="002A4DDF" w:rsidRPr="00937C8B" w14:paraId="4B4F4F6C" w14:textId="77777777" w:rsidTr="00935676">
        <w:trPr>
          <w:cantSplit/>
        </w:trPr>
        <w:tc>
          <w:tcPr>
            <w:tcW w:w="1696" w:type="dxa"/>
            <w:tcBorders>
              <w:left w:val="single" w:sz="4" w:space="0" w:color="auto"/>
            </w:tcBorders>
            <w:shd w:val="clear" w:color="auto" w:fill="auto"/>
          </w:tcPr>
          <w:p w14:paraId="3821F0E9" w14:textId="77777777" w:rsidR="002A4DDF" w:rsidRPr="00937C8B" w:rsidRDefault="002A4DDF" w:rsidP="009110ED">
            <w:pPr>
              <w:rPr>
                <w:rFonts w:ascii="Arial" w:hAnsi="Arial" w:cs="Arial"/>
                <w:sz w:val="12"/>
                <w:szCs w:val="12"/>
              </w:rPr>
            </w:pPr>
          </w:p>
        </w:tc>
        <w:tc>
          <w:tcPr>
            <w:tcW w:w="1843" w:type="dxa"/>
            <w:shd w:val="clear" w:color="auto" w:fill="auto"/>
          </w:tcPr>
          <w:p w14:paraId="0923FF5A" w14:textId="77777777" w:rsidR="002A4DDF" w:rsidRPr="00937C8B" w:rsidRDefault="002A4DDF" w:rsidP="009110ED">
            <w:pPr>
              <w:rPr>
                <w:rFonts w:ascii="Arial" w:hAnsi="Arial" w:cs="Arial"/>
                <w:sz w:val="12"/>
                <w:szCs w:val="12"/>
              </w:rPr>
            </w:pPr>
          </w:p>
        </w:tc>
        <w:tc>
          <w:tcPr>
            <w:tcW w:w="2268" w:type="dxa"/>
            <w:shd w:val="clear" w:color="auto" w:fill="F2F2F2"/>
            <w:hideMark/>
          </w:tcPr>
          <w:p w14:paraId="4507D7F7" w14:textId="77777777" w:rsidR="002A4DDF" w:rsidRPr="00937C8B" w:rsidRDefault="002A4DDF" w:rsidP="009110ED">
            <w:pPr>
              <w:rPr>
                <w:rFonts w:ascii="Arial" w:hAnsi="Arial" w:cs="Arial"/>
                <w:sz w:val="12"/>
                <w:szCs w:val="12"/>
              </w:rPr>
            </w:pPr>
            <w:r>
              <w:rPr>
                <w:rFonts w:ascii="Arial" w:hAnsi="Arial"/>
                <w:sz w:val="12"/>
                <w:szCs w:val="12"/>
              </w:rPr>
              <w:t>La Seca</w:t>
            </w:r>
          </w:p>
        </w:tc>
        <w:tc>
          <w:tcPr>
            <w:tcW w:w="2268" w:type="dxa"/>
            <w:tcBorders>
              <w:right w:val="single" w:sz="4" w:space="0" w:color="auto"/>
            </w:tcBorders>
            <w:shd w:val="clear" w:color="auto" w:fill="D9D9D9"/>
            <w:hideMark/>
          </w:tcPr>
          <w:p w14:paraId="58F50861" w14:textId="77777777" w:rsidR="002A4DDF" w:rsidRPr="00937C8B" w:rsidRDefault="002A4DDF" w:rsidP="009110ED">
            <w:pPr>
              <w:rPr>
                <w:rFonts w:ascii="Arial" w:hAnsi="Arial" w:cs="Arial"/>
                <w:sz w:val="12"/>
                <w:szCs w:val="12"/>
              </w:rPr>
            </w:pPr>
          </w:p>
        </w:tc>
      </w:tr>
      <w:tr w:rsidR="002A4DDF" w:rsidRPr="00937C8B" w14:paraId="53AA4F18" w14:textId="77777777" w:rsidTr="00935676">
        <w:trPr>
          <w:cantSplit/>
        </w:trPr>
        <w:tc>
          <w:tcPr>
            <w:tcW w:w="1696" w:type="dxa"/>
            <w:tcBorders>
              <w:left w:val="single" w:sz="4" w:space="0" w:color="auto"/>
            </w:tcBorders>
            <w:shd w:val="clear" w:color="auto" w:fill="auto"/>
          </w:tcPr>
          <w:p w14:paraId="3CA6C870" w14:textId="77777777" w:rsidR="002A4DDF" w:rsidRPr="00937C8B" w:rsidRDefault="002A4DDF" w:rsidP="009110ED">
            <w:pPr>
              <w:rPr>
                <w:rFonts w:ascii="Arial" w:hAnsi="Arial" w:cs="Arial"/>
                <w:sz w:val="12"/>
                <w:szCs w:val="12"/>
              </w:rPr>
            </w:pPr>
          </w:p>
        </w:tc>
        <w:tc>
          <w:tcPr>
            <w:tcW w:w="1843" w:type="dxa"/>
            <w:shd w:val="clear" w:color="auto" w:fill="auto"/>
          </w:tcPr>
          <w:p w14:paraId="6564413C" w14:textId="77777777" w:rsidR="002A4DDF" w:rsidRPr="00937C8B" w:rsidRDefault="002A4DDF" w:rsidP="009110ED">
            <w:pPr>
              <w:rPr>
                <w:rFonts w:ascii="Arial" w:hAnsi="Arial" w:cs="Arial"/>
                <w:sz w:val="12"/>
                <w:szCs w:val="12"/>
              </w:rPr>
            </w:pPr>
          </w:p>
        </w:tc>
        <w:tc>
          <w:tcPr>
            <w:tcW w:w="2268" w:type="dxa"/>
            <w:shd w:val="clear" w:color="auto" w:fill="F2F2F2"/>
            <w:hideMark/>
          </w:tcPr>
          <w:p w14:paraId="52277EC0" w14:textId="77777777" w:rsidR="002A4DDF" w:rsidRPr="00937C8B" w:rsidRDefault="002A4DDF" w:rsidP="009110ED">
            <w:pPr>
              <w:rPr>
                <w:rFonts w:ascii="Arial" w:hAnsi="Arial" w:cs="Arial"/>
                <w:sz w:val="12"/>
                <w:szCs w:val="12"/>
              </w:rPr>
            </w:pPr>
            <w:r>
              <w:rPr>
                <w:rFonts w:ascii="Arial" w:hAnsi="Arial"/>
                <w:sz w:val="12"/>
                <w:szCs w:val="12"/>
              </w:rPr>
              <w:t>La Zarza</w:t>
            </w:r>
          </w:p>
        </w:tc>
        <w:tc>
          <w:tcPr>
            <w:tcW w:w="2268" w:type="dxa"/>
            <w:tcBorders>
              <w:right w:val="single" w:sz="4" w:space="0" w:color="auto"/>
            </w:tcBorders>
            <w:shd w:val="clear" w:color="auto" w:fill="D9D9D9"/>
            <w:hideMark/>
          </w:tcPr>
          <w:p w14:paraId="5036716D" w14:textId="77777777" w:rsidR="002A4DDF" w:rsidRPr="00937C8B" w:rsidRDefault="002A4DDF" w:rsidP="009110ED">
            <w:pPr>
              <w:rPr>
                <w:rFonts w:ascii="Arial" w:hAnsi="Arial" w:cs="Arial"/>
                <w:sz w:val="12"/>
                <w:szCs w:val="12"/>
              </w:rPr>
            </w:pPr>
          </w:p>
        </w:tc>
      </w:tr>
      <w:tr w:rsidR="002A4DDF" w:rsidRPr="00937C8B" w14:paraId="45EF3C65" w14:textId="77777777" w:rsidTr="00935676">
        <w:trPr>
          <w:cantSplit/>
        </w:trPr>
        <w:tc>
          <w:tcPr>
            <w:tcW w:w="1696" w:type="dxa"/>
            <w:tcBorders>
              <w:left w:val="single" w:sz="4" w:space="0" w:color="auto"/>
            </w:tcBorders>
            <w:shd w:val="clear" w:color="auto" w:fill="auto"/>
          </w:tcPr>
          <w:p w14:paraId="47A92628" w14:textId="77777777" w:rsidR="002A4DDF" w:rsidRPr="00937C8B" w:rsidRDefault="002A4DDF" w:rsidP="009110ED">
            <w:pPr>
              <w:rPr>
                <w:rFonts w:ascii="Arial" w:hAnsi="Arial" w:cs="Arial"/>
                <w:sz w:val="12"/>
                <w:szCs w:val="12"/>
              </w:rPr>
            </w:pPr>
          </w:p>
        </w:tc>
        <w:tc>
          <w:tcPr>
            <w:tcW w:w="1843" w:type="dxa"/>
            <w:shd w:val="clear" w:color="auto" w:fill="auto"/>
          </w:tcPr>
          <w:p w14:paraId="3F29AF96" w14:textId="77777777" w:rsidR="002A4DDF" w:rsidRPr="00937C8B" w:rsidRDefault="002A4DDF" w:rsidP="009110ED">
            <w:pPr>
              <w:rPr>
                <w:rFonts w:ascii="Arial" w:hAnsi="Arial" w:cs="Arial"/>
                <w:sz w:val="12"/>
                <w:szCs w:val="12"/>
              </w:rPr>
            </w:pPr>
          </w:p>
        </w:tc>
        <w:tc>
          <w:tcPr>
            <w:tcW w:w="2268" w:type="dxa"/>
            <w:shd w:val="clear" w:color="auto" w:fill="F2F2F2"/>
            <w:hideMark/>
          </w:tcPr>
          <w:p w14:paraId="3D41EC47" w14:textId="77777777" w:rsidR="002A4DDF" w:rsidRPr="00937C8B" w:rsidRDefault="002A4DDF" w:rsidP="009110ED">
            <w:pPr>
              <w:rPr>
                <w:rFonts w:ascii="Arial" w:hAnsi="Arial" w:cs="Arial"/>
                <w:sz w:val="12"/>
                <w:szCs w:val="12"/>
              </w:rPr>
            </w:pPr>
            <w:r>
              <w:rPr>
                <w:rFonts w:ascii="Arial" w:hAnsi="Arial"/>
                <w:sz w:val="12"/>
                <w:szCs w:val="12"/>
              </w:rPr>
              <w:t>Langayo</w:t>
            </w:r>
          </w:p>
        </w:tc>
        <w:tc>
          <w:tcPr>
            <w:tcW w:w="2268" w:type="dxa"/>
            <w:tcBorders>
              <w:right w:val="single" w:sz="4" w:space="0" w:color="auto"/>
            </w:tcBorders>
            <w:shd w:val="clear" w:color="auto" w:fill="D9D9D9"/>
            <w:hideMark/>
          </w:tcPr>
          <w:p w14:paraId="25123104" w14:textId="77777777" w:rsidR="002A4DDF" w:rsidRPr="00937C8B" w:rsidRDefault="002A4DDF" w:rsidP="009110ED">
            <w:pPr>
              <w:rPr>
                <w:rFonts w:ascii="Arial" w:hAnsi="Arial" w:cs="Arial"/>
                <w:sz w:val="12"/>
                <w:szCs w:val="12"/>
              </w:rPr>
            </w:pPr>
          </w:p>
        </w:tc>
      </w:tr>
      <w:tr w:rsidR="002A4DDF" w:rsidRPr="00937C8B" w14:paraId="5845F761" w14:textId="77777777" w:rsidTr="00935676">
        <w:trPr>
          <w:cantSplit/>
        </w:trPr>
        <w:tc>
          <w:tcPr>
            <w:tcW w:w="1696" w:type="dxa"/>
            <w:tcBorders>
              <w:left w:val="single" w:sz="4" w:space="0" w:color="auto"/>
            </w:tcBorders>
            <w:shd w:val="clear" w:color="auto" w:fill="auto"/>
          </w:tcPr>
          <w:p w14:paraId="05ECD5A6" w14:textId="77777777" w:rsidR="002A4DDF" w:rsidRPr="00937C8B" w:rsidRDefault="002A4DDF" w:rsidP="009110ED">
            <w:pPr>
              <w:rPr>
                <w:rFonts w:ascii="Arial" w:hAnsi="Arial" w:cs="Arial"/>
                <w:sz w:val="12"/>
                <w:szCs w:val="12"/>
              </w:rPr>
            </w:pPr>
          </w:p>
        </w:tc>
        <w:tc>
          <w:tcPr>
            <w:tcW w:w="1843" w:type="dxa"/>
            <w:shd w:val="clear" w:color="auto" w:fill="auto"/>
          </w:tcPr>
          <w:p w14:paraId="69CCE472" w14:textId="77777777" w:rsidR="002A4DDF" w:rsidRPr="00937C8B" w:rsidRDefault="002A4DDF" w:rsidP="009110ED">
            <w:pPr>
              <w:rPr>
                <w:rFonts w:ascii="Arial" w:hAnsi="Arial" w:cs="Arial"/>
                <w:sz w:val="12"/>
                <w:szCs w:val="12"/>
              </w:rPr>
            </w:pPr>
          </w:p>
        </w:tc>
        <w:tc>
          <w:tcPr>
            <w:tcW w:w="2268" w:type="dxa"/>
            <w:shd w:val="clear" w:color="auto" w:fill="F2F2F2"/>
            <w:hideMark/>
          </w:tcPr>
          <w:p w14:paraId="7464CA85" w14:textId="77777777" w:rsidR="002A4DDF" w:rsidRPr="00937C8B" w:rsidRDefault="002A4DDF" w:rsidP="009110ED">
            <w:pPr>
              <w:rPr>
                <w:rFonts w:ascii="Arial" w:hAnsi="Arial" w:cs="Arial"/>
                <w:sz w:val="12"/>
                <w:szCs w:val="12"/>
              </w:rPr>
            </w:pPr>
            <w:r>
              <w:rPr>
                <w:rFonts w:ascii="Arial" w:hAnsi="Arial"/>
                <w:sz w:val="12"/>
                <w:szCs w:val="12"/>
              </w:rPr>
              <w:t>Llano de Olmedo</w:t>
            </w:r>
          </w:p>
        </w:tc>
        <w:tc>
          <w:tcPr>
            <w:tcW w:w="2268" w:type="dxa"/>
            <w:tcBorders>
              <w:right w:val="single" w:sz="4" w:space="0" w:color="auto"/>
            </w:tcBorders>
            <w:shd w:val="clear" w:color="auto" w:fill="D9D9D9"/>
            <w:hideMark/>
          </w:tcPr>
          <w:p w14:paraId="59BA39BD" w14:textId="77777777" w:rsidR="002A4DDF" w:rsidRPr="00937C8B" w:rsidRDefault="002A4DDF" w:rsidP="009110ED">
            <w:pPr>
              <w:rPr>
                <w:rFonts w:ascii="Arial" w:hAnsi="Arial" w:cs="Arial"/>
                <w:sz w:val="12"/>
                <w:szCs w:val="12"/>
              </w:rPr>
            </w:pPr>
          </w:p>
        </w:tc>
      </w:tr>
      <w:tr w:rsidR="002A4DDF" w:rsidRPr="00937C8B" w14:paraId="414C0930" w14:textId="77777777" w:rsidTr="00935676">
        <w:trPr>
          <w:cantSplit/>
        </w:trPr>
        <w:tc>
          <w:tcPr>
            <w:tcW w:w="1696" w:type="dxa"/>
            <w:tcBorders>
              <w:left w:val="single" w:sz="4" w:space="0" w:color="auto"/>
            </w:tcBorders>
            <w:shd w:val="clear" w:color="auto" w:fill="auto"/>
          </w:tcPr>
          <w:p w14:paraId="0F301769" w14:textId="77777777" w:rsidR="002A4DDF" w:rsidRPr="00937C8B" w:rsidRDefault="002A4DDF" w:rsidP="009110ED">
            <w:pPr>
              <w:rPr>
                <w:rFonts w:ascii="Arial" w:hAnsi="Arial" w:cs="Arial"/>
                <w:sz w:val="12"/>
                <w:szCs w:val="12"/>
              </w:rPr>
            </w:pPr>
          </w:p>
        </w:tc>
        <w:tc>
          <w:tcPr>
            <w:tcW w:w="1843" w:type="dxa"/>
            <w:shd w:val="clear" w:color="auto" w:fill="auto"/>
          </w:tcPr>
          <w:p w14:paraId="42FEE273" w14:textId="77777777" w:rsidR="002A4DDF" w:rsidRPr="00937C8B" w:rsidRDefault="002A4DDF" w:rsidP="009110ED">
            <w:pPr>
              <w:rPr>
                <w:rFonts w:ascii="Arial" w:hAnsi="Arial" w:cs="Arial"/>
                <w:sz w:val="12"/>
                <w:szCs w:val="12"/>
              </w:rPr>
            </w:pPr>
          </w:p>
        </w:tc>
        <w:tc>
          <w:tcPr>
            <w:tcW w:w="2268" w:type="dxa"/>
            <w:shd w:val="clear" w:color="auto" w:fill="F2F2F2"/>
            <w:hideMark/>
          </w:tcPr>
          <w:p w14:paraId="47421E4F" w14:textId="77777777" w:rsidR="002A4DDF" w:rsidRPr="00937C8B" w:rsidRDefault="002A4DDF" w:rsidP="009110ED">
            <w:pPr>
              <w:rPr>
                <w:rFonts w:ascii="Arial" w:hAnsi="Arial" w:cs="Arial"/>
                <w:sz w:val="12"/>
                <w:szCs w:val="12"/>
              </w:rPr>
            </w:pPr>
            <w:r>
              <w:rPr>
                <w:rFonts w:ascii="Arial" w:hAnsi="Arial"/>
                <w:sz w:val="12"/>
                <w:szCs w:val="12"/>
              </w:rPr>
              <w:t>Lomoviejo</w:t>
            </w:r>
          </w:p>
        </w:tc>
        <w:tc>
          <w:tcPr>
            <w:tcW w:w="2268" w:type="dxa"/>
            <w:tcBorders>
              <w:right w:val="single" w:sz="4" w:space="0" w:color="auto"/>
            </w:tcBorders>
            <w:shd w:val="clear" w:color="auto" w:fill="D9D9D9"/>
            <w:hideMark/>
          </w:tcPr>
          <w:p w14:paraId="4E918FF2" w14:textId="77777777" w:rsidR="002A4DDF" w:rsidRPr="00937C8B" w:rsidRDefault="002A4DDF" w:rsidP="009110ED">
            <w:pPr>
              <w:rPr>
                <w:rFonts w:ascii="Arial" w:hAnsi="Arial" w:cs="Arial"/>
                <w:sz w:val="12"/>
                <w:szCs w:val="12"/>
              </w:rPr>
            </w:pPr>
          </w:p>
        </w:tc>
      </w:tr>
      <w:tr w:rsidR="002A4DDF" w:rsidRPr="00937C8B" w14:paraId="00EACE22" w14:textId="77777777" w:rsidTr="00935676">
        <w:trPr>
          <w:cantSplit/>
        </w:trPr>
        <w:tc>
          <w:tcPr>
            <w:tcW w:w="1696" w:type="dxa"/>
            <w:tcBorders>
              <w:left w:val="single" w:sz="4" w:space="0" w:color="auto"/>
            </w:tcBorders>
            <w:shd w:val="clear" w:color="auto" w:fill="auto"/>
          </w:tcPr>
          <w:p w14:paraId="1D093AD9" w14:textId="77777777" w:rsidR="002A4DDF" w:rsidRPr="00937C8B" w:rsidRDefault="002A4DDF" w:rsidP="009110ED">
            <w:pPr>
              <w:rPr>
                <w:rFonts w:ascii="Arial" w:hAnsi="Arial" w:cs="Arial"/>
                <w:sz w:val="12"/>
                <w:szCs w:val="12"/>
              </w:rPr>
            </w:pPr>
          </w:p>
        </w:tc>
        <w:tc>
          <w:tcPr>
            <w:tcW w:w="1843" w:type="dxa"/>
            <w:shd w:val="clear" w:color="auto" w:fill="auto"/>
          </w:tcPr>
          <w:p w14:paraId="06236A75" w14:textId="77777777" w:rsidR="002A4DDF" w:rsidRPr="00937C8B" w:rsidRDefault="002A4DDF" w:rsidP="009110ED">
            <w:pPr>
              <w:rPr>
                <w:rFonts w:ascii="Arial" w:hAnsi="Arial" w:cs="Arial"/>
                <w:sz w:val="12"/>
                <w:szCs w:val="12"/>
              </w:rPr>
            </w:pPr>
          </w:p>
        </w:tc>
        <w:tc>
          <w:tcPr>
            <w:tcW w:w="2268" w:type="dxa"/>
            <w:shd w:val="clear" w:color="auto" w:fill="F2F2F2"/>
            <w:hideMark/>
          </w:tcPr>
          <w:p w14:paraId="17B7B2E5" w14:textId="77777777" w:rsidR="002A4DDF" w:rsidRPr="00937C8B" w:rsidRDefault="002A4DDF" w:rsidP="009110ED">
            <w:pPr>
              <w:rPr>
                <w:rFonts w:ascii="Arial" w:hAnsi="Arial" w:cs="Arial"/>
                <w:sz w:val="12"/>
                <w:szCs w:val="12"/>
              </w:rPr>
            </w:pPr>
            <w:r>
              <w:rPr>
                <w:rFonts w:ascii="Arial" w:hAnsi="Arial"/>
                <w:sz w:val="12"/>
                <w:szCs w:val="12"/>
              </w:rPr>
              <w:t>Matapozuelos</w:t>
            </w:r>
          </w:p>
        </w:tc>
        <w:tc>
          <w:tcPr>
            <w:tcW w:w="2268" w:type="dxa"/>
            <w:tcBorders>
              <w:right w:val="single" w:sz="4" w:space="0" w:color="auto"/>
            </w:tcBorders>
            <w:shd w:val="clear" w:color="auto" w:fill="D9D9D9"/>
            <w:hideMark/>
          </w:tcPr>
          <w:p w14:paraId="7D56AAFE" w14:textId="77777777" w:rsidR="002A4DDF" w:rsidRPr="00937C8B" w:rsidRDefault="002A4DDF" w:rsidP="009110ED">
            <w:pPr>
              <w:rPr>
                <w:rFonts w:ascii="Arial" w:hAnsi="Arial" w:cs="Arial"/>
                <w:sz w:val="12"/>
                <w:szCs w:val="12"/>
              </w:rPr>
            </w:pPr>
          </w:p>
        </w:tc>
      </w:tr>
      <w:tr w:rsidR="002A4DDF" w:rsidRPr="00937C8B" w14:paraId="39C96004" w14:textId="77777777" w:rsidTr="00935676">
        <w:trPr>
          <w:cantSplit/>
        </w:trPr>
        <w:tc>
          <w:tcPr>
            <w:tcW w:w="1696" w:type="dxa"/>
            <w:tcBorders>
              <w:left w:val="single" w:sz="4" w:space="0" w:color="auto"/>
            </w:tcBorders>
            <w:shd w:val="clear" w:color="auto" w:fill="auto"/>
          </w:tcPr>
          <w:p w14:paraId="4AF2AB91" w14:textId="77777777" w:rsidR="002A4DDF" w:rsidRPr="00937C8B" w:rsidRDefault="002A4DDF" w:rsidP="009110ED">
            <w:pPr>
              <w:rPr>
                <w:rFonts w:ascii="Arial" w:hAnsi="Arial" w:cs="Arial"/>
                <w:sz w:val="12"/>
                <w:szCs w:val="12"/>
              </w:rPr>
            </w:pPr>
          </w:p>
        </w:tc>
        <w:tc>
          <w:tcPr>
            <w:tcW w:w="1843" w:type="dxa"/>
            <w:shd w:val="clear" w:color="auto" w:fill="auto"/>
          </w:tcPr>
          <w:p w14:paraId="5AACC2E0" w14:textId="77777777" w:rsidR="002A4DDF" w:rsidRPr="00937C8B" w:rsidRDefault="002A4DDF" w:rsidP="009110ED">
            <w:pPr>
              <w:rPr>
                <w:rFonts w:ascii="Arial" w:hAnsi="Arial" w:cs="Arial"/>
                <w:sz w:val="12"/>
                <w:szCs w:val="12"/>
              </w:rPr>
            </w:pPr>
          </w:p>
        </w:tc>
        <w:tc>
          <w:tcPr>
            <w:tcW w:w="2268" w:type="dxa"/>
            <w:shd w:val="clear" w:color="auto" w:fill="F2F2F2"/>
            <w:hideMark/>
          </w:tcPr>
          <w:p w14:paraId="30BCF194" w14:textId="77777777" w:rsidR="002A4DDF" w:rsidRPr="00937C8B" w:rsidRDefault="002A4DDF" w:rsidP="009110ED">
            <w:pPr>
              <w:rPr>
                <w:rFonts w:ascii="Arial" w:hAnsi="Arial" w:cs="Arial"/>
                <w:sz w:val="12"/>
                <w:szCs w:val="12"/>
              </w:rPr>
            </w:pPr>
            <w:r>
              <w:rPr>
                <w:rFonts w:ascii="Arial" w:hAnsi="Arial"/>
                <w:sz w:val="12"/>
                <w:szCs w:val="12"/>
              </w:rPr>
              <w:t>Medina de Rioseco</w:t>
            </w:r>
          </w:p>
        </w:tc>
        <w:tc>
          <w:tcPr>
            <w:tcW w:w="2268" w:type="dxa"/>
            <w:tcBorders>
              <w:right w:val="single" w:sz="4" w:space="0" w:color="auto"/>
            </w:tcBorders>
            <w:shd w:val="clear" w:color="auto" w:fill="D9D9D9"/>
            <w:hideMark/>
          </w:tcPr>
          <w:p w14:paraId="5B8C8B50" w14:textId="77777777" w:rsidR="002A4DDF" w:rsidRPr="00937C8B" w:rsidRDefault="002A4DDF" w:rsidP="009110ED">
            <w:pPr>
              <w:rPr>
                <w:rFonts w:ascii="Arial" w:hAnsi="Arial" w:cs="Arial"/>
                <w:sz w:val="12"/>
                <w:szCs w:val="12"/>
              </w:rPr>
            </w:pPr>
          </w:p>
        </w:tc>
      </w:tr>
      <w:tr w:rsidR="002A4DDF" w:rsidRPr="00937C8B" w14:paraId="6FC5683A" w14:textId="77777777" w:rsidTr="00935676">
        <w:trPr>
          <w:cantSplit/>
        </w:trPr>
        <w:tc>
          <w:tcPr>
            <w:tcW w:w="1696" w:type="dxa"/>
            <w:tcBorders>
              <w:left w:val="single" w:sz="4" w:space="0" w:color="auto"/>
            </w:tcBorders>
            <w:shd w:val="clear" w:color="auto" w:fill="auto"/>
          </w:tcPr>
          <w:p w14:paraId="7D755F21" w14:textId="77777777" w:rsidR="002A4DDF" w:rsidRPr="00937C8B" w:rsidRDefault="002A4DDF" w:rsidP="009110ED">
            <w:pPr>
              <w:rPr>
                <w:rFonts w:ascii="Arial" w:hAnsi="Arial" w:cs="Arial"/>
                <w:sz w:val="12"/>
                <w:szCs w:val="12"/>
              </w:rPr>
            </w:pPr>
          </w:p>
        </w:tc>
        <w:tc>
          <w:tcPr>
            <w:tcW w:w="1843" w:type="dxa"/>
            <w:shd w:val="clear" w:color="auto" w:fill="auto"/>
          </w:tcPr>
          <w:p w14:paraId="1ACF617D" w14:textId="77777777" w:rsidR="002A4DDF" w:rsidRPr="00937C8B" w:rsidRDefault="002A4DDF" w:rsidP="009110ED">
            <w:pPr>
              <w:rPr>
                <w:rFonts w:ascii="Arial" w:hAnsi="Arial" w:cs="Arial"/>
                <w:sz w:val="12"/>
                <w:szCs w:val="12"/>
              </w:rPr>
            </w:pPr>
          </w:p>
        </w:tc>
        <w:tc>
          <w:tcPr>
            <w:tcW w:w="2268" w:type="dxa"/>
            <w:shd w:val="clear" w:color="auto" w:fill="F2F2F2"/>
            <w:hideMark/>
          </w:tcPr>
          <w:p w14:paraId="20DBAC7D" w14:textId="77777777" w:rsidR="002A4DDF" w:rsidRPr="00937C8B" w:rsidRDefault="002A4DDF" w:rsidP="009110ED">
            <w:pPr>
              <w:rPr>
                <w:rFonts w:ascii="Arial" w:hAnsi="Arial" w:cs="Arial"/>
                <w:sz w:val="12"/>
                <w:szCs w:val="12"/>
              </w:rPr>
            </w:pPr>
            <w:r>
              <w:rPr>
                <w:rFonts w:ascii="Arial" w:hAnsi="Arial"/>
                <w:sz w:val="12"/>
                <w:szCs w:val="12"/>
              </w:rPr>
              <w:t>Medina del Campo</w:t>
            </w:r>
          </w:p>
        </w:tc>
        <w:tc>
          <w:tcPr>
            <w:tcW w:w="2268" w:type="dxa"/>
            <w:tcBorders>
              <w:right w:val="single" w:sz="4" w:space="0" w:color="auto"/>
            </w:tcBorders>
            <w:shd w:val="clear" w:color="auto" w:fill="D9D9D9"/>
            <w:hideMark/>
          </w:tcPr>
          <w:p w14:paraId="2674F41B" w14:textId="77777777" w:rsidR="002A4DDF" w:rsidRPr="00937C8B" w:rsidRDefault="002A4DDF" w:rsidP="009110ED">
            <w:pPr>
              <w:rPr>
                <w:rFonts w:ascii="Arial" w:hAnsi="Arial" w:cs="Arial"/>
                <w:sz w:val="12"/>
                <w:szCs w:val="12"/>
              </w:rPr>
            </w:pPr>
          </w:p>
        </w:tc>
      </w:tr>
      <w:tr w:rsidR="002A4DDF" w:rsidRPr="00937C8B" w14:paraId="7E7033B5" w14:textId="77777777" w:rsidTr="00935676">
        <w:trPr>
          <w:cantSplit/>
        </w:trPr>
        <w:tc>
          <w:tcPr>
            <w:tcW w:w="1696" w:type="dxa"/>
            <w:tcBorders>
              <w:left w:val="single" w:sz="4" w:space="0" w:color="auto"/>
            </w:tcBorders>
            <w:shd w:val="clear" w:color="auto" w:fill="auto"/>
          </w:tcPr>
          <w:p w14:paraId="033C70A9" w14:textId="77777777" w:rsidR="002A4DDF" w:rsidRPr="00937C8B" w:rsidRDefault="002A4DDF" w:rsidP="009110ED">
            <w:pPr>
              <w:rPr>
                <w:rFonts w:ascii="Arial" w:hAnsi="Arial" w:cs="Arial"/>
                <w:sz w:val="12"/>
                <w:szCs w:val="12"/>
              </w:rPr>
            </w:pPr>
          </w:p>
        </w:tc>
        <w:tc>
          <w:tcPr>
            <w:tcW w:w="1843" w:type="dxa"/>
            <w:shd w:val="clear" w:color="auto" w:fill="auto"/>
          </w:tcPr>
          <w:p w14:paraId="40BAB2F9" w14:textId="77777777" w:rsidR="002A4DDF" w:rsidRPr="00937C8B" w:rsidRDefault="002A4DDF" w:rsidP="009110ED">
            <w:pPr>
              <w:rPr>
                <w:rFonts w:ascii="Arial" w:hAnsi="Arial" w:cs="Arial"/>
                <w:sz w:val="12"/>
                <w:szCs w:val="12"/>
              </w:rPr>
            </w:pPr>
          </w:p>
        </w:tc>
        <w:tc>
          <w:tcPr>
            <w:tcW w:w="2268" w:type="dxa"/>
            <w:shd w:val="clear" w:color="auto" w:fill="F2F2F2"/>
            <w:hideMark/>
          </w:tcPr>
          <w:p w14:paraId="5570E169" w14:textId="77777777" w:rsidR="002A4DDF" w:rsidRPr="00937C8B" w:rsidRDefault="002A4DDF" w:rsidP="009110ED">
            <w:pPr>
              <w:rPr>
                <w:rFonts w:ascii="Arial" w:hAnsi="Arial" w:cs="Arial"/>
                <w:sz w:val="12"/>
                <w:szCs w:val="12"/>
              </w:rPr>
            </w:pPr>
            <w:r>
              <w:rPr>
                <w:rFonts w:ascii="Arial" w:hAnsi="Arial"/>
                <w:sz w:val="12"/>
                <w:szCs w:val="12"/>
              </w:rPr>
              <w:t>Melgar de Arriba</w:t>
            </w:r>
          </w:p>
        </w:tc>
        <w:tc>
          <w:tcPr>
            <w:tcW w:w="2268" w:type="dxa"/>
            <w:tcBorders>
              <w:right w:val="single" w:sz="4" w:space="0" w:color="auto"/>
            </w:tcBorders>
            <w:shd w:val="clear" w:color="auto" w:fill="D9D9D9"/>
            <w:hideMark/>
          </w:tcPr>
          <w:p w14:paraId="668459A6" w14:textId="77777777" w:rsidR="002A4DDF" w:rsidRPr="00937C8B" w:rsidRDefault="002A4DDF" w:rsidP="009110ED">
            <w:pPr>
              <w:rPr>
                <w:rFonts w:ascii="Arial" w:hAnsi="Arial" w:cs="Arial"/>
                <w:sz w:val="12"/>
                <w:szCs w:val="12"/>
              </w:rPr>
            </w:pPr>
          </w:p>
        </w:tc>
      </w:tr>
      <w:tr w:rsidR="002A4DDF" w:rsidRPr="00937C8B" w14:paraId="6FE75101" w14:textId="77777777" w:rsidTr="00935676">
        <w:trPr>
          <w:cantSplit/>
        </w:trPr>
        <w:tc>
          <w:tcPr>
            <w:tcW w:w="1696" w:type="dxa"/>
            <w:tcBorders>
              <w:left w:val="single" w:sz="4" w:space="0" w:color="auto"/>
            </w:tcBorders>
            <w:shd w:val="clear" w:color="auto" w:fill="auto"/>
          </w:tcPr>
          <w:p w14:paraId="317C9101" w14:textId="77777777" w:rsidR="002A4DDF" w:rsidRPr="00937C8B" w:rsidRDefault="002A4DDF" w:rsidP="009110ED">
            <w:pPr>
              <w:rPr>
                <w:rFonts w:ascii="Arial" w:hAnsi="Arial" w:cs="Arial"/>
                <w:sz w:val="12"/>
                <w:szCs w:val="12"/>
              </w:rPr>
            </w:pPr>
          </w:p>
        </w:tc>
        <w:tc>
          <w:tcPr>
            <w:tcW w:w="1843" w:type="dxa"/>
            <w:shd w:val="clear" w:color="auto" w:fill="auto"/>
          </w:tcPr>
          <w:p w14:paraId="12D39CB9" w14:textId="77777777" w:rsidR="002A4DDF" w:rsidRPr="00937C8B" w:rsidRDefault="002A4DDF" w:rsidP="009110ED">
            <w:pPr>
              <w:rPr>
                <w:rFonts w:ascii="Arial" w:hAnsi="Arial" w:cs="Arial"/>
                <w:sz w:val="12"/>
                <w:szCs w:val="12"/>
              </w:rPr>
            </w:pPr>
          </w:p>
        </w:tc>
        <w:tc>
          <w:tcPr>
            <w:tcW w:w="2268" w:type="dxa"/>
            <w:shd w:val="clear" w:color="auto" w:fill="F2F2F2"/>
            <w:hideMark/>
          </w:tcPr>
          <w:p w14:paraId="5B301203" w14:textId="77777777" w:rsidR="002A4DDF" w:rsidRPr="00937C8B" w:rsidRDefault="002A4DDF" w:rsidP="009110ED">
            <w:pPr>
              <w:rPr>
                <w:rFonts w:ascii="Arial" w:hAnsi="Arial" w:cs="Arial"/>
                <w:sz w:val="12"/>
                <w:szCs w:val="12"/>
              </w:rPr>
            </w:pPr>
            <w:r>
              <w:rPr>
                <w:rFonts w:ascii="Arial" w:hAnsi="Arial"/>
                <w:sz w:val="12"/>
                <w:szCs w:val="12"/>
              </w:rPr>
              <w:t>Mojados</w:t>
            </w:r>
          </w:p>
        </w:tc>
        <w:tc>
          <w:tcPr>
            <w:tcW w:w="2268" w:type="dxa"/>
            <w:tcBorders>
              <w:right w:val="single" w:sz="4" w:space="0" w:color="auto"/>
            </w:tcBorders>
            <w:shd w:val="clear" w:color="auto" w:fill="D9D9D9"/>
            <w:hideMark/>
          </w:tcPr>
          <w:p w14:paraId="5E2FEEC1" w14:textId="77777777" w:rsidR="002A4DDF" w:rsidRPr="00937C8B" w:rsidRDefault="002A4DDF" w:rsidP="009110ED">
            <w:pPr>
              <w:rPr>
                <w:rFonts w:ascii="Arial" w:hAnsi="Arial" w:cs="Arial"/>
                <w:sz w:val="12"/>
                <w:szCs w:val="12"/>
              </w:rPr>
            </w:pPr>
          </w:p>
        </w:tc>
      </w:tr>
      <w:tr w:rsidR="002A4DDF" w:rsidRPr="00937C8B" w14:paraId="75DF268C" w14:textId="77777777" w:rsidTr="00935676">
        <w:trPr>
          <w:cantSplit/>
        </w:trPr>
        <w:tc>
          <w:tcPr>
            <w:tcW w:w="1696" w:type="dxa"/>
            <w:tcBorders>
              <w:left w:val="single" w:sz="4" w:space="0" w:color="auto"/>
            </w:tcBorders>
            <w:shd w:val="clear" w:color="auto" w:fill="auto"/>
          </w:tcPr>
          <w:p w14:paraId="181B8CFA" w14:textId="77777777" w:rsidR="002A4DDF" w:rsidRPr="00937C8B" w:rsidRDefault="002A4DDF" w:rsidP="009110ED">
            <w:pPr>
              <w:rPr>
                <w:rFonts w:ascii="Arial" w:hAnsi="Arial" w:cs="Arial"/>
                <w:sz w:val="12"/>
                <w:szCs w:val="12"/>
              </w:rPr>
            </w:pPr>
          </w:p>
        </w:tc>
        <w:tc>
          <w:tcPr>
            <w:tcW w:w="1843" w:type="dxa"/>
            <w:shd w:val="clear" w:color="auto" w:fill="auto"/>
          </w:tcPr>
          <w:p w14:paraId="73FBFECD" w14:textId="77777777" w:rsidR="002A4DDF" w:rsidRPr="00937C8B" w:rsidRDefault="002A4DDF" w:rsidP="009110ED">
            <w:pPr>
              <w:rPr>
                <w:rFonts w:ascii="Arial" w:hAnsi="Arial" w:cs="Arial"/>
                <w:sz w:val="12"/>
                <w:szCs w:val="12"/>
              </w:rPr>
            </w:pPr>
          </w:p>
        </w:tc>
        <w:tc>
          <w:tcPr>
            <w:tcW w:w="2268" w:type="dxa"/>
            <w:shd w:val="clear" w:color="auto" w:fill="F2F2F2"/>
            <w:hideMark/>
          </w:tcPr>
          <w:p w14:paraId="256AF037" w14:textId="77777777" w:rsidR="002A4DDF" w:rsidRPr="00937C8B" w:rsidRDefault="002A4DDF" w:rsidP="009110ED">
            <w:pPr>
              <w:rPr>
                <w:rFonts w:ascii="Arial" w:hAnsi="Arial" w:cs="Arial"/>
                <w:sz w:val="12"/>
                <w:szCs w:val="12"/>
              </w:rPr>
            </w:pPr>
            <w:r>
              <w:rPr>
                <w:rFonts w:ascii="Arial" w:hAnsi="Arial"/>
                <w:sz w:val="12"/>
                <w:szCs w:val="12"/>
              </w:rPr>
              <w:t>Moraleja de las Panaderas</w:t>
            </w:r>
          </w:p>
        </w:tc>
        <w:tc>
          <w:tcPr>
            <w:tcW w:w="2268" w:type="dxa"/>
            <w:tcBorders>
              <w:right w:val="single" w:sz="4" w:space="0" w:color="auto"/>
            </w:tcBorders>
            <w:shd w:val="clear" w:color="auto" w:fill="D9D9D9"/>
            <w:hideMark/>
          </w:tcPr>
          <w:p w14:paraId="128E3DA2" w14:textId="77777777" w:rsidR="002A4DDF" w:rsidRPr="00937C8B" w:rsidRDefault="002A4DDF" w:rsidP="009110ED">
            <w:pPr>
              <w:rPr>
                <w:rFonts w:ascii="Arial" w:hAnsi="Arial" w:cs="Arial"/>
                <w:sz w:val="12"/>
                <w:szCs w:val="12"/>
              </w:rPr>
            </w:pPr>
          </w:p>
        </w:tc>
      </w:tr>
      <w:tr w:rsidR="002A4DDF" w:rsidRPr="00937C8B" w14:paraId="5E72E6F3" w14:textId="77777777" w:rsidTr="00935676">
        <w:trPr>
          <w:cantSplit/>
        </w:trPr>
        <w:tc>
          <w:tcPr>
            <w:tcW w:w="1696" w:type="dxa"/>
            <w:tcBorders>
              <w:left w:val="single" w:sz="4" w:space="0" w:color="auto"/>
            </w:tcBorders>
            <w:shd w:val="clear" w:color="auto" w:fill="auto"/>
          </w:tcPr>
          <w:p w14:paraId="0CD6B9A1" w14:textId="77777777" w:rsidR="002A4DDF" w:rsidRPr="00937C8B" w:rsidRDefault="002A4DDF" w:rsidP="009110ED">
            <w:pPr>
              <w:rPr>
                <w:rFonts w:ascii="Arial" w:hAnsi="Arial" w:cs="Arial"/>
                <w:sz w:val="12"/>
                <w:szCs w:val="12"/>
              </w:rPr>
            </w:pPr>
          </w:p>
        </w:tc>
        <w:tc>
          <w:tcPr>
            <w:tcW w:w="1843" w:type="dxa"/>
            <w:shd w:val="clear" w:color="auto" w:fill="auto"/>
          </w:tcPr>
          <w:p w14:paraId="249C1734" w14:textId="77777777" w:rsidR="002A4DDF" w:rsidRPr="00937C8B" w:rsidRDefault="002A4DDF" w:rsidP="009110ED">
            <w:pPr>
              <w:rPr>
                <w:rFonts w:ascii="Arial" w:hAnsi="Arial" w:cs="Arial"/>
                <w:sz w:val="12"/>
                <w:szCs w:val="12"/>
              </w:rPr>
            </w:pPr>
          </w:p>
        </w:tc>
        <w:tc>
          <w:tcPr>
            <w:tcW w:w="2268" w:type="dxa"/>
            <w:shd w:val="clear" w:color="auto" w:fill="F2F2F2"/>
            <w:hideMark/>
          </w:tcPr>
          <w:p w14:paraId="1332E4D5" w14:textId="77777777" w:rsidR="002A4DDF" w:rsidRPr="00937C8B" w:rsidRDefault="002A4DDF" w:rsidP="009110ED">
            <w:pPr>
              <w:rPr>
                <w:rFonts w:ascii="Arial" w:hAnsi="Arial" w:cs="Arial"/>
                <w:sz w:val="12"/>
                <w:szCs w:val="12"/>
              </w:rPr>
            </w:pPr>
            <w:r>
              <w:rPr>
                <w:rFonts w:ascii="Arial" w:hAnsi="Arial"/>
                <w:sz w:val="12"/>
                <w:szCs w:val="12"/>
              </w:rPr>
              <w:t>Muriel</w:t>
            </w:r>
          </w:p>
        </w:tc>
        <w:tc>
          <w:tcPr>
            <w:tcW w:w="2268" w:type="dxa"/>
            <w:tcBorders>
              <w:right w:val="single" w:sz="4" w:space="0" w:color="auto"/>
            </w:tcBorders>
            <w:shd w:val="clear" w:color="auto" w:fill="D9D9D9"/>
            <w:hideMark/>
          </w:tcPr>
          <w:p w14:paraId="22818909" w14:textId="77777777" w:rsidR="002A4DDF" w:rsidRPr="00937C8B" w:rsidRDefault="002A4DDF" w:rsidP="009110ED">
            <w:pPr>
              <w:rPr>
                <w:rFonts w:ascii="Arial" w:hAnsi="Arial" w:cs="Arial"/>
                <w:sz w:val="12"/>
                <w:szCs w:val="12"/>
              </w:rPr>
            </w:pPr>
          </w:p>
        </w:tc>
      </w:tr>
      <w:tr w:rsidR="002A4DDF" w:rsidRPr="00937C8B" w14:paraId="378E5D5A" w14:textId="77777777" w:rsidTr="00935676">
        <w:trPr>
          <w:cantSplit/>
        </w:trPr>
        <w:tc>
          <w:tcPr>
            <w:tcW w:w="1696" w:type="dxa"/>
            <w:tcBorders>
              <w:left w:val="single" w:sz="4" w:space="0" w:color="auto"/>
            </w:tcBorders>
            <w:shd w:val="clear" w:color="auto" w:fill="auto"/>
          </w:tcPr>
          <w:p w14:paraId="7912D975" w14:textId="77777777" w:rsidR="002A4DDF" w:rsidRPr="00937C8B" w:rsidRDefault="002A4DDF" w:rsidP="009110ED">
            <w:pPr>
              <w:rPr>
                <w:rFonts w:ascii="Arial" w:hAnsi="Arial" w:cs="Arial"/>
                <w:sz w:val="12"/>
                <w:szCs w:val="12"/>
              </w:rPr>
            </w:pPr>
          </w:p>
        </w:tc>
        <w:tc>
          <w:tcPr>
            <w:tcW w:w="1843" w:type="dxa"/>
            <w:shd w:val="clear" w:color="auto" w:fill="auto"/>
          </w:tcPr>
          <w:p w14:paraId="632D4DE5" w14:textId="77777777" w:rsidR="002A4DDF" w:rsidRPr="00937C8B" w:rsidRDefault="002A4DDF" w:rsidP="009110ED">
            <w:pPr>
              <w:rPr>
                <w:rFonts w:ascii="Arial" w:hAnsi="Arial" w:cs="Arial"/>
                <w:sz w:val="12"/>
                <w:szCs w:val="12"/>
              </w:rPr>
            </w:pPr>
          </w:p>
        </w:tc>
        <w:tc>
          <w:tcPr>
            <w:tcW w:w="2268" w:type="dxa"/>
            <w:shd w:val="clear" w:color="auto" w:fill="F2F2F2"/>
            <w:hideMark/>
          </w:tcPr>
          <w:p w14:paraId="5C1235B6" w14:textId="77777777" w:rsidR="002A4DDF" w:rsidRPr="00937C8B" w:rsidRDefault="002A4DDF" w:rsidP="009110ED">
            <w:pPr>
              <w:rPr>
                <w:rFonts w:ascii="Arial" w:hAnsi="Arial" w:cs="Arial"/>
                <w:sz w:val="12"/>
                <w:szCs w:val="12"/>
              </w:rPr>
            </w:pPr>
            <w:r>
              <w:rPr>
                <w:rFonts w:ascii="Arial" w:hAnsi="Arial"/>
                <w:sz w:val="12"/>
                <w:szCs w:val="12"/>
              </w:rPr>
              <w:t>Nava del Rey</w:t>
            </w:r>
          </w:p>
        </w:tc>
        <w:tc>
          <w:tcPr>
            <w:tcW w:w="2268" w:type="dxa"/>
            <w:tcBorders>
              <w:right w:val="single" w:sz="4" w:space="0" w:color="auto"/>
            </w:tcBorders>
            <w:shd w:val="clear" w:color="auto" w:fill="D9D9D9"/>
            <w:hideMark/>
          </w:tcPr>
          <w:p w14:paraId="41A37A0F" w14:textId="77777777" w:rsidR="002A4DDF" w:rsidRPr="00937C8B" w:rsidRDefault="002A4DDF" w:rsidP="009110ED">
            <w:pPr>
              <w:rPr>
                <w:rFonts w:ascii="Arial" w:hAnsi="Arial" w:cs="Arial"/>
                <w:sz w:val="12"/>
                <w:szCs w:val="12"/>
              </w:rPr>
            </w:pPr>
          </w:p>
        </w:tc>
      </w:tr>
      <w:tr w:rsidR="002A4DDF" w:rsidRPr="00937C8B" w14:paraId="6D484DAC" w14:textId="77777777" w:rsidTr="00935676">
        <w:trPr>
          <w:cantSplit/>
        </w:trPr>
        <w:tc>
          <w:tcPr>
            <w:tcW w:w="1696" w:type="dxa"/>
            <w:tcBorders>
              <w:left w:val="single" w:sz="4" w:space="0" w:color="auto"/>
            </w:tcBorders>
            <w:shd w:val="clear" w:color="auto" w:fill="auto"/>
          </w:tcPr>
          <w:p w14:paraId="6BA01F9B" w14:textId="77777777" w:rsidR="002A4DDF" w:rsidRPr="00937C8B" w:rsidRDefault="002A4DDF" w:rsidP="009110ED">
            <w:pPr>
              <w:rPr>
                <w:rFonts w:ascii="Arial" w:hAnsi="Arial" w:cs="Arial"/>
                <w:sz w:val="12"/>
                <w:szCs w:val="12"/>
              </w:rPr>
            </w:pPr>
          </w:p>
        </w:tc>
        <w:tc>
          <w:tcPr>
            <w:tcW w:w="1843" w:type="dxa"/>
            <w:shd w:val="clear" w:color="auto" w:fill="auto"/>
          </w:tcPr>
          <w:p w14:paraId="78E97C4F" w14:textId="77777777" w:rsidR="002A4DDF" w:rsidRPr="00937C8B" w:rsidRDefault="002A4DDF" w:rsidP="009110ED">
            <w:pPr>
              <w:rPr>
                <w:rFonts w:ascii="Arial" w:hAnsi="Arial" w:cs="Arial"/>
                <w:sz w:val="12"/>
                <w:szCs w:val="12"/>
              </w:rPr>
            </w:pPr>
          </w:p>
        </w:tc>
        <w:tc>
          <w:tcPr>
            <w:tcW w:w="2268" w:type="dxa"/>
            <w:shd w:val="clear" w:color="auto" w:fill="F2F2F2"/>
            <w:hideMark/>
          </w:tcPr>
          <w:p w14:paraId="3052DE68" w14:textId="77777777" w:rsidR="002A4DDF" w:rsidRPr="00937C8B" w:rsidRDefault="002A4DDF" w:rsidP="009110ED">
            <w:pPr>
              <w:rPr>
                <w:rFonts w:ascii="Arial" w:hAnsi="Arial" w:cs="Arial"/>
                <w:sz w:val="12"/>
                <w:szCs w:val="12"/>
              </w:rPr>
            </w:pPr>
            <w:r>
              <w:rPr>
                <w:rFonts w:ascii="Arial" w:hAnsi="Arial"/>
                <w:sz w:val="12"/>
                <w:szCs w:val="12"/>
              </w:rPr>
              <w:t>Nueva Villa de las Torres</w:t>
            </w:r>
          </w:p>
        </w:tc>
        <w:tc>
          <w:tcPr>
            <w:tcW w:w="2268" w:type="dxa"/>
            <w:tcBorders>
              <w:right w:val="single" w:sz="4" w:space="0" w:color="auto"/>
            </w:tcBorders>
            <w:shd w:val="clear" w:color="auto" w:fill="D9D9D9"/>
            <w:hideMark/>
          </w:tcPr>
          <w:p w14:paraId="762B116C" w14:textId="77777777" w:rsidR="002A4DDF" w:rsidRPr="00937C8B" w:rsidRDefault="002A4DDF" w:rsidP="009110ED">
            <w:pPr>
              <w:rPr>
                <w:rFonts w:ascii="Arial" w:hAnsi="Arial" w:cs="Arial"/>
                <w:sz w:val="12"/>
                <w:szCs w:val="12"/>
              </w:rPr>
            </w:pPr>
          </w:p>
        </w:tc>
      </w:tr>
      <w:tr w:rsidR="002A4DDF" w:rsidRPr="00937C8B" w14:paraId="4B384B10" w14:textId="77777777" w:rsidTr="00935676">
        <w:trPr>
          <w:cantSplit/>
        </w:trPr>
        <w:tc>
          <w:tcPr>
            <w:tcW w:w="1696" w:type="dxa"/>
            <w:tcBorders>
              <w:left w:val="single" w:sz="4" w:space="0" w:color="auto"/>
            </w:tcBorders>
            <w:shd w:val="clear" w:color="auto" w:fill="auto"/>
          </w:tcPr>
          <w:p w14:paraId="09D8BFFD" w14:textId="77777777" w:rsidR="002A4DDF" w:rsidRPr="00937C8B" w:rsidRDefault="002A4DDF" w:rsidP="009110ED">
            <w:pPr>
              <w:rPr>
                <w:rFonts w:ascii="Arial" w:hAnsi="Arial" w:cs="Arial"/>
                <w:sz w:val="12"/>
                <w:szCs w:val="12"/>
              </w:rPr>
            </w:pPr>
          </w:p>
        </w:tc>
        <w:tc>
          <w:tcPr>
            <w:tcW w:w="1843" w:type="dxa"/>
            <w:shd w:val="clear" w:color="auto" w:fill="auto"/>
          </w:tcPr>
          <w:p w14:paraId="5B4A142A" w14:textId="77777777" w:rsidR="002A4DDF" w:rsidRPr="00937C8B" w:rsidRDefault="002A4DDF" w:rsidP="009110ED">
            <w:pPr>
              <w:rPr>
                <w:rFonts w:ascii="Arial" w:hAnsi="Arial" w:cs="Arial"/>
                <w:sz w:val="12"/>
                <w:szCs w:val="12"/>
              </w:rPr>
            </w:pPr>
          </w:p>
        </w:tc>
        <w:tc>
          <w:tcPr>
            <w:tcW w:w="2268" w:type="dxa"/>
            <w:shd w:val="clear" w:color="auto" w:fill="F2F2F2"/>
            <w:hideMark/>
          </w:tcPr>
          <w:p w14:paraId="43F4857F" w14:textId="77777777" w:rsidR="002A4DDF" w:rsidRPr="00937C8B" w:rsidRDefault="002A4DDF" w:rsidP="009110ED">
            <w:pPr>
              <w:rPr>
                <w:rFonts w:ascii="Arial" w:hAnsi="Arial" w:cs="Arial"/>
                <w:sz w:val="12"/>
                <w:szCs w:val="12"/>
              </w:rPr>
            </w:pPr>
            <w:r>
              <w:rPr>
                <w:rFonts w:ascii="Arial" w:hAnsi="Arial"/>
                <w:sz w:val="12"/>
                <w:szCs w:val="12"/>
              </w:rPr>
              <w:t>Olivares de Duero</w:t>
            </w:r>
          </w:p>
        </w:tc>
        <w:tc>
          <w:tcPr>
            <w:tcW w:w="2268" w:type="dxa"/>
            <w:tcBorders>
              <w:right w:val="single" w:sz="4" w:space="0" w:color="auto"/>
            </w:tcBorders>
            <w:shd w:val="clear" w:color="auto" w:fill="D9D9D9"/>
            <w:hideMark/>
          </w:tcPr>
          <w:p w14:paraId="16B224BE" w14:textId="77777777" w:rsidR="002A4DDF" w:rsidRPr="00937C8B" w:rsidRDefault="002A4DDF" w:rsidP="009110ED">
            <w:pPr>
              <w:rPr>
                <w:rFonts w:ascii="Arial" w:hAnsi="Arial" w:cs="Arial"/>
                <w:sz w:val="12"/>
                <w:szCs w:val="12"/>
              </w:rPr>
            </w:pPr>
          </w:p>
        </w:tc>
      </w:tr>
      <w:tr w:rsidR="002A4DDF" w:rsidRPr="00937C8B" w14:paraId="07208551" w14:textId="77777777" w:rsidTr="00935676">
        <w:trPr>
          <w:cantSplit/>
        </w:trPr>
        <w:tc>
          <w:tcPr>
            <w:tcW w:w="1696" w:type="dxa"/>
            <w:tcBorders>
              <w:left w:val="single" w:sz="4" w:space="0" w:color="auto"/>
            </w:tcBorders>
            <w:shd w:val="clear" w:color="auto" w:fill="auto"/>
          </w:tcPr>
          <w:p w14:paraId="49A48DF0" w14:textId="77777777" w:rsidR="002A4DDF" w:rsidRPr="00937C8B" w:rsidRDefault="002A4DDF" w:rsidP="009110ED">
            <w:pPr>
              <w:rPr>
                <w:rFonts w:ascii="Arial" w:hAnsi="Arial" w:cs="Arial"/>
                <w:sz w:val="12"/>
                <w:szCs w:val="12"/>
              </w:rPr>
            </w:pPr>
          </w:p>
        </w:tc>
        <w:tc>
          <w:tcPr>
            <w:tcW w:w="1843" w:type="dxa"/>
            <w:shd w:val="clear" w:color="auto" w:fill="auto"/>
          </w:tcPr>
          <w:p w14:paraId="48E603F5" w14:textId="77777777" w:rsidR="002A4DDF" w:rsidRPr="00937C8B" w:rsidRDefault="002A4DDF" w:rsidP="009110ED">
            <w:pPr>
              <w:rPr>
                <w:rFonts w:ascii="Arial" w:hAnsi="Arial" w:cs="Arial"/>
                <w:sz w:val="12"/>
                <w:szCs w:val="12"/>
              </w:rPr>
            </w:pPr>
          </w:p>
        </w:tc>
        <w:tc>
          <w:tcPr>
            <w:tcW w:w="2268" w:type="dxa"/>
            <w:shd w:val="clear" w:color="auto" w:fill="F2F2F2"/>
            <w:hideMark/>
          </w:tcPr>
          <w:p w14:paraId="3B32AAB1" w14:textId="77777777" w:rsidR="002A4DDF" w:rsidRPr="00937C8B" w:rsidRDefault="002A4DDF" w:rsidP="009110ED">
            <w:pPr>
              <w:rPr>
                <w:rFonts w:ascii="Arial" w:hAnsi="Arial" w:cs="Arial"/>
                <w:sz w:val="12"/>
                <w:szCs w:val="12"/>
              </w:rPr>
            </w:pPr>
            <w:r>
              <w:rPr>
                <w:rFonts w:ascii="Arial" w:hAnsi="Arial"/>
                <w:sz w:val="12"/>
                <w:szCs w:val="12"/>
              </w:rPr>
              <w:t>Olmedo</w:t>
            </w:r>
          </w:p>
        </w:tc>
        <w:tc>
          <w:tcPr>
            <w:tcW w:w="2268" w:type="dxa"/>
            <w:tcBorders>
              <w:right w:val="single" w:sz="4" w:space="0" w:color="auto"/>
            </w:tcBorders>
            <w:shd w:val="clear" w:color="auto" w:fill="D9D9D9"/>
            <w:hideMark/>
          </w:tcPr>
          <w:p w14:paraId="21CB163A" w14:textId="77777777" w:rsidR="002A4DDF" w:rsidRPr="00937C8B" w:rsidRDefault="002A4DDF" w:rsidP="009110ED">
            <w:pPr>
              <w:rPr>
                <w:rFonts w:ascii="Arial" w:hAnsi="Arial" w:cs="Arial"/>
                <w:sz w:val="12"/>
                <w:szCs w:val="12"/>
              </w:rPr>
            </w:pPr>
          </w:p>
        </w:tc>
      </w:tr>
      <w:tr w:rsidR="002A4DDF" w:rsidRPr="00937C8B" w14:paraId="7F374533" w14:textId="77777777" w:rsidTr="00935676">
        <w:trPr>
          <w:cantSplit/>
        </w:trPr>
        <w:tc>
          <w:tcPr>
            <w:tcW w:w="1696" w:type="dxa"/>
            <w:tcBorders>
              <w:left w:val="single" w:sz="4" w:space="0" w:color="auto"/>
            </w:tcBorders>
            <w:shd w:val="clear" w:color="auto" w:fill="auto"/>
          </w:tcPr>
          <w:p w14:paraId="05A72A87" w14:textId="77777777" w:rsidR="002A4DDF" w:rsidRPr="00937C8B" w:rsidRDefault="002A4DDF" w:rsidP="009110ED">
            <w:pPr>
              <w:rPr>
                <w:rFonts w:ascii="Arial" w:hAnsi="Arial" w:cs="Arial"/>
                <w:sz w:val="12"/>
                <w:szCs w:val="12"/>
              </w:rPr>
            </w:pPr>
          </w:p>
        </w:tc>
        <w:tc>
          <w:tcPr>
            <w:tcW w:w="1843" w:type="dxa"/>
            <w:shd w:val="clear" w:color="auto" w:fill="auto"/>
          </w:tcPr>
          <w:p w14:paraId="7917360F" w14:textId="77777777" w:rsidR="002A4DDF" w:rsidRPr="00937C8B" w:rsidRDefault="002A4DDF" w:rsidP="009110ED">
            <w:pPr>
              <w:rPr>
                <w:rFonts w:ascii="Arial" w:hAnsi="Arial" w:cs="Arial"/>
                <w:sz w:val="12"/>
                <w:szCs w:val="12"/>
              </w:rPr>
            </w:pPr>
          </w:p>
        </w:tc>
        <w:tc>
          <w:tcPr>
            <w:tcW w:w="2268" w:type="dxa"/>
            <w:shd w:val="clear" w:color="auto" w:fill="F2F2F2"/>
            <w:hideMark/>
          </w:tcPr>
          <w:p w14:paraId="0A81E66C" w14:textId="77777777" w:rsidR="002A4DDF" w:rsidRPr="00937C8B" w:rsidRDefault="002A4DDF" w:rsidP="009110ED">
            <w:pPr>
              <w:rPr>
                <w:rFonts w:ascii="Arial" w:hAnsi="Arial" w:cs="Arial"/>
                <w:sz w:val="12"/>
                <w:szCs w:val="12"/>
              </w:rPr>
            </w:pPr>
            <w:r>
              <w:rPr>
                <w:rFonts w:ascii="Arial" w:hAnsi="Arial"/>
                <w:sz w:val="12"/>
                <w:szCs w:val="12"/>
              </w:rPr>
              <w:t>Olmos de Peñafiel</w:t>
            </w:r>
          </w:p>
        </w:tc>
        <w:tc>
          <w:tcPr>
            <w:tcW w:w="2268" w:type="dxa"/>
            <w:tcBorders>
              <w:right w:val="single" w:sz="4" w:space="0" w:color="auto"/>
            </w:tcBorders>
            <w:shd w:val="clear" w:color="auto" w:fill="D9D9D9"/>
            <w:hideMark/>
          </w:tcPr>
          <w:p w14:paraId="34717236" w14:textId="77777777" w:rsidR="002A4DDF" w:rsidRPr="00937C8B" w:rsidRDefault="002A4DDF" w:rsidP="009110ED">
            <w:pPr>
              <w:rPr>
                <w:rFonts w:ascii="Arial" w:hAnsi="Arial" w:cs="Arial"/>
                <w:sz w:val="12"/>
                <w:szCs w:val="12"/>
              </w:rPr>
            </w:pPr>
          </w:p>
        </w:tc>
      </w:tr>
      <w:tr w:rsidR="002A4DDF" w:rsidRPr="00937C8B" w14:paraId="2DF43D50" w14:textId="77777777" w:rsidTr="00935676">
        <w:trPr>
          <w:cantSplit/>
        </w:trPr>
        <w:tc>
          <w:tcPr>
            <w:tcW w:w="1696" w:type="dxa"/>
            <w:tcBorders>
              <w:left w:val="single" w:sz="4" w:space="0" w:color="auto"/>
            </w:tcBorders>
            <w:shd w:val="clear" w:color="auto" w:fill="auto"/>
          </w:tcPr>
          <w:p w14:paraId="0666AF97" w14:textId="77777777" w:rsidR="002A4DDF" w:rsidRPr="00937C8B" w:rsidRDefault="002A4DDF" w:rsidP="009110ED">
            <w:pPr>
              <w:rPr>
                <w:rFonts w:ascii="Arial" w:hAnsi="Arial" w:cs="Arial"/>
                <w:sz w:val="12"/>
                <w:szCs w:val="12"/>
              </w:rPr>
            </w:pPr>
          </w:p>
        </w:tc>
        <w:tc>
          <w:tcPr>
            <w:tcW w:w="1843" w:type="dxa"/>
            <w:shd w:val="clear" w:color="auto" w:fill="auto"/>
          </w:tcPr>
          <w:p w14:paraId="2C6AE349" w14:textId="77777777" w:rsidR="002A4DDF" w:rsidRPr="00937C8B" w:rsidRDefault="002A4DDF" w:rsidP="009110ED">
            <w:pPr>
              <w:rPr>
                <w:rFonts w:ascii="Arial" w:hAnsi="Arial" w:cs="Arial"/>
                <w:sz w:val="12"/>
                <w:szCs w:val="12"/>
              </w:rPr>
            </w:pPr>
          </w:p>
        </w:tc>
        <w:tc>
          <w:tcPr>
            <w:tcW w:w="2268" w:type="dxa"/>
            <w:shd w:val="clear" w:color="auto" w:fill="F2F2F2"/>
            <w:hideMark/>
          </w:tcPr>
          <w:p w14:paraId="1B9E4089" w14:textId="77777777" w:rsidR="002A4DDF" w:rsidRPr="00937C8B" w:rsidRDefault="002A4DDF" w:rsidP="009110ED">
            <w:pPr>
              <w:rPr>
                <w:rFonts w:ascii="Arial" w:hAnsi="Arial" w:cs="Arial"/>
                <w:sz w:val="12"/>
                <w:szCs w:val="12"/>
              </w:rPr>
            </w:pPr>
            <w:r>
              <w:rPr>
                <w:rFonts w:ascii="Arial" w:hAnsi="Arial"/>
                <w:sz w:val="12"/>
                <w:szCs w:val="12"/>
              </w:rPr>
              <w:t>Pedrosa del Rey</w:t>
            </w:r>
          </w:p>
        </w:tc>
        <w:tc>
          <w:tcPr>
            <w:tcW w:w="2268" w:type="dxa"/>
            <w:tcBorders>
              <w:right w:val="single" w:sz="4" w:space="0" w:color="auto"/>
            </w:tcBorders>
            <w:shd w:val="clear" w:color="auto" w:fill="D9D9D9"/>
            <w:hideMark/>
          </w:tcPr>
          <w:p w14:paraId="211E9985" w14:textId="77777777" w:rsidR="002A4DDF" w:rsidRPr="00937C8B" w:rsidRDefault="002A4DDF" w:rsidP="009110ED">
            <w:pPr>
              <w:rPr>
                <w:rFonts w:ascii="Arial" w:hAnsi="Arial" w:cs="Arial"/>
                <w:sz w:val="12"/>
                <w:szCs w:val="12"/>
              </w:rPr>
            </w:pPr>
          </w:p>
        </w:tc>
      </w:tr>
      <w:tr w:rsidR="002A4DDF" w:rsidRPr="00937C8B" w14:paraId="246A7FCD" w14:textId="77777777" w:rsidTr="00935676">
        <w:trPr>
          <w:cantSplit/>
        </w:trPr>
        <w:tc>
          <w:tcPr>
            <w:tcW w:w="1696" w:type="dxa"/>
            <w:tcBorders>
              <w:left w:val="single" w:sz="4" w:space="0" w:color="auto"/>
            </w:tcBorders>
            <w:shd w:val="clear" w:color="auto" w:fill="auto"/>
          </w:tcPr>
          <w:p w14:paraId="0DE0F02C" w14:textId="77777777" w:rsidR="002A4DDF" w:rsidRPr="00937C8B" w:rsidRDefault="002A4DDF" w:rsidP="009110ED">
            <w:pPr>
              <w:rPr>
                <w:rFonts w:ascii="Arial" w:hAnsi="Arial" w:cs="Arial"/>
                <w:sz w:val="12"/>
                <w:szCs w:val="12"/>
              </w:rPr>
            </w:pPr>
          </w:p>
        </w:tc>
        <w:tc>
          <w:tcPr>
            <w:tcW w:w="1843" w:type="dxa"/>
            <w:shd w:val="clear" w:color="auto" w:fill="auto"/>
          </w:tcPr>
          <w:p w14:paraId="096A6DC0" w14:textId="77777777" w:rsidR="002A4DDF" w:rsidRPr="00937C8B" w:rsidRDefault="002A4DDF" w:rsidP="009110ED">
            <w:pPr>
              <w:rPr>
                <w:rFonts w:ascii="Arial" w:hAnsi="Arial" w:cs="Arial"/>
                <w:sz w:val="12"/>
                <w:szCs w:val="12"/>
              </w:rPr>
            </w:pPr>
          </w:p>
        </w:tc>
        <w:tc>
          <w:tcPr>
            <w:tcW w:w="2268" w:type="dxa"/>
            <w:shd w:val="clear" w:color="auto" w:fill="F2F2F2"/>
            <w:hideMark/>
          </w:tcPr>
          <w:p w14:paraId="53012734" w14:textId="77777777" w:rsidR="002A4DDF" w:rsidRPr="00937C8B" w:rsidRDefault="002A4DDF" w:rsidP="009110ED">
            <w:pPr>
              <w:rPr>
                <w:rFonts w:ascii="Arial" w:hAnsi="Arial" w:cs="Arial"/>
                <w:sz w:val="12"/>
                <w:szCs w:val="12"/>
              </w:rPr>
            </w:pPr>
            <w:r>
              <w:rPr>
                <w:rFonts w:ascii="Arial" w:hAnsi="Arial"/>
                <w:sz w:val="12"/>
                <w:szCs w:val="12"/>
              </w:rPr>
              <w:t>Peñafiel</w:t>
            </w:r>
          </w:p>
        </w:tc>
        <w:tc>
          <w:tcPr>
            <w:tcW w:w="2268" w:type="dxa"/>
            <w:tcBorders>
              <w:right w:val="single" w:sz="4" w:space="0" w:color="auto"/>
            </w:tcBorders>
            <w:shd w:val="clear" w:color="auto" w:fill="D9D9D9"/>
            <w:hideMark/>
          </w:tcPr>
          <w:p w14:paraId="6E49E887" w14:textId="77777777" w:rsidR="002A4DDF" w:rsidRPr="00937C8B" w:rsidRDefault="002A4DDF" w:rsidP="009110ED">
            <w:pPr>
              <w:rPr>
                <w:rFonts w:ascii="Arial" w:hAnsi="Arial" w:cs="Arial"/>
                <w:sz w:val="12"/>
                <w:szCs w:val="12"/>
              </w:rPr>
            </w:pPr>
          </w:p>
        </w:tc>
      </w:tr>
      <w:tr w:rsidR="002A4DDF" w:rsidRPr="00937C8B" w14:paraId="046C8C01" w14:textId="77777777" w:rsidTr="00935676">
        <w:trPr>
          <w:cantSplit/>
        </w:trPr>
        <w:tc>
          <w:tcPr>
            <w:tcW w:w="1696" w:type="dxa"/>
            <w:tcBorders>
              <w:left w:val="single" w:sz="4" w:space="0" w:color="auto"/>
            </w:tcBorders>
            <w:shd w:val="clear" w:color="auto" w:fill="auto"/>
          </w:tcPr>
          <w:p w14:paraId="24B59F96" w14:textId="77777777" w:rsidR="002A4DDF" w:rsidRPr="00937C8B" w:rsidRDefault="002A4DDF" w:rsidP="009110ED">
            <w:pPr>
              <w:rPr>
                <w:rFonts w:ascii="Arial" w:hAnsi="Arial" w:cs="Arial"/>
                <w:sz w:val="12"/>
                <w:szCs w:val="12"/>
              </w:rPr>
            </w:pPr>
          </w:p>
        </w:tc>
        <w:tc>
          <w:tcPr>
            <w:tcW w:w="1843" w:type="dxa"/>
            <w:shd w:val="clear" w:color="auto" w:fill="auto"/>
          </w:tcPr>
          <w:p w14:paraId="66B7F53D" w14:textId="77777777" w:rsidR="002A4DDF" w:rsidRPr="00937C8B" w:rsidRDefault="002A4DDF" w:rsidP="009110ED">
            <w:pPr>
              <w:rPr>
                <w:rFonts w:ascii="Arial" w:hAnsi="Arial" w:cs="Arial"/>
                <w:sz w:val="12"/>
                <w:szCs w:val="12"/>
              </w:rPr>
            </w:pPr>
          </w:p>
        </w:tc>
        <w:tc>
          <w:tcPr>
            <w:tcW w:w="2268" w:type="dxa"/>
            <w:shd w:val="clear" w:color="auto" w:fill="F2F2F2"/>
            <w:hideMark/>
          </w:tcPr>
          <w:p w14:paraId="3A480465" w14:textId="77777777" w:rsidR="002A4DDF" w:rsidRPr="00937C8B" w:rsidRDefault="002A4DDF" w:rsidP="009110ED">
            <w:pPr>
              <w:rPr>
                <w:rFonts w:ascii="Arial" w:hAnsi="Arial" w:cs="Arial"/>
                <w:sz w:val="12"/>
                <w:szCs w:val="12"/>
              </w:rPr>
            </w:pPr>
            <w:r>
              <w:rPr>
                <w:rFonts w:ascii="Arial" w:hAnsi="Arial"/>
                <w:sz w:val="12"/>
                <w:szCs w:val="12"/>
              </w:rPr>
              <w:t>Pesquera de Duero</w:t>
            </w:r>
          </w:p>
        </w:tc>
        <w:tc>
          <w:tcPr>
            <w:tcW w:w="2268" w:type="dxa"/>
            <w:tcBorders>
              <w:right w:val="single" w:sz="4" w:space="0" w:color="auto"/>
            </w:tcBorders>
            <w:shd w:val="clear" w:color="auto" w:fill="D9D9D9"/>
            <w:hideMark/>
          </w:tcPr>
          <w:p w14:paraId="77DD6B5B" w14:textId="77777777" w:rsidR="002A4DDF" w:rsidRPr="00937C8B" w:rsidRDefault="002A4DDF" w:rsidP="009110ED">
            <w:pPr>
              <w:rPr>
                <w:rFonts w:ascii="Arial" w:hAnsi="Arial" w:cs="Arial"/>
                <w:sz w:val="12"/>
                <w:szCs w:val="12"/>
              </w:rPr>
            </w:pPr>
          </w:p>
        </w:tc>
      </w:tr>
      <w:tr w:rsidR="002A4DDF" w:rsidRPr="00937C8B" w14:paraId="7C92923C" w14:textId="77777777" w:rsidTr="00935676">
        <w:trPr>
          <w:cantSplit/>
        </w:trPr>
        <w:tc>
          <w:tcPr>
            <w:tcW w:w="1696" w:type="dxa"/>
            <w:tcBorders>
              <w:left w:val="single" w:sz="4" w:space="0" w:color="auto"/>
            </w:tcBorders>
            <w:shd w:val="clear" w:color="auto" w:fill="auto"/>
          </w:tcPr>
          <w:p w14:paraId="5343C546" w14:textId="77777777" w:rsidR="002A4DDF" w:rsidRPr="00937C8B" w:rsidRDefault="002A4DDF" w:rsidP="009110ED">
            <w:pPr>
              <w:rPr>
                <w:rFonts w:ascii="Arial" w:hAnsi="Arial" w:cs="Arial"/>
                <w:sz w:val="12"/>
                <w:szCs w:val="12"/>
              </w:rPr>
            </w:pPr>
          </w:p>
        </w:tc>
        <w:tc>
          <w:tcPr>
            <w:tcW w:w="1843" w:type="dxa"/>
            <w:shd w:val="clear" w:color="auto" w:fill="auto"/>
          </w:tcPr>
          <w:p w14:paraId="69F3F022" w14:textId="77777777" w:rsidR="002A4DDF" w:rsidRPr="00937C8B" w:rsidRDefault="002A4DDF" w:rsidP="009110ED">
            <w:pPr>
              <w:rPr>
                <w:rFonts w:ascii="Arial" w:hAnsi="Arial" w:cs="Arial"/>
                <w:sz w:val="12"/>
                <w:szCs w:val="12"/>
              </w:rPr>
            </w:pPr>
          </w:p>
        </w:tc>
        <w:tc>
          <w:tcPr>
            <w:tcW w:w="2268" w:type="dxa"/>
            <w:shd w:val="clear" w:color="auto" w:fill="F2F2F2"/>
            <w:hideMark/>
          </w:tcPr>
          <w:p w14:paraId="4E504329" w14:textId="77777777" w:rsidR="002A4DDF" w:rsidRPr="00937C8B" w:rsidRDefault="002A4DDF" w:rsidP="009110ED">
            <w:pPr>
              <w:rPr>
                <w:rFonts w:ascii="Arial" w:hAnsi="Arial" w:cs="Arial"/>
                <w:sz w:val="12"/>
                <w:szCs w:val="12"/>
              </w:rPr>
            </w:pPr>
            <w:r>
              <w:rPr>
                <w:rFonts w:ascii="Arial" w:hAnsi="Arial"/>
                <w:sz w:val="12"/>
                <w:szCs w:val="12"/>
              </w:rPr>
              <w:t>Piñel de Abajo</w:t>
            </w:r>
          </w:p>
        </w:tc>
        <w:tc>
          <w:tcPr>
            <w:tcW w:w="2268" w:type="dxa"/>
            <w:tcBorders>
              <w:right w:val="single" w:sz="4" w:space="0" w:color="auto"/>
            </w:tcBorders>
            <w:shd w:val="clear" w:color="auto" w:fill="D9D9D9"/>
            <w:hideMark/>
          </w:tcPr>
          <w:p w14:paraId="782D4A91" w14:textId="77777777" w:rsidR="002A4DDF" w:rsidRPr="00937C8B" w:rsidRDefault="002A4DDF" w:rsidP="009110ED">
            <w:pPr>
              <w:rPr>
                <w:rFonts w:ascii="Arial" w:hAnsi="Arial" w:cs="Arial"/>
                <w:sz w:val="12"/>
                <w:szCs w:val="12"/>
              </w:rPr>
            </w:pPr>
          </w:p>
        </w:tc>
      </w:tr>
      <w:tr w:rsidR="002A4DDF" w:rsidRPr="00937C8B" w14:paraId="7F6E7829" w14:textId="77777777" w:rsidTr="00935676">
        <w:trPr>
          <w:cantSplit/>
        </w:trPr>
        <w:tc>
          <w:tcPr>
            <w:tcW w:w="1696" w:type="dxa"/>
            <w:tcBorders>
              <w:left w:val="single" w:sz="4" w:space="0" w:color="auto"/>
            </w:tcBorders>
            <w:shd w:val="clear" w:color="auto" w:fill="auto"/>
          </w:tcPr>
          <w:p w14:paraId="1E0107DA" w14:textId="77777777" w:rsidR="002A4DDF" w:rsidRPr="00937C8B" w:rsidRDefault="002A4DDF" w:rsidP="009110ED">
            <w:pPr>
              <w:rPr>
                <w:rFonts w:ascii="Arial" w:hAnsi="Arial" w:cs="Arial"/>
                <w:sz w:val="12"/>
                <w:szCs w:val="12"/>
              </w:rPr>
            </w:pPr>
          </w:p>
        </w:tc>
        <w:tc>
          <w:tcPr>
            <w:tcW w:w="1843" w:type="dxa"/>
            <w:shd w:val="clear" w:color="auto" w:fill="auto"/>
          </w:tcPr>
          <w:p w14:paraId="2896FA02" w14:textId="77777777" w:rsidR="002A4DDF" w:rsidRPr="00937C8B" w:rsidRDefault="002A4DDF" w:rsidP="009110ED">
            <w:pPr>
              <w:rPr>
                <w:rFonts w:ascii="Arial" w:hAnsi="Arial" w:cs="Arial"/>
                <w:sz w:val="12"/>
                <w:szCs w:val="12"/>
              </w:rPr>
            </w:pPr>
          </w:p>
        </w:tc>
        <w:tc>
          <w:tcPr>
            <w:tcW w:w="2268" w:type="dxa"/>
            <w:shd w:val="clear" w:color="auto" w:fill="F2F2F2"/>
            <w:hideMark/>
          </w:tcPr>
          <w:p w14:paraId="4301E0F7" w14:textId="77777777" w:rsidR="002A4DDF" w:rsidRPr="00937C8B" w:rsidRDefault="002A4DDF" w:rsidP="009110ED">
            <w:pPr>
              <w:rPr>
                <w:rFonts w:ascii="Arial" w:hAnsi="Arial" w:cs="Arial"/>
                <w:sz w:val="12"/>
                <w:szCs w:val="12"/>
              </w:rPr>
            </w:pPr>
            <w:r>
              <w:rPr>
                <w:rFonts w:ascii="Arial" w:hAnsi="Arial"/>
                <w:sz w:val="12"/>
                <w:szCs w:val="12"/>
              </w:rPr>
              <w:t>Piñel de Arriba</w:t>
            </w:r>
          </w:p>
        </w:tc>
        <w:tc>
          <w:tcPr>
            <w:tcW w:w="2268" w:type="dxa"/>
            <w:tcBorders>
              <w:right w:val="single" w:sz="4" w:space="0" w:color="auto"/>
            </w:tcBorders>
            <w:shd w:val="clear" w:color="auto" w:fill="D9D9D9"/>
            <w:hideMark/>
          </w:tcPr>
          <w:p w14:paraId="3A202D16" w14:textId="77777777" w:rsidR="002A4DDF" w:rsidRPr="00937C8B" w:rsidRDefault="002A4DDF" w:rsidP="009110ED">
            <w:pPr>
              <w:rPr>
                <w:rFonts w:ascii="Arial" w:hAnsi="Arial" w:cs="Arial"/>
                <w:sz w:val="12"/>
                <w:szCs w:val="12"/>
              </w:rPr>
            </w:pPr>
          </w:p>
        </w:tc>
      </w:tr>
      <w:tr w:rsidR="002A4DDF" w:rsidRPr="00937C8B" w14:paraId="1D50D9BA" w14:textId="77777777" w:rsidTr="00935676">
        <w:trPr>
          <w:cantSplit/>
        </w:trPr>
        <w:tc>
          <w:tcPr>
            <w:tcW w:w="1696" w:type="dxa"/>
            <w:tcBorders>
              <w:left w:val="single" w:sz="4" w:space="0" w:color="auto"/>
            </w:tcBorders>
            <w:shd w:val="clear" w:color="auto" w:fill="auto"/>
          </w:tcPr>
          <w:p w14:paraId="4C04AE8F" w14:textId="77777777" w:rsidR="002A4DDF" w:rsidRPr="00937C8B" w:rsidRDefault="002A4DDF" w:rsidP="009110ED">
            <w:pPr>
              <w:rPr>
                <w:rFonts w:ascii="Arial" w:hAnsi="Arial" w:cs="Arial"/>
                <w:sz w:val="12"/>
                <w:szCs w:val="12"/>
              </w:rPr>
            </w:pPr>
          </w:p>
        </w:tc>
        <w:tc>
          <w:tcPr>
            <w:tcW w:w="1843" w:type="dxa"/>
            <w:shd w:val="clear" w:color="auto" w:fill="auto"/>
          </w:tcPr>
          <w:p w14:paraId="6AA992EA" w14:textId="77777777" w:rsidR="002A4DDF" w:rsidRPr="00937C8B" w:rsidRDefault="002A4DDF" w:rsidP="009110ED">
            <w:pPr>
              <w:rPr>
                <w:rFonts w:ascii="Arial" w:hAnsi="Arial" w:cs="Arial"/>
                <w:sz w:val="12"/>
                <w:szCs w:val="12"/>
              </w:rPr>
            </w:pPr>
          </w:p>
        </w:tc>
        <w:tc>
          <w:tcPr>
            <w:tcW w:w="2268" w:type="dxa"/>
            <w:shd w:val="clear" w:color="auto" w:fill="F2F2F2"/>
            <w:hideMark/>
          </w:tcPr>
          <w:p w14:paraId="06761B97" w14:textId="77777777" w:rsidR="002A4DDF" w:rsidRPr="00937C8B" w:rsidRDefault="002A4DDF" w:rsidP="009110ED">
            <w:pPr>
              <w:rPr>
                <w:rFonts w:ascii="Arial" w:hAnsi="Arial" w:cs="Arial"/>
                <w:sz w:val="12"/>
                <w:szCs w:val="12"/>
              </w:rPr>
            </w:pPr>
            <w:r>
              <w:rPr>
                <w:rFonts w:ascii="Arial" w:hAnsi="Arial"/>
                <w:sz w:val="12"/>
                <w:szCs w:val="12"/>
              </w:rPr>
              <w:t>Pollos</w:t>
            </w:r>
          </w:p>
        </w:tc>
        <w:tc>
          <w:tcPr>
            <w:tcW w:w="2268" w:type="dxa"/>
            <w:tcBorders>
              <w:right w:val="single" w:sz="4" w:space="0" w:color="auto"/>
            </w:tcBorders>
            <w:shd w:val="clear" w:color="auto" w:fill="D9D9D9"/>
            <w:hideMark/>
          </w:tcPr>
          <w:p w14:paraId="7C0D17A4" w14:textId="77777777" w:rsidR="002A4DDF" w:rsidRPr="00937C8B" w:rsidRDefault="002A4DDF" w:rsidP="009110ED">
            <w:pPr>
              <w:rPr>
                <w:rFonts w:ascii="Arial" w:hAnsi="Arial" w:cs="Arial"/>
                <w:sz w:val="12"/>
                <w:szCs w:val="12"/>
              </w:rPr>
            </w:pPr>
          </w:p>
        </w:tc>
      </w:tr>
      <w:tr w:rsidR="002A4DDF" w:rsidRPr="00937C8B" w14:paraId="19962231" w14:textId="77777777" w:rsidTr="00935676">
        <w:trPr>
          <w:cantSplit/>
        </w:trPr>
        <w:tc>
          <w:tcPr>
            <w:tcW w:w="1696" w:type="dxa"/>
            <w:tcBorders>
              <w:left w:val="single" w:sz="4" w:space="0" w:color="auto"/>
            </w:tcBorders>
            <w:shd w:val="clear" w:color="auto" w:fill="auto"/>
          </w:tcPr>
          <w:p w14:paraId="41BD84D2" w14:textId="77777777" w:rsidR="002A4DDF" w:rsidRPr="00937C8B" w:rsidRDefault="002A4DDF" w:rsidP="009110ED">
            <w:pPr>
              <w:rPr>
                <w:rFonts w:ascii="Arial" w:hAnsi="Arial" w:cs="Arial"/>
                <w:sz w:val="12"/>
                <w:szCs w:val="12"/>
              </w:rPr>
            </w:pPr>
          </w:p>
        </w:tc>
        <w:tc>
          <w:tcPr>
            <w:tcW w:w="1843" w:type="dxa"/>
            <w:shd w:val="clear" w:color="auto" w:fill="auto"/>
          </w:tcPr>
          <w:p w14:paraId="1E9D345F" w14:textId="77777777" w:rsidR="002A4DDF" w:rsidRPr="00937C8B" w:rsidRDefault="002A4DDF" w:rsidP="009110ED">
            <w:pPr>
              <w:rPr>
                <w:rFonts w:ascii="Arial" w:hAnsi="Arial" w:cs="Arial"/>
                <w:sz w:val="12"/>
                <w:szCs w:val="12"/>
              </w:rPr>
            </w:pPr>
          </w:p>
        </w:tc>
        <w:tc>
          <w:tcPr>
            <w:tcW w:w="2268" w:type="dxa"/>
            <w:shd w:val="clear" w:color="auto" w:fill="F2F2F2"/>
            <w:hideMark/>
          </w:tcPr>
          <w:p w14:paraId="0FEEF050" w14:textId="77777777" w:rsidR="002A4DDF" w:rsidRPr="00937C8B" w:rsidRDefault="002A4DDF" w:rsidP="009110ED">
            <w:pPr>
              <w:rPr>
                <w:rFonts w:ascii="Arial" w:hAnsi="Arial" w:cs="Arial"/>
                <w:sz w:val="12"/>
                <w:szCs w:val="12"/>
              </w:rPr>
            </w:pPr>
            <w:r>
              <w:rPr>
                <w:rFonts w:ascii="Arial" w:hAnsi="Arial"/>
                <w:sz w:val="12"/>
                <w:szCs w:val="12"/>
              </w:rPr>
              <w:t>Pozal de Gallinas</w:t>
            </w:r>
          </w:p>
        </w:tc>
        <w:tc>
          <w:tcPr>
            <w:tcW w:w="2268" w:type="dxa"/>
            <w:tcBorders>
              <w:right w:val="single" w:sz="4" w:space="0" w:color="auto"/>
            </w:tcBorders>
            <w:shd w:val="clear" w:color="auto" w:fill="D9D9D9"/>
            <w:hideMark/>
          </w:tcPr>
          <w:p w14:paraId="5C85F1B2" w14:textId="77777777" w:rsidR="002A4DDF" w:rsidRPr="00937C8B" w:rsidRDefault="002A4DDF" w:rsidP="009110ED">
            <w:pPr>
              <w:rPr>
                <w:rFonts w:ascii="Arial" w:hAnsi="Arial" w:cs="Arial"/>
                <w:sz w:val="12"/>
                <w:szCs w:val="12"/>
              </w:rPr>
            </w:pPr>
          </w:p>
        </w:tc>
      </w:tr>
      <w:tr w:rsidR="002A4DDF" w:rsidRPr="00937C8B" w14:paraId="3497F918" w14:textId="77777777" w:rsidTr="00935676">
        <w:trPr>
          <w:cantSplit/>
        </w:trPr>
        <w:tc>
          <w:tcPr>
            <w:tcW w:w="1696" w:type="dxa"/>
            <w:tcBorders>
              <w:left w:val="single" w:sz="4" w:space="0" w:color="auto"/>
            </w:tcBorders>
            <w:shd w:val="clear" w:color="auto" w:fill="auto"/>
          </w:tcPr>
          <w:p w14:paraId="2FAA7430" w14:textId="77777777" w:rsidR="002A4DDF" w:rsidRPr="00937C8B" w:rsidRDefault="002A4DDF" w:rsidP="009110ED">
            <w:pPr>
              <w:rPr>
                <w:rFonts w:ascii="Arial" w:hAnsi="Arial" w:cs="Arial"/>
                <w:sz w:val="12"/>
                <w:szCs w:val="12"/>
              </w:rPr>
            </w:pPr>
          </w:p>
        </w:tc>
        <w:tc>
          <w:tcPr>
            <w:tcW w:w="1843" w:type="dxa"/>
            <w:shd w:val="clear" w:color="auto" w:fill="auto"/>
          </w:tcPr>
          <w:p w14:paraId="39382CBB" w14:textId="77777777" w:rsidR="002A4DDF" w:rsidRPr="00937C8B" w:rsidRDefault="002A4DDF" w:rsidP="009110ED">
            <w:pPr>
              <w:rPr>
                <w:rFonts w:ascii="Arial" w:hAnsi="Arial" w:cs="Arial"/>
                <w:sz w:val="12"/>
                <w:szCs w:val="12"/>
              </w:rPr>
            </w:pPr>
          </w:p>
        </w:tc>
        <w:tc>
          <w:tcPr>
            <w:tcW w:w="2268" w:type="dxa"/>
            <w:shd w:val="clear" w:color="auto" w:fill="F2F2F2"/>
            <w:hideMark/>
          </w:tcPr>
          <w:p w14:paraId="3B18CCDD" w14:textId="77777777" w:rsidR="002A4DDF" w:rsidRPr="00937C8B" w:rsidRDefault="002A4DDF" w:rsidP="009110ED">
            <w:pPr>
              <w:rPr>
                <w:rFonts w:ascii="Arial" w:hAnsi="Arial" w:cs="Arial"/>
                <w:sz w:val="12"/>
                <w:szCs w:val="12"/>
              </w:rPr>
            </w:pPr>
            <w:r>
              <w:rPr>
                <w:rFonts w:ascii="Arial" w:hAnsi="Arial"/>
                <w:sz w:val="12"/>
                <w:szCs w:val="12"/>
              </w:rPr>
              <w:t>Pozaldez</w:t>
            </w:r>
          </w:p>
        </w:tc>
        <w:tc>
          <w:tcPr>
            <w:tcW w:w="2268" w:type="dxa"/>
            <w:tcBorders>
              <w:right w:val="single" w:sz="4" w:space="0" w:color="auto"/>
            </w:tcBorders>
            <w:shd w:val="clear" w:color="auto" w:fill="D9D9D9"/>
            <w:hideMark/>
          </w:tcPr>
          <w:p w14:paraId="41780656" w14:textId="77777777" w:rsidR="002A4DDF" w:rsidRPr="00937C8B" w:rsidRDefault="002A4DDF" w:rsidP="009110ED">
            <w:pPr>
              <w:rPr>
                <w:rFonts w:ascii="Arial" w:hAnsi="Arial" w:cs="Arial"/>
                <w:sz w:val="12"/>
                <w:szCs w:val="12"/>
              </w:rPr>
            </w:pPr>
          </w:p>
        </w:tc>
      </w:tr>
      <w:tr w:rsidR="002A4DDF" w:rsidRPr="00937C8B" w14:paraId="1E9CE2F4" w14:textId="77777777" w:rsidTr="00935676">
        <w:trPr>
          <w:cantSplit/>
        </w:trPr>
        <w:tc>
          <w:tcPr>
            <w:tcW w:w="1696" w:type="dxa"/>
            <w:tcBorders>
              <w:left w:val="single" w:sz="4" w:space="0" w:color="auto"/>
            </w:tcBorders>
            <w:shd w:val="clear" w:color="auto" w:fill="auto"/>
          </w:tcPr>
          <w:p w14:paraId="453BDE1E" w14:textId="77777777" w:rsidR="002A4DDF" w:rsidRPr="00937C8B" w:rsidRDefault="002A4DDF" w:rsidP="009110ED">
            <w:pPr>
              <w:rPr>
                <w:rFonts w:ascii="Arial" w:hAnsi="Arial" w:cs="Arial"/>
                <w:sz w:val="12"/>
                <w:szCs w:val="12"/>
              </w:rPr>
            </w:pPr>
          </w:p>
        </w:tc>
        <w:tc>
          <w:tcPr>
            <w:tcW w:w="1843" w:type="dxa"/>
            <w:shd w:val="clear" w:color="auto" w:fill="auto"/>
          </w:tcPr>
          <w:p w14:paraId="24C4FAEB" w14:textId="77777777" w:rsidR="002A4DDF" w:rsidRPr="00937C8B" w:rsidRDefault="002A4DDF" w:rsidP="009110ED">
            <w:pPr>
              <w:rPr>
                <w:rFonts w:ascii="Arial" w:hAnsi="Arial" w:cs="Arial"/>
                <w:sz w:val="12"/>
                <w:szCs w:val="12"/>
              </w:rPr>
            </w:pPr>
          </w:p>
        </w:tc>
        <w:tc>
          <w:tcPr>
            <w:tcW w:w="2268" w:type="dxa"/>
            <w:shd w:val="clear" w:color="auto" w:fill="F2F2F2"/>
            <w:hideMark/>
          </w:tcPr>
          <w:p w14:paraId="33DAD0EE" w14:textId="77777777" w:rsidR="002A4DDF" w:rsidRPr="00937C8B" w:rsidRDefault="002A4DDF" w:rsidP="009110ED">
            <w:pPr>
              <w:rPr>
                <w:rFonts w:ascii="Arial" w:hAnsi="Arial" w:cs="Arial"/>
                <w:sz w:val="12"/>
                <w:szCs w:val="12"/>
              </w:rPr>
            </w:pPr>
            <w:r>
              <w:rPr>
                <w:rFonts w:ascii="Arial" w:hAnsi="Arial"/>
                <w:sz w:val="12"/>
                <w:szCs w:val="12"/>
              </w:rPr>
              <w:t>Puras</w:t>
            </w:r>
          </w:p>
        </w:tc>
        <w:tc>
          <w:tcPr>
            <w:tcW w:w="2268" w:type="dxa"/>
            <w:tcBorders>
              <w:right w:val="single" w:sz="4" w:space="0" w:color="auto"/>
            </w:tcBorders>
            <w:shd w:val="clear" w:color="auto" w:fill="D9D9D9"/>
            <w:hideMark/>
          </w:tcPr>
          <w:p w14:paraId="6C8DFFD8" w14:textId="77777777" w:rsidR="002A4DDF" w:rsidRPr="00937C8B" w:rsidRDefault="002A4DDF" w:rsidP="009110ED">
            <w:pPr>
              <w:rPr>
                <w:rFonts w:ascii="Arial" w:hAnsi="Arial" w:cs="Arial"/>
                <w:sz w:val="12"/>
                <w:szCs w:val="12"/>
              </w:rPr>
            </w:pPr>
          </w:p>
        </w:tc>
      </w:tr>
      <w:tr w:rsidR="002A4DDF" w:rsidRPr="00937C8B" w14:paraId="63B280F7" w14:textId="77777777" w:rsidTr="00935676">
        <w:trPr>
          <w:cantSplit/>
        </w:trPr>
        <w:tc>
          <w:tcPr>
            <w:tcW w:w="1696" w:type="dxa"/>
            <w:tcBorders>
              <w:left w:val="single" w:sz="4" w:space="0" w:color="auto"/>
            </w:tcBorders>
            <w:shd w:val="clear" w:color="auto" w:fill="auto"/>
          </w:tcPr>
          <w:p w14:paraId="03BB6A42" w14:textId="77777777" w:rsidR="002A4DDF" w:rsidRPr="00937C8B" w:rsidRDefault="002A4DDF" w:rsidP="009110ED">
            <w:pPr>
              <w:rPr>
                <w:rFonts w:ascii="Arial" w:hAnsi="Arial" w:cs="Arial"/>
                <w:sz w:val="12"/>
                <w:szCs w:val="12"/>
              </w:rPr>
            </w:pPr>
          </w:p>
        </w:tc>
        <w:tc>
          <w:tcPr>
            <w:tcW w:w="1843" w:type="dxa"/>
            <w:shd w:val="clear" w:color="auto" w:fill="auto"/>
          </w:tcPr>
          <w:p w14:paraId="47E8219F" w14:textId="77777777" w:rsidR="002A4DDF" w:rsidRPr="00937C8B" w:rsidRDefault="002A4DDF" w:rsidP="009110ED">
            <w:pPr>
              <w:rPr>
                <w:rFonts w:ascii="Arial" w:hAnsi="Arial" w:cs="Arial"/>
                <w:sz w:val="12"/>
                <w:szCs w:val="12"/>
              </w:rPr>
            </w:pPr>
          </w:p>
        </w:tc>
        <w:tc>
          <w:tcPr>
            <w:tcW w:w="2268" w:type="dxa"/>
            <w:shd w:val="clear" w:color="auto" w:fill="F2F2F2"/>
            <w:hideMark/>
          </w:tcPr>
          <w:p w14:paraId="2F5E9AB8" w14:textId="77777777" w:rsidR="002A4DDF" w:rsidRPr="00937C8B" w:rsidRDefault="002A4DDF" w:rsidP="009110ED">
            <w:pPr>
              <w:rPr>
                <w:rFonts w:ascii="Arial" w:hAnsi="Arial" w:cs="Arial"/>
                <w:sz w:val="12"/>
                <w:szCs w:val="12"/>
              </w:rPr>
            </w:pPr>
            <w:r>
              <w:rPr>
                <w:rFonts w:ascii="Arial" w:hAnsi="Arial"/>
                <w:sz w:val="12"/>
                <w:szCs w:val="12"/>
              </w:rPr>
              <w:t>Quintanilla de Onésimo</w:t>
            </w:r>
          </w:p>
        </w:tc>
        <w:tc>
          <w:tcPr>
            <w:tcW w:w="2268" w:type="dxa"/>
            <w:tcBorders>
              <w:right w:val="single" w:sz="4" w:space="0" w:color="auto"/>
            </w:tcBorders>
            <w:shd w:val="clear" w:color="auto" w:fill="D9D9D9"/>
            <w:hideMark/>
          </w:tcPr>
          <w:p w14:paraId="5B624308" w14:textId="77777777" w:rsidR="002A4DDF" w:rsidRPr="00937C8B" w:rsidRDefault="002A4DDF" w:rsidP="009110ED">
            <w:pPr>
              <w:rPr>
                <w:rFonts w:ascii="Arial" w:hAnsi="Arial" w:cs="Arial"/>
                <w:sz w:val="12"/>
                <w:szCs w:val="12"/>
              </w:rPr>
            </w:pPr>
          </w:p>
        </w:tc>
      </w:tr>
      <w:tr w:rsidR="002A4DDF" w:rsidRPr="00937C8B" w14:paraId="41643E15" w14:textId="77777777" w:rsidTr="00935676">
        <w:trPr>
          <w:cantSplit/>
        </w:trPr>
        <w:tc>
          <w:tcPr>
            <w:tcW w:w="1696" w:type="dxa"/>
            <w:tcBorders>
              <w:left w:val="single" w:sz="4" w:space="0" w:color="auto"/>
            </w:tcBorders>
            <w:shd w:val="clear" w:color="auto" w:fill="auto"/>
          </w:tcPr>
          <w:p w14:paraId="520A759F" w14:textId="77777777" w:rsidR="002A4DDF" w:rsidRPr="00937C8B" w:rsidRDefault="002A4DDF" w:rsidP="009110ED">
            <w:pPr>
              <w:rPr>
                <w:rFonts w:ascii="Arial" w:hAnsi="Arial" w:cs="Arial"/>
                <w:sz w:val="12"/>
                <w:szCs w:val="12"/>
              </w:rPr>
            </w:pPr>
          </w:p>
        </w:tc>
        <w:tc>
          <w:tcPr>
            <w:tcW w:w="1843" w:type="dxa"/>
            <w:shd w:val="clear" w:color="auto" w:fill="auto"/>
          </w:tcPr>
          <w:p w14:paraId="764F3232" w14:textId="77777777" w:rsidR="002A4DDF" w:rsidRPr="00937C8B" w:rsidRDefault="002A4DDF" w:rsidP="009110ED">
            <w:pPr>
              <w:rPr>
                <w:rFonts w:ascii="Arial" w:hAnsi="Arial" w:cs="Arial"/>
                <w:sz w:val="12"/>
                <w:szCs w:val="12"/>
              </w:rPr>
            </w:pPr>
          </w:p>
        </w:tc>
        <w:tc>
          <w:tcPr>
            <w:tcW w:w="2268" w:type="dxa"/>
            <w:shd w:val="clear" w:color="auto" w:fill="F2F2F2"/>
            <w:hideMark/>
          </w:tcPr>
          <w:p w14:paraId="57459569" w14:textId="77777777" w:rsidR="002A4DDF" w:rsidRPr="00937C8B" w:rsidRDefault="002A4DDF" w:rsidP="009110ED">
            <w:pPr>
              <w:rPr>
                <w:rFonts w:ascii="Arial" w:hAnsi="Arial" w:cs="Arial"/>
                <w:sz w:val="12"/>
                <w:szCs w:val="12"/>
              </w:rPr>
            </w:pPr>
            <w:r>
              <w:rPr>
                <w:rFonts w:ascii="Arial" w:hAnsi="Arial"/>
                <w:sz w:val="12"/>
                <w:szCs w:val="12"/>
              </w:rPr>
              <w:t>Rábano</w:t>
            </w:r>
          </w:p>
        </w:tc>
        <w:tc>
          <w:tcPr>
            <w:tcW w:w="2268" w:type="dxa"/>
            <w:tcBorders>
              <w:right w:val="single" w:sz="4" w:space="0" w:color="auto"/>
            </w:tcBorders>
            <w:shd w:val="clear" w:color="auto" w:fill="D9D9D9"/>
            <w:hideMark/>
          </w:tcPr>
          <w:p w14:paraId="2381B0B1" w14:textId="77777777" w:rsidR="002A4DDF" w:rsidRPr="00937C8B" w:rsidRDefault="002A4DDF" w:rsidP="009110ED">
            <w:pPr>
              <w:rPr>
                <w:rFonts w:ascii="Arial" w:hAnsi="Arial" w:cs="Arial"/>
                <w:sz w:val="12"/>
                <w:szCs w:val="12"/>
              </w:rPr>
            </w:pPr>
          </w:p>
        </w:tc>
      </w:tr>
      <w:tr w:rsidR="002A4DDF" w:rsidRPr="00937C8B" w14:paraId="064A79C1" w14:textId="77777777" w:rsidTr="00935676">
        <w:trPr>
          <w:cantSplit/>
        </w:trPr>
        <w:tc>
          <w:tcPr>
            <w:tcW w:w="1696" w:type="dxa"/>
            <w:tcBorders>
              <w:left w:val="single" w:sz="4" w:space="0" w:color="auto"/>
            </w:tcBorders>
            <w:shd w:val="clear" w:color="auto" w:fill="auto"/>
          </w:tcPr>
          <w:p w14:paraId="3DAE85EB" w14:textId="77777777" w:rsidR="002A4DDF" w:rsidRPr="00937C8B" w:rsidRDefault="002A4DDF" w:rsidP="009110ED">
            <w:pPr>
              <w:rPr>
                <w:rFonts w:ascii="Arial" w:hAnsi="Arial" w:cs="Arial"/>
                <w:sz w:val="12"/>
                <w:szCs w:val="12"/>
              </w:rPr>
            </w:pPr>
          </w:p>
        </w:tc>
        <w:tc>
          <w:tcPr>
            <w:tcW w:w="1843" w:type="dxa"/>
            <w:shd w:val="clear" w:color="auto" w:fill="auto"/>
          </w:tcPr>
          <w:p w14:paraId="6B545D7D" w14:textId="77777777" w:rsidR="002A4DDF" w:rsidRPr="00937C8B" w:rsidRDefault="002A4DDF" w:rsidP="009110ED">
            <w:pPr>
              <w:rPr>
                <w:rFonts w:ascii="Arial" w:hAnsi="Arial" w:cs="Arial"/>
                <w:sz w:val="12"/>
                <w:szCs w:val="12"/>
              </w:rPr>
            </w:pPr>
          </w:p>
        </w:tc>
        <w:tc>
          <w:tcPr>
            <w:tcW w:w="2268" w:type="dxa"/>
            <w:shd w:val="clear" w:color="auto" w:fill="F2F2F2"/>
            <w:hideMark/>
          </w:tcPr>
          <w:p w14:paraId="1E936B70" w14:textId="77777777" w:rsidR="002A4DDF" w:rsidRPr="00937C8B" w:rsidRDefault="002A4DDF" w:rsidP="009110ED">
            <w:pPr>
              <w:rPr>
                <w:rFonts w:ascii="Arial" w:hAnsi="Arial" w:cs="Arial"/>
                <w:sz w:val="12"/>
                <w:szCs w:val="12"/>
              </w:rPr>
            </w:pPr>
            <w:r>
              <w:rPr>
                <w:rFonts w:ascii="Arial" w:hAnsi="Arial"/>
                <w:sz w:val="12"/>
                <w:szCs w:val="12"/>
              </w:rPr>
              <w:t>Ramiro</w:t>
            </w:r>
          </w:p>
        </w:tc>
        <w:tc>
          <w:tcPr>
            <w:tcW w:w="2268" w:type="dxa"/>
            <w:tcBorders>
              <w:right w:val="single" w:sz="4" w:space="0" w:color="auto"/>
            </w:tcBorders>
            <w:shd w:val="clear" w:color="auto" w:fill="D9D9D9"/>
            <w:hideMark/>
          </w:tcPr>
          <w:p w14:paraId="188D783D" w14:textId="77777777" w:rsidR="002A4DDF" w:rsidRPr="00937C8B" w:rsidRDefault="002A4DDF" w:rsidP="009110ED">
            <w:pPr>
              <w:rPr>
                <w:rFonts w:ascii="Arial" w:hAnsi="Arial" w:cs="Arial"/>
                <w:sz w:val="12"/>
                <w:szCs w:val="12"/>
              </w:rPr>
            </w:pPr>
          </w:p>
        </w:tc>
      </w:tr>
      <w:tr w:rsidR="002A4DDF" w:rsidRPr="00937C8B" w14:paraId="4BF84B47" w14:textId="77777777" w:rsidTr="00935676">
        <w:trPr>
          <w:cantSplit/>
        </w:trPr>
        <w:tc>
          <w:tcPr>
            <w:tcW w:w="1696" w:type="dxa"/>
            <w:tcBorders>
              <w:left w:val="single" w:sz="4" w:space="0" w:color="auto"/>
            </w:tcBorders>
            <w:shd w:val="clear" w:color="auto" w:fill="auto"/>
          </w:tcPr>
          <w:p w14:paraId="722DA06D" w14:textId="77777777" w:rsidR="002A4DDF" w:rsidRPr="00937C8B" w:rsidRDefault="002A4DDF" w:rsidP="009110ED">
            <w:pPr>
              <w:rPr>
                <w:rFonts w:ascii="Arial" w:hAnsi="Arial" w:cs="Arial"/>
                <w:sz w:val="12"/>
                <w:szCs w:val="12"/>
              </w:rPr>
            </w:pPr>
          </w:p>
        </w:tc>
        <w:tc>
          <w:tcPr>
            <w:tcW w:w="1843" w:type="dxa"/>
            <w:shd w:val="clear" w:color="auto" w:fill="auto"/>
          </w:tcPr>
          <w:p w14:paraId="5B706218" w14:textId="77777777" w:rsidR="002A4DDF" w:rsidRPr="00937C8B" w:rsidRDefault="002A4DDF" w:rsidP="009110ED">
            <w:pPr>
              <w:rPr>
                <w:rFonts w:ascii="Arial" w:hAnsi="Arial" w:cs="Arial"/>
                <w:sz w:val="12"/>
                <w:szCs w:val="12"/>
              </w:rPr>
            </w:pPr>
          </w:p>
        </w:tc>
        <w:tc>
          <w:tcPr>
            <w:tcW w:w="2268" w:type="dxa"/>
            <w:shd w:val="clear" w:color="auto" w:fill="F2F2F2"/>
            <w:hideMark/>
          </w:tcPr>
          <w:p w14:paraId="01700D29" w14:textId="77777777" w:rsidR="002A4DDF" w:rsidRPr="00937C8B" w:rsidRDefault="002A4DDF" w:rsidP="009110ED">
            <w:pPr>
              <w:rPr>
                <w:rFonts w:ascii="Arial" w:hAnsi="Arial" w:cs="Arial"/>
                <w:sz w:val="12"/>
                <w:szCs w:val="12"/>
              </w:rPr>
            </w:pPr>
            <w:r>
              <w:rPr>
                <w:rFonts w:ascii="Arial" w:hAnsi="Arial"/>
                <w:sz w:val="12"/>
                <w:szCs w:val="12"/>
              </w:rPr>
              <w:t>Roturas</w:t>
            </w:r>
          </w:p>
        </w:tc>
        <w:tc>
          <w:tcPr>
            <w:tcW w:w="2268" w:type="dxa"/>
            <w:tcBorders>
              <w:right w:val="single" w:sz="4" w:space="0" w:color="auto"/>
            </w:tcBorders>
            <w:shd w:val="clear" w:color="auto" w:fill="D9D9D9"/>
            <w:hideMark/>
          </w:tcPr>
          <w:p w14:paraId="42B59A96" w14:textId="77777777" w:rsidR="002A4DDF" w:rsidRPr="00937C8B" w:rsidRDefault="002A4DDF" w:rsidP="009110ED">
            <w:pPr>
              <w:rPr>
                <w:rFonts w:ascii="Arial" w:hAnsi="Arial" w:cs="Arial"/>
                <w:sz w:val="12"/>
                <w:szCs w:val="12"/>
              </w:rPr>
            </w:pPr>
          </w:p>
        </w:tc>
      </w:tr>
      <w:tr w:rsidR="002A4DDF" w:rsidRPr="00937C8B" w14:paraId="091F7522" w14:textId="77777777" w:rsidTr="00935676">
        <w:trPr>
          <w:cantSplit/>
        </w:trPr>
        <w:tc>
          <w:tcPr>
            <w:tcW w:w="1696" w:type="dxa"/>
            <w:tcBorders>
              <w:left w:val="single" w:sz="4" w:space="0" w:color="auto"/>
            </w:tcBorders>
            <w:shd w:val="clear" w:color="auto" w:fill="auto"/>
          </w:tcPr>
          <w:p w14:paraId="0F6CBF7C" w14:textId="77777777" w:rsidR="002A4DDF" w:rsidRPr="00937C8B" w:rsidRDefault="002A4DDF" w:rsidP="009110ED">
            <w:pPr>
              <w:rPr>
                <w:rFonts w:ascii="Arial" w:hAnsi="Arial" w:cs="Arial"/>
                <w:sz w:val="12"/>
                <w:szCs w:val="12"/>
              </w:rPr>
            </w:pPr>
          </w:p>
        </w:tc>
        <w:tc>
          <w:tcPr>
            <w:tcW w:w="1843" w:type="dxa"/>
            <w:shd w:val="clear" w:color="auto" w:fill="auto"/>
          </w:tcPr>
          <w:p w14:paraId="59FA9F9C" w14:textId="77777777" w:rsidR="002A4DDF" w:rsidRPr="00937C8B" w:rsidRDefault="002A4DDF" w:rsidP="009110ED">
            <w:pPr>
              <w:rPr>
                <w:rFonts w:ascii="Arial" w:hAnsi="Arial" w:cs="Arial"/>
                <w:sz w:val="12"/>
                <w:szCs w:val="12"/>
              </w:rPr>
            </w:pPr>
          </w:p>
        </w:tc>
        <w:tc>
          <w:tcPr>
            <w:tcW w:w="2268" w:type="dxa"/>
            <w:shd w:val="clear" w:color="auto" w:fill="F2F2F2"/>
            <w:hideMark/>
          </w:tcPr>
          <w:p w14:paraId="7EC9F9E9" w14:textId="77777777" w:rsidR="002A4DDF" w:rsidRPr="00937C8B" w:rsidRDefault="002A4DDF" w:rsidP="009110ED">
            <w:pPr>
              <w:rPr>
                <w:rFonts w:ascii="Arial" w:hAnsi="Arial" w:cs="Arial"/>
                <w:sz w:val="12"/>
                <w:szCs w:val="12"/>
              </w:rPr>
            </w:pPr>
            <w:r>
              <w:rPr>
                <w:rFonts w:ascii="Arial" w:hAnsi="Arial"/>
                <w:sz w:val="12"/>
                <w:szCs w:val="12"/>
              </w:rPr>
              <w:t>Rubí de Bracamonte</w:t>
            </w:r>
          </w:p>
        </w:tc>
        <w:tc>
          <w:tcPr>
            <w:tcW w:w="2268" w:type="dxa"/>
            <w:tcBorders>
              <w:right w:val="single" w:sz="4" w:space="0" w:color="auto"/>
            </w:tcBorders>
            <w:shd w:val="clear" w:color="auto" w:fill="D9D9D9"/>
            <w:hideMark/>
          </w:tcPr>
          <w:p w14:paraId="25856279" w14:textId="77777777" w:rsidR="002A4DDF" w:rsidRPr="00937C8B" w:rsidRDefault="002A4DDF" w:rsidP="009110ED">
            <w:pPr>
              <w:rPr>
                <w:rFonts w:ascii="Arial" w:hAnsi="Arial" w:cs="Arial"/>
                <w:sz w:val="12"/>
                <w:szCs w:val="12"/>
              </w:rPr>
            </w:pPr>
          </w:p>
        </w:tc>
      </w:tr>
      <w:tr w:rsidR="002A4DDF" w:rsidRPr="00937C8B" w14:paraId="50197FA8" w14:textId="77777777" w:rsidTr="00935676">
        <w:trPr>
          <w:cantSplit/>
        </w:trPr>
        <w:tc>
          <w:tcPr>
            <w:tcW w:w="1696" w:type="dxa"/>
            <w:tcBorders>
              <w:left w:val="single" w:sz="4" w:space="0" w:color="auto"/>
            </w:tcBorders>
            <w:shd w:val="clear" w:color="auto" w:fill="auto"/>
          </w:tcPr>
          <w:p w14:paraId="16DD3D2C" w14:textId="77777777" w:rsidR="002A4DDF" w:rsidRPr="00937C8B" w:rsidRDefault="002A4DDF" w:rsidP="009110ED">
            <w:pPr>
              <w:rPr>
                <w:rFonts w:ascii="Arial" w:hAnsi="Arial" w:cs="Arial"/>
                <w:sz w:val="12"/>
                <w:szCs w:val="12"/>
              </w:rPr>
            </w:pPr>
          </w:p>
        </w:tc>
        <w:tc>
          <w:tcPr>
            <w:tcW w:w="1843" w:type="dxa"/>
            <w:shd w:val="clear" w:color="auto" w:fill="auto"/>
          </w:tcPr>
          <w:p w14:paraId="40806DB8" w14:textId="77777777" w:rsidR="002A4DDF" w:rsidRPr="00937C8B" w:rsidRDefault="002A4DDF" w:rsidP="009110ED">
            <w:pPr>
              <w:rPr>
                <w:rFonts w:ascii="Arial" w:hAnsi="Arial" w:cs="Arial"/>
                <w:sz w:val="12"/>
                <w:szCs w:val="12"/>
              </w:rPr>
            </w:pPr>
          </w:p>
        </w:tc>
        <w:tc>
          <w:tcPr>
            <w:tcW w:w="2268" w:type="dxa"/>
            <w:shd w:val="clear" w:color="auto" w:fill="F2F2F2"/>
            <w:hideMark/>
          </w:tcPr>
          <w:p w14:paraId="19FDF02E" w14:textId="77777777" w:rsidR="002A4DDF" w:rsidRPr="00937C8B" w:rsidRDefault="002A4DDF" w:rsidP="009110ED">
            <w:pPr>
              <w:rPr>
                <w:rFonts w:ascii="Arial" w:hAnsi="Arial" w:cs="Arial"/>
                <w:sz w:val="12"/>
                <w:szCs w:val="12"/>
              </w:rPr>
            </w:pPr>
            <w:r>
              <w:rPr>
                <w:rFonts w:ascii="Arial" w:hAnsi="Arial"/>
                <w:sz w:val="12"/>
                <w:szCs w:val="12"/>
              </w:rPr>
              <w:t>Rueda</w:t>
            </w:r>
          </w:p>
        </w:tc>
        <w:tc>
          <w:tcPr>
            <w:tcW w:w="2268" w:type="dxa"/>
            <w:tcBorders>
              <w:right w:val="single" w:sz="4" w:space="0" w:color="auto"/>
            </w:tcBorders>
            <w:shd w:val="clear" w:color="auto" w:fill="D9D9D9"/>
            <w:hideMark/>
          </w:tcPr>
          <w:p w14:paraId="3DF3E15D" w14:textId="77777777" w:rsidR="002A4DDF" w:rsidRPr="00937C8B" w:rsidRDefault="002A4DDF" w:rsidP="009110ED">
            <w:pPr>
              <w:rPr>
                <w:rFonts w:ascii="Arial" w:hAnsi="Arial" w:cs="Arial"/>
                <w:sz w:val="12"/>
                <w:szCs w:val="12"/>
              </w:rPr>
            </w:pPr>
          </w:p>
        </w:tc>
      </w:tr>
      <w:tr w:rsidR="002A4DDF" w:rsidRPr="00937C8B" w14:paraId="1774C8D5" w14:textId="77777777" w:rsidTr="00935676">
        <w:trPr>
          <w:cantSplit/>
        </w:trPr>
        <w:tc>
          <w:tcPr>
            <w:tcW w:w="1696" w:type="dxa"/>
            <w:tcBorders>
              <w:left w:val="single" w:sz="4" w:space="0" w:color="auto"/>
            </w:tcBorders>
            <w:shd w:val="clear" w:color="auto" w:fill="auto"/>
          </w:tcPr>
          <w:p w14:paraId="7D4325D2" w14:textId="77777777" w:rsidR="002A4DDF" w:rsidRPr="00937C8B" w:rsidRDefault="002A4DDF" w:rsidP="009110ED">
            <w:pPr>
              <w:rPr>
                <w:rFonts w:ascii="Arial" w:hAnsi="Arial" w:cs="Arial"/>
                <w:sz w:val="12"/>
                <w:szCs w:val="12"/>
              </w:rPr>
            </w:pPr>
          </w:p>
        </w:tc>
        <w:tc>
          <w:tcPr>
            <w:tcW w:w="1843" w:type="dxa"/>
            <w:shd w:val="clear" w:color="auto" w:fill="auto"/>
          </w:tcPr>
          <w:p w14:paraId="140EE8AC" w14:textId="77777777" w:rsidR="002A4DDF" w:rsidRPr="00937C8B" w:rsidRDefault="002A4DDF" w:rsidP="009110ED">
            <w:pPr>
              <w:rPr>
                <w:rFonts w:ascii="Arial" w:hAnsi="Arial" w:cs="Arial"/>
                <w:sz w:val="12"/>
                <w:szCs w:val="12"/>
              </w:rPr>
            </w:pPr>
          </w:p>
        </w:tc>
        <w:tc>
          <w:tcPr>
            <w:tcW w:w="2268" w:type="dxa"/>
            <w:shd w:val="clear" w:color="auto" w:fill="F2F2F2"/>
            <w:hideMark/>
          </w:tcPr>
          <w:p w14:paraId="1B00B9DF" w14:textId="77777777" w:rsidR="002A4DDF" w:rsidRPr="00937C8B" w:rsidRDefault="002A4DDF" w:rsidP="009110ED">
            <w:pPr>
              <w:rPr>
                <w:rFonts w:ascii="Arial" w:hAnsi="Arial" w:cs="Arial"/>
                <w:sz w:val="12"/>
                <w:szCs w:val="12"/>
              </w:rPr>
            </w:pPr>
            <w:r>
              <w:rPr>
                <w:rFonts w:ascii="Arial" w:hAnsi="Arial"/>
                <w:sz w:val="12"/>
                <w:szCs w:val="12"/>
              </w:rPr>
              <w:t>Salvador de Zapardiel</w:t>
            </w:r>
          </w:p>
        </w:tc>
        <w:tc>
          <w:tcPr>
            <w:tcW w:w="2268" w:type="dxa"/>
            <w:tcBorders>
              <w:right w:val="single" w:sz="4" w:space="0" w:color="auto"/>
            </w:tcBorders>
            <w:shd w:val="clear" w:color="auto" w:fill="D9D9D9"/>
            <w:hideMark/>
          </w:tcPr>
          <w:p w14:paraId="05E75A03" w14:textId="77777777" w:rsidR="002A4DDF" w:rsidRPr="00937C8B" w:rsidRDefault="002A4DDF" w:rsidP="009110ED">
            <w:pPr>
              <w:rPr>
                <w:rFonts w:ascii="Arial" w:hAnsi="Arial" w:cs="Arial"/>
                <w:sz w:val="12"/>
                <w:szCs w:val="12"/>
              </w:rPr>
            </w:pPr>
          </w:p>
        </w:tc>
      </w:tr>
      <w:tr w:rsidR="002A4DDF" w:rsidRPr="00937C8B" w14:paraId="718756A6" w14:textId="77777777" w:rsidTr="00935676">
        <w:trPr>
          <w:cantSplit/>
        </w:trPr>
        <w:tc>
          <w:tcPr>
            <w:tcW w:w="1696" w:type="dxa"/>
            <w:tcBorders>
              <w:left w:val="single" w:sz="4" w:space="0" w:color="auto"/>
            </w:tcBorders>
            <w:shd w:val="clear" w:color="auto" w:fill="auto"/>
          </w:tcPr>
          <w:p w14:paraId="76495F81" w14:textId="77777777" w:rsidR="002A4DDF" w:rsidRPr="00937C8B" w:rsidRDefault="002A4DDF" w:rsidP="009110ED">
            <w:pPr>
              <w:rPr>
                <w:rFonts w:ascii="Arial" w:hAnsi="Arial" w:cs="Arial"/>
                <w:sz w:val="12"/>
                <w:szCs w:val="12"/>
              </w:rPr>
            </w:pPr>
          </w:p>
        </w:tc>
        <w:tc>
          <w:tcPr>
            <w:tcW w:w="1843" w:type="dxa"/>
            <w:shd w:val="clear" w:color="auto" w:fill="auto"/>
          </w:tcPr>
          <w:p w14:paraId="77E1C6AE" w14:textId="77777777" w:rsidR="002A4DDF" w:rsidRPr="00937C8B" w:rsidRDefault="002A4DDF" w:rsidP="009110ED">
            <w:pPr>
              <w:rPr>
                <w:rFonts w:ascii="Arial" w:hAnsi="Arial" w:cs="Arial"/>
                <w:sz w:val="12"/>
                <w:szCs w:val="12"/>
              </w:rPr>
            </w:pPr>
          </w:p>
        </w:tc>
        <w:tc>
          <w:tcPr>
            <w:tcW w:w="2268" w:type="dxa"/>
            <w:shd w:val="clear" w:color="auto" w:fill="F2F2F2"/>
            <w:hideMark/>
          </w:tcPr>
          <w:p w14:paraId="2B8FF3ED" w14:textId="77777777" w:rsidR="002A4DDF" w:rsidRPr="00937C8B" w:rsidRDefault="002A4DDF" w:rsidP="009110ED">
            <w:pPr>
              <w:rPr>
                <w:rFonts w:ascii="Arial" w:hAnsi="Arial" w:cs="Arial"/>
                <w:sz w:val="12"/>
                <w:szCs w:val="12"/>
              </w:rPr>
            </w:pPr>
            <w:r>
              <w:rPr>
                <w:rFonts w:ascii="Arial" w:hAnsi="Arial"/>
                <w:sz w:val="12"/>
                <w:szCs w:val="12"/>
              </w:rPr>
              <w:t>San Miguel del Pino</w:t>
            </w:r>
          </w:p>
        </w:tc>
        <w:tc>
          <w:tcPr>
            <w:tcW w:w="2268" w:type="dxa"/>
            <w:tcBorders>
              <w:right w:val="single" w:sz="4" w:space="0" w:color="auto"/>
            </w:tcBorders>
            <w:shd w:val="clear" w:color="auto" w:fill="D9D9D9"/>
            <w:hideMark/>
          </w:tcPr>
          <w:p w14:paraId="4C8DA888" w14:textId="77777777" w:rsidR="002A4DDF" w:rsidRPr="00937C8B" w:rsidRDefault="002A4DDF" w:rsidP="009110ED">
            <w:pPr>
              <w:rPr>
                <w:rFonts w:ascii="Arial" w:hAnsi="Arial" w:cs="Arial"/>
                <w:sz w:val="12"/>
                <w:szCs w:val="12"/>
              </w:rPr>
            </w:pPr>
          </w:p>
        </w:tc>
      </w:tr>
      <w:tr w:rsidR="002A4DDF" w:rsidRPr="00937C8B" w14:paraId="31D1E531" w14:textId="77777777" w:rsidTr="00935676">
        <w:trPr>
          <w:cantSplit/>
        </w:trPr>
        <w:tc>
          <w:tcPr>
            <w:tcW w:w="1696" w:type="dxa"/>
            <w:tcBorders>
              <w:left w:val="single" w:sz="4" w:space="0" w:color="auto"/>
            </w:tcBorders>
            <w:shd w:val="clear" w:color="auto" w:fill="auto"/>
          </w:tcPr>
          <w:p w14:paraId="70141810" w14:textId="77777777" w:rsidR="002A4DDF" w:rsidRPr="00937C8B" w:rsidRDefault="002A4DDF" w:rsidP="009110ED">
            <w:pPr>
              <w:rPr>
                <w:rFonts w:ascii="Arial" w:hAnsi="Arial" w:cs="Arial"/>
                <w:sz w:val="12"/>
                <w:szCs w:val="12"/>
              </w:rPr>
            </w:pPr>
          </w:p>
        </w:tc>
        <w:tc>
          <w:tcPr>
            <w:tcW w:w="1843" w:type="dxa"/>
            <w:shd w:val="clear" w:color="auto" w:fill="auto"/>
          </w:tcPr>
          <w:p w14:paraId="4DEBFE18" w14:textId="77777777" w:rsidR="002A4DDF" w:rsidRPr="00937C8B" w:rsidRDefault="002A4DDF" w:rsidP="009110ED">
            <w:pPr>
              <w:rPr>
                <w:rFonts w:ascii="Arial" w:hAnsi="Arial" w:cs="Arial"/>
                <w:sz w:val="12"/>
                <w:szCs w:val="12"/>
              </w:rPr>
            </w:pPr>
          </w:p>
        </w:tc>
        <w:tc>
          <w:tcPr>
            <w:tcW w:w="2268" w:type="dxa"/>
            <w:shd w:val="clear" w:color="auto" w:fill="F2F2F2"/>
            <w:hideMark/>
          </w:tcPr>
          <w:p w14:paraId="717FC84A" w14:textId="77777777" w:rsidR="002A4DDF" w:rsidRPr="00937C8B" w:rsidRDefault="002A4DDF" w:rsidP="009110ED">
            <w:pPr>
              <w:rPr>
                <w:rFonts w:ascii="Arial" w:hAnsi="Arial" w:cs="Arial"/>
                <w:sz w:val="12"/>
                <w:szCs w:val="12"/>
              </w:rPr>
            </w:pPr>
            <w:r>
              <w:rPr>
                <w:rFonts w:ascii="Arial" w:hAnsi="Arial"/>
                <w:sz w:val="12"/>
                <w:szCs w:val="12"/>
              </w:rPr>
              <w:t>San Pablo de la Moraleja</w:t>
            </w:r>
          </w:p>
        </w:tc>
        <w:tc>
          <w:tcPr>
            <w:tcW w:w="2268" w:type="dxa"/>
            <w:tcBorders>
              <w:right w:val="single" w:sz="4" w:space="0" w:color="auto"/>
            </w:tcBorders>
            <w:shd w:val="clear" w:color="auto" w:fill="D9D9D9"/>
            <w:hideMark/>
          </w:tcPr>
          <w:p w14:paraId="4E33BC76" w14:textId="77777777" w:rsidR="002A4DDF" w:rsidRPr="00937C8B" w:rsidRDefault="002A4DDF" w:rsidP="009110ED">
            <w:pPr>
              <w:rPr>
                <w:rFonts w:ascii="Arial" w:hAnsi="Arial" w:cs="Arial"/>
                <w:sz w:val="12"/>
                <w:szCs w:val="12"/>
              </w:rPr>
            </w:pPr>
          </w:p>
        </w:tc>
      </w:tr>
      <w:tr w:rsidR="002A4DDF" w:rsidRPr="00937C8B" w14:paraId="54BA4BFD" w14:textId="77777777" w:rsidTr="00935676">
        <w:trPr>
          <w:cantSplit/>
        </w:trPr>
        <w:tc>
          <w:tcPr>
            <w:tcW w:w="1696" w:type="dxa"/>
            <w:tcBorders>
              <w:left w:val="single" w:sz="4" w:space="0" w:color="auto"/>
            </w:tcBorders>
            <w:shd w:val="clear" w:color="auto" w:fill="auto"/>
          </w:tcPr>
          <w:p w14:paraId="5C5258F9" w14:textId="77777777" w:rsidR="002A4DDF" w:rsidRPr="00937C8B" w:rsidRDefault="002A4DDF" w:rsidP="009110ED">
            <w:pPr>
              <w:rPr>
                <w:rFonts w:ascii="Arial" w:hAnsi="Arial" w:cs="Arial"/>
                <w:sz w:val="12"/>
                <w:szCs w:val="12"/>
              </w:rPr>
            </w:pPr>
          </w:p>
        </w:tc>
        <w:tc>
          <w:tcPr>
            <w:tcW w:w="1843" w:type="dxa"/>
            <w:shd w:val="clear" w:color="auto" w:fill="auto"/>
          </w:tcPr>
          <w:p w14:paraId="5E2C2FEE" w14:textId="77777777" w:rsidR="002A4DDF" w:rsidRPr="00937C8B" w:rsidRDefault="002A4DDF" w:rsidP="009110ED">
            <w:pPr>
              <w:rPr>
                <w:rFonts w:ascii="Arial" w:hAnsi="Arial" w:cs="Arial"/>
                <w:sz w:val="12"/>
                <w:szCs w:val="12"/>
              </w:rPr>
            </w:pPr>
          </w:p>
        </w:tc>
        <w:tc>
          <w:tcPr>
            <w:tcW w:w="2268" w:type="dxa"/>
            <w:shd w:val="clear" w:color="auto" w:fill="F2F2F2"/>
            <w:hideMark/>
          </w:tcPr>
          <w:p w14:paraId="6037B7BE" w14:textId="77777777" w:rsidR="002A4DDF" w:rsidRPr="00937C8B" w:rsidRDefault="002A4DDF" w:rsidP="009110ED">
            <w:pPr>
              <w:rPr>
                <w:rFonts w:ascii="Arial" w:hAnsi="Arial" w:cs="Arial"/>
                <w:sz w:val="12"/>
                <w:szCs w:val="12"/>
              </w:rPr>
            </w:pPr>
            <w:r>
              <w:rPr>
                <w:rFonts w:ascii="Arial" w:hAnsi="Arial"/>
                <w:sz w:val="12"/>
                <w:szCs w:val="12"/>
              </w:rPr>
              <w:t>San Román de Hornija</w:t>
            </w:r>
          </w:p>
        </w:tc>
        <w:tc>
          <w:tcPr>
            <w:tcW w:w="2268" w:type="dxa"/>
            <w:tcBorders>
              <w:right w:val="single" w:sz="4" w:space="0" w:color="auto"/>
            </w:tcBorders>
            <w:shd w:val="clear" w:color="auto" w:fill="D9D9D9"/>
            <w:hideMark/>
          </w:tcPr>
          <w:p w14:paraId="5490DEA5" w14:textId="77777777" w:rsidR="002A4DDF" w:rsidRPr="00937C8B" w:rsidRDefault="002A4DDF" w:rsidP="009110ED">
            <w:pPr>
              <w:rPr>
                <w:rFonts w:ascii="Arial" w:hAnsi="Arial" w:cs="Arial"/>
                <w:sz w:val="12"/>
                <w:szCs w:val="12"/>
              </w:rPr>
            </w:pPr>
          </w:p>
        </w:tc>
      </w:tr>
      <w:tr w:rsidR="002A4DDF" w:rsidRPr="00937C8B" w14:paraId="5733D56D" w14:textId="77777777" w:rsidTr="00935676">
        <w:trPr>
          <w:cantSplit/>
        </w:trPr>
        <w:tc>
          <w:tcPr>
            <w:tcW w:w="1696" w:type="dxa"/>
            <w:tcBorders>
              <w:left w:val="single" w:sz="4" w:space="0" w:color="auto"/>
            </w:tcBorders>
            <w:shd w:val="clear" w:color="auto" w:fill="auto"/>
          </w:tcPr>
          <w:p w14:paraId="0A01FFE8" w14:textId="77777777" w:rsidR="002A4DDF" w:rsidRPr="00937C8B" w:rsidRDefault="002A4DDF" w:rsidP="009110ED">
            <w:pPr>
              <w:rPr>
                <w:rFonts w:ascii="Arial" w:hAnsi="Arial" w:cs="Arial"/>
                <w:sz w:val="12"/>
                <w:szCs w:val="12"/>
              </w:rPr>
            </w:pPr>
          </w:p>
        </w:tc>
        <w:tc>
          <w:tcPr>
            <w:tcW w:w="1843" w:type="dxa"/>
            <w:shd w:val="clear" w:color="auto" w:fill="auto"/>
          </w:tcPr>
          <w:p w14:paraId="09C31657" w14:textId="77777777" w:rsidR="002A4DDF" w:rsidRPr="00937C8B" w:rsidRDefault="002A4DDF" w:rsidP="009110ED">
            <w:pPr>
              <w:rPr>
                <w:rFonts w:ascii="Arial" w:hAnsi="Arial" w:cs="Arial"/>
                <w:sz w:val="12"/>
                <w:szCs w:val="12"/>
              </w:rPr>
            </w:pPr>
          </w:p>
        </w:tc>
        <w:tc>
          <w:tcPr>
            <w:tcW w:w="2268" w:type="dxa"/>
            <w:shd w:val="clear" w:color="auto" w:fill="F2F2F2"/>
            <w:hideMark/>
          </w:tcPr>
          <w:p w14:paraId="1C3CBDC8" w14:textId="77777777" w:rsidR="002A4DDF" w:rsidRPr="00937C8B" w:rsidRDefault="002A4DDF" w:rsidP="009110ED">
            <w:pPr>
              <w:rPr>
                <w:rFonts w:ascii="Arial" w:hAnsi="Arial" w:cs="Arial"/>
                <w:sz w:val="12"/>
                <w:szCs w:val="12"/>
              </w:rPr>
            </w:pPr>
            <w:r>
              <w:rPr>
                <w:rFonts w:ascii="Arial" w:hAnsi="Arial"/>
                <w:sz w:val="12"/>
                <w:szCs w:val="12"/>
              </w:rPr>
              <w:t>San Vicente del Palacio</w:t>
            </w:r>
          </w:p>
        </w:tc>
        <w:tc>
          <w:tcPr>
            <w:tcW w:w="2268" w:type="dxa"/>
            <w:tcBorders>
              <w:right w:val="single" w:sz="4" w:space="0" w:color="auto"/>
            </w:tcBorders>
            <w:shd w:val="clear" w:color="auto" w:fill="D9D9D9"/>
            <w:hideMark/>
          </w:tcPr>
          <w:p w14:paraId="614961A5" w14:textId="77777777" w:rsidR="002A4DDF" w:rsidRPr="00937C8B" w:rsidRDefault="002A4DDF" w:rsidP="009110ED">
            <w:pPr>
              <w:rPr>
                <w:rFonts w:ascii="Arial" w:hAnsi="Arial" w:cs="Arial"/>
                <w:sz w:val="12"/>
                <w:szCs w:val="12"/>
              </w:rPr>
            </w:pPr>
          </w:p>
        </w:tc>
      </w:tr>
      <w:tr w:rsidR="002A4DDF" w:rsidRPr="00937C8B" w14:paraId="4CA49C1F" w14:textId="77777777" w:rsidTr="00935676">
        <w:trPr>
          <w:cantSplit/>
        </w:trPr>
        <w:tc>
          <w:tcPr>
            <w:tcW w:w="1696" w:type="dxa"/>
            <w:tcBorders>
              <w:left w:val="single" w:sz="4" w:space="0" w:color="auto"/>
            </w:tcBorders>
            <w:shd w:val="clear" w:color="auto" w:fill="auto"/>
          </w:tcPr>
          <w:p w14:paraId="7A8F924E" w14:textId="77777777" w:rsidR="002A4DDF" w:rsidRPr="00937C8B" w:rsidRDefault="002A4DDF" w:rsidP="009110ED">
            <w:pPr>
              <w:rPr>
                <w:rFonts w:ascii="Arial" w:hAnsi="Arial" w:cs="Arial"/>
                <w:sz w:val="12"/>
                <w:szCs w:val="12"/>
              </w:rPr>
            </w:pPr>
          </w:p>
        </w:tc>
        <w:tc>
          <w:tcPr>
            <w:tcW w:w="1843" w:type="dxa"/>
            <w:shd w:val="clear" w:color="auto" w:fill="auto"/>
          </w:tcPr>
          <w:p w14:paraId="70ECC720" w14:textId="77777777" w:rsidR="002A4DDF" w:rsidRPr="00937C8B" w:rsidRDefault="002A4DDF" w:rsidP="009110ED">
            <w:pPr>
              <w:rPr>
                <w:rFonts w:ascii="Arial" w:hAnsi="Arial" w:cs="Arial"/>
                <w:sz w:val="12"/>
                <w:szCs w:val="12"/>
              </w:rPr>
            </w:pPr>
          </w:p>
        </w:tc>
        <w:tc>
          <w:tcPr>
            <w:tcW w:w="2268" w:type="dxa"/>
            <w:shd w:val="clear" w:color="auto" w:fill="F2F2F2"/>
            <w:hideMark/>
          </w:tcPr>
          <w:p w14:paraId="469FFC27" w14:textId="77777777" w:rsidR="002A4DDF" w:rsidRPr="00937C8B" w:rsidRDefault="002A4DDF" w:rsidP="009110ED">
            <w:pPr>
              <w:rPr>
                <w:rFonts w:ascii="Arial" w:hAnsi="Arial" w:cs="Arial"/>
                <w:sz w:val="12"/>
                <w:szCs w:val="12"/>
              </w:rPr>
            </w:pPr>
            <w:r>
              <w:rPr>
                <w:rFonts w:ascii="Arial" w:hAnsi="Arial"/>
                <w:sz w:val="12"/>
                <w:szCs w:val="12"/>
              </w:rPr>
              <w:t>Santervás de Campos</w:t>
            </w:r>
          </w:p>
        </w:tc>
        <w:tc>
          <w:tcPr>
            <w:tcW w:w="2268" w:type="dxa"/>
            <w:tcBorders>
              <w:right w:val="single" w:sz="4" w:space="0" w:color="auto"/>
            </w:tcBorders>
            <w:shd w:val="clear" w:color="auto" w:fill="D9D9D9"/>
            <w:hideMark/>
          </w:tcPr>
          <w:p w14:paraId="029942CE" w14:textId="77777777" w:rsidR="002A4DDF" w:rsidRPr="00937C8B" w:rsidRDefault="002A4DDF" w:rsidP="009110ED">
            <w:pPr>
              <w:rPr>
                <w:rFonts w:ascii="Arial" w:hAnsi="Arial" w:cs="Arial"/>
                <w:sz w:val="12"/>
                <w:szCs w:val="12"/>
              </w:rPr>
            </w:pPr>
          </w:p>
        </w:tc>
      </w:tr>
      <w:tr w:rsidR="002A4DDF" w:rsidRPr="00937C8B" w14:paraId="77E9EE93" w14:textId="77777777" w:rsidTr="00935676">
        <w:trPr>
          <w:cantSplit/>
        </w:trPr>
        <w:tc>
          <w:tcPr>
            <w:tcW w:w="1696" w:type="dxa"/>
            <w:tcBorders>
              <w:left w:val="single" w:sz="4" w:space="0" w:color="auto"/>
            </w:tcBorders>
            <w:shd w:val="clear" w:color="auto" w:fill="auto"/>
          </w:tcPr>
          <w:p w14:paraId="62062F72" w14:textId="77777777" w:rsidR="002A4DDF" w:rsidRPr="00937C8B" w:rsidRDefault="002A4DDF" w:rsidP="009110ED">
            <w:pPr>
              <w:rPr>
                <w:rFonts w:ascii="Arial" w:hAnsi="Arial" w:cs="Arial"/>
                <w:sz w:val="12"/>
                <w:szCs w:val="12"/>
              </w:rPr>
            </w:pPr>
          </w:p>
        </w:tc>
        <w:tc>
          <w:tcPr>
            <w:tcW w:w="1843" w:type="dxa"/>
            <w:shd w:val="clear" w:color="auto" w:fill="auto"/>
          </w:tcPr>
          <w:p w14:paraId="2257259F" w14:textId="77777777" w:rsidR="002A4DDF" w:rsidRPr="00937C8B" w:rsidRDefault="002A4DDF" w:rsidP="009110ED">
            <w:pPr>
              <w:rPr>
                <w:rFonts w:ascii="Arial" w:hAnsi="Arial" w:cs="Arial"/>
                <w:sz w:val="12"/>
                <w:szCs w:val="12"/>
              </w:rPr>
            </w:pPr>
          </w:p>
        </w:tc>
        <w:tc>
          <w:tcPr>
            <w:tcW w:w="2268" w:type="dxa"/>
            <w:shd w:val="clear" w:color="auto" w:fill="F2F2F2"/>
            <w:hideMark/>
          </w:tcPr>
          <w:p w14:paraId="044B0C3F" w14:textId="77777777" w:rsidR="002A4DDF" w:rsidRPr="00937C8B" w:rsidRDefault="002A4DDF" w:rsidP="009110ED">
            <w:pPr>
              <w:rPr>
                <w:rFonts w:ascii="Arial" w:hAnsi="Arial" w:cs="Arial"/>
                <w:sz w:val="12"/>
                <w:szCs w:val="12"/>
              </w:rPr>
            </w:pPr>
            <w:r>
              <w:rPr>
                <w:rFonts w:ascii="Arial" w:hAnsi="Arial"/>
                <w:sz w:val="12"/>
                <w:szCs w:val="12"/>
              </w:rPr>
              <w:t>Santibáñez de Valcorba</w:t>
            </w:r>
          </w:p>
        </w:tc>
        <w:tc>
          <w:tcPr>
            <w:tcW w:w="2268" w:type="dxa"/>
            <w:tcBorders>
              <w:right w:val="single" w:sz="4" w:space="0" w:color="auto"/>
            </w:tcBorders>
            <w:shd w:val="clear" w:color="auto" w:fill="D9D9D9"/>
            <w:hideMark/>
          </w:tcPr>
          <w:p w14:paraId="4E218B4D" w14:textId="77777777" w:rsidR="002A4DDF" w:rsidRPr="00937C8B" w:rsidRDefault="002A4DDF" w:rsidP="009110ED">
            <w:pPr>
              <w:rPr>
                <w:rFonts w:ascii="Arial" w:hAnsi="Arial" w:cs="Arial"/>
                <w:sz w:val="12"/>
                <w:szCs w:val="12"/>
              </w:rPr>
            </w:pPr>
          </w:p>
        </w:tc>
      </w:tr>
      <w:tr w:rsidR="002A4DDF" w:rsidRPr="00937C8B" w14:paraId="06D70816" w14:textId="77777777" w:rsidTr="00935676">
        <w:trPr>
          <w:cantSplit/>
        </w:trPr>
        <w:tc>
          <w:tcPr>
            <w:tcW w:w="1696" w:type="dxa"/>
            <w:tcBorders>
              <w:left w:val="single" w:sz="4" w:space="0" w:color="auto"/>
            </w:tcBorders>
            <w:shd w:val="clear" w:color="auto" w:fill="auto"/>
          </w:tcPr>
          <w:p w14:paraId="647262EE" w14:textId="77777777" w:rsidR="002A4DDF" w:rsidRPr="00937C8B" w:rsidRDefault="002A4DDF" w:rsidP="009110ED">
            <w:pPr>
              <w:rPr>
                <w:rFonts w:ascii="Arial" w:hAnsi="Arial" w:cs="Arial"/>
                <w:sz w:val="12"/>
                <w:szCs w:val="12"/>
              </w:rPr>
            </w:pPr>
          </w:p>
        </w:tc>
        <w:tc>
          <w:tcPr>
            <w:tcW w:w="1843" w:type="dxa"/>
            <w:shd w:val="clear" w:color="auto" w:fill="auto"/>
          </w:tcPr>
          <w:p w14:paraId="134A2319" w14:textId="77777777" w:rsidR="002A4DDF" w:rsidRPr="00937C8B" w:rsidRDefault="002A4DDF" w:rsidP="009110ED">
            <w:pPr>
              <w:rPr>
                <w:rFonts w:ascii="Arial" w:hAnsi="Arial" w:cs="Arial"/>
                <w:sz w:val="12"/>
                <w:szCs w:val="12"/>
              </w:rPr>
            </w:pPr>
          </w:p>
        </w:tc>
        <w:tc>
          <w:tcPr>
            <w:tcW w:w="2268" w:type="dxa"/>
            <w:shd w:val="clear" w:color="auto" w:fill="F2F2F2"/>
            <w:hideMark/>
          </w:tcPr>
          <w:p w14:paraId="1E31395F" w14:textId="77777777" w:rsidR="002A4DDF" w:rsidRPr="00937C8B" w:rsidRDefault="002A4DDF" w:rsidP="009110ED">
            <w:pPr>
              <w:rPr>
                <w:rFonts w:ascii="Arial" w:hAnsi="Arial" w:cs="Arial"/>
                <w:sz w:val="12"/>
                <w:szCs w:val="12"/>
              </w:rPr>
            </w:pPr>
            <w:r>
              <w:rPr>
                <w:rFonts w:ascii="Arial" w:hAnsi="Arial"/>
                <w:sz w:val="12"/>
                <w:szCs w:val="12"/>
              </w:rPr>
              <w:t>Sardón de Duero</w:t>
            </w:r>
          </w:p>
        </w:tc>
        <w:tc>
          <w:tcPr>
            <w:tcW w:w="2268" w:type="dxa"/>
            <w:tcBorders>
              <w:right w:val="single" w:sz="4" w:space="0" w:color="auto"/>
            </w:tcBorders>
            <w:shd w:val="clear" w:color="auto" w:fill="D9D9D9"/>
            <w:hideMark/>
          </w:tcPr>
          <w:p w14:paraId="6172A955" w14:textId="77777777" w:rsidR="002A4DDF" w:rsidRPr="00937C8B" w:rsidRDefault="002A4DDF" w:rsidP="009110ED">
            <w:pPr>
              <w:rPr>
                <w:rFonts w:ascii="Arial" w:hAnsi="Arial" w:cs="Arial"/>
                <w:sz w:val="12"/>
                <w:szCs w:val="12"/>
              </w:rPr>
            </w:pPr>
          </w:p>
        </w:tc>
      </w:tr>
      <w:tr w:rsidR="002A4DDF" w:rsidRPr="00937C8B" w14:paraId="0FA9B636" w14:textId="77777777" w:rsidTr="00935676">
        <w:trPr>
          <w:cantSplit/>
        </w:trPr>
        <w:tc>
          <w:tcPr>
            <w:tcW w:w="1696" w:type="dxa"/>
            <w:tcBorders>
              <w:left w:val="single" w:sz="4" w:space="0" w:color="auto"/>
            </w:tcBorders>
            <w:shd w:val="clear" w:color="auto" w:fill="auto"/>
          </w:tcPr>
          <w:p w14:paraId="025DDE2E" w14:textId="77777777" w:rsidR="002A4DDF" w:rsidRPr="00937C8B" w:rsidRDefault="002A4DDF" w:rsidP="009110ED">
            <w:pPr>
              <w:rPr>
                <w:rFonts w:ascii="Arial" w:hAnsi="Arial" w:cs="Arial"/>
                <w:sz w:val="12"/>
                <w:szCs w:val="12"/>
              </w:rPr>
            </w:pPr>
          </w:p>
        </w:tc>
        <w:tc>
          <w:tcPr>
            <w:tcW w:w="1843" w:type="dxa"/>
            <w:shd w:val="clear" w:color="auto" w:fill="auto"/>
          </w:tcPr>
          <w:p w14:paraId="6621484D" w14:textId="77777777" w:rsidR="002A4DDF" w:rsidRPr="00937C8B" w:rsidRDefault="002A4DDF" w:rsidP="009110ED">
            <w:pPr>
              <w:rPr>
                <w:rFonts w:ascii="Arial" w:hAnsi="Arial" w:cs="Arial"/>
                <w:sz w:val="12"/>
                <w:szCs w:val="12"/>
              </w:rPr>
            </w:pPr>
          </w:p>
        </w:tc>
        <w:tc>
          <w:tcPr>
            <w:tcW w:w="2268" w:type="dxa"/>
            <w:shd w:val="clear" w:color="auto" w:fill="F2F2F2"/>
            <w:hideMark/>
          </w:tcPr>
          <w:p w14:paraId="25DF97A8" w14:textId="77777777" w:rsidR="002A4DDF" w:rsidRPr="00937C8B" w:rsidRDefault="002A4DDF" w:rsidP="009110ED">
            <w:pPr>
              <w:rPr>
                <w:rFonts w:ascii="Arial" w:hAnsi="Arial" w:cs="Arial"/>
                <w:sz w:val="12"/>
                <w:szCs w:val="12"/>
              </w:rPr>
            </w:pPr>
            <w:r>
              <w:rPr>
                <w:rFonts w:ascii="Arial" w:hAnsi="Arial"/>
                <w:sz w:val="12"/>
                <w:szCs w:val="12"/>
              </w:rPr>
              <w:t>Serrada</w:t>
            </w:r>
          </w:p>
        </w:tc>
        <w:tc>
          <w:tcPr>
            <w:tcW w:w="2268" w:type="dxa"/>
            <w:tcBorders>
              <w:right w:val="single" w:sz="4" w:space="0" w:color="auto"/>
            </w:tcBorders>
            <w:shd w:val="clear" w:color="auto" w:fill="D9D9D9"/>
            <w:hideMark/>
          </w:tcPr>
          <w:p w14:paraId="0DC9BECF" w14:textId="77777777" w:rsidR="002A4DDF" w:rsidRPr="00937C8B" w:rsidRDefault="002A4DDF" w:rsidP="009110ED">
            <w:pPr>
              <w:rPr>
                <w:rFonts w:ascii="Arial" w:hAnsi="Arial" w:cs="Arial"/>
                <w:sz w:val="12"/>
                <w:szCs w:val="12"/>
              </w:rPr>
            </w:pPr>
          </w:p>
        </w:tc>
      </w:tr>
      <w:tr w:rsidR="002A4DDF" w:rsidRPr="00937C8B" w14:paraId="16FDDE9C" w14:textId="77777777" w:rsidTr="00935676">
        <w:trPr>
          <w:cantSplit/>
        </w:trPr>
        <w:tc>
          <w:tcPr>
            <w:tcW w:w="1696" w:type="dxa"/>
            <w:tcBorders>
              <w:left w:val="single" w:sz="4" w:space="0" w:color="auto"/>
            </w:tcBorders>
            <w:shd w:val="clear" w:color="auto" w:fill="auto"/>
          </w:tcPr>
          <w:p w14:paraId="7CBFF321" w14:textId="77777777" w:rsidR="002A4DDF" w:rsidRPr="00937C8B" w:rsidRDefault="002A4DDF" w:rsidP="009110ED">
            <w:pPr>
              <w:rPr>
                <w:rFonts w:ascii="Arial" w:hAnsi="Arial" w:cs="Arial"/>
                <w:sz w:val="12"/>
                <w:szCs w:val="12"/>
              </w:rPr>
            </w:pPr>
          </w:p>
        </w:tc>
        <w:tc>
          <w:tcPr>
            <w:tcW w:w="1843" w:type="dxa"/>
            <w:shd w:val="clear" w:color="auto" w:fill="auto"/>
          </w:tcPr>
          <w:p w14:paraId="6ADF3E0F" w14:textId="77777777" w:rsidR="002A4DDF" w:rsidRPr="00937C8B" w:rsidRDefault="002A4DDF" w:rsidP="009110ED">
            <w:pPr>
              <w:rPr>
                <w:rFonts w:ascii="Arial" w:hAnsi="Arial" w:cs="Arial"/>
                <w:sz w:val="12"/>
                <w:szCs w:val="12"/>
              </w:rPr>
            </w:pPr>
          </w:p>
        </w:tc>
        <w:tc>
          <w:tcPr>
            <w:tcW w:w="2268" w:type="dxa"/>
            <w:shd w:val="clear" w:color="auto" w:fill="F2F2F2"/>
            <w:hideMark/>
          </w:tcPr>
          <w:p w14:paraId="115CB612" w14:textId="77777777" w:rsidR="002A4DDF" w:rsidRPr="00937C8B" w:rsidRDefault="002A4DDF" w:rsidP="009110ED">
            <w:pPr>
              <w:rPr>
                <w:rFonts w:ascii="Arial" w:hAnsi="Arial" w:cs="Arial"/>
                <w:sz w:val="12"/>
                <w:szCs w:val="12"/>
              </w:rPr>
            </w:pPr>
            <w:r>
              <w:rPr>
                <w:rFonts w:ascii="Arial" w:hAnsi="Arial"/>
                <w:sz w:val="12"/>
                <w:szCs w:val="12"/>
              </w:rPr>
              <w:t>Siete Iglesias de Trabancos</w:t>
            </w:r>
          </w:p>
        </w:tc>
        <w:tc>
          <w:tcPr>
            <w:tcW w:w="2268" w:type="dxa"/>
            <w:tcBorders>
              <w:right w:val="single" w:sz="4" w:space="0" w:color="auto"/>
            </w:tcBorders>
            <w:shd w:val="clear" w:color="auto" w:fill="D9D9D9"/>
            <w:hideMark/>
          </w:tcPr>
          <w:p w14:paraId="2CC18451" w14:textId="77777777" w:rsidR="002A4DDF" w:rsidRPr="00937C8B" w:rsidRDefault="002A4DDF" w:rsidP="009110ED">
            <w:pPr>
              <w:rPr>
                <w:rFonts w:ascii="Arial" w:hAnsi="Arial" w:cs="Arial"/>
                <w:sz w:val="12"/>
                <w:szCs w:val="12"/>
              </w:rPr>
            </w:pPr>
          </w:p>
        </w:tc>
      </w:tr>
      <w:tr w:rsidR="002A4DDF" w:rsidRPr="00937C8B" w14:paraId="78660D1F" w14:textId="77777777" w:rsidTr="00935676">
        <w:trPr>
          <w:cantSplit/>
        </w:trPr>
        <w:tc>
          <w:tcPr>
            <w:tcW w:w="1696" w:type="dxa"/>
            <w:tcBorders>
              <w:left w:val="single" w:sz="4" w:space="0" w:color="auto"/>
            </w:tcBorders>
            <w:shd w:val="clear" w:color="auto" w:fill="auto"/>
          </w:tcPr>
          <w:p w14:paraId="2451CF94" w14:textId="77777777" w:rsidR="002A4DDF" w:rsidRPr="00937C8B" w:rsidRDefault="002A4DDF" w:rsidP="009110ED">
            <w:pPr>
              <w:rPr>
                <w:rFonts w:ascii="Arial" w:hAnsi="Arial" w:cs="Arial"/>
                <w:sz w:val="12"/>
                <w:szCs w:val="12"/>
              </w:rPr>
            </w:pPr>
          </w:p>
        </w:tc>
        <w:tc>
          <w:tcPr>
            <w:tcW w:w="1843" w:type="dxa"/>
            <w:shd w:val="clear" w:color="auto" w:fill="auto"/>
          </w:tcPr>
          <w:p w14:paraId="7195307D" w14:textId="77777777" w:rsidR="002A4DDF" w:rsidRPr="00937C8B" w:rsidRDefault="002A4DDF" w:rsidP="009110ED">
            <w:pPr>
              <w:rPr>
                <w:rFonts w:ascii="Arial" w:hAnsi="Arial" w:cs="Arial"/>
                <w:sz w:val="12"/>
                <w:szCs w:val="12"/>
              </w:rPr>
            </w:pPr>
          </w:p>
        </w:tc>
        <w:tc>
          <w:tcPr>
            <w:tcW w:w="2268" w:type="dxa"/>
            <w:shd w:val="clear" w:color="auto" w:fill="F2F2F2"/>
            <w:hideMark/>
          </w:tcPr>
          <w:p w14:paraId="03720F72" w14:textId="77777777" w:rsidR="002A4DDF" w:rsidRPr="00937C8B" w:rsidRDefault="002A4DDF" w:rsidP="009110ED">
            <w:pPr>
              <w:rPr>
                <w:rFonts w:ascii="Arial" w:hAnsi="Arial" w:cs="Arial"/>
                <w:sz w:val="12"/>
                <w:szCs w:val="12"/>
              </w:rPr>
            </w:pPr>
            <w:r>
              <w:rPr>
                <w:rFonts w:ascii="Arial" w:hAnsi="Arial"/>
                <w:sz w:val="12"/>
                <w:szCs w:val="12"/>
              </w:rPr>
              <w:t>Simancas</w:t>
            </w:r>
          </w:p>
        </w:tc>
        <w:tc>
          <w:tcPr>
            <w:tcW w:w="2268" w:type="dxa"/>
            <w:tcBorders>
              <w:right w:val="single" w:sz="4" w:space="0" w:color="auto"/>
            </w:tcBorders>
            <w:shd w:val="clear" w:color="auto" w:fill="D9D9D9"/>
            <w:hideMark/>
          </w:tcPr>
          <w:p w14:paraId="49C72868" w14:textId="77777777" w:rsidR="002A4DDF" w:rsidRPr="00937C8B" w:rsidRDefault="002A4DDF" w:rsidP="009110ED">
            <w:pPr>
              <w:rPr>
                <w:rFonts w:ascii="Arial" w:hAnsi="Arial" w:cs="Arial"/>
                <w:sz w:val="12"/>
                <w:szCs w:val="12"/>
              </w:rPr>
            </w:pPr>
          </w:p>
        </w:tc>
      </w:tr>
      <w:tr w:rsidR="002A4DDF" w:rsidRPr="00937C8B" w14:paraId="7EE4B371" w14:textId="77777777" w:rsidTr="00935676">
        <w:trPr>
          <w:cantSplit/>
        </w:trPr>
        <w:tc>
          <w:tcPr>
            <w:tcW w:w="1696" w:type="dxa"/>
            <w:tcBorders>
              <w:left w:val="single" w:sz="4" w:space="0" w:color="auto"/>
            </w:tcBorders>
            <w:shd w:val="clear" w:color="auto" w:fill="auto"/>
          </w:tcPr>
          <w:p w14:paraId="7E125B50" w14:textId="77777777" w:rsidR="002A4DDF" w:rsidRPr="00937C8B" w:rsidRDefault="002A4DDF" w:rsidP="009110ED">
            <w:pPr>
              <w:rPr>
                <w:rFonts w:ascii="Arial" w:hAnsi="Arial" w:cs="Arial"/>
                <w:sz w:val="12"/>
                <w:szCs w:val="12"/>
              </w:rPr>
            </w:pPr>
          </w:p>
        </w:tc>
        <w:tc>
          <w:tcPr>
            <w:tcW w:w="1843" w:type="dxa"/>
            <w:shd w:val="clear" w:color="auto" w:fill="auto"/>
          </w:tcPr>
          <w:p w14:paraId="21461269" w14:textId="77777777" w:rsidR="002A4DDF" w:rsidRPr="00937C8B" w:rsidRDefault="002A4DDF" w:rsidP="009110ED">
            <w:pPr>
              <w:rPr>
                <w:rFonts w:ascii="Arial" w:hAnsi="Arial" w:cs="Arial"/>
                <w:sz w:val="12"/>
                <w:szCs w:val="12"/>
              </w:rPr>
            </w:pPr>
          </w:p>
        </w:tc>
        <w:tc>
          <w:tcPr>
            <w:tcW w:w="2268" w:type="dxa"/>
            <w:shd w:val="clear" w:color="auto" w:fill="F2F2F2"/>
            <w:hideMark/>
          </w:tcPr>
          <w:p w14:paraId="183D13D9" w14:textId="77777777" w:rsidR="002A4DDF" w:rsidRPr="00937C8B" w:rsidRDefault="002A4DDF" w:rsidP="009110ED">
            <w:pPr>
              <w:rPr>
                <w:rFonts w:ascii="Arial" w:hAnsi="Arial" w:cs="Arial"/>
                <w:sz w:val="12"/>
                <w:szCs w:val="12"/>
              </w:rPr>
            </w:pPr>
            <w:r>
              <w:rPr>
                <w:rFonts w:ascii="Arial" w:hAnsi="Arial"/>
                <w:sz w:val="12"/>
                <w:szCs w:val="12"/>
              </w:rPr>
              <w:t>Tordesillas</w:t>
            </w:r>
          </w:p>
        </w:tc>
        <w:tc>
          <w:tcPr>
            <w:tcW w:w="2268" w:type="dxa"/>
            <w:tcBorders>
              <w:right w:val="single" w:sz="4" w:space="0" w:color="auto"/>
            </w:tcBorders>
            <w:shd w:val="clear" w:color="auto" w:fill="D9D9D9"/>
            <w:hideMark/>
          </w:tcPr>
          <w:p w14:paraId="7A2F2D2B" w14:textId="77777777" w:rsidR="002A4DDF" w:rsidRPr="00937C8B" w:rsidRDefault="002A4DDF" w:rsidP="009110ED">
            <w:pPr>
              <w:rPr>
                <w:rFonts w:ascii="Arial" w:hAnsi="Arial" w:cs="Arial"/>
                <w:sz w:val="12"/>
                <w:szCs w:val="12"/>
              </w:rPr>
            </w:pPr>
          </w:p>
        </w:tc>
      </w:tr>
      <w:tr w:rsidR="002A4DDF" w:rsidRPr="00937C8B" w14:paraId="17DA0ADA" w14:textId="77777777" w:rsidTr="00935676">
        <w:trPr>
          <w:cantSplit/>
        </w:trPr>
        <w:tc>
          <w:tcPr>
            <w:tcW w:w="1696" w:type="dxa"/>
            <w:tcBorders>
              <w:left w:val="single" w:sz="4" w:space="0" w:color="auto"/>
            </w:tcBorders>
            <w:shd w:val="clear" w:color="auto" w:fill="auto"/>
          </w:tcPr>
          <w:p w14:paraId="26C4FAC0" w14:textId="77777777" w:rsidR="002A4DDF" w:rsidRPr="00937C8B" w:rsidRDefault="002A4DDF" w:rsidP="009110ED">
            <w:pPr>
              <w:rPr>
                <w:rFonts w:ascii="Arial" w:hAnsi="Arial" w:cs="Arial"/>
                <w:sz w:val="12"/>
                <w:szCs w:val="12"/>
              </w:rPr>
            </w:pPr>
          </w:p>
        </w:tc>
        <w:tc>
          <w:tcPr>
            <w:tcW w:w="1843" w:type="dxa"/>
            <w:shd w:val="clear" w:color="auto" w:fill="auto"/>
          </w:tcPr>
          <w:p w14:paraId="6DD46599" w14:textId="77777777" w:rsidR="002A4DDF" w:rsidRPr="00937C8B" w:rsidRDefault="002A4DDF" w:rsidP="009110ED">
            <w:pPr>
              <w:rPr>
                <w:rFonts w:ascii="Arial" w:hAnsi="Arial" w:cs="Arial"/>
                <w:sz w:val="12"/>
                <w:szCs w:val="12"/>
              </w:rPr>
            </w:pPr>
          </w:p>
        </w:tc>
        <w:tc>
          <w:tcPr>
            <w:tcW w:w="2268" w:type="dxa"/>
            <w:shd w:val="clear" w:color="auto" w:fill="F2F2F2"/>
            <w:hideMark/>
          </w:tcPr>
          <w:p w14:paraId="084A9439" w14:textId="77777777" w:rsidR="002A4DDF" w:rsidRPr="00937C8B" w:rsidRDefault="002A4DDF" w:rsidP="009110ED">
            <w:pPr>
              <w:rPr>
                <w:rFonts w:ascii="Arial" w:hAnsi="Arial" w:cs="Arial"/>
                <w:sz w:val="12"/>
                <w:szCs w:val="12"/>
              </w:rPr>
            </w:pPr>
            <w:r>
              <w:rPr>
                <w:rFonts w:ascii="Arial" w:hAnsi="Arial"/>
                <w:sz w:val="12"/>
                <w:szCs w:val="12"/>
              </w:rPr>
              <w:t>Torre de Peñafiel</w:t>
            </w:r>
          </w:p>
        </w:tc>
        <w:tc>
          <w:tcPr>
            <w:tcW w:w="2268" w:type="dxa"/>
            <w:tcBorders>
              <w:right w:val="single" w:sz="4" w:space="0" w:color="auto"/>
            </w:tcBorders>
            <w:shd w:val="clear" w:color="auto" w:fill="D9D9D9"/>
            <w:hideMark/>
          </w:tcPr>
          <w:p w14:paraId="30250914" w14:textId="77777777" w:rsidR="002A4DDF" w:rsidRPr="00937C8B" w:rsidRDefault="002A4DDF" w:rsidP="009110ED">
            <w:pPr>
              <w:rPr>
                <w:rFonts w:ascii="Arial" w:hAnsi="Arial" w:cs="Arial"/>
                <w:sz w:val="12"/>
                <w:szCs w:val="12"/>
              </w:rPr>
            </w:pPr>
          </w:p>
        </w:tc>
      </w:tr>
      <w:tr w:rsidR="002A4DDF" w:rsidRPr="00937C8B" w14:paraId="43167D32" w14:textId="77777777" w:rsidTr="00935676">
        <w:trPr>
          <w:cantSplit/>
        </w:trPr>
        <w:tc>
          <w:tcPr>
            <w:tcW w:w="1696" w:type="dxa"/>
            <w:tcBorders>
              <w:left w:val="single" w:sz="4" w:space="0" w:color="auto"/>
            </w:tcBorders>
            <w:shd w:val="clear" w:color="auto" w:fill="auto"/>
          </w:tcPr>
          <w:p w14:paraId="22DF04B8" w14:textId="77777777" w:rsidR="002A4DDF" w:rsidRPr="00937C8B" w:rsidRDefault="002A4DDF" w:rsidP="009110ED">
            <w:pPr>
              <w:rPr>
                <w:rFonts w:ascii="Arial" w:hAnsi="Arial" w:cs="Arial"/>
                <w:sz w:val="12"/>
                <w:szCs w:val="12"/>
              </w:rPr>
            </w:pPr>
          </w:p>
        </w:tc>
        <w:tc>
          <w:tcPr>
            <w:tcW w:w="1843" w:type="dxa"/>
            <w:shd w:val="clear" w:color="auto" w:fill="auto"/>
          </w:tcPr>
          <w:p w14:paraId="60C4D12C" w14:textId="77777777" w:rsidR="002A4DDF" w:rsidRPr="00937C8B" w:rsidRDefault="002A4DDF" w:rsidP="009110ED">
            <w:pPr>
              <w:rPr>
                <w:rFonts w:ascii="Arial" w:hAnsi="Arial" w:cs="Arial"/>
                <w:sz w:val="12"/>
                <w:szCs w:val="12"/>
              </w:rPr>
            </w:pPr>
          </w:p>
        </w:tc>
        <w:tc>
          <w:tcPr>
            <w:tcW w:w="2268" w:type="dxa"/>
            <w:shd w:val="clear" w:color="auto" w:fill="F2F2F2"/>
            <w:hideMark/>
          </w:tcPr>
          <w:p w14:paraId="79996603" w14:textId="77777777" w:rsidR="002A4DDF" w:rsidRPr="00937C8B" w:rsidRDefault="002A4DDF" w:rsidP="009110ED">
            <w:pPr>
              <w:rPr>
                <w:rFonts w:ascii="Arial" w:hAnsi="Arial" w:cs="Arial"/>
                <w:sz w:val="12"/>
                <w:szCs w:val="12"/>
              </w:rPr>
            </w:pPr>
            <w:r>
              <w:rPr>
                <w:rFonts w:ascii="Arial" w:hAnsi="Arial"/>
                <w:sz w:val="12"/>
                <w:szCs w:val="12"/>
              </w:rPr>
              <w:t>Torrecilla de la Abadesa</w:t>
            </w:r>
          </w:p>
        </w:tc>
        <w:tc>
          <w:tcPr>
            <w:tcW w:w="2268" w:type="dxa"/>
            <w:tcBorders>
              <w:right w:val="single" w:sz="4" w:space="0" w:color="auto"/>
            </w:tcBorders>
            <w:shd w:val="clear" w:color="auto" w:fill="D9D9D9"/>
            <w:hideMark/>
          </w:tcPr>
          <w:p w14:paraId="0CEB89EA" w14:textId="77777777" w:rsidR="002A4DDF" w:rsidRPr="00937C8B" w:rsidRDefault="002A4DDF" w:rsidP="009110ED">
            <w:pPr>
              <w:rPr>
                <w:rFonts w:ascii="Arial" w:hAnsi="Arial" w:cs="Arial"/>
                <w:sz w:val="12"/>
                <w:szCs w:val="12"/>
              </w:rPr>
            </w:pPr>
          </w:p>
        </w:tc>
      </w:tr>
      <w:tr w:rsidR="002A4DDF" w:rsidRPr="00937C8B" w14:paraId="12F57B9D" w14:textId="77777777" w:rsidTr="00935676">
        <w:trPr>
          <w:cantSplit/>
        </w:trPr>
        <w:tc>
          <w:tcPr>
            <w:tcW w:w="1696" w:type="dxa"/>
            <w:tcBorders>
              <w:left w:val="single" w:sz="4" w:space="0" w:color="auto"/>
            </w:tcBorders>
            <w:shd w:val="clear" w:color="auto" w:fill="auto"/>
          </w:tcPr>
          <w:p w14:paraId="50CDC0ED" w14:textId="77777777" w:rsidR="002A4DDF" w:rsidRPr="00937C8B" w:rsidRDefault="002A4DDF" w:rsidP="009110ED">
            <w:pPr>
              <w:rPr>
                <w:rFonts w:ascii="Arial" w:hAnsi="Arial" w:cs="Arial"/>
                <w:sz w:val="12"/>
                <w:szCs w:val="12"/>
              </w:rPr>
            </w:pPr>
          </w:p>
        </w:tc>
        <w:tc>
          <w:tcPr>
            <w:tcW w:w="1843" w:type="dxa"/>
            <w:shd w:val="clear" w:color="auto" w:fill="auto"/>
          </w:tcPr>
          <w:p w14:paraId="006F352B" w14:textId="77777777" w:rsidR="002A4DDF" w:rsidRPr="00937C8B" w:rsidRDefault="002A4DDF" w:rsidP="009110ED">
            <w:pPr>
              <w:rPr>
                <w:rFonts w:ascii="Arial" w:hAnsi="Arial" w:cs="Arial"/>
                <w:sz w:val="12"/>
                <w:szCs w:val="12"/>
              </w:rPr>
            </w:pPr>
          </w:p>
        </w:tc>
        <w:tc>
          <w:tcPr>
            <w:tcW w:w="2268" w:type="dxa"/>
            <w:shd w:val="clear" w:color="auto" w:fill="F2F2F2"/>
            <w:hideMark/>
          </w:tcPr>
          <w:p w14:paraId="455769C5" w14:textId="77777777" w:rsidR="002A4DDF" w:rsidRPr="00937C8B" w:rsidRDefault="002A4DDF" w:rsidP="009110ED">
            <w:pPr>
              <w:rPr>
                <w:rFonts w:ascii="Arial" w:hAnsi="Arial" w:cs="Arial"/>
                <w:sz w:val="12"/>
                <w:szCs w:val="12"/>
              </w:rPr>
            </w:pPr>
            <w:r>
              <w:rPr>
                <w:rFonts w:ascii="Arial" w:hAnsi="Arial"/>
                <w:sz w:val="12"/>
                <w:szCs w:val="12"/>
              </w:rPr>
              <w:t>Torrecilla de la Orden</w:t>
            </w:r>
          </w:p>
        </w:tc>
        <w:tc>
          <w:tcPr>
            <w:tcW w:w="2268" w:type="dxa"/>
            <w:tcBorders>
              <w:right w:val="single" w:sz="4" w:space="0" w:color="auto"/>
            </w:tcBorders>
            <w:shd w:val="clear" w:color="auto" w:fill="D9D9D9"/>
            <w:hideMark/>
          </w:tcPr>
          <w:p w14:paraId="4581786B" w14:textId="77777777" w:rsidR="002A4DDF" w:rsidRPr="00937C8B" w:rsidRDefault="002A4DDF" w:rsidP="009110ED">
            <w:pPr>
              <w:rPr>
                <w:rFonts w:ascii="Arial" w:hAnsi="Arial" w:cs="Arial"/>
                <w:sz w:val="12"/>
                <w:szCs w:val="12"/>
              </w:rPr>
            </w:pPr>
          </w:p>
        </w:tc>
      </w:tr>
      <w:tr w:rsidR="002A4DDF" w:rsidRPr="00937C8B" w14:paraId="2181C444" w14:textId="77777777" w:rsidTr="00935676">
        <w:trPr>
          <w:cantSplit/>
        </w:trPr>
        <w:tc>
          <w:tcPr>
            <w:tcW w:w="1696" w:type="dxa"/>
            <w:tcBorders>
              <w:left w:val="single" w:sz="4" w:space="0" w:color="auto"/>
            </w:tcBorders>
            <w:shd w:val="clear" w:color="auto" w:fill="auto"/>
          </w:tcPr>
          <w:p w14:paraId="6E93E83C" w14:textId="77777777" w:rsidR="002A4DDF" w:rsidRPr="00937C8B" w:rsidRDefault="002A4DDF" w:rsidP="009110ED">
            <w:pPr>
              <w:rPr>
                <w:rFonts w:ascii="Arial" w:hAnsi="Arial" w:cs="Arial"/>
                <w:sz w:val="12"/>
                <w:szCs w:val="12"/>
              </w:rPr>
            </w:pPr>
          </w:p>
        </w:tc>
        <w:tc>
          <w:tcPr>
            <w:tcW w:w="1843" w:type="dxa"/>
            <w:shd w:val="clear" w:color="auto" w:fill="auto"/>
          </w:tcPr>
          <w:p w14:paraId="3B413A76" w14:textId="77777777" w:rsidR="002A4DDF" w:rsidRPr="00937C8B" w:rsidRDefault="002A4DDF" w:rsidP="009110ED">
            <w:pPr>
              <w:rPr>
                <w:rFonts w:ascii="Arial" w:hAnsi="Arial" w:cs="Arial"/>
                <w:sz w:val="12"/>
                <w:szCs w:val="12"/>
              </w:rPr>
            </w:pPr>
          </w:p>
        </w:tc>
        <w:tc>
          <w:tcPr>
            <w:tcW w:w="2268" w:type="dxa"/>
            <w:shd w:val="clear" w:color="auto" w:fill="F2F2F2"/>
            <w:hideMark/>
          </w:tcPr>
          <w:p w14:paraId="506C93AA" w14:textId="77777777" w:rsidR="002A4DDF" w:rsidRPr="00937C8B" w:rsidRDefault="002A4DDF" w:rsidP="009110ED">
            <w:pPr>
              <w:rPr>
                <w:rFonts w:ascii="Arial" w:hAnsi="Arial" w:cs="Arial"/>
                <w:sz w:val="12"/>
                <w:szCs w:val="12"/>
              </w:rPr>
            </w:pPr>
            <w:r>
              <w:rPr>
                <w:rFonts w:ascii="Arial" w:hAnsi="Arial"/>
                <w:sz w:val="12"/>
                <w:szCs w:val="12"/>
              </w:rPr>
              <w:t>Torrescárcela</w:t>
            </w:r>
          </w:p>
        </w:tc>
        <w:tc>
          <w:tcPr>
            <w:tcW w:w="2268" w:type="dxa"/>
            <w:tcBorders>
              <w:right w:val="single" w:sz="4" w:space="0" w:color="auto"/>
            </w:tcBorders>
            <w:shd w:val="clear" w:color="auto" w:fill="D9D9D9"/>
            <w:hideMark/>
          </w:tcPr>
          <w:p w14:paraId="7069AF94" w14:textId="77777777" w:rsidR="002A4DDF" w:rsidRPr="00937C8B" w:rsidRDefault="002A4DDF" w:rsidP="009110ED">
            <w:pPr>
              <w:rPr>
                <w:rFonts w:ascii="Arial" w:hAnsi="Arial" w:cs="Arial"/>
                <w:sz w:val="12"/>
                <w:szCs w:val="12"/>
              </w:rPr>
            </w:pPr>
          </w:p>
        </w:tc>
      </w:tr>
      <w:tr w:rsidR="002A4DDF" w:rsidRPr="00937C8B" w14:paraId="44F611DA" w14:textId="77777777" w:rsidTr="00935676">
        <w:trPr>
          <w:cantSplit/>
        </w:trPr>
        <w:tc>
          <w:tcPr>
            <w:tcW w:w="1696" w:type="dxa"/>
            <w:tcBorders>
              <w:left w:val="single" w:sz="4" w:space="0" w:color="auto"/>
            </w:tcBorders>
            <w:shd w:val="clear" w:color="auto" w:fill="auto"/>
          </w:tcPr>
          <w:p w14:paraId="0A533627" w14:textId="77777777" w:rsidR="002A4DDF" w:rsidRPr="00937C8B" w:rsidRDefault="002A4DDF" w:rsidP="009110ED">
            <w:pPr>
              <w:rPr>
                <w:rFonts w:ascii="Arial" w:hAnsi="Arial" w:cs="Arial"/>
                <w:sz w:val="12"/>
                <w:szCs w:val="12"/>
              </w:rPr>
            </w:pPr>
          </w:p>
        </w:tc>
        <w:tc>
          <w:tcPr>
            <w:tcW w:w="1843" w:type="dxa"/>
            <w:shd w:val="clear" w:color="auto" w:fill="auto"/>
          </w:tcPr>
          <w:p w14:paraId="35513AA7" w14:textId="77777777" w:rsidR="002A4DDF" w:rsidRPr="00937C8B" w:rsidRDefault="002A4DDF" w:rsidP="009110ED">
            <w:pPr>
              <w:rPr>
                <w:rFonts w:ascii="Arial" w:hAnsi="Arial" w:cs="Arial"/>
                <w:sz w:val="12"/>
                <w:szCs w:val="12"/>
              </w:rPr>
            </w:pPr>
          </w:p>
        </w:tc>
        <w:tc>
          <w:tcPr>
            <w:tcW w:w="2268" w:type="dxa"/>
            <w:shd w:val="clear" w:color="auto" w:fill="F2F2F2"/>
            <w:hideMark/>
          </w:tcPr>
          <w:p w14:paraId="0843F343" w14:textId="77777777" w:rsidR="002A4DDF" w:rsidRPr="00937C8B" w:rsidRDefault="002A4DDF" w:rsidP="009110ED">
            <w:pPr>
              <w:rPr>
                <w:rFonts w:ascii="Arial" w:hAnsi="Arial" w:cs="Arial"/>
                <w:sz w:val="12"/>
                <w:szCs w:val="12"/>
              </w:rPr>
            </w:pPr>
            <w:r>
              <w:rPr>
                <w:rFonts w:ascii="Arial" w:hAnsi="Arial"/>
                <w:sz w:val="12"/>
                <w:szCs w:val="12"/>
              </w:rPr>
              <w:t>Traspinedo</w:t>
            </w:r>
          </w:p>
        </w:tc>
        <w:tc>
          <w:tcPr>
            <w:tcW w:w="2268" w:type="dxa"/>
            <w:tcBorders>
              <w:right w:val="single" w:sz="4" w:space="0" w:color="auto"/>
            </w:tcBorders>
            <w:shd w:val="clear" w:color="auto" w:fill="D9D9D9"/>
            <w:hideMark/>
          </w:tcPr>
          <w:p w14:paraId="31D7F59B" w14:textId="77777777" w:rsidR="002A4DDF" w:rsidRPr="00937C8B" w:rsidRDefault="002A4DDF" w:rsidP="009110ED">
            <w:pPr>
              <w:rPr>
                <w:rFonts w:ascii="Arial" w:hAnsi="Arial" w:cs="Arial"/>
                <w:sz w:val="12"/>
                <w:szCs w:val="12"/>
              </w:rPr>
            </w:pPr>
          </w:p>
        </w:tc>
      </w:tr>
      <w:tr w:rsidR="002A4DDF" w:rsidRPr="00937C8B" w14:paraId="00F5F14E" w14:textId="77777777" w:rsidTr="00935676">
        <w:trPr>
          <w:cantSplit/>
        </w:trPr>
        <w:tc>
          <w:tcPr>
            <w:tcW w:w="1696" w:type="dxa"/>
            <w:tcBorders>
              <w:left w:val="single" w:sz="4" w:space="0" w:color="auto"/>
            </w:tcBorders>
            <w:shd w:val="clear" w:color="auto" w:fill="auto"/>
          </w:tcPr>
          <w:p w14:paraId="2F17AA2B" w14:textId="77777777" w:rsidR="002A4DDF" w:rsidRPr="00937C8B" w:rsidRDefault="002A4DDF" w:rsidP="009110ED">
            <w:pPr>
              <w:rPr>
                <w:rFonts w:ascii="Arial" w:hAnsi="Arial" w:cs="Arial"/>
                <w:sz w:val="12"/>
                <w:szCs w:val="12"/>
              </w:rPr>
            </w:pPr>
          </w:p>
        </w:tc>
        <w:tc>
          <w:tcPr>
            <w:tcW w:w="1843" w:type="dxa"/>
            <w:shd w:val="clear" w:color="auto" w:fill="auto"/>
          </w:tcPr>
          <w:p w14:paraId="39E80285" w14:textId="77777777" w:rsidR="002A4DDF" w:rsidRPr="00937C8B" w:rsidRDefault="002A4DDF" w:rsidP="009110ED">
            <w:pPr>
              <w:rPr>
                <w:rFonts w:ascii="Arial" w:hAnsi="Arial" w:cs="Arial"/>
                <w:sz w:val="12"/>
                <w:szCs w:val="12"/>
              </w:rPr>
            </w:pPr>
          </w:p>
        </w:tc>
        <w:tc>
          <w:tcPr>
            <w:tcW w:w="2268" w:type="dxa"/>
            <w:shd w:val="clear" w:color="auto" w:fill="F2F2F2"/>
            <w:hideMark/>
          </w:tcPr>
          <w:p w14:paraId="14B58C6C" w14:textId="77777777" w:rsidR="002A4DDF" w:rsidRPr="00937C8B" w:rsidRDefault="002A4DDF" w:rsidP="009110ED">
            <w:pPr>
              <w:rPr>
                <w:rFonts w:ascii="Arial" w:hAnsi="Arial" w:cs="Arial"/>
                <w:sz w:val="12"/>
                <w:szCs w:val="12"/>
              </w:rPr>
            </w:pPr>
            <w:r>
              <w:rPr>
                <w:rFonts w:ascii="Arial" w:hAnsi="Arial"/>
                <w:sz w:val="12"/>
                <w:szCs w:val="12"/>
              </w:rPr>
              <w:t>Valdearcos de la Vega</w:t>
            </w:r>
          </w:p>
        </w:tc>
        <w:tc>
          <w:tcPr>
            <w:tcW w:w="2268" w:type="dxa"/>
            <w:tcBorders>
              <w:right w:val="single" w:sz="4" w:space="0" w:color="auto"/>
            </w:tcBorders>
            <w:shd w:val="clear" w:color="auto" w:fill="D9D9D9"/>
            <w:hideMark/>
          </w:tcPr>
          <w:p w14:paraId="13D8D87D" w14:textId="77777777" w:rsidR="002A4DDF" w:rsidRPr="00937C8B" w:rsidRDefault="002A4DDF" w:rsidP="009110ED">
            <w:pPr>
              <w:rPr>
                <w:rFonts w:ascii="Arial" w:hAnsi="Arial" w:cs="Arial"/>
                <w:sz w:val="12"/>
                <w:szCs w:val="12"/>
              </w:rPr>
            </w:pPr>
          </w:p>
        </w:tc>
      </w:tr>
      <w:tr w:rsidR="002A4DDF" w:rsidRPr="00937C8B" w14:paraId="0DBD7051" w14:textId="77777777" w:rsidTr="00935676">
        <w:trPr>
          <w:cantSplit/>
        </w:trPr>
        <w:tc>
          <w:tcPr>
            <w:tcW w:w="1696" w:type="dxa"/>
            <w:tcBorders>
              <w:left w:val="single" w:sz="4" w:space="0" w:color="auto"/>
            </w:tcBorders>
            <w:shd w:val="clear" w:color="auto" w:fill="auto"/>
          </w:tcPr>
          <w:p w14:paraId="7636F228" w14:textId="77777777" w:rsidR="002A4DDF" w:rsidRPr="00937C8B" w:rsidRDefault="002A4DDF" w:rsidP="009110ED">
            <w:pPr>
              <w:rPr>
                <w:rFonts w:ascii="Arial" w:hAnsi="Arial" w:cs="Arial"/>
                <w:sz w:val="12"/>
                <w:szCs w:val="12"/>
              </w:rPr>
            </w:pPr>
          </w:p>
        </w:tc>
        <w:tc>
          <w:tcPr>
            <w:tcW w:w="1843" w:type="dxa"/>
            <w:shd w:val="clear" w:color="auto" w:fill="auto"/>
          </w:tcPr>
          <w:p w14:paraId="34F4EAE9" w14:textId="77777777" w:rsidR="002A4DDF" w:rsidRPr="00937C8B" w:rsidRDefault="002A4DDF" w:rsidP="009110ED">
            <w:pPr>
              <w:rPr>
                <w:rFonts w:ascii="Arial" w:hAnsi="Arial" w:cs="Arial"/>
                <w:sz w:val="12"/>
                <w:szCs w:val="12"/>
              </w:rPr>
            </w:pPr>
          </w:p>
        </w:tc>
        <w:tc>
          <w:tcPr>
            <w:tcW w:w="2268" w:type="dxa"/>
            <w:shd w:val="clear" w:color="auto" w:fill="F2F2F2"/>
            <w:hideMark/>
          </w:tcPr>
          <w:p w14:paraId="32E4ADC2" w14:textId="77777777" w:rsidR="002A4DDF" w:rsidRPr="00937C8B" w:rsidRDefault="002A4DDF" w:rsidP="009110ED">
            <w:pPr>
              <w:rPr>
                <w:rFonts w:ascii="Arial" w:hAnsi="Arial" w:cs="Arial"/>
                <w:sz w:val="12"/>
                <w:szCs w:val="12"/>
              </w:rPr>
            </w:pPr>
            <w:r>
              <w:rPr>
                <w:rFonts w:ascii="Arial" w:hAnsi="Arial"/>
                <w:sz w:val="12"/>
                <w:szCs w:val="12"/>
              </w:rPr>
              <w:t>Valdenebro de los Valles</w:t>
            </w:r>
          </w:p>
        </w:tc>
        <w:tc>
          <w:tcPr>
            <w:tcW w:w="2268" w:type="dxa"/>
            <w:tcBorders>
              <w:right w:val="single" w:sz="4" w:space="0" w:color="auto"/>
            </w:tcBorders>
            <w:shd w:val="clear" w:color="auto" w:fill="D9D9D9"/>
            <w:hideMark/>
          </w:tcPr>
          <w:p w14:paraId="09EABF66" w14:textId="77777777" w:rsidR="002A4DDF" w:rsidRPr="00937C8B" w:rsidRDefault="002A4DDF" w:rsidP="009110ED">
            <w:pPr>
              <w:rPr>
                <w:rFonts w:ascii="Arial" w:hAnsi="Arial" w:cs="Arial"/>
                <w:sz w:val="12"/>
                <w:szCs w:val="12"/>
              </w:rPr>
            </w:pPr>
          </w:p>
        </w:tc>
      </w:tr>
      <w:tr w:rsidR="002A4DDF" w:rsidRPr="00937C8B" w14:paraId="77BFD0F3" w14:textId="77777777" w:rsidTr="00935676">
        <w:trPr>
          <w:cantSplit/>
        </w:trPr>
        <w:tc>
          <w:tcPr>
            <w:tcW w:w="1696" w:type="dxa"/>
            <w:tcBorders>
              <w:left w:val="single" w:sz="4" w:space="0" w:color="auto"/>
            </w:tcBorders>
            <w:shd w:val="clear" w:color="auto" w:fill="auto"/>
          </w:tcPr>
          <w:p w14:paraId="378A991C" w14:textId="77777777" w:rsidR="002A4DDF" w:rsidRPr="00937C8B" w:rsidRDefault="002A4DDF" w:rsidP="009110ED">
            <w:pPr>
              <w:rPr>
                <w:rFonts w:ascii="Arial" w:hAnsi="Arial" w:cs="Arial"/>
                <w:sz w:val="12"/>
                <w:szCs w:val="12"/>
              </w:rPr>
            </w:pPr>
          </w:p>
        </w:tc>
        <w:tc>
          <w:tcPr>
            <w:tcW w:w="1843" w:type="dxa"/>
            <w:shd w:val="clear" w:color="auto" w:fill="auto"/>
          </w:tcPr>
          <w:p w14:paraId="5B209E2A" w14:textId="77777777" w:rsidR="002A4DDF" w:rsidRPr="00937C8B" w:rsidRDefault="002A4DDF" w:rsidP="009110ED">
            <w:pPr>
              <w:rPr>
                <w:rFonts w:ascii="Arial" w:hAnsi="Arial" w:cs="Arial"/>
                <w:sz w:val="12"/>
                <w:szCs w:val="12"/>
              </w:rPr>
            </w:pPr>
          </w:p>
        </w:tc>
        <w:tc>
          <w:tcPr>
            <w:tcW w:w="2268" w:type="dxa"/>
            <w:shd w:val="clear" w:color="auto" w:fill="F2F2F2"/>
            <w:hideMark/>
          </w:tcPr>
          <w:p w14:paraId="0D6086AE" w14:textId="77777777" w:rsidR="002A4DDF" w:rsidRPr="00937C8B" w:rsidRDefault="002A4DDF" w:rsidP="009110ED">
            <w:pPr>
              <w:rPr>
                <w:rFonts w:ascii="Arial" w:hAnsi="Arial" w:cs="Arial"/>
                <w:sz w:val="12"/>
                <w:szCs w:val="12"/>
              </w:rPr>
            </w:pPr>
            <w:r>
              <w:rPr>
                <w:rFonts w:ascii="Arial" w:hAnsi="Arial"/>
                <w:sz w:val="12"/>
                <w:szCs w:val="12"/>
              </w:rPr>
              <w:t>Valdestillas</w:t>
            </w:r>
          </w:p>
        </w:tc>
        <w:tc>
          <w:tcPr>
            <w:tcW w:w="2268" w:type="dxa"/>
            <w:tcBorders>
              <w:right w:val="single" w:sz="4" w:space="0" w:color="auto"/>
            </w:tcBorders>
            <w:shd w:val="clear" w:color="auto" w:fill="D9D9D9"/>
            <w:hideMark/>
          </w:tcPr>
          <w:p w14:paraId="4B1B7762" w14:textId="77777777" w:rsidR="002A4DDF" w:rsidRPr="00937C8B" w:rsidRDefault="002A4DDF" w:rsidP="009110ED">
            <w:pPr>
              <w:rPr>
                <w:rFonts w:ascii="Arial" w:hAnsi="Arial" w:cs="Arial"/>
                <w:sz w:val="12"/>
                <w:szCs w:val="12"/>
              </w:rPr>
            </w:pPr>
          </w:p>
        </w:tc>
      </w:tr>
      <w:tr w:rsidR="002A4DDF" w:rsidRPr="00937C8B" w14:paraId="01F7C333" w14:textId="77777777" w:rsidTr="00935676">
        <w:trPr>
          <w:cantSplit/>
        </w:trPr>
        <w:tc>
          <w:tcPr>
            <w:tcW w:w="1696" w:type="dxa"/>
            <w:tcBorders>
              <w:left w:val="single" w:sz="4" w:space="0" w:color="auto"/>
            </w:tcBorders>
            <w:shd w:val="clear" w:color="auto" w:fill="auto"/>
          </w:tcPr>
          <w:p w14:paraId="14BFFF21" w14:textId="77777777" w:rsidR="002A4DDF" w:rsidRPr="00937C8B" w:rsidRDefault="002A4DDF" w:rsidP="009110ED">
            <w:pPr>
              <w:rPr>
                <w:rFonts w:ascii="Arial" w:hAnsi="Arial" w:cs="Arial"/>
                <w:sz w:val="12"/>
                <w:szCs w:val="12"/>
              </w:rPr>
            </w:pPr>
          </w:p>
        </w:tc>
        <w:tc>
          <w:tcPr>
            <w:tcW w:w="1843" w:type="dxa"/>
            <w:shd w:val="clear" w:color="auto" w:fill="auto"/>
          </w:tcPr>
          <w:p w14:paraId="24AB4A6A" w14:textId="77777777" w:rsidR="002A4DDF" w:rsidRPr="00937C8B" w:rsidRDefault="002A4DDF" w:rsidP="009110ED">
            <w:pPr>
              <w:rPr>
                <w:rFonts w:ascii="Arial" w:hAnsi="Arial" w:cs="Arial"/>
                <w:sz w:val="12"/>
                <w:szCs w:val="12"/>
              </w:rPr>
            </w:pPr>
          </w:p>
        </w:tc>
        <w:tc>
          <w:tcPr>
            <w:tcW w:w="2268" w:type="dxa"/>
            <w:shd w:val="clear" w:color="auto" w:fill="F2F2F2"/>
            <w:hideMark/>
          </w:tcPr>
          <w:p w14:paraId="5A528B8A" w14:textId="77777777" w:rsidR="002A4DDF" w:rsidRPr="00937C8B" w:rsidRDefault="002A4DDF" w:rsidP="009110ED">
            <w:pPr>
              <w:rPr>
                <w:rFonts w:ascii="Arial" w:hAnsi="Arial" w:cs="Arial"/>
                <w:sz w:val="12"/>
                <w:szCs w:val="12"/>
              </w:rPr>
            </w:pPr>
            <w:r>
              <w:rPr>
                <w:rFonts w:ascii="Arial" w:hAnsi="Arial"/>
                <w:sz w:val="12"/>
                <w:szCs w:val="12"/>
              </w:rPr>
              <w:t>Vega de Ruiponce</w:t>
            </w:r>
          </w:p>
        </w:tc>
        <w:tc>
          <w:tcPr>
            <w:tcW w:w="2268" w:type="dxa"/>
            <w:tcBorders>
              <w:right w:val="single" w:sz="4" w:space="0" w:color="auto"/>
            </w:tcBorders>
            <w:shd w:val="clear" w:color="auto" w:fill="D9D9D9"/>
            <w:hideMark/>
          </w:tcPr>
          <w:p w14:paraId="2BC00E77" w14:textId="77777777" w:rsidR="002A4DDF" w:rsidRPr="00937C8B" w:rsidRDefault="002A4DDF" w:rsidP="009110ED">
            <w:pPr>
              <w:rPr>
                <w:rFonts w:ascii="Arial" w:hAnsi="Arial" w:cs="Arial"/>
                <w:sz w:val="12"/>
                <w:szCs w:val="12"/>
              </w:rPr>
            </w:pPr>
          </w:p>
        </w:tc>
      </w:tr>
      <w:tr w:rsidR="002A4DDF" w:rsidRPr="00937C8B" w14:paraId="552CD22F" w14:textId="77777777" w:rsidTr="00935676">
        <w:trPr>
          <w:cantSplit/>
        </w:trPr>
        <w:tc>
          <w:tcPr>
            <w:tcW w:w="1696" w:type="dxa"/>
            <w:tcBorders>
              <w:left w:val="single" w:sz="4" w:space="0" w:color="auto"/>
            </w:tcBorders>
            <w:shd w:val="clear" w:color="auto" w:fill="auto"/>
          </w:tcPr>
          <w:p w14:paraId="19083872" w14:textId="77777777" w:rsidR="002A4DDF" w:rsidRPr="00937C8B" w:rsidRDefault="002A4DDF" w:rsidP="009110ED">
            <w:pPr>
              <w:rPr>
                <w:rFonts w:ascii="Arial" w:hAnsi="Arial" w:cs="Arial"/>
                <w:sz w:val="12"/>
                <w:szCs w:val="12"/>
              </w:rPr>
            </w:pPr>
          </w:p>
        </w:tc>
        <w:tc>
          <w:tcPr>
            <w:tcW w:w="1843" w:type="dxa"/>
            <w:shd w:val="clear" w:color="auto" w:fill="auto"/>
          </w:tcPr>
          <w:p w14:paraId="6B6A3ABD" w14:textId="77777777" w:rsidR="002A4DDF" w:rsidRPr="00937C8B" w:rsidRDefault="002A4DDF" w:rsidP="009110ED">
            <w:pPr>
              <w:rPr>
                <w:rFonts w:ascii="Arial" w:hAnsi="Arial" w:cs="Arial"/>
                <w:sz w:val="12"/>
                <w:szCs w:val="12"/>
              </w:rPr>
            </w:pPr>
          </w:p>
        </w:tc>
        <w:tc>
          <w:tcPr>
            <w:tcW w:w="2268" w:type="dxa"/>
            <w:shd w:val="clear" w:color="auto" w:fill="F2F2F2"/>
            <w:hideMark/>
          </w:tcPr>
          <w:p w14:paraId="655C66E2" w14:textId="77777777" w:rsidR="002A4DDF" w:rsidRPr="00937C8B" w:rsidRDefault="002A4DDF" w:rsidP="009110ED">
            <w:pPr>
              <w:rPr>
                <w:rFonts w:ascii="Arial" w:hAnsi="Arial" w:cs="Arial"/>
                <w:sz w:val="12"/>
                <w:szCs w:val="12"/>
              </w:rPr>
            </w:pPr>
            <w:r>
              <w:rPr>
                <w:rFonts w:ascii="Arial" w:hAnsi="Arial"/>
                <w:sz w:val="12"/>
                <w:szCs w:val="12"/>
              </w:rPr>
              <w:t>Velascálvaro</w:t>
            </w:r>
          </w:p>
        </w:tc>
        <w:tc>
          <w:tcPr>
            <w:tcW w:w="2268" w:type="dxa"/>
            <w:tcBorders>
              <w:right w:val="single" w:sz="4" w:space="0" w:color="auto"/>
            </w:tcBorders>
            <w:shd w:val="clear" w:color="auto" w:fill="D9D9D9"/>
            <w:hideMark/>
          </w:tcPr>
          <w:p w14:paraId="24E3E09E" w14:textId="77777777" w:rsidR="002A4DDF" w:rsidRPr="00937C8B" w:rsidRDefault="002A4DDF" w:rsidP="009110ED">
            <w:pPr>
              <w:rPr>
                <w:rFonts w:ascii="Arial" w:hAnsi="Arial" w:cs="Arial"/>
                <w:sz w:val="12"/>
                <w:szCs w:val="12"/>
              </w:rPr>
            </w:pPr>
          </w:p>
        </w:tc>
      </w:tr>
      <w:tr w:rsidR="002A4DDF" w:rsidRPr="00937C8B" w14:paraId="61F563C4" w14:textId="77777777" w:rsidTr="00935676">
        <w:trPr>
          <w:cantSplit/>
        </w:trPr>
        <w:tc>
          <w:tcPr>
            <w:tcW w:w="1696" w:type="dxa"/>
            <w:tcBorders>
              <w:left w:val="single" w:sz="4" w:space="0" w:color="auto"/>
            </w:tcBorders>
            <w:shd w:val="clear" w:color="auto" w:fill="auto"/>
          </w:tcPr>
          <w:p w14:paraId="3388252C" w14:textId="77777777" w:rsidR="002A4DDF" w:rsidRPr="00937C8B" w:rsidRDefault="002A4DDF" w:rsidP="009110ED">
            <w:pPr>
              <w:rPr>
                <w:rFonts w:ascii="Arial" w:hAnsi="Arial" w:cs="Arial"/>
                <w:sz w:val="12"/>
                <w:szCs w:val="12"/>
              </w:rPr>
            </w:pPr>
          </w:p>
        </w:tc>
        <w:tc>
          <w:tcPr>
            <w:tcW w:w="1843" w:type="dxa"/>
            <w:shd w:val="clear" w:color="auto" w:fill="auto"/>
          </w:tcPr>
          <w:p w14:paraId="0906E97F" w14:textId="77777777" w:rsidR="002A4DDF" w:rsidRPr="00937C8B" w:rsidRDefault="002A4DDF" w:rsidP="009110ED">
            <w:pPr>
              <w:rPr>
                <w:rFonts w:ascii="Arial" w:hAnsi="Arial" w:cs="Arial"/>
                <w:sz w:val="12"/>
                <w:szCs w:val="12"/>
              </w:rPr>
            </w:pPr>
          </w:p>
        </w:tc>
        <w:tc>
          <w:tcPr>
            <w:tcW w:w="2268" w:type="dxa"/>
            <w:shd w:val="clear" w:color="auto" w:fill="F2F2F2"/>
            <w:hideMark/>
          </w:tcPr>
          <w:p w14:paraId="69385ED0" w14:textId="77777777" w:rsidR="002A4DDF" w:rsidRPr="00937C8B" w:rsidRDefault="002A4DDF" w:rsidP="009110ED">
            <w:pPr>
              <w:rPr>
                <w:rFonts w:ascii="Arial" w:hAnsi="Arial" w:cs="Arial"/>
                <w:sz w:val="12"/>
                <w:szCs w:val="12"/>
              </w:rPr>
            </w:pPr>
            <w:r>
              <w:rPr>
                <w:rFonts w:ascii="Arial" w:hAnsi="Arial"/>
                <w:sz w:val="12"/>
                <w:szCs w:val="12"/>
              </w:rPr>
              <w:t>Ventosa de la Cuesta</w:t>
            </w:r>
          </w:p>
        </w:tc>
        <w:tc>
          <w:tcPr>
            <w:tcW w:w="2268" w:type="dxa"/>
            <w:tcBorders>
              <w:right w:val="single" w:sz="4" w:space="0" w:color="auto"/>
            </w:tcBorders>
            <w:shd w:val="clear" w:color="auto" w:fill="D9D9D9"/>
            <w:hideMark/>
          </w:tcPr>
          <w:p w14:paraId="329A3BD0" w14:textId="77777777" w:rsidR="002A4DDF" w:rsidRPr="00937C8B" w:rsidRDefault="002A4DDF" w:rsidP="009110ED">
            <w:pPr>
              <w:rPr>
                <w:rFonts w:ascii="Arial" w:hAnsi="Arial" w:cs="Arial"/>
                <w:sz w:val="12"/>
                <w:szCs w:val="12"/>
              </w:rPr>
            </w:pPr>
          </w:p>
        </w:tc>
      </w:tr>
      <w:tr w:rsidR="002A4DDF" w:rsidRPr="00937C8B" w14:paraId="4B685734" w14:textId="77777777" w:rsidTr="00935676">
        <w:trPr>
          <w:cantSplit/>
        </w:trPr>
        <w:tc>
          <w:tcPr>
            <w:tcW w:w="1696" w:type="dxa"/>
            <w:tcBorders>
              <w:left w:val="single" w:sz="4" w:space="0" w:color="auto"/>
            </w:tcBorders>
            <w:shd w:val="clear" w:color="auto" w:fill="auto"/>
          </w:tcPr>
          <w:p w14:paraId="1E0141CD" w14:textId="77777777" w:rsidR="002A4DDF" w:rsidRPr="00937C8B" w:rsidRDefault="002A4DDF" w:rsidP="009110ED">
            <w:pPr>
              <w:rPr>
                <w:rFonts w:ascii="Arial" w:hAnsi="Arial" w:cs="Arial"/>
                <w:sz w:val="12"/>
                <w:szCs w:val="12"/>
              </w:rPr>
            </w:pPr>
          </w:p>
        </w:tc>
        <w:tc>
          <w:tcPr>
            <w:tcW w:w="1843" w:type="dxa"/>
            <w:shd w:val="clear" w:color="auto" w:fill="auto"/>
          </w:tcPr>
          <w:p w14:paraId="31462905" w14:textId="77777777" w:rsidR="002A4DDF" w:rsidRPr="00937C8B" w:rsidRDefault="002A4DDF" w:rsidP="009110ED">
            <w:pPr>
              <w:rPr>
                <w:rFonts w:ascii="Arial" w:hAnsi="Arial" w:cs="Arial"/>
                <w:sz w:val="12"/>
                <w:szCs w:val="12"/>
              </w:rPr>
            </w:pPr>
          </w:p>
        </w:tc>
        <w:tc>
          <w:tcPr>
            <w:tcW w:w="2268" w:type="dxa"/>
            <w:shd w:val="clear" w:color="auto" w:fill="F2F2F2"/>
            <w:hideMark/>
          </w:tcPr>
          <w:p w14:paraId="6BA06C98" w14:textId="77777777" w:rsidR="002A4DDF" w:rsidRPr="00937C8B" w:rsidRDefault="002A4DDF" w:rsidP="009110ED">
            <w:pPr>
              <w:rPr>
                <w:rFonts w:ascii="Arial" w:hAnsi="Arial" w:cs="Arial"/>
                <w:sz w:val="12"/>
                <w:szCs w:val="12"/>
              </w:rPr>
            </w:pPr>
            <w:r>
              <w:rPr>
                <w:rFonts w:ascii="Arial" w:hAnsi="Arial"/>
                <w:sz w:val="12"/>
                <w:szCs w:val="12"/>
              </w:rPr>
              <w:t>Viana de Cega</w:t>
            </w:r>
          </w:p>
        </w:tc>
        <w:tc>
          <w:tcPr>
            <w:tcW w:w="2268" w:type="dxa"/>
            <w:tcBorders>
              <w:right w:val="single" w:sz="4" w:space="0" w:color="auto"/>
            </w:tcBorders>
            <w:shd w:val="clear" w:color="auto" w:fill="D9D9D9"/>
            <w:hideMark/>
          </w:tcPr>
          <w:p w14:paraId="047303E0" w14:textId="77777777" w:rsidR="002A4DDF" w:rsidRPr="00937C8B" w:rsidRDefault="002A4DDF" w:rsidP="009110ED">
            <w:pPr>
              <w:rPr>
                <w:rFonts w:ascii="Arial" w:hAnsi="Arial" w:cs="Arial"/>
                <w:sz w:val="12"/>
                <w:szCs w:val="12"/>
              </w:rPr>
            </w:pPr>
          </w:p>
        </w:tc>
      </w:tr>
      <w:tr w:rsidR="002A4DDF" w:rsidRPr="00937C8B" w14:paraId="7E1B4BAA" w14:textId="77777777" w:rsidTr="00935676">
        <w:trPr>
          <w:cantSplit/>
        </w:trPr>
        <w:tc>
          <w:tcPr>
            <w:tcW w:w="1696" w:type="dxa"/>
            <w:tcBorders>
              <w:left w:val="single" w:sz="4" w:space="0" w:color="auto"/>
            </w:tcBorders>
            <w:shd w:val="clear" w:color="auto" w:fill="auto"/>
          </w:tcPr>
          <w:p w14:paraId="7CE653E2" w14:textId="77777777" w:rsidR="002A4DDF" w:rsidRPr="00937C8B" w:rsidRDefault="002A4DDF" w:rsidP="009110ED">
            <w:pPr>
              <w:rPr>
                <w:rFonts w:ascii="Arial" w:hAnsi="Arial" w:cs="Arial"/>
                <w:sz w:val="12"/>
                <w:szCs w:val="12"/>
              </w:rPr>
            </w:pPr>
          </w:p>
        </w:tc>
        <w:tc>
          <w:tcPr>
            <w:tcW w:w="1843" w:type="dxa"/>
            <w:shd w:val="clear" w:color="auto" w:fill="auto"/>
          </w:tcPr>
          <w:p w14:paraId="2B2CF7D2" w14:textId="77777777" w:rsidR="002A4DDF" w:rsidRPr="00937C8B" w:rsidRDefault="002A4DDF" w:rsidP="009110ED">
            <w:pPr>
              <w:rPr>
                <w:rFonts w:ascii="Arial" w:hAnsi="Arial" w:cs="Arial"/>
                <w:sz w:val="12"/>
                <w:szCs w:val="12"/>
              </w:rPr>
            </w:pPr>
          </w:p>
        </w:tc>
        <w:tc>
          <w:tcPr>
            <w:tcW w:w="2268" w:type="dxa"/>
            <w:shd w:val="clear" w:color="auto" w:fill="F2F2F2"/>
            <w:hideMark/>
          </w:tcPr>
          <w:p w14:paraId="772BEA5C" w14:textId="77777777" w:rsidR="002A4DDF" w:rsidRPr="00937C8B" w:rsidRDefault="002A4DDF" w:rsidP="009110ED">
            <w:pPr>
              <w:rPr>
                <w:rFonts w:ascii="Arial" w:hAnsi="Arial" w:cs="Arial"/>
                <w:sz w:val="12"/>
                <w:szCs w:val="12"/>
              </w:rPr>
            </w:pPr>
            <w:r>
              <w:rPr>
                <w:rFonts w:ascii="Arial" w:hAnsi="Arial"/>
                <w:sz w:val="12"/>
                <w:szCs w:val="12"/>
              </w:rPr>
              <w:t>Villabaruz de Campos</w:t>
            </w:r>
          </w:p>
        </w:tc>
        <w:tc>
          <w:tcPr>
            <w:tcW w:w="2268" w:type="dxa"/>
            <w:tcBorders>
              <w:right w:val="single" w:sz="4" w:space="0" w:color="auto"/>
            </w:tcBorders>
            <w:shd w:val="clear" w:color="auto" w:fill="D9D9D9"/>
            <w:hideMark/>
          </w:tcPr>
          <w:p w14:paraId="6ACAB8AA" w14:textId="77777777" w:rsidR="002A4DDF" w:rsidRPr="00937C8B" w:rsidRDefault="002A4DDF" w:rsidP="009110ED">
            <w:pPr>
              <w:rPr>
                <w:rFonts w:ascii="Arial" w:hAnsi="Arial" w:cs="Arial"/>
                <w:sz w:val="12"/>
                <w:szCs w:val="12"/>
              </w:rPr>
            </w:pPr>
          </w:p>
        </w:tc>
      </w:tr>
      <w:tr w:rsidR="002A4DDF" w:rsidRPr="00937C8B" w14:paraId="0EB11B12" w14:textId="77777777" w:rsidTr="00935676">
        <w:trPr>
          <w:cantSplit/>
        </w:trPr>
        <w:tc>
          <w:tcPr>
            <w:tcW w:w="1696" w:type="dxa"/>
            <w:tcBorders>
              <w:left w:val="single" w:sz="4" w:space="0" w:color="auto"/>
            </w:tcBorders>
            <w:shd w:val="clear" w:color="auto" w:fill="auto"/>
          </w:tcPr>
          <w:p w14:paraId="7832A6F9" w14:textId="77777777" w:rsidR="002A4DDF" w:rsidRPr="00937C8B" w:rsidRDefault="002A4DDF" w:rsidP="009110ED">
            <w:pPr>
              <w:rPr>
                <w:rFonts w:ascii="Arial" w:hAnsi="Arial" w:cs="Arial"/>
                <w:sz w:val="12"/>
                <w:szCs w:val="12"/>
              </w:rPr>
            </w:pPr>
          </w:p>
        </w:tc>
        <w:tc>
          <w:tcPr>
            <w:tcW w:w="1843" w:type="dxa"/>
            <w:shd w:val="clear" w:color="auto" w:fill="auto"/>
          </w:tcPr>
          <w:p w14:paraId="4A3CA627" w14:textId="77777777" w:rsidR="002A4DDF" w:rsidRPr="00937C8B" w:rsidRDefault="002A4DDF" w:rsidP="009110ED">
            <w:pPr>
              <w:rPr>
                <w:rFonts w:ascii="Arial" w:hAnsi="Arial" w:cs="Arial"/>
                <w:sz w:val="12"/>
                <w:szCs w:val="12"/>
              </w:rPr>
            </w:pPr>
          </w:p>
        </w:tc>
        <w:tc>
          <w:tcPr>
            <w:tcW w:w="2268" w:type="dxa"/>
            <w:shd w:val="clear" w:color="auto" w:fill="F2F2F2"/>
            <w:hideMark/>
          </w:tcPr>
          <w:p w14:paraId="13BEFE36" w14:textId="77777777" w:rsidR="002A4DDF" w:rsidRPr="00937C8B" w:rsidRDefault="002A4DDF" w:rsidP="009110ED">
            <w:pPr>
              <w:rPr>
                <w:rFonts w:ascii="Arial" w:hAnsi="Arial" w:cs="Arial"/>
                <w:sz w:val="12"/>
                <w:szCs w:val="12"/>
              </w:rPr>
            </w:pPr>
            <w:r>
              <w:rPr>
                <w:rFonts w:ascii="Arial" w:hAnsi="Arial"/>
                <w:sz w:val="12"/>
                <w:szCs w:val="12"/>
              </w:rPr>
              <w:t>Villacarralón</w:t>
            </w:r>
          </w:p>
        </w:tc>
        <w:tc>
          <w:tcPr>
            <w:tcW w:w="2268" w:type="dxa"/>
            <w:tcBorders>
              <w:right w:val="single" w:sz="4" w:space="0" w:color="auto"/>
            </w:tcBorders>
            <w:shd w:val="clear" w:color="auto" w:fill="D9D9D9"/>
            <w:hideMark/>
          </w:tcPr>
          <w:p w14:paraId="212B2181" w14:textId="77777777" w:rsidR="002A4DDF" w:rsidRPr="00937C8B" w:rsidRDefault="002A4DDF" w:rsidP="009110ED">
            <w:pPr>
              <w:rPr>
                <w:rFonts w:ascii="Arial" w:hAnsi="Arial" w:cs="Arial"/>
                <w:sz w:val="12"/>
                <w:szCs w:val="12"/>
              </w:rPr>
            </w:pPr>
          </w:p>
        </w:tc>
      </w:tr>
      <w:tr w:rsidR="002A4DDF" w:rsidRPr="00937C8B" w14:paraId="3323956B" w14:textId="77777777" w:rsidTr="00935676">
        <w:trPr>
          <w:cantSplit/>
        </w:trPr>
        <w:tc>
          <w:tcPr>
            <w:tcW w:w="1696" w:type="dxa"/>
            <w:tcBorders>
              <w:left w:val="single" w:sz="4" w:space="0" w:color="auto"/>
            </w:tcBorders>
            <w:shd w:val="clear" w:color="auto" w:fill="auto"/>
          </w:tcPr>
          <w:p w14:paraId="3B6846C6" w14:textId="77777777" w:rsidR="002A4DDF" w:rsidRPr="00937C8B" w:rsidRDefault="002A4DDF" w:rsidP="009110ED">
            <w:pPr>
              <w:rPr>
                <w:rFonts w:ascii="Arial" w:hAnsi="Arial" w:cs="Arial"/>
                <w:sz w:val="12"/>
                <w:szCs w:val="12"/>
              </w:rPr>
            </w:pPr>
          </w:p>
        </w:tc>
        <w:tc>
          <w:tcPr>
            <w:tcW w:w="1843" w:type="dxa"/>
            <w:shd w:val="clear" w:color="auto" w:fill="auto"/>
          </w:tcPr>
          <w:p w14:paraId="2A6FED7A" w14:textId="77777777" w:rsidR="002A4DDF" w:rsidRPr="00937C8B" w:rsidRDefault="002A4DDF" w:rsidP="009110ED">
            <w:pPr>
              <w:rPr>
                <w:rFonts w:ascii="Arial" w:hAnsi="Arial" w:cs="Arial"/>
                <w:sz w:val="12"/>
                <w:szCs w:val="12"/>
              </w:rPr>
            </w:pPr>
          </w:p>
        </w:tc>
        <w:tc>
          <w:tcPr>
            <w:tcW w:w="2268" w:type="dxa"/>
            <w:shd w:val="clear" w:color="auto" w:fill="F2F2F2"/>
            <w:hideMark/>
          </w:tcPr>
          <w:p w14:paraId="22F6291B" w14:textId="77777777" w:rsidR="002A4DDF" w:rsidRPr="00937C8B" w:rsidRDefault="002A4DDF" w:rsidP="009110ED">
            <w:pPr>
              <w:rPr>
                <w:rFonts w:ascii="Arial" w:hAnsi="Arial" w:cs="Arial"/>
                <w:sz w:val="12"/>
                <w:szCs w:val="12"/>
              </w:rPr>
            </w:pPr>
            <w:r>
              <w:rPr>
                <w:rFonts w:ascii="Arial" w:hAnsi="Arial"/>
                <w:sz w:val="12"/>
                <w:szCs w:val="12"/>
              </w:rPr>
              <w:t>Villacid de Campos</w:t>
            </w:r>
          </w:p>
        </w:tc>
        <w:tc>
          <w:tcPr>
            <w:tcW w:w="2268" w:type="dxa"/>
            <w:tcBorders>
              <w:right w:val="single" w:sz="4" w:space="0" w:color="auto"/>
            </w:tcBorders>
            <w:shd w:val="clear" w:color="auto" w:fill="D9D9D9"/>
            <w:hideMark/>
          </w:tcPr>
          <w:p w14:paraId="5893A4BC" w14:textId="77777777" w:rsidR="002A4DDF" w:rsidRPr="00937C8B" w:rsidRDefault="002A4DDF" w:rsidP="009110ED">
            <w:pPr>
              <w:rPr>
                <w:rFonts w:ascii="Arial" w:hAnsi="Arial" w:cs="Arial"/>
                <w:sz w:val="12"/>
                <w:szCs w:val="12"/>
              </w:rPr>
            </w:pPr>
          </w:p>
        </w:tc>
      </w:tr>
      <w:tr w:rsidR="002A4DDF" w:rsidRPr="00937C8B" w14:paraId="0CAFB816" w14:textId="77777777" w:rsidTr="00935676">
        <w:trPr>
          <w:cantSplit/>
        </w:trPr>
        <w:tc>
          <w:tcPr>
            <w:tcW w:w="1696" w:type="dxa"/>
            <w:tcBorders>
              <w:left w:val="single" w:sz="4" w:space="0" w:color="auto"/>
            </w:tcBorders>
            <w:shd w:val="clear" w:color="auto" w:fill="auto"/>
          </w:tcPr>
          <w:p w14:paraId="7727EA88" w14:textId="77777777" w:rsidR="002A4DDF" w:rsidRPr="00937C8B" w:rsidRDefault="002A4DDF" w:rsidP="009110ED">
            <w:pPr>
              <w:rPr>
                <w:rFonts w:ascii="Arial" w:hAnsi="Arial" w:cs="Arial"/>
                <w:sz w:val="12"/>
                <w:szCs w:val="12"/>
              </w:rPr>
            </w:pPr>
          </w:p>
        </w:tc>
        <w:tc>
          <w:tcPr>
            <w:tcW w:w="1843" w:type="dxa"/>
            <w:shd w:val="clear" w:color="auto" w:fill="auto"/>
          </w:tcPr>
          <w:p w14:paraId="515D5A3E" w14:textId="77777777" w:rsidR="002A4DDF" w:rsidRPr="00937C8B" w:rsidRDefault="002A4DDF" w:rsidP="009110ED">
            <w:pPr>
              <w:rPr>
                <w:rFonts w:ascii="Arial" w:hAnsi="Arial" w:cs="Arial"/>
                <w:sz w:val="12"/>
                <w:szCs w:val="12"/>
              </w:rPr>
            </w:pPr>
          </w:p>
        </w:tc>
        <w:tc>
          <w:tcPr>
            <w:tcW w:w="2268" w:type="dxa"/>
            <w:shd w:val="clear" w:color="auto" w:fill="F2F2F2"/>
            <w:hideMark/>
          </w:tcPr>
          <w:p w14:paraId="055BD9AA" w14:textId="77777777" w:rsidR="002A4DDF" w:rsidRPr="00937C8B" w:rsidRDefault="002A4DDF" w:rsidP="009110ED">
            <w:pPr>
              <w:rPr>
                <w:rFonts w:ascii="Arial" w:hAnsi="Arial" w:cs="Arial"/>
                <w:sz w:val="12"/>
                <w:szCs w:val="12"/>
              </w:rPr>
            </w:pPr>
            <w:r>
              <w:rPr>
                <w:rFonts w:ascii="Arial" w:hAnsi="Arial"/>
                <w:sz w:val="12"/>
                <w:szCs w:val="12"/>
              </w:rPr>
              <w:t>Villafrades de Campos</w:t>
            </w:r>
          </w:p>
        </w:tc>
        <w:tc>
          <w:tcPr>
            <w:tcW w:w="2268" w:type="dxa"/>
            <w:tcBorders>
              <w:right w:val="single" w:sz="4" w:space="0" w:color="auto"/>
            </w:tcBorders>
            <w:shd w:val="clear" w:color="auto" w:fill="D9D9D9"/>
            <w:hideMark/>
          </w:tcPr>
          <w:p w14:paraId="2FB9F9C5" w14:textId="77777777" w:rsidR="002A4DDF" w:rsidRPr="00937C8B" w:rsidRDefault="002A4DDF" w:rsidP="009110ED">
            <w:pPr>
              <w:rPr>
                <w:rFonts w:ascii="Arial" w:hAnsi="Arial" w:cs="Arial"/>
                <w:sz w:val="12"/>
                <w:szCs w:val="12"/>
              </w:rPr>
            </w:pPr>
          </w:p>
        </w:tc>
      </w:tr>
      <w:tr w:rsidR="002A4DDF" w:rsidRPr="00937C8B" w14:paraId="1BD12EA7" w14:textId="77777777" w:rsidTr="00935676">
        <w:trPr>
          <w:cantSplit/>
        </w:trPr>
        <w:tc>
          <w:tcPr>
            <w:tcW w:w="1696" w:type="dxa"/>
            <w:tcBorders>
              <w:left w:val="single" w:sz="4" w:space="0" w:color="auto"/>
            </w:tcBorders>
            <w:shd w:val="clear" w:color="auto" w:fill="auto"/>
          </w:tcPr>
          <w:p w14:paraId="4C35DC56" w14:textId="77777777" w:rsidR="002A4DDF" w:rsidRPr="00937C8B" w:rsidRDefault="002A4DDF" w:rsidP="009110ED">
            <w:pPr>
              <w:rPr>
                <w:rFonts w:ascii="Arial" w:hAnsi="Arial" w:cs="Arial"/>
                <w:sz w:val="12"/>
                <w:szCs w:val="12"/>
              </w:rPr>
            </w:pPr>
          </w:p>
        </w:tc>
        <w:tc>
          <w:tcPr>
            <w:tcW w:w="1843" w:type="dxa"/>
            <w:shd w:val="clear" w:color="auto" w:fill="auto"/>
          </w:tcPr>
          <w:p w14:paraId="4952BFDC" w14:textId="77777777" w:rsidR="002A4DDF" w:rsidRPr="00937C8B" w:rsidRDefault="002A4DDF" w:rsidP="009110ED">
            <w:pPr>
              <w:rPr>
                <w:rFonts w:ascii="Arial" w:hAnsi="Arial" w:cs="Arial"/>
                <w:sz w:val="12"/>
                <w:szCs w:val="12"/>
              </w:rPr>
            </w:pPr>
          </w:p>
        </w:tc>
        <w:tc>
          <w:tcPr>
            <w:tcW w:w="2268" w:type="dxa"/>
            <w:shd w:val="clear" w:color="auto" w:fill="F2F2F2"/>
            <w:hideMark/>
          </w:tcPr>
          <w:p w14:paraId="069734FD" w14:textId="77777777" w:rsidR="002A4DDF" w:rsidRPr="00937C8B" w:rsidRDefault="002A4DDF" w:rsidP="009110ED">
            <w:pPr>
              <w:rPr>
                <w:rFonts w:ascii="Arial" w:hAnsi="Arial" w:cs="Arial"/>
                <w:sz w:val="12"/>
                <w:szCs w:val="12"/>
              </w:rPr>
            </w:pPr>
            <w:r>
              <w:rPr>
                <w:rFonts w:ascii="Arial" w:hAnsi="Arial"/>
                <w:sz w:val="12"/>
                <w:szCs w:val="12"/>
              </w:rPr>
              <w:t>Villafranca de Duero</w:t>
            </w:r>
          </w:p>
        </w:tc>
        <w:tc>
          <w:tcPr>
            <w:tcW w:w="2268" w:type="dxa"/>
            <w:tcBorders>
              <w:right w:val="single" w:sz="4" w:space="0" w:color="auto"/>
            </w:tcBorders>
            <w:shd w:val="clear" w:color="auto" w:fill="D9D9D9"/>
            <w:hideMark/>
          </w:tcPr>
          <w:p w14:paraId="71D88E1F" w14:textId="77777777" w:rsidR="002A4DDF" w:rsidRPr="00937C8B" w:rsidRDefault="002A4DDF" w:rsidP="009110ED">
            <w:pPr>
              <w:rPr>
                <w:rFonts w:ascii="Arial" w:hAnsi="Arial" w:cs="Arial"/>
                <w:sz w:val="12"/>
                <w:szCs w:val="12"/>
              </w:rPr>
            </w:pPr>
          </w:p>
        </w:tc>
      </w:tr>
      <w:tr w:rsidR="002A4DDF" w:rsidRPr="00937C8B" w14:paraId="0B4EB52D" w14:textId="77777777" w:rsidTr="00935676">
        <w:trPr>
          <w:cantSplit/>
        </w:trPr>
        <w:tc>
          <w:tcPr>
            <w:tcW w:w="1696" w:type="dxa"/>
            <w:tcBorders>
              <w:left w:val="single" w:sz="4" w:space="0" w:color="auto"/>
            </w:tcBorders>
            <w:shd w:val="clear" w:color="auto" w:fill="auto"/>
          </w:tcPr>
          <w:p w14:paraId="42F78C04" w14:textId="77777777" w:rsidR="002A4DDF" w:rsidRPr="00937C8B" w:rsidRDefault="002A4DDF" w:rsidP="009110ED">
            <w:pPr>
              <w:rPr>
                <w:rFonts w:ascii="Arial" w:hAnsi="Arial" w:cs="Arial"/>
                <w:sz w:val="12"/>
                <w:szCs w:val="12"/>
              </w:rPr>
            </w:pPr>
          </w:p>
        </w:tc>
        <w:tc>
          <w:tcPr>
            <w:tcW w:w="1843" w:type="dxa"/>
            <w:shd w:val="clear" w:color="auto" w:fill="auto"/>
          </w:tcPr>
          <w:p w14:paraId="2DC35D01" w14:textId="77777777" w:rsidR="002A4DDF" w:rsidRPr="00937C8B" w:rsidRDefault="002A4DDF" w:rsidP="009110ED">
            <w:pPr>
              <w:rPr>
                <w:rFonts w:ascii="Arial" w:hAnsi="Arial" w:cs="Arial"/>
                <w:sz w:val="12"/>
                <w:szCs w:val="12"/>
              </w:rPr>
            </w:pPr>
          </w:p>
        </w:tc>
        <w:tc>
          <w:tcPr>
            <w:tcW w:w="2268" w:type="dxa"/>
            <w:shd w:val="clear" w:color="auto" w:fill="F2F2F2"/>
            <w:hideMark/>
          </w:tcPr>
          <w:p w14:paraId="3AD3CA40" w14:textId="77777777" w:rsidR="002A4DDF" w:rsidRPr="00937C8B" w:rsidRDefault="002A4DDF" w:rsidP="009110ED">
            <w:pPr>
              <w:rPr>
                <w:rFonts w:ascii="Arial" w:hAnsi="Arial" w:cs="Arial"/>
                <w:sz w:val="12"/>
                <w:szCs w:val="12"/>
              </w:rPr>
            </w:pPr>
            <w:r>
              <w:rPr>
                <w:rFonts w:ascii="Arial" w:hAnsi="Arial"/>
                <w:sz w:val="12"/>
                <w:szCs w:val="12"/>
              </w:rPr>
              <w:t>Villagómez la Nueva</w:t>
            </w:r>
          </w:p>
        </w:tc>
        <w:tc>
          <w:tcPr>
            <w:tcW w:w="2268" w:type="dxa"/>
            <w:tcBorders>
              <w:right w:val="single" w:sz="4" w:space="0" w:color="auto"/>
            </w:tcBorders>
            <w:shd w:val="clear" w:color="auto" w:fill="D9D9D9"/>
            <w:hideMark/>
          </w:tcPr>
          <w:p w14:paraId="6A02DFC0" w14:textId="77777777" w:rsidR="002A4DDF" w:rsidRPr="00937C8B" w:rsidRDefault="002A4DDF" w:rsidP="009110ED">
            <w:pPr>
              <w:rPr>
                <w:rFonts w:ascii="Arial" w:hAnsi="Arial" w:cs="Arial"/>
                <w:sz w:val="12"/>
                <w:szCs w:val="12"/>
              </w:rPr>
            </w:pPr>
          </w:p>
        </w:tc>
      </w:tr>
      <w:tr w:rsidR="002A4DDF" w:rsidRPr="00937C8B" w14:paraId="11422F99" w14:textId="77777777" w:rsidTr="00935676">
        <w:trPr>
          <w:cantSplit/>
        </w:trPr>
        <w:tc>
          <w:tcPr>
            <w:tcW w:w="1696" w:type="dxa"/>
            <w:tcBorders>
              <w:left w:val="single" w:sz="4" w:space="0" w:color="auto"/>
            </w:tcBorders>
            <w:shd w:val="clear" w:color="auto" w:fill="auto"/>
          </w:tcPr>
          <w:p w14:paraId="65892C74" w14:textId="77777777" w:rsidR="002A4DDF" w:rsidRPr="00937C8B" w:rsidRDefault="002A4DDF" w:rsidP="009110ED">
            <w:pPr>
              <w:rPr>
                <w:rFonts w:ascii="Arial" w:hAnsi="Arial" w:cs="Arial"/>
                <w:sz w:val="12"/>
                <w:szCs w:val="12"/>
              </w:rPr>
            </w:pPr>
          </w:p>
        </w:tc>
        <w:tc>
          <w:tcPr>
            <w:tcW w:w="1843" w:type="dxa"/>
            <w:shd w:val="clear" w:color="auto" w:fill="auto"/>
          </w:tcPr>
          <w:p w14:paraId="5A7B4551" w14:textId="77777777" w:rsidR="002A4DDF" w:rsidRPr="00937C8B" w:rsidRDefault="002A4DDF" w:rsidP="009110ED">
            <w:pPr>
              <w:rPr>
                <w:rFonts w:ascii="Arial" w:hAnsi="Arial" w:cs="Arial"/>
                <w:sz w:val="12"/>
                <w:szCs w:val="12"/>
              </w:rPr>
            </w:pPr>
          </w:p>
        </w:tc>
        <w:tc>
          <w:tcPr>
            <w:tcW w:w="2268" w:type="dxa"/>
            <w:shd w:val="clear" w:color="auto" w:fill="F2F2F2"/>
            <w:hideMark/>
          </w:tcPr>
          <w:p w14:paraId="461F12D6" w14:textId="77777777" w:rsidR="002A4DDF" w:rsidRPr="00937C8B" w:rsidRDefault="002A4DDF" w:rsidP="009110ED">
            <w:pPr>
              <w:rPr>
                <w:rFonts w:ascii="Arial" w:hAnsi="Arial" w:cs="Arial"/>
                <w:sz w:val="12"/>
                <w:szCs w:val="12"/>
              </w:rPr>
            </w:pPr>
            <w:r>
              <w:rPr>
                <w:rFonts w:ascii="Arial" w:hAnsi="Arial"/>
                <w:sz w:val="12"/>
                <w:szCs w:val="12"/>
              </w:rPr>
              <w:t>Villalba de la Loma</w:t>
            </w:r>
          </w:p>
        </w:tc>
        <w:tc>
          <w:tcPr>
            <w:tcW w:w="2268" w:type="dxa"/>
            <w:tcBorders>
              <w:right w:val="single" w:sz="4" w:space="0" w:color="auto"/>
            </w:tcBorders>
            <w:shd w:val="clear" w:color="auto" w:fill="D9D9D9"/>
            <w:hideMark/>
          </w:tcPr>
          <w:p w14:paraId="3122707D" w14:textId="77777777" w:rsidR="002A4DDF" w:rsidRPr="00937C8B" w:rsidRDefault="002A4DDF" w:rsidP="009110ED">
            <w:pPr>
              <w:rPr>
                <w:rFonts w:ascii="Arial" w:hAnsi="Arial" w:cs="Arial"/>
                <w:sz w:val="12"/>
                <w:szCs w:val="12"/>
              </w:rPr>
            </w:pPr>
          </w:p>
        </w:tc>
      </w:tr>
      <w:tr w:rsidR="002A4DDF" w:rsidRPr="00937C8B" w14:paraId="189F894C" w14:textId="77777777" w:rsidTr="00935676">
        <w:trPr>
          <w:cantSplit/>
        </w:trPr>
        <w:tc>
          <w:tcPr>
            <w:tcW w:w="1696" w:type="dxa"/>
            <w:tcBorders>
              <w:left w:val="single" w:sz="4" w:space="0" w:color="auto"/>
            </w:tcBorders>
            <w:shd w:val="clear" w:color="auto" w:fill="auto"/>
          </w:tcPr>
          <w:p w14:paraId="3328BF4C" w14:textId="77777777" w:rsidR="002A4DDF" w:rsidRPr="00937C8B" w:rsidRDefault="002A4DDF" w:rsidP="009110ED">
            <w:pPr>
              <w:rPr>
                <w:rFonts w:ascii="Arial" w:hAnsi="Arial" w:cs="Arial"/>
                <w:sz w:val="12"/>
                <w:szCs w:val="12"/>
              </w:rPr>
            </w:pPr>
          </w:p>
        </w:tc>
        <w:tc>
          <w:tcPr>
            <w:tcW w:w="1843" w:type="dxa"/>
            <w:shd w:val="clear" w:color="auto" w:fill="auto"/>
          </w:tcPr>
          <w:p w14:paraId="3D3FA1B9" w14:textId="77777777" w:rsidR="002A4DDF" w:rsidRPr="00937C8B" w:rsidRDefault="002A4DDF" w:rsidP="009110ED">
            <w:pPr>
              <w:rPr>
                <w:rFonts w:ascii="Arial" w:hAnsi="Arial" w:cs="Arial"/>
                <w:sz w:val="12"/>
                <w:szCs w:val="12"/>
              </w:rPr>
            </w:pPr>
          </w:p>
        </w:tc>
        <w:tc>
          <w:tcPr>
            <w:tcW w:w="2268" w:type="dxa"/>
            <w:shd w:val="clear" w:color="auto" w:fill="F2F2F2"/>
            <w:hideMark/>
          </w:tcPr>
          <w:p w14:paraId="4D2C0B40" w14:textId="77777777" w:rsidR="002A4DDF" w:rsidRPr="00937C8B" w:rsidRDefault="002A4DDF" w:rsidP="009110ED">
            <w:pPr>
              <w:rPr>
                <w:rFonts w:ascii="Arial" w:hAnsi="Arial" w:cs="Arial"/>
                <w:sz w:val="12"/>
                <w:szCs w:val="12"/>
              </w:rPr>
            </w:pPr>
            <w:r>
              <w:rPr>
                <w:rFonts w:ascii="Arial" w:hAnsi="Arial"/>
                <w:sz w:val="12"/>
                <w:szCs w:val="12"/>
              </w:rPr>
              <w:t>Villalón de Campos</w:t>
            </w:r>
          </w:p>
        </w:tc>
        <w:tc>
          <w:tcPr>
            <w:tcW w:w="2268" w:type="dxa"/>
            <w:tcBorders>
              <w:right w:val="single" w:sz="4" w:space="0" w:color="auto"/>
            </w:tcBorders>
            <w:shd w:val="clear" w:color="auto" w:fill="D9D9D9"/>
            <w:hideMark/>
          </w:tcPr>
          <w:p w14:paraId="2DB8764F" w14:textId="77777777" w:rsidR="002A4DDF" w:rsidRPr="00937C8B" w:rsidRDefault="002A4DDF" w:rsidP="009110ED">
            <w:pPr>
              <w:rPr>
                <w:rFonts w:ascii="Arial" w:hAnsi="Arial" w:cs="Arial"/>
                <w:sz w:val="12"/>
                <w:szCs w:val="12"/>
              </w:rPr>
            </w:pPr>
          </w:p>
        </w:tc>
      </w:tr>
      <w:tr w:rsidR="002A4DDF" w:rsidRPr="00937C8B" w14:paraId="7595F74F" w14:textId="77777777" w:rsidTr="00935676">
        <w:trPr>
          <w:cantSplit/>
        </w:trPr>
        <w:tc>
          <w:tcPr>
            <w:tcW w:w="1696" w:type="dxa"/>
            <w:tcBorders>
              <w:left w:val="single" w:sz="4" w:space="0" w:color="auto"/>
            </w:tcBorders>
            <w:shd w:val="clear" w:color="auto" w:fill="auto"/>
          </w:tcPr>
          <w:p w14:paraId="3B62DEDC" w14:textId="77777777" w:rsidR="002A4DDF" w:rsidRPr="00937C8B" w:rsidRDefault="002A4DDF" w:rsidP="009110ED">
            <w:pPr>
              <w:rPr>
                <w:rFonts w:ascii="Arial" w:hAnsi="Arial" w:cs="Arial"/>
                <w:sz w:val="12"/>
                <w:szCs w:val="12"/>
              </w:rPr>
            </w:pPr>
          </w:p>
        </w:tc>
        <w:tc>
          <w:tcPr>
            <w:tcW w:w="1843" w:type="dxa"/>
            <w:shd w:val="clear" w:color="auto" w:fill="auto"/>
          </w:tcPr>
          <w:p w14:paraId="5B0C64E1" w14:textId="77777777" w:rsidR="002A4DDF" w:rsidRPr="00937C8B" w:rsidRDefault="002A4DDF" w:rsidP="009110ED">
            <w:pPr>
              <w:rPr>
                <w:rFonts w:ascii="Arial" w:hAnsi="Arial" w:cs="Arial"/>
                <w:sz w:val="12"/>
                <w:szCs w:val="12"/>
              </w:rPr>
            </w:pPr>
          </w:p>
        </w:tc>
        <w:tc>
          <w:tcPr>
            <w:tcW w:w="2268" w:type="dxa"/>
            <w:shd w:val="clear" w:color="auto" w:fill="F2F2F2"/>
            <w:hideMark/>
          </w:tcPr>
          <w:p w14:paraId="0586E61B" w14:textId="77777777" w:rsidR="002A4DDF" w:rsidRPr="00937C8B" w:rsidRDefault="002A4DDF" w:rsidP="009110ED">
            <w:pPr>
              <w:rPr>
                <w:rFonts w:ascii="Arial" w:hAnsi="Arial" w:cs="Arial"/>
                <w:sz w:val="12"/>
                <w:szCs w:val="12"/>
              </w:rPr>
            </w:pPr>
            <w:r>
              <w:rPr>
                <w:rFonts w:ascii="Arial" w:hAnsi="Arial"/>
                <w:sz w:val="12"/>
                <w:szCs w:val="12"/>
              </w:rPr>
              <w:t>Villanueva de Duero</w:t>
            </w:r>
          </w:p>
        </w:tc>
        <w:tc>
          <w:tcPr>
            <w:tcW w:w="2268" w:type="dxa"/>
            <w:tcBorders>
              <w:right w:val="single" w:sz="4" w:space="0" w:color="auto"/>
            </w:tcBorders>
            <w:shd w:val="clear" w:color="auto" w:fill="D9D9D9"/>
            <w:hideMark/>
          </w:tcPr>
          <w:p w14:paraId="23364F89" w14:textId="77777777" w:rsidR="002A4DDF" w:rsidRPr="00937C8B" w:rsidRDefault="002A4DDF" w:rsidP="009110ED">
            <w:pPr>
              <w:rPr>
                <w:rFonts w:ascii="Arial" w:hAnsi="Arial" w:cs="Arial"/>
                <w:sz w:val="12"/>
                <w:szCs w:val="12"/>
              </w:rPr>
            </w:pPr>
          </w:p>
        </w:tc>
      </w:tr>
      <w:tr w:rsidR="002A4DDF" w:rsidRPr="00937C8B" w14:paraId="7D9978F3" w14:textId="77777777" w:rsidTr="00935676">
        <w:trPr>
          <w:cantSplit/>
        </w:trPr>
        <w:tc>
          <w:tcPr>
            <w:tcW w:w="1696" w:type="dxa"/>
            <w:tcBorders>
              <w:left w:val="single" w:sz="4" w:space="0" w:color="auto"/>
            </w:tcBorders>
            <w:shd w:val="clear" w:color="auto" w:fill="auto"/>
          </w:tcPr>
          <w:p w14:paraId="153D88EA" w14:textId="77777777" w:rsidR="002A4DDF" w:rsidRPr="00937C8B" w:rsidRDefault="002A4DDF" w:rsidP="009110ED">
            <w:pPr>
              <w:rPr>
                <w:rFonts w:ascii="Arial" w:hAnsi="Arial" w:cs="Arial"/>
                <w:sz w:val="12"/>
                <w:szCs w:val="12"/>
              </w:rPr>
            </w:pPr>
          </w:p>
        </w:tc>
        <w:tc>
          <w:tcPr>
            <w:tcW w:w="1843" w:type="dxa"/>
            <w:shd w:val="clear" w:color="auto" w:fill="auto"/>
          </w:tcPr>
          <w:p w14:paraId="74BA2C2E" w14:textId="77777777" w:rsidR="002A4DDF" w:rsidRPr="00937C8B" w:rsidRDefault="002A4DDF" w:rsidP="009110ED">
            <w:pPr>
              <w:rPr>
                <w:rFonts w:ascii="Arial" w:hAnsi="Arial" w:cs="Arial"/>
                <w:sz w:val="12"/>
                <w:szCs w:val="12"/>
              </w:rPr>
            </w:pPr>
          </w:p>
        </w:tc>
        <w:tc>
          <w:tcPr>
            <w:tcW w:w="2268" w:type="dxa"/>
            <w:shd w:val="clear" w:color="auto" w:fill="F2F2F2"/>
            <w:hideMark/>
          </w:tcPr>
          <w:p w14:paraId="253DE33D" w14:textId="77777777" w:rsidR="002A4DDF" w:rsidRPr="00937C8B" w:rsidRDefault="002A4DDF" w:rsidP="009110ED">
            <w:pPr>
              <w:rPr>
                <w:rFonts w:ascii="Arial" w:hAnsi="Arial" w:cs="Arial"/>
                <w:sz w:val="12"/>
                <w:szCs w:val="12"/>
              </w:rPr>
            </w:pPr>
            <w:r>
              <w:rPr>
                <w:rFonts w:ascii="Arial" w:hAnsi="Arial"/>
                <w:sz w:val="12"/>
                <w:szCs w:val="12"/>
              </w:rPr>
              <w:t>Villanueva de la Condesa</w:t>
            </w:r>
          </w:p>
        </w:tc>
        <w:tc>
          <w:tcPr>
            <w:tcW w:w="2268" w:type="dxa"/>
            <w:tcBorders>
              <w:right w:val="single" w:sz="4" w:space="0" w:color="auto"/>
            </w:tcBorders>
            <w:shd w:val="clear" w:color="auto" w:fill="D9D9D9"/>
            <w:hideMark/>
          </w:tcPr>
          <w:p w14:paraId="52435ED2" w14:textId="77777777" w:rsidR="002A4DDF" w:rsidRPr="00937C8B" w:rsidRDefault="002A4DDF" w:rsidP="009110ED">
            <w:pPr>
              <w:rPr>
                <w:rFonts w:ascii="Arial" w:hAnsi="Arial" w:cs="Arial"/>
                <w:sz w:val="12"/>
                <w:szCs w:val="12"/>
              </w:rPr>
            </w:pPr>
          </w:p>
        </w:tc>
      </w:tr>
      <w:tr w:rsidR="002A4DDF" w:rsidRPr="00937C8B" w14:paraId="7FC797BA" w14:textId="77777777" w:rsidTr="00935676">
        <w:trPr>
          <w:cantSplit/>
        </w:trPr>
        <w:tc>
          <w:tcPr>
            <w:tcW w:w="1696" w:type="dxa"/>
            <w:tcBorders>
              <w:left w:val="single" w:sz="4" w:space="0" w:color="auto"/>
              <w:bottom w:val="single" w:sz="4" w:space="0" w:color="auto"/>
            </w:tcBorders>
            <w:shd w:val="clear" w:color="auto" w:fill="auto"/>
            <w:hideMark/>
          </w:tcPr>
          <w:p w14:paraId="03C1FA3E"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bottom w:val="single" w:sz="4" w:space="0" w:color="auto"/>
            </w:tcBorders>
            <w:shd w:val="clear" w:color="auto" w:fill="auto"/>
            <w:hideMark/>
          </w:tcPr>
          <w:p w14:paraId="43A9C8A8" w14:textId="77777777" w:rsidR="002A4DDF" w:rsidRPr="00937C8B" w:rsidRDefault="002A4DDF" w:rsidP="009110ED">
            <w:pPr>
              <w:rPr>
                <w:rFonts w:ascii="Arial" w:hAnsi="Arial" w:cs="Arial"/>
                <w:sz w:val="12"/>
                <w:szCs w:val="12"/>
              </w:rPr>
            </w:pPr>
            <w:r>
              <w:rPr>
                <w:rFonts w:ascii="Arial" w:hAnsi="Arial"/>
                <w:sz w:val="12"/>
                <w:szCs w:val="12"/>
              </w:rPr>
              <w:t>Valladolid</w:t>
            </w:r>
          </w:p>
        </w:tc>
        <w:tc>
          <w:tcPr>
            <w:tcW w:w="2268" w:type="dxa"/>
            <w:tcBorders>
              <w:bottom w:val="single" w:sz="4" w:space="0" w:color="auto"/>
            </w:tcBorders>
            <w:shd w:val="clear" w:color="auto" w:fill="F2F2F2"/>
            <w:hideMark/>
          </w:tcPr>
          <w:p w14:paraId="6383AE58" w14:textId="77777777" w:rsidR="002A4DDF" w:rsidRPr="00937C8B" w:rsidRDefault="002A4DDF" w:rsidP="009110ED">
            <w:pPr>
              <w:rPr>
                <w:rFonts w:ascii="Arial" w:hAnsi="Arial" w:cs="Arial"/>
                <w:sz w:val="12"/>
                <w:szCs w:val="12"/>
              </w:rPr>
            </w:pPr>
            <w:r>
              <w:rPr>
                <w:rFonts w:ascii="Arial" w:hAnsi="Arial"/>
                <w:sz w:val="12"/>
                <w:szCs w:val="12"/>
              </w:rPr>
              <w:t>Villaverde de Medina</w:t>
            </w:r>
          </w:p>
        </w:tc>
        <w:tc>
          <w:tcPr>
            <w:tcW w:w="2268" w:type="dxa"/>
            <w:tcBorders>
              <w:bottom w:val="single" w:sz="4" w:space="0" w:color="auto"/>
              <w:right w:val="single" w:sz="4" w:space="0" w:color="auto"/>
            </w:tcBorders>
            <w:shd w:val="clear" w:color="auto" w:fill="D9D9D9"/>
            <w:hideMark/>
          </w:tcPr>
          <w:p w14:paraId="4DC45397" w14:textId="77777777" w:rsidR="002A4DDF" w:rsidRPr="00937C8B" w:rsidRDefault="002A4DDF" w:rsidP="009110ED">
            <w:pPr>
              <w:rPr>
                <w:rFonts w:ascii="Arial" w:hAnsi="Arial" w:cs="Arial"/>
                <w:sz w:val="12"/>
                <w:szCs w:val="12"/>
              </w:rPr>
            </w:pPr>
          </w:p>
        </w:tc>
      </w:tr>
      <w:tr w:rsidR="002A4DDF" w:rsidRPr="00937C8B" w14:paraId="4312EC71" w14:textId="77777777" w:rsidTr="00935676">
        <w:trPr>
          <w:cantSplit/>
        </w:trPr>
        <w:tc>
          <w:tcPr>
            <w:tcW w:w="1696" w:type="dxa"/>
            <w:tcBorders>
              <w:top w:val="single" w:sz="4" w:space="0" w:color="auto"/>
              <w:bottom w:val="single" w:sz="4" w:space="0" w:color="auto"/>
            </w:tcBorders>
            <w:shd w:val="clear" w:color="auto" w:fill="auto"/>
            <w:hideMark/>
          </w:tcPr>
          <w:p w14:paraId="2714AC8A"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5F2BE83F"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3279A8FB"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005474D6" w14:textId="77777777" w:rsidR="002A4DDF" w:rsidRPr="00937C8B" w:rsidRDefault="002A4DDF" w:rsidP="009110ED">
            <w:pPr>
              <w:rPr>
                <w:rFonts w:ascii="Arial" w:hAnsi="Arial" w:cs="Arial"/>
                <w:sz w:val="12"/>
                <w:szCs w:val="12"/>
              </w:rPr>
            </w:pPr>
          </w:p>
        </w:tc>
      </w:tr>
      <w:tr w:rsidR="002A4DDF" w:rsidRPr="00937C8B" w14:paraId="379C61C2" w14:textId="77777777" w:rsidTr="00935676">
        <w:trPr>
          <w:cantSplit/>
        </w:trPr>
        <w:tc>
          <w:tcPr>
            <w:tcW w:w="1696" w:type="dxa"/>
            <w:tcBorders>
              <w:top w:val="single" w:sz="4" w:space="0" w:color="auto"/>
              <w:left w:val="single" w:sz="4" w:space="0" w:color="auto"/>
            </w:tcBorders>
            <w:shd w:val="clear" w:color="auto" w:fill="auto"/>
            <w:hideMark/>
          </w:tcPr>
          <w:p w14:paraId="48057575"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top w:val="single" w:sz="4" w:space="0" w:color="auto"/>
            </w:tcBorders>
            <w:shd w:val="clear" w:color="auto" w:fill="auto"/>
            <w:hideMark/>
          </w:tcPr>
          <w:p w14:paraId="1477D988" w14:textId="77777777" w:rsidR="002A4DDF" w:rsidRPr="00937C8B" w:rsidRDefault="002A4DDF" w:rsidP="009110ED">
            <w:pPr>
              <w:rPr>
                <w:rFonts w:ascii="Arial" w:hAnsi="Arial" w:cs="Arial"/>
                <w:sz w:val="12"/>
                <w:szCs w:val="12"/>
              </w:rPr>
            </w:pPr>
            <w:r>
              <w:rPr>
                <w:rFonts w:ascii="Arial" w:hAnsi="Arial"/>
                <w:sz w:val="12"/>
                <w:szCs w:val="12"/>
              </w:rPr>
              <w:t>Zamora</w:t>
            </w:r>
          </w:p>
        </w:tc>
        <w:tc>
          <w:tcPr>
            <w:tcW w:w="2268" w:type="dxa"/>
            <w:tcBorders>
              <w:top w:val="single" w:sz="4" w:space="0" w:color="auto"/>
            </w:tcBorders>
            <w:shd w:val="clear" w:color="auto" w:fill="F2F2F2"/>
            <w:hideMark/>
          </w:tcPr>
          <w:p w14:paraId="54E0E995" w14:textId="77777777" w:rsidR="002A4DDF" w:rsidRPr="00937C8B" w:rsidRDefault="002A4DDF" w:rsidP="009110ED">
            <w:pPr>
              <w:rPr>
                <w:rFonts w:ascii="Arial" w:hAnsi="Arial" w:cs="Arial"/>
                <w:sz w:val="12"/>
                <w:szCs w:val="12"/>
              </w:rPr>
            </w:pPr>
            <w:r>
              <w:rPr>
                <w:rFonts w:ascii="Arial" w:hAnsi="Arial"/>
                <w:sz w:val="12"/>
                <w:szCs w:val="12"/>
              </w:rPr>
              <w:t>Abezames</w:t>
            </w:r>
          </w:p>
        </w:tc>
        <w:tc>
          <w:tcPr>
            <w:tcW w:w="2268" w:type="dxa"/>
            <w:tcBorders>
              <w:top w:val="single" w:sz="4" w:space="0" w:color="auto"/>
              <w:right w:val="single" w:sz="4" w:space="0" w:color="auto"/>
            </w:tcBorders>
            <w:shd w:val="clear" w:color="auto" w:fill="D9D9D9"/>
            <w:hideMark/>
          </w:tcPr>
          <w:p w14:paraId="536DD54A" w14:textId="77777777" w:rsidR="002A4DDF" w:rsidRPr="00937C8B" w:rsidRDefault="002A4DDF" w:rsidP="009110ED">
            <w:pPr>
              <w:rPr>
                <w:rFonts w:ascii="Arial" w:hAnsi="Arial" w:cs="Arial"/>
                <w:sz w:val="12"/>
                <w:szCs w:val="12"/>
              </w:rPr>
            </w:pPr>
            <w:r>
              <w:rPr>
                <w:rFonts w:ascii="Arial" w:hAnsi="Arial"/>
                <w:sz w:val="12"/>
                <w:szCs w:val="12"/>
              </w:rPr>
              <w:t>Alcañices</w:t>
            </w:r>
          </w:p>
        </w:tc>
      </w:tr>
      <w:tr w:rsidR="002A4DDF" w:rsidRPr="00937C8B" w14:paraId="2F516741" w14:textId="77777777" w:rsidTr="00935676">
        <w:trPr>
          <w:cantSplit/>
        </w:trPr>
        <w:tc>
          <w:tcPr>
            <w:tcW w:w="1696" w:type="dxa"/>
            <w:tcBorders>
              <w:left w:val="single" w:sz="4" w:space="0" w:color="auto"/>
            </w:tcBorders>
            <w:shd w:val="clear" w:color="auto" w:fill="auto"/>
          </w:tcPr>
          <w:p w14:paraId="055F1C35" w14:textId="77777777" w:rsidR="002A4DDF" w:rsidRPr="00937C8B" w:rsidRDefault="002A4DDF" w:rsidP="009110ED">
            <w:pPr>
              <w:rPr>
                <w:rFonts w:ascii="Arial" w:hAnsi="Arial" w:cs="Arial"/>
                <w:sz w:val="12"/>
                <w:szCs w:val="12"/>
              </w:rPr>
            </w:pPr>
          </w:p>
        </w:tc>
        <w:tc>
          <w:tcPr>
            <w:tcW w:w="1843" w:type="dxa"/>
            <w:shd w:val="clear" w:color="auto" w:fill="auto"/>
          </w:tcPr>
          <w:p w14:paraId="2CC9D0BB" w14:textId="77777777" w:rsidR="002A4DDF" w:rsidRPr="00937C8B" w:rsidRDefault="002A4DDF" w:rsidP="009110ED">
            <w:pPr>
              <w:rPr>
                <w:rFonts w:ascii="Arial" w:hAnsi="Arial" w:cs="Arial"/>
                <w:sz w:val="12"/>
                <w:szCs w:val="12"/>
              </w:rPr>
            </w:pPr>
          </w:p>
        </w:tc>
        <w:tc>
          <w:tcPr>
            <w:tcW w:w="2268" w:type="dxa"/>
            <w:shd w:val="clear" w:color="auto" w:fill="F2F2F2"/>
            <w:hideMark/>
          </w:tcPr>
          <w:p w14:paraId="5559679B" w14:textId="77777777" w:rsidR="002A4DDF" w:rsidRPr="00937C8B" w:rsidRDefault="002A4DDF" w:rsidP="009110ED">
            <w:pPr>
              <w:rPr>
                <w:rFonts w:ascii="Arial" w:hAnsi="Arial" w:cs="Arial"/>
                <w:sz w:val="12"/>
                <w:szCs w:val="12"/>
              </w:rPr>
            </w:pPr>
            <w:r>
              <w:rPr>
                <w:rFonts w:ascii="Arial" w:hAnsi="Arial"/>
                <w:sz w:val="12"/>
                <w:szCs w:val="12"/>
              </w:rPr>
              <w:t>Alcubilla de Nogales</w:t>
            </w:r>
          </w:p>
        </w:tc>
        <w:tc>
          <w:tcPr>
            <w:tcW w:w="2268" w:type="dxa"/>
            <w:tcBorders>
              <w:right w:val="single" w:sz="4" w:space="0" w:color="auto"/>
            </w:tcBorders>
            <w:shd w:val="clear" w:color="auto" w:fill="D9D9D9"/>
            <w:hideMark/>
          </w:tcPr>
          <w:p w14:paraId="61E87EB2" w14:textId="77777777" w:rsidR="002A4DDF" w:rsidRPr="00937C8B" w:rsidRDefault="002A4DDF" w:rsidP="009110ED">
            <w:pPr>
              <w:rPr>
                <w:rFonts w:ascii="Arial" w:hAnsi="Arial" w:cs="Arial"/>
                <w:sz w:val="12"/>
                <w:szCs w:val="12"/>
              </w:rPr>
            </w:pPr>
            <w:r>
              <w:rPr>
                <w:rFonts w:ascii="Arial" w:hAnsi="Arial"/>
                <w:sz w:val="12"/>
                <w:szCs w:val="12"/>
              </w:rPr>
              <w:t>Alfaraz de Sayago</w:t>
            </w:r>
          </w:p>
        </w:tc>
      </w:tr>
      <w:tr w:rsidR="002A4DDF" w:rsidRPr="00937C8B" w14:paraId="1717D208" w14:textId="77777777" w:rsidTr="00935676">
        <w:trPr>
          <w:cantSplit/>
        </w:trPr>
        <w:tc>
          <w:tcPr>
            <w:tcW w:w="1696" w:type="dxa"/>
            <w:tcBorders>
              <w:left w:val="single" w:sz="4" w:space="0" w:color="auto"/>
            </w:tcBorders>
            <w:shd w:val="clear" w:color="auto" w:fill="auto"/>
          </w:tcPr>
          <w:p w14:paraId="60F2F45D" w14:textId="77777777" w:rsidR="002A4DDF" w:rsidRPr="00937C8B" w:rsidRDefault="002A4DDF" w:rsidP="009110ED">
            <w:pPr>
              <w:rPr>
                <w:rFonts w:ascii="Arial" w:hAnsi="Arial" w:cs="Arial"/>
                <w:sz w:val="12"/>
                <w:szCs w:val="12"/>
              </w:rPr>
            </w:pPr>
          </w:p>
        </w:tc>
        <w:tc>
          <w:tcPr>
            <w:tcW w:w="1843" w:type="dxa"/>
            <w:shd w:val="clear" w:color="auto" w:fill="auto"/>
          </w:tcPr>
          <w:p w14:paraId="63958620" w14:textId="77777777" w:rsidR="002A4DDF" w:rsidRPr="00937C8B" w:rsidRDefault="002A4DDF" w:rsidP="009110ED">
            <w:pPr>
              <w:rPr>
                <w:rFonts w:ascii="Arial" w:hAnsi="Arial" w:cs="Arial"/>
                <w:sz w:val="12"/>
                <w:szCs w:val="12"/>
              </w:rPr>
            </w:pPr>
          </w:p>
        </w:tc>
        <w:tc>
          <w:tcPr>
            <w:tcW w:w="2268" w:type="dxa"/>
            <w:shd w:val="clear" w:color="auto" w:fill="F2F2F2"/>
            <w:hideMark/>
          </w:tcPr>
          <w:p w14:paraId="7A475A81" w14:textId="77777777" w:rsidR="002A4DDF" w:rsidRPr="00937C8B" w:rsidRDefault="002A4DDF" w:rsidP="009110ED">
            <w:pPr>
              <w:rPr>
                <w:rFonts w:ascii="Arial" w:hAnsi="Arial" w:cs="Arial"/>
                <w:sz w:val="12"/>
                <w:szCs w:val="12"/>
              </w:rPr>
            </w:pPr>
            <w:r>
              <w:rPr>
                <w:rFonts w:ascii="Arial" w:hAnsi="Arial"/>
                <w:sz w:val="12"/>
                <w:szCs w:val="12"/>
              </w:rPr>
              <w:t>Algodre</w:t>
            </w:r>
          </w:p>
        </w:tc>
        <w:tc>
          <w:tcPr>
            <w:tcW w:w="2268" w:type="dxa"/>
            <w:tcBorders>
              <w:right w:val="single" w:sz="4" w:space="0" w:color="auto"/>
            </w:tcBorders>
            <w:shd w:val="clear" w:color="auto" w:fill="D9D9D9"/>
            <w:hideMark/>
          </w:tcPr>
          <w:p w14:paraId="1E6801C0" w14:textId="77777777" w:rsidR="002A4DDF" w:rsidRPr="00937C8B" w:rsidRDefault="002A4DDF" w:rsidP="009110ED">
            <w:pPr>
              <w:rPr>
                <w:rFonts w:ascii="Arial" w:hAnsi="Arial" w:cs="Arial"/>
                <w:sz w:val="12"/>
                <w:szCs w:val="12"/>
              </w:rPr>
            </w:pPr>
            <w:r>
              <w:rPr>
                <w:rFonts w:ascii="Arial" w:hAnsi="Arial"/>
                <w:sz w:val="12"/>
                <w:szCs w:val="12"/>
              </w:rPr>
              <w:t>Almaraz de Duero</w:t>
            </w:r>
          </w:p>
        </w:tc>
      </w:tr>
      <w:tr w:rsidR="002A4DDF" w:rsidRPr="00937C8B" w14:paraId="3ECD3E04" w14:textId="77777777" w:rsidTr="00935676">
        <w:trPr>
          <w:cantSplit/>
        </w:trPr>
        <w:tc>
          <w:tcPr>
            <w:tcW w:w="1696" w:type="dxa"/>
            <w:tcBorders>
              <w:left w:val="single" w:sz="4" w:space="0" w:color="auto"/>
            </w:tcBorders>
            <w:shd w:val="clear" w:color="auto" w:fill="auto"/>
          </w:tcPr>
          <w:p w14:paraId="07E147FD" w14:textId="77777777" w:rsidR="002A4DDF" w:rsidRPr="00937C8B" w:rsidRDefault="002A4DDF" w:rsidP="009110ED">
            <w:pPr>
              <w:rPr>
                <w:rFonts w:ascii="Arial" w:hAnsi="Arial" w:cs="Arial"/>
                <w:sz w:val="12"/>
                <w:szCs w:val="12"/>
              </w:rPr>
            </w:pPr>
          </w:p>
        </w:tc>
        <w:tc>
          <w:tcPr>
            <w:tcW w:w="1843" w:type="dxa"/>
            <w:shd w:val="clear" w:color="auto" w:fill="auto"/>
          </w:tcPr>
          <w:p w14:paraId="68936889" w14:textId="77777777" w:rsidR="002A4DDF" w:rsidRPr="00937C8B" w:rsidRDefault="002A4DDF" w:rsidP="009110ED">
            <w:pPr>
              <w:rPr>
                <w:rFonts w:ascii="Arial" w:hAnsi="Arial" w:cs="Arial"/>
                <w:sz w:val="12"/>
                <w:szCs w:val="12"/>
              </w:rPr>
            </w:pPr>
          </w:p>
        </w:tc>
        <w:tc>
          <w:tcPr>
            <w:tcW w:w="2268" w:type="dxa"/>
            <w:shd w:val="clear" w:color="auto" w:fill="F2F2F2"/>
            <w:hideMark/>
          </w:tcPr>
          <w:p w14:paraId="7A1E2F60" w14:textId="77777777" w:rsidR="002A4DDF" w:rsidRPr="00937C8B" w:rsidRDefault="002A4DDF" w:rsidP="009110ED">
            <w:pPr>
              <w:rPr>
                <w:rFonts w:ascii="Arial" w:hAnsi="Arial" w:cs="Arial"/>
                <w:sz w:val="12"/>
                <w:szCs w:val="12"/>
              </w:rPr>
            </w:pPr>
            <w:r>
              <w:rPr>
                <w:rFonts w:ascii="Arial" w:hAnsi="Arial"/>
                <w:sz w:val="12"/>
                <w:szCs w:val="12"/>
              </w:rPr>
              <w:t>Andavías</w:t>
            </w:r>
          </w:p>
        </w:tc>
        <w:tc>
          <w:tcPr>
            <w:tcW w:w="2268" w:type="dxa"/>
            <w:tcBorders>
              <w:right w:val="single" w:sz="4" w:space="0" w:color="auto"/>
            </w:tcBorders>
            <w:shd w:val="clear" w:color="auto" w:fill="D9D9D9"/>
            <w:hideMark/>
          </w:tcPr>
          <w:p w14:paraId="730C6D62" w14:textId="77777777" w:rsidR="002A4DDF" w:rsidRPr="00937C8B" w:rsidRDefault="002A4DDF" w:rsidP="009110ED">
            <w:pPr>
              <w:rPr>
                <w:rFonts w:ascii="Arial" w:hAnsi="Arial" w:cs="Arial"/>
                <w:sz w:val="12"/>
                <w:szCs w:val="12"/>
              </w:rPr>
            </w:pPr>
            <w:r>
              <w:rPr>
                <w:rFonts w:ascii="Arial" w:hAnsi="Arial"/>
                <w:sz w:val="12"/>
                <w:szCs w:val="12"/>
              </w:rPr>
              <w:t>Almeida de Sayago</w:t>
            </w:r>
          </w:p>
        </w:tc>
      </w:tr>
      <w:tr w:rsidR="002A4DDF" w:rsidRPr="00937C8B" w14:paraId="59FED88E" w14:textId="77777777" w:rsidTr="00935676">
        <w:trPr>
          <w:cantSplit/>
        </w:trPr>
        <w:tc>
          <w:tcPr>
            <w:tcW w:w="1696" w:type="dxa"/>
            <w:tcBorders>
              <w:left w:val="single" w:sz="4" w:space="0" w:color="auto"/>
            </w:tcBorders>
            <w:shd w:val="clear" w:color="auto" w:fill="auto"/>
          </w:tcPr>
          <w:p w14:paraId="62D0EB34" w14:textId="77777777" w:rsidR="002A4DDF" w:rsidRPr="00937C8B" w:rsidRDefault="002A4DDF" w:rsidP="009110ED">
            <w:pPr>
              <w:rPr>
                <w:rFonts w:ascii="Arial" w:hAnsi="Arial" w:cs="Arial"/>
                <w:sz w:val="12"/>
                <w:szCs w:val="12"/>
              </w:rPr>
            </w:pPr>
          </w:p>
        </w:tc>
        <w:tc>
          <w:tcPr>
            <w:tcW w:w="1843" w:type="dxa"/>
            <w:shd w:val="clear" w:color="auto" w:fill="auto"/>
          </w:tcPr>
          <w:p w14:paraId="03DC1C3C" w14:textId="77777777" w:rsidR="002A4DDF" w:rsidRPr="00937C8B" w:rsidRDefault="002A4DDF" w:rsidP="009110ED">
            <w:pPr>
              <w:rPr>
                <w:rFonts w:ascii="Arial" w:hAnsi="Arial" w:cs="Arial"/>
                <w:sz w:val="12"/>
                <w:szCs w:val="12"/>
              </w:rPr>
            </w:pPr>
          </w:p>
        </w:tc>
        <w:tc>
          <w:tcPr>
            <w:tcW w:w="2268" w:type="dxa"/>
            <w:shd w:val="clear" w:color="auto" w:fill="F2F2F2"/>
            <w:hideMark/>
          </w:tcPr>
          <w:p w14:paraId="2E33E451" w14:textId="77777777" w:rsidR="002A4DDF" w:rsidRPr="00937C8B" w:rsidRDefault="002A4DDF" w:rsidP="009110ED">
            <w:pPr>
              <w:rPr>
                <w:rFonts w:ascii="Arial" w:hAnsi="Arial" w:cs="Arial"/>
                <w:sz w:val="12"/>
                <w:szCs w:val="12"/>
              </w:rPr>
            </w:pPr>
            <w:r>
              <w:rPr>
                <w:rFonts w:ascii="Arial" w:hAnsi="Arial"/>
                <w:sz w:val="12"/>
                <w:szCs w:val="12"/>
              </w:rPr>
              <w:t>Arcenillas</w:t>
            </w:r>
          </w:p>
        </w:tc>
        <w:tc>
          <w:tcPr>
            <w:tcW w:w="2268" w:type="dxa"/>
            <w:tcBorders>
              <w:right w:val="single" w:sz="4" w:space="0" w:color="auto"/>
            </w:tcBorders>
            <w:shd w:val="clear" w:color="auto" w:fill="D9D9D9"/>
            <w:hideMark/>
          </w:tcPr>
          <w:p w14:paraId="17CACBF3" w14:textId="77777777" w:rsidR="002A4DDF" w:rsidRPr="00937C8B" w:rsidRDefault="002A4DDF" w:rsidP="009110ED">
            <w:pPr>
              <w:rPr>
                <w:rFonts w:ascii="Arial" w:hAnsi="Arial" w:cs="Arial"/>
                <w:sz w:val="12"/>
                <w:szCs w:val="12"/>
              </w:rPr>
            </w:pPr>
            <w:r>
              <w:rPr>
                <w:rFonts w:ascii="Arial" w:hAnsi="Arial"/>
                <w:sz w:val="12"/>
                <w:szCs w:val="12"/>
              </w:rPr>
              <w:t>Argañín</w:t>
            </w:r>
          </w:p>
        </w:tc>
      </w:tr>
      <w:tr w:rsidR="002A4DDF" w:rsidRPr="00937C8B" w14:paraId="0E3B7889" w14:textId="77777777" w:rsidTr="00935676">
        <w:trPr>
          <w:cantSplit/>
        </w:trPr>
        <w:tc>
          <w:tcPr>
            <w:tcW w:w="1696" w:type="dxa"/>
            <w:tcBorders>
              <w:left w:val="single" w:sz="4" w:space="0" w:color="auto"/>
            </w:tcBorders>
            <w:shd w:val="clear" w:color="auto" w:fill="auto"/>
          </w:tcPr>
          <w:p w14:paraId="20C6B108" w14:textId="77777777" w:rsidR="002A4DDF" w:rsidRPr="00937C8B" w:rsidRDefault="002A4DDF" w:rsidP="009110ED">
            <w:pPr>
              <w:rPr>
                <w:rFonts w:ascii="Arial" w:hAnsi="Arial" w:cs="Arial"/>
                <w:sz w:val="12"/>
                <w:szCs w:val="12"/>
              </w:rPr>
            </w:pPr>
          </w:p>
        </w:tc>
        <w:tc>
          <w:tcPr>
            <w:tcW w:w="1843" w:type="dxa"/>
            <w:shd w:val="clear" w:color="auto" w:fill="auto"/>
          </w:tcPr>
          <w:p w14:paraId="01823389" w14:textId="77777777" w:rsidR="002A4DDF" w:rsidRPr="00937C8B" w:rsidRDefault="002A4DDF" w:rsidP="009110ED">
            <w:pPr>
              <w:rPr>
                <w:rFonts w:ascii="Arial" w:hAnsi="Arial" w:cs="Arial"/>
                <w:sz w:val="12"/>
                <w:szCs w:val="12"/>
              </w:rPr>
            </w:pPr>
          </w:p>
        </w:tc>
        <w:tc>
          <w:tcPr>
            <w:tcW w:w="2268" w:type="dxa"/>
            <w:shd w:val="clear" w:color="auto" w:fill="F2F2F2"/>
            <w:hideMark/>
          </w:tcPr>
          <w:p w14:paraId="7AFFC803" w14:textId="77777777" w:rsidR="002A4DDF" w:rsidRPr="00937C8B" w:rsidRDefault="002A4DDF" w:rsidP="009110ED">
            <w:pPr>
              <w:rPr>
                <w:rFonts w:ascii="Arial" w:hAnsi="Arial" w:cs="Arial"/>
                <w:sz w:val="12"/>
                <w:szCs w:val="12"/>
              </w:rPr>
            </w:pPr>
            <w:r>
              <w:rPr>
                <w:rFonts w:ascii="Arial" w:hAnsi="Arial"/>
                <w:sz w:val="12"/>
                <w:szCs w:val="12"/>
              </w:rPr>
              <w:t>Arcos de la Polvorosa</w:t>
            </w:r>
          </w:p>
        </w:tc>
        <w:tc>
          <w:tcPr>
            <w:tcW w:w="2268" w:type="dxa"/>
            <w:tcBorders>
              <w:right w:val="single" w:sz="4" w:space="0" w:color="auto"/>
            </w:tcBorders>
            <w:shd w:val="clear" w:color="auto" w:fill="D9D9D9"/>
            <w:hideMark/>
          </w:tcPr>
          <w:p w14:paraId="41A9129A" w14:textId="77777777" w:rsidR="002A4DDF" w:rsidRPr="00937C8B" w:rsidRDefault="002A4DDF" w:rsidP="009110ED">
            <w:pPr>
              <w:rPr>
                <w:rFonts w:ascii="Arial" w:hAnsi="Arial" w:cs="Arial"/>
                <w:sz w:val="12"/>
                <w:szCs w:val="12"/>
              </w:rPr>
            </w:pPr>
            <w:r>
              <w:rPr>
                <w:rFonts w:ascii="Arial" w:hAnsi="Arial"/>
                <w:sz w:val="12"/>
                <w:szCs w:val="12"/>
              </w:rPr>
              <w:t>Asturianos</w:t>
            </w:r>
          </w:p>
        </w:tc>
      </w:tr>
      <w:tr w:rsidR="002A4DDF" w:rsidRPr="00937C8B" w14:paraId="7DFE1326" w14:textId="77777777" w:rsidTr="00935676">
        <w:trPr>
          <w:cantSplit/>
        </w:trPr>
        <w:tc>
          <w:tcPr>
            <w:tcW w:w="1696" w:type="dxa"/>
            <w:tcBorders>
              <w:left w:val="single" w:sz="4" w:space="0" w:color="auto"/>
            </w:tcBorders>
            <w:shd w:val="clear" w:color="auto" w:fill="auto"/>
          </w:tcPr>
          <w:p w14:paraId="1A8BEA67" w14:textId="77777777" w:rsidR="002A4DDF" w:rsidRPr="00937C8B" w:rsidRDefault="002A4DDF" w:rsidP="009110ED">
            <w:pPr>
              <w:rPr>
                <w:rFonts w:ascii="Arial" w:hAnsi="Arial" w:cs="Arial"/>
                <w:sz w:val="12"/>
                <w:szCs w:val="12"/>
              </w:rPr>
            </w:pPr>
          </w:p>
        </w:tc>
        <w:tc>
          <w:tcPr>
            <w:tcW w:w="1843" w:type="dxa"/>
            <w:shd w:val="clear" w:color="auto" w:fill="auto"/>
          </w:tcPr>
          <w:p w14:paraId="04AC219A" w14:textId="77777777" w:rsidR="002A4DDF" w:rsidRPr="00937C8B" w:rsidRDefault="002A4DDF" w:rsidP="009110ED">
            <w:pPr>
              <w:rPr>
                <w:rFonts w:ascii="Arial" w:hAnsi="Arial" w:cs="Arial"/>
                <w:sz w:val="12"/>
                <w:szCs w:val="12"/>
              </w:rPr>
            </w:pPr>
          </w:p>
        </w:tc>
        <w:tc>
          <w:tcPr>
            <w:tcW w:w="2268" w:type="dxa"/>
            <w:shd w:val="clear" w:color="auto" w:fill="F2F2F2"/>
            <w:hideMark/>
          </w:tcPr>
          <w:p w14:paraId="5A91BC8D" w14:textId="77777777" w:rsidR="002A4DDF" w:rsidRPr="00937C8B" w:rsidRDefault="002A4DDF" w:rsidP="009110ED">
            <w:pPr>
              <w:rPr>
                <w:rFonts w:ascii="Arial" w:hAnsi="Arial" w:cs="Arial"/>
                <w:sz w:val="12"/>
                <w:szCs w:val="12"/>
              </w:rPr>
            </w:pPr>
            <w:r>
              <w:rPr>
                <w:rFonts w:ascii="Arial" w:hAnsi="Arial"/>
                <w:sz w:val="12"/>
                <w:szCs w:val="12"/>
              </w:rPr>
              <w:t>Argujillo</w:t>
            </w:r>
          </w:p>
        </w:tc>
        <w:tc>
          <w:tcPr>
            <w:tcW w:w="2268" w:type="dxa"/>
            <w:tcBorders>
              <w:right w:val="single" w:sz="4" w:space="0" w:color="auto"/>
            </w:tcBorders>
            <w:shd w:val="clear" w:color="auto" w:fill="D9D9D9"/>
            <w:hideMark/>
          </w:tcPr>
          <w:p w14:paraId="23FB627D" w14:textId="77777777" w:rsidR="002A4DDF" w:rsidRPr="00937C8B" w:rsidRDefault="002A4DDF" w:rsidP="009110ED">
            <w:pPr>
              <w:rPr>
                <w:rFonts w:ascii="Arial" w:hAnsi="Arial" w:cs="Arial"/>
                <w:sz w:val="12"/>
                <w:szCs w:val="12"/>
              </w:rPr>
            </w:pPr>
            <w:r>
              <w:rPr>
                <w:rFonts w:ascii="Arial" w:hAnsi="Arial"/>
                <w:sz w:val="12"/>
                <w:szCs w:val="12"/>
              </w:rPr>
              <w:t>Bermillo de Sayago</w:t>
            </w:r>
          </w:p>
        </w:tc>
      </w:tr>
      <w:tr w:rsidR="002A4DDF" w:rsidRPr="00937C8B" w14:paraId="7F61019D" w14:textId="77777777" w:rsidTr="00935676">
        <w:trPr>
          <w:cantSplit/>
        </w:trPr>
        <w:tc>
          <w:tcPr>
            <w:tcW w:w="1696" w:type="dxa"/>
            <w:tcBorders>
              <w:left w:val="single" w:sz="4" w:space="0" w:color="auto"/>
            </w:tcBorders>
            <w:shd w:val="clear" w:color="auto" w:fill="auto"/>
          </w:tcPr>
          <w:p w14:paraId="17318C6C" w14:textId="77777777" w:rsidR="002A4DDF" w:rsidRPr="00937C8B" w:rsidRDefault="002A4DDF" w:rsidP="009110ED">
            <w:pPr>
              <w:rPr>
                <w:rFonts w:ascii="Arial" w:hAnsi="Arial" w:cs="Arial"/>
                <w:sz w:val="12"/>
                <w:szCs w:val="12"/>
              </w:rPr>
            </w:pPr>
          </w:p>
        </w:tc>
        <w:tc>
          <w:tcPr>
            <w:tcW w:w="1843" w:type="dxa"/>
            <w:shd w:val="clear" w:color="auto" w:fill="auto"/>
          </w:tcPr>
          <w:p w14:paraId="62E4C933" w14:textId="77777777" w:rsidR="002A4DDF" w:rsidRPr="00937C8B" w:rsidRDefault="002A4DDF" w:rsidP="009110ED">
            <w:pPr>
              <w:rPr>
                <w:rFonts w:ascii="Arial" w:hAnsi="Arial" w:cs="Arial"/>
                <w:sz w:val="12"/>
                <w:szCs w:val="12"/>
              </w:rPr>
            </w:pPr>
          </w:p>
        </w:tc>
        <w:tc>
          <w:tcPr>
            <w:tcW w:w="2268" w:type="dxa"/>
            <w:shd w:val="clear" w:color="auto" w:fill="F2F2F2"/>
            <w:hideMark/>
          </w:tcPr>
          <w:p w14:paraId="7E078BAE" w14:textId="77777777" w:rsidR="002A4DDF" w:rsidRPr="00937C8B" w:rsidRDefault="002A4DDF" w:rsidP="009110ED">
            <w:pPr>
              <w:rPr>
                <w:rFonts w:ascii="Arial" w:hAnsi="Arial" w:cs="Arial"/>
                <w:sz w:val="12"/>
                <w:szCs w:val="12"/>
              </w:rPr>
            </w:pPr>
            <w:r>
              <w:rPr>
                <w:rFonts w:ascii="Arial" w:hAnsi="Arial"/>
                <w:sz w:val="12"/>
                <w:szCs w:val="12"/>
              </w:rPr>
              <w:t>Arquillinos</w:t>
            </w:r>
          </w:p>
        </w:tc>
        <w:tc>
          <w:tcPr>
            <w:tcW w:w="2268" w:type="dxa"/>
            <w:tcBorders>
              <w:right w:val="single" w:sz="4" w:space="0" w:color="auto"/>
            </w:tcBorders>
            <w:shd w:val="clear" w:color="auto" w:fill="D9D9D9"/>
            <w:hideMark/>
          </w:tcPr>
          <w:p w14:paraId="02869078" w14:textId="77777777" w:rsidR="002A4DDF" w:rsidRPr="00937C8B" w:rsidRDefault="002A4DDF" w:rsidP="009110ED">
            <w:pPr>
              <w:rPr>
                <w:rFonts w:ascii="Arial" w:hAnsi="Arial" w:cs="Arial"/>
                <w:sz w:val="12"/>
                <w:szCs w:val="12"/>
              </w:rPr>
            </w:pPr>
            <w:r>
              <w:rPr>
                <w:rFonts w:ascii="Arial" w:hAnsi="Arial"/>
                <w:sz w:val="12"/>
                <w:szCs w:val="12"/>
              </w:rPr>
              <w:t>Carbellino</w:t>
            </w:r>
          </w:p>
        </w:tc>
      </w:tr>
      <w:tr w:rsidR="002A4DDF" w:rsidRPr="00937C8B" w14:paraId="0B1AB1F1" w14:textId="77777777" w:rsidTr="00935676">
        <w:trPr>
          <w:cantSplit/>
        </w:trPr>
        <w:tc>
          <w:tcPr>
            <w:tcW w:w="1696" w:type="dxa"/>
            <w:tcBorders>
              <w:left w:val="single" w:sz="4" w:space="0" w:color="auto"/>
            </w:tcBorders>
            <w:shd w:val="clear" w:color="auto" w:fill="auto"/>
          </w:tcPr>
          <w:p w14:paraId="4787E2D1" w14:textId="77777777" w:rsidR="002A4DDF" w:rsidRPr="00937C8B" w:rsidRDefault="002A4DDF" w:rsidP="009110ED">
            <w:pPr>
              <w:rPr>
                <w:rFonts w:ascii="Arial" w:hAnsi="Arial" w:cs="Arial"/>
                <w:sz w:val="12"/>
                <w:szCs w:val="12"/>
              </w:rPr>
            </w:pPr>
          </w:p>
        </w:tc>
        <w:tc>
          <w:tcPr>
            <w:tcW w:w="1843" w:type="dxa"/>
            <w:shd w:val="clear" w:color="auto" w:fill="auto"/>
          </w:tcPr>
          <w:p w14:paraId="4315435E" w14:textId="77777777" w:rsidR="002A4DDF" w:rsidRPr="00937C8B" w:rsidRDefault="002A4DDF" w:rsidP="009110ED">
            <w:pPr>
              <w:rPr>
                <w:rFonts w:ascii="Arial" w:hAnsi="Arial" w:cs="Arial"/>
                <w:sz w:val="12"/>
                <w:szCs w:val="12"/>
              </w:rPr>
            </w:pPr>
          </w:p>
        </w:tc>
        <w:tc>
          <w:tcPr>
            <w:tcW w:w="2268" w:type="dxa"/>
            <w:shd w:val="clear" w:color="auto" w:fill="F2F2F2"/>
            <w:hideMark/>
          </w:tcPr>
          <w:p w14:paraId="21C64604" w14:textId="77777777" w:rsidR="002A4DDF" w:rsidRPr="00937C8B" w:rsidRDefault="002A4DDF" w:rsidP="009110ED">
            <w:pPr>
              <w:rPr>
                <w:rFonts w:ascii="Arial" w:hAnsi="Arial" w:cs="Arial"/>
                <w:sz w:val="12"/>
                <w:szCs w:val="12"/>
              </w:rPr>
            </w:pPr>
            <w:r>
              <w:rPr>
                <w:rFonts w:ascii="Arial" w:hAnsi="Arial"/>
                <w:sz w:val="12"/>
                <w:szCs w:val="12"/>
              </w:rPr>
              <w:t>Arrabalde</w:t>
            </w:r>
          </w:p>
        </w:tc>
        <w:tc>
          <w:tcPr>
            <w:tcW w:w="2268" w:type="dxa"/>
            <w:tcBorders>
              <w:right w:val="single" w:sz="4" w:space="0" w:color="auto"/>
            </w:tcBorders>
            <w:shd w:val="clear" w:color="auto" w:fill="D9D9D9"/>
            <w:hideMark/>
          </w:tcPr>
          <w:p w14:paraId="4E78CB43" w14:textId="77777777" w:rsidR="002A4DDF" w:rsidRPr="00937C8B" w:rsidRDefault="002A4DDF" w:rsidP="009110ED">
            <w:pPr>
              <w:rPr>
                <w:rFonts w:ascii="Arial" w:hAnsi="Arial" w:cs="Arial"/>
                <w:sz w:val="12"/>
                <w:szCs w:val="12"/>
              </w:rPr>
            </w:pPr>
            <w:r>
              <w:rPr>
                <w:rFonts w:ascii="Arial" w:hAnsi="Arial"/>
                <w:sz w:val="12"/>
                <w:szCs w:val="12"/>
              </w:rPr>
              <w:t>Cernadilla</w:t>
            </w:r>
          </w:p>
        </w:tc>
      </w:tr>
      <w:tr w:rsidR="002A4DDF" w:rsidRPr="00937C8B" w14:paraId="02D04B2A" w14:textId="77777777" w:rsidTr="00935676">
        <w:trPr>
          <w:cantSplit/>
        </w:trPr>
        <w:tc>
          <w:tcPr>
            <w:tcW w:w="1696" w:type="dxa"/>
            <w:tcBorders>
              <w:left w:val="single" w:sz="4" w:space="0" w:color="auto"/>
            </w:tcBorders>
            <w:shd w:val="clear" w:color="auto" w:fill="auto"/>
          </w:tcPr>
          <w:p w14:paraId="1A2933E9" w14:textId="77777777" w:rsidR="002A4DDF" w:rsidRPr="00937C8B" w:rsidRDefault="002A4DDF" w:rsidP="009110ED">
            <w:pPr>
              <w:rPr>
                <w:rFonts w:ascii="Arial" w:hAnsi="Arial" w:cs="Arial"/>
                <w:sz w:val="12"/>
                <w:szCs w:val="12"/>
              </w:rPr>
            </w:pPr>
          </w:p>
        </w:tc>
        <w:tc>
          <w:tcPr>
            <w:tcW w:w="1843" w:type="dxa"/>
            <w:shd w:val="clear" w:color="auto" w:fill="auto"/>
          </w:tcPr>
          <w:p w14:paraId="39B91E74" w14:textId="77777777" w:rsidR="002A4DDF" w:rsidRPr="00937C8B" w:rsidRDefault="002A4DDF" w:rsidP="009110ED">
            <w:pPr>
              <w:rPr>
                <w:rFonts w:ascii="Arial" w:hAnsi="Arial" w:cs="Arial"/>
                <w:sz w:val="12"/>
                <w:szCs w:val="12"/>
              </w:rPr>
            </w:pPr>
          </w:p>
        </w:tc>
        <w:tc>
          <w:tcPr>
            <w:tcW w:w="2268" w:type="dxa"/>
            <w:shd w:val="clear" w:color="auto" w:fill="F2F2F2"/>
            <w:hideMark/>
          </w:tcPr>
          <w:p w14:paraId="0DD21372" w14:textId="77777777" w:rsidR="002A4DDF" w:rsidRPr="00937C8B" w:rsidRDefault="002A4DDF" w:rsidP="009110ED">
            <w:pPr>
              <w:rPr>
                <w:rFonts w:ascii="Arial" w:hAnsi="Arial" w:cs="Arial"/>
                <w:sz w:val="12"/>
                <w:szCs w:val="12"/>
              </w:rPr>
            </w:pPr>
            <w:r>
              <w:rPr>
                <w:rFonts w:ascii="Arial" w:hAnsi="Arial"/>
                <w:sz w:val="12"/>
                <w:szCs w:val="12"/>
              </w:rPr>
              <w:t>Aspariegos</w:t>
            </w:r>
          </w:p>
        </w:tc>
        <w:tc>
          <w:tcPr>
            <w:tcW w:w="2268" w:type="dxa"/>
            <w:tcBorders>
              <w:right w:val="single" w:sz="4" w:space="0" w:color="auto"/>
            </w:tcBorders>
            <w:shd w:val="clear" w:color="auto" w:fill="D9D9D9"/>
            <w:hideMark/>
          </w:tcPr>
          <w:p w14:paraId="4F40C4F2" w14:textId="77777777" w:rsidR="002A4DDF" w:rsidRPr="00937C8B" w:rsidRDefault="002A4DDF" w:rsidP="009110ED">
            <w:pPr>
              <w:rPr>
                <w:rFonts w:ascii="Arial" w:hAnsi="Arial" w:cs="Arial"/>
                <w:sz w:val="12"/>
                <w:szCs w:val="12"/>
              </w:rPr>
            </w:pPr>
            <w:r>
              <w:rPr>
                <w:rFonts w:ascii="Arial" w:hAnsi="Arial"/>
                <w:sz w:val="12"/>
                <w:szCs w:val="12"/>
              </w:rPr>
              <w:t>Cobreros</w:t>
            </w:r>
          </w:p>
        </w:tc>
      </w:tr>
      <w:tr w:rsidR="002A4DDF" w:rsidRPr="00937C8B" w14:paraId="53F0EC35" w14:textId="77777777" w:rsidTr="00935676">
        <w:trPr>
          <w:cantSplit/>
        </w:trPr>
        <w:tc>
          <w:tcPr>
            <w:tcW w:w="1696" w:type="dxa"/>
            <w:tcBorders>
              <w:left w:val="single" w:sz="4" w:space="0" w:color="auto"/>
            </w:tcBorders>
            <w:shd w:val="clear" w:color="auto" w:fill="auto"/>
          </w:tcPr>
          <w:p w14:paraId="0BE0362B" w14:textId="77777777" w:rsidR="002A4DDF" w:rsidRPr="00937C8B" w:rsidRDefault="002A4DDF" w:rsidP="009110ED">
            <w:pPr>
              <w:rPr>
                <w:rFonts w:ascii="Arial" w:hAnsi="Arial" w:cs="Arial"/>
                <w:sz w:val="12"/>
                <w:szCs w:val="12"/>
              </w:rPr>
            </w:pPr>
          </w:p>
        </w:tc>
        <w:tc>
          <w:tcPr>
            <w:tcW w:w="1843" w:type="dxa"/>
            <w:shd w:val="clear" w:color="auto" w:fill="auto"/>
          </w:tcPr>
          <w:p w14:paraId="338AD409" w14:textId="77777777" w:rsidR="002A4DDF" w:rsidRPr="00937C8B" w:rsidRDefault="002A4DDF" w:rsidP="009110ED">
            <w:pPr>
              <w:rPr>
                <w:rFonts w:ascii="Arial" w:hAnsi="Arial" w:cs="Arial"/>
                <w:sz w:val="12"/>
                <w:szCs w:val="12"/>
              </w:rPr>
            </w:pPr>
          </w:p>
        </w:tc>
        <w:tc>
          <w:tcPr>
            <w:tcW w:w="2268" w:type="dxa"/>
            <w:shd w:val="clear" w:color="auto" w:fill="F2F2F2"/>
            <w:hideMark/>
          </w:tcPr>
          <w:p w14:paraId="6FF52184" w14:textId="77777777" w:rsidR="002A4DDF" w:rsidRPr="00937C8B" w:rsidRDefault="002A4DDF" w:rsidP="009110ED">
            <w:pPr>
              <w:rPr>
                <w:rFonts w:ascii="Arial" w:hAnsi="Arial" w:cs="Arial"/>
                <w:sz w:val="12"/>
                <w:szCs w:val="12"/>
              </w:rPr>
            </w:pPr>
            <w:r>
              <w:rPr>
                <w:rFonts w:ascii="Arial" w:hAnsi="Arial"/>
                <w:sz w:val="12"/>
                <w:szCs w:val="12"/>
              </w:rPr>
              <w:t>Ayoó de Vidriales</w:t>
            </w:r>
          </w:p>
        </w:tc>
        <w:tc>
          <w:tcPr>
            <w:tcW w:w="2268" w:type="dxa"/>
            <w:tcBorders>
              <w:right w:val="single" w:sz="4" w:space="0" w:color="auto"/>
            </w:tcBorders>
            <w:shd w:val="clear" w:color="auto" w:fill="D9D9D9"/>
            <w:hideMark/>
          </w:tcPr>
          <w:p w14:paraId="2A13C81E" w14:textId="77777777" w:rsidR="002A4DDF" w:rsidRPr="00937C8B" w:rsidRDefault="002A4DDF" w:rsidP="009110ED">
            <w:pPr>
              <w:rPr>
                <w:rFonts w:ascii="Arial" w:hAnsi="Arial" w:cs="Arial"/>
                <w:sz w:val="12"/>
                <w:szCs w:val="12"/>
              </w:rPr>
            </w:pPr>
            <w:r>
              <w:rPr>
                <w:rFonts w:ascii="Arial" w:hAnsi="Arial"/>
                <w:sz w:val="12"/>
                <w:szCs w:val="12"/>
              </w:rPr>
              <w:t>Espadañedo</w:t>
            </w:r>
          </w:p>
        </w:tc>
      </w:tr>
      <w:tr w:rsidR="002A4DDF" w:rsidRPr="00937C8B" w14:paraId="1006D39E" w14:textId="77777777" w:rsidTr="00935676">
        <w:trPr>
          <w:cantSplit/>
        </w:trPr>
        <w:tc>
          <w:tcPr>
            <w:tcW w:w="1696" w:type="dxa"/>
            <w:tcBorders>
              <w:left w:val="single" w:sz="4" w:space="0" w:color="auto"/>
            </w:tcBorders>
            <w:shd w:val="clear" w:color="auto" w:fill="auto"/>
          </w:tcPr>
          <w:p w14:paraId="5CA287C4" w14:textId="77777777" w:rsidR="002A4DDF" w:rsidRPr="00937C8B" w:rsidRDefault="002A4DDF" w:rsidP="009110ED">
            <w:pPr>
              <w:rPr>
                <w:rFonts w:ascii="Arial" w:hAnsi="Arial" w:cs="Arial"/>
                <w:sz w:val="12"/>
                <w:szCs w:val="12"/>
              </w:rPr>
            </w:pPr>
          </w:p>
        </w:tc>
        <w:tc>
          <w:tcPr>
            <w:tcW w:w="1843" w:type="dxa"/>
            <w:shd w:val="clear" w:color="auto" w:fill="auto"/>
          </w:tcPr>
          <w:p w14:paraId="623F543A" w14:textId="77777777" w:rsidR="002A4DDF" w:rsidRPr="00937C8B" w:rsidRDefault="002A4DDF" w:rsidP="009110ED">
            <w:pPr>
              <w:rPr>
                <w:rFonts w:ascii="Arial" w:hAnsi="Arial" w:cs="Arial"/>
                <w:sz w:val="12"/>
                <w:szCs w:val="12"/>
              </w:rPr>
            </w:pPr>
          </w:p>
        </w:tc>
        <w:tc>
          <w:tcPr>
            <w:tcW w:w="2268" w:type="dxa"/>
            <w:shd w:val="clear" w:color="auto" w:fill="F2F2F2"/>
            <w:hideMark/>
          </w:tcPr>
          <w:p w14:paraId="328F0FBC" w14:textId="77777777" w:rsidR="002A4DDF" w:rsidRPr="00937C8B" w:rsidRDefault="002A4DDF" w:rsidP="009110ED">
            <w:pPr>
              <w:rPr>
                <w:rFonts w:ascii="Arial" w:hAnsi="Arial" w:cs="Arial"/>
                <w:sz w:val="12"/>
                <w:szCs w:val="12"/>
              </w:rPr>
            </w:pPr>
            <w:r>
              <w:rPr>
                <w:rFonts w:ascii="Arial" w:hAnsi="Arial"/>
                <w:sz w:val="12"/>
                <w:szCs w:val="12"/>
              </w:rPr>
              <w:t>Barcial del Barco</w:t>
            </w:r>
          </w:p>
        </w:tc>
        <w:tc>
          <w:tcPr>
            <w:tcW w:w="2268" w:type="dxa"/>
            <w:tcBorders>
              <w:right w:val="single" w:sz="4" w:space="0" w:color="auto"/>
            </w:tcBorders>
            <w:shd w:val="clear" w:color="auto" w:fill="D9D9D9"/>
            <w:hideMark/>
          </w:tcPr>
          <w:p w14:paraId="355B70E5" w14:textId="77777777" w:rsidR="002A4DDF" w:rsidRPr="00937C8B" w:rsidRDefault="002A4DDF" w:rsidP="009110ED">
            <w:pPr>
              <w:rPr>
                <w:rFonts w:ascii="Arial" w:hAnsi="Arial" w:cs="Arial"/>
                <w:sz w:val="12"/>
                <w:szCs w:val="12"/>
              </w:rPr>
            </w:pPr>
            <w:r>
              <w:rPr>
                <w:rFonts w:ascii="Arial" w:hAnsi="Arial"/>
                <w:sz w:val="12"/>
                <w:szCs w:val="12"/>
              </w:rPr>
              <w:t>Fariza</w:t>
            </w:r>
          </w:p>
        </w:tc>
      </w:tr>
      <w:tr w:rsidR="002A4DDF" w:rsidRPr="00937C8B" w14:paraId="00FF8F75" w14:textId="77777777" w:rsidTr="00935676">
        <w:trPr>
          <w:cantSplit/>
        </w:trPr>
        <w:tc>
          <w:tcPr>
            <w:tcW w:w="1696" w:type="dxa"/>
            <w:tcBorders>
              <w:left w:val="single" w:sz="4" w:space="0" w:color="auto"/>
            </w:tcBorders>
            <w:shd w:val="clear" w:color="auto" w:fill="auto"/>
          </w:tcPr>
          <w:p w14:paraId="70F10061" w14:textId="77777777" w:rsidR="002A4DDF" w:rsidRPr="00937C8B" w:rsidRDefault="002A4DDF" w:rsidP="009110ED">
            <w:pPr>
              <w:rPr>
                <w:rFonts w:ascii="Arial" w:hAnsi="Arial" w:cs="Arial"/>
                <w:sz w:val="12"/>
                <w:szCs w:val="12"/>
              </w:rPr>
            </w:pPr>
          </w:p>
        </w:tc>
        <w:tc>
          <w:tcPr>
            <w:tcW w:w="1843" w:type="dxa"/>
            <w:shd w:val="clear" w:color="auto" w:fill="auto"/>
          </w:tcPr>
          <w:p w14:paraId="68A87AFA" w14:textId="77777777" w:rsidR="002A4DDF" w:rsidRPr="00937C8B" w:rsidRDefault="002A4DDF" w:rsidP="009110ED">
            <w:pPr>
              <w:rPr>
                <w:rFonts w:ascii="Arial" w:hAnsi="Arial" w:cs="Arial"/>
                <w:sz w:val="12"/>
                <w:szCs w:val="12"/>
              </w:rPr>
            </w:pPr>
          </w:p>
        </w:tc>
        <w:tc>
          <w:tcPr>
            <w:tcW w:w="2268" w:type="dxa"/>
            <w:shd w:val="clear" w:color="auto" w:fill="F2F2F2"/>
            <w:hideMark/>
          </w:tcPr>
          <w:p w14:paraId="2282BED6" w14:textId="77777777" w:rsidR="002A4DDF" w:rsidRPr="00937C8B" w:rsidRDefault="002A4DDF" w:rsidP="009110ED">
            <w:pPr>
              <w:rPr>
                <w:rFonts w:ascii="Arial" w:hAnsi="Arial" w:cs="Arial"/>
                <w:sz w:val="12"/>
                <w:szCs w:val="12"/>
              </w:rPr>
            </w:pPr>
            <w:r>
              <w:rPr>
                <w:rFonts w:ascii="Arial" w:hAnsi="Arial"/>
                <w:sz w:val="12"/>
                <w:szCs w:val="12"/>
              </w:rPr>
              <w:t>Belver de los Montes</w:t>
            </w:r>
          </w:p>
        </w:tc>
        <w:tc>
          <w:tcPr>
            <w:tcW w:w="2268" w:type="dxa"/>
            <w:tcBorders>
              <w:right w:val="single" w:sz="4" w:space="0" w:color="auto"/>
            </w:tcBorders>
            <w:shd w:val="clear" w:color="auto" w:fill="D9D9D9"/>
            <w:hideMark/>
          </w:tcPr>
          <w:p w14:paraId="0CDFCE71" w14:textId="77777777" w:rsidR="002A4DDF" w:rsidRPr="00937C8B" w:rsidRDefault="002A4DDF" w:rsidP="009110ED">
            <w:pPr>
              <w:rPr>
                <w:rFonts w:ascii="Arial" w:hAnsi="Arial" w:cs="Arial"/>
                <w:sz w:val="12"/>
                <w:szCs w:val="12"/>
              </w:rPr>
            </w:pPr>
            <w:r>
              <w:rPr>
                <w:rFonts w:ascii="Arial" w:hAnsi="Arial"/>
                <w:sz w:val="12"/>
                <w:szCs w:val="12"/>
              </w:rPr>
              <w:t>Fermoselle</w:t>
            </w:r>
          </w:p>
        </w:tc>
      </w:tr>
      <w:tr w:rsidR="002A4DDF" w:rsidRPr="00937C8B" w14:paraId="0B74F0A2" w14:textId="77777777" w:rsidTr="00935676">
        <w:trPr>
          <w:cantSplit/>
        </w:trPr>
        <w:tc>
          <w:tcPr>
            <w:tcW w:w="1696" w:type="dxa"/>
            <w:tcBorders>
              <w:left w:val="single" w:sz="4" w:space="0" w:color="auto"/>
            </w:tcBorders>
            <w:shd w:val="clear" w:color="auto" w:fill="auto"/>
          </w:tcPr>
          <w:p w14:paraId="672F3D24" w14:textId="77777777" w:rsidR="002A4DDF" w:rsidRPr="00937C8B" w:rsidRDefault="002A4DDF" w:rsidP="009110ED">
            <w:pPr>
              <w:rPr>
                <w:rFonts w:ascii="Arial" w:hAnsi="Arial" w:cs="Arial"/>
                <w:sz w:val="12"/>
                <w:szCs w:val="12"/>
              </w:rPr>
            </w:pPr>
          </w:p>
        </w:tc>
        <w:tc>
          <w:tcPr>
            <w:tcW w:w="1843" w:type="dxa"/>
            <w:shd w:val="clear" w:color="auto" w:fill="auto"/>
          </w:tcPr>
          <w:p w14:paraId="1A496C6B" w14:textId="77777777" w:rsidR="002A4DDF" w:rsidRPr="00937C8B" w:rsidRDefault="002A4DDF" w:rsidP="009110ED">
            <w:pPr>
              <w:rPr>
                <w:rFonts w:ascii="Arial" w:hAnsi="Arial" w:cs="Arial"/>
                <w:sz w:val="12"/>
                <w:szCs w:val="12"/>
              </w:rPr>
            </w:pPr>
          </w:p>
        </w:tc>
        <w:tc>
          <w:tcPr>
            <w:tcW w:w="2268" w:type="dxa"/>
            <w:shd w:val="clear" w:color="auto" w:fill="F2F2F2"/>
            <w:hideMark/>
          </w:tcPr>
          <w:p w14:paraId="0DD0F7C0" w14:textId="77777777" w:rsidR="002A4DDF" w:rsidRPr="00937C8B" w:rsidRDefault="002A4DDF" w:rsidP="009110ED">
            <w:pPr>
              <w:rPr>
                <w:rFonts w:ascii="Arial" w:hAnsi="Arial" w:cs="Arial"/>
                <w:sz w:val="12"/>
                <w:szCs w:val="12"/>
              </w:rPr>
            </w:pPr>
            <w:r>
              <w:rPr>
                <w:rFonts w:ascii="Arial" w:hAnsi="Arial"/>
                <w:sz w:val="12"/>
                <w:szCs w:val="12"/>
              </w:rPr>
              <w:t>Benavente</w:t>
            </w:r>
          </w:p>
        </w:tc>
        <w:tc>
          <w:tcPr>
            <w:tcW w:w="2268" w:type="dxa"/>
            <w:tcBorders>
              <w:right w:val="single" w:sz="4" w:space="0" w:color="auto"/>
            </w:tcBorders>
            <w:shd w:val="clear" w:color="auto" w:fill="D9D9D9"/>
            <w:hideMark/>
          </w:tcPr>
          <w:p w14:paraId="24BD410A" w14:textId="77777777" w:rsidR="002A4DDF" w:rsidRPr="00937C8B" w:rsidRDefault="002A4DDF" w:rsidP="009110ED">
            <w:pPr>
              <w:rPr>
                <w:rFonts w:ascii="Arial" w:hAnsi="Arial" w:cs="Arial"/>
                <w:sz w:val="12"/>
                <w:szCs w:val="12"/>
              </w:rPr>
            </w:pPr>
            <w:r>
              <w:rPr>
                <w:rFonts w:ascii="Arial" w:hAnsi="Arial"/>
                <w:sz w:val="12"/>
                <w:szCs w:val="12"/>
              </w:rPr>
              <w:t>Ferreras de Arriba</w:t>
            </w:r>
          </w:p>
        </w:tc>
      </w:tr>
      <w:tr w:rsidR="002A4DDF" w:rsidRPr="00937C8B" w14:paraId="0DBA9C53" w14:textId="77777777" w:rsidTr="00935676">
        <w:trPr>
          <w:cantSplit/>
        </w:trPr>
        <w:tc>
          <w:tcPr>
            <w:tcW w:w="1696" w:type="dxa"/>
            <w:tcBorders>
              <w:left w:val="single" w:sz="4" w:space="0" w:color="auto"/>
            </w:tcBorders>
            <w:shd w:val="clear" w:color="auto" w:fill="auto"/>
          </w:tcPr>
          <w:p w14:paraId="20401BB8" w14:textId="77777777" w:rsidR="002A4DDF" w:rsidRPr="00937C8B" w:rsidRDefault="002A4DDF" w:rsidP="009110ED">
            <w:pPr>
              <w:rPr>
                <w:rFonts w:ascii="Arial" w:hAnsi="Arial" w:cs="Arial"/>
                <w:sz w:val="12"/>
                <w:szCs w:val="12"/>
              </w:rPr>
            </w:pPr>
          </w:p>
        </w:tc>
        <w:tc>
          <w:tcPr>
            <w:tcW w:w="1843" w:type="dxa"/>
            <w:shd w:val="clear" w:color="auto" w:fill="auto"/>
          </w:tcPr>
          <w:p w14:paraId="56742368" w14:textId="77777777" w:rsidR="002A4DDF" w:rsidRPr="00937C8B" w:rsidRDefault="002A4DDF" w:rsidP="009110ED">
            <w:pPr>
              <w:rPr>
                <w:rFonts w:ascii="Arial" w:hAnsi="Arial" w:cs="Arial"/>
                <w:sz w:val="12"/>
                <w:szCs w:val="12"/>
              </w:rPr>
            </w:pPr>
          </w:p>
        </w:tc>
        <w:tc>
          <w:tcPr>
            <w:tcW w:w="2268" w:type="dxa"/>
            <w:shd w:val="clear" w:color="auto" w:fill="F2F2F2"/>
            <w:hideMark/>
          </w:tcPr>
          <w:p w14:paraId="407F2426" w14:textId="77777777" w:rsidR="002A4DDF" w:rsidRPr="00937C8B" w:rsidRDefault="002A4DDF" w:rsidP="009110ED">
            <w:pPr>
              <w:rPr>
                <w:rFonts w:ascii="Arial" w:hAnsi="Arial" w:cs="Arial"/>
                <w:sz w:val="12"/>
                <w:szCs w:val="12"/>
              </w:rPr>
            </w:pPr>
            <w:r>
              <w:rPr>
                <w:rFonts w:ascii="Arial" w:hAnsi="Arial"/>
                <w:sz w:val="12"/>
                <w:szCs w:val="12"/>
              </w:rPr>
              <w:t>Benegiles</w:t>
            </w:r>
          </w:p>
        </w:tc>
        <w:tc>
          <w:tcPr>
            <w:tcW w:w="2268" w:type="dxa"/>
            <w:tcBorders>
              <w:right w:val="single" w:sz="4" w:space="0" w:color="auto"/>
            </w:tcBorders>
            <w:shd w:val="clear" w:color="auto" w:fill="D9D9D9"/>
            <w:hideMark/>
          </w:tcPr>
          <w:p w14:paraId="689A97B3" w14:textId="77777777" w:rsidR="002A4DDF" w:rsidRPr="00937C8B" w:rsidRDefault="002A4DDF" w:rsidP="009110ED">
            <w:pPr>
              <w:rPr>
                <w:rFonts w:ascii="Arial" w:hAnsi="Arial" w:cs="Arial"/>
                <w:sz w:val="12"/>
                <w:szCs w:val="12"/>
              </w:rPr>
            </w:pPr>
            <w:r>
              <w:rPr>
                <w:rFonts w:ascii="Arial" w:hAnsi="Arial"/>
                <w:sz w:val="12"/>
                <w:szCs w:val="12"/>
              </w:rPr>
              <w:t>Figueruela de Arriba</w:t>
            </w:r>
          </w:p>
        </w:tc>
      </w:tr>
      <w:tr w:rsidR="002A4DDF" w:rsidRPr="00937C8B" w14:paraId="7AC41EFC" w14:textId="77777777" w:rsidTr="00935676">
        <w:trPr>
          <w:cantSplit/>
        </w:trPr>
        <w:tc>
          <w:tcPr>
            <w:tcW w:w="1696" w:type="dxa"/>
            <w:tcBorders>
              <w:left w:val="single" w:sz="4" w:space="0" w:color="auto"/>
            </w:tcBorders>
            <w:shd w:val="clear" w:color="auto" w:fill="auto"/>
          </w:tcPr>
          <w:p w14:paraId="4B0BDE04" w14:textId="77777777" w:rsidR="002A4DDF" w:rsidRPr="00937C8B" w:rsidRDefault="002A4DDF" w:rsidP="009110ED">
            <w:pPr>
              <w:rPr>
                <w:rFonts w:ascii="Arial" w:hAnsi="Arial" w:cs="Arial"/>
                <w:sz w:val="12"/>
                <w:szCs w:val="12"/>
              </w:rPr>
            </w:pPr>
          </w:p>
        </w:tc>
        <w:tc>
          <w:tcPr>
            <w:tcW w:w="1843" w:type="dxa"/>
            <w:shd w:val="clear" w:color="auto" w:fill="auto"/>
          </w:tcPr>
          <w:p w14:paraId="21510C55" w14:textId="77777777" w:rsidR="002A4DDF" w:rsidRPr="00937C8B" w:rsidRDefault="002A4DDF" w:rsidP="009110ED">
            <w:pPr>
              <w:rPr>
                <w:rFonts w:ascii="Arial" w:hAnsi="Arial" w:cs="Arial"/>
                <w:sz w:val="12"/>
                <w:szCs w:val="12"/>
              </w:rPr>
            </w:pPr>
          </w:p>
        </w:tc>
        <w:tc>
          <w:tcPr>
            <w:tcW w:w="2268" w:type="dxa"/>
            <w:shd w:val="clear" w:color="auto" w:fill="F2F2F2"/>
            <w:hideMark/>
          </w:tcPr>
          <w:p w14:paraId="3D52DA4B" w14:textId="77777777" w:rsidR="002A4DDF" w:rsidRPr="00937C8B" w:rsidRDefault="002A4DDF" w:rsidP="009110ED">
            <w:pPr>
              <w:rPr>
                <w:rFonts w:ascii="Arial" w:hAnsi="Arial" w:cs="Arial"/>
                <w:sz w:val="12"/>
                <w:szCs w:val="12"/>
              </w:rPr>
            </w:pPr>
            <w:r>
              <w:rPr>
                <w:rFonts w:ascii="Arial" w:hAnsi="Arial"/>
                <w:sz w:val="12"/>
                <w:szCs w:val="12"/>
              </w:rPr>
              <w:t>Bretó</w:t>
            </w:r>
          </w:p>
        </w:tc>
        <w:tc>
          <w:tcPr>
            <w:tcW w:w="2268" w:type="dxa"/>
            <w:tcBorders>
              <w:right w:val="single" w:sz="4" w:space="0" w:color="auto"/>
            </w:tcBorders>
            <w:shd w:val="clear" w:color="auto" w:fill="D9D9D9"/>
            <w:hideMark/>
          </w:tcPr>
          <w:p w14:paraId="2E8D38AD" w14:textId="77777777" w:rsidR="002A4DDF" w:rsidRPr="00937C8B" w:rsidRDefault="002A4DDF" w:rsidP="009110ED">
            <w:pPr>
              <w:rPr>
                <w:rFonts w:ascii="Arial" w:hAnsi="Arial" w:cs="Arial"/>
                <w:sz w:val="12"/>
                <w:szCs w:val="12"/>
              </w:rPr>
            </w:pPr>
            <w:r>
              <w:rPr>
                <w:rFonts w:ascii="Arial" w:hAnsi="Arial"/>
                <w:sz w:val="12"/>
                <w:szCs w:val="12"/>
              </w:rPr>
              <w:t>Fonfría</w:t>
            </w:r>
          </w:p>
        </w:tc>
      </w:tr>
      <w:tr w:rsidR="002A4DDF" w:rsidRPr="00937C8B" w14:paraId="3F4749F9" w14:textId="77777777" w:rsidTr="00935676">
        <w:trPr>
          <w:cantSplit/>
        </w:trPr>
        <w:tc>
          <w:tcPr>
            <w:tcW w:w="1696" w:type="dxa"/>
            <w:tcBorders>
              <w:left w:val="single" w:sz="4" w:space="0" w:color="auto"/>
            </w:tcBorders>
            <w:shd w:val="clear" w:color="auto" w:fill="auto"/>
          </w:tcPr>
          <w:p w14:paraId="50E59717" w14:textId="77777777" w:rsidR="002A4DDF" w:rsidRPr="00937C8B" w:rsidRDefault="002A4DDF" w:rsidP="009110ED">
            <w:pPr>
              <w:rPr>
                <w:rFonts w:ascii="Arial" w:hAnsi="Arial" w:cs="Arial"/>
                <w:sz w:val="12"/>
                <w:szCs w:val="12"/>
              </w:rPr>
            </w:pPr>
          </w:p>
        </w:tc>
        <w:tc>
          <w:tcPr>
            <w:tcW w:w="1843" w:type="dxa"/>
            <w:shd w:val="clear" w:color="auto" w:fill="auto"/>
          </w:tcPr>
          <w:p w14:paraId="12E23CC7" w14:textId="77777777" w:rsidR="002A4DDF" w:rsidRPr="00937C8B" w:rsidRDefault="002A4DDF" w:rsidP="009110ED">
            <w:pPr>
              <w:rPr>
                <w:rFonts w:ascii="Arial" w:hAnsi="Arial" w:cs="Arial"/>
                <w:sz w:val="12"/>
                <w:szCs w:val="12"/>
              </w:rPr>
            </w:pPr>
          </w:p>
        </w:tc>
        <w:tc>
          <w:tcPr>
            <w:tcW w:w="2268" w:type="dxa"/>
            <w:shd w:val="clear" w:color="auto" w:fill="F2F2F2"/>
            <w:hideMark/>
          </w:tcPr>
          <w:p w14:paraId="0C425598" w14:textId="77777777" w:rsidR="002A4DDF" w:rsidRPr="00937C8B" w:rsidRDefault="002A4DDF" w:rsidP="009110ED">
            <w:pPr>
              <w:rPr>
                <w:rFonts w:ascii="Arial" w:hAnsi="Arial" w:cs="Arial"/>
                <w:sz w:val="12"/>
                <w:szCs w:val="12"/>
              </w:rPr>
            </w:pPr>
            <w:r>
              <w:rPr>
                <w:rFonts w:ascii="Arial" w:hAnsi="Arial"/>
                <w:sz w:val="12"/>
                <w:szCs w:val="12"/>
              </w:rPr>
              <w:t>Bretocino</w:t>
            </w:r>
          </w:p>
        </w:tc>
        <w:tc>
          <w:tcPr>
            <w:tcW w:w="2268" w:type="dxa"/>
            <w:tcBorders>
              <w:right w:val="single" w:sz="4" w:space="0" w:color="auto"/>
            </w:tcBorders>
            <w:shd w:val="clear" w:color="auto" w:fill="D9D9D9"/>
            <w:hideMark/>
          </w:tcPr>
          <w:p w14:paraId="67DA5DA4" w14:textId="77777777" w:rsidR="002A4DDF" w:rsidRPr="00937C8B" w:rsidRDefault="002A4DDF" w:rsidP="009110ED">
            <w:pPr>
              <w:rPr>
                <w:rFonts w:ascii="Arial" w:hAnsi="Arial" w:cs="Arial"/>
                <w:sz w:val="12"/>
                <w:szCs w:val="12"/>
              </w:rPr>
            </w:pPr>
            <w:r>
              <w:rPr>
                <w:rFonts w:ascii="Arial" w:hAnsi="Arial"/>
                <w:sz w:val="12"/>
                <w:szCs w:val="12"/>
              </w:rPr>
              <w:t>Fresno de Sayago</w:t>
            </w:r>
          </w:p>
        </w:tc>
      </w:tr>
      <w:tr w:rsidR="002A4DDF" w:rsidRPr="00937C8B" w14:paraId="363C20A5" w14:textId="77777777" w:rsidTr="00935676">
        <w:trPr>
          <w:cantSplit/>
        </w:trPr>
        <w:tc>
          <w:tcPr>
            <w:tcW w:w="1696" w:type="dxa"/>
            <w:tcBorders>
              <w:left w:val="single" w:sz="4" w:space="0" w:color="auto"/>
            </w:tcBorders>
            <w:shd w:val="clear" w:color="auto" w:fill="auto"/>
          </w:tcPr>
          <w:p w14:paraId="2CEDB6CA" w14:textId="77777777" w:rsidR="002A4DDF" w:rsidRPr="00937C8B" w:rsidRDefault="002A4DDF" w:rsidP="009110ED">
            <w:pPr>
              <w:rPr>
                <w:rFonts w:ascii="Arial" w:hAnsi="Arial" w:cs="Arial"/>
                <w:sz w:val="12"/>
                <w:szCs w:val="12"/>
              </w:rPr>
            </w:pPr>
          </w:p>
        </w:tc>
        <w:tc>
          <w:tcPr>
            <w:tcW w:w="1843" w:type="dxa"/>
            <w:shd w:val="clear" w:color="auto" w:fill="auto"/>
          </w:tcPr>
          <w:p w14:paraId="368A3B59" w14:textId="77777777" w:rsidR="002A4DDF" w:rsidRPr="00937C8B" w:rsidRDefault="002A4DDF" w:rsidP="009110ED">
            <w:pPr>
              <w:rPr>
                <w:rFonts w:ascii="Arial" w:hAnsi="Arial" w:cs="Arial"/>
                <w:sz w:val="12"/>
                <w:szCs w:val="12"/>
              </w:rPr>
            </w:pPr>
          </w:p>
        </w:tc>
        <w:tc>
          <w:tcPr>
            <w:tcW w:w="2268" w:type="dxa"/>
            <w:shd w:val="clear" w:color="auto" w:fill="F2F2F2"/>
            <w:hideMark/>
          </w:tcPr>
          <w:p w14:paraId="7013A89C" w14:textId="77777777" w:rsidR="002A4DDF" w:rsidRPr="00937C8B" w:rsidRDefault="002A4DDF" w:rsidP="009110ED">
            <w:pPr>
              <w:rPr>
                <w:rFonts w:ascii="Arial" w:hAnsi="Arial" w:cs="Arial"/>
                <w:sz w:val="12"/>
                <w:szCs w:val="12"/>
              </w:rPr>
            </w:pPr>
            <w:r>
              <w:rPr>
                <w:rFonts w:ascii="Arial" w:hAnsi="Arial"/>
                <w:sz w:val="12"/>
                <w:szCs w:val="12"/>
              </w:rPr>
              <w:t>Brime de Sog</w:t>
            </w:r>
          </w:p>
        </w:tc>
        <w:tc>
          <w:tcPr>
            <w:tcW w:w="2268" w:type="dxa"/>
            <w:tcBorders>
              <w:right w:val="single" w:sz="4" w:space="0" w:color="auto"/>
            </w:tcBorders>
            <w:shd w:val="clear" w:color="auto" w:fill="D9D9D9"/>
            <w:hideMark/>
          </w:tcPr>
          <w:p w14:paraId="3D385C5D" w14:textId="77777777" w:rsidR="002A4DDF" w:rsidRPr="00937C8B" w:rsidRDefault="002A4DDF" w:rsidP="009110ED">
            <w:pPr>
              <w:rPr>
                <w:rFonts w:ascii="Arial" w:hAnsi="Arial" w:cs="Arial"/>
                <w:sz w:val="12"/>
                <w:szCs w:val="12"/>
              </w:rPr>
            </w:pPr>
            <w:r>
              <w:rPr>
                <w:rFonts w:ascii="Arial" w:hAnsi="Arial"/>
                <w:sz w:val="12"/>
                <w:szCs w:val="12"/>
              </w:rPr>
              <w:t>Galende</w:t>
            </w:r>
          </w:p>
        </w:tc>
      </w:tr>
      <w:tr w:rsidR="002A4DDF" w:rsidRPr="00937C8B" w14:paraId="2D61EC54" w14:textId="77777777" w:rsidTr="00935676">
        <w:trPr>
          <w:cantSplit/>
        </w:trPr>
        <w:tc>
          <w:tcPr>
            <w:tcW w:w="1696" w:type="dxa"/>
            <w:tcBorders>
              <w:left w:val="single" w:sz="4" w:space="0" w:color="auto"/>
            </w:tcBorders>
            <w:shd w:val="clear" w:color="auto" w:fill="auto"/>
          </w:tcPr>
          <w:p w14:paraId="3BBD3102" w14:textId="77777777" w:rsidR="002A4DDF" w:rsidRPr="00937C8B" w:rsidRDefault="002A4DDF" w:rsidP="009110ED">
            <w:pPr>
              <w:rPr>
                <w:rFonts w:ascii="Arial" w:hAnsi="Arial" w:cs="Arial"/>
                <w:sz w:val="12"/>
                <w:szCs w:val="12"/>
              </w:rPr>
            </w:pPr>
          </w:p>
        </w:tc>
        <w:tc>
          <w:tcPr>
            <w:tcW w:w="1843" w:type="dxa"/>
            <w:shd w:val="clear" w:color="auto" w:fill="auto"/>
          </w:tcPr>
          <w:p w14:paraId="640DF61C" w14:textId="77777777" w:rsidR="002A4DDF" w:rsidRPr="00937C8B" w:rsidRDefault="002A4DDF" w:rsidP="009110ED">
            <w:pPr>
              <w:rPr>
                <w:rFonts w:ascii="Arial" w:hAnsi="Arial" w:cs="Arial"/>
                <w:sz w:val="12"/>
                <w:szCs w:val="12"/>
              </w:rPr>
            </w:pPr>
          </w:p>
        </w:tc>
        <w:tc>
          <w:tcPr>
            <w:tcW w:w="2268" w:type="dxa"/>
            <w:shd w:val="clear" w:color="auto" w:fill="F2F2F2"/>
            <w:hideMark/>
          </w:tcPr>
          <w:p w14:paraId="06A78EF4" w14:textId="77777777" w:rsidR="002A4DDF" w:rsidRPr="00937C8B" w:rsidRDefault="002A4DDF" w:rsidP="009110ED">
            <w:pPr>
              <w:rPr>
                <w:rFonts w:ascii="Arial" w:hAnsi="Arial" w:cs="Arial"/>
                <w:sz w:val="12"/>
                <w:szCs w:val="12"/>
              </w:rPr>
            </w:pPr>
            <w:r>
              <w:rPr>
                <w:rFonts w:ascii="Arial" w:hAnsi="Arial"/>
                <w:sz w:val="12"/>
                <w:szCs w:val="12"/>
              </w:rPr>
              <w:t>Brime de Urz</w:t>
            </w:r>
          </w:p>
        </w:tc>
        <w:tc>
          <w:tcPr>
            <w:tcW w:w="2268" w:type="dxa"/>
            <w:tcBorders>
              <w:right w:val="single" w:sz="4" w:space="0" w:color="auto"/>
            </w:tcBorders>
            <w:shd w:val="clear" w:color="auto" w:fill="D9D9D9"/>
            <w:hideMark/>
          </w:tcPr>
          <w:p w14:paraId="6523E701" w14:textId="77777777" w:rsidR="002A4DDF" w:rsidRPr="00937C8B" w:rsidRDefault="002A4DDF" w:rsidP="009110ED">
            <w:pPr>
              <w:rPr>
                <w:rFonts w:ascii="Arial" w:hAnsi="Arial" w:cs="Arial"/>
                <w:sz w:val="12"/>
                <w:szCs w:val="12"/>
              </w:rPr>
            </w:pPr>
            <w:r>
              <w:rPr>
                <w:rFonts w:ascii="Arial" w:hAnsi="Arial"/>
                <w:sz w:val="12"/>
                <w:szCs w:val="12"/>
              </w:rPr>
              <w:t>Gamones</w:t>
            </w:r>
          </w:p>
        </w:tc>
      </w:tr>
      <w:tr w:rsidR="002A4DDF" w:rsidRPr="00937C8B" w14:paraId="1912CFBF" w14:textId="77777777" w:rsidTr="00935676">
        <w:trPr>
          <w:cantSplit/>
        </w:trPr>
        <w:tc>
          <w:tcPr>
            <w:tcW w:w="1696" w:type="dxa"/>
            <w:tcBorders>
              <w:left w:val="single" w:sz="4" w:space="0" w:color="auto"/>
            </w:tcBorders>
            <w:shd w:val="clear" w:color="auto" w:fill="auto"/>
          </w:tcPr>
          <w:p w14:paraId="20B419A0" w14:textId="77777777" w:rsidR="002A4DDF" w:rsidRPr="00937C8B" w:rsidRDefault="002A4DDF" w:rsidP="009110ED">
            <w:pPr>
              <w:rPr>
                <w:rFonts w:ascii="Arial" w:hAnsi="Arial" w:cs="Arial"/>
                <w:sz w:val="12"/>
                <w:szCs w:val="12"/>
              </w:rPr>
            </w:pPr>
          </w:p>
        </w:tc>
        <w:tc>
          <w:tcPr>
            <w:tcW w:w="1843" w:type="dxa"/>
            <w:shd w:val="clear" w:color="auto" w:fill="auto"/>
          </w:tcPr>
          <w:p w14:paraId="3847D110" w14:textId="77777777" w:rsidR="002A4DDF" w:rsidRPr="00937C8B" w:rsidRDefault="002A4DDF" w:rsidP="009110ED">
            <w:pPr>
              <w:rPr>
                <w:rFonts w:ascii="Arial" w:hAnsi="Arial" w:cs="Arial"/>
                <w:sz w:val="12"/>
                <w:szCs w:val="12"/>
              </w:rPr>
            </w:pPr>
          </w:p>
        </w:tc>
        <w:tc>
          <w:tcPr>
            <w:tcW w:w="2268" w:type="dxa"/>
            <w:shd w:val="clear" w:color="auto" w:fill="F2F2F2"/>
            <w:hideMark/>
          </w:tcPr>
          <w:p w14:paraId="362C26A8" w14:textId="77777777" w:rsidR="002A4DDF" w:rsidRPr="00937C8B" w:rsidRDefault="002A4DDF" w:rsidP="009110ED">
            <w:pPr>
              <w:rPr>
                <w:rFonts w:ascii="Arial" w:hAnsi="Arial" w:cs="Arial"/>
                <w:sz w:val="12"/>
                <w:szCs w:val="12"/>
              </w:rPr>
            </w:pPr>
            <w:r>
              <w:rPr>
                <w:rFonts w:ascii="Arial" w:hAnsi="Arial"/>
                <w:sz w:val="12"/>
                <w:szCs w:val="12"/>
              </w:rPr>
              <w:t>Burganes de Valverde</w:t>
            </w:r>
          </w:p>
        </w:tc>
        <w:tc>
          <w:tcPr>
            <w:tcW w:w="2268" w:type="dxa"/>
            <w:tcBorders>
              <w:right w:val="single" w:sz="4" w:space="0" w:color="auto"/>
            </w:tcBorders>
            <w:shd w:val="clear" w:color="auto" w:fill="D9D9D9"/>
            <w:hideMark/>
          </w:tcPr>
          <w:p w14:paraId="56D3DEAF" w14:textId="77777777" w:rsidR="002A4DDF" w:rsidRPr="00937C8B" w:rsidRDefault="002A4DDF" w:rsidP="009110ED">
            <w:pPr>
              <w:rPr>
                <w:rFonts w:ascii="Arial" w:hAnsi="Arial" w:cs="Arial"/>
                <w:sz w:val="12"/>
                <w:szCs w:val="12"/>
              </w:rPr>
            </w:pPr>
            <w:r>
              <w:rPr>
                <w:rFonts w:ascii="Arial" w:hAnsi="Arial"/>
                <w:sz w:val="12"/>
                <w:szCs w:val="12"/>
              </w:rPr>
              <w:t>Hermisende</w:t>
            </w:r>
          </w:p>
        </w:tc>
      </w:tr>
      <w:tr w:rsidR="002A4DDF" w:rsidRPr="00937C8B" w14:paraId="0E63CE8F" w14:textId="77777777" w:rsidTr="00935676">
        <w:trPr>
          <w:cantSplit/>
        </w:trPr>
        <w:tc>
          <w:tcPr>
            <w:tcW w:w="1696" w:type="dxa"/>
            <w:tcBorders>
              <w:left w:val="single" w:sz="4" w:space="0" w:color="auto"/>
            </w:tcBorders>
            <w:shd w:val="clear" w:color="auto" w:fill="auto"/>
          </w:tcPr>
          <w:p w14:paraId="01B882A5" w14:textId="77777777" w:rsidR="002A4DDF" w:rsidRPr="00937C8B" w:rsidRDefault="002A4DDF" w:rsidP="009110ED">
            <w:pPr>
              <w:rPr>
                <w:rFonts w:ascii="Arial" w:hAnsi="Arial" w:cs="Arial"/>
                <w:sz w:val="12"/>
                <w:szCs w:val="12"/>
              </w:rPr>
            </w:pPr>
          </w:p>
        </w:tc>
        <w:tc>
          <w:tcPr>
            <w:tcW w:w="1843" w:type="dxa"/>
            <w:shd w:val="clear" w:color="auto" w:fill="auto"/>
          </w:tcPr>
          <w:p w14:paraId="1E78A685" w14:textId="77777777" w:rsidR="002A4DDF" w:rsidRPr="00937C8B" w:rsidRDefault="002A4DDF" w:rsidP="009110ED">
            <w:pPr>
              <w:rPr>
                <w:rFonts w:ascii="Arial" w:hAnsi="Arial" w:cs="Arial"/>
                <w:sz w:val="12"/>
                <w:szCs w:val="12"/>
              </w:rPr>
            </w:pPr>
          </w:p>
        </w:tc>
        <w:tc>
          <w:tcPr>
            <w:tcW w:w="2268" w:type="dxa"/>
            <w:shd w:val="clear" w:color="auto" w:fill="F2F2F2"/>
            <w:hideMark/>
          </w:tcPr>
          <w:p w14:paraId="1599071A" w14:textId="77777777" w:rsidR="002A4DDF" w:rsidRPr="00937C8B" w:rsidRDefault="002A4DDF" w:rsidP="009110ED">
            <w:pPr>
              <w:rPr>
                <w:rFonts w:ascii="Arial" w:hAnsi="Arial" w:cs="Arial"/>
                <w:sz w:val="12"/>
                <w:szCs w:val="12"/>
              </w:rPr>
            </w:pPr>
            <w:r>
              <w:rPr>
                <w:rFonts w:ascii="Arial" w:hAnsi="Arial"/>
                <w:sz w:val="12"/>
                <w:szCs w:val="12"/>
              </w:rPr>
              <w:t>Bustillo del Oro</w:t>
            </w:r>
          </w:p>
        </w:tc>
        <w:tc>
          <w:tcPr>
            <w:tcW w:w="2268" w:type="dxa"/>
            <w:tcBorders>
              <w:right w:val="single" w:sz="4" w:space="0" w:color="auto"/>
            </w:tcBorders>
            <w:shd w:val="clear" w:color="auto" w:fill="D9D9D9"/>
            <w:hideMark/>
          </w:tcPr>
          <w:p w14:paraId="2AB21F34" w14:textId="77777777" w:rsidR="002A4DDF" w:rsidRPr="00937C8B" w:rsidRDefault="002A4DDF" w:rsidP="009110ED">
            <w:pPr>
              <w:rPr>
                <w:rFonts w:ascii="Arial" w:hAnsi="Arial" w:cs="Arial"/>
                <w:sz w:val="12"/>
                <w:szCs w:val="12"/>
              </w:rPr>
            </w:pPr>
            <w:r>
              <w:rPr>
                <w:rFonts w:ascii="Arial" w:hAnsi="Arial"/>
                <w:sz w:val="12"/>
                <w:szCs w:val="12"/>
              </w:rPr>
              <w:t>Justel</w:t>
            </w:r>
          </w:p>
        </w:tc>
      </w:tr>
      <w:tr w:rsidR="002A4DDF" w:rsidRPr="00937C8B" w14:paraId="03E90091" w14:textId="77777777" w:rsidTr="00935676">
        <w:trPr>
          <w:cantSplit/>
        </w:trPr>
        <w:tc>
          <w:tcPr>
            <w:tcW w:w="1696" w:type="dxa"/>
            <w:tcBorders>
              <w:left w:val="single" w:sz="4" w:space="0" w:color="auto"/>
            </w:tcBorders>
            <w:shd w:val="clear" w:color="auto" w:fill="auto"/>
          </w:tcPr>
          <w:p w14:paraId="25F7EE10" w14:textId="77777777" w:rsidR="002A4DDF" w:rsidRPr="00937C8B" w:rsidRDefault="002A4DDF" w:rsidP="009110ED">
            <w:pPr>
              <w:rPr>
                <w:rFonts w:ascii="Arial" w:hAnsi="Arial" w:cs="Arial"/>
                <w:sz w:val="12"/>
                <w:szCs w:val="12"/>
              </w:rPr>
            </w:pPr>
          </w:p>
        </w:tc>
        <w:tc>
          <w:tcPr>
            <w:tcW w:w="1843" w:type="dxa"/>
            <w:shd w:val="clear" w:color="auto" w:fill="auto"/>
          </w:tcPr>
          <w:p w14:paraId="33749270" w14:textId="77777777" w:rsidR="002A4DDF" w:rsidRPr="00937C8B" w:rsidRDefault="002A4DDF" w:rsidP="009110ED">
            <w:pPr>
              <w:rPr>
                <w:rFonts w:ascii="Arial" w:hAnsi="Arial" w:cs="Arial"/>
                <w:sz w:val="12"/>
                <w:szCs w:val="12"/>
              </w:rPr>
            </w:pPr>
          </w:p>
        </w:tc>
        <w:tc>
          <w:tcPr>
            <w:tcW w:w="2268" w:type="dxa"/>
            <w:shd w:val="clear" w:color="auto" w:fill="F2F2F2"/>
            <w:hideMark/>
          </w:tcPr>
          <w:p w14:paraId="1A229620" w14:textId="77777777" w:rsidR="002A4DDF" w:rsidRPr="00937C8B" w:rsidRDefault="002A4DDF" w:rsidP="009110ED">
            <w:pPr>
              <w:rPr>
                <w:rFonts w:ascii="Arial" w:hAnsi="Arial" w:cs="Arial"/>
                <w:sz w:val="12"/>
                <w:szCs w:val="12"/>
              </w:rPr>
            </w:pPr>
            <w:r>
              <w:rPr>
                <w:rFonts w:ascii="Arial" w:hAnsi="Arial"/>
                <w:sz w:val="12"/>
                <w:szCs w:val="12"/>
              </w:rPr>
              <w:t>Cabañas de Sayago</w:t>
            </w:r>
          </w:p>
        </w:tc>
        <w:tc>
          <w:tcPr>
            <w:tcW w:w="2268" w:type="dxa"/>
            <w:tcBorders>
              <w:right w:val="single" w:sz="4" w:space="0" w:color="auto"/>
            </w:tcBorders>
            <w:shd w:val="clear" w:color="auto" w:fill="D9D9D9"/>
            <w:hideMark/>
          </w:tcPr>
          <w:p w14:paraId="3BE60F62" w14:textId="77777777" w:rsidR="002A4DDF" w:rsidRPr="00937C8B" w:rsidRDefault="002A4DDF" w:rsidP="009110ED">
            <w:pPr>
              <w:rPr>
                <w:rFonts w:ascii="Arial" w:hAnsi="Arial" w:cs="Arial"/>
                <w:sz w:val="12"/>
                <w:szCs w:val="12"/>
              </w:rPr>
            </w:pPr>
            <w:r>
              <w:rPr>
                <w:rFonts w:ascii="Arial" w:hAnsi="Arial"/>
                <w:sz w:val="12"/>
                <w:szCs w:val="12"/>
              </w:rPr>
              <w:t>Lubián</w:t>
            </w:r>
          </w:p>
        </w:tc>
      </w:tr>
      <w:tr w:rsidR="002A4DDF" w:rsidRPr="00937C8B" w14:paraId="69370579" w14:textId="77777777" w:rsidTr="00935676">
        <w:trPr>
          <w:cantSplit/>
        </w:trPr>
        <w:tc>
          <w:tcPr>
            <w:tcW w:w="1696" w:type="dxa"/>
            <w:tcBorders>
              <w:left w:val="single" w:sz="4" w:space="0" w:color="auto"/>
            </w:tcBorders>
            <w:shd w:val="clear" w:color="auto" w:fill="auto"/>
          </w:tcPr>
          <w:p w14:paraId="1CC7659D" w14:textId="77777777" w:rsidR="002A4DDF" w:rsidRPr="00937C8B" w:rsidRDefault="002A4DDF" w:rsidP="009110ED">
            <w:pPr>
              <w:rPr>
                <w:rFonts w:ascii="Arial" w:hAnsi="Arial" w:cs="Arial"/>
                <w:sz w:val="12"/>
                <w:szCs w:val="12"/>
              </w:rPr>
            </w:pPr>
          </w:p>
        </w:tc>
        <w:tc>
          <w:tcPr>
            <w:tcW w:w="1843" w:type="dxa"/>
            <w:shd w:val="clear" w:color="auto" w:fill="auto"/>
          </w:tcPr>
          <w:p w14:paraId="2891EE96" w14:textId="77777777" w:rsidR="002A4DDF" w:rsidRPr="00937C8B" w:rsidRDefault="002A4DDF" w:rsidP="009110ED">
            <w:pPr>
              <w:rPr>
                <w:rFonts w:ascii="Arial" w:hAnsi="Arial" w:cs="Arial"/>
                <w:sz w:val="12"/>
                <w:szCs w:val="12"/>
              </w:rPr>
            </w:pPr>
          </w:p>
        </w:tc>
        <w:tc>
          <w:tcPr>
            <w:tcW w:w="2268" w:type="dxa"/>
            <w:shd w:val="clear" w:color="auto" w:fill="F2F2F2"/>
            <w:hideMark/>
          </w:tcPr>
          <w:p w14:paraId="017AACF7" w14:textId="77777777" w:rsidR="002A4DDF" w:rsidRPr="00937C8B" w:rsidRDefault="002A4DDF" w:rsidP="009110ED">
            <w:pPr>
              <w:rPr>
                <w:rFonts w:ascii="Arial" w:hAnsi="Arial" w:cs="Arial"/>
                <w:sz w:val="12"/>
                <w:szCs w:val="12"/>
              </w:rPr>
            </w:pPr>
            <w:r>
              <w:rPr>
                <w:rFonts w:ascii="Arial" w:hAnsi="Arial"/>
                <w:sz w:val="12"/>
                <w:szCs w:val="12"/>
              </w:rPr>
              <w:t>Calzadilla de Tera</w:t>
            </w:r>
          </w:p>
        </w:tc>
        <w:tc>
          <w:tcPr>
            <w:tcW w:w="2268" w:type="dxa"/>
            <w:tcBorders>
              <w:right w:val="single" w:sz="4" w:space="0" w:color="auto"/>
            </w:tcBorders>
            <w:shd w:val="clear" w:color="auto" w:fill="D9D9D9"/>
            <w:hideMark/>
          </w:tcPr>
          <w:p w14:paraId="5A4A233F" w14:textId="77777777" w:rsidR="002A4DDF" w:rsidRPr="00937C8B" w:rsidRDefault="002A4DDF" w:rsidP="009110ED">
            <w:pPr>
              <w:rPr>
                <w:rFonts w:ascii="Arial" w:hAnsi="Arial" w:cs="Arial"/>
                <w:sz w:val="12"/>
                <w:szCs w:val="12"/>
              </w:rPr>
            </w:pPr>
            <w:r>
              <w:rPr>
                <w:rFonts w:ascii="Arial" w:hAnsi="Arial"/>
                <w:sz w:val="12"/>
                <w:szCs w:val="12"/>
              </w:rPr>
              <w:t>Luelmo</w:t>
            </w:r>
          </w:p>
        </w:tc>
      </w:tr>
      <w:tr w:rsidR="002A4DDF" w:rsidRPr="00937C8B" w14:paraId="2B12EEFB" w14:textId="77777777" w:rsidTr="00935676">
        <w:trPr>
          <w:cantSplit/>
        </w:trPr>
        <w:tc>
          <w:tcPr>
            <w:tcW w:w="1696" w:type="dxa"/>
            <w:tcBorders>
              <w:left w:val="single" w:sz="4" w:space="0" w:color="auto"/>
            </w:tcBorders>
            <w:shd w:val="clear" w:color="auto" w:fill="auto"/>
          </w:tcPr>
          <w:p w14:paraId="7ED9D33D" w14:textId="77777777" w:rsidR="002A4DDF" w:rsidRPr="00937C8B" w:rsidRDefault="002A4DDF" w:rsidP="009110ED">
            <w:pPr>
              <w:rPr>
                <w:rFonts w:ascii="Arial" w:hAnsi="Arial" w:cs="Arial"/>
                <w:sz w:val="12"/>
                <w:szCs w:val="12"/>
              </w:rPr>
            </w:pPr>
          </w:p>
        </w:tc>
        <w:tc>
          <w:tcPr>
            <w:tcW w:w="1843" w:type="dxa"/>
            <w:shd w:val="clear" w:color="auto" w:fill="auto"/>
          </w:tcPr>
          <w:p w14:paraId="0589B4AA" w14:textId="77777777" w:rsidR="002A4DDF" w:rsidRPr="00937C8B" w:rsidRDefault="002A4DDF" w:rsidP="009110ED">
            <w:pPr>
              <w:rPr>
                <w:rFonts w:ascii="Arial" w:hAnsi="Arial" w:cs="Arial"/>
                <w:sz w:val="12"/>
                <w:szCs w:val="12"/>
              </w:rPr>
            </w:pPr>
          </w:p>
        </w:tc>
        <w:tc>
          <w:tcPr>
            <w:tcW w:w="2268" w:type="dxa"/>
            <w:shd w:val="clear" w:color="auto" w:fill="F2F2F2"/>
            <w:hideMark/>
          </w:tcPr>
          <w:p w14:paraId="0EE487A5" w14:textId="77777777" w:rsidR="002A4DDF" w:rsidRPr="00937C8B" w:rsidRDefault="002A4DDF" w:rsidP="009110ED">
            <w:pPr>
              <w:rPr>
                <w:rFonts w:ascii="Arial" w:hAnsi="Arial" w:cs="Arial"/>
                <w:sz w:val="12"/>
                <w:szCs w:val="12"/>
              </w:rPr>
            </w:pPr>
            <w:r>
              <w:rPr>
                <w:rFonts w:ascii="Arial" w:hAnsi="Arial"/>
                <w:sz w:val="12"/>
                <w:szCs w:val="12"/>
              </w:rPr>
              <w:t>Camarzana de Tera</w:t>
            </w:r>
          </w:p>
        </w:tc>
        <w:tc>
          <w:tcPr>
            <w:tcW w:w="2268" w:type="dxa"/>
            <w:tcBorders>
              <w:right w:val="single" w:sz="4" w:space="0" w:color="auto"/>
            </w:tcBorders>
            <w:shd w:val="clear" w:color="auto" w:fill="D9D9D9"/>
            <w:hideMark/>
          </w:tcPr>
          <w:p w14:paraId="70348D05" w14:textId="77777777" w:rsidR="002A4DDF" w:rsidRPr="00937C8B" w:rsidRDefault="002A4DDF" w:rsidP="009110ED">
            <w:pPr>
              <w:rPr>
                <w:rFonts w:ascii="Arial" w:hAnsi="Arial" w:cs="Arial"/>
                <w:sz w:val="12"/>
                <w:szCs w:val="12"/>
              </w:rPr>
            </w:pPr>
            <w:r>
              <w:rPr>
                <w:rFonts w:ascii="Arial" w:hAnsi="Arial"/>
                <w:sz w:val="12"/>
                <w:szCs w:val="12"/>
              </w:rPr>
              <w:t>Manzanal de Arriba</w:t>
            </w:r>
          </w:p>
        </w:tc>
      </w:tr>
      <w:tr w:rsidR="002A4DDF" w:rsidRPr="00937C8B" w14:paraId="544BFC8A" w14:textId="77777777" w:rsidTr="00935676">
        <w:trPr>
          <w:cantSplit/>
        </w:trPr>
        <w:tc>
          <w:tcPr>
            <w:tcW w:w="1696" w:type="dxa"/>
            <w:tcBorders>
              <w:left w:val="single" w:sz="4" w:space="0" w:color="auto"/>
            </w:tcBorders>
            <w:shd w:val="clear" w:color="auto" w:fill="auto"/>
          </w:tcPr>
          <w:p w14:paraId="1066D7E5" w14:textId="77777777" w:rsidR="002A4DDF" w:rsidRPr="00937C8B" w:rsidRDefault="002A4DDF" w:rsidP="009110ED">
            <w:pPr>
              <w:rPr>
                <w:rFonts w:ascii="Arial" w:hAnsi="Arial" w:cs="Arial"/>
                <w:sz w:val="12"/>
                <w:szCs w:val="12"/>
              </w:rPr>
            </w:pPr>
          </w:p>
        </w:tc>
        <w:tc>
          <w:tcPr>
            <w:tcW w:w="1843" w:type="dxa"/>
            <w:shd w:val="clear" w:color="auto" w:fill="auto"/>
          </w:tcPr>
          <w:p w14:paraId="54753552" w14:textId="77777777" w:rsidR="002A4DDF" w:rsidRPr="00937C8B" w:rsidRDefault="002A4DDF" w:rsidP="009110ED">
            <w:pPr>
              <w:rPr>
                <w:rFonts w:ascii="Arial" w:hAnsi="Arial" w:cs="Arial"/>
                <w:sz w:val="12"/>
                <w:szCs w:val="12"/>
              </w:rPr>
            </w:pPr>
          </w:p>
        </w:tc>
        <w:tc>
          <w:tcPr>
            <w:tcW w:w="2268" w:type="dxa"/>
            <w:shd w:val="clear" w:color="auto" w:fill="F2F2F2"/>
            <w:hideMark/>
          </w:tcPr>
          <w:p w14:paraId="2F8B6F6B" w14:textId="77777777" w:rsidR="002A4DDF" w:rsidRPr="00937C8B" w:rsidRDefault="002A4DDF" w:rsidP="009110ED">
            <w:pPr>
              <w:rPr>
                <w:rFonts w:ascii="Arial" w:hAnsi="Arial" w:cs="Arial"/>
                <w:sz w:val="12"/>
                <w:szCs w:val="12"/>
              </w:rPr>
            </w:pPr>
            <w:r>
              <w:rPr>
                <w:rFonts w:ascii="Arial" w:hAnsi="Arial"/>
                <w:sz w:val="12"/>
                <w:szCs w:val="12"/>
              </w:rPr>
              <w:t>Cañizal</w:t>
            </w:r>
          </w:p>
        </w:tc>
        <w:tc>
          <w:tcPr>
            <w:tcW w:w="2268" w:type="dxa"/>
            <w:tcBorders>
              <w:right w:val="single" w:sz="4" w:space="0" w:color="auto"/>
            </w:tcBorders>
            <w:shd w:val="clear" w:color="auto" w:fill="D9D9D9"/>
            <w:hideMark/>
          </w:tcPr>
          <w:p w14:paraId="133E338A" w14:textId="77777777" w:rsidR="002A4DDF" w:rsidRPr="00937C8B" w:rsidRDefault="002A4DDF" w:rsidP="009110ED">
            <w:pPr>
              <w:rPr>
                <w:rFonts w:ascii="Arial" w:hAnsi="Arial" w:cs="Arial"/>
                <w:sz w:val="12"/>
                <w:szCs w:val="12"/>
              </w:rPr>
            </w:pPr>
            <w:r>
              <w:rPr>
                <w:rFonts w:ascii="Arial" w:hAnsi="Arial"/>
                <w:sz w:val="12"/>
                <w:szCs w:val="12"/>
              </w:rPr>
              <w:t>Manzanal de los Infantes</w:t>
            </w:r>
          </w:p>
        </w:tc>
      </w:tr>
      <w:tr w:rsidR="002A4DDF" w:rsidRPr="00937C8B" w14:paraId="1A30DAD7" w14:textId="77777777" w:rsidTr="00935676">
        <w:trPr>
          <w:cantSplit/>
        </w:trPr>
        <w:tc>
          <w:tcPr>
            <w:tcW w:w="1696" w:type="dxa"/>
            <w:tcBorders>
              <w:left w:val="single" w:sz="4" w:space="0" w:color="auto"/>
            </w:tcBorders>
            <w:shd w:val="clear" w:color="auto" w:fill="auto"/>
          </w:tcPr>
          <w:p w14:paraId="022417F2" w14:textId="77777777" w:rsidR="002A4DDF" w:rsidRPr="00937C8B" w:rsidRDefault="002A4DDF" w:rsidP="009110ED">
            <w:pPr>
              <w:rPr>
                <w:rFonts w:ascii="Arial" w:hAnsi="Arial" w:cs="Arial"/>
                <w:sz w:val="12"/>
                <w:szCs w:val="12"/>
              </w:rPr>
            </w:pPr>
          </w:p>
        </w:tc>
        <w:tc>
          <w:tcPr>
            <w:tcW w:w="1843" w:type="dxa"/>
            <w:shd w:val="clear" w:color="auto" w:fill="auto"/>
          </w:tcPr>
          <w:p w14:paraId="3DB76246" w14:textId="77777777" w:rsidR="002A4DDF" w:rsidRPr="00937C8B" w:rsidRDefault="002A4DDF" w:rsidP="009110ED">
            <w:pPr>
              <w:rPr>
                <w:rFonts w:ascii="Arial" w:hAnsi="Arial" w:cs="Arial"/>
                <w:sz w:val="12"/>
                <w:szCs w:val="12"/>
              </w:rPr>
            </w:pPr>
          </w:p>
        </w:tc>
        <w:tc>
          <w:tcPr>
            <w:tcW w:w="2268" w:type="dxa"/>
            <w:shd w:val="clear" w:color="auto" w:fill="F2F2F2"/>
            <w:hideMark/>
          </w:tcPr>
          <w:p w14:paraId="3F41FC96" w14:textId="77777777" w:rsidR="002A4DDF" w:rsidRPr="00937C8B" w:rsidRDefault="002A4DDF" w:rsidP="009110ED">
            <w:pPr>
              <w:rPr>
                <w:rFonts w:ascii="Arial" w:hAnsi="Arial" w:cs="Arial"/>
                <w:sz w:val="12"/>
                <w:szCs w:val="12"/>
              </w:rPr>
            </w:pPr>
            <w:r>
              <w:rPr>
                <w:rFonts w:ascii="Arial" w:hAnsi="Arial"/>
                <w:sz w:val="12"/>
                <w:szCs w:val="12"/>
              </w:rPr>
              <w:t>Cañizo</w:t>
            </w:r>
          </w:p>
        </w:tc>
        <w:tc>
          <w:tcPr>
            <w:tcW w:w="2268" w:type="dxa"/>
            <w:tcBorders>
              <w:right w:val="single" w:sz="4" w:space="0" w:color="auto"/>
            </w:tcBorders>
            <w:shd w:val="clear" w:color="auto" w:fill="D9D9D9"/>
            <w:hideMark/>
          </w:tcPr>
          <w:p w14:paraId="6183D936" w14:textId="77777777" w:rsidR="002A4DDF" w:rsidRPr="00937C8B" w:rsidRDefault="002A4DDF" w:rsidP="009110ED">
            <w:pPr>
              <w:rPr>
                <w:rFonts w:ascii="Arial" w:hAnsi="Arial" w:cs="Arial"/>
                <w:sz w:val="12"/>
                <w:szCs w:val="12"/>
              </w:rPr>
            </w:pPr>
            <w:r>
              <w:rPr>
                <w:rFonts w:ascii="Arial" w:hAnsi="Arial"/>
                <w:sz w:val="12"/>
                <w:szCs w:val="12"/>
              </w:rPr>
              <w:t>Mombuey</w:t>
            </w:r>
          </w:p>
        </w:tc>
      </w:tr>
      <w:tr w:rsidR="002A4DDF" w:rsidRPr="00937C8B" w14:paraId="736EB1DF" w14:textId="77777777" w:rsidTr="00935676">
        <w:trPr>
          <w:cantSplit/>
        </w:trPr>
        <w:tc>
          <w:tcPr>
            <w:tcW w:w="1696" w:type="dxa"/>
            <w:tcBorders>
              <w:left w:val="single" w:sz="4" w:space="0" w:color="auto"/>
            </w:tcBorders>
            <w:shd w:val="clear" w:color="auto" w:fill="auto"/>
          </w:tcPr>
          <w:p w14:paraId="5F4824FF" w14:textId="77777777" w:rsidR="002A4DDF" w:rsidRPr="00937C8B" w:rsidRDefault="002A4DDF" w:rsidP="009110ED">
            <w:pPr>
              <w:rPr>
                <w:rFonts w:ascii="Arial" w:hAnsi="Arial" w:cs="Arial"/>
                <w:sz w:val="12"/>
                <w:szCs w:val="12"/>
              </w:rPr>
            </w:pPr>
          </w:p>
        </w:tc>
        <w:tc>
          <w:tcPr>
            <w:tcW w:w="1843" w:type="dxa"/>
            <w:shd w:val="clear" w:color="auto" w:fill="auto"/>
          </w:tcPr>
          <w:p w14:paraId="6DC041FF" w14:textId="77777777" w:rsidR="002A4DDF" w:rsidRPr="00937C8B" w:rsidRDefault="002A4DDF" w:rsidP="009110ED">
            <w:pPr>
              <w:rPr>
                <w:rFonts w:ascii="Arial" w:hAnsi="Arial" w:cs="Arial"/>
                <w:sz w:val="12"/>
                <w:szCs w:val="12"/>
              </w:rPr>
            </w:pPr>
          </w:p>
        </w:tc>
        <w:tc>
          <w:tcPr>
            <w:tcW w:w="2268" w:type="dxa"/>
            <w:shd w:val="clear" w:color="auto" w:fill="F2F2F2"/>
            <w:hideMark/>
          </w:tcPr>
          <w:p w14:paraId="03B0BB0B" w14:textId="77777777" w:rsidR="002A4DDF" w:rsidRPr="00937C8B" w:rsidRDefault="002A4DDF" w:rsidP="009110ED">
            <w:pPr>
              <w:rPr>
                <w:rFonts w:ascii="Arial" w:hAnsi="Arial" w:cs="Arial"/>
                <w:sz w:val="12"/>
                <w:szCs w:val="12"/>
              </w:rPr>
            </w:pPr>
            <w:r>
              <w:rPr>
                <w:rFonts w:ascii="Arial" w:hAnsi="Arial"/>
                <w:sz w:val="12"/>
                <w:szCs w:val="12"/>
              </w:rPr>
              <w:t>Carbajales de Alba</w:t>
            </w:r>
          </w:p>
        </w:tc>
        <w:tc>
          <w:tcPr>
            <w:tcW w:w="2268" w:type="dxa"/>
            <w:tcBorders>
              <w:right w:val="single" w:sz="4" w:space="0" w:color="auto"/>
            </w:tcBorders>
            <w:shd w:val="clear" w:color="auto" w:fill="D9D9D9"/>
            <w:hideMark/>
          </w:tcPr>
          <w:p w14:paraId="2E043B96" w14:textId="77777777" w:rsidR="002A4DDF" w:rsidRPr="00937C8B" w:rsidRDefault="002A4DDF" w:rsidP="009110ED">
            <w:pPr>
              <w:rPr>
                <w:rFonts w:ascii="Arial" w:hAnsi="Arial" w:cs="Arial"/>
                <w:sz w:val="12"/>
                <w:szCs w:val="12"/>
              </w:rPr>
            </w:pPr>
            <w:r>
              <w:rPr>
                <w:rFonts w:ascii="Arial" w:hAnsi="Arial"/>
                <w:sz w:val="12"/>
                <w:szCs w:val="12"/>
              </w:rPr>
              <w:t>Moral de Sayago</w:t>
            </w:r>
          </w:p>
        </w:tc>
      </w:tr>
      <w:tr w:rsidR="002A4DDF" w:rsidRPr="00937C8B" w14:paraId="779F0B96" w14:textId="77777777" w:rsidTr="00935676">
        <w:trPr>
          <w:cantSplit/>
        </w:trPr>
        <w:tc>
          <w:tcPr>
            <w:tcW w:w="1696" w:type="dxa"/>
            <w:tcBorders>
              <w:left w:val="single" w:sz="4" w:space="0" w:color="auto"/>
            </w:tcBorders>
            <w:shd w:val="clear" w:color="auto" w:fill="auto"/>
          </w:tcPr>
          <w:p w14:paraId="78AAA3AE" w14:textId="77777777" w:rsidR="002A4DDF" w:rsidRPr="00937C8B" w:rsidRDefault="002A4DDF" w:rsidP="009110ED">
            <w:pPr>
              <w:rPr>
                <w:rFonts w:ascii="Arial" w:hAnsi="Arial" w:cs="Arial"/>
                <w:sz w:val="12"/>
                <w:szCs w:val="12"/>
              </w:rPr>
            </w:pPr>
          </w:p>
        </w:tc>
        <w:tc>
          <w:tcPr>
            <w:tcW w:w="1843" w:type="dxa"/>
            <w:shd w:val="clear" w:color="auto" w:fill="auto"/>
          </w:tcPr>
          <w:p w14:paraId="45564B2A" w14:textId="77777777" w:rsidR="002A4DDF" w:rsidRPr="00937C8B" w:rsidRDefault="002A4DDF" w:rsidP="009110ED">
            <w:pPr>
              <w:rPr>
                <w:rFonts w:ascii="Arial" w:hAnsi="Arial" w:cs="Arial"/>
                <w:sz w:val="12"/>
                <w:szCs w:val="12"/>
              </w:rPr>
            </w:pPr>
          </w:p>
        </w:tc>
        <w:tc>
          <w:tcPr>
            <w:tcW w:w="2268" w:type="dxa"/>
            <w:shd w:val="clear" w:color="auto" w:fill="F2F2F2"/>
            <w:hideMark/>
          </w:tcPr>
          <w:p w14:paraId="1A8E54F7" w14:textId="77777777" w:rsidR="002A4DDF" w:rsidRPr="00937C8B" w:rsidRDefault="002A4DDF" w:rsidP="009110ED">
            <w:pPr>
              <w:rPr>
                <w:rFonts w:ascii="Arial" w:hAnsi="Arial" w:cs="Arial"/>
                <w:sz w:val="12"/>
                <w:szCs w:val="12"/>
              </w:rPr>
            </w:pPr>
            <w:r>
              <w:rPr>
                <w:rFonts w:ascii="Arial" w:hAnsi="Arial"/>
                <w:sz w:val="12"/>
                <w:szCs w:val="12"/>
              </w:rPr>
              <w:t>Casaseca de Campeán</w:t>
            </w:r>
          </w:p>
        </w:tc>
        <w:tc>
          <w:tcPr>
            <w:tcW w:w="2268" w:type="dxa"/>
            <w:tcBorders>
              <w:right w:val="single" w:sz="4" w:space="0" w:color="auto"/>
            </w:tcBorders>
            <w:shd w:val="clear" w:color="auto" w:fill="D9D9D9"/>
            <w:hideMark/>
          </w:tcPr>
          <w:p w14:paraId="615E3EE0" w14:textId="77777777" w:rsidR="002A4DDF" w:rsidRPr="00937C8B" w:rsidRDefault="002A4DDF" w:rsidP="009110ED">
            <w:pPr>
              <w:rPr>
                <w:rFonts w:ascii="Arial" w:hAnsi="Arial" w:cs="Arial"/>
                <w:sz w:val="12"/>
                <w:szCs w:val="12"/>
              </w:rPr>
            </w:pPr>
            <w:r>
              <w:rPr>
                <w:rFonts w:ascii="Arial" w:hAnsi="Arial"/>
                <w:sz w:val="12"/>
                <w:szCs w:val="12"/>
              </w:rPr>
              <w:t>Moraleja de Sayago</w:t>
            </w:r>
          </w:p>
        </w:tc>
      </w:tr>
      <w:tr w:rsidR="002A4DDF" w:rsidRPr="00937C8B" w14:paraId="523C4865" w14:textId="77777777" w:rsidTr="00935676">
        <w:trPr>
          <w:cantSplit/>
        </w:trPr>
        <w:tc>
          <w:tcPr>
            <w:tcW w:w="1696" w:type="dxa"/>
            <w:tcBorders>
              <w:left w:val="single" w:sz="4" w:space="0" w:color="auto"/>
            </w:tcBorders>
            <w:shd w:val="clear" w:color="auto" w:fill="auto"/>
          </w:tcPr>
          <w:p w14:paraId="2B8C6F22" w14:textId="77777777" w:rsidR="002A4DDF" w:rsidRPr="00937C8B" w:rsidRDefault="002A4DDF" w:rsidP="009110ED">
            <w:pPr>
              <w:rPr>
                <w:rFonts w:ascii="Arial" w:hAnsi="Arial" w:cs="Arial"/>
                <w:sz w:val="12"/>
                <w:szCs w:val="12"/>
              </w:rPr>
            </w:pPr>
          </w:p>
        </w:tc>
        <w:tc>
          <w:tcPr>
            <w:tcW w:w="1843" w:type="dxa"/>
            <w:shd w:val="clear" w:color="auto" w:fill="auto"/>
          </w:tcPr>
          <w:p w14:paraId="459025B8" w14:textId="77777777" w:rsidR="002A4DDF" w:rsidRPr="00937C8B" w:rsidRDefault="002A4DDF" w:rsidP="009110ED">
            <w:pPr>
              <w:rPr>
                <w:rFonts w:ascii="Arial" w:hAnsi="Arial" w:cs="Arial"/>
                <w:sz w:val="12"/>
                <w:szCs w:val="12"/>
              </w:rPr>
            </w:pPr>
          </w:p>
        </w:tc>
        <w:tc>
          <w:tcPr>
            <w:tcW w:w="2268" w:type="dxa"/>
            <w:shd w:val="clear" w:color="auto" w:fill="F2F2F2"/>
            <w:hideMark/>
          </w:tcPr>
          <w:p w14:paraId="4603F0CA" w14:textId="77777777" w:rsidR="002A4DDF" w:rsidRPr="00937C8B" w:rsidRDefault="002A4DDF" w:rsidP="009110ED">
            <w:pPr>
              <w:rPr>
                <w:rFonts w:ascii="Arial" w:hAnsi="Arial" w:cs="Arial"/>
                <w:sz w:val="12"/>
                <w:szCs w:val="12"/>
              </w:rPr>
            </w:pPr>
            <w:r>
              <w:rPr>
                <w:rFonts w:ascii="Arial" w:hAnsi="Arial"/>
                <w:sz w:val="12"/>
                <w:szCs w:val="12"/>
              </w:rPr>
              <w:t>Casaseca de las Chanas</w:t>
            </w:r>
          </w:p>
        </w:tc>
        <w:tc>
          <w:tcPr>
            <w:tcW w:w="2268" w:type="dxa"/>
            <w:tcBorders>
              <w:right w:val="single" w:sz="4" w:space="0" w:color="auto"/>
            </w:tcBorders>
            <w:shd w:val="clear" w:color="auto" w:fill="D9D9D9"/>
            <w:hideMark/>
          </w:tcPr>
          <w:p w14:paraId="20395345" w14:textId="77777777" w:rsidR="002A4DDF" w:rsidRPr="00937C8B" w:rsidRDefault="002A4DDF" w:rsidP="009110ED">
            <w:pPr>
              <w:rPr>
                <w:rFonts w:ascii="Arial" w:hAnsi="Arial" w:cs="Arial"/>
                <w:sz w:val="12"/>
                <w:szCs w:val="12"/>
              </w:rPr>
            </w:pPr>
            <w:r>
              <w:rPr>
                <w:rFonts w:ascii="Arial" w:hAnsi="Arial"/>
                <w:sz w:val="12"/>
                <w:szCs w:val="12"/>
              </w:rPr>
              <w:t>Moralina</w:t>
            </w:r>
          </w:p>
        </w:tc>
      </w:tr>
      <w:tr w:rsidR="002A4DDF" w:rsidRPr="00937C8B" w14:paraId="495470EF" w14:textId="77777777" w:rsidTr="00935676">
        <w:trPr>
          <w:cantSplit/>
        </w:trPr>
        <w:tc>
          <w:tcPr>
            <w:tcW w:w="1696" w:type="dxa"/>
            <w:tcBorders>
              <w:left w:val="single" w:sz="4" w:space="0" w:color="auto"/>
            </w:tcBorders>
            <w:shd w:val="clear" w:color="auto" w:fill="auto"/>
          </w:tcPr>
          <w:p w14:paraId="6DB22BB9" w14:textId="77777777" w:rsidR="002A4DDF" w:rsidRPr="00937C8B" w:rsidRDefault="002A4DDF" w:rsidP="009110ED">
            <w:pPr>
              <w:rPr>
                <w:rFonts w:ascii="Arial" w:hAnsi="Arial" w:cs="Arial"/>
                <w:sz w:val="12"/>
                <w:szCs w:val="12"/>
              </w:rPr>
            </w:pPr>
          </w:p>
        </w:tc>
        <w:tc>
          <w:tcPr>
            <w:tcW w:w="1843" w:type="dxa"/>
            <w:shd w:val="clear" w:color="auto" w:fill="auto"/>
          </w:tcPr>
          <w:p w14:paraId="67443AA9" w14:textId="77777777" w:rsidR="002A4DDF" w:rsidRPr="00937C8B" w:rsidRDefault="002A4DDF" w:rsidP="009110ED">
            <w:pPr>
              <w:rPr>
                <w:rFonts w:ascii="Arial" w:hAnsi="Arial" w:cs="Arial"/>
                <w:sz w:val="12"/>
                <w:szCs w:val="12"/>
              </w:rPr>
            </w:pPr>
          </w:p>
        </w:tc>
        <w:tc>
          <w:tcPr>
            <w:tcW w:w="2268" w:type="dxa"/>
            <w:shd w:val="clear" w:color="auto" w:fill="F2F2F2"/>
            <w:hideMark/>
          </w:tcPr>
          <w:p w14:paraId="3F8B594F" w14:textId="77777777" w:rsidR="002A4DDF" w:rsidRPr="00937C8B" w:rsidRDefault="002A4DDF" w:rsidP="009110ED">
            <w:pPr>
              <w:rPr>
                <w:rFonts w:ascii="Arial" w:hAnsi="Arial" w:cs="Arial"/>
                <w:sz w:val="12"/>
                <w:szCs w:val="12"/>
              </w:rPr>
            </w:pPr>
            <w:r>
              <w:rPr>
                <w:rFonts w:ascii="Arial" w:hAnsi="Arial"/>
                <w:sz w:val="12"/>
                <w:szCs w:val="12"/>
              </w:rPr>
              <w:t>Castrillo de la Guareña</w:t>
            </w:r>
          </w:p>
        </w:tc>
        <w:tc>
          <w:tcPr>
            <w:tcW w:w="2268" w:type="dxa"/>
            <w:tcBorders>
              <w:right w:val="single" w:sz="4" w:space="0" w:color="auto"/>
            </w:tcBorders>
            <w:shd w:val="clear" w:color="auto" w:fill="D9D9D9"/>
            <w:hideMark/>
          </w:tcPr>
          <w:p w14:paraId="5FEE0576" w14:textId="77777777" w:rsidR="002A4DDF" w:rsidRPr="00937C8B" w:rsidRDefault="002A4DDF" w:rsidP="009110ED">
            <w:pPr>
              <w:rPr>
                <w:rFonts w:ascii="Arial" w:hAnsi="Arial" w:cs="Arial"/>
                <w:sz w:val="12"/>
                <w:szCs w:val="12"/>
              </w:rPr>
            </w:pPr>
            <w:r>
              <w:rPr>
                <w:rFonts w:ascii="Arial" w:hAnsi="Arial"/>
                <w:sz w:val="12"/>
                <w:szCs w:val="12"/>
              </w:rPr>
              <w:t>Muelas de los Caballeros</w:t>
            </w:r>
          </w:p>
        </w:tc>
      </w:tr>
      <w:tr w:rsidR="002A4DDF" w:rsidRPr="00937C8B" w14:paraId="4C2EF291" w14:textId="77777777" w:rsidTr="00935676">
        <w:trPr>
          <w:cantSplit/>
        </w:trPr>
        <w:tc>
          <w:tcPr>
            <w:tcW w:w="1696" w:type="dxa"/>
            <w:tcBorders>
              <w:left w:val="single" w:sz="4" w:space="0" w:color="auto"/>
            </w:tcBorders>
            <w:shd w:val="clear" w:color="auto" w:fill="auto"/>
          </w:tcPr>
          <w:p w14:paraId="477D5E56" w14:textId="77777777" w:rsidR="002A4DDF" w:rsidRPr="00937C8B" w:rsidRDefault="002A4DDF" w:rsidP="009110ED">
            <w:pPr>
              <w:rPr>
                <w:rFonts w:ascii="Arial" w:hAnsi="Arial" w:cs="Arial"/>
                <w:sz w:val="12"/>
                <w:szCs w:val="12"/>
              </w:rPr>
            </w:pPr>
          </w:p>
        </w:tc>
        <w:tc>
          <w:tcPr>
            <w:tcW w:w="1843" w:type="dxa"/>
            <w:shd w:val="clear" w:color="auto" w:fill="auto"/>
          </w:tcPr>
          <w:p w14:paraId="2F98D718" w14:textId="77777777" w:rsidR="002A4DDF" w:rsidRPr="00937C8B" w:rsidRDefault="002A4DDF" w:rsidP="009110ED">
            <w:pPr>
              <w:rPr>
                <w:rFonts w:ascii="Arial" w:hAnsi="Arial" w:cs="Arial"/>
                <w:sz w:val="12"/>
                <w:szCs w:val="12"/>
              </w:rPr>
            </w:pPr>
          </w:p>
        </w:tc>
        <w:tc>
          <w:tcPr>
            <w:tcW w:w="2268" w:type="dxa"/>
            <w:shd w:val="clear" w:color="auto" w:fill="F2F2F2"/>
            <w:hideMark/>
          </w:tcPr>
          <w:p w14:paraId="158082FF" w14:textId="77777777" w:rsidR="002A4DDF" w:rsidRPr="00937C8B" w:rsidRDefault="002A4DDF" w:rsidP="009110ED">
            <w:pPr>
              <w:rPr>
                <w:rFonts w:ascii="Arial" w:hAnsi="Arial" w:cs="Arial"/>
                <w:sz w:val="12"/>
                <w:szCs w:val="12"/>
              </w:rPr>
            </w:pPr>
            <w:r>
              <w:rPr>
                <w:rFonts w:ascii="Arial" w:hAnsi="Arial"/>
                <w:sz w:val="12"/>
                <w:szCs w:val="12"/>
              </w:rPr>
              <w:t>Castrogonzalo</w:t>
            </w:r>
          </w:p>
        </w:tc>
        <w:tc>
          <w:tcPr>
            <w:tcW w:w="2268" w:type="dxa"/>
            <w:tcBorders>
              <w:right w:val="single" w:sz="4" w:space="0" w:color="auto"/>
            </w:tcBorders>
            <w:shd w:val="clear" w:color="auto" w:fill="D9D9D9"/>
            <w:hideMark/>
          </w:tcPr>
          <w:p w14:paraId="7E2E2ADA" w14:textId="77777777" w:rsidR="002A4DDF" w:rsidRPr="00937C8B" w:rsidRDefault="002A4DDF" w:rsidP="009110ED">
            <w:pPr>
              <w:rPr>
                <w:rFonts w:ascii="Arial" w:hAnsi="Arial" w:cs="Arial"/>
                <w:sz w:val="12"/>
                <w:szCs w:val="12"/>
              </w:rPr>
            </w:pPr>
            <w:r>
              <w:rPr>
                <w:rFonts w:ascii="Arial" w:hAnsi="Arial"/>
                <w:sz w:val="12"/>
                <w:szCs w:val="12"/>
              </w:rPr>
              <w:t>Muelas del Pan</w:t>
            </w:r>
          </w:p>
        </w:tc>
      </w:tr>
      <w:tr w:rsidR="002A4DDF" w:rsidRPr="00937C8B" w14:paraId="2008ACFB" w14:textId="77777777" w:rsidTr="00935676">
        <w:trPr>
          <w:cantSplit/>
        </w:trPr>
        <w:tc>
          <w:tcPr>
            <w:tcW w:w="1696" w:type="dxa"/>
            <w:tcBorders>
              <w:left w:val="single" w:sz="4" w:space="0" w:color="auto"/>
            </w:tcBorders>
            <w:shd w:val="clear" w:color="auto" w:fill="auto"/>
          </w:tcPr>
          <w:p w14:paraId="401C8ACE" w14:textId="77777777" w:rsidR="002A4DDF" w:rsidRPr="00937C8B" w:rsidRDefault="002A4DDF" w:rsidP="009110ED">
            <w:pPr>
              <w:rPr>
                <w:rFonts w:ascii="Arial" w:hAnsi="Arial" w:cs="Arial"/>
                <w:sz w:val="12"/>
                <w:szCs w:val="12"/>
              </w:rPr>
            </w:pPr>
          </w:p>
        </w:tc>
        <w:tc>
          <w:tcPr>
            <w:tcW w:w="1843" w:type="dxa"/>
            <w:shd w:val="clear" w:color="auto" w:fill="auto"/>
          </w:tcPr>
          <w:p w14:paraId="2205CA6B" w14:textId="77777777" w:rsidR="002A4DDF" w:rsidRPr="00937C8B" w:rsidRDefault="002A4DDF" w:rsidP="009110ED">
            <w:pPr>
              <w:rPr>
                <w:rFonts w:ascii="Arial" w:hAnsi="Arial" w:cs="Arial"/>
                <w:sz w:val="12"/>
                <w:szCs w:val="12"/>
              </w:rPr>
            </w:pPr>
          </w:p>
        </w:tc>
        <w:tc>
          <w:tcPr>
            <w:tcW w:w="2268" w:type="dxa"/>
            <w:shd w:val="clear" w:color="auto" w:fill="F2F2F2"/>
            <w:hideMark/>
          </w:tcPr>
          <w:p w14:paraId="53332C95" w14:textId="77777777" w:rsidR="002A4DDF" w:rsidRPr="00937C8B" w:rsidRDefault="002A4DDF" w:rsidP="009110ED">
            <w:pPr>
              <w:rPr>
                <w:rFonts w:ascii="Arial" w:hAnsi="Arial" w:cs="Arial"/>
                <w:sz w:val="12"/>
                <w:szCs w:val="12"/>
              </w:rPr>
            </w:pPr>
            <w:r>
              <w:rPr>
                <w:rFonts w:ascii="Arial" w:hAnsi="Arial"/>
                <w:sz w:val="12"/>
                <w:szCs w:val="12"/>
              </w:rPr>
              <w:t>Castronuevo</w:t>
            </w:r>
          </w:p>
        </w:tc>
        <w:tc>
          <w:tcPr>
            <w:tcW w:w="2268" w:type="dxa"/>
            <w:tcBorders>
              <w:right w:val="single" w:sz="4" w:space="0" w:color="auto"/>
            </w:tcBorders>
            <w:shd w:val="clear" w:color="auto" w:fill="D9D9D9"/>
            <w:hideMark/>
          </w:tcPr>
          <w:p w14:paraId="6D42356E" w14:textId="77777777" w:rsidR="002A4DDF" w:rsidRPr="00937C8B" w:rsidRDefault="002A4DDF" w:rsidP="009110ED">
            <w:pPr>
              <w:rPr>
                <w:rFonts w:ascii="Arial" w:hAnsi="Arial" w:cs="Arial"/>
                <w:sz w:val="12"/>
                <w:szCs w:val="12"/>
              </w:rPr>
            </w:pPr>
            <w:r>
              <w:rPr>
                <w:rFonts w:ascii="Arial" w:hAnsi="Arial"/>
                <w:sz w:val="12"/>
                <w:szCs w:val="12"/>
              </w:rPr>
              <w:t>Muga de Sayago</w:t>
            </w:r>
          </w:p>
        </w:tc>
      </w:tr>
      <w:tr w:rsidR="002A4DDF" w:rsidRPr="00937C8B" w14:paraId="1D425078" w14:textId="77777777" w:rsidTr="00935676">
        <w:trPr>
          <w:cantSplit/>
        </w:trPr>
        <w:tc>
          <w:tcPr>
            <w:tcW w:w="1696" w:type="dxa"/>
            <w:tcBorders>
              <w:left w:val="single" w:sz="4" w:space="0" w:color="auto"/>
            </w:tcBorders>
            <w:shd w:val="clear" w:color="auto" w:fill="auto"/>
          </w:tcPr>
          <w:p w14:paraId="07E0E1F1" w14:textId="77777777" w:rsidR="002A4DDF" w:rsidRPr="00937C8B" w:rsidRDefault="002A4DDF" w:rsidP="009110ED">
            <w:pPr>
              <w:rPr>
                <w:rFonts w:ascii="Arial" w:hAnsi="Arial" w:cs="Arial"/>
                <w:sz w:val="12"/>
                <w:szCs w:val="12"/>
              </w:rPr>
            </w:pPr>
          </w:p>
        </w:tc>
        <w:tc>
          <w:tcPr>
            <w:tcW w:w="1843" w:type="dxa"/>
            <w:shd w:val="clear" w:color="auto" w:fill="auto"/>
          </w:tcPr>
          <w:p w14:paraId="59489C56" w14:textId="77777777" w:rsidR="002A4DDF" w:rsidRPr="00937C8B" w:rsidRDefault="002A4DDF" w:rsidP="009110ED">
            <w:pPr>
              <w:rPr>
                <w:rFonts w:ascii="Arial" w:hAnsi="Arial" w:cs="Arial"/>
                <w:sz w:val="12"/>
                <w:szCs w:val="12"/>
              </w:rPr>
            </w:pPr>
          </w:p>
        </w:tc>
        <w:tc>
          <w:tcPr>
            <w:tcW w:w="2268" w:type="dxa"/>
            <w:shd w:val="clear" w:color="auto" w:fill="F2F2F2"/>
            <w:hideMark/>
          </w:tcPr>
          <w:p w14:paraId="51A27B83" w14:textId="77777777" w:rsidR="002A4DDF" w:rsidRPr="00937C8B" w:rsidRDefault="002A4DDF" w:rsidP="009110ED">
            <w:pPr>
              <w:rPr>
                <w:rFonts w:ascii="Arial" w:hAnsi="Arial" w:cs="Arial"/>
                <w:sz w:val="12"/>
                <w:szCs w:val="12"/>
              </w:rPr>
            </w:pPr>
            <w:r>
              <w:rPr>
                <w:rFonts w:ascii="Arial" w:hAnsi="Arial"/>
                <w:sz w:val="12"/>
                <w:szCs w:val="12"/>
              </w:rPr>
              <w:t>Cazurra</w:t>
            </w:r>
          </w:p>
        </w:tc>
        <w:tc>
          <w:tcPr>
            <w:tcW w:w="2268" w:type="dxa"/>
            <w:tcBorders>
              <w:right w:val="single" w:sz="4" w:space="0" w:color="auto"/>
            </w:tcBorders>
            <w:shd w:val="clear" w:color="auto" w:fill="D9D9D9"/>
            <w:hideMark/>
          </w:tcPr>
          <w:p w14:paraId="61693C7C" w14:textId="77777777" w:rsidR="002A4DDF" w:rsidRPr="00937C8B" w:rsidRDefault="002A4DDF" w:rsidP="009110ED">
            <w:pPr>
              <w:rPr>
                <w:rFonts w:ascii="Arial" w:hAnsi="Arial" w:cs="Arial"/>
                <w:sz w:val="12"/>
                <w:szCs w:val="12"/>
              </w:rPr>
            </w:pPr>
            <w:r>
              <w:rPr>
                <w:rFonts w:ascii="Arial" w:hAnsi="Arial"/>
                <w:sz w:val="12"/>
                <w:szCs w:val="12"/>
              </w:rPr>
              <w:t>Otero de Bodas</w:t>
            </w:r>
          </w:p>
        </w:tc>
      </w:tr>
      <w:tr w:rsidR="002A4DDF" w:rsidRPr="00937C8B" w14:paraId="33407237" w14:textId="77777777" w:rsidTr="00935676">
        <w:trPr>
          <w:cantSplit/>
        </w:trPr>
        <w:tc>
          <w:tcPr>
            <w:tcW w:w="1696" w:type="dxa"/>
            <w:tcBorders>
              <w:left w:val="single" w:sz="4" w:space="0" w:color="auto"/>
            </w:tcBorders>
            <w:shd w:val="clear" w:color="auto" w:fill="auto"/>
          </w:tcPr>
          <w:p w14:paraId="1415C2E5" w14:textId="77777777" w:rsidR="002A4DDF" w:rsidRPr="00937C8B" w:rsidRDefault="002A4DDF" w:rsidP="009110ED">
            <w:pPr>
              <w:rPr>
                <w:rFonts w:ascii="Arial" w:hAnsi="Arial" w:cs="Arial"/>
                <w:sz w:val="12"/>
                <w:szCs w:val="12"/>
              </w:rPr>
            </w:pPr>
          </w:p>
        </w:tc>
        <w:tc>
          <w:tcPr>
            <w:tcW w:w="1843" w:type="dxa"/>
            <w:shd w:val="clear" w:color="auto" w:fill="auto"/>
          </w:tcPr>
          <w:p w14:paraId="21E2809E" w14:textId="77777777" w:rsidR="002A4DDF" w:rsidRPr="00937C8B" w:rsidRDefault="002A4DDF" w:rsidP="009110ED">
            <w:pPr>
              <w:rPr>
                <w:rFonts w:ascii="Arial" w:hAnsi="Arial" w:cs="Arial"/>
                <w:sz w:val="12"/>
                <w:szCs w:val="12"/>
              </w:rPr>
            </w:pPr>
          </w:p>
        </w:tc>
        <w:tc>
          <w:tcPr>
            <w:tcW w:w="2268" w:type="dxa"/>
            <w:shd w:val="clear" w:color="auto" w:fill="F2F2F2"/>
            <w:hideMark/>
          </w:tcPr>
          <w:p w14:paraId="096CF46F" w14:textId="77777777" w:rsidR="002A4DDF" w:rsidRPr="00937C8B" w:rsidRDefault="002A4DDF" w:rsidP="009110ED">
            <w:pPr>
              <w:rPr>
                <w:rFonts w:ascii="Arial" w:hAnsi="Arial" w:cs="Arial"/>
                <w:sz w:val="12"/>
                <w:szCs w:val="12"/>
              </w:rPr>
            </w:pPr>
            <w:r>
              <w:rPr>
                <w:rFonts w:ascii="Arial" w:hAnsi="Arial"/>
                <w:sz w:val="12"/>
                <w:szCs w:val="12"/>
              </w:rPr>
              <w:t>Cerecinos de Campos</w:t>
            </w:r>
          </w:p>
        </w:tc>
        <w:tc>
          <w:tcPr>
            <w:tcW w:w="2268" w:type="dxa"/>
            <w:tcBorders>
              <w:right w:val="single" w:sz="4" w:space="0" w:color="auto"/>
            </w:tcBorders>
            <w:shd w:val="clear" w:color="auto" w:fill="D9D9D9"/>
            <w:hideMark/>
          </w:tcPr>
          <w:p w14:paraId="33EA014B" w14:textId="77777777" w:rsidR="002A4DDF" w:rsidRPr="00937C8B" w:rsidRDefault="002A4DDF" w:rsidP="009110ED">
            <w:pPr>
              <w:rPr>
                <w:rFonts w:ascii="Arial" w:hAnsi="Arial" w:cs="Arial"/>
                <w:sz w:val="12"/>
                <w:szCs w:val="12"/>
              </w:rPr>
            </w:pPr>
            <w:r>
              <w:rPr>
                <w:rFonts w:ascii="Arial" w:hAnsi="Arial"/>
                <w:sz w:val="12"/>
                <w:szCs w:val="12"/>
              </w:rPr>
              <w:t>Palacios de Sanabria</w:t>
            </w:r>
          </w:p>
        </w:tc>
      </w:tr>
      <w:tr w:rsidR="002A4DDF" w:rsidRPr="00937C8B" w14:paraId="1041EC96" w14:textId="77777777" w:rsidTr="00935676">
        <w:trPr>
          <w:cantSplit/>
        </w:trPr>
        <w:tc>
          <w:tcPr>
            <w:tcW w:w="1696" w:type="dxa"/>
            <w:tcBorders>
              <w:left w:val="single" w:sz="4" w:space="0" w:color="auto"/>
            </w:tcBorders>
            <w:shd w:val="clear" w:color="auto" w:fill="auto"/>
          </w:tcPr>
          <w:p w14:paraId="4A6A64E6" w14:textId="77777777" w:rsidR="002A4DDF" w:rsidRPr="00937C8B" w:rsidRDefault="002A4DDF" w:rsidP="009110ED">
            <w:pPr>
              <w:rPr>
                <w:rFonts w:ascii="Arial" w:hAnsi="Arial" w:cs="Arial"/>
                <w:sz w:val="12"/>
                <w:szCs w:val="12"/>
              </w:rPr>
            </w:pPr>
          </w:p>
        </w:tc>
        <w:tc>
          <w:tcPr>
            <w:tcW w:w="1843" w:type="dxa"/>
            <w:shd w:val="clear" w:color="auto" w:fill="auto"/>
          </w:tcPr>
          <w:p w14:paraId="6EAD98E1" w14:textId="77777777" w:rsidR="002A4DDF" w:rsidRPr="00937C8B" w:rsidRDefault="002A4DDF" w:rsidP="009110ED">
            <w:pPr>
              <w:rPr>
                <w:rFonts w:ascii="Arial" w:hAnsi="Arial" w:cs="Arial"/>
                <w:sz w:val="12"/>
                <w:szCs w:val="12"/>
              </w:rPr>
            </w:pPr>
          </w:p>
        </w:tc>
        <w:tc>
          <w:tcPr>
            <w:tcW w:w="2268" w:type="dxa"/>
            <w:shd w:val="clear" w:color="auto" w:fill="F2F2F2"/>
            <w:hideMark/>
          </w:tcPr>
          <w:p w14:paraId="14CEDAF7" w14:textId="77777777" w:rsidR="002A4DDF" w:rsidRPr="00937C8B" w:rsidRDefault="002A4DDF" w:rsidP="009110ED">
            <w:pPr>
              <w:rPr>
                <w:rFonts w:ascii="Arial" w:hAnsi="Arial" w:cs="Arial"/>
                <w:sz w:val="12"/>
                <w:szCs w:val="12"/>
              </w:rPr>
            </w:pPr>
            <w:r>
              <w:rPr>
                <w:rFonts w:ascii="Arial" w:hAnsi="Arial"/>
                <w:sz w:val="12"/>
                <w:szCs w:val="12"/>
              </w:rPr>
              <w:t>Cerecinos del Carrizal</w:t>
            </w:r>
          </w:p>
        </w:tc>
        <w:tc>
          <w:tcPr>
            <w:tcW w:w="2268" w:type="dxa"/>
            <w:tcBorders>
              <w:right w:val="single" w:sz="4" w:space="0" w:color="auto"/>
            </w:tcBorders>
            <w:shd w:val="clear" w:color="auto" w:fill="D9D9D9"/>
            <w:hideMark/>
          </w:tcPr>
          <w:p w14:paraId="5EB2E682" w14:textId="77777777" w:rsidR="002A4DDF" w:rsidRPr="00937C8B" w:rsidRDefault="002A4DDF" w:rsidP="009110ED">
            <w:pPr>
              <w:rPr>
                <w:rFonts w:ascii="Arial" w:hAnsi="Arial" w:cs="Arial"/>
                <w:sz w:val="12"/>
                <w:szCs w:val="12"/>
              </w:rPr>
            </w:pPr>
            <w:r>
              <w:rPr>
                <w:rFonts w:ascii="Arial" w:hAnsi="Arial"/>
                <w:sz w:val="12"/>
                <w:szCs w:val="12"/>
              </w:rPr>
              <w:t>Pedralba de la Pradería</w:t>
            </w:r>
          </w:p>
        </w:tc>
      </w:tr>
      <w:tr w:rsidR="002A4DDF" w:rsidRPr="00937C8B" w14:paraId="5E64D8DC" w14:textId="77777777" w:rsidTr="00935676">
        <w:trPr>
          <w:cantSplit/>
        </w:trPr>
        <w:tc>
          <w:tcPr>
            <w:tcW w:w="1696" w:type="dxa"/>
            <w:tcBorders>
              <w:left w:val="single" w:sz="4" w:space="0" w:color="auto"/>
            </w:tcBorders>
            <w:shd w:val="clear" w:color="auto" w:fill="auto"/>
          </w:tcPr>
          <w:p w14:paraId="4C1DE46C" w14:textId="77777777" w:rsidR="002A4DDF" w:rsidRPr="00937C8B" w:rsidRDefault="002A4DDF" w:rsidP="009110ED">
            <w:pPr>
              <w:rPr>
                <w:rFonts w:ascii="Arial" w:hAnsi="Arial" w:cs="Arial"/>
                <w:sz w:val="12"/>
                <w:szCs w:val="12"/>
              </w:rPr>
            </w:pPr>
          </w:p>
        </w:tc>
        <w:tc>
          <w:tcPr>
            <w:tcW w:w="1843" w:type="dxa"/>
            <w:shd w:val="clear" w:color="auto" w:fill="auto"/>
          </w:tcPr>
          <w:p w14:paraId="31D0EA56" w14:textId="77777777" w:rsidR="002A4DDF" w:rsidRPr="00937C8B" w:rsidRDefault="002A4DDF" w:rsidP="009110ED">
            <w:pPr>
              <w:rPr>
                <w:rFonts w:ascii="Arial" w:hAnsi="Arial" w:cs="Arial"/>
                <w:sz w:val="12"/>
                <w:szCs w:val="12"/>
              </w:rPr>
            </w:pPr>
          </w:p>
        </w:tc>
        <w:tc>
          <w:tcPr>
            <w:tcW w:w="2268" w:type="dxa"/>
            <w:shd w:val="clear" w:color="auto" w:fill="F2F2F2"/>
            <w:hideMark/>
          </w:tcPr>
          <w:p w14:paraId="36BABCAF" w14:textId="77777777" w:rsidR="002A4DDF" w:rsidRPr="00937C8B" w:rsidRDefault="002A4DDF" w:rsidP="009110ED">
            <w:pPr>
              <w:rPr>
                <w:rFonts w:ascii="Arial" w:hAnsi="Arial" w:cs="Arial"/>
                <w:sz w:val="12"/>
                <w:szCs w:val="12"/>
              </w:rPr>
            </w:pPr>
            <w:r>
              <w:rPr>
                <w:rFonts w:ascii="Arial" w:hAnsi="Arial"/>
                <w:sz w:val="12"/>
                <w:szCs w:val="12"/>
              </w:rPr>
              <w:t>Coreses</w:t>
            </w:r>
          </w:p>
        </w:tc>
        <w:tc>
          <w:tcPr>
            <w:tcW w:w="2268" w:type="dxa"/>
            <w:tcBorders>
              <w:right w:val="single" w:sz="4" w:space="0" w:color="auto"/>
            </w:tcBorders>
            <w:shd w:val="clear" w:color="auto" w:fill="D9D9D9"/>
            <w:hideMark/>
          </w:tcPr>
          <w:p w14:paraId="34E55E71" w14:textId="77777777" w:rsidR="002A4DDF" w:rsidRPr="00937C8B" w:rsidRDefault="002A4DDF" w:rsidP="009110ED">
            <w:pPr>
              <w:rPr>
                <w:rFonts w:ascii="Arial" w:hAnsi="Arial" w:cs="Arial"/>
                <w:sz w:val="12"/>
                <w:szCs w:val="12"/>
              </w:rPr>
            </w:pPr>
            <w:r>
              <w:rPr>
                <w:rFonts w:ascii="Arial" w:hAnsi="Arial"/>
                <w:sz w:val="12"/>
                <w:szCs w:val="12"/>
              </w:rPr>
              <w:t>Peñausende</w:t>
            </w:r>
          </w:p>
        </w:tc>
      </w:tr>
      <w:tr w:rsidR="002A4DDF" w:rsidRPr="00937C8B" w14:paraId="7DC3CE97" w14:textId="77777777" w:rsidTr="00935676">
        <w:trPr>
          <w:cantSplit/>
        </w:trPr>
        <w:tc>
          <w:tcPr>
            <w:tcW w:w="1696" w:type="dxa"/>
            <w:tcBorders>
              <w:left w:val="single" w:sz="4" w:space="0" w:color="auto"/>
            </w:tcBorders>
            <w:shd w:val="clear" w:color="auto" w:fill="auto"/>
          </w:tcPr>
          <w:p w14:paraId="5DE05885" w14:textId="77777777" w:rsidR="002A4DDF" w:rsidRPr="00937C8B" w:rsidRDefault="002A4DDF" w:rsidP="009110ED">
            <w:pPr>
              <w:rPr>
                <w:rFonts w:ascii="Arial" w:hAnsi="Arial" w:cs="Arial"/>
                <w:sz w:val="12"/>
                <w:szCs w:val="12"/>
              </w:rPr>
            </w:pPr>
          </w:p>
        </w:tc>
        <w:tc>
          <w:tcPr>
            <w:tcW w:w="1843" w:type="dxa"/>
            <w:shd w:val="clear" w:color="auto" w:fill="auto"/>
          </w:tcPr>
          <w:p w14:paraId="02B0D60A" w14:textId="77777777" w:rsidR="002A4DDF" w:rsidRPr="00937C8B" w:rsidRDefault="002A4DDF" w:rsidP="009110ED">
            <w:pPr>
              <w:rPr>
                <w:rFonts w:ascii="Arial" w:hAnsi="Arial" w:cs="Arial"/>
                <w:sz w:val="12"/>
                <w:szCs w:val="12"/>
              </w:rPr>
            </w:pPr>
          </w:p>
        </w:tc>
        <w:tc>
          <w:tcPr>
            <w:tcW w:w="2268" w:type="dxa"/>
            <w:shd w:val="clear" w:color="auto" w:fill="F2F2F2"/>
            <w:hideMark/>
          </w:tcPr>
          <w:p w14:paraId="550FEA70" w14:textId="77777777" w:rsidR="002A4DDF" w:rsidRPr="00937C8B" w:rsidRDefault="002A4DDF" w:rsidP="009110ED">
            <w:pPr>
              <w:rPr>
                <w:rFonts w:ascii="Arial" w:hAnsi="Arial" w:cs="Arial"/>
                <w:sz w:val="12"/>
                <w:szCs w:val="12"/>
              </w:rPr>
            </w:pPr>
            <w:r>
              <w:rPr>
                <w:rFonts w:ascii="Arial" w:hAnsi="Arial"/>
                <w:sz w:val="12"/>
                <w:szCs w:val="12"/>
              </w:rPr>
              <w:t>Corrales del Vino</w:t>
            </w:r>
          </w:p>
        </w:tc>
        <w:tc>
          <w:tcPr>
            <w:tcW w:w="2268" w:type="dxa"/>
            <w:tcBorders>
              <w:right w:val="single" w:sz="4" w:space="0" w:color="auto"/>
            </w:tcBorders>
            <w:shd w:val="clear" w:color="auto" w:fill="D9D9D9"/>
            <w:hideMark/>
          </w:tcPr>
          <w:p w14:paraId="5EA1BC5B" w14:textId="77777777" w:rsidR="002A4DDF" w:rsidRPr="00937C8B" w:rsidRDefault="002A4DDF" w:rsidP="009110ED">
            <w:pPr>
              <w:rPr>
                <w:rFonts w:ascii="Arial" w:hAnsi="Arial" w:cs="Arial"/>
                <w:sz w:val="12"/>
                <w:szCs w:val="12"/>
              </w:rPr>
            </w:pPr>
            <w:r>
              <w:rPr>
                <w:rFonts w:ascii="Arial" w:hAnsi="Arial"/>
                <w:sz w:val="12"/>
                <w:szCs w:val="12"/>
              </w:rPr>
              <w:t>Pereruela</w:t>
            </w:r>
          </w:p>
        </w:tc>
      </w:tr>
      <w:tr w:rsidR="002A4DDF" w:rsidRPr="00937C8B" w14:paraId="0A6E573C" w14:textId="77777777" w:rsidTr="00935676">
        <w:trPr>
          <w:cantSplit/>
        </w:trPr>
        <w:tc>
          <w:tcPr>
            <w:tcW w:w="1696" w:type="dxa"/>
            <w:tcBorders>
              <w:left w:val="single" w:sz="4" w:space="0" w:color="auto"/>
            </w:tcBorders>
            <w:shd w:val="clear" w:color="auto" w:fill="auto"/>
          </w:tcPr>
          <w:p w14:paraId="5BD96765" w14:textId="77777777" w:rsidR="002A4DDF" w:rsidRPr="00937C8B" w:rsidRDefault="002A4DDF" w:rsidP="009110ED">
            <w:pPr>
              <w:rPr>
                <w:rFonts w:ascii="Arial" w:hAnsi="Arial" w:cs="Arial"/>
                <w:sz w:val="12"/>
                <w:szCs w:val="12"/>
              </w:rPr>
            </w:pPr>
          </w:p>
        </w:tc>
        <w:tc>
          <w:tcPr>
            <w:tcW w:w="1843" w:type="dxa"/>
            <w:shd w:val="clear" w:color="auto" w:fill="auto"/>
          </w:tcPr>
          <w:p w14:paraId="3E60874D" w14:textId="77777777" w:rsidR="002A4DDF" w:rsidRPr="00937C8B" w:rsidRDefault="002A4DDF" w:rsidP="009110ED">
            <w:pPr>
              <w:rPr>
                <w:rFonts w:ascii="Arial" w:hAnsi="Arial" w:cs="Arial"/>
                <w:sz w:val="12"/>
                <w:szCs w:val="12"/>
              </w:rPr>
            </w:pPr>
          </w:p>
        </w:tc>
        <w:tc>
          <w:tcPr>
            <w:tcW w:w="2268" w:type="dxa"/>
            <w:shd w:val="clear" w:color="auto" w:fill="F2F2F2"/>
            <w:hideMark/>
          </w:tcPr>
          <w:p w14:paraId="1833673F" w14:textId="77777777" w:rsidR="002A4DDF" w:rsidRPr="00937C8B" w:rsidRDefault="002A4DDF" w:rsidP="009110ED">
            <w:pPr>
              <w:rPr>
                <w:rFonts w:ascii="Arial" w:hAnsi="Arial" w:cs="Arial"/>
                <w:sz w:val="12"/>
                <w:szCs w:val="12"/>
              </w:rPr>
            </w:pPr>
            <w:r>
              <w:rPr>
                <w:rFonts w:ascii="Arial" w:hAnsi="Arial"/>
                <w:sz w:val="12"/>
                <w:szCs w:val="12"/>
              </w:rPr>
              <w:t>Cubillos</w:t>
            </w:r>
          </w:p>
        </w:tc>
        <w:tc>
          <w:tcPr>
            <w:tcW w:w="2268" w:type="dxa"/>
            <w:tcBorders>
              <w:right w:val="single" w:sz="4" w:space="0" w:color="auto"/>
            </w:tcBorders>
            <w:shd w:val="clear" w:color="auto" w:fill="D9D9D9"/>
            <w:hideMark/>
          </w:tcPr>
          <w:p w14:paraId="070CA04D" w14:textId="77777777" w:rsidR="002A4DDF" w:rsidRPr="00937C8B" w:rsidRDefault="002A4DDF" w:rsidP="009110ED">
            <w:pPr>
              <w:rPr>
                <w:rFonts w:ascii="Arial" w:hAnsi="Arial" w:cs="Arial"/>
                <w:sz w:val="12"/>
                <w:szCs w:val="12"/>
              </w:rPr>
            </w:pPr>
            <w:r>
              <w:rPr>
                <w:rFonts w:ascii="Arial" w:hAnsi="Arial"/>
                <w:sz w:val="12"/>
                <w:szCs w:val="12"/>
              </w:rPr>
              <w:t>Pías</w:t>
            </w:r>
          </w:p>
        </w:tc>
      </w:tr>
      <w:tr w:rsidR="002A4DDF" w:rsidRPr="00937C8B" w14:paraId="502B3B3C" w14:textId="77777777" w:rsidTr="00935676">
        <w:trPr>
          <w:cantSplit/>
        </w:trPr>
        <w:tc>
          <w:tcPr>
            <w:tcW w:w="1696" w:type="dxa"/>
            <w:tcBorders>
              <w:left w:val="single" w:sz="4" w:space="0" w:color="auto"/>
            </w:tcBorders>
            <w:shd w:val="clear" w:color="auto" w:fill="auto"/>
          </w:tcPr>
          <w:p w14:paraId="4615412F" w14:textId="77777777" w:rsidR="002A4DDF" w:rsidRPr="00937C8B" w:rsidRDefault="002A4DDF" w:rsidP="009110ED">
            <w:pPr>
              <w:rPr>
                <w:rFonts w:ascii="Arial" w:hAnsi="Arial" w:cs="Arial"/>
                <w:sz w:val="12"/>
                <w:szCs w:val="12"/>
              </w:rPr>
            </w:pPr>
          </w:p>
        </w:tc>
        <w:tc>
          <w:tcPr>
            <w:tcW w:w="1843" w:type="dxa"/>
            <w:shd w:val="clear" w:color="auto" w:fill="auto"/>
          </w:tcPr>
          <w:p w14:paraId="38727E3E" w14:textId="77777777" w:rsidR="002A4DDF" w:rsidRPr="00937C8B" w:rsidRDefault="002A4DDF" w:rsidP="009110ED">
            <w:pPr>
              <w:rPr>
                <w:rFonts w:ascii="Arial" w:hAnsi="Arial" w:cs="Arial"/>
                <w:sz w:val="12"/>
                <w:szCs w:val="12"/>
              </w:rPr>
            </w:pPr>
          </w:p>
        </w:tc>
        <w:tc>
          <w:tcPr>
            <w:tcW w:w="2268" w:type="dxa"/>
            <w:shd w:val="clear" w:color="auto" w:fill="F2F2F2"/>
            <w:hideMark/>
          </w:tcPr>
          <w:p w14:paraId="1B61E605" w14:textId="77777777" w:rsidR="002A4DDF" w:rsidRPr="00937C8B" w:rsidRDefault="002A4DDF" w:rsidP="009110ED">
            <w:pPr>
              <w:rPr>
                <w:rFonts w:ascii="Arial" w:hAnsi="Arial" w:cs="Arial"/>
                <w:sz w:val="12"/>
                <w:szCs w:val="12"/>
              </w:rPr>
            </w:pPr>
            <w:r>
              <w:rPr>
                <w:rFonts w:ascii="Arial" w:hAnsi="Arial"/>
                <w:sz w:val="12"/>
                <w:szCs w:val="12"/>
              </w:rPr>
              <w:t>Cubo de Benavente</w:t>
            </w:r>
          </w:p>
        </w:tc>
        <w:tc>
          <w:tcPr>
            <w:tcW w:w="2268" w:type="dxa"/>
            <w:tcBorders>
              <w:right w:val="single" w:sz="4" w:space="0" w:color="auto"/>
            </w:tcBorders>
            <w:shd w:val="clear" w:color="auto" w:fill="D9D9D9"/>
            <w:hideMark/>
          </w:tcPr>
          <w:p w14:paraId="15C20AF6" w14:textId="77777777" w:rsidR="002A4DDF" w:rsidRPr="00937C8B" w:rsidRDefault="002A4DDF" w:rsidP="009110ED">
            <w:pPr>
              <w:rPr>
                <w:rFonts w:ascii="Arial" w:hAnsi="Arial" w:cs="Arial"/>
                <w:sz w:val="12"/>
                <w:szCs w:val="12"/>
              </w:rPr>
            </w:pPr>
            <w:r>
              <w:rPr>
                <w:rFonts w:ascii="Arial" w:hAnsi="Arial"/>
                <w:sz w:val="12"/>
                <w:szCs w:val="12"/>
              </w:rPr>
              <w:t>Pino del Oro</w:t>
            </w:r>
          </w:p>
        </w:tc>
      </w:tr>
      <w:tr w:rsidR="002A4DDF" w:rsidRPr="00937C8B" w14:paraId="623DEC7E" w14:textId="77777777" w:rsidTr="00935676">
        <w:trPr>
          <w:cantSplit/>
        </w:trPr>
        <w:tc>
          <w:tcPr>
            <w:tcW w:w="1696" w:type="dxa"/>
            <w:tcBorders>
              <w:left w:val="single" w:sz="4" w:space="0" w:color="auto"/>
            </w:tcBorders>
            <w:shd w:val="clear" w:color="auto" w:fill="auto"/>
          </w:tcPr>
          <w:p w14:paraId="258C4BA8" w14:textId="77777777" w:rsidR="002A4DDF" w:rsidRPr="00937C8B" w:rsidRDefault="002A4DDF" w:rsidP="009110ED">
            <w:pPr>
              <w:rPr>
                <w:rFonts w:ascii="Arial" w:hAnsi="Arial" w:cs="Arial"/>
                <w:sz w:val="12"/>
                <w:szCs w:val="12"/>
              </w:rPr>
            </w:pPr>
          </w:p>
        </w:tc>
        <w:tc>
          <w:tcPr>
            <w:tcW w:w="1843" w:type="dxa"/>
            <w:shd w:val="clear" w:color="auto" w:fill="auto"/>
          </w:tcPr>
          <w:p w14:paraId="123F443A" w14:textId="77777777" w:rsidR="002A4DDF" w:rsidRPr="00937C8B" w:rsidRDefault="002A4DDF" w:rsidP="009110ED">
            <w:pPr>
              <w:rPr>
                <w:rFonts w:ascii="Arial" w:hAnsi="Arial" w:cs="Arial"/>
                <w:sz w:val="12"/>
                <w:szCs w:val="12"/>
              </w:rPr>
            </w:pPr>
          </w:p>
        </w:tc>
        <w:tc>
          <w:tcPr>
            <w:tcW w:w="2268" w:type="dxa"/>
            <w:shd w:val="clear" w:color="auto" w:fill="F2F2F2"/>
            <w:hideMark/>
          </w:tcPr>
          <w:p w14:paraId="20291088" w14:textId="77777777" w:rsidR="002A4DDF" w:rsidRPr="00937C8B" w:rsidRDefault="002A4DDF" w:rsidP="009110ED">
            <w:pPr>
              <w:rPr>
                <w:rFonts w:ascii="Arial" w:hAnsi="Arial" w:cs="Arial"/>
                <w:sz w:val="12"/>
                <w:szCs w:val="12"/>
              </w:rPr>
            </w:pPr>
            <w:r>
              <w:rPr>
                <w:rFonts w:ascii="Arial" w:hAnsi="Arial"/>
                <w:sz w:val="12"/>
                <w:szCs w:val="12"/>
              </w:rPr>
              <w:t>Cuelgamures</w:t>
            </w:r>
          </w:p>
        </w:tc>
        <w:tc>
          <w:tcPr>
            <w:tcW w:w="2268" w:type="dxa"/>
            <w:tcBorders>
              <w:right w:val="single" w:sz="4" w:space="0" w:color="auto"/>
            </w:tcBorders>
            <w:shd w:val="clear" w:color="auto" w:fill="D9D9D9"/>
            <w:hideMark/>
          </w:tcPr>
          <w:p w14:paraId="626BF25E" w14:textId="77777777" w:rsidR="002A4DDF" w:rsidRPr="00937C8B" w:rsidRDefault="002A4DDF" w:rsidP="009110ED">
            <w:pPr>
              <w:rPr>
                <w:rFonts w:ascii="Arial" w:hAnsi="Arial" w:cs="Arial"/>
                <w:sz w:val="12"/>
                <w:szCs w:val="12"/>
              </w:rPr>
            </w:pPr>
            <w:r>
              <w:rPr>
                <w:rFonts w:ascii="Arial" w:hAnsi="Arial"/>
                <w:sz w:val="12"/>
                <w:szCs w:val="12"/>
              </w:rPr>
              <w:t>Porto</w:t>
            </w:r>
          </w:p>
        </w:tc>
      </w:tr>
      <w:tr w:rsidR="002A4DDF" w:rsidRPr="00937C8B" w14:paraId="7E551E1D" w14:textId="77777777" w:rsidTr="00935676">
        <w:trPr>
          <w:cantSplit/>
        </w:trPr>
        <w:tc>
          <w:tcPr>
            <w:tcW w:w="1696" w:type="dxa"/>
            <w:tcBorders>
              <w:left w:val="single" w:sz="4" w:space="0" w:color="auto"/>
            </w:tcBorders>
            <w:shd w:val="clear" w:color="auto" w:fill="auto"/>
          </w:tcPr>
          <w:p w14:paraId="7CA690A3" w14:textId="77777777" w:rsidR="002A4DDF" w:rsidRPr="00937C8B" w:rsidRDefault="002A4DDF" w:rsidP="009110ED">
            <w:pPr>
              <w:rPr>
                <w:rFonts w:ascii="Arial" w:hAnsi="Arial" w:cs="Arial"/>
                <w:sz w:val="12"/>
                <w:szCs w:val="12"/>
              </w:rPr>
            </w:pPr>
          </w:p>
        </w:tc>
        <w:tc>
          <w:tcPr>
            <w:tcW w:w="1843" w:type="dxa"/>
            <w:shd w:val="clear" w:color="auto" w:fill="auto"/>
          </w:tcPr>
          <w:p w14:paraId="1D07A884" w14:textId="77777777" w:rsidR="002A4DDF" w:rsidRPr="00937C8B" w:rsidRDefault="002A4DDF" w:rsidP="009110ED">
            <w:pPr>
              <w:rPr>
                <w:rFonts w:ascii="Arial" w:hAnsi="Arial" w:cs="Arial"/>
                <w:sz w:val="12"/>
                <w:szCs w:val="12"/>
              </w:rPr>
            </w:pPr>
          </w:p>
        </w:tc>
        <w:tc>
          <w:tcPr>
            <w:tcW w:w="2268" w:type="dxa"/>
            <w:shd w:val="clear" w:color="auto" w:fill="F2F2F2"/>
            <w:hideMark/>
          </w:tcPr>
          <w:p w14:paraId="49D887A0" w14:textId="77777777" w:rsidR="002A4DDF" w:rsidRPr="00937C8B" w:rsidRDefault="002A4DDF" w:rsidP="009110ED">
            <w:pPr>
              <w:rPr>
                <w:rFonts w:ascii="Arial" w:hAnsi="Arial" w:cs="Arial"/>
                <w:sz w:val="12"/>
                <w:szCs w:val="12"/>
              </w:rPr>
            </w:pPr>
            <w:r>
              <w:rPr>
                <w:rFonts w:ascii="Arial" w:hAnsi="Arial"/>
                <w:sz w:val="12"/>
                <w:szCs w:val="12"/>
              </w:rPr>
              <w:t>El Cubo de Tierra del Vino</w:t>
            </w:r>
          </w:p>
        </w:tc>
        <w:tc>
          <w:tcPr>
            <w:tcW w:w="2268" w:type="dxa"/>
            <w:tcBorders>
              <w:right w:val="single" w:sz="4" w:space="0" w:color="auto"/>
            </w:tcBorders>
            <w:shd w:val="clear" w:color="auto" w:fill="D9D9D9"/>
            <w:hideMark/>
          </w:tcPr>
          <w:p w14:paraId="12D7DD65" w14:textId="77777777" w:rsidR="002A4DDF" w:rsidRPr="00937C8B" w:rsidRDefault="002A4DDF" w:rsidP="009110ED">
            <w:pPr>
              <w:rPr>
                <w:rFonts w:ascii="Arial" w:hAnsi="Arial" w:cs="Arial"/>
                <w:sz w:val="12"/>
                <w:szCs w:val="12"/>
              </w:rPr>
            </w:pPr>
            <w:r>
              <w:rPr>
                <w:rFonts w:ascii="Arial" w:hAnsi="Arial"/>
                <w:sz w:val="12"/>
                <w:szCs w:val="12"/>
              </w:rPr>
              <w:t>Puebla de Sanabria</w:t>
            </w:r>
          </w:p>
        </w:tc>
      </w:tr>
      <w:tr w:rsidR="002A4DDF" w:rsidRPr="00937C8B" w14:paraId="79B57ADC" w14:textId="77777777" w:rsidTr="00935676">
        <w:trPr>
          <w:cantSplit/>
        </w:trPr>
        <w:tc>
          <w:tcPr>
            <w:tcW w:w="1696" w:type="dxa"/>
            <w:tcBorders>
              <w:left w:val="single" w:sz="4" w:space="0" w:color="auto"/>
            </w:tcBorders>
            <w:shd w:val="clear" w:color="auto" w:fill="auto"/>
          </w:tcPr>
          <w:p w14:paraId="2271481B" w14:textId="77777777" w:rsidR="002A4DDF" w:rsidRPr="00937C8B" w:rsidRDefault="002A4DDF" w:rsidP="009110ED">
            <w:pPr>
              <w:rPr>
                <w:rFonts w:ascii="Arial" w:hAnsi="Arial" w:cs="Arial"/>
                <w:sz w:val="12"/>
                <w:szCs w:val="12"/>
              </w:rPr>
            </w:pPr>
          </w:p>
        </w:tc>
        <w:tc>
          <w:tcPr>
            <w:tcW w:w="1843" w:type="dxa"/>
            <w:shd w:val="clear" w:color="auto" w:fill="auto"/>
          </w:tcPr>
          <w:p w14:paraId="6EE7FA2A" w14:textId="77777777" w:rsidR="002A4DDF" w:rsidRPr="00937C8B" w:rsidRDefault="002A4DDF" w:rsidP="009110ED">
            <w:pPr>
              <w:rPr>
                <w:rFonts w:ascii="Arial" w:hAnsi="Arial" w:cs="Arial"/>
                <w:sz w:val="12"/>
                <w:szCs w:val="12"/>
              </w:rPr>
            </w:pPr>
          </w:p>
        </w:tc>
        <w:tc>
          <w:tcPr>
            <w:tcW w:w="2268" w:type="dxa"/>
            <w:shd w:val="clear" w:color="auto" w:fill="F2F2F2"/>
            <w:hideMark/>
          </w:tcPr>
          <w:p w14:paraId="54750C9A" w14:textId="77777777" w:rsidR="002A4DDF" w:rsidRPr="00937C8B" w:rsidRDefault="002A4DDF" w:rsidP="009110ED">
            <w:pPr>
              <w:rPr>
                <w:rFonts w:ascii="Arial" w:hAnsi="Arial" w:cs="Arial"/>
                <w:sz w:val="12"/>
                <w:szCs w:val="12"/>
              </w:rPr>
            </w:pPr>
            <w:r>
              <w:rPr>
                <w:rFonts w:ascii="Arial" w:hAnsi="Arial"/>
                <w:sz w:val="12"/>
                <w:szCs w:val="12"/>
              </w:rPr>
              <w:t>El Maderal</w:t>
            </w:r>
          </w:p>
        </w:tc>
        <w:tc>
          <w:tcPr>
            <w:tcW w:w="2268" w:type="dxa"/>
            <w:tcBorders>
              <w:right w:val="single" w:sz="4" w:space="0" w:color="auto"/>
            </w:tcBorders>
            <w:shd w:val="clear" w:color="auto" w:fill="D9D9D9"/>
            <w:hideMark/>
          </w:tcPr>
          <w:p w14:paraId="297146CA" w14:textId="77777777" w:rsidR="002A4DDF" w:rsidRPr="00937C8B" w:rsidRDefault="002A4DDF" w:rsidP="009110ED">
            <w:pPr>
              <w:rPr>
                <w:rFonts w:ascii="Arial" w:hAnsi="Arial" w:cs="Arial"/>
                <w:sz w:val="12"/>
                <w:szCs w:val="12"/>
              </w:rPr>
            </w:pPr>
            <w:r>
              <w:rPr>
                <w:rFonts w:ascii="Arial" w:hAnsi="Arial"/>
                <w:sz w:val="12"/>
                <w:szCs w:val="12"/>
              </w:rPr>
              <w:t>Rabanales</w:t>
            </w:r>
          </w:p>
        </w:tc>
      </w:tr>
      <w:tr w:rsidR="002A4DDF" w:rsidRPr="00937C8B" w14:paraId="0D51D6FA" w14:textId="77777777" w:rsidTr="00935676">
        <w:trPr>
          <w:cantSplit/>
        </w:trPr>
        <w:tc>
          <w:tcPr>
            <w:tcW w:w="1696" w:type="dxa"/>
            <w:tcBorders>
              <w:left w:val="single" w:sz="4" w:space="0" w:color="auto"/>
            </w:tcBorders>
            <w:shd w:val="clear" w:color="auto" w:fill="auto"/>
          </w:tcPr>
          <w:p w14:paraId="42375510" w14:textId="77777777" w:rsidR="002A4DDF" w:rsidRPr="00937C8B" w:rsidRDefault="002A4DDF" w:rsidP="009110ED">
            <w:pPr>
              <w:rPr>
                <w:rFonts w:ascii="Arial" w:hAnsi="Arial" w:cs="Arial"/>
                <w:sz w:val="12"/>
                <w:szCs w:val="12"/>
              </w:rPr>
            </w:pPr>
          </w:p>
        </w:tc>
        <w:tc>
          <w:tcPr>
            <w:tcW w:w="1843" w:type="dxa"/>
            <w:shd w:val="clear" w:color="auto" w:fill="auto"/>
          </w:tcPr>
          <w:p w14:paraId="5FC72C7D" w14:textId="77777777" w:rsidR="002A4DDF" w:rsidRPr="00937C8B" w:rsidRDefault="002A4DDF" w:rsidP="009110ED">
            <w:pPr>
              <w:rPr>
                <w:rFonts w:ascii="Arial" w:hAnsi="Arial" w:cs="Arial"/>
                <w:sz w:val="12"/>
                <w:szCs w:val="12"/>
              </w:rPr>
            </w:pPr>
          </w:p>
        </w:tc>
        <w:tc>
          <w:tcPr>
            <w:tcW w:w="2268" w:type="dxa"/>
            <w:shd w:val="clear" w:color="auto" w:fill="F2F2F2"/>
            <w:hideMark/>
          </w:tcPr>
          <w:p w14:paraId="7702A3E7" w14:textId="77777777" w:rsidR="002A4DDF" w:rsidRPr="00937C8B" w:rsidRDefault="002A4DDF" w:rsidP="009110ED">
            <w:pPr>
              <w:rPr>
                <w:rFonts w:ascii="Arial" w:hAnsi="Arial" w:cs="Arial"/>
                <w:sz w:val="12"/>
                <w:szCs w:val="12"/>
              </w:rPr>
            </w:pPr>
            <w:r>
              <w:rPr>
                <w:rFonts w:ascii="Arial" w:hAnsi="Arial"/>
                <w:sz w:val="12"/>
                <w:szCs w:val="12"/>
              </w:rPr>
              <w:t>El Pego</w:t>
            </w:r>
          </w:p>
        </w:tc>
        <w:tc>
          <w:tcPr>
            <w:tcW w:w="2268" w:type="dxa"/>
            <w:tcBorders>
              <w:right w:val="single" w:sz="4" w:space="0" w:color="auto"/>
            </w:tcBorders>
            <w:shd w:val="clear" w:color="auto" w:fill="D9D9D9"/>
            <w:hideMark/>
          </w:tcPr>
          <w:p w14:paraId="3B56D5B8" w14:textId="77777777" w:rsidR="002A4DDF" w:rsidRPr="00937C8B" w:rsidRDefault="002A4DDF" w:rsidP="009110ED">
            <w:pPr>
              <w:rPr>
                <w:rFonts w:ascii="Arial" w:hAnsi="Arial" w:cs="Arial"/>
                <w:sz w:val="12"/>
                <w:szCs w:val="12"/>
              </w:rPr>
            </w:pPr>
            <w:r>
              <w:rPr>
                <w:rFonts w:ascii="Arial" w:hAnsi="Arial"/>
                <w:sz w:val="12"/>
                <w:szCs w:val="12"/>
              </w:rPr>
              <w:t>Rábano de Aliste</w:t>
            </w:r>
          </w:p>
        </w:tc>
      </w:tr>
      <w:tr w:rsidR="002A4DDF" w:rsidRPr="00937C8B" w14:paraId="129E4C6B" w14:textId="77777777" w:rsidTr="00935676">
        <w:trPr>
          <w:cantSplit/>
        </w:trPr>
        <w:tc>
          <w:tcPr>
            <w:tcW w:w="1696" w:type="dxa"/>
            <w:tcBorders>
              <w:left w:val="single" w:sz="4" w:space="0" w:color="auto"/>
            </w:tcBorders>
            <w:shd w:val="clear" w:color="auto" w:fill="auto"/>
          </w:tcPr>
          <w:p w14:paraId="17B0F436" w14:textId="77777777" w:rsidR="002A4DDF" w:rsidRPr="00937C8B" w:rsidRDefault="002A4DDF" w:rsidP="009110ED">
            <w:pPr>
              <w:rPr>
                <w:rFonts w:ascii="Arial" w:hAnsi="Arial" w:cs="Arial"/>
                <w:sz w:val="12"/>
                <w:szCs w:val="12"/>
              </w:rPr>
            </w:pPr>
          </w:p>
        </w:tc>
        <w:tc>
          <w:tcPr>
            <w:tcW w:w="1843" w:type="dxa"/>
            <w:shd w:val="clear" w:color="auto" w:fill="auto"/>
          </w:tcPr>
          <w:p w14:paraId="7A9588B7" w14:textId="77777777" w:rsidR="002A4DDF" w:rsidRPr="00937C8B" w:rsidRDefault="002A4DDF" w:rsidP="009110ED">
            <w:pPr>
              <w:rPr>
                <w:rFonts w:ascii="Arial" w:hAnsi="Arial" w:cs="Arial"/>
                <w:sz w:val="12"/>
                <w:szCs w:val="12"/>
              </w:rPr>
            </w:pPr>
          </w:p>
        </w:tc>
        <w:tc>
          <w:tcPr>
            <w:tcW w:w="2268" w:type="dxa"/>
            <w:shd w:val="clear" w:color="auto" w:fill="F2F2F2"/>
            <w:hideMark/>
          </w:tcPr>
          <w:p w14:paraId="55AAD129" w14:textId="77777777" w:rsidR="002A4DDF" w:rsidRPr="00937C8B" w:rsidRDefault="002A4DDF" w:rsidP="009110ED">
            <w:pPr>
              <w:rPr>
                <w:rFonts w:ascii="Arial" w:hAnsi="Arial" w:cs="Arial"/>
                <w:sz w:val="12"/>
                <w:szCs w:val="12"/>
              </w:rPr>
            </w:pPr>
            <w:r>
              <w:rPr>
                <w:rFonts w:ascii="Arial" w:hAnsi="Arial"/>
                <w:sz w:val="12"/>
                <w:szCs w:val="12"/>
              </w:rPr>
              <w:t>El Perdigón</w:t>
            </w:r>
          </w:p>
        </w:tc>
        <w:tc>
          <w:tcPr>
            <w:tcW w:w="2268" w:type="dxa"/>
            <w:tcBorders>
              <w:right w:val="single" w:sz="4" w:space="0" w:color="auto"/>
            </w:tcBorders>
            <w:shd w:val="clear" w:color="auto" w:fill="D9D9D9"/>
            <w:hideMark/>
          </w:tcPr>
          <w:p w14:paraId="1526F554" w14:textId="77777777" w:rsidR="002A4DDF" w:rsidRPr="00937C8B" w:rsidRDefault="002A4DDF" w:rsidP="009110ED">
            <w:pPr>
              <w:rPr>
                <w:rFonts w:ascii="Arial" w:hAnsi="Arial" w:cs="Arial"/>
                <w:sz w:val="12"/>
                <w:szCs w:val="12"/>
              </w:rPr>
            </w:pPr>
            <w:r>
              <w:rPr>
                <w:rFonts w:ascii="Arial" w:hAnsi="Arial"/>
                <w:sz w:val="12"/>
                <w:szCs w:val="12"/>
              </w:rPr>
              <w:t>Requejo</w:t>
            </w:r>
          </w:p>
        </w:tc>
      </w:tr>
      <w:tr w:rsidR="002A4DDF" w:rsidRPr="00937C8B" w14:paraId="2F34E160" w14:textId="77777777" w:rsidTr="00935676">
        <w:trPr>
          <w:cantSplit/>
        </w:trPr>
        <w:tc>
          <w:tcPr>
            <w:tcW w:w="1696" w:type="dxa"/>
            <w:tcBorders>
              <w:left w:val="single" w:sz="4" w:space="0" w:color="auto"/>
            </w:tcBorders>
            <w:shd w:val="clear" w:color="auto" w:fill="auto"/>
          </w:tcPr>
          <w:p w14:paraId="5DE6617D" w14:textId="77777777" w:rsidR="002A4DDF" w:rsidRPr="00937C8B" w:rsidRDefault="002A4DDF" w:rsidP="009110ED">
            <w:pPr>
              <w:rPr>
                <w:rFonts w:ascii="Arial" w:hAnsi="Arial" w:cs="Arial"/>
                <w:sz w:val="12"/>
                <w:szCs w:val="12"/>
              </w:rPr>
            </w:pPr>
          </w:p>
        </w:tc>
        <w:tc>
          <w:tcPr>
            <w:tcW w:w="1843" w:type="dxa"/>
            <w:shd w:val="clear" w:color="auto" w:fill="auto"/>
          </w:tcPr>
          <w:p w14:paraId="6A36D039" w14:textId="77777777" w:rsidR="002A4DDF" w:rsidRPr="00937C8B" w:rsidRDefault="002A4DDF" w:rsidP="009110ED">
            <w:pPr>
              <w:rPr>
                <w:rFonts w:ascii="Arial" w:hAnsi="Arial" w:cs="Arial"/>
                <w:sz w:val="12"/>
                <w:szCs w:val="12"/>
              </w:rPr>
            </w:pPr>
          </w:p>
        </w:tc>
        <w:tc>
          <w:tcPr>
            <w:tcW w:w="2268" w:type="dxa"/>
            <w:shd w:val="clear" w:color="auto" w:fill="F2F2F2"/>
            <w:hideMark/>
          </w:tcPr>
          <w:p w14:paraId="53DF166A" w14:textId="77777777" w:rsidR="002A4DDF" w:rsidRPr="00937C8B" w:rsidRDefault="002A4DDF" w:rsidP="009110ED">
            <w:pPr>
              <w:rPr>
                <w:rFonts w:ascii="Arial" w:hAnsi="Arial" w:cs="Arial"/>
                <w:sz w:val="12"/>
                <w:szCs w:val="12"/>
              </w:rPr>
            </w:pPr>
            <w:r>
              <w:rPr>
                <w:rFonts w:ascii="Arial" w:hAnsi="Arial"/>
                <w:sz w:val="12"/>
                <w:szCs w:val="12"/>
              </w:rPr>
              <w:t>El Piñero</w:t>
            </w:r>
          </w:p>
        </w:tc>
        <w:tc>
          <w:tcPr>
            <w:tcW w:w="2268" w:type="dxa"/>
            <w:tcBorders>
              <w:right w:val="single" w:sz="4" w:space="0" w:color="auto"/>
            </w:tcBorders>
            <w:shd w:val="clear" w:color="auto" w:fill="D9D9D9"/>
            <w:hideMark/>
          </w:tcPr>
          <w:p w14:paraId="306BB614" w14:textId="77777777" w:rsidR="002A4DDF" w:rsidRPr="00937C8B" w:rsidRDefault="002A4DDF" w:rsidP="009110ED">
            <w:pPr>
              <w:rPr>
                <w:rFonts w:ascii="Arial" w:hAnsi="Arial" w:cs="Arial"/>
                <w:sz w:val="12"/>
                <w:szCs w:val="12"/>
              </w:rPr>
            </w:pPr>
            <w:r>
              <w:rPr>
                <w:rFonts w:ascii="Arial" w:hAnsi="Arial"/>
                <w:sz w:val="12"/>
                <w:szCs w:val="12"/>
              </w:rPr>
              <w:t>Rionegro del Puente</w:t>
            </w:r>
          </w:p>
        </w:tc>
      </w:tr>
      <w:tr w:rsidR="002A4DDF" w:rsidRPr="00937C8B" w14:paraId="426481E0" w14:textId="77777777" w:rsidTr="00935676">
        <w:trPr>
          <w:cantSplit/>
        </w:trPr>
        <w:tc>
          <w:tcPr>
            <w:tcW w:w="1696" w:type="dxa"/>
            <w:tcBorders>
              <w:left w:val="single" w:sz="4" w:space="0" w:color="auto"/>
            </w:tcBorders>
            <w:shd w:val="clear" w:color="auto" w:fill="auto"/>
          </w:tcPr>
          <w:p w14:paraId="1AB6FDFD" w14:textId="77777777" w:rsidR="002A4DDF" w:rsidRPr="00937C8B" w:rsidRDefault="002A4DDF" w:rsidP="009110ED">
            <w:pPr>
              <w:rPr>
                <w:rFonts w:ascii="Arial" w:hAnsi="Arial" w:cs="Arial"/>
                <w:sz w:val="12"/>
                <w:szCs w:val="12"/>
              </w:rPr>
            </w:pPr>
          </w:p>
        </w:tc>
        <w:tc>
          <w:tcPr>
            <w:tcW w:w="1843" w:type="dxa"/>
            <w:shd w:val="clear" w:color="auto" w:fill="auto"/>
          </w:tcPr>
          <w:p w14:paraId="793A8BC7" w14:textId="77777777" w:rsidR="002A4DDF" w:rsidRPr="00937C8B" w:rsidRDefault="002A4DDF" w:rsidP="009110ED">
            <w:pPr>
              <w:rPr>
                <w:rFonts w:ascii="Arial" w:hAnsi="Arial" w:cs="Arial"/>
                <w:sz w:val="12"/>
                <w:szCs w:val="12"/>
              </w:rPr>
            </w:pPr>
          </w:p>
        </w:tc>
        <w:tc>
          <w:tcPr>
            <w:tcW w:w="2268" w:type="dxa"/>
            <w:shd w:val="clear" w:color="auto" w:fill="F2F2F2"/>
            <w:hideMark/>
          </w:tcPr>
          <w:p w14:paraId="56114C53" w14:textId="77777777" w:rsidR="002A4DDF" w:rsidRPr="00937C8B" w:rsidRDefault="002A4DDF" w:rsidP="009110ED">
            <w:pPr>
              <w:rPr>
                <w:rFonts w:ascii="Arial" w:hAnsi="Arial" w:cs="Arial"/>
                <w:sz w:val="12"/>
                <w:szCs w:val="12"/>
              </w:rPr>
            </w:pPr>
            <w:r>
              <w:rPr>
                <w:rFonts w:ascii="Arial" w:hAnsi="Arial"/>
                <w:sz w:val="12"/>
                <w:szCs w:val="12"/>
              </w:rPr>
              <w:t>Entrala</w:t>
            </w:r>
          </w:p>
        </w:tc>
        <w:tc>
          <w:tcPr>
            <w:tcW w:w="2268" w:type="dxa"/>
            <w:tcBorders>
              <w:right w:val="single" w:sz="4" w:space="0" w:color="auto"/>
            </w:tcBorders>
            <w:shd w:val="clear" w:color="auto" w:fill="D9D9D9"/>
            <w:hideMark/>
          </w:tcPr>
          <w:p w14:paraId="70A9EFE1" w14:textId="77777777" w:rsidR="002A4DDF" w:rsidRPr="00937C8B" w:rsidRDefault="002A4DDF" w:rsidP="009110ED">
            <w:pPr>
              <w:rPr>
                <w:rFonts w:ascii="Arial" w:hAnsi="Arial" w:cs="Arial"/>
                <w:sz w:val="12"/>
                <w:szCs w:val="12"/>
              </w:rPr>
            </w:pPr>
            <w:r>
              <w:rPr>
                <w:rFonts w:ascii="Arial" w:hAnsi="Arial"/>
                <w:sz w:val="12"/>
                <w:szCs w:val="12"/>
              </w:rPr>
              <w:t>Robleda-Cervantes</w:t>
            </w:r>
          </w:p>
        </w:tc>
      </w:tr>
      <w:tr w:rsidR="002A4DDF" w:rsidRPr="00937C8B" w14:paraId="2036810D" w14:textId="77777777" w:rsidTr="00935676">
        <w:trPr>
          <w:cantSplit/>
        </w:trPr>
        <w:tc>
          <w:tcPr>
            <w:tcW w:w="1696" w:type="dxa"/>
            <w:tcBorders>
              <w:left w:val="single" w:sz="4" w:space="0" w:color="auto"/>
            </w:tcBorders>
            <w:shd w:val="clear" w:color="auto" w:fill="auto"/>
          </w:tcPr>
          <w:p w14:paraId="24D74106" w14:textId="77777777" w:rsidR="002A4DDF" w:rsidRPr="00937C8B" w:rsidRDefault="002A4DDF" w:rsidP="009110ED">
            <w:pPr>
              <w:rPr>
                <w:rFonts w:ascii="Arial" w:hAnsi="Arial" w:cs="Arial"/>
                <w:sz w:val="12"/>
                <w:szCs w:val="12"/>
              </w:rPr>
            </w:pPr>
          </w:p>
        </w:tc>
        <w:tc>
          <w:tcPr>
            <w:tcW w:w="1843" w:type="dxa"/>
            <w:shd w:val="clear" w:color="auto" w:fill="auto"/>
          </w:tcPr>
          <w:p w14:paraId="70E64411" w14:textId="77777777" w:rsidR="002A4DDF" w:rsidRPr="00937C8B" w:rsidRDefault="002A4DDF" w:rsidP="009110ED">
            <w:pPr>
              <w:rPr>
                <w:rFonts w:ascii="Arial" w:hAnsi="Arial" w:cs="Arial"/>
                <w:sz w:val="12"/>
                <w:szCs w:val="12"/>
              </w:rPr>
            </w:pPr>
          </w:p>
        </w:tc>
        <w:tc>
          <w:tcPr>
            <w:tcW w:w="2268" w:type="dxa"/>
            <w:shd w:val="clear" w:color="auto" w:fill="F2F2F2"/>
            <w:hideMark/>
          </w:tcPr>
          <w:p w14:paraId="4CCE258E" w14:textId="77777777" w:rsidR="002A4DDF" w:rsidRPr="00937C8B" w:rsidRDefault="002A4DDF" w:rsidP="009110ED">
            <w:pPr>
              <w:rPr>
                <w:rFonts w:ascii="Arial" w:hAnsi="Arial" w:cs="Arial"/>
                <w:sz w:val="12"/>
                <w:szCs w:val="12"/>
              </w:rPr>
            </w:pPr>
            <w:r>
              <w:rPr>
                <w:rFonts w:ascii="Arial" w:hAnsi="Arial"/>
                <w:sz w:val="12"/>
                <w:szCs w:val="12"/>
              </w:rPr>
              <w:t>Faramontanos de Tábara</w:t>
            </w:r>
          </w:p>
        </w:tc>
        <w:tc>
          <w:tcPr>
            <w:tcW w:w="2268" w:type="dxa"/>
            <w:tcBorders>
              <w:right w:val="single" w:sz="4" w:space="0" w:color="auto"/>
            </w:tcBorders>
            <w:shd w:val="clear" w:color="auto" w:fill="D9D9D9"/>
            <w:hideMark/>
          </w:tcPr>
          <w:p w14:paraId="1B838949" w14:textId="77777777" w:rsidR="002A4DDF" w:rsidRPr="00937C8B" w:rsidRDefault="002A4DDF" w:rsidP="009110ED">
            <w:pPr>
              <w:rPr>
                <w:rFonts w:ascii="Arial" w:hAnsi="Arial" w:cs="Arial"/>
                <w:sz w:val="12"/>
                <w:szCs w:val="12"/>
              </w:rPr>
            </w:pPr>
            <w:r>
              <w:rPr>
                <w:rFonts w:ascii="Arial" w:hAnsi="Arial"/>
                <w:sz w:val="12"/>
                <w:szCs w:val="12"/>
              </w:rPr>
              <w:t>Roelos de Sayago</w:t>
            </w:r>
          </w:p>
        </w:tc>
      </w:tr>
      <w:tr w:rsidR="002A4DDF" w:rsidRPr="00937C8B" w14:paraId="0962520D" w14:textId="77777777" w:rsidTr="00935676">
        <w:trPr>
          <w:cantSplit/>
        </w:trPr>
        <w:tc>
          <w:tcPr>
            <w:tcW w:w="1696" w:type="dxa"/>
            <w:tcBorders>
              <w:left w:val="single" w:sz="4" w:space="0" w:color="auto"/>
            </w:tcBorders>
            <w:shd w:val="clear" w:color="auto" w:fill="auto"/>
          </w:tcPr>
          <w:p w14:paraId="660186CB" w14:textId="77777777" w:rsidR="002A4DDF" w:rsidRPr="00937C8B" w:rsidRDefault="002A4DDF" w:rsidP="009110ED">
            <w:pPr>
              <w:rPr>
                <w:rFonts w:ascii="Arial" w:hAnsi="Arial" w:cs="Arial"/>
                <w:sz w:val="12"/>
                <w:szCs w:val="12"/>
              </w:rPr>
            </w:pPr>
          </w:p>
        </w:tc>
        <w:tc>
          <w:tcPr>
            <w:tcW w:w="1843" w:type="dxa"/>
            <w:shd w:val="clear" w:color="auto" w:fill="auto"/>
          </w:tcPr>
          <w:p w14:paraId="639D06FD" w14:textId="77777777" w:rsidR="002A4DDF" w:rsidRPr="00937C8B" w:rsidRDefault="002A4DDF" w:rsidP="009110ED">
            <w:pPr>
              <w:rPr>
                <w:rFonts w:ascii="Arial" w:hAnsi="Arial" w:cs="Arial"/>
                <w:sz w:val="12"/>
                <w:szCs w:val="12"/>
              </w:rPr>
            </w:pPr>
          </w:p>
        </w:tc>
        <w:tc>
          <w:tcPr>
            <w:tcW w:w="2268" w:type="dxa"/>
            <w:shd w:val="clear" w:color="auto" w:fill="F2F2F2"/>
            <w:hideMark/>
          </w:tcPr>
          <w:p w14:paraId="1A2211AC" w14:textId="77777777" w:rsidR="002A4DDF" w:rsidRPr="00937C8B" w:rsidRDefault="002A4DDF" w:rsidP="009110ED">
            <w:pPr>
              <w:rPr>
                <w:rFonts w:ascii="Arial" w:hAnsi="Arial" w:cs="Arial"/>
                <w:sz w:val="12"/>
                <w:szCs w:val="12"/>
              </w:rPr>
            </w:pPr>
            <w:r>
              <w:rPr>
                <w:rFonts w:ascii="Arial" w:hAnsi="Arial"/>
                <w:sz w:val="12"/>
                <w:szCs w:val="12"/>
              </w:rPr>
              <w:t>Ferreras de Abajo</w:t>
            </w:r>
          </w:p>
        </w:tc>
        <w:tc>
          <w:tcPr>
            <w:tcW w:w="2268" w:type="dxa"/>
            <w:tcBorders>
              <w:right w:val="single" w:sz="4" w:space="0" w:color="auto"/>
            </w:tcBorders>
            <w:shd w:val="clear" w:color="auto" w:fill="D9D9D9"/>
            <w:hideMark/>
          </w:tcPr>
          <w:p w14:paraId="280CAD55" w14:textId="77777777" w:rsidR="002A4DDF" w:rsidRPr="00937C8B" w:rsidRDefault="002A4DDF" w:rsidP="009110ED">
            <w:pPr>
              <w:rPr>
                <w:rFonts w:ascii="Arial" w:hAnsi="Arial" w:cs="Arial"/>
                <w:sz w:val="12"/>
                <w:szCs w:val="12"/>
              </w:rPr>
            </w:pPr>
            <w:r>
              <w:rPr>
                <w:rFonts w:ascii="Arial" w:hAnsi="Arial"/>
                <w:sz w:val="12"/>
                <w:szCs w:val="12"/>
              </w:rPr>
              <w:t>Rosinos de la Requejada</w:t>
            </w:r>
          </w:p>
        </w:tc>
      </w:tr>
      <w:tr w:rsidR="002A4DDF" w:rsidRPr="00937C8B" w14:paraId="00690367" w14:textId="77777777" w:rsidTr="00935676">
        <w:trPr>
          <w:cantSplit/>
        </w:trPr>
        <w:tc>
          <w:tcPr>
            <w:tcW w:w="1696" w:type="dxa"/>
            <w:tcBorders>
              <w:left w:val="single" w:sz="4" w:space="0" w:color="auto"/>
            </w:tcBorders>
            <w:shd w:val="clear" w:color="auto" w:fill="auto"/>
          </w:tcPr>
          <w:p w14:paraId="1BF26ABB" w14:textId="77777777" w:rsidR="002A4DDF" w:rsidRPr="00937C8B" w:rsidRDefault="002A4DDF" w:rsidP="009110ED">
            <w:pPr>
              <w:rPr>
                <w:rFonts w:ascii="Arial" w:hAnsi="Arial" w:cs="Arial"/>
                <w:sz w:val="12"/>
                <w:szCs w:val="12"/>
              </w:rPr>
            </w:pPr>
          </w:p>
        </w:tc>
        <w:tc>
          <w:tcPr>
            <w:tcW w:w="1843" w:type="dxa"/>
            <w:shd w:val="clear" w:color="auto" w:fill="auto"/>
          </w:tcPr>
          <w:p w14:paraId="3DF54FA4" w14:textId="77777777" w:rsidR="002A4DDF" w:rsidRPr="00937C8B" w:rsidRDefault="002A4DDF" w:rsidP="009110ED">
            <w:pPr>
              <w:rPr>
                <w:rFonts w:ascii="Arial" w:hAnsi="Arial" w:cs="Arial"/>
                <w:sz w:val="12"/>
                <w:szCs w:val="12"/>
              </w:rPr>
            </w:pPr>
          </w:p>
        </w:tc>
        <w:tc>
          <w:tcPr>
            <w:tcW w:w="2268" w:type="dxa"/>
            <w:shd w:val="clear" w:color="auto" w:fill="F2F2F2"/>
            <w:hideMark/>
          </w:tcPr>
          <w:p w14:paraId="06FD19E7" w14:textId="77777777" w:rsidR="002A4DDF" w:rsidRPr="00937C8B" w:rsidRDefault="002A4DDF" w:rsidP="009110ED">
            <w:pPr>
              <w:rPr>
                <w:rFonts w:ascii="Arial" w:hAnsi="Arial" w:cs="Arial"/>
                <w:sz w:val="12"/>
                <w:szCs w:val="12"/>
              </w:rPr>
            </w:pPr>
            <w:r>
              <w:rPr>
                <w:rFonts w:ascii="Arial" w:hAnsi="Arial"/>
                <w:sz w:val="12"/>
                <w:szCs w:val="12"/>
              </w:rPr>
              <w:t>Ferreruela</w:t>
            </w:r>
          </w:p>
        </w:tc>
        <w:tc>
          <w:tcPr>
            <w:tcW w:w="2268" w:type="dxa"/>
            <w:tcBorders>
              <w:right w:val="single" w:sz="4" w:space="0" w:color="auto"/>
            </w:tcBorders>
            <w:shd w:val="clear" w:color="auto" w:fill="D9D9D9"/>
            <w:hideMark/>
          </w:tcPr>
          <w:p w14:paraId="36D765CC" w14:textId="77777777" w:rsidR="002A4DDF" w:rsidRPr="00937C8B" w:rsidRDefault="002A4DDF" w:rsidP="009110ED">
            <w:pPr>
              <w:rPr>
                <w:rFonts w:ascii="Arial" w:hAnsi="Arial" w:cs="Arial"/>
                <w:sz w:val="12"/>
                <w:szCs w:val="12"/>
              </w:rPr>
            </w:pPr>
            <w:r>
              <w:rPr>
                <w:rFonts w:ascii="Arial" w:hAnsi="Arial"/>
                <w:sz w:val="12"/>
                <w:szCs w:val="12"/>
              </w:rPr>
              <w:t>Salce</w:t>
            </w:r>
          </w:p>
        </w:tc>
      </w:tr>
      <w:tr w:rsidR="002A4DDF" w:rsidRPr="00937C8B" w14:paraId="14B081E2" w14:textId="77777777" w:rsidTr="00935676">
        <w:trPr>
          <w:cantSplit/>
        </w:trPr>
        <w:tc>
          <w:tcPr>
            <w:tcW w:w="1696" w:type="dxa"/>
            <w:tcBorders>
              <w:left w:val="single" w:sz="4" w:space="0" w:color="auto"/>
            </w:tcBorders>
            <w:shd w:val="clear" w:color="auto" w:fill="auto"/>
          </w:tcPr>
          <w:p w14:paraId="57B4340C" w14:textId="77777777" w:rsidR="002A4DDF" w:rsidRPr="00937C8B" w:rsidRDefault="002A4DDF" w:rsidP="009110ED">
            <w:pPr>
              <w:rPr>
                <w:rFonts w:ascii="Arial" w:hAnsi="Arial" w:cs="Arial"/>
                <w:sz w:val="12"/>
                <w:szCs w:val="12"/>
              </w:rPr>
            </w:pPr>
          </w:p>
        </w:tc>
        <w:tc>
          <w:tcPr>
            <w:tcW w:w="1843" w:type="dxa"/>
            <w:shd w:val="clear" w:color="auto" w:fill="auto"/>
          </w:tcPr>
          <w:p w14:paraId="373DA1F4" w14:textId="77777777" w:rsidR="002A4DDF" w:rsidRPr="00937C8B" w:rsidRDefault="002A4DDF" w:rsidP="009110ED">
            <w:pPr>
              <w:rPr>
                <w:rFonts w:ascii="Arial" w:hAnsi="Arial" w:cs="Arial"/>
                <w:sz w:val="12"/>
                <w:szCs w:val="12"/>
              </w:rPr>
            </w:pPr>
          </w:p>
        </w:tc>
        <w:tc>
          <w:tcPr>
            <w:tcW w:w="2268" w:type="dxa"/>
            <w:shd w:val="clear" w:color="auto" w:fill="F2F2F2"/>
            <w:hideMark/>
          </w:tcPr>
          <w:p w14:paraId="527ADD97" w14:textId="77777777" w:rsidR="002A4DDF" w:rsidRPr="00937C8B" w:rsidRDefault="002A4DDF" w:rsidP="009110ED">
            <w:pPr>
              <w:rPr>
                <w:rFonts w:ascii="Arial" w:hAnsi="Arial" w:cs="Arial"/>
                <w:sz w:val="12"/>
                <w:szCs w:val="12"/>
              </w:rPr>
            </w:pPr>
            <w:r>
              <w:rPr>
                <w:rFonts w:ascii="Arial" w:hAnsi="Arial"/>
                <w:sz w:val="12"/>
                <w:szCs w:val="12"/>
              </w:rPr>
              <w:t>Fresno de la Ribera</w:t>
            </w:r>
          </w:p>
        </w:tc>
        <w:tc>
          <w:tcPr>
            <w:tcW w:w="2268" w:type="dxa"/>
            <w:tcBorders>
              <w:right w:val="single" w:sz="4" w:space="0" w:color="auto"/>
            </w:tcBorders>
            <w:shd w:val="clear" w:color="auto" w:fill="D9D9D9"/>
            <w:hideMark/>
          </w:tcPr>
          <w:p w14:paraId="4E93BC6D" w14:textId="77777777" w:rsidR="002A4DDF" w:rsidRPr="00937C8B" w:rsidRDefault="002A4DDF" w:rsidP="009110ED">
            <w:pPr>
              <w:rPr>
                <w:rFonts w:ascii="Arial" w:hAnsi="Arial" w:cs="Arial"/>
                <w:sz w:val="12"/>
                <w:szCs w:val="12"/>
              </w:rPr>
            </w:pPr>
            <w:r>
              <w:rPr>
                <w:rFonts w:ascii="Arial" w:hAnsi="Arial"/>
                <w:sz w:val="12"/>
                <w:szCs w:val="12"/>
              </w:rPr>
              <w:t>Samir de los Caños</w:t>
            </w:r>
          </w:p>
        </w:tc>
      </w:tr>
      <w:tr w:rsidR="002A4DDF" w:rsidRPr="00937C8B" w14:paraId="47DEF5A5" w14:textId="77777777" w:rsidTr="00935676">
        <w:trPr>
          <w:cantSplit/>
        </w:trPr>
        <w:tc>
          <w:tcPr>
            <w:tcW w:w="1696" w:type="dxa"/>
            <w:tcBorders>
              <w:left w:val="single" w:sz="4" w:space="0" w:color="auto"/>
            </w:tcBorders>
            <w:shd w:val="clear" w:color="auto" w:fill="auto"/>
          </w:tcPr>
          <w:p w14:paraId="52737E3D" w14:textId="77777777" w:rsidR="002A4DDF" w:rsidRPr="00937C8B" w:rsidRDefault="002A4DDF" w:rsidP="009110ED">
            <w:pPr>
              <w:rPr>
                <w:rFonts w:ascii="Arial" w:hAnsi="Arial" w:cs="Arial"/>
                <w:sz w:val="12"/>
                <w:szCs w:val="12"/>
              </w:rPr>
            </w:pPr>
          </w:p>
        </w:tc>
        <w:tc>
          <w:tcPr>
            <w:tcW w:w="1843" w:type="dxa"/>
            <w:shd w:val="clear" w:color="auto" w:fill="auto"/>
          </w:tcPr>
          <w:p w14:paraId="33BEBA69" w14:textId="77777777" w:rsidR="002A4DDF" w:rsidRPr="00937C8B" w:rsidRDefault="002A4DDF" w:rsidP="009110ED">
            <w:pPr>
              <w:rPr>
                <w:rFonts w:ascii="Arial" w:hAnsi="Arial" w:cs="Arial"/>
                <w:sz w:val="12"/>
                <w:szCs w:val="12"/>
              </w:rPr>
            </w:pPr>
          </w:p>
        </w:tc>
        <w:tc>
          <w:tcPr>
            <w:tcW w:w="2268" w:type="dxa"/>
            <w:shd w:val="clear" w:color="auto" w:fill="F2F2F2"/>
            <w:hideMark/>
          </w:tcPr>
          <w:p w14:paraId="3702163A" w14:textId="77777777" w:rsidR="002A4DDF" w:rsidRPr="00937C8B" w:rsidRDefault="002A4DDF" w:rsidP="009110ED">
            <w:pPr>
              <w:rPr>
                <w:rFonts w:ascii="Arial" w:hAnsi="Arial" w:cs="Arial"/>
                <w:sz w:val="12"/>
                <w:szCs w:val="12"/>
              </w:rPr>
            </w:pPr>
            <w:r>
              <w:rPr>
                <w:rFonts w:ascii="Arial" w:hAnsi="Arial"/>
                <w:sz w:val="12"/>
                <w:szCs w:val="12"/>
              </w:rPr>
              <w:t>Friera de Valverde</w:t>
            </w:r>
          </w:p>
        </w:tc>
        <w:tc>
          <w:tcPr>
            <w:tcW w:w="2268" w:type="dxa"/>
            <w:tcBorders>
              <w:right w:val="single" w:sz="4" w:space="0" w:color="auto"/>
            </w:tcBorders>
            <w:shd w:val="clear" w:color="auto" w:fill="D9D9D9"/>
            <w:hideMark/>
          </w:tcPr>
          <w:p w14:paraId="661B7EDE" w14:textId="77777777" w:rsidR="002A4DDF" w:rsidRPr="00937C8B" w:rsidRDefault="002A4DDF" w:rsidP="009110ED">
            <w:pPr>
              <w:rPr>
                <w:rFonts w:ascii="Arial" w:hAnsi="Arial" w:cs="Arial"/>
                <w:sz w:val="12"/>
                <w:szCs w:val="12"/>
              </w:rPr>
            </w:pPr>
            <w:r>
              <w:rPr>
                <w:rFonts w:ascii="Arial" w:hAnsi="Arial"/>
                <w:sz w:val="12"/>
                <w:szCs w:val="12"/>
              </w:rPr>
              <w:t>San Justo</w:t>
            </w:r>
          </w:p>
        </w:tc>
      </w:tr>
      <w:tr w:rsidR="002A4DDF" w:rsidRPr="00937C8B" w14:paraId="63F1224D" w14:textId="77777777" w:rsidTr="00935676">
        <w:trPr>
          <w:cantSplit/>
        </w:trPr>
        <w:tc>
          <w:tcPr>
            <w:tcW w:w="1696" w:type="dxa"/>
            <w:tcBorders>
              <w:left w:val="single" w:sz="4" w:space="0" w:color="auto"/>
            </w:tcBorders>
            <w:shd w:val="clear" w:color="auto" w:fill="auto"/>
          </w:tcPr>
          <w:p w14:paraId="4F82A377" w14:textId="77777777" w:rsidR="002A4DDF" w:rsidRPr="00937C8B" w:rsidRDefault="002A4DDF" w:rsidP="009110ED">
            <w:pPr>
              <w:rPr>
                <w:rFonts w:ascii="Arial" w:hAnsi="Arial" w:cs="Arial"/>
                <w:sz w:val="12"/>
                <w:szCs w:val="12"/>
              </w:rPr>
            </w:pPr>
          </w:p>
        </w:tc>
        <w:tc>
          <w:tcPr>
            <w:tcW w:w="1843" w:type="dxa"/>
            <w:shd w:val="clear" w:color="auto" w:fill="auto"/>
          </w:tcPr>
          <w:p w14:paraId="61C5F4FA" w14:textId="77777777" w:rsidR="002A4DDF" w:rsidRPr="00937C8B" w:rsidRDefault="002A4DDF" w:rsidP="009110ED">
            <w:pPr>
              <w:rPr>
                <w:rFonts w:ascii="Arial" w:hAnsi="Arial" w:cs="Arial"/>
                <w:sz w:val="12"/>
                <w:szCs w:val="12"/>
              </w:rPr>
            </w:pPr>
          </w:p>
        </w:tc>
        <w:tc>
          <w:tcPr>
            <w:tcW w:w="2268" w:type="dxa"/>
            <w:shd w:val="clear" w:color="auto" w:fill="F2F2F2"/>
            <w:hideMark/>
          </w:tcPr>
          <w:p w14:paraId="0254187B" w14:textId="77777777" w:rsidR="002A4DDF" w:rsidRPr="00937C8B" w:rsidRDefault="002A4DDF" w:rsidP="009110ED">
            <w:pPr>
              <w:rPr>
                <w:rFonts w:ascii="Arial" w:hAnsi="Arial" w:cs="Arial"/>
                <w:sz w:val="12"/>
                <w:szCs w:val="12"/>
              </w:rPr>
            </w:pPr>
            <w:r>
              <w:rPr>
                <w:rFonts w:ascii="Arial" w:hAnsi="Arial"/>
                <w:sz w:val="12"/>
                <w:szCs w:val="12"/>
              </w:rPr>
              <w:t>Fuente Encalada</w:t>
            </w:r>
          </w:p>
        </w:tc>
        <w:tc>
          <w:tcPr>
            <w:tcW w:w="2268" w:type="dxa"/>
            <w:tcBorders>
              <w:right w:val="single" w:sz="4" w:space="0" w:color="auto"/>
            </w:tcBorders>
            <w:shd w:val="clear" w:color="auto" w:fill="D9D9D9"/>
            <w:hideMark/>
          </w:tcPr>
          <w:p w14:paraId="6F3BCB3F" w14:textId="77777777" w:rsidR="002A4DDF" w:rsidRPr="00937C8B" w:rsidRDefault="002A4DDF" w:rsidP="009110ED">
            <w:pPr>
              <w:rPr>
                <w:rFonts w:ascii="Arial" w:hAnsi="Arial" w:cs="Arial"/>
                <w:sz w:val="12"/>
                <w:szCs w:val="12"/>
              </w:rPr>
            </w:pPr>
            <w:r>
              <w:rPr>
                <w:rFonts w:ascii="Arial" w:hAnsi="Arial"/>
                <w:sz w:val="12"/>
                <w:szCs w:val="12"/>
              </w:rPr>
              <w:t>San Vitero</w:t>
            </w:r>
          </w:p>
        </w:tc>
      </w:tr>
      <w:tr w:rsidR="002A4DDF" w:rsidRPr="00937C8B" w14:paraId="72FD6DA9" w14:textId="77777777" w:rsidTr="00935676">
        <w:trPr>
          <w:cantSplit/>
        </w:trPr>
        <w:tc>
          <w:tcPr>
            <w:tcW w:w="1696" w:type="dxa"/>
            <w:tcBorders>
              <w:left w:val="single" w:sz="4" w:space="0" w:color="auto"/>
            </w:tcBorders>
            <w:shd w:val="clear" w:color="auto" w:fill="auto"/>
          </w:tcPr>
          <w:p w14:paraId="34BDE2D4" w14:textId="77777777" w:rsidR="002A4DDF" w:rsidRPr="00937C8B" w:rsidRDefault="002A4DDF" w:rsidP="009110ED">
            <w:pPr>
              <w:rPr>
                <w:rFonts w:ascii="Arial" w:hAnsi="Arial" w:cs="Arial"/>
                <w:sz w:val="12"/>
                <w:szCs w:val="12"/>
              </w:rPr>
            </w:pPr>
          </w:p>
        </w:tc>
        <w:tc>
          <w:tcPr>
            <w:tcW w:w="1843" w:type="dxa"/>
            <w:shd w:val="clear" w:color="auto" w:fill="auto"/>
          </w:tcPr>
          <w:p w14:paraId="73B3A658" w14:textId="77777777" w:rsidR="002A4DDF" w:rsidRPr="00937C8B" w:rsidRDefault="002A4DDF" w:rsidP="009110ED">
            <w:pPr>
              <w:rPr>
                <w:rFonts w:ascii="Arial" w:hAnsi="Arial" w:cs="Arial"/>
                <w:sz w:val="12"/>
                <w:szCs w:val="12"/>
              </w:rPr>
            </w:pPr>
          </w:p>
        </w:tc>
        <w:tc>
          <w:tcPr>
            <w:tcW w:w="2268" w:type="dxa"/>
            <w:shd w:val="clear" w:color="auto" w:fill="F2F2F2"/>
            <w:hideMark/>
          </w:tcPr>
          <w:p w14:paraId="4E017B2C" w14:textId="77777777" w:rsidR="002A4DDF" w:rsidRPr="00937C8B" w:rsidRDefault="002A4DDF" w:rsidP="009110ED">
            <w:pPr>
              <w:rPr>
                <w:rFonts w:ascii="Arial" w:hAnsi="Arial" w:cs="Arial"/>
                <w:sz w:val="12"/>
                <w:szCs w:val="12"/>
              </w:rPr>
            </w:pPr>
            <w:r>
              <w:rPr>
                <w:rFonts w:ascii="Arial" w:hAnsi="Arial"/>
                <w:sz w:val="12"/>
                <w:szCs w:val="12"/>
              </w:rPr>
              <w:t>Fuentelapeña</w:t>
            </w:r>
          </w:p>
        </w:tc>
        <w:tc>
          <w:tcPr>
            <w:tcW w:w="2268" w:type="dxa"/>
            <w:tcBorders>
              <w:right w:val="single" w:sz="4" w:space="0" w:color="auto"/>
            </w:tcBorders>
            <w:shd w:val="clear" w:color="auto" w:fill="D9D9D9"/>
            <w:hideMark/>
          </w:tcPr>
          <w:p w14:paraId="29DF34E8" w14:textId="77777777" w:rsidR="002A4DDF" w:rsidRPr="00937C8B" w:rsidRDefault="002A4DDF" w:rsidP="009110ED">
            <w:pPr>
              <w:rPr>
                <w:rFonts w:ascii="Arial" w:hAnsi="Arial" w:cs="Arial"/>
                <w:sz w:val="12"/>
                <w:szCs w:val="12"/>
              </w:rPr>
            </w:pPr>
            <w:r>
              <w:rPr>
                <w:rFonts w:ascii="Arial" w:hAnsi="Arial"/>
                <w:sz w:val="12"/>
                <w:szCs w:val="12"/>
              </w:rPr>
              <w:t>Torregamones</w:t>
            </w:r>
          </w:p>
        </w:tc>
      </w:tr>
      <w:tr w:rsidR="002A4DDF" w:rsidRPr="00937C8B" w14:paraId="0A339058" w14:textId="77777777" w:rsidTr="00935676">
        <w:trPr>
          <w:cantSplit/>
        </w:trPr>
        <w:tc>
          <w:tcPr>
            <w:tcW w:w="1696" w:type="dxa"/>
            <w:tcBorders>
              <w:left w:val="single" w:sz="4" w:space="0" w:color="auto"/>
            </w:tcBorders>
            <w:shd w:val="clear" w:color="auto" w:fill="auto"/>
          </w:tcPr>
          <w:p w14:paraId="7F64F43C" w14:textId="77777777" w:rsidR="002A4DDF" w:rsidRPr="00937C8B" w:rsidRDefault="002A4DDF" w:rsidP="009110ED">
            <w:pPr>
              <w:rPr>
                <w:rFonts w:ascii="Arial" w:hAnsi="Arial" w:cs="Arial"/>
                <w:sz w:val="12"/>
                <w:szCs w:val="12"/>
              </w:rPr>
            </w:pPr>
          </w:p>
        </w:tc>
        <w:tc>
          <w:tcPr>
            <w:tcW w:w="1843" w:type="dxa"/>
            <w:shd w:val="clear" w:color="auto" w:fill="auto"/>
          </w:tcPr>
          <w:p w14:paraId="5EFAAE23" w14:textId="77777777" w:rsidR="002A4DDF" w:rsidRPr="00937C8B" w:rsidRDefault="002A4DDF" w:rsidP="009110ED">
            <w:pPr>
              <w:rPr>
                <w:rFonts w:ascii="Arial" w:hAnsi="Arial" w:cs="Arial"/>
                <w:sz w:val="12"/>
                <w:szCs w:val="12"/>
              </w:rPr>
            </w:pPr>
          </w:p>
        </w:tc>
        <w:tc>
          <w:tcPr>
            <w:tcW w:w="2268" w:type="dxa"/>
            <w:shd w:val="clear" w:color="auto" w:fill="F2F2F2"/>
            <w:hideMark/>
          </w:tcPr>
          <w:p w14:paraId="51F756CC" w14:textId="77777777" w:rsidR="002A4DDF" w:rsidRPr="00937C8B" w:rsidRDefault="002A4DDF" w:rsidP="009110ED">
            <w:pPr>
              <w:rPr>
                <w:rFonts w:ascii="Arial" w:hAnsi="Arial" w:cs="Arial"/>
                <w:sz w:val="12"/>
                <w:szCs w:val="12"/>
              </w:rPr>
            </w:pPr>
            <w:r>
              <w:rPr>
                <w:rFonts w:ascii="Arial" w:hAnsi="Arial"/>
                <w:sz w:val="12"/>
                <w:szCs w:val="12"/>
              </w:rPr>
              <w:t>Fuentes de Ropel</w:t>
            </w:r>
          </w:p>
        </w:tc>
        <w:tc>
          <w:tcPr>
            <w:tcW w:w="2268" w:type="dxa"/>
            <w:tcBorders>
              <w:right w:val="single" w:sz="4" w:space="0" w:color="auto"/>
            </w:tcBorders>
            <w:shd w:val="clear" w:color="auto" w:fill="D9D9D9"/>
            <w:hideMark/>
          </w:tcPr>
          <w:p w14:paraId="18C9A109" w14:textId="77777777" w:rsidR="002A4DDF" w:rsidRPr="00937C8B" w:rsidRDefault="002A4DDF" w:rsidP="009110ED">
            <w:pPr>
              <w:rPr>
                <w:rFonts w:ascii="Arial" w:hAnsi="Arial" w:cs="Arial"/>
                <w:sz w:val="12"/>
                <w:szCs w:val="12"/>
              </w:rPr>
            </w:pPr>
            <w:r>
              <w:rPr>
                <w:rFonts w:ascii="Arial" w:hAnsi="Arial"/>
                <w:sz w:val="12"/>
                <w:szCs w:val="12"/>
              </w:rPr>
              <w:t>Trabazos</w:t>
            </w:r>
          </w:p>
        </w:tc>
      </w:tr>
      <w:tr w:rsidR="002A4DDF" w:rsidRPr="00937C8B" w14:paraId="187A287D" w14:textId="77777777" w:rsidTr="00935676">
        <w:trPr>
          <w:cantSplit/>
        </w:trPr>
        <w:tc>
          <w:tcPr>
            <w:tcW w:w="1696" w:type="dxa"/>
            <w:tcBorders>
              <w:left w:val="single" w:sz="4" w:space="0" w:color="auto"/>
            </w:tcBorders>
            <w:shd w:val="clear" w:color="auto" w:fill="auto"/>
          </w:tcPr>
          <w:p w14:paraId="77352AAD" w14:textId="77777777" w:rsidR="002A4DDF" w:rsidRPr="00937C8B" w:rsidRDefault="002A4DDF" w:rsidP="009110ED">
            <w:pPr>
              <w:rPr>
                <w:rFonts w:ascii="Arial" w:hAnsi="Arial" w:cs="Arial"/>
                <w:sz w:val="12"/>
                <w:szCs w:val="12"/>
              </w:rPr>
            </w:pPr>
          </w:p>
        </w:tc>
        <w:tc>
          <w:tcPr>
            <w:tcW w:w="1843" w:type="dxa"/>
            <w:shd w:val="clear" w:color="auto" w:fill="auto"/>
          </w:tcPr>
          <w:p w14:paraId="4DB31D37" w14:textId="77777777" w:rsidR="002A4DDF" w:rsidRPr="00937C8B" w:rsidRDefault="002A4DDF" w:rsidP="009110ED">
            <w:pPr>
              <w:rPr>
                <w:rFonts w:ascii="Arial" w:hAnsi="Arial" w:cs="Arial"/>
                <w:sz w:val="12"/>
                <w:szCs w:val="12"/>
              </w:rPr>
            </w:pPr>
          </w:p>
        </w:tc>
        <w:tc>
          <w:tcPr>
            <w:tcW w:w="2268" w:type="dxa"/>
            <w:shd w:val="clear" w:color="auto" w:fill="F2F2F2"/>
            <w:hideMark/>
          </w:tcPr>
          <w:p w14:paraId="6B74B63F" w14:textId="77777777" w:rsidR="002A4DDF" w:rsidRPr="00937C8B" w:rsidRDefault="002A4DDF" w:rsidP="009110ED">
            <w:pPr>
              <w:rPr>
                <w:rFonts w:ascii="Arial" w:hAnsi="Arial" w:cs="Arial"/>
                <w:sz w:val="12"/>
                <w:szCs w:val="12"/>
              </w:rPr>
            </w:pPr>
            <w:r>
              <w:rPr>
                <w:rFonts w:ascii="Arial" w:hAnsi="Arial"/>
                <w:sz w:val="12"/>
                <w:szCs w:val="12"/>
              </w:rPr>
              <w:t>Fuentesaúco</w:t>
            </w:r>
          </w:p>
        </w:tc>
        <w:tc>
          <w:tcPr>
            <w:tcW w:w="2268" w:type="dxa"/>
            <w:tcBorders>
              <w:right w:val="single" w:sz="4" w:space="0" w:color="auto"/>
            </w:tcBorders>
            <w:shd w:val="clear" w:color="auto" w:fill="D9D9D9"/>
            <w:hideMark/>
          </w:tcPr>
          <w:p w14:paraId="778084F8" w14:textId="77777777" w:rsidR="002A4DDF" w:rsidRPr="00937C8B" w:rsidRDefault="002A4DDF" w:rsidP="009110ED">
            <w:pPr>
              <w:rPr>
                <w:rFonts w:ascii="Arial" w:hAnsi="Arial" w:cs="Arial"/>
                <w:sz w:val="12"/>
                <w:szCs w:val="12"/>
              </w:rPr>
            </w:pPr>
            <w:r>
              <w:rPr>
                <w:rFonts w:ascii="Arial" w:hAnsi="Arial"/>
                <w:sz w:val="12"/>
                <w:szCs w:val="12"/>
              </w:rPr>
              <w:t>Trefacio</w:t>
            </w:r>
          </w:p>
        </w:tc>
      </w:tr>
      <w:tr w:rsidR="002A4DDF" w:rsidRPr="00937C8B" w14:paraId="15463403" w14:textId="77777777" w:rsidTr="00935676">
        <w:trPr>
          <w:cantSplit/>
        </w:trPr>
        <w:tc>
          <w:tcPr>
            <w:tcW w:w="1696" w:type="dxa"/>
            <w:tcBorders>
              <w:left w:val="single" w:sz="4" w:space="0" w:color="auto"/>
            </w:tcBorders>
            <w:shd w:val="clear" w:color="auto" w:fill="auto"/>
          </w:tcPr>
          <w:p w14:paraId="217009C5" w14:textId="77777777" w:rsidR="002A4DDF" w:rsidRPr="00937C8B" w:rsidRDefault="002A4DDF" w:rsidP="009110ED">
            <w:pPr>
              <w:rPr>
                <w:rFonts w:ascii="Arial" w:hAnsi="Arial" w:cs="Arial"/>
                <w:sz w:val="12"/>
                <w:szCs w:val="12"/>
              </w:rPr>
            </w:pPr>
          </w:p>
        </w:tc>
        <w:tc>
          <w:tcPr>
            <w:tcW w:w="1843" w:type="dxa"/>
            <w:shd w:val="clear" w:color="auto" w:fill="auto"/>
          </w:tcPr>
          <w:p w14:paraId="6233938B" w14:textId="77777777" w:rsidR="002A4DDF" w:rsidRPr="00937C8B" w:rsidRDefault="002A4DDF" w:rsidP="009110ED">
            <w:pPr>
              <w:rPr>
                <w:rFonts w:ascii="Arial" w:hAnsi="Arial" w:cs="Arial"/>
                <w:sz w:val="12"/>
                <w:szCs w:val="12"/>
              </w:rPr>
            </w:pPr>
          </w:p>
        </w:tc>
        <w:tc>
          <w:tcPr>
            <w:tcW w:w="2268" w:type="dxa"/>
            <w:shd w:val="clear" w:color="auto" w:fill="F2F2F2"/>
            <w:hideMark/>
          </w:tcPr>
          <w:p w14:paraId="6FB0388C" w14:textId="77777777" w:rsidR="002A4DDF" w:rsidRPr="00937C8B" w:rsidRDefault="002A4DDF" w:rsidP="009110ED">
            <w:pPr>
              <w:rPr>
                <w:rFonts w:ascii="Arial" w:hAnsi="Arial" w:cs="Arial"/>
                <w:sz w:val="12"/>
                <w:szCs w:val="12"/>
              </w:rPr>
            </w:pPr>
            <w:r>
              <w:rPr>
                <w:rFonts w:ascii="Arial" w:hAnsi="Arial"/>
                <w:sz w:val="12"/>
                <w:szCs w:val="12"/>
              </w:rPr>
              <w:t>Fuentesecas</w:t>
            </w:r>
          </w:p>
        </w:tc>
        <w:tc>
          <w:tcPr>
            <w:tcW w:w="2268" w:type="dxa"/>
            <w:tcBorders>
              <w:right w:val="single" w:sz="4" w:space="0" w:color="auto"/>
            </w:tcBorders>
            <w:shd w:val="clear" w:color="auto" w:fill="D9D9D9"/>
            <w:hideMark/>
          </w:tcPr>
          <w:p w14:paraId="56765921" w14:textId="77777777" w:rsidR="002A4DDF" w:rsidRPr="00937C8B" w:rsidRDefault="002A4DDF" w:rsidP="009110ED">
            <w:pPr>
              <w:rPr>
                <w:rFonts w:ascii="Arial" w:hAnsi="Arial" w:cs="Arial"/>
                <w:sz w:val="12"/>
                <w:szCs w:val="12"/>
              </w:rPr>
            </w:pPr>
            <w:r>
              <w:rPr>
                <w:rFonts w:ascii="Arial" w:hAnsi="Arial"/>
                <w:sz w:val="12"/>
                <w:szCs w:val="12"/>
              </w:rPr>
              <w:t>Videmala</w:t>
            </w:r>
          </w:p>
        </w:tc>
      </w:tr>
      <w:tr w:rsidR="002A4DDF" w:rsidRPr="00937C8B" w14:paraId="19BEF152" w14:textId="77777777" w:rsidTr="00935676">
        <w:trPr>
          <w:cantSplit/>
        </w:trPr>
        <w:tc>
          <w:tcPr>
            <w:tcW w:w="1696" w:type="dxa"/>
            <w:tcBorders>
              <w:left w:val="single" w:sz="4" w:space="0" w:color="auto"/>
            </w:tcBorders>
            <w:shd w:val="clear" w:color="auto" w:fill="auto"/>
          </w:tcPr>
          <w:p w14:paraId="41461595" w14:textId="77777777" w:rsidR="002A4DDF" w:rsidRPr="00937C8B" w:rsidRDefault="002A4DDF" w:rsidP="009110ED">
            <w:pPr>
              <w:rPr>
                <w:rFonts w:ascii="Arial" w:hAnsi="Arial" w:cs="Arial"/>
                <w:sz w:val="12"/>
                <w:szCs w:val="12"/>
              </w:rPr>
            </w:pPr>
          </w:p>
        </w:tc>
        <w:tc>
          <w:tcPr>
            <w:tcW w:w="1843" w:type="dxa"/>
            <w:shd w:val="clear" w:color="auto" w:fill="auto"/>
          </w:tcPr>
          <w:p w14:paraId="38B6BB56" w14:textId="77777777" w:rsidR="002A4DDF" w:rsidRPr="00937C8B" w:rsidRDefault="002A4DDF" w:rsidP="009110ED">
            <w:pPr>
              <w:rPr>
                <w:rFonts w:ascii="Arial" w:hAnsi="Arial" w:cs="Arial"/>
                <w:sz w:val="12"/>
                <w:szCs w:val="12"/>
              </w:rPr>
            </w:pPr>
          </w:p>
        </w:tc>
        <w:tc>
          <w:tcPr>
            <w:tcW w:w="2268" w:type="dxa"/>
            <w:shd w:val="clear" w:color="auto" w:fill="F2F2F2"/>
            <w:hideMark/>
          </w:tcPr>
          <w:p w14:paraId="553DB3A6" w14:textId="77777777" w:rsidR="002A4DDF" w:rsidRPr="00937C8B" w:rsidRDefault="002A4DDF" w:rsidP="009110ED">
            <w:pPr>
              <w:rPr>
                <w:rFonts w:ascii="Arial" w:hAnsi="Arial" w:cs="Arial"/>
                <w:sz w:val="12"/>
                <w:szCs w:val="12"/>
              </w:rPr>
            </w:pPr>
            <w:r>
              <w:rPr>
                <w:rFonts w:ascii="Arial" w:hAnsi="Arial"/>
                <w:sz w:val="12"/>
                <w:szCs w:val="12"/>
              </w:rPr>
              <w:t>Fuentespreadas</w:t>
            </w:r>
          </w:p>
        </w:tc>
        <w:tc>
          <w:tcPr>
            <w:tcW w:w="2268" w:type="dxa"/>
            <w:tcBorders>
              <w:right w:val="single" w:sz="4" w:space="0" w:color="auto"/>
            </w:tcBorders>
            <w:shd w:val="clear" w:color="auto" w:fill="D9D9D9"/>
            <w:hideMark/>
          </w:tcPr>
          <w:p w14:paraId="3B21C63D" w14:textId="77777777" w:rsidR="002A4DDF" w:rsidRPr="00937C8B" w:rsidRDefault="002A4DDF" w:rsidP="009110ED">
            <w:pPr>
              <w:rPr>
                <w:rFonts w:ascii="Arial" w:hAnsi="Arial" w:cs="Arial"/>
                <w:sz w:val="12"/>
                <w:szCs w:val="12"/>
              </w:rPr>
            </w:pPr>
            <w:r>
              <w:rPr>
                <w:rFonts w:ascii="Arial" w:hAnsi="Arial"/>
                <w:sz w:val="12"/>
                <w:szCs w:val="12"/>
              </w:rPr>
              <w:t>Villadepera</w:t>
            </w:r>
          </w:p>
        </w:tc>
      </w:tr>
      <w:tr w:rsidR="002A4DDF" w:rsidRPr="00937C8B" w14:paraId="64C8FF83" w14:textId="77777777" w:rsidTr="00935676">
        <w:trPr>
          <w:cantSplit/>
        </w:trPr>
        <w:tc>
          <w:tcPr>
            <w:tcW w:w="1696" w:type="dxa"/>
            <w:tcBorders>
              <w:left w:val="single" w:sz="4" w:space="0" w:color="auto"/>
            </w:tcBorders>
            <w:shd w:val="clear" w:color="auto" w:fill="auto"/>
          </w:tcPr>
          <w:p w14:paraId="4D3CA47D" w14:textId="77777777" w:rsidR="002A4DDF" w:rsidRPr="00937C8B" w:rsidRDefault="002A4DDF" w:rsidP="009110ED">
            <w:pPr>
              <w:rPr>
                <w:rFonts w:ascii="Arial" w:hAnsi="Arial" w:cs="Arial"/>
                <w:sz w:val="12"/>
                <w:szCs w:val="12"/>
              </w:rPr>
            </w:pPr>
          </w:p>
        </w:tc>
        <w:tc>
          <w:tcPr>
            <w:tcW w:w="1843" w:type="dxa"/>
            <w:shd w:val="clear" w:color="auto" w:fill="auto"/>
          </w:tcPr>
          <w:p w14:paraId="2A7F371D" w14:textId="77777777" w:rsidR="002A4DDF" w:rsidRPr="00937C8B" w:rsidRDefault="002A4DDF" w:rsidP="009110ED">
            <w:pPr>
              <w:rPr>
                <w:rFonts w:ascii="Arial" w:hAnsi="Arial" w:cs="Arial"/>
                <w:sz w:val="12"/>
                <w:szCs w:val="12"/>
              </w:rPr>
            </w:pPr>
          </w:p>
        </w:tc>
        <w:tc>
          <w:tcPr>
            <w:tcW w:w="2268" w:type="dxa"/>
            <w:shd w:val="clear" w:color="auto" w:fill="F2F2F2"/>
            <w:hideMark/>
          </w:tcPr>
          <w:p w14:paraId="6D7215FE" w14:textId="77777777" w:rsidR="002A4DDF" w:rsidRPr="00937C8B" w:rsidRDefault="002A4DDF" w:rsidP="009110ED">
            <w:pPr>
              <w:rPr>
                <w:rFonts w:ascii="Arial" w:hAnsi="Arial" w:cs="Arial"/>
                <w:sz w:val="12"/>
                <w:szCs w:val="12"/>
              </w:rPr>
            </w:pPr>
            <w:r>
              <w:rPr>
                <w:rFonts w:ascii="Arial" w:hAnsi="Arial"/>
                <w:sz w:val="12"/>
                <w:szCs w:val="12"/>
              </w:rPr>
              <w:t>Gallegos del Pan</w:t>
            </w:r>
          </w:p>
        </w:tc>
        <w:tc>
          <w:tcPr>
            <w:tcW w:w="2268" w:type="dxa"/>
            <w:tcBorders>
              <w:right w:val="single" w:sz="4" w:space="0" w:color="auto"/>
            </w:tcBorders>
            <w:shd w:val="clear" w:color="auto" w:fill="D9D9D9"/>
            <w:hideMark/>
          </w:tcPr>
          <w:p w14:paraId="4CC2B5E5" w14:textId="77777777" w:rsidR="002A4DDF" w:rsidRPr="00937C8B" w:rsidRDefault="002A4DDF" w:rsidP="009110ED">
            <w:pPr>
              <w:rPr>
                <w:rFonts w:ascii="Arial" w:hAnsi="Arial" w:cs="Arial"/>
                <w:sz w:val="12"/>
                <w:szCs w:val="12"/>
              </w:rPr>
            </w:pPr>
            <w:r>
              <w:rPr>
                <w:rFonts w:ascii="Arial" w:hAnsi="Arial"/>
                <w:sz w:val="12"/>
                <w:szCs w:val="12"/>
              </w:rPr>
              <w:t>Villalcampo</w:t>
            </w:r>
          </w:p>
        </w:tc>
      </w:tr>
      <w:tr w:rsidR="002A4DDF" w:rsidRPr="00937C8B" w14:paraId="36004C16" w14:textId="77777777" w:rsidTr="00935676">
        <w:trPr>
          <w:cantSplit/>
        </w:trPr>
        <w:tc>
          <w:tcPr>
            <w:tcW w:w="1696" w:type="dxa"/>
            <w:tcBorders>
              <w:left w:val="single" w:sz="4" w:space="0" w:color="auto"/>
            </w:tcBorders>
            <w:shd w:val="clear" w:color="auto" w:fill="auto"/>
          </w:tcPr>
          <w:p w14:paraId="0DFF1EF5" w14:textId="77777777" w:rsidR="002A4DDF" w:rsidRPr="00937C8B" w:rsidRDefault="002A4DDF" w:rsidP="009110ED">
            <w:pPr>
              <w:rPr>
                <w:rFonts w:ascii="Arial" w:hAnsi="Arial" w:cs="Arial"/>
                <w:sz w:val="12"/>
                <w:szCs w:val="12"/>
              </w:rPr>
            </w:pPr>
          </w:p>
        </w:tc>
        <w:tc>
          <w:tcPr>
            <w:tcW w:w="1843" w:type="dxa"/>
            <w:shd w:val="clear" w:color="auto" w:fill="auto"/>
          </w:tcPr>
          <w:p w14:paraId="0F5352BB" w14:textId="77777777" w:rsidR="002A4DDF" w:rsidRPr="00937C8B" w:rsidRDefault="002A4DDF" w:rsidP="009110ED">
            <w:pPr>
              <w:rPr>
                <w:rFonts w:ascii="Arial" w:hAnsi="Arial" w:cs="Arial"/>
                <w:sz w:val="12"/>
                <w:szCs w:val="12"/>
              </w:rPr>
            </w:pPr>
          </w:p>
        </w:tc>
        <w:tc>
          <w:tcPr>
            <w:tcW w:w="2268" w:type="dxa"/>
            <w:shd w:val="clear" w:color="auto" w:fill="F2F2F2"/>
            <w:hideMark/>
          </w:tcPr>
          <w:p w14:paraId="0A998C7B" w14:textId="77777777" w:rsidR="002A4DDF" w:rsidRPr="00937C8B" w:rsidRDefault="002A4DDF" w:rsidP="009110ED">
            <w:pPr>
              <w:rPr>
                <w:rFonts w:ascii="Arial" w:hAnsi="Arial" w:cs="Arial"/>
                <w:sz w:val="12"/>
                <w:szCs w:val="12"/>
              </w:rPr>
            </w:pPr>
            <w:r>
              <w:rPr>
                <w:rFonts w:ascii="Arial" w:hAnsi="Arial"/>
                <w:sz w:val="12"/>
                <w:szCs w:val="12"/>
              </w:rPr>
              <w:t>Gallegos del Río</w:t>
            </w:r>
          </w:p>
        </w:tc>
        <w:tc>
          <w:tcPr>
            <w:tcW w:w="2268" w:type="dxa"/>
            <w:tcBorders>
              <w:right w:val="single" w:sz="4" w:space="0" w:color="auto"/>
            </w:tcBorders>
            <w:shd w:val="clear" w:color="auto" w:fill="D9D9D9"/>
            <w:hideMark/>
          </w:tcPr>
          <w:p w14:paraId="3FAEF52B" w14:textId="77777777" w:rsidR="002A4DDF" w:rsidRPr="00937C8B" w:rsidRDefault="002A4DDF" w:rsidP="009110ED">
            <w:pPr>
              <w:rPr>
                <w:rFonts w:ascii="Arial" w:hAnsi="Arial" w:cs="Arial"/>
                <w:sz w:val="12"/>
                <w:szCs w:val="12"/>
              </w:rPr>
            </w:pPr>
            <w:r>
              <w:rPr>
                <w:rFonts w:ascii="Arial" w:hAnsi="Arial"/>
                <w:sz w:val="12"/>
                <w:szCs w:val="12"/>
              </w:rPr>
              <w:t>Villar del Buey</w:t>
            </w:r>
          </w:p>
        </w:tc>
      </w:tr>
      <w:tr w:rsidR="002A4DDF" w:rsidRPr="00937C8B" w14:paraId="17FE17B8" w14:textId="77777777" w:rsidTr="00935676">
        <w:trPr>
          <w:cantSplit/>
        </w:trPr>
        <w:tc>
          <w:tcPr>
            <w:tcW w:w="1696" w:type="dxa"/>
            <w:tcBorders>
              <w:left w:val="single" w:sz="4" w:space="0" w:color="auto"/>
            </w:tcBorders>
            <w:shd w:val="clear" w:color="auto" w:fill="auto"/>
          </w:tcPr>
          <w:p w14:paraId="4473BD30" w14:textId="77777777" w:rsidR="002A4DDF" w:rsidRPr="00937C8B" w:rsidRDefault="002A4DDF" w:rsidP="009110ED">
            <w:pPr>
              <w:rPr>
                <w:rFonts w:ascii="Arial" w:hAnsi="Arial" w:cs="Arial"/>
                <w:sz w:val="12"/>
                <w:szCs w:val="12"/>
              </w:rPr>
            </w:pPr>
          </w:p>
        </w:tc>
        <w:tc>
          <w:tcPr>
            <w:tcW w:w="1843" w:type="dxa"/>
            <w:shd w:val="clear" w:color="auto" w:fill="auto"/>
          </w:tcPr>
          <w:p w14:paraId="272DA212" w14:textId="77777777" w:rsidR="002A4DDF" w:rsidRPr="00937C8B" w:rsidRDefault="002A4DDF" w:rsidP="009110ED">
            <w:pPr>
              <w:rPr>
                <w:rFonts w:ascii="Arial" w:hAnsi="Arial" w:cs="Arial"/>
                <w:sz w:val="12"/>
                <w:szCs w:val="12"/>
              </w:rPr>
            </w:pPr>
          </w:p>
        </w:tc>
        <w:tc>
          <w:tcPr>
            <w:tcW w:w="2268" w:type="dxa"/>
            <w:shd w:val="clear" w:color="auto" w:fill="F2F2F2"/>
            <w:hideMark/>
          </w:tcPr>
          <w:p w14:paraId="1CAF58E5" w14:textId="77777777" w:rsidR="002A4DDF" w:rsidRPr="00937C8B" w:rsidRDefault="002A4DDF" w:rsidP="009110ED">
            <w:pPr>
              <w:rPr>
                <w:rFonts w:ascii="Arial" w:hAnsi="Arial" w:cs="Arial"/>
                <w:sz w:val="12"/>
                <w:szCs w:val="12"/>
              </w:rPr>
            </w:pPr>
            <w:r>
              <w:rPr>
                <w:rFonts w:ascii="Arial" w:hAnsi="Arial"/>
                <w:sz w:val="12"/>
                <w:szCs w:val="12"/>
              </w:rPr>
              <w:t>Gema</w:t>
            </w:r>
          </w:p>
        </w:tc>
        <w:tc>
          <w:tcPr>
            <w:tcW w:w="2268" w:type="dxa"/>
            <w:tcBorders>
              <w:right w:val="single" w:sz="4" w:space="0" w:color="auto"/>
            </w:tcBorders>
            <w:shd w:val="clear" w:color="auto" w:fill="D9D9D9"/>
            <w:hideMark/>
          </w:tcPr>
          <w:p w14:paraId="0DF20031" w14:textId="77777777" w:rsidR="002A4DDF" w:rsidRPr="00937C8B" w:rsidRDefault="002A4DDF" w:rsidP="009110ED">
            <w:pPr>
              <w:rPr>
                <w:rFonts w:ascii="Arial" w:hAnsi="Arial" w:cs="Arial"/>
                <w:sz w:val="12"/>
                <w:szCs w:val="12"/>
              </w:rPr>
            </w:pPr>
            <w:r>
              <w:rPr>
                <w:rFonts w:ascii="Arial" w:hAnsi="Arial"/>
                <w:sz w:val="12"/>
                <w:szCs w:val="12"/>
              </w:rPr>
              <w:t>Villardeciervos</w:t>
            </w:r>
          </w:p>
        </w:tc>
      </w:tr>
      <w:tr w:rsidR="002A4DDF" w:rsidRPr="00937C8B" w14:paraId="4765EC34" w14:textId="77777777" w:rsidTr="00935676">
        <w:trPr>
          <w:cantSplit/>
        </w:trPr>
        <w:tc>
          <w:tcPr>
            <w:tcW w:w="1696" w:type="dxa"/>
            <w:tcBorders>
              <w:left w:val="single" w:sz="4" w:space="0" w:color="auto"/>
            </w:tcBorders>
            <w:shd w:val="clear" w:color="auto" w:fill="auto"/>
          </w:tcPr>
          <w:p w14:paraId="09E09F00" w14:textId="77777777" w:rsidR="002A4DDF" w:rsidRPr="00937C8B" w:rsidRDefault="002A4DDF" w:rsidP="009110ED">
            <w:pPr>
              <w:rPr>
                <w:rFonts w:ascii="Arial" w:hAnsi="Arial" w:cs="Arial"/>
                <w:sz w:val="12"/>
                <w:szCs w:val="12"/>
              </w:rPr>
            </w:pPr>
          </w:p>
        </w:tc>
        <w:tc>
          <w:tcPr>
            <w:tcW w:w="1843" w:type="dxa"/>
            <w:shd w:val="clear" w:color="auto" w:fill="auto"/>
          </w:tcPr>
          <w:p w14:paraId="09407C79" w14:textId="77777777" w:rsidR="002A4DDF" w:rsidRPr="00937C8B" w:rsidRDefault="002A4DDF" w:rsidP="009110ED">
            <w:pPr>
              <w:rPr>
                <w:rFonts w:ascii="Arial" w:hAnsi="Arial" w:cs="Arial"/>
                <w:sz w:val="12"/>
                <w:szCs w:val="12"/>
              </w:rPr>
            </w:pPr>
          </w:p>
        </w:tc>
        <w:tc>
          <w:tcPr>
            <w:tcW w:w="2268" w:type="dxa"/>
            <w:shd w:val="clear" w:color="auto" w:fill="F2F2F2"/>
            <w:hideMark/>
          </w:tcPr>
          <w:p w14:paraId="09F3EDA6" w14:textId="77777777" w:rsidR="002A4DDF" w:rsidRPr="00937C8B" w:rsidRDefault="002A4DDF" w:rsidP="009110ED">
            <w:pPr>
              <w:rPr>
                <w:rFonts w:ascii="Arial" w:hAnsi="Arial" w:cs="Arial"/>
                <w:sz w:val="12"/>
                <w:szCs w:val="12"/>
              </w:rPr>
            </w:pPr>
            <w:r>
              <w:rPr>
                <w:rFonts w:ascii="Arial" w:hAnsi="Arial"/>
                <w:sz w:val="12"/>
                <w:szCs w:val="12"/>
              </w:rPr>
              <w:t>Granja de Moreruela</w:t>
            </w:r>
          </w:p>
        </w:tc>
        <w:tc>
          <w:tcPr>
            <w:tcW w:w="2268" w:type="dxa"/>
            <w:tcBorders>
              <w:right w:val="single" w:sz="4" w:space="0" w:color="auto"/>
            </w:tcBorders>
            <w:shd w:val="clear" w:color="auto" w:fill="D9D9D9"/>
            <w:hideMark/>
          </w:tcPr>
          <w:p w14:paraId="6DF0BBEA" w14:textId="77777777" w:rsidR="002A4DDF" w:rsidRPr="00937C8B" w:rsidRDefault="002A4DDF" w:rsidP="009110ED">
            <w:pPr>
              <w:rPr>
                <w:rFonts w:ascii="Arial" w:hAnsi="Arial" w:cs="Arial"/>
                <w:sz w:val="12"/>
                <w:szCs w:val="12"/>
              </w:rPr>
            </w:pPr>
            <w:r>
              <w:rPr>
                <w:rFonts w:ascii="Arial" w:hAnsi="Arial"/>
                <w:sz w:val="12"/>
                <w:szCs w:val="12"/>
              </w:rPr>
              <w:t>Villardiegua de la Ribera</w:t>
            </w:r>
          </w:p>
        </w:tc>
      </w:tr>
      <w:tr w:rsidR="002A4DDF" w:rsidRPr="00937C8B" w14:paraId="36FE06FA" w14:textId="77777777" w:rsidTr="00935676">
        <w:trPr>
          <w:cantSplit/>
        </w:trPr>
        <w:tc>
          <w:tcPr>
            <w:tcW w:w="1696" w:type="dxa"/>
            <w:tcBorders>
              <w:left w:val="single" w:sz="4" w:space="0" w:color="auto"/>
            </w:tcBorders>
            <w:shd w:val="clear" w:color="auto" w:fill="auto"/>
          </w:tcPr>
          <w:p w14:paraId="2C236BD2" w14:textId="77777777" w:rsidR="002A4DDF" w:rsidRPr="00937C8B" w:rsidRDefault="002A4DDF" w:rsidP="009110ED">
            <w:pPr>
              <w:rPr>
                <w:rFonts w:ascii="Arial" w:hAnsi="Arial" w:cs="Arial"/>
                <w:sz w:val="12"/>
                <w:szCs w:val="12"/>
              </w:rPr>
            </w:pPr>
          </w:p>
        </w:tc>
        <w:tc>
          <w:tcPr>
            <w:tcW w:w="1843" w:type="dxa"/>
            <w:shd w:val="clear" w:color="auto" w:fill="auto"/>
          </w:tcPr>
          <w:p w14:paraId="65EC2477" w14:textId="77777777" w:rsidR="002A4DDF" w:rsidRPr="00937C8B" w:rsidRDefault="002A4DDF" w:rsidP="009110ED">
            <w:pPr>
              <w:rPr>
                <w:rFonts w:ascii="Arial" w:hAnsi="Arial" w:cs="Arial"/>
                <w:sz w:val="12"/>
                <w:szCs w:val="12"/>
              </w:rPr>
            </w:pPr>
          </w:p>
        </w:tc>
        <w:tc>
          <w:tcPr>
            <w:tcW w:w="2268" w:type="dxa"/>
            <w:shd w:val="clear" w:color="auto" w:fill="F2F2F2"/>
            <w:hideMark/>
          </w:tcPr>
          <w:p w14:paraId="2F3FC684" w14:textId="77777777" w:rsidR="002A4DDF" w:rsidRPr="00937C8B" w:rsidRDefault="002A4DDF" w:rsidP="009110ED">
            <w:pPr>
              <w:rPr>
                <w:rFonts w:ascii="Arial" w:hAnsi="Arial" w:cs="Arial"/>
                <w:sz w:val="12"/>
                <w:szCs w:val="12"/>
              </w:rPr>
            </w:pPr>
            <w:r>
              <w:rPr>
                <w:rFonts w:ascii="Arial" w:hAnsi="Arial"/>
                <w:sz w:val="12"/>
                <w:szCs w:val="12"/>
              </w:rPr>
              <w:t>Granucillo</w:t>
            </w:r>
          </w:p>
        </w:tc>
        <w:tc>
          <w:tcPr>
            <w:tcW w:w="2268" w:type="dxa"/>
            <w:tcBorders>
              <w:right w:val="single" w:sz="4" w:space="0" w:color="auto"/>
            </w:tcBorders>
            <w:shd w:val="clear" w:color="auto" w:fill="D9D9D9"/>
            <w:hideMark/>
          </w:tcPr>
          <w:p w14:paraId="3CAF9543" w14:textId="77777777" w:rsidR="002A4DDF" w:rsidRPr="00937C8B" w:rsidRDefault="002A4DDF" w:rsidP="009110ED">
            <w:pPr>
              <w:rPr>
                <w:rFonts w:ascii="Arial" w:hAnsi="Arial" w:cs="Arial"/>
                <w:sz w:val="12"/>
                <w:szCs w:val="12"/>
              </w:rPr>
            </w:pPr>
            <w:r>
              <w:rPr>
                <w:rFonts w:ascii="Arial" w:hAnsi="Arial"/>
                <w:sz w:val="12"/>
                <w:szCs w:val="12"/>
              </w:rPr>
              <w:t>Villaseco del Pan</w:t>
            </w:r>
          </w:p>
        </w:tc>
      </w:tr>
      <w:tr w:rsidR="002A4DDF" w:rsidRPr="00937C8B" w14:paraId="4F2ECE58" w14:textId="77777777" w:rsidTr="00935676">
        <w:trPr>
          <w:cantSplit/>
        </w:trPr>
        <w:tc>
          <w:tcPr>
            <w:tcW w:w="1696" w:type="dxa"/>
            <w:tcBorders>
              <w:left w:val="single" w:sz="4" w:space="0" w:color="auto"/>
            </w:tcBorders>
            <w:shd w:val="clear" w:color="auto" w:fill="auto"/>
          </w:tcPr>
          <w:p w14:paraId="4A5E8447" w14:textId="77777777" w:rsidR="002A4DDF" w:rsidRPr="00937C8B" w:rsidRDefault="002A4DDF" w:rsidP="009110ED">
            <w:pPr>
              <w:rPr>
                <w:rFonts w:ascii="Arial" w:hAnsi="Arial" w:cs="Arial"/>
                <w:sz w:val="12"/>
                <w:szCs w:val="12"/>
              </w:rPr>
            </w:pPr>
          </w:p>
        </w:tc>
        <w:tc>
          <w:tcPr>
            <w:tcW w:w="1843" w:type="dxa"/>
            <w:shd w:val="clear" w:color="auto" w:fill="auto"/>
          </w:tcPr>
          <w:p w14:paraId="2705815E" w14:textId="77777777" w:rsidR="002A4DDF" w:rsidRPr="00937C8B" w:rsidRDefault="002A4DDF" w:rsidP="009110ED">
            <w:pPr>
              <w:rPr>
                <w:rFonts w:ascii="Arial" w:hAnsi="Arial" w:cs="Arial"/>
                <w:sz w:val="12"/>
                <w:szCs w:val="12"/>
              </w:rPr>
            </w:pPr>
          </w:p>
        </w:tc>
        <w:tc>
          <w:tcPr>
            <w:tcW w:w="2268" w:type="dxa"/>
            <w:shd w:val="clear" w:color="auto" w:fill="F2F2F2"/>
            <w:hideMark/>
          </w:tcPr>
          <w:p w14:paraId="1940CA5E" w14:textId="77777777" w:rsidR="002A4DDF" w:rsidRPr="00937C8B" w:rsidRDefault="002A4DDF" w:rsidP="009110ED">
            <w:pPr>
              <w:rPr>
                <w:rFonts w:ascii="Arial" w:hAnsi="Arial" w:cs="Arial"/>
                <w:sz w:val="12"/>
                <w:szCs w:val="12"/>
              </w:rPr>
            </w:pPr>
            <w:r>
              <w:rPr>
                <w:rFonts w:ascii="Arial" w:hAnsi="Arial"/>
                <w:sz w:val="12"/>
                <w:szCs w:val="12"/>
              </w:rPr>
              <w:t>Guarrate</w:t>
            </w:r>
          </w:p>
        </w:tc>
        <w:tc>
          <w:tcPr>
            <w:tcW w:w="2268" w:type="dxa"/>
            <w:tcBorders>
              <w:right w:val="single" w:sz="4" w:space="0" w:color="auto"/>
            </w:tcBorders>
            <w:shd w:val="clear" w:color="auto" w:fill="D9D9D9"/>
            <w:hideMark/>
          </w:tcPr>
          <w:p w14:paraId="65A03C1B" w14:textId="77777777" w:rsidR="002A4DDF" w:rsidRPr="00937C8B" w:rsidRDefault="002A4DDF" w:rsidP="009110ED">
            <w:pPr>
              <w:rPr>
                <w:rFonts w:ascii="Arial" w:hAnsi="Arial" w:cs="Arial"/>
                <w:sz w:val="12"/>
                <w:szCs w:val="12"/>
              </w:rPr>
            </w:pPr>
            <w:r>
              <w:rPr>
                <w:rFonts w:ascii="Arial" w:hAnsi="Arial"/>
                <w:sz w:val="12"/>
                <w:szCs w:val="12"/>
              </w:rPr>
              <w:t>Viñas</w:t>
            </w:r>
          </w:p>
        </w:tc>
      </w:tr>
      <w:tr w:rsidR="002A4DDF" w:rsidRPr="00937C8B" w14:paraId="2BDE6D01" w14:textId="77777777" w:rsidTr="00935676">
        <w:trPr>
          <w:cantSplit/>
        </w:trPr>
        <w:tc>
          <w:tcPr>
            <w:tcW w:w="1696" w:type="dxa"/>
            <w:tcBorders>
              <w:left w:val="single" w:sz="4" w:space="0" w:color="auto"/>
            </w:tcBorders>
            <w:shd w:val="clear" w:color="auto" w:fill="auto"/>
          </w:tcPr>
          <w:p w14:paraId="51AEED72" w14:textId="77777777" w:rsidR="002A4DDF" w:rsidRPr="00937C8B" w:rsidRDefault="002A4DDF" w:rsidP="009110ED">
            <w:pPr>
              <w:rPr>
                <w:rFonts w:ascii="Arial" w:hAnsi="Arial" w:cs="Arial"/>
                <w:sz w:val="12"/>
                <w:szCs w:val="12"/>
              </w:rPr>
            </w:pPr>
          </w:p>
        </w:tc>
        <w:tc>
          <w:tcPr>
            <w:tcW w:w="1843" w:type="dxa"/>
            <w:shd w:val="clear" w:color="auto" w:fill="auto"/>
          </w:tcPr>
          <w:p w14:paraId="3ED80256" w14:textId="77777777" w:rsidR="002A4DDF" w:rsidRPr="00937C8B" w:rsidRDefault="002A4DDF" w:rsidP="009110ED">
            <w:pPr>
              <w:rPr>
                <w:rFonts w:ascii="Arial" w:hAnsi="Arial" w:cs="Arial"/>
                <w:sz w:val="12"/>
                <w:szCs w:val="12"/>
              </w:rPr>
            </w:pPr>
          </w:p>
        </w:tc>
        <w:tc>
          <w:tcPr>
            <w:tcW w:w="2268" w:type="dxa"/>
            <w:shd w:val="clear" w:color="auto" w:fill="F2F2F2"/>
            <w:hideMark/>
          </w:tcPr>
          <w:p w14:paraId="7FDE6180" w14:textId="77777777" w:rsidR="002A4DDF" w:rsidRPr="00937C8B" w:rsidRDefault="002A4DDF" w:rsidP="009110ED">
            <w:pPr>
              <w:rPr>
                <w:rFonts w:ascii="Arial" w:hAnsi="Arial" w:cs="Arial"/>
                <w:sz w:val="12"/>
                <w:szCs w:val="12"/>
              </w:rPr>
            </w:pPr>
            <w:r>
              <w:rPr>
                <w:rFonts w:ascii="Arial" w:hAnsi="Arial"/>
                <w:sz w:val="12"/>
                <w:szCs w:val="12"/>
              </w:rPr>
              <w:t>Jambrina</w:t>
            </w:r>
          </w:p>
        </w:tc>
        <w:tc>
          <w:tcPr>
            <w:tcW w:w="2268" w:type="dxa"/>
            <w:tcBorders>
              <w:right w:val="single" w:sz="4" w:space="0" w:color="auto"/>
            </w:tcBorders>
            <w:shd w:val="clear" w:color="auto" w:fill="D9D9D9"/>
            <w:hideMark/>
          </w:tcPr>
          <w:p w14:paraId="114F578D" w14:textId="77777777" w:rsidR="002A4DDF" w:rsidRPr="00937C8B" w:rsidRDefault="002A4DDF" w:rsidP="009110ED">
            <w:pPr>
              <w:rPr>
                <w:rFonts w:ascii="Arial" w:hAnsi="Arial" w:cs="Arial"/>
                <w:sz w:val="12"/>
                <w:szCs w:val="12"/>
              </w:rPr>
            </w:pPr>
          </w:p>
        </w:tc>
      </w:tr>
      <w:tr w:rsidR="002A4DDF" w:rsidRPr="00937C8B" w14:paraId="0499692B" w14:textId="77777777" w:rsidTr="00935676">
        <w:trPr>
          <w:cantSplit/>
        </w:trPr>
        <w:tc>
          <w:tcPr>
            <w:tcW w:w="1696" w:type="dxa"/>
            <w:tcBorders>
              <w:left w:val="single" w:sz="4" w:space="0" w:color="auto"/>
            </w:tcBorders>
            <w:shd w:val="clear" w:color="auto" w:fill="auto"/>
          </w:tcPr>
          <w:p w14:paraId="0F087C5C" w14:textId="77777777" w:rsidR="002A4DDF" w:rsidRPr="00937C8B" w:rsidRDefault="002A4DDF" w:rsidP="009110ED">
            <w:pPr>
              <w:rPr>
                <w:rFonts w:ascii="Arial" w:hAnsi="Arial" w:cs="Arial"/>
                <w:sz w:val="12"/>
                <w:szCs w:val="12"/>
              </w:rPr>
            </w:pPr>
          </w:p>
        </w:tc>
        <w:tc>
          <w:tcPr>
            <w:tcW w:w="1843" w:type="dxa"/>
            <w:shd w:val="clear" w:color="auto" w:fill="auto"/>
          </w:tcPr>
          <w:p w14:paraId="5397835A" w14:textId="77777777" w:rsidR="002A4DDF" w:rsidRPr="00937C8B" w:rsidRDefault="002A4DDF" w:rsidP="009110ED">
            <w:pPr>
              <w:rPr>
                <w:rFonts w:ascii="Arial" w:hAnsi="Arial" w:cs="Arial"/>
                <w:sz w:val="12"/>
                <w:szCs w:val="12"/>
              </w:rPr>
            </w:pPr>
          </w:p>
        </w:tc>
        <w:tc>
          <w:tcPr>
            <w:tcW w:w="2268" w:type="dxa"/>
            <w:shd w:val="clear" w:color="auto" w:fill="F2F2F2"/>
            <w:hideMark/>
          </w:tcPr>
          <w:p w14:paraId="7696FACB" w14:textId="77777777" w:rsidR="002A4DDF" w:rsidRPr="00937C8B" w:rsidRDefault="002A4DDF" w:rsidP="009110ED">
            <w:pPr>
              <w:rPr>
                <w:rFonts w:ascii="Arial" w:hAnsi="Arial" w:cs="Arial"/>
                <w:sz w:val="12"/>
                <w:szCs w:val="12"/>
              </w:rPr>
            </w:pPr>
            <w:r>
              <w:rPr>
                <w:rFonts w:ascii="Arial" w:hAnsi="Arial"/>
                <w:sz w:val="12"/>
                <w:szCs w:val="12"/>
              </w:rPr>
              <w:t>La Bóveda de Toro</w:t>
            </w:r>
          </w:p>
        </w:tc>
        <w:tc>
          <w:tcPr>
            <w:tcW w:w="2268" w:type="dxa"/>
            <w:tcBorders>
              <w:right w:val="single" w:sz="4" w:space="0" w:color="auto"/>
            </w:tcBorders>
            <w:shd w:val="clear" w:color="auto" w:fill="D9D9D9"/>
            <w:hideMark/>
          </w:tcPr>
          <w:p w14:paraId="19203B8E" w14:textId="77777777" w:rsidR="002A4DDF" w:rsidRPr="00937C8B" w:rsidRDefault="002A4DDF" w:rsidP="009110ED">
            <w:pPr>
              <w:rPr>
                <w:rFonts w:ascii="Arial" w:hAnsi="Arial" w:cs="Arial"/>
                <w:sz w:val="12"/>
                <w:szCs w:val="12"/>
              </w:rPr>
            </w:pPr>
          </w:p>
        </w:tc>
      </w:tr>
      <w:tr w:rsidR="002A4DDF" w:rsidRPr="00937C8B" w14:paraId="0B5BC2F2" w14:textId="77777777" w:rsidTr="00935676">
        <w:trPr>
          <w:cantSplit/>
        </w:trPr>
        <w:tc>
          <w:tcPr>
            <w:tcW w:w="1696" w:type="dxa"/>
            <w:tcBorders>
              <w:left w:val="single" w:sz="4" w:space="0" w:color="auto"/>
            </w:tcBorders>
            <w:shd w:val="clear" w:color="auto" w:fill="auto"/>
          </w:tcPr>
          <w:p w14:paraId="0C643B0A" w14:textId="77777777" w:rsidR="002A4DDF" w:rsidRPr="00937C8B" w:rsidRDefault="002A4DDF" w:rsidP="009110ED">
            <w:pPr>
              <w:rPr>
                <w:rFonts w:ascii="Arial" w:hAnsi="Arial" w:cs="Arial"/>
                <w:sz w:val="12"/>
                <w:szCs w:val="12"/>
              </w:rPr>
            </w:pPr>
          </w:p>
        </w:tc>
        <w:tc>
          <w:tcPr>
            <w:tcW w:w="1843" w:type="dxa"/>
            <w:shd w:val="clear" w:color="auto" w:fill="auto"/>
          </w:tcPr>
          <w:p w14:paraId="7C39ACBF" w14:textId="77777777" w:rsidR="002A4DDF" w:rsidRPr="00937C8B" w:rsidRDefault="002A4DDF" w:rsidP="009110ED">
            <w:pPr>
              <w:rPr>
                <w:rFonts w:ascii="Arial" w:hAnsi="Arial" w:cs="Arial"/>
                <w:sz w:val="12"/>
                <w:szCs w:val="12"/>
              </w:rPr>
            </w:pPr>
          </w:p>
        </w:tc>
        <w:tc>
          <w:tcPr>
            <w:tcW w:w="2268" w:type="dxa"/>
            <w:shd w:val="clear" w:color="auto" w:fill="F2F2F2"/>
            <w:hideMark/>
          </w:tcPr>
          <w:p w14:paraId="4BA50B7B" w14:textId="77777777" w:rsidR="002A4DDF" w:rsidRPr="00937C8B" w:rsidRDefault="002A4DDF" w:rsidP="009110ED">
            <w:pPr>
              <w:rPr>
                <w:rFonts w:ascii="Arial" w:hAnsi="Arial" w:cs="Arial"/>
                <w:sz w:val="12"/>
                <w:szCs w:val="12"/>
              </w:rPr>
            </w:pPr>
            <w:r>
              <w:rPr>
                <w:rFonts w:ascii="Arial" w:hAnsi="Arial"/>
                <w:sz w:val="12"/>
                <w:szCs w:val="12"/>
              </w:rPr>
              <w:t>La Hiniesta</w:t>
            </w:r>
          </w:p>
        </w:tc>
        <w:tc>
          <w:tcPr>
            <w:tcW w:w="2268" w:type="dxa"/>
            <w:tcBorders>
              <w:right w:val="single" w:sz="4" w:space="0" w:color="auto"/>
            </w:tcBorders>
            <w:shd w:val="clear" w:color="auto" w:fill="D9D9D9"/>
            <w:hideMark/>
          </w:tcPr>
          <w:p w14:paraId="15B63D56" w14:textId="77777777" w:rsidR="002A4DDF" w:rsidRPr="00937C8B" w:rsidRDefault="002A4DDF" w:rsidP="009110ED">
            <w:pPr>
              <w:rPr>
                <w:rFonts w:ascii="Arial" w:hAnsi="Arial" w:cs="Arial"/>
                <w:sz w:val="12"/>
                <w:szCs w:val="12"/>
              </w:rPr>
            </w:pPr>
          </w:p>
        </w:tc>
      </w:tr>
      <w:tr w:rsidR="002A4DDF" w:rsidRPr="00937C8B" w14:paraId="7254CF79" w14:textId="77777777" w:rsidTr="00935676">
        <w:trPr>
          <w:cantSplit/>
        </w:trPr>
        <w:tc>
          <w:tcPr>
            <w:tcW w:w="1696" w:type="dxa"/>
            <w:tcBorders>
              <w:left w:val="single" w:sz="4" w:space="0" w:color="auto"/>
            </w:tcBorders>
            <w:shd w:val="clear" w:color="auto" w:fill="auto"/>
          </w:tcPr>
          <w:p w14:paraId="5A5261F4" w14:textId="77777777" w:rsidR="002A4DDF" w:rsidRPr="00937C8B" w:rsidRDefault="002A4DDF" w:rsidP="009110ED">
            <w:pPr>
              <w:rPr>
                <w:rFonts w:ascii="Arial" w:hAnsi="Arial" w:cs="Arial"/>
                <w:sz w:val="12"/>
                <w:szCs w:val="12"/>
              </w:rPr>
            </w:pPr>
          </w:p>
        </w:tc>
        <w:tc>
          <w:tcPr>
            <w:tcW w:w="1843" w:type="dxa"/>
            <w:shd w:val="clear" w:color="auto" w:fill="auto"/>
          </w:tcPr>
          <w:p w14:paraId="2584B5A5" w14:textId="77777777" w:rsidR="002A4DDF" w:rsidRPr="00937C8B" w:rsidRDefault="002A4DDF" w:rsidP="009110ED">
            <w:pPr>
              <w:rPr>
                <w:rFonts w:ascii="Arial" w:hAnsi="Arial" w:cs="Arial"/>
                <w:sz w:val="12"/>
                <w:szCs w:val="12"/>
              </w:rPr>
            </w:pPr>
          </w:p>
        </w:tc>
        <w:tc>
          <w:tcPr>
            <w:tcW w:w="2268" w:type="dxa"/>
            <w:shd w:val="clear" w:color="auto" w:fill="F2F2F2"/>
            <w:hideMark/>
          </w:tcPr>
          <w:p w14:paraId="6F3932E9" w14:textId="77777777" w:rsidR="002A4DDF" w:rsidRPr="00937C8B" w:rsidRDefault="002A4DDF" w:rsidP="009110ED">
            <w:pPr>
              <w:rPr>
                <w:rFonts w:ascii="Arial" w:hAnsi="Arial" w:cs="Arial"/>
                <w:sz w:val="12"/>
                <w:szCs w:val="12"/>
              </w:rPr>
            </w:pPr>
            <w:r>
              <w:rPr>
                <w:rFonts w:ascii="Arial" w:hAnsi="Arial"/>
                <w:sz w:val="12"/>
                <w:szCs w:val="12"/>
              </w:rPr>
              <w:t>Losacino</w:t>
            </w:r>
          </w:p>
        </w:tc>
        <w:tc>
          <w:tcPr>
            <w:tcW w:w="2268" w:type="dxa"/>
            <w:tcBorders>
              <w:right w:val="single" w:sz="4" w:space="0" w:color="auto"/>
            </w:tcBorders>
            <w:shd w:val="clear" w:color="auto" w:fill="D9D9D9"/>
            <w:hideMark/>
          </w:tcPr>
          <w:p w14:paraId="006308CA" w14:textId="77777777" w:rsidR="002A4DDF" w:rsidRPr="00937C8B" w:rsidRDefault="002A4DDF" w:rsidP="009110ED">
            <w:pPr>
              <w:rPr>
                <w:rFonts w:ascii="Arial" w:hAnsi="Arial" w:cs="Arial"/>
                <w:sz w:val="12"/>
                <w:szCs w:val="12"/>
              </w:rPr>
            </w:pPr>
          </w:p>
        </w:tc>
      </w:tr>
      <w:tr w:rsidR="002A4DDF" w:rsidRPr="00937C8B" w14:paraId="19293551" w14:textId="77777777" w:rsidTr="00935676">
        <w:trPr>
          <w:cantSplit/>
        </w:trPr>
        <w:tc>
          <w:tcPr>
            <w:tcW w:w="1696" w:type="dxa"/>
            <w:tcBorders>
              <w:left w:val="single" w:sz="4" w:space="0" w:color="auto"/>
            </w:tcBorders>
            <w:shd w:val="clear" w:color="auto" w:fill="auto"/>
          </w:tcPr>
          <w:p w14:paraId="3AA84799" w14:textId="77777777" w:rsidR="002A4DDF" w:rsidRPr="00937C8B" w:rsidRDefault="002A4DDF" w:rsidP="009110ED">
            <w:pPr>
              <w:rPr>
                <w:rFonts w:ascii="Arial" w:hAnsi="Arial" w:cs="Arial"/>
                <w:sz w:val="12"/>
                <w:szCs w:val="12"/>
              </w:rPr>
            </w:pPr>
          </w:p>
        </w:tc>
        <w:tc>
          <w:tcPr>
            <w:tcW w:w="1843" w:type="dxa"/>
            <w:shd w:val="clear" w:color="auto" w:fill="auto"/>
          </w:tcPr>
          <w:p w14:paraId="64CF9D5C" w14:textId="77777777" w:rsidR="002A4DDF" w:rsidRPr="00937C8B" w:rsidRDefault="002A4DDF" w:rsidP="009110ED">
            <w:pPr>
              <w:rPr>
                <w:rFonts w:ascii="Arial" w:hAnsi="Arial" w:cs="Arial"/>
                <w:sz w:val="12"/>
                <w:szCs w:val="12"/>
              </w:rPr>
            </w:pPr>
          </w:p>
        </w:tc>
        <w:tc>
          <w:tcPr>
            <w:tcW w:w="2268" w:type="dxa"/>
            <w:shd w:val="clear" w:color="auto" w:fill="F2F2F2"/>
            <w:hideMark/>
          </w:tcPr>
          <w:p w14:paraId="0BD4B807" w14:textId="77777777" w:rsidR="002A4DDF" w:rsidRPr="00937C8B" w:rsidRDefault="002A4DDF" w:rsidP="009110ED">
            <w:pPr>
              <w:rPr>
                <w:rFonts w:ascii="Arial" w:hAnsi="Arial" w:cs="Arial"/>
                <w:sz w:val="12"/>
                <w:szCs w:val="12"/>
              </w:rPr>
            </w:pPr>
            <w:r>
              <w:rPr>
                <w:rFonts w:ascii="Arial" w:hAnsi="Arial"/>
                <w:sz w:val="12"/>
                <w:szCs w:val="12"/>
              </w:rPr>
              <w:t>Losacio</w:t>
            </w:r>
          </w:p>
        </w:tc>
        <w:tc>
          <w:tcPr>
            <w:tcW w:w="2268" w:type="dxa"/>
            <w:tcBorders>
              <w:right w:val="single" w:sz="4" w:space="0" w:color="auto"/>
            </w:tcBorders>
            <w:shd w:val="clear" w:color="auto" w:fill="D9D9D9"/>
            <w:hideMark/>
          </w:tcPr>
          <w:p w14:paraId="7AA4A3B4" w14:textId="77777777" w:rsidR="002A4DDF" w:rsidRPr="00937C8B" w:rsidRDefault="002A4DDF" w:rsidP="009110ED">
            <w:pPr>
              <w:rPr>
                <w:rFonts w:ascii="Arial" w:hAnsi="Arial" w:cs="Arial"/>
                <w:sz w:val="12"/>
                <w:szCs w:val="12"/>
              </w:rPr>
            </w:pPr>
          </w:p>
        </w:tc>
      </w:tr>
      <w:tr w:rsidR="002A4DDF" w:rsidRPr="00937C8B" w14:paraId="65E9B791" w14:textId="77777777" w:rsidTr="00935676">
        <w:trPr>
          <w:cantSplit/>
        </w:trPr>
        <w:tc>
          <w:tcPr>
            <w:tcW w:w="1696" w:type="dxa"/>
            <w:tcBorders>
              <w:left w:val="single" w:sz="4" w:space="0" w:color="auto"/>
            </w:tcBorders>
            <w:shd w:val="clear" w:color="auto" w:fill="auto"/>
          </w:tcPr>
          <w:p w14:paraId="5CEF20E4" w14:textId="77777777" w:rsidR="002A4DDF" w:rsidRPr="00937C8B" w:rsidRDefault="002A4DDF" w:rsidP="009110ED">
            <w:pPr>
              <w:rPr>
                <w:rFonts w:ascii="Arial" w:hAnsi="Arial" w:cs="Arial"/>
                <w:sz w:val="12"/>
                <w:szCs w:val="12"/>
              </w:rPr>
            </w:pPr>
          </w:p>
        </w:tc>
        <w:tc>
          <w:tcPr>
            <w:tcW w:w="1843" w:type="dxa"/>
            <w:shd w:val="clear" w:color="auto" w:fill="auto"/>
          </w:tcPr>
          <w:p w14:paraId="5CCDBB12" w14:textId="77777777" w:rsidR="002A4DDF" w:rsidRPr="00937C8B" w:rsidRDefault="002A4DDF" w:rsidP="009110ED">
            <w:pPr>
              <w:rPr>
                <w:rFonts w:ascii="Arial" w:hAnsi="Arial" w:cs="Arial"/>
                <w:sz w:val="12"/>
                <w:szCs w:val="12"/>
              </w:rPr>
            </w:pPr>
          </w:p>
        </w:tc>
        <w:tc>
          <w:tcPr>
            <w:tcW w:w="2268" w:type="dxa"/>
            <w:shd w:val="clear" w:color="auto" w:fill="F2F2F2"/>
            <w:hideMark/>
          </w:tcPr>
          <w:p w14:paraId="5B8E7F20" w14:textId="77777777" w:rsidR="002A4DDF" w:rsidRPr="00937C8B" w:rsidRDefault="002A4DDF" w:rsidP="009110ED">
            <w:pPr>
              <w:rPr>
                <w:rFonts w:ascii="Arial" w:hAnsi="Arial" w:cs="Arial"/>
                <w:sz w:val="12"/>
                <w:szCs w:val="12"/>
              </w:rPr>
            </w:pPr>
            <w:r>
              <w:rPr>
                <w:rFonts w:ascii="Arial" w:hAnsi="Arial"/>
                <w:sz w:val="12"/>
                <w:szCs w:val="12"/>
              </w:rPr>
              <w:t>Madridanos</w:t>
            </w:r>
          </w:p>
        </w:tc>
        <w:tc>
          <w:tcPr>
            <w:tcW w:w="2268" w:type="dxa"/>
            <w:tcBorders>
              <w:right w:val="single" w:sz="4" w:space="0" w:color="auto"/>
            </w:tcBorders>
            <w:shd w:val="clear" w:color="auto" w:fill="D9D9D9"/>
            <w:hideMark/>
          </w:tcPr>
          <w:p w14:paraId="04AFC373" w14:textId="77777777" w:rsidR="002A4DDF" w:rsidRPr="00937C8B" w:rsidRDefault="002A4DDF" w:rsidP="009110ED">
            <w:pPr>
              <w:rPr>
                <w:rFonts w:ascii="Arial" w:hAnsi="Arial" w:cs="Arial"/>
                <w:sz w:val="12"/>
                <w:szCs w:val="12"/>
              </w:rPr>
            </w:pPr>
          </w:p>
        </w:tc>
      </w:tr>
      <w:tr w:rsidR="002A4DDF" w:rsidRPr="00937C8B" w14:paraId="37430185" w14:textId="77777777" w:rsidTr="00935676">
        <w:trPr>
          <w:cantSplit/>
        </w:trPr>
        <w:tc>
          <w:tcPr>
            <w:tcW w:w="1696" w:type="dxa"/>
            <w:tcBorders>
              <w:left w:val="single" w:sz="4" w:space="0" w:color="auto"/>
            </w:tcBorders>
            <w:shd w:val="clear" w:color="auto" w:fill="auto"/>
          </w:tcPr>
          <w:p w14:paraId="523416A2" w14:textId="77777777" w:rsidR="002A4DDF" w:rsidRPr="00937C8B" w:rsidRDefault="002A4DDF" w:rsidP="009110ED">
            <w:pPr>
              <w:rPr>
                <w:rFonts w:ascii="Arial" w:hAnsi="Arial" w:cs="Arial"/>
                <w:sz w:val="12"/>
                <w:szCs w:val="12"/>
              </w:rPr>
            </w:pPr>
          </w:p>
        </w:tc>
        <w:tc>
          <w:tcPr>
            <w:tcW w:w="1843" w:type="dxa"/>
            <w:shd w:val="clear" w:color="auto" w:fill="auto"/>
          </w:tcPr>
          <w:p w14:paraId="33552057" w14:textId="77777777" w:rsidR="002A4DDF" w:rsidRPr="00937C8B" w:rsidRDefault="002A4DDF" w:rsidP="009110ED">
            <w:pPr>
              <w:rPr>
                <w:rFonts w:ascii="Arial" w:hAnsi="Arial" w:cs="Arial"/>
                <w:sz w:val="12"/>
                <w:szCs w:val="12"/>
              </w:rPr>
            </w:pPr>
          </w:p>
        </w:tc>
        <w:tc>
          <w:tcPr>
            <w:tcW w:w="2268" w:type="dxa"/>
            <w:shd w:val="clear" w:color="auto" w:fill="F2F2F2"/>
            <w:hideMark/>
          </w:tcPr>
          <w:p w14:paraId="63C67B20" w14:textId="77777777" w:rsidR="002A4DDF" w:rsidRPr="00937C8B" w:rsidRDefault="002A4DDF" w:rsidP="009110ED">
            <w:pPr>
              <w:rPr>
                <w:rFonts w:ascii="Arial" w:hAnsi="Arial" w:cs="Arial"/>
                <w:sz w:val="12"/>
                <w:szCs w:val="12"/>
              </w:rPr>
            </w:pPr>
            <w:r>
              <w:rPr>
                <w:rFonts w:ascii="Arial" w:hAnsi="Arial"/>
                <w:sz w:val="12"/>
                <w:szCs w:val="12"/>
              </w:rPr>
              <w:t>Mahide</w:t>
            </w:r>
          </w:p>
        </w:tc>
        <w:tc>
          <w:tcPr>
            <w:tcW w:w="2268" w:type="dxa"/>
            <w:tcBorders>
              <w:right w:val="single" w:sz="4" w:space="0" w:color="auto"/>
            </w:tcBorders>
            <w:shd w:val="clear" w:color="auto" w:fill="D9D9D9"/>
            <w:hideMark/>
          </w:tcPr>
          <w:p w14:paraId="506E6C71" w14:textId="77777777" w:rsidR="002A4DDF" w:rsidRPr="00937C8B" w:rsidRDefault="002A4DDF" w:rsidP="009110ED">
            <w:pPr>
              <w:rPr>
                <w:rFonts w:ascii="Arial" w:hAnsi="Arial" w:cs="Arial"/>
                <w:sz w:val="12"/>
                <w:szCs w:val="12"/>
              </w:rPr>
            </w:pPr>
          </w:p>
        </w:tc>
      </w:tr>
      <w:tr w:rsidR="002A4DDF" w:rsidRPr="00937C8B" w14:paraId="3B00092A" w14:textId="77777777" w:rsidTr="00935676">
        <w:trPr>
          <w:cantSplit/>
        </w:trPr>
        <w:tc>
          <w:tcPr>
            <w:tcW w:w="1696" w:type="dxa"/>
            <w:tcBorders>
              <w:left w:val="single" w:sz="4" w:space="0" w:color="auto"/>
            </w:tcBorders>
            <w:shd w:val="clear" w:color="auto" w:fill="auto"/>
          </w:tcPr>
          <w:p w14:paraId="209E1652" w14:textId="77777777" w:rsidR="002A4DDF" w:rsidRPr="00937C8B" w:rsidRDefault="002A4DDF" w:rsidP="009110ED">
            <w:pPr>
              <w:rPr>
                <w:rFonts w:ascii="Arial" w:hAnsi="Arial" w:cs="Arial"/>
                <w:sz w:val="12"/>
                <w:szCs w:val="12"/>
              </w:rPr>
            </w:pPr>
          </w:p>
        </w:tc>
        <w:tc>
          <w:tcPr>
            <w:tcW w:w="1843" w:type="dxa"/>
            <w:shd w:val="clear" w:color="auto" w:fill="auto"/>
          </w:tcPr>
          <w:p w14:paraId="6BCB1ACF" w14:textId="77777777" w:rsidR="002A4DDF" w:rsidRPr="00937C8B" w:rsidRDefault="002A4DDF" w:rsidP="009110ED">
            <w:pPr>
              <w:rPr>
                <w:rFonts w:ascii="Arial" w:hAnsi="Arial" w:cs="Arial"/>
                <w:sz w:val="12"/>
                <w:szCs w:val="12"/>
              </w:rPr>
            </w:pPr>
          </w:p>
        </w:tc>
        <w:tc>
          <w:tcPr>
            <w:tcW w:w="2268" w:type="dxa"/>
            <w:shd w:val="clear" w:color="auto" w:fill="F2F2F2"/>
            <w:hideMark/>
          </w:tcPr>
          <w:p w14:paraId="69D05AED" w14:textId="77777777" w:rsidR="002A4DDF" w:rsidRPr="00937C8B" w:rsidRDefault="002A4DDF" w:rsidP="009110ED">
            <w:pPr>
              <w:rPr>
                <w:rFonts w:ascii="Arial" w:hAnsi="Arial" w:cs="Arial"/>
                <w:sz w:val="12"/>
                <w:szCs w:val="12"/>
              </w:rPr>
            </w:pPr>
            <w:r>
              <w:rPr>
                <w:rFonts w:ascii="Arial" w:hAnsi="Arial"/>
                <w:sz w:val="12"/>
                <w:szCs w:val="12"/>
              </w:rPr>
              <w:t>Malva</w:t>
            </w:r>
          </w:p>
        </w:tc>
        <w:tc>
          <w:tcPr>
            <w:tcW w:w="2268" w:type="dxa"/>
            <w:tcBorders>
              <w:right w:val="single" w:sz="4" w:space="0" w:color="auto"/>
            </w:tcBorders>
            <w:shd w:val="clear" w:color="auto" w:fill="D9D9D9"/>
            <w:hideMark/>
          </w:tcPr>
          <w:p w14:paraId="793D2D4E" w14:textId="77777777" w:rsidR="002A4DDF" w:rsidRPr="00937C8B" w:rsidRDefault="002A4DDF" w:rsidP="009110ED">
            <w:pPr>
              <w:rPr>
                <w:rFonts w:ascii="Arial" w:hAnsi="Arial" w:cs="Arial"/>
                <w:sz w:val="12"/>
                <w:szCs w:val="12"/>
              </w:rPr>
            </w:pPr>
          </w:p>
        </w:tc>
      </w:tr>
      <w:tr w:rsidR="002A4DDF" w:rsidRPr="00937C8B" w14:paraId="2C7481F8" w14:textId="77777777" w:rsidTr="00935676">
        <w:trPr>
          <w:cantSplit/>
        </w:trPr>
        <w:tc>
          <w:tcPr>
            <w:tcW w:w="1696" w:type="dxa"/>
            <w:tcBorders>
              <w:left w:val="single" w:sz="4" w:space="0" w:color="auto"/>
            </w:tcBorders>
            <w:shd w:val="clear" w:color="auto" w:fill="auto"/>
          </w:tcPr>
          <w:p w14:paraId="0B6C659B" w14:textId="77777777" w:rsidR="002A4DDF" w:rsidRPr="00937C8B" w:rsidRDefault="002A4DDF" w:rsidP="009110ED">
            <w:pPr>
              <w:rPr>
                <w:rFonts w:ascii="Arial" w:hAnsi="Arial" w:cs="Arial"/>
                <w:sz w:val="12"/>
                <w:szCs w:val="12"/>
              </w:rPr>
            </w:pPr>
          </w:p>
        </w:tc>
        <w:tc>
          <w:tcPr>
            <w:tcW w:w="1843" w:type="dxa"/>
            <w:shd w:val="clear" w:color="auto" w:fill="auto"/>
          </w:tcPr>
          <w:p w14:paraId="58829A83" w14:textId="77777777" w:rsidR="002A4DDF" w:rsidRPr="00937C8B" w:rsidRDefault="002A4DDF" w:rsidP="009110ED">
            <w:pPr>
              <w:rPr>
                <w:rFonts w:ascii="Arial" w:hAnsi="Arial" w:cs="Arial"/>
                <w:sz w:val="12"/>
                <w:szCs w:val="12"/>
              </w:rPr>
            </w:pPr>
          </w:p>
        </w:tc>
        <w:tc>
          <w:tcPr>
            <w:tcW w:w="2268" w:type="dxa"/>
            <w:shd w:val="clear" w:color="auto" w:fill="F2F2F2"/>
            <w:hideMark/>
          </w:tcPr>
          <w:p w14:paraId="256E7E11" w14:textId="77777777" w:rsidR="002A4DDF" w:rsidRPr="00937C8B" w:rsidRDefault="002A4DDF" w:rsidP="009110ED">
            <w:pPr>
              <w:rPr>
                <w:rFonts w:ascii="Arial" w:hAnsi="Arial" w:cs="Arial"/>
                <w:sz w:val="12"/>
                <w:szCs w:val="12"/>
              </w:rPr>
            </w:pPr>
            <w:r>
              <w:rPr>
                <w:rFonts w:ascii="Arial" w:hAnsi="Arial"/>
                <w:sz w:val="12"/>
                <w:szCs w:val="12"/>
              </w:rPr>
              <w:t>Manganeses de la Lampreana</w:t>
            </w:r>
          </w:p>
        </w:tc>
        <w:tc>
          <w:tcPr>
            <w:tcW w:w="2268" w:type="dxa"/>
            <w:tcBorders>
              <w:right w:val="single" w:sz="4" w:space="0" w:color="auto"/>
            </w:tcBorders>
            <w:shd w:val="clear" w:color="auto" w:fill="D9D9D9"/>
            <w:hideMark/>
          </w:tcPr>
          <w:p w14:paraId="1AE709ED" w14:textId="77777777" w:rsidR="002A4DDF" w:rsidRPr="00937C8B" w:rsidRDefault="002A4DDF" w:rsidP="009110ED">
            <w:pPr>
              <w:rPr>
                <w:rFonts w:ascii="Arial" w:hAnsi="Arial" w:cs="Arial"/>
                <w:sz w:val="12"/>
                <w:szCs w:val="12"/>
              </w:rPr>
            </w:pPr>
          </w:p>
        </w:tc>
      </w:tr>
      <w:tr w:rsidR="002A4DDF" w:rsidRPr="00937C8B" w14:paraId="6C5C0E5B" w14:textId="77777777" w:rsidTr="00935676">
        <w:trPr>
          <w:cantSplit/>
        </w:trPr>
        <w:tc>
          <w:tcPr>
            <w:tcW w:w="1696" w:type="dxa"/>
            <w:tcBorders>
              <w:left w:val="single" w:sz="4" w:space="0" w:color="auto"/>
            </w:tcBorders>
            <w:shd w:val="clear" w:color="auto" w:fill="auto"/>
          </w:tcPr>
          <w:p w14:paraId="0CAADBC4" w14:textId="77777777" w:rsidR="002A4DDF" w:rsidRPr="00937C8B" w:rsidRDefault="002A4DDF" w:rsidP="009110ED">
            <w:pPr>
              <w:rPr>
                <w:rFonts w:ascii="Arial" w:hAnsi="Arial" w:cs="Arial"/>
                <w:sz w:val="12"/>
                <w:szCs w:val="12"/>
              </w:rPr>
            </w:pPr>
          </w:p>
        </w:tc>
        <w:tc>
          <w:tcPr>
            <w:tcW w:w="1843" w:type="dxa"/>
            <w:shd w:val="clear" w:color="auto" w:fill="auto"/>
          </w:tcPr>
          <w:p w14:paraId="11BDAB6C" w14:textId="77777777" w:rsidR="002A4DDF" w:rsidRPr="00937C8B" w:rsidRDefault="002A4DDF" w:rsidP="009110ED">
            <w:pPr>
              <w:rPr>
                <w:rFonts w:ascii="Arial" w:hAnsi="Arial" w:cs="Arial"/>
                <w:sz w:val="12"/>
                <w:szCs w:val="12"/>
              </w:rPr>
            </w:pPr>
          </w:p>
        </w:tc>
        <w:tc>
          <w:tcPr>
            <w:tcW w:w="2268" w:type="dxa"/>
            <w:shd w:val="clear" w:color="auto" w:fill="F2F2F2"/>
            <w:hideMark/>
          </w:tcPr>
          <w:p w14:paraId="34661112" w14:textId="77777777" w:rsidR="002A4DDF" w:rsidRPr="00937C8B" w:rsidRDefault="002A4DDF" w:rsidP="009110ED">
            <w:pPr>
              <w:rPr>
                <w:rFonts w:ascii="Arial" w:hAnsi="Arial" w:cs="Arial"/>
                <w:sz w:val="12"/>
                <w:szCs w:val="12"/>
              </w:rPr>
            </w:pPr>
            <w:r>
              <w:rPr>
                <w:rFonts w:ascii="Arial" w:hAnsi="Arial"/>
                <w:sz w:val="12"/>
                <w:szCs w:val="12"/>
              </w:rPr>
              <w:t>Manzanal del Barco</w:t>
            </w:r>
          </w:p>
        </w:tc>
        <w:tc>
          <w:tcPr>
            <w:tcW w:w="2268" w:type="dxa"/>
            <w:tcBorders>
              <w:right w:val="single" w:sz="4" w:space="0" w:color="auto"/>
            </w:tcBorders>
            <w:shd w:val="clear" w:color="auto" w:fill="D9D9D9"/>
            <w:hideMark/>
          </w:tcPr>
          <w:p w14:paraId="4AA9BA47" w14:textId="77777777" w:rsidR="002A4DDF" w:rsidRPr="00937C8B" w:rsidRDefault="002A4DDF" w:rsidP="009110ED">
            <w:pPr>
              <w:rPr>
                <w:rFonts w:ascii="Arial" w:hAnsi="Arial" w:cs="Arial"/>
                <w:sz w:val="12"/>
                <w:szCs w:val="12"/>
              </w:rPr>
            </w:pPr>
          </w:p>
        </w:tc>
      </w:tr>
      <w:tr w:rsidR="002A4DDF" w:rsidRPr="00937C8B" w14:paraId="40AF44C6" w14:textId="77777777" w:rsidTr="00935676">
        <w:trPr>
          <w:cantSplit/>
        </w:trPr>
        <w:tc>
          <w:tcPr>
            <w:tcW w:w="1696" w:type="dxa"/>
            <w:tcBorders>
              <w:left w:val="single" w:sz="4" w:space="0" w:color="auto"/>
            </w:tcBorders>
            <w:shd w:val="clear" w:color="auto" w:fill="auto"/>
          </w:tcPr>
          <w:p w14:paraId="229FADB9" w14:textId="77777777" w:rsidR="002A4DDF" w:rsidRPr="00937C8B" w:rsidRDefault="002A4DDF" w:rsidP="009110ED">
            <w:pPr>
              <w:rPr>
                <w:rFonts w:ascii="Arial" w:hAnsi="Arial" w:cs="Arial"/>
                <w:sz w:val="12"/>
                <w:szCs w:val="12"/>
              </w:rPr>
            </w:pPr>
          </w:p>
        </w:tc>
        <w:tc>
          <w:tcPr>
            <w:tcW w:w="1843" w:type="dxa"/>
            <w:shd w:val="clear" w:color="auto" w:fill="auto"/>
          </w:tcPr>
          <w:p w14:paraId="62D86500" w14:textId="77777777" w:rsidR="002A4DDF" w:rsidRPr="00937C8B" w:rsidRDefault="002A4DDF" w:rsidP="009110ED">
            <w:pPr>
              <w:rPr>
                <w:rFonts w:ascii="Arial" w:hAnsi="Arial" w:cs="Arial"/>
                <w:sz w:val="12"/>
                <w:szCs w:val="12"/>
              </w:rPr>
            </w:pPr>
          </w:p>
        </w:tc>
        <w:tc>
          <w:tcPr>
            <w:tcW w:w="2268" w:type="dxa"/>
            <w:shd w:val="clear" w:color="auto" w:fill="F2F2F2"/>
            <w:hideMark/>
          </w:tcPr>
          <w:p w14:paraId="22A7A631" w14:textId="77777777" w:rsidR="002A4DDF" w:rsidRPr="00937C8B" w:rsidRDefault="002A4DDF" w:rsidP="009110ED">
            <w:pPr>
              <w:rPr>
                <w:rFonts w:ascii="Arial" w:hAnsi="Arial" w:cs="Arial"/>
                <w:sz w:val="12"/>
                <w:szCs w:val="12"/>
              </w:rPr>
            </w:pPr>
            <w:r>
              <w:rPr>
                <w:rFonts w:ascii="Arial" w:hAnsi="Arial"/>
                <w:sz w:val="12"/>
                <w:szCs w:val="12"/>
              </w:rPr>
              <w:t>Matilla la Seca</w:t>
            </w:r>
          </w:p>
        </w:tc>
        <w:tc>
          <w:tcPr>
            <w:tcW w:w="2268" w:type="dxa"/>
            <w:tcBorders>
              <w:right w:val="single" w:sz="4" w:space="0" w:color="auto"/>
            </w:tcBorders>
            <w:shd w:val="clear" w:color="auto" w:fill="D9D9D9"/>
            <w:hideMark/>
          </w:tcPr>
          <w:p w14:paraId="149F5C94" w14:textId="77777777" w:rsidR="002A4DDF" w:rsidRPr="00937C8B" w:rsidRDefault="002A4DDF" w:rsidP="009110ED">
            <w:pPr>
              <w:rPr>
                <w:rFonts w:ascii="Arial" w:hAnsi="Arial" w:cs="Arial"/>
                <w:sz w:val="12"/>
                <w:szCs w:val="12"/>
              </w:rPr>
            </w:pPr>
          </w:p>
        </w:tc>
      </w:tr>
      <w:tr w:rsidR="002A4DDF" w:rsidRPr="00937C8B" w14:paraId="456076FA" w14:textId="77777777" w:rsidTr="00935676">
        <w:trPr>
          <w:cantSplit/>
        </w:trPr>
        <w:tc>
          <w:tcPr>
            <w:tcW w:w="1696" w:type="dxa"/>
            <w:tcBorders>
              <w:left w:val="single" w:sz="4" w:space="0" w:color="auto"/>
            </w:tcBorders>
            <w:shd w:val="clear" w:color="auto" w:fill="auto"/>
          </w:tcPr>
          <w:p w14:paraId="1EEE43D0" w14:textId="77777777" w:rsidR="002A4DDF" w:rsidRPr="00937C8B" w:rsidRDefault="002A4DDF" w:rsidP="009110ED">
            <w:pPr>
              <w:rPr>
                <w:rFonts w:ascii="Arial" w:hAnsi="Arial" w:cs="Arial"/>
                <w:sz w:val="12"/>
                <w:szCs w:val="12"/>
              </w:rPr>
            </w:pPr>
          </w:p>
        </w:tc>
        <w:tc>
          <w:tcPr>
            <w:tcW w:w="1843" w:type="dxa"/>
            <w:shd w:val="clear" w:color="auto" w:fill="auto"/>
          </w:tcPr>
          <w:p w14:paraId="35AC3AE9" w14:textId="77777777" w:rsidR="002A4DDF" w:rsidRPr="00937C8B" w:rsidRDefault="002A4DDF" w:rsidP="009110ED">
            <w:pPr>
              <w:rPr>
                <w:rFonts w:ascii="Arial" w:hAnsi="Arial" w:cs="Arial"/>
                <w:sz w:val="12"/>
                <w:szCs w:val="12"/>
              </w:rPr>
            </w:pPr>
          </w:p>
        </w:tc>
        <w:tc>
          <w:tcPr>
            <w:tcW w:w="2268" w:type="dxa"/>
            <w:shd w:val="clear" w:color="auto" w:fill="F2F2F2"/>
            <w:hideMark/>
          </w:tcPr>
          <w:p w14:paraId="2B5CC6E6" w14:textId="77777777" w:rsidR="002A4DDF" w:rsidRPr="00937C8B" w:rsidRDefault="002A4DDF" w:rsidP="009110ED">
            <w:pPr>
              <w:rPr>
                <w:rFonts w:ascii="Arial" w:hAnsi="Arial" w:cs="Arial"/>
                <w:sz w:val="12"/>
                <w:szCs w:val="12"/>
              </w:rPr>
            </w:pPr>
            <w:r>
              <w:rPr>
                <w:rFonts w:ascii="Arial" w:hAnsi="Arial"/>
                <w:sz w:val="12"/>
                <w:szCs w:val="12"/>
              </w:rPr>
              <w:t>Mayalde</w:t>
            </w:r>
          </w:p>
        </w:tc>
        <w:tc>
          <w:tcPr>
            <w:tcW w:w="2268" w:type="dxa"/>
            <w:tcBorders>
              <w:right w:val="single" w:sz="4" w:space="0" w:color="auto"/>
            </w:tcBorders>
            <w:shd w:val="clear" w:color="auto" w:fill="D9D9D9"/>
            <w:hideMark/>
          </w:tcPr>
          <w:p w14:paraId="21473F9F" w14:textId="77777777" w:rsidR="002A4DDF" w:rsidRPr="00937C8B" w:rsidRDefault="002A4DDF" w:rsidP="009110ED">
            <w:pPr>
              <w:rPr>
                <w:rFonts w:ascii="Arial" w:hAnsi="Arial" w:cs="Arial"/>
                <w:sz w:val="12"/>
                <w:szCs w:val="12"/>
              </w:rPr>
            </w:pPr>
          </w:p>
        </w:tc>
      </w:tr>
      <w:tr w:rsidR="002A4DDF" w:rsidRPr="00937C8B" w14:paraId="2C018993" w14:textId="77777777" w:rsidTr="00935676">
        <w:trPr>
          <w:cantSplit/>
        </w:trPr>
        <w:tc>
          <w:tcPr>
            <w:tcW w:w="1696" w:type="dxa"/>
            <w:tcBorders>
              <w:left w:val="single" w:sz="4" w:space="0" w:color="auto"/>
            </w:tcBorders>
            <w:shd w:val="clear" w:color="auto" w:fill="auto"/>
          </w:tcPr>
          <w:p w14:paraId="20C121D9" w14:textId="77777777" w:rsidR="002A4DDF" w:rsidRPr="00937C8B" w:rsidRDefault="002A4DDF" w:rsidP="009110ED">
            <w:pPr>
              <w:rPr>
                <w:rFonts w:ascii="Arial" w:hAnsi="Arial" w:cs="Arial"/>
                <w:sz w:val="12"/>
                <w:szCs w:val="12"/>
              </w:rPr>
            </w:pPr>
          </w:p>
        </w:tc>
        <w:tc>
          <w:tcPr>
            <w:tcW w:w="1843" w:type="dxa"/>
            <w:shd w:val="clear" w:color="auto" w:fill="auto"/>
          </w:tcPr>
          <w:p w14:paraId="2C3C512F" w14:textId="77777777" w:rsidR="002A4DDF" w:rsidRPr="00937C8B" w:rsidRDefault="002A4DDF" w:rsidP="009110ED">
            <w:pPr>
              <w:rPr>
                <w:rFonts w:ascii="Arial" w:hAnsi="Arial" w:cs="Arial"/>
                <w:sz w:val="12"/>
                <w:szCs w:val="12"/>
              </w:rPr>
            </w:pPr>
          </w:p>
        </w:tc>
        <w:tc>
          <w:tcPr>
            <w:tcW w:w="2268" w:type="dxa"/>
            <w:shd w:val="clear" w:color="auto" w:fill="F2F2F2"/>
            <w:hideMark/>
          </w:tcPr>
          <w:p w14:paraId="21033944" w14:textId="77777777" w:rsidR="002A4DDF" w:rsidRPr="00937C8B" w:rsidRDefault="002A4DDF" w:rsidP="009110ED">
            <w:pPr>
              <w:rPr>
                <w:rFonts w:ascii="Arial" w:hAnsi="Arial" w:cs="Arial"/>
                <w:sz w:val="12"/>
                <w:szCs w:val="12"/>
              </w:rPr>
            </w:pPr>
            <w:r>
              <w:rPr>
                <w:rFonts w:ascii="Arial" w:hAnsi="Arial"/>
                <w:sz w:val="12"/>
                <w:szCs w:val="12"/>
              </w:rPr>
              <w:t>Melgar de Tera</w:t>
            </w:r>
          </w:p>
        </w:tc>
        <w:tc>
          <w:tcPr>
            <w:tcW w:w="2268" w:type="dxa"/>
            <w:tcBorders>
              <w:right w:val="single" w:sz="4" w:space="0" w:color="auto"/>
            </w:tcBorders>
            <w:shd w:val="clear" w:color="auto" w:fill="D9D9D9"/>
            <w:hideMark/>
          </w:tcPr>
          <w:p w14:paraId="13B89A3B" w14:textId="77777777" w:rsidR="002A4DDF" w:rsidRPr="00937C8B" w:rsidRDefault="002A4DDF" w:rsidP="009110ED">
            <w:pPr>
              <w:rPr>
                <w:rFonts w:ascii="Arial" w:hAnsi="Arial" w:cs="Arial"/>
                <w:sz w:val="12"/>
                <w:szCs w:val="12"/>
              </w:rPr>
            </w:pPr>
          </w:p>
        </w:tc>
      </w:tr>
      <w:tr w:rsidR="002A4DDF" w:rsidRPr="00937C8B" w14:paraId="0D57DFE7" w14:textId="77777777" w:rsidTr="00935676">
        <w:trPr>
          <w:cantSplit/>
        </w:trPr>
        <w:tc>
          <w:tcPr>
            <w:tcW w:w="1696" w:type="dxa"/>
            <w:tcBorders>
              <w:left w:val="single" w:sz="4" w:space="0" w:color="auto"/>
            </w:tcBorders>
            <w:shd w:val="clear" w:color="auto" w:fill="auto"/>
          </w:tcPr>
          <w:p w14:paraId="52079276" w14:textId="77777777" w:rsidR="002A4DDF" w:rsidRPr="00937C8B" w:rsidRDefault="002A4DDF" w:rsidP="009110ED">
            <w:pPr>
              <w:rPr>
                <w:rFonts w:ascii="Arial" w:hAnsi="Arial" w:cs="Arial"/>
                <w:sz w:val="12"/>
                <w:szCs w:val="12"/>
              </w:rPr>
            </w:pPr>
          </w:p>
        </w:tc>
        <w:tc>
          <w:tcPr>
            <w:tcW w:w="1843" w:type="dxa"/>
            <w:shd w:val="clear" w:color="auto" w:fill="auto"/>
          </w:tcPr>
          <w:p w14:paraId="078A8C57" w14:textId="77777777" w:rsidR="002A4DDF" w:rsidRPr="00937C8B" w:rsidRDefault="002A4DDF" w:rsidP="009110ED">
            <w:pPr>
              <w:rPr>
                <w:rFonts w:ascii="Arial" w:hAnsi="Arial" w:cs="Arial"/>
                <w:sz w:val="12"/>
                <w:szCs w:val="12"/>
              </w:rPr>
            </w:pPr>
          </w:p>
        </w:tc>
        <w:tc>
          <w:tcPr>
            <w:tcW w:w="2268" w:type="dxa"/>
            <w:shd w:val="clear" w:color="auto" w:fill="F2F2F2"/>
            <w:hideMark/>
          </w:tcPr>
          <w:p w14:paraId="6936A66B" w14:textId="77777777" w:rsidR="002A4DDF" w:rsidRPr="00937C8B" w:rsidRDefault="002A4DDF" w:rsidP="009110ED">
            <w:pPr>
              <w:rPr>
                <w:rFonts w:ascii="Arial" w:hAnsi="Arial" w:cs="Arial"/>
                <w:sz w:val="12"/>
                <w:szCs w:val="12"/>
              </w:rPr>
            </w:pPr>
            <w:r>
              <w:rPr>
                <w:rFonts w:ascii="Arial" w:hAnsi="Arial"/>
                <w:sz w:val="12"/>
                <w:szCs w:val="12"/>
              </w:rPr>
              <w:t>Micereces de Tera</w:t>
            </w:r>
          </w:p>
        </w:tc>
        <w:tc>
          <w:tcPr>
            <w:tcW w:w="2268" w:type="dxa"/>
            <w:tcBorders>
              <w:right w:val="single" w:sz="4" w:space="0" w:color="auto"/>
            </w:tcBorders>
            <w:shd w:val="clear" w:color="auto" w:fill="D9D9D9"/>
            <w:hideMark/>
          </w:tcPr>
          <w:p w14:paraId="709B3547" w14:textId="77777777" w:rsidR="002A4DDF" w:rsidRPr="00937C8B" w:rsidRDefault="002A4DDF" w:rsidP="009110ED">
            <w:pPr>
              <w:rPr>
                <w:rFonts w:ascii="Arial" w:hAnsi="Arial" w:cs="Arial"/>
                <w:sz w:val="12"/>
                <w:szCs w:val="12"/>
              </w:rPr>
            </w:pPr>
          </w:p>
        </w:tc>
      </w:tr>
      <w:tr w:rsidR="002A4DDF" w:rsidRPr="00937C8B" w14:paraId="503C1E97" w14:textId="77777777" w:rsidTr="00935676">
        <w:trPr>
          <w:cantSplit/>
        </w:trPr>
        <w:tc>
          <w:tcPr>
            <w:tcW w:w="1696" w:type="dxa"/>
            <w:tcBorders>
              <w:left w:val="single" w:sz="4" w:space="0" w:color="auto"/>
            </w:tcBorders>
            <w:shd w:val="clear" w:color="auto" w:fill="auto"/>
          </w:tcPr>
          <w:p w14:paraId="7F35652D" w14:textId="77777777" w:rsidR="002A4DDF" w:rsidRPr="00937C8B" w:rsidRDefault="002A4DDF" w:rsidP="009110ED">
            <w:pPr>
              <w:rPr>
                <w:rFonts w:ascii="Arial" w:hAnsi="Arial" w:cs="Arial"/>
                <w:sz w:val="12"/>
                <w:szCs w:val="12"/>
              </w:rPr>
            </w:pPr>
          </w:p>
        </w:tc>
        <w:tc>
          <w:tcPr>
            <w:tcW w:w="1843" w:type="dxa"/>
            <w:shd w:val="clear" w:color="auto" w:fill="auto"/>
          </w:tcPr>
          <w:p w14:paraId="3E775B65" w14:textId="77777777" w:rsidR="002A4DDF" w:rsidRPr="00937C8B" w:rsidRDefault="002A4DDF" w:rsidP="009110ED">
            <w:pPr>
              <w:rPr>
                <w:rFonts w:ascii="Arial" w:hAnsi="Arial" w:cs="Arial"/>
                <w:sz w:val="12"/>
                <w:szCs w:val="12"/>
              </w:rPr>
            </w:pPr>
          </w:p>
        </w:tc>
        <w:tc>
          <w:tcPr>
            <w:tcW w:w="2268" w:type="dxa"/>
            <w:shd w:val="clear" w:color="auto" w:fill="F2F2F2"/>
            <w:hideMark/>
          </w:tcPr>
          <w:p w14:paraId="03FA08D6" w14:textId="77777777" w:rsidR="002A4DDF" w:rsidRPr="00937C8B" w:rsidRDefault="002A4DDF" w:rsidP="009110ED">
            <w:pPr>
              <w:rPr>
                <w:rFonts w:ascii="Arial" w:hAnsi="Arial" w:cs="Arial"/>
                <w:sz w:val="12"/>
                <w:szCs w:val="12"/>
              </w:rPr>
            </w:pPr>
            <w:r>
              <w:rPr>
                <w:rFonts w:ascii="Arial" w:hAnsi="Arial"/>
                <w:sz w:val="12"/>
                <w:szCs w:val="12"/>
              </w:rPr>
              <w:t>Milles de la Polvorosa</w:t>
            </w:r>
          </w:p>
        </w:tc>
        <w:tc>
          <w:tcPr>
            <w:tcW w:w="2268" w:type="dxa"/>
            <w:tcBorders>
              <w:right w:val="single" w:sz="4" w:space="0" w:color="auto"/>
            </w:tcBorders>
            <w:shd w:val="clear" w:color="auto" w:fill="D9D9D9"/>
            <w:hideMark/>
          </w:tcPr>
          <w:p w14:paraId="2A31B6BC" w14:textId="77777777" w:rsidR="002A4DDF" w:rsidRPr="00937C8B" w:rsidRDefault="002A4DDF" w:rsidP="009110ED">
            <w:pPr>
              <w:rPr>
                <w:rFonts w:ascii="Arial" w:hAnsi="Arial" w:cs="Arial"/>
                <w:sz w:val="12"/>
                <w:szCs w:val="12"/>
              </w:rPr>
            </w:pPr>
          </w:p>
        </w:tc>
      </w:tr>
      <w:tr w:rsidR="002A4DDF" w:rsidRPr="00937C8B" w14:paraId="54CDD1CB" w14:textId="77777777" w:rsidTr="00935676">
        <w:trPr>
          <w:cantSplit/>
        </w:trPr>
        <w:tc>
          <w:tcPr>
            <w:tcW w:w="1696" w:type="dxa"/>
            <w:tcBorders>
              <w:left w:val="single" w:sz="4" w:space="0" w:color="auto"/>
            </w:tcBorders>
            <w:shd w:val="clear" w:color="auto" w:fill="auto"/>
          </w:tcPr>
          <w:p w14:paraId="2D6E6DF5" w14:textId="77777777" w:rsidR="002A4DDF" w:rsidRPr="00937C8B" w:rsidRDefault="002A4DDF" w:rsidP="009110ED">
            <w:pPr>
              <w:rPr>
                <w:rFonts w:ascii="Arial" w:hAnsi="Arial" w:cs="Arial"/>
                <w:sz w:val="12"/>
                <w:szCs w:val="12"/>
              </w:rPr>
            </w:pPr>
          </w:p>
        </w:tc>
        <w:tc>
          <w:tcPr>
            <w:tcW w:w="1843" w:type="dxa"/>
            <w:shd w:val="clear" w:color="auto" w:fill="auto"/>
          </w:tcPr>
          <w:p w14:paraId="007D2773" w14:textId="77777777" w:rsidR="002A4DDF" w:rsidRPr="00937C8B" w:rsidRDefault="002A4DDF" w:rsidP="009110ED">
            <w:pPr>
              <w:rPr>
                <w:rFonts w:ascii="Arial" w:hAnsi="Arial" w:cs="Arial"/>
                <w:sz w:val="12"/>
                <w:szCs w:val="12"/>
              </w:rPr>
            </w:pPr>
          </w:p>
        </w:tc>
        <w:tc>
          <w:tcPr>
            <w:tcW w:w="2268" w:type="dxa"/>
            <w:shd w:val="clear" w:color="auto" w:fill="F2F2F2"/>
            <w:hideMark/>
          </w:tcPr>
          <w:p w14:paraId="5C5F1947" w14:textId="77777777" w:rsidR="002A4DDF" w:rsidRPr="00937C8B" w:rsidRDefault="002A4DDF" w:rsidP="009110ED">
            <w:pPr>
              <w:rPr>
                <w:rFonts w:ascii="Arial" w:hAnsi="Arial" w:cs="Arial"/>
                <w:sz w:val="12"/>
                <w:szCs w:val="12"/>
              </w:rPr>
            </w:pPr>
            <w:r>
              <w:rPr>
                <w:rFonts w:ascii="Arial" w:hAnsi="Arial"/>
                <w:sz w:val="12"/>
                <w:szCs w:val="12"/>
              </w:rPr>
              <w:t>Molacillos</w:t>
            </w:r>
          </w:p>
        </w:tc>
        <w:tc>
          <w:tcPr>
            <w:tcW w:w="2268" w:type="dxa"/>
            <w:tcBorders>
              <w:right w:val="single" w:sz="4" w:space="0" w:color="auto"/>
            </w:tcBorders>
            <w:shd w:val="clear" w:color="auto" w:fill="D9D9D9"/>
            <w:hideMark/>
          </w:tcPr>
          <w:p w14:paraId="4759A2F8" w14:textId="77777777" w:rsidR="002A4DDF" w:rsidRPr="00937C8B" w:rsidRDefault="002A4DDF" w:rsidP="009110ED">
            <w:pPr>
              <w:rPr>
                <w:rFonts w:ascii="Arial" w:hAnsi="Arial" w:cs="Arial"/>
                <w:sz w:val="12"/>
                <w:szCs w:val="12"/>
              </w:rPr>
            </w:pPr>
          </w:p>
        </w:tc>
      </w:tr>
      <w:tr w:rsidR="002A4DDF" w:rsidRPr="00937C8B" w14:paraId="33F00251" w14:textId="77777777" w:rsidTr="00935676">
        <w:trPr>
          <w:cantSplit/>
        </w:trPr>
        <w:tc>
          <w:tcPr>
            <w:tcW w:w="1696" w:type="dxa"/>
            <w:tcBorders>
              <w:left w:val="single" w:sz="4" w:space="0" w:color="auto"/>
            </w:tcBorders>
            <w:shd w:val="clear" w:color="auto" w:fill="auto"/>
          </w:tcPr>
          <w:p w14:paraId="76F64072" w14:textId="77777777" w:rsidR="002A4DDF" w:rsidRPr="00937C8B" w:rsidRDefault="002A4DDF" w:rsidP="009110ED">
            <w:pPr>
              <w:rPr>
                <w:rFonts w:ascii="Arial" w:hAnsi="Arial" w:cs="Arial"/>
                <w:sz w:val="12"/>
                <w:szCs w:val="12"/>
              </w:rPr>
            </w:pPr>
          </w:p>
        </w:tc>
        <w:tc>
          <w:tcPr>
            <w:tcW w:w="1843" w:type="dxa"/>
            <w:shd w:val="clear" w:color="auto" w:fill="auto"/>
          </w:tcPr>
          <w:p w14:paraId="60133E3D" w14:textId="77777777" w:rsidR="002A4DDF" w:rsidRPr="00937C8B" w:rsidRDefault="002A4DDF" w:rsidP="009110ED">
            <w:pPr>
              <w:rPr>
                <w:rFonts w:ascii="Arial" w:hAnsi="Arial" w:cs="Arial"/>
                <w:sz w:val="12"/>
                <w:szCs w:val="12"/>
              </w:rPr>
            </w:pPr>
          </w:p>
        </w:tc>
        <w:tc>
          <w:tcPr>
            <w:tcW w:w="2268" w:type="dxa"/>
            <w:shd w:val="clear" w:color="auto" w:fill="F2F2F2"/>
            <w:hideMark/>
          </w:tcPr>
          <w:p w14:paraId="5D47887E" w14:textId="77777777" w:rsidR="002A4DDF" w:rsidRPr="00937C8B" w:rsidRDefault="002A4DDF" w:rsidP="009110ED">
            <w:pPr>
              <w:rPr>
                <w:rFonts w:ascii="Arial" w:hAnsi="Arial" w:cs="Arial"/>
                <w:sz w:val="12"/>
                <w:szCs w:val="12"/>
              </w:rPr>
            </w:pPr>
            <w:r>
              <w:rPr>
                <w:rFonts w:ascii="Arial" w:hAnsi="Arial"/>
                <w:sz w:val="12"/>
                <w:szCs w:val="12"/>
              </w:rPr>
              <w:t>Molezuelas de la Carballeda</w:t>
            </w:r>
          </w:p>
        </w:tc>
        <w:tc>
          <w:tcPr>
            <w:tcW w:w="2268" w:type="dxa"/>
            <w:tcBorders>
              <w:right w:val="single" w:sz="4" w:space="0" w:color="auto"/>
            </w:tcBorders>
            <w:shd w:val="clear" w:color="auto" w:fill="D9D9D9"/>
            <w:hideMark/>
          </w:tcPr>
          <w:p w14:paraId="1C4C3DEA" w14:textId="77777777" w:rsidR="002A4DDF" w:rsidRPr="00937C8B" w:rsidRDefault="002A4DDF" w:rsidP="009110ED">
            <w:pPr>
              <w:rPr>
                <w:rFonts w:ascii="Arial" w:hAnsi="Arial" w:cs="Arial"/>
                <w:sz w:val="12"/>
                <w:szCs w:val="12"/>
              </w:rPr>
            </w:pPr>
          </w:p>
        </w:tc>
      </w:tr>
      <w:tr w:rsidR="002A4DDF" w:rsidRPr="00937C8B" w14:paraId="2A3688DE" w14:textId="77777777" w:rsidTr="00935676">
        <w:trPr>
          <w:cantSplit/>
        </w:trPr>
        <w:tc>
          <w:tcPr>
            <w:tcW w:w="1696" w:type="dxa"/>
            <w:tcBorders>
              <w:left w:val="single" w:sz="4" w:space="0" w:color="auto"/>
            </w:tcBorders>
            <w:shd w:val="clear" w:color="auto" w:fill="auto"/>
          </w:tcPr>
          <w:p w14:paraId="19959BC5" w14:textId="77777777" w:rsidR="002A4DDF" w:rsidRPr="00937C8B" w:rsidRDefault="002A4DDF" w:rsidP="009110ED">
            <w:pPr>
              <w:rPr>
                <w:rFonts w:ascii="Arial" w:hAnsi="Arial" w:cs="Arial"/>
                <w:sz w:val="12"/>
                <w:szCs w:val="12"/>
              </w:rPr>
            </w:pPr>
          </w:p>
        </w:tc>
        <w:tc>
          <w:tcPr>
            <w:tcW w:w="1843" w:type="dxa"/>
            <w:shd w:val="clear" w:color="auto" w:fill="auto"/>
          </w:tcPr>
          <w:p w14:paraId="1B858CD7" w14:textId="77777777" w:rsidR="002A4DDF" w:rsidRPr="00937C8B" w:rsidRDefault="002A4DDF" w:rsidP="009110ED">
            <w:pPr>
              <w:rPr>
                <w:rFonts w:ascii="Arial" w:hAnsi="Arial" w:cs="Arial"/>
                <w:sz w:val="12"/>
                <w:szCs w:val="12"/>
              </w:rPr>
            </w:pPr>
          </w:p>
        </w:tc>
        <w:tc>
          <w:tcPr>
            <w:tcW w:w="2268" w:type="dxa"/>
            <w:shd w:val="clear" w:color="auto" w:fill="F2F2F2"/>
            <w:hideMark/>
          </w:tcPr>
          <w:p w14:paraId="6D78D763" w14:textId="77777777" w:rsidR="002A4DDF" w:rsidRPr="00937C8B" w:rsidRDefault="002A4DDF" w:rsidP="009110ED">
            <w:pPr>
              <w:rPr>
                <w:rFonts w:ascii="Arial" w:hAnsi="Arial" w:cs="Arial"/>
                <w:sz w:val="12"/>
                <w:szCs w:val="12"/>
              </w:rPr>
            </w:pPr>
            <w:r>
              <w:rPr>
                <w:rFonts w:ascii="Arial" w:hAnsi="Arial"/>
                <w:sz w:val="12"/>
                <w:szCs w:val="12"/>
              </w:rPr>
              <w:t>Monfarracinos</w:t>
            </w:r>
          </w:p>
        </w:tc>
        <w:tc>
          <w:tcPr>
            <w:tcW w:w="2268" w:type="dxa"/>
            <w:tcBorders>
              <w:right w:val="single" w:sz="4" w:space="0" w:color="auto"/>
            </w:tcBorders>
            <w:shd w:val="clear" w:color="auto" w:fill="D9D9D9"/>
            <w:hideMark/>
          </w:tcPr>
          <w:p w14:paraId="4FEBF583" w14:textId="77777777" w:rsidR="002A4DDF" w:rsidRPr="00937C8B" w:rsidRDefault="002A4DDF" w:rsidP="009110ED">
            <w:pPr>
              <w:rPr>
                <w:rFonts w:ascii="Arial" w:hAnsi="Arial" w:cs="Arial"/>
                <w:sz w:val="12"/>
                <w:szCs w:val="12"/>
              </w:rPr>
            </w:pPr>
          </w:p>
        </w:tc>
      </w:tr>
      <w:tr w:rsidR="002A4DDF" w:rsidRPr="00937C8B" w14:paraId="6841514F" w14:textId="77777777" w:rsidTr="00935676">
        <w:trPr>
          <w:cantSplit/>
        </w:trPr>
        <w:tc>
          <w:tcPr>
            <w:tcW w:w="1696" w:type="dxa"/>
            <w:tcBorders>
              <w:left w:val="single" w:sz="4" w:space="0" w:color="auto"/>
            </w:tcBorders>
            <w:shd w:val="clear" w:color="auto" w:fill="auto"/>
          </w:tcPr>
          <w:p w14:paraId="092D842B" w14:textId="77777777" w:rsidR="002A4DDF" w:rsidRPr="00937C8B" w:rsidRDefault="002A4DDF" w:rsidP="009110ED">
            <w:pPr>
              <w:rPr>
                <w:rFonts w:ascii="Arial" w:hAnsi="Arial" w:cs="Arial"/>
                <w:sz w:val="12"/>
                <w:szCs w:val="12"/>
              </w:rPr>
            </w:pPr>
          </w:p>
        </w:tc>
        <w:tc>
          <w:tcPr>
            <w:tcW w:w="1843" w:type="dxa"/>
            <w:shd w:val="clear" w:color="auto" w:fill="auto"/>
          </w:tcPr>
          <w:p w14:paraId="32341F18" w14:textId="77777777" w:rsidR="002A4DDF" w:rsidRPr="00937C8B" w:rsidRDefault="002A4DDF" w:rsidP="009110ED">
            <w:pPr>
              <w:rPr>
                <w:rFonts w:ascii="Arial" w:hAnsi="Arial" w:cs="Arial"/>
                <w:sz w:val="12"/>
                <w:szCs w:val="12"/>
              </w:rPr>
            </w:pPr>
          </w:p>
        </w:tc>
        <w:tc>
          <w:tcPr>
            <w:tcW w:w="2268" w:type="dxa"/>
            <w:shd w:val="clear" w:color="auto" w:fill="F2F2F2"/>
            <w:hideMark/>
          </w:tcPr>
          <w:p w14:paraId="14999B69" w14:textId="77777777" w:rsidR="002A4DDF" w:rsidRPr="00937C8B" w:rsidRDefault="002A4DDF" w:rsidP="009110ED">
            <w:pPr>
              <w:rPr>
                <w:rFonts w:ascii="Arial" w:hAnsi="Arial" w:cs="Arial"/>
                <w:sz w:val="12"/>
                <w:szCs w:val="12"/>
              </w:rPr>
            </w:pPr>
            <w:r>
              <w:rPr>
                <w:rFonts w:ascii="Arial" w:hAnsi="Arial"/>
                <w:sz w:val="12"/>
                <w:szCs w:val="12"/>
              </w:rPr>
              <w:t>Montamarta</w:t>
            </w:r>
          </w:p>
        </w:tc>
        <w:tc>
          <w:tcPr>
            <w:tcW w:w="2268" w:type="dxa"/>
            <w:tcBorders>
              <w:right w:val="single" w:sz="4" w:space="0" w:color="auto"/>
            </w:tcBorders>
            <w:shd w:val="clear" w:color="auto" w:fill="D9D9D9"/>
            <w:hideMark/>
          </w:tcPr>
          <w:p w14:paraId="63EBCDC1" w14:textId="77777777" w:rsidR="002A4DDF" w:rsidRPr="00937C8B" w:rsidRDefault="002A4DDF" w:rsidP="009110ED">
            <w:pPr>
              <w:rPr>
                <w:rFonts w:ascii="Arial" w:hAnsi="Arial" w:cs="Arial"/>
                <w:sz w:val="12"/>
                <w:szCs w:val="12"/>
              </w:rPr>
            </w:pPr>
          </w:p>
        </w:tc>
      </w:tr>
      <w:tr w:rsidR="002A4DDF" w:rsidRPr="00937C8B" w14:paraId="53B474F9" w14:textId="77777777" w:rsidTr="00935676">
        <w:trPr>
          <w:cantSplit/>
        </w:trPr>
        <w:tc>
          <w:tcPr>
            <w:tcW w:w="1696" w:type="dxa"/>
            <w:tcBorders>
              <w:left w:val="single" w:sz="4" w:space="0" w:color="auto"/>
            </w:tcBorders>
            <w:shd w:val="clear" w:color="auto" w:fill="auto"/>
          </w:tcPr>
          <w:p w14:paraId="2CD928A1" w14:textId="77777777" w:rsidR="002A4DDF" w:rsidRPr="00937C8B" w:rsidRDefault="002A4DDF" w:rsidP="009110ED">
            <w:pPr>
              <w:rPr>
                <w:rFonts w:ascii="Arial" w:hAnsi="Arial" w:cs="Arial"/>
                <w:sz w:val="12"/>
                <w:szCs w:val="12"/>
              </w:rPr>
            </w:pPr>
          </w:p>
        </w:tc>
        <w:tc>
          <w:tcPr>
            <w:tcW w:w="1843" w:type="dxa"/>
            <w:shd w:val="clear" w:color="auto" w:fill="auto"/>
          </w:tcPr>
          <w:p w14:paraId="21F875AB" w14:textId="77777777" w:rsidR="002A4DDF" w:rsidRPr="00937C8B" w:rsidRDefault="002A4DDF" w:rsidP="009110ED">
            <w:pPr>
              <w:rPr>
                <w:rFonts w:ascii="Arial" w:hAnsi="Arial" w:cs="Arial"/>
                <w:sz w:val="12"/>
                <w:szCs w:val="12"/>
              </w:rPr>
            </w:pPr>
          </w:p>
        </w:tc>
        <w:tc>
          <w:tcPr>
            <w:tcW w:w="2268" w:type="dxa"/>
            <w:shd w:val="clear" w:color="auto" w:fill="F2F2F2"/>
            <w:hideMark/>
          </w:tcPr>
          <w:p w14:paraId="53C6D80B" w14:textId="77777777" w:rsidR="002A4DDF" w:rsidRPr="00937C8B" w:rsidRDefault="002A4DDF" w:rsidP="009110ED">
            <w:pPr>
              <w:rPr>
                <w:rFonts w:ascii="Arial" w:hAnsi="Arial" w:cs="Arial"/>
                <w:sz w:val="12"/>
                <w:szCs w:val="12"/>
              </w:rPr>
            </w:pPr>
            <w:r>
              <w:rPr>
                <w:rFonts w:ascii="Arial" w:hAnsi="Arial"/>
                <w:sz w:val="12"/>
                <w:szCs w:val="12"/>
              </w:rPr>
              <w:t>Moraleja del Vino</w:t>
            </w:r>
          </w:p>
        </w:tc>
        <w:tc>
          <w:tcPr>
            <w:tcW w:w="2268" w:type="dxa"/>
            <w:tcBorders>
              <w:right w:val="single" w:sz="4" w:space="0" w:color="auto"/>
            </w:tcBorders>
            <w:shd w:val="clear" w:color="auto" w:fill="D9D9D9"/>
            <w:hideMark/>
          </w:tcPr>
          <w:p w14:paraId="0E5AFD4F" w14:textId="77777777" w:rsidR="002A4DDF" w:rsidRPr="00937C8B" w:rsidRDefault="002A4DDF" w:rsidP="009110ED">
            <w:pPr>
              <w:rPr>
                <w:rFonts w:ascii="Arial" w:hAnsi="Arial" w:cs="Arial"/>
                <w:sz w:val="12"/>
                <w:szCs w:val="12"/>
              </w:rPr>
            </w:pPr>
          </w:p>
        </w:tc>
      </w:tr>
      <w:tr w:rsidR="002A4DDF" w:rsidRPr="00937C8B" w14:paraId="5F2BE76B" w14:textId="77777777" w:rsidTr="00935676">
        <w:trPr>
          <w:cantSplit/>
        </w:trPr>
        <w:tc>
          <w:tcPr>
            <w:tcW w:w="1696" w:type="dxa"/>
            <w:tcBorders>
              <w:left w:val="single" w:sz="4" w:space="0" w:color="auto"/>
            </w:tcBorders>
            <w:shd w:val="clear" w:color="auto" w:fill="auto"/>
          </w:tcPr>
          <w:p w14:paraId="4CF853EA" w14:textId="77777777" w:rsidR="002A4DDF" w:rsidRPr="00937C8B" w:rsidRDefault="002A4DDF" w:rsidP="009110ED">
            <w:pPr>
              <w:rPr>
                <w:rFonts w:ascii="Arial" w:hAnsi="Arial" w:cs="Arial"/>
                <w:sz w:val="12"/>
                <w:szCs w:val="12"/>
              </w:rPr>
            </w:pPr>
          </w:p>
        </w:tc>
        <w:tc>
          <w:tcPr>
            <w:tcW w:w="1843" w:type="dxa"/>
            <w:shd w:val="clear" w:color="auto" w:fill="auto"/>
          </w:tcPr>
          <w:p w14:paraId="6DB82194" w14:textId="77777777" w:rsidR="002A4DDF" w:rsidRPr="00937C8B" w:rsidRDefault="002A4DDF" w:rsidP="009110ED">
            <w:pPr>
              <w:rPr>
                <w:rFonts w:ascii="Arial" w:hAnsi="Arial" w:cs="Arial"/>
                <w:sz w:val="12"/>
                <w:szCs w:val="12"/>
              </w:rPr>
            </w:pPr>
          </w:p>
        </w:tc>
        <w:tc>
          <w:tcPr>
            <w:tcW w:w="2268" w:type="dxa"/>
            <w:shd w:val="clear" w:color="auto" w:fill="F2F2F2"/>
            <w:hideMark/>
          </w:tcPr>
          <w:p w14:paraId="4BED2858" w14:textId="77777777" w:rsidR="002A4DDF" w:rsidRPr="00937C8B" w:rsidRDefault="002A4DDF" w:rsidP="009110ED">
            <w:pPr>
              <w:rPr>
                <w:rFonts w:ascii="Arial" w:hAnsi="Arial" w:cs="Arial"/>
                <w:sz w:val="12"/>
                <w:szCs w:val="12"/>
              </w:rPr>
            </w:pPr>
            <w:r>
              <w:rPr>
                <w:rFonts w:ascii="Arial" w:hAnsi="Arial"/>
                <w:sz w:val="12"/>
                <w:szCs w:val="12"/>
              </w:rPr>
              <w:t>Morales de Toro</w:t>
            </w:r>
          </w:p>
        </w:tc>
        <w:tc>
          <w:tcPr>
            <w:tcW w:w="2268" w:type="dxa"/>
            <w:tcBorders>
              <w:right w:val="single" w:sz="4" w:space="0" w:color="auto"/>
            </w:tcBorders>
            <w:shd w:val="clear" w:color="auto" w:fill="D9D9D9"/>
            <w:hideMark/>
          </w:tcPr>
          <w:p w14:paraId="6431A24A" w14:textId="77777777" w:rsidR="002A4DDF" w:rsidRPr="00937C8B" w:rsidRDefault="002A4DDF" w:rsidP="009110ED">
            <w:pPr>
              <w:rPr>
                <w:rFonts w:ascii="Arial" w:hAnsi="Arial" w:cs="Arial"/>
                <w:sz w:val="12"/>
                <w:szCs w:val="12"/>
              </w:rPr>
            </w:pPr>
          </w:p>
        </w:tc>
      </w:tr>
      <w:tr w:rsidR="002A4DDF" w:rsidRPr="00937C8B" w14:paraId="35829771" w14:textId="77777777" w:rsidTr="00935676">
        <w:trPr>
          <w:cantSplit/>
        </w:trPr>
        <w:tc>
          <w:tcPr>
            <w:tcW w:w="1696" w:type="dxa"/>
            <w:tcBorders>
              <w:left w:val="single" w:sz="4" w:space="0" w:color="auto"/>
            </w:tcBorders>
            <w:shd w:val="clear" w:color="auto" w:fill="auto"/>
          </w:tcPr>
          <w:p w14:paraId="3259DB59" w14:textId="77777777" w:rsidR="002A4DDF" w:rsidRPr="00937C8B" w:rsidRDefault="002A4DDF" w:rsidP="009110ED">
            <w:pPr>
              <w:rPr>
                <w:rFonts w:ascii="Arial" w:hAnsi="Arial" w:cs="Arial"/>
                <w:sz w:val="12"/>
                <w:szCs w:val="12"/>
              </w:rPr>
            </w:pPr>
          </w:p>
        </w:tc>
        <w:tc>
          <w:tcPr>
            <w:tcW w:w="1843" w:type="dxa"/>
            <w:shd w:val="clear" w:color="auto" w:fill="auto"/>
          </w:tcPr>
          <w:p w14:paraId="3C40B941" w14:textId="77777777" w:rsidR="002A4DDF" w:rsidRPr="00937C8B" w:rsidRDefault="002A4DDF" w:rsidP="009110ED">
            <w:pPr>
              <w:rPr>
                <w:rFonts w:ascii="Arial" w:hAnsi="Arial" w:cs="Arial"/>
                <w:sz w:val="12"/>
                <w:szCs w:val="12"/>
              </w:rPr>
            </w:pPr>
          </w:p>
        </w:tc>
        <w:tc>
          <w:tcPr>
            <w:tcW w:w="2268" w:type="dxa"/>
            <w:shd w:val="clear" w:color="auto" w:fill="F2F2F2"/>
            <w:hideMark/>
          </w:tcPr>
          <w:p w14:paraId="1A0FB6E0" w14:textId="77777777" w:rsidR="002A4DDF" w:rsidRPr="00937C8B" w:rsidRDefault="002A4DDF" w:rsidP="009110ED">
            <w:pPr>
              <w:rPr>
                <w:rFonts w:ascii="Arial" w:hAnsi="Arial" w:cs="Arial"/>
                <w:sz w:val="12"/>
                <w:szCs w:val="12"/>
              </w:rPr>
            </w:pPr>
            <w:r>
              <w:rPr>
                <w:rFonts w:ascii="Arial" w:hAnsi="Arial"/>
                <w:sz w:val="12"/>
                <w:szCs w:val="12"/>
              </w:rPr>
              <w:t>Morales de Valverde</w:t>
            </w:r>
          </w:p>
        </w:tc>
        <w:tc>
          <w:tcPr>
            <w:tcW w:w="2268" w:type="dxa"/>
            <w:tcBorders>
              <w:right w:val="single" w:sz="4" w:space="0" w:color="auto"/>
            </w:tcBorders>
            <w:shd w:val="clear" w:color="auto" w:fill="D9D9D9"/>
            <w:hideMark/>
          </w:tcPr>
          <w:p w14:paraId="67E7750E" w14:textId="77777777" w:rsidR="002A4DDF" w:rsidRPr="00937C8B" w:rsidRDefault="002A4DDF" w:rsidP="009110ED">
            <w:pPr>
              <w:rPr>
                <w:rFonts w:ascii="Arial" w:hAnsi="Arial" w:cs="Arial"/>
                <w:sz w:val="12"/>
                <w:szCs w:val="12"/>
              </w:rPr>
            </w:pPr>
          </w:p>
        </w:tc>
      </w:tr>
      <w:tr w:rsidR="002A4DDF" w:rsidRPr="00937C8B" w14:paraId="27FA7ED5" w14:textId="77777777" w:rsidTr="00935676">
        <w:trPr>
          <w:cantSplit/>
        </w:trPr>
        <w:tc>
          <w:tcPr>
            <w:tcW w:w="1696" w:type="dxa"/>
            <w:tcBorders>
              <w:left w:val="single" w:sz="4" w:space="0" w:color="auto"/>
            </w:tcBorders>
            <w:shd w:val="clear" w:color="auto" w:fill="auto"/>
          </w:tcPr>
          <w:p w14:paraId="6DF89F77" w14:textId="77777777" w:rsidR="002A4DDF" w:rsidRPr="00937C8B" w:rsidRDefault="002A4DDF" w:rsidP="009110ED">
            <w:pPr>
              <w:rPr>
                <w:rFonts w:ascii="Arial" w:hAnsi="Arial" w:cs="Arial"/>
                <w:sz w:val="12"/>
                <w:szCs w:val="12"/>
              </w:rPr>
            </w:pPr>
          </w:p>
        </w:tc>
        <w:tc>
          <w:tcPr>
            <w:tcW w:w="1843" w:type="dxa"/>
            <w:shd w:val="clear" w:color="auto" w:fill="auto"/>
          </w:tcPr>
          <w:p w14:paraId="760A9B21" w14:textId="77777777" w:rsidR="002A4DDF" w:rsidRPr="00937C8B" w:rsidRDefault="002A4DDF" w:rsidP="009110ED">
            <w:pPr>
              <w:rPr>
                <w:rFonts w:ascii="Arial" w:hAnsi="Arial" w:cs="Arial"/>
                <w:sz w:val="12"/>
                <w:szCs w:val="12"/>
              </w:rPr>
            </w:pPr>
          </w:p>
        </w:tc>
        <w:tc>
          <w:tcPr>
            <w:tcW w:w="2268" w:type="dxa"/>
            <w:shd w:val="clear" w:color="auto" w:fill="F2F2F2"/>
            <w:hideMark/>
          </w:tcPr>
          <w:p w14:paraId="0FEE276B" w14:textId="77777777" w:rsidR="002A4DDF" w:rsidRPr="00937C8B" w:rsidRDefault="002A4DDF" w:rsidP="009110ED">
            <w:pPr>
              <w:rPr>
                <w:rFonts w:ascii="Arial" w:hAnsi="Arial" w:cs="Arial"/>
                <w:sz w:val="12"/>
                <w:szCs w:val="12"/>
              </w:rPr>
            </w:pPr>
            <w:r>
              <w:rPr>
                <w:rFonts w:ascii="Arial" w:hAnsi="Arial"/>
                <w:sz w:val="12"/>
                <w:szCs w:val="12"/>
              </w:rPr>
              <w:t>Morales del Vino</w:t>
            </w:r>
          </w:p>
        </w:tc>
        <w:tc>
          <w:tcPr>
            <w:tcW w:w="2268" w:type="dxa"/>
            <w:tcBorders>
              <w:right w:val="single" w:sz="4" w:space="0" w:color="auto"/>
            </w:tcBorders>
            <w:shd w:val="clear" w:color="auto" w:fill="D9D9D9"/>
            <w:hideMark/>
          </w:tcPr>
          <w:p w14:paraId="3E6AF309" w14:textId="77777777" w:rsidR="002A4DDF" w:rsidRPr="00937C8B" w:rsidRDefault="002A4DDF" w:rsidP="009110ED">
            <w:pPr>
              <w:rPr>
                <w:rFonts w:ascii="Arial" w:hAnsi="Arial" w:cs="Arial"/>
                <w:sz w:val="12"/>
                <w:szCs w:val="12"/>
              </w:rPr>
            </w:pPr>
          </w:p>
        </w:tc>
      </w:tr>
      <w:tr w:rsidR="002A4DDF" w:rsidRPr="00937C8B" w14:paraId="3E20E7E7" w14:textId="77777777" w:rsidTr="00935676">
        <w:trPr>
          <w:cantSplit/>
        </w:trPr>
        <w:tc>
          <w:tcPr>
            <w:tcW w:w="1696" w:type="dxa"/>
            <w:tcBorders>
              <w:left w:val="single" w:sz="4" w:space="0" w:color="auto"/>
            </w:tcBorders>
            <w:shd w:val="clear" w:color="auto" w:fill="auto"/>
          </w:tcPr>
          <w:p w14:paraId="4FE06DB2" w14:textId="77777777" w:rsidR="002A4DDF" w:rsidRPr="00937C8B" w:rsidRDefault="002A4DDF" w:rsidP="009110ED">
            <w:pPr>
              <w:rPr>
                <w:rFonts w:ascii="Arial" w:hAnsi="Arial" w:cs="Arial"/>
                <w:sz w:val="12"/>
                <w:szCs w:val="12"/>
              </w:rPr>
            </w:pPr>
          </w:p>
        </w:tc>
        <w:tc>
          <w:tcPr>
            <w:tcW w:w="1843" w:type="dxa"/>
            <w:shd w:val="clear" w:color="auto" w:fill="auto"/>
          </w:tcPr>
          <w:p w14:paraId="6FDD27F8" w14:textId="77777777" w:rsidR="002A4DDF" w:rsidRPr="00937C8B" w:rsidRDefault="002A4DDF" w:rsidP="009110ED">
            <w:pPr>
              <w:rPr>
                <w:rFonts w:ascii="Arial" w:hAnsi="Arial" w:cs="Arial"/>
                <w:sz w:val="12"/>
                <w:szCs w:val="12"/>
              </w:rPr>
            </w:pPr>
          </w:p>
        </w:tc>
        <w:tc>
          <w:tcPr>
            <w:tcW w:w="2268" w:type="dxa"/>
            <w:shd w:val="clear" w:color="auto" w:fill="F2F2F2"/>
            <w:hideMark/>
          </w:tcPr>
          <w:p w14:paraId="12533AED" w14:textId="77777777" w:rsidR="002A4DDF" w:rsidRPr="00937C8B" w:rsidRDefault="002A4DDF" w:rsidP="009110ED">
            <w:pPr>
              <w:rPr>
                <w:rFonts w:ascii="Arial" w:hAnsi="Arial" w:cs="Arial"/>
                <w:sz w:val="12"/>
                <w:szCs w:val="12"/>
              </w:rPr>
            </w:pPr>
            <w:r>
              <w:rPr>
                <w:rFonts w:ascii="Arial" w:hAnsi="Arial"/>
                <w:sz w:val="12"/>
                <w:szCs w:val="12"/>
              </w:rPr>
              <w:t>Moreruela de los Infanzones</w:t>
            </w:r>
          </w:p>
        </w:tc>
        <w:tc>
          <w:tcPr>
            <w:tcW w:w="2268" w:type="dxa"/>
            <w:tcBorders>
              <w:right w:val="single" w:sz="4" w:space="0" w:color="auto"/>
            </w:tcBorders>
            <w:shd w:val="clear" w:color="auto" w:fill="D9D9D9"/>
            <w:hideMark/>
          </w:tcPr>
          <w:p w14:paraId="1E0843E2" w14:textId="77777777" w:rsidR="002A4DDF" w:rsidRPr="00937C8B" w:rsidRDefault="002A4DDF" w:rsidP="009110ED">
            <w:pPr>
              <w:rPr>
                <w:rFonts w:ascii="Arial" w:hAnsi="Arial" w:cs="Arial"/>
                <w:sz w:val="12"/>
                <w:szCs w:val="12"/>
              </w:rPr>
            </w:pPr>
          </w:p>
        </w:tc>
      </w:tr>
      <w:tr w:rsidR="002A4DDF" w:rsidRPr="00937C8B" w14:paraId="29A27BBC" w14:textId="77777777" w:rsidTr="00935676">
        <w:trPr>
          <w:cantSplit/>
        </w:trPr>
        <w:tc>
          <w:tcPr>
            <w:tcW w:w="1696" w:type="dxa"/>
            <w:tcBorders>
              <w:left w:val="single" w:sz="4" w:space="0" w:color="auto"/>
            </w:tcBorders>
            <w:shd w:val="clear" w:color="auto" w:fill="auto"/>
          </w:tcPr>
          <w:p w14:paraId="0F6D689B" w14:textId="77777777" w:rsidR="002A4DDF" w:rsidRPr="00937C8B" w:rsidRDefault="002A4DDF" w:rsidP="009110ED">
            <w:pPr>
              <w:rPr>
                <w:rFonts w:ascii="Arial" w:hAnsi="Arial" w:cs="Arial"/>
                <w:sz w:val="12"/>
                <w:szCs w:val="12"/>
              </w:rPr>
            </w:pPr>
          </w:p>
        </w:tc>
        <w:tc>
          <w:tcPr>
            <w:tcW w:w="1843" w:type="dxa"/>
            <w:shd w:val="clear" w:color="auto" w:fill="auto"/>
          </w:tcPr>
          <w:p w14:paraId="7352B40F" w14:textId="77777777" w:rsidR="002A4DDF" w:rsidRPr="00937C8B" w:rsidRDefault="002A4DDF" w:rsidP="009110ED">
            <w:pPr>
              <w:rPr>
                <w:rFonts w:ascii="Arial" w:hAnsi="Arial" w:cs="Arial"/>
                <w:sz w:val="12"/>
                <w:szCs w:val="12"/>
              </w:rPr>
            </w:pPr>
          </w:p>
        </w:tc>
        <w:tc>
          <w:tcPr>
            <w:tcW w:w="2268" w:type="dxa"/>
            <w:shd w:val="clear" w:color="auto" w:fill="F2F2F2"/>
            <w:hideMark/>
          </w:tcPr>
          <w:p w14:paraId="46D294AA" w14:textId="77777777" w:rsidR="002A4DDF" w:rsidRPr="00937C8B" w:rsidRDefault="002A4DDF" w:rsidP="009110ED">
            <w:pPr>
              <w:rPr>
                <w:rFonts w:ascii="Arial" w:hAnsi="Arial" w:cs="Arial"/>
                <w:sz w:val="12"/>
                <w:szCs w:val="12"/>
              </w:rPr>
            </w:pPr>
            <w:r>
              <w:rPr>
                <w:rFonts w:ascii="Arial" w:hAnsi="Arial"/>
                <w:sz w:val="12"/>
                <w:szCs w:val="12"/>
              </w:rPr>
              <w:t>Moreruela de Tábara</w:t>
            </w:r>
          </w:p>
        </w:tc>
        <w:tc>
          <w:tcPr>
            <w:tcW w:w="2268" w:type="dxa"/>
            <w:tcBorders>
              <w:right w:val="single" w:sz="4" w:space="0" w:color="auto"/>
            </w:tcBorders>
            <w:shd w:val="clear" w:color="auto" w:fill="D9D9D9"/>
            <w:hideMark/>
          </w:tcPr>
          <w:p w14:paraId="179E2948" w14:textId="77777777" w:rsidR="002A4DDF" w:rsidRPr="00937C8B" w:rsidRDefault="002A4DDF" w:rsidP="009110ED">
            <w:pPr>
              <w:rPr>
                <w:rFonts w:ascii="Arial" w:hAnsi="Arial" w:cs="Arial"/>
                <w:sz w:val="12"/>
                <w:szCs w:val="12"/>
              </w:rPr>
            </w:pPr>
          </w:p>
        </w:tc>
      </w:tr>
      <w:tr w:rsidR="002A4DDF" w:rsidRPr="00937C8B" w14:paraId="1310AA83" w14:textId="77777777" w:rsidTr="00935676">
        <w:trPr>
          <w:cantSplit/>
        </w:trPr>
        <w:tc>
          <w:tcPr>
            <w:tcW w:w="1696" w:type="dxa"/>
            <w:tcBorders>
              <w:left w:val="single" w:sz="4" w:space="0" w:color="auto"/>
            </w:tcBorders>
            <w:shd w:val="clear" w:color="auto" w:fill="auto"/>
          </w:tcPr>
          <w:p w14:paraId="5971A733" w14:textId="77777777" w:rsidR="002A4DDF" w:rsidRPr="00937C8B" w:rsidRDefault="002A4DDF" w:rsidP="009110ED">
            <w:pPr>
              <w:rPr>
                <w:rFonts w:ascii="Arial" w:hAnsi="Arial" w:cs="Arial"/>
                <w:sz w:val="12"/>
                <w:szCs w:val="12"/>
              </w:rPr>
            </w:pPr>
          </w:p>
        </w:tc>
        <w:tc>
          <w:tcPr>
            <w:tcW w:w="1843" w:type="dxa"/>
            <w:shd w:val="clear" w:color="auto" w:fill="auto"/>
          </w:tcPr>
          <w:p w14:paraId="78282970" w14:textId="77777777" w:rsidR="002A4DDF" w:rsidRPr="00937C8B" w:rsidRDefault="002A4DDF" w:rsidP="009110ED">
            <w:pPr>
              <w:rPr>
                <w:rFonts w:ascii="Arial" w:hAnsi="Arial" w:cs="Arial"/>
                <w:sz w:val="12"/>
                <w:szCs w:val="12"/>
              </w:rPr>
            </w:pPr>
          </w:p>
        </w:tc>
        <w:tc>
          <w:tcPr>
            <w:tcW w:w="2268" w:type="dxa"/>
            <w:shd w:val="clear" w:color="auto" w:fill="F2F2F2"/>
            <w:hideMark/>
          </w:tcPr>
          <w:p w14:paraId="37CAACB1" w14:textId="77777777" w:rsidR="002A4DDF" w:rsidRPr="00937C8B" w:rsidRDefault="002A4DDF" w:rsidP="009110ED">
            <w:pPr>
              <w:rPr>
                <w:rFonts w:ascii="Arial" w:hAnsi="Arial" w:cs="Arial"/>
                <w:sz w:val="12"/>
                <w:szCs w:val="12"/>
              </w:rPr>
            </w:pPr>
            <w:r>
              <w:rPr>
                <w:rFonts w:ascii="Arial" w:hAnsi="Arial"/>
                <w:sz w:val="12"/>
                <w:szCs w:val="12"/>
              </w:rPr>
              <w:t>Navianos de Valverde</w:t>
            </w:r>
          </w:p>
        </w:tc>
        <w:tc>
          <w:tcPr>
            <w:tcW w:w="2268" w:type="dxa"/>
            <w:tcBorders>
              <w:right w:val="single" w:sz="4" w:space="0" w:color="auto"/>
            </w:tcBorders>
            <w:shd w:val="clear" w:color="auto" w:fill="D9D9D9"/>
            <w:hideMark/>
          </w:tcPr>
          <w:p w14:paraId="754FD7A4" w14:textId="77777777" w:rsidR="002A4DDF" w:rsidRPr="00937C8B" w:rsidRDefault="002A4DDF" w:rsidP="009110ED">
            <w:pPr>
              <w:rPr>
                <w:rFonts w:ascii="Arial" w:hAnsi="Arial" w:cs="Arial"/>
                <w:sz w:val="12"/>
                <w:szCs w:val="12"/>
              </w:rPr>
            </w:pPr>
          </w:p>
        </w:tc>
      </w:tr>
      <w:tr w:rsidR="002A4DDF" w:rsidRPr="00937C8B" w14:paraId="484D3972" w14:textId="77777777" w:rsidTr="00935676">
        <w:trPr>
          <w:cantSplit/>
        </w:trPr>
        <w:tc>
          <w:tcPr>
            <w:tcW w:w="1696" w:type="dxa"/>
            <w:tcBorders>
              <w:left w:val="single" w:sz="4" w:space="0" w:color="auto"/>
            </w:tcBorders>
            <w:shd w:val="clear" w:color="auto" w:fill="auto"/>
          </w:tcPr>
          <w:p w14:paraId="016A27DB" w14:textId="77777777" w:rsidR="002A4DDF" w:rsidRPr="00937C8B" w:rsidRDefault="002A4DDF" w:rsidP="009110ED">
            <w:pPr>
              <w:rPr>
                <w:rFonts w:ascii="Arial" w:hAnsi="Arial" w:cs="Arial"/>
                <w:sz w:val="12"/>
                <w:szCs w:val="12"/>
              </w:rPr>
            </w:pPr>
          </w:p>
        </w:tc>
        <w:tc>
          <w:tcPr>
            <w:tcW w:w="1843" w:type="dxa"/>
            <w:shd w:val="clear" w:color="auto" w:fill="auto"/>
          </w:tcPr>
          <w:p w14:paraId="60879BE1" w14:textId="77777777" w:rsidR="002A4DDF" w:rsidRPr="00937C8B" w:rsidRDefault="002A4DDF" w:rsidP="009110ED">
            <w:pPr>
              <w:rPr>
                <w:rFonts w:ascii="Arial" w:hAnsi="Arial" w:cs="Arial"/>
                <w:sz w:val="12"/>
                <w:szCs w:val="12"/>
              </w:rPr>
            </w:pPr>
          </w:p>
        </w:tc>
        <w:tc>
          <w:tcPr>
            <w:tcW w:w="2268" w:type="dxa"/>
            <w:shd w:val="clear" w:color="auto" w:fill="F2F2F2"/>
            <w:hideMark/>
          </w:tcPr>
          <w:p w14:paraId="4D73DDBB" w14:textId="77777777" w:rsidR="002A4DDF" w:rsidRPr="00937C8B" w:rsidRDefault="002A4DDF" w:rsidP="009110ED">
            <w:pPr>
              <w:rPr>
                <w:rFonts w:ascii="Arial" w:hAnsi="Arial" w:cs="Arial"/>
                <w:sz w:val="12"/>
                <w:szCs w:val="12"/>
              </w:rPr>
            </w:pPr>
            <w:r>
              <w:rPr>
                <w:rFonts w:ascii="Arial" w:hAnsi="Arial"/>
                <w:sz w:val="12"/>
                <w:szCs w:val="12"/>
              </w:rPr>
              <w:t>Olmillos de Castro</w:t>
            </w:r>
          </w:p>
        </w:tc>
        <w:tc>
          <w:tcPr>
            <w:tcW w:w="2268" w:type="dxa"/>
            <w:tcBorders>
              <w:right w:val="single" w:sz="4" w:space="0" w:color="auto"/>
            </w:tcBorders>
            <w:shd w:val="clear" w:color="auto" w:fill="D9D9D9"/>
            <w:hideMark/>
          </w:tcPr>
          <w:p w14:paraId="710E2FD0" w14:textId="77777777" w:rsidR="002A4DDF" w:rsidRPr="00937C8B" w:rsidRDefault="002A4DDF" w:rsidP="009110ED">
            <w:pPr>
              <w:rPr>
                <w:rFonts w:ascii="Arial" w:hAnsi="Arial" w:cs="Arial"/>
                <w:sz w:val="12"/>
                <w:szCs w:val="12"/>
              </w:rPr>
            </w:pPr>
          </w:p>
        </w:tc>
      </w:tr>
      <w:tr w:rsidR="002A4DDF" w:rsidRPr="00937C8B" w14:paraId="5FD27219" w14:textId="77777777" w:rsidTr="00935676">
        <w:trPr>
          <w:cantSplit/>
        </w:trPr>
        <w:tc>
          <w:tcPr>
            <w:tcW w:w="1696" w:type="dxa"/>
            <w:tcBorders>
              <w:left w:val="single" w:sz="4" w:space="0" w:color="auto"/>
            </w:tcBorders>
            <w:shd w:val="clear" w:color="auto" w:fill="auto"/>
          </w:tcPr>
          <w:p w14:paraId="55A1A00E" w14:textId="77777777" w:rsidR="002A4DDF" w:rsidRPr="00937C8B" w:rsidRDefault="002A4DDF" w:rsidP="009110ED">
            <w:pPr>
              <w:rPr>
                <w:rFonts w:ascii="Arial" w:hAnsi="Arial" w:cs="Arial"/>
                <w:sz w:val="12"/>
                <w:szCs w:val="12"/>
              </w:rPr>
            </w:pPr>
          </w:p>
        </w:tc>
        <w:tc>
          <w:tcPr>
            <w:tcW w:w="1843" w:type="dxa"/>
            <w:shd w:val="clear" w:color="auto" w:fill="auto"/>
          </w:tcPr>
          <w:p w14:paraId="34862A87" w14:textId="77777777" w:rsidR="002A4DDF" w:rsidRPr="00937C8B" w:rsidRDefault="002A4DDF" w:rsidP="009110ED">
            <w:pPr>
              <w:rPr>
                <w:rFonts w:ascii="Arial" w:hAnsi="Arial" w:cs="Arial"/>
                <w:sz w:val="12"/>
                <w:szCs w:val="12"/>
              </w:rPr>
            </w:pPr>
          </w:p>
        </w:tc>
        <w:tc>
          <w:tcPr>
            <w:tcW w:w="2268" w:type="dxa"/>
            <w:shd w:val="clear" w:color="auto" w:fill="F2F2F2"/>
            <w:hideMark/>
          </w:tcPr>
          <w:p w14:paraId="1A1A5709" w14:textId="77777777" w:rsidR="002A4DDF" w:rsidRPr="00937C8B" w:rsidRDefault="002A4DDF" w:rsidP="009110ED">
            <w:pPr>
              <w:rPr>
                <w:rFonts w:ascii="Arial" w:hAnsi="Arial" w:cs="Arial"/>
                <w:sz w:val="12"/>
                <w:szCs w:val="12"/>
              </w:rPr>
            </w:pPr>
            <w:r>
              <w:rPr>
                <w:rFonts w:ascii="Arial" w:hAnsi="Arial"/>
                <w:sz w:val="12"/>
                <w:szCs w:val="12"/>
              </w:rPr>
              <w:t>Pajares de la Lampreana</w:t>
            </w:r>
          </w:p>
        </w:tc>
        <w:tc>
          <w:tcPr>
            <w:tcW w:w="2268" w:type="dxa"/>
            <w:tcBorders>
              <w:right w:val="single" w:sz="4" w:space="0" w:color="auto"/>
            </w:tcBorders>
            <w:shd w:val="clear" w:color="auto" w:fill="D9D9D9"/>
            <w:hideMark/>
          </w:tcPr>
          <w:p w14:paraId="7F89AD83" w14:textId="77777777" w:rsidR="002A4DDF" w:rsidRPr="00937C8B" w:rsidRDefault="002A4DDF" w:rsidP="009110ED">
            <w:pPr>
              <w:rPr>
                <w:rFonts w:ascii="Arial" w:hAnsi="Arial" w:cs="Arial"/>
                <w:sz w:val="12"/>
                <w:szCs w:val="12"/>
              </w:rPr>
            </w:pPr>
          </w:p>
        </w:tc>
      </w:tr>
      <w:tr w:rsidR="002A4DDF" w:rsidRPr="00937C8B" w14:paraId="5EA93D29" w14:textId="77777777" w:rsidTr="00935676">
        <w:trPr>
          <w:cantSplit/>
        </w:trPr>
        <w:tc>
          <w:tcPr>
            <w:tcW w:w="1696" w:type="dxa"/>
            <w:tcBorders>
              <w:left w:val="single" w:sz="4" w:space="0" w:color="auto"/>
            </w:tcBorders>
            <w:shd w:val="clear" w:color="auto" w:fill="auto"/>
          </w:tcPr>
          <w:p w14:paraId="27701E7F" w14:textId="77777777" w:rsidR="002A4DDF" w:rsidRPr="00937C8B" w:rsidRDefault="002A4DDF" w:rsidP="009110ED">
            <w:pPr>
              <w:rPr>
                <w:rFonts w:ascii="Arial" w:hAnsi="Arial" w:cs="Arial"/>
                <w:sz w:val="12"/>
                <w:szCs w:val="12"/>
              </w:rPr>
            </w:pPr>
          </w:p>
        </w:tc>
        <w:tc>
          <w:tcPr>
            <w:tcW w:w="1843" w:type="dxa"/>
            <w:shd w:val="clear" w:color="auto" w:fill="auto"/>
          </w:tcPr>
          <w:p w14:paraId="134EB9D1" w14:textId="77777777" w:rsidR="002A4DDF" w:rsidRPr="00937C8B" w:rsidRDefault="002A4DDF" w:rsidP="009110ED">
            <w:pPr>
              <w:rPr>
                <w:rFonts w:ascii="Arial" w:hAnsi="Arial" w:cs="Arial"/>
                <w:sz w:val="12"/>
                <w:szCs w:val="12"/>
              </w:rPr>
            </w:pPr>
          </w:p>
        </w:tc>
        <w:tc>
          <w:tcPr>
            <w:tcW w:w="2268" w:type="dxa"/>
            <w:shd w:val="clear" w:color="auto" w:fill="F2F2F2"/>
            <w:hideMark/>
          </w:tcPr>
          <w:p w14:paraId="4E3B4BEF" w14:textId="77777777" w:rsidR="002A4DDF" w:rsidRPr="00937C8B" w:rsidRDefault="002A4DDF" w:rsidP="009110ED">
            <w:pPr>
              <w:rPr>
                <w:rFonts w:ascii="Arial" w:hAnsi="Arial" w:cs="Arial"/>
                <w:sz w:val="12"/>
                <w:szCs w:val="12"/>
              </w:rPr>
            </w:pPr>
            <w:r>
              <w:rPr>
                <w:rFonts w:ascii="Arial" w:hAnsi="Arial"/>
                <w:sz w:val="12"/>
                <w:szCs w:val="12"/>
              </w:rPr>
              <w:t>Palacios del Pan</w:t>
            </w:r>
          </w:p>
        </w:tc>
        <w:tc>
          <w:tcPr>
            <w:tcW w:w="2268" w:type="dxa"/>
            <w:tcBorders>
              <w:right w:val="single" w:sz="4" w:space="0" w:color="auto"/>
            </w:tcBorders>
            <w:shd w:val="clear" w:color="auto" w:fill="D9D9D9"/>
            <w:hideMark/>
          </w:tcPr>
          <w:p w14:paraId="53DCF4D4" w14:textId="77777777" w:rsidR="002A4DDF" w:rsidRPr="00937C8B" w:rsidRDefault="002A4DDF" w:rsidP="009110ED">
            <w:pPr>
              <w:rPr>
                <w:rFonts w:ascii="Arial" w:hAnsi="Arial" w:cs="Arial"/>
                <w:sz w:val="12"/>
                <w:szCs w:val="12"/>
              </w:rPr>
            </w:pPr>
          </w:p>
        </w:tc>
      </w:tr>
      <w:tr w:rsidR="002A4DDF" w:rsidRPr="00937C8B" w14:paraId="5AA5D0DC" w14:textId="77777777" w:rsidTr="00935676">
        <w:trPr>
          <w:cantSplit/>
        </w:trPr>
        <w:tc>
          <w:tcPr>
            <w:tcW w:w="1696" w:type="dxa"/>
            <w:tcBorders>
              <w:left w:val="single" w:sz="4" w:space="0" w:color="auto"/>
            </w:tcBorders>
            <w:shd w:val="clear" w:color="auto" w:fill="auto"/>
          </w:tcPr>
          <w:p w14:paraId="1D9C2710" w14:textId="77777777" w:rsidR="002A4DDF" w:rsidRPr="00937C8B" w:rsidRDefault="002A4DDF" w:rsidP="009110ED">
            <w:pPr>
              <w:rPr>
                <w:rFonts w:ascii="Arial" w:hAnsi="Arial" w:cs="Arial"/>
                <w:sz w:val="12"/>
                <w:szCs w:val="12"/>
              </w:rPr>
            </w:pPr>
          </w:p>
        </w:tc>
        <w:tc>
          <w:tcPr>
            <w:tcW w:w="1843" w:type="dxa"/>
            <w:shd w:val="clear" w:color="auto" w:fill="auto"/>
          </w:tcPr>
          <w:p w14:paraId="0A934A23" w14:textId="77777777" w:rsidR="002A4DDF" w:rsidRPr="00937C8B" w:rsidRDefault="002A4DDF" w:rsidP="009110ED">
            <w:pPr>
              <w:rPr>
                <w:rFonts w:ascii="Arial" w:hAnsi="Arial" w:cs="Arial"/>
                <w:sz w:val="12"/>
                <w:szCs w:val="12"/>
              </w:rPr>
            </w:pPr>
          </w:p>
        </w:tc>
        <w:tc>
          <w:tcPr>
            <w:tcW w:w="2268" w:type="dxa"/>
            <w:shd w:val="clear" w:color="auto" w:fill="F2F2F2"/>
            <w:hideMark/>
          </w:tcPr>
          <w:p w14:paraId="4F8FD277" w14:textId="77777777" w:rsidR="002A4DDF" w:rsidRPr="00937C8B" w:rsidRDefault="002A4DDF" w:rsidP="009110ED">
            <w:pPr>
              <w:rPr>
                <w:rFonts w:ascii="Arial" w:hAnsi="Arial" w:cs="Arial"/>
                <w:sz w:val="12"/>
                <w:szCs w:val="12"/>
              </w:rPr>
            </w:pPr>
            <w:r>
              <w:rPr>
                <w:rFonts w:ascii="Arial" w:hAnsi="Arial"/>
                <w:sz w:val="12"/>
                <w:szCs w:val="12"/>
              </w:rPr>
              <w:t>Peleagonzalo</w:t>
            </w:r>
          </w:p>
        </w:tc>
        <w:tc>
          <w:tcPr>
            <w:tcW w:w="2268" w:type="dxa"/>
            <w:tcBorders>
              <w:right w:val="single" w:sz="4" w:space="0" w:color="auto"/>
            </w:tcBorders>
            <w:shd w:val="clear" w:color="auto" w:fill="D9D9D9"/>
            <w:hideMark/>
          </w:tcPr>
          <w:p w14:paraId="5B8A1072" w14:textId="77777777" w:rsidR="002A4DDF" w:rsidRPr="00937C8B" w:rsidRDefault="002A4DDF" w:rsidP="009110ED">
            <w:pPr>
              <w:rPr>
                <w:rFonts w:ascii="Arial" w:hAnsi="Arial" w:cs="Arial"/>
                <w:sz w:val="12"/>
                <w:szCs w:val="12"/>
              </w:rPr>
            </w:pPr>
          </w:p>
        </w:tc>
      </w:tr>
      <w:tr w:rsidR="002A4DDF" w:rsidRPr="00937C8B" w14:paraId="764F2B31" w14:textId="77777777" w:rsidTr="00935676">
        <w:trPr>
          <w:cantSplit/>
        </w:trPr>
        <w:tc>
          <w:tcPr>
            <w:tcW w:w="1696" w:type="dxa"/>
            <w:tcBorders>
              <w:left w:val="single" w:sz="4" w:space="0" w:color="auto"/>
            </w:tcBorders>
            <w:shd w:val="clear" w:color="auto" w:fill="auto"/>
          </w:tcPr>
          <w:p w14:paraId="264A73E5" w14:textId="77777777" w:rsidR="002A4DDF" w:rsidRPr="00937C8B" w:rsidRDefault="002A4DDF" w:rsidP="009110ED">
            <w:pPr>
              <w:rPr>
                <w:rFonts w:ascii="Arial" w:hAnsi="Arial" w:cs="Arial"/>
                <w:sz w:val="12"/>
                <w:szCs w:val="12"/>
              </w:rPr>
            </w:pPr>
          </w:p>
        </w:tc>
        <w:tc>
          <w:tcPr>
            <w:tcW w:w="1843" w:type="dxa"/>
            <w:shd w:val="clear" w:color="auto" w:fill="auto"/>
          </w:tcPr>
          <w:p w14:paraId="114CE838" w14:textId="77777777" w:rsidR="002A4DDF" w:rsidRPr="00937C8B" w:rsidRDefault="002A4DDF" w:rsidP="009110ED">
            <w:pPr>
              <w:rPr>
                <w:rFonts w:ascii="Arial" w:hAnsi="Arial" w:cs="Arial"/>
                <w:sz w:val="12"/>
                <w:szCs w:val="12"/>
              </w:rPr>
            </w:pPr>
          </w:p>
        </w:tc>
        <w:tc>
          <w:tcPr>
            <w:tcW w:w="2268" w:type="dxa"/>
            <w:shd w:val="clear" w:color="auto" w:fill="F2F2F2"/>
            <w:hideMark/>
          </w:tcPr>
          <w:p w14:paraId="4E755F85" w14:textId="77777777" w:rsidR="002A4DDF" w:rsidRPr="00937C8B" w:rsidRDefault="002A4DDF" w:rsidP="009110ED">
            <w:pPr>
              <w:rPr>
                <w:rFonts w:ascii="Arial" w:hAnsi="Arial" w:cs="Arial"/>
                <w:sz w:val="12"/>
                <w:szCs w:val="12"/>
              </w:rPr>
            </w:pPr>
            <w:r>
              <w:rPr>
                <w:rFonts w:ascii="Arial" w:hAnsi="Arial"/>
                <w:sz w:val="12"/>
                <w:szCs w:val="12"/>
              </w:rPr>
              <w:t>Peleas de Abajo</w:t>
            </w:r>
          </w:p>
        </w:tc>
        <w:tc>
          <w:tcPr>
            <w:tcW w:w="2268" w:type="dxa"/>
            <w:tcBorders>
              <w:right w:val="single" w:sz="4" w:space="0" w:color="auto"/>
            </w:tcBorders>
            <w:shd w:val="clear" w:color="auto" w:fill="D9D9D9"/>
            <w:hideMark/>
          </w:tcPr>
          <w:p w14:paraId="07DE4D7B" w14:textId="77777777" w:rsidR="002A4DDF" w:rsidRPr="00937C8B" w:rsidRDefault="002A4DDF" w:rsidP="009110ED">
            <w:pPr>
              <w:rPr>
                <w:rFonts w:ascii="Arial" w:hAnsi="Arial" w:cs="Arial"/>
                <w:sz w:val="12"/>
                <w:szCs w:val="12"/>
              </w:rPr>
            </w:pPr>
          </w:p>
        </w:tc>
      </w:tr>
      <w:tr w:rsidR="002A4DDF" w:rsidRPr="00937C8B" w14:paraId="60E423F0" w14:textId="77777777" w:rsidTr="00935676">
        <w:trPr>
          <w:cantSplit/>
        </w:trPr>
        <w:tc>
          <w:tcPr>
            <w:tcW w:w="1696" w:type="dxa"/>
            <w:tcBorders>
              <w:left w:val="single" w:sz="4" w:space="0" w:color="auto"/>
            </w:tcBorders>
            <w:shd w:val="clear" w:color="auto" w:fill="auto"/>
          </w:tcPr>
          <w:p w14:paraId="5638E9E4" w14:textId="77777777" w:rsidR="002A4DDF" w:rsidRPr="00937C8B" w:rsidRDefault="002A4DDF" w:rsidP="009110ED">
            <w:pPr>
              <w:rPr>
                <w:rFonts w:ascii="Arial" w:hAnsi="Arial" w:cs="Arial"/>
                <w:sz w:val="12"/>
                <w:szCs w:val="12"/>
              </w:rPr>
            </w:pPr>
          </w:p>
        </w:tc>
        <w:tc>
          <w:tcPr>
            <w:tcW w:w="1843" w:type="dxa"/>
            <w:shd w:val="clear" w:color="auto" w:fill="auto"/>
          </w:tcPr>
          <w:p w14:paraId="6071A9AA" w14:textId="77777777" w:rsidR="002A4DDF" w:rsidRPr="00937C8B" w:rsidRDefault="002A4DDF" w:rsidP="009110ED">
            <w:pPr>
              <w:rPr>
                <w:rFonts w:ascii="Arial" w:hAnsi="Arial" w:cs="Arial"/>
                <w:sz w:val="12"/>
                <w:szCs w:val="12"/>
              </w:rPr>
            </w:pPr>
          </w:p>
        </w:tc>
        <w:tc>
          <w:tcPr>
            <w:tcW w:w="2268" w:type="dxa"/>
            <w:shd w:val="clear" w:color="auto" w:fill="F2F2F2"/>
            <w:hideMark/>
          </w:tcPr>
          <w:p w14:paraId="0386D6CC" w14:textId="77777777" w:rsidR="002A4DDF" w:rsidRPr="00937C8B" w:rsidRDefault="002A4DDF" w:rsidP="009110ED">
            <w:pPr>
              <w:rPr>
                <w:rFonts w:ascii="Arial" w:hAnsi="Arial" w:cs="Arial"/>
                <w:sz w:val="12"/>
                <w:szCs w:val="12"/>
              </w:rPr>
            </w:pPr>
            <w:r>
              <w:rPr>
                <w:rFonts w:ascii="Arial" w:hAnsi="Arial"/>
                <w:sz w:val="12"/>
                <w:szCs w:val="12"/>
              </w:rPr>
              <w:t>Peque</w:t>
            </w:r>
          </w:p>
        </w:tc>
        <w:tc>
          <w:tcPr>
            <w:tcW w:w="2268" w:type="dxa"/>
            <w:tcBorders>
              <w:right w:val="single" w:sz="4" w:space="0" w:color="auto"/>
            </w:tcBorders>
            <w:shd w:val="clear" w:color="auto" w:fill="D9D9D9"/>
            <w:hideMark/>
          </w:tcPr>
          <w:p w14:paraId="66EB0322" w14:textId="77777777" w:rsidR="002A4DDF" w:rsidRPr="00937C8B" w:rsidRDefault="002A4DDF" w:rsidP="009110ED">
            <w:pPr>
              <w:rPr>
                <w:rFonts w:ascii="Arial" w:hAnsi="Arial" w:cs="Arial"/>
                <w:sz w:val="12"/>
                <w:szCs w:val="12"/>
              </w:rPr>
            </w:pPr>
          </w:p>
        </w:tc>
      </w:tr>
      <w:tr w:rsidR="002A4DDF" w:rsidRPr="00937C8B" w14:paraId="2E21C0F8" w14:textId="77777777" w:rsidTr="00935676">
        <w:trPr>
          <w:cantSplit/>
        </w:trPr>
        <w:tc>
          <w:tcPr>
            <w:tcW w:w="1696" w:type="dxa"/>
            <w:tcBorders>
              <w:left w:val="single" w:sz="4" w:space="0" w:color="auto"/>
            </w:tcBorders>
            <w:shd w:val="clear" w:color="auto" w:fill="auto"/>
          </w:tcPr>
          <w:p w14:paraId="2B43A04E" w14:textId="77777777" w:rsidR="002A4DDF" w:rsidRPr="00937C8B" w:rsidRDefault="002A4DDF" w:rsidP="009110ED">
            <w:pPr>
              <w:rPr>
                <w:rFonts w:ascii="Arial" w:hAnsi="Arial" w:cs="Arial"/>
                <w:sz w:val="12"/>
                <w:szCs w:val="12"/>
              </w:rPr>
            </w:pPr>
          </w:p>
        </w:tc>
        <w:tc>
          <w:tcPr>
            <w:tcW w:w="1843" w:type="dxa"/>
            <w:shd w:val="clear" w:color="auto" w:fill="auto"/>
          </w:tcPr>
          <w:p w14:paraId="5C699C50" w14:textId="77777777" w:rsidR="002A4DDF" w:rsidRPr="00937C8B" w:rsidRDefault="002A4DDF" w:rsidP="009110ED">
            <w:pPr>
              <w:rPr>
                <w:rFonts w:ascii="Arial" w:hAnsi="Arial" w:cs="Arial"/>
                <w:sz w:val="12"/>
                <w:szCs w:val="12"/>
              </w:rPr>
            </w:pPr>
          </w:p>
        </w:tc>
        <w:tc>
          <w:tcPr>
            <w:tcW w:w="2268" w:type="dxa"/>
            <w:shd w:val="clear" w:color="auto" w:fill="F2F2F2"/>
            <w:hideMark/>
          </w:tcPr>
          <w:p w14:paraId="5A9E89F2" w14:textId="77777777" w:rsidR="002A4DDF" w:rsidRPr="00937C8B" w:rsidRDefault="002A4DDF" w:rsidP="009110ED">
            <w:pPr>
              <w:rPr>
                <w:rFonts w:ascii="Arial" w:hAnsi="Arial" w:cs="Arial"/>
                <w:sz w:val="12"/>
                <w:szCs w:val="12"/>
              </w:rPr>
            </w:pPr>
            <w:r>
              <w:rPr>
                <w:rFonts w:ascii="Arial" w:hAnsi="Arial"/>
                <w:sz w:val="12"/>
                <w:szCs w:val="12"/>
              </w:rPr>
              <w:t>Perilla de Castro</w:t>
            </w:r>
          </w:p>
        </w:tc>
        <w:tc>
          <w:tcPr>
            <w:tcW w:w="2268" w:type="dxa"/>
            <w:tcBorders>
              <w:right w:val="single" w:sz="4" w:space="0" w:color="auto"/>
            </w:tcBorders>
            <w:shd w:val="clear" w:color="auto" w:fill="D9D9D9"/>
            <w:hideMark/>
          </w:tcPr>
          <w:p w14:paraId="0F1EDD70" w14:textId="77777777" w:rsidR="002A4DDF" w:rsidRPr="00937C8B" w:rsidRDefault="002A4DDF" w:rsidP="009110ED">
            <w:pPr>
              <w:rPr>
                <w:rFonts w:ascii="Arial" w:hAnsi="Arial" w:cs="Arial"/>
                <w:sz w:val="12"/>
                <w:szCs w:val="12"/>
              </w:rPr>
            </w:pPr>
          </w:p>
        </w:tc>
      </w:tr>
      <w:tr w:rsidR="002A4DDF" w:rsidRPr="00937C8B" w14:paraId="3597B221" w14:textId="77777777" w:rsidTr="00935676">
        <w:trPr>
          <w:cantSplit/>
        </w:trPr>
        <w:tc>
          <w:tcPr>
            <w:tcW w:w="1696" w:type="dxa"/>
            <w:tcBorders>
              <w:left w:val="single" w:sz="4" w:space="0" w:color="auto"/>
            </w:tcBorders>
            <w:shd w:val="clear" w:color="auto" w:fill="auto"/>
          </w:tcPr>
          <w:p w14:paraId="5FF4B52C" w14:textId="77777777" w:rsidR="002A4DDF" w:rsidRPr="00937C8B" w:rsidRDefault="002A4DDF" w:rsidP="009110ED">
            <w:pPr>
              <w:rPr>
                <w:rFonts w:ascii="Arial" w:hAnsi="Arial" w:cs="Arial"/>
                <w:sz w:val="12"/>
                <w:szCs w:val="12"/>
              </w:rPr>
            </w:pPr>
          </w:p>
        </w:tc>
        <w:tc>
          <w:tcPr>
            <w:tcW w:w="1843" w:type="dxa"/>
            <w:shd w:val="clear" w:color="auto" w:fill="auto"/>
          </w:tcPr>
          <w:p w14:paraId="49D732F9" w14:textId="77777777" w:rsidR="002A4DDF" w:rsidRPr="00937C8B" w:rsidRDefault="002A4DDF" w:rsidP="009110ED">
            <w:pPr>
              <w:rPr>
                <w:rFonts w:ascii="Arial" w:hAnsi="Arial" w:cs="Arial"/>
                <w:sz w:val="12"/>
                <w:szCs w:val="12"/>
              </w:rPr>
            </w:pPr>
          </w:p>
        </w:tc>
        <w:tc>
          <w:tcPr>
            <w:tcW w:w="2268" w:type="dxa"/>
            <w:shd w:val="clear" w:color="auto" w:fill="F2F2F2"/>
            <w:hideMark/>
          </w:tcPr>
          <w:p w14:paraId="5FCB5A10" w14:textId="77777777" w:rsidR="002A4DDF" w:rsidRPr="00937C8B" w:rsidRDefault="002A4DDF" w:rsidP="009110ED">
            <w:pPr>
              <w:rPr>
                <w:rFonts w:ascii="Arial" w:hAnsi="Arial" w:cs="Arial"/>
                <w:sz w:val="12"/>
                <w:szCs w:val="12"/>
              </w:rPr>
            </w:pPr>
            <w:r>
              <w:rPr>
                <w:rFonts w:ascii="Arial" w:hAnsi="Arial"/>
                <w:sz w:val="12"/>
                <w:szCs w:val="12"/>
              </w:rPr>
              <w:t>Piedrahita de Castro</w:t>
            </w:r>
          </w:p>
        </w:tc>
        <w:tc>
          <w:tcPr>
            <w:tcW w:w="2268" w:type="dxa"/>
            <w:tcBorders>
              <w:right w:val="single" w:sz="4" w:space="0" w:color="auto"/>
            </w:tcBorders>
            <w:shd w:val="clear" w:color="auto" w:fill="D9D9D9"/>
            <w:hideMark/>
          </w:tcPr>
          <w:p w14:paraId="174B0F53" w14:textId="77777777" w:rsidR="002A4DDF" w:rsidRPr="00937C8B" w:rsidRDefault="002A4DDF" w:rsidP="009110ED">
            <w:pPr>
              <w:rPr>
                <w:rFonts w:ascii="Arial" w:hAnsi="Arial" w:cs="Arial"/>
                <w:sz w:val="12"/>
                <w:szCs w:val="12"/>
              </w:rPr>
            </w:pPr>
          </w:p>
        </w:tc>
      </w:tr>
      <w:tr w:rsidR="002A4DDF" w:rsidRPr="00937C8B" w14:paraId="5A5B6E97" w14:textId="77777777" w:rsidTr="00935676">
        <w:trPr>
          <w:cantSplit/>
        </w:trPr>
        <w:tc>
          <w:tcPr>
            <w:tcW w:w="1696" w:type="dxa"/>
            <w:tcBorders>
              <w:left w:val="single" w:sz="4" w:space="0" w:color="auto"/>
            </w:tcBorders>
            <w:shd w:val="clear" w:color="auto" w:fill="auto"/>
          </w:tcPr>
          <w:p w14:paraId="179960B3" w14:textId="77777777" w:rsidR="002A4DDF" w:rsidRPr="00937C8B" w:rsidRDefault="002A4DDF" w:rsidP="009110ED">
            <w:pPr>
              <w:rPr>
                <w:rFonts w:ascii="Arial" w:hAnsi="Arial" w:cs="Arial"/>
                <w:sz w:val="12"/>
                <w:szCs w:val="12"/>
              </w:rPr>
            </w:pPr>
          </w:p>
        </w:tc>
        <w:tc>
          <w:tcPr>
            <w:tcW w:w="1843" w:type="dxa"/>
            <w:shd w:val="clear" w:color="auto" w:fill="auto"/>
          </w:tcPr>
          <w:p w14:paraId="721F7C28" w14:textId="77777777" w:rsidR="002A4DDF" w:rsidRPr="00937C8B" w:rsidRDefault="002A4DDF" w:rsidP="009110ED">
            <w:pPr>
              <w:rPr>
                <w:rFonts w:ascii="Arial" w:hAnsi="Arial" w:cs="Arial"/>
                <w:sz w:val="12"/>
                <w:szCs w:val="12"/>
              </w:rPr>
            </w:pPr>
          </w:p>
        </w:tc>
        <w:tc>
          <w:tcPr>
            <w:tcW w:w="2268" w:type="dxa"/>
            <w:shd w:val="clear" w:color="auto" w:fill="F2F2F2"/>
            <w:hideMark/>
          </w:tcPr>
          <w:p w14:paraId="3CEAEF29" w14:textId="77777777" w:rsidR="002A4DDF" w:rsidRPr="00937C8B" w:rsidRDefault="002A4DDF" w:rsidP="009110ED">
            <w:pPr>
              <w:rPr>
                <w:rFonts w:ascii="Arial" w:hAnsi="Arial" w:cs="Arial"/>
                <w:sz w:val="12"/>
                <w:szCs w:val="12"/>
              </w:rPr>
            </w:pPr>
            <w:r>
              <w:rPr>
                <w:rFonts w:ascii="Arial" w:hAnsi="Arial"/>
                <w:sz w:val="12"/>
                <w:szCs w:val="12"/>
              </w:rPr>
              <w:t>Pinilla de Toro</w:t>
            </w:r>
          </w:p>
        </w:tc>
        <w:tc>
          <w:tcPr>
            <w:tcW w:w="2268" w:type="dxa"/>
            <w:tcBorders>
              <w:right w:val="single" w:sz="4" w:space="0" w:color="auto"/>
            </w:tcBorders>
            <w:shd w:val="clear" w:color="auto" w:fill="D9D9D9"/>
            <w:hideMark/>
          </w:tcPr>
          <w:p w14:paraId="1BE5CFA3" w14:textId="77777777" w:rsidR="002A4DDF" w:rsidRPr="00937C8B" w:rsidRDefault="002A4DDF" w:rsidP="009110ED">
            <w:pPr>
              <w:rPr>
                <w:rFonts w:ascii="Arial" w:hAnsi="Arial" w:cs="Arial"/>
                <w:sz w:val="12"/>
                <w:szCs w:val="12"/>
              </w:rPr>
            </w:pPr>
          </w:p>
        </w:tc>
      </w:tr>
      <w:tr w:rsidR="002A4DDF" w:rsidRPr="00937C8B" w14:paraId="71CC0B7E" w14:textId="77777777" w:rsidTr="00935676">
        <w:trPr>
          <w:cantSplit/>
        </w:trPr>
        <w:tc>
          <w:tcPr>
            <w:tcW w:w="1696" w:type="dxa"/>
            <w:tcBorders>
              <w:left w:val="single" w:sz="4" w:space="0" w:color="auto"/>
            </w:tcBorders>
            <w:shd w:val="clear" w:color="auto" w:fill="auto"/>
          </w:tcPr>
          <w:p w14:paraId="00AE708C" w14:textId="77777777" w:rsidR="002A4DDF" w:rsidRPr="00937C8B" w:rsidRDefault="002A4DDF" w:rsidP="009110ED">
            <w:pPr>
              <w:rPr>
                <w:rFonts w:ascii="Arial" w:hAnsi="Arial" w:cs="Arial"/>
                <w:sz w:val="12"/>
                <w:szCs w:val="12"/>
              </w:rPr>
            </w:pPr>
          </w:p>
        </w:tc>
        <w:tc>
          <w:tcPr>
            <w:tcW w:w="1843" w:type="dxa"/>
            <w:shd w:val="clear" w:color="auto" w:fill="auto"/>
          </w:tcPr>
          <w:p w14:paraId="3F206E98" w14:textId="77777777" w:rsidR="002A4DDF" w:rsidRPr="00937C8B" w:rsidRDefault="002A4DDF" w:rsidP="009110ED">
            <w:pPr>
              <w:rPr>
                <w:rFonts w:ascii="Arial" w:hAnsi="Arial" w:cs="Arial"/>
                <w:sz w:val="12"/>
                <w:szCs w:val="12"/>
              </w:rPr>
            </w:pPr>
          </w:p>
        </w:tc>
        <w:tc>
          <w:tcPr>
            <w:tcW w:w="2268" w:type="dxa"/>
            <w:shd w:val="clear" w:color="auto" w:fill="F2F2F2"/>
            <w:hideMark/>
          </w:tcPr>
          <w:p w14:paraId="5A3F9EDA" w14:textId="77777777" w:rsidR="002A4DDF" w:rsidRPr="00937C8B" w:rsidRDefault="002A4DDF" w:rsidP="009110ED">
            <w:pPr>
              <w:rPr>
                <w:rFonts w:ascii="Arial" w:hAnsi="Arial" w:cs="Arial"/>
                <w:sz w:val="12"/>
                <w:szCs w:val="12"/>
              </w:rPr>
            </w:pPr>
            <w:r>
              <w:rPr>
                <w:rFonts w:ascii="Arial" w:hAnsi="Arial"/>
                <w:sz w:val="12"/>
                <w:szCs w:val="12"/>
              </w:rPr>
              <w:t>Pobladura de Valderaduey</w:t>
            </w:r>
          </w:p>
        </w:tc>
        <w:tc>
          <w:tcPr>
            <w:tcW w:w="2268" w:type="dxa"/>
            <w:tcBorders>
              <w:right w:val="single" w:sz="4" w:space="0" w:color="auto"/>
            </w:tcBorders>
            <w:shd w:val="clear" w:color="auto" w:fill="D9D9D9"/>
            <w:hideMark/>
          </w:tcPr>
          <w:p w14:paraId="55BDEA22" w14:textId="77777777" w:rsidR="002A4DDF" w:rsidRPr="00937C8B" w:rsidRDefault="002A4DDF" w:rsidP="009110ED">
            <w:pPr>
              <w:rPr>
                <w:rFonts w:ascii="Arial" w:hAnsi="Arial" w:cs="Arial"/>
                <w:sz w:val="12"/>
                <w:szCs w:val="12"/>
              </w:rPr>
            </w:pPr>
          </w:p>
        </w:tc>
      </w:tr>
      <w:tr w:rsidR="002A4DDF" w:rsidRPr="00937C8B" w14:paraId="60569A8C" w14:textId="77777777" w:rsidTr="00935676">
        <w:trPr>
          <w:cantSplit/>
        </w:trPr>
        <w:tc>
          <w:tcPr>
            <w:tcW w:w="1696" w:type="dxa"/>
            <w:tcBorders>
              <w:left w:val="single" w:sz="4" w:space="0" w:color="auto"/>
            </w:tcBorders>
            <w:shd w:val="clear" w:color="auto" w:fill="auto"/>
          </w:tcPr>
          <w:p w14:paraId="3BE1C541" w14:textId="77777777" w:rsidR="002A4DDF" w:rsidRPr="00937C8B" w:rsidRDefault="002A4DDF" w:rsidP="009110ED">
            <w:pPr>
              <w:rPr>
                <w:rFonts w:ascii="Arial" w:hAnsi="Arial" w:cs="Arial"/>
                <w:sz w:val="12"/>
                <w:szCs w:val="12"/>
              </w:rPr>
            </w:pPr>
          </w:p>
        </w:tc>
        <w:tc>
          <w:tcPr>
            <w:tcW w:w="1843" w:type="dxa"/>
            <w:shd w:val="clear" w:color="auto" w:fill="auto"/>
          </w:tcPr>
          <w:p w14:paraId="5F59186B" w14:textId="77777777" w:rsidR="002A4DDF" w:rsidRPr="00937C8B" w:rsidRDefault="002A4DDF" w:rsidP="009110ED">
            <w:pPr>
              <w:rPr>
                <w:rFonts w:ascii="Arial" w:hAnsi="Arial" w:cs="Arial"/>
                <w:sz w:val="12"/>
                <w:szCs w:val="12"/>
              </w:rPr>
            </w:pPr>
          </w:p>
        </w:tc>
        <w:tc>
          <w:tcPr>
            <w:tcW w:w="2268" w:type="dxa"/>
            <w:shd w:val="clear" w:color="auto" w:fill="F2F2F2"/>
            <w:hideMark/>
          </w:tcPr>
          <w:p w14:paraId="780A977C" w14:textId="77777777" w:rsidR="002A4DDF" w:rsidRPr="00937C8B" w:rsidRDefault="002A4DDF" w:rsidP="009110ED">
            <w:pPr>
              <w:rPr>
                <w:rFonts w:ascii="Arial" w:hAnsi="Arial" w:cs="Arial"/>
                <w:sz w:val="12"/>
                <w:szCs w:val="12"/>
              </w:rPr>
            </w:pPr>
            <w:r>
              <w:rPr>
                <w:rFonts w:ascii="Arial" w:hAnsi="Arial"/>
                <w:sz w:val="12"/>
                <w:szCs w:val="12"/>
              </w:rPr>
              <w:t>Pozoantiguo</w:t>
            </w:r>
          </w:p>
        </w:tc>
        <w:tc>
          <w:tcPr>
            <w:tcW w:w="2268" w:type="dxa"/>
            <w:tcBorders>
              <w:right w:val="single" w:sz="4" w:space="0" w:color="auto"/>
            </w:tcBorders>
            <w:shd w:val="clear" w:color="auto" w:fill="D9D9D9"/>
            <w:hideMark/>
          </w:tcPr>
          <w:p w14:paraId="49626F5A" w14:textId="77777777" w:rsidR="002A4DDF" w:rsidRPr="00937C8B" w:rsidRDefault="002A4DDF" w:rsidP="009110ED">
            <w:pPr>
              <w:rPr>
                <w:rFonts w:ascii="Arial" w:hAnsi="Arial" w:cs="Arial"/>
                <w:sz w:val="12"/>
                <w:szCs w:val="12"/>
              </w:rPr>
            </w:pPr>
          </w:p>
        </w:tc>
      </w:tr>
      <w:tr w:rsidR="002A4DDF" w:rsidRPr="00937C8B" w14:paraId="149A8950" w14:textId="77777777" w:rsidTr="00935676">
        <w:trPr>
          <w:cantSplit/>
        </w:trPr>
        <w:tc>
          <w:tcPr>
            <w:tcW w:w="1696" w:type="dxa"/>
            <w:tcBorders>
              <w:left w:val="single" w:sz="4" w:space="0" w:color="auto"/>
            </w:tcBorders>
            <w:shd w:val="clear" w:color="auto" w:fill="auto"/>
          </w:tcPr>
          <w:p w14:paraId="7573D84E" w14:textId="77777777" w:rsidR="002A4DDF" w:rsidRPr="00937C8B" w:rsidRDefault="002A4DDF" w:rsidP="009110ED">
            <w:pPr>
              <w:rPr>
                <w:rFonts w:ascii="Arial" w:hAnsi="Arial" w:cs="Arial"/>
                <w:sz w:val="12"/>
                <w:szCs w:val="12"/>
              </w:rPr>
            </w:pPr>
          </w:p>
        </w:tc>
        <w:tc>
          <w:tcPr>
            <w:tcW w:w="1843" w:type="dxa"/>
            <w:shd w:val="clear" w:color="auto" w:fill="auto"/>
          </w:tcPr>
          <w:p w14:paraId="783E144E" w14:textId="77777777" w:rsidR="002A4DDF" w:rsidRPr="00937C8B" w:rsidRDefault="002A4DDF" w:rsidP="009110ED">
            <w:pPr>
              <w:rPr>
                <w:rFonts w:ascii="Arial" w:hAnsi="Arial" w:cs="Arial"/>
                <w:sz w:val="12"/>
                <w:szCs w:val="12"/>
              </w:rPr>
            </w:pPr>
          </w:p>
        </w:tc>
        <w:tc>
          <w:tcPr>
            <w:tcW w:w="2268" w:type="dxa"/>
            <w:shd w:val="clear" w:color="auto" w:fill="F2F2F2"/>
            <w:hideMark/>
          </w:tcPr>
          <w:p w14:paraId="009DEACD" w14:textId="77777777" w:rsidR="002A4DDF" w:rsidRPr="00937C8B" w:rsidRDefault="002A4DDF" w:rsidP="009110ED">
            <w:pPr>
              <w:rPr>
                <w:rFonts w:ascii="Arial" w:hAnsi="Arial" w:cs="Arial"/>
                <w:sz w:val="12"/>
                <w:szCs w:val="12"/>
              </w:rPr>
            </w:pPr>
            <w:r>
              <w:rPr>
                <w:rFonts w:ascii="Arial" w:hAnsi="Arial"/>
                <w:sz w:val="12"/>
                <w:szCs w:val="12"/>
              </w:rPr>
              <w:t>Pozuelo de Tábara</w:t>
            </w:r>
          </w:p>
        </w:tc>
        <w:tc>
          <w:tcPr>
            <w:tcW w:w="2268" w:type="dxa"/>
            <w:tcBorders>
              <w:right w:val="single" w:sz="4" w:space="0" w:color="auto"/>
            </w:tcBorders>
            <w:shd w:val="clear" w:color="auto" w:fill="D9D9D9"/>
            <w:hideMark/>
          </w:tcPr>
          <w:p w14:paraId="454574B1" w14:textId="77777777" w:rsidR="002A4DDF" w:rsidRPr="00937C8B" w:rsidRDefault="002A4DDF" w:rsidP="009110ED">
            <w:pPr>
              <w:rPr>
                <w:rFonts w:ascii="Arial" w:hAnsi="Arial" w:cs="Arial"/>
                <w:sz w:val="12"/>
                <w:szCs w:val="12"/>
              </w:rPr>
            </w:pPr>
          </w:p>
        </w:tc>
      </w:tr>
      <w:tr w:rsidR="002A4DDF" w:rsidRPr="00937C8B" w14:paraId="579B7A55" w14:textId="77777777" w:rsidTr="00935676">
        <w:trPr>
          <w:cantSplit/>
        </w:trPr>
        <w:tc>
          <w:tcPr>
            <w:tcW w:w="1696" w:type="dxa"/>
            <w:tcBorders>
              <w:left w:val="single" w:sz="4" w:space="0" w:color="auto"/>
            </w:tcBorders>
            <w:shd w:val="clear" w:color="auto" w:fill="auto"/>
          </w:tcPr>
          <w:p w14:paraId="07928D4B" w14:textId="77777777" w:rsidR="002A4DDF" w:rsidRPr="00937C8B" w:rsidRDefault="002A4DDF" w:rsidP="009110ED">
            <w:pPr>
              <w:rPr>
                <w:rFonts w:ascii="Arial" w:hAnsi="Arial" w:cs="Arial"/>
                <w:sz w:val="12"/>
                <w:szCs w:val="12"/>
              </w:rPr>
            </w:pPr>
          </w:p>
        </w:tc>
        <w:tc>
          <w:tcPr>
            <w:tcW w:w="1843" w:type="dxa"/>
            <w:shd w:val="clear" w:color="auto" w:fill="auto"/>
          </w:tcPr>
          <w:p w14:paraId="1C4337D0" w14:textId="77777777" w:rsidR="002A4DDF" w:rsidRPr="00937C8B" w:rsidRDefault="002A4DDF" w:rsidP="009110ED">
            <w:pPr>
              <w:rPr>
                <w:rFonts w:ascii="Arial" w:hAnsi="Arial" w:cs="Arial"/>
                <w:sz w:val="12"/>
                <w:szCs w:val="12"/>
              </w:rPr>
            </w:pPr>
          </w:p>
        </w:tc>
        <w:tc>
          <w:tcPr>
            <w:tcW w:w="2268" w:type="dxa"/>
            <w:shd w:val="clear" w:color="auto" w:fill="F2F2F2"/>
            <w:hideMark/>
          </w:tcPr>
          <w:p w14:paraId="59C0D790" w14:textId="77777777" w:rsidR="002A4DDF" w:rsidRPr="00937C8B" w:rsidRDefault="002A4DDF" w:rsidP="009110ED">
            <w:pPr>
              <w:rPr>
                <w:rFonts w:ascii="Arial" w:hAnsi="Arial" w:cs="Arial"/>
                <w:sz w:val="12"/>
                <w:szCs w:val="12"/>
              </w:rPr>
            </w:pPr>
            <w:r>
              <w:rPr>
                <w:rFonts w:ascii="Arial" w:hAnsi="Arial"/>
                <w:sz w:val="12"/>
                <w:szCs w:val="12"/>
              </w:rPr>
              <w:t>Pueblica de Valverde</w:t>
            </w:r>
          </w:p>
        </w:tc>
        <w:tc>
          <w:tcPr>
            <w:tcW w:w="2268" w:type="dxa"/>
            <w:tcBorders>
              <w:right w:val="single" w:sz="4" w:space="0" w:color="auto"/>
            </w:tcBorders>
            <w:shd w:val="clear" w:color="auto" w:fill="D9D9D9"/>
            <w:hideMark/>
          </w:tcPr>
          <w:p w14:paraId="561AA792" w14:textId="77777777" w:rsidR="002A4DDF" w:rsidRPr="00937C8B" w:rsidRDefault="002A4DDF" w:rsidP="009110ED">
            <w:pPr>
              <w:rPr>
                <w:rFonts w:ascii="Arial" w:hAnsi="Arial" w:cs="Arial"/>
                <w:sz w:val="12"/>
                <w:szCs w:val="12"/>
              </w:rPr>
            </w:pPr>
          </w:p>
        </w:tc>
      </w:tr>
      <w:tr w:rsidR="002A4DDF" w:rsidRPr="00937C8B" w14:paraId="2F785423" w14:textId="77777777" w:rsidTr="00935676">
        <w:trPr>
          <w:cantSplit/>
        </w:trPr>
        <w:tc>
          <w:tcPr>
            <w:tcW w:w="1696" w:type="dxa"/>
            <w:tcBorders>
              <w:left w:val="single" w:sz="4" w:space="0" w:color="auto"/>
            </w:tcBorders>
            <w:shd w:val="clear" w:color="auto" w:fill="auto"/>
          </w:tcPr>
          <w:p w14:paraId="02B0F71C" w14:textId="77777777" w:rsidR="002A4DDF" w:rsidRPr="00937C8B" w:rsidRDefault="002A4DDF" w:rsidP="009110ED">
            <w:pPr>
              <w:rPr>
                <w:rFonts w:ascii="Arial" w:hAnsi="Arial" w:cs="Arial"/>
                <w:sz w:val="12"/>
                <w:szCs w:val="12"/>
              </w:rPr>
            </w:pPr>
          </w:p>
        </w:tc>
        <w:tc>
          <w:tcPr>
            <w:tcW w:w="1843" w:type="dxa"/>
            <w:shd w:val="clear" w:color="auto" w:fill="auto"/>
          </w:tcPr>
          <w:p w14:paraId="5A0493AF" w14:textId="77777777" w:rsidR="002A4DDF" w:rsidRPr="00937C8B" w:rsidRDefault="002A4DDF" w:rsidP="009110ED">
            <w:pPr>
              <w:rPr>
                <w:rFonts w:ascii="Arial" w:hAnsi="Arial" w:cs="Arial"/>
                <w:sz w:val="12"/>
                <w:szCs w:val="12"/>
              </w:rPr>
            </w:pPr>
          </w:p>
        </w:tc>
        <w:tc>
          <w:tcPr>
            <w:tcW w:w="2268" w:type="dxa"/>
            <w:shd w:val="clear" w:color="auto" w:fill="F2F2F2"/>
            <w:hideMark/>
          </w:tcPr>
          <w:p w14:paraId="7CA28859" w14:textId="77777777" w:rsidR="002A4DDF" w:rsidRPr="00937C8B" w:rsidRDefault="002A4DDF" w:rsidP="009110ED">
            <w:pPr>
              <w:rPr>
                <w:rFonts w:ascii="Arial" w:hAnsi="Arial" w:cs="Arial"/>
                <w:sz w:val="12"/>
                <w:szCs w:val="12"/>
              </w:rPr>
            </w:pPr>
            <w:r>
              <w:rPr>
                <w:rFonts w:ascii="Arial" w:hAnsi="Arial"/>
                <w:sz w:val="12"/>
                <w:szCs w:val="12"/>
              </w:rPr>
              <w:t>Quintanilla de Urz</w:t>
            </w:r>
          </w:p>
        </w:tc>
        <w:tc>
          <w:tcPr>
            <w:tcW w:w="2268" w:type="dxa"/>
            <w:tcBorders>
              <w:right w:val="single" w:sz="4" w:space="0" w:color="auto"/>
            </w:tcBorders>
            <w:shd w:val="clear" w:color="auto" w:fill="D9D9D9"/>
            <w:hideMark/>
          </w:tcPr>
          <w:p w14:paraId="0255C522" w14:textId="77777777" w:rsidR="002A4DDF" w:rsidRPr="00937C8B" w:rsidRDefault="002A4DDF" w:rsidP="009110ED">
            <w:pPr>
              <w:rPr>
                <w:rFonts w:ascii="Arial" w:hAnsi="Arial" w:cs="Arial"/>
                <w:sz w:val="12"/>
                <w:szCs w:val="12"/>
              </w:rPr>
            </w:pPr>
          </w:p>
        </w:tc>
      </w:tr>
      <w:tr w:rsidR="002A4DDF" w:rsidRPr="00937C8B" w14:paraId="463B725F" w14:textId="77777777" w:rsidTr="00935676">
        <w:trPr>
          <w:cantSplit/>
        </w:trPr>
        <w:tc>
          <w:tcPr>
            <w:tcW w:w="1696" w:type="dxa"/>
            <w:tcBorders>
              <w:left w:val="single" w:sz="4" w:space="0" w:color="auto"/>
            </w:tcBorders>
            <w:shd w:val="clear" w:color="auto" w:fill="auto"/>
          </w:tcPr>
          <w:p w14:paraId="364091B1" w14:textId="77777777" w:rsidR="002A4DDF" w:rsidRPr="00937C8B" w:rsidRDefault="002A4DDF" w:rsidP="009110ED">
            <w:pPr>
              <w:rPr>
                <w:rFonts w:ascii="Arial" w:hAnsi="Arial" w:cs="Arial"/>
                <w:sz w:val="12"/>
                <w:szCs w:val="12"/>
              </w:rPr>
            </w:pPr>
          </w:p>
        </w:tc>
        <w:tc>
          <w:tcPr>
            <w:tcW w:w="1843" w:type="dxa"/>
            <w:shd w:val="clear" w:color="auto" w:fill="auto"/>
          </w:tcPr>
          <w:p w14:paraId="66220F03" w14:textId="77777777" w:rsidR="002A4DDF" w:rsidRPr="00937C8B" w:rsidRDefault="002A4DDF" w:rsidP="009110ED">
            <w:pPr>
              <w:rPr>
                <w:rFonts w:ascii="Arial" w:hAnsi="Arial" w:cs="Arial"/>
                <w:sz w:val="12"/>
                <w:szCs w:val="12"/>
              </w:rPr>
            </w:pPr>
          </w:p>
        </w:tc>
        <w:tc>
          <w:tcPr>
            <w:tcW w:w="2268" w:type="dxa"/>
            <w:shd w:val="clear" w:color="auto" w:fill="F2F2F2"/>
            <w:hideMark/>
          </w:tcPr>
          <w:p w14:paraId="43A6CC84" w14:textId="77777777" w:rsidR="002A4DDF" w:rsidRPr="00937C8B" w:rsidRDefault="002A4DDF" w:rsidP="009110ED">
            <w:pPr>
              <w:rPr>
                <w:rFonts w:ascii="Arial" w:hAnsi="Arial" w:cs="Arial"/>
                <w:sz w:val="12"/>
                <w:szCs w:val="12"/>
              </w:rPr>
            </w:pPr>
            <w:r>
              <w:rPr>
                <w:rFonts w:ascii="Arial" w:hAnsi="Arial"/>
                <w:sz w:val="12"/>
                <w:szCs w:val="12"/>
              </w:rPr>
              <w:t>Quintanilla del Olmo</w:t>
            </w:r>
          </w:p>
        </w:tc>
        <w:tc>
          <w:tcPr>
            <w:tcW w:w="2268" w:type="dxa"/>
            <w:tcBorders>
              <w:right w:val="single" w:sz="4" w:space="0" w:color="auto"/>
            </w:tcBorders>
            <w:shd w:val="clear" w:color="auto" w:fill="D9D9D9"/>
            <w:hideMark/>
          </w:tcPr>
          <w:p w14:paraId="7100C967" w14:textId="77777777" w:rsidR="002A4DDF" w:rsidRPr="00937C8B" w:rsidRDefault="002A4DDF" w:rsidP="009110ED">
            <w:pPr>
              <w:rPr>
                <w:rFonts w:ascii="Arial" w:hAnsi="Arial" w:cs="Arial"/>
                <w:sz w:val="12"/>
                <w:szCs w:val="12"/>
              </w:rPr>
            </w:pPr>
          </w:p>
        </w:tc>
      </w:tr>
      <w:tr w:rsidR="002A4DDF" w:rsidRPr="00937C8B" w14:paraId="39C2B061" w14:textId="77777777" w:rsidTr="00935676">
        <w:trPr>
          <w:cantSplit/>
        </w:trPr>
        <w:tc>
          <w:tcPr>
            <w:tcW w:w="1696" w:type="dxa"/>
            <w:tcBorders>
              <w:left w:val="single" w:sz="4" w:space="0" w:color="auto"/>
            </w:tcBorders>
            <w:shd w:val="clear" w:color="auto" w:fill="auto"/>
          </w:tcPr>
          <w:p w14:paraId="719F8D63" w14:textId="77777777" w:rsidR="002A4DDF" w:rsidRPr="00937C8B" w:rsidRDefault="002A4DDF" w:rsidP="009110ED">
            <w:pPr>
              <w:rPr>
                <w:rFonts w:ascii="Arial" w:hAnsi="Arial" w:cs="Arial"/>
                <w:sz w:val="12"/>
                <w:szCs w:val="12"/>
              </w:rPr>
            </w:pPr>
          </w:p>
        </w:tc>
        <w:tc>
          <w:tcPr>
            <w:tcW w:w="1843" w:type="dxa"/>
            <w:shd w:val="clear" w:color="auto" w:fill="auto"/>
          </w:tcPr>
          <w:p w14:paraId="10FFF7DE" w14:textId="77777777" w:rsidR="002A4DDF" w:rsidRPr="00937C8B" w:rsidRDefault="002A4DDF" w:rsidP="009110ED">
            <w:pPr>
              <w:rPr>
                <w:rFonts w:ascii="Arial" w:hAnsi="Arial" w:cs="Arial"/>
                <w:sz w:val="12"/>
                <w:szCs w:val="12"/>
              </w:rPr>
            </w:pPr>
          </w:p>
        </w:tc>
        <w:tc>
          <w:tcPr>
            <w:tcW w:w="2268" w:type="dxa"/>
            <w:shd w:val="clear" w:color="auto" w:fill="F2F2F2"/>
            <w:hideMark/>
          </w:tcPr>
          <w:p w14:paraId="46D4BE83" w14:textId="77777777" w:rsidR="002A4DDF" w:rsidRPr="00937C8B" w:rsidRDefault="002A4DDF" w:rsidP="009110ED">
            <w:pPr>
              <w:rPr>
                <w:rFonts w:ascii="Arial" w:hAnsi="Arial" w:cs="Arial"/>
                <w:sz w:val="12"/>
                <w:szCs w:val="12"/>
              </w:rPr>
            </w:pPr>
            <w:r>
              <w:rPr>
                <w:rFonts w:ascii="Arial" w:hAnsi="Arial"/>
                <w:sz w:val="12"/>
                <w:szCs w:val="12"/>
              </w:rPr>
              <w:t>Quiruelas de Vidriales</w:t>
            </w:r>
          </w:p>
        </w:tc>
        <w:tc>
          <w:tcPr>
            <w:tcW w:w="2268" w:type="dxa"/>
            <w:tcBorders>
              <w:right w:val="single" w:sz="4" w:space="0" w:color="auto"/>
            </w:tcBorders>
            <w:shd w:val="clear" w:color="auto" w:fill="D9D9D9"/>
            <w:hideMark/>
          </w:tcPr>
          <w:p w14:paraId="6A9D90A3" w14:textId="77777777" w:rsidR="002A4DDF" w:rsidRPr="00937C8B" w:rsidRDefault="002A4DDF" w:rsidP="009110ED">
            <w:pPr>
              <w:rPr>
                <w:rFonts w:ascii="Arial" w:hAnsi="Arial" w:cs="Arial"/>
                <w:sz w:val="12"/>
                <w:szCs w:val="12"/>
              </w:rPr>
            </w:pPr>
          </w:p>
        </w:tc>
      </w:tr>
      <w:tr w:rsidR="002A4DDF" w:rsidRPr="00937C8B" w14:paraId="7C41B51A" w14:textId="77777777" w:rsidTr="00935676">
        <w:trPr>
          <w:cantSplit/>
        </w:trPr>
        <w:tc>
          <w:tcPr>
            <w:tcW w:w="1696" w:type="dxa"/>
            <w:tcBorders>
              <w:left w:val="single" w:sz="4" w:space="0" w:color="auto"/>
            </w:tcBorders>
            <w:shd w:val="clear" w:color="auto" w:fill="auto"/>
          </w:tcPr>
          <w:p w14:paraId="7CF55A0B" w14:textId="77777777" w:rsidR="002A4DDF" w:rsidRPr="00937C8B" w:rsidRDefault="002A4DDF" w:rsidP="009110ED">
            <w:pPr>
              <w:rPr>
                <w:rFonts w:ascii="Arial" w:hAnsi="Arial" w:cs="Arial"/>
                <w:sz w:val="12"/>
                <w:szCs w:val="12"/>
              </w:rPr>
            </w:pPr>
          </w:p>
        </w:tc>
        <w:tc>
          <w:tcPr>
            <w:tcW w:w="1843" w:type="dxa"/>
            <w:shd w:val="clear" w:color="auto" w:fill="auto"/>
          </w:tcPr>
          <w:p w14:paraId="6B8C4BE8" w14:textId="77777777" w:rsidR="002A4DDF" w:rsidRPr="00937C8B" w:rsidRDefault="002A4DDF" w:rsidP="009110ED">
            <w:pPr>
              <w:rPr>
                <w:rFonts w:ascii="Arial" w:hAnsi="Arial" w:cs="Arial"/>
                <w:sz w:val="12"/>
                <w:szCs w:val="12"/>
              </w:rPr>
            </w:pPr>
          </w:p>
        </w:tc>
        <w:tc>
          <w:tcPr>
            <w:tcW w:w="2268" w:type="dxa"/>
            <w:shd w:val="clear" w:color="auto" w:fill="F2F2F2"/>
            <w:hideMark/>
          </w:tcPr>
          <w:p w14:paraId="0049037D" w14:textId="77777777" w:rsidR="002A4DDF" w:rsidRPr="00937C8B" w:rsidRDefault="002A4DDF" w:rsidP="009110ED">
            <w:pPr>
              <w:rPr>
                <w:rFonts w:ascii="Arial" w:hAnsi="Arial" w:cs="Arial"/>
                <w:sz w:val="12"/>
                <w:szCs w:val="12"/>
              </w:rPr>
            </w:pPr>
            <w:r>
              <w:rPr>
                <w:rFonts w:ascii="Arial" w:hAnsi="Arial"/>
                <w:sz w:val="12"/>
                <w:szCs w:val="12"/>
              </w:rPr>
              <w:t>Revellinos</w:t>
            </w:r>
          </w:p>
        </w:tc>
        <w:tc>
          <w:tcPr>
            <w:tcW w:w="2268" w:type="dxa"/>
            <w:tcBorders>
              <w:right w:val="single" w:sz="4" w:space="0" w:color="auto"/>
            </w:tcBorders>
            <w:shd w:val="clear" w:color="auto" w:fill="D9D9D9"/>
            <w:hideMark/>
          </w:tcPr>
          <w:p w14:paraId="0C177DCC" w14:textId="77777777" w:rsidR="002A4DDF" w:rsidRPr="00937C8B" w:rsidRDefault="002A4DDF" w:rsidP="009110ED">
            <w:pPr>
              <w:rPr>
                <w:rFonts w:ascii="Arial" w:hAnsi="Arial" w:cs="Arial"/>
                <w:sz w:val="12"/>
                <w:szCs w:val="12"/>
              </w:rPr>
            </w:pPr>
          </w:p>
        </w:tc>
      </w:tr>
      <w:tr w:rsidR="002A4DDF" w:rsidRPr="00937C8B" w14:paraId="153902AE" w14:textId="77777777" w:rsidTr="00935676">
        <w:trPr>
          <w:cantSplit/>
        </w:trPr>
        <w:tc>
          <w:tcPr>
            <w:tcW w:w="1696" w:type="dxa"/>
            <w:tcBorders>
              <w:left w:val="single" w:sz="4" w:space="0" w:color="auto"/>
            </w:tcBorders>
            <w:shd w:val="clear" w:color="auto" w:fill="auto"/>
          </w:tcPr>
          <w:p w14:paraId="7FCDA549" w14:textId="77777777" w:rsidR="002A4DDF" w:rsidRPr="00937C8B" w:rsidRDefault="002A4DDF" w:rsidP="009110ED">
            <w:pPr>
              <w:rPr>
                <w:rFonts w:ascii="Arial" w:hAnsi="Arial" w:cs="Arial"/>
                <w:sz w:val="12"/>
                <w:szCs w:val="12"/>
              </w:rPr>
            </w:pPr>
          </w:p>
        </w:tc>
        <w:tc>
          <w:tcPr>
            <w:tcW w:w="1843" w:type="dxa"/>
            <w:shd w:val="clear" w:color="auto" w:fill="auto"/>
          </w:tcPr>
          <w:p w14:paraId="0F4AE65F" w14:textId="77777777" w:rsidR="002A4DDF" w:rsidRPr="00937C8B" w:rsidRDefault="002A4DDF" w:rsidP="009110ED">
            <w:pPr>
              <w:rPr>
                <w:rFonts w:ascii="Arial" w:hAnsi="Arial" w:cs="Arial"/>
                <w:sz w:val="12"/>
                <w:szCs w:val="12"/>
              </w:rPr>
            </w:pPr>
          </w:p>
        </w:tc>
        <w:tc>
          <w:tcPr>
            <w:tcW w:w="2268" w:type="dxa"/>
            <w:shd w:val="clear" w:color="auto" w:fill="F2F2F2"/>
            <w:hideMark/>
          </w:tcPr>
          <w:p w14:paraId="47747FEF" w14:textId="77777777" w:rsidR="002A4DDF" w:rsidRPr="00937C8B" w:rsidRDefault="002A4DDF" w:rsidP="009110ED">
            <w:pPr>
              <w:rPr>
                <w:rFonts w:ascii="Arial" w:hAnsi="Arial" w:cs="Arial"/>
                <w:sz w:val="12"/>
                <w:szCs w:val="12"/>
              </w:rPr>
            </w:pPr>
            <w:r>
              <w:rPr>
                <w:rFonts w:ascii="Arial" w:hAnsi="Arial"/>
                <w:sz w:val="12"/>
                <w:szCs w:val="12"/>
              </w:rPr>
              <w:t>Riofrío de Aliste</w:t>
            </w:r>
          </w:p>
        </w:tc>
        <w:tc>
          <w:tcPr>
            <w:tcW w:w="2268" w:type="dxa"/>
            <w:tcBorders>
              <w:right w:val="single" w:sz="4" w:space="0" w:color="auto"/>
            </w:tcBorders>
            <w:shd w:val="clear" w:color="auto" w:fill="D9D9D9"/>
            <w:hideMark/>
          </w:tcPr>
          <w:p w14:paraId="5B5CE138" w14:textId="77777777" w:rsidR="002A4DDF" w:rsidRPr="00937C8B" w:rsidRDefault="002A4DDF" w:rsidP="009110ED">
            <w:pPr>
              <w:rPr>
                <w:rFonts w:ascii="Arial" w:hAnsi="Arial" w:cs="Arial"/>
                <w:sz w:val="12"/>
                <w:szCs w:val="12"/>
              </w:rPr>
            </w:pPr>
          </w:p>
        </w:tc>
      </w:tr>
      <w:tr w:rsidR="002A4DDF" w:rsidRPr="00937C8B" w14:paraId="4C772629" w14:textId="77777777" w:rsidTr="00935676">
        <w:trPr>
          <w:cantSplit/>
        </w:trPr>
        <w:tc>
          <w:tcPr>
            <w:tcW w:w="1696" w:type="dxa"/>
            <w:tcBorders>
              <w:left w:val="single" w:sz="4" w:space="0" w:color="auto"/>
            </w:tcBorders>
            <w:shd w:val="clear" w:color="auto" w:fill="auto"/>
          </w:tcPr>
          <w:p w14:paraId="47287ED0" w14:textId="77777777" w:rsidR="002A4DDF" w:rsidRPr="00937C8B" w:rsidRDefault="002A4DDF" w:rsidP="009110ED">
            <w:pPr>
              <w:rPr>
                <w:rFonts w:ascii="Arial" w:hAnsi="Arial" w:cs="Arial"/>
                <w:sz w:val="12"/>
                <w:szCs w:val="12"/>
              </w:rPr>
            </w:pPr>
          </w:p>
        </w:tc>
        <w:tc>
          <w:tcPr>
            <w:tcW w:w="1843" w:type="dxa"/>
            <w:shd w:val="clear" w:color="auto" w:fill="auto"/>
          </w:tcPr>
          <w:p w14:paraId="7795D4D7" w14:textId="77777777" w:rsidR="002A4DDF" w:rsidRPr="00937C8B" w:rsidRDefault="002A4DDF" w:rsidP="009110ED">
            <w:pPr>
              <w:rPr>
                <w:rFonts w:ascii="Arial" w:hAnsi="Arial" w:cs="Arial"/>
                <w:sz w:val="12"/>
                <w:szCs w:val="12"/>
              </w:rPr>
            </w:pPr>
          </w:p>
        </w:tc>
        <w:tc>
          <w:tcPr>
            <w:tcW w:w="2268" w:type="dxa"/>
            <w:shd w:val="clear" w:color="auto" w:fill="F2F2F2"/>
            <w:hideMark/>
          </w:tcPr>
          <w:p w14:paraId="4A132FCB" w14:textId="77777777" w:rsidR="002A4DDF" w:rsidRPr="00937C8B" w:rsidRDefault="002A4DDF" w:rsidP="009110ED">
            <w:pPr>
              <w:rPr>
                <w:rFonts w:ascii="Arial" w:hAnsi="Arial" w:cs="Arial"/>
                <w:sz w:val="12"/>
                <w:szCs w:val="12"/>
              </w:rPr>
            </w:pPr>
            <w:r>
              <w:rPr>
                <w:rFonts w:ascii="Arial" w:hAnsi="Arial"/>
                <w:sz w:val="12"/>
                <w:szCs w:val="12"/>
              </w:rPr>
              <w:t>Roales</w:t>
            </w:r>
          </w:p>
        </w:tc>
        <w:tc>
          <w:tcPr>
            <w:tcW w:w="2268" w:type="dxa"/>
            <w:tcBorders>
              <w:right w:val="single" w:sz="4" w:space="0" w:color="auto"/>
            </w:tcBorders>
            <w:shd w:val="clear" w:color="auto" w:fill="D9D9D9"/>
            <w:hideMark/>
          </w:tcPr>
          <w:p w14:paraId="5D1D69F8" w14:textId="77777777" w:rsidR="002A4DDF" w:rsidRPr="00937C8B" w:rsidRDefault="002A4DDF" w:rsidP="009110ED">
            <w:pPr>
              <w:rPr>
                <w:rFonts w:ascii="Arial" w:hAnsi="Arial" w:cs="Arial"/>
                <w:sz w:val="12"/>
                <w:szCs w:val="12"/>
              </w:rPr>
            </w:pPr>
          </w:p>
        </w:tc>
      </w:tr>
      <w:tr w:rsidR="002A4DDF" w:rsidRPr="00937C8B" w14:paraId="3466B2BB" w14:textId="77777777" w:rsidTr="00935676">
        <w:trPr>
          <w:cantSplit/>
        </w:trPr>
        <w:tc>
          <w:tcPr>
            <w:tcW w:w="1696" w:type="dxa"/>
            <w:tcBorders>
              <w:left w:val="single" w:sz="4" w:space="0" w:color="auto"/>
            </w:tcBorders>
            <w:shd w:val="clear" w:color="auto" w:fill="auto"/>
          </w:tcPr>
          <w:p w14:paraId="11FFCF49" w14:textId="77777777" w:rsidR="002A4DDF" w:rsidRPr="00937C8B" w:rsidRDefault="002A4DDF" w:rsidP="009110ED">
            <w:pPr>
              <w:rPr>
                <w:rFonts w:ascii="Arial" w:hAnsi="Arial" w:cs="Arial"/>
                <w:sz w:val="12"/>
                <w:szCs w:val="12"/>
              </w:rPr>
            </w:pPr>
          </w:p>
        </w:tc>
        <w:tc>
          <w:tcPr>
            <w:tcW w:w="1843" w:type="dxa"/>
            <w:shd w:val="clear" w:color="auto" w:fill="auto"/>
          </w:tcPr>
          <w:p w14:paraId="1DBFD593" w14:textId="77777777" w:rsidR="002A4DDF" w:rsidRPr="00937C8B" w:rsidRDefault="002A4DDF" w:rsidP="009110ED">
            <w:pPr>
              <w:rPr>
                <w:rFonts w:ascii="Arial" w:hAnsi="Arial" w:cs="Arial"/>
                <w:sz w:val="12"/>
                <w:szCs w:val="12"/>
              </w:rPr>
            </w:pPr>
          </w:p>
        </w:tc>
        <w:tc>
          <w:tcPr>
            <w:tcW w:w="2268" w:type="dxa"/>
            <w:shd w:val="clear" w:color="auto" w:fill="F2F2F2"/>
            <w:hideMark/>
          </w:tcPr>
          <w:p w14:paraId="637128C4" w14:textId="77777777" w:rsidR="002A4DDF" w:rsidRPr="00937C8B" w:rsidRDefault="002A4DDF" w:rsidP="009110ED">
            <w:pPr>
              <w:rPr>
                <w:rFonts w:ascii="Arial" w:hAnsi="Arial" w:cs="Arial"/>
                <w:sz w:val="12"/>
                <w:szCs w:val="12"/>
              </w:rPr>
            </w:pPr>
            <w:r>
              <w:rPr>
                <w:rFonts w:ascii="Arial" w:hAnsi="Arial"/>
                <w:sz w:val="12"/>
                <w:szCs w:val="12"/>
              </w:rPr>
              <w:t>San Agustín del Pozo</w:t>
            </w:r>
          </w:p>
        </w:tc>
        <w:tc>
          <w:tcPr>
            <w:tcW w:w="2268" w:type="dxa"/>
            <w:tcBorders>
              <w:right w:val="single" w:sz="4" w:space="0" w:color="auto"/>
            </w:tcBorders>
            <w:shd w:val="clear" w:color="auto" w:fill="D9D9D9"/>
            <w:hideMark/>
          </w:tcPr>
          <w:p w14:paraId="0735C22B" w14:textId="77777777" w:rsidR="002A4DDF" w:rsidRPr="00937C8B" w:rsidRDefault="002A4DDF" w:rsidP="009110ED">
            <w:pPr>
              <w:rPr>
                <w:rFonts w:ascii="Arial" w:hAnsi="Arial" w:cs="Arial"/>
                <w:sz w:val="12"/>
                <w:szCs w:val="12"/>
              </w:rPr>
            </w:pPr>
          </w:p>
        </w:tc>
      </w:tr>
      <w:tr w:rsidR="002A4DDF" w:rsidRPr="00937C8B" w14:paraId="51DA14A3" w14:textId="77777777" w:rsidTr="00935676">
        <w:trPr>
          <w:cantSplit/>
        </w:trPr>
        <w:tc>
          <w:tcPr>
            <w:tcW w:w="1696" w:type="dxa"/>
            <w:tcBorders>
              <w:left w:val="single" w:sz="4" w:space="0" w:color="auto"/>
            </w:tcBorders>
            <w:shd w:val="clear" w:color="auto" w:fill="auto"/>
          </w:tcPr>
          <w:p w14:paraId="62E371DE" w14:textId="77777777" w:rsidR="002A4DDF" w:rsidRPr="00937C8B" w:rsidRDefault="002A4DDF" w:rsidP="009110ED">
            <w:pPr>
              <w:rPr>
                <w:rFonts w:ascii="Arial" w:hAnsi="Arial" w:cs="Arial"/>
                <w:sz w:val="12"/>
                <w:szCs w:val="12"/>
              </w:rPr>
            </w:pPr>
          </w:p>
        </w:tc>
        <w:tc>
          <w:tcPr>
            <w:tcW w:w="1843" w:type="dxa"/>
            <w:shd w:val="clear" w:color="auto" w:fill="auto"/>
          </w:tcPr>
          <w:p w14:paraId="4A944BDB" w14:textId="77777777" w:rsidR="002A4DDF" w:rsidRPr="00937C8B" w:rsidRDefault="002A4DDF" w:rsidP="009110ED">
            <w:pPr>
              <w:rPr>
                <w:rFonts w:ascii="Arial" w:hAnsi="Arial" w:cs="Arial"/>
                <w:sz w:val="12"/>
                <w:szCs w:val="12"/>
              </w:rPr>
            </w:pPr>
          </w:p>
        </w:tc>
        <w:tc>
          <w:tcPr>
            <w:tcW w:w="2268" w:type="dxa"/>
            <w:shd w:val="clear" w:color="auto" w:fill="F2F2F2"/>
            <w:hideMark/>
          </w:tcPr>
          <w:p w14:paraId="362EF437" w14:textId="77777777" w:rsidR="002A4DDF" w:rsidRPr="00937C8B" w:rsidRDefault="002A4DDF" w:rsidP="009110ED">
            <w:pPr>
              <w:rPr>
                <w:rFonts w:ascii="Arial" w:hAnsi="Arial" w:cs="Arial"/>
                <w:sz w:val="12"/>
                <w:szCs w:val="12"/>
              </w:rPr>
            </w:pPr>
            <w:r>
              <w:rPr>
                <w:rFonts w:ascii="Arial" w:hAnsi="Arial"/>
                <w:sz w:val="12"/>
                <w:szCs w:val="12"/>
              </w:rPr>
              <w:t>San Cebrián de Castro</w:t>
            </w:r>
          </w:p>
        </w:tc>
        <w:tc>
          <w:tcPr>
            <w:tcW w:w="2268" w:type="dxa"/>
            <w:tcBorders>
              <w:right w:val="single" w:sz="4" w:space="0" w:color="auto"/>
            </w:tcBorders>
            <w:shd w:val="clear" w:color="auto" w:fill="D9D9D9"/>
            <w:hideMark/>
          </w:tcPr>
          <w:p w14:paraId="425BABC9" w14:textId="77777777" w:rsidR="002A4DDF" w:rsidRPr="00937C8B" w:rsidRDefault="002A4DDF" w:rsidP="009110ED">
            <w:pPr>
              <w:rPr>
                <w:rFonts w:ascii="Arial" w:hAnsi="Arial" w:cs="Arial"/>
                <w:sz w:val="12"/>
                <w:szCs w:val="12"/>
              </w:rPr>
            </w:pPr>
          </w:p>
        </w:tc>
      </w:tr>
      <w:tr w:rsidR="002A4DDF" w:rsidRPr="00937C8B" w14:paraId="38245EB3" w14:textId="77777777" w:rsidTr="00935676">
        <w:trPr>
          <w:cantSplit/>
        </w:trPr>
        <w:tc>
          <w:tcPr>
            <w:tcW w:w="1696" w:type="dxa"/>
            <w:tcBorders>
              <w:left w:val="single" w:sz="4" w:space="0" w:color="auto"/>
            </w:tcBorders>
            <w:shd w:val="clear" w:color="auto" w:fill="auto"/>
          </w:tcPr>
          <w:p w14:paraId="36568A28" w14:textId="77777777" w:rsidR="002A4DDF" w:rsidRPr="00937C8B" w:rsidRDefault="002A4DDF" w:rsidP="009110ED">
            <w:pPr>
              <w:rPr>
                <w:rFonts w:ascii="Arial" w:hAnsi="Arial" w:cs="Arial"/>
                <w:sz w:val="12"/>
                <w:szCs w:val="12"/>
              </w:rPr>
            </w:pPr>
          </w:p>
        </w:tc>
        <w:tc>
          <w:tcPr>
            <w:tcW w:w="1843" w:type="dxa"/>
            <w:shd w:val="clear" w:color="auto" w:fill="auto"/>
          </w:tcPr>
          <w:p w14:paraId="30FEEB50" w14:textId="77777777" w:rsidR="002A4DDF" w:rsidRPr="00937C8B" w:rsidRDefault="002A4DDF" w:rsidP="009110ED">
            <w:pPr>
              <w:rPr>
                <w:rFonts w:ascii="Arial" w:hAnsi="Arial" w:cs="Arial"/>
                <w:sz w:val="12"/>
                <w:szCs w:val="12"/>
              </w:rPr>
            </w:pPr>
          </w:p>
        </w:tc>
        <w:tc>
          <w:tcPr>
            <w:tcW w:w="2268" w:type="dxa"/>
            <w:shd w:val="clear" w:color="auto" w:fill="F2F2F2"/>
            <w:hideMark/>
          </w:tcPr>
          <w:p w14:paraId="3E961A2E" w14:textId="77777777" w:rsidR="002A4DDF" w:rsidRPr="00937C8B" w:rsidRDefault="002A4DDF" w:rsidP="009110ED">
            <w:pPr>
              <w:rPr>
                <w:rFonts w:ascii="Arial" w:hAnsi="Arial" w:cs="Arial"/>
                <w:sz w:val="12"/>
                <w:szCs w:val="12"/>
              </w:rPr>
            </w:pPr>
            <w:r>
              <w:rPr>
                <w:rFonts w:ascii="Arial" w:hAnsi="Arial"/>
                <w:sz w:val="12"/>
                <w:szCs w:val="12"/>
              </w:rPr>
              <w:t>San Cristóbal de Entreviñas</w:t>
            </w:r>
          </w:p>
        </w:tc>
        <w:tc>
          <w:tcPr>
            <w:tcW w:w="2268" w:type="dxa"/>
            <w:tcBorders>
              <w:right w:val="single" w:sz="4" w:space="0" w:color="auto"/>
            </w:tcBorders>
            <w:shd w:val="clear" w:color="auto" w:fill="D9D9D9"/>
            <w:hideMark/>
          </w:tcPr>
          <w:p w14:paraId="1F772071" w14:textId="77777777" w:rsidR="002A4DDF" w:rsidRPr="00937C8B" w:rsidRDefault="002A4DDF" w:rsidP="009110ED">
            <w:pPr>
              <w:rPr>
                <w:rFonts w:ascii="Arial" w:hAnsi="Arial" w:cs="Arial"/>
                <w:sz w:val="12"/>
                <w:szCs w:val="12"/>
              </w:rPr>
            </w:pPr>
          </w:p>
        </w:tc>
      </w:tr>
      <w:tr w:rsidR="002A4DDF" w:rsidRPr="00937C8B" w14:paraId="4CBCF4CE" w14:textId="77777777" w:rsidTr="00935676">
        <w:trPr>
          <w:cantSplit/>
        </w:trPr>
        <w:tc>
          <w:tcPr>
            <w:tcW w:w="1696" w:type="dxa"/>
            <w:tcBorders>
              <w:left w:val="single" w:sz="4" w:space="0" w:color="auto"/>
            </w:tcBorders>
            <w:shd w:val="clear" w:color="auto" w:fill="auto"/>
          </w:tcPr>
          <w:p w14:paraId="6651D616" w14:textId="77777777" w:rsidR="002A4DDF" w:rsidRPr="00937C8B" w:rsidRDefault="002A4DDF" w:rsidP="009110ED">
            <w:pPr>
              <w:rPr>
                <w:rFonts w:ascii="Arial" w:hAnsi="Arial" w:cs="Arial"/>
                <w:sz w:val="12"/>
                <w:szCs w:val="12"/>
              </w:rPr>
            </w:pPr>
          </w:p>
        </w:tc>
        <w:tc>
          <w:tcPr>
            <w:tcW w:w="1843" w:type="dxa"/>
            <w:shd w:val="clear" w:color="auto" w:fill="auto"/>
          </w:tcPr>
          <w:p w14:paraId="6C8EFAC2" w14:textId="77777777" w:rsidR="002A4DDF" w:rsidRPr="00937C8B" w:rsidRDefault="002A4DDF" w:rsidP="009110ED">
            <w:pPr>
              <w:rPr>
                <w:rFonts w:ascii="Arial" w:hAnsi="Arial" w:cs="Arial"/>
                <w:sz w:val="12"/>
                <w:szCs w:val="12"/>
              </w:rPr>
            </w:pPr>
          </w:p>
        </w:tc>
        <w:tc>
          <w:tcPr>
            <w:tcW w:w="2268" w:type="dxa"/>
            <w:shd w:val="clear" w:color="auto" w:fill="F2F2F2"/>
            <w:hideMark/>
          </w:tcPr>
          <w:p w14:paraId="4436CC7A" w14:textId="77777777" w:rsidR="002A4DDF" w:rsidRPr="00937C8B" w:rsidRDefault="002A4DDF" w:rsidP="009110ED">
            <w:pPr>
              <w:rPr>
                <w:rFonts w:ascii="Arial" w:hAnsi="Arial" w:cs="Arial"/>
                <w:sz w:val="12"/>
                <w:szCs w:val="12"/>
              </w:rPr>
            </w:pPr>
            <w:r>
              <w:rPr>
                <w:rFonts w:ascii="Arial" w:hAnsi="Arial"/>
                <w:sz w:val="12"/>
                <w:szCs w:val="12"/>
              </w:rPr>
              <w:t>San Esteban del Molar</w:t>
            </w:r>
          </w:p>
        </w:tc>
        <w:tc>
          <w:tcPr>
            <w:tcW w:w="2268" w:type="dxa"/>
            <w:tcBorders>
              <w:right w:val="single" w:sz="4" w:space="0" w:color="auto"/>
            </w:tcBorders>
            <w:shd w:val="clear" w:color="auto" w:fill="D9D9D9"/>
            <w:hideMark/>
          </w:tcPr>
          <w:p w14:paraId="054F42A9" w14:textId="77777777" w:rsidR="002A4DDF" w:rsidRPr="00937C8B" w:rsidRDefault="002A4DDF" w:rsidP="009110ED">
            <w:pPr>
              <w:rPr>
                <w:rFonts w:ascii="Arial" w:hAnsi="Arial" w:cs="Arial"/>
                <w:sz w:val="12"/>
                <w:szCs w:val="12"/>
              </w:rPr>
            </w:pPr>
          </w:p>
        </w:tc>
      </w:tr>
      <w:tr w:rsidR="002A4DDF" w:rsidRPr="00937C8B" w14:paraId="633B7384" w14:textId="77777777" w:rsidTr="00935676">
        <w:trPr>
          <w:cantSplit/>
        </w:trPr>
        <w:tc>
          <w:tcPr>
            <w:tcW w:w="1696" w:type="dxa"/>
            <w:tcBorders>
              <w:left w:val="single" w:sz="4" w:space="0" w:color="auto"/>
            </w:tcBorders>
            <w:shd w:val="clear" w:color="auto" w:fill="auto"/>
          </w:tcPr>
          <w:p w14:paraId="08087182" w14:textId="77777777" w:rsidR="002A4DDF" w:rsidRPr="00937C8B" w:rsidRDefault="002A4DDF" w:rsidP="009110ED">
            <w:pPr>
              <w:rPr>
                <w:rFonts w:ascii="Arial" w:hAnsi="Arial" w:cs="Arial"/>
                <w:sz w:val="12"/>
                <w:szCs w:val="12"/>
              </w:rPr>
            </w:pPr>
          </w:p>
        </w:tc>
        <w:tc>
          <w:tcPr>
            <w:tcW w:w="1843" w:type="dxa"/>
            <w:shd w:val="clear" w:color="auto" w:fill="auto"/>
          </w:tcPr>
          <w:p w14:paraId="46F74691" w14:textId="77777777" w:rsidR="002A4DDF" w:rsidRPr="00937C8B" w:rsidRDefault="002A4DDF" w:rsidP="009110ED">
            <w:pPr>
              <w:rPr>
                <w:rFonts w:ascii="Arial" w:hAnsi="Arial" w:cs="Arial"/>
                <w:sz w:val="12"/>
                <w:szCs w:val="12"/>
              </w:rPr>
            </w:pPr>
          </w:p>
        </w:tc>
        <w:tc>
          <w:tcPr>
            <w:tcW w:w="2268" w:type="dxa"/>
            <w:shd w:val="clear" w:color="auto" w:fill="F2F2F2"/>
            <w:hideMark/>
          </w:tcPr>
          <w:p w14:paraId="175B0750" w14:textId="77777777" w:rsidR="002A4DDF" w:rsidRPr="00937C8B" w:rsidRDefault="002A4DDF" w:rsidP="009110ED">
            <w:pPr>
              <w:rPr>
                <w:rFonts w:ascii="Arial" w:hAnsi="Arial" w:cs="Arial"/>
                <w:sz w:val="12"/>
                <w:szCs w:val="12"/>
              </w:rPr>
            </w:pPr>
            <w:r>
              <w:rPr>
                <w:rFonts w:ascii="Arial" w:hAnsi="Arial"/>
                <w:sz w:val="12"/>
                <w:szCs w:val="12"/>
              </w:rPr>
              <w:t>San Martín de Valderaduey</w:t>
            </w:r>
          </w:p>
        </w:tc>
        <w:tc>
          <w:tcPr>
            <w:tcW w:w="2268" w:type="dxa"/>
            <w:tcBorders>
              <w:right w:val="single" w:sz="4" w:space="0" w:color="auto"/>
            </w:tcBorders>
            <w:shd w:val="clear" w:color="auto" w:fill="D9D9D9"/>
            <w:hideMark/>
          </w:tcPr>
          <w:p w14:paraId="1A344B5A" w14:textId="77777777" w:rsidR="002A4DDF" w:rsidRPr="00937C8B" w:rsidRDefault="002A4DDF" w:rsidP="009110ED">
            <w:pPr>
              <w:rPr>
                <w:rFonts w:ascii="Arial" w:hAnsi="Arial" w:cs="Arial"/>
                <w:sz w:val="12"/>
                <w:szCs w:val="12"/>
              </w:rPr>
            </w:pPr>
          </w:p>
        </w:tc>
      </w:tr>
      <w:tr w:rsidR="002A4DDF" w:rsidRPr="00937C8B" w14:paraId="725FC333" w14:textId="77777777" w:rsidTr="00935676">
        <w:trPr>
          <w:cantSplit/>
        </w:trPr>
        <w:tc>
          <w:tcPr>
            <w:tcW w:w="1696" w:type="dxa"/>
            <w:tcBorders>
              <w:left w:val="single" w:sz="4" w:space="0" w:color="auto"/>
            </w:tcBorders>
            <w:shd w:val="clear" w:color="auto" w:fill="auto"/>
          </w:tcPr>
          <w:p w14:paraId="7ACB7527" w14:textId="77777777" w:rsidR="002A4DDF" w:rsidRPr="00937C8B" w:rsidRDefault="002A4DDF" w:rsidP="009110ED">
            <w:pPr>
              <w:rPr>
                <w:rFonts w:ascii="Arial" w:hAnsi="Arial" w:cs="Arial"/>
                <w:sz w:val="12"/>
                <w:szCs w:val="12"/>
              </w:rPr>
            </w:pPr>
          </w:p>
        </w:tc>
        <w:tc>
          <w:tcPr>
            <w:tcW w:w="1843" w:type="dxa"/>
            <w:shd w:val="clear" w:color="auto" w:fill="auto"/>
          </w:tcPr>
          <w:p w14:paraId="6A5A5014" w14:textId="77777777" w:rsidR="002A4DDF" w:rsidRPr="00937C8B" w:rsidRDefault="002A4DDF" w:rsidP="009110ED">
            <w:pPr>
              <w:rPr>
                <w:rFonts w:ascii="Arial" w:hAnsi="Arial" w:cs="Arial"/>
                <w:sz w:val="12"/>
                <w:szCs w:val="12"/>
              </w:rPr>
            </w:pPr>
          </w:p>
        </w:tc>
        <w:tc>
          <w:tcPr>
            <w:tcW w:w="2268" w:type="dxa"/>
            <w:shd w:val="clear" w:color="auto" w:fill="F2F2F2"/>
            <w:hideMark/>
          </w:tcPr>
          <w:p w14:paraId="25BEF34C" w14:textId="77777777" w:rsidR="002A4DDF" w:rsidRPr="00937C8B" w:rsidRDefault="002A4DDF" w:rsidP="009110ED">
            <w:pPr>
              <w:rPr>
                <w:rFonts w:ascii="Arial" w:hAnsi="Arial" w:cs="Arial"/>
                <w:sz w:val="12"/>
                <w:szCs w:val="12"/>
              </w:rPr>
            </w:pPr>
            <w:r>
              <w:rPr>
                <w:rFonts w:ascii="Arial" w:hAnsi="Arial"/>
                <w:sz w:val="12"/>
                <w:szCs w:val="12"/>
              </w:rPr>
              <w:t>San Miguel de la Ribera</w:t>
            </w:r>
          </w:p>
        </w:tc>
        <w:tc>
          <w:tcPr>
            <w:tcW w:w="2268" w:type="dxa"/>
            <w:tcBorders>
              <w:right w:val="single" w:sz="4" w:space="0" w:color="auto"/>
            </w:tcBorders>
            <w:shd w:val="clear" w:color="auto" w:fill="D9D9D9"/>
            <w:hideMark/>
          </w:tcPr>
          <w:p w14:paraId="298870E5" w14:textId="77777777" w:rsidR="002A4DDF" w:rsidRPr="00937C8B" w:rsidRDefault="002A4DDF" w:rsidP="009110ED">
            <w:pPr>
              <w:rPr>
                <w:rFonts w:ascii="Arial" w:hAnsi="Arial" w:cs="Arial"/>
                <w:sz w:val="12"/>
                <w:szCs w:val="12"/>
              </w:rPr>
            </w:pPr>
          </w:p>
        </w:tc>
      </w:tr>
      <w:tr w:rsidR="002A4DDF" w:rsidRPr="00937C8B" w14:paraId="1D623EE8" w14:textId="77777777" w:rsidTr="00935676">
        <w:trPr>
          <w:cantSplit/>
        </w:trPr>
        <w:tc>
          <w:tcPr>
            <w:tcW w:w="1696" w:type="dxa"/>
            <w:tcBorders>
              <w:left w:val="single" w:sz="4" w:space="0" w:color="auto"/>
            </w:tcBorders>
            <w:shd w:val="clear" w:color="auto" w:fill="auto"/>
          </w:tcPr>
          <w:p w14:paraId="5ED07CB4" w14:textId="77777777" w:rsidR="002A4DDF" w:rsidRPr="00937C8B" w:rsidRDefault="002A4DDF" w:rsidP="009110ED">
            <w:pPr>
              <w:rPr>
                <w:rFonts w:ascii="Arial" w:hAnsi="Arial" w:cs="Arial"/>
                <w:sz w:val="12"/>
                <w:szCs w:val="12"/>
              </w:rPr>
            </w:pPr>
          </w:p>
        </w:tc>
        <w:tc>
          <w:tcPr>
            <w:tcW w:w="1843" w:type="dxa"/>
            <w:shd w:val="clear" w:color="auto" w:fill="auto"/>
          </w:tcPr>
          <w:p w14:paraId="7F4CE4EC" w14:textId="77777777" w:rsidR="002A4DDF" w:rsidRPr="00937C8B" w:rsidRDefault="002A4DDF" w:rsidP="009110ED">
            <w:pPr>
              <w:rPr>
                <w:rFonts w:ascii="Arial" w:hAnsi="Arial" w:cs="Arial"/>
                <w:sz w:val="12"/>
                <w:szCs w:val="12"/>
              </w:rPr>
            </w:pPr>
          </w:p>
        </w:tc>
        <w:tc>
          <w:tcPr>
            <w:tcW w:w="2268" w:type="dxa"/>
            <w:shd w:val="clear" w:color="auto" w:fill="F2F2F2"/>
            <w:hideMark/>
          </w:tcPr>
          <w:p w14:paraId="43F72247" w14:textId="77777777" w:rsidR="002A4DDF" w:rsidRPr="00937C8B" w:rsidRDefault="002A4DDF" w:rsidP="009110ED">
            <w:pPr>
              <w:rPr>
                <w:rFonts w:ascii="Arial" w:hAnsi="Arial" w:cs="Arial"/>
                <w:sz w:val="12"/>
                <w:szCs w:val="12"/>
              </w:rPr>
            </w:pPr>
            <w:r>
              <w:rPr>
                <w:rFonts w:ascii="Arial" w:hAnsi="Arial"/>
                <w:sz w:val="12"/>
                <w:szCs w:val="12"/>
              </w:rPr>
              <w:t>San Pedro de Ceque</w:t>
            </w:r>
          </w:p>
        </w:tc>
        <w:tc>
          <w:tcPr>
            <w:tcW w:w="2268" w:type="dxa"/>
            <w:tcBorders>
              <w:right w:val="single" w:sz="4" w:space="0" w:color="auto"/>
            </w:tcBorders>
            <w:shd w:val="clear" w:color="auto" w:fill="D9D9D9"/>
            <w:hideMark/>
          </w:tcPr>
          <w:p w14:paraId="7AEAD109" w14:textId="77777777" w:rsidR="002A4DDF" w:rsidRPr="00937C8B" w:rsidRDefault="002A4DDF" w:rsidP="009110ED">
            <w:pPr>
              <w:rPr>
                <w:rFonts w:ascii="Arial" w:hAnsi="Arial" w:cs="Arial"/>
                <w:sz w:val="12"/>
                <w:szCs w:val="12"/>
              </w:rPr>
            </w:pPr>
          </w:p>
        </w:tc>
      </w:tr>
      <w:tr w:rsidR="002A4DDF" w:rsidRPr="00937C8B" w14:paraId="593F5836" w14:textId="77777777" w:rsidTr="00935676">
        <w:trPr>
          <w:cantSplit/>
        </w:trPr>
        <w:tc>
          <w:tcPr>
            <w:tcW w:w="1696" w:type="dxa"/>
            <w:tcBorders>
              <w:left w:val="single" w:sz="4" w:space="0" w:color="auto"/>
            </w:tcBorders>
            <w:shd w:val="clear" w:color="auto" w:fill="auto"/>
          </w:tcPr>
          <w:p w14:paraId="5D140ED7" w14:textId="77777777" w:rsidR="002A4DDF" w:rsidRPr="00937C8B" w:rsidRDefault="002A4DDF" w:rsidP="009110ED">
            <w:pPr>
              <w:rPr>
                <w:rFonts w:ascii="Arial" w:hAnsi="Arial" w:cs="Arial"/>
                <w:sz w:val="12"/>
                <w:szCs w:val="12"/>
              </w:rPr>
            </w:pPr>
          </w:p>
        </w:tc>
        <w:tc>
          <w:tcPr>
            <w:tcW w:w="1843" w:type="dxa"/>
            <w:shd w:val="clear" w:color="auto" w:fill="auto"/>
          </w:tcPr>
          <w:p w14:paraId="658A2FA9" w14:textId="77777777" w:rsidR="002A4DDF" w:rsidRPr="00937C8B" w:rsidRDefault="002A4DDF" w:rsidP="009110ED">
            <w:pPr>
              <w:rPr>
                <w:rFonts w:ascii="Arial" w:hAnsi="Arial" w:cs="Arial"/>
                <w:sz w:val="12"/>
                <w:szCs w:val="12"/>
              </w:rPr>
            </w:pPr>
          </w:p>
        </w:tc>
        <w:tc>
          <w:tcPr>
            <w:tcW w:w="2268" w:type="dxa"/>
            <w:shd w:val="clear" w:color="auto" w:fill="F2F2F2"/>
            <w:hideMark/>
          </w:tcPr>
          <w:p w14:paraId="01535345" w14:textId="77777777" w:rsidR="002A4DDF" w:rsidRPr="00937C8B" w:rsidRDefault="002A4DDF" w:rsidP="009110ED">
            <w:pPr>
              <w:rPr>
                <w:rFonts w:ascii="Arial" w:hAnsi="Arial" w:cs="Arial"/>
                <w:sz w:val="12"/>
                <w:szCs w:val="12"/>
              </w:rPr>
            </w:pPr>
            <w:r>
              <w:rPr>
                <w:rFonts w:ascii="Arial" w:hAnsi="Arial"/>
                <w:sz w:val="12"/>
                <w:szCs w:val="12"/>
              </w:rPr>
              <w:t>San Pedro de la Nave-Almendra</w:t>
            </w:r>
          </w:p>
        </w:tc>
        <w:tc>
          <w:tcPr>
            <w:tcW w:w="2268" w:type="dxa"/>
            <w:tcBorders>
              <w:right w:val="single" w:sz="4" w:space="0" w:color="auto"/>
            </w:tcBorders>
            <w:shd w:val="clear" w:color="auto" w:fill="D9D9D9"/>
            <w:hideMark/>
          </w:tcPr>
          <w:p w14:paraId="74AE2E9E" w14:textId="77777777" w:rsidR="002A4DDF" w:rsidRPr="00937C8B" w:rsidRDefault="002A4DDF" w:rsidP="009110ED">
            <w:pPr>
              <w:rPr>
                <w:rFonts w:ascii="Arial" w:hAnsi="Arial" w:cs="Arial"/>
                <w:sz w:val="12"/>
                <w:szCs w:val="12"/>
              </w:rPr>
            </w:pPr>
          </w:p>
        </w:tc>
      </w:tr>
      <w:tr w:rsidR="002A4DDF" w:rsidRPr="00937C8B" w14:paraId="5D86EEFD" w14:textId="77777777" w:rsidTr="00935676">
        <w:trPr>
          <w:cantSplit/>
        </w:trPr>
        <w:tc>
          <w:tcPr>
            <w:tcW w:w="1696" w:type="dxa"/>
            <w:tcBorders>
              <w:left w:val="single" w:sz="4" w:space="0" w:color="auto"/>
            </w:tcBorders>
            <w:shd w:val="clear" w:color="auto" w:fill="auto"/>
          </w:tcPr>
          <w:p w14:paraId="6E27FBE3" w14:textId="77777777" w:rsidR="002A4DDF" w:rsidRPr="00937C8B" w:rsidRDefault="002A4DDF" w:rsidP="009110ED">
            <w:pPr>
              <w:rPr>
                <w:rFonts w:ascii="Arial" w:hAnsi="Arial" w:cs="Arial"/>
                <w:sz w:val="12"/>
                <w:szCs w:val="12"/>
              </w:rPr>
            </w:pPr>
          </w:p>
        </w:tc>
        <w:tc>
          <w:tcPr>
            <w:tcW w:w="1843" w:type="dxa"/>
            <w:shd w:val="clear" w:color="auto" w:fill="auto"/>
          </w:tcPr>
          <w:p w14:paraId="0EF71F5D" w14:textId="77777777" w:rsidR="002A4DDF" w:rsidRPr="00937C8B" w:rsidRDefault="002A4DDF" w:rsidP="009110ED">
            <w:pPr>
              <w:rPr>
                <w:rFonts w:ascii="Arial" w:hAnsi="Arial" w:cs="Arial"/>
                <w:sz w:val="12"/>
                <w:szCs w:val="12"/>
              </w:rPr>
            </w:pPr>
          </w:p>
        </w:tc>
        <w:tc>
          <w:tcPr>
            <w:tcW w:w="2268" w:type="dxa"/>
            <w:shd w:val="clear" w:color="auto" w:fill="F2F2F2"/>
            <w:hideMark/>
          </w:tcPr>
          <w:p w14:paraId="397AFBD7" w14:textId="77777777" w:rsidR="002A4DDF" w:rsidRPr="00937C8B" w:rsidRDefault="002A4DDF" w:rsidP="009110ED">
            <w:pPr>
              <w:rPr>
                <w:rFonts w:ascii="Arial" w:hAnsi="Arial" w:cs="Arial"/>
                <w:sz w:val="12"/>
                <w:szCs w:val="12"/>
              </w:rPr>
            </w:pPr>
            <w:r>
              <w:rPr>
                <w:rFonts w:ascii="Arial" w:hAnsi="Arial"/>
                <w:sz w:val="12"/>
                <w:szCs w:val="12"/>
              </w:rPr>
              <w:t>San Vicente de la Cabeza</w:t>
            </w:r>
          </w:p>
        </w:tc>
        <w:tc>
          <w:tcPr>
            <w:tcW w:w="2268" w:type="dxa"/>
            <w:tcBorders>
              <w:right w:val="single" w:sz="4" w:space="0" w:color="auto"/>
            </w:tcBorders>
            <w:shd w:val="clear" w:color="auto" w:fill="D9D9D9"/>
            <w:hideMark/>
          </w:tcPr>
          <w:p w14:paraId="3E1C44C4" w14:textId="77777777" w:rsidR="002A4DDF" w:rsidRPr="00937C8B" w:rsidRDefault="002A4DDF" w:rsidP="009110ED">
            <w:pPr>
              <w:rPr>
                <w:rFonts w:ascii="Arial" w:hAnsi="Arial" w:cs="Arial"/>
                <w:sz w:val="12"/>
                <w:szCs w:val="12"/>
              </w:rPr>
            </w:pPr>
          </w:p>
        </w:tc>
      </w:tr>
      <w:tr w:rsidR="002A4DDF" w:rsidRPr="00937C8B" w14:paraId="4C3647C1" w14:textId="77777777" w:rsidTr="00935676">
        <w:trPr>
          <w:cantSplit/>
        </w:trPr>
        <w:tc>
          <w:tcPr>
            <w:tcW w:w="1696" w:type="dxa"/>
            <w:tcBorders>
              <w:left w:val="single" w:sz="4" w:space="0" w:color="auto"/>
            </w:tcBorders>
            <w:shd w:val="clear" w:color="auto" w:fill="auto"/>
          </w:tcPr>
          <w:p w14:paraId="1C8B4D4F" w14:textId="77777777" w:rsidR="002A4DDF" w:rsidRPr="00937C8B" w:rsidRDefault="002A4DDF" w:rsidP="009110ED">
            <w:pPr>
              <w:rPr>
                <w:rFonts w:ascii="Arial" w:hAnsi="Arial" w:cs="Arial"/>
                <w:sz w:val="12"/>
                <w:szCs w:val="12"/>
              </w:rPr>
            </w:pPr>
          </w:p>
        </w:tc>
        <w:tc>
          <w:tcPr>
            <w:tcW w:w="1843" w:type="dxa"/>
            <w:shd w:val="clear" w:color="auto" w:fill="auto"/>
          </w:tcPr>
          <w:p w14:paraId="27218AAB" w14:textId="77777777" w:rsidR="002A4DDF" w:rsidRPr="00937C8B" w:rsidRDefault="002A4DDF" w:rsidP="009110ED">
            <w:pPr>
              <w:rPr>
                <w:rFonts w:ascii="Arial" w:hAnsi="Arial" w:cs="Arial"/>
                <w:sz w:val="12"/>
                <w:szCs w:val="12"/>
              </w:rPr>
            </w:pPr>
          </w:p>
        </w:tc>
        <w:tc>
          <w:tcPr>
            <w:tcW w:w="2268" w:type="dxa"/>
            <w:shd w:val="clear" w:color="auto" w:fill="F2F2F2"/>
            <w:hideMark/>
          </w:tcPr>
          <w:p w14:paraId="4CD19A16" w14:textId="77777777" w:rsidR="002A4DDF" w:rsidRPr="00937C8B" w:rsidRDefault="002A4DDF" w:rsidP="009110ED">
            <w:pPr>
              <w:rPr>
                <w:rFonts w:ascii="Arial" w:hAnsi="Arial" w:cs="Arial"/>
                <w:sz w:val="12"/>
                <w:szCs w:val="12"/>
              </w:rPr>
            </w:pPr>
            <w:r>
              <w:rPr>
                <w:rFonts w:ascii="Arial" w:hAnsi="Arial"/>
                <w:sz w:val="12"/>
                <w:szCs w:val="12"/>
              </w:rPr>
              <w:t>Santa Clara de Avedillo</w:t>
            </w:r>
          </w:p>
        </w:tc>
        <w:tc>
          <w:tcPr>
            <w:tcW w:w="2268" w:type="dxa"/>
            <w:tcBorders>
              <w:right w:val="single" w:sz="4" w:space="0" w:color="auto"/>
            </w:tcBorders>
            <w:shd w:val="clear" w:color="auto" w:fill="D9D9D9"/>
            <w:hideMark/>
          </w:tcPr>
          <w:p w14:paraId="20112146" w14:textId="77777777" w:rsidR="002A4DDF" w:rsidRPr="00937C8B" w:rsidRDefault="002A4DDF" w:rsidP="009110ED">
            <w:pPr>
              <w:rPr>
                <w:rFonts w:ascii="Arial" w:hAnsi="Arial" w:cs="Arial"/>
                <w:sz w:val="12"/>
                <w:szCs w:val="12"/>
              </w:rPr>
            </w:pPr>
          </w:p>
        </w:tc>
      </w:tr>
      <w:tr w:rsidR="002A4DDF" w:rsidRPr="00937C8B" w14:paraId="62BAFF82" w14:textId="77777777" w:rsidTr="00935676">
        <w:trPr>
          <w:cantSplit/>
        </w:trPr>
        <w:tc>
          <w:tcPr>
            <w:tcW w:w="1696" w:type="dxa"/>
            <w:tcBorders>
              <w:left w:val="single" w:sz="4" w:space="0" w:color="auto"/>
            </w:tcBorders>
            <w:shd w:val="clear" w:color="auto" w:fill="auto"/>
          </w:tcPr>
          <w:p w14:paraId="596BA256" w14:textId="77777777" w:rsidR="002A4DDF" w:rsidRPr="00937C8B" w:rsidRDefault="002A4DDF" w:rsidP="009110ED">
            <w:pPr>
              <w:rPr>
                <w:rFonts w:ascii="Arial" w:hAnsi="Arial" w:cs="Arial"/>
                <w:sz w:val="12"/>
                <w:szCs w:val="12"/>
              </w:rPr>
            </w:pPr>
          </w:p>
        </w:tc>
        <w:tc>
          <w:tcPr>
            <w:tcW w:w="1843" w:type="dxa"/>
            <w:shd w:val="clear" w:color="auto" w:fill="auto"/>
          </w:tcPr>
          <w:p w14:paraId="113F9450" w14:textId="77777777" w:rsidR="002A4DDF" w:rsidRPr="00937C8B" w:rsidRDefault="002A4DDF" w:rsidP="009110ED">
            <w:pPr>
              <w:rPr>
                <w:rFonts w:ascii="Arial" w:hAnsi="Arial" w:cs="Arial"/>
                <w:sz w:val="12"/>
                <w:szCs w:val="12"/>
              </w:rPr>
            </w:pPr>
          </w:p>
        </w:tc>
        <w:tc>
          <w:tcPr>
            <w:tcW w:w="2268" w:type="dxa"/>
            <w:shd w:val="clear" w:color="auto" w:fill="F2F2F2"/>
            <w:hideMark/>
          </w:tcPr>
          <w:p w14:paraId="4F297716" w14:textId="77777777" w:rsidR="002A4DDF" w:rsidRPr="00937C8B" w:rsidRDefault="002A4DDF" w:rsidP="009110ED">
            <w:pPr>
              <w:rPr>
                <w:rFonts w:ascii="Arial" w:hAnsi="Arial" w:cs="Arial"/>
                <w:sz w:val="12"/>
                <w:szCs w:val="12"/>
              </w:rPr>
            </w:pPr>
            <w:r>
              <w:rPr>
                <w:rFonts w:ascii="Arial" w:hAnsi="Arial"/>
                <w:sz w:val="12"/>
                <w:szCs w:val="12"/>
              </w:rPr>
              <w:t>Santa Colomba de las Monjas</w:t>
            </w:r>
          </w:p>
        </w:tc>
        <w:tc>
          <w:tcPr>
            <w:tcW w:w="2268" w:type="dxa"/>
            <w:tcBorders>
              <w:right w:val="single" w:sz="4" w:space="0" w:color="auto"/>
            </w:tcBorders>
            <w:shd w:val="clear" w:color="auto" w:fill="D9D9D9"/>
            <w:hideMark/>
          </w:tcPr>
          <w:p w14:paraId="04CA5F69" w14:textId="77777777" w:rsidR="002A4DDF" w:rsidRPr="00937C8B" w:rsidRDefault="002A4DDF" w:rsidP="009110ED">
            <w:pPr>
              <w:rPr>
                <w:rFonts w:ascii="Arial" w:hAnsi="Arial" w:cs="Arial"/>
                <w:sz w:val="12"/>
                <w:szCs w:val="12"/>
              </w:rPr>
            </w:pPr>
          </w:p>
        </w:tc>
      </w:tr>
      <w:tr w:rsidR="002A4DDF" w:rsidRPr="00937C8B" w14:paraId="7A624A2F" w14:textId="77777777" w:rsidTr="00935676">
        <w:trPr>
          <w:cantSplit/>
        </w:trPr>
        <w:tc>
          <w:tcPr>
            <w:tcW w:w="1696" w:type="dxa"/>
            <w:tcBorders>
              <w:left w:val="single" w:sz="4" w:space="0" w:color="auto"/>
            </w:tcBorders>
            <w:shd w:val="clear" w:color="auto" w:fill="auto"/>
          </w:tcPr>
          <w:p w14:paraId="3AE8F931" w14:textId="77777777" w:rsidR="002A4DDF" w:rsidRPr="00937C8B" w:rsidRDefault="002A4DDF" w:rsidP="009110ED">
            <w:pPr>
              <w:rPr>
                <w:rFonts w:ascii="Arial" w:hAnsi="Arial" w:cs="Arial"/>
                <w:sz w:val="12"/>
                <w:szCs w:val="12"/>
              </w:rPr>
            </w:pPr>
          </w:p>
        </w:tc>
        <w:tc>
          <w:tcPr>
            <w:tcW w:w="1843" w:type="dxa"/>
            <w:shd w:val="clear" w:color="auto" w:fill="auto"/>
          </w:tcPr>
          <w:p w14:paraId="16AC93E9" w14:textId="77777777" w:rsidR="002A4DDF" w:rsidRPr="00937C8B" w:rsidRDefault="002A4DDF" w:rsidP="009110ED">
            <w:pPr>
              <w:rPr>
                <w:rFonts w:ascii="Arial" w:hAnsi="Arial" w:cs="Arial"/>
                <w:sz w:val="12"/>
                <w:szCs w:val="12"/>
              </w:rPr>
            </w:pPr>
          </w:p>
        </w:tc>
        <w:tc>
          <w:tcPr>
            <w:tcW w:w="2268" w:type="dxa"/>
            <w:shd w:val="clear" w:color="auto" w:fill="F2F2F2"/>
            <w:hideMark/>
          </w:tcPr>
          <w:p w14:paraId="75B31394" w14:textId="77777777" w:rsidR="002A4DDF" w:rsidRPr="00937C8B" w:rsidRDefault="002A4DDF" w:rsidP="009110ED">
            <w:pPr>
              <w:rPr>
                <w:rFonts w:ascii="Arial" w:hAnsi="Arial" w:cs="Arial"/>
                <w:sz w:val="12"/>
                <w:szCs w:val="12"/>
              </w:rPr>
            </w:pPr>
            <w:r>
              <w:rPr>
                <w:rFonts w:ascii="Arial" w:hAnsi="Arial"/>
                <w:sz w:val="12"/>
                <w:szCs w:val="12"/>
              </w:rPr>
              <w:t>Santa Cristina de la Polvorosa</w:t>
            </w:r>
          </w:p>
        </w:tc>
        <w:tc>
          <w:tcPr>
            <w:tcW w:w="2268" w:type="dxa"/>
            <w:tcBorders>
              <w:right w:val="single" w:sz="4" w:space="0" w:color="auto"/>
            </w:tcBorders>
            <w:shd w:val="clear" w:color="auto" w:fill="D9D9D9"/>
            <w:hideMark/>
          </w:tcPr>
          <w:p w14:paraId="72030EF9" w14:textId="77777777" w:rsidR="002A4DDF" w:rsidRPr="00937C8B" w:rsidRDefault="002A4DDF" w:rsidP="009110ED">
            <w:pPr>
              <w:rPr>
                <w:rFonts w:ascii="Arial" w:hAnsi="Arial" w:cs="Arial"/>
                <w:sz w:val="12"/>
                <w:szCs w:val="12"/>
              </w:rPr>
            </w:pPr>
          </w:p>
        </w:tc>
      </w:tr>
      <w:tr w:rsidR="002A4DDF" w:rsidRPr="00937C8B" w14:paraId="2FD8F296" w14:textId="77777777" w:rsidTr="00935676">
        <w:trPr>
          <w:cantSplit/>
        </w:trPr>
        <w:tc>
          <w:tcPr>
            <w:tcW w:w="1696" w:type="dxa"/>
            <w:tcBorders>
              <w:left w:val="single" w:sz="4" w:space="0" w:color="auto"/>
            </w:tcBorders>
            <w:shd w:val="clear" w:color="auto" w:fill="auto"/>
          </w:tcPr>
          <w:p w14:paraId="27C4E449" w14:textId="77777777" w:rsidR="002A4DDF" w:rsidRPr="00937C8B" w:rsidRDefault="002A4DDF" w:rsidP="009110ED">
            <w:pPr>
              <w:rPr>
                <w:rFonts w:ascii="Arial" w:hAnsi="Arial" w:cs="Arial"/>
                <w:sz w:val="12"/>
                <w:szCs w:val="12"/>
              </w:rPr>
            </w:pPr>
          </w:p>
        </w:tc>
        <w:tc>
          <w:tcPr>
            <w:tcW w:w="1843" w:type="dxa"/>
            <w:shd w:val="clear" w:color="auto" w:fill="auto"/>
          </w:tcPr>
          <w:p w14:paraId="47769E0F" w14:textId="77777777" w:rsidR="002A4DDF" w:rsidRPr="00937C8B" w:rsidRDefault="002A4DDF" w:rsidP="009110ED">
            <w:pPr>
              <w:rPr>
                <w:rFonts w:ascii="Arial" w:hAnsi="Arial" w:cs="Arial"/>
                <w:sz w:val="12"/>
                <w:szCs w:val="12"/>
              </w:rPr>
            </w:pPr>
          </w:p>
        </w:tc>
        <w:tc>
          <w:tcPr>
            <w:tcW w:w="2268" w:type="dxa"/>
            <w:shd w:val="clear" w:color="auto" w:fill="F2F2F2"/>
            <w:hideMark/>
          </w:tcPr>
          <w:p w14:paraId="2C9A819D" w14:textId="77777777" w:rsidR="002A4DDF" w:rsidRPr="00937C8B" w:rsidRDefault="002A4DDF" w:rsidP="009110ED">
            <w:pPr>
              <w:rPr>
                <w:rFonts w:ascii="Arial" w:hAnsi="Arial" w:cs="Arial"/>
                <w:sz w:val="12"/>
                <w:szCs w:val="12"/>
              </w:rPr>
            </w:pPr>
            <w:r>
              <w:rPr>
                <w:rFonts w:ascii="Arial" w:hAnsi="Arial"/>
                <w:sz w:val="12"/>
                <w:szCs w:val="12"/>
              </w:rPr>
              <w:t>Santa Croya de Tera</w:t>
            </w:r>
          </w:p>
        </w:tc>
        <w:tc>
          <w:tcPr>
            <w:tcW w:w="2268" w:type="dxa"/>
            <w:tcBorders>
              <w:right w:val="single" w:sz="4" w:space="0" w:color="auto"/>
            </w:tcBorders>
            <w:shd w:val="clear" w:color="auto" w:fill="D9D9D9"/>
            <w:hideMark/>
          </w:tcPr>
          <w:p w14:paraId="3E6B278C" w14:textId="77777777" w:rsidR="002A4DDF" w:rsidRPr="00937C8B" w:rsidRDefault="002A4DDF" w:rsidP="009110ED">
            <w:pPr>
              <w:rPr>
                <w:rFonts w:ascii="Arial" w:hAnsi="Arial" w:cs="Arial"/>
                <w:sz w:val="12"/>
                <w:szCs w:val="12"/>
              </w:rPr>
            </w:pPr>
          </w:p>
        </w:tc>
      </w:tr>
      <w:tr w:rsidR="002A4DDF" w:rsidRPr="00937C8B" w14:paraId="45CD44F7" w14:textId="77777777" w:rsidTr="00935676">
        <w:trPr>
          <w:cantSplit/>
        </w:trPr>
        <w:tc>
          <w:tcPr>
            <w:tcW w:w="1696" w:type="dxa"/>
            <w:tcBorders>
              <w:left w:val="single" w:sz="4" w:space="0" w:color="auto"/>
            </w:tcBorders>
            <w:shd w:val="clear" w:color="auto" w:fill="auto"/>
          </w:tcPr>
          <w:p w14:paraId="30DF3E55" w14:textId="77777777" w:rsidR="002A4DDF" w:rsidRPr="00937C8B" w:rsidRDefault="002A4DDF" w:rsidP="009110ED">
            <w:pPr>
              <w:rPr>
                <w:rFonts w:ascii="Arial" w:hAnsi="Arial" w:cs="Arial"/>
                <w:sz w:val="12"/>
                <w:szCs w:val="12"/>
              </w:rPr>
            </w:pPr>
          </w:p>
        </w:tc>
        <w:tc>
          <w:tcPr>
            <w:tcW w:w="1843" w:type="dxa"/>
            <w:shd w:val="clear" w:color="auto" w:fill="auto"/>
          </w:tcPr>
          <w:p w14:paraId="7F67148C" w14:textId="77777777" w:rsidR="002A4DDF" w:rsidRPr="00937C8B" w:rsidRDefault="002A4DDF" w:rsidP="009110ED">
            <w:pPr>
              <w:rPr>
                <w:rFonts w:ascii="Arial" w:hAnsi="Arial" w:cs="Arial"/>
                <w:sz w:val="12"/>
                <w:szCs w:val="12"/>
              </w:rPr>
            </w:pPr>
          </w:p>
        </w:tc>
        <w:tc>
          <w:tcPr>
            <w:tcW w:w="2268" w:type="dxa"/>
            <w:shd w:val="clear" w:color="auto" w:fill="F2F2F2"/>
            <w:hideMark/>
          </w:tcPr>
          <w:p w14:paraId="308C3E9D" w14:textId="77777777" w:rsidR="002A4DDF" w:rsidRPr="00937C8B" w:rsidRDefault="002A4DDF" w:rsidP="009110ED">
            <w:pPr>
              <w:rPr>
                <w:rFonts w:ascii="Arial" w:hAnsi="Arial" w:cs="Arial"/>
                <w:sz w:val="12"/>
                <w:szCs w:val="12"/>
              </w:rPr>
            </w:pPr>
            <w:r>
              <w:rPr>
                <w:rFonts w:ascii="Arial" w:hAnsi="Arial"/>
                <w:sz w:val="12"/>
                <w:szCs w:val="12"/>
              </w:rPr>
              <w:t>Santa Eufemia del Barco</w:t>
            </w:r>
          </w:p>
        </w:tc>
        <w:tc>
          <w:tcPr>
            <w:tcW w:w="2268" w:type="dxa"/>
            <w:tcBorders>
              <w:right w:val="single" w:sz="4" w:space="0" w:color="auto"/>
            </w:tcBorders>
            <w:shd w:val="clear" w:color="auto" w:fill="D9D9D9"/>
            <w:hideMark/>
          </w:tcPr>
          <w:p w14:paraId="0F4ADB57" w14:textId="77777777" w:rsidR="002A4DDF" w:rsidRPr="00937C8B" w:rsidRDefault="002A4DDF" w:rsidP="009110ED">
            <w:pPr>
              <w:rPr>
                <w:rFonts w:ascii="Arial" w:hAnsi="Arial" w:cs="Arial"/>
                <w:sz w:val="12"/>
                <w:szCs w:val="12"/>
              </w:rPr>
            </w:pPr>
          </w:p>
        </w:tc>
      </w:tr>
      <w:tr w:rsidR="002A4DDF" w:rsidRPr="00937C8B" w14:paraId="4A2DAFFC" w14:textId="77777777" w:rsidTr="00935676">
        <w:trPr>
          <w:cantSplit/>
        </w:trPr>
        <w:tc>
          <w:tcPr>
            <w:tcW w:w="1696" w:type="dxa"/>
            <w:tcBorders>
              <w:left w:val="single" w:sz="4" w:space="0" w:color="auto"/>
            </w:tcBorders>
            <w:shd w:val="clear" w:color="auto" w:fill="auto"/>
          </w:tcPr>
          <w:p w14:paraId="6EDB7F96" w14:textId="77777777" w:rsidR="002A4DDF" w:rsidRPr="00937C8B" w:rsidRDefault="002A4DDF" w:rsidP="009110ED">
            <w:pPr>
              <w:rPr>
                <w:rFonts w:ascii="Arial" w:hAnsi="Arial" w:cs="Arial"/>
                <w:sz w:val="12"/>
                <w:szCs w:val="12"/>
              </w:rPr>
            </w:pPr>
          </w:p>
        </w:tc>
        <w:tc>
          <w:tcPr>
            <w:tcW w:w="1843" w:type="dxa"/>
            <w:shd w:val="clear" w:color="auto" w:fill="auto"/>
          </w:tcPr>
          <w:p w14:paraId="75BA7EBF" w14:textId="77777777" w:rsidR="002A4DDF" w:rsidRPr="00937C8B" w:rsidRDefault="002A4DDF" w:rsidP="009110ED">
            <w:pPr>
              <w:rPr>
                <w:rFonts w:ascii="Arial" w:hAnsi="Arial" w:cs="Arial"/>
                <w:sz w:val="12"/>
                <w:szCs w:val="12"/>
              </w:rPr>
            </w:pPr>
          </w:p>
        </w:tc>
        <w:tc>
          <w:tcPr>
            <w:tcW w:w="2268" w:type="dxa"/>
            <w:shd w:val="clear" w:color="auto" w:fill="F2F2F2"/>
            <w:hideMark/>
          </w:tcPr>
          <w:p w14:paraId="0E9D5CE7" w14:textId="77777777" w:rsidR="002A4DDF" w:rsidRPr="00937C8B" w:rsidRDefault="002A4DDF" w:rsidP="009110ED">
            <w:pPr>
              <w:rPr>
                <w:rFonts w:ascii="Arial" w:hAnsi="Arial" w:cs="Arial"/>
                <w:sz w:val="12"/>
                <w:szCs w:val="12"/>
              </w:rPr>
            </w:pPr>
            <w:r>
              <w:rPr>
                <w:rFonts w:ascii="Arial" w:hAnsi="Arial"/>
                <w:sz w:val="12"/>
                <w:szCs w:val="12"/>
              </w:rPr>
              <w:t>Santa María de Valverde</w:t>
            </w:r>
          </w:p>
        </w:tc>
        <w:tc>
          <w:tcPr>
            <w:tcW w:w="2268" w:type="dxa"/>
            <w:tcBorders>
              <w:right w:val="single" w:sz="4" w:space="0" w:color="auto"/>
            </w:tcBorders>
            <w:shd w:val="clear" w:color="auto" w:fill="D9D9D9"/>
            <w:hideMark/>
          </w:tcPr>
          <w:p w14:paraId="4601B29B" w14:textId="77777777" w:rsidR="002A4DDF" w:rsidRPr="00937C8B" w:rsidRDefault="002A4DDF" w:rsidP="009110ED">
            <w:pPr>
              <w:rPr>
                <w:rFonts w:ascii="Arial" w:hAnsi="Arial" w:cs="Arial"/>
                <w:sz w:val="12"/>
                <w:szCs w:val="12"/>
              </w:rPr>
            </w:pPr>
          </w:p>
        </w:tc>
      </w:tr>
      <w:tr w:rsidR="002A4DDF" w:rsidRPr="00937C8B" w14:paraId="11AD80DF" w14:textId="77777777" w:rsidTr="00935676">
        <w:trPr>
          <w:cantSplit/>
        </w:trPr>
        <w:tc>
          <w:tcPr>
            <w:tcW w:w="1696" w:type="dxa"/>
            <w:tcBorders>
              <w:left w:val="single" w:sz="4" w:space="0" w:color="auto"/>
            </w:tcBorders>
            <w:shd w:val="clear" w:color="auto" w:fill="auto"/>
          </w:tcPr>
          <w:p w14:paraId="55C541EB" w14:textId="77777777" w:rsidR="002A4DDF" w:rsidRPr="00937C8B" w:rsidRDefault="002A4DDF" w:rsidP="009110ED">
            <w:pPr>
              <w:rPr>
                <w:rFonts w:ascii="Arial" w:hAnsi="Arial" w:cs="Arial"/>
                <w:sz w:val="12"/>
                <w:szCs w:val="12"/>
              </w:rPr>
            </w:pPr>
          </w:p>
        </w:tc>
        <w:tc>
          <w:tcPr>
            <w:tcW w:w="1843" w:type="dxa"/>
            <w:shd w:val="clear" w:color="auto" w:fill="auto"/>
          </w:tcPr>
          <w:p w14:paraId="0B7EB961" w14:textId="77777777" w:rsidR="002A4DDF" w:rsidRPr="00937C8B" w:rsidRDefault="002A4DDF" w:rsidP="009110ED">
            <w:pPr>
              <w:rPr>
                <w:rFonts w:ascii="Arial" w:hAnsi="Arial" w:cs="Arial"/>
                <w:sz w:val="12"/>
                <w:szCs w:val="12"/>
              </w:rPr>
            </w:pPr>
          </w:p>
        </w:tc>
        <w:tc>
          <w:tcPr>
            <w:tcW w:w="2268" w:type="dxa"/>
            <w:shd w:val="clear" w:color="auto" w:fill="F2F2F2"/>
            <w:hideMark/>
          </w:tcPr>
          <w:p w14:paraId="179A6C06" w14:textId="77777777" w:rsidR="002A4DDF" w:rsidRPr="00937C8B" w:rsidRDefault="002A4DDF" w:rsidP="009110ED">
            <w:pPr>
              <w:rPr>
                <w:rFonts w:ascii="Arial" w:hAnsi="Arial" w:cs="Arial"/>
                <w:sz w:val="12"/>
                <w:szCs w:val="12"/>
              </w:rPr>
            </w:pPr>
            <w:r>
              <w:rPr>
                <w:rFonts w:ascii="Arial" w:hAnsi="Arial"/>
                <w:sz w:val="12"/>
                <w:szCs w:val="12"/>
              </w:rPr>
              <w:t>Santibáñez de Tera</w:t>
            </w:r>
          </w:p>
        </w:tc>
        <w:tc>
          <w:tcPr>
            <w:tcW w:w="2268" w:type="dxa"/>
            <w:tcBorders>
              <w:right w:val="single" w:sz="4" w:space="0" w:color="auto"/>
            </w:tcBorders>
            <w:shd w:val="clear" w:color="auto" w:fill="D9D9D9"/>
            <w:hideMark/>
          </w:tcPr>
          <w:p w14:paraId="1A2ED4FC" w14:textId="77777777" w:rsidR="002A4DDF" w:rsidRPr="00937C8B" w:rsidRDefault="002A4DDF" w:rsidP="009110ED">
            <w:pPr>
              <w:rPr>
                <w:rFonts w:ascii="Arial" w:hAnsi="Arial" w:cs="Arial"/>
                <w:sz w:val="12"/>
                <w:szCs w:val="12"/>
              </w:rPr>
            </w:pPr>
          </w:p>
        </w:tc>
      </w:tr>
      <w:tr w:rsidR="002A4DDF" w:rsidRPr="00937C8B" w14:paraId="548BA443" w14:textId="77777777" w:rsidTr="00935676">
        <w:trPr>
          <w:cantSplit/>
        </w:trPr>
        <w:tc>
          <w:tcPr>
            <w:tcW w:w="1696" w:type="dxa"/>
            <w:tcBorders>
              <w:left w:val="single" w:sz="4" w:space="0" w:color="auto"/>
            </w:tcBorders>
            <w:shd w:val="clear" w:color="auto" w:fill="auto"/>
          </w:tcPr>
          <w:p w14:paraId="48359CC4" w14:textId="77777777" w:rsidR="002A4DDF" w:rsidRPr="00937C8B" w:rsidRDefault="002A4DDF" w:rsidP="009110ED">
            <w:pPr>
              <w:rPr>
                <w:rFonts w:ascii="Arial" w:hAnsi="Arial" w:cs="Arial"/>
                <w:sz w:val="12"/>
                <w:szCs w:val="12"/>
              </w:rPr>
            </w:pPr>
          </w:p>
        </w:tc>
        <w:tc>
          <w:tcPr>
            <w:tcW w:w="1843" w:type="dxa"/>
            <w:shd w:val="clear" w:color="auto" w:fill="auto"/>
          </w:tcPr>
          <w:p w14:paraId="4BCBD60E" w14:textId="77777777" w:rsidR="002A4DDF" w:rsidRPr="00937C8B" w:rsidRDefault="002A4DDF" w:rsidP="009110ED">
            <w:pPr>
              <w:rPr>
                <w:rFonts w:ascii="Arial" w:hAnsi="Arial" w:cs="Arial"/>
                <w:sz w:val="12"/>
                <w:szCs w:val="12"/>
              </w:rPr>
            </w:pPr>
          </w:p>
        </w:tc>
        <w:tc>
          <w:tcPr>
            <w:tcW w:w="2268" w:type="dxa"/>
            <w:shd w:val="clear" w:color="auto" w:fill="F2F2F2"/>
            <w:hideMark/>
          </w:tcPr>
          <w:p w14:paraId="65DFC288" w14:textId="77777777" w:rsidR="002A4DDF" w:rsidRPr="00937C8B" w:rsidRDefault="002A4DDF" w:rsidP="009110ED">
            <w:pPr>
              <w:rPr>
                <w:rFonts w:ascii="Arial" w:hAnsi="Arial" w:cs="Arial"/>
                <w:sz w:val="12"/>
                <w:szCs w:val="12"/>
              </w:rPr>
            </w:pPr>
            <w:r>
              <w:rPr>
                <w:rFonts w:ascii="Arial" w:hAnsi="Arial"/>
                <w:sz w:val="12"/>
                <w:szCs w:val="12"/>
              </w:rPr>
              <w:t>Santibáñez de Vidriales</w:t>
            </w:r>
          </w:p>
        </w:tc>
        <w:tc>
          <w:tcPr>
            <w:tcW w:w="2268" w:type="dxa"/>
            <w:tcBorders>
              <w:right w:val="single" w:sz="4" w:space="0" w:color="auto"/>
            </w:tcBorders>
            <w:shd w:val="clear" w:color="auto" w:fill="D9D9D9"/>
            <w:hideMark/>
          </w:tcPr>
          <w:p w14:paraId="5436C761" w14:textId="77777777" w:rsidR="002A4DDF" w:rsidRPr="00937C8B" w:rsidRDefault="002A4DDF" w:rsidP="009110ED">
            <w:pPr>
              <w:rPr>
                <w:rFonts w:ascii="Arial" w:hAnsi="Arial" w:cs="Arial"/>
                <w:sz w:val="12"/>
                <w:szCs w:val="12"/>
              </w:rPr>
            </w:pPr>
          </w:p>
        </w:tc>
      </w:tr>
      <w:tr w:rsidR="002A4DDF" w:rsidRPr="00937C8B" w14:paraId="0FC690C8" w14:textId="77777777" w:rsidTr="00935676">
        <w:trPr>
          <w:cantSplit/>
        </w:trPr>
        <w:tc>
          <w:tcPr>
            <w:tcW w:w="1696" w:type="dxa"/>
            <w:tcBorders>
              <w:left w:val="single" w:sz="4" w:space="0" w:color="auto"/>
            </w:tcBorders>
            <w:shd w:val="clear" w:color="auto" w:fill="auto"/>
          </w:tcPr>
          <w:p w14:paraId="0C2977E2" w14:textId="77777777" w:rsidR="002A4DDF" w:rsidRPr="00937C8B" w:rsidRDefault="002A4DDF" w:rsidP="009110ED">
            <w:pPr>
              <w:rPr>
                <w:rFonts w:ascii="Arial" w:hAnsi="Arial" w:cs="Arial"/>
                <w:sz w:val="12"/>
                <w:szCs w:val="12"/>
              </w:rPr>
            </w:pPr>
          </w:p>
        </w:tc>
        <w:tc>
          <w:tcPr>
            <w:tcW w:w="1843" w:type="dxa"/>
            <w:shd w:val="clear" w:color="auto" w:fill="auto"/>
          </w:tcPr>
          <w:p w14:paraId="2DE8CEE7" w14:textId="77777777" w:rsidR="002A4DDF" w:rsidRPr="00937C8B" w:rsidRDefault="002A4DDF" w:rsidP="009110ED">
            <w:pPr>
              <w:rPr>
                <w:rFonts w:ascii="Arial" w:hAnsi="Arial" w:cs="Arial"/>
                <w:sz w:val="12"/>
                <w:szCs w:val="12"/>
              </w:rPr>
            </w:pPr>
          </w:p>
        </w:tc>
        <w:tc>
          <w:tcPr>
            <w:tcW w:w="2268" w:type="dxa"/>
            <w:shd w:val="clear" w:color="auto" w:fill="F2F2F2"/>
            <w:hideMark/>
          </w:tcPr>
          <w:p w14:paraId="5756376D" w14:textId="77777777" w:rsidR="002A4DDF" w:rsidRPr="00937C8B" w:rsidRDefault="002A4DDF" w:rsidP="009110ED">
            <w:pPr>
              <w:rPr>
                <w:rFonts w:ascii="Arial" w:hAnsi="Arial" w:cs="Arial"/>
                <w:sz w:val="12"/>
                <w:szCs w:val="12"/>
              </w:rPr>
            </w:pPr>
            <w:r>
              <w:rPr>
                <w:rFonts w:ascii="Arial" w:hAnsi="Arial"/>
                <w:sz w:val="12"/>
                <w:szCs w:val="12"/>
              </w:rPr>
              <w:t>Santovenia</w:t>
            </w:r>
          </w:p>
        </w:tc>
        <w:tc>
          <w:tcPr>
            <w:tcW w:w="2268" w:type="dxa"/>
            <w:tcBorders>
              <w:right w:val="single" w:sz="4" w:space="0" w:color="auto"/>
            </w:tcBorders>
            <w:shd w:val="clear" w:color="auto" w:fill="D9D9D9"/>
            <w:hideMark/>
          </w:tcPr>
          <w:p w14:paraId="219943B1" w14:textId="77777777" w:rsidR="002A4DDF" w:rsidRPr="00937C8B" w:rsidRDefault="002A4DDF" w:rsidP="009110ED">
            <w:pPr>
              <w:rPr>
                <w:rFonts w:ascii="Arial" w:hAnsi="Arial" w:cs="Arial"/>
                <w:sz w:val="12"/>
                <w:szCs w:val="12"/>
              </w:rPr>
            </w:pPr>
          </w:p>
        </w:tc>
      </w:tr>
      <w:tr w:rsidR="002A4DDF" w:rsidRPr="00937C8B" w14:paraId="38C42150" w14:textId="77777777" w:rsidTr="00935676">
        <w:trPr>
          <w:cantSplit/>
        </w:trPr>
        <w:tc>
          <w:tcPr>
            <w:tcW w:w="1696" w:type="dxa"/>
            <w:tcBorders>
              <w:left w:val="single" w:sz="4" w:space="0" w:color="auto"/>
            </w:tcBorders>
            <w:shd w:val="clear" w:color="auto" w:fill="auto"/>
          </w:tcPr>
          <w:p w14:paraId="4FACF3F7" w14:textId="77777777" w:rsidR="002A4DDF" w:rsidRPr="00937C8B" w:rsidRDefault="002A4DDF" w:rsidP="009110ED">
            <w:pPr>
              <w:rPr>
                <w:rFonts w:ascii="Arial" w:hAnsi="Arial" w:cs="Arial"/>
                <w:sz w:val="12"/>
                <w:szCs w:val="12"/>
              </w:rPr>
            </w:pPr>
          </w:p>
        </w:tc>
        <w:tc>
          <w:tcPr>
            <w:tcW w:w="1843" w:type="dxa"/>
            <w:shd w:val="clear" w:color="auto" w:fill="auto"/>
          </w:tcPr>
          <w:p w14:paraId="3918241F" w14:textId="77777777" w:rsidR="002A4DDF" w:rsidRPr="00937C8B" w:rsidRDefault="002A4DDF" w:rsidP="009110ED">
            <w:pPr>
              <w:rPr>
                <w:rFonts w:ascii="Arial" w:hAnsi="Arial" w:cs="Arial"/>
                <w:sz w:val="12"/>
                <w:szCs w:val="12"/>
              </w:rPr>
            </w:pPr>
          </w:p>
        </w:tc>
        <w:tc>
          <w:tcPr>
            <w:tcW w:w="2268" w:type="dxa"/>
            <w:shd w:val="clear" w:color="auto" w:fill="F2F2F2"/>
            <w:hideMark/>
          </w:tcPr>
          <w:p w14:paraId="6E2E877C" w14:textId="77777777" w:rsidR="002A4DDF" w:rsidRPr="00937C8B" w:rsidRDefault="002A4DDF" w:rsidP="009110ED">
            <w:pPr>
              <w:rPr>
                <w:rFonts w:ascii="Arial" w:hAnsi="Arial" w:cs="Arial"/>
                <w:sz w:val="12"/>
                <w:szCs w:val="12"/>
              </w:rPr>
            </w:pPr>
            <w:r>
              <w:rPr>
                <w:rFonts w:ascii="Arial" w:hAnsi="Arial"/>
                <w:sz w:val="12"/>
                <w:szCs w:val="12"/>
              </w:rPr>
              <w:t>Sanzoles</w:t>
            </w:r>
          </w:p>
        </w:tc>
        <w:tc>
          <w:tcPr>
            <w:tcW w:w="2268" w:type="dxa"/>
            <w:tcBorders>
              <w:right w:val="single" w:sz="4" w:space="0" w:color="auto"/>
            </w:tcBorders>
            <w:shd w:val="clear" w:color="auto" w:fill="D9D9D9"/>
            <w:hideMark/>
          </w:tcPr>
          <w:p w14:paraId="0A10922B" w14:textId="77777777" w:rsidR="002A4DDF" w:rsidRPr="00937C8B" w:rsidRDefault="002A4DDF" w:rsidP="009110ED">
            <w:pPr>
              <w:rPr>
                <w:rFonts w:ascii="Arial" w:hAnsi="Arial" w:cs="Arial"/>
                <w:sz w:val="12"/>
                <w:szCs w:val="12"/>
              </w:rPr>
            </w:pPr>
          </w:p>
        </w:tc>
      </w:tr>
      <w:tr w:rsidR="002A4DDF" w:rsidRPr="00937C8B" w14:paraId="500FD45D" w14:textId="77777777" w:rsidTr="00935676">
        <w:trPr>
          <w:cantSplit/>
        </w:trPr>
        <w:tc>
          <w:tcPr>
            <w:tcW w:w="1696" w:type="dxa"/>
            <w:tcBorders>
              <w:left w:val="single" w:sz="4" w:space="0" w:color="auto"/>
            </w:tcBorders>
            <w:shd w:val="clear" w:color="auto" w:fill="auto"/>
          </w:tcPr>
          <w:p w14:paraId="573EBB8C" w14:textId="77777777" w:rsidR="002A4DDF" w:rsidRPr="00937C8B" w:rsidRDefault="002A4DDF" w:rsidP="009110ED">
            <w:pPr>
              <w:rPr>
                <w:rFonts w:ascii="Arial" w:hAnsi="Arial" w:cs="Arial"/>
                <w:sz w:val="12"/>
                <w:szCs w:val="12"/>
              </w:rPr>
            </w:pPr>
          </w:p>
        </w:tc>
        <w:tc>
          <w:tcPr>
            <w:tcW w:w="1843" w:type="dxa"/>
            <w:shd w:val="clear" w:color="auto" w:fill="auto"/>
          </w:tcPr>
          <w:p w14:paraId="1CADE0A0" w14:textId="77777777" w:rsidR="002A4DDF" w:rsidRPr="00937C8B" w:rsidRDefault="002A4DDF" w:rsidP="009110ED">
            <w:pPr>
              <w:rPr>
                <w:rFonts w:ascii="Arial" w:hAnsi="Arial" w:cs="Arial"/>
                <w:sz w:val="12"/>
                <w:szCs w:val="12"/>
              </w:rPr>
            </w:pPr>
          </w:p>
        </w:tc>
        <w:tc>
          <w:tcPr>
            <w:tcW w:w="2268" w:type="dxa"/>
            <w:shd w:val="clear" w:color="auto" w:fill="F2F2F2"/>
            <w:hideMark/>
          </w:tcPr>
          <w:p w14:paraId="558F09C7" w14:textId="77777777" w:rsidR="002A4DDF" w:rsidRPr="00937C8B" w:rsidRDefault="002A4DDF" w:rsidP="009110ED">
            <w:pPr>
              <w:rPr>
                <w:rFonts w:ascii="Arial" w:hAnsi="Arial" w:cs="Arial"/>
                <w:sz w:val="12"/>
                <w:szCs w:val="12"/>
              </w:rPr>
            </w:pPr>
            <w:r>
              <w:rPr>
                <w:rFonts w:ascii="Arial" w:hAnsi="Arial"/>
                <w:sz w:val="12"/>
                <w:szCs w:val="12"/>
              </w:rPr>
              <w:t>Tábara</w:t>
            </w:r>
          </w:p>
        </w:tc>
        <w:tc>
          <w:tcPr>
            <w:tcW w:w="2268" w:type="dxa"/>
            <w:tcBorders>
              <w:right w:val="single" w:sz="4" w:space="0" w:color="auto"/>
            </w:tcBorders>
            <w:shd w:val="clear" w:color="auto" w:fill="D9D9D9"/>
            <w:hideMark/>
          </w:tcPr>
          <w:p w14:paraId="6B770536" w14:textId="77777777" w:rsidR="002A4DDF" w:rsidRPr="00937C8B" w:rsidRDefault="002A4DDF" w:rsidP="009110ED">
            <w:pPr>
              <w:rPr>
                <w:rFonts w:ascii="Arial" w:hAnsi="Arial" w:cs="Arial"/>
                <w:sz w:val="12"/>
                <w:szCs w:val="12"/>
              </w:rPr>
            </w:pPr>
          </w:p>
        </w:tc>
      </w:tr>
      <w:tr w:rsidR="002A4DDF" w:rsidRPr="00937C8B" w14:paraId="14010CB4" w14:textId="77777777" w:rsidTr="00935676">
        <w:trPr>
          <w:cantSplit/>
        </w:trPr>
        <w:tc>
          <w:tcPr>
            <w:tcW w:w="1696" w:type="dxa"/>
            <w:tcBorders>
              <w:left w:val="single" w:sz="4" w:space="0" w:color="auto"/>
            </w:tcBorders>
            <w:shd w:val="clear" w:color="auto" w:fill="auto"/>
          </w:tcPr>
          <w:p w14:paraId="0A52D56C" w14:textId="77777777" w:rsidR="002A4DDF" w:rsidRPr="00937C8B" w:rsidRDefault="002A4DDF" w:rsidP="009110ED">
            <w:pPr>
              <w:rPr>
                <w:rFonts w:ascii="Arial" w:hAnsi="Arial" w:cs="Arial"/>
                <w:sz w:val="12"/>
                <w:szCs w:val="12"/>
              </w:rPr>
            </w:pPr>
          </w:p>
        </w:tc>
        <w:tc>
          <w:tcPr>
            <w:tcW w:w="1843" w:type="dxa"/>
            <w:shd w:val="clear" w:color="auto" w:fill="auto"/>
          </w:tcPr>
          <w:p w14:paraId="26D23759" w14:textId="77777777" w:rsidR="002A4DDF" w:rsidRPr="00937C8B" w:rsidRDefault="002A4DDF" w:rsidP="009110ED">
            <w:pPr>
              <w:rPr>
                <w:rFonts w:ascii="Arial" w:hAnsi="Arial" w:cs="Arial"/>
                <w:sz w:val="12"/>
                <w:szCs w:val="12"/>
              </w:rPr>
            </w:pPr>
          </w:p>
        </w:tc>
        <w:tc>
          <w:tcPr>
            <w:tcW w:w="2268" w:type="dxa"/>
            <w:shd w:val="clear" w:color="auto" w:fill="F2F2F2"/>
            <w:hideMark/>
          </w:tcPr>
          <w:p w14:paraId="69A22420" w14:textId="77777777" w:rsidR="002A4DDF" w:rsidRPr="00937C8B" w:rsidRDefault="002A4DDF" w:rsidP="009110ED">
            <w:pPr>
              <w:rPr>
                <w:rFonts w:ascii="Arial" w:hAnsi="Arial" w:cs="Arial"/>
                <w:sz w:val="12"/>
                <w:szCs w:val="12"/>
              </w:rPr>
            </w:pPr>
            <w:r>
              <w:rPr>
                <w:rFonts w:ascii="Arial" w:hAnsi="Arial"/>
                <w:sz w:val="12"/>
                <w:szCs w:val="12"/>
              </w:rPr>
              <w:t>Tapioles</w:t>
            </w:r>
          </w:p>
        </w:tc>
        <w:tc>
          <w:tcPr>
            <w:tcW w:w="2268" w:type="dxa"/>
            <w:tcBorders>
              <w:right w:val="single" w:sz="4" w:space="0" w:color="auto"/>
            </w:tcBorders>
            <w:shd w:val="clear" w:color="auto" w:fill="D9D9D9"/>
            <w:hideMark/>
          </w:tcPr>
          <w:p w14:paraId="0C50D4D1" w14:textId="77777777" w:rsidR="002A4DDF" w:rsidRPr="00937C8B" w:rsidRDefault="002A4DDF" w:rsidP="009110ED">
            <w:pPr>
              <w:rPr>
                <w:rFonts w:ascii="Arial" w:hAnsi="Arial" w:cs="Arial"/>
                <w:sz w:val="12"/>
                <w:szCs w:val="12"/>
              </w:rPr>
            </w:pPr>
          </w:p>
        </w:tc>
      </w:tr>
      <w:tr w:rsidR="002A4DDF" w:rsidRPr="00937C8B" w14:paraId="21CECD3F" w14:textId="77777777" w:rsidTr="00935676">
        <w:trPr>
          <w:cantSplit/>
        </w:trPr>
        <w:tc>
          <w:tcPr>
            <w:tcW w:w="1696" w:type="dxa"/>
            <w:tcBorders>
              <w:left w:val="single" w:sz="4" w:space="0" w:color="auto"/>
            </w:tcBorders>
            <w:shd w:val="clear" w:color="auto" w:fill="auto"/>
          </w:tcPr>
          <w:p w14:paraId="07510067" w14:textId="77777777" w:rsidR="002A4DDF" w:rsidRPr="00937C8B" w:rsidRDefault="002A4DDF" w:rsidP="009110ED">
            <w:pPr>
              <w:rPr>
                <w:rFonts w:ascii="Arial" w:hAnsi="Arial" w:cs="Arial"/>
                <w:sz w:val="12"/>
                <w:szCs w:val="12"/>
              </w:rPr>
            </w:pPr>
          </w:p>
        </w:tc>
        <w:tc>
          <w:tcPr>
            <w:tcW w:w="1843" w:type="dxa"/>
            <w:shd w:val="clear" w:color="auto" w:fill="auto"/>
          </w:tcPr>
          <w:p w14:paraId="49892CEF" w14:textId="77777777" w:rsidR="002A4DDF" w:rsidRPr="00937C8B" w:rsidRDefault="002A4DDF" w:rsidP="009110ED">
            <w:pPr>
              <w:rPr>
                <w:rFonts w:ascii="Arial" w:hAnsi="Arial" w:cs="Arial"/>
                <w:sz w:val="12"/>
                <w:szCs w:val="12"/>
              </w:rPr>
            </w:pPr>
          </w:p>
        </w:tc>
        <w:tc>
          <w:tcPr>
            <w:tcW w:w="2268" w:type="dxa"/>
            <w:shd w:val="clear" w:color="auto" w:fill="F2F2F2"/>
            <w:hideMark/>
          </w:tcPr>
          <w:p w14:paraId="2E8DAB89" w14:textId="77777777" w:rsidR="002A4DDF" w:rsidRPr="00937C8B" w:rsidRDefault="002A4DDF" w:rsidP="009110ED">
            <w:pPr>
              <w:rPr>
                <w:rFonts w:ascii="Arial" w:hAnsi="Arial" w:cs="Arial"/>
                <w:sz w:val="12"/>
                <w:szCs w:val="12"/>
              </w:rPr>
            </w:pPr>
            <w:r>
              <w:rPr>
                <w:rFonts w:ascii="Arial" w:hAnsi="Arial"/>
                <w:sz w:val="12"/>
                <w:szCs w:val="12"/>
              </w:rPr>
              <w:t>Toro</w:t>
            </w:r>
          </w:p>
        </w:tc>
        <w:tc>
          <w:tcPr>
            <w:tcW w:w="2268" w:type="dxa"/>
            <w:tcBorders>
              <w:right w:val="single" w:sz="4" w:space="0" w:color="auto"/>
            </w:tcBorders>
            <w:shd w:val="clear" w:color="auto" w:fill="D9D9D9"/>
            <w:hideMark/>
          </w:tcPr>
          <w:p w14:paraId="0BFA7107" w14:textId="77777777" w:rsidR="002A4DDF" w:rsidRPr="00937C8B" w:rsidRDefault="002A4DDF" w:rsidP="009110ED">
            <w:pPr>
              <w:rPr>
                <w:rFonts w:ascii="Arial" w:hAnsi="Arial" w:cs="Arial"/>
                <w:sz w:val="12"/>
                <w:szCs w:val="12"/>
              </w:rPr>
            </w:pPr>
          </w:p>
        </w:tc>
      </w:tr>
      <w:tr w:rsidR="002A4DDF" w:rsidRPr="00937C8B" w14:paraId="7FF83759" w14:textId="77777777" w:rsidTr="00935676">
        <w:trPr>
          <w:cantSplit/>
        </w:trPr>
        <w:tc>
          <w:tcPr>
            <w:tcW w:w="1696" w:type="dxa"/>
            <w:tcBorders>
              <w:left w:val="single" w:sz="4" w:space="0" w:color="auto"/>
            </w:tcBorders>
            <w:shd w:val="clear" w:color="auto" w:fill="auto"/>
          </w:tcPr>
          <w:p w14:paraId="15A4AA1A" w14:textId="77777777" w:rsidR="002A4DDF" w:rsidRPr="00937C8B" w:rsidRDefault="002A4DDF" w:rsidP="009110ED">
            <w:pPr>
              <w:rPr>
                <w:rFonts w:ascii="Arial" w:hAnsi="Arial" w:cs="Arial"/>
                <w:sz w:val="12"/>
                <w:szCs w:val="12"/>
              </w:rPr>
            </w:pPr>
          </w:p>
        </w:tc>
        <w:tc>
          <w:tcPr>
            <w:tcW w:w="1843" w:type="dxa"/>
            <w:shd w:val="clear" w:color="auto" w:fill="auto"/>
          </w:tcPr>
          <w:p w14:paraId="691E7478" w14:textId="77777777" w:rsidR="002A4DDF" w:rsidRPr="00937C8B" w:rsidRDefault="002A4DDF" w:rsidP="009110ED">
            <w:pPr>
              <w:rPr>
                <w:rFonts w:ascii="Arial" w:hAnsi="Arial" w:cs="Arial"/>
                <w:sz w:val="12"/>
                <w:szCs w:val="12"/>
              </w:rPr>
            </w:pPr>
          </w:p>
        </w:tc>
        <w:tc>
          <w:tcPr>
            <w:tcW w:w="2268" w:type="dxa"/>
            <w:shd w:val="clear" w:color="auto" w:fill="F2F2F2"/>
            <w:hideMark/>
          </w:tcPr>
          <w:p w14:paraId="5067154E" w14:textId="77777777" w:rsidR="002A4DDF" w:rsidRPr="00937C8B" w:rsidRDefault="002A4DDF" w:rsidP="009110ED">
            <w:pPr>
              <w:rPr>
                <w:rFonts w:ascii="Arial" w:hAnsi="Arial" w:cs="Arial"/>
                <w:sz w:val="12"/>
                <w:szCs w:val="12"/>
              </w:rPr>
            </w:pPr>
            <w:r>
              <w:rPr>
                <w:rFonts w:ascii="Arial" w:hAnsi="Arial"/>
                <w:sz w:val="12"/>
                <w:szCs w:val="12"/>
              </w:rPr>
              <w:t>Torres del Carrizal</w:t>
            </w:r>
          </w:p>
        </w:tc>
        <w:tc>
          <w:tcPr>
            <w:tcW w:w="2268" w:type="dxa"/>
            <w:tcBorders>
              <w:right w:val="single" w:sz="4" w:space="0" w:color="auto"/>
            </w:tcBorders>
            <w:shd w:val="clear" w:color="auto" w:fill="D9D9D9"/>
            <w:hideMark/>
          </w:tcPr>
          <w:p w14:paraId="1DA938E4" w14:textId="77777777" w:rsidR="002A4DDF" w:rsidRPr="00937C8B" w:rsidRDefault="002A4DDF" w:rsidP="009110ED">
            <w:pPr>
              <w:rPr>
                <w:rFonts w:ascii="Arial" w:hAnsi="Arial" w:cs="Arial"/>
                <w:sz w:val="12"/>
                <w:szCs w:val="12"/>
              </w:rPr>
            </w:pPr>
          </w:p>
        </w:tc>
      </w:tr>
      <w:tr w:rsidR="002A4DDF" w:rsidRPr="00937C8B" w14:paraId="38E995CC" w14:textId="77777777" w:rsidTr="00935676">
        <w:trPr>
          <w:cantSplit/>
        </w:trPr>
        <w:tc>
          <w:tcPr>
            <w:tcW w:w="1696" w:type="dxa"/>
            <w:tcBorders>
              <w:left w:val="single" w:sz="4" w:space="0" w:color="auto"/>
            </w:tcBorders>
            <w:shd w:val="clear" w:color="auto" w:fill="auto"/>
          </w:tcPr>
          <w:p w14:paraId="70705E32" w14:textId="77777777" w:rsidR="002A4DDF" w:rsidRPr="00937C8B" w:rsidRDefault="002A4DDF" w:rsidP="009110ED">
            <w:pPr>
              <w:rPr>
                <w:rFonts w:ascii="Arial" w:hAnsi="Arial" w:cs="Arial"/>
                <w:sz w:val="12"/>
                <w:szCs w:val="12"/>
              </w:rPr>
            </w:pPr>
          </w:p>
        </w:tc>
        <w:tc>
          <w:tcPr>
            <w:tcW w:w="1843" w:type="dxa"/>
            <w:shd w:val="clear" w:color="auto" w:fill="auto"/>
          </w:tcPr>
          <w:p w14:paraId="21DA9096" w14:textId="77777777" w:rsidR="002A4DDF" w:rsidRPr="00937C8B" w:rsidRDefault="002A4DDF" w:rsidP="009110ED">
            <w:pPr>
              <w:rPr>
                <w:rFonts w:ascii="Arial" w:hAnsi="Arial" w:cs="Arial"/>
                <w:sz w:val="12"/>
                <w:szCs w:val="12"/>
              </w:rPr>
            </w:pPr>
          </w:p>
        </w:tc>
        <w:tc>
          <w:tcPr>
            <w:tcW w:w="2268" w:type="dxa"/>
            <w:shd w:val="clear" w:color="auto" w:fill="F2F2F2"/>
            <w:hideMark/>
          </w:tcPr>
          <w:p w14:paraId="58E99E09" w14:textId="77777777" w:rsidR="002A4DDF" w:rsidRPr="00937C8B" w:rsidRDefault="002A4DDF" w:rsidP="009110ED">
            <w:pPr>
              <w:rPr>
                <w:rFonts w:ascii="Arial" w:hAnsi="Arial" w:cs="Arial"/>
                <w:sz w:val="12"/>
                <w:szCs w:val="12"/>
              </w:rPr>
            </w:pPr>
            <w:r>
              <w:rPr>
                <w:rFonts w:ascii="Arial" w:hAnsi="Arial"/>
                <w:sz w:val="12"/>
                <w:szCs w:val="12"/>
              </w:rPr>
              <w:t>Uña de Quintana</w:t>
            </w:r>
          </w:p>
        </w:tc>
        <w:tc>
          <w:tcPr>
            <w:tcW w:w="2268" w:type="dxa"/>
            <w:tcBorders>
              <w:right w:val="single" w:sz="4" w:space="0" w:color="auto"/>
            </w:tcBorders>
            <w:shd w:val="clear" w:color="auto" w:fill="D9D9D9"/>
            <w:hideMark/>
          </w:tcPr>
          <w:p w14:paraId="1560AD6B" w14:textId="77777777" w:rsidR="002A4DDF" w:rsidRPr="00937C8B" w:rsidRDefault="002A4DDF" w:rsidP="009110ED">
            <w:pPr>
              <w:rPr>
                <w:rFonts w:ascii="Arial" w:hAnsi="Arial" w:cs="Arial"/>
                <w:sz w:val="12"/>
                <w:szCs w:val="12"/>
              </w:rPr>
            </w:pPr>
          </w:p>
        </w:tc>
      </w:tr>
      <w:tr w:rsidR="002A4DDF" w:rsidRPr="00937C8B" w14:paraId="53728FBA" w14:textId="77777777" w:rsidTr="00935676">
        <w:trPr>
          <w:cantSplit/>
        </w:trPr>
        <w:tc>
          <w:tcPr>
            <w:tcW w:w="1696" w:type="dxa"/>
            <w:tcBorders>
              <w:left w:val="single" w:sz="4" w:space="0" w:color="auto"/>
            </w:tcBorders>
            <w:shd w:val="clear" w:color="auto" w:fill="auto"/>
          </w:tcPr>
          <w:p w14:paraId="7424883A" w14:textId="77777777" w:rsidR="002A4DDF" w:rsidRPr="00937C8B" w:rsidRDefault="002A4DDF" w:rsidP="009110ED">
            <w:pPr>
              <w:rPr>
                <w:rFonts w:ascii="Arial" w:hAnsi="Arial" w:cs="Arial"/>
                <w:sz w:val="12"/>
                <w:szCs w:val="12"/>
              </w:rPr>
            </w:pPr>
          </w:p>
        </w:tc>
        <w:tc>
          <w:tcPr>
            <w:tcW w:w="1843" w:type="dxa"/>
            <w:shd w:val="clear" w:color="auto" w:fill="auto"/>
          </w:tcPr>
          <w:p w14:paraId="388B0019" w14:textId="77777777" w:rsidR="002A4DDF" w:rsidRPr="00937C8B" w:rsidRDefault="002A4DDF" w:rsidP="009110ED">
            <w:pPr>
              <w:rPr>
                <w:rFonts w:ascii="Arial" w:hAnsi="Arial" w:cs="Arial"/>
                <w:sz w:val="12"/>
                <w:szCs w:val="12"/>
              </w:rPr>
            </w:pPr>
          </w:p>
        </w:tc>
        <w:tc>
          <w:tcPr>
            <w:tcW w:w="2268" w:type="dxa"/>
            <w:shd w:val="clear" w:color="auto" w:fill="F2F2F2"/>
            <w:hideMark/>
          </w:tcPr>
          <w:p w14:paraId="478F8FA1" w14:textId="77777777" w:rsidR="002A4DDF" w:rsidRPr="00937C8B" w:rsidRDefault="002A4DDF" w:rsidP="009110ED">
            <w:pPr>
              <w:rPr>
                <w:rFonts w:ascii="Arial" w:hAnsi="Arial" w:cs="Arial"/>
                <w:sz w:val="12"/>
                <w:szCs w:val="12"/>
              </w:rPr>
            </w:pPr>
            <w:r>
              <w:rPr>
                <w:rFonts w:ascii="Arial" w:hAnsi="Arial"/>
                <w:sz w:val="12"/>
                <w:szCs w:val="12"/>
              </w:rPr>
              <w:t>Vadillo de la Guareña</w:t>
            </w:r>
          </w:p>
        </w:tc>
        <w:tc>
          <w:tcPr>
            <w:tcW w:w="2268" w:type="dxa"/>
            <w:tcBorders>
              <w:right w:val="single" w:sz="4" w:space="0" w:color="auto"/>
            </w:tcBorders>
            <w:shd w:val="clear" w:color="auto" w:fill="D9D9D9"/>
            <w:hideMark/>
          </w:tcPr>
          <w:p w14:paraId="6985F771" w14:textId="77777777" w:rsidR="002A4DDF" w:rsidRPr="00937C8B" w:rsidRDefault="002A4DDF" w:rsidP="009110ED">
            <w:pPr>
              <w:rPr>
                <w:rFonts w:ascii="Arial" w:hAnsi="Arial" w:cs="Arial"/>
                <w:sz w:val="12"/>
                <w:szCs w:val="12"/>
              </w:rPr>
            </w:pPr>
          </w:p>
        </w:tc>
      </w:tr>
      <w:tr w:rsidR="002A4DDF" w:rsidRPr="00937C8B" w14:paraId="5D973431" w14:textId="77777777" w:rsidTr="00935676">
        <w:trPr>
          <w:cantSplit/>
        </w:trPr>
        <w:tc>
          <w:tcPr>
            <w:tcW w:w="1696" w:type="dxa"/>
            <w:tcBorders>
              <w:left w:val="single" w:sz="4" w:space="0" w:color="auto"/>
            </w:tcBorders>
            <w:shd w:val="clear" w:color="auto" w:fill="auto"/>
          </w:tcPr>
          <w:p w14:paraId="6D00BF10" w14:textId="77777777" w:rsidR="002A4DDF" w:rsidRPr="00937C8B" w:rsidRDefault="002A4DDF" w:rsidP="009110ED">
            <w:pPr>
              <w:rPr>
                <w:rFonts w:ascii="Arial" w:hAnsi="Arial" w:cs="Arial"/>
                <w:sz w:val="12"/>
                <w:szCs w:val="12"/>
              </w:rPr>
            </w:pPr>
          </w:p>
        </w:tc>
        <w:tc>
          <w:tcPr>
            <w:tcW w:w="1843" w:type="dxa"/>
            <w:shd w:val="clear" w:color="auto" w:fill="auto"/>
          </w:tcPr>
          <w:p w14:paraId="50AEC99D" w14:textId="77777777" w:rsidR="002A4DDF" w:rsidRPr="00937C8B" w:rsidRDefault="002A4DDF" w:rsidP="009110ED">
            <w:pPr>
              <w:rPr>
                <w:rFonts w:ascii="Arial" w:hAnsi="Arial" w:cs="Arial"/>
                <w:sz w:val="12"/>
                <w:szCs w:val="12"/>
              </w:rPr>
            </w:pPr>
          </w:p>
        </w:tc>
        <w:tc>
          <w:tcPr>
            <w:tcW w:w="2268" w:type="dxa"/>
            <w:shd w:val="clear" w:color="auto" w:fill="F2F2F2"/>
            <w:hideMark/>
          </w:tcPr>
          <w:p w14:paraId="5C796F2A" w14:textId="77777777" w:rsidR="002A4DDF" w:rsidRPr="00937C8B" w:rsidRDefault="002A4DDF" w:rsidP="009110ED">
            <w:pPr>
              <w:rPr>
                <w:rFonts w:ascii="Arial" w:hAnsi="Arial" w:cs="Arial"/>
                <w:sz w:val="12"/>
                <w:szCs w:val="12"/>
              </w:rPr>
            </w:pPr>
            <w:r>
              <w:rPr>
                <w:rFonts w:ascii="Arial" w:hAnsi="Arial"/>
                <w:sz w:val="12"/>
                <w:szCs w:val="12"/>
              </w:rPr>
              <w:t>Valcabado</w:t>
            </w:r>
          </w:p>
        </w:tc>
        <w:tc>
          <w:tcPr>
            <w:tcW w:w="2268" w:type="dxa"/>
            <w:tcBorders>
              <w:right w:val="single" w:sz="4" w:space="0" w:color="auto"/>
            </w:tcBorders>
            <w:shd w:val="clear" w:color="auto" w:fill="D9D9D9"/>
            <w:hideMark/>
          </w:tcPr>
          <w:p w14:paraId="39AA8403" w14:textId="77777777" w:rsidR="002A4DDF" w:rsidRPr="00937C8B" w:rsidRDefault="002A4DDF" w:rsidP="009110ED">
            <w:pPr>
              <w:rPr>
                <w:rFonts w:ascii="Arial" w:hAnsi="Arial" w:cs="Arial"/>
                <w:sz w:val="12"/>
                <w:szCs w:val="12"/>
              </w:rPr>
            </w:pPr>
          </w:p>
        </w:tc>
      </w:tr>
      <w:tr w:rsidR="002A4DDF" w:rsidRPr="00937C8B" w14:paraId="11ED6B40" w14:textId="77777777" w:rsidTr="00935676">
        <w:trPr>
          <w:cantSplit/>
        </w:trPr>
        <w:tc>
          <w:tcPr>
            <w:tcW w:w="1696" w:type="dxa"/>
            <w:tcBorders>
              <w:left w:val="single" w:sz="4" w:space="0" w:color="auto"/>
            </w:tcBorders>
            <w:shd w:val="clear" w:color="auto" w:fill="auto"/>
          </w:tcPr>
          <w:p w14:paraId="0CBA121F" w14:textId="77777777" w:rsidR="002A4DDF" w:rsidRPr="00937C8B" w:rsidRDefault="002A4DDF" w:rsidP="009110ED">
            <w:pPr>
              <w:rPr>
                <w:rFonts w:ascii="Arial" w:hAnsi="Arial" w:cs="Arial"/>
                <w:sz w:val="12"/>
                <w:szCs w:val="12"/>
              </w:rPr>
            </w:pPr>
          </w:p>
        </w:tc>
        <w:tc>
          <w:tcPr>
            <w:tcW w:w="1843" w:type="dxa"/>
            <w:shd w:val="clear" w:color="auto" w:fill="auto"/>
          </w:tcPr>
          <w:p w14:paraId="5955EC54" w14:textId="77777777" w:rsidR="002A4DDF" w:rsidRPr="00937C8B" w:rsidRDefault="002A4DDF" w:rsidP="009110ED">
            <w:pPr>
              <w:rPr>
                <w:rFonts w:ascii="Arial" w:hAnsi="Arial" w:cs="Arial"/>
                <w:sz w:val="12"/>
                <w:szCs w:val="12"/>
              </w:rPr>
            </w:pPr>
          </w:p>
        </w:tc>
        <w:tc>
          <w:tcPr>
            <w:tcW w:w="2268" w:type="dxa"/>
            <w:shd w:val="clear" w:color="auto" w:fill="F2F2F2"/>
            <w:hideMark/>
          </w:tcPr>
          <w:p w14:paraId="50582DC7" w14:textId="77777777" w:rsidR="002A4DDF" w:rsidRPr="00937C8B" w:rsidRDefault="002A4DDF" w:rsidP="009110ED">
            <w:pPr>
              <w:rPr>
                <w:rFonts w:ascii="Arial" w:hAnsi="Arial" w:cs="Arial"/>
                <w:sz w:val="12"/>
                <w:szCs w:val="12"/>
              </w:rPr>
            </w:pPr>
            <w:r>
              <w:rPr>
                <w:rFonts w:ascii="Arial" w:hAnsi="Arial"/>
                <w:sz w:val="12"/>
                <w:szCs w:val="12"/>
              </w:rPr>
              <w:t>Valdefinjas</w:t>
            </w:r>
          </w:p>
        </w:tc>
        <w:tc>
          <w:tcPr>
            <w:tcW w:w="2268" w:type="dxa"/>
            <w:tcBorders>
              <w:right w:val="single" w:sz="4" w:space="0" w:color="auto"/>
            </w:tcBorders>
            <w:shd w:val="clear" w:color="auto" w:fill="D9D9D9"/>
            <w:hideMark/>
          </w:tcPr>
          <w:p w14:paraId="61E10E46" w14:textId="77777777" w:rsidR="002A4DDF" w:rsidRPr="00937C8B" w:rsidRDefault="002A4DDF" w:rsidP="009110ED">
            <w:pPr>
              <w:rPr>
                <w:rFonts w:ascii="Arial" w:hAnsi="Arial" w:cs="Arial"/>
                <w:sz w:val="12"/>
                <w:szCs w:val="12"/>
              </w:rPr>
            </w:pPr>
          </w:p>
        </w:tc>
      </w:tr>
      <w:tr w:rsidR="002A4DDF" w:rsidRPr="00937C8B" w14:paraId="79889B47" w14:textId="77777777" w:rsidTr="00935676">
        <w:trPr>
          <w:cantSplit/>
        </w:trPr>
        <w:tc>
          <w:tcPr>
            <w:tcW w:w="1696" w:type="dxa"/>
            <w:tcBorders>
              <w:left w:val="single" w:sz="4" w:space="0" w:color="auto"/>
            </w:tcBorders>
            <w:shd w:val="clear" w:color="auto" w:fill="auto"/>
          </w:tcPr>
          <w:p w14:paraId="5C38253B" w14:textId="77777777" w:rsidR="002A4DDF" w:rsidRPr="00937C8B" w:rsidRDefault="002A4DDF" w:rsidP="009110ED">
            <w:pPr>
              <w:rPr>
                <w:rFonts w:ascii="Arial" w:hAnsi="Arial" w:cs="Arial"/>
                <w:sz w:val="12"/>
                <w:szCs w:val="12"/>
              </w:rPr>
            </w:pPr>
          </w:p>
        </w:tc>
        <w:tc>
          <w:tcPr>
            <w:tcW w:w="1843" w:type="dxa"/>
            <w:shd w:val="clear" w:color="auto" w:fill="auto"/>
          </w:tcPr>
          <w:p w14:paraId="70F91E00" w14:textId="77777777" w:rsidR="002A4DDF" w:rsidRPr="00937C8B" w:rsidRDefault="002A4DDF" w:rsidP="009110ED">
            <w:pPr>
              <w:rPr>
                <w:rFonts w:ascii="Arial" w:hAnsi="Arial" w:cs="Arial"/>
                <w:sz w:val="12"/>
                <w:szCs w:val="12"/>
              </w:rPr>
            </w:pPr>
          </w:p>
        </w:tc>
        <w:tc>
          <w:tcPr>
            <w:tcW w:w="2268" w:type="dxa"/>
            <w:shd w:val="clear" w:color="auto" w:fill="F2F2F2"/>
            <w:hideMark/>
          </w:tcPr>
          <w:p w14:paraId="2000D07A" w14:textId="77777777" w:rsidR="002A4DDF" w:rsidRPr="00937C8B" w:rsidRDefault="002A4DDF" w:rsidP="009110ED">
            <w:pPr>
              <w:rPr>
                <w:rFonts w:ascii="Arial" w:hAnsi="Arial" w:cs="Arial"/>
                <w:sz w:val="12"/>
                <w:szCs w:val="12"/>
              </w:rPr>
            </w:pPr>
            <w:r>
              <w:rPr>
                <w:rFonts w:ascii="Arial" w:hAnsi="Arial"/>
                <w:sz w:val="12"/>
                <w:szCs w:val="12"/>
              </w:rPr>
              <w:t>Vallesa de la Guareña</w:t>
            </w:r>
          </w:p>
        </w:tc>
        <w:tc>
          <w:tcPr>
            <w:tcW w:w="2268" w:type="dxa"/>
            <w:tcBorders>
              <w:right w:val="single" w:sz="4" w:space="0" w:color="auto"/>
            </w:tcBorders>
            <w:shd w:val="clear" w:color="auto" w:fill="D9D9D9"/>
            <w:hideMark/>
          </w:tcPr>
          <w:p w14:paraId="5A4A9024" w14:textId="77777777" w:rsidR="002A4DDF" w:rsidRPr="00937C8B" w:rsidRDefault="002A4DDF" w:rsidP="009110ED">
            <w:pPr>
              <w:rPr>
                <w:rFonts w:ascii="Arial" w:hAnsi="Arial" w:cs="Arial"/>
                <w:sz w:val="12"/>
                <w:szCs w:val="12"/>
              </w:rPr>
            </w:pPr>
          </w:p>
        </w:tc>
      </w:tr>
      <w:tr w:rsidR="002A4DDF" w:rsidRPr="00937C8B" w14:paraId="25AC4855" w14:textId="77777777" w:rsidTr="00935676">
        <w:trPr>
          <w:cantSplit/>
        </w:trPr>
        <w:tc>
          <w:tcPr>
            <w:tcW w:w="1696" w:type="dxa"/>
            <w:tcBorders>
              <w:left w:val="single" w:sz="4" w:space="0" w:color="auto"/>
            </w:tcBorders>
            <w:shd w:val="clear" w:color="auto" w:fill="auto"/>
          </w:tcPr>
          <w:p w14:paraId="08B9E9B5" w14:textId="77777777" w:rsidR="002A4DDF" w:rsidRPr="00937C8B" w:rsidRDefault="002A4DDF" w:rsidP="009110ED">
            <w:pPr>
              <w:rPr>
                <w:rFonts w:ascii="Arial" w:hAnsi="Arial" w:cs="Arial"/>
                <w:sz w:val="12"/>
                <w:szCs w:val="12"/>
              </w:rPr>
            </w:pPr>
          </w:p>
        </w:tc>
        <w:tc>
          <w:tcPr>
            <w:tcW w:w="1843" w:type="dxa"/>
            <w:shd w:val="clear" w:color="auto" w:fill="auto"/>
          </w:tcPr>
          <w:p w14:paraId="5F47826B" w14:textId="77777777" w:rsidR="002A4DDF" w:rsidRPr="00937C8B" w:rsidRDefault="002A4DDF" w:rsidP="009110ED">
            <w:pPr>
              <w:rPr>
                <w:rFonts w:ascii="Arial" w:hAnsi="Arial" w:cs="Arial"/>
                <w:sz w:val="12"/>
                <w:szCs w:val="12"/>
              </w:rPr>
            </w:pPr>
          </w:p>
        </w:tc>
        <w:tc>
          <w:tcPr>
            <w:tcW w:w="2268" w:type="dxa"/>
            <w:shd w:val="clear" w:color="auto" w:fill="F2F2F2"/>
            <w:hideMark/>
          </w:tcPr>
          <w:p w14:paraId="55632F84" w14:textId="77777777" w:rsidR="002A4DDF" w:rsidRPr="00937C8B" w:rsidRDefault="002A4DDF" w:rsidP="009110ED">
            <w:pPr>
              <w:rPr>
                <w:rFonts w:ascii="Arial" w:hAnsi="Arial" w:cs="Arial"/>
                <w:sz w:val="12"/>
                <w:szCs w:val="12"/>
              </w:rPr>
            </w:pPr>
            <w:r>
              <w:rPr>
                <w:rFonts w:ascii="Arial" w:hAnsi="Arial"/>
                <w:sz w:val="12"/>
                <w:szCs w:val="12"/>
              </w:rPr>
              <w:t>Vega de Tera</w:t>
            </w:r>
          </w:p>
        </w:tc>
        <w:tc>
          <w:tcPr>
            <w:tcW w:w="2268" w:type="dxa"/>
            <w:tcBorders>
              <w:right w:val="single" w:sz="4" w:space="0" w:color="auto"/>
            </w:tcBorders>
            <w:shd w:val="clear" w:color="auto" w:fill="D9D9D9"/>
            <w:hideMark/>
          </w:tcPr>
          <w:p w14:paraId="5922C354" w14:textId="77777777" w:rsidR="002A4DDF" w:rsidRPr="00937C8B" w:rsidRDefault="002A4DDF" w:rsidP="009110ED">
            <w:pPr>
              <w:rPr>
                <w:rFonts w:ascii="Arial" w:hAnsi="Arial" w:cs="Arial"/>
                <w:sz w:val="12"/>
                <w:szCs w:val="12"/>
              </w:rPr>
            </w:pPr>
          </w:p>
        </w:tc>
      </w:tr>
      <w:tr w:rsidR="002A4DDF" w:rsidRPr="00937C8B" w14:paraId="0A4C3E0A" w14:textId="77777777" w:rsidTr="00935676">
        <w:trPr>
          <w:cantSplit/>
        </w:trPr>
        <w:tc>
          <w:tcPr>
            <w:tcW w:w="1696" w:type="dxa"/>
            <w:tcBorders>
              <w:left w:val="single" w:sz="4" w:space="0" w:color="auto"/>
            </w:tcBorders>
            <w:shd w:val="clear" w:color="auto" w:fill="auto"/>
          </w:tcPr>
          <w:p w14:paraId="5D5F9E0C" w14:textId="77777777" w:rsidR="002A4DDF" w:rsidRPr="00937C8B" w:rsidRDefault="002A4DDF" w:rsidP="009110ED">
            <w:pPr>
              <w:rPr>
                <w:rFonts w:ascii="Arial" w:hAnsi="Arial" w:cs="Arial"/>
                <w:sz w:val="12"/>
                <w:szCs w:val="12"/>
              </w:rPr>
            </w:pPr>
          </w:p>
        </w:tc>
        <w:tc>
          <w:tcPr>
            <w:tcW w:w="1843" w:type="dxa"/>
            <w:shd w:val="clear" w:color="auto" w:fill="auto"/>
          </w:tcPr>
          <w:p w14:paraId="383F22E7" w14:textId="77777777" w:rsidR="002A4DDF" w:rsidRPr="00937C8B" w:rsidRDefault="002A4DDF" w:rsidP="009110ED">
            <w:pPr>
              <w:rPr>
                <w:rFonts w:ascii="Arial" w:hAnsi="Arial" w:cs="Arial"/>
                <w:sz w:val="12"/>
                <w:szCs w:val="12"/>
              </w:rPr>
            </w:pPr>
          </w:p>
        </w:tc>
        <w:tc>
          <w:tcPr>
            <w:tcW w:w="2268" w:type="dxa"/>
            <w:shd w:val="clear" w:color="auto" w:fill="F2F2F2"/>
            <w:hideMark/>
          </w:tcPr>
          <w:p w14:paraId="692ACB03" w14:textId="77777777" w:rsidR="002A4DDF" w:rsidRPr="00937C8B" w:rsidRDefault="002A4DDF" w:rsidP="009110ED">
            <w:pPr>
              <w:rPr>
                <w:rFonts w:ascii="Arial" w:hAnsi="Arial" w:cs="Arial"/>
                <w:sz w:val="12"/>
                <w:szCs w:val="12"/>
              </w:rPr>
            </w:pPr>
            <w:r>
              <w:rPr>
                <w:rFonts w:ascii="Arial" w:hAnsi="Arial"/>
                <w:sz w:val="12"/>
                <w:szCs w:val="12"/>
              </w:rPr>
              <w:t>Vegalatrave</w:t>
            </w:r>
          </w:p>
        </w:tc>
        <w:tc>
          <w:tcPr>
            <w:tcW w:w="2268" w:type="dxa"/>
            <w:tcBorders>
              <w:right w:val="single" w:sz="4" w:space="0" w:color="auto"/>
            </w:tcBorders>
            <w:shd w:val="clear" w:color="auto" w:fill="D9D9D9"/>
            <w:hideMark/>
          </w:tcPr>
          <w:p w14:paraId="29BB1CCA" w14:textId="77777777" w:rsidR="002A4DDF" w:rsidRPr="00937C8B" w:rsidRDefault="002A4DDF" w:rsidP="009110ED">
            <w:pPr>
              <w:rPr>
                <w:rFonts w:ascii="Arial" w:hAnsi="Arial" w:cs="Arial"/>
                <w:sz w:val="12"/>
                <w:szCs w:val="12"/>
              </w:rPr>
            </w:pPr>
          </w:p>
        </w:tc>
      </w:tr>
      <w:tr w:rsidR="002A4DDF" w:rsidRPr="00937C8B" w14:paraId="40AB753E" w14:textId="77777777" w:rsidTr="00935676">
        <w:trPr>
          <w:cantSplit/>
        </w:trPr>
        <w:tc>
          <w:tcPr>
            <w:tcW w:w="1696" w:type="dxa"/>
            <w:tcBorders>
              <w:left w:val="single" w:sz="4" w:space="0" w:color="auto"/>
            </w:tcBorders>
            <w:shd w:val="clear" w:color="auto" w:fill="auto"/>
          </w:tcPr>
          <w:p w14:paraId="29F4B224" w14:textId="77777777" w:rsidR="002A4DDF" w:rsidRPr="00937C8B" w:rsidRDefault="002A4DDF" w:rsidP="009110ED">
            <w:pPr>
              <w:rPr>
                <w:rFonts w:ascii="Arial" w:hAnsi="Arial" w:cs="Arial"/>
                <w:sz w:val="12"/>
                <w:szCs w:val="12"/>
              </w:rPr>
            </w:pPr>
          </w:p>
        </w:tc>
        <w:tc>
          <w:tcPr>
            <w:tcW w:w="1843" w:type="dxa"/>
            <w:shd w:val="clear" w:color="auto" w:fill="auto"/>
          </w:tcPr>
          <w:p w14:paraId="2B62E4DF" w14:textId="77777777" w:rsidR="002A4DDF" w:rsidRPr="00937C8B" w:rsidRDefault="002A4DDF" w:rsidP="009110ED">
            <w:pPr>
              <w:rPr>
                <w:rFonts w:ascii="Arial" w:hAnsi="Arial" w:cs="Arial"/>
                <w:sz w:val="12"/>
                <w:szCs w:val="12"/>
              </w:rPr>
            </w:pPr>
          </w:p>
        </w:tc>
        <w:tc>
          <w:tcPr>
            <w:tcW w:w="2268" w:type="dxa"/>
            <w:shd w:val="clear" w:color="auto" w:fill="F2F2F2"/>
            <w:hideMark/>
          </w:tcPr>
          <w:p w14:paraId="0BF31808" w14:textId="77777777" w:rsidR="002A4DDF" w:rsidRPr="00937C8B" w:rsidRDefault="002A4DDF" w:rsidP="009110ED">
            <w:pPr>
              <w:rPr>
                <w:rFonts w:ascii="Arial" w:hAnsi="Arial" w:cs="Arial"/>
                <w:sz w:val="12"/>
                <w:szCs w:val="12"/>
              </w:rPr>
            </w:pPr>
            <w:r>
              <w:rPr>
                <w:rFonts w:ascii="Arial" w:hAnsi="Arial"/>
                <w:sz w:val="12"/>
                <w:szCs w:val="12"/>
              </w:rPr>
              <w:t>Venialbo</w:t>
            </w:r>
          </w:p>
        </w:tc>
        <w:tc>
          <w:tcPr>
            <w:tcW w:w="2268" w:type="dxa"/>
            <w:tcBorders>
              <w:right w:val="single" w:sz="4" w:space="0" w:color="auto"/>
            </w:tcBorders>
            <w:shd w:val="clear" w:color="auto" w:fill="D9D9D9"/>
            <w:hideMark/>
          </w:tcPr>
          <w:p w14:paraId="07ED964B" w14:textId="77777777" w:rsidR="002A4DDF" w:rsidRPr="00937C8B" w:rsidRDefault="002A4DDF" w:rsidP="009110ED">
            <w:pPr>
              <w:rPr>
                <w:rFonts w:ascii="Arial" w:hAnsi="Arial" w:cs="Arial"/>
                <w:sz w:val="12"/>
                <w:szCs w:val="12"/>
              </w:rPr>
            </w:pPr>
          </w:p>
        </w:tc>
      </w:tr>
      <w:tr w:rsidR="002A4DDF" w:rsidRPr="00937C8B" w14:paraId="76E00F22" w14:textId="77777777" w:rsidTr="00935676">
        <w:trPr>
          <w:cantSplit/>
        </w:trPr>
        <w:tc>
          <w:tcPr>
            <w:tcW w:w="1696" w:type="dxa"/>
            <w:tcBorders>
              <w:left w:val="single" w:sz="4" w:space="0" w:color="auto"/>
            </w:tcBorders>
            <w:shd w:val="clear" w:color="auto" w:fill="auto"/>
          </w:tcPr>
          <w:p w14:paraId="0CBD95A2" w14:textId="77777777" w:rsidR="002A4DDF" w:rsidRPr="00937C8B" w:rsidRDefault="002A4DDF" w:rsidP="009110ED">
            <w:pPr>
              <w:rPr>
                <w:rFonts w:ascii="Arial" w:hAnsi="Arial" w:cs="Arial"/>
                <w:sz w:val="12"/>
                <w:szCs w:val="12"/>
              </w:rPr>
            </w:pPr>
          </w:p>
        </w:tc>
        <w:tc>
          <w:tcPr>
            <w:tcW w:w="1843" w:type="dxa"/>
            <w:shd w:val="clear" w:color="auto" w:fill="auto"/>
          </w:tcPr>
          <w:p w14:paraId="60220D9D" w14:textId="77777777" w:rsidR="002A4DDF" w:rsidRPr="00937C8B" w:rsidRDefault="002A4DDF" w:rsidP="009110ED">
            <w:pPr>
              <w:rPr>
                <w:rFonts w:ascii="Arial" w:hAnsi="Arial" w:cs="Arial"/>
                <w:sz w:val="12"/>
                <w:szCs w:val="12"/>
              </w:rPr>
            </w:pPr>
          </w:p>
        </w:tc>
        <w:tc>
          <w:tcPr>
            <w:tcW w:w="2268" w:type="dxa"/>
            <w:shd w:val="clear" w:color="auto" w:fill="F2F2F2"/>
            <w:hideMark/>
          </w:tcPr>
          <w:p w14:paraId="15712EDB" w14:textId="77777777" w:rsidR="002A4DDF" w:rsidRPr="00937C8B" w:rsidRDefault="002A4DDF" w:rsidP="009110ED">
            <w:pPr>
              <w:rPr>
                <w:rFonts w:ascii="Arial" w:hAnsi="Arial" w:cs="Arial"/>
                <w:sz w:val="12"/>
                <w:szCs w:val="12"/>
              </w:rPr>
            </w:pPr>
            <w:r>
              <w:rPr>
                <w:rFonts w:ascii="Arial" w:hAnsi="Arial"/>
                <w:sz w:val="12"/>
                <w:szCs w:val="12"/>
              </w:rPr>
              <w:t>Vezdemarbán</w:t>
            </w:r>
          </w:p>
        </w:tc>
        <w:tc>
          <w:tcPr>
            <w:tcW w:w="2268" w:type="dxa"/>
            <w:tcBorders>
              <w:right w:val="single" w:sz="4" w:space="0" w:color="auto"/>
            </w:tcBorders>
            <w:shd w:val="clear" w:color="auto" w:fill="D9D9D9"/>
            <w:hideMark/>
          </w:tcPr>
          <w:p w14:paraId="321F53D6" w14:textId="77777777" w:rsidR="002A4DDF" w:rsidRPr="00937C8B" w:rsidRDefault="002A4DDF" w:rsidP="009110ED">
            <w:pPr>
              <w:rPr>
                <w:rFonts w:ascii="Arial" w:hAnsi="Arial" w:cs="Arial"/>
                <w:sz w:val="12"/>
                <w:szCs w:val="12"/>
              </w:rPr>
            </w:pPr>
          </w:p>
        </w:tc>
      </w:tr>
      <w:tr w:rsidR="002A4DDF" w:rsidRPr="00937C8B" w14:paraId="6C588F53" w14:textId="77777777" w:rsidTr="00935676">
        <w:trPr>
          <w:cantSplit/>
        </w:trPr>
        <w:tc>
          <w:tcPr>
            <w:tcW w:w="1696" w:type="dxa"/>
            <w:tcBorders>
              <w:left w:val="single" w:sz="4" w:space="0" w:color="auto"/>
            </w:tcBorders>
            <w:shd w:val="clear" w:color="auto" w:fill="auto"/>
          </w:tcPr>
          <w:p w14:paraId="0CB175C1" w14:textId="77777777" w:rsidR="002A4DDF" w:rsidRPr="00937C8B" w:rsidRDefault="002A4DDF" w:rsidP="009110ED">
            <w:pPr>
              <w:rPr>
                <w:rFonts w:ascii="Arial" w:hAnsi="Arial" w:cs="Arial"/>
                <w:sz w:val="12"/>
                <w:szCs w:val="12"/>
              </w:rPr>
            </w:pPr>
          </w:p>
        </w:tc>
        <w:tc>
          <w:tcPr>
            <w:tcW w:w="1843" w:type="dxa"/>
            <w:shd w:val="clear" w:color="auto" w:fill="auto"/>
          </w:tcPr>
          <w:p w14:paraId="0EFF1DE5" w14:textId="77777777" w:rsidR="002A4DDF" w:rsidRPr="00937C8B" w:rsidRDefault="002A4DDF" w:rsidP="009110ED">
            <w:pPr>
              <w:rPr>
                <w:rFonts w:ascii="Arial" w:hAnsi="Arial" w:cs="Arial"/>
                <w:sz w:val="12"/>
                <w:szCs w:val="12"/>
              </w:rPr>
            </w:pPr>
          </w:p>
        </w:tc>
        <w:tc>
          <w:tcPr>
            <w:tcW w:w="2268" w:type="dxa"/>
            <w:shd w:val="clear" w:color="auto" w:fill="F2F2F2"/>
            <w:hideMark/>
          </w:tcPr>
          <w:p w14:paraId="6C2A972E" w14:textId="77777777" w:rsidR="002A4DDF" w:rsidRPr="00937C8B" w:rsidRDefault="002A4DDF" w:rsidP="009110ED">
            <w:pPr>
              <w:rPr>
                <w:rFonts w:ascii="Arial" w:hAnsi="Arial" w:cs="Arial"/>
                <w:sz w:val="12"/>
                <w:szCs w:val="12"/>
              </w:rPr>
            </w:pPr>
            <w:r>
              <w:rPr>
                <w:rFonts w:ascii="Arial" w:hAnsi="Arial"/>
                <w:sz w:val="12"/>
                <w:szCs w:val="12"/>
              </w:rPr>
              <w:t>Vidayanes</w:t>
            </w:r>
          </w:p>
        </w:tc>
        <w:tc>
          <w:tcPr>
            <w:tcW w:w="2268" w:type="dxa"/>
            <w:tcBorders>
              <w:right w:val="single" w:sz="4" w:space="0" w:color="auto"/>
            </w:tcBorders>
            <w:shd w:val="clear" w:color="auto" w:fill="D9D9D9"/>
            <w:hideMark/>
          </w:tcPr>
          <w:p w14:paraId="38F6BA5F" w14:textId="77777777" w:rsidR="002A4DDF" w:rsidRPr="00937C8B" w:rsidRDefault="002A4DDF" w:rsidP="009110ED">
            <w:pPr>
              <w:rPr>
                <w:rFonts w:ascii="Arial" w:hAnsi="Arial" w:cs="Arial"/>
                <w:sz w:val="12"/>
                <w:szCs w:val="12"/>
              </w:rPr>
            </w:pPr>
          </w:p>
        </w:tc>
      </w:tr>
      <w:tr w:rsidR="002A4DDF" w:rsidRPr="00937C8B" w14:paraId="18D29D94" w14:textId="77777777" w:rsidTr="00935676">
        <w:trPr>
          <w:cantSplit/>
        </w:trPr>
        <w:tc>
          <w:tcPr>
            <w:tcW w:w="1696" w:type="dxa"/>
            <w:tcBorders>
              <w:left w:val="single" w:sz="4" w:space="0" w:color="auto"/>
            </w:tcBorders>
            <w:shd w:val="clear" w:color="auto" w:fill="auto"/>
          </w:tcPr>
          <w:p w14:paraId="1C7F4191" w14:textId="77777777" w:rsidR="002A4DDF" w:rsidRPr="00937C8B" w:rsidRDefault="002A4DDF" w:rsidP="009110ED">
            <w:pPr>
              <w:rPr>
                <w:rFonts w:ascii="Arial" w:hAnsi="Arial" w:cs="Arial"/>
                <w:sz w:val="12"/>
                <w:szCs w:val="12"/>
              </w:rPr>
            </w:pPr>
          </w:p>
        </w:tc>
        <w:tc>
          <w:tcPr>
            <w:tcW w:w="1843" w:type="dxa"/>
            <w:shd w:val="clear" w:color="auto" w:fill="auto"/>
          </w:tcPr>
          <w:p w14:paraId="5903060E" w14:textId="77777777" w:rsidR="002A4DDF" w:rsidRPr="00937C8B" w:rsidRDefault="002A4DDF" w:rsidP="009110ED">
            <w:pPr>
              <w:rPr>
                <w:rFonts w:ascii="Arial" w:hAnsi="Arial" w:cs="Arial"/>
                <w:sz w:val="12"/>
                <w:szCs w:val="12"/>
              </w:rPr>
            </w:pPr>
          </w:p>
        </w:tc>
        <w:tc>
          <w:tcPr>
            <w:tcW w:w="2268" w:type="dxa"/>
            <w:shd w:val="clear" w:color="auto" w:fill="F2F2F2"/>
            <w:hideMark/>
          </w:tcPr>
          <w:p w14:paraId="640C31A2" w14:textId="77777777" w:rsidR="002A4DDF" w:rsidRPr="00937C8B" w:rsidRDefault="002A4DDF" w:rsidP="009110ED">
            <w:pPr>
              <w:rPr>
                <w:rFonts w:ascii="Arial" w:hAnsi="Arial" w:cs="Arial"/>
                <w:sz w:val="12"/>
                <w:szCs w:val="12"/>
              </w:rPr>
            </w:pPr>
            <w:r>
              <w:rPr>
                <w:rFonts w:ascii="Arial" w:hAnsi="Arial"/>
                <w:sz w:val="12"/>
                <w:szCs w:val="12"/>
              </w:rPr>
              <w:t>Villabuena del Puente</w:t>
            </w:r>
          </w:p>
        </w:tc>
        <w:tc>
          <w:tcPr>
            <w:tcW w:w="2268" w:type="dxa"/>
            <w:tcBorders>
              <w:right w:val="single" w:sz="4" w:space="0" w:color="auto"/>
            </w:tcBorders>
            <w:shd w:val="clear" w:color="auto" w:fill="D9D9D9"/>
            <w:hideMark/>
          </w:tcPr>
          <w:p w14:paraId="42D8F8EE" w14:textId="77777777" w:rsidR="002A4DDF" w:rsidRPr="00937C8B" w:rsidRDefault="002A4DDF" w:rsidP="009110ED">
            <w:pPr>
              <w:rPr>
                <w:rFonts w:ascii="Arial" w:hAnsi="Arial" w:cs="Arial"/>
                <w:sz w:val="12"/>
                <w:szCs w:val="12"/>
              </w:rPr>
            </w:pPr>
          </w:p>
        </w:tc>
      </w:tr>
      <w:tr w:rsidR="002A4DDF" w:rsidRPr="00937C8B" w14:paraId="1B3FA5B4" w14:textId="77777777" w:rsidTr="00935676">
        <w:trPr>
          <w:cantSplit/>
        </w:trPr>
        <w:tc>
          <w:tcPr>
            <w:tcW w:w="1696" w:type="dxa"/>
            <w:tcBorders>
              <w:left w:val="single" w:sz="4" w:space="0" w:color="auto"/>
            </w:tcBorders>
            <w:shd w:val="clear" w:color="auto" w:fill="auto"/>
          </w:tcPr>
          <w:p w14:paraId="62F3E572" w14:textId="77777777" w:rsidR="002A4DDF" w:rsidRPr="00937C8B" w:rsidRDefault="002A4DDF" w:rsidP="009110ED">
            <w:pPr>
              <w:rPr>
                <w:rFonts w:ascii="Arial" w:hAnsi="Arial" w:cs="Arial"/>
                <w:sz w:val="12"/>
                <w:szCs w:val="12"/>
              </w:rPr>
            </w:pPr>
          </w:p>
        </w:tc>
        <w:tc>
          <w:tcPr>
            <w:tcW w:w="1843" w:type="dxa"/>
            <w:shd w:val="clear" w:color="auto" w:fill="auto"/>
          </w:tcPr>
          <w:p w14:paraId="41B62679" w14:textId="77777777" w:rsidR="002A4DDF" w:rsidRPr="00937C8B" w:rsidRDefault="002A4DDF" w:rsidP="009110ED">
            <w:pPr>
              <w:rPr>
                <w:rFonts w:ascii="Arial" w:hAnsi="Arial" w:cs="Arial"/>
                <w:sz w:val="12"/>
                <w:szCs w:val="12"/>
              </w:rPr>
            </w:pPr>
          </w:p>
        </w:tc>
        <w:tc>
          <w:tcPr>
            <w:tcW w:w="2268" w:type="dxa"/>
            <w:shd w:val="clear" w:color="auto" w:fill="F2F2F2"/>
            <w:hideMark/>
          </w:tcPr>
          <w:p w14:paraId="03EEC48E" w14:textId="77777777" w:rsidR="002A4DDF" w:rsidRPr="00937C8B" w:rsidRDefault="002A4DDF" w:rsidP="009110ED">
            <w:pPr>
              <w:rPr>
                <w:rFonts w:ascii="Arial" w:hAnsi="Arial" w:cs="Arial"/>
                <w:sz w:val="12"/>
                <w:szCs w:val="12"/>
              </w:rPr>
            </w:pPr>
            <w:r>
              <w:rPr>
                <w:rFonts w:ascii="Arial" w:hAnsi="Arial"/>
                <w:sz w:val="12"/>
                <w:szCs w:val="12"/>
              </w:rPr>
              <w:t>Villaescusa</w:t>
            </w:r>
          </w:p>
        </w:tc>
        <w:tc>
          <w:tcPr>
            <w:tcW w:w="2268" w:type="dxa"/>
            <w:tcBorders>
              <w:right w:val="single" w:sz="4" w:space="0" w:color="auto"/>
            </w:tcBorders>
            <w:shd w:val="clear" w:color="auto" w:fill="D9D9D9"/>
            <w:hideMark/>
          </w:tcPr>
          <w:p w14:paraId="79F731D5" w14:textId="77777777" w:rsidR="002A4DDF" w:rsidRPr="00937C8B" w:rsidRDefault="002A4DDF" w:rsidP="009110ED">
            <w:pPr>
              <w:rPr>
                <w:rFonts w:ascii="Arial" w:hAnsi="Arial" w:cs="Arial"/>
                <w:sz w:val="12"/>
                <w:szCs w:val="12"/>
              </w:rPr>
            </w:pPr>
          </w:p>
        </w:tc>
      </w:tr>
      <w:tr w:rsidR="002A4DDF" w:rsidRPr="00937C8B" w14:paraId="4BB111D3" w14:textId="77777777" w:rsidTr="00935676">
        <w:trPr>
          <w:cantSplit/>
        </w:trPr>
        <w:tc>
          <w:tcPr>
            <w:tcW w:w="1696" w:type="dxa"/>
            <w:tcBorders>
              <w:left w:val="single" w:sz="4" w:space="0" w:color="auto"/>
            </w:tcBorders>
            <w:shd w:val="clear" w:color="auto" w:fill="auto"/>
          </w:tcPr>
          <w:p w14:paraId="73C49E77" w14:textId="77777777" w:rsidR="002A4DDF" w:rsidRPr="00937C8B" w:rsidRDefault="002A4DDF" w:rsidP="009110ED">
            <w:pPr>
              <w:rPr>
                <w:rFonts w:ascii="Arial" w:hAnsi="Arial" w:cs="Arial"/>
                <w:sz w:val="12"/>
                <w:szCs w:val="12"/>
              </w:rPr>
            </w:pPr>
          </w:p>
        </w:tc>
        <w:tc>
          <w:tcPr>
            <w:tcW w:w="1843" w:type="dxa"/>
            <w:shd w:val="clear" w:color="auto" w:fill="auto"/>
          </w:tcPr>
          <w:p w14:paraId="59001E49" w14:textId="77777777" w:rsidR="002A4DDF" w:rsidRPr="00937C8B" w:rsidRDefault="002A4DDF" w:rsidP="009110ED">
            <w:pPr>
              <w:rPr>
                <w:rFonts w:ascii="Arial" w:hAnsi="Arial" w:cs="Arial"/>
                <w:sz w:val="12"/>
                <w:szCs w:val="12"/>
              </w:rPr>
            </w:pPr>
          </w:p>
        </w:tc>
        <w:tc>
          <w:tcPr>
            <w:tcW w:w="2268" w:type="dxa"/>
            <w:shd w:val="clear" w:color="auto" w:fill="F2F2F2"/>
            <w:hideMark/>
          </w:tcPr>
          <w:p w14:paraId="7496B573" w14:textId="77777777" w:rsidR="002A4DDF" w:rsidRPr="00937C8B" w:rsidRDefault="002A4DDF" w:rsidP="009110ED">
            <w:pPr>
              <w:rPr>
                <w:rFonts w:ascii="Arial" w:hAnsi="Arial" w:cs="Arial"/>
                <w:sz w:val="12"/>
                <w:szCs w:val="12"/>
              </w:rPr>
            </w:pPr>
            <w:r>
              <w:rPr>
                <w:rFonts w:ascii="Arial" w:hAnsi="Arial"/>
                <w:sz w:val="12"/>
                <w:szCs w:val="12"/>
              </w:rPr>
              <w:t>Villafáfila</w:t>
            </w:r>
          </w:p>
        </w:tc>
        <w:tc>
          <w:tcPr>
            <w:tcW w:w="2268" w:type="dxa"/>
            <w:tcBorders>
              <w:right w:val="single" w:sz="4" w:space="0" w:color="auto"/>
            </w:tcBorders>
            <w:shd w:val="clear" w:color="auto" w:fill="D9D9D9"/>
            <w:hideMark/>
          </w:tcPr>
          <w:p w14:paraId="54BC024C" w14:textId="77777777" w:rsidR="002A4DDF" w:rsidRPr="00937C8B" w:rsidRDefault="002A4DDF" w:rsidP="009110ED">
            <w:pPr>
              <w:rPr>
                <w:rFonts w:ascii="Arial" w:hAnsi="Arial" w:cs="Arial"/>
                <w:sz w:val="12"/>
                <w:szCs w:val="12"/>
              </w:rPr>
            </w:pPr>
          </w:p>
        </w:tc>
      </w:tr>
      <w:tr w:rsidR="002A4DDF" w:rsidRPr="00937C8B" w14:paraId="55AF7D9C" w14:textId="77777777" w:rsidTr="00935676">
        <w:trPr>
          <w:cantSplit/>
        </w:trPr>
        <w:tc>
          <w:tcPr>
            <w:tcW w:w="1696" w:type="dxa"/>
            <w:tcBorders>
              <w:left w:val="single" w:sz="4" w:space="0" w:color="auto"/>
            </w:tcBorders>
            <w:shd w:val="clear" w:color="auto" w:fill="auto"/>
          </w:tcPr>
          <w:p w14:paraId="63059AED" w14:textId="77777777" w:rsidR="002A4DDF" w:rsidRPr="00937C8B" w:rsidRDefault="002A4DDF" w:rsidP="009110ED">
            <w:pPr>
              <w:rPr>
                <w:rFonts w:ascii="Arial" w:hAnsi="Arial" w:cs="Arial"/>
                <w:sz w:val="12"/>
                <w:szCs w:val="12"/>
              </w:rPr>
            </w:pPr>
          </w:p>
        </w:tc>
        <w:tc>
          <w:tcPr>
            <w:tcW w:w="1843" w:type="dxa"/>
            <w:shd w:val="clear" w:color="auto" w:fill="auto"/>
          </w:tcPr>
          <w:p w14:paraId="691556AE" w14:textId="77777777" w:rsidR="002A4DDF" w:rsidRPr="00937C8B" w:rsidRDefault="002A4DDF" w:rsidP="009110ED">
            <w:pPr>
              <w:rPr>
                <w:rFonts w:ascii="Arial" w:hAnsi="Arial" w:cs="Arial"/>
                <w:sz w:val="12"/>
                <w:szCs w:val="12"/>
              </w:rPr>
            </w:pPr>
          </w:p>
        </w:tc>
        <w:tc>
          <w:tcPr>
            <w:tcW w:w="2268" w:type="dxa"/>
            <w:shd w:val="clear" w:color="auto" w:fill="F2F2F2"/>
            <w:hideMark/>
          </w:tcPr>
          <w:p w14:paraId="72AB3038" w14:textId="77777777" w:rsidR="002A4DDF" w:rsidRPr="00937C8B" w:rsidRDefault="002A4DDF" w:rsidP="009110ED">
            <w:pPr>
              <w:rPr>
                <w:rFonts w:ascii="Arial" w:hAnsi="Arial" w:cs="Arial"/>
                <w:sz w:val="12"/>
                <w:szCs w:val="12"/>
              </w:rPr>
            </w:pPr>
            <w:r>
              <w:rPr>
                <w:rFonts w:ascii="Arial" w:hAnsi="Arial"/>
                <w:sz w:val="12"/>
                <w:szCs w:val="12"/>
              </w:rPr>
              <w:t>Villageriz</w:t>
            </w:r>
          </w:p>
        </w:tc>
        <w:tc>
          <w:tcPr>
            <w:tcW w:w="2268" w:type="dxa"/>
            <w:tcBorders>
              <w:right w:val="single" w:sz="4" w:space="0" w:color="auto"/>
            </w:tcBorders>
            <w:shd w:val="clear" w:color="auto" w:fill="D9D9D9"/>
            <w:hideMark/>
          </w:tcPr>
          <w:p w14:paraId="2C65BA79" w14:textId="77777777" w:rsidR="002A4DDF" w:rsidRPr="00937C8B" w:rsidRDefault="002A4DDF" w:rsidP="009110ED">
            <w:pPr>
              <w:rPr>
                <w:rFonts w:ascii="Arial" w:hAnsi="Arial" w:cs="Arial"/>
                <w:sz w:val="12"/>
                <w:szCs w:val="12"/>
              </w:rPr>
            </w:pPr>
          </w:p>
        </w:tc>
      </w:tr>
      <w:tr w:rsidR="002A4DDF" w:rsidRPr="00937C8B" w14:paraId="33639713" w14:textId="77777777" w:rsidTr="00935676">
        <w:trPr>
          <w:cantSplit/>
        </w:trPr>
        <w:tc>
          <w:tcPr>
            <w:tcW w:w="1696" w:type="dxa"/>
            <w:tcBorders>
              <w:left w:val="single" w:sz="4" w:space="0" w:color="auto"/>
            </w:tcBorders>
            <w:shd w:val="clear" w:color="auto" w:fill="auto"/>
          </w:tcPr>
          <w:p w14:paraId="4872B8B7" w14:textId="77777777" w:rsidR="002A4DDF" w:rsidRPr="00937C8B" w:rsidRDefault="002A4DDF" w:rsidP="009110ED">
            <w:pPr>
              <w:rPr>
                <w:rFonts w:ascii="Arial" w:hAnsi="Arial" w:cs="Arial"/>
                <w:sz w:val="12"/>
                <w:szCs w:val="12"/>
              </w:rPr>
            </w:pPr>
          </w:p>
        </w:tc>
        <w:tc>
          <w:tcPr>
            <w:tcW w:w="1843" w:type="dxa"/>
            <w:shd w:val="clear" w:color="auto" w:fill="auto"/>
          </w:tcPr>
          <w:p w14:paraId="742525A9" w14:textId="77777777" w:rsidR="002A4DDF" w:rsidRPr="00937C8B" w:rsidRDefault="002A4DDF" w:rsidP="009110ED">
            <w:pPr>
              <w:rPr>
                <w:rFonts w:ascii="Arial" w:hAnsi="Arial" w:cs="Arial"/>
                <w:sz w:val="12"/>
                <w:szCs w:val="12"/>
              </w:rPr>
            </w:pPr>
          </w:p>
        </w:tc>
        <w:tc>
          <w:tcPr>
            <w:tcW w:w="2268" w:type="dxa"/>
            <w:shd w:val="clear" w:color="auto" w:fill="F2F2F2"/>
            <w:hideMark/>
          </w:tcPr>
          <w:p w14:paraId="5022B4C9" w14:textId="77777777" w:rsidR="002A4DDF" w:rsidRPr="00937C8B" w:rsidRDefault="002A4DDF" w:rsidP="009110ED">
            <w:pPr>
              <w:rPr>
                <w:rFonts w:ascii="Arial" w:hAnsi="Arial" w:cs="Arial"/>
                <w:sz w:val="12"/>
                <w:szCs w:val="12"/>
              </w:rPr>
            </w:pPr>
            <w:r>
              <w:rPr>
                <w:rFonts w:ascii="Arial" w:hAnsi="Arial"/>
                <w:sz w:val="12"/>
                <w:szCs w:val="12"/>
              </w:rPr>
              <w:t>Villalazán</w:t>
            </w:r>
          </w:p>
        </w:tc>
        <w:tc>
          <w:tcPr>
            <w:tcW w:w="2268" w:type="dxa"/>
            <w:tcBorders>
              <w:right w:val="single" w:sz="4" w:space="0" w:color="auto"/>
            </w:tcBorders>
            <w:shd w:val="clear" w:color="auto" w:fill="D9D9D9"/>
            <w:hideMark/>
          </w:tcPr>
          <w:p w14:paraId="5E7E6E8A" w14:textId="77777777" w:rsidR="002A4DDF" w:rsidRPr="00937C8B" w:rsidRDefault="002A4DDF" w:rsidP="009110ED">
            <w:pPr>
              <w:rPr>
                <w:rFonts w:ascii="Arial" w:hAnsi="Arial" w:cs="Arial"/>
                <w:sz w:val="12"/>
                <w:szCs w:val="12"/>
              </w:rPr>
            </w:pPr>
          </w:p>
        </w:tc>
      </w:tr>
      <w:tr w:rsidR="002A4DDF" w:rsidRPr="00937C8B" w14:paraId="1709FE2F" w14:textId="77777777" w:rsidTr="00935676">
        <w:trPr>
          <w:cantSplit/>
        </w:trPr>
        <w:tc>
          <w:tcPr>
            <w:tcW w:w="1696" w:type="dxa"/>
            <w:tcBorders>
              <w:left w:val="single" w:sz="4" w:space="0" w:color="auto"/>
            </w:tcBorders>
            <w:shd w:val="clear" w:color="auto" w:fill="auto"/>
          </w:tcPr>
          <w:p w14:paraId="0EA77FCF" w14:textId="77777777" w:rsidR="002A4DDF" w:rsidRPr="00937C8B" w:rsidRDefault="002A4DDF" w:rsidP="009110ED">
            <w:pPr>
              <w:rPr>
                <w:rFonts w:ascii="Arial" w:hAnsi="Arial" w:cs="Arial"/>
                <w:sz w:val="12"/>
                <w:szCs w:val="12"/>
              </w:rPr>
            </w:pPr>
          </w:p>
        </w:tc>
        <w:tc>
          <w:tcPr>
            <w:tcW w:w="1843" w:type="dxa"/>
            <w:shd w:val="clear" w:color="auto" w:fill="auto"/>
          </w:tcPr>
          <w:p w14:paraId="4ADEDBC0" w14:textId="77777777" w:rsidR="002A4DDF" w:rsidRPr="00937C8B" w:rsidRDefault="002A4DDF" w:rsidP="009110ED">
            <w:pPr>
              <w:rPr>
                <w:rFonts w:ascii="Arial" w:hAnsi="Arial" w:cs="Arial"/>
                <w:sz w:val="12"/>
                <w:szCs w:val="12"/>
              </w:rPr>
            </w:pPr>
          </w:p>
        </w:tc>
        <w:tc>
          <w:tcPr>
            <w:tcW w:w="2268" w:type="dxa"/>
            <w:shd w:val="clear" w:color="auto" w:fill="F2F2F2"/>
            <w:hideMark/>
          </w:tcPr>
          <w:p w14:paraId="62A12D63" w14:textId="77777777" w:rsidR="002A4DDF" w:rsidRPr="00937C8B" w:rsidRDefault="002A4DDF" w:rsidP="009110ED">
            <w:pPr>
              <w:rPr>
                <w:rFonts w:ascii="Arial" w:hAnsi="Arial" w:cs="Arial"/>
                <w:sz w:val="12"/>
                <w:szCs w:val="12"/>
              </w:rPr>
            </w:pPr>
            <w:r>
              <w:rPr>
                <w:rFonts w:ascii="Arial" w:hAnsi="Arial"/>
                <w:sz w:val="12"/>
                <w:szCs w:val="12"/>
              </w:rPr>
              <w:t>Villalba de la Lampreana</w:t>
            </w:r>
          </w:p>
        </w:tc>
        <w:tc>
          <w:tcPr>
            <w:tcW w:w="2268" w:type="dxa"/>
            <w:tcBorders>
              <w:right w:val="single" w:sz="4" w:space="0" w:color="auto"/>
            </w:tcBorders>
            <w:shd w:val="clear" w:color="auto" w:fill="D9D9D9"/>
            <w:hideMark/>
          </w:tcPr>
          <w:p w14:paraId="5C572A98" w14:textId="77777777" w:rsidR="002A4DDF" w:rsidRPr="00937C8B" w:rsidRDefault="002A4DDF" w:rsidP="009110ED">
            <w:pPr>
              <w:rPr>
                <w:rFonts w:ascii="Arial" w:hAnsi="Arial" w:cs="Arial"/>
                <w:sz w:val="12"/>
                <w:szCs w:val="12"/>
              </w:rPr>
            </w:pPr>
          </w:p>
        </w:tc>
      </w:tr>
      <w:tr w:rsidR="002A4DDF" w:rsidRPr="00937C8B" w14:paraId="665533E9" w14:textId="77777777" w:rsidTr="00935676">
        <w:trPr>
          <w:cantSplit/>
        </w:trPr>
        <w:tc>
          <w:tcPr>
            <w:tcW w:w="1696" w:type="dxa"/>
            <w:tcBorders>
              <w:left w:val="single" w:sz="4" w:space="0" w:color="auto"/>
            </w:tcBorders>
            <w:shd w:val="clear" w:color="auto" w:fill="auto"/>
          </w:tcPr>
          <w:p w14:paraId="7569194D" w14:textId="77777777" w:rsidR="002A4DDF" w:rsidRPr="00937C8B" w:rsidRDefault="002A4DDF" w:rsidP="009110ED">
            <w:pPr>
              <w:rPr>
                <w:rFonts w:ascii="Arial" w:hAnsi="Arial" w:cs="Arial"/>
                <w:sz w:val="12"/>
                <w:szCs w:val="12"/>
              </w:rPr>
            </w:pPr>
          </w:p>
        </w:tc>
        <w:tc>
          <w:tcPr>
            <w:tcW w:w="1843" w:type="dxa"/>
            <w:shd w:val="clear" w:color="auto" w:fill="auto"/>
          </w:tcPr>
          <w:p w14:paraId="5BFCA312" w14:textId="77777777" w:rsidR="002A4DDF" w:rsidRPr="00937C8B" w:rsidRDefault="002A4DDF" w:rsidP="009110ED">
            <w:pPr>
              <w:rPr>
                <w:rFonts w:ascii="Arial" w:hAnsi="Arial" w:cs="Arial"/>
                <w:sz w:val="12"/>
                <w:szCs w:val="12"/>
              </w:rPr>
            </w:pPr>
          </w:p>
        </w:tc>
        <w:tc>
          <w:tcPr>
            <w:tcW w:w="2268" w:type="dxa"/>
            <w:shd w:val="clear" w:color="auto" w:fill="F2F2F2"/>
            <w:hideMark/>
          </w:tcPr>
          <w:p w14:paraId="0608CC60" w14:textId="77777777" w:rsidR="002A4DDF" w:rsidRPr="00937C8B" w:rsidRDefault="002A4DDF" w:rsidP="009110ED">
            <w:pPr>
              <w:rPr>
                <w:rFonts w:ascii="Arial" w:hAnsi="Arial" w:cs="Arial"/>
                <w:sz w:val="12"/>
                <w:szCs w:val="12"/>
              </w:rPr>
            </w:pPr>
            <w:r>
              <w:rPr>
                <w:rFonts w:ascii="Arial" w:hAnsi="Arial"/>
                <w:sz w:val="12"/>
                <w:szCs w:val="12"/>
              </w:rPr>
              <w:t>Villalobos</w:t>
            </w:r>
          </w:p>
        </w:tc>
        <w:tc>
          <w:tcPr>
            <w:tcW w:w="2268" w:type="dxa"/>
            <w:tcBorders>
              <w:right w:val="single" w:sz="4" w:space="0" w:color="auto"/>
            </w:tcBorders>
            <w:shd w:val="clear" w:color="auto" w:fill="D9D9D9"/>
            <w:hideMark/>
          </w:tcPr>
          <w:p w14:paraId="1A952265" w14:textId="77777777" w:rsidR="002A4DDF" w:rsidRPr="00937C8B" w:rsidRDefault="002A4DDF" w:rsidP="009110ED">
            <w:pPr>
              <w:rPr>
                <w:rFonts w:ascii="Arial" w:hAnsi="Arial" w:cs="Arial"/>
                <w:sz w:val="12"/>
                <w:szCs w:val="12"/>
              </w:rPr>
            </w:pPr>
          </w:p>
        </w:tc>
      </w:tr>
      <w:tr w:rsidR="002A4DDF" w:rsidRPr="00937C8B" w14:paraId="64129C06" w14:textId="77777777" w:rsidTr="00935676">
        <w:trPr>
          <w:cantSplit/>
        </w:trPr>
        <w:tc>
          <w:tcPr>
            <w:tcW w:w="1696" w:type="dxa"/>
            <w:tcBorders>
              <w:left w:val="single" w:sz="4" w:space="0" w:color="auto"/>
            </w:tcBorders>
            <w:shd w:val="clear" w:color="auto" w:fill="auto"/>
          </w:tcPr>
          <w:p w14:paraId="6DB56CD3" w14:textId="77777777" w:rsidR="002A4DDF" w:rsidRPr="00937C8B" w:rsidRDefault="002A4DDF" w:rsidP="009110ED">
            <w:pPr>
              <w:rPr>
                <w:rFonts w:ascii="Arial" w:hAnsi="Arial" w:cs="Arial"/>
                <w:sz w:val="12"/>
                <w:szCs w:val="12"/>
              </w:rPr>
            </w:pPr>
          </w:p>
        </w:tc>
        <w:tc>
          <w:tcPr>
            <w:tcW w:w="1843" w:type="dxa"/>
            <w:shd w:val="clear" w:color="auto" w:fill="auto"/>
          </w:tcPr>
          <w:p w14:paraId="641CCC2B" w14:textId="77777777" w:rsidR="002A4DDF" w:rsidRPr="00937C8B" w:rsidRDefault="002A4DDF" w:rsidP="009110ED">
            <w:pPr>
              <w:rPr>
                <w:rFonts w:ascii="Arial" w:hAnsi="Arial" w:cs="Arial"/>
                <w:sz w:val="12"/>
                <w:szCs w:val="12"/>
              </w:rPr>
            </w:pPr>
          </w:p>
        </w:tc>
        <w:tc>
          <w:tcPr>
            <w:tcW w:w="2268" w:type="dxa"/>
            <w:shd w:val="clear" w:color="auto" w:fill="F2F2F2"/>
            <w:hideMark/>
          </w:tcPr>
          <w:p w14:paraId="3FD16EA7" w14:textId="77777777" w:rsidR="002A4DDF" w:rsidRPr="00937C8B" w:rsidRDefault="002A4DDF" w:rsidP="009110ED">
            <w:pPr>
              <w:rPr>
                <w:rFonts w:ascii="Arial" w:hAnsi="Arial" w:cs="Arial"/>
                <w:sz w:val="12"/>
                <w:szCs w:val="12"/>
              </w:rPr>
            </w:pPr>
            <w:r>
              <w:rPr>
                <w:rFonts w:ascii="Arial" w:hAnsi="Arial"/>
                <w:sz w:val="12"/>
                <w:szCs w:val="12"/>
              </w:rPr>
              <w:t>Villalonso</w:t>
            </w:r>
          </w:p>
        </w:tc>
        <w:tc>
          <w:tcPr>
            <w:tcW w:w="2268" w:type="dxa"/>
            <w:tcBorders>
              <w:right w:val="single" w:sz="4" w:space="0" w:color="auto"/>
            </w:tcBorders>
            <w:shd w:val="clear" w:color="auto" w:fill="D9D9D9"/>
            <w:hideMark/>
          </w:tcPr>
          <w:p w14:paraId="608EDF1F" w14:textId="77777777" w:rsidR="002A4DDF" w:rsidRPr="00937C8B" w:rsidRDefault="002A4DDF" w:rsidP="009110ED">
            <w:pPr>
              <w:rPr>
                <w:rFonts w:ascii="Arial" w:hAnsi="Arial" w:cs="Arial"/>
                <w:sz w:val="12"/>
                <w:szCs w:val="12"/>
              </w:rPr>
            </w:pPr>
          </w:p>
        </w:tc>
      </w:tr>
      <w:tr w:rsidR="002A4DDF" w:rsidRPr="00937C8B" w14:paraId="7BEBECB3" w14:textId="77777777" w:rsidTr="00935676">
        <w:trPr>
          <w:cantSplit/>
        </w:trPr>
        <w:tc>
          <w:tcPr>
            <w:tcW w:w="1696" w:type="dxa"/>
            <w:tcBorders>
              <w:left w:val="single" w:sz="4" w:space="0" w:color="auto"/>
            </w:tcBorders>
            <w:shd w:val="clear" w:color="auto" w:fill="auto"/>
          </w:tcPr>
          <w:p w14:paraId="38F8845F" w14:textId="77777777" w:rsidR="002A4DDF" w:rsidRPr="00937C8B" w:rsidRDefault="002A4DDF" w:rsidP="009110ED">
            <w:pPr>
              <w:rPr>
                <w:rFonts w:ascii="Arial" w:hAnsi="Arial" w:cs="Arial"/>
                <w:sz w:val="12"/>
                <w:szCs w:val="12"/>
              </w:rPr>
            </w:pPr>
          </w:p>
        </w:tc>
        <w:tc>
          <w:tcPr>
            <w:tcW w:w="1843" w:type="dxa"/>
            <w:shd w:val="clear" w:color="auto" w:fill="auto"/>
          </w:tcPr>
          <w:p w14:paraId="30FB0375" w14:textId="77777777" w:rsidR="002A4DDF" w:rsidRPr="00937C8B" w:rsidRDefault="002A4DDF" w:rsidP="009110ED">
            <w:pPr>
              <w:rPr>
                <w:rFonts w:ascii="Arial" w:hAnsi="Arial" w:cs="Arial"/>
                <w:sz w:val="12"/>
                <w:szCs w:val="12"/>
              </w:rPr>
            </w:pPr>
          </w:p>
        </w:tc>
        <w:tc>
          <w:tcPr>
            <w:tcW w:w="2268" w:type="dxa"/>
            <w:shd w:val="clear" w:color="auto" w:fill="F2F2F2"/>
            <w:hideMark/>
          </w:tcPr>
          <w:p w14:paraId="28C07C44" w14:textId="77777777" w:rsidR="002A4DDF" w:rsidRPr="00937C8B" w:rsidRDefault="002A4DDF" w:rsidP="009110ED">
            <w:pPr>
              <w:rPr>
                <w:rFonts w:ascii="Arial" w:hAnsi="Arial" w:cs="Arial"/>
                <w:sz w:val="12"/>
                <w:szCs w:val="12"/>
              </w:rPr>
            </w:pPr>
            <w:r>
              <w:rPr>
                <w:rFonts w:ascii="Arial" w:hAnsi="Arial"/>
                <w:sz w:val="12"/>
                <w:szCs w:val="12"/>
              </w:rPr>
              <w:t>Villalpando</w:t>
            </w:r>
          </w:p>
        </w:tc>
        <w:tc>
          <w:tcPr>
            <w:tcW w:w="2268" w:type="dxa"/>
            <w:tcBorders>
              <w:right w:val="single" w:sz="4" w:space="0" w:color="auto"/>
            </w:tcBorders>
            <w:shd w:val="clear" w:color="auto" w:fill="D9D9D9"/>
            <w:hideMark/>
          </w:tcPr>
          <w:p w14:paraId="7B6C1198" w14:textId="77777777" w:rsidR="002A4DDF" w:rsidRPr="00937C8B" w:rsidRDefault="002A4DDF" w:rsidP="009110ED">
            <w:pPr>
              <w:rPr>
                <w:rFonts w:ascii="Arial" w:hAnsi="Arial" w:cs="Arial"/>
                <w:sz w:val="12"/>
                <w:szCs w:val="12"/>
              </w:rPr>
            </w:pPr>
          </w:p>
        </w:tc>
      </w:tr>
      <w:tr w:rsidR="002A4DDF" w:rsidRPr="00937C8B" w14:paraId="4DE1B192" w14:textId="77777777" w:rsidTr="00935676">
        <w:trPr>
          <w:cantSplit/>
        </w:trPr>
        <w:tc>
          <w:tcPr>
            <w:tcW w:w="1696" w:type="dxa"/>
            <w:tcBorders>
              <w:left w:val="single" w:sz="4" w:space="0" w:color="auto"/>
            </w:tcBorders>
            <w:shd w:val="clear" w:color="auto" w:fill="auto"/>
          </w:tcPr>
          <w:p w14:paraId="24E4923B" w14:textId="77777777" w:rsidR="002A4DDF" w:rsidRPr="00937C8B" w:rsidRDefault="002A4DDF" w:rsidP="009110ED">
            <w:pPr>
              <w:rPr>
                <w:rFonts w:ascii="Arial" w:hAnsi="Arial" w:cs="Arial"/>
                <w:sz w:val="12"/>
                <w:szCs w:val="12"/>
              </w:rPr>
            </w:pPr>
          </w:p>
        </w:tc>
        <w:tc>
          <w:tcPr>
            <w:tcW w:w="1843" w:type="dxa"/>
            <w:shd w:val="clear" w:color="auto" w:fill="auto"/>
          </w:tcPr>
          <w:p w14:paraId="6FCA9701" w14:textId="77777777" w:rsidR="002A4DDF" w:rsidRPr="00937C8B" w:rsidRDefault="002A4DDF" w:rsidP="009110ED">
            <w:pPr>
              <w:rPr>
                <w:rFonts w:ascii="Arial" w:hAnsi="Arial" w:cs="Arial"/>
                <w:sz w:val="12"/>
                <w:szCs w:val="12"/>
              </w:rPr>
            </w:pPr>
          </w:p>
        </w:tc>
        <w:tc>
          <w:tcPr>
            <w:tcW w:w="2268" w:type="dxa"/>
            <w:shd w:val="clear" w:color="auto" w:fill="F2F2F2"/>
            <w:hideMark/>
          </w:tcPr>
          <w:p w14:paraId="4A0FFCB2" w14:textId="77777777" w:rsidR="002A4DDF" w:rsidRPr="00937C8B" w:rsidRDefault="002A4DDF" w:rsidP="009110ED">
            <w:pPr>
              <w:rPr>
                <w:rFonts w:ascii="Arial" w:hAnsi="Arial" w:cs="Arial"/>
                <w:sz w:val="12"/>
                <w:szCs w:val="12"/>
              </w:rPr>
            </w:pPr>
            <w:r>
              <w:rPr>
                <w:rFonts w:ascii="Arial" w:hAnsi="Arial"/>
                <w:sz w:val="12"/>
                <w:szCs w:val="12"/>
              </w:rPr>
              <w:t>Villalube</w:t>
            </w:r>
          </w:p>
        </w:tc>
        <w:tc>
          <w:tcPr>
            <w:tcW w:w="2268" w:type="dxa"/>
            <w:tcBorders>
              <w:right w:val="single" w:sz="4" w:space="0" w:color="auto"/>
            </w:tcBorders>
            <w:shd w:val="clear" w:color="auto" w:fill="D9D9D9"/>
            <w:hideMark/>
          </w:tcPr>
          <w:p w14:paraId="625E11E7" w14:textId="77777777" w:rsidR="002A4DDF" w:rsidRPr="00937C8B" w:rsidRDefault="002A4DDF" w:rsidP="009110ED">
            <w:pPr>
              <w:rPr>
                <w:rFonts w:ascii="Arial" w:hAnsi="Arial" w:cs="Arial"/>
                <w:sz w:val="12"/>
                <w:szCs w:val="12"/>
              </w:rPr>
            </w:pPr>
          </w:p>
        </w:tc>
      </w:tr>
      <w:tr w:rsidR="002A4DDF" w:rsidRPr="00937C8B" w14:paraId="466D857A" w14:textId="77777777" w:rsidTr="00935676">
        <w:trPr>
          <w:cantSplit/>
        </w:trPr>
        <w:tc>
          <w:tcPr>
            <w:tcW w:w="1696" w:type="dxa"/>
            <w:tcBorders>
              <w:left w:val="single" w:sz="4" w:space="0" w:color="auto"/>
            </w:tcBorders>
            <w:shd w:val="clear" w:color="auto" w:fill="auto"/>
          </w:tcPr>
          <w:p w14:paraId="66660208" w14:textId="77777777" w:rsidR="002A4DDF" w:rsidRPr="00937C8B" w:rsidRDefault="002A4DDF" w:rsidP="009110ED">
            <w:pPr>
              <w:rPr>
                <w:rFonts w:ascii="Arial" w:hAnsi="Arial" w:cs="Arial"/>
                <w:sz w:val="12"/>
                <w:szCs w:val="12"/>
              </w:rPr>
            </w:pPr>
          </w:p>
        </w:tc>
        <w:tc>
          <w:tcPr>
            <w:tcW w:w="1843" w:type="dxa"/>
            <w:shd w:val="clear" w:color="auto" w:fill="auto"/>
          </w:tcPr>
          <w:p w14:paraId="7268DE7F" w14:textId="77777777" w:rsidR="002A4DDF" w:rsidRPr="00937C8B" w:rsidRDefault="002A4DDF" w:rsidP="009110ED">
            <w:pPr>
              <w:rPr>
                <w:rFonts w:ascii="Arial" w:hAnsi="Arial" w:cs="Arial"/>
                <w:sz w:val="12"/>
                <w:szCs w:val="12"/>
              </w:rPr>
            </w:pPr>
          </w:p>
        </w:tc>
        <w:tc>
          <w:tcPr>
            <w:tcW w:w="2268" w:type="dxa"/>
            <w:shd w:val="clear" w:color="auto" w:fill="F2F2F2"/>
            <w:hideMark/>
          </w:tcPr>
          <w:p w14:paraId="3C2C9610" w14:textId="77777777" w:rsidR="002A4DDF" w:rsidRPr="00937C8B" w:rsidRDefault="002A4DDF" w:rsidP="009110ED">
            <w:pPr>
              <w:rPr>
                <w:rFonts w:ascii="Arial" w:hAnsi="Arial" w:cs="Arial"/>
                <w:sz w:val="12"/>
                <w:szCs w:val="12"/>
              </w:rPr>
            </w:pPr>
            <w:r>
              <w:rPr>
                <w:rFonts w:ascii="Arial" w:hAnsi="Arial"/>
                <w:sz w:val="12"/>
                <w:szCs w:val="12"/>
              </w:rPr>
              <w:t>Villamor de los Escuderos</w:t>
            </w:r>
          </w:p>
        </w:tc>
        <w:tc>
          <w:tcPr>
            <w:tcW w:w="2268" w:type="dxa"/>
            <w:tcBorders>
              <w:right w:val="single" w:sz="4" w:space="0" w:color="auto"/>
            </w:tcBorders>
            <w:shd w:val="clear" w:color="auto" w:fill="D9D9D9"/>
            <w:hideMark/>
          </w:tcPr>
          <w:p w14:paraId="1585BB42" w14:textId="77777777" w:rsidR="002A4DDF" w:rsidRPr="00937C8B" w:rsidRDefault="002A4DDF" w:rsidP="009110ED">
            <w:pPr>
              <w:rPr>
                <w:rFonts w:ascii="Arial" w:hAnsi="Arial" w:cs="Arial"/>
                <w:sz w:val="12"/>
                <w:szCs w:val="12"/>
              </w:rPr>
            </w:pPr>
          </w:p>
        </w:tc>
      </w:tr>
      <w:tr w:rsidR="002A4DDF" w:rsidRPr="00937C8B" w14:paraId="2928187C" w14:textId="77777777" w:rsidTr="00935676">
        <w:trPr>
          <w:cantSplit/>
        </w:trPr>
        <w:tc>
          <w:tcPr>
            <w:tcW w:w="1696" w:type="dxa"/>
            <w:tcBorders>
              <w:left w:val="single" w:sz="4" w:space="0" w:color="auto"/>
            </w:tcBorders>
            <w:shd w:val="clear" w:color="auto" w:fill="auto"/>
          </w:tcPr>
          <w:p w14:paraId="72A6837E" w14:textId="77777777" w:rsidR="002A4DDF" w:rsidRPr="00937C8B" w:rsidRDefault="002A4DDF" w:rsidP="009110ED">
            <w:pPr>
              <w:rPr>
                <w:rFonts w:ascii="Arial" w:hAnsi="Arial" w:cs="Arial"/>
                <w:sz w:val="12"/>
                <w:szCs w:val="12"/>
              </w:rPr>
            </w:pPr>
          </w:p>
        </w:tc>
        <w:tc>
          <w:tcPr>
            <w:tcW w:w="1843" w:type="dxa"/>
            <w:shd w:val="clear" w:color="auto" w:fill="auto"/>
          </w:tcPr>
          <w:p w14:paraId="790F615F" w14:textId="77777777" w:rsidR="002A4DDF" w:rsidRPr="00937C8B" w:rsidRDefault="002A4DDF" w:rsidP="009110ED">
            <w:pPr>
              <w:rPr>
                <w:rFonts w:ascii="Arial" w:hAnsi="Arial" w:cs="Arial"/>
                <w:sz w:val="12"/>
                <w:szCs w:val="12"/>
              </w:rPr>
            </w:pPr>
          </w:p>
        </w:tc>
        <w:tc>
          <w:tcPr>
            <w:tcW w:w="2268" w:type="dxa"/>
            <w:shd w:val="clear" w:color="auto" w:fill="F2F2F2"/>
            <w:hideMark/>
          </w:tcPr>
          <w:p w14:paraId="5E17693A" w14:textId="77777777" w:rsidR="002A4DDF" w:rsidRPr="00937C8B" w:rsidRDefault="002A4DDF" w:rsidP="009110ED">
            <w:pPr>
              <w:rPr>
                <w:rFonts w:ascii="Arial" w:hAnsi="Arial" w:cs="Arial"/>
                <w:sz w:val="12"/>
                <w:szCs w:val="12"/>
              </w:rPr>
            </w:pPr>
            <w:r>
              <w:rPr>
                <w:rFonts w:ascii="Arial" w:hAnsi="Arial"/>
                <w:sz w:val="12"/>
                <w:szCs w:val="12"/>
              </w:rPr>
              <w:t>Villanázar</w:t>
            </w:r>
          </w:p>
        </w:tc>
        <w:tc>
          <w:tcPr>
            <w:tcW w:w="2268" w:type="dxa"/>
            <w:tcBorders>
              <w:right w:val="single" w:sz="4" w:space="0" w:color="auto"/>
            </w:tcBorders>
            <w:shd w:val="clear" w:color="auto" w:fill="D9D9D9"/>
            <w:hideMark/>
          </w:tcPr>
          <w:p w14:paraId="432CCFAE" w14:textId="77777777" w:rsidR="002A4DDF" w:rsidRPr="00937C8B" w:rsidRDefault="002A4DDF" w:rsidP="009110ED">
            <w:pPr>
              <w:rPr>
                <w:rFonts w:ascii="Arial" w:hAnsi="Arial" w:cs="Arial"/>
                <w:sz w:val="12"/>
                <w:szCs w:val="12"/>
              </w:rPr>
            </w:pPr>
          </w:p>
        </w:tc>
      </w:tr>
      <w:tr w:rsidR="002A4DDF" w:rsidRPr="00937C8B" w14:paraId="77FB3FC8" w14:textId="77777777" w:rsidTr="00935676">
        <w:trPr>
          <w:cantSplit/>
        </w:trPr>
        <w:tc>
          <w:tcPr>
            <w:tcW w:w="1696" w:type="dxa"/>
            <w:tcBorders>
              <w:left w:val="single" w:sz="4" w:space="0" w:color="auto"/>
            </w:tcBorders>
            <w:shd w:val="clear" w:color="auto" w:fill="auto"/>
          </w:tcPr>
          <w:p w14:paraId="02401176" w14:textId="77777777" w:rsidR="002A4DDF" w:rsidRPr="00937C8B" w:rsidRDefault="002A4DDF" w:rsidP="009110ED">
            <w:pPr>
              <w:rPr>
                <w:rFonts w:ascii="Arial" w:hAnsi="Arial" w:cs="Arial"/>
                <w:sz w:val="12"/>
                <w:szCs w:val="12"/>
              </w:rPr>
            </w:pPr>
          </w:p>
        </w:tc>
        <w:tc>
          <w:tcPr>
            <w:tcW w:w="1843" w:type="dxa"/>
            <w:shd w:val="clear" w:color="auto" w:fill="auto"/>
          </w:tcPr>
          <w:p w14:paraId="6EEA891F" w14:textId="77777777" w:rsidR="002A4DDF" w:rsidRPr="00937C8B" w:rsidRDefault="002A4DDF" w:rsidP="009110ED">
            <w:pPr>
              <w:rPr>
                <w:rFonts w:ascii="Arial" w:hAnsi="Arial" w:cs="Arial"/>
                <w:sz w:val="12"/>
                <w:szCs w:val="12"/>
              </w:rPr>
            </w:pPr>
          </w:p>
        </w:tc>
        <w:tc>
          <w:tcPr>
            <w:tcW w:w="2268" w:type="dxa"/>
            <w:shd w:val="clear" w:color="auto" w:fill="F2F2F2"/>
            <w:hideMark/>
          </w:tcPr>
          <w:p w14:paraId="369B5F61" w14:textId="77777777" w:rsidR="002A4DDF" w:rsidRPr="00937C8B" w:rsidRDefault="002A4DDF" w:rsidP="009110ED">
            <w:pPr>
              <w:rPr>
                <w:rFonts w:ascii="Arial" w:hAnsi="Arial" w:cs="Arial"/>
                <w:sz w:val="12"/>
                <w:szCs w:val="12"/>
              </w:rPr>
            </w:pPr>
            <w:r>
              <w:rPr>
                <w:rFonts w:ascii="Arial" w:hAnsi="Arial"/>
                <w:sz w:val="12"/>
                <w:szCs w:val="12"/>
              </w:rPr>
              <w:t>Villanueva de Azoague</w:t>
            </w:r>
          </w:p>
        </w:tc>
        <w:tc>
          <w:tcPr>
            <w:tcW w:w="2268" w:type="dxa"/>
            <w:tcBorders>
              <w:right w:val="single" w:sz="4" w:space="0" w:color="auto"/>
            </w:tcBorders>
            <w:shd w:val="clear" w:color="auto" w:fill="D9D9D9"/>
            <w:hideMark/>
          </w:tcPr>
          <w:p w14:paraId="01A6D30D" w14:textId="77777777" w:rsidR="002A4DDF" w:rsidRPr="00937C8B" w:rsidRDefault="002A4DDF" w:rsidP="009110ED">
            <w:pPr>
              <w:rPr>
                <w:rFonts w:ascii="Arial" w:hAnsi="Arial" w:cs="Arial"/>
                <w:sz w:val="12"/>
                <w:szCs w:val="12"/>
              </w:rPr>
            </w:pPr>
          </w:p>
        </w:tc>
      </w:tr>
      <w:tr w:rsidR="002A4DDF" w:rsidRPr="00937C8B" w14:paraId="37581249" w14:textId="77777777" w:rsidTr="00935676">
        <w:trPr>
          <w:cantSplit/>
        </w:trPr>
        <w:tc>
          <w:tcPr>
            <w:tcW w:w="1696" w:type="dxa"/>
            <w:tcBorders>
              <w:left w:val="single" w:sz="4" w:space="0" w:color="auto"/>
            </w:tcBorders>
            <w:shd w:val="clear" w:color="auto" w:fill="auto"/>
          </w:tcPr>
          <w:p w14:paraId="7CCAE659" w14:textId="77777777" w:rsidR="002A4DDF" w:rsidRPr="00937C8B" w:rsidRDefault="002A4DDF" w:rsidP="009110ED">
            <w:pPr>
              <w:rPr>
                <w:rFonts w:ascii="Arial" w:hAnsi="Arial" w:cs="Arial"/>
                <w:sz w:val="12"/>
                <w:szCs w:val="12"/>
              </w:rPr>
            </w:pPr>
          </w:p>
        </w:tc>
        <w:tc>
          <w:tcPr>
            <w:tcW w:w="1843" w:type="dxa"/>
            <w:shd w:val="clear" w:color="auto" w:fill="auto"/>
          </w:tcPr>
          <w:p w14:paraId="0EF3D21B" w14:textId="77777777" w:rsidR="002A4DDF" w:rsidRPr="00937C8B" w:rsidRDefault="002A4DDF" w:rsidP="009110ED">
            <w:pPr>
              <w:rPr>
                <w:rFonts w:ascii="Arial" w:hAnsi="Arial" w:cs="Arial"/>
                <w:sz w:val="12"/>
                <w:szCs w:val="12"/>
              </w:rPr>
            </w:pPr>
          </w:p>
        </w:tc>
        <w:tc>
          <w:tcPr>
            <w:tcW w:w="2268" w:type="dxa"/>
            <w:shd w:val="clear" w:color="auto" w:fill="F2F2F2"/>
            <w:hideMark/>
          </w:tcPr>
          <w:p w14:paraId="3AD00D55" w14:textId="77777777" w:rsidR="002A4DDF" w:rsidRPr="00937C8B" w:rsidRDefault="002A4DDF" w:rsidP="009110ED">
            <w:pPr>
              <w:rPr>
                <w:rFonts w:ascii="Arial" w:hAnsi="Arial" w:cs="Arial"/>
                <w:sz w:val="12"/>
                <w:szCs w:val="12"/>
              </w:rPr>
            </w:pPr>
            <w:r>
              <w:rPr>
                <w:rFonts w:ascii="Arial" w:hAnsi="Arial"/>
                <w:sz w:val="12"/>
                <w:szCs w:val="12"/>
              </w:rPr>
              <w:t>Villanueva de Campeán</w:t>
            </w:r>
          </w:p>
        </w:tc>
        <w:tc>
          <w:tcPr>
            <w:tcW w:w="2268" w:type="dxa"/>
            <w:tcBorders>
              <w:right w:val="single" w:sz="4" w:space="0" w:color="auto"/>
            </w:tcBorders>
            <w:shd w:val="clear" w:color="auto" w:fill="D9D9D9"/>
            <w:hideMark/>
          </w:tcPr>
          <w:p w14:paraId="5A9C4035" w14:textId="77777777" w:rsidR="002A4DDF" w:rsidRPr="00937C8B" w:rsidRDefault="002A4DDF" w:rsidP="009110ED">
            <w:pPr>
              <w:rPr>
                <w:rFonts w:ascii="Arial" w:hAnsi="Arial" w:cs="Arial"/>
                <w:sz w:val="12"/>
                <w:szCs w:val="12"/>
              </w:rPr>
            </w:pPr>
          </w:p>
        </w:tc>
      </w:tr>
      <w:tr w:rsidR="002A4DDF" w:rsidRPr="00937C8B" w14:paraId="0AACF13F" w14:textId="77777777" w:rsidTr="00935676">
        <w:trPr>
          <w:cantSplit/>
        </w:trPr>
        <w:tc>
          <w:tcPr>
            <w:tcW w:w="1696" w:type="dxa"/>
            <w:tcBorders>
              <w:left w:val="single" w:sz="4" w:space="0" w:color="auto"/>
            </w:tcBorders>
            <w:shd w:val="clear" w:color="auto" w:fill="auto"/>
          </w:tcPr>
          <w:p w14:paraId="48C25CFA" w14:textId="77777777" w:rsidR="002A4DDF" w:rsidRPr="00937C8B" w:rsidRDefault="002A4DDF" w:rsidP="009110ED">
            <w:pPr>
              <w:rPr>
                <w:rFonts w:ascii="Arial" w:hAnsi="Arial" w:cs="Arial"/>
                <w:sz w:val="12"/>
                <w:szCs w:val="12"/>
              </w:rPr>
            </w:pPr>
          </w:p>
        </w:tc>
        <w:tc>
          <w:tcPr>
            <w:tcW w:w="1843" w:type="dxa"/>
            <w:shd w:val="clear" w:color="auto" w:fill="auto"/>
          </w:tcPr>
          <w:p w14:paraId="6375B038" w14:textId="77777777" w:rsidR="002A4DDF" w:rsidRPr="00937C8B" w:rsidRDefault="002A4DDF" w:rsidP="009110ED">
            <w:pPr>
              <w:rPr>
                <w:rFonts w:ascii="Arial" w:hAnsi="Arial" w:cs="Arial"/>
                <w:sz w:val="12"/>
                <w:szCs w:val="12"/>
              </w:rPr>
            </w:pPr>
          </w:p>
        </w:tc>
        <w:tc>
          <w:tcPr>
            <w:tcW w:w="2268" w:type="dxa"/>
            <w:shd w:val="clear" w:color="auto" w:fill="F2F2F2"/>
            <w:hideMark/>
          </w:tcPr>
          <w:p w14:paraId="34F64689" w14:textId="77777777" w:rsidR="002A4DDF" w:rsidRPr="00937C8B" w:rsidRDefault="002A4DDF" w:rsidP="009110ED">
            <w:pPr>
              <w:rPr>
                <w:rFonts w:ascii="Arial" w:hAnsi="Arial" w:cs="Arial"/>
                <w:sz w:val="12"/>
                <w:szCs w:val="12"/>
              </w:rPr>
            </w:pPr>
            <w:r>
              <w:rPr>
                <w:rFonts w:ascii="Arial" w:hAnsi="Arial"/>
                <w:sz w:val="12"/>
                <w:szCs w:val="12"/>
              </w:rPr>
              <w:t>Villanueva de las Peras</w:t>
            </w:r>
          </w:p>
        </w:tc>
        <w:tc>
          <w:tcPr>
            <w:tcW w:w="2268" w:type="dxa"/>
            <w:tcBorders>
              <w:right w:val="single" w:sz="4" w:space="0" w:color="auto"/>
            </w:tcBorders>
            <w:shd w:val="clear" w:color="auto" w:fill="D9D9D9"/>
            <w:hideMark/>
          </w:tcPr>
          <w:p w14:paraId="66FCC8B7" w14:textId="77777777" w:rsidR="002A4DDF" w:rsidRPr="00937C8B" w:rsidRDefault="002A4DDF" w:rsidP="009110ED">
            <w:pPr>
              <w:rPr>
                <w:rFonts w:ascii="Arial" w:hAnsi="Arial" w:cs="Arial"/>
                <w:sz w:val="12"/>
                <w:szCs w:val="12"/>
              </w:rPr>
            </w:pPr>
          </w:p>
        </w:tc>
      </w:tr>
      <w:tr w:rsidR="002A4DDF" w:rsidRPr="00937C8B" w14:paraId="13C9006C" w14:textId="77777777" w:rsidTr="00935676">
        <w:trPr>
          <w:cantSplit/>
        </w:trPr>
        <w:tc>
          <w:tcPr>
            <w:tcW w:w="1696" w:type="dxa"/>
            <w:tcBorders>
              <w:left w:val="single" w:sz="4" w:space="0" w:color="auto"/>
            </w:tcBorders>
            <w:shd w:val="clear" w:color="auto" w:fill="auto"/>
          </w:tcPr>
          <w:p w14:paraId="27AFAC6B" w14:textId="77777777" w:rsidR="002A4DDF" w:rsidRPr="00937C8B" w:rsidRDefault="002A4DDF" w:rsidP="009110ED">
            <w:pPr>
              <w:rPr>
                <w:rFonts w:ascii="Arial" w:hAnsi="Arial" w:cs="Arial"/>
                <w:sz w:val="12"/>
                <w:szCs w:val="12"/>
              </w:rPr>
            </w:pPr>
          </w:p>
        </w:tc>
        <w:tc>
          <w:tcPr>
            <w:tcW w:w="1843" w:type="dxa"/>
            <w:shd w:val="clear" w:color="auto" w:fill="auto"/>
          </w:tcPr>
          <w:p w14:paraId="197656FF" w14:textId="77777777" w:rsidR="002A4DDF" w:rsidRPr="00937C8B" w:rsidRDefault="002A4DDF" w:rsidP="009110ED">
            <w:pPr>
              <w:rPr>
                <w:rFonts w:ascii="Arial" w:hAnsi="Arial" w:cs="Arial"/>
                <w:sz w:val="12"/>
                <w:szCs w:val="12"/>
              </w:rPr>
            </w:pPr>
          </w:p>
        </w:tc>
        <w:tc>
          <w:tcPr>
            <w:tcW w:w="2268" w:type="dxa"/>
            <w:shd w:val="clear" w:color="auto" w:fill="F2F2F2"/>
            <w:hideMark/>
          </w:tcPr>
          <w:p w14:paraId="6BF42B1B" w14:textId="77777777" w:rsidR="002A4DDF" w:rsidRPr="00937C8B" w:rsidRDefault="002A4DDF" w:rsidP="009110ED">
            <w:pPr>
              <w:rPr>
                <w:rFonts w:ascii="Arial" w:hAnsi="Arial" w:cs="Arial"/>
                <w:sz w:val="12"/>
                <w:szCs w:val="12"/>
              </w:rPr>
            </w:pPr>
            <w:r>
              <w:rPr>
                <w:rFonts w:ascii="Arial" w:hAnsi="Arial"/>
                <w:sz w:val="12"/>
                <w:szCs w:val="12"/>
              </w:rPr>
              <w:t>Villaralbo</w:t>
            </w:r>
          </w:p>
        </w:tc>
        <w:tc>
          <w:tcPr>
            <w:tcW w:w="2268" w:type="dxa"/>
            <w:tcBorders>
              <w:right w:val="single" w:sz="4" w:space="0" w:color="auto"/>
            </w:tcBorders>
            <w:shd w:val="clear" w:color="auto" w:fill="D9D9D9"/>
            <w:hideMark/>
          </w:tcPr>
          <w:p w14:paraId="1126AD0A" w14:textId="77777777" w:rsidR="002A4DDF" w:rsidRPr="00937C8B" w:rsidRDefault="002A4DDF" w:rsidP="009110ED">
            <w:pPr>
              <w:rPr>
                <w:rFonts w:ascii="Arial" w:hAnsi="Arial" w:cs="Arial"/>
                <w:sz w:val="12"/>
                <w:szCs w:val="12"/>
              </w:rPr>
            </w:pPr>
          </w:p>
        </w:tc>
      </w:tr>
      <w:tr w:rsidR="002A4DDF" w:rsidRPr="00937C8B" w14:paraId="0C17F586" w14:textId="77777777" w:rsidTr="00935676">
        <w:trPr>
          <w:cantSplit/>
        </w:trPr>
        <w:tc>
          <w:tcPr>
            <w:tcW w:w="1696" w:type="dxa"/>
            <w:tcBorders>
              <w:left w:val="single" w:sz="4" w:space="0" w:color="auto"/>
            </w:tcBorders>
            <w:shd w:val="clear" w:color="auto" w:fill="auto"/>
          </w:tcPr>
          <w:p w14:paraId="2121F405" w14:textId="77777777" w:rsidR="002A4DDF" w:rsidRPr="00937C8B" w:rsidRDefault="002A4DDF" w:rsidP="009110ED">
            <w:pPr>
              <w:rPr>
                <w:rFonts w:ascii="Arial" w:hAnsi="Arial" w:cs="Arial"/>
                <w:sz w:val="12"/>
                <w:szCs w:val="12"/>
              </w:rPr>
            </w:pPr>
          </w:p>
        </w:tc>
        <w:tc>
          <w:tcPr>
            <w:tcW w:w="1843" w:type="dxa"/>
            <w:shd w:val="clear" w:color="auto" w:fill="auto"/>
          </w:tcPr>
          <w:p w14:paraId="2E9B33EB" w14:textId="77777777" w:rsidR="002A4DDF" w:rsidRPr="00937C8B" w:rsidRDefault="002A4DDF" w:rsidP="009110ED">
            <w:pPr>
              <w:rPr>
                <w:rFonts w:ascii="Arial" w:hAnsi="Arial" w:cs="Arial"/>
                <w:sz w:val="12"/>
                <w:szCs w:val="12"/>
              </w:rPr>
            </w:pPr>
          </w:p>
        </w:tc>
        <w:tc>
          <w:tcPr>
            <w:tcW w:w="2268" w:type="dxa"/>
            <w:shd w:val="clear" w:color="auto" w:fill="F2F2F2"/>
            <w:hideMark/>
          </w:tcPr>
          <w:p w14:paraId="13237885" w14:textId="77777777" w:rsidR="002A4DDF" w:rsidRPr="00937C8B" w:rsidRDefault="002A4DDF" w:rsidP="009110ED">
            <w:pPr>
              <w:rPr>
                <w:rFonts w:ascii="Arial" w:hAnsi="Arial" w:cs="Arial"/>
                <w:sz w:val="12"/>
                <w:szCs w:val="12"/>
              </w:rPr>
            </w:pPr>
            <w:r>
              <w:rPr>
                <w:rFonts w:ascii="Arial" w:hAnsi="Arial"/>
                <w:sz w:val="12"/>
                <w:szCs w:val="12"/>
              </w:rPr>
              <w:t>Villárdiga</w:t>
            </w:r>
          </w:p>
        </w:tc>
        <w:tc>
          <w:tcPr>
            <w:tcW w:w="2268" w:type="dxa"/>
            <w:tcBorders>
              <w:right w:val="single" w:sz="4" w:space="0" w:color="auto"/>
            </w:tcBorders>
            <w:shd w:val="clear" w:color="auto" w:fill="D9D9D9"/>
            <w:hideMark/>
          </w:tcPr>
          <w:p w14:paraId="52D337FE" w14:textId="77777777" w:rsidR="002A4DDF" w:rsidRPr="00937C8B" w:rsidRDefault="002A4DDF" w:rsidP="009110ED">
            <w:pPr>
              <w:rPr>
                <w:rFonts w:ascii="Arial" w:hAnsi="Arial" w:cs="Arial"/>
                <w:sz w:val="12"/>
                <w:szCs w:val="12"/>
              </w:rPr>
            </w:pPr>
          </w:p>
        </w:tc>
      </w:tr>
      <w:tr w:rsidR="002A4DDF" w:rsidRPr="00937C8B" w14:paraId="21ED995D" w14:textId="77777777" w:rsidTr="00935676">
        <w:trPr>
          <w:cantSplit/>
        </w:trPr>
        <w:tc>
          <w:tcPr>
            <w:tcW w:w="1696" w:type="dxa"/>
            <w:tcBorders>
              <w:left w:val="single" w:sz="4" w:space="0" w:color="auto"/>
            </w:tcBorders>
            <w:shd w:val="clear" w:color="auto" w:fill="auto"/>
          </w:tcPr>
          <w:p w14:paraId="0E32DEE3" w14:textId="77777777" w:rsidR="002A4DDF" w:rsidRPr="00937C8B" w:rsidRDefault="002A4DDF" w:rsidP="009110ED">
            <w:pPr>
              <w:rPr>
                <w:rFonts w:ascii="Arial" w:hAnsi="Arial" w:cs="Arial"/>
                <w:sz w:val="12"/>
                <w:szCs w:val="12"/>
              </w:rPr>
            </w:pPr>
          </w:p>
        </w:tc>
        <w:tc>
          <w:tcPr>
            <w:tcW w:w="1843" w:type="dxa"/>
            <w:shd w:val="clear" w:color="auto" w:fill="auto"/>
          </w:tcPr>
          <w:p w14:paraId="509D6FB3" w14:textId="77777777" w:rsidR="002A4DDF" w:rsidRPr="00937C8B" w:rsidRDefault="002A4DDF" w:rsidP="009110ED">
            <w:pPr>
              <w:rPr>
                <w:rFonts w:ascii="Arial" w:hAnsi="Arial" w:cs="Arial"/>
                <w:sz w:val="12"/>
                <w:szCs w:val="12"/>
              </w:rPr>
            </w:pPr>
          </w:p>
        </w:tc>
        <w:tc>
          <w:tcPr>
            <w:tcW w:w="2268" w:type="dxa"/>
            <w:shd w:val="clear" w:color="auto" w:fill="F2F2F2"/>
            <w:hideMark/>
          </w:tcPr>
          <w:p w14:paraId="42D2F993" w14:textId="77777777" w:rsidR="002A4DDF" w:rsidRPr="00937C8B" w:rsidRDefault="002A4DDF" w:rsidP="009110ED">
            <w:pPr>
              <w:rPr>
                <w:rFonts w:ascii="Arial" w:hAnsi="Arial" w:cs="Arial"/>
                <w:sz w:val="12"/>
                <w:szCs w:val="12"/>
              </w:rPr>
            </w:pPr>
            <w:r>
              <w:rPr>
                <w:rFonts w:ascii="Arial" w:hAnsi="Arial"/>
                <w:sz w:val="12"/>
                <w:szCs w:val="12"/>
              </w:rPr>
              <w:t>Villardondiego</w:t>
            </w:r>
          </w:p>
        </w:tc>
        <w:tc>
          <w:tcPr>
            <w:tcW w:w="2268" w:type="dxa"/>
            <w:tcBorders>
              <w:right w:val="single" w:sz="4" w:space="0" w:color="auto"/>
            </w:tcBorders>
            <w:shd w:val="clear" w:color="auto" w:fill="D9D9D9"/>
            <w:hideMark/>
          </w:tcPr>
          <w:p w14:paraId="32BD442F" w14:textId="77777777" w:rsidR="002A4DDF" w:rsidRPr="00937C8B" w:rsidRDefault="002A4DDF" w:rsidP="009110ED">
            <w:pPr>
              <w:rPr>
                <w:rFonts w:ascii="Arial" w:hAnsi="Arial" w:cs="Arial"/>
                <w:sz w:val="12"/>
                <w:szCs w:val="12"/>
              </w:rPr>
            </w:pPr>
          </w:p>
        </w:tc>
      </w:tr>
      <w:tr w:rsidR="002A4DDF" w:rsidRPr="00937C8B" w14:paraId="4E0FEF13" w14:textId="77777777" w:rsidTr="00935676">
        <w:trPr>
          <w:cantSplit/>
        </w:trPr>
        <w:tc>
          <w:tcPr>
            <w:tcW w:w="1696" w:type="dxa"/>
            <w:tcBorders>
              <w:left w:val="single" w:sz="4" w:space="0" w:color="auto"/>
            </w:tcBorders>
            <w:shd w:val="clear" w:color="auto" w:fill="auto"/>
          </w:tcPr>
          <w:p w14:paraId="332159E8" w14:textId="77777777" w:rsidR="002A4DDF" w:rsidRPr="00937C8B" w:rsidRDefault="002A4DDF" w:rsidP="009110ED">
            <w:pPr>
              <w:rPr>
                <w:rFonts w:ascii="Arial" w:hAnsi="Arial" w:cs="Arial"/>
                <w:sz w:val="12"/>
                <w:szCs w:val="12"/>
              </w:rPr>
            </w:pPr>
          </w:p>
        </w:tc>
        <w:tc>
          <w:tcPr>
            <w:tcW w:w="1843" w:type="dxa"/>
            <w:shd w:val="clear" w:color="auto" w:fill="auto"/>
          </w:tcPr>
          <w:p w14:paraId="2182D9F2" w14:textId="77777777" w:rsidR="002A4DDF" w:rsidRPr="00937C8B" w:rsidRDefault="002A4DDF" w:rsidP="009110ED">
            <w:pPr>
              <w:rPr>
                <w:rFonts w:ascii="Arial" w:hAnsi="Arial" w:cs="Arial"/>
                <w:sz w:val="12"/>
                <w:szCs w:val="12"/>
              </w:rPr>
            </w:pPr>
          </w:p>
        </w:tc>
        <w:tc>
          <w:tcPr>
            <w:tcW w:w="2268" w:type="dxa"/>
            <w:shd w:val="clear" w:color="auto" w:fill="F2F2F2"/>
            <w:hideMark/>
          </w:tcPr>
          <w:p w14:paraId="33EFE963" w14:textId="77777777" w:rsidR="002A4DDF" w:rsidRPr="00937C8B" w:rsidRDefault="002A4DDF" w:rsidP="009110ED">
            <w:pPr>
              <w:rPr>
                <w:rFonts w:ascii="Arial" w:hAnsi="Arial" w:cs="Arial"/>
                <w:sz w:val="12"/>
                <w:szCs w:val="12"/>
              </w:rPr>
            </w:pPr>
            <w:r>
              <w:rPr>
                <w:rFonts w:ascii="Arial" w:hAnsi="Arial"/>
                <w:sz w:val="12"/>
                <w:szCs w:val="12"/>
              </w:rPr>
              <w:t>Villarrín de Campos</w:t>
            </w:r>
          </w:p>
        </w:tc>
        <w:tc>
          <w:tcPr>
            <w:tcW w:w="2268" w:type="dxa"/>
            <w:tcBorders>
              <w:right w:val="single" w:sz="4" w:space="0" w:color="auto"/>
            </w:tcBorders>
            <w:shd w:val="clear" w:color="auto" w:fill="D9D9D9"/>
            <w:hideMark/>
          </w:tcPr>
          <w:p w14:paraId="15D957F4" w14:textId="77777777" w:rsidR="002A4DDF" w:rsidRPr="00937C8B" w:rsidRDefault="002A4DDF" w:rsidP="009110ED">
            <w:pPr>
              <w:rPr>
                <w:rFonts w:ascii="Arial" w:hAnsi="Arial" w:cs="Arial"/>
                <w:sz w:val="12"/>
                <w:szCs w:val="12"/>
              </w:rPr>
            </w:pPr>
          </w:p>
        </w:tc>
      </w:tr>
      <w:tr w:rsidR="002A4DDF" w:rsidRPr="00937C8B" w14:paraId="4B6136D9" w14:textId="77777777" w:rsidTr="00935676">
        <w:trPr>
          <w:cantSplit/>
        </w:trPr>
        <w:tc>
          <w:tcPr>
            <w:tcW w:w="1696" w:type="dxa"/>
            <w:tcBorders>
              <w:left w:val="single" w:sz="4" w:space="0" w:color="auto"/>
            </w:tcBorders>
            <w:shd w:val="clear" w:color="auto" w:fill="auto"/>
          </w:tcPr>
          <w:p w14:paraId="54539806" w14:textId="77777777" w:rsidR="002A4DDF" w:rsidRPr="00937C8B" w:rsidRDefault="002A4DDF" w:rsidP="009110ED">
            <w:pPr>
              <w:rPr>
                <w:rFonts w:ascii="Arial" w:hAnsi="Arial" w:cs="Arial"/>
                <w:sz w:val="12"/>
                <w:szCs w:val="12"/>
              </w:rPr>
            </w:pPr>
          </w:p>
        </w:tc>
        <w:tc>
          <w:tcPr>
            <w:tcW w:w="1843" w:type="dxa"/>
            <w:shd w:val="clear" w:color="auto" w:fill="auto"/>
          </w:tcPr>
          <w:p w14:paraId="25FBFC24" w14:textId="77777777" w:rsidR="002A4DDF" w:rsidRPr="00937C8B" w:rsidRDefault="002A4DDF" w:rsidP="009110ED">
            <w:pPr>
              <w:rPr>
                <w:rFonts w:ascii="Arial" w:hAnsi="Arial" w:cs="Arial"/>
                <w:sz w:val="12"/>
                <w:szCs w:val="12"/>
              </w:rPr>
            </w:pPr>
          </w:p>
        </w:tc>
        <w:tc>
          <w:tcPr>
            <w:tcW w:w="2268" w:type="dxa"/>
            <w:shd w:val="clear" w:color="auto" w:fill="F2F2F2"/>
            <w:hideMark/>
          </w:tcPr>
          <w:p w14:paraId="4F04C260" w14:textId="77777777" w:rsidR="002A4DDF" w:rsidRPr="00937C8B" w:rsidRDefault="002A4DDF" w:rsidP="009110ED">
            <w:pPr>
              <w:rPr>
                <w:rFonts w:ascii="Arial" w:hAnsi="Arial" w:cs="Arial"/>
                <w:sz w:val="12"/>
                <w:szCs w:val="12"/>
              </w:rPr>
            </w:pPr>
            <w:r>
              <w:rPr>
                <w:rFonts w:ascii="Arial" w:hAnsi="Arial"/>
                <w:sz w:val="12"/>
                <w:szCs w:val="12"/>
              </w:rPr>
              <w:t>Villavendimio</w:t>
            </w:r>
          </w:p>
        </w:tc>
        <w:tc>
          <w:tcPr>
            <w:tcW w:w="2268" w:type="dxa"/>
            <w:tcBorders>
              <w:right w:val="single" w:sz="4" w:space="0" w:color="auto"/>
            </w:tcBorders>
            <w:shd w:val="clear" w:color="auto" w:fill="D9D9D9"/>
            <w:hideMark/>
          </w:tcPr>
          <w:p w14:paraId="04A1B9CA" w14:textId="77777777" w:rsidR="002A4DDF" w:rsidRPr="00937C8B" w:rsidRDefault="002A4DDF" w:rsidP="009110ED">
            <w:pPr>
              <w:rPr>
                <w:rFonts w:ascii="Arial" w:hAnsi="Arial" w:cs="Arial"/>
                <w:sz w:val="12"/>
                <w:szCs w:val="12"/>
              </w:rPr>
            </w:pPr>
          </w:p>
        </w:tc>
      </w:tr>
      <w:tr w:rsidR="002A4DDF" w:rsidRPr="00937C8B" w14:paraId="69C1A035" w14:textId="77777777" w:rsidTr="00935676">
        <w:trPr>
          <w:cantSplit/>
        </w:trPr>
        <w:tc>
          <w:tcPr>
            <w:tcW w:w="1696" w:type="dxa"/>
            <w:tcBorders>
              <w:left w:val="single" w:sz="4" w:space="0" w:color="auto"/>
            </w:tcBorders>
            <w:shd w:val="clear" w:color="auto" w:fill="auto"/>
          </w:tcPr>
          <w:p w14:paraId="6B821313" w14:textId="77777777" w:rsidR="002A4DDF" w:rsidRPr="00937C8B" w:rsidRDefault="002A4DDF" w:rsidP="009110ED">
            <w:pPr>
              <w:rPr>
                <w:rFonts w:ascii="Arial" w:hAnsi="Arial" w:cs="Arial"/>
                <w:sz w:val="12"/>
                <w:szCs w:val="12"/>
              </w:rPr>
            </w:pPr>
          </w:p>
        </w:tc>
        <w:tc>
          <w:tcPr>
            <w:tcW w:w="1843" w:type="dxa"/>
            <w:shd w:val="clear" w:color="auto" w:fill="auto"/>
          </w:tcPr>
          <w:p w14:paraId="78229D7C" w14:textId="77777777" w:rsidR="002A4DDF" w:rsidRPr="00937C8B" w:rsidRDefault="002A4DDF" w:rsidP="009110ED">
            <w:pPr>
              <w:rPr>
                <w:rFonts w:ascii="Arial" w:hAnsi="Arial" w:cs="Arial"/>
                <w:sz w:val="12"/>
                <w:szCs w:val="12"/>
              </w:rPr>
            </w:pPr>
          </w:p>
        </w:tc>
        <w:tc>
          <w:tcPr>
            <w:tcW w:w="2268" w:type="dxa"/>
            <w:shd w:val="clear" w:color="auto" w:fill="F2F2F2"/>
            <w:hideMark/>
          </w:tcPr>
          <w:p w14:paraId="6300994D" w14:textId="77777777" w:rsidR="002A4DDF" w:rsidRPr="00937C8B" w:rsidRDefault="002A4DDF" w:rsidP="009110ED">
            <w:pPr>
              <w:rPr>
                <w:rFonts w:ascii="Arial" w:hAnsi="Arial" w:cs="Arial"/>
                <w:sz w:val="12"/>
                <w:szCs w:val="12"/>
              </w:rPr>
            </w:pPr>
            <w:r>
              <w:rPr>
                <w:rFonts w:ascii="Arial" w:hAnsi="Arial"/>
                <w:sz w:val="12"/>
                <w:szCs w:val="12"/>
              </w:rPr>
              <w:t>Villaveza de Valverde</w:t>
            </w:r>
          </w:p>
        </w:tc>
        <w:tc>
          <w:tcPr>
            <w:tcW w:w="2268" w:type="dxa"/>
            <w:tcBorders>
              <w:right w:val="single" w:sz="4" w:space="0" w:color="auto"/>
            </w:tcBorders>
            <w:shd w:val="clear" w:color="auto" w:fill="D9D9D9"/>
            <w:hideMark/>
          </w:tcPr>
          <w:p w14:paraId="29061789" w14:textId="77777777" w:rsidR="002A4DDF" w:rsidRPr="00937C8B" w:rsidRDefault="002A4DDF" w:rsidP="009110ED">
            <w:pPr>
              <w:rPr>
                <w:rFonts w:ascii="Arial" w:hAnsi="Arial" w:cs="Arial"/>
                <w:sz w:val="12"/>
                <w:szCs w:val="12"/>
              </w:rPr>
            </w:pPr>
          </w:p>
        </w:tc>
      </w:tr>
      <w:tr w:rsidR="002A4DDF" w:rsidRPr="00937C8B" w14:paraId="2ADD13E3" w14:textId="77777777" w:rsidTr="00935676">
        <w:trPr>
          <w:cantSplit/>
        </w:trPr>
        <w:tc>
          <w:tcPr>
            <w:tcW w:w="1696" w:type="dxa"/>
            <w:tcBorders>
              <w:left w:val="single" w:sz="4" w:space="0" w:color="auto"/>
            </w:tcBorders>
            <w:shd w:val="clear" w:color="auto" w:fill="auto"/>
          </w:tcPr>
          <w:p w14:paraId="442C0F5C" w14:textId="77777777" w:rsidR="002A4DDF" w:rsidRPr="00937C8B" w:rsidRDefault="002A4DDF" w:rsidP="009110ED">
            <w:pPr>
              <w:rPr>
                <w:rFonts w:ascii="Arial" w:hAnsi="Arial" w:cs="Arial"/>
                <w:sz w:val="12"/>
                <w:szCs w:val="12"/>
              </w:rPr>
            </w:pPr>
          </w:p>
        </w:tc>
        <w:tc>
          <w:tcPr>
            <w:tcW w:w="1843" w:type="dxa"/>
            <w:shd w:val="clear" w:color="auto" w:fill="auto"/>
          </w:tcPr>
          <w:p w14:paraId="69560ACB" w14:textId="77777777" w:rsidR="002A4DDF" w:rsidRPr="00937C8B" w:rsidRDefault="002A4DDF" w:rsidP="009110ED">
            <w:pPr>
              <w:rPr>
                <w:rFonts w:ascii="Arial" w:hAnsi="Arial" w:cs="Arial"/>
                <w:sz w:val="12"/>
                <w:szCs w:val="12"/>
              </w:rPr>
            </w:pPr>
          </w:p>
        </w:tc>
        <w:tc>
          <w:tcPr>
            <w:tcW w:w="2268" w:type="dxa"/>
            <w:shd w:val="clear" w:color="auto" w:fill="F2F2F2"/>
            <w:hideMark/>
          </w:tcPr>
          <w:p w14:paraId="24E90DCD" w14:textId="77777777" w:rsidR="002A4DDF" w:rsidRPr="00937C8B" w:rsidRDefault="002A4DDF" w:rsidP="009110ED">
            <w:pPr>
              <w:rPr>
                <w:rFonts w:ascii="Arial" w:hAnsi="Arial" w:cs="Arial"/>
                <w:sz w:val="12"/>
                <w:szCs w:val="12"/>
              </w:rPr>
            </w:pPr>
            <w:r>
              <w:rPr>
                <w:rFonts w:ascii="Arial" w:hAnsi="Arial"/>
                <w:sz w:val="12"/>
                <w:szCs w:val="12"/>
              </w:rPr>
              <w:t>Villaveza del Agua</w:t>
            </w:r>
          </w:p>
        </w:tc>
        <w:tc>
          <w:tcPr>
            <w:tcW w:w="2268" w:type="dxa"/>
            <w:tcBorders>
              <w:right w:val="single" w:sz="4" w:space="0" w:color="auto"/>
            </w:tcBorders>
            <w:shd w:val="clear" w:color="auto" w:fill="D9D9D9"/>
            <w:hideMark/>
          </w:tcPr>
          <w:p w14:paraId="1BC33536" w14:textId="77777777" w:rsidR="002A4DDF" w:rsidRPr="00937C8B" w:rsidRDefault="002A4DDF" w:rsidP="009110ED">
            <w:pPr>
              <w:rPr>
                <w:rFonts w:ascii="Arial" w:hAnsi="Arial" w:cs="Arial"/>
                <w:sz w:val="12"/>
                <w:szCs w:val="12"/>
              </w:rPr>
            </w:pPr>
          </w:p>
        </w:tc>
      </w:tr>
      <w:tr w:rsidR="002A4DDF" w:rsidRPr="00937C8B" w14:paraId="09063F42" w14:textId="77777777" w:rsidTr="00935676">
        <w:trPr>
          <w:cantSplit/>
        </w:trPr>
        <w:tc>
          <w:tcPr>
            <w:tcW w:w="1696" w:type="dxa"/>
            <w:tcBorders>
              <w:left w:val="single" w:sz="4" w:space="0" w:color="auto"/>
              <w:bottom w:val="single" w:sz="4" w:space="0" w:color="auto"/>
            </w:tcBorders>
            <w:shd w:val="clear" w:color="auto" w:fill="auto"/>
            <w:hideMark/>
          </w:tcPr>
          <w:p w14:paraId="7E50B8F0" w14:textId="77777777" w:rsidR="002A4DDF" w:rsidRPr="00937C8B" w:rsidRDefault="002A4DDF" w:rsidP="009110ED">
            <w:pPr>
              <w:rPr>
                <w:rFonts w:ascii="Arial" w:hAnsi="Arial" w:cs="Arial"/>
                <w:sz w:val="12"/>
                <w:szCs w:val="12"/>
              </w:rPr>
            </w:pPr>
            <w:r>
              <w:rPr>
                <w:rFonts w:ascii="Arial" w:hAnsi="Arial"/>
                <w:sz w:val="12"/>
                <w:szCs w:val="12"/>
              </w:rPr>
              <w:t>Castille-et-León</w:t>
            </w:r>
          </w:p>
        </w:tc>
        <w:tc>
          <w:tcPr>
            <w:tcW w:w="1843" w:type="dxa"/>
            <w:tcBorders>
              <w:bottom w:val="single" w:sz="4" w:space="0" w:color="auto"/>
            </w:tcBorders>
            <w:shd w:val="clear" w:color="auto" w:fill="auto"/>
            <w:hideMark/>
          </w:tcPr>
          <w:p w14:paraId="79D3C858" w14:textId="77777777" w:rsidR="002A4DDF" w:rsidRPr="00937C8B" w:rsidRDefault="002A4DDF" w:rsidP="009110ED">
            <w:pPr>
              <w:rPr>
                <w:rFonts w:ascii="Arial" w:hAnsi="Arial" w:cs="Arial"/>
                <w:sz w:val="12"/>
                <w:szCs w:val="12"/>
              </w:rPr>
            </w:pPr>
            <w:r>
              <w:rPr>
                <w:rFonts w:ascii="Arial" w:hAnsi="Arial"/>
                <w:sz w:val="12"/>
                <w:szCs w:val="12"/>
              </w:rPr>
              <w:t>Zamora</w:t>
            </w:r>
          </w:p>
        </w:tc>
        <w:tc>
          <w:tcPr>
            <w:tcW w:w="2268" w:type="dxa"/>
            <w:tcBorders>
              <w:bottom w:val="single" w:sz="4" w:space="0" w:color="auto"/>
            </w:tcBorders>
            <w:shd w:val="clear" w:color="auto" w:fill="F2F2F2"/>
            <w:hideMark/>
          </w:tcPr>
          <w:p w14:paraId="4CB9CD3B" w14:textId="77777777" w:rsidR="002A4DDF" w:rsidRPr="00937C8B" w:rsidRDefault="002A4DDF" w:rsidP="009110ED">
            <w:pPr>
              <w:rPr>
                <w:rFonts w:ascii="Arial" w:hAnsi="Arial" w:cs="Arial"/>
                <w:sz w:val="12"/>
                <w:szCs w:val="12"/>
              </w:rPr>
            </w:pPr>
            <w:r>
              <w:rPr>
                <w:rFonts w:ascii="Arial" w:hAnsi="Arial"/>
                <w:sz w:val="12"/>
                <w:szCs w:val="12"/>
              </w:rPr>
              <w:t>Zamora</w:t>
            </w:r>
          </w:p>
        </w:tc>
        <w:tc>
          <w:tcPr>
            <w:tcW w:w="2268" w:type="dxa"/>
            <w:tcBorders>
              <w:bottom w:val="single" w:sz="4" w:space="0" w:color="auto"/>
              <w:right w:val="single" w:sz="4" w:space="0" w:color="auto"/>
            </w:tcBorders>
            <w:shd w:val="clear" w:color="auto" w:fill="D9D9D9"/>
            <w:hideMark/>
          </w:tcPr>
          <w:p w14:paraId="0F03349E" w14:textId="77777777" w:rsidR="002A4DDF" w:rsidRPr="00937C8B" w:rsidRDefault="002A4DDF" w:rsidP="009110ED">
            <w:pPr>
              <w:rPr>
                <w:rFonts w:ascii="Arial" w:hAnsi="Arial" w:cs="Arial"/>
                <w:sz w:val="12"/>
                <w:szCs w:val="12"/>
              </w:rPr>
            </w:pPr>
          </w:p>
        </w:tc>
      </w:tr>
      <w:tr w:rsidR="002A4DDF" w:rsidRPr="00937C8B" w14:paraId="4D08A9DC" w14:textId="77777777" w:rsidTr="00935676">
        <w:trPr>
          <w:cantSplit/>
        </w:trPr>
        <w:tc>
          <w:tcPr>
            <w:tcW w:w="1696" w:type="dxa"/>
            <w:tcBorders>
              <w:top w:val="single" w:sz="4" w:space="0" w:color="auto"/>
            </w:tcBorders>
            <w:shd w:val="clear" w:color="auto" w:fill="auto"/>
            <w:hideMark/>
          </w:tcPr>
          <w:p w14:paraId="4FB580BF" w14:textId="77777777" w:rsidR="002A4DDF" w:rsidRPr="00937C8B" w:rsidRDefault="002A4DDF" w:rsidP="009110ED">
            <w:pPr>
              <w:rPr>
                <w:rFonts w:ascii="Arial" w:hAnsi="Arial" w:cs="Arial"/>
                <w:sz w:val="12"/>
                <w:szCs w:val="12"/>
              </w:rPr>
            </w:pPr>
          </w:p>
        </w:tc>
        <w:tc>
          <w:tcPr>
            <w:tcW w:w="1843" w:type="dxa"/>
            <w:tcBorders>
              <w:top w:val="single" w:sz="4" w:space="0" w:color="auto"/>
            </w:tcBorders>
            <w:shd w:val="clear" w:color="auto" w:fill="auto"/>
            <w:hideMark/>
          </w:tcPr>
          <w:p w14:paraId="0118FAF4" w14:textId="77777777" w:rsidR="002A4DDF" w:rsidRPr="00937C8B"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14:paraId="366014C5" w14:textId="77777777" w:rsidR="002A4DDF" w:rsidRPr="00937C8B"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14:paraId="1F0990E7" w14:textId="77777777" w:rsidR="002A4DDF" w:rsidRPr="00937C8B" w:rsidRDefault="002A4DDF" w:rsidP="009110ED">
            <w:pPr>
              <w:rPr>
                <w:rFonts w:ascii="Arial" w:hAnsi="Arial" w:cs="Arial"/>
                <w:sz w:val="12"/>
                <w:szCs w:val="12"/>
              </w:rPr>
            </w:pPr>
          </w:p>
        </w:tc>
      </w:tr>
      <w:tr w:rsidR="002A4DDF" w:rsidRPr="00937C8B" w14:paraId="51A913F0" w14:textId="77777777" w:rsidTr="00935676">
        <w:trPr>
          <w:cantSplit/>
        </w:trPr>
        <w:tc>
          <w:tcPr>
            <w:tcW w:w="1696" w:type="dxa"/>
            <w:tcBorders>
              <w:bottom w:val="single" w:sz="4" w:space="0" w:color="auto"/>
            </w:tcBorders>
            <w:shd w:val="clear" w:color="auto" w:fill="auto"/>
            <w:hideMark/>
          </w:tcPr>
          <w:p w14:paraId="606942BF" w14:textId="77777777" w:rsidR="002A4DDF" w:rsidRPr="00937C8B"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14:paraId="413293D2" w14:textId="77777777" w:rsidR="002A4DDF" w:rsidRPr="00937C8B"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14:paraId="4C5DB17C" w14:textId="77777777" w:rsidR="002A4DDF" w:rsidRPr="00937C8B"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14:paraId="416EC5DA" w14:textId="77777777" w:rsidR="002A4DDF" w:rsidRPr="00937C8B" w:rsidRDefault="002A4DDF" w:rsidP="009110ED">
            <w:pPr>
              <w:rPr>
                <w:rFonts w:ascii="Arial" w:hAnsi="Arial" w:cs="Arial"/>
                <w:sz w:val="12"/>
                <w:szCs w:val="12"/>
              </w:rPr>
            </w:pPr>
          </w:p>
        </w:tc>
      </w:tr>
      <w:tr w:rsidR="002A4DDF" w:rsidRPr="00937C8B" w14:paraId="7B02A5F4" w14:textId="77777777" w:rsidTr="00935676">
        <w:trPr>
          <w:cantSplit/>
        </w:trPr>
        <w:tc>
          <w:tcPr>
            <w:tcW w:w="1696" w:type="dxa"/>
            <w:tcBorders>
              <w:top w:val="single" w:sz="4" w:space="0" w:color="auto"/>
              <w:left w:val="single" w:sz="4" w:space="0" w:color="auto"/>
            </w:tcBorders>
            <w:shd w:val="clear" w:color="auto" w:fill="auto"/>
            <w:hideMark/>
          </w:tcPr>
          <w:p w14:paraId="5E6EAC90" w14:textId="77777777" w:rsidR="002A4DDF" w:rsidRPr="00937C8B" w:rsidRDefault="002A4DDF" w:rsidP="009110ED">
            <w:pPr>
              <w:rPr>
                <w:rFonts w:ascii="Arial" w:hAnsi="Arial" w:cs="Arial"/>
                <w:sz w:val="12"/>
                <w:szCs w:val="12"/>
              </w:rPr>
            </w:pPr>
            <w:r>
              <w:rPr>
                <w:rFonts w:ascii="Arial" w:hAnsi="Arial"/>
                <w:sz w:val="12"/>
                <w:szCs w:val="12"/>
              </w:rPr>
              <w:t>Castille-La Manche</w:t>
            </w:r>
          </w:p>
        </w:tc>
        <w:tc>
          <w:tcPr>
            <w:tcW w:w="1843" w:type="dxa"/>
            <w:tcBorders>
              <w:top w:val="single" w:sz="4" w:space="0" w:color="auto"/>
            </w:tcBorders>
            <w:shd w:val="clear" w:color="auto" w:fill="auto"/>
            <w:hideMark/>
          </w:tcPr>
          <w:p w14:paraId="56DEEA00" w14:textId="77777777" w:rsidR="002A4DDF" w:rsidRPr="00937C8B" w:rsidRDefault="002A4DDF" w:rsidP="009110ED">
            <w:pPr>
              <w:rPr>
                <w:rFonts w:ascii="Arial" w:hAnsi="Arial" w:cs="Arial"/>
                <w:sz w:val="12"/>
                <w:szCs w:val="12"/>
              </w:rPr>
            </w:pPr>
            <w:r>
              <w:rPr>
                <w:rFonts w:ascii="Arial" w:hAnsi="Arial"/>
                <w:sz w:val="12"/>
                <w:szCs w:val="12"/>
              </w:rPr>
              <w:t>Albacete</w:t>
            </w:r>
          </w:p>
        </w:tc>
        <w:tc>
          <w:tcPr>
            <w:tcW w:w="2268" w:type="dxa"/>
            <w:tcBorders>
              <w:top w:val="single" w:sz="4" w:space="0" w:color="auto"/>
            </w:tcBorders>
            <w:shd w:val="clear" w:color="auto" w:fill="F2F2F2"/>
            <w:hideMark/>
          </w:tcPr>
          <w:p w14:paraId="40C3EC19" w14:textId="77777777" w:rsidR="002A4DDF" w:rsidRPr="00937C8B" w:rsidRDefault="002A4DDF" w:rsidP="009110ED">
            <w:pPr>
              <w:rPr>
                <w:rFonts w:ascii="Arial" w:hAnsi="Arial" w:cs="Arial"/>
                <w:sz w:val="12"/>
                <w:szCs w:val="12"/>
              </w:rPr>
            </w:pPr>
            <w:r>
              <w:rPr>
                <w:rFonts w:ascii="Arial" w:hAnsi="Arial"/>
                <w:sz w:val="12"/>
                <w:szCs w:val="12"/>
              </w:rPr>
              <w:t>Lezuza</w:t>
            </w:r>
          </w:p>
        </w:tc>
        <w:tc>
          <w:tcPr>
            <w:tcW w:w="2268" w:type="dxa"/>
            <w:tcBorders>
              <w:top w:val="single" w:sz="4" w:space="0" w:color="auto"/>
              <w:right w:val="single" w:sz="4" w:space="0" w:color="auto"/>
            </w:tcBorders>
            <w:shd w:val="clear" w:color="auto" w:fill="D9D9D9"/>
            <w:hideMark/>
          </w:tcPr>
          <w:p w14:paraId="37455CB7" w14:textId="77777777" w:rsidR="002A4DDF" w:rsidRPr="00937C8B" w:rsidRDefault="002A4DDF" w:rsidP="009110ED">
            <w:pPr>
              <w:rPr>
                <w:rFonts w:ascii="Arial" w:hAnsi="Arial" w:cs="Arial"/>
                <w:sz w:val="12"/>
                <w:szCs w:val="12"/>
              </w:rPr>
            </w:pPr>
          </w:p>
        </w:tc>
      </w:tr>
      <w:tr w:rsidR="002A4DDF" w:rsidRPr="00937C8B" w14:paraId="18EE7390" w14:textId="77777777" w:rsidTr="00935676">
        <w:trPr>
          <w:cantSplit/>
        </w:trPr>
        <w:tc>
          <w:tcPr>
            <w:tcW w:w="1696" w:type="dxa"/>
            <w:tcBorders>
              <w:left w:val="single" w:sz="4" w:space="0" w:color="auto"/>
            </w:tcBorders>
            <w:shd w:val="clear" w:color="auto" w:fill="auto"/>
          </w:tcPr>
          <w:p w14:paraId="2FA57ACD" w14:textId="77777777" w:rsidR="002A4DDF" w:rsidRPr="00937C8B" w:rsidRDefault="002A4DDF" w:rsidP="009110ED">
            <w:pPr>
              <w:rPr>
                <w:rFonts w:ascii="Arial" w:hAnsi="Arial" w:cs="Arial"/>
                <w:sz w:val="12"/>
                <w:szCs w:val="12"/>
              </w:rPr>
            </w:pPr>
          </w:p>
        </w:tc>
        <w:tc>
          <w:tcPr>
            <w:tcW w:w="1843" w:type="dxa"/>
            <w:shd w:val="clear" w:color="auto" w:fill="auto"/>
          </w:tcPr>
          <w:p w14:paraId="7A64D95E" w14:textId="77777777" w:rsidR="002A4DDF" w:rsidRPr="00937C8B" w:rsidRDefault="002A4DDF" w:rsidP="009110ED">
            <w:pPr>
              <w:rPr>
                <w:rFonts w:ascii="Arial" w:hAnsi="Arial" w:cs="Arial"/>
                <w:sz w:val="12"/>
                <w:szCs w:val="12"/>
              </w:rPr>
            </w:pPr>
          </w:p>
        </w:tc>
        <w:tc>
          <w:tcPr>
            <w:tcW w:w="2268" w:type="dxa"/>
            <w:shd w:val="clear" w:color="auto" w:fill="F2F2F2"/>
            <w:hideMark/>
          </w:tcPr>
          <w:p w14:paraId="09F3F59F" w14:textId="77777777" w:rsidR="002A4DDF" w:rsidRPr="00937C8B" w:rsidRDefault="002A4DDF" w:rsidP="009110ED">
            <w:pPr>
              <w:rPr>
                <w:rFonts w:ascii="Arial" w:hAnsi="Arial" w:cs="Arial"/>
                <w:sz w:val="12"/>
                <w:szCs w:val="12"/>
              </w:rPr>
            </w:pPr>
            <w:r>
              <w:rPr>
                <w:rFonts w:ascii="Arial" w:hAnsi="Arial"/>
                <w:sz w:val="12"/>
                <w:szCs w:val="12"/>
              </w:rPr>
              <w:t>Pétrola</w:t>
            </w:r>
          </w:p>
        </w:tc>
        <w:tc>
          <w:tcPr>
            <w:tcW w:w="2268" w:type="dxa"/>
            <w:tcBorders>
              <w:right w:val="single" w:sz="4" w:space="0" w:color="auto"/>
            </w:tcBorders>
            <w:shd w:val="clear" w:color="auto" w:fill="D9D9D9"/>
            <w:hideMark/>
          </w:tcPr>
          <w:p w14:paraId="6F227BA6" w14:textId="77777777" w:rsidR="002A4DDF" w:rsidRPr="00937C8B" w:rsidRDefault="002A4DDF" w:rsidP="009110ED">
            <w:pPr>
              <w:rPr>
                <w:rFonts w:ascii="Arial" w:hAnsi="Arial" w:cs="Arial"/>
                <w:sz w:val="12"/>
                <w:szCs w:val="12"/>
              </w:rPr>
            </w:pPr>
          </w:p>
        </w:tc>
      </w:tr>
      <w:tr w:rsidR="002A4DDF" w:rsidRPr="00937C8B" w14:paraId="403B5ADD" w14:textId="77777777" w:rsidTr="00935676">
        <w:trPr>
          <w:cantSplit/>
        </w:trPr>
        <w:tc>
          <w:tcPr>
            <w:tcW w:w="1696" w:type="dxa"/>
            <w:tcBorders>
              <w:left w:val="single" w:sz="4" w:space="0" w:color="auto"/>
              <w:bottom w:val="single" w:sz="4" w:space="0" w:color="auto"/>
            </w:tcBorders>
            <w:shd w:val="clear" w:color="auto" w:fill="auto"/>
            <w:hideMark/>
          </w:tcPr>
          <w:p w14:paraId="0ED4104A" w14:textId="77777777" w:rsidR="002A4DDF" w:rsidRPr="00937C8B" w:rsidRDefault="002A4DDF" w:rsidP="009110ED">
            <w:pPr>
              <w:rPr>
                <w:rFonts w:ascii="Arial" w:hAnsi="Arial" w:cs="Arial"/>
                <w:sz w:val="12"/>
                <w:szCs w:val="12"/>
              </w:rPr>
            </w:pPr>
            <w:r>
              <w:rPr>
                <w:rFonts w:ascii="Arial" w:hAnsi="Arial"/>
                <w:sz w:val="12"/>
                <w:szCs w:val="12"/>
              </w:rPr>
              <w:t>Castille-La Manche</w:t>
            </w:r>
          </w:p>
        </w:tc>
        <w:tc>
          <w:tcPr>
            <w:tcW w:w="1843" w:type="dxa"/>
            <w:tcBorders>
              <w:bottom w:val="single" w:sz="4" w:space="0" w:color="auto"/>
            </w:tcBorders>
            <w:shd w:val="clear" w:color="auto" w:fill="auto"/>
            <w:hideMark/>
          </w:tcPr>
          <w:p w14:paraId="7881AA77" w14:textId="77777777" w:rsidR="002A4DDF" w:rsidRPr="00937C8B" w:rsidRDefault="002A4DDF" w:rsidP="009110ED">
            <w:pPr>
              <w:rPr>
                <w:rFonts w:ascii="Arial" w:hAnsi="Arial" w:cs="Arial"/>
                <w:sz w:val="12"/>
                <w:szCs w:val="12"/>
              </w:rPr>
            </w:pPr>
            <w:r>
              <w:rPr>
                <w:rFonts w:ascii="Arial" w:hAnsi="Arial"/>
                <w:sz w:val="12"/>
                <w:szCs w:val="12"/>
              </w:rPr>
              <w:t>Albacete</w:t>
            </w:r>
          </w:p>
        </w:tc>
        <w:tc>
          <w:tcPr>
            <w:tcW w:w="2268" w:type="dxa"/>
            <w:tcBorders>
              <w:bottom w:val="single" w:sz="4" w:space="0" w:color="auto"/>
            </w:tcBorders>
            <w:shd w:val="clear" w:color="auto" w:fill="F2F2F2"/>
            <w:hideMark/>
          </w:tcPr>
          <w:p w14:paraId="2175914A" w14:textId="77777777" w:rsidR="002A4DDF" w:rsidRPr="00937C8B" w:rsidRDefault="002A4DDF" w:rsidP="009110ED">
            <w:pPr>
              <w:rPr>
                <w:rFonts w:ascii="Arial" w:hAnsi="Arial" w:cs="Arial"/>
                <w:sz w:val="12"/>
                <w:szCs w:val="12"/>
              </w:rPr>
            </w:pPr>
            <w:r>
              <w:rPr>
                <w:rFonts w:ascii="Arial" w:hAnsi="Arial"/>
                <w:sz w:val="12"/>
                <w:szCs w:val="12"/>
              </w:rPr>
              <w:t>Yeste</w:t>
            </w:r>
          </w:p>
        </w:tc>
        <w:tc>
          <w:tcPr>
            <w:tcW w:w="2268" w:type="dxa"/>
            <w:tcBorders>
              <w:bottom w:val="single" w:sz="4" w:space="0" w:color="auto"/>
              <w:right w:val="single" w:sz="4" w:space="0" w:color="auto"/>
            </w:tcBorders>
            <w:shd w:val="clear" w:color="auto" w:fill="D9D9D9"/>
            <w:hideMark/>
          </w:tcPr>
          <w:p w14:paraId="365399AD" w14:textId="77777777" w:rsidR="002A4DDF" w:rsidRPr="00937C8B" w:rsidRDefault="002A4DDF" w:rsidP="009110ED">
            <w:pPr>
              <w:rPr>
                <w:rFonts w:ascii="Arial" w:hAnsi="Arial" w:cs="Arial"/>
                <w:sz w:val="12"/>
                <w:szCs w:val="12"/>
              </w:rPr>
            </w:pPr>
          </w:p>
        </w:tc>
      </w:tr>
      <w:tr w:rsidR="002A4DDF" w:rsidRPr="00937C8B" w14:paraId="50E036F8" w14:textId="77777777" w:rsidTr="00935676">
        <w:trPr>
          <w:cantSplit/>
        </w:trPr>
        <w:tc>
          <w:tcPr>
            <w:tcW w:w="1696" w:type="dxa"/>
            <w:tcBorders>
              <w:top w:val="single" w:sz="4" w:space="0" w:color="auto"/>
              <w:bottom w:val="single" w:sz="4" w:space="0" w:color="auto"/>
            </w:tcBorders>
            <w:shd w:val="clear" w:color="auto" w:fill="auto"/>
            <w:hideMark/>
          </w:tcPr>
          <w:p w14:paraId="4019A208"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3269ED44"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24C013CF"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77C4B853" w14:textId="77777777" w:rsidR="002A4DDF" w:rsidRPr="00937C8B" w:rsidRDefault="002A4DDF" w:rsidP="009110ED">
            <w:pPr>
              <w:rPr>
                <w:rFonts w:ascii="Arial" w:hAnsi="Arial" w:cs="Arial"/>
                <w:sz w:val="12"/>
                <w:szCs w:val="12"/>
              </w:rPr>
            </w:pPr>
          </w:p>
        </w:tc>
      </w:tr>
      <w:tr w:rsidR="002A4DDF" w:rsidRPr="00937C8B" w14:paraId="24EFFA54" w14:textId="77777777" w:rsidTr="00935676">
        <w:trPr>
          <w:cantSplit/>
        </w:trPr>
        <w:tc>
          <w:tcPr>
            <w:tcW w:w="1696" w:type="dxa"/>
            <w:tcBorders>
              <w:top w:val="single" w:sz="4" w:space="0" w:color="auto"/>
              <w:left w:val="single" w:sz="4" w:space="0" w:color="auto"/>
            </w:tcBorders>
            <w:shd w:val="clear" w:color="auto" w:fill="auto"/>
            <w:hideMark/>
          </w:tcPr>
          <w:p w14:paraId="44A9BACF" w14:textId="77777777" w:rsidR="002A4DDF" w:rsidRPr="00937C8B" w:rsidRDefault="002A4DDF" w:rsidP="009110ED">
            <w:pPr>
              <w:rPr>
                <w:rFonts w:ascii="Arial" w:hAnsi="Arial" w:cs="Arial"/>
                <w:sz w:val="12"/>
                <w:szCs w:val="12"/>
              </w:rPr>
            </w:pPr>
            <w:r>
              <w:rPr>
                <w:rFonts w:ascii="Arial" w:hAnsi="Arial"/>
                <w:sz w:val="12"/>
                <w:szCs w:val="12"/>
              </w:rPr>
              <w:t>Castille-La Manche</w:t>
            </w:r>
          </w:p>
        </w:tc>
        <w:tc>
          <w:tcPr>
            <w:tcW w:w="1843" w:type="dxa"/>
            <w:tcBorders>
              <w:top w:val="single" w:sz="4" w:space="0" w:color="auto"/>
            </w:tcBorders>
            <w:shd w:val="clear" w:color="auto" w:fill="auto"/>
            <w:hideMark/>
          </w:tcPr>
          <w:p w14:paraId="3E70748F" w14:textId="77777777" w:rsidR="002A4DDF" w:rsidRPr="00937C8B" w:rsidRDefault="002A4DDF" w:rsidP="009110ED">
            <w:pPr>
              <w:rPr>
                <w:rFonts w:ascii="Arial" w:hAnsi="Arial" w:cs="Arial"/>
                <w:sz w:val="12"/>
                <w:szCs w:val="12"/>
              </w:rPr>
            </w:pPr>
            <w:r>
              <w:rPr>
                <w:rFonts w:ascii="Arial" w:hAnsi="Arial"/>
                <w:sz w:val="12"/>
                <w:szCs w:val="12"/>
              </w:rPr>
              <w:t>Ciudad Real</w:t>
            </w:r>
          </w:p>
        </w:tc>
        <w:tc>
          <w:tcPr>
            <w:tcW w:w="2268" w:type="dxa"/>
            <w:tcBorders>
              <w:top w:val="single" w:sz="4" w:space="0" w:color="auto"/>
            </w:tcBorders>
            <w:shd w:val="clear" w:color="auto" w:fill="F2F2F2"/>
            <w:hideMark/>
          </w:tcPr>
          <w:p w14:paraId="7B347839" w14:textId="77777777" w:rsidR="002A4DDF" w:rsidRPr="00937C8B" w:rsidRDefault="002A4DDF" w:rsidP="009110ED">
            <w:pPr>
              <w:rPr>
                <w:rFonts w:ascii="Arial" w:hAnsi="Arial" w:cs="Arial"/>
                <w:sz w:val="12"/>
                <w:szCs w:val="12"/>
              </w:rPr>
            </w:pPr>
            <w:r>
              <w:rPr>
                <w:rFonts w:ascii="Arial" w:hAnsi="Arial"/>
                <w:sz w:val="12"/>
                <w:szCs w:val="12"/>
              </w:rPr>
              <w:t>Abenójar</w:t>
            </w:r>
          </w:p>
        </w:tc>
        <w:tc>
          <w:tcPr>
            <w:tcW w:w="2268" w:type="dxa"/>
            <w:tcBorders>
              <w:top w:val="single" w:sz="4" w:space="0" w:color="auto"/>
              <w:right w:val="single" w:sz="4" w:space="0" w:color="auto"/>
            </w:tcBorders>
            <w:shd w:val="clear" w:color="auto" w:fill="D9D9D9"/>
            <w:hideMark/>
          </w:tcPr>
          <w:p w14:paraId="26F52097" w14:textId="77777777" w:rsidR="002A4DDF" w:rsidRPr="00937C8B" w:rsidRDefault="002A4DDF" w:rsidP="009110ED">
            <w:pPr>
              <w:rPr>
                <w:rFonts w:ascii="Arial" w:hAnsi="Arial" w:cs="Arial"/>
                <w:sz w:val="12"/>
                <w:szCs w:val="12"/>
              </w:rPr>
            </w:pPr>
            <w:r>
              <w:rPr>
                <w:rFonts w:ascii="Arial" w:hAnsi="Arial"/>
                <w:sz w:val="12"/>
                <w:szCs w:val="12"/>
              </w:rPr>
              <w:t>Agudo</w:t>
            </w:r>
          </w:p>
        </w:tc>
      </w:tr>
      <w:tr w:rsidR="002A4DDF" w:rsidRPr="00937C8B" w14:paraId="0DAA7C4A" w14:textId="77777777" w:rsidTr="00935676">
        <w:trPr>
          <w:cantSplit/>
        </w:trPr>
        <w:tc>
          <w:tcPr>
            <w:tcW w:w="1696" w:type="dxa"/>
            <w:tcBorders>
              <w:left w:val="single" w:sz="4" w:space="0" w:color="auto"/>
            </w:tcBorders>
            <w:shd w:val="clear" w:color="auto" w:fill="auto"/>
          </w:tcPr>
          <w:p w14:paraId="25632835" w14:textId="77777777" w:rsidR="002A4DDF" w:rsidRPr="00937C8B" w:rsidRDefault="002A4DDF" w:rsidP="009110ED">
            <w:pPr>
              <w:rPr>
                <w:rFonts w:ascii="Arial" w:hAnsi="Arial" w:cs="Arial"/>
                <w:sz w:val="12"/>
                <w:szCs w:val="12"/>
              </w:rPr>
            </w:pPr>
          </w:p>
        </w:tc>
        <w:tc>
          <w:tcPr>
            <w:tcW w:w="1843" w:type="dxa"/>
            <w:shd w:val="clear" w:color="auto" w:fill="auto"/>
          </w:tcPr>
          <w:p w14:paraId="680A3BDD" w14:textId="77777777" w:rsidR="002A4DDF" w:rsidRPr="00937C8B" w:rsidRDefault="002A4DDF" w:rsidP="009110ED">
            <w:pPr>
              <w:rPr>
                <w:rFonts w:ascii="Arial" w:hAnsi="Arial" w:cs="Arial"/>
                <w:sz w:val="12"/>
                <w:szCs w:val="12"/>
              </w:rPr>
            </w:pPr>
          </w:p>
        </w:tc>
        <w:tc>
          <w:tcPr>
            <w:tcW w:w="2268" w:type="dxa"/>
            <w:shd w:val="clear" w:color="auto" w:fill="F2F2F2"/>
            <w:hideMark/>
          </w:tcPr>
          <w:p w14:paraId="6BA7797B" w14:textId="77777777" w:rsidR="002A4DDF" w:rsidRPr="00937C8B" w:rsidRDefault="002A4DDF" w:rsidP="009110ED">
            <w:pPr>
              <w:rPr>
                <w:rFonts w:ascii="Arial" w:hAnsi="Arial" w:cs="Arial"/>
                <w:sz w:val="12"/>
                <w:szCs w:val="12"/>
              </w:rPr>
            </w:pPr>
            <w:r>
              <w:rPr>
                <w:rFonts w:ascii="Arial" w:hAnsi="Arial"/>
                <w:sz w:val="12"/>
                <w:szCs w:val="12"/>
              </w:rPr>
              <w:t>Albaladejo</w:t>
            </w:r>
          </w:p>
        </w:tc>
        <w:tc>
          <w:tcPr>
            <w:tcW w:w="2268" w:type="dxa"/>
            <w:tcBorders>
              <w:right w:val="single" w:sz="4" w:space="0" w:color="auto"/>
            </w:tcBorders>
            <w:shd w:val="clear" w:color="auto" w:fill="D9D9D9"/>
            <w:hideMark/>
          </w:tcPr>
          <w:p w14:paraId="12EC489D" w14:textId="77777777" w:rsidR="002A4DDF" w:rsidRPr="00937C8B" w:rsidRDefault="002A4DDF" w:rsidP="009110ED">
            <w:pPr>
              <w:rPr>
                <w:rFonts w:ascii="Arial" w:hAnsi="Arial" w:cs="Arial"/>
                <w:sz w:val="12"/>
                <w:szCs w:val="12"/>
              </w:rPr>
            </w:pPr>
            <w:r>
              <w:rPr>
                <w:rFonts w:ascii="Arial" w:hAnsi="Arial"/>
                <w:sz w:val="12"/>
                <w:szCs w:val="12"/>
              </w:rPr>
              <w:t>Alamillo</w:t>
            </w:r>
          </w:p>
        </w:tc>
      </w:tr>
      <w:tr w:rsidR="002A4DDF" w:rsidRPr="00937C8B" w14:paraId="25E5442D" w14:textId="77777777" w:rsidTr="00935676">
        <w:trPr>
          <w:cantSplit/>
        </w:trPr>
        <w:tc>
          <w:tcPr>
            <w:tcW w:w="1696" w:type="dxa"/>
            <w:tcBorders>
              <w:left w:val="single" w:sz="4" w:space="0" w:color="auto"/>
            </w:tcBorders>
            <w:shd w:val="clear" w:color="auto" w:fill="auto"/>
          </w:tcPr>
          <w:p w14:paraId="606EE0C6" w14:textId="77777777" w:rsidR="002A4DDF" w:rsidRPr="00937C8B" w:rsidRDefault="002A4DDF" w:rsidP="009110ED">
            <w:pPr>
              <w:rPr>
                <w:rFonts w:ascii="Arial" w:hAnsi="Arial" w:cs="Arial"/>
                <w:sz w:val="12"/>
                <w:szCs w:val="12"/>
              </w:rPr>
            </w:pPr>
          </w:p>
        </w:tc>
        <w:tc>
          <w:tcPr>
            <w:tcW w:w="1843" w:type="dxa"/>
            <w:shd w:val="clear" w:color="auto" w:fill="auto"/>
          </w:tcPr>
          <w:p w14:paraId="18B1E71F" w14:textId="77777777" w:rsidR="002A4DDF" w:rsidRPr="00937C8B" w:rsidRDefault="002A4DDF" w:rsidP="009110ED">
            <w:pPr>
              <w:rPr>
                <w:rFonts w:ascii="Arial" w:hAnsi="Arial" w:cs="Arial"/>
                <w:sz w:val="12"/>
                <w:szCs w:val="12"/>
              </w:rPr>
            </w:pPr>
          </w:p>
        </w:tc>
        <w:tc>
          <w:tcPr>
            <w:tcW w:w="2268" w:type="dxa"/>
            <w:shd w:val="clear" w:color="auto" w:fill="F2F2F2"/>
            <w:hideMark/>
          </w:tcPr>
          <w:p w14:paraId="7BFC45E8" w14:textId="77777777" w:rsidR="002A4DDF" w:rsidRPr="00937C8B" w:rsidRDefault="002A4DDF" w:rsidP="009110ED">
            <w:pPr>
              <w:rPr>
                <w:rFonts w:ascii="Arial" w:hAnsi="Arial" w:cs="Arial"/>
                <w:sz w:val="12"/>
                <w:szCs w:val="12"/>
              </w:rPr>
            </w:pPr>
            <w:r>
              <w:rPr>
                <w:rFonts w:ascii="Arial" w:hAnsi="Arial"/>
                <w:sz w:val="12"/>
                <w:szCs w:val="12"/>
              </w:rPr>
              <w:t>Alcoba</w:t>
            </w:r>
          </w:p>
        </w:tc>
        <w:tc>
          <w:tcPr>
            <w:tcW w:w="2268" w:type="dxa"/>
            <w:tcBorders>
              <w:right w:val="single" w:sz="4" w:space="0" w:color="auto"/>
            </w:tcBorders>
            <w:shd w:val="clear" w:color="auto" w:fill="D9D9D9"/>
            <w:hideMark/>
          </w:tcPr>
          <w:p w14:paraId="1812D796" w14:textId="77777777" w:rsidR="002A4DDF" w:rsidRPr="00937C8B" w:rsidRDefault="002A4DDF" w:rsidP="009110ED">
            <w:pPr>
              <w:rPr>
                <w:rFonts w:ascii="Arial" w:hAnsi="Arial" w:cs="Arial"/>
                <w:sz w:val="12"/>
                <w:szCs w:val="12"/>
              </w:rPr>
            </w:pPr>
            <w:r>
              <w:rPr>
                <w:rFonts w:ascii="Arial" w:hAnsi="Arial"/>
                <w:sz w:val="12"/>
                <w:szCs w:val="12"/>
              </w:rPr>
              <w:t>Almodóvar del Campo</w:t>
            </w:r>
          </w:p>
        </w:tc>
      </w:tr>
      <w:tr w:rsidR="002A4DDF" w:rsidRPr="00937C8B" w14:paraId="4B35E896" w14:textId="77777777" w:rsidTr="00935676">
        <w:trPr>
          <w:cantSplit/>
        </w:trPr>
        <w:tc>
          <w:tcPr>
            <w:tcW w:w="1696" w:type="dxa"/>
            <w:tcBorders>
              <w:left w:val="single" w:sz="4" w:space="0" w:color="auto"/>
            </w:tcBorders>
            <w:shd w:val="clear" w:color="auto" w:fill="auto"/>
          </w:tcPr>
          <w:p w14:paraId="67752C0A" w14:textId="77777777" w:rsidR="002A4DDF" w:rsidRPr="00937C8B" w:rsidRDefault="002A4DDF" w:rsidP="009110ED">
            <w:pPr>
              <w:rPr>
                <w:rFonts w:ascii="Arial" w:hAnsi="Arial" w:cs="Arial"/>
                <w:sz w:val="12"/>
                <w:szCs w:val="12"/>
              </w:rPr>
            </w:pPr>
          </w:p>
        </w:tc>
        <w:tc>
          <w:tcPr>
            <w:tcW w:w="1843" w:type="dxa"/>
            <w:shd w:val="clear" w:color="auto" w:fill="auto"/>
          </w:tcPr>
          <w:p w14:paraId="15277698" w14:textId="77777777" w:rsidR="002A4DDF" w:rsidRPr="00937C8B" w:rsidRDefault="002A4DDF" w:rsidP="009110ED">
            <w:pPr>
              <w:rPr>
                <w:rFonts w:ascii="Arial" w:hAnsi="Arial" w:cs="Arial"/>
                <w:sz w:val="12"/>
                <w:szCs w:val="12"/>
              </w:rPr>
            </w:pPr>
          </w:p>
        </w:tc>
        <w:tc>
          <w:tcPr>
            <w:tcW w:w="2268" w:type="dxa"/>
            <w:shd w:val="clear" w:color="auto" w:fill="F2F2F2"/>
            <w:hideMark/>
          </w:tcPr>
          <w:p w14:paraId="25FD5B78" w14:textId="77777777" w:rsidR="002A4DDF" w:rsidRPr="00937C8B" w:rsidRDefault="002A4DDF" w:rsidP="009110ED">
            <w:pPr>
              <w:rPr>
                <w:rFonts w:ascii="Arial" w:hAnsi="Arial" w:cs="Arial"/>
                <w:sz w:val="12"/>
                <w:szCs w:val="12"/>
              </w:rPr>
            </w:pPr>
            <w:r>
              <w:rPr>
                <w:rFonts w:ascii="Arial" w:hAnsi="Arial"/>
                <w:sz w:val="12"/>
                <w:szCs w:val="12"/>
              </w:rPr>
              <w:t>Almadén</w:t>
            </w:r>
          </w:p>
        </w:tc>
        <w:tc>
          <w:tcPr>
            <w:tcW w:w="2268" w:type="dxa"/>
            <w:tcBorders>
              <w:right w:val="single" w:sz="4" w:space="0" w:color="auto"/>
            </w:tcBorders>
            <w:shd w:val="clear" w:color="auto" w:fill="D9D9D9"/>
            <w:hideMark/>
          </w:tcPr>
          <w:p w14:paraId="03AAD18E" w14:textId="77777777" w:rsidR="002A4DDF" w:rsidRPr="00937C8B" w:rsidRDefault="002A4DDF" w:rsidP="009110ED">
            <w:pPr>
              <w:rPr>
                <w:rFonts w:ascii="Arial" w:hAnsi="Arial" w:cs="Arial"/>
                <w:sz w:val="12"/>
                <w:szCs w:val="12"/>
              </w:rPr>
            </w:pPr>
            <w:r>
              <w:rPr>
                <w:rFonts w:ascii="Arial" w:hAnsi="Arial"/>
                <w:sz w:val="12"/>
                <w:szCs w:val="12"/>
              </w:rPr>
              <w:t>Anchuras</w:t>
            </w:r>
          </w:p>
        </w:tc>
      </w:tr>
      <w:tr w:rsidR="002A4DDF" w:rsidRPr="00937C8B" w14:paraId="5A5B6029" w14:textId="77777777" w:rsidTr="00935676">
        <w:trPr>
          <w:cantSplit/>
        </w:trPr>
        <w:tc>
          <w:tcPr>
            <w:tcW w:w="1696" w:type="dxa"/>
            <w:tcBorders>
              <w:left w:val="single" w:sz="4" w:space="0" w:color="auto"/>
            </w:tcBorders>
            <w:shd w:val="clear" w:color="auto" w:fill="auto"/>
          </w:tcPr>
          <w:p w14:paraId="6E289E94" w14:textId="77777777" w:rsidR="002A4DDF" w:rsidRPr="00937C8B" w:rsidRDefault="002A4DDF" w:rsidP="009110ED">
            <w:pPr>
              <w:rPr>
                <w:rFonts w:ascii="Arial" w:hAnsi="Arial" w:cs="Arial"/>
                <w:sz w:val="12"/>
                <w:szCs w:val="12"/>
              </w:rPr>
            </w:pPr>
          </w:p>
        </w:tc>
        <w:tc>
          <w:tcPr>
            <w:tcW w:w="1843" w:type="dxa"/>
            <w:shd w:val="clear" w:color="auto" w:fill="auto"/>
          </w:tcPr>
          <w:p w14:paraId="275876AC" w14:textId="77777777" w:rsidR="002A4DDF" w:rsidRPr="00937C8B" w:rsidRDefault="002A4DDF" w:rsidP="009110ED">
            <w:pPr>
              <w:rPr>
                <w:rFonts w:ascii="Arial" w:hAnsi="Arial" w:cs="Arial"/>
                <w:sz w:val="12"/>
                <w:szCs w:val="12"/>
              </w:rPr>
            </w:pPr>
          </w:p>
        </w:tc>
        <w:tc>
          <w:tcPr>
            <w:tcW w:w="2268" w:type="dxa"/>
            <w:shd w:val="clear" w:color="auto" w:fill="F2F2F2"/>
            <w:hideMark/>
          </w:tcPr>
          <w:p w14:paraId="07CD7556" w14:textId="77777777" w:rsidR="002A4DDF" w:rsidRPr="00937C8B" w:rsidRDefault="002A4DDF" w:rsidP="009110ED">
            <w:pPr>
              <w:rPr>
                <w:rFonts w:ascii="Arial" w:hAnsi="Arial" w:cs="Arial"/>
                <w:sz w:val="12"/>
                <w:szCs w:val="12"/>
              </w:rPr>
            </w:pPr>
            <w:r>
              <w:rPr>
                <w:rFonts w:ascii="Arial" w:hAnsi="Arial"/>
                <w:sz w:val="12"/>
                <w:szCs w:val="12"/>
              </w:rPr>
              <w:t>Almadenejos</w:t>
            </w:r>
          </w:p>
        </w:tc>
        <w:tc>
          <w:tcPr>
            <w:tcW w:w="2268" w:type="dxa"/>
            <w:tcBorders>
              <w:right w:val="single" w:sz="4" w:space="0" w:color="auto"/>
            </w:tcBorders>
            <w:shd w:val="clear" w:color="auto" w:fill="D9D9D9"/>
            <w:hideMark/>
          </w:tcPr>
          <w:p w14:paraId="701B1757" w14:textId="77777777" w:rsidR="002A4DDF" w:rsidRPr="00937C8B" w:rsidRDefault="002A4DDF" w:rsidP="009110ED">
            <w:pPr>
              <w:rPr>
                <w:rFonts w:ascii="Arial" w:hAnsi="Arial" w:cs="Arial"/>
                <w:sz w:val="12"/>
                <w:szCs w:val="12"/>
              </w:rPr>
            </w:pPr>
            <w:r>
              <w:rPr>
                <w:rFonts w:ascii="Arial" w:hAnsi="Arial"/>
                <w:sz w:val="12"/>
                <w:szCs w:val="12"/>
              </w:rPr>
              <w:t>Arroba de los Montes</w:t>
            </w:r>
          </w:p>
        </w:tc>
      </w:tr>
      <w:tr w:rsidR="002A4DDF" w:rsidRPr="00937C8B" w14:paraId="338EEFF6" w14:textId="77777777" w:rsidTr="00935676">
        <w:trPr>
          <w:cantSplit/>
        </w:trPr>
        <w:tc>
          <w:tcPr>
            <w:tcW w:w="1696" w:type="dxa"/>
            <w:tcBorders>
              <w:left w:val="single" w:sz="4" w:space="0" w:color="auto"/>
            </w:tcBorders>
            <w:shd w:val="clear" w:color="auto" w:fill="auto"/>
          </w:tcPr>
          <w:p w14:paraId="7E84F2F6" w14:textId="77777777" w:rsidR="002A4DDF" w:rsidRPr="00937C8B" w:rsidRDefault="002A4DDF" w:rsidP="009110ED">
            <w:pPr>
              <w:rPr>
                <w:rFonts w:ascii="Arial" w:hAnsi="Arial" w:cs="Arial"/>
                <w:sz w:val="12"/>
                <w:szCs w:val="12"/>
              </w:rPr>
            </w:pPr>
          </w:p>
        </w:tc>
        <w:tc>
          <w:tcPr>
            <w:tcW w:w="1843" w:type="dxa"/>
            <w:shd w:val="clear" w:color="auto" w:fill="auto"/>
          </w:tcPr>
          <w:p w14:paraId="4D69C10D" w14:textId="77777777" w:rsidR="002A4DDF" w:rsidRPr="00937C8B" w:rsidRDefault="002A4DDF" w:rsidP="009110ED">
            <w:pPr>
              <w:rPr>
                <w:rFonts w:ascii="Arial" w:hAnsi="Arial" w:cs="Arial"/>
                <w:sz w:val="12"/>
                <w:szCs w:val="12"/>
              </w:rPr>
            </w:pPr>
          </w:p>
        </w:tc>
        <w:tc>
          <w:tcPr>
            <w:tcW w:w="2268" w:type="dxa"/>
            <w:shd w:val="clear" w:color="auto" w:fill="F2F2F2"/>
            <w:hideMark/>
          </w:tcPr>
          <w:p w14:paraId="6D1FE8F6" w14:textId="77777777" w:rsidR="002A4DDF" w:rsidRPr="00937C8B" w:rsidRDefault="002A4DDF" w:rsidP="009110ED">
            <w:pPr>
              <w:rPr>
                <w:rFonts w:ascii="Arial" w:hAnsi="Arial" w:cs="Arial"/>
                <w:sz w:val="12"/>
                <w:szCs w:val="12"/>
              </w:rPr>
            </w:pPr>
            <w:r>
              <w:rPr>
                <w:rFonts w:ascii="Arial" w:hAnsi="Arial"/>
                <w:sz w:val="12"/>
                <w:szCs w:val="12"/>
              </w:rPr>
              <w:t>Almedina</w:t>
            </w:r>
          </w:p>
        </w:tc>
        <w:tc>
          <w:tcPr>
            <w:tcW w:w="2268" w:type="dxa"/>
            <w:tcBorders>
              <w:right w:val="single" w:sz="4" w:space="0" w:color="auto"/>
            </w:tcBorders>
            <w:shd w:val="clear" w:color="auto" w:fill="D9D9D9"/>
            <w:hideMark/>
          </w:tcPr>
          <w:p w14:paraId="7C390C04" w14:textId="77777777" w:rsidR="002A4DDF" w:rsidRPr="00937C8B" w:rsidRDefault="002A4DDF" w:rsidP="009110ED">
            <w:pPr>
              <w:rPr>
                <w:rFonts w:ascii="Arial" w:hAnsi="Arial" w:cs="Arial"/>
                <w:sz w:val="12"/>
                <w:szCs w:val="12"/>
              </w:rPr>
            </w:pPr>
            <w:r>
              <w:rPr>
                <w:rFonts w:ascii="Arial" w:hAnsi="Arial"/>
                <w:sz w:val="12"/>
                <w:szCs w:val="12"/>
              </w:rPr>
              <w:t>Cabezarrubias del Puerto</w:t>
            </w:r>
          </w:p>
        </w:tc>
      </w:tr>
      <w:tr w:rsidR="002A4DDF" w:rsidRPr="00937C8B" w14:paraId="3D91BC04" w14:textId="77777777" w:rsidTr="00935676">
        <w:trPr>
          <w:cantSplit/>
        </w:trPr>
        <w:tc>
          <w:tcPr>
            <w:tcW w:w="1696" w:type="dxa"/>
            <w:tcBorders>
              <w:left w:val="single" w:sz="4" w:space="0" w:color="auto"/>
            </w:tcBorders>
            <w:shd w:val="clear" w:color="auto" w:fill="auto"/>
          </w:tcPr>
          <w:p w14:paraId="0D98899C" w14:textId="77777777" w:rsidR="002A4DDF" w:rsidRPr="00937C8B" w:rsidRDefault="002A4DDF" w:rsidP="009110ED">
            <w:pPr>
              <w:rPr>
                <w:rFonts w:ascii="Arial" w:hAnsi="Arial" w:cs="Arial"/>
                <w:sz w:val="12"/>
                <w:szCs w:val="12"/>
              </w:rPr>
            </w:pPr>
          </w:p>
        </w:tc>
        <w:tc>
          <w:tcPr>
            <w:tcW w:w="1843" w:type="dxa"/>
            <w:shd w:val="clear" w:color="auto" w:fill="auto"/>
          </w:tcPr>
          <w:p w14:paraId="2FE3E5F6" w14:textId="77777777" w:rsidR="002A4DDF" w:rsidRPr="00937C8B" w:rsidRDefault="002A4DDF" w:rsidP="009110ED">
            <w:pPr>
              <w:rPr>
                <w:rFonts w:ascii="Arial" w:hAnsi="Arial" w:cs="Arial"/>
                <w:sz w:val="12"/>
                <w:szCs w:val="12"/>
              </w:rPr>
            </w:pPr>
          </w:p>
        </w:tc>
        <w:tc>
          <w:tcPr>
            <w:tcW w:w="2268" w:type="dxa"/>
            <w:shd w:val="clear" w:color="auto" w:fill="F2F2F2"/>
            <w:hideMark/>
          </w:tcPr>
          <w:p w14:paraId="54F9E25C" w14:textId="77777777" w:rsidR="002A4DDF" w:rsidRPr="00937C8B" w:rsidRDefault="002A4DDF" w:rsidP="009110ED">
            <w:pPr>
              <w:rPr>
                <w:rFonts w:ascii="Arial" w:hAnsi="Arial" w:cs="Arial"/>
                <w:sz w:val="12"/>
                <w:szCs w:val="12"/>
              </w:rPr>
            </w:pPr>
            <w:r>
              <w:rPr>
                <w:rFonts w:ascii="Arial" w:hAnsi="Arial"/>
                <w:sz w:val="12"/>
                <w:szCs w:val="12"/>
              </w:rPr>
              <w:t>Almuradiel</w:t>
            </w:r>
          </w:p>
        </w:tc>
        <w:tc>
          <w:tcPr>
            <w:tcW w:w="2268" w:type="dxa"/>
            <w:tcBorders>
              <w:right w:val="single" w:sz="4" w:space="0" w:color="auto"/>
            </w:tcBorders>
            <w:shd w:val="clear" w:color="auto" w:fill="D9D9D9"/>
            <w:hideMark/>
          </w:tcPr>
          <w:p w14:paraId="116DD504" w14:textId="77777777" w:rsidR="002A4DDF" w:rsidRPr="00937C8B" w:rsidRDefault="002A4DDF" w:rsidP="009110ED">
            <w:pPr>
              <w:rPr>
                <w:rFonts w:ascii="Arial" w:hAnsi="Arial" w:cs="Arial"/>
                <w:sz w:val="12"/>
                <w:szCs w:val="12"/>
              </w:rPr>
            </w:pPr>
            <w:r>
              <w:rPr>
                <w:rFonts w:ascii="Arial" w:hAnsi="Arial"/>
                <w:sz w:val="12"/>
                <w:szCs w:val="12"/>
              </w:rPr>
              <w:t>Fontanarejo</w:t>
            </w:r>
          </w:p>
        </w:tc>
      </w:tr>
      <w:tr w:rsidR="002A4DDF" w:rsidRPr="00937C8B" w14:paraId="29D1E4C1" w14:textId="77777777" w:rsidTr="00935676">
        <w:trPr>
          <w:cantSplit/>
        </w:trPr>
        <w:tc>
          <w:tcPr>
            <w:tcW w:w="1696" w:type="dxa"/>
            <w:tcBorders>
              <w:left w:val="single" w:sz="4" w:space="0" w:color="auto"/>
            </w:tcBorders>
            <w:shd w:val="clear" w:color="auto" w:fill="auto"/>
          </w:tcPr>
          <w:p w14:paraId="1AE6BCD2" w14:textId="77777777" w:rsidR="002A4DDF" w:rsidRPr="00937C8B" w:rsidRDefault="002A4DDF" w:rsidP="009110ED">
            <w:pPr>
              <w:rPr>
                <w:rFonts w:ascii="Arial" w:hAnsi="Arial" w:cs="Arial"/>
                <w:sz w:val="12"/>
                <w:szCs w:val="12"/>
              </w:rPr>
            </w:pPr>
          </w:p>
        </w:tc>
        <w:tc>
          <w:tcPr>
            <w:tcW w:w="1843" w:type="dxa"/>
            <w:shd w:val="clear" w:color="auto" w:fill="auto"/>
          </w:tcPr>
          <w:p w14:paraId="20E69630" w14:textId="77777777" w:rsidR="002A4DDF" w:rsidRPr="00937C8B" w:rsidRDefault="002A4DDF" w:rsidP="009110ED">
            <w:pPr>
              <w:rPr>
                <w:rFonts w:ascii="Arial" w:hAnsi="Arial" w:cs="Arial"/>
                <w:sz w:val="12"/>
                <w:szCs w:val="12"/>
              </w:rPr>
            </w:pPr>
          </w:p>
        </w:tc>
        <w:tc>
          <w:tcPr>
            <w:tcW w:w="2268" w:type="dxa"/>
            <w:shd w:val="clear" w:color="auto" w:fill="F2F2F2"/>
            <w:hideMark/>
          </w:tcPr>
          <w:p w14:paraId="491C775E" w14:textId="77777777" w:rsidR="002A4DDF" w:rsidRPr="00937C8B" w:rsidRDefault="002A4DDF" w:rsidP="009110ED">
            <w:pPr>
              <w:rPr>
                <w:rFonts w:ascii="Arial" w:hAnsi="Arial" w:cs="Arial"/>
                <w:sz w:val="12"/>
                <w:szCs w:val="12"/>
              </w:rPr>
            </w:pPr>
            <w:r>
              <w:rPr>
                <w:rFonts w:ascii="Arial" w:hAnsi="Arial"/>
                <w:sz w:val="12"/>
                <w:szCs w:val="12"/>
              </w:rPr>
              <w:t>Brazatortas</w:t>
            </w:r>
          </w:p>
        </w:tc>
        <w:tc>
          <w:tcPr>
            <w:tcW w:w="2268" w:type="dxa"/>
            <w:tcBorders>
              <w:right w:val="single" w:sz="4" w:space="0" w:color="auto"/>
            </w:tcBorders>
            <w:shd w:val="clear" w:color="auto" w:fill="D9D9D9"/>
            <w:hideMark/>
          </w:tcPr>
          <w:p w14:paraId="641C395F" w14:textId="77777777" w:rsidR="002A4DDF" w:rsidRPr="00937C8B" w:rsidRDefault="002A4DDF" w:rsidP="009110ED">
            <w:pPr>
              <w:rPr>
                <w:rFonts w:ascii="Arial" w:hAnsi="Arial" w:cs="Arial"/>
                <w:sz w:val="12"/>
                <w:szCs w:val="12"/>
              </w:rPr>
            </w:pPr>
            <w:r>
              <w:rPr>
                <w:rFonts w:ascii="Arial" w:hAnsi="Arial"/>
                <w:sz w:val="12"/>
                <w:szCs w:val="12"/>
              </w:rPr>
              <w:t>Hinojosas de Calatrava</w:t>
            </w:r>
          </w:p>
        </w:tc>
      </w:tr>
      <w:tr w:rsidR="002A4DDF" w:rsidRPr="00937C8B" w14:paraId="1681E89C" w14:textId="77777777" w:rsidTr="00935676">
        <w:trPr>
          <w:cantSplit/>
        </w:trPr>
        <w:tc>
          <w:tcPr>
            <w:tcW w:w="1696" w:type="dxa"/>
            <w:tcBorders>
              <w:left w:val="single" w:sz="4" w:space="0" w:color="auto"/>
            </w:tcBorders>
            <w:shd w:val="clear" w:color="auto" w:fill="auto"/>
          </w:tcPr>
          <w:p w14:paraId="74418186" w14:textId="77777777" w:rsidR="002A4DDF" w:rsidRPr="00937C8B" w:rsidRDefault="002A4DDF" w:rsidP="009110ED">
            <w:pPr>
              <w:rPr>
                <w:rFonts w:ascii="Arial" w:hAnsi="Arial" w:cs="Arial"/>
                <w:sz w:val="12"/>
                <w:szCs w:val="12"/>
              </w:rPr>
            </w:pPr>
          </w:p>
        </w:tc>
        <w:tc>
          <w:tcPr>
            <w:tcW w:w="1843" w:type="dxa"/>
            <w:shd w:val="clear" w:color="auto" w:fill="auto"/>
          </w:tcPr>
          <w:p w14:paraId="1012E17A" w14:textId="77777777" w:rsidR="002A4DDF" w:rsidRPr="00937C8B" w:rsidRDefault="002A4DDF" w:rsidP="009110ED">
            <w:pPr>
              <w:rPr>
                <w:rFonts w:ascii="Arial" w:hAnsi="Arial" w:cs="Arial"/>
                <w:sz w:val="12"/>
                <w:szCs w:val="12"/>
              </w:rPr>
            </w:pPr>
          </w:p>
        </w:tc>
        <w:tc>
          <w:tcPr>
            <w:tcW w:w="2268" w:type="dxa"/>
            <w:shd w:val="clear" w:color="auto" w:fill="F2F2F2"/>
            <w:hideMark/>
          </w:tcPr>
          <w:p w14:paraId="3F60B919" w14:textId="77777777" w:rsidR="002A4DDF" w:rsidRPr="00937C8B" w:rsidRDefault="002A4DDF" w:rsidP="009110ED">
            <w:pPr>
              <w:rPr>
                <w:rFonts w:ascii="Arial" w:hAnsi="Arial" w:cs="Arial"/>
                <w:sz w:val="12"/>
                <w:szCs w:val="12"/>
              </w:rPr>
            </w:pPr>
            <w:r>
              <w:rPr>
                <w:rFonts w:ascii="Arial" w:hAnsi="Arial"/>
                <w:sz w:val="12"/>
                <w:szCs w:val="12"/>
              </w:rPr>
              <w:t>Cabezarados</w:t>
            </w:r>
          </w:p>
        </w:tc>
        <w:tc>
          <w:tcPr>
            <w:tcW w:w="2268" w:type="dxa"/>
            <w:tcBorders>
              <w:right w:val="single" w:sz="4" w:space="0" w:color="auto"/>
            </w:tcBorders>
            <w:shd w:val="clear" w:color="auto" w:fill="D9D9D9"/>
            <w:hideMark/>
          </w:tcPr>
          <w:p w14:paraId="7CA9BB43" w14:textId="77777777" w:rsidR="002A4DDF" w:rsidRPr="00937C8B" w:rsidRDefault="002A4DDF" w:rsidP="009110ED">
            <w:pPr>
              <w:rPr>
                <w:rFonts w:ascii="Arial" w:hAnsi="Arial" w:cs="Arial"/>
                <w:sz w:val="12"/>
                <w:szCs w:val="12"/>
              </w:rPr>
            </w:pPr>
            <w:r>
              <w:rPr>
                <w:rFonts w:ascii="Arial" w:hAnsi="Arial"/>
                <w:sz w:val="12"/>
                <w:szCs w:val="12"/>
              </w:rPr>
              <w:t>Horcajo de los Montes</w:t>
            </w:r>
          </w:p>
        </w:tc>
      </w:tr>
      <w:tr w:rsidR="002A4DDF" w:rsidRPr="00937C8B" w14:paraId="2AC5EC32" w14:textId="77777777" w:rsidTr="00935676">
        <w:trPr>
          <w:cantSplit/>
        </w:trPr>
        <w:tc>
          <w:tcPr>
            <w:tcW w:w="1696" w:type="dxa"/>
            <w:tcBorders>
              <w:left w:val="single" w:sz="4" w:space="0" w:color="auto"/>
            </w:tcBorders>
            <w:shd w:val="clear" w:color="auto" w:fill="auto"/>
          </w:tcPr>
          <w:p w14:paraId="10C57879" w14:textId="77777777" w:rsidR="002A4DDF" w:rsidRPr="00937C8B" w:rsidRDefault="002A4DDF" w:rsidP="009110ED">
            <w:pPr>
              <w:rPr>
                <w:rFonts w:ascii="Arial" w:hAnsi="Arial" w:cs="Arial"/>
                <w:sz w:val="12"/>
                <w:szCs w:val="12"/>
              </w:rPr>
            </w:pPr>
          </w:p>
        </w:tc>
        <w:tc>
          <w:tcPr>
            <w:tcW w:w="1843" w:type="dxa"/>
            <w:shd w:val="clear" w:color="auto" w:fill="auto"/>
          </w:tcPr>
          <w:p w14:paraId="02AB7E98" w14:textId="77777777" w:rsidR="002A4DDF" w:rsidRPr="00937C8B" w:rsidRDefault="002A4DDF" w:rsidP="009110ED">
            <w:pPr>
              <w:rPr>
                <w:rFonts w:ascii="Arial" w:hAnsi="Arial" w:cs="Arial"/>
                <w:sz w:val="12"/>
                <w:szCs w:val="12"/>
              </w:rPr>
            </w:pPr>
          </w:p>
        </w:tc>
        <w:tc>
          <w:tcPr>
            <w:tcW w:w="2268" w:type="dxa"/>
            <w:shd w:val="clear" w:color="auto" w:fill="F2F2F2"/>
            <w:hideMark/>
          </w:tcPr>
          <w:p w14:paraId="08244F62" w14:textId="77777777" w:rsidR="002A4DDF" w:rsidRPr="00937C8B" w:rsidRDefault="002A4DDF" w:rsidP="009110ED">
            <w:pPr>
              <w:rPr>
                <w:rFonts w:ascii="Arial" w:hAnsi="Arial" w:cs="Arial"/>
                <w:sz w:val="12"/>
                <w:szCs w:val="12"/>
              </w:rPr>
            </w:pPr>
            <w:r>
              <w:rPr>
                <w:rFonts w:ascii="Arial" w:hAnsi="Arial"/>
                <w:sz w:val="12"/>
                <w:szCs w:val="12"/>
              </w:rPr>
              <w:t>Calzada de Calatrava</w:t>
            </w:r>
          </w:p>
        </w:tc>
        <w:tc>
          <w:tcPr>
            <w:tcW w:w="2268" w:type="dxa"/>
            <w:tcBorders>
              <w:right w:val="single" w:sz="4" w:space="0" w:color="auto"/>
            </w:tcBorders>
            <w:shd w:val="clear" w:color="auto" w:fill="D9D9D9"/>
            <w:hideMark/>
          </w:tcPr>
          <w:p w14:paraId="740624FD" w14:textId="77777777" w:rsidR="002A4DDF" w:rsidRPr="00937C8B" w:rsidRDefault="002A4DDF" w:rsidP="009110ED">
            <w:pPr>
              <w:rPr>
                <w:rFonts w:ascii="Arial" w:hAnsi="Arial" w:cs="Arial"/>
                <w:sz w:val="12"/>
                <w:szCs w:val="12"/>
              </w:rPr>
            </w:pPr>
            <w:r>
              <w:rPr>
                <w:rFonts w:ascii="Arial" w:hAnsi="Arial"/>
                <w:sz w:val="12"/>
                <w:szCs w:val="12"/>
              </w:rPr>
              <w:t>Mestanza</w:t>
            </w:r>
          </w:p>
        </w:tc>
      </w:tr>
      <w:tr w:rsidR="002A4DDF" w:rsidRPr="00937C8B" w14:paraId="1C3BA0FA" w14:textId="77777777" w:rsidTr="00935676">
        <w:trPr>
          <w:cantSplit/>
        </w:trPr>
        <w:tc>
          <w:tcPr>
            <w:tcW w:w="1696" w:type="dxa"/>
            <w:tcBorders>
              <w:left w:val="single" w:sz="4" w:space="0" w:color="auto"/>
            </w:tcBorders>
            <w:shd w:val="clear" w:color="auto" w:fill="auto"/>
          </w:tcPr>
          <w:p w14:paraId="06031342" w14:textId="77777777" w:rsidR="002A4DDF" w:rsidRPr="00937C8B" w:rsidRDefault="002A4DDF" w:rsidP="009110ED">
            <w:pPr>
              <w:rPr>
                <w:rFonts w:ascii="Arial" w:hAnsi="Arial" w:cs="Arial"/>
                <w:sz w:val="12"/>
                <w:szCs w:val="12"/>
              </w:rPr>
            </w:pPr>
          </w:p>
        </w:tc>
        <w:tc>
          <w:tcPr>
            <w:tcW w:w="1843" w:type="dxa"/>
            <w:shd w:val="clear" w:color="auto" w:fill="auto"/>
          </w:tcPr>
          <w:p w14:paraId="3F067D54" w14:textId="77777777" w:rsidR="002A4DDF" w:rsidRPr="00937C8B" w:rsidRDefault="002A4DDF" w:rsidP="009110ED">
            <w:pPr>
              <w:rPr>
                <w:rFonts w:ascii="Arial" w:hAnsi="Arial" w:cs="Arial"/>
                <w:sz w:val="12"/>
                <w:szCs w:val="12"/>
              </w:rPr>
            </w:pPr>
          </w:p>
        </w:tc>
        <w:tc>
          <w:tcPr>
            <w:tcW w:w="2268" w:type="dxa"/>
            <w:shd w:val="clear" w:color="auto" w:fill="F2F2F2"/>
            <w:hideMark/>
          </w:tcPr>
          <w:p w14:paraId="7702DBC0" w14:textId="77777777" w:rsidR="002A4DDF" w:rsidRPr="00937C8B" w:rsidRDefault="002A4DDF" w:rsidP="009110ED">
            <w:pPr>
              <w:rPr>
                <w:rFonts w:ascii="Arial" w:hAnsi="Arial" w:cs="Arial"/>
                <w:sz w:val="12"/>
                <w:szCs w:val="12"/>
              </w:rPr>
            </w:pPr>
            <w:r>
              <w:rPr>
                <w:rFonts w:ascii="Arial" w:hAnsi="Arial"/>
                <w:sz w:val="12"/>
                <w:szCs w:val="12"/>
              </w:rPr>
              <w:t>Castellar de Santiago</w:t>
            </w:r>
          </w:p>
        </w:tc>
        <w:tc>
          <w:tcPr>
            <w:tcW w:w="2268" w:type="dxa"/>
            <w:tcBorders>
              <w:right w:val="single" w:sz="4" w:space="0" w:color="auto"/>
            </w:tcBorders>
            <w:shd w:val="clear" w:color="auto" w:fill="D9D9D9"/>
            <w:hideMark/>
          </w:tcPr>
          <w:p w14:paraId="43B54598" w14:textId="77777777" w:rsidR="002A4DDF" w:rsidRPr="00937C8B" w:rsidRDefault="002A4DDF" w:rsidP="009110ED">
            <w:pPr>
              <w:rPr>
                <w:rFonts w:ascii="Arial" w:hAnsi="Arial" w:cs="Arial"/>
                <w:sz w:val="12"/>
                <w:szCs w:val="12"/>
              </w:rPr>
            </w:pPr>
            <w:r>
              <w:rPr>
                <w:rFonts w:ascii="Arial" w:hAnsi="Arial"/>
                <w:sz w:val="12"/>
                <w:szCs w:val="12"/>
              </w:rPr>
              <w:t>Navalpino</w:t>
            </w:r>
          </w:p>
        </w:tc>
      </w:tr>
      <w:tr w:rsidR="002A4DDF" w:rsidRPr="00937C8B" w14:paraId="318145BA" w14:textId="77777777" w:rsidTr="00935676">
        <w:trPr>
          <w:cantSplit/>
        </w:trPr>
        <w:tc>
          <w:tcPr>
            <w:tcW w:w="1696" w:type="dxa"/>
            <w:tcBorders>
              <w:left w:val="single" w:sz="4" w:space="0" w:color="auto"/>
            </w:tcBorders>
            <w:shd w:val="clear" w:color="auto" w:fill="auto"/>
          </w:tcPr>
          <w:p w14:paraId="369B589C" w14:textId="77777777" w:rsidR="002A4DDF" w:rsidRPr="00937C8B" w:rsidRDefault="002A4DDF" w:rsidP="009110ED">
            <w:pPr>
              <w:rPr>
                <w:rFonts w:ascii="Arial" w:hAnsi="Arial" w:cs="Arial"/>
                <w:sz w:val="12"/>
                <w:szCs w:val="12"/>
              </w:rPr>
            </w:pPr>
          </w:p>
        </w:tc>
        <w:tc>
          <w:tcPr>
            <w:tcW w:w="1843" w:type="dxa"/>
            <w:shd w:val="clear" w:color="auto" w:fill="auto"/>
          </w:tcPr>
          <w:p w14:paraId="00A31E96" w14:textId="77777777" w:rsidR="002A4DDF" w:rsidRPr="00937C8B" w:rsidRDefault="002A4DDF" w:rsidP="009110ED">
            <w:pPr>
              <w:rPr>
                <w:rFonts w:ascii="Arial" w:hAnsi="Arial" w:cs="Arial"/>
                <w:sz w:val="12"/>
                <w:szCs w:val="12"/>
              </w:rPr>
            </w:pPr>
          </w:p>
        </w:tc>
        <w:tc>
          <w:tcPr>
            <w:tcW w:w="2268" w:type="dxa"/>
            <w:shd w:val="clear" w:color="auto" w:fill="F2F2F2"/>
            <w:hideMark/>
          </w:tcPr>
          <w:p w14:paraId="0CD8FFAA" w14:textId="77777777" w:rsidR="002A4DDF" w:rsidRPr="00937C8B" w:rsidRDefault="002A4DDF" w:rsidP="009110ED">
            <w:pPr>
              <w:rPr>
                <w:rFonts w:ascii="Arial" w:hAnsi="Arial" w:cs="Arial"/>
                <w:sz w:val="12"/>
                <w:szCs w:val="12"/>
              </w:rPr>
            </w:pPr>
            <w:r>
              <w:rPr>
                <w:rFonts w:ascii="Arial" w:hAnsi="Arial"/>
                <w:sz w:val="12"/>
                <w:szCs w:val="12"/>
              </w:rPr>
              <w:t>Chillón</w:t>
            </w:r>
          </w:p>
        </w:tc>
        <w:tc>
          <w:tcPr>
            <w:tcW w:w="2268" w:type="dxa"/>
            <w:tcBorders>
              <w:right w:val="single" w:sz="4" w:space="0" w:color="auto"/>
            </w:tcBorders>
            <w:shd w:val="clear" w:color="auto" w:fill="D9D9D9"/>
            <w:hideMark/>
          </w:tcPr>
          <w:p w14:paraId="7BD4E5D0" w14:textId="77777777" w:rsidR="002A4DDF" w:rsidRPr="00937C8B" w:rsidRDefault="002A4DDF" w:rsidP="009110ED">
            <w:pPr>
              <w:rPr>
                <w:rFonts w:ascii="Arial" w:hAnsi="Arial" w:cs="Arial"/>
                <w:sz w:val="12"/>
                <w:szCs w:val="12"/>
              </w:rPr>
            </w:pPr>
            <w:r>
              <w:rPr>
                <w:rFonts w:ascii="Arial" w:hAnsi="Arial"/>
                <w:sz w:val="12"/>
                <w:szCs w:val="12"/>
              </w:rPr>
              <w:t>Piedrabuena</w:t>
            </w:r>
          </w:p>
        </w:tc>
      </w:tr>
      <w:tr w:rsidR="002A4DDF" w:rsidRPr="00937C8B" w14:paraId="0FF1D46A" w14:textId="77777777" w:rsidTr="00935676">
        <w:trPr>
          <w:cantSplit/>
        </w:trPr>
        <w:tc>
          <w:tcPr>
            <w:tcW w:w="1696" w:type="dxa"/>
            <w:tcBorders>
              <w:left w:val="single" w:sz="4" w:space="0" w:color="auto"/>
            </w:tcBorders>
            <w:shd w:val="clear" w:color="auto" w:fill="auto"/>
          </w:tcPr>
          <w:p w14:paraId="475CB4AE" w14:textId="77777777" w:rsidR="002A4DDF" w:rsidRPr="00937C8B" w:rsidRDefault="002A4DDF" w:rsidP="009110ED">
            <w:pPr>
              <w:rPr>
                <w:rFonts w:ascii="Arial" w:hAnsi="Arial" w:cs="Arial"/>
                <w:sz w:val="12"/>
                <w:szCs w:val="12"/>
              </w:rPr>
            </w:pPr>
          </w:p>
        </w:tc>
        <w:tc>
          <w:tcPr>
            <w:tcW w:w="1843" w:type="dxa"/>
            <w:shd w:val="clear" w:color="auto" w:fill="auto"/>
          </w:tcPr>
          <w:p w14:paraId="4A8C5552" w14:textId="77777777" w:rsidR="002A4DDF" w:rsidRPr="00937C8B" w:rsidRDefault="002A4DDF" w:rsidP="009110ED">
            <w:pPr>
              <w:rPr>
                <w:rFonts w:ascii="Arial" w:hAnsi="Arial" w:cs="Arial"/>
                <w:sz w:val="12"/>
                <w:szCs w:val="12"/>
              </w:rPr>
            </w:pPr>
          </w:p>
        </w:tc>
        <w:tc>
          <w:tcPr>
            <w:tcW w:w="2268" w:type="dxa"/>
            <w:shd w:val="clear" w:color="auto" w:fill="F2F2F2"/>
            <w:hideMark/>
          </w:tcPr>
          <w:p w14:paraId="04B20A07" w14:textId="77777777" w:rsidR="002A4DDF" w:rsidRPr="00937C8B" w:rsidRDefault="002A4DDF" w:rsidP="009110ED">
            <w:pPr>
              <w:rPr>
                <w:rFonts w:ascii="Arial" w:hAnsi="Arial" w:cs="Arial"/>
                <w:sz w:val="12"/>
                <w:szCs w:val="12"/>
              </w:rPr>
            </w:pPr>
            <w:r>
              <w:rPr>
                <w:rFonts w:ascii="Arial" w:hAnsi="Arial"/>
                <w:sz w:val="12"/>
                <w:szCs w:val="12"/>
              </w:rPr>
              <w:t>Cózar</w:t>
            </w:r>
          </w:p>
        </w:tc>
        <w:tc>
          <w:tcPr>
            <w:tcW w:w="2268" w:type="dxa"/>
            <w:tcBorders>
              <w:right w:val="single" w:sz="4" w:space="0" w:color="auto"/>
            </w:tcBorders>
            <w:shd w:val="clear" w:color="auto" w:fill="D9D9D9"/>
            <w:hideMark/>
          </w:tcPr>
          <w:p w14:paraId="3D375CD9" w14:textId="77777777" w:rsidR="002A4DDF" w:rsidRPr="00937C8B" w:rsidRDefault="002A4DDF" w:rsidP="009110ED">
            <w:pPr>
              <w:rPr>
                <w:rFonts w:ascii="Arial" w:hAnsi="Arial" w:cs="Arial"/>
                <w:sz w:val="12"/>
                <w:szCs w:val="12"/>
              </w:rPr>
            </w:pPr>
            <w:r>
              <w:rPr>
                <w:rFonts w:ascii="Arial" w:hAnsi="Arial"/>
                <w:sz w:val="12"/>
                <w:szCs w:val="12"/>
              </w:rPr>
              <w:t>Puerto Lápice</w:t>
            </w:r>
          </w:p>
        </w:tc>
      </w:tr>
      <w:tr w:rsidR="002A4DDF" w:rsidRPr="00937C8B" w14:paraId="61E69FD1" w14:textId="77777777" w:rsidTr="00935676">
        <w:trPr>
          <w:cantSplit/>
        </w:trPr>
        <w:tc>
          <w:tcPr>
            <w:tcW w:w="1696" w:type="dxa"/>
            <w:tcBorders>
              <w:left w:val="single" w:sz="4" w:space="0" w:color="auto"/>
            </w:tcBorders>
            <w:shd w:val="clear" w:color="auto" w:fill="auto"/>
          </w:tcPr>
          <w:p w14:paraId="4B6EA958" w14:textId="77777777" w:rsidR="002A4DDF" w:rsidRPr="00937C8B" w:rsidRDefault="002A4DDF" w:rsidP="009110ED">
            <w:pPr>
              <w:rPr>
                <w:rFonts w:ascii="Arial" w:hAnsi="Arial" w:cs="Arial"/>
                <w:sz w:val="12"/>
                <w:szCs w:val="12"/>
              </w:rPr>
            </w:pPr>
          </w:p>
        </w:tc>
        <w:tc>
          <w:tcPr>
            <w:tcW w:w="1843" w:type="dxa"/>
            <w:shd w:val="clear" w:color="auto" w:fill="auto"/>
          </w:tcPr>
          <w:p w14:paraId="6F636FB4" w14:textId="77777777" w:rsidR="002A4DDF" w:rsidRPr="00937C8B" w:rsidRDefault="002A4DDF" w:rsidP="009110ED">
            <w:pPr>
              <w:rPr>
                <w:rFonts w:ascii="Arial" w:hAnsi="Arial" w:cs="Arial"/>
                <w:sz w:val="12"/>
                <w:szCs w:val="12"/>
              </w:rPr>
            </w:pPr>
          </w:p>
        </w:tc>
        <w:tc>
          <w:tcPr>
            <w:tcW w:w="2268" w:type="dxa"/>
            <w:shd w:val="clear" w:color="auto" w:fill="F2F2F2"/>
            <w:hideMark/>
          </w:tcPr>
          <w:p w14:paraId="54C14B51" w14:textId="77777777" w:rsidR="002A4DDF" w:rsidRPr="00937C8B" w:rsidRDefault="002A4DDF" w:rsidP="009110ED">
            <w:pPr>
              <w:rPr>
                <w:rFonts w:ascii="Arial" w:hAnsi="Arial" w:cs="Arial"/>
                <w:sz w:val="12"/>
                <w:szCs w:val="12"/>
              </w:rPr>
            </w:pPr>
            <w:r>
              <w:rPr>
                <w:rFonts w:ascii="Arial" w:hAnsi="Arial"/>
                <w:sz w:val="12"/>
                <w:szCs w:val="12"/>
              </w:rPr>
              <w:t>El Robledo</w:t>
            </w:r>
          </w:p>
        </w:tc>
        <w:tc>
          <w:tcPr>
            <w:tcW w:w="2268" w:type="dxa"/>
            <w:tcBorders>
              <w:right w:val="single" w:sz="4" w:space="0" w:color="auto"/>
            </w:tcBorders>
            <w:shd w:val="clear" w:color="auto" w:fill="D9D9D9"/>
            <w:hideMark/>
          </w:tcPr>
          <w:p w14:paraId="1673573E" w14:textId="77777777" w:rsidR="002A4DDF" w:rsidRPr="00937C8B" w:rsidRDefault="002A4DDF" w:rsidP="009110ED">
            <w:pPr>
              <w:rPr>
                <w:rFonts w:ascii="Arial" w:hAnsi="Arial" w:cs="Arial"/>
                <w:sz w:val="12"/>
                <w:szCs w:val="12"/>
              </w:rPr>
            </w:pPr>
            <w:r>
              <w:rPr>
                <w:rFonts w:ascii="Arial" w:hAnsi="Arial"/>
                <w:sz w:val="12"/>
                <w:szCs w:val="12"/>
              </w:rPr>
              <w:t>San Lorenzo de Calatrava</w:t>
            </w:r>
          </w:p>
        </w:tc>
      </w:tr>
      <w:tr w:rsidR="002A4DDF" w:rsidRPr="00937C8B" w14:paraId="128D627E" w14:textId="77777777" w:rsidTr="00935676">
        <w:trPr>
          <w:cantSplit/>
        </w:trPr>
        <w:tc>
          <w:tcPr>
            <w:tcW w:w="1696" w:type="dxa"/>
            <w:tcBorders>
              <w:left w:val="single" w:sz="4" w:space="0" w:color="auto"/>
            </w:tcBorders>
            <w:shd w:val="clear" w:color="auto" w:fill="auto"/>
          </w:tcPr>
          <w:p w14:paraId="678DFAE7" w14:textId="77777777" w:rsidR="002A4DDF" w:rsidRPr="00937C8B" w:rsidRDefault="002A4DDF" w:rsidP="009110ED">
            <w:pPr>
              <w:rPr>
                <w:rFonts w:ascii="Arial" w:hAnsi="Arial" w:cs="Arial"/>
                <w:sz w:val="12"/>
                <w:szCs w:val="12"/>
              </w:rPr>
            </w:pPr>
          </w:p>
        </w:tc>
        <w:tc>
          <w:tcPr>
            <w:tcW w:w="1843" w:type="dxa"/>
            <w:shd w:val="clear" w:color="auto" w:fill="auto"/>
          </w:tcPr>
          <w:p w14:paraId="4CDF51EC" w14:textId="77777777" w:rsidR="002A4DDF" w:rsidRPr="00937C8B" w:rsidRDefault="002A4DDF" w:rsidP="009110ED">
            <w:pPr>
              <w:rPr>
                <w:rFonts w:ascii="Arial" w:hAnsi="Arial" w:cs="Arial"/>
                <w:sz w:val="12"/>
                <w:szCs w:val="12"/>
              </w:rPr>
            </w:pPr>
          </w:p>
        </w:tc>
        <w:tc>
          <w:tcPr>
            <w:tcW w:w="2268" w:type="dxa"/>
            <w:shd w:val="clear" w:color="auto" w:fill="F2F2F2"/>
            <w:hideMark/>
          </w:tcPr>
          <w:p w14:paraId="2E56BB0E" w14:textId="77777777" w:rsidR="002A4DDF" w:rsidRPr="00937C8B" w:rsidRDefault="002A4DDF" w:rsidP="009110ED">
            <w:pPr>
              <w:rPr>
                <w:rFonts w:ascii="Arial" w:hAnsi="Arial" w:cs="Arial"/>
                <w:sz w:val="12"/>
                <w:szCs w:val="12"/>
              </w:rPr>
            </w:pPr>
            <w:r>
              <w:rPr>
                <w:rFonts w:ascii="Arial" w:hAnsi="Arial"/>
                <w:sz w:val="12"/>
                <w:szCs w:val="12"/>
              </w:rPr>
              <w:t>Fernán Caballero</w:t>
            </w:r>
          </w:p>
        </w:tc>
        <w:tc>
          <w:tcPr>
            <w:tcW w:w="2268" w:type="dxa"/>
            <w:tcBorders>
              <w:right w:val="single" w:sz="4" w:space="0" w:color="auto"/>
            </w:tcBorders>
            <w:shd w:val="clear" w:color="auto" w:fill="D9D9D9"/>
            <w:hideMark/>
          </w:tcPr>
          <w:p w14:paraId="5052C647" w14:textId="77777777" w:rsidR="002A4DDF" w:rsidRPr="00937C8B" w:rsidRDefault="002A4DDF" w:rsidP="009110ED">
            <w:pPr>
              <w:rPr>
                <w:rFonts w:ascii="Arial" w:hAnsi="Arial" w:cs="Arial"/>
                <w:sz w:val="12"/>
                <w:szCs w:val="12"/>
              </w:rPr>
            </w:pPr>
          </w:p>
        </w:tc>
      </w:tr>
      <w:tr w:rsidR="002A4DDF" w:rsidRPr="00937C8B" w14:paraId="2EB3AF79" w14:textId="77777777" w:rsidTr="00935676">
        <w:trPr>
          <w:cantSplit/>
        </w:trPr>
        <w:tc>
          <w:tcPr>
            <w:tcW w:w="1696" w:type="dxa"/>
            <w:tcBorders>
              <w:left w:val="single" w:sz="4" w:space="0" w:color="auto"/>
            </w:tcBorders>
            <w:shd w:val="clear" w:color="auto" w:fill="auto"/>
          </w:tcPr>
          <w:p w14:paraId="5508474D" w14:textId="77777777" w:rsidR="002A4DDF" w:rsidRPr="00937C8B" w:rsidRDefault="002A4DDF" w:rsidP="009110ED">
            <w:pPr>
              <w:rPr>
                <w:rFonts w:ascii="Arial" w:hAnsi="Arial" w:cs="Arial"/>
                <w:sz w:val="12"/>
                <w:szCs w:val="12"/>
              </w:rPr>
            </w:pPr>
          </w:p>
        </w:tc>
        <w:tc>
          <w:tcPr>
            <w:tcW w:w="1843" w:type="dxa"/>
            <w:shd w:val="clear" w:color="auto" w:fill="auto"/>
          </w:tcPr>
          <w:p w14:paraId="39A43269" w14:textId="77777777" w:rsidR="002A4DDF" w:rsidRPr="00937C8B" w:rsidRDefault="002A4DDF" w:rsidP="009110ED">
            <w:pPr>
              <w:rPr>
                <w:rFonts w:ascii="Arial" w:hAnsi="Arial" w:cs="Arial"/>
                <w:sz w:val="12"/>
                <w:szCs w:val="12"/>
              </w:rPr>
            </w:pPr>
          </w:p>
        </w:tc>
        <w:tc>
          <w:tcPr>
            <w:tcW w:w="2268" w:type="dxa"/>
            <w:shd w:val="clear" w:color="auto" w:fill="F2F2F2"/>
            <w:hideMark/>
          </w:tcPr>
          <w:p w14:paraId="6B2EAD06" w14:textId="77777777" w:rsidR="002A4DDF" w:rsidRPr="00937C8B" w:rsidRDefault="002A4DDF" w:rsidP="009110ED">
            <w:pPr>
              <w:rPr>
                <w:rFonts w:ascii="Arial" w:hAnsi="Arial" w:cs="Arial"/>
                <w:sz w:val="12"/>
                <w:szCs w:val="12"/>
              </w:rPr>
            </w:pPr>
            <w:r>
              <w:rPr>
                <w:rFonts w:ascii="Arial" w:hAnsi="Arial"/>
                <w:sz w:val="12"/>
                <w:szCs w:val="12"/>
              </w:rPr>
              <w:t>Fuencaliente</w:t>
            </w:r>
          </w:p>
        </w:tc>
        <w:tc>
          <w:tcPr>
            <w:tcW w:w="2268" w:type="dxa"/>
            <w:tcBorders>
              <w:right w:val="single" w:sz="4" w:space="0" w:color="auto"/>
            </w:tcBorders>
            <w:shd w:val="clear" w:color="auto" w:fill="D9D9D9"/>
            <w:hideMark/>
          </w:tcPr>
          <w:p w14:paraId="78B0B8EF" w14:textId="77777777" w:rsidR="002A4DDF" w:rsidRPr="00937C8B" w:rsidRDefault="002A4DDF" w:rsidP="009110ED">
            <w:pPr>
              <w:rPr>
                <w:rFonts w:ascii="Arial" w:hAnsi="Arial" w:cs="Arial"/>
                <w:sz w:val="12"/>
                <w:szCs w:val="12"/>
              </w:rPr>
            </w:pPr>
          </w:p>
        </w:tc>
      </w:tr>
      <w:tr w:rsidR="002A4DDF" w:rsidRPr="00937C8B" w14:paraId="0C90C5AF" w14:textId="77777777" w:rsidTr="00935676">
        <w:trPr>
          <w:cantSplit/>
        </w:trPr>
        <w:tc>
          <w:tcPr>
            <w:tcW w:w="1696" w:type="dxa"/>
            <w:tcBorders>
              <w:left w:val="single" w:sz="4" w:space="0" w:color="auto"/>
            </w:tcBorders>
            <w:shd w:val="clear" w:color="auto" w:fill="auto"/>
          </w:tcPr>
          <w:p w14:paraId="3E5F782B" w14:textId="77777777" w:rsidR="002A4DDF" w:rsidRPr="00937C8B" w:rsidRDefault="002A4DDF" w:rsidP="009110ED">
            <w:pPr>
              <w:rPr>
                <w:rFonts w:ascii="Arial" w:hAnsi="Arial" w:cs="Arial"/>
                <w:sz w:val="12"/>
                <w:szCs w:val="12"/>
              </w:rPr>
            </w:pPr>
          </w:p>
        </w:tc>
        <w:tc>
          <w:tcPr>
            <w:tcW w:w="1843" w:type="dxa"/>
            <w:shd w:val="clear" w:color="auto" w:fill="auto"/>
          </w:tcPr>
          <w:p w14:paraId="6F91E0D6" w14:textId="77777777" w:rsidR="002A4DDF" w:rsidRPr="00937C8B" w:rsidRDefault="002A4DDF" w:rsidP="009110ED">
            <w:pPr>
              <w:rPr>
                <w:rFonts w:ascii="Arial" w:hAnsi="Arial" w:cs="Arial"/>
                <w:sz w:val="12"/>
                <w:szCs w:val="12"/>
              </w:rPr>
            </w:pPr>
          </w:p>
        </w:tc>
        <w:tc>
          <w:tcPr>
            <w:tcW w:w="2268" w:type="dxa"/>
            <w:shd w:val="clear" w:color="auto" w:fill="F2F2F2"/>
            <w:hideMark/>
          </w:tcPr>
          <w:p w14:paraId="4A6B5C11" w14:textId="77777777" w:rsidR="002A4DDF" w:rsidRPr="00937C8B" w:rsidRDefault="002A4DDF" w:rsidP="009110ED">
            <w:pPr>
              <w:rPr>
                <w:rFonts w:ascii="Arial" w:hAnsi="Arial" w:cs="Arial"/>
                <w:sz w:val="12"/>
                <w:szCs w:val="12"/>
              </w:rPr>
            </w:pPr>
            <w:r>
              <w:rPr>
                <w:rFonts w:ascii="Arial" w:hAnsi="Arial"/>
                <w:sz w:val="12"/>
                <w:szCs w:val="12"/>
              </w:rPr>
              <w:t>Fuente el Fresno</w:t>
            </w:r>
          </w:p>
        </w:tc>
        <w:tc>
          <w:tcPr>
            <w:tcW w:w="2268" w:type="dxa"/>
            <w:tcBorders>
              <w:right w:val="single" w:sz="4" w:space="0" w:color="auto"/>
            </w:tcBorders>
            <w:shd w:val="clear" w:color="auto" w:fill="D9D9D9"/>
            <w:hideMark/>
          </w:tcPr>
          <w:p w14:paraId="13B7C86D" w14:textId="77777777" w:rsidR="002A4DDF" w:rsidRPr="00937C8B" w:rsidRDefault="002A4DDF" w:rsidP="009110ED">
            <w:pPr>
              <w:rPr>
                <w:rFonts w:ascii="Arial" w:hAnsi="Arial" w:cs="Arial"/>
                <w:sz w:val="12"/>
                <w:szCs w:val="12"/>
              </w:rPr>
            </w:pPr>
          </w:p>
        </w:tc>
      </w:tr>
      <w:tr w:rsidR="002A4DDF" w:rsidRPr="00937C8B" w14:paraId="352096BD" w14:textId="77777777" w:rsidTr="00935676">
        <w:trPr>
          <w:cantSplit/>
        </w:trPr>
        <w:tc>
          <w:tcPr>
            <w:tcW w:w="1696" w:type="dxa"/>
            <w:tcBorders>
              <w:left w:val="single" w:sz="4" w:space="0" w:color="auto"/>
            </w:tcBorders>
            <w:shd w:val="clear" w:color="auto" w:fill="auto"/>
          </w:tcPr>
          <w:p w14:paraId="28FC7403" w14:textId="77777777" w:rsidR="002A4DDF" w:rsidRPr="00937C8B" w:rsidRDefault="002A4DDF" w:rsidP="009110ED">
            <w:pPr>
              <w:rPr>
                <w:rFonts w:ascii="Arial" w:hAnsi="Arial" w:cs="Arial"/>
                <w:sz w:val="12"/>
                <w:szCs w:val="12"/>
              </w:rPr>
            </w:pPr>
          </w:p>
        </w:tc>
        <w:tc>
          <w:tcPr>
            <w:tcW w:w="1843" w:type="dxa"/>
            <w:shd w:val="clear" w:color="auto" w:fill="auto"/>
          </w:tcPr>
          <w:p w14:paraId="77FB5BB9" w14:textId="77777777" w:rsidR="002A4DDF" w:rsidRPr="00937C8B" w:rsidRDefault="002A4DDF" w:rsidP="009110ED">
            <w:pPr>
              <w:rPr>
                <w:rFonts w:ascii="Arial" w:hAnsi="Arial" w:cs="Arial"/>
                <w:sz w:val="12"/>
                <w:szCs w:val="12"/>
              </w:rPr>
            </w:pPr>
          </w:p>
        </w:tc>
        <w:tc>
          <w:tcPr>
            <w:tcW w:w="2268" w:type="dxa"/>
            <w:shd w:val="clear" w:color="auto" w:fill="F2F2F2"/>
            <w:hideMark/>
          </w:tcPr>
          <w:p w14:paraId="00FAB0BC" w14:textId="77777777" w:rsidR="002A4DDF" w:rsidRPr="00937C8B" w:rsidRDefault="002A4DDF" w:rsidP="009110ED">
            <w:pPr>
              <w:rPr>
                <w:rFonts w:ascii="Arial" w:hAnsi="Arial" w:cs="Arial"/>
                <w:sz w:val="12"/>
                <w:szCs w:val="12"/>
              </w:rPr>
            </w:pPr>
            <w:r>
              <w:rPr>
                <w:rFonts w:ascii="Arial" w:hAnsi="Arial"/>
                <w:sz w:val="12"/>
                <w:szCs w:val="12"/>
              </w:rPr>
              <w:t>Guadalmez</w:t>
            </w:r>
          </w:p>
        </w:tc>
        <w:tc>
          <w:tcPr>
            <w:tcW w:w="2268" w:type="dxa"/>
            <w:tcBorders>
              <w:right w:val="single" w:sz="4" w:space="0" w:color="auto"/>
            </w:tcBorders>
            <w:shd w:val="clear" w:color="auto" w:fill="D9D9D9"/>
            <w:hideMark/>
          </w:tcPr>
          <w:p w14:paraId="2C5ADEC3" w14:textId="77777777" w:rsidR="002A4DDF" w:rsidRPr="00937C8B" w:rsidRDefault="002A4DDF" w:rsidP="009110ED">
            <w:pPr>
              <w:rPr>
                <w:rFonts w:ascii="Arial" w:hAnsi="Arial" w:cs="Arial"/>
                <w:sz w:val="12"/>
                <w:szCs w:val="12"/>
              </w:rPr>
            </w:pPr>
          </w:p>
        </w:tc>
      </w:tr>
      <w:tr w:rsidR="002A4DDF" w:rsidRPr="00937C8B" w14:paraId="6DE43FAA" w14:textId="77777777" w:rsidTr="00935676">
        <w:trPr>
          <w:cantSplit/>
        </w:trPr>
        <w:tc>
          <w:tcPr>
            <w:tcW w:w="1696" w:type="dxa"/>
            <w:tcBorders>
              <w:left w:val="single" w:sz="4" w:space="0" w:color="auto"/>
            </w:tcBorders>
            <w:shd w:val="clear" w:color="auto" w:fill="auto"/>
          </w:tcPr>
          <w:p w14:paraId="3E43A2F8" w14:textId="77777777" w:rsidR="002A4DDF" w:rsidRPr="00937C8B" w:rsidRDefault="002A4DDF" w:rsidP="009110ED">
            <w:pPr>
              <w:rPr>
                <w:rFonts w:ascii="Arial" w:hAnsi="Arial" w:cs="Arial"/>
                <w:sz w:val="12"/>
                <w:szCs w:val="12"/>
              </w:rPr>
            </w:pPr>
          </w:p>
        </w:tc>
        <w:tc>
          <w:tcPr>
            <w:tcW w:w="1843" w:type="dxa"/>
            <w:shd w:val="clear" w:color="auto" w:fill="auto"/>
          </w:tcPr>
          <w:p w14:paraId="43CFDF2B" w14:textId="77777777" w:rsidR="002A4DDF" w:rsidRPr="00937C8B" w:rsidRDefault="002A4DDF" w:rsidP="009110ED">
            <w:pPr>
              <w:rPr>
                <w:rFonts w:ascii="Arial" w:hAnsi="Arial" w:cs="Arial"/>
                <w:sz w:val="12"/>
                <w:szCs w:val="12"/>
              </w:rPr>
            </w:pPr>
          </w:p>
        </w:tc>
        <w:tc>
          <w:tcPr>
            <w:tcW w:w="2268" w:type="dxa"/>
            <w:shd w:val="clear" w:color="auto" w:fill="F2F2F2"/>
            <w:hideMark/>
          </w:tcPr>
          <w:p w14:paraId="18B15954" w14:textId="77777777" w:rsidR="002A4DDF" w:rsidRPr="00937C8B" w:rsidRDefault="002A4DDF" w:rsidP="009110ED">
            <w:pPr>
              <w:rPr>
                <w:rFonts w:ascii="Arial" w:hAnsi="Arial" w:cs="Arial"/>
                <w:sz w:val="12"/>
                <w:szCs w:val="12"/>
              </w:rPr>
            </w:pPr>
            <w:r>
              <w:rPr>
                <w:rFonts w:ascii="Arial" w:hAnsi="Arial"/>
                <w:sz w:val="12"/>
                <w:szCs w:val="12"/>
              </w:rPr>
              <w:t>Las Labores</w:t>
            </w:r>
          </w:p>
        </w:tc>
        <w:tc>
          <w:tcPr>
            <w:tcW w:w="2268" w:type="dxa"/>
            <w:tcBorders>
              <w:right w:val="single" w:sz="4" w:space="0" w:color="auto"/>
            </w:tcBorders>
            <w:shd w:val="clear" w:color="auto" w:fill="D9D9D9"/>
            <w:hideMark/>
          </w:tcPr>
          <w:p w14:paraId="66BCA3C9" w14:textId="77777777" w:rsidR="002A4DDF" w:rsidRPr="00937C8B" w:rsidRDefault="002A4DDF" w:rsidP="009110ED">
            <w:pPr>
              <w:rPr>
                <w:rFonts w:ascii="Arial" w:hAnsi="Arial" w:cs="Arial"/>
                <w:sz w:val="12"/>
                <w:szCs w:val="12"/>
              </w:rPr>
            </w:pPr>
          </w:p>
        </w:tc>
      </w:tr>
      <w:tr w:rsidR="002A4DDF" w:rsidRPr="00937C8B" w14:paraId="3FDF4923" w14:textId="77777777" w:rsidTr="00935676">
        <w:trPr>
          <w:cantSplit/>
        </w:trPr>
        <w:tc>
          <w:tcPr>
            <w:tcW w:w="1696" w:type="dxa"/>
            <w:tcBorders>
              <w:left w:val="single" w:sz="4" w:space="0" w:color="auto"/>
            </w:tcBorders>
            <w:shd w:val="clear" w:color="auto" w:fill="auto"/>
          </w:tcPr>
          <w:p w14:paraId="686B614E" w14:textId="77777777" w:rsidR="002A4DDF" w:rsidRPr="00937C8B" w:rsidRDefault="002A4DDF" w:rsidP="009110ED">
            <w:pPr>
              <w:rPr>
                <w:rFonts w:ascii="Arial" w:hAnsi="Arial" w:cs="Arial"/>
                <w:sz w:val="12"/>
                <w:szCs w:val="12"/>
              </w:rPr>
            </w:pPr>
          </w:p>
        </w:tc>
        <w:tc>
          <w:tcPr>
            <w:tcW w:w="1843" w:type="dxa"/>
            <w:shd w:val="clear" w:color="auto" w:fill="auto"/>
          </w:tcPr>
          <w:p w14:paraId="7A80D39C" w14:textId="77777777" w:rsidR="002A4DDF" w:rsidRPr="00937C8B" w:rsidRDefault="002A4DDF" w:rsidP="009110ED">
            <w:pPr>
              <w:rPr>
                <w:rFonts w:ascii="Arial" w:hAnsi="Arial" w:cs="Arial"/>
                <w:sz w:val="12"/>
                <w:szCs w:val="12"/>
              </w:rPr>
            </w:pPr>
          </w:p>
        </w:tc>
        <w:tc>
          <w:tcPr>
            <w:tcW w:w="2268" w:type="dxa"/>
            <w:shd w:val="clear" w:color="auto" w:fill="F2F2F2"/>
            <w:hideMark/>
          </w:tcPr>
          <w:p w14:paraId="3B43058D" w14:textId="77777777" w:rsidR="002A4DDF" w:rsidRPr="00937C8B" w:rsidRDefault="002A4DDF" w:rsidP="009110ED">
            <w:pPr>
              <w:rPr>
                <w:rFonts w:ascii="Arial" w:hAnsi="Arial" w:cs="Arial"/>
                <w:sz w:val="12"/>
                <w:szCs w:val="12"/>
              </w:rPr>
            </w:pPr>
            <w:r>
              <w:rPr>
                <w:rFonts w:ascii="Arial" w:hAnsi="Arial"/>
                <w:sz w:val="12"/>
                <w:szCs w:val="12"/>
              </w:rPr>
              <w:t>Los Cortijos</w:t>
            </w:r>
          </w:p>
        </w:tc>
        <w:tc>
          <w:tcPr>
            <w:tcW w:w="2268" w:type="dxa"/>
            <w:tcBorders>
              <w:right w:val="single" w:sz="4" w:space="0" w:color="auto"/>
            </w:tcBorders>
            <w:shd w:val="clear" w:color="auto" w:fill="D9D9D9"/>
            <w:hideMark/>
          </w:tcPr>
          <w:p w14:paraId="1538D20F" w14:textId="77777777" w:rsidR="002A4DDF" w:rsidRPr="00937C8B" w:rsidRDefault="002A4DDF" w:rsidP="009110ED">
            <w:pPr>
              <w:rPr>
                <w:rFonts w:ascii="Arial" w:hAnsi="Arial" w:cs="Arial"/>
                <w:sz w:val="12"/>
                <w:szCs w:val="12"/>
              </w:rPr>
            </w:pPr>
          </w:p>
        </w:tc>
      </w:tr>
      <w:tr w:rsidR="002A4DDF" w:rsidRPr="00937C8B" w14:paraId="1EF8022B" w14:textId="77777777" w:rsidTr="00935676">
        <w:trPr>
          <w:cantSplit/>
        </w:trPr>
        <w:tc>
          <w:tcPr>
            <w:tcW w:w="1696" w:type="dxa"/>
            <w:tcBorders>
              <w:left w:val="single" w:sz="4" w:space="0" w:color="auto"/>
            </w:tcBorders>
            <w:shd w:val="clear" w:color="auto" w:fill="auto"/>
          </w:tcPr>
          <w:p w14:paraId="7405ACB0" w14:textId="77777777" w:rsidR="002A4DDF" w:rsidRPr="00937C8B" w:rsidRDefault="002A4DDF" w:rsidP="009110ED">
            <w:pPr>
              <w:rPr>
                <w:rFonts w:ascii="Arial" w:hAnsi="Arial" w:cs="Arial"/>
                <w:sz w:val="12"/>
                <w:szCs w:val="12"/>
              </w:rPr>
            </w:pPr>
          </w:p>
        </w:tc>
        <w:tc>
          <w:tcPr>
            <w:tcW w:w="1843" w:type="dxa"/>
            <w:shd w:val="clear" w:color="auto" w:fill="auto"/>
          </w:tcPr>
          <w:p w14:paraId="18BEC823" w14:textId="77777777" w:rsidR="002A4DDF" w:rsidRPr="00937C8B" w:rsidRDefault="002A4DDF" w:rsidP="009110ED">
            <w:pPr>
              <w:rPr>
                <w:rFonts w:ascii="Arial" w:hAnsi="Arial" w:cs="Arial"/>
                <w:sz w:val="12"/>
                <w:szCs w:val="12"/>
              </w:rPr>
            </w:pPr>
          </w:p>
        </w:tc>
        <w:tc>
          <w:tcPr>
            <w:tcW w:w="2268" w:type="dxa"/>
            <w:shd w:val="clear" w:color="auto" w:fill="F2F2F2"/>
            <w:hideMark/>
          </w:tcPr>
          <w:p w14:paraId="6A10A547" w14:textId="77777777" w:rsidR="002A4DDF" w:rsidRPr="00937C8B" w:rsidRDefault="002A4DDF" w:rsidP="009110ED">
            <w:pPr>
              <w:rPr>
                <w:rFonts w:ascii="Arial" w:hAnsi="Arial" w:cs="Arial"/>
                <w:sz w:val="12"/>
                <w:szCs w:val="12"/>
              </w:rPr>
            </w:pPr>
            <w:r>
              <w:rPr>
                <w:rFonts w:ascii="Arial" w:hAnsi="Arial"/>
                <w:sz w:val="12"/>
                <w:szCs w:val="12"/>
              </w:rPr>
              <w:t>Malagón</w:t>
            </w:r>
          </w:p>
        </w:tc>
        <w:tc>
          <w:tcPr>
            <w:tcW w:w="2268" w:type="dxa"/>
            <w:tcBorders>
              <w:right w:val="single" w:sz="4" w:space="0" w:color="auto"/>
            </w:tcBorders>
            <w:shd w:val="clear" w:color="auto" w:fill="D9D9D9"/>
            <w:hideMark/>
          </w:tcPr>
          <w:p w14:paraId="1BA18856" w14:textId="77777777" w:rsidR="002A4DDF" w:rsidRPr="00937C8B" w:rsidRDefault="002A4DDF" w:rsidP="009110ED">
            <w:pPr>
              <w:rPr>
                <w:rFonts w:ascii="Arial" w:hAnsi="Arial" w:cs="Arial"/>
                <w:sz w:val="12"/>
                <w:szCs w:val="12"/>
              </w:rPr>
            </w:pPr>
          </w:p>
        </w:tc>
      </w:tr>
      <w:tr w:rsidR="002A4DDF" w:rsidRPr="00937C8B" w14:paraId="0371EB0C" w14:textId="77777777" w:rsidTr="00935676">
        <w:trPr>
          <w:cantSplit/>
        </w:trPr>
        <w:tc>
          <w:tcPr>
            <w:tcW w:w="1696" w:type="dxa"/>
            <w:tcBorders>
              <w:left w:val="single" w:sz="4" w:space="0" w:color="auto"/>
            </w:tcBorders>
            <w:shd w:val="clear" w:color="auto" w:fill="auto"/>
          </w:tcPr>
          <w:p w14:paraId="2B77E491" w14:textId="77777777" w:rsidR="002A4DDF" w:rsidRPr="00937C8B" w:rsidRDefault="002A4DDF" w:rsidP="009110ED">
            <w:pPr>
              <w:rPr>
                <w:rFonts w:ascii="Arial" w:hAnsi="Arial" w:cs="Arial"/>
                <w:sz w:val="12"/>
                <w:szCs w:val="12"/>
              </w:rPr>
            </w:pPr>
          </w:p>
        </w:tc>
        <w:tc>
          <w:tcPr>
            <w:tcW w:w="1843" w:type="dxa"/>
            <w:shd w:val="clear" w:color="auto" w:fill="auto"/>
          </w:tcPr>
          <w:p w14:paraId="31886A50" w14:textId="77777777" w:rsidR="002A4DDF" w:rsidRPr="00937C8B" w:rsidRDefault="002A4DDF" w:rsidP="009110ED">
            <w:pPr>
              <w:rPr>
                <w:rFonts w:ascii="Arial" w:hAnsi="Arial" w:cs="Arial"/>
                <w:sz w:val="12"/>
                <w:szCs w:val="12"/>
              </w:rPr>
            </w:pPr>
          </w:p>
        </w:tc>
        <w:tc>
          <w:tcPr>
            <w:tcW w:w="2268" w:type="dxa"/>
            <w:shd w:val="clear" w:color="auto" w:fill="F2F2F2"/>
            <w:hideMark/>
          </w:tcPr>
          <w:p w14:paraId="59635E85" w14:textId="77777777" w:rsidR="002A4DDF" w:rsidRPr="00937C8B" w:rsidRDefault="002A4DDF" w:rsidP="009110ED">
            <w:pPr>
              <w:rPr>
                <w:rFonts w:ascii="Arial" w:hAnsi="Arial" w:cs="Arial"/>
                <w:sz w:val="12"/>
                <w:szCs w:val="12"/>
              </w:rPr>
            </w:pPr>
            <w:r>
              <w:rPr>
                <w:rFonts w:ascii="Arial" w:hAnsi="Arial"/>
                <w:sz w:val="12"/>
                <w:szCs w:val="12"/>
              </w:rPr>
              <w:t>Navas de Estena</w:t>
            </w:r>
          </w:p>
        </w:tc>
        <w:tc>
          <w:tcPr>
            <w:tcW w:w="2268" w:type="dxa"/>
            <w:tcBorders>
              <w:right w:val="single" w:sz="4" w:space="0" w:color="auto"/>
            </w:tcBorders>
            <w:shd w:val="clear" w:color="auto" w:fill="D9D9D9"/>
            <w:hideMark/>
          </w:tcPr>
          <w:p w14:paraId="542DFDE4" w14:textId="77777777" w:rsidR="002A4DDF" w:rsidRPr="00937C8B" w:rsidRDefault="002A4DDF" w:rsidP="009110ED">
            <w:pPr>
              <w:rPr>
                <w:rFonts w:ascii="Arial" w:hAnsi="Arial" w:cs="Arial"/>
                <w:sz w:val="12"/>
                <w:szCs w:val="12"/>
              </w:rPr>
            </w:pPr>
          </w:p>
        </w:tc>
      </w:tr>
      <w:tr w:rsidR="002A4DDF" w:rsidRPr="00937C8B" w14:paraId="479D6A96" w14:textId="77777777" w:rsidTr="00935676">
        <w:trPr>
          <w:cantSplit/>
        </w:trPr>
        <w:tc>
          <w:tcPr>
            <w:tcW w:w="1696" w:type="dxa"/>
            <w:tcBorders>
              <w:left w:val="single" w:sz="4" w:space="0" w:color="auto"/>
            </w:tcBorders>
            <w:shd w:val="clear" w:color="auto" w:fill="auto"/>
          </w:tcPr>
          <w:p w14:paraId="4452EF52" w14:textId="77777777" w:rsidR="002A4DDF" w:rsidRPr="00937C8B" w:rsidRDefault="002A4DDF" w:rsidP="009110ED">
            <w:pPr>
              <w:rPr>
                <w:rFonts w:ascii="Arial" w:hAnsi="Arial" w:cs="Arial"/>
                <w:sz w:val="12"/>
                <w:szCs w:val="12"/>
              </w:rPr>
            </w:pPr>
          </w:p>
        </w:tc>
        <w:tc>
          <w:tcPr>
            <w:tcW w:w="1843" w:type="dxa"/>
            <w:shd w:val="clear" w:color="auto" w:fill="auto"/>
          </w:tcPr>
          <w:p w14:paraId="3CB3ECF6" w14:textId="77777777" w:rsidR="002A4DDF" w:rsidRPr="00937C8B" w:rsidRDefault="002A4DDF" w:rsidP="009110ED">
            <w:pPr>
              <w:rPr>
                <w:rFonts w:ascii="Arial" w:hAnsi="Arial" w:cs="Arial"/>
                <w:sz w:val="12"/>
                <w:szCs w:val="12"/>
              </w:rPr>
            </w:pPr>
          </w:p>
        </w:tc>
        <w:tc>
          <w:tcPr>
            <w:tcW w:w="2268" w:type="dxa"/>
            <w:shd w:val="clear" w:color="auto" w:fill="F2F2F2"/>
            <w:hideMark/>
          </w:tcPr>
          <w:p w14:paraId="5D9680D7" w14:textId="77777777" w:rsidR="002A4DDF" w:rsidRPr="00937C8B" w:rsidRDefault="002A4DDF" w:rsidP="009110ED">
            <w:pPr>
              <w:rPr>
                <w:rFonts w:ascii="Arial" w:hAnsi="Arial" w:cs="Arial"/>
                <w:sz w:val="12"/>
                <w:szCs w:val="12"/>
              </w:rPr>
            </w:pPr>
            <w:r>
              <w:rPr>
                <w:rFonts w:ascii="Arial" w:hAnsi="Arial"/>
                <w:sz w:val="12"/>
                <w:szCs w:val="12"/>
              </w:rPr>
              <w:t>Porzuna</w:t>
            </w:r>
          </w:p>
        </w:tc>
        <w:tc>
          <w:tcPr>
            <w:tcW w:w="2268" w:type="dxa"/>
            <w:tcBorders>
              <w:right w:val="single" w:sz="4" w:space="0" w:color="auto"/>
            </w:tcBorders>
            <w:shd w:val="clear" w:color="auto" w:fill="D9D9D9"/>
            <w:hideMark/>
          </w:tcPr>
          <w:p w14:paraId="71D9B263" w14:textId="77777777" w:rsidR="002A4DDF" w:rsidRPr="00937C8B" w:rsidRDefault="002A4DDF" w:rsidP="009110ED">
            <w:pPr>
              <w:rPr>
                <w:rFonts w:ascii="Arial" w:hAnsi="Arial" w:cs="Arial"/>
                <w:sz w:val="12"/>
                <w:szCs w:val="12"/>
              </w:rPr>
            </w:pPr>
          </w:p>
        </w:tc>
      </w:tr>
      <w:tr w:rsidR="002A4DDF" w:rsidRPr="00937C8B" w14:paraId="4CA796E8" w14:textId="77777777" w:rsidTr="00935676">
        <w:trPr>
          <w:cantSplit/>
        </w:trPr>
        <w:tc>
          <w:tcPr>
            <w:tcW w:w="1696" w:type="dxa"/>
            <w:tcBorders>
              <w:left w:val="single" w:sz="4" w:space="0" w:color="auto"/>
            </w:tcBorders>
            <w:shd w:val="clear" w:color="auto" w:fill="auto"/>
          </w:tcPr>
          <w:p w14:paraId="7D0EE89C" w14:textId="77777777" w:rsidR="002A4DDF" w:rsidRPr="00937C8B" w:rsidRDefault="002A4DDF" w:rsidP="009110ED">
            <w:pPr>
              <w:rPr>
                <w:rFonts w:ascii="Arial" w:hAnsi="Arial" w:cs="Arial"/>
                <w:sz w:val="12"/>
                <w:szCs w:val="12"/>
              </w:rPr>
            </w:pPr>
          </w:p>
        </w:tc>
        <w:tc>
          <w:tcPr>
            <w:tcW w:w="1843" w:type="dxa"/>
            <w:shd w:val="clear" w:color="auto" w:fill="auto"/>
          </w:tcPr>
          <w:p w14:paraId="3FFEACFF" w14:textId="77777777" w:rsidR="002A4DDF" w:rsidRPr="00937C8B" w:rsidRDefault="002A4DDF" w:rsidP="009110ED">
            <w:pPr>
              <w:rPr>
                <w:rFonts w:ascii="Arial" w:hAnsi="Arial" w:cs="Arial"/>
                <w:sz w:val="12"/>
                <w:szCs w:val="12"/>
              </w:rPr>
            </w:pPr>
          </w:p>
        </w:tc>
        <w:tc>
          <w:tcPr>
            <w:tcW w:w="2268" w:type="dxa"/>
            <w:shd w:val="clear" w:color="auto" w:fill="F2F2F2"/>
            <w:hideMark/>
          </w:tcPr>
          <w:p w14:paraId="283F8416" w14:textId="77777777" w:rsidR="002A4DDF" w:rsidRPr="00937C8B" w:rsidRDefault="002A4DDF" w:rsidP="009110ED">
            <w:pPr>
              <w:rPr>
                <w:rFonts w:ascii="Arial" w:hAnsi="Arial" w:cs="Arial"/>
                <w:sz w:val="12"/>
                <w:szCs w:val="12"/>
              </w:rPr>
            </w:pPr>
            <w:r>
              <w:rPr>
                <w:rFonts w:ascii="Arial" w:hAnsi="Arial"/>
                <w:sz w:val="12"/>
                <w:szCs w:val="12"/>
              </w:rPr>
              <w:t>Puebla de Don Rodrigo</w:t>
            </w:r>
          </w:p>
        </w:tc>
        <w:tc>
          <w:tcPr>
            <w:tcW w:w="2268" w:type="dxa"/>
            <w:tcBorders>
              <w:right w:val="single" w:sz="4" w:space="0" w:color="auto"/>
            </w:tcBorders>
            <w:shd w:val="clear" w:color="auto" w:fill="D9D9D9"/>
            <w:hideMark/>
          </w:tcPr>
          <w:p w14:paraId="27BB047A" w14:textId="77777777" w:rsidR="002A4DDF" w:rsidRPr="00937C8B" w:rsidRDefault="002A4DDF" w:rsidP="009110ED">
            <w:pPr>
              <w:rPr>
                <w:rFonts w:ascii="Arial" w:hAnsi="Arial" w:cs="Arial"/>
                <w:sz w:val="12"/>
                <w:szCs w:val="12"/>
              </w:rPr>
            </w:pPr>
          </w:p>
        </w:tc>
      </w:tr>
      <w:tr w:rsidR="002A4DDF" w:rsidRPr="00937C8B" w14:paraId="33A4B207" w14:textId="77777777" w:rsidTr="00935676">
        <w:trPr>
          <w:cantSplit/>
        </w:trPr>
        <w:tc>
          <w:tcPr>
            <w:tcW w:w="1696" w:type="dxa"/>
            <w:tcBorders>
              <w:left w:val="single" w:sz="4" w:space="0" w:color="auto"/>
            </w:tcBorders>
            <w:shd w:val="clear" w:color="auto" w:fill="auto"/>
          </w:tcPr>
          <w:p w14:paraId="54553346" w14:textId="77777777" w:rsidR="002A4DDF" w:rsidRPr="00937C8B" w:rsidRDefault="002A4DDF" w:rsidP="009110ED">
            <w:pPr>
              <w:rPr>
                <w:rFonts w:ascii="Arial" w:hAnsi="Arial" w:cs="Arial"/>
                <w:sz w:val="12"/>
                <w:szCs w:val="12"/>
              </w:rPr>
            </w:pPr>
          </w:p>
        </w:tc>
        <w:tc>
          <w:tcPr>
            <w:tcW w:w="1843" w:type="dxa"/>
            <w:shd w:val="clear" w:color="auto" w:fill="auto"/>
          </w:tcPr>
          <w:p w14:paraId="639CDAF8" w14:textId="77777777" w:rsidR="002A4DDF" w:rsidRPr="00937C8B" w:rsidRDefault="002A4DDF" w:rsidP="009110ED">
            <w:pPr>
              <w:rPr>
                <w:rFonts w:ascii="Arial" w:hAnsi="Arial" w:cs="Arial"/>
                <w:sz w:val="12"/>
                <w:szCs w:val="12"/>
              </w:rPr>
            </w:pPr>
          </w:p>
        </w:tc>
        <w:tc>
          <w:tcPr>
            <w:tcW w:w="2268" w:type="dxa"/>
            <w:shd w:val="clear" w:color="auto" w:fill="F2F2F2"/>
            <w:hideMark/>
          </w:tcPr>
          <w:p w14:paraId="1389546E" w14:textId="77777777" w:rsidR="002A4DDF" w:rsidRPr="00937C8B" w:rsidRDefault="002A4DDF" w:rsidP="009110ED">
            <w:pPr>
              <w:rPr>
                <w:rFonts w:ascii="Arial" w:hAnsi="Arial" w:cs="Arial"/>
                <w:sz w:val="12"/>
                <w:szCs w:val="12"/>
              </w:rPr>
            </w:pPr>
            <w:r>
              <w:rPr>
                <w:rFonts w:ascii="Arial" w:hAnsi="Arial"/>
                <w:sz w:val="12"/>
                <w:szCs w:val="12"/>
              </w:rPr>
              <w:t>Puebla del Príncipe</w:t>
            </w:r>
          </w:p>
        </w:tc>
        <w:tc>
          <w:tcPr>
            <w:tcW w:w="2268" w:type="dxa"/>
            <w:tcBorders>
              <w:right w:val="single" w:sz="4" w:space="0" w:color="auto"/>
            </w:tcBorders>
            <w:shd w:val="clear" w:color="auto" w:fill="D9D9D9"/>
            <w:hideMark/>
          </w:tcPr>
          <w:p w14:paraId="1678CEDD" w14:textId="77777777" w:rsidR="002A4DDF" w:rsidRPr="00937C8B" w:rsidRDefault="002A4DDF" w:rsidP="009110ED">
            <w:pPr>
              <w:rPr>
                <w:rFonts w:ascii="Arial" w:hAnsi="Arial" w:cs="Arial"/>
                <w:sz w:val="12"/>
                <w:szCs w:val="12"/>
              </w:rPr>
            </w:pPr>
          </w:p>
        </w:tc>
      </w:tr>
      <w:tr w:rsidR="002A4DDF" w:rsidRPr="00937C8B" w14:paraId="60452695" w14:textId="77777777" w:rsidTr="00935676">
        <w:trPr>
          <w:cantSplit/>
        </w:trPr>
        <w:tc>
          <w:tcPr>
            <w:tcW w:w="1696" w:type="dxa"/>
            <w:tcBorders>
              <w:left w:val="single" w:sz="4" w:space="0" w:color="auto"/>
            </w:tcBorders>
            <w:shd w:val="clear" w:color="auto" w:fill="auto"/>
          </w:tcPr>
          <w:p w14:paraId="504E83CB" w14:textId="77777777" w:rsidR="002A4DDF" w:rsidRPr="00937C8B" w:rsidRDefault="002A4DDF" w:rsidP="009110ED">
            <w:pPr>
              <w:rPr>
                <w:rFonts w:ascii="Arial" w:hAnsi="Arial" w:cs="Arial"/>
                <w:sz w:val="12"/>
                <w:szCs w:val="12"/>
              </w:rPr>
            </w:pPr>
          </w:p>
        </w:tc>
        <w:tc>
          <w:tcPr>
            <w:tcW w:w="1843" w:type="dxa"/>
            <w:shd w:val="clear" w:color="auto" w:fill="auto"/>
          </w:tcPr>
          <w:p w14:paraId="6F22E6FF" w14:textId="77777777" w:rsidR="002A4DDF" w:rsidRPr="00937C8B" w:rsidRDefault="002A4DDF" w:rsidP="009110ED">
            <w:pPr>
              <w:rPr>
                <w:rFonts w:ascii="Arial" w:hAnsi="Arial" w:cs="Arial"/>
                <w:sz w:val="12"/>
                <w:szCs w:val="12"/>
              </w:rPr>
            </w:pPr>
          </w:p>
        </w:tc>
        <w:tc>
          <w:tcPr>
            <w:tcW w:w="2268" w:type="dxa"/>
            <w:shd w:val="clear" w:color="auto" w:fill="F2F2F2"/>
            <w:hideMark/>
          </w:tcPr>
          <w:p w14:paraId="2904C631" w14:textId="77777777" w:rsidR="002A4DDF" w:rsidRPr="00937C8B" w:rsidRDefault="002A4DDF" w:rsidP="009110ED">
            <w:pPr>
              <w:rPr>
                <w:rFonts w:ascii="Arial" w:hAnsi="Arial" w:cs="Arial"/>
                <w:sz w:val="12"/>
                <w:szCs w:val="12"/>
              </w:rPr>
            </w:pPr>
            <w:r>
              <w:rPr>
                <w:rFonts w:ascii="Arial" w:hAnsi="Arial"/>
                <w:sz w:val="12"/>
                <w:szCs w:val="12"/>
              </w:rPr>
              <w:t>Puertollano</w:t>
            </w:r>
          </w:p>
        </w:tc>
        <w:tc>
          <w:tcPr>
            <w:tcW w:w="2268" w:type="dxa"/>
            <w:tcBorders>
              <w:right w:val="single" w:sz="4" w:space="0" w:color="auto"/>
            </w:tcBorders>
            <w:shd w:val="clear" w:color="auto" w:fill="D9D9D9"/>
            <w:hideMark/>
          </w:tcPr>
          <w:p w14:paraId="3733FB86" w14:textId="77777777" w:rsidR="002A4DDF" w:rsidRPr="00937C8B" w:rsidRDefault="002A4DDF" w:rsidP="009110ED">
            <w:pPr>
              <w:rPr>
                <w:rFonts w:ascii="Arial" w:hAnsi="Arial" w:cs="Arial"/>
                <w:sz w:val="12"/>
                <w:szCs w:val="12"/>
              </w:rPr>
            </w:pPr>
          </w:p>
        </w:tc>
      </w:tr>
      <w:tr w:rsidR="002A4DDF" w:rsidRPr="00937C8B" w14:paraId="4CC194D0" w14:textId="77777777" w:rsidTr="00935676">
        <w:trPr>
          <w:cantSplit/>
        </w:trPr>
        <w:tc>
          <w:tcPr>
            <w:tcW w:w="1696" w:type="dxa"/>
            <w:tcBorders>
              <w:left w:val="single" w:sz="4" w:space="0" w:color="auto"/>
            </w:tcBorders>
            <w:shd w:val="clear" w:color="auto" w:fill="auto"/>
          </w:tcPr>
          <w:p w14:paraId="57E61957" w14:textId="77777777" w:rsidR="002A4DDF" w:rsidRPr="00937C8B" w:rsidRDefault="002A4DDF" w:rsidP="009110ED">
            <w:pPr>
              <w:rPr>
                <w:rFonts w:ascii="Arial" w:hAnsi="Arial" w:cs="Arial"/>
                <w:sz w:val="12"/>
                <w:szCs w:val="12"/>
              </w:rPr>
            </w:pPr>
          </w:p>
        </w:tc>
        <w:tc>
          <w:tcPr>
            <w:tcW w:w="1843" w:type="dxa"/>
            <w:shd w:val="clear" w:color="auto" w:fill="auto"/>
          </w:tcPr>
          <w:p w14:paraId="3166F812" w14:textId="77777777" w:rsidR="002A4DDF" w:rsidRPr="00937C8B" w:rsidRDefault="002A4DDF" w:rsidP="009110ED">
            <w:pPr>
              <w:rPr>
                <w:rFonts w:ascii="Arial" w:hAnsi="Arial" w:cs="Arial"/>
                <w:sz w:val="12"/>
                <w:szCs w:val="12"/>
              </w:rPr>
            </w:pPr>
          </w:p>
        </w:tc>
        <w:tc>
          <w:tcPr>
            <w:tcW w:w="2268" w:type="dxa"/>
            <w:shd w:val="clear" w:color="auto" w:fill="F2F2F2"/>
            <w:hideMark/>
          </w:tcPr>
          <w:p w14:paraId="56479FBB" w14:textId="77777777" w:rsidR="002A4DDF" w:rsidRPr="00937C8B" w:rsidRDefault="002A4DDF" w:rsidP="009110ED">
            <w:pPr>
              <w:rPr>
                <w:rFonts w:ascii="Arial" w:hAnsi="Arial" w:cs="Arial"/>
                <w:sz w:val="12"/>
                <w:szCs w:val="12"/>
              </w:rPr>
            </w:pPr>
            <w:r>
              <w:rPr>
                <w:rFonts w:ascii="Arial" w:hAnsi="Arial"/>
                <w:sz w:val="12"/>
                <w:szCs w:val="12"/>
              </w:rPr>
              <w:t>Retuerta del Bullaque</w:t>
            </w:r>
          </w:p>
        </w:tc>
        <w:tc>
          <w:tcPr>
            <w:tcW w:w="2268" w:type="dxa"/>
            <w:tcBorders>
              <w:right w:val="single" w:sz="4" w:space="0" w:color="auto"/>
            </w:tcBorders>
            <w:shd w:val="clear" w:color="auto" w:fill="D9D9D9"/>
            <w:hideMark/>
          </w:tcPr>
          <w:p w14:paraId="14C7B6EE" w14:textId="77777777" w:rsidR="002A4DDF" w:rsidRPr="00937C8B" w:rsidRDefault="002A4DDF" w:rsidP="009110ED">
            <w:pPr>
              <w:rPr>
                <w:rFonts w:ascii="Arial" w:hAnsi="Arial" w:cs="Arial"/>
                <w:sz w:val="12"/>
                <w:szCs w:val="12"/>
              </w:rPr>
            </w:pPr>
          </w:p>
        </w:tc>
      </w:tr>
      <w:tr w:rsidR="002A4DDF" w:rsidRPr="00937C8B" w14:paraId="153EB722" w14:textId="77777777" w:rsidTr="00935676">
        <w:trPr>
          <w:cantSplit/>
        </w:trPr>
        <w:tc>
          <w:tcPr>
            <w:tcW w:w="1696" w:type="dxa"/>
            <w:tcBorders>
              <w:left w:val="single" w:sz="4" w:space="0" w:color="auto"/>
            </w:tcBorders>
            <w:shd w:val="clear" w:color="auto" w:fill="auto"/>
          </w:tcPr>
          <w:p w14:paraId="3976CCED" w14:textId="77777777" w:rsidR="002A4DDF" w:rsidRPr="00937C8B" w:rsidRDefault="002A4DDF" w:rsidP="009110ED">
            <w:pPr>
              <w:rPr>
                <w:rFonts w:ascii="Arial" w:hAnsi="Arial" w:cs="Arial"/>
                <w:sz w:val="12"/>
                <w:szCs w:val="12"/>
              </w:rPr>
            </w:pPr>
          </w:p>
        </w:tc>
        <w:tc>
          <w:tcPr>
            <w:tcW w:w="1843" w:type="dxa"/>
            <w:shd w:val="clear" w:color="auto" w:fill="auto"/>
          </w:tcPr>
          <w:p w14:paraId="1DA06004" w14:textId="77777777" w:rsidR="002A4DDF" w:rsidRPr="00937C8B" w:rsidRDefault="002A4DDF" w:rsidP="009110ED">
            <w:pPr>
              <w:rPr>
                <w:rFonts w:ascii="Arial" w:hAnsi="Arial" w:cs="Arial"/>
                <w:sz w:val="12"/>
                <w:szCs w:val="12"/>
              </w:rPr>
            </w:pPr>
          </w:p>
        </w:tc>
        <w:tc>
          <w:tcPr>
            <w:tcW w:w="2268" w:type="dxa"/>
            <w:shd w:val="clear" w:color="auto" w:fill="F2F2F2"/>
            <w:hideMark/>
          </w:tcPr>
          <w:p w14:paraId="2C902A9C" w14:textId="77777777" w:rsidR="002A4DDF" w:rsidRPr="00937C8B" w:rsidRDefault="002A4DDF" w:rsidP="009110ED">
            <w:pPr>
              <w:rPr>
                <w:rFonts w:ascii="Arial" w:hAnsi="Arial" w:cs="Arial"/>
                <w:sz w:val="12"/>
                <w:szCs w:val="12"/>
              </w:rPr>
            </w:pPr>
            <w:r>
              <w:rPr>
                <w:rFonts w:ascii="Arial" w:hAnsi="Arial"/>
                <w:sz w:val="12"/>
                <w:szCs w:val="12"/>
              </w:rPr>
              <w:t>Saceruela</w:t>
            </w:r>
          </w:p>
        </w:tc>
        <w:tc>
          <w:tcPr>
            <w:tcW w:w="2268" w:type="dxa"/>
            <w:tcBorders>
              <w:right w:val="single" w:sz="4" w:space="0" w:color="auto"/>
            </w:tcBorders>
            <w:shd w:val="clear" w:color="auto" w:fill="D9D9D9"/>
            <w:hideMark/>
          </w:tcPr>
          <w:p w14:paraId="31BF5C25" w14:textId="77777777" w:rsidR="002A4DDF" w:rsidRPr="00937C8B" w:rsidRDefault="002A4DDF" w:rsidP="009110ED">
            <w:pPr>
              <w:rPr>
                <w:rFonts w:ascii="Arial" w:hAnsi="Arial" w:cs="Arial"/>
                <w:sz w:val="12"/>
                <w:szCs w:val="12"/>
              </w:rPr>
            </w:pPr>
          </w:p>
        </w:tc>
      </w:tr>
      <w:tr w:rsidR="002A4DDF" w:rsidRPr="00937C8B" w14:paraId="7DBB5E4F" w14:textId="77777777" w:rsidTr="00935676">
        <w:trPr>
          <w:cantSplit/>
        </w:trPr>
        <w:tc>
          <w:tcPr>
            <w:tcW w:w="1696" w:type="dxa"/>
            <w:tcBorders>
              <w:left w:val="single" w:sz="4" w:space="0" w:color="auto"/>
            </w:tcBorders>
            <w:shd w:val="clear" w:color="auto" w:fill="auto"/>
          </w:tcPr>
          <w:p w14:paraId="220455F7" w14:textId="77777777" w:rsidR="002A4DDF" w:rsidRPr="00937C8B" w:rsidRDefault="002A4DDF" w:rsidP="009110ED">
            <w:pPr>
              <w:rPr>
                <w:rFonts w:ascii="Arial" w:hAnsi="Arial" w:cs="Arial"/>
                <w:sz w:val="12"/>
                <w:szCs w:val="12"/>
              </w:rPr>
            </w:pPr>
          </w:p>
        </w:tc>
        <w:tc>
          <w:tcPr>
            <w:tcW w:w="1843" w:type="dxa"/>
            <w:shd w:val="clear" w:color="auto" w:fill="auto"/>
          </w:tcPr>
          <w:p w14:paraId="1B62AA91" w14:textId="77777777" w:rsidR="002A4DDF" w:rsidRPr="00937C8B" w:rsidRDefault="002A4DDF" w:rsidP="009110ED">
            <w:pPr>
              <w:rPr>
                <w:rFonts w:ascii="Arial" w:hAnsi="Arial" w:cs="Arial"/>
                <w:sz w:val="12"/>
                <w:szCs w:val="12"/>
              </w:rPr>
            </w:pPr>
          </w:p>
        </w:tc>
        <w:tc>
          <w:tcPr>
            <w:tcW w:w="2268" w:type="dxa"/>
            <w:shd w:val="clear" w:color="auto" w:fill="F2F2F2"/>
            <w:hideMark/>
          </w:tcPr>
          <w:p w14:paraId="33363B3E" w14:textId="77777777" w:rsidR="002A4DDF" w:rsidRPr="00937C8B" w:rsidRDefault="002A4DDF" w:rsidP="009110ED">
            <w:pPr>
              <w:rPr>
                <w:rFonts w:ascii="Arial" w:hAnsi="Arial" w:cs="Arial"/>
                <w:sz w:val="12"/>
                <w:szCs w:val="12"/>
              </w:rPr>
            </w:pPr>
            <w:r>
              <w:rPr>
                <w:rFonts w:ascii="Arial" w:hAnsi="Arial"/>
                <w:sz w:val="12"/>
                <w:szCs w:val="12"/>
              </w:rPr>
              <w:t>Santa Cruz de los Cáñamos</w:t>
            </w:r>
          </w:p>
        </w:tc>
        <w:tc>
          <w:tcPr>
            <w:tcW w:w="2268" w:type="dxa"/>
            <w:tcBorders>
              <w:right w:val="single" w:sz="4" w:space="0" w:color="auto"/>
            </w:tcBorders>
            <w:shd w:val="clear" w:color="auto" w:fill="D9D9D9"/>
            <w:hideMark/>
          </w:tcPr>
          <w:p w14:paraId="428B86B3" w14:textId="77777777" w:rsidR="002A4DDF" w:rsidRPr="00937C8B" w:rsidRDefault="002A4DDF" w:rsidP="009110ED">
            <w:pPr>
              <w:rPr>
                <w:rFonts w:ascii="Arial" w:hAnsi="Arial" w:cs="Arial"/>
                <w:sz w:val="12"/>
                <w:szCs w:val="12"/>
              </w:rPr>
            </w:pPr>
          </w:p>
        </w:tc>
      </w:tr>
      <w:tr w:rsidR="002A4DDF" w:rsidRPr="00937C8B" w14:paraId="7DCE2239" w14:textId="77777777" w:rsidTr="00935676">
        <w:trPr>
          <w:cantSplit/>
        </w:trPr>
        <w:tc>
          <w:tcPr>
            <w:tcW w:w="1696" w:type="dxa"/>
            <w:tcBorders>
              <w:left w:val="single" w:sz="4" w:space="0" w:color="auto"/>
            </w:tcBorders>
            <w:shd w:val="clear" w:color="auto" w:fill="auto"/>
          </w:tcPr>
          <w:p w14:paraId="181E0260" w14:textId="77777777" w:rsidR="002A4DDF" w:rsidRPr="00937C8B" w:rsidRDefault="002A4DDF" w:rsidP="009110ED">
            <w:pPr>
              <w:rPr>
                <w:rFonts w:ascii="Arial" w:hAnsi="Arial" w:cs="Arial"/>
                <w:sz w:val="12"/>
                <w:szCs w:val="12"/>
              </w:rPr>
            </w:pPr>
          </w:p>
        </w:tc>
        <w:tc>
          <w:tcPr>
            <w:tcW w:w="1843" w:type="dxa"/>
            <w:shd w:val="clear" w:color="auto" w:fill="auto"/>
          </w:tcPr>
          <w:p w14:paraId="524DD226" w14:textId="77777777" w:rsidR="002A4DDF" w:rsidRPr="00937C8B" w:rsidRDefault="002A4DDF" w:rsidP="009110ED">
            <w:pPr>
              <w:rPr>
                <w:rFonts w:ascii="Arial" w:hAnsi="Arial" w:cs="Arial"/>
                <w:sz w:val="12"/>
                <w:szCs w:val="12"/>
              </w:rPr>
            </w:pPr>
          </w:p>
        </w:tc>
        <w:tc>
          <w:tcPr>
            <w:tcW w:w="2268" w:type="dxa"/>
            <w:shd w:val="clear" w:color="auto" w:fill="F2F2F2"/>
            <w:hideMark/>
          </w:tcPr>
          <w:p w14:paraId="0E83DB44" w14:textId="77777777" w:rsidR="002A4DDF" w:rsidRPr="00937C8B" w:rsidRDefault="002A4DDF" w:rsidP="009110ED">
            <w:pPr>
              <w:rPr>
                <w:rFonts w:ascii="Arial" w:hAnsi="Arial" w:cs="Arial"/>
                <w:sz w:val="12"/>
                <w:szCs w:val="12"/>
              </w:rPr>
            </w:pPr>
            <w:r>
              <w:rPr>
                <w:rFonts w:ascii="Arial" w:hAnsi="Arial"/>
                <w:sz w:val="12"/>
                <w:szCs w:val="12"/>
              </w:rPr>
              <w:t>Santa Cruz de Mudela</w:t>
            </w:r>
          </w:p>
        </w:tc>
        <w:tc>
          <w:tcPr>
            <w:tcW w:w="2268" w:type="dxa"/>
            <w:tcBorders>
              <w:right w:val="single" w:sz="4" w:space="0" w:color="auto"/>
            </w:tcBorders>
            <w:shd w:val="clear" w:color="auto" w:fill="D9D9D9"/>
            <w:hideMark/>
          </w:tcPr>
          <w:p w14:paraId="737F82E9" w14:textId="77777777" w:rsidR="002A4DDF" w:rsidRPr="00937C8B" w:rsidRDefault="002A4DDF" w:rsidP="009110ED">
            <w:pPr>
              <w:rPr>
                <w:rFonts w:ascii="Arial" w:hAnsi="Arial" w:cs="Arial"/>
                <w:sz w:val="12"/>
                <w:szCs w:val="12"/>
              </w:rPr>
            </w:pPr>
          </w:p>
        </w:tc>
      </w:tr>
      <w:tr w:rsidR="002A4DDF" w:rsidRPr="00937C8B" w14:paraId="7A185831" w14:textId="77777777" w:rsidTr="00935676">
        <w:trPr>
          <w:cantSplit/>
        </w:trPr>
        <w:tc>
          <w:tcPr>
            <w:tcW w:w="1696" w:type="dxa"/>
            <w:tcBorders>
              <w:left w:val="single" w:sz="4" w:space="0" w:color="auto"/>
            </w:tcBorders>
            <w:shd w:val="clear" w:color="auto" w:fill="auto"/>
          </w:tcPr>
          <w:p w14:paraId="6803CF07" w14:textId="77777777" w:rsidR="002A4DDF" w:rsidRPr="00937C8B" w:rsidRDefault="002A4DDF" w:rsidP="009110ED">
            <w:pPr>
              <w:rPr>
                <w:rFonts w:ascii="Arial" w:hAnsi="Arial" w:cs="Arial"/>
                <w:sz w:val="12"/>
                <w:szCs w:val="12"/>
              </w:rPr>
            </w:pPr>
          </w:p>
        </w:tc>
        <w:tc>
          <w:tcPr>
            <w:tcW w:w="1843" w:type="dxa"/>
            <w:shd w:val="clear" w:color="auto" w:fill="auto"/>
          </w:tcPr>
          <w:p w14:paraId="752A3627" w14:textId="77777777" w:rsidR="002A4DDF" w:rsidRPr="00937C8B" w:rsidRDefault="002A4DDF" w:rsidP="009110ED">
            <w:pPr>
              <w:rPr>
                <w:rFonts w:ascii="Arial" w:hAnsi="Arial" w:cs="Arial"/>
                <w:sz w:val="12"/>
                <w:szCs w:val="12"/>
              </w:rPr>
            </w:pPr>
          </w:p>
        </w:tc>
        <w:tc>
          <w:tcPr>
            <w:tcW w:w="2268" w:type="dxa"/>
            <w:shd w:val="clear" w:color="auto" w:fill="F2F2F2"/>
            <w:hideMark/>
          </w:tcPr>
          <w:p w14:paraId="6F6C649C" w14:textId="77777777" w:rsidR="002A4DDF" w:rsidRPr="00937C8B" w:rsidRDefault="002A4DDF" w:rsidP="009110ED">
            <w:pPr>
              <w:rPr>
                <w:rFonts w:ascii="Arial" w:hAnsi="Arial" w:cs="Arial"/>
                <w:sz w:val="12"/>
                <w:szCs w:val="12"/>
              </w:rPr>
            </w:pPr>
            <w:r>
              <w:rPr>
                <w:rFonts w:ascii="Arial" w:hAnsi="Arial"/>
                <w:sz w:val="12"/>
                <w:szCs w:val="12"/>
              </w:rPr>
              <w:t>Solana del Pino</w:t>
            </w:r>
          </w:p>
        </w:tc>
        <w:tc>
          <w:tcPr>
            <w:tcW w:w="2268" w:type="dxa"/>
            <w:tcBorders>
              <w:right w:val="single" w:sz="4" w:space="0" w:color="auto"/>
            </w:tcBorders>
            <w:shd w:val="clear" w:color="auto" w:fill="D9D9D9"/>
            <w:hideMark/>
          </w:tcPr>
          <w:p w14:paraId="2C5CAAFC" w14:textId="77777777" w:rsidR="002A4DDF" w:rsidRPr="00937C8B" w:rsidRDefault="002A4DDF" w:rsidP="009110ED">
            <w:pPr>
              <w:rPr>
                <w:rFonts w:ascii="Arial" w:hAnsi="Arial" w:cs="Arial"/>
                <w:sz w:val="12"/>
                <w:szCs w:val="12"/>
              </w:rPr>
            </w:pPr>
          </w:p>
        </w:tc>
      </w:tr>
      <w:tr w:rsidR="002A4DDF" w:rsidRPr="00937C8B" w14:paraId="248840CA" w14:textId="77777777" w:rsidTr="00935676">
        <w:trPr>
          <w:cantSplit/>
        </w:trPr>
        <w:tc>
          <w:tcPr>
            <w:tcW w:w="1696" w:type="dxa"/>
            <w:tcBorders>
              <w:left w:val="single" w:sz="4" w:space="0" w:color="auto"/>
            </w:tcBorders>
            <w:shd w:val="clear" w:color="auto" w:fill="auto"/>
          </w:tcPr>
          <w:p w14:paraId="12FC370E" w14:textId="77777777" w:rsidR="002A4DDF" w:rsidRPr="00937C8B" w:rsidRDefault="002A4DDF" w:rsidP="009110ED">
            <w:pPr>
              <w:rPr>
                <w:rFonts w:ascii="Arial" w:hAnsi="Arial" w:cs="Arial"/>
                <w:sz w:val="12"/>
                <w:szCs w:val="12"/>
              </w:rPr>
            </w:pPr>
          </w:p>
        </w:tc>
        <w:tc>
          <w:tcPr>
            <w:tcW w:w="1843" w:type="dxa"/>
            <w:shd w:val="clear" w:color="auto" w:fill="auto"/>
          </w:tcPr>
          <w:p w14:paraId="70D8D33F" w14:textId="77777777" w:rsidR="002A4DDF" w:rsidRPr="00937C8B" w:rsidRDefault="002A4DDF" w:rsidP="009110ED">
            <w:pPr>
              <w:rPr>
                <w:rFonts w:ascii="Arial" w:hAnsi="Arial" w:cs="Arial"/>
                <w:sz w:val="12"/>
                <w:szCs w:val="12"/>
              </w:rPr>
            </w:pPr>
          </w:p>
        </w:tc>
        <w:tc>
          <w:tcPr>
            <w:tcW w:w="2268" w:type="dxa"/>
            <w:shd w:val="clear" w:color="auto" w:fill="F2F2F2"/>
            <w:hideMark/>
          </w:tcPr>
          <w:p w14:paraId="492D1CCF" w14:textId="77777777" w:rsidR="002A4DDF" w:rsidRPr="00937C8B" w:rsidRDefault="002A4DDF" w:rsidP="009110ED">
            <w:pPr>
              <w:rPr>
                <w:rFonts w:ascii="Arial" w:hAnsi="Arial" w:cs="Arial"/>
                <w:sz w:val="12"/>
                <w:szCs w:val="12"/>
              </w:rPr>
            </w:pPr>
            <w:r>
              <w:rPr>
                <w:rFonts w:ascii="Arial" w:hAnsi="Arial"/>
                <w:sz w:val="12"/>
                <w:szCs w:val="12"/>
              </w:rPr>
              <w:t>Terrinches</w:t>
            </w:r>
          </w:p>
        </w:tc>
        <w:tc>
          <w:tcPr>
            <w:tcW w:w="2268" w:type="dxa"/>
            <w:tcBorders>
              <w:right w:val="single" w:sz="4" w:space="0" w:color="auto"/>
            </w:tcBorders>
            <w:shd w:val="clear" w:color="auto" w:fill="D9D9D9"/>
            <w:hideMark/>
          </w:tcPr>
          <w:p w14:paraId="62B71407" w14:textId="77777777" w:rsidR="002A4DDF" w:rsidRPr="00937C8B" w:rsidRDefault="002A4DDF" w:rsidP="009110ED">
            <w:pPr>
              <w:rPr>
                <w:rFonts w:ascii="Arial" w:hAnsi="Arial" w:cs="Arial"/>
                <w:sz w:val="12"/>
                <w:szCs w:val="12"/>
              </w:rPr>
            </w:pPr>
          </w:p>
        </w:tc>
      </w:tr>
      <w:tr w:rsidR="002A4DDF" w:rsidRPr="00937C8B" w14:paraId="6E974EC1" w14:textId="77777777" w:rsidTr="00935676">
        <w:trPr>
          <w:cantSplit/>
        </w:trPr>
        <w:tc>
          <w:tcPr>
            <w:tcW w:w="1696" w:type="dxa"/>
            <w:tcBorders>
              <w:left w:val="single" w:sz="4" w:space="0" w:color="auto"/>
            </w:tcBorders>
            <w:shd w:val="clear" w:color="auto" w:fill="auto"/>
          </w:tcPr>
          <w:p w14:paraId="1A2A3C9C" w14:textId="77777777" w:rsidR="002A4DDF" w:rsidRPr="00937C8B" w:rsidRDefault="002A4DDF" w:rsidP="009110ED">
            <w:pPr>
              <w:rPr>
                <w:rFonts w:ascii="Arial" w:hAnsi="Arial" w:cs="Arial"/>
                <w:sz w:val="12"/>
                <w:szCs w:val="12"/>
              </w:rPr>
            </w:pPr>
          </w:p>
        </w:tc>
        <w:tc>
          <w:tcPr>
            <w:tcW w:w="1843" w:type="dxa"/>
            <w:shd w:val="clear" w:color="auto" w:fill="auto"/>
          </w:tcPr>
          <w:p w14:paraId="6163DB20" w14:textId="77777777" w:rsidR="002A4DDF" w:rsidRPr="00937C8B" w:rsidRDefault="002A4DDF" w:rsidP="009110ED">
            <w:pPr>
              <w:rPr>
                <w:rFonts w:ascii="Arial" w:hAnsi="Arial" w:cs="Arial"/>
                <w:sz w:val="12"/>
                <w:szCs w:val="12"/>
              </w:rPr>
            </w:pPr>
          </w:p>
        </w:tc>
        <w:tc>
          <w:tcPr>
            <w:tcW w:w="2268" w:type="dxa"/>
            <w:shd w:val="clear" w:color="auto" w:fill="F2F2F2"/>
            <w:hideMark/>
          </w:tcPr>
          <w:p w14:paraId="4EDA4C24" w14:textId="77777777" w:rsidR="002A4DDF" w:rsidRPr="00937C8B" w:rsidRDefault="002A4DDF" w:rsidP="009110ED">
            <w:pPr>
              <w:rPr>
                <w:rFonts w:ascii="Arial" w:hAnsi="Arial" w:cs="Arial"/>
                <w:sz w:val="12"/>
                <w:szCs w:val="12"/>
              </w:rPr>
            </w:pPr>
            <w:r>
              <w:rPr>
                <w:rFonts w:ascii="Arial" w:hAnsi="Arial"/>
                <w:sz w:val="12"/>
                <w:szCs w:val="12"/>
              </w:rPr>
              <w:t>Torre de Juan Abad</w:t>
            </w:r>
          </w:p>
        </w:tc>
        <w:tc>
          <w:tcPr>
            <w:tcW w:w="2268" w:type="dxa"/>
            <w:tcBorders>
              <w:right w:val="single" w:sz="4" w:space="0" w:color="auto"/>
            </w:tcBorders>
            <w:shd w:val="clear" w:color="auto" w:fill="D9D9D9"/>
            <w:hideMark/>
          </w:tcPr>
          <w:p w14:paraId="27A7E20A" w14:textId="77777777" w:rsidR="002A4DDF" w:rsidRPr="00937C8B" w:rsidRDefault="002A4DDF" w:rsidP="009110ED">
            <w:pPr>
              <w:rPr>
                <w:rFonts w:ascii="Arial" w:hAnsi="Arial" w:cs="Arial"/>
                <w:sz w:val="12"/>
                <w:szCs w:val="12"/>
              </w:rPr>
            </w:pPr>
          </w:p>
        </w:tc>
      </w:tr>
      <w:tr w:rsidR="002A4DDF" w:rsidRPr="00937C8B" w14:paraId="19E6679D" w14:textId="77777777" w:rsidTr="00935676">
        <w:trPr>
          <w:cantSplit/>
        </w:trPr>
        <w:tc>
          <w:tcPr>
            <w:tcW w:w="1696" w:type="dxa"/>
            <w:tcBorders>
              <w:left w:val="single" w:sz="4" w:space="0" w:color="auto"/>
            </w:tcBorders>
            <w:shd w:val="clear" w:color="auto" w:fill="auto"/>
          </w:tcPr>
          <w:p w14:paraId="3DB53A00" w14:textId="77777777" w:rsidR="002A4DDF" w:rsidRPr="00937C8B" w:rsidRDefault="002A4DDF" w:rsidP="009110ED">
            <w:pPr>
              <w:rPr>
                <w:rFonts w:ascii="Arial" w:hAnsi="Arial" w:cs="Arial"/>
                <w:sz w:val="12"/>
                <w:szCs w:val="12"/>
              </w:rPr>
            </w:pPr>
          </w:p>
        </w:tc>
        <w:tc>
          <w:tcPr>
            <w:tcW w:w="1843" w:type="dxa"/>
            <w:shd w:val="clear" w:color="auto" w:fill="auto"/>
          </w:tcPr>
          <w:p w14:paraId="6C7EDD73" w14:textId="77777777" w:rsidR="002A4DDF" w:rsidRPr="00937C8B" w:rsidRDefault="002A4DDF" w:rsidP="009110ED">
            <w:pPr>
              <w:rPr>
                <w:rFonts w:ascii="Arial" w:hAnsi="Arial" w:cs="Arial"/>
                <w:sz w:val="12"/>
                <w:szCs w:val="12"/>
              </w:rPr>
            </w:pPr>
          </w:p>
        </w:tc>
        <w:tc>
          <w:tcPr>
            <w:tcW w:w="2268" w:type="dxa"/>
            <w:shd w:val="clear" w:color="auto" w:fill="F2F2F2"/>
            <w:hideMark/>
          </w:tcPr>
          <w:p w14:paraId="5A02819B" w14:textId="77777777" w:rsidR="002A4DDF" w:rsidRPr="00937C8B" w:rsidRDefault="002A4DDF" w:rsidP="009110ED">
            <w:pPr>
              <w:rPr>
                <w:rFonts w:ascii="Arial" w:hAnsi="Arial" w:cs="Arial"/>
                <w:sz w:val="12"/>
                <w:szCs w:val="12"/>
              </w:rPr>
            </w:pPr>
            <w:r>
              <w:rPr>
                <w:rFonts w:ascii="Arial" w:hAnsi="Arial"/>
                <w:sz w:val="12"/>
                <w:szCs w:val="12"/>
              </w:rPr>
              <w:t>Torrenueva</w:t>
            </w:r>
          </w:p>
        </w:tc>
        <w:tc>
          <w:tcPr>
            <w:tcW w:w="2268" w:type="dxa"/>
            <w:tcBorders>
              <w:right w:val="single" w:sz="4" w:space="0" w:color="auto"/>
            </w:tcBorders>
            <w:shd w:val="clear" w:color="auto" w:fill="D9D9D9"/>
            <w:hideMark/>
          </w:tcPr>
          <w:p w14:paraId="2D3308D4" w14:textId="77777777" w:rsidR="002A4DDF" w:rsidRPr="00937C8B" w:rsidRDefault="002A4DDF" w:rsidP="009110ED">
            <w:pPr>
              <w:rPr>
                <w:rFonts w:ascii="Arial" w:hAnsi="Arial" w:cs="Arial"/>
                <w:sz w:val="12"/>
                <w:szCs w:val="12"/>
              </w:rPr>
            </w:pPr>
          </w:p>
        </w:tc>
      </w:tr>
      <w:tr w:rsidR="002A4DDF" w:rsidRPr="00937C8B" w14:paraId="7816A5E9" w14:textId="77777777" w:rsidTr="00935676">
        <w:trPr>
          <w:cantSplit/>
        </w:trPr>
        <w:tc>
          <w:tcPr>
            <w:tcW w:w="1696" w:type="dxa"/>
            <w:tcBorders>
              <w:left w:val="single" w:sz="4" w:space="0" w:color="auto"/>
            </w:tcBorders>
            <w:shd w:val="clear" w:color="auto" w:fill="auto"/>
          </w:tcPr>
          <w:p w14:paraId="3721A729" w14:textId="77777777" w:rsidR="002A4DDF" w:rsidRPr="00937C8B" w:rsidRDefault="002A4DDF" w:rsidP="009110ED">
            <w:pPr>
              <w:rPr>
                <w:rFonts w:ascii="Arial" w:hAnsi="Arial" w:cs="Arial"/>
                <w:sz w:val="12"/>
                <w:szCs w:val="12"/>
              </w:rPr>
            </w:pPr>
          </w:p>
        </w:tc>
        <w:tc>
          <w:tcPr>
            <w:tcW w:w="1843" w:type="dxa"/>
            <w:shd w:val="clear" w:color="auto" w:fill="auto"/>
          </w:tcPr>
          <w:p w14:paraId="2116A16B" w14:textId="77777777" w:rsidR="002A4DDF" w:rsidRPr="00937C8B" w:rsidRDefault="002A4DDF" w:rsidP="009110ED">
            <w:pPr>
              <w:rPr>
                <w:rFonts w:ascii="Arial" w:hAnsi="Arial" w:cs="Arial"/>
                <w:sz w:val="12"/>
                <w:szCs w:val="12"/>
              </w:rPr>
            </w:pPr>
          </w:p>
        </w:tc>
        <w:tc>
          <w:tcPr>
            <w:tcW w:w="2268" w:type="dxa"/>
            <w:shd w:val="clear" w:color="auto" w:fill="F2F2F2"/>
            <w:hideMark/>
          </w:tcPr>
          <w:p w14:paraId="7C3B5152" w14:textId="77777777" w:rsidR="002A4DDF" w:rsidRPr="00937C8B" w:rsidRDefault="002A4DDF" w:rsidP="009110ED">
            <w:pPr>
              <w:rPr>
                <w:rFonts w:ascii="Arial" w:hAnsi="Arial" w:cs="Arial"/>
                <w:sz w:val="12"/>
                <w:szCs w:val="12"/>
              </w:rPr>
            </w:pPr>
            <w:r>
              <w:rPr>
                <w:rFonts w:ascii="Arial" w:hAnsi="Arial"/>
                <w:sz w:val="12"/>
                <w:szCs w:val="12"/>
              </w:rPr>
              <w:t>Valdemanco del Esteras</w:t>
            </w:r>
          </w:p>
        </w:tc>
        <w:tc>
          <w:tcPr>
            <w:tcW w:w="2268" w:type="dxa"/>
            <w:tcBorders>
              <w:right w:val="single" w:sz="4" w:space="0" w:color="auto"/>
            </w:tcBorders>
            <w:shd w:val="clear" w:color="auto" w:fill="D9D9D9"/>
            <w:hideMark/>
          </w:tcPr>
          <w:p w14:paraId="0AABB3A0" w14:textId="77777777" w:rsidR="002A4DDF" w:rsidRPr="00937C8B" w:rsidRDefault="002A4DDF" w:rsidP="009110ED">
            <w:pPr>
              <w:rPr>
                <w:rFonts w:ascii="Arial" w:hAnsi="Arial" w:cs="Arial"/>
                <w:sz w:val="12"/>
                <w:szCs w:val="12"/>
              </w:rPr>
            </w:pPr>
          </w:p>
        </w:tc>
      </w:tr>
      <w:tr w:rsidR="002A4DDF" w:rsidRPr="00937C8B" w14:paraId="29FBA665" w14:textId="77777777" w:rsidTr="00935676">
        <w:trPr>
          <w:cantSplit/>
        </w:trPr>
        <w:tc>
          <w:tcPr>
            <w:tcW w:w="1696" w:type="dxa"/>
            <w:tcBorders>
              <w:left w:val="single" w:sz="4" w:space="0" w:color="auto"/>
            </w:tcBorders>
            <w:shd w:val="clear" w:color="auto" w:fill="auto"/>
          </w:tcPr>
          <w:p w14:paraId="17E7E2F8" w14:textId="77777777" w:rsidR="002A4DDF" w:rsidRPr="00937C8B" w:rsidRDefault="002A4DDF" w:rsidP="009110ED">
            <w:pPr>
              <w:rPr>
                <w:rFonts w:ascii="Arial" w:hAnsi="Arial" w:cs="Arial"/>
                <w:sz w:val="12"/>
                <w:szCs w:val="12"/>
              </w:rPr>
            </w:pPr>
          </w:p>
        </w:tc>
        <w:tc>
          <w:tcPr>
            <w:tcW w:w="1843" w:type="dxa"/>
            <w:shd w:val="clear" w:color="auto" w:fill="auto"/>
          </w:tcPr>
          <w:p w14:paraId="35FAF95E" w14:textId="77777777" w:rsidR="002A4DDF" w:rsidRPr="00937C8B" w:rsidRDefault="002A4DDF" w:rsidP="009110ED">
            <w:pPr>
              <w:rPr>
                <w:rFonts w:ascii="Arial" w:hAnsi="Arial" w:cs="Arial"/>
                <w:sz w:val="12"/>
                <w:szCs w:val="12"/>
              </w:rPr>
            </w:pPr>
          </w:p>
        </w:tc>
        <w:tc>
          <w:tcPr>
            <w:tcW w:w="2268" w:type="dxa"/>
            <w:shd w:val="clear" w:color="auto" w:fill="F2F2F2"/>
            <w:hideMark/>
          </w:tcPr>
          <w:p w14:paraId="783D6A9B" w14:textId="77777777" w:rsidR="002A4DDF" w:rsidRPr="00937C8B" w:rsidRDefault="002A4DDF" w:rsidP="009110ED">
            <w:pPr>
              <w:rPr>
                <w:rFonts w:ascii="Arial" w:hAnsi="Arial" w:cs="Arial"/>
                <w:sz w:val="12"/>
                <w:szCs w:val="12"/>
              </w:rPr>
            </w:pPr>
            <w:r>
              <w:rPr>
                <w:rFonts w:ascii="Arial" w:hAnsi="Arial"/>
                <w:sz w:val="12"/>
                <w:szCs w:val="12"/>
              </w:rPr>
              <w:t>Villamanrique</w:t>
            </w:r>
          </w:p>
        </w:tc>
        <w:tc>
          <w:tcPr>
            <w:tcW w:w="2268" w:type="dxa"/>
            <w:tcBorders>
              <w:right w:val="single" w:sz="4" w:space="0" w:color="auto"/>
            </w:tcBorders>
            <w:shd w:val="clear" w:color="auto" w:fill="D9D9D9"/>
            <w:hideMark/>
          </w:tcPr>
          <w:p w14:paraId="672FA5E1" w14:textId="77777777" w:rsidR="002A4DDF" w:rsidRPr="00937C8B" w:rsidRDefault="002A4DDF" w:rsidP="009110ED">
            <w:pPr>
              <w:rPr>
                <w:rFonts w:ascii="Arial" w:hAnsi="Arial" w:cs="Arial"/>
                <w:sz w:val="12"/>
                <w:szCs w:val="12"/>
              </w:rPr>
            </w:pPr>
          </w:p>
        </w:tc>
      </w:tr>
      <w:tr w:rsidR="002A4DDF" w:rsidRPr="00937C8B" w14:paraId="72A1754C" w14:textId="77777777" w:rsidTr="00935676">
        <w:trPr>
          <w:cantSplit/>
        </w:trPr>
        <w:tc>
          <w:tcPr>
            <w:tcW w:w="1696" w:type="dxa"/>
            <w:tcBorders>
              <w:left w:val="single" w:sz="4" w:space="0" w:color="auto"/>
            </w:tcBorders>
            <w:shd w:val="clear" w:color="auto" w:fill="auto"/>
          </w:tcPr>
          <w:p w14:paraId="362B3B9F" w14:textId="77777777" w:rsidR="002A4DDF" w:rsidRPr="00937C8B" w:rsidRDefault="002A4DDF" w:rsidP="009110ED">
            <w:pPr>
              <w:rPr>
                <w:rFonts w:ascii="Arial" w:hAnsi="Arial" w:cs="Arial"/>
                <w:sz w:val="12"/>
                <w:szCs w:val="12"/>
              </w:rPr>
            </w:pPr>
          </w:p>
        </w:tc>
        <w:tc>
          <w:tcPr>
            <w:tcW w:w="1843" w:type="dxa"/>
            <w:shd w:val="clear" w:color="auto" w:fill="auto"/>
          </w:tcPr>
          <w:p w14:paraId="339B0ED1" w14:textId="77777777" w:rsidR="002A4DDF" w:rsidRPr="00937C8B" w:rsidRDefault="002A4DDF" w:rsidP="009110ED">
            <w:pPr>
              <w:rPr>
                <w:rFonts w:ascii="Arial" w:hAnsi="Arial" w:cs="Arial"/>
                <w:sz w:val="12"/>
                <w:szCs w:val="12"/>
              </w:rPr>
            </w:pPr>
          </w:p>
        </w:tc>
        <w:tc>
          <w:tcPr>
            <w:tcW w:w="2268" w:type="dxa"/>
            <w:shd w:val="clear" w:color="auto" w:fill="F2F2F2"/>
            <w:hideMark/>
          </w:tcPr>
          <w:p w14:paraId="5E942969" w14:textId="77777777" w:rsidR="002A4DDF" w:rsidRPr="00937C8B" w:rsidRDefault="002A4DDF" w:rsidP="009110ED">
            <w:pPr>
              <w:rPr>
                <w:rFonts w:ascii="Arial" w:hAnsi="Arial" w:cs="Arial"/>
                <w:sz w:val="12"/>
                <w:szCs w:val="12"/>
              </w:rPr>
            </w:pPr>
            <w:r>
              <w:rPr>
                <w:rFonts w:ascii="Arial" w:hAnsi="Arial"/>
                <w:sz w:val="12"/>
                <w:szCs w:val="12"/>
              </w:rPr>
              <w:t>Villanueva de los Infantes</w:t>
            </w:r>
          </w:p>
        </w:tc>
        <w:tc>
          <w:tcPr>
            <w:tcW w:w="2268" w:type="dxa"/>
            <w:tcBorders>
              <w:right w:val="single" w:sz="4" w:space="0" w:color="auto"/>
            </w:tcBorders>
            <w:shd w:val="clear" w:color="auto" w:fill="D9D9D9"/>
            <w:hideMark/>
          </w:tcPr>
          <w:p w14:paraId="750597E7" w14:textId="77777777" w:rsidR="002A4DDF" w:rsidRPr="00937C8B" w:rsidRDefault="002A4DDF" w:rsidP="009110ED">
            <w:pPr>
              <w:rPr>
                <w:rFonts w:ascii="Arial" w:hAnsi="Arial" w:cs="Arial"/>
                <w:sz w:val="12"/>
                <w:szCs w:val="12"/>
              </w:rPr>
            </w:pPr>
          </w:p>
        </w:tc>
      </w:tr>
      <w:tr w:rsidR="002A4DDF" w:rsidRPr="00937C8B" w14:paraId="5ACAD6AD" w14:textId="77777777" w:rsidTr="00935676">
        <w:trPr>
          <w:cantSplit/>
        </w:trPr>
        <w:tc>
          <w:tcPr>
            <w:tcW w:w="1696" w:type="dxa"/>
            <w:tcBorders>
              <w:left w:val="single" w:sz="4" w:space="0" w:color="auto"/>
            </w:tcBorders>
            <w:shd w:val="clear" w:color="auto" w:fill="auto"/>
          </w:tcPr>
          <w:p w14:paraId="371DD288" w14:textId="77777777" w:rsidR="002A4DDF" w:rsidRPr="00937C8B" w:rsidRDefault="002A4DDF" w:rsidP="009110ED">
            <w:pPr>
              <w:rPr>
                <w:rFonts w:ascii="Arial" w:hAnsi="Arial" w:cs="Arial"/>
                <w:sz w:val="12"/>
                <w:szCs w:val="12"/>
              </w:rPr>
            </w:pPr>
          </w:p>
        </w:tc>
        <w:tc>
          <w:tcPr>
            <w:tcW w:w="1843" w:type="dxa"/>
            <w:shd w:val="clear" w:color="auto" w:fill="auto"/>
          </w:tcPr>
          <w:p w14:paraId="0E2270DE" w14:textId="77777777" w:rsidR="002A4DDF" w:rsidRPr="00937C8B" w:rsidRDefault="002A4DDF" w:rsidP="009110ED">
            <w:pPr>
              <w:rPr>
                <w:rFonts w:ascii="Arial" w:hAnsi="Arial" w:cs="Arial"/>
                <w:sz w:val="12"/>
                <w:szCs w:val="12"/>
              </w:rPr>
            </w:pPr>
          </w:p>
        </w:tc>
        <w:tc>
          <w:tcPr>
            <w:tcW w:w="2268" w:type="dxa"/>
            <w:shd w:val="clear" w:color="auto" w:fill="F2F2F2"/>
            <w:hideMark/>
          </w:tcPr>
          <w:p w14:paraId="5A50B6BC" w14:textId="77777777" w:rsidR="002A4DDF" w:rsidRPr="00937C8B" w:rsidRDefault="002A4DDF" w:rsidP="009110ED">
            <w:pPr>
              <w:rPr>
                <w:rFonts w:ascii="Arial" w:hAnsi="Arial" w:cs="Arial"/>
                <w:sz w:val="12"/>
                <w:szCs w:val="12"/>
              </w:rPr>
            </w:pPr>
            <w:r>
              <w:rPr>
                <w:rFonts w:ascii="Arial" w:hAnsi="Arial"/>
                <w:sz w:val="12"/>
                <w:szCs w:val="12"/>
              </w:rPr>
              <w:t>Villarrubia de los Ojos</w:t>
            </w:r>
          </w:p>
        </w:tc>
        <w:tc>
          <w:tcPr>
            <w:tcW w:w="2268" w:type="dxa"/>
            <w:tcBorders>
              <w:right w:val="single" w:sz="4" w:space="0" w:color="auto"/>
            </w:tcBorders>
            <w:shd w:val="clear" w:color="auto" w:fill="D9D9D9"/>
            <w:hideMark/>
          </w:tcPr>
          <w:p w14:paraId="657F2C14" w14:textId="77777777" w:rsidR="002A4DDF" w:rsidRPr="00937C8B" w:rsidRDefault="002A4DDF" w:rsidP="009110ED">
            <w:pPr>
              <w:rPr>
                <w:rFonts w:ascii="Arial" w:hAnsi="Arial" w:cs="Arial"/>
                <w:sz w:val="12"/>
                <w:szCs w:val="12"/>
              </w:rPr>
            </w:pPr>
          </w:p>
        </w:tc>
      </w:tr>
      <w:tr w:rsidR="002A4DDF" w:rsidRPr="00937C8B" w14:paraId="03636FE9" w14:textId="77777777" w:rsidTr="00935676">
        <w:trPr>
          <w:cantSplit/>
        </w:trPr>
        <w:tc>
          <w:tcPr>
            <w:tcW w:w="1696" w:type="dxa"/>
            <w:tcBorders>
              <w:left w:val="single" w:sz="4" w:space="0" w:color="auto"/>
            </w:tcBorders>
            <w:shd w:val="clear" w:color="auto" w:fill="auto"/>
          </w:tcPr>
          <w:p w14:paraId="329A9BC4" w14:textId="77777777" w:rsidR="002A4DDF" w:rsidRPr="00937C8B" w:rsidRDefault="002A4DDF" w:rsidP="009110ED">
            <w:pPr>
              <w:rPr>
                <w:rFonts w:ascii="Arial" w:hAnsi="Arial" w:cs="Arial"/>
                <w:sz w:val="12"/>
                <w:szCs w:val="12"/>
              </w:rPr>
            </w:pPr>
          </w:p>
        </w:tc>
        <w:tc>
          <w:tcPr>
            <w:tcW w:w="1843" w:type="dxa"/>
            <w:shd w:val="clear" w:color="auto" w:fill="auto"/>
          </w:tcPr>
          <w:p w14:paraId="70567DC6" w14:textId="77777777" w:rsidR="002A4DDF" w:rsidRPr="00937C8B" w:rsidRDefault="002A4DDF" w:rsidP="009110ED">
            <w:pPr>
              <w:rPr>
                <w:rFonts w:ascii="Arial" w:hAnsi="Arial" w:cs="Arial"/>
                <w:sz w:val="12"/>
                <w:szCs w:val="12"/>
              </w:rPr>
            </w:pPr>
          </w:p>
        </w:tc>
        <w:tc>
          <w:tcPr>
            <w:tcW w:w="2268" w:type="dxa"/>
            <w:shd w:val="clear" w:color="auto" w:fill="F2F2F2"/>
            <w:hideMark/>
          </w:tcPr>
          <w:p w14:paraId="41241163" w14:textId="77777777" w:rsidR="002A4DDF" w:rsidRPr="00937C8B" w:rsidRDefault="002A4DDF" w:rsidP="009110ED">
            <w:pPr>
              <w:rPr>
                <w:rFonts w:ascii="Arial" w:hAnsi="Arial" w:cs="Arial"/>
                <w:sz w:val="12"/>
                <w:szCs w:val="12"/>
              </w:rPr>
            </w:pPr>
            <w:r>
              <w:rPr>
                <w:rFonts w:ascii="Arial" w:hAnsi="Arial"/>
                <w:sz w:val="12"/>
                <w:szCs w:val="12"/>
              </w:rPr>
              <w:t>Villarta de San Juan</w:t>
            </w:r>
          </w:p>
        </w:tc>
        <w:tc>
          <w:tcPr>
            <w:tcW w:w="2268" w:type="dxa"/>
            <w:tcBorders>
              <w:right w:val="single" w:sz="4" w:space="0" w:color="auto"/>
            </w:tcBorders>
            <w:shd w:val="clear" w:color="auto" w:fill="D9D9D9"/>
            <w:hideMark/>
          </w:tcPr>
          <w:p w14:paraId="1FBBD191" w14:textId="77777777" w:rsidR="002A4DDF" w:rsidRPr="00937C8B" w:rsidRDefault="002A4DDF" w:rsidP="009110ED">
            <w:pPr>
              <w:rPr>
                <w:rFonts w:ascii="Arial" w:hAnsi="Arial" w:cs="Arial"/>
                <w:sz w:val="12"/>
                <w:szCs w:val="12"/>
              </w:rPr>
            </w:pPr>
          </w:p>
        </w:tc>
      </w:tr>
      <w:tr w:rsidR="002A4DDF" w:rsidRPr="00937C8B" w14:paraId="29734111" w14:textId="77777777" w:rsidTr="00935676">
        <w:trPr>
          <w:cantSplit/>
        </w:trPr>
        <w:tc>
          <w:tcPr>
            <w:tcW w:w="1696" w:type="dxa"/>
            <w:tcBorders>
              <w:left w:val="single" w:sz="4" w:space="0" w:color="auto"/>
              <w:bottom w:val="single" w:sz="4" w:space="0" w:color="auto"/>
            </w:tcBorders>
            <w:shd w:val="clear" w:color="auto" w:fill="auto"/>
            <w:hideMark/>
          </w:tcPr>
          <w:p w14:paraId="18C8F505" w14:textId="77777777" w:rsidR="002A4DDF" w:rsidRPr="00937C8B" w:rsidRDefault="002A4DDF" w:rsidP="009110ED">
            <w:pPr>
              <w:rPr>
                <w:rFonts w:ascii="Arial" w:hAnsi="Arial" w:cs="Arial"/>
                <w:sz w:val="12"/>
                <w:szCs w:val="12"/>
              </w:rPr>
            </w:pPr>
            <w:r>
              <w:rPr>
                <w:rFonts w:ascii="Arial" w:hAnsi="Arial"/>
                <w:sz w:val="12"/>
                <w:szCs w:val="12"/>
              </w:rPr>
              <w:t>Castille-La Manche</w:t>
            </w:r>
          </w:p>
        </w:tc>
        <w:tc>
          <w:tcPr>
            <w:tcW w:w="1843" w:type="dxa"/>
            <w:tcBorders>
              <w:bottom w:val="single" w:sz="4" w:space="0" w:color="auto"/>
            </w:tcBorders>
            <w:shd w:val="clear" w:color="auto" w:fill="auto"/>
            <w:hideMark/>
          </w:tcPr>
          <w:p w14:paraId="706C7D35" w14:textId="77777777" w:rsidR="002A4DDF" w:rsidRPr="00937C8B" w:rsidRDefault="002A4DDF" w:rsidP="009110ED">
            <w:pPr>
              <w:rPr>
                <w:rFonts w:ascii="Arial" w:hAnsi="Arial" w:cs="Arial"/>
                <w:sz w:val="12"/>
                <w:szCs w:val="12"/>
              </w:rPr>
            </w:pPr>
            <w:r>
              <w:rPr>
                <w:rFonts w:ascii="Arial" w:hAnsi="Arial"/>
                <w:sz w:val="12"/>
                <w:szCs w:val="12"/>
              </w:rPr>
              <w:t>Ciudad Real</w:t>
            </w:r>
          </w:p>
        </w:tc>
        <w:tc>
          <w:tcPr>
            <w:tcW w:w="2268" w:type="dxa"/>
            <w:tcBorders>
              <w:bottom w:val="single" w:sz="4" w:space="0" w:color="auto"/>
            </w:tcBorders>
            <w:shd w:val="clear" w:color="auto" w:fill="F2F2F2"/>
            <w:hideMark/>
          </w:tcPr>
          <w:p w14:paraId="0D0C4388" w14:textId="77777777" w:rsidR="002A4DDF" w:rsidRPr="00937C8B" w:rsidRDefault="002A4DDF" w:rsidP="009110ED">
            <w:pPr>
              <w:rPr>
                <w:rFonts w:ascii="Arial" w:hAnsi="Arial" w:cs="Arial"/>
                <w:sz w:val="12"/>
                <w:szCs w:val="12"/>
              </w:rPr>
            </w:pPr>
            <w:r>
              <w:rPr>
                <w:rFonts w:ascii="Arial" w:hAnsi="Arial"/>
                <w:sz w:val="12"/>
                <w:szCs w:val="12"/>
              </w:rPr>
              <w:t>Viso del Marqués</w:t>
            </w:r>
          </w:p>
        </w:tc>
        <w:tc>
          <w:tcPr>
            <w:tcW w:w="2268" w:type="dxa"/>
            <w:tcBorders>
              <w:bottom w:val="single" w:sz="4" w:space="0" w:color="auto"/>
              <w:right w:val="single" w:sz="4" w:space="0" w:color="auto"/>
            </w:tcBorders>
            <w:shd w:val="clear" w:color="auto" w:fill="D9D9D9"/>
            <w:hideMark/>
          </w:tcPr>
          <w:p w14:paraId="2A8773D3" w14:textId="77777777" w:rsidR="002A4DDF" w:rsidRPr="00937C8B" w:rsidRDefault="002A4DDF" w:rsidP="009110ED">
            <w:pPr>
              <w:rPr>
                <w:rFonts w:ascii="Arial" w:hAnsi="Arial" w:cs="Arial"/>
                <w:sz w:val="12"/>
                <w:szCs w:val="12"/>
              </w:rPr>
            </w:pPr>
          </w:p>
        </w:tc>
      </w:tr>
      <w:tr w:rsidR="002A4DDF" w:rsidRPr="00937C8B" w14:paraId="75B5C1AF" w14:textId="77777777" w:rsidTr="00935676">
        <w:trPr>
          <w:cantSplit/>
        </w:trPr>
        <w:tc>
          <w:tcPr>
            <w:tcW w:w="1696" w:type="dxa"/>
            <w:tcBorders>
              <w:top w:val="single" w:sz="4" w:space="0" w:color="auto"/>
              <w:bottom w:val="single" w:sz="4" w:space="0" w:color="auto"/>
            </w:tcBorders>
            <w:shd w:val="clear" w:color="auto" w:fill="auto"/>
            <w:hideMark/>
          </w:tcPr>
          <w:p w14:paraId="4593F3BB"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57FA1C82"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31247D52"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5FE88150" w14:textId="77777777" w:rsidR="002A4DDF" w:rsidRPr="00937C8B" w:rsidRDefault="002A4DDF" w:rsidP="009110ED">
            <w:pPr>
              <w:rPr>
                <w:rFonts w:ascii="Arial" w:hAnsi="Arial" w:cs="Arial"/>
                <w:sz w:val="12"/>
                <w:szCs w:val="12"/>
              </w:rPr>
            </w:pPr>
          </w:p>
        </w:tc>
      </w:tr>
      <w:tr w:rsidR="002A4DDF" w:rsidRPr="00937C8B" w14:paraId="44CBDD0D" w14:textId="77777777" w:rsidTr="00935676">
        <w:trPr>
          <w:cantSplit/>
        </w:trPr>
        <w:tc>
          <w:tcPr>
            <w:tcW w:w="1696" w:type="dxa"/>
            <w:tcBorders>
              <w:top w:val="single" w:sz="4" w:space="0" w:color="auto"/>
              <w:left w:val="single" w:sz="4" w:space="0" w:color="auto"/>
            </w:tcBorders>
            <w:shd w:val="clear" w:color="auto" w:fill="auto"/>
            <w:hideMark/>
          </w:tcPr>
          <w:p w14:paraId="58D45ECB" w14:textId="77777777" w:rsidR="002A4DDF" w:rsidRPr="00937C8B" w:rsidRDefault="002A4DDF" w:rsidP="009110ED">
            <w:pPr>
              <w:rPr>
                <w:rFonts w:ascii="Arial" w:hAnsi="Arial" w:cs="Arial"/>
                <w:sz w:val="12"/>
                <w:szCs w:val="12"/>
              </w:rPr>
            </w:pPr>
            <w:r>
              <w:rPr>
                <w:rFonts w:ascii="Arial" w:hAnsi="Arial"/>
                <w:sz w:val="12"/>
                <w:szCs w:val="12"/>
              </w:rPr>
              <w:t>Castille-La Manche</w:t>
            </w:r>
          </w:p>
        </w:tc>
        <w:tc>
          <w:tcPr>
            <w:tcW w:w="1843" w:type="dxa"/>
            <w:tcBorders>
              <w:top w:val="single" w:sz="4" w:space="0" w:color="auto"/>
            </w:tcBorders>
            <w:shd w:val="clear" w:color="auto" w:fill="auto"/>
            <w:hideMark/>
          </w:tcPr>
          <w:p w14:paraId="66457446" w14:textId="77777777" w:rsidR="002A4DDF" w:rsidRPr="00937C8B" w:rsidRDefault="002A4DDF" w:rsidP="009110ED">
            <w:pPr>
              <w:rPr>
                <w:rFonts w:ascii="Arial" w:hAnsi="Arial" w:cs="Arial"/>
                <w:sz w:val="12"/>
                <w:szCs w:val="12"/>
              </w:rPr>
            </w:pPr>
            <w:r>
              <w:rPr>
                <w:rFonts w:ascii="Arial" w:hAnsi="Arial"/>
                <w:sz w:val="12"/>
                <w:szCs w:val="12"/>
              </w:rPr>
              <w:t>Cuenca</w:t>
            </w:r>
          </w:p>
        </w:tc>
        <w:tc>
          <w:tcPr>
            <w:tcW w:w="2268" w:type="dxa"/>
            <w:tcBorders>
              <w:top w:val="single" w:sz="4" w:space="0" w:color="auto"/>
            </w:tcBorders>
            <w:shd w:val="clear" w:color="auto" w:fill="F2F2F2"/>
            <w:hideMark/>
          </w:tcPr>
          <w:p w14:paraId="118A9C2A" w14:textId="77777777" w:rsidR="002A4DDF" w:rsidRPr="00937C8B" w:rsidRDefault="002A4DDF" w:rsidP="009110ED">
            <w:pPr>
              <w:rPr>
                <w:rFonts w:ascii="Arial" w:hAnsi="Arial" w:cs="Arial"/>
                <w:sz w:val="12"/>
                <w:szCs w:val="12"/>
              </w:rPr>
            </w:pPr>
            <w:r>
              <w:rPr>
                <w:rFonts w:ascii="Arial" w:hAnsi="Arial"/>
                <w:sz w:val="12"/>
                <w:szCs w:val="12"/>
              </w:rPr>
              <w:t>Arguisuelas</w:t>
            </w:r>
          </w:p>
        </w:tc>
        <w:tc>
          <w:tcPr>
            <w:tcW w:w="2268" w:type="dxa"/>
            <w:tcBorders>
              <w:top w:val="single" w:sz="4" w:space="0" w:color="auto"/>
              <w:right w:val="single" w:sz="4" w:space="0" w:color="auto"/>
            </w:tcBorders>
            <w:shd w:val="clear" w:color="auto" w:fill="D9D9D9"/>
            <w:hideMark/>
          </w:tcPr>
          <w:p w14:paraId="0D95BEF8" w14:textId="77777777" w:rsidR="002A4DDF" w:rsidRPr="00937C8B" w:rsidRDefault="002A4DDF" w:rsidP="009110ED">
            <w:pPr>
              <w:rPr>
                <w:rFonts w:ascii="Arial" w:hAnsi="Arial" w:cs="Arial"/>
                <w:sz w:val="12"/>
                <w:szCs w:val="12"/>
              </w:rPr>
            </w:pPr>
          </w:p>
        </w:tc>
      </w:tr>
      <w:tr w:rsidR="002A4DDF" w:rsidRPr="00937C8B" w14:paraId="6DB81E4E" w14:textId="77777777" w:rsidTr="00935676">
        <w:trPr>
          <w:cantSplit/>
        </w:trPr>
        <w:tc>
          <w:tcPr>
            <w:tcW w:w="1696" w:type="dxa"/>
            <w:tcBorders>
              <w:left w:val="single" w:sz="4" w:space="0" w:color="auto"/>
            </w:tcBorders>
            <w:shd w:val="clear" w:color="auto" w:fill="auto"/>
          </w:tcPr>
          <w:p w14:paraId="5BEC14F6" w14:textId="77777777" w:rsidR="002A4DDF" w:rsidRPr="00937C8B" w:rsidRDefault="002A4DDF" w:rsidP="009110ED">
            <w:pPr>
              <w:rPr>
                <w:rFonts w:ascii="Arial" w:hAnsi="Arial" w:cs="Arial"/>
                <w:sz w:val="12"/>
                <w:szCs w:val="12"/>
              </w:rPr>
            </w:pPr>
          </w:p>
        </w:tc>
        <w:tc>
          <w:tcPr>
            <w:tcW w:w="1843" w:type="dxa"/>
            <w:shd w:val="clear" w:color="auto" w:fill="auto"/>
          </w:tcPr>
          <w:p w14:paraId="0AED0806" w14:textId="77777777" w:rsidR="002A4DDF" w:rsidRPr="00937C8B" w:rsidRDefault="002A4DDF" w:rsidP="009110ED">
            <w:pPr>
              <w:rPr>
                <w:rFonts w:ascii="Arial" w:hAnsi="Arial" w:cs="Arial"/>
                <w:sz w:val="12"/>
                <w:szCs w:val="12"/>
              </w:rPr>
            </w:pPr>
          </w:p>
        </w:tc>
        <w:tc>
          <w:tcPr>
            <w:tcW w:w="2268" w:type="dxa"/>
            <w:shd w:val="clear" w:color="auto" w:fill="F2F2F2"/>
            <w:hideMark/>
          </w:tcPr>
          <w:p w14:paraId="42597BD0" w14:textId="77777777" w:rsidR="002A4DDF" w:rsidRPr="00937C8B" w:rsidRDefault="002A4DDF" w:rsidP="009110ED">
            <w:pPr>
              <w:rPr>
                <w:rFonts w:ascii="Arial" w:hAnsi="Arial" w:cs="Arial"/>
                <w:sz w:val="12"/>
                <w:szCs w:val="12"/>
              </w:rPr>
            </w:pPr>
            <w:r>
              <w:rPr>
                <w:rFonts w:ascii="Arial" w:hAnsi="Arial"/>
                <w:sz w:val="12"/>
                <w:szCs w:val="12"/>
              </w:rPr>
              <w:t>Beamud</w:t>
            </w:r>
          </w:p>
        </w:tc>
        <w:tc>
          <w:tcPr>
            <w:tcW w:w="2268" w:type="dxa"/>
            <w:tcBorders>
              <w:right w:val="single" w:sz="4" w:space="0" w:color="auto"/>
            </w:tcBorders>
            <w:shd w:val="clear" w:color="auto" w:fill="D9D9D9"/>
            <w:hideMark/>
          </w:tcPr>
          <w:p w14:paraId="7DEFA5C9" w14:textId="77777777" w:rsidR="002A4DDF" w:rsidRPr="00937C8B" w:rsidRDefault="002A4DDF" w:rsidP="009110ED">
            <w:pPr>
              <w:rPr>
                <w:rFonts w:ascii="Arial" w:hAnsi="Arial" w:cs="Arial"/>
                <w:sz w:val="12"/>
                <w:szCs w:val="12"/>
              </w:rPr>
            </w:pPr>
          </w:p>
        </w:tc>
      </w:tr>
      <w:tr w:rsidR="002A4DDF" w:rsidRPr="00937C8B" w14:paraId="51711FC2" w14:textId="77777777" w:rsidTr="00935676">
        <w:trPr>
          <w:cantSplit/>
        </w:trPr>
        <w:tc>
          <w:tcPr>
            <w:tcW w:w="1696" w:type="dxa"/>
            <w:tcBorders>
              <w:left w:val="single" w:sz="4" w:space="0" w:color="auto"/>
            </w:tcBorders>
            <w:shd w:val="clear" w:color="auto" w:fill="auto"/>
          </w:tcPr>
          <w:p w14:paraId="4B6F9424" w14:textId="77777777" w:rsidR="002A4DDF" w:rsidRPr="00937C8B" w:rsidRDefault="002A4DDF" w:rsidP="009110ED">
            <w:pPr>
              <w:rPr>
                <w:rFonts w:ascii="Arial" w:hAnsi="Arial" w:cs="Arial"/>
                <w:sz w:val="12"/>
                <w:szCs w:val="12"/>
              </w:rPr>
            </w:pPr>
          </w:p>
        </w:tc>
        <w:tc>
          <w:tcPr>
            <w:tcW w:w="1843" w:type="dxa"/>
            <w:shd w:val="clear" w:color="auto" w:fill="auto"/>
          </w:tcPr>
          <w:p w14:paraId="12930205" w14:textId="77777777" w:rsidR="002A4DDF" w:rsidRPr="00937C8B" w:rsidRDefault="002A4DDF" w:rsidP="009110ED">
            <w:pPr>
              <w:rPr>
                <w:rFonts w:ascii="Arial" w:hAnsi="Arial" w:cs="Arial"/>
                <w:sz w:val="12"/>
                <w:szCs w:val="12"/>
              </w:rPr>
            </w:pPr>
          </w:p>
        </w:tc>
        <w:tc>
          <w:tcPr>
            <w:tcW w:w="2268" w:type="dxa"/>
            <w:shd w:val="clear" w:color="auto" w:fill="F2F2F2"/>
            <w:hideMark/>
          </w:tcPr>
          <w:p w14:paraId="2CC14499" w14:textId="77777777" w:rsidR="002A4DDF" w:rsidRPr="00937C8B" w:rsidRDefault="002A4DDF" w:rsidP="009110ED">
            <w:pPr>
              <w:rPr>
                <w:rFonts w:ascii="Arial" w:hAnsi="Arial" w:cs="Arial"/>
                <w:sz w:val="12"/>
                <w:szCs w:val="12"/>
              </w:rPr>
            </w:pPr>
            <w:r>
              <w:rPr>
                <w:rFonts w:ascii="Arial" w:hAnsi="Arial"/>
                <w:sz w:val="12"/>
                <w:szCs w:val="12"/>
              </w:rPr>
              <w:t>Campillos-Sierra</w:t>
            </w:r>
          </w:p>
        </w:tc>
        <w:tc>
          <w:tcPr>
            <w:tcW w:w="2268" w:type="dxa"/>
            <w:tcBorders>
              <w:right w:val="single" w:sz="4" w:space="0" w:color="auto"/>
            </w:tcBorders>
            <w:shd w:val="clear" w:color="auto" w:fill="D9D9D9"/>
            <w:hideMark/>
          </w:tcPr>
          <w:p w14:paraId="0D715FB3" w14:textId="77777777" w:rsidR="002A4DDF" w:rsidRPr="00937C8B" w:rsidRDefault="002A4DDF" w:rsidP="009110ED">
            <w:pPr>
              <w:rPr>
                <w:rFonts w:ascii="Arial" w:hAnsi="Arial" w:cs="Arial"/>
                <w:sz w:val="12"/>
                <w:szCs w:val="12"/>
              </w:rPr>
            </w:pPr>
          </w:p>
        </w:tc>
      </w:tr>
      <w:tr w:rsidR="002A4DDF" w:rsidRPr="00937C8B" w14:paraId="57DAF093" w14:textId="77777777" w:rsidTr="00935676">
        <w:trPr>
          <w:cantSplit/>
        </w:trPr>
        <w:tc>
          <w:tcPr>
            <w:tcW w:w="1696" w:type="dxa"/>
            <w:tcBorders>
              <w:left w:val="single" w:sz="4" w:space="0" w:color="auto"/>
            </w:tcBorders>
            <w:shd w:val="clear" w:color="auto" w:fill="auto"/>
          </w:tcPr>
          <w:p w14:paraId="7BDC251F" w14:textId="77777777" w:rsidR="002A4DDF" w:rsidRPr="00937C8B" w:rsidRDefault="002A4DDF" w:rsidP="009110ED">
            <w:pPr>
              <w:rPr>
                <w:rFonts w:ascii="Arial" w:hAnsi="Arial" w:cs="Arial"/>
                <w:sz w:val="12"/>
                <w:szCs w:val="12"/>
              </w:rPr>
            </w:pPr>
          </w:p>
        </w:tc>
        <w:tc>
          <w:tcPr>
            <w:tcW w:w="1843" w:type="dxa"/>
            <w:shd w:val="clear" w:color="auto" w:fill="auto"/>
          </w:tcPr>
          <w:p w14:paraId="478919B0" w14:textId="77777777" w:rsidR="002A4DDF" w:rsidRPr="00937C8B" w:rsidRDefault="002A4DDF" w:rsidP="009110ED">
            <w:pPr>
              <w:rPr>
                <w:rFonts w:ascii="Arial" w:hAnsi="Arial" w:cs="Arial"/>
                <w:sz w:val="12"/>
                <w:szCs w:val="12"/>
              </w:rPr>
            </w:pPr>
          </w:p>
        </w:tc>
        <w:tc>
          <w:tcPr>
            <w:tcW w:w="2268" w:type="dxa"/>
            <w:shd w:val="clear" w:color="auto" w:fill="F2F2F2"/>
            <w:hideMark/>
          </w:tcPr>
          <w:p w14:paraId="71AB3F7D" w14:textId="77777777" w:rsidR="002A4DDF" w:rsidRPr="00937C8B" w:rsidRDefault="002A4DDF" w:rsidP="009110ED">
            <w:pPr>
              <w:rPr>
                <w:rFonts w:ascii="Arial" w:hAnsi="Arial" w:cs="Arial"/>
                <w:sz w:val="12"/>
                <w:szCs w:val="12"/>
              </w:rPr>
            </w:pPr>
            <w:r>
              <w:rPr>
                <w:rFonts w:ascii="Arial" w:hAnsi="Arial"/>
                <w:sz w:val="12"/>
                <w:szCs w:val="12"/>
              </w:rPr>
              <w:t>Carboneras de Guadazaón</w:t>
            </w:r>
          </w:p>
        </w:tc>
        <w:tc>
          <w:tcPr>
            <w:tcW w:w="2268" w:type="dxa"/>
            <w:tcBorders>
              <w:right w:val="single" w:sz="4" w:space="0" w:color="auto"/>
            </w:tcBorders>
            <w:shd w:val="clear" w:color="auto" w:fill="D9D9D9"/>
            <w:hideMark/>
          </w:tcPr>
          <w:p w14:paraId="51AF9459" w14:textId="77777777" w:rsidR="002A4DDF" w:rsidRPr="00937C8B" w:rsidRDefault="002A4DDF" w:rsidP="009110ED">
            <w:pPr>
              <w:rPr>
                <w:rFonts w:ascii="Arial" w:hAnsi="Arial" w:cs="Arial"/>
                <w:sz w:val="12"/>
                <w:szCs w:val="12"/>
              </w:rPr>
            </w:pPr>
          </w:p>
        </w:tc>
      </w:tr>
      <w:tr w:rsidR="002A4DDF" w:rsidRPr="00937C8B" w14:paraId="0D1BC63C" w14:textId="77777777" w:rsidTr="00935676">
        <w:trPr>
          <w:cantSplit/>
        </w:trPr>
        <w:tc>
          <w:tcPr>
            <w:tcW w:w="1696" w:type="dxa"/>
            <w:tcBorders>
              <w:left w:val="single" w:sz="4" w:space="0" w:color="auto"/>
            </w:tcBorders>
            <w:shd w:val="clear" w:color="auto" w:fill="auto"/>
          </w:tcPr>
          <w:p w14:paraId="054C13DE" w14:textId="77777777" w:rsidR="002A4DDF" w:rsidRPr="00937C8B" w:rsidRDefault="002A4DDF" w:rsidP="009110ED">
            <w:pPr>
              <w:rPr>
                <w:rFonts w:ascii="Arial" w:hAnsi="Arial" w:cs="Arial"/>
                <w:sz w:val="12"/>
                <w:szCs w:val="12"/>
              </w:rPr>
            </w:pPr>
          </w:p>
        </w:tc>
        <w:tc>
          <w:tcPr>
            <w:tcW w:w="1843" w:type="dxa"/>
            <w:shd w:val="clear" w:color="auto" w:fill="auto"/>
          </w:tcPr>
          <w:p w14:paraId="52A2E4AB" w14:textId="77777777" w:rsidR="002A4DDF" w:rsidRPr="00937C8B" w:rsidRDefault="002A4DDF" w:rsidP="009110ED">
            <w:pPr>
              <w:rPr>
                <w:rFonts w:ascii="Arial" w:hAnsi="Arial" w:cs="Arial"/>
                <w:sz w:val="12"/>
                <w:szCs w:val="12"/>
              </w:rPr>
            </w:pPr>
          </w:p>
        </w:tc>
        <w:tc>
          <w:tcPr>
            <w:tcW w:w="2268" w:type="dxa"/>
            <w:shd w:val="clear" w:color="auto" w:fill="F2F2F2"/>
            <w:hideMark/>
          </w:tcPr>
          <w:p w14:paraId="4E2B56BA" w14:textId="77777777" w:rsidR="002A4DDF" w:rsidRPr="00937C8B" w:rsidRDefault="002A4DDF" w:rsidP="009110ED">
            <w:pPr>
              <w:rPr>
                <w:rFonts w:ascii="Arial" w:hAnsi="Arial" w:cs="Arial"/>
                <w:sz w:val="12"/>
                <w:szCs w:val="12"/>
              </w:rPr>
            </w:pPr>
            <w:r>
              <w:rPr>
                <w:rFonts w:ascii="Arial" w:hAnsi="Arial"/>
                <w:sz w:val="12"/>
                <w:szCs w:val="12"/>
              </w:rPr>
              <w:t>Cardenete</w:t>
            </w:r>
          </w:p>
        </w:tc>
        <w:tc>
          <w:tcPr>
            <w:tcW w:w="2268" w:type="dxa"/>
            <w:tcBorders>
              <w:right w:val="single" w:sz="4" w:space="0" w:color="auto"/>
            </w:tcBorders>
            <w:shd w:val="clear" w:color="auto" w:fill="D9D9D9"/>
            <w:hideMark/>
          </w:tcPr>
          <w:p w14:paraId="6FAAF8E8" w14:textId="77777777" w:rsidR="002A4DDF" w:rsidRPr="00937C8B" w:rsidRDefault="002A4DDF" w:rsidP="009110ED">
            <w:pPr>
              <w:rPr>
                <w:rFonts w:ascii="Arial" w:hAnsi="Arial" w:cs="Arial"/>
                <w:sz w:val="12"/>
                <w:szCs w:val="12"/>
              </w:rPr>
            </w:pPr>
          </w:p>
        </w:tc>
      </w:tr>
      <w:tr w:rsidR="002A4DDF" w:rsidRPr="00937C8B" w14:paraId="39850742" w14:textId="77777777" w:rsidTr="00935676">
        <w:trPr>
          <w:cantSplit/>
        </w:trPr>
        <w:tc>
          <w:tcPr>
            <w:tcW w:w="1696" w:type="dxa"/>
            <w:tcBorders>
              <w:left w:val="single" w:sz="4" w:space="0" w:color="auto"/>
            </w:tcBorders>
            <w:shd w:val="clear" w:color="auto" w:fill="auto"/>
          </w:tcPr>
          <w:p w14:paraId="7D909946" w14:textId="77777777" w:rsidR="002A4DDF" w:rsidRPr="00937C8B" w:rsidRDefault="002A4DDF" w:rsidP="009110ED">
            <w:pPr>
              <w:rPr>
                <w:rFonts w:ascii="Arial" w:hAnsi="Arial" w:cs="Arial"/>
                <w:sz w:val="12"/>
                <w:szCs w:val="12"/>
              </w:rPr>
            </w:pPr>
          </w:p>
        </w:tc>
        <w:tc>
          <w:tcPr>
            <w:tcW w:w="1843" w:type="dxa"/>
            <w:shd w:val="clear" w:color="auto" w:fill="auto"/>
          </w:tcPr>
          <w:p w14:paraId="2F551C73" w14:textId="77777777" w:rsidR="002A4DDF" w:rsidRPr="00937C8B" w:rsidRDefault="002A4DDF" w:rsidP="009110ED">
            <w:pPr>
              <w:rPr>
                <w:rFonts w:ascii="Arial" w:hAnsi="Arial" w:cs="Arial"/>
                <w:sz w:val="12"/>
                <w:szCs w:val="12"/>
              </w:rPr>
            </w:pPr>
          </w:p>
        </w:tc>
        <w:tc>
          <w:tcPr>
            <w:tcW w:w="2268" w:type="dxa"/>
            <w:shd w:val="clear" w:color="auto" w:fill="F2F2F2"/>
            <w:hideMark/>
          </w:tcPr>
          <w:p w14:paraId="6F3131BB" w14:textId="77777777" w:rsidR="002A4DDF" w:rsidRPr="00937C8B" w:rsidRDefault="002A4DDF" w:rsidP="009110ED">
            <w:pPr>
              <w:rPr>
                <w:rFonts w:ascii="Arial" w:hAnsi="Arial" w:cs="Arial"/>
                <w:sz w:val="12"/>
                <w:szCs w:val="12"/>
              </w:rPr>
            </w:pPr>
            <w:r>
              <w:rPr>
                <w:rFonts w:ascii="Arial" w:hAnsi="Arial"/>
                <w:sz w:val="12"/>
                <w:szCs w:val="12"/>
              </w:rPr>
              <w:t>Casas de los Pinos</w:t>
            </w:r>
          </w:p>
        </w:tc>
        <w:tc>
          <w:tcPr>
            <w:tcW w:w="2268" w:type="dxa"/>
            <w:tcBorders>
              <w:right w:val="single" w:sz="4" w:space="0" w:color="auto"/>
            </w:tcBorders>
            <w:shd w:val="clear" w:color="auto" w:fill="D9D9D9"/>
            <w:hideMark/>
          </w:tcPr>
          <w:p w14:paraId="4D4DB77D" w14:textId="77777777" w:rsidR="002A4DDF" w:rsidRPr="00937C8B" w:rsidRDefault="002A4DDF" w:rsidP="009110ED">
            <w:pPr>
              <w:rPr>
                <w:rFonts w:ascii="Arial" w:hAnsi="Arial" w:cs="Arial"/>
                <w:sz w:val="12"/>
                <w:szCs w:val="12"/>
              </w:rPr>
            </w:pPr>
          </w:p>
        </w:tc>
      </w:tr>
      <w:tr w:rsidR="002A4DDF" w:rsidRPr="00937C8B" w14:paraId="310BA37C" w14:textId="77777777" w:rsidTr="00935676">
        <w:trPr>
          <w:cantSplit/>
        </w:trPr>
        <w:tc>
          <w:tcPr>
            <w:tcW w:w="1696" w:type="dxa"/>
            <w:tcBorders>
              <w:left w:val="single" w:sz="4" w:space="0" w:color="auto"/>
            </w:tcBorders>
            <w:shd w:val="clear" w:color="auto" w:fill="auto"/>
          </w:tcPr>
          <w:p w14:paraId="3F744871" w14:textId="77777777" w:rsidR="002A4DDF" w:rsidRPr="00937C8B" w:rsidRDefault="002A4DDF" w:rsidP="009110ED">
            <w:pPr>
              <w:rPr>
                <w:rFonts w:ascii="Arial" w:hAnsi="Arial" w:cs="Arial"/>
                <w:sz w:val="12"/>
                <w:szCs w:val="12"/>
              </w:rPr>
            </w:pPr>
          </w:p>
        </w:tc>
        <w:tc>
          <w:tcPr>
            <w:tcW w:w="1843" w:type="dxa"/>
            <w:shd w:val="clear" w:color="auto" w:fill="auto"/>
          </w:tcPr>
          <w:p w14:paraId="6B0BEC3E" w14:textId="77777777" w:rsidR="002A4DDF" w:rsidRPr="00937C8B" w:rsidRDefault="002A4DDF" w:rsidP="009110ED">
            <w:pPr>
              <w:rPr>
                <w:rFonts w:ascii="Arial" w:hAnsi="Arial" w:cs="Arial"/>
                <w:sz w:val="12"/>
                <w:szCs w:val="12"/>
              </w:rPr>
            </w:pPr>
          </w:p>
        </w:tc>
        <w:tc>
          <w:tcPr>
            <w:tcW w:w="2268" w:type="dxa"/>
            <w:shd w:val="clear" w:color="auto" w:fill="F2F2F2"/>
            <w:hideMark/>
          </w:tcPr>
          <w:p w14:paraId="4372F485" w14:textId="77777777" w:rsidR="002A4DDF" w:rsidRPr="00937C8B" w:rsidRDefault="002A4DDF" w:rsidP="009110ED">
            <w:pPr>
              <w:rPr>
                <w:rFonts w:ascii="Arial" w:hAnsi="Arial" w:cs="Arial"/>
                <w:sz w:val="12"/>
                <w:szCs w:val="12"/>
              </w:rPr>
            </w:pPr>
            <w:r>
              <w:rPr>
                <w:rFonts w:ascii="Arial" w:hAnsi="Arial"/>
                <w:sz w:val="12"/>
                <w:szCs w:val="12"/>
              </w:rPr>
              <w:t>Fuentes</w:t>
            </w:r>
          </w:p>
        </w:tc>
        <w:tc>
          <w:tcPr>
            <w:tcW w:w="2268" w:type="dxa"/>
            <w:tcBorders>
              <w:right w:val="single" w:sz="4" w:space="0" w:color="auto"/>
            </w:tcBorders>
            <w:shd w:val="clear" w:color="auto" w:fill="D9D9D9"/>
            <w:hideMark/>
          </w:tcPr>
          <w:p w14:paraId="2C1B5EAB" w14:textId="77777777" w:rsidR="002A4DDF" w:rsidRPr="00937C8B" w:rsidRDefault="002A4DDF" w:rsidP="009110ED">
            <w:pPr>
              <w:rPr>
                <w:rFonts w:ascii="Arial" w:hAnsi="Arial" w:cs="Arial"/>
                <w:sz w:val="12"/>
                <w:szCs w:val="12"/>
              </w:rPr>
            </w:pPr>
          </w:p>
        </w:tc>
      </w:tr>
      <w:tr w:rsidR="002A4DDF" w:rsidRPr="00937C8B" w14:paraId="4891FC59" w14:textId="77777777" w:rsidTr="00935676">
        <w:trPr>
          <w:cantSplit/>
        </w:trPr>
        <w:tc>
          <w:tcPr>
            <w:tcW w:w="1696" w:type="dxa"/>
            <w:tcBorders>
              <w:left w:val="single" w:sz="4" w:space="0" w:color="auto"/>
            </w:tcBorders>
            <w:shd w:val="clear" w:color="auto" w:fill="auto"/>
          </w:tcPr>
          <w:p w14:paraId="268B8BF6" w14:textId="77777777" w:rsidR="002A4DDF" w:rsidRPr="00937C8B" w:rsidRDefault="002A4DDF" w:rsidP="009110ED">
            <w:pPr>
              <w:rPr>
                <w:rFonts w:ascii="Arial" w:hAnsi="Arial" w:cs="Arial"/>
                <w:sz w:val="12"/>
                <w:szCs w:val="12"/>
              </w:rPr>
            </w:pPr>
          </w:p>
        </w:tc>
        <w:tc>
          <w:tcPr>
            <w:tcW w:w="1843" w:type="dxa"/>
            <w:shd w:val="clear" w:color="auto" w:fill="auto"/>
          </w:tcPr>
          <w:p w14:paraId="528533E2" w14:textId="77777777" w:rsidR="002A4DDF" w:rsidRPr="00937C8B" w:rsidRDefault="002A4DDF" w:rsidP="009110ED">
            <w:pPr>
              <w:rPr>
                <w:rFonts w:ascii="Arial" w:hAnsi="Arial" w:cs="Arial"/>
                <w:sz w:val="12"/>
                <w:szCs w:val="12"/>
              </w:rPr>
            </w:pPr>
          </w:p>
        </w:tc>
        <w:tc>
          <w:tcPr>
            <w:tcW w:w="2268" w:type="dxa"/>
            <w:shd w:val="clear" w:color="auto" w:fill="F2F2F2"/>
            <w:hideMark/>
          </w:tcPr>
          <w:p w14:paraId="5B2444EF" w14:textId="77777777" w:rsidR="002A4DDF" w:rsidRPr="00937C8B" w:rsidRDefault="002A4DDF" w:rsidP="009110ED">
            <w:pPr>
              <w:rPr>
                <w:rFonts w:ascii="Arial" w:hAnsi="Arial" w:cs="Arial"/>
                <w:sz w:val="12"/>
                <w:szCs w:val="12"/>
              </w:rPr>
            </w:pPr>
            <w:r>
              <w:rPr>
                <w:rFonts w:ascii="Arial" w:hAnsi="Arial"/>
                <w:sz w:val="12"/>
                <w:szCs w:val="12"/>
              </w:rPr>
              <w:t>Graja de Campalbo</w:t>
            </w:r>
          </w:p>
        </w:tc>
        <w:tc>
          <w:tcPr>
            <w:tcW w:w="2268" w:type="dxa"/>
            <w:tcBorders>
              <w:right w:val="single" w:sz="4" w:space="0" w:color="auto"/>
            </w:tcBorders>
            <w:shd w:val="clear" w:color="auto" w:fill="D9D9D9"/>
            <w:hideMark/>
          </w:tcPr>
          <w:p w14:paraId="19756AE1" w14:textId="77777777" w:rsidR="002A4DDF" w:rsidRPr="00937C8B" w:rsidRDefault="002A4DDF" w:rsidP="009110ED">
            <w:pPr>
              <w:rPr>
                <w:rFonts w:ascii="Arial" w:hAnsi="Arial" w:cs="Arial"/>
                <w:sz w:val="12"/>
                <w:szCs w:val="12"/>
              </w:rPr>
            </w:pPr>
          </w:p>
        </w:tc>
      </w:tr>
      <w:tr w:rsidR="002A4DDF" w:rsidRPr="00937C8B" w14:paraId="09BBC01A" w14:textId="77777777" w:rsidTr="00935676">
        <w:trPr>
          <w:cantSplit/>
        </w:trPr>
        <w:tc>
          <w:tcPr>
            <w:tcW w:w="1696" w:type="dxa"/>
            <w:tcBorders>
              <w:left w:val="single" w:sz="4" w:space="0" w:color="auto"/>
            </w:tcBorders>
            <w:shd w:val="clear" w:color="auto" w:fill="auto"/>
          </w:tcPr>
          <w:p w14:paraId="238ACE88" w14:textId="77777777" w:rsidR="002A4DDF" w:rsidRPr="00937C8B" w:rsidRDefault="002A4DDF" w:rsidP="009110ED">
            <w:pPr>
              <w:rPr>
                <w:rFonts w:ascii="Arial" w:hAnsi="Arial" w:cs="Arial"/>
                <w:sz w:val="12"/>
                <w:szCs w:val="12"/>
              </w:rPr>
            </w:pPr>
          </w:p>
        </w:tc>
        <w:tc>
          <w:tcPr>
            <w:tcW w:w="1843" w:type="dxa"/>
            <w:shd w:val="clear" w:color="auto" w:fill="auto"/>
          </w:tcPr>
          <w:p w14:paraId="1F21F5F9" w14:textId="77777777" w:rsidR="002A4DDF" w:rsidRPr="00937C8B" w:rsidRDefault="002A4DDF" w:rsidP="009110ED">
            <w:pPr>
              <w:rPr>
                <w:rFonts w:ascii="Arial" w:hAnsi="Arial" w:cs="Arial"/>
                <w:sz w:val="12"/>
                <w:szCs w:val="12"/>
              </w:rPr>
            </w:pPr>
          </w:p>
        </w:tc>
        <w:tc>
          <w:tcPr>
            <w:tcW w:w="2268" w:type="dxa"/>
            <w:shd w:val="clear" w:color="auto" w:fill="F2F2F2"/>
            <w:hideMark/>
          </w:tcPr>
          <w:p w14:paraId="74E61EA1" w14:textId="77777777" w:rsidR="002A4DDF" w:rsidRPr="00937C8B" w:rsidRDefault="002A4DDF" w:rsidP="009110ED">
            <w:pPr>
              <w:rPr>
                <w:rFonts w:ascii="Arial" w:hAnsi="Arial" w:cs="Arial"/>
                <w:sz w:val="12"/>
                <w:szCs w:val="12"/>
              </w:rPr>
            </w:pPr>
            <w:r>
              <w:rPr>
                <w:rFonts w:ascii="Arial" w:hAnsi="Arial"/>
                <w:sz w:val="12"/>
                <w:szCs w:val="12"/>
              </w:rPr>
              <w:t>Henarejos</w:t>
            </w:r>
          </w:p>
        </w:tc>
        <w:tc>
          <w:tcPr>
            <w:tcW w:w="2268" w:type="dxa"/>
            <w:tcBorders>
              <w:right w:val="single" w:sz="4" w:space="0" w:color="auto"/>
            </w:tcBorders>
            <w:shd w:val="clear" w:color="auto" w:fill="D9D9D9"/>
            <w:hideMark/>
          </w:tcPr>
          <w:p w14:paraId="3B320A23" w14:textId="77777777" w:rsidR="002A4DDF" w:rsidRPr="00937C8B" w:rsidRDefault="002A4DDF" w:rsidP="009110ED">
            <w:pPr>
              <w:rPr>
                <w:rFonts w:ascii="Arial" w:hAnsi="Arial" w:cs="Arial"/>
                <w:sz w:val="12"/>
                <w:szCs w:val="12"/>
              </w:rPr>
            </w:pPr>
          </w:p>
        </w:tc>
      </w:tr>
      <w:tr w:rsidR="002A4DDF" w:rsidRPr="00937C8B" w14:paraId="08ADC1D8" w14:textId="77777777" w:rsidTr="00935676">
        <w:trPr>
          <w:cantSplit/>
        </w:trPr>
        <w:tc>
          <w:tcPr>
            <w:tcW w:w="1696" w:type="dxa"/>
            <w:tcBorders>
              <w:left w:val="single" w:sz="4" w:space="0" w:color="auto"/>
            </w:tcBorders>
            <w:shd w:val="clear" w:color="auto" w:fill="auto"/>
          </w:tcPr>
          <w:p w14:paraId="02C561B1" w14:textId="77777777" w:rsidR="002A4DDF" w:rsidRPr="00937C8B" w:rsidRDefault="002A4DDF" w:rsidP="009110ED">
            <w:pPr>
              <w:rPr>
                <w:rFonts w:ascii="Arial" w:hAnsi="Arial" w:cs="Arial"/>
                <w:sz w:val="12"/>
                <w:szCs w:val="12"/>
              </w:rPr>
            </w:pPr>
          </w:p>
        </w:tc>
        <w:tc>
          <w:tcPr>
            <w:tcW w:w="1843" w:type="dxa"/>
            <w:shd w:val="clear" w:color="auto" w:fill="auto"/>
          </w:tcPr>
          <w:p w14:paraId="69417846" w14:textId="77777777" w:rsidR="002A4DDF" w:rsidRPr="00937C8B" w:rsidRDefault="002A4DDF" w:rsidP="009110ED">
            <w:pPr>
              <w:rPr>
                <w:rFonts w:ascii="Arial" w:hAnsi="Arial" w:cs="Arial"/>
                <w:sz w:val="12"/>
                <w:szCs w:val="12"/>
              </w:rPr>
            </w:pPr>
          </w:p>
        </w:tc>
        <w:tc>
          <w:tcPr>
            <w:tcW w:w="2268" w:type="dxa"/>
            <w:shd w:val="clear" w:color="auto" w:fill="F2F2F2"/>
            <w:hideMark/>
          </w:tcPr>
          <w:p w14:paraId="0FAFFF62" w14:textId="77777777" w:rsidR="002A4DDF" w:rsidRPr="00937C8B" w:rsidRDefault="002A4DDF" w:rsidP="009110ED">
            <w:pPr>
              <w:rPr>
                <w:rFonts w:ascii="Arial" w:hAnsi="Arial" w:cs="Arial"/>
                <w:sz w:val="12"/>
                <w:szCs w:val="12"/>
              </w:rPr>
            </w:pPr>
            <w:r>
              <w:rPr>
                <w:rFonts w:ascii="Arial" w:hAnsi="Arial"/>
                <w:sz w:val="12"/>
                <w:szCs w:val="12"/>
              </w:rPr>
              <w:t>Huerta del Marquesado</w:t>
            </w:r>
          </w:p>
        </w:tc>
        <w:tc>
          <w:tcPr>
            <w:tcW w:w="2268" w:type="dxa"/>
            <w:tcBorders>
              <w:right w:val="single" w:sz="4" w:space="0" w:color="auto"/>
            </w:tcBorders>
            <w:shd w:val="clear" w:color="auto" w:fill="D9D9D9"/>
            <w:hideMark/>
          </w:tcPr>
          <w:p w14:paraId="6DE516EF" w14:textId="77777777" w:rsidR="002A4DDF" w:rsidRPr="00937C8B" w:rsidRDefault="002A4DDF" w:rsidP="009110ED">
            <w:pPr>
              <w:rPr>
                <w:rFonts w:ascii="Arial" w:hAnsi="Arial" w:cs="Arial"/>
                <w:sz w:val="12"/>
                <w:szCs w:val="12"/>
              </w:rPr>
            </w:pPr>
          </w:p>
        </w:tc>
      </w:tr>
      <w:tr w:rsidR="002A4DDF" w:rsidRPr="00937C8B" w14:paraId="48629A52" w14:textId="77777777" w:rsidTr="00935676">
        <w:trPr>
          <w:cantSplit/>
        </w:trPr>
        <w:tc>
          <w:tcPr>
            <w:tcW w:w="1696" w:type="dxa"/>
            <w:tcBorders>
              <w:left w:val="single" w:sz="4" w:space="0" w:color="auto"/>
            </w:tcBorders>
            <w:shd w:val="clear" w:color="auto" w:fill="auto"/>
          </w:tcPr>
          <w:p w14:paraId="0CF2280E" w14:textId="77777777" w:rsidR="002A4DDF" w:rsidRPr="00937C8B" w:rsidRDefault="002A4DDF" w:rsidP="009110ED">
            <w:pPr>
              <w:rPr>
                <w:rFonts w:ascii="Arial" w:hAnsi="Arial" w:cs="Arial"/>
                <w:sz w:val="12"/>
                <w:szCs w:val="12"/>
              </w:rPr>
            </w:pPr>
          </w:p>
        </w:tc>
        <w:tc>
          <w:tcPr>
            <w:tcW w:w="1843" w:type="dxa"/>
            <w:shd w:val="clear" w:color="auto" w:fill="auto"/>
          </w:tcPr>
          <w:p w14:paraId="40F7577C" w14:textId="77777777" w:rsidR="002A4DDF" w:rsidRPr="00937C8B" w:rsidRDefault="002A4DDF" w:rsidP="009110ED">
            <w:pPr>
              <w:rPr>
                <w:rFonts w:ascii="Arial" w:hAnsi="Arial" w:cs="Arial"/>
                <w:sz w:val="12"/>
                <w:szCs w:val="12"/>
              </w:rPr>
            </w:pPr>
          </w:p>
        </w:tc>
        <w:tc>
          <w:tcPr>
            <w:tcW w:w="2268" w:type="dxa"/>
            <w:shd w:val="clear" w:color="auto" w:fill="F2F2F2"/>
            <w:hideMark/>
          </w:tcPr>
          <w:p w14:paraId="6BE404F0" w14:textId="77777777" w:rsidR="002A4DDF" w:rsidRPr="00937C8B" w:rsidRDefault="002A4DDF" w:rsidP="009110ED">
            <w:pPr>
              <w:rPr>
                <w:rFonts w:ascii="Arial" w:hAnsi="Arial" w:cs="Arial"/>
                <w:sz w:val="12"/>
                <w:szCs w:val="12"/>
              </w:rPr>
            </w:pPr>
            <w:r>
              <w:rPr>
                <w:rFonts w:ascii="Arial" w:hAnsi="Arial"/>
                <w:sz w:val="12"/>
                <w:szCs w:val="12"/>
              </w:rPr>
              <w:t>Laguna del Marquesado</w:t>
            </w:r>
          </w:p>
        </w:tc>
        <w:tc>
          <w:tcPr>
            <w:tcW w:w="2268" w:type="dxa"/>
            <w:tcBorders>
              <w:right w:val="single" w:sz="4" w:space="0" w:color="auto"/>
            </w:tcBorders>
            <w:shd w:val="clear" w:color="auto" w:fill="D9D9D9"/>
            <w:hideMark/>
          </w:tcPr>
          <w:p w14:paraId="259E63AD" w14:textId="77777777" w:rsidR="002A4DDF" w:rsidRPr="00937C8B" w:rsidRDefault="002A4DDF" w:rsidP="009110ED">
            <w:pPr>
              <w:rPr>
                <w:rFonts w:ascii="Arial" w:hAnsi="Arial" w:cs="Arial"/>
                <w:sz w:val="12"/>
                <w:szCs w:val="12"/>
              </w:rPr>
            </w:pPr>
          </w:p>
        </w:tc>
      </w:tr>
      <w:tr w:rsidR="002A4DDF" w:rsidRPr="00937C8B" w14:paraId="0527751B" w14:textId="77777777" w:rsidTr="00935676">
        <w:trPr>
          <w:cantSplit/>
        </w:trPr>
        <w:tc>
          <w:tcPr>
            <w:tcW w:w="1696" w:type="dxa"/>
            <w:tcBorders>
              <w:left w:val="single" w:sz="4" w:space="0" w:color="auto"/>
            </w:tcBorders>
            <w:shd w:val="clear" w:color="auto" w:fill="auto"/>
          </w:tcPr>
          <w:p w14:paraId="09C717A8" w14:textId="77777777" w:rsidR="002A4DDF" w:rsidRPr="00937C8B" w:rsidRDefault="002A4DDF" w:rsidP="009110ED">
            <w:pPr>
              <w:rPr>
                <w:rFonts w:ascii="Arial" w:hAnsi="Arial" w:cs="Arial"/>
                <w:sz w:val="12"/>
                <w:szCs w:val="12"/>
              </w:rPr>
            </w:pPr>
          </w:p>
        </w:tc>
        <w:tc>
          <w:tcPr>
            <w:tcW w:w="1843" w:type="dxa"/>
            <w:shd w:val="clear" w:color="auto" w:fill="auto"/>
          </w:tcPr>
          <w:p w14:paraId="35E32FAB" w14:textId="77777777" w:rsidR="002A4DDF" w:rsidRPr="00937C8B" w:rsidRDefault="002A4DDF" w:rsidP="009110ED">
            <w:pPr>
              <w:rPr>
                <w:rFonts w:ascii="Arial" w:hAnsi="Arial" w:cs="Arial"/>
                <w:sz w:val="12"/>
                <w:szCs w:val="12"/>
              </w:rPr>
            </w:pPr>
          </w:p>
        </w:tc>
        <w:tc>
          <w:tcPr>
            <w:tcW w:w="2268" w:type="dxa"/>
            <w:shd w:val="clear" w:color="auto" w:fill="F2F2F2"/>
            <w:hideMark/>
          </w:tcPr>
          <w:p w14:paraId="67A89054" w14:textId="77777777" w:rsidR="002A4DDF" w:rsidRPr="00937C8B" w:rsidRDefault="002A4DDF" w:rsidP="009110ED">
            <w:pPr>
              <w:rPr>
                <w:rFonts w:ascii="Arial" w:hAnsi="Arial" w:cs="Arial"/>
                <w:sz w:val="12"/>
                <w:szCs w:val="12"/>
              </w:rPr>
            </w:pPr>
            <w:r>
              <w:rPr>
                <w:rFonts w:ascii="Arial" w:hAnsi="Arial"/>
                <w:sz w:val="12"/>
                <w:szCs w:val="12"/>
              </w:rPr>
              <w:t>Landete</w:t>
            </w:r>
          </w:p>
        </w:tc>
        <w:tc>
          <w:tcPr>
            <w:tcW w:w="2268" w:type="dxa"/>
            <w:tcBorders>
              <w:right w:val="single" w:sz="4" w:space="0" w:color="auto"/>
            </w:tcBorders>
            <w:shd w:val="clear" w:color="auto" w:fill="D9D9D9"/>
            <w:hideMark/>
          </w:tcPr>
          <w:p w14:paraId="48B5E538" w14:textId="77777777" w:rsidR="002A4DDF" w:rsidRPr="00937C8B" w:rsidRDefault="002A4DDF" w:rsidP="009110ED">
            <w:pPr>
              <w:rPr>
                <w:rFonts w:ascii="Arial" w:hAnsi="Arial" w:cs="Arial"/>
                <w:sz w:val="12"/>
                <w:szCs w:val="12"/>
              </w:rPr>
            </w:pPr>
          </w:p>
        </w:tc>
      </w:tr>
      <w:tr w:rsidR="002A4DDF" w:rsidRPr="00937C8B" w14:paraId="71050D1F" w14:textId="77777777" w:rsidTr="00935676">
        <w:trPr>
          <w:cantSplit/>
        </w:trPr>
        <w:tc>
          <w:tcPr>
            <w:tcW w:w="1696" w:type="dxa"/>
            <w:tcBorders>
              <w:left w:val="single" w:sz="4" w:space="0" w:color="auto"/>
            </w:tcBorders>
            <w:shd w:val="clear" w:color="auto" w:fill="auto"/>
          </w:tcPr>
          <w:p w14:paraId="55C44587" w14:textId="77777777" w:rsidR="002A4DDF" w:rsidRPr="00937C8B" w:rsidRDefault="002A4DDF" w:rsidP="009110ED">
            <w:pPr>
              <w:rPr>
                <w:rFonts w:ascii="Arial" w:hAnsi="Arial" w:cs="Arial"/>
                <w:sz w:val="12"/>
                <w:szCs w:val="12"/>
              </w:rPr>
            </w:pPr>
          </w:p>
        </w:tc>
        <w:tc>
          <w:tcPr>
            <w:tcW w:w="1843" w:type="dxa"/>
            <w:shd w:val="clear" w:color="auto" w:fill="auto"/>
          </w:tcPr>
          <w:p w14:paraId="65AC3923" w14:textId="77777777" w:rsidR="002A4DDF" w:rsidRPr="00937C8B" w:rsidRDefault="002A4DDF" w:rsidP="009110ED">
            <w:pPr>
              <w:rPr>
                <w:rFonts w:ascii="Arial" w:hAnsi="Arial" w:cs="Arial"/>
                <w:sz w:val="12"/>
                <w:szCs w:val="12"/>
              </w:rPr>
            </w:pPr>
          </w:p>
        </w:tc>
        <w:tc>
          <w:tcPr>
            <w:tcW w:w="2268" w:type="dxa"/>
            <w:shd w:val="clear" w:color="auto" w:fill="F2F2F2"/>
            <w:hideMark/>
          </w:tcPr>
          <w:p w14:paraId="1B18DF8A" w14:textId="77777777" w:rsidR="002A4DDF" w:rsidRPr="00937C8B" w:rsidRDefault="002A4DDF" w:rsidP="009110ED">
            <w:pPr>
              <w:rPr>
                <w:rFonts w:ascii="Arial" w:hAnsi="Arial" w:cs="Arial"/>
                <w:sz w:val="12"/>
                <w:szCs w:val="12"/>
              </w:rPr>
            </w:pPr>
            <w:r>
              <w:rPr>
                <w:rFonts w:ascii="Arial" w:hAnsi="Arial"/>
                <w:sz w:val="12"/>
                <w:szCs w:val="12"/>
              </w:rPr>
              <w:t>Monteagudo de las Salinas</w:t>
            </w:r>
          </w:p>
        </w:tc>
        <w:tc>
          <w:tcPr>
            <w:tcW w:w="2268" w:type="dxa"/>
            <w:tcBorders>
              <w:right w:val="single" w:sz="4" w:space="0" w:color="auto"/>
            </w:tcBorders>
            <w:shd w:val="clear" w:color="auto" w:fill="D9D9D9"/>
            <w:hideMark/>
          </w:tcPr>
          <w:p w14:paraId="24447339" w14:textId="77777777" w:rsidR="002A4DDF" w:rsidRPr="00937C8B" w:rsidRDefault="002A4DDF" w:rsidP="009110ED">
            <w:pPr>
              <w:rPr>
                <w:rFonts w:ascii="Arial" w:hAnsi="Arial" w:cs="Arial"/>
                <w:sz w:val="12"/>
                <w:szCs w:val="12"/>
              </w:rPr>
            </w:pPr>
          </w:p>
        </w:tc>
      </w:tr>
      <w:tr w:rsidR="002A4DDF" w:rsidRPr="00937C8B" w14:paraId="1E19F99A" w14:textId="77777777" w:rsidTr="00935676">
        <w:trPr>
          <w:cantSplit/>
        </w:trPr>
        <w:tc>
          <w:tcPr>
            <w:tcW w:w="1696" w:type="dxa"/>
            <w:tcBorders>
              <w:left w:val="single" w:sz="4" w:space="0" w:color="auto"/>
            </w:tcBorders>
            <w:shd w:val="clear" w:color="auto" w:fill="auto"/>
          </w:tcPr>
          <w:p w14:paraId="69D56009" w14:textId="77777777" w:rsidR="002A4DDF" w:rsidRPr="00937C8B" w:rsidRDefault="002A4DDF" w:rsidP="009110ED">
            <w:pPr>
              <w:rPr>
                <w:rFonts w:ascii="Arial" w:hAnsi="Arial" w:cs="Arial"/>
                <w:sz w:val="12"/>
                <w:szCs w:val="12"/>
              </w:rPr>
            </w:pPr>
          </w:p>
        </w:tc>
        <w:tc>
          <w:tcPr>
            <w:tcW w:w="1843" w:type="dxa"/>
            <w:shd w:val="clear" w:color="auto" w:fill="auto"/>
          </w:tcPr>
          <w:p w14:paraId="39D22A30" w14:textId="77777777" w:rsidR="002A4DDF" w:rsidRPr="00937C8B" w:rsidRDefault="002A4DDF" w:rsidP="009110ED">
            <w:pPr>
              <w:rPr>
                <w:rFonts w:ascii="Arial" w:hAnsi="Arial" w:cs="Arial"/>
                <w:sz w:val="12"/>
                <w:szCs w:val="12"/>
              </w:rPr>
            </w:pPr>
          </w:p>
        </w:tc>
        <w:tc>
          <w:tcPr>
            <w:tcW w:w="2268" w:type="dxa"/>
            <w:shd w:val="clear" w:color="auto" w:fill="F2F2F2"/>
            <w:hideMark/>
          </w:tcPr>
          <w:p w14:paraId="4EA94303" w14:textId="77777777" w:rsidR="002A4DDF" w:rsidRPr="00937C8B" w:rsidRDefault="002A4DDF" w:rsidP="009110ED">
            <w:pPr>
              <w:rPr>
                <w:rFonts w:ascii="Arial" w:hAnsi="Arial" w:cs="Arial"/>
                <w:sz w:val="12"/>
                <w:szCs w:val="12"/>
              </w:rPr>
            </w:pPr>
            <w:r>
              <w:rPr>
                <w:rFonts w:ascii="Arial" w:hAnsi="Arial"/>
                <w:sz w:val="12"/>
                <w:szCs w:val="12"/>
              </w:rPr>
              <w:t>Mota del Cuervo</w:t>
            </w:r>
          </w:p>
        </w:tc>
        <w:tc>
          <w:tcPr>
            <w:tcW w:w="2268" w:type="dxa"/>
            <w:tcBorders>
              <w:right w:val="single" w:sz="4" w:space="0" w:color="auto"/>
            </w:tcBorders>
            <w:shd w:val="clear" w:color="auto" w:fill="D9D9D9"/>
            <w:hideMark/>
          </w:tcPr>
          <w:p w14:paraId="4E7CA02F" w14:textId="77777777" w:rsidR="002A4DDF" w:rsidRPr="00937C8B" w:rsidRDefault="002A4DDF" w:rsidP="009110ED">
            <w:pPr>
              <w:rPr>
                <w:rFonts w:ascii="Arial" w:hAnsi="Arial" w:cs="Arial"/>
                <w:sz w:val="12"/>
                <w:szCs w:val="12"/>
              </w:rPr>
            </w:pPr>
          </w:p>
        </w:tc>
      </w:tr>
      <w:tr w:rsidR="002A4DDF" w:rsidRPr="00937C8B" w14:paraId="63C8E2C3" w14:textId="77777777" w:rsidTr="00935676">
        <w:trPr>
          <w:cantSplit/>
        </w:trPr>
        <w:tc>
          <w:tcPr>
            <w:tcW w:w="1696" w:type="dxa"/>
            <w:tcBorders>
              <w:left w:val="single" w:sz="4" w:space="0" w:color="auto"/>
            </w:tcBorders>
            <w:shd w:val="clear" w:color="auto" w:fill="auto"/>
          </w:tcPr>
          <w:p w14:paraId="65894A35" w14:textId="77777777" w:rsidR="002A4DDF" w:rsidRPr="00937C8B" w:rsidRDefault="002A4DDF" w:rsidP="009110ED">
            <w:pPr>
              <w:rPr>
                <w:rFonts w:ascii="Arial" w:hAnsi="Arial" w:cs="Arial"/>
                <w:sz w:val="12"/>
                <w:szCs w:val="12"/>
              </w:rPr>
            </w:pPr>
          </w:p>
        </w:tc>
        <w:tc>
          <w:tcPr>
            <w:tcW w:w="1843" w:type="dxa"/>
            <w:shd w:val="clear" w:color="auto" w:fill="auto"/>
          </w:tcPr>
          <w:p w14:paraId="5EF0B51C" w14:textId="77777777" w:rsidR="002A4DDF" w:rsidRPr="00937C8B" w:rsidRDefault="002A4DDF" w:rsidP="009110ED">
            <w:pPr>
              <w:rPr>
                <w:rFonts w:ascii="Arial" w:hAnsi="Arial" w:cs="Arial"/>
                <w:sz w:val="12"/>
                <w:szCs w:val="12"/>
              </w:rPr>
            </w:pPr>
          </w:p>
        </w:tc>
        <w:tc>
          <w:tcPr>
            <w:tcW w:w="2268" w:type="dxa"/>
            <w:shd w:val="clear" w:color="auto" w:fill="F2F2F2"/>
            <w:hideMark/>
          </w:tcPr>
          <w:p w14:paraId="5360D58D" w14:textId="77777777" w:rsidR="002A4DDF" w:rsidRPr="00937C8B" w:rsidRDefault="002A4DDF" w:rsidP="009110ED">
            <w:pPr>
              <w:rPr>
                <w:rFonts w:ascii="Arial" w:hAnsi="Arial" w:cs="Arial"/>
                <w:sz w:val="12"/>
                <w:szCs w:val="12"/>
              </w:rPr>
            </w:pPr>
            <w:r>
              <w:rPr>
                <w:rFonts w:ascii="Arial" w:hAnsi="Arial"/>
                <w:sz w:val="12"/>
                <w:szCs w:val="12"/>
              </w:rPr>
              <w:t>Osa de la Vega</w:t>
            </w:r>
          </w:p>
        </w:tc>
        <w:tc>
          <w:tcPr>
            <w:tcW w:w="2268" w:type="dxa"/>
            <w:tcBorders>
              <w:right w:val="single" w:sz="4" w:space="0" w:color="auto"/>
            </w:tcBorders>
            <w:shd w:val="clear" w:color="auto" w:fill="D9D9D9"/>
            <w:hideMark/>
          </w:tcPr>
          <w:p w14:paraId="44ED6F05" w14:textId="77777777" w:rsidR="002A4DDF" w:rsidRPr="00937C8B" w:rsidRDefault="002A4DDF" w:rsidP="009110ED">
            <w:pPr>
              <w:rPr>
                <w:rFonts w:ascii="Arial" w:hAnsi="Arial" w:cs="Arial"/>
                <w:sz w:val="12"/>
                <w:szCs w:val="12"/>
              </w:rPr>
            </w:pPr>
          </w:p>
        </w:tc>
      </w:tr>
      <w:tr w:rsidR="002A4DDF" w:rsidRPr="00937C8B" w14:paraId="79A003E3" w14:textId="77777777" w:rsidTr="00935676">
        <w:trPr>
          <w:cantSplit/>
        </w:trPr>
        <w:tc>
          <w:tcPr>
            <w:tcW w:w="1696" w:type="dxa"/>
            <w:tcBorders>
              <w:left w:val="single" w:sz="4" w:space="0" w:color="auto"/>
            </w:tcBorders>
            <w:shd w:val="clear" w:color="auto" w:fill="auto"/>
          </w:tcPr>
          <w:p w14:paraId="2CB04BC7" w14:textId="77777777" w:rsidR="002A4DDF" w:rsidRPr="00937C8B" w:rsidRDefault="002A4DDF" w:rsidP="009110ED">
            <w:pPr>
              <w:rPr>
                <w:rFonts w:ascii="Arial" w:hAnsi="Arial" w:cs="Arial"/>
                <w:sz w:val="12"/>
                <w:szCs w:val="12"/>
              </w:rPr>
            </w:pPr>
          </w:p>
        </w:tc>
        <w:tc>
          <w:tcPr>
            <w:tcW w:w="1843" w:type="dxa"/>
            <w:shd w:val="clear" w:color="auto" w:fill="auto"/>
          </w:tcPr>
          <w:p w14:paraId="0257CB37" w14:textId="77777777" w:rsidR="002A4DDF" w:rsidRPr="00937C8B" w:rsidRDefault="002A4DDF" w:rsidP="009110ED">
            <w:pPr>
              <w:rPr>
                <w:rFonts w:ascii="Arial" w:hAnsi="Arial" w:cs="Arial"/>
                <w:sz w:val="12"/>
                <w:szCs w:val="12"/>
              </w:rPr>
            </w:pPr>
          </w:p>
        </w:tc>
        <w:tc>
          <w:tcPr>
            <w:tcW w:w="2268" w:type="dxa"/>
            <w:shd w:val="clear" w:color="auto" w:fill="F2F2F2"/>
            <w:hideMark/>
          </w:tcPr>
          <w:p w14:paraId="7D1BC01D" w14:textId="77777777" w:rsidR="002A4DDF" w:rsidRPr="00937C8B" w:rsidRDefault="002A4DDF" w:rsidP="009110ED">
            <w:pPr>
              <w:rPr>
                <w:rFonts w:ascii="Arial" w:hAnsi="Arial" w:cs="Arial"/>
                <w:sz w:val="12"/>
                <w:szCs w:val="12"/>
              </w:rPr>
            </w:pPr>
            <w:r>
              <w:rPr>
                <w:rFonts w:ascii="Arial" w:hAnsi="Arial"/>
                <w:sz w:val="12"/>
                <w:szCs w:val="12"/>
              </w:rPr>
              <w:t>Reíllo</w:t>
            </w:r>
          </w:p>
        </w:tc>
        <w:tc>
          <w:tcPr>
            <w:tcW w:w="2268" w:type="dxa"/>
            <w:tcBorders>
              <w:right w:val="single" w:sz="4" w:space="0" w:color="auto"/>
            </w:tcBorders>
            <w:shd w:val="clear" w:color="auto" w:fill="D9D9D9"/>
            <w:hideMark/>
          </w:tcPr>
          <w:p w14:paraId="2CA60F27" w14:textId="77777777" w:rsidR="002A4DDF" w:rsidRPr="00937C8B" w:rsidRDefault="002A4DDF" w:rsidP="009110ED">
            <w:pPr>
              <w:rPr>
                <w:rFonts w:ascii="Arial" w:hAnsi="Arial" w:cs="Arial"/>
                <w:sz w:val="12"/>
                <w:szCs w:val="12"/>
              </w:rPr>
            </w:pPr>
          </w:p>
        </w:tc>
      </w:tr>
      <w:tr w:rsidR="002A4DDF" w:rsidRPr="00937C8B" w14:paraId="3A982B36" w14:textId="77777777" w:rsidTr="00935676">
        <w:trPr>
          <w:cantSplit/>
        </w:trPr>
        <w:tc>
          <w:tcPr>
            <w:tcW w:w="1696" w:type="dxa"/>
            <w:tcBorders>
              <w:left w:val="single" w:sz="4" w:space="0" w:color="auto"/>
            </w:tcBorders>
            <w:shd w:val="clear" w:color="auto" w:fill="auto"/>
          </w:tcPr>
          <w:p w14:paraId="0AC20890" w14:textId="77777777" w:rsidR="002A4DDF" w:rsidRPr="00937C8B" w:rsidRDefault="002A4DDF" w:rsidP="009110ED">
            <w:pPr>
              <w:rPr>
                <w:rFonts w:ascii="Arial" w:hAnsi="Arial" w:cs="Arial"/>
                <w:sz w:val="12"/>
                <w:szCs w:val="12"/>
              </w:rPr>
            </w:pPr>
          </w:p>
        </w:tc>
        <w:tc>
          <w:tcPr>
            <w:tcW w:w="1843" w:type="dxa"/>
            <w:shd w:val="clear" w:color="auto" w:fill="auto"/>
          </w:tcPr>
          <w:p w14:paraId="50CF41C5" w14:textId="77777777" w:rsidR="002A4DDF" w:rsidRPr="00937C8B" w:rsidRDefault="002A4DDF" w:rsidP="009110ED">
            <w:pPr>
              <w:rPr>
                <w:rFonts w:ascii="Arial" w:hAnsi="Arial" w:cs="Arial"/>
                <w:sz w:val="12"/>
                <w:szCs w:val="12"/>
              </w:rPr>
            </w:pPr>
          </w:p>
        </w:tc>
        <w:tc>
          <w:tcPr>
            <w:tcW w:w="2268" w:type="dxa"/>
            <w:shd w:val="clear" w:color="auto" w:fill="F2F2F2"/>
            <w:hideMark/>
          </w:tcPr>
          <w:p w14:paraId="3A1B0B04" w14:textId="77777777" w:rsidR="002A4DDF" w:rsidRPr="00937C8B" w:rsidRDefault="002A4DDF" w:rsidP="009110ED">
            <w:pPr>
              <w:rPr>
                <w:rFonts w:ascii="Arial" w:hAnsi="Arial" w:cs="Arial"/>
                <w:sz w:val="12"/>
                <w:szCs w:val="12"/>
              </w:rPr>
            </w:pPr>
            <w:r>
              <w:rPr>
                <w:rFonts w:ascii="Arial" w:hAnsi="Arial"/>
                <w:sz w:val="12"/>
                <w:szCs w:val="12"/>
              </w:rPr>
              <w:t>San Clemente</w:t>
            </w:r>
          </w:p>
        </w:tc>
        <w:tc>
          <w:tcPr>
            <w:tcW w:w="2268" w:type="dxa"/>
            <w:tcBorders>
              <w:right w:val="single" w:sz="4" w:space="0" w:color="auto"/>
            </w:tcBorders>
            <w:shd w:val="clear" w:color="auto" w:fill="D9D9D9"/>
            <w:hideMark/>
          </w:tcPr>
          <w:p w14:paraId="3A827A3C" w14:textId="77777777" w:rsidR="002A4DDF" w:rsidRPr="00937C8B" w:rsidRDefault="002A4DDF" w:rsidP="009110ED">
            <w:pPr>
              <w:rPr>
                <w:rFonts w:ascii="Arial" w:hAnsi="Arial" w:cs="Arial"/>
                <w:sz w:val="12"/>
                <w:szCs w:val="12"/>
              </w:rPr>
            </w:pPr>
          </w:p>
        </w:tc>
      </w:tr>
      <w:tr w:rsidR="002A4DDF" w:rsidRPr="00937C8B" w14:paraId="578B6598" w14:textId="77777777" w:rsidTr="00935676">
        <w:trPr>
          <w:cantSplit/>
        </w:trPr>
        <w:tc>
          <w:tcPr>
            <w:tcW w:w="1696" w:type="dxa"/>
            <w:tcBorders>
              <w:left w:val="single" w:sz="4" w:space="0" w:color="auto"/>
            </w:tcBorders>
            <w:shd w:val="clear" w:color="auto" w:fill="auto"/>
          </w:tcPr>
          <w:p w14:paraId="7ABE812B" w14:textId="77777777" w:rsidR="002A4DDF" w:rsidRPr="00937C8B" w:rsidRDefault="002A4DDF" w:rsidP="009110ED">
            <w:pPr>
              <w:rPr>
                <w:rFonts w:ascii="Arial" w:hAnsi="Arial" w:cs="Arial"/>
                <w:sz w:val="12"/>
                <w:szCs w:val="12"/>
              </w:rPr>
            </w:pPr>
          </w:p>
        </w:tc>
        <w:tc>
          <w:tcPr>
            <w:tcW w:w="1843" w:type="dxa"/>
            <w:shd w:val="clear" w:color="auto" w:fill="auto"/>
          </w:tcPr>
          <w:p w14:paraId="796E448E" w14:textId="77777777" w:rsidR="002A4DDF" w:rsidRPr="00937C8B" w:rsidRDefault="002A4DDF" w:rsidP="009110ED">
            <w:pPr>
              <w:rPr>
                <w:rFonts w:ascii="Arial" w:hAnsi="Arial" w:cs="Arial"/>
                <w:sz w:val="12"/>
                <w:szCs w:val="12"/>
              </w:rPr>
            </w:pPr>
          </w:p>
        </w:tc>
        <w:tc>
          <w:tcPr>
            <w:tcW w:w="2268" w:type="dxa"/>
            <w:shd w:val="clear" w:color="auto" w:fill="F2F2F2"/>
            <w:hideMark/>
          </w:tcPr>
          <w:p w14:paraId="1648F832" w14:textId="77777777" w:rsidR="002A4DDF" w:rsidRPr="00937C8B" w:rsidRDefault="002A4DDF" w:rsidP="009110ED">
            <w:pPr>
              <w:rPr>
                <w:rFonts w:ascii="Arial" w:hAnsi="Arial" w:cs="Arial"/>
                <w:sz w:val="12"/>
                <w:szCs w:val="12"/>
              </w:rPr>
            </w:pPr>
            <w:r>
              <w:rPr>
                <w:rFonts w:ascii="Arial" w:hAnsi="Arial"/>
                <w:sz w:val="12"/>
                <w:szCs w:val="12"/>
              </w:rPr>
              <w:t>Santa Cruz de Moya</w:t>
            </w:r>
          </w:p>
        </w:tc>
        <w:tc>
          <w:tcPr>
            <w:tcW w:w="2268" w:type="dxa"/>
            <w:tcBorders>
              <w:right w:val="single" w:sz="4" w:space="0" w:color="auto"/>
            </w:tcBorders>
            <w:shd w:val="clear" w:color="auto" w:fill="D9D9D9"/>
            <w:hideMark/>
          </w:tcPr>
          <w:p w14:paraId="08664C57" w14:textId="77777777" w:rsidR="002A4DDF" w:rsidRPr="00937C8B" w:rsidRDefault="002A4DDF" w:rsidP="009110ED">
            <w:pPr>
              <w:rPr>
                <w:rFonts w:ascii="Arial" w:hAnsi="Arial" w:cs="Arial"/>
                <w:sz w:val="12"/>
                <w:szCs w:val="12"/>
              </w:rPr>
            </w:pPr>
          </w:p>
        </w:tc>
      </w:tr>
      <w:tr w:rsidR="002A4DDF" w:rsidRPr="00937C8B" w14:paraId="5AC47EF8" w14:textId="77777777" w:rsidTr="00935676">
        <w:trPr>
          <w:cantSplit/>
        </w:trPr>
        <w:tc>
          <w:tcPr>
            <w:tcW w:w="1696" w:type="dxa"/>
            <w:tcBorders>
              <w:left w:val="single" w:sz="4" w:space="0" w:color="auto"/>
            </w:tcBorders>
            <w:shd w:val="clear" w:color="auto" w:fill="auto"/>
          </w:tcPr>
          <w:p w14:paraId="19C556B5" w14:textId="77777777" w:rsidR="002A4DDF" w:rsidRPr="00937C8B" w:rsidRDefault="002A4DDF" w:rsidP="009110ED">
            <w:pPr>
              <w:rPr>
                <w:rFonts w:ascii="Arial" w:hAnsi="Arial" w:cs="Arial"/>
                <w:sz w:val="12"/>
                <w:szCs w:val="12"/>
              </w:rPr>
            </w:pPr>
          </w:p>
        </w:tc>
        <w:tc>
          <w:tcPr>
            <w:tcW w:w="1843" w:type="dxa"/>
            <w:shd w:val="clear" w:color="auto" w:fill="auto"/>
          </w:tcPr>
          <w:p w14:paraId="429C131A" w14:textId="77777777" w:rsidR="002A4DDF" w:rsidRPr="00937C8B" w:rsidRDefault="002A4DDF" w:rsidP="009110ED">
            <w:pPr>
              <w:rPr>
                <w:rFonts w:ascii="Arial" w:hAnsi="Arial" w:cs="Arial"/>
                <w:sz w:val="12"/>
                <w:szCs w:val="12"/>
              </w:rPr>
            </w:pPr>
          </w:p>
        </w:tc>
        <w:tc>
          <w:tcPr>
            <w:tcW w:w="2268" w:type="dxa"/>
            <w:shd w:val="clear" w:color="auto" w:fill="F2F2F2"/>
            <w:hideMark/>
          </w:tcPr>
          <w:p w14:paraId="7895B2DF" w14:textId="77777777" w:rsidR="002A4DDF" w:rsidRPr="00937C8B" w:rsidRDefault="002A4DDF" w:rsidP="009110ED">
            <w:pPr>
              <w:rPr>
                <w:rFonts w:ascii="Arial" w:hAnsi="Arial" w:cs="Arial"/>
                <w:sz w:val="12"/>
                <w:szCs w:val="12"/>
              </w:rPr>
            </w:pPr>
            <w:r>
              <w:rPr>
                <w:rFonts w:ascii="Arial" w:hAnsi="Arial"/>
                <w:sz w:val="12"/>
                <w:szCs w:val="12"/>
              </w:rPr>
              <w:t>Talayuelas</w:t>
            </w:r>
          </w:p>
        </w:tc>
        <w:tc>
          <w:tcPr>
            <w:tcW w:w="2268" w:type="dxa"/>
            <w:tcBorders>
              <w:right w:val="single" w:sz="4" w:space="0" w:color="auto"/>
            </w:tcBorders>
            <w:shd w:val="clear" w:color="auto" w:fill="D9D9D9"/>
            <w:hideMark/>
          </w:tcPr>
          <w:p w14:paraId="21FBFA78" w14:textId="77777777" w:rsidR="002A4DDF" w:rsidRPr="00937C8B" w:rsidRDefault="002A4DDF" w:rsidP="009110ED">
            <w:pPr>
              <w:rPr>
                <w:rFonts w:ascii="Arial" w:hAnsi="Arial" w:cs="Arial"/>
                <w:sz w:val="12"/>
                <w:szCs w:val="12"/>
              </w:rPr>
            </w:pPr>
          </w:p>
        </w:tc>
      </w:tr>
      <w:tr w:rsidR="002A4DDF" w:rsidRPr="00937C8B" w14:paraId="151D595E" w14:textId="77777777" w:rsidTr="00935676">
        <w:trPr>
          <w:cantSplit/>
        </w:trPr>
        <w:tc>
          <w:tcPr>
            <w:tcW w:w="1696" w:type="dxa"/>
            <w:tcBorders>
              <w:left w:val="single" w:sz="4" w:space="0" w:color="auto"/>
            </w:tcBorders>
            <w:shd w:val="clear" w:color="auto" w:fill="auto"/>
          </w:tcPr>
          <w:p w14:paraId="3F47E4D5" w14:textId="77777777" w:rsidR="002A4DDF" w:rsidRPr="00937C8B" w:rsidRDefault="002A4DDF" w:rsidP="009110ED">
            <w:pPr>
              <w:rPr>
                <w:rFonts w:ascii="Arial" w:hAnsi="Arial" w:cs="Arial"/>
                <w:sz w:val="12"/>
                <w:szCs w:val="12"/>
              </w:rPr>
            </w:pPr>
          </w:p>
        </w:tc>
        <w:tc>
          <w:tcPr>
            <w:tcW w:w="1843" w:type="dxa"/>
            <w:shd w:val="clear" w:color="auto" w:fill="auto"/>
          </w:tcPr>
          <w:p w14:paraId="44229911" w14:textId="77777777" w:rsidR="002A4DDF" w:rsidRPr="00937C8B" w:rsidRDefault="002A4DDF" w:rsidP="009110ED">
            <w:pPr>
              <w:rPr>
                <w:rFonts w:ascii="Arial" w:hAnsi="Arial" w:cs="Arial"/>
                <w:sz w:val="12"/>
                <w:szCs w:val="12"/>
              </w:rPr>
            </w:pPr>
          </w:p>
        </w:tc>
        <w:tc>
          <w:tcPr>
            <w:tcW w:w="2268" w:type="dxa"/>
            <w:shd w:val="clear" w:color="auto" w:fill="F2F2F2"/>
            <w:hideMark/>
          </w:tcPr>
          <w:p w14:paraId="7E570B45" w14:textId="77777777" w:rsidR="002A4DDF" w:rsidRPr="00937C8B" w:rsidRDefault="002A4DDF" w:rsidP="009110ED">
            <w:pPr>
              <w:rPr>
                <w:rFonts w:ascii="Arial" w:hAnsi="Arial" w:cs="Arial"/>
                <w:sz w:val="12"/>
                <w:szCs w:val="12"/>
              </w:rPr>
            </w:pPr>
            <w:r>
              <w:rPr>
                <w:rFonts w:ascii="Arial" w:hAnsi="Arial"/>
                <w:sz w:val="12"/>
                <w:szCs w:val="12"/>
              </w:rPr>
              <w:t>Valdemeca</w:t>
            </w:r>
          </w:p>
        </w:tc>
        <w:tc>
          <w:tcPr>
            <w:tcW w:w="2268" w:type="dxa"/>
            <w:tcBorders>
              <w:right w:val="single" w:sz="4" w:space="0" w:color="auto"/>
            </w:tcBorders>
            <w:shd w:val="clear" w:color="auto" w:fill="D9D9D9"/>
            <w:hideMark/>
          </w:tcPr>
          <w:p w14:paraId="6C585E0F" w14:textId="77777777" w:rsidR="002A4DDF" w:rsidRPr="00937C8B" w:rsidRDefault="002A4DDF" w:rsidP="009110ED">
            <w:pPr>
              <w:rPr>
                <w:rFonts w:ascii="Arial" w:hAnsi="Arial" w:cs="Arial"/>
                <w:sz w:val="12"/>
                <w:szCs w:val="12"/>
              </w:rPr>
            </w:pPr>
          </w:p>
        </w:tc>
      </w:tr>
      <w:tr w:rsidR="002A4DDF" w:rsidRPr="00937C8B" w14:paraId="23D9AF53" w14:textId="77777777" w:rsidTr="00935676">
        <w:trPr>
          <w:cantSplit/>
        </w:trPr>
        <w:tc>
          <w:tcPr>
            <w:tcW w:w="1696" w:type="dxa"/>
            <w:tcBorders>
              <w:left w:val="single" w:sz="4" w:space="0" w:color="auto"/>
              <w:bottom w:val="single" w:sz="4" w:space="0" w:color="auto"/>
            </w:tcBorders>
            <w:shd w:val="clear" w:color="auto" w:fill="auto"/>
            <w:hideMark/>
          </w:tcPr>
          <w:p w14:paraId="21FA1EA0" w14:textId="77777777" w:rsidR="002A4DDF" w:rsidRPr="00937C8B" w:rsidRDefault="002A4DDF" w:rsidP="009110ED">
            <w:pPr>
              <w:rPr>
                <w:rFonts w:ascii="Arial" w:hAnsi="Arial" w:cs="Arial"/>
                <w:sz w:val="12"/>
                <w:szCs w:val="12"/>
              </w:rPr>
            </w:pPr>
            <w:r>
              <w:rPr>
                <w:rFonts w:ascii="Arial" w:hAnsi="Arial"/>
                <w:sz w:val="12"/>
                <w:szCs w:val="12"/>
              </w:rPr>
              <w:t>Castille-La Manche</w:t>
            </w:r>
          </w:p>
        </w:tc>
        <w:tc>
          <w:tcPr>
            <w:tcW w:w="1843" w:type="dxa"/>
            <w:tcBorders>
              <w:bottom w:val="single" w:sz="4" w:space="0" w:color="auto"/>
            </w:tcBorders>
            <w:shd w:val="clear" w:color="auto" w:fill="auto"/>
            <w:hideMark/>
          </w:tcPr>
          <w:p w14:paraId="1375B1CD" w14:textId="77777777" w:rsidR="002A4DDF" w:rsidRPr="00937C8B" w:rsidRDefault="002A4DDF" w:rsidP="009110ED">
            <w:pPr>
              <w:rPr>
                <w:rFonts w:ascii="Arial" w:hAnsi="Arial" w:cs="Arial"/>
                <w:sz w:val="12"/>
                <w:szCs w:val="12"/>
              </w:rPr>
            </w:pPr>
            <w:r>
              <w:rPr>
                <w:rFonts w:ascii="Arial" w:hAnsi="Arial"/>
                <w:sz w:val="12"/>
                <w:szCs w:val="12"/>
              </w:rPr>
              <w:t>Cuenca</w:t>
            </w:r>
          </w:p>
        </w:tc>
        <w:tc>
          <w:tcPr>
            <w:tcW w:w="2268" w:type="dxa"/>
            <w:tcBorders>
              <w:bottom w:val="single" w:sz="4" w:space="0" w:color="auto"/>
            </w:tcBorders>
            <w:shd w:val="clear" w:color="auto" w:fill="F2F2F2"/>
            <w:hideMark/>
          </w:tcPr>
          <w:p w14:paraId="2532B880" w14:textId="77777777" w:rsidR="002A4DDF" w:rsidRPr="00937C8B" w:rsidRDefault="002A4DDF" w:rsidP="009110ED">
            <w:pPr>
              <w:rPr>
                <w:rFonts w:ascii="Arial" w:hAnsi="Arial" w:cs="Arial"/>
                <w:sz w:val="12"/>
                <w:szCs w:val="12"/>
              </w:rPr>
            </w:pPr>
            <w:r>
              <w:rPr>
                <w:rFonts w:ascii="Arial" w:hAnsi="Arial"/>
                <w:sz w:val="12"/>
                <w:szCs w:val="12"/>
              </w:rPr>
              <w:t>Valdemoro-Sierra</w:t>
            </w:r>
          </w:p>
        </w:tc>
        <w:tc>
          <w:tcPr>
            <w:tcW w:w="2268" w:type="dxa"/>
            <w:tcBorders>
              <w:bottom w:val="single" w:sz="4" w:space="0" w:color="auto"/>
              <w:right w:val="single" w:sz="4" w:space="0" w:color="auto"/>
            </w:tcBorders>
            <w:shd w:val="clear" w:color="auto" w:fill="D9D9D9"/>
            <w:hideMark/>
          </w:tcPr>
          <w:p w14:paraId="25DCD4BA" w14:textId="77777777" w:rsidR="002A4DDF" w:rsidRPr="00937C8B" w:rsidRDefault="002A4DDF" w:rsidP="009110ED">
            <w:pPr>
              <w:rPr>
                <w:rFonts w:ascii="Arial" w:hAnsi="Arial" w:cs="Arial"/>
                <w:sz w:val="12"/>
                <w:szCs w:val="12"/>
              </w:rPr>
            </w:pPr>
          </w:p>
        </w:tc>
      </w:tr>
      <w:tr w:rsidR="002A4DDF" w:rsidRPr="00937C8B" w14:paraId="1E94B2B2" w14:textId="77777777" w:rsidTr="00935676">
        <w:trPr>
          <w:cantSplit/>
        </w:trPr>
        <w:tc>
          <w:tcPr>
            <w:tcW w:w="1696" w:type="dxa"/>
            <w:tcBorders>
              <w:top w:val="single" w:sz="4" w:space="0" w:color="auto"/>
              <w:bottom w:val="single" w:sz="4" w:space="0" w:color="auto"/>
            </w:tcBorders>
            <w:shd w:val="clear" w:color="auto" w:fill="auto"/>
            <w:hideMark/>
          </w:tcPr>
          <w:p w14:paraId="7127CF21"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1F4205DF"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42E8109B"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5BD1E6EB" w14:textId="77777777" w:rsidR="002A4DDF" w:rsidRPr="00937C8B" w:rsidRDefault="002A4DDF" w:rsidP="009110ED">
            <w:pPr>
              <w:rPr>
                <w:rFonts w:ascii="Arial" w:hAnsi="Arial" w:cs="Arial"/>
                <w:sz w:val="12"/>
                <w:szCs w:val="12"/>
              </w:rPr>
            </w:pPr>
          </w:p>
        </w:tc>
      </w:tr>
      <w:tr w:rsidR="002A4DDF" w:rsidRPr="00937C8B" w14:paraId="466EF5AC" w14:textId="77777777" w:rsidTr="00935676">
        <w:trPr>
          <w:cantSplit/>
        </w:trPr>
        <w:tc>
          <w:tcPr>
            <w:tcW w:w="1696" w:type="dxa"/>
            <w:tcBorders>
              <w:top w:val="single" w:sz="4" w:space="0" w:color="auto"/>
              <w:left w:val="single" w:sz="4" w:space="0" w:color="auto"/>
            </w:tcBorders>
            <w:shd w:val="clear" w:color="auto" w:fill="auto"/>
            <w:hideMark/>
          </w:tcPr>
          <w:p w14:paraId="49980AAA" w14:textId="77777777" w:rsidR="002A4DDF" w:rsidRPr="00937C8B" w:rsidRDefault="002A4DDF" w:rsidP="009110ED">
            <w:pPr>
              <w:rPr>
                <w:rFonts w:ascii="Arial" w:hAnsi="Arial" w:cs="Arial"/>
                <w:sz w:val="12"/>
                <w:szCs w:val="12"/>
              </w:rPr>
            </w:pPr>
            <w:r>
              <w:rPr>
                <w:rFonts w:ascii="Arial" w:hAnsi="Arial"/>
                <w:sz w:val="12"/>
                <w:szCs w:val="12"/>
              </w:rPr>
              <w:t>Castille-La Manche</w:t>
            </w:r>
          </w:p>
        </w:tc>
        <w:tc>
          <w:tcPr>
            <w:tcW w:w="1843" w:type="dxa"/>
            <w:tcBorders>
              <w:top w:val="single" w:sz="4" w:space="0" w:color="auto"/>
            </w:tcBorders>
            <w:shd w:val="clear" w:color="auto" w:fill="auto"/>
            <w:hideMark/>
          </w:tcPr>
          <w:p w14:paraId="68DDF7D8" w14:textId="77777777" w:rsidR="002A4DDF" w:rsidRPr="00937C8B" w:rsidRDefault="002A4DDF" w:rsidP="009110ED">
            <w:pPr>
              <w:rPr>
                <w:rFonts w:ascii="Arial" w:hAnsi="Arial" w:cs="Arial"/>
                <w:sz w:val="12"/>
                <w:szCs w:val="12"/>
              </w:rPr>
            </w:pPr>
            <w:r>
              <w:rPr>
                <w:rFonts w:ascii="Arial" w:hAnsi="Arial"/>
                <w:sz w:val="12"/>
                <w:szCs w:val="12"/>
              </w:rPr>
              <w:t>Guadalajara</w:t>
            </w:r>
          </w:p>
        </w:tc>
        <w:tc>
          <w:tcPr>
            <w:tcW w:w="2268" w:type="dxa"/>
            <w:tcBorders>
              <w:top w:val="single" w:sz="4" w:space="0" w:color="auto"/>
            </w:tcBorders>
            <w:shd w:val="clear" w:color="auto" w:fill="F2F2F2"/>
            <w:hideMark/>
          </w:tcPr>
          <w:p w14:paraId="2679FC60" w14:textId="77777777" w:rsidR="002A4DDF" w:rsidRPr="00937C8B" w:rsidRDefault="002A4DDF" w:rsidP="009110ED">
            <w:pPr>
              <w:rPr>
                <w:rFonts w:ascii="Arial" w:hAnsi="Arial" w:cs="Arial"/>
                <w:sz w:val="12"/>
                <w:szCs w:val="12"/>
              </w:rPr>
            </w:pPr>
            <w:r>
              <w:rPr>
                <w:rFonts w:ascii="Arial" w:hAnsi="Arial"/>
                <w:sz w:val="12"/>
                <w:szCs w:val="12"/>
              </w:rPr>
              <w:t>Alcolea del Pinar</w:t>
            </w:r>
          </w:p>
        </w:tc>
        <w:tc>
          <w:tcPr>
            <w:tcW w:w="2268" w:type="dxa"/>
            <w:tcBorders>
              <w:top w:val="single" w:sz="4" w:space="0" w:color="auto"/>
              <w:right w:val="single" w:sz="4" w:space="0" w:color="auto"/>
            </w:tcBorders>
            <w:shd w:val="clear" w:color="auto" w:fill="D9D9D9"/>
            <w:hideMark/>
          </w:tcPr>
          <w:p w14:paraId="30D3BFB9" w14:textId="77777777" w:rsidR="002A4DDF" w:rsidRPr="00937C8B" w:rsidRDefault="002A4DDF" w:rsidP="009110ED">
            <w:pPr>
              <w:rPr>
                <w:rFonts w:ascii="Arial" w:hAnsi="Arial" w:cs="Arial"/>
                <w:sz w:val="12"/>
                <w:szCs w:val="12"/>
              </w:rPr>
            </w:pPr>
            <w:r>
              <w:rPr>
                <w:rFonts w:ascii="Arial" w:hAnsi="Arial"/>
                <w:sz w:val="12"/>
                <w:szCs w:val="12"/>
              </w:rPr>
              <w:t>Arroyo de las Fraguas</w:t>
            </w:r>
          </w:p>
        </w:tc>
      </w:tr>
      <w:tr w:rsidR="002A4DDF" w:rsidRPr="00937C8B" w14:paraId="6CEF3F94" w14:textId="77777777" w:rsidTr="00935676">
        <w:trPr>
          <w:cantSplit/>
        </w:trPr>
        <w:tc>
          <w:tcPr>
            <w:tcW w:w="1696" w:type="dxa"/>
            <w:tcBorders>
              <w:left w:val="single" w:sz="4" w:space="0" w:color="auto"/>
            </w:tcBorders>
            <w:shd w:val="clear" w:color="auto" w:fill="auto"/>
          </w:tcPr>
          <w:p w14:paraId="29D39CAE" w14:textId="77777777" w:rsidR="002A4DDF" w:rsidRPr="00937C8B" w:rsidRDefault="002A4DDF" w:rsidP="009110ED">
            <w:pPr>
              <w:rPr>
                <w:rFonts w:ascii="Arial" w:hAnsi="Arial" w:cs="Arial"/>
                <w:sz w:val="12"/>
                <w:szCs w:val="12"/>
              </w:rPr>
            </w:pPr>
          </w:p>
        </w:tc>
        <w:tc>
          <w:tcPr>
            <w:tcW w:w="1843" w:type="dxa"/>
            <w:shd w:val="clear" w:color="auto" w:fill="auto"/>
          </w:tcPr>
          <w:p w14:paraId="362E86D8" w14:textId="77777777" w:rsidR="002A4DDF" w:rsidRPr="00937C8B" w:rsidRDefault="002A4DDF" w:rsidP="009110ED">
            <w:pPr>
              <w:rPr>
                <w:rFonts w:ascii="Arial" w:hAnsi="Arial" w:cs="Arial"/>
                <w:sz w:val="12"/>
                <w:szCs w:val="12"/>
              </w:rPr>
            </w:pPr>
          </w:p>
        </w:tc>
        <w:tc>
          <w:tcPr>
            <w:tcW w:w="2268" w:type="dxa"/>
            <w:shd w:val="clear" w:color="auto" w:fill="F2F2F2"/>
            <w:hideMark/>
          </w:tcPr>
          <w:p w14:paraId="31F7D8D2" w14:textId="77777777" w:rsidR="002A4DDF" w:rsidRPr="00937C8B" w:rsidRDefault="002A4DDF" w:rsidP="009110ED">
            <w:pPr>
              <w:rPr>
                <w:rFonts w:ascii="Arial" w:hAnsi="Arial" w:cs="Arial"/>
                <w:sz w:val="12"/>
                <w:szCs w:val="12"/>
              </w:rPr>
            </w:pPr>
            <w:r>
              <w:rPr>
                <w:rFonts w:ascii="Arial" w:hAnsi="Arial"/>
                <w:sz w:val="12"/>
                <w:szCs w:val="12"/>
              </w:rPr>
              <w:t>Alcoroches</w:t>
            </w:r>
          </w:p>
        </w:tc>
        <w:tc>
          <w:tcPr>
            <w:tcW w:w="2268" w:type="dxa"/>
            <w:tcBorders>
              <w:right w:val="single" w:sz="4" w:space="0" w:color="auto"/>
            </w:tcBorders>
            <w:shd w:val="clear" w:color="auto" w:fill="D9D9D9"/>
            <w:hideMark/>
          </w:tcPr>
          <w:p w14:paraId="0C45CDA7" w14:textId="77777777" w:rsidR="002A4DDF" w:rsidRPr="00937C8B" w:rsidRDefault="002A4DDF" w:rsidP="009110ED">
            <w:pPr>
              <w:rPr>
                <w:rFonts w:ascii="Arial" w:hAnsi="Arial" w:cs="Arial"/>
                <w:sz w:val="12"/>
                <w:szCs w:val="12"/>
              </w:rPr>
            </w:pPr>
            <w:r>
              <w:rPr>
                <w:rFonts w:ascii="Arial" w:hAnsi="Arial"/>
                <w:sz w:val="12"/>
                <w:szCs w:val="12"/>
              </w:rPr>
              <w:t>Bustares</w:t>
            </w:r>
          </w:p>
        </w:tc>
      </w:tr>
      <w:tr w:rsidR="002A4DDF" w:rsidRPr="00937C8B" w14:paraId="7AD2DCB9" w14:textId="77777777" w:rsidTr="00935676">
        <w:trPr>
          <w:cantSplit/>
        </w:trPr>
        <w:tc>
          <w:tcPr>
            <w:tcW w:w="1696" w:type="dxa"/>
            <w:tcBorders>
              <w:left w:val="single" w:sz="4" w:space="0" w:color="auto"/>
            </w:tcBorders>
            <w:shd w:val="clear" w:color="auto" w:fill="auto"/>
          </w:tcPr>
          <w:p w14:paraId="31670EA5" w14:textId="77777777" w:rsidR="002A4DDF" w:rsidRPr="00937C8B" w:rsidRDefault="002A4DDF" w:rsidP="009110ED">
            <w:pPr>
              <w:rPr>
                <w:rFonts w:ascii="Arial" w:hAnsi="Arial" w:cs="Arial"/>
                <w:sz w:val="12"/>
                <w:szCs w:val="12"/>
              </w:rPr>
            </w:pPr>
          </w:p>
        </w:tc>
        <w:tc>
          <w:tcPr>
            <w:tcW w:w="1843" w:type="dxa"/>
            <w:shd w:val="clear" w:color="auto" w:fill="auto"/>
          </w:tcPr>
          <w:p w14:paraId="59A9AFC6" w14:textId="77777777" w:rsidR="002A4DDF" w:rsidRPr="00937C8B" w:rsidRDefault="002A4DDF" w:rsidP="009110ED">
            <w:pPr>
              <w:rPr>
                <w:rFonts w:ascii="Arial" w:hAnsi="Arial" w:cs="Arial"/>
                <w:sz w:val="12"/>
                <w:szCs w:val="12"/>
              </w:rPr>
            </w:pPr>
          </w:p>
        </w:tc>
        <w:tc>
          <w:tcPr>
            <w:tcW w:w="2268" w:type="dxa"/>
            <w:shd w:val="clear" w:color="auto" w:fill="F2F2F2"/>
            <w:hideMark/>
          </w:tcPr>
          <w:p w14:paraId="5DC924FB" w14:textId="77777777" w:rsidR="002A4DDF" w:rsidRPr="00937C8B" w:rsidRDefault="002A4DDF" w:rsidP="009110ED">
            <w:pPr>
              <w:rPr>
                <w:rFonts w:ascii="Arial" w:hAnsi="Arial" w:cs="Arial"/>
                <w:sz w:val="12"/>
                <w:szCs w:val="12"/>
              </w:rPr>
            </w:pPr>
            <w:r>
              <w:rPr>
                <w:rFonts w:ascii="Arial" w:hAnsi="Arial"/>
                <w:sz w:val="12"/>
                <w:szCs w:val="12"/>
              </w:rPr>
              <w:t>Alovera</w:t>
            </w:r>
          </w:p>
        </w:tc>
        <w:tc>
          <w:tcPr>
            <w:tcW w:w="2268" w:type="dxa"/>
            <w:tcBorders>
              <w:right w:val="single" w:sz="4" w:space="0" w:color="auto"/>
            </w:tcBorders>
            <w:shd w:val="clear" w:color="auto" w:fill="D9D9D9"/>
            <w:hideMark/>
          </w:tcPr>
          <w:p w14:paraId="089C9A29" w14:textId="77777777" w:rsidR="002A4DDF" w:rsidRPr="00937C8B" w:rsidRDefault="002A4DDF" w:rsidP="009110ED">
            <w:pPr>
              <w:rPr>
                <w:rFonts w:ascii="Arial" w:hAnsi="Arial" w:cs="Arial"/>
                <w:sz w:val="12"/>
                <w:szCs w:val="12"/>
              </w:rPr>
            </w:pPr>
            <w:r>
              <w:rPr>
                <w:rFonts w:ascii="Arial" w:hAnsi="Arial"/>
                <w:sz w:val="12"/>
                <w:szCs w:val="12"/>
              </w:rPr>
              <w:t>Condemios de Arriba</w:t>
            </w:r>
          </w:p>
        </w:tc>
      </w:tr>
      <w:tr w:rsidR="002A4DDF" w:rsidRPr="00937C8B" w14:paraId="57DB6B3C" w14:textId="77777777" w:rsidTr="00935676">
        <w:trPr>
          <w:cantSplit/>
        </w:trPr>
        <w:tc>
          <w:tcPr>
            <w:tcW w:w="1696" w:type="dxa"/>
            <w:tcBorders>
              <w:left w:val="single" w:sz="4" w:space="0" w:color="auto"/>
            </w:tcBorders>
            <w:shd w:val="clear" w:color="auto" w:fill="auto"/>
          </w:tcPr>
          <w:p w14:paraId="066AB081" w14:textId="77777777" w:rsidR="002A4DDF" w:rsidRPr="00937C8B" w:rsidRDefault="002A4DDF" w:rsidP="009110ED">
            <w:pPr>
              <w:rPr>
                <w:rFonts w:ascii="Arial" w:hAnsi="Arial" w:cs="Arial"/>
                <w:sz w:val="12"/>
                <w:szCs w:val="12"/>
              </w:rPr>
            </w:pPr>
          </w:p>
        </w:tc>
        <w:tc>
          <w:tcPr>
            <w:tcW w:w="1843" w:type="dxa"/>
            <w:shd w:val="clear" w:color="auto" w:fill="auto"/>
          </w:tcPr>
          <w:p w14:paraId="4601EBC0" w14:textId="77777777" w:rsidR="002A4DDF" w:rsidRPr="00937C8B" w:rsidRDefault="002A4DDF" w:rsidP="009110ED">
            <w:pPr>
              <w:rPr>
                <w:rFonts w:ascii="Arial" w:hAnsi="Arial" w:cs="Arial"/>
                <w:sz w:val="12"/>
                <w:szCs w:val="12"/>
              </w:rPr>
            </w:pPr>
          </w:p>
        </w:tc>
        <w:tc>
          <w:tcPr>
            <w:tcW w:w="2268" w:type="dxa"/>
            <w:shd w:val="clear" w:color="auto" w:fill="F2F2F2"/>
            <w:hideMark/>
          </w:tcPr>
          <w:p w14:paraId="52BE0901" w14:textId="77777777" w:rsidR="002A4DDF" w:rsidRPr="00937C8B" w:rsidRDefault="002A4DDF" w:rsidP="009110ED">
            <w:pPr>
              <w:rPr>
                <w:rFonts w:ascii="Arial" w:hAnsi="Arial" w:cs="Arial"/>
                <w:sz w:val="12"/>
                <w:szCs w:val="12"/>
              </w:rPr>
            </w:pPr>
            <w:r>
              <w:rPr>
                <w:rFonts w:ascii="Arial" w:hAnsi="Arial"/>
                <w:sz w:val="12"/>
                <w:szCs w:val="12"/>
              </w:rPr>
              <w:t>Alustante</w:t>
            </w:r>
          </w:p>
        </w:tc>
        <w:tc>
          <w:tcPr>
            <w:tcW w:w="2268" w:type="dxa"/>
            <w:tcBorders>
              <w:right w:val="single" w:sz="4" w:space="0" w:color="auto"/>
            </w:tcBorders>
            <w:shd w:val="clear" w:color="auto" w:fill="D9D9D9"/>
            <w:hideMark/>
          </w:tcPr>
          <w:p w14:paraId="5F6C468D" w14:textId="77777777" w:rsidR="002A4DDF" w:rsidRPr="00937C8B" w:rsidRDefault="002A4DDF" w:rsidP="009110ED">
            <w:pPr>
              <w:rPr>
                <w:rFonts w:ascii="Arial" w:hAnsi="Arial" w:cs="Arial"/>
                <w:sz w:val="12"/>
                <w:szCs w:val="12"/>
              </w:rPr>
            </w:pPr>
            <w:r>
              <w:rPr>
                <w:rFonts w:ascii="Arial" w:hAnsi="Arial"/>
                <w:sz w:val="12"/>
                <w:szCs w:val="12"/>
              </w:rPr>
              <w:t>El Cardoso de la Sierra</w:t>
            </w:r>
          </w:p>
        </w:tc>
      </w:tr>
      <w:tr w:rsidR="002A4DDF" w:rsidRPr="00937C8B" w14:paraId="011C6CFB" w14:textId="77777777" w:rsidTr="00935676">
        <w:trPr>
          <w:cantSplit/>
        </w:trPr>
        <w:tc>
          <w:tcPr>
            <w:tcW w:w="1696" w:type="dxa"/>
            <w:tcBorders>
              <w:left w:val="single" w:sz="4" w:space="0" w:color="auto"/>
            </w:tcBorders>
            <w:shd w:val="clear" w:color="auto" w:fill="auto"/>
          </w:tcPr>
          <w:p w14:paraId="17ADB8BD" w14:textId="77777777" w:rsidR="002A4DDF" w:rsidRPr="00937C8B" w:rsidRDefault="002A4DDF" w:rsidP="009110ED">
            <w:pPr>
              <w:rPr>
                <w:rFonts w:ascii="Arial" w:hAnsi="Arial" w:cs="Arial"/>
                <w:sz w:val="12"/>
                <w:szCs w:val="12"/>
              </w:rPr>
            </w:pPr>
          </w:p>
        </w:tc>
        <w:tc>
          <w:tcPr>
            <w:tcW w:w="1843" w:type="dxa"/>
            <w:shd w:val="clear" w:color="auto" w:fill="auto"/>
          </w:tcPr>
          <w:p w14:paraId="7E94D943" w14:textId="77777777" w:rsidR="002A4DDF" w:rsidRPr="00937C8B" w:rsidRDefault="002A4DDF" w:rsidP="009110ED">
            <w:pPr>
              <w:rPr>
                <w:rFonts w:ascii="Arial" w:hAnsi="Arial" w:cs="Arial"/>
                <w:sz w:val="12"/>
                <w:szCs w:val="12"/>
              </w:rPr>
            </w:pPr>
          </w:p>
        </w:tc>
        <w:tc>
          <w:tcPr>
            <w:tcW w:w="2268" w:type="dxa"/>
            <w:shd w:val="clear" w:color="auto" w:fill="F2F2F2"/>
            <w:hideMark/>
          </w:tcPr>
          <w:p w14:paraId="2F5FDECB" w14:textId="77777777" w:rsidR="002A4DDF" w:rsidRPr="00937C8B" w:rsidRDefault="002A4DDF" w:rsidP="009110ED">
            <w:pPr>
              <w:rPr>
                <w:rFonts w:ascii="Arial" w:hAnsi="Arial" w:cs="Arial"/>
                <w:sz w:val="12"/>
                <w:szCs w:val="12"/>
              </w:rPr>
            </w:pPr>
            <w:r>
              <w:rPr>
                <w:rFonts w:ascii="Arial" w:hAnsi="Arial"/>
                <w:sz w:val="12"/>
                <w:szCs w:val="12"/>
              </w:rPr>
              <w:t>Angón</w:t>
            </w:r>
          </w:p>
        </w:tc>
        <w:tc>
          <w:tcPr>
            <w:tcW w:w="2268" w:type="dxa"/>
            <w:tcBorders>
              <w:right w:val="single" w:sz="4" w:space="0" w:color="auto"/>
            </w:tcBorders>
            <w:shd w:val="clear" w:color="auto" w:fill="D9D9D9"/>
            <w:hideMark/>
          </w:tcPr>
          <w:p w14:paraId="0BF2EA8A" w14:textId="77777777" w:rsidR="002A4DDF" w:rsidRPr="00937C8B" w:rsidRDefault="002A4DDF" w:rsidP="009110ED">
            <w:pPr>
              <w:rPr>
                <w:rFonts w:ascii="Arial" w:hAnsi="Arial" w:cs="Arial"/>
                <w:sz w:val="12"/>
                <w:szCs w:val="12"/>
              </w:rPr>
            </w:pPr>
            <w:r>
              <w:rPr>
                <w:rFonts w:ascii="Arial" w:hAnsi="Arial"/>
                <w:sz w:val="12"/>
                <w:szCs w:val="12"/>
              </w:rPr>
              <w:t>El Ordial</w:t>
            </w:r>
          </w:p>
        </w:tc>
      </w:tr>
      <w:tr w:rsidR="002A4DDF" w:rsidRPr="00937C8B" w14:paraId="4FD6B101" w14:textId="77777777" w:rsidTr="00935676">
        <w:trPr>
          <w:cantSplit/>
        </w:trPr>
        <w:tc>
          <w:tcPr>
            <w:tcW w:w="1696" w:type="dxa"/>
            <w:tcBorders>
              <w:left w:val="single" w:sz="4" w:space="0" w:color="auto"/>
            </w:tcBorders>
            <w:shd w:val="clear" w:color="auto" w:fill="auto"/>
          </w:tcPr>
          <w:p w14:paraId="3A8D792E" w14:textId="77777777" w:rsidR="002A4DDF" w:rsidRPr="00937C8B" w:rsidRDefault="002A4DDF" w:rsidP="009110ED">
            <w:pPr>
              <w:rPr>
                <w:rFonts w:ascii="Arial" w:hAnsi="Arial" w:cs="Arial"/>
                <w:sz w:val="12"/>
                <w:szCs w:val="12"/>
              </w:rPr>
            </w:pPr>
          </w:p>
        </w:tc>
        <w:tc>
          <w:tcPr>
            <w:tcW w:w="1843" w:type="dxa"/>
            <w:shd w:val="clear" w:color="auto" w:fill="auto"/>
          </w:tcPr>
          <w:p w14:paraId="606EA2B1" w14:textId="77777777" w:rsidR="002A4DDF" w:rsidRPr="00937C8B" w:rsidRDefault="002A4DDF" w:rsidP="009110ED">
            <w:pPr>
              <w:rPr>
                <w:rFonts w:ascii="Arial" w:hAnsi="Arial" w:cs="Arial"/>
                <w:sz w:val="12"/>
                <w:szCs w:val="12"/>
              </w:rPr>
            </w:pPr>
          </w:p>
        </w:tc>
        <w:tc>
          <w:tcPr>
            <w:tcW w:w="2268" w:type="dxa"/>
            <w:shd w:val="clear" w:color="auto" w:fill="F2F2F2"/>
            <w:hideMark/>
          </w:tcPr>
          <w:p w14:paraId="0F644276" w14:textId="77777777" w:rsidR="002A4DDF" w:rsidRPr="00937C8B" w:rsidRDefault="002A4DDF" w:rsidP="009110ED">
            <w:pPr>
              <w:rPr>
                <w:rFonts w:ascii="Arial" w:hAnsi="Arial" w:cs="Arial"/>
                <w:sz w:val="12"/>
                <w:szCs w:val="12"/>
              </w:rPr>
            </w:pPr>
            <w:r>
              <w:rPr>
                <w:rFonts w:ascii="Arial" w:hAnsi="Arial"/>
                <w:sz w:val="12"/>
                <w:szCs w:val="12"/>
              </w:rPr>
              <w:t>Anquela del Pedregal</w:t>
            </w:r>
          </w:p>
        </w:tc>
        <w:tc>
          <w:tcPr>
            <w:tcW w:w="2268" w:type="dxa"/>
            <w:tcBorders>
              <w:right w:val="single" w:sz="4" w:space="0" w:color="auto"/>
            </w:tcBorders>
            <w:shd w:val="clear" w:color="auto" w:fill="D9D9D9"/>
            <w:hideMark/>
          </w:tcPr>
          <w:p w14:paraId="14565A66" w14:textId="77777777" w:rsidR="002A4DDF" w:rsidRPr="00937C8B" w:rsidRDefault="002A4DDF" w:rsidP="009110ED">
            <w:pPr>
              <w:rPr>
                <w:rFonts w:ascii="Arial" w:hAnsi="Arial" w:cs="Arial"/>
                <w:sz w:val="12"/>
                <w:szCs w:val="12"/>
              </w:rPr>
            </w:pPr>
            <w:r>
              <w:rPr>
                <w:rFonts w:ascii="Arial" w:hAnsi="Arial"/>
                <w:sz w:val="12"/>
                <w:szCs w:val="12"/>
              </w:rPr>
              <w:t>Gascueña de Bornova</w:t>
            </w:r>
          </w:p>
        </w:tc>
      </w:tr>
      <w:tr w:rsidR="002A4DDF" w:rsidRPr="00937C8B" w14:paraId="4972DC9B" w14:textId="77777777" w:rsidTr="00935676">
        <w:trPr>
          <w:cantSplit/>
        </w:trPr>
        <w:tc>
          <w:tcPr>
            <w:tcW w:w="1696" w:type="dxa"/>
            <w:tcBorders>
              <w:left w:val="single" w:sz="4" w:space="0" w:color="auto"/>
            </w:tcBorders>
            <w:shd w:val="clear" w:color="auto" w:fill="auto"/>
          </w:tcPr>
          <w:p w14:paraId="7A5144CF" w14:textId="77777777" w:rsidR="002A4DDF" w:rsidRPr="00937C8B" w:rsidRDefault="002A4DDF" w:rsidP="009110ED">
            <w:pPr>
              <w:rPr>
                <w:rFonts w:ascii="Arial" w:hAnsi="Arial" w:cs="Arial"/>
                <w:sz w:val="12"/>
                <w:szCs w:val="12"/>
              </w:rPr>
            </w:pPr>
          </w:p>
        </w:tc>
        <w:tc>
          <w:tcPr>
            <w:tcW w:w="1843" w:type="dxa"/>
            <w:shd w:val="clear" w:color="auto" w:fill="auto"/>
          </w:tcPr>
          <w:p w14:paraId="1AC9A40D" w14:textId="77777777" w:rsidR="002A4DDF" w:rsidRPr="00937C8B" w:rsidRDefault="002A4DDF" w:rsidP="009110ED">
            <w:pPr>
              <w:rPr>
                <w:rFonts w:ascii="Arial" w:hAnsi="Arial" w:cs="Arial"/>
                <w:sz w:val="12"/>
                <w:szCs w:val="12"/>
              </w:rPr>
            </w:pPr>
          </w:p>
        </w:tc>
        <w:tc>
          <w:tcPr>
            <w:tcW w:w="2268" w:type="dxa"/>
            <w:shd w:val="clear" w:color="auto" w:fill="F2F2F2"/>
            <w:hideMark/>
          </w:tcPr>
          <w:p w14:paraId="44A73B19" w14:textId="77777777" w:rsidR="002A4DDF" w:rsidRPr="00937C8B" w:rsidRDefault="002A4DDF" w:rsidP="009110ED">
            <w:pPr>
              <w:rPr>
                <w:rFonts w:ascii="Arial" w:hAnsi="Arial" w:cs="Arial"/>
                <w:sz w:val="12"/>
                <w:szCs w:val="12"/>
              </w:rPr>
            </w:pPr>
            <w:r>
              <w:rPr>
                <w:rFonts w:ascii="Arial" w:hAnsi="Arial"/>
                <w:sz w:val="12"/>
                <w:szCs w:val="12"/>
              </w:rPr>
              <w:t>Arbancón</w:t>
            </w:r>
          </w:p>
        </w:tc>
        <w:tc>
          <w:tcPr>
            <w:tcW w:w="2268" w:type="dxa"/>
            <w:tcBorders>
              <w:right w:val="single" w:sz="4" w:space="0" w:color="auto"/>
            </w:tcBorders>
            <w:shd w:val="clear" w:color="auto" w:fill="D9D9D9"/>
            <w:hideMark/>
          </w:tcPr>
          <w:p w14:paraId="5E9306A5" w14:textId="77777777" w:rsidR="002A4DDF" w:rsidRPr="00937C8B" w:rsidRDefault="002A4DDF" w:rsidP="009110ED">
            <w:pPr>
              <w:rPr>
                <w:rFonts w:ascii="Arial" w:hAnsi="Arial" w:cs="Arial"/>
                <w:sz w:val="12"/>
                <w:szCs w:val="12"/>
              </w:rPr>
            </w:pPr>
            <w:r>
              <w:rPr>
                <w:rFonts w:ascii="Arial" w:hAnsi="Arial"/>
                <w:sz w:val="12"/>
                <w:szCs w:val="12"/>
              </w:rPr>
              <w:t>Hiendelaencina</w:t>
            </w:r>
          </w:p>
        </w:tc>
      </w:tr>
      <w:tr w:rsidR="002A4DDF" w:rsidRPr="00937C8B" w14:paraId="5FDF8B68" w14:textId="77777777" w:rsidTr="00935676">
        <w:trPr>
          <w:cantSplit/>
        </w:trPr>
        <w:tc>
          <w:tcPr>
            <w:tcW w:w="1696" w:type="dxa"/>
            <w:tcBorders>
              <w:left w:val="single" w:sz="4" w:space="0" w:color="auto"/>
            </w:tcBorders>
            <w:shd w:val="clear" w:color="auto" w:fill="auto"/>
          </w:tcPr>
          <w:p w14:paraId="5685F907" w14:textId="77777777" w:rsidR="002A4DDF" w:rsidRPr="00937C8B" w:rsidRDefault="002A4DDF" w:rsidP="009110ED">
            <w:pPr>
              <w:rPr>
                <w:rFonts w:ascii="Arial" w:hAnsi="Arial" w:cs="Arial"/>
                <w:sz w:val="12"/>
                <w:szCs w:val="12"/>
              </w:rPr>
            </w:pPr>
          </w:p>
        </w:tc>
        <w:tc>
          <w:tcPr>
            <w:tcW w:w="1843" w:type="dxa"/>
            <w:shd w:val="clear" w:color="auto" w:fill="auto"/>
          </w:tcPr>
          <w:p w14:paraId="6CAF6FC3" w14:textId="77777777" w:rsidR="002A4DDF" w:rsidRPr="00937C8B" w:rsidRDefault="002A4DDF" w:rsidP="009110ED">
            <w:pPr>
              <w:rPr>
                <w:rFonts w:ascii="Arial" w:hAnsi="Arial" w:cs="Arial"/>
                <w:sz w:val="12"/>
                <w:szCs w:val="12"/>
              </w:rPr>
            </w:pPr>
          </w:p>
        </w:tc>
        <w:tc>
          <w:tcPr>
            <w:tcW w:w="2268" w:type="dxa"/>
            <w:shd w:val="clear" w:color="auto" w:fill="F2F2F2"/>
            <w:hideMark/>
          </w:tcPr>
          <w:p w14:paraId="215F6D19" w14:textId="77777777" w:rsidR="002A4DDF" w:rsidRPr="00937C8B" w:rsidRDefault="002A4DDF" w:rsidP="009110ED">
            <w:pPr>
              <w:rPr>
                <w:rFonts w:ascii="Arial" w:hAnsi="Arial" w:cs="Arial"/>
                <w:sz w:val="12"/>
                <w:szCs w:val="12"/>
              </w:rPr>
            </w:pPr>
            <w:r>
              <w:rPr>
                <w:rFonts w:ascii="Arial" w:hAnsi="Arial"/>
                <w:sz w:val="12"/>
                <w:szCs w:val="12"/>
              </w:rPr>
              <w:t>Argecilla</w:t>
            </w:r>
          </w:p>
        </w:tc>
        <w:tc>
          <w:tcPr>
            <w:tcW w:w="2268" w:type="dxa"/>
            <w:tcBorders>
              <w:right w:val="single" w:sz="4" w:space="0" w:color="auto"/>
            </w:tcBorders>
            <w:shd w:val="clear" w:color="auto" w:fill="D9D9D9"/>
            <w:hideMark/>
          </w:tcPr>
          <w:p w14:paraId="64E9293A" w14:textId="77777777" w:rsidR="002A4DDF" w:rsidRPr="00937C8B" w:rsidRDefault="002A4DDF" w:rsidP="009110ED">
            <w:pPr>
              <w:rPr>
                <w:rFonts w:ascii="Arial" w:hAnsi="Arial" w:cs="Arial"/>
                <w:sz w:val="12"/>
                <w:szCs w:val="12"/>
              </w:rPr>
            </w:pPr>
            <w:r>
              <w:rPr>
                <w:rFonts w:ascii="Arial" w:hAnsi="Arial"/>
                <w:sz w:val="12"/>
                <w:szCs w:val="12"/>
              </w:rPr>
              <w:t>La Bodera</w:t>
            </w:r>
          </w:p>
        </w:tc>
      </w:tr>
      <w:tr w:rsidR="002A4DDF" w:rsidRPr="00937C8B" w14:paraId="395D9660" w14:textId="77777777" w:rsidTr="00935676">
        <w:trPr>
          <w:cantSplit/>
        </w:trPr>
        <w:tc>
          <w:tcPr>
            <w:tcW w:w="1696" w:type="dxa"/>
            <w:tcBorders>
              <w:left w:val="single" w:sz="4" w:space="0" w:color="auto"/>
            </w:tcBorders>
            <w:shd w:val="clear" w:color="auto" w:fill="auto"/>
          </w:tcPr>
          <w:p w14:paraId="1DF3FFDB" w14:textId="77777777" w:rsidR="002A4DDF" w:rsidRPr="00937C8B" w:rsidRDefault="002A4DDF" w:rsidP="009110ED">
            <w:pPr>
              <w:rPr>
                <w:rFonts w:ascii="Arial" w:hAnsi="Arial" w:cs="Arial"/>
                <w:sz w:val="12"/>
                <w:szCs w:val="12"/>
              </w:rPr>
            </w:pPr>
          </w:p>
        </w:tc>
        <w:tc>
          <w:tcPr>
            <w:tcW w:w="1843" w:type="dxa"/>
            <w:shd w:val="clear" w:color="auto" w:fill="auto"/>
          </w:tcPr>
          <w:p w14:paraId="34AB3DB1" w14:textId="77777777" w:rsidR="002A4DDF" w:rsidRPr="00937C8B" w:rsidRDefault="002A4DDF" w:rsidP="009110ED">
            <w:pPr>
              <w:rPr>
                <w:rFonts w:ascii="Arial" w:hAnsi="Arial" w:cs="Arial"/>
                <w:sz w:val="12"/>
                <w:szCs w:val="12"/>
              </w:rPr>
            </w:pPr>
          </w:p>
        </w:tc>
        <w:tc>
          <w:tcPr>
            <w:tcW w:w="2268" w:type="dxa"/>
            <w:shd w:val="clear" w:color="auto" w:fill="F2F2F2"/>
            <w:hideMark/>
          </w:tcPr>
          <w:p w14:paraId="286A6D91" w14:textId="77777777" w:rsidR="002A4DDF" w:rsidRPr="00937C8B" w:rsidRDefault="002A4DDF" w:rsidP="009110ED">
            <w:pPr>
              <w:rPr>
                <w:rFonts w:ascii="Arial" w:hAnsi="Arial" w:cs="Arial"/>
                <w:sz w:val="12"/>
                <w:szCs w:val="12"/>
              </w:rPr>
            </w:pPr>
            <w:r>
              <w:rPr>
                <w:rFonts w:ascii="Arial" w:hAnsi="Arial"/>
                <w:sz w:val="12"/>
                <w:szCs w:val="12"/>
              </w:rPr>
              <w:t>Atienza</w:t>
            </w:r>
          </w:p>
        </w:tc>
        <w:tc>
          <w:tcPr>
            <w:tcW w:w="2268" w:type="dxa"/>
            <w:tcBorders>
              <w:right w:val="single" w:sz="4" w:space="0" w:color="auto"/>
            </w:tcBorders>
            <w:shd w:val="clear" w:color="auto" w:fill="D9D9D9"/>
            <w:hideMark/>
          </w:tcPr>
          <w:p w14:paraId="15FA2B58" w14:textId="77777777" w:rsidR="002A4DDF" w:rsidRPr="00937C8B" w:rsidRDefault="002A4DDF" w:rsidP="009110ED">
            <w:pPr>
              <w:rPr>
                <w:rFonts w:ascii="Arial" w:hAnsi="Arial" w:cs="Arial"/>
                <w:sz w:val="12"/>
                <w:szCs w:val="12"/>
              </w:rPr>
            </w:pPr>
            <w:r>
              <w:rPr>
                <w:rFonts w:ascii="Arial" w:hAnsi="Arial"/>
                <w:sz w:val="12"/>
                <w:szCs w:val="12"/>
              </w:rPr>
              <w:t>La Huerce</w:t>
            </w:r>
          </w:p>
        </w:tc>
      </w:tr>
      <w:tr w:rsidR="002A4DDF" w:rsidRPr="00937C8B" w14:paraId="7A76F5A7" w14:textId="77777777" w:rsidTr="00935676">
        <w:trPr>
          <w:cantSplit/>
        </w:trPr>
        <w:tc>
          <w:tcPr>
            <w:tcW w:w="1696" w:type="dxa"/>
            <w:tcBorders>
              <w:left w:val="single" w:sz="4" w:space="0" w:color="auto"/>
            </w:tcBorders>
            <w:shd w:val="clear" w:color="auto" w:fill="auto"/>
          </w:tcPr>
          <w:p w14:paraId="565EBEAF" w14:textId="77777777" w:rsidR="002A4DDF" w:rsidRPr="00937C8B" w:rsidRDefault="002A4DDF" w:rsidP="009110ED">
            <w:pPr>
              <w:rPr>
                <w:rFonts w:ascii="Arial" w:hAnsi="Arial" w:cs="Arial"/>
                <w:sz w:val="12"/>
                <w:szCs w:val="12"/>
              </w:rPr>
            </w:pPr>
          </w:p>
        </w:tc>
        <w:tc>
          <w:tcPr>
            <w:tcW w:w="1843" w:type="dxa"/>
            <w:shd w:val="clear" w:color="auto" w:fill="auto"/>
          </w:tcPr>
          <w:p w14:paraId="0BC6294D" w14:textId="77777777" w:rsidR="002A4DDF" w:rsidRPr="00937C8B" w:rsidRDefault="002A4DDF" w:rsidP="009110ED">
            <w:pPr>
              <w:rPr>
                <w:rFonts w:ascii="Arial" w:hAnsi="Arial" w:cs="Arial"/>
                <w:sz w:val="12"/>
                <w:szCs w:val="12"/>
              </w:rPr>
            </w:pPr>
          </w:p>
        </w:tc>
        <w:tc>
          <w:tcPr>
            <w:tcW w:w="2268" w:type="dxa"/>
            <w:shd w:val="clear" w:color="auto" w:fill="F2F2F2"/>
            <w:hideMark/>
          </w:tcPr>
          <w:p w14:paraId="4C2B2DC3" w14:textId="77777777" w:rsidR="002A4DDF" w:rsidRPr="00937C8B" w:rsidRDefault="002A4DDF" w:rsidP="009110ED">
            <w:pPr>
              <w:rPr>
                <w:rFonts w:ascii="Arial" w:hAnsi="Arial" w:cs="Arial"/>
                <w:sz w:val="12"/>
                <w:szCs w:val="12"/>
              </w:rPr>
            </w:pPr>
            <w:r>
              <w:rPr>
                <w:rFonts w:ascii="Arial" w:hAnsi="Arial"/>
                <w:sz w:val="12"/>
                <w:szCs w:val="12"/>
              </w:rPr>
              <w:t>Azuqueca de Henares</w:t>
            </w:r>
          </w:p>
        </w:tc>
        <w:tc>
          <w:tcPr>
            <w:tcW w:w="2268" w:type="dxa"/>
            <w:tcBorders>
              <w:right w:val="single" w:sz="4" w:space="0" w:color="auto"/>
            </w:tcBorders>
            <w:shd w:val="clear" w:color="auto" w:fill="D9D9D9"/>
            <w:hideMark/>
          </w:tcPr>
          <w:p w14:paraId="2F8773EC" w14:textId="77777777" w:rsidR="002A4DDF" w:rsidRPr="00937C8B" w:rsidRDefault="002A4DDF" w:rsidP="009110ED">
            <w:pPr>
              <w:rPr>
                <w:rFonts w:ascii="Arial" w:hAnsi="Arial" w:cs="Arial"/>
                <w:sz w:val="12"/>
                <w:szCs w:val="12"/>
              </w:rPr>
            </w:pPr>
            <w:r>
              <w:rPr>
                <w:rFonts w:ascii="Arial" w:hAnsi="Arial"/>
                <w:sz w:val="12"/>
                <w:szCs w:val="12"/>
              </w:rPr>
              <w:t>Las Navas de Jadraque</w:t>
            </w:r>
          </w:p>
        </w:tc>
      </w:tr>
      <w:tr w:rsidR="002A4DDF" w:rsidRPr="00937C8B" w14:paraId="5726CD6E" w14:textId="77777777" w:rsidTr="00935676">
        <w:trPr>
          <w:cantSplit/>
        </w:trPr>
        <w:tc>
          <w:tcPr>
            <w:tcW w:w="1696" w:type="dxa"/>
            <w:tcBorders>
              <w:left w:val="single" w:sz="4" w:space="0" w:color="auto"/>
            </w:tcBorders>
            <w:shd w:val="clear" w:color="auto" w:fill="auto"/>
          </w:tcPr>
          <w:p w14:paraId="40BB0E77" w14:textId="77777777" w:rsidR="002A4DDF" w:rsidRPr="00937C8B" w:rsidRDefault="002A4DDF" w:rsidP="009110ED">
            <w:pPr>
              <w:rPr>
                <w:rFonts w:ascii="Arial" w:hAnsi="Arial" w:cs="Arial"/>
                <w:sz w:val="12"/>
                <w:szCs w:val="12"/>
              </w:rPr>
            </w:pPr>
          </w:p>
        </w:tc>
        <w:tc>
          <w:tcPr>
            <w:tcW w:w="1843" w:type="dxa"/>
            <w:shd w:val="clear" w:color="auto" w:fill="auto"/>
          </w:tcPr>
          <w:p w14:paraId="6326BC60" w14:textId="77777777" w:rsidR="002A4DDF" w:rsidRPr="00937C8B" w:rsidRDefault="002A4DDF" w:rsidP="009110ED">
            <w:pPr>
              <w:rPr>
                <w:rFonts w:ascii="Arial" w:hAnsi="Arial" w:cs="Arial"/>
                <w:sz w:val="12"/>
                <w:szCs w:val="12"/>
              </w:rPr>
            </w:pPr>
          </w:p>
        </w:tc>
        <w:tc>
          <w:tcPr>
            <w:tcW w:w="2268" w:type="dxa"/>
            <w:shd w:val="clear" w:color="auto" w:fill="F2F2F2"/>
            <w:hideMark/>
          </w:tcPr>
          <w:p w14:paraId="6015A436" w14:textId="77777777" w:rsidR="002A4DDF" w:rsidRPr="00937C8B" w:rsidRDefault="002A4DDF" w:rsidP="009110ED">
            <w:pPr>
              <w:rPr>
                <w:rFonts w:ascii="Arial" w:hAnsi="Arial" w:cs="Arial"/>
                <w:sz w:val="12"/>
                <w:szCs w:val="12"/>
              </w:rPr>
            </w:pPr>
            <w:r>
              <w:rPr>
                <w:rFonts w:ascii="Arial" w:hAnsi="Arial"/>
                <w:sz w:val="12"/>
                <w:szCs w:val="12"/>
              </w:rPr>
              <w:t>Bañuelos</w:t>
            </w:r>
          </w:p>
        </w:tc>
        <w:tc>
          <w:tcPr>
            <w:tcW w:w="2268" w:type="dxa"/>
            <w:tcBorders>
              <w:right w:val="single" w:sz="4" w:space="0" w:color="auto"/>
            </w:tcBorders>
            <w:shd w:val="clear" w:color="auto" w:fill="D9D9D9"/>
            <w:hideMark/>
          </w:tcPr>
          <w:p w14:paraId="394996B1" w14:textId="77777777" w:rsidR="002A4DDF" w:rsidRPr="00937C8B" w:rsidRDefault="002A4DDF" w:rsidP="009110ED">
            <w:pPr>
              <w:rPr>
                <w:rFonts w:ascii="Arial" w:hAnsi="Arial" w:cs="Arial"/>
                <w:sz w:val="12"/>
                <w:szCs w:val="12"/>
              </w:rPr>
            </w:pPr>
            <w:r>
              <w:rPr>
                <w:rFonts w:ascii="Arial" w:hAnsi="Arial"/>
                <w:sz w:val="12"/>
                <w:szCs w:val="12"/>
              </w:rPr>
              <w:t>Tamajón</w:t>
            </w:r>
          </w:p>
        </w:tc>
      </w:tr>
      <w:tr w:rsidR="002A4DDF" w:rsidRPr="00937C8B" w14:paraId="26DDC433" w14:textId="77777777" w:rsidTr="00935676">
        <w:trPr>
          <w:cantSplit/>
        </w:trPr>
        <w:tc>
          <w:tcPr>
            <w:tcW w:w="1696" w:type="dxa"/>
            <w:tcBorders>
              <w:left w:val="single" w:sz="4" w:space="0" w:color="auto"/>
            </w:tcBorders>
            <w:shd w:val="clear" w:color="auto" w:fill="auto"/>
          </w:tcPr>
          <w:p w14:paraId="06A3D998" w14:textId="77777777" w:rsidR="002A4DDF" w:rsidRPr="00937C8B" w:rsidRDefault="002A4DDF" w:rsidP="009110ED">
            <w:pPr>
              <w:rPr>
                <w:rFonts w:ascii="Arial" w:hAnsi="Arial" w:cs="Arial"/>
                <w:sz w:val="12"/>
                <w:szCs w:val="12"/>
              </w:rPr>
            </w:pPr>
          </w:p>
        </w:tc>
        <w:tc>
          <w:tcPr>
            <w:tcW w:w="1843" w:type="dxa"/>
            <w:shd w:val="clear" w:color="auto" w:fill="auto"/>
          </w:tcPr>
          <w:p w14:paraId="56DF4D85" w14:textId="77777777" w:rsidR="002A4DDF" w:rsidRPr="00937C8B" w:rsidRDefault="002A4DDF" w:rsidP="009110ED">
            <w:pPr>
              <w:rPr>
                <w:rFonts w:ascii="Arial" w:hAnsi="Arial" w:cs="Arial"/>
                <w:sz w:val="12"/>
                <w:szCs w:val="12"/>
              </w:rPr>
            </w:pPr>
          </w:p>
        </w:tc>
        <w:tc>
          <w:tcPr>
            <w:tcW w:w="2268" w:type="dxa"/>
            <w:shd w:val="clear" w:color="auto" w:fill="F2F2F2"/>
            <w:hideMark/>
          </w:tcPr>
          <w:p w14:paraId="4FADD516" w14:textId="77777777" w:rsidR="002A4DDF" w:rsidRPr="00937C8B" w:rsidRDefault="002A4DDF" w:rsidP="009110ED">
            <w:pPr>
              <w:rPr>
                <w:rFonts w:ascii="Arial" w:hAnsi="Arial" w:cs="Arial"/>
                <w:sz w:val="12"/>
                <w:szCs w:val="12"/>
              </w:rPr>
            </w:pPr>
            <w:r>
              <w:rPr>
                <w:rFonts w:ascii="Arial" w:hAnsi="Arial"/>
                <w:sz w:val="12"/>
                <w:szCs w:val="12"/>
              </w:rPr>
              <w:t>Cabanillas del Campo</w:t>
            </w:r>
          </w:p>
        </w:tc>
        <w:tc>
          <w:tcPr>
            <w:tcW w:w="2268" w:type="dxa"/>
            <w:tcBorders>
              <w:right w:val="single" w:sz="4" w:space="0" w:color="auto"/>
            </w:tcBorders>
            <w:shd w:val="clear" w:color="auto" w:fill="D9D9D9"/>
            <w:hideMark/>
          </w:tcPr>
          <w:p w14:paraId="5AD48ACD" w14:textId="77777777" w:rsidR="002A4DDF" w:rsidRPr="00937C8B" w:rsidRDefault="002A4DDF" w:rsidP="009110ED">
            <w:pPr>
              <w:rPr>
                <w:rFonts w:ascii="Arial" w:hAnsi="Arial" w:cs="Arial"/>
                <w:sz w:val="12"/>
                <w:szCs w:val="12"/>
              </w:rPr>
            </w:pPr>
            <w:r>
              <w:rPr>
                <w:rFonts w:ascii="Arial" w:hAnsi="Arial"/>
                <w:sz w:val="12"/>
                <w:szCs w:val="12"/>
              </w:rPr>
              <w:t>Valverde de los Arroyos</w:t>
            </w:r>
          </w:p>
        </w:tc>
      </w:tr>
      <w:tr w:rsidR="002A4DDF" w:rsidRPr="00937C8B" w14:paraId="7C160B3B" w14:textId="77777777" w:rsidTr="00935676">
        <w:trPr>
          <w:cantSplit/>
        </w:trPr>
        <w:tc>
          <w:tcPr>
            <w:tcW w:w="1696" w:type="dxa"/>
            <w:tcBorders>
              <w:left w:val="single" w:sz="4" w:space="0" w:color="auto"/>
            </w:tcBorders>
            <w:shd w:val="clear" w:color="auto" w:fill="auto"/>
          </w:tcPr>
          <w:p w14:paraId="24BC9752" w14:textId="77777777" w:rsidR="002A4DDF" w:rsidRPr="00937C8B" w:rsidRDefault="002A4DDF" w:rsidP="009110ED">
            <w:pPr>
              <w:rPr>
                <w:rFonts w:ascii="Arial" w:hAnsi="Arial" w:cs="Arial"/>
                <w:sz w:val="12"/>
                <w:szCs w:val="12"/>
              </w:rPr>
            </w:pPr>
          </w:p>
        </w:tc>
        <w:tc>
          <w:tcPr>
            <w:tcW w:w="1843" w:type="dxa"/>
            <w:shd w:val="clear" w:color="auto" w:fill="auto"/>
          </w:tcPr>
          <w:p w14:paraId="7205E081" w14:textId="77777777" w:rsidR="002A4DDF" w:rsidRPr="00937C8B" w:rsidRDefault="002A4DDF" w:rsidP="009110ED">
            <w:pPr>
              <w:rPr>
                <w:rFonts w:ascii="Arial" w:hAnsi="Arial" w:cs="Arial"/>
                <w:sz w:val="12"/>
                <w:szCs w:val="12"/>
              </w:rPr>
            </w:pPr>
          </w:p>
        </w:tc>
        <w:tc>
          <w:tcPr>
            <w:tcW w:w="2268" w:type="dxa"/>
            <w:shd w:val="clear" w:color="auto" w:fill="F2F2F2"/>
            <w:hideMark/>
          </w:tcPr>
          <w:p w14:paraId="6682AC26" w14:textId="77777777" w:rsidR="002A4DDF" w:rsidRPr="00937C8B" w:rsidRDefault="002A4DDF" w:rsidP="009110ED">
            <w:pPr>
              <w:rPr>
                <w:rFonts w:ascii="Arial" w:hAnsi="Arial" w:cs="Arial"/>
                <w:sz w:val="12"/>
                <w:szCs w:val="12"/>
              </w:rPr>
            </w:pPr>
            <w:r>
              <w:rPr>
                <w:rFonts w:ascii="Arial" w:hAnsi="Arial"/>
                <w:sz w:val="12"/>
                <w:szCs w:val="12"/>
              </w:rPr>
              <w:t>Campillo de Dueñas</w:t>
            </w:r>
          </w:p>
        </w:tc>
        <w:tc>
          <w:tcPr>
            <w:tcW w:w="2268" w:type="dxa"/>
            <w:tcBorders>
              <w:right w:val="single" w:sz="4" w:space="0" w:color="auto"/>
            </w:tcBorders>
            <w:shd w:val="clear" w:color="auto" w:fill="D9D9D9"/>
            <w:hideMark/>
          </w:tcPr>
          <w:p w14:paraId="3E130E3D" w14:textId="77777777" w:rsidR="002A4DDF" w:rsidRPr="00937C8B" w:rsidRDefault="002A4DDF" w:rsidP="009110ED">
            <w:pPr>
              <w:rPr>
                <w:rFonts w:ascii="Arial" w:hAnsi="Arial" w:cs="Arial"/>
                <w:sz w:val="12"/>
                <w:szCs w:val="12"/>
              </w:rPr>
            </w:pPr>
            <w:r>
              <w:rPr>
                <w:rFonts w:ascii="Arial" w:hAnsi="Arial"/>
                <w:sz w:val="12"/>
                <w:szCs w:val="12"/>
              </w:rPr>
              <w:t>Villares de Jadraque</w:t>
            </w:r>
          </w:p>
        </w:tc>
      </w:tr>
      <w:tr w:rsidR="002A4DDF" w:rsidRPr="00937C8B" w14:paraId="67529F0B" w14:textId="77777777" w:rsidTr="00935676">
        <w:trPr>
          <w:cantSplit/>
        </w:trPr>
        <w:tc>
          <w:tcPr>
            <w:tcW w:w="1696" w:type="dxa"/>
            <w:tcBorders>
              <w:left w:val="single" w:sz="4" w:space="0" w:color="auto"/>
            </w:tcBorders>
            <w:shd w:val="clear" w:color="auto" w:fill="auto"/>
          </w:tcPr>
          <w:p w14:paraId="74B9C4CD" w14:textId="77777777" w:rsidR="002A4DDF" w:rsidRPr="00937C8B" w:rsidRDefault="002A4DDF" w:rsidP="009110ED">
            <w:pPr>
              <w:rPr>
                <w:rFonts w:ascii="Arial" w:hAnsi="Arial" w:cs="Arial"/>
                <w:sz w:val="12"/>
                <w:szCs w:val="12"/>
              </w:rPr>
            </w:pPr>
          </w:p>
        </w:tc>
        <w:tc>
          <w:tcPr>
            <w:tcW w:w="1843" w:type="dxa"/>
            <w:shd w:val="clear" w:color="auto" w:fill="auto"/>
          </w:tcPr>
          <w:p w14:paraId="15BFDBBE" w14:textId="77777777" w:rsidR="002A4DDF" w:rsidRPr="00937C8B" w:rsidRDefault="002A4DDF" w:rsidP="009110ED">
            <w:pPr>
              <w:rPr>
                <w:rFonts w:ascii="Arial" w:hAnsi="Arial" w:cs="Arial"/>
                <w:sz w:val="12"/>
                <w:szCs w:val="12"/>
              </w:rPr>
            </w:pPr>
          </w:p>
        </w:tc>
        <w:tc>
          <w:tcPr>
            <w:tcW w:w="2268" w:type="dxa"/>
            <w:shd w:val="clear" w:color="auto" w:fill="F2F2F2"/>
            <w:hideMark/>
          </w:tcPr>
          <w:p w14:paraId="7C5DD7D2" w14:textId="77777777" w:rsidR="002A4DDF" w:rsidRPr="00937C8B" w:rsidRDefault="002A4DDF" w:rsidP="009110ED">
            <w:pPr>
              <w:rPr>
                <w:rFonts w:ascii="Arial" w:hAnsi="Arial" w:cs="Arial"/>
                <w:sz w:val="12"/>
                <w:szCs w:val="12"/>
              </w:rPr>
            </w:pPr>
            <w:r>
              <w:rPr>
                <w:rFonts w:ascii="Arial" w:hAnsi="Arial"/>
                <w:sz w:val="12"/>
                <w:szCs w:val="12"/>
              </w:rPr>
              <w:t>Campillo de Ranas</w:t>
            </w:r>
          </w:p>
        </w:tc>
        <w:tc>
          <w:tcPr>
            <w:tcW w:w="2268" w:type="dxa"/>
            <w:tcBorders>
              <w:right w:val="single" w:sz="4" w:space="0" w:color="auto"/>
            </w:tcBorders>
            <w:shd w:val="clear" w:color="auto" w:fill="D9D9D9"/>
            <w:hideMark/>
          </w:tcPr>
          <w:p w14:paraId="372D7E4A" w14:textId="77777777" w:rsidR="002A4DDF" w:rsidRPr="00937C8B" w:rsidRDefault="002A4DDF" w:rsidP="009110ED">
            <w:pPr>
              <w:rPr>
                <w:rFonts w:ascii="Arial" w:hAnsi="Arial" w:cs="Arial"/>
                <w:sz w:val="12"/>
                <w:szCs w:val="12"/>
              </w:rPr>
            </w:pPr>
            <w:r>
              <w:rPr>
                <w:rFonts w:ascii="Arial" w:hAnsi="Arial"/>
                <w:sz w:val="12"/>
                <w:szCs w:val="12"/>
              </w:rPr>
              <w:t>Zarzuela de Jadraque</w:t>
            </w:r>
          </w:p>
        </w:tc>
      </w:tr>
      <w:tr w:rsidR="002A4DDF" w:rsidRPr="00937C8B" w14:paraId="0FA263D8" w14:textId="77777777" w:rsidTr="00935676">
        <w:trPr>
          <w:cantSplit/>
        </w:trPr>
        <w:tc>
          <w:tcPr>
            <w:tcW w:w="1696" w:type="dxa"/>
            <w:tcBorders>
              <w:left w:val="single" w:sz="4" w:space="0" w:color="auto"/>
            </w:tcBorders>
            <w:shd w:val="clear" w:color="auto" w:fill="auto"/>
          </w:tcPr>
          <w:p w14:paraId="67AC51BE" w14:textId="77777777" w:rsidR="002A4DDF" w:rsidRPr="00937C8B" w:rsidRDefault="002A4DDF" w:rsidP="009110ED">
            <w:pPr>
              <w:rPr>
                <w:rFonts w:ascii="Arial" w:hAnsi="Arial" w:cs="Arial"/>
                <w:sz w:val="12"/>
                <w:szCs w:val="12"/>
              </w:rPr>
            </w:pPr>
          </w:p>
        </w:tc>
        <w:tc>
          <w:tcPr>
            <w:tcW w:w="1843" w:type="dxa"/>
            <w:shd w:val="clear" w:color="auto" w:fill="auto"/>
          </w:tcPr>
          <w:p w14:paraId="58C8E3AD" w14:textId="77777777" w:rsidR="002A4DDF" w:rsidRPr="00937C8B" w:rsidRDefault="002A4DDF" w:rsidP="009110ED">
            <w:pPr>
              <w:rPr>
                <w:rFonts w:ascii="Arial" w:hAnsi="Arial" w:cs="Arial"/>
                <w:sz w:val="12"/>
                <w:szCs w:val="12"/>
              </w:rPr>
            </w:pPr>
          </w:p>
        </w:tc>
        <w:tc>
          <w:tcPr>
            <w:tcW w:w="2268" w:type="dxa"/>
            <w:shd w:val="clear" w:color="auto" w:fill="F2F2F2"/>
            <w:hideMark/>
          </w:tcPr>
          <w:p w14:paraId="2DD35524" w14:textId="77777777" w:rsidR="002A4DDF" w:rsidRPr="00937C8B" w:rsidRDefault="002A4DDF" w:rsidP="009110ED">
            <w:pPr>
              <w:rPr>
                <w:rFonts w:ascii="Arial" w:hAnsi="Arial" w:cs="Arial"/>
                <w:sz w:val="12"/>
                <w:szCs w:val="12"/>
              </w:rPr>
            </w:pPr>
            <w:r>
              <w:rPr>
                <w:rFonts w:ascii="Arial" w:hAnsi="Arial"/>
                <w:sz w:val="12"/>
                <w:szCs w:val="12"/>
              </w:rPr>
              <w:t>Campisábalos</w:t>
            </w:r>
          </w:p>
        </w:tc>
        <w:tc>
          <w:tcPr>
            <w:tcW w:w="2268" w:type="dxa"/>
            <w:tcBorders>
              <w:right w:val="single" w:sz="4" w:space="0" w:color="auto"/>
            </w:tcBorders>
            <w:shd w:val="clear" w:color="auto" w:fill="D9D9D9"/>
            <w:hideMark/>
          </w:tcPr>
          <w:p w14:paraId="1F761222" w14:textId="77777777" w:rsidR="002A4DDF" w:rsidRPr="00937C8B" w:rsidRDefault="002A4DDF" w:rsidP="009110ED">
            <w:pPr>
              <w:rPr>
                <w:rFonts w:ascii="Arial" w:hAnsi="Arial" w:cs="Arial"/>
                <w:sz w:val="12"/>
                <w:szCs w:val="12"/>
              </w:rPr>
            </w:pPr>
          </w:p>
        </w:tc>
      </w:tr>
      <w:tr w:rsidR="002A4DDF" w:rsidRPr="00937C8B" w14:paraId="1A77F9C7" w14:textId="77777777" w:rsidTr="00935676">
        <w:trPr>
          <w:cantSplit/>
        </w:trPr>
        <w:tc>
          <w:tcPr>
            <w:tcW w:w="1696" w:type="dxa"/>
            <w:tcBorders>
              <w:left w:val="single" w:sz="4" w:space="0" w:color="auto"/>
            </w:tcBorders>
            <w:shd w:val="clear" w:color="auto" w:fill="auto"/>
          </w:tcPr>
          <w:p w14:paraId="63DCFF80" w14:textId="77777777" w:rsidR="002A4DDF" w:rsidRPr="00937C8B" w:rsidRDefault="002A4DDF" w:rsidP="009110ED">
            <w:pPr>
              <w:rPr>
                <w:rFonts w:ascii="Arial" w:hAnsi="Arial" w:cs="Arial"/>
                <w:sz w:val="12"/>
                <w:szCs w:val="12"/>
              </w:rPr>
            </w:pPr>
          </w:p>
        </w:tc>
        <w:tc>
          <w:tcPr>
            <w:tcW w:w="1843" w:type="dxa"/>
            <w:shd w:val="clear" w:color="auto" w:fill="auto"/>
          </w:tcPr>
          <w:p w14:paraId="3042CDE2" w14:textId="77777777" w:rsidR="002A4DDF" w:rsidRPr="00937C8B" w:rsidRDefault="002A4DDF" w:rsidP="009110ED">
            <w:pPr>
              <w:rPr>
                <w:rFonts w:ascii="Arial" w:hAnsi="Arial" w:cs="Arial"/>
                <w:sz w:val="12"/>
                <w:szCs w:val="12"/>
              </w:rPr>
            </w:pPr>
          </w:p>
        </w:tc>
        <w:tc>
          <w:tcPr>
            <w:tcW w:w="2268" w:type="dxa"/>
            <w:shd w:val="clear" w:color="auto" w:fill="F2F2F2"/>
            <w:hideMark/>
          </w:tcPr>
          <w:p w14:paraId="0DE11EA9" w14:textId="77777777" w:rsidR="002A4DDF" w:rsidRPr="00937C8B" w:rsidRDefault="002A4DDF" w:rsidP="009110ED">
            <w:pPr>
              <w:rPr>
                <w:rFonts w:ascii="Arial" w:hAnsi="Arial" w:cs="Arial"/>
                <w:sz w:val="12"/>
                <w:szCs w:val="12"/>
              </w:rPr>
            </w:pPr>
            <w:r>
              <w:rPr>
                <w:rFonts w:ascii="Arial" w:hAnsi="Arial"/>
                <w:sz w:val="12"/>
                <w:szCs w:val="12"/>
              </w:rPr>
              <w:t>Cantalojas</w:t>
            </w:r>
          </w:p>
        </w:tc>
        <w:tc>
          <w:tcPr>
            <w:tcW w:w="2268" w:type="dxa"/>
            <w:tcBorders>
              <w:right w:val="single" w:sz="4" w:space="0" w:color="auto"/>
            </w:tcBorders>
            <w:shd w:val="clear" w:color="auto" w:fill="D9D9D9"/>
            <w:hideMark/>
          </w:tcPr>
          <w:p w14:paraId="1061FEC8" w14:textId="77777777" w:rsidR="002A4DDF" w:rsidRPr="00937C8B" w:rsidRDefault="002A4DDF" w:rsidP="009110ED">
            <w:pPr>
              <w:rPr>
                <w:rFonts w:ascii="Arial" w:hAnsi="Arial" w:cs="Arial"/>
                <w:sz w:val="12"/>
                <w:szCs w:val="12"/>
              </w:rPr>
            </w:pPr>
          </w:p>
        </w:tc>
      </w:tr>
      <w:tr w:rsidR="002A4DDF" w:rsidRPr="00937C8B" w14:paraId="02187EAF" w14:textId="77777777" w:rsidTr="00935676">
        <w:trPr>
          <w:cantSplit/>
        </w:trPr>
        <w:tc>
          <w:tcPr>
            <w:tcW w:w="1696" w:type="dxa"/>
            <w:tcBorders>
              <w:left w:val="single" w:sz="4" w:space="0" w:color="auto"/>
            </w:tcBorders>
            <w:shd w:val="clear" w:color="auto" w:fill="auto"/>
          </w:tcPr>
          <w:p w14:paraId="07B606D6" w14:textId="77777777" w:rsidR="002A4DDF" w:rsidRPr="00937C8B" w:rsidRDefault="002A4DDF" w:rsidP="009110ED">
            <w:pPr>
              <w:rPr>
                <w:rFonts w:ascii="Arial" w:hAnsi="Arial" w:cs="Arial"/>
                <w:sz w:val="12"/>
                <w:szCs w:val="12"/>
              </w:rPr>
            </w:pPr>
          </w:p>
        </w:tc>
        <w:tc>
          <w:tcPr>
            <w:tcW w:w="1843" w:type="dxa"/>
            <w:shd w:val="clear" w:color="auto" w:fill="auto"/>
          </w:tcPr>
          <w:p w14:paraId="6D30F46A" w14:textId="77777777" w:rsidR="002A4DDF" w:rsidRPr="00937C8B" w:rsidRDefault="002A4DDF" w:rsidP="009110ED">
            <w:pPr>
              <w:rPr>
                <w:rFonts w:ascii="Arial" w:hAnsi="Arial" w:cs="Arial"/>
                <w:sz w:val="12"/>
                <w:szCs w:val="12"/>
              </w:rPr>
            </w:pPr>
          </w:p>
        </w:tc>
        <w:tc>
          <w:tcPr>
            <w:tcW w:w="2268" w:type="dxa"/>
            <w:shd w:val="clear" w:color="auto" w:fill="F2F2F2"/>
            <w:hideMark/>
          </w:tcPr>
          <w:p w14:paraId="0A1D7AF3" w14:textId="77777777" w:rsidR="002A4DDF" w:rsidRPr="00937C8B" w:rsidRDefault="002A4DDF" w:rsidP="009110ED">
            <w:pPr>
              <w:rPr>
                <w:rFonts w:ascii="Arial" w:hAnsi="Arial" w:cs="Arial"/>
                <w:sz w:val="12"/>
                <w:szCs w:val="12"/>
              </w:rPr>
            </w:pPr>
            <w:r>
              <w:rPr>
                <w:rFonts w:ascii="Arial" w:hAnsi="Arial"/>
                <w:sz w:val="12"/>
                <w:szCs w:val="12"/>
              </w:rPr>
              <w:t>Casa de Uceda</w:t>
            </w:r>
          </w:p>
        </w:tc>
        <w:tc>
          <w:tcPr>
            <w:tcW w:w="2268" w:type="dxa"/>
            <w:tcBorders>
              <w:right w:val="single" w:sz="4" w:space="0" w:color="auto"/>
            </w:tcBorders>
            <w:shd w:val="clear" w:color="auto" w:fill="D9D9D9"/>
            <w:hideMark/>
          </w:tcPr>
          <w:p w14:paraId="28027A3F" w14:textId="77777777" w:rsidR="002A4DDF" w:rsidRPr="00937C8B" w:rsidRDefault="002A4DDF" w:rsidP="009110ED">
            <w:pPr>
              <w:rPr>
                <w:rFonts w:ascii="Arial" w:hAnsi="Arial" w:cs="Arial"/>
                <w:sz w:val="12"/>
                <w:szCs w:val="12"/>
              </w:rPr>
            </w:pPr>
          </w:p>
        </w:tc>
      </w:tr>
      <w:tr w:rsidR="002A4DDF" w:rsidRPr="00937C8B" w14:paraId="6F51F736" w14:textId="77777777" w:rsidTr="00935676">
        <w:trPr>
          <w:cantSplit/>
        </w:trPr>
        <w:tc>
          <w:tcPr>
            <w:tcW w:w="1696" w:type="dxa"/>
            <w:tcBorders>
              <w:left w:val="single" w:sz="4" w:space="0" w:color="auto"/>
            </w:tcBorders>
            <w:shd w:val="clear" w:color="auto" w:fill="auto"/>
          </w:tcPr>
          <w:p w14:paraId="00C0B11B" w14:textId="77777777" w:rsidR="002A4DDF" w:rsidRPr="00937C8B" w:rsidRDefault="002A4DDF" w:rsidP="009110ED">
            <w:pPr>
              <w:rPr>
                <w:rFonts w:ascii="Arial" w:hAnsi="Arial" w:cs="Arial"/>
                <w:sz w:val="12"/>
                <w:szCs w:val="12"/>
              </w:rPr>
            </w:pPr>
          </w:p>
        </w:tc>
        <w:tc>
          <w:tcPr>
            <w:tcW w:w="1843" w:type="dxa"/>
            <w:shd w:val="clear" w:color="auto" w:fill="auto"/>
          </w:tcPr>
          <w:p w14:paraId="7B570EC2" w14:textId="77777777" w:rsidR="002A4DDF" w:rsidRPr="00937C8B" w:rsidRDefault="002A4DDF" w:rsidP="009110ED">
            <w:pPr>
              <w:rPr>
                <w:rFonts w:ascii="Arial" w:hAnsi="Arial" w:cs="Arial"/>
                <w:sz w:val="12"/>
                <w:szCs w:val="12"/>
              </w:rPr>
            </w:pPr>
          </w:p>
        </w:tc>
        <w:tc>
          <w:tcPr>
            <w:tcW w:w="2268" w:type="dxa"/>
            <w:shd w:val="clear" w:color="auto" w:fill="F2F2F2"/>
            <w:hideMark/>
          </w:tcPr>
          <w:p w14:paraId="55DE10EB" w14:textId="77777777" w:rsidR="002A4DDF" w:rsidRPr="00937C8B" w:rsidRDefault="002A4DDF" w:rsidP="009110ED">
            <w:pPr>
              <w:rPr>
                <w:rFonts w:ascii="Arial" w:hAnsi="Arial" w:cs="Arial"/>
                <w:sz w:val="12"/>
                <w:szCs w:val="12"/>
              </w:rPr>
            </w:pPr>
            <w:r>
              <w:rPr>
                <w:rFonts w:ascii="Arial" w:hAnsi="Arial"/>
                <w:sz w:val="12"/>
                <w:szCs w:val="12"/>
              </w:rPr>
              <w:t>Checa</w:t>
            </w:r>
          </w:p>
        </w:tc>
        <w:tc>
          <w:tcPr>
            <w:tcW w:w="2268" w:type="dxa"/>
            <w:tcBorders>
              <w:right w:val="single" w:sz="4" w:space="0" w:color="auto"/>
            </w:tcBorders>
            <w:shd w:val="clear" w:color="auto" w:fill="D9D9D9"/>
            <w:hideMark/>
          </w:tcPr>
          <w:p w14:paraId="433BFC7C" w14:textId="77777777" w:rsidR="002A4DDF" w:rsidRPr="00937C8B" w:rsidRDefault="002A4DDF" w:rsidP="009110ED">
            <w:pPr>
              <w:rPr>
                <w:rFonts w:ascii="Arial" w:hAnsi="Arial" w:cs="Arial"/>
                <w:sz w:val="12"/>
                <w:szCs w:val="12"/>
              </w:rPr>
            </w:pPr>
          </w:p>
        </w:tc>
      </w:tr>
      <w:tr w:rsidR="002A4DDF" w:rsidRPr="00937C8B" w14:paraId="71836EF1" w14:textId="77777777" w:rsidTr="00935676">
        <w:trPr>
          <w:cantSplit/>
        </w:trPr>
        <w:tc>
          <w:tcPr>
            <w:tcW w:w="1696" w:type="dxa"/>
            <w:tcBorders>
              <w:left w:val="single" w:sz="4" w:space="0" w:color="auto"/>
            </w:tcBorders>
            <w:shd w:val="clear" w:color="auto" w:fill="auto"/>
          </w:tcPr>
          <w:p w14:paraId="3685CE79" w14:textId="77777777" w:rsidR="002A4DDF" w:rsidRPr="00937C8B" w:rsidRDefault="002A4DDF" w:rsidP="009110ED">
            <w:pPr>
              <w:rPr>
                <w:rFonts w:ascii="Arial" w:hAnsi="Arial" w:cs="Arial"/>
                <w:sz w:val="12"/>
                <w:szCs w:val="12"/>
              </w:rPr>
            </w:pPr>
          </w:p>
        </w:tc>
        <w:tc>
          <w:tcPr>
            <w:tcW w:w="1843" w:type="dxa"/>
            <w:shd w:val="clear" w:color="auto" w:fill="auto"/>
          </w:tcPr>
          <w:p w14:paraId="464EDB89" w14:textId="77777777" w:rsidR="002A4DDF" w:rsidRPr="00937C8B" w:rsidRDefault="002A4DDF" w:rsidP="009110ED">
            <w:pPr>
              <w:rPr>
                <w:rFonts w:ascii="Arial" w:hAnsi="Arial" w:cs="Arial"/>
                <w:sz w:val="12"/>
                <w:szCs w:val="12"/>
              </w:rPr>
            </w:pPr>
          </w:p>
        </w:tc>
        <w:tc>
          <w:tcPr>
            <w:tcW w:w="2268" w:type="dxa"/>
            <w:shd w:val="clear" w:color="auto" w:fill="F2F2F2"/>
            <w:hideMark/>
          </w:tcPr>
          <w:p w14:paraId="5A48FFF8" w14:textId="77777777" w:rsidR="002A4DDF" w:rsidRPr="00937C8B" w:rsidRDefault="002A4DDF" w:rsidP="009110ED">
            <w:pPr>
              <w:rPr>
                <w:rFonts w:ascii="Arial" w:hAnsi="Arial" w:cs="Arial"/>
                <w:sz w:val="12"/>
                <w:szCs w:val="12"/>
              </w:rPr>
            </w:pPr>
            <w:r>
              <w:rPr>
                <w:rFonts w:ascii="Arial" w:hAnsi="Arial"/>
                <w:sz w:val="12"/>
                <w:szCs w:val="12"/>
              </w:rPr>
              <w:t>Chiloeches</w:t>
            </w:r>
          </w:p>
        </w:tc>
        <w:tc>
          <w:tcPr>
            <w:tcW w:w="2268" w:type="dxa"/>
            <w:tcBorders>
              <w:right w:val="single" w:sz="4" w:space="0" w:color="auto"/>
            </w:tcBorders>
            <w:shd w:val="clear" w:color="auto" w:fill="D9D9D9"/>
            <w:hideMark/>
          </w:tcPr>
          <w:p w14:paraId="3D90A7D5" w14:textId="77777777" w:rsidR="002A4DDF" w:rsidRPr="00937C8B" w:rsidRDefault="002A4DDF" w:rsidP="009110ED">
            <w:pPr>
              <w:rPr>
                <w:rFonts w:ascii="Arial" w:hAnsi="Arial" w:cs="Arial"/>
                <w:sz w:val="12"/>
                <w:szCs w:val="12"/>
              </w:rPr>
            </w:pPr>
          </w:p>
        </w:tc>
      </w:tr>
      <w:tr w:rsidR="002A4DDF" w:rsidRPr="00937C8B" w14:paraId="2D05D7A5" w14:textId="77777777" w:rsidTr="00935676">
        <w:trPr>
          <w:cantSplit/>
        </w:trPr>
        <w:tc>
          <w:tcPr>
            <w:tcW w:w="1696" w:type="dxa"/>
            <w:tcBorders>
              <w:left w:val="single" w:sz="4" w:space="0" w:color="auto"/>
            </w:tcBorders>
            <w:shd w:val="clear" w:color="auto" w:fill="auto"/>
          </w:tcPr>
          <w:p w14:paraId="5A440836" w14:textId="77777777" w:rsidR="002A4DDF" w:rsidRPr="00937C8B" w:rsidRDefault="002A4DDF" w:rsidP="009110ED">
            <w:pPr>
              <w:rPr>
                <w:rFonts w:ascii="Arial" w:hAnsi="Arial" w:cs="Arial"/>
                <w:sz w:val="12"/>
                <w:szCs w:val="12"/>
              </w:rPr>
            </w:pPr>
          </w:p>
        </w:tc>
        <w:tc>
          <w:tcPr>
            <w:tcW w:w="1843" w:type="dxa"/>
            <w:shd w:val="clear" w:color="auto" w:fill="auto"/>
          </w:tcPr>
          <w:p w14:paraId="7EFBF8C6" w14:textId="77777777" w:rsidR="002A4DDF" w:rsidRPr="00937C8B" w:rsidRDefault="002A4DDF" w:rsidP="009110ED">
            <w:pPr>
              <w:rPr>
                <w:rFonts w:ascii="Arial" w:hAnsi="Arial" w:cs="Arial"/>
                <w:sz w:val="12"/>
                <w:szCs w:val="12"/>
              </w:rPr>
            </w:pPr>
          </w:p>
        </w:tc>
        <w:tc>
          <w:tcPr>
            <w:tcW w:w="2268" w:type="dxa"/>
            <w:shd w:val="clear" w:color="auto" w:fill="F2F2F2"/>
            <w:hideMark/>
          </w:tcPr>
          <w:p w14:paraId="2383B91F" w14:textId="77777777" w:rsidR="002A4DDF" w:rsidRPr="00937C8B" w:rsidRDefault="002A4DDF" w:rsidP="009110ED">
            <w:pPr>
              <w:rPr>
                <w:rFonts w:ascii="Arial" w:hAnsi="Arial" w:cs="Arial"/>
                <w:sz w:val="12"/>
                <w:szCs w:val="12"/>
              </w:rPr>
            </w:pPr>
            <w:r>
              <w:rPr>
                <w:rFonts w:ascii="Arial" w:hAnsi="Arial"/>
                <w:sz w:val="12"/>
                <w:szCs w:val="12"/>
              </w:rPr>
              <w:t>Cincovillas</w:t>
            </w:r>
          </w:p>
        </w:tc>
        <w:tc>
          <w:tcPr>
            <w:tcW w:w="2268" w:type="dxa"/>
            <w:tcBorders>
              <w:right w:val="single" w:sz="4" w:space="0" w:color="auto"/>
            </w:tcBorders>
            <w:shd w:val="clear" w:color="auto" w:fill="D9D9D9"/>
            <w:hideMark/>
          </w:tcPr>
          <w:p w14:paraId="0F61910A" w14:textId="77777777" w:rsidR="002A4DDF" w:rsidRPr="00937C8B" w:rsidRDefault="002A4DDF" w:rsidP="009110ED">
            <w:pPr>
              <w:rPr>
                <w:rFonts w:ascii="Arial" w:hAnsi="Arial" w:cs="Arial"/>
                <w:sz w:val="12"/>
                <w:szCs w:val="12"/>
              </w:rPr>
            </w:pPr>
          </w:p>
        </w:tc>
      </w:tr>
      <w:tr w:rsidR="002A4DDF" w:rsidRPr="00937C8B" w14:paraId="5645767F" w14:textId="77777777" w:rsidTr="00935676">
        <w:trPr>
          <w:cantSplit/>
        </w:trPr>
        <w:tc>
          <w:tcPr>
            <w:tcW w:w="1696" w:type="dxa"/>
            <w:tcBorders>
              <w:left w:val="single" w:sz="4" w:space="0" w:color="auto"/>
            </w:tcBorders>
            <w:shd w:val="clear" w:color="auto" w:fill="auto"/>
          </w:tcPr>
          <w:p w14:paraId="542E9275" w14:textId="77777777" w:rsidR="002A4DDF" w:rsidRPr="00937C8B" w:rsidRDefault="002A4DDF" w:rsidP="009110ED">
            <w:pPr>
              <w:rPr>
                <w:rFonts w:ascii="Arial" w:hAnsi="Arial" w:cs="Arial"/>
                <w:sz w:val="12"/>
                <w:szCs w:val="12"/>
              </w:rPr>
            </w:pPr>
          </w:p>
        </w:tc>
        <w:tc>
          <w:tcPr>
            <w:tcW w:w="1843" w:type="dxa"/>
            <w:shd w:val="clear" w:color="auto" w:fill="auto"/>
          </w:tcPr>
          <w:p w14:paraId="19B57137" w14:textId="77777777" w:rsidR="002A4DDF" w:rsidRPr="00937C8B" w:rsidRDefault="002A4DDF" w:rsidP="009110ED">
            <w:pPr>
              <w:rPr>
                <w:rFonts w:ascii="Arial" w:hAnsi="Arial" w:cs="Arial"/>
                <w:sz w:val="12"/>
                <w:szCs w:val="12"/>
              </w:rPr>
            </w:pPr>
          </w:p>
        </w:tc>
        <w:tc>
          <w:tcPr>
            <w:tcW w:w="2268" w:type="dxa"/>
            <w:shd w:val="clear" w:color="auto" w:fill="F2F2F2"/>
            <w:hideMark/>
          </w:tcPr>
          <w:p w14:paraId="60C5153C" w14:textId="77777777" w:rsidR="002A4DDF" w:rsidRPr="00937C8B" w:rsidRDefault="002A4DDF" w:rsidP="009110ED">
            <w:pPr>
              <w:rPr>
                <w:rFonts w:ascii="Arial" w:hAnsi="Arial" w:cs="Arial"/>
                <w:sz w:val="12"/>
                <w:szCs w:val="12"/>
              </w:rPr>
            </w:pPr>
            <w:r>
              <w:rPr>
                <w:rFonts w:ascii="Arial" w:hAnsi="Arial"/>
                <w:sz w:val="12"/>
                <w:szCs w:val="12"/>
              </w:rPr>
              <w:t>Cogolludo</w:t>
            </w:r>
          </w:p>
        </w:tc>
        <w:tc>
          <w:tcPr>
            <w:tcW w:w="2268" w:type="dxa"/>
            <w:tcBorders>
              <w:right w:val="single" w:sz="4" w:space="0" w:color="auto"/>
            </w:tcBorders>
            <w:shd w:val="clear" w:color="auto" w:fill="D9D9D9"/>
            <w:hideMark/>
          </w:tcPr>
          <w:p w14:paraId="03CC78DD" w14:textId="77777777" w:rsidR="002A4DDF" w:rsidRPr="00937C8B" w:rsidRDefault="002A4DDF" w:rsidP="009110ED">
            <w:pPr>
              <w:rPr>
                <w:rFonts w:ascii="Arial" w:hAnsi="Arial" w:cs="Arial"/>
                <w:sz w:val="12"/>
                <w:szCs w:val="12"/>
              </w:rPr>
            </w:pPr>
          </w:p>
        </w:tc>
      </w:tr>
      <w:tr w:rsidR="002A4DDF" w:rsidRPr="00937C8B" w14:paraId="2EBC80A1" w14:textId="77777777" w:rsidTr="00935676">
        <w:trPr>
          <w:cantSplit/>
        </w:trPr>
        <w:tc>
          <w:tcPr>
            <w:tcW w:w="1696" w:type="dxa"/>
            <w:tcBorders>
              <w:left w:val="single" w:sz="4" w:space="0" w:color="auto"/>
            </w:tcBorders>
            <w:shd w:val="clear" w:color="auto" w:fill="auto"/>
          </w:tcPr>
          <w:p w14:paraId="41DFD987" w14:textId="77777777" w:rsidR="002A4DDF" w:rsidRPr="00937C8B" w:rsidRDefault="002A4DDF" w:rsidP="009110ED">
            <w:pPr>
              <w:rPr>
                <w:rFonts w:ascii="Arial" w:hAnsi="Arial" w:cs="Arial"/>
                <w:sz w:val="12"/>
                <w:szCs w:val="12"/>
              </w:rPr>
            </w:pPr>
          </w:p>
        </w:tc>
        <w:tc>
          <w:tcPr>
            <w:tcW w:w="1843" w:type="dxa"/>
            <w:shd w:val="clear" w:color="auto" w:fill="auto"/>
          </w:tcPr>
          <w:p w14:paraId="43A8DF64" w14:textId="77777777" w:rsidR="002A4DDF" w:rsidRPr="00937C8B" w:rsidRDefault="002A4DDF" w:rsidP="009110ED">
            <w:pPr>
              <w:rPr>
                <w:rFonts w:ascii="Arial" w:hAnsi="Arial" w:cs="Arial"/>
                <w:sz w:val="12"/>
                <w:szCs w:val="12"/>
              </w:rPr>
            </w:pPr>
          </w:p>
        </w:tc>
        <w:tc>
          <w:tcPr>
            <w:tcW w:w="2268" w:type="dxa"/>
            <w:shd w:val="clear" w:color="auto" w:fill="F2F2F2"/>
            <w:hideMark/>
          </w:tcPr>
          <w:p w14:paraId="408EE6E1" w14:textId="77777777" w:rsidR="002A4DDF" w:rsidRPr="00937C8B" w:rsidRDefault="002A4DDF" w:rsidP="009110ED">
            <w:pPr>
              <w:rPr>
                <w:rFonts w:ascii="Arial" w:hAnsi="Arial" w:cs="Arial"/>
                <w:sz w:val="12"/>
                <w:szCs w:val="12"/>
              </w:rPr>
            </w:pPr>
            <w:r>
              <w:rPr>
                <w:rFonts w:ascii="Arial" w:hAnsi="Arial"/>
                <w:sz w:val="12"/>
                <w:szCs w:val="12"/>
              </w:rPr>
              <w:t>Congostrina</w:t>
            </w:r>
          </w:p>
        </w:tc>
        <w:tc>
          <w:tcPr>
            <w:tcW w:w="2268" w:type="dxa"/>
            <w:tcBorders>
              <w:right w:val="single" w:sz="4" w:space="0" w:color="auto"/>
            </w:tcBorders>
            <w:shd w:val="clear" w:color="auto" w:fill="D9D9D9"/>
            <w:hideMark/>
          </w:tcPr>
          <w:p w14:paraId="453C20A0" w14:textId="77777777" w:rsidR="002A4DDF" w:rsidRPr="00937C8B" w:rsidRDefault="002A4DDF" w:rsidP="009110ED">
            <w:pPr>
              <w:rPr>
                <w:rFonts w:ascii="Arial" w:hAnsi="Arial" w:cs="Arial"/>
                <w:sz w:val="12"/>
                <w:szCs w:val="12"/>
              </w:rPr>
            </w:pPr>
          </w:p>
        </w:tc>
      </w:tr>
      <w:tr w:rsidR="002A4DDF" w:rsidRPr="00937C8B" w14:paraId="5B60DFDC" w14:textId="77777777" w:rsidTr="00935676">
        <w:trPr>
          <w:cantSplit/>
        </w:trPr>
        <w:tc>
          <w:tcPr>
            <w:tcW w:w="1696" w:type="dxa"/>
            <w:tcBorders>
              <w:left w:val="single" w:sz="4" w:space="0" w:color="auto"/>
            </w:tcBorders>
            <w:shd w:val="clear" w:color="auto" w:fill="auto"/>
          </w:tcPr>
          <w:p w14:paraId="109F668D" w14:textId="77777777" w:rsidR="002A4DDF" w:rsidRPr="00937C8B" w:rsidRDefault="002A4DDF" w:rsidP="009110ED">
            <w:pPr>
              <w:rPr>
                <w:rFonts w:ascii="Arial" w:hAnsi="Arial" w:cs="Arial"/>
                <w:sz w:val="12"/>
                <w:szCs w:val="12"/>
              </w:rPr>
            </w:pPr>
          </w:p>
        </w:tc>
        <w:tc>
          <w:tcPr>
            <w:tcW w:w="1843" w:type="dxa"/>
            <w:shd w:val="clear" w:color="auto" w:fill="auto"/>
          </w:tcPr>
          <w:p w14:paraId="4E2DDC54" w14:textId="77777777" w:rsidR="002A4DDF" w:rsidRPr="00937C8B" w:rsidRDefault="002A4DDF" w:rsidP="009110ED">
            <w:pPr>
              <w:rPr>
                <w:rFonts w:ascii="Arial" w:hAnsi="Arial" w:cs="Arial"/>
                <w:sz w:val="12"/>
                <w:szCs w:val="12"/>
              </w:rPr>
            </w:pPr>
          </w:p>
        </w:tc>
        <w:tc>
          <w:tcPr>
            <w:tcW w:w="2268" w:type="dxa"/>
            <w:shd w:val="clear" w:color="auto" w:fill="F2F2F2"/>
            <w:hideMark/>
          </w:tcPr>
          <w:p w14:paraId="506A69B1" w14:textId="77777777" w:rsidR="002A4DDF" w:rsidRPr="00937C8B" w:rsidRDefault="002A4DDF" w:rsidP="009110ED">
            <w:pPr>
              <w:rPr>
                <w:rFonts w:ascii="Arial" w:hAnsi="Arial" w:cs="Arial"/>
                <w:sz w:val="12"/>
                <w:szCs w:val="12"/>
              </w:rPr>
            </w:pPr>
            <w:r>
              <w:rPr>
                <w:rFonts w:ascii="Arial" w:hAnsi="Arial"/>
                <w:sz w:val="12"/>
                <w:szCs w:val="12"/>
              </w:rPr>
              <w:t>El Casar</w:t>
            </w:r>
          </w:p>
        </w:tc>
        <w:tc>
          <w:tcPr>
            <w:tcW w:w="2268" w:type="dxa"/>
            <w:tcBorders>
              <w:right w:val="single" w:sz="4" w:space="0" w:color="auto"/>
            </w:tcBorders>
            <w:shd w:val="clear" w:color="auto" w:fill="D9D9D9"/>
            <w:hideMark/>
          </w:tcPr>
          <w:p w14:paraId="1D6589B6" w14:textId="77777777" w:rsidR="002A4DDF" w:rsidRPr="00937C8B" w:rsidRDefault="002A4DDF" w:rsidP="009110ED">
            <w:pPr>
              <w:rPr>
                <w:rFonts w:ascii="Arial" w:hAnsi="Arial" w:cs="Arial"/>
                <w:sz w:val="12"/>
                <w:szCs w:val="12"/>
              </w:rPr>
            </w:pPr>
          </w:p>
        </w:tc>
      </w:tr>
      <w:tr w:rsidR="002A4DDF" w:rsidRPr="00937C8B" w14:paraId="3690122F" w14:textId="77777777" w:rsidTr="00935676">
        <w:trPr>
          <w:cantSplit/>
        </w:trPr>
        <w:tc>
          <w:tcPr>
            <w:tcW w:w="1696" w:type="dxa"/>
            <w:tcBorders>
              <w:left w:val="single" w:sz="4" w:space="0" w:color="auto"/>
            </w:tcBorders>
            <w:shd w:val="clear" w:color="auto" w:fill="auto"/>
          </w:tcPr>
          <w:p w14:paraId="2E78E579" w14:textId="77777777" w:rsidR="002A4DDF" w:rsidRPr="00937C8B" w:rsidRDefault="002A4DDF" w:rsidP="009110ED">
            <w:pPr>
              <w:rPr>
                <w:rFonts w:ascii="Arial" w:hAnsi="Arial" w:cs="Arial"/>
                <w:sz w:val="12"/>
                <w:szCs w:val="12"/>
              </w:rPr>
            </w:pPr>
          </w:p>
        </w:tc>
        <w:tc>
          <w:tcPr>
            <w:tcW w:w="1843" w:type="dxa"/>
            <w:shd w:val="clear" w:color="auto" w:fill="auto"/>
          </w:tcPr>
          <w:p w14:paraId="6F0811AB" w14:textId="77777777" w:rsidR="002A4DDF" w:rsidRPr="00937C8B" w:rsidRDefault="002A4DDF" w:rsidP="009110ED">
            <w:pPr>
              <w:rPr>
                <w:rFonts w:ascii="Arial" w:hAnsi="Arial" w:cs="Arial"/>
                <w:sz w:val="12"/>
                <w:szCs w:val="12"/>
              </w:rPr>
            </w:pPr>
          </w:p>
        </w:tc>
        <w:tc>
          <w:tcPr>
            <w:tcW w:w="2268" w:type="dxa"/>
            <w:shd w:val="clear" w:color="auto" w:fill="F2F2F2"/>
            <w:hideMark/>
          </w:tcPr>
          <w:p w14:paraId="239ACE99" w14:textId="77777777" w:rsidR="002A4DDF" w:rsidRPr="00937C8B" w:rsidRDefault="002A4DDF" w:rsidP="009110ED">
            <w:pPr>
              <w:rPr>
                <w:rFonts w:ascii="Arial" w:hAnsi="Arial" w:cs="Arial"/>
                <w:sz w:val="12"/>
                <w:szCs w:val="12"/>
              </w:rPr>
            </w:pPr>
            <w:r>
              <w:rPr>
                <w:rFonts w:ascii="Arial" w:hAnsi="Arial"/>
                <w:sz w:val="12"/>
                <w:szCs w:val="12"/>
              </w:rPr>
              <w:t>El Cubillo de Uceda</w:t>
            </w:r>
          </w:p>
        </w:tc>
        <w:tc>
          <w:tcPr>
            <w:tcW w:w="2268" w:type="dxa"/>
            <w:tcBorders>
              <w:right w:val="single" w:sz="4" w:space="0" w:color="auto"/>
            </w:tcBorders>
            <w:shd w:val="clear" w:color="auto" w:fill="D9D9D9"/>
            <w:hideMark/>
          </w:tcPr>
          <w:p w14:paraId="04F498A1" w14:textId="77777777" w:rsidR="002A4DDF" w:rsidRPr="00937C8B" w:rsidRDefault="002A4DDF" w:rsidP="009110ED">
            <w:pPr>
              <w:rPr>
                <w:rFonts w:ascii="Arial" w:hAnsi="Arial" w:cs="Arial"/>
                <w:sz w:val="12"/>
                <w:szCs w:val="12"/>
              </w:rPr>
            </w:pPr>
          </w:p>
        </w:tc>
      </w:tr>
      <w:tr w:rsidR="002A4DDF" w:rsidRPr="00937C8B" w14:paraId="7B8A1E0E" w14:textId="77777777" w:rsidTr="00935676">
        <w:trPr>
          <w:cantSplit/>
        </w:trPr>
        <w:tc>
          <w:tcPr>
            <w:tcW w:w="1696" w:type="dxa"/>
            <w:tcBorders>
              <w:left w:val="single" w:sz="4" w:space="0" w:color="auto"/>
            </w:tcBorders>
            <w:shd w:val="clear" w:color="auto" w:fill="auto"/>
          </w:tcPr>
          <w:p w14:paraId="501669AB" w14:textId="77777777" w:rsidR="002A4DDF" w:rsidRPr="00937C8B" w:rsidRDefault="002A4DDF" w:rsidP="009110ED">
            <w:pPr>
              <w:rPr>
                <w:rFonts w:ascii="Arial" w:hAnsi="Arial" w:cs="Arial"/>
                <w:sz w:val="12"/>
                <w:szCs w:val="12"/>
              </w:rPr>
            </w:pPr>
          </w:p>
        </w:tc>
        <w:tc>
          <w:tcPr>
            <w:tcW w:w="1843" w:type="dxa"/>
            <w:shd w:val="clear" w:color="auto" w:fill="auto"/>
          </w:tcPr>
          <w:p w14:paraId="06E0A1BC" w14:textId="77777777" w:rsidR="002A4DDF" w:rsidRPr="00937C8B" w:rsidRDefault="002A4DDF" w:rsidP="009110ED">
            <w:pPr>
              <w:rPr>
                <w:rFonts w:ascii="Arial" w:hAnsi="Arial" w:cs="Arial"/>
                <w:sz w:val="12"/>
                <w:szCs w:val="12"/>
              </w:rPr>
            </w:pPr>
          </w:p>
        </w:tc>
        <w:tc>
          <w:tcPr>
            <w:tcW w:w="2268" w:type="dxa"/>
            <w:shd w:val="clear" w:color="auto" w:fill="F2F2F2"/>
            <w:hideMark/>
          </w:tcPr>
          <w:p w14:paraId="72A97040" w14:textId="77777777" w:rsidR="002A4DDF" w:rsidRPr="00937C8B" w:rsidRDefault="002A4DDF" w:rsidP="009110ED">
            <w:pPr>
              <w:rPr>
                <w:rFonts w:ascii="Arial" w:hAnsi="Arial" w:cs="Arial"/>
                <w:sz w:val="12"/>
                <w:szCs w:val="12"/>
              </w:rPr>
            </w:pPr>
            <w:r>
              <w:rPr>
                <w:rFonts w:ascii="Arial" w:hAnsi="Arial"/>
                <w:sz w:val="12"/>
                <w:szCs w:val="12"/>
              </w:rPr>
              <w:t>El Pedregal</w:t>
            </w:r>
          </w:p>
        </w:tc>
        <w:tc>
          <w:tcPr>
            <w:tcW w:w="2268" w:type="dxa"/>
            <w:tcBorders>
              <w:right w:val="single" w:sz="4" w:space="0" w:color="auto"/>
            </w:tcBorders>
            <w:shd w:val="clear" w:color="auto" w:fill="D9D9D9"/>
            <w:hideMark/>
          </w:tcPr>
          <w:p w14:paraId="694447FA" w14:textId="77777777" w:rsidR="002A4DDF" w:rsidRPr="00937C8B" w:rsidRDefault="002A4DDF" w:rsidP="009110ED">
            <w:pPr>
              <w:rPr>
                <w:rFonts w:ascii="Arial" w:hAnsi="Arial" w:cs="Arial"/>
                <w:sz w:val="12"/>
                <w:szCs w:val="12"/>
              </w:rPr>
            </w:pPr>
          </w:p>
        </w:tc>
      </w:tr>
      <w:tr w:rsidR="002A4DDF" w:rsidRPr="00937C8B" w14:paraId="600D13C3" w14:textId="77777777" w:rsidTr="00935676">
        <w:trPr>
          <w:cantSplit/>
        </w:trPr>
        <w:tc>
          <w:tcPr>
            <w:tcW w:w="1696" w:type="dxa"/>
            <w:tcBorders>
              <w:left w:val="single" w:sz="4" w:space="0" w:color="auto"/>
            </w:tcBorders>
            <w:shd w:val="clear" w:color="auto" w:fill="auto"/>
          </w:tcPr>
          <w:p w14:paraId="7CAFEFED" w14:textId="77777777" w:rsidR="002A4DDF" w:rsidRPr="00937C8B" w:rsidRDefault="002A4DDF" w:rsidP="009110ED">
            <w:pPr>
              <w:rPr>
                <w:rFonts w:ascii="Arial" w:hAnsi="Arial" w:cs="Arial"/>
                <w:sz w:val="12"/>
                <w:szCs w:val="12"/>
              </w:rPr>
            </w:pPr>
          </w:p>
        </w:tc>
        <w:tc>
          <w:tcPr>
            <w:tcW w:w="1843" w:type="dxa"/>
            <w:shd w:val="clear" w:color="auto" w:fill="auto"/>
          </w:tcPr>
          <w:p w14:paraId="04944638" w14:textId="77777777" w:rsidR="002A4DDF" w:rsidRPr="00937C8B" w:rsidRDefault="002A4DDF" w:rsidP="009110ED">
            <w:pPr>
              <w:rPr>
                <w:rFonts w:ascii="Arial" w:hAnsi="Arial" w:cs="Arial"/>
                <w:sz w:val="12"/>
                <w:szCs w:val="12"/>
              </w:rPr>
            </w:pPr>
          </w:p>
        </w:tc>
        <w:tc>
          <w:tcPr>
            <w:tcW w:w="2268" w:type="dxa"/>
            <w:shd w:val="clear" w:color="auto" w:fill="F2F2F2"/>
            <w:hideMark/>
          </w:tcPr>
          <w:p w14:paraId="47569435" w14:textId="77777777" w:rsidR="002A4DDF" w:rsidRPr="00937C8B" w:rsidRDefault="002A4DDF" w:rsidP="009110ED">
            <w:pPr>
              <w:rPr>
                <w:rFonts w:ascii="Arial" w:hAnsi="Arial" w:cs="Arial"/>
                <w:sz w:val="12"/>
                <w:szCs w:val="12"/>
              </w:rPr>
            </w:pPr>
            <w:r>
              <w:rPr>
                <w:rFonts w:ascii="Arial" w:hAnsi="Arial"/>
                <w:sz w:val="12"/>
                <w:szCs w:val="12"/>
              </w:rPr>
              <w:t>El Pobo de Dueñas</w:t>
            </w:r>
          </w:p>
        </w:tc>
        <w:tc>
          <w:tcPr>
            <w:tcW w:w="2268" w:type="dxa"/>
            <w:tcBorders>
              <w:right w:val="single" w:sz="4" w:space="0" w:color="auto"/>
            </w:tcBorders>
            <w:shd w:val="clear" w:color="auto" w:fill="D9D9D9"/>
            <w:hideMark/>
          </w:tcPr>
          <w:p w14:paraId="5F808221" w14:textId="77777777" w:rsidR="002A4DDF" w:rsidRPr="00937C8B" w:rsidRDefault="002A4DDF" w:rsidP="009110ED">
            <w:pPr>
              <w:rPr>
                <w:rFonts w:ascii="Arial" w:hAnsi="Arial" w:cs="Arial"/>
                <w:sz w:val="12"/>
                <w:szCs w:val="12"/>
              </w:rPr>
            </w:pPr>
          </w:p>
        </w:tc>
      </w:tr>
      <w:tr w:rsidR="002A4DDF" w:rsidRPr="00937C8B" w14:paraId="2C5FF0A2" w14:textId="77777777" w:rsidTr="00935676">
        <w:trPr>
          <w:cantSplit/>
        </w:trPr>
        <w:tc>
          <w:tcPr>
            <w:tcW w:w="1696" w:type="dxa"/>
            <w:tcBorders>
              <w:left w:val="single" w:sz="4" w:space="0" w:color="auto"/>
            </w:tcBorders>
            <w:shd w:val="clear" w:color="auto" w:fill="auto"/>
          </w:tcPr>
          <w:p w14:paraId="70BC0FA1" w14:textId="77777777" w:rsidR="002A4DDF" w:rsidRPr="00937C8B" w:rsidRDefault="002A4DDF" w:rsidP="009110ED">
            <w:pPr>
              <w:rPr>
                <w:rFonts w:ascii="Arial" w:hAnsi="Arial" w:cs="Arial"/>
                <w:sz w:val="12"/>
                <w:szCs w:val="12"/>
              </w:rPr>
            </w:pPr>
          </w:p>
        </w:tc>
        <w:tc>
          <w:tcPr>
            <w:tcW w:w="1843" w:type="dxa"/>
            <w:shd w:val="clear" w:color="auto" w:fill="auto"/>
          </w:tcPr>
          <w:p w14:paraId="79B093FD" w14:textId="77777777" w:rsidR="002A4DDF" w:rsidRPr="00937C8B" w:rsidRDefault="002A4DDF" w:rsidP="009110ED">
            <w:pPr>
              <w:rPr>
                <w:rFonts w:ascii="Arial" w:hAnsi="Arial" w:cs="Arial"/>
                <w:sz w:val="12"/>
                <w:szCs w:val="12"/>
              </w:rPr>
            </w:pPr>
          </w:p>
        </w:tc>
        <w:tc>
          <w:tcPr>
            <w:tcW w:w="2268" w:type="dxa"/>
            <w:shd w:val="clear" w:color="auto" w:fill="F2F2F2"/>
            <w:hideMark/>
          </w:tcPr>
          <w:p w14:paraId="062A3E89" w14:textId="77777777" w:rsidR="002A4DDF" w:rsidRPr="00937C8B" w:rsidRDefault="002A4DDF" w:rsidP="009110ED">
            <w:pPr>
              <w:rPr>
                <w:rFonts w:ascii="Arial" w:hAnsi="Arial" w:cs="Arial"/>
                <w:sz w:val="12"/>
                <w:szCs w:val="12"/>
              </w:rPr>
            </w:pPr>
            <w:r>
              <w:rPr>
                <w:rFonts w:ascii="Arial" w:hAnsi="Arial"/>
                <w:sz w:val="12"/>
                <w:szCs w:val="12"/>
              </w:rPr>
              <w:t>Espinosa de Henares</w:t>
            </w:r>
          </w:p>
        </w:tc>
        <w:tc>
          <w:tcPr>
            <w:tcW w:w="2268" w:type="dxa"/>
            <w:tcBorders>
              <w:right w:val="single" w:sz="4" w:space="0" w:color="auto"/>
            </w:tcBorders>
            <w:shd w:val="clear" w:color="auto" w:fill="D9D9D9"/>
            <w:hideMark/>
          </w:tcPr>
          <w:p w14:paraId="1DADB75B" w14:textId="77777777" w:rsidR="002A4DDF" w:rsidRPr="00937C8B" w:rsidRDefault="002A4DDF" w:rsidP="009110ED">
            <w:pPr>
              <w:rPr>
                <w:rFonts w:ascii="Arial" w:hAnsi="Arial" w:cs="Arial"/>
                <w:sz w:val="12"/>
                <w:szCs w:val="12"/>
              </w:rPr>
            </w:pPr>
          </w:p>
        </w:tc>
      </w:tr>
      <w:tr w:rsidR="002A4DDF" w:rsidRPr="00937C8B" w14:paraId="61D60302" w14:textId="77777777" w:rsidTr="00935676">
        <w:trPr>
          <w:cantSplit/>
        </w:trPr>
        <w:tc>
          <w:tcPr>
            <w:tcW w:w="1696" w:type="dxa"/>
            <w:tcBorders>
              <w:left w:val="single" w:sz="4" w:space="0" w:color="auto"/>
            </w:tcBorders>
            <w:shd w:val="clear" w:color="auto" w:fill="auto"/>
          </w:tcPr>
          <w:p w14:paraId="779F30C5" w14:textId="77777777" w:rsidR="002A4DDF" w:rsidRPr="00937C8B" w:rsidRDefault="002A4DDF" w:rsidP="009110ED">
            <w:pPr>
              <w:rPr>
                <w:rFonts w:ascii="Arial" w:hAnsi="Arial" w:cs="Arial"/>
                <w:sz w:val="12"/>
                <w:szCs w:val="12"/>
              </w:rPr>
            </w:pPr>
          </w:p>
        </w:tc>
        <w:tc>
          <w:tcPr>
            <w:tcW w:w="1843" w:type="dxa"/>
            <w:shd w:val="clear" w:color="auto" w:fill="auto"/>
          </w:tcPr>
          <w:p w14:paraId="311EDF11" w14:textId="77777777" w:rsidR="002A4DDF" w:rsidRPr="00937C8B" w:rsidRDefault="002A4DDF" w:rsidP="009110ED">
            <w:pPr>
              <w:rPr>
                <w:rFonts w:ascii="Arial" w:hAnsi="Arial" w:cs="Arial"/>
                <w:sz w:val="12"/>
                <w:szCs w:val="12"/>
              </w:rPr>
            </w:pPr>
          </w:p>
        </w:tc>
        <w:tc>
          <w:tcPr>
            <w:tcW w:w="2268" w:type="dxa"/>
            <w:shd w:val="clear" w:color="auto" w:fill="F2F2F2"/>
            <w:hideMark/>
          </w:tcPr>
          <w:p w14:paraId="08605F6D" w14:textId="77777777" w:rsidR="002A4DDF" w:rsidRPr="00937C8B" w:rsidRDefault="002A4DDF" w:rsidP="009110ED">
            <w:pPr>
              <w:rPr>
                <w:rFonts w:ascii="Arial" w:hAnsi="Arial" w:cs="Arial"/>
                <w:sz w:val="12"/>
                <w:szCs w:val="12"/>
              </w:rPr>
            </w:pPr>
            <w:r>
              <w:rPr>
                <w:rFonts w:ascii="Arial" w:hAnsi="Arial"/>
                <w:sz w:val="12"/>
                <w:szCs w:val="12"/>
              </w:rPr>
              <w:t>Establés</w:t>
            </w:r>
          </w:p>
        </w:tc>
        <w:tc>
          <w:tcPr>
            <w:tcW w:w="2268" w:type="dxa"/>
            <w:tcBorders>
              <w:right w:val="single" w:sz="4" w:space="0" w:color="auto"/>
            </w:tcBorders>
            <w:shd w:val="clear" w:color="auto" w:fill="D9D9D9"/>
            <w:hideMark/>
          </w:tcPr>
          <w:p w14:paraId="7439A0AD" w14:textId="77777777" w:rsidR="002A4DDF" w:rsidRPr="00937C8B" w:rsidRDefault="002A4DDF" w:rsidP="009110ED">
            <w:pPr>
              <w:rPr>
                <w:rFonts w:ascii="Arial" w:hAnsi="Arial" w:cs="Arial"/>
                <w:sz w:val="12"/>
                <w:szCs w:val="12"/>
              </w:rPr>
            </w:pPr>
          </w:p>
        </w:tc>
      </w:tr>
      <w:tr w:rsidR="002A4DDF" w:rsidRPr="00937C8B" w14:paraId="6F0E47D0" w14:textId="77777777" w:rsidTr="00935676">
        <w:trPr>
          <w:cantSplit/>
        </w:trPr>
        <w:tc>
          <w:tcPr>
            <w:tcW w:w="1696" w:type="dxa"/>
            <w:tcBorders>
              <w:left w:val="single" w:sz="4" w:space="0" w:color="auto"/>
            </w:tcBorders>
            <w:shd w:val="clear" w:color="auto" w:fill="auto"/>
          </w:tcPr>
          <w:p w14:paraId="6A3E4ECC" w14:textId="77777777" w:rsidR="002A4DDF" w:rsidRPr="00937C8B" w:rsidRDefault="002A4DDF" w:rsidP="009110ED">
            <w:pPr>
              <w:rPr>
                <w:rFonts w:ascii="Arial" w:hAnsi="Arial" w:cs="Arial"/>
                <w:sz w:val="12"/>
                <w:szCs w:val="12"/>
              </w:rPr>
            </w:pPr>
          </w:p>
        </w:tc>
        <w:tc>
          <w:tcPr>
            <w:tcW w:w="1843" w:type="dxa"/>
            <w:shd w:val="clear" w:color="auto" w:fill="auto"/>
          </w:tcPr>
          <w:p w14:paraId="7361D79A" w14:textId="77777777" w:rsidR="002A4DDF" w:rsidRPr="00937C8B" w:rsidRDefault="002A4DDF" w:rsidP="009110ED">
            <w:pPr>
              <w:rPr>
                <w:rFonts w:ascii="Arial" w:hAnsi="Arial" w:cs="Arial"/>
                <w:sz w:val="12"/>
                <w:szCs w:val="12"/>
              </w:rPr>
            </w:pPr>
          </w:p>
        </w:tc>
        <w:tc>
          <w:tcPr>
            <w:tcW w:w="2268" w:type="dxa"/>
            <w:shd w:val="clear" w:color="auto" w:fill="F2F2F2"/>
            <w:hideMark/>
          </w:tcPr>
          <w:p w14:paraId="0B991394" w14:textId="77777777" w:rsidR="002A4DDF" w:rsidRPr="00937C8B" w:rsidRDefault="002A4DDF" w:rsidP="009110ED">
            <w:pPr>
              <w:rPr>
                <w:rFonts w:ascii="Arial" w:hAnsi="Arial" w:cs="Arial"/>
                <w:sz w:val="12"/>
                <w:szCs w:val="12"/>
              </w:rPr>
            </w:pPr>
            <w:r>
              <w:rPr>
                <w:rFonts w:ascii="Arial" w:hAnsi="Arial"/>
                <w:sz w:val="12"/>
                <w:szCs w:val="12"/>
              </w:rPr>
              <w:t>Estriégana</w:t>
            </w:r>
          </w:p>
        </w:tc>
        <w:tc>
          <w:tcPr>
            <w:tcW w:w="2268" w:type="dxa"/>
            <w:tcBorders>
              <w:right w:val="single" w:sz="4" w:space="0" w:color="auto"/>
            </w:tcBorders>
            <w:shd w:val="clear" w:color="auto" w:fill="D9D9D9"/>
            <w:hideMark/>
          </w:tcPr>
          <w:p w14:paraId="0A90C626" w14:textId="77777777" w:rsidR="002A4DDF" w:rsidRPr="00937C8B" w:rsidRDefault="002A4DDF" w:rsidP="009110ED">
            <w:pPr>
              <w:rPr>
                <w:rFonts w:ascii="Arial" w:hAnsi="Arial" w:cs="Arial"/>
                <w:sz w:val="12"/>
                <w:szCs w:val="12"/>
              </w:rPr>
            </w:pPr>
          </w:p>
        </w:tc>
      </w:tr>
      <w:tr w:rsidR="002A4DDF" w:rsidRPr="00937C8B" w14:paraId="53E6422D" w14:textId="77777777" w:rsidTr="00935676">
        <w:trPr>
          <w:cantSplit/>
        </w:trPr>
        <w:tc>
          <w:tcPr>
            <w:tcW w:w="1696" w:type="dxa"/>
            <w:tcBorders>
              <w:left w:val="single" w:sz="4" w:space="0" w:color="auto"/>
            </w:tcBorders>
            <w:shd w:val="clear" w:color="auto" w:fill="auto"/>
          </w:tcPr>
          <w:p w14:paraId="11E5F69E" w14:textId="77777777" w:rsidR="002A4DDF" w:rsidRPr="00937C8B" w:rsidRDefault="002A4DDF" w:rsidP="009110ED">
            <w:pPr>
              <w:rPr>
                <w:rFonts w:ascii="Arial" w:hAnsi="Arial" w:cs="Arial"/>
                <w:sz w:val="12"/>
                <w:szCs w:val="12"/>
              </w:rPr>
            </w:pPr>
          </w:p>
        </w:tc>
        <w:tc>
          <w:tcPr>
            <w:tcW w:w="1843" w:type="dxa"/>
            <w:shd w:val="clear" w:color="auto" w:fill="auto"/>
          </w:tcPr>
          <w:p w14:paraId="3E32CF35" w14:textId="77777777" w:rsidR="002A4DDF" w:rsidRPr="00937C8B" w:rsidRDefault="002A4DDF" w:rsidP="009110ED">
            <w:pPr>
              <w:rPr>
                <w:rFonts w:ascii="Arial" w:hAnsi="Arial" w:cs="Arial"/>
                <w:sz w:val="12"/>
                <w:szCs w:val="12"/>
              </w:rPr>
            </w:pPr>
          </w:p>
        </w:tc>
        <w:tc>
          <w:tcPr>
            <w:tcW w:w="2268" w:type="dxa"/>
            <w:shd w:val="clear" w:color="auto" w:fill="F2F2F2"/>
            <w:hideMark/>
          </w:tcPr>
          <w:p w14:paraId="3E440CDB" w14:textId="77777777" w:rsidR="002A4DDF" w:rsidRPr="00937C8B" w:rsidRDefault="002A4DDF" w:rsidP="009110ED">
            <w:pPr>
              <w:rPr>
                <w:rFonts w:ascii="Arial" w:hAnsi="Arial" w:cs="Arial"/>
                <w:sz w:val="12"/>
                <w:szCs w:val="12"/>
              </w:rPr>
            </w:pPr>
            <w:r>
              <w:rPr>
                <w:rFonts w:ascii="Arial" w:hAnsi="Arial"/>
                <w:sz w:val="12"/>
                <w:szCs w:val="12"/>
              </w:rPr>
              <w:t>Fontanar</w:t>
            </w:r>
          </w:p>
        </w:tc>
        <w:tc>
          <w:tcPr>
            <w:tcW w:w="2268" w:type="dxa"/>
            <w:tcBorders>
              <w:right w:val="single" w:sz="4" w:space="0" w:color="auto"/>
            </w:tcBorders>
            <w:shd w:val="clear" w:color="auto" w:fill="D9D9D9"/>
            <w:hideMark/>
          </w:tcPr>
          <w:p w14:paraId="53ADF6EA" w14:textId="77777777" w:rsidR="002A4DDF" w:rsidRPr="00937C8B" w:rsidRDefault="002A4DDF" w:rsidP="009110ED">
            <w:pPr>
              <w:rPr>
                <w:rFonts w:ascii="Arial" w:hAnsi="Arial" w:cs="Arial"/>
                <w:sz w:val="12"/>
                <w:szCs w:val="12"/>
              </w:rPr>
            </w:pPr>
          </w:p>
        </w:tc>
      </w:tr>
      <w:tr w:rsidR="002A4DDF" w:rsidRPr="00937C8B" w14:paraId="18005F2D" w14:textId="77777777" w:rsidTr="00935676">
        <w:trPr>
          <w:cantSplit/>
        </w:trPr>
        <w:tc>
          <w:tcPr>
            <w:tcW w:w="1696" w:type="dxa"/>
            <w:tcBorders>
              <w:left w:val="single" w:sz="4" w:space="0" w:color="auto"/>
            </w:tcBorders>
            <w:shd w:val="clear" w:color="auto" w:fill="auto"/>
          </w:tcPr>
          <w:p w14:paraId="4385AA04" w14:textId="77777777" w:rsidR="002A4DDF" w:rsidRPr="00937C8B" w:rsidRDefault="002A4DDF" w:rsidP="009110ED">
            <w:pPr>
              <w:rPr>
                <w:rFonts w:ascii="Arial" w:hAnsi="Arial" w:cs="Arial"/>
                <w:sz w:val="12"/>
                <w:szCs w:val="12"/>
              </w:rPr>
            </w:pPr>
          </w:p>
        </w:tc>
        <w:tc>
          <w:tcPr>
            <w:tcW w:w="1843" w:type="dxa"/>
            <w:shd w:val="clear" w:color="auto" w:fill="auto"/>
          </w:tcPr>
          <w:p w14:paraId="79D823FB" w14:textId="77777777" w:rsidR="002A4DDF" w:rsidRPr="00937C8B" w:rsidRDefault="002A4DDF" w:rsidP="009110ED">
            <w:pPr>
              <w:rPr>
                <w:rFonts w:ascii="Arial" w:hAnsi="Arial" w:cs="Arial"/>
                <w:sz w:val="12"/>
                <w:szCs w:val="12"/>
              </w:rPr>
            </w:pPr>
          </w:p>
        </w:tc>
        <w:tc>
          <w:tcPr>
            <w:tcW w:w="2268" w:type="dxa"/>
            <w:shd w:val="clear" w:color="auto" w:fill="F2F2F2"/>
            <w:hideMark/>
          </w:tcPr>
          <w:p w14:paraId="73E94DCA" w14:textId="77777777" w:rsidR="002A4DDF" w:rsidRPr="00937C8B" w:rsidRDefault="002A4DDF" w:rsidP="009110ED">
            <w:pPr>
              <w:rPr>
                <w:rFonts w:ascii="Arial" w:hAnsi="Arial" w:cs="Arial"/>
                <w:sz w:val="12"/>
                <w:szCs w:val="12"/>
              </w:rPr>
            </w:pPr>
            <w:r>
              <w:rPr>
                <w:rFonts w:ascii="Arial" w:hAnsi="Arial"/>
                <w:sz w:val="12"/>
                <w:szCs w:val="12"/>
              </w:rPr>
              <w:t>Fuentelahiguera de Albatages</w:t>
            </w:r>
          </w:p>
        </w:tc>
        <w:tc>
          <w:tcPr>
            <w:tcW w:w="2268" w:type="dxa"/>
            <w:tcBorders>
              <w:right w:val="single" w:sz="4" w:space="0" w:color="auto"/>
            </w:tcBorders>
            <w:shd w:val="clear" w:color="auto" w:fill="D9D9D9"/>
            <w:hideMark/>
          </w:tcPr>
          <w:p w14:paraId="585A3717" w14:textId="77777777" w:rsidR="002A4DDF" w:rsidRPr="00937C8B" w:rsidRDefault="002A4DDF" w:rsidP="009110ED">
            <w:pPr>
              <w:rPr>
                <w:rFonts w:ascii="Arial" w:hAnsi="Arial" w:cs="Arial"/>
                <w:sz w:val="12"/>
                <w:szCs w:val="12"/>
              </w:rPr>
            </w:pPr>
          </w:p>
        </w:tc>
      </w:tr>
      <w:tr w:rsidR="002A4DDF" w:rsidRPr="00937C8B" w14:paraId="5FB6385A" w14:textId="77777777" w:rsidTr="00935676">
        <w:trPr>
          <w:cantSplit/>
        </w:trPr>
        <w:tc>
          <w:tcPr>
            <w:tcW w:w="1696" w:type="dxa"/>
            <w:tcBorders>
              <w:left w:val="single" w:sz="4" w:space="0" w:color="auto"/>
            </w:tcBorders>
            <w:shd w:val="clear" w:color="auto" w:fill="auto"/>
          </w:tcPr>
          <w:p w14:paraId="614FF173" w14:textId="77777777" w:rsidR="002A4DDF" w:rsidRPr="00937C8B" w:rsidRDefault="002A4DDF" w:rsidP="009110ED">
            <w:pPr>
              <w:rPr>
                <w:rFonts w:ascii="Arial" w:hAnsi="Arial" w:cs="Arial"/>
                <w:sz w:val="12"/>
                <w:szCs w:val="12"/>
              </w:rPr>
            </w:pPr>
          </w:p>
        </w:tc>
        <w:tc>
          <w:tcPr>
            <w:tcW w:w="1843" w:type="dxa"/>
            <w:shd w:val="clear" w:color="auto" w:fill="auto"/>
          </w:tcPr>
          <w:p w14:paraId="52EEBA25" w14:textId="77777777" w:rsidR="002A4DDF" w:rsidRPr="00937C8B" w:rsidRDefault="002A4DDF" w:rsidP="009110ED">
            <w:pPr>
              <w:rPr>
                <w:rFonts w:ascii="Arial" w:hAnsi="Arial" w:cs="Arial"/>
                <w:sz w:val="12"/>
                <w:szCs w:val="12"/>
              </w:rPr>
            </w:pPr>
          </w:p>
        </w:tc>
        <w:tc>
          <w:tcPr>
            <w:tcW w:w="2268" w:type="dxa"/>
            <w:shd w:val="clear" w:color="auto" w:fill="F2F2F2"/>
            <w:hideMark/>
          </w:tcPr>
          <w:p w14:paraId="2B67F077" w14:textId="77777777" w:rsidR="002A4DDF" w:rsidRPr="00937C8B" w:rsidRDefault="002A4DDF" w:rsidP="009110ED">
            <w:pPr>
              <w:rPr>
                <w:rFonts w:ascii="Arial" w:hAnsi="Arial" w:cs="Arial"/>
                <w:sz w:val="12"/>
                <w:szCs w:val="12"/>
              </w:rPr>
            </w:pPr>
            <w:r>
              <w:rPr>
                <w:rFonts w:ascii="Arial" w:hAnsi="Arial"/>
                <w:sz w:val="12"/>
                <w:szCs w:val="12"/>
              </w:rPr>
              <w:t>Galápagos</w:t>
            </w:r>
          </w:p>
        </w:tc>
        <w:tc>
          <w:tcPr>
            <w:tcW w:w="2268" w:type="dxa"/>
            <w:tcBorders>
              <w:right w:val="single" w:sz="4" w:space="0" w:color="auto"/>
            </w:tcBorders>
            <w:shd w:val="clear" w:color="auto" w:fill="D9D9D9"/>
            <w:hideMark/>
          </w:tcPr>
          <w:p w14:paraId="4D80C299" w14:textId="77777777" w:rsidR="002A4DDF" w:rsidRPr="00937C8B" w:rsidRDefault="002A4DDF" w:rsidP="009110ED">
            <w:pPr>
              <w:rPr>
                <w:rFonts w:ascii="Arial" w:hAnsi="Arial" w:cs="Arial"/>
                <w:sz w:val="12"/>
                <w:szCs w:val="12"/>
              </w:rPr>
            </w:pPr>
          </w:p>
        </w:tc>
      </w:tr>
      <w:tr w:rsidR="002A4DDF" w:rsidRPr="00937C8B" w14:paraId="7C34364E" w14:textId="77777777" w:rsidTr="00935676">
        <w:trPr>
          <w:cantSplit/>
        </w:trPr>
        <w:tc>
          <w:tcPr>
            <w:tcW w:w="1696" w:type="dxa"/>
            <w:tcBorders>
              <w:left w:val="single" w:sz="4" w:space="0" w:color="auto"/>
            </w:tcBorders>
            <w:shd w:val="clear" w:color="auto" w:fill="auto"/>
          </w:tcPr>
          <w:p w14:paraId="6C9CCD8D" w14:textId="77777777" w:rsidR="002A4DDF" w:rsidRPr="00937C8B" w:rsidRDefault="002A4DDF" w:rsidP="009110ED">
            <w:pPr>
              <w:rPr>
                <w:rFonts w:ascii="Arial" w:hAnsi="Arial" w:cs="Arial"/>
                <w:sz w:val="12"/>
                <w:szCs w:val="12"/>
              </w:rPr>
            </w:pPr>
          </w:p>
        </w:tc>
        <w:tc>
          <w:tcPr>
            <w:tcW w:w="1843" w:type="dxa"/>
            <w:shd w:val="clear" w:color="auto" w:fill="auto"/>
          </w:tcPr>
          <w:p w14:paraId="568699E6" w14:textId="77777777" w:rsidR="002A4DDF" w:rsidRPr="00937C8B" w:rsidRDefault="002A4DDF" w:rsidP="009110ED">
            <w:pPr>
              <w:rPr>
                <w:rFonts w:ascii="Arial" w:hAnsi="Arial" w:cs="Arial"/>
                <w:sz w:val="12"/>
                <w:szCs w:val="12"/>
              </w:rPr>
            </w:pPr>
          </w:p>
        </w:tc>
        <w:tc>
          <w:tcPr>
            <w:tcW w:w="2268" w:type="dxa"/>
            <w:shd w:val="clear" w:color="auto" w:fill="F2F2F2"/>
            <w:hideMark/>
          </w:tcPr>
          <w:p w14:paraId="04CAFA2E" w14:textId="77777777" w:rsidR="002A4DDF" w:rsidRPr="00937C8B" w:rsidRDefault="002A4DDF" w:rsidP="009110ED">
            <w:pPr>
              <w:rPr>
                <w:rFonts w:ascii="Arial" w:hAnsi="Arial" w:cs="Arial"/>
                <w:sz w:val="12"/>
                <w:szCs w:val="12"/>
              </w:rPr>
            </w:pPr>
            <w:r>
              <w:rPr>
                <w:rFonts w:ascii="Arial" w:hAnsi="Arial"/>
                <w:sz w:val="12"/>
                <w:szCs w:val="12"/>
              </w:rPr>
              <w:t>Galve de Sorbe</w:t>
            </w:r>
          </w:p>
        </w:tc>
        <w:tc>
          <w:tcPr>
            <w:tcW w:w="2268" w:type="dxa"/>
            <w:tcBorders>
              <w:right w:val="single" w:sz="4" w:space="0" w:color="auto"/>
            </w:tcBorders>
            <w:shd w:val="clear" w:color="auto" w:fill="D9D9D9"/>
            <w:hideMark/>
          </w:tcPr>
          <w:p w14:paraId="79EC6038" w14:textId="77777777" w:rsidR="002A4DDF" w:rsidRPr="00937C8B" w:rsidRDefault="002A4DDF" w:rsidP="009110ED">
            <w:pPr>
              <w:rPr>
                <w:rFonts w:ascii="Arial" w:hAnsi="Arial" w:cs="Arial"/>
                <w:sz w:val="12"/>
                <w:szCs w:val="12"/>
              </w:rPr>
            </w:pPr>
          </w:p>
        </w:tc>
      </w:tr>
      <w:tr w:rsidR="002A4DDF" w:rsidRPr="00937C8B" w14:paraId="1B8F03BA" w14:textId="77777777" w:rsidTr="00935676">
        <w:trPr>
          <w:cantSplit/>
        </w:trPr>
        <w:tc>
          <w:tcPr>
            <w:tcW w:w="1696" w:type="dxa"/>
            <w:tcBorders>
              <w:left w:val="single" w:sz="4" w:space="0" w:color="auto"/>
            </w:tcBorders>
            <w:shd w:val="clear" w:color="auto" w:fill="auto"/>
          </w:tcPr>
          <w:p w14:paraId="7A14592D" w14:textId="77777777" w:rsidR="002A4DDF" w:rsidRPr="00937C8B" w:rsidRDefault="002A4DDF" w:rsidP="009110ED">
            <w:pPr>
              <w:rPr>
                <w:rFonts w:ascii="Arial" w:hAnsi="Arial" w:cs="Arial"/>
                <w:sz w:val="12"/>
                <w:szCs w:val="12"/>
              </w:rPr>
            </w:pPr>
          </w:p>
        </w:tc>
        <w:tc>
          <w:tcPr>
            <w:tcW w:w="1843" w:type="dxa"/>
            <w:shd w:val="clear" w:color="auto" w:fill="auto"/>
          </w:tcPr>
          <w:p w14:paraId="79AE0383" w14:textId="77777777" w:rsidR="002A4DDF" w:rsidRPr="00937C8B" w:rsidRDefault="002A4DDF" w:rsidP="009110ED">
            <w:pPr>
              <w:rPr>
                <w:rFonts w:ascii="Arial" w:hAnsi="Arial" w:cs="Arial"/>
                <w:sz w:val="12"/>
                <w:szCs w:val="12"/>
              </w:rPr>
            </w:pPr>
          </w:p>
        </w:tc>
        <w:tc>
          <w:tcPr>
            <w:tcW w:w="2268" w:type="dxa"/>
            <w:shd w:val="clear" w:color="auto" w:fill="F2F2F2"/>
            <w:hideMark/>
          </w:tcPr>
          <w:p w14:paraId="23C9B5A6" w14:textId="77777777" w:rsidR="002A4DDF" w:rsidRPr="00937C8B" w:rsidRDefault="002A4DDF" w:rsidP="009110ED">
            <w:pPr>
              <w:rPr>
                <w:rFonts w:ascii="Arial" w:hAnsi="Arial" w:cs="Arial"/>
                <w:sz w:val="12"/>
                <w:szCs w:val="12"/>
              </w:rPr>
            </w:pPr>
            <w:r>
              <w:rPr>
                <w:rFonts w:ascii="Arial" w:hAnsi="Arial"/>
                <w:sz w:val="12"/>
                <w:szCs w:val="12"/>
              </w:rPr>
              <w:t>Guadalajara</w:t>
            </w:r>
          </w:p>
        </w:tc>
        <w:tc>
          <w:tcPr>
            <w:tcW w:w="2268" w:type="dxa"/>
            <w:tcBorders>
              <w:right w:val="single" w:sz="4" w:space="0" w:color="auto"/>
            </w:tcBorders>
            <w:shd w:val="clear" w:color="auto" w:fill="D9D9D9"/>
            <w:hideMark/>
          </w:tcPr>
          <w:p w14:paraId="0C4A5AEE" w14:textId="77777777" w:rsidR="002A4DDF" w:rsidRPr="00937C8B" w:rsidRDefault="002A4DDF" w:rsidP="009110ED">
            <w:pPr>
              <w:rPr>
                <w:rFonts w:ascii="Arial" w:hAnsi="Arial" w:cs="Arial"/>
                <w:sz w:val="12"/>
                <w:szCs w:val="12"/>
              </w:rPr>
            </w:pPr>
          </w:p>
        </w:tc>
      </w:tr>
      <w:tr w:rsidR="002A4DDF" w:rsidRPr="00937C8B" w14:paraId="1C883C64" w14:textId="77777777" w:rsidTr="00935676">
        <w:trPr>
          <w:cantSplit/>
        </w:trPr>
        <w:tc>
          <w:tcPr>
            <w:tcW w:w="1696" w:type="dxa"/>
            <w:tcBorders>
              <w:left w:val="single" w:sz="4" w:space="0" w:color="auto"/>
            </w:tcBorders>
            <w:shd w:val="clear" w:color="auto" w:fill="auto"/>
          </w:tcPr>
          <w:p w14:paraId="588EB0F0" w14:textId="77777777" w:rsidR="002A4DDF" w:rsidRPr="00937C8B" w:rsidRDefault="002A4DDF" w:rsidP="009110ED">
            <w:pPr>
              <w:rPr>
                <w:rFonts w:ascii="Arial" w:hAnsi="Arial" w:cs="Arial"/>
                <w:sz w:val="12"/>
                <w:szCs w:val="12"/>
              </w:rPr>
            </w:pPr>
          </w:p>
        </w:tc>
        <w:tc>
          <w:tcPr>
            <w:tcW w:w="1843" w:type="dxa"/>
            <w:shd w:val="clear" w:color="auto" w:fill="auto"/>
          </w:tcPr>
          <w:p w14:paraId="7526D421" w14:textId="77777777" w:rsidR="002A4DDF" w:rsidRPr="00937C8B" w:rsidRDefault="002A4DDF" w:rsidP="009110ED">
            <w:pPr>
              <w:rPr>
                <w:rFonts w:ascii="Arial" w:hAnsi="Arial" w:cs="Arial"/>
                <w:sz w:val="12"/>
                <w:szCs w:val="12"/>
              </w:rPr>
            </w:pPr>
          </w:p>
        </w:tc>
        <w:tc>
          <w:tcPr>
            <w:tcW w:w="2268" w:type="dxa"/>
            <w:shd w:val="clear" w:color="auto" w:fill="F2F2F2"/>
            <w:hideMark/>
          </w:tcPr>
          <w:p w14:paraId="6DA4FA3C" w14:textId="77777777" w:rsidR="002A4DDF" w:rsidRPr="00937C8B" w:rsidRDefault="002A4DDF" w:rsidP="009110ED">
            <w:pPr>
              <w:rPr>
                <w:rFonts w:ascii="Arial" w:hAnsi="Arial" w:cs="Arial"/>
                <w:sz w:val="12"/>
                <w:szCs w:val="12"/>
              </w:rPr>
            </w:pPr>
            <w:r>
              <w:rPr>
                <w:rFonts w:ascii="Arial" w:hAnsi="Arial"/>
                <w:sz w:val="12"/>
                <w:szCs w:val="12"/>
              </w:rPr>
              <w:t>Henche</w:t>
            </w:r>
          </w:p>
        </w:tc>
        <w:tc>
          <w:tcPr>
            <w:tcW w:w="2268" w:type="dxa"/>
            <w:tcBorders>
              <w:right w:val="single" w:sz="4" w:space="0" w:color="auto"/>
            </w:tcBorders>
            <w:shd w:val="clear" w:color="auto" w:fill="D9D9D9"/>
            <w:hideMark/>
          </w:tcPr>
          <w:p w14:paraId="6D20C090" w14:textId="77777777" w:rsidR="002A4DDF" w:rsidRPr="00937C8B" w:rsidRDefault="002A4DDF" w:rsidP="009110ED">
            <w:pPr>
              <w:rPr>
                <w:rFonts w:ascii="Arial" w:hAnsi="Arial" w:cs="Arial"/>
                <w:sz w:val="12"/>
                <w:szCs w:val="12"/>
              </w:rPr>
            </w:pPr>
          </w:p>
        </w:tc>
      </w:tr>
      <w:tr w:rsidR="002A4DDF" w:rsidRPr="00937C8B" w14:paraId="515BD2B4" w14:textId="77777777" w:rsidTr="00935676">
        <w:trPr>
          <w:cantSplit/>
        </w:trPr>
        <w:tc>
          <w:tcPr>
            <w:tcW w:w="1696" w:type="dxa"/>
            <w:tcBorders>
              <w:left w:val="single" w:sz="4" w:space="0" w:color="auto"/>
            </w:tcBorders>
            <w:shd w:val="clear" w:color="auto" w:fill="auto"/>
          </w:tcPr>
          <w:p w14:paraId="31818758" w14:textId="77777777" w:rsidR="002A4DDF" w:rsidRPr="00937C8B" w:rsidRDefault="002A4DDF" w:rsidP="009110ED">
            <w:pPr>
              <w:rPr>
                <w:rFonts w:ascii="Arial" w:hAnsi="Arial" w:cs="Arial"/>
                <w:sz w:val="12"/>
                <w:szCs w:val="12"/>
              </w:rPr>
            </w:pPr>
          </w:p>
        </w:tc>
        <w:tc>
          <w:tcPr>
            <w:tcW w:w="1843" w:type="dxa"/>
            <w:shd w:val="clear" w:color="auto" w:fill="auto"/>
          </w:tcPr>
          <w:p w14:paraId="51320B97" w14:textId="77777777" w:rsidR="002A4DDF" w:rsidRPr="00937C8B" w:rsidRDefault="002A4DDF" w:rsidP="009110ED">
            <w:pPr>
              <w:rPr>
                <w:rFonts w:ascii="Arial" w:hAnsi="Arial" w:cs="Arial"/>
                <w:sz w:val="12"/>
                <w:szCs w:val="12"/>
              </w:rPr>
            </w:pPr>
          </w:p>
        </w:tc>
        <w:tc>
          <w:tcPr>
            <w:tcW w:w="2268" w:type="dxa"/>
            <w:shd w:val="clear" w:color="auto" w:fill="F2F2F2"/>
            <w:hideMark/>
          </w:tcPr>
          <w:p w14:paraId="07F38AC8" w14:textId="77777777" w:rsidR="002A4DDF" w:rsidRPr="00937C8B" w:rsidRDefault="002A4DDF" w:rsidP="009110ED">
            <w:pPr>
              <w:rPr>
                <w:rFonts w:ascii="Arial" w:hAnsi="Arial" w:cs="Arial"/>
                <w:sz w:val="12"/>
                <w:szCs w:val="12"/>
              </w:rPr>
            </w:pPr>
            <w:r>
              <w:rPr>
                <w:rFonts w:ascii="Arial" w:hAnsi="Arial"/>
                <w:sz w:val="12"/>
                <w:szCs w:val="12"/>
              </w:rPr>
              <w:t>Heras de Ayuso</w:t>
            </w:r>
          </w:p>
        </w:tc>
        <w:tc>
          <w:tcPr>
            <w:tcW w:w="2268" w:type="dxa"/>
            <w:tcBorders>
              <w:right w:val="single" w:sz="4" w:space="0" w:color="auto"/>
            </w:tcBorders>
            <w:shd w:val="clear" w:color="auto" w:fill="D9D9D9"/>
            <w:hideMark/>
          </w:tcPr>
          <w:p w14:paraId="251FD5DA" w14:textId="77777777" w:rsidR="002A4DDF" w:rsidRPr="00937C8B" w:rsidRDefault="002A4DDF" w:rsidP="009110ED">
            <w:pPr>
              <w:rPr>
                <w:rFonts w:ascii="Arial" w:hAnsi="Arial" w:cs="Arial"/>
                <w:sz w:val="12"/>
                <w:szCs w:val="12"/>
              </w:rPr>
            </w:pPr>
          </w:p>
        </w:tc>
      </w:tr>
      <w:tr w:rsidR="002A4DDF" w:rsidRPr="00937C8B" w14:paraId="586D198C" w14:textId="77777777" w:rsidTr="00935676">
        <w:trPr>
          <w:cantSplit/>
        </w:trPr>
        <w:tc>
          <w:tcPr>
            <w:tcW w:w="1696" w:type="dxa"/>
            <w:tcBorders>
              <w:left w:val="single" w:sz="4" w:space="0" w:color="auto"/>
            </w:tcBorders>
            <w:shd w:val="clear" w:color="auto" w:fill="auto"/>
          </w:tcPr>
          <w:p w14:paraId="4AAF1A4F" w14:textId="77777777" w:rsidR="002A4DDF" w:rsidRPr="00937C8B" w:rsidRDefault="002A4DDF" w:rsidP="009110ED">
            <w:pPr>
              <w:rPr>
                <w:rFonts w:ascii="Arial" w:hAnsi="Arial" w:cs="Arial"/>
                <w:sz w:val="12"/>
                <w:szCs w:val="12"/>
              </w:rPr>
            </w:pPr>
          </w:p>
        </w:tc>
        <w:tc>
          <w:tcPr>
            <w:tcW w:w="1843" w:type="dxa"/>
            <w:shd w:val="clear" w:color="auto" w:fill="auto"/>
          </w:tcPr>
          <w:p w14:paraId="3A911726" w14:textId="77777777" w:rsidR="002A4DDF" w:rsidRPr="00937C8B" w:rsidRDefault="002A4DDF" w:rsidP="009110ED">
            <w:pPr>
              <w:rPr>
                <w:rFonts w:ascii="Arial" w:hAnsi="Arial" w:cs="Arial"/>
                <w:sz w:val="12"/>
                <w:szCs w:val="12"/>
              </w:rPr>
            </w:pPr>
          </w:p>
        </w:tc>
        <w:tc>
          <w:tcPr>
            <w:tcW w:w="2268" w:type="dxa"/>
            <w:shd w:val="clear" w:color="auto" w:fill="F2F2F2"/>
            <w:hideMark/>
          </w:tcPr>
          <w:p w14:paraId="6B31ED76" w14:textId="77777777" w:rsidR="002A4DDF" w:rsidRPr="00937C8B" w:rsidRDefault="002A4DDF" w:rsidP="009110ED">
            <w:pPr>
              <w:rPr>
                <w:rFonts w:ascii="Arial" w:hAnsi="Arial" w:cs="Arial"/>
                <w:sz w:val="12"/>
                <w:szCs w:val="12"/>
              </w:rPr>
            </w:pPr>
            <w:r>
              <w:rPr>
                <w:rFonts w:ascii="Arial" w:hAnsi="Arial"/>
                <w:sz w:val="12"/>
                <w:szCs w:val="12"/>
              </w:rPr>
              <w:t>Hita</w:t>
            </w:r>
          </w:p>
        </w:tc>
        <w:tc>
          <w:tcPr>
            <w:tcW w:w="2268" w:type="dxa"/>
            <w:tcBorders>
              <w:right w:val="single" w:sz="4" w:space="0" w:color="auto"/>
            </w:tcBorders>
            <w:shd w:val="clear" w:color="auto" w:fill="D9D9D9"/>
            <w:hideMark/>
          </w:tcPr>
          <w:p w14:paraId="756FADD7" w14:textId="77777777" w:rsidR="002A4DDF" w:rsidRPr="00937C8B" w:rsidRDefault="002A4DDF" w:rsidP="009110ED">
            <w:pPr>
              <w:rPr>
                <w:rFonts w:ascii="Arial" w:hAnsi="Arial" w:cs="Arial"/>
                <w:sz w:val="12"/>
                <w:szCs w:val="12"/>
              </w:rPr>
            </w:pPr>
          </w:p>
        </w:tc>
      </w:tr>
      <w:tr w:rsidR="002A4DDF" w:rsidRPr="00937C8B" w14:paraId="484E9638" w14:textId="77777777" w:rsidTr="00935676">
        <w:trPr>
          <w:cantSplit/>
        </w:trPr>
        <w:tc>
          <w:tcPr>
            <w:tcW w:w="1696" w:type="dxa"/>
            <w:tcBorders>
              <w:left w:val="single" w:sz="4" w:space="0" w:color="auto"/>
            </w:tcBorders>
            <w:shd w:val="clear" w:color="auto" w:fill="auto"/>
          </w:tcPr>
          <w:p w14:paraId="6C7A0738" w14:textId="77777777" w:rsidR="002A4DDF" w:rsidRPr="00937C8B" w:rsidRDefault="002A4DDF" w:rsidP="009110ED">
            <w:pPr>
              <w:rPr>
                <w:rFonts w:ascii="Arial" w:hAnsi="Arial" w:cs="Arial"/>
                <w:sz w:val="12"/>
                <w:szCs w:val="12"/>
              </w:rPr>
            </w:pPr>
          </w:p>
        </w:tc>
        <w:tc>
          <w:tcPr>
            <w:tcW w:w="1843" w:type="dxa"/>
            <w:shd w:val="clear" w:color="auto" w:fill="auto"/>
          </w:tcPr>
          <w:p w14:paraId="2073D6BF" w14:textId="77777777" w:rsidR="002A4DDF" w:rsidRPr="00937C8B" w:rsidRDefault="002A4DDF" w:rsidP="009110ED">
            <w:pPr>
              <w:rPr>
                <w:rFonts w:ascii="Arial" w:hAnsi="Arial" w:cs="Arial"/>
                <w:sz w:val="12"/>
                <w:szCs w:val="12"/>
              </w:rPr>
            </w:pPr>
          </w:p>
        </w:tc>
        <w:tc>
          <w:tcPr>
            <w:tcW w:w="2268" w:type="dxa"/>
            <w:shd w:val="clear" w:color="auto" w:fill="F2F2F2"/>
            <w:hideMark/>
          </w:tcPr>
          <w:p w14:paraId="17022A57" w14:textId="77777777" w:rsidR="002A4DDF" w:rsidRPr="00937C8B" w:rsidRDefault="002A4DDF" w:rsidP="009110ED">
            <w:pPr>
              <w:rPr>
                <w:rFonts w:ascii="Arial" w:hAnsi="Arial" w:cs="Arial"/>
                <w:sz w:val="12"/>
                <w:szCs w:val="12"/>
              </w:rPr>
            </w:pPr>
            <w:r>
              <w:rPr>
                <w:rFonts w:ascii="Arial" w:hAnsi="Arial"/>
                <w:sz w:val="12"/>
                <w:szCs w:val="12"/>
              </w:rPr>
              <w:t>Hombrados</w:t>
            </w:r>
          </w:p>
        </w:tc>
        <w:tc>
          <w:tcPr>
            <w:tcW w:w="2268" w:type="dxa"/>
            <w:tcBorders>
              <w:right w:val="single" w:sz="4" w:space="0" w:color="auto"/>
            </w:tcBorders>
            <w:shd w:val="clear" w:color="auto" w:fill="D9D9D9"/>
            <w:hideMark/>
          </w:tcPr>
          <w:p w14:paraId="491F13FC" w14:textId="77777777" w:rsidR="002A4DDF" w:rsidRPr="00937C8B" w:rsidRDefault="002A4DDF" w:rsidP="009110ED">
            <w:pPr>
              <w:rPr>
                <w:rFonts w:ascii="Arial" w:hAnsi="Arial" w:cs="Arial"/>
                <w:sz w:val="12"/>
                <w:szCs w:val="12"/>
              </w:rPr>
            </w:pPr>
          </w:p>
        </w:tc>
      </w:tr>
      <w:tr w:rsidR="002A4DDF" w:rsidRPr="00937C8B" w14:paraId="64A16C63" w14:textId="77777777" w:rsidTr="00935676">
        <w:trPr>
          <w:cantSplit/>
        </w:trPr>
        <w:tc>
          <w:tcPr>
            <w:tcW w:w="1696" w:type="dxa"/>
            <w:tcBorders>
              <w:left w:val="single" w:sz="4" w:space="0" w:color="auto"/>
            </w:tcBorders>
            <w:shd w:val="clear" w:color="auto" w:fill="auto"/>
          </w:tcPr>
          <w:p w14:paraId="09E5BCDC" w14:textId="77777777" w:rsidR="002A4DDF" w:rsidRPr="00937C8B" w:rsidRDefault="002A4DDF" w:rsidP="009110ED">
            <w:pPr>
              <w:rPr>
                <w:rFonts w:ascii="Arial" w:hAnsi="Arial" w:cs="Arial"/>
                <w:sz w:val="12"/>
                <w:szCs w:val="12"/>
              </w:rPr>
            </w:pPr>
          </w:p>
        </w:tc>
        <w:tc>
          <w:tcPr>
            <w:tcW w:w="1843" w:type="dxa"/>
            <w:shd w:val="clear" w:color="auto" w:fill="auto"/>
          </w:tcPr>
          <w:p w14:paraId="4D8B0795" w14:textId="77777777" w:rsidR="002A4DDF" w:rsidRPr="00937C8B" w:rsidRDefault="002A4DDF" w:rsidP="009110ED">
            <w:pPr>
              <w:rPr>
                <w:rFonts w:ascii="Arial" w:hAnsi="Arial" w:cs="Arial"/>
                <w:sz w:val="12"/>
                <w:szCs w:val="12"/>
              </w:rPr>
            </w:pPr>
          </w:p>
        </w:tc>
        <w:tc>
          <w:tcPr>
            <w:tcW w:w="2268" w:type="dxa"/>
            <w:shd w:val="clear" w:color="auto" w:fill="F2F2F2"/>
            <w:hideMark/>
          </w:tcPr>
          <w:p w14:paraId="69AEB9CA" w14:textId="77777777" w:rsidR="002A4DDF" w:rsidRPr="00937C8B" w:rsidRDefault="002A4DDF" w:rsidP="009110ED">
            <w:pPr>
              <w:rPr>
                <w:rFonts w:ascii="Arial" w:hAnsi="Arial" w:cs="Arial"/>
                <w:sz w:val="12"/>
                <w:szCs w:val="12"/>
              </w:rPr>
            </w:pPr>
            <w:r>
              <w:rPr>
                <w:rFonts w:ascii="Arial" w:hAnsi="Arial"/>
                <w:sz w:val="12"/>
                <w:szCs w:val="12"/>
              </w:rPr>
              <w:t>Humanes</w:t>
            </w:r>
          </w:p>
        </w:tc>
        <w:tc>
          <w:tcPr>
            <w:tcW w:w="2268" w:type="dxa"/>
            <w:tcBorders>
              <w:right w:val="single" w:sz="4" w:space="0" w:color="auto"/>
            </w:tcBorders>
            <w:shd w:val="clear" w:color="auto" w:fill="D9D9D9"/>
            <w:hideMark/>
          </w:tcPr>
          <w:p w14:paraId="6F1A7257" w14:textId="77777777" w:rsidR="002A4DDF" w:rsidRPr="00937C8B" w:rsidRDefault="002A4DDF" w:rsidP="009110ED">
            <w:pPr>
              <w:rPr>
                <w:rFonts w:ascii="Arial" w:hAnsi="Arial" w:cs="Arial"/>
                <w:sz w:val="12"/>
                <w:szCs w:val="12"/>
              </w:rPr>
            </w:pPr>
          </w:p>
        </w:tc>
      </w:tr>
      <w:tr w:rsidR="002A4DDF" w:rsidRPr="00937C8B" w14:paraId="5E064FE7" w14:textId="77777777" w:rsidTr="00935676">
        <w:trPr>
          <w:cantSplit/>
        </w:trPr>
        <w:tc>
          <w:tcPr>
            <w:tcW w:w="1696" w:type="dxa"/>
            <w:tcBorders>
              <w:left w:val="single" w:sz="4" w:space="0" w:color="auto"/>
            </w:tcBorders>
            <w:shd w:val="clear" w:color="auto" w:fill="auto"/>
          </w:tcPr>
          <w:p w14:paraId="1FC80AAD" w14:textId="77777777" w:rsidR="002A4DDF" w:rsidRPr="00937C8B" w:rsidRDefault="002A4DDF" w:rsidP="009110ED">
            <w:pPr>
              <w:rPr>
                <w:rFonts w:ascii="Arial" w:hAnsi="Arial" w:cs="Arial"/>
                <w:sz w:val="12"/>
                <w:szCs w:val="12"/>
              </w:rPr>
            </w:pPr>
          </w:p>
        </w:tc>
        <w:tc>
          <w:tcPr>
            <w:tcW w:w="1843" w:type="dxa"/>
            <w:shd w:val="clear" w:color="auto" w:fill="auto"/>
          </w:tcPr>
          <w:p w14:paraId="584E5A39" w14:textId="77777777" w:rsidR="002A4DDF" w:rsidRPr="00937C8B" w:rsidRDefault="002A4DDF" w:rsidP="009110ED">
            <w:pPr>
              <w:rPr>
                <w:rFonts w:ascii="Arial" w:hAnsi="Arial" w:cs="Arial"/>
                <w:sz w:val="12"/>
                <w:szCs w:val="12"/>
              </w:rPr>
            </w:pPr>
          </w:p>
        </w:tc>
        <w:tc>
          <w:tcPr>
            <w:tcW w:w="2268" w:type="dxa"/>
            <w:shd w:val="clear" w:color="auto" w:fill="F2F2F2"/>
            <w:hideMark/>
          </w:tcPr>
          <w:p w14:paraId="50E83292" w14:textId="77777777" w:rsidR="002A4DDF" w:rsidRPr="00937C8B" w:rsidRDefault="002A4DDF" w:rsidP="009110ED">
            <w:pPr>
              <w:rPr>
                <w:rFonts w:ascii="Arial" w:hAnsi="Arial" w:cs="Arial"/>
                <w:sz w:val="12"/>
                <w:szCs w:val="12"/>
              </w:rPr>
            </w:pPr>
            <w:r>
              <w:rPr>
                <w:rFonts w:ascii="Arial" w:hAnsi="Arial"/>
                <w:sz w:val="12"/>
                <w:szCs w:val="12"/>
              </w:rPr>
              <w:t>Jadraque</w:t>
            </w:r>
          </w:p>
        </w:tc>
        <w:tc>
          <w:tcPr>
            <w:tcW w:w="2268" w:type="dxa"/>
            <w:tcBorders>
              <w:right w:val="single" w:sz="4" w:space="0" w:color="auto"/>
            </w:tcBorders>
            <w:shd w:val="clear" w:color="auto" w:fill="D9D9D9"/>
            <w:hideMark/>
          </w:tcPr>
          <w:p w14:paraId="76E8DA29" w14:textId="77777777" w:rsidR="002A4DDF" w:rsidRPr="00937C8B" w:rsidRDefault="002A4DDF" w:rsidP="009110ED">
            <w:pPr>
              <w:rPr>
                <w:rFonts w:ascii="Arial" w:hAnsi="Arial" w:cs="Arial"/>
                <w:sz w:val="12"/>
                <w:szCs w:val="12"/>
              </w:rPr>
            </w:pPr>
          </w:p>
        </w:tc>
      </w:tr>
      <w:tr w:rsidR="002A4DDF" w:rsidRPr="00937C8B" w14:paraId="7D79935E" w14:textId="77777777" w:rsidTr="00935676">
        <w:trPr>
          <w:cantSplit/>
        </w:trPr>
        <w:tc>
          <w:tcPr>
            <w:tcW w:w="1696" w:type="dxa"/>
            <w:tcBorders>
              <w:left w:val="single" w:sz="4" w:space="0" w:color="auto"/>
            </w:tcBorders>
            <w:shd w:val="clear" w:color="auto" w:fill="auto"/>
          </w:tcPr>
          <w:p w14:paraId="3334383F" w14:textId="77777777" w:rsidR="002A4DDF" w:rsidRPr="00937C8B" w:rsidRDefault="002A4DDF" w:rsidP="009110ED">
            <w:pPr>
              <w:rPr>
                <w:rFonts w:ascii="Arial" w:hAnsi="Arial" w:cs="Arial"/>
                <w:sz w:val="12"/>
                <w:szCs w:val="12"/>
              </w:rPr>
            </w:pPr>
          </w:p>
        </w:tc>
        <w:tc>
          <w:tcPr>
            <w:tcW w:w="1843" w:type="dxa"/>
            <w:shd w:val="clear" w:color="auto" w:fill="auto"/>
          </w:tcPr>
          <w:p w14:paraId="755E8EDE" w14:textId="77777777" w:rsidR="002A4DDF" w:rsidRPr="00937C8B" w:rsidRDefault="002A4DDF" w:rsidP="009110ED">
            <w:pPr>
              <w:rPr>
                <w:rFonts w:ascii="Arial" w:hAnsi="Arial" w:cs="Arial"/>
                <w:sz w:val="12"/>
                <w:szCs w:val="12"/>
              </w:rPr>
            </w:pPr>
          </w:p>
        </w:tc>
        <w:tc>
          <w:tcPr>
            <w:tcW w:w="2268" w:type="dxa"/>
            <w:shd w:val="clear" w:color="auto" w:fill="F2F2F2"/>
            <w:hideMark/>
          </w:tcPr>
          <w:p w14:paraId="479BCD83" w14:textId="77777777" w:rsidR="002A4DDF" w:rsidRPr="00937C8B" w:rsidRDefault="002A4DDF" w:rsidP="009110ED">
            <w:pPr>
              <w:rPr>
                <w:rFonts w:ascii="Arial" w:hAnsi="Arial" w:cs="Arial"/>
                <w:sz w:val="12"/>
                <w:szCs w:val="12"/>
              </w:rPr>
            </w:pPr>
            <w:r>
              <w:rPr>
                <w:rFonts w:ascii="Arial" w:hAnsi="Arial"/>
                <w:sz w:val="12"/>
                <w:szCs w:val="12"/>
              </w:rPr>
              <w:t>Jirueque</w:t>
            </w:r>
          </w:p>
        </w:tc>
        <w:tc>
          <w:tcPr>
            <w:tcW w:w="2268" w:type="dxa"/>
            <w:tcBorders>
              <w:right w:val="single" w:sz="4" w:space="0" w:color="auto"/>
            </w:tcBorders>
            <w:shd w:val="clear" w:color="auto" w:fill="D9D9D9"/>
            <w:hideMark/>
          </w:tcPr>
          <w:p w14:paraId="3F2805F6" w14:textId="77777777" w:rsidR="002A4DDF" w:rsidRPr="00937C8B" w:rsidRDefault="002A4DDF" w:rsidP="009110ED">
            <w:pPr>
              <w:rPr>
                <w:rFonts w:ascii="Arial" w:hAnsi="Arial" w:cs="Arial"/>
                <w:sz w:val="12"/>
                <w:szCs w:val="12"/>
              </w:rPr>
            </w:pPr>
          </w:p>
        </w:tc>
      </w:tr>
      <w:tr w:rsidR="002A4DDF" w:rsidRPr="00937C8B" w14:paraId="76C2FB12" w14:textId="77777777" w:rsidTr="00935676">
        <w:trPr>
          <w:cantSplit/>
        </w:trPr>
        <w:tc>
          <w:tcPr>
            <w:tcW w:w="1696" w:type="dxa"/>
            <w:tcBorders>
              <w:left w:val="single" w:sz="4" w:space="0" w:color="auto"/>
            </w:tcBorders>
            <w:shd w:val="clear" w:color="auto" w:fill="auto"/>
          </w:tcPr>
          <w:p w14:paraId="3C1777A8" w14:textId="77777777" w:rsidR="002A4DDF" w:rsidRPr="00937C8B" w:rsidRDefault="002A4DDF" w:rsidP="009110ED">
            <w:pPr>
              <w:rPr>
                <w:rFonts w:ascii="Arial" w:hAnsi="Arial" w:cs="Arial"/>
                <w:sz w:val="12"/>
                <w:szCs w:val="12"/>
              </w:rPr>
            </w:pPr>
          </w:p>
        </w:tc>
        <w:tc>
          <w:tcPr>
            <w:tcW w:w="1843" w:type="dxa"/>
            <w:shd w:val="clear" w:color="auto" w:fill="auto"/>
          </w:tcPr>
          <w:p w14:paraId="6B564145" w14:textId="77777777" w:rsidR="002A4DDF" w:rsidRPr="00937C8B" w:rsidRDefault="002A4DDF" w:rsidP="009110ED">
            <w:pPr>
              <w:rPr>
                <w:rFonts w:ascii="Arial" w:hAnsi="Arial" w:cs="Arial"/>
                <w:sz w:val="12"/>
                <w:szCs w:val="12"/>
              </w:rPr>
            </w:pPr>
          </w:p>
        </w:tc>
        <w:tc>
          <w:tcPr>
            <w:tcW w:w="2268" w:type="dxa"/>
            <w:shd w:val="clear" w:color="auto" w:fill="F2F2F2"/>
            <w:hideMark/>
          </w:tcPr>
          <w:p w14:paraId="6712DAB7" w14:textId="77777777" w:rsidR="002A4DDF" w:rsidRPr="00937C8B" w:rsidRDefault="002A4DDF" w:rsidP="009110ED">
            <w:pPr>
              <w:rPr>
                <w:rFonts w:ascii="Arial" w:hAnsi="Arial" w:cs="Arial"/>
                <w:sz w:val="12"/>
                <w:szCs w:val="12"/>
              </w:rPr>
            </w:pPr>
            <w:r>
              <w:rPr>
                <w:rFonts w:ascii="Arial" w:hAnsi="Arial"/>
                <w:sz w:val="12"/>
                <w:szCs w:val="12"/>
              </w:rPr>
              <w:t>La Mierla</w:t>
            </w:r>
          </w:p>
        </w:tc>
        <w:tc>
          <w:tcPr>
            <w:tcW w:w="2268" w:type="dxa"/>
            <w:tcBorders>
              <w:right w:val="single" w:sz="4" w:space="0" w:color="auto"/>
            </w:tcBorders>
            <w:shd w:val="clear" w:color="auto" w:fill="D9D9D9"/>
            <w:hideMark/>
          </w:tcPr>
          <w:p w14:paraId="595D98FD" w14:textId="77777777" w:rsidR="002A4DDF" w:rsidRPr="00937C8B" w:rsidRDefault="002A4DDF" w:rsidP="009110ED">
            <w:pPr>
              <w:rPr>
                <w:rFonts w:ascii="Arial" w:hAnsi="Arial" w:cs="Arial"/>
                <w:sz w:val="12"/>
                <w:szCs w:val="12"/>
              </w:rPr>
            </w:pPr>
          </w:p>
        </w:tc>
      </w:tr>
      <w:tr w:rsidR="002A4DDF" w:rsidRPr="00937C8B" w14:paraId="54F3FBCC" w14:textId="77777777" w:rsidTr="00935676">
        <w:trPr>
          <w:cantSplit/>
        </w:trPr>
        <w:tc>
          <w:tcPr>
            <w:tcW w:w="1696" w:type="dxa"/>
            <w:tcBorders>
              <w:left w:val="single" w:sz="4" w:space="0" w:color="auto"/>
            </w:tcBorders>
            <w:shd w:val="clear" w:color="auto" w:fill="auto"/>
          </w:tcPr>
          <w:p w14:paraId="3126E796" w14:textId="77777777" w:rsidR="002A4DDF" w:rsidRPr="00937C8B" w:rsidRDefault="002A4DDF" w:rsidP="009110ED">
            <w:pPr>
              <w:rPr>
                <w:rFonts w:ascii="Arial" w:hAnsi="Arial" w:cs="Arial"/>
                <w:sz w:val="12"/>
                <w:szCs w:val="12"/>
              </w:rPr>
            </w:pPr>
          </w:p>
        </w:tc>
        <w:tc>
          <w:tcPr>
            <w:tcW w:w="1843" w:type="dxa"/>
            <w:shd w:val="clear" w:color="auto" w:fill="auto"/>
          </w:tcPr>
          <w:p w14:paraId="3C8F3DAF" w14:textId="77777777" w:rsidR="002A4DDF" w:rsidRPr="00937C8B" w:rsidRDefault="002A4DDF" w:rsidP="009110ED">
            <w:pPr>
              <w:rPr>
                <w:rFonts w:ascii="Arial" w:hAnsi="Arial" w:cs="Arial"/>
                <w:sz w:val="12"/>
                <w:szCs w:val="12"/>
              </w:rPr>
            </w:pPr>
          </w:p>
        </w:tc>
        <w:tc>
          <w:tcPr>
            <w:tcW w:w="2268" w:type="dxa"/>
            <w:shd w:val="clear" w:color="auto" w:fill="F2F2F2"/>
            <w:hideMark/>
          </w:tcPr>
          <w:p w14:paraId="5E3E3465" w14:textId="77777777" w:rsidR="002A4DDF" w:rsidRPr="00937C8B" w:rsidRDefault="002A4DDF" w:rsidP="009110ED">
            <w:pPr>
              <w:rPr>
                <w:rFonts w:ascii="Arial" w:hAnsi="Arial" w:cs="Arial"/>
                <w:sz w:val="12"/>
                <w:szCs w:val="12"/>
              </w:rPr>
            </w:pPr>
            <w:r>
              <w:rPr>
                <w:rFonts w:ascii="Arial" w:hAnsi="Arial"/>
                <w:sz w:val="12"/>
                <w:szCs w:val="12"/>
              </w:rPr>
              <w:t>La Miñosa</w:t>
            </w:r>
          </w:p>
        </w:tc>
        <w:tc>
          <w:tcPr>
            <w:tcW w:w="2268" w:type="dxa"/>
            <w:tcBorders>
              <w:right w:val="single" w:sz="4" w:space="0" w:color="auto"/>
            </w:tcBorders>
            <w:shd w:val="clear" w:color="auto" w:fill="D9D9D9"/>
            <w:hideMark/>
          </w:tcPr>
          <w:p w14:paraId="136CEE05" w14:textId="77777777" w:rsidR="002A4DDF" w:rsidRPr="00937C8B" w:rsidRDefault="002A4DDF" w:rsidP="009110ED">
            <w:pPr>
              <w:rPr>
                <w:rFonts w:ascii="Arial" w:hAnsi="Arial" w:cs="Arial"/>
                <w:sz w:val="12"/>
                <w:szCs w:val="12"/>
              </w:rPr>
            </w:pPr>
          </w:p>
        </w:tc>
      </w:tr>
      <w:tr w:rsidR="002A4DDF" w:rsidRPr="00937C8B" w14:paraId="19229155" w14:textId="77777777" w:rsidTr="00935676">
        <w:trPr>
          <w:cantSplit/>
        </w:trPr>
        <w:tc>
          <w:tcPr>
            <w:tcW w:w="1696" w:type="dxa"/>
            <w:tcBorders>
              <w:left w:val="single" w:sz="4" w:space="0" w:color="auto"/>
            </w:tcBorders>
            <w:shd w:val="clear" w:color="auto" w:fill="auto"/>
          </w:tcPr>
          <w:p w14:paraId="2F0FB3FA" w14:textId="77777777" w:rsidR="002A4DDF" w:rsidRPr="00937C8B" w:rsidRDefault="002A4DDF" w:rsidP="009110ED">
            <w:pPr>
              <w:rPr>
                <w:rFonts w:ascii="Arial" w:hAnsi="Arial" w:cs="Arial"/>
                <w:sz w:val="12"/>
                <w:szCs w:val="12"/>
              </w:rPr>
            </w:pPr>
          </w:p>
        </w:tc>
        <w:tc>
          <w:tcPr>
            <w:tcW w:w="1843" w:type="dxa"/>
            <w:shd w:val="clear" w:color="auto" w:fill="auto"/>
          </w:tcPr>
          <w:p w14:paraId="087842C2" w14:textId="77777777" w:rsidR="002A4DDF" w:rsidRPr="00937C8B" w:rsidRDefault="002A4DDF" w:rsidP="009110ED">
            <w:pPr>
              <w:rPr>
                <w:rFonts w:ascii="Arial" w:hAnsi="Arial" w:cs="Arial"/>
                <w:sz w:val="12"/>
                <w:szCs w:val="12"/>
              </w:rPr>
            </w:pPr>
          </w:p>
        </w:tc>
        <w:tc>
          <w:tcPr>
            <w:tcW w:w="2268" w:type="dxa"/>
            <w:shd w:val="clear" w:color="auto" w:fill="F2F2F2"/>
            <w:hideMark/>
          </w:tcPr>
          <w:p w14:paraId="08A5C427" w14:textId="77777777" w:rsidR="002A4DDF" w:rsidRPr="00937C8B" w:rsidRDefault="002A4DDF" w:rsidP="009110ED">
            <w:pPr>
              <w:rPr>
                <w:rFonts w:ascii="Arial" w:hAnsi="Arial" w:cs="Arial"/>
                <w:sz w:val="12"/>
                <w:szCs w:val="12"/>
              </w:rPr>
            </w:pPr>
            <w:r>
              <w:rPr>
                <w:rFonts w:ascii="Arial" w:hAnsi="Arial"/>
                <w:sz w:val="12"/>
                <w:szCs w:val="12"/>
              </w:rPr>
              <w:t>La Olmeda de Jadraque</w:t>
            </w:r>
          </w:p>
        </w:tc>
        <w:tc>
          <w:tcPr>
            <w:tcW w:w="2268" w:type="dxa"/>
            <w:tcBorders>
              <w:right w:val="single" w:sz="4" w:space="0" w:color="auto"/>
            </w:tcBorders>
            <w:shd w:val="clear" w:color="auto" w:fill="D9D9D9"/>
            <w:hideMark/>
          </w:tcPr>
          <w:p w14:paraId="5A62BE12" w14:textId="77777777" w:rsidR="002A4DDF" w:rsidRPr="00937C8B" w:rsidRDefault="002A4DDF" w:rsidP="009110ED">
            <w:pPr>
              <w:rPr>
                <w:rFonts w:ascii="Arial" w:hAnsi="Arial" w:cs="Arial"/>
                <w:sz w:val="12"/>
                <w:szCs w:val="12"/>
              </w:rPr>
            </w:pPr>
          </w:p>
        </w:tc>
      </w:tr>
      <w:tr w:rsidR="002A4DDF" w:rsidRPr="00937C8B" w14:paraId="2F330C1E" w14:textId="77777777" w:rsidTr="00935676">
        <w:trPr>
          <w:cantSplit/>
        </w:trPr>
        <w:tc>
          <w:tcPr>
            <w:tcW w:w="1696" w:type="dxa"/>
            <w:tcBorders>
              <w:left w:val="single" w:sz="4" w:space="0" w:color="auto"/>
            </w:tcBorders>
            <w:shd w:val="clear" w:color="auto" w:fill="auto"/>
          </w:tcPr>
          <w:p w14:paraId="5E2E26B8" w14:textId="77777777" w:rsidR="002A4DDF" w:rsidRPr="00937C8B" w:rsidRDefault="002A4DDF" w:rsidP="009110ED">
            <w:pPr>
              <w:rPr>
                <w:rFonts w:ascii="Arial" w:hAnsi="Arial" w:cs="Arial"/>
                <w:sz w:val="12"/>
                <w:szCs w:val="12"/>
              </w:rPr>
            </w:pPr>
          </w:p>
        </w:tc>
        <w:tc>
          <w:tcPr>
            <w:tcW w:w="1843" w:type="dxa"/>
            <w:shd w:val="clear" w:color="auto" w:fill="auto"/>
          </w:tcPr>
          <w:p w14:paraId="2B904D91" w14:textId="77777777" w:rsidR="002A4DDF" w:rsidRPr="00937C8B" w:rsidRDefault="002A4DDF" w:rsidP="009110ED">
            <w:pPr>
              <w:rPr>
                <w:rFonts w:ascii="Arial" w:hAnsi="Arial" w:cs="Arial"/>
                <w:sz w:val="12"/>
                <w:szCs w:val="12"/>
              </w:rPr>
            </w:pPr>
          </w:p>
        </w:tc>
        <w:tc>
          <w:tcPr>
            <w:tcW w:w="2268" w:type="dxa"/>
            <w:shd w:val="clear" w:color="auto" w:fill="F2F2F2"/>
            <w:hideMark/>
          </w:tcPr>
          <w:p w14:paraId="59FC7CA8" w14:textId="77777777" w:rsidR="002A4DDF" w:rsidRPr="00937C8B" w:rsidRDefault="002A4DDF" w:rsidP="009110ED">
            <w:pPr>
              <w:rPr>
                <w:rFonts w:ascii="Arial" w:hAnsi="Arial" w:cs="Arial"/>
                <w:sz w:val="12"/>
                <w:szCs w:val="12"/>
              </w:rPr>
            </w:pPr>
            <w:r>
              <w:rPr>
                <w:rFonts w:ascii="Arial" w:hAnsi="Arial"/>
                <w:sz w:val="12"/>
                <w:szCs w:val="12"/>
              </w:rPr>
              <w:t>La Yunta</w:t>
            </w:r>
          </w:p>
        </w:tc>
        <w:tc>
          <w:tcPr>
            <w:tcW w:w="2268" w:type="dxa"/>
            <w:tcBorders>
              <w:right w:val="single" w:sz="4" w:space="0" w:color="auto"/>
            </w:tcBorders>
            <w:shd w:val="clear" w:color="auto" w:fill="D9D9D9"/>
            <w:hideMark/>
          </w:tcPr>
          <w:p w14:paraId="46470FB9" w14:textId="77777777" w:rsidR="002A4DDF" w:rsidRPr="00937C8B" w:rsidRDefault="002A4DDF" w:rsidP="009110ED">
            <w:pPr>
              <w:rPr>
                <w:rFonts w:ascii="Arial" w:hAnsi="Arial" w:cs="Arial"/>
                <w:sz w:val="12"/>
                <w:szCs w:val="12"/>
              </w:rPr>
            </w:pPr>
          </w:p>
        </w:tc>
      </w:tr>
      <w:tr w:rsidR="002A4DDF" w:rsidRPr="00937C8B" w14:paraId="188C898A" w14:textId="77777777" w:rsidTr="00935676">
        <w:trPr>
          <w:cantSplit/>
        </w:trPr>
        <w:tc>
          <w:tcPr>
            <w:tcW w:w="1696" w:type="dxa"/>
            <w:tcBorders>
              <w:left w:val="single" w:sz="4" w:space="0" w:color="auto"/>
            </w:tcBorders>
            <w:shd w:val="clear" w:color="auto" w:fill="auto"/>
          </w:tcPr>
          <w:p w14:paraId="5464A18E" w14:textId="77777777" w:rsidR="002A4DDF" w:rsidRPr="00937C8B" w:rsidRDefault="002A4DDF" w:rsidP="009110ED">
            <w:pPr>
              <w:rPr>
                <w:rFonts w:ascii="Arial" w:hAnsi="Arial" w:cs="Arial"/>
                <w:sz w:val="12"/>
                <w:szCs w:val="12"/>
              </w:rPr>
            </w:pPr>
          </w:p>
        </w:tc>
        <w:tc>
          <w:tcPr>
            <w:tcW w:w="1843" w:type="dxa"/>
            <w:shd w:val="clear" w:color="auto" w:fill="auto"/>
          </w:tcPr>
          <w:p w14:paraId="3396A971" w14:textId="77777777" w:rsidR="002A4DDF" w:rsidRPr="00937C8B" w:rsidRDefault="002A4DDF" w:rsidP="009110ED">
            <w:pPr>
              <w:rPr>
                <w:rFonts w:ascii="Arial" w:hAnsi="Arial" w:cs="Arial"/>
                <w:sz w:val="12"/>
                <w:szCs w:val="12"/>
              </w:rPr>
            </w:pPr>
          </w:p>
        </w:tc>
        <w:tc>
          <w:tcPr>
            <w:tcW w:w="2268" w:type="dxa"/>
            <w:shd w:val="clear" w:color="auto" w:fill="F2F2F2"/>
            <w:hideMark/>
          </w:tcPr>
          <w:p w14:paraId="35EF1A42" w14:textId="77777777" w:rsidR="002A4DDF" w:rsidRPr="00937C8B" w:rsidRDefault="002A4DDF" w:rsidP="009110ED">
            <w:pPr>
              <w:rPr>
                <w:rFonts w:ascii="Arial" w:hAnsi="Arial" w:cs="Arial"/>
                <w:sz w:val="12"/>
                <w:szCs w:val="12"/>
              </w:rPr>
            </w:pPr>
            <w:r>
              <w:rPr>
                <w:rFonts w:ascii="Arial" w:hAnsi="Arial"/>
                <w:sz w:val="12"/>
                <w:szCs w:val="12"/>
              </w:rPr>
              <w:t>Ledanca</w:t>
            </w:r>
          </w:p>
        </w:tc>
        <w:tc>
          <w:tcPr>
            <w:tcW w:w="2268" w:type="dxa"/>
            <w:tcBorders>
              <w:right w:val="single" w:sz="4" w:space="0" w:color="auto"/>
            </w:tcBorders>
            <w:shd w:val="clear" w:color="auto" w:fill="D9D9D9"/>
            <w:hideMark/>
          </w:tcPr>
          <w:p w14:paraId="30CF3762" w14:textId="77777777" w:rsidR="002A4DDF" w:rsidRPr="00937C8B" w:rsidRDefault="002A4DDF" w:rsidP="009110ED">
            <w:pPr>
              <w:rPr>
                <w:rFonts w:ascii="Arial" w:hAnsi="Arial" w:cs="Arial"/>
                <w:sz w:val="12"/>
                <w:szCs w:val="12"/>
              </w:rPr>
            </w:pPr>
          </w:p>
        </w:tc>
      </w:tr>
      <w:tr w:rsidR="002A4DDF" w:rsidRPr="00937C8B" w14:paraId="39AD5355" w14:textId="77777777" w:rsidTr="00935676">
        <w:trPr>
          <w:cantSplit/>
        </w:trPr>
        <w:tc>
          <w:tcPr>
            <w:tcW w:w="1696" w:type="dxa"/>
            <w:tcBorders>
              <w:left w:val="single" w:sz="4" w:space="0" w:color="auto"/>
            </w:tcBorders>
            <w:shd w:val="clear" w:color="auto" w:fill="auto"/>
          </w:tcPr>
          <w:p w14:paraId="62852BED" w14:textId="77777777" w:rsidR="002A4DDF" w:rsidRPr="00937C8B" w:rsidRDefault="002A4DDF" w:rsidP="009110ED">
            <w:pPr>
              <w:rPr>
                <w:rFonts w:ascii="Arial" w:hAnsi="Arial" w:cs="Arial"/>
                <w:sz w:val="12"/>
                <w:szCs w:val="12"/>
              </w:rPr>
            </w:pPr>
          </w:p>
        </w:tc>
        <w:tc>
          <w:tcPr>
            <w:tcW w:w="1843" w:type="dxa"/>
            <w:shd w:val="clear" w:color="auto" w:fill="auto"/>
          </w:tcPr>
          <w:p w14:paraId="29F3172A" w14:textId="77777777" w:rsidR="002A4DDF" w:rsidRPr="00937C8B" w:rsidRDefault="002A4DDF" w:rsidP="009110ED">
            <w:pPr>
              <w:rPr>
                <w:rFonts w:ascii="Arial" w:hAnsi="Arial" w:cs="Arial"/>
                <w:sz w:val="12"/>
                <w:szCs w:val="12"/>
              </w:rPr>
            </w:pPr>
          </w:p>
        </w:tc>
        <w:tc>
          <w:tcPr>
            <w:tcW w:w="2268" w:type="dxa"/>
            <w:shd w:val="clear" w:color="auto" w:fill="F2F2F2"/>
            <w:hideMark/>
          </w:tcPr>
          <w:p w14:paraId="6DCC6798" w14:textId="77777777" w:rsidR="002A4DDF" w:rsidRPr="00937C8B" w:rsidRDefault="002A4DDF" w:rsidP="009110ED">
            <w:pPr>
              <w:rPr>
                <w:rFonts w:ascii="Arial" w:hAnsi="Arial" w:cs="Arial"/>
                <w:sz w:val="12"/>
                <w:szCs w:val="12"/>
              </w:rPr>
            </w:pPr>
            <w:r>
              <w:rPr>
                <w:rFonts w:ascii="Arial" w:hAnsi="Arial"/>
                <w:sz w:val="12"/>
                <w:szCs w:val="12"/>
              </w:rPr>
              <w:t>Majaelrayo</w:t>
            </w:r>
          </w:p>
        </w:tc>
        <w:tc>
          <w:tcPr>
            <w:tcW w:w="2268" w:type="dxa"/>
            <w:tcBorders>
              <w:right w:val="single" w:sz="4" w:space="0" w:color="auto"/>
            </w:tcBorders>
            <w:shd w:val="clear" w:color="auto" w:fill="D9D9D9"/>
            <w:hideMark/>
          </w:tcPr>
          <w:p w14:paraId="55AF1B0B" w14:textId="77777777" w:rsidR="002A4DDF" w:rsidRPr="00937C8B" w:rsidRDefault="002A4DDF" w:rsidP="009110ED">
            <w:pPr>
              <w:rPr>
                <w:rFonts w:ascii="Arial" w:hAnsi="Arial" w:cs="Arial"/>
                <w:sz w:val="12"/>
                <w:szCs w:val="12"/>
              </w:rPr>
            </w:pPr>
          </w:p>
        </w:tc>
      </w:tr>
      <w:tr w:rsidR="002A4DDF" w:rsidRPr="00937C8B" w14:paraId="6C1EC782" w14:textId="77777777" w:rsidTr="00935676">
        <w:trPr>
          <w:cantSplit/>
        </w:trPr>
        <w:tc>
          <w:tcPr>
            <w:tcW w:w="1696" w:type="dxa"/>
            <w:tcBorders>
              <w:left w:val="single" w:sz="4" w:space="0" w:color="auto"/>
            </w:tcBorders>
            <w:shd w:val="clear" w:color="auto" w:fill="auto"/>
          </w:tcPr>
          <w:p w14:paraId="4962B1A7" w14:textId="77777777" w:rsidR="002A4DDF" w:rsidRPr="00937C8B" w:rsidRDefault="002A4DDF" w:rsidP="009110ED">
            <w:pPr>
              <w:rPr>
                <w:rFonts w:ascii="Arial" w:hAnsi="Arial" w:cs="Arial"/>
                <w:sz w:val="12"/>
                <w:szCs w:val="12"/>
              </w:rPr>
            </w:pPr>
          </w:p>
        </w:tc>
        <w:tc>
          <w:tcPr>
            <w:tcW w:w="1843" w:type="dxa"/>
            <w:shd w:val="clear" w:color="auto" w:fill="auto"/>
          </w:tcPr>
          <w:p w14:paraId="6A464256" w14:textId="77777777" w:rsidR="002A4DDF" w:rsidRPr="00937C8B" w:rsidRDefault="002A4DDF" w:rsidP="009110ED">
            <w:pPr>
              <w:rPr>
                <w:rFonts w:ascii="Arial" w:hAnsi="Arial" w:cs="Arial"/>
                <w:sz w:val="12"/>
                <w:szCs w:val="12"/>
              </w:rPr>
            </w:pPr>
          </w:p>
        </w:tc>
        <w:tc>
          <w:tcPr>
            <w:tcW w:w="2268" w:type="dxa"/>
            <w:shd w:val="clear" w:color="auto" w:fill="F2F2F2"/>
            <w:hideMark/>
          </w:tcPr>
          <w:p w14:paraId="246BC1F3" w14:textId="77777777" w:rsidR="002A4DDF" w:rsidRPr="00937C8B" w:rsidRDefault="002A4DDF" w:rsidP="009110ED">
            <w:pPr>
              <w:rPr>
                <w:rFonts w:ascii="Arial" w:hAnsi="Arial" w:cs="Arial"/>
                <w:sz w:val="12"/>
                <w:szCs w:val="12"/>
              </w:rPr>
            </w:pPr>
            <w:r>
              <w:rPr>
                <w:rFonts w:ascii="Arial" w:hAnsi="Arial"/>
                <w:sz w:val="12"/>
                <w:szCs w:val="12"/>
              </w:rPr>
              <w:t>Málaga del Fresno</w:t>
            </w:r>
          </w:p>
        </w:tc>
        <w:tc>
          <w:tcPr>
            <w:tcW w:w="2268" w:type="dxa"/>
            <w:tcBorders>
              <w:right w:val="single" w:sz="4" w:space="0" w:color="auto"/>
            </w:tcBorders>
            <w:shd w:val="clear" w:color="auto" w:fill="D9D9D9"/>
            <w:hideMark/>
          </w:tcPr>
          <w:p w14:paraId="54FC3F8C" w14:textId="77777777" w:rsidR="002A4DDF" w:rsidRPr="00937C8B" w:rsidRDefault="002A4DDF" w:rsidP="009110ED">
            <w:pPr>
              <w:rPr>
                <w:rFonts w:ascii="Arial" w:hAnsi="Arial" w:cs="Arial"/>
                <w:sz w:val="12"/>
                <w:szCs w:val="12"/>
              </w:rPr>
            </w:pPr>
          </w:p>
        </w:tc>
      </w:tr>
      <w:tr w:rsidR="002A4DDF" w:rsidRPr="00937C8B" w14:paraId="71395912" w14:textId="77777777" w:rsidTr="00935676">
        <w:trPr>
          <w:cantSplit/>
        </w:trPr>
        <w:tc>
          <w:tcPr>
            <w:tcW w:w="1696" w:type="dxa"/>
            <w:tcBorders>
              <w:left w:val="single" w:sz="4" w:space="0" w:color="auto"/>
            </w:tcBorders>
            <w:shd w:val="clear" w:color="auto" w:fill="auto"/>
          </w:tcPr>
          <w:p w14:paraId="73D8A469" w14:textId="77777777" w:rsidR="002A4DDF" w:rsidRPr="00937C8B" w:rsidRDefault="002A4DDF" w:rsidP="009110ED">
            <w:pPr>
              <w:rPr>
                <w:rFonts w:ascii="Arial" w:hAnsi="Arial" w:cs="Arial"/>
                <w:sz w:val="12"/>
                <w:szCs w:val="12"/>
              </w:rPr>
            </w:pPr>
          </w:p>
        </w:tc>
        <w:tc>
          <w:tcPr>
            <w:tcW w:w="1843" w:type="dxa"/>
            <w:shd w:val="clear" w:color="auto" w:fill="auto"/>
          </w:tcPr>
          <w:p w14:paraId="5928366C" w14:textId="77777777" w:rsidR="002A4DDF" w:rsidRPr="00937C8B" w:rsidRDefault="002A4DDF" w:rsidP="009110ED">
            <w:pPr>
              <w:rPr>
                <w:rFonts w:ascii="Arial" w:hAnsi="Arial" w:cs="Arial"/>
                <w:sz w:val="12"/>
                <w:szCs w:val="12"/>
              </w:rPr>
            </w:pPr>
          </w:p>
        </w:tc>
        <w:tc>
          <w:tcPr>
            <w:tcW w:w="2268" w:type="dxa"/>
            <w:shd w:val="clear" w:color="auto" w:fill="F2F2F2"/>
            <w:hideMark/>
          </w:tcPr>
          <w:p w14:paraId="76BCA4D3" w14:textId="77777777" w:rsidR="002A4DDF" w:rsidRPr="00937C8B" w:rsidRDefault="002A4DDF" w:rsidP="009110ED">
            <w:pPr>
              <w:rPr>
                <w:rFonts w:ascii="Arial" w:hAnsi="Arial" w:cs="Arial"/>
                <w:sz w:val="12"/>
                <w:szCs w:val="12"/>
              </w:rPr>
            </w:pPr>
            <w:r>
              <w:rPr>
                <w:rFonts w:ascii="Arial" w:hAnsi="Arial"/>
                <w:sz w:val="12"/>
                <w:szCs w:val="12"/>
              </w:rPr>
              <w:t>Malaguilla</w:t>
            </w:r>
          </w:p>
        </w:tc>
        <w:tc>
          <w:tcPr>
            <w:tcW w:w="2268" w:type="dxa"/>
            <w:tcBorders>
              <w:right w:val="single" w:sz="4" w:space="0" w:color="auto"/>
            </w:tcBorders>
            <w:shd w:val="clear" w:color="auto" w:fill="D9D9D9"/>
            <w:hideMark/>
          </w:tcPr>
          <w:p w14:paraId="3E0C1974" w14:textId="77777777" w:rsidR="002A4DDF" w:rsidRPr="00937C8B" w:rsidRDefault="002A4DDF" w:rsidP="009110ED">
            <w:pPr>
              <w:rPr>
                <w:rFonts w:ascii="Arial" w:hAnsi="Arial" w:cs="Arial"/>
                <w:sz w:val="12"/>
                <w:szCs w:val="12"/>
              </w:rPr>
            </w:pPr>
          </w:p>
        </w:tc>
      </w:tr>
      <w:tr w:rsidR="002A4DDF" w:rsidRPr="00937C8B" w14:paraId="1E3B1BAE" w14:textId="77777777" w:rsidTr="00935676">
        <w:trPr>
          <w:cantSplit/>
        </w:trPr>
        <w:tc>
          <w:tcPr>
            <w:tcW w:w="1696" w:type="dxa"/>
            <w:tcBorders>
              <w:left w:val="single" w:sz="4" w:space="0" w:color="auto"/>
            </w:tcBorders>
            <w:shd w:val="clear" w:color="auto" w:fill="auto"/>
          </w:tcPr>
          <w:p w14:paraId="401AF0E3" w14:textId="77777777" w:rsidR="002A4DDF" w:rsidRPr="00937C8B" w:rsidRDefault="002A4DDF" w:rsidP="009110ED">
            <w:pPr>
              <w:rPr>
                <w:rFonts w:ascii="Arial" w:hAnsi="Arial" w:cs="Arial"/>
                <w:sz w:val="12"/>
                <w:szCs w:val="12"/>
              </w:rPr>
            </w:pPr>
          </w:p>
        </w:tc>
        <w:tc>
          <w:tcPr>
            <w:tcW w:w="1843" w:type="dxa"/>
            <w:shd w:val="clear" w:color="auto" w:fill="auto"/>
          </w:tcPr>
          <w:p w14:paraId="64981D4A" w14:textId="77777777" w:rsidR="002A4DDF" w:rsidRPr="00937C8B" w:rsidRDefault="002A4DDF" w:rsidP="009110ED">
            <w:pPr>
              <w:rPr>
                <w:rFonts w:ascii="Arial" w:hAnsi="Arial" w:cs="Arial"/>
                <w:sz w:val="12"/>
                <w:szCs w:val="12"/>
              </w:rPr>
            </w:pPr>
          </w:p>
        </w:tc>
        <w:tc>
          <w:tcPr>
            <w:tcW w:w="2268" w:type="dxa"/>
            <w:shd w:val="clear" w:color="auto" w:fill="F2F2F2"/>
            <w:hideMark/>
          </w:tcPr>
          <w:p w14:paraId="3AA87E25" w14:textId="77777777" w:rsidR="002A4DDF" w:rsidRPr="00937C8B" w:rsidRDefault="002A4DDF" w:rsidP="009110ED">
            <w:pPr>
              <w:rPr>
                <w:rFonts w:ascii="Arial" w:hAnsi="Arial" w:cs="Arial"/>
                <w:sz w:val="12"/>
                <w:szCs w:val="12"/>
              </w:rPr>
            </w:pPr>
            <w:r>
              <w:rPr>
                <w:rFonts w:ascii="Arial" w:hAnsi="Arial"/>
                <w:sz w:val="12"/>
                <w:szCs w:val="12"/>
              </w:rPr>
              <w:t>Maranchón</w:t>
            </w:r>
          </w:p>
        </w:tc>
        <w:tc>
          <w:tcPr>
            <w:tcW w:w="2268" w:type="dxa"/>
            <w:tcBorders>
              <w:right w:val="single" w:sz="4" w:space="0" w:color="auto"/>
            </w:tcBorders>
            <w:shd w:val="clear" w:color="auto" w:fill="D9D9D9"/>
            <w:hideMark/>
          </w:tcPr>
          <w:p w14:paraId="6CFC183F" w14:textId="77777777" w:rsidR="002A4DDF" w:rsidRPr="00937C8B" w:rsidRDefault="002A4DDF" w:rsidP="009110ED">
            <w:pPr>
              <w:rPr>
                <w:rFonts w:ascii="Arial" w:hAnsi="Arial" w:cs="Arial"/>
                <w:sz w:val="12"/>
                <w:szCs w:val="12"/>
              </w:rPr>
            </w:pPr>
          </w:p>
        </w:tc>
      </w:tr>
      <w:tr w:rsidR="002A4DDF" w:rsidRPr="00937C8B" w14:paraId="716F1B0B" w14:textId="77777777" w:rsidTr="00935676">
        <w:trPr>
          <w:cantSplit/>
        </w:trPr>
        <w:tc>
          <w:tcPr>
            <w:tcW w:w="1696" w:type="dxa"/>
            <w:tcBorders>
              <w:left w:val="single" w:sz="4" w:space="0" w:color="auto"/>
            </w:tcBorders>
            <w:shd w:val="clear" w:color="auto" w:fill="auto"/>
          </w:tcPr>
          <w:p w14:paraId="5CA1A02D" w14:textId="77777777" w:rsidR="002A4DDF" w:rsidRPr="00937C8B" w:rsidRDefault="002A4DDF" w:rsidP="009110ED">
            <w:pPr>
              <w:rPr>
                <w:rFonts w:ascii="Arial" w:hAnsi="Arial" w:cs="Arial"/>
                <w:sz w:val="12"/>
                <w:szCs w:val="12"/>
              </w:rPr>
            </w:pPr>
          </w:p>
        </w:tc>
        <w:tc>
          <w:tcPr>
            <w:tcW w:w="1843" w:type="dxa"/>
            <w:shd w:val="clear" w:color="auto" w:fill="auto"/>
          </w:tcPr>
          <w:p w14:paraId="3F8AC081" w14:textId="77777777" w:rsidR="002A4DDF" w:rsidRPr="00937C8B" w:rsidRDefault="002A4DDF" w:rsidP="009110ED">
            <w:pPr>
              <w:rPr>
                <w:rFonts w:ascii="Arial" w:hAnsi="Arial" w:cs="Arial"/>
                <w:sz w:val="12"/>
                <w:szCs w:val="12"/>
              </w:rPr>
            </w:pPr>
          </w:p>
        </w:tc>
        <w:tc>
          <w:tcPr>
            <w:tcW w:w="2268" w:type="dxa"/>
            <w:shd w:val="clear" w:color="auto" w:fill="F2F2F2"/>
            <w:hideMark/>
          </w:tcPr>
          <w:p w14:paraId="4907ECC1" w14:textId="77777777" w:rsidR="002A4DDF" w:rsidRPr="00937C8B" w:rsidRDefault="002A4DDF" w:rsidP="009110ED">
            <w:pPr>
              <w:rPr>
                <w:rFonts w:ascii="Arial" w:hAnsi="Arial" w:cs="Arial"/>
                <w:sz w:val="12"/>
                <w:szCs w:val="12"/>
              </w:rPr>
            </w:pPr>
            <w:r>
              <w:rPr>
                <w:rFonts w:ascii="Arial" w:hAnsi="Arial"/>
                <w:sz w:val="12"/>
                <w:szCs w:val="12"/>
              </w:rPr>
              <w:t>Marchamalo</w:t>
            </w:r>
          </w:p>
        </w:tc>
        <w:tc>
          <w:tcPr>
            <w:tcW w:w="2268" w:type="dxa"/>
            <w:tcBorders>
              <w:right w:val="single" w:sz="4" w:space="0" w:color="auto"/>
            </w:tcBorders>
            <w:shd w:val="clear" w:color="auto" w:fill="D9D9D9"/>
            <w:hideMark/>
          </w:tcPr>
          <w:p w14:paraId="5012846D" w14:textId="77777777" w:rsidR="002A4DDF" w:rsidRPr="00937C8B" w:rsidRDefault="002A4DDF" w:rsidP="009110ED">
            <w:pPr>
              <w:rPr>
                <w:rFonts w:ascii="Arial" w:hAnsi="Arial" w:cs="Arial"/>
                <w:sz w:val="12"/>
                <w:szCs w:val="12"/>
              </w:rPr>
            </w:pPr>
          </w:p>
        </w:tc>
      </w:tr>
      <w:tr w:rsidR="002A4DDF" w:rsidRPr="00937C8B" w14:paraId="5F415E93" w14:textId="77777777" w:rsidTr="00935676">
        <w:trPr>
          <w:cantSplit/>
        </w:trPr>
        <w:tc>
          <w:tcPr>
            <w:tcW w:w="1696" w:type="dxa"/>
            <w:tcBorders>
              <w:left w:val="single" w:sz="4" w:space="0" w:color="auto"/>
            </w:tcBorders>
            <w:shd w:val="clear" w:color="auto" w:fill="auto"/>
          </w:tcPr>
          <w:p w14:paraId="4E6D5FD8" w14:textId="77777777" w:rsidR="002A4DDF" w:rsidRPr="00937C8B" w:rsidRDefault="002A4DDF" w:rsidP="009110ED">
            <w:pPr>
              <w:rPr>
                <w:rFonts w:ascii="Arial" w:hAnsi="Arial" w:cs="Arial"/>
                <w:sz w:val="12"/>
                <w:szCs w:val="12"/>
              </w:rPr>
            </w:pPr>
          </w:p>
        </w:tc>
        <w:tc>
          <w:tcPr>
            <w:tcW w:w="1843" w:type="dxa"/>
            <w:shd w:val="clear" w:color="auto" w:fill="auto"/>
          </w:tcPr>
          <w:p w14:paraId="5502BC35" w14:textId="77777777" w:rsidR="002A4DDF" w:rsidRPr="00937C8B" w:rsidRDefault="002A4DDF" w:rsidP="009110ED">
            <w:pPr>
              <w:rPr>
                <w:rFonts w:ascii="Arial" w:hAnsi="Arial" w:cs="Arial"/>
                <w:sz w:val="12"/>
                <w:szCs w:val="12"/>
              </w:rPr>
            </w:pPr>
          </w:p>
        </w:tc>
        <w:tc>
          <w:tcPr>
            <w:tcW w:w="2268" w:type="dxa"/>
            <w:shd w:val="clear" w:color="auto" w:fill="F2F2F2"/>
            <w:hideMark/>
          </w:tcPr>
          <w:p w14:paraId="64FB15D1" w14:textId="77777777" w:rsidR="002A4DDF" w:rsidRPr="00937C8B" w:rsidRDefault="002A4DDF" w:rsidP="009110ED">
            <w:pPr>
              <w:rPr>
                <w:rFonts w:ascii="Arial" w:hAnsi="Arial" w:cs="Arial"/>
                <w:sz w:val="12"/>
                <w:szCs w:val="12"/>
              </w:rPr>
            </w:pPr>
            <w:r>
              <w:rPr>
                <w:rFonts w:ascii="Arial" w:hAnsi="Arial"/>
                <w:sz w:val="12"/>
                <w:szCs w:val="12"/>
              </w:rPr>
              <w:t>Matarrubia</w:t>
            </w:r>
          </w:p>
        </w:tc>
        <w:tc>
          <w:tcPr>
            <w:tcW w:w="2268" w:type="dxa"/>
            <w:tcBorders>
              <w:right w:val="single" w:sz="4" w:space="0" w:color="auto"/>
            </w:tcBorders>
            <w:shd w:val="clear" w:color="auto" w:fill="D9D9D9"/>
            <w:hideMark/>
          </w:tcPr>
          <w:p w14:paraId="0F80E798" w14:textId="77777777" w:rsidR="002A4DDF" w:rsidRPr="00937C8B" w:rsidRDefault="002A4DDF" w:rsidP="009110ED">
            <w:pPr>
              <w:rPr>
                <w:rFonts w:ascii="Arial" w:hAnsi="Arial" w:cs="Arial"/>
                <w:sz w:val="12"/>
                <w:szCs w:val="12"/>
              </w:rPr>
            </w:pPr>
          </w:p>
        </w:tc>
      </w:tr>
      <w:tr w:rsidR="002A4DDF" w:rsidRPr="00937C8B" w14:paraId="069EFEB0" w14:textId="77777777" w:rsidTr="00935676">
        <w:trPr>
          <w:cantSplit/>
        </w:trPr>
        <w:tc>
          <w:tcPr>
            <w:tcW w:w="1696" w:type="dxa"/>
            <w:tcBorders>
              <w:left w:val="single" w:sz="4" w:space="0" w:color="auto"/>
            </w:tcBorders>
            <w:shd w:val="clear" w:color="auto" w:fill="auto"/>
          </w:tcPr>
          <w:p w14:paraId="69D61B9F" w14:textId="77777777" w:rsidR="002A4DDF" w:rsidRPr="00937C8B" w:rsidRDefault="002A4DDF" w:rsidP="009110ED">
            <w:pPr>
              <w:rPr>
                <w:rFonts w:ascii="Arial" w:hAnsi="Arial" w:cs="Arial"/>
                <w:sz w:val="12"/>
                <w:szCs w:val="12"/>
              </w:rPr>
            </w:pPr>
          </w:p>
        </w:tc>
        <w:tc>
          <w:tcPr>
            <w:tcW w:w="1843" w:type="dxa"/>
            <w:shd w:val="clear" w:color="auto" w:fill="auto"/>
          </w:tcPr>
          <w:p w14:paraId="55EE8405" w14:textId="77777777" w:rsidR="002A4DDF" w:rsidRPr="00937C8B" w:rsidRDefault="002A4DDF" w:rsidP="009110ED">
            <w:pPr>
              <w:rPr>
                <w:rFonts w:ascii="Arial" w:hAnsi="Arial" w:cs="Arial"/>
                <w:sz w:val="12"/>
                <w:szCs w:val="12"/>
              </w:rPr>
            </w:pPr>
          </w:p>
        </w:tc>
        <w:tc>
          <w:tcPr>
            <w:tcW w:w="2268" w:type="dxa"/>
            <w:shd w:val="clear" w:color="auto" w:fill="F2F2F2"/>
            <w:hideMark/>
          </w:tcPr>
          <w:p w14:paraId="3A4B84D1" w14:textId="77777777" w:rsidR="002A4DDF" w:rsidRPr="00937C8B" w:rsidRDefault="002A4DDF" w:rsidP="009110ED">
            <w:pPr>
              <w:rPr>
                <w:rFonts w:ascii="Arial" w:hAnsi="Arial" w:cs="Arial"/>
                <w:sz w:val="12"/>
                <w:szCs w:val="12"/>
              </w:rPr>
            </w:pPr>
            <w:r>
              <w:rPr>
                <w:rFonts w:ascii="Arial" w:hAnsi="Arial"/>
                <w:sz w:val="12"/>
                <w:szCs w:val="12"/>
              </w:rPr>
              <w:t>Matillas</w:t>
            </w:r>
          </w:p>
        </w:tc>
        <w:tc>
          <w:tcPr>
            <w:tcW w:w="2268" w:type="dxa"/>
            <w:tcBorders>
              <w:right w:val="single" w:sz="4" w:space="0" w:color="auto"/>
            </w:tcBorders>
            <w:shd w:val="clear" w:color="auto" w:fill="D9D9D9"/>
            <w:hideMark/>
          </w:tcPr>
          <w:p w14:paraId="7E3306F6" w14:textId="77777777" w:rsidR="002A4DDF" w:rsidRPr="00937C8B" w:rsidRDefault="002A4DDF" w:rsidP="009110ED">
            <w:pPr>
              <w:rPr>
                <w:rFonts w:ascii="Arial" w:hAnsi="Arial" w:cs="Arial"/>
                <w:sz w:val="12"/>
                <w:szCs w:val="12"/>
              </w:rPr>
            </w:pPr>
          </w:p>
        </w:tc>
      </w:tr>
      <w:tr w:rsidR="002A4DDF" w:rsidRPr="00937C8B" w14:paraId="1C40C6A2" w14:textId="77777777" w:rsidTr="00935676">
        <w:trPr>
          <w:cantSplit/>
        </w:trPr>
        <w:tc>
          <w:tcPr>
            <w:tcW w:w="1696" w:type="dxa"/>
            <w:tcBorders>
              <w:left w:val="single" w:sz="4" w:space="0" w:color="auto"/>
            </w:tcBorders>
            <w:shd w:val="clear" w:color="auto" w:fill="auto"/>
          </w:tcPr>
          <w:p w14:paraId="1C9D4808" w14:textId="77777777" w:rsidR="002A4DDF" w:rsidRPr="00937C8B" w:rsidRDefault="002A4DDF" w:rsidP="009110ED">
            <w:pPr>
              <w:rPr>
                <w:rFonts w:ascii="Arial" w:hAnsi="Arial" w:cs="Arial"/>
                <w:sz w:val="12"/>
                <w:szCs w:val="12"/>
              </w:rPr>
            </w:pPr>
          </w:p>
        </w:tc>
        <w:tc>
          <w:tcPr>
            <w:tcW w:w="1843" w:type="dxa"/>
            <w:shd w:val="clear" w:color="auto" w:fill="auto"/>
          </w:tcPr>
          <w:p w14:paraId="58E1272F" w14:textId="77777777" w:rsidR="002A4DDF" w:rsidRPr="00937C8B" w:rsidRDefault="002A4DDF" w:rsidP="009110ED">
            <w:pPr>
              <w:rPr>
                <w:rFonts w:ascii="Arial" w:hAnsi="Arial" w:cs="Arial"/>
                <w:sz w:val="12"/>
                <w:szCs w:val="12"/>
              </w:rPr>
            </w:pPr>
          </w:p>
        </w:tc>
        <w:tc>
          <w:tcPr>
            <w:tcW w:w="2268" w:type="dxa"/>
            <w:shd w:val="clear" w:color="auto" w:fill="F2F2F2"/>
            <w:hideMark/>
          </w:tcPr>
          <w:p w14:paraId="50A90C77" w14:textId="77777777" w:rsidR="002A4DDF" w:rsidRPr="00937C8B" w:rsidRDefault="002A4DDF" w:rsidP="009110ED">
            <w:pPr>
              <w:rPr>
                <w:rFonts w:ascii="Arial" w:hAnsi="Arial" w:cs="Arial"/>
                <w:sz w:val="12"/>
                <w:szCs w:val="12"/>
              </w:rPr>
            </w:pPr>
            <w:r>
              <w:rPr>
                <w:rFonts w:ascii="Arial" w:hAnsi="Arial"/>
                <w:sz w:val="12"/>
                <w:szCs w:val="12"/>
              </w:rPr>
              <w:t>Medranda</w:t>
            </w:r>
          </w:p>
        </w:tc>
        <w:tc>
          <w:tcPr>
            <w:tcW w:w="2268" w:type="dxa"/>
            <w:tcBorders>
              <w:right w:val="single" w:sz="4" w:space="0" w:color="auto"/>
            </w:tcBorders>
            <w:shd w:val="clear" w:color="auto" w:fill="D9D9D9"/>
            <w:hideMark/>
          </w:tcPr>
          <w:p w14:paraId="00501BA2" w14:textId="77777777" w:rsidR="002A4DDF" w:rsidRPr="00937C8B" w:rsidRDefault="002A4DDF" w:rsidP="009110ED">
            <w:pPr>
              <w:rPr>
                <w:rFonts w:ascii="Arial" w:hAnsi="Arial" w:cs="Arial"/>
                <w:sz w:val="12"/>
                <w:szCs w:val="12"/>
              </w:rPr>
            </w:pPr>
          </w:p>
        </w:tc>
      </w:tr>
      <w:tr w:rsidR="002A4DDF" w:rsidRPr="00937C8B" w14:paraId="7D692FF5" w14:textId="77777777" w:rsidTr="00935676">
        <w:trPr>
          <w:cantSplit/>
        </w:trPr>
        <w:tc>
          <w:tcPr>
            <w:tcW w:w="1696" w:type="dxa"/>
            <w:tcBorders>
              <w:left w:val="single" w:sz="4" w:space="0" w:color="auto"/>
            </w:tcBorders>
            <w:shd w:val="clear" w:color="auto" w:fill="auto"/>
          </w:tcPr>
          <w:p w14:paraId="7C10F1D7" w14:textId="77777777" w:rsidR="002A4DDF" w:rsidRPr="00937C8B" w:rsidRDefault="002A4DDF" w:rsidP="009110ED">
            <w:pPr>
              <w:rPr>
                <w:rFonts w:ascii="Arial" w:hAnsi="Arial" w:cs="Arial"/>
                <w:sz w:val="12"/>
                <w:szCs w:val="12"/>
              </w:rPr>
            </w:pPr>
          </w:p>
        </w:tc>
        <w:tc>
          <w:tcPr>
            <w:tcW w:w="1843" w:type="dxa"/>
            <w:shd w:val="clear" w:color="auto" w:fill="auto"/>
          </w:tcPr>
          <w:p w14:paraId="311ACE27" w14:textId="77777777" w:rsidR="002A4DDF" w:rsidRPr="00937C8B" w:rsidRDefault="002A4DDF" w:rsidP="009110ED">
            <w:pPr>
              <w:rPr>
                <w:rFonts w:ascii="Arial" w:hAnsi="Arial" w:cs="Arial"/>
                <w:sz w:val="12"/>
                <w:szCs w:val="12"/>
              </w:rPr>
            </w:pPr>
          </w:p>
        </w:tc>
        <w:tc>
          <w:tcPr>
            <w:tcW w:w="2268" w:type="dxa"/>
            <w:shd w:val="clear" w:color="auto" w:fill="F2F2F2"/>
            <w:hideMark/>
          </w:tcPr>
          <w:p w14:paraId="6C636A2F" w14:textId="77777777" w:rsidR="002A4DDF" w:rsidRPr="00937C8B" w:rsidRDefault="002A4DDF" w:rsidP="009110ED">
            <w:pPr>
              <w:rPr>
                <w:rFonts w:ascii="Arial" w:hAnsi="Arial" w:cs="Arial"/>
                <w:sz w:val="12"/>
                <w:szCs w:val="12"/>
              </w:rPr>
            </w:pPr>
            <w:r>
              <w:rPr>
                <w:rFonts w:ascii="Arial" w:hAnsi="Arial"/>
                <w:sz w:val="12"/>
                <w:szCs w:val="12"/>
              </w:rPr>
              <w:t>Membrillera</w:t>
            </w:r>
          </w:p>
        </w:tc>
        <w:tc>
          <w:tcPr>
            <w:tcW w:w="2268" w:type="dxa"/>
            <w:tcBorders>
              <w:right w:val="single" w:sz="4" w:space="0" w:color="auto"/>
            </w:tcBorders>
            <w:shd w:val="clear" w:color="auto" w:fill="D9D9D9"/>
            <w:hideMark/>
          </w:tcPr>
          <w:p w14:paraId="3CED79DF" w14:textId="77777777" w:rsidR="002A4DDF" w:rsidRPr="00937C8B" w:rsidRDefault="002A4DDF" w:rsidP="009110ED">
            <w:pPr>
              <w:rPr>
                <w:rFonts w:ascii="Arial" w:hAnsi="Arial" w:cs="Arial"/>
                <w:sz w:val="12"/>
                <w:szCs w:val="12"/>
              </w:rPr>
            </w:pPr>
          </w:p>
        </w:tc>
      </w:tr>
      <w:tr w:rsidR="002A4DDF" w:rsidRPr="00937C8B" w14:paraId="1C4CBC95" w14:textId="77777777" w:rsidTr="00935676">
        <w:trPr>
          <w:cantSplit/>
        </w:trPr>
        <w:tc>
          <w:tcPr>
            <w:tcW w:w="1696" w:type="dxa"/>
            <w:tcBorders>
              <w:left w:val="single" w:sz="4" w:space="0" w:color="auto"/>
            </w:tcBorders>
            <w:shd w:val="clear" w:color="auto" w:fill="auto"/>
          </w:tcPr>
          <w:p w14:paraId="4761C2F0" w14:textId="77777777" w:rsidR="002A4DDF" w:rsidRPr="00937C8B" w:rsidRDefault="002A4DDF" w:rsidP="009110ED">
            <w:pPr>
              <w:rPr>
                <w:rFonts w:ascii="Arial" w:hAnsi="Arial" w:cs="Arial"/>
                <w:sz w:val="12"/>
                <w:szCs w:val="12"/>
              </w:rPr>
            </w:pPr>
          </w:p>
        </w:tc>
        <w:tc>
          <w:tcPr>
            <w:tcW w:w="1843" w:type="dxa"/>
            <w:shd w:val="clear" w:color="auto" w:fill="auto"/>
          </w:tcPr>
          <w:p w14:paraId="0C8051A0" w14:textId="77777777" w:rsidR="002A4DDF" w:rsidRPr="00937C8B" w:rsidRDefault="002A4DDF" w:rsidP="009110ED">
            <w:pPr>
              <w:rPr>
                <w:rFonts w:ascii="Arial" w:hAnsi="Arial" w:cs="Arial"/>
                <w:sz w:val="12"/>
                <w:szCs w:val="12"/>
              </w:rPr>
            </w:pPr>
          </w:p>
        </w:tc>
        <w:tc>
          <w:tcPr>
            <w:tcW w:w="2268" w:type="dxa"/>
            <w:shd w:val="clear" w:color="auto" w:fill="F2F2F2"/>
            <w:hideMark/>
          </w:tcPr>
          <w:p w14:paraId="31C811D6" w14:textId="77777777" w:rsidR="002A4DDF" w:rsidRPr="00937C8B" w:rsidRDefault="002A4DDF" w:rsidP="009110ED">
            <w:pPr>
              <w:rPr>
                <w:rFonts w:ascii="Arial" w:hAnsi="Arial" w:cs="Arial"/>
                <w:sz w:val="12"/>
                <w:szCs w:val="12"/>
              </w:rPr>
            </w:pPr>
            <w:r>
              <w:rPr>
                <w:rFonts w:ascii="Arial" w:hAnsi="Arial"/>
                <w:sz w:val="12"/>
                <w:szCs w:val="12"/>
              </w:rPr>
              <w:t>Miedes de Atienza</w:t>
            </w:r>
          </w:p>
        </w:tc>
        <w:tc>
          <w:tcPr>
            <w:tcW w:w="2268" w:type="dxa"/>
            <w:tcBorders>
              <w:right w:val="single" w:sz="4" w:space="0" w:color="auto"/>
            </w:tcBorders>
            <w:shd w:val="clear" w:color="auto" w:fill="D9D9D9"/>
            <w:hideMark/>
          </w:tcPr>
          <w:p w14:paraId="636106BF" w14:textId="77777777" w:rsidR="002A4DDF" w:rsidRPr="00937C8B" w:rsidRDefault="002A4DDF" w:rsidP="009110ED">
            <w:pPr>
              <w:rPr>
                <w:rFonts w:ascii="Arial" w:hAnsi="Arial" w:cs="Arial"/>
                <w:sz w:val="12"/>
                <w:szCs w:val="12"/>
              </w:rPr>
            </w:pPr>
          </w:p>
        </w:tc>
      </w:tr>
      <w:tr w:rsidR="002A4DDF" w:rsidRPr="00937C8B" w14:paraId="5865DA09" w14:textId="77777777" w:rsidTr="00935676">
        <w:trPr>
          <w:cantSplit/>
        </w:trPr>
        <w:tc>
          <w:tcPr>
            <w:tcW w:w="1696" w:type="dxa"/>
            <w:tcBorders>
              <w:left w:val="single" w:sz="4" w:space="0" w:color="auto"/>
            </w:tcBorders>
            <w:shd w:val="clear" w:color="auto" w:fill="auto"/>
          </w:tcPr>
          <w:p w14:paraId="46EB68E2" w14:textId="77777777" w:rsidR="002A4DDF" w:rsidRPr="00937C8B" w:rsidRDefault="002A4DDF" w:rsidP="009110ED">
            <w:pPr>
              <w:rPr>
                <w:rFonts w:ascii="Arial" w:hAnsi="Arial" w:cs="Arial"/>
                <w:sz w:val="12"/>
                <w:szCs w:val="12"/>
              </w:rPr>
            </w:pPr>
          </w:p>
        </w:tc>
        <w:tc>
          <w:tcPr>
            <w:tcW w:w="1843" w:type="dxa"/>
            <w:shd w:val="clear" w:color="auto" w:fill="auto"/>
          </w:tcPr>
          <w:p w14:paraId="50238E40" w14:textId="77777777" w:rsidR="002A4DDF" w:rsidRPr="00937C8B" w:rsidRDefault="002A4DDF" w:rsidP="009110ED">
            <w:pPr>
              <w:rPr>
                <w:rFonts w:ascii="Arial" w:hAnsi="Arial" w:cs="Arial"/>
                <w:sz w:val="12"/>
                <w:szCs w:val="12"/>
              </w:rPr>
            </w:pPr>
          </w:p>
        </w:tc>
        <w:tc>
          <w:tcPr>
            <w:tcW w:w="2268" w:type="dxa"/>
            <w:shd w:val="clear" w:color="auto" w:fill="F2F2F2"/>
            <w:hideMark/>
          </w:tcPr>
          <w:p w14:paraId="7F151985" w14:textId="77777777" w:rsidR="002A4DDF" w:rsidRPr="00937C8B" w:rsidRDefault="002A4DDF" w:rsidP="009110ED">
            <w:pPr>
              <w:rPr>
                <w:rFonts w:ascii="Arial" w:hAnsi="Arial" w:cs="Arial"/>
                <w:sz w:val="12"/>
                <w:szCs w:val="12"/>
              </w:rPr>
            </w:pPr>
            <w:r>
              <w:rPr>
                <w:rFonts w:ascii="Arial" w:hAnsi="Arial"/>
                <w:sz w:val="12"/>
                <w:szCs w:val="12"/>
              </w:rPr>
              <w:t>Mochales</w:t>
            </w:r>
          </w:p>
        </w:tc>
        <w:tc>
          <w:tcPr>
            <w:tcW w:w="2268" w:type="dxa"/>
            <w:tcBorders>
              <w:right w:val="single" w:sz="4" w:space="0" w:color="auto"/>
            </w:tcBorders>
            <w:shd w:val="clear" w:color="auto" w:fill="D9D9D9"/>
            <w:hideMark/>
          </w:tcPr>
          <w:p w14:paraId="6780EF36" w14:textId="77777777" w:rsidR="002A4DDF" w:rsidRPr="00937C8B" w:rsidRDefault="002A4DDF" w:rsidP="009110ED">
            <w:pPr>
              <w:rPr>
                <w:rFonts w:ascii="Arial" w:hAnsi="Arial" w:cs="Arial"/>
                <w:sz w:val="12"/>
                <w:szCs w:val="12"/>
              </w:rPr>
            </w:pPr>
          </w:p>
        </w:tc>
      </w:tr>
      <w:tr w:rsidR="002A4DDF" w:rsidRPr="00937C8B" w14:paraId="1F6A0661" w14:textId="77777777" w:rsidTr="00935676">
        <w:trPr>
          <w:cantSplit/>
        </w:trPr>
        <w:tc>
          <w:tcPr>
            <w:tcW w:w="1696" w:type="dxa"/>
            <w:tcBorders>
              <w:left w:val="single" w:sz="4" w:space="0" w:color="auto"/>
            </w:tcBorders>
            <w:shd w:val="clear" w:color="auto" w:fill="auto"/>
          </w:tcPr>
          <w:p w14:paraId="566A68EE" w14:textId="77777777" w:rsidR="002A4DDF" w:rsidRPr="00937C8B" w:rsidRDefault="002A4DDF" w:rsidP="009110ED">
            <w:pPr>
              <w:rPr>
                <w:rFonts w:ascii="Arial" w:hAnsi="Arial" w:cs="Arial"/>
                <w:sz w:val="12"/>
                <w:szCs w:val="12"/>
              </w:rPr>
            </w:pPr>
          </w:p>
        </w:tc>
        <w:tc>
          <w:tcPr>
            <w:tcW w:w="1843" w:type="dxa"/>
            <w:shd w:val="clear" w:color="auto" w:fill="auto"/>
          </w:tcPr>
          <w:p w14:paraId="4B484E3F" w14:textId="77777777" w:rsidR="002A4DDF" w:rsidRPr="00937C8B" w:rsidRDefault="002A4DDF" w:rsidP="009110ED">
            <w:pPr>
              <w:rPr>
                <w:rFonts w:ascii="Arial" w:hAnsi="Arial" w:cs="Arial"/>
                <w:sz w:val="12"/>
                <w:szCs w:val="12"/>
              </w:rPr>
            </w:pPr>
          </w:p>
        </w:tc>
        <w:tc>
          <w:tcPr>
            <w:tcW w:w="2268" w:type="dxa"/>
            <w:shd w:val="clear" w:color="auto" w:fill="F2F2F2"/>
            <w:hideMark/>
          </w:tcPr>
          <w:p w14:paraId="2FEEB449" w14:textId="77777777" w:rsidR="002A4DDF" w:rsidRPr="00937C8B" w:rsidRDefault="002A4DDF" w:rsidP="009110ED">
            <w:pPr>
              <w:rPr>
                <w:rFonts w:ascii="Arial" w:hAnsi="Arial" w:cs="Arial"/>
                <w:sz w:val="12"/>
                <w:szCs w:val="12"/>
              </w:rPr>
            </w:pPr>
            <w:r>
              <w:rPr>
                <w:rFonts w:ascii="Arial" w:hAnsi="Arial"/>
                <w:sz w:val="12"/>
                <w:szCs w:val="12"/>
              </w:rPr>
              <w:t>Mohernando</w:t>
            </w:r>
          </w:p>
        </w:tc>
        <w:tc>
          <w:tcPr>
            <w:tcW w:w="2268" w:type="dxa"/>
            <w:tcBorders>
              <w:right w:val="single" w:sz="4" w:space="0" w:color="auto"/>
            </w:tcBorders>
            <w:shd w:val="clear" w:color="auto" w:fill="D9D9D9"/>
            <w:hideMark/>
          </w:tcPr>
          <w:p w14:paraId="73870F7C" w14:textId="77777777" w:rsidR="002A4DDF" w:rsidRPr="00937C8B" w:rsidRDefault="002A4DDF" w:rsidP="009110ED">
            <w:pPr>
              <w:rPr>
                <w:rFonts w:ascii="Arial" w:hAnsi="Arial" w:cs="Arial"/>
                <w:sz w:val="12"/>
                <w:szCs w:val="12"/>
              </w:rPr>
            </w:pPr>
          </w:p>
        </w:tc>
      </w:tr>
      <w:tr w:rsidR="002A4DDF" w:rsidRPr="00937C8B" w14:paraId="275C9E34" w14:textId="77777777" w:rsidTr="00935676">
        <w:trPr>
          <w:cantSplit/>
        </w:trPr>
        <w:tc>
          <w:tcPr>
            <w:tcW w:w="1696" w:type="dxa"/>
            <w:tcBorders>
              <w:left w:val="single" w:sz="4" w:space="0" w:color="auto"/>
            </w:tcBorders>
            <w:shd w:val="clear" w:color="auto" w:fill="auto"/>
          </w:tcPr>
          <w:p w14:paraId="4183744E" w14:textId="77777777" w:rsidR="002A4DDF" w:rsidRPr="00937C8B" w:rsidRDefault="002A4DDF" w:rsidP="009110ED">
            <w:pPr>
              <w:rPr>
                <w:rFonts w:ascii="Arial" w:hAnsi="Arial" w:cs="Arial"/>
                <w:sz w:val="12"/>
                <w:szCs w:val="12"/>
              </w:rPr>
            </w:pPr>
          </w:p>
        </w:tc>
        <w:tc>
          <w:tcPr>
            <w:tcW w:w="1843" w:type="dxa"/>
            <w:shd w:val="clear" w:color="auto" w:fill="auto"/>
          </w:tcPr>
          <w:p w14:paraId="6B11AF99" w14:textId="77777777" w:rsidR="002A4DDF" w:rsidRPr="00937C8B" w:rsidRDefault="002A4DDF" w:rsidP="009110ED">
            <w:pPr>
              <w:rPr>
                <w:rFonts w:ascii="Arial" w:hAnsi="Arial" w:cs="Arial"/>
                <w:sz w:val="12"/>
                <w:szCs w:val="12"/>
              </w:rPr>
            </w:pPr>
          </w:p>
        </w:tc>
        <w:tc>
          <w:tcPr>
            <w:tcW w:w="2268" w:type="dxa"/>
            <w:shd w:val="clear" w:color="auto" w:fill="F2F2F2"/>
            <w:hideMark/>
          </w:tcPr>
          <w:p w14:paraId="208A6391" w14:textId="77777777" w:rsidR="002A4DDF" w:rsidRPr="00937C8B" w:rsidRDefault="002A4DDF" w:rsidP="009110ED">
            <w:pPr>
              <w:rPr>
                <w:rFonts w:ascii="Arial" w:hAnsi="Arial" w:cs="Arial"/>
                <w:sz w:val="12"/>
                <w:szCs w:val="12"/>
              </w:rPr>
            </w:pPr>
            <w:r>
              <w:rPr>
                <w:rFonts w:ascii="Arial" w:hAnsi="Arial"/>
                <w:sz w:val="12"/>
                <w:szCs w:val="12"/>
              </w:rPr>
              <w:t>Monasterio</w:t>
            </w:r>
          </w:p>
        </w:tc>
        <w:tc>
          <w:tcPr>
            <w:tcW w:w="2268" w:type="dxa"/>
            <w:tcBorders>
              <w:right w:val="single" w:sz="4" w:space="0" w:color="auto"/>
            </w:tcBorders>
            <w:shd w:val="clear" w:color="auto" w:fill="D9D9D9"/>
            <w:hideMark/>
          </w:tcPr>
          <w:p w14:paraId="781A6333" w14:textId="77777777" w:rsidR="002A4DDF" w:rsidRPr="00937C8B" w:rsidRDefault="002A4DDF" w:rsidP="009110ED">
            <w:pPr>
              <w:rPr>
                <w:rFonts w:ascii="Arial" w:hAnsi="Arial" w:cs="Arial"/>
                <w:sz w:val="12"/>
                <w:szCs w:val="12"/>
              </w:rPr>
            </w:pPr>
          </w:p>
        </w:tc>
      </w:tr>
      <w:tr w:rsidR="002A4DDF" w:rsidRPr="00937C8B" w14:paraId="79BE1509" w14:textId="77777777" w:rsidTr="00935676">
        <w:trPr>
          <w:cantSplit/>
        </w:trPr>
        <w:tc>
          <w:tcPr>
            <w:tcW w:w="1696" w:type="dxa"/>
            <w:tcBorders>
              <w:left w:val="single" w:sz="4" w:space="0" w:color="auto"/>
            </w:tcBorders>
            <w:shd w:val="clear" w:color="auto" w:fill="auto"/>
          </w:tcPr>
          <w:p w14:paraId="272E0257" w14:textId="77777777" w:rsidR="002A4DDF" w:rsidRPr="00937C8B" w:rsidRDefault="002A4DDF" w:rsidP="009110ED">
            <w:pPr>
              <w:rPr>
                <w:rFonts w:ascii="Arial" w:hAnsi="Arial" w:cs="Arial"/>
                <w:sz w:val="12"/>
                <w:szCs w:val="12"/>
              </w:rPr>
            </w:pPr>
          </w:p>
        </w:tc>
        <w:tc>
          <w:tcPr>
            <w:tcW w:w="1843" w:type="dxa"/>
            <w:shd w:val="clear" w:color="auto" w:fill="auto"/>
          </w:tcPr>
          <w:p w14:paraId="2B1C8817" w14:textId="77777777" w:rsidR="002A4DDF" w:rsidRPr="00937C8B" w:rsidRDefault="002A4DDF" w:rsidP="009110ED">
            <w:pPr>
              <w:rPr>
                <w:rFonts w:ascii="Arial" w:hAnsi="Arial" w:cs="Arial"/>
                <w:sz w:val="12"/>
                <w:szCs w:val="12"/>
              </w:rPr>
            </w:pPr>
          </w:p>
        </w:tc>
        <w:tc>
          <w:tcPr>
            <w:tcW w:w="2268" w:type="dxa"/>
            <w:shd w:val="clear" w:color="auto" w:fill="F2F2F2"/>
            <w:hideMark/>
          </w:tcPr>
          <w:p w14:paraId="009DB4F3" w14:textId="77777777" w:rsidR="002A4DDF" w:rsidRPr="00937C8B" w:rsidRDefault="002A4DDF" w:rsidP="009110ED">
            <w:pPr>
              <w:rPr>
                <w:rFonts w:ascii="Arial" w:hAnsi="Arial" w:cs="Arial"/>
                <w:sz w:val="12"/>
                <w:szCs w:val="12"/>
              </w:rPr>
            </w:pPr>
            <w:r>
              <w:rPr>
                <w:rFonts w:ascii="Arial" w:hAnsi="Arial"/>
                <w:sz w:val="12"/>
                <w:szCs w:val="12"/>
              </w:rPr>
              <w:t>Morenilla</w:t>
            </w:r>
          </w:p>
        </w:tc>
        <w:tc>
          <w:tcPr>
            <w:tcW w:w="2268" w:type="dxa"/>
            <w:tcBorders>
              <w:right w:val="single" w:sz="4" w:space="0" w:color="auto"/>
            </w:tcBorders>
            <w:shd w:val="clear" w:color="auto" w:fill="D9D9D9"/>
            <w:hideMark/>
          </w:tcPr>
          <w:p w14:paraId="3D33728B" w14:textId="77777777" w:rsidR="002A4DDF" w:rsidRPr="00937C8B" w:rsidRDefault="002A4DDF" w:rsidP="009110ED">
            <w:pPr>
              <w:rPr>
                <w:rFonts w:ascii="Arial" w:hAnsi="Arial" w:cs="Arial"/>
                <w:sz w:val="12"/>
                <w:szCs w:val="12"/>
              </w:rPr>
            </w:pPr>
          </w:p>
        </w:tc>
      </w:tr>
      <w:tr w:rsidR="002A4DDF" w:rsidRPr="00937C8B" w14:paraId="14852C67" w14:textId="77777777" w:rsidTr="00935676">
        <w:trPr>
          <w:cantSplit/>
        </w:trPr>
        <w:tc>
          <w:tcPr>
            <w:tcW w:w="1696" w:type="dxa"/>
            <w:tcBorders>
              <w:left w:val="single" w:sz="4" w:space="0" w:color="auto"/>
            </w:tcBorders>
            <w:shd w:val="clear" w:color="auto" w:fill="auto"/>
          </w:tcPr>
          <w:p w14:paraId="0C39FE12" w14:textId="77777777" w:rsidR="002A4DDF" w:rsidRPr="00937C8B" w:rsidRDefault="002A4DDF" w:rsidP="009110ED">
            <w:pPr>
              <w:rPr>
                <w:rFonts w:ascii="Arial" w:hAnsi="Arial" w:cs="Arial"/>
                <w:sz w:val="12"/>
                <w:szCs w:val="12"/>
              </w:rPr>
            </w:pPr>
          </w:p>
        </w:tc>
        <w:tc>
          <w:tcPr>
            <w:tcW w:w="1843" w:type="dxa"/>
            <w:shd w:val="clear" w:color="auto" w:fill="auto"/>
          </w:tcPr>
          <w:p w14:paraId="27D4BF7F" w14:textId="77777777" w:rsidR="002A4DDF" w:rsidRPr="00937C8B" w:rsidRDefault="002A4DDF" w:rsidP="009110ED">
            <w:pPr>
              <w:rPr>
                <w:rFonts w:ascii="Arial" w:hAnsi="Arial" w:cs="Arial"/>
                <w:sz w:val="12"/>
                <w:szCs w:val="12"/>
              </w:rPr>
            </w:pPr>
          </w:p>
        </w:tc>
        <w:tc>
          <w:tcPr>
            <w:tcW w:w="2268" w:type="dxa"/>
            <w:shd w:val="clear" w:color="auto" w:fill="F2F2F2"/>
            <w:hideMark/>
          </w:tcPr>
          <w:p w14:paraId="27C34581" w14:textId="77777777" w:rsidR="002A4DDF" w:rsidRPr="00937C8B" w:rsidRDefault="002A4DDF" w:rsidP="009110ED">
            <w:pPr>
              <w:rPr>
                <w:rFonts w:ascii="Arial" w:hAnsi="Arial" w:cs="Arial"/>
                <w:sz w:val="12"/>
                <w:szCs w:val="12"/>
              </w:rPr>
            </w:pPr>
            <w:r>
              <w:rPr>
                <w:rFonts w:ascii="Arial" w:hAnsi="Arial"/>
                <w:sz w:val="12"/>
                <w:szCs w:val="12"/>
              </w:rPr>
              <w:t>Orea</w:t>
            </w:r>
          </w:p>
        </w:tc>
        <w:tc>
          <w:tcPr>
            <w:tcW w:w="2268" w:type="dxa"/>
            <w:tcBorders>
              <w:right w:val="single" w:sz="4" w:space="0" w:color="auto"/>
            </w:tcBorders>
            <w:shd w:val="clear" w:color="auto" w:fill="D9D9D9"/>
            <w:hideMark/>
          </w:tcPr>
          <w:p w14:paraId="094E1B97" w14:textId="77777777" w:rsidR="002A4DDF" w:rsidRPr="00937C8B" w:rsidRDefault="002A4DDF" w:rsidP="009110ED">
            <w:pPr>
              <w:rPr>
                <w:rFonts w:ascii="Arial" w:hAnsi="Arial" w:cs="Arial"/>
                <w:sz w:val="12"/>
                <w:szCs w:val="12"/>
              </w:rPr>
            </w:pPr>
          </w:p>
        </w:tc>
      </w:tr>
      <w:tr w:rsidR="002A4DDF" w:rsidRPr="00937C8B" w14:paraId="73ABB65F" w14:textId="77777777" w:rsidTr="00935676">
        <w:trPr>
          <w:cantSplit/>
        </w:trPr>
        <w:tc>
          <w:tcPr>
            <w:tcW w:w="1696" w:type="dxa"/>
            <w:tcBorders>
              <w:left w:val="single" w:sz="4" w:space="0" w:color="auto"/>
            </w:tcBorders>
            <w:shd w:val="clear" w:color="auto" w:fill="auto"/>
          </w:tcPr>
          <w:p w14:paraId="540515E7" w14:textId="77777777" w:rsidR="002A4DDF" w:rsidRPr="00937C8B" w:rsidRDefault="002A4DDF" w:rsidP="009110ED">
            <w:pPr>
              <w:rPr>
                <w:rFonts w:ascii="Arial" w:hAnsi="Arial" w:cs="Arial"/>
                <w:sz w:val="12"/>
                <w:szCs w:val="12"/>
              </w:rPr>
            </w:pPr>
          </w:p>
        </w:tc>
        <w:tc>
          <w:tcPr>
            <w:tcW w:w="1843" w:type="dxa"/>
            <w:shd w:val="clear" w:color="auto" w:fill="auto"/>
          </w:tcPr>
          <w:p w14:paraId="62261861" w14:textId="77777777" w:rsidR="002A4DDF" w:rsidRPr="00937C8B" w:rsidRDefault="002A4DDF" w:rsidP="009110ED">
            <w:pPr>
              <w:rPr>
                <w:rFonts w:ascii="Arial" w:hAnsi="Arial" w:cs="Arial"/>
                <w:sz w:val="12"/>
                <w:szCs w:val="12"/>
              </w:rPr>
            </w:pPr>
          </w:p>
        </w:tc>
        <w:tc>
          <w:tcPr>
            <w:tcW w:w="2268" w:type="dxa"/>
            <w:shd w:val="clear" w:color="auto" w:fill="F2F2F2"/>
            <w:hideMark/>
          </w:tcPr>
          <w:p w14:paraId="6A823CCB" w14:textId="77777777" w:rsidR="002A4DDF" w:rsidRPr="00937C8B" w:rsidRDefault="002A4DDF" w:rsidP="009110ED">
            <w:pPr>
              <w:rPr>
                <w:rFonts w:ascii="Arial" w:hAnsi="Arial" w:cs="Arial"/>
                <w:sz w:val="12"/>
                <w:szCs w:val="12"/>
              </w:rPr>
            </w:pPr>
            <w:r>
              <w:rPr>
                <w:rFonts w:ascii="Arial" w:hAnsi="Arial"/>
                <w:sz w:val="12"/>
                <w:szCs w:val="12"/>
              </w:rPr>
              <w:t>Pálmaces de Jadraque</w:t>
            </w:r>
          </w:p>
        </w:tc>
        <w:tc>
          <w:tcPr>
            <w:tcW w:w="2268" w:type="dxa"/>
            <w:tcBorders>
              <w:right w:val="single" w:sz="4" w:space="0" w:color="auto"/>
            </w:tcBorders>
            <w:shd w:val="clear" w:color="auto" w:fill="D9D9D9"/>
            <w:hideMark/>
          </w:tcPr>
          <w:p w14:paraId="216325BE" w14:textId="77777777" w:rsidR="002A4DDF" w:rsidRPr="00937C8B" w:rsidRDefault="002A4DDF" w:rsidP="009110ED">
            <w:pPr>
              <w:rPr>
                <w:rFonts w:ascii="Arial" w:hAnsi="Arial" w:cs="Arial"/>
                <w:sz w:val="12"/>
                <w:szCs w:val="12"/>
              </w:rPr>
            </w:pPr>
          </w:p>
        </w:tc>
      </w:tr>
      <w:tr w:rsidR="002A4DDF" w:rsidRPr="00937C8B" w14:paraId="731E29D8" w14:textId="77777777" w:rsidTr="00935676">
        <w:trPr>
          <w:cantSplit/>
        </w:trPr>
        <w:tc>
          <w:tcPr>
            <w:tcW w:w="1696" w:type="dxa"/>
            <w:tcBorders>
              <w:left w:val="single" w:sz="4" w:space="0" w:color="auto"/>
            </w:tcBorders>
            <w:shd w:val="clear" w:color="auto" w:fill="auto"/>
          </w:tcPr>
          <w:p w14:paraId="1D805E3D" w14:textId="77777777" w:rsidR="002A4DDF" w:rsidRPr="00937C8B" w:rsidRDefault="002A4DDF" w:rsidP="009110ED">
            <w:pPr>
              <w:rPr>
                <w:rFonts w:ascii="Arial" w:hAnsi="Arial" w:cs="Arial"/>
                <w:sz w:val="12"/>
                <w:szCs w:val="12"/>
              </w:rPr>
            </w:pPr>
          </w:p>
        </w:tc>
        <w:tc>
          <w:tcPr>
            <w:tcW w:w="1843" w:type="dxa"/>
            <w:shd w:val="clear" w:color="auto" w:fill="auto"/>
          </w:tcPr>
          <w:p w14:paraId="60AC0A39" w14:textId="77777777" w:rsidR="002A4DDF" w:rsidRPr="00937C8B" w:rsidRDefault="002A4DDF" w:rsidP="009110ED">
            <w:pPr>
              <w:rPr>
                <w:rFonts w:ascii="Arial" w:hAnsi="Arial" w:cs="Arial"/>
                <w:sz w:val="12"/>
                <w:szCs w:val="12"/>
              </w:rPr>
            </w:pPr>
          </w:p>
        </w:tc>
        <w:tc>
          <w:tcPr>
            <w:tcW w:w="2268" w:type="dxa"/>
            <w:shd w:val="clear" w:color="auto" w:fill="F2F2F2"/>
            <w:hideMark/>
          </w:tcPr>
          <w:p w14:paraId="43111229" w14:textId="77777777" w:rsidR="002A4DDF" w:rsidRPr="00937C8B" w:rsidRDefault="002A4DDF" w:rsidP="009110ED">
            <w:pPr>
              <w:rPr>
                <w:rFonts w:ascii="Arial" w:hAnsi="Arial" w:cs="Arial"/>
                <w:sz w:val="12"/>
                <w:szCs w:val="12"/>
              </w:rPr>
            </w:pPr>
            <w:r>
              <w:rPr>
                <w:rFonts w:ascii="Arial" w:hAnsi="Arial"/>
                <w:sz w:val="12"/>
                <w:szCs w:val="12"/>
              </w:rPr>
              <w:t>Pinilla de Jadraque</w:t>
            </w:r>
          </w:p>
        </w:tc>
        <w:tc>
          <w:tcPr>
            <w:tcW w:w="2268" w:type="dxa"/>
            <w:tcBorders>
              <w:right w:val="single" w:sz="4" w:space="0" w:color="auto"/>
            </w:tcBorders>
            <w:shd w:val="clear" w:color="auto" w:fill="D9D9D9"/>
            <w:hideMark/>
          </w:tcPr>
          <w:p w14:paraId="00F2867D" w14:textId="77777777" w:rsidR="002A4DDF" w:rsidRPr="00937C8B" w:rsidRDefault="002A4DDF" w:rsidP="009110ED">
            <w:pPr>
              <w:rPr>
                <w:rFonts w:ascii="Arial" w:hAnsi="Arial" w:cs="Arial"/>
                <w:sz w:val="12"/>
                <w:szCs w:val="12"/>
              </w:rPr>
            </w:pPr>
          </w:p>
        </w:tc>
      </w:tr>
      <w:tr w:rsidR="002A4DDF" w:rsidRPr="00937C8B" w14:paraId="3F0D2D67" w14:textId="77777777" w:rsidTr="00935676">
        <w:trPr>
          <w:cantSplit/>
        </w:trPr>
        <w:tc>
          <w:tcPr>
            <w:tcW w:w="1696" w:type="dxa"/>
            <w:tcBorders>
              <w:left w:val="single" w:sz="4" w:space="0" w:color="auto"/>
            </w:tcBorders>
            <w:shd w:val="clear" w:color="auto" w:fill="auto"/>
          </w:tcPr>
          <w:p w14:paraId="67384BC3" w14:textId="77777777" w:rsidR="002A4DDF" w:rsidRPr="00937C8B" w:rsidRDefault="002A4DDF" w:rsidP="009110ED">
            <w:pPr>
              <w:rPr>
                <w:rFonts w:ascii="Arial" w:hAnsi="Arial" w:cs="Arial"/>
                <w:sz w:val="12"/>
                <w:szCs w:val="12"/>
              </w:rPr>
            </w:pPr>
          </w:p>
        </w:tc>
        <w:tc>
          <w:tcPr>
            <w:tcW w:w="1843" w:type="dxa"/>
            <w:shd w:val="clear" w:color="auto" w:fill="auto"/>
          </w:tcPr>
          <w:p w14:paraId="75BF6CCD" w14:textId="77777777" w:rsidR="002A4DDF" w:rsidRPr="00937C8B" w:rsidRDefault="002A4DDF" w:rsidP="009110ED">
            <w:pPr>
              <w:rPr>
                <w:rFonts w:ascii="Arial" w:hAnsi="Arial" w:cs="Arial"/>
                <w:sz w:val="12"/>
                <w:szCs w:val="12"/>
              </w:rPr>
            </w:pPr>
          </w:p>
        </w:tc>
        <w:tc>
          <w:tcPr>
            <w:tcW w:w="2268" w:type="dxa"/>
            <w:shd w:val="clear" w:color="auto" w:fill="F2F2F2"/>
            <w:hideMark/>
          </w:tcPr>
          <w:p w14:paraId="4BBDE311" w14:textId="77777777" w:rsidR="002A4DDF" w:rsidRPr="00937C8B" w:rsidRDefault="002A4DDF" w:rsidP="009110ED">
            <w:pPr>
              <w:rPr>
                <w:rFonts w:ascii="Arial" w:hAnsi="Arial" w:cs="Arial"/>
                <w:sz w:val="12"/>
                <w:szCs w:val="12"/>
              </w:rPr>
            </w:pPr>
            <w:r>
              <w:rPr>
                <w:rFonts w:ascii="Arial" w:hAnsi="Arial"/>
                <w:sz w:val="12"/>
                <w:szCs w:val="12"/>
              </w:rPr>
              <w:t>Prádena de Atienza</w:t>
            </w:r>
          </w:p>
        </w:tc>
        <w:tc>
          <w:tcPr>
            <w:tcW w:w="2268" w:type="dxa"/>
            <w:tcBorders>
              <w:right w:val="single" w:sz="4" w:space="0" w:color="auto"/>
            </w:tcBorders>
            <w:shd w:val="clear" w:color="auto" w:fill="D9D9D9"/>
            <w:hideMark/>
          </w:tcPr>
          <w:p w14:paraId="4EBCE0E9" w14:textId="77777777" w:rsidR="002A4DDF" w:rsidRPr="00937C8B" w:rsidRDefault="002A4DDF" w:rsidP="009110ED">
            <w:pPr>
              <w:rPr>
                <w:rFonts w:ascii="Arial" w:hAnsi="Arial" w:cs="Arial"/>
                <w:sz w:val="12"/>
                <w:szCs w:val="12"/>
              </w:rPr>
            </w:pPr>
          </w:p>
        </w:tc>
      </w:tr>
      <w:tr w:rsidR="002A4DDF" w:rsidRPr="00937C8B" w14:paraId="5325C58A" w14:textId="77777777" w:rsidTr="00935676">
        <w:trPr>
          <w:cantSplit/>
        </w:trPr>
        <w:tc>
          <w:tcPr>
            <w:tcW w:w="1696" w:type="dxa"/>
            <w:tcBorders>
              <w:left w:val="single" w:sz="4" w:space="0" w:color="auto"/>
            </w:tcBorders>
            <w:shd w:val="clear" w:color="auto" w:fill="auto"/>
          </w:tcPr>
          <w:p w14:paraId="77938B53" w14:textId="77777777" w:rsidR="002A4DDF" w:rsidRPr="00937C8B" w:rsidRDefault="002A4DDF" w:rsidP="009110ED">
            <w:pPr>
              <w:rPr>
                <w:rFonts w:ascii="Arial" w:hAnsi="Arial" w:cs="Arial"/>
                <w:sz w:val="12"/>
                <w:szCs w:val="12"/>
              </w:rPr>
            </w:pPr>
          </w:p>
        </w:tc>
        <w:tc>
          <w:tcPr>
            <w:tcW w:w="1843" w:type="dxa"/>
            <w:shd w:val="clear" w:color="auto" w:fill="auto"/>
          </w:tcPr>
          <w:p w14:paraId="7254F738" w14:textId="77777777" w:rsidR="002A4DDF" w:rsidRPr="00937C8B" w:rsidRDefault="002A4DDF" w:rsidP="009110ED">
            <w:pPr>
              <w:rPr>
                <w:rFonts w:ascii="Arial" w:hAnsi="Arial" w:cs="Arial"/>
                <w:sz w:val="12"/>
                <w:szCs w:val="12"/>
              </w:rPr>
            </w:pPr>
          </w:p>
        </w:tc>
        <w:tc>
          <w:tcPr>
            <w:tcW w:w="2268" w:type="dxa"/>
            <w:shd w:val="clear" w:color="auto" w:fill="F2F2F2"/>
            <w:hideMark/>
          </w:tcPr>
          <w:p w14:paraId="409D1A27" w14:textId="77777777" w:rsidR="002A4DDF" w:rsidRPr="00937C8B" w:rsidRDefault="002A4DDF" w:rsidP="009110ED">
            <w:pPr>
              <w:rPr>
                <w:rFonts w:ascii="Arial" w:hAnsi="Arial" w:cs="Arial"/>
                <w:sz w:val="12"/>
                <w:szCs w:val="12"/>
              </w:rPr>
            </w:pPr>
            <w:r>
              <w:rPr>
                <w:rFonts w:ascii="Arial" w:hAnsi="Arial"/>
                <w:sz w:val="12"/>
                <w:szCs w:val="12"/>
              </w:rPr>
              <w:t>Puebla de Beleña</w:t>
            </w:r>
          </w:p>
        </w:tc>
        <w:tc>
          <w:tcPr>
            <w:tcW w:w="2268" w:type="dxa"/>
            <w:tcBorders>
              <w:right w:val="single" w:sz="4" w:space="0" w:color="auto"/>
            </w:tcBorders>
            <w:shd w:val="clear" w:color="auto" w:fill="D9D9D9"/>
            <w:hideMark/>
          </w:tcPr>
          <w:p w14:paraId="660118EA" w14:textId="77777777" w:rsidR="002A4DDF" w:rsidRPr="00937C8B" w:rsidRDefault="002A4DDF" w:rsidP="009110ED">
            <w:pPr>
              <w:rPr>
                <w:rFonts w:ascii="Arial" w:hAnsi="Arial" w:cs="Arial"/>
                <w:sz w:val="12"/>
                <w:szCs w:val="12"/>
              </w:rPr>
            </w:pPr>
          </w:p>
        </w:tc>
      </w:tr>
      <w:tr w:rsidR="002A4DDF" w:rsidRPr="00937C8B" w14:paraId="343C1595" w14:textId="77777777" w:rsidTr="00935676">
        <w:trPr>
          <w:cantSplit/>
        </w:trPr>
        <w:tc>
          <w:tcPr>
            <w:tcW w:w="1696" w:type="dxa"/>
            <w:tcBorders>
              <w:left w:val="single" w:sz="4" w:space="0" w:color="auto"/>
            </w:tcBorders>
            <w:shd w:val="clear" w:color="auto" w:fill="auto"/>
          </w:tcPr>
          <w:p w14:paraId="6B1814A0" w14:textId="77777777" w:rsidR="002A4DDF" w:rsidRPr="00937C8B" w:rsidRDefault="002A4DDF" w:rsidP="009110ED">
            <w:pPr>
              <w:rPr>
                <w:rFonts w:ascii="Arial" w:hAnsi="Arial" w:cs="Arial"/>
                <w:sz w:val="12"/>
                <w:szCs w:val="12"/>
              </w:rPr>
            </w:pPr>
          </w:p>
        </w:tc>
        <w:tc>
          <w:tcPr>
            <w:tcW w:w="1843" w:type="dxa"/>
            <w:shd w:val="clear" w:color="auto" w:fill="auto"/>
          </w:tcPr>
          <w:p w14:paraId="15DC21A2" w14:textId="77777777" w:rsidR="002A4DDF" w:rsidRPr="00937C8B" w:rsidRDefault="002A4DDF" w:rsidP="009110ED">
            <w:pPr>
              <w:rPr>
                <w:rFonts w:ascii="Arial" w:hAnsi="Arial" w:cs="Arial"/>
                <w:sz w:val="12"/>
                <w:szCs w:val="12"/>
              </w:rPr>
            </w:pPr>
          </w:p>
        </w:tc>
        <w:tc>
          <w:tcPr>
            <w:tcW w:w="2268" w:type="dxa"/>
            <w:shd w:val="clear" w:color="auto" w:fill="F2F2F2"/>
            <w:hideMark/>
          </w:tcPr>
          <w:p w14:paraId="3902FFB8" w14:textId="77777777" w:rsidR="002A4DDF" w:rsidRPr="00937C8B" w:rsidRDefault="002A4DDF" w:rsidP="009110ED">
            <w:pPr>
              <w:rPr>
                <w:rFonts w:ascii="Arial" w:hAnsi="Arial" w:cs="Arial"/>
                <w:sz w:val="12"/>
                <w:szCs w:val="12"/>
              </w:rPr>
            </w:pPr>
            <w:r>
              <w:rPr>
                <w:rFonts w:ascii="Arial" w:hAnsi="Arial"/>
                <w:sz w:val="12"/>
                <w:szCs w:val="12"/>
              </w:rPr>
              <w:t>Puebla de Valles</w:t>
            </w:r>
          </w:p>
        </w:tc>
        <w:tc>
          <w:tcPr>
            <w:tcW w:w="2268" w:type="dxa"/>
            <w:tcBorders>
              <w:right w:val="single" w:sz="4" w:space="0" w:color="auto"/>
            </w:tcBorders>
            <w:shd w:val="clear" w:color="auto" w:fill="D9D9D9"/>
            <w:hideMark/>
          </w:tcPr>
          <w:p w14:paraId="431914B4" w14:textId="77777777" w:rsidR="002A4DDF" w:rsidRPr="00937C8B" w:rsidRDefault="002A4DDF" w:rsidP="009110ED">
            <w:pPr>
              <w:rPr>
                <w:rFonts w:ascii="Arial" w:hAnsi="Arial" w:cs="Arial"/>
                <w:sz w:val="12"/>
                <w:szCs w:val="12"/>
              </w:rPr>
            </w:pPr>
          </w:p>
        </w:tc>
      </w:tr>
      <w:tr w:rsidR="002A4DDF" w:rsidRPr="00937C8B" w14:paraId="68683338" w14:textId="77777777" w:rsidTr="00935676">
        <w:trPr>
          <w:cantSplit/>
        </w:trPr>
        <w:tc>
          <w:tcPr>
            <w:tcW w:w="1696" w:type="dxa"/>
            <w:tcBorders>
              <w:left w:val="single" w:sz="4" w:space="0" w:color="auto"/>
            </w:tcBorders>
            <w:shd w:val="clear" w:color="auto" w:fill="auto"/>
          </w:tcPr>
          <w:p w14:paraId="0014C6F4" w14:textId="77777777" w:rsidR="002A4DDF" w:rsidRPr="00937C8B" w:rsidRDefault="002A4DDF" w:rsidP="009110ED">
            <w:pPr>
              <w:rPr>
                <w:rFonts w:ascii="Arial" w:hAnsi="Arial" w:cs="Arial"/>
                <w:sz w:val="12"/>
                <w:szCs w:val="12"/>
              </w:rPr>
            </w:pPr>
          </w:p>
        </w:tc>
        <w:tc>
          <w:tcPr>
            <w:tcW w:w="1843" w:type="dxa"/>
            <w:shd w:val="clear" w:color="auto" w:fill="auto"/>
          </w:tcPr>
          <w:p w14:paraId="38213F9B" w14:textId="77777777" w:rsidR="002A4DDF" w:rsidRPr="00937C8B" w:rsidRDefault="002A4DDF" w:rsidP="009110ED">
            <w:pPr>
              <w:rPr>
                <w:rFonts w:ascii="Arial" w:hAnsi="Arial" w:cs="Arial"/>
                <w:sz w:val="12"/>
                <w:szCs w:val="12"/>
              </w:rPr>
            </w:pPr>
          </w:p>
        </w:tc>
        <w:tc>
          <w:tcPr>
            <w:tcW w:w="2268" w:type="dxa"/>
            <w:shd w:val="clear" w:color="auto" w:fill="F2F2F2"/>
            <w:hideMark/>
          </w:tcPr>
          <w:p w14:paraId="6E91E34A" w14:textId="77777777" w:rsidR="002A4DDF" w:rsidRPr="00937C8B" w:rsidRDefault="002A4DDF" w:rsidP="009110ED">
            <w:pPr>
              <w:rPr>
                <w:rFonts w:ascii="Arial" w:hAnsi="Arial" w:cs="Arial"/>
                <w:sz w:val="12"/>
                <w:szCs w:val="12"/>
              </w:rPr>
            </w:pPr>
            <w:r>
              <w:rPr>
                <w:rFonts w:ascii="Arial" w:hAnsi="Arial"/>
                <w:sz w:val="12"/>
                <w:szCs w:val="12"/>
              </w:rPr>
              <w:t>Quer</w:t>
            </w:r>
          </w:p>
        </w:tc>
        <w:tc>
          <w:tcPr>
            <w:tcW w:w="2268" w:type="dxa"/>
            <w:tcBorders>
              <w:right w:val="single" w:sz="4" w:space="0" w:color="auto"/>
            </w:tcBorders>
            <w:shd w:val="clear" w:color="auto" w:fill="D9D9D9"/>
            <w:hideMark/>
          </w:tcPr>
          <w:p w14:paraId="6DC98E62" w14:textId="77777777" w:rsidR="002A4DDF" w:rsidRPr="00937C8B" w:rsidRDefault="002A4DDF" w:rsidP="009110ED">
            <w:pPr>
              <w:rPr>
                <w:rFonts w:ascii="Arial" w:hAnsi="Arial" w:cs="Arial"/>
                <w:sz w:val="12"/>
                <w:szCs w:val="12"/>
              </w:rPr>
            </w:pPr>
          </w:p>
        </w:tc>
      </w:tr>
      <w:tr w:rsidR="002A4DDF" w:rsidRPr="00937C8B" w14:paraId="3E751F66" w14:textId="77777777" w:rsidTr="00935676">
        <w:trPr>
          <w:cantSplit/>
        </w:trPr>
        <w:tc>
          <w:tcPr>
            <w:tcW w:w="1696" w:type="dxa"/>
            <w:tcBorders>
              <w:left w:val="single" w:sz="4" w:space="0" w:color="auto"/>
            </w:tcBorders>
            <w:shd w:val="clear" w:color="auto" w:fill="auto"/>
          </w:tcPr>
          <w:p w14:paraId="0081E1A9" w14:textId="77777777" w:rsidR="002A4DDF" w:rsidRPr="00937C8B" w:rsidRDefault="002A4DDF" w:rsidP="009110ED">
            <w:pPr>
              <w:rPr>
                <w:rFonts w:ascii="Arial" w:hAnsi="Arial" w:cs="Arial"/>
                <w:sz w:val="12"/>
                <w:szCs w:val="12"/>
              </w:rPr>
            </w:pPr>
          </w:p>
        </w:tc>
        <w:tc>
          <w:tcPr>
            <w:tcW w:w="1843" w:type="dxa"/>
            <w:shd w:val="clear" w:color="auto" w:fill="auto"/>
          </w:tcPr>
          <w:p w14:paraId="11BABC9B" w14:textId="77777777" w:rsidR="002A4DDF" w:rsidRPr="00937C8B" w:rsidRDefault="002A4DDF" w:rsidP="009110ED">
            <w:pPr>
              <w:rPr>
                <w:rFonts w:ascii="Arial" w:hAnsi="Arial" w:cs="Arial"/>
                <w:sz w:val="12"/>
                <w:szCs w:val="12"/>
              </w:rPr>
            </w:pPr>
          </w:p>
        </w:tc>
        <w:tc>
          <w:tcPr>
            <w:tcW w:w="2268" w:type="dxa"/>
            <w:shd w:val="clear" w:color="auto" w:fill="F2F2F2"/>
            <w:hideMark/>
          </w:tcPr>
          <w:p w14:paraId="43E2403B" w14:textId="77777777" w:rsidR="002A4DDF" w:rsidRPr="00937C8B" w:rsidRDefault="002A4DDF" w:rsidP="009110ED">
            <w:pPr>
              <w:rPr>
                <w:rFonts w:ascii="Arial" w:hAnsi="Arial" w:cs="Arial"/>
                <w:sz w:val="12"/>
                <w:szCs w:val="12"/>
              </w:rPr>
            </w:pPr>
            <w:r>
              <w:rPr>
                <w:rFonts w:ascii="Arial" w:hAnsi="Arial"/>
                <w:sz w:val="12"/>
                <w:szCs w:val="12"/>
              </w:rPr>
              <w:t>Rebollosa de Jadraque</w:t>
            </w:r>
          </w:p>
        </w:tc>
        <w:tc>
          <w:tcPr>
            <w:tcW w:w="2268" w:type="dxa"/>
            <w:tcBorders>
              <w:right w:val="single" w:sz="4" w:space="0" w:color="auto"/>
            </w:tcBorders>
            <w:shd w:val="clear" w:color="auto" w:fill="D9D9D9"/>
            <w:hideMark/>
          </w:tcPr>
          <w:p w14:paraId="59C6E612" w14:textId="77777777" w:rsidR="002A4DDF" w:rsidRPr="00937C8B" w:rsidRDefault="002A4DDF" w:rsidP="009110ED">
            <w:pPr>
              <w:rPr>
                <w:rFonts w:ascii="Arial" w:hAnsi="Arial" w:cs="Arial"/>
                <w:sz w:val="12"/>
                <w:szCs w:val="12"/>
              </w:rPr>
            </w:pPr>
          </w:p>
        </w:tc>
      </w:tr>
      <w:tr w:rsidR="002A4DDF" w:rsidRPr="00937C8B" w14:paraId="30D61F8A" w14:textId="77777777" w:rsidTr="00935676">
        <w:trPr>
          <w:cantSplit/>
        </w:trPr>
        <w:tc>
          <w:tcPr>
            <w:tcW w:w="1696" w:type="dxa"/>
            <w:tcBorders>
              <w:left w:val="single" w:sz="4" w:space="0" w:color="auto"/>
            </w:tcBorders>
            <w:shd w:val="clear" w:color="auto" w:fill="auto"/>
          </w:tcPr>
          <w:p w14:paraId="2E42643F" w14:textId="77777777" w:rsidR="002A4DDF" w:rsidRPr="00937C8B" w:rsidRDefault="002A4DDF" w:rsidP="009110ED">
            <w:pPr>
              <w:rPr>
                <w:rFonts w:ascii="Arial" w:hAnsi="Arial" w:cs="Arial"/>
                <w:sz w:val="12"/>
                <w:szCs w:val="12"/>
              </w:rPr>
            </w:pPr>
          </w:p>
        </w:tc>
        <w:tc>
          <w:tcPr>
            <w:tcW w:w="1843" w:type="dxa"/>
            <w:shd w:val="clear" w:color="auto" w:fill="auto"/>
          </w:tcPr>
          <w:p w14:paraId="440C96B5" w14:textId="77777777" w:rsidR="002A4DDF" w:rsidRPr="00937C8B" w:rsidRDefault="002A4DDF" w:rsidP="009110ED">
            <w:pPr>
              <w:rPr>
                <w:rFonts w:ascii="Arial" w:hAnsi="Arial" w:cs="Arial"/>
                <w:sz w:val="12"/>
                <w:szCs w:val="12"/>
              </w:rPr>
            </w:pPr>
          </w:p>
        </w:tc>
        <w:tc>
          <w:tcPr>
            <w:tcW w:w="2268" w:type="dxa"/>
            <w:shd w:val="clear" w:color="auto" w:fill="F2F2F2"/>
            <w:hideMark/>
          </w:tcPr>
          <w:p w14:paraId="31FE8515" w14:textId="77777777" w:rsidR="002A4DDF" w:rsidRPr="00937C8B" w:rsidRDefault="002A4DDF" w:rsidP="009110ED">
            <w:pPr>
              <w:rPr>
                <w:rFonts w:ascii="Arial" w:hAnsi="Arial" w:cs="Arial"/>
                <w:sz w:val="12"/>
                <w:szCs w:val="12"/>
              </w:rPr>
            </w:pPr>
            <w:r>
              <w:rPr>
                <w:rFonts w:ascii="Arial" w:hAnsi="Arial"/>
                <w:sz w:val="12"/>
                <w:szCs w:val="12"/>
              </w:rPr>
              <w:t>Retiendas</w:t>
            </w:r>
          </w:p>
        </w:tc>
        <w:tc>
          <w:tcPr>
            <w:tcW w:w="2268" w:type="dxa"/>
            <w:tcBorders>
              <w:right w:val="single" w:sz="4" w:space="0" w:color="auto"/>
            </w:tcBorders>
            <w:shd w:val="clear" w:color="auto" w:fill="D9D9D9"/>
            <w:hideMark/>
          </w:tcPr>
          <w:p w14:paraId="0C443C9E" w14:textId="77777777" w:rsidR="002A4DDF" w:rsidRPr="00937C8B" w:rsidRDefault="002A4DDF" w:rsidP="009110ED">
            <w:pPr>
              <w:rPr>
                <w:rFonts w:ascii="Arial" w:hAnsi="Arial" w:cs="Arial"/>
                <w:sz w:val="12"/>
                <w:szCs w:val="12"/>
              </w:rPr>
            </w:pPr>
          </w:p>
        </w:tc>
      </w:tr>
      <w:tr w:rsidR="002A4DDF" w:rsidRPr="00937C8B" w14:paraId="65C33AC6" w14:textId="77777777" w:rsidTr="00935676">
        <w:trPr>
          <w:cantSplit/>
        </w:trPr>
        <w:tc>
          <w:tcPr>
            <w:tcW w:w="1696" w:type="dxa"/>
            <w:tcBorders>
              <w:left w:val="single" w:sz="4" w:space="0" w:color="auto"/>
            </w:tcBorders>
            <w:shd w:val="clear" w:color="auto" w:fill="auto"/>
          </w:tcPr>
          <w:p w14:paraId="2184B612" w14:textId="77777777" w:rsidR="002A4DDF" w:rsidRPr="00937C8B" w:rsidRDefault="002A4DDF" w:rsidP="009110ED">
            <w:pPr>
              <w:rPr>
                <w:rFonts w:ascii="Arial" w:hAnsi="Arial" w:cs="Arial"/>
                <w:sz w:val="12"/>
                <w:szCs w:val="12"/>
              </w:rPr>
            </w:pPr>
          </w:p>
        </w:tc>
        <w:tc>
          <w:tcPr>
            <w:tcW w:w="1843" w:type="dxa"/>
            <w:shd w:val="clear" w:color="auto" w:fill="auto"/>
          </w:tcPr>
          <w:p w14:paraId="7B498835" w14:textId="77777777" w:rsidR="002A4DDF" w:rsidRPr="00937C8B" w:rsidRDefault="002A4DDF" w:rsidP="009110ED">
            <w:pPr>
              <w:rPr>
                <w:rFonts w:ascii="Arial" w:hAnsi="Arial" w:cs="Arial"/>
                <w:sz w:val="12"/>
                <w:szCs w:val="12"/>
              </w:rPr>
            </w:pPr>
          </w:p>
        </w:tc>
        <w:tc>
          <w:tcPr>
            <w:tcW w:w="2268" w:type="dxa"/>
            <w:shd w:val="clear" w:color="auto" w:fill="F2F2F2"/>
            <w:hideMark/>
          </w:tcPr>
          <w:p w14:paraId="4EFB57E2" w14:textId="77777777" w:rsidR="002A4DDF" w:rsidRPr="00937C8B" w:rsidRDefault="002A4DDF" w:rsidP="009110ED">
            <w:pPr>
              <w:rPr>
                <w:rFonts w:ascii="Arial" w:hAnsi="Arial" w:cs="Arial"/>
                <w:sz w:val="12"/>
                <w:szCs w:val="12"/>
              </w:rPr>
            </w:pPr>
            <w:r>
              <w:rPr>
                <w:rFonts w:ascii="Arial" w:hAnsi="Arial"/>
                <w:sz w:val="12"/>
                <w:szCs w:val="12"/>
              </w:rPr>
              <w:t>Riofrío del Llano</w:t>
            </w:r>
          </w:p>
        </w:tc>
        <w:tc>
          <w:tcPr>
            <w:tcW w:w="2268" w:type="dxa"/>
            <w:tcBorders>
              <w:right w:val="single" w:sz="4" w:space="0" w:color="auto"/>
            </w:tcBorders>
            <w:shd w:val="clear" w:color="auto" w:fill="D9D9D9"/>
            <w:hideMark/>
          </w:tcPr>
          <w:p w14:paraId="1B67520B" w14:textId="77777777" w:rsidR="002A4DDF" w:rsidRPr="00937C8B" w:rsidRDefault="002A4DDF" w:rsidP="009110ED">
            <w:pPr>
              <w:rPr>
                <w:rFonts w:ascii="Arial" w:hAnsi="Arial" w:cs="Arial"/>
                <w:sz w:val="12"/>
                <w:szCs w:val="12"/>
              </w:rPr>
            </w:pPr>
          </w:p>
        </w:tc>
      </w:tr>
      <w:tr w:rsidR="002A4DDF" w:rsidRPr="00937C8B" w14:paraId="2A89EFEE" w14:textId="77777777" w:rsidTr="00935676">
        <w:trPr>
          <w:cantSplit/>
        </w:trPr>
        <w:tc>
          <w:tcPr>
            <w:tcW w:w="1696" w:type="dxa"/>
            <w:tcBorders>
              <w:left w:val="single" w:sz="4" w:space="0" w:color="auto"/>
            </w:tcBorders>
            <w:shd w:val="clear" w:color="auto" w:fill="auto"/>
          </w:tcPr>
          <w:p w14:paraId="0DB2A269" w14:textId="77777777" w:rsidR="002A4DDF" w:rsidRPr="00937C8B" w:rsidRDefault="002A4DDF" w:rsidP="009110ED">
            <w:pPr>
              <w:rPr>
                <w:rFonts w:ascii="Arial" w:hAnsi="Arial" w:cs="Arial"/>
                <w:sz w:val="12"/>
                <w:szCs w:val="12"/>
              </w:rPr>
            </w:pPr>
          </w:p>
        </w:tc>
        <w:tc>
          <w:tcPr>
            <w:tcW w:w="1843" w:type="dxa"/>
            <w:shd w:val="clear" w:color="auto" w:fill="auto"/>
          </w:tcPr>
          <w:p w14:paraId="190D5FE0" w14:textId="77777777" w:rsidR="002A4DDF" w:rsidRPr="00937C8B" w:rsidRDefault="002A4DDF" w:rsidP="009110ED">
            <w:pPr>
              <w:rPr>
                <w:rFonts w:ascii="Arial" w:hAnsi="Arial" w:cs="Arial"/>
                <w:sz w:val="12"/>
                <w:szCs w:val="12"/>
              </w:rPr>
            </w:pPr>
          </w:p>
        </w:tc>
        <w:tc>
          <w:tcPr>
            <w:tcW w:w="2268" w:type="dxa"/>
            <w:shd w:val="clear" w:color="auto" w:fill="F2F2F2"/>
            <w:hideMark/>
          </w:tcPr>
          <w:p w14:paraId="3123E406" w14:textId="77777777" w:rsidR="002A4DDF" w:rsidRPr="00937C8B" w:rsidRDefault="002A4DDF" w:rsidP="009110ED">
            <w:pPr>
              <w:rPr>
                <w:rFonts w:ascii="Arial" w:hAnsi="Arial" w:cs="Arial"/>
                <w:sz w:val="12"/>
                <w:szCs w:val="12"/>
              </w:rPr>
            </w:pPr>
            <w:r>
              <w:rPr>
                <w:rFonts w:ascii="Arial" w:hAnsi="Arial"/>
                <w:sz w:val="12"/>
                <w:szCs w:val="12"/>
              </w:rPr>
              <w:t>Robledillo de Mohernando</w:t>
            </w:r>
          </w:p>
        </w:tc>
        <w:tc>
          <w:tcPr>
            <w:tcW w:w="2268" w:type="dxa"/>
            <w:tcBorders>
              <w:right w:val="single" w:sz="4" w:space="0" w:color="auto"/>
            </w:tcBorders>
            <w:shd w:val="clear" w:color="auto" w:fill="D9D9D9"/>
            <w:hideMark/>
          </w:tcPr>
          <w:p w14:paraId="48EF973E" w14:textId="77777777" w:rsidR="002A4DDF" w:rsidRPr="00937C8B" w:rsidRDefault="002A4DDF" w:rsidP="009110ED">
            <w:pPr>
              <w:rPr>
                <w:rFonts w:ascii="Arial" w:hAnsi="Arial" w:cs="Arial"/>
                <w:sz w:val="12"/>
                <w:szCs w:val="12"/>
              </w:rPr>
            </w:pPr>
          </w:p>
        </w:tc>
      </w:tr>
      <w:tr w:rsidR="002A4DDF" w:rsidRPr="00937C8B" w14:paraId="0291D361" w14:textId="77777777" w:rsidTr="00935676">
        <w:trPr>
          <w:cantSplit/>
        </w:trPr>
        <w:tc>
          <w:tcPr>
            <w:tcW w:w="1696" w:type="dxa"/>
            <w:tcBorders>
              <w:left w:val="single" w:sz="4" w:space="0" w:color="auto"/>
            </w:tcBorders>
            <w:shd w:val="clear" w:color="auto" w:fill="auto"/>
          </w:tcPr>
          <w:p w14:paraId="08C63F1A" w14:textId="77777777" w:rsidR="002A4DDF" w:rsidRPr="00937C8B" w:rsidRDefault="002A4DDF" w:rsidP="009110ED">
            <w:pPr>
              <w:rPr>
                <w:rFonts w:ascii="Arial" w:hAnsi="Arial" w:cs="Arial"/>
                <w:sz w:val="12"/>
                <w:szCs w:val="12"/>
              </w:rPr>
            </w:pPr>
          </w:p>
        </w:tc>
        <w:tc>
          <w:tcPr>
            <w:tcW w:w="1843" w:type="dxa"/>
            <w:shd w:val="clear" w:color="auto" w:fill="auto"/>
          </w:tcPr>
          <w:p w14:paraId="386F806B" w14:textId="77777777" w:rsidR="002A4DDF" w:rsidRPr="00937C8B" w:rsidRDefault="002A4DDF" w:rsidP="009110ED">
            <w:pPr>
              <w:rPr>
                <w:rFonts w:ascii="Arial" w:hAnsi="Arial" w:cs="Arial"/>
                <w:sz w:val="12"/>
                <w:szCs w:val="12"/>
              </w:rPr>
            </w:pPr>
          </w:p>
        </w:tc>
        <w:tc>
          <w:tcPr>
            <w:tcW w:w="2268" w:type="dxa"/>
            <w:shd w:val="clear" w:color="auto" w:fill="F2F2F2"/>
            <w:hideMark/>
          </w:tcPr>
          <w:p w14:paraId="289E56A6" w14:textId="77777777" w:rsidR="002A4DDF" w:rsidRPr="00937C8B" w:rsidRDefault="002A4DDF" w:rsidP="009110ED">
            <w:pPr>
              <w:rPr>
                <w:rFonts w:ascii="Arial" w:hAnsi="Arial" w:cs="Arial"/>
                <w:sz w:val="12"/>
                <w:szCs w:val="12"/>
              </w:rPr>
            </w:pPr>
            <w:r>
              <w:rPr>
                <w:rFonts w:ascii="Arial" w:hAnsi="Arial"/>
                <w:sz w:val="12"/>
                <w:szCs w:val="12"/>
              </w:rPr>
              <w:t>Robledo de Corpes</w:t>
            </w:r>
          </w:p>
        </w:tc>
        <w:tc>
          <w:tcPr>
            <w:tcW w:w="2268" w:type="dxa"/>
            <w:tcBorders>
              <w:right w:val="single" w:sz="4" w:space="0" w:color="auto"/>
            </w:tcBorders>
            <w:shd w:val="clear" w:color="auto" w:fill="D9D9D9"/>
            <w:hideMark/>
          </w:tcPr>
          <w:p w14:paraId="5D6EE69C" w14:textId="77777777" w:rsidR="002A4DDF" w:rsidRPr="00937C8B" w:rsidRDefault="002A4DDF" w:rsidP="009110ED">
            <w:pPr>
              <w:rPr>
                <w:rFonts w:ascii="Arial" w:hAnsi="Arial" w:cs="Arial"/>
                <w:sz w:val="12"/>
                <w:szCs w:val="12"/>
              </w:rPr>
            </w:pPr>
          </w:p>
        </w:tc>
      </w:tr>
      <w:tr w:rsidR="002A4DDF" w:rsidRPr="00937C8B" w14:paraId="19F9AC27" w14:textId="77777777" w:rsidTr="00935676">
        <w:trPr>
          <w:cantSplit/>
        </w:trPr>
        <w:tc>
          <w:tcPr>
            <w:tcW w:w="1696" w:type="dxa"/>
            <w:tcBorders>
              <w:left w:val="single" w:sz="4" w:space="0" w:color="auto"/>
            </w:tcBorders>
            <w:shd w:val="clear" w:color="auto" w:fill="auto"/>
          </w:tcPr>
          <w:p w14:paraId="2F66E883" w14:textId="77777777" w:rsidR="002A4DDF" w:rsidRPr="00937C8B" w:rsidRDefault="002A4DDF" w:rsidP="009110ED">
            <w:pPr>
              <w:rPr>
                <w:rFonts w:ascii="Arial" w:hAnsi="Arial" w:cs="Arial"/>
                <w:sz w:val="12"/>
                <w:szCs w:val="12"/>
              </w:rPr>
            </w:pPr>
          </w:p>
        </w:tc>
        <w:tc>
          <w:tcPr>
            <w:tcW w:w="1843" w:type="dxa"/>
            <w:shd w:val="clear" w:color="auto" w:fill="auto"/>
          </w:tcPr>
          <w:p w14:paraId="19F2ACE1" w14:textId="77777777" w:rsidR="002A4DDF" w:rsidRPr="00937C8B" w:rsidRDefault="002A4DDF" w:rsidP="009110ED">
            <w:pPr>
              <w:rPr>
                <w:rFonts w:ascii="Arial" w:hAnsi="Arial" w:cs="Arial"/>
                <w:sz w:val="12"/>
                <w:szCs w:val="12"/>
              </w:rPr>
            </w:pPr>
          </w:p>
        </w:tc>
        <w:tc>
          <w:tcPr>
            <w:tcW w:w="2268" w:type="dxa"/>
            <w:shd w:val="clear" w:color="auto" w:fill="F2F2F2"/>
            <w:hideMark/>
          </w:tcPr>
          <w:p w14:paraId="0DDF0291" w14:textId="77777777" w:rsidR="002A4DDF" w:rsidRPr="00937C8B" w:rsidRDefault="002A4DDF" w:rsidP="009110ED">
            <w:pPr>
              <w:rPr>
                <w:rFonts w:ascii="Arial" w:hAnsi="Arial" w:cs="Arial"/>
                <w:sz w:val="12"/>
                <w:szCs w:val="12"/>
              </w:rPr>
            </w:pPr>
            <w:r>
              <w:rPr>
                <w:rFonts w:ascii="Arial" w:hAnsi="Arial"/>
                <w:sz w:val="12"/>
                <w:szCs w:val="12"/>
              </w:rPr>
              <w:t>San Andrés del Congosto</w:t>
            </w:r>
          </w:p>
        </w:tc>
        <w:tc>
          <w:tcPr>
            <w:tcW w:w="2268" w:type="dxa"/>
            <w:tcBorders>
              <w:right w:val="single" w:sz="4" w:space="0" w:color="auto"/>
            </w:tcBorders>
            <w:shd w:val="clear" w:color="auto" w:fill="D9D9D9"/>
            <w:hideMark/>
          </w:tcPr>
          <w:p w14:paraId="3F722B73" w14:textId="77777777" w:rsidR="002A4DDF" w:rsidRPr="00937C8B" w:rsidRDefault="002A4DDF" w:rsidP="009110ED">
            <w:pPr>
              <w:rPr>
                <w:rFonts w:ascii="Arial" w:hAnsi="Arial" w:cs="Arial"/>
                <w:sz w:val="12"/>
                <w:szCs w:val="12"/>
              </w:rPr>
            </w:pPr>
          </w:p>
        </w:tc>
      </w:tr>
      <w:tr w:rsidR="002A4DDF" w:rsidRPr="00937C8B" w14:paraId="366CAADA" w14:textId="77777777" w:rsidTr="00935676">
        <w:trPr>
          <w:cantSplit/>
        </w:trPr>
        <w:tc>
          <w:tcPr>
            <w:tcW w:w="1696" w:type="dxa"/>
            <w:tcBorders>
              <w:left w:val="single" w:sz="4" w:space="0" w:color="auto"/>
            </w:tcBorders>
            <w:shd w:val="clear" w:color="auto" w:fill="auto"/>
          </w:tcPr>
          <w:p w14:paraId="1A4E11B0" w14:textId="77777777" w:rsidR="002A4DDF" w:rsidRPr="00937C8B" w:rsidRDefault="002A4DDF" w:rsidP="009110ED">
            <w:pPr>
              <w:rPr>
                <w:rFonts w:ascii="Arial" w:hAnsi="Arial" w:cs="Arial"/>
                <w:sz w:val="12"/>
                <w:szCs w:val="12"/>
              </w:rPr>
            </w:pPr>
          </w:p>
        </w:tc>
        <w:tc>
          <w:tcPr>
            <w:tcW w:w="1843" w:type="dxa"/>
            <w:shd w:val="clear" w:color="auto" w:fill="auto"/>
          </w:tcPr>
          <w:p w14:paraId="40094549" w14:textId="77777777" w:rsidR="002A4DDF" w:rsidRPr="00937C8B" w:rsidRDefault="002A4DDF" w:rsidP="009110ED">
            <w:pPr>
              <w:rPr>
                <w:rFonts w:ascii="Arial" w:hAnsi="Arial" w:cs="Arial"/>
                <w:sz w:val="12"/>
                <w:szCs w:val="12"/>
              </w:rPr>
            </w:pPr>
          </w:p>
        </w:tc>
        <w:tc>
          <w:tcPr>
            <w:tcW w:w="2268" w:type="dxa"/>
            <w:shd w:val="clear" w:color="auto" w:fill="F2F2F2"/>
            <w:hideMark/>
          </w:tcPr>
          <w:p w14:paraId="3EB3CBC6" w14:textId="77777777" w:rsidR="002A4DDF" w:rsidRPr="00937C8B" w:rsidRDefault="002A4DDF" w:rsidP="009110ED">
            <w:pPr>
              <w:rPr>
                <w:rFonts w:ascii="Arial" w:hAnsi="Arial" w:cs="Arial"/>
                <w:sz w:val="12"/>
                <w:szCs w:val="12"/>
              </w:rPr>
            </w:pPr>
            <w:r>
              <w:rPr>
                <w:rFonts w:ascii="Arial" w:hAnsi="Arial"/>
                <w:sz w:val="12"/>
                <w:szCs w:val="12"/>
              </w:rPr>
              <w:t>Saúca</w:t>
            </w:r>
          </w:p>
        </w:tc>
        <w:tc>
          <w:tcPr>
            <w:tcW w:w="2268" w:type="dxa"/>
            <w:tcBorders>
              <w:right w:val="single" w:sz="4" w:space="0" w:color="auto"/>
            </w:tcBorders>
            <w:shd w:val="clear" w:color="auto" w:fill="D9D9D9"/>
            <w:hideMark/>
          </w:tcPr>
          <w:p w14:paraId="129D44FF" w14:textId="77777777" w:rsidR="002A4DDF" w:rsidRPr="00937C8B" w:rsidRDefault="002A4DDF" w:rsidP="009110ED">
            <w:pPr>
              <w:rPr>
                <w:rFonts w:ascii="Arial" w:hAnsi="Arial" w:cs="Arial"/>
                <w:sz w:val="12"/>
                <w:szCs w:val="12"/>
              </w:rPr>
            </w:pPr>
          </w:p>
        </w:tc>
      </w:tr>
      <w:tr w:rsidR="002A4DDF" w:rsidRPr="00937C8B" w14:paraId="70182C44" w14:textId="77777777" w:rsidTr="00935676">
        <w:trPr>
          <w:cantSplit/>
        </w:trPr>
        <w:tc>
          <w:tcPr>
            <w:tcW w:w="1696" w:type="dxa"/>
            <w:tcBorders>
              <w:left w:val="single" w:sz="4" w:space="0" w:color="auto"/>
            </w:tcBorders>
            <w:shd w:val="clear" w:color="auto" w:fill="auto"/>
          </w:tcPr>
          <w:p w14:paraId="01E33A3A" w14:textId="77777777" w:rsidR="002A4DDF" w:rsidRPr="00937C8B" w:rsidRDefault="002A4DDF" w:rsidP="009110ED">
            <w:pPr>
              <w:rPr>
                <w:rFonts w:ascii="Arial" w:hAnsi="Arial" w:cs="Arial"/>
                <w:sz w:val="12"/>
                <w:szCs w:val="12"/>
              </w:rPr>
            </w:pPr>
          </w:p>
        </w:tc>
        <w:tc>
          <w:tcPr>
            <w:tcW w:w="1843" w:type="dxa"/>
            <w:shd w:val="clear" w:color="auto" w:fill="auto"/>
          </w:tcPr>
          <w:p w14:paraId="053D6C0F" w14:textId="77777777" w:rsidR="002A4DDF" w:rsidRPr="00937C8B" w:rsidRDefault="002A4DDF" w:rsidP="009110ED">
            <w:pPr>
              <w:rPr>
                <w:rFonts w:ascii="Arial" w:hAnsi="Arial" w:cs="Arial"/>
                <w:sz w:val="12"/>
                <w:szCs w:val="12"/>
              </w:rPr>
            </w:pPr>
          </w:p>
        </w:tc>
        <w:tc>
          <w:tcPr>
            <w:tcW w:w="2268" w:type="dxa"/>
            <w:shd w:val="clear" w:color="auto" w:fill="F2F2F2"/>
            <w:hideMark/>
          </w:tcPr>
          <w:p w14:paraId="20673CA4" w14:textId="77777777" w:rsidR="002A4DDF" w:rsidRPr="00937C8B" w:rsidRDefault="002A4DDF" w:rsidP="009110ED">
            <w:pPr>
              <w:rPr>
                <w:rFonts w:ascii="Arial" w:hAnsi="Arial" w:cs="Arial"/>
                <w:sz w:val="12"/>
                <w:szCs w:val="12"/>
              </w:rPr>
            </w:pPr>
            <w:r>
              <w:rPr>
                <w:rFonts w:ascii="Arial" w:hAnsi="Arial"/>
                <w:sz w:val="12"/>
                <w:szCs w:val="12"/>
              </w:rPr>
              <w:t>Semillas</w:t>
            </w:r>
          </w:p>
        </w:tc>
        <w:tc>
          <w:tcPr>
            <w:tcW w:w="2268" w:type="dxa"/>
            <w:tcBorders>
              <w:right w:val="single" w:sz="4" w:space="0" w:color="auto"/>
            </w:tcBorders>
            <w:shd w:val="clear" w:color="auto" w:fill="D9D9D9"/>
            <w:hideMark/>
          </w:tcPr>
          <w:p w14:paraId="338E2B19" w14:textId="77777777" w:rsidR="002A4DDF" w:rsidRPr="00937C8B" w:rsidRDefault="002A4DDF" w:rsidP="009110ED">
            <w:pPr>
              <w:rPr>
                <w:rFonts w:ascii="Arial" w:hAnsi="Arial" w:cs="Arial"/>
                <w:sz w:val="12"/>
                <w:szCs w:val="12"/>
              </w:rPr>
            </w:pPr>
          </w:p>
        </w:tc>
      </w:tr>
      <w:tr w:rsidR="002A4DDF" w:rsidRPr="00937C8B" w14:paraId="2615DED8" w14:textId="77777777" w:rsidTr="00935676">
        <w:trPr>
          <w:cantSplit/>
        </w:trPr>
        <w:tc>
          <w:tcPr>
            <w:tcW w:w="1696" w:type="dxa"/>
            <w:tcBorders>
              <w:left w:val="single" w:sz="4" w:space="0" w:color="auto"/>
            </w:tcBorders>
            <w:shd w:val="clear" w:color="auto" w:fill="auto"/>
          </w:tcPr>
          <w:p w14:paraId="6A672E84" w14:textId="77777777" w:rsidR="002A4DDF" w:rsidRPr="00937C8B" w:rsidRDefault="002A4DDF" w:rsidP="009110ED">
            <w:pPr>
              <w:rPr>
                <w:rFonts w:ascii="Arial" w:hAnsi="Arial" w:cs="Arial"/>
                <w:sz w:val="12"/>
                <w:szCs w:val="12"/>
              </w:rPr>
            </w:pPr>
          </w:p>
        </w:tc>
        <w:tc>
          <w:tcPr>
            <w:tcW w:w="1843" w:type="dxa"/>
            <w:shd w:val="clear" w:color="auto" w:fill="auto"/>
          </w:tcPr>
          <w:p w14:paraId="13705F4A" w14:textId="77777777" w:rsidR="002A4DDF" w:rsidRPr="00937C8B" w:rsidRDefault="002A4DDF" w:rsidP="009110ED">
            <w:pPr>
              <w:rPr>
                <w:rFonts w:ascii="Arial" w:hAnsi="Arial" w:cs="Arial"/>
                <w:sz w:val="12"/>
                <w:szCs w:val="12"/>
              </w:rPr>
            </w:pPr>
          </w:p>
        </w:tc>
        <w:tc>
          <w:tcPr>
            <w:tcW w:w="2268" w:type="dxa"/>
            <w:shd w:val="clear" w:color="auto" w:fill="F2F2F2"/>
            <w:hideMark/>
          </w:tcPr>
          <w:p w14:paraId="59044B7C" w14:textId="77777777" w:rsidR="002A4DDF" w:rsidRPr="00937C8B" w:rsidRDefault="002A4DDF" w:rsidP="009110ED">
            <w:pPr>
              <w:rPr>
                <w:rFonts w:ascii="Arial" w:hAnsi="Arial" w:cs="Arial"/>
                <w:sz w:val="12"/>
                <w:szCs w:val="12"/>
              </w:rPr>
            </w:pPr>
            <w:r>
              <w:rPr>
                <w:rFonts w:ascii="Arial" w:hAnsi="Arial"/>
                <w:sz w:val="12"/>
                <w:szCs w:val="12"/>
              </w:rPr>
              <w:t>Setiles</w:t>
            </w:r>
          </w:p>
        </w:tc>
        <w:tc>
          <w:tcPr>
            <w:tcW w:w="2268" w:type="dxa"/>
            <w:tcBorders>
              <w:right w:val="single" w:sz="4" w:space="0" w:color="auto"/>
            </w:tcBorders>
            <w:shd w:val="clear" w:color="auto" w:fill="D9D9D9"/>
            <w:hideMark/>
          </w:tcPr>
          <w:p w14:paraId="14D0B754" w14:textId="77777777" w:rsidR="002A4DDF" w:rsidRPr="00937C8B" w:rsidRDefault="002A4DDF" w:rsidP="009110ED">
            <w:pPr>
              <w:rPr>
                <w:rFonts w:ascii="Arial" w:hAnsi="Arial" w:cs="Arial"/>
                <w:sz w:val="12"/>
                <w:szCs w:val="12"/>
              </w:rPr>
            </w:pPr>
          </w:p>
        </w:tc>
      </w:tr>
      <w:tr w:rsidR="002A4DDF" w:rsidRPr="00937C8B" w14:paraId="10A206E1" w14:textId="77777777" w:rsidTr="00935676">
        <w:trPr>
          <w:cantSplit/>
        </w:trPr>
        <w:tc>
          <w:tcPr>
            <w:tcW w:w="1696" w:type="dxa"/>
            <w:tcBorders>
              <w:left w:val="single" w:sz="4" w:space="0" w:color="auto"/>
            </w:tcBorders>
            <w:shd w:val="clear" w:color="auto" w:fill="auto"/>
          </w:tcPr>
          <w:p w14:paraId="3012C954" w14:textId="77777777" w:rsidR="002A4DDF" w:rsidRPr="00937C8B" w:rsidRDefault="002A4DDF" w:rsidP="009110ED">
            <w:pPr>
              <w:rPr>
                <w:rFonts w:ascii="Arial" w:hAnsi="Arial" w:cs="Arial"/>
                <w:sz w:val="12"/>
                <w:szCs w:val="12"/>
              </w:rPr>
            </w:pPr>
          </w:p>
        </w:tc>
        <w:tc>
          <w:tcPr>
            <w:tcW w:w="1843" w:type="dxa"/>
            <w:shd w:val="clear" w:color="auto" w:fill="auto"/>
          </w:tcPr>
          <w:p w14:paraId="5BC27295" w14:textId="77777777" w:rsidR="002A4DDF" w:rsidRPr="00937C8B" w:rsidRDefault="002A4DDF" w:rsidP="009110ED">
            <w:pPr>
              <w:rPr>
                <w:rFonts w:ascii="Arial" w:hAnsi="Arial" w:cs="Arial"/>
                <w:sz w:val="12"/>
                <w:szCs w:val="12"/>
              </w:rPr>
            </w:pPr>
          </w:p>
        </w:tc>
        <w:tc>
          <w:tcPr>
            <w:tcW w:w="2268" w:type="dxa"/>
            <w:shd w:val="clear" w:color="auto" w:fill="F2F2F2"/>
            <w:hideMark/>
          </w:tcPr>
          <w:p w14:paraId="4DB29A84" w14:textId="77777777" w:rsidR="002A4DDF" w:rsidRPr="00937C8B" w:rsidRDefault="002A4DDF" w:rsidP="009110ED">
            <w:pPr>
              <w:rPr>
                <w:rFonts w:ascii="Arial" w:hAnsi="Arial" w:cs="Arial"/>
                <w:sz w:val="12"/>
                <w:szCs w:val="12"/>
              </w:rPr>
            </w:pPr>
            <w:r>
              <w:rPr>
                <w:rFonts w:ascii="Arial" w:hAnsi="Arial"/>
                <w:sz w:val="12"/>
                <w:szCs w:val="12"/>
              </w:rPr>
              <w:t>Sigüenza</w:t>
            </w:r>
          </w:p>
        </w:tc>
        <w:tc>
          <w:tcPr>
            <w:tcW w:w="2268" w:type="dxa"/>
            <w:tcBorders>
              <w:right w:val="single" w:sz="4" w:space="0" w:color="auto"/>
            </w:tcBorders>
            <w:shd w:val="clear" w:color="auto" w:fill="D9D9D9"/>
            <w:hideMark/>
          </w:tcPr>
          <w:p w14:paraId="57DE925E" w14:textId="77777777" w:rsidR="002A4DDF" w:rsidRPr="00937C8B" w:rsidRDefault="002A4DDF" w:rsidP="009110ED">
            <w:pPr>
              <w:rPr>
                <w:rFonts w:ascii="Arial" w:hAnsi="Arial" w:cs="Arial"/>
                <w:sz w:val="12"/>
                <w:szCs w:val="12"/>
              </w:rPr>
            </w:pPr>
          </w:p>
        </w:tc>
      </w:tr>
      <w:tr w:rsidR="002A4DDF" w:rsidRPr="00937C8B" w14:paraId="02912424" w14:textId="77777777" w:rsidTr="00935676">
        <w:trPr>
          <w:cantSplit/>
        </w:trPr>
        <w:tc>
          <w:tcPr>
            <w:tcW w:w="1696" w:type="dxa"/>
            <w:tcBorders>
              <w:left w:val="single" w:sz="4" w:space="0" w:color="auto"/>
            </w:tcBorders>
            <w:shd w:val="clear" w:color="auto" w:fill="auto"/>
          </w:tcPr>
          <w:p w14:paraId="32EE9A57" w14:textId="77777777" w:rsidR="002A4DDF" w:rsidRPr="00937C8B" w:rsidRDefault="002A4DDF" w:rsidP="009110ED">
            <w:pPr>
              <w:rPr>
                <w:rFonts w:ascii="Arial" w:hAnsi="Arial" w:cs="Arial"/>
                <w:sz w:val="12"/>
                <w:szCs w:val="12"/>
              </w:rPr>
            </w:pPr>
          </w:p>
        </w:tc>
        <w:tc>
          <w:tcPr>
            <w:tcW w:w="1843" w:type="dxa"/>
            <w:shd w:val="clear" w:color="auto" w:fill="auto"/>
          </w:tcPr>
          <w:p w14:paraId="06A3C2B7" w14:textId="77777777" w:rsidR="002A4DDF" w:rsidRPr="00937C8B" w:rsidRDefault="002A4DDF" w:rsidP="009110ED">
            <w:pPr>
              <w:rPr>
                <w:rFonts w:ascii="Arial" w:hAnsi="Arial" w:cs="Arial"/>
                <w:sz w:val="12"/>
                <w:szCs w:val="12"/>
              </w:rPr>
            </w:pPr>
          </w:p>
        </w:tc>
        <w:tc>
          <w:tcPr>
            <w:tcW w:w="2268" w:type="dxa"/>
            <w:shd w:val="clear" w:color="auto" w:fill="F2F2F2"/>
            <w:hideMark/>
          </w:tcPr>
          <w:p w14:paraId="5371A86B" w14:textId="77777777" w:rsidR="002A4DDF" w:rsidRPr="00937C8B" w:rsidRDefault="002A4DDF" w:rsidP="009110ED">
            <w:pPr>
              <w:rPr>
                <w:rFonts w:ascii="Arial" w:hAnsi="Arial" w:cs="Arial"/>
                <w:sz w:val="12"/>
                <w:szCs w:val="12"/>
              </w:rPr>
            </w:pPr>
            <w:r>
              <w:rPr>
                <w:rFonts w:ascii="Arial" w:hAnsi="Arial"/>
                <w:sz w:val="12"/>
                <w:szCs w:val="12"/>
              </w:rPr>
              <w:t>Somolinos</w:t>
            </w:r>
          </w:p>
        </w:tc>
        <w:tc>
          <w:tcPr>
            <w:tcW w:w="2268" w:type="dxa"/>
            <w:tcBorders>
              <w:right w:val="single" w:sz="4" w:space="0" w:color="auto"/>
            </w:tcBorders>
            <w:shd w:val="clear" w:color="auto" w:fill="D9D9D9"/>
            <w:hideMark/>
          </w:tcPr>
          <w:p w14:paraId="4A56E4B7" w14:textId="77777777" w:rsidR="002A4DDF" w:rsidRPr="00937C8B" w:rsidRDefault="002A4DDF" w:rsidP="009110ED">
            <w:pPr>
              <w:rPr>
                <w:rFonts w:ascii="Arial" w:hAnsi="Arial" w:cs="Arial"/>
                <w:sz w:val="12"/>
                <w:szCs w:val="12"/>
              </w:rPr>
            </w:pPr>
          </w:p>
        </w:tc>
      </w:tr>
      <w:tr w:rsidR="002A4DDF" w:rsidRPr="00937C8B" w14:paraId="4D86C42C" w14:textId="77777777" w:rsidTr="00935676">
        <w:trPr>
          <w:cantSplit/>
        </w:trPr>
        <w:tc>
          <w:tcPr>
            <w:tcW w:w="1696" w:type="dxa"/>
            <w:tcBorders>
              <w:left w:val="single" w:sz="4" w:space="0" w:color="auto"/>
            </w:tcBorders>
            <w:shd w:val="clear" w:color="auto" w:fill="auto"/>
          </w:tcPr>
          <w:p w14:paraId="15241C86" w14:textId="77777777" w:rsidR="002A4DDF" w:rsidRPr="00937C8B" w:rsidRDefault="002A4DDF" w:rsidP="009110ED">
            <w:pPr>
              <w:rPr>
                <w:rFonts w:ascii="Arial" w:hAnsi="Arial" w:cs="Arial"/>
                <w:sz w:val="12"/>
                <w:szCs w:val="12"/>
              </w:rPr>
            </w:pPr>
          </w:p>
        </w:tc>
        <w:tc>
          <w:tcPr>
            <w:tcW w:w="1843" w:type="dxa"/>
            <w:shd w:val="clear" w:color="auto" w:fill="auto"/>
          </w:tcPr>
          <w:p w14:paraId="2566F0F0" w14:textId="77777777" w:rsidR="002A4DDF" w:rsidRPr="00937C8B" w:rsidRDefault="002A4DDF" w:rsidP="009110ED">
            <w:pPr>
              <w:rPr>
                <w:rFonts w:ascii="Arial" w:hAnsi="Arial" w:cs="Arial"/>
                <w:sz w:val="12"/>
                <w:szCs w:val="12"/>
              </w:rPr>
            </w:pPr>
          </w:p>
        </w:tc>
        <w:tc>
          <w:tcPr>
            <w:tcW w:w="2268" w:type="dxa"/>
            <w:shd w:val="clear" w:color="auto" w:fill="F2F2F2"/>
            <w:hideMark/>
          </w:tcPr>
          <w:p w14:paraId="7935F0C4" w14:textId="77777777" w:rsidR="002A4DDF" w:rsidRPr="00937C8B" w:rsidRDefault="002A4DDF" w:rsidP="009110ED">
            <w:pPr>
              <w:rPr>
                <w:rFonts w:ascii="Arial" w:hAnsi="Arial" w:cs="Arial"/>
                <w:sz w:val="12"/>
                <w:szCs w:val="12"/>
              </w:rPr>
            </w:pPr>
            <w:r>
              <w:rPr>
                <w:rFonts w:ascii="Arial" w:hAnsi="Arial"/>
                <w:sz w:val="12"/>
                <w:szCs w:val="12"/>
              </w:rPr>
              <w:t>Tartanedo</w:t>
            </w:r>
          </w:p>
        </w:tc>
        <w:tc>
          <w:tcPr>
            <w:tcW w:w="2268" w:type="dxa"/>
            <w:tcBorders>
              <w:right w:val="single" w:sz="4" w:space="0" w:color="auto"/>
            </w:tcBorders>
            <w:shd w:val="clear" w:color="auto" w:fill="D9D9D9"/>
            <w:hideMark/>
          </w:tcPr>
          <w:p w14:paraId="25627748" w14:textId="77777777" w:rsidR="002A4DDF" w:rsidRPr="00937C8B" w:rsidRDefault="002A4DDF" w:rsidP="009110ED">
            <w:pPr>
              <w:rPr>
                <w:rFonts w:ascii="Arial" w:hAnsi="Arial" w:cs="Arial"/>
                <w:sz w:val="12"/>
                <w:szCs w:val="12"/>
              </w:rPr>
            </w:pPr>
          </w:p>
        </w:tc>
      </w:tr>
      <w:tr w:rsidR="002A4DDF" w:rsidRPr="00937C8B" w14:paraId="4051DA51" w14:textId="77777777" w:rsidTr="00935676">
        <w:trPr>
          <w:cantSplit/>
        </w:trPr>
        <w:tc>
          <w:tcPr>
            <w:tcW w:w="1696" w:type="dxa"/>
            <w:tcBorders>
              <w:left w:val="single" w:sz="4" w:space="0" w:color="auto"/>
            </w:tcBorders>
            <w:shd w:val="clear" w:color="auto" w:fill="auto"/>
          </w:tcPr>
          <w:p w14:paraId="46209C9B" w14:textId="77777777" w:rsidR="002A4DDF" w:rsidRPr="00937C8B" w:rsidRDefault="002A4DDF" w:rsidP="009110ED">
            <w:pPr>
              <w:rPr>
                <w:rFonts w:ascii="Arial" w:hAnsi="Arial" w:cs="Arial"/>
                <w:sz w:val="12"/>
                <w:szCs w:val="12"/>
              </w:rPr>
            </w:pPr>
          </w:p>
        </w:tc>
        <w:tc>
          <w:tcPr>
            <w:tcW w:w="1843" w:type="dxa"/>
            <w:shd w:val="clear" w:color="auto" w:fill="auto"/>
          </w:tcPr>
          <w:p w14:paraId="6C24D13B" w14:textId="77777777" w:rsidR="002A4DDF" w:rsidRPr="00937C8B" w:rsidRDefault="002A4DDF" w:rsidP="009110ED">
            <w:pPr>
              <w:rPr>
                <w:rFonts w:ascii="Arial" w:hAnsi="Arial" w:cs="Arial"/>
                <w:sz w:val="12"/>
                <w:szCs w:val="12"/>
              </w:rPr>
            </w:pPr>
          </w:p>
        </w:tc>
        <w:tc>
          <w:tcPr>
            <w:tcW w:w="2268" w:type="dxa"/>
            <w:shd w:val="clear" w:color="auto" w:fill="F2F2F2"/>
            <w:hideMark/>
          </w:tcPr>
          <w:p w14:paraId="5B7BA5FD" w14:textId="77777777" w:rsidR="002A4DDF" w:rsidRPr="00937C8B" w:rsidRDefault="002A4DDF" w:rsidP="009110ED">
            <w:pPr>
              <w:rPr>
                <w:rFonts w:ascii="Arial" w:hAnsi="Arial" w:cs="Arial"/>
                <w:sz w:val="12"/>
                <w:szCs w:val="12"/>
              </w:rPr>
            </w:pPr>
            <w:r>
              <w:rPr>
                <w:rFonts w:ascii="Arial" w:hAnsi="Arial"/>
                <w:sz w:val="12"/>
                <w:szCs w:val="12"/>
              </w:rPr>
              <w:t>Tordelrábano</w:t>
            </w:r>
          </w:p>
        </w:tc>
        <w:tc>
          <w:tcPr>
            <w:tcW w:w="2268" w:type="dxa"/>
            <w:tcBorders>
              <w:right w:val="single" w:sz="4" w:space="0" w:color="auto"/>
            </w:tcBorders>
            <w:shd w:val="clear" w:color="auto" w:fill="D9D9D9"/>
            <w:hideMark/>
          </w:tcPr>
          <w:p w14:paraId="319BC7EF" w14:textId="77777777" w:rsidR="002A4DDF" w:rsidRPr="00937C8B" w:rsidRDefault="002A4DDF" w:rsidP="009110ED">
            <w:pPr>
              <w:rPr>
                <w:rFonts w:ascii="Arial" w:hAnsi="Arial" w:cs="Arial"/>
                <w:sz w:val="12"/>
                <w:szCs w:val="12"/>
              </w:rPr>
            </w:pPr>
          </w:p>
        </w:tc>
      </w:tr>
      <w:tr w:rsidR="002A4DDF" w:rsidRPr="00937C8B" w14:paraId="0363D68A" w14:textId="77777777" w:rsidTr="00935676">
        <w:trPr>
          <w:cantSplit/>
        </w:trPr>
        <w:tc>
          <w:tcPr>
            <w:tcW w:w="1696" w:type="dxa"/>
            <w:tcBorders>
              <w:left w:val="single" w:sz="4" w:space="0" w:color="auto"/>
            </w:tcBorders>
            <w:shd w:val="clear" w:color="auto" w:fill="auto"/>
          </w:tcPr>
          <w:p w14:paraId="1F311BA3" w14:textId="77777777" w:rsidR="002A4DDF" w:rsidRPr="00937C8B" w:rsidRDefault="002A4DDF" w:rsidP="009110ED">
            <w:pPr>
              <w:rPr>
                <w:rFonts w:ascii="Arial" w:hAnsi="Arial" w:cs="Arial"/>
                <w:sz w:val="12"/>
                <w:szCs w:val="12"/>
              </w:rPr>
            </w:pPr>
          </w:p>
        </w:tc>
        <w:tc>
          <w:tcPr>
            <w:tcW w:w="1843" w:type="dxa"/>
            <w:shd w:val="clear" w:color="auto" w:fill="auto"/>
          </w:tcPr>
          <w:p w14:paraId="39FDF742" w14:textId="77777777" w:rsidR="002A4DDF" w:rsidRPr="00937C8B" w:rsidRDefault="002A4DDF" w:rsidP="009110ED">
            <w:pPr>
              <w:rPr>
                <w:rFonts w:ascii="Arial" w:hAnsi="Arial" w:cs="Arial"/>
                <w:sz w:val="12"/>
                <w:szCs w:val="12"/>
              </w:rPr>
            </w:pPr>
          </w:p>
        </w:tc>
        <w:tc>
          <w:tcPr>
            <w:tcW w:w="2268" w:type="dxa"/>
            <w:shd w:val="clear" w:color="auto" w:fill="F2F2F2"/>
            <w:hideMark/>
          </w:tcPr>
          <w:p w14:paraId="5F037DE9" w14:textId="77777777" w:rsidR="002A4DDF" w:rsidRPr="00937C8B" w:rsidRDefault="002A4DDF" w:rsidP="009110ED">
            <w:pPr>
              <w:rPr>
                <w:rFonts w:ascii="Arial" w:hAnsi="Arial" w:cs="Arial"/>
                <w:sz w:val="12"/>
                <w:szCs w:val="12"/>
              </w:rPr>
            </w:pPr>
            <w:r>
              <w:rPr>
                <w:rFonts w:ascii="Arial" w:hAnsi="Arial"/>
                <w:sz w:val="12"/>
                <w:szCs w:val="12"/>
              </w:rPr>
              <w:t>Tordesilos</w:t>
            </w:r>
          </w:p>
        </w:tc>
        <w:tc>
          <w:tcPr>
            <w:tcW w:w="2268" w:type="dxa"/>
            <w:tcBorders>
              <w:right w:val="single" w:sz="4" w:space="0" w:color="auto"/>
            </w:tcBorders>
            <w:shd w:val="clear" w:color="auto" w:fill="D9D9D9"/>
            <w:hideMark/>
          </w:tcPr>
          <w:p w14:paraId="240232CE" w14:textId="77777777" w:rsidR="002A4DDF" w:rsidRPr="00937C8B" w:rsidRDefault="002A4DDF" w:rsidP="009110ED">
            <w:pPr>
              <w:rPr>
                <w:rFonts w:ascii="Arial" w:hAnsi="Arial" w:cs="Arial"/>
                <w:sz w:val="12"/>
                <w:szCs w:val="12"/>
              </w:rPr>
            </w:pPr>
          </w:p>
        </w:tc>
      </w:tr>
      <w:tr w:rsidR="002A4DDF" w:rsidRPr="00937C8B" w14:paraId="09314411" w14:textId="77777777" w:rsidTr="00935676">
        <w:trPr>
          <w:cantSplit/>
        </w:trPr>
        <w:tc>
          <w:tcPr>
            <w:tcW w:w="1696" w:type="dxa"/>
            <w:tcBorders>
              <w:left w:val="single" w:sz="4" w:space="0" w:color="auto"/>
            </w:tcBorders>
            <w:shd w:val="clear" w:color="auto" w:fill="auto"/>
          </w:tcPr>
          <w:p w14:paraId="282A2D79" w14:textId="77777777" w:rsidR="002A4DDF" w:rsidRPr="00937C8B" w:rsidRDefault="002A4DDF" w:rsidP="009110ED">
            <w:pPr>
              <w:rPr>
                <w:rFonts w:ascii="Arial" w:hAnsi="Arial" w:cs="Arial"/>
                <w:sz w:val="12"/>
                <w:szCs w:val="12"/>
              </w:rPr>
            </w:pPr>
          </w:p>
        </w:tc>
        <w:tc>
          <w:tcPr>
            <w:tcW w:w="1843" w:type="dxa"/>
            <w:shd w:val="clear" w:color="auto" w:fill="auto"/>
          </w:tcPr>
          <w:p w14:paraId="751F3D6A" w14:textId="77777777" w:rsidR="002A4DDF" w:rsidRPr="00937C8B" w:rsidRDefault="002A4DDF" w:rsidP="009110ED">
            <w:pPr>
              <w:rPr>
                <w:rFonts w:ascii="Arial" w:hAnsi="Arial" w:cs="Arial"/>
                <w:sz w:val="12"/>
                <w:szCs w:val="12"/>
              </w:rPr>
            </w:pPr>
          </w:p>
        </w:tc>
        <w:tc>
          <w:tcPr>
            <w:tcW w:w="2268" w:type="dxa"/>
            <w:shd w:val="clear" w:color="auto" w:fill="F2F2F2"/>
            <w:hideMark/>
          </w:tcPr>
          <w:p w14:paraId="4A841021" w14:textId="77777777" w:rsidR="002A4DDF" w:rsidRPr="00937C8B" w:rsidRDefault="002A4DDF" w:rsidP="009110ED">
            <w:pPr>
              <w:rPr>
                <w:rFonts w:ascii="Arial" w:hAnsi="Arial" w:cs="Arial"/>
                <w:sz w:val="12"/>
                <w:szCs w:val="12"/>
              </w:rPr>
            </w:pPr>
            <w:r>
              <w:rPr>
                <w:rFonts w:ascii="Arial" w:hAnsi="Arial"/>
                <w:sz w:val="12"/>
                <w:szCs w:val="12"/>
              </w:rPr>
              <w:t>Torre del Burgo</w:t>
            </w:r>
          </w:p>
        </w:tc>
        <w:tc>
          <w:tcPr>
            <w:tcW w:w="2268" w:type="dxa"/>
            <w:tcBorders>
              <w:right w:val="single" w:sz="4" w:space="0" w:color="auto"/>
            </w:tcBorders>
            <w:shd w:val="clear" w:color="auto" w:fill="D9D9D9"/>
            <w:hideMark/>
          </w:tcPr>
          <w:p w14:paraId="476BAF4F" w14:textId="77777777" w:rsidR="002A4DDF" w:rsidRPr="00937C8B" w:rsidRDefault="002A4DDF" w:rsidP="009110ED">
            <w:pPr>
              <w:rPr>
                <w:rFonts w:ascii="Arial" w:hAnsi="Arial" w:cs="Arial"/>
                <w:sz w:val="12"/>
                <w:szCs w:val="12"/>
              </w:rPr>
            </w:pPr>
          </w:p>
        </w:tc>
      </w:tr>
      <w:tr w:rsidR="002A4DDF" w:rsidRPr="00937C8B" w14:paraId="7A28A81B" w14:textId="77777777" w:rsidTr="00935676">
        <w:trPr>
          <w:cantSplit/>
        </w:trPr>
        <w:tc>
          <w:tcPr>
            <w:tcW w:w="1696" w:type="dxa"/>
            <w:tcBorders>
              <w:left w:val="single" w:sz="4" w:space="0" w:color="auto"/>
            </w:tcBorders>
            <w:shd w:val="clear" w:color="auto" w:fill="auto"/>
          </w:tcPr>
          <w:p w14:paraId="420CF5E6" w14:textId="77777777" w:rsidR="002A4DDF" w:rsidRPr="00937C8B" w:rsidRDefault="002A4DDF" w:rsidP="009110ED">
            <w:pPr>
              <w:rPr>
                <w:rFonts w:ascii="Arial" w:hAnsi="Arial" w:cs="Arial"/>
                <w:sz w:val="12"/>
                <w:szCs w:val="12"/>
              </w:rPr>
            </w:pPr>
          </w:p>
        </w:tc>
        <w:tc>
          <w:tcPr>
            <w:tcW w:w="1843" w:type="dxa"/>
            <w:shd w:val="clear" w:color="auto" w:fill="auto"/>
          </w:tcPr>
          <w:p w14:paraId="06425B77" w14:textId="77777777" w:rsidR="002A4DDF" w:rsidRPr="00937C8B" w:rsidRDefault="002A4DDF" w:rsidP="009110ED">
            <w:pPr>
              <w:rPr>
                <w:rFonts w:ascii="Arial" w:hAnsi="Arial" w:cs="Arial"/>
                <w:sz w:val="12"/>
                <w:szCs w:val="12"/>
              </w:rPr>
            </w:pPr>
          </w:p>
        </w:tc>
        <w:tc>
          <w:tcPr>
            <w:tcW w:w="2268" w:type="dxa"/>
            <w:shd w:val="clear" w:color="auto" w:fill="F2F2F2"/>
            <w:hideMark/>
          </w:tcPr>
          <w:p w14:paraId="3ABB8EB7" w14:textId="77777777" w:rsidR="002A4DDF" w:rsidRPr="00937C8B" w:rsidRDefault="002A4DDF" w:rsidP="009110ED">
            <w:pPr>
              <w:rPr>
                <w:rFonts w:ascii="Arial" w:hAnsi="Arial" w:cs="Arial"/>
                <w:sz w:val="12"/>
                <w:szCs w:val="12"/>
              </w:rPr>
            </w:pPr>
            <w:r>
              <w:rPr>
                <w:rFonts w:ascii="Arial" w:hAnsi="Arial"/>
                <w:sz w:val="12"/>
                <w:szCs w:val="12"/>
              </w:rPr>
              <w:t>Torrejón del Rey</w:t>
            </w:r>
          </w:p>
        </w:tc>
        <w:tc>
          <w:tcPr>
            <w:tcW w:w="2268" w:type="dxa"/>
            <w:tcBorders>
              <w:right w:val="single" w:sz="4" w:space="0" w:color="auto"/>
            </w:tcBorders>
            <w:shd w:val="clear" w:color="auto" w:fill="D9D9D9"/>
            <w:hideMark/>
          </w:tcPr>
          <w:p w14:paraId="485EDBF2" w14:textId="77777777" w:rsidR="002A4DDF" w:rsidRPr="00937C8B" w:rsidRDefault="002A4DDF" w:rsidP="009110ED">
            <w:pPr>
              <w:rPr>
                <w:rFonts w:ascii="Arial" w:hAnsi="Arial" w:cs="Arial"/>
                <w:sz w:val="12"/>
                <w:szCs w:val="12"/>
              </w:rPr>
            </w:pPr>
          </w:p>
        </w:tc>
      </w:tr>
      <w:tr w:rsidR="002A4DDF" w:rsidRPr="00937C8B" w14:paraId="374B6B7B" w14:textId="77777777" w:rsidTr="00935676">
        <w:trPr>
          <w:cantSplit/>
        </w:trPr>
        <w:tc>
          <w:tcPr>
            <w:tcW w:w="1696" w:type="dxa"/>
            <w:tcBorders>
              <w:left w:val="single" w:sz="4" w:space="0" w:color="auto"/>
            </w:tcBorders>
            <w:shd w:val="clear" w:color="auto" w:fill="auto"/>
          </w:tcPr>
          <w:p w14:paraId="04C601CF" w14:textId="77777777" w:rsidR="002A4DDF" w:rsidRPr="00937C8B" w:rsidRDefault="002A4DDF" w:rsidP="009110ED">
            <w:pPr>
              <w:rPr>
                <w:rFonts w:ascii="Arial" w:hAnsi="Arial" w:cs="Arial"/>
                <w:sz w:val="12"/>
                <w:szCs w:val="12"/>
              </w:rPr>
            </w:pPr>
          </w:p>
        </w:tc>
        <w:tc>
          <w:tcPr>
            <w:tcW w:w="1843" w:type="dxa"/>
            <w:shd w:val="clear" w:color="auto" w:fill="auto"/>
          </w:tcPr>
          <w:p w14:paraId="3B400830" w14:textId="77777777" w:rsidR="002A4DDF" w:rsidRPr="00937C8B" w:rsidRDefault="002A4DDF" w:rsidP="009110ED">
            <w:pPr>
              <w:rPr>
                <w:rFonts w:ascii="Arial" w:hAnsi="Arial" w:cs="Arial"/>
                <w:sz w:val="12"/>
                <w:szCs w:val="12"/>
              </w:rPr>
            </w:pPr>
          </w:p>
        </w:tc>
        <w:tc>
          <w:tcPr>
            <w:tcW w:w="2268" w:type="dxa"/>
            <w:shd w:val="clear" w:color="auto" w:fill="F2F2F2"/>
            <w:hideMark/>
          </w:tcPr>
          <w:p w14:paraId="2286F6CD" w14:textId="77777777" w:rsidR="002A4DDF" w:rsidRPr="00937C8B" w:rsidRDefault="002A4DDF" w:rsidP="009110ED">
            <w:pPr>
              <w:rPr>
                <w:rFonts w:ascii="Arial" w:hAnsi="Arial" w:cs="Arial"/>
                <w:sz w:val="12"/>
                <w:szCs w:val="12"/>
              </w:rPr>
            </w:pPr>
            <w:r>
              <w:rPr>
                <w:rFonts w:ascii="Arial" w:hAnsi="Arial"/>
                <w:sz w:val="12"/>
                <w:szCs w:val="12"/>
              </w:rPr>
              <w:t>Torremocha del Campo</w:t>
            </w:r>
          </w:p>
        </w:tc>
        <w:tc>
          <w:tcPr>
            <w:tcW w:w="2268" w:type="dxa"/>
            <w:tcBorders>
              <w:right w:val="single" w:sz="4" w:space="0" w:color="auto"/>
            </w:tcBorders>
            <w:shd w:val="clear" w:color="auto" w:fill="D9D9D9"/>
            <w:hideMark/>
          </w:tcPr>
          <w:p w14:paraId="2EB6D663" w14:textId="77777777" w:rsidR="002A4DDF" w:rsidRPr="00937C8B" w:rsidRDefault="002A4DDF" w:rsidP="009110ED">
            <w:pPr>
              <w:rPr>
                <w:rFonts w:ascii="Arial" w:hAnsi="Arial" w:cs="Arial"/>
                <w:sz w:val="12"/>
                <w:szCs w:val="12"/>
              </w:rPr>
            </w:pPr>
          </w:p>
        </w:tc>
      </w:tr>
      <w:tr w:rsidR="002A4DDF" w:rsidRPr="00937C8B" w14:paraId="1E75CA9E" w14:textId="77777777" w:rsidTr="00935676">
        <w:trPr>
          <w:cantSplit/>
        </w:trPr>
        <w:tc>
          <w:tcPr>
            <w:tcW w:w="1696" w:type="dxa"/>
            <w:tcBorders>
              <w:left w:val="single" w:sz="4" w:space="0" w:color="auto"/>
            </w:tcBorders>
            <w:shd w:val="clear" w:color="auto" w:fill="auto"/>
          </w:tcPr>
          <w:p w14:paraId="63672D84" w14:textId="77777777" w:rsidR="002A4DDF" w:rsidRPr="00937C8B" w:rsidRDefault="002A4DDF" w:rsidP="009110ED">
            <w:pPr>
              <w:rPr>
                <w:rFonts w:ascii="Arial" w:hAnsi="Arial" w:cs="Arial"/>
                <w:sz w:val="12"/>
                <w:szCs w:val="12"/>
              </w:rPr>
            </w:pPr>
          </w:p>
        </w:tc>
        <w:tc>
          <w:tcPr>
            <w:tcW w:w="1843" w:type="dxa"/>
            <w:shd w:val="clear" w:color="auto" w:fill="auto"/>
          </w:tcPr>
          <w:p w14:paraId="084A0702" w14:textId="77777777" w:rsidR="002A4DDF" w:rsidRPr="00937C8B" w:rsidRDefault="002A4DDF" w:rsidP="009110ED">
            <w:pPr>
              <w:rPr>
                <w:rFonts w:ascii="Arial" w:hAnsi="Arial" w:cs="Arial"/>
                <w:sz w:val="12"/>
                <w:szCs w:val="12"/>
              </w:rPr>
            </w:pPr>
          </w:p>
        </w:tc>
        <w:tc>
          <w:tcPr>
            <w:tcW w:w="2268" w:type="dxa"/>
            <w:shd w:val="clear" w:color="auto" w:fill="F2F2F2"/>
            <w:hideMark/>
          </w:tcPr>
          <w:p w14:paraId="1AFB9A57" w14:textId="77777777" w:rsidR="002A4DDF" w:rsidRPr="00937C8B" w:rsidRDefault="002A4DDF" w:rsidP="009110ED">
            <w:pPr>
              <w:rPr>
                <w:rFonts w:ascii="Arial" w:hAnsi="Arial" w:cs="Arial"/>
                <w:sz w:val="12"/>
                <w:szCs w:val="12"/>
              </w:rPr>
            </w:pPr>
            <w:r>
              <w:rPr>
                <w:rFonts w:ascii="Arial" w:hAnsi="Arial"/>
                <w:sz w:val="12"/>
                <w:szCs w:val="12"/>
              </w:rPr>
              <w:t>Torrubia</w:t>
            </w:r>
          </w:p>
        </w:tc>
        <w:tc>
          <w:tcPr>
            <w:tcW w:w="2268" w:type="dxa"/>
            <w:tcBorders>
              <w:right w:val="single" w:sz="4" w:space="0" w:color="auto"/>
            </w:tcBorders>
            <w:shd w:val="clear" w:color="auto" w:fill="D9D9D9"/>
            <w:hideMark/>
          </w:tcPr>
          <w:p w14:paraId="415CC170" w14:textId="77777777" w:rsidR="002A4DDF" w:rsidRPr="00937C8B" w:rsidRDefault="002A4DDF" w:rsidP="009110ED">
            <w:pPr>
              <w:rPr>
                <w:rFonts w:ascii="Arial" w:hAnsi="Arial" w:cs="Arial"/>
                <w:sz w:val="12"/>
                <w:szCs w:val="12"/>
              </w:rPr>
            </w:pPr>
          </w:p>
        </w:tc>
      </w:tr>
      <w:tr w:rsidR="002A4DDF" w:rsidRPr="00937C8B" w14:paraId="58E61723" w14:textId="77777777" w:rsidTr="00935676">
        <w:trPr>
          <w:cantSplit/>
        </w:trPr>
        <w:tc>
          <w:tcPr>
            <w:tcW w:w="1696" w:type="dxa"/>
            <w:tcBorders>
              <w:left w:val="single" w:sz="4" w:space="0" w:color="auto"/>
            </w:tcBorders>
            <w:shd w:val="clear" w:color="auto" w:fill="auto"/>
          </w:tcPr>
          <w:p w14:paraId="27EADC94" w14:textId="77777777" w:rsidR="002A4DDF" w:rsidRPr="00937C8B" w:rsidRDefault="002A4DDF" w:rsidP="009110ED">
            <w:pPr>
              <w:rPr>
                <w:rFonts w:ascii="Arial" w:hAnsi="Arial" w:cs="Arial"/>
                <w:sz w:val="12"/>
                <w:szCs w:val="12"/>
              </w:rPr>
            </w:pPr>
          </w:p>
        </w:tc>
        <w:tc>
          <w:tcPr>
            <w:tcW w:w="1843" w:type="dxa"/>
            <w:shd w:val="clear" w:color="auto" w:fill="auto"/>
          </w:tcPr>
          <w:p w14:paraId="781CD0AF" w14:textId="77777777" w:rsidR="002A4DDF" w:rsidRPr="00937C8B" w:rsidRDefault="002A4DDF" w:rsidP="009110ED">
            <w:pPr>
              <w:rPr>
                <w:rFonts w:ascii="Arial" w:hAnsi="Arial" w:cs="Arial"/>
                <w:sz w:val="12"/>
                <w:szCs w:val="12"/>
              </w:rPr>
            </w:pPr>
          </w:p>
        </w:tc>
        <w:tc>
          <w:tcPr>
            <w:tcW w:w="2268" w:type="dxa"/>
            <w:shd w:val="clear" w:color="auto" w:fill="F2F2F2"/>
            <w:hideMark/>
          </w:tcPr>
          <w:p w14:paraId="047ECF40" w14:textId="77777777" w:rsidR="002A4DDF" w:rsidRPr="00937C8B" w:rsidRDefault="002A4DDF" w:rsidP="009110ED">
            <w:pPr>
              <w:rPr>
                <w:rFonts w:ascii="Arial" w:hAnsi="Arial" w:cs="Arial"/>
                <w:sz w:val="12"/>
                <w:szCs w:val="12"/>
              </w:rPr>
            </w:pPr>
            <w:r>
              <w:rPr>
                <w:rFonts w:ascii="Arial" w:hAnsi="Arial"/>
                <w:sz w:val="12"/>
                <w:szCs w:val="12"/>
              </w:rPr>
              <w:t>Tortuero</w:t>
            </w:r>
          </w:p>
        </w:tc>
        <w:tc>
          <w:tcPr>
            <w:tcW w:w="2268" w:type="dxa"/>
            <w:tcBorders>
              <w:right w:val="single" w:sz="4" w:space="0" w:color="auto"/>
            </w:tcBorders>
            <w:shd w:val="clear" w:color="auto" w:fill="D9D9D9"/>
            <w:hideMark/>
          </w:tcPr>
          <w:p w14:paraId="0FE17F87" w14:textId="77777777" w:rsidR="002A4DDF" w:rsidRPr="00937C8B" w:rsidRDefault="002A4DDF" w:rsidP="009110ED">
            <w:pPr>
              <w:rPr>
                <w:rFonts w:ascii="Arial" w:hAnsi="Arial" w:cs="Arial"/>
                <w:sz w:val="12"/>
                <w:szCs w:val="12"/>
              </w:rPr>
            </w:pPr>
          </w:p>
        </w:tc>
      </w:tr>
      <w:tr w:rsidR="002A4DDF" w:rsidRPr="00937C8B" w14:paraId="02965311" w14:textId="77777777" w:rsidTr="00935676">
        <w:trPr>
          <w:cantSplit/>
        </w:trPr>
        <w:tc>
          <w:tcPr>
            <w:tcW w:w="1696" w:type="dxa"/>
            <w:tcBorders>
              <w:left w:val="single" w:sz="4" w:space="0" w:color="auto"/>
            </w:tcBorders>
            <w:shd w:val="clear" w:color="auto" w:fill="auto"/>
          </w:tcPr>
          <w:p w14:paraId="0E12834B" w14:textId="77777777" w:rsidR="002A4DDF" w:rsidRPr="00937C8B" w:rsidRDefault="002A4DDF" w:rsidP="009110ED">
            <w:pPr>
              <w:rPr>
                <w:rFonts w:ascii="Arial" w:hAnsi="Arial" w:cs="Arial"/>
                <w:sz w:val="12"/>
                <w:szCs w:val="12"/>
              </w:rPr>
            </w:pPr>
          </w:p>
        </w:tc>
        <w:tc>
          <w:tcPr>
            <w:tcW w:w="1843" w:type="dxa"/>
            <w:shd w:val="clear" w:color="auto" w:fill="auto"/>
          </w:tcPr>
          <w:p w14:paraId="77438519" w14:textId="77777777" w:rsidR="002A4DDF" w:rsidRPr="00937C8B" w:rsidRDefault="002A4DDF" w:rsidP="009110ED">
            <w:pPr>
              <w:rPr>
                <w:rFonts w:ascii="Arial" w:hAnsi="Arial" w:cs="Arial"/>
                <w:sz w:val="12"/>
                <w:szCs w:val="12"/>
              </w:rPr>
            </w:pPr>
          </w:p>
        </w:tc>
        <w:tc>
          <w:tcPr>
            <w:tcW w:w="2268" w:type="dxa"/>
            <w:shd w:val="clear" w:color="auto" w:fill="F2F2F2"/>
            <w:hideMark/>
          </w:tcPr>
          <w:p w14:paraId="7455FA67" w14:textId="77777777" w:rsidR="002A4DDF" w:rsidRPr="00937C8B" w:rsidRDefault="002A4DDF" w:rsidP="009110ED">
            <w:pPr>
              <w:rPr>
                <w:rFonts w:ascii="Arial" w:hAnsi="Arial" w:cs="Arial"/>
                <w:sz w:val="12"/>
                <w:szCs w:val="12"/>
              </w:rPr>
            </w:pPr>
            <w:r>
              <w:rPr>
                <w:rFonts w:ascii="Arial" w:hAnsi="Arial"/>
                <w:sz w:val="12"/>
                <w:szCs w:val="12"/>
              </w:rPr>
              <w:t>Uceda</w:t>
            </w:r>
          </w:p>
        </w:tc>
        <w:tc>
          <w:tcPr>
            <w:tcW w:w="2268" w:type="dxa"/>
            <w:tcBorders>
              <w:right w:val="single" w:sz="4" w:space="0" w:color="auto"/>
            </w:tcBorders>
            <w:shd w:val="clear" w:color="auto" w:fill="D9D9D9"/>
            <w:hideMark/>
          </w:tcPr>
          <w:p w14:paraId="21743808" w14:textId="77777777" w:rsidR="002A4DDF" w:rsidRPr="00937C8B" w:rsidRDefault="002A4DDF" w:rsidP="009110ED">
            <w:pPr>
              <w:rPr>
                <w:rFonts w:ascii="Arial" w:hAnsi="Arial" w:cs="Arial"/>
                <w:sz w:val="12"/>
                <w:szCs w:val="12"/>
              </w:rPr>
            </w:pPr>
          </w:p>
        </w:tc>
      </w:tr>
      <w:tr w:rsidR="002A4DDF" w:rsidRPr="00937C8B" w14:paraId="2D90CC58" w14:textId="77777777" w:rsidTr="00935676">
        <w:trPr>
          <w:cantSplit/>
        </w:trPr>
        <w:tc>
          <w:tcPr>
            <w:tcW w:w="1696" w:type="dxa"/>
            <w:tcBorders>
              <w:left w:val="single" w:sz="4" w:space="0" w:color="auto"/>
            </w:tcBorders>
            <w:shd w:val="clear" w:color="auto" w:fill="auto"/>
          </w:tcPr>
          <w:p w14:paraId="5BFD6394" w14:textId="77777777" w:rsidR="002A4DDF" w:rsidRPr="00937C8B" w:rsidRDefault="002A4DDF" w:rsidP="009110ED">
            <w:pPr>
              <w:rPr>
                <w:rFonts w:ascii="Arial" w:hAnsi="Arial" w:cs="Arial"/>
                <w:sz w:val="12"/>
                <w:szCs w:val="12"/>
              </w:rPr>
            </w:pPr>
          </w:p>
        </w:tc>
        <w:tc>
          <w:tcPr>
            <w:tcW w:w="1843" w:type="dxa"/>
            <w:shd w:val="clear" w:color="auto" w:fill="auto"/>
          </w:tcPr>
          <w:p w14:paraId="22E20BA6" w14:textId="77777777" w:rsidR="002A4DDF" w:rsidRPr="00937C8B" w:rsidRDefault="002A4DDF" w:rsidP="009110ED">
            <w:pPr>
              <w:rPr>
                <w:rFonts w:ascii="Arial" w:hAnsi="Arial" w:cs="Arial"/>
                <w:sz w:val="12"/>
                <w:szCs w:val="12"/>
              </w:rPr>
            </w:pPr>
          </w:p>
        </w:tc>
        <w:tc>
          <w:tcPr>
            <w:tcW w:w="2268" w:type="dxa"/>
            <w:shd w:val="clear" w:color="auto" w:fill="F2F2F2"/>
            <w:hideMark/>
          </w:tcPr>
          <w:p w14:paraId="54E5927B" w14:textId="77777777" w:rsidR="002A4DDF" w:rsidRPr="00937C8B" w:rsidRDefault="002A4DDF" w:rsidP="009110ED">
            <w:pPr>
              <w:rPr>
                <w:rFonts w:ascii="Arial" w:hAnsi="Arial" w:cs="Arial"/>
                <w:sz w:val="12"/>
                <w:szCs w:val="12"/>
              </w:rPr>
            </w:pPr>
            <w:r>
              <w:rPr>
                <w:rFonts w:ascii="Arial" w:hAnsi="Arial"/>
                <w:sz w:val="12"/>
                <w:szCs w:val="12"/>
              </w:rPr>
              <w:t>Valdearenas</w:t>
            </w:r>
          </w:p>
        </w:tc>
        <w:tc>
          <w:tcPr>
            <w:tcW w:w="2268" w:type="dxa"/>
            <w:tcBorders>
              <w:right w:val="single" w:sz="4" w:space="0" w:color="auto"/>
            </w:tcBorders>
            <w:shd w:val="clear" w:color="auto" w:fill="D9D9D9"/>
            <w:hideMark/>
          </w:tcPr>
          <w:p w14:paraId="063154D9" w14:textId="77777777" w:rsidR="002A4DDF" w:rsidRPr="00937C8B" w:rsidRDefault="002A4DDF" w:rsidP="009110ED">
            <w:pPr>
              <w:rPr>
                <w:rFonts w:ascii="Arial" w:hAnsi="Arial" w:cs="Arial"/>
                <w:sz w:val="12"/>
                <w:szCs w:val="12"/>
              </w:rPr>
            </w:pPr>
          </w:p>
        </w:tc>
      </w:tr>
      <w:tr w:rsidR="002A4DDF" w:rsidRPr="00937C8B" w14:paraId="68D23C31" w14:textId="77777777" w:rsidTr="00935676">
        <w:trPr>
          <w:cantSplit/>
        </w:trPr>
        <w:tc>
          <w:tcPr>
            <w:tcW w:w="1696" w:type="dxa"/>
            <w:tcBorders>
              <w:left w:val="single" w:sz="4" w:space="0" w:color="auto"/>
            </w:tcBorders>
            <w:shd w:val="clear" w:color="auto" w:fill="auto"/>
          </w:tcPr>
          <w:p w14:paraId="26FC18B2" w14:textId="77777777" w:rsidR="002A4DDF" w:rsidRPr="00937C8B" w:rsidRDefault="002A4DDF" w:rsidP="009110ED">
            <w:pPr>
              <w:rPr>
                <w:rFonts w:ascii="Arial" w:hAnsi="Arial" w:cs="Arial"/>
                <w:sz w:val="12"/>
                <w:szCs w:val="12"/>
              </w:rPr>
            </w:pPr>
          </w:p>
        </w:tc>
        <w:tc>
          <w:tcPr>
            <w:tcW w:w="1843" w:type="dxa"/>
            <w:shd w:val="clear" w:color="auto" w:fill="auto"/>
          </w:tcPr>
          <w:p w14:paraId="304C3E81" w14:textId="77777777" w:rsidR="002A4DDF" w:rsidRPr="00937C8B" w:rsidRDefault="002A4DDF" w:rsidP="009110ED">
            <w:pPr>
              <w:rPr>
                <w:rFonts w:ascii="Arial" w:hAnsi="Arial" w:cs="Arial"/>
                <w:sz w:val="12"/>
                <w:szCs w:val="12"/>
              </w:rPr>
            </w:pPr>
          </w:p>
        </w:tc>
        <w:tc>
          <w:tcPr>
            <w:tcW w:w="2268" w:type="dxa"/>
            <w:shd w:val="clear" w:color="auto" w:fill="F2F2F2"/>
            <w:hideMark/>
          </w:tcPr>
          <w:p w14:paraId="7806AC88" w14:textId="77777777" w:rsidR="002A4DDF" w:rsidRPr="00937C8B" w:rsidRDefault="002A4DDF" w:rsidP="009110ED">
            <w:pPr>
              <w:rPr>
                <w:rFonts w:ascii="Arial" w:hAnsi="Arial" w:cs="Arial"/>
                <w:sz w:val="12"/>
                <w:szCs w:val="12"/>
              </w:rPr>
            </w:pPr>
            <w:r>
              <w:rPr>
                <w:rFonts w:ascii="Arial" w:hAnsi="Arial"/>
                <w:sz w:val="12"/>
                <w:szCs w:val="12"/>
              </w:rPr>
              <w:t>Valdeaveruelo</w:t>
            </w:r>
          </w:p>
        </w:tc>
        <w:tc>
          <w:tcPr>
            <w:tcW w:w="2268" w:type="dxa"/>
            <w:tcBorders>
              <w:right w:val="single" w:sz="4" w:space="0" w:color="auto"/>
            </w:tcBorders>
            <w:shd w:val="clear" w:color="auto" w:fill="D9D9D9"/>
            <w:hideMark/>
          </w:tcPr>
          <w:p w14:paraId="3315DD29" w14:textId="77777777" w:rsidR="002A4DDF" w:rsidRPr="00937C8B" w:rsidRDefault="002A4DDF" w:rsidP="009110ED">
            <w:pPr>
              <w:rPr>
                <w:rFonts w:ascii="Arial" w:hAnsi="Arial" w:cs="Arial"/>
                <w:sz w:val="12"/>
                <w:szCs w:val="12"/>
              </w:rPr>
            </w:pPr>
          </w:p>
        </w:tc>
      </w:tr>
      <w:tr w:rsidR="002A4DDF" w:rsidRPr="00937C8B" w14:paraId="44FA2E76" w14:textId="77777777" w:rsidTr="00935676">
        <w:trPr>
          <w:cantSplit/>
        </w:trPr>
        <w:tc>
          <w:tcPr>
            <w:tcW w:w="1696" w:type="dxa"/>
            <w:tcBorders>
              <w:left w:val="single" w:sz="4" w:space="0" w:color="auto"/>
            </w:tcBorders>
            <w:shd w:val="clear" w:color="auto" w:fill="auto"/>
          </w:tcPr>
          <w:p w14:paraId="645C1CE2" w14:textId="77777777" w:rsidR="002A4DDF" w:rsidRPr="00937C8B" w:rsidRDefault="002A4DDF" w:rsidP="009110ED">
            <w:pPr>
              <w:rPr>
                <w:rFonts w:ascii="Arial" w:hAnsi="Arial" w:cs="Arial"/>
                <w:sz w:val="12"/>
                <w:szCs w:val="12"/>
              </w:rPr>
            </w:pPr>
          </w:p>
        </w:tc>
        <w:tc>
          <w:tcPr>
            <w:tcW w:w="1843" w:type="dxa"/>
            <w:shd w:val="clear" w:color="auto" w:fill="auto"/>
          </w:tcPr>
          <w:p w14:paraId="3CCCF852" w14:textId="77777777" w:rsidR="002A4DDF" w:rsidRPr="00937C8B" w:rsidRDefault="002A4DDF" w:rsidP="009110ED">
            <w:pPr>
              <w:rPr>
                <w:rFonts w:ascii="Arial" w:hAnsi="Arial" w:cs="Arial"/>
                <w:sz w:val="12"/>
                <w:szCs w:val="12"/>
              </w:rPr>
            </w:pPr>
          </w:p>
        </w:tc>
        <w:tc>
          <w:tcPr>
            <w:tcW w:w="2268" w:type="dxa"/>
            <w:shd w:val="clear" w:color="auto" w:fill="F2F2F2"/>
            <w:hideMark/>
          </w:tcPr>
          <w:p w14:paraId="1E5F430C" w14:textId="77777777" w:rsidR="002A4DDF" w:rsidRPr="00937C8B" w:rsidRDefault="002A4DDF" w:rsidP="009110ED">
            <w:pPr>
              <w:rPr>
                <w:rFonts w:ascii="Arial" w:hAnsi="Arial" w:cs="Arial"/>
                <w:sz w:val="12"/>
                <w:szCs w:val="12"/>
              </w:rPr>
            </w:pPr>
            <w:r>
              <w:rPr>
                <w:rFonts w:ascii="Arial" w:hAnsi="Arial"/>
                <w:sz w:val="12"/>
                <w:szCs w:val="12"/>
              </w:rPr>
              <w:t>Valdenuño Fernández</w:t>
            </w:r>
          </w:p>
        </w:tc>
        <w:tc>
          <w:tcPr>
            <w:tcW w:w="2268" w:type="dxa"/>
            <w:tcBorders>
              <w:right w:val="single" w:sz="4" w:space="0" w:color="auto"/>
            </w:tcBorders>
            <w:shd w:val="clear" w:color="auto" w:fill="D9D9D9"/>
            <w:hideMark/>
          </w:tcPr>
          <w:p w14:paraId="479BF45B" w14:textId="77777777" w:rsidR="002A4DDF" w:rsidRPr="00937C8B" w:rsidRDefault="002A4DDF" w:rsidP="009110ED">
            <w:pPr>
              <w:rPr>
                <w:rFonts w:ascii="Arial" w:hAnsi="Arial" w:cs="Arial"/>
                <w:sz w:val="12"/>
                <w:szCs w:val="12"/>
              </w:rPr>
            </w:pPr>
          </w:p>
        </w:tc>
      </w:tr>
      <w:tr w:rsidR="002A4DDF" w:rsidRPr="00937C8B" w14:paraId="5BB6A000" w14:textId="77777777" w:rsidTr="00935676">
        <w:trPr>
          <w:cantSplit/>
        </w:trPr>
        <w:tc>
          <w:tcPr>
            <w:tcW w:w="1696" w:type="dxa"/>
            <w:tcBorders>
              <w:left w:val="single" w:sz="4" w:space="0" w:color="auto"/>
            </w:tcBorders>
            <w:shd w:val="clear" w:color="auto" w:fill="auto"/>
          </w:tcPr>
          <w:p w14:paraId="4CD531D1" w14:textId="77777777" w:rsidR="002A4DDF" w:rsidRPr="00937C8B" w:rsidRDefault="002A4DDF" w:rsidP="009110ED">
            <w:pPr>
              <w:rPr>
                <w:rFonts w:ascii="Arial" w:hAnsi="Arial" w:cs="Arial"/>
                <w:sz w:val="12"/>
                <w:szCs w:val="12"/>
              </w:rPr>
            </w:pPr>
          </w:p>
        </w:tc>
        <w:tc>
          <w:tcPr>
            <w:tcW w:w="1843" w:type="dxa"/>
            <w:shd w:val="clear" w:color="auto" w:fill="auto"/>
          </w:tcPr>
          <w:p w14:paraId="29E50DAC" w14:textId="77777777" w:rsidR="002A4DDF" w:rsidRPr="00937C8B" w:rsidRDefault="002A4DDF" w:rsidP="009110ED">
            <w:pPr>
              <w:rPr>
                <w:rFonts w:ascii="Arial" w:hAnsi="Arial" w:cs="Arial"/>
                <w:sz w:val="12"/>
                <w:szCs w:val="12"/>
              </w:rPr>
            </w:pPr>
          </w:p>
        </w:tc>
        <w:tc>
          <w:tcPr>
            <w:tcW w:w="2268" w:type="dxa"/>
            <w:shd w:val="clear" w:color="auto" w:fill="F2F2F2"/>
            <w:hideMark/>
          </w:tcPr>
          <w:p w14:paraId="534A44CB" w14:textId="77777777" w:rsidR="002A4DDF" w:rsidRPr="00937C8B" w:rsidRDefault="002A4DDF" w:rsidP="009110ED">
            <w:pPr>
              <w:rPr>
                <w:rFonts w:ascii="Arial" w:hAnsi="Arial" w:cs="Arial"/>
                <w:sz w:val="12"/>
                <w:szCs w:val="12"/>
              </w:rPr>
            </w:pPr>
            <w:r>
              <w:rPr>
                <w:rFonts w:ascii="Arial" w:hAnsi="Arial"/>
                <w:sz w:val="12"/>
                <w:szCs w:val="12"/>
              </w:rPr>
              <w:t>Valdepeñas de la Sierra</w:t>
            </w:r>
          </w:p>
        </w:tc>
        <w:tc>
          <w:tcPr>
            <w:tcW w:w="2268" w:type="dxa"/>
            <w:tcBorders>
              <w:right w:val="single" w:sz="4" w:space="0" w:color="auto"/>
            </w:tcBorders>
            <w:shd w:val="clear" w:color="auto" w:fill="D9D9D9"/>
            <w:hideMark/>
          </w:tcPr>
          <w:p w14:paraId="633DFA42" w14:textId="77777777" w:rsidR="002A4DDF" w:rsidRPr="00937C8B" w:rsidRDefault="002A4DDF" w:rsidP="009110ED">
            <w:pPr>
              <w:rPr>
                <w:rFonts w:ascii="Arial" w:hAnsi="Arial" w:cs="Arial"/>
                <w:sz w:val="12"/>
                <w:szCs w:val="12"/>
              </w:rPr>
            </w:pPr>
          </w:p>
        </w:tc>
      </w:tr>
      <w:tr w:rsidR="002A4DDF" w:rsidRPr="00937C8B" w14:paraId="3E530949" w14:textId="77777777" w:rsidTr="00935676">
        <w:trPr>
          <w:cantSplit/>
        </w:trPr>
        <w:tc>
          <w:tcPr>
            <w:tcW w:w="1696" w:type="dxa"/>
            <w:tcBorders>
              <w:left w:val="single" w:sz="4" w:space="0" w:color="auto"/>
            </w:tcBorders>
            <w:shd w:val="clear" w:color="auto" w:fill="auto"/>
          </w:tcPr>
          <w:p w14:paraId="0824FAAB" w14:textId="77777777" w:rsidR="002A4DDF" w:rsidRPr="00937C8B" w:rsidRDefault="002A4DDF" w:rsidP="009110ED">
            <w:pPr>
              <w:rPr>
                <w:rFonts w:ascii="Arial" w:hAnsi="Arial" w:cs="Arial"/>
                <w:sz w:val="12"/>
                <w:szCs w:val="12"/>
              </w:rPr>
            </w:pPr>
          </w:p>
        </w:tc>
        <w:tc>
          <w:tcPr>
            <w:tcW w:w="1843" w:type="dxa"/>
            <w:shd w:val="clear" w:color="auto" w:fill="auto"/>
          </w:tcPr>
          <w:p w14:paraId="0DB11D5C" w14:textId="77777777" w:rsidR="002A4DDF" w:rsidRPr="00937C8B" w:rsidRDefault="002A4DDF" w:rsidP="009110ED">
            <w:pPr>
              <w:rPr>
                <w:rFonts w:ascii="Arial" w:hAnsi="Arial" w:cs="Arial"/>
                <w:sz w:val="12"/>
                <w:szCs w:val="12"/>
              </w:rPr>
            </w:pPr>
          </w:p>
        </w:tc>
        <w:tc>
          <w:tcPr>
            <w:tcW w:w="2268" w:type="dxa"/>
            <w:shd w:val="clear" w:color="auto" w:fill="F2F2F2"/>
            <w:hideMark/>
          </w:tcPr>
          <w:p w14:paraId="5EBFFE7A" w14:textId="77777777" w:rsidR="002A4DDF" w:rsidRPr="00937C8B" w:rsidRDefault="002A4DDF" w:rsidP="009110ED">
            <w:pPr>
              <w:rPr>
                <w:rFonts w:ascii="Arial" w:hAnsi="Arial" w:cs="Arial"/>
                <w:sz w:val="12"/>
                <w:szCs w:val="12"/>
              </w:rPr>
            </w:pPr>
            <w:r>
              <w:rPr>
                <w:rFonts w:ascii="Arial" w:hAnsi="Arial"/>
                <w:sz w:val="12"/>
                <w:szCs w:val="12"/>
              </w:rPr>
              <w:t>Valdesotos</w:t>
            </w:r>
          </w:p>
        </w:tc>
        <w:tc>
          <w:tcPr>
            <w:tcW w:w="2268" w:type="dxa"/>
            <w:tcBorders>
              <w:right w:val="single" w:sz="4" w:space="0" w:color="auto"/>
            </w:tcBorders>
            <w:shd w:val="clear" w:color="auto" w:fill="D9D9D9"/>
            <w:hideMark/>
          </w:tcPr>
          <w:p w14:paraId="06928709" w14:textId="77777777" w:rsidR="002A4DDF" w:rsidRPr="00937C8B" w:rsidRDefault="002A4DDF" w:rsidP="009110ED">
            <w:pPr>
              <w:rPr>
                <w:rFonts w:ascii="Arial" w:hAnsi="Arial" w:cs="Arial"/>
                <w:sz w:val="12"/>
                <w:szCs w:val="12"/>
              </w:rPr>
            </w:pPr>
          </w:p>
        </w:tc>
      </w:tr>
      <w:tr w:rsidR="002A4DDF" w:rsidRPr="00937C8B" w14:paraId="2375A3C3" w14:textId="77777777" w:rsidTr="00935676">
        <w:trPr>
          <w:cantSplit/>
        </w:trPr>
        <w:tc>
          <w:tcPr>
            <w:tcW w:w="1696" w:type="dxa"/>
            <w:tcBorders>
              <w:left w:val="single" w:sz="4" w:space="0" w:color="auto"/>
            </w:tcBorders>
            <w:shd w:val="clear" w:color="auto" w:fill="auto"/>
          </w:tcPr>
          <w:p w14:paraId="12980506" w14:textId="77777777" w:rsidR="002A4DDF" w:rsidRPr="00937C8B" w:rsidRDefault="002A4DDF" w:rsidP="009110ED">
            <w:pPr>
              <w:rPr>
                <w:rFonts w:ascii="Arial" w:hAnsi="Arial" w:cs="Arial"/>
                <w:sz w:val="12"/>
                <w:szCs w:val="12"/>
              </w:rPr>
            </w:pPr>
          </w:p>
        </w:tc>
        <w:tc>
          <w:tcPr>
            <w:tcW w:w="1843" w:type="dxa"/>
            <w:shd w:val="clear" w:color="auto" w:fill="auto"/>
          </w:tcPr>
          <w:p w14:paraId="6D055FF0" w14:textId="77777777" w:rsidR="002A4DDF" w:rsidRPr="00937C8B" w:rsidRDefault="002A4DDF" w:rsidP="009110ED">
            <w:pPr>
              <w:rPr>
                <w:rFonts w:ascii="Arial" w:hAnsi="Arial" w:cs="Arial"/>
                <w:sz w:val="12"/>
                <w:szCs w:val="12"/>
              </w:rPr>
            </w:pPr>
          </w:p>
        </w:tc>
        <w:tc>
          <w:tcPr>
            <w:tcW w:w="2268" w:type="dxa"/>
            <w:shd w:val="clear" w:color="auto" w:fill="F2F2F2"/>
            <w:hideMark/>
          </w:tcPr>
          <w:p w14:paraId="023E7333" w14:textId="77777777" w:rsidR="002A4DDF" w:rsidRPr="00937C8B" w:rsidRDefault="002A4DDF" w:rsidP="009110ED">
            <w:pPr>
              <w:rPr>
                <w:rFonts w:ascii="Arial" w:hAnsi="Arial" w:cs="Arial"/>
                <w:sz w:val="12"/>
                <w:szCs w:val="12"/>
              </w:rPr>
            </w:pPr>
            <w:r>
              <w:rPr>
                <w:rFonts w:ascii="Arial" w:hAnsi="Arial"/>
                <w:sz w:val="12"/>
                <w:szCs w:val="12"/>
              </w:rPr>
              <w:t>Villanueva de la Torre</w:t>
            </w:r>
          </w:p>
        </w:tc>
        <w:tc>
          <w:tcPr>
            <w:tcW w:w="2268" w:type="dxa"/>
            <w:tcBorders>
              <w:right w:val="single" w:sz="4" w:space="0" w:color="auto"/>
            </w:tcBorders>
            <w:shd w:val="clear" w:color="auto" w:fill="D9D9D9"/>
            <w:hideMark/>
          </w:tcPr>
          <w:p w14:paraId="30D62C7E" w14:textId="77777777" w:rsidR="002A4DDF" w:rsidRPr="00937C8B" w:rsidRDefault="002A4DDF" w:rsidP="009110ED">
            <w:pPr>
              <w:rPr>
                <w:rFonts w:ascii="Arial" w:hAnsi="Arial" w:cs="Arial"/>
                <w:sz w:val="12"/>
                <w:szCs w:val="12"/>
              </w:rPr>
            </w:pPr>
          </w:p>
        </w:tc>
      </w:tr>
      <w:tr w:rsidR="002A4DDF" w:rsidRPr="00937C8B" w14:paraId="3D31B6D1" w14:textId="77777777" w:rsidTr="00935676">
        <w:trPr>
          <w:cantSplit/>
        </w:trPr>
        <w:tc>
          <w:tcPr>
            <w:tcW w:w="1696" w:type="dxa"/>
            <w:tcBorders>
              <w:left w:val="single" w:sz="4" w:space="0" w:color="auto"/>
            </w:tcBorders>
            <w:shd w:val="clear" w:color="auto" w:fill="auto"/>
          </w:tcPr>
          <w:p w14:paraId="73182CFB" w14:textId="77777777" w:rsidR="002A4DDF" w:rsidRPr="00937C8B" w:rsidRDefault="002A4DDF" w:rsidP="009110ED">
            <w:pPr>
              <w:rPr>
                <w:rFonts w:ascii="Arial" w:hAnsi="Arial" w:cs="Arial"/>
                <w:sz w:val="12"/>
                <w:szCs w:val="12"/>
              </w:rPr>
            </w:pPr>
          </w:p>
        </w:tc>
        <w:tc>
          <w:tcPr>
            <w:tcW w:w="1843" w:type="dxa"/>
            <w:shd w:val="clear" w:color="auto" w:fill="auto"/>
          </w:tcPr>
          <w:p w14:paraId="01827B6B" w14:textId="77777777" w:rsidR="002A4DDF" w:rsidRPr="00937C8B" w:rsidRDefault="002A4DDF" w:rsidP="009110ED">
            <w:pPr>
              <w:rPr>
                <w:rFonts w:ascii="Arial" w:hAnsi="Arial" w:cs="Arial"/>
                <w:sz w:val="12"/>
                <w:szCs w:val="12"/>
              </w:rPr>
            </w:pPr>
          </w:p>
        </w:tc>
        <w:tc>
          <w:tcPr>
            <w:tcW w:w="2268" w:type="dxa"/>
            <w:shd w:val="clear" w:color="auto" w:fill="F2F2F2"/>
            <w:hideMark/>
          </w:tcPr>
          <w:p w14:paraId="05C57072" w14:textId="77777777" w:rsidR="002A4DDF" w:rsidRPr="00937C8B" w:rsidRDefault="002A4DDF" w:rsidP="009110ED">
            <w:pPr>
              <w:rPr>
                <w:rFonts w:ascii="Arial" w:hAnsi="Arial" w:cs="Arial"/>
                <w:sz w:val="12"/>
                <w:szCs w:val="12"/>
              </w:rPr>
            </w:pPr>
            <w:r>
              <w:rPr>
                <w:rFonts w:ascii="Arial" w:hAnsi="Arial"/>
                <w:sz w:val="12"/>
                <w:szCs w:val="12"/>
              </w:rPr>
              <w:t>Villaseca de Henares</w:t>
            </w:r>
          </w:p>
        </w:tc>
        <w:tc>
          <w:tcPr>
            <w:tcW w:w="2268" w:type="dxa"/>
            <w:tcBorders>
              <w:right w:val="single" w:sz="4" w:space="0" w:color="auto"/>
            </w:tcBorders>
            <w:shd w:val="clear" w:color="auto" w:fill="D9D9D9"/>
            <w:hideMark/>
          </w:tcPr>
          <w:p w14:paraId="02777E37" w14:textId="77777777" w:rsidR="002A4DDF" w:rsidRPr="00937C8B" w:rsidRDefault="002A4DDF" w:rsidP="009110ED">
            <w:pPr>
              <w:rPr>
                <w:rFonts w:ascii="Arial" w:hAnsi="Arial" w:cs="Arial"/>
                <w:sz w:val="12"/>
                <w:szCs w:val="12"/>
              </w:rPr>
            </w:pPr>
          </w:p>
        </w:tc>
      </w:tr>
      <w:tr w:rsidR="002A4DDF" w:rsidRPr="00937C8B" w14:paraId="0E700EB3" w14:textId="77777777" w:rsidTr="00935676">
        <w:trPr>
          <w:cantSplit/>
        </w:trPr>
        <w:tc>
          <w:tcPr>
            <w:tcW w:w="1696" w:type="dxa"/>
            <w:tcBorders>
              <w:left w:val="single" w:sz="4" w:space="0" w:color="auto"/>
            </w:tcBorders>
            <w:shd w:val="clear" w:color="auto" w:fill="auto"/>
          </w:tcPr>
          <w:p w14:paraId="373F3849" w14:textId="77777777" w:rsidR="002A4DDF" w:rsidRPr="00937C8B" w:rsidRDefault="002A4DDF" w:rsidP="009110ED">
            <w:pPr>
              <w:rPr>
                <w:rFonts w:ascii="Arial" w:hAnsi="Arial" w:cs="Arial"/>
                <w:sz w:val="12"/>
                <w:szCs w:val="12"/>
              </w:rPr>
            </w:pPr>
          </w:p>
        </w:tc>
        <w:tc>
          <w:tcPr>
            <w:tcW w:w="1843" w:type="dxa"/>
            <w:shd w:val="clear" w:color="auto" w:fill="auto"/>
          </w:tcPr>
          <w:p w14:paraId="0F5F250F" w14:textId="77777777" w:rsidR="002A4DDF" w:rsidRPr="00937C8B" w:rsidRDefault="002A4DDF" w:rsidP="009110ED">
            <w:pPr>
              <w:rPr>
                <w:rFonts w:ascii="Arial" w:hAnsi="Arial" w:cs="Arial"/>
                <w:sz w:val="12"/>
                <w:szCs w:val="12"/>
              </w:rPr>
            </w:pPr>
          </w:p>
        </w:tc>
        <w:tc>
          <w:tcPr>
            <w:tcW w:w="2268" w:type="dxa"/>
            <w:shd w:val="clear" w:color="auto" w:fill="F2F2F2"/>
            <w:hideMark/>
          </w:tcPr>
          <w:p w14:paraId="501D7070" w14:textId="77777777" w:rsidR="002A4DDF" w:rsidRPr="00937C8B" w:rsidRDefault="002A4DDF" w:rsidP="009110ED">
            <w:pPr>
              <w:rPr>
                <w:rFonts w:ascii="Arial" w:hAnsi="Arial" w:cs="Arial"/>
                <w:sz w:val="12"/>
                <w:szCs w:val="12"/>
              </w:rPr>
            </w:pPr>
            <w:r>
              <w:rPr>
                <w:rFonts w:ascii="Arial" w:hAnsi="Arial"/>
                <w:sz w:val="12"/>
                <w:szCs w:val="12"/>
              </w:rPr>
              <w:t>Villaseca de Uceda</w:t>
            </w:r>
          </w:p>
        </w:tc>
        <w:tc>
          <w:tcPr>
            <w:tcW w:w="2268" w:type="dxa"/>
            <w:tcBorders>
              <w:right w:val="single" w:sz="4" w:space="0" w:color="auto"/>
            </w:tcBorders>
            <w:shd w:val="clear" w:color="auto" w:fill="D9D9D9"/>
            <w:hideMark/>
          </w:tcPr>
          <w:p w14:paraId="146F572D" w14:textId="77777777" w:rsidR="002A4DDF" w:rsidRPr="00937C8B" w:rsidRDefault="002A4DDF" w:rsidP="009110ED">
            <w:pPr>
              <w:rPr>
                <w:rFonts w:ascii="Arial" w:hAnsi="Arial" w:cs="Arial"/>
                <w:sz w:val="12"/>
                <w:szCs w:val="12"/>
              </w:rPr>
            </w:pPr>
          </w:p>
        </w:tc>
      </w:tr>
      <w:tr w:rsidR="002A4DDF" w:rsidRPr="00937C8B" w14:paraId="3D7624F0" w14:textId="77777777" w:rsidTr="00935676">
        <w:trPr>
          <w:cantSplit/>
        </w:trPr>
        <w:tc>
          <w:tcPr>
            <w:tcW w:w="1696" w:type="dxa"/>
            <w:tcBorders>
              <w:left w:val="single" w:sz="4" w:space="0" w:color="auto"/>
            </w:tcBorders>
            <w:shd w:val="clear" w:color="auto" w:fill="auto"/>
          </w:tcPr>
          <w:p w14:paraId="7BF0A916" w14:textId="77777777" w:rsidR="002A4DDF" w:rsidRPr="00937C8B" w:rsidRDefault="002A4DDF" w:rsidP="009110ED">
            <w:pPr>
              <w:rPr>
                <w:rFonts w:ascii="Arial" w:hAnsi="Arial" w:cs="Arial"/>
                <w:sz w:val="12"/>
                <w:szCs w:val="12"/>
              </w:rPr>
            </w:pPr>
          </w:p>
        </w:tc>
        <w:tc>
          <w:tcPr>
            <w:tcW w:w="1843" w:type="dxa"/>
            <w:shd w:val="clear" w:color="auto" w:fill="auto"/>
          </w:tcPr>
          <w:p w14:paraId="5A93BCCF" w14:textId="77777777" w:rsidR="002A4DDF" w:rsidRPr="00937C8B" w:rsidRDefault="002A4DDF" w:rsidP="009110ED">
            <w:pPr>
              <w:rPr>
                <w:rFonts w:ascii="Arial" w:hAnsi="Arial" w:cs="Arial"/>
                <w:sz w:val="12"/>
                <w:szCs w:val="12"/>
              </w:rPr>
            </w:pPr>
          </w:p>
        </w:tc>
        <w:tc>
          <w:tcPr>
            <w:tcW w:w="2268" w:type="dxa"/>
            <w:shd w:val="clear" w:color="auto" w:fill="F2F2F2"/>
            <w:hideMark/>
          </w:tcPr>
          <w:p w14:paraId="70BF28F0" w14:textId="77777777" w:rsidR="002A4DDF" w:rsidRPr="00937C8B" w:rsidRDefault="002A4DDF" w:rsidP="009110ED">
            <w:pPr>
              <w:rPr>
                <w:rFonts w:ascii="Arial" w:hAnsi="Arial" w:cs="Arial"/>
                <w:sz w:val="12"/>
                <w:szCs w:val="12"/>
              </w:rPr>
            </w:pPr>
            <w:r>
              <w:rPr>
                <w:rFonts w:ascii="Arial" w:hAnsi="Arial"/>
                <w:sz w:val="12"/>
                <w:szCs w:val="12"/>
              </w:rPr>
              <w:t>Viñuelas</w:t>
            </w:r>
          </w:p>
        </w:tc>
        <w:tc>
          <w:tcPr>
            <w:tcW w:w="2268" w:type="dxa"/>
            <w:tcBorders>
              <w:right w:val="single" w:sz="4" w:space="0" w:color="auto"/>
            </w:tcBorders>
            <w:shd w:val="clear" w:color="auto" w:fill="D9D9D9"/>
            <w:hideMark/>
          </w:tcPr>
          <w:p w14:paraId="709273EC" w14:textId="77777777" w:rsidR="002A4DDF" w:rsidRPr="00937C8B" w:rsidRDefault="002A4DDF" w:rsidP="009110ED">
            <w:pPr>
              <w:rPr>
                <w:rFonts w:ascii="Arial" w:hAnsi="Arial" w:cs="Arial"/>
                <w:sz w:val="12"/>
                <w:szCs w:val="12"/>
              </w:rPr>
            </w:pPr>
          </w:p>
        </w:tc>
      </w:tr>
      <w:tr w:rsidR="002A4DDF" w:rsidRPr="00937C8B" w14:paraId="752A127D" w14:textId="77777777" w:rsidTr="00935676">
        <w:trPr>
          <w:cantSplit/>
        </w:trPr>
        <w:tc>
          <w:tcPr>
            <w:tcW w:w="1696" w:type="dxa"/>
            <w:tcBorders>
              <w:left w:val="single" w:sz="4" w:space="0" w:color="auto"/>
              <w:bottom w:val="single" w:sz="4" w:space="0" w:color="auto"/>
            </w:tcBorders>
            <w:shd w:val="clear" w:color="auto" w:fill="auto"/>
            <w:hideMark/>
          </w:tcPr>
          <w:p w14:paraId="7873DCEE" w14:textId="77777777" w:rsidR="002A4DDF" w:rsidRPr="00937C8B" w:rsidRDefault="002A4DDF" w:rsidP="009110ED">
            <w:pPr>
              <w:rPr>
                <w:rFonts w:ascii="Arial" w:hAnsi="Arial" w:cs="Arial"/>
                <w:sz w:val="12"/>
                <w:szCs w:val="12"/>
              </w:rPr>
            </w:pPr>
            <w:r>
              <w:rPr>
                <w:rFonts w:ascii="Arial" w:hAnsi="Arial"/>
                <w:sz w:val="12"/>
                <w:szCs w:val="12"/>
              </w:rPr>
              <w:t>Castille-La Manche</w:t>
            </w:r>
          </w:p>
        </w:tc>
        <w:tc>
          <w:tcPr>
            <w:tcW w:w="1843" w:type="dxa"/>
            <w:tcBorders>
              <w:bottom w:val="single" w:sz="4" w:space="0" w:color="auto"/>
            </w:tcBorders>
            <w:shd w:val="clear" w:color="auto" w:fill="auto"/>
            <w:hideMark/>
          </w:tcPr>
          <w:p w14:paraId="0FEF9D2F" w14:textId="77777777" w:rsidR="002A4DDF" w:rsidRPr="00937C8B" w:rsidRDefault="002A4DDF" w:rsidP="009110ED">
            <w:pPr>
              <w:rPr>
                <w:rFonts w:ascii="Arial" w:hAnsi="Arial" w:cs="Arial"/>
                <w:sz w:val="12"/>
                <w:szCs w:val="12"/>
              </w:rPr>
            </w:pPr>
            <w:r>
              <w:rPr>
                <w:rFonts w:ascii="Arial" w:hAnsi="Arial"/>
                <w:sz w:val="12"/>
                <w:szCs w:val="12"/>
              </w:rPr>
              <w:t>Guadalajara</w:t>
            </w:r>
          </w:p>
        </w:tc>
        <w:tc>
          <w:tcPr>
            <w:tcW w:w="2268" w:type="dxa"/>
            <w:tcBorders>
              <w:bottom w:val="single" w:sz="4" w:space="0" w:color="auto"/>
            </w:tcBorders>
            <w:shd w:val="clear" w:color="auto" w:fill="F2F2F2"/>
            <w:hideMark/>
          </w:tcPr>
          <w:p w14:paraId="766DDE53" w14:textId="77777777" w:rsidR="002A4DDF" w:rsidRPr="00937C8B" w:rsidRDefault="002A4DDF" w:rsidP="009110ED">
            <w:pPr>
              <w:rPr>
                <w:rFonts w:ascii="Arial" w:hAnsi="Arial" w:cs="Arial"/>
                <w:sz w:val="12"/>
                <w:szCs w:val="12"/>
              </w:rPr>
            </w:pPr>
            <w:r>
              <w:rPr>
                <w:rFonts w:ascii="Arial" w:hAnsi="Arial"/>
                <w:sz w:val="12"/>
                <w:szCs w:val="12"/>
              </w:rPr>
              <w:t>Yunquera de Henares</w:t>
            </w:r>
          </w:p>
        </w:tc>
        <w:tc>
          <w:tcPr>
            <w:tcW w:w="2268" w:type="dxa"/>
            <w:tcBorders>
              <w:bottom w:val="single" w:sz="4" w:space="0" w:color="auto"/>
              <w:right w:val="single" w:sz="4" w:space="0" w:color="auto"/>
            </w:tcBorders>
            <w:shd w:val="clear" w:color="auto" w:fill="D9D9D9"/>
            <w:hideMark/>
          </w:tcPr>
          <w:p w14:paraId="6FF71694" w14:textId="77777777" w:rsidR="002A4DDF" w:rsidRPr="00937C8B" w:rsidRDefault="002A4DDF" w:rsidP="009110ED">
            <w:pPr>
              <w:rPr>
                <w:rFonts w:ascii="Arial" w:hAnsi="Arial" w:cs="Arial"/>
                <w:sz w:val="12"/>
                <w:szCs w:val="12"/>
              </w:rPr>
            </w:pPr>
          </w:p>
        </w:tc>
      </w:tr>
      <w:tr w:rsidR="002A4DDF" w:rsidRPr="00937C8B" w14:paraId="0A5D150F" w14:textId="77777777" w:rsidTr="00935676">
        <w:trPr>
          <w:cantSplit/>
        </w:trPr>
        <w:tc>
          <w:tcPr>
            <w:tcW w:w="1696" w:type="dxa"/>
            <w:tcBorders>
              <w:top w:val="single" w:sz="4" w:space="0" w:color="auto"/>
              <w:bottom w:val="single" w:sz="4" w:space="0" w:color="auto"/>
            </w:tcBorders>
            <w:shd w:val="clear" w:color="auto" w:fill="auto"/>
            <w:hideMark/>
          </w:tcPr>
          <w:p w14:paraId="6A1446CF"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26ED67B7"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7CB09C43"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1E67ACCE" w14:textId="77777777" w:rsidR="002A4DDF" w:rsidRPr="00937C8B" w:rsidRDefault="002A4DDF" w:rsidP="009110ED">
            <w:pPr>
              <w:rPr>
                <w:rFonts w:ascii="Arial" w:hAnsi="Arial" w:cs="Arial"/>
                <w:sz w:val="12"/>
                <w:szCs w:val="12"/>
              </w:rPr>
            </w:pPr>
          </w:p>
        </w:tc>
      </w:tr>
      <w:tr w:rsidR="002A4DDF" w:rsidRPr="00937C8B" w14:paraId="4A587AB9" w14:textId="77777777" w:rsidTr="00935676">
        <w:trPr>
          <w:cantSplit/>
        </w:trPr>
        <w:tc>
          <w:tcPr>
            <w:tcW w:w="1696" w:type="dxa"/>
            <w:tcBorders>
              <w:top w:val="single" w:sz="4" w:space="0" w:color="auto"/>
              <w:left w:val="single" w:sz="4" w:space="0" w:color="auto"/>
            </w:tcBorders>
            <w:shd w:val="clear" w:color="auto" w:fill="auto"/>
            <w:hideMark/>
          </w:tcPr>
          <w:p w14:paraId="2FFD9919" w14:textId="77777777" w:rsidR="002A4DDF" w:rsidRPr="00937C8B" w:rsidRDefault="002A4DDF" w:rsidP="009110ED">
            <w:pPr>
              <w:rPr>
                <w:rFonts w:ascii="Arial" w:hAnsi="Arial" w:cs="Arial"/>
                <w:sz w:val="12"/>
                <w:szCs w:val="12"/>
              </w:rPr>
            </w:pPr>
            <w:r>
              <w:rPr>
                <w:rFonts w:ascii="Arial" w:hAnsi="Arial"/>
                <w:sz w:val="12"/>
                <w:szCs w:val="12"/>
              </w:rPr>
              <w:t>Castille-La Manche</w:t>
            </w:r>
          </w:p>
        </w:tc>
        <w:tc>
          <w:tcPr>
            <w:tcW w:w="1843" w:type="dxa"/>
            <w:tcBorders>
              <w:top w:val="single" w:sz="4" w:space="0" w:color="auto"/>
            </w:tcBorders>
            <w:shd w:val="clear" w:color="auto" w:fill="auto"/>
            <w:hideMark/>
          </w:tcPr>
          <w:p w14:paraId="2EE713D9" w14:textId="77777777" w:rsidR="002A4DDF" w:rsidRPr="00937C8B" w:rsidRDefault="002A4DDF" w:rsidP="009110ED">
            <w:pPr>
              <w:rPr>
                <w:rFonts w:ascii="Arial" w:hAnsi="Arial" w:cs="Arial"/>
                <w:sz w:val="12"/>
                <w:szCs w:val="12"/>
              </w:rPr>
            </w:pPr>
            <w:r>
              <w:rPr>
                <w:rFonts w:ascii="Arial" w:hAnsi="Arial"/>
                <w:sz w:val="12"/>
                <w:szCs w:val="12"/>
              </w:rPr>
              <w:t>Tolède</w:t>
            </w:r>
          </w:p>
        </w:tc>
        <w:tc>
          <w:tcPr>
            <w:tcW w:w="2268" w:type="dxa"/>
            <w:tcBorders>
              <w:top w:val="single" w:sz="4" w:space="0" w:color="auto"/>
            </w:tcBorders>
            <w:shd w:val="clear" w:color="auto" w:fill="F2F2F2"/>
            <w:hideMark/>
          </w:tcPr>
          <w:p w14:paraId="71F13569" w14:textId="77777777" w:rsidR="002A4DDF" w:rsidRPr="00937C8B" w:rsidRDefault="002A4DDF" w:rsidP="009110ED">
            <w:pPr>
              <w:rPr>
                <w:rFonts w:ascii="Arial" w:hAnsi="Arial" w:cs="Arial"/>
                <w:sz w:val="12"/>
                <w:szCs w:val="12"/>
              </w:rPr>
            </w:pPr>
            <w:r>
              <w:rPr>
                <w:rFonts w:ascii="Arial" w:hAnsi="Arial"/>
                <w:sz w:val="12"/>
                <w:szCs w:val="12"/>
              </w:rPr>
              <w:t>Alcabón</w:t>
            </w:r>
          </w:p>
        </w:tc>
        <w:tc>
          <w:tcPr>
            <w:tcW w:w="2268" w:type="dxa"/>
            <w:tcBorders>
              <w:top w:val="single" w:sz="4" w:space="0" w:color="auto"/>
              <w:right w:val="single" w:sz="4" w:space="0" w:color="auto"/>
            </w:tcBorders>
            <w:shd w:val="clear" w:color="auto" w:fill="D9D9D9"/>
            <w:hideMark/>
          </w:tcPr>
          <w:p w14:paraId="4D9AE538" w14:textId="77777777" w:rsidR="002A4DDF" w:rsidRPr="00937C8B" w:rsidRDefault="002A4DDF" w:rsidP="009110ED">
            <w:pPr>
              <w:rPr>
                <w:rFonts w:ascii="Arial" w:hAnsi="Arial" w:cs="Arial"/>
                <w:sz w:val="12"/>
                <w:szCs w:val="12"/>
              </w:rPr>
            </w:pPr>
            <w:r>
              <w:rPr>
                <w:rFonts w:ascii="Arial" w:hAnsi="Arial"/>
                <w:sz w:val="12"/>
                <w:szCs w:val="12"/>
              </w:rPr>
              <w:t>Ajofrín</w:t>
            </w:r>
          </w:p>
        </w:tc>
      </w:tr>
      <w:tr w:rsidR="002A4DDF" w:rsidRPr="00937C8B" w14:paraId="3157A71C" w14:textId="77777777" w:rsidTr="00935676">
        <w:trPr>
          <w:cantSplit/>
        </w:trPr>
        <w:tc>
          <w:tcPr>
            <w:tcW w:w="1696" w:type="dxa"/>
            <w:tcBorders>
              <w:left w:val="single" w:sz="4" w:space="0" w:color="auto"/>
            </w:tcBorders>
            <w:shd w:val="clear" w:color="auto" w:fill="auto"/>
          </w:tcPr>
          <w:p w14:paraId="3F68DBD5" w14:textId="77777777" w:rsidR="002A4DDF" w:rsidRPr="00937C8B" w:rsidRDefault="002A4DDF" w:rsidP="009110ED">
            <w:pPr>
              <w:rPr>
                <w:rFonts w:ascii="Arial" w:hAnsi="Arial" w:cs="Arial"/>
                <w:sz w:val="12"/>
                <w:szCs w:val="12"/>
              </w:rPr>
            </w:pPr>
          </w:p>
        </w:tc>
        <w:tc>
          <w:tcPr>
            <w:tcW w:w="1843" w:type="dxa"/>
            <w:shd w:val="clear" w:color="auto" w:fill="auto"/>
          </w:tcPr>
          <w:p w14:paraId="34C63EF0" w14:textId="77777777" w:rsidR="002A4DDF" w:rsidRPr="00937C8B" w:rsidRDefault="002A4DDF" w:rsidP="009110ED">
            <w:pPr>
              <w:rPr>
                <w:rFonts w:ascii="Arial" w:hAnsi="Arial" w:cs="Arial"/>
                <w:sz w:val="12"/>
                <w:szCs w:val="12"/>
              </w:rPr>
            </w:pPr>
          </w:p>
        </w:tc>
        <w:tc>
          <w:tcPr>
            <w:tcW w:w="2268" w:type="dxa"/>
            <w:shd w:val="clear" w:color="auto" w:fill="F2F2F2"/>
            <w:hideMark/>
          </w:tcPr>
          <w:p w14:paraId="34695EBF" w14:textId="77777777" w:rsidR="002A4DDF" w:rsidRPr="00937C8B" w:rsidRDefault="002A4DDF" w:rsidP="009110ED">
            <w:pPr>
              <w:rPr>
                <w:rFonts w:ascii="Arial" w:hAnsi="Arial" w:cs="Arial"/>
                <w:sz w:val="12"/>
                <w:szCs w:val="12"/>
              </w:rPr>
            </w:pPr>
            <w:r>
              <w:rPr>
                <w:rFonts w:ascii="Arial" w:hAnsi="Arial"/>
                <w:sz w:val="12"/>
                <w:szCs w:val="12"/>
              </w:rPr>
              <w:t>Alcaudete de la Jara</w:t>
            </w:r>
          </w:p>
        </w:tc>
        <w:tc>
          <w:tcPr>
            <w:tcW w:w="2268" w:type="dxa"/>
            <w:tcBorders>
              <w:right w:val="single" w:sz="4" w:space="0" w:color="auto"/>
            </w:tcBorders>
            <w:shd w:val="clear" w:color="auto" w:fill="D9D9D9"/>
            <w:hideMark/>
          </w:tcPr>
          <w:p w14:paraId="49648BE5" w14:textId="77777777" w:rsidR="002A4DDF" w:rsidRPr="00937C8B" w:rsidRDefault="002A4DDF" w:rsidP="009110ED">
            <w:pPr>
              <w:rPr>
                <w:rFonts w:ascii="Arial" w:hAnsi="Arial" w:cs="Arial"/>
                <w:sz w:val="12"/>
                <w:szCs w:val="12"/>
              </w:rPr>
            </w:pPr>
            <w:r>
              <w:rPr>
                <w:rFonts w:ascii="Arial" w:hAnsi="Arial"/>
                <w:sz w:val="12"/>
                <w:szCs w:val="12"/>
              </w:rPr>
              <w:t>Albarreal de Tajo</w:t>
            </w:r>
          </w:p>
        </w:tc>
      </w:tr>
      <w:tr w:rsidR="002A4DDF" w:rsidRPr="00937C8B" w14:paraId="7E3E0D0E" w14:textId="77777777" w:rsidTr="00935676">
        <w:trPr>
          <w:cantSplit/>
        </w:trPr>
        <w:tc>
          <w:tcPr>
            <w:tcW w:w="1696" w:type="dxa"/>
            <w:tcBorders>
              <w:left w:val="single" w:sz="4" w:space="0" w:color="auto"/>
            </w:tcBorders>
            <w:shd w:val="clear" w:color="auto" w:fill="auto"/>
          </w:tcPr>
          <w:p w14:paraId="0AB2ABA0" w14:textId="77777777" w:rsidR="002A4DDF" w:rsidRPr="00937C8B" w:rsidRDefault="002A4DDF" w:rsidP="009110ED">
            <w:pPr>
              <w:rPr>
                <w:rFonts w:ascii="Arial" w:hAnsi="Arial" w:cs="Arial"/>
                <w:sz w:val="12"/>
                <w:szCs w:val="12"/>
              </w:rPr>
            </w:pPr>
          </w:p>
        </w:tc>
        <w:tc>
          <w:tcPr>
            <w:tcW w:w="1843" w:type="dxa"/>
            <w:shd w:val="clear" w:color="auto" w:fill="auto"/>
          </w:tcPr>
          <w:p w14:paraId="036ED36C" w14:textId="77777777" w:rsidR="002A4DDF" w:rsidRPr="00937C8B" w:rsidRDefault="002A4DDF" w:rsidP="009110ED">
            <w:pPr>
              <w:rPr>
                <w:rFonts w:ascii="Arial" w:hAnsi="Arial" w:cs="Arial"/>
                <w:sz w:val="12"/>
                <w:szCs w:val="12"/>
              </w:rPr>
            </w:pPr>
          </w:p>
        </w:tc>
        <w:tc>
          <w:tcPr>
            <w:tcW w:w="2268" w:type="dxa"/>
            <w:shd w:val="clear" w:color="auto" w:fill="F2F2F2"/>
            <w:hideMark/>
          </w:tcPr>
          <w:p w14:paraId="4DB195D9" w14:textId="77777777" w:rsidR="002A4DDF" w:rsidRPr="00937C8B" w:rsidRDefault="002A4DDF" w:rsidP="009110ED">
            <w:pPr>
              <w:rPr>
                <w:rFonts w:ascii="Arial" w:hAnsi="Arial" w:cs="Arial"/>
                <w:sz w:val="12"/>
                <w:szCs w:val="12"/>
              </w:rPr>
            </w:pPr>
            <w:r>
              <w:rPr>
                <w:rFonts w:ascii="Arial" w:hAnsi="Arial"/>
                <w:sz w:val="12"/>
                <w:szCs w:val="12"/>
              </w:rPr>
              <w:t>Añover de Tajo</w:t>
            </w:r>
          </w:p>
        </w:tc>
        <w:tc>
          <w:tcPr>
            <w:tcW w:w="2268" w:type="dxa"/>
            <w:tcBorders>
              <w:right w:val="single" w:sz="4" w:space="0" w:color="auto"/>
            </w:tcBorders>
            <w:shd w:val="clear" w:color="auto" w:fill="D9D9D9"/>
            <w:hideMark/>
          </w:tcPr>
          <w:p w14:paraId="30CE87D7" w14:textId="77777777" w:rsidR="002A4DDF" w:rsidRPr="00937C8B" w:rsidRDefault="002A4DDF" w:rsidP="009110ED">
            <w:pPr>
              <w:rPr>
                <w:rFonts w:ascii="Arial" w:hAnsi="Arial" w:cs="Arial"/>
                <w:sz w:val="12"/>
                <w:szCs w:val="12"/>
              </w:rPr>
            </w:pPr>
            <w:r>
              <w:rPr>
                <w:rFonts w:ascii="Arial" w:hAnsi="Arial"/>
                <w:sz w:val="12"/>
                <w:szCs w:val="12"/>
              </w:rPr>
              <w:t>Aldea en Cabo</w:t>
            </w:r>
          </w:p>
        </w:tc>
      </w:tr>
      <w:tr w:rsidR="002A4DDF" w:rsidRPr="00937C8B" w14:paraId="0A83B14A" w14:textId="77777777" w:rsidTr="00935676">
        <w:trPr>
          <w:cantSplit/>
        </w:trPr>
        <w:tc>
          <w:tcPr>
            <w:tcW w:w="1696" w:type="dxa"/>
            <w:tcBorders>
              <w:left w:val="single" w:sz="4" w:space="0" w:color="auto"/>
            </w:tcBorders>
            <w:shd w:val="clear" w:color="auto" w:fill="auto"/>
          </w:tcPr>
          <w:p w14:paraId="2D87DD01" w14:textId="77777777" w:rsidR="002A4DDF" w:rsidRPr="00937C8B" w:rsidRDefault="002A4DDF" w:rsidP="009110ED">
            <w:pPr>
              <w:rPr>
                <w:rFonts w:ascii="Arial" w:hAnsi="Arial" w:cs="Arial"/>
                <w:sz w:val="12"/>
                <w:szCs w:val="12"/>
              </w:rPr>
            </w:pPr>
          </w:p>
        </w:tc>
        <w:tc>
          <w:tcPr>
            <w:tcW w:w="1843" w:type="dxa"/>
            <w:shd w:val="clear" w:color="auto" w:fill="auto"/>
          </w:tcPr>
          <w:p w14:paraId="50364036" w14:textId="77777777" w:rsidR="002A4DDF" w:rsidRPr="00937C8B" w:rsidRDefault="002A4DDF" w:rsidP="009110ED">
            <w:pPr>
              <w:rPr>
                <w:rFonts w:ascii="Arial" w:hAnsi="Arial" w:cs="Arial"/>
                <w:sz w:val="12"/>
                <w:szCs w:val="12"/>
              </w:rPr>
            </w:pPr>
          </w:p>
        </w:tc>
        <w:tc>
          <w:tcPr>
            <w:tcW w:w="2268" w:type="dxa"/>
            <w:shd w:val="clear" w:color="auto" w:fill="F2F2F2"/>
            <w:hideMark/>
          </w:tcPr>
          <w:p w14:paraId="4C4A3115" w14:textId="77777777" w:rsidR="002A4DDF" w:rsidRPr="00937C8B" w:rsidRDefault="002A4DDF" w:rsidP="009110ED">
            <w:pPr>
              <w:rPr>
                <w:rFonts w:ascii="Arial" w:hAnsi="Arial" w:cs="Arial"/>
                <w:sz w:val="12"/>
                <w:szCs w:val="12"/>
              </w:rPr>
            </w:pPr>
            <w:r>
              <w:rPr>
                <w:rFonts w:ascii="Arial" w:hAnsi="Arial"/>
                <w:sz w:val="12"/>
                <w:szCs w:val="12"/>
              </w:rPr>
              <w:t>Arcicóllar</w:t>
            </w:r>
          </w:p>
        </w:tc>
        <w:tc>
          <w:tcPr>
            <w:tcW w:w="2268" w:type="dxa"/>
            <w:tcBorders>
              <w:right w:val="single" w:sz="4" w:space="0" w:color="auto"/>
            </w:tcBorders>
            <w:shd w:val="clear" w:color="auto" w:fill="D9D9D9"/>
            <w:hideMark/>
          </w:tcPr>
          <w:p w14:paraId="5549C7D2" w14:textId="77777777" w:rsidR="002A4DDF" w:rsidRPr="00937C8B" w:rsidRDefault="002A4DDF" w:rsidP="009110ED">
            <w:pPr>
              <w:rPr>
                <w:rFonts w:ascii="Arial" w:hAnsi="Arial" w:cs="Arial"/>
                <w:sz w:val="12"/>
                <w:szCs w:val="12"/>
              </w:rPr>
            </w:pPr>
            <w:r>
              <w:rPr>
                <w:rFonts w:ascii="Arial" w:hAnsi="Arial"/>
                <w:sz w:val="12"/>
                <w:szCs w:val="12"/>
              </w:rPr>
              <w:t>Aldeanueva de Barbarroya</w:t>
            </w:r>
          </w:p>
        </w:tc>
      </w:tr>
      <w:tr w:rsidR="002A4DDF" w:rsidRPr="00937C8B" w14:paraId="5E07E12C" w14:textId="77777777" w:rsidTr="00935676">
        <w:trPr>
          <w:cantSplit/>
        </w:trPr>
        <w:tc>
          <w:tcPr>
            <w:tcW w:w="1696" w:type="dxa"/>
            <w:tcBorders>
              <w:left w:val="single" w:sz="4" w:space="0" w:color="auto"/>
            </w:tcBorders>
            <w:shd w:val="clear" w:color="auto" w:fill="auto"/>
          </w:tcPr>
          <w:p w14:paraId="793509DE" w14:textId="77777777" w:rsidR="002A4DDF" w:rsidRPr="00937C8B" w:rsidRDefault="002A4DDF" w:rsidP="009110ED">
            <w:pPr>
              <w:rPr>
                <w:rFonts w:ascii="Arial" w:hAnsi="Arial" w:cs="Arial"/>
                <w:sz w:val="12"/>
                <w:szCs w:val="12"/>
              </w:rPr>
            </w:pPr>
          </w:p>
        </w:tc>
        <w:tc>
          <w:tcPr>
            <w:tcW w:w="1843" w:type="dxa"/>
            <w:shd w:val="clear" w:color="auto" w:fill="auto"/>
          </w:tcPr>
          <w:p w14:paraId="02C88D60" w14:textId="77777777" w:rsidR="002A4DDF" w:rsidRPr="00937C8B" w:rsidRDefault="002A4DDF" w:rsidP="009110ED">
            <w:pPr>
              <w:rPr>
                <w:rFonts w:ascii="Arial" w:hAnsi="Arial" w:cs="Arial"/>
                <w:sz w:val="12"/>
                <w:szCs w:val="12"/>
              </w:rPr>
            </w:pPr>
          </w:p>
        </w:tc>
        <w:tc>
          <w:tcPr>
            <w:tcW w:w="2268" w:type="dxa"/>
            <w:shd w:val="clear" w:color="auto" w:fill="F2F2F2"/>
            <w:hideMark/>
          </w:tcPr>
          <w:p w14:paraId="62E45BF0" w14:textId="77777777" w:rsidR="002A4DDF" w:rsidRPr="00937C8B" w:rsidRDefault="002A4DDF" w:rsidP="009110ED">
            <w:pPr>
              <w:rPr>
                <w:rFonts w:ascii="Arial" w:hAnsi="Arial" w:cs="Arial"/>
                <w:sz w:val="12"/>
                <w:szCs w:val="12"/>
              </w:rPr>
            </w:pPr>
            <w:r>
              <w:rPr>
                <w:rFonts w:ascii="Arial" w:hAnsi="Arial"/>
                <w:sz w:val="12"/>
                <w:szCs w:val="12"/>
              </w:rPr>
              <w:t>Barcience</w:t>
            </w:r>
          </w:p>
        </w:tc>
        <w:tc>
          <w:tcPr>
            <w:tcW w:w="2268" w:type="dxa"/>
            <w:tcBorders>
              <w:right w:val="single" w:sz="4" w:space="0" w:color="auto"/>
            </w:tcBorders>
            <w:shd w:val="clear" w:color="auto" w:fill="D9D9D9"/>
            <w:hideMark/>
          </w:tcPr>
          <w:p w14:paraId="6DA7EBA4" w14:textId="77777777" w:rsidR="002A4DDF" w:rsidRPr="00937C8B" w:rsidRDefault="002A4DDF" w:rsidP="009110ED">
            <w:pPr>
              <w:rPr>
                <w:rFonts w:ascii="Arial" w:hAnsi="Arial" w:cs="Arial"/>
                <w:sz w:val="12"/>
                <w:szCs w:val="12"/>
              </w:rPr>
            </w:pPr>
            <w:r>
              <w:rPr>
                <w:rFonts w:ascii="Arial" w:hAnsi="Arial"/>
                <w:sz w:val="12"/>
                <w:szCs w:val="12"/>
              </w:rPr>
              <w:t>Aldeanueva de San Bartolomé</w:t>
            </w:r>
          </w:p>
        </w:tc>
      </w:tr>
      <w:tr w:rsidR="002A4DDF" w:rsidRPr="00937C8B" w14:paraId="73A000ED" w14:textId="77777777" w:rsidTr="00935676">
        <w:trPr>
          <w:cantSplit/>
        </w:trPr>
        <w:tc>
          <w:tcPr>
            <w:tcW w:w="1696" w:type="dxa"/>
            <w:tcBorders>
              <w:left w:val="single" w:sz="4" w:space="0" w:color="auto"/>
            </w:tcBorders>
            <w:shd w:val="clear" w:color="auto" w:fill="auto"/>
          </w:tcPr>
          <w:p w14:paraId="6F5632B8" w14:textId="77777777" w:rsidR="002A4DDF" w:rsidRPr="00937C8B" w:rsidRDefault="002A4DDF" w:rsidP="009110ED">
            <w:pPr>
              <w:rPr>
                <w:rFonts w:ascii="Arial" w:hAnsi="Arial" w:cs="Arial"/>
                <w:sz w:val="12"/>
                <w:szCs w:val="12"/>
              </w:rPr>
            </w:pPr>
          </w:p>
        </w:tc>
        <w:tc>
          <w:tcPr>
            <w:tcW w:w="1843" w:type="dxa"/>
            <w:shd w:val="clear" w:color="auto" w:fill="auto"/>
          </w:tcPr>
          <w:p w14:paraId="58E49F99" w14:textId="77777777" w:rsidR="002A4DDF" w:rsidRPr="00937C8B" w:rsidRDefault="002A4DDF" w:rsidP="009110ED">
            <w:pPr>
              <w:rPr>
                <w:rFonts w:ascii="Arial" w:hAnsi="Arial" w:cs="Arial"/>
                <w:sz w:val="12"/>
                <w:szCs w:val="12"/>
              </w:rPr>
            </w:pPr>
          </w:p>
        </w:tc>
        <w:tc>
          <w:tcPr>
            <w:tcW w:w="2268" w:type="dxa"/>
            <w:shd w:val="clear" w:color="auto" w:fill="F2F2F2"/>
            <w:hideMark/>
          </w:tcPr>
          <w:p w14:paraId="55CB9A01" w14:textId="77777777" w:rsidR="002A4DDF" w:rsidRPr="00937C8B" w:rsidRDefault="002A4DDF" w:rsidP="009110ED">
            <w:pPr>
              <w:rPr>
                <w:rFonts w:ascii="Arial" w:hAnsi="Arial" w:cs="Arial"/>
                <w:sz w:val="12"/>
                <w:szCs w:val="12"/>
              </w:rPr>
            </w:pPr>
            <w:r>
              <w:rPr>
                <w:rFonts w:ascii="Arial" w:hAnsi="Arial"/>
                <w:sz w:val="12"/>
                <w:szCs w:val="12"/>
              </w:rPr>
              <w:t>Bargas</w:t>
            </w:r>
          </w:p>
        </w:tc>
        <w:tc>
          <w:tcPr>
            <w:tcW w:w="2268" w:type="dxa"/>
            <w:tcBorders>
              <w:right w:val="single" w:sz="4" w:space="0" w:color="auto"/>
            </w:tcBorders>
            <w:shd w:val="clear" w:color="auto" w:fill="D9D9D9"/>
            <w:hideMark/>
          </w:tcPr>
          <w:p w14:paraId="7EE00801" w14:textId="77777777" w:rsidR="002A4DDF" w:rsidRPr="00937C8B" w:rsidRDefault="002A4DDF" w:rsidP="009110ED">
            <w:pPr>
              <w:rPr>
                <w:rFonts w:ascii="Arial" w:hAnsi="Arial" w:cs="Arial"/>
                <w:sz w:val="12"/>
                <w:szCs w:val="12"/>
              </w:rPr>
            </w:pPr>
            <w:r>
              <w:rPr>
                <w:rFonts w:ascii="Arial" w:hAnsi="Arial"/>
                <w:sz w:val="12"/>
                <w:szCs w:val="12"/>
              </w:rPr>
              <w:t>Almendral de la Cañada</w:t>
            </w:r>
          </w:p>
        </w:tc>
      </w:tr>
      <w:tr w:rsidR="002A4DDF" w:rsidRPr="00937C8B" w14:paraId="3C0383D8" w14:textId="77777777" w:rsidTr="00935676">
        <w:trPr>
          <w:cantSplit/>
        </w:trPr>
        <w:tc>
          <w:tcPr>
            <w:tcW w:w="1696" w:type="dxa"/>
            <w:tcBorders>
              <w:left w:val="single" w:sz="4" w:space="0" w:color="auto"/>
            </w:tcBorders>
            <w:shd w:val="clear" w:color="auto" w:fill="auto"/>
          </w:tcPr>
          <w:p w14:paraId="5C5079F5" w14:textId="77777777" w:rsidR="002A4DDF" w:rsidRPr="00937C8B" w:rsidRDefault="002A4DDF" w:rsidP="009110ED">
            <w:pPr>
              <w:rPr>
                <w:rFonts w:ascii="Arial" w:hAnsi="Arial" w:cs="Arial"/>
                <w:sz w:val="12"/>
                <w:szCs w:val="12"/>
              </w:rPr>
            </w:pPr>
          </w:p>
        </w:tc>
        <w:tc>
          <w:tcPr>
            <w:tcW w:w="1843" w:type="dxa"/>
            <w:shd w:val="clear" w:color="auto" w:fill="auto"/>
          </w:tcPr>
          <w:p w14:paraId="1663A192" w14:textId="77777777" w:rsidR="002A4DDF" w:rsidRPr="00937C8B" w:rsidRDefault="002A4DDF" w:rsidP="009110ED">
            <w:pPr>
              <w:rPr>
                <w:rFonts w:ascii="Arial" w:hAnsi="Arial" w:cs="Arial"/>
                <w:sz w:val="12"/>
                <w:szCs w:val="12"/>
              </w:rPr>
            </w:pPr>
          </w:p>
        </w:tc>
        <w:tc>
          <w:tcPr>
            <w:tcW w:w="2268" w:type="dxa"/>
            <w:shd w:val="clear" w:color="auto" w:fill="F2F2F2"/>
            <w:hideMark/>
          </w:tcPr>
          <w:p w14:paraId="073A114B" w14:textId="77777777" w:rsidR="002A4DDF" w:rsidRPr="00937C8B" w:rsidRDefault="002A4DDF" w:rsidP="009110ED">
            <w:pPr>
              <w:rPr>
                <w:rFonts w:ascii="Arial" w:hAnsi="Arial" w:cs="Arial"/>
                <w:sz w:val="12"/>
                <w:szCs w:val="12"/>
              </w:rPr>
            </w:pPr>
            <w:r>
              <w:rPr>
                <w:rFonts w:ascii="Arial" w:hAnsi="Arial"/>
                <w:sz w:val="12"/>
                <w:szCs w:val="12"/>
              </w:rPr>
              <w:t>Belvís de la Jara</w:t>
            </w:r>
          </w:p>
        </w:tc>
        <w:tc>
          <w:tcPr>
            <w:tcW w:w="2268" w:type="dxa"/>
            <w:tcBorders>
              <w:right w:val="single" w:sz="4" w:space="0" w:color="auto"/>
            </w:tcBorders>
            <w:shd w:val="clear" w:color="auto" w:fill="D9D9D9"/>
            <w:hideMark/>
          </w:tcPr>
          <w:p w14:paraId="59B62703" w14:textId="77777777" w:rsidR="002A4DDF" w:rsidRPr="00937C8B" w:rsidRDefault="002A4DDF" w:rsidP="009110ED">
            <w:pPr>
              <w:rPr>
                <w:rFonts w:ascii="Arial" w:hAnsi="Arial" w:cs="Arial"/>
                <w:sz w:val="12"/>
                <w:szCs w:val="12"/>
              </w:rPr>
            </w:pPr>
            <w:r>
              <w:rPr>
                <w:rFonts w:ascii="Arial" w:hAnsi="Arial"/>
                <w:sz w:val="12"/>
                <w:szCs w:val="12"/>
              </w:rPr>
              <w:t>Almonacid de Toledo</w:t>
            </w:r>
          </w:p>
        </w:tc>
      </w:tr>
      <w:tr w:rsidR="002A4DDF" w:rsidRPr="00937C8B" w14:paraId="61EC5277" w14:textId="77777777" w:rsidTr="00935676">
        <w:trPr>
          <w:cantSplit/>
        </w:trPr>
        <w:tc>
          <w:tcPr>
            <w:tcW w:w="1696" w:type="dxa"/>
            <w:tcBorders>
              <w:left w:val="single" w:sz="4" w:space="0" w:color="auto"/>
            </w:tcBorders>
            <w:shd w:val="clear" w:color="auto" w:fill="auto"/>
          </w:tcPr>
          <w:p w14:paraId="6DE5C291" w14:textId="77777777" w:rsidR="002A4DDF" w:rsidRPr="00937C8B" w:rsidRDefault="002A4DDF" w:rsidP="009110ED">
            <w:pPr>
              <w:rPr>
                <w:rFonts w:ascii="Arial" w:hAnsi="Arial" w:cs="Arial"/>
                <w:sz w:val="12"/>
                <w:szCs w:val="12"/>
              </w:rPr>
            </w:pPr>
          </w:p>
        </w:tc>
        <w:tc>
          <w:tcPr>
            <w:tcW w:w="1843" w:type="dxa"/>
            <w:shd w:val="clear" w:color="auto" w:fill="auto"/>
          </w:tcPr>
          <w:p w14:paraId="2266315C" w14:textId="77777777" w:rsidR="002A4DDF" w:rsidRPr="00937C8B" w:rsidRDefault="002A4DDF" w:rsidP="009110ED">
            <w:pPr>
              <w:rPr>
                <w:rFonts w:ascii="Arial" w:hAnsi="Arial" w:cs="Arial"/>
                <w:sz w:val="12"/>
                <w:szCs w:val="12"/>
              </w:rPr>
            </w:pPr>
          </w:p>
        </w:tc>
        <w:tc>
          <w:tcPr>
            <w:tcW w:w="2268" w:type="dxa"/>
            <w:shd w:val="clear" w:color="auto" w:fill="F2F2F2"/>
            <w:hideMark/>
          </w:tcPr>
          <w:p w14:paraId="4580537D" w14:textId="77777777" w:rsidR="002A4DDF" w:rsidRPr="00937C8B" w:rsidRDefault="002A4DDF" w:rsidP="009110ED">
            <w:pPr>
              <w:rPr>
                <w:rFonts w:ascii="Arial" w:hAnsi="Arial" w:cs="Arial"/>
                <w:sz w:val="12"/>
                <w:szCs w:val="12"/>
              </w:rPr>
            </w:pPr>
            <w:r>
              <w:rPr>
                <w:rFonts w:ascii="Arial" w:hAnsi="Arial"/>
                <w:sz w:val="12"/>
                <w:szCs w:val="12"/>
              </w:rPr>
              <w:t>Borox</w:t>
            </w:r>
          </w:p>
        </w:tc>
        <w:tc>
          <w:tcPr>
            <w:tcW w:w="2268" w:type="dxa"/>
            <w:tcBorders>
              <w:right w:val="single" w:sz="4" w:space="0" w:color="auto"/>
            </w:tcBorders>
            <w:shd w:val="clear" w:color="auto" w:fill="D9D9D9"/>
            <w:hideMark/>
          </w:tcPr>
          <w:p w14:paraId="670FBDAC" w14:textId="77777777" w:rsidR="002A4DDF" w:rsidRPr="00937C8B" w:rsidRDefault="002A4DDF" w:rsidP="009110ED">
            <w:pPr>
              <w:rPr>
                <w:rFonts w:ascii="Arial" w:hAnsi="Arial" w:cs="Arial"/>
                <w:sz w:val="12"/>
                <w:szCs w:val="12"/>
              </w:rPr>
            </w:pPr>
            <w:r>
              <w:rPr>
                <w:rFonts w:ascii="Arial" w:hAnsi="Arial"/>
                <w:sz w:val="12"/>
                <w:szCs w:val="12"/>
              </w:rPr>
              <w:t>Almorox</w:t>
            </w:r>
          </w:p>
        </w:tc>
      </w:tr>
      <w:tr w:rsidR="002A4DDF" w:rsidRPr="00937C8B" w14:paraId="751AAD6D" w14:textId="77777777" w:rsidTr="00935676">
        <w:trPr>
          <w:cantSplit/>
        </w:trPr>
        <w:tc>
          <w:tcPr>
            <w:tcW w:w="1696" w:type="dxa"/>
            <w:tcBorders>
              <w:left w:val="single" w:sz="4" w:space="0" w:color="auto"/>
            </w:tcBorders>
            <w:shd w:val="clear" w:color="auto" w:fill="auto"/>
          </w:tcPr>
          <w:p w14:paraId="4224770C" w14:textId="77777777" w:rsidR="002A4DDF" w:rsidRPr="00937C8B" w:rsidRDefault="002A4DDF" w:rsidP="009110ED">
            <w:pPr>
              <w:rPr>
                <w:rFonts w:ascii="Arial" w:hAnsi="Arial" w:cs="Arial"/>
                <w:sz w:val="12"/>
                <w:szCs w:val="12"/>
              </w:rPr>
            </w:pPr>
          </w:p>
        </w:tc>
        <w:tc>
          <w:tcPr>
            <w:tcW w:w="1843" w:type="dxa"/>
            <w:shd w:val="clear" w:color="auto" w:fill="auto"/>
          </w:tcPr>
          <w:p w14:paraId="0BF7DCB5" w14:textId="77777777" w:rsidR="002A4DDF" w:rsidRPr="00937C8B" w:rsidRDefault="002A4DDF" w:rsidP="009110ED">
            <w:pPr>
              <w:rPr>
                <w:rFonts w:ascii="Arial" w:hAnsi="Arial" w:cs="Arial"/>
                <w:sz w:val="12"/>
                <w:szCs w:val="12"/>
              </w:rPr>
            </w:pPr>
          </w:p>
        </w:tc>
        <w:tc>
          <w:tcPr>
            <w:tcW w:w="2268" w:type="dxa"/>
            <w:shd w:val="clear" w:color="auto" w:fill="F2F2F2"/>
            <w:hideMark/>
          </w:tcPr>
          <w:p w14:paraId="3EDABAF6" w14:textId="77777777" w:rsidR="002A4DDF" w:rsidRPr="00937C8B" w:rsidRDefault="002A4DDF" w:rsidP="009110ED">
            <w:pPr>
              <w:rPr>
                <w:rFonts w:ascii="Arial" w:hAnsi="Arial" w:cs="Arial"/>
                <w:sz w:val="12"/>
                <w:szCs w:val="12"/>
              </w:rPr>
            </w:pPr>
            <w:r>
              <w:rPr>
                <w:rFonts w:ascii="Arial" w:hAnsi="Arial"/>
                <w:sz w:val="12"/>
                <w:szCs w:val="12"/>
              </w:rPr>
              <w:t>Calera y Chozas</w:t>
            </w:r>
          </w:p>
        </w:tc>
        <w:tc>
          <w:tcPr>
            <w:tcW w:w="2268" w:type="dxa"/>
            <w:tcBorders>
              <w:right w:val="single" w:sz="4" w:space="0" w:color="auto"/>
            </w:tcBorders>
            <w:shd w:val="clear" w:color="auto" w:fill="D9D9D9"/>
            <w:hideMark/>
          </w:tcPr>
          <w:p w14:paraId="6843337A" w14:textId="77777777" w:rsidR="002A4DDF" w:rsidRPr="00937C8B" w:rsidRDefault="002A4DDF" w:rsidP="009110ED">
            <w:pPr>
              <w:rPr>
                <w:rFonts w:ascii="Arial" w:hAnsi="Arial" w:cs="Arial"/>
                <w:sz w:val="12"/>
                <w:szCs w:val="12"/>
              </w:rPr>
            </w:pPr>
            <w:r>
              <w:rPr>
                <w:rFonts w:ascii="Arial" w:hAnsi="Arial"/>
                <w:sz w:val="12"/>
                <w:szCs w:val="12"/>
              </w:rPr>
              <w:t>Argés</w:t>
            </w:r>
          </w:p>
        </w:tc>
      </w:tr>
      <w:tr w:rsidR="002A4DDF" w:rsidRPr="00937C8B" w14:paraId="6033E1D4" w14:textId="77777777" w:rsidTr="00935676">
        <w:trPr>
          <w:cantSplit/>
        </w:trPr>
        <w:tc>
          <w:tcPr>
            <w:tcW w:w="1696" w:type="dxa"/>
            <w:tcBorders>
              <w:left w:val="single" w:sz="4" w:space="0" w:color="auto"/>
            </w:tcBorders>
            <w:shd w:val="clear" w:color="auto" w:fill="auto"/>
          </w:tcPr>
          <w:p w14:paraId="1B7C3433" w14:textId="77777777" w:rsidR="002A4DDF" w:rsidRPr="00937C8B" w:rsidRDefault="002A4DDF" w:rsidP="009110ED">
            <w:pPr>
              <w:rPr>
                <w:rFonts w:ascii="Arial" w:hAnsi="Arial" w:cs="Arial"/>
                <w:sz w:val="12"/>
                <w:szCs w:val="12"/>
              </w:rPr>
            </w:pPr>
          </w:p>
        </w:tc>
        <w:tc>
          <w:tcPr>
            <w:tcW w:w="1843" w:type="dxa"/>
            <w:shd w:val="clear" w:color="auto" w:fill="auto"/>
          </w:tcPr>
          <w:p w14:paraId="06EB36E9" w14:textId="77777777" w:rsidR="002A4DDF" w:rsidRPr="00937C8B" w:rsidRDefault="002A4DDF" w:rsidP="009110ED">
            <w:pPr>
              <w:rPr>
                <w:rFonts w:ascii="Arial" w:hAnsi="Arial" w:cs="Arial"/>
                <w:sz w:val="12"/>
                <w:szCs w:val="12"/>
              </w:rPr>
            </w:pPr>
          </w:p>
        </w:tc>
        <w:tc>
          <w:tcPr>
            <w:tcW w:w="2268" w:type="dxa"/>
            <w:shd w:val="clear" w:color="auto" w:fill="F2F2F2"/>
            <w:hideMark/>
          </w:tcPr>
          <w:p w14:paraId="08A64CD5" w14:textId="77777777" w:rsidR="002A4DDF" w:rsidRPr="00937C8B" w:rsidRDefault="002A4DDF" w:rsidP="009110ED">
            <w:pPr>
              <w:rPr>
                <w:rFonts w:ascii="Arial" w:hAnsi="Arial" w:cs="Arial"/>
                <w:sz w:val="12"/>
                <w:szCs w:val="12"/>
              </w:rPr>
            </w:pPr>
            <w:r>
              <w:rPr>
                <w:rFonts w:ascii="Arial" w:hAnsi="Arial"/>
                <w:sz w:val="12"/>
                <w:szCs w:val="12"/>
              </w:rPr>
              <w:t>Camarenilla</w:t>
            </w:r>
          </w:p>
        </w:tc>
        <w:tc>
          <w:tcPr>
            <w:tcW w:w="2268" w:type="dxa"/>
            <w:tcBorders>
              <w:right w:val="single" w:sz="4" w:space="0" w:color="auto"/>
            </w:tcBorders>
            <w:shd w:val="clear" w:color="auto" w:fill="D9D9D9"/>
            <w:hideMark/>
          </w:tcPr>
          <w:p w14:paraId="6EDE4617" w14:textId="77777777" w:rsidR="002A4DDF" w:rsidRPr="00937C8B" w:rsidRDefault="002A4DDF" w:rsidP="009110ED">
            <w:pPr>
              <w:rPr>
                <w:rFonts w:ascii="Arial" w:hAnsi="Arial" w:cs="Arial"/>
                <w:sz w:val="12"/>
                <w:szCs w:val="12"/>
              </w:rPr>
            </w:pPr>
            <w:r>
              <w:rPr>
                <w:rFonts w:ascii="Arial" w:hAnsi="Arial"/>
                <w:sz w:val="12"/>
                <w:szCs w:val="12"/>
              </w:rPr>
              <w:t>Buenaventura</w:t>
            </w:r>
          </w:p>
        </w:tc>
      </w:tr>
      <w:tr w:rsidR="002A4DDF" w:rsidRPr="00937C8B" w14:paraId="45484ECD" w14:textId="77777777" w:rsidTr="00935676">
        <w:trPr>
          <w:cantSplit/>
        </w:trPr>
        <w:tc>
          <w:tcPr>
            <w:tcW w:w="1696" w:type="dxa"/>
            <w:tcBorders>
              <w:left w:val="single" w:sz="4" w:space="0" w:color="auto"/>
            </w:tcBorders>
            <w:shd w:val="clear" w:color="auto" w:fill="auto"/>
          </w:tcPr>
          <w:p w14:paraId="416B7D6C" w14:textId="77777777" w:rsidR="002A4DDF" w:rsidRPr="00937C8B" w:rsidRDefault="002A4DDF" w:rsidP="009110ED">
            <w:pPr>
              <w:rPr>
                <w:rFonts w:ascii="Arial" w:hAnsi="Arial" w:cs="Arial"/>
                <w:sz w:val="12"/>
                <w:szCs w:val="12"/>
              </w:rPr>
            </w:pPr>
          </w:p>
        </w:tc>
        <w:tc>
          <w:tcPr>
            <w:tcW w:w="1843" w:type="dxa"/>
            <w:shd w:val="clear" w:color="auto" w:fill="auto"/>
          </w:tcPr>
          <w:p w14:paraId="53B7784B" w14:textId="77777777" w:rsidR="002A4DDF" w:rsidRPr="00937C8B" w:rsidRDefault="002A4DDF" w:rsidP="009110ED">
            <w:pPr>
              <w:rPr>
                <w:rFonts w:ascii="Arial" w:hAnsi="Arial" w:cs="Arial"/>
                <w:sz w:val="12"/>
                <w:szCs w:val="12"/>
              </w:rPr>
            </w:pPr>
          </w:p>
        </w:tc>
        <w:tc>
          <w:tcPr>
            <w:tcW w:w="2268" w:type="dxa"/>
            <w:shd w:val="clear" w:color="auto" w:fill="F2F2F2"/>
            <w:hideMark/>
          </w:tcPr>
          <w:p w14:paraId="408EA9D7" w14:textId="77777777" w:rsidR="002A4DDF" w:rsidRPr="00937C8B" w:rsidRDefault="002A4DDF" w:rsidP="009110ED">
            <w:pPr>
              <w:rPr>
                <w:rFonts w:ascii="Arial" w:hAnsi="Arial" w:cs="Arial"/>
                <w:sz w:val="12"/>
                <w:szCs w:val="12"/>
              </w:rPr>
            </w:pPr>
            <w:r>
              <w:rPr>
                <w:rFonts w:ascii="Arial" w:hAnsi="Arial"/>
                <w:sz w:val="12"/>
                <w:szCs w:val="12"/>
              </w:rPr>
              <w:t>Cardiel de los Montes</w:t>
            </w:r>
          </w:p>
        </w:tc>
        <w:tc>
          <w:tcPr>
            <w:tcW w:w="2268" w:type="dxa"/>
            <w:tcBorders>
              <w:right w:val="single" w:sz="4" w:space="0" w:color="auto"/>
            </w:tcBorders>
            <w:shd w:val="clear" w:color="auto" w:fill="D9D9D9"/>
            <w:hideMark/>
          </w:tcPr>
          <w:p w14:paraId="3C1679B8" w14:textId="77777777" w:rsidR="002A4DDF" w:rsidRPr="00937C8B" w:rsidRDefault="002A4DDF" w:rsidP="009110ED">
            <w:pPr>
              <w:rPr>
                <w:rFonts w:ascii="Arial" w:hAnsi="Arial" w:cs="Arial"/>
                <w:sz w:val="12"/>
                <w:szCs w:val="12"/>
              </w:rPr>
            </w:pPr>
            <w:r>
              <w:rPr>
                <w:rFonts w:ascii="Arial" w:hAnsi="Arial"/>
                <w:sz w:val="12"/>
                <w:szCs w:val="12"/>
              </w:rPr>
              <w:t>Burguillos de Toledo</w:t>
            </w:r>
          </w:p>
        </w:tc>
      </w:tr>
      <w:tr w:rsidR="002A4DDF" w:rsidRPr="00937C8B" w14:paraId="3BD863C3" w14:textId="77777777" w:rsidTr="00935676">
        <w:trPr>
          <w:cantSplit/>
        </w:trPr>
        <w:tc>
          <w:tcPr>
            <w:tcW w:w="1696" w:type="dxa"/>
            <w:tcBorders>
              <w:left w:val="single" w:sz="4" w:space="0" w:color="auto"/>
            </w:tcBorders>
            <w:shd w:val="clear" w:color="auto" w:fill="auto"/>
          </w:tcPr>
          <w:p w14:paraId="0203E8D7" w14:textId="77777777" w:rsidR="002A4DDF" w:rsidRPr="00937C8B" w:rsidRDefault="002A4DDF" w:rsidP="009110ED">
            <w:pPr>
              <w:rPr>
                <w:rFonts w:ascii="Arial" w:hAnsi="Arial" w:cs="Arial"/>
                <w:sz w:val="12"/>
                <w:szCs w:val="12"/>
              </w:rPr>
            </w:pPr>
          </w:p>
        </w:tc>
        <w:tc>
          <w:tcPr>
            <w:tcW w:w="1843" w:type="dxa"/>
            <w:shd w:val="clear" w:color="auto" w:fill="auto"/>
          </w:tcPr>
          <w:p w14:paraId="6B0835D4" w14:textId="77777777" w:rsidR="002A4DDF" w:rsidRPr="00937C8B" w:rsidRDefault="002A4DDF" w:rsidP="009110ED">
            <w:pPr>
              <w:rPr>
                <w:rFonts w:ascii="Arial" w:hAnsi="Arial" w:cs="Arial"/>
                <w:sz w:val="12"/>
                <w:szCs w:val="12"/>
              </w:rPr>
            </w:pPr>
          </w:p>
        </w:tc>
        <w:tc>
          <w:tcPr>
            <w:tcW w:w="2268" w:type="dxa"/>
            <w:shd w:val="clear" w:color="auto" w:fill="F2F2F2"/>
            <w:hideMark/>
          </w:tcPr>
          <w:p w14:paraId="3505E8ED" w14:textId="77777777" w:rsidR="002A4DDF" w:rsidRPr="00937C8B" w:rsidRDefault="002A4DDF" w:rsidP="009110ED">
            <w:pPr>
              <w:rPr>
                <w:rFonts w:ascii="Arial" w:hAnsi="Arial" w:cs="Arial"/>
                <w:sz w:val="12"/>
                <w:szCs w:val="12"/>
              </w:rPr>
            </w:pPr>
            <w:r>
              <w:rPr>
                <w:rFonts w:ascii="Arial" w:hAnsi="Arial"/>
                <w:sz w:val="12"/>
                <w:szCs w:val="12"/>
              </w:rPr>
              <w:t>Carmena</w:t>
            </w:r>
          </w:p>
        </w:tc>
        <w:tc>
          <w:tcPr>
            <w:tcW w:w="2268" w:type="dxa"/>
            <w:tcBorders>
              <w:right w:val="single" w:sz="4" w:space="0" w:color="auto"/>
            </w:tcBorders>
            <w:shd w:val="clear" w:color="auto" w:fill="D9D9D9"/>
            <w:hideMark/>
          </w:tcPr>
          <w:p w14:paraId="3EC58DA9" w14:textId="77777777" w:rsidR="002A4DDF" w:rsidRPr="00937C8B" w:rsidRDefault="002A4DDF" w:rsidP="009110ED">
            <w:pPr>
              <w:rPr>
                <w:rFonts w:ascii="Arial" w:hAnsi="Arial" w:cs="Arial"/>
                <w:sz w:val="12"/>
                <w:szCs w:val="12"/>
              </w:rPr>
            </w:pPr>
            <w:r>
              <w:rPr>
                <w:rFonts w:ascii="Arial" w:hAnsi="Arial"/>
                <w:sz w:val="12"/>
                <w:szCs w:val="12"/>
              </w:rPr>
              <w:t>Burujón</w:t>
            </w:r>
          </w:p>
        </w:tc>
      </w:tr>
      <w:tr w:rsidR="002A4DDF" w:rsidRPr="00937C8B" w14:paraId="13600AA4" w14:textId="77777777" w:rsidTr="00935676">
        <w:trPr>
          <w:cantSplit/>
        </w:trPr>
        <w:tc>
          <w:tcPr>
            <w:tcW w:w="1696" w:type="dxa"/>
            <w:tcBorders>
              <w:left w:val="single" w:sz="4" w:space="0" w:color="auto"/>
            </w:tcBorders>
            <w:shd w:val="clear" w:color="auto" w:fill="auto"/>
          </w:tcPr>
          <w:p w14:paraId="777801BC" w14:textId="77777777" w:rsidR="002A4DDF" w:rsidRPr="00937C8B" w:rsidRDefault="002A4DDF" w:rsidP="009110ED">
            <w:pPr>
              <w:rPr>
                <w:rFonts w:ascii="Arial" w:hAnsi="Arial" w:cs="Arial"/>
                <w:sz w:val="12"/>
                <w:szCs w:val="12"/>
              </w:rPr>
            </w:pPr>
          </w:p>
        </w:tc>
        <w:tc>
          <w:tcPr>
            <w:tcW w:w="1843" w:type="dxa"/>
            <w:shd w:val="clear" w:color="auto" w:fill="auto"/>
          </w:tcPr>
          <w:p w14:paraId="51E77797" w14:textId="77777777" w:rsidR="002A4DDF" w:rsidRPr="00937C8B" w:rsidRDefault="002A4DDF" w:rsidP="009110ED">
            <w:pPr>
              <w:rPr>
                <w:rFonts w:ascii="Arial" w:hAnsi="Arial" w:cs="Arial"/>
                <w:sz w:val="12"/>
                <w:szCs w:val="12"/>
              </w:rPr>
            </w:pPr>
          </w:p>
        </w:tc>
        <w:tc>
          <w:tcPr>
            <w:tcW w:w="2268" w:type="dxa"/>
            <w:shd w:val="clear" w:color="auto" w:fill="F2F2F2"/>
            <w:hideMark/>
          </w:tcPr>
          <w:p w14:paraId="37E3C415" w14:textId="77777777" w:rsidR="002A4DDF" w:rsidRPr="00937C8B" w:rsidRDefault="002A4DDF" w:rsidP="009110ED">
            <w:pPr>
              <w:rPr>
                <w:rFonts w:ascii="Arial" w:hAnsi="Arial" w:cs="Arial"/>
                <w:sz w:val="12"/>
                <w:szCs w:val="12"/>
              </w:rPr>
            </w:pPr>
            <w:r>
              <w:rPr>
                <w:rFonts w:ascii="Arial" w:hAnsi="Arial"/>
                <w:sz w:val="12"/>
                <w:szCs w:val="12"/>
              </w:rPr>
              <w:t>Carriches</w:t>
            </w:r>
          </w:p>
        </w:tc>
        <w:tc>
          <w:tcPr>
            <w:tcW w:w="2268" w:type="dxa"/>
            <w:tcBorders>
              <w:right w:val="single" w:sz="4" w:space="0" w:color="auto"/>
            </w:tcBorders>
            <w:shd w:val="clear" w:color="auto" w:fill="D9D9D9"/>
            <w:hideMark/>
          </w:tcPr>
          <w:p w14:paraId="37E62682" w14:textId="77777777" w:rsidR="002A4DDF" w:rsidRPr="00937C8B" w:rsidRDefault="002A4DDF" w:rsidP="009110ED">
            <w:pPr>
              <w:rPr>
                <w:rFonts w:ascii="Arial" w:hAnsi="Arial" w:cs="Arial"/>
                <w:sz w:val="12"/>
                <w:szCs w:val="12"/>
              </w:rPr>
            </w:pPr>
            <w:r>
              <w:rPr>
                <w:rFonts w:ascii="Arial" w:hAnsi="Arial"/>
                <w:sz w:val="12"/>
                <w:szCs w:val="12"/>
              </w:rPr>
              <w:t>Camarena</w:t>
            </w:r>
          </w:p>
        </w:tc>
      </w:tr>
      <w:tr w:rsidR="002A4DDF" w:rsidRPr="00937C8B" w14:paraId="5B71B43E" w14:textId="77777777" w:rsidTr="00935676">
        <w:trPr>
          <w:cantSplit/>
        </w:trPr>
        <w:tc>
          <w:tcPr>
            <w:tcW w:w="1696" w:type="dxa"/>
            <w:tcBorders>
              <w:left w:val="single" w:sz="4" w:space="0" w:color="auto"/>
            </w:tcBorders>
            <w:shd w:val="clear" w:color="auto" w:fill="auto"/>
          </w:tcPr>
          <w:p w14:paraId="6684FF01" w14:textId="77777777" w:rsidR="002A4DDF" w:rsidRPr="00937C8B" w:rsidRDefault="002A4DDF" w:rsidP="009110ED">
            <w:pPr>
              <w:rPr>
                <w:rFonts w:ascii="Arial" w:hAnsi="Arial" w:cs="Arial"/>
                <w:sz w:val="12"/>
                <w:szCs w:val="12"/>
              </w:rPr>
            </w:pPr>
          </w:p>
        </w:tc>
        <w:tc>
          <w:tcPr>
            <w:tcW w:w="1843" w:type="dxa"/>
            <w:shd w:val="clear" w:color="auto" w:fill="auto"/>
          </w:tcPr>
          <w:p w14:paraId="1737C9DE" w14:textId="77777777" w:rsidR="002A4DDF" w:rsidRPr="00937C8B" w:rsidRDefault="002A4DDF" w:rsidP="009110ED">
            <w:pPr>
              <w:rPr>
                <w:rFonts w:ascii="Arial" w:hAnsi="Arial" w:cs="Arial"/>
                <w:sz w:val="12"/>
                <w:szCs w:val="12"/>
              </w:rPr>
            </w:pPr>
          </w:p>
        </w:tc>
        <w:tc>
          <w:tcPr>
            <w:tcW w:w="2268" w:type="dxa"/>
            <w:shd w:val="clear" w:color="auto" w:fill="F2F2F2"/>
            <w:hideMark/>
          </w:tcPr>
          <w:p w14:paraId="524810D4" w14:textId="77777777" w:rsidR="002A4DDF" w:rsidRPr="00937C8B" w:rsidRDefault="002A4DDF" w:rsidP="009110ED">
            <w:pPr>
              <w:rPr>
                <w:rFonts w:ascii="Arial" w:hAnsi="Arial" w:cs="Arial"/>
                <w:sz w:val="12"/>
                <w:szCs w:val="12"/>
              </w:rPr>
            </w:pPr>
            <w:r>
              <w:rPr>
                <w:rFonts w:ascii="Arial" w:hAnsi="Arial"/>
                <w:sz w:val="12"/>
                <w:szCs w:val="12"/>
              </w:rPr>
              <w:t>Cazalegas</w:t>
            </w:r>
          </w:p>
        </w:tc>
        <w:tc>
          <w:tcPr>
            <w:tcW w:w="2268" w:type="dxa"/>
            <w:tcBorders>
              <w:right w:val="single" w:sz="4" w:space="0" w:color="auto"/>
            </w:tcBorders>
            <w:shd w:val="clear" w:color="auto" w:fill="D9D9D9"/>
            <w:hideMark/>
          </w:tcPr>
          <w:p w14:paraId="31BA8449" w14:textId="77777777" w:rsidR="002A4DDF" w:rsidRPr="00937C8B" w:rsidRDefault="002A4DDF" w:rsidP="009110ED">
            <w:pPr>
              <w:rPr>
                <w:rFonts w:ascii="Arial" w:hAnsi="Arial" w:cs="Arial"/>
                <w:sz w:val="12"/>
                <w:szCs w:val="12"/>
              </w:rPr>
            </w:pPr>
            <w:r>
              <w:rPr>
                <w:rFonts w:ascii="Arial" w:hAnsi="Arial"/>
                <w:sz w:val="12"/>
                <w:szCs w:val="12"/>
              </w:rPr>
              <w:t>Casarrubios del Monte</w:t>
            </w:r>
          </w:p>
        </w:tc>
      </w:tr>
      <w:tr w:rsidR="002A4DDF" w:rsidRPr="00937C8B" w14:paraId="1E0F77CF" w14:textId="77777777" w:rsidTr="00935676">
        <w:trPr>
          <w:cantSplit/>
        </w:trPr>
        <w:tc>
          <w:tcPr>
            <w:tcW w:w="1696" w:type="dxa"/>
            <w:tcBorders>
              <w:left w:val="single" w:sz="4" w:space="0" w:color="auto"/>
            </w:tcBorders>
            <w:shd w:val="clear" w:color="auto" w:fill="auto"/>
          </w:tcPr>
          <w:p w14:paraId="341C928E" w14:textId="77777777" w:rsidR="002A4DDF" w:rsidRPr="00937C8B" w:rsidRDefault="002A4DDF" w:rsidP="009110ED">
            <w:pPr>
              <w:rPr>
                <w:rFonts w:ascii="Arial" w:hAnsi="Arial" w:cs="Arial"/>
                <w:sz w:val="12"/>
                <w:szCs w:val="12"/>
              </w:rPr>
            </w:pPr>
          </w:p>
        </w:tc>
        <w:tc>
          <w:tcPr>
            <w:tcW w:w="1843" w:type="dxa"/>
            <w:shd w:val="clear" w:color="auto" w:fill="auto"/>
          </w:tcPr>
          <w:p w14:paraId="472F17DE" w14:textId="77777777" w:rsidR="002A4DDF" w:rsidRPr="00937C8B" w:rsidRDefault="002A4DDF" w:rsidP="009110ED">
            <w:pPr>
              <w:rPr>
                <w:rFonts w:ascii="Arial" w:hAnsi="Arial" w:cs="Arial"/>
                <w:sz w:val="12"/>
                <w:szCs w:val="12"/>
              </w:rPr>
            </w:pPr>
          </w:p>
        </w:tc>
        <w:tc>
          <w:tcPr>
            <w:tcW w:w="2268" w:type="dxa"/>
            <w:shd w:val="clear" w:color="auto" w:fill="F2F2F2"/>
            <w:hideMark/>
          </w:tcPr>
          <w:p w14:paraId="74B38805" w14:textId="77777777" w:rsidR="002A4DDF" w:rsidRPr="00937C8B" w:rsidRDefault="002A4DDF" w:rsidP="009110ED">
            <w:pPr>
              <w:rPr>
                <w:rFonts w:ascii="Arial" w:hAnsi="Arial" w:cs="Arial"/>
                <w:sz w:val="12"/>
                <w:szCs w:val="12"/>
              </w:rPr>
            </w:pPr>
            <w:r>
              <w:rPr>
                <w:rFonts w:ascii="Arial" w:hAnsi="Arial"/>
                <w:sz w:val="12"/>
                <w:szCs w:val="12"/>
              </w:rPr>
              <w:t>Cebolla</w:t>
            </w:r>
          </w:p>
        </w:tc>
        <w:tc>
          <w:tcPr>
            <w:tcW w:w="2268" w:type="dxa"/>
            <w:tcBorders>
              <w:right w:val="single" w:sz="4" w:space="0" w:color="auto"/>
            </w:tcBorders>
            <w:shd w:val="clear" w:color="auto" w:fill="D9D9D9"/>
            <w:hideMark/>
          </w:tcPr>
          <w:p w14:paraId="267628FF" w14:textId="77777777" w:rsidR="002A4DDF" w:rsidRPr="00937C8B" w:rsidRDefault="002A4DDF" w:rsidP="009110ED">
            <w:pPr>
              <w:rPr>
                <w:rFonts w:ascii="Arial" w:hAnsi="Arial" w:cs="Arial"/>
                <w:sz w:val="12"/>
                <w:szCs w:val="12"/>
              </w:rPr>
            </w:pPr>
            <w:r>
              <w:rPr>
                <w:rFonts w:ascii="Arial" w:hAnsi="Arial"/>
                <w:sz w:val="12"/>
                <w:szCs w:val="12"/>
              </w:rPr>
              <w:t>Casasbuenas</w:t>
            </w:r>
          </w:p>
        </w:tc>
      </w:tr>
      <w:tr w:rsidR="002A4DDF" w:rsidRPr="00937C8B" w14:paraId="7487C2BD" w14:textId="77777777" w:rsidTr="00935676">
        <w:trPr>
          <w:cantSplit/>
        </w:trPr>
        <w:tc>
          <w:tcPr>
            <w:tcW w:w="1696" w:type="dxa"/>
            <w:tcBorders>
              <w:left w:val="single" w:sz="4" w:space="0" w:color="auto"/>
            </w:tcBorders>
            <w:shd w:val="clear" w:color="auto" w:fill="auto"/>
          </w:tcPr>
          <w:p w14:paraId="52740A61" w14:textId="77777777" w:rsidR="002A4DDF" w:rsidRPr="00937C8B" w:rsidRDefault="002A4DDF" w:rsidP="009110ED">
            <w:pPr>
              <w:rPr>
                <w:rFonts w:ascii="Arial" w:hAnsi="Arial" w:cs="Arial"/>
                <w:sz w:val="12"/>
                <w:szCs w:val="12"/>
              </w:rPr>
            </w:pPr>
          </w:p>
        </w:tc>
        <w:tc>
          <w:tcPr>
            <w:tcW w:w="1843" w:type="dxa"/>
            <w:shd w:val="clear" w:color="auto" w:fill="auto"/>
          </w:tcPr>
          <w:p w14:paraId="48BEFE55" w14:textId="77777777" w:rsidR="002A4DDF" w:rsidRPr="00937C8B" w:rsidRDefault="002A4DDF" w:rsidP="009110ED">
            <w:pPr>
              <w:rPr>
                <w:rFonts w:ascii="Arial" w:hAnsi="Arial" w:cs="Arial"/>
                <w:sz w:val="12"/>
                <w:szCs w:val="12"/>
              </w:rPr>
            </w:pPr>
          </w:p>
        </w:tc>
        <w:tc>
          <w:tcPr>
            <w:tcW w:w="2268" w:type="dxa"/>
            <w:shd w:val="clear" w:color="auto" w:fill="F2F2F2"/>
            <w:hideMark/>
          </w:tcPr>
          <w:p w14:paraId="622FED93" w14:textId="77777777" w:rsidR="002A4DDF" w:rsidRPr="00937C8B" w:rsidRDefault="002A4DDF" w:rsidP="009110ED">
            <w:pPr>
              <w:rPr>
                <w:rFonts w:ascii="Arial" w:hAnsi="Arial" w:cs="Arial"/>
                <w:sz w:val="12"/>
                <w:szCs w:val="12"/>
              </w:rPr>
            </w:pPr>
            <w:r>
              <w:rPr>
                <w:rFonts w:ascii="Arial" w:hAnsi="Arial"/>
                <w:sz w:val="12"/>
                <w:szCs w:val="12"/>
              </w:rPr>
              <w:t>Cedillo del Condado</w:t>
            </w:r>
          </w:p>
        </w:tc>
        <w:tc>
          <w:tcPr>
            <w:tcW w:w="2268" w:type="dxa"/>
            <w:tcBorders>
              <w:right w:val="single" w:sz="4" w:space="0" w:color="auto"/>
            </w:tcBorders>
            <w:shd w:val="clear" w:color="auto" w:fill="D9D9D9"/>
            <w:hideMark/>
          </w:tcPr>
          <w:p w14:paraId="63BA136A" w14:textId="77777777" w:rsidR="002A4DDF" w:rsidRPr="00937C8B" w:rsidRDefault="002A4DDF" w:rsidP="009110ED">
            <w:pPr>
              <w:rPr>
                <w:rFonts w:ascii="Arial" w:hAnsi="Arial" w:cs="Arial"/>
                <w:sz w:val="12"/>
                <w:szCs w:val="12"/>
              </w:rPr>
            </w:pPr>
            <w:r>
              <w:rPr>
                <w:rFonts w:ascii="Arial" w:hAnsi="Arial"/>
                <w:sz w:val="12"/>
                <w:szCs w:val="12"/>
              </w:rPr>
              <w:t>Castillo de Bayuela</w:t>
            </w:r>
          </w:p>
        </w:tc>
      </w:tr>
      <w:tr w:rsidR="002A4DDF" w:rsidRPr="00937C8B" w14:paraId="7D0D5C66" w14:textId="77777777" w:rsidTr="00935676">
        <w:trPr>
          <w:cantSplit/>
        </w:trPr>
        <w:tc>
          <w:tcPr>
            <w:tcW w:w="1696" w:type="dxa"/>
            <w:tcBorders>
              <w:left w:val="single" w:sz="4" w:space="0" w:color="auto"/>
            </w:tcBorders>
            <w:shd w:val="clear" w:color="auto" w:fill="auto"/>
          </w:tcPr>
          <w:p w14:paraId="1746C8D2" w14:textId="77777777" w:rsidR="002A4DDF" w:rsidRPr="00937C8B" w:rsidRDefault="002A4DDF" w:rsidP="009110ED">
            <w:pPr>
              <w:rPr>
                <w:rFonts w:ascii="Arial" w:hAnsi="Arial" w:cs="Arial"/>
                <w:sz w:val="12"/>
                <w:szCs w:val="12"/>
              </w:rPr>
            </w:pPr>
          </w:p>
        </w:tc>
        <w:tc>
          <w:tcPr>
            <w:tcW w:w="1843" w:type="dxa"/>
            <w:shd w:val="clear" w:color="auto" w:fill="auto"/>
          </w:tcPr>
          <w:p w14:paraId="1192D305" w14:textId="77777777" w:rsidR="002A4DDF" w:rsidRPr="00937C8B" w:rsidRDefault="002A4DDF" w:rsidP="009110ED">
            <w:pPr>
              <w:rPr>
                <w:rFonts w:ascii="Arial" w:hAnsi="Arial" w:cs="Arial"/>
                <w:sz w:val="12"/>
                <w:szCs w:val="12"/>
              </w:rPr>
            </w:pPr>
          </w:p>
        </w:tc>
        <w:tc>
          <w:tcPr>
            <w:tcW w:w="2268" w:type="dxa"/>
            <w:shd w:val="clear" w:color="auto" w:fill="F2F2F2"/>
            <w:hideMark/>
          </w:tcPr>
          <w:p w14:paraId="48B6192B" w14:textId="77777777" w:rsidR="002A4DDF" w:rsidRPr="00937C8B" w:rsidRDefault="002A4DDF" w:rsidP="009110ED">
            <w:pPr>
              <w:rPr>
                <w:rFonts w:ascii="Arial" w:hAnsi="Arial" w:cs="Arial"/>
                <w:sz w:val="12"/>
                <w:szCs w:val="12"/>
              </w:rPr>
            </w:pPr>
            <w:r>
              <w:rPr>
                <w:rFonts w:ascii="Arial" w:hAnsi="Arial"/>
                <w:sz w:val="12"/>
                <w:szCs w:val="12"/>
              </w:rPr>
              <w:t>Cobeja</w:t>
            </w:r>
          </w:p>
        </w:tc>
        <w:tc>
          <w:tcPr>
            <w:tcW w:w="2268" w:type="dxa"/>
            <w:tcBorders>
              <w:right w:val="single" w:sz="4" w:space="0" w:color="auto"/>
            </w:tcBorders>
            <w:shd w:val="clear" w:color="auto" w:fill="D9D9D9"/>
            <w:hideMark/>
          </w:tcPr>
          <w:p w14:paraId="0CF062DC" w14:textId="77777777" w:rsidR="002A4DDF" w:rsidRPr="00937C8B" w:rsidRDefault="002A4DDF" w:rsidP="009110ED">
            <w:pPr>
              <w:rPr>
                <w:rFonts w:ascii="Arial" w:hAnsi="Arial" w:cs="Arial"/>
                <w:sz w:val="12"/>
                <w:szCs w:val="12"/>
              </w:rPr>
            </w:pPr>
            <w:r>
              <w:rPr>
                <w:rFonts w:ascii="Arial" w:hAnsi="Arial"/>
                <w:sz w:val="12"/>
                <w:szCs w:val="12"/>
              </w:rPr>
              <w:t>Cervera de los Montes</w:t>
            </w:r>
          </w:p>
        </w:tc>
      </w:tr>
      <w:tr w:rsidR="002A4DDF" w:rsidRPr="00937C8B" w14:paraId="48DEA8EA" w14:textId="77777777" w:rsidTr="00935676">
        <w:trPr>
          <w:cantSplit/>
        </w:trPr>
        <w:tc>
          <w:tcPr>
            <w:tcW w:w="1696" w:type="dxa"/>
            <w:tcBorders>
              <w:left w:val="single" w:sz="4" w:space="0" w:color="auto"/>
            </w:tcBorders>
            <w:shd w:val="clear" w:color="auto" w:fill="auto"/>
          </w:tcPr>
          <w:p w14:paraId="049EA407" w14:textId="77777777" w:rsidR="002A4DDF" w:rsidRPr="00937C8B" w:rsidRDefault="002A4DDF" w:rsidP="009110ED">
            <w:pPr>
              <w:rPr>
                <w:rFonts w:ascii="Arial" w:hAnsi="Arial" w:cs="Arial"/>
                <w:sz w:val="12"/>
                <w:szCs w:val="12"/>
              </w:rPr>
            </w:pPr>
          </w:p>
        </w:tc>
        <w:tc>
          <w:tcPr>
            <w:tcW w:w="1843" w:type="dxa"/>
            <w:shd w:val="clear" w:color="auto" w:fill="auto"/>
          </w:tcPr>
          <w:p w14:paraId="55075478" w14:textId="77777777" w:rsidR="002A4DDF" w:rsidRPr="00937C8B" w:rsidRDefault="002A4DDF" w:rsidP="009110ED">
            <w:pPr>
              <w:rPr>
                <w:rFonts w:ascii="Arial" w:hAnsi="Arial" w:cs="Arial"/>
                <w:sz w:val="12"/>
                <w:szCs w:val="12"/>
              </w:rPr>
            </w:pPr>
          </w:p>
        </w:tc>
        <w:tc>
          <w:tcPr>
            <w:tcW w:w="2268" w:type="dxa"/>
            <w:shd w:val="clear" w:color="auto" w:fill="F2F2F2"/>
            <w:hideMark/>
          </w:tcPr>
          <w:p w14:paraId="154054B7" w14:textId="77777777" w:rsidR="002A4DDF" w:rsidRPr="00937C8B" w:rsidRDefault="002A4DDF" w:rsidP="009110ED">
            <w:pPr>
              <w:rPr>
                <w:rFonts w:ascii="Arial" w:hAnsi="Arial" w:cs="Arial"/>
                <w:sz w:val="12"/>
                <w:szCs w:val="12"/>
              </w:rPr>
            </w:pPr>
            <w:r>
              <w:rPr>
                <w:rFonts w:ascii="Arial" w:hAnsi="Arial"/>
                <w:sz w:val="12"/>
                <w:szCs w:val="12"/>
              </w:rPr>
              <w:t>Domingo Pérez</w:t>
            </w:r>
          </w:p>
        </w:tc>
        <w:tc>
          <w:tcPr>
            <w:tcW w:w="2268" w:type="dxa"/>
            <w:tcBorders>
              <w:right w:val="single" w:sz="4" w:space="0" w:color="auto"/>
            </w:tcBorders>
            <w:shd w:val="clear" w:color="auto" w:fill="D9D9D9"/>
            <w:hideMark/>
          </w:tcPr>
          <w:p w14:paraId="5FFEB124" w14:textId="77777777" w:rsidR="002A4DDF" w:rsidRPr="00937C8B" w:rsidRDefault="002A4DDF" w:rsidP="009110ED">
            <w:pPr>
              <w:rPr>
                <w:rFonts w:ascii="Arial" w:hAnsi="Arial" w:cs="Arial"/>
                <w:sz w:val="12"/>
                <w:szCs w:val="12"/>
              </w:rPr>
            </w:pPr>
            <w:r>
              <w:rPr>
                <w:rFonts w:ascii="Arial" w:hAnsi="Arial"/>
                <w:sz w:val="12"/>
                <w:szCs w:val="12"/>
              </w:rPr>
              <w:t>Chueca</w:t>
            </w:r>
          </w:p>
        </w:tc>
      </w:tr>
      <w:tr w:rsidR="002A4DDF" w:rsidRPr="00937C8B" w14:paraId="79753681" w14:textId="77777777" w:rsidTr="00935676">
        <w:trPr>
          <w:cantSplit/>
        </w:trPr>
        <w:tc>
          <w:tcPr>
            <w:tcW w:w="1696" w:type="dxa"/>
            <w:tcBorders>
              <w:left w:val="single" w:sz="4" w:space="0" w:color="auto"/>
            </w:tcBorders>
            <w:shd w:val="clear" w:color="auto" w:fill="auto"/>
          </w:tcPr>
          <w:p w14:paraId="2102F5FF" w14:textId="77777777" w:rsidR="002A4DDF" w:rsidRPr="00937C8B" w:rsidRDefault="002A4DDF" w:rsidP="009110ED">
            <w:pPr>
              <w:rPr>
                <w:rFonts w:ascii="Arial" w:hAnsi="Arial" w:cs="Arial"/>
                <w:sz w:val="12"/>
                <w:szCs w:val="12"/>
              </w:rPr>
            </w:pPr>
          </w:p>
        </w:tc>
        <w:tc>
          <w:tcPr>
            <w:tcW w:w="1843" w:type="dxa"/>
            <w:shd w:val="clear" w:color="auto" w:fill="auto"/>
          </w:tcPr>
          <w:p w14:paraId="09A3FB13" w14:textId="77777777" w:rsidR="002A4DDF" w:rsidRPr="00937C8B" w:rsidRDefault="002A4DDF" w:rsidP="009110ED">
            <w:pPr>
              <w:rPr>
                <w:rFonts w:ascii="Arial" w:hAnsi="Arial" w:cs="Arial"/>
                <w:sz w:val="12"/>
                <w:szCs w:val="12"/>
              </w:rPr>
            </w:pPr>
          </w:p>
        </w:tc>
        <w:tc>
          <w:tcPr>
            <w:tcW w:w="2268" w:type="dxa"/>
            <w:shd w:val="clear" w:color="auto" w:fill="F2F2F2"/>
            <w:hideMark/>
          </w:tcPr>
          <w:p w14:paraId="72E3CDA8" w14:textId="77777777" w:rsidR="002A4DDF" w:rsidRPr="00937C8B" w:rsidRDefault="002A4DDF" w:rsidP="009110ED">
            <w:pPr>
              <w:rPr>
                <w:rFonts w:ascii="Arial" w:hAnsi="Arial" w:cs="Arial"/>
                <w:sz w:val="12"/>
                <w:szCs w:val="12"/>
              </w:rPr>
            </w:pPr>
            <w:r>
              <w:rPr>
                <w:rFonts w:ascii="Arial" w:hAnsi="Arial"/>
                <w:sz w:val="12"/>
                <w:szCs w:val="12"/>
              </w:rPr>
              <w:t>El Casar de Escalona</w:t>
            </w:r>
          </w:p>
        </w:tc>
        <w:tc>
          <w:tcPr>
            <w:tcW w:w="2268" w:type="dxa"/>
            <w:tcBorders>
              <w:right w:val="single" w:sz="4" w:space="0" w:color="auto"/>
            </w:tcBorders>
            <w:shd w:val="clear" w:color="auto" w:fill="D9D9D9"/>
            <w:hideMark/>
          </w:tcPr>
          <w:p w14:paraId="2855AA5B" w14:textId="77777777" w:rsidR="002A4DDF" w:rsidRPr="00937C8B" w:rsidRDefault="002A4DDF" w:rsidP="009110ED">
            <w:pPr>
              <w:rPr>
                <w:rFonts w:ascii="Arial" w:hAnsi="Arial" w:cs="Arial"/>
                <w:sz w:val="12"/>
                <w:szCs w:val="12"/>
              </w:rPr>
            </w:pPr>
            <w:r>
              <w:rPr>
                <w:rFonts w:ascii="Arial" w:hAnsi="Arial"/>
                <w:sz w:val="12"/>
                <w:szCs w:val="12"/>
              </w:rPr>
              <w:t>Cobisa</w:t>
            </w:r>
          </w:p>
        </w:tc>
      </w:tr>
      <w:tr w:rsidR="002A4DDF" w:rsidRPr="00937C8B" w14:paraId="694D32A2" w14:textId="77777777" w:rsidTr="00935676">
        <w:trPr>
          <w:cantSplit/>
        </w:trPr>
        <w:tc>
          <w:tcPr>
            <w:tcW w:w="1696" w:type="dxa"/>
            <w:tcBorders>
              <w:left w:val="single" w:sz="4" w:space="0" w:color="auto"/>
            </w:tcBorders>
            <w:shd w:val="clear" w:color="auto" w:fill="auto"/>
          </w:tcPr>
          <w:p w14:paraId="20B8DDB7" w14:textId="77777777" w:rsidR="002A4DDF" w:rsidRPr="00937C8B" w:rsidRDefault="002A4DDF" w:rsidP="009110ED">
            <w:pPr>
              <w:rPr>
                <w:rFonts w:ascii="Arial" w:hAnsi="Arial" w:cs="Arial"/>
                <w:sz w:val="12"/>
                <w:szCs w:val="12"/>
              </w:rPr>
            </w:pPr>
          </w:p>
        </w:tc>
        <w:tc>
          <w:tcPr>
            <w:tcW w:w="1843" w:type="dxa"/>
            <w:shd w:val="clear" w:color="auto" w:fill="auto"/>
          </w:tcPr>
          <w:p w14:paraId="6F1E69DA" w14:textId="77777777" w:rsidR="002A4DDF" w:rsidRPr="00937C8B" w:rsidRDefault="002A4DDF" w:rsidP="009110ED">
            <w:pPr>
              <w:rPr>
                <w:rFonts w:ascii="Arial" w:hAnsi="Arial" w:cs="Arial"/>
                <w:sz w:val="12"/>
                <w:szCs w:val="12"/>
              </w:rPr>
            </w:pPr>
          </w:p>
        </w:tc>
        <w:tc>
          <w:tcPr>
            <w:tcW w:w="2268" w:type="dxa"/>
            <w:shd w:val="clear" w:color="auto" w:fill="F2F2F2"/>
            <w:hideMark/>
          </w:tcPr>
          <w:p w14:paraId="7CCFCF1F" w14:textId="77777777" w:rsidR="002A4DDF" w:rsidRPr="00937C8B" w:rsidRDefault="002A4DDF" w:rsidP="009110ED">
            <w:pPr>
              <w:rPr>
                <w:rFonts w:ascii="Arial" w:hAnsi="Arial" w:cs="Arial"/>
                <w:sz w:val="12"/>
                <w:szCs w:val="12"/>
              </w:rPr>
            </w:pPr>
            <w:r>
              <w:rPr>
                <w:rFonts w:ascii="Arial" w:hAnsi="Arial"/>
                <w:sz w:val="12"/>
                <w:szCs w:val="12"/>
              </w:rPr>
              <w:t>El Viso de San Juan</w:t>
            </w:r>
          </w:p>
        </w:tc>
        <w:tc>
          <w:tcPr>
            <w:tcW w:w="2268" w:type="dxa"/>
            <w:tcBorders>
              <w:right w:val="single" w:sz="4" w:space="0" w:color="auto"/>
            </w:tcBorders>
            <w:shd w:val="clear" w:color="auto" w:fill="D9D9D9"/>
            <w:hideMark/>
          </w:tcPr>
          <w:p w14:paraId="4B49CD13" w14:textId="77777777" w:rsidR="002A4DDF" w:rsidRPr="00937C8B" w:rsidRDefault="002A4DDF" w:rsidP="009110ED">
            <w:pPr>
              <w:rPr>
                <w:rFonts w:ascii="Arial" w:hAnsi="Arial" w:cs="Arial"/>
                <w:sz w:val="12"/>
                <w:szCs w:val="12"/>
              </w:rPr>
            </w:pPr>
            <w:r>
              <w:rPr>
                <w:rFonts w:ascii="Arial" w:hAnsi="Arial"/>
                <w:sz w:val="12"/>
                <w:szCs w:val="12"/>
              </w:rPr>
              <w:t>Cuerva</w:t>
            </w:r>
          </w:p>
        </w:tc>
      </w:tr>
      <w:tr w:rsidR="002A4DDF" w:rsidRPr="00937C8B" w14:paraId="03D1074D" w14:textId="77777777" w:rsidTr="00935676">
        <w:trPr>
          <w:cantSplit/>
        </w:trPr>
        <w:tc>
          <w:tcPr>
            <w:tcW w:w="1696" w:type="dxa"/>
            <w:tcBorders>
              <w:left w:val="single" w:sz="4" w:space="0" w:color="auto"/>
            </w:tcBorders>
            <w:shd w:val="clear" w:color="auto" w:fill="auto"/>
          </w:tcPr>
          <w:p w14:paraId="519C5DCC" w14:textId="77777777" w:rsidR="002A4DDF" w:rsidRPr="00937C8B" w:rsidRDefault="002A4DDF" w:rsidP="009110ED">
            <w:pPr>
              <w:rPr>
                <w:rFonts w:ascii="Arial" w:hAnsi="Arial" w:cs="Arial"/>
                <w:sz w:val="12"/>
                <w:szCs w:val="12"/>
              </w:rPr>
            </w:pPr>
          </w:p>
        </w:tc>
        <w:tc>
          <w:tcPr>
            <w:tcW w:w="1843" w:type="dxa"/>
            <w:shd w:val="clear" w:color="auto" w:fill="auto"/>
          </w:tcPr>
          <w:p w14:paraId="76C738FE" w14:textId="77777777" w:rsidR="002A4DDF" w:rsidRPr="00937C8B" w:rsidRDefault="002A4DDF" w:rsidP="009110ED">
            <w:pPr>
              <w:rPr>
                <w:rFonts w:ascii="Arial" w:hAnsi="Arial" w:cs="Arial"/>
                <w:sz w:val="12"/>
                <w:szCs w:val="12"/>
              </w:rPr>
            </w:pPr>
          </w:p>
        </w:tc>
        <w:tc>
          <w:tcPr>
            <w:tcW w:w="2268" w:type="dxa"/>
            <w:shd w:val="clear" w:color="auto" w:fill="F2F2F2"/>
            <w:hideMark/>
          </w:tcPr>
          <w:p w14:paraId="53E258F7" w14:textId="77777777" w:rsidR="002A4DDF" w:rsidRPr="00937C8B" w:rsidRDefault="002A4DDF" w:rsidP="009110ED">
            <w:pPr>
              <w:rPr>
                <w:rFonts w:ascii="Arial" w:hAnsi="Arial" w:cs="Arial"/>
                <w:sz w:val="12"/>
                <w:szCs w:val="12"/>
              </w:rPr>
            </w:pPr>
            <w:r>
              <w:rPr>
                <w:rFonts w:ascii="Arial" w:hAnsi="Arial"/>
                <w:sz w:val="12"/>
                <w:szCs w:val="12"/>
              </w:rPr>
              <w:t>Erustes</w:t>
            </w:r>
          </w:p>
        </w:tc>
        <w:tc>
          <w:tcPr>
            <w:tcW w:w="2268" w:type="dxa"/>
            <w:tcBorders>
              <w:right w:val="single" w:sz="4" w:space="0" w:color="auto"/>
            </w:tcBorders>
            <w:shd w:val="clear" w:color="auto" w:fill="D9D9D9"/>
            <w:hideMark/>
          </w:tcPr>
          <w:p w14:paraId="2D7BDCC4" w14:textId="77777777" w:rsidR="002A4DDF" w:rsidRPr="00937C8B" w:rsidRDefault="002A4DDF" w:rsidP="009110ED">
            <w:pPr>
              <w:rPr>
                <w:rFonts w:ascii="Arial" w:hAnsi="Arial" w:cs="Arial"/>
                <w:sz w:val="12"/>
                <w:szCs w:val="12"/>
              </w:rPr>
            </w:pPr>
            <w:r>
              <w:rPr>
                <w:rFonts w:ascii="Arial" w:hAnsi="Arial"/>
                <w:sz w:val="12"/>
                <w:szCs w:val="12"/>
              </w:rPr>
              <w:t>El Campillo de la Jara</w:t>
            </w:r>
          </w:p>
        </w:tc>
      </w:tr>
      <w:tr w:rsidR="002A4DDF" w:rsidRPr="00937C8B" w14:paraId="2F139255" w14:textId="77777777" w:rsidTr="00935676">
        <w:trPr>
          <w:cantSplit/>
        </w:trPr>
        <w:tc>
          <w:tcPr>
            <w:tcW w:w="1696" w:type="dxa"/>
            <w:tcBorders>
              <w:left w:val="single" w:sz="4" w:space="0" w:color="auto"/>
            </w:tcBorders>
            <w:shd w:val="clear" w:color="auto" w:fill="auto"/>
          </w:tcPr>
          <w:p w14:paraId="0511BC04" w14:textId="77777777" w:rsidR="002A4DDF" w:rsidRPr="00937C8B" w:rsidRDefault="002A4DDF" w:rsidP="009110ED">
            <w:pPr>
              <w:rPr>
                <w:rFonts w:ascii="Arial" w:hAnsi="Arial" w:cs="Arial"/>
                <w:sz w:val="12"/>
                <w:szCs w:val="12"/>
              </w:rPr>
            </w:pPr>
          </w:p>
        </w:tc>
        <w:tc>
          <w:tcPr>
            <w:tcW w:w="1843" w:type="dxa"/>
            <w:shd w:val="clear" w:color="auto" w:fill="auto"/>
          </w:tcPr>
          <w:p w14:paraId="14668AEC" w14:textId="77777777" w:rsidR="002A4DDF" w:rsidRPr="00937C8B" w:rsidRDefault="002A4DDF" w:rsidP="009110ED">
            <w:pPr>
              <w:rPr>
                <w:rFonts w:ascii="Arial" w:hAnsi="Arial" w:cs="Arial"/>
                <w:sz w:val="12"/>
                <w:szCs w:val="12"/>
              </w:rPr>
            </w:pPr>
          </w:p>
        </w:tc>
        <w:tc>
          <w:tcPr>
            <w:tcW w:w="2268" w:type="dxa"/>
            <w:shd w:val="clear" w:color="auto" w:fill="F2F2F2"/>
            <w:hideMark/>
          </w:tcPr>
          <w:p w14:paraId="3CEC2C51" w14:textId="77777777" w:rsidR="002A4DDF" w:rsidRPr="00937C8B" w:rsidRDefault="002A4DDF" w:rsidP="009110ED">
            <w:pPr>
              <w:rPr>
                <w:rFonts w:ascii="Arial" w:hAnsi="Arial" w:cs="Arial"/>
                <w:sz w:val="12"/>
                <w:szCs w:val="12"/>
              </w:rPr>
            </w:pPr>
            <w:r>
              <w:rPr>
                <w:rFonts w:ascii="Arial" w:hAnsi="Arial"/>
                <w:sz w:val="12"/>
                <w:szCs w:val="12"/>
              </w:rPr>
              <w:t>Esquivias</w:t>
            </w:r>
          </w:p>
        </w:tc>
        <w:tc>
          <w:tcPr>
            <w:tcW w:w="2268" w:type="dxa"/>
            <w:tcBorders>
              <w:right w:val="single" w:sz="4" w:space="0" w:color="auto"/>
            </w:tcBorders>
            <w:shd w:val="clear" w:color="auto" w:fill="D9D9D9"/>
            <w:hideMark/>
          </w:tcPr>
          <w:p w14:paraId="4B6CFC30" w14:textId="77777777" w:rsidR="002A4DDF" w:rsidRPr="00937C8B" w:rsidRDefault="002A4DDF" w:rsidP="009110ED">
            <w:pPr>
              <w:rPr>
                <w:rFonts w:ascii="Arial" w:hAnsi="Arial" w:cs="Arial"/>
                <w:sz w:val="12"/>
                <w:szCs w:val="12"/>
              </w:rPr>
            </w:pPr>
            <w:r>
              <w:rPr>
                <w:rFonts w:ascii="Arial" w:hAnsi="Arial"/>
                <w:sz w:val="12"/>
                <w:szCs w:val="12"/>
              </w:rPr>
              <w:t>El Carpio de Tajo</w:t>
            </w:r>
          </w:p>
        </w:tc>
      </w:tr>
      <w:tr w:rsidR="002A4DDF" w:rsidRPr="00937C8B" w14:paraId="047BE5EA" w14:textId="77777777" w:rsidTr="00935676">
        <w:trPr>
          <w:cantSplit/>
        </w:trPr>
        <w:tc>
          <w:tcPr>
            <w:tcW w:w="1696" w:type="dxa"/>
            <w:tcBorders>
              <w:left w:val="single" w:sz="4" w:space="0" w:color="auto"/>
            </w:tcBorders>
            <w:shd w:val="clear" w:color="auto" w:fill="auto"/>
          </w:tcPr>
          <w:p w14:paraId="1CE19901" w14:textId="77777777" w:rsidR="002A4DDF" w:rsidRPr="00937C8B" w:rsidRDefault="002A4DDF" w:rsidP="009110ED">
            <w:pPr>
              <w:rPr>
                <w:rFonts w:ascii="Arial" w:hAnsi="Arial" w:cs="Arial"/>
                <w:sz w:val="12"/>
                <w:szCs w:val="12"/>
              </w:rPr>
            </w:pPr>
          </w:p>
        </w:tc>
        <w:tc>
          <w:tcPr>
            <w:tcW w:w="1843" w:type="dxa"/>
            <w:shd w:val="clear" w:color="auto" w:fill="auto"/>
          </w:tcPr>
          <w:p w14:paraId="15B771D7" w14:textId="77777777" w:rsidR="002A4DDF" w:rsidRPr="00937C8B" w:rsidRDefault="002A4DDF" w:rsidP="009110ED">
            <w:pPr>
              <w:rPr>
                <w:rFonts w:ascii="Arial" w:hAnsi="Arial" w:cs="Arial"/>
                <w:sz w:val="12"/>
                <w:szCs w:val="12"/>
              </w:rPr>
            </w:pPr>
          </w:p>
        </w:tc>
        <w:tc>
          <w:tcPr>
            <w:tcW w:w="2268" w:type="dxa"/>
            <w:shd w:val="clear" w:color="auto" w:fill="F2F2F2"/>
            <w:hideMark/>
          </w:tcPr>
          <w:p w14:paraId="3996FA9B" w14:textId="77777777" w:rsidR="002A4DDF" w:rsidRPr="00937C8B" w:rsidRDefault="002A4DDF" w:rsidP="009110ED">
            <w:pPr>
              <w:rPr>
                <w:rFonts w:ascii="Arial" w:hAnsi="Arial" w:cs="Arial"/>
                <w:sz w:val="12"/>
                <w:szCs w:val="12"/>
              </w:rPr>
            </w:pPr>
            <w:r>
              <w:rPr>
                <w:rFonts w:ascii="Arial" w:hAnsi="Arial"/>
                <w:sz w:val="12"/>
                <w:szCs w:val="12"/>
              </w:rPr>
              <w:t>Gerindote</w:t>
            </w:r>
          </w:p>
        </w:tc>
        <w:tc>
          <w:tcPr>
            <w:tcW w:w="2268" w:type="dxa"/>
            <w:tcBorders>
              <w:right w:val="single" w:sz="4" w:space="0" w:color="auto"/>
            </w:tcBorders>
            <w:shd w:val="clear" w:color="auto" w:fill="D9D9D9"/>
            <w:hideMark/>
          </w:tcPr>
          <w:p w14:paraId="7018DA4E" w14:textId="77777777" w:rsidR="002A4DDF" w:rsidRPr="00937C8B" w:rsidRDefault="002A4DDF" w:rsidP="009110ED">
            <w:pPr>
              <w:rPr>
                <w:rFonts w:ascii="Arial" w:hAnsi="Arial" w:cs="Arial"/>
                <w:sz w:val="12"/>
                <w:szCs w:val="12"/>
              </w:rPr>
            </w:pPr>
            <w:r>
              <w:rPr>
                <w:rFonts w:ascii="Arial" w:hAnsi="Arial"/>
                <w:sz w:val="12"/>
                <w:szCs w:val="12"/>
              </w:rPr>
              <w:t>El Puente del Arzobispo</w:t>
            </w:r>
          </w:p>
        </w:tc>
      </w:tr>
      <w:tr w:rsidR="002A4DDF" w:rsidRPr="00937C8B" w14:paraId="3C2FC98E" w14:textId="77777777" w:rsidTr="00935676">
        <w:trPr>
          <w:cantSplit/>
        </w:trPr>
        <w:tc>
          <w:tcPr>
            <w:tcW w:w="1696" w:type="dxa"/>
            <w:tcBorders>
              <w:left w:val="single" w:sz="4" w:space="0" w:color="auto"/>
            </w:tcBorders>
            <w:shd w:val="clear" w:color="auto" w:fill="auto"/>
          </w:tcPr>
          <w:p w14:paraId="202FF3FD" w14:textId="77777777" w:rsidR="002A4DDF" w:rsidRPr="00937C8B" w:rsidRDefault="002A4DDF" w:rsidP="009110ED">
            <w:pPr>
              <w:rPr>
                <w:rFonts w:ascii="Arial" w:hAnsi="Arial" w:cs="Arial"/>
                <w:sz w:val="12"/>
                <w:szCs w:val="12"/>
              </w:rPr>
            </w:pPr>
          </w:p>
        </w:tc>
        <w:tc>
          <w:tcPr>
            <w:tcW w:w="1843" w:type="dxa"/>
            <w:shd w:val="clear" w:color="auto" w:fill="auto"/>
          </w:tcPr>
          <w:p w14:paraId="6AAFEA4E" w14:textId="77777777" w:rsidR="002A4DDF" w:rsidRPr="00937C8B" w:rsidRDefault="002A4DDF" w:rsidP="009110ED">
            <w:pPr>
              <w:rPr>
                <w:rFonts w:ascii="Arial" w:hAnsi="Arial" w:cs="Arial"/>
                <w:sz w:val="12"/>
                <w:szCs w:val="12"/>
              </w:rPr>
            </w:pPr>
          </w:p>
        </w:tc>
        <w:tc>
          <w:tcPr>
            <w:tcW w:w="2268" w:type="dxa"/>
            <w:shd w:val="clear" w:color="auto" w:fill="F2F2F2"/>
            <w:hideMark/>
          </w:tcPr>
          <w:p w14:paraId="79BC916B" w14:textId="77777777" w:rsidR="002A4DDF" w:rsidRPr="00937C8B" w:rsidRDefault="002A4DDF" w:rsidP="009110ED">
            <w:pPr>
              <w:rPr>
                <w:rFonts w:ascii="Arial" w:hAnsi="Arial" w:cs="Arial"/>
                <w:sz w:val="12"/>
                <w:szCs w:val="12"/>
              </w:rPr>
            </w:pPr>
            <w:r>
              <w:rPr>
                <w:rFonts w:ascii="Arial" w:hAnsi="Arial"/>
                <w:sz w:val="12"/>
                <w:szCs w:val="12"/>
              </w:rPr>
              <w:t>Hormigos</w:t>
            </w:r>
          </w:p>
        </w:tc>
        <w:tc>
          <w:tcPr>
            <w:tcW w:w="2268" w:type="dxa"/>
            <w:tcBorders>
              <w:right w:val="single" w:sz="4" w:space="0" w:color="auto"/>
            </w:tcBorders>
            <w:shd w:val="clear" w:color="auto" w:fill="D9D9D9"/>
            <w:hideMark/>
          </w:tcPr>
          <w:p w14:paraId="5223A2F7" w14:textId="77777777" w:rsidR="002A4DDF" w:rsidRPr="00937C8B" w:rsidRDefault="002A4DDF" w:rsidP="009110ED">
            <w:pPr>
              <w:rPr>
                <w:rFonts w:ascii="Arial" w:hAnsi="Arial" w:cs="Arial"/>
                <w:sz w:val="12"/>
                <w:szCs w:val="12"/>
              </w:rPr>
            </w:pPr>
            <w:r>
              <w:rPr>
                <w:rFonts w:ascii="Arial" w:hAnsi="Arial"/>
                <w:sz w:val="12"/>
                <w:szCs w:val="12"/>
              </w:rPr>
              <w:t>El Real de San Vicente</w:t>
            </w:r>
          </w:p>
        </w:tc>
      </w:tr>
      <w:tr w:rsidR="002A4DDF" w:rsidRPr="00937C8B" w14:paraId="5772D8B7" w14:textId="77777777" w:rsidTr="00935676">
        <w:trPr>
          <w:cantSplit/>
        </w:trPr>
        <w:tc>
          <w:tcPr>
            <w:tcW w:w="1696" w:type="dxa"/>
            <w:tcBorders>
              <w:left w:val="single" w:sz="4" w:space="0" w:color="auto"/>
            </w:tcBorders>
            <w:shd w:val="clear" w:color="auto" w:fill="auto"/>
          </w:tcPr>
          <w:p w14:paraId="10540EAD" w14:textId="77777777" w:rsidR="002A4DDF" w:rsidRPr="00937C8B" w:rsidRDefault="002A4DDF" w:rsidP="009110ED">
            <w:pPr>
              <w:rPr>
                <w:rFonts w:ascii="Arial" w:hAnsi="Arial" w:cs="Arial"/>
                <w:sz w:val="12"/>
                <w:szCs w:val="12"/>
              </w:rPr>
            </w:pPr>
          </w:p>
        </w:tc>
        <w:tc>
          <w:tcPr>
            <w:tcW w:w="1843" w:type="dxa"/>
            <w:shd w:val="clear" w:color="auto" w:fill="auto"/>
          </w:tcPr>
          <w:p w14:paraId="03C3BE45" w14:textId="77777777" w:rsidR="002A4DDF" w:rsidRPr="00937C8B" w:rsidRDefault="002A4DDF" w:rsidP="009110ED">
            <w:pPr>
              <w:rPr>
                <w:rFonts w:ascii="Arial" w:hAnsi="Arial" w:cs="Arial"/>
                <w:sz w:val="12"/>
                <w:szCs w:val="12"/>
              </w:rPr>
            </w:pPr>
          </w:p>
        </w:tc>
        <w:tc>
          <w:tcPr>
            <w:tcW w:w="2268" w:type="dxa"/>
            <w:shd w:val="clear" w:color="auto" w:fill="F2F2F2"/>
            <w:hideMark/>
          </w:tcPr>
          <w:p w14:paraId="0767121F" w14:textId="77777777" w:rsidR="002A4DDF" w:rsidRPr="00937C8B" w:rsidRDefault="002A4DDF" w:rsidP="009110ED">
            <w:pPr>
              <w:rPr>
                <w:rFonts w:ascii="Arial" w:hAnsi="Arial" w:cs="Arial"/>
                <w:sz w:val="12"/>
                <w:szCs w:val="12"/>
              </w:rPr>
            </w:pPr>
            <w:r>
              <w:rPr>
                <w:rFonts w:ascii="Arial" w:hAnsi="Arial"/>
                <w:sz w:val="12"/>
                <w:szCs w:val="12"/>
              </w:rPr>
              <w:t>Illescas</w:t>
            </w:r>
          </w:p>
        </w:tc>
        <w:tc>
          <w:tcPr>
            <w:tcW w:w="2268" w:type="dxa"/>
            <w:tcBorders>
              <w:right w:val="single" w:sz="4" w:space="0" w:color="auto"/>
            </w:tcBorders>
            <w:shd w:val="clear" w:color="auto" w:fill="D9D9D9"/>
            <w:hideMark/>
          </w:tcPr>
          <w:p w14:paraId="182ED374" w14:textId="77777777" w:rsidR="002A4DDF" w:rsidRPr="00937C8B" w:rsidRDefault="002A4DDF" w:rsidP="009110ED">
            <w:pPr>
              <w:rPr>
                <w:rFonts w:ascii="Arial" w:hAnsi="Arial" w:cs="Arial"/>
                <w:sz w:val="12"/>
                <w:szCs w:val="12"/>
              </w:rPr>
            </w:pPr>
            <w:r>
              <w:rPr>
                <w:rFonts w:ascii="Arial" w:hAnsi="Arial"/>
                <w:sz w:val="12"/>
                <w:szCs w:val="12"/>
              </w:rPr>
              <w:t>Escalona</w:t>
            </w:r>
          </w:p>
        </w:tc>
      </w:tr>
      <w:tr w:rsidR="002A4DDF" w:rsidRPr="00937C8B" w14:paraId="74489D31" w14:textId="77777777" w:rsidTr="00935676">
        <w:trPr>
          <w:cantSplit/>
        </w:trPr>
        <w:tc>
          <w:tcPr>
            <w:tcW w:w="1696" w:type="dxa"/>
            <w:tcBorders>
              <w:left w:val="single" w:sz="4" w:space="0" w:color="auto"/>
            </w:tcBorders>
            <w:shd w:val="clear" w:color="auto" w:fill="auto"/>
          </w:tcPr>
          <w:p w14:paraId="6BF0BA92" w14:textId="77777777" w:rsidR="002A4DDF" w:rsidRPr="00937C8B" w:rsidRDefault="002A4DDF" w:rsidP="009110ED">
            <w:pPr>
              <w:rPr>
                <w:rFonts w:ascii="Arial" w:hAnsi="Arial" w:cs="Arial"/>
                <w:sz w:val="12"/>
                <w:szCs w:val="12"/>
              </w:rPr>
            </w:pPr>
          </w:p>
        </w:tc>
        <w:tc>
          <w:tcPr>
            <w:tcW w:w="1843" w:type="dxa"/>
            <w:shd w:val="clear" w:color="auto" w:fill="auto"/>
          </w:tcPr>
          <w:p w14:paraId="0D3267EE" w14:textId="77777777" w:rsidR="002A4DDF" w:rsidRPr="00937C8B" w:rsidRDefault="002A4DDF" w:rsidP="009110ED">
            <w:pPr>
              <w:rPr>
                <w:rFonts w:ascii="Arial" w:hAnsi="Arial" w:cs="Arial"/>
                <w:sz w:val="12"/>
                <w:szCs w:val="12"/>
              </w:rPr>
            </w:pPr>
          </w:p>
        </w:tc>
        <w:tc>
          <w:tcPr>
            <w:tcW w:w="2268" w:type="dxa"/>
            <w:shd w:val="clear" w:color="auto" w:fill="F2F2F2"/>
            <w:hideMark/>
          </w:tcPr>
          <w:p w14:paraId="61C9D6B9" w14:textId="77777777" w:rsidR="002A4DDF" w:rsidRPr="00937C8B" w:rsidRDefault="002A4DDF" w:rsidP="009110ED">
            <w:pPr>
              <w:rPr>
                <w:rFonts w:ascii="Arial" w:hAnsi="Arial" w:cs="Arial"/>
                <w:sz w:val="12"/>
                <w:szCs w:val="12"/>
              </w:rPr>
            </w:pPr>
            <w:r>
              <w:rPr>
                <w:rFonts w:ascii="Arial" w:hAnsi="Arial"/>
                <w:sz w:val="12"/>
                <w:szCs w:val="12"/>
              </w:rPr>
              <w:t>La Puebla de Almoradiel</w:t>
            </w:r>
          </w:p>
        </w:tc>
        <w:tc>
          <w:tcPr>
            <w:tcW w:w="2268" w:type="dxa"/>
            <w:tcBorders>
              <w:right w:val="single" w:sz="4" w:space="0" w:color="auto"/>
            </w:tcBorders>
            <w:shd w:val="clear" w:color="auto" w:fill="D9D9D9"/>
            <w:hideMark/>
          </w:tcPr>
          <w:p w14:paraId="173F5911" w14:textId="77777777" w:rsidR="002A4DDF" w:rsidRPr="00937C8B" w:rsidRDefault="002A4DDF" w:rsidP="009110ED">
            <w:pPr>
              <w:rPr>
                <w:rFonts w:ascii="Arial" w:hAnsi="Arial" w:cs="Arial"/>
                <w:sz w:val="12"/>
                <w:szCs w:val="12"/>
              </w:rPr>
            </w:pPr>
            <w:r>
              <w:rPr>
                <w:rFonts w:ascii="Arial" w:hAnsi="Arial"/>
                <w:sz w:val="12"/>
                <w:szCs w:val="12"/>
              </w:rPr>
              <w:t>Espinoso del Rey</w:t>
            </w:r>
          </w:p>
        </w:tc>
      </w:tr>
      <w:tr w:rsidR="002A4DDF" w:rsidRPr="00937C8B" w14:paraId="7FC9C2AF" w14:textId="77777777" w:rsidTr="00935676">
        <w:trPr>
          <w:cantSplit/>
        </w:trPr>
        <w:tc>
          <w:tcPr>
            <w:tcW w:w="1696" w:type="dxa"/>
            <w:tcBorders>
              <w:left w:val="single" w:sz="4" w:space="0" w:color="auto"/>
            </w:tcBorders>
            <w:shd w:val="clear" w:color="auto" w:fill="auto"/>
          </w:tcPr>
          <w:p w14:paraId="20C34D99" w14:textId="77777777" w:rsidR="002A4DDF" w:rsidRPr="00937C8B" w:rsidRDefault="002A4DDF" w:rsidP="009110ED">
            <w:pPr>
              <w:rPr>
                <w:rFonts w:ascii="Arial" w:hAnsi="Arial" w:cs="Arial"/>
                <w:sz w:val="12"/>
                <w:szCs w:val="12"/>
              </w:rPr>
            </w:pPr>
          </w:p>
        </w:tc>
        <w:tc>
          <w:tcPr>
            <w:tcW w:w="1843" w:type="dxa"/>
            <w:shd w:val="clear" w:color="auto" w:fill="auto"/>
          </w:tcPr>
          <w:p w14:paraId="7F84B687" w14:textId="77777777" w:rsidR="002A4DDF" w:rsidRPr="00937C8B" w:rsidRDefault="002A4DDF" w:rsidP="009110ED">
            <w:pPr>
              <w:rPr>
                <w:rFonts w:ascii="Arial" w:hAnsi="Arial" w:cs="Arial"/>
                <w:sz w:val="12"/>
                <w:szCs w:val="12"/>
              </w:rPr>
            </w:pPr>
          </w:p>
        </w:tc>
        <w:tc>
          <w:tcPr>
            <w:tcW w:w="2268" w:type="dxa"/>
            <w:shd w:val="clear" w:color="auto" w:fill="F2F2F2"/>
            <w:hideMark/>
          </w:tcPr>
          <w:p w14:paraId="215B51FB" w14:textId="77777777" w:rsidR="002A4DDF" w:rsidRPr="00937C8B" w:rsidRDefault="002A4DDF" w:rsidP="009110ED">
            <w:pPr>
              <w:rPr>
                <w:rFonts w:ascii="Arial" w:hAnsi="Arial" w:cs="Arial"/>
                <w:sz w:val="12"/>
                <w:szCs w:val="12"/>
              </w:rPr>
            </w:pPr>
            <w:r>
              <w:rPr>
                <w:rFonts w:ascii="Arial" w:hAnsi="Arial"/>
                <w:sz w:val="12"/>
                <w:szCs w:val="12"/>
              </w:rPr>
              <w:t>Las Herencias</w:t>
            </w:r>
          </w:p>
        </w:tc>
        <w:tc>
          <w:tcPr>
            <w:tcW w:w="2268" w:type="dxa"/>
            <w:tcBorders>
              <w:right w:val="single" w:sz="4" w:space="0" w:color="auto"/>
            </w:tcBorders>
            <w:shd w:val="clear" w:color="auto" w:fill="D9D9D9"/>
            <w:hideMark/>
          </w:tcPr>
          <w:p w14:paraId="4764C441" w14:textId="77777777" w:rsidR="002A4DDF" w:rsidRPr="00937C8B" w:rsidRDefault="002A4DDF" w:rsidP="009110ED">
            <w:pPr>
              <w:rPr>
                <w:rFonts w:ascii="Arial" w:hAnsi="Arial" w:cs="Arial"/>
                <w:sz w:val="12"/>
                <w:szCs w:val="12"/>
              </w:rPr>
            </w:pPr>
            <w:r>
              <w:rPr>
                <w:rFonts w:ascii="Arial" w:hAnsi="Arial"/>
                <w:sz w:val="12"/>
                <w:szCs w:val="12"/>
              </w:rPr>
              <w:t>Fuensalida</w:t>
            </w:r>
          </w:p>
        </w:tc>
      </w:tr>
      <w:tr w:rsidR="002A4DDF" w:rsidRPr="00937C8B" w14:paraId="7444A56F" w14:textId="77777777" w:rsidTr="00935676">
        <w:trPr>
          <w:cantSplit/>
        </w:trPr>
        <w:tc>
          <w:tcPr>
            <w:tcW w:w="1696" w:type="dxa"/>
            <w:tcBorders>
              <w:left w:val="single" w:sz="4" w:space="0" w:color="auto"/>
            </w:tcBorders>
            <w:shd w:val="clear" w:color="auto" w:fill="auto"/>
          </w:tcPr>
          <w:p w14:paraId="7A3EA1F1" w14:textId="77777777" w:rsidR="002A4DDF" w:rsidRPr="00937C8B" w:rsidRDefault="002A4DDF" w:rsidP="009110ED">
            <w:pPr>
              <w:rPr>
                <w:rFonts w:ascii="Arial" w:hAnsi="Arial" w:cs="Arial"/>
                <w:sz w:val="12"/>
                <w:szCs w:val="12"/>
              </w:rPr>
            </w:pPr>
          </w:p>
        </w:tc>
        <w:tc>
          <w:tcPr>
            <w:tcW w:w="1843" w:type="dxa"/>
            <w:shd w:val="clear" w:color="auto" w:fill="auto"/>
          </w:tcPr>
          <w:p w14:paraId="4FD789D2" w14:textId="77777777" w:rsidR="002A4DDF" w:rsidRPr="00937C8B" w:rsidRDefault="002A4DDF" w:rsidP="009110ED">
            <w:pPr>
              <w:rPr>
                <w:rFonts w:ascii="Arial" w:hAnsi="Arial" w:cs="Arial"/>
                <w:sz w:val="12"/>
                <w:szCs w:val="12"/>
              </w:rPr>
            </w:pPr>
          </w:p>
        </w:tc>
        <w:tc>
          <w:tcPr>
            <w:tcW w:w="2268" w:type="dxa"/>
            <w:shd w:val="clear" w:color="auto" w:fill="F2F2F2"/>
            <w:hideMark/>
          </w:tcPr>
          <w:p w14:paraId="1ACF0D17" w14:textId="77777777" w:rsidR="002A4DDF" w:rsidRPr="00937C8B" w:rsidRDefault="002A4DDF" w:rsidP="009110ED">
            <w:pPr>
              <w:rPr>
                <w:rFonts w:ascii="Arial" w:hAnsi="Arial" w:cs="Arial"/>
                <w:sz w:val="12"/>
                <w:szCs w:val="12"/>
              </w:rPr>
            </w:pPr>
            <w:r>
              <w:rPr>
                <w:rFonts w:ascii="Arial" w:hAnsi="Arial"/>
                <w:sz w:val="12"/>
                <w:szCs w:val="12"/>
              </w:rPr>
              <w:t>Los Cerralbos</w:t>
            </w:r>
          </w:p>
        </w:tc>
        <w:tc>
          <w:tcPr>
            <w:tcW w:w="2268" w:type="dxa"/>
            <w:tcBorders>
              <w:right w:val="single" w:sz="4" w:space="0" w:color="auto"/>
            </w:tcBorders>
            <w:shd w:val="clear" w:color="auto" w:fill="D9D9D9"/>
            <w:hideMark/>
          </w:tcPr>
          <w:p w14:paraId="1435EFFE" w14:textId="77777777" w:rsidR="002A4DDF" w:rsidRPr="00937C8B" w:rsidRDefault="002A4DDF" w:rsidP="009110ED">
            <w:pPr>
              <w:rPr>
                <w:rFonts w:ascii="Arial" w:hAnsi="Arial" w:cs="Arial"/>
                <w:sz w:val="12"/>
                <w:szCs w:val="12"/>
              </w:rPr>
            </w:pPr>
            <w:r>
              <w:rPr>
                <w:rFonts w:ascii="Arial" w:hAnsi="Arial"/>
                <w:sz w:val="12"/>
                <w:szCs w:val="12"/>
              </w:rPr>
              <w:t>Gálvez</w:t>
            </w:r>
          </w:p>
        </w:tc>
      </w:tr>
      <w:tr w:rsidR="002A4DDF" w:rsidRPr="00937C8B" w14:paraId="0AF45EE7" w14:textId="77777777" w:rsidTr="00935676">
        <w:trPr>
          <w:cantSplit/>
        </w:trPr>
        <w:tc>
          <w:tcPr>
            <w:tcW w:w="1696" w:type="dxa"/>
            <w:tcBorders>
              <w:left w:val="single" w:sz="4" w:space="0" w:color="auto"/>
            </w:tcBorders>
            <w:shd w:val="clear" w:color="auto" w:fill="auto"/>
          </w:tcPr>
          <w:p w14:paraId="088B7C14" w14:textId="77777777" w:rsidR="002A4DDF" w:rsidRPr="00937C8B" w:rsidRDefault="002A4DDF" w:rsidP="009110ED">
            <w:pPr>
              <w:rPr>
                <w:rFonts w:ascii="Arial" w:hAnsi="Arial" w:cs="Arial"/>
                <w:sz w:val="12"/>
                <w:szCs w:val="12"/>
              </w:rPr>
            </w:pPr>
          </w:p>
        </w:tc>
        <w:tc>
          <w:tcPr>
            <w:tcW w:w="1843" w:type="dxa"/>
            <w:shd w:val="clear" w:color="auto" w:fill="auto"/>
          </w:tcPr>
          <w:p w14:paraId="6A23BC57" w14:textId="77777777" w:rsidR="002A4DDF" w:rsidRPr="00937C8B" w:rsidRDefault="002A4DDF" w:rsidP="009110ED">
            <w:pPr>
              <w:rPr>
                <w:rFonts w:ascii="Arial" w:hAnsi="Arial" w:cs="Arial"/>
                <w:sz w:val="12"/>
                <w:szCs w:val="12"/>
              </w:rPr>
            </w:pPr>
          </w:p>
        </w:tc>
        <w:tc>
          <w:tcPr>
            <w:tcW w:w="2268" w:type="dxa"/>
            <w:shd w:val="clear" w:color="auto" w:fill="F2F2F2"/>
            <w:hideMark/>
          </w:tcPr>
          <w:p w14:paraId="77FD54D5" w14:textId="77777777" w:rsidR="002A4DDF" w:rsidRPr="00937C8B" w:rsidRDefault="002A4DDF" w:rsidP="009110ED">
            <w:pPr>
              <w:rPr>
                <w:rFonts w:ascii="Arial" w:hAnsi="Arial" w:cs="Arial"/>
                <w:sz w:val="12"/>
                <w:szCs w:val="12"/>
              </w:rPr>
            </w:pPr>
            <w:r>
              <w:rPr>
                <w:rFonts w:ascii="Arial" w:hAnsi="Arial"/>
                <w:sz w:val="12"/>
                <w:szCs w:val="12"/>
              </w:rPr>
              <w:t>Los Yébenes</w:t>
            </w:r>
          </w:p>
        </w:tc>
        <w:tc>
          <w:tcPr>
            <w:tcW w:w="2268" w:type="dxa"/>
            <w:tcBorders>
              <w:right w:val="single" w:sz="4" w:space="0" w:color="auto"/>
            </w:tcBorders>
            <w:shd w:val="clear" w:color="auto" w:fill="D9D9D9"/>
            <w:hideMark/>
          </w:tcPr>
          <w:p w14:paraId="4CAC598D" w14:textId="77777777" w:rsidR="002A4DDF" w:rsidRPr="00937C8B" w:rsidRDefault="002A4DDF" w:rsidP="009110ED">
            <w:pPr>
              <w:rPr>
                <w:rFonts w:ascii="Arial" w:hAnsi="Arial" w:cs="Arial"/>
                <w:sz w:val="12"/>
                <w:szCs w:val="12"/>
              </w:rPr>
            </w:pPr>
            <w:r>
              <w:rPr>
                <w:rFonts w:ascii="Arial" w:hAnsi="Arial"/>
                <w:sz w:val="12"/>
                <w:szCs w:val="12"/>
              </w:rPr>
              <w:t>Guadamur</w:t>
            </w:r>
          </w:p>
        </w:tc>
      </w:tr>
      <w:tr w:rsidR="002A4DDF" w:rsidRPr="00937C8B" w14:paraId="664D934A" w14:textId="77777777" w:rsidTr="00935676">
        <w:trPr>
          <w:cantSplit/>
        </w:trPr>
        <w:tc>
          <w:tcPr>
            <w:tcW w:w="1696" w:type="dxa"/>
            <w:tcBorders>
              <w:left w:val="single" w:sz="4" w:space="0" w:color="auto"/>
            </w:tcBorders>
            <w:shd w:val="clear" w:color="auto" w:fill="auto"/>
          </w:tcPr>
          <w:p w14:paraId="5BE96DE0" w14:textId="77777777" w:rsidR="002A4DDF" w:rsidRPr="00937C8B" w:rsidRDefault="002A4DDF" w:rsidP="009110ED">
            <w:pPr>
              <w:rPr>
                <w:rFonts w:ascii="Arial" w:hAnsi="Arial" w:cs="Arial"/>
                <w:sz w:val="12"/>
                <w:szCs w:val="12"/>
              </w:rPr>
            </w:pPr>
          </w:p>
        </w:tc>
        <w:tc>
          <w:tcPr>
            <w:tcW w:w="1843" w:type="dxa"/>
            <w:shd w:val="clear" w:color="auto" w:fill="auto"/>
          </w:tcPr>
          <w:p w14:paraId="25291FCA" w14:textId="77777777" w:rsidR="002A4DDF" w:rsidRPr="00937C8B" w:rsidRDefault="002A4DDF" w:rsidP="009110ED">
            <w:pPr>
              <w:rPr>
                <w:rFonts w:ascii="Arial" w:hAnsi="Arial" w:cs="Arial"/>
                <w:sz w:val="12"/>
                <w:szCs w:val="12"/>
              </w:rPr>
            </w:pPr>
          </w:p>
        </w:tc>
        <w:tc>
          <w:tcPr>
            <w:tcW w:w="2268" w:type="dxa"/>
            <w:shd w:val="clear" w:color="auto" w:fill="F2F2F2"/>
            <w:hideMark/>
          </w:tcPr>
          <w:p w14:paraId="35B55410" w14:textId="77777777" w:rsidR="002A4DDF" w:rsidRPr="00937C8B" w:rsidRDefault="002A4DDF" w:rsidP="009110ED">
            <w:pPr>
              <w:rPr>
                <w:rFonts w:ascii="Arial" w:hAnsi="Arial" w:cs="Arial"/>
                <w:sz w:val="12"/>
                <w:szCs w:val="12"/>
              </w:rPr>
            </w:pPr>
            <w:r>
              <w:rPr>
                <w:rFonts w:ascii="Arial" w:hAnsi="Arial"/>
                <w:sz w:val="12"/>
                <w:szCs w:val="12"/>
              </w:rPr>
              <w:t>Lucillos</w:t>
            </w:r>
          </w:p>
        </w:tc>
        <w:tc>
          <w:tcPr>
            <w:tcW w:w="2268" w:type="dxa"/>
            <w:tcBorders>
              <w:right w:val="single" w:sz="4" w:space="0" w:color="auto"/>
            </w:tcBorders>
            <w:shd w:val="clear" w:color="auto" w:fill="D9D9D9"/>
            <w:hideMark/>
          </w:tcPr>
          <w:p w14:paraId="0866AED3" w14:textId="77777777" w:rsidR="002A4DDF" w:rsidRPr="00937C8B" w:rsidRDefault="002A4DDF" w:rsidP="009110ED">
            <w:pPr>
              <w:rPr>
                <w:rFonts w:ascii="Arial" w:hAnsi="Arial" w:cs="Arial"/>
                <w:sz w:val="12"/>
                <w:szCs w:val="12"/>
              </w:rPr>
            </w:pPr>
            <w:r>
              <w:rPr>
                <w:rFonts w:ascii="Arial" w:hAnsi="Arial"/>
                <w:sz w:val="12"/>
                <w:szCs w:val="12"/>
              </w:rPr>
              <w:t>Hinojosa de San Vicente</w:t>
            </w:r>
          </w:p>
        </w:tc>
      </w:tr>
      <w:tr w:rsidR="002A4DDF" w:rsidRPr="00937C8B" w14:paraId="0E0E289E" w14:textId="77777777" w:rsidTr="00935676">
        <w:trPr>
          <w:cantSplit/>
        </w:trPr>
        <w:tc>
          <w:tcPr>
            <w:tcW w:w="1696" w:type="dxa"/>
            <w:tcBorders>
              <w:left w:val="single" w:sz="4" w:space="0" w:color="auto"/>
            </w:tcBorders>
            <w:shd w:val="clear" w:color="auto" w:fill="auto"/>
          </w:tcPr>
          <w:p w14:paraId="49187864" w14:textId="77777777" w:rsidR="002A4DDF" w:rsidRPr="00937C8B" w:rsidRDefault="002A4DDF" w:rsidP="009110ED">
            <w:pPr>
              <w:rPr>
                <w:rFonts w:ascii="Arial" w:hAnsi="Arial" w:cs="Arial"/>
                <w:sz w:val="12"/>
                <w:szCs w:val="12"/>
              </w:rPr>
            </w:pPr>
          </w:p>
        </w:tc>
        <w:tc>
          <w:tcPr>
            <w:tcW w:w="1843" w:type="dxa"/>
            <w:shd w:val="clear" w:color="auto" w:fill="auto"/>
          </w:tcPr>
          <w:p w14:paraId="4ACF6D7E" w14:textId="77777777" w:rsidR="002A4DDF" w:rsidRPr="00937C8B" w:rsidRDefault="002A4DDF" w:rsidP="009110ED">
            <w:pPr>
              <w:rPr>
                <w:rFonts w:ascii="Arial" w:hAnsi="Arial" w:cs="Arial"/>
                <w:sz w:val="12"/>
                <w:szCs w:val="12"/>
              </w:rPr>
            </w:pPr>
          </w:p>
        </w:tc>
        <w:tc>
          <w:tcPr>
            <w:tcW w:w="2268" w:type="dxa"/>
            <w:shd w:val="clear" w:color="auto" w:fill="F2F2F2"/>
            <w:hideMark/>
          </w:tcPr>
          <w:p w14:paraId="12A85A76" w14:textId="77777777" w:rsidR="002A4DDF" w:rsidRPr="00937C8B" w:rsidRDefault="002A4DDF" w:rsidP="009110ED">
            <w:pPr>
              <w:rPr>
                <w:rFonts w:ascii="Arial" w:hAnsi="Arial" w:cs="Arial"/>
                <w:sz w:val="12"/>
                <w:szCs w:val="12"/>
              </w:rPr>
            </w:pPr>
            <w:r>
              <w:rPr>
                <w:rFonts w:ascii="Arial" w:hAnsi="Arial"/>
                <w:sz w:val="12"/>
                <w:szCs w:val="12"/>
              </w:rPr>
              <w:t>Madridejos</w:t>
            </w:r>
          </w:p>
        </w:tc>
        <w:tc>
          <w:tcPr>
            <w:tcW w:w="2268" w:type="dxa"/>
            <w:tcBorders>
              <w:right w:val="single" w:sz="4" w:space="0" w:color="auto"/>
            </w:tcBorders>
            <w:shd w:val="clear" w:color="auto" w:fill="D9D9D9"/>
            <w:hideMark/>
          </w:tcPr>
          <w:p w14:paraId="5FA3129E" w14:textId="77777777" w:rsidR="002A4DDF" w:rsidRPr="00937C8B" w:rsidRDefault="002A4DDF" w:rsidP="009110ED">
            <w:pPr>
              <w:rPr>
                <w:rFonts w:ascii="Arial" w:hAnsi="Arial" w:cs="Arial"/>
                <w:sz w:val="12"/>
                <w:szCs w:val="12"/>
              </w:rPr>
            </w:pPr>
            <w:r>
              <w:rPr>
                <w:rFonts w:ascii="Arial" w:hAnsi="Arial"/>
                <w:sz w:val="12"/>
                <w:szCs w:val="12"/>
              </w:rPr>
              <w:t>Hontanar</w:t>
            </w:r>
          </w:p>
        </w:tc>
      </w:tr>
      <w:tr w:rsidR="002A4DDF" w:rsidRPr="00937C8B" w14:paraId="2622414A" w14:textId="77777777" w:rsidTr="00935676">
        <w:trPr>
          <w:cantSplit/>
        </w:trPr>
        <w:tc>
          <w:tcPr>
            <w:tcW w:w="1696" w:type="dxa"/>
            <w:tcBorders>
              <w:left w:val="single" w:sz="4" w:space="0" w:color="auto"/>
            </w:tcBorders>
            <w:shd w:val="clear" w:color="auto" w:fill="auto"/>
          </w:tcPr>
          <w:p w14:paraId="5038FA7B" w14:textId="77777777" w:rsidR="002A4DDF" w:rsidRPr="00937C8B" w:rsidRDefault="002A4DDF" w:rsidP="009110ED">
            <w:pPr>
              <w:rPr>
                <w:rFonts w:ascii="Arial" w:hAnsi="Arial" w:cs="Arial"/>
                <w:sz w:val="12"/>
                <w:szCs w:val="12"/>
              </w:rPr>
            </w:pPr>
          </w:p>
        </w:tc>
        <w:tc>
          <w:tcPr>
            <w:tcW w:w="1843" w:type="dxa"/>
            <w:shd w:val="clear" w:color="auto" w:fill="auto"/>
          </w:tcPr>
          <w:p w14:paraId="34EE2CA8" w14:textId="77777777" w:rsidR="002A4DDF" w:rsidRPr="00937C8B" w:rsidRDefault="002A4DDF" w:rsidP="009110ED">
            <w:pPr>
              <w:rPr>
                <w:rFonts w:ascii="Arial" w:hAnsi="Arial" w:cs="Arial"/>
                <w:sz w:val="12"/>
                <w:szCs w:val="12"/>
              </w:rPr>
            </w:pPr>
          </w:p>
        </w:tc>
        <w:tc>
          <w:tcPr>
            <w:tcW w:w="2268" w:type="dxa"/>
            <w:shd w:val="clear" w:color="auto" w:fill="F2F2F2"/>
            <w:hideMark/>
          </w:tcPr>
          <w:p w14:paraId="3033F90E" w14:textId="77777777" w:rsidR="002A4DDF" w:rsidRPr="00937C8B" w:rsidRDefault="002A4DDF" w:rsidP="009110ED">
            <w:pPr>
              <w:rPr>
                <w:rFonts w:ascii="Arial" w:hAnsi="Arial" w:cs="Arial"/>
                <w:sz w:val="12"/>
                <w:szCs w:val="12"/>
              </w:rPr>
            </w:pPr>
            <w:r>
              <w:rPr>
                <w:rFonts w:ascii="Arial" w:hAnsi="Arial"/>
                <w:sz w:val="12"/>
                <w:szCs w:val="12"/>
              </w:rPr>
              <w:t>Magán</w:t>
            </w:r>
          </w:p>
        </w:tc>
        <w:tc>
          <w:tcPr>
            <w:tcW w:w="2268" w:type="dxa"/>
            <w:tcBorders>
              <w:right w:val="single" w:sz="4" w:space="0" w:color="auto"/>
            </w:tcBorders>
            <w:shd w:val="clear" w:color="auto" w:fill="D9D9D9"/>
            <w:hideMark/>
          </w:tcPr>
          <w:p w14:paraId="54E667A0" w14:textId="77777777" w:rsidR="002A4DDF" w:rsidRPr="00937C8B" w:rsidRDefault="002A4DDF" w:rsidP="009110ED">
            <w:pPr>
              <w:rPr>
                <w:rFonts w:ascii="Arial" w:hAnsi="Arial" w:cs="Arial"/>
                <w:sz w:val="12"/>
                <w:szCs w:val="12"/>
              </w:rPr>
            </w:pPr>
            <w:r>
              <w:rPr>
                <w:rFonts w:ascii="Arial" w:hAnsi="Arial"/>
                <w:sz w:val="12"/>
                <w:szCs w:val="12"/>
              </w:rPr>
              <w:t>Huecas</w:t>
            </w:r>
          </w:p>
        </w:tc>
      </w:tr>
      <w:tr w:rsidR="002A4DDF" w:rsidRPr="00937C8B" w14:paraId="1891BDC6" w14:textId="77777777" w:rsidTr="00935676">
        <w:trPr>
          <w:cantSplit/>
        </w:trPr>
        <w:tc>
          <w:tcPr>
            <w:tcW w:w="1696" w:type="dxa"/>
            <w:tcBorders>
              <w:left w:val="single" w:sz="4" w:space="0" w:color="auto"/>
            </w:tcBorders>
            <w:shd w:val="clear" w:color="auto" w:fill="auto"/>
          </w:tcPr>
          <w:p w14:paraId="0B2F7766" w14:textId="77777777" w:rsidR="002A4DDF" w:rsidRPr="00937C8B" w:rsidRDefault="002A4DDF" w:rsidP="009110ED">
            <w:pPr>
              <w:rPr>
                <w:rFonts w:ascii="Arial" w:hAnsi="Arial" w:cs="Arial"/>
                <w:sz w:val="12"/>
                <w:szCs w:val="12"/>
              </w:rPr>
            </w:pPr>
          </w:p>
        </w:tc>
        <w:tc>
          <w:tcPr>
            <w:tcW w:w="1843" w:type="dxa"/>
            <w:shd w:val="clear" w:color="auto" w:fill="auto"/>
          </w:tcPr>
          <w:p w14:paraId="37042A6B" w14:textId="77777777" w:rsidR="002A4DDF" w:rsidRPr="00937C8B" w:rsidRDefault="002A4DDF" w:rsidP="009110ED">
            <w:pPr>
              <w:rPr>
                <w:rFonts w:ascii="Arial" w:hAnsi="Arial" w:cs="Arial"/>
                <w:sz w:val="12"/>
                <w:szCs w:val="12"/>
              </w:rPr>
            </w:pPr>
          </w:p>
        </w:tc>
        <w:tc>
          <w:tcPr>
            <w:tcW w:w="2268" w:type="dxa"/>
            <w:shd w:val="clear" w:color="auto" w:fill="F2F2F2"/>
            <w:hideMark/>
          </w:tcPr>
          <w:p w14:paraId="35DC24B6" w14:textId="77777777" w:rsidR="002A4DDF" w:rsidRPr="00937C8B" w:rsidRDefault="002A4DDF" w:rsidP="009110ED">
            <w:pPr>
              <w:rPr>
                <w:rFonts w:ascii="Arial" w:hAnsi="Arial" w:cs="Arial"/>
                <w:sz w:val="12"/>
                <w:szCs w:val="12"/>
              </w:rPr>
            </w:pPr>
            <w:r>
              <w:rPr>
                <w:rFonts w:ascii="Arial" w:hAnsi="Arial"/>
                <w:sz w:val="12"/>
                <w:szCs w:val="12"/>
              </w:rPr>
              <w:t>Malpica de Tajo</w:t>
            </w:r>
          </w:p>
        </w:tc>
        <w:tc>
          <w:tcPr>
            <w:tcW w:w="2268" w:type="dxa"/>
            <w:tcBorders>
              <w:right w:val="single" w:sz="4" w:space="0" w:color="auto"/>
            </w:tcBorders>
            <w:shd w:val="clear" w:color="auto" w:fill="D9D9D9"/>
            <w:hideMark/>
          </w:tcPr>
          <w:p w14:paraId="59792BCA" w14:textId="77777777" w:rsidR="002A4DDF" w:rsidRPr="00937C8B" w:rsidRDefault="002A4DDF" w:rsidP="009110ED">
            <w:pPr>
              <w:rPr>
                <w:rFonts w:ascii="Arial" w:hAnsi="Arial" w:cs="Arial"/>
                <w:sz w:val="12"/>
                <w:szCs w:val="12"/>
              </w:rPr>
            </w:pPr>
            <w:r>
              <w:rPr>
                <w:rFonts w:ascii="Arial" w:hAnsi="Arial"/>
                <w:sz w:val="12"/>
                <w:szCs w:val="12"/>
              </w:rPr>
              <w:t>La Estrella</w:t>
            </w:r>
          </w:p>
        </w:tc>
      </w:tr>
      <w:tr w:rsidR="002A4DDF" w:rsidRPr="00937C8B" w14:paraId="35535A56" w14:textId="77777777" w:rsidTr="00935676">
        <w:trPr>
          <w:cantSplit/>
        </w:trPr>
        <w:tc>
          <w:tcPr>
            <w:tcW w:w="1696" w:type="dxa"/>
            <w:tcBorders>
              <w:left w:val="single" w:sz="4" w:space="0" w:color="auto"/>
            </w:tcBorders>
            <w:shd w:val="clear" w:color="auto" w:fill="auto"/>
          </w:tcPr>
          <w:p w14:paraId="2A2A2328" w14:textId="77777777" w:rsidR="002A4DDF" w:rsidRPr="00937C8B" w:rsidRDefault="002A4DDF" w:rsidP="009110ED">
            <w:pPr>
              <w:rPr>
                <w:rFonts w:ascii="Arial" w:hAnsi="Arial" w:cs="Arial"/>
                <w:sz w:val="12"/>
                <w:szCs w:val="12"/>
              </w:rPr>
            </w:pPr>
          </w:p>
        </w:tc>
        <w:tc>
          <w:tcPr>
            <w:tcW w:w="1843" w:type="dxa"/>
            <w:shd w:val="clear" w:color="auto" w:fill="auto"/>
          </w:tcPr>
          <w:p w14:paraId="2D938149" w14:textId="77777777" w:rsidR="002A4DDF" w:rsidRPr="00937C8B" w:rsidRDefault="002A4DDF" w:rsidP="009110ED">
            <w:pPr>
              <w:rPr>
                <w:rFonts w:ascii="Arial" w:hAnsi="Arial" w:cs="Arial"/>
                <w:sz w:val="12"/>
                <w:szCs w:val="12"/>
              </w:rPr>
            </w:pPr>
          </w:p>
        </w:tc>
        <w:tc>
          <w:tcPr>
            <w:tcW w:w="2268" w:type="dxa"/>
            <w:shd w:val="clear" w:color="auto" w:fill="F2F2F2"/>
            <w:hideMark/>
          </w:tcPr>
          <w:p w14:paraId="0ED39980" w14:textId="77777777" w:rsidR="002A4DDF" w:rsidRPr="00937C8B" w:rsidRDefault="002A4DDF" w:rsidP="009110ED">
            <w:pPr>
              <w:rPr>
                <w:rFonts w:ascii="Arial" w:hAnsi="Arial" w:cs="Arial"/>
                <w:sz w:val="12"/>
                <w:szCs w:val="12"/>
              </w:rPr>
            </w:pPr>
            <w:r>
              <w:rPr>
                <w:rFonts w:ascii="Arial" w:hAnsi="Arial"/>
                <w:sz w:val="12"/>
                <w:szCs w:val="12"/>
              </w:rPr>
              <w:t>Manzaneque</w:t>
            </w:r>
          </w:p>
        </w:tc>
        <w:tc>
          <w:tcPr>
            <w:tcW w:w="2268" w:type="dxa"/>
            <w:tcBorders>
              <w:right w:val="single" w:sz="4" w:space="0" w:color="auto"/>
            </w:tcBorders>
            <w:shd w:val="clear" w:color="auto" w:fill="D9D9D9"/>
            <w:hideMark/>
          </w:tcPr>
          <w:p w14:paraId="66B47E04" w14:textId="77777777" w:rsidR="002A4DDF" w:rsidRPr="00937C8B" w:rsidRDefault="002A4DDF" w:rsidP="009110ED">
            <w:pPr>
              <w:rPr>
                <w:rFonts w:ascii="Arial" w:hAnsi="Arial" w:cs="Arial"/>
                <w:sz w:val="12"/>
                <w:szCs w:val="12"/>
              </w:rPr>
            </w:pPr>
            <w:r>
              <w:rPr>
                <w:rFonts w:ascii="Arial" w:hAnsi="Arial"/>
                <w:sz w:val="12"/>
                <w:szCs w:val="12"/>
              </w:rPr>
              <w:t>La Iglesuela</w:t>
            </w:r>
          </w:p>
        </w:tc>
      </w:tr>
      <w:tr w:rsidR="002A4DDF" w:rsidRPr="00937C8B" w14:paraId="0D9E552F" w14:textId="77777777" w:rsidTr="00935676">
        <w:trPr>
          <w:cantSplit/>
        </w:trPr>
        <w:tc>
          <w:tcPr>
            <w:tcW w:w="1696" w:type="dxa"/>
            <w:tcBorders>
              <w:left w:val="single" w:sz="4" w:space="0" w:color="auto"/>
            </w:tcBorders>
            <w:shd w:val="clear" w:color="auto" w:fill="auto"/>
          </w:tcPr>
          <w:p w14:paraId="59BD6AE2" w14:textId="77777777" w:rsidR="002A4DDF" w:rsidRPr="00937C8B" w:rsidRDefault="002A4DDF" w:rsidP="009110ED">
            <w:pPr>
              <w:rPr>
                <w:rFonts w:ascii="Arial" w:hAnsi="Arial" w:cs="Arial"/>
                <w:sz w:val="12"/>
                <w:szCs w:val="12"/>
              </w:rPr>
            </w:pPr>
          </w:p>
        </w:tc>
        <w:tc>
          <w:tcPr>
            <w:tcW w:w="1843" w:type="dxa"/>
            <w:shd w:val="clear" w:color="auto" w:fill="auto"/>
          </w:tcPr>
          <w:p w14:paraId="52BA518B" w14:textId="77777777" w:rsidR="002A4DDF" w:rsidRPr="00937C8B" w:rsidRDefault="002A4DDF" w:rsidP="009110ED">
            <w:pPr>
              <w:rPr>
                <w:rFonts w:ascii="Arial" w:hAnsi="Arial" w:cs="Arial"/>
                <w:sz w:val="12"/>
                <w:szCs w:val="12"/>
              </w:rPr>
            </w:pPr>
          </w:p>
        </w:tc>
        <w:tc>
          <w:tcPr>
            <w:tcW w:w="2268" w:type="dxa"/>
            <w:shd w:val="clear" w:color="auto" w:fill="F2F2F2"/>
            <w:hideMark/>
          </w:tcPr>
          <w:p w14:paraId="50D71B7C" w14:textId="77777777" w:rsidR="002A4DDF" w:rsidRPr="00937C8B" w:rsidRDefault="002A4DDF" w:rsidP="009110ED">
            <w:pPr>
              <w:rPr>
                <w:rFonts w:ascii="Arial" w:hAnsi="Arial" w:cs="Arial"/>
                <w:sz w:val="12"/>
                <w:szCs w:val="12"/>
              </w:rPr>
            </w:pPr>
            <w:r>
              <w:rPr>
                <w:rFonts w:ascii="Arial" w:hAnsi="Arial"/>
                <w:sz w:val="12"/>
                <w:szCs w:val="12"/>
              </w:rPr>
              <w:t>Marjaliza</w:t>
            </w:r>
          </w:p>
        </w:tc>
        <w:tc>
          <w:tcPr>
            <w:tcW w:w="2268" w:type="dxa"/>
            <w:tcBorders>
              <w:right w:val="single" w:sz="4" w:space="0" w:color="auto"/>
            </w:tcBorders>
            <w:shd w:val="clear" w:color="auto" w:fill="D9D9D9"/>
            <w:hideMark/>
          </w:tcPr>
          <w:p w14:paraId="674643A7" w14:textId="77777777" w:rsidR="002A4DDF" w:rsidRPr="00937C8B" w:rsidRDefault="002A4DDF" w:rsidP="009110ED">
            <w:pPr>
              <w:rPr>
                <w:rFonts w:ascii="Arial" w:hAnsi="Arial" w:cs="Arial"/>
                <w:sz w:val="12"/>
                <w:szCs w:val="12"/>
              </w:rPr>
            </w:pPr>
            <w:r>
              <w:rPr>
                <w:rFonts w:ascii="Arial" w:hAnsi="Arial"/>
                <w:sz w:val="12"/>
                <w:szCs w:val="12"/>
              </w:rPr>
              <w:t>La Nava de Ricomalillo</w:t>
            </w:r>
          </w:p>
        </w:tc>
      </w:tr>
      <w:tr w:rsidR="002A4DDF" w:rsidRPr="00937C8B" w14:paraId="64244F4E" w14:textId="77777777" w:rsidTr="00935676">
        <w:trPr>
          <w:cantSplit/>
        </w:trPr>
        <w:tc>
          <w:tcPr>
            <w:tcW w:w="1696" w:type="dxa"/>
            <w:tcBorders>
              <w:left w:val="single" w:sz="4" w:space="0" w:color="auto"/>
            </w:tcBorders>
            <w:shd w:val="clear" w:color="auto" w:fill="auto"/>
          </w:tcPr>
          <w:p w14:paraId="0E3694B0" w14:textId="77777777" w:rsidR="002A4DDF" w:rsidRPr="00937C8B" w:rsidRDefault="002A4DDF" w:rsidP="009110ED">
            <w:pPr>
              <w:rPr>
                <w:rFonts w:ascii="Arial" w:hAnsi="Arial" w:cs="Arial"/>
                <w:sz w:val="12"/>
                <w:szCs w:val="12"/>
              </w:rPr>
            </w:pPr>
          </w:p>
        </w:tc>
        <w:tc>
          <w:tcPr>
            <w:tcW w:w="1843" w:type="dxa"/>
            <w:shd w:val="clear" w:color="auto" w:fill="auto"/>
          </w:tcPr>
          <w:p w14:paraId="5EF2E8A5" w14:textId="77777777" w:rsidR="002A4DDF" w:rsidRPr="00937C8B" w:rsidRDefault="002A4DDF" w:rsidP="009110ED">
            <w:pPr>
              <w:rPr>
                <w:rFonts w:ascii="Arial" w:hAnsi="Arial" w:cs="Arial"/>
                <w:sz w:val="12"/>
                <w:szCs w:val="12"/>
              </w:rPr>
            </w:pPr>
          </w:p>
        </w:tc>
        <w:tc>
          <w:tcPr>
            <w:tcW w:w="2268" w:type="dxa"/>
            <w:shd w:val="clear" w:color="auto" w:fill="F2F2F2"/>
            <w:hideMark/>
          </w:tcPr>
          <w:p w14:paraId="27D3F170" w14:textId="77777777" w:rsidR="002A4DDF" w:rsidRPr="00937C8B" w:rsidRDefault="002A4DDF" w:rsidP="009110ED">
            <w:pPr>
              <w:rPr>
                <w:rFonts w:ascii="Arial" w:hAnsi="Arial" w:cs="Arial"/>
                <w:sz w:val="12"/>
                <w:szCs w:val="12"/>
              </w:rPr>
            </w:pPr>
            <w:r>
              <w:rPr>
                <w:rFonts w:ascii="Arial" w:hAnsi="Arial"/>
                <w:sz w:val="12"/>
                <w:szCs w:val="12"/>
              </w:rPr>
              <w:t>Miguel Esteban</w:t>
            </w:r>
          </w:p>
        </w:tc>
        <w:tc>
          <w:tcPr>
            <w:tcW w:w="2268" w:type="dxa"/>
            <w:tcBorders>
              <w:right w:val="single" w:sz="4" w:space="0" w:color="auto"/>
            </w:tcBorders>
            <w:shd w:val="clear" w:color="auto" w:fill="D9D9D9"/>
            <w:hideMark/>
          </w:tcPr>
          <w:p w14:paraId="08E213F5" w14:textId="77777777" w:rsidR="002A4DDF" w:rsidRPr="00937C8B" w:rsidRDefault="002A4DDF" w:rsidP="009110ED">
            <w:pPr>
              <w:rPr>
                <w:rFonts w:ascii="Arial" w:hAnsi="Arial" w:cs="Arial"/>
                <w:sz w:val="12"/>
                <w:szCs w:val="12"/>
              </w:rPr>
            </w:pPr>
            <w:r>
              <w:rPr>
                <w:rFonts w:ascii="Arial" w:hAnsi="Arial"/>
                <w:sz w:val="12"/>
                <w:szCs w:val="12"/>
              </w:rPr>
              <w:t>La Puebla de Montalbán</w:t>
            </w:r>
          </w:p>
        </w:tc>
      </w:tr>
      <w:tr w:rsidR="002A4DDF" w:rsidRPr="00937C8B" w14:paraId="27D90376" w14:textId="77777777" w:rsidTr="00935676">
        <w:trPr>
          <w:cantSplit/>
        </w:trPr>
        <w:tc>
          <w:tcPr>
            <w:tcW w:w="1696" w:type="dxa"/>
            <w:tcBorders>
              <w:left w:val="single" w:sz="4" w:space="0" w:color="auto"/>
            </w:tcBorders>
            <w:shd w:val="clear" w:color="auto" w:fill="auto"/>
          </w:tcPr>
          <w:p w14:paraId="6003511B" w14:textId="77777777" w:rsidR="002A4DDF" w:rsidRPr="00937C8B" w:rsidRDefault="002A4DDF" w:rsidP="009110ED">
            <w:pPr>
              <w:rPr>
                <w:rFonts w:ascii="Arial" w:hAnsi="Arial" w:cs="Arial"/>
                <w:sz w:val="12"/>
                <w:szCs w:val="12"/>
              </w:rPr>
            </w:pPr>
          </w:p>
        </w:tc>
        <w:tc>
          <w:tcPr>
            <w:tcW w:w="1843" w:type="dxa"/>
            <w:shd w:val="clear" w:color="auto" w:fill="auto"/>
          </w:tcPr>
          <w:p w14:paraId="7A4B569E" w14:textId="77777777" w:rsidR="002A4DDF" w:rsidRPr="00937C8B" w:rsidRDefault="002A4DDF" w:rsidP="009110ED">
            <w:pPr>
              <w:rPr>
                <w:rFonts w:ascii="Arial" w:hAnsi="Arial" w:cs="Arial"/>
                <w:sz w:val="12"/>
                <w:szCs w:val="12"/>
              </w:rPr>
            </w:pPr>
          </w:p>
        </w:tc>
        <w:tc>
          <w:tcPr>
            <w:tcW w:w="2268" w:type="dxa"/>
            <w:shd w:val="clear" w:color="auto" w:fill="F2F2F2"/>
            <w:hideMark/>
          </w:tcPr>
          <w:p w14:paraId="3746D520" w14:textId="77777777" w:rsidR="002A4DDF" w:rsidRPr="00937C8B" w:rsidRDefault="002A4DDF" w:rsidP="009110ED">
            <w:pPr>
              <w:rPr>
                <w:rFonts w:ascii="Arial" w:hAnsi="Arial" w:cs="Arial"/>
                <w:sz w:val="12"/>
                <w:szCs w:val="12"/>
              </w:rPr>
            </w:pPr>
            <w:r>
              <w:rPr>
                <w:rFonts w:ascii="Arial" w:hAnsi="Arial"/>
                <w:sz w:val="12"/>
                <w:szCs w:val="12"/>
              </w:rPr>
              <w:t>Mocejón</w:t>
            </w:r>
          </w:p>
        </w:tc>
        <w:tc>
          <w:tcPr>
            <w:tcW w:w="2268" w:type="dxa"/>
            <w:tcBorders>
              <w:right w:val="single" w:sz="4" w:space="0" w:color="auto"/>
            </w:tcBorders>
            <w:shd w:val="clear" w:color="auto" w:fill="D9D9D9"/>
            <w:hideMark/>
          </w:tcPr>
          <w:p w14:paraId="336AEB7E" w14:textId="77777777" w:rsidR="002A4DDF" w:rsidRPr="00937C8B" w:rsidRDefault="002A4DDF" w:rsidP="009110ED">
            <w:pPr>
              <w:rPr>
                <w:rFonts w:ascii="Arial" w:hAnsi="Arial" w:cs="Arial"/>
                <w:sz w:val="12"/>
                <w:szCs w:val="12"/>
              </w:rPr>
            </w:pPr>
            <w:r>
              <w:rPr>
                <w:rFonts w:ascii="Arial" w:hAnsi="Arial"/>
                <w:sz w:val="12"/>
                <w:szCs w:val="12"/>
              </w:rPr>
              <w:t>Lagartera</w:t>
            </w:r>
          </w:p>
        </w:tc>
      </w:tr>
      <w:tr w:rsidR="002A4DDF" w:rsidRPr="00937C8B" w14:paraId="412C2243" w14:textId="77777777" w:rsidTr="00935676">
        <w:trPr>
          <w:cantSplit/>
        </w:trPr>
        <w:tc>
          <w:tcPr>
            <w:tcW w:w="1696" w:type="dxa"/>
            <w:tcBorders>
              <w:left w:val="single" w:sz="4" w:space="0" w:color="auto"/>
            </w:tcBorders>
            <w:shd w:val="clear" w:color="auto" w:fill="auto"/>
          </w:tcPr>
          <w:p w14:paraId="4B6692AB" w14:textId="77777777" w:rsidR="002A4DDF" w:rsidRPr="00937C8B" w:rsidRDefault="002A4DDF" w:rsidP="009110ED">
            <w:pPr>
              <w:rPr>
                <w:rFonts w:ascii="Arial" w:hAnsi="Arial" w:cs="Arial"/>
                <w:sz w:val="12"/>
                <w:szCs w:val="12"/>
              </w:rPr>
            </w:pPr>
          </w:p>
        </w:tc>
        <w:tc>
          <w:tcPr>
            <w:tcW w:w="1843" w:type="dxa"/>
            <w:shd w:val="clear" w:color="auto" w:fill="auto"/>
          </w:tcPr>
          <w:p w14:paraId="39158AEE" w14:textId="77777777" w:rsidR="002A4DDF" w:rsidRPr="00937C8B" w:rsidRDefault="002A4DDF" w:rsidP="009110ED">
            <w:pPr>
              <w:rPr>
                <w:rFonts w:ascii="Arial" w:hAnsi="Arial" w:cs="Arial"/>
                <w:sz w:val="12"/>
                <w:szCs w:val="12"/>
              </w:rPr>
            </w:pPr>
          </w:p>
        </w:tc>
        <w:tc>
          <w:tcPr>
            <w:tcW w:w="2268" w:type="dxa"/>
            <w:shd w:val="clear" w:color="auto" w:fill="F2F2F2"/>
            <w:hideMark/>
          </w:tcPr>
          <w:p w14:paraId="0A7F9A04" w14:textId="77777777" w:rsidR="002A4DDF" w:rsidRPr="00937C8B" w:rsidRDefault="002A4DDF" w:rsidP="009110ED">
            <w:pPr>
              <w:rPr>
                <w:rFonts w:ascii="Arial" w:hAnsi="Arial" w:cs="Arial"/>
                <w:sz w:val="12"/>
                <w:szCs w:val="12"/>
              </w:rPr>
            </w:pPr>
            <w:r>
              <w:rPr>
                <w:rFonts w:ascii="Arial" w:hAnsi="Arial"/>
                <w:sz w:val="12"/>
                <w:szCs w:val="12"/>
              </w:rPr>
              <w:t>Numancia de la Sagra</w:t>
            </w:r>
          </w:p>
        </w:tc>
        <w:tc>
          <w:tcPr>
            <w:tcW w:w="2268" w:type="dxa"/>
            <w:tcBorders>
              <w:right w:val="single" w:sz="4" w:space="0" w:color="auto"/>
            </w:tcBorders>
            <w:shd w:val="clear" w:color="auto" w:fill="D9D9D9"/>
            <w:hideMark/>
          </w:tcPr>
          <w:p w14:paraId="5C443EDA" w14:textId="77777777" w:rsidR="002A4DDF" w:rsidRPr="00937C8B" w:rsidRDefault="002A4DDF" w:rsidP="009110ED">
            <w:pPr>
              <w:rPr>
                <w:rFonts w:ascii="Arial" w:hAnsi="Arial" w:cs="Arial"/>
                <w:sz w:val="12"/>
                <w:szCs w:val="12"/>
              </w:rPr>
            </w:pPr>
            <w:r>
              <w:rPr>
                <w:rFonts w:ascii="Arial" w:hAnsi="Arial"/>
                <w:sz w:val="12"/>
                <w:szCs w:val="12"/>
              </w:rPr>
              <w:t>Las Ventas con Peña Aguilera</w:t>
            </w:r>
          </w:p>
        </w:tc>
      </w:tr>
      <w:tr w:rsidR="002A4DDF" w:rsidRPr="00937C8B" w14:paraId="00358D14" w14:textId="77777777" w:rsidTr="00935676">
        <w:trPr>
          <w:cantSplit/>
        </w:trPr>
        <w:tc>
          <w:tcPr>
            <w:tcW w:w="1696" w:type="dxa"/>
            <w:tcBorders>
              <w:left w:val="single" w:sz="4" w:space="0" w:color="auto"/>
            </w:tcBorders>
            <w:shd w:val="clear" w:color="auto" w:fill="auto"/>
          </w:tcPr>
          <w:p w14:paraId="552B41D9" w14:textId="77777777" w:rsidR="002A4DDF" w:rsidRPr="00937C8B" w:rsidRDefault="002A4DDF" w:rsidP="009110ED">
            <w:pPr>
              <w:rPr>
                <w:rFonts w:ascii="Arial" w:hAnsi="Arial" w:cs="Arial"/>
                <w:sz w:val="12"/>
                <w:szCs w:val="12"/>
              </w:rPr>
            </w:pPr>
          </w:p>
        </w:tc>
        <w:tc>
          <w:tcPr>
            <w:tcW w:w="1843" w:type="dxa"/>
            <w:shd w:val="clear" w:color="auto" w:fill="auto"/>
          </w:tcPr>
          <w:p w14:paraId="778A160B" w14:textId="77777777" w:rsidR="002A4DDF" w:rsidRPr="00937C8B" w:rsidRDefault="002A4DDF" w:rsidP="009110ED">
            <w:pPr>
              <w:rPr>
                <w:rFonts w:ascii="Arial" w:hAnsi="Arial" w:cs="Arial"/>
                <w:sz w:val="12"/>
                <w:szCs w:val="12"/>
              </w:rPr>
            </w:pPr>
          </w:p>
        </w:tc>
        <w:tc>
          <w:tcPr>
            <w:tcW w:w="2268" w:type="dxa"/>
            <w:shd w:val="clear" w:color="auto" w:fill="F2F2F2"/>
            <w:hideMark/>
          </w:tcPr>
          <w:p w14:paraId="077C99A3" w14:textId="77777777" w:rsidR="002A4DDF" w:rsidRPr="00937C8B" w:rsidRDefault="002A4DDF" w:rsidP="009110ED">
            <w:pPr>
              <w:rPr>
                <w:rFonts w:ascii="Arial" w:hAnsi="Arial" w:cs="Arial"/>
                <w:sz w:val="12"/>
                <w:szCs w:val="12"/>
              </w:rPr>
            </w:pPr>
            <w:r>
              <w:rPr>
                <w:rFonts w:ascii="Arial" w:hAnsi="Arial"/>
                <w:sz w:val="12"/>
                <w:szCs w:val="12"/>
              </w:rPr>
              <w:t>Olías del Rey</w:t>
            </w:r>
          </w:p>
        </w:tc>
        <w:tc>
          <w:tcPr>
            <w:tcW w:w="2268" w:type="dxa"/>
            <w:tcBorders>
              <w:right w:val="single" w:sz="4" w:space="0" w:color="auto"/>
            </w:tcBorders>
            <w:shd w:val="clear" w:color="auto" w:fill="D9D9D9"/>
            <w:hideMark/>
          </w:tcPr>
          <w:p w14:paraId="521EBC95" w14:textId="77777777" w:rsidR="002A4DDF" w:rsidRPr="00937C8B" w:rsidRDefault="002A4DDF" w:rsidP="009110ED">
            <w:pPr>
              <w:rPr>
                <w:rFonts w:ascii="Arial" w:hAnsi="Arial" w:cs="Arial"/>
                <w:sz w:val="12"/>
                <w:szCs w:val="12"/>
              </w:rPr>
            </w:pPr>
            <w:r>
              <w:rPr>
                <w:rFonts w:ascii="Arial" w:hAnsi="Arial"/>
                <w:sz w:val="12"/>
                <w:szCs w:val="12"/>
              </w:rPr>
              <w:t>Las Ventas de Retamosa</w:t>
            </w:r>
          </w:p>
        </w:tc>
      </w:tr>
      <w:tr w:rsidR="002A4DDF" w:rsidRPr="00937C8B" w14:paraId="05AC0FC1" w14:textId="77777777" w:rsidTr="00935676">
        <w:trPr>
          <w:cantSplit/>
        </w:trPr>
        <w:tc>
          <w:tcPr>
            <w:tcW w:w="1696" w:type="dxa"/>
            <w:tcBorders>
              <w:left w:val="single" w:sz="4" w:space="0" w:color="auto"/>
            </w:tcBorders>
            <w:shd w:val="clear" w:color="auto" w:fill="auto"/>
          </w:tcPr>
          <w:p w14:paraId="2171EFCA" w14:textId="77777777" w:rsidR="002A4DDF" w:rsidRPr="00937C8B" w:rsidRDefault="002A4DDF" w:rsidP="009110ED">
            <w:pPr>
              <w:rPr>
                <w:rFonts w:ascii="Arial" w:hAnsi="Arial" w:cs="Arial"/>
                <w:sz w:val="12"/>
                <w:szCs w:val="12"/>
              </w:rPr>
            </w:pPr>
          </w:p>
        </w:tc>
        <w:tc>
          <w:tcPr>
            <w:tcW w:w="1843" w:type="dxa"/>
            <w:shd w:val="clear" w:color="auto" w:fill="auto"/>
          </w:tcPr>
          <w:p w14:paraId="2B08E2B7" w14:textId="77777777" w:rsidR="002A4DDF" w:rsidRPr="00937C8B" w:rsidRDefault="002A4DDF" w:rsidP="009110ED">
            <w:pPr>
              <w:rPr>
                <w:rFonts w:ascii="Arial" w:hAnsi="Arial" w:cs="Arial"/>
                <w:sz w:val="12"/>
                <w:szCs w:val="12"/>
              </w:rPr>
            </w:pPr>
          </w:p>
        </w:tc>
        <w:tc>
          <w:tcPr>
            <w:tcW w:w="2268" w:type="dxa"/>
            <w:shd w:val="clear" w:color="auto" w:fill="F2F2F2"/>
            <w:hideMark/>
          </w:tcPr>
          <w:p w14:paraId="0EEE4F8A" w14:textId="77777777" w:rsidR="002A4DDF" w:rsidRPr="00937C8B" w:rsidRDefault="002A4DDF" w:rsidP="009110ED">
            <w:pPr>
              <w:rPr>
                <w:rFonts w:ascii="Arial" w:hAnsi="Arial" w:cs="Arial"/>
                <w:sz w:val="12"/>
                <w:szCs w:val="12"/>
              </w:rPr>
            </w:pPr>
            <w:r>
              <w:rPr>
                <w:rFonts w:ascii="Arial" w:hAnsi="Arial"/>
                <w:sz w:val="12"/>
                <w:szCs w:val="12"/>
              </w:rPr>
              <w:t>Ontígola</w:t>
            </w:r>
          </w:p>
        </w:tc>
        <w:tc>
          <w:tcPr>
            <w:tcW w:w="2268" w:type="dxa"/>
            <w:tcBorders>
              <w:right w:val="single" w:sz="4" w:space="0" w:color="auto"/>
            </w:tcBorders>
            <w:shd w:val="clear" w:color="auto" w:fill="D9D9D9"/>
            <w:hideMark/>
          </w:tcPr>
          <w:p w14:paraId="676E186E" w14:textId="77777777" w:rsidR="002A4DDF" w:rsidRPr="00937C8B" w:rsidRDefault="002A4DDF" w:rsidP="009110ED">
            <w:pPr>
              <w:rPr>
                <w:rFonts w:ascii="Arial" w:hAnsi="Arial" w:cs="Arial"/>
                <w:sz w:val="12"/>
                <w:szCs w:val="12"/>
              </w:rPr>
            </w:pPr>
            <w:r>
              <w:rPr>
                <w:rFonts w:ascii="Arial" w:hAnsi="Arial"/>
                <w:sz w:val="12"/>
                <w:szCs w:val="12"/>
              </w:rPr>
              <w:t>Layos</w:t>
            </w:r>
          </w:p>
        </w:tc>
      </w:tr>
      <w:tr w:rsidR="002A4DDF" w:rsidRPr="00937C8B" w14:paraId="4080135C" w14:textId="77777777" w:rsidTr="00935676">
        <w:trPr>
          <w:cantSplit/>
        </w:trPr>
        <w:tc>
          <w:tcPr>
            <w:tcW w:w="1696" w:type="dxa"/>
            <w:tcBorders>
              <w:left w:val="single" w:sz="4" w:space="0" w:color="auto"/>
            </w:tcBorders>
            <w:shd w:val="clear" w:color="auto" w:fill="auto"/>
          </w:tcPr>
          <w:p w14:paraId="34E4FFC8" w14:textId="77777777" w:rsidR="002A4DDF" w:rsidRPr="00937C8B" w:rsidRDefault="002A4DDF" w:rsidP="009110ED">
            <w:pPr>
              <w:rPr>
                <w:rFonts w:ascii="Arial" w:hAnsi="Arial" w:cs="Arial"/>
                <w:sz w:val="12"/>
                <w:szCs w:val="12"/>
              </w:rPr>
            </w:pPr>
          </w:p>
        </w:tc>
        <w:tc>
          <w:tcPr>
            <w:tcW w:w="1843" w:type="dxa"/>
            <w:shd w:val="clear" w:color="auto" w:fill="auto"/>
          </w:tcPr>
          <w:p w14:paraId="50357CFD" w14:textId="77777777" w:rsidR="002A4DDF" w:rsidRPr="00937C8B" w:rsidRDefault="002A4DDF" w:rsidP="009110ED">
            <w:pPr>
              <w:rPr>
                <w:rFonts w:ascii="Arial" w:hAnsi="Arial" w:cs="Arial"/>
                <w:sz w:val="12"/>
                <w:szCs w:val="12"/>
              </w:rPr>
            </w:pPr>
          </w:p>
        </w:tc>
        <w:tc>
          <w:tcPr>
            <w:tcW w:w="2268" w:type="dxa"/>
            <w:shd w:val="clear" w:color="auto" w:fill="F2F2F2"/>
            <w:hideMark/>
          </w:tcPr>
          <w:p w14:paraId="2F08CDE1" w14:textId="77777777" w:rsidR="002A4DDF" w:rsidRPr="00937C8B" w:rsidRDefault="002A4DDF" w:rsidP="009110ED">
            <w:pPr>
              <w:rPr>
                <w:rFonts w:ascii="Arial" w:hAnsi="Arial" w:cs="Arial"/>
                <w:sz w:val="12"/>
                <w:szCs w:val="12"/>
              </w:rPr>
            </w:pPr>
            <w:r>
              <w:rPr>
                <w:rFonts w:ascii="Arial" w:hAnsi="Arial"/>
                <w:sz w:val="12"/>
                <w:szCs w:val="12"/>
              </w:rPr>
              <w:t>Otero</w:t>
            </w:r>
          </w:p>
        </w:tc>
        <w:tc>
          <w:tcPr>
            <w:tcW w:w="2268" w:type="dxa"/>
            <w:tcBorders>
              <w:right w:val="single" w:sz="4" w:space="0" w:color="auto"/>
            </w:tcBorders>
            <w:shd w:val="clear" w:color="auto" w:fill="D9D9D9"/>
            <w:hideMark/>
          </w:tcPr>
          <w:p w14:paraId="7FCEEDA7" w14:textId="77777777" w:rsidR="002A4DDF" w:rsidRPr="00937C8B" w:rsidRDefault="002A4DDF" w:rsidP="009110ED">
            <w:pPr>
              <w:rPr>
                <w:rFonts w:ascii="Arial" w:hAnsi="Arial" w:cs="Arial"/>
                <w:sz w:val="12"/>
                <w:szCs w:val="12"/>
              </w:rPr>
            </w:pPr>
            <w:r>
              <w:rPr>
                <w:rFonts w:ascii="Arial" w:hAnsi="Arial"/>
                <w:sz w:val="12"/>
                <w:szCs w:val="12"/>
              </w:rPr>
              <w:t>Los Navalmorales</w:t>
            </w:r>
          </w:p>
        </w:tc>
      </w:tr>
      <w:tr w:rsidR="002A4DDF" w:rsidRPr="00937C8B" w14:paraId="393D9514" w14:textId="77777777" w:rsidTr="00935676">
        <w:trPr>
          <w:cantSplit/>
        </w:trPr>
        <w:tc>
          <w:tcPr>
            <w:tcW w:w="1696" w:type="dxa"/>
            <w:tcBorders>
              <w:left w:val="single" w:sz="4" w:space="0" w:color="auto"/>
            </w:tcBorders>
            <w:shd w:val="clear" w:color="auto" w:fill="auto"/>
          </w:tcPr>
          <w:p w14:paraId="0C737549" w14:textId="77777777" w:rsidR="002A4DDF" w:rsidRPr="00937C8B" w:rsidRDefault="002A4DDF" w:rsidP="009110ED">
            <w:pPr>
              <w:rPr>
                <w:rFonts w:ascii="Arial" w:hAnsi="Arial" w:cs="Arial"/>
                <w:sz w:val="12"/>
                <w:szCs w:val="12"/>
              </w:rPr>
            </w:pPr>
          </w:p>
        </w:tc>
        <w:tc>
          <w:tcPr>
            <w:tcW w:w="1843" w:type="dxa"/>
            <w:shd w:val="clear" w:color="auto" w:fill="auto"/>
          </w:tcPr>
          <w:p w14:paraId="44672239" w14:textId="77777777" w:rsidR="002A4DDF" w:rsidRPr="00937C8B" w:rsidRDefault="002A4DDF" w:rsidP="009110ED">
            <w:pPr>
              <w:rPr>
                <w:rFonts w:ascii="Arial" w:hAnsi="Arial" w:cs="Arial"/>
                <w:sz w:val="12"/>
                <w:szCs w:val="12"/>
              </w:rPr>
            </w:pPr>
          </w:p>
        </w:tc>
        <w:tc>
          <w:tcPr>
            <w:tcW w:w="2268" w:type="dxa"/>
            <w:shd w:val="clear" w:color="auto" w:fill="F2F2F2"/>
            <w:hideMark/>
          </w:tcPr>
          <w:p w14:paraId="4398C118" w14:textId="77777777" w:rsidR="002A4DDF" w:rsidRPr="00937C8B" w:rsidRDefault="002A4DDF" w:rsidP="009110ED">
            <w:pPr>
              <w:rPr>
                <w:rFonts w:ascii="Arial" w:hAnsi="Arial" w:cs="Arial"/>
                <w:sz w:val="12"/>
                <w:szCs w:val="12"/>
              </w:rPr>
            </w:pPr>
            <w:r>
              <w:rPr>
                <w:rFonts w:ascii="Arial" w:hAnsi="Arial"/>
                <w:sz w:val="12"/>
                <w:szCs w:val="12"/>
              </w:rPr>
              <w:t>Pantoja</w:t>
            </w:r>
          </w:p>
        </w:tc>
        <w:tc>
          <w:tcPr>
            <w:tcW w:w="2268" w:type="dxa"/>
            <w:tcBorders>
              <w:right w:val="single" w:sz="4" w:space="0" w:color="auto"/>
            </w:tcBorders>
            <w:shd w:val="clear" w:color="auto" w:fill="D9D9D9"/>
            <w:hideMark/>
          </w:tcPr>
          <w:p w14:paraId="56348E22" w14:textId="77777777" w:rsidR="002A4DDF" w:rsidRPr="00937C8B" w:rsidRDefault="002A4DDF" w:rsidP="009110ED">
            <w:pPr>
              <w:rPr>
                <w:rFonts w:ascii="Arial" w:hAnsi="Arial" w:cs="Arial"/>
                <w:sz w:val="12"/>
                <w:szCs w:val="12"/>
              </w:rPr>
            </w:pPr>
            <w:r>
              <w:rPr>
                <w:rFonts w:ascii="Arial" w:hAnsi="Arial"/>
                <w:sz w:val="12"/>
                <w:szCs w:val="12"/>
              </w:rPr>
              <w:t>Los Navalucillos</w:t>
            </w:r>
          </w:p>
        </w:tc>
      </w:tr>
      <w:tr w:rsidR="002A4DDF" w:rsidRPr="00937C8B" w14:paraId="3259FA47" w14:textId="77777777" w:rsidTr="00935676">
        <w:trPr>
          <w:cantSplit/>
        </w:trPr>
        <w:tc>
          <w:tcPr>
            <w:tcW w:w="1696" w:type="dxa"/>
            <w:tcBorders>
              <w:left w:val="single" w:sz="4" w:space="0" w:color="auto"/>
            </w:tcBorders>
            <w:shd w:val="clear" w:color="auto" w:fill="auto"/>
          </w:tcPr>
          <w:p w14:paraId="0A8CFB3B" w14:textId="77777777" w:rsidR="002A4DDF" w:rsidRPr="00937C8B" w:rsidRDefault="002A4DDF" w:rsidP="009110ED">
            <w:pPr>
              <w:rPr>
                <w:rFonts w:ascii="Arial" w:hAnsi="Arial" w:cs="Arial"/>
                <w:sz w:val="12"/>
                <w:szCs w:val="12"/>
              </w:rPr>
            </w:pPr>
          </w:p>
        </w:tc>
        <w:tc>
          <w:tcPr>
            <w:tcW w:w="1843" w:type="dxa"/>
            <w:shd w:val="clear" w:color="auto" w:fill="auto"/>
          </w:tcPr>
          <w:p w14:paraId="5D8ECD8A" w14:textId="77777777" w:rsidR="002A4DDF" w:rsidRPr="00937C8B" w:rsidRDefault="002A4DDF" w:rsidP="009110ED">
            <w:pPr>
              <w:rPr>
                <w:rFonts w:ascii="Arial" w:hAnsi="Arial" w:cs="Arial"/>
                <w:sz w:val="12"/>
                <w:szCs w:val="12"/>
              </w:rPr>
            </w:pPr>
          </w:p>
        </w:tc>
        <w:tc>
          <w:tcPr>
            <w:tcW w:w="2268" w:type="dxa"/>
            <w:shd w:val="clear" w:color="auto" w:fill="F2F2F2"/>
            <w:hideMark/>
          </w:tcPr>
          <w:p w14:paraId="4A700F6F" w14:textId="77777777" w:rsidR="002A4DDF" w:rsidRPr="00937C8B" w:rsidRDefault="002A4DDF" w:rsidP="009110ED">
            <w:pPr>
              <w:rPr>
                <w:rFonts w:ascii="Arial" w:hAnsi="Arial" w:cs="Arial"/>
                <w:sz w:val="12"/>
                <w:szCs w:val="12"/>
              </w:rPr>
            </w:pPr>
            <w:r>
              <w:rPr>
                <w:rFonts w:ascii="Arial" w:hAnsi="Arial"/>
                <w:sz w:val="12"/>
                <w:szCs w:val="12"/>
              </w:rPr>
              <w:t>Quintanar de la Orden</w:t>
            </w:r>
          </w:p>
        </w:tc>
        <w:tc>
          <w:tcPr>
            <w:tcW w:w="2268" w:type="dxa"/>
            <w:tcBorders>
              <w:right w:val="single" w:sz="4" w:space="0" w:color="auto"/>
            </w:tcBorders>
            <w:shd w:val="clear" w:color="auto" w:fill="D9D9D9"/>
            <w:hideMark/>
          </w:tcPr>
          <w:p w14:paraId="480CE92B" w14:textId="77777777" w:rsidR="002A4DDF" w:rsidRPr="00937C8B" w:rsidRDefault="002A4DDF" w:rsidP="009110ED">
            <w:pPr>
              <w:rPr>
                <w:rFonts w:ascii="Arial" w:hAnsi="Arial" w:cs="Arial"/>
                <w:sz w:val="12"/>
                <w:szCs w:val="12"/>
              </w:rPr>
            </w:pPr>
            <w:r>
              <w:rPr>
                <w:rFonts w:ascii="Arial" w:hAnsi="Arial"/>
                <w:sz w:val="12"/>
                <w:szCs w:val="12"/>
              </w:rPr>
              <w:t>Marrupe</w:t>
            </w:r>
          </w:p>
        </w:tc>
      </w:tr>
      <w:tr w:rsidR="002A4DDF" w:rsidRPr="00937C8B" w14:paraId="79BE7723" w14:textId="77777777" w:rsidTr="00935676">
        <w:trPr>
          <w:cantSplit/>
        </w:trPr>
        <w:tc>
          <w:tcPr>
            <w:tcW w:w="1696" w:type="dxa"/>
            <w:tcBorders>
              <w:left w:val="single" w:sz="4" w:space="0" w:color="auto"/>
            </w:tcBorders>
            <w:shd w:val="clear" w:color="auto" w:fill="auto"/>
          </w:tcPr>
          <w:p w14:paraId="40E33F99" w14:textId="77777777" w:rsidR="002A4DDF" w:rsidRPr="00937C8B" w:rsidRDefault="002A4DDF" w:rsidP="009110ED">
            <w:pPr>
              <w:rPr>
                <w:rFonts w:ascii="Arial" w:hAnsi="Arial" w:cs="Arial"/>
                <w:sz w:val="12"/>
                <w:szCs w:val="12"/>
              </w:rPr>
            </w:pPr>
          </w:p>
        </w:tc>
        <w:tc>
          <w:tcPr>
            <w:tcW w:w="1843" w:type="dxa"/>
            <w:shd w:val="clear" w:color="auto" w:fill="auto"/>
          </w:tcPr>
          <w:p w14:paraId="690BA732" w14:textId="77777777" w:rsidR="002A4DDF" w:rsidRPr="00937C8B" w:rsidRDefault="002A4DDF" w:rsidP="009110ED">
            <w:pPr>
              <w:rPr>
                <w:rFonts w:ascii="Arial" w:hAnsi="Arial" w:cs="Arial"/>
                <w:sz w:val="12"/>
                <w:szCs w:val="12"/>
              </w:rPr>
            </w:pPr>
          </w:p>
        </w:tc>
        <w:tc>
          <w:tcPr>
            <w:tcW w:w="2268" w:type="dxa"/>
            <w:shd w:val="clear" w:color="auto" w:fill="F2F2F2"/>
            <w:hideMark/>
          </w:tcPr>
          <w:p w14:paraId="7F1A2877" w14:textId="77777777" w:rsidR="002A4DDF" w:rsidRPr="00937C8B" w:rsidRDefault="002A4DDF" w:rsidP="009110ED">
            <w:pPr>
              <w:rPr>
                <w:rFonts w:ascii="Arial" w:hAnsi="Arial" w:cs="Arial"/>
                <w:sz w:val="12"/>
                <w:szCs w:val="12"/>
              </w:rPr>
            </w:pPr>
            <w:r>
              <w:rPr>
                <w:rFonts w:ascii="Arial" w:hAnsi="Arial"/>
                <w:sz w:val="12"/>
                <w:szCs w:val="12"/>
              </w:rPr>
              <w:t>Rielves</w:t>
            </w:r>
          </w:p>
        </w:tc>
        <w:tc>
          <w:tcPr>
            <w:tcW w:w="2268" w:type="dxa"/>
            <w:tcBorders>
              <w:right w:val="single" w:sz="4" w:space="0" w:color="auto"/>
            </w:tcBorders>
            <w:shd w:val="clear" w:color="auto" w:fill="D9D9D9"/>
            <w:hideMark/>
          </w:tcPr>
          <w:p w14:paraId="298F4E60" w14:textId="77777777" w:rsidR="002A4DDF" w:rsidRPr="00937C8B" w:rsidRDefault="002A4DDF" w:rsidP="009110ED">
            <w:pPr>
              <w:rPr>
                <w:rFonts w:ascii="Arial" w:hAnsi="Arial" w:cs="Arial"/>
                <w:sz w:val="12"/>
                <w:szCs w:val="12"/>
              </w:rPr>
            </w:pPr>
            <w:r>
              <w:rPr>
                <w:rFonts w:ascii="Arial" w:hAnsi="Arial"/>
                <w:sz w:val="12"/>
                <w:szCs w:val="12"/>
              </w:rPr>
              <w:t>Mascaraque</w:t>
            </w:r>
          </w:p>
        </w:tc>
      </w:tr>
      <w:tr w:rsidR="002A4DDF" w:rsidRPr="00937C8B" w14:paraId="29829F42" w14:textId="77777777" w:rsidTr="00935676">
        <w:trPr>
          <w:cantSplit/>
        </w:trPr>
        <w:tc>
          <w:tcPr>
            <w:tcW w:w="1696" w:type="dxa"/>
            <w:tcBorders>
              <w:left w:val="single" w:sz="4" w:space="0" w:color="auto"/>
            </w:tcBorders>
            <w:shd w:val="clear" w:color="auto" w:fill="auto"/>
          </w:tcPr>
          <w:p w14:paraId="1AED77BF" w14:textId="77777777" w:rsidR="002A4DDF" w:rsidRPr="00937C8B" w:rsidRDefault="002A4DDF" w:rsidP="009110ED">
            <w:pPr>
              <w:rPr>
                <w:rFonts w:ascii="Arial" w:hAnsi="Arial" w:cs="Arial"/>
                <w:sz w:val="12"/>
                <w:szCs w:val="12"/>
              </w:rPr>
            </w:pPr>
          </w:p>
        </w:tc>
        <w:tc>
          <w:tcPr>
            <w:tcW w:w="1843" w:type="dxa"/>
            <w:shd w:val="clear" w:color="auto" w:fill="auto"/>
          </w:tcPr>
          <w:p w14:paraId="2317A1F2" w14:textId="77777777" w:rsidR="002A4DDF" w:rsidRPr="00937C8B" w:rsidRDefault="002A4DDF" w:rsidP="009110ED">
            <w:pPr>
              <w:rPr>
                <w:rFonts w:ascii="Arial" w:hAnsi="Arial" w:cs="Arial"/>
                <w:sz w:val="12"/>
                <w:szCs w:val="12"/>
              </w:rPr>
            </w:pPr>
          </w:p>
        </w:tc>
        <w:tc>
          <w:tcPr>
            <w:tcW w:w="2268" w:type="dxa"/>
            <w:shd w:val="clear" w:color="auto" w:fill="F2F2F2"/>
            <w:hideMark/>
          </w:tcPr>
          <w:p w14:paraId="5CAC864C" w14:textId="77777777" w:rsidR="002A4DDF" w:rsidRPr="00937C8B" w:rsidRDefault="002A4DDF" w:rsidP="009110ED">
            <w:pPr>
              <w:rPr>
                <w:rFonts w:ascii="Arial" w:hAnsi="Arial" w:cs="Arial"/>
                <w:sz w:val="12"/>
                <w:szCs w:val="12"/>
              </w:rPr>
            </w:pPr>
            <w:r>
              <w:rPr>
                <w:rFonts w:ascii="Arial" w:hAnsi="Arial"/>
                <w:sz w:val="12"/>
                <w:szCs w:val="12"/>
              </w:rPr>
              <w:t>San Román de los Montes</w:t>
            </w:r>
          </w:p>
        </w:tc>
        <w:tc>
          <w:tcPr>
            <w:tcW w:w="2268" w:type="dxa"/>
            <w:tcBorders>
              <w:right w:val="single" w:sz="4" w:space="0" w:color="auto"/>
            </w:tcBorders>
            <w:shd w:val="clear" w:color="auto" w:fill="D9D9D9"/>
            <w:hideMark/>
          </w:tcPr>
          <w:p w14:paraId="61A8F317" w14:textId="77777777" w:rsidR="002A4DDF" w:rsidRPr="00937C8B" w:rsidRDefault="002A4DDF" w:rsidP="009110ED">
            <w:pPr>
              <w:rPr>
                <w:rFonts w:ascii="Arial" w:hAnsi="Arial" w:cs="Arial"/>
                <w:sz w:val="12"/>
                <w:szCs w:val="12"/>
              </w:rPr>
            </w:pPr>
            <w:r>
              <w:rPr>
                <w:rFonts w:ascii="Arial" w:hAnsi="Arial"/>
                <w:sz w:val="12"/>
                <w:szCs w:val="12"/>
              </w:rPr>
              <w:t>Mazarambroz</w:t>
            </w:r>
          </w:p>
        </w:tc>
      </w:tr>
      <w:tr w:rsidR="002A4DDF" w:rsidRPr="00937C8B" w14:paraId="75A5E619" w14:textId="77777777" w:rsidTr="00935676">
        <w:trPr>
          <w:cantSplit/>
        </w:trPr>
        <w:tc>
          <w:tcPr>
            <w:tcW w:w="1696" w:type="dxa"/>
            <w:tcBorders>
              <w:left w:val="single" w:sz="4" w:space="0" w:color="auto"/>
            </w:tcBorders>
            <w:shd w:val="clear" w:color="auto" w:fill="auto"/>
          </w:tcPr>
          <w:p w14:paraId="13248204" w14:textId="77777777" w:rsidR="002A4DDF" w:rsidRPr="00937C8B" w:rsidRDefault="002A4DDF" w:rsidP="009110ED">
            <w:pPr>
              <w:rPr>
                <w:rFonts w:ascii="Arial" w:hAnsi="Arial" w:cs="Arial"/>
                <w:sz w:val="12"/>
                <w:szCs w:val="12"/>
              </w:rPr>
            </w:pPr>
          </w:p>
        </w:tc>
        <w:tc>
          <w:tcPr>
            <w:tcW w:w="1843" w:type="dxa"/>
            <w:shd w:val="clear" w:color="auto" w:fill="auto"/>
          </w:tcPr>
          <w:p w14:paraId="7A9CA186" w14:textId="77777777" w:rsidR="002A4DDF" w:rsidRPr="00937C8B" w:rsidRDefault="002A4DDF" w:rsidP="009110ED">
            <w:pPr>
              <w:rPr>
                <w:rFonts w:ascii="Arial" w:hAnsi="Arial" w:cs="Arial"/>
                <w:sz w:val="12"/>
                <w:szCs w:val="12"/>
              </w:rPr>
            </w:pPr>
          </w:p>
        </w:tc>
        <w:tc>
          <w:tcPr>
            <w:tcW w:w="2268" w:type="dxa"/>
            <w:shd w:val="clear" w:color="auto" w:fill="F2F2F2"/>
            <w:hideMark/>
          </w:tcPr>
          <w:p w14:paraId="65ED9C38" w14:textId="77777777" w:rsidR="002A4DDF" w:rsidRPr="00937C8B" w:rsidRDefault="002A4DDF" w:rsidP="009110ED">
            <w:pPr>
              <w:rPr>
                <w:rFonts w:ascii="Arial" w:hAnsi="Arial" w:cs="Arial"/>
                <w:sz w:val="12"/>
                <w:szCs w:val="12"/>
              </w:rPr>
            </w:pPr>
            <w:r>
              <w:rPr>
                <w:rFonts w:ascii="Arial" w:hAnsi="Arial"/>
                <w:sz w:val="12"/>
                <w:szCs w:val="12"/>
              </w:rPr>
              <w:t>Santa Olalla</w:t>
            </w:r>
          </w:p>
        </w:tc>
        <w:tc>
          <w:tcPr>
            <w:tcW w:w="2268" w:type="dxa"/>
            <w:tcBorders>
              <w:right w:val="single" w:sz="4" w:space="0" w:color="auto"/>
            </w:tcBorders>
            <w:shd w:val="clear" w:color="auto" w:fill="D9D9D9"/>
            <w:hideMark/>
          </w:tcPr>
          <w:p w14:paraId="678F0B00" w14:textId="77777777" w:rsidR="002A4DDF" w:rsidRPr="00937C8B" w:rsidRDefault="002A4DDF" w:rsidP="009110ED">
            <w:pPr>
              <w:rPr>
                <w:rFonts w:ascii="Arial" w:hAnsi="Arial" w:cs="Arial"/>
                <w:sz w:val="12"/>
                <w:szCs w:val="12"/>
              </w:rPr>
            </w:pPr>
            <w:r>
              <w:rPr>
                <w:rFonts w:ascii="Arial" w:hAnsi="Arial"/>
                <w:sz w:val="12"/>
                <w:szCs w:val="12"/>
              </w:rPr>
              <w:t>Mejorada</w:t>
            </w:r>
          </w:p>
        </w:tc>
      </w:tr>
      <w:tr w:rsidR="002A4DDF" w:rsidRPr="00937C8B" w14:paraId="0C8C9496" w14:textId="77777777" w:rsidTr="00935676">
        <w:trPr>
          <w:cantSplit/>
        </w:trPr>
        <w:tc>
          <w:tcPr>
            <w:tcW w:w="1696" w:type="dxa"/>
            <w:tcBorders>
              <w:left w:val="single" w:sz="4" w:space="0" w:color="auto"/>
            </w:tcBorders>
            <w:shd w:val="clear" w:color="auto" w:fill="auto"/>
          </w:tcPr>
          <w:p w14:paraId="78794AE2" w14:textId="77777777" w:rsidR="002A4DDF" w:rsidRPr="00937C8B" w:rsidRDefault="002A4DDF" w:rsidP="009110ED">
            <w:pPr>
              <w:rPr>
                <w:rFonts w:ascii="Arial" w:hAnsi="Arial" w:cs="Arial"/>
                <w:sz w:val="12"/>
                <w:szCs w:val="12"/>
              </w:rPr>
            </w:pPr>
          </w:p>
        </w:tc>
        <w:tc>
          <w:tcPr>
            <w:tcW w:w="1843" w:type="dxa"/>
            <w:shd w:val="clear" w:color="auto" w:fill="auto"/>
          </w:tcPr>
          <w:p w14:paraId="603ABF67" w14:textId="77777777" w:rsidR="002A4DDF" w:rsidRPr="00937C8B" w:rsidRDefault="002A4DDF" w:rsidP="009110ED">
            <w:pPr>
              <w:rPr>
                <w:rFonts w:ascii="Arial" w:hAnsi="Arial" w:cs="Arial"/>
                <w:sz w:val="12"/>
                <w:szCs w:val="12"/>
              </w:rPr>
            </w:pPr>
          </w:p>
        </w:tc>
        <w:tc>
          <w:tcPr>
            <w:tcW w:w="2268" w:type="dxa"/>
            <w:shd w:val="clear" w:color="auto" w:fill="F2F2F2"/>
            <w:hideMark/>
          </w:tcPr>
          <w:p w14:paraId="48CDC3A2" w14:textId="77777777" w:rsidR="002A4DDF" w:rsidRPr="00937C8B" w:rsidRDefault="002A4DDF" w:rsidP="009110ED">
            <w:pPr>
              <w:rPr>
                <w:rFonts w:ascii="Arial" w:hAnsi="Arial" w:cs="Arial"/>
                <w:sz w:val="12"/>
                <w:szCs w:val="12"/>
              </w:rPr>
            </w:pPr>
            <w:r>
              <w:rPr>
                <w:rFonts w:ascii="Arial" w:hAnsi="Arial"/>
                <w:sz w:val="12"/>
                <w:szCs w:val="12"/>
              </w:rPr>
              <w:t>Santo Domingo-Caudilla</w:t>
            </w:r>
          </w:p>
        </w:tc>
        <w:tc>
          <w:tcPr>
            <w:tcW w:w="2268" w:type="dxa"/>
            <w:tcBorders>
              <w:right w:val="single" w:sz="4" w:space="0" w:color="auto"/>
            </w:tcBorders>
            <w:shd w:val="clear" w:color="auto" w:fill="D9D9D9"/>
            <w:hideMark/>
          </w:tcPr>
          <w:p w14:paraId="18D7094D" w14:textId="77777777" w:rsidR="002A4DDF" w:rsidRPr="00937C8B" w:rsidRDefault="002A4DDF" w:rsidP="009110ED">
            <w:pPr>
              <w:rPr>
                <w:rFonts w:ascii="Arial" w:hAnsi="Arial" w:cs="Arial"/>
                <w:sz w:val="12"/>
                <w:szCs w:val="12"/>
              </w:rPr>
            </w:pPr>
            <w:r>
              <w:rPr>
                <w:rFonts w:ascii="Arial" w:hAnsi="Arial"/>
                <w:sz w:val="12"/>
                <w:szCs w:val="12"/>
              </w:rPr>
              <w:t>Menasalbas</w:t>
            </w:r>
          </w:p>
        </w:tc>
      </w:tr>
      <w:tr w:rsidR="002A4DDF" w:rsidRPr="00937C8B" w14:paraId="79126CD3" w14:textId="77777777" w:rsidTr="00935676">
        <w:trPr>
          <w:cantSplit/>
        </w:trPr>
        <w:tc>
          <w:tcPr>
            <w:tcW w:w="1696" w:type="dxa"/>
            <w:tcBorders>
              <w:left w:val="single" w:sz="4" w:space="0" w:color="auto"/>
            </w:tcBorders>
            <w:shd w:val="clear" w:color="auto" w:fill="auto"/>
          </w:tcPr>
          <w:p w14:paraId="082CE828" w14:textId="77777777" w:rsidR="002A4DDF" w:rsidRPr="00937C8B" w:rsidRDefault="002A4DDF" w:rsidP="009110ED">
            <w:pPr>
              <w:rPr>
                <w:rFonts w:ascii="Arial" w:hAnsi="Arial" w:cs="Arial"/>
                <w:sz w:val="12"/>
                <w:szCs w:val="12"/>
              </w:rPr>
            </w:pPr>
          </w:p>
        </w:tc>
        <w:tc>
          <w:tcPr>
            <w:tcW w:w="1843" w:type="dxa"/>
            <w:shd w:val="clear" w:color="auto" w:fill="auto"/>
          </w:tcPr>
          <w:p w14:paraId="3DD2F9B5" w14:textId="77777777" w:rsidR="002A4DDF" w:rsidRPr="00937C8B" w:rsidRDefault="002A4DDF" w:rsidP="009110ED">
            <w:pPr>
              <w:rPr>
                <w:rFonts w:ascii="Arial" w:hAnsi="Arial" w:cs="Arial"/>
                <w:sz w:val="12"/>
                <w:szCs w:val="12"/>
              </w:rPr>
            </w:pPr>
          </w:p>
        </w:tc>
        <w:tc>
          <w:tcPr>
            <w:tcW w:w="2268" w:type="dxa"/>
            <w:shd w:val="clear" w:color="auto" w:fill="F2F2F2"/>
            <w:hideMark/>
          </w:tcPr>
          <w:p w14:paraId="61C270EA" w14:textId="77777777" w:rsidR="002A4DDF" w:rsidRPr="00937C8B" w:rsidRDefault="002A4DDF" w:rsidP="009110ED">
            <w:pPr>
              <w:rPr>
                <w:rFonts w:ascii="Arial" w:hAnsi="Arial" w:cs="Arial"/>
                <w:sz w:val="12"/>
                <w:szCs w:val="12"/>
              </w:rPr>
            </w:pPr>
            <w:r>
              <w:rPr>
                <w:rFonts w:ascii="Arial" w:hAnsi="Arial"/>
                <w:sz w:val="12"/>
                <w:szCs w:val="12"/>
              </w:rPr>
              <w:t>Seseña</w:t>
            </w:r>
          </w:p>
        </w:tc>
        <w:tc>
          <w:tcPr>
            <w:tcW w:w="2268" w:type="dxa"/>
            <w:tcBorders>
              <w:right w:val="single" w:sz="4" w:space="0" w:color="auto"/>
            </w:tcBorders>
            <w:shd w:val="clear" w:color="auto" w:fill="D9D9D9"/>
            <w:hideMark/>
          </w:tcPr>
          <w:p w14:paraId="7B72AAE1" w14:textId="77777777" w:rsidR="002A4DDF" w:rsidRPr="00937C8B" w:rsidRDefault="002A4DDF" w:rsidP="009110ED">
            <w:pPr>
              <w:rPr>
                <w:rFonts w:ascii="Arial" w:hAnsi="Arial" w:cs="Arial"/>
                <w:sz w:val="12"/>
                <w:szCs w:val="12"/>
              </w:rPr>
            </w:pPr>
            <w:r>
              <w:rPr>
                <w:rFonts w:ascii="Arial" w:hAnsi="Arial"/>
                <w:sz w:val="12"/>
                <w:szCs w:val="12"/>
              </w:rPr>
              <w:t>Méntrida</w:t>
            </w:r>
          </w:p>
        </w:tc>
      </w:tr>
      <w:tr w:rsidR="002A4DDF" w:rsidRPr="00937C8B" w14:paraId="1D3668B2" w14:textId="77777777" w:rsidTr="00935676">
        <w:trPr>
          <w:cantSplit/>
        </w:trPr>
        <w:tc>
          <w:tcPr>
            <w:tcW w:w="1696" w:type="dxa"/>
            <w:tcBorders>
              <w:left w:val="single" w:sz="4" w:space="0" w:color="auto"/>
            </w:tcBorders>
            <w:shd w:val="clear" w:color="auto" w:fill="auto"/>
          </w:tcPr>
          <w:p w14:paraId="52E5DADB" w14:textId="77777777" w:rsidR="002A4DDF" w:rsidRPr="00937C8B" w:rsidRDefault="002A4DDF" w:rsidP="009110ED">
            <w:pPr>
              <w:rPr>
                <w:rFonts w:ascii="Arial" w:hAnsi="Arial" w:cs="Arial"/>
                <w:sz w:val="12"/>
                <w:szCs w:val="12"/>
              </w:rPr>
            </w:pPr>
          </w:p>
        </w:tc>
        <w:tc>
          <w:tcPr>
            <w:tcW w:w="1843" w:type="dxa"/>
            <w:shd w:val="clear" w:color="auto" w:fill="auto"/>
          </w:tcPr>
          <w:p w14:paraId="5709D54E" w14:textId="77777777" w:rsidR="002A4DDF" w:rsidRPr="00937C8B" w:rsidRDefault="002A4DDF" w:rsidP="009110ED">
            <w:pPr>
              <w:rPr>
                <w:rFonts w:ascii="Arial" w:hAnsi="Arial" w:cs="Arial"/>
                <w:sz w:val="12"/>
                <w:szCs w:val="12"/>
              </w:rPr>
            </w:pPr>
          </w:p>
        </w:tc>
        <w:tc>
          <w:tcPr>
            <w:tcW w:w="2268" w:type="dxa"/>
            <w:shd w:val="clear" w:color="auto" w:fill="F2F2F2"/>
            <w:hideMark/>
          </w:tcPr>
          <w:p w14:paraId="2F48F1B2" w14:textId="77777777" w:rsidR="002A4DDF" w:rsidRPr="00937C8B" w:rsidRDefault="002A4DDF" w:rsidP="009110ED">
            <w:pPr>
              <w:rPr>
                <w:rFonts w:ascii="Arial" w:hAnsi="Arial" w:cs="Arial"/>
                <w:sz w:val="12"/>
                <w:szCs w:val="12"/>
              </w:rPr>
            </w:pPr>
            <w:r>
              <w:rPr>
                <w:rFonts w:ascii="Arial" w:hAnsi="Arial"/>
                <w:sz w:val="12"/>
                <w:szCs w:val="12"/>
              </w:rPr>
              <w:t>Torralba de Oropesa</w:t>
            </w:r>
          </w:p>
        </w:tc>
        <w:tc>
          <w:tcPr>
            <w:tcW w:w="2268" w:type="dxa"/>
            <w:tcBorders>
              <w:right w:val="single" w:sz="4" w:space="0" w:color="auto"/>
            </w:tcBorders>
            <w:shd w:val="clear" w:color="auto" w:fill="D9D9D9"/>
            <w:hideMark/>
          </w:tcPr>
          <w:p w14:paraId="1C6D03C5" w14:textId="77777777" w:rsidR="002A4DDF" w:rsidRPr="00937C8B" w:rsidRDefault="002A4DDF" w:rsidP="009110ED">
            <w:pPr>
              <w:rPr>
                <w:rFonts w:ascii="Arial" w:hAnsi="Arial" w:cs="Arial"/>
                <w:sz w:val="12"/>
                <w:szCs w:val="12"/>
              </w:rPr>
            </w:pPr>
            <w:r>
              <w:rPr>
                <w:rFonts w:ascii="Arial" w:hAnsi="Arial"/>
                <w:sz w:val="12"/>
                <w:szCs w:val="12"/>
              </w:rPr>
              <w:t>Mesegar de Tajo</w:t>
            </w:r>
          </w:p>
        </w:tc>
      </w:tr>
      <w:tr w:rsidR="002A4DDF" w:rsidRPr="00937C8B" w14:paraId="09521F69" w14:textId="77777777" w:rsidTr="00935676">
        <w:trPr>
          <w:cantSplit/>
        </w:trPr>
        <w:tc>
          <w:tcPr>
            <w:tcW w:w="1696" w:type="dxa"/>
            <w:tcBorders>
              <w:left w:val="single" w:sz="4" w:space="0" w:color="auto"/>
            </w:tcBorders>
            <w:shd w:val="clear" w:color="auto" w:fill="auto"/>
          </w:tcPr>
          <w:p w14:paraId="4B5B3D1F" w14:textId="77777777" w:rsidR="002A4DDF" w:rsidRPr="00937C8B" w:rsidRDefault="002A4DDF" w:rsidP="009110ED">
            <w:pPr>
              <w:rPr>
                <w:rFonts w:ascii="Arial" w:hAnsi="Arial" w:cs="Arial"/>
                <w:sz w:val="12"/>
                <w:szCs w:val="12"/>
              </w:rPr>
            </w:pPr>
          </w:p>
        </w:tc>
        <w:tc>
          <w:tcPr>
            <w:tcW w:w="1843" w:type="dxa"/>
            <w:shd w:val="clear" w:color="auto" w:fill="auto"/>
          </w:tcPr>
          <w:p w14:paraId="06449A8B" w14:textId="77777777" w:rsidR="002A4DDF" w:rsidRPr="00937C8B" w:rsidRDefault="002A4DDF" w:rsidP="009110ED">
            <w:pPr>
              <w:rPr>
                <w:rFonts w:ascii="Arial" w:hAnsi="Arial" w:cs="Arial"/>
                <w:sz w:val="12"/>
                <w:szCs w:val="12"/>
              </w:rPr>
            </w:pPr>
          </w:p>
        </w:tc>
        <w:tc>
          <w:tcPr>
            <w:tcW w:w="2268" w:type="dxa"/>
            <w:shd w:val="clear" w:color="auto" w:fill="F2F2F2"/>
            <w:hideMark/>
          </w:tcPr>
          <w:p w14:paraId="10E97687" w14:textId="77777777" w:rsidR="002A4DDF" w:rsidRPr="00937C8B" w:rsidRDefault="002A4DDF" w:rsidP="009110ED">
            <w:pPr>
              <w:rPr>
                <w:rFonts w:ascii="Arial" w:hAnsi="Arial" w:cs="Arial"/>
                <w:sz w:val="12"/>
                <w:szCs w:val="12"/>
              </w:rPr>
            </w:pPr>
            <w:r>
              <w:rPr>
                <w:rFonts w:ascii="Arial" w:hAnsi="Arial"/>
                <w:sz w:val="12"/>
                <w:szCs w:val="12"/>
              </w:rPr>
              <w:t>Ugena</w:t>
            </w:r>
          </w:p>
        </w:tc>
        <w:tc>
          <w:tcPr>
            <w:tcW w:w="2268" w:type="dxa"/>
            <w:tcBorders>
              <w:right w:val="single" w:sz="4" w:space="0" w:color="auto"/>
            </w:tcBorders>
            <w:shd w:val="clear" w:color="auto" w:fill="D9D9D9"/>
            <w:hideMark/>
          </w:tcPr>
          <w:p w14:paraId="6774DD13" w14:textId="77777777" w:rsidR="002A4DDF" w:rsidRPr="00937C8B" w:rsidRDefault="002A4DDF" w:rsidP="009110ED">
            <w:pPr>
              <w:rPr>
                <w:rFonts w:ascii="Arial" w:hAnsi="Arial" w:cs="Arial"/>
                <w:sz w:val="12"/>
                <w:szCs w:val="12"/>
              </w:rPr>
            </w:pPr>
            <w:r>
              <w:rPr>
                <w:rFonts w:ascii="Arial" w:hAnsi="Arial"/>
                <w:sz w:val="12"/>
                <w:szCs w:val="12"/>
              </w:rPr>
              <w:t>Mohedas de la Jara</w:t>
            </w:r>
          </w:p>
        </w:tc>
      </w:tr>
      <w:tr w:rsidR="002A4DDF" w:rsidRPr="00937C8B" w14:paraId="2A69F35F" w14:textId="77777777" w:rsidTr="00935676">
        <w:trPr>
          <w:cantSplit/>
        </w:trPr>
        <w:tc>
          <w:tcPr>
            <w:tcW w:w="1696" w:type="dxa"/>
            <w:tcBorders>
              <w:left w:val="single" w:sz="4" w:space="0" w:color="auto"/>
            </w:tcBorders>
            <w:shd w:val="clear" w:color="auto" w:fill="auto"/>
          </w:tcPr>
          <w:p w14:paraId="2E8BBC23" w14:textId="77777777" w:rsidR="002A4DDF" w:rsidRPr="00937C8B" w:rsidRDefault="002A4DDF" w:rsidP="009110ED">
            <w:pPr>
              <w:rPr>
                <w:rFonts w:ascii="Arial" w:hAnsi="Arial" w:cs="Arial"/>
                <w:sz w:val="12"/>
                <w:szCs w:val="12"/>
              </w:rPr>
            </w:pPr>
          </w:p>
        </w:tc>
        <w:tc>
          <w:tcPr>
            <w:tcW w:w="1843" w:type="dxa"/>
            <w:shd w:val="clear" w:color="auto" w:fill="auto"/>
          </w:tcPr>
          <w:p w14:paraId="41BD5F02" w14:textId="77777777" w:rsidR="002A4DDF" w:rsidRPr="00937C8B" w:rsidRDefault="002A4DDF" w:rsidP="009110ED">
            <w:pPr>
              <w:rPr>
                <w:rFonts w:ascii="Arial" w:hAnsi="Arial" w:cs="Arial"/>
                <w:sz w:val="12"/>
                <w:szCs w:val="12"/>
              </w:rPr>
            </w:pPr>
          </w:p>
        </w:tc>
        <w:tc>
          <w:tcPr>
            <w:tcW w:w="2268" w:type="dxa"/>
            <w:shd w:val="clear" w:color="auto" w:fill="F2F2F2"/>
            <w:hideMark/>
          </w:tcPr>
          <w:p w14:paraId="18F2B6D5" w14:textId="77777777" w:rsidR="002A4DDF" w:rsidRPr="00937C8B" w:rsidRDefault="002A4DDF" w:rsidP="009110ED">
            <w:pPr>
              <w:rPr>
                <w:rFonts w:ascii="Arial" w:hAnsi="Arial" w:cs="Arial"/>
                <w:sz w:val="12"/>
                <w:szCs w:val="12"/>
              </w:rPr>
            </w:pPr>
            <w:r>
              <w:rPr>
                <w:rFonts w:ascii="Arial" w:hAnsi="Arial"/>
                <w:sz w:val="12"/>
                <w:szCs w:val="12"/>
              </w:rPr>
              <w:t>Villamiel de Toledo</w:t>
            </w:r>
          </w:p>
        </w:tc>
        <w:tc>
          <w:tcPr>
            <w:tcW w:w="2268" w:type="dxa"/>
            <w:tcBorders>
              <w:right w:val="single" w:sz="4" w:space="0" w:color="auto"/>
            </w:tcBorders>
            <w:shd w:val="clear" w:color="auto" w:fill="D9D9D9"/>
            <w:hideMark/>
          </w:tcPr>
          <w:p w14:paraId="325CBA75" w14:textId="77777777" w:rsidR="002A4DDF" w:rsidRPr="00937C8B" w:rsidRDefault="002A4DDF" w:rsidP="009110ED">
            <w:pPr>
              <w:rPr>
                <w:rFonts w:ascii="Arial" w:hAnsi="Arial" w:cs="Arial"/>
                <w:sz w:val="12"/>
                <w:szCs w:val="12"/>
              </w:rPr>
            </w:pPr>
            <w:r>
              <w:rPr>
                <w:rFonts w:ascii="Arial" w:hAnsi="Arial"/>
                <w:sz w:val="12"/>
                <w:szCs w:val="12"/>
              </w:rPr>
              <w:t>Montearagón</w:t>
            </w:r>
          </w:p>
        </w:tc>
      </w:tr>
      <w:tr w:rsidR="002A4DDF" w:rsidRPr="00937C8B" w14:paraId="2F8264B1" w14:textId="77777777" w:rsidTr="00935676">
        <w:trPr>
          <w:cantSplit/>
        </w:trPr>
        <w:tc>
          <w:tcPr>
            <w:tcW w:w="1696" w:type="dxa"/>
            <w:tcBorders>
              <w:left w:val="single" w:sz="4" w:space="0" w:color="auto"/>
            </w:tcBorders>
            <w:shd w:val="clear" w:color="auto" w:fill="auto"/>
          </w:tcPr>
          <w:p w14:paraId="3DAA4753" w14:textId="77777777" w:rsidR="002A4DDF" w:rsidRPr="00937C8B" w:rsidRDefault="002A4DDF" w:rsidP="009110ED">
            <w:pPr>
              <w:rPr>
                <w:rFonts w:ascii="Arial" w:hAnsi="Arial" w:cs="Arial"/>
                <w:sz w:val="12"/>
                <w:szCs w:val="12"/>
              </w:rPr>
            </w:pPr>
          </w:p>
        </w:tc>
        <w:tc>
          <w:tcPr>
            <w:tcW w:w="1843" w:type="dxa"/>
            <w:shd w:val="clear" w:color="auto" w:fill="auto"/>
          </w:tcPr>
          <w:p w14:paraId="487EFD64" w14:textId="77777777" w:rsidR="002A4DDF" w:rsidRPr="00937C8B" w:rsidRDefault="002A4DDF" w:rsidP="009110ED">
            <w:pPr>
              <w:rPr>
                <w:rFonts w:ascii="Arial" w:hAnsi="Arial" w:cs="Arial"/>
                <w:sz w:val="12"/>
                <w:szCs w:val="12"/>
              </w:rPr>
            </w:pPr>
          </w:p>
        </w:tc>
        <w:tc>
          <w:tcPr>
            <w:tcW w:w="2268" w:type="dxa"/>
            <w:shd w:val="clear" w:color="auto" w:fill="F2F2F2"/>
            <w:hideMark/>
          </w:tcPr>
          <w:p w14:paraId="4ACBAEAF" w14:textId="77777777" w:rsidR="002A4DDF" w:rsidRPr="00937C8B" w:rsidRDefault="002A4DDF" w:rsidP="009110ED">
            <w:pPr>
              <w:rPr>
                <w:rFonts w:ascii="Arial" w:hAnsi="Arial" w:cs="Arial"/>
                <w:sz w:val="12"/>
                <w:szCs w:val="12"/>
              </w:rPr>
            </w:pPr>
            <w:r>
              <w:rPr>
                <w:rFonts w:ascii="Arial" w:hAnsi="Arial"/>
                <w:sz w:val="12"/>
                <w:szCs w:val="12"/>
              </w:rPr>
              <w:t>Yeles</w:t>
            </w:r>
          </w:p>
        </w:tc>
        <w:tc>
          <w:tcPr>
            <w:tcW w:w="2268" w:type="dxa"/>
            <w:tcBorders>
              <w:right w:val="single" w:sz="4" w:space="0" w:color="auto"/>
            </w:tcBorders>
            <w:shd w:val="clear" w:color="auto" w:fill="D9D9D9"/>
            <w:hideMark/>
          </w:tcPr>
          <w:p w14:paraId="02F942C0" w14:textId="77777777" w:rsidR="002A4DDF" w:rsidRPr="00937C8B" w:rsidRDefault="002A4DDF" w:rsidP="009110ED">
            <w:pPr>
              <w:rPr>
                <w:rFonts w:ascii="Arial" w:hAnsi="Arial" w:cs="Arial"/>
                <w:sz w:val="12"/>
                <w:szCs w:val="12"/>
              </w:rPr>
            </w:pPr>
            <w:r>
              <w:rPr>
                <w:rFonts w:ascii="Arial" w:hAnsi="Arial"/>
                <w:sz w:val="12"/>
                <w:szCs w:val="12"/>
              </w:rPr>
              <w:t>Montesclaros</w:t>
            </w:r>
          </w:p>
        </w:tc>
      </w:tr>
      <w:tr w:rsidR="002A4DDF" w:rsidRPr="00937C8B" w14:paraId="483393F8" w14:textId="77777777" w:rsidTr="00935676">
        <w:trPr>
          <w:cantSplit/>
        </w:trPr>
        <w:tc>
          <w:tcPr>
            <w:tcW w:w="1696" w:type="dxa"/>
            <w:tcBorders>
              <w:left w:val="single" w:sz="4" w:space="0" w:color="auto"/>
            </w:tcBorders>
            <w:shd w:val="clear" w:color="auto" w:fill="auto"/>
          </w:tcPr>
          <w:p w14:paraId="385DA2D6" w14:textId="77777777" w:rsidR="002A4DDF" w:rsidRPr="00937C8B" w:rsidRDefault="002A4DDF" w:rsidP="009110ED">
            <w:pPr>
              <w:rPr>
                <w:rFonts w:ascii="Arial" w:hAnsi="Arial" w:cs="Arial"/>
                <w:sz w:val="12"/>
                <w:szCs w:val="12"/>
              </w:rPr>
            </w:pPr>
          </w:p>
        </w:tc>
        <w:tc>
          <w:tcPr>
            <w:tcW w:w="1843" w:type="dxa"/>
            <w:shd w:val="clear" w:color="auto" w:fill="auto"/>
          </w:tcPr>
          <w:p w14:paraId="7B3CAFA0" w14:textId="77777777" w:rsidR="002A4DDF" w:rsidRPr="00937C8B" w:rsidRDefault="002A4DDF" w:rsidP="009110ED">
            <w:pPr>
              <w:rPr>
                <w:rFonts w:ascii="Arial" w:hAnsi="Arial" w:cs="Arial"/>
                <w:sz w:val="12"/>
                <w:szCs w:val="12"/>
              </w:rPr>
            </w:pPr>
          </w:p>
        </w:tc>
        <w:tc>
          <w:tcPr>
            <w:tcW w:w="2268" w:type="dxa"/>
            <w:shd w:val="clear" w:color="auto" w:fill="F2F2F2"/>
            <w:hideMark/>
          </w:tcPr>
          <w:p w14:paraId="622A7CB1" w14:textId="77777777" w:rsidR="002A4DDF" w:rsidRPr="00937C8B" w:rsidRDefault="002A4DDF" w:rsidP="009110ED">
            <w:pPr>
              <w:rPr>
                <w:rFonts w:ascii="Arial" w:hAnsi="Arial" w:cs="Arial"/>
                <w:sz w:val="12"/>
                <w:szCs w:val="12"/>
              </w:rPr>
            </w:pPr>
            <w:r>
              <w:rPr>
                <w:rFonts w:ascii="Arial" w:hAnsi="Arial"/>
                <w:sz w:val="12"/>
                <w:szCs w:val="12"/>
              </w:rPr>
              <w:t>Yuncler</w:t>
            </w:r>
          </w:p>
        </w:tc>
        <w:tc>
          <w:tcPr>
            <w:tcW w:w="2268" w:type="dxa"/>
            <w:tcBorders>
              <w:right w:val="single" w:sz="4" w:space="0" w:color="auto"/>
            </w:tcBorders>
            <w:shd w:val="clear" w:color="auto" w:fill="D9D9D9"/>
            <w:hideMark/>
          </w:tcPr>
          <w:p w14:paraId="12FE7DFA" w14:textId="77777777" w:rsidR="002A4DDF" w:rsidRPr="00937C8B" w:rsidRDefault="002A4DDF" w:rsidP="009110ED">
            <w:pPr>
              <w:rPr>
                <w:rFonts w:ascii="Arial" w:hAnsi="Arial" w:cs="Arial"/>
                <w:sz w:val="12"/>
                <w:szCs w:val="12"/>
              </w:rPr>
            </w:pPr>
            <w:r>
              <w:rPr>
                <w:rFonts w:ascii="Arial" w:hAnsi="Arial"/>
                <w:sz w:val="12"/>
                <w:szCs w:val="12"/>
              </w:rPr>
              <w:t>Mora</w:t>
            </w:r>
          </w:p>
        </w:tc>
      </w:tr>
      <w:tr w:rsidR="002A4DDF" w:rsidRPr="00937C8B" w14:paraId="6714504D" w14:textId="77777777" w:rsidTr="00935676">
        <w:trPr>
          <w:cantSplit/>
        </w:trPr>
        <w:tc>
          <w:tcPr>
            <w:tcW w:w="1696" w:type="dxa"/>
            <w:tcBorders>
              <w:left w:val="single" w:sz="4" w:space="0" w:color="auto"/>
            </w:tcBorders>
            <w:shd w:val="clear" w:color="auto" w:fill="auto"/>
          </w:tcPr>
          <w:p w14:paraId="7DC07B1D" w14:textId="77777777" w:rsidR="002A4DDF" w:rsidRPr="00937C8B" w:rsidRDefault="002A4DDF" w:rsidP="009110ED">
            <w:pPr>
              <w:rPr>
                <w:rFonts w:ascii="Arial" w:hAnsi="Arial" w:cs="Arial"/>
                <w:sz w:val="12"/>
                <w:szCs w:val="12"/>
              </w:rPr>
            </w:pPr>
          </w:p>
        </w:tc>
        <w:tc>
          <w:tcPr>
            <w:tcW w:w="1843" w:type="dxa"/>
            <w:shd w:val="clear" w:color="auto" w:fill="auto"/>
          </w:tcPr>
          <w:p w14:paraId="5C40088F" w14:textId="77777777" w:rsidR="002A4DDF" w:rsidRPr="00937C8B" w:rsidRDefault="002A4DDF" w:rsidP="009110ED">
            <w:pPr>
              <w:rPr>
                <w:rFonts w:ascii="Arial" w:hAnsi="Arial" w:cs="Arial"/>
                <w:sz w:val="12"/>
                <w:szCs w:val="12"/>
              </w:rPr>
            </w:pPr>
          </w:p>
        </w:tc>
        <w:tc>
          <w:tcPr>
            <w:tcW w:w="2268" w:type="dxa"/>
            <w:shd w:val="clear" w:color="auto" w:fill="F2F2F2"/>
            <w:hideMark/>
          </w:tcPr>
          <w:p w14:paraId="1F954E1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DE075CF" w14:textId="77777777" w:rsidR="002A4DDF" w:rsidRPr="00937C8B" w:rsidRDefault="002A4DDF" w:rsidP="009110ED">
            <w:pPr>
              <w:rPr>
                <w:rFonts w:ascii="Arial" w:hAnsi="Arial" w:cs="Arial"/>
                <w:sz w:val="12"/>
                <w:szCs w:val="12"/>
              </w:rPr>
            </w:pPr>
            <w:r>
              <w:rPr>
                <w:rFonts w:ascii="Arial" w:hAnsi="Arial"/>
                <w:sz w:val="12"/>
                <w:szCs w:val="12"/>
              </w:rPr>
              <w:t>Nambroca</w:t>
            </w:r>
          </w:p>
        </w:tc>
      </w:tr>
      <w:tr w:rsidR="002A4DDF" w:rsidRPr="00937C8B" w14:paraId="2EA953E9" w14:textId="77777777" w:rsidTr="00935676">
        <w:trPr>
          <w:cantSplit/>
        </w:trPr>
        <w:tc>
          <w:tcPr>
            <w:tcW w:w="1696" w:type="dxa"/>
            <w:tcBorders>
              <w:left w:val="single" w:sz="4" w:space="0" w:color="auto"/>
            </w:tcBorders>
            <w:shd w:val="clear" w:color="auto" w:fill="auto"/>
          </w:tcPr>
          <w:p w14:paraId="11598C77" w14:textId="77777777" w:rsidR="002A4DDF" w:rsidRPr="00937C8B" w:rsidRDefault="002A4DDF" w:rsidP="009110ED">
            <w:pPr>
              <w:rPr>
                <w:rFonts w:ascii="Arial" w:hAnsi="Arial" w:cs="Arial"/>
                <w:sz w:val="12"/>
                <w:szCs w:val="12"/>
              </w:rPr>
            </w:pPr>
          </w:p>
        </w:tc>
        <w:tc>
          <w:tcPr>
            <w:tcW w:w="1843" w:type="dxa"/>
            <w:shd w:val="clear" w:color="auto" w:fill="auto"/>
          </w:tcPr>
          <w:p w14:paraId="336E79B0" w14:textId="77777777" w:rsidR="002A4DDF" w:rsidRPr="00937C8B" w:rsidRDefault="002A4DDF" w:rsidP="009110ED">
            <w:pPr>
              <w:rPr>
                <w:rFonts w:ascii="Arial" w:hAnsi="Arial" w:cs="Arial"/>
                <w:sz w:val="12"/>
                <w:szCs w:val="12"/>
              </w:rPr>
            </w:pPr>
          </w:p>
        </w:tc>
        <w:tc>
          <w:tcPr>
            <w:tcW w:w="2268" w:type="dxa"/>
            <w:shd w:val="clear" w:color="auto" w:fill="F2F2F2"/>
            <w:hideMark/>
          </w:tcPr>
          <w:p w14:paraId="303F213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0EA1161" w14:textId="77777777" w:rsidR="002A4DDF" w:rsidRPr="00937C8B" w:rsidRDefault="002A4DDF" w:rsidP="009110ED">
            <w:pPr>
              <w:rPr>
                <w:rFonts w:ascii="Arial" w:hAnsi="Arial" w:cs="Arial"/>
                <w:sz w:val="12"/>
                <w:szCs w:val="12"/>
              </w:rPr>
            </w:pPr>
            <w:r>
              <w:rPr>
                <w:rFonts w:ascii="Arial" w:hAnsi="Arial"/>
                <w:sz w:val="12"/>
                <w:szCs w:val="12"/>
              </w:rPr>
              <w:t>Navahermosa</w:t>
            </w:r>
          </w:p>
        </w:tc>
      </w:tr>
      <w:tr w:rsidR="002A4DDF" w:rsidRPr="00937C8B" w14:paraId="393B40C6" w14:textId="77777777" w:rsidTr="00935676">
        <w:trPr>
          <w:cantSplit/>
        </w:trPr>
        <w:tc>
          <w:tcPr>
            <w:tcW w:w="1696" w:type="dxa"/>
            <w:tcBorders>
              <w:left w:val="single" w:sz="4" w:space="0" w:color="auto"/>
            </w:tcBorders>
            <w:shd w:val="clear" w:color="auto" w:fill="auto"/>
          </w:tcPr>
          <w:p w14:paraId="3104E8CA" w14:textId="77777777" w:rsidR="002A4DDF" w:rsidRPr="00937C8B" w:rsidRDefault="002A4DDF" w:rsidP="009110ED">
            <w:pPr>
              <w:rPr>
                <w:rFonts w:ascii="Arial" w:hAnsi="Arial" w:cs="Arial"/>
                <w:sz w:val="12"/>
                <w:szCs w:val="12"/>
              </w:rPr>
            </w:pPr>
          </w:p>
        </w:tc>
        <w:tc>
          <w:tcPr>
            <w:tcW w:w="1843" w:type="dxa"/>
            <w:shd w:val="clear" w:color="auto" w:fill="auto"/>
          </w:tcPr>
          <w:p w14:paraId="246355E1" w14:textId="77777777" w:rsidR="002A4DDF" w:rsidRPr="00937C8B" w:rsidRDefault="002A4DDF" w:rsidP="009110ED">
            <w:pPr>
              <w:rPr>
                <w:rFonts w:ascii="Arial" w:hAnsi="Arial" w:cs="Arial"/>
                <w:sz w:val="12"/>
                <w:szCs w:val="12"/>
              </w:rPr>
            </w:pPr>
          </w:p>
        </w:tc>
        <w:tc>
          <w:tcPr>
            <w:tcW w:w="2268" w:type="dxa"/>
            <w:shd w:val="clear" w:color="auto" w:fill="F2F2F2"/>
            <w:hideMark/>
          </w:tcPr>
          <w:p w14:paraId="11E2555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2EFEBF1" w14:textId="77777777" w:rsidR="002A4DDF" w:rsidRPr="00937C8B" w:rsidRDefault="002A4DDF" w:rsidP="009110ED">
            <w:pPr>
              <w:rPr>
                <w:rFonts w:ascii="Arial" w:hAnsi="Arial" w:cs="Arial"/>
                <w:sz w:val="12"/>
                <w:szCs w:val="12"/>
              </w:rPr>
            </w:pPr>
            <w:r>
              <w:rPr>
                <w:rFonts w:ascii="Arial" w:hAnsi="Arial"/>
                <w:sz w:val="12"/>
                <w:szCs w:val="12"/>
              </w:rPr>
              <w:t>Navalcán</w:t>
            </w:r>
          </w:p>
        </w:tc>
      </w:tr>
      <w:tr w:rsidR="002A4DDF" w:rsidRPr="00937C8B" w14:paraId="2FCFD0F9" w14:textId="77777777" w:rsidTr="00935676">
        <w:trPr>
          <w:cantSplit/>
        </w:trPr>
        <w:tc>
          <w:tcPr>
            <w:tcW w:w="1696" w:type="dxa"/>
            <w:tcBorders>
              <w:left w:val="single" w:sz="4" w:space="0" w:color="auto"/>
            </w:tcBorders>
            <w:shd w:val="clear" w:color="auto" w:fill="auto"/>
          </w:tcPr>
          <w:p w14:paraId="3130C150" w14:textId="77777777" w:rsidR="002A4DDF" w:rsidRPr="00937C8B" w:rsidRDefault="002A4DDF" w:rsidP="009110ED">
            <w:pPr>
              <w:rPr>
                <w:rFonts w:ascii="Arial" w:hAnsi="Arial" w:cs="Arial"/>
                <w:sz w:val="12"/>
                <w:szCs w:val="12"/>
              </w:rPr>
            </w:pPr>
          </w:p>
        </w:tc>
        <w:tc>
          <w:tcPr>
            <w:tcW w:w="1843" w:type="dxa"/>
            <w:shd w:val="clear" w:color="auto" w:fill="auto"/>
          </w:tcPr>
          <w:p w14:paraId="3674DFE6" w14:textId="77777777" w:rsidR="002A4DDF" w:rsidRPr="00937C8B" w:rsidRDefault="002A4DDF" w:rsidP="009110ED">
            <w:pPr>
              <w:rPr>
                <w:rFonts w:ascii="Arial" w:hAnsi="Arial" w:cs="Arial"/>
                <w:sz w:val="12"/>
                <w:szCs w:val="12"/>
              </w:rPr>
            </w:pPr>
          </w:p>
        </w:tc>
        <w:tc>
          <w:tcPr>
            <w:tcW w:w="2268" w:type="dxa"/>
            <w:shd w:val="clear" w:color="auto" w:fill="F2F2F2"/>
            <w:hideMark/>
          </w:tcPr>
          <w:p w14:paraId="3CBE391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8A22770" w14:textId="77777777" w:rsidR="002A4DDF" w:rsidRPr="00937C8B" w:rsidRDefault="002A4DDF" w:rsidP="009110ED">
            <w:pPr>
              <w:rPr>
                <w:rFonts w:ascii="Arial" w:hAnsi="Arial" w:cs="Arial"/>
                <w:sz w:val="12"/>
                <w:szCs w:val="12"/>
              </w:rPr>
            </w:pPr>
            <w:r>
              <w:rPr>
                <w:rFonts w:ascii="Arial" w:hAnsi="Arial"/>
                <w:sz w:val="12"/>
                <w:szCs w:val="12"/>
              </w:rPr>
              <w:t>Navalmoralejo</w:t>
            </w:r>
          </w:p>
        </w:tc>
      </w:tr>
      <w:tr w:rsidR="002A4DDF" w:rsidRPr="00937C8B" w14:paraId="36CE64C2" w14:textId="77777777" w:rsidTr="00935676">
        <w:trPr>
          <w:cantSplit/>
        </w:trPr>
        <w:tc>
          <w:tcPr>
            <w:tcW w:w="1696" w:type="dxa"/>
            <w:tcBorders>
              <w:left w:val="single" w:sz="4" w:space="0" w:color="auto"/>
            </w:tcBorders>
            <w:shd w:val="clear" w:color="auto" w:fill="auto"/>
          </w:tcPr>
          <w:p w14:paraId="5290BFC4" w14:textId="77777777" w:rsidR="002A4DDF" w:rsidRPr="00937C8B" w:rsidRDefault="002A4DDF" w:rsidP="009110ED">
            <w:pPr>
              <w:rPr>
                <w:rFonts w:ascii="Arial" w:hAnsi="Arial" w:cs="Arial"/>
                <w:sz w:val="12"/>
                <w:szCs w:val="12"/>
              </w:rPr>
            </w:pPr>
          </w:p>
        </w:tc>
        <w:tc>
          <w:tcPr>
            <w:tcW w:w="1843" w:type="dxa"/>
            <w:shd w:val="clear" w:color="auto" w:fill="auto"/>
          </w:tcPr>
          <w:p w14:paraId="16199DD8" w14:textId="77777777" w:rsidR="002A4DDF" w:rsidRPr="00937C8B" w:rsidRDefault="002A4DDF" w:rsidP="009110ED">
            <w:pPr>
              <w:rPr>
                <w:rFonts w:ascii="Arial" w:hAnsi="Arial" w:cs="Arial"/>
                <w:sz w:val="12"/>
                <w:szCs w:val="12"/>
              </w:rPr>
            </w:pPr>
          </w:p>
        </w:tc>
        <w:tc>
          <w:tcPr>
            <w:tcW w:w="2268" w:type="dxa"/>
            <w:shd w:val="clear" w:color="auto" w:fill="F2F2F2"/>
            <w:hideMark/>
          </w:tcPr>
          <w:p w14:paraId="6FC9209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1F31DE4" w14:textId="77777777" w:rsidR="002A4DDF" w:rsidRPr="00937C8B" w:rsidRDefault="002A4DDF" w:rsidP="009110ED">
            <w:pPr>
              <w:rPr>
                <w:rFonts w:ascii="Arial" w:hAnsi="Arial" w:cs="Arial"/>
                <w:sz w:val="12"/>
                <w:szCs w:val="12"/>
              </w:rPr>
            </w:pPr>
            <w:r>
              <w:rPr>
                <w:rFonts w:ascii="Arial" w:hAnsi="Arial"/>
                <w:sz w:val="12"/>
                <w:szCs w:val="12"/>
              </w:rPr>
              <w:t>Navamorcuende</w:t>
            </w:r>
          </w:p>
        </w:tc>
      </w:tr>
      <w:tr w:rsidR="002A4DDF" w:rsidRPr="00937C8B" w14:paraId="15BDFD66" w14:textId="77777777" w:rsidTr="00935676">
        <w:trPr>
          <w:cantSplit/>
        </w:trPr>
        <w:tc>
          <w:tcPr>
            <w:tcW w:w="1696" w:type="dxa"/>
            <w:tcBorders>
              <w:left w:val="single" w:sz="4" w:space="0" w:color="auto"/>
            </w:tcBorders>
            <w:shd w:val="clear" w:color="auto" w:fill="auto"/>
          </w:tcPr>
          <w:p w14:paraId="26FC3168" w14:textId="77777777" w:rsidR="002A4DDF" w:rsidRPr="00937C8B" w:rsidRDefault="002A4DDF" w:rsidP="009110ED">
            <w:pPr>
              <w:rPr>
                <w:rFonts w:ascii="Arial" w:hAnsi="Arial" w:cs="Arial"/>
                <w:sz w:val="12"/>
                <w:szCs w:val="12"/>
              </w:rPr>
            </w:pPr>
          </w:p>
        </w:tc>
        <w:tc>
          <w:tcPr>
            <w:tcW w:w="1843" w:type="dxa"/>
            <w:shd w:val="clear" w:color="auto" w:fill="auto"/>
          </w:tcPr>
          <w:p w14:paraId="34002ED6" w14:textId="77777777" w:rsidR="002A4DDF" w:rsidRPr="00937C8B" w:rsidRDefault="002A4DDF" w:rsidP="009110ED">
            <w:pPr>
              <w:rPr>
                <w:rFonts w:ascii="Arial" w:hAnsi="Arial" w:cs="Arial"/>
                <w:sz w:val="12"/>
                <w:szCs w:val="12"/>
              </w:rPr>
            </w:pPr>
          </w:p>
        </w:tc>
        <w:tc>
          <w:tcPr>
            <w:tcW w:w="2268" w:type="dxa"/>
            <w:shd w:val="clear" w:color="auto" w:fill="F2F2F2"/>
            <w:hideMark/>
          </w:tcPr>
          <w:p w14:paraId="0611893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9CA6CD4" w14:textId="77777777" w:rsidR="002A4DDF" w:rsidRPr="00937C8B" w:rsidRDefault="002A4DDF" w:rsidP="009110ED">
            <w:pPr>
              <w:rPr>
                <w:rFonts w:ascii="Arial" w:hAnsi="Arial" w:cs="Arial"/>
                <w:sz w:val="12"/>
                <w:szCs w:val="12"/>
              </w:rPr>
            </w:pPr>
            <w:r>
              <w:rPr>
                <w:rFonts w:ascii="Arial" w:hAnsi="Arial"/>
                <w:sz w:val="12"/>
                <w:szCs w:val="12"/>
              </w:rPr>
              <w:t>Noez</w:t>
            </w:r>
          </w:p>
        </w:tc>
      </w:tr>
      <w:tr w:rsidR="002A4DDF" w:rsidRPr="00937C8B" w14:paraId="26D8E19F" w14:textId="77777777" w:rsidTr="00935676">
        <w:trPr>
          <w:cantSplit/>
        </w:trPr>
        <w:tc>
          <w:tcPr>
            <w:tcW w:w="1696" w:type="dxa"/>
            <w:tcBorders>
              <w:left w:val="single" w:sz="4" w:space="0" w:color="auto"/>
            </w:tcBorders>
            <w:shd w:val="clear" w:color="auto" w:fill="auto"/>
          </w:tcPr>
          <w:p w14:paraId="34AEF99D" w14:textId="77777777" w:rsidR="002A4DDF" w:rsidRPr="00937C8B" w:rsidRDefault="002A4DDF" w:rsidP="009110ED">
            <w:pPr>
              <w:rPr>
                <w:rFonts w:ascii="Arial" w:hAnsi="Arial" w:cs="Arial"/>
                <w:sz w:val="12"/>
                <w:szCs w:val="12"/>
              </w:rPr>
            </w:pPr>
          </w:p>
        </w:tc>
        <w:tc>
          <w:tcPr>
            <w:tcW w:w="1843" w:type="dxa"/>
            <w:shd w:val="clear" w:color="auto" w:fill="auto"/>
          </w:tcPr>
          <w:p w14:paraId="37AAC16B" w14:textId="77777777" w:rsidR="002A4DDF" w:rsidRPr="00937C8B" w:rsidRDefault="002A4DDF" w:rsidP="009110ED">
            <w:pPr>
              <w:rPr>
                <w:rFonts w:ascii="Arial" w:hAnsi="Arial" w:cs="Arial"/>
                <w:sz w:val="12"/>
                <w:szCs w:val="12"/>
              </w:rPr>
            </w:pPr>
          </w:p>
        </w:tc>
        <w:tc>
          <w:tcPr>
            <w:tcW w:w="2268" w:type="dxa"/>
            <w:shd w:val="clear" w:color="auto" w:fill="F2F2F2"/>
            <w:hideMark/>
          </w:tcPr>
          <w:p w14:paraId="2CCB075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3E5ED9A" w14:textId="77777777" w:rsidR="002A4DDF" w:rsidRPr="00937C8B" w:rsidRDefault="002A4DDF" w:rsidP="009110ED">
            <w:pPr>
              <w:rPr>
                <w:rFonts w:ascii="Arial" w:hAnsi="Arial" w:cs="Arial"/>
                <w:sz w:val="12"/>
                <w:szCs w:val="12"/>
              </w:rPr>
            </w:pPr>
            <w:r>
              <w:rPr>
                <w:rFonts w:ascii="Arial" w:hAnsi="Arial"/>
                <w:sz w:val="12"/>
                <w:szCs w:val="12"/>
              </w:rPr>
              <w:t>Nombela</w:t>
            </w:r>
          </w:p>
        </w:tc>
      </w:tr>
      <w:tr w:rsidR="002A4DDF" w:rsidRPr="00937C8B" w14:paraId="14BF377F" w14:textId="77777777" w:rsidTr="00935676">
        <w:trPr>
          <w:cantSplit/>
        </w:trPr>
        <w:tc>
          <w:tcPr>
            <w:tcW w:w="1696" w:type="dxa"/>
            <w:tcBorders>
              <w:left w:val="single" w:sz="4" w:space="0" w:color="auto"/>
            </w:tcBorders>
            <w:shd w:val="clear" w:color="auto" w:fill="auto"/>
          </w:tcPr>
          <w:p w14:paraId="69545ED6" w14:textId="77777777" w:rsidR="002A4DDF" w:rsidRPr="00937C8B" w:rsidRDefault="002A4DDF" w:rsidP="009110ED">
            <w:pPr>
              <w:rPr>
                <w:rFonts w:ascii="Arial" w:hAnsi="Arial" w:cs="Arial"/>
                <w:sz w:val="12"/>
                <w:szCs w:val="12"/>
              </w:rPr>
            </w:pPr>
          </w:p>
        </w:tc>
        <w:tc>
          <w:tcPr>
            <w:tcW w:w="1843" w:type="dxa"/>
            <w:shd w:val="clear" w:color="auto" w:fill="auto"/>
          </w:tcPr>
          <w:p w14:paraId="64C71BEB" w14:textId="77777777" w:rsidR="002A4DDF" w:rsidRPr="00937C8B" w:rsidRDefault="002A4DDF" w:rsidP="009110ED">
            <w:pPr>
              <w:rPr>
                <w:rFonts w:ascii="Arial" w:hAnsi="Arial" w:cs="Arial"/>
                <w:sz w:val="12"/>
                <w:szCs w:val="12"/>
              </w:rPr>
            </w:pPr>
          </w:p>
        </w:tc>
        <w:tc>
          <w:tcPr>
            <w:tcW w:w="2268" w:type="dxa"/>
            <w:shd w:val="clear" w:color="auto" w:fill="F2F2F2"/>
            <w:hideMark/>
          </w:tcPr>
          <w:p w14:paraId="458700F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73C70C6" w14:textId="77777777" w:rsidR="002A4DDF" w:rsidRPr="00937C8B" w:rsidRDefault="002A4DDF" w:rsidP="009110ED">
            <w:pPr>
              <w:rPr>
                <w:rFonts w:ascii="Arial" w:hAnsi="Arial" w:cs="Arial"/>
                <w:sz w:val="12"/>
                <w:szCs w:val="12"/>
              </w:rPr>
            </w:pPr>
            <w:r>
              <w:rPr>
                <w:rFonts w:ascii="Arial" w:hAnsi="Arial"/>
                <w:sz w:val="12"/>
                <w:szCs w:val="12"/>
              </w:rPr>
              <w:t>Novés</w:t>
            </w:r>
          </w:p>
        </w:tc>
      </w:tr>
      <w:tr w:rsidR="002A4DDF" w:rsidRPr="00937C8B" w14:paraId="0FF36B63" w14:textId="77777777" w:rsidTr="00935676">
        <w:trPr>
          <w:cantSplit/>
        </w:trPr>
        <w:tc>
          <w:tcPr>
            <w:tcW w:w="1696" w:type="dxa"/>
            <w:tcBorders>
              <w:left w:val="single" w:sz="4" w:space="0" w:color="auto"/>
            </w:tcBorders>
            <w:shd w:val="clear" w:color="auto" w:fill="auto"/>
          </w:tcPr>
          <w:p w14:paraId="06C0B544" w14:textId="77777777" w:rsidR="002A4DDF" w:rsidRPr="00937C8B" w:rsidRDefault="002A4DDF" w:rsidP="009110ED">
            <w:pPr>
              <w:rPr>
                <w:rFonts w:ascii="Arial" w:hAnsi="Arial" w:cs="Arial"/>
                <w:sz w:val="12"/>
                <w:szCs w:val="12"/>
              </w:rPr>
            </w:pPr>
          </w:p>
        </w:tc>
        <w:tc>
          <w:tcPr>
            <w:tcW w:w="1843" w:type="dxa"/>
            <w:shd w:val="clear" w:color="auto" w:fill="auto"/>
          </w:tcPr>
          <w:p w14:paraId="29F6B909" w14:textId="77777777" w:rsidR="002A4DDF" w:rsidRPr="00937C8B" w:rsidRDefault="002A4DDF" w:rsidP="009110ED">
            <w:pPr>
              <w:rPr>
                <w:rFonts w:ascii="Arial" w:hAnsi="Arial" w:cs="Arial"/>
                <w:sz w:val="12"/>
                <w:szCs w:val="12"/>
              </w:rPr>
            </w:pPr>
          </w:p>
        </w:tc>
        <w:tc>
          <w:tcPr>
            <w:tcW w:w="2268" w:type="dxa"/>
            <w:shd w:val="clear" w:color="auto" w:fill="F2F2F2"/>
          </w:tcPr>
          <w:p w14:paraId="7925651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tcPr>
          <w:p w14:paraId="2AA4D105" w14:textId="77777777" w:rsidR="002A4DDF" w:rsidRPr="00937C8B" w:rsidRDefault="002A4DDF" w:rsidP="009110ED">
            <w:pPr>
              <w:rPr>
                <w:rFonts w:ascii="Arial" w:hAnsi="Arial" w:cs="Arial"/>
                <w:sz w:val="12"/>
                <w:szCs w:val="12"/>
              </w:rPr>
            </w:pPr>
            <w:r>
              <w:rPr>
                <w:rFonts w:ascii="Arial" w:hAnsi="Arial"/>
                <w:sz w:val="12"/>
                <w:szCs w:val="12"/>
              </w:rPr>
              <w:t>Nuño Gómez</w:t>
            </w:r>
          </w:p>
        </w:tc>
      </w:tr>
      <w:tr w:rsidR="002A4DDF" w:rsidRPr="00937C8B" w14:paraId="357BDC98" w14:textId="77777777" w:rsidTr="00935676">
        <w:trPr>
          <w:cantSplit/>
        </w:trPr>
        <w:tc>
          <w:tcPr>
            <w:tcW w:w="1696" w:type="dxa"/>
            <w:tcBorders>
              <w:left w:val="single" w:sz="4" w:space="0" w:color="auto"/>
            </w:tcBorders>
            <w:shd w:val="clear" w:color="auto" w:fill="auto"/>
          </w:tcPr>
          <w:p w14:paraId="086B5BC8" w14:textId="77777777" w:rsidR="002A4DDF" w:rsidRPr="00937C8B" w:rsidRDefault="002A4DDF" w:rsidP="009110ED">
            <w:pPr>
              <w:rPr>
                <w:rFonts w:ascii="Arial" w:hAnsi="Arial" w:cs="Arial"/>
                <w:sz w:val="12"/>
                <w:szCs w:val="12"/>
              </w:rPr>
            </w:pPr>
          </w:p>
        </w:tc>
        <w:tc>
          <w:tcPr>
            <w:tcW w:w="1843" w:type="dxa"/>
            <w:shd w:val="clear" w:color="auto" w:fill="auto"/>
          </w:tcPr>
          <w:p w14:paraId="19ACBE95" w14:textId="77777777" w:rsidR="002A4DDF" w:rsidRPr="00937C8B" w:rsidRDefault="002A4DDF" w:rsidP="009110ED">
            <w:pPr>
              <w:rPr>
                <w:rFonts w:ascii="Arial" w:hAnsi="Arial" w:cs="Arial"/>
                <w:sz w:val="12"/>
                <w:szCs w:val="12"/>
              </w:rPr>
            </w:pPr>
          </w:p>
        </w:tc>
        <w:tc>
          <w:tcPr>
            <w:tcW w:w="2268" w:type="dxa"/>
            <w:shd w:val="clear" w:color="auto" w:fill="F2F2F2"/>
            <w:hideMark/>
          </w:tcPr>
          <w:p w14:paraId="1318131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DA09B8B" w14:textId="77777777" w:rsidR="002A4DDF" w:rsidRPr="00937C8B" w:rsidRDefault="002A4DDF" w:rsidP="009110ED">
            <w:pPr>
              <w:rPr>
                <w:rFonts w:ascii="Arial" w:hAnsi="Arial" w:cs="Arial"/>
                <w:sz w:val="12"/>
                <w:szCs w:val="12"/>
              </w:rPr>
            </w:pPr>
            <w:r>
              <w:rPr>
                <w:rFonts w:ascii="Arial" w:hAnsi="Arial"/>
                <w:sz w:val="12"/>
                <w:szCs w:val="12"/>
              </w:rPr>
              <w:t>Orgaz</w:t>
            </w:r>
          </w:p>
        </w:tc>
      </w:tr>
      <w:tr w:rsidR="002A4DDF" w:rsidRPr="00937C8B" w14:paraId="5F146FA8" w14:textId="77777777" w:rsidTr="00935676">
        <w:trPr>
          <w:cantSplit/>
        </w:trPr>
        <w:tc>
          <w:tcPr>
            <w:tcW w:w="1696" w:type="dxa"/>
            <w:tcBorders>
              <w:left w:val="single" w:sz="4" w:space="0" w:color="auto"/>
            </w:tcBorders>
            <w:shd w:val="clear" w:color="auto" w:fill="auto"/>
          </w:tcPr>
          <w:p w14:paraId="6BCA766D" w14:textId="77777777" w:rsidR="002A4DDF" w:rsidRPr="00937C8B" w:rsidRDefault="002A4DDF" w:rsidP="009110ED">
            <w:pPr>
              <w:rPr>
                <w:rFonts w:ascii="Arial" w:hAnsi="Arial" w:cs="Arial"/>
                <w:sz w:val="12"/>
                <w:szCs w:val="12"/>
              </w:rPr>
            </w:pPr>
          </w:p>
        </w:tc>
        <w:tc>
          <w:tcPr>
            <w:tcW w:w="1843" w:type="dxa"/>
            <w:shd w:val="clear" w:color="auto" w:fill="auto"/>
          </w:tcPr>
          <w:p w14:paraId="512E312D" w14:textId="77777777" w:rsidR="002A4DDF" w:rsidRPr="00937C8B" w:rsidRDefault="002A4DDF" w:rsidP="009110ED">
            <w:pPr>
              <w:rPr>
                <w:rFonts w:ascii="Arial" w:hAnsi="Arial" w:cs="Arial"/>
                <w:sz w:val="12"/>
                <w:szCs w:val="12"/>
              </w:rPr>
            </w:pPr>
          </w:p>
        </w:tc>
        <w:tc>
          <w:tcPr>
            <w:tcW w:w="2268" w:type="dxa"/>
            <w:shd w:val="clear" w:color="auto" w:fill="F2F2F2"/>
            <w:hideMark/>
          </w:tcPr>
          <w:p w14:paraId="742175A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2AC17A8" w14:textId="77777777" w:rsidR="002A4DDF" w:rsidRPr="00937C8B" w:rsidRDefault="002A4DDF" w:rsidP="009110ED">
            <w:pPr>
              <w:rPr>
                <w:rFonts w:ascii="Arial" w:hAnsi="Arial" w:cs="Arial"/>
                <w:sz w:val="12"/>
                <w:szCs w:val="12"/>
              </w:rPr>
            </w:pPr>
            <w:r>
              <w:rPr>
                <w:rFonts w:ascii="Arial" w:hAnsi="Arial"/>
                <w:sz w:val="12"/>
                <w:szCs w:val="12"/>
              </w:rPr>
              <w:t>Oropesa</w:t>
            </w:r>
          </w:p>
        </w:tc>
      </w:tr>
      <w:tr w:rsidR="002A4DDF" w:rsidRPr="00937C8B" w14:paraId="092C6B3E" w14:textId="77777777" w:rsidTr="00935676">
        <w:trPr>
          <w:cantSplit/>
        </w:trPr>
        <w:tc>
          <w:tcPr>
            <w:tcW w:w="1696" w:type="dxa"/>
            <w:tcBorders>
              <w:left w:val="single" w:sz="4" w:space="0" w:color="auto"/>
            </w:tcBorders>
            <w:shd w:val="clear" w:color="auto" w:fill="auto"/>
          </w:tcPr>
          <w:p w14:paraId="2E0C61E4" w14:textId="77777777" w:rsidR="002A4DDF" w:rsidRPr="00937C8B" w:rsidRDefault="002A4DDF" w:rsidP="009110ED">
            <w:pPr>
              <w:rPr>
                <w:rFonts w:ascii="Arial" w:hAnsi="Arial" w:cs="Arial"/>
                <w:sz w:val="12"/>
                <w:szCs w:val="12"/>
              </w:rPr>
            </w:pPr>
          </w:p>
        </w:tc>
        <w:tc>
          <w:tcPr>
            <w:tcW w:w="1843" w:type="dxa"/>
            <w:shd w:val="clear" w:color="auto" w:fill="auto"/>
          </w:tcPr>
          <w:p w14:paraId="2C1423D9" w14:textId="77777777" w:rsidR="002A4DDF" w:rsidRPr="00937C8B" w:rsidRDefault="002A4DDF" w:rsidP="009110ED">
            <w:pPr>
              <w:rPr>
                <w:rFonts w:ascii="Arial" w:hAnsi="Arial" w:cs="Arial"/>
                <w:sz w:val="12"/>
                <w:szCs w:val="12"/>
              </w:rPr>
            </w:pPr>
          </w:p>
        </w:tc>
        <w:tc>
          <w:tcPr>
            <w:tcW w:w="2268" w:type="dxa"/>
            <w:shd w:val="clear" w:color="auto" w:fill="F2F2F2"/>
            <w:hideMark/>
          </w:tcPr>
          <w:p w14:paraId="1BB0024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A53BAA7" w14:textId="77777777" w:rsidR="002A4DDF" w:rsidRPr="00937C8B" w:rsidRDefault="002A4DDF" w:rsidP="009110ED">
            <w:pPr>
              <w:rPr>
                <w:rFonts w:ascii="Arial" w:hAnsi="Arial" w:cs="Arial"/>
                <w:sz w:val="12"/>
                <w:szCs w:val="12"/>
              </w:rPr>
            </w:pPr>
            <w:r>
              <w:rPr>
                <w:rFonts w:ascii="Arial" w:hAnsi="Arial"/>
                <w:sz w:val="12"/>
                <w:szCs w:val="12"/>
              </w:rPr>
              <w:t>Paredes de Escalona</w:t>
            </w:r>
          </w:p>
        </w:tc>
      </w:tr>
      <w:tr w:rsidR="002A4DDF" w:rsidRPr="00937C8B" w14:paraId="67361594" w14:textId="77777777" w:rsidTr="00935676">
        <w:trPr>
          <w:cantSplit/>
        </w:trPr>
        <w:tc>
          <w:tcPr>
            <w:tcW w:w="1696" w:type="dxa"/>
            <w:tcBorders>
              <w:left w:val="single" w:sz="4" w:space="0" w:color="auto"/>
            </w:tcBorders>
            <w:shd w:val="clear" w:color="auto" w:fill="auto"/>
          </w:tcPr>
          <w:p w14:paraId="081AE372" w14:textId="77777777" w:rsidR="002A4DDF" w:rsidRPr="00937C8B" w:rsidRDefault="002A4DDF" w:rsidP="009110ED">
            <w:pPr>
              <w:rPr>
                <w:rFonts w:ascii="Arial" w:hAnsi="Arial" w:cs="Arial"/>
                <w:sz w:val="12"/>
                <w:szCs w:val="12"/>
              </w:rPr>
            </w:pPr>
          </w:p>
        </w:tc>
        <w:tc>
          <w:tcPr>
            <w:tcW w:w="1843" w:type="dxa"/>
            <w:shd w:val="clear" w:color="auto" w:fill="auto"/>
          </w:tcPr>
          <w:p w14:paraId="0A944F8E" w14:textId="77777777" w:rsidR="002A4DDF" w:rsidRPr="00937C8B" w:rsidRDefault="002A4DDF" w:rsidP="009110ED">
            <w:pPr>
              <w:rPr>
                <w:rFonts w:ascii="Arial" w:hAnsi="Arial" w:cs="Arial"/>
                <w:sz w:val="12"/>
                <w:szCs w:val="12"/>
              </w:rPr>
            </w:pPr>
          </w:p>
        </w:tc>
        <w:tc>
          <w:tcPr>
            <w:tcW w:w="2268" w:type="dxa"/>
            <w:shd w:val="clear" w:color="auto" w:fill="F2F2F2"/>
            <w:hideMark/>
          </w:tcPr>
          <w:p w14:paraId="76BCA47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DFE7E0A" w14:textId="77777777" w:rsidR="002A4DDF" w:rsidRPr="00937C8B" w:rsidRDefault="002A4DDF" w:rsidP="009110ED">
            <w:pPr>
              <w:rPr>
                <w:rFonts w:ascii="Arial" w:hAnsi="Arial" w:cs="Arial"/>
                <w:sz w:val="12"/>
                <w:szCs w:val="12"/>
              </w:rPr>
            </w:pPr>
            <w:r>
              <w:rPr>
                <w:rFonts w:ascii="Arial" w:hAnsi="Arial"/>
                <w:sz w:val="12"/>
                <w:szCs w:val="12"/>
              </w:rPr>
              <w:t>Parrillas</w:t>
            </w:r>
          </w:p>
        </w:tc>
      </w:tr>
      <w:tr w:rsidR="002A4DDF" w:rsidRPr="00937C8B" w14:paraId="7217745F" w14:textId="77777777" w:rsidTr="00935676">
        <w:trPr>
          <w:cantSplit/>
        </w:trPr>
        <w:tc>
          <w:tcPr>
            <w:tcW w:w="1696" w:type="dxa"/>
            <w:tcBorders>
              <w:left w:val="single" w:sz="4" w:space="0" w:color="auto"/>
            </w:tcBorders>
            <w:shd w:val="clear" w:color="auto" w:fill="auto"/>
          </w:tcPr>
          <w:p w14:paraId="20E6C7B4" w14:textId="77777777" w:rsidR="002A4DDF" w:rsidRPr="00937C8B" w:rsidRDefault="002A4DDF" w:rsidP="009110ED">
            <w:pPr>
              <w:rPr>
                <w:rFonts w:ascii="Arial" w:hAnsi="Arial" w:cs="Arial"/>
                <w:sz w:val="12"/>
                <w:szCs w:val="12"/>
              </w:rPr>
            </w:pPr>
          </w:p>
        </w:tc>
        <w:tc>
          <w:tcPr>
            <w:tcW w:w="1843" w:type="dxa"/>
            <w:shd w:val="clear" w:color="auto" w:fill="auto"/>
          </w:tcPr>
          <w:p w14:paraId="5087FE4F" w14:textId="77777777" w:rsidR="002A4DDF" w:rsidRPr="00937C8B" w:rsidRDefault="002A4DDF" w:rsidP="009110ED">
            <w:pPr>
              <w:rPr>
                <w:rFonts w:ascii="Arial" w:hAnsi="Arial" w:cs="Arial"/>
                <w:sz w:val="12"/>
                <w:szCs w:val="12"/>
              </w:rPr>
            </w:pPr>
          </w:p>
        </w:tc>
        <w:tc>
          <w:tcPr>
            <w:tcW w:w="2268" w:type="dxa"/>
            <w:shd w:val="clear" w:color="auto" w:fill="F2F2F2"/>
            <w:hideMark/>
          </w:tcPr>
          <w:p w14:paraId="0C34063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2DEA2C7" w14:textId="77777777" w:rsidR="002A4DDF" w:rsidRPr="00937C8B" w:rsidRDefault="002A4DDF" w:rsidP="009110ED">
            <w:pPr>
              <w:rPr>
                <w:rFonts w:ascii="Arial" w:hAnsi="Arial" w:cs="Arial"/>
                <w:sz w:val="12"/>
                <w:szCs w:val="12"/>
              </w:rPr>
            </w:pPr>
            <w:r>
              <w:rPr>
                <w:rFonts w:ascii="Arial" w:hAnsi="Arial"/>
                <w:sz w:val="12"/>
                <w:szCs w:val="12"/>
              </w:rPr>
              <w:t>Pelahustán</w:t>
            </w:r>
          </w:p>
        </w:tc>
      </w:tr>
      <w:tr w:rsidR="002A4DDF" w:rsidRPr="00937C8B" w14:paraId="0D6079DC" w14:textId="77777777" w:rsidTr="00935676">
        <w:trPr>
          <w:cantSplit/>
        </w:trPr>
        <w:tc>
          <w:tcPr>
            <w:tcW w:w="1696" w:type="dxa"/>
            <w:tcBorders>
              <w:left w:val="single" w:sz="4" w:space="0" w:color="auto"/>
            </w:tcBorders>
            <w:shd w:val="clear" w:color="auto" w:fill="auto"/>
          </w:tcPr>
          <w:p w14:paraId="08D856AD" w14:textId="77777777" w:rsidR="002A4DDF" w:rsidRPr="00937C8B" w:rsidRDefault="002A4DDF" w:rsidP="009110ED">
            <w:pPr>
              <w:rPr>
                <w:rFonts w:ascii="Arial" w:hAnsi="Arial" w:cs="Arial"/>
                <w:sz w:val="12"/>
                <w:szCs w:val="12"/>
              </w:rPr>
            </w:pPr>
          </w:p>
        </w:tc>
        <w:tc>
          <w:tcPr>
            <w:tcW w:w="1843" w:type="dxa"/>
            <w:shd w:val="clear" w:color="auto" w:fill="auto"/>
          </w:tcPr>
          <w:p w14:paraId="6E81EF8E" w14:textId="77777777" w:rsidR="002A4DDF" w:rsidRPr="00937C8B" w:rsidRDefault="002A4DDF" w:rsidP="009110ED">
            <w:pPr>
              <w:rPr>
                <w:rFonts w:ascii="Arial" w:hAnsi="Arial" w:cs="Arial"/>
                <w:sz w:val="12"/>
                <w:szCs w:val="12"/>
              </w:rPr>
            </w:pPr>
          </w:p>
        </w:tc>
        <w:tc>
          <w:tcPr>
            <w:tcW w:w="2268" w:type="dxa"/>
            <w:shd w:val="clear" w:color="auto" w:fill="F2F2F2"/>
            <w:hideMark/>
          </w:tcPr>
          <w:p w14:paraId="09D00A1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D1F85E6" w14:textId="77777777" w:rsidR="002A4DDF" w:rsidRPr="00937C8B" w:rsidRDefault="002A4DDF" w:rsidP="009110ED">
            <w:pPr>
              <w:rPr>
                <w:rFonts w:ascii="Arial" w:hAnsi="Arial" w:cs="Arial"/>
                <w:sz w:val="12"/>
                <w:szCs w:val="12"/>
              </w:rPr>
            </w:pPr>
            <w:r>
              <w:rPr>
                <w:rFonts w:ascii="Arial" w:hAnsi="Arial"/>
                <w:sz w:val="12"/>
                <w:szCs w:val="12"/>
              </w:rPr>
              <w:t>Pepino</w:t>
            </w:r>
          </w:p>
        </w:tc>
      </w:tr>
      <w:tr w:rsidR="002A4DDF" w:rsidRPr="00937C8B" w14:paraId="3C9F1420" w14:textId="77777777" w:rsidTr="00935676">
        <w:trPr>
          <w:cantSplit/>
        </w:trPr>
        <w:tc>
          <w:tcPr>
            <w:tcW w:w="1696" w:type="dxa"/>
            <w:tcBorders>
              <w:left w:val="single" w:sz="4" w:space="0" w:color="auto"/>
            </w:tcBorders>
            <w:shd w:val="clear" w:color="auto" w:fill="auto"/>
          </w:tcPr>
          <w:p w14:paraId="492FB454" w14:textId="77777777" w:rsidR="002A4DDF" w:rsidRPr="00937C8B" w:rsidRDefault="002A4DDF" w:rsidP="009110ED">
            <w:pPr>
              <w:rPr>
                <w:rFonts w:ascii="Arial" w:hAnsi="Arial" w:cs="Arial"/>
                <w:sz w:val="12"/>
                <w:szCs w:val="12"/>
              </w:rPr>
            </w:pPr>
          </w:p>
        </w:tc>
        <w:tc>
          <w:tcPr>
            <w:tcW w:w="1843" w:type="dxa"/>
            <w:shd w:val="clear" w:color="auto" w:fill="auto"/>
          </w:tcPr>
          <w:p w14:paraId="4625D853" w14:textId="77777777" w:rsidR="002A4DDF" w:rsidRPr="00937C8B" w:rsidRDefault="002A4DDF" w:rsidP="009110ED">
            <w:pPr>
              <w:rPr>
                <w:rFonts w:ascii="Arial" w:hAnsi="Arial" w:cs="Arial"/>
                <w:sz w:val="12"/>
                <w:szCs w:val="12"/>
              </w:rPr>
            </w:pPr>
          </w:p>
        </w:tc>
        <w:tc>
          <w:tcPr>
            <w:tcW w:w="2268" w:type="dxa"/>
            <w:shd w:val="clear" w:color="auto" w:fill="F2F2F2"/>
            <w:hideMark/>
          </w:tcPr>
          <w:p w14:paraId="34E8D1E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2C86387" w14:textId="77777777" w:rsidR="002A4DDF" w:rsidRPr="00937C8B" w:rsidRDefault="002A4DDF" w:rsidP="009110ED">
            <w:pPr>
              <w:rPr>
                <w:rFonts w:ascii="Arial" w:hAnsi="Arial" w:cs="Arial"/>
                <w:sz w:val="12"/>
                <w:szCs w:val="12"/>
              </w:rPr>
            </w:pPr>
            <w:r>
              <w:rPr>
                <w:rFonts w:ascii="Arial" w:hAnsi="Arial"/>
                <w:sz w:val="12"/>
                <w:szCs w:val="12"/>
              </w:rPr>
              <w:t>Polán</w:t>
            </w:r>
          </w:p>
        </w:tc>
      </w:tr>
      <w:tr w:rsidR="002A4DDF" w:rsidRPr="00937C8B" w14:paraId="5AE0ACF0" w14:textId="77777777" w:rsidTr="00935676">
        <w:trPr>
          <w:cantSplit/>
        </w:trPr>
        <w:tc>
          <w:tcPr>
            <w:tcW w:w="1696" w:type="dxa"/>
            <w:tcBorders>
              <w:left w:val="single" w:sz="4" w:space="0" w:color="auto"/>
            </w:tcBorders>
            <w:shd w:val="clear" w:color="auto" w:fill="auto"/>
          </w:tcPr>
          <w:p w14:paraId="3DD3E08C" w14:textId="77777777" w:rsidR="002A4DDF" w:rsidRPr="00937C8B" w:rsidRDefault="002A4DDF" w:rsidP="009110ED">
            <w:pPr>
              <w:rPr>
                <w:rFonts w:ascii="Arial" w:hAnsi="Arial" w:cs="Arial"/>
                <w:sz w:val="12"/>
                <w:szCs w:val="12"/>
              </w:rPr>
            </w:pPr>
          </w:p>
        </w:tc>
        <w:tc>
          <w:tcPr>
            <w:tcW w:w="1843" w:type="dxa"/>
            <w:shd w:val="clear" w:color="auto" w:fill="auto"/>
          </w:tcPr>
          <w:p w14:paraId="045A3B4C" w14:textId="77777777" w:rsidR="002A4DDF" w:rsidRPr="00937C8B" w:rsidRDefault="002A4DDF" w:rsidP="009110ED">
            <w:pPr>
              <w:rPr>
                <w:rFonts w:ascii="Arial" w:hAnsi="Arial" w:cs="Arial"/>
                <w:sz w:val="12"/>
                <w:szCs w:val="12"/>
              </w:rPr>
            </w:pPr>
          </w:p>
        </w:tc>
        <w:tc>
          <w:tcPr>
            <w:tcW w:w="2268" w:type="dxa"/>
            <w:shd w:val="clear" w:color="auto" w:fill="F2F2F2"/>
            <w:hideMark/>
          </w:tcPr>
          <w:p w14:paraId="14A17D5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2517ACC" w14:textId="77777777" w:rsidR="002A4DDF" w:rsidRPr="00937C8B" w:rsidRDefault="002A4DDF" w:rsidP="009110ED">
            <w:pPr>
              <w:rPr>
                <w:rFonts w:ascii="Arial" w:hAnsi="Arial" w:cs="Arial"/>
                <w:sz w:val="12"/>
                <w:szCs w:val="12"/>
              </w:rPr>
            </w:pPr>
            <w:r>
              <w:rPr>
                <w:rFonts w:ascii="Arial" w:hAnsi="Arial"/>
                <w:sz w:val="12"/>
                <w:szCs w:val="12"/>
              </w:rPr>
              <w:t>Portillo de Toledo</w:t>
            </w:r>
          </w:p>
        </w:tc>
      </w:tr>
      <w:tr w:rsidR="002A4DDF" w:rsidRPr="00937C8B" w14:paraId="02F3C2FE" w14:textId="77777777" w:rsidTr="00935676">
        <w:trPr>
          <w:cantSplit/>
        </w:trPr>
        <w:tc>
          <w:tcPr>
            <w:tcW w:w="1696" w:type="dxa"/>
            <w:tcBorders>
              <w:left w:val="single" w:sz="4" w:space="0" w:color="auto"/>
            </w:tcBorders>
            <w:shd w:val="clear" w:color="auto" w:fill="auto"/>
          </w:tcPr>
          <w:p w14:paraId="7857624E" w14:textId="77777777" w:rsidR="002A4DDF" w:rsidRPr="00937C8B" w:rsidRDefault="002A4DDF" w:rsidP="009110ED">
            <w:pPr>
              <w:rPr>
                <w:rFonts w:ascii="Arial" w:hAnsi="Arial" w:cs="Arial"/>
                <w:sz w:val="12"/>
                <w:szCs w:val="12"/>
              </w:rPr>
            </w:pPr>
          </w:p>
        </w:tc>
        <w:tc>
          <w:tcPr>
            <w:tcW w:w="1843" w:type="dxa"/>
            <w:shd w:val="clear" w:color="auto" w:fill="auto"/>
          </w:tcPr>
          <w:p w14:paraId="4B63327C" w14:textId="77777777" w:rsidR="002A4DDF" w:rsidRPr="00937C8B" w:rsidRDefault="002A4DDF" w:rsidP="009110ED">
            <w:pPr>
              <w:rPr>
                <w:rFonts w:ascii="Arial" w:hAnsi="Arial" w:cs="Arial"/>
                <w:sz w:val="12"/>
                <w:szCs w:val="12"/>
              </w:rPr>
            </w:pPr>
          </w:p>
        </w:tc>
        <w:tc>
          <w:tcPr>
            <w:tcW w:w="2268" w:type="dxa"/>
            <w:shd w:val="clear" w:color="auto" w:fill="F2F2F2"/>
            <w:hideMark/>
          </w:tcPr>
          <w:p w14:paraId="3794AB7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D82EE10" w14:textId="77777777" w:rsidR="002A4DDF" w:rsidRPr="00937C8B" w:rsidRDefault="002A4DDF" w:rsidP="009110ED">
            <w:pPr>
              <w:rPr>
                <w:rFonts w:ascii="Arial" w:hAnsi="Arial" w:cs="Arial"/>
                <w:sz w:val="12"/>
                <w:szCs w:val="12"/>
              </w:rPr>
            </w:pPr>
            <w:r>
              <w:rPr>
                <w:rFonts w:ascii="Arial" w:hAnsi="Arial"/>
                <w:sz w:val="12"/>
                <w:szCs w:val="12"/>
              </w:rPr>
              <w:t>Puerto de San Vicente</w:t>
            </w:r>
          </w:p>
        </w:tc>
      </w:tr>
      <w:tr w:rsidR="002A4DDF" w:rsidRPr="00937C8B" w14:paraId="066F4665" w14:textId="77777777" w:rsidTr="00935676">
        <w:trPr>
          <w:cantSplit/>
        </w:trPr>
        <w:tc>
          <w:tcPr>
            <w:tcW w:w="1696" w:type="dxa"/>
            <w:tcBorders>
              <w:left w:val="single" w:sz="4" w:space="0" w:color="auto"/>
            </w:tcBorders>
            <w:shd w:val="clear" w:color="auto" w:fill="auto"/>
          </w:tcPr>
          <w:p w14:paraId="5C8C4252" w14:textId="77777777" w:rsidR="002A4DDF" w:rsidRPr="00937C8B" w:rsidRDefault="002A4DDF" w:rsidP="009110ED">
            <w:pPr>
              <w:rPr>
                <w:rFonts w:ascii="Arial" w:hAnsi="Arial" w:cs="Arial"/>
                <w:sz w:val="12"/>
                <w:szCs w:val="12"/>
              </w:rPr>
            </w:pPr>
          </w:p>
        </w:tc>
        <w:tc>
          <w:tcPr>
            <w:tcW w:w="1843" w:type="dxa"/>
            <w:shd w:val="clear" w:color="auto" w:fill="auto"/>
          </w:tcPr>
          <w:p w14:paraId="0BD9188A" w14:textId="77777777" w:rsidR="002A4DDF" w:rsidRPr="00937C8B" w:rsidRDefault="002A4DDF" w:rsidP="009110ED">
            <w:pPr>
              <w:rPr>
                <w:rFonts w:ascii="Arial" w:hAnsi="Arial" w:cs="Arial"/>
                <w:sz w:val="12"/>
                <w:szCs w:val="12"/>
              </w:rPr>
            </w:pPr>
          </w:p>
        </w:tc>
        <w:tc>
          <w:tcPr>
            <w:tcW w:w="2268" w:type="dxa"/>
            <w:shd w:val="clear" w:color="auto" w:fill="F2F2F2"/>
            <w:hideMark/>
          </w:tcPr>
          <w:p w14:paraId="228F1AF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70A0504" w14:textId="77777777" w:rsidR="002A4DDF" w:rsidRPr="00937C8B" w:rsidRDefault="002A4DDF" w:rsidP="009110ED">
            <w:pPr>
              <w:rPr>
                <w:rFonts w:ascii="Arial" w:hAnsi="Arial" w:cs="Arial"/>
                <w:sz w:val="12"/>
                <w:szCs w:val="12"/>
              </w:rPr>
            </w:pPr>
            <w:r>
              <w:rPr>
                <w:rFonts w:ascii="Arial" w:hAnsi="Arial"/>
                <w:sz w:val="12"/>
                <w:szCs w:val="12"/>
              </w:rPr>
              <w:t>Pulgar</w:t>
            </w:r>
          </w:p>
        </w:tc>
      </w:tr>
      <w:tr w:rsidR="002A4DDF" w:rsidRPr="00937C8B" w14:paraId="57F514B6" w14:textId="77777777" w:rsidTr="00935676">
        <w:trPr>
          <w:cantSplit/>
        </w:trPr>
        <w:tc>
          <w:tcPr>
            <w:tcW w:w="1696" w:type="dxa"/>
            <w:tcBorders>
              <w:left w:val="single" w:sz="4" w:space="0" w:color="auto"/>
            </w:tcBorders>
            <w:shd w:val="clear" w:color="auto" w:fill="auto"/>
          </w:tcPr>
          <w:p w14:paraId="75EC3F4B" w14:textId="77777777" w:rsidR="002A4DDF" w:rsidRPr="00937C8B" w:rsidRDefault="002A4DDF" w:rsidP="009110ED">
            <w:pPr>
              <w:rPr>
                <w:rFonts w:ascii="Arial" w:hAnsi="Arial" w:cs="Arial"/>
                <w:sz w:val="12"/>
                <w:szCs w:val="12"/>
              </w:rPr>
            </w:pPr>
          </w:p>
        </w:tc>
        <w:tc>
          <w:tcPr>
            <w:tcW w:w="1843" w:type="dxa"/>
            <w:shd w:val="clear" w:color="auto" w:fill="auto"/>
          </w:tcPr>
          <w:p w14:paraId="03451FB4" w14:textId="77777777" w:rsidR="002A4DDF" w:rsidRPr="00937C8B" w:rsidRDefault="002A4DDF" w:rsidP="009110ED">
            <w:pPr>
              <w:rPr>
                <w:rFonts w:ascii="Arial" w:hAnsi="Arial" w:cs="Arial"/>
                <w:sz w:val="12"/>
                <w:szCs w:val="12"/>
              </w:rPr>
            </w:pPr>
          </w:p>
        </w:tc>
        <w:tc>
          <w:tcPr>
            <w:tcW w:w="2268" w:type="dxa"/>
            <w:shd w:val="clear" w:color="auto" w:fill="F2F2F2"/>
            <w:hideMark/>
          </w:tcPr>
          <w:p w14:paraId="0DDDEED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61FAB23" w14:textId="77777777" w:rsidR="002A4DDF" w:rsidRPr="00937C8B" w:rsidRDefault="002A4DDF" w:rsidP="009110ED">
            <w:pPr>
              <w:rPr>
                <w:rFonts w:ascii="Arial" w:hAnsi="Arial" w:cs="Arial"/>
                <w:sz w:val="12"/>
                <w:szCs w:val="12"/>
              </w:rPr>
            </w:pPr>
            <w:r>
              <w:rPr>
                <w:rFonts w:ascii="Arial" w:hAnsi="Arial"/>
                <w:sz w:val="12"/>
                <w:szCs w:val="12"/>
              </w:rPr>
              <w:t>Retamoso de la Jara</w:t>
            </w:r>
          </w:p>
        </w:tc>
      </w:tr>
      <w:tr w:rsidR="002A4DDF" w:rsidRPr="00937C8B" w14:paraId="2EF123F9" w14:textId="77777777" w:rsidTr="00935676">
        <w:trPr>
          <w:cantSplit/>
        </w:trPr>
        <w:tc>
          <w:tcPr>
            <w:tcW w:w="1696" w:type="dxa"/>
            <w:tcBorders>
              <w:left w:val="single" w:sz="4" w:space="0" w:color="auto"/>
            </w:tcBorders>
            <w:shd w:val="clear" w:color="auto" w:fill="auto"/>
          </w:tcPr>
          <w:p w14:paraId="70287064" w14:textId="77777777" w:rsidR="002A4DDF" w:rsidRPr="00937C8B" w:rsidRDefault="002A4DDF" w:rsidP="009110ED">
            <w:pPr>
              <w:rPr>
                <w:rFonts w:ascii="Arial" w:hAnsi="Arial" w:cs="Arial"/>
                <w:sz w:val="12"/>
                <w:szCs w:val="12"/>
              </w:rPr>
            </w:pPr>
          </w:p>
        </w:tc>
        <w:tc>
          <w:tcPr>
            <w:tcW w:w="1843" w:type="dxa"/>
            <w:shd w:val="clear" w:color="auto" w:fill="auto"/>
          </w:tcPr>
          <w:p w14:paraId="5A6CAA35" w14:textId="77777777" w:rsidR="002A4DDF" w:rsidRPr="00937C8B" w:rsidRDefault="002A4DDF" w:rsidP="009110ED">
            <w:pPr>
              <w:rPr>
                <w:rFonts w:ascii="Arial" w:hAnsi="Arial" w:cs="Arial"/>
                <w:sz w:val="12"/>
                <w:szCs w:val="12"/>
              </w:rPr>
            </w:pPr>
          </w:p>
        </w:tc>
        <w:tc>
          <w:tcPr>
            <w:tcW w:w="2268" w:type="dxa"/>
            <w:shd w:val="clear" w:color="auto" w:fill="F2F2F2"/>
            <w:hideMark/>
          </w:tcPr>
          <w:p w14:paraId="15CA931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779990C" w14:textId="77777777" w:rsidR="002A4DDF" w:rsidRPr="00937C8B" w:rsidRDefault="002A4DDF" w:rsidP="009110ED">
            <w:pPr>
              <w:rPr>
                <w:rFonts w:ascii="Arial" w:hAnsi="Arial" w:cs="Arial"/>
                <w:sz w:val="12"/>
                <w:szCs w:val="12"/>
              </w:rPr>
            </w:pPr>
            <w:r>
              <w:rPr>
                <w:rFonts w:ascii="Arial" w:hAnsi="Arial"/>
                <w:sz w:val="12"/>
                <w:szCs w:val="12"/>
              </w:rPr>
              <w:t>Robledo del Mazo</w:t>
            </w:r>
          </w:p>
        </w:tc>
      </w:tr>
      <w:tr w:rsidR="002A4DDF" w:rsidRPr="00937C8B" w14:paraId="6C449C1C" w14:textId="77777777" w:rsidTr="00935676">
        <w:trPr>
          <w:cantSplit/>
        </w:trPr>
        <w:tc>
          <w:tcPr>
            <w:tcW w:w="1696" w:type="dxa"/>
            <w:tcBorders>
              <w:left w:val="single" w:sz="4" w:space="0" w:color="auto"/>
            </w:tcBorders>
            <w:shd w:val="clear" w:color="auto" w:fill="auto"/>
          </w:tcPr>
          <w:p w14:paraId="73FDCD4A" w14:textId="77777777" w:rsidR="002A4DDF" w:rsidRPr="00937C8B" w:rsidRDefault="002A4DDF" w:rsidP="009110ED">
            <w:pPr>
              <w:rPr>
                <w:rFonts w:ascii="Arial" w:hAnsi="Arial" w:cs="Arial"/>
                <w:sz w:val="12"/>
                <w:szCs w:val="12"/>
              </w:rPr>
            </w:pPr>
          </w:p>
        </w:tc>
        <w:tc>
          <w:tcPr>
            <w:tcW w:w="1843" w:type="dxa"/>
            <w:shd w:val="clear" w:color="auto" w:fill="auto"/>
          </w:tcPr>
          <w:p w14:paraId="6AB974CF" w14:textId="77777777" w:rsidR="002A4DDF" w:rsidRPr="00937C8B" w:rsidRDefault="002A4DDF" w:rsidP="009110ED">
            <w:pPr>
              <w:rPr>
                <w:rFonts w:ascii="Arial" w:hAnsi="Arial" w:cs="Arial"/>
                <w:sz w:val="12"/>
                <w:szCs w:val="12"/>
              </w:rPr>
            </w:pPr>
          </w:p>
        </w:tc>
        <w:tc>
          <w:tcPr>
            <w:tcW w:w="2268" w:type="dxa"/>
            <w:shd w:val="clear" w:color="auto" w:fill="F2F2F2"/>
            <w:hideMark/>
          </w:tcPr>
          <w:p w14:paraId="67C31CD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3353BD1" w14:textId="77777777" w:rsidR="002A4DDF" w:rsidRPr="00937C8B" w:rsidRDefault="002A4DDF" w:rsidP="009110ED">
            <w:pPr>
              <w:rPr>
                <w:rFonts w:ascii="Arial" w:hAnsi="Arial" w:cs="Arial"/>
                <w:sz w:val="12"/>
                <w:szCs w:val="12"/>
              </w:rPr>
            </w:pPr>
            <w:r>
              <w:rPr>
                <w:rFonts w:ascii="Arial" w:hAnsi="Arial"/>
                <w:sz w:val="12"/>
                <w:szCs w:val="12"/>
              </w:rPr>
              <w:t>San Martín de Montalbán</w:t>
            </w:r>
          </w:p>
        </w:tc>
      </w:tr>
      <w:tr w:rsidR="002A4DDF" w:rsidRPr="00937C8B" w14:paraId="06EFE0C7" w14:textId="77777777" w:rsidTr="00935676">
        <w:trPr>
          <w:cantSplit/>
        </w:trPr>
        <w:tc>
          <w:tcPr>
            <w:tcW w:w="1696" w:type="dxa"/>
            <w:tcBorders>
              <w:left w:val="single" w:sz="4" w:space="0" w:color="auto"/>
            </w:tcBorders>
            <w:shd w:val="clear" w:color="auto" w:fill="auto"/>
          </w:tcPr>
          <w:p w14:paraId="1F25E08D" w14:textId="77777777" w:rsidR="002A4DDF" w:rsidRPr="00937C8B" w:rsidRDefault="002A4DDF" w:rsidP="009110ED">
            <w:pPr>
              <w:rPr>
                <w:rFonts w:ascii="Arial" w:hAnsi="Arial" w:cs="Arial"/>
                <w:sz w:val="12"/>
                <w:szCs w:val="12"/>
              </w:rPr>
            </w:pPr>
          </w:p>
        </w:tc>
        <w:tc>
          <w:tcPr>
            <w:tcW w:w="1843" w:type="dxa"/>
            <w:shd w:val="clear" w:color="auto" w:fill="auto"/>
          </w:tcPr>
          <w:p w14:paraId="0B2436CD" w14:textId="77777777" w:rsidR="002A4DDF" w:rsidRPr="00937C8B" w:rsidRDefault="002A4DDF" w:rsidP="009110ED">
            <w:pPr>
              <w:rPr>
                <w:rFonts w:ascii="Arial" w:hAnsi="Arial" w:cs="Arial"/>
                <w:sz w:val="12"/>
                <w:szCs w:val="12"/>
              </w:rPr>
            </w:pPr>
          </w:p>
        </w:tc>
        <w:tc>
          <w:tcPr>
            <w:tcW w:w="2268" w:type="dxa"/>
            <w:shd w:val="clear" w:color="auto" w:fill="F2F2F2"/>
            <w:hideMark/>
          </w:tcPr>
          <w:p w14:paraId="0757051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06AA95B" w14:textId="77777777" w:rsidR="002A4DDF" w:rsidRPr="00937C8B" w:rsidRDefault="002A4DDF" w:rsidP="009110ED">
            <w:pPr>
              <w:rPr>
                <w:rFonts w:ascii="Arial" w:hAnsi="Arial" w:cs="Arial"/>
                <w:sz w:val="12"/>
                <w:szCs w:val="12"/>
              </w:rPr>
            </w:pPr>
            <w:r>
              <w:rPr>
                <w:rFonts w:ascii="Arial" w:hAnsi="Arial"/>
                <w:sz w:val="12"/>
                <w:szCs w:val="12"/>
              </w:rPr>
              <w:t>San Martín de Pusa</w:t>
            </w:r>
          </w:p>
        </w:tc>
      </w:tr>
      <w:tr w:rsidR="002A4DDF" w:rsidRPr="00937C8B" w14:paraId="25ADF336" w14:textId="77777777" w:rsidTr="00935676">
        <w:trPr>
          <w:cantSplit/>
        </w:trPr>
        <w:tc>
          <w:tcPr>
            <w:tcW w:w="1696" w:type="dxa"/>
            <w:tcBorders>
              <w:left w:val="single" w:sz="4" w:space="0" w:color="auto"/>
            </w:tcBorders>
            <w:shd w:val="clear" w:color="auto" w:fill="auto"/>
          </w:tcPr>
          <w:p w14:paraId="3B8EE82B" w14:textId="77777777" w:rsidR="002A4DDF" w:rsidRPr="00937C8B" w:rsidRDefault="002A4DDF" w:rsidP="009110ED">
            <w:pPr>
              <w:rPr>
                <w:rFonts w:ascii="Arial" w:hAnsi="Arial" w:cs="Arial"/>
                <w:sz w:val="12"/>
                <w:szCs w:val="12"/>
              </w:rPr>
            </w:pPr>
          </w:p>
        </w:tc>
        <w:tc>
          <w:tcPr>
            <w:tcW w:w="1843" w:type="dxa"/>
            <w:shd w:val="clear" w:color="auto" w:fill="auto"/>
          </w:tcPr>
          <w:p w14:paraId="746D8419" w14:textId="77777777" w:rsidR="002A4DDF" w:rsidRPr="00937C8B" w:rsidRDefault="002A4DDF" w:rsidP="009110ED">
            <w:pPr>
              <w:rPr>
                <w:rFonts w:ascii="Arial" w:hAnsi="Arial" w:cs="Arial"/>
                <w:sz w:val="12"/>
                <w:szCs w:val="12"/>
              </w:rPr>
            </w:pPr>
          </w:p>
        </w:tc>
        <w:tc>
          <w:tcPr>
            <w:tcW w:w="2268" w:type="dxa"/>
            <w:shd w:val="clear" w:color="auto" w:fill="F2F2F2"/>
            <w:hideMark/>
          </w:tcPr>
          <w:p w14:paraId="2871A20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A62A703" w14:textId="77777777" w:rsidR="002A4DDF" w:rsidRPr="00937C8B" w:rsidRDefault="002A4DDF" w:rsidP="009110ED">
            <w:pPr>
              <w:rPr>
                <w:rFonts w:ascii="Arial" w:hAnsi="Arial" w:cs="Arial"/>
                <w:sz w:val="12"/>
                <w:szCs w:val="12"/>
              </w:rPr>
            </w:pPr>
            <w:r>
              <w:rPr>
                <w:rFonts w:ascii="Arial" w:hAnsi="Arial"/>
                <w:sz w:val="12"/>
                <w:szCs w:val="12"/>
              </w:rPr>
              <w:t>San Pablo de los Montes</w:t>
            </w:r>
          </w:p>
        </w:tc>
      </w:tr>
      <w:tr w:rsidR="002A4DDF" w:rsidRPr="00937C8B" w14:paraId="2216CD3D" w14:textId="77777777" w:rsidTr="00935676">
        <w:trPr>
          <w:cantSplit/>
        </w:trPr>
        <w:tc>
          <w:tcPr>
            <w:tcW w:w="1696" w:type="dxa"/>
            <w:tcBorders>
              <w:left w:val="single" w:sz="4" w:space="0" w:color="auto"/>
            </w:tcBorders>
            <w:shd w:val="clear" w:color="auto" w:fill="auto"/>
          </w:tcPr>
          <w:p w14:paraId="1D581F48" w14:textId="77777777" w:rsidR="002A4DDF" w:rsidRPr="00937C8B" w:rsidRDefault="002A4DDF" w:rsidP="009110ED">
            <w:pPr>
              <w:rPr>
                <w:rFonts w:ascii="Arial" w:hAnsi="Arial" w:cs="Arial"/>
                <w:sz w:val="12"/>
                <w:szCs w:val="12"/>
              </w:rPr>
            </w:pPr>
          </w:p>
        </w:tc>
        <w:tc>
          <w:tcPr>
            <w:tcW w:w="1843" w:type="dxa"/>
            <w:shd w:val="clear" w:color="auto" w:fill="auto"/>
          </w:tcPr>
          <w:p w14:paraId="58B4DDA1" w14:textId="77777777" w:rsidR="002A4DDF" w:rsidRPr="00937C8B" w:rsidRDefault="002A4DDF" w:rsidP="009110ED">
            <w:pPr>
              <w:rPr>
                <w:rFonts w:ascii="Arial" w:hAnsi="Arial" w:cs="Arial"/>
                <w:sz w:val="12"/>
                <w:szCs w:val="12"/>
              </w:rPr>
            </w:pPr>
          </w:p>
        </w:tc>
        <w:tc>
          <w:tcPr>
            <w:tcW w:w="2268" w:type="dxa"/>
            <w:shd w:val="clear" w:color="auto" w:fill="F2F2F2"/>
            <w:hideMark/>
          </w:tcPr>
          <w:p w14:paraId="2DA7467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54779C2" w14:textId="77777777" w:rsidR="002A4DDF" w:rsidRPr="00937C8B" w:rsidRDefault="002A4DDF" w:rsidP="009110ED">
            <w:pPr>
              <w:rPr>
                <w:rFonts w:ascii="Arial" w:hAnsi="Arial" w:cs="Arial"/>
                <w:sz w:val="12"/>
                <w:szCs w:val="12"/>
              </w:rPr>
            </w:pPr>
            <w:r>
              <w:rPr>
                <w:rFonts w:ascii="Arial" w:hAnsi="Arial"/>
                <w:sz w:val="12"/>
                <w:szCs w:val="12"/>
              </w:rPr>
              <w:t>Santa Ana de Pusa</w:t>
            </w:r>
          </w:p>
        </w:tc>
      </w:tr>
      <w:tr w:rsidR="002A4DDF" w:rsidRPr="00937C8B" w14:paraId="2501FE25" w14:textId="77777777" w:rsidTr="00935676">
        <w:trPr>
          <w:cantSplit/>
        </w:trPr>
        <w:tc>
          <w:tcPr>
            <w:tcW w:w="1696" w:type="dxa"/>
            <w:tcBorders>
              <w:left w:val="single" w:sz="4" w:space="0" w:color="auto"/>
            </w:tcBorders>
            <w:shd w:val="clear" w:color="auto" w:fill="auto"/>
          </w:tcPr>
          <w:p w14:paraId="5FCC54C1" w14:textId="77777777" w:rsidR="002A4DDF" w:rsidRPr="00937C8B" w:rsidRDefault="002A4DDF" w:rsidP="009110ED">
            <w:pPr>
              <w:rPr>
                <w:rFonts w:ascii="Arial" w:hAnsi="Arial" w:cs="Arial"/>
                <w:sz w:val="12"/>
                <w:szCs w:val="12"/>
              </w:rPr>
            </w:pPr>
          </w:p>
        </w:tc>
        <w:tc>
          <w:tcPr>
            <w:tcW w:w="1843" w:type="dxa"/>
            <w:shd w:val="clear" w:color="auto" w:fill="auto"/>
          </w:tcPr>
          <w:p w14:paraId="3CDC67C6" w14:textId="77777777" w:rsidR="002A4DDF" w:rsidRPr="00937C8B" w:rsidRDefault="002A4DDF" w:rsidP="009110ED">
            <w:pPr>
              <w:rPr>
                <w:rFonts w:ascii="Arial" w:hAnsi="Arial" w:cs="Arial"/>
                <w:sz w:val="12"/>
                <w:szCs w:val="12"/>
              </w:rPr>
            </w:pPr>
          </w:p>
        </w:tc>
        <w:tc>
          <w:tcPr>
            <w:tcW w:w="2268" w:type="dxa"/>
            <w:shd w:val="clear" w:color="auto" w:fill="F2F2F2"/>
            <w:hideMark/>
          </w:tcPr>
          <w:p w14:paraId="6E85F3D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3E861F0" w14:textId="77777777" w:rsidR="002A4DDF" w:rsidRPr="00937C8B" w:rsidRDefault="002A4DDF" w:rsidP="009110ED">
            <w:pPr>
              <w:rPr>
                <w:rFonts w:ascii="Arial" w:hAnsi="Arial" w:cs="Arial"/>
                <w:sz w:val="12"/>
                <w:szCs w:val="12"/>
              </w:rPr>
            </w:pPr>
            <w:r>
              <w:rPr>
                <w:rFonts w:ascii="Arial" w:hAnsi="Arial"/>
                <w:sz w:val="12"/>
                <w:szCs w:val="12"/>
              </w:rPr>
              <w:t>Santa Cruz del Retamar</w:t>
            </w:r>
          </w:p>
        </w:tc>
      </w:tr>
      <w:tr w:rsidR="002A4DDF" w:rsidRPr="00937C8B" w14:paraId="7DA2AD51" w14:textId="77777777" w:rsidTr="00935676">
        <w:trPr>
          <w:cantSplit/>
        </w:trPr>
        <w:tc>
          <w:tcPr>
            <w:tcW w:w="1696" w:type="dxa"/>
            <w:tcBorders>
              <w:left w:val="single" w:sz="4" w:space="0" w:color="auto"/>
            </w:tcBorders>
            <w:shd w:val="clear" w:color="auto" w:fill="auto"/>
          </w:tcPr>
          <w:p w14:paraId="587F8FA1" w14:textId="77777777" w:rsidR="002A4DDF" w:rsidRPr="00937C8B" w:rsidRDefault="002A4DDF" w:rsidP="009110ED">
            <w:pPr>
              <w:rPr>
                <w:rFonts w:ascii="Arial" w:hAnsi="Arial" w:cs="Arial"/>
                <w:sz w:val="12"/>
                <w:szCs w:val="12"/>
              </w:rPr>
            </w:pPr>
          </w:p>
        </w:tc>
        <w:tc>
          <w:tcPr>
            <w:tcW w:w="1843" w:type="dxa"/>
            <w:shd w:val="clear" w:color="auto" w:fill="auto"/>
          </w:tcPr>
          <w:p w14:paraId="30B60A8D" w14:textId="77777777" w:rsidR="002A4DDF" w:rsidRPr="00937C8B" w:rsidRDefault="002A4DDF" w:rsidP="009110ED">
            <w:pPr>
              <w:rPr>
                <w:rFonts w:ascii="Arial" w:hAnsi="Arial" w:cs="Arial"/>
                <w:sz w:val="12"/>
                <w:szCs w:val="12"/>
              </w:rPr>
            </w:pPr>
          </w:p>
        </w:tc>
        <w:tc>
          <w:tcPr>
            <w:tcW w:w="2268" w:type="dxa"/>
            <w:shd w:val="clear" w:color="auto" w:fill="F2F2F2"/>
            <w:hideMark/>
          </w:tcPr>
          <w:p w14:paraId="52BF8EC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9D43930" w14:textId="77777777" w:rsidR="002A4DDF" w:rsidRPr="00937C8B" w:rsidRDefault="002A4DDF" w:rsidP="009110ED">
            <w:pPr>
              <w:rPr>
                <w:rFonts w:ascii="Arial" w:hAnsi="Arial" w:cs="Arial"/>
                <w:sz w:val="12"/>
                <w:szCs w:val="12"/>
              </w:rPr>
            </w:pPr>
            <w:r>
              <w:rPr>
                <w:rFonts w:ascii="Arial" w:hAnsi="Arial"/>
                <w:sz w:val="12"/>
                <w:szCs w:val="12"/>
              </w:rPr>
              <w:t>Sartajada</w:t>
            </w:r>
          </w:p>
        </w:tc>
      </w:tr>
      <w:tr w:rsidR="002A4DDF" w:rsidRPr="00937C8B" w14:paraId="5FBA4BAF" w14:textId="77777777" w:rsidTr="00935676">
        <w:trPr>
          <w:cantSplit/>
        </w:trPr>
        <w:tc>
          <w:tcPr>
            <w:tcW w:w="1696" w:type="dxa"/>
            <w:tcBorders>
              <w:left w:val="single" w:sz="4" w:space="0" w:color="auto"/>
            </w:tcBorders>
            <w:shd w:val="clear" w:color="auto" w:fill="auto"/>
          </w:tcPr>
          <w:p w14:paraId="64DFF62F" w14:textId="77777777" w:rsidR="002A4DDF" w:rsidRPr="00937C8B" w:rsidRDefault="002A4DDF" w:rsidP="009110ED">
            <w:pPr>
              <w:rPr>
                <w:rFonts w:ascii="Arial" w:hAnsi="Arial" w:cs="Arial"/>
                <w:sz w:val="12"/>
                <w:szCs w:val="12"/>
              </w:rPr>
            </w:pPr>
          </w:p>
        </w:tc>
        <w:tc>
          <w:tcPr>
            <w:tcW w:w="1843" w:type="dxa"/>
            <w:shd w:val="clear" w:color="auto" w:fill="auto"/>
          </w:tcPr>
          <w:p w14:paraId="7EF4495B" w14:textId="77777777" w:rsidR="002A4DDF" w:rsidRPr="00937C8B" w:rsidRDefault="002A4DDF" w:rsidP="009110ED">
            <w:pPr>
              <w:rPr>
                <w:rFonts w:ascii="Arial" w:hAnsi="Arial" w:cs="Arial"/>
                <w:sz w:val="12"/>
                <w:szCs w:val="12"/>
              </w:rPr>
            </w:pPr>
          </w:p>
        </w:tc>
        <w:tc>
          <w:tcPr>
            <w:tcW w:w="2268" w:type="dxa"/>
            <w:shd w:val="clear" w:color="auto" w:fill="F2F2F2"/>
            <w:hideMark/>
          </w:tcPr>
          <w:p w14:paraId="7CAF118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3416B32" w14:textId="77777777" w:rsidR="002A4DDF" w:rsidRPr="00937C8B" w:rsidRDefault="002A4DDF" w:rsidP="009110ED">
            <w:pPr>
              <w:rPr>
                <w:rFonts w:ascii="Arial" w:hAnsi="Arial" w:cs="Arial"/>
                <w:sz w:val="12"/>
                <w:szCs w:val="12"/>
              </w:rPr>
            </w:pPr>
            <w:r>
              <w:rPr>
                <w:rFonts w:ascii="Arial" w:hAnsi="Arial"/>
                <w:sz w:val="12"/>
                <w:szCs w:val="12"/>
              </w:rPr>
              <w:t>Segurilla</w:t>
            </w:r>
          </w:p>
        </w:tc>
      </w:tr>
      <w:tr w:rsidR="002A4DDF" w:rsidRPr="00937C8B" w14:paraId="6F13BF1B" w14:textId="77777777" w:rsidTr="00935676">
        <w:trPr>
          <w:cantSplit/>
        </w:trPr>
        <w:tc>
          <w:tcPr>
            <w:tcW w:w="1696" w:type="dxa"/>
            <w:tcBorders>
              <w:left w:val="single" w:sz="4" w:space="0" w:color="auto"/>
            </w:tcBorders>
            <w:shd w:val="clear" w:color="auto" w:fill="auto"/>
          </w:tcPr>
          <w:p w14:paraId="08F64F58" w14:textId="77777777" w:rsidR="002A4DDF" w:rsidRPr="00937C8B" w:rsidRDefault="002A4DDF" w:rsidP="009110ED">
            <w:pPr>
              <w:rPr>
                <w:rFonts w:ascii="Arial" w:hAnsi="Arial" w:cs="Arial"/>
                <w:sz w:val="12"/>
                <w:szCs w:val="12"/>
              </w:rPr>
            </w:pPr>
          </w:p>
        </w:tc>
        <w:tc>
          <w:tcPr>
            <w:tcW w:w="1843" w:type="dxa"/>
            <w:shd w:val="clear" w:color="auto" w:fill="auto"/>
          </w:tcPr>
          <w:p w14:paraId="6C4EA37B" w14:textId="77777777" w:rsidR="002A4DDF" w:rsidRPr="00937C8B" w:rsidRDefault="002A4DDF" w:rsidP="009110ED">
            <w:pPr>
              <w:rPr>
                <w:rFonts w:ascii="Arial" w:hAnsi="Arial" w:cs="Arial"/>
                <w:sz w:val="12"/>
                <w:szCs w:val="12"/>
              </w:rPr>
            </w:pPr>
          </w:p>
        </w:tc>
        <w:tc>
          <w:tcPr>
            <w:tcW w:w="2268" w:type="dxa"/>
            <w:shd w:val="clear" w:color="auto" w:fill="F2F2F2"/>
            <w:hideMark/>
          </w:tcPr>
          <w:p w14:paraId="1FE28E9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184CF5B" w14:textId="77777777" w:rsidR="002A4DDF" w:rsidRPr="00937C8B" w:rsidRDefault="002A4DDF" w:rsidP="009110ED">
            <w:pPr>
              <w:rPr>
                <w:rFonts w:ascii="Arial" w:hAnsi="Arial" w:cs="Arial"/>
                <w:sz w:val="12"/>
                <w:szCs w:val="12"/>
              </w:rPr>
            </w:pPr>
            <w:r>
              <w:rPr>
                <w:rFonts w:ascii="Arial" w:hAnsi="Arial"/>
                <w:sz w:val="12"/>
                <w:szCs w:val="12"/>
              </w:rPr>
              <w:t>Sevilleja de la Jara</w:t>
            </w:r>
          </w:p>
        </w:tc>
      </w:tr>
      <w:tr w:rsidR="002A4DDF" w:rsidRPr="00937C8B" w14:paraId="087A1326" w14:textId="77777777" w:rsidTr="00935676">
        <w:trPr>
          <w:cantSplit/>
        </w:trPr>
        <w:tc>
          <w:tcPr>
            <w:tcW w:w="1696" w:type="dxa"/>
            <w:tcBorders>
              <w:left w:val="single" w:sz="4" w:space="0" w:color="auto"/>
            </w:tcBorders>
            <w:shd w:val="clear" w:color="auto" w:fill="auto"/>
          </w:tcPr>
          <w:p w14:paraId="639761F9" w14:textId="77777777" w:rsidR="002A4DDF" w:rsidRPr="00937C8B" w:rsidRDefault="002A4DDF" w:rsidP="009110ED">
            <w:pPr>
              <w:rPr>
                <w:rFonts w:ascii="Arial" w:hAnsi="Arial" w:cs="Arial"/>
                <w:sz w:val="12"/>
                <w:szCs w:val="12"/>
              </w:rPr>
            </w:pPr>
          </w:p>
        </w:tc>
        <w:tc>
          <w:tcPr>
            <w:tcW w:w="1843" w:type="dxa"/>
            <w:shd w:val="clear" w:color="auto" w:fill="auto"/>
          </w:tcPr>
          <w:p w14:paraId="41966E57" w14:textId="77777777" w:rsidR="002A4DDF" w:rsidRPr="00937C8B" w:rsidRDefault="002A4DDF" w:rsidP="009110ED">
            <w:pPr>
              <w:rPr>
                <w:rFonts w:ascii="Arial" w:hAnsi="Arial" w:cs="Arial"/>
                <w:sz w:val="12"/>
                <w:szCs w:val="12"/>
              </w:rPr>
            </w:pPr>
          </w:p>
        </w:tc>
        <w:tc>
          <w:tcPr>
            <w:tcW w:w="2268" w:type="dxa"/>
            <w:shd w:val="clear" w:color="auto" w:fill="F2F2F2"/>
            <w:hideMark/>
          </w:tcPr>
          <w:p w14:paraId="4313D42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ABDA544" w14:textId="77777777" w:rsidR="002A4DDF" w:rsidRPr="00937C8B" w:rsidRDefault="002A4DDF" w:rsidP="009110ED">
            <w:pPr>
              <w:rPr>
                <w:rFonts w:ascii="Arial" w:hAnsi="Arial" w:cs="Arial"/>
                <w:sz w:val="12"/>
                <w:szCs w:val="12"/>
              </w:rPr>
            </w:pPr>
            <w:r>
              <w:rPr>
                <w:rFonts w:ascii="Arial" w:hAnsi="Arial"/>
                <w:sz w:val="12"/>
                <w:szCs w:val="12"/>
              </w:rPr>
              <w:t>Sonseca</w:t>
            </w:r>
          </w:p>
        </w:tc>
      </w:tr>
      <w:tr w:rsidR="002A4DDF" w:rsidRPr="00937C8B" w14:paraId="24523C38" w14:textId="77777777" w:rsidTr="00935676">
        <w:trPr>
          <w:cantSplit/>
        </w:trPr>
        <w:tc>
          <w:tcPr>
            <w:tcW w:w="1696" w:type="dxa"/>
            <w:tcBorders>
              <w:left w:val="single" w:sz="4" w:space="0" w:color="auto"/>
            </w:tcBorders>
            <w:shd w:val="clear" w:color="auto" w:fill="auto"/>
          </w:tcPr>
          <w:p w14:paraId="4E3D4C6E" w14:textId="77777777" w:rsidR="002A4DDF" w:rsidRPr="00937C8B" w:rsidRDefault="002A4DDF" w:rsidP="009110ED">
            <w:pPr>
              <w:rPr>
                <w:rFonts w:ascii="Arial" w:hAnsi="Arial" w:cs="Arial"/>
                <w:sz w:val="12"/>
                <w:szCs w:val="12"/>
              </w:rPr>
            </w:pPr>
          </w:p>
        </w:tc>
        <w:tc>
          <w:tcPr>
            <w:tcW w:w="1843" w:type="dxa"/>
            <w:shd w:val="clear" w:color="auto" w:fill="auto"/>
          </w:tcPr>
          <w:p w14:paraId="20A9F792" w14:textId="77777777" w:rsidR="002A4DDF" w:rsidRPr="00937C8B" w:rsidRDefault="002A4DDF" w:rsidP="009110ED">
            <w:pPr>
              <w:rPr>
                <w:rFonts w:ascii="Arial" w:hAnsi="Arial" w:cs="Arial"/>
                <w:sz w:val="12"/>
                <w:szCs w:val="12"/>
              </w:rPr>
            </w:pPr>
          </w:p>
        </w:tc>
        <w:tc>
          <w:tcPr>
            <w:tcW w:w="2268" w:type="dxa"/>
            <w:shd w:val="clear" w:color="auto" w:fill="F2F2F2"/>
            <w:hideMark/>
          </w:tcPr>
          <w:p w14:paraId="338B6D3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6E8996A" w14:textId="77777777" w:rsidR="002A4DDF" w:rsidRPr="00937C8B" w:rsidRDefault="002A4DDF" w:rsidP="009110ED">
            <w:pPr>
              <w:rPr>
                <w:rFonts w:ascii="Arial" w:hAnsi="Arial" w:cs="Arial"/>
                <w:sz w:val="12"/>
                <w:szCs w:val="12"/>
              </w:rPr>
            </w:pPr>
            <w:r>
              <w:rPr>
                <w:rFonts w:ascii="Arial" w:hAnsi="Arial"/>
                <w:sz w:val="12"/>
                <w:szCs w:val="12"/>
              </w:rPr>
              <w:t>Sotillo de las Palomas</w:t>
            </w:r>
          </w:p>
        </w:tc>
      </w:tr>
      <w:tr w:rsidR="002A4DDF" w:rsidRPr="00937C8B" w14:paraId="17996515" w14:textId="77777777" w:rsidTr="00935676">
        <w:trPr>
          <w:cantSplit/>
        </w:trPr>
        <w:tc>
          <w:tcPr>
            <w:tcW w:w="1696" w:type="dxa"/>
            <w:tcBorders>
              <w:left w:val="single" w:sz="4" w:space="0" w:color="auto"/>
            </w:tcBorders>
            <w:shd w:val="clear" w:color="auto" w:fill="auto"/>
          </w:tcPr>
          <w:p w14:paraId="01DCF97A" w14:textId="77777777" w:rsidR="002A4DDF" w:rsidRPr="00937C8B" w:rsidRDefault="002A4DDF" w:rsidP="009110ED">
            <w:pPr>
              <w:rPr>
                <w:rFonts w:ascii="Arial" w:hAnsi="Arial" w:cs="Arial"/>
                <w:sz w:val="12"/>
                <w:szCs w:val="12"/>
              </w:rPr>
            </w:pPr>
          </w:p>
        </w:tc>
        <w:tc>
          <w:tcPr>
            <w:tcW w:w="1843" w:type="dxa"/>
            <w:shd w:val="clear" w:color="auto" w:fill="auto"/>
          </w:tcPr>
          <w:p w14:paraId="155B7B97" w14:textId="77777777" w:rsidR="002A4DDF" w:rsidRPr="00937C8B" w:rsidRDefault="002A4DDF" w:rsidP="009110ED">
            <w:pPr>
              <w:rPr>
                <w:rFonts w:ascii="Arial" w:hAnsi="Arial" w:cs="Arial"/>
                <w:sz w:val="12"/>
                <w:szCs w:val="12"/>
              </w:rPr>
            </w:pPr>
          </w:p>
        </w:tc>
        <w:tc>
          <w:tcPr>
            <w:tcW w:w="2268" w:type="dxa"/>
            <w:shd w:val="clear" w:color="auto" w:fill="F2F2F2"/>
            <w:hideMark/>
          </w:tcPr>
          <w:p w14:paraId="71A1012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8B6604E" w14:textId="77777777" w:rsidR="002A4DDF" w:rsidRPr="00937C8B" w:rsidRDefault="002A4DDF" w:rsidP="009110ED">
            <w:pPr>
              <w:rPr>
                <w:rFonts w:ascii="Arial" w:hAnsi="Arial" w:cs="Arial"/>
                <w:sz w:val="12"/>
                <w:szCs w:val="12"/>
              </w:rPr>
            </w:pPr>
            <w:r>
              <w:rPr>
                <w:rFonts w:ascii="Arial" w:hAnsi="Arial"/>
                <w:sz w:val="12"/>
                <w:szCs w:val="12"/>
              </w:rPr>
              <w:t>Talavera de la Reina</w:t>
            </w:r>
          </w:p>
        </w:tc>
      </w:tr>
      <w:tr w:rsidR="002A4DDF" w:rsidRPr="00937C8B" w14:paraId="2B11D0CA" w14:textId="77777777" w:rsidTr="00935676">
        <w:trPr>
          <w:cantSplit/>
        </w:trPr>
        <w:tc>
          <w:tcPr>
            <w:tcW w:w="1696" w:type="dxa"/>
            <w:tcBorders>
              <w:left w:val="single" w:sz="4" w:space="0" w:color="auto"/>
            </w:tcBorders>
            <w:shd w:val="clear" w:color="auto" w:fill="auto"/>
          </w:tcPr>
          <w:p w14:paraId="72C79AD0" w14:textId="77777777" w:rsidR="002A4DDF" w:rsidRPr="00937C8B" w:rsidRDefault="002A4DDF" w:rsidP="009110ED">
            <w:pPr>
              <w:rPr>
                <w:rFonts w:ascii="Arial" w:hAnsi="Arial" w:cs="Arial"/>
                <w:sz w:val="12"/>
                <w:szCs w:val="12"/>
              </w:rPr>
            </w:pPr>
          </w:p>
        </w:tc>
        <w:tc>
          <w:tcPr>
            <w:tcW w:w="1843" w:type="dxa"/>
            <w:shd w:val="clear" w:color="auto" w:fill="auto"/>
          </w:tcPr>
          <w:p w14:paraId="6E8B02A3" w14:textId="77777777" w:rsidR="002A4DDF" w:rsidRPr="00937C8B" w:rsidRDefault="002A4DDF" w:rsidP="009110ED">
            <w:pPr>
              <w:rPr>
                <w:rFonts w:ascii="Arial" w:hAnsi="Arial" w:cs="Arial"/>
                <w:sz w:val="12"/>
                <w:szCs w:val="12"/>
              </w:rPr>
            </w:pPr>
          </w:p>
        </w:tc>
        <w:tc>
          <w:tcPr>
            <w:tcW w:w="2268" w:type="dxa"/>
            <w:shd w:val="clear" w:color="auto" w:fill="F2F2F2"/>
            <w:hideMark/>
          </w:tcPr>
          <w:p w14:paraId="65F128C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FB5C34A" w14:textId="77777777" w:rsidR="002A4DDF" w:rsidRPr="00937C8B" w:rsidRDefault="002A4DDF" w:rsidP="009110ED">
            <w:pPr>
              <w:rPr>
                <w:rFonts w:ascii="Arial" w:hAnsi="Arial" w:cs="Arial"/>
                <w:sz w:val="12"/>
                <w:szCs w:val="12"/>
              </w:rPr>
            </w:pPr>
            <w:r>
              <w:rPr>
                <w:rFonts w:ascii="Arial" w:hAnsi="Arial"/>
                <w:sz w:val="12"/>
                <w:szCs w:val="12"/>
              </w:rPr>
              <w:t>Tolède</w:t>
            </w:r>
          </w:p>
        </w:tc>
      </w:tr>
      <w:tr w:rsidR="002A4DDF" w:rsidRPr="00937C8B" w14:paraId="3C9156F4" w14:textId="77777777" w:rsidTr="00935676">
        <w:trPr>
          <w:cantSplit/>
        </w:trPr>
        <w:tc>
          <w:tcPr>
            <w:tcW w:w="1696" w:type="dxa"/>
            <w:tcBorders>
              <w:left w:val="single" w:sz="4" w:space="0" w:color="auto"/>
            </w:tcBorders>
            <w:shd w:val="clear" w:color="auto" w:fill="auto"/>
          </w:tcPr>
          <w:p w14:paraId="6583A63A" w14:textId="77777777" w:rsidR="002A4DDF" w:rsidRPr="00937C8B" w:rsidRDefault="002A4DDF" w:rsidP="009110ED">
            <w:pPr>
              <w:rPr>
                <w:rFonts w:ascii="Arial" w:hAnsi="Arial" w:cs="Arial"/>
                <w:sz w:val="12"/>
                <w:szCs w:val="12"/>
              </w:rPr>
            </w:pPr>
          </w:p>
        </w:tc>
        <w:tc>
          <w:tcPr>
            <w:tcW w:w="1843" w:type="dxa"/>
            <w:shd w:val="clear" w:color="auto" w:fill="auto"/>
          </w:tcPr>
          <w:p w14:paraId="068CFEE7" w14:textId="77777777" w:rsidR="002A4DDF" w:rsidRPr="00937C8B" w:rsidRDefault="002A4DDF" w:rsidP="009110ED">
            <w:pPr>
              <w:rPr>
                <w:rFonts w:ascii="Arial" w:hAnsi="Arial" w:cs="Arial"/>
                <w:sz w:val="12"/>
                <w:szCs w:val="12"/>
              </w:rPr>
            </w:pPr>
          </w:p>
        </w:tc>
        <w:tc>
          <w:tcPr>
            <w:tcW w:w="2268" w:type="dxa"/>
            <w:shd w:val="clear" w:color="auto" w:fill="F2F2F2"/>
            <w:hideMark/>
          </w:tcPr>
          <w:p w14:paraId="6A1B92B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ED99762" w14:textId="77777777" w:rsidR="002A4DDF" w:rsidRPr="00937C8B" w:rsidRDefault="002A4DDF" w:rsidP="009110ED">
            <w:pPr>
              <w:rPr>
                <w:rFonts w:ascii="Arial" w:hAnsi="Arial" w:cs="Arial"/>
                <w:sz w:val="12"/>
                <w:szCs w:val="12"/>
              </w:rPr>
            </w:pPr>
            <w:r>
              <w:rPr>
                <w:rFonts w:ascii="Arial" w:hAnsi="Arial"/>
                <w:sz w:val="12"/>
                <w:szCs w:val="12"/>
              </w:rPr>
              <w:t>Torrecilla de la Jara</w:t>
            </w:r>
          </w:p>
        </w:tc>
      </w:tr>
      <w:tr w:rsidR="002A4DDF" w:rsidRPr="00937C8B" w14:paraId="439FE275" w14:textId="77777777" w:rsidTr="00935676">
        <w:trPr>
          <w:cantSplit/>
        </w:trPr>
        <w:tc>
          <w:tcPr>
            <w:tcW w:w="1696" w:type="dxa"/>
            <w:tcBorders>
              <w:left w:val="single" w:sz="4" w:space="0" w:color="auto"/>
            </w:tcBorders>
            <w:shd w:val="clear" w:color="auto" w:fill="auto"/>
          </w:tcPr>
          <w:p w14:paraId="2EC1AC01" w14:textId="77777777" w:rsidR="002A4DDF" w:rsidRPr="00937C8B" w:rsidRDefault="002A4DDF" w:rsidP="009110ED">
            <w:pPr>
              <w:rPr>
                <w:rFonts w:ascii="Arial" w:hAnsi="Arial" w:cs="Arial"/>
                <w:sz w:val="12"/>
                <w:szCs w:val="12"/>
              </w:rPr>
            </w:pPr>
          </w:p>
        </w:tc>
        <w:tc>
          <w:tcPr>
            <w:tcW w:w="1843" w:type="dxa"/>
            <w:shd w:val="clear" w:color="auto" w:fill="auto"/>
          </w:tcPr>
          <w:p w14:paraId="56F06247" w14:textId="77777777" w:rsidR="002A4DDF" w:rsidRPr="00937C8B" w:rsidRDefault="002A4DDF" w:rsidP="009110ED">
            <w:pPr>
              <w:rPr>
                <w:rFonts w:ascii="Arial" w:hAnsi="Arial" w:cs="Arial"/>
                <w:sz w:val="12"/>
                <w:szCs w:val="12"/>
              </w:rPr>
            </w:pPr>
          </w:p>
        </w:tc>
        <w:tc>
          <w:tcPr>
            <w:tcW w:w="2268" w:type="dxa"/>
            <w:shd w:val="clear" w:color="auto" w:fill="F2F2F2"/>
            <w:hideMark/>
          </w:tcPr>
          <w:p w14:paraId="5EF7154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7F95788" w14:textId="77777777" w:rsidR="002A4DDF" w:rsidRPr="00937C8B" w:rsidRDefault="002A4DDF" w:rsidP="009110ED">
            <w:pPr>
              <w:rPr>
                <w:rFonts w:ascii="Arial" w:hAnsi="Arial" w:cs="Arial"/>
                <w:sz w:val="12"/>
                <w:szCs w:val="12"/>
              </w:rPr>
            </w:pPr>
            <w:r>
              <w:rPr>
                <w:rFonts w:ascii="Arial" w:hAnsi="Arial"/>
                <w:sz w:val="12"/>
                <w:szCs w:val="12"/>
              </w:rPr>
              <w:t>Torrico</w:t>
            </w:r>
          </w:p>
        </w:tc>
      </w:tr>
      <w:tr w:rsidR="002A4DDF" w:rsidRPr="00937C8B" w14:paraId="109A2B15" w14:textId="77777777" w:rsidTr="00935676">
        <w:trPr>
          <w:cantSplit/>
        </w:trPr>
        <w:tc>
          <w:tcPr>
            <w:tcW w:w="1696" w:type="dxa"/>
            <w:tcBorders>
              <w:left w:val="single" w:sz="4" w:space="0" w:color="auto"/>
            </w:tcBorders>
            <w:shd w:val="clear" w:color="auto" w:fill="auto"/>
          </w:tcPr>
          <w:p w14:paraId="67BF8B7A" w14:textId="77777777" w:rsidR="002A4DDF" w:rsidRPr="00937C8B" w:rsidRDefault="002A4DDF" w:rsidP="009110ED">
            <w:pPr>
              <w:rPr>
                <w:rFonts w:ascii="Arial" w:hAnsi="Arial" w:cs="Arial"/>
                <w:sz w:val="12"/>
                <w:szCs w:val="12"/>
              </w:rPr>
            </w:pPr>
          </w:p>
        </w:tc>
        <w:tc>
          <w:tcPr>
            <w:tcW w:w="1843" w:type="dxa"/>
            <w:shd w:val="clear" w:color="auto" w:fill="auto"/>
          </w:tcPr>
          <w:p w14:paraId="3A56B384" w14:textId="77777777" w:rsidR="002A4DDF" w:rsidRPr="00937C8B" w:rsidRDefault="002A4DDF" w:rsidP="009110ED">
            <w:pPr>
              <w:rPr>
                <w:rFonts w:ascii="Arial" w:hAnsi="Arial" w:cs="Arial"/>
                <w:sz w:val="12"/>
                <w:szCs w:val="12"/>
              </w:rPr>
            </w:pPr>
          </w:p>
        </w:tc>
        <w:tc>
          <w:tcPr>
            <w:tcW w:w="2268" w:type="dxa"/>
            <w:shd w:val="clear" w:color="auto" w:fill="F2F2F2"/>
            <w:hideMark/>
          </w:tcPr>
          <w:p w14:paraId="2B31B3E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CCEB247" w14:textId="77777777" w:rsidR="002A4DDF" w:rsidRPr="00937C8B" w:rsidRDefault="002A4DDF" w:rsidP="009110ED">
            <w:pPr>
              <w:rPr>
                <w:rFonts w:ascii="Arial" w:hAnsi="Arial" w:cs="Arial"/>
                <w:sz w:val="12"/>
                <w:szCs w:val="12"/>
              </w:rPr>
            </w:pPr>
            <w:r>
              <w:rPr>
                <w:rFonts w:ascii="Arial" w:hAnsi="Arial"/>
                <w:sz w:val="12"/>
                <w:szCs w:val="12"/>
              </w:rPr>
              <w:t>Torrijos</w:t>
            </w:r>
          </w:p>
        </w:tc>
      </w:tr>
      <w:tr w:rsidR="002A4DDF" w:rsidRPr="00937C8B" w14:paraId="05A9A3C2" w14:textId="77777777" w:rsidTr="00935676">
        <w:trPr>
          <w:cantSplit/>
        </w:trPr>
        <w:tc>
          <w:tcPr>
            <w:tcW w:w="1696" w:type="dxa"/>
            <w:tcBorders>
              <w:left w:val="single" w:sz="4" w:space="0" w:color="auto"/>
            </w:tcBorders>
            <w:shd w:val="clear" w:color="auto" w:fill="auto"/>
          </w:tcPr>
          <w:p w14:paraId="05737D94" w14:textId="77777777" w:rsidR="002A4DDF" w:rsidRPr="00937C8B" w:rsidRDefault="002A4DDF" w:rsidP="009110ED">
            <w:pPr>
              <w:rPr>
                <w:rFonts w:ascii="Arial" w:hAnsi="Arial" w:cs="Arial"/>
                <w:sz w:val="12"/>
                <w:szCs w:val="12"/>
              </w:rPr>
            </w:pPr>
          </w:p>
        </w:tc>
        <w:tc>
          <w:tcPr>
            <w:tcW w:w="1843" w:type="dxa"/>
            <w:shd w:val="clear" w:color="auto" w:fill="auto"/>
          </w:tcPr>
          <w:p w14:paraId="3AA54C0A" w14:textId="77777777" w:rsidR="002A4DDF" w:rsidRPr="00937C8B" w:rsidRDefault="002A4DDF" w:rsidP="009110ED">
            <w:pPr>
              <w:rPr>
                <w:rFonts w:ascii="Arial" w:hAnsi="Arial" w:cs="Arial"/>
                <w:sz w:val="12"/>
                <w:szCs w:val="12"/>
              </w:rPr>
            </w:pPr>
          </w:p>
        </w:tc>
        <w:tc>
          <w:tcPr>
            <w:tcW w:w="2268" w:type="dxa"/>
            <w:shd w:val="clear" w:color="auto" w:fill="F2F2F2"/>
            <w:hideMark/>
          </w:tcPr>
          <w:p w14:paraId="7262FB1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A478AEE" w14:textId="77777777" w:rsidR="002A4DDF" w:rsidRPr="00937C8B" w:rsidRDefault="002A4DDF" w:rsidP="009110ED">
            <w:pPr>
              <w:rPr>
                <w:rFonts w:ascii="Arial" w:hAnsi="Arial" w:cs="Arial"/>
                <w:sz w:val="12"/>
                <w:szCs w:val="12"/>
              </w:rPr>
            </w:pPr>
            <w:r>
              <w:rPr>
                <w:rFonts w:ascii="Arial" w:hAnsi="Arial"/>
                <w:sz w:val="12"/>
                <w:szCs w:val="12"/>
              </w:rPr>
              <w:t>Totanés</w:t>
            </w:r>
          </w:p>
        </w:tc>
      </w:tr>
      <w:tr w:rsidR="002A4DDF" w:rsidRPr="00937C8B" w14:paraId="29525337" w14:textId="77777777" w:rsidTr="00935676">
        <w:trPr>
          <w:cantSplit/>
        </w:trPr>
        <w:tc>
          <w:tcPr>
            <w:tcW w:w="1696" w:type="dxa"/>
            <w:tcBorders>
              <w:left w:val="single" w:sz="4" w:space="0" w:color="auto"/>
            </w:tcBorders>
            <w:shd w:val="clear" w:color="auto" w:fill="auto"/>
          </w:tcPr>
          <w:p w14:paraId="57FBEE0A" w14:textId="77777777" w:rsidR="002A4DDF" w:rsidRPr="00937C8B" w:rsidRDefault="002A4DDF" w:rsidP="009110ED">
            <w:pPr>
              <w:rPr>
                <w:rFonts w:ascii="Arial" w:hAnsi="Arial" w:cs="Arial"/>
                <w:sz w:val="12"/>
                <w:szCs w:val="12"/>
              </w:rPr>
            </w:pPr>
          </w:p>
        </w:tc>
        <w:tc>
          <w:tcPr>
            <w:tcW w:w="1843" w:type="dxa"/>
            <w:shd w:val="clear" w:color="auto" w:fill="auto"/>
          </w:tcPr>
          <w:p w14:paraId="76E7E80C" w14:textId="77777777" w:rsidR="002A4DDF" w:rsidRPr="00937C8B" w:rsidRDefault="002A4DDF" w:rsidP="009110ED">
            <w:pPr>
              <w:rPr>
                <w:rFonts w:ascii="Arial" w:hAnsi="Arial" w:cs="Arial"/>
                <w:sz w:val="12"/>
                <w:szCs w:val="12"/>
              </w:rPr>
            </w:pPr>
          </w:p>
        </w:tc>
        <w:tc>
          <w:tcPr>
            <w:tcW w:w="2268" w:type="dxa"/>
            <w:shd w:val="clear" w:color="auto" w:fill="F2F2F2"/>
            <w:hideMark/>
          </w:tcPr>
          <w:p w14:paraId="39BDFC3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881742A" w14:textId="77777777" w:rsidR="002A4DDF" w:rsidRPr="00937C8B" w:rsidRDefault="002A4DDF" w:rsidP="009110ED">
            <w:pPr>
              <w:rPr>
                <w:rFonts w:ascii="Arial" w:hAnsi="Arial" w:cs="Arial"/>
                <w:sz w:val="12"/>
                <w:szCs w:val="12"/>
              </w:rPr>
            </w:pPr>
            <w:r>
              <w:rPr>
                <w:rFonts w:ascii="Arial" w:hAnsi="Arial"/>
                <w:sz w:val="12"/>
                <w:szCs w:val="12"/>
              </w:rPr>
              <w:t>Valdeverdeja</w:t>
            </w:r>
          </w:p>
        </w:tc>
      </w:tr>
      <w:tr w:rsidR="002A4DDF" w:rsidRPr="00937C8B" w14:paraId="42234585" w14:textId="77777777" w:rsidTr="00935676">
        <w:trPr>
          <w:cantSplit/>
        </w:trPr>
        <w:tc>
          <w:tcPr>
            <w:tcW w:w="1696" w:type="dxa"/>
            <w:tcBorders>
              <w:left w:val="single" w:sz="4" w:space="0" w:color="auto"/>
            </w:tcBorders>
            <w:shd w:val="clear" w:color="auto" w:fill="auto"/>
          </w:tcPr>
          <w:p w14:paraId="564F244B" w14:textId="77777777" w:rsidR="002A4DDF" w:rsidRPr="00937C8B" w:rsidRDefault="002A4DDF" w:rsidP="009110ED">
            <w:pPr>
              <w:rPr>
                <w:rFonts w:ascii="Arial" w:hAnsi="Arial" w:cs="Arial"/>
                <w:sz w:val="12"/>
                <w:szCs w:val="12"/>
              </w:rPr>
            </w:pPr>
          </w:p>
        </w:tc>
        <w:tc>
          <w:tcPr>
            <w:tcW w:w="1843" w:type="dxa"/>
            <w:shd w:val="clear" w:color="auto" w:fill="auto"/>
          </w:tcPr>
          <w:p w14:paraId="35303DBE" w14:textId="77777777" w:rsidR="002A4DDF" w:rsidRPr="00937C8B" w:rsidRDefault="002A4DDF" w:rsidP="009110ED">
            <w:pPr>
              <w:rPr>
                <w:rFonts w:ascii="Arial" w:hAnsi="Arial" w:cs="Arial"/>
                <w:sz w:val="12"/>
                <w:szCs w:val="12"/>
              </w:rPr>
            </w:pPr>
          </w:p>
        </w:tc>
        <w:tc>
          <w:tcPr>
            <w:tcW w:w="2268" w:type="dxa"/>
            <w:shd w:val="clear" w:color="auto" w:fill="F2F2F2"/>
            <w:hideMark/>
          </w:tcPr>
          <w:p w14:paraId="16BD7C7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E5C9DEB" w14:textId="77777777" w:rsidR="002A4DDF" w:rsidRPr="00937C8B" w:rsidRDefault="002A4DDF" w:rsidP="009110ED">
            <w:pPr>
              <w:rPr>
                <w:rFonts w:ascii="Arial" w:hAnsi="Arial" w:cs="Arial"/>
                <w:sz w:val="12"/>
                <w:szCs w:val="12"/>
              </w:rPr>
            </w:pPr>
            <w:r>
              <w:rPr>
                <w:rFonts w:ascii="Arial" w:hAnsi="Arial"/>
                <w:sz w:val="12"/>
                <w:szCs w:val="12"/>
              </w:rPr>
              <w:t>Valmojado</w:t>
            </w:r>
          </w:p>
        </w:tc>
      </w:tr>
      <w:tr w:rsidR="002A4DDF" w:rsidRPr="00937C8B" w14:paraId="6352C849" w14:textId="77777777" w:rsidTr="00935676">
        <w:trPr>
          <w:cantSplit/>
        </w:trPr>
        <w:tc>
          <w:tcPr>
            <w:tcW w:w="1696" w:type="dxa"/>
            <w:tcBorders>
              <w:left w:val="single" w:sz="4" w:space="0" w:color="auto"/>
            </w:tcBorders>
            <w:shd w:val="clear" w:color="auto" w:fill="auto"/>
          </w:tcPr>
          <w:p w14:paraId="5E2ED09D" w14:textId="77777777" w:rsidR="002A4DDF" w:rsidRPr="00937C8B" w:rsidRDefault="002A4DDF" w:rsidP="009110ED">
            <w:pPr>
              <w:rPr>
                <w:rFonts w:ascii="Arial" w:hAnsi="Arial" w:cs="Arial"/>
                <w:sz w:val="12"/>
                <w:szCs w:val="12"/>
              </w:rPr>
            </w:pPr>
          </w:p>
        </w:tc>
        <w:tc>
          <w:tcPr>
            <w:tcW w:w="1843" w:type="dxa"/>
            <w:shd w:val="clear" w:color="auto" w:fill="auto"/>
          </w:tcPr>
          <w:p w14:paraId="4505F3F2" w14:textId="77777777" w:rsidR="002A4DDF" w:rsidRPr="00937C8B" w:rsidRDefault="002A4DDF" w:rsidP="009110ED">
            <w:pPr>
              <w:rPr>
                <w:rFonts w:ascii="Arial" w:hAnsi="Arial" w:cs="Arial"/>
                <w:sz w:val="12"/>
                <w:szCs w:val="12"/>
              </w:rPr>
            </w:pPr>
          </w:p>
        </w:tc>
        <w:tc>
          <w:tcPr>
            <w:tcW w:w="2268" w:type="dxa"/>
            <w:shd w:val="clear" w:color="auto" w:fill="F2F2F2"/>
            <w:hideMark/>
          </w:tcPr>
          <w:p w14:paraId="106C6DB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ABB0245" w14:textId="77777777" w:rsidR="002A4DDF" w:rsidRPr="00937C8B" w:rsidRDefault="002A4DDF" w:rsidP="009110ED">
            <w:pPr>
              <w:rPr>
                <w:rFonts w:ascii="Arial" w:hAnsi="Arial" w:cs="Arial"/>
                <w:sz w:val="12"/>
                <w:szCs w:val="12"/>
              </w:rPr>
            </w:pPr>
            <w:r>
              <w:rPr>
                <w:rFonts w:ascii="Arial" w:hAnsi="Arial"/>
                <w:sz w:val="12"/>
                <w:szCs w:val="12"/>
              </w:rPr>
              <w:t>Velada</w:t>
            </w:r>
          </w:p>
        </w:tc>
      </w:tr>
      <w:tr w:rsidR="002A4DDF" w:rsidRPr="00937C8B" w14:paraId="0D0B78E8" w14:textId="77777777" w:rsidTr="00935676">
        <w:trPr>
          <w:cantSplit/>
        </w:trPr>
        <w:tc>
          <w:tcPr>
            <w:tcW w:w="1696" w:type="dxa"/>
            <w:tcBorders>
              <w:left w:val="single" w:sz="4" w:space="0" w:color="auto"/>
            </w:tcBorders>
            <w:shd w:val="clear" w:color="auto" w:fill="auto"/>
          </w:tcPr>
          <w:p w14:paraId="79DA93B3" w14:textId="77777777" w:rsidR="002A4DDF" w:rsidRPr="00937C8B" w:rsidRDefault="002A4DDF" w:rsidP="009110ED">
            <w:pPr>
              <w:rPr>
                <w:rFonts w:ascii="Arial" w:hAnsi="Arial" w:cs="Arial"/>
                <w:sz w:val="12"/>
                <w:szCs w:val="12"/>
              </w:rPr>
            </w:pPr>
          </w:p>
        </w:tc>
        <w:tc>
          <w:tcPr>
            <w:tcW w:w="1843" w:type="dxa"/>
            <w:shd w:val="clear" w:color="auto" w:fill="auto"/>
          </w:tcPr>
          <w:p w14:paraId="51612B8B" w14:textId="77777777" w:rsidR="002A4DDF" w:rsidRPr="00937C8B" w:rsidRDefault="002A4DDF" w:rsidP="009110ED">
            <w:pPr>
              <w:rPr>
                <w:rFonts w:ascii="Arial" w:hAnsi="Arial" w:cs="Arial"/>
                <w:sz w:val="12"/>
                <w:szCs w:val="12"/>
              </w:rPr>
            </w:pPr>
          </w:p>
        </w:tc>
        <w:tc>
          <w:tcPr>
            <w:tcW w:w="2268" w:type="dxa"/>
            <w:shd w:val="clear" w:color="auto" w:fill="F2F2F2"/>
            <w:hideMark/>
          </w:tcPr>
          <w:p w14:paraId="17D0548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E47A180" w14:textId="77777777" w:rsidR="002A4DDF" w:rsidRPr="00937C8B" w:rsidRDefault="002A4DDF" w:rsidP="009110ED">
            <w:pPr>
              <w:rPr>
                <w:rFonts w:ascii="Arial" w:hAnsi="Arial" w:cs="Arial"/>
                <w:sz w:val="12"/>
                <w:szCs w:val="12"/>
              </w:rPr>
            </w:pPr>
            <w:r>
              <w:rPr>
                <w:rFonts w:ascii="Arial" w:hAnsi="Arial"/>
                <w:sz w:val="12"/>
                <w:szCs w:val="12"/>
              </w:rPr>
              <w:t>Villaminaya</w:t>
            </w:r>
          </w:p>
        </w:tc>
      </w:tr>
      <w:tr w:rsidR="002A4DDF" w:rsidRPr="00937C8B" w14:paraId="2CC4E828" w14:textId="77777777" w:rsidTr="00935676">
        <w:trPr>
          <w:cantSplit/>
        </w:trPr>
        <w:tc>
          <w:tcPr>
            <w:tcW w:w="1696" w:type="dxa"/>
            <w:tcBorders>
              <w:left w:val="single" w:sz="4" w:space="0" w:color="auto"/>
            </w:tcBorders>
            <w:shd w:val="clear" w:color="auto" w:fill="auto"/>
          </w:tcPr>
          <w:p w14:paraId="0C2A01C0" w14:textId="77777777" w:rsidR="002A4DDF" w:rsidRPr="00937C8B" w:rsidRDefault="002A4DDF" w:rsidP="009110ED">
            <w:pPr>
              <w:rPr>
                <w:rFonts w:ascii="Arial" w:hAnsi="Arial" w:cs="Arial"/>
                <w:sz w:val="12"/>
                <w:szCs w:val="12"/>
              </w:rPr>
            </w:pPr>
          </w:p>
        </w:tc>
        <w:tc>
          <w:tcPr>
            <w:tcW w:w="1843" w:type="dxa"/>
            <w:shd w:val="clear" w:color="auto" w:fill="auto"/>
          </w:tcPr>
          <w:p w14:paraId="4291CF55" w14:textId="77777777" w:rsidR="002A4DDF" w:rsidRPr="00937C8B" w:rsidRDefault="002A4DDF" w:rsidP="009110ED">
            <w:pPr>
              <w:rPr>
                <w:rFonts w:ascii="Arial" w:hAnsi="Arial" w:cs="Arial"/>
                <w:sz w:val="12"/>
                <w:szCs w:val="12"/>
              </w:rPr>
            </w:pPr>
          </w:p>
        </w:tc>
        <w:tc>
          <w:tcPr>
            <w:tcW w:w="2268" w:type="dxa"/>
            <w:shd w:val="clear" w:color="auto" w:fill="F2F2F2"/>
            <w:hideMark/>
          </w:tcPr>
          <w:p w14:paraId="6ECBCCA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B768479" w14:textId="77777777" w:rsidR="002A4DDF" w:rsidRPr="00937C8B" w:rsidRDefault="002A4DDF" w:rsidP="009110ED">
            <w:pPr>
              <w:rPr>
                <w:rFonts w:ascii="Arial" w:hAnsi="Arial" w:cs="Arial"/>
                <w:sz w:val="12"/>
                <w:szCs w:val="12"/>
              </w:rPr>
            </w:pPr>
            <w:r>
              <w:rPr>
                <w:rFonts w:ascii="Arial" w:hAnsi="Arial"/>
                <w:sz w:val="12"/>
                <w:szCs w:val="12"/>
              </w:rPr>
              <w:t>Villamuelas</w:t>
            </w:r>
          </w:p>
        </w:tc>
      </w:tr>
      <w:tr w:rsidR="002A4DDF" w:rsidRPr="00937C8B" w14:paraId="5FB11C7B" w14:textId="77777777" w:rsidTr="00935676">
        <w:trPr>
          <w:cantSplit/>
        </w:trPr>
        <w:tc>
          <w:tcPr>
            <w:tcW w:w="1696" w:type="dxa"/>
            <w:tcBorders>
              <w:left w:val="single" w:sz="4" w:space="0" w:color="auto"/>
            </w:tcBorders>
            <w:shd w:val="clear" w:color="auto" w:fill="auto"/>
          </w:tcPr>
          <w:p w14:paraId="190B03FA" w14:textId="77777777" w:rsidR="002A4DDF" w:rsidRPr="00937C8B" w:rsidRDefault="002A4DDF" w:rsidP="009110ED">
            <w:pPr>
              <w:rPr>
                <w:rFonts w:ascii="Arial" w:hAnsi="Arial" w:cs="Arial"/>
                <w:sz w:val="12"/>
                <w:szCs w:val="12"/>
              </w:rPr>
            </w:pPr>
          </w:p>
        </w:tc>
        <w:tc>
          <w:tcPr>
            <w:tcW w:w="1843" w:type="dxa"/>
            <w:shd w:val="clear" w:color="auto" w:fill="auto"/>
          </w:tcPr>
          <w:p w14:paraId="56A43F32" w14:textId="77777777" w:rsidR="002A4DDF" w:rsidRPr="00937C8B" w:rsidRDefault="002A4DDF" w:rsidP="009110ED">
            <w:pPr>
              <w:rPr>
                <w:rFonts w:ascii="Arial" w:hAnsi="Arial" w:cs="Arial"/>
                <w:sz w:val="12"/>
                <w:szCs w:val="12"/>
              </w:rPr>
            </w:pPr>
          </w:p>
        </w:tc>
        <w:tc>
          <w:tcPr>
            <w:tcW w:w="2268" w:type="dxa"/>
            <w:shd w:val="clear" w:color="auto" w:fill="F2F2F2"/>
            <w:hideMark/>
          </w:tcPr>
          <w:p w14:paraId="761955E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501589B" w14:textId="77777777" w:rsidR="002A4DDF" w:rsidRPr="00937C8B" w:rsidRDefault="002A4DDF" w:rsidP="009110ED">
            <w:pPr>
              <w:rPr>
                <w:rFonts w:ascii="Arial" w:hAnsi="Arial" w:cs="Arial"/>
                <w:sz w:val="12"/>
                <w:szCs w:val="12"/>
              </w:rPr>
            </w:pPr>
            <w:r>
              <w:rPr>
                <w:rFonts w:ascii="Arial" w:hAnsi="Arial"/>
                <w:sz w:val="12"/>
                <w:szCs w:val="12"/>
              </w:rPr>
              <w:t>Villanueva de Bogas</w:t>
            </w:r>
          </w:p>
        </w:tc>
      </w:tr>
      <w:tr w:rsidR="002A4DDF" w:rsidRPr="00937C8B" w14:paraId="081915CB" w14:textId="77777777" w:rsidTr="00935676">
        <w:trPr>
          <w:cantSplit/>
        </w:trPr>
        <w:tc>
          <w:tcPr>
            <w:tcW w:w="1696" w:type="dxa"/>
            <w:tcBorders>
              <w:left w:val="single" w:sz="4" w:space="0" w:color="auto"/>
            </w:tcBorders>
            <w:shd w:val="clear" w:color="auto" w:fill="auto"/>
          </w:tcPr>
          <w:p w14:paraId="289E8349" w14:textId="77777777" w:rsidR="002A4DDF" w:rsidRPr="00937C8B" w:rsidRDefault="002A4DDF" w:rsidP="009110ED">
            <w:pPr>
              <w:rPr>
                <w:rFonts w:ascii="Arial" w:hAnsi="Arial" w:cs="Arial"/>
                <w:sz w:val="12"/>
                <w:szCs w:val="12"/>
              </w:rPr>
            </w:pPr>
          </w:p>
        </w:tc>
        <w:tc>
          <w:tcPr>
            <w:tcW w:w="1843" w:type="dxa"/>
            <w:shd w:val="clear" w:color="auto" w:fill="auto"/>
          </w:tcPr>
          <w:p w14:paraId="641F50DF" w14:textId="77777777" w:rsidR="002A4DDF" w:rsidRPr="00937C8B" w:rsidRDefault="002A4DDF" w:rsidP="009110ED">
            <w:pPr>
              <w:rPr>
                <w:rFonts w:ascii="Arial" w:hAnsi="Arial" w:cs="Arial"/>
                <w:sz w:val="12"/>
                <w:szCs w:val="12"/>
              </w:rPr>
            </w:pPr>
          </w:p>
        </w:tc>
        <w:tc>
          <w:tcPr>
            <w:tcW w:w="2268" w:type="dxa"/>
            <w:shd w:val="clear" w:color="auto" w:fill="F2F2F2"/>
            <w:hideMark/>
          </w:tcPr>
          <w:p w14:paraId="206E748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879EA2A" w14:textId="77777777" w:rsidR="002A4DDF" w:rsidRPr="00937C8B" w:rsidRDefault="002A4DDF" w:rsidP="009110ED">
            <w:pPr>
              <w:rPr>
                <w:rFonts w:ascii="Arial" w:hAnsi="Arial" w:cs="Arial"/>
                <w:sz w:val="12"/>
                <w:szCs w:val="12"/>
              </w:rPr>
            </w:pPr>
            <w:r>
              <w:rPr>
                <w:rFonts w:ascii="Arial" w:hAnsi="Arial"/>
                <w:sz w:val="12"/>
                <w:szCs w:val="12"/>
              </w:rPr>
              <w:t>Villarejo de Montalbán</w:t>
            </w:r>
          </w:p>
        </w:tc>
      </w:tr>
      <w:tr w:rsidR="002A4DDF" w:rsidRPr="00937C8B" w14:paraId="6D1323C2" w14:textId="77777777" w:rsidTr="00935676">
        <w:trPr>
          <w:cantSplit/>
        </w:trPr>
        <w:tc>
          <w:tcPr>
            <w:tcW w:w="1696" w:type="dxa"/>
            <w:tcBorders>
              <w:left w:val="single" w:sz="4" w:space="0" w:color="auto"/>
            </w:tcBorders>
            <w:shd w:val="clear" w:color="auto" w:fill="auto"/>
          </w:tcPr>
          <w:p w14:paraId="4565B9A1" w14:textId="77777777" w:rsidR="002A4DDF" w:rsidRPr="00937C8B" w:rsidRDefault="002A4DDF" w:rsidP="009110ED">
            <w:pPr>
              <w:rPr>
                <w:rFonts w:ascii="Arial" w:hAnsi="Arial" w:cs="Arial"/>
                <w:sz w:val="12"/>
                <w:szCs w:val="12"/>
              </w:rPr>
            </w:pPr>
          </w:p>
        </w:tc>
        <w:tc>
          <w:tcPr>
            <w:tcW w:w="1843" w:type="dxa"/>
            <w:shd w:val="clear" w:color="auto" w:fill="auto"/>
          </w:tcPr>
          <w:p w14:paraId="6A8F27C2" w14:textId="77777777" w:rsidR="002A4DDF" w:rsidRPr="00937C8B" w:rsidRDefault="002A4DDF" w:rsidP="009110ED">
            <w:pPr>
              <w:rPr>
                <w:rFonts w:ascii="Arial" w:hAnsi="Arial" w:cs="Arial"/>
                <w:sz w:val="12"/>
                <w:szCs w:val="12"/>
              </w:rPr>
            </w:pPr>
          </w:p>
        </w:tc>
        <w:tc>
          <w:tcPr>
            <w:tcW w:w="2268" w:type="dxa"/>
            <w:shd w:val="clear" w:color="auto" w:fill="F2F2F2"/>
            <w:hideMark/>
          </w:tcPr>
          <w:p w14:paraId="10F5284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815F2DF" w14:textId="77777777" w:rsidR="002A4DDF" w:rsidRPr="00937C8B" w:rsidRDefault="002A4DDF" w:rsidP="009110ED">
            <w:pPr>
              <w:rPr>
                <w:rFonts w:ascii="Arial" w:hAnsi="Arial" w:cs="Arial"/>
                <w:sz w:val="12"/>
                <w:szCs w:val="12"/>
              </w:rPr>
            </w:pPr>
            <w:r>
              <w:rPr>
                <w:rFonts w:ascii="Arial" w:hAnsi="Arial"/>
                <w:sz w:val="12"/>
                <w:szCs w:val="12"/>
              </w:rPr>
              <w:t>Villaseca de la Sagra</w:t>
            </w:r>
          </w:p>
        </w:tc>
      </w:tr>
      <w:tr w:rsidR="002A4DDF" w:rsidRPr="00937C8B" w14:paraId="4C2C5F14" w14:textId="77777777" w:rsidTr="00935676">
        <w:trPr>
          <w:cantSplit/>
        </w:trPr>
        <w:tc>
          <w:tcPr>
            <w:tcW w:w="1696" w:type="dxa"/>
            <w:tcBorders>
              <w:left w:val="single" w:sz="4" w:space="0" w:color="auto"/>
              <w:bottom w:val="single" w:sz="4" w:space="0" w:color="auto"/>
            </w:tcBorders>
            <w:shd w:val="clear" w:color="auto" w:fill="auto"/>
            <w:hideMark/>
          </w:tcPr>
          <w:p w14:paraId="124FC603" w14:textId="77777777" w:rsidR="002A4DDF" w:rsidRPr="00937C8B" w:rsidRDefault="002A4DDF" w:rsidP="009110ED">
            <w:pPr>
              <w:rPr>
                <w:rFonts w:ascii="Arial" w:hAnsi="Arial" w:cs="Arial"/>
                <w:sz w:val="12"/>
                <w:szCs w:val="12"/>
              </w:rPr>
            </w:pPr>
            <w:r>
              <w:rPr>
                <w:rFonts w:ascii="Arial" w:hAnsi="Arial"/>
                <w:sz w:val="12"/>
                <w:szCs w:val="12"/>
              </w:rPr>
              <w:t>Castille-La Manche</w:t>
            </w:r>
          </w:p>
        </w:tc>
        <w:tc>
          <w:tcPr>
            <w:tcW w:w="1843" w:type="dxa"/>
            <w:tcBorders>
              <w:bottom w:val="single" w:sz="4" w:space="0" w:color="auto"/>
            </w:tcBorders>
            <w:shd w:val="clear" w:color="auto" w:fill="auto"/>
            <w:hideMark/>
          </w:tcPr>
          <w:p w14:paraId="196C105F" w14:textId="77777777" w:rsidR="002A4DDF" w:rsidRPr="00937C8B" w:rsidRDefault="002A4DDF" w:rsidP="009110ED">
            <w:pPr>
              <w:rPr>
                <w:rFonts w:ascii="Arial" w:hAnsi="Arial" w:cs="Arial"/>
                <w:sz w:val="12"/>
                <w:szCs w:val="12"/>
              </w:rPr>
            </w:pPr>
            <w:r>
              <w:rPr>
                <w:rFonts w:ascii="Arial" w:hAnsi="Arial"/>
                <w:sz w:val="12"/>
                <w:szCs w:val="12"/>
              </w:rPr>
              <w:t>Tolède</w:t>
            </w:r>
          </w:p>
        </w:tc>
        <w:tc>
          <w:tcPr>
            <w:tcW w:w="2268" w:type="dxa"/>
            <w:tcBorders>
              <w:bottom w:val="single" w:sz="4" w:space="0" w:color="auto"/>
            </w:tcBorders>
            <w:shd w:val="clear" w:color="auto" w:fill="F2F2F2"/>
            <w:hideMark/>
          </w:tcPr>
          <w:p w14:paraId="61BCD797"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24A795D9" w14:textId="77777777" w:rsidR="002A4DDF" w:rsidRPr="00937C8B" w:rsidRDefault="002A4DDF" w:rsidP="009110ED">
            <w:pPr>
              <w:rPr>
                <w:rFonts w:ascii="Arial" w:hAnsi="Arial" w:cs="Arial"/>
                <w:sz w:val="12"/>
                <w:szCs w:val="12"/>
              </w:rPr>
            </w:pPr>
            <w:r>
              <w:rPr>
                <w:rFonts w:ascii="Arial" w:hAnsi="Arial"/>
                <w:sz w:val="12"/>
                <w:szCs w:val="12"/>
              </w:rPr>
              <w:t>Villasequilla</w:t>
            </w:r>
          </w:p>
        </w:tc>
      </w:tr>
      <w:tr w:rsidR="002A4DDF" w:rsidRPr="00937C8B" w14:paraId="7D74C6EF" w14:textId="77777777" w:rsidTr="00935676">
        <w:trPr>
          <w:cantSplit/>
        </w:trPr>
        <w:tc>
          <w:tcPr>
            <w:tcW w:w="1696" w:type="dxa"/>
            <w:tcBorders>
              <w:top w:val="single" w:sz="4" w:space="0" w:color="auto"/>
              <w:bottom w:val="single" w:sz="4" w:space="0" w:color="auto"/>
            </w:tcBorders>
            <w:shd w:val="clear" w:color="auto" w:fill="auto"/>
            <w:hideMark/>
          </w:tcPr>
          <w:p w14:paraId="5D485369"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3AB4D87C"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46E1D1C2"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6038C89B" w14:textId="77777777" w:rsidR="002A4DDF" w:rsidRPr="00937C8B" w:rsidRDefault="002A4DDF" w:rsidP="009110ED">
            <w:pPr>
              <w:rPr>
                <w:rFonts w:ascii="Arial" w:hAnsi="Arial" w:cs="Arial"/>
                <w:sz w:val="12"/>
                <w:szCs w:val="12"/>
              </w:rPr>
            </w:pPr>
          </w:p>
        </w:tc>
      </w:tr>
      <w:tr w:rsidR="002A4DDF" w:rsidRPr="00937C8B" w14:paraId="048C4F1F" w14:textId="77777777" w:rsidTr="00935676">
        <w:trPr>
          <w:cantSplit/>
        </w:trPr>
        <w:tc>
          <w:tcPr>
            <w:tcW w:w="1696" w:type="dxa"/>
            <w:tcBorders>
              <w:left w:val="single" w:sz="4" w:space="0" w:color="auto"/>
            </w:tcBorders>
            <w:shd w:val="clear" w:color="auto" w:fill="auto"/>
          </w:tcPr>
          <w:p w14:paraId="0400BCDC" w14:textId="77777777" w:rsidR="002A4DDF" w:rsidRPr="00937C8B" w:rsidRDefault="002A4DDF" w:rsidP="009110ED">
            <w:pPr>
              <w:rPr>
                <w:rFonts w:ascii="Arial" w:hAnsi="Arial" w:cs="Arial"/>
                <w:sz w:val="12"/>
                <w:szCs w:val="12"/>
              </w:rPr>
            </w:pPr>
            <w:r>
              <w:rPr>
                <w:rFonts w:ascii="Arial" w:hAnsi="Arial"/>
                <w:sz w:val="12"/>
                <w:szCs w:val="12"/>
              </w:rPr>
              <w:t>Catalogne</w:t>
            </w:r>
          </w:p>
        </w:tc>
        <w:tc>
          <w:tcPr>
            <w:tcW w:w="1843" w:type="dxa"/>
            <w:shd w:val="clear" w:color="auto" w:fill="auto"/>
          </w:tcPr>
          <w:p w14:paraId="2B59E51E" w14:textId="77777777" w:rsidR="002A4DDF" w:rsidRPr="00937C8B" w:rsidRDefault="002A4DDF" w:rsidP="009110ED">
            <w:pPr>
              <w:rPr>
                <w:rFonts w:ascii="Arial" w:hAnsi="Arial" w:cs="Arial"/>
                <w:sz w:val="12"/>
                <w:szCs w:val="12"/>
              </w:rPr>
            </w:pPr>
            <w:r>
              <w:rPr>
                <w:rFonts w:ascii="Arial" w:hAnsi="Arial"/>
                <w:sz w:val="12"/>
                <w:szCs w:val="12"/>
              </w:rPr>
              <w:t>Barcelone</w:t>
            </w:r>
          </w:p>
        </w:tc>
        <w:tc>
          <w:tcPr>
            <w:tcW w:w="2268" w:type="dxa"/>
            <w:shd w:val="clear" w:color="auto" w:fill="F2F2F2"/>
            <w:hideMark/>
          </w:tcPr>
          <w:p w14:paraId="32B77548" w14:textId="77777777" w:rsidR="002A4DDF" w:rsidRPr="00937C8B" w:rsidRDefault="002A4DDF" w:rsidP="009110ED">
            <w:pPr>
              <w:rPr>
                <w:rFonts w:ascii="Arial" w:hAnsi="Arial" w:cs="Arial"/>
                <w:sz w:val="12"/>
                <w:szCs w:val="12"/>
              </w:rPr>
            </w:pPr>
            <w:r>
              <w:rPr>
                <w:rFonts w:ascii="Arial" w:hAnsi="Arial"/>
                <w:sz w:val="12"/>
                <w:szCs w:val="12"/>
              </w:rPr>
              <w:t>Abrera</w:t>
            </w:r>
          </w:p>
        </w:tc>
        <w:tc>
          <w:tcPr>
            <w:tcW w:w="2268" w:type="dxa"/>
            <w:tcBorders>
              <w:right w:val="single" w:sz="4" w:space="0" w:color="auto"/>
            </w:tcBorders>
            <w:shd w:val="clear" w:color="auto" w:fill="D9D9D9"/>
            <w:hideMark/>
          </w:tcPr>
          <w:p w14:paraId="431B2CA3" w14:textId="77777777" w:rsidR="002A4DDF" w:rsidRPr="00937C8B" w:rsidRDefault="002A4DDF" w:rsidP="009110ED">
            <w:pPr>
              <w:rPr>
                <w:rFonts w:ascii="Arial" w:hAnsi="Arial" w:cs="Arial"/>
                <w:sz w:val="12"/>
                <w:szCs w:val="12"/>
              </w:rPr>
            </w:pPr>
            <w:r>
              <w:rPr>
                <w:rFonts w:ascii="Arial" w:hAnsi="Arial"/>
                <w:sz w:val="12"/>
                <w:szCs w:val="12"/>
              </w:rPr>
              <w:t>Alella</w:t>
            </w:r>
          </w:p>
        </w:tc>
      </w:tr>
      <w:tr w:rsidR="002A4DDF" w:rsidRPr="00937C8B" w14:paraId="3E4864E7" w14:textId="77777777" w:rsidTr="00935676">
        <w:trPr>
          <w:cantSplit/>
        </w:trPr>
        <w:tc>
          <w:tcPr>
            <w:tcW w:w="1696" w:type="dxa"/>
            <w:tcBorders>
              <w:left w:val="single" w:sz="4" w:space="0" w:color="auto"/>
            </w:tcBorders>
            <w:shd w:val="clear" w:color="auto" w:fill="auto"/>
          </w:tcPr>
          <w:p w14:paraId="15C40CF0" w14:textId="77777777" w:rsidR="002A4DDF" w:rsidRPr="00937C8B" w:rsidRDefault="002A4DDF" w:rsidP="009110ED">
            <w:pPr>
              <w:rPr>
                <w:rFonts w:ascii="Arial" w:hAnsi="Arial" w:cs="Arial"/>
                <w:sz w:val="12"/>
                <w:szCs w:val="12"/>
              </w:rPr>
            </w:pPr>
          </w:p>
        </w:tc>
        <w:tc>
          <w:tcPr>
            <w:tcW w:w="1843" w:type="dxa"/>
            <w:shd w:val="clear" w:color="auto" w:fill="auto"/>
          </w:tcPr>
          <w:p w14:paraId="1D312144" w14:textId="77777777" w:rsidR="002A4DDF" w:rsidRPr="00937C8B" w:rsidRDefault="002A4DDF" w:rsidP="009110ED">
            <w:pPr>
              <w:rPr>
                <w:rFonts w:ascii="Arial" w:hAnsi="Arial" w:cs="Arial"/>
                <w:sz w:val="12"/>
                <w:szCs w:val="12"/>
              </w:rPr>
            </w:pPr>
          </w:p>
        </w:tc>
        <w:tc>
          <w:tcPr>
            <w:tcW w:w="2268" w:type="dxa"/>
            <w:shd w:val="clear" w:color="auto" w:fill="F2F2F2"/>
            <w:hideMark/>
          </w:tcPr>
          <w:p w14:paraId="00D5EB86" w14:textId="77777777" w:rsidR="002A4DDF" w:rsidRPr="00937C8B" w:rsidRDefault="002A4DDF" w:rsidP="009110ED">
            <w:pPr>
              <w:rPr>
                <w:rFonts w:ascii="Arial" w:hAnsi="Arial" w:cs="Arial"/>
                <w:sz w:val="12"/>
                <w:szCs w:val="12"/>
              </w:rPr>
            </w:pPr>
            <w:r>
              <w:rPr>
                <w:rFonts w:ascii="Arial" w:hAnsi="Arial"/>
                <w:sz w:val="12"/>
                <w:szCs w:val="12"/>
              </w:rPr>
              <w:t>Aiguafreda</w:t>
            </w:r>
          </w:p>
        </w:tc>
        <w:tc>
          <w:tcPr>
            <w:tcW w:w="2268" w:type="dxa"/>
            <w:tcBorders>
              <w:right w:val="single" w:sz="4" w:space="0" w:color="auto"/>
            </w:tcBorders>
            <w:shd w:val="clear" w:color="auto" w:fill="D9D9D9"/>
            <w:hideMark/>
          </w:tcPr>
          <w:p w14:paraId="29B9218A" w14:textId="77777777" w:rsidR="002A4DDF" w:rsidRPr="00937C8B" w:rsidRDefault="002A4DDF" w:rsidP="009110ED">
            <w:pPr>
              <w:rPr>
                <w:rFonts w:ascii="Arial" w:hAnsi="Arial" w:cs="Arial"/>
                <w:sz w:val="12"/>
                <w:szCs w:val="12"/>
              </w:rPr>
            </w:pPr>
            <w:r>
              <w:rPr>
                <w:rFonts w:ascii="Arial" w:hAnsi="Arial"/>
                <w:sz w:val="12"/>
                <w:szCs w:val="12"/>
              </w:rPr>
              <w:t>Arenys de Mar</w:t>
            </w:r>
          </w:p>
        </w:tc>
      </w:tr>
      <w:tr w:rsidR="002A4DDF" w:rsidRPr="00937C8B" w14:paraId="0F39EA7B" w14:textId="77777777" w:rsidTr="00935676">
        <w:trPr>
          <w:cantSplit/>
        </w:trPr>
        <w:tc>
          <w:tcPr>
            <w:tcW w:w="1696" w:type="dxa"/>
            <w:tcBorders>
              <w:left w:val="single" w:sz="4" w:space="0" w:color="auto"/>
            </w:tcBorders>
            <w:shd w:val="clear" w:color="auto" w:fill="auto"/>
          </w:tcPr>
          <w:p w14:paraId="7A53D8FB" w14:textId="77777777" w:rsidR="002A4DDF" w:rsidRPr="00937C8B" w:rsidRDefault="002A4DDF" w:rsidP="009110ED">
            <w:pPr>
              <w:rPr>
                <w:rFonts w:ascii="Arial" w:hAnsi="Arial" w:cs="Arial"/>
                <w:sz w:val="12"/>
                <w:szCs w:val="12"/>
              </w:rPr>
            </w:pPr>
          </w:p>
        </w:tc>
        <w:tc>
          <w:tcPr>
            <w:tcW w:w="1843" w:type="dxa"/>
            <w:shd w:val="clear" w:color="auto" w:fill="auto"/>
          </w:tcPr>
          <w:p w14:paraId="7DB7FC48" w14:textId="77777777" w:rsidR="002A4DDF" w:rsidRPr="00937C8B" w:rsidRDefault="002A4DDF" w:rsidP="009110ED">
            <w:pPr>
              <w:rPr>
                <w:rFonts w:ascii="Arial" w:hAnsi="Arial" w:cs="Arial"/>
                <w:sz w:val="12"/>
                <w:szCs w:val="12"/>
              </w:rPr>
            </w:pPr>
          </w:p>
        </w:tc>
        <w:tc>
          <w:tcPr>
            <w:tcW w:w="2268" w:type="dxa"/>
            <w:shd w:val="clear" w:color="auto" w:fill="F2F2F2"/>
            <w:hideMark/>
          </w:tcPr>
          <w:p w14:paraId="165653F7" w14:textId="77777777" w:rsidR="002A4DDF" w:rsidRPr="00937C8B" w:rsidRDefault="002A4DDF" w:rsidP="009110ED">
            <w:pPr>
              <w:rPr>
                <w:rFonts w:ascii="Arial" w:hAnsi="Arial" w:cs="Arial"/>
                <w:sz w:val="12"/>
                <w:szCs w:val="12"/>
              </w:rPr>
            </w:pPr>
            <w:r>
              <w:rPr>
                <w:rFonts w:ascii="Arial" w:hAnsi="Arial"/>
                <w:sz w:val="12"/>
                <w:szCs w:val="12"/>
              </w:rPr>
              <w:t>Artés</w:t>
            </w:r>
          </w:p>
        </w:tc>
        <w:tc>
          <w:tcPr>
            <w:tcW w:w="2268" w:type="dxa"/>
            <w:tcBorders>
              <w:right w:val="single" w:sz="4" w:space="0" w:color="auto"/>
            </w:tcBorders>
            <w:shd w:val="clear" w:color="auto" w:fill="D9D9D9"/>
            <w:hideMark/>
          </w:tcPr>
          <w:p w14:paraId="08DFDD50" w14:textId="77777777" w:rsidR="002A4DDF" w:rsidRPr="00937C8B" w:rsidRDefault="002A4DDF" w:rsidP="009110ED">
            <w:pPr>
              <w:rPr>
                <w:rFonts w:ascii="Arial" w:hAnsi="Arial" w:cs="Arial"/>
                <w:sz w:val="12"/>
                <w:szCs w:val="12"/>
              </w:rPr>
            </w:pPr>
            <w:r>
              <w:rPr>
                <w:rFonts w:ascii="Arial" w:hAnsi="Arial"/>
                <w:sz w:val="12"/>
                <w:szCs w:val="12"/>
              </w:rPr>
              <w:t>Arenys de Munt</w:t>
            </w:r>
          </w:p>
        </w:tc>
      </w:tr>
      <w:tr w:rsidR="002A4DDF" w:rsidRPr="00937C8B" w14:paraId="56CAC9B7" w14:textId="77777777" w:rsidTr="00935676">
        <w:trPr>
          <w:cantSplit/>
        </w:trPr>
        <w:tc>
          <w:tcPr>
            <w:tcW w:w="1696" w:type="dxa"/>
            <w:tcBorders>
              <w:left w:val="single" w:sz="4" w:space="0" w:color="auto"/>
            </w:tcBorders>
            <w:shd w:val="clear" w:color="auto" w:fill="auto"/>
          </w:tcPr>
          <w:p w14:paraId="3BE52ECD" w14:textId="77777777" w:rsidR="002A4DDF" w:rsidRPr="00937C8B" w:rsidRDefault="002A4DDF" w:rsidP="009110ED">
            <w:pPr>
              <w:rPr>
                <w:rFonts w:ascii="Arial" w:hAnsi="Arial" w:cs="Arial"/>
                <w:sz w:val="12"/>
                <w:szCs w:val="12"/>
              </w:rPr>
            </w:pPr>
          </w:p>
        </w:tc>
        <w:tc>
          <w:tcPr>
            <w:tcW w:w="1843" w:type="dxa"/>
            <w:shd w:val="clear" w:color="auto" w:fill="auto"/>
          </w:tcPr>
          <w:p w14:paraId="62413833" w14:textId="77777777" w:rsidR="002A4DDF" w:rsidRPr="00937C8B" w:rsidRDefault="002A4DDF" w:rsidP="009110ED">
            <w:pPr>
              <w:rPr>
                <w:rFonts w:ascii="Arial" w:hAnsi="Arial" w:cs="Arial"/>
                <w:sz w:val="12"/>
                <w:szCs w:val="12"/>
              </w:rPr>
            </w:pPr>
          </w:p>
        </w:tc>
        <w:tc>
          <w:tcPr>
            <w:tcW w:w="2268" w:type="dxa"/>
            <w:shd w:val="clear" w:color="auto" w:fill="F2F2F2"/>
            <w:hideMark/>
          </w:tcPr>
          <w:p w14:paraId="7B15F289" w14:textId="77777777" w:rsidR="002A4DDF" w:rsidRPr="00937C8B" w:rsidRDefault="002A4DDF" w:rsidP="009110ED">
            <w:pPr>
              <w:rPr>
                <w:rFonts w:ascii="Arial" w:hAnsi="Arial" w:cs="Arial"/>
                <w:sz w:val="12"/>
                <w:szCs w:val="12"/>
              </w:rPr>
            </w:pPr>
            <w:r>
              <w:rPr>
                <w:rFonts w:ascii="Arial" w:hAnsi="Arial"/>
                <w:sz w:val="12"/>
                <w:szCs w:val="12"/>
              </w:rPr>
              <w:t>Avinyó</w:t>
            </w:r>
          </w:p>
        </w:tc>
        <w:tc>
          <w:tcPr>
            <w:tcW w:w="2268" w:type="dxa"/>
            <w:tcBorders>
              <w:right w:val="single" w:sz="4" w:space="0" w:color="auto"/>
            </w:tcBorders>
            <w:shd w:val="clear" w:color="auto" w:fill="D9D9D9"/>
            <w:hideMark/>
          </w:tcPr>
          <w:p w14:paraId="14067532" w14:textId="77777777" w:rsidR="002A4DDF" w:rsidRPr="00937C8B" w:rsidRDefault="002A4DDF" w:rsidP="009110ED">
            <w:pPr>
              <w:rPr>
                <w:rFonts w:ascii="Arial" w:hAnsi="Arial" w:cs="Arial"/>
                <w:sz w:val="12"/>
                <w:szCs w:val="12"/>
              </w:rPr>
            </w:pPr>
            <w:r>
              <w:rPr>
                <w:rFonts w:ascii="Arial" w:hAnsi="Arial"/>
                <w:sz w:val="12"/>
                <w:szCs w:val="12"/>
              </w:rPr>
              <w:t>Argentona</w:t>
            </w:r>
          </w:p>
        </w:tc>
      </w:tr>
      <w:tr w:rsidR="002A4DDF" w:rsidRPr="00937C8B" w14:paraId="3CB44604" w14:textId="77777777" w:rsidTr="00935676">
        <w:trPr>
          <w:cantSplit/>
        </w:trPr>
        <w:tc>
          <w:tcPr>
            <w:tcW w:w="1696" w:type="dxa"/>
            <w:tcBorders>
              <w:left w:val="single" w:sz="4" w:space="0" w:color="auto"/>
            </w:tcBorders>
            <w:shd w:val="clear" w:color="auto" w:fill="auto"/>
          </w:tcPr>
          <w:p w14:paraId="3CA9676B" w14:textId="77777777" w:rsidR="002A4DDF" w:rsidRPr="00937C8B" w:rsidRDefault="002A4DDF" w:rsidP="009110ED">
            <w:pPr>
              <w:rPr>
                <w:rFonts w:ascii="Arial" w:hAnsi="Arial" w:cs="Arial"/>
                <w:sz w:val="12"/>
                <w:szCs w:val="12"/>
              </w:rPr>
            </w:pPr>
          </w:p>
        </w:tc>
        <w:tc>
          <w:tcPr>
            <w:tcW w:w="1843" w:type="dxa"/>
            <w:shd w:val="clear" w:color="auto" w:fill="auto"/>
          </w:tcPr>
          <w:p w14:paraId="49F149F7" w14:textId="77777777" w:rsidR="002A4DDF" w:rsidRPr="00937C8B" w:rsidRDefault="002A4DDF" w:rsidP="009110ED">
            <w:pPr>
              <w:rPr>
                <w:rFonts w:ascii="Arial" w:hAnsi="Arial" w:cs="Arial"/>
                <w:sz w:val="12"/>
                <w:szCs w:val="12"/>
              </w:rPr>
            </w:pPr>
          </w:p>
        </w:tc>
        <w:tc>
          <w:tcPr>
            <w:tcW w:w="2268" w:type="dxa"/>
            <w:shd w:val="clear" w:color="auto" w:fill="F2F2F2"/>
            <w:hideMark/>
          </w:tcPr>
          <w:p w14:paraId="48AF5741" w14:textId="77777777" w:rsidR="002A4DDF" w:rsidRPr="00937C8B" w:rsidRDefault="002A4DDF" w:rsidP="009110ED">
            <w:pPr>
              <w:rPr>
                <w:rFonts w:ascii="Arial" w:hAnsi="Arial" w:cs="Arial"/>
                <w:sz w:val="12"/>
                <w:szCs w:val="12"/>
              </w:rPr>
            </w:pPr>
            <w:r>
              <w:rPr>
                <w:rFonts w:ascii="Arial" w:hAnsi="Arial"/>
                <w:sz w:val="12"/>
                <w:szCs w:val="12"/>
              </w:rPr>
              <w:t>Badia del Vallès</w:t>
            </w:r>
          </w:p>
        </w:tc>
        <w:tc>
          <w:tcPr>
            <w:tcW w:w="2268" w:type="dxa"/>
            <w:tcBorders>
              <w:right w:val="single" w:sz="4" w:space="0" w:color="auto"/>
            </w:tcBorders>
            <w:shd w:val="clear" w:color="auto" w:fill="D9D9D9"/>
            <w:hideMark/>
          </w:tcPr>
          <w:p w14:paraId="09B3403E" w14:textId="77777777" w:rsidR="002A4DDF" w:rsidRPr="00937C8B" w:rsidRDefault="002A4DDF" w:rsidP="009110ED">
            <w:pPr>
              <w:rPr>
                <w:rFonts w:ascii="Arial" w:hAnsi="Arial" w:cs="Arial"/>
                <w:sz w:val="12"/>
                <w:szCs w:val="12"/>
              </w:rPr>
            </w:pPr>
            <w:r>
              <w:rPr>
                <w:rFonts w:ascii="Arial" w:hAnsi="Arial"/>
                <w:sz w:val="12"/>
                <w:szCs w:val="12"/>
              </w:rPr>
              <w:t>Badalona</w:t>
            </w:r>
          </w:p>
        </w:tc>
      </w:tr>
      <w:tr w:rsidR="002A4DDF" w:rsidRPr="00937C8B" w14:paraId="547F51FE" w14:textId="77777777" w:rsidTr="00935676">
        <w:trPr>
          <w:cantSplit/>
        </w:trPr>
        <w:tc>
          <w:tcPr>
            <w:tcW w:w="1696" w:type="dxa"/>
            <w:tcBorders>
              <w:left w:val="single" w:sz="4" w:space="0" w:color="auto"/>
            </w:tcBorders>
            <w:shd w:val="clear" w:color="auto" w:fill="auto"/>
          </w:tcPr>
          <w:p w14:paraId="6AEEE9D5" w14:textId="77777777" w:rsidR="002A4DDF" w:rsidRPr="00937C8B" w:rsidRDefault="002A4DDF" w:rsidP="009110ED">
            <w:pPr>
              <w:rPr>
                <w:rFonts w:ascii="Arial" w:hAnsi="Arial" w:cs="Arial"/>
                <w:sz w:val="12"/>
                <w:szCs w:val="12"/>
              </w:rPr>
            </w:pPr>
          </w:p>
        </w:tc>
        <w:tc>
          <w:tcPr>
            <w:tcW w:w="1843" w:type="dxa"/>
            <w:shd w:val="clear" w:color="auto" w:fill="auto"/>
          </w:tcPr>
          <w:p w14:paraId="6A8D7D2C" w14:textId="77777777" w:rsidR="002A4DDF" w:rsidRPr="00937C8B" w:rsidRDefault="002A4DDF" w:rsidP="009110ED">
            <w:pPr>
              <w:rPr>
                <w:rFonts w:ascii="Arial" w:hAnsi="Arial" w:cs="Arial"/>
                <w:sz w:val="12"/>
                <w:szCs w:val="12"/>
              </w:rPr>
            </w:pPr>
          </w:p>
        </w:tc>
        <w:tc>
          <w:tcPr>
            <w:tcW w:w="2268" w:type="dxa"/>
            <w:shd w:val="clear" w:color="auto" w:fill="F2F2F2"/>
            <w:hideMark/>
          </w:tcPr>
          <w:p w14:paraId="5107F74C" w14:textId="77777777" w:rsidR="002A4DDF" w:rsidRPr="00937C8B" w:rsidRDefault="002A4DDF" w:rsidP="009110ED">
            <w:pPr>
              <w:rPr>
                <w:rFonts w:ascii="Arial" w:hAnsi="Arial" w:cs="Arial"/>
                <w:sz w:val="12"/>
                <w:szCs w:val="12"/>
              </w:rPr>
            </w:pPr>
            <w:r>
              <w:rPr>
                <w:rFonts w:ascii="Arial" w:hAnsi="Arial"/>
                <w:sz w:val="12"/>
                <w:szCs w:val="12"/>
              </w:rPr>
              <w:t>Balenyà</w:t>
            </w:r>
          </w:p>
        </w:tc>
        <w:tc>
          <w:tcPr>
            <w:tcW w:w="2268" w:type="dxa"/>
            <w:tcBorders>
              <w:right w:val="single" w:sz="4" w:space="0" w:color="auto"/>
            </w:tcBorders>
            <w:shd w:val="clear" w:color="auto" w:fill="D9D9D9"/>
            <w:hideMark/>
          </w:tcPr>
          <w:p w14:paraId="39A6F12E" w14:textId="77777777" w:rsidR="002A4DDF" w:rsidRPr="00937C8B" w:rsidRDefault="002A4DDF" w:rsidP="009110ED">
            <w:pPr>
              <w:rPr>
                <w:rFonts w:ascii="Arial" w:hAnsi="Arial" w:cs="Arial"/>
                <w:sz w:val="12"/>
                <w:szCs w:val="12"/>
              </w:rPr>
            </w:pPr>
            <w:r>
              <w:rPr>
                <w:rFonts w:ascii="Arial" w:hAnsi="Arial"/>
                <w:sz w:val="12"/>
                <w:szCs w:val="12"/>
              </w:rPr>
              <w:t>Bagà</w:t>
            </w:r>
          </w:p>
        </w:tc>
      </w:tr>
      <w:tr w:rsidR="002A4DDF" w:rsidRPr="00937C8B" w14:paraId="0BE0EC92" w14:textId="77777777" w:rsidTr="00935676">
        <w:trPr>
          <w:cantSplit/>
        </w:trPr>
        <w:tc>
          <w:tcPr>
            <w:tcW w:w="1696" w:type="dxa"/>
            <w:tcBorders>
              <w:left w:val="single" w:sz="4" w:space="0" w:color="auto"/>
            </w:tcBorders>
            <w:shd w:val="clear" w:color="auto" w:fill="auto"/>
          </w:tcPr>
          <w:p w14:paraId="337966C6" w14:textId="77777777" w:rsidR="002A4DDF" w:rsidRPr="00937C8B" w:rsidRDefault="002A4DDF" w:rsidP="009110ED">
            <w:pPr>
              <w:rPr>
                <w:rFonts w:ascii="Arial" w:hAnsi="Arial" w:cs="Arial"/>
                <w:sz w:val="12"/>
                <w:szCs w:val="12"/>
              </w:rPr>
            </w:pPr>
          </w:p>
        </w:tc>
        <w:tc>
          <w:tcPr>
            <w:tcW w:w="1843" w:type="dxa"/>
            <w:shd w:val="clear" w:color="auto" w:fill="auto"/>
          </w:tcPr>
          <w:p w14:paraId="53688A2D" w14:textId="77777777" w:rsidR="002A4DDF" w:rsidRPr="00937C8B" w:rsidRDefault="002A4DDF" w:rsidP="009110ED">
            <w:pPr>
              <w:rPr>
                <w:rFonts w:ascii="Arial" w:hAnsi="Arial" w:cs="Arial"/>
                <w:sz w:val="12"/>
                <w:szCs w:val="12"/>
              </w:rPr>
            </w:pPr>
          </w:p>
        </w:tc>
        <w:tc>
          <w:tcPr>
            <w:tcW w:w="2268" w:type="dxa"/>
            <w:shd w:val="clear" w:color="auto" w:fill="F2F2F2"/>
            <w:hideMark/>
          </w:tcPr>
          <w:p w14:paraId="6C89CECA" w14:textId="77777777" w:rsidR="002A4DDF" w:rsidRPr="00937C8B" w:rsidRDefault="002A4DDF" w:rsidP="009110ED">
            <w:pPr>
              <w:rPr>
                <w:rFonts w:ascii="Arial" w:hAnsi="Arial" w:cs="Arial"/>
                <w:sz w:val="12"/>
                <w:szCs w:val="12"/>
              </w:rPr>
            </w:pPr>
            <w:r>
              <w:rPr>
                <w:rFonts w:ascii="Arial" w:hAnsi="Arial"/>
                <w:sz w:val="12"/>
                <w:szCs w:val="12"/>
              </w:rPr>
              <w:t>Balsareny</w:t>
            </w:r>
          </w:p>
        </w:tc>
        <w:tc>
          <w:tcPr>
            <w:tcW w:w="2268" w:type="dxa"/>
            <w:tcBorders>
              <w:right w:val="single" w:sz="4" w:space="0" w:color="auto"/>
            </w:tcBorders>
            <w:shd w:val="clear" w:color="auto" w:fill="D9D9D9"/>
            <w:hideMark/>
          </w:tcPr>
          <w:p w14:paraId="7DCF118B" w14:textId="77777777" w:rsidR="002A4DDF" w:rsidRPr="00937C8B" w:rsidRDefault="002A4DDF" w:rsidP="009110ED">
            <w:pPr>
              <w:rPr>
                <w:rFonts w:ascii="Arial" w:hAnsi="Arial" w:cs="Arial"/>
                <w:sz w:val="12"/>
                <w:szCs w:val="12"/>
              </w:rPr>
            </w:pPr>
            <w:r>
              <w:rPr>
                <w:rFonts w:ascii="Arial" w:hAnsi="Arial"/>
                <w:sz w:val="12"/>
                <w:szCs w:val="12"/>
              </w:rPr>
              <w:t>Bigues i Riells</w:t>
            </w:r>
          </w:p>
        </w:tc>
      </w:tr>
      <w:tr w:rsidR="002A4DDF" w:rsidRPr="00937C8B" w14:paraId="7A8F1F9E" w14:textId="77777777" w:rsidTr="00935676">
        <w:trPr>
          <w:cantSplit/>
        </w:trPr>
        <w:tc>
          <w:tcPr>
            <w:tcW w:w="1696" w:type="dxa"/>
            <w:tcBorders>
              <w:left w:val="single" w:sz="4" w:space="0" w:color="auto"/>
            </w:tcBorders>
            <w:shd w:val="clear" w:color="auto" w:fill="auto"/>
          </w:tcPr>
          <w:p w14:paraId="4EE0663E" w14:textId="77777777" w:rsidR="002A4DDF" w:rsidRPr="00937C8B" w:rsidRDefault="002A4DDF" w:rsidP="009110ED">
            <w:pPr>
              <w:rPr>
                <w:rFonts w:ascii="Arial" w:hAnsi="Arial" w:cs="Arial"/>
                <w:sz w:val="12"/>
                <w:szCs w:val="12"/>
              </w:rPr>
            </w:pPr>
          </w:p>
        </w:tc>
        <w:tc>
          <w:tcPr>
            <w:tcW w:w="1843" w:type="dxa"/>
            <w:shd w:val="clear" w:color="auto" w:fill="auto"/>
          </w:tcPr>
          <w:p w14:paraId="11BF4420" w14:textId="77777777" w:rsidR="002A4DDF" w:rsidRPr="00937C8B" w:rsidRDefault="002A4DDF" w:rsidP="009110ED">
            <w:pPr>
              <w:rPr>
                <w:rFonts w:ascii="Arial" w:hAnsi="Arial" w:cs="Arial"/>
                <w:sz w:val="12"/>
                <w:szCs w:val="12"/>
              </w:rPr>
            </w:pPr>
          </w:p>
        </w:tc>
        <w:tc>
          <w:tcPr>
            <w:tcW w:w="2268" w:type="dxa"/>
            <w:shd w:val="clear" w:color="auto" w:fill="F2F2F2"/>
            <w:hideMark/>
          </w:tcPr>
          <w:p w14:paraId="71A52CCE" w14:textId="77777777" w:rsidR="002A4DDF" w:rsidRPr="00937C8B" w:rsidRDefault="002A4DDF" w:rsidP="009110ED">
            <w:pPr>
              <w:rPr>
                <w:rFonts w:ascii="Arial" w:hAnsi="Arial" w:cs="Arial"/>
                <w:sz w:val="12"/>
                <w:szCs w:val="12"/>
              </w:rPr>
            </w:pPr>
            <w:r>
              <w:rPr>
                <w:rFonts w:ascii="Arial" w:hAnsi="Arial"/>
                <w:sz w:val="12"/>
                <w:szCs w:val="12"/>
              </w:rPr>
              <w:t>Barberà del Vallès</w:t>
            </w:r>
          </w:p>
        </w:tc>
        <w:tc>
          <w:tcPr>
            <w:tcW w:w="2268" w:type="dxa"/>
            <w:tcBorders>
              <w:right w:val="single" w:sz="4" w:space="0" w:color="auto"/>
            </w:tcBorders>
            <w:shd w:val="clear" w:color="auto" w:fill="D9D9D9"/>
            <w:hideMark/>
          </w:tcPr>
          <w:p w14:paraId="68B4C8FA" w14:textId="77777777" w:rsidR="002A4DDF" w:rsidRPr="00937C8B" w:rsidRDefault="002A4DDF" w:rsidP="009110ED">
            <w:pPr>
              <w:rPr>
                <w:rFonts w:ascii="Arial" w:hAnsi="Arial" w:cs="Arial"/>
                <w:sz w:val="12"/>
                <w:szCs w:val="12"/>
              </w:rPr>
            </w:pPr>
            <w:r>
              <w:rPr>
                <w:rFonts w:ascii="Arial" w:hAnsi="Arial"/>
                <w:sz w:val="12"/>
                <w:szCs w:val="12"/>
              </w:rPr>
              <w:t>Cabrera de Mar</w:t>
            </w:r>
          </w:p>
        </w:tc>
      </w:tr>
      <w:tr w:rsidR="002A4DDF" w:rsidRPr="00937C8B" w14:paraId="54888D08" w14:textId="77777777" w:rsidTr="00935676">
        <w:trPr>
          <w:cantSplit/>
        </w:trPr>
        <w:tc>
          <w:tcPr>
            <w:tcW w:w="1696" w:type="dxa"/>
            <w:tcBorders>
              <w:left w:val="single" w:sz="4" w:space="0" w:color="auto"/>
            </w:tcBorders>
            <w:shd w:val="clear" w:color="auto" w:fill="auto"/>
          </w:tcPr>
          <w:p w14:paraId="5FBCF9D1" w14:textId="77777777" w:rsidR="002A4DDF" w:rsidRPr="00937C8B" w:rsidRDefault="002A4DDF" w:rsidP="009110ED">
            <w:pPr>
              <w:rPr>
                <w:rFonts w:ascii="Arial" w:hAnsi="Arial" w:cs="Arial"/>
                <w:sz w:val="12"/>
                <w:szCs w:val="12"/>
              </w:rPr>
            </w:pPr>
          </w:p>
        </w:tc>
        <w:tc>
          <w:tcPr>
            <w:tcW w:w="1843" w:type="dxa"/>
            <w:shd w:val="clear" w:color="auto" w:fill="auto"/>
          </w:tcPr>
          <w:p w14:paraId="6FC8A5DB" w14:textId="77777777" w:rsidR="002A4DDF" w:rsidRPr="00937C8B" w:rsidRDefault="002A4DDF" w:rsidP="009110ED">
            <w:pPr>
              <w:rPr>
                <w:rFonts w:ascii="Arial" w:hAnsi="Arial" w:cs="Arial"/>
                <w:sz w:val="12"/>
                <w:szCs w:val="12"/>
              </w:rPr>
            </w:pPr>
          </w:p>
        </w:tc>
        <w:tc>
          <w:tcPr>
            <w:tcW w:w="2268" w:type="dxa"/>
            <w:shd w:val="clear" w:color="auto" w:fill="F2F2F2"/>
            <w:hideMark/>
          </w:tcPr>
          <w:p w14:paraId="7F8FC814" w14:textId="77777777" w:rsidR="002A4DDF" w:rsidRPr="00937C8B" w:rsidRDefault="002A4DDF" w:rsidP="009110ED">
            <w:pPr>
              <w:rPr>
                <w:rFonts w:ascii="Arial" w:hAnsi="Arial" w:cs="Arial"/>
                <w:sz w:val="12"/>
                <w:szCs w:val="12"/>
              </w:rPr>
            </w:pPr>
            <w:r>
              <w:rPr>
                <w:rFonts w:ascii="Arial" w:hAnsi="Arial"/>
                <w:sz w:val="12"/>
                <w:szCs w:val="12"/>
              </w:rPr>
              <w:t>Barcelone</w:t>
            </w:r>
          </w:p>
        </w:tc>
        <w:tc>
          <w:tcPr>
            <w:tcW w:w="2268" w:type="dxa"/>
            <w:tcBorders>
              <w:right w:val="single" w:sz="4" w:space="0" w:color="auto"/>
            </w:tcBorders>
            <w:shd w:val="clear" w:color="auto" w:fill="D9D9D9"/>
            <w:hideMark/>
          </w:tcPr>
          <w:p w14:paraId="49FB9B7B" w14:textId="77777777" w:rsidR="002A4DDF" w:rsidRPr="00937C8B" w:rsidRDefault="002A4DDF" w:rsidP="009110ED">
            <w:pPr>
              <w:rPr>
                <w:rFonts w:ascii="Arial" w:hAnsi="Arial" w:cs="Arial"/>
                <w:sz w:val="12"/>
                <w:szCs w:val="12"/>
              </w:rPr>
            </w:pPr>
            <w:r>
              <w:rPr>
                <w:rFonts w:ascii="Arial" w:hAnsi="Arial"/>
                <w:sz w:val="12"/>
                <w:szCs w:val="12"/>
              </w:rPr>
              <w:t>Cabrils</w:t>
            </w:r>
          </w:p>
        </w:tc>
      </w:tr>
      <w:tr w:rsidR="002A4DDF" w:rsidRPr="00937C8B" w14:paraId="5A3E0D28" w14:textId="77777777" w:rsidTr="00935676">
        <w:trPr>
          <w:cantSplit/>
        </w:trPr>
        <w:tc>
          <w:tcPr>
            <w:tcW w:w="1696" w:type="dxa"/>
            <w:tcBorders>
              <w:left w:val="single" w:sz="4" w:space="0" w:color="auto"/>
            </w:tcBorders>
            <w:shd w:val="clear" w:color="auto" w:fill="auto"/>
          </w:tcPr>
          <w:p w14:paraId="15975376" w14:textId="77777777" w:rsidR="002A4DDF" w:rsidRPr="00937C8B" w:rsidRDefault="002A4DDF" w:rsidP="009110ED">
            <w:pPr>
              <w:rPr>
                <w:rFonts w:ascii="Arial" w:hAnsi="Arial" w:cs="Arial"/>
                <w:sz w:val="12"/>
                <w:szCs w:val="12"/>
              </w:rPr>
            </w:pPr>
          </w:p>
        </w:tc>
        <w:tc>
          <w:tcPr>
            <w:tcW w:w="1843" w:type="dxa"/>
            <w:shd w:val="clear" w:color="auto" w:fill="auto"/>
          </w:tcPr>
          <w:p w14:paraId="69698A64" w14:textId="77777777" w:rsidR="002A4DDF" w:rsidRPr="00937C8B" w:rsidRDefault="002A4DDF" w:rsidP="009110ED">
            <w:pPr>
              <w:rPr>
                <w:rFonts w:ascii="Arial" w:hAnsi="Arial" w:cs="Arial"/>
                <w:sz w:val="12"/>
                <w:szCs w:val="12"/>
              </w:rPr>
            </w:pPr>
          </w:p>
        </w:tc>
        <w:tc>
          <w:tcPr>
            <w:tcW w:w="2268" w:type="dxa"/>
            <w:shd w:val="clear" w:color="auto" w:fill="F2F2F2"/>
            <w:hideMark/>
          </w:tcPr>
          <w:p w14:paraId="10EF04D5" w14:textId="77777777" w:rsidR="002A4DDF" w:rsidRPr="00937C8B" w:rsidRDefault="002A4DDF" w:rsidP="009110ED">
            <w:pPr>
              <w:rPr>
                <w:rFonts w:ascii="Arial" w:hAnsi="Arial" w:cs="Arial"/>
                <w:sz w:val="12"/>
                <w:szCs w:val="12"/>
              </w:rPr>
            </w:pPr>
            <w:r>
              <w:rPr>
                <w:rFonts w:ascii="Arial" w:hAnsi="Arial"/>
                <w:sz w:val="12"/>
                <w:szCs w:val="12"/>
              </w:rPr>
              <w:t>Calldetenes</w:t>
            </w:r>
          </w:p>
        </w:tc>
        <w:tc>
          <w:tcPr>
            <w:tcW w:w="2268" w:type="dxa"/>
            <w:tcBorders>
              <w:right w:val="single" w:sz="4" w:space="0" w:color="auto"/>
            </w:tcBorders>
            <w:shd w:val="clear" w:color="auto" w:fill="D9D9D9"/>
            <w:hideMark/>
          </w:tcPr>
          <w:p w14:paraId="3C992570" w14:textId="77777777" w:rsidR="002A4DDF" w:rsidRPr="00937C8B" w:rsidRDefault="002A4DDF" w:rsidP="009110ED">
            <w:pPr>
              <w:rPr>
                <w:rFonts w:ascii="Arial" w:hAnsi="Arial" w:cs="Arial"/>
                <w:sz w:val="12"/>
                <w:szCs w:val="12"/>
              </w:rPr>
            </w:pPr>
            <w:r>
              <w:rPr>
                <w:rFonts w:ascii="Arial" w:hAnsi="Arial"/>
                <w:sz w:val="12"/>
                <w:szCs w:val="12"/>
              </w:rPr>
              <w:t>Caldes de Montbui</w:t>
            </w:r>
          </w:p>
        </w:tc>
      </w:tr>
      <w:tr w:rsidR="002A4DDF" w:rsidRPr="00937C8B" w14:paraId="01F8F617" w14:textId="77777777" w:rsidTr="00935676">
        <w:trPr>
          <w:cantSplit/>
        </w:trPr>
        <w:tc>
          <w:tcPr>
            <w:tcW w:w="1696" w:type="dxa"/>
            <w:tcBorders>
              <w:left w:val="single" w:sz="4" w:space="0" w:color="auto"/>
            </w:tcBorders>
            <w:shd w:val="clear" w:color="auto" w:fill="auto"/>
          </w:tcPr>
          <w:p w14:paraId="198B9EB6" w14:textId="77777777" w:rsidR="002A4DDF" w:rsidRPr="00937C8B" w:rsidRDefault="002A4DDF" w:rsidP="009110ED">
            <w:pPr>
              <w:rPr>
                <w:rFonts w:ascii="Arial" w:hAnsi="Arial" w:cs="Arial"/>
                <w:sz w:val="12"/>
                <w:szCs w:val="12"/>
              </w:rPr>
            </w:pPr>
          </w:p>
        </w:tc>
        <w:tc>
          <w:tcPr>
            <w:tcW w:w="1843" w:type="dxa"/>
            <w:shd w:val="clear" w:color="auto" w:fill="auto"/>
          </w:tcPr>
          <w:p w14:paraId="1C54642B" w14:textId="77777777" w:rsidR="002A4DDF" w:rsidRPr="00937C8B" w:rsidRDefault="002A4DDF" w:rsidP="009110ED">
            <w:pPr>
              <w:rPr>
                <w:rFonts w:ascii="Arial" w:hAnsi="Arial" w:cs="Arial"/>
                <w:sz w:val="12"/>
                <w:szCs w:val="12"/>
              </w:rPr>
            </w:pPr>
          </w:p>
        </w:tc>
        <w:tc>
          <w:tcPr>
            <w:tcW w:w="2268" w:type="dxa"/>
            <w:shd w:val="clear" w:color="auto" w:fill="F2F2F2"/>
            <w:hideMark/>
          </w:tcPr>
          <w:p w14:paraId="6C937400" w14:textId="77777777" w:rsidR="002A4DDF" w:rsidRPr="00937C8B" w:rsidRDefault="002A4DDF" w:rsidP="009110ED">
            <w:pPr>
              <w:rPr>
                <w:rFonts w:ascii="Arial" w:hAnsi="Arial" w:cs="Arial"/>
                <w:sz w:val="12"/>
                <w:szCs w:val="12"/>
              </w:rPr>
            </w:pPr>
            <w:r>
              <w:rPr>
                <w:rFonts w:ascii="Arial" w:hAnsi="Arial"/>
                <w:sz w:val="12"/>
                <w:szCs w:val="12"/>
              </w:rPr>
              <w:t>Callús</w:t>
            </w:r>
          </w:p>
        </w:tc>
        <w:tc>
          <w:tcPr>
            <w:tcW w:w="2268" w:type="dxa"/>
            <w:tcBorders>
              <w:right w:val="single" w:sz="4" w:space="0" w:color="auto"/>
            </w:tcBorders>
            <w:shd w:val="clear" w:color="auto" w:fill="D9D9D9"/>
            <w:hideMark/>
          </w:tcPr>
          <w:p w14:paraId="6FD60E8C" w14:textId="77777777" w:rsidR="002A4DDF" w:rsidRPr="00937C8B" w:rsidRDefault="002A4DDF" w:rsidP="009110ED">
            <w:pPr>
              <w:rPr>
                <w:rFonts w:ascii="Arial" w:hAnsi="Arial" w:cs="Arial"/>
                <w:sz w:val="12"/>
                <w:szCs w:val="12"/>
              </w:rPr>
            </w:pPr>
            <w:r>
              <w:rPr>
                <w:rFonts w:ascii="Arial" w:hAnsi="Arial"/>
                <w:sz w:val="12"/>
                <w:szCs w:val="12"/>
              </w:rPr>
              <w:t>Caldes d'Estrac</w:t>
            </w:r>
          </w:p>
        </w:tc>
      </w:tr>
      <w:tr w:rsidR="002A4DDF" w:rsidRPr="00937C8B" w14:paraId="379C3E4D" w14:textId="77777777" w:rsidTr="00935676">
        <w:trPr>
          <w:cantSplit/>
        </w:trPr>
        <w:tc>
          <w:tcPr>
            <w:tcW w:w="1696" w:type="dxa"/>
            <w:tcBorders>
              <w:left w:val="single" w:sz="4" w:space="0" w:color="auto"/>
            </w:tcBorders>
            <w:shd w:val="clear" w:color="auto" w:fill="auto"/>
          </w:tcPr>
          <w:p w14:paraId="4705931E" w14:textId="77777777" w:rsidR="002A4DDF" w:rsidRPr="00937C8B" w:rsidRDefault="002A4DDF" w:rsidP="009110ED">
            <w:pPr>
              <w:rPr>
                <w:rFonts w:ascii="Arial" w:hAnsi="Arial" w:cs="Arial"/>
                <w:sz w:val="12"/>
                <w:szCs w:val="12"/>
              </w:rPr>
            </w:pPr>
          </w:p>
        </w:tc>
        <w:tc>
          <w:tcPr>
            <w:tcW w:w="1843" w:type="dxa"/>
            <w:shd w:val="clear" w:color="auto" w:fill="auto"/>
          </w:tcPr>
          <w:p w14:paraId="3BE9B9AC" w14:textId="77777777" w:rsidR="002A4DDF" w:rsidRPr="00937C8B" w:rsidRDefault="002A4DDF" w:rsidP="009110ED">
            <w:pPr>
              <w:rPr>
                <w:rFonts w:ascii="Arial" w:hAnsi="Arial" w:cs="Arial"/>
                <w:sz w:val="12"/>
                <w:szCs w:val="12"/>
              </w:rPr>
            </w:pPr>
          </w:p>
        </w:tc>
        <w:tc>
          <w:tcPr>
            <w:tcW w:w="2268" w:type="dxa"/>
            <w:shd w:val="clear" w:color="auto" w:fill="F2F2F2"/>
          </w:tcPr>
          <w:p w14:paraId="1084C8D0" w14:textId="77777777" w:rsidR="002A4DDF" w:rsidRPr="00937C8B" w:rsidRDefault="002A4DDF" w:rsidP="009110ED">
            <w:pPr>
              <w:rPr>
                <w:rFonts w:ascii="Arial" w:hAnsi="Arial" w:cs="Arial"/>
                <w:sz w:val="12"/>
                <w:szCs w:val="12"/>
              </w:rPr>
            </w:pPr>
            <w:r>
              <w:rPr>
                <w:rFonts w:ascii="Arial" w:hAnsi="Arial"/>
                <w:sz w:val="12"/>
                <w:szCs w:val="12"/>
              </w:rPr>
              <w:t>Campins</w:t>
            </w:r>
          </w:p>
        </w:tc>
        <w:tc>
          <w:tcPr>
            <w:tcW w:w="2268" w:type="dxa"/>
            <w:tcBorders>
              <w:right w:val="single" w:sz="4" w:space="0" w:color="auto"/>
            </w:tcBorders>
            <w:shd w:val="clear" w:color="auto" w:fill="D9D9D9"/>
          </w:tcPr>
          <w:p w14:paraId="5118986C" w14:textId="77777777" w:rsidR="002A4DDF" w:rsidRPr="00937C8B" w:rsidRDefault="002A4DDF" w:rsidP="009110ED">
            <w:pPr>
              <w:rPr>
                <w:rFonts w:ascii="Arial" w:hAnsi="Arial" w:cs="Arial"/>
                <w:sz w:val="12"/>
                <w:szCs w:val="12"/>
              </w:rPr>
            </w:pPr>
            <w:r>
              <w:rPr>
                <w:rFonts w:ascii="Arial" w:hAnsi="Arial"/>
                <w:sz w:val="12"/>
                <w:szCs w:val="12"/>
              </w:rPr>
              <w:t>Calella</w:t>
            </w:r>
          </w:p>
        </w:tc>
      </w:tr>
      <w:tr w:rsidR="002A4DDF" w:rsidRPr="00937C8B" w14:paraId="31FBA485" w14:textId="77777777" w:rsidTr="00935676">
        <w:trPr>
          <w:cantSplit/>
        </w:trPr>
        <w:tc>
          <w:tcPr>
            <w:tcW w:w="1696" w:type="dxa"/>
            <w:tcBorders>
              <w:left w:val="single" w:sz="4" w:space="0" w:color="auto"/>
            </w:tcBorders>
            <w:shd w:val="clear" w:color="auto" w:fill="auto"/>
          </w:tcPr>
          <w:p w14:paraId="000EEC5D" w14:textId="77777777" w:rsidR="002A4DDF" w:rsidRPr="00937C8B" w:rsidRDefault="002A4DDF" w:rsidP="009110ED">
            <w:pPr>
              <w:rPr>
                <w:rFonts w:ascii="Arial" w:hAnsi="Arial" w:cs="Arial"/>
                <w:sz w:val="12"/>
                <w:szCs w:val="12"/>
              </w:rPr>
            </w:pPr>
          </w:p>
        </w:tc>
        <w:tc>
          <w:tcPr>
            <w:tcW w:w="1843" w:type="dxa"/>
            <w:shd w:val="clear" w:color="auto" w:fill="auto"/>
          </w:tcPr>
          <w:p w14:paraId="578E5DD6" w14:textId="77777777" w:rsidR="002A4DDF" w:rsidRPr="00937C8B" w:rsidRDefault="002A4DDF" w:rsidP="009110ED">
            <w:pPr>
              <w:rPr>
                <w:rFonts w:ascii="Arial" w:hAnsi="Arial" w:cs="Arial"/>
                <w:sz w:val="12"/>
                <w:szCs w:val="12"/>
              </w:rPr>
            </w:pPr>
          </w:p>
        </w:tc>
        <w:tc>
          <w:tcPr>
            <w:tcW w:w="2268" w:type="dxa"/>
            <w:shd w:val="clear" w:color="auto" w:fill="F2F2F2"/>
            <w:hideMark/>
          </w:tcPr>
          <w:p w14:paraId="0BB2C179" w14:textId="77777777" w:rsidR="002A4DDF" w:rsidRPr="00937C8B" w:rsidRDefault="002A4DDF" w:rsidP="009110ED">
            <w:pPr>
              <w:rPr>
                <w:rFonts w:ascii="Arial" w:hAnsi="Arial" w:cs="Arial"/>
                <w:sz w:val="12"/>
                <w:szCs w:val="12"/>
              </w:rPr>
            </w:pPr>
            <w:r>
              <w:rPr>
                <w:rFonts w:ascii="Arial" w:hAnsi="Arial"/>
                <w:sz w:val="12"/>
                <w:szCs w:val="12"/>
              </w:rPr>
              <w:t>Canovelles</w:t>
            </w:r>
          </w:p>
        </w:tc>
        <w:tc>
          <w:tcPr>
            <w:tcW w:w="2268" w:type="dxa"/>
            <w:tcBorders>
              <w:right w:val="single" w:sz="4" w:space="0" w:color="auto"/>
            </w:tcBorders>
            <w:shd w:val="clear" w:color="auto" w:fill="D9D9D9"/>
            <w:hideMark/>
          </w:tcPr>
          <w:p w14:paraId="63B50131" w14:textId="77777777" w:rsidR="002A4DDF" w:rsidRPr="00937C8B" w:rsidRDefault="002A4DDF" w:rsidP="009110ED">
            <w:pPr>
              <w:rPr>
                <w:rFonts w:ascii="Arial" w:hAnsi="Arial" w:cs="Arial"/>
                <w:sz w:val="12"/>
                <w:szCs w:val="12"/>
              </w:rPr>
            </w:pPr>
            <w:r>
              <w:rPr>
                <w:rFonts w:ascii="Arial" w:hAnsi="Arial"/>
                <w:sz w:val="12"/>
                <w:szCs w:val="12"/>
              </w:rPr>
              <w:t>Canet de Mar</w:t>
            </w:r>
          </w:p>
        </w:tc>
      </w:tr>
      <w:tr w:rsidR="002A4DDF" w:rsidRPr="00937C8B" w14:paraId="0C1BC384" w14:textId="77777777" w:rsidTr="00935676">
        <w:trPr>
          <w:cantSplit/>
        </w:trPr>
        <w:tc>
          <w:tcPr>
            <w:tcW w:w="1696" w:type="dxa"/>
            <w:tcBorders>
              <w:left w:val="single" w:sz="4" w:space="0" w:color="auto"/>
            </w:tcBorders>
            <w:shd w:val="clear" w:color="auto" w:fill="auto"/>
          </w:tcPr>
          <w:p w14:paraId="1DE3557D" w14:textId="77777777" w:rsidR="002A4DDF" w:rsidRPr="00937C8B" w:rsidRDefault="002A4DDF" w:rsidP="009110ED">
            <w:pPr>
              <w:rPr>
                <w:rFonts w:ascii="Arial" w:hAnsi="Arial" w:cs="Arial"/>
                <w:sz w:val="12"/>
                <w:szCs w:val="12"/>
              </w:rPr>
            </w:pPr>
          </w:p>
        </w:tc>
        <w:tc>
          <w:tcPr>
            <w:tcW w:w="1843" w:type="dxa"/>
            <w:shd w:val="clear" w:color="auto" w:fill="auto"/>
          </w:tcPr>
          <w:p w14:paraId="355367B7" w14:textId="77777777" w:rsidR="002A4DDF" w:rsidRPr="00937C8B" w:rsidRDefault="002A4DDF" w:rsidP="009110ED">
            <w:pPr>
              <w:rPr>
                <w:rFonts w:ascii="Arial" w:hAnsi="Arial" w:cs="Arial"/>
                <w:sz w:val="12"/>
                <w:szCs w:val="12"/>
              </w:rPr>
            </w:pPr>
          </w:p>
        </w:tc>
        <w:tc>
          <w:tcPr>
            <w:tcW w:w="2268" w:type="dxa"/>
            <w:shd w:val="clear" w:color="auto" w:fill="F2F2F2"/>
            <w:hideMark/>
          </w:tcPr>
          <w:p w14:paraId="5BBEA002" w14:textId="77777777" w:rsidR="002A4DDF" w:rsidRPr="00937C8B" w:rsidRDefault="002A4DDF" w:rsidP="009110ED">
            <w:pPr>
              <w:rPr>
                <w:rFonts w:ascii="Arial" w:hAnsi="Arial" w:cs="Arial"/>
                <w:sz w:val="12"/>
                <w:szCs w:val="12"/>
              </w:rPr>
            </w:pPr>
            <w:r>
              <w:rPr>
                <w:rFonts w:ascii="Arial" w:hAnsi="Arial"/>
                <w:sz w:val="12"/>
                <w:szCs w:val="12"/>
              </w:rPr>
              <w:t>Cardedeu</w:t>
            </w:r>
          </w:p>
        </w:tc>
        <w:tc>
          <w:tcPr>
            <w:tcW w:w="2268" w:type="dxa"/>
            <w:tcBorders>
              <w:right w:val="single" w:sz="4" w:space="0" w:color="auto"/>
            </w:tcBorders>
            <w:shd w:val="clear" w:color="auto" w:fill="D9D9D9"/>
            <w:hideMark/>
          </w:tcPr>
          <w:p w14:paraId="3B0D6656" w14:textId="77777777" w:rsidR="002A4DDF" w:rsidRPr="00937C8B" w:rsidRDefault="002A4DDF" w:rsidP="009110ED">
            <w:pPr>
              <w:rPr>
                <w:rFonts w:ascii="Arial" w:hAnsi="Arial" w:cs="Arial"/>
                <w:sz w:val="12"/>
                <w:szCs w:val="12"/>
              </w:rPr>
            </w:pPr>
            <w:r>
              <w:rPr>
                <w:rFonts w:ascii="Arial" w:hAnsi="Arial"/>
                <w:sz w:val="12"/>
                <w:szCs w:val="12"/>
              </w:rPr>
              <w:t>Castellar de n'Hug</w:t>
            </w:r>
          </w:p>
        </w:tc>
      </w:tr>
      <w:tr w:rsidR="002A4DDF" w:rsidRPr="00937C8B" w14:paraId="4927FDE5" w14:textId="77777777" w:rsidTr="00935676">
        <w:trPr>
          <w:cantSplit/>
        </w:trPr>
        <w:tc>
          <w:tcPr>
            <w:tcW w:w="1696" w:type="dxa"/>
            <w:tcBorders>
              <w:left w:val="single" w:sz="4" w:space="0" w:color="auto"/>
            </w:tcBorders>
            <w:shd w:val="clear" w:color="auto" w:fill="auto"/>
          </w:tcPr>
          <w:p w14:paraId="2028635D" w14:textId="77777777" w:rsidR="002A4DDF" w:rsidRPr="00937C8B" w:rsidRDefault="002A4DDF" w:rsidP="009110ED">
            <w:pPr>
              <w:rPr>
                <w:rFonts w:ascii="Arial" w:hAnsi="Arial" w:cs="Arial"/>
                <w:sz w:val="12"/>
                <w:szCs w:val="12"/>
              </w:rPr>
            </w:pPr>
          </w:p>
        </w:tc>
        <w:tc>
          <w:tcPr>
            <w:tcW w:w="1843" w:type="dxa"/>
            <w:shd w:val="clear" w:color="auto" w:fill="auto"/>
          </w:tcPr>
          <w:p w14:paraId="4878BA68" w14:textId="77777777" w:rsidR="002A4DDF" w:rsidRPr="00937C8B" w:rsidRDefault="002A4DDF" w:rsidP="009110ED">
            <w:pPr>
              <w:rPr>
                <w:rFonts w:ascii="Arial" w:hAnsi="Arial" w:cs="Arial"/>
                <w:sz w:val="12"/>
                <w:szCs w:val="12"/>
              </w:rPr>
            </w:pPr>
          </w:p>
        </w:tc>
        <w:tc>
          <w:tcPr>
            <w:tcW w:w="2268" w:type="dxa"/>
            <w:shd w:val="clear" w:color="auto" w:fill="F2F2F2"/>
            <w:hideMark/>
          </w:tcPr>
          <w:p w14:paraId="5A93F688" w14:textId="77777777" w:rsidR="002A4DDF" w:rsidRPr="00937C8B" w:rsidRDefault="002A4DDF" w:rsidP="009110ED">
            <w:pPr>
              <w:rPr>
                <w:rFonts w:ascii="Arial" w:hAnsi="Arial" w:cs="Arial"/>
                <w:sz w:val="12"/>
                <w:szCs w:val="12"/>
              </w:rPr>
            </w:pPr>
            <w:r>
              <w:rPr>
                <w:rFonts w:ascii="Arial" w:hAnsi="Arial"/>
                <w:sz w:val="12"/>
                <w:szCs w:val="12"/>
              </w:rPr>
              <w:t>Castellar del Vallès</w:t>
            </w:r>
          </w:p>
        </w:tc>
        <w:tc>
          <w:tcPr>
            <w:tcW w:w="2268" w:type="dxa"/>
            <w:tcBorders>
              <w:right w:val="single" w:sz="4" w:space="0" w:color="auto"/>
            </w:tcBorders>
            <w:shd w:val="clear" w:color="auto" w:fill="D9D9D9"/>
            <w:hideMark/>
          </w:tcPr>
          <w:p w14:paraId="79659592" w14:textId="77777777" w:rsidR="002A4DDF" w:rsidRPr="00937C8B" w:rsidRDefault="002A4DDF" w:rsidP="009110ED">
            <w:pPr>
              <w:rPr>
                <w:rFonts w:ascii="Arial" w:hAnsi="Arial" w:cs="Arial"/>
                <w:sz w:val="12"/>
                <w:szCs w:val="12"/>
              </w:rPr>
            </w:pPr>
            <w:r>
              <w:rPr>
                <w:rFonts w:ascii="Arial" w:hAnsi="Arial"/>
                <w:sz w:val="12"/>
                <w:szCs w:val="12"/>
              </w:rPr>
              <w:t>Dosrius</w:t>
            </w:r>
          </w:p>
        </w:tc>
      </w:tr>
      <w:tr w:rsidR="002A4DDF" w:rsidRPr="00937C8B" w14:paraId="5CA53F59" w14:textId="77777777" w:rsidTr="00935676">
        <w:trPr>
          <w:cantSplit/>
        </w:trPr>
        <w:tc>
          <w:tcPr>
            <w:tcW w:w="1696" w:type="dxa"/>
            <w:tcBorders>
              <w:left w:val="single" w:sz="4" w:space="0" w:color="auto"/>
            </w:tcBorders>
            <w:shd w:val="clear" w:color="auto" w:fill="auto"/>
          </w:tcPr>
          <w:p w14:paraId="1E441DC6" w14:textId="77777777" w:rsidR="002A4DDF" w:rsidRPr="00937C8B" w:rsidRDefault="002A4DDF" w:rsidP="009110ED">
            <w:pPr>
              <w:rPr>
                <w:rFonts w:ascii="Arial" w:hAnsi="Arial" w:cs="Arial"/>
                <w:sz w:val="12"/>
                <w:szCs w:val="12"/>
              </w:rPr>
            </w:pPr>
          </w:p>
        </w:tc>
        <w:tc>
          <w:tcPr>
            <w:tcW w:w="1843" w:type="dxa"/>
            <w:shd w:val="clear" w:color="auto" w:fill="auto"/>
          </w:tcPr>
          <w:p w14:paraId="3636F7C4" w14:textId="77777777" w:rsidR="002A4DDF" w:rsidRPr="00937C8B" w:rsidRDefault="002A4DDF" w:rsidP="009110ED">
            <w:pPr>
              <w:rPr>
                <w:rFonts w:ascii="Arial" w:hAnsi="Arial" w:cs="Arial"/>
                <w:sz w:val="12"/>
                <w:szCs w:val="12"/>
              </w:rPr>
            </w:pPr>
          </w:p>
        </w:tc>
        <w:tc>
          <w:tcPr>
            <w:tcW w:w="2268" w:type="dxa"/>
            <w:shd w:val="clear" w:color="auto" w:fill="F2F2F2"/>
            <w:hideMark/>
          </w:tcPr>
          <w:p w14:paraId="75CBF4F0" w14:textId="77777777" w:rsidR="002A4DDF" w:rsidRPr="00937C8B" w:rsidRDefault="002A4DDF" w:rsidP="009110ED">
            <w:pPr>
              <w:rPr>
                <w:rFonts w:ascii="Arial" w:hAnsi="Arial" w:cs="Arial"/>
                <w:sz w:val="12"/>
                <w:szCs w:val="12"/>
              </w:rPr>
            </w:pPr>
            <w:r>
              <w:rPr>
                <w:rFonts w:ascii="Arial" w:hAnsi="Arial"/>
                <w:sz w:val="12"/>
                <w:szCs w:val="12"/>
              </w:rPr>
              <w:t>Castellbisbal</w:t>
            </w:r>
          </w:p>
        </w:tc>
        <w:tc>
          <w:tcPr>
            <w:tcW w:w="2268" w:type="dxa"/>
            <w:tcBorders>
              <w:right w:val="single" w:sz="4" w:space="0" w:color="auto"/>
            </w:tcBorders>
            <w:shd w:val="clear" w:color="auto" w:fill="D9D9D9"/>
            <w:hideMark/>
          </w:tcPr>
          <w:p w14:paraId="2C809A1E" w14:textId="77777777" w:rsidR="002A4DDF" w:rsidRPr="00937C8B" w:rsidRDefault="002A4DDF" w:rsidP="009110ED">
            <w:pPr>
              <w:rPr>
                <w:rFonts w:ascii="Arial" w:hAnsi="Arial" w:cs="Arial"/>
                <w:sz w:val="12"/>
                <w:szCs w:val="12"/>
              </w:rPr>
            </w:pPr>
            <w:r>
              <w:rPr>
                <w:rFonts w:ascii="Arial" w:hAnsi="Arial"/>
                <w:sz w:val="12"/>
                <w:szCs w:val="12"/>
              </w:rPr>
              <w:t>El Masnou</w:t>
            </w:r>
          </w:p>
        </w:tc>
      </w:tr>
      <w:tr w:rsidR="002A4DDF" w:rsidRPr="00937C8B" w14:paraId="52033833" w14:textId="77777777" w:rsidTr="00935676">
        <w:trPr>
          <w:cantSplit/>
        </w:trPr>
        <w:tc>
          <w:tcPr>
            <w:tcW w:w="1696" w:type="dxa"/>
            <w:tcBorders>
              <w:left w:val="single" w:sz="4" w:space="0" w:color="auto"/>
            </w:tcBorders>
            <w:shd w:val="clear" w:color="auto" w:fill="auto"/>
          </w:tcPr>
          <w:p w14:paraId="4A7C19FD" w14:textId="77777777" w:rsidR="002A4DDF" w:rsidRPr="00937C8B" w:rsidRDefault="002A4DDF" w:rsidP="009110ED">
            <w:pPr>
              <w:rPr>
                <w:rFonts w:ascii="Arial" w:hAnsi="Arial" w:cs="Arial"/>
                <w:sz w:val="12"/>
                <w:szCs w:val="12"/>
              </w:rPr>
            </w:pPr>
          </w:p>
        </w:tc>
        <w:tc>
          <w:tcPr>
            <w:tcW w:w="1843" w:type="dxa"/>
            <w:shd w:val="clear" w:color="auto" w:fill="auto"/>
          </w:tcPr>
          <w:p w14:paraId="15FDE4E4" w14:textId="77777777" w:rsidR="002A4DDF" w:rsidRPr="00937C8B" w:rsidRDefault="002A4DDF" w:rsidP="009110ED">
            <w:pPr>
              <w:rPr>
                <w:rFonts w:ascii="Arial" w:hAnsi="Arial" w:cs="Arial"/>
                <w:sz w:val="12"/>
                <w:szCs w:val="12"/>
              </w:rPr>
            </w:pPr>
          </w:p>
        </w:tc>
        <w:tc>
          <w:tcPr>
            <w:tcW w:w="2268" w:type="dxa"/>
            <w:shd w:val="clear" w:color="auto" w:fill="F2F2F2"/>
            <w:hideMark/>
          </w:tcPr>
          <w:p w14:paraId="4842BA79" w14:textId="77777777" w:rsidR="002A4DDF" w:rsidRPr="00937C8B" w:rsidRDefault="002A4DDF" w:rsidP="009110ED">
            <w:pPr>
              <w:rPr>
                <w:rFonts w:ascii="Arial" w:hAnsi="Arial" w:cs="Arial"/>
                <w:sz w:val="12"/>
                <w:szCs w:val="12"/>
              </w:rPr>
            </w:pPr>
            <w:r>
              <w:rPr>
                <w:rFonts w:ascii="Arial" w:hAnsi="Arial"/>
                <w:sz w:val="12"/>
                <w:szCs w:val="12"/>
              </w:rPr>
              <w:t>Castellfollit de Riubregós</w:t>
            </w:r>
          </w:p>
        </w:tc>
        <w:tc>
          <w:tcPr>
            <w:tcW w:w="2268" w:type="dxa"/>
            <w:tcBorders>
              <w:right w:val="single" w:sz="4" w:space="0" w:color="auto"/>
            </w:tcBorders>
            <w:shd w:val="clear" w:color="auto" w:fill="D9D9D9"/>
            <w:hideMark/>
          </w:tcPr>
          <w:p w14:paraId="42F87DE9" w14:textId="77777777" w:rsidR="002A4DDF" w:rsidRPr="00937C8B" w:rsidRDefault="002A4DDF" w:rsidP="009110ED">
            <w:pPr>
              <w:rPr>
                <w:rFonts w:ascii="Arial" w:hAnsi="Arial" w:cs="Arial"/>
                <w:sz w:val="12"/>
                <w:szCs w:val="12"/>
              </w:rPr>
            </w:pPr>
            <w:r>
              <w:rPr>
                <w:rFonts w:ascii="Arial" w:hAnsi="Arial"/>
                <w:sz w:val="12"/>
                <w:szCs w:val="12"/>
              </w:rPr>
              <w:t>Figaró-Montmany</w:t>
            </w:r>
          </w:p>
        </w:tc>
      </w:tr>
      <w:tr w:rsidR="002A4DDF" w:rsidRPr="00937C8B" w14:paraId="771B806B" w14:textId="77777777" w:rsidTr="00935676">
        <w:trPr>
          <w:cantSplit/>
        </w:trPr>
        <w:tc>
          <w:tcPr>
            <w:tcW w:w="1696" w:type="dxa"/>
            <w:tcBorders>
              <w:left w:val="single" w:sz="4" w:space="0" w:color="auto"/>
            </w:tcBorders>
            <w:shd w:val="clear" w:color="auto" w:fill="auto"/>
          </w:tcPr>
          <w:p w14:paraId="608FCD39" w14:textId="77777777" w:rsidR="002A4DDF" w:rsidRPr="00937C8B" w:rsidRDefault="002A4DDF" w:rsidP="009110ED">
            <w:pPr>
              <w:rPr>
                <w:rFonts w:ascii="Arial" w:hAnsi="Arial" w:cs="Arial"/>
                <w:sz w:val="12"/>
                <w:szCs w:val="12"/>
              </w:rPr>
            </w:pPr>
          </w:p>
        </w:tc>
        <w:tc>
          <w:tcPr>
            <w:tcW w:w="1843" w:type="dxa"/>
            <w:shd w:val="clear" w:color="auto" w:fill="auto"/>
          </w:tcPr>
          <w:p w14:paraId="07C0F59A" w14:textId="77777777" w:rsidR="002A4DDF" w:rsidRPr="00937C8B" w:rsidRDefault="002A4DDF" w:rsidP="009110ED">
            <w:pPr>
              <w:rPr>
                <w:rFonts w:ascii="Arial" w:hAnsi="Arial" w:cs="Arial"/>
                <w:sz w:val="12"/>
                <w:szCs w:val="12"/>
              </w:rPr>
            </w:pPr>
          </w:p>
        </w:tc>
        <w:tc>
          <w:tcPr>
            <w:tcW w:w="2268" w:type="dxa"/>
            <w:shd w:val="clear" w:color="auto" w:fill="F2F2F2"/>
            <w:hideMark/>
          </w:tcPr>
          <w:p w14:paraId="109ACC05" w14:textId="77777777" w:rsidR="002A4DDF" w:rsidRPr="00937C8B" w:rsidRDefault="002A4DDF" w:rsidP="009110ED">
            <w:pPr>
              <w:rPr>
                <w:rFonts w:ascii="Arial" w:hAnsi="Arial" w:cs="Arial"/>
                <w:sz w:val="12"/>
                <w:szCs w:val="12"/>
              </w:rPr>
            </w:pPr>
            <w:r>
              <w:rPr>
                <w:rFonts w:ascii="Arial" w:hAnsi="Arial"/>
                <w:sz w:val="12"/>
                <w:szCs w:val="12"/>
              </w:rPr>
              <w:t>Castellgalí</w:t>
            </w:r>
          </w:p>
        </w:tc>
        <w:tc>
          <w:tcPr>
            <w:tcW w:w="2268" w:type="dxa"/>
            <w:tcBorders>
              <w:right w:val="single" w:sz="4" w:space="0" w:color="auto"/>
            </w:tcBorders>
            <w:shd w:val="clear" w:color="auto" w:fill="D9D9D9"/>
            <w:hideMark/>
          </w:tcPr>
          <w:p w14:paraId="1D91A2B3" w14:textId="77777777" w:rsidR="002A4DDF" w:rsidRPr="00937C8B" w:rsidRDefault="002A4DDF" w:rsidP="009110ED">
            <w:pPr>
              <w:rPr>
                <w:rFonts w:ascii="Arial" w:hAnsi="Arial" w:cs="Arial"/>
                <w:sz w:val="12"/>
                <w:szCs w:val="12"/>
              </w:rPr>
            </w:pPr>
            <w:r>
              <w:rPr>
                <w:rFonts w:ascii="Arial" w:hAnsi="Arial"/>
                <w:sz w:val="12"/>
                <w:szCs w:val="12"/>
              </w:rPr>
              <w:t>Fogars de la Selva</w:t>
            </w:r>
          </w:p>
        </w:tc>
      </w:tr>
      <w:tr w:rsidR="002A4DDF" w:rsidRPr="00937C8B" w14:paraId="7DB2C876" w14:textId="77777777" w:rsidTr="00935676">
        <w:trPr>
          <w:cantSplit/>
        </w:trPr>
        <w:tc>
          <w:tcPr>
            <w:tcW w:w="1696" w:type="dxa"/>
            <w:tcBorders>
              <w:left w:val="single" w:sz="4" w:space="0" w:color="auto"/>
            </w:tcBorders>
            <w:shd w:val="clear" w:color="auto" w:fill="auto"/>
          </w:tcPr>
          <w:p w14:paraId="751A8F70" w14:textId="77777777" w:rsidR="002A4DDF" w:rsidRPr="00937C8B" w:rsidRDefault="002A4DDF" w:rsidP="009110ED">
            <w:pPr>
              <w:rPr>
                <w:rFonts w:ascii="Arial" w:hAnsi="Arial" w:cs="Arial"/>
                <w:sz w:val="12"/>
                <w:szCs w:val="12"/>
              </w:rPr>
            </w:pPr>
          </w:p>
        </w:tc>
        <w:tc>
          <w:tcPr>
            <w:tcW w:w="1843" w:type="dxa"/>
            <w:shd w:val="clear" w:color="auto" w:fill="auto"/>
          </w:tcPr>
          <w:p w14:paraId="16FDC496" w14:textId="77777777" w:rsidR="002A4DDF" w:rsidRPr="00937C8B" w:rsidRDefault="002A4DDF" w:rsidP="009110ED">
            <w:pPr>
              <w:rPr>
                <w:rFonts w:ascii="Arial" w:hAnsi="Arial" w:cs="Arial"/>
                <w:sz w:val="12"/>
                <w:szCs w:val="12"/>
              </w:rPr>
            </w:pPr>
          </w:p>
        </w:tc>
        <w:tc>
          <w:tcPr>
            <w:tcW w:w="2268" w:type="dxa"/>
            <w:shd w:val="clear" w:color="auto" w:fill="F2F2F2"/>
            <w:hideMark/>
          </w:tcPr>
          <w:p w14:paraId="206B5C93" w14:textId="77777777" w:rsidR="002A4DDF" w:rsidRPr="00937C8B" w:rsidRDefault="002A4DDF" w:rsidP="009110ED">
            <w:pPr>
              <w:rPr>
                <w:rFonts w:ascii="Arial" w:hAnsi="Arial" w:cs="Arial"/>
                <w:sz w:val="12"/>
                <w:szCs w:val="12"/>
              </w:rPr>
            </w:pPr>
            <w:r>
              <w:rPr>
                <w:rFonts w:ascii="Arial" w:hAnsi="Arial"/>
                <w:sz w:val="12"/>
                <w:szCs w:val="12"/>
              </w:rPr>
              <w:t>Centelles</w:t>
            </w:r>
          </w:p>
        </w:tc>
        <w:tc>
          <w:tcPr>
            <w:tcW w:w="2268" w:type="dxa"/>
            <w:tcBorders>
              <w:right w:val="single" w:sz="4" w:space="0" w:color="auto"/>
            </w:tcBorders>
            <w:shd w:val="clear" w:color="auto" w:fill="D9D9D9"/>
            <w:hideMark/>
          </w:tcPr>
          <w:p w14:paraId="51CB4214" w14:textId="77777777" w:rsidR="002A4DDF" w:rsidRPr="00937C8B" w:rsidRDefault="002A4DDF" w:rsidP="009110ED">
            <w:pPr>
              <w:rPr>
                <w:rFonts w:ascii="Arial" w:hAnsi="Arial" w:cs="Arial"/>
                <w:sz w:val="12"/>
                <w:szCs w:val="12"/>
              </w:rPr>
            </w:pPr>
            <w:r>
              <w:rPr>
                <w:rFonts w:ascii="Arial" w:hAnsi="Arial"/>
                <w:sz w:val="12"/>
                <w:szCs w:val="12"/>
              </w:rPr>
              <w:t>Gualba</w:t>
            </w:r>
          </w:p>
        </w:tc>
      </w:tr>
      <w:tr w:rsidR="002A4DDF" w:rsidRPr="00937C8B" w14:paraId="3D921C5D" w14:textId="77777777" w:rsidTr="00935676">
        <w:trPr>
          <w:cantSplit/>
        </w:trPr>
        <w:tc>
          <w:tcPr>
            <w:tcW w:w="1696" w:type="dxa"/>
            <w:tcBorders>
              <w:left w:val="single" w:sz="4" w:space="0" w:color="auto"/>
            </w:tcBorders>
            <w:shd w:val="clear" w:color="auto" w:fill="auto"/>
          </w:tcPr>
          <w:p w14:paraId="4EC156D8" w14:textId="77777777" w:rsidR="002A4DDF" w:rsidRPr="00937C8B" w:rsidRDefault="002A4DDF" w:rsidP="009110ED">
            <w:pPr>
              <w:rPr>
                <w:rFonts w:ascii="Arial" w:hAnsi="Arial" w:cs="Arial"/>
                <w:sz w:val="12"/>
                <w:szCs w:val="12"/>
              </w:rPr>
            </w:pPr>
          </w:p>
        </w:tc>
        <w:tc>
          <w:tcPr>
            <w:tcW w:w="1843" w:type="dxa"/>
            <w:shd w:val="clear" w:color="auto" w:fill="auto"/>
          </w:tcPr>
          <w:p w14:paraId="6A2D7F99" w14:textId="77777777" w:rsidR="002A4DDF" w:rsidRPr="00937C8B" w:rsidRDefault="002A4DDF" w:rsidP="009110ED">
            <w:pPr>
              <w:rPr>
                <w:rFonts w:ascii="Arial" w:hAnsi="Arial" w:cs="Arial"/>
                <w:sz w:val="12"/>
                <w:szCs w:val="12"/>
              </w:rPr>
            </w:pPr>
          </w:p>
        </w:tc>
        <w:tc>
          <w:tcPr>
            <w:tcW w:w="2268" w:type="dxa"/>
            <w:shd w:val="clear" w:color="auto" w:fill="F2F2F2"/>
            <w:hideMark/>
          </w:tcPr>
          <w:p w14:paraId="6E84F655" w14:textId="77777777" w:rsidR="002A4DDF" w:rsidRPr="00937C8B" w:rsidRDefault="002A4DDF" w:rsidP="009110ED">
            <w:pPr>
              <w:rPr>
                <w:rFonts w:ascii="Arial" w:hAnsi="Arial" w:cs="Arial"/>
                <w:sz w:val="12"/>
                <w:szCs w:val="12"/>
              </w:rPr>
            </w:pPr>
            <w:r>
              <w:rPr>
                <w:rFonts w:ascii="Arial" w:hAnsi="Arial"/>
                <w:sz w:val="12"/>
                <w:szCs w:val="12"/>
              </w:rPr>
              <w:t>Cerdanyola del Vallès</w:t>
            </w:r>
          </w:p>
        </w:tc>
        <w:tc>
          <w:tcPr>
            <w:tcW w:w="2268" w:type="dxa"/>
            <w:tcBorders>
              <w:right w:val="single" w:sz="4" w:space="0" w:color="auto"/>
            </w:tcBorders>
            <w:shd w:val="clear" w:color="auto" w:fill="D9D9D9"/>
            <w:hideMark/>
          </w:tcPr>
          <w:p w14:paraId="7DEB0E57" w14:textId="77777777" w:rsidR="002A4DDF" w:rsidRPr="00937C8B" w:rsidRDefault="002A4DDF" w:rsidP="009110ED">
            <w:pPr>
              <w:rPr>
                <w:rFonts w:ascii="Arial" w:hAnsi="Arial" w:cs="Arial"/>
                <w:sz w:val="12"/>
                <w:szCs w:val="12"/>
              </w:rPr>
            </w:pPr>
            <w:r>
              <w:rPr>
                <w:rFonts w:ascii="Arial" w:hAnsi="Arial"/>
                <w:sz w:val="12"/>
                <w:szCs w:val="12"/>
              </w:rPr>
              <w:t>Guardiola de Berguedà</w:t>
            </w:r>
          </w:p>
        </w:tc>
      </w:tr>
      <w:tr w:rsidR="002A4DDF" w:rsidRPr="00937C8B" w14:paraId="5EF23D76" w14:textId="77777777" w:rsidTr="00935676">
        <w:trPr>
          <w:cantSplit/>
        </w:trPr>
        <w:tc>
          <w:tcPr>
            <w:tcW w:w="1696" w:type="dxa"/>
            <w:tcBorders>
              <w:left w:val="single" w:sz="4" w:space="0" w:color="auto"/>
            </w:tcBorders>
            <w:shd w:val="clear" w:color="auto" w:fill="auto"/>
          </w:tcPr>
          <w:p w14:paraId="2956DFE6" w14:textId="77777777" w:rsidR="002A4DDF" w:rsidRPr="00937C8B" w:rsidRDefault="002A4DDF" w:rsidP="009110ED">
            <w:pPr>
              <w:rPr>
                <w:rFonts w:ascii="Arial" w:hAnsi="Arial" w:cs="Arial"/>
                <w:sz w:val="12"/>
                <w:szCs w:val="12"/>
              </w:rPr>
            </w:pPr>
          </w:p>
        </w:tc>
        <w:tc>
          <w:tcPr>
            <w:tcW w:w="1843" w:type="dxa"/>
            <w:shd w:val="clear" w:color="auto" w:fill="auto"/>
          </w:tcPr>
          <w:p w14:paraId="04D8324E" w14:textId="77777777" w:rsidR="002A4DDF" w:rsidRPr="00937C8B" w:rsidRDefault="002A4DDF" w:rsidP="009110ED">
            <w:pPr>
              <w:rPr>
                <w:rFonts w:ascii="Arial" w:hAnsi="Arial" w:cs="Arial"/>
                <w:sz w:val="12"/>
                <w:szCs w:val="12"/>
              </w:rPr>
            </w:pPr>
          </w:p>
        </w:tc>
        <w:tc>
          <w:tcPr>
            <w:tcW w:w="2268" w:type="dxa"/>
            <w:shd w:val="clear" w:color="auto" w:fill="F2F2F2"/>
            <w:hideMark/>
          </w:tcPr>
          <w:p w14:paraId="750E9334" w14:textId="77777777" w:rsidR="002A4DDF" w:rsidRPr="00937C8B" w:rsidRDefault="002A4DDF" w:rsidP="009110ED">
            <w:pPr>
              <w:rPr>
                <w:rFonts w:ascii="Arial" w:hAnsi="Arial" w:cs="Arial"/>
                <w:sz w:val="12"/>
                <w:szCs w:val="12"/>
              </w:rPr>
            </w:pPr>
            <w:r>
              <w:rPr>
                <w:rFonts w:ascii="Arial" w:hAnsi="Arial"/>
                <w:sz w:val="12"/>
                <w:szCs w:val="12"/>
              </w:rPr>
              <w:t>Cervelló</w:t>
            </w:r>
          </w:p>
        </w:tc>
        <w:tc>
          <w:tcPr>
            <w:tcW w:w="2268" w:type="dxa"/>
            <w:tcBorders>
              <w:right w:val="single" w:sz="4" w:space="0" w:color="auto"/>
            </w:tcBorders>
            <w:shd w:val="clear" w:color="auto" w:fill="D9D9D9"/>
            <w:hideMark/>
          </w:tcPr>
          <w:p w14:paraId="4B322CEC" w14:textId="77777777" w:rsidR="002A4DDF" w:rsidRPr="00937C8B" w:rsidRDefault="002A4DDF" w:rsidP="009110ED">
            <w:pPr>
              <w:rPr>
                <w:rFonts w:ascii="Arial" w:hAnsi="Arial" w:cs="Arial"/>
                <w:sz w:val="12"/>
                <w:szCs w:val="12"/>
              </w:rPr>
            </w:pPr>
            <w:r>
              <w:rPr>
                <w:rFonts w:ascii="Arial" w:hAnsi="Arial"/>
                <w:sz w:val="12"/>
                <w:szCs w:val="12"/>
              </w:rPr>
              <w:t>La Garriga</w:t>
            </w:r>
          </w:p>
        </w:tc>
      </w:tr>
      <w:tr w:rsidR="002A4DDF" w:rsidRPr="00937C8B" w14:paraId="571A27BF" w14:textId="77777777" w:rsidTr="00935676">
        <w:trPr>
          <w:cantSplit/>
        </w:trPr>
        <w:tc>
          <w:tcPr>
            <w:tcW w:w="1696" w:type="dxa"/>
            <w:tcBorders>
              <w:left w:val="single" w:sz="4" w:space="0" w:color="auto"/>
            </w:tcBorders>
            <w:shd w:val="clear" w:color="auto" w:fill="auto"/>
          </w:tcPr>
          <w:p w14:paraId="0E2CCF02" w14:textId="77777777" w:rsidR="002A4DDF" w:rsidRPr="00937C8B" w:rsidRDefault="002A4DDF" w:rsidP="009110ED">
            <w:pPr>
              <w:rPr>
                <w:rFonts w:ascii="Arial" w:hAnsi="Arial" w:cs="Arial"/>
                <w:sz w:val="12"/>
                <w:szCs w:val="12"/>
              </w:rPr>
            </w:pPr>
          </w:p>
        </w:tc>
        <w:tc>
          <w:tcPr>
            <w:tcW w:w="1843" w:type="dxa"/>
            <w:shd w:val="clear" w:color="auto" w:fill="auto"/>
          </w:tcPr>
          <w:p w14:paraId="680E2BDB" w14:textId="77777777" w:rsidR="002A4DDF" w:rsidRPr="00937C8B" w:rsidRDefault="002A4DDF" w:rsidP="009110ED">
            <w:pPr>
              <w:rPr>
                <w:rFonts w:ascii="Arial" w:hAnsi="Arial" w:cs="Arial"/>
                <w:sz w:val="12"/>
                <w:szCs w:val="12"/>
              </w:rPr>
            </w:pPr>
          </w:p>
        </w:tc>
        <w:tc>
          <w:tcPr>
            <w:tcW w:w="2268" w:type="dxa"/>
            <w:shd w:val="clear" w:color="auto" w:fill="F2F2F2"/>
            <w:hideMark/>
          </w:tcPr>
          <w:p w14:paraId="02B5703E" w14:textId="77777777" w:rsidR="002A4DDF" w:rsidRPr="00937C8B" w:rsidRDefault="002A4DDF" w:rsidP="009110ED">
            <w:pPr>
              <w:rPr>
                <w:rFonts w:ascii="Arial" w:hAnsi="Arial" w:cs="Arial"/>
                <w:sz w:val="12"/>
                <w:szCs w:val="12"/>
              </w:rPr>
            </w:pPr>
            <w:r>
              <w:rPr>
                <w:rFonts w:ascii="Arial" w:hAnsi="Arial"/>
                <w:sz w:val="12"/>
                <w:szCs w:val="12"/>
              </w:rPr>
              <w:t>Corbera de Llobregat</w:t>
            </w:r>
          </w:p>
        </w:tc>
        <w:tc>
          <w:tcPr>
            <w:tcW w:w="2268" w:type="dxa"/>
            <w:tcBorders>
              <w:right w:val="single" w:sz="4" w:space="0" w:color="auto"/>
            </w:tcBorders>
            <w:shd w:val="clear" w:color="auto" w:fill="D9D9D9"/>
            <w:hideMark/>
          </w:tcPr>
          <w:p w14:paraId="059F9B6C" w14:textId="77777777" w:rsidR="002A4DDF" w:rsidRPr="00937C8B" w:rsidRDefault="002A4DDF" w:rsidP="009110ED">
            <w:pPr>
              <w:rPr>
                <w:rFonts w:ascii="Arial" w:hAnsi="Arial" w:cs="Arial"/>
                <w:sz w:val="12"/>
                <w:szCs w:val="12"/>
              </w:rPr>
            </w:pPr>
            <w:r>
              <w:rPr>
                <w:rFonts w:ascii="Arial" w:hAnsi="Arial"/>
                <w:sz w:val="12"/>
                <w:szCs w:val="12"/>
              </w:rPr>
              <w:t>La Roca del Vallès</w:t>
            </w:r>
          </w:p>
        </w:tc>
      </w:tr>
      <w:tr w:rsidR="002A4DDF" w:rsidRPr="00937C8B" w14:paraId="40882D0B" w14:textId="77777777" w:rsidTr="00935676">
        <w:trPr>
          <w:cantSplit/>
        </w:trPr>
        <w:tc>
          <w:tcPr>
            <w:tcW w:w="1696" w:type="dxa"/>
            <w:tcBorders>
              <w:left w:val="single" w:sz="4" w:space="0" w:color="auto"/>
            </w:tcBorders>
            <w:shd w:val="clear" w:color="auto" w:fill="auto"/>
          </w:tcPr>
          <w:p w14:paraId="2173ACFC" w14:textId="77777777" w:rsidR="002A4DDF" w:rsidRPr="00937C8B" w:rsidRDefault="002A4DDF" w:rsidP="009110ED">
            <w:pPr>
              <w:rPr>
                <w:rFonts w:ascii="Arial" w:hAnsi="Arial" w:cs="Arial"/>
                <w:sz w:val="12"/>
                <w:szCs w:val="12"/>
              </w:rPr>
            </w:pPr>
          </w:p>
        </w:tc>
        <w:tc>
          <w:tcPr>
            <w:tcW w:w="1843" w:type="dxa"/>
            <w:shd w:val="clear" w:color="auto" w:fill="auto"/>
          </w:tcPr>
          <w:p w14:paraId="6DC00B99" w14:textId="77777777" w:rsidR="002A4DDF" w:rsidRPr="00937C8B" w:rsidRDefault="002A4DDF" w:rsidP="009110ED">
            <w:pPr>
              <w:rPr>
                <w:rFonts w:ascii="Arial" w:hAnsi="Arial" w:cs="Arial"/>
                <w:sz w:val="12"/>
                <w:szCs w:val="12"/>
              </w:rPr>
            </w:pPr>
          </w:p>
        </w:tc>
        <w:tc>
          <w:tcPr>
            <w:tcW w:w="2268" w:type="dxa"/>
            <w:shd w:val="clear" w:color="auto" w:fill="F2F2F2"/>
            <w:hideMark/>
          </w:tcPr>
          <w:p w14:paraId="7B89D46E" w14:textId="77777777" w:rsidR="002A4DDF" w:rsidRPr="00937C8B" w:rsidRDefault="002A4DDF" w:rsidP="009110ED">
            <w:pPr>
              <w:rPr>
                <w:rFonts w:ascii="Arial" w:hAnsi="Arial" w:cs="Arial"/>
                <w:sz w:val="12"/>
                <w:szCs w:val="12"/>
              </w:rPr>
            </w:pPr>
            <w:r>
              <w:rPr>
                <w:rFonts w:ascii="Arial" w:hAnsi="Arial"/>
                <w:sz w:val="12"/>
                <w:szCs w:val="12"/>
              </w:rPr>
              <w:t>Cornellà de Llobregat</w:t>
            </w:r>
          </w:p>
        </w:tc>
        <w:tc>
          <w:tcPr>
            <w:tcW w:w="2268" w:type="dxa"/>
            <w:tcBorders>
              <w:right w:val="single" w:sz="4" w:space="0" w:color="auto"/>
            </w:tcBorders>
            <w:shd w:val="clear" w:color="auto" w:fill="D9D9D9"/>
            <w:hideMark/>
          </w:tcPr>
          <w:p w14:paraId="71A776DF" w14:textId="77777777" w:rsidR="002A4DDF" w:rsidRPr="00937C8B" w:rsidRDefault="002A4DDF" w:rsidP="009110ED">
            <w:pPr>
              <w:rPr>
                <w:rFonts w:ascii="Arial" w:hAnsi="Arial" w:cs="Arial"/>
                <w:sz w:val="12"/>
                <w:szCs w:val="12"/>
              </w:rPr>
            </w:pPr>
            <w:r>
              <w:rPr>
                <w:rFonts w:ascii="Arial" w:hAnsi="Arial"/>
                <w:sz w:val="12"/>
                <w:szCs w:val="12"/>
              </w:rPr>
              <w:t>L'Ametlla del Vallès</w:t>
            </w:r>
          </w:p>
        </w:tc>
      </w:tr>
      <w:tr w:rsidR="002A4DDF" w:rsidRPr="00937C8B" w14:paraId="1C1CB379" w14:textId="77777777" w:rsidTr="00935676">
        <w:trPr>
          <w:cantSplit/>
        </w:trPr>
        <w:tc>
          <w:tcPr>
            <w:tcW w:w="1696" w:type="dxa"/>
            <w:tcBorders>
              <w:left w:val="single" w:sz="4" w:space="0" w:color="auto"/>
            </w:tcBorders>
            <w:shd w:val="clear" w:color="auto" w:fill="auto"/>
          </w:tcPr>
          <w:p w14:paraId="4334C55B" w14:textId="77777777" w:rsidR="002A4DDF" w:rsidRPr="00937C8B" w:rsidRDefault="002A4DDF" w:rsidP="009110ED">
            <w:pPr>
              <w:rPr>
                <w:rFonts w:ascii="Arial" w:hAnsi="Arial" w:cs="Arial"/>
                <w:sz w:val="12"/>
                <w:szCs w:val="12"/>
              </w:rPr>
            </w:pPr>
          </w:p>
        </w:tc>
        <w:tc>
          <w:tcPr>
            <w:tcW w:w="1843" w:type="dxa"/>
            <w:shd w:val="clear" w:color="auto" w:fill="auto"/>
          </w:tcPr>
          <w:p w14:paraId="5A83FD0A" w14:textId="77777777" w:rsidR="002A4DDF" w:rsidRPr="00937C8B" w:rsidRDefault="002A4DDF" w:rsidP="009110ED">
            <w:pPr>
              <w:rPr>
                <w:rFonts w:ascii="Arial" w:hAnsi="Arial" w:cs="Arial"/>
                <w:sz w:val="12"/>
                <w:szCs w:val="12"/>
              </w:rPr>
            </w:pPr>
          </w:p>
        </w:tc>
        <w:tc>
          <w:tcPr>
            <w:tcW w:w="2268" w:type="dxa"/>
            <w:shd w:val="clear" w:color="auto" w:fill="F2F2F2"/>
            <w:hideMark/>
          </w:tcPr>
          <w:p w14:paraId="148F3F54" w14:textId="77777777" w:rsidR="002A4DDF" w:rsidRPr="00937C8B" w:rsidRDefault="002A4DDF" w:rsidP="009110ED">
            <w:pPr>
              <w:rPr>
                <w:rFonts w:ascii="Arial" w:hAnsi="Arial" w:cs="Arial"/>
                <w:sz w:val="12"/>
                <w:szCs w:val="12"/>
              </w:rPr>
            </w:pPr>
            <w:r>
              <w:rPr>
                <w:rFonts w:ascii="Arial" w:hAnsi="Arial"/>
                <w:sz w:val="12"/>
                <w:szCs w:val="12"/>
              </w:rPr>
              <w:t>El Brull</w:t>
            </w:r>
          </w:p>
        </w:tc>
        <w:tc>
          <w:tcPr>
            <w:tcW w:w="2268" w:type="dxa"/>
            <w:tcBorders>
              <w:right w:val="single" w:sz="4" w:space="0" w:color="auto"/>
            </w:tcBorders>
            <w:shd w:val="clear" w:color="auto" w:fill="D9D9D9"/>
            <w:hideMark/>
          </w:tcPr>
          <w:p w14:paraId="567D330F" w14:textId="77777777" w:rsidR="002A4DDF" w:rsidRPr="00937C8B" w:rsidRDefault="002A4DDF" w:rsidP="009110ED">
            <w:pPr>
              <w:rPr>
                <w:rFonts w:ascii="Arial" w:hAnsi="Arial" w:cs="Arial"/>
                <w:sz w:val="12"/>
                <w:szCs w:val="12"/>
              </w:rPr>
            </w:pPr>
            <w:r>
              <w:rPr>
                <w:rFonts w:ascii="Arial" w:hAnsi="Arial"/>
                <w:sz w:val="12"/>
                <w:szCs w:val="12"/>
              </w:rPr>
              <w:t>Llinars del Vallès</w:t>
            </w:r>
          </w:p>
        </w:tc>
      </w:tr>
      <w:tr w:rsidR="002A4DDF" w:rsidRPr="00937C8B" w14:paraId="0C219991" w14:textId="77777777" w:rsidTr="00935676">
        <w:trPr>
          <w:cantSplit/>
        </w:trPr>
        <w:tc>
          <w:tcPr>
            <w:tcW w:w="1696" w:type="dxa"/>
            <w:tcBorders>
              <w:left w:val="single" w:sz="4" w:space="0" w:color="auto"/>
            </w:tcBorders>
            <w:shd w:val="clear" w:color="auto" w:fill="auto"/>
          </w:tcPr>
          <w:p w14:paraId="141DE773" w14:textId="77777777" w:rsidR="002A4DDF" w:rsidRPr="00937C8B" w:rsidRDefault="002A4DDF" w:rsidP="009110ED">
            <w:pPr>
              <w:rPr>
                <w:rFonts w:ascii="Arial" w:hAnsi="Arial" w:cs="Arial"/>
                <w:sz w:val="12"/>
                <w:szCs w:val="12"/>
              </w:rPr>
            </w:pPr>
          </w:p>
        </w:tc>
        <w:tc>
          <w:tcPr>
            <w:tcW w:w="1843" w:type="dxa"/>
            <w:shd w:val="clear" w:color="auto" w:fill="auto"/>
          </w:tcPr>
          <w:p w14:paraId="5A44ECFC" w14:textId="77777777" w:rsidR="002A4DDF" w:rsidRPr="00937C8B" w:rsidRDefault="002A4DDF" w:rsidP="009110ED">
            <w:pPr>
              <w:rPr>
                <w:rFonts w:ascii="Arial" w:hAnsi="Arial" w:cs="Arial"/>
                <w:sz w:val="12"/>
                <w:szCs w:val="12"/>
              </w:rPr>
            </w:pPr>
          </w:p>
        </w:tc>
        <w:tc>
          <w:tcPr>
            <w:tcW w:w="2268" w:type="dxa"/>
            <w:shd w:val="clear" w:color="auto" w:fill="F2F2F2"/>
            <w:hideMark/>
          </w:tcPr>
          <w:p w14:paraId="214460F5" w14:textId="77777777" w:rsidR="002A4DDF" w:rsidRPr="00937C8B" w:rsidRDefault="002A4DDF" w:rsidP="009110ED">
            <w:pPr>
              <w:rPr>
                <w:rFonts w:ascii="Arial" w:hAnsi="Arial" w:cs="Arial"/>
                <w:sz w:val="12"/>
                <w:szCs w:val="12"/>
              </w:rPr>
            </w:pPr>
            <w:r>
              <w:rPr>
                <w:rFonts w:ascii="Arial" w:hAnsi="Arial"/>
                <w:sz w:val="12"/>
                <w:szCs w:val="12"/>
              </w:rPr>
              <w:t>El Papiol</w:t>
            </w:r>
          </w:p>
        </w:tc>
        <w:tc>
          <w:tcPr>
            <w:tcW w:w="2268" w:type="dxa"/>
            <w:tcBorders>
              <w:right w:val="single" w:sz="4" w:space="0" w:color="auto"/>
            </w:tcBorders>
            <w:shd w:val="clear" w:color="auto" w:fill="D9D9D9"/>
            <w:hideMark/>
          </w:tcPr>
          <w:p w14:paraId="57484F93" w14:textId="77777777" w:rsidR="002A4DDF" w:rsidRPr="00937C8B" w:rsidRDefault="002A4DDF" w:rsidP="009110ED">
            <w:pPr>
              <w:rPr>
                <w:rFonts w:ascii="Arial" w:hAnsi="Arial" w:cs="Arial"/>
                <w:sz w:val="12"/>
                <w:szCs w:val="12"/>
              </w:rPr>
            </w:pPr>
            <w:r>
              <w:rPr>
                <w:rFonts w:ascii="Arial" w:hAnsi="Arial"/>
                <w:sz w:val="12"/>
                <w:szCs w:val="12"/>
              </w:rPr>
              <w:t>Malgrat de Mar</w:t>
            </w:r>
          </w:p>
        </w:tc>
      </w:tr>
      <w:tr w:rsidR="002A4DDF" w:rsidRPr="00937C8B" w14:paraId="57DC292C" w14:textId="77777777" w:rsidTr="00935676">
        <w:trPr>
          <w:cantSplit/>
        </w:trPr>
        <w:tc>
          <w:tcPr>
            <w:tcW w:w="1696" w:type="dxa"/>
            <w:tcBorders>
              <w:left w:val="single" w:sz="4" w:space="0" w:color="auto"/>
            </w:tcBorders>
            <w:shd w:val="clear" w:color="auto" w:fill="auto"/>
          </w:tcPr>
          <w:p w14:paraId="000CF704" w14:textId="77777777" w:rsidR="002A4DDF" w:rsidRPr="00937C8B" w:rsidRDefault="002A4DDF" w:rsidP="009110ED">
            <w:pPr>
              <w:rPr>
                <w:rFonts w:ascii="Arial" w:hAnsi="Arial" w:cs="Arial"/>
                <w:sz w:val="12"/>
                <w:szCs w:val="12"/>
              </w:rPr>
            </w:pPr>
          </w:p>
        </w:tc>
        <w:tc>
          <w:tcPr>
            <w:tcW w:w="1843" w:type="dxa"/>
            <w:shd w:val="clear" w:color="auto" w:fill="auto"/>
          </w:tcPr>
          <w:p w14:paraId="0C6D15CB" w14:textId="77777777" w:rsidR="002A4DDF" w:rsidRPr="00937C8B" w:rsidRDefault="002A4DDF" w:rsidP="009110ED">
            <w:pPr>
              <w:rPr>
                <w:rFonts w:ascii="Arial" w:hAnsi="Arial" w:cs="Arial"/>
                <w:sz w:val="12"/>
                <w:szCs w:val="12"/>
              </w:rPr>
            </w:pPr>
          </w:p>
        </w:tc>
        <w:tc>
          <w:tcPr>
            <w:tcW w:w="2268" w:type="dxa"/>
            <w:shd w:val="clear" w:color="auto" w:fill="F2F2F2"/>
            <w:hideMark/>
          </w:tcPr>
          <w:p w14:paraId="4FE9CF35" w14:textId="77777777" w:rsidR="002A4DDF" w:rsidRPr="00937C8B" w:rsidRDefault="002A4DDF" w:rsidP="009110ED">
            <w:pPr>
              <w:rPr>
                <w:rFonts w:ascii="Arial" w:hAnsi="Arial" w:cs="Arial"/>
                <w:sz w:val="12"/>
                <w:szCs w:val="12"/>
              </w:rPr>
            </w:pPr>
            <w:r>
              <w:rPr>
                <w:rFonts w:ascii="Arial" w:hAnsi="Arial"/>
                <w:sz w:val="12"/>
                <w:szCs w:val="12"/>
              </w:rPr>
              <w:t>El Pont de Vilomara i Rocafort</w:t>
            </w:r>
          </w:p>
        </w:tc>
        <w:tc>
          <w:tcPr>
            <w:tcW w:w="2268" w:type="dxa"/>
            <w:tcBorders>
              <w:right w:val="single" w:sz="4" w:space="0" w:color="auto"/>
            </w:tcBorders>
            <w:shd w:val="clear" w:color="auto" w:fill="D9D9D9"/>
            <w:hideMark/>
          </w:tcPr>
          <w:p w14:paraId="57BF102B" w14:textId="77777777" w:rsidR="002A4DDF" w:rsidRPr="00937C8B" w:rsidRDefault="002A4DDF" w:rsidP="009110ED">
            <w:pPr>
              <w:rPr>
                <w:rFonts w:ascii="Arial" w:hAnsi="Arial" w:cs="Arial"/>
                <w:sz w:val="12"/>
                <w:szCs w:val="12"/>
              </w:rPr>
            </w:pPr>
            <w:r>
              <w:rPr>
                <w:rFonts w:ascii="Arial" w:hAnsi="Arial"/>
                <w:sz w:val="12"/>
                <w:szCs w:val="12"/>
              </w:rPr>
              <w:t>Martorelles</w:t>
            </w:r>
          </w:p>
        </w:tc>
      </w:tr>
      <w:tr w:rsidR="002A4DDF" w:rsidRPr="00937C8B" w14:paraId="399CBCFF" w14:textId="77777777" w:rsidTr="00935676">
        <w:trPr>
          <w:cantSplit/>
        </w:trPr>
        <w:tc>
          <w:tcPr>
            <w:tcW w:w="1696" w:type="dxa"/>
            <w:tcBorders>
              <w:left w:val="single" w:sz="4" w:space="0" w:color="auto"/>
            </w:tcBorders>
            <w:shd w:val="clear" w:color="auto" w:fill="auto"/>
          </w:tcPr>
          <w:p w14:paraId="342457E0" w14:textId="77777777" w:rsidR="002A4DDF" w:rsidRPr="00937C8B" w:rsidRDefault="002A4DDF" w:rsidP="009110ED">
            <w:pPr>
              <w:rPr>
                <w:rFonts w:ascii="Arial" w:hAnsi="Arial" w:cs="Arial"/>
                <w:sz w:val="12"/>
                <w:szCs w:val="12"/>
              </w:rPr>
            </w:pPr>
          </w:p>
        </w:tc>
        <w:tc>
          <w:tcPr>
            <w:tcW w:w="1843" w:type="dxa"/>
            <w:shd w:val="clear" w:color="auto" w:fill="auto"/>
          </w:tcPr>
          <w:p w14:paraId="714BEC83" w14:textId="77777777" w:rsidR="002A4DDF" w:rsidRPr="00937C8B" w:rsidRDefault="002A4DDF" w:rsidP="009110ED">
            <w:pPr>
              <w:rPr>
                <w:rFonts w:ascii="Arial" w:hAnsi="Arial" w:cs="Arial"/>
                <w:sz w:val="12"/>
                <w:szCs w:val="12"/>
              </w:rPr>
            </w:pPr>
          </w:p>
        </w:tc>
        <w:tc>
          <w:tcPr>
            <w:tcW w:w="2268" w:type="dxa"/>
            <w:shd w:val="clear" w:color="auto" w:fill="F2F2F2"/>
            <w:hideMark/>
          </w:tcPr>
          <w:p w14:paraId="08BD4A04" w14:textId="77777777" w:rsidR="002A4DDF" w:rsidRPr="00937C8B" w:rsidRDefault="002A4DDF" w:rsidP="009110ED">
            <w:pPr>
              <w:rPr>
                <w:rFonts w:ascii="Arial" w:hAnsi="Arial" w:cs="Arial"/>
                <w:sz w:val="12"/>
                <w:szCs w:val="12"/>
              </w:rPr>
            </w:pPr>
            <w:r>
              <w:rPr>
                <w:rFonts w:ascii="Arial" w:hAnsi="Arial"/>
                <w:sz w:val="12"/>
                <w:szCs w:val="12"/>
              </w:rPr>
              <w:t>El Prat de Llobregat</w:t>
            </w:r>
          </w:p>
        </w:tc>
        <w:tc>
          <w:tcPr>
            <w:tcW w:w="2268" w:type="dxa"/>
            <w:tcBorders>
              <w:right w:val="single" w:sz="4" w:space="0" w:color="auto"/>
            </w:tcBorders>
            <w:shd w:val="clear" w:color="auto" w:fill="D9D9D9"/>
            <w:hideMark/>
          </w:tcPr>
          <w:p w14:paraId="60CD28A2" w14:textId="77777777" w:rsidR="002A4DDF" w:rsidRPr="00937C8B" w:rsidRDefault="002A4DDF" w:rsidP="009110ED">
            <w:pPr>
              <w:rPr>
                <w:rFonts w:ascii="Arial" w:hAnsi="Arial" w:cs="Arial"/>
                <w:sz w:val="12"/>
                <w:szCs w:val="12"/>
              </w:rPr>
            </w:pPr>
            <w:r>
              <w:rPr>
                <w:rFonts w:ascii="Arial" w:hAnsi="Arial"/>
                <w:sz w:val="12"/>
                <w:szCs w:val="12"/>
              </w:rPr>
              <w:t>Mataró</w:t>
            </w:r>
          </w:p>
        </w:tc>
      </w:tr>
      <w:tr w:rsidR="002A4DDF" w:rsidRPr="00937C8B" w14:paraId="7CD4F083" w14:textId="77777777" w:rsidTr="00935676">
        <w:trPr>
          <w:cantSplit/>
        </w:trPr>
        <w:tc>
          <w:tcPr>
            <w:tcW w:w="1696" w:type="dxa"/>
            <w:tcBorders>
              <w:left w:val="single" w:sz="4" w:space="0" w:color="auto"/>
            </w:tcBorders>
            <w:shd w:val="clear" w:color="auto" w:fill="auto"/>
          </w:tcPr>
          <w:p w14:paraId="4D0B5CED" w14:textId="77777777" w:rsidR="002A4DDF" w:rsidRPr="00937C8B" w:rsidRDefault="002A4DDF" w:rsidP="009110ED">
            <w:pPr>
              <w:rPr>
                <w:rFonts w:ascii="Arial" w:hAnsi="Arial" w:cs="Arial"/>
                <w:sz w:val="12"/>
                <w:szCs w:val="12"/>
              </w:rPr>
            </w:pPr>
          </w:p>
        </w:tc>
        <w:tc>
          <w:tcPr>
            <w:tcW w:w="1843" w:type="dxa"/>
            <w:shd w:val="clear" w:color="auto" w:fill="auto"/>
          </w:tcPr>
          <w:p w14:paraId="47F8C537" w14:textId="77777777" w:rsidR="002A4DDF" w:rsidRPr="00937C8B" w:rsidRDefault="002A4DDF" w:rsidP="009110ED">
            <w:pPr>
              <w:rPr>
                <w:rFonts w:ascii="Arial" w:hAnsi="Arial" w:cs="Arial"/>
                <w:sz w:val="12"/>
                <w:szCs w:val="12"/>
              </w:rPr>
            </w:pPr>
          </w:p>
        </w:tc>
        <w:tc>
          <w:tcPr>
            <w:tcW w:w="2268" w:type="dxa"/>
            <w:shd w:val="clear" w:color="auto" w:fill="F2F2F2"/>
            <w:hideMark/>
          </w:tcPr>
          <w:p w14:paraId="2DB2B602" w14:textId="77777777" w:rsidR="002A4DDF" w:rsidRPr="00937C8B" w:rsidRDefault="002A4DDF" w:rsidP="009110ED">
            <w:pPr>
              <w:rPr>
                <w:rFonts w:ascii="Arial" w:hAnsi="Arial" w:cs="Arial"/>
                <w:sz w:val="12"/>
                <w:szCs w:val="12"/>
              </w:rPr>
            </w:pPr>
            <w:r>
              <w:rPr>
                <w:rFonts w:ascii="Arial" w:hAnsi="Arial"/>
                <w:sz w:val="12"/>
                <w:szCs w:val="12"/>
              </w:rPr>
              <w:t>Esparreguera</w:t>
            </w:r>
          </w:p>
        </w:tc>
        <w:tc>
          <w:tcPr>
            <w:tcW w:w="2268" w:type="dxa"/>
            <w:tcBorders>
              <w:right w:val="single" w:sz="4" w:space="0" w:color="auto"/>
            </w:tcBorders>
            <w:shd w:val="clear" w:color="auto" w:fill="D9D9D9"/>
            <w:hideMark/>
          </w:tcPr>
          <w:p w14:paraId="3BFD3B33" w14:textId="77777777" w:rsidR="002A4DDF" w:rsidRPr="00937C8B" w:rsidRDefault="002A4DDF" w:rsidP="009110ED">
            <w:pPr>
              <w:rPr>
                <w:rFonts w:ascii="Arial" w:hAnsi="Arial" w:cs="Arial"/>
                <w:sz w:val="12"/>
                <w:szCs w:val="12"/>
              </w:rPr>
            </w:pPr>
            <w:r>
              <w:rPr>
                <w:rFonts w:ascii="Arial" w:hAnsi="Arial"/>
                <w:sz w:val="12"/>
                <w:szCs w:val="12"/>
              </w:rPr>
              <w:t>Montcada i Reixac</w:t>
            </w:r>
          </w:p>
        </w:tc>
      </w:tr>
      <w:tr w:rsidR="002A4DDF" w:rsidRPr="00937C8B" w14:paraId="6177B719" w14:textId="77777777" w:rsidTr="00935676">
        <w:trPr>
          <w:cantSplit/>
        </w:trPr>
        <w:tc>
          <w:tcPr>
            <w:tcW w:w="1696" w:type="dxa"/>
            <w:tcBorders>
              <w:left w:val="single" w:sz="4" w:space="0" w:color="auto"/>
            </w:tcBorders>
            <w:shd w:val="clear" w:color="auto" w:fill="auto"/>
          </w:tcPr>
          <w:p w14:paraId="101BBB64" w14:textId="77777777" w:rsidR="002A4DDF" w:rsidRPr="00937C8B" w:rsidRDefault="002A4DDF" w:rsidP="009110ED">
            <w:pPr>
              <w:rPr>
                <w:rFonts w:ascii="Arial" w:hAnsi="Arial" w:cs="Arial"/>
                <w:sz w:val="12"/>
                <w:szCs w:val="12"/>
              </w:rPr>
            </w:pPr>
          </w:p>
        </w:tc>
        <w:tc>
          <w:tcPr>
            <w:tcW w:w="1843" w:type="dxa"/>
            <w:shd w:val="clear" w:color="auto" w:fill="auto"/>
          </w:tcPr>
          <w:p w14:paraId="12F0B117" w14:textId="77777777" w:rsidR="002A4DDF" w:rsidRPr="00937C8B" w:rsidRDefault="002A4DDF" w:rsidP="009110ED">
            <w:pPr>
              <w:rPr>
                <w:rFonts w:ascii="Arial" w:hAnsi="Arial" w:cs="Arial"/>
                <w:sz w:val="12"/>
                <w:szCs w:val="12"/>
              </w:rPr>
            </w:pPr>
          </w:p>
        </w:tc>
        <w:tc>
          <w:tcPr>
            <w:tcW w:w="2268" w:type="dxa"/>
            <w:shd w:val="clear" w:color="auto" w:fill="F2F2F2"/>
            <w:hideMark/>
          </w:tcPr>
          <w:p w14:paraId="36C676F4" w14:textId="77777777" w:rsidR="002A4DDF" w:rsidRPr="00937C8B" w:rsidRDefault="002A4DDF" w:rsidP="009110ED">
            <w:pPr>
              <w:rPr>
                <w:rFonts w:ascii="Arial" w:hAnsi="Arial" w:cs="Arial"/>
                <w:sz w:val="12"/>
                <w:szCs w:val="12"/>
              </w:rPr>
            </w:pPr>
            <w:r>
              <w:rPr>
                <w:rFonts w:ascii="Arial" w:hAnsi="Arial"/>
                <w:sz w:val="12"/>
                <w:szCs w:val="12"/>
              </w:rPr>
              <w:t>Esplugues de Llobregat</w:t>
            </w:r>
          </w:p>
        </w:tc>
        <w:tc>
          <w:tcPr>
            <w:tcW w:w="2268" w:type="dxa"/>
            <w:tcBorders>
              <w:right w:val="single" w:sz="4" w:space="0" w:color="auto"/>
            </w:tcBorders>
            <w:shd w:val="clear" w:color="auto" w:fill="D9D9D9"/>
            <w:hideMark/>
          </w:tcPr>
          <w:p w14:paraId="76CE3FEF" w14:textId="77777777" w:rsidR="002A4DDF" w:rsidRPr="00937C8B" w:rsidRDefault="002A4DDF" w:rsidP="009110ED">
            <w:pPr>
              <w:rPr>
                <w:rFonts w:ascii="Arial" w:hAnsi="Arial" w:cs="Arial"/>
                <w:sz w:val="12"/>
                <w:szCs w:val="12"/>
              </w:rPr>
            </w:pPr>
            <w:r>
              <w:rPr>
                <w:rFonts w:ascii="Arial" w:hAnsi="Arial"/>
                <w:sz w:val="12"/>
                <w:szCs w:val="12"/>
              </w:rPr>
              <w:t>Montgat</w:t>
            </w:r>
          </w:p>
        </w:tc>
      </w:tr>
      <w:tr w:rsidR="002A4DDF" w:rsidRPr="00937C8B" w14:paraId="3D857AA6" w14:textId="77777777" w:rsidTr="00935676">
        <w:trPr>
          <w:cantSplit/>
        </w:trPr>
        <w:tc>
          <w:tcPr>
            <w:tcW w:w="1696" w:type="dxa"/>
            <w:tcBorders>
              <w:left w:val="single" w:sz="4" w:space="0" w:color="auto"/>
            </w:tcBorders>
            <w:shd w:val="clear" w:color="auto" w:fill="auto"/>
          </w:tcPr>
          <w:p w14:paraId="48B81CEA" w14:textId="77777777" w:rsidR="002A4DDF" w:rsidRPr="00937C8B" w:rsidRDefault="002A4DDF" w:rsidP="009110ED">
            <w:pPr>
              <w:rPr>
                <w:rFonts w:ascii="Arial" w:hAnsi="Arial" w:cs="Arial"/>
                <w:sz w:val="12"/>
                <w:szCs w:val="12"/>
              </w:rPr>
            </w:pPr>
          </w:p>
        </w:tc>
        <w:tc>
          <w:tcPr>
            <w:tcW w:w="1843" w:type="dxa"/>
            <w:shd w:val="clear" w:color="auto" w:fill="auto"/>
          </w:tcPr>
          <w:p w14:paraId="5A3A06E3" w14:textId="77777777" w:rsidR="002A4DDF" w:rsidRPr="00937C8B" w:rsidRDefault="002A4DDF" w:rsidP="009110ED">
            <w:pPr>
              <w:rPr>
                <w:rFonts w:ascii="Arial" w:hAnsi="Arial" w:cs="Arial"/>
                <w:sz w:val="12"/>
                <w:szCs w:val="12"/>
              </w:rPr>
            </w:pPr>
          </w:p>
        </w:tc>
        <w:tc>
          <w:tcPr>
            <w:tcW w:w="2268" w:type="dxa"/>
            <w:shd w:val="clear" w:color="auto" w:fill="F2F2F2"/>
            <w:hideMark/>
          </w:tcPr>
          <w:p w14:paraId="7F27100C" w14:textId="77777777" w:rsidR="002A4DDF" w:rsidRPr="00937C8B" w:rsidRDefault="002A4DDF" w:rsidP="009110ED">
            <w:pPr>
              <w:rPr>
                <w:rFonts w:ascii="Arial" w:hAnsi="Arial" w:cs="Arial"/>
                <w:sz w:val="12"/>
                <w:szCs w:val="12"/>
              </w:rPr>
            </w:pPr>
            <w:r>
              <w:rPr>
                <w:rFonts w:ascii="Arial" w:hAnsi="Arial"/>
                <w:sz w:val="12"/>
                <w:szCs w:val="12"/>
              </w:rPr>
              <w:t>Fogars de Montclús</w:t>
            </w:r>
          </w:p>
        </w:tc>
        <w:tc>
          <w:tcPr>
            <w:tcW w:w="2268" w:type="dxa"/>
            <w:tcBorders>
              <w:right w:val="single" w:sz="4" w:space="0" w:color="auto"/>
            </w:tcBorders>
            <w:shd w:val="clear" w:color="auto" w:fill="D9D9D9"/>
            <w:hideMark/>
          </w:tcPr>
          <w:p w14:paraId="189F978B" w14:textId="77777777" w:rsidR="002A4DDF" w:rsidRPr="00937C8B" w:rsidRDefault="002A4DDF" w:rsidP="009110ED">
            <w:pPr>
              <w:rPr>
                <w:rFonts w:ascii="Arial" w:hAnsi="Arial" w:cs="Arial"/>
                <w:sz w:val="12"/>
                <w:szCs w:val="12"/>
              </w:rPr>
            </w:pPr>
            <w:r>
              <w:rPr>
                <w:rFonts w:ascii="Arial" w:hAnsi="Arial"/>
                <w:sz w:val="12"/>
                <w:szCs w:val="12"/>
              </w:rPr>
              <w:t>Montornès del Vallès</w:t>
            </w:r>
          </w:p>
        </w:tc>
      </w:tr>
      <w:tr w:rsidR="002A4DDF" w:rsidRPr="00937C8B" w14:paraId="230007F6" w14:textId="77777777" w:rsidTr="00935676">
        <w:trPr>
          <w:cantSplit/>
        </w:trPr>
        <w:tc>
          <w:tcPr>
            <w:tcW w:w="1696" w:type="dxa"/>
            <w:tcBorders>
              <w:left w:val="single" w:sz="4" w:space="0" w:color="auto"/>
            </w:tcBorders>
            <w:shd w:val="clear" w:color="auto" w:fill="auto"/>
          </w:tcPr>
          <w:p w14:paraId="44BF1343" w14:textId="77777777" w:rsidR="002A4DDF" w:rsidRPr="00937C8B" w:rsidRDefault="002A4DDF" w:rsidP="009110ED">
            <w:pPr>
              <w:rPr>
                <w:rFonts w:ascii="Arial" w:hAnsi="Arial" w:cs="Arial"/>
                <w:sz w:val="12"/>
                <w:szCs w:val="12"/>
              </w:rPr>
            </w:pPr>
          </w:p>
        </w:tc>
        <w:tc>
          <w:tcPr>
            <w:tcW w:w="1843" w:type="dxa"/>
            <w:shd w:val="clear" w:color="auto" w:fill="auto"/>
          </w:tcPr>
          <w:p w14:paraId="7152CCD3" w14:textId="77777777" w:rsidR="002A4DDF" w:rsidRPr="00937C8B" w:rsidRDefault="002A4DDF" w:rsidP="009110ED">
            <w:pPr>
              <w:rPr>
                <w:rFonts w:ascii="Arial" w:hAnsi="Arial" w:cs="Arial"/>
                <w:sz w:val="12"/>
                <w:szCs w:val="12"/>
              </w:rPr>
            </w:pPr>
          </w:p>
        </w:tc>
        <w:tc>
          <w:tcPr>
            <w:tcW w:w="2268" w:type="dxa"/>
            <w:shd w:val="clear" w:color="auto" w:fill="F2F2F2"/>
            <w:hideMark/>
          </w:tcPr>
          <w:p w14:paraId="1088B28A" w14:textId="77777777" w:rsidR="002A4DDF" w:rsidRPr="00937C8B" w:rsidRDefault="002A4DDF" w:rsidP="009110ED">
            <w:pPr>
              <w:rPr>
                <w:rFonts w:ascii="Arial" w:hAnsi="Arial" w:cs="Arial"/>
                <w:sz w:val="12"/>
                <w:szCs w:val="12"/>
              </w:rPr>
            </w:pPr>
            <w:r>
              <w:rPr>
                <w:rFonts w:ascii="Arial" w:hAnsi="Arial"/>
                <w:sz w:val="12"/>
                <w:szCs w:val="12"/>
              </w:rPr>
              <w:t>Folgueroles</w:t>
            </w:r>
          </w:p>
        </w:tc>
        <w:tc>
          <w:tcPr>
            <w:tcW w:w="2268" w:type="dxa"/>
            <w:tcBorders>
              <w:right w:val="single" w:sz="4" w:space="0" w:color="auto"/>
            </w:tcBorders>
            <w:shd w:val="clear" w:color="auto" w:fill="D9D9D9"/>
            <w:hideMark/>
          </w:tcPr>
          <w:p w14:paraId="67362395" w14:textId="77777777" w:rsidR="002A4DDF" w:rsidRPr="00937C8B" w:rsidRDefault="002A4DDF" w:rsidP="009110ED">
            <w:pPr>
              <w:rPr>
                <w:rFonts w:ascii="Arial" w:hAnsi="Arial" w:cs="Arial"/>
                <w:sz w:val="12"/>
                <w:szCs w:val="12"/>
              </w:rPr>
            </w:pPr>
            <w:r>
              <w:rPr>
                <w:rFonts w:ascii="Arial" w:hAnsi="Arial"/>
                <w:sz w:val="12"/>
                <w:szCs w:val="12"/>
              </w:rPr>
              <w:t>Òrrius</w:t>
            </w:r>
          </w:p>
        </w:tc>
      </w:tr>
      <w:tr w:rsidR="002A4DDF" w:rsidRPr="00937C8B" w14:paraId="5B851BE8" w14:textId="77777777" w:rsidTr="00935676">
        <w:trPr>
          <w:cantSplit/>
        </w:trPr>
        <w:tc>
          <w:tcPr>
            <w:tcW w:w="1696" w:type="dxa"/>
            <w:tcBorders>
              <w:left w:val="single" w:sz="4" w:space="0" w:color="auto"/>
            </w:tcBorders>
            <w:shd w:val="clear" w:color="auto" w:fill="auto"/>
          </w:tcPr>
          <w:p w14:paraId="533E335F" w14:textId="77777777" w:rsidR="002A4DDF" w:rsidRPr="00937C8B" w:rsidRDefault="002A4DDF" w:rsidP="009110ED">
            <w:pPr>
              <w:rPr>
                <w:rFonts w:ascii="Arial" w:hAnsi="Arial" w:cs="Arial"/>
                <w:sz w:val="12"/>
                <w:szCs w:val="12"/>
              </w:rPr>
            </w:pPr>
          </w:p>
        </w:tc>
        <w:tc>
          <w:tcPr>
            <w:tcW w:w="1843" w:type="dxa"/>
            <w:shd w:val="clear" w:color="auto" w:fill="auto"/>
          </w:tcPr>
          <w:p w14:paraId="14459689" w14:textId="77777777" w:rsidR="002A4DDF" w:rsidRPr="00937C8B" w:rsidRDefault="002A4DDF" w:rsidP="009110ED">
            <w:pPr>
              <w:rPr>
                <w:rFonts w:ascii="Arial" w:hAnsi="Arial" w:cs="Arial"/>
                <w:sz w:val="12"/>
                <w:szCs w:val="12"/>
              </w:rPr>
            </w:pPr>
          </w:p>
        </w:tc>
        <w:tc>
          <w:tcPr>
            <w:tcW w:w="2268" w:type="dxa"/>
            <w:shd w:val="clear" w:color="auto" w:fill="F2F2F2"/>
            <w:hideMark/>
          </w:tcPr>
          <w:p w14:paraId="4CACC323" w14:textId="77777777" w:rsidR="002A4DDF" w:rsidRPr="00937C8B" w:rsidRDefault="002A4DDF" w:rsidP="009110ED">
            <w:pPr>
              <w:rPr>
                <w:rFonts w:ascii="Arial" w:hAnsi="Arial" w:cs="Arial"/>
                <w:sz w:val="12"/>
                <w:szCs w:val="12"/>
              </w:rPr>
            </w:pPr>
            <w:r>
              <w:rPr>
                <w:rFonts w:ascii="Arial" w:hAnsi="Arial"/>
                <w:sz w:val="12"/>
                <w:szCs w:val="12"/>
              </w:rPr>
              <w:t>Gelida</w:t>
            </w:r>
          </w:p>
        </w:tc>
        <w:tc>
          <w:tcPr>
            <w:tcW w:w="2268" w:type="dxa"/>
            <w:tcBorders>
              <w:right w:val="single" w:sz="4" w:space="0" w:color="auto"/>
            </w:tcBorders>
            <w:shd w:val="clear" w:color="auto" w:fill="D9D9D9"/>
            <w:hideMark/>
          </w:tcPr>
          <w:p w14:paraId="1AC6E67D" w14:textId="77777777" w:rsidR="002A4DDF" w:rsidRPr="00937C8B" w:rsidRDefault="002A4DDF" w:rsidP="009110ED">
            <w:pPr>
              <w:rPr>
                <w:rFonts w:ascii="Arial" w:hAnsi="Arial" w:cs="Arial"/>
                <w:sz w:val="12"/>
                <w:szCs w:val="12"/>
              </w:rPr>
            </w:pPr>
            <w:r>
              <w:rPr>
                <w:rFonts w:ascii="Arial" w:hAnsi="Arial"/>
                <w:sz w:val="12"/>
                <w:szCs w:val="12"/>
              </w:rPr>
              <w:t>Palafolls</w:t>
            </w:r>
          </w:p>
        </w:tc>
      </w:tr>
      <w:tr w:rsidR="002A4DDF" w:rsidRPr="00937C8B" w14:paraId="5BDAFA7F" w14:textId="77777777" w:rsidTr="00935676">
        <w:trPr>
          <w:cantSplit/>
        </w:trPr>
        <w:tc>
          <w:tcPr>
            <w:tcW w:w="1696" w:type="dxa"/>
            <w:tcBorders>
              <w:left w:val="single" w:sz="4" w:space="0" w:color="auto"/>
            </w:tcBorders>
            <w:shd w:val="clear" w:color="auto" w:fill="auto"/>
          </w:tcPr>
          <w:p w14:paraId="1C8C6C99" w14:textId="77777777" w:rsidR="002A4DDF" w:rsidRPr="00937C8B" w:rsidRDefault="002A4DDF" w:rsidP="009110ED">
            <w:pPr>
              <w:rPr>
                <w:rFonts w:ascii="Arial" w:hAnsi="Arial" w:cs="Arial"/>
                <w:sz w:val="12"/>
                <w:szCs w:val="12"/>
              </w:rPr>
            </w:pPr>
          </w:p>
        </w:tc>
        <w:tc>
          <w:tcPr>
            <w:tcW w:w="1843" w:type="dxa"/>
            <w:shd w:val="clear" w:color="auto" w:fill="auto"/>
          </w:tcPr>
          <w:p w14:paraId="522EF0D7" w14:textId="77777777" w:rsidR="002A4DDF" w:rsidRPr="00937C8B" w:rsidRDefault="002A4DDF" w:rsidP="009110ED">
            <w:pPr>
              <w:rPr>
                <w:rFonts w:ascii="Arial" w:hAnsi="Arial" w:cs="Arial"/>
                <w:sz w:val="12"/>
                <w:szCs w:val="12"/>
              </w:rPr>
            </w:pPr>
          </w:p>
        </w:tc>
        <w:tc>
          <w:tcPr>
            <w:tcW w:w="2268" w:type="dxa"/>
            <w:shd w:val="clear" w:color="auto" w:fill="F2F2F2"/>
            <w:hideMark/>
          </w:tcPr>
          <w:p w14:paraId="6DDA37FA" w14:textId="77777777" w:rsidR="002A4DDF" w:rsidRPr="00937C8B" w:rsidRDefault="002A4DDF" w:rsidP="009110ED">
            <w:pPr>
              <w:rPr>
                <w:rFonts w:ascii="Arial" w:hAnsi="Arial" w:cs="Arial"/>
                <w:sz w:val="12"/>
                <w:szCs w:val="12"/>
              </w:rPr>
            </w:pPr>
            <w:r>
              <w:rPr>
                <w:rFonts w:ascii="Arial" w:hAnsi="Arial"/>
                <w:sz w:val="12"/>
                <w:szCs w:val="12"/>
              </w:rPr>
              <w:t>Gisclareny</w:t>
            </w:r>
          </w:p>
        </w:tc>
        <w:tc>
          <w:tcPr>
            <w:tcW w:w="2268" w:type="dxa"/>
            <w:tcBorders>
              <w:right w:val="single" w:sz="4" w:space="0" w:color="auto"/>
            </w:tcBorders>
            <w:shd w:val="clear" w:color="auto" w:fill="D9D9D9"/>
            <w:hideMark/>
          </w:tcPr>
          <w:p w14:paraId="67A263C9" w14:textId="77777777" w:rsidR="002A4DDF" w:rsidRPr="00937C8B" w:rsidRDefault="002A4DDF" w:rsidP="009110ED">
            <w:pPr>
              <w:rPr>
                <w:rFonts w:ascii="Arial" w:hAnsi="Arial" w:cs="Arial"/>
                <w:sz w:val="12"/>
                <w:szCs w:val="12"/>
              </w:rPr>
            </w:pPr>
            <w:r>
              <w:rPr>
                <w:rFonts w:ascii="Arial" w:hAnsi="Arial"/>
                <w:sz w:val="12"/>
                <w:szCs w:val="12"/>
              </w:rPr>
              <w:t>Pineda de Mar</w:t>
            </w:r>
          </w:p>
        </w:tc>
      </w:tr>
      <w:tr w:rsidR="002A4DDF" w:rsidRPr="00937C8B" w14:paraId="29B91A49" w14:textId="77777777" w:rsidTr="00935676">
        <w:trPr>
          <w:cantSplit/>
        </w:trPr>
        <w:tc>
          <w:tcPr>
            <w:tcW w:w="1696" w:type="dxa"/>
            <w:tcBorders>
              <w:left w:val="single" w:sz="4" w:space="0" w:color="auto"/>
            </w:tcBorders>
            <w:shd w:val="clear" w:color="auto" w:fill="auto"/>
          </w:tcPr>
          <w:p w14:paraId="7AC8CA3A" w14:textId="77777777" w:rsidR="002A4DDF" w:rsidRPr="00937C8B" w:rsidRDefault="002A4DDF" w:rsidP="009110ED">
            <w:pPr>
              <w:rPr>
                <w:rFonts w:ascii="Arial" w:hAnsi="Arial" w:cs="Arial"/>
                <w:sz w:val="12"/>
                <w:szCs w:val="12"/>
              </w:rPr>
            </w:pPr>
          </w:p>
        </w:tc>
        <w:tc>
          <w:tcPr>
            <w:tcW w:w="1843" w:type="dxa"/>
            <w:shd w:val="clear" w:color="auto" w:fill="auto"/>
          </w:tcPr>
          <w:p w14:paraId="04030916" w14:textId="77777777" w:rsidR="002A4DDF" w:rsidRPr="00937C8B" w:rsidRDefault="002A4DDF" w:rsidP="009110ED">
            <w:pPr>
              <w:rPr>
                <w:rFonts w:ascii="Arial" w:hAnsi="Arial" w:cs="Arial"/>
                <w:sz w:val="12"/>
                <w:szCs w:val="12"/>
              </w:rPr>
            </w:pPr>
          </w:p>
        </w:tc>
        <w:tc>
          <w:tcPr>
            <w:tcW w:w="2268" w:type="dxa"/>
            <w:shd w:val="clear" w:color="auto" w:fill="F2F2F2"/>
            <w:hideMark/>
          </w:tcPr>
          <w:p w14:paraId="038047C5" w14:textId="77777777" w:rsidR="002A4DDF" w:rsidRPr="00937C8B" w:rsidRDefault="002A4DDF" w:rsidP="009110ED">
            <w:pPr>
              <w:rPr>
                <w:rFonts w:ascii="Arial" w:hAnsi="Arial" w:cs="Arial"/>
                <w:sz w:val="12"/>
                <w:szCs w:val="12"/>
              </w:rPr>
            </w:pPr>
            <w:r>
              <w:rPr>
                <w:rFonts w:ascii="Arial" w:hAnsi="Arial"/>
                <w:sz w:val="12"/>
                <w:szCs w:val="12"/>
              </w:rPr>
              <w:t>Granollers</w:t>
            </w:r>
          </w:p>
        </w:tc>
        <w:tc>
          <w:tcPr>
            <w:tcW w:w="2268" w:type="dxa"/>
            <w:tcBorders>
              <w:right w:val="single" w:sz="4" w:space="0" w:color="auto"/>
            </w:tcBorders>
            <w:shd w:val="clear" w:color="auto" w:fill="D9D9D9"/>
            <w:hideMark/>
          </w:tcPr>
          <w:p w14:paraId="6B4DFB93" w14:textId="77777777" w:rsidR="002A4DDF" w:rsidRPr="00937C8B" w:rsidRDefault="002A4DDF" w:rsidP="009110ED">
            <w:pPr>
              <w:rPr>
                <w:rFonts w:ascii="Arial" w:hAnsi="Arial" w:cs="Arial"/>
                <w:sz w:val="12"/>
                <w:szCs w:val="12"/>
              </w:rPr>
            </w:pPr>
            <w:r>
              <w:rPr>
                <w:rFonts w:ascii="Arial" w:hAnsi="Arial"/>
                <w:sz w:val="12"/>
                <w:szCs w:val="12"/>
              </w:rPr>
              <w:t>Premià de Dalt</w:t>
            </w:r>
          </w:p>
        </w:tc>
      </w:tr>
      <w:tr w:rsidR="002A4DDF" w:rsidRPr="00937C8B" w14:paraId="19E9633D" w14:textId="77777777" w:rsidTr="00935676">
        <w:trPr>
          <w:cantSplit/>
        </w:trPr>
        <w:tc>
          <w:tcPr>
            <w:tcW w:w="1696" w:type="dxa"/>
            <w:tcBorders>
              <w:left w:val="single" w:sz="4" w:space="0" w:color="auto"/>
            </w:tcBorders>
            <w:shd w:val="clear" w:color="auto" w:fill="auto"/>
          </w:tcPr>
          <w:p w14:paraId="3D321AF1" w14:textId="77777777" w:rsidR="002A4DDF" w:rsidRPr="00937C8B" w:rsidRDefault="002A4DDF" w:rsidP="009110ED">
            <w:pPr>
              <w:rPr>
                <w:rFonts w:ascii="Arial" w:hAnsi="Arial" w:cs="Arial"/>
                <w:sz w:val="12"/>
                <w:szCs w:val="12"/>
              </w:rPr>
            </w:pPr>
          </w:p>
        </w:tc>
        <w:tc>
          <w:tcPr>
            <w:tcW w:w="1843" w:type="dxa"/>
            <w:shd w:val="clear" w:color="auto" w:fill="auto"/>
          </w:tcPr>
          <w:p w14:paraId="464060C6" w14:textId="77777777" w:rsidR="002A4DDF" w:rsidRPr="00937C8B" w:rsidRDefault="002A4DDF" w:rsidP="009110ED">
            <w:pPr>
              <w:rPr>
                <w:rFonts w:ascii="Arial" w:hAnsi="Arial" w:cs="Arial"/>
                <w:sz w:val="12"/>
                <w:szCs w:val="12"/>
              </w:rPr>
            </w:pPr>
          </w:p>
        </w:tc>
        <w:tc>
          <w:tcPr>
            <w:tcW w:w="2268" w:type="dxa"/>
            <w:shd w:val="clear" w:color="auto" w:fill="F2F2F2"/>
            <w:hideMark/>
          </w:tcPr>
          <w:p w14:paraId="2ECD61E0" w14:textId="77777777" w:rsidR="002A4DDF" w:rsidRPr="00937C8B" w:rsidRDefault="002A4DDF" w:rsidP="009110ED">
            <w:pPr>
              <w:rPr>
                <w:rFonts w:ascii="Arial" w:hAnsi="Arial" w:cs="Arial"/>
                <w:sz w:val="12"/>
                <w:szCs w:val="12"/>
              </w:rPr>
            </w:pPr>
            <w:r>
              <w:rPr>
                <w:rFonts w:ascii="Arial" w:hAnsi="Arial"/>
                <w:sz w:val="12"/>
                <w:szCs w:val="12"/>
              </w:rPr>
              <w:t>Gurb</w:t>
            </w:r>
          </w:p>
        </w:tc>
        <w:tc>
          <w:tcPr>
            <w:tcW w:w="2268" w:type="dxa"/>
            <w:tcBorders>
              <w:right w:val="single" w:sz="4" w:space="0" w:color="auto"/>
            </w:tcBorders>
            <w:shd w:val="clear" w:color="auto" w:fill="D9D9D9"/>
            <w:hideMark/>
          </w:tcPr>
          <w:p w14:paraId="18308EF7" w14:textId="77777777" w:rsidR="002A4DDF" w:rsidRPr="00937C8B" w:rsidRDefault="002A4DDF" w:rsidP="009110ED">
            <w:pPr>
              <w:rPr>
                <w:rFonts w:ascii="Arial" w:hAnsi="Arial" w:cs="Arial"/>
                <w:sz w:val="12"/>
                <w:szCs w:val="12"/>
              </w:rPr>
            </w:pPr>
            <w:r>
              <w:rPr>
                <w:rFonts w:ascii="Arial" w:hAnsi="Arial"/>
                <w:sz w:val="12"/>
                <w:szCs w:val="12"/>
              </w:rPr>
              <w:t>Sant Andreu de Llavaneres</w:t>
            </w:r>
          </w:p>
        </w:tc>
      </w:tr>
      <w:tr w:rsidR="002A4DDF" w:rsidRPr="00937C8B" w14:paraId="43823191" w14:textId="77777777" w:rsidTr="00935676">
        <w:trPr>
          <w:cantSplit/>
        </w:trPr>
        <w:tc>
          <w:tcPr>
            <w:tcW w:w="1696" w:type="dxa"/>
            <w:tcBorders>
              <w:left w:val="single" w:sz="4" w:space="0" w:color="auto"/>
            </w:tcBorders>
            <w:shd w:val="clear" w:color="auto" w:fill="auto"/>
          </w:tcPr>
          <w:p w14:paraId="2990D5E8" w14:textId="77777777" w:rsidR="002A4DDF" w:rsidRPr="00937C8B" w:rsidRDefault="002A4DDF" w:rsidP="009110ED">
            <w:pPr>
              <w:rPr>
                <w:rFonts w:ascii="Arial" w:hAnsi="Arial" w:cs="Arial"/>
                <w:sz w:val="12"/>
                <w:szCs w:val="12"/>
              </w:rPr>
            </w:pPr>
          </w:p>
        </w:tc>
        <w:tc>
          <w:tcPr>
            <w:tcW w:w="1843" w:type="dxa"/>
            <w:shd w:val="clear" w:color="auto" w:fill="auto"/>
          </w:tcPr>
          <w:p w14:paraId="346AE858" w14:textId="77777777" w:rsidR="002A4DDF" w:rsidRPr="00937C8B" w:rsidRDefault="002A4DDF" w:rsidP="009110ED">
            <w:pPr>
              <w:rPr>
                <w:rFonts w:ascii="Arial" w:hAnsi="Arial" w:cs="Arial"/>
                <w:sz w:val="12"/>
                <w:szCs w:val="12"/>
              </w:rPr>
            </w:pPr>
          </w:p>
        </w:tc>
        <w:tc>
          <w:tcPr>
            <w:tcW w:w="2268" w:type="dxa"/>
            <w:shd w:val="clear" w:color="auto" w:fill="F2F2F2"/>
            <w:hideMark/>
          </w:tcPr>
          <w:p w14:paraId="04604141" w14:textId="77777777" w:rsidR="002A4DDF" w:rsidRPr="00937C8B" w:rsidRDefault="002A4DDF" w:rsidP="009110ED">
            <w:pPr>
              <w:rPr>
                <w:rFonts w:ascii="Arial" w:hAnsi="Arial" w:cs="Arial"/>
                <w:sz w:val="12"/>
                <w:szCs w:val="12"/>
              </w:rPr>
            </w:pPr>
            <w:r>
              <w:rPr>
                <w:rFonts w:ascii="Arial" w:hAnsi="Arial"/>
                <w:sz w:val="12"/>
                <w:szCs w:val="12"/>
              </w:rPr>
              <w:t>La Llagosta</w:t>
            </w:r>
          </w:p>
        </w:tc>
        <w:tc>
          <w:tcPr>
            <w:tcW w:w="2268" w:type="dxa"/>
            <w:tcBorders>
              <w:right w:val="single" w:sz="4" w:space="0" w:color="auto"/>
            </w:tcBorders>
            <w:shd w:val="clear" w:color="auto" w:fill="D9D9D9"/>
            <w:hideMark/>
          </w:tcPr>
          <w:p w14:paraId="7BB40073" w14:textId="77777777" w:rsidR="002A4DDF" w:rsidRPr="00937C8B" w:rsidRDefault="002A4DDF" w:rsidP="009110ED">
            <w:pPr>
              <w:rPr>
                <w:rFonts w:ascii="Arial" w:hAnsi="Arial" w:cs="Arial"/>
                <w:sz w:val="12"/>
                <w:szCs w:val="12"/>
              </w:rPr>
            </w:pPr>
            <w:r>
              <w:rPr>
                <w:rFonts w:ascii="Arial" w:hAnsi="Arial"/>
                <w:sz w:val="12"/>
                <w:szCs w:val="12"/>
              </w:rPr>
              <w:t>Sant Cebrià de Vallalta</w:t>
            </w:r>
          </w:p>
        </w:tc>
      </w:tr>
      <w:tr w:rsidR="002A4DDF" w:rsidRPr="00937C8B" w14:paraId="0D9A502A" w14:textId="77777777" w:rsidTr="00935676">
        <w:trPr>
          <w:cantSplit/>
        </w:trPr>
        <w:tc>
          <w:tcPr>
            <w:tcW w:w="1696" w:type="dxa"/>
            <w:tcBorders>
              <w:left w:val="single" w:sz="4" w:space="0" w:color="auto"/>
            </w:tcBorders>
            <w:shd w:val="clear" w:color="auto" w:fill="auto"/>
          </w:tcPr>
          <w:p w14:paraId="74B44FD4" w14:textId="77777777" w:rsidR="002A4DDF" w:rsidRPr="00937C8B" w:rsidRDefault="002A4DDF" w:rsidP="009110ED">
            <w:pPr>
              <w:rPr>
                <w:rFonts w:ascii="Arial" w:hAnsi="Arial" w:cs="Arial"/>
                <w:sz w:val="12"/>
                <w:szCs w:val="12"/>
              </w:rPr>
            </w:pPr>
          </w:p>
        </w:tc>
        <w:tc>
          <w:tcPr>
            <w:tcW w:w="1843" w:type="dxa"/>
            <w:shd w:val="clear" w:color="auto" w:fill="auto"/>
          </w:tcPr>
          <w:p w14:paraId="44677525" w14:textId="77777777" w:rsidR="002A4DDF" w:rsidRPr="00937C8B" w:rsidRDefault="002A4DDF" w:rsidP="009110ED">
            <w:pPr>
              <w:rPr>
                <w:rFonts w:ascii="Arial" w:hAnsi="Arial" w:cs="Arial"/>
                <w:sz w:val="12"/>
                <w:szCs w:val="12"/>
              </w:rPr>
            </w:pPr>
          </w:p>
        </w:tc>
        <w:tc>
          <w:tcPr>
            <w:tcW w:w="2268" w:type="dxa"/>
            <w:shd w:val="clear" w:color="auto" w:fill="F2F2F2"/>
            <w:hideMark/>
          </w:tcPr>
          <w:p w14:paraId="5005F378" w14:textId="77777777" w:rsidR="002A4DDF" w:rsidRPr="00937C8B" w:rsidRDefault="002A4DDF" w:rsidP="009110ED">
            <w:pPr>
              <w:rPr>
                <w:rFonts w:ascii="Arial" w:hAnsi="Arial" w:cs="Arial"/>
                <w:sz w:val="12"/>
                <w:szCs w:val="12"/>
              </w:rPr>
            </w:pPr>
            <w:r>
              <w:rPr>
                <w:rFonts w:ascii="Arial" w:hAnsi="Arial"/>
                <w:sz w:val="12"/>
                <w:szCs w:val="12"/>
              </w:rPr>
              <w:t>La Palma de Cervelló</w:t>
            </w:r>
          </w:p>
        </w:tc>
        <w:tc>
          <w:tcPr>
            <w:tcW w:w="2268" w:type="dxa"/>
            <w:tcBorders>
              <w:right w:val="single" w:sz="4" w:space="0" w:color="auto"/>
            </w:tcBorders>
            <w:shd w:val="clear" w:color="auto" w:fill="D9D9D9"/>
            <w:hideMark/>
          </w:tcPr>
          <w:p w14:paraId="0F5A1312" w14:textId="77777777" w:rsidR="002A4DDF" w:rsidRPr="00937C8B" w:rsidRDefault="002A4DDF" w:rsidP="009110ED">
            <w:pPr>
              <w:rPr>
                <w:rFonts w:ascii="Arial" w:hAnsi="Arial" w:cs="Arial"/>
                <w:sz w:val="12"/>
                <w:szCs w:val="12"/>
              </w:rPr>
            </w:pPr>
            <w:r>
              <w:rPr>
                <w:rFonts w:ascii="Arial" w:hAnsi="Arial"/>
                <w:sz w:val="12"/>
                <w:szCs w:val="12"/>
              </w:rPr>
              <w:t>Sant Celoni</w:t>
            </w:r>
          </w:p>
        </w:tc>
      </w:tr>
      <w:tr w:rsidR="002A4DDF" w:rsidRPr="00937C8B" w14:paraId="718995AB" w14:textId="77777777" w:rsidTr="00935676">
        <w:trPr>
          <w:cantSplit/>
        </w:trPr>
        <w:tc>
          <w:tcPr>
            <w:tcW w:w="1696" w:type="dxa"/>
            <w:tcBorders>
              <w:left w:val="single" w:sz="4" w:space="0" w:color="auto"/>
            </w:tcBorders>
            <w:shd w:val="clear" w:color="auto" w:fill="auto"/>
          </w:tcPr>
          <w:p w14:paraId="74021EB1" w14:textId="77777777" w:rsidR="002A4DDF" w:rsidRPr="00937C8B" w:rsidRDefault="002A4DDF" w:rsidP="009110ED">
            <w:pPr>
              <w:rPr>
                <w:rFonts w:ascii="Arial" w:hAnsi="Arial" w:cs="Arial"/>
                <w:sz w:val="12"/>
                <w:szCs w:val="12"/>
              </w:rPr>
            </w:pPr>
          </w:p>
        </w:tc>
        <w:tc>
          <w:tcPr>
            <w:tcW w:w="1843" w:type="dxa"/>
            <w:shd w:val="clear" w:color="auto" w:fill="auto"/>
          </w:tcPr>
          <w:p w14:paraId="1060586D" w14:textId="77777777" w:rsidR="002A4DDF" w:rsidRPr="00937C8B" w:rsidRDefault="002A4DDF" w:rsidP="009110ED">
            <w:pPr>
              <w:rPr>
                <w:rFonts w:ascii="Arial" w:hAnsi="Arial" w:cs="Arial"/>
                <w:sz w:val="12"/>
                <w:szCs w:val="12"/>
              </w:rPr>
            </w:pPr>
          </w:p>
        </w:tc>
        <w:tc>
          <w:tcPr>
            <w:tcW w:w="2268" w:type="dxa"/>
            <w:shd w:val="clear" w:color="auto" w:fill="F2F2F2"/>
            <w:hideMark/>
          </w:tcPr>
          <w:p w14:paraId="5B2D0545" w14:textId="77777777" w:rsidR="002A4DDF" w:rsidRPr="00937C8B" w:rsidRDefault="002A4DDF" w:rsidP="009110ED">
            <w:pPr>
              <w:rPr>
                <w:rFonts w:ascii="Arial" w:hAnsi="Arial" w:cs="Arial"/>
                <w:sz w:val="12"/>
                <w:szCs w:val="12"/>
              </w:rPr>
            </w:pPr>
            <w:r>
              <w:rPr>
                <w:rFonts w:ascii="Arial" w:hAnsi="Arial"/>
                <w:sz w:val="12"/>
                <w:szCs w:val="12"/>
              </w:rPr>
              <w:t>La Pobla de Lillet</w:t>
            </w:r>
          </w:p>
        </w:tc>
        <w:tc>
          <w:tcPr>
            <w:tcW w:w="2268" w:type="dxa"/>
            <w:tcBorders>
              <w:right w:val="single" w:sz="4" w:space="0" w:color="auto"/>
            </w:tcBorders>
            <w:shd w:val="clear" w:color="auto" w:fill="D9D9D9"/>
            <w:hideMark/>
          </w:tcPr>
          <w:p w14:paraId="69300054" w14:textId="77777777" w:rsidR="002A4DDF" w:rsidRPr="00937C8B" w:rsidRDefault="002A4DDF" w:rsidP="009110ED">
            <w:pPr>
              <w:rPr>
                <w:rFonts w:ascii="Arial" w:hAnsi="Arial" w:cs="Arial"/>
                <w:sz w:val="12"/>
                <w:szCs w:val="12"/>
              </w:rPr>
            </w:pPr>
            <w:r>
              <w:rPr>
                <w:rFonts w:ascii="Arial" w:hAnsi="Arial"/>
                <w:sz w:val="12"/>
                <w:szCs w:val="12"/>
              </w:rPr>
              <w:t>Sant Fost de Campsentelles</w:t>
            </w:r>
          </w:p>
        </w:tc>
      </w:tr>
      <w:tr w:rsidR="002A4DDF" w:rsidRPr="00937C8B" w14:paraId="37E3F4A9" w14:textId="77777777" w:rsidTr="00935676">
        <w:trPr>
          <w:cantSplit/>
        </w:trPr>
        <w:tc>
          <w:tcPr>
            <w:tcW w:w="1696" w:type="dxa"/>
            <w:tcBorders>
              <w:left w:val="single" w:sz="4" w:space="0" w:color="auto"/>
            </w:tcBorders>
            <w:shd w:val="clear" w:color="auto" w:fill="auto"/>
          </w:tcPr>
          <w:p w14:paraId="463FA453" w14:textId="77777777" w:rsidR="002A4DDF" w:rsidRPr="00937C8B" w:rsidRDefault="002A4DDF" w:rsidP="009110ED">
            <w:pPr>
              <w:rPr>
                <w:rFonts w:ascii="Arial" w:hAnsi="Arial" w:cs="Arial"/>
                <w:sz w:val="12"/>
                <w:szCs w:val="12"/>
              </w:rPr>
            </w:pPr>
          </w:p>
        </w:tc>
        <w:tc>
          <w:tcPr>
            <w:tcW w:w="1843" w:type="dxa"/>
            <w:shd w:val="clear" w:color="auto" w:fill="auto"/>
          </w:tcPr>
          <w:p w14:paraId="128FF0E0" w14:textId="77777777" w:rsidR="002A4DDF" w:rsidRPr="00937C8B" w:rsidRDefault="002A4DDF" w:rsidP="009110ED">
            <w:pPr>
              <w:rPr>
                <w:rFonts w:ascii="Arial" w:hAnsi="Arial" w:cs="Arial"/>
                <w:sz w:val="12"/>
                <w:szCs w:val="12"/>
              </w:rPr>
            </w:pPr>
          </w:p>
        </w:tc>
        <w:tc>
          <w:tcPr>
            <w:tcW w:w="2268" w:type="dxa"/>
            <w:shd w:val="clear" w:color="auto" w:fill="F2F2F2"/>
            <w:hideMark/>
          </w:tcPr>
          <w:p w14:paraId="37188A5B" w14:textId="77777777" w:rsidR="002A4DDF" w:rsidRPr="00937C8B" w:rsidRDefault="002A4DDF" w:rsidP="009110ED">
            <w:pPr>
              <w:rPr>
                <w:rFonts w:ascii="Arial" w:hAnsi="Arial" w:cs="Arial"/>
                <w:sz w:val="12"/>
                <w:szCs w:val="12"/>
              </w:rPr>
            </w:pPr>
            <w:r>
              <w:rPr>
                <w:rFonts w:ascii="Arial" w:hAnsi="Arial"/>
                <w:sz w:val="12"/>
                <w:szCs w:val="12"/>
              </w:rPr>
              <w:t>Les Franqueses del Vallès</w:t>
            </w:r>
          </w:p>
        </w:tc>
        <w:tc>
          <w:tcPr>
            <w:tcW w:w="2268" w:type="dxa"/>
            <w:tcBorders>
              <w:right w:val="single" w:sz="4" w:space="0" w:color="auto"/>
            </w:tcBorders>
            <w:shd w:val="clear" w:color="auto" w:fill="D9D9D9"/>
            <w:hideMark/>
          </w:tcPr>
          <w:p w14:paraId="43809BC0" w14:textId="77777777" w:rsidR="002A4DDF" w:rsidRPr="00937C8B" w:rsidRDefault="002A4DDF" w:rsidP="009110ED">
            <w:pPr>
              <w:rPr>
                <w:rFonts w:ascii="Arial" w:hAnsi="Arial" w:cs="Arial"/>
                <w:sz w:val="12"/>
                <w:szCs w:val="12"/>
              </w:rPr>
            </w:pPr>
            <w:r>
              <w:rPr>
                <w:rFonts w:ascii="Arial" w:hAnsi="Arial"/>
                <w:sz w:val="12"/>
                <w:szCs w:val="12"/>
              </w:rPr>
              <w:t>Sant Iscle de Vallalta</w:t>
            </w:r>
          </w:p>
        </w:tc>
      </w:tr>
      <w:tr w:rsidR="002A4DDF" w:rsidRPr="00937C8B" w14:paraId="6893E638" w14:textId="77777777" w:rsidTr="00935676">
        <w:trPr>
          <w:cantSplit/>
        </w:trPr>
        <w:tc>
          <w:tcPr>
            <w:tcW w:w="1696" w:type="dxa"/>
            <w:tcBorders>
              <w:left w:val="single" w:sz="4" w:space="0" w:color="auto"/>
            </w:tcBorders>
            <w:shd w:val="clear" w:color="auto" w:fill="auto"/>
          </w:tcPr>
          <w:p w14:paraId="3F2DBE0D" w14:textId="77777777" w:rsidR="002A4DDF" w:rsidRPr="00937C8B" w:rsidRDefault="002A4DDF" w:rsidP="009110ED">
            <w:pPr>
              <w:rPr>
                <w:rFonts w:ascii="Arial" w:hAnsi="Arial" w:cs="Arial"/>
                <w:sz w:val="12"/>
                <w:szCs w:val="12"/>
              </w:rPr>
            </w:pPr>
          </w:p>
        </w:tc>
        <w:tc>
          <w:tcPr>
            <w:tcW w:w="1843" w:type="dxa"/>
            <w:shd w:val="clear" w:color="auto" w:fill="auto"/>
          </w:tcPr>
          <w:p w14:paraId="58E0DD93" w14:textId="77777777" w:rsidR="002A4DDF" w:rsidRPr="00937C8B" w:rsidRDefault="002A4DDF" w:rsidP="009110ED">
            <w:pPr>
              <w:rPr>
                <w:rFonts w:ascii="Arial" w:hAnsi="Arial" w:cs="Arial"/>
                <w:sz w:val="12"/>
                <w:szCs w:val="12"/>
              </w:rPr>
            </w:pPr>
          </w:p>
        </w:tc>
        <w:tc>
          <w:tcPr>
            <w:tcW w:w="2268" w:type="dxa"/>
            <w:shd w:val="clear" w:color="auto" w:fill="F2F2F2"/>
            <w:hideMark/>
          </w:tcPr>
          <w:p w14:paraId="45A13CF9" w14:textId="77777777" w:rsidR="002A4DDF" w:rsidRPr="00937C8B" w:rsidRDefault="002A4DDF" w:rsidP="009110ED">
            <w:pPr>
              <w:rPr>
                <w:rFonts w:ascii="Arial" w:hAnsi="Arial" w:cs="Arial"/>
                <w:sz w:val="12"/>
                <w:szCs w:val="12"/>
              </w:rPr>
            </w:pPr>
            <w:r>
              <w:rPr>
                <w:rFonts w:ascii="Arial" w:hAnsi="Arial"/>
                <w:sz w:val="12"/>
                <w:szCs w:val="12"/>
              </w:rPr>
              <w:t>Les Masies de Roda</w:t>
            </w:r>
          </w:p>
        </w:tc>
        <w:tc>
          <w:tcPr>
            <w:tcW w:w="2268" w:type="dxa"/>
            <w:tcBorders>
              <w:right w:val="single" w:sz="4" w:space="0" w:color="auto"/>
            </w:tcBorders>
            <w:shd w:val="clear" w:color="auto" w:fill="D9D9D9"/>
            <w:hideMark/>
          </w:tcPr>
          <w:p w14:paraId="55ACFDDD" w14:textId="77777777" w:rsidR="002A4DDF" w:rsidRPr="00937C8B" w:rsidRDefault="002A4DDF" w:rsidP="009110ED">
            <w:pPr>
              <w:rPr>
                <w:rFonts w:ascii="Arial" w:hAnsi="Arial" w:cs="Arial"/>
                <w:sz w:val="12"/>
                <w:szCs w:val="12"/>
              </w:rPr>
            </w:pPr>
            <w:r>
              <w:rPr>
                <w:rFonts w:ascii="Arial" w:hAnsi="Arial"/>
                <w:sz w:val="12"/>
                <w:szCs w:val="12"/>
              </w:rPr>
              <w:t>Sant Pol de Mar</w:t>
            </w:r>
          </w:p>
        </w:tc>
      </w:tr>
      <w:tr w:rsidR="002A4DDF" w:rsidRPr="00937C8B" w14:paraId="2680B0BC" w14:textId="77777777" w:rsidTr="00935676">
        <w:trPr>
          <w:cantSplit/>
        </w:trPr>
        <w:tc>
          <w:tcPr>
            <w:tcW w:w="1696" w:type="dxa"/>
            <w:tcBorders>
              <w:left w:val="single" w:sz="4" w:space="0" w:color="auto"/>
            </w:tcBorders>
            <w:shd w:val="clear" w:color="auto" w:fill="auto"/>
          </w:tcPr>
          <w:p w14:paraId="0CF3D182" w14:textId="77777777" w:rsidR="002A4DDF" w:rsidRPr="00937C8B" w:rsidRDefault="002A4DDF" w:rsidP="009110ED">
            <w:pPr>
              <w:rPr>
                <w:rFonts w:ascii="Arial" w:hAnsi="Arial" w:cs="Arial"/>
                <w:sz w:val="12"/>
                <w:szCs w:val="12"/>
              </w:rPr>
            </w:pPr>
          </w:p>
        </w:tc>
        <w:tc>
          <w:tcPr>
            <w:tcW w:w="1843" w:type="dxa"/>
            <w:shd w:val="clear" w:color="auto" w:fill="auto"/>
          </w:tcPr>
          <w:p w14:paraId="00B90F91" w14:textId="77777777" w:rsidR="002A4DDF" w:rsidRPr="00937C8B" w:rsidRDefault="002A4DDF" w:rsidP="009110ED">
            <w:pPr>
              <w:rPr>
                <w:rFonts w:ascii="Arial" w:hAnsi="Arial" w:cs="Arial"/>
                <w:sz w:val="12"/>
                <w:szCs w:val="12"/>
              </w:rPr>
            </w:pPr>
          </w:p>
        </w:tc>
        <w:tc>
          <w:tcPr>
            <w:tcW w:w="2268" w:type="dxa"/>
            <w:shd w:val="clear" w:color="auto" w:fill="F2F2F2"/>
            <w:hideMark/>
          </w:tcPr>
          <w:p w14:paraId="5696EF03" w14:textId="77777777" w:rsidR="002A4DDF" w:rsidRPr="00937C8B" w:rsidRDefault="002A4DDF" w:rsidP="009110ED">
            <w:pPr>
              <w:rPr>
                <w:rFonts w:ascii="Arial" w:hAnsi="Arial" w:cs="Arial"/>
                <w:sz w:val="12"/>
                <w:szCs w:val="12"/>
              </w:rPr>
            </w:pPr>
            <w:r>
              <w:rPr>
                <w:rFonts w:ascii="Arial" w:hAnsi="Arial"/>
                <w:sz w:val="12"/>
                <w:szCs w:val="12"/>
              </w:rPr>
              <w:t>Les Masies de Voltregà</w:t>
            </w:r>
          </w:p>
        </w:tc>
        <w:tc>
          <w:tcPr>
            <w:tcW w:w="2268" w:type="dxa"/>
            <w:tcBorders>
              <w:right w:val="single" w:sz="4" w:space="0" w:color="auto"/>
            </w:tcBorders>
            <w:shd w:val="clear" w:color="auto" w:fill="D9D9D9"/>
            <w:hideMark/>
          </w:tcPr>
          <w:p w14:paraId="775C2EEA" w14:textId="77777777" w:rsidR="002A4DDF" w:rsidRPr="00937C8B" w:rsidRDefault="002A4DDF" w:rsidP="009110ED">
            <w:pPr>
              <w:rPr>
                <w:rFonts w:ascii="Arial" w:hAnsi="Arial" w:cs="Arial"/>
                <w:sz w:val="12"/>
                <w:szCs w:val="12"/>
              </w:rPr>
            </w:pPr>
            <w:r>
              <w:rPr>
                <w:rFonts w:ascii="Arial" w:hAnsi="Arial"/>
                <w:sz w:val="12"/>
                <w:szCs w:val="12"/>
              </w:rPr>
              <w:t>Sant Sadurní d'Osormort</w:t>
            </w:r>
          </w:p>
        </w:tc>
      </w:tr>
      <w:tr w:rsidR="002A4DDF" w:rsidRPr="00937C8B" w14:paraId="605E796F" w14:textId="77777777" w:rsidTr="00935676">
        <w:trPr>
          <w:cantSplit/>
        </w:trPr>
        <w:tc>
          <w:tcPr>
            <w:tcW w:w="1696" w:type="dxa"/>
            <w:tcBorders>
              <w:left w:val="single" w:sz="4" w:space="0" w:color="auto"/>
            </w:tcBorders>
            <w:shd w:val="clear" w:color="auto" w:fill="auto"/>
          </w:tcPr>
          <w:p w14:paraId="3208DB2A" w14:textId="77777777" w:rsidR="002A4DDF" w:rsidRPr="00937C8B" w:rsidRDefault="002A4DDF" w:rsidP="009110ED">
            <w:pPr>
              <w:rPr>
                <w:rFonts w:ascii="Arial" w:hAnsi="Arial" w:cs="Arial"/>
                <w:sz w:val="12"/>
                <w:szCs w:val="12"/>
              </w:rPr>
            </w:pPr>
          </w:p>
        </w:tc>
        <w:tc>
          <w:tcPr>
            <w:tcW w:w="1843" w:type="dxa"/>
            <w:shd w:val="clear" w:color="auto" w:fill="auto"/>
          </w:tcPr>
          <w:p w14:paraId="18CC9CF2" w14:textId="77777777" w:rsidR="002A4DDF" w:rsidRPr="00937C8B" w:rsidRDefault="002A4DDF" w:rsidP="009110ED">
            <w:pPr>
              <w:rPr>
                <w:rFonts w:ascii="Arial" w:hAnsi="Arial" w:cs="Arial"/>
                <w:sz w:val="12"/>
                <w:szCs w:val="12"/>
              </w:rPr>
            </w:pPr>
          </w:p>
        </w:tc>
        <w:tc>
          <w:tcPr>
            <w:tcW w:w="2268" w:type="dxa"/>
            <w:shd w:val="clear" w:color="auto" w:fill="F2F2F2"/>
            <w:hideMark/>
          </w:tcPr>
          <w:p w14:paraId="7CADBCB6" w14:textId="77777777" w:rsidR="002A4DDF" w:rsidRPr="00937C8B" w:rsidRDefault="002A4DDF" w:rsidP="009110ED">
            <w:pPr>
              <w:rPr>
                <w:rFonts w:ascii="Arial" w:hAnsi="Arial" w:cs="Arial"/>
                <w:sz w:val="12"/>
                <w:szCs w:val="12"/>
              </w:rPr>
            </w:pPr>
            <w:r>
              <w:rPr>
                <w:rFonts w:ascii="Arial" w:hAnsi="Arial"/>
                <w:sz w:val="12"/>
                <w:szCs w:val="12"/>
              </w:rPr>
              <w:t>L'Hospitalet de Llobregat</w:t>
            </w:r>
          </w:p>
        </w:tc>
        <w:tc>
          <w:tcPr>
            <w:tcW w:w="2268" w:type="dxa"/>
            <w:tcBorders>
              <w:right w:val="single" w:sz="4" w:space="0" w:color="auto"/>
            </w:tcBorders>
            <w:shd w:val="clear" w:color="auto" w:fill="D9D9D9"/>
            <w:hideMark/>
          </w:tcPr>
          <w:p w14:paraId="302D994A" w14:textId="77777777" w:rsidR="002A4DDF" w:rsidRPr="00937C8B" w:rsidRDefault="002A4DDF" w:rsidP="009110ED">
            <w:pPr>
              <w:rPr>
                <w:rFonts w:ascii="Arial" w:hAnsi="Arial" w:cs="Arial"/>
                <w:sz w:val="12"/>
                <w:szCs w:val="12"/>
              </w:rPr>
            </w:pPr>
            <w:r>
              <w:rPr>
                <w:rFonts w:ascii="Arial" w:hAnsi="Arial"/>
                <w:sz w:val="12"/>
                <w:szCs w:val="12"/>
              </w:rPr>
              <w:t>Sant Vicenç de Montalt</w:t>
            </w:r>
          </w:p>
        </w:tc>
      </w:tr>
      <w:tr w:rsidR="002A4DDF" w:rsidRPr="00937C8B" w14:paraId="7A4CC09D" w14:textId="77777777" w:rsidTr="00935676">
        <w:trPr>
          <w:cantSplit/>
        </w:trPr>
        <w:tc>
          <w:tcPr>
            <w:tcW w:w="1696" w:type="dxa"/>
            <w:tcBorders>
              <w:left w:val="single" w:sz="4" w:space="0" w:color="auto"/>
            </w:tcBorders>
            <w:shd w:val="clear" w:color="auto" w:fill="auto"/>
          </w:tcPr>
          <w:p w14:paraId="23657117" w14:textId="77777777" w:rsidR="002A4DDF" w:rsidRPr="00937C8B" w:rsidRDefault="002A4DDF" w:rsidP="009110ED">
            <w:pPr>
              <w:rPr>
                <w:rFonts w:ascii="Arial" w:hAnsi="Arial" w:cs="Arial"/>
                <w:sz w:val="12"/>
                <w:szCs w:val="12"/>
              </w:rPr>
            </w:pPr>
          </w:p>
        </w:tc>
        <w:tc>
          <w:tcPr>
            <w:tcW w:w="1843" w:type="dxa"/>
            <w:shd w:val="clear" w:color="auto" w:fill="auto"/>
          </w:tcPr>
          <w:p w14:paraId="05B04A10" w14:textId="77777777" w:rsidR="002A4DDF" w:rsidRPr="00937C8B" w:rsidRDefault="002A4DDF" w:rsidP="009110ED">
            <w:pPr>
              <w:rPr>
                <w:rFonts w:ascii="Arial" w:hAnsi="Arial" w:cs="Arial"/>
                <w:sz w:val="12"/>
                <w:szCs w:val="12"/>
              </w:rPr>
            </w:pPr>
          </w:p>
        </w:tc>
        <w:tc>
          <w:tcPr>
            <w:tcW w:w="2268" w:type="dxa"/>
            <w:shd w:val="clear" w:color="auto" w:fill="F2F2F2"/>
            <w:hideMark/>
          </w:tcPr>
          <w:p w14:paraId="5715FEF5" w14:textId="77777777" w:rsidR="002A4DDF" w:rsidRPr="00937C8B" w:rsidRDefault="002A4DDF" w:rsidP="009110ED">
            <w:pPr>
              <w:rPr>
                <w:rFonts w:ascii="Arial" w:hAnsi="Arial" w:cs="Arial"/>
                <w:sz w:val="12"/>
                <w:szCs w:val="12"/>
              </w:rPr>
            </w:pPr>
            <w:r>
              <w:rPr>
                <w:rFonts w:ascii="Arial" w:hAnsi="Arial"/>
                <w:sz w:val="12"/>
                <w:szCs w:val="12"/>
              </w:rPr>
              <w:t>Lliçà d'Amunt</w:t>
            </w:r>
          </w:p>
        </w:tc>
        <w:tc>
          <w:tcPr>
            <w:tcW w:w="2268" w:type="dxa"/>
            <w:tcBorders>
              <w:right w:val="single" w:sz="4" w:space="0" w:color="auto"/>
            </w:tcBorders>
            <w:shd w:val="clear" w:color="auto" w:fill="D9D9D9"/>
            <w:hideMark/>
          </w:tcPr>
          <w:p w14:paraId="01E2F139" w14:textId="77777777" w:rsidR="002A4DDF" w:rsidRPr="00937C8B" w:rsidRDefault="002A4DDF" w:rsidP="009110ED">
            <w:pPr>
              <w:rPr>
                <w:rFonts w:ascii="Arial" w:hAnsi="Arial" w:cs="Arial"/>
                <w:sz w:val="12"/>
                <w:szCs w:val="12"/>
              </w:rPr>
            </w:pPr>
            <w:r>
              <w:rPr>
                <w:rFonts w:ascii="Arial" w:hAnsi="Arial"/>
                <w:sz w:val="12"/>
                <w:szCs w:val="12"/>
              </w:rPr>
              <w:t>Santa Coloma de Gramenet</w:t>
            </w:r>
          </w:p>
        </w:tc>
      </w:tr>
      <w:tr w:rsidR="002A4DDF" w:rsidRPr="00937C8B" w14:paraId="071451DA" w14:textId="77777777" w:rsidTr="00935676">
        <w:trPr>
          <w:cantSplit/>
        </w:trPr>
        <w:tc>
          <w:tcPr>
            <w:tcW w:w="1696" w:type="dxa"/>
            <w:tcBorders>
              <w:left w:val="single" w:sz="4" w:space="0" w:color="auto"/>
            </w:tcBorders>
            <w:shd w:val="clear" w:color="auto" w:fill="auto"/>
          </w:tcPr>
          <w:p w14:paraId="6D864DFB" w14:textId="77777777" w:rsidR="002A4DDF" w:rsidRPr="00937C8B" w:rsidRDefault="002A4DDF" w:rsidP="009110ED">
            <w:pPr>
              <w:rPr>
                <w:rFonts w:ascii="Arial" w:hAnsi="Arial" w:cs="Arial"/>
                <w:sz w:val="12"/>
                <w:szCs w:val="12"/>
              </w:rPr>
            </w:pPr>
          </w:p>
        </w:tc>
        <w:tc>
          <w:tcPr>
            <w:tcW w:w="1843" w:type="dxa"/>
            <w:shd w:val="clear" w:color="auto" w:fill="auto"/>
          </w:tcPr>
          <w:p w14:paraId="546A8C32" w14:textId="77777777" w:rsidR="002A4DDF" w:rsidRPr="00937C8B" w:rsidRDefault="002A4DDF" w:rsidP="009110ED">
            <w:pPr>
              <w:rPr>
                <w:rFonts w:ascii="Arial" w:hAnsi="Arial" w:cs="Arial"/>
                <w:sz w:val="12"/>
                <w:szCs w:val="12"/>
              </w:rPr>
            </w:pPr>
          </w:p>
        </w:tc>
        <w:tc>
          <w:tcPr>
            <w:tcW w:w="2268" w:type="dxa"/>
            <w:shd w:val="clear" w:color="auto" w:fill="F2F2F2"/>
            <w:hideMark/>
          </w:tcPr>
          <w:p w14:paraId="1691374E" w14:textId="77777777" w:rsidR="002A4DDF" w:rsidRPr="00937C8B" w:rsidRDefault="002A4DDF" w:rsidP="009110ED">
            <w:pPr>
              <w:rPr>
                <w:rFonts w:ascii="Arial" w:hAnsi="Arial" w:cs="Arial"/>
                <w:sz w:val="12"/>
                <w:szCs w:val="12"/>
              </w:rPr>
            </w:pPr>
            <w:r>
              <w:rPr>
                <w:rFonts w:ascii="Arial" w:hAnsi="Arial"/>
                <w:sz w:val="12"/>
                <w:szCs w:val="12"/>
              </w:rPr>
              <w:t>Lliçà de Vall</w:t>
            </w:r>
          </w:p>
        </w:tc>
        <w:tc>
          <w:tcPr>
            <w:tcW w:w="2268" w:type="dxa"/>
            <w:tcBorders>
              <w:right w:val="single" w:sz="4" w:space="0" w:color="auto"/>
            </w:tcBorders>
            <w:shd w:val="clear" w:color="auto" w:fill="D9D9D9"/>
            <w:hideMark/>
          </w:tcPr>
          <w:p w14:paraId="5C035658" w14:textId="77777777" w:rsidR="002A4DDF" w:rsidRPr="00937C8B" w:rsidRDefault="002A4DDF" w:rsidP="009110ED">
            <w:pPr>
              <w:rPr>
                <w:rFonts w:ascii="Arial" w:hAnsi="Arial" w:cs="Arial"/>
                <w:sz w:val="12"/>
                <w:szCs w:val="12"/>
              </w:rPr>
            </w:pPr>
            <w:r>
              <w:rPr>
                <w:rFonts w:ascii="Arial" w:hAnsi="Arial"/>
                <w:sz w:val="12"/>
                <w:szCs w:val="12"/>
              </w:rPr>
              <w:t>Santa Eulàlia de Ronçana</w:t>
            </w:r>
          </w:p>
        </w:tc>
      </w:tr>
      <w:tr w:rsidR="002A4DDF" w:rsidRPr="00937C8B" w14:paraId="1317792F" w14:textId="77777777" w:rsidTr="00935676">
        <w:trPr>
          <w:cantSplit/>
        </w:trPr>
        <w:tc>
          <w:tcPr>
            <w:tcW w:w="1696" w:type="dxa"/>
            <w:tcBorders>
              <w:left w:val="single" w:sz="4" w:space="0" w:color="auto"/>
            </w:tcBorders>
            <w:shd w:val="clear" w:color="auto" w:fill="auto"/>
          </w:tcPr>
          <w:p w14:paraId="3194D08B" w14:textId="77777777" w:rsidR="002A4DDF" w:rsidRPr="00937C8B" w:rsidRDefault="002A4DDF" w:rsidP="009110ED">
            <w:pPr>
              <w:rPr>
                <w:rFonts w:ascii="Arial" w:hAnsi="Arial" w:cs="Arial"/>
                <w:sz w:val="12"/>
                <w:szCs w:val="12"/>
              </w:rPr>
            </w:pPr>
          </w:p>
        </w:tc>
        <w:tc>
          <w:tcPr>
            <w:tcW w:w="1843" w:type="dxa"/>
            <w:shd w:val="clear" w:color="auto" w:fill="auto"/>
          </w:tcPr>
          <w:p w14:paraId="35112EC0" w14:textId="77777777" w:rsidR="002A4DDF" w:rsidRPr="00937C8B" w:rsidRDefault="002A4DDF" w:rsidP="009110ED">
            <w:pPr>
              <w:rPr>
                <w:rFonts w:ascii="Arial" w:hAnsi="Arial" w:cs="Arial"/>
                <w:sz w:val="12"/>
                <w:szCs w:val="12"/>
              </w:rPr>
            </w:pPr>
          </w:p>
        </w:tc>
        <w:tc>
          <w:tcPr>
            <w:tcW w:w="2268" w:type="dxa"/>
            <w:shd w:val="clear" w:color="auto" w:fill="F2F2F2"/>
            <w:hideMark/>
          </w:tcPr>
          <w:p w14:paraId="6F3B55D0" w14:textId="77777777" w:rsidR="002A4DDF" w:rsidRPr="00937C8B" w:rsidRDefault="002A4DDF" w:rsidP="009110ED">
            <w:pPr>
              <w:rPr>
                <w:rFonts w:ascii="Arial" w:hAnsi="Arial" w:cs="Arial"/>
                <w:sz w:val="12"/>
                <w:szCs w:val="12"/>
              </w:rPr>
            </w:pPr>
            <w:r>
              <w:rPr>
                <w:rFonts w:ascii="Arial" w:hAnsi="Arial"/>
                <w:sz w:val="12"/>
                <w:szCs w:val="12"/>
              </w:rPr>
              <w:t>Malla</w:t>
            </w:r>
          </w:p>
        </w:tc>
        <w:tc>
          <w:tcPr>
            <w:tcW w:w="2268" w:type="dxa"/>
            <w:tcBorders>
              <w:right w:val="single" w:sz="4" w:space="0" w:color="auto"/>
            </w:tcBorders>
            <w:shd w:val="clear" w:color="auto" w:fill="D9D9D9"/>
            <w:hideMark/>
          </w:tcPr>
          <w:p w14:paraId="5257F323" w14:textId="77777777" w:rsidR="002A4DDF" w:rsidRPr="00937C8B" w:rsidRDefault="002A4DDF" w:rsidP="009110ED">
            <w:pPr>
              <w:rPr>
                <w:rFonts w:ascii="Arial" w:hAnsi="Arial" w:cs="Arial"/>
                <w:sz w:val="12"/>
                <w:szCs w:val="12"/>
              </w:rPr>
            </w:pPr>
            <w:r>
              <w:rPr>
                <w:rFonts w:ascii="Arial" w:hAnsi="Arial"/>
                <w:sz w:val="12"/>
                <w:szCs w:val="12"/>
              </w:rPr>
              <w:t>Santa Maria de Martorelles</w:t>
            </w:r>
          </w:p>
        </w:tc>
      </w:tr>
      <w:tr w:rsidR="002A4DDF" w:rsidRPr="00937C8B" w14:paraId="6D52D535" w14:textId="77777777" w:rsidTr="00935676">
        <w:trPr>
          <w:cantSplit/>
        </w:trPr>
        <w:tc>
          <w:tcPr>
            <w:tcW w:w="1696" w:type="dxa"/>
            <w:tcBorders>
              <w:left w:val="single" w:sz="4" w:space="0" w:color="auto"/>
            </w:tcBorders>
            <w:shd w:val="clear" w:color="auto" w:fill="auto"/>
          </w:tcPr>
          <w:p w14:paraId="0690B008" w14:textId="77777777" w:rsidR="002A4DDF" w:rsidRPr="00937C8B" w:rsidRDefault="002A4DDF" w:rsidP="009110ED">
            <w:pPr>
              <w:rPr>
                <w:rFonts w:ascii="Arial" w:hAnsi="Arial" w:cs="Arial"/>
                <w:sz w:val="12"/>
                <w:szCs w:val="12"/>
              </w:rPr>
            </w:pPr>
          </w:p>
        </w:tc>
        <w:tc>
          <w:tcPr>
            <w:tcW w:w="1843" w:type="dxa"/>
            <w:shd w:val="clear" w:color="auto" w:fill="auto"/>
          </w:tcPr>
          <w:p w14:paraId="77BDDFF8" w14:textId="77777777" w:rsidR="002A4DDF" w:rsidRPr="00937C8B" w:rsidRDefault="002A4DDF" w:rsidP="009110ED">
            <w:pPr>
              <w:rPr>
                <w:rFonts w:ascii="Arial" w:hAnsi="Arial" w:cs="Arial"/>
                <w:sz w:val="12"/>
                <w:szCs w:val="12"/>
              </w:rPr>
            </w:pPr>
          </w:p>
        </w:tc>
        <w:tc>
          <w:tcPr>
            <w:tcW w:w="2268" w:type="dxa"/>
            <w:shd w:val="clear" w:color="auto" w:fill="F2F2F2"/>
            <w:hideMark/>
          </w:tcPr>
          <w:p w14:paraId="4A462EB8" w14:textId="77777777" w:rsidR="002A4DDF" w:rsidRPr="00937C8B" w:rsidRDefault="002A4DDF" w:rsidP="009110ED">
            <w:pPr>
              <w:rPr>
                <w:rFonts w:ascii="Arial" w:hAnsi="Arial" w:cs="Arial"/>
                <w:sz w:val="12"/>
                <w:szCs w:val="12"/>
              </w:rPr>
            </w:pPr>
            <w:r>
              <w:rPr>
                <w:rFonts w:ascii="Arial" w:hAnsi="Arial"/>
                <w:sz w:val="12"/>
                <w:szCs w:val="12"/>
              </w:rPr>
              <w:t>Manlleu</w:t>
            </w:r>
          </w:p>
        </w:tc>
        <w:tc>
          <w:tcPr>
            <w:tcW w:w="2268" w:type="dxa"/>
            <w:tcBorders>
              <w:right w:val="single" w:sz="4" w:space="0" w:color="auto"/>
            </w:tcBorders>
            <w:shd w:val="clear" w:color="auto" w:fill="D9D9D9"/>
            <w:hideMark/>
          </w:tcPr>
          <w:p w14:paraId="017B2BFA" w14:textId="77777777" w:rsidR="002A4DDF" w:rsidRPr="00937C8B" w:rsidRDefault="002A4DDF" w:rsidP="009110ED">
            <w:pPr>
              <w:rPr>
                <w:rFonts w:ascii="Arial" w:hAnsi="Arial" w:cs="Arial"/>
                <w:sz w:val="12"/>
                <w:szCs w:val="12"/>
              </w:rPr>
            </w:pPr>
            <w:r>
              <w:rPr>
                <w:rFonts w:ascii="Arial" w:hAnsi="Arial"/>
                <w:sz w:val="12"/>
                <w:szCs w:val="12"/>
              </w:rPr>
              <w:t>Santa Maria de Palautordera</w:t>
            </w:r>
          </w:p>
        </w:tc>
      </w:tr>
      <w:tr w:rsidR="002A4DDF" w:rsidRPr="00937C8B" w14:paraId="7339FDA8" w14:textId="77777777" w:rsidTr="00935676">
        <w:trPr>
          <w:cantSplit/>
        </w:trPr>
        <w:tc>
          <w:tcPr>
            <w:tcW w:w="1696" w:type="dxa"/>
            <w:tcBorders>
              <w:left w:val="single" w:sz="4" w:space="0" w:color="auto"/>
            </w:tcBorders>
            <w:shd w:val="clear" w:color="auto" w:fill="auto"/>
          </w:tcPr>
          <w:p w14:paraId="1DCA45B9" w14:textId="77777777" w:rsidR="002A4DDF" w:rsidRPr="00937C8B" w:rsidRDefault="002A4DDF" w:rsidP="009110ED">
            <w:pPr>
              <w:rPr>
                <w:rFonts w:ascii="Arial" w:hAnsi="Arial" w:cs="Arial"/>
                <w:sz w:val="12"/>
                <w:szCs w:val="12"/>
              </w:rPr>
            </w:pPr>
          </w:p>
        </w:tc>
        <w:tc>
          <w:tcPr>
            <w:tcW w:w="1843" w:type="dxa"/>
            <w:shd w:val="clear" w:color="auto" w:fill="auto"/>
          </w:tcPr>
          <w:p w14:paraId="73E185C6" w14:textId="77777777" w:rsidR="002A4DDF" w:rsidRPr="00937C8B" w:rsidRDefault="002A4DDF" w:rsidP="009110ED">
            <w:pPr>
              <w:rPr>
                <w:rFonts w:ascii="Arial" w:hAnsi="Arial" w:cs="Arial"/>
                <w:sz w:val="12"/>
                <w:szCs w:val="12"/>
              </w:rPr>
            </w:pPr>
          </w:p>
        </w:tc>
        <w:tc>
          <w:tcPr>
            <w:tcW w:w="2268" w:type="dxa"/>
            <w:shd w:val="clear" w:color="auto" w:fill="F2F2F2"/>
            <w:hideMark/>
          </w:tcPr>
          <w:p w14:paraId="2DD5E648" w14:textId="77777777" w:rsidR="002A4DDF" w:rsidRPr="00937C8B" w:rsidRDefault="002A4DDF" w:rsidP="009110ED">
            <w:pPr>
              <w:rPr>
                <w:rFonts w:ascii="Arial" w:hAnsi="Arial" w:cs="Arial"/>
                <w:sz w:val="12"/>
                <w:szCs w:val="12"/>
              </w:rPr>
            </w:pPr>
            <w:r>
              <w:rPr>
                <w:rFonts w:ascii="Arial" w:hAnsi="Arial"/>
                <w:sz w:val="12"/>
                <w:szCs w:val="12"/>
              </w:rPr>
              <w:t>Manresa</w:t>
            </w:r>
          </w:p>
        </w:tc>
        <w:tc>
          <w:tcPr>
            <w:tcW w:w="2268" w:type="dxa"/>
            <w:tcBorders>
              <w:right w:val="single" w:sz="4" w:space="0" w:color="auto"/>
            </w:tcBorders>
            <w:shd w:val="clear" w:color="auto" w:fill="D9D9D9"/>
            <w:hideMark/>
          </w:tcPr>
          <w:p w14:paraId="01F01A9F" w14:textId="77777777" w:rsidR="002A4DDF" w:rsidRPr="00937C8B" w:rsidRDefault="002A4DDF" w:rsidP="009110ED">
            <w:pPr>
              <w:rPr>
                <w:rFonts w:ascii="Arial" w:hAnsi="Arial" w:cs="Arial"/>
                <w:sz w:val="12"/>
                <w:szCs w:val="12"/>
              </w:rPr>
            </w:pPr>
            <w:r>
              <w:rPr>
                <w:rFonts w:ascii="Arial" w:hAnsi="Arial"/>
                <w:sz w:val="12"/>
                <w:szCs w:val="12"/>
              </w:rPr>
              <w:t>Santa Susanna</w:t>
            </w:r>
          </w:p>
        </w:tc>
      </w:tr>
      <w:tr w:rsidR="002A4DDF" w:rsidRPr="00937C8B" w14:paraId="259C1849" w14:textId="77777777" w:rsidTr="00935676">
        <w:trPr>
          <w:cantSplit/>
        </w:trPr>
        <w:tc>
          <w:tcPr>
            <w:tcW w:w="1696" w:type="dxa"/>
            <w:tcBorders>
              <w:left w:val="single" w:sz="4" w:space="0" w:color="auto"/>
            </w:tcBorders>
            <w:shd w:val="clear" w:color="auto" w:fill="auto"/>
          </w:tcPr>
          <w:p w14:paraId="12C50335" w14:textId="77777777" w:rsidR="002A4DDF" w:rsidRPr="00937C8B" w:rsidRDefault="002A4DDF" w:rsidP="009110ED">
            <w:pPr>
              <w:rPr>
                <w:rFonts w:ascii="Arial" w:hAnsi="Arial" w:cs="Arial"/>
                <w:sz w:val="12"/>
                <w:szCs w:val="12"/>
              </w:rPr>
            </w:pPr>
          </w:p>
        </w:tc>
        <w:tc>
          <w:tcPr>
            <w:tcW w:w="1843" w:type="dxa"/>
            <w:shd w:val="clear" w:color="auto" w:fill="auto"/>
          </w:tcPr>
          <w:p w14:paraId="2B18C552" w14:textId="77777777" w:rsidR="002A4DDF" w:rsidRPr="00937C8B" w:rsidRDefault="002A4DDF" w:rsidP="009110ED">
            <w:pPr>
              <w:rPr>
                <w:rFonts w:ascii="Arial" w:hAnsi="Arial" w:cs="Arial"/>
                <w:sz w:val="12"/>
                <w:szCs w:val="12"/>
              </w:rPr>
            </w:pPr>
          </w:p>
        </w:tc>
        <w:tc>
          <w:tcPr>
            <w:tcW w:w="2268" w:type="dxa"/>
            <w:shd w:val="clear" w:color="auto" w:fill="F2F2F2"/>
            <w:hideMark/>
          </w:tcPr>
          <w:p w14:paraId="7056B60D" w14:textId="77777777" w:rsidR="002A4DDF" w:rsidRPr="00937C8B" w:rsidRDefault="002A4DDF" w:rsidP="009110ED">
            <w:pPr>
              <w:rPr>
                <w:rFonts w:ascii="Arial" w:hAnsi="Arial" w:cs="Arial"/>
                <w:sz w:val="12"/>
                <w:szCs w:val="12"/>
              </w:rPr>
            </w:pPr>
            <w:r>
              <w:rPr>
                <w:rFonts w:ascii="Arial" w:hAnsi="Arial"/>
                <w:sz w:val="12"/>
                <w:szCs w:val="12"/>
              </w:rPr>
              <w:t>Martorell</w:t>
            </w:r>
          </w:p>
        </w:tc>
        <w:tc>
          <w:tcPr>
            <w:tcW w:w="2268" w:type="dxa"/>
            <w:tcBorders>
              <w:right w:val="single" w:sz="4" w:space="0" w:color="auto"/>
            </w:tcBorders>
            <w:shd w:val="clear" w:color="auto" w:fill="D9D9D9"/>
            <w:hideMark/>
          </w:tcPr>
          <w:p w14:paraId="4992F3B4" w14:textId="77777777" w:rsidR="002A4DDF" w:rsidRPr="00937C8B" w:rsidRDefault="002A4DDF" w:rsidP="009110ED">
            <w:pPr>
              <w:rPr>
                <w:rFonts w:ascii="Arial" w:hAnsi="Arial" w:cs="Arial"/>
                <w:sz w:val="12"/>
                <w:szCs w:val="12"/>
              </w:rPr>
            </w:pPr>
            <w:r>
              <w:rPr>
                <w:rFonts w:ascii="Arial" w:hAnsi="Arial"/>
                <w:sz w:val="12"/>
                <w:szCs w:val="12"/>
              </w:rPr>
              <w:t>Teià</w:t>
            </w:r>
          </w:p>
        </w:tc>
      </w:tr>
      <w:tr w:rsidR="002A4DDF" w:rsidRPr="00937C8B" w14:paraId="35212FF3" w14:textId="77777777" w:rsidTr="00935676">
        <w:trPr>
          <w:cantSplit/>
        </w:trPr>
        <w:tc>
          <w:tcPr>
            <w:tcW w:w="1696" w:type="dxa"/>
            <w:tcBorders>
              <w:left w:val="single" w:sz="4" w:space="0" w:color="auto"/>
            </w:tcBorders>
            <w:shd w:val="clear" w:color="auto" w:fill="auto"/>
          </w:tcPr>
          <w:p w14:paraId="705C5E77" w14:textId="77777777" w:rsidR="002A4DDF" w:rsidRPr="00937C8B" w:rsidRDefault="002A4DDF" w:rsidP="009110ED">
            <w:pPr>
              <w:rPr>
                <w:rFonts w:ascii="Arial" w:hAnsi="Arial" w:cs="Arial"/>
                <w:sz w:val="12"/>
                <w:szCs w:val="12"/>
              </w:rPr>
            </w:pPr>
          </w:p>
        </w:tc>
        <w:tc>
          <w:tcPr>
            <w:tcW w:w="1843" w:type="dxa"/>
            <w:shd w:val="clear" w:color="auto" w:fill="auto"/>
          </w:tcPr>
          <w:p w14:paraId="22A0F30B" w14:textId="77777777" w:rsidR="002A4DDF" w:rsidRPr="00937C8B" w:rsidRDefault="002A4DDF" w:rsidP="009110ED">
            <w:pPr>
              <w:rPr>
                <w:rFonts w:ascii="Arial" w:hAnsi="Arial" w:cs="Arial"/>
                <w:sz w:val="12"/>
                <w:szCs w:val="12"/>
              </w:rPr>
            </w:pPr>
          </w:p>
        </w:tc>
        <w:tc>
          <w:tcPr>
            <w:tcW w:w="2268" w:type="dxa"/>
            <w:shd w:val="clear" w:color="auto" w:fill="F2F2F2"/>
            <w:hideMark/>
          </w:tcPr>
          <w:p w14:paraId="1398B18F" w14:textId="77777777" w:rsidR="002A4DDF" w:rsidRPr="00937C8B" w:rsidRDefault="002A4DDF" w:rsidP="009110ED">
            <w:pPr>
              <w:rPr>
                <w:rFonts w:ascii="Arial" w:hAnsi="Arial" w:cs="Arial"/>
                <w:sz w:val="12"/>
                <w:szCs w:val="12"/>
              </w:rPr>
            </w:pPr>
            <w:r>
              <w:rPr>
                <w:rFonts w:ascii="Arial" w:hAnsi="Arial"/>
                <w:sz w:val="12"/>
                <w:szCs w:val="12"/>
              </w:rPr>
              <w:t>Matadepera</w:t>
            </w:r>
          </w:p>
        </w:tc>
        <w:tc>
          <w:tcPr>
            <w:tcW w:w="2268" w:type="dxa"/>
            <w:tcBorders>
              <w:right w:val="single" w:sz="4" w:space="0" w:color="auto"/>
            </w:tcBorders>
            <w:shd w:val="clear" w:color="auto" w:fill="D9D9D9"/>
            <w:hideMark/>
          </w:tcPr>
          <w:p w14:paraId="63E07624" w14:textId="77777777" w:rsidR="002A4DDF" w:rsidRPr="00937C8B" w:rsidRDefault="002A4DDF" w:rsidP="009110ED">
            <w:pPr>
              <w:rPr>
                <w:rFonts w:ascii="Arial" w:hAnsi="Arial" w:cs="Arial"/>
                <w:sz w:val="12"/>
                <w:szCs w:val="12"/>
              </w:rPr>
            </w:pPr>
            <w:r>
              <w:rPr>
                <w:rFonts w:ascii="Arial" w:hAnsi="Arial"/>
                <w:sz w:val="12"/>
                <w:szCs w:val="12"/>
              </w:rPr>
              <w:t>Tiana</w:t>
            </w:r>
          </w:p>
        </w:tc>
      </w:tr>
      <w:tr w:rsidR="002A4DDF" w:rsidRPr="00937C8B" w14:paraId="0670B0CE" w14:textId="77777777" w:rsidTr="00935676">
        <w:trPr>
          <w:cantSplit/>
        </w:trPr>
        <w:tc>
          <w:tcPr>
            <w:tcW w:w="1696" w:type="dxa"/>
            <w:tcBorders>
              <w:left w:val="single" w:sz="4" w:space="0" w:color="auto"/>
            </w:tcBorders>
            <w:shd w:val="clear" w:color="auto" w:fill="auto"/>
          </w:tcPr>
          <w:p w14:paraId="55395431" w14:textId="77777777" w:rsidR="002A4DDF" w:rsidRPr="00937C8B" w:rsidRDefault="002A4DDF" w:rsidP="009110ED">
            <w:pPr>
              <w:rPr>
                <w:rFonts w:ascii="Arial" w:hAnsi="Arial" w:cs="Arial"/>
                <w:sz w:val="12"/>
                <w:szCs w:val="12"/>
              </w:rPr>
            </w:pPr>
          </w:p>
        </w:tc>
        <w:tc>
          <w:tcPr>
            <w:tcW w:w="1843" w:type="dxa"/>
            <w:shd w:val="clear" w:color="auto" w:fill="auto"/>
          </w:tcPr>
          <w:p w14:paraId="135FD09E" w14:textId="77777777" w:rsidR="002A4DDF" w:rsidRPr="00937C8B" w:rsidRDefault="002A4DDF" w:rsidP="009110ED">
            <w:pPr>
              <w:rPr>
                <w:rFonts w:ascii="Arial" w:hAnsi="Arial" w:cs="Arial"/>
                <w:sz w:val="12"/>
                <w:szCs w:val="12"/>
              </w:rPr>
            </w:pPr>
          </w:p>
        </w:tc>
        <w:tc>
          <w:tcPr>
            <w:tcW w:w="2268" w:type="dxa"/>
            <w:shd w:val="clear" w:color="auto" w:fill="F2F2F2"/>
            <w:hideMark/>
          </w:tcPr>
          <w:p w14:paraId="5DD2F7B1" w14:textId="77777777" w:rsidR="002A4DDF" w:rsidRPr="00937C8B" w:rsidRDefault="002A4DDF" w:rsidP="009110ED">
            <w:pPr>
              <w:rPr>
                <w:rFonts w:ascii="Arial" w:hAnsi="Arial" w:cs="Arial"/>
                <w:sz w:val="12"/>
                <w:szCs w:val="12"/>
              </w:rPr>
            </w:pPr>
            <w:r>
              <w:rPr>
                <w:rFonts w:ascii="Arial" w:hAnsi="Arial"/>
                <w:sz w:val="12"/>
                <w:szCs w:val="12"/>
              </w:rPr>
              <w:t>Molins de Rei</w:t>
            </w:r>
          </w:p>
        </w:tc>
        <w:tc>
          <w:tcPr>
            <w:tcW w:w="2268" w:type="dxa"/>
            <w:tcBorders>
              <w:right w:val="single" w:sz="4" w:space="0" w:color="auto"/>
            </w:tcBorders>
            <w:shd w:val="clear" w:color="auto" w:fill="D9D9D9"/>
            <w:hideMark/>
          </w:tcPr>
          <w:p w14:paraId="01752748" w14:textId="77777777" w:rsidR="002A4DDF" w:rsidRPr="00937C8B" w:rsidRDefault="002A4DDF" w:rsidP="009110ED">
            <w:pPr>
              <w:rPr>
                <w:rFonts w:ascii="Arial" w:hAnsi="Arial" w:cs="Arial"/>
                <w:sz w:val="12"/>
                <w:szCs w:val="12"/>
              </w:rPr>
            </w:pPr>
            <w:r>
              <w:rPr>
                <w:rFonts w:ascii="Arial" w:hAnsi="Arial"/>
                <w:sz w:val="12"/>
                <w:szCs w:val="12"/>
              </w:rPr>
              <w:t>Tordera</w:t>
            </w:r>
          </w:p>
        </w:tc>
      </w:tr>
      <w:tr w:rsidR="002A4DDF" w:rsidRPr="00937C8B" w14:paraId="6089F5EC" w14:textId="77777777" w:rsidTr="00935676">
        <w:trPr>
          <w:cantSplit/>
        </w:trPr>
        <w:tc>
          <w:tcPr>
            <w:tcW w:w="1696" w:type="dxa"/>
            <w:tcBorders>
              <w:left w:val="single" w:sz="4" w:space="0" w:color="auto"/>
            </w:tcBorders>
            <w:shd w:val="clear" w:color="auto" w:fill="auto"/>
          </w:tcPr>
          <w:p w14:paraId="2C3B726E" w14:textId="77777777" w:rsidR="002A4DDF" w:rsidRPr="00937C8B" w:rsidRDefault="002A4DDF" w:rsidP="009110ED">
            <w:pPr>
              <w:rPr>
                <w:rFonts w:ascii="Arial" w:hAnsi="Arial" w:cs="Arial"/>
                <w:sz w:val="12"/>
                <w:szCs w:val="12"/>
              </w:rPr>
            </w:pPr>
          </w:p>
        </w:tc>
        <w:tc>
          <w:tcPr>
            <w:tcW w:w="1843" w:type="dxa"/>
            <w:shd w:val="clear" w:color="auto" w:fill="auto"/>
          </w:tcPr>
          <w:p w14:paraId="7FA1AFA5" w14:textId="77777777" w:rsidR="002A4DDF" w:rsidRPr="00937C8B" w:rsidRDefault="002A4DDF" w:rsidP="009110ED">
            <w:pPr>
              <w:rPr>
                <w:rFonts w:ascii="Arial" w:hAnsi="Arial" w:cs="Arial"/>
                <w:sz w:val="12"/>
                <w:szCs w:val="12"/>
              </w:rPr>
            </w:pPr>
          </w:p>
        </w:tc>
        <w:tc>
          <w:tcPr>
            <w:tcW w:w="2268" w:type="dxa"/>
            <w:shd w:val="clear" w:color="auto" w:fill="F2F2F2"/>
            <w:hideMark/>
          </w:tcPr>
          <w:p w14:paraId="78DC4B01" w14:textId="77777777" w:rsidR="002A4DDF" w:rsidRPr="00937C8B" w:rsidRDefault="002A4DDF" w:rsidP="009110ED">
            <w:pPr>
              <w:rPr>
                <w:rFonts w:ascii="Arial" w:hAnsi="Arial" w:cs="Arial"/>
                <w:sz w:val="12"/>
                <w:szCs w:val="12"/>
              </w:rPr>
            </w:pPr>
            <w:r>
              <w:rPr>
                <w:rFonts w:ascii="Arial" w:hAnsi="Arial"/>
                <w:sz w:val="12"/>
                <w:szCs w:val="12"/>
              </w:rPr>
              <w:t>Mollet del Vallès</w:t>
            </w:r>
          </w:p>
        </w:tc>
        <w:tc>
          <w:tcPr>
            <w:tcW w:w="2268" w:type="dxa"/>
            <w:tcBorders>
              <w:right w:val="single" w:sz="4" w:space="0" w:color="auto"/>
            </w:tcBorders>
            <w:shd w:val="clear" w:color="auto" w:fill="D9D9D9"/>
            <w:hideMark/>
          </w:tcPr>
          <w:p w14:paraId="363669EA" w14:textId="77777777" w:rsidR="002A4DDF" w:rsidRPr="00937C8B" w:rsidRDefault="002A4DDF" w:rsidP="009110ED">
            <w:pPr>
              <w:rPr>
                <w:rFonts w:ascii="Arial" w:hAnsi="Arial" w:cs="Arial"/>
                <w:sz w:val="12"/>
                <w:szCs w:val="12"/>
              </w:rPr>
            </w:pPr>
            <w:r>
              <w:rPr>
                <w:rFonts w:ascii="Arial" w:hAnsi="Arial"/>
                <w:sz w:val="12"/>
                <w:szCs w:val="12"/>
              </w:rPr>
              <w:t>Vallgorguina</w:t>
            </w:r>
          </w:p>
        </w:tc>
      </w:tr>
      <w:tr w:rsidR="002A4DDF" w:rsidRPr="00937C8B" w14:paraId="25178F46" w14:textId="77777777" w:rsidTr="00935676">
        <w:trPr>
          <w:cantSplit/>
        </w:trPr>
        <w:tc>
          <w:tcPr>
            <w:tcW w:w="1696" w:type="dxa"/>
            <w:tcBorders>
              <w:left w:val="single" w:sz="4" w:space="0" w:color="auto"/>
            </w:tcBorders>
            <w:shd w:val="clear" w:color="auto" w:fill="auto"/>
          </w:tcPr>
          <w:p w14:paraId="27AC3641" w14:textId="77777777" w:rsidR="002A4DDF" w:rsidRPr="00937C8B" w:rsidRDefault="002A4DDF" w:rsidP="009110ED">
            <w:pPr>
              <w:rPr>
                <w:rFonts w:ascii="Arial" w:hAnsi="Arial" w:cs="Arial"/>
                <w:sz w:val="12"/>
                <w:szCs w:val="12"/>
              </w:rPr>
            </w:pPr>
          </w:p>
        </w:tc>
        <w:tc>
          <w:tcPr>
            <w:tcW w:w="1843" w:type="dxa"/>
            <w:shd w:val="clear" w:color="auto" w:fill="auto"/>
          </w:tcPr>
          <w:p w14:paraId="14AA1516" w14:textId="77777777" w:rsidR="002A4DDF" w:rsidRPr="00937C8B" w:rsidRDefault="002A4DDF" w:rsidP="009110ED">
            <w:pPr>
              <w:rPr>
                <w:rFonts w:ascii="Arial" w:hAnsi="Arial" w:cs="Arial"/>
                <w:sz w:val="12"/>
                <w:szCs w:val="12"/>
              </w:rPr>
            </w:pPr>
          </w:p>
        </w:tc>
        <w:tc>
          <w:tcPr>
            <w:tcW w:w="2268" w:type="dxa"/>
            <w:shd w:val="clear" w:color="auto" w:fill="F2F2F2"/>
            <w:hideMark/>
          </w:tcPr>
          <w:p w14:paraId="5BF7ACAE" w14:textId="77777777" w:rsidR="002A4DDF" w:rsidRPr="00937C8B" w:rsidRDefault="002A4DDF" w:rsidP="009110ED">
            <w:pPr>
              <w:rPr>
                <w:rFonts w:ascii="Arial" w:hAnsi="Arial" w:cs="Arial"/>
                <w:sz w:val="12"/>
                <w:szCs w:val="12"/>
              </w:rPr>
            </w:pPr>
            <w:r>
              <w:rPr>
                <w:rFonts w:ascii="Arial" w:hAnsi="Arial"/>
                <w:sz w:val="12"/>
                <w:szCs w:val="12"/>
              </w:rPr>
              <w:t>Monistrol de Calders</w:t>
            </w:r>
          </w:p>
        </w:tc>
        <w:tc>
          <w:tcPr>
            <w:tcW w:w="2268" w:type="dxa"/>
            <w:tcBorders>
              <w:right w:val="single" w:sz="4" w:space="0" w:color="auto"/>
            </w:tcBorders>
            <w:shd w:val="clear" w:color="auto" w:fill="D9D9D9"/>
            <w:hideMark/>
          </w:tcPr>
          <w:p w14:paraId="47A8782F" w14:textId="77777777" w:rsidR="002A4DDF" w:rsidRPr="00937C8B" w:rsidRDefault="002A4DDF" w:rsidP="009110ED">
            <w:pPr>
              <w:rPr>
                <w:rFonts w:ascii="Arial" w:hAnsi="Arial" w:cs="Arial"/>
                <w:sz w:val="12"/>
                <w:szCs w:val="12"/>
              </w:rPr>
            </w:pPr>
            <w:r>
              <w:rPr>
                <w:rFonts w:ascii="Arial" w:hAnsi="Arial"/>
                <w:sz w:val="12"/>
                <w:szCs w:val="12"/>
              </w:rPr>
              <w:t>Vallromanes</w:t>
            </w:r>
          </w:p>
        </w:tc>
      </w:tr>
      <w:tr w:rsidR="002A4DDF" w:rsidRPr="00937C8B" w14:paraId="0EC079B8" w14:textId="77777777" w:rsidTr="00935676">
        <w:trPr>
          <w:cantSplit/>
        </w:trPr>
        <w:tc>
          <w:tcPr>
            <w:tcW w:w="1696" w:type="dxa"/>
            <w:tcBorders>
              <w:left w:val="single" w:sz="4" w:space="0" w:color="auto"/>
            </w:tcBorders>
            <w:shd w:val="clear" w:color="auto" w:fill="auto"/>
          </w:tcPr>
          <w:p w14:paraId="13E02EFF" w14:textId="77777777" w:rsidR="002A4DDF" w:rsidRPr="00937C8B" w:rsidRDefault="002A4DDF" w:rsidP="009110ED">
            <w:pPr>
              <w:rPr>
                <w:rFonts w:ascii="Arial" w:hAnsi="Arial" w:cs="Arial"/>
                <w:sz w:val="12"/>
                <w:szCs w:val="12"/>
              </w:rPr>
            </w:pPr>
          </w:p>
        </w:tc>
        <w:tc>
          <w:tcPr>
            <w:tcW w:w="1843" w:type="dxa"/>
            <w:shd w:val="clear" w:color="auto" w:fill="auto"/>
          </w:tcPr>
          <w:p w14:paraId="1A77B9D1" w14:textId="77777777" w:rsidR="002A4DDF" w:rsidRPr="00937C8B" w:rsidRDefault="002A4DDF" w:rsidP="009110ED">
            <w:pPr>
              <w:rPr>
                <w:rFonts w:ascii="Arial" w:hAnsi="Arial" w:cs="Arial"/>
                <w:sz w:val="12"/>
                <w:szCs w:val="12"/>
              </w:rPr>
            </w:pPr>
          </w:p>
        </w:tc>
        <w:tc>
          <w:tcPr>
            <w:tcW w:w="2268" w:type="dxa"/>
            <w:shd w:val="clear" w:color="auto" w:fill="F2F2F2"/>
            <w:hideMark/>
          </w:tcPr>
          <w:p w14:paraId="7E203DD8" w14:textId="77777777" w:rsidR="002A4DDF" w:rsidRPr="00937C8B" w:rsidRDefault="002A4DDF" w:rsidP="009110ED">
            <w:pPr>
              <w:rPr>
                <w:rFonts w:ascii="Arial" w:hAnsi="Arial" w:cs="Arial"/>
                <w:sz w:val="12"/>
                <w:szCs w:val="12"/>
              </w:rPr>
            </w:pPr>
            <w:r>
              <w:rPr>
                <w:rFonts w:ascii="Arial" w:hAnsi="Arial"/>
                <w:sz w:val="12"/>
                <w:szCs w:val="12"/>
              </w:rPr>
              <w:t>Montesquiu</w:t>
            </w:r>
          </w:p>
        </w:tc>
        <w:tc>
          <w:tcPr>
            <w:tcW w:w="2268" w:type="dxa"/>
            <w:tcBorders>
              <w:right w:val="single" w:sz="4" w:space="0" w:color="auto"/>
            </w:tcBorders>
            <w:shd w:val="clear" w:color="auto" w:fill="D9D9D9"/>
            <w:hideMark/>
          </w:tcPr>
          <w:p w14:paraId="35F18D24" w14:textId="77777777" w:rsidR="002A4DDF" w:rsidRPr="00937C8B" w:rsidRDefault="002A4DDF" w:rsidP="009110ED">
            <w:pPr>
              <w:rPr>
                <w:rFonts w:ascii="Arial" w:hAnsi="Arial" w:cs="Arial"/>
                <w:sz w:val="12"/>
                <w:szCs w:val="12"/>
              </w:rPr>
            </w:pPr>
            <w:r>
              <w:rPr>
                <w:rFonts w:ascii="Arial" w:hAnsi="Arial"/>
                <w:sz w:val="12"/>
                <w:szCs w:val="12"/>
              </w:rPr>
              <w:t>Vilalba Sasserra</w:t>
            </w:r>
          </w:p>
        </w:tc>
      </w:tr>
      <w:tr w:rsidR="002A4DDF" w:rsidRPr="00937C8B" w14:paraId="53EBD351" w14:textId="77777777" w:rsidTr="00935676">
        <w:trPr>
          <w:cantSplit/>
        </w:trPr>
        <w:tc>
          <w:tcPr>
            <w:tcW w:w="1696" w:type="dxa"/>
            <w:tcBorders>
              <w:left w:val="single" w:sz="4" w:space="0" w:color="auto"/>
            </w:tcBorders>
            <w:shd w:val="clear" w:color="auto" w:fill="auto"/>
          </w:tcPr>
          <w:p w14:paraId="090A40F1" w14:textId="77777777" w:rsidR="002A4DDF" w:rsidRPr="00937C8B" w:rsidRDefault="002A4DDF" w:rsidP="009110ED">
            <w:pPr>
              <w:rPr>
                <w:rFonts w:ascii="Arial" w:hAnsi="Arial" w:cs="Arial"/>
                <w:sz w:val="12"/>
                <w:szCs w:val="12"/>
              </w:rPr>
            </w:pPr>
          </w:p>
        </w:tc>
        <w:tc>
          <w:tcPr>
            <w:tcW w:w="1843" w:type="dxa"/>
            <w:shd w:val="clear" w:color="auto" w:fill="auto"/>
          </w:tcPr>
          <w:p w14:paraId="696A20C2" w14:textId="77777777" w:rsidR="002A4DDF" w:rsidRPr="00937C8B" w:rsidRDefault="002A4DDF" w:rsidP="009110ED">
            <w:pPr>
              <w:rPr>
                <w:rFonts w:ascii="Arial" w:hAnsi="Arial" w:cs="Arial"/>
                <w:sz w:val="12"/>
                <w:szCs w:val="12"/>
              </w:rPr>
            </w:pPr>
          </w:p>
        </w:tc>
        <w:tc>
          <w:tcPr>
            <w:tcW w:w="2268" w:type="dxa"/>
            <w:shd w:val="clear" w:color="auto" w:fill="F2F2F2"/>
            <w:hideMark/>
          </w:tcPr>
          <w:p w14:paraId="2777B00F" w14:textId="77777777" w:rsidR="002A4DDF" w:rsidRPr="00937C8B" w:rsidRDefault="002A4DDF" w:rsidP="009110ED">
            <w:pPr>
              <w:rPr>
                <w:rFonts w:ascii="Arial" w:hAnsi="Arial" w:cs="Arial"/>
                <w:sz w:val="12"/>
                <w:szCs w:val="12"/>
              </w:rPr>
            </w:pPr>
            <w:r>
              <w:rPr>
                <w:rFonts w:ascii="Arial" w:hAnsi="Arial"/>
                <w:sz w:val="12"/>
                <w:szCs w:val="12"/>
              </w:rPr>
              <w:t>Montmeló</w:t>
            </w:r>
          </w:p>
        </w:tc>
        <w:tc>
          <w:tcPr>
            <w:tcW w:w="2268" w:type="dxa"/>
            <w:tcBorders>
              <w:right w:val="single" w:sz="4" w:space="0" w:color="auto"/>
            </w:tcBorders>
            <w:shd w:val="clear" w:color="auto" w:fill="D9D9D9"/>
            <w:hideMark/>
          </w:tcPr>
          <w:p w14:paraId="35A9F369" w14:textId="77777777" w:rsidR="002A4DDF" w:rsidRPr="00937C8B" w:rsidRDefault="002A4DDF" w:rsidP="009110ED">
            <w:pPr>
              <w:rPr>
                <w:rFonts w:ascii="Arial" w:hAnsi="Arial" w:cs="Arial"/>
                <w:sz w:val="12"/>
                <w:szCs w:val="12"/>
              </w:rPr>
            </w:pPr>
            <w:r>
              <w:rPr>
                <w:rFonts w:ascii="Arial" w:hAnsi="Arial"/>
                <w:sz w:val="12"/>
                <w:szCs w:val="12"/>
              </w:rPr>
              <w:t>Vilanova de Sau</w:t>
            </w:r>
          </w:p>
        </w:tc>
      </w:tr>
      <w:tr w:rsidR="002A4DDF" w:rsidRPr="00937C8B" w14:paraId="78C0E35E" w14:textId="77777777" w:rsidTr="00935676">
        <w:trPr>
          <w:cantSplit/>
        </w:trPr>
        <w:tc>
          <w:tcPr>
            <w:tcW w:w="1696" w:type="dxa"/>
            <w:tcBorders>
              <w:left w:val="single" w:sz="4" w:space="0" w:color="auto"/>
            </w:tcBorders>
            <w:shd w:val="clear" w:color="auto" w:fill="auto"/>
          </w:tcPr>
          <w:p w14:paraId="1916B1E8" w14:textId="77777777" w:rsidR="002A4DDF" w:rsidRPr="00937C8B" w:rsidRDefault="002A4DDF" w:rsidP="009110ED">
            <w:pPr>
              <w:rPr>
                <w:rFonts w:ascii="Arial" w:hAnsi="Arial" w:cs="Arial"/>
                <w:sz w:val="12"/>
                <w:szCs w:val="12"/>
              </w:rPr>
            </w:pPr>
          </w:p>
        </w:tc>
        <w:tc>
          <w:tcPr>
            <w:tcW w:w="1843" w:type="dxa"/>
            <w:shd w:val="clear" w:color="auto" w:fill="auto"/>
          </w:tcPr>
          <w:p w14:paraId="16B3BED7" w14:textId="77777777" w:rsidR="002A4DDF" w:rsidRPr="00937C8B" w:rsidRDefault="002A4DDF" w:rsidP="009110ED">
            <w:pPr>
              <w:rPr>
                <w:rFonts w:ascii="Arial" w:hAnsi="Arial" w:cs="Arial"/>
                <w:sz w:val="12"/>
                <w:szCs w:val="12"/>
              </w:rPr>
            </w:pPr>
          </w:p>
        </w:tc>
        <w:tc>
          <w:tcPr>
            <w:tcW w:w="2268" w:type="dxa"/>
            <w:shd w:val="clear" w:color="auto" w:fill="F2F2F2"/>
            <w:hideMark/>
          </w:tcPr>
          <w:p w14:paraId="08AD025E" w14:textId="77777777" w:rsidR="002A4DDF" w:rsidRPr="00937C8B" w:rsidRDefault="002A4DDF" w:rsidP="009110ED">
            <w:pPr>
              <w:rPr>
                <w:rFonts w:ascii="Arial" w:hAnsi="Arial" w:cs="Arial"/>
                <w:sz w:val="12"/>
                <w:szCs w:val="12"/>
              </w:rPr>
            </w:pPr>
            <w:r>
              <w:rPr>
                <w:rFonts w:ascii="Arial" w:hAnsi="Arial"/>
                <w:sz w:val="12"/>
                <w:szCs w:val="12"/>
              </w:rPr>
              <w:t>Navarcles</w:t>
            </w:r>
          </w:p>
        </w:tc>
        <w:tc>
          <w:tcPr>
            <w:tcW w:w="2268" w:type="dxa"/>
            <w:tcBorders>
              <w:right w:val="single" w:sz="4" w:space="0" w:color="auto"/>
            </w:tcBorders>
            <w:shd w:val="clear" w:color="auto" w:fill="D9D9D9"/>
            <w:hideMark/>
          </w:tcPr>
          <w:p w14:paraId="704095D4" w14:textId="77777777" w:rsidR="002A4DDF" w:rsidRPr="00937C8B" w:rsidRDefault="002A4DDF" w:rsidP="009110ED">
            <w:pPr>
              <w:rPr>
                <w:rFonts w:ascii="Arial" w:hAnsi="Arial" w:cs="Arial"/>
                <w:sz w:val="12"/>
                <w:szCs w:val="12"/>
              </w:rPr>
            </w:pPr>
            <w:r>
              <w:rPr>
                <w:rFonts w:ascii="Arial" w:hAnsi="Arial"/>
                <w:sz w:val="12"/>
                <w:szCs w:val="12"/>
              </w:rPr>
              <w:t>Vilanova del Vallès</w:t>
            </w:r>
          </w:p>
        </w:tc>
      </w:tr>
      <w:tr w:rsidR="002A4DDF" w:rsidRPr="00937C8B" w14:paraId="4DD16FFA" w14:textId="77777777" w:rsidTr="00935676">
        <w:trPr>
          <w:cantSplit/>
        </w:trPr>
        <w:tc>
          <w:tcPr>
            <w:tcW w:w="1696" w:type="dxa"/>
            <w:tcBorders>
              <w:left w:val="single" w:sz="4" w:space="0" w:color="auto"/>
            </w:tcBorders>
            <w:shd w:val="clear" w:color="auto" w:fill="auto"/>
          </w:tcPr>
          <w:p w14:paraId="1ADF8902" w14:textId="77777777" w:rsidR="002A4DDF" w:rsidRPr="00937C8B" w:rsidRDefault="002A4DDF" w:rsidP="009110ED">
            <w:pPr>
              <w:rPr>
                <w:rFonts w:ascii="Arial" w:hAnsi="Arial" w:cs="Arial"/>
                <w:sz w:val="12"/>
                <w:szCs w:val="12"/>
              </w:rPr>
            </w:pPr>
          </w:p>
        </w:tc>
        <w:tc>
          <w:tcPr>
            <w:tcW w:w="1843" w:type="dxa"/>
            <w:shd w:val="clear" w:color="auto" w:fill="auto"/>
          </w:tcPr>
          <w:p w14:paraId="0C97CEF2" w14:textId="77777777" w:rsidR="002A4DDF" w:rsidRPr="00937C8B" w:rsidRDefault="002A4DDF" w:rsidP="009110ED">
            <w:pPr>
              <w:rPr>
                <w:rFonts w:ascii="Arial" w:hAnsi="Arial" w:cs="Arial"/>
                <w:sz w:val="12"/>
                <w:szCs w:val="12"/>
              </w:rPr>
            </w:pPr>
          </w:p>
        </w:tc>
        <w:tc>
          <w:tcPr>
            <w:tcW w:w="2268" w:type="dxa"/>
            <w:shd w:val="clear" w:color="auto" w:fill="F2F2F2"/>
            <w:hideMark/>
          </w:tcPr>
          <w:p w14:paraId="36EADCC0" w14:textId="77777777" w:rsidR="002A4DDF" w:rsidRPr="00937C8B" w:rsidRDefault="002A4DDF" w:rsidP="009110ED">
            <w:pPr>
              <w:rPr>
                <w:rFonts w:ascii="Arial" w:hAnsi="Arial" w:cs="Arial"/>
                <w:sz w:val="12"/>
                <w:szCs w:val="12"/>
              </w:rPr>
            </w:pPr>
            <w:r>
              <w:rPr>
                <w:rFonts w:ascii="Arial" w:hAnsi="Arial"/>
                <w:sz w:val="12"/>
                <w:szCs w:val="12"/>
              </w:rPr>
              <w:t>Navàs</w:t>
            </w:r>
          </w:p>
        </w:tc>
        <w:tc>
          <w:tcPr>
            <w:tcW w:w="2268" w:type="dxa"/>
            <w:tcBorders>
              <w:right w:val="single" w:sz="4" w:space="0" w:color="auto"/>
            </w:tcBorders>
            <w:shd w:val="clear" w:color="auto" w:fill="D9D9D9"/>
            <w:hideMark/>
          </w:tcPr>
          <w:p w14:paraId="6B238C7C" w14:textId="77777777" w:rsidR="002A4DDF" w:rsidRPr="00937C8B" w:rsidRDefault="002A4DDF" w:rsidP="009110ED">
            <w:pPr>
              <w:rPr>
                <w:rFonts w:ascii="Arial" w:hAnsi="Arial" w:cs="Arial"/>
                <w:sz w:val="12"/>
                <w:szCs w:val="12"/>
              </w:rPr>
            </w:pPr>
            <w:r>
              <w:rPr>
                <w:rFonts w:ascii="Arial" w:hAnsi="Arial"/>
                <w:sz w:val="12"/>
                <w:szCs w:val="12"/>
              </w:rPr>
              <w:t>Vilassar de Dalt</w:t>
            </w:r>
          </w:p>
        </w:tc>
      </w:tr>
      <w:tr w:rsidR="002A4DDF" w:rsidRPr="00937C8B" w14:paraId="0BF3BE50" w14:textId="77777777" w:rsidTr="00935676">
        <w:trPr>
          <w:cantSplit/>
        </w:trPr>
        <w:tc>
          <w:tcPr>
            <w:tcW w:w="1696" w:type="dxa"/>
            <w:tcBorders>
              <w:left w:val="single" w:sz="4" w:space="0" w:color="auto"/>
            </w:tcBorders>
            <w:shd w:val="clear" w:color="auto" w:fill="auto"/>
          </w:tcPr>
          <w:p w14:paraId="76C19844" w14:textId="77777777" w:rsidR="002A4DDF" w:rsidRPr="00937C8B" w:rsidRDefault="002A4DDF" w:rsidP="009110ED">
            <w:pPr>
              <w:rPr>
                <w:rFonts w:ascii="Arial" w:hAnsi="Arial" w:cs="Arial"/>
                <w:sz w:val="12"/>
                <w:szCs w:val="12"/>
              </w:rPr>
            </w:pPr>
          </w:p>
        </w:tc>
        <w:tc>
          <w:tcPr>
            <w:tcW w:w="1843" w:type="dxa"/>
            <w:shd w:val="clear" w:color="auto" w:fill="auto"/>
          </w:tcPr>
          <w:p w14:paraId="7BFB6FB8" w14:textId="77777777" w:rsidR="002A4DDF" w:rsidRPr="00937C8B" w:rsidRDefault="002A4DDF" w:rsidP="009110ED">
            <w:pPr>
              <w:rPr>
                <w:rFonts w:ascii="Arial" w:hAnsi="Arial" w:cs="Arial"/>
                <w:sz w:val="12"/>
                <w:szCs w:val="12"/>
              </w:rPr>
            </w:pPr>
          </w:p>
        </w:tc>
        <w:tc>
          <w:tcPr>
            <w:tcW w:w="2268" w:type="dxa"/>
            <w:shd w:val="clear" w:color="auto" w:fill="F2F2F2"/>
            <w:hideMark/>
          </w:tcPr>
          <w:p w14:paraId="77F9F255" w14:textId="77777777" w:rsidR="002A4DDF" w:rsidRPr="00937C8B" w:rsidRDefault="002A4DDF" w:rsidP="009110ED">
            <w:pPr>
              <w:rPr>
                <w:rFonts w:ascii="Arial" w:hAnsi="Arial" w:cs="Arial"/>
                <w:sz w:val="12"/>
                <w:szCs w:val="12"/>
              </w:rPr>
            </w:pPr>
            <w:r>
              <w:rPr>
                <w:rFonts w:ascii="Arial" w:hAnsi="Arial"/>
                <w:sz w:val="12"/>
                <w:szCs w:val="12"/>
              </w:rPr>
              <w:t>Olesa de Montserrat</w:t>
            </w:r>
          </w:p>
        </w:tc>
        <w:tc>
          <w:tcPr>
            <w:tcW w:w="2268" w:type="dxa"/>
            <w:tcBorders>
              <w:right w:val="single" w:sz="4" w:space="0" w:color="auto"/>
            </w:tcBorders>
            <w:shd w:val="clear" w:color="auto" w:fill="D9D9D9"/>
            <w:hideMark/>
          </w:tcPr>
          <w:p w14:paraId="4AD296E5" w14:textId="77777777" w:rsidR="002A4DDF" w:rsidRPr="00937C8B" w:rsidRDefault="002A4DDF" w:rsidP="009110ED">
            <w:pPr>
              <w:rPr>
                <w:rFonts w:ascii="Arial" w:hAnsi="Arial" w:cs="Arial"/>
                <w:sz w:val="12"/>
                <w:szCs w:val="12"/>
              </w:rPr>
            </w:pPr>
          </w:p>
        </w:tc>
      </w:tr>
      <w:tr w:rsidR="002A4DDF" w:rsidRPr="00937C8B" w14:paraId="1AF38AD8" w14:textId="77777777" w:rsidTr="00935676">
        <w:trPr>
          <w:cantSplit/>
        </w:trPr>
        <w:tc>
          <w:tcPr>
            <w:tcW w:w="1696" w:type="dxa"/>
            <w:tcBorders>
              <w:left w:val="single" w:sz="4" w:space="0" w:color="auto"/>
            </w:tcBorders>
            <w:shd w:val="clear" w:color="auto" w:fill="auto"/>
          </w:tcPr>
          <w:p w14:paraId="20D8C4DA" w14:textId="77777777" w:rsidR="002A4DDF" w:rsidRPr="00937C8B" w:rsidRDefault="002A4DDF" w:rsidP="009110ED">
            <w:pPr>
              <w:rPr>
                <w:rFonts w:ascii="Arial" w:hAnsi="Arial" w:cs="Arial"/>
                <w:sz w:val="12"/>
                <w:szCs w:val="12"/>
              </w:rPr>
            </w:pPr>
          </w:p>
        </w:tc>
        <w:tc>
          <w:tcPr>
            <w:tcW w:w="1843" w:type="dxa"/>
            <w:shd w:val="clear" w:color="auto" w:fill="auto"/>
          </w:tcPr>
          <w:p w14:paraId="3704A51B" w14:textId="77777777" w:rsidR="002A4DDF" w:rsidRPr="00937C8B" w:rsidRDefault="002A4DDF" w:rsidP="009110ED">
            <w:pPr>
              <w:rPr>
                <w:rFonts w:ascii="Arial" w:hAnsi="Arial" w:cs="Arial"/>
                <w:sz w:val="12"/>
                <w:szCs w:val="12"/>
              </w:rPr>
            </w:pPr>
          </w:p>
        </w:tc>
        <w:tc>
          <w:tcPr>
            <w:tcW w:w="2268" w:type="dxa"/>
            <w:shd w:val="clear" w:color="auto" w:fill="F2F2F2"/>
            <w:hideMark/>
          </w:tcPr>
          <w:p w14:paraId="483EC258" w14:textId="77777777" w:rsidR="002A4DDF" w:rsidRPr="00937C8B" w:rsidRDefault="002A4DDF" w:rsidP="009110ED">
            <w:pPr>
              <w:rPr>
                <w:rFonts w:ascii="Arial" w:hAnsi="Arial" w:cs="Arial"/>
                <w:sz w:val="12"/>
                <w:szCs w:val="12"/>
              </w:rPr>
            </w:pPr>
            <w:r>
              <w:rPr>
                <w:rFonts w:ascii="Arial" w:hAnsi="Arial"/>
                <w:sz w:val="12"/>
                <w:szCs w:val="12"/>
              </w:rPr>
              <w:t>Orís</w:t>
            </w:r>
          </w:p>
        </w:tc>
        <w:tc>
          <w:tcPr>
            <w:tcW w:w="2268" w:type="dxa"/>
            <w:tcBorders>
              <w:right w:val="single" w:sz="4" w:space="0" w:color="auto"/>
            </w:tcBorders>
            <w:shd w:val="clear" w:color="auto" w:fill="D9D9D9"/>
            <w:hideMark/>
          </w:tcPr>
          <w:p w14:paraId="2AB27307" w14:textId="77777777" w:rsidR="002A4DDF" w:rsidRPr="00937C8B" w:rsidRDefault="002A4DDF" w:rsidP="009110ED">
            <w:pPr>
              <w:rPr>
                <w:rFonts w:ascii="Arial" w:hAnsi="Arial" w:cs="Arial"/>
                <w:sz w:val="12"/>
                <w:szCs w:val="12"/>
              </w:rPr>
            </w:pPr>
          </w:p>
        </w:tc>
      </w:tr>
      <w:tr w:rsidR="002A4DDF" w:rsidRPr="00937C8B" w14:paraId="1EBCF4DD" w14:textId="77777777" w:rsidTr="00935676">
        <w:trPr>
          <w:cantSplit/>
        </w:trPr>
        <w:tc>
          <w:tcPr>
            <w:tcW w:w="1696" w:type="dxa"/>
            <w:tcBorders>
              <w:left w:val="single" w:sz="4" w:space="0" w:color="auto"/>
            </w:tcBorders>
            <w:shd w:val="clear" w:color="auto" w:fill="auto"/>
          </w:tcPr>
          <w:p w14:paraId="0C2235E5" w14:textId="77777777" w:rsidR="002A4DDF" w:rsidRPr="00937C8B" w:rsidRDefault="002A4DDF" w:rsidP="009110ED">
            <w:pPr>
              <w:rPr>
                <w:rFonts w:ascii="Arial" w:hAnsi="Arial" w:cs="Arial"/>
                <w:sz w:val="12"/>
                <w:szCs w:val="12"/>
              </w:rPr>
            </w:pPr>
          </w:p>
        </w:tc>
        <w:tc>
          <w:tcPr>
            <w:tcW w:w="1843" w:type="dxa"/>
            <w:shd w:val="clear" w:color="auto" w:fill="auto"/>
          </w:tcPr>
          <w:p w14:paraId="177A593A" w14:textId="77777777" w:rsidR="002A4DDF" w:rsidRPr="00937C8B" w:rsidRDefault="002A4DDF" w:rsidP="009110ED">
            <w:pPr>
              <w:rPr>
                <w:rFonts w:ascii="Arial" w:hAnsi="Arial" w:cs="Arial"/>
                <w:sz w:val="12"/>
                <w:szCs w:val="12"/>
              </w:rPr>
            </w:pPr>
          </w:p>
        </w:tc>
        <w:tc>
          <w:tcPr>
            <w:tcW w:w="2268" w:type="dxa"/>
            <w:shd w:val="clear" w:color="auto" w:fill="F2F2F2"/>
            <w:hideMark/>
          </w:tcPr>
          <w:p w14:paraId="4BBDC10A" w14:textId="77777777" w:rsidR="002A4DDF" w:rsidRPr="00937C8B" w:rsidRDefault="002A4DDF" w:rsidP="009110ED">
            <w:pPr>
              <w:rPr>
                <w:rFonts w:ascii="Arial" w:hAnsi="Arial" w:cs="Arial"/>
                <w:sz w:val="12"/>
                <w:szCs w:val="12"/>
              </w:rPr>
            </w:pPr>
            <w:r>
              <w:rPr>
                <w:rFonts w:ascii="Arial" w:hAnsi="Arial"/>
                <w:sz w:val="12"/>
                <w:szCs w:val="12"/>
              </w:rPr>
              <w:t>Palau-solità i Plegamans</w:t>
            </w:r>
          </w:p>
        </w:tc>
        <w:tc>
          <w:tcPr>
            <w:tcW w:w="2268" w:type="dxa"/>
            <w:tcBorders>
              <w:right w:val="single" w:sz="4" w:space="0" w:color="auto"/>
            </w:tcBorders>
            <w:shd w:val="clear" w:color="auto" w:fill="D9D9D9"/>
            <w:hideMark/>
          </w:tcPr>
          <w:p w14:paraId="49A37499" w14:textId="77777777" w:rsidR="002A4DDF" w:rsidRPr="00937C8B" w:rsidRDefault="002A4DDF" w:rsidP="009110ED">
            <w:pPr>
              <w:rPr>
                <w:rFonts w:ascii="Arial" w:hAnsi="Arial" w:cs="Arial"/>
                <w:sz w:val="12"/>
                <w:szCs w:val="12"/>
              </w:rPr>
            </w:pPr>
          </w:p>
        </w:tc>
      </w:tr>
      <w:tr w:rsidR="002A4DDF" w:rsidRPr="00937C8B" w14:paraId="20E7E5F2" w14:textId="77777777" w:rsidTr="00935676">
        <w:trPr>
          <w:cantSplit/>
        </w:trPr>
        <w:tc>
          <w:tcPr>
            <w:tcW w:w="1696" w:type="dxa"/>
            <w:tcBorders>
              <w:left w:val="single" w:sz="4" w:space="0" w:color="auto"/>
            </w:tcBorders>
            <w:shd w:val="clear" w:color="auto" w:fill="auto"/>
          </w:tcPr>
          <w:p w14:paraId="520A8F9C" w14:textId="77777777" w:rsidR="002A4DDF" w:rsidRPr="00937C8B" w:rsidRDefault="002A4DDF" w:rsidP="009110ED">
            <w:pPr>
              <w:rPr>
                <w:rFonts w:ascii="Arial" w:hAnsi="Arial" w:cs="Arial"/>
                <w:sz w:val="12"/>
                <w:szCs w:val="12"/>
              </w:rPr>
            </w:pPr>
          </w:p>
        </w:tc>
        <w:tc>
          <w:tcPr>
            <w:tcW w:w="1843" w:type="dxa"/>
            <w:shd w:val="clear" w:color="auto" w:fill="auto"/>
          </w:tcPr>
          <w:p w14:paraId="7A343EE4" w14:textId="77777777" w:rsidR="002A4DDF" w:rsidRPr="00937C8B" w:rsidRDefault="002A4DDF" w:rsidP="009110ED">
            <w:pPr>
              <w:rPr>
                <w:rFonts w:ascii="Arial" w:hAnsi="Arial" w:cs="Arial"/>
                <w:sz w:val="12"/>
                <w:szCs w:val="12"/>
              </w:rPr>
            </w:pPr>
          </w:p>
        </w:tc>
        <w:tc>
          <w:tcPr>
            <w:tcW w:w="2268" w:type="dxa"/>
            <w:shd w:val="clear" w:color="auto" w:fill="F2F2F2"/>
            <w:hideMark/>
          </w:tcPr>
          <w:p w14:paraId="415DAE42" w14:textId="77777777" w:rsidR="002A4DDF" w:rsidRPr="00937C8B" w:rsidRDefault="002A4DDF" w:rsidP="009110ED">
            <w:pPr>
              <w:rPr>
                <w:rFonts w:ascii="Arial" w:hAnsi="Arial" w:cs="Arial"/>
                <w:sz w:val="12"/>
                <w:szCs w:val="12"/>
              </w:rPr>
            </w:pPr>
            <w:r>
              <w:rPr>
                <w:rFonts w:ascii="Arial" w:hAnsi="Arial"/>
                <w:sz w:val="12"/>
                <w:szCs w:val="12"/>
              </w:rPr>
              <w:t>Pallejà</w:t>
            </w:r>
          </w:p>
        </w:tc>
        <w:tc>
          <w:tcPr>
            <w:tcW w:w="2268" w:type="dxa"/>
            <w:tcBorders>
              <w:right w:val="single" w:sz="4" w:space="0" w:color="auto"/>
            </w:tcBorders>
            <w:shd w:val="clear" w:color="auto" w:fill="D9D9D9"/>
            <w:hideMark/>
          </w:tcPr>
          <w:p w14:paraId="41F2F683" w14:textId="77777777" w:rsidR="002A4DDF" w:rsidRPr="00937C8B" w:rsidRDefault="002A4DDF" w:rsidP="009110ED">
            <w:pPr>
              <w:rPr>
                <w:rFonts w:ascii="Arial" w:hAnsi="Arial" w:cs="Arial"/>
                <w:sz w:val="12"/>
                <w:szCs w:val="12"/>
              </w:rPr>
            </w:pPr>
          </w:p>
        </w:tc>
      </w:tr>
      <w:tr w:rsidR="002A4DDF" w:rsidRPr="00937C8B" w14:paraId="0926AD38" w14:textId="77777777" w:rsidTr="00935676">
        <w:trPr>
          <w:cantSplit/>
        </w:trPr>
        <w:tc>
          <w:tcPr>
            <w:tcW w:w="1696" w:type="dxa"/>
            <w:tcBorders>
              <w:left w:val="single" w:sz="4" w:space="0" w:color="auto"/>
            </w:tcBorders>
            <w:shd w:val="clear" w:color="auto" w:fill="auto"/>
          </w:tcPr>
          <w:p w14:paraId="7B6D2D08" w14:textId="77777777" w:rsidR="002A4DDF" w:rsidRPr="00937C8B" w:rsidRDefault="002A4DDF" w:rsidP="009110ED">
            <w:pPr>
              <w:rPr>
                <w:rFonts w:ascii="Arial" w:hAnsi="Arial" w:cs="Arial"/>
                <w:sz w:val="12"/>
                <w:szCs w:val="12"/>
              </w:rPr>
            </w:pPr>
          </w:p>
        </w:tc>
        <w:tc>
          <w:tcPr>
            <w:tcW w:w="1843" w:type="dxa"/>
            <w:shd w:val="clear" w:color="auto" w:fill="auto"/>
          </w:tcPr>
          <w:p w14:paraId="26658DFC" w14:textId="77777777" w:rsidR="002A4DDF" w:rsidRPr="00937C8B" w:rsidRDefault="002A4DDF" w:rsidP="009110ED">
            <w:pPr>
              <w:rPr>
                <w:rFonts w:ascii="Arial" w:hAnsi="Arial" w:cs="Arial"/>
                <w:sz w:val="12"/>
                <w:szCs w:val="12"/>
              </w:rPr>
            </w:pPr>
          </w:p>
        </w:tc>
        <w:tc>
          <w:tcPr>
            <w:tcW w:w="2268" w:type="dxa"/>
            <w:shd w:val="clear" w:color="auto" w:fill="F2F2F2"/>
            <w:hideMark/>
          </w:tcPr>
          <w:p w14:paraId="2104BC9D" w14:textId="77777777" w:rsidR="002A4DDF" w:rsidRPr="00937C8B" w:rsidRDefault="002A4DDF" w:rsidP="009110ED">
            <w:pPr>
              <w:rPr>
                <w:rFonts w:ascii="Arial" w:hAnsi="Arial" w:cs="Arial"/>
                <w:sz w:val="12"/>
                <w:szCs w:val="12"/>
              </w:rPr>
            </w:pPr>
            <w:r>
              <w:rPr>
                <w:rFonts w:ascii="Arial" w:hAnsi="Arial"/>
                <w:sz w:val="12"/>
                <w:szCs w:val="12"/>
              </w:rPr>
              <w:t>Parets del Vallès</w:t>
            </w:r>
          </w:p>
        </w:tc>
        <w:tc>
          <w:tcPr>
            <w:tcW w:w="2268" w:type="dxa"/>
            <w:tcBorders>
              <w:right w:val="single" w:sz="4" w:space="0" w:color="auto"/>
            </w:tcBorders>
            <w:shd w:val="clear" w:color="auto" w:fill="D9D9D9"/>
            <w:hideMark/>
          </w:tcPr>
          <w:p w14:paraId="4DC49220" w14:textId="77777777" w:rsidR="002A4DDF" w:rsidRPr="00937C8B" w:rsidRDefault="002A4DDF" w:rsidP="009110ED">
            <w:pPr>
              <w:rPr>
                <w:rFonts w:ascii="Arial" w:hAnsi="Arial" w:cs="Arial"/>
                <w:sz w:val="12"/>
                <w:szCs w:val="12"/>
              </w:rPr>
            </w:pPr>
          </w:p>
        </w:tc>
      </w:tr>
      <w:tr w:rsidR="002A4DDF" w:rsidRPr="00937C8B" w14:paraId="3CEDF2FB" w14:textId="77777777" w:rsidTr="00935676">
        <w:trPr>
          <w:cantSplit/>
        </w:trPr>
        <w:tc>
          <w:tcPr>
            <w:tcW w:w="1696" w:type="dxa"/>
            <w:tcBorders>
              <w:left w:val="single" w:sz="4" w:space="0" w:color="auto"/>
            </w:tcBorders>
            <w:shd w:val="clear" w:color="auto" w:fill="auto"/>
          </w:tcPr>
          <w:p w14:paraId="2BCFFDC9" w14:textId="77777777" w:rsidR="002A4DDF" w:rsidRPr="00937C8B" w:rsidRDefault="002A4DDF" w:rsidP="009110ED">
            <w:pPr>
              <w:rPr>
                <w:rFonts w:ascii="Arial" w:hAnsi="Arial" w:cs="Arial"/>
                <w:sz w:val="12"/>
                <w:szCs w:val="12"/>
              </w:rPr>
            </w:pPr>
          </w:p>
        </w:tc>
        <w:tc>
          <w:tcPr>
            <w:tcW w:w="1843" w:type="dxa"/>
            <w:shd w:val="clear" w:color="auto" w:fill="auto"/>
          </w:tcPr>
          <w:p w14:paraId="6547C396" w14:textId="77777777" w:rsidR="002A4DDF" w:rsidRPr="00937C8B" w:rsidRDefault="002A4DDF" w:rsidP="009110ED">
            <w:pPr>
              <w:rPr>
                <w:rFonts w:ascii="Arial" w:hAnsi="Arial" w:cs="Arial"/>
                <w:sz w:val="12"/>
                <w:szCs w:val="12"/>
              </w:rPr>
            </w:pPr>
          </w:p>
        </w:tc>
        <w:tc>
          <w:tcPr>
            <w:tcW w:w="2268" w:type="dxa"/>
            <w:shd w:val="clear" w:color="auto" w:fill="F2F2F2"/>
            <w:hideMark/>
          </w:tcPr>
          <w:p w14:paraId="0D273AD8" w14:textId="77777777" w:rsidR="002A4DDF" w:rsidRPr="00937C8B" w:rsidRDefault="002A4DDF" w:rsidP="009110ED">
            <w:pPr>
              <w:rPr>
                <w:rFonts w:ascii="Arial" w:hAnsi="Arial" w:cs="Arial"/>
                <w:sz w:val="12"/>
                <w:szCs w:val="12"/>
              </w:rPr>
            </w:pPr>
            <w:r>
              <w:rPr>
                <w:rFonts w:ascii="Arial" w:hAnsi="Arial"/>
                <w:sz w:val="12"/>
                <w:szCs w:val="12"/>
              </w:rPr>
              <w:t>Polinyà</w:t>
            </w:r>
          </w:p>
        </w:tc>
        <w:tc>
          <w:tcPr>
            <w:tcW w:w="2268" w:type="dxa"/>
            <w:tcBorders>
              <w:right w:val="single" w:sz="4" w:space="0" w:color="auto"/>
            </w:tcBorders>
            <w:shd w:val="clear" w:color="auto" w:fill="D9D9D9"/>
            <w:hideMark/>
          </w:tcPr>
          <w:p w14:paraId="350932C8" w14:textId="77777777" w:rsidR="002A4DDF" w:rsidRPr="00937C8B" w:rsidRDefault="002A4DDF" w:rsidP="009110ED">
            <w:pPr>
              <w:rPr>
                <w:rFonts w:ascii="Arial" w:hAnsi="Arial" w:cs="Arial"/>
                <w:sz w:val="12"/>
                <w:szCs w:val="12"/>
              </w:rPr>
            </w:pPr>
          </w:p>
        </w:tc>
      </w:tr>
      <w:tr w:rsidR="002A4DDF" w:rsidRPr="00937C8B" w14:paraId="7DB2C975" w14:textId="77777777" w:rsidTr="00935676">
        <w:trPr>
          <w:cantSplit/>
        </w:trPr>
        <w:tc>
          <w:tcPr>
            <w:tcW w:w="1696" w:type="dxa"/>
            <w:tcBorders>
              <w:left w:val="single" w:sz="4" w:space="0" w:color="auto"/>
            </w:tcBorders>
            <w:shd w:val="clear" w:color="auto" w:fill="auto"/>
          </w:tcPr>
          <w:p w14:paraId="0F8F563C" w14:textId="77777777" w:rsidR="002A4DDF" w:rsidRPr="00937C8B" w:rsidRDefault="002A4DDF" w:rsidP="009110ED">
            <w:pPr>
              <w:rPr>
                <w:rFonts w:ascii="Arial" w:hAnsi="Arial" w:cs="Arial"/>
                <w:sz w:val="12"/>
                <w:szCs w:val="12"/>
              </w:rPr>
            </w:pPr>
          </w:p>
        </w:tc>
        <w:tc>
          <w:tcPr>
            <w:tcW w:w="1843" w:type="dxa"/>
            <w:shd w:val="clear" w:color="auto" w:fill="auto"/>
          </w:tcPr>
          <w:p w14:paraId="08EC077A" w14:textId="77777777" w:rsidR="002A4DDF" w:rsidRPr="00937C8B" w:rsidRDefault="002A4DDF" w:rsidP="009110ED">
            <w:pPr>
              <w:rPr>
                <w:rFonts w:ascii="Arial" w:hAnsi="Arial" w:cs="Arial"/>
                <w:sz w:val="12"/>
                <w:szCs w:val="12"/>
              </w:rPr>
            </w:pPr>
          </w:p>
        </w:tc>
        <w:tc>
          <w:tcPr>
            <w:tcW w:w="2268" w:type="dxa"/>
            <w:shd w:val="clear" w:color="auto" w:fill="F2F2F2"/>
            <w:hideMark/>
          </w:tcPr>
          <w:p w14:paraId="61E79854" w14:textId="77777777" w:rsidR="002A4DDF" w:rsidRPr="00937C8B" w:rsidRDefault="002A4DDF" w:rsidP="009110ED">
            <w:pPr>
              <w:rPr>
                <w:rFonts w:ascii="Arial" w:hAnsi="Arial" w:cs="Arial"/>
                <w:sz w:val="12"/>
                <w:szCs w:val="12"/>
              </w:rPr>
            </w:pPr>
            <w:r>
              <w:rPr>
                <w:rFonts w:ascii="Arial" w:hAnsi="Arial"/>
                <w:sz w:val="12"/>
                <w:szCs w:val="12"/>
              </w:rPr>
              <w:t>Premià de Mar</w:t>
            </w:r>
          </w:p>
        </w:tc>
        <w:tc>
          <w:tcPr>
            <w:tcW w:w="2268" w:type="dxa"/>
            <w:tcBorders>
              <w:right w:val="single" w:sz="4" w:space="0" w:color="auto"/>
            </w:tcBorders>
            <w:shd w:val="clear" w:color="auto" w:fill="D9D9D9"/>
            <w:hideMark/>
          </w:tcPr>
          <w:p w14:paraId="0CCBB386" w14:textId="77777777" w:rsidR="002A4DDF" w:rsidRPr="00937C8B" w:rsidRDefault="002A4DDF" w:rsidP="009110ED">
            <w:pPr>
              <w:rPr>
                <w:rFonts w:ascii="Arial" w:hAnsi="Arial" w:cs="Arial"/>
                <w:sz w:val="12"/>
                <w:szCs w:val="12"/>
              </w:rPr>
            </w:pPr>
          </w:p>
        </w:tc>
      </w:tr>
      <w:tr w:rsidR="002A4DDF" w:rsidRPr="00937C8B" w14:paraId="0973E08E" w14:textId="77777777" w:rsidTr="00935676">
        <w:trPr>
          <w:cantSplit/>
        </w:trPr>
        <w:tc>
          <w:tcPr>
            <w:tcW w:w="1696" w:type="dxa"/>
            <w:tcBorders>
              <w:left w:val="single" w:sz="4" w:space="0" w:color="auto"/>
            </w:tcBorders>
            <w:shd w:val="clear" w:color="auto" w:fill="auto"/>
          </w:tcPr>
          <w:p w14:paraId="4EE78D08" w14:textId="77777777" w:rsidR="002A4DDF" w:rsidRPr="00937C8B" w:rsidRDefault="002A4DDF" w:rsidP="009110ED">
            <w:pPr>
              <w:rPr>
                <w:rFonts w:ascii="Arial" w:hAnsi="Arial" w:cs="Arial"/>
                <w:sz w:val="12"/>
                <w:szCs w:val="12"/>
              </w:rPr>
            </w:pPr>
          </w:p>
        </w:tc>
        <w:tc>
          <w:tcPr>
            <w:tcW w:w="1843" w:type="dxa"/>
            <w:shd w:val="clear" w:color="auto" w:fill="auto"/>
          </w:tcPr>
          <w:p w14:paraId="241A4BBE" w14:textId="77777777" w:rsidR="002A4DDF" w:rsidRPr="00937C8B" w:rsidRDefault="002A4DDF" w:rsidP="009110ED">
            <w:pPr>
              <w:rPr>
                <w:rFonts w:ascii="Arial" w:hAnsi="Arial" w:cs="Arial"/>
                <w:sz w:val="12"/>
                <w:szCs w:val="12"/>
              </w:rPr>
            </w:pPr>
          </w:p>
        </w:tc>
        <w:tc>
          <w:tcPr>
            <w:tcW w:w="2268" w:type="dxa"/>
            <w:shd w:val="clear" w:color="auto" w:fill="F2F2F2"/>
            <w:hideMark/>
          </w:tcPr>
          <w:p w14:paraId="1FD877B7" w14:textId="77777777" w:rsidR="002A4DDF" w:rsidRPr="00937C8B" w:rsidRDefault="002A4DDF" w:rsidP="009110ED">
            <w:pPr>
              <w:rPr>
                <w:rFonts w:ascii="Arial" w:hAnsi="Arial" w:cs="Arial"/>
                <w:sz w:val="12"/>
                <w:szCs w:val="12"/>
              </w:rPr>
            </w:pPr>
            <w:r>
              <w:rPr>
                <w:rFonts w:ascii="Arial" w:hAnsi="Arial"/>
                <w:sz w:val="12"/>
                <w:szCs w:val="12"/>
              </w:rPr>
              <w:t>Ripollet</w:t>
            </w:r>
          </w:p>
        </w:tc>
        <w:tc>
          <w:tcPr>
            <w:tcW w:w="2268" w:type="dxa"/>
            <w:tcBorders>
              <w:right w:val="single" w:sz="4" w:space="0" w:color="auto"/>
            </w:tcBorders>
            <w:shd w:val="clear" w:color="auto" w:fill="D9D9D9"/>
            <w:hideMark/>
          </w:tcPr>
          <w:p w14:paraId="4E756A17" w14:textId="77777777" w:rsidR="002A4DDF" w:rsidRPr="00937C8B" w:rsidRDefault="002A4DDF" w:rsidP="009110ED">
            <w:pPr>
              <w:rPr>
                <w:rFonts w:ascii="Arial" w:hAnsi="Arial" w:cs="Arial"/>
                <w:sz w:val="12"/>
                <w:szCs w:val="12"/>
              </w:rPr>
            </w:pPr>
          </w:p>
        </w:tc>
      </w:tr>
      <w:tr w:rsidR="002A4DDF" w:rsidRPr="00937C8B" w14:paraId="4AD8995F" w14:textId="77777777" w:rsidTr="00935676">
        <w:trPr>
          <w:cantSplit/>
        </w:trPr>
        <w:tc>
          <w:tcPr>
            <w:tcW w:w="1696" w:type="dxa"/>
            <w:tcBorders>
              <w:left w:val="single" w:sz="4" w:space="0" w:color="auto"/>
            </w:tcBorders>
            <w:shd w:val="clear" w:color="auto" w:fill="auto"/>
          </w:tcPr>
          <w:p w14:paraId="3D7A6627" w14:textId="77777777" w:rsidR="002A4DDF" w:rsidRPr="00937C8B" w:rsidRDefault="002A4DDF" w:rsidP="009110ED">
            <w:pPr>
              <w:rPr>
                <w:rFonts w:ascii="Arial" w:hAnsi="Arial" w:cs="Arial"/>
                <w:sz w:val="12"/>
                <w:szCs w:val="12"/>
              </w:rPr>
            </w:pPr>
          </w:p>
        </w:tc>
        <w:tc>
          <w:tcPr>
            <w:tcW w:w="1843" w:type="dxa"/>
            <w:shd w:val="clear" w:color="auto" w:fill="auto"/>
          </w:tcPr>
          <w:p w14:paraId="1BADB359" w14:textId="77777777" w:rsidR="002A4DDF" w:rsidRPr="00937C8B" w:rsidRDefault="002A4DDF" w:rsidP="009110ED">
            <w:pPr>
              <w:rPr>
                <w:rFonts w:ascii="Arial" w:hAnsi="Arial" w:cs="Arial"/>
                <w:sz w:val="12"/>
                <w:szCs w:val="12"/>
              </w:rPr>
            </w:pPr>
          </w:p>
        </w:tc>
        <w:tc>
          <w:tcPr>
            <w:tcW w:w="2268" w:type="dxa"/>
            <w:shd w:val="clear" w:color="auto" w:fill="F2F2F2"/>
            <w:hideMark/>
          </w:tcPr>
          <w:p w14:paraId="71C61440" w14:textId="77777777" w:rsidR="002A4DDF" w:rsidRPr="00937C8B" w:rsidRDefault="002A4DDF" w:rsidP="009110ED">
            <w:pPr>
              <w:rPr>
                <w:rFonts w:ascii="Arial" w:hAnsi="Arial" w:cs="Arial"/>
                <w:sz w:val="12"/>
                <w:szCs w:val="12"/>
              </w:rPr>
            </w:pPr>
            <w:r>
              <w:rPr>
                <w:rFonts w:ascii="Arial" w:hAnsi="Arial"/>
                <w:sz w:val="12"/>
                <w:szCs w:val="12"/>
              </w:rPr>
              <w:t>Roda de Ter</w:t>
            </w:r>
          </w:p>
        </w:tc>
        <w:tc>
          <w:tcPr>
            <w:tcW w:w="2268" w:type="dxa"/>
            <w:tcBorders>
              <w:right w:val="single" w:sz="4" w:space="0" w:color="auto"/>
            </w:tcBorders>
            <w:shd w:val="clear" w:color="auto" w:fill="D9D9D9"/>
            <w:hideMark/>
          </w:tcPr>
          <w:p w14:paraId="5703E0EC" w14:textId="77777777" w:rsidR="002A4DDF" w:rsidRPr="00937C8B" w:rsidRDefault="002A4DDF" w:rsidP="009110ED">
            <w:pPr>
              <w:rPr>
                <w:rFonts w:ascii="Arial" w:hAnsi="Arial" w:cs="Arial"/>
                <w:sz w:val="12"/>
                <w:szCs w:val="12"/>
              </w:rPr>
            </w:pPr>
          </w:p>
        </w:tc>
      </w:tr>
      <w:tr w:rsidR="002A4DDF" w:rsidRPr="00937C8B" w14:paraId="47F6EBBD" w14:textId="77777777" w:rsidTr="00935676">
        <w:trPr>
          <w:cantSplit/>
        </w:trPr>
        <w:tc>
          <w:tcPr>
            <w:tcW w:w="1696" w:type="dxa"/>
            <w:tcBorders>
              <w:left w:val="single" w:sz="4" w:space="0" w:color="auto"/>
            </w:tcBorders>
            <w:shd w:val="clear" w:color="auto" w:fill="auto"/>
          </w:tcPr>
          <w:p w14:paraId="7280B0F8" w14:textId="77777777" w:rsidR="002A4DDF" w:rsidRPr="00937C8B" w:rsidRDefault="002A4DDF" w:rsidP="009110ED">
            <w:pPr>
              <w:rPr>
                <w:rFonts w:ascii="Arial" w:hAnsi="Arial" w:cs="Arial"/>
                <w:sz w:val="12"/>
                <w:szCs w:val="12"/>
              </w:rPr>
            </w:pPr>
          </w:p>
        </w:tc>
        <w:tc>
          <w:tcPr>
            <w:tcW w:w="1843" w:type="dxa"/>
            <w:shd w:val="clear" w:color="auto" w:fill="auto"/>
          </w:tcPr>
          <w:p w14:paraId="4E1203AB" w14:textId="77777777" w:rsidR="002A4DDF" w:rsidRPr="00937C8B" w:rsidRDefault="002A4DDF" w:rsidP="009110ED">
            <w:pPr>
              <w:rPr>
                <w:rFonts w:ascii="Arial" w:hAnsi="Arial" w:cs="Arial"/>
                <w:sz w:val="12"/>
                <w:szCs w:val="12"/>
              </w:rPr>
            </w:pPr>
          </w:p>
        </w:tc>
        <w:tc>
          <w:tcPr>
            <w:tcW w:w="2268" w:type="dxa"/>
            <w:shd w:val="clear" w:color="auto" w:fill="F2F2F2"/>
            <w:hideMark/>
          </w:tcPr>
          <w:p w14:paraId="24238E6A" w14:textId="77777777" w:rsidR="002A4DDF" w:rsidRPr="00937C8B" w:rsidRDefault="002A4DDF" w:rsidP="009110ED">
            <w:pPr>
              <w:rPr>
                <w:rFonts w:ascii="Arial" w:hAnsi="Arial" w:cs="Arial"/>
                <w:sz w:val="12"/>
                <w:szCs w:val="12"/>
              </w:rPr>
            </w:pPr>
            <w:r>
              <w:rPr>
                <w:rFonts w:ascii="Arial" w:hAnsi="Arial"/>
                <w:sz w:val="12"/>
                <w:szCs w:val="12"/>
              </w:rPr>
              <w:t>Rubí</w:t>
            </w:r>
          </w:p>
        </w:tc>
        <w:tc>
          <w:tcPr>
            <w:tcW w:w="2268" w:type="dxa"/>
            <w:tcBorders>
              <w:right w:val="single" w:sz="4" w:space="0" w:color="auto"/>
            </w:tcBorders>
            <w:shd w:val="clear" w:color="auto" w:fill="D9D9D9"/>
            <w:hideMark/>
          </w:tcPr>
          <w:p w14:paraId="031B4371" w14:textId="77777777" w:rsidR="002A4DDF" w:rsidRPr="00937C8B" w:rsidRDefault="002A4DDF" w:rsidP="009110ED">
            <w:pPr>
              <w:rPr>
                <w:rFonts w:ascii="Arial" w:hAnsi="Arial" w:cs="Arial"/>
                <w:sz w:val="12"/>
                <w:szCs w:val="12"/>
              </w:rPr>
            </w:pPr>
          </w:p>
        </w:tc>
      </w:tr>
      <w:tr w:rsidR="002A4DDF" w:rsidRPr="00937C8B" w14:paraId="28063273" w14:textId="77777777" w:rsidTr="00935676">
        <w:trPr>
          <w:cantSplit/>
        </w:trPr>
        <w:tc>
          <w:tcPr>
            <w:tcW w:w="1696" w:type="dxa"/>
            <w:tcBorders>
              <w:left w:val="single" w:sz="4" w:space="0" w:color="auto"/>
            </w:tcBorders>
            <w:shd w:val="clear" w:color="auto" w:fill="auto"/>
          </w:tcPr>
          <w:p w14:paraId="66BE9983" w14:textId="77777777" w:rsidR="002A4DDF" w:rsidRPr="00937C8B" w:rsidRDefault="002A4DDF" w:rsidP="009110ED">
            <w:pPr>
              <w:rPr>
                <w:rFonts w:ascii="Arial" w:hAnsi="Arial" w:cs="Arial"/>
                <w:sz w:val="12"/>
                <w:szCs w:val="12"/>
              </w:rPr>
            </w:pPr>
          </w:p>
        </w:tc>
        <w:tc>
          <w:tcPr>
            <w:tcW w:w="1843" w:type="dxa"/>
            <w:shd w:val="clear" w:color="auto" w:fill="auto"/>
          </w:tcPr>
          <w:p w14:paraId="39141DFE" w14:textId="77777777" w:rsidR="002A4DDF" w:rsidRPr="00937C8B" w:rsidRDefault="002A4DDF" w:rsidP="009110ED">
            <w:pPr>
              <w:rPr>
                <w:rFonts w:ascii="Arial" w:hAnsi="Arial" w:cs="Arial"/>
                <w:sz w:val="12"/>
                <w:szCs w:val="12"/>
              </w:rPr>
            </w:pPr>
          </w:p>
        </w:tc>
        <w:tc>
          <w:tcPr>
            <w:tcW w:w="2268" w:type="dxa"/>
            <w:shd w:val="clear" w:color="auto" w:fill="F2F2F2"/>
            <w:hideMark/>
          </w:tcPr>
          <w:p w14:paraId="53CF6639" w14:textId="77777777" w:rsidR="002A4DDF" w:rsidRPr="00937C8B" w:rsidRDefault="002A4DDF" w:rsidP="009110ED">
            <w:pPr>
              <w:rPr>
                <w:rFonts w:ascii="Arial" w:hAnsi="Arial" w:cs="Arial"/>
                <w:sz w:val="12"/>
                <w:szCs w:val="12"/>
              </w:rPr>
            </w:pPr>
            <w:r>
              <w:rPr>
                <w:rFonts w:ascii="Arial" w:hAnsi="Arial"/>
                <w:sz w:val="12"/>
                <w:szCs w:val="12"/>
              </w:rPr>
              <w:t>Sabadell</w:t>
            </w:r>
          </w:p>
        </w:tc>
        <w:tc>
          <w:tcPr>
            <w:tcW w:w="2268" w:type="dxa"/>
            <w:tcBorders>
              <w:right w:val="single" w:sz="4" w:space="0" w:color="auto"/>
            </w:tcBorders>
            <w:shd w:val="clear" w:color="auto" w:fill="D9D9D9"/>
            <w:hideMark/>
          </w:tcPr>
          <w:p w14:paraId="56918773" w14:textId="77777777" w:rsidR="002A4DDF" w:rsidRPr="00937C8B" w:rsidRDefault="002A4DDF" w:rsidP="009110ED">
            <w:pPr>
              <w:rPr>
                <w:rFonts w:ascii="Arial" w:hAnsi="Arial" w:cs="Arial"/>
                <w:sz w:val="12"/>
                <w:szCs w:val="12"/>
              </w:rPr>
            </w:pPr>
          </w:p>
        </w:tc>
      </w:tr>
      <w:tr w:rsidR="002A4DDF" w:rsidRPr="00937C8B" w14:paraId="03726304" w14:textId="77777777" w:rsidTr="00935676">
        <w:trPr>
          <w:cantSplit/>
        </w:trPr>
        <w:tc>
          <w:tcPr>
            <w:tcW w:w="1696" w:type="dxa"/>
            <w:tcBorders>
              <w:left w:val="single" w:sz="4" w:space="0" w:color="auto"/>
            </w:tcBorders>
            <w:shd w:val="clear" w:color="auto" w:fill="auto"/>
          </w:tcPr>
          <w:p w14:paraId="10CA404B" w14:textId="77777777" w:rsidR="002A4DDF" w:rsidRPr="00937C8B" w:rsidRDefault="002A4DDF" w:rsidP="009110ED">
            <w:pPr>
              <w:rPr>
                <w:rFonts w:ascii="Arial" w:hAnsi="Arial" w:cs="Arial"/>
                <w:sz w:val="12"/>
                <w:szCs w:val="12"/>
              </w:rPr>
            </w:pPr>
          </w:p>
        </w:tc>
        <w:tc>
          <w:tcPr>
            <w:tcW w:w="1843" w:type="dxa"/>
            <w:shd w:val="clear" w:color="auto" w:fill="auto"/>
          </w:tcPr>
          <w:p w14:paraId="3A1140E8" w14:textId="77777777" w:rsidR="002A4DDF" w:rsidRPr="00937C8B" w:rsidRDefault="002A4DDF" w:rsidP="009110ED">
            <w:pPr>
              <w:rPr>
                <w:rFonts w:ascii="Arial" w:hAnsi="Arial" w:cs="Arial"/>
                <w:sz w:val="12"/>
                <w:szCs w:val="12"/>
              </w:rPr>
            </w:pPr>
          </w:p>
        </w:tc>
        <w:tc>
          <w:tcPr>
            <w:tcW w:w="2268" w:type="dxa"/>
            <w:shd w:val="clear" w:color="auto" w:fill="F2F2F2"/>
            <w:hideMark/>
          </w:tcPr>
          <w:p w14:paraId="42F3DEF2" w14:textId="77777777" w:rsidR="002A4DDF" w:rsidRPr="00937C8B" w:rsidRDefault="002A4DDF" w:rsidP="009110ED">
            <w:pPr>
              <w:rPr>
                <w:rFonts w:ascii="Arial" w:hAnsi="Arial" w:cs="Arial"/>
                <w:sz w:val="12"/>
                <w:szCs w:val="12"/>
              </w:rPr>
            </w:pPr>
            <w:r>
              <w:rPr>
                <w:rFonts w:ascii="Arial" w:hAnsi="Arial"/>
                <w:sz w:val="12"/>
                <w:szCs w:val="12"/>
              </w:rPr>
              <w:t>Saldes</w:t>
            </w:r>
          </w:p>
        </w:tc>
        <w:tc>
          <w:tcPr>
            <w:tcW w:w="2268" w:type="dxa"/>
            <w:tcBorders>
              <w:right w:val="single" w:sz="4" w:space="0" w:color="auto"/>
            </w:tcBorders>
            <w:shd w:val="clear" w:color="auto" w:fill="D9D9D9"/>
            <w:hideMark/>
          </w:tcPr>
          <w:p w14:paraId="20BCBB83" w14:textId="77777777" w:rsidR="002A4DDF" w:rsidRPr="00937C8B" w:rsidRDefault="002A4DDF" w:rsidP="009110ED">
            <w:pPr>
              <w:rPr>
                <w:rFonts w:ascii="Arial" w:hAnsi="Arial" w:cs="Arial"/>
                <w:sz w:val="12"/>
                <w:szCs w:val="12"/>
              </w:rPr>
            </w:pPr>
          </w:p>
        </w:tc>
      </w:tr>
      <w:tr w:rsidR="002A4DDF" w:rsidRPr="00937C8B" w14:paraId="59AC44F9" w14:textId="77777777" w:rsidTr="00935676">
        <w:trPr>
          <w:cantSplit/>
        </w:trPr>
        <w:tc>
          <w:tcPr>
            <w:tcW w:w="1696" w:type="dxa"/>
            <w:tcBorders>
              <w:left w:val="single" w:sz="4" w:space="0" w:color="auto"/>
            </w:tcBorders>
            <w:shd w:val="clear" w:color="auto" w:fill="auto"/>
          </w:tcPr>
          <w:p w14:paraId="564D3C6F" w14:textId="77777777" w:rsidR="002A4DDF" w:rsidRPr="00937C8B" w:rsidRDefault="002A4DDF" w:rsidP="009110ED">
            <w:pPr>
              <w:rPr>
                <w:rFonts w:ascii="Arial" w:hAnsi="Arial" w:cs="Arial"/>
                <w:sz w:val="12"/>
                <w:szCs w:val="12"/>
              </w:rPr>
            </w:pPr>
          </w:p>
        </w:tc>
        <w:tc>
          <w:tcPr>
            <w:tcW w:w="1843" w:type="dxa"/>
            <w:shd w:val="clear" w:color="auto" w:fill="auto"/>
          </w:tcPr>
          <w:p w14:paraId="6C146010" w14:textId="77777777" w:rsidR="002A4DDF" w:rsidRPr="00937C8B" w:rsidRDefault="002A4DDF" w:rsidP="009110ED">
            <w:pPr>
              <w:rPr>
                <w:rFonts w:ascii="Arial" w:hAnsi="Arial" w:cs="Arial"/>
                <w:sz w:val="12"/>
                <w:szCs w:val="12"/>
              </w:rPr>
            </w:pPr>
          </w:p>
        </w:tc>
        <w:tc>
          <w:tcPr>
            <w:tcW w:w="2268" w:type="dxa"/>
            <w:shd w:val="clear" w:color="auto" w:fill="F2F2F2"/>
            <w:hideMark/>
          </w:tcPr>
          <w:p w14:paraId="64B63BAC" w14:textId="77777777" w:rsidR="002A4DDF" w:rsidRPr="00937C8B" w:rsidRDefault="002A4DDF" w:rsidP="009110ED">
            <w:pPr>
              <w:rPr>
                <w:rFonts w:ascii="Arial" w:hAnsi="Arial" w:cs="Arial"/>
                <w:sz w:val="12"/>
                <w:szCs w:val="12"/>
              </w:rPr>
            </w:pPr>
            <w:r>
              <w:rPr>
                <w:rFonts w:ascii="Arial" w:hAnsi="Arial"/>
                <w:sz w:val="12"/>
                <w:szCs w:val="12"/>
              </w:rPr>
              <w:t>Sallent</w:t>
            </w:r>
          </w:p>
        </w:tc>
        <w:tc>
          <w:tcPr>
            <w:tcW w:w="2268" w:type="dxa"/>
            <w:tcBorders>
              <w:right w:val="single" w:sz="4" w:space="0" w:color="auto"/>
            </w:tcBorders>
            <w:shd w:val="clear" w:color="auto" w:fill="D9D9D9"/>
            <w:hideMark/>
          </w:tcPr>
          <w:p w14:paraId="3E1C2B0C" w14:textId="77777777" w:rsidR="002A4DDF" w:rsidRPr="00937C8B" w:rsidRDefault="002A4DDF" w:rsidP="009110ED">
            <w:pPr>
              <w:rPr>
                <w:rFonts w:ascii="Arial" w:hAnsi="Arial" w:cs="Arial"/>
                <w:sz w:val="12"/>
                <w:szCs w:val="12"/>
              </w:rPr>
            </w:pPr>
          </w:p>
        </w:tc>
      </w:tr>
      <w:tr w:rsidR="002A4DDF" w:rsidRPr="00937C8B" w14:paraId="0720B081" w14:textId="77777777" w:rsidTr="00935676">
        <w:trPr>
          <w:cantSplit/>
        </w:trPr>
        <w:tc>
          <w:tcPr>
            <w:tcW w:w="1696" w:type="dxa"/>
            <w:tcBorders>
              <w:left w:val="single" w:sz="4" w:space="0" w:color="auto"/>
            </w:tcBorders>
            <w:shd w:val="clear" w:color="auto" w:fill="auto"/>
          </w:tcPr>
          <w:p w14:paraId="40DEE796" w14:textId="77777777" w:rsidR="002A4DDF" w:rsidRPr="00937C8B" w:rsidRDefault="002A4DDF" w:rsidP="009110ED">
            <w:pPr>
              <w:rPr>
                <w:rFonts w:ascii="Arial" w:hAnsi="Arial" w:cs="Arial"/>
                <w:sz w:val="12"/>
                <w:szCs w:val="12"/>
              </w:rPr>
            </w:pPr>
          </w:p>
        </w:tc>
        <w:tc>
          <w:tcPr>
            <w:tcW w:w="1843" w:type="dxa"/>
            <w:shd w:val="clear" w:color="auto" w:fill="auto"/>
          </w:tcPr>
          <w:p w14:paraId="42674B3F" w14:textId="77777777" w:rsidR="002A4DDF" w:rsidRPr="00937C8B" w:rsidRDefault="002A4DDF" w:rsidP="009110ED">
            <w:pPr>
              <w:rPr>
                <w:rFonts w:ascii="Arial" w:hAnsi="Arial" w:cs="Arial"/>
                <w:sz w:val="12"/>
                <w:szCs w:val="12"/>
              </w:rPr>
            </w:pPr>
          </w:p>
        </w:tc>
        <w:tc>
          <w:tcPr>
            <w:tcW w:w="2268" w:type="dxa"/>
            <w:shd w:val="clear" w:color="auto" w:fill="F2F2F2"/>
            <w:hideMark/>
          </w:tcPr>
          <w:p w14:paraId="0FBE7CFE" w14:textId="77777777" w:rsidR="002A4DDF" w:rsidRPr="00937C8B" w:rsidRDefault="002A4DDF" w:rsidP="009110ED">
            <w:pPr>
              <w:rPr>
                <w:rFonts w:ascii="Arial" w:hAnsi="Arial" w:cs="Arial"/>
                <w:sz w:val="12"/>
                <w:szCs w:val="12"/>
              </w:rPr>
            </w:pPr>
            <w:r>
              <w:rPr>
                <w:rFonts w:ascii="Arial" w:hAnsi="Arial"/>
                <w:sz w:val="12"/>
                <w:szCs w:val="12"/>
              </w:rPr>
              <w:t>Sant Adrià de Besòs</w:t>
            </w:r>
          </w:p>
        </w:tc>
        <w:tc>
          <w:tcPr>
            <w:tcW w:w="2268" w:type="dxa"/>
            <w:tcBorders>
              <w:right w:val="single" w:sz="4" w:space="0" w:color="auto"/>
            </w:tcBorders>
            <w:shd w:val="clear" w:color="auto" w:fill="D9D9D9"/>
            <w:hideMark/>
          </w:tcPr>
          <w:p w14:paraId="19CDCC3B" w14:textId="77777777" w:rsidR="002A4DDF" w:rsidRPr="00937C8B" w:rsidRDefault="002A4DDF" w:rsidP="009110ED">
            <w:pPr>
              <w:rPr>
                <w:rFonts w:ascii="Arial" w:hAnsi="Arial" w:cs="Arial"/>
                <w:sz w:val="12"/>
                <w:szCs w:val="12"/>
              </w:rPr>
            </w:pPr>
          </w:p>
        </w:tc>
      </w:tr>
      <w:tr w:rsidR="002A4DDF" w:rsidRPr="00937C8B" w14:paraId="3FA90ABD" w14:textId="77777777" w:rsidTr="00935676">
        <w:trPr>
          <w:cantSplit/>
        </w:trPr>
        <w:tc>
          <w:tcPr>
            <w:tcW w:w="1696" w:type="dxa"/>
            <w:tcBorders>
              <w:left w:val="single" w:sz="4" w:space="0" w:color="auto"/>
            </w:tcBorders>
            <w:shd w:val="clear" w:color="auto" w:fill="auto"/>
          </w:tcPr>
          <w:p w14:paraId="0C1FF9C4" w14:textId="77777777" w:rsidR="002A4DDF" w:rsidRPr="00937C8B" w:rsidRDefault="002A4DDF" w:rsidP="009110ED">
            <w:pPr>
              <w:rPr>
                <w:rFonts w:ascii="Arial" w:hAnsi="Arial" w:cs="Arial"/>
                <w:sz w:val="12"/>
                <w:szCs w:val="12"/>
              </w:rPr>
            </w:pPr>
          </w:p>
        </w:tc>
        <w:tc>
          <w:tcPr>
            <w:tcW w:w="1843" w:type="dxa"/>
            <w:shd w:val="clear" w:color="auto" w:fill="auto"/>
          </w:tcPr>
          <w:p w14:paraId="41BD90D2" w14:textId="77777777" w:rsidR="002A4DDF" w:rsidRPr="00937C8B" w:rsidRDefault="002A4DDF" w:rsidP="009110ED">
            <w:pPr>
              <w:rPr>
                <w:rFonts w:ascii="Arial" w:hAnsi="Arial" w:cs="Arial"/>
                <w:sz w:val="12"/>
                <w:szCs w:val="12"/>
              </w:rPr>
            </w:pPr>
          </w:p>
        </w:tc>
        <w:tc>
          <w:tcPr>
            <w:tcW w:w="2268" w:type="dxa"/>
            <w:shd w:val="clear" w:color="auto" w:fill="F2F2F2"/>
            <w:hideMark/>
          </w:tcPr>
          <w:p w14:paraId="2069A01B" w14:textId="77777777" w:rsidR="002A4DDF" w:rsidRPr="00937C8B" w:rsidRDefault="002A4DDF" w:rsidP="009110ED">
            <w:pPr>
              <w:rPr>
                <w:rFonts w:ascii="Arial" w:hAnsi="Arial" w:cs="Arial"/>
                <w:sz w:val="12"/>
                <w:szCs w:val="12"/>
              </w:rPr>
            </w:pPr>
            <w:r>
              <w:rPr>
                <w:rFonts w:ascii="Arial" w:hAnsi="Arial"/>
                <w:sz w:val="12"/>
                <w:szCs w:val="12"/>
              </w:rPr>
              <w:t>Sant Andreu de la Barca</w:t>
            </w:r>
          </w:p>
        </w:tc>
        <w:tc>
          <w:tcPr>
            <w:tcW w:w="2268" w:type="dxa"/>
            <w:tcBorders>
              <w:right w:val="single" w:sz="4" w:space="0" w:color="auto"/>
            </w:tcBorders>
            <w:shd w:val="clear" w:color="auto" w:fill="D9D9D9"/>
            <w:hideMark/>
          </w:tcPr>
          <w:p w14:paraId="0F300128" w14:textId="77777777" w:rsidR="002A4DDF" w:rsidRPr="00937C8B" w:rsidRDefault="002A4DDF" w:rsidP="009110ED">
            <w:pPr>
              <w:rPr>
                <w:rFonts w:ascii="Arial" w:hAnsi="Arial" w:cs="Arial"/>
                <w:sz w:val="12"/>
                <w:szCs w:val="12"/>
              </w:rPr>
            </w:pPr>
          </w:p>
        </w:tc>
      </w:tr>
      <w:tr w:rsidR="002A4DDF" w:rsidRPr="00937C8B" w14:paraId="0A7B6C31" w14:textId="77777777" w:rsidTr="00935676">
        <w:trPr>
          <w:cantSplit/>
        </w:trPr>
        <w:tc>
          <w:tcPr>
            <w:tcW w:w="1696" w:type="dxa"/>
            <w:tcBorders>
              <w:left w:val="single" w:sz="4" w:space="0" w:color="auto"/>
            </w:tcBorders>
            <w:shd w:val="clear" w:color="auto" w:fill="auto"/>
          </w:tcPr>
          <w:p w14:paraId="530DB8C5" w14:textId="77777777" w:rsidR="002A4DDF" w:rsidRPr="00937C8B" w:rsidRDefault="002A4DDF" w:rsidP="009110ED">
            <w:pPr>
              <w:rPr>
                <w:rFonts w:ascii="Arial" w:hAnsi="Arial" w:cs="Arial"/>
                <w:sz w:val="12"/>
                <w:szCs w:val="12"/>
              </w:rPr>
            </w:pPr>
          </w:p>
        </w:tc>
        <w:tc>
          <w:tcPr>
            <w:tcW w:w="1843" w:type="dxa"/>
            <w:shd w:val="clear" w:color="auto" w:fill="auto"/>
          </w:tcPr>
          <w:p w14:paraId="50763BAD" w14:textId="77777777" w:rsidR="002A4DDF" w:rsidRPr="00937C8B" w:rsidRDefault="002A4DDF" w:rsidP="009110ED">
            <w:pPr>
              <w:rPr>
                <w:rFonts w:ascii="Arial" w:hAnsi="Arial" w:cs="Arial"/>
                <w:sz w:val="12"/>
                <w:szCs w:val="12"/>
              </w:rPr>
            </w:pPr>
          </w:p>
        </w:tc>
        <w:tc>
          <w:tcPr>
            <w:tcW w:w="2268" w:type="dxa"/>
            <w:shd w:val="clear" w:color="auto" w:fill="F2F2F2"/>
            <w:hideMark/>
          </w:tcPr>
          <w:p w14:paraId="62DC3B14" w14:textId="77777777" w:rsidR="002A4DDF" w:rsidRPr="00937C8B" w:rsidRDefault="002A4DDF" w:rsidP="009110ED">
            <w:pPr>
              <w:rPr>
                <w:rFonts w:ascii="Arial" w:hAnsi="Arial" w:cs="Arial"/>
                <w:sz w:val="12"/>
                <w:szCs w:val="12"/>
              </w:rPr>
            </w:pPr>
            <w:r>
              <w:rPr>
                <w:rFonts w:ascii="Arial" w:hAnsi="Arial"/>
                <w:sz w:val="12"/>
                <w:szCs w:val="12"/>
              </w:rPr>
              <w:t>Sant Boi de Llobregat</w:t>
            </w:r>
          </w:p>
        </w:tc>
        <w:tc>
          <w:tcPr>
            <w:tcW w:w="2268" w:type="dxa"/>
            <w:tcBorders>
              <w:right w:val="single" w:sz="4" w:space="0" w:color="auto"/>
            </w:tcBorders>
            <w:shd w:val="clear" w:color="auto" w:fill="D9D9D9"/>
            <w:hideMark/>
          </w:tcPr>
          <w:p w14:paraId="35D3694C" w14:textId="77777777" w:rsidR="002A4DDF" w:rsidRPr="00937C8B" w:rsidRDefault="002A4DDF" w:rsidP="009110ED">
            <w:pPr>
              <w:rPr>
                <w:rFonts w:ascii="Arial" w:hAnsi="Arial" w:cs="Arial"/>
                <w:sz w:val="12"/>
                <w:szCs w:val="12"/>
              </w:rPr>
            </w:pPr>
          </w:p>
        </w:tc>
      </w:tr>
      <w:tr w:rsidR="002A4DDF" w:rsidRPr="00937C8B" w14:paraId="0EFA874F" w14:textId="77777777" w:rsidTr="00935676">
        <w:trPr>
          <w:cantSplit/>
        </w:trPr>
        <w:tc>
          <w:tcPr>
            <w:tcW w:w="1696" w:type="dxa"/>
            <w:tcBorders>
              <w:left w:val="single" w:sz="4" w:space="0" w:color="auto"/>
            </w:tcBorders>
            <w:shd w:val="clear" w:color="auto" w:fill="auto"/>
          </w:tcPr>
          <w:p w14:paraId="3BF256A3" w14:textId="77777777" w:rsidR="002A4DDF" w:rsidRPr="00937C8B" w:rsidRDefault="002A4DDF" w:rsidP="009110ED">
            <w:pPr>
              <w:rPr>
                <w:rFonts w:ascii="Arial" w:hAnsi="Arial" w:cs="Arial"/>
                <w:sz w:val="12"/>
                <w:szCs w:val="12"/>
              </w:rPr>
            </w:pPr>
          </w:p>
        </w:tc>
        <w:tc>
          <w:tcPr>
            <w:tcW w:w="1843" w:type="dxa"/>
            <w:shd w:val="clear" w:color="auto" w:fill="auto"/>
          </w:tcPr>
          <w:p w14:paraId="5AF285F4" w14:textId="77777777" w:rsidR="002A4DDF" w:rsidRPr="00937C8B" w:rsidRDefault="002A4DDF" w:rsidP="009110ED">
            <w:pPr>
              <w:rPr>
                <w:rFonts w:ascii="Arial" w:hAnsi="Arial" w:cs="Arial"/>
                <w:sz w:val="12"/>
                <w:szCs w:val="12"/>
              </w:rPr>
            </w:pPr>
          </w:p>
        </w:tc>
        <w:tc>
          <w:tcPr>
            <w:tcW w:w="2268" w:type="dxa"/>
            <w:shd w:val="clear" w:color="auto" w:fill="F2F2F2"/>
            <w:hideMark/>
          </w:tcPr>
          <w:p w14:paraId="2509BA35" w14:textId="77777777" w:rsidR="002A4DDF" w:rsidRPr="00937C8B" w:rsidRDefault="002A4DDF" w:rsidP="009110ED">
            <w:pPr>
              <w:rPr>
                <w:rFonts w:ascii="Arial" w:hAnsi="Arial" w:cs="Arial"/>
                <w:sz w:val="12"/>
                <w:szCs w:val="12"/>
              </w:rPr>
            </w:pPr>
            <w:r>
              <w:rPr>
                <w:rFonts w:ascii="Arial" w:hAnsi="Arial"/>
                <w:sz w:val="12"/>
                <w:szCs w:val="12"/>
              </w:rPr>
              <w:t>Sant Cugat del Vallès</w:t>
            </w:r>
          </w:p>
        </w:tc>
        <w:tc>
          <w:tcPr>
            <w:tcW w:w="2268" w:type="dxa"/>
            <w:tcBorders>
              <w:right w:val="single" w:sz="4" w:space="0" w:color="auto"/>
            </w:tcBorders>
            <w:shd w:val="clear" w:color="auto" w:fill="D9D9D9"/>
            <w:hideMark/>
          </w:tcPr>
          <w:p w14:paraId="0139518F" w14:textId="77777777" w:rsidR="002A4DDF" w:rsidRPr="00937C8B" w:rsidRDefault="002A4DDF" w:rsidP="009110ED">
            <w:pPr>
              <w:rPr>
                <w:rFonts w:ascii="Arial" w:hAnsi="Arial" w:cs="Arial"/>
                <w:sz w:val="12"/>
                <w:szCs w:val="12"/>
              </w:rPr>
            </w:pPr>
          </w:p>
        </w:tc>
      </w:tr>
      <w:tr w:rsidR="002A4DDF" w:rsidRPr="00937C8B" w14:paraId="5C2BE9FB" w14:textId="77777777" w:rsidTr="00935676">
        <w:trPr>
          <w:cantSplit/>
        </w:trPr>
        <w:tc>
          <w:tcPr>
            <w:tcW w:w="1696" w:type="dxa"/>
            <w:tcBorders>
              <w:left w:val="single" w:sz="4" w:space="0" w:color="auto"/>
            </w:tcBorders>
            <w:shd w:val="clear" w:color="auto" w:fill="auto"/>
          </w:tcPr>
          <w:p w14:paraId="3C25A98F" w14:textId="77777777" w:rsidR="002A4DDF" w:rsidRPr="00937C8B" w:rsidRDefault="002A4DDF" w:rsidP="009110ED">
            <w:pPr>
              <w:rPr>
                <w:rFonts w:ascii="Arial" w:hAnsi="Arial" w:cs="Arial"/>
                <w:sz w:val="12"/>
                <w:szCs w:val="12"/>
              </w:rPr>
            </w:pPr>
          </w:p>
        </w:tc>
        <w:tc>
          <w:tcPr>
            <w:tcW w:w="1843" w:type="dxa"/>
            <w:shd w:val="clear" w:color="auto" w:fill="auto"/>
          </w:tcPr>
          <w:p w14:paraId="0BE69959" w14:textId="77777777" w:rsidR="002A4DDF" w:rsidRPr="00937C8B" w:rsidRDefault="002A4DDF" w:rsidP="009110ED">
            <w:pPr>
              <w:rPr>
                <w:rFonts w:ascii="Arial" w:hAnsi="Arial" w:cs="Arial"/>
                <w:sz w:val="12"/>
                <w:szCs w:val="12"/>
              </w:rPr>
            </w:pPr>
          </w:p>
        </w:tc>
        <w:tc>
          <w:tcPr>
            <w:tcW w:w="2268" w:type="dxa"/>
            <w:shd w:val="clear" w:color="auto" w:fill="F2F2F2"/>
            <w:hideMark/>
          </w:tcPr>
          <w:p w14:paraId="2895A494" w14:textId="77777777" w:rsidR="002A4DDF" w:rsidRPr="00937C8B" w:rsidRDefault="002A4DDF" w:rsidP="009110ED">
            <w:pPr>
              <w:rPr>
                <w:rFonts w:ascii="Arial" w:hAnsi="Arial" w:cs="Arial"/>
                <w:sz w:val="12"/>
                <w:szCs w:val="12"/>
              </w:rPr>
            </w:pPr>
            <w:r>
              <w:rPr>
                <w:rFonts w:ascii="Arial" w:hAnsi="Arial"/>
                <w:sz w:val="12"/>
                <w:szCs w:val="12"/>
              </w:rPr>
              <w:t>Sant Esteve de Palautordera</w:t>
            </w:r>
          </w:p>
        </w:tc>
        <w:tc>
          <w:tcPr>
            <w:tcW w:w="2268" w:type="dxa"/>
            <w:tcBorders>
              <w:right w:val="single" w:sz="4" w:space="0" w:color="auto"/>
            </w:tcBorders>
            <w:shd w:val="clear" w:color="auto" w:fill="D9D9D9"/>
            <w:hideMark/>
          </w:tcPr>
          <w:p w14:paraId="0FD792EB" w14:textId="77777777" w:rsidR="002A4DDF" w:rsidRPr="00937C8B" w:rsidRDefault="002A4DDF" w:rsidP="009110ED">
            <w:pPr>
              <w:rPr>
                <w:rFonts w:ascii="Arial" w:hAnsi="Arial" w:cs="Arial"/>
                <w:sz w:val="12"/>
                <w:szCs w:val="12"/>
              </w:rPr>
            </w:pPr>
          </w:p>
        </w:tc>
      </w:tr>
      <w:tr w:rsidR="002A4DDF" w:rsidRPr="00937C8B" w14:paraId="7C6F1876" w14:textId="77777777" w:rsidTr="00935676">
        <w:trPr>
          <w:cantSplit/>
        </w:trPr>
        <w:tc>
          <w:tcPr>
            <w:tcW w:w="1696" w:type="dxa"/>
            <w:tcBorders>
              <w:left w:val="single" w:sz="4" w:space="0" w:color="auto"/>
            </w:tcBorders>
            <w:shd w:val="clear" w:color="auto" w:fill="auto"/>
          </w:tcPr>
          <w:p w14:paraId="1BBC2D42" w14:textId="77777777" w:rsidR="002A4DDF" w:rsidRPr="00937C8B" w:rsidRDefault="002A4DDF" w:rsidP="009110ED">
            <w:pPr>
              <w:rPr>
                <w:rFonts w:ascii="Arial" w:hAnsi="Arial" w:cs="Arial"/>
                <w:sz w:val="12"/>
                <w:szCs w:val="12"/>
              </w:rPr>
            </w:pPr>
          </w:p>
        </w:tc>
        <w:tc>
          <w:tcPr>
            <w:tcW w:w="1843" w:type="dxa"/>
            <w:shd w:val="clear" w:color="auto" w:fill="auto"/>
          </w:tcPr>
          <w:p w14:paraId="1D21061C" w14:textId="77777777" w:rsidR="002A4DDF" w:rsidRPr="00937C8B" w:rsidRDefault="002A4DDF" w:rsidP="009110ED">
            <w:pPr>
              <w:rPr>
                <w:rFonts w:ascii="Arial" w:hAnsi="Arial" w:cs="Arial"/>
                <w:sz w:val="12"/>
                <w:szCs w:val="12"/>
              </w:rPr>
            </w:pPr>
          </w:p>
        </w:tc>
        <w:tc>
          <w:tcPr>
            <w:tcW w:w="2268" w:type="dxa"/>
            <w:shd w:val="clear" w:color="auto" w:fill="F2F2F2"/>
            <w:hideMark/>
          </w:tcPr>
          <w:p w14:paraId="16F41E71" w14:textId="77777777" w:rsidR="002A4DDF" w:rsidRPr="00937C8B" w:rsidRDefault="002A4DDF" w:rsidP="009110ED">
            <w:pPr>
              <w:rPr>
                <w:rFonts w:ascii="Arial" w:hAnsi="Arial" w:cs="Arial"/>
                <w:sz w:val="12"/>
                <w:szCs w:val="12"/>
              </w:rPr>
            </w:pPr>
            <w:r>
              <w:rPr>
                <w:rFonts w:ascii="Arial" w:hAnsi="Arial"/>
                <w:sz w:val="12"/>
                <w:szCs w:val="12"/>
              </w:rPr>
              <w:t>Sant Feliu de Codines</w:t>
            </w:r>
          </w:p>
        </w:tc>
        <w:tc>
          <w:tcPr>
            <w:tcW w:w="2268" w:type="dxa"/>
            <w:tcBorders>
              <w:right w:val="single" w:sz="4" w:space="0" w:color="auto"/>
            </w:tcBorders>
            <w:shd w:val="clear" w:color="auto" w:fill="D9D9D9"/>
            <w:hideMark/>
          </w:tcPr>
          <w:p w14:paraId="2E40865B" w14:textId="77777777" w:rsidR="002A4DDF" w:rsidRPr="00937C8B" w:rsidRDefault="002A4DDF" w:rsidP="009110ED">
            <w:pPr>
              <w:rPr>
                <w:rFonts w:ascii="Arial" w:hAnsi="Arial" w:cs="Arial"/>
                <w:sz w:val="12"/>
                <w:szCs w:val="12"/>
              </w:rPr>
            </w:pPr>
          </w:p>
        </w:tc>
      </w:tr>
      <w:tr w:rsidR="002A4DDF" w:rsidRPr="00937C8B" w14:paraId="2FD748F4" w14:textId="77777777" w:rsidTr="00935676">
        <w:trPr>
          <w:cantSplit/>
        </w:trPr>
        <w:tc>
          <w:tcPr>
            <w:tcW w:w="1696" w:type="dxa"/>
            <w:tcBorders>
              <w:left w:val="single" w:sz="4" w:space="0" w:color="auto"/>
            </w:tcBorders>
            <w:shd w:val="clear" w:color="auto" w:fill="auto"/>
          </w:tcPr>
          <w:p w14:paraId="4D0A6B0A" w14:textId="77777777" w:rsidR="002A4DDF" w:rsidRPr="00937C8B" w:rsidRDefault="002A4DDF" w:rsidP="009110ED">
            <w:pPr>
              <w:rPr>
                <w:rFonts w:ascii="Arial" w:hAnsi="Arial" w:cs="Arial"/>
                <w:sz w:val="12"/>
                <w:szCs w:val="12"/>
              </w:rPr>
            </w:pPr>
          </w:p>
        </w:tc>
        <w:tc>
          <w:tcPr>
            <w:tcW w:w="1843" w:type="dxa"/>
            <w:shd w:val="clear" w:color="auto" w:fill="auto"/>
          </w:tcPr>
          <w:p w14:paraId="23B9485C" w14:textId="77777777" w:rsidR="002A4DDF" w:rsidRPr="00937C8B" w:rsidRDefault="002A4DDF" w:rsidP="009110ED">
            <w:pPr>
              <w:rPr>
                <w:rFonts w:ascii="Arial" w:hAnsi="Arial" w:cs="Arial"/>
                <w:sz w:val="12"/>
                <w:szCs w:val="12"/>
              </w:rPr>
            </w:pPr>
          </w:p>
        </w:tc>
        <w:tc>
          <w:tcPr>
            <w:tcW w:w="2268" w:type="dxa"/>
            <w:shd w:val="clear" w:color="auto" w:fill="F2F2F2"/>
            <w:hideMark/>
          </w:tcPr>
          <w:p w14:paraId="1619B037" w14:textId="77777777" w:rsidR="002A4DDF" w:rsidRPr="00937C8B" w:rsidRDefault="002A4DDF" w:rsidP="009110ED">
            <w:pPr>
              <w:rPr>
                <w:rFonts w:ascii="Arial" w:hAnsi="Arial" w:cs="Arial"/>
                <w:sz w:val="12"/>
                <w:szCs w:val="12"/>
              </w:rPr>
            </w:pPr>
            <w:r>
              <w:rPr>
                <w:rFonts w:ascii="Arial" w:hAnsi="Arial"/>
                <w:sz w:val="12"/>
                <w:szCs w:val="12"/>
              </w:rPr>
              <w:t>Sant Feliu de Llobregat</w:t>
            </w:r>
          </w:p>
        </w:tc>
        <w:tc>
          <w:tcPr>
            <w:tcW w:w="2268" w:type="dxa"/>
            <w:tcBorders>
              <w:right w:val="single" w:sz="4" w:space="0" w:color="auto"/>
            </w:tcBorders>
            <w:shd w:val="clear" w:color="auto" w:fill="D9D9D9"/>
            <w:hideMark/>
          </w:tcPr>
          <w:p w14:paraId="7289E9B2" w14:textId="77777777" w:rsidR="002A4DDF" w:rsidRPr="00937C8B" w:rsidRDefault="002A4DDF" w:rsidP="009110ED">
            <w:pPr>
              <w:rPr>
                <w:rFonts w:ascii="Arial" w:hAnsi="Arial" w:cs="Arial"/>
                <w:sz w:val="12"/>
                <w:szCs w:val="12"/>
              </w:rPr>
            </w:pPr>
          </w:p>
        </w:tc>
      </w:tr>
      <w:tr w:rsidR="002A4DDF" w:rsidRPr="00937C8B" w14:paraId="7FB98170" w14:textId="77777777" w:rsidTr="00935676">
        <w:trPr>
          <w:cantSplit/>
        </w:trPr>
        <w:tc>
          <w:tcPr>
            <w:tcW w:w="1696" w:type="dxa"/>
            <w:tcBorders>
              <w:left w:val="single" w:sz="4" w:space="0" w:color="auto"/>
            </w:tcBorders>
            <w:shd w:val="clear" w:color="auto" w:fill="auto"/>
          </w:tcPr>
          <w:p w14:paraId="711672B5" w14:textId="77777777" w:rsidR="002A4DDF" w:rsidRPr="00937C8B" w:rsidRDefault="002A4DDF" w:rsidP="009110ED">
            <w:pPr>
              <w:rPr>
                <w:rFonts w:ascii="Arial" w:hAnsi="Arial" w:cs="Arial"/>
                <w:sz w:val="12"/>
                <w:szCs w:val="12"/>
              </w:rPr>
            </w:pPr>
          </w:p>
        </w:tc>
        <w:tc>
          <w:tcPr>
            <w:tcW w:w="1843" w:type="dxa"/>
            <w:shd w:val="clear" w:color="auto" w:fill="auto"/>
          </w:tcPr>
          <w:p w14:paraId="053B8132" w14:textId="77777777" w:rsidR="002A4DDF" w:rsidRPr="00937C8B" w:rsidRDefault="002A4DDF" w:rsidP="009110ED">
            <w:pPr>
              <w:rPr>
                <w:rFonts w:ascii="Arial" w:hAnsi="Arial" w:cs="Arial"/>
                <w:sz w:val="12"/>
                <w:szCs w:val="12"/>
              </w:rPr>
            </w:pPr>
          </w:p>
        </w:tc>
        <w:tc>
          <w:tcPr>
            <w:tcW w:w="2268" w:type="dxa"/>
            <w:shd w:val="clear" w:color="auto" w:fill="F2F2F2"/>
            <w:hideMark/>
          </w:tcPr>
          <w:p w14:paraId="56D7FCF5" w14:textId="77777777" w:rsidR="002A4DDF" w:rsidRPr="00937C8B" w:rsidRDefault="002A4DDF" w:rsidP="009110ED">
            <w:pPr>
              <w:rPr>
                <w:rFonts w:ascii="Arial" w:hAnsi="Arial" w:cs="Arial"/>
                <w:sz w:val="12"/>
                <w:szCs w:val="12"/>
              </w:rPr>
            </w:pPr>
            <w:r>
              <w:rPr>
                <w:rFonts w:ascii="Arial" w:hAnsi="Arial"/>
                <w:sz w:val="12"/>
                <w:szCs w:val="12"/>
              </w:rPr>
              <w:t>Sant Joan de Vilatorrada</w:t>
            </w:r>
          </w:p>
        </w:tc>
        <w:tc>
          <w:tcPr>
            <w:tcW w:w="2268" w:type="dxa"/>
            <w:tcBorders>
              <w:right w:val="single" w:sz="4" w:space="0" w:color="auto"/>
            </w:tcBorders>
            <w:shd w:val="clear" w:color="auto" w:fill="D9D9D9"/>
            <w:hideMark/>
          </w:tcPr>
          <w:p w14:paraId="371019C6" w14:textId="77777777" w:rsidR="002A4DDF" w:rsidRPr="00937C8B" w:rsidRDefault="002A4DDF" w:rsidP="009110ED">
            <w:pPr>
              <w:rPr>
                <w:rFonts w:ascii="Arial" w:hAnsi="Arial" w:cs="Arial"/>
                <w:sz w:val="12"/>
                <w:szCs w:val="12"/>
              </w:rPr>
            </w:pPr>
          </w:p>
        </w:tc>
      </w:tr>
      <w:tr w:rsidR="002A4DDF" w:rsidRPr="00937C8B" w14:paraId="09BA9303" w14:textId="77777777" w:rsidTr="00935676">
        <w:trPr>
          <w:cantSplit/>
        </w:trPr>
        <w:tc>
          <w:tcPr>
            <w:tcW w:w="1696" w:type="dxa"/>
            <w:tcBorders>
              <w:left w:val="single" w:sz="4" w:space="0" w:color="auto"/>
            </w:tcBorders>
            <w:shd w:val="clear" w:color="auto" w:fill="auto"/>
          </w:tcPr>
          <w:p w14:paraId="0AA7B4F4" w14:textId="77777777" w:rsidR="002A4DDF" w:rsidRPr="00937C8B" w:rsidRDefault="002A4DDF" w:rsidP="009110ED">
            <w:pPr>
              <w:rPr>
                <w:rFonts w:ascii="Arial" w:hAnsi="Arial" w:cs="Arial"/>
                <w:sz w:val="12"/>
                <w:szCs w:val="12"/>
              </w:rPr>
            </w:pPr>
          </w:p>
        </w:tc>
        <w:tc>
          <w:tcPr>
            <w:tcW w:w="1843" w:type="dxa"/>
            <w:shd w:val="clear" w:color="auto" w:fill="auto"/>
          </w:tcPr>
          <w:p w14:paraId="5ED5B381" w14:textId="77777777" w:rsidR="002A4DDF" w:rsidRPr="00937C8B" w:rsidRDefault="002A4DDF" w:rsidP="009110ED">
            <w:pPr>
              <w:rPr>
                <w:rFonts w:ascii="Arial" w:hAnsi="Arial" w:cs="Arial"/>
                <w:sz w:val="12"/>
                <w:szCs w:val="12"/>
              </w:rPr>
            </w:pPr>
          </w:p>
        </w:tc>
        <w:tc>
          <w:tcPr>
            <w:tcW w:w="2268" w:type="dxa"/>
            <w:shd w:val="clear" w:color="auto" w:fill="F2F2F2"/>
            <w:hideMark/>
          </w:tcPr>
          <w:p w14:paraId="475444EA" w14:textId="77777777" w:rsidR="002A4DDF" w:rsidRPr="00937C8B" w:rsidRDefault="002A4DDF" w:rsidP="009110ED">
            <w:pPr>
              <w:rPr>
                <w:rFonts w:ascii="Arial" w:hAnsi="Arial" w:cs="Arial"/>
                <w:sz w:val="12"/>
                <w:szCs w:val="12"/>
              </w:rPr>
            </w:pPr>
            <w:r>
              <w:rPr>
                <w:rFonts w:ascii="Arial" w:hAnsi="Arial"/>
                <w:sz w:val="12"/>
                <w:szCs w:val="12"/>
              </w:rPr>
              <w:t>Sant Joan Despí</w:t>
            </w:r>
          </w:p>
        </w:tc>
        <w:tc>
          <w:tcPr>
            <w:tcW w:w="2268" w:type="dxa"/>
            <w:tcBorders>
              <w:right w:val="single" w:sz="4" w:space="0" w:color="auto"/>
            </w:tcBorders>
            <w:shd w:val="clear" w:color="auto" w:fill="D9D9D9"/>
            <w:hideMark/>
          </w:tcPr>
          <w:p w14:paraId="06E491D0" w14:textId="77777777" w:rsidR="002A4DDF" w:rsidRPr="00937C8B" w:rsidRDefault="002A4DDF" w:rsidP="009110ED">
            <w:pPr>
              <w:rPr>
                <w:rFonts w:ascii="Arial" w:hAnsi="Arial" w:cs="Arial"/>
                <w:sz w:val="12"/>
                <w:szCs w:val="12"/>
              </w:rPr>
            </w:pPr>
          </w:p>
        </w:tc>
      </w:tr>
      <w:tr w:rsidR="002A4DDF" w:rsidRPr="00937C8B" w14:paraId="63DC206E" w14:textId="77777777" w:rsidTr="00935676">
        <w:trPr>
          <w:cantSplit/>
        </w:trPr>
        <w:tc>
          <w:tcPr>
            <w:tcW w:w="1696" w:type="dxa"/>
            <w:tcBorders>
              <w:left w:val="single" w:sz="4" w:space="0" w:color="auto"/>
            </w:tcBorders>
            <w:shd w:val="clear" w:color="auto" w:fill="auto"/>
          </w:tcPr>
          <w:p w14:paraId="55A68147" w14:textId="77777777" w:rsidR="002A4DDF" w:rsidRPr="00937C8B" w:rsidRDefault="002A4DDF" w:rsidP="009110ED">
            <w:pPr>
              <w:rPr>
                <w:rFonts w:ascii="Arial" w:hAnsi="Arial" w:cs="Arial"/>
                <w:sz w:val="12"/>
                <w:szCs w:val="12"/>
              </w:rPr>
            </w:pPr>
          </w:p>
        </w:tc>
        <w:tc>
          <w:tcPr>
            <w:tcW w:w="1843" w:type="dxa"/>
            <w:shd w:val="clear" w:color="auto" w:fill="auto"/>
          </w:tcPr>
          <w:p w14:paraId="6FBA5A8E" w14:textId="77777777" w:rsidR="002A4DDF" w:rsidRPr="00937C8B" w:rsidRDefault="002A4DDF" w:rsidP="009110ED">
            <w:pPr>
              <w:rPr>
                <w:rFonts w:ascii="Arial" w:hAnsi="Arial" w:cs="Arial"/>
                <w:sz w:val="12"/>
                <w:szCs w:val="12"/>
              </w:rPr>
            </w:pPr>
          </w:p>
        </w:tc>
        <w:tc>
          <w:tcPr>
            <w:tcW w:w="2268" w:type="dxa"/>
            <w:shd w:val="clear" w:color="auto" w:fill="F2F2F2"/>
            <w:hideMark/>
          </w:tcPr>
          <w:p w14:paraId="5B30EAA7" w14:textId="77777777" w:rsidR="002A4DDF" w:rsidRPr="00937C8B" w:rsidRDefault="002A4DDF" w:rsidP="009110ED">
            <w:pPr>
              <w:rPr>
                <w:rFonts w:ascii="Arial" w:hAnsi="Arial" w:cs="Arial"/>
                <w:sz w:val="12"/>
                <w:szCs w:val="12"/>
              </w:rPr>
            </w:pPr>
            <w:r>
              <w:rPr>
                <w:rFonts w:ascii="Arial" w:hAnsi="Arial"/>
                <w:sz w:val="12"/>
                <w:szCs w:val="12"/>
              </w:rPr>
              <w:t>Sant Julià de Cerdanyola</w:t>
            </w:r>
          </w:p>
        </w:tc>
        <w:tc>
          <w:tcPr>
            <w:tcW w:w="2268" w:type="dxa"/>
            <w:tcBorders>
              <w:right w:val="single" w:sz="4" w:space="0" w:color="auto"/>
            </w:tcBorders>
            <w:shd w:val="clear" w:color="auto" w:fill="D9D9D9"/>
            <w:hideMark/>
          </w:tcPr>
          <w:p w14:paraId="7EA6E640" w14:textId="77777777" w:rsidR="002A4DDF" w:rsidRPr="00937C8B" w:rsidRDefault="002A4DDF" w:rsidP="009110ED">
            <w:pPr>
              <w:rPr>
                <w:rFonts w:ascii="Arial" w:hAnsi="Arial" w:cs="Arial"/>
                <w:sz w:val="12"/>
                <w:szCs w:val="12"/>
              </w:rPr>
            </w:pPr>
          </w:p>
        </w:tc>
      </w:tr>
      <w:tr w:rsidR="002A4DDF" w:rsidRPr="00937C8B" w14:paraId="71C04EA9" w14:textId="77777777" w:rsidTr="00935676">
        <w:trPr>
          <w:cantSplit/>
        </w:trPr>
        <w:tc>
          <w:tcPr>
            <w:tcW w:w="1696" w:type="dxa"/>
            <w:tcBorders>
              <w:left w:val="single" w:sz="4" w:space="0" w:color="auto"/>
            </w:tcBorders>
            <w:shd w:val="clear" w:color="auto" w:fill="auto"/>
          </w:tcPr>
          <w:p w14:paraId="0ED50D7B" w14:textId="77777777" w:rsidR="002A4DDF" w:rsidRPr="00937C8B" w:rsidRDefault="002A4DDF" w:rsidP="009110ED">
            <w:pPr>
              <w:rPr>
                <w:rFonts w:ascii="Arial" w:hAnsi="Arial" w:cs="Arial"/>
                <w:sz w:val="12"/>
                <w:szCs w:val="12"/>
              </w:rPr>
            </w:pPr>
          </w:p>
        </w:tc>
        <w:tc>
          <w:tcPr>
            <w:tcW w:w="1843" w:type="dxa"/>
            <w:shd w:val="clear" w:color="auto" w:fill="auto"/>
          </w:tcPr>
          <w:p w14:paraId="1E72E248" w14:textId="77777777" w:rsidR="002A4DDF" w:rsidRPr="00937C8B" w:rsidRDefault="002A4DDF" w:rsidP="009110ED">
            <w:pPr>
              <w:rPr>
                <w:rFonts w:ascii="Arial" w:hAnsi="Arial" w:cs="Arial"/>
                <w:sz w:val="12"/>
                <w:szCs w:val="12"/>
              </w:rPr>
            </w:pPr>
          </w:p>
        </w:tc>
        <w:tc>
          <w:tcPr>
            <w:tcW w:w="2268" w:type="dxa"/>
            <w:shd w:val="clear" w:color="auto" w:fill="F2F2F2"/>
            <w:hideMark/>
          </w:tcPr>
          <w:p w14:paraId="385F9948" w14:textId="77777777" w:rsidR="002A4DDF" w:rsidRPr="00937C8B" w:rsidRDefault="002A4DDF" w:rsidP="009110ED">
            <w:pPr>
              <w:rPr>
                <w:rFonts w:ascii="Arial" w:hAnsi="Arial" w:cs="Arial"/>
                <w:sz w:val="12"/>
                <w:szCs w:val="12"/>
              </w:rPr>
            </w:pPr>
            <w:r>
              <w:rPr>
                <w:rFonts w:ascii="Arial" w:hAnsi="Arial"/>
                <w:sz w:val="12"/>
                <w:szCs w:val="12"/>
              </w:rPr>
              <w:t>Sant Julià de Vilatorta</w:t>
            </w:r>
          </w:p>
        </w:tc>
        <w:tc>
          <w:tcPr>
            <w:tcW w:w="2268" w:type="dxa"/>
            <w:tcBorders>
              <w:right w:val="single" w:sz="4" w:space="0" w:color="auto"/>
            </w:tcBorders>
            <w:shd w:val="clear" w:color="auto" w:fill="D9D9D9"/>
            <w:hideMark/>
          </w:tcPr>
          <w:p w14:paraId="468830AE" w14:textId="77777777" w:rsidR="002A4DDF" w:rsidRPr="00937C8B" w:rsidRDefault="002A4DDF" w:rsidP="009110ED">
            <w:pPr>
              <w:rPr>
                <w:rFonts w:ascii="Arial" w:hAnsi="Arial" w:cs="Arial"/>
                <w:sz w:val="12"/>
                <w:szCs w:val="12"/>
              </w:rPr>
            </w:pPr>
          </w:p>
        </w:tc>
      </w:tr>
      <w:tr w:rsidR="002A4DDF" w:rsidRPr="00937C8B" w14:paraId="24CA824D" w14:textId="77777777" w:rsidTr="00935676">
        <w:trPr>
          <w:cantSplit/>
        </w:trPr>
        <w:tc>
          <w:tcPr>
            <w:tcW w:w="1696" w:type="dxa"/>
            <w:tcBorders>
              <w:left w:val="single" w:sz="4" w:space="0" w:color="auto"/>
            </w:tcBorders>
            <w:shd w:val="clear" w:color="auto" w:fill="auto"/>
          </w:tcPr>
          <w:p w14:paraId="7996A639" w14:textId="77777777" w:rsidR="002A4DDF" w:rsidRPr="00937C8B" w:rsidRDefault="002A4DDF" w:rsidP="009110ED">
            <w:pPr>
              <w:rPr>
                <w:rFonts w:ascii="Arial" w:hAnsi="Arial" w:cs="Arial"/>
                <w:sz w:val="12"/>
                <w:szCs w:val="12"/>
              </w:rPr>
            </w:pPr>
          </w:p>
        </w:tc>
        <w:tc>
          <w:tcPr>
            <w:tcW w:w="1843" w:type="dxa"/>
            <w:shd w:val="clear" w:color="auto" w:fill="auto"/>
          </w:tcPr>
          <w:p w14:paraId="2373CA3A" w14:textId="77777777" w:rsidR="002A4DDF" w:rsidRPr="00937C8B" w:rsidRDefault="002A4DDF" w:rsidP="009110ED">
            <w:pPr>
              <w:rPr>
                <w:rFonts w:ascii="Arial" w:hAnsi="Arial" w:cs="Arial"/>
                <w:sz w:val="12"/>
                <w:szCs w:val="12"/>
              </w:rPr>
            </w:pPr>
          </w:p>
        </w:tc>
        <w:tc>
          <w:tcPr>
            <w:tcW w:w="2268" w:type="dxa"/>
            <w:shd w:val="clear" w:color="auto" w:fill="F2F2F2"/>
            <w:hideMark/>
          </w:tcPr>
          <w:p w14:paraId="2C21CDBE" w14:textId="77777777" w:rsidR="002A4DDF" w:rsidRPr="00937C8B" w:rsidRDefault="002A4DDF" w:rsidP="009110ED">
            <w:pPr>
              <w:rPr>
                <w:rFonts w:ascii="Arial" w:hAnsi="Arial" w:cs="Arial"/>
                <w:sz w:val="12"/>
                <w:szCs w:val="12"/>
              </w:rPr>
            </w:pPr>
            <w:r>
              <w:rPr>
                <w:rFonts w:ascii="Arial" w:hAnsi="Arial"/>
                <w:sz w:val="12"/>
                <w:szCs w:val="12"/>
              </w:rPr>
              <w:t>Sant Just Desvern</w:t>
            </w:r>
          </w:p>
        </w:tc>
        <w:tc>
          <w:tcPr>
            <w:tcW w:w="2268" w:type="dxa"/>
            <w:tcBorders>
              <w:right w:val="single" w:sz="4" w:space="0" w:color="auto"/>
            </w:tcBorders>
            <w:shd w:val="clear" w:color="auto" w:fill="D9D9D9"/>
            <w:hideMark/>
          </w:tcPr>
          <w:p w14:paraId="27DEAE1E" w14:textId="77777777" w:rsidR="002A4DDF" w:rsidRPr="00937C8B" w:rsidRDefault="002A4DDF" w:rsidP="009110ED">
            <w:pPr>
              <w:rPr>
                <w:rFonts w:ascii="Arial" w:hAnsi="Arial" w:cs="Arial"/>
                <w:sz w:val="12"/>
                <w:szCs w:val="12"/>
              </w:rPr>
            </w:pPr>
          </w:p>
        </w:tc>
      </w:tr>
      <w:tr w:rsidR="002A4DDF" w:rsidRPr="00937C8B" w14:paraId="3CE14340" w14:textId="77777777" w:rsidTr="00935676">
        <w:trPr>
          <w:cantSplit/>
        </w:trPr>
        <w:tc>
          <w:tcPr>
            <w:tcW w:w="1696" w:type="dxa"/>
            <w:tcBorders>
              <w:left w:val="single" w:sz="4" w:space="0" w:color="auto"/>
            </w:tcBorders>
            <w:shd w:val="clear" w:color="auto" w:fill="auto"/>
          </w:tcPr>
          <w:p w14:paraId="07F58FCE" w14:textId="77777777" w:rsidR="002A4DDF" w:rsidRPr="00937C8B" w:rsidRDefault="002A4DDF" w:rsidP="009110ED">
            <w:pPr>
              <w:rPr>
                <w:rFonts w:ascii="Arial" w:hAnsi="Arial" w:cs="Arial"/>
                <w:sz w:val="12"/>
                <w:szCs w:val="12"/>
              </w:rPr>
            </w:pPr>
          </w:p>
        </w:tc>
        <w:tc>
          <w:tcPr>
            <w:tcW w:w="1843" w:type="dxa"/>
            <w:shd w:val="clear" w:color="auto" w:fill="auto"/>
          </w:tcPr>
          <w:p w14:paraId="729A7E6A" w14:textId="77777777" w:rsidR="002A4DDF" w:rsidRPr="00937C8B" w:rsidRDefault="002A4DDF" w:rsidP="009110ED">
            <w:pPr>
              <w:rPr>
                <w:rFonts w:ascii="Arial" w:hAnsi="Arial" w:cs="Arial"/>
                <w:sz w:val="12"/>
                <w:szCs w:val="12"/>
              </w:rPr>
            </w:pPr>
          </w:p>
        </w:tc>
        <w:tc>
          <w:tcPr>
            <w:tcW w:w="2268" w:type="dxa"/>
            <w:shd w:val="clear" w:color="auto" w:fill="F2F2F2"/>
            <w:hideMark/>
          </w:tcPr>
          <w:p w14:paraId="2BF0ABA2" w14:textId="77777777" w:rsidR="002A4DDF" w:rsidRPr="00937C8B" w:rsidRDefault="002A4DDF" w:rsidP="009110ED">
            <w:pPr>
              <w:rPr>
                <w:rFonts w:ascii="Arial" w:hAnsi="Arial" w:cs="Arial"/>
                <w:sz w:val="12"/>
                <w:szCs w:val="12"/>
              </w:rPr>
            </w:pPr>
            <w:r>
              <w:rPr>
                <w:rFonts w:ascii="Arial" w:hAnsi="Arial"/>
                <w:sz w:val="12"/>
                <w:szCs w:val="12"/>
              </w:rPr>
              <w:t>Sant Llorenç Savall</w:t>
            </w:r>
          </w:p>
        </w:tc>
        <w:tc>
          <w:tcPr>
            <w:tcW w:w="2268" w:type="dxa"/>
            <w:tcBorders>
              <w:right w:val="single" w:sz="4" w:space="0" w:color="auto"/>
            </w:tcBorders>
            <w:shd w:val="clear" w:color="auto" w:fill="D9D9D9"/>
            <w:hideMark/>
          </w:tcPr>
          <w:p w14:paraId="4AF53AE5" w14:textId="77777777" w:rsidR="002A4DDF" w:rsidRPr="00937C8B" w:rsidRDefault="002A4DDF" w:rsidP="009110ED">
            <w:pPr>
              <w:rPr>
                <w:rFonts w:ascii="Arial" w:hAnsi="Arial" w:cs="Arial"/>
                <w:sz w:val="12"/>
                <w:szCs w:val="12"/>
              </w:rPr>
            </w:pPr>
          </w:p>
        </w:tc>
      </w:tr>
      <w:tr w:rsidR="002A4DDF" w:rsidRPr="00937C8B" w14:paraId="1F4B06A6" w14:textId="77777777" w:rsidTr="00935676">
        <w:trPr>
          <w:cantSplit/>
        </w:trPr>
        <w:tc>
          <w:tcPr>
            <w:tcW w:w="1696" w:type="dxa"/>
            <w:tcBorders>
              <w:left w:val="single" w:sz="4" w:space="0" w:color="auto"/>
            </w:tcBorders>
            <w:shd w:val="clear" w:color="auto" w:fill="auto"/>
          </w:tcPr>
          <w:p w14:paraId="28DDC2D9" w14:textId="77777777" w:rsidR="002A4DDF" w:rsidRPr="00937C8B" w:rsidRDefault="002A4DDF" w:rsidP="009110ED">
            <w:pPr>
              <w:rPr>
                <w:rFonts w:ascii="Arial" w:hAnsi="Arial" w:cs="Arial"/>
                <w:sz w:val="12"/>
                <w:szCs w:val="12"/>
              </w:rPr>
            </w:pPr>
          </w:p>
        </w:tc>
        <w:tc>
          <w:tcPr>
            <w:tcW w:w="1843" w:type="dxa"/>
            <w:shd w:val="clear" w:color="auto" w:fill="auto"/>
          </w:tcPr>
          <w:p w14:paraId="5E88B514" w14:textId="77777777" w:rsidR="002A4DDF" w:rsidRPr="00937C8B" w:rsidRDefault="002A4DDF" w:rsidP="009110ED">
            <w:pPr>
              <w:rPr>
                <w:rFonts w:ascii="Arial" w:hAnsi="Arial" w:cs="Arial"/>
                <w:sz w:val="12"/>
                <w:szCs w:val="12"/>
              </w:rPr>
            </w:pPr>
          </w:p>
        </w:tc>
        <w:tc>
          <w:tcPr>
            <w:tcW w:w="2268" w:type="dxa"/>
            <w:shd w:val="clear" w:color="auto" w:fill="F2F2F2"/>
            <w:hideMark/>
          </w:tcPr>
          <w:p w14:paraId="3D97AD96" w14:textId="77777777" w:rsidR="002A4DDF" w:rsidRPr="00937C8B" w:rsidRDefault="002A4DDF" w:rsidP="009110ED">
            <w:pPr>
              <w:rPr>
                <w:rFonts w:ascii="Arial" w:hAnsi="Arial" w:cs="Arial"/>
                <w:sz w:val="12"/>
                <w:szCs w:val="12"/>
              </w:rPr>
            </w:pPr>
            <w:r>
              <w:rPr>
                <w:rFonts w:ascii="Arial" w:hAnsi="Arial"/>
                <w:sz w:val="12"/>
                <w:szCs w:val="12"/>
              </w:rPr>
              <w:t>Sant Martí de Centelles</w:t>
            </w:r>
          </w:p>
        </w:tc>
        <w:tc>
          <w:tcPr>
            <w:tcW w:w="2268" w:type="dxa"/>
            <w:tcBorders>
              <w:right w:val="single" w:sz="4" w:space="0" w:color="auto"/>
            </w:tcBorders>
            <w:shd w:val="clear" w:color="auto" w:fill="D9D9D9"/>
            <w:hideMark/>
          </w:tcPr>
          <w:p w14:paraId="7EEB2DDA" w14:textId="77777777" w:rsidR="002A4DDF" w:rsidRPr="00937C8B" w:rsidRDefault="002A4DDF" w:rsidP="009110ED">
            <w:pPr>
              <w:rPr>
                <w:rFonts w:ascii="Arial" w:hAnsi="Arial" w:cs="Arial"/>
                <w:sz w:val="12"/>
                <w:szCs w:val="12"/>
              </w:rPr>
            </w:pPr>
          </w:p>
        </w:tc>
      </w:tr>
      <w:tr w:rsidR="002A4DDF" w:rsidRPr="00937C8B" w14:paraId="52FD7DDE" w14:textId="77777777" w:rsidTr="00935676">
        <w:trPr>
          <w:cantSplit/>
        </w:trPr>
        <w:tc>
          <w:tcPr>
            <w:tcW w:w="1696" w:type="dxa"/>
            <w:tcBorders>
              <w:left w:val="single" w:sz="4" w:space="0" w:color="auto"/>
            </w:tcBorders>
            <w:shd w:val="clear" w:color="auto" w:fill="auto"/>
          </w:tcPr>
          <w:p w14:paraId="1C4ACAED" w14:textId="77777777" w:rsidR="002A4DDF" w:rsidRPr="00937C8B" w:rsidRDefault="002A4DDF" w:rsidP="009110ED">
            <w:pPr>
              <w:rPr>
                <w:rFonts w:ascii="Arial" w:hAnsi="Arial" w:cs="Arial"/>
                <w:sz w:val="12"/>
                <w:szCs w:val="12"/>
              </w:rPr>
            </w:pPr>
          </w:p>
        </w:tc>
        <w:tc>
          <w:tcPr>
            <w:tcW w:w="1843" w:type="dxa"/>
            <w:shd w:val="clear" w:color="auto" w:fill="auto"/>
          </w:tcPr>
          <w:p w14:paraId="7C57978C" w14:textId="77777777" w:rsidR="002A4DDF" w:rsidRPr="00937C8B" w:rsidRDefault="002A4DDF" w:rsidP="009110ED">
            <w:pPr>
              <w:rPr>
                <w:rFonts w:ascii="Arial" w:hAnsi="Arial" w:cs="Arial"/>
                <w:sz w:val="12"/>
                <w:szCs w:val="12"/>
              </w:rPr>
            </w:pPr>
          </w:p>
        </w:tc>
        <w:tc>
          <w:tcPr>
            <w:tcW w:w="2268" w:type="dxa"/>
            <w:shd w:val="clear" w:color="auto" w:fill="F2F2F2"/>
            <w:hideMark/>
          </w:tcPr>
          <w:p w14:paraId="475DD191" w14:textId="77777777" w:rsidR="002A4DDF" w:rsidRPr="00937C8B" w:rsidRDefault="002A4DDF" w:rsidP="009110ED">
            <w:pPr>
              <w:rPr>
                <w:rFonts w:ascii="Arial" w:hAnsi="Arial" w:cs="Arial"/>
                <w:sz w:val="12"/>
                <w:szCs w:val="12"/>
              </w:rPr>
            </w:pPr>
            <w:r>
              <w:rPr>
                <w:rFonts w:ascii="Arial" w:hAnsi="Arial"/>
                <w:sz w:val="12"/>
                <w:szCs w:val="12"/>
              </w:rPr>
              <w:t>Sant Mateu de Bages</w:t>
            </w:r>
          </w:p>
        </w:tc>
        <w:tc>
          <w:tcPr>
            <w:tcW w:w="2268" w:type="dxa"/>
            <w:tcBorders>
              <w:right w:val="single" w:sz="4" w:space="0" w:color="auto"/>
            </w:tcBorders>
            <w:shd w:val="clear" w:color="auto" w:fill="D9D9D9"/>
            <w:hideMark/>
          </w:tcPr>
          <w:p w14:paraId="753D7D51" w14:textId="77777777" w:rsidR="002A4DDF" w:rsidRPr="00937C8B" w:rsidRDefault="002A4DDF" w:rsidP="009110ED">
            <w:pPr>
              <w:rPr>
                <w:rFonts w:ascii="Arial" w:hAnsi="Arial" w:cs="Arial"/>
                <w:sz w:val="12"/>
                <w:szCs w:val="12"/>
              </w:rPr>
            </w:pPr>
          </w:p>
        </w:tc>
      </w:tr>
      <w:tr w:rsidR="002A4DDF" w:rsidRPr="00937C8B" w14:paraId="325B943A" w14:textId="77777777" w:rsidTr="00935676">
        <w:trPr>
          <w:cantSplit/>
        </w:trPr>
        <w:tc>
          <w:tcPr>
            <w:tcW w:w="1696" w:type="dxa"/>
            <w:tcBorders>
              <w:left w:val="single" w:sz="4" w:space="0" w:color="auto"/>
            </w:tcBorders>
            <w:shd w:val="clear" w:color="auto" w:fill="auto"/>
          </w:tcPr>
          <w:p w14:paraId="61D287C9" w14:textId="77777777" w:rsidR="002A4DDF" w:rsidRPr="00937C8B" w:rsidRDefault="002A4DDF" w:rsidP="009110ED">
            <w:pPr>
              <w:rPr>
                <w:rFonts w:ascii="Arial" w:hAnsi="Arial" w:cs="Arial"/>
                <w:sz w:val="12"/>
                <w:szCs w:val="12"/>
              </w:rPr>
            </w:pPr>
          </w:p>
        </w:tc>
        <w:tc>
          <w:tcPr>
            <w:tcW w:w="1843" w:type="dxa"/>
            <w:shd w:val="clear" w:color="auto" w:fill="auto"/>
          </w:tcPr>
          <w:p w14:paraId="64B01790" w14:textId="77777777" w:rsidR="002A4DDF" w:rsidRPr="00937C8B" w:rsidRDefault="002A4DDF" w:rsidP="009110ED">
            <w:pPr>
              <w:rPr>
                <w:rFonts w:ascii="Arial" w:hAnsi="Arial" w:cs="Arial"/>
                <w:sz w:val="12"/>
                <w:szCs w:val="12"/>
              </w:rPr>
            </w:pPr>
          </w:p>
        </w:tc>
        <w:tc>
          <w:tcPr>
            <w:tcW w:w="2268" w:type="dxa"/>
            <w:shd w:val="clear" w:color="auto" w:fill="F2F2F2"/>
            <w:hideMark/>
          </w:tcPr>
          <w:p w14:paraId="5284DE95" w14:textId="77777777" w:rsidR="002A4DDF" w:rsidRPr="00937C8B" w:rsidRDefault="002A4DDF" w:rsidP="009110ED">
            <w:pPr>
              <w:rPr>
                <w:rFonts w:ascii="Arial" w:hAnsi="Arial" w:cs="Arial"/>
                <w:sz w:val="12"/>
                <w:szCs w:val="12"/>
              </w:rPr>
            </w:pPr>
            <w:r>
              <w:rPr>
                <w:rFonts w:ascii="Arial" w:hAnsi="Arial"/>
                <w:sz w:val="12"/>
                <w:szCs w:val="12"/>
              </w:rPr>
              <w:t>Sant Pere de Torelló</w:t>
            </w:r>
          </w:p>
        </w:tc>
        <w:tc>
          <w:tcPr>
            <w:tcW w:w="2268" w:type="dxa"/>
            <w:tcBorders>
              <w:right w:val="single" w:sz="4" w:space="0" w:color="auto"/>
            </w:tcBorders>
            <w:shd w:val="clear" w:color="auto" w:fill="D9D9D9"/>
            <w:hideMark/>
          </w:tcPr>
          <w:p w14:paraId="4E5BC9DA" w14:textId="77777777" w:rsidR="002A4DDF" w:rsidRPr="00937C8B" w:rsidRDefault="002A4DDF" w:rsidP="009110ED">
            <w:pPr>
              <w:rPr>
                <w:rFonts w:ascii="Arial" w:hAnsi="Arial" w:cs="Arial"/>
                <w:sz w:val="12"/>
                <w:szCs w:val="12"/>
              </w:rPr>
            </w:pPr>
          </w:p>
        </w:tc>
      </w:tr>
      <w:tr w:rsidR="002A4DDF" w:rsidRPr="00937C8B" w14:paraId="35315081" w14:textId="77777777" w:rsidTr="00935676">
        <w:trPr>
          <w:cantSplit/>
        </w:trPr>
        <w:tc>
          <w:tcPr>
            <w:tcW w:w="1696" w:type="dxa"/>
            <w:tcBorders>
              <w:left w:val="single" w:sz="4" w:space="0" w:color="auto"/>
            </w:tcBorders>
            <w:shd w:val="clear" w:color="auto" w:fill="auto"/>
          </w:tcPr>
          <w:p w14:paraId="7E523B59" w14:textId="77777777" w:rsidR="002A4DDF" w:rsidRPr="00937C8B" w:rsidRDefault="002A4DDF" w:rsidP="009110ED">
            <w:pPr>
              <w:rPr>
                <w:rFonts w:ascii="Arial" w:hAnsi="Arial" w:cs="Arial"/>
                <w:sz w:val="12"/>
                <w:szCs w:val="12"/>
              </w:rPr>
            </w:pPr>
          </w:p>
        </w:tc>
        <w:tc>
          <w:tcPr>
            <w:tcW w:w="1843" w:type="dxa"/>
            <w:shd w:val="clear" w:color="auto" w:fill="auto"/>
          </w:tcPr>
          <w:p w14:paraId="33BBD412" w14:textId="77777777" w:rsidR="002A4DDF" w:rsidRPr="00937C8B" w:rsidRDefault="002A4DDF" w:rsidP="009110ED">
            <w:pPr>
              <w:rPr>
                <w:rFonts w:ascii="Arial" w:hAnsi="Arial" w:cs="Arial"/>
                <w:sz w:val="12"/>
                <w:szCs w:val="12"/>
              </w:rPr>
            </w:pPr>
          </w:p>
        </w:tc>
        <w:tc>
          <w:tcPr>
            <w:tcW w:w="2268" w:type="dxa"/>
            <w:shd w:val="clear" w:color="auto" w:fill="F2F2F2"/>
            <w:hideMark/>
          </w:tcPr>
          <w:p w14:paraId="47C3916D" w14:textId="77777777" w:rsidR="002A4DDF" w:rsidRPr="00937C8B" w:rsidRDefault="002A4DDF" w:rsidP="009110ED">
            <w:pPr>
              <w:rPr>
                <w:rFonts w:ascii="Arial" w:hAnsi="Arial" w:cs="Arial"/>
                <w:sz w:val="12"/>
                <w:szCs w:val="12"/>
              </w:rPr>
            </w:pPr>
            <w:r>
              <w:rPr>
                <w:rFonts w:ascii="Arial" w:hAnsi="Arial"/>
                <w:sz w:val="12"/>
                <w:szCs w:val="12"/>
              </w:rPr>
              <w:t>Sant Pere de Vilamajor</w:t>
            </w:r>
          </w:p>
        </w:tc>
        <w:tc>
          <w:tcPr>
            <w:tcW w:w="2268" w:type="dxa"/>
            <w:tcBorders>
              <w:right w:val="single" w:sz="4" w:space="0" w:color="auto"/>
            </w:tcBorders>
            <w:shd w:val="clear" w:color="auto" w:fill="D9D9D9"/>
            <w:hideMark/>
          </w:tcPr>
          <w:p w14:paraId="34AEE91A" w14:textId="77777777" w:rsidR="002A4DDF" w:rsidRPr="00937C8B" w:rsidRDefault="002A4DDF" w:rsidP="009110ED">
            <w:pPr>
              <w:rPr>
                <w:rFonts w:ascii="Arial" w:hAnsi="Arial" w:cs="Arial"/>
                <w:sz w:val="12"/>
                <w:szCs w:val="12"/>
              </w:rPr>
            </w:pPr>
          </w:p>
        </w:tc>
      </w:tr>
      <w:tr w:rsidR="002A4DDF" w:rsidRPr="00937C8B" w14:paraId="6AE46949" w14:textId="77777777" w:rsidTr="00935676">
        <w:trPr>
          <w:cantSplit/>
        </w:trPr>
        <w:tc>
          <w:tcPr>
            <w:tcW w:w="1696" w:type="dxa"/>
            <w:tcBorders>
              <w:left w:val="single" w:sz="4" w:space="0" w:color="auto"/>
            </w:tcBorders>
            <w:shd w:val="clear" w:color="auto" w:fill="auto"/>
          </w:tcPr>
          <w:p w14:paraId="3FEA3855" w14:textId="77777777" w:rsidR="002A4DDF" w:rsidRPr="00937C8B" w:rsidRDefault="002A4DDF" w:rsidP="009110ED">
            <w:pPr>
              <w:rPr>
                <w:rFonts w:ascii="Arial" w:hAnsi="Arial" w:cs="Arial"/>
                <w:sz w:val="12"/>
                <w:szCs w:val="12"/>
              </w:rPr>
            </w:pPr>
          </w:p>
        </w:tc>
        <w:tc>
          <w:tcPr>
            <w:tcW w:w="1843" w:type="dxa"/>
            <w:shd w:val="clear" w:color="auto" w:fill="auto"/>
          </w:tcPr>
          <w:p w14:paraId="177FFC0F" w14:textId="77777777" w:rsidR="002A4DDF" w:rsidRPr="00937C8B" w:rsidRDefault="002A4DDF" w:rsidP="009110ED">
            <w:pPr>
              <w:rPr>
                <w:rFonts w:ascii="Arial" w:hAnsi="Arial" w:cs="Arial"/>
                <w:sz w:val="12"/>
                <w:szCs w:val="12"/>
              </w:rPr>
            </w:pPr>
          </w:p>
        </w:tc>
        <w:tc>
          <w:tcPr>
            <w:tcW w:w="2268" w:type="dxa"/>
            <w:shd w:val="clear" w:color="auto" w:fill="F2F2F2"/>
            <w:hideMark/>
          </w:tcPr>
          <w:p w14:paraId="23F5837F" w14:textId="77777777" w:rsidR="002A4DDF" w:rsidRPr="00937C8B" w:rsidRDefault="002A4DDF" w:rsidP="009110ED">
            <w:pPr>
              <w:rPr>
                <w:rFonts w:ascii="Arial" w:hAnsi="Arial" w:cs="Arial"/>
                <w:sz w:val="12"/>
                <w:szCs w:val="12"/>
              </w:rPr>
            </w:pPr>
            <w:r>
              <w:rPr>
                <w:rFonts w:ascii="Arial" w:hAnsi="Arial"/>
                <w:sz w:val="12"/>
                <w:szCs w:val="12"/>
              </w:rPr>
              <w:t>Sant Quirze de Besora</w:t>
            </w:r>
          </w:p>
        </w:tc>
        <w:tc>
          <w:tcPr>
            <w:tcW w:w="2268" w:type="dxa"/>
            <w:tcBorders>
              <w:right w:val="single" w:sz="4" w:space="0" w:color="auto"/>
            </w:tcBorders>
            <w:shd w:val="clear" w:color="auto" w:fill="D9D9D9"/>
            <w:hideMark/>
          </w:tcPr>
          <w:p w14:paraId="1CC273E2" w14:textId="77777777" w:rsidR="002A4DDF" w:rsidRPr="00937C8B" w:rsidRDefault="002A4DDF" w:rsidP="009110ED">
            <w:pPr>
              <w:rPr>
                <w:rFonts w:ascii="Arial" w:hAnsi="Arial" w:cs="Arial"/>
                <w:sz w:val="12"/>
                <w:szCs w:val="12"/>
              </w:rPr>
            </w:pPr>
          </w:p>
        </w:tc>
      </w:tr>
      <w:tr w:rsidR="002A4DDF" w:rsidRPr="00937C8B" w14:paraId="60C73E5C" w14:textId="77777777" w:rsidTr="00935676">
        <w:trPr>
          <w:cantSplit/>
        </w:trPr>
        <w:tc>
          <w:tcPr>
            <w:tcW w:w="1696" w:type="dxa"/>
            <w:tcBorders>
              <w:left w:val="single" w:sz="4" w:space="0" w:color="auto"/>
            </w:tcBorders>
            <w:shd w:val="clear" w:color="auto" w:fill="auto"/>
          </w:tcPr>
          <w:p w14:paraId="57A7FA99" w14:textId="77777777" w:rsidR="002A4DDF" w:rsidRPr="00937C8B" w:rsidRDefault="002A4DDF" w:rsidP="009110ED">
            <w:pPr>
              <w:rPr>
                <w:rFonts w:ascii="Arial" w:hAnsi="Arial" w:cs="Arial"/>
                <w:sz w:val="12"/>
                <w:szCs w:val="12"/>
              </w:rPr>
            </w:pPr>
          </w:p>
        </w:tc>
        <w:tc>
          <w:tcPr>
            <w:tcW w:w="1843" w:type="dxa"/>
            <w:shd w:val="clear" w:color="auto" w:fill="auto"/>
          </w:tcPr>
          <w:p w14:paraId="62459AC5" w14:textId="77777777" w:rsidR="002A4DDF" w:rsidRPr="00937C8B" w:rsidRDefault="002A4DDF" w:rsidP="009110ED">
            <w:pPr>
              <w:rPr>
                <w:rFonts w:ascii="Arial" w:hAnsi="Arial" w:cs="Arial"/>
                <w:sz w:val="12"/>
                <w:szCs w:val="12"/>
              </w:rPr>
            </w:pPr>
          </w:p>
        </w:tc>
        <w:tc>
          <w:tcPr>
            <w:tcW w:w="2268" w:type="dxa"/>
            <w:shd w:val="clear" w:color="auto" w:fill="F2F2F2"/>
            <w:hideMark/>
          </w:tcPr>
          <w:p w14:paraId="234F5395" w14:textId="77777777" w:rsidR="002A4DDF" w:rsidRPr="00937C8B" w:rsidRDefault="002A4DDF" w:rsidP="009110ED">
            <w:pPr>
              <w:rPr>
                <w:rFonts w:ascii="Arial" w:hAnsi="Arial" w:cs="Arial"/>
                <w:sz w:val="12"/>
                <w:szCs w:val="12"/>
              </w:rPr>
            </w:pPr>
            <w:r>
              <w:rPr>
                <w:rFonts w:ascii="Arial" w:hAnsi="Arial"/>
                <w:sz w:val="12"/>
                <w:szCs w:val="12"/>
              </w:rPr>
              <w:t>Sant Quirze del Vallès</w:t>
            </w:r>
          </w:p>
        </w:tc>
        <w:tc>
          <w:tcPr>
            <w:tcW w:w="2268" w:type="dxa"/>
            <w:tcBorders>
              <w:right w:val="single" w:sz="4" w:space="0" w:color="auto"/>
            </w:tcBorders>
            <w:shd w:val="clear" w:color="auto" w:fill="D9D9D9"/>
            <w:hideMark/>
          </w:tcPr>
          <w:p w14:paraId="354630B4" w14:textId="77777777" w:rsidR="002A4DDF" w:rsidRPr="00937C8B" w:rsidRDefault="002A4DDF" w:rsidP="009110ED">
            <w:pPr>
              <w:rPr>
                <w:rFonts w:ascii="Arial" w:hAnsi="Arial" w:cs="Arial"/>
                <w:sz w:val="12"/>
                <w:szCs w:val="12"/>
              </w:rPr>
            </w:pPr>
          </w:p>
        </w:tc>
      </w:tr>
      <w:tr w:rsidR="002A4DDF" w:rsidRPr="00937C8B" w14:paraId="165789B6" w14:textId="77777777" w:rsidTr="00935676">
        <w:trPr>
          <w:cantSplit/>
        </w:trPr>
        <w:tc>
          <w:tcPr>
            <w:tcW w:w="1696" w:type="dxa"/>
            <w:tcBorders>
              <w:left w:val="single" w:sz="4" w:space="0" w:color="auto"/>
            </w:tcBorders>
            <w:shd w:val="clear" w:color="auto" w:fill="auto"/>
          </w:tcPr>
          <w:p w14:paraId="56B02883" w14:textId="77777777" w:rsidR="002A4DDF" w:rsidRPr="00937C8B" w:rsidRDefault="002A4DDF" w:rsidP="009110ED">
            <w:pPr>
              <w:rPr>
                <w:rFonts w:ascii="Arial" w:hAnsi="Arial" w:cs="Arial"/>
                <w:sz w:val="12"/>
                <w:szCs w:val="12"/>
              </w:rPr>
            </w:pPr>
          </w:p>
        </w:tc>
        <w:tc>
          <w:tcPr>
            <w:tcW w:w="1843" w:type="dxa"/>
            <w:shd w:val="clear" w:color="auto" w:fill="auto"/>
          </w:tcPr>
          <w:p w14:paraId="3F0F024E" w14:textId="77777777" w:rsidR="002A4DDF" w:rsidRPr="00937C8B" w:rsidRDefault="002A4DDF" w:rsidP="009110ED">
            <w:pPr>
              <w:rPr>
                <w:rFonts w:ascii="Arial" w:hAnsi="Arial" w:cs="Arial"/>
                <w:sz w:val="12"/>
                <w:szCs w:val="12"/>
              </w:rPr>
            </w:pPr>
          </w:p>
        </w:tc>
        <w:tc>
          <w:tcPr>
            <w:tcW w:w="2268" w:type="dxa"/>
            <w:shd w:val="clear" w:color="auto" w:fill="F2F2F2"/>
            <w:hideMark/>
          </w:tcPr>
          <w:p w14:paraId="3DD84693" w14:textId="77777777" w:rsidR="002A4DDF" w:rsidRPr="00937C8B" w:rsidRDefault="002A4DDF" w:rsidP="009110ED">
            <w:pPr>
              <w:rPr>
                <w:rFonts w:ascii="Arial" w:hAnsi="Arial" w:cs="Arial"/>
                <w:sz w:val="12"/>
                <w:szCs w:val="12"/>
              </w:rPr>
            </w:pPr>
            <w:r>
              <w:rPr>
                <w:rFonts w:ascii="Arial" w:hAnsi="Arial"/>
                <w:sz w:val="12"/>
                <w:szCs w:val="12"/>
              </w:rPr>
              <w:t>Sant Vicenç de Castellet</w:t>
            </w:r>
          </w:p>
        </w:tc>
        <w:tc>
          <w:tcPr>
            <w:tcW w:w="2268" w:type="dxa"/>
            <w:tcBorders>
              <w:right w:val="single" w:sz="4" w:space="0" w:color="auto"/>
            </w:tcBorders>
            <w:shd w:val="clear" w:color="auto" w:fill="D9D9D9"/>
            <w:hideMark/>
          </w:tcPr>
          <w:p w14:paraId="2D183FE2" w14:textId="77777777" w:rsidR="002A4DDF" w:rsidRPr="00937C8B" w:rsidRDefault="002A4DDF" w:rsidP="009110ED">
            <w:pPr>
              <w:rPr>
                <w:rFonts w:ascii="Arial" w:hAnsi="Arial" w:cs="Arial"/>
                <w:sz w:val="12"/>
                <w:szCs w:val="12"/>
              </w:rPr>
            </w:pPr>
          </w:p>
        </w:tc>
      </w:tr>
      <w:tr w:rsidR="002A4DDF" w:rsidRPr="00937C8B" w14:paraId="572D45A3" w14:textId="77777777" w:rsidTr="00935676">
        <w:trPr>
          <w:cantSplit/>
        </w:trPr>
        <w:tc>
          <w:tcPr>
            <w:tcW w:w="1696" w:type="dxa"/>
            <w:tcBorders>
              <w:left w:val="single" w:sz="4" w:space="0" w:color="auto"/>
            </w:tcBorders>
            <w:shd w:val="clear" w:color="auto" w:fill="auto"/>
          </w:tcPr>
          <w:p w14:paraId="374ABEF8" w14:textId="77777777" w:rsidR="002A4DDF" w:rsidRPr="00937C8B" w:rsidRDefault="002A4DDF" w:rsidP="009110ED">
            <w:pPr>
              <w:rPr>
                <w:rFonts w:ascii="Arial" w:hAnsi="Arial" w:cs="Arial"/>
                <w:sz w:val="12"/>
                <w:szCs w:val="12"/>
              </w:rPr>
            </w:pPr>
          </w:p>
        </w:tc>
        <w:tc>
          <w:tcPr>
            <w:tcW w:w="1843" w:type="dxa"/>
            <w:shd w:val="clear" w:color="auto" w:fill="auto"/>
          </w:tcPr>
          <w:p w14:paraId="498CFE3E" w14:textId="77777777" w:rsidR="002A4DDF" w:rsidRPr="00937C8B" w:rsidRDefault="002A4DDF" w:rsidP="009110ED">
            <w:pPr>
              <w:rPr>
                <w:rFonts w:ascii="Arial" w:hAnsi="Arial" w:cs="Arial"/>
                <w:sz w:val="12"/>
                <w:szCs w:val="12"/>
              </w:rPr>
            </w:pPr>
          </w:p>
        </w:tc>
        <w:tc>
          <w:tcPr>
            <w:tcW w:w="2268" w:type="dxa"/>
            <w:shd w:val="clear" w:color="auto" w:fill="F2F2F2"/>
            <w:hideMark/>
          </w:tcPr>
          <w:p w14:paraId="41027BAC" w14:textId="77777777" w:rsidR="002A4DDF" w:rsidRPr="00937C8B" w:rsidRDefault="002A4DDF" w:rsidP="009110ED">
            <w:pPr>
              <w:rPr>
                <w:rFonts w:ascii="Arial" w:hAnsi="Arial" w:cs="Arial"/>
                <w:sz w:val="12"/>
                <w:szCs w:val="12"/>
              </w:rPr>
            </w:pPr>
            <w:r>
              <w:rPr>
                <w:rFonts w:ascii="Arial" w:hAnsi="Arial"/>
                <w:sz w:val="12"/>
                <w:szCs w:val="12"/>
              </w:rPr>
              <w:t>Sant Vicenç de Torelló</w:t>
            </w:r>
          </w:p>
        </w:tc>
        <w:tc>
          <w:tcPr>
            <w:tcW w:w="2268" w:type="dxa"/>
            <w:tcBorders>
              <w:right w:val="single" w:sz="4" w:space="0" w:color="auto"/>
            </w:tcBorders>
            <w:shd w:val="clear" w:color="auto" w:fill="D9D9D9"/>
            <w:hideMark/>
          </w:tcPr>
          <w:p w14:paraId="174F4596" w14:textId="77777777" w:rsidR="002A4DDF" w:rsidRPr="00937C8B" w:rsidRDefault="002A4DDF" w:rsidP="009110ED">
            <w:pPr>
              <w:rPr>
                <w:rFonts w:ascii="Arial" w:hAnsi="Arial" w:cs="Arial"/>
                <w:sz w:val="12"/>
                <w:szCs w:val="12"/>
              </w:rPr>
            </w:pPr>
          </w:p>
        </w:tc>
      </w:tr>
      <w:tr w:rsidR="002A4DDF" w:rsidRPr="00937C8B" w14:paraId="1927770E" w14:textId="77777777" w:rsidTr="00935676">
        <w:trPr>
          <w:cantSplit/>
        </w:trPr>
        <w:tc>
          <w:tcPr>
            <w:tcW w:w="1696" w:type="dxa"/>
            <w:tcBorders>
              <w:left w:val="single" w:sz="4" w:space="0" w:color="auto"/>
            </w:tcBorders>
            <w:shd w:val="clear" w:color="auto" w:fill="auto"/>
          </w:tcPr>
          <w:p w14:paraId="7ED55641" w14:textId="77777777" w:rsidR="002A4DDF" w:rsidRPr="00937C8B" w:rsidRDefault="002A4DDF" w:rsidP="009110ED">
            <w:pPr>
              <w:rPr>
                <w:rFonts w:ascii="Arial" w:hAnsi="Arial" w:cs="Arial"/>
                <w:sz w:val="12"/>
                <w:szCs w:val="12"/>
              </w:rPr>
            </w:pPr>
          </w:p>
        </w:tc>
        <w:tc>
          <w:tcPr>
            <w:tcW w:w="1843" w:type="dxa"/>
            <w:shd w:val="clear" w:color="auto" w:fill="auto"/>
          </w:tcPr>
          <w:p w14:paraId="595AE5DC" w14:textId="77777777" w:rsidR="002A4DDF" w:rsidRPr="00937C8B" w:rsidRDefault="002A4DDF" w:rsidP="009110ED">
            <w:pPr>
              <w:rPr>
                <w:rFonts w:ascii="Arial" w:hAnsi="Arial" w:cs="Arial"/>
                <w:sz w:val="12"/>
                <w:szCs w:val="12"/>
              </w:rPr>
            </w:pPr>
          </w:p>
        </w:tc>
        <w:tc>
          <w:tcPr>
            <w:tcW w:w="2268" w:type="dxa"/>
            <w:shd w:val="clear" w:color="auto" w:fill="F2F2F2"/>
            <w:hideMark/>
          </w:tcPr>
          <w:p w14:paraId="0F3118A5" w14:textId="77777777" w:rsidR="002A4DDF" w:rsidRPr="00937C8B" w:rsidRDefault="002A4DDF" w:rsidP="009110ED">
            <w:pPr>
              <w:rPr>
                <w:rFonts w:ascii="Arial" w:hAnsi="Arial" w:cs="Arial"/>
                <w:sz w:val="12"/>
                <w:szCs w:val="12"/>
              </w:rPr>
            </w:pPr>
            <w:r>
              <w:rPr>
                <w:rFonts w:ascii="Arial" w:hAnsi="Arial"/>
                <w:sz w:val="12"/>
                <w:szCs w:val="12"/>
              </w:rPr>
              <w:t>Sant Vicenç dels Horts</w:t>
            </w:r>
          </w:p>
        </w:tc>
        <w:tc>
          <w:tcPr>
            <w:tcW w:w="2268" w:type="dxa"/>
            <w:tcBorders>
              <w:right w:val="single" w:sz="4" w:space="0" w:color="auto"/>
            </w:tcBorders>
            <w:shd w:val="clear" w:color="auto" w:fill="D9D9D9"/>
            <w:hideMark/>
          </w:tcPr>
          <w:p w14:paraId="698B1EBF" w14:textId="77777777" w:rsidR="002A4DDF" w:rsidRPr="00937C8B" w:rsidRDefault="002A4DDF" w:rsidP="009110ED">
            <w:pPr>
              <w:rPr>
                <w:rFonts w:ascii="Arial" w:hAnsi="Arial" w:cs="Arial"/>
                <w:sz w:val="12"/>
                <w:szCs w:val="12"/>
              </w:rPr>
            </w:pPr>
          </w:p>
        </w:tc>
      </w:tr>
      <w:tr w:rsidR="002A4DDF" w:rsidRPr="00937C8B" w14:paraId="7330D1F2" w14:textId="77777777" w:rsidTr="00935676">
        <w:trPr>
          <w:cantSplit/>
        </w:trPr>
        <w:tc>
          <w:tcPr>
            <w:tcW w:w="1696" w:type="dxa"/>
            <w:tcBorders>
              <w:left w:val="single" w:sz="4" w:space="0" w:color="auto"/>
            </w:tcBorders>
            <w:shd w:val="clear" w:color="auto" w:fill="auto"/>
          </w:tcPr>
          <w:p w14:paraId="1A0F1C9F" w14:textId="77777777" w:rsidR="002A4DDF" w:rsidRPr="00937C8B" w:rsidRDefault="002A4DDF" w:rsidP="009110ED">
            <w:pPr>
              <w:rPr>
                <w:rFonts w:ascii="Arial" w:hAnsi="Arial" w:cs="Arial"/>
                <w:sz w:val="12"/>
                <w:szCs w:val="12"/>
              </w:rPr>
            </w:pPr>
          </w:p>
        </w:tc>
        <w:tc>
          <w:tcPr>
            <w:tcW w:w="1843" w:type="dxa"/>
            <w:shd w:val="clear" w:color="auto" w:fill="auto"/>
          </w:tcPr>
          <w:p w14:paraId="50C9ACA5" w14:textId="77777777" w:rsidR="002A4DDF" w:rsidRPr="00937C8B" w:rsidRDefault="002A4DDF" w:rsidP="009110ED">
            <w:pPr>
              <w:rPr>
                <w:rFonts w:ascii="Arial" w:hAnsi="Arial" w:cs="Arial"/>
                <w:sz w:val="12"/>
                <w:szCs w:val="12"/>
              </w:rPr>
            </w:pPr>
          </w:p>
        </w:tc>
        <w:tc>
          <w:tcPr>
            <w:tcW w:w="2268" w:type="dxa"/>
            <w:shd w:val="clear" w:color="auto" w:fill="F2F2F2"/>
            <w:hideMark/>
          </w:tcPr>
          <w:p w14:paraId="63F10836" w14:textId="77777777" w:rsidR="002A4DDF" w:rsidRPr="00937C8B" w:rsidRDefault="002A4DDF" w:rsidP="009110ED">
            <w:pPr>
              <w:rPr>
                <w:rFonts w:ascii="Arial" w:hAnsi="Arial" w:cs="Arial"/>
                <w:sz w:val="12"/>
                <w:szCs w:val="12"/>
              </w:rPr>
            </w:pPr>
            <w:r>
              <w:rPr>
                <w:rFonts w:ascii="Arial" w:hAnsi="Arial"/>
                <w:sz w:val="12"/>
                <w:szCs w:val="12"/>
              </w:rPr>
              <w:t>Santa Coloma de Cervelló</w:t>
            </w:r>
          </w:p>
        </w:tc>
        <w:tc>
          <w:tcPr>
            <w:tcW w:w="2268" w:type="dxa"/>
            <w:tcBorders>
              <w:right w:val="single" w:sz="4" w:space="0" w:color="auto"/>
            </w:tcBorders>
            <w:shd w:val="clear" w:color="auto" w:fill="D9D9D9"/>
            <w:hideMark/>
          </w:tcPr>
          <w:p w14:paraId="30D4EA64" w14:textId="77777777" w:rsidR="002A4DDF" w:rsidRPr="00937C8B" w:rsidRDefault="002A4DDF" w:rsidP="009110ED">
            <w:pPr>
              <w:rPr>
                <w:rFonts w:ascii="Arial" w:hAnsi="Arial" w:cs="Arial"/>
                <w:sz w:val="12"/>
                <w:szCs w:val="12"/>
              </w:rPr>
            </w:pPr>
          </w:p>
        </w:tc>
      </w:tr>
      <w:tr w:rsidR="002A4DDF" w:rsidRPr="00937C8B" w14:paraId="42B247C8" w14:textId="77777777" w:rsidTr="00935676">
        <w:trPr>
          <w:cantSplit/>
        </w:trPr>
        <w:tc>
          <w:tcPr>
            <w:tcW w:w="1696" w:type="dxa"/>
            <w:tcBorders>
              <w:left w:val="single" w:sz="4" w:space="0" w:color="auto"/>
            </w:tcBorders>
            <w:shd w:val="clear" w:color="auto" w:fill="auto"/>
          </w:tcPr>
          <w:p w14:paraId="32F32607" w14:textId="77777777" w:rsidR="002A4DDF" w:rsidRPr="00937C8B" w:rsidRDefault="002A4DDF" w:rsidP="009110ED">
            <w:pPr>
              <w:rPr>
                <w:rFonts w:ascii="Arial" w:hAnsi="Arial" w:cs="Arial"/>
                <w:sz w:val="12"/>
                <w:szCs w:val="12"/>
              </w:rPr>
            </w:pPr>
          </w:p>
        </w:tc>
        <w:tc>
          <w:tcPr>
            <w:tcW w:w="1843" w:type="dxa"/>
            <w:shd w:val="clear" w:color="auto" w:fill="auto"/>
          </w:tcPr>
          <w:p w14:paraId="3506B0C9" w14:textId="77777777" w:rsidR="002A4DDF" w:rsidRPr="00937C8B" w:rsidRDefault="002A4DDF" w:rsidP="009110ED">
            <w:pPr>
              <w:rPr>
                <w:rFonts w:ascii="Arial" w:hAnsi="Arial" w:cs="Arial"/>
                <w:sz w:val="12"/>
                <w:szCs w:val="12"/>
              </w:rPr>
            </w:pPr>
          </w:p>
        </w:tc>
        <w:tc>
          <w:tcPr>
            <w:tcW w:w="2268" w:type="dxa"/>
            <w:shd w:val="clear" w:color="auto" w:fill="F2F2F2"/>
            <w:hideMark/>
          </w:tcPr>
          <w:p w14:paraId="5CB8EB7B" w14:textId="77777777" w:rsidR="002A4DDF" w:rsidRPr="00937C8B" w:rsidRDefault="002A4DDF" w:rsidP="009110ED">
            <w:pPr>
              <w:rPr>
                <w:rFonts w:ascii="Arial" w:hAnsi="Arial" w:cs="Arial"/>
                <w:sz w:val="12"/>
                <w:szCs w:val="12"/>
              </w:rPr>
            </w:pPr>
            <w:r>
              <w:rPr>
                <w:rFonts w:ascii="Arial" w:hAnsi="Arial"/>
                <w:sz w:val="12"/>
                <w:szCs w:val="12"/>
              </w:rPr>
              <w:t>Santa Eugènia de Berga</w:t>
            </w:r>
          </w:p>
        </w:tc>
        <w:tc>
          <w:tcPr>
            <w:tcW w:w="2268" w:type="dxa"/>
            <w:tcBorders>
              <w:right w:val="single" w:sz="4" w:space="0" w:color="auto"/>
            </w:tcBorders>
            <w:shd w:val="clear" w:color="auto" w:fill="D9D9D9"/>
            <w:hideMark/>
          </w:tcPr>
          <w:p w14:paraId="3D2EAD11" w14:textId="77777777" w:rsidR="002A4DDF" w:rsidRPr="00937C8B" w:rsidRDefault="002A4DDF" w:rsidP="009110ED">
            <w:pPr>
              <w:rPr>
                <w:rFonts w:ascii="Arial" w:hAnsi="Arial" w:cs="Arial"/>
                <w:sz w:val="12"/>
                <w:szCs w:val="12"/>
              </w:rPr>
            </w:pPr>
          </w:p>
        </w:tc>
      </w:tr>
      <w:tr w:rsidR="002A4DDF" w:rsidRPr="00937C8B" w14:paraId="721BCFC2" w14:textId="77777777" w:rsidTr="00935676">
        <w:trPr>
          <w:cantSplit/>
        </w:trPr>
        <w:tc>
          <w:tcPr>
            <w:tcW w:w="1696" w:type="dxa"/>
            <w:tcBorders>
              <w:left w:val="single" w:sz="4" w:space="0" w:color="auto"/>
            </w:tcBorders>
            <w:shd w:val="clear" w:color="auto" w:fill="auto"/>
          </w:tcPr>
          <w:p w14:paraId="4C789EFE" w14:textId="77777777" w:rsidR="002A4DDF" w:rsidRPr="00937C8B" w:rsidRDefault="002A4DDF" w:rsidP="009110ED">
            <w:pPr>
              <w:rPr>
                <w:rFonts w:ascii="Arial" w:hAnsi="Arial" w:cs="Arial"/>
                <w:sz w:val="12"/>
                <w:szCs w:val="12"/>
              </w:rPr>
            </w:pPr>
          </w:p>
        </w:tc>
        <w:tc>
          <w:tcPr>
            <w:tcW w:w="1843" w:type="dxa"/>
            <w:shd w:val="clear" w:color="auto" w:fill="auto"/>
          </w:tcPr>
          <w:p w14:paraId="4A786039" w14:textId="77777777" w:rsidR="002A4DDF" w:rsidRPr="00937C8B" w:rsidRDefault="002A4DDF" w:rsidP="009110ED">
            <w:pPr>
              <w:rPr>
                <w:rFonts w:ascii="Arial" w:hAnsi="Arial" w:cs="Arial"/>
                <w:sz w:val="12"/>
                <w:szCs w:val="12"/>
              </w:rPr>
            </w:pPr>
          </w:p>
        </w:tc>
        <w:tc>
          <w:tcPr>
            <w:tcW w:w="2268" w:type="dxa"/>
            <w:shd w:val="clear" w:color="auto" w:fill="F2F2F2"/>
            <w:hideMark/>
          </w:tcPr>
          <w:p w14:paraId="07103E68" w14:textId="77777777" w:rsidR="002A4DDF" w:rsidRPr="00937C8B" w:rsidRDefault="002A4DDF" w:rsidP="009110ED">
            <w:pPr>
              <w:rPr>
                <w:rFonts w:ascii="Arial" w:hAnsi="Arial" w:cs="Arial"/>
                <w:sz w:val="12"/>
                <w:szCs w:val="12"/>
              </w:rPr>
            </w:pPr>
            <w:r>
              <w:rPr>
                <w:rFonts w:ascii="Arial" w:hAnsi="Arial"/>
                <w:sz w:val="12"/>
                <w:szCs w:val="12"/>
              </w:rPr>
              <w:t>Santa Perpètua de Mogoda</w:t>
            </w:r>
          </w:p>
        </w:tc>
        <w:tc>
          <w:tcPr>
            <w:tcW w:w="2268" w:type="dxa"/>
            <w:tcBorders>
              <w:right w:val="single" w:sz="4" w:space="0" w:color="auto"/>
            </w:tcBorders>
            <w:shd w:val="clear" w:color="auto" w:fill="D9D9D9"/>
            <w:hideMark/>
          </w:tcPr>
          <w:p w14:paraId="1536CB24" w14:textId="77777777" w:rsidR="002A4DDF" w:rsidRPr="00937C8B" w:rsidRDefault="002A4DDF" w:rsidP="009110ED">
            <w:pPr>
              <w:rPr>
                <w:rFonts w:ascii="Arial" w:hAnsi="Arial" w:cs="Arial"/>
                <w:sz w:val="12"/>
                <w:szCs w:val="12"/>
              </w:rPr>
            </w:pPr>
          </w:p>
        </w:tc>
      </w:tr>
      <w:tr w:rsidR="002A4DDF" w:rsidRPr="00937C8B" w14:paraId="21003D9A" w14:textId="77777777" w:rsidTr="00935676">
        <w:trPr>
          <w:cantSplit/>
        </w:trPr>
        <w:tc>
          <w:tcPr>
            <w:tcW w:w="1696" w:type="dxa"/>
            <w:tcBorders>
              <w:left w:val="single" w:sz="4" w:space="0" w:color="auto"/>
            </w:tcBorders>
            <w:shd w:val="clear" w:color="auto" w:fill="auto"/>
          </w:tcPr>
          <w:p w14:paraId="2FFE41B6" w14:textId="77777777" w:rsidR="002A4DDF" w:rsidRPr="00937C8B" w:rsidRDefault="002A4DDF" w:rsidP="009110ED">
            <w:pPr>
              <w:rPr>
                <w:rFonts w:ascii="Arial" w:hAnsi="Arial" w:cs="Arial"/>
                <w:sz w:val="12"/>
                <w:szCs w:val="12"/>
              </w:rPr>
            </w:pPr>
          </w:p>
        </w:tc>
        <w:tc>
          <w:tcPr>
            <w:tcW w:w="1843" w:type="dxa"/>
            <w:shd w:val="clear" w:color="auto" w:fill="auto"/>
          </w:tcPr>
          <w:p w14:paraId="482B9CE3" w14:textId="77777777" w:rsidR="002A4DDF" w:rsidRPr="00937C8B" w:rsidRDefault="002A4DDF" w:rsidP="009110ED">
            <w:pPr>
              <w:rPr>
                <w:rFonts w:ascii="Arial" w:hAnsi="Arial" w:cs="Arial"/>
                <w:sz w:val="12"/>
                <w:szCs w:val="12"/>
              </w:rPr>
            </w:pPr>
          </w:p>
        </w:tc>
        <w:tc>
          <w:tcPr>
            <w:tcW w:w="2268" w:type="dxa"/>
            <w:shd w:val="clear" w:color="auto" w:fill="F2F2F2"/>
            <w:hideMark/>
          </w:tcPr>
          <w:p w14:paraId="4C2E8C07" w14:textId="77777777" w:rsidR="002A4DDF" w:rsidRPr="00937C8B" w:rsidRDefault="002A4DDF" w:rsidP="009110ED">
            <w:pPr>
              <w:rPr>
                <w:rFonts w:ascii="Arial" w:hAnsi="Arial" w:cs="Arial"/>
                <w:sz w:val="12"/>
                <w:szCs w:val="12"/>
              </w:rPr>
            </w:pPr>
            <w:r>
              <w:rPr>
                <w:rFonts w:ascii="Arial" w:hAnsi="Arial"/>
                <w:sz w:val="12"/>
                <w:szCs w:val="12"/>
              </w:rPr>
              <w:t>Sentmenat</w:t>
            </w:r>
          </w:p>
        </w:tc>
        <w:tc>
          <w:tcPr>
            <w:tcW w:w="2268" w:type="dxa"/>
            <w:tcBorders>
              <w:right w:val="single" w:sz="4" w:space="0" w:color="auto"/>
            </w:tcBorders>
            <w:shd w:val="clear" w:color="auto" w:fill="D9D9D9"/>
            <w:hideMark/>
          </w:tcPr>
          <w:p w14:paraId="30BEC109" w14:textId="77777777" w:rsidR="002A4DDF" w:rsidRPr="00937C8B" w:rsidRDefault="002A4DDF" w:rsidP="009110ED">
            <w:pPr>
              <w:rPr>
                <w:rFonts w:ascii="Arial" w:hAnsi="Arial" w:cs="Arial"/>
                <w:sz w:val="12"/>
                <w:szCs w:val="12"/>
              </w:rPr>
            </w:pPr>
          </w:p>
        </w:tc>
      </w:tr>
      <w:tr w:rsidR="002A4DDF" w:rsidRPr="00937C8B" w14:paraId="59D82109" w14:textId="77777777" w:rsidTr="00935676">
        <w:trPr>
          <w:cantSplit/>
        </w:trPr>
        <w:tc>
          <w:tcPr>
            <w:tcW w:w="1696" w:type="dxa"/>
            <w:tcBorders>
              <w:left w:val="single" w:sz="4" w:space="0" w:color="auto"/>
            </w:tcBorders>
            <w:shd w:val="clear" w:color="auto" w:fill="auto"/>
          </w:tcPr>
          <w:p w14:paraId="214813CA" w14:textId="77777777" w:rsidR="002A4DDF" w:rsidRPr="00937C8B" w:rsidRDefault="002A4DDF" w:rsidP="009110ED">
            <w:pPr>
              <w:rPr>
                <w:rFonts w:ascii="Arial" w:hAnsi="Arial" w:cs="Arial"/>
                <w:sz w:val="12"/>
                <w:szCs w:val="12"/>
              </w:rPr>
            </w:pPr>
          </w:p>
        </w:tc>
        <w:tc>
          <w:tcPr>
            <w:tcW w:w="1843" w:type="dxa"/>
            <w:shd w:val="clear" w:color="auto" w:fill="auto"/>
          </w:tcPr>
          <w:p w14:paraId="652BF3DD" w14:textId="77777777" w:rsidR="002A4DDF" w:rsidRPr="00937C8B" w:rsidRDefault="002A4DDF" w:rsidP="009110ED">
            <w:pPr>
              <w:rPr>
                <w:rFonts w:ascii="Arial" w:hAnsi="Arial" w:cs="Arial"/>
                <w:sz w:val="12"/>
                <w:szCs w:val="12"/>
              </w:rPr>
            </w:pPr>
          </w:p>
        </w:tc>
        <w:tc>
          <w:tcPr>
            <w:tcW w:w="2268" w:type="dxa"/>
            <w:shd w:val="clear" w:color="auto" w:fill="F2F2F2"/>
            <w:hideMark/>
          </w:tcPr>
          <w:p w14:paraId="62374A10" w14:textId="77777777" w:rsidR="002A4DDF" w:rsidRPr="00937C8B" w:rsidRDefault="002A4DDF" w:rsidP="009110ED">
            <w:pPr>
              <w:rPr>
                <w:rFonts w:ascii="Arial" w:hAnsi="Arial" w:cs="Arial"/>
                <w:sz w:val="12"/>
                <w:szCs w:val="12"/>
              </w:rPr>
            </w:pPr>
            <w:r>
              <w:rPr>
                <w:rFonts w:ascii="Arial" w:hAnsi="Arial"/>
                <w:sz w:val="12"/>
                <w:szCs w:val="12"/>
              </w:rPr>
              <w:t>Seva</w:t>
            </w:r>
          </w:p>
        </w:tc>
        <w:tc>
          <w:tcPr>
            <w:tcW w:w="2268" w:type="dxa"/>
            <w:tcBorders>
              <w:right w:val="single" w:sz="4" w:space="0" w:color="auto"/>
            </w:tcBorders>
            <w:shd w:val="clear" w:color="auto" w:fill="D9D9D9"/>
            <w:hideMark/>
          </w:tcPr>
          <w:p w14:paraId="7E212D69" w14:textId="77777777" w:rsidR="002A4DDF" w:rsidRPr="00937C8B" w:rsidRDefault="002A4DDF" w:rsidP="009110ED">
            <w:pPr>
              <w:rPr>
                <w:rFonts w:ascii="Arial" w:hAnsi="Arial" w:cs="Arial"/>
                <w:sz w:val="12"/>
                <w:szCs w:val="12"/>
              </w:rPr>
            </w:pPr>
          </w:p>
        </w:tc>
      </w:tr>
      <w:tr w:rsidR="002A4DDF" w:rsidRPr="00937C8B" w14:paraId="7A84B12B" w14:textId="77777777" w:rsidTr="00935676">
        <w:trPr>
          <w:cantSplit/>
        </w:trPr>
        <w:tc>
          <w:tcPr>
            <w:tcW w:w="1696" w:type="dxa"/>
            <w:tcBorders>
              <w:left w:val="single" w:sz="4" w:space="0" w:color="auto"/>
            </w:tcBorders>
            <w:shd w:val="clear" w:color="auto" w:fill="auto"/>
          </w:tcPr>
          <w:p w14:paraId="537834E7" w14:textId="77777777" w:rsidR="002A4DDF" w:rsidRPr="00937C8B" w:rsidRDefault="002A4DDF" w:rsidP="009110ED">
            <w:pPr>
              <w:rPr>
                <w:rFonts w:ascii="Arial" w:hAnsi="Arial" w:cs="Arial"/>
                <w:sz w:val="12"/>
                <w:szCs w:val="12"/>
              </w:rPr>
            </w:pPr>
          </w:p>
        </w:tc>
        <w:tc>
          <w:tcPr>
            <w:tcW w:w="1843" w:type="dxa"/>
            <w:shd w:val="clear" w:color="auto" w:fill="auto"/>
          </w:tcPr>
          <w:p w14:paraId="45926B91" w14:textId="77777777" w:rsidR="002A4DDF" w:rsidRPr="00937C8B" w:rsidRDefault="002A4DDF" w:rsidP="009110ED">
            <w:pPr>
              <w:rPr>
                <w:rFonts w:ascii="Arial" w:hAnsi="Arial" w:cs="Arial"/>
                <w:sz w:val="12"/>
                <w:szCs w:val="12"/>
              </w:rPr>
            </w:pPr>
          </w:p>
        </w:tc>
        <w:tc>
          <w:tcPr>
            <w:tcW w:w="2268" w:type="dxa"/>
            <w:shd w:val="clear" w:color="auto" w:fill="F2F2F2"/>
            <w:hideMark/>
          </w:tcPr>
          <w:p w14:paraId="1D3577DD" w14:textId="77777777" w:rsidR="002A4DDF" w:rsidRPr="00937C8B" w:rsidRDefault="002A4DDF" w:rsidP="009110ED">
            <w:pPr>
              <w:rPr>
                <w:rFonts w:ascii="Arial" w:hAnsi="Arial" w:cs="Arial"/>
                <w:sz w:val="12"/>
                <w:szCs w:val="12"/>
              </w:rPr>
            </w:pPr>
            <w:r>
              <w:rPr>
                <w:rFonts w:ascii="Arial" w:hAnsi="Arial"/>
                <w:sz w:val="12"/>
                <w:szCs w:val="12"/>
              </w:rPr>
              <w:t>Súria</w:t>
            </w:r>
          </w:p>
        </w:tc>
        <w:tc>
          <w:tcPr>
            <w:tcW w:w="2268" w:type="dxa"/>
            <w:tcBorders>
              <w:right w:val="single" w:sz="4" w:space="0" w:color="auto"/>
            </w:tcBorders>
            <w:shd w:val="clear" w:color="auto" w:fill="D9D9D9"/>
            <w:hideMark/>
          </w:tcPr>
          <w:p w14:paraId="27441920" w14:textId="77777777" w:rsidR="002A4DDF" w:rsidRPr="00937C8B" w:rsidRDefault="002A4DDF" w:rsidP="009110ED">
            <w:pPr>
              <w:rPr>
                <w:rFonts w:ascii="Arial" w:hAnsi="Arial" w:cs="Arial"/>
                <w:sz w:val="12"/>
                <w:szCs w:val="12"/>
              </w:rPr>
            </w:pPr>
          </w:p>
        </w:tc>
      </w:tr>
      <w:tr w:rsidR="002A4DDF" w:rsidRPr="00937C8B" w14:paraId="2C1E312E" w14:textId="77777777" w:rsidTr="00935676">
        <w:trPr>
          <w:cantSplit/>
        </w:trPr>
        <w:tc>
          <w:tcPr>
            <w:tcW w:w="1696" w:type="dxa"/>
            <w:tcBorders>
              <w:left w:val="single" w:sz="4" w:space="0" w:color="auto"/>
            </w:tcBorders>
            <w:shd w:val="clear" w:color="auto" w:fill="auto"/>
          </w:tcPr>
          <w:p w14:paraId="4F8DC8F0" w14:textId="77777777" w:rsidR="002A4DDF" w:rsidRPr="00937C8B" w:rsidRDefault="002A4DDF" w:rsidP="009110ED">
            <w:pPr>
              <w:rPr>
                <w:rFonts w:ascii="Arial" w:hAnsi="Arial" w:cs="Arial"/>
                <w:sz w:val="12"/>
                <w:szCs w:val="12"/>
              </w:rPr>
            </w:pPr>
          </w:p>
        </w:tc>
        <w:tc>
          <w:tcPr>
            <w:tcW w:w="1843" w:type="dxa"/>
            <w:shd w:val="clear" w:color="auto" w:fill="auto"/>
          </w:tcPr>
          <w:p w14:paraId="0D628505" w14:textId="77777777" w:rsidR="002A4DDF" w:rsidRPr="00937C8B" w:rsidRDefault="002A4DDF" w:rsidP="009110ED">
            <w:pPr>
              <w:rPr>
                <w:rFonts w:ascii="Arial" w:hAnsi="Arial" w:cs="Arial"/>
                <w:sz w:val="12"/>
                <w:szCs w:val="12"/>
              </w:rPr>
            </w:pPr>
          </w:p>
        </w:tc>
        <w:tc>
          <w:tcPr>
            <w:tcW w:w="2268" w:type="dxa"/>
            <w:shd w:val="clear" w:color="auto" w:fill="F2F2F2"/>
            <w:hideMark/>
          </w:tcPr>
          <w:p w14:paraId="1795BE87" w14:textId="77777777" w:rsidR="002A4DDF" w:rsidRPr="00937C8B" w:rsidRDefault="002A4DDF" w:rsidP="009110ED">
            <w:pPr>
              <w:rPr>
                <w:rFonts w:ascii="Arial" w:hAnsi="Arial" w:cs="Arial"/>
                <w:sz w:val="12"/>
                <w:szCs w:val="12"/>
              </w:rPr>
            </w:pPr>
            <w:r>
              <w:rPr>
                <w:rFonts w:ascii="Arial" w:hAnsi="Arial"/>
                <w:sz w:val="12"/>
                <w:szCs w:val="12"/>
              </w:rPr>
              <w:t>Taradell</w:t>
            </w:r>
          </w:p>
        </w:tc>
        <w:tc>
          <w:tcPr>
            <w:tcW w:w="2268" w:type="dxa"/>
            <w:tcBorders>
              <w:right w:val="single" w:sz="4" w:space="0" w:color="auto"/>
            </w:tcBorders>
            <w:shd w:val="clear" w:color="auto" w:fill="D9D9D9"/>
            <w:hideMark/>
          </w:tcPr>
          <w:p w14:paraId="66BAECE0" w14:textId="77777777" w:rsidR="002A4DDF" w:rsidRPr="00937C8B" w:rsidRDefault="002A4DDF" w:rsidP="009110ED">
            <w:pPr>
              <w:rPr>
                <w:rFonts w:ascii="Arial" w:hAnsi="Arial" w:cs="Arial"/>
                <w:sz w:val="12"/>
                <w:szCs w:val="12"/>
              </w:rPr>
            </w:pPr>
          </w:p>
        </w:tc>
      </w:tr>
      <w:tr w:rsidR="002A4DDF" w:rsidRPr="00937C8B" w14:paraId="1595697B" w14:textId="77777777" w:rsidTr="00935676">
        <w:trPr>
          <w:cantSplit/>
        </w:trPr>
        <w:tc>
          <w:tcPr>
            <w:tcW w:w="1696" w:type="dxa"/>
            <w:tcBorders>
              <w:left w:val="single" w:sz="4" w:space="0" w:color="auto"/>
            </w:tcBorders>
            <w:shd w:val="clear" w:color="auto" w:fill="auto"/>
          </w:tcPr>
          <w:p w14:paraId="1D518974" w14:textId="77777777" w:rsidR="002A4DDF" w:rsidRPr="00937C8B" w:rsidRDefault="002A4DDF" w:rsidP="009110ED">
            <w:pPr>
              <w:rPr>
                <w:rFonts w:ascii="Arial" w:hAnsi="Arial" w:cs="Arial"/>
                <w:sz w:val="12"/>
                <w:szCs w:val="12"/>
              </w:rPr>
            </w:pPr>
          </w:p>
        </w:tc>
        <w:tc>
          <w:tcPr>
            <w:tcW w:w="1843" w:type="dxa"/>
            <w:shd w:val="clear" w:color="auto" w:fill="auto"/>
          </w:tcPr>
          <w:p w14:paraId="5C12F584" w14:textId="77777777" w:rsidR="002A4DDF" w:rsidRPr="00937C8B" w:rsidRDefault="002A4DDF" w:rsidP="009110ED">
            <w:pPr>
              <w:rPr>
                <w:rFonts w:ascii="Arial" w:hAnsi="Arial" w:cs="Arial"/>
                <w:sz w:val="12"/>
                <w:szCs w:val="12"/>
              </w:rPr>
            </w:pPr>
          </w:p>
        </w:tc>
        <w:tc>
          <w:tcPr>
            <w:tcW w:w="2268" w:type="dxa"/>
            <w:shd w:val="clear" w:color="auto" w:fill="F2F2F2"/>
            <w:hideMark/>
          </w:tcPr>
          <w:p w14:paraId="5E61A2A4" w14:textId="77777777" w:rsidR="002A4DDF" w:rsidRPr="00937C8B" w:rsidRDefault="002A4DDF" w:rsidP="009110ED">
            <w:pPr>
              <w:rPr>
                <w:rFonts w:ascii="Arial" w:hAnsi="Arial" w:cs="Arial"/>
                <w:sz w:val="12"/>
                <w:szCs w:val="12"/>
              </w:rPr>
            </w:pPr>
            <w:r>
              <w:rPr>
                <w:rFonts w:ascii="Arial" w:hAnsi="Arial"/>
                <w:sz w:val="12"/>
                <w:szCs w:val="12"/>
              </w:rPr>
              <w:t>Tavèrnoles</w:t>
            </w:r>
          </w:p>
        </w:tc>
        <w:tc>
          <w:tcPr>
            <w:tcW w:w="2268" w:type="dxa"/>
            <w:tcBorders>
              <w:right w:val="single" w:sz="4" w:space="0" w:color="auto"/>
            </w:tcBorders>
            <w:shd w:val="clear" w:color="auto" w:fill="D9D9D9"/>
            <w:hideMark/>
          </w:tcPr>
          <w:p w14:paraId="62A957AD" w14:textId="77777777" w:rsidR="002A4DDF" w:rsidRPr="00937C8B" w:rsidRDefault="002A4DDF" w:rsidP="009110ED">
            <w:pPr>
              <w:rPr>
                <w:rFonts w:ascii="Arial" w:hAnsi="Arial" w:cs="Arial"/>
                <w:sz w:val="12"/>
                <w:szCs w:val="12"/>
              </w:rPr>
            </w:pPr>
          </w:p>
        </w:tc>
      </w:tr>
      <w:tr w:rsidR="002A4DDF" w:rsidRPr="00937C8B" w14:paraId="0B8FD337" w14:textId="77777777" w:rsidTr="00935676">
        <w:trPr>
          <w:cantSplit/>
        </w:trPr>
        <w:tc>
          <w:tcPr>
            <w:tcW w:w="1696" w:type="dxa"/>
            <w:tcBorders>
              <w:left w:val="single" w:sz="4" w:space="0" w:color="auto"/>
            </w:tcBorders>
            <w:shd w:val="clear" w:color="auto" w:fill="auto"/>
          </w:tcPr>
          <w:p w14:paraId="1FFC6129" w14:textId="77777777" w:rsidR="002A4DDF" w:rsidRPr="00937C8B" w:rsidRDefault="002A4DDF" w:rsidP="009110ED">
            <w:pPr>
              <w:rPr>
                <w:rFonts w:ascii="Arial" w:hAnsi="Arial" w:cs="Arial"/>
                <w:sz w:val="12"/>
                <w:szCs w:val="12"/>
              </w:rPr>
            </w:pPr>
          </w:p>
        </w:tc>
        <w:tc>
          <w:tcPr>
            <w:tcW w:w="1843" w:type="dxa"/>
            <w:shd w:val="clear" w:color="auto" w:fill="auto"/>
          </w:tcPr>
          <w:p w14:paraId="302834B1" w14:textId="77777777" w:rsidR="002A4DDF" w:rsidRPr="00937C8B" w:rsidRDefault="002A4DDF" w:rsidP="009110ED">
            <w:pPr>
              <w:rPr>
                <w:rFonts w:ascii="Arial" w:hAnsi="Arial" w:cs="Arial"/>
                <w:sz w:val="12"/>
                <w:szCs w:val="12"/>
              </w:rPr>
            </w:pPr>
          </w:p>
        </w:tc>
        <w:tc>
          <w:tcPr>
            <w:tcW w:w="2268" w:type="dxa"/>
            <w:shd w:val="clear" w:color="auto" w:fill="F2F2F2"/>
            <w:hideMark/>
          </w:tcPr>
          <w:p w14:paraId="117A3921" w14:textId="77777777" w:rsidR="002A4DDF" w:rsidRPr="00937C8B" w:rsidRDefault="002A4DDF" w:rsidP="009110ED">
            <w:pPr>
              <w:rPr>
                <w:rFonts w:ascii="Arial" w:hAnsi="Arial" w:cs="Arial"/>
                <w:sz w:val="12"/>
                <w:szCs w:val="12"/>
              </w:rPr>
            </w:pPr>
            <w:r>
              <w:rPr>
                <w:rFonts w:ascii="Arial" w:hAnsi="Arial"/>
                <w:sz w:val="12"/>
                <w:szCs w:val="12"/>
              </w:rPr>
              <w:t>Terrassa</w:t>
            </w:r>
          </w:p>
        </w:tc>
        <w:tc>
          <w:tcPr>
            <w:tcW w:w="2268" w:type="dxa"/>
            <w:tcBorders>
              <w:right w:val="single" w:sz="4" w:space="0" w:color="auto"/>
            </w:tcBorders>
            <w:shd w:val="clear" w:color="auto" w:fill="D9D9D9"/>
            <w:hideMark/>
          </w:tcPr>
          <w:p w14:paraId="18EE5DC3" w14:textId="77777777" w:rsidR="002A4DDF" w:rsidRPr="00937C8B" w:rsidRDefault="002A4DDF" w:rsidP="009110ED">
            <w:pPr>
              <w:rPr>
                <w:rFonts w:ascii="Arial" w:hAnsi="Arial" w:cs="Arial"/>
                <w:sz w:val="12"/>
                <w:szCs w:val="12"/>
              </w:rPr>
            </w:pPr>
          </w:p>
        </w:tc>
      </w:tr>
      <w:tr w:rsidR="002A4DDF" w:rsidRPr="00937C8B" w14:paraId="3FFE94AA" w14:textId="77777777" w:rsidTr="00935676">
        <w:trPr>
          <w:cantSplit/>
        </w:trPr>
        <w:tc>
          <w:tcPr>
            <w:tcW w:w="1696" w:type="dxa"/>
            <w:tcBorders>
              <w:left w:val="single" w:sz="4" w:space="0" w:color="auto"/>
            </w:tcBorders>
            <w:shd w:val="clear" w:color="auto" w:fill="auto"/>
          </w:tcPr>
          <w:p w14:paraId="27A6A280" w14:textId="77777777" w:rsidR="002A4DDF" w:rsidRPr="00937C8B" w:rsidRDefault="002A4DDF" w:rsidP="009110ED">
            <w:pPr>
              <w:rPr>
                <w:rFonts w:ascii="Arial" w:hAnsi="Arial" w:cs="Arial"/>
                <w:sz w:val="12"/>
                <w:szCs w:val="12"/>
              </w:rPr>
            </w:pPr>
          </w:p>
        </w:tc>
        <w:tc>
          <w:tcPr>
            <w:tcW w:w="1843" w:type="dxa"/>
            <w:shd w:val="clear" w:color="auto" w:fill="auto"/>
          </w:tcPr>
          <w:p w14:paraId="3EB4C0D9" w14:textId="77777777" w:rsidR="002A4DDF" w:rsidRPr="00937C8B" w:rsidRDefault="002A4DDF" w:rsidP="009110ED">
            <w:pPr>
              <w:rPr>
                <w:rFonts w:ascii="Arial" w:hAnsi="Arial" w:cs="Arial"/>
                <w:sz w:val="12"/>
                <w:szCs w:val="12"/>
              </w:rPr>
            </w:pPr>
          </w:p>
        </w:tc>
        <w:tc>
          <w:tcPr>
            <w:tcW w:w="2268" w:type="dxa"/>
            <w:shd w:val="clear" w:color="auto" w:fill="F2F2F2"/>
            <w:hideMark/>
          </w:tcPr>
          <w:p w14:paraId="37570F16" w14:textId="77777777" w:rsidR="002A4DDF" w:rsidRPr="00937C8B" w:rsidRDefault="002A4DDF" w:rsidP="009110ED">
            <w:pPr>
              <w:rPr>
                <w:rFonts w:ascii="Arial" w:hAnsi="Arial" w:cs="Arial"/>
                <w:sz w:val="12"/>
                <w:szCs w:val="12"/>
              </w:rPr>
            </w:pPr>
            <w:r>
              <w:rPr>
                <w:rFonts w:ascii="Arial" w:hAnsi="Arial"/>
                <w:sz w:val="12"/>
                <w:szCs w:val="12"/>
              </w:rPr>
              <w:t>Tona</w:t>
            </w:r>
          </w:p>
        </w:tc>
        <w:tc>
          <w:tcPr>
            <w:tcW w:w="2268" w:type="dxa"/>
            <w:tcBorders>
              <w:right w:val="single" w:sz="4" w:space="0" w:color="auto"/>
            </w:tcBorders>
            <w:shd w:val="clear" w:color="auto" w:fill="D9D9D9"/>
            <w:hideMark/>
          </w:tcPr>
          <w:p w14:paraId="21EA990F" w14:textId="77777777" w:rsidR="002A4DDF" w:rsidRPr="00937C8B" w:rsidRDefault="002A4DDF" w:rsidP="009110ED">
            <w:pPr>
              <w:rPr>
                <w:rFonts w:ascii="Arial" w:hAnsi="Arial" w:cs="Arial"/>
                <w:sz w:val="12"/>
                <w:szCs w:val="12"/>
              </w:rPr>
            </w:pPr>
          </w:p>
        </w:tc>
      </w:tr>
      <w:tr w:rsidR="002A4DDF" w:rsidRPr="00937C8B" w14:paraId="2BD04583" w14:textId="77777777" w:rsidTr="00935676">
        <w:trPr>
          <w:cantSplit/>
        </w:trPr>
        <w:tc>
          <w:tcPr>
            <w:tcW w:w="1696" w:type="dxa"/>
            <w:tcBorders>
              <w:left w:val="single" w:sz="4" w:space="0" w:color="auto"/>
            </w:tcBorders>
            <w:shd w:val="clear" w:color="auto" w:fill="auto"/>
          </w:tcPr>
          <w:p w14:paraId="249A0AC9" w14:textId="77777777" w:rsidR="002A4DDF" w:rsidRPr="00937C8B" w:rsidRDefault="002A4DDF" w:rsidP="009110ED">
            <w:pPr>
              <w:rPr>
                <w:rFonts w:ascii="Arial" w:hAnsi="Arial" w:cs="Arial"/>
                <w:sz w:val="12"/>
                <w:szCs w:val="12"/>
              </w:rPr>
            </w:pPr>
          </w:p>
        </w:tc>
        <w:tc>
          <w:tcPr>
            <w:tcW w:w="1843" w:type="dxa"/>
            <w:shd w:val="clear" w:color="auto" w:fill="auto"/>
          </w:tcPr>
          <w:p w14:paraId="449C905E" w14:textId="77777777" w:rsidR="002A4DDF" w:rsidRPr="00937C8B" w:rsidRDefault="002A4DDF" w:rsidP="009110ED">
            <w:pPr>
              <w:rPr>
                <w:rFonts w:ascii="Arial" w:hAnsi="Arial" w:cs="Arial"/>
                <w:sz w:val="12"/>
                <w:szCs w:val="12"/>
              </w:rPr>
            </w:pPr>
          </w:p>
        </w:tc>
        <w:tc>
          <w:tcPr>
            <w:tcW w:w="2268" w:type="dxa"/>
            <w:shd w:val="clear" w:color="auto" w:fill="F2F2F2"/>
            <w:hideMark/>
          </w:tcPr>
          <w:p w14:paraId="455B4DB3" w14:textId="77777777" w:rsidR="002A4DDF" w:rsidRPr="00937C8B" w:rsidRDefault="002A4DDF" w:rsidP="009110ED">
            <w:pPr>
              <w:rPr>
                <w:rFonts w:ascii="Arial" w:hAnsi="Arial" w:cs="Arial"/>
                <w:sz w:val="12"/>
                <w:szCs w:val="12"/>
              </w:rPr>
            </w:pPr>
            <w:r>
              <w:rPr>
                <w:rFonts w:ascii="Arial" w:hAnsi="Arial"/>
                <w:sz w:val="12"/>
                <w:szCs w:val="12"/>
              </w:rPr>
              <w:t>Torelló</w:t>
            </w:r>
          </w:p>
        </w:tc>
        <w:tc>
          <w:tcPr>
            <w:tcW w:w="2268" w:type="dxa"/>
            <w:tcBorders>
              <w:right w:val="single" w:sz="4" w:space="0" w:color="auto"/>
            </w:tcBorders>
            <w:shd w:val="clear" w:color="auto" w:fill="D9D9D9"/>
            <w:hideMark/>
          </w:tcPr>
          <w:p w14:paraId="5AC0A6EA" w14:textId="77777777" w:rsidR="002A4DDF" w:rsidRPr="00937C8B" w:rsidRDefault="002A4DDF" w:rsidP="009110ED">
            <w:pPr>
              <w:rPr>
                <w:rFonts w:ascii="Arial" w:hAnsi="Arial" w:cs="Arial"/>
                <w:sz w:val="12"/>
                <w:szCs w:val="12"/>
              </w:rPr>
            </w:pPr>
          </w:p>
        </w:tc>
      </w:tr>
      <w:tr w:rsidR="002A4DDF" w:rsidRPr="00937C8B" w14:paraId="3B6CF0DF" w14:textId="77777777" w:rsidTr="00935676">
        <w:trPr>
          <w:cantSplit/>
        </w:trPr>
        <w:tc>
          <w:tcPr>
            <w:tcW w:w="1696" w:type="dxa"/>
            <w:tcBorders>
              <w:left w:val="single" w:sz="4" w:space="0" w:color="auto"/>
            </w:tcBorders>
            <w:shd w:val="clear" w:color="auto" w:fill="auto"/>
          </w:tcPr>
          <w:p w14:paraId="700778A5" w14:textId="77777777" w:rsidR="002A4DDF" w:rsidRPr="00937C8B" w:rsidRDefault="002A4DDF" w:rsidP="009110ED">
            <w:pPr>
              <w:rPr>
                <w:rFonts w:ascii="Arial" w:hAnsi="Arial" w:cs="Arial"/>
                <w:sz w:val="12"/>
                <w:szCs w:val="12"/>
              </w:rPr>
            </w:pPr>
          </w:p>
        </w:tc>
        <w:tc>
          <w:tcPr>
            <w:tcW w:w="1843" w:type="dxa"/>
            <w:shd w:val="clear" w:color="auto" w:fill="auto"/>
          </w:tcPr>
          <w:p w14:paraId="69AC4BC6" w14:textId="77777777" w:rsidR="002A4DDF" w:rsidRPr="00937C8B" w:rsidRDefault="002A4DDF" w:rsidP="009110ED">
            <w:pPr>
              <w:rPr>
                <w:rFonts w:ascii="Arial" w:hAnsi="Arial" w:cs="Arial"/>
                <w:sz w:val="12"/>
                <w:szCs w:val="12"/>
              </w:rPr>
            </w:pPr>
          </w:p>
        </w:tc>
        <w:tc>
          <w:tcPr>
            <w:tcW w:w="2268" w:type="dxa"/>
            <w:shd w:val="clear" w:color="auto" w:fill="F2F2F2"/>
            <w:hideMark/>
          </w:tcPr>
          <w:p w14:paraId="11E3D242" w14:textId="77777777" w:rsidR="002A4DDF" w:rsidRPr="00937C8B" w:rsidRDefault="002A4DDF" w:rsidP="009110ED">
            <w:pPr>
              <w:rPr>
                <w:rFonts w:ascii="Arial" w:hAnsi="Arial" w:cs="Arial"/>
                <w:sz w:val="12"/>
                <w:szCs w:val="12"/>
              </w:rPr>
            </w:pPr>
            <w:r>
              <w:rPr>
                <w:rFonts w:ascii="Arial" w:hAnsi="Arial"/>
                <w:sz w:val="12"/>
                <w:szCs w:val="12"/>
              </w:rPr>
              <w:t>Vic</w:t>
            </w:r>
          </w:p>
        </w:tc>
        <w:tc>
          <w:tcPr>
            <w:tcW w:w="2268" w:type="dxa"/>
            <w:tcBorders>
              <w:right w:val="single" w:sz="4" w:space="0" w:color="auto"/>
            </w:tcBorders>
            <w:shd w:val="clear" w:color="auto" w:fill="D9D9D9"/>
            <w:hideMark/>
          </w:tcPr>
          <w:p w14:paraId="6C05F3F5" w14:textId="77777777" w:rsidR="002A4DDF" w:rsidRPr="00937C8B" w:rsidRDefault="002A4DDF" w:rsidP="009110ED">
            <w:pPr>
              <w:rPr>
                <w:rFonts w:ascii="Arial" w:hAnsi="Arial" w:cs="Arial"/>
                <w:sz w:val="12"/>
                <w:szCs w:val="12"/>
              </w:rPr>
            </w:pPr>
          </w:p>
        </w:tc>
      </w:tr>
      <w:tr w:rsidR="002A4DDF" w:rsidRPr="00937C8B" w14:paraId="588169F7" w14:textId="77777777" w:rsidTr="00935676">
        <w:trPr>
          <w:cantSplit/>
        </w:trPr>
        <w:tc>
          <w:tcPr>
            <w:tcW w:w="1696" w:type="dxa"/>
            <w:tcBorders>
              <w:left w:val="single" w:sz="4" w:space="0" w:color="auto"/>
            </w:tcBorders>
            <w:shd w:val="clear" w:color="auto" w:fill="auto"/>
          </w:tcPr>
          <w:p w14:paraId="5D616005" w14:textId="77777777" w:rsidR="002A4DDF" w:rsidRPr="00937C8B" w:rsidRDefault="002A4DDF" w:rsidP="009110ED">
            <w:pPr>
              <w:rPr>
                <w:rFonts w:ascii="Arial" w:hAnsi="Arial" w:cs="Arial"/>
                <w:sz w:val="12"/>
                <w:szCs w:val="12"/>
              </w:rPr>
            </w:pPr>
          </w:p>
        </w:tc>
        <w:tc>
          <w:tcPr>
            <w:tcW w:w="1843" w:type="dxa"/>
            <w:shd w:val="clear" w:color="auto" w:fill="auto"/>
          </w:tcPr>
          <w:p w14:paraId="7BAD84D1" w14:textId="77777777" w:rsidR="002A4DDF" w:rsidRPr="00937C8B" w:rsidRDefault="002A4DDF" w:rsidP="009110ED">
            <w:pPr>
              <w:rPr>
                <w:rFonts w:ascii="Arial" w:hAnsi="Arial" w:cs="Arial"/>
                <w:sz w:val="12"/>
                <w:szCs w:val="12"/>
              </w:rPr>
            </w:pPr>
          </w:p>
        </w:tc>
        <w:tc>
          <w:tcPr>
            <w:tcW w:w="2268" w:type="dxa"/>
            <w:shd w:val="clear" w:color="auto" w:fill="F2F2F2"/>
            <w:hideMark/>
          </w:tcPr>
          <w:p w14:paraId="4ACD406F" w14:textId="77777777" w:rsidR="002A4DDF" w:rsidRPr="00937C8B" w:rsidRDefault="002A4DDF" w:rsidP="009110ED">
            <w:pPr>
              <w:rPr>
                <w:rFonts w:ascii="Arial" w:hAnsi="Arial" w:cs="Arial"/>
                <w:sz w:val="12"/>
                <w:szCs w:val="12"/>
              </w:rPr>
            </w:pPr>
            <w:r>
              <w:rPr>
                <w:rFonts w:ascii="Arial" w:hAnsi="Arial"/>
                <w:sz w:val="12"/>
                <w:szCs w:val="12"/>
              </w:rPr>
              <w:t>Viladecans</w:t>
            </w:r>
          </w:p>
        </w:tc>
        <w:tc>
          <w:tcPr>
            <w:tcW w:w="2268" w:type="dxa"/>
            <w:tcBorders>
              <w:right w:val="single" w:sz="4" w:space="0" w:color="auto"/>
            </w:tcBorders>
            <w:shd w:val="clear" w:color="auto" w:fill="D9D9D9"/>
            <w:hideMark/>
          </w:tcPr>
          <w:p w14:paraId="3F2DBB90" w14:textId="77777777" w:rsidR="002A4DDF" w:rsidRPr="00937C8B" w:rsidRDefault="002A4DDF" w:rsidP="009110ED">
            <w:pPr>
              <w:rPr>
                <w:rFonts w:ascii="Arial" w:hAnsi="Arial" w:cs="Arial"/>
                <w:sz w:val="12"/>
                <w:szCs w:val="12"/>
              </w:rPr>
            </w:pPr>
          </w:p>
        </w:tc>
      </w:tr>
      <w:tr w:rsidR="002A4DDF" w:rsidRPr="00937C8B" w14:paraId="61588742" w14:textId="77777777" w:rsidTr="00935676">
        <w:trPr>
          <w:cantSplit/>
        </w:trPr>
        <w:tc>
          <w:tcPr>
            <w:tcW w:w="1696" w:type="dxa"/>
            <w:tcBorders>
              <w:left w:val="single" w:sz="4" w:space="0" w:color="auto"/>
            </w:tcBorders>
            <w:shd w:val="clear" w:color="auto" w:fill="auto"/>
          </w:tcPr>
          <w:p w14:paraId="77CAFCB9" w14:textId="77777777" w:rsidR="002A4DDF" w:rsidRPr="00937C8B" w:rsidRDefault="002A4DDF" w:rsidP="009110ED">
            <w:pPr>
              <w:rPr>
                <w:rFonts w:ascii="Arial" w:hAnsi="Arial" w:cs="Arial"/>
                <w:sz w:val="12"/>
                <w:szCs w:val="12"/>
              </w:rPr>
            </w:pPr>
          </w:p>
        </w:tc>
        <w:tc>
          <w:tcPr>
            <w:tcW w:w="1843" w:type="dxa"/>
            <w:shd w:val="clear" w:color="auto" w:fill="auto"/>
          </w:tcPr>
          <w:p w14:paraId="414E36CC" w14:textId="77777777" w:rsidR="002A4DDF" w:rsidRPr="00937C8B" w:rsidRDefault="002A4DDF" w:rsidP="009110ED">
            <w:pPr>
              <w:rPr>
                <w:rFonts w:ascii="Arial" w:hAnsi="Arial" w:cs="Arial"/>
                <w:sz w:val="12"/>
                <w:szCs w:val="12"/>
              </w:rPr>
            </w:pPr>
          </w:p>
        </w:tc>
        <w:tc>
          <w:tcPr>
            <w:tcW w:w="2268" w:type="dxa"/>
            <w:shd w:val="clear" w:color="auto" w:fill="F2F2F2"/>
            <w:hideMark/>
          </w:tcPr>
          <w:p w14:paraId="70991808" w14:textId="77777777" w:rsidR="002A4DDF" w:rsidRPr="00937C8B" w:rsidRDefault="002A4DDF" w:rsidP="009110ED">
            <w:pPr>
              <w:rPr>
                <w:rFonts w:ascii="Arial" w:hAnsi="Arial" w:cs="Arial"/>
                <w:sz w:val="12"/>
                <w:szCs w:val="12"/>
              </w:rPr>
            </w:pPr>
            <w:r>
              <w:rPr>
                <w:rFonts w:ascii="Arial" w:hAnsi="Arial"/>
                <w:sz w:val="12"/>
                <w:szCs w:val="12"/>
              </w:rPr>
              <w:t>Viladecavalls</w:t>
            </w:r>
          </w:p>
        </w:tc>
        <w:tc>
          <w:tcPr>
            <w:tcW w:w="2268" w:type="dxa"/>
            <w:tcBorders>
              <w:right w:val="single" w:sz="4" w:space="0" w:color="auto"/>
            </w:tcBorders>
            <w:shd w:val="clear" w:color="auto" w:fill="D9D9D9"/>
            <w:hideMark/>
          </w:tcPr>
          <w:p w14:paraId="3C3BE8A3" w14:textId="77777777" w:rsidR="002A4DDF" w:rsidRPr="00937C8B" w:rsidRDefault="002A4DDF" w:rsidP="009110ED">
            <w:pPr>
              <w:rPr>
                <w:rFonts w:ascii="Arial" w:hAnsi="Arial" w:cs="Arial"/>
                <w:sz w:val="12"/>
                <w:szCs w:val="12"/>
              </w:rPr>
            </w:pPr>
          </w:p>
        </w:tc>
      </w:tr>
      <w:tr w:rsidR="002A4DDF" w:rsidRPr="00937C8B" w14:paraId="655F7EB2" w14:textId="77777777" w:rsidTr="00935676">
        <w:trPr>
          <w:cantSplit/>
        </w:trPr>
        <w:tc>
          <w:tcPr>
            <w:tcW w:w="1696" w:type="dxa"/>
            <w:tcBorders>
              <w:left w:val="single" w:sz="4" w:space="0" w:color="auto"/>
              <w:bottom w:val="single" w:sz="4" w:space="0" w:color="auto"/>
            </w:tcBorders>
            <w:shd w:val="clear" w:color="auto" w:fill="auto"/>
            <w:hideMark/>
          </w:tcPr>
          <w:p w14:paraId="1C49EB36" w14:textId="77777777" w:rsidR="002A4DDF" w:rsidRPr="00937C8B" w:rsidRDefault="002A4DDF" w:rsidP="009110ED">
            <w:pPr>
              <w:rPr>
                <w:rFonts w:ascii="Arial" w:hAnsi="Arial" w:cs="Arial"/>
                <w:sz w:val="12"/>
                <w:szCs w:val="12"/>
              </w:rPr>
            </w:pPr>
            <w:r>
              <w:rPr>
                <w:rFonts w:ascii="Arial" w:hAnsi="Arial"/>
                <w:sz w:val="12"/>
                <w:szCs w:val="12"/>
              </w:rPr>
              <w:t>Catalogne</w:t>
            </w:r>
          </w:p>
        </w:tc>
        <w:tc>
          <w:tcPr>
            <w:tcW w:w="1843" w:type="dxa"/>
            <w:tcBorders>
              <w:bottom w:val="single" w:sz="4" w:space="0" w:color="auto"/>
            </w:tcBorders>
            <w:shd w:val="clear" w:color="auto" w:fill="auto"/>
            <w:hideMark/>
          </w:tcPr>
          <w:p w14:paraId="5AD1303C" w14:textId="77777777" w:rsidR="002A4DDF" w:rsidRPr="00937C8B" w:rsidRDefault="002A4DDF" w:rsidP="009110ED">
            <w:pPr>
              <w:rPr>
                <w:rFonts w:ascii="Arial" w:hAnsi="Arial" w:cs="Arial"/>
                <w:sz w:val="12"/>
                <w:szCs w:val="12"/>
              </w:rPr>
            </w:pPr>
            <w:r>
              <w:rPr>
                <w:rFonts w:ascii="Arial" w:hAnsi="Arial"/>
                <w:sz w:val="12"/>
                <w:szCs w:val="12"/>
              </w:rPr>
              <w:t>Barcelone</w:t>
            </w:r>
          </w:p>
        </w:tc>
        <w:tc>
          <w:tcPr>
            <w:tcW w:w="2268" w:type="dxa"/>
            <w:tcBorders>
              <w:bottom w:val="single" w:sz="4" w:space="0" w:color="auto"/>
            </w:tcBorders>
            <w:shd w:val="clear" w:color="auto" w:fill="F2F2F2"/>
            <w:hideMark/>
          </w:tcPr>
          <w:p w14:paraId="263461CA" w14:textId="77777777" w:rsidR="002A4DDF" w:rsidRPr="00937C8B" w:rsidRDefault="002A4DDF" w:rsidP="009110ED">
            <w:pPr>
              <w:rPr>
                <w:rFonts w:ascii="Arial" w:hAnsi="Arial" w:cs="Arial"/>
                <w:sz w:val="12"/>
                <w:szCs w:val="12"/>
              </w:rPr>
            </w:pPr>
            <w:r>
              <w:rPr>
                <w:rFonts w:ascii="Arial" w:hAnsi="Arial"/>
                <w:sz w:val="12"/>
                <w:szCs w:val="12"/>
              </w:rPr>
              <w:t>Vilassar de Mar</w:t>
            </w:r>
          </w:p>
        </w:tc>
        <w:tc>
          <w:tcPr>
            <w:tcW w:w="2268" w:type="dxa"/>
            <w:tcBorders>
              <w:bottom w:val="single" w:sz="4" w:space="0" w:color="auto"/>
              <w:right w:val="single" w:sz="4" w:space="0" w:color="auto"/>
            </w:tcBorders>
            <w:shd w:val="clear" w:color="auto" w:fill="D9D9D9"/>
            <w:hideMark/>
          </w:tcPr>
          <w:p w14:paraId="42983CC1" w14:textId="77777777" w:rsidR="002A4DDF" w:rsidRPr="00937C8B" w:rsidRDefault="002A4DDF" w:rsidP="009110ED">
            <w:pPr>
              <w:rPr>
                <w:rFonts w:ascii="Arial" w:hAnsi="Arial" w:cs="Arial"/>
                <w:sz w:val="12"/>
                <w:szCs w:val="12"/>
              </w:rPr>
            </w:pPr>
          </w:p>
        </w:tc>
      </w:tr>
      <w:tr w:rsidR="002A4DDF" w:rsidRPr="00937C8B" w14:paraId="5F36F8CF" w14:textId="77777777" w:rsidTr="00935676">
        <w:trPr>
          <w:cantSplit/>
        </w:trPr>
        <w:tc>
          <w:tcPr>
            <w:tcW w:w="1696" w:type="dxa"/>
            <w:tcBorders>
              <w:top w:val="single" w:sz="4" w:space="0" w:color="auto"/>
              <w:bottom w:val="single" w:sz="4" w:space="0" w:color="auto"/>
            </w:tcBorders>
            <w:shd w:val="clear" w:color="auto" w:fill="auto"/>
            <w:hideMark/>
          </w:tcPr>
          <w:p w14:paraId="1B8C508D"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70FAFB8D"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67913141"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481B6D25" w14:textId="77777777" w:rsidR="002A4DDF" w:rsidRPr="00937C8B" w:rsidRDefault="002A4DDF" w:rsidP="009110ED">
            <w:pPr>
              <w:rPr>
                <w:rFonts w:ascii="Arial" w:hAnsi="Arial" w:cs="Arial"/>
                <w:sz w:val="12"/>
                <w:szCs w:val="12"/>
              </w:rPr>
            </w:pPr>
          </w:p>
        </w:tc>
      </w:tr>
      <w:tr w:rsidR="002A4DDF" w:rsidRPr="00937C8B" w14:paraId="5DC9297D" w14:textId="77777777" w:rsidTr="00935676">
        <w:trPr>
          <w:cantSplit/>
        </w:trPr>
        <w:tc>
          <w:tcPr>
            <w:tcW w:w="1696" w:type="dxa"/>
            <w:tcBorders>
              <w:top w:val="single" w:sz="4" w:space="0" w:color="auto"/>
              <w:left w:val="single" w:sz="4" w:space="0" w:color="auto"/>
            </w:tcBorders>
            <w:shd w:val="clear" w:color="auto" w:fill="auto"/>
            <w:hideMark/>
          </w:tcPr>
          <w:p w14:paraId="5AF40B44" w14:textId="77777777" w:rsidR="002A4DDF" w:rsidRPr="00937C8B" w:rsidRDefault="002A4DDF" w:rsidP="009110ED">
            <w:pPr>
              <w:rPr>
                <w:rFonts w:ascii="Arial" w:hAnsi="Arial" w:cs="Arial"/>
                <w:sz w:val="12"/>
                <w:szCs w:val="12"/>
              </w:rPr>
            </w:pPr>
            <w:r>
              <w:rPr>
                <w:rFonts w:ascii="Arial" w:hAnsi="Arial"/>
                <w:sz w:val="12"/>
                <w:szCs w:val="12"/>
              </w:rPr>
              <w:t>Catalogne</w:t>
            </w:r>
          </w:p>
        </w:tc>
        <w:tc>
          <w:tcPr>
            <w:tcW w:w="1843" w:type="dxa"/>
            <w:tcBorders>
              <w:top w:val="single" w:sz="4" w:space="0" w:color="auto"/>
            </w:tcBorders>
            <w:shd w:val="clear" w:color="auto" w:fill="auto"/>
            <w:hideMark/>
          </w:tcPr>
          <w:p w14:paraId="5F612963" w14:textId="77777777" w:rsidR="002A4DDF" w:rsidRPr="00937C8B" w:rsidRDefault="002A4DDF" w:rsidP="009110ED">
            <w:pPr>
              <w:rPr>
                <w:rFonts w:ascii="Arial" w:hAnsi="Arial" w:cs="Arial"/>
                <w:sz w:val="12"/>
                <w:szCs w:val="12"/>
              </w:rPr>
            </w:pPr>
            <w:r>
              <w:rPr>
                <w:rFonts w:ascii="Arial" w:hAnsi="Arial"/>
                <w:sz w:val="12"/>
                <w:szCs w:val="12"/>
              </w:rPr>
              <w:t>Gérone</w:t>
            </w:r>
          </w:p>
        </w:tc>
        <w:tc>
          <w:tcPr>
            <w:tcW w:w="2268" w:type="dxa"/>
            <w:tcBorders>
              <w:top w:val="single" w:sz="4" w:space="0" w:color="auto"/>
            </w:tcBorders>
            <w:shd w:val="clear" w:color="auto" w:fill="F2F2F2"/>
            <w:hideMark/>
          </w:tcPr>
          <w:p w14:paraId="2D7D9435" w14:textId="77777777" w:rsidR="002A4DDF" w:rsidRPr="00937C8B" w:rsidRDefault="002A4DDF" w:rsidP="009110ED">
            <w:pPr>
              <w:rPr>
                <w:rFonts w:ascii="Arial" w:hAnsi="Arial" w:cs="Arial"/>
                <w:sz w:val="12"/>
                <w:szCs w:val="12"/>
              </w:rPr>
            </w:pPr>
            <w:r>
              <w:rPr>
                <w:rFonts w:ascii="Arial" w:hAnsi="Arial"/>
                <w:sz w:val="12"/>
                <w:szCs w:val="12"/>
              </w:rPr>
              <w:t>Agullana</w:t>
            </w:r>
          </w:p>
        </w:tc>
        <w:tc>
          <w:tcPr>
            <w:tcW w:w="2268" w:type="dxa"/>
            <w:tcBorders>
              <w:top w:val="single" w:sz="4" w:space="0" w:color="auto"/>
              <w:right w:val="single" w:sz="4" w:space="0" w:color="auto"/>
            </w:tcBorders>
            <w:shd w:val="clear" w:color="auto" w:fill="D9D9D9"/>
            <w:hideMark/>
          </w:tcPr>
          <w:p w14:paraId="45AB758B" w14:textId="77777777" w:rsidR="002A4DDF" w:rsidRPr="00937C8B" w:rsidRDefault="002A4DDF" w:rsidP="009110ED">
            <w:pPr>
              <w:rPr>
                <w:rFonts w:ascii="Arial" w:hAnsi="Arial" w:cs="Arial"/>
                <w:sz w:val="12"/>
                <w:szCs w:val="12"/>
              </w:rPr>
            </w:pPr>
            <w:r>
              <w:rPr>
                <w:rFonts w:ascii="Arial" w:hAnsi="Arial"/>
                <w:sz w:val="12"/>
                <w:szCs w:val="12"/>
              </w:rPr>
              <w:t>Alp</w:t>
            </w:r>
          </w:p>
        </w:tc>
      </w:tr>
      <w:tr w:rsidR="002A4DDF" w:rsidRPr="00937C8B" w14:paraId="62AB8CEB" w14:textId="77777777" w:rsidTr="00935676">
        <w:trPr>
          <w:cantSplit/>
        </w:trPr>
        <w:tc>
          <w:tcPr>
            <w:tcW w:w="1696" w:type="dxa"/>
            <w:tcBorders>
              <w:left w:val="single" w:sz="4" w:space="0" w:color="auto"/>
            </w:tcBorders>
            <w:shd w:val="clear" w:color="auto" w:fill="auto"/>
          </w:tcPr>
          <w:p w14:paraId="09499201" w14:textId="77777777" w:rsidR="002A4DDF" w:rsidRPr="00937C8B" w:rsidRDefault="002A4DDF" w:rsidP="009110ED">
            <w:pPr>
              <w:rPr>
                <w:rFonts w:ascii="Arial" w:hAnsi="Arial" w:cs="Arial"/>
                <w:sz w:val="12"/>
                <w:szCs w:val="12"/>
              </w:rPr>
            </w:pPr>
          </w:p>
        </w:tc>
        <w:tc>
          <w:tcPr>
            <w:tcW w:w="1843" w:type="dxa"/>
            <w:shd w:val="clear" w:color="auto" w:fill="auto"/>
          </w:tcPr>
          <w:p w14:paraId="6672F1EC" w14:textId="77777777" w:rsidR="002A4DDF" w:rsidRPr="00937C8B" w:rsidRDefault="002A4DDF" w:rsidP="009110ED">
            <w:pPr>
              <w:rPr>
                <w:rFonts w:ascii="Arial" w:hAnsi="Arial" w:cs="Arial"/>
                <w:sz w:val="12"/>
                <w:szCs w:val="12"/>
              </w:rPr>
            </w:pPr>
          </w:p>
        </w:tc>
        <w:tc>
          <w:tcPr>
            <w:tcW w:w="2268" w:type="dxa"/>
            <w:shd w:val="clear" w:color="auto" w:fill="F2F2F2"/>
            <w:hideMark/>
          </w:tcPr>
          <w:p w14:paraId="62B7E876" w14:textId="77777777" w:rsidR="002A4DDF" w:rsidRPr="00937C8B" w:rsidRDefault="002A4DDF" w:rsidP="009110ED">
            <w:pPr>
              <w:rPr>
                <w:rFonts w:ascii="Arial" w:hAnsi="Arial" w:cs="Arial"/>
                <w:sz w:val="12"/>
                <w:szCs w:val="12"/>
              </w:rPr>
            </w:pPr>
            <w:r>
              <w:rPr>
                <w:rFonts w:ascii="Arial" w:hAnsi="Arial"/>
                <w:sz w:val="12"/>
                <w:szCs w:val="12"/>
              </w:rPr>
              <w:t>Aiguaviva</w:t>
            </w:r>
          </w:p>
        </w:tc>
        <w:tc>
          <w:tcPr>
            <w:tcW w:w="2268" w:type="dxa"/>
            <w:tcBorders>
              <w:right w:val="single" w:sz="4" w:space="0" w:color="auto"/>
            </w:tcBorders>
            <w:shd w:val="clear" w:color="auto" w:fill="D9D9D9"/>
            <w:hideMark/>
          </w:tcPr>
          <w:p w14:paraId="445DEF21" w14:textId="77777777" w:rsidR="002A4DDF" w:rsidRPr="00937C8B" w:rsidRDefault="002A4DDF" w:rsidP="009110ED">
            <w:pPr>
              <w:rPr>
                <w:rFonts w:ascii="Arial" w:hAnsi="Arial" w:cs="Arial"/>
                <w:sz w:val="12"/>
                <w:szCs w:val="12"/>
              </w:rPr>
            </w:pPr>
            <w:r>
              <w:rPr>
                <w:rFonts w:ascii="Arial" w:hAnsi="Arial"/>
                <w:sz w:val="12"/>
                <w:szCs w:val="12"/>
              </w:rPr>
              <w:t>Amer</w:t>
            </w:r>
          </w:p>
        </w:tc>
      </w:tr>
      <w:tr w:rsidR="002A4DDF" w:rsidRPr="00937C8B" w14:paraId="6F8138A1" w14:textId="77777777" w:rsidTr="00935676">
        <w:trPr>
          <w:cantSplit/>
        </w:trPr>
        <w:tc>
          <w:tcPr>
            <w:tcW w:w="1696" w:type="dxa"/>
            <w:tcBorders>
              <w:left w:val="single" w:sz="4" w:space="0" w:color="auto"/>
            </w:tcBorders>
            <w:shd w:val="clear" w:color="auto" w:fill="auto"/>
          </w:tcPr>
          <w:p w14:paraId="6A49FB98" w14:textId="77777777" w:rsidR="002A4DDF" w:rsidRPr="00937C8B" w:rsidRDefault="002A4DDF" w:rsidP="009110ED">
            <w:pPr>
              <w:rPr>
                <w:rFonts w:ascii="Arial" w:hAnsi="Arial" w:cs="Arial"/>
                <w:sz w:val="12"/>
                <w:szCs w:val="12"/>
              </w:rPr>
            </w:pPr>
          </w:p>
        </w:tc>
        <w:tc>
          <w:tcPr>
            <w:tcW w:w="1843" w:type="dxa"/>
            <w:shd w:val="clear" w:color="auto" w:fill="auto"/>
          </w:tcPr>
          <w:p w14:paraId="3345E976" w14:textId="77777777" w:rsidR="002A4DDF" w:rsidRPr="00937C8B" w:rsidRDefault="002A4DDF" w:rsidP="009110ED">
            <w:pPr>
              <w:rPr>
                <w:rFonts w:ascii="Arial" w:hAnsi="Arial" w:cs="Arial"/>
                <w:sz w:val="12"/>
                <w:szCs w:val="12"/>
              </w:rPr>
            </w:pPr>
          </w:p>
        </w:tc>
        <w:tc>
          <w:tcPr>
            <w:tcW w:w="2268" w:type="dxa"/>
            <w:shd w:val="clear" w:color="auto" w:fill="F2F2F2"/>
            <w:hideMark/>
          </w:tcPr>
          <w:p w14:paraId="1C1A1548" w14:textId="77777777" w:rsidR="002A4DDF" w:rsidRPr="00937C8B" w:rsidRDefault="002A4DDF" w:rsidP="009110ED">
            <w:pPr>
              <w:rPr>
                <w:rFonts w:ascii="Arial" w:hAnsi="Arial" w:cs="Arial"/>
                <w:sz w:val="12"/>
                <w:szCs w:val="12"/>
              </w:rPr>
            </w:pPr>
            <w:r>
              <w:rPr>
                <w:rFonts w:ascii="Arial" w:hAnsi="Arial"/>
                <w:sz w:val="12"/>
                <w:szCs w:val="12"/>
              </w:rPr>
              <w:t>Albanyà</w:t>
            </w:r>
          </w:p>
        </w:tc>
        <w:tc>
          <w:tcPr>
            <w:tcW w:w="2268" w:type="dxa"/>
            <w:tcBorders>
              <w:right w:val="single" w:sz="4" w:space="0" w:color="auto"/>
            </w:tcBorders>
            <w:shd w:val="clear" w:color="auto" w:fill="D9D9D9"/>
            <w:hideMark/>
          </w:tcPr>
          <w:p w14:paraId="2FAF3496" w14:textId="77777777" w:rsidR="002A4DDF" w:rsidRPr="00937C8B" w:rsidRDefault="002A4DDF" w:rsidP="009110ED">
            <w:pPr>
              <w:rPr>
                <w:rFonts w:ascii="Arial" w:hAnsi="Arial" w:cs="Arial"/>
                <w:sz w:val="12"/>
                <w:szCs w:val="12"/>
              </w:rPr>
            </w:pPr>
            <w:r>
              <w:rPr>
                <w:rFonts w:ascii="Arial" w:hAnsi="Arial"/>
                <w:sz w:val="12"/>
                <w:szCs w:val="12"/>
              </w:rPr>
              <w:t>Anglès</w:t>
            </w:r>
          </w:p>
        </w:tc>
      </w:tr>
      <w:tr w:rsidR="002A4DDF" w:rsidRPr="00937C8B" w14:paraId="045333CE" w14:textId="77777777" w:rsidTr="00935676">
        <w:trPr>
          <w:cantSplit/>
        </w:trPr>
        <w:tc>
          <w:tcPr>
            <w:tcW w:w="1696" w:type="dxa"/>
            <w:tcBorders>
              <w:left w:val="single" w:sz="4" w:space="0" w:color="auto"/>
            </w:tcBorders>
            <w:shd w:val="clear" w:color="auto" w:fill="auto"/>
          </w:tcPr>
          <w:p w14:paraId="4B666608" w14:textId="77777777" w:rsidR="002A4DDF" w:rsidRPr="00937C8B" w:rsidRDefault="002A4DDF" w:rsidP="009110ED">
            <w:pPr>
              <w:rPr>
                <w:rFonts w:ascii="Arial" w:hAnsi="Arial" w:cs="Arial"/>
                <w:sz w:val="12"/>
                <w:szCs w:val="12"/>
              </w:rPr>
            </w:pPr>
          </w:p>
        </w:tc>
        <w:tc>
          <w:tcPr>
            <w:tcW w:w="1843" w:type="dxa"/>
            <w:shd w:val="clear" w:color="auto" w:fill="auto"/>
          </w:tcPr>
          <w:p w14:paraId="32653053" w14:textId="77777777" w:rsidR="002A4DDF" w:rsidRPr="00937C8B" w:rsidRDefault="002A4DDF" w:rsidP="009110ED">
            <w:pPr>
              <w:rPr>
                <w:rFonts w:ascii="Arial" w:hAnsi="Arial" w:cs="Arial"/>
                <w:sz w:val="12"/>
                <w:szCs w:val="12"/>
              </w:rPr>
            </w:pPr>
          </w:p>
        </w:tc>
        <w:tc>
          <w:tcPr>
            <w:tcW w:w="2268" w:type="dxa"/>
            <w:shd w:val="clear" w:color="auto" w:fill="F2F2F2"/>
            <w:hideMark/>
          </w:tcPr>
          <w:p w14:paraId="6EFBBDCF" w14:textId="77777777" w:rsidR="002A4DDF" w:rsidRPr="00937C8B" w:rsidRDefault="002A4DDF" w:rsidP="009110ED">
            <w:pPr>
              <w:rPr>
                <w:rFonts w:ascii="Arial" w:hAnsi="Arial" w:cs="Arial"/>
                <w:sz w:val="12"/>
                <w:szCs w:val="12"/>
              </w:rPr>
            </w:pPr>
            <w:r>
              <w:rPr>
                <w:rFonts w:ascii="Arial" w:hAnsi="Arial"/>
                <w:sz w:val="12"/>
                <w:szCs w:val="12"/>
              </w:rPr>
              <w:t>Argelaguer</w:t>
            </w:r>
          </w:p>
        </w:tc>
        <w:tc>
          <w:tcPr>
            <w:tcW w:w="2268" w:type="dxa"/>
            <w:tcBorders>
              <w:right w:val="single" w:sz="4" w:space="0" w:color="auto"/>
            </w:tcBorders>
            <w:shd w:val="clear" w:color="auto" w:fill="D9D9D9"/>
            <w:hideMark/>
          </w:tcPr>
          <w:p w14:paraId="4AADB059" w14:textId="77777777" w:rsidR="002A4DDF" w:rsidRPr="00937C8B" w:rsidRDefault="002A4DDF" w:rsidP="009110ED">
            <w:pPr>
              <w:rPr>
                <w:rFonts w:ascii="Arial" w:hAnsi="Arial" w:cs="Arial"/>
                <w:sz w:val="12"/>
                <w:szCs w:val="12"/>
              </w:rPr>
            </w:pPr>
            <w:r>
              <w:rPr>
                <w:rFonts w:ascii="Arial" w:hAnsi="Arial"/>
                <w:sz w:val="12"/>
                <w:szCs w:val="12"/>
              </w:rPr>
              <w:t>Arbúcies</w:t>
            </w:r>
          </w:p>
        </w:tc>
      </w:tr>
      <w:tr w:rsidR="002A4DDF" w:rsidRPr="00937C8B" w14:paraId="0C81873B" w14:textId="77777777" w:rsidTr="00935676">
        <w:trPr>
          <w:cantSplit/>
        </w:trPr>
        <w:tc>
          <w:tcPr>
            <w:tcW w:w="1696" w:type="dxa"/>
            <w:tcBorders>
              <w:left w:val="single" w:sz="4" w:space="0" w:color="auto"/>
            </w:tcBorders>
            <w:shd w:val="clear" w:color="auto" w:fill="auto"/>
          </w:tcPr>
          <w:p w14:paraId="06F727C7" w14:textId="77777777" w:rsidR="002A4DDF" w:rsidRPr="00937C8B" w:rsidRDefault="002A4DDF" w:rsidP="009110ED">
            <w:pPr>
              <w:rPr>
                <w:rFonts w:ascii="Arial" w:hAnsi="Arial" w:cs="Arial"/>
                <w:sz w:val="12"/>
                <w:szCs w:val="12"/>
              </w:rPr>
            </w:pPr>
          </w:p>
        </w:tc>
        <w:tc>
          <w:tcPr>
            <w:tcW w:w="1843" w:type="dxa"/>
            <w:shd w:val="clear" w:color="auto" w:fill="auto"/>
          </w:tcPr>
          <w:p w14:paraId="52BDAAC6" w14:textId="77777777" w:rsidR="002A4DDF" w:rsidRPr="00937C8B" w:rsidRDefault="002A4DDF" w:rsidP="009110ED">
            <w:pPr>
              <w:rPr>
                <w:rFonts w:ascii="Arial" w:hAnsi="Arial" w:cs="Arial"/>
                <w:sz w:val="12"/>
                <w:szCs w:val="12"/>
              </w:rPr>
            </w:pPr>
          </w:p>
        </w:tc>
        <w:tc>
          <w:tcPr>
            <w:tcW w:w="2268" w:type="dxa"/>
            <w:shd w:val="clear" w:color="auto" w:fill="F2F2F2"/>
            <w:hideMark/>
          </w:tcPr>
          <w:p w14:paraId="514D5195" w14:textId="77777777" w:rsidR="002A4DDF" w:rsidRPr="00937C8B" w:rsidRDefault="002A4DDF" w:rsidP="009110ED">
            <w:pPr>
              <w:rPr>
                <w:rFonts w:ascii="Arial" w:hAnsi="Arial" w:cs="Arial"/>
                <w:sz w:val="12"/>
                <w:szCs w:val="12"/>
              </w:rPr>
            </w:pPr>
            <w:r>
              <w:rPr>
                <w:rFonts w:ascii="Arial" w:hAnsi="Arial"/>
                <w:sz w:val="12"/>
                <w:szCs w:val="12"/>
              </w:rPr>
              <w:t>Banyoles</w:t>
            </w:r>
          </w:p>
        </w:tc>
        <w:tc>
          <w:tcPr>
            <w:tcW w:w="2268" w:type="dxa"/>
            <w:tcBorders>
              <w:right w:val="single" w:sz="4" w:space="0" w:color="auto"/>
            </w:tcBorders>
            <w:shd w:val="clear" w:color="auto" w:fill="D9D9D9"/>
            <w:hideMark/>
          </w:tcPr>
          <w:p w14:paraId="1E3FB14D" w14:textId="77777777" w:rsidR="002A4DDF" w:rsidRPr="00937C8B" w:rsidRDefault="002A4DDF" w:rsidP="009110ED">
            <w:pPr>
              <w:rPr>
                <w:rFonts w:ascii="Arial" w:hAnsi="Arial" w:cs="Arial"/>
                <w:sz w:val="12"/>
                <w:szCs w:val="12"/>
              </w:rPr>
            </w:pPr>
            <w:r>
              <w:rPr>
                <w:rFonts w:ascii="Arial" w:hAnsi="Arial"/>
                <w:sz w:val="12"/>
                <w:szCs w:val="12"/>
              </w:rPr>
              <w:t>Begur</w:t>
            </w:r>
          </w:p>
        </w:tc>
      </w:tr>
      <w:tr w:rsidR="002A4DDF" w:rsidRPr="00937C8B" w14:paraId="36F2587E" w14:textId="77777777" w:rsidTr="00935676">
        <w:trPr>
          <w:cantSplit/>
        </w:trPr>
        <w:tc>
          <w:tcPr>
            <w:tcW w:w="1696" w:type="dxa"/>
            <w:tcBorders>
              <w:left w:val="single" w:sz="4" w:space="0" w:color="auto"/>
            </w:tcBorders>
            <w:shd w:val="clear" w:color="auto" w:fill="auto"/>
          </w:tcPr>
          <w:p w14:paraId="602D9502" w14:textId="77777777" w:rsidR="002A4DDF" w:rsidRPr="00937C8B" w:rsidRDefault="002A4DDF" w:rsidP="009110ED">
            <w:pPr>
              <w:rPr>
                <w:rFonts w:ascii="Arial" w:hAnsi="Arial" w:cs="Arial"/>
                <w:sz w:val="12"/>
                <w:szCs w:val="12"/>
              </w:rPr>
            </w:pPr>
          </w:p>
        </w:tc>
        <w:tc>
          <w:tcPr>
            <w:tcW w:w="1843" w:type="dxa"/>
            <w:shd w:val="clear" w:color="auto" w:fill="auto"/>
          </w:tcPr>
          <w:p w14:paraId="4FBA5EDE" w14:textId="77777777" w:rsidR="002A4DDF" w:rsidRPr="00937C8B" w:rsidRDefault="002A4DDF" w:rsidP="009110ED">
            <w:pPr>
              <w:rPr>
                <w:rFonts w:ascii="Arial" w:hAnsi="Arial" w:cs="Arial"/>
                <w:sz w:val="12"/>
                <w:szCs w:val="12"/>
              </w:rPr>
            </w:pPr>
          </w:p>
        </w:tc>
        <w:tc>
          <w:tcPr>
            <w:tcW w:w="2268" w:type="dxa"/>
            <w:shd w:val="clear" w:color="auto" w:fill="F2F2F2"/>
            <w:hideMark/>
          </w:tcPr>
          <w:p w14:paraId="3BD64F21" w14:textId="77777777" w:rsidR="002A4DDF" w:rsidRPr="00937C8B" w:rsidRDefault="002A4DDF" w:rsidP="009110ED">
            <w:pPr>
              <w:rPr>
                <w:rFonts w:ascii="Arial" w:hAnsi="Arial" w:cs="Arial"/>
                <w:sz w:val="12"/>
                <w:szCs w:val="12"/>
              </w:rPr>
            </w:pPr>
            <w:r>
              <w:rPr>
                <w:rFonts w:ascii="Arial" w:hAnsi="Arial"/>
                <w:sz w:val="12"/>
                <w:szCs w:val="12"/>
              </w:rPr>
              <w:t>Besalú</w:t>
            </w:r>
          </w:p>
        </w:tc>
        <w:tc>
          <w:tcPr>
            <w:tcW w:w="2268" w:type="dxa"/>
            <w:tcBorders>
              <w:right w:val="single" w:sz="4" w:space="0" w:color="auto"/>
            </w:tcBorders>
            <w:shd w:val="clear" w:color="auto" w:fill="D9D9D9"/>
            <w:hideMark/>
          </w:tcPr>
          <w:p w14:paraId="27A66EB8" w14:textId="77777777" w:rsidR="002A4DDF" w:rsidRPr="00937C8B" w:rsidRDefault="002A4DDF" w:rsidP="009110ED">
            <w:pPr>
              <w:rPr>
                <w:rFonts w:ascii="Arial" w:hAnsi="Arial" w:cs="Arial"/>
                <w:sz w:val="12"/>
                <w:szCs w:val="12"/>
              </w:rPr>
            </w:pPr>
            <w:r>
              <w:rPr>
                <w:rFonts w:ascii="Arial" w:hAnsi="Arial"/>
                <w:sz w:val="12"/>
                <w:szCs w:val="12"/>
              </w:rPr>
              <w:t>Biure</w:t>
            </w:r>
          </w:p>
        </w:tc>
      </w:tr>
      <w:tr w:rsidR="002A4DDF" w:rsidRPr="00937C8B" w14:paraId="47D849BE" w14:textId="77777777" w:rsidTr="00935676">
        <w:trPr>
          <w:cantSplit/>
        </w:trPr>
        <w:tc>
          <w:tcPr>
            <w:tcW w:w="1696" w:type="dxa"/>
            <w:tcBorders>
              <w:left w:val="single" w:sz="4" w:space="0" w:color="auto"/>
            </w:tcBorders>
            <w:shd w:val="clear" w:color="auto" w:fill="auto"/>
          </w:tcPr>
          <w:p w14:paraId="0A39B6D7" w14:textId="77777777" w:rsidR="002A4DDF" w:rsidRPr="00937C8B" w:rsidRDefault="002A4DDF" w:rsidP="009110ED">
            <w:pPr>
              <w:rPr>
                <w:rFonts w:ascii="Arial" w:hAnsi="Arial" w:cs="Arial"/>
                <w:sz w:val="12"/>
                <w:szCs w:val="12"/>
              </w:rPr>
            </w:pPr>
          </w:p>
        </w:tc>
        <w:tc>
          <w:tcPr>
            <w:tcW w:w="1843" w:type="dxa"/>
            <w:shd w:val="clear" w:color="auto" w:fill="auto"/>
          </w:tcPr>
          <w:p w14:paraId="6327FA25" w14:textId="77777777" w:rsidR="002A4DDF" w:rsidRPr="00937C8B" w:rsidRDefault="002A4DDF" w:rsidP="009110ED">
            <w:pPr>
              <w:rPr>
                <w:rFonts w:ascii="Arial" w:hAnsi="Arial" w:cs="Arial"/>
                <w:sz w:val="12"/>
                <w:szCs w:val="12"/>
              </w:rPr>
            </w:pPr>
          </w:p>
        </w:tc>
        <w:tc>
          <w:tcPr>
            <w:tcW w:w="2268" w:type="dxa"/>
            <w:shd w:val="clear" w:color="auto" w:fill="F2F2F2"/>
            <w:hideMark/>
          </w:tcPr>
          <w:p w14:paraId="0FB44572" w14:textId="77777777" w:rsidR="002A4DDF" w:rsidRPr="00937C8B" w:rsidRDefault="002A4DDF" w:rsidP="009110ED">
            <w:pPr>
              <w:rPr>
                <w:rFonts w:ascii="Arial" w:hAnsi="Arial" w:cs="Arial"/>
                <w:sz w:val="12"/>
                <w:szCs w:val="12"/>
              </w:rPr>
            </w:pPr>
            <w:r>
              <w:rPr>
                <w:rFonts w:ascii="Arial" w:hAnsi="Arial"/>
                <w:sz w:val="12"/>
                <w:szCs w:val="12"/>
              </w:rPr>
              <w:t>Bescanó</w:t>
            </w:r>
          </w:p>
        </w:tc>
        <w:tc>
          <w:tcPr>
            <w:tcW w:w="2268" w:type="dxa"/>
            <w:tcBorders>
              <w:right w:val="single" w:sz="4" w:space="0" w:color="auto"/>
            </w:tcBorders>
            <w:shd w:val="clear" w:color="auto" w:fill="D9D9D9"/>
            <w:hideMark/>
          </w:tcPr>
          <w:p w14:paraId="11D8DE63" w14:textId="77777777" w:rsidR="002A4DDF" w:rsidRPr="00937C8B" w:rsidRDefault="002A4DDF" w:rsidP="009110ED">
            <w:pPr>
              <w:rPr>
                <w:rFonts w:ascii="Arial" w:hAnsi="Arial" w:cs="Arial"/>
                <w:sz w:val="12"/>
                <w:szCs w:val="12"/>
              </w:rPr>
            </w:pPr>
            <w:r>
              <w:rPr>
                <w:rFonts w:ascii="Arial" w:hAnsi="Arial"/>
                <w:sz w:val="12"/>
                <w:szCs w:val="12"/>
              </w:rPr>
              <w:t>Blanes</w:t>
            </w:r>
          </w:p>
        </w:tc>
      </w:tr>
      <w:tr w:rsidR="002A4DDF" w:rsidRPr="00937C8B" w14:paraId="575A98C7" w14:textId="77777777" w:rsidTr="00935676">
        <w:trPr>
          <w:cantSplit/>
        </w:trPr>
        <w:tc>
          <w:tcPr>
            <w:tcW w:w="1696" w:type="dxa"/>
            <w:tcBorders>
              <w:left w:val="single" w:sz="4" w:space="0" w:color="auto"/>
            </w:tcBorders>
            <w:shd w:val="clear" w:color="auto" w:fill="auto"/>
          </w:tcPr>
          <w:p w14:paraId="4F91C654" w14:textId="77777777" w:rsidR="002A4DDF" w:rsidRPr="00937C8B" w:rsidRDefault="002A4DDF" w:rsidP="009110ED">
            <w:pPr>
              <w:rPr>
                <w:rFonts w:ascii="Arial" w:hAnsi="Arial" w:cs="Arial"/>
                <w:sz w:val="12"/>
                <w:szCs w:val="12"/>
              </w:rPr>
            </w:pPr>
          </w:p>
        </w:tc>
        <w:tc>
          <w:tcPr>
            <w:tcW w:w="1843" w:type="dxa"/>
            <w:shd w:val="clear" w:color="auto" w:fill="auto"/>
          </w:tcPr>
          <w:p w14:paraId="26726939" w14:textId="77777777" w:rsidR="002A4DDF" w:rsidRPr="00937C8B" w:rsidRDefault="002A4DDF" w:rsidP="009110ED">
            <w:pPr>
              <w:rPr>
                <w:rFonts w:ascii="Arial" w:hAnsi="Arial" w:cs="Arial"/>
                <w:sz w:val="12"/>
                <w:szCs w:val="12"/>
              </w:rPr>
            </w:pPr>
          </w:p>
        </w:tc>
        <w:tc>
          <w:tcPr>
            <w:tcW w:w="2268" w:type="dxa"/>
            <w:shd w:val="clear" w:color="auto" w:fill="F2F2F2"/>
            <w:hideMark/>
          </w:tcPr>
          <w:p w14:paraId="0E3B67FB" w14:textId="77777777" w:rsidR="002A4DDF" w:rsidRPr="00937C8B" w:rsidRDefault="002A4DDF" w:rsidP="009110ED">
            <w:pPr>
              <w:rPr>
                <w:rFonts w:ascii="Arial" w:hAnsi="Arial" w:cs="Arial"/>
                <w:sz w:val="12"/>
                <w:szCs w:val="12"/>
              </w:rPr>
            </w:pPr>
            <w:r>
              <w:rPr>
                <w:rFonts w:ascii="Arial" w:hAnsi="Arial"/>
                <w:sz w:val="12"/>
                <w:szCs w:val="12"/>
              </w:rPr>
              <w:t>Beuda</w:t>
            </w:r>
          </w:p>
        </w:tc>
        <w:tc>
          <w:tcPr>
            <w:tcW w:w="2268" w:type="dxa"/>
            <w:tcBorders>
              <w:right w:val="single" w:sz="4" w:space="0" w:color="auto"/>
            </w:tcBorders>
            <w:shd w:val="clear" w:color="auto" w:fill="D9D9D9"/>
            <w:hideMark/>
          </w:tcPr>
          <w:p w14:paraId="1810CB79" w14:textId="77777777" w:rsidR="002A4DDF" w:rsidRPr="00937C8B" w:rsidRDefault="002A4DDF" w:rsidP="009110ED">
            <w:pPr>
              <w:rPr>
                <w:rFonts w:ascii="Arial" w:hAnsi="Arial" w:cs="Arial"/>
                <w:sz w:val="12"/>
                <w:szCs w:val="12"/>
              </w:rPr>
            </w:pPr>
            <w:r>
              <w:rPr>
                <w:rFonts w:ascii="Arial" w:hAnsi="Arial"/>
                <w:sz w:val="12"/>
                <w:szCs w:val="12"/>
              </w:rPr>
              <w:t xml:space="preserve"> Brunyola</w:t>
            </w:r>
          </w:p>
        </w:tc>
      </w:tr>
      <w:tr w:rsidR="002A4DDF" w:rsidRPr="00937C8B" w14:paraId="3AD60C57" w14:textId="77777777" w:rsidTr="00935676">
        <w:trPr>
          <w:cantSplit/>
        </w:trPr>
        <w:tc>
          <w:tcPr>
            <w:tcW w:w="1696" w:type="dxa"/>
            <w:tcBorders>
              <w:left w:val="single" w:sz="4" w:space="0" w:color="auto"/>
            </w:tcBorders>
            <w:shd w:val="clear" w:color="auto" w:fill="auto"/>
          </w:tcPr>
          <w:p w14:paraId="49A3F07F" w14:textId="77777777" w:rsidR="002A4DDF" w:rsidRPr="00937C8B" w:rsidRDefault="002A4DDF" w:rsidP="009110ED">
            <w:pPr>
              <w:rPr>
                <w:rFonts w:ascii="Arial" w:hAnsi="Arial" w:cs="Arial"/>
                <w:sz w:val="12"/>
                <w:szCs w:val="12"/>
              </w:rPr>
            </w:pPr>
          </w:p>
        </w:tc>
        <w:tc>
          <w:tcPr>
            <w:tcW w:w="1843" w:type="dxa"/>
            <w:shd w:val="clear" w:color="auto" w:fill="auto"/>
          </w:tcPr>
          <w:p w14:paraId="314E08B0" w14:textId="77777777" w:rsidR="002A4DDF" w:rsidRPr="00937C8B" w:rsidRDefault="002A4DDF" w:rsidP="009110ED">
            <w:pPr>
              <w:rPr>
                <w:rFonts w:ascii="Arial" w:hAnsi="Arial" w:cs="Arial"/>
                <w:sz w:val="12"/>
                <w:szCs w:val="12"/>
              </w:rPr>
            </w:pPr>
          </w:p>
        </w:tc>
        <w:tc>
          <w:tcPr>
            <w:tcW w:w="2268" w:type="dxa"/>
            <w:shd w:val="clear" w:color="auto" w:fill="F2F2F2"/>
            <w:hideMark/>
          </w:tcPr>
          <w:p w14:paraId="19B00588" w14:textId="77777777" w:rsidR="002A4DDF" w:rsidRPr="00937C8B" w:rsidRDefault="002A4DDF" w:rsidP="009110ED">
            <w:pPr>
              <w:rPr>
                <w:rFonts w:ascii="Arial" w:hAnsi="Arial" w:cs="Arial"/>
                <w:sz w:val="12"/>
                <w:szCs w:val="12"/>
              </w:rPr>
            </w:pPr>
            <w:r>
              <w:rPr>
                <w:rFonts w:ascii="Arial" w:hAnsi="Arial"/>
                <w:sz w:val="12"/>
                <w:szCs w:val="12"/>
              </w:rPr>
              <w:t>Boadella i les Escaules</w:t>
            </w:r>
          </w:p>
        </w:tc>
        <w:tc>
          <w:tcPr>
            <w:tcW w:w="2268" w:type="dxa"/>
            <w:tcBorders>
              <w:right w:val="single" w:sz="4" w:space="0" w:color="auto"/>
            </w:tcBorders>
            <w:shd w:val="clear" w:color="auto" w:fill="D9D9D9"/>
            <w:hideMark/>
          </w:tcPr>
          <w:p w14:paraId="10D0F1B9" w14:textId="77777777" w:rsidR="002A4DDF" w:rsidRPr="00937C8B" w:rsidRDefault="002A4DDF" w:rsidP="009110ED">
            <w:pPr>
              <w:rPr>
                <w:rFonts w:ascii="Arial" w:hAnsi="Arial" w:cs="Arial"/>
                <w:sz w:val="12"/>
                <w:szCs w:val="12"/>
              </w:rPr>
            </w:pPr>
            <w:r>
              <w:rPr>
                <w:rFonts w:ascii="Arial" w:hAnsi="Arial"/>
                <w:sz w:val="12"/>
                <w:szCs w:val="12"/>
              </w:rPr>
              <w:t>Cadaqués</w:t>
            </w:r>
          </w:p>
        </w:tc>
      </w:tr>
      <w:tr w:rsidR="002A4DDF" w:rsidRPr="00937C8B" w14:paraId="083C9398" w14:textId="77777777" w:rsidTr="00935676">
        <w:trPr>
          <w:cantSplit/>
        </w:trPr>
        <w:tc>
          <w:tcPr>
            <w:tcW w:w="1696" w:type="dxa"/>
            <w:tcBorders>
              <w:left w:val="single" w:sz="4" w:space="0" w:color="auto"/>
            </w:tcBorders>
            <w:shd w:val="clear" w:color="auto" w:fill="auto"/>
          </w:tcPr>
          <w:p w14:paraId="40A4400B" w14:textId="77777777" w:rsidR="002A4DDF" w:rsidRPr="00937C8B" w:rsidRDefault="002A4DDF" w:rsidP="009110ED">
            <w:pPr>
              <w:rPr>
                <w:rFonts w:ascii="Arial" w:hAnsi="Arial" w:cs="Arial"/>
                <w:sz w:val="12"/>
                <w:szCs w:val="12"/>
              </w:rPr>
            </w:pPr>
          </w:p>
        </w:tc>
        <w:tc>
          <w:tcPr>
            <w:tcW w:w="1843" w:type="dxa"/>
            <w:shd w:val="clear" w:color="auto" w:fill="auto"/>
          </w:tcPr>
          <w:p w14:paraId="7839C90C" w14:textId="77777777" w:rsidR="002A4DDF" w:rsidRPr="00937C8B" w:rsidRDefault="002A4DDF" w:rsidP="009110ED">
            <w:pPr>
              <w:rPr>
                <w:rFonts w:ascii="Arial" w:hAnsi="Arial" w:cs="Arial"/>
                <w:sz w:val="12"/>
                <w:szCs w:val="12"/>
              </w:rPr>
            </w:pPr>
          </w:p>
        </w:tc>
        <w:tc>
          <w:tcPr>
            <w:tcW w:w="2268" w:type="dxa"/>
            <w:shd w:val="clear" w:color="auto" w:fill="F2F2F2"/>
            <w:hideMark/>
          </w:tcPr>
          <w:p w14:paraId="5BE2D681" w14:textId="77777777" w:rsidR="002A4DDF" w:rsidRPr="00937C8B" w:rsidRDefault="002A4DDF" w:rsidP="009110ED">
            <w:pPr>
              <w:rPr>
                <w:rFonts w:ascii="Arial" w:hAnsi="Arial" w:cs="Arial"/>
                <w:sz w:val="12"/>
                <w:szCs w:val="12"/>
              </w:rPr>
            </w:pPr>
            <w:r>
              <w:rPr>
                <w:rFonts w:ascii="Arial" w:hAnsi="Arial"/>
                <w:sz w:val="12"/>
                <w:szCs w:val="12"/>
              </w:rPr>
              <w:t>Bolvir</w:t>
            </w:r>
          </w:p>
        </w:tc>
        <w:tc>
          <w:tcPr>
            <w:tcW w:w="2268" w:type="dxa"/>
            <w:tcBorders>
              <w:right w:val="single" w:sz="4" w:space="0" w:color="auto"/>
            </w:tcBorders>
            <w:shd w:val="clear" w:color="auto" w:fill="D9D9D9"/>
            <w:hideMark/>
          </w:tcPr>
          <w:p w14:paraId="284C0A87" w14:textId="77777777" w:rsidR="002A4DDF" w:rsidRPr="00937C8B" w:rsidRDefault="002A4DDF" w:rsidP="009110ED">
            <w:pPr>
              <w:rPr>
                <w:rFonts w:ascii="Arial" w:hAnsi="Arial" w:cs="Arial"/>
                <w:sz w:val="12"/>
                <w:szCs w:val="12"/>
              </w:rPr>
            </w:pPr>
            <w:r>
              <w:rPr>
                <w:rFonts w:ascii="Arial" w:hAnsi="Arial"/>
                <w:sz w:val="12"/>
                <w:szCs w:val="12"/>
              </w:rPr>
              <w:t>Caldes de Malavella</w:t>
            </w:r>
          </w:p>
        </w:tc>
      </w:tr>
      <w:tr w:rsidR="002A4DDF" w:rsidRPr="00937C8B" w14:paraId="0F56234D" w14:textId="77777777" w:rsidTr="00935676">
        <w:trPr>
          <w:cantSplit/>
        </w:trPr>
        <w:tc>
          <w:tcPr>
            <w:tcW w:w="1696" w:type="dxa"/>
            <w:tcBorders>
              <w:left w:val="single" w:sz="4" w:space="0" w:color="auto"/>
            </w:tcBorders>
            <w:shd w:val="clear" w:color="auto" w:fill="auto"/>
          </w:tcPr>
          <w:p w14:paraId="16F6EAB0" w14:textId="77777777" w:rsidR="002A4DDF" w:rsidRPr="00937C8B" w:rsidRDefault="002A4DDF" w:rsidP="009110ED">
            <w:pPr>
              <w:rPr>
                <w:rFonts w:ascii="Arial" w:hAnsi="Arial" w:cs="Arial"/>
                <w:sz w:val="12"/>
                <w:szCs w:val="12"/>
              </w:rPr>
            </w:pPr>
          </w:p>
        </w:tc>
        <w:tc>
          <w:tcPr>
            <w:tcW w:w="1843" w:type="dxa"/>
            <w:shd w:val="clear" w:color="auto" w:fill="auto"/>
          </w:tcPr>
          <w:p w14:paraId="19962BD2" w14:textId="77777777" w:rsidR="002A4DDF" w:rsidRPr="00937C8B" w:rsidRDefault="002A4DDF" w:rsidP="009110ED">
            <w:pPr>
              <w:rPr>
                <w:rFonts w:ascii="Arial" w:hAnsi="Arial" w:cs="Arial"/>
                <w:sz w:val="12"/>
                <w:szCs w:val="12"/>
              </w:rPr>
            </w:pPr>
          </w:p>
        </w:tc>
        <w:tc>
          <w:tcPr>
            <w:tcW w:w="2268" w:type="dxa"/>
            <w:shd w:val="clear" w:color="auto" w:fill="F2F2F2"/>
            <w:hideMark/>
          </w:tcPr>
          <w:p w14:paraId="311BCE83" w14:textId="77777777" w:rsidR="002A4DDF" w:rsidRPr="00937C8B" w:rsidRDefault="002A4DDF" w:rsidP="009110ED">
            <w:pPr>
              <w:rPr>
                <w:rFonts w:ascii="Arial" w:hAnsi="Arial" w:cs="Arial"/>
                <w:sz w:val="12"/>
                <w:szCs w:val="12"/>
              </w:rPr>
            </w:pPr>
            <w:r>
              <w:rPr>
                <w:rFonts w:ascii="Arial" w:hAnsi="Arial"/>
                <w:sz w:val="12"/>
                <w:szCs w:val="12"/>
              </w:rPr>
              <w:t>Bordils</w:t>
            </w:r>
          </w:p>
        </w:tc>
        <w:tc>
          <w:tcPr>
            <w:tcW w:w="2268" w:type="dxa"/>
            <w:tcBorders>
              <w:right w:val="single" w:sz="4" w:space="0" w:color="auto"/>
            </w:tcBorders>
            <w:shd w:val="clear" w:color="auto" w:fill="D9D9D9"/>
            <w:hideMark/>
          </w:tcPr>
          <w:p w14:paraId="12CE4C69" w14:textId="77777777" w:rsidR="002A4DDF" w:rsidRPr="00937C8B" w:rsidRDefault="002A4DDF" w:rsidP="009110ED">
            <w:pPr>
              <w:rPr>
                <w:rFonts w:ascii="Arial" w:hAnsi="Arial" w:cs="Arial"/>
                <w:sz w:val="12"/>
                <w:szCs w:val="12"/>
              </w:rPr>
            </w:pPr>
            <w:r>
              <w:rPr>
                <w:rFonts w:ascii="Arial" w:hAnsi="Arial"/>
                <w:sz w:val="12"/>
                <w:szCs w:val="12"/>
              </w:rPr>
              <w:t>Calonge</w:t>
            </w:r>
          </w:p>
        </w:tc>
      </w:tr>
      <w:tr w:rsidR="002A4DDF" w:rsidRPr="00937C8B" w14:paraId="52207B87" w14:textId="77777777" w:rsidTr="00935676">
        <w:trPr>
          <w:cantSplit/>
        </w:trPr>
        <w:tc>
          <w:tcPr>
            <w:tcW w:w="1696" w:type="dxa"/>
            <w:tcBorders>
              <w:left w:val="single" w:sz="4" w:space="0" w:color="auto"/>
            </w:tcBorders>
            <w:shd w:val="clear" w:color="auto" w:fill="auto"/>
          </w:tcPr>
          <w:p w14:paraId="7694FB90" w14:textId="77777777" w:rsidR="002A4DDF" w:rsidRPr="00937C8B" w:rsidRDefault="002A4DDF" w:rsidP="009110ED">
            <w:pPr>
              <w:rPr>
                <w:rFonts w:ascii="Arial" w:hAnsi="Arial" w:cs="Arial"/>
                <w:sz w:val="12"/>
                <w:szCs w:val="12"/>
              </w:rPr>
            </w:pPr>
          </w:p>
        </w:tc>
        <w:tc>
          <w:tcPr>
            <w:tcW w:w="1843" w:type="dxa"/>
            <w:shd w:val="clear" w:color="auto" w:fill="auto"/>
          </w:tcPr>
          <w:p w14:paraId="4C83C52A" w14:textId="77777777" w:rsidR="002A4DDF" w:rsidRPr="00937C8B" w:rsidRDefault="002A4DDF" w:rsidP="009110ED">
            <w:pPr>
              <w:rPr>
                <w:rFonts w:ascii="Arial" w:hAnsi="Arial" w:cs="Arial"/>
                <w:sz w:val="12"/>
                <w:szCs w:val="12"/>
              </w:rPr>
            </w:pPr>
          </w:p>
        </w:tc>
        <w:tc>
          <w:tcPr>
            <w:tcW w:w="2268" w:type="dxa"/>
            <w:shd w:val="clear" w:color="auto" w:fill="F2F2F2"/>
            <w:hideMark/>
          </w:tcPr>
          <w:p w14:paraId="762FADDA" w14:textId="77777777" w:rsidR="002A4DDF" w:rsidRPr="00937C8B" w:rsidRDefault="002A4DDF" w:rsidP="009110ED">
            <w:pPr>
              <w:rPr>
                <w:rFonts w:ascii="Arial" w:hAnsi="Arial" w:cs="Arial"/>
                <w:sz w:val="12"/>
                <w:szCs w:val="12"/>
              </w:rPr>
            </w:pPr>
            <w:r>
              <w:rPr>
                <w:rFonts w:ascii="Arial" w:hAnsi="Arial"/>
                <w:sz w:val="12"/>
                <w:szCs w:val="12"/>
              </w:rPr>
              <w:t>Breda</w:t>
            </w:r>
          </w:p>
        </w:tc>
        <w:tc>
          <w:tcPr>
            <w:tcW w:w="2268" w:type="dxa"/>
            <w:tcBorders>
              <w:right w:val="single" w:sz="4" w:space="0" w:color="auto"/>
            </w:tcBorders>
            <w:shd w:val="clear" w:color="auto" w:fill="D9D9D9"/>
            <w:hideMark/>
          </w:tcPr>
          <w:p w14:paraId="1E2D7CFB" w14:textId="77777777" w:rsidR="002A4DDF" w:rsidRPr="00937C8B" w:rsidRDefault="002A4DDF" w:rsidP="009110ED">
            <w:pPr>
              <w:rPr>
                <w:rFonts w:ascii="Arial" w:hAnsi="Arial" w:cs="Arial"/>
                <w:sz w:val="12"/>
                <w:szCs w:val="12"/>
              </w:rPr>
            </w:pPr>
            <w:r>
              <w:rPr>
                <w:rFonts w:ascii="Arial" w:hAnsi="Arial"/>
                <w:sz w:val="12"/>
                <w:szCs w:val="12"/>
              </w:rPr>
              <w:t>Campelles</w:t>
            </w:r>
          </w:p>
        </w:tc>
      </w:tr>
      <w:tr w:rsidR="002A4DDF" w:rsidRPr="00937C8B" w14:paraId="11CF86EB" w14:textId="77777777" w:rsidTr="00935676">
        <w:trPr>
          <w:cantSplit/>
        </w:trPr>
        <w:tc>
          <w:tcPr>
            <w:tcW w:w="1696" w:type="dxa"/>
            <w:tcBorders>
              <w:left w:val="single" w:sz="4" w:space="0" w:color="auto"/>
            </w:tcBorders>
            <w:shd w:val="clear" w:color="auto" w:fill="auto"/>
          </w:tcPr>
          <w:p w14:paraId="432FDBC9" w14:textId="77777777" w:rsidR="002A4DDF" w:rsidRPr="00937C8B" w:rsidRDefault="002A4DDF" w:rsidP="009110ED">
            <w:pPr>
              <w:rPr>
                <w:rFonts w:ascii="Arial" w:hAnsi="Arial" w:cs="Arial"/>
                <w:sz w:val="12"/>
                <w:szCs w:val="12"/>
              </w:rPr>
            </w:pPr>
          </w:p>
        </w:tc>
        <w:tc>
          <w:tcPr>
            <w:tcW w:w="1843" w:type="dxa"/>
            <w:shd w:val="clear" w:color="auto" w:fill="auto"/>
          </w:tcPr>
          <w:p w14:paraId="1E0F7D85" w14:textId="77777777" w:rsidR="002A4DDF" w:rsidRPr="00937C8B" w:rsidRDefault="002A4DDF" w:rsidP="009110ED">
            <w:pPr>
              <w:rPr>
                <w:rFonts w:ascii="Arial" w:hAnsi="Arial" w:cs="Arial"/>
                <w:sz w:val="12"/>
                <w:szCs w:val="12"/>
              </w:rPr>
            </w:pPr>
          </w:p>
        </w:tc>
        <w:tc>
          <w:tcPr>
            <w:tcW w:w="2268" w:type="dxa"/>
            <w:shd w:val="clear" w:color="auto" w:fill="F2F2F2"/>
            <w:hideMark/>
          </w:tcPr>
          <w:p w14:paraId="534F2671" w14:textId="77777777" w:rsidR="002A4DDF" w:rsidRPr="00937C8B" w:rsidRDefault="002A4DDF" w:rsidP="009110ED">
            <w:pPr>
              <w:rPr>
                <w:rFonts w:ascii="Arial" w:hAnsi="Arial" w:cs="Arial"/>
                <w:sz w:val="12"/>
                <w:szCs w:val="12"/>
              </w:rPr>
            </w:pPr>
            <w:r>
              <w:rPr>
                <w:rFonts w:ascii="Arial" w:hAnsi="Arial"/>
                <w:sz w:val="12"/>
                <w:szCs w:val="12"/>
              </w:rPr>
              <w:t>Cabanelles</w:t>
            </w:r>
          </w:p>
        </w:tc>
        <w:tc>
          <w:tcPr>
            <w:tcW w:w="2268" w:type="dxa"/>
            <w:tcBorders>
              <w:right w:val="single" w:sz="4" w:space="0" w:color="auto"/>
            </w:tcBorders>
            <w:shd w:val="clear" w:color="auto" w:fill="D9D9D9"/>
            <w:hideMark/>
          </w:tcPr>
          <w:p w14:paraId="1E828FB3" w14:textId="77777777" w:rsidR="002A4DDF" w:rsidRPr="00937C8B" w:rsidRDefault="002A4DDF" w:rsidP="009110ED">
            <w:pPr>
              <w:rPr>
                <w:rFonts w:ascii="Arial" w:hAnsi="Arial" w:cs="Arial"/>
                <w:sz w:val="12"/>
                <w:szCs w:val="12"/>
              </w:rPr>
            </w:pPr>
            <w:r>
              <w:rPr>
                <w:rFonts w:ascii="Arial" w:hAnsi="Arial"/>
                <w:sz w:val="12"/>
                <w:szCs w:val="12"/>
              </w:rPr>
              <w:t>Camprodon</w:t>
            </w:r>
          </w:p>
        </w:tc>
      </w:tr>
      <w:tr w:rsidR="002A4DDF" w:rsidRPr="00937C8B" w14:paraId="2DD8F5AF" w14:textId="77777777" w:rsidTr="00935676">
        <w:trPr>
          <w:cantSplit/>
        </w:trPr>
        <w:tc>
          <w:tcPr>
            <w:tcW w:w="1696" w:type="dxa"/>
            <w:tcBorders>
              <w:left w:val="single" w:sz="4" w:space="0" w:color="auto"/>
            </w:tcBorders>
            <w:shd w:val="clear" w:color="auto" w:fill="auto"/>
          </w:tcPr>
          <w:p w14:paraId="6177A462" w14:textId="77777777" w:rsidR="002A4DDF" w:rsidRPr="00937C8B" w:rsidRDefault="002A4DDF" w:rsidP="009110ED">
            <w:pPr>
              <w:rPr>
                <w:rFonts w:ascii="Arial" w:hAnsi="Arial" w:cs="Arial"/>
                <w:sz w:val="12"/>
                <w:szCs w:val="12"/>
              </w:rPr>
            </w:pPr>
          </w:p>
        </w:tc>
        <w:tc>
          <w:tcPr>
            <w:tcW w:w="1843" w:type="dxa"/>
            <w:shd w:val="clear" w:color="auto" w:fill="auto"/>
          </w:tcPr>
          <w:p w14:paraId="45EA3A96" w14:textId="77777777" w:rsidR="002A4DDF" w:rsidRPr="00937C8B" w:rsidRDefault="002A4DDF" w:rsidP="009110ED">
            <w:pPr>
              <w:rPr>
                <w:rFonts w:ascii="Arial" w:hAnsi="Arial" w:cs="Arial"/>
                <w:sz w:val="12"/>
                <w:szCs w:val="12"/>
              </w:rPr>
            </w:pPr>
          </w:p>
        </w:tc>
        <w:tc>
          <w:tcPr>
            <w:tcW w:w="2268" w:type="dxa"/>
            <w:shd w:val="clear" w:color="auto" w:fill="F2F2F2"/>
            <w:hideMark/>
          </w:tcPr>
          <w:p w14:paraId="45D6776A" w14:textId="77777777" w:rsidR="002A4DDF" w:rsidRPr="00937C8B" w:rsidRDefault="002A4DDF" w:rsidP="009110ED">
            <w:pPr>
              <w:rPr>
                <w:rFonts w:ascii="Arial" w:hAnsi="Arial" w:cs="Arial"/>
                <w:sz w:val="12"/>
                <w:szCs w:val="12"/>
              </w:rPr>
            </w:pPr>
            <w:r>
              <w:rPr>
                <w:rFonts w:ascii="Arial" w:hAnsi="Arial"/>
                <w:sz w:val="12"/>
                <w:szCs w:val="12"/>
              </w:rPr>
              <w:t>Cabanes</w:t>
            </w:r>
          </w:p>
        </w:tc>
        <w:tc>
          <w:tcPr>
            <w:tcW w:w="2268" w:type="dxa"/>
            <w:tcBorders>
              <w:right w:val="single" w:sz="4" w:space="0" w:color="auto"/>
            </w:tcBorders>
            <w:shd w:val="clear" w:color="auto" w:fill="D9D9D9"/>
            <w:hideMark/>
          </w:tcPr>
          <w:p w14:paraId="4FAFFF10" w14:textId="77777777" w:rsidR="002A4DDF" w:rsidRPr="00937C8B" w:rsidRDefault="002A4DDF" w:rsidP="009110ED">
            <w:pPr>
              <w:rPr>
                <w:rFonts w:ascii="Arial" w:hAnsi="Arial" w:cs="Arial"/>
                <w:sz w:val="12"/>
                <w:szCs w:val="12"/>
              </w:rPr>
            </w:pPr>
            <w:r>
              <w:rPr>
                <w:rFonts w:ascii="Arial" w:hAnsi="Arial"/>
                <w:sz w:val="12"/>
                <w:szCs w:val="12"/>
              </w:rPr>
              <w:t>Cassà de la Selva</w:t>
            </w:r>
          </w:p>
        </w:tc>
      </w:tr>
      <w:tr w:rsidR="002A4DDF" w:rsidRPr="00937C8B" w14:paraId="4DD739BC" w14:textId="77777777" w:rsidTr="00935676">
        <w:trPr>
          <w:cantSplit/>
        </w:trPr>
        <w:tc>
          <w:tcPr>
            <w:tcW w:w="1696" w:type="dxa"/>
            <w:tcBorders>
              <w:left w:val="single" w:sz="4" w:space="0" w:color="auto"/>
            </w:tcBorders>
            <w:shd w:val="clear" w:color="auto" w:fill="auto"/>
          </w:tcPr>
          <w:p w14:paraId="7756117D" w14:textId="77777777" w:rsidR="002A4DDF" w:rsidRPr="00937C8B" w:rsidRDefault="002A4DDF" w:rsidP="009110ED">
            <w:pPr>
              <w:rPr>
                <w:rFonts w:ascii="Arial" w:hAnsi="Arial" w:cs="Arial"/>
                <w:sz w:val="12"/>
                <w:szCs w:val="12"/>
              </w:rPr>
            </w:pPr>
          </w:p>
        </w:tc>
        <w:tc>
          <w:tcPr>
            <w:tcW w:w="1843" w:type="dxa"/>
            <w:shd w:val="clear" w:color="auto" w:fill="auto"/>
          </w:tcPr>
          <w:p w14:paraId="3BE9DD39" w14:textId="77777777" w:rsidR="002A4DDF" w:rsidRPr="00937C8B" w:rsidRDefault="002A4DDF" w:rsidP="009110ED">
            <w:pPr>
              <w:rPr>
                <w:rFonts w:ascii="Arial" w:hAnsi="Arial" w:cs="Arial"/>
                <w:sz w:val="12"/>
                <w:szCs w:val="12"/>
              </w:rPr>
            </w:pPr>
          </w:p>
        </w:tc>
        <w:tc>
          <w:tcPr>
            <w:tcW w:w="2268" w:type="dxa"/>
            <w:shd w:val="clear" w:color="auto" w:fill="F2F2F2"/>
            <w:hideMark/>
          </w:tcPr>
          <w:p w14:paraId="15D8B471" w14:textId="77777777" w:rsidR="002A4DDF" w:rsidRPr="00937C8B" w:rsidRDefault="002A4DDF" w:rsidP="009110ED">
            <w:pPr>
              <w:rPr>
                <w:rFonts w:ascii="Arial" w:hAnsi="Arial" w:cs="Arial"/>
                <w:sz w:val="12"/>
                <w:szCs w:val="12"/>
              </w:rPr>
            </w:pPr>
            <w:r>
              <w:rPr>
                <w:rFonts w:ascii="Arial" w:hAnsi="Arial"/>
                <w:sz w:val="12"/>
                <w:szCs w:val="12"/>
              </w:rPr>
              <w:t>Camós</w:t>
            </w:r>
          </w:p>
        </w:tc>
        <w:tc>
          <w:tcPr>
            <w:tcW w:w="2268" w:type="dxa"/>
            <w:tcBorders>
              <w:right w:val="single" w:sz="4" w:space="0" w:color="auto"/>
            </w:tcBorders>
            <w:shd w:val="clear" w:color="auto" w:fill="D9D9D9"/>
            <w:hideMark/>
          </w:tcPr>
          <w:p w14:paraId="358F19A2" w14:textId="77777777" w:rsidR="002A4DDF" w:rsidRPr="00937C8B" w:rsidRDefault="002A4DDF" w:rsidP="009110ED">
            <w:pPr>
              <w:rPr>
                <w:rFonts w:ascii="Arial" w:hAnsi="Arial" w:cs="Arial"/>
                <w:sz w:val="12"/>
                <w:szCs w:val="12"/>
              </w:rPr>
            </w:pPr>
            <w:r>
              <w:rPr>
                <w:rFonts w:ascii="Arial" w:hAnsi="Arial"/>
                <w:sz w:val="12"/>
                <w:szCs w:val="12"/>
              </w:rPr>
              <w:t>Castell-Platja d'Aro</w:t>
            </w:r>
          </w:p>
        </w:tc>
      </w:tr>
      <w:tr w:rsidR="002A4DDF" w:rsidRPr="00937C8B" w14:paraId="2DE6C2D1" w14:textId="77777777" w:rsidTr="00935676">
        <w:trPr>
          <w:cantSplit/>
        </w:trPr>
        <w:tc>
          <w:tcPr>
            <w:tcW w:w="1696" w:type="dxa"/>
            <w:tcBorders>
              <w:left w:val="single" w:sz="4" w:space="0" w:color="auto"/>
            </w:tcBorders>
            <w:shd w:val="clear" w:color="auto" w:fill="auto"/>
          </w:tcPr>
          <w:p w14:paraId="54CED1FD" w14:textId="77777777" w:rsidR="002A4DDF" w:rsidRPr="00937C8B" w:rsidRDefault="002A4DDF" w:rsidP="009110ED">
            <w:pPr>
              <w:rPr>
                <w:rFonts w:ascii="Arial" w:hAnsi="Arial" w:cs="Arial"/>
                <w:sz w:val="12"/>
                <w:szCs w:val="12"/>
              </w:rPr>
            </w:pPr>
          </w:p>
        </w:tc>
        <w:tc>
          <w:tcPr>
            <w:tcW w:w="1843" w:type="dxa"/>
            <w:shd w:val="clear" w:color="auto" w:fill="auto"/>
          </w:tcPr>
          <w:p w14:paraId="1D5AB7F2" w14:textId="77777777" w:rsidR="002A4DDF" w:rsidRPr="00937C8B" w:rsidRDefault="002A4DDF" w:rsidP="009110ED">
            <w:pPr>
              <w:rPr>
                <w:rFonts w:ascii="Arial" w:hAnsi="Arial" w:cs="Arial"/>
                <w:sz w:val="12"/>
                <w:szCs w:val="12"/>
              </w:rPr>
            </w:pPr>
          </w:p>
        </w:tc>
        <w:tc>
          <w:tcPr>
            <w:tcW w:w="2268" w:type="dxa"/>
            <w:shd w:val="clear" w:color="auto" w:fill="F2F2F2"/>
            <w:hideMark/>
          </w:tcPr>
          <w:p w14:paraId="3C4F7B02" w14:textId="77777777" w:rsidR="002A4DDF" w:rsidRPr="00937C8B" w:rsidRDefault="002A4DDF" w:rsidP="009110ED">
            <w:pPr>
              <w:rPr>
                <w:rFonts w:ascii="Arial" w:hAnsi="Arial" w:cs="Arial"/>
                <w:sz w:val="12"/>
                <w:szCs w:val="12"/>
              </w:rPr>
            </w:pPr>
            <w:r>
              <w:rPr>
                <w:rFonts w:ascii="Arial" w:hAnsi="Arial"/>
                <w:sz w:val="12"/>
                <w:szCs w:val="12"/>
              </w:rPr>
              <w:t>Campdevànol</w:t>
            </w:r>
          </w:p>
        </w:tc>
        <w:tc>
          <w:tcPr>
            <w:tcW w:w="2268" w:type="dxa"/>
            <w:tcBorders>
              <w:right w:val="single" w:sz="4" w:space="0" w:color="auto"/>
            </w:tcBorders>
            <w:shd w:val="clear" w:color="auto" w:fill="D9D9D9"/>
            <w:hideMark/>
          </w:tcPr>
          <w:p w14:paraId="502EC920" w14:textId="77777777" w:rsidR="002A4DDF" w:rsidRPr="00937C8B" w:rsidRDefault="002A4DDF" w:rsidP="009110ED">
            <w:pPr>
              <w:rPr>
                <w:rFonts w:ascii="Arial" w:hAnsi="Arial" w:cs="Arial"/>
                <w:sz w:val="12"/>
                <w:szCs w:val="12"/>
              </w:rPr>
            </w:pPr>
            <w:r>
              <w:rPr>
                <w:rFonts w:ascii="Arial" w:hAnsi="Arial"/>
                <w:sz w:val="12"/>
                <w:szCs w:val="12"/>
              </w:rPr>
              <w:t>Colera</w:t>
            </w:r>
          </w:p>
        </w:tc>
      </w:tr>
      <w:tr w:rsidR="002A4DDF" w:rsidRPr="00937C8B" w14:paraId="3ECC19C4" w14:textId="77777777" w:rsidTr="00935676">
        <w:trPr>
          <w:cantSplit/>
        </w:trPr>
        <w:tc>
          <w:tcPr>
            <w:tcW w:w="1696" w:type="dxa"/>
            <w:tcBorders>
              <w:left w:val="single" w:sz="4" w:space="0" w:color="auto"/>
            </w:tcBorders>
            <w:shd w:val="clear" w:color="auto" w:fill="auto"/>
          </w:tcPr>
          <w:p w14:paraId="08CC9EE0" w14:textId="77777777" w:rsidR="002A4DDF" w:rsidRPr="00937C8B" w:rsidRDefault="002A4DDF" w:rsidP="009110ED">
            <w:pPr>
              <w:rPr>
                <w:rFonts w:ascii="Arial" w:hAnsi="Arial" w:cs="Arial"/>
                <w:sz w:val="12"/>
                <w:szCs w:val="12"/>
              </w:rPr>
            </w:pPr>
          </w:p>
        </w:tc>
        <w:tc>
          <w:tcPr>
            <w:tcW w:w="1843" w:type="dxa"/>
            <w:shd w:val="clear" w:color="auto" w:fill="auto"/>
          </w:tcPr>
          <w:p w14:paraId="2CF7ADC6" w14:textId="77777777" w:rsidR="002A4DDF" w:rsidRPr="00937C8B" w:rsidRDefault="002A4DDF" w:rsidP="009110ED">
            <w:pPr>
              <w:rPr>
                <w:rFonts w:ascii="Arial" w:hAnsi="Arial" w:cs="Arial"/>
                <w:sz w:val="12"/>
                <w:szCs w:val="12"/>
              </w:rPr>
            </w:pPr>
          </w:p>
        </w:tc>
        <w:tc>
          <w:tcPr>
            <w:tcW w:w="2268" w:type="dxa"/>
            <w:shd w:val="clear" w:color="auto" w:fill="F2F2F2"/>
            <w:hideMark/>
          </w:tcPr>
          <w:p w14:paraId="34D259D3" w14:textId="77777777" w:rsidR="002A4DDF" w:rsidRPr="00937C8B" w:rsidRDefault="002A4DDF" w:rsidP="009110ED">
            <w:pPr>
              <w:rPr>
                <w:rFonts w:ascii="Arial" w:hAnsi="Arial" w:cs="Arial"/>
                <w:sz w:val="12"/>
                <w:szCs w:val="12"/>
              </w:rPr>
            </w:pPr>
            <w:r>
              <w:rPr>
                <w:rFonts w:ascii="Arial" w:hAnsi="Arial"/>
                <w:sz w:val="12"/>
                <w:szCs w:val="12"/>
              </w:rPr>
              <w:t>Campllong</w:t>
            </w:r>
          </w:p>
        </w:tc>
        <w:tc>
          <w:tcPr>
            <w:tcW w:w="2268" w:type="dxa"/>
            <w:tcBorders>
              <w:right w:val="single" w:sz="4" w:space="0" w:color="auto"/>
            </w:tcBorders>
            <w:shd w:val="clear" w:color="auto" w:fill="D9D9D9"/>
            <w:hideMark/>
          </w:tcPr>
          <w:p w14:paraId="04CCC5C7" w14:textId="77777777" w:rsidR="002A4DDF" w:rsidRPr="00937C8B" w:rsidRDefault="002A4DDF" w:rsidP="009110ED">
            <w:pPr>
              <w:rPr>
                <w:rFonts w:ascii="Arial" w:hAnsi="Arial" w:cs="Arial"/>
                <w:sz w:val="12"/>
                <w:szCs w:val="12"/>
              </w:rPr>
            </w:pPr>
            <w:r>
              <w:rPr>
                <w:rFonts w:ascii="Arial" w:hAnsi="Arial"/>
                <w:sz w:val="12"/>
                <w:szCs w:val="12"/>
              </w:rPr>
              <w:t>Das</w:t>
            </w:r>
          </w:p>
        </w:tc>
      </w:tr>
      <w:tr w:rsidR="002A4DDF" w:rsidRPr="00937C8B" w14:paraId="2FE629A4" w14:textId="77777777" w:rsidTr="00935676">
        <w:trPr>
          <w:cantSplit/>
        </w:trPr>
        <w:tc>
          <w:tcPr>
            <w:tcW w:w="1696" w:type="dxa"/>
            <w:tcBorders>
              <w:left w:val="single" w:sz="4" w:space="0" w:color="auto"/>
            </w:tcBorders>
            <w:shd w:val="clear" w:color="auto" w:fill="auto"/>
          </w:tcPr>
          <w:p w14:paraId="37055011" w14:textId="77777777" w:rsidR="002A4DDF" w:rsidRPr="00937C8B" w:rsidRDefault="002A4DDF" w:rsidP="009110ED">
            <w:pPr>
              <w:rPr>
                <w:rFonts w:ascii="Arial" w:hAnsi="Arial" w:cs="Arial"/>
                <w:sz w:val="12"/>
                <w:szCs w:val="12"/>
              </w:rPr>
            </w:pPr>
          </w:p>
        </w:tc>
        <w:tc>
          <w:tcPr>
            <w:tcW w:w="1843" w:type="dxa"/>
            <w:shd w:val="clear" w:color="auto" w:fill="auto"/>
          </w:tcPr>
          <w:p w14:paraId="61DD6A2D" w14:textId="77777777" w:rsidR="002A4DDF" w:rsidRPr="00937C8B" w:rsidRDefault="002A4DDF" w:rsidP="009110ED">
            <w:pPr>
              <w:rPr>
                <w:rFonts w:ascii="Arial" w:hAnsi="Arial" w:cs="Arial"/>
                <w:sz w:val="12"/>
                <w:szCs w:val="12"/>
              </w:rPr>
            </w:pPr>
          </w:p>
        </w:tc>
        <w:tc>
          <w:tcPr>
            <w:tcW w:w="2268" w:type="dxa"/>
            <w:shd w:val="clear" w:color="auto" w:fill="F2F2F2"/>
            <w:hideMark/>
          </w:tcPr>
          <w:p w14:paraId="063F1D90" w14:textId="77777777" w:rsidR="002A4DDF" w:rsidRPr="00937C8B" w:rsidRDefault="002A4DDF" w:rsidP="009110ED">
            <w:pPr>
              <w:rPr>
                <w:rFonts w:ascii="Arial" w:hAnsi="Arial" w:cs="Arial"/>
                <w:sz w:val="12"/>
                <w:szCs w:val="12"/>
              </w:rPr>
            </w:pPr>
            <w:r>
              <w:rPr>
                <w:rFonts w:ascii="Arial" w:hAnsi="Arial"/>
                <w:sz w:val="12"/>
                <w:szCs w:val="12"/>
              </w:rPr>
              <w:t>Canet d'Adri</w:t>
            </w:r>
          </w:p>
        </w:tc>
        <w:tc>
          <w:tcPr>
            <w:tcW w:w="2268" w:type="dxa"/>
            <w:tcBorders>
              <w:right w:val="single" w:sz="4" w:space="0" w:color="auto"/>
            </w:tcBorders>
            <w:shd w:val="clear" w:color="auto" w:fill="D9D9D9"/>
            <w:hideMark/>
          </w:tcPr>
          <w:p w14:paraId="3E5DCF4A" w14:textId="77777777" w:rsidR="002A4DDF" w:rsidRPr="00937C8B" w:rsidRDefault="002A4DDF" w:rsidP="009110ED">
            <w:pPr>
              <w:rPr>
                <w:rFonts w:ascii="Arial" w:hAnsi="Arial" w:cs="Arial"/>
                <w:sz w:val="12"/>
                <w:szCs w:val="12"/>
              </w:rPr>
            </w:pPr>
            <w:r>
              <w:rPr>
                <w:rFonts w:ascii="Arial" w:hAnsi="Arial"/>
                <w:sz w:val="12"/>
                <w:szCs w:val="12"/>
              </w:rPr>
              <w:t>El Port de la Selva</w:t>
            </w:r>
          </w:p>
        </w:tc>
      </w:tr>
      <w:tr w:rsidR="002A4DDF" w:rsidRPr="00937C8B" w14:paraId="4FF388E2" w14:textId="77777777" w:rsidTr="00935676">
        <w:trPr>
          <w:cantSplit/>
        </w:trPr>
        <w:tc>
          <w:tcPr>
            <w:tcW w:w="1696" w:type="dxa"/>
            <w:tcBorders>
              <w:left w:val="single" w:sz="4" w:space="0" w:color="auto"/>
            </w:tcBorders>
            <w:shd w:val="clear" w:color="auto" w:fill="auto"/>
          </w:tcPr>
          <w:p w14:paraId="2BD857AA" w14:textId="77777777" w:rsidR="002A4DDF" w:rsidRPr="00937C8B" w:rsidRDefault="002A4DDF" w:rsidP="009110ED">
            <w:pPr>
              <w:rPr>
                <w:rFonts w:ascii="Arial" w:hAnsi="Arial" w:cs="Arial"/>
                <w:sz w:val="12"/>
                <w:szCs w:val="12"/>
              </w:rPr>
            </w:pPr>
          </w:p>
        </w:tc>
        <w:tc>
          <w:tcPr>
            <w:tcW w:w="1843" w:type="dxa"/>
            <w:shd w:val="clear" w:color="auto" w:fill="auto"/>
          </w:tcPr>
          <w:p w14:paraId="25A7DB7E" w14:textId="77777777" w:rsidR="002A4DDF" w:rsidRPr="00937C8B" w:rsidRDefault="002A4DDF" w:rsidP="009110ED">
            <w:pPr>
              <w:rPr>
                <w:rFonts w:ascii="Arial" w:hAnsi="Arial" w:cs="Arial"/>
                <w:sz w:val="12"/>
                <w:szCs w:val="12"/>
              </w:rPr>
            </w:pPr>
          </w:p>
        </w:tc>
        <w:tc>
          <w:tcPr>
            <w:tcW w:w="2268" w:type="dxa"/>
            <w:shd w:val="clear" w:color="auto" w:fill="F2F2F2"/>
            <w:hideMark/>
          </w:tcPr>
          <w:p w14:paraId="339C363C" w14:textId="77777777" w:rsidR="002A4DDF" w:rsidRPr="00937C8B" w:rsidRDefault="002A4DDF" w:rsidP="009110ED">
            <w:pPr>
              <w:rPr>
                <w:rFonts w:ascii="Arial" w:hAnsi="Arial" w:cs="Arial"/>
                <w:sz w:val="12"/>
                <w:szCs w:val="12"/>
              </w:rPr>
            </w:pPr>
            <w:r>
              <w:rPr>
                <w:rFonts w:ascii="Arial" w:hAnsi="Arial"/>
                <w:sz w:val="12"/>
                <w:szCs w:val="12"/>
              </w:rPr>
              <w:t>Cantallops</w:t>
            </w:r>
          </w:p>
        </w:tc>
        <w:tc>
          <w:tcPr>
            <w:tcW w:w="2268" w:type="dxa"/>
            <w:tcBorders>
              <w:right w:val="single" w:sz="4" w:space="0" w:color="auto"/>
            </w:tcBorders>
            <w:shd w:val="clear" w:color="auto" w:fill="D9D9D9"/>
            <w:hideMark/>
          </w:tcPr>
          <w:p w14:paraId="0AD95DE3" w14:textId="77777777" w:rsidR="002A4DDF" w:rsidRPr="00937C8B" w:rsidRDefault="002A4DDF" w:rsidP="009110ED">
            <w:pPr>
              <w:rPr>
                <w:rFonts w:ascii="Arial" w:hAnsi="Arial" w:cs="Arial"/>
                <w:sz w:val="12"/>
                <w:szCs w:val="12"/>
              </w:rPr>
            </w:pPr>
            <w:r>
              <w:rPr>
                <w:rFonts w:ascii="Arial" w:hAnsi="Arial"/>
                <w:sz w:val="12"/>
                <w:szCs w:val="12"/>
              </w:rPr>
              <w:t>Espinelves</w:t>
            </w:r>
          </w:p>
        </w:tc>
      </w:tr>
      <w:tr w:rsidR="002A4DDF" w:rsidRPr="00937C8B" w14:paraId="03A6C3F2" w14:textId="77777777" w:rsidTr="00935676">
        <w:trPr>
          <w:cantSplit/>
        </w:trPr>
        <w:tc>
          <w:tcPr>
            <w:tcW w:w="1696" w:type="dxa"/>
            <w:tcBorders>
              <w:left w:val="single" w:sz="4" w:space="0" w:color="auto"/>
            </w:tcBorders>
            <w:shd w:val="clear" w:color="auto" w:fill="auto"/>
          </w:tcPr>
          <w:p w14:paraId="4CD72183" w14:textId="77777777" w:rsidR="002A4DDF" w:rsidRPr="00937C8B" w:rsidRDefault="002A4DDF" w:rsidP="009110ED">
            <w:pPr>
              <w:rPr>
                <w:rFonts w:ascii="Arial" w:hAnsi="Arial" w:cs="Arial"/>
                <w:sz w:val="12"/>
                <w:szCs w:val="12"/>
              </w:rPr>
            </w:pPr>
          </w:p>
        </w:tc>
        <w:tc>
          <w:tcPr>
            <w:tcW w:w="1843" w:type="dxa"/>
            <w:shd w:val="clear" w:color="auto" w:fill="auto"/>
          </w:tcPr>
          <w:p w14:paraId="742D8F81" w14:textId="77777777" w:rsidR="002A4DDF" w:rsidRPr="00937C8B" w:rsidRDefault="002A4DDF" w:rsidP="009110ED">
            <w:pPr>
              <w:rPr>
                <w:rFonts w:ascii="Arial" w:hAnsi="Arial" w:cs="Arial"/>
                <w:sz w:val="12"/>
                <w:szCs w:val="12"/>
              </w:rPr>
            </w:pPr>
          </w:p>
        </w:tc>
        <w:tc>
          <w:tcPr>
            <w:tcW w:w="2268" w:type="dxa"/>
            <w:shd w:val="clear" w:color="auto" w:fill="F2F2F2"/>
            <w:hideMark/>
          </w:tcPr>
          <w:p w14:paraId="12E73DCE" w14:textId="77777777" w:rsidR="002A4DDF" w:rsidRPr="00937C8B" w:rsidRDefault="002A4DDF" w:rsidP="009110ED">
            <w:pPr>
              <w:rPr>
                <w:rFonts w:ascii="Arial" w:hAnsi="Arial" w:cs="Arial"/>
                <w:sz w:val="12"/>
                <w:szCs w:val="12"/>
              </w:rPr>
            </w:pPr>
            <w:r>
              <w:rPr>
                <w:rFonts w:ascii="Arial" w:hAnsi="Arial"/>
                <w:sz w:val="12"/>
                <w:szCs w:val="12"/>
              </w:rPr>
              <w:t>Capmany</w:t>
            </w:r>
          </w:p>
        </w:tc>
        <w:tc>
          <w:tcPr>
            <w:tcW w:w="2268" w:type="dxa"/>
            <w:tcBorders>
              <w:right w:val="single" w:sz="4" w:space="0" w:color="auto"/>
            </w:tcBorders>
            <w:shd w:val="clear" w:color="auto" w:fill="D9D9D9"/>
            <w:hideMark/>
          </w:tcPr>
          <w:p w14:paraId="4C3AB7B7" w14:textId="77777777" w:rsidR="002A4DDF" w:rsidRPr="00937C8B" w:rsidRDefault="002A4DDF" w:rsidP="009110ED">
            <w:pPr>
              <w:rPr>
                <w:rFonts w:ascii="Arial" w:hAnsi="Arial" w:cs="Arial"/>
                <w:sz w:val="12"/>
                <w:szCs w:val="12"/>
              </w:rPr>
            </w:pPr>
            <w:r>
              <w:rPr>
                <w:rFonts w:ascii="Arial" w:hAnsi="Arial"/>
                <w:sz w:val="12"/>
                <w:szCs w:val="12"/>
              </w:rPr>
              <w:t>Espolla</w:t>
            </w:r>
          </w:p>
        </w:tc>
      </w:tr>
      <w:tr w:rsidR="002A4DDF" w:rsidRPr="00937C8B" w14:paraId="526C4BA5" w14:textId="77777777" w:rsidTr="00935676">
        <w:trPr>
          <w:cantSplit/>
        </w:trPr>
        <w:tc>
          <w:tcPr>
            <w:tcW w:w="1696" w:type="dxa"/>
            <w:tcBorders>
              <w:left w:val="single" w:sz="4" w:space="0" w:color="auto"/>
            </w:tcBorders>
            <w:shd w:val="clear" w:color="auto" w:fill="auto"/>
          </w:tcPr>
          <w:p w14:paraId="2FB7D3F0" w14:textId="77777777" w:rsidR="002A4DDF" w:rsidRPr="00937C8B" w:rsidRDefault="002A4DDF" w:rsidP="009110ED">
            <w:pPr>
              <w:rPr>
                <w:rFonts w:ascii="Arial" w:hAnsi="Arial" w:cs="Arial"/>
                <w:sz w:val="12"/>
                <w:szCs w:val="12"/>
              </w:rPr>
            </w:pPr>
          </w:p>
        </w:tc>
        <w:tc>
          <w:tcPr>
            <w:tcW w:w="1843" w:type="dxa"/>
            <w:shd w:val="clear" w:color="auto" w:fill="auto"/>
          </w:tcPr>
          <w:p w14:paraId="3A4A5A6E" w14:textId="77777777" w:rsidR="002A4DDF" w:rsidRPr="00937C8B" w:rsidRDefault="002A4DDF" w:rsidP="009110ED">
            <w:pPr>
              <w:rPr>
                <w:rFonts w:ascii="Arial" w:hAnsi="Arial" w:cs="Arial"/>
                <w:sz w:val="12"/>
                <w:szCs w:val="12"/>
              </w:rPr>
            </w:pPr>
          </w:p>
        </w:tc>
        <w:tc>
          <w:tcPr>
            <w:tcW w:w="2268" w:type="dxa"/>
            <w:shd w:val="clear" w:color="auto" w:fill="F2F2F2"/>
            <w:hideMark/>
          </w:tcPr>
          <w:p w14:paraId="517C094C" w14:textId="77777777" w:rsidR="002A4DDF" w:rsidRPr="00937C8B" w:rsidRDefault="002A4DDF" w:rsidP="009110ED">
            <w:pPr>
              <w:rPr>
                <w:rFonts w:ascii="Arial" w:hAnsi="Arial" w:cs="Arial"/>
                <w:sz w:val="12"/>
                <w:szCs w:val="12"/>
              </w:rPr>
            </w:pPr>
            <w:r>
              <w:rPr>
                <w:rFonts w:ascii="Arial" w:hAnsi="Arial"/>
                <w:sz w:val="12"/>
                <w:szCs w:val="12"/>
              </w:rPr>
              <w:t>Castelló d'Empúries</w:t>
            </w:r>
          </w:p>
        </w:tc>
        <w:tc>
          <w:tcPr>
            <w:tcW w:w="2268" w:type="dxa"/>
            <w:tcBorders>
              <w:right w:val="single" w:sz="4" w:space="0" w:color="auto"/>
            </w:tcBorders>
            <w:shd w:val="clear" w:color="auto" w:fill="D9D9D9"/>
            <w:hideMark/>
          </w:tcPr>
          <w:p w14:paraId="1E7D928F" w14:textId="77777777" w:rsidR="002A4DDF" w:rsidRPr="00937C8B" w:rsidRDefault="002A4DDF" w:rsidP="009110ED">
            <w:pPr>
              <w:rPr>
                <w:rFonts w:ascii="Arial" w:hAnsi="Arial" w:cs="Arial"/>
                <w:sz w:val="12"/>
                <w:szCs w:val="12"/>
              </w:rPr>
            </w:pPr>
            <w:r>
              <w:rPr>
                <w:rFonts w:ascii="Arial" w:hAnsi="Arial"/>
                <w:sz w:val="12"/>
                <w:szCs w:val="12"/>
              </w:rPr>
              <w:t>Fontanals de Cerdanya</w:t>
            </w:r>
          </w:p>
        </w:tc>
      </w:tr>
      <w:tr w:rsidR="002A4DDF" w:rsidRPr="00937C8B" w14:paraId="683E96AF" w14:textId="77777777" w:rsidTr="00935676">
        <w:trPr>
          <w:cantSplit/>
        </w:trPr>
        <w:tc>
          <w:tcPr>
            <w:tcW w:w="1696" w:type="dxa"/>
            <w:tcBorders>
              <w:left w:val="single" w:sz="4" w:space="0" w:color="auto"/>
            </w:tcBorders>
            <w:shd w:val="clear" w:color="auto" w:fill="auto"/>
          </w:tcPr>
          <w:p w14:paraId="1F9ECEA9" w14:textId="77777777" w:rsidR="002A4DDF" w:rsidRPr="00937C8B" w:rsidRDefault="002A4DDF" w:rsidP="009110ED">
            <w:pPr>
              <w:rPr>
                <w:rFonts w:ascii="Arial" w:hAnsi="Arial" w:cs="Arial"/>
                <w:sz w:val="12"/>
                <w:szCs w:val="12"/>
              </w:rPr>
            </w:pPr>
          </w:p>
        </w:tc>
        <w:tc>
          <w:tcPr>
            <w:tcW w:w="1843" w:type="dxa"/>
            <w:shd w:val="clear" w:color="auto" w:fill="auto"/>
          </w:tcPr>
          <w:p w14:paraId="2A6AFB71" w14:textId="77777777" w:rsidR="002A4DDF" w:rsidRPr="00937C8B" w:rsidRDefault="002A4DDF" w:rsidP="009110ED">
            <w:pPr>
              <w:rPr>
                <w:rFonts w:ascii="Arial" w:hAnsi="Arial" w:cs="Arial"/>
                <w:sz w:val="12"/>
                <w:szCs w:val="12"/>
              </w:rPr>
            </w:pPr>
          </w:p>
        </w:tc>
        <w:tc>
          <w:tcPr>
            <w:tcW w:w="2268" w:type="dxa"/>
            <w:shd w:val="clear" w:color="auto" w:fill="F2F2F2"/>
            <w:hideMark/>
          </w:tcPr>
          <w:p w14:paraId="653CF3EB" w14:textId="77777777" w:rsidR="002A4DDF" w:rsidRPr="00937C8B" w:rsidRDefault="002A4DDF" w:rsidP="009110ED">
            <w:pPr>
              <w:rPr>
                <w:rFonts w:ascii="Arial" w:hAnsi="Arial" w:cs="Arial"/>
                <w:sz w:val="12"/>
                <w:szCs w:val="12"/>
              </w:rPr>
            </w:pPr>
            <w:r>
              <w:rPr>
                <w:rFonts w:ascii="Arial" w:hAnsi="Arial"/>
                <w:sz w:val="12"/>
                <w:szCs w:val="12"/>
              </w:rPr>
              <w:t>Celrà</w:t>
            </w:r>
          </w:p>
        </w:tc>
        <w:tc>
          <w:tcPr>
            <w:tcW w:w="2268" w:type="dxa"/>
            <w:tcBorders>
              <w:right w:val="single" w:sz="4" w:space="0" w:color="auto"/>
            </w:tcBorders>
            <w:shd w:val="clear" w:color="auto" w:fill="D9D9D9"/>
            <w:hideMark/>
          </w:tcPr>
          <w:p w14:paraId="6E665E5A" w14:textId="77777777" w:rsidR="002A4DDF" w:rsidRPr="00937C8B" w:rsidRDefault="002A4DDF" w:rsidP="009110ED">
            <w:pPr>
              <w:rPr>
                <w:rFonts w:ascii="Arial" w:hAnsi="Arial" w:cs="Arial"/>
                <w:sz w:val="12"/>
                <w:szCs w:val="12"/>
              </w:rPr>
            </w:pPr>
            <w:r>
              <w:rPr>
                <w:rFonts w:ascii="Arial" w:hAnsi="Arial"/>
                <w:sz w:val="12"/>
                <w:szCs w:val="12"/>
              </w:rPr>
              <w:t>Garriguella</w:t>
            </w:r>
          </w:p>
        </w:tc>
      </w:tr>
      <w:tr w:rsidR="002A4DDF" w:rsidRPr="00937C8B" w14:paraId="6431122F" w14:textId="77777777" w:rsidTr="00935676">
        <w:trPr>
          <w:cantSplit/>
        </w:trPr>
        <w:tc>
          <w:tcPr>
            <w:tcW w:w="1696" w:type="dxa"/>
            <w:tcBorders>
              <w:left w:val="single" w:sz="4" w:space="0" w:color="auto"/>
            </w:tcBorders>
            <w:shd w:val="clear" w:color="auto" w:fill="auto"/>
          </w:tcPr>
          <w:p w14:paraId="4427984F" w14:textId="77777777" w:rsidR="002A4DDF" w:rsidRPr="00937C8B" w:rsidRDefault="002A4DDF" w:rsidP="009110ED">
            <w:pPr>
              <w:rPr>
                <w:rFonts w:ascii="Arial" w:hAnsi="Arial" w:cs="Arial"/>
                <w:sz w:val="12"/>
                <w:szCs w:val="12"/>
              </w:rPr>
            </w:pPr>
          </w:p>
        </w:tc>
        <w:tc>
          <w:tcPr>
            <w:tcW w:w="1843" w:type="dxa"/>
            <w:shd w:val="clear" w:color="auto" w:fill="auto"/>
          </w:tcPr>
          <w:p w14:paraId="3E0AD548" w14:textId="77777777" w:rsidR="002A4DDF" w:rsidRPr="00937C8B" w:rsidRDefault="002A4DDF" w:rsidP="009110ED">
            <w:pPr>
              <w:rPr>
                <w:rFonts w:ascii="Arial" w:hAnsi="Arial" w:cs="Arial"/>
                <w:sz w:val="12"/>
                <w:szCs w:val="12"/>
              </w:rPr>
            </w:pPr>
          </w:p>
        </w:tc>
        <w:tc>
          <w:tcPr>
            <w:tcW w:w="2268" w:type="dxa"/>
            <w:shd w:val="clear" w:color="auto" w:fill="F2F2F2"/>
            <w:hideMark/>
          </w:tcPr>
          <w:p w14:paraId="40A5090B" w14:textId="77777777" w:rsidR="002A4DDF" w:rsidRPr="00937C8B" w:rsidRDefault="002A4DDF" w:rsidP="009110ED">
            <w:pPr>
              <w:rPr>
                <w:rFonts w:ascii="Arial" w:hAnsi="Arial" w:cs="Arial"/>
                <w:sz w:val="12"/>
                <w:szCs w:val="12"/>
              </w:rPr>
            </w:pPr>
            <w:r>
              <w:rPr>
                <w:rFonts w:ascii="Arial" w:hAnsi="Arial"/>
                <w:sz w:val="12"/>
                <w:szCs w:val="12"/>
              </w:rPr>
              <w:t>Cervià de Ter</w:t>
            </w:r>
          </w:p>
        </w:tc>
        <w:tc>
          <w:tcPr>
            <w:tcW w:w="2268" w:type="dxa"/>
            <w:tcBorders>
              <w:right w:val="single" w:sz="4" w:space="0" w:color="auto"/>
            </w:tcBorders>
            <w:shd w:val="clear" w:color="auto" w:fill="D9D9D9"/>
            <w:hideMark/>
          </w:tcPr>
          <w:p w14:paraId="1658B554" w14:textId="77777777" w:rsidR="002A4DDF" w:rsidRPr="00937C8B" w:rsidRDefault="002A4DDF" w:rsidP="009110ED">
            <w:pPr>
              <w:rPr>
                <w:rFonts w:ascii="Arial" w:hAnsi="Arial" w:cs="Arial"/>
                <w:sz w:val="12"/>
                <w:szCs w:val="12"/>
              </w:rPr>
            </w:pPr>
            <w:r>
              <w:rPr>
                <w:rFonts w:ascii="Arial" w:hAnsi="Arial"/>
                <w:sz w:val="12"/>
                <w:szCs w:val="12"/>
              </w:rPr>
              <w:t>Ger</w:t>
            </w:r>
          </w:p>
        </w:tc>
      </w:tr>
      <w:tr w:rsidR="002A4DDF" w:rsidRPr="00937C8B" w14:paraId="3FD2C12C" w14:textId="77777777" w:rsidTr="00935676">
        <w:trPr>
          <w:cantSplit/>
        </w:trPr>
        <w:tc>
          <w:tcPr>
            <w:tcW w:w="1696" w:type="dxa"/>
            <w:tcBorders>
              <w:left w:val="single" w:sz="4" w:space="0" w:color="auto"/>
            </w:tcBorders>
            <w:shd w:val="clear" w:color="auto" w:fill="auto"/>
          </w:tcPr>
          <w:p w14:paraId="49937788" w14:textId="77777777" w:rsidR="002A4DDF" w:rsidRPr="00937C8B" w:rsidRDefault="002A4DDF" w:rsidP="009110ED">
            <w:pPr>
              <w:rPr>
                <w:rFonts w:ascii="Arial" w:hAnsi="Arial" w:cs="Arial"/>
                <w:sz w:val="12"/>
                <w:szCs w:val="12"/>
              </w:rPr>
            </w:pPr>
          </w:p>
        </w:tc>
        <w:tc>
          <w:tcPr>
            <w:tcW w:w="1843" w:type="dxa"/>
            <w:shd w:val="clear" w:color="auto" w:fill="auto"/>
          </w:tcPr>
          <w:p w14:paraId="395D69CF" w14:textId="77777777" w:rsidR="002A4DDF" w:rsidRPr="00937C8B" w:rsidRDefault="002A4DDF" w:rsidP="009110ED">
            <w:pPr>
              <w:rPr>
                <w:rFonts w:ascii="Arial" w:hAnsi="Arial" w:cs="Arial"/>
                <w:sz w:val="12"/>
                <w:szCs w:val="12"/>
              </w:rPr>
            </w:pPr>
          </w:p>
        </w:tc>
        <w:tc>
          <w:tcPr>
            <w:tcW w:w="2268" w:type="dxa"/>
            <w:shd w:val="clear" w:color="auto" w:fill="F2F2F2"/>
            <w:hideMark/>
          </w:tcPr>
          <w:p w14:paraId="4FB0F607" w14:textId="77777777" w:rsidR="002A4DDF" w:rsidRPr="00937C8B" w:rsidRDefault="002A4DDF" w:rsidP="009110ED">
            <w:pPr>
              <w:rPr>
                <w:rFonts w:ascii="Arial" w:hAnsi="Arial" w:cs="Arial"/>
                <w:sz w:val="12"/>
                <w:szCs w:val="12"/>
              </w:rPr>
            </w:pPr>
            <w:r>
              <w:rPr>
                <w:rFonts w:ascii="Arial" w:hAnsi="Arial"/>
                <w:sz w:val="12"/>
                <w:szCs w:val="12"/>
              </w:rPr>
              <w:t>Cistella</w:t>
            </w:r>
          </w:p>
        </w:tc>
        <w:tc>
          <w:tcPr>
            <w:tcW w:w="2268" w:type="dxa"/>
            <w:tcBorders>
              <w:right w:val="single" w:sz="4" w:space="0" w:color="auto"/>
            </w:tcBorders>
            <w:shd w:val="clear" w:color="auto" w:fill="D9D9D9"/>
            <w:hideMark/>
          </w:tcPr>
          <w:p w14:paraId="52DB3D7D" w14:textId="77777777" w:rsidR="002A4DDF" w:rsidRPr="00937C8B" w:rsidRDefault="002A4DDF" w:rsidP="009110ED">
            <w:pPr>
              <w:rPr>
                <w:rFonts w:ascii="Arial" w:hAnsi="Arial" w:cs="Arial"/>
                <w:sz w:val="12"/>
                <w:szCs w:val="12"/>
              </w:rPr>
            </w:pPr>
            <w:r>
              <w:rPr>
                <w:rFonts w:ascii="Arial" w:hAnsi="Arial"/>
                <w:sz w:val="12"/>
                <w:szCs w:val="12"/>
              </w:rPr>
              <w:t>Guils de Cerdanya</w:t>
            </w:r>
          </w:p>
        </w:tc>
      </w:tr>
      <w:tr w:rsidR="002A4DDF" w:rsidRPr="00937C8B" w14:paraId="4E41479B" w14:textId="77777777" w:rsidTr="00935676">
        <w:trPr>
          <w:cantSplit/>
        </w:trPr>
        <w:tc>
          <w:tcPr>
            <w:tcW w:w="1696" w:type="dxa"/>
            <w:tcBorders>
              <w:left w:val="single" w:sz="4" w:space="0" w:color="auto"/>
            </w:tcBorders>
            <w:shd w:val="clear" w:color="auto" w:fill="auto"/>
          </w:tcPr>
          <w:p w14:paraId="134989E2" w14:textId="77777777" w:rsidR="002A4DDF" w:rsidRPr="00937C8B" w:rsidRDefault="002A4DDF" w:rsidP="009110ED">
            <w:pPr>
              <w:rPr>
                <w:rFonts w:ascii="Arial" w:hAnsi="Arial" w:cs="Arial"/>
                <w:sz w:val="12"/>
                <w:szCs w:val="12"/>
              </w:rPr>
            </w:pPr>
          </w:p>
        </w:tc>
        <w:tc>
          <w:tcPr>
            <w:tcW w:w="1843" w:type="dxa"/>
            <w:shd w:val="clear" w:color="auto" w:fill="auto"/>
          </w:tcPr>
          <w:p w14:paraId="073B4EDD" w14:textId="77777777" w:rsidR="002A4DDF" w:rsidRPr="00937C8B" w:rsidRDefault="002A4DDF" w:rsidP="009110ED">
            <w:pPr>
              <w:rPr>
                <w:rFonts w:ascii="Arial" w:hAnsi="Arial" w:cs="Arial"/>
                <w:sz w:val="12"/>
                <w:szCs w:val="12"/>
              </w:rPr>
            </w:pPr>
          </w:p>
        </w:tc>
        <w:tc>
          <w:tcPr>
            <w:tcW w:w="2268" w:type="dxa"/>
            <w:shd w:val="clear" w:color="auto" w:fill="F2F2F2"/>
            <w:hideMark/>
          </w:tcPr>
          <w:p w14:paraId="094D2AC3" w14:textId="77777777" w:rsidR="002A4DDF" w:rsidRPr="00937C8B" w:rsidRDefault="002A4DDF" w:rsidP="009110ED">
            <w:pPr>
              <w:rPr>
                <w:rFonts w:ascii="Arial" w:hAnsi="Arial" w:cs="Arial"/>
                <w:sz w:val="12"/>
                <w:szCs w:val="12"/>
              </w:rPr>
            </w:pPr>
            <w:r>
              <w:rPr>
                <w:rFonts w:ascii="Arial" w:hAnsi="Arial"/>
                <w:sz w:val="12"/>
                <w:szCs w:val="12"/>
              </w:rPr>
              <w:t>Corçà</w:t>
            </w:r>
          </w:p>
        </w:tc>
        <w:tc>
          <w:tcPr>
            <w:tcW w:w="2268" w:type="dxa"/>
            <w:tcBorders>
              <w:right w:val="single" w:sz="4" w:space="0" w:color="auto"/>
            </w:tcBorders>
            <w:shd w:val="clear" w:color="auto" w:fill="D9D9D9"/>
            <w:hideMark/>
          </w:tcPr>
          <w:p w14:paraId="706E3056" w14:textId="77777777" w:rsidR="002A4DDF" w:rsidRPr="00937C8B" w:rsidRDefault="002A4DDF" w:rsidP="009110ED">
            <w:pPr>
              <w:rPr>
                <w:rFonts w:ascii="Arial" w:hAnsi="Arial" w:cs="Arial"/>
                <w:sz w:val="12"/>
                <w:szCs w:val="12"/>
              </w:rPr>
            </w:pPr>
            <w:r>
              <w:rPr>
                <w:rFonts w:ascii="Arial" w:hAnsi="Arial"/>
                <w:sz w:val="12"/>
                <w:szCs w:val="12"/>
              </w:rPr>
              <w:t>Hostalric</w:t>
            </w:r>
          </w:p>
        </w:tc>
      </w:tr>
      <w:tr w:rsidR="002A4DDF" w:rsidRPr="00937C8B" w14:paraId="4A2059A4" w14:textId="77777777" w:rsidTr="00935676">
        <w:trPr>
          <w:cantSplit/>
        </w:trPr>
        <w:tc>
          <w:tcPr>
            <w:tcW w:w="1696" w:type="dxa"/>
            <w:tcBorders>
              <w:left w:val="single" w:sz="4" w:space="0" w:color="auto"/>
            </w:tcBorders>
            <w:shd w:val="clear" w:color="auto" w:fill="auto"/>
          </w:tcPr>
          <w:p w14:paraId="3964E298" w14:textId="77777777" w:rsidR="002A4DDF" w:rsidRPr="00937C8B" w:rsidRDefault="002A4DDF" w:rsidP="009110ED">
            <w:pPr>
              <w:rPr>
                <w:rFonts w:ascii="Arial" w:hAnsi="Arial" w:cs="Arial"/>
                <w:sz w:val="12"/>
                <w:szCs w:val="12"/>
              </w:rPr>
            </w:pPr>
          </w:p>
        </w:tc>
        <w:tc>
          <w:tcPr>
            <w:tcW w:w="1843" w:type="dxa"/>
            <w:shd w:val="clear" w:color="auto" w:fill="auto"/>
          </w:tcPr>
          <w:p w14:paraId="6E55C086" w14:textId="77777777" w:rsidR="002A4DDF" w:rsidRPr="00937C8B" w:rsidRDefault="002A4DDF" w:rsidP="009110ED">
            <w:pPr>
              <w:rPr>
                <w:rFonts w:ascii="Arial" w:hAnsi="Arial" w:cs="Arial"/>
                <w:sz w:val="12"/>
                <w:szCs w:val="12"/>
              </w:rPr>
            </w:pPr>
          </w:p>
        </w:tc>
        <w:tc>
          <w:tcPr>
            <w:tcW w:w="2268" w:type="dxa"/>
            <w:shd w:val="clear" w:color="auto" w:fill="F2F2F2"/>
            <w:hideMark/>
          </w:tcPr>
          <w:p w14:paraId="6AC7D6AE" w14:textId="77777777" w:rsidR="002A4DDF" w:rsidRPr="00937C8B" w:rsidRDefault="002A4DDF" w:rsidP="009110ED">
            <w:pPr>
              <w:rPr>
                <w:rFonts w:ascii="Arial" w:hAnsi="Arial" w:cs="Arial"/>
                <w:sz w:val="12"/>
                <w:szCs w:val="12"/>
              </w:rPr>
            </w:pPr>
            <w:r>
              <w:rPr>
                <w:rFonts w:ascii="Arial" w:hAnsi="Arial"/>
                <w:sz w:val="12"/>
                <w:szCs w:val="12"/>
              </w:rPr>
              <w:t>Cornellà del Terri</w:t>
            </w:r>
          </w:p>
        </w:tc>
        <w:tc>
          <w:tcPr>
            <w:tcW w:w="2268" w:type="dxa"/>
            <w:tcBorders>
              <w:right w:val="single" w:sz="4" w:space="0" w:color="auto"/>
            </w:tcBorders>
            <w:shd w:val="clear" w:color="auto" w:fill="D9D9D9"/>
            <w:hideMark/>
          </w:tcPr>
          <w:p w14:paraId="0F83B0BF" w14:textId="77777777" w:rsidR="002A4DDF" w:rsidRPr="00937C8B" w:rsidRDefault="002A4DDF" w:rsidP="009110ED">
            <w:pPr>
              <w:rPr>
                <w:rFonts w:ascii="Arial" w:hAnsi="Arial" w:cs="Arial"/>
                <w:sz w:val="12"/>
                <w:szCs w:val="12"/>
              </w:rPr>
            </w:pPr>
            <w:r>
              <w:rPr>
                <w:rFonts w:ascii="Arial" w:hAnsi="Arial"/>
                <w:sz w:val="12"/>
                <w:szCs w:val="12"/>
              </w:rPr>
              <w:t>La Jonquera</w:t>
            </w:r>
          </w:p>
        </w:tc>
      </w:tr>
      <w:tr w:rsidR="002A4DDF" w:rsidRPr="00937C8B" w14:paraId="36F9B22A" w14:textId="77777777" w:rsidTr="00935676">
        <w:trPr>
          <w:cantSplit/>
        </w:trPr>
        <w:tc>
          <w:tcPr>
            <w:tcW w:w="1696" w:type="dxa"/>
            <w:tcBorders>
              <w:left w:val="single" w:sz="4" w:space="0" w:color="auto"/>
            </w:tcBorders>
            <w:shd w:val="clear" w:color="auto" w:fill="auto"/>
          </w:tcPr>
          <w:p w14:paraId="561BC2A4" w14:textId="77777777" w:rsidR="002A4DDF" w:rsidRPr="00937C8B" w:rsidRDefault="002A4DDF" w:rsidP="009110ED">
            <w:pPr>
              <w:rPr>
                <w:rFonts w:ascii="Arial" w:hAnsi="Arial" w:cs="Arial"/>
                <w:sz w:val="12"/>
                <w:szCs w:val="12"/>
              </w:rPr>
            </w:pPr>
          </w:p>
        </w:tc>
        <w:tc>
          <w:tcPr>
            <w:tcW w:w="1843" w:type="dxa"/>
            <w:shd w:val="clear" w:color="auto" w:fill="auto"/>
          </w:tcPr>
          <w:p w14:paraId="0206F429" w14:textId="77777777" w:rsidR="002A4DDF" w:rsidRPr="00937C8B" w:rsidRDefault="002A4DDF" w:rsidP="009110ED">
            <w:pPr>
              <w:rPr>
                <w:rFonts w:ascii="Arial" w:hAnsi="Arial" w:cs="Arial"/>
                <w:sz w:val="12"/>
                <w:szCs w:val="12"/>
              </w:rPr>
            </w:pPr>
          </w:p>
        </w:tc>
        <w:tc>
          <w:tcPr>
            <w:tcW w:w="2268" w:type="dxa"/>
            <w:shd w:val="clear" w:color="auto" w:fill="F2F2F2"/>
            <w:hideMark/>
          </w:tcPr>
          <w:p w14:paraId="5FD16F8E" w14:textId="77777777" w:rsidR="002A4DDF" w:rsidRPr="00937C8B" w:rsidRDefault="002A4DDF" w:rsidP="009110ED">
            <w:pPr>
              <w:rPr>
                <w:rFonts w:ascii="Arial" w:hAnsi="Arial" w:cs="Arial"/>
                <w:sz w:val="12"/>
                <w:szCs w:val="12"/>
              </w:rPr>
            </w:pPr>
            <w:r>
              <w:rPr>
                <w:rFonts w:ascii="Arial" w:hAnsi="Arial"/>
                <w:sz w:val="12"/>
                <w:szCs w:val="12"/>
              </w:rPr>
              <w:t>Cruïlles, Monells i Sant Sadurní de l'Heura</w:t>
            </w:r>
          </w:p>
        </w:tc>
        <w:tc>
          <w:tcPr>
            <w:tcW w:w="2268" w:type="dxa"/>
            <w:tcBorders>
              <w:right w:val="single" w:sz="4" w:space="0" w:color="auto"/>
            </w:tcBorders>
            <w:shd w:val="clear" w:color="auto" w:fill="D9D9D9"/>
            <w:hideMark/>
          </w:tcPr>
          <w:p w14:paraId="00B1904E" w14:textId="77777777" w:rsidR="002A4DDF" w:rsidRPr="00937C8B" w:rsidRDefault="002A4DDF" w:rsidP="009110ED">
            <w:pPr>
              <w:rPr>
                <w:rFonts w:ascii="Arial" w:hAnsi="Arial" w:cs="Arial"/>
                <w:sz w:val="12"/>
                <w:szCs w:val="12"/>
              </w:rPr>
            </w:pPr>
            <w:r>
              <w:rPr>
                <w:rFonts w:ascii="Arial" w:hAnsi="Arial"/>
                <w:sz w:val="12"/>
                <w:szCs w:val="12"/>
              </w:rPr>
              <w:t>La Selva de Mar</w:t>
            </w:r>
          </w:p>
        </w:tc>
      </w:tr>
      <w:tr w:rsidR="002A4DDF" w:rsidRPr="00937C8B" w14:paraId="69C65BA5" w14:textId="77777777" w:rsidTr="00935676">
        <w:trPr>
          <w:cantSplit/>
        </w:trPr>
        <w:tc>
          <w:tcPr>
            <w:tcW w:w="1696" w:type="dxa"/>
            <w:tcBorders>
              <w:left w:val="single" w:sz="4" w:space="0" w:color="auto"/>
            </w:tcBorders>
            <w:shd w:val="clear" w:color="auto" w:fill="auto"/>
          </w:tcPr>
          <w:p w14:paraId="2434C715" w14:textId="77777777" w:rsidR="002A4DDF" w:rsidRPr="00937C8B" w:rsidRDefault="002A4DDF" w:rsidP="009110ED">
            <w:pPr>
              <w:rPr>
                <w:rFonts w:ascii="Arial" w:hAnsi="Arial" w:cs="Arial"/>
                <w:sz w:val="12"/>
                <w:szCs w:val="12"/>
              </w:rPr>
            </w:pPr>
          </w:p>
        </w:tc>
        <w:tc>
          <w:tcPr>
            <w:tcW w:w="1843" w:type="dxa"/>
            <w:shd w:val="clear" w:color="auto" w:fill="auto"/>
          </w:tcPr>
          <w:p w14:paraId="17C63D0F" w14:textId="77777777" w:rsidR="002A4DDF" w:rsidRPr="00937C8B" w:rsidRDefault="002A4DDF" w:rsidP="009110ED">
            <w:pPr>
              <w:rPr>
                <w:rFonts w:ascii="Arial" w:hAnsi="Arial" w:cs="Arial"/>
                <w:sz w:val="12"/>
                <w:szCs w:val="12"/>
              </w:rPr>
            </w:pPr>
          </w:p>
        </w:tc>
        <w:tc>
          <w:tcPr>
            <w:tcW w:w="2268" w:type="dxa"/>
            <w:shd w:val="clear" w:color="auto" w:fill="F2F2F2"/>
            <w:hideMark/>
          </w:tcPr>
          <w:p w14:paraId="2B21266B" w14:textId="77777777" w:rsidR="002A4DDF" w:rsidRPr="00937C8B" w:rsidRDefault="002A4DDF" w:rsidP="009110ED">
            <w:pPr>
              <w:rPr>
                <w:rFonts w:ascii="Arial" w:hAnsi="Arial" w:cs="Arial"/>
                <w:sz w:val="12"/>
                <w:szCs w:val="12"/>
              </w:rPr>
            </w:pPr>
            <w:r>
              <w:rPr>
                <w:rFonts w:ascii="Arial" w:hAnsi="Arial"/>
                <w:sz w:val="12"/>
                <w:szCs w:val="12"/>
              </w:rPr>
              <w:t>Darnius</w:t>
            </w:r>
          </w:p>
        </w:tc>
        <w:tc>
          <w:tcPr>
            <w:tcW w:w="2268" w:type="dxa"/>
            <w:tcBorders>
              <w:right w:val="single" w:sz="4" w:space="0" w:color="auto"/>
            </w:tcBorders>
            <w:shd w:val="clear" w:color="auto" w:fill="D9D9D9"/>
            <w:hideMark/>
          </w:tcPr>
          <w:p w14:paraId="31CB92AA" w14:textId="77777777" w:rsidR="002A4DDF" w:rsidRPr="00937C8B" w:rsidRDefault="002A4DDF" w:rsidP="009110ED">
            <w:pPr>
              <w:rPr>
                <w:rFonts w:ascii="Arial" w:hAnsi="Arial" w:cs="Arial"/>
                <w:sz w:val="12"/>
                <w:szCs w:val="12"/>
              </w:rPr>
            </w:pPr>
            <w:r>
              <w:rPr>
                <w:rFonts w:ascii="Arial" w:hAnsi="Arial"/>
                <w:sz w:val="12"/>
                <w:szCs w:val="12"/>
              </w:rPr>
              <w:t>Llagostera</w:t>
            </w:r>
          </w:p>
        </w:tc>
      </w:tr>
      <w:tr w:rsidR="002A4DDF" w:rsidRPr="00937C8B" w14:paraId="01A175D9" w14:textId="77777777" w:rsidTr="00935676">
        <w:trPr>
          <w:cantSplit/>
        </w:trPr>
        <w:tc>
          <w:tcPr>
            <w:tcW w:w="1696" w:type="dxa"/>
            <w:tcBorders>
              <w:left w:val="single" w:sz="4" w:space="0" w:color="auto"/>
            </w:tcBorders>
            <w:shd w:val="clear" w:color="auto" w:fill="auto"/>
          </w:tcPr>
          <w:p w14:paraId="79B6CB9D" w14:textId="77777777" w:rsidR="002A4DDF" w:rsidRPr="00937C8B" w:rsidRDefault="002A4DDF" w:rsidP="009110ED">
            <w:pPr>
              <w:rPr>
                <w:rFonts w:ascii="Arial" w:hAnsi="Arial" w:cs="Arial"/>
                <w:sz w:val="12"/>
                <w:szCs w:val="12"/>
              </w:rPr>
            </w:pPr>
          </w:p>
        </w:tc>
        <w:tc>
          <w:tcPr>
            <w:tcW w:w="1843" w:type="dxa"/>
            <w:shd w:val="clear" w:color="auto" w:fill="auto"/>
          </w:tcPr>
          <w:p w14:paraId="74AE3DD8" w14:textId="77777777" w:rsidR="002A4DDF" w:rsidRPr="00937C8B" w:rsidRDefault="002A4DDF" w:rsidP="009110ED">
            <w:pPr>
              <w:rPr>
                <w:rFonts w:ascii="Arial" w:hAnsi="Arial" w:cs="Arial"/>
                <w:sz w:val="12"/>
                <w:szCs w:val="12"/>
              </w:rPr>
            </w:pPr>
          </w:p>
        </w:tc>
        <w:tc>
          <w:tcPr>
            <w:tcW w:w="2268" w:type="dxa"/>
            <w:shd w:val="clear" w:color="auto" w:fill="F2F2F2"/>
            <w:hideMark/>
          </w:tcPr>
          <w:p w14:paraId="5B877264" w14:textId="77777777" w:rsidR="002A4DDF" w:rsidRPr="00937C8B" w:rsidRDefault="002A4DDF" w:rsidP="009110ED">
            <w:pPr>
              <w:rPr>
                <w:rFonts w:ascii="Arial" w:hAnsi="Arial" w:cs="Arial"/>
                <w:sz w:val="12"/>
                <w:szCs w:val="12"/>
              </w:rPr>
            </w:pPr>
            <w:r>
              <w:rPr>
                <w:rFonts w:ascii="Arial" w:hAnsi="Arial"/>
                <w:sz w:val="12"/>
                <w:szCs w:val="12"/>
              </w:rPr>
              <w:t>El Far d'Empordà</w:t>
            </w:r>
          </w:p>
        </w:tc>
        <w:tc>
          <w:tcPr>
            <w:tcW w:w="2268" w:type="dxa"/>
            <w:tcBorders>
              <w:right w:val="single" w:sz="4" w:space="0" w:color="auto"/>
            </w:tcBorders>
            <w:shd w:val="clear" w:color="auto" w:fill="D9D9D9"/>
            <w:hideMark/>
          </w:tcPr>
          <w:p w14:paraId="763C47F5" w14:textId="77777777" w:rsidR="002A4DDF" w:rsidRPr="00937C8B" w:rsidRDefault="002A4DDF" w:rsidP="009110ED">
            <w:pPr>
              <w:rPr>
                <w:rFonts w:ascii="Arial" w:hAnsi="Arial" w:cs="Arial"/>
                <w:sz w:val="12"/>
                <w:szCs w:val="12"/>
              </w:rPr>
            </w:pPr>
            <w:r>
              <w:rPr>
                <w:rFonts w:ascii="Arial" w:hAnsi="Arial"/>
                <w:sz w:val="12"/>
                <w:szCs w:val="12"/>
              </w:rPr>
              <w:t>Llanars</w:t>
            </w:r>
          </w:p>
        </w:tc>
      </w:tr>
      <w:tr w:rsidR="002A4DDF" w:rsidRPr="00937C8B" w14:paraId="731BC944" w14:textId="77777777" w:rsidTr="00935676">
        <w:trPr>
          <w:cantSplit/>
        </w:trPr>
        <w:tc>
          <w:tcPr>
            <w:tcW w:w="1696" w:type="dxa"/>
            <w:tcBorders>
              <w:left w:val="single" w:sz="4" w:space="0" w:color="auto"/>
            </w:tcBorders>
            <w:shd w:val="clear" w:color="auto" w:fill="auto"/>
          </w:tcPr>
          <w:p w14:paraId="2A32B26B" w14:textId="77777777" w:rsidR="002A4DDF" w:rsidRPr="00937C8B" w:rsidRDefault="002A4DDF" w:rsidP="009110ED">
            <w:pPr>
              <w:rPr>
                <w:rFonts w:ascii="Arial" w:hAnsi="Arial" w:cs="Arial"/>
                <w:sz w:val="12"/>
                <w:szCs w:val="12"/>
              </w:rPr>
            </w:pPr>
          </w:p>
        </w:tc>
        <w:tc>
          <w:tcPr>
            <w:tcW w:w="1843" w:type="dxa"/>
            <w:shd w:val="clear" w:color="auto" w:fill="auto"/>
          </w:tcPr>
          <w:p w14:paraId="75F36944" w14:textId="77777777" w:rsidR="002A4DDF" w:rsidRPr="00937C8B" w:rsidRDefault="002A4DDF" w:rsidP="009110ED">
            <w:pPr>
              <w:rPr>
                <w:rFonts w:ascii="Arial" w:hAnsi="Arial" w:cs="Arial"/>
                <w:sz w:val="12"/>
                <w:szCs w:val="12"/>
              </w:rPr>
            </w:pPr>
          </w:p>
        </w:tc>
        <w:tc>
          <w:tcPr>
            <w:tcW w:w="2268" w:type="dxa"/>
            <w:shd w:val="clear" w:color="auto" w:fill="F2F2F2"/>
            <w:hideMark/>
          </w:tcPr>
          <w:p w14:paraId="161A5C77" w14:textId="77777777" w:rsidR="002A4DDF" w:rsidRPr="00937C8B" w:rsidRDefault="002A4DDF" w:rsidP="009110ED">
            <w:pPr>
              <w:rPr>
                <w:rFonts w:ascii="Arial" w:hAnsi="Arial" w:cs="Arial"/>
                <w:sz w:val="12"/>
                <w:szCs w:val="12"/>
              </w:rPr>
            </w:pPr>
            <w:r>
              <w:rPr>
                <w:rFonts w:ascii="Arial" w:hAnsi="Arial"/>
                <w:sz w:val="12"/>
                <w:szCs w:val="12"/>
              </w:rPr>
              <w:t>Figueres</w:t>
            </w:r>
          </w:p>
        </w:tc>
        <w:tc>
          <w:tcPr>
            <w:tcW w:w="2268" w:type="dxa"/>
            <w:tcBorders>
              <w:right w:val="single" w:sz="4" w:space="0" w:color="auto"/>
            </w:tcBorders>
            <w:shd w:val="clear" w:color="auto" w:fill="D9D9D9"/>
            <w:hideMark/>
          </w:tcPr>
          <w:p w14:paraId="0C59FBC1" w14:textId="77777777" w:rsidR="002A4DDF" w:rsidRPr="00937C8B" w:rsidRDefault="002A4DDF" w:rsidP="009110ED">
            <w:pPr>
              <w:rPr>
                <w:rFonts w:ascii="Arial" w:hAnsi="Arial" w:cs="Arial"/>
                <w:sz w:val="12"/>
                <w:szCs w:val="12"/>
              </w:rPr>
            </w:pPr>
            <w:r>
              <w:rPr>
                <w:rFonts w:ascii="Arial" w:hAnsi="Arial"/>
                <w:sz w:val="12"/>
                <w:szCs w:val="12"/>
              </w:rPr>
              <w:t>Llançà</w:t>
            </w:r>
          </w:p>
        </w:tc>
      </w:tr>
      <w:tr w:rsidR="002A4DDF" w:rsidRPr="00937C8B" w14:paraId="0A62DCA6" w14:textId="77777777" w:rsidTr="00935676">
        <w:trPr>
          <w:cantSplit/>
        </w:trPr>
        <w:tc>
          <w:tcPr>
            <w:tcW w:w="1696" w:type="dxa"/>
            <w:tcBorders>
              <w:left w:val="single" w:sz="4" w:space="0" w:color="auto"/>
            </w:tcBorders>
            <w:shd w:val="clear" w:color="auto" w:fill="auto"/>
          </w:tcPr>
          <w:p w14:paraId="0C0531B7" w14:textId="77777777" w:rsidR="002A4DDF" w:rsidRPr="00937C8B" w:rsidRDefault="002A4DDF" w:rsidP="009110ED">
            <w:pPr>
              <w:rPr>
                <w:rFonts w:ascii="Arial" w:hAnsi="Arial" w:cs="Arial"/>
                <w:sz w:val="12"/>
                <w:szCs w:val="12"/>
              </w:rPr>
            </w:pPr>
          </w:p>
        </w:tc>
        <w:tc>
          <w:tcPr>
            <w:tcW w:w="1843" w:type="dxa"/>
            <w:shd w:val="clear" w:color="auto" w:fill="auto"/>
          </w:tcPr>
          <w:p w14:paraId="3E50DE45" w14:textId="77777777" w:rsidR="002A4DDF" w:rsidRPr="00937C8B" w:rsidRDefault="002A4DDF" w:rsidP="009110ED">
            <w:pPr>
              <w:rPr>
                <w:rFonts w:ascii="Arial" w:hAnsi="Arial" w:cs="Arial"/>
                <w:sz w:val="12"/>
                <w:szCs w:val="12"/>
              </w:rPr>
            </w:pPr>
          </w:p>
        </w:tc>
        <w:tc>
          <w:tcPr>
            <w:tcW w:w="2268" w:type="dxa"/>
            <w:shd w:val="clear" w:color="auto" w:fill="F2F2F2"/>
            <w:hideMark/>
          </w:tcPr>
          <w:p w14:paraId="3F6BDE06" w14:textId="77777777" w:rsidR="002A4DDF" w:rsidRPr="00937C8B" w:rsidRDefault="002A4DDF" w:rsidP="009110ED">
            <w:pPr>
              <w:rPr>
                <w:rFonts w:ascii="Arial" w:hAnsi="Arial" w:cs="Arial"/>
                <w:sz w:val="12"/>
                <w:szCs w:val="12"/>
              </w:rPr>
            </w:pPr>
            <w:r>
              <w:rPr>
                <w:rFonts w:ascii="Arial" w:hAnsi="Arial"/>
                <w:sz w:val="12"/>
                <w:szCs w:val="12"/>
              </w:rPr>
              <w:t>Flaçà</w:t>
            </w:r>
          </w:p>
        </w:tc>
        <w:tc>
          <w:tcPr>
            <w:tcW w:w="2268" w:type="dxa"/>
            <w:tcBorders>
              <w:right w:val="single" w:sz="4" w:space="0" w:color="auto"/>
            </w:tcBorders>
            <w:shd w:val="clear" w:color="auto" w:fill="D9D9D9"/>
            <w:hideMark/>
          </w:tcPr>
          <w:p w14:paraId="283167AB" w14:textId="77777777" w:rsidR="002A4DDF" w:rsidRPr="00937C8B" w:rsidRDefault="002A4DDF" w:rsidP="009110ED">
            <w:pPr>
              <w:rPr>
                <w:rFonts w:ascii="Arial" w:hAnsi="Arial" w:cs="Arial"/>
                <w:sz w:val="12"/>
                <w:szCs w:val="12"/>
              </w:rPr>
            </w:pPr>
            <w:r>
              <w:rPr>
                <w:rFonts w:ascii="Arial" w:hAnsi="Arial"/>
                <w:sz w:val="12"/>
                <w:szCs w:val="12"/>
              </w:rPr>
              <w:t>Lloret de Mar</w:t>
            </w:r>
          </w:p>
        </w:tc>
      </w:tr>
      <w:tr w:rsidR="002A4DDF" w:rsidRPr="00937C8B" w14:paraId="4BEB9222" w14:textId="77777777" w:rsidTr="00935676">
        <w:trPr>
          <w:cantSplit/>
        </w:trPr>
        <w:tc>
          <w:tcPr>
            <w:tcW w:w="1696" w:type="dxa"/>
            <w:tcBorders>
              <w:left w:val="single" w:sz="4" w:space="0" w:color="auto"/>
            </w:tcBorders>
            <w:shd w:val="clear" w:color="auto" w:fill="auto"/>
          </w:tcPr>
          <w:p w14:paraId="0DB77166" w14:textId="77777777" w:rsidR="002A4DDF" w:rsidRPr="00937C8B" w:rsidRDefault="002A4DDF" w:rsidP="009110ED">
            <w:pPr>
              <w:rPr>
                <w:rFonts w:ascii="Arial" w:hAnsi="Arial" w:cs="Arial"/>
                <w:sz w:val="12"/>
                <w:szCs w:val="12"/>
              </w:rPr>
            </w:pPr>
          </w:p>
        </w:tc>
        <w:tc>
          <w:tcPr>
            <w:tcW w:w="1843" w:type="dxa"/>
            <w:shd w:val="clear" w:color="auto" w:fill="auto"/>
          </w:tcPr>
          <w:p w14:paraId="51860628" w14:textId="77777777" w:rsidR="002A4DDF" w:rsidRPr="00937C8B" w:rsidRDefault="002A4DDF" w:rsidP="009110ED">
            <w:pPr>
              <w:rPr>
                <w:rFonts w:ascii="Arial" w:hAnsi="Arial" w:cs="Arial"/>
                <w:sz w:val="12"/>
                <w:szCs w:val="12"/>
              </w:rPr>
            </w:pPr>
          </w:p>
        </w:tc>
        <w:tc>
          <w:tcPr>
            <w:tcW w:w="2268" w:type="dxa"/>
            <w:shd w:val="clear" w:color="auto" w:fill="F2F2F2"/>
            <w:hideMark/>
          </w:tcPr>
          <w:p w14:paraId="1DA71DE6" w14:textId="77777777" w:rsidR="002A4DDF" w:rsidRPr="00937C8B" w:rsidRDefault="002A4DDF" w:rsidP="009110ED">
            <w:pPr>
              <w:rPr>
                <w:rFonts w:ascii="Arial" w:hAnsi="Arial" w:cs="Arial"/>
                <w:sz w:val="12"/>
                <w:szCs w:val="12"/>
              </w:rPr>
            </w:pPr>
            <w:r>
              <w:rPr>
                <w:rFonts w:ascii="Arial" w:hAnsi="Arial"/>
                <w:sz w:val="12"/>
                <w:szCs w:val="12"/>
              </w:rPr>
              <w:t>Foixà</w:t>
            </w:r>
          </w:p>
        </w:tc>
        <w:tc>
          <w:tcPr>
            <w:tcW w:w="2268" w:type="dxa"/>
            <w:tcBorders>
              <w:right w:val="single" w:sz="4" w:space="0" w:color="auto"/>
            </w:tcBorders>
            <w:shd w:val="clear" w:color="auto" w:fill="D9D9D9"/>
            <w:hideMark/>
          </w:tcPr>
          <w:p w14:paraId="2F32D394" w14:textId="77777777" w:rsidR="002A4DDF" w:rsidRPr="00937C8B" w:rsidRDefault="002A4DDF" w:rsidP="009110ED">
            <w:pPr>
              <w:rPr>
                <w:rFonts w:ascii="Arial" w:hAnsi="Arial" w:cs="Arial"/>
                <w:sz w:val="12"/>
                <w:szCs w:val="12"/>
              </w:rPr>
            </w:pPr>
            <w:r>
              <w:rPr>
                <w:rFonts w:ascii="Arial" w:hAnsi="Arial"/>
                <w:sz w:val="12"/>
                <w:szCs w:val="12"/>
              </w:rPr>
              <w:t>Maçanet de la Selva</w:t>
            </w:r>
          </w:p>
        </w:tc>
      </w:tr>
      <w:tr w:rsidR="002A4DDF" w:rsidRPr="00937C8B" w14:paraId="4B551E0E" w14:textId="77777777" w:rsidTr="00935676">
        <w:trPr>
          <w:cantSplit/>
        </w:trPr>
        <w:tc>
          <w:tcPr>
            <w:tcW w:w="1696" w:type="dxa"/>
            <w:tcBorders>
              <w:left w:val="single" w:sz="4" w:space="0" w:color="auto"/>
            </w:tcBorders>
            <w:shd w:val="clear" w:color="auto" w:fill="auto"/>
          </w:tcPr>
          <w:p w14:paraId="2751F320" w14:textId="77777777" w:rsidR="002A4DDF" w:rsidRPr="00937C8B" w:rsidRDefault="002A4DDF" w:rsidP="009110ED">
            <w:pPr>
              <w:rPr>
                <w:rFonts w:ascii="Arial" w:hAnsi="Arial" w:cs="Arial"/>
                <w:sz w:val="12"/>
                <w:szCs w:val="12"/>
              </w:rPr>
            </w:pPr>
          </w:p>
        </w:tc>
        <w:tc>
          <w:tcPr>
            <w:tcW w:w="1843" w:type="dxa"/>
            <w:shd w:val="clear" w:color="auto" w:fill="auto"/>
          </w:tcPr>
          <w:p w14:paraId="0DE8E520" w14:textId="77777777" w:rsidR="002A4DDF" w:rsidRPr="00937C8B" w:rsidRDefault="002A4DDF" w:rsidP="009110ED">
            <w:pPr>
              <w:rPr>
                <w:rFonts w:ascii="Arial" w:hAnsi="Arial" w:cs="Arial"/>
                <w:sz w:val="12"/>
                <w:szCs w:val="12"/>
              </w:rPr>
            </w:pPr>
          </w:p>
        </w:tc>
        <w:tc>
          <w:tcPr>
            <w:tcW w:w="2268" w:type="dxa"/>
            <w:shd w:val="clear" w:color="auto" w:fill="F2F2F2"/>
            <w:hideMark/>
          </w:tcPr>
          <w:p w14:paraId="3AAAAF94" w14:textId="77777777" w:rsidR="002A4DDF" w:rsidRPr="00937C8B" w:rsidRDefault="002A4DDF" w:rsidP="009110ED">
            <w:pPr>
              <w:rPr>
                <w:rFonts w:ascii="Arial" w:hAnsi="Arial" w:cs="Arial"/>
                <w:sz w:val="12"/>
                <w:szCs w:val="12"/>
              </w:rPr>
            </w:pPr>
            <w:r>
              <w:rPr>
                <w:rFonts w:ascii="Arial" w:hAnsi="Arial"/>
                <w:sz w:val="12"/>
                <w:szCs w:val="12"/>
              </w:rPr>
              <w:t>Fontcoberta</w:t>
            </w:r>
          </w:p>
        </w:tc>
        <w:tc>
          <w:tcPr>
            <w:tcW w:w="2268" w:type="dxa"/>
            <w:tcBorders>
              <w:right w:val="single" w:sz="4" w:space="0" w:color="auto"/>
            </w:tcBorders>
            <w:shd w:val="clear" w:color="auto" w:fill="D9D9D9"/>
            <w:hideMark/>
          </w:tcPr>
          <w:p w14:paraId="411E8806" w14:textId="77777777" w:rsidR="002A4DDF" w:rsidRPr="00937C8B" w:rsidRDefault="002A4DDF" w:rsidP="009110ED">
            <w:pPr>
              <w:rPr>
                <w:rFonts w:ascii="Arial" w:hAnsi="Arial" w:cs="Arial"/>
                <w:sz w:val="12"/>
                <w:szCs w:val="12"/>
              </w:rPr>
            </w:pPr>
            <w:r>
              <w:rPr>
                <w:rFonts w:ascii="Arial" w:hAnsi="Arial"/>
                <w:sz w:val="12"/>
                <w:szCs w:val="12"/>
              </w:rPr>
              <w:t>Massanes</w:t>
            </w:r>
          </w:p>
        </w:tc>
      </w:tr>
      <w:tr w:rsidR="002A4DDF" w:rsidRPr="00937C8B" w14:paraId="7FDAEB13" w14:textId="77777777" w:rsidTr="00935676">
        <w:trPr>
          <w:cantSplit/>
        </w:trPr>
        <w:tc>
          <w:tcPr>
            <w:tcW w:w="1696" w:type="dxa"/>
            <w:tcBorders>
              <w:left w:val="single" w:sz="4" w:space="0" w:color="auto"/>
            </w:tcBorders>
            <w:shd w:val="clear" w:color="auto" w:fill="auto"/>
          </w:tcPr>
          <w:p w14:paraId="1B6ECAB1" w14:textId="77777777" w:rsidR="002A4DDF" w:rsidRPr="00937C8B" w:rsidRDefault="002A4DDF" w:rsidP="009110ED">
            <w:pPr>
              <w:rPr>
                <w:rFonts w:ascii="Arial" w:hAnsi="Arial" w:cs="Arial"/>
                <w:sz w:val="12"/>
                <w:szCs w:val="12"/>
              </w:rPr>
            </w:pPr>
          </w:p>
        </w:tc>
        <w:tc>
          <w:tcPr>
            <w:tcW w:w="1843" w:type="dxa"/>
            <w:shd w:val="clear" w:color="auto" w:fill="auto"/>
          </w:tcPr>
          <w:p w14:paraId="0462A658" w14:textId="77777777" w:rsidR="002A4DDF" w:rsidRPr="00937C8B" w:rsidRDefault="002A4DDF" w:rsidP="009110ED">
            <w:pPr>
              <w:rPr>
                <w:rFonts w:ascii="Arial" w:hAnsi="Arial" w:cs="Arial"/>
                <w:sz w:val="12"/>
                <w:szCs w:val="12"/>
              </w:rPr>
            </w:pPr>
          </w:p>
        </w:tc>
        <w:tc>
          <w:tcPr>
            <w:tcW w:w="2268" w:type="dxa"/>
            <w:shd w:val="clear" w:color="auto" w:fill="F2F2F2"/>
            <w:hideMark/>
          </w:tcPr>
          <w:p w14:paraId="579440BB" w14:textId="77777777" w:rsidR="002A4DDF" w:rsidRPr="00937C8B" w:rsidRDefault="002A4DDF" w:rsidP="009110ED">
            <w:pPr>
              <w:rPr>
                <w:rFonts w:ascii="Arial" w:hAnsi="Arial" w:cs="Arial"/>
                <w:sz w:val="12"/>
                <w:szCs w:val="12"/>
              </w:rPr>
            </w:pPr>
            <w:r>
              <w:rPr>
                <w:rFonts w:ascii="Arial" w:hAnsi="Arial"/>
                <w:sz w:val="12"/>
                <w:szCs w:val="12"/>
              </w:rPr>
              <w:t>Forallac</w:t>
            </w:r>
          </w:p>
        </w:tc>
        <w:tc>
          <w:tcPr>
            <w:tcW w:w="2268" w:type="dxa"/>
            <w:tcBorders>
              <w:right w:val="single" w:sz="4" w:space="0" w:color="auto"/>
            </w:tcBorders>
            <w:shd w:val="clear" w:color="auto" w:fill="D9D9D9"/>
            <w:hideMark/>
          </w:tcPr>
          <w:p w14:paraId="6D8419B3" w14:textId="77777777" w:rsidR="002A4DDF" w:rsidRPr="00937C8B" w:rsidRDefault="002A4DDF" w:rsidP="009110ED">
            <w:pPr>
              <w:rPr>
                <w:rFonts w:ascii="Arial" w:hAnsi="Arial" w:cs="Arial"/>
                <w:sz w:val="12"/>
                <w:szCs w:val="12"/>
              </w:rPr>
            </w:pPr>
            <w:r>
              <w:rPr>
                <w:rFonts w:ascii="Arial" w:hAnsi="Arial"/>
                <w:sz w:val="12"/>
                <w:szCs w:val="12"/>
              </w:rPr>
              <w:t>Meranges</w:t>
            </w:r>
          </w:p>
        </w:tc>
      </w:tr>
      <w:tr w:rsidR="002A4DDF" w:rsidRPr="00937C8B" w14:paraId="19C55DB8" w14:textId="77777777" w:rsidTr="00935676">
        <w:trPr>
          <w:cantSplit/>
        </w:trPr>
        <w:tc>
          <w:tcPr>
            <w:tcW w:w="1696" w:type="dxa"/>
            <w:tcBorders>
              <w:left w:val="single" w:sz="4" w:space="0" w:color="auto"/>
            </w:tcBorders>
            <w:shd w:val="clear" w:color="auto" w:fill="auto"/>
          </w:tcPr>
          <w:p w14:paraId="0C792C45" w14:textId="77777777" w:rsidR="002A4DDF" w:rsidRPr="00937C8B" w:rsidRDefault="002A4DDF" w:rsidP="009110ED">
            <w:pPr>
              <w:rPr>
                <w:rFonts w:ascii="Arial" w:hAnsi="Arial" w:cs="Arial"/>
                <w:sz w:val="12"/>
                <w:szCs w:val="12"/>
              </w:rPr>
            </w:pPr>
          </w:p>
        </w:tc>
        <w:tc>
          <w:tcPr>
            <w:tcW w:w="1843" w:type="dxa"/>
            <w:shd w:val="clear" w:color="auto" w:fill="auto"/>
          </w:tcPr>
          <w:p w14:paraId="1FA409FE" w14:textId="77777777" w:rsidR="002A4DDF" w:rsidRPr="00937C8B" w:rsidRDefault="002A4DDF" w:rsidP="009110ED">
            <w:pPr>
              <w:rPr>
                <w:rFonts w:ascii="Arial" w:hAnsi="Arial" w:cs="Arial"/>
                <w:sz w:val="12"/>
                <w:szCs w:val="12"/>
              </w:rPr>
            </w:pPr>
          </w:p>
        </w:tc>
        <w:tc>
          <w:tcPr>
            <w:tcW w:w="2268" w:type="dxa"/>
            <w:shd w:val="clear" w:color="auto" w:fill="F2F2F2"/>
            <w:hideMark/>
          </w:tcPr>
          <w:p w14:paraId="73200E37" w14:textId="77777777" w:rsidR="002A4DDF" w:rsidRPr="00937C8B" w:rsidRDefault="002A4DDF" w:rsidP="009110ED">
            <w:pPr>
              <w:rPr>
                <w:rFonts w:ascii="Arial" w:hAnsi="Arial" w:cs="Arial"/>
                <w:sz w:val="12"/>
                <w:szCs w:val="12"/>
              </w:rPr>
            </w:pPr>
            <w:r>
              <w:rPr>
                <w:rFonts w:ascii="Arial" w:hAnsi="Arial"/>
                <w:sz w:val="12"/>
                <w:szCs w:val="12"/>
              </w:rPr>
              <w:t>Fortià</w:t>
            </w:r>
          </w:p>
        </w:tc>
        <w:tc>
          <w:tcPr>
            <w:tcW w:w="2268" w:type="dxa"/>
            <w:tcBorders>
              <w:right w:val="single" w:sz="4" w:space="0" w:color="auto"/>
            </w:tcBorders>
            <w:shd w:val="clear" w:color="auto" w:fill="D9D9D9"/>
            <w:hideMark/>
          </w:tcPr>
          <w:p w14:paraId="2FCE55FB" w14:textId="77777777" w:rsidR="002A4DDF" w:rsidRPr="00937C8B" w:rsidRDefault="002A4DDF" w:rsidP="009110ED">
            <w:pPr>
              <w:rPr>
                <w:rFonts w:ascii="Arial" w:hAnsi="Arial" w:cs="Arial"/>
                <w:sz w:val="12"/>
                <w:szCs w:val="12"/>
              </w:rPr>
            </w:pPr>
            <w:r>
              <w:rPr>
                <w:rFonts w:ascii="Arial" w:hAnsi="Arial"/>
                <w:sz w:val="12"/>
                <w:szCs w:val="12"/>
              </w:rPr>
              <w:t>Molló</w:t>
            </w:r>
          </w:p>
        </w:tc>
      </w:tr>
      <w:tr w:rsidR="002A4DDF" w:rsidRPr="00937C8B" w14:paraId="7E22B772" w14:textId="77777777" w:rsidTr="00935676">
        <w:trPr>
          <w:cantSplit/>
        </w:trPr>
        <w:tc>
          <w:tcPr>
            <w:tcW w:w="1696" w:type="dxa"/>
            <w:tcBorders>
              <w:left w:val="single" w:sz="4" w:space="0" w:color="auto"/>
            </w:tcBorders>
            <w:shd w:val="clear" w:color="auto" w:fill="auto"/>
          </w:tcPr>
          <w:p w14:paraId="43A92606" w14:textId="77777777" w:rsidR="002A4DDF" w:rsidRPr="00937C8B" w:rsidRDefault="002A4DDF" w:rsidP="009110ED">
            <w:pPr>
              <w:rPr>
                <w:rFonts w:ascii="Arial" w:hAnsi="Arial" w:cs="Arial"/>
                <w:sz w:val="12"/>
                <w:szCs w:val="12"/>
              </w:rPr>
            </w:pPr>
          </w:p>
        </w:tc>
        <w:tc>
          <w:tcPr>
            <w:tcW w:w="1843" w:type="dxa"/>
            <w:shd w:val="clear" w:color="auto" w:fill="auto"/>
          </w:tcPr>
          <w:p w14:paraId="4B248746" w14:textId="77777777" w:rsidR="002A4DDF" w:rsidRPr="00937C8B" w:rsidRDefault="002A4DDF" w:rsidP="009110ED">
            <w:pPr>
              <w:rPr>
                <w:rFonts w:ascii="Arial" w:hAnsi="Arial" w:cs="Arial"/>
                <w:sz w:val="12"/>
                <w:szCs w:val="12"/>
              </w:rPr>
            </w:pPr>
          </w:p>
        </w:tc>
        <w:tc>
          <w:tcPr>
            <w:tcW w:w="2268" w:type="dxa"/>
            <w:shd w:val="clear" w:color="auto" w:fill="F2F2F2"/>
            <w:hideMark/>
          </w:tcPr>
          <w:p w14:paraId="53667320" w14:textId="77777777" w:rsidR="002A4DDF" w:rsidRPr="00937C8B" w:rsidRDefault="002A4DDF" w:rsidP="009110ED">
            <w:pPr>
              <w:rPr>
                <w:rFonts w:ascii="Arial" w:hAnsi="Arial" w:cs="Arial"/>
                <w:sz w:val="12"/>
                <w:szCs w:val="12"/>
              </w:rPr>
            </w:pPr>
            <w:r>
              <w:rPr>
                <w:rFonts w:ascii="Arial" w:hAnsi="Arial"/>
                <w:sz w:val="12"/>
                <w:szCs w:val="12"/>
              </w:rPr>
              <w:t>Gérone</w:t>
            </w:r>
          </w:p>
        </w:tc>
        <w:tc>
          <w:tcPr>
            <w:tcW w:w="2268" w:type="dxa"/>
            <w:tcBorders>
              <w:right w:val="single" w:sz="4" w:space="0" w:color="auto"/>
            </w:tcBorders>
            <w:shd w:val="clear" w:color="auto" w:fill="D9D9D9"/>
            <w:hideMark/>
          </w:tcPr>
          <w:p w14:paraId="1C5B85A4" w14:textId="77777777" w:rsidR="002A4DDF" w:rsidRPr="00937C8B" w:rsidRDefault="002A4DDF" w:rsidP="009110ED">
            <w:pPr>
              <w:rPr>
                <w:rFonts w:ascii="Arial" w:hAnsi="Arial" w:cs="Arial"/>
                <w:sz w:val="12"/>
                <w:szCs w:val="12"/>
              </w:rPr>
            </w:pPr>
            <w:r>
              <w:rPr>
                <w:rFonts w:ascii="Arial" w:hAnsi="Arial"/>
                <w:sz w:val="12"/>
                <w:szCs w:val="12"/>
              </w:rPr>
              <w:t>Mont-ras</w:t>
            </w:r>
          </w:p>
        </w:tc>
      </w:tr>
      <w:tr w:rsidR="002A4DDF" w:rsidRPr="00937C8B" w14:paraId="753CD3F7" w14:textId="77777777" w:rsidTr="00935676">
        <w:trPr>
          <w:cantSplit/>
        </w:trPr>
        <w:tc>
          <w:tcPr>
            <w:tcW w:w="1696" w:type="dxa"/>
            <w:tcBorders>
              <w:left w:val="single" w:sz="4" w:space="0" w:color="auto"/>
            </w:tcBorders>
            <w:shd w:val="clear" w:color="auto" w:fill="auto"/>
          </w:tcPr>
          <w:p w14:paraId="14E48C93" w14:textId="77777777" w:rsidR="002A4DDF" w:rsidRPr="00937C8B" w:rsidRDefault="002A4DDF" w:rsidP="009110ED">
            <w:pPr>
              <w:rPr>
                <w:rFonts w:ascii="Arial" w:hAnsi="Arial" w:cs="Arial"/>
                <w:sz w:val="12"/>
                <w:szCs w:val="12"/>
              </w:rPr>
            </w:pPr>
          </w:p>
        </w:tc>
        <w:tc>
          <w:tcPr>
            <w:tcW w:w="1843" w:type="dxa"/>
            <w:shd w:val="clear" w:color="auto" w:fill="auto"/>
          </w:tcPr>
          <w:p w14:paraId="1EF19622" w14:textId="77777777" w:rsidR="002A4DDF" w:rsidRPr="00937C8B" w:rsidRDefault="002A4DDF" w:rsidP="009110ED">
            <w:pPr>
              <w:rPr>
                <w:rFonts w:ascii="Arial" w:hAnsi="Arial" w:cs="Arial"/>
                <w:sz w:val="12"/>
                <w:szCs w:val="12"/>
              </w:rPr>
            </w:pPr>
          </w:p>
        </w:tc>
        <w:tc>
          <w:tcPr>
            <w:tcW w:w="2268" w:type="dxa"/>
            <w:shd w:val="clear" w:color="auto" w:fill="F2F2F2"/>
            <w:hideMark/>
          </w:tcPr>
          <w:p w14:paraId="351948B4" w14:textId="77777777" w:rsidR="002A4DDF" w:rsidRPr="00937C8B" w:rsidRDefault="002A4DDF" w:rsidP="009110ED">
            <w:pPr>
              <w:rPr>
                <w:rFonts w:ascii="Arial" w:hAnsi="Arial" w:cs="Arial"/>
                <w:sz w:val="12"/>
                <w:szCs w:val="12"/>
              </w:rPr>
            </w:pPr>
            <w:r>
              <w:rPr>
                <w:rFonts w:ascii="Arial" w:hAnsi="Arial"/>
                <w:sz w:val="12"/>
                <w:szCs w:val="12"/>
              </w:rPr>
              <w:t>Gombrèn</w:t>
            </w:r>
          </w:p>
        </w:tc>
        <w:tc>
          <w:tcPr>
            <w:tcW w:w="2268" w:type="dxa"/>
            <w:tcBorders>
              <w:right w:val="single" w:sz="4" w:space="0" w:color="auto"/>
            </w:tcBorders>
            <w:shd w:val="clear" w:color="auto" w:fill="D9D9D9"/>
            <w:hideMark/>
          </w:tcPr>
          <w:p w14:paraId="2606FDA1" w14:textId="77777777" w:rsidR="002A4DDF" w:rsidRPr="00937C8B" w:rsidRDefault="002A4DDF" w:rsidP="009110ED">
            <w:pPr>
              <w:rPr>
                <w:rFonts w:ascii="Arial" w:hAnsi="Arial" w:cs="Arial"/>
                <w:sz w:val="12"/>
                <w:szCs w:val="12"/>
              </w:rPr>
            </w:pPr>
            <w:r>
              <w:rPr>
                <w:rFonts w:ascii="Arial" w:hAnsi="Arial"/>
                <w:sz w:val="12"/>
                <w:szCs w:val="12"/>
              </w:rPr>
              <w:t>Ogassa</w:t>
            </w:r>
          </w:p>
        </w:tc>
      </w:tr>
      <w:tr w:rsidR="002A4DDF" w:rsidRPr="00937C8B" w14:paraId="7E2CD626" w14:textId="77777777" w:rsidTr="00935676">
        <w:trPr>
          <w:cantSplit/>
        </w:trPr>
        <w:tc>
          <w:tcPr>
            <w:tcW w:w="1696" w:type="dxa"/>
            <w:tcBorders>
              <w:left w:val="single" w:sz="4" w:space="0" w:color="auto"/>
            </w:tcBorders>
            <w:shd w:val="clear" w:color="auto" w:fill="auto"/>
          </w:tcPr>
          <w:p w14:paraId="399C99B3" w14:textId="77777777" w:rsidR="002A4DDF" w:rsidRPr="00937C8B" w:rsidRDefault="002A4DDF" w:rsidP="009110ED">
            <w:pPr>
              <w:rPr>
                <w:rFonts w:ascii="Arial" w:hAnsi="Arial" w:cs="Arial"/>
                <w:sz w:val="12"/>
                <w:szCs w:val="12"/>
              </w:rPr>
            </w:pPr>
          </w:p>
        </w:tc>
        <w:tc>
          <w:tcPr>
            <w:tcW w:w="1843" w:type="dxa"/>
            <w:shd w:val="clear" w:color="auto" w:fill="auto"/>
          </w:tcPr>
          <w:p w14:paraId="47C14251" w14:textId="77777777" w:rsidR="002A4DDF" w:rsidRPr="00937C8B" w:rsidRDefault="002A4DDF" w:rsidP="009110ED">
            <w:pPr>
              <w:rPr>
                <w:rFonts w:ascii="Arial" w:hAnsi="Arial" w:cs="Arial"/>
                <w:sz w:val="12"/>
                <w:szCs w:val="12"/>
              </w:rPr>
            </w:pPr>
          </w:p>
        </w:tc>
        <w:tc>
          <w:tcPr>
            <w:tcW w:w="2268" w:type="dxa"/>
            <w:shd w:val="clear" w:color="auto" w:fill="F2F2F2"/>
            <w:hideMark/>
          </w:tcPr>
          <w:p w14:paraId="5C19F28B" w14:textId="77777777" w:rsidR="002A4DDF" w:rsidRPr="00937C8B" w:rsidRDefault="002A4DDF" w:rsidP="009110ED">
            <w:pPr>
              <w:rPr>
                <w:rFonts w:ascii="Arial" w:hAnsi="Arial" w:cs="Arial"/>
                <w:sz w:val="12"/>
                <w:szCs w:val="12"/>
              </w:rPr>
            </w:pPr>
            <w:r>
              <w:rPr>
                <w:rFonts w:ascii="Arial" w:hAnsi="Arial"/>
                <w:sz w:val="12"/>
                <w:szCs w:val="12"/>
              </w:rPr>
              <w:t>Isòvol</w:t>
            </w:r>
          </w:p>
        </w:tc>
        <w:tc>
          <w:tcPr>
            <w:tcW w:w="2268" w:type="dxa"/>
            <w:tcBorders>
              <w:right w:val="single" w:sz="4" w:space="0" w:color="auto"/>
            </w:tcBorders>
            <w:shd w:val="clear" w:color="auto" w:fill="D9D9D9"/>
            <w:hideMark/>
          </w:tcPr>
          <w:p w14:paraId="6A7AA585" w14:textId="77777777" w:rsidR="002A4DDF" w:rsidRPr="00937C8B" w:rsidRDefault="002A4DDF" w:rsidP="009110ED">
            <w:pPr>
              <w:rPr>
                <w:rFonts w:ascii="Arial" w:hAnsi="Arial" w:cs="Arial"/>
                <w:sz w:val="12"/>
                <w:szCs w:val="12"/>
              </w:rPr>
            </w:pPr>
            <w:r>
              <w:rPr>
                <w:rFonts w:ascii="Arial" w:hAnsi="Arial"/>
                <w:sz w:val="12"/>
                <w:szCs w:val="12"/>
              </w:rPr>
              <w:t>Osor</w:t>
            </w:r>
          </w:p>
        </w:tc>
      </w:tr>
      <w:tr w:rsidR="002A4DDF" w:rsidRPr="00937C8B" w14:paraId="7BD03407" w14:textId="77777777" w:rsidTr="00935676">
        <w:trPr>
          <w:cantSplit/>
        </w:trPr>
        <w:tc>
          <w:tcPr>
            <w:tcW w:w="1696" w:type="dxa"/>
            <w:tcBorders>
              <w:left w:val="single" w:sz="4" w:space="0" w:color="auto"/>
            </w:tcBorders>
            <w:shd w:val="clear" w:color="auto" w:fill="auto"/>
          </w:tcPr>
          <w:p w14:paraId="19207328" w14:textId="77777777" w:rsidR="002A4DDF" w:rsidRPr="00937C8B" w:rsidRDefault="002A4DDF" w:rsidP="009110ED">
            <w:pPr>
              <w:rPr>
                <w:rFonts w:ascii="Arial" w:hAnsi="Arial" w:cs="Arial"/>
                <w:sz w:val="12"/>
                <w:szCs w:val="12"/>
              </w:rPr>
            </w:pPr>
          </w:p>
        </w:tc>
        <w:tc>
          <w:tcPr>
            <w:tcW w:w="1843" w:type="dxa"/>
            <w:shd w:val="clear" w:color="auto" w:fill="auto"/>
          </w:tcPr>
          <w:p w14:paraId="0CEE890C" w14:textId="77777777" w:rsidR="002A4DDF" w:rsidRPr="00937C8B" w:rsidRDefault="002A4DDF" w:rsidP="009110ED">
            <w:pPr>
              <w:rPr>
                <w:rFonts w:ascii="Arial" w:hAnsi="Arial" w:cs="Arial"/>
                <w:sz w:val="12"/>
                <w:szCs w:val="12"/>
              </w:rPr>
            </w:pPr>
          </w:p>
        </w:tc>
        <w:tc>
          <w:tcPr>
            <w:tcW w:w="2268" w:type="dxa"/>
            <w:shd w:val="clear" w:color="auto" w:fill="F2F2F2"/>
            <w:hideMark/>
          </w:tcPr>
          <w:p w14:paraId="360C37B9" w14:textId="77777777" w:rsidR="002A4DDF" w:rsidRPr="00937C8B" w:rsidRDefault="002A4DDF" w:rsidP="009110ED">
            <w:pPr>
              <w:rPr>
                <w:rFonts w:ascii="Arial" w:hAnsi="Arial" w:cs="Arial"/>
                <w:sz w:val="12"/>
                <w:szCs w:val="12"/>
              </w:rPr>
            </w:pPr>
            <w:r>
              <w:rPr>
                <w:rFonts w:ascii="Arial" w:hAnsi="Arial"/>
                <w:sz w:val="12"/>
                <w:szCs w:val="12"/>
              </w:rPr>
              <w:t>Juià</w:t>
            </w:r>
          </w:p>
        </w:tc>
        <w:tc>
          <w:tcPr>
            <w:tcW w:w="2268" w:type="dxa"/>
            <w:tcBorders>
              <w:right w:val="single" w:sz="4" w:space="0" w:color="auto"/>
            </w:tcBorders>
            <w:shd w:val="clear" w:color="auto" w:fill="D9D9D9"/>
            <w:hideMark/>
          </w:tcPr>
          <w:p w14:paraId="0DC28E0D" w14:textId="77777777" w:rsidR="002A4DDF" w:rsidRPr="00937C8B" w:rsidRDefault="002A4DDF" w:rsidP="009110ED">
            <w:pPr>
              <w:rPr>
                <w:rFonts w:ascii="Arial" w:hAnsi="Arial" w:cs="Arial"/>
                <w:sz w:val="12"/>
                <w:szCs w:val="12"/>
              </w:rPr>
            </w:pPr>
            <w:r>
              <w:rPr>
                <w:rFonts w:ascii="Arial" w:hAnsi="Arial"/>
                <w:sz w:val="12"/>
                <w:szCs w:val="12"/>
              </w:rPr>
              <w:t>Palafrugell</w:t>
            </w:r>
          </w:p>
        </w:tc>
      </w:tr>
      <w:tr w:rsidR="002A4DDF" w:rsidRPr="00937C8B" w14:paraId="650B6182" w14:textId="77777777" w:rsidTr="00935676">
        <w:trPr>
          <w:cantSplit/>
        </w:trPr>
        <w:tc>
          <w:tcPr>
            <w:tcW w:w="1696" w:type="dxa"/>
            <w:tcBorders>
              <w:left w:val="single" w:sz="4" w:space="0" w:color="auto"/>
            </w:tcBorders>
            <w:shd w:val="clear" w:color="auto" w:fill="auto"/>
          </w:tcPr>
          <w:p w14:paraId="7D68F04B" w14:textId="77777777" w:rsidR="002A4DDF" w:rsidRPr="00937C8B" w:rsidRDefault="002A4DDF" w:rsidP="009110ED">
            <w:pPr>
              <w:rPr>
                <w:rFonts w:ascii="Arial" w:hAnsi="Arial" w:cs="Arial"/>
                <w:sz w:val="12"/>
                <w:szCs w:val="12"/>
              </w:rPr>
            </w:pPr>
          </w:p>
        </w:tc>
        <w:tc>
          <w:tcPr>
            <w:tcW w:w="1843" w:type="dxa"/>
            <w:shd w:val="clear" w:color="auto" w:fill="auto"/>
          </w:tcPr>
          <w:p w14:paraId="3DD761E9" w14:textId="77777777" w:rsidR="002A4DDF" w:rsidRPr="00937C8B" w:rsidRDefault="002A4DDF" w:rsidP="009110ED">
            <w:pPr>
              <w:rPr>
                <w:rFonts w:ascii="Arial" w:hAnsi="Arial" w:cs="Arial"/>
                <w:sz w:val="12"/>
                <w:szCs w:val="12"/>
              </w:rPr>
            </w:pPr>
          </w:p>
        </w:tc>
        <w:tc>
          <w:tcPr>
            <w:tcW w:w="2268" w:type="dxa"/>
            <w:shd w:val="clear" w:color="auto" w:fill="F2F2F2"/>
            <w:hideMark/>
          </w:tcPr>
          <w:p w14:paraId="0AD3FA72" w14:textId="77777777" w:rsidR="002A4DDF" w:rsidRPr="00937C8B" w:rsidRDefault="002A4DDF" w:rsidP="009110ED">
            <w:pPr>
              <w:rPr>
                <w:rFonts w:ascii="Arial" w:hAnsi="Arial" w:cs="Arial"/>
                <w:sz w:val="12"/>
                <w:szCs w:val="12"/>
              </w:rPr>
            </w:pPr>
            <w:r>
              <w:rPr>
                <w:rFonts w:ascii="Arial" w:hAnsi="Arial"/>
                <w:sz w:val="12"/>
                <w:szCs w:val="12"/>
              </w:rPr>
              <w:t>La Bisbal d'Empordà</w:t>
            </w:r>
          </w:p>
        </w:tc>
        <w:tc>
          <w:tcPr>
            <w:tcW w:w="2268" w:type="dxa"/>
            <w:tcBorders>
              <w:right w:val="single" w:sz="4" w:space="0" w:color="auto"/>
            </w:tcBorders>
            <w:shd w:val="clear" w:color="auto" w:fill="D9D9D9"/>
            <w:hideMark/>
          </w:tcPr>
          <w:p w14:paraId="013B8FE1" w14:textId="77777777" w:rsidR="002A4DDF" w:rsidRPr="00937C8B" w:rsidRDefault="002A4DDF" w:rsidP="009110ED">
            <w:pPr>
              <w:rPr>
                <w:rFonts w:ascii="Arial" w:hAnsi="Arial" w:cs="Arial"/>
                <w:sz w:val="12"/>
                <w:szCs w:val="12"/>
              </w:rPr>
            </w:pPr>
            <w:r>
              <w:rPr>
                <w:rFonts w:ascii="Arial" w:hAnsi="Arial"/>
                <w:sz w:val="12"/>
                <w:szCs w:val="12"/>
              </w:rPr>
              <w:t>Palamós</w:t>
            </w:r>
          </w:p>
        </w:tc>
      </w:tr>
      <w:tr w:rsidR="002A4DDF" w:rsidRPr="00937C8B" w14:paraId="2E5BCD1E" w14:textId="77777777" w:rsidTr="00935676">
        <w:trPr>
          <w:cantSplit/>
        </w:trPr>
        <w:tc>
          <w:tcPr>
            <w:tcW w:w="1696" w:type="dxa"/>
            <w:tcBorders>
              <w:left w:val="single" w:sz="4" w:space="0" w:color="auto"/>
            </w:tcBorders>
            <w:shd w:val="clear" w:color="auto" w:fill="auto"/>
          </w:tcPr>
          <w:p w14:paraId="00A8AFF8" w14:textId="77777777" w:rsidR="002A4DDF" w:rsidRPr="00937C8B" w:rsidRDefault="002A4DDF" w:rsidP="009110ED">
            <w:pPr>
              <w:rPr>
                <w:rFonts w:ascii="Arial" w:hAnsi="Arial" w:cs="Arial"/>
                <w:sz w:val="12"/>
                <w:szCs w:val="12"/>
              </w:rPr>
            </w:pPr>
          </w:p>
        </w:tc>
        <w:tc>
          <w:tcPr>
            <w:tcW w:w="1843" w:type="dxa"/>
            <w:shd w:val="clear" w:color="auto" w:fill="auto"/>
          </w:tcPr>
          <w:p w14:paraId="62735FB5" w14:textId="77777777" w:rsidR="002A4DDF" w:rsidRPr="00937C8B" w:rsidRDefault="002A4DDF" w:rsidP="009110ED">
            <w:pPr>
              <w:rPr>
                <w:rFonts w:ascii="Arial" w:hAnsi="Arial" w:cs="Arial"/>
                <w:sz w:val="12"/>
                <w:szCs w:val="12"/>
              </w:rPr>
            </w:pPr>
          </w:p>
        </w:tc>
        <w:tc>
          <w:tcPr>
            <w:tcW w:w="2268" w:type="dxa"/>
            <w:shd w:val="clear" w:color="auto" w:fill="F2F2F2"/>
            <w:hideMark/>
          </w:tcPr>
          <w:p w14:paraId="7F2B9FCF" w14:textId="77777777" w:rsidR="002A4DDF" w:rsidRPr="00937C8B" w:rsidRDefault="002A4DDF" w:rsidP="009110ED">
            <w:pPr>
              <w:rPr>
                <w:rFonts w:ascii="Arial" w:hAnsi="Arial" w:cs="Arial"/>
                <w:sz w:val="12"/>
                <w:szCs w:val="12"/>
              </w:rPr>
            </w:pPr>
            <w:r>
              <w:rPr>
                <w:rFonts w:ascii="Arial" w:hAnsi="Arial"/>
                <w:sz w:val="12"/>
                <w:szCs w:val="12"/>
              </w:rPr>
              <w:t>La Cellera de Ter</w:t>
            </w:r>
          </w:p>
        </w:tc>
        <w:tc>
          <w:tcPr>
            <w:tcW w:w="2268" w:type="dxa"/>
            <w:tcBorders>
              <w:right w:val="single" w:sz="4" w:space="0" w:color="auto"/>
            </w:tcBorders>
            <w:shd w:val="clear" w:color="auto" w:fill="D9D9D9"/>
            <w:hideMark/>
          </w:tcPr>
          <w:p w14:paraId="479EB392" w14:textId="77777777" w:rsidR="002A4DDF" w:rsidRPr="00937C8B" w:rsidRDefault="002A4DDF" w:rsidP="009110ED">
            <w:pPr>
              <w:rPr>
                <w:rFonts w:ascii="Arial" w:hAnsi="Arial" w:cs="Arial"/>
                <w:sz w:val="12"/>
                <w:szCs w:val="12"/>
              </w:rPr>
            </w:pPr>
            <w:r>
              <w:rPr>
                <w:rFonts w:ascii="Arial" w:hAnsi="Arial"/>
                <w:sz w:val="12"/>
                <w:szCs w:val="12"/>
              </w:rPr>
              <w:t>Pardines</w:t>
            </w:r>
          </w:p>
        </w:tc>
      </w:tr>
      <w:tr w:rsidR="002A4DDF" w:rsidRPr="00937C8B" w14:paraId="7E88E245" w14:textId="77777777" w:rsidTr="00935676">
        <w:trPr>
          <w:cantSplit/>
        </w:trPr>
        <w:tc>
          <w:tcPr>
            <w:tcW w:w="1696" w:type="dxa"/>
            <w:tcBorders>
              <w:left w:val="single" w:sz="4" w:space="0" w:color="auto"/>
            </w:tcBorders>
            <w:shd w:val="clear" w:color="auto" w:fill="auto"/>
          </w:tcPr>
          <w:p w14:paraId="12D8D304" w14:textId="77777777" w:rsidR="002A4DDF" w:rsidRPr="00937C8B" w:rsidRDefault="002A4DDF" w:rsidP="009110ED">
            <w:pPr>
              <w:rPr>
                <w:rFonts w:ascii="Arial" w:hAnsi="Arial" w:cs="Arial"/>
                <w:sz w:val="12"/>
                <w:szCs w:val="12"/>
              </w:rPr>
            </w:pPr>
          </w:p>
        </w:tc>
        <w:tc>
          <w:tcPr>
            <w:tcW w:w="1843" w:type="dxa"/>
            <w:shd w:val="clear" w:color="auto" w:fill="auto"/>
          </w:tcPr>
          <w:p w14:paraId="2323EF23" w14:textId="77777777" w:rsidR="002A4DDF" w:rsidRPr="00937C8B" w:rsidRDefault="002A4DDF" w:rsidP="009110ED">
            <w:pPr>
              <w:rPr>
                <w:rFonts w:ascii="Arial" w:hAnsi="Arial" w:cs="Arial"/>
                <w:sz w:val="12"/>
                <w:szCs w:val="12"/>
              </w:rPr>
            </w:pPr>
          </w:p>
        </w:tc>
        <w:tc>
          <w:tcPr>
            <w:tcW w:w="2268" w:type="dxa"/>
            <w:shd w:val="clear" w:color="auto" w:fill="F2F2F2"/>
            <w:hideMark/>
          </w:tcPr>
          <w:p w14:paraId="3499CB69" w14:textId="77777777" w:rsidR="002A4DDF" w:rsidRPr="00937C8B" w:rsidRDefault="002A4DDF" w:rsidP="009110ED">
            <w:pPr>
              <w:rPr>
                <w:rFonts w:ascii="Arial" w:hAnsi="Arial" w:cs="Arial"/>
                <w:sz w:val="12"/>
                <w:szCs w:val="12"/>
              </w:rPr>
            </w:pPr>
            <w:r>
              <w:rPr>
                <w:rFonts w:ascii="Arial" w:hAnsi="Arial"/>
                <w:sz w:val="12"/>
                <w:szCs w:val="12"/>
              </w:rPr>
              <w:t>La Pera</w:t>
            </w:r>
          </w:p>
        </w:tc>
        <w:tc>
          <w:tcPr>
            <w:tcW w:w="2268" w:type="dxa"/>
            <w:tcBorders>
              <w:right w:val="single" w:sz="4" w:space="0" w:color="auto"/>
            </w:tcBorders>
            <w:shd w:val="clear" w:color="auto" w:fill="D9D9D9"/>
            <w:hideMark/>
          </w:tcPr>
          <w:p w14:paraId="0B1D4FBE" w14:textId="77777777" w:rsidR="002A4DDF" w:rsidRPr="00937C8B" w:rsidRDefault="002A4DDF" w:rsidP="009110ED">
            <w:pPr>
              <w:rPr>
                <w:rFonts w:ascii="Arial" w:hAnsi="Arial" w:cs="Arial"/>
                <w:sz w:val="12"/>
                <w:szCs w:val="12"/>
              </w:rPr>
            </w:pPr>
            <w:r>
              <w:rPr>
                <w:rFonts w:ascii="Arial" w:hAnsi="Arial"/>
                <w:sz w:val="12"/>
                <w:szCs w:val="12"/>
              </w:rPr>
              <w:t>Planoles</w:t>
            </w:r>
          </w:p>
        </w:tc>
      </w:tr>
      <w:tr w:rsidR="002A4DDF" w:rsidRPr="00937C8B" w14:paraId="694E9A0F" w14:textId="77777777" w:rsidTr="00935676">
        <w:trPr>
          <w:cantSplit/>
        </w:trPr>
        <w:tc>
          <w:tcPr>
            <w:tcW w:w="1696" w:type="dxa"/>
            <w:tcBorders>
              <w:left w:val="single" w:sz="4" w:space="0" w:color="auto"/>
            </w:tcBorders>
            <w:shd w:val="clear" w:color="auto" w:fill="auto"/>
          </w:tcPr>
          <w:p w14:paraId="645D5E63" w14:textId="77777777" w:rsidR="002A4DDF" w:rsidRPr="00937C8B" w:rsidRDefault="002A4DDF" w:rsidP="009110ED">
            <w:pPr>
              <w:rPr>
                <w:rFonts w:ascii="Arial" w:hAnsi="Arial" w:cs="Arial"/>
                <w:sz w:val="12"/>
                <w:szCs w:val="12"/>
              </w:rPr>
            </w:pPr>
          </w:p>
        </w:tc>
        <w:tc>
          <w:tcPr>
            <w:tcW w:w="1843" w:type="dxa"/>
            <w:shd w:val="clear" w:color="auto" w:fill="auto"/>
          </w:tcPr>
          <w:p w14:paraId="6CFAD667" w14:textId="77777777" w:rsidR="002A4DDF" w:rsidRPr="00937C8B" w:rsidRDefault="002A4DDF" w:rsidP="009110ED">
            <w:pPr>
              <w:rPr>
                <w:rFonts w:ascii="Arial" w:hAnsi="Arial" w:cs="Arial"/>
                <w:sz w:val="12"/>
                <w:szCs w:val="12"/>
              </w:rPr>
            </w:pPr>
          </w:p>
        </w:tc>
        <w:tc>
          <w:tcPr>
            <w:tcW w:w="2268" w:type="dxa"/>
            <w:shd w:val="clear" w:color="auto" w:fill="F2F2F2"/>
            <w:hideMark/>
          </w:tcPr>
          <w:p w14:paraId="6E001078" w14:textId="77777777" w:rsidR="002A4DDF" w:rsidRPr="00937C8B" w:rsidRDefault="002A4DDF" w:rsidP="009110ED">
            <w:pPr>
              <w:rPr>
                <w:rFonts w:ascii="Arial" w:hAnsi="Arial" w:cs="Arial"/>
                <w:sz w:val="12"/>
                <w:szCs w:val="12"/>
              </w:rPr>
            </w:pPr>
            <w:r>
              <w:rPr>
                <w:rFonts w:ascii="Arial" w:hAnsi="Arial"/>
                <w:sz w:val="12"/>
                <w:szCs w:val="12"/>
              </w:rPr>
              <w:t>La Vajol</w:t>
            </w:r>
          </w:p>
        </w:tc>
        <w:tc>
          <w:tcPr>
            <w:tcW w:w="2268" w:type="dxa"/>
            <w:tcBorders>
              <w:right w:val="single" w:sz="4" w:space="0" w:color="auto"/>
            </w:tcBorders>
            <w:shd w:val="clear" w:color="auto" w:fill="D9D9D9"/>
            <w:hideMark/>
          </w:tcPr>
          <w:p w14:paraId="1384D0E5" w14:textId="77777777" w:rsidR="002A4DDF" w:rsidRPr="00937C8B" w:rsidRDefault="002A4DDF" w:rsidP="009110ED">
            <w:pPr>
              <w:rPr>
                <w:rFonts w:ascii="Arial" w:hAnsi="Arial" w:cs="Arial"/>
                <w:sz w:val="12"/>
                <w:szCs w:val="12"/>
              </w:rPr>
            </w:pPr>
            <w:r>
              <w:rPr>
                <w:rFonts w:ascii="Arial" w:hAnsi="Arial"/>
                <w:sz w:val="12"/>
                <w:szCs w:val="12"/>
              </w:rPr>
              <w:t>Portbou</w:t>
            </w:r>
          </w:p>
        </w:tc>
      </w:tr>
      <w:tr w:rsidR="002A4DDF" w:rsidRPr="00937C8B" w14:paraId="6445FC93" w14:textId="77777777" w:rsidTr="00935676">
        <w:trPr>
          <w:cantSplit/>
        </w:trPr>
        <w:tc>
          <w:tcPr>
            <w:tcW w:w="1696" w:type="dxa"/>
            <w:tcBorders>
              <w:left w:val="single" w:sz="4" w:space="0" w:color="auto"/>
            </w:tcBorders>
            <w:shd w:val="clear" w:color="auto" w:fill="auto"/>
          </w:tcPr>
          <w:p w14:paraId="07792C7C" w14:textId="77777777" w:rsidR="002A4DDF" w:rsidRPr="00937C8B" w:rsidRDefault="002A4DDF" w:rsidP="009110ED">
            <w:pPr>
              <w:rPr>
                <w:rFonts w:ascii="Arial" w:hAnsi="Arial" w:cs="Arial"/>
                <w:sz w:val="12"/>
                <w:szCs w:val="12"/>
              </w:rPr>
            </w:pPr>
          </w:p>
        </w:tc>
        <w:tc>
          <w:tcPr>
            <w:tcW w:w="1843" w:type="dxa"/>
            <w:shd w:val="clear" w:color="auto" w:fill="auto"/>
          </w:tcPr>
          <w:p w14:paraId="4EAC4E43" w14:textId="77777777" w:rsidR="002A4DDF" w:rsidRPr="00937C8B" w:rsidRDefault="002A4DDF" w:rsidP="009110ED">
            <w:pPr>
              <w:rPr>
                <w:rFonts w:ascii="Arial" w:hAnsi="Arial" w:cs="Arial"/>
                <w:sz w:val="12"/>
                <w:szCs w:val="12"/>
              </w:rPr>
            </w:pPr>
          </w:p>
        </w:tc>
        <w:tc>
          <w:tcPr>
            <w:tcW w:w="2268" w:type="dxa"/>
            <w:shd w:val="clear" w:color="auto" w:fill="F2F2F2"/>
            <w:hideMark/>
          </w:tcPr>
          <w:p w14:paraId="4343498A" w14:textId="77777777" w:rsidR="002A4DDF" w:rsidRPr="00937C8B" w:rsidRDefault="002A4DDF" w:rsidP="009110ED">
            <w:pPr>
              <w:rPr>
                <w:rFonts w:ascii="Arial" w:hAnsi="Arial" w:cs="Arial"/>
                <w:sz w:val="12"/>
                <w:szCs w:val="12"/>
              </w:rPr>
            </w:pPr>
            <w:r>
              <w:rPr>
                <w:rFonts w:ascii="Arial" w:hAnsi="Arial"/>
                <w:sz w:val="12"/>
                <w:szCs w:val="12"/>
              </w:rPr>
              <w:t>La Vall de Bianya</w:t>
            </w:r>
          </w:p>
        </w:tc>
        <w:tc>
          <w:tcPr>
            <w:tcW w:w="2268" w:type="dxa"/>
            <w:tcBorders>
              <w:right w:val="single" w:sz="4" w:space="0" w:color="auto"/>
            </w:tcBorders>
            <w:shd w:val="clear" w:color="auto" w:fill="D9D9D9"/>
            <w:hideMark/>
          </w:tcPr>
          <w:p w14:paraId="07690DE0" w14:textId="77777777" w:rsidR="002A4DDF" w:rsidRPr="00937C8B" w:rsidRDefault="002A4DDF" w:rsidP="009110ED">
            <w:pPr>
              <w:rPr>
                <w:rFonts w:ascii="Arial" w:hAnsi="Arial" w:cs="Arial"/>
                <w:sz w:val="12"/>
                <w:szCs w:val="12"/>
              </w:rPr>
            </w:pPr>
            <w:r>
              <w:rPr>
                <w:rFonts w:ascii="Arial" w:hAnsi="Arial"/>
                <w:sz w:val="12"/>
                <w:szCs w:val="12"/>
              </w:rPr>
              <w:t>Queralbs</w:t>
            </w:r>
          </w:p>
        </w:tc>
      </w:tr>
      <w:tr w:rsidR="002A4DDF" w:rsidRPr="00937C8B" w14:paraId="2DF59E6B" w14:textId="77777777" w:rsidTr="00935676">
        <w:trPr>
          <w:cantSplit/>
        </w:trPr>
        <w:tc>
          <w:tcPr>
            <w:tcW w:w="1696" w:type="dxa"/>
            <w:tcBorders>
              <w:left w:val="single" w:sz="4" w:space="0" w:color="auto"/>
            </w:tcBorders>
            <w:shd w:val="clear" w:color="auto" w:fill="auto"/>
          </w:tcPr>
          <w:p w14:paraId="6BF78810" w14:textId="77777777" w:rsidR="002A4DDF" w:rsidRPr="00937C8B" w:rsidRDefault="002A4DDF" w:rsidP="009110ED">
            <w:pPr>
              <w:rPr>
                <w:rFonts w:ascii="Arial" w:hAnsi="Arial" w:cs="Arial"/>
                <w:sz w:val="12"/>
                <w:szCs w:val="12"/>
              </w:rPr>
            </w:pPr>
          </w:p>
        </w:tc>
        <w:tc>
          <w:tcPr>
            <w:tcW w:w="1843" w:type="dxa"/>
            <w:shd w:val="clear" w:color="auto" w:fill="auto"/>
          </w:tcPr>
          <w:p w14:paraId="122BC6E6" w14:textId="77777777" w:rsidR="002A4DDF" w:rsidRPr="00937C8B" w:rsidRDefault="002A4DDF" w:rsidP="009110ED">
            <w:pPr>
              <w:rPr>
                <w:rFonts w:ascii="Arial" w:hAnsi="Arial" w:cs="Arial"/>
                <w:sz w:val="12"/>
                <w:szCs w:val="12"/>
              </w:rPr>
            </w:pPr>
          </w:p>
        </w:tc>
        <w:tc>
          <w:tcPr>
            <w:tcW w:w="2268" w:type="dxa"/>
            <w:shd w:val="clear" w:color="auto" w:fill="F2F2F2"/>
            <w:hideMark/>
          </w:tcPr>
          <w:p w14:paraId="347A2D69" w14:textId="77777777" w:rsidR="002A4DDF" w:rsidRPr="00937C8B" w:rsidRDefault="002A4DDF" w:rsidP="009110ED">
            <w:pPr>
              <w:rPr>
                <w:rFonts w:ascii="Arial" w:hAnsi="Arial" w:cs="Arial"/>
                <w:sz w:val="12"/>
                <w:szCs w:val="12"/>
              </w:rPr>
            </w:pPr>
            <w:r>
              <w:rPr>
                <w:rFonts w:ascii="Arial" w:hAnsi="Arial"/>
                <w:sz w:val="12"/>
                <w:szCs w:val="12"/>
              </w:rPr>
              <w:t>La Vall d'en Bas</w:t>
            </w:r>
          </w:p>
        </w:tc>
        <w:tc>
          <w:tcPr>
            <w:tcW w:w="2268" w:type="dxa"/>
            <w:tcBorders>
              <w:right w:val="single" w:sz="4" w:space="0" w:color="auto"/>
            </w:tcBorders>
            <w:shd w:val="clear" w:color="auto" w:fill="D9D9D9"/>
            <w:hideMark/>
          </w:tcPr>
          <w:p w14:paraId="4E2CF667" w14:textId="77777777" w:rsidR="002A4DDF" w:rsidRPr="00937C8B" w:rsidRDefault="002A4DDF" w:rsidP="009110ED">
            <w:pPr>
              <w:rPr>
                <w:rFonts w:ascii="Arial" w:hAnsi="Arial" w:cs="Arial"/>
                <w:sz w:val="12"/>
                <w:szCs w:val="12"/>
              </w:rPr>
            </w:pPr>
            <w:r>
              <w:rPr>
                <w:rFonts w:ascii="Arial" w:hAnsi="Arial"/>
                <w:sz w:val="12"/>
                <w:szCs w:val="12"/>
              </w:rPr>
              <w:t>Rabós</w:t>
            </w:r>
          </w:p>
        </w:tc>
      </w:tr>
      <w:tr w:rsidR="002A4DDF" w:rsidRPr="00937C8B" w14:paraId="62556E25" w14:textId="77777777" w:rsidTr="00935676">
        <w:trPr>
          <w:cantSplit/>
        </w:trPr>
        <w:tc>
          <w:tcPr>
            <w:tcW w:w="1696" w:type="dxa"/>
            <w:tcBorders>
              <w:left w:val="single" w:sz="4" w:space="0" w:color="auto"/>
            </w:tcBorders>
            <w:shd w:val="clear" w:color="auto" w:fill="auto"/>
          </w:tcPr>
          <w:p w14:paraId="42CB2FE9" w14:textId="77777777" w:rsidR="002A4DDF" w:rsidRPr="00937C8B" w:rsidRDefault="002A4DDF" w:rsidP="009110ED">
            <w:pPr>
              <w:rPr>
                <w:rFonts w:ascii="Arial" w:hAnsi="Arial" w:cs="Arial"/>
                <w:sz w:val="12"/>
                <w:szCs w:val="12"/>
              </w:rPr>
            </w:pPr>
          </w:p>
        </w:tc>
        <w:tc>
          <w:tcPr>
            <w:tcW w:w="1843" w:type="dxa"/>
            <w:shd w:val="clear" w:color="auto" w:fill="auto"/>
          </w:tcPr>
          <w:p w14:paraId="07F9CA9A" w14:textId="77777777" w:rsidR="002A4DDF" w:rsidRPr="00937C8B" w:rsidRDefault="002A4DDF" w:rsidP="009110ED">
            <w:pPr>
              <w:rPr>
                <w:rFonts w:ascii="Arial" w:hAnsi="Arial" w:cs="Arial"/>
                <w:sz w:val="12"/>
                <w:szCs w:val="12"/>
              </w:rPr>
            </w:pPr>
          </w:p>
        </w:tc>
        <w:tc>
          <w:tcPr>
            <w:tcW w:w="2268" w:type="dxa"/>
            <w:shd w:val="clear" w:color="auto" w:fill="F2F2F2"/>
            <w:hideMark/>
          </w:tcPr>
          <w:p w14:paraId="14DE17F7" w14:textId="77777777" w:rsidR="002A4DDF" w:rsidRPr="00937C8B" w:rsidRDefault="002A4DDF" w:rsidP="009110ED">
            <w:pPr>
              <w:rPr>
                <w:rFonts w:ascii="Arial" w:hAnsi="Arial" w:cs="Arial"/>
                <w:sz w:val="12"/>
                <w:szCs w:val="12"/>
              </w:rPr>
            </w:pPr>
            <w:r>
              <w:rPr>
                <w:rFonts w:ascii="Arial" w:hAnsi="Arial"/>
                <w:sz w:val="12"/>
                <w:szCs w:val="12"/>
              </w:rPr>
              <w:t>L'Armentera</w:t>
            </w:r>
          </w:p>
        </w:tc>
        <w:tc>
          <w:tcPr>
            <w:tcW w:w="2268" w:type="dxa"/>
            <w:tcBorders>
              <w:right w:val="single" w:sz="4" w:space="0" w:color="auto"/>
            </w:tcBorders>
            <w:shd w:val="clear" w:color="auto" w:fill="D9D9D9"/>
            <w:hideMark/>
          </w:tcPr>
          <w:p w14:paraId="274A240A" w14:textId="77777777" w:rsidR="002A4DDF" w:rsidRPr="00937C8B" w:rsidRDefault="002A4DDF" w:rsidP="009110ED">
            <w:pPr>
              <w:rPr>
                <w:rFonts w:ascii="Arial" w:hAnsi="Arial" w:cs="Arial"/>
                <w:sz w:val="12"/>
                <w:szCs w:val="12"/>
              </w:rPr>
            </w:pPr>
            <w:r>
              <w:rPr>
                <w:rFonts w:ascii="Arial" w:hAnsi="Arial"/>
                <w:sz w:val="12"/>
                <w:szCs w:val="12"/>
              </w:rPr>
              <w:t>Ribes de Freser</w:t>
            </w:r>
          </w:p>
        </w:tc>
      </w:tr>
      <w:tr w:rsidR="002A4DDF" w:rsidRPr="00937C8B" w14:paraId="531FA07F" w14:textId="77777777" w:rsidTr="00935676">
        <w:trPr>
          <w:cantSplit/>
        </w:trPr>
        <w:tc>
          <w:tcPr>
            <w:tcW w:w="1696" w:type="dxa"/>
            <w:tcBorders>
              <w:left w:val="single" w:sz="4" w:space="0" w:color="auto"/>
            </w:tcBorders>
            <w:shd w:val="clear" w:color="auto" w:fill="auto"/>
          </w:tcPr>
          <w:p w14:paraId="026F6B78" w14:textId="77777777" w:rsidR="002A4DDF" w:rsidRPr="00937C8B" w:rsidRDefault="002A4DDF" w:rsidP="009110ED">
            <w:pPr>
              <w:rPr>
                <w:rFonts w:ascii="Arial" w:hAnsi="Arial" w:cs="Arial"/>
                <w:sz w:val="12"/>
                <w:szCs w:val="12"/>
              </w:rPr>
            </w:pPr>
          </w:p>
        </w:tc>
        <w:tc>
          <w:tcPr>
            <w:tcW w:w="1843" w:type="dxa"/>
            <w:shd w:val="clear" w:color="auto" w:fill="auto"/>
          </w:tcPr>
          <w:p w14:paraId="077A8EE6" w14:textId="77777777" w:rsidR="002A4DDF" w:rsidRPr="00937C8B" w:rsidRDefault="002A4DDF" w:rsidP="009110ED">
            <w:pPr>
              <w:rPr>
                <w:rFonts w:ascii="Arial" w:hAnsi="Arial" w:cs="Arial"/>
                <w:sz w:val="12"/>
                <w:szCs w:val="12"/>
              </w:rPr>
            </w:pPr>
          </w:p>
        </w:tc>
        <w:tc>
          <w:tcPr>
            <w:tcW w:w="2268" w:type="dxa"/>
            <w:shd w:val="clear" w:color="auto" w:fill="F2F2F2"/>
            <w:hideMark/>
          </w:tcPr>
          <w:p w14:paraId="03C8B8CB" w14:textId="77777777" w:rsidR="002A4DDF" w:rsidRPr="00937C8B" w:rsidRDefault="002A4DDF" w:rsidP="009110ED">
            <w:pPr>
              <w:rPr>
                <w:rFonts w:ascii="Arial" w:hAnsi="Arial" w:cs="Arial"/>
                <w:sz w:val="12"/>
                <w:szCs w:val="12"/>
              </w:rPr>
            </w:pPr>
            <w:r>
              <w:rPr>
                <w:rFonts w:ascii="Arial" w:hAnsi="Arial"/>
                <w:sz w:val="12"/>
                <w:szCs w:val="12"/>
              </w:rPr>
              <w:t>Les Llosses</w:t>
            </w:r>
          </w:p>
        </w:tc>
        <w:tc>
          <w:tcPr>
            <w:tcW w:w="2268" w:type="dxa"/>
            <w:tcBorders>
              <w:right w:val="single" w:sz="4" w:space="0" w:color="auto"/>
            </w:tcBorders>
            <w:shd w:val="clear" w:color="auto" w:fill="D9D9D9"/>
            <w:hideMark/>
          </w:tcPr>
          <w:p w14:paraId="466606CC" w14:textId="77777777" w:rsidR="002A4DDF" w:rsidRPr="00937C8B" w:rsidRDefault="002A4DDF" w:rsidP="009110ED">
            <w:pPr>
              <w:rPr>
                <w:rFonts w:ascii="Arial" w:hAnsi="Arial" w:cs="Arial"/>
                <w:sz w:val="12"/>
                <w:szCs w:val="12"/>
              </w:rPr>
            </w:pPr>
            <w:r>
              <w:rPr>
                <w:rFonts w:ascii="Arial" w:hAnsi="Arial"/>
                <w:sz w:val="12"/>
                <w:szCs w:val="12"/>
              </w:rPr>
              <w:t>Riells i Viabrea</w:t>
            </w:r>
          </w:p>
        </w:tc>
      </w:tr>
      <w:tr w:rsidR="002A4DDF" w:rsidRPr="00937C8B" w14:paraId="41D789BB" w14:textId="77777777" w:rsidTr="00935676">
        <w:trPr>
          <w:cantSplit/>
        </w:trPr>
        <w:tc>
          <w:tcPr>
            <w:tcW w:w="1696" w:type="dxa"/>
            <w:tcBorders>
              <w:left w:val="single" w:sz="4" w:space="0" w:color="auto"/>
            </w:tcBorders>
            <w:shd w:val="clear" w:color="auto" w:fill="auto"/>
          </w:tcPr>
          <w:p w14:paraId="7F5CF9A8" w14:textId="77777777" w:rsidR="002A4DDF" w:rsidRPr="00937C8B" w:rsidRDefault="002A4DDF" w:rsidP="009110ED">
            <w:pPr>
              <w:rPr>
                <w:rFonts w:ascii="Arial" w:hAnsi="Arial" w:cs="Arial"/>
                <w:sz w:val="12"/>
                <w:szCs w:val="12"/>
              </w:rPr>
            </w:pPr>
          </w:p>
        </w:tc>
        <w:tc>
          <w:tcPr>
            <w:tcW w:w="1843" w:type="dxa"/>
            <w:shd w:val="clear" w:color="auto" w:fill="auto"/>
          </w:tcPr>
          <w:p w14:paraId="2CE293D9" w14:textId="77777777" w:rsidR="002A4DDF" w:rsidRPr="00937C8B" w:rsidRDefault="002A4DDF" w:rsidP="009110ED">
            <w:pPr>
              <w:rPr>
                <w:rFonts w:ascii="Arial" w:hAnsi="Arial" w:cs="Arial"/>
                <w:sz w:val="12"/>
                <w:szCs w:val="12"/>
              </w:rPr>
            </w:pPr>
          </w:p>
        </w:tc>
        <w:tc>
          <w:tcPr>
            <w:tcW w:w="2268" w:type="dxa"/>
            <w:shd w:val="clear" w:color="auto" w:fill="F2F2F2"/>
            <w:hideMark/>
          </w:tcPr>
          <w:p w14:paraId="0B4EC261" w14:textId="77777777" w:rsidR="002A4DDF" w:rsidRPr="00937C8B" w:rsidRDefault="002A4DDF" w:rsidP="009110ED">
            <w:pPr>
              <w:rPr>
                <w:rFonts w:ascii="Arial" w:hAnsi="Arial" w:cs="Arial"/>
                <w:sz w:val="12"/>
                <w:szCs w:val="12"/>
              </w:rPr>
            </w:pPr>
            <w:r>
              <w:rPr>
                <w:rFonts w:ascii="Arial" w:hAnsi="Arial"/>
                <w:sz w:val="12"/>
                <w:szCs w:val="12"/>
              </w:rPr>
              <w:t>Les Planes d'Hostoles</w:t>
            </w:r>
          </w:p>
        </w:tc>
        <w:tc>
          <w:tcPr>
            <w:tcW w:w="2268" w:type="dxa"/>
            <w:tcBorders>
              <w:right w:val="single" w:sz="4" w:space="0" w:color="auto"/>
            </w:tcBorders>
            <w:shd w:val="clear" w:color="auto" w:fill="D9D9D9"/>
            <w:hideMark/>
          </w:tcPr>
          <w:p w14:paraId="6783AED8" w14:textId="77777777" w:rsidR="002A4DDF" w:rsidRPr="00937C8B" w:rsidRDefault="002A4DDF" w:rsidP="009110ED">
            <w:pPr>
              <w:rPr>
                <w:rFonts w:ascii="Arial" w:hAnsi="Arial" w:cs="Arial"/>
                <w:sz w:val="12"/>
                <w:szCs w:val="12"/>
              </w:rPr>
            </w:pPr>
            <w:r>
              <w:rPr>
                <w:rFonts w:ascii="Arial" w:hAnsi="Arial"/>
                <w:sz w:val="12"/>
                <w:szCs w:val="12"/>
              </w:rPr>
              <w:t>Riudarenes</w:t>
            </w:r>
          </w:p>
        </w:tc>
      </w:tr>
      <w:tr w:rsidR="002A4DDF" w:rsidRPr="00937C8B" w14:paraId="11B4BFE7" w14:textId="77777777" w:rsidTr="00935676">
        <w:trPr>
          <w:cantSplit/>
        </w:trPr>
        <w:tc>
          <w:tcPr>
            <w:tcW w:w="1696" w:type="dxa"/>
            <w:tcBorders>
              <w:left w:val="single" w:sz="4" w:space="0" w:color="auto"/>
            </w:tcBorders>
            <w:shd w:val="clear" w:color="auto" w:fill="auto"/>
          </w:tcPr>
          <w:p w14:paraId="04CBAF0B" w14:textId="77777777" w:rsidR="002A4DDF" w:rsidRPr="00937C8B" w:rsidRDefault="002A4DDF" w:rsidP="009110ED">
            <w:pPr>
              <w:rPr>
                <w:rFonts w:ascii="Arial" w:hAnsi="Arial" w:cs="Arial"/>
                <w:sz w:val="12"/>
                <w:szCs w:val="12"/>
              </w:rPr>
            </w:pPr>
          </w:p>
        </w:tc>
        <w:tc>
          <w:tcPr>
            <w:tcW w:w="1843" w:type="dxa"/>
            <w:shd w:val="clear" w:color="auto" w:fill="auto"/>
          </w:tcPr>
          <w:p w14:paraId="1506DFE3" w14:textId="77777777" w:rsidR="002A4DDF" w:rsidRPr="00937C8B" w:rsidRDefault="002A4DDF" w:rsidP="009110ED">
            <w:pPr>
              <w:rPr>
                <w:rFonts w:ascii="Arial" w:hAnsi="Arial" w:cs="Arial"/>
                <w:sz w:val="12"/>
                <w:szCs w:val="12"/>
              </w:rPr>
            </w:pPr>
          </w:p>
        </w:tc>
        <w:tc>
          <w:tcPr>
            <w:tcW w:w="2268" w:type="dxa"/>
            <w:shd w:val="clear" w:color="auto" w:fill="F2F2F2"/>
            <w:hideMark/>
          </w:tcPr>
          <w:p w14:paraId="43C7C55B" w14:textId="77777777" w:rsidR="002A4DDF" w:rsidRPr="00937C8B" w:rsidRDefault="002A4DDF" w:rsidP="009110ED">
            <w:pPr>
              <w:rPr>
                <w:rFonts w:ascii="Arial" w:hAnsi="Arial" w:cs="Arial"/>
                <w:sz w:val="12"/>
                <w:szCs w:val="12"/>
              </w:rPr>
            </w:pPr>
            <w:r>
              <w:rPr>
                <w:rFonts w:ascii="Arial" w:hAnsi="Arial"/>
                <w:sz w:val="12"/>
                <w:szCs w:val="12"/>
              </w:rPr>
              <w:t>Les Preses</w:t>
            </w:r>
          </w:p>
        </w:tc>
        <w:tc>
          <w:tcPr>
            <w:tcW w:w="2268" w:type="dxa"/>
            <w:tcBorders>
              <w:right w:val="single" w:sz="4" w:space="0" w:color="auto"/>
            </w:tcBorders>
            <w:shd w:val="clear" w:color="auto" w:fill="D9D9D9"/>
            <w:hideMark/>
          </w:tcPr>
          <w:p w14:paraId="61EB0F3F" w14:textId="77777777" w:rsidR="002A4DDF" w:rsidRPr="00937C8B" w:rsidRDefault="002A4DDF" w:rsidP="009110ED">
            <w:pPr>
              <w:rPr>
                <w:rFonts w:ascii="Arial" w:hAnsi="Arial" w:cs="Arial"/>
                <w:sz w:val="12"/>
                <w:szCs w:val="12"/>
              </w:rPr>
            </w:pPr>
            <w:r>
              <w:rPr>
                <w:rFonts w:ascii="Arial" w:hAnsi="Arial"/>
                <w:sz w:val="12"/>
                <w:szCs w:val="12"/>
              </w:rPr>
              <w:t>Roses</w:t>
            </w:r>
          </w:p>
        </w:tc>
      </w:tr>
      <w:tr w:rsidR="002A4DDF" w:rsidRPr="00937C8B" w14:paraId="5F05C67C" w14:textId="77777777" w:rsidTr="00935676">
        <w:trPr>
          <w:cantSplit/>
        </w:trPr>
        <w:tc>
          <w:tcPr>
            <w:tcW w:w="1696" w:type="dxa"/>
            <w:tcBorders>
              <w:left w:val="single" w:sz="4" w:space="0" w:color="auto"/>
            </w:tcBorders>
            <w:shd w:val="clear" w:color="auto" w:fill="auto"/>
          </w:tcPr>
          <w:p w14:paraId="5E32B67D" w14:textId="77777777" w:rsidR="002A4DDF" w:rsidRPr="00937C8B" w:rsidRDefault="002A4DDF" w:rsidP="009110ED">
            <w:pPr>
              <w:rPr>
                <w:rFonts w:ascii="Arial" w:hAnsi="Arial" w:cs="Arial"/>
                <w:sz w:val="12"/>
                <w:szCs w:val="12"/>
              </w:rPr>
            </w:pPr>
          </w:p>
        </w:tc>
        <w:tc>
          <w:tcPr>
            <w:tcW w:w="1843" w:type="dxa"/>
            <w:shd w:val="clear" w:color="auto" w:fill="auto"/>
          </w:tcPr>
          <w:p w14:paraId="5A8FD4BE" w14:textId="77777777" w:rsidR="002A4DDF" w:rsidRPr="00937C8B" w:rsidRDefault="002A4DDF" w:rsidP="009110ED">
            <w:pPr>
              <w:rPr>
                <w:rFonts w:ascii="Arial" w:hAnsi="Arial" w:cs="Arial"/>
                <w:sz w:val="12"/>
                <w:szCs w:val="12"/>
              </w:rPr>
            </w:pPr>
          </w:p>
        </w:tc>
        <w:tc>
          <w:tcPr>
            <w:tcW w:w="2268" w:type="dxa"/>
            <w:shd w:val="clear" w:color="auto" w:fill="F2F2F2"/>
            <w:hideMark/>
          </w:tcPr>
          <w:p w14:paraId="5AE1561D" w14:textId="77777777" w:rsidR="002A4DDF" w:rsidRPr="00937C8B" w:rsidRDefault="002A4DDF" w:rsidP="009110ED">
            <w:pPr>
              <w:rPr>
                <w:rFonts w:ascii="Arial" w:hAnsi="Arial" w:cs="Arial"/>
                <w:sz w:val="12"/>
                <w:szCs w:val="12"/>
              </w:rPr>
            </w:pPr>
            <w:r>
              <w:rPr>
                <w:rFonts w:ascii="Arial" w:hAnsi="Arial"/>
                <w:sz w:val="12"/>
                <w:szCs w:val="12"/>
              </w:rPr>
              <w:t>L'Escala</w:t>
            </w:r>
          </w:p>
        </w:tc>
        <w:tc>
          <w:tcPr>
            <w:tcW w:w="2268" w:type="dxa"/>
            <w:tcBorders>
              <w:right w:val="single" w:sz="4" w:space="0" w:color="auto"/>
            </w:tcBorders>
            <w:shd w:val="clear" w:color="auto" w:fill="D9D9D9"/>
            <w:hideMark/>
          </w:tcPr>
          <w:p w14:paraId="11B16F41" w14:textId="77777777" w:rsidR="002A4DDF" w:rsidRPr="00937C8B" w:rsidRDefault="002A4DDF" w:rsidP="009110ED">
            <w:pPr>
              <w:rPr>
                <w:rFonts w:ascii="Arial" w:hAnsi="Arial" w:cs="Arial"/>
                <w:sz w:val="12"/>
                <w:szCs w:val="12"/>
              </w:rPr>
            </w:pPr>
            <w:r>
              <w:rPr>
                <w:rFonts w:ascii="Arial" w:hAnsi="Arial"/>
                <w:sz w:val="12"/>
                <w:szCs w:val="12"/>
              </w:rPr>
              <w:t>Sant Climent Sescebes</w:t>
            </w:r>
          </w:p>
        </w:tc>
      </w:tr>
      <w:tr w:rsidR="002A4DDF" w:rsidRPr="00937C8B" w14:paraId="2B642932" w14:textId="77777777" w:rsidTr="00935676">
        <w:trPr>
          <w:cantSplit/>
        </w:trPr>
        <w:tc>
          <w:tcPr>
            <w:tcW w:w="1696" w:type="dxa"/>
            <w:tcBorders>
              <w:left w:val="single" w:sz="4" w:space="0" w:color="auto"/>
            </w:tcBorders>
            <w:shd w:val="clear" w:color="auto" w:fill="auto"/>
          </w:tcPr>
          <w:p w14:paraId="7B9C73E3" w14:textId="77777777" w:rsidR="002A4DDF" w:rsidRPr="00937C8B" w:rsidRDefault="002A4DDF" w:rsidP="009110ED">
            <w:pPr>
              <w:rPr>
                <w:rFonts w:ascii="Arial" w:hAnsi="Arial" w:cs="Arial"/>
                <w:sz w:val="12"/>
                <w:szCs w:val="12"/>
              </w:rPr>
            </w:pPr>
          </w:p>
        </w:tc>
        <w:tc>
          <w:tcPr>
            <w:tcW w:w="1843" w:type="dxa"/>
            <w:shd w:val="clear" w:color="auto" w:fill="auto"/>
          </w:tcPr>
          <w:p w14:paraId="3C16BA6F" w14:textId="77777777" w:rsidR="002A4DDF" w:rsidRPr="00937C8B" w:rsidRDefault="002A4DDF" w:rsidP="009110ED">
            <w:pPr>
              <w:rPr>
                <w:rFonts w:ascii="Arial" w:hAnsi="Arial" w:cs="Arial"/>
                <w:sz w:val="12"/>
                <w:szCs w:val="12"/>
              </w:rPr>
            </w:pPr>
          </w:p>
        </w:tc>
        <w:tc>
          <w:tcPr>
            <w:tcW w:w="2268" w:type="dxa"/>
            <w:shd w:val="clear" w:color="auto" w:fill="F2F2F2"/>
            <w:hideMark/>
          </w:tcPr>
          <w:p w14:paraId="4EFB0E9D" w14:textId="77777777" w:rsidR="002A4DDF" w:rsidRPr="00937C8B" w:rsidRDefault="002A4DDF" w:rsidP="009110ED">
            <w:pPr>
              <w:rPr>
                <w:rFonts w:ascii="Arial" w:hAnsi="Arial" w:cs="Arial"/>
                <w:sz w:val="12"/>
                <w:szCs w:val="12"/>
              </w:rPr>
            </w:pPr>
            <w:r>
              <w:rPr>
                <w:rFonts w:ascii="Arial" w:hAnsi="Arial"/>
                <w:sz w:val="12"/>
                <w:szCs w:val="12"/>
              </w:rPr>
              <w:t>Llambilles</w:t>
            </w:r>
          </w:p>
        </w:tc>
        <w:tc>
          <w:tcPr>
            <w:tcW w:w="2268" w:type="dxa"/>
            <w:tcBorders>
              <w:right w:val="single" w:sz="4" w:space="0" w:color="auto"/>
            </w:tcBorders>
            <w:shd w:val="clear" w:color="auto" w:fill="D9D9D9"/>
            <w:hideMark/>
          </w:tcPr>
          <w:p w14:paraId="106C7228" w14:textId="77777777" w:rsidR="002A4DDF" w:rsidRPr="00937C8B" w:rsidRDefault="002A4DDF" w:rsidP="009110ED">
            <w:pPr>
              <w:rPr>
                <w:rFonts w:ascii="Arial" w:hAnsi="Arial" w:cs="Arial"/>
                <w:sz w:val="12"/>
                <w:szCs w:val="12"/>
              </w:rPr>
            </w:pPr>
            <w:r>
              <w:rPr>
                <w:rFonts w:ascii="Arial" w:hAnsi="Arial"/>
                <w:sz w:val="12"/>
                <w:szCs w:val="12"/>
              </w:rPr>
              <w:t>Sant Feliu de Buixalleu</w:t>
            </w:r>
          </w:p>
        </w:tc>
      </w:tr>
      <w:tr w:rsidR="002A4DDF" w:rsidRPr="00937C8B" w14:paraId="5F455A63" w14:textId="77777777" w:rsidTr="00935676">
        <w:trPr>
          <w:cantSplit/>
        </w:trPr>
        <w:tc>
          <w:tcPr>
            <w:tcW w:w="1696" w:type="dxa"/>
            <w:tcBorders>
              <w:left w:val="single" w:sz="4" w:space="0" w:color="auto"/>
            </w:tcBorders>
            <w:shd w:val="clear" w:color="auto" w:fill="auto"/>
          </w:tcPr>
          <w:p w14:paraId="3C8D33A3" w14:textId="77777777" w:rsidR="002A4DDF" w:rsidRPr="00937C8B" w:rsidRDefault="002A4DDF" w:rsidP="009110ED">
            <w:pPr>
              <w:rPr>
                <w:rFonts w:ascii="Arial" w:hAnsi="Arial" w:cs="Arial"/>
                <w:sz w:val="12"/>
                <w:szCs w:val="12"/>
              </w:rPr>
            </w:pPr>
          </w:p>
        </w:tc>
        <w:tc>
          <w:tcPr>
            <w:tcW w:w="1843" w:type="dxa"/>
            <w:shd w:val="clear" w:color="auto" w:fill="auto"/>
          </w:tcPr>
          <w:p w14:paraId="1002D134" w14:textId="77777777" w:rsidR="002A4DDF" w:rsidRPr="00937C8B" w:rsidRDefault="002A4DDF" w:rsidP="009110ED">
            <w:pPr>
              <w:rPr>
                <w:rFonts w:ascii="Arial" w:hAnsi="Arial" w:cs="Arial"/>
                <w:sz w:val="12"/>
                <w:szCs w:val="12"/>
              </w:rPr>
            </w:pPr>
          </w:p>
        </w:tc>
        <w:tc>
          <w:tcPr>
            <w:tcW w:w="2268" w:type="dxa"/>
            <w:shd w:val="clear" w:color="auto" w:fill="F2F2F2"/>
            <w:hideMark/>
          </w:tcPr>
          <w:p w14:paraId="57207B53" w14:textId="77777777" w:rsidR="002A4DDF" w:rsidRPr="00937C8B" w:rsidRDefault="002A4DDF" w:rsidP="009110ED">
            <w:pPr>
              <w:rPr>
                <w:rFonts w:ascii="Arial" w:hAnsi="Arial" w:cs="Arial"/>
                <w:sz w:val="12"/>
                <w:szCs w:val="12"/>
              </w:rPr>
            </w:pPr>
            <w:r>
              <w:rPr>
                <w:rFonts w:ascii="Arial" w:hAnsi="Arial"/>
                <w:sz w:val="12"/>
                <w:szCs w:val="12"/>
              </w:rPr>
              <w:t>Llers</w:t>
            </w:r>
          </w:p>
        </w:tc>
        <w:tc>
          <w:tcPr>
            <w:tcW w:w="2268" w:type="dxa"/>
            <w:tcBorders>
              <w:right w:val="single" w:sz="4" w:space="0" w:color="auto"/>
            </w:tcBorders>
            <w:shd w:val="clear" w:color="auto" w:fill="D9D9D9"/>
            <w:hideMark/>
          </w:tcPr>
          <w:p w14:paraId="14280B47" w14:textId="77777777" w:rsidR="002A4DDF" w:rsidRPr="00937C8B" w:rsidRDefault="002A4DDF" w:rsidP="009110ED">
            <w:pPr>
              <w:rPr>
                <w:rFonts w:ascii="Arial" w:hAnsi="Arial" w:cs="Arial"/>
                <w:sz w:val="12"/>
                <w:szCs w:val="12"/>
              </w:rPr>
            </w:pPr>
            <w:r>
              <w:rPr>
                <w:rFonts w:ascii="Arial" w:hAnsi="Arial"/>
                <w:sz w:val="12"/>
                <w:szCs w:val="12"/>
              </w:rPr>
              <w:t>Sant Feliu de Guíxols</w:t>
            </w:r>
          </w:p>
        </w:tc>
      </w:tr>
      <w:tr w:rsidR="002A4DDF" w:rsidRPr="00937C8B" w14:paraId="35385709" w14:textId="77777777" w:rsidTr="00935676">
        <w:trPr>
          <w:cantSplit/>
        </w:trPr>
        <w:tc>
          <w:tcPr>
            <w:tcW w:w="1696" w:type="dxa"/>
            <w:tcBorders>
              <w:left w:val="single" w:sz="4" w:space="0" w:color="auto"/>
            </w:tcBorders>
            <w:shd w:val="clear" w:color="auto" w:fill="auto"/>
          </w:tcPr>
          <w:p w14:paraId="02A97FA1" w14:textId="77777777" w:rsidR="002A4DDF" w:rsidRPr="00937C8B" w:rsidRDefault="002A4DDF" w:rsidP="009110ED">
            <w:pPr>
              <w:rPr>
                <w:rFonts w:ascii="Arial" w:hAnsi="Arial" w:cs="Arial"/>
                <w:sz w:val="12"/>
                <w:szCs w:val="12"/>
              </w:rPr>
            </w:pPr>
          </w:p>
        </w:tc>
        <w:tc>
          <w:tcPr>
            <w:tcW w:w="1843" w:type="dxa"/>
            <w:shd w:val="clear" w:color="auto" w:fill="auto"/>
          </w:tcPr>
          <w:p w14:paraId="3B91FA09" w14:textId="77777777" w:rsidR="002A4DDF" w:rsidRPr="00937C8B" w:rsidRDefault="002A4DDF" w:rsidP="009110ED">
            <w:pPr>
              <w:rPr>
                <w:rFonts w:ascii="Arial" w:hAnsi="Arial" w:cs="Arial"/>
                <w:sz w:val="12"/>
                <w:szCs w:val="12"/>
              </w:rPr>
            </w:pPr>
          </w:p>
        </w:tc>
        <w:tc>
          <w:tcPr>
            <w:tcW w:w="2268" w:type="dxa"/>
            <w:shd w:val="clear" w:color="auto" w:fill="F2F2F2"/>
            <w:hideMark/>
          </w:tcPr>
          <w:p w14:paraId="6A320E1A" w14:textId="77777777" w:rsidR="002A4DDF" w:rsidRPr="00937C8B" w:rsidRDefault="002A4DDF" w:rsidP="009110ED">
            <w:pPr>
              <w:rPr>
                <w:rFonts w:ascii="Arial" w:hAnsi="Arial" w:cs="Arial"/>
                <w:sz w:val="12"/>
                <w:szCs w:val="12"/>
              </w:rPr>
            </w:pPr>
            <w:r>
              <w:rPr>
                <w:rFonts w:ascii="Arial" w:hAnsi="Arial"/>
                <w:sz w:val="12"/>
                <w:szCs w:val="12"/>
              </w:rPr>
              <w:t>Llívia</w:t>
            </w:r>
          </w:p>
        </w:tc>
        <w:tc>
          <w:tcPr>
            <w:tcW w:w="2268" w:type="dxa"/>
            <w:tcBorders>
              <w:right w:val="single" w:sz="4" w:space="0" w:color="auto"/>
            </w:tcBorders>
            <w:shd w:val="clear" w:color="auto" w:fill="D9D9D9"/>
            <w:hideMark/>
          </w:tcPr>
          <w:p w14:paraId="1D53DC54" w14:textId="77777777" w:rsidR="002A4DDF" w:rsidRPr="00937C8B" w:rsidRDefault="002A4DDF" w:rsidP="009110ED">
            <w:pPr>
              <w:rPr>
                <w:rFonts w:ascii="Arial" w:hAnsi="Arial" w:cs="Arial"/>
                <w:sz w:val="12"/>
                <w:szCs w:val="12"/>
              </w:rPr>
            </w:pPr>
            <w:r>
              <w:rPr>
                <w:rFonts w:ascii="Arial" w:hAnsi="Arial"/>
                <w:sz w:val="12"/>
                <w:szCs w:val="12"/>
              </w:rPr>
              <w:t>Sant Hilari Sacalm</w:t>
            </w:r>
          </w:p>
        </w:tc>
      </w:tr>
      <w:tr w:rsidR="002A4DDF" w:rsidRPr="00937C8B" w14:paraId="52D9BAE5" w14:textId="77777777" w:rsidTr="00935676">
        <w:trPr>
          <w:cantSplit/>
        </w:trPr>
        <w:tc>
          <w:tcPr>
            <w:tcW w:w="1696" w:type="dxa"/>
            <w:tcBorders>
              <w:left w:val="single" w:sz="4" w:space="0" w:color="auto"/>
            </w:tcBorders>
            <w:shd w:val="clear" w:color="auto" w:fill="auto"/>
          </w:tcPr>
          <w:p w14:paraId="4D6FC9E9" w14:textId="77777777" w:rsidR="002A4DDF" w:rsidRPr="00937C8B" w:rsidRDefault="002A4DDF" w:rsidP="009110ED">
            <w:pPr>
              <w:rPr>
                <w:rFonts w:ascii="Arial" w:hAnsi="Arial" w:cs="Arial"/>
                <w:sz w:val="12"/>
                <w:szCs w:val="12"/>
              </w:rPr>
            </w:pPr>
          </w:p>
        </w:tc>
        <w:tc>
          <w:tcPr>
            <w:tcW w:w="1843" w:type="dxa"/>
            <w:shd w:val="clear" w:color="auto" w:fill="auto"/>
          </w:tcPr>
          <w:p w14:paraId="54A1E116" w14:textId="77777777" w:rsidR="002A4DDF" w:rsidRPr="00937C8B" w:rsidRDefault="002A4DDF" w:rsidP="009110ED">
            <w:pPr>
              <w:rPr>
                <w:rFonts w:ascii="Arial" w:hAnsi="Arial" w:cs="Arial"/>
                <w:sz w:val="12"/>
                <w:szCs w:val="12"/>
              </w:rPr>
            </w:pPr>
          </w:p>
        </w:tc>
        <w:tc>
          <w:tcPr>
            <w:tcW w:w="2268" w:type="dxa"/>
            <w:shd w:val="clear" w:color="auto" w:fill="F2F2F2"/>
            <w:hideMark/>
          </w:tcPr>
          <w:p w14:paraId="6144E2FB" w14:textId="77777777" w:rsidR="002A4DDF" w:rsidRPr="00937C8B" w:rsidRDefault="002A4DDF" w:rsidP="009110ED">
            <w:pPr>
              <w:rPr>
                <w:rFonts w:ascii="Arial" w:hAnsi="Arial" w:cs="Arial"/>
                <w:sz w:val="12"/>
                <w:szCs w:val="12"/>
              </w:rPr>
            </w:pPr>
            <w:r>
              <w:rPr>
                <w:rFonts w:ascii="Arial" w:hAnsi="Arial"/>
                <w:sz w:val="12"/>
                <w:szCs w:val="12"/>
              </w:rPr>
              <w:t>Maçanet de Cabrenys</w:t>
            </w:r>
          </w:p>
        </w:tc>
        <w:tc>
          <w:tcPr>
            <w:tcW w:w="2268" w:type="dxa"/>
            <w:tcBorders>
              <w:right w:val="single" w:sz="4" w:space="0" w:color="auto"/>
            </w:tcBorders>
            <w:shd w:val="clear" w:color="auto" w:fill="D9D9D9"/>
            <w:hideMark/>
          </w:tcPr>
          <w:p w14:paraId="2AC496CB" w14:textId="77777777" w:rsidR="002A4DDF" w:rsidRPr="00937C8B" w:rsidRDefault="002A4DDF" w:rsidP="009110ED">
            <w:pPr>
              <w:rPr>
                <w:rFonts w:ascii="Arial" w:hAnsi="Arial" w:cs="Arial"/>
                <w:sz w:val="12"/>
                <w:szCs w:val="12"/>
              </w:rPr>
            </w:pPr>
            <w:r>
              <w:rPr>
                <w:rFonts w:ascii="Arial" w:hAnsi="Arial"/>
                <w:sz w:val="12"/>
                <w:szCs w:val="12"/>
              </w:rPr>
              <w:t>Santa Coloma de Farners</w:t>
            </w:r>
          </w:p>
        </w:tc>
      </w:tr>
      <w:tr w:rsidR="002A4DDF" w:rsidRPr="00937C8B" w14:paraId="3435DDBA" w14:textId="77777777" w:rsidTr="00935676">
        <w:trPr>
          <w:cantSplit/>
        </w:trPr>
        <w:tc>
          <w:tcPr>
            <w:tcW w:w="1696" w:type="dxa"/>
            <w:tcBorders>
              <w:left w:val="single" w:sz="4" w:space="0" w:color="auto"/>
            </w:tcBorders>
            <w:shd w:val="clear" w:color="auto" w:fill="auto"/>
          </w:tcPr>
          <w:p w14:paraId="05E3B22B" w14:textId="77777777" w:rsidR="002A4DDF" w:rsidRPr="00937C8B" w:rsidRDefault="002A4DDF" w:rsidP="009110ED">
            <w:pPr>
              <w:rPr>
                <w:rFonts w:ascii="Arial" w:hAnsi="Arial" w:cs="Arial"/>
                <w:sz w:val="12"/>
                <w:szCs w:val="12"/>
              </w:rPr>
            </w:pPr>
          </w:p>
        </w:tc>
        <w:tc>
          <w:tcPr>
            <w:tcW w:w="1843" w:type="dxa"/>
            <w:shd w:val="clear" w:color="auto" w:fill="auto"/>
          </w:tcPr>
          <w:p w14:paraId="0B36E055" w14:textId="77777777" w:rsidR="002A4DDF" w:rsidRPr="00937C8B" w:rsidRDefault="002A4DDF" w:rsidP="009110ED">
            <w:pPr>
              <w:rPr>
                <w:rFonts w:ascii="Arial" w:hAnsi="Arial" w:cs="Arial"/>
                <w:sz w:val="12"/>
                <w:szCs w:val="12"/>
              </w:rPr>
            </w:pPr>
          </w:p>
        </w:tc>
        <w:tc>
          <w:tcPr>
            <w:tcW w:w="2268" w:type="dxa"/>
            <w:shd w:val="clear" w:color="auto" w:fill="F2F2F2"/>
            <w:hideMark/>
          </w:tcPr>
          <w:p w14:paraId="5348E602" w14:textId="77777777" w:rsidR="002A4DDF" w:rsidRPr="00937C8B" w:rsidRDefault="002A4DDF" w:rsidP="009110ED">
            <w:pPr>
              <w:rPr>
                <w:rFonts w:ascii="Arial" w:hAnsi="Arial" w:cs="Arial"/>
                <w:sz w:val="12"/>
                <w:szCs w:val="12"/>
              </w:rPr>
            </w:pPr>
            <w:r>
              <w:rPr>
                <w:rFonts w:ascii="Arial" w:hAnsi="Arial"/>
                <w:sz w:val="12"/>
                <w:szCs w:val="12"/>
              </w:rPr>
              <w:t>Madremanya</w:t>
            </w:r>
          </w:p>
        </w:tc>
        <w:tc>
          <w:tcPr>
            <w:tcW w:w="2268" w:type="dxa"/>
            <w:tcBorders>
              <w:right w:val="single" w:sz="4" w:space="0" w:color="auto"/>
            </w:tcBorders>
            <w:shd w:val="clear" w:color="auto" w:fill="D9D9D9"/>
            <w:hideMark/>
          </w:tcPr>
          <w:p w14:paraId="2EACBF5B" w14:textId="77777777" w:rsidR="002A4DDF" w:rsidRPr="00937C8B" w:rsidRDefault="002A4DDF" w:rsidP="009110ED">
            <w:pPr>
              <w:rPr>
                <w:rFonts w:ascii="Arial" w:hAnsi="Arial" w:cs="Arial"/>
                <w:sz w:val="12"/>
                <w:szCs w:val="12"/>
              </w:rPr>
            </w:pPr>
            <w:r>
              <w:rPr>
                <w:rFonts w:ascii="Arial" w:hAnsi="Arial"/>
                <w:sz w:val="12"/>
                <w:szCs w:val="12"/>
              </w:rPr>
              <w:t>Santa Cristina d'Aro</w:t>
            </w:r>
          </w:p>
        </w:tc>
      </w:tr>
      <w:tr w:rsidR="002A4DDF" w:rsidRPr="00937C8B" w14:paraId="246790A6" w14:textId="77777777" w:rsidTr="00935676">
        <w:trPr>
          <w:cantSplit/>
        </w:trPr>
        <w:tc>
          <w:tcPr>
            <w:tcW w:w="1696" w:type="dxa"/>
            <w:tcBorders>
              <w:left w:val="single" w:sz="4" w:space="0" w:color="auto"/>
            </w:tcBorders>
            <w:shd w:val="clear" w:color="auto" w:fill="auto"/>
          </w:tcPr>
          <w:p w14:paraId="1187EFFB" w14:textId="77777777" w:rsidR="002A4DDF" w:rsidRPr="00937C8B" w:rsidRDefault="002A4DDF" w:rsidP="009110ED">
            <w:pPr>
              <w:rPr>
                <w:rFonts w:ascii="Arial" w:hAnsi="Arial" w:cs="Arial"/>
                <w:sz w:val="12"/>
                <w:szCs w:val="12"/>
              </w:rPr>
            </w:pPr>
          </w:p>
        </w:tc>
        <w:tc>
          <w:tcPr>
            <w:tcW w:w="1843" w:type="dxa"/>
            <w:shd w:val="clear" w:color="auto" w:fill="auto"/>
          </w:tcPr>
          <w:p w14:paraId="270E27A2" w14:textId="77777777" w:rsidR="002A4DDF" w:rsidRPr="00937C8B" w:rsidRDefault="002A4DDF" w:rsidP="009110ED">
            <w:pPr>
              <w:rPr>
                <w:rFonts w:ascii="Arial" w:hAnsi="Arial" w:cs="Arial"/>
                <w:sz w:val="12"/>
                <w:szCs w:val="12"/>
              </w:rPr>
            </w:pPr>
          </w:p>
        </w:tc>
        <w:tc>
          <w:tcPr>
            <w:tcW w:w="2268" w:type="dxa"/>
            <w:shd w:val="clear" w:color="auto" w:fill="F2F2F2"/>
            <w:hideMark/>
          </w:tcPr>
          <w:p w14:paraId="65133536" w14:textId="77777777" w:rsidR="002A4DDF" w:rsidRPr="00937C8B" w:rsidRDefault="002A4DDF" w:rsidP="009110ED">
            <w:pPr>
              <w:rPr>
                <w:rFonts w:ascii="Arial" w:hAnsi="Arial" w:cs="Arial"/>
                <w:sz w:val="12"/>
                <w:szCs w:val="12"/>
              </w:rPr>
            </w:pPr>
            <w:r>
              <w:rPr>
                <w:rFonts w:ascii="Arial" w:hAnsi="Arial"/>
                <w:sz w:val="12"/>
                <w:szCs w:val="12"/>
              </w:rPr>
              <w:t>Maià de Montcal</w:t>
            </w:r>
          </w:p>
        </w:tc>
        <w:tc>
          <w:tcPr>
            <w:tcW w:w="2268" w:type="dxa"/>
            <w:tcBorders>
              <w:right w:val="single" w:sz="4" w:space="0" w:color="auto"/>
            </w:tcBorders>
            <w:shd w:val="clear" w:color="auto" w:fill="D9D9D9"/>
            <w:hideMark/>
          </w:tcPr>
          <w:p w14:paraId="2CED3DC6" w14:textId="77777777" w:rsidR="002A4DDF" w:rsidRPr="00937C8B" w:rsidRDefault="002A4DDF" w:rsidP="009110ED">
            <w:pPr>
              <w:rPr>
                <w:rFonts w:ascii="Arial" w:hAnsi="Arial" w:cs="Arial"/>
                <w:sz w:val="12"/>
                <w:szCs w:val="12"/>
              </w:rPr>
            </w:pPr>
            <w:r>
              <w:rPr>
                <w:rFonts w:ascii="Arial" w:hAnsi="Arial"/>
                <w:sz w:val="12"/>
                <w:szCs w:val="12"/>
              </w:rPr>
              <w:t>Setcases</w:t>
            </w:r>
          </w:p>
        </w:tc>
      </w:tr>
      <w:tr w:rsidR="002A4DDF" w:rsidRPr="00937C8B" w14:paraId="54025CFE" w14:textId="77777777" w:rsidTr="00935676">
        <w:trPr>
          <w:cantSplit/>
        </w:trPr>
        <w:tc>
          <w:tcPr>
            <w:tcW w:w="1696" w:type="dxa"/>
            <w:tcBorders>
              <w:left w:val="single" w:sz="4" w:space="0" w:color="auto"/>
            </w:tcBorders>
            <w:shd w:val="clear" w:color="auto" w:fill="auto"/>
          </w:tcPr>
          <w:p w14:paraId="3425013A" w14:textId="77777777" w:rsidR="002A4DDF" w:rsidRPr="00937C8B" w:rsidRDefault="002A4DDF" w:rsidP="009110ED">
            <w:pPr>
              <w:rPr>
                <w:rFonts w:ascii="Arial" w:hAnsi="Arial" w:cs="Arial"/>
                <w:sz w:val="12"/>
                <w:szCs w:val="12"/>
              </w:rPr>
            </w:pPr>
          </w:p>
        </w:tc>
        <w:tc>
          <w:tcPr>
            <w:tcW w:w="1843" w:type="dxa"/>
            <w:shd w:val="clear" w:color="auto" w:fill="auto"/>
          </w:tcPr>
          <w:p w14:paraId="0AACEE82" w14:textId="77777777" w:rsidR="002A4DDF" w:rsidRPr="00937C8B" w:rsidRDefault="002A4DDF" w:rsidP="009110ED">
            <w:pPr>
              <w:rPr>
                <w:rFonts w:ascii="Arial" w:hAnsi="Arial" w:cs="Arial"/>
                <w:sz w:val="12"/>
                <w:szCs w:val="12"/>
              </w:rPr>
            </w:pPr>
          </w:p>
        </w:tc>
        <w:tc>
          <w:tcPr>
            <w:tcW w:w="2268" w:type="dxa"/>
            <w:shd w:val="clear" w:color="auto" w:fill="F2F2F2"/>
            <w:hideMark/>
          </w:tcPr>
          <w:p w14:paraId="27469BF0" w14:textId="77777777" w:rsidR="002A4DDF" w:rsidRPr="00937C8B" w:rsidRDefault="002A4DDF" w:rsidP="009110ED">
            <w:pPr>
              <w:rPr>
                <w:rFonts w:ascii="Arial" w:hAnsi="Arial" w:cs="Arial"/>
                <w:sz w:val="12"/>
                <w:szCs w:val="12"/>
              </w:rPr>
            </w:pPr>
            <w:r>
              <w:rPr>
                <w:rFonts w:ascii="Arial" w:hAnsi="Arial"/>
                <w:sz w:val="12"/>
                <w:szCs w:val="12"/>
              </w:rPr>
              <w:t>Masarac</w:t>
            </w:r>
          </w:p>
        </w:tc>
        <w:tc>
          <w:tcPr>
            <w:tcW w:w="2268" w:type="dxa"/>
            <w:tcBorders>
              <w:right w:val="single" w:sz="4" w:space="0" w:color="auto"/>
            </w:tcBorders>
            <w:shd w:val="clear" w:color="auto" w:fill="D9D9D9"/>
            <w:hideMark/>
          </w:tcPr>
          <w:p w14:paraId="5AD90E31" w14:textId="77777777" w:rsidR="002A4DDF" w:rsidRPr="00937C8B" w:rsidRDefault="002A4DDF" w:rsidP="009110ED">
            <w:pPr>
              <w:rPr>
                <w:rFonts w:ascii="Arial" w:hAnsi="Arial" w:cs="Arial"/>
                <w:sz w:val="12"/>
                <w:szCs w:val="12"/>
              </w:rPr>
            </w:pPr>
            <w:r>
              <w:rPr>
                <w:rFonts w:ascii="Arial" w:hAnsi="Arial"/>
                <w:sz w:val="12"/>
                <w:szCs w:val="12"/>
              </w:rPr>
              <w:t>Sils</w:t>
            </w:r>
          </w:p>
        </w:tc>
      </w:tr>
      <w:tr w:rsidR="002A4DDF" w:rsidRPr="00937C8B" w14:paraId="1BF207F4" w14:textId="77777777" w:rsidTr="00935676">
        <w:trPr>
          <w:cantSplit/>
        </w:trPr>
        <w:tc>
          <w:tcPr>
            <w:tcW w:w="1696" w:type="dxa"/>
            <w:tcBorders>
              <w:left w:val="single" w:sz="4" w:space="0" w:color="auto"/>
            </w:tcBorders>
            <w:shd w:val="clear" w:color="auto" w:fill="auto"/>
          </w:tcPr>
          <w:p w14:paraId="79B66B64" w14:textId="77777777" w:rsidR="002A4DDF" w:rsidRPr="00937C8B" w:rsidRDefault="002A4DDF" w:rsidP="009110ED">
            <w:pPr>
              <w:rPr>
                <w:rFonts w:ascii="Arial" w:hAnsi="Arial" w:cs="Arial"/>
                <w:sz w:val="12"/>
                <w:szCs w:val="12"/>
              </w:rPr>
            </w:pPr>
          </w:p>
        </w:tc>
        <w:tc>
          <w:tcPr>
            <w:tcW w:w="1843" w:type="dxa"/>
            <w:shd w:val="clear" w:color="auto" w:fill="auto"/>
          </w:tcPr>
          <w:p w14:paraId="6642C37A" w14:textId="77777777" w:rsidR="002A4DDF" w:rsidRPr="00937C8B" w:rsidRDefault="002A4DDF" w:rsidP="009110ED">
            <w:pPr>
              <w:rPr>
                <w:rFonts w:ascii="Arial" w:hAnsi="Arial" w:cs="Arial"/>
                <w:sz w:val="12"/>
                <w:szCs w:val="12"/>
              </w:rPr>
            </w:pPr>
          </w:p>
        </w:tc>
        <w:tc>
          <w:tcPr>
            <w:tcW w:w="2268" w:type="dxa"/>
            <w:shd w:val="clear" w:color="auto" w:fill="F2F2F2"/>
            <w:hideMark/>
          </w:tcPr>
          <w:p w14:paraId="2A520BBE" w14:textId="77777777" w:rsidR="002A4DDF" w:rsidRPr="00937C8B" w:rsidRDefault="002A4DDF" w:rsidP="009110ED">
            <w:pPr>
              <w:rPr>
                <w:rFonts w:ascii="Arial" w:hAnsi="Arial" w:cs="Arial"/>
                <w:sz w:val="12"/>
                <w:szCs w:val="12"/>
              </w:rPr>
            </w:pPr>
            <w:r>
              <w:rPr>
                <w:rFonts w:ascii="Arial" w:hAnsi="Arial"/>
                <w:sz w:val="12"/>
                <w:szCs w:val="12"/>
              </w:rPr>
              <w:t>Mieres</w:t>
            </w:r>
          </w:p>
        </w:tc>
        <w:tc>
          <w:tcPr>
            <w:tcW w:w="2268" w:type="dxa"/>
            <w:tcBorders>
              <w:right w:val="single" w:sz="4" w:space="0" w:color="auto"/>
            </w:tcBorders>
            <w:shd w:val="clear" w:color="auto" w:fill="D9D9D9"/>
            <w:hideMark/>
          </w:tcPr>
          <w:p w14:paraId="28994B7F" w14:textId="77777777" w:rsidR="002A4DDF" w:rsidRPr="00937C8B" w:rsidRDefault="002A4DDF" w:rsidP="009110ED">
            <w:pPr>
              <w:rPr>
                <w:rFonts w:ascii="Arial" w:hAnsi="Arial" w:cs="Arial"/>
                <w:sz w:val="12"/>
                <w:szCs w:val="12"/>
              </w:rPr>
            </w:pPr>
            <w:r>
              <w:rPr>
                <w:rFonts w:ascii="Arial" w:hAnsi="Arial"/>
                <w:sz w:val="12"/>
                <w:szCs w:val="12"/>
              </w:rPr>
              <w:t>Susqueda</w:t>
            </w:r>
          </w:p>
        </w:tc>
      </w:tr>
      <w:tr w:rsidR="002A4DDF" w:rsidRPr="00937C8B" w14:paraId="7B3CC9B2" w14:textId="77777777" w:rsidTr="00935676">
        <w:trPr>
          <w:cantSplit/>
        </w:trPr>
        <w:tc>
          <w:tcPr>
            <w:tcW w:w="1696" w:type="dxa"/>
            <w:tcBorders>
              <w:left w:val="single" w:sz="4" w:space="0" w:color="auto"/>
            </w:tcBorders>
            <w:shd w:val="clear" w:color="auto" w:fill="auto"/>
          </w:tcPr>
          <w:p w14:paraId="2F27D3B0" w14:textId="77777777" w:rsidR="002A4DDF" w:rsidRPr="00937C8B" w:rsidRDefault="002A4DDF" w:rsidP="009110ED">
            <w:pPr>
              <w:rPr>
                <w:rFonts w:ascii="Arial" w:hAnsi="Arial" w:cs="Arial"/>
                <w:sz w:val="12"/>
                <w:szCs w:val="12"/>
              </w:rPr>
            </w:pPr>
          </w:p>
        </w:tc>
        <w:tc>
          <w:tcPr>
            <w:tcW w:w="1843" w:type="dxa"/>
            <w:shd w:val="clear" w:color="auto" w:fill="auto"/>
          </w:tcPr>
          <w:p w14:paraId="25F0DBAF" w14:textId="77777777" w:rsidR="002A4DDF" w:rsidRPr="00937C8B" w:rsidRDefault="002A4DDF" w:rsidP="009110ED">
            <w:pPr>
              <w:rPr>
                <w:rFonts w:ascii="Arial" w:hAnsi="Arial" w:cs="Arial"/>
                <w:sz w:val="12"/>
                <w:szCs w:val="12"/>
              </w:rPr>
            </w:pPr>
          </w:p>
        </w:tc>
        <w:tc>
          <w:tcPr>
            <w:tcW w:w="2268" w:type="dxa"/>
            <w:shd w:val="clear" w:color="auto" w:fill="F2F2F2"/>
            <w:hideMark/>
          </w:tcPr>
          <w:p w14:paraId="24288CC3" w14:textId="77777777" w:rsidR="002A4DDF" w:rsidRPr="00937C8B" w:rsidRDefault="002A4DDF" w:rsidP="009110ED">
            <w:pPr>
              <w:rPr>
                <w:rFonts w:ascii="Arial" w:hAnsi="Arial" w:cs="Arial"/>
                <w:sz w:val="12"/>
                <w:szCs w:val="12"/>
              </w:rPr>
            </w:pPr>
            <w:r>
              <w:rPr>
                <w:rFonts w:ascii="Arial" w:hAnsi="Arial"/>
                <w:sz w:val="12"/>
                <w:szCs w:val="12"/>
              </w:rPr>
              <w:t>Mollet de Peralada</w:t>
            </w:r>
          </w:p>
        </w:tc>
        <w:tc>
          <w:tcPr>
            <w:tcW w:w="2268" w:type="dxa"/>
            <w:tcBorders>
              <w:right w:val="single" w:sz="4" w:space="0" w:color="auto"/>
            </w:tcBorders>
            <w:shd w:val="clear" w:color="auto" w:fill="D9D9D9"/>
            <w:hideMark/>
          </w:tcPr>
          <w:p w14:paraId="42ACD38E" w14:textId="77777777" w:rsidR="002A4DDF" w:rsidRPr="00937C8B" w:rsidRDefault="002A4DDF" w:rsidP="009110ED">
            <w:pPr>
              <w:rPr>
                <w:rFonts w:ascii="Arial" w:hAnsi="Arial" w:cs="Arial"/>
                <w:sz w:val="12"/>
                <w:szCs w:val="12"/>
              </w:rPr>
            </w:pPr>
            <w:r>
              <w:rPr>
                <w:rFonts w:ascii="Arial" w:hAnsi="Arial"/>
                <w:sz w:val="12"/>
                <w:szCs w:val="12"/>
              </w:rPr>
              <w:t>Toses</w:t>
            </w:r>
          </w:p>
        </w:tc>
      </w:tr>
      <w:tr w:rsidR="002A4DDF" w:rsidRPr="00937C8B" w14:paraId="51040F45" w14:textId="77777777" w:rsidTr="00935676">
        <w:trPr>
          <w:cantSplit/>
        </w:trPr>
        <w:tc>
          <w:tcPr>
            <w:tcW w:w="1696" w:type="dxa"/>
            <w:tcBorders>
              <w:left w:val="single" w:sz="4" w:space="0" w:color="auto"/>
            </w:tcBorders>
            <w:shd w:val="clear" w:color="auto" w:fill="auto"/>
          </w:tcPr>
          <w:p w14:paraId="6612AD12" w14:textId="77777777" w:rsidR="002A4DDF" w:rsidRPr="00937C8B" w:rsidRDefault="002A4DDF" w:rsidP="009110ED">
            <w:pPr>
              <w:rPr>
                <w:rFonts w:ascii="Arial" w:hAnsi="Arial" w:cs="Arial"/>
                <w:sz w:val="12"/>
                <w:szCs w:val="12"/>
              </w:rPr>
            </w:pPr>
          </w:p>
        </w:tc>
        <w:tc>
          <w:tcPr>
            <w:tcW w:w="1843" w:type="dxa"/>
            <w:shd w:val="clear" w:color="auto" w:fill="auto"/>
          </w:tcPr>
          <w:p w14:paraId="75866BAB" w14:textId="77777777" w:rsidR="002A4DDF" w:rsidRPr="00937C8B" w:rsidRDefault="002A4DDF" w:rsidP="009110ED">
            <w:pPr>
              <w:rPr>
                <w:rFonts w:ascii="Arial" w:hAnsi="Arial" w:cs="Arial"/>
                <w:sz w:val="12"/>
                <w:szCs w:val="12"/>
              </w:rPr>
            </w:pPr>
          </w:p>
        </w:tc>
        <w:tc>
          <w:tcPr>
            <w:tcW w:w="2268" w:type="dxa"/>
            <w:shd w:val="clear" w:color="auto" w:fill="F2F2F2"/>
            <w:hideMark/>
          </w:tcPr>
          <w:p w14:paraId="40DD810C" w14:textId="77777777" w:rsidR="002A4DDF" w:rsidRPr="00937C8B" w:rsidRDefault="002A4DDF" w:rsidP="009110ED">
            <w:pPr>
              <w:rPr>
                <w:rFonts w:ascii="Arial" w:hAnsi="Arial" w:cs="Arial"/>
                <w:sz w:val="12"/>
                <w:szCs w:val="12"/>
              </w:rPr>
            </w:pPr>
            <w:r>
              <w:rPr>
                <w:rFonts w:ascii="Arial" w:hAnsi="Arial"/>
                <w:sz w:val="12"/>
                <w:szCs w:val="12"/>
              </w:rPr>
              <w:t>Montagut i Oix</w:t>
            </w:r>
          </w:p>
        </w:tc>
        <w:tc>
          <w:tcPr>
            <w:tcW w:w="2268" w:type="dxa"/>
            <w:tcBorders>
              <w:right w:val="single" w:sz="4" w:space="0" w:color="auto"/>
            </w:tcBorders>
            <w:shd w:val="clear" w:color="auto" w:fill="D9D9D9"/>
            <w:hideMark/>
          </w:tcPr>
          <w:p w14:paraId="0CAC8201" w14:textId="77777777" w:rsidR="002A4DDF" w:rsidRPr="00937C8B" w:rsidRDefault="002A4DDF" w:rsidP="009110ED">
            <w:pPr>
              <w:rPr>
                <w:rFonts w:ascii="Arial" w:hAnsi="Arial" w:cs="Arial"/>
                <w:sz w:val="12"/>
                <w:szCs w:val="12"/>
              </w:rPr>
            </w:pPr>
            <w:r>
              <w:rPr>
                <w:rFonts w:ascii="Arial" w:hAnsi="Arial"/>
                <w:sz w:val="12"/>
                <w:szCs w:val="12"/>
              </w:rPr>
              <w:t>Tossa de Mar</w:t>
            </w:r>
          </w:p>
        </w:tc>
      </w:tr>
      <w:tr w:rsidR="002A4DDF" w:rsidRPr="00937C8B" w14:paraId="2F7845C2" w14:textId="77777777" w:rsidTr="00935676">
        <w:trPr>
          <w:cantSplit/>
        </w:trPr>
        <w:tc>
          <w:tcPr>
            <w:tcW w:w="1696" w:type="dxa"/>
            <w:tcBorders>
              <w:left w:val="single" w:sz="4" w:space="0" w:color="auto"/>
            </w:tcBorders>
            <w:shd w:val="clear" w:color="auto" w:fill="auto"/>
          </w:tcPr>
          <w:p w14:paraId="23CA98AB" w14:textId="77777777" w:rsidR="002A4DDF" w:rsidRPr="00937C8B" w:rsidRDefault="002A4DDF" w:rsidP="009110ED">
            <w:pPr>
              <w:rPr>
                <w:rFonts w:ascii="Arial" w:hAnsi="Arial" w:cs="Arial"/>
                <w:sz w:val="12"/>
                <w:szCs w:val="12"/>
              </w:rPr>
            </w:pPr>
          </w:p>
        </w:tc>
        <w:tc>
          <w:tcPr>
            <w:tcW w:w="1843" w:type="dxa"/>
            <w:shd w:val="clear" w:color="auto" w:fill="auto"/>
          </w:tcPr>
          <w:p w14:paraId="2E4FA05A" w14:textId="77777777" w:rsidR="002A4DDF" w:rsidRPr="00937C8B" w:rsidRDefault="002A4DDF" w:rsidP="009110ED">
            <w:pPr>
              <w:rPr>
                <w:rFonts w:ascii="Arial" w:hAnsi="Arial" w:cs="Arial"/>
                <w:sz w:val="12"/>
                <w:szCs w:val="12"/>
              </w:rPr>
            </w:pPr>
          </w:p>
        </w:tc>
        <w:tc>
          <w:tcPr>
            <w:tcW w:w="2268" w:type="dxa"/>
            <w:shd w:val="clear" w:color="auto" w:fill="F2F2F2"/>
            <w:hideMark/>
          </w:tcPr>
          <w:p w14:paraId="3FC77A6E" w14:textId="77777777" w:rsidR="002A4DDF" w:rsidRPr="00937C8B" w:rsidRDefault="002A4DDF" w:rsidP="009110ED">
            <w:pPr>
              <w:rPr>
                <w:rFonts w:ascii="Arial" w:hAnsi="Arial" w:cs="Arial"/>
                <w:sz w:val="12"/>
                <w:szCs w:val="12"/>
              </w:rPr>
            </w:pPr>
            <w:r>
              <w:rPr>
                <w:rFonts w:ascii="Arial" w:hAnsi="Arial"/>
                <w:sz w:val="12"/>
                <w:szCs w:val="12"/>
              </w:rPr>
              <w:t>Navata</w:t>
            </w:r>
          </w:p>
        </w:tc>
        <w:tc>
          <w:tcPr>
            <w:tcW w:w="2268" w:type="dxa"/>
            <w:tcBorders>
              <w:right w:val="single" w:sz="4" w:space="0" w:color="auto"/>
            </w:tcBorders>
            <w:shd w:val="clear" w:color="auto" w:fill="D9D9D9"/>
            <w:hideMark/>
          </w:tcPr>
          <w:p w14:paraId="62B0B0B7" w14:textId="77777777" w:rsidR="002A4DDF" w:rsidRPr="00937C8B" w:rsidRDefault="002A4DDF" w:rsidP="009110ED">
            <w:pPr>
              <w:rPr>
                <w:rFonts w:ascii="Arial" w:hAnsi="Arial" w:cs="Arial"/>
                <w:sz w:val="12"/>
                <w:szCs w:val="12"/>
              </w:rPr>
            </w:pPr>
            <w:r>
              <w:rPr>
                <w:rFonts w:ascii="Arial" w:hAnsi="Arial"/>
                <w:sz w:val="12"/>
                <w:szCs w:val="12"/>
              </w:rPr>
              <w:t>Urús</w:t>
            </w:r>
          </w:p>
        </w:tc>
      </w:tr>
      <w:tr w:rsidR="002A4DDF" w:rsidRPr="00937C8B" w14:paraId="17904DB9" w14:textId="77777777" w:rsidTr="00935676">
        <w:trPr>
          <w:cantSplit/>
        </w:trPr>
        <w:tc>
          <w:tcPr>
            <w:tcW w:w="1696" w:type="dxa"/>
            <w:tcBorders>
              <w:left w:val="single" w:sz="4" w:space="0" w:color="auto"/>
            </w:tcBorders>
            <w:shd w:val="clear" w:color="auto" w:fill="auto"/>
          </w:tcPr>
          <w:p w14:paraId="3418DED2" w14:textId="77777777" w:rsidR="002A4DDF" w:rsidRPr="00937C8B" w:rsidRDefault="002A4DDF" w:rsidP="009110ED">
            <w:pPr>
              <w:rPr>
                <w:rFonts w:ascii="Arial" w:hAnsi="Arial" w:cs="Arial"/>
                <w:sz w:val="12"/>
                <w:szCs w:val="12"/>
              </w:rPr>
            </w:pPr>
          </w:p>
        </w:tc>
        <w:tc>
          <w:tcPr>
            <w:tcW w:w="1843" w:type="dxa"/>
            <w:shd w:val="clear" w:color="auto" w:fill="auto"/>
          </w:tcPr>
          <w:p w14:paraId="3928F2BC" w14:textId="77777777" w:rsidR="002A4DDF" w:rsidRPr="00937C8B" w:rsidRDefault="002A4DDF" w:rsidP="009110ED">
            <w:pPr>
              <w:rPr>
                <w:rFonts w:ascii="Arial" w:hAnsi="Arial" w:cs="Arial"/>
                <w:sz w:val="12"/>
                <w:szCs w:val="12"/>
              </w:rPr>
            </w:pPr>
          </w:p>
        </w:tc>
        <w:tc>
          <w:tcPr>
            <w:tcW w:w="2268" w:type="dxa"/>
            <w:shd w:val="clear" w:color="auto" w:fill="F2F2F2"/>
            <w:hideMark/>
          </w:tcPr>
          <w:p w14:paraId="72F4E4F8" w14:textId="77777777" w:rsidR="002A4DDF" w:rsidRPr="00937C8B" w:rsidRDefault="002A4DDF" w:rsidP="009110ED">
            <w:pPr>
              <w:rPr>
                <w:rFonts w:ascii="Arial" w:hAnsi="Arial" w:cs="Arial"/>
                <w:sz w:val="12"/>
                <w:szCs w:val="12"/>
              </w:rPr>
            </w:pPr>
            <w:r>
              <w:rPr>
                <w:rFonts w:ascii="Arial" w:hAnsi="Arial"/>
                <w:sz w:val="12"/>
                <w:szCs w:val="12"/>
              </w:rPr>
              <w:t>Olot</w:t>
            </w:r>
          </w:p>
        </w:tc>
        <w:tc>
          <w:tcPr>
            <w:tcW w:w="2268" w:type="dxa"/>
            <w:tcBorders>
              <w:right w:val="single" w:sz="4" w:space="0" w:color="auto"/>
            </w:tcBorders>
            <w:shd w:val="clear" w:color="auto" w:fill="D9D9D9"/>
            <w:hideMark/>
          </w:tcPr>
          <w:p w14:paraId="3800F3A8" w14:textId="77777777" w:rsidR="002A4DDF" w:rsidRPr="00937C8B" w:rsidRDefault="002A4DDF" w:rsidP="009110ED">
            <w:pPr>
              <w:rPr>
                <w:rFonts w:ascii="Arial" w:hAnsi="Arial" w:cs="Arial"/>
                <w:sz w:val="12"/>
                <w:szCs w:val="12"/>
              </w:rPr>
            </w:pPr>
            <w:r>
              <w:rPr>
                <w:rFonts w:ascii="Arial" w:hAnsi="Arial"/>
                <w:sz w:val="12"/>
                <w:szCs w:val="12"/>
              </w:rPr>
              <w:t>Vall-llobrega</w:t>
            </w:r>
          </w:p>
        </w:tc>
      </w:tr>
      <w:tr w:rsidR="002A4DDF" w:rsidRPr="00937C8B" w14:paraId="22EF0A62" w14:textId="77777777" w:rsidTr="00935676">
        <w:trPr>
          <w:cantSplit/>
        </w:trPr>
        <w:tc>
          <w:tcPr>
            <w:tcW w:w="1696" w:type="dxa"/>
            <w:tcBorders>
              <w:left w:val="single" w:sz="4" w:space="0" w:color="auto"/>
            </w:tcBorders>
            <w:shd w:val="clear" w:color="auto" w:fill="auto"/>
          </w:tcPr>
          <w:p w14:paraId="160275F2" w14:textId="77777777" w:rsidR="002A4DDF" w:rsidRPr="00937C8B" w:rsidRDefault="002A4DDF" w:rsidP="009110ED">
            <w:pPr>
              <w:rPr>
                <w:rFonts w:ascii="Arial" w:hAnsi="Arial" w:cs="Arial"/>
                <w:sz w:val="12"/>
                <w:szCs w:val="12"/>
              </w:rPr>
            </w:pPr>
          </w:p>
        </w:tc>
        <w:tc>
          <w:tcPr>
            <w:tcW w:w="1843" w:type="dxa"/>
            <w:shd w:val="clear" w:color="auto" w:fill="auto"/>
          </w:tcPr>
          <w:p w14:paraId="7773802E" w14:textId="77777777" w:rsidR="002A4DDF" w:rsidRPr="00937C8B" w:rsidRDefault="002A4DDF" w:rsidP="009110ED">
            <w:pPr>
              <w:rPr>
                <w:rFonts w:ascii="Arial" w:hAnsi="Arial" w:cs="Arial"/>
                <w:sz w:val="12"/>
                <w:szCs w:val="12"/>
              </w:rPr>
            </w:pPr>
          </w:p>
        </w:tc>
        <w:tc>
          <w:tcPr>
            <w:tcW w:w="2268" w:type="dxa"/>
            <w:shd w:val="clear" w:color="auto" w:fill="F2F2F2"/>
            <w:hideMark/>
          </w:tcPr>
          <w:p w14:paraId="2509588D" w14:textId="77777777" w:rsidR="002A4DDF" w:rsidRPr="00937C8B" w:rsidRDefault="002A4DDF" w:rsidP="009110ED">
            <w:pPr>
              <w:rPr>
                <w:rFonts w:ascii="Arial" w:hAnsi="Arial" w:cs="Arial"/>
                <w:sz w:val="12"/>
                <w:szCs w:val="12"/>
              </w:rPr>
            </w:pPr>
            <w:r>
              <w:rPr>
                <w:rFonts w:ascii="Arial" w:hAnsi="Arial"/>
                <w:sz w:val="12"/>
                <w:szCs w:val="12"/>
              </w:rPr>
              <w:t>Palau-sator</w:t>
            </w:r>
          </w:p>
        </w:tc>
        <w:tc>
          <w:tcPr>
            <w:tcW w:w="2268" w:type="dxa"/>
            <w:tcBorders>
              <w:right w:val="single" w:sz="4" w:space="0" w:color="auto"/>
            </w:tcBorders>
            <w:shd w:val="clear" w:color="auto" w:fill="D9D9D9"/>
            <w:hideMark/>
          </w:tcPr>
          <w:p w14:paraId="7296EC2A" w14:textId="77777777" w:rsidR="002A4DDF" w:rsidRPr="00937C8B" w:rsidRDefault="002A4DDF" w:rsidP="009110ED">
            <w:pPr>
              <w:rPr>
                <w:rFonts w:ascii="Arial" w:hAnsi="Arial" w:cs="Arial"/>
                <w:sz w:val="12"/>
                <w:szCs w:val="12"/>
              </w:rPr>
            </w:pPr>
            <w:r>
              <w:rPr>
                <w:rFonts w:ascii="Arial" w:hAnsi="Arial"/>
                <w:sz w:val="12"/>
                <w:szCs w:val="12"/>
              </w:rPr>
              <w:t>Vidreres</w:t>
            </w:r>
          </w:p>
        </w:tc>
      </w:tr>
      <w:tr w:rsidR="002A4DDF" w:rsidRPr="00937C8B" w14:paraId="5B2A6556" w14:textId="77777777" w:rsidTr="00935676">
        <w:trPr>
          <w:cantSplit/>
        </w:trPr>
        <w:tc>
          <w:tcPr>
            <w:tcW w:w="1696" w:type="dxa"/>
            <w:tcBorders>
              <w:left w:val="single" w:sz="4" w:space="0" w:color="auto"/>
            </w:tcBorders>
            <w:shd w:val="clear" w:color="auto" w:fill="auto"/>
          </w:tcPr>
          <w:p w14:paraId="476E26A5" w14:textId="77777777" w:rsidR="002A4DDF" w:rsidRPr="00937C8B" w:rsidRDefault="002A4DDF" w:rsidP="009110ED">
            <w:pPr>
              <w:rPr>
                <w:rFonts w:ascii="Arial" w:hAnsi="Arial" w:cs="Arial"/>
                <w:sz w:val="12"/>
                <w:szCs w:val="12"/>
              </w:rPr>
            </w:pPr>
          </w:p>
        </w:tc>
        <w:tc>
          <w:tcPr>
            <w:tcW w:w="1843" w:type="dxa"/>
            <w:shd w:val="clear" w:color="auto" w:fill="auto"/>
          </w:tcPr>
          <w:p w14:paraId="67CD67FF" w14:textId="77777777" w:rsidR="002A4DDF" w:rsidRPr="00937C8B" w:rsidRDefault="002A4DDF" w:rsidP="009110ED">
            <w:pPr>
              <w:rPr>
                <w:rFonts w:ascii="Arial" w:hAnsi="Arial" w:cs="Arial"/>
                <w:sz w:val="12"/>
                <w:szCs w:val="12"/>
              </w:rPr>
            </w:pPr>
          </w:p>
        </w:tc>
        <w:tc>
          <w:tcPr>
            <w:tcW w:w="2268" w:type="dxa"/>
            <w:shd w:val="clear" w:color="auto" w:fill="F2F2F2"/>
            <w:hideMark/>
          </w:tcPr>
          <w:p w14:paraId="4E1B9C98" w14:textId="77777777" w:rsidR="002A4DDF" w:rsidRPr="00937C8B" w:rsidRDefault="002A4DDF" w:rsidP="009110ED">
            <w:pPr>
              <w:rPr>
                <w:rFonts w:ascii="Arial" w:hAnsi="Arial" w:cs="Arial"/>
                <w:sz w:val="12"/>
                <w:szCs w:val="12"/>
              </w:rPr>
            </w:pPr>
            <w:r>
              <w:rPr>
                <w:rFonts w:ascii="Arial" w:hAnsi="Arial"/>
                <w:sz w:val="12"/>
                <w:szCs w:val="12"/>
              </w:rPr>
              <w:t>Palau-saverdera</w:t>
            </w:r>
          </w:p>
        </w:tc>
        <w:tc>
          <w:tcPr>
            <w:tcW w:w="2268" w:type="dxa"/>
            <w:tcBorders>
              <w:right w:val="single" w:sz="4" w:space="0" w:color="auto"/>
            </w:tcBorders>
            <w:shd w:val="clear" w:color="auto" w:fill="D9D9D9"/>
            <w:hideMark/>
          </w:tcPr>
          <w:p w14:paraId="14534FD5" w14:textId="77777777" w:rsidR="002A4DDF" w:rsidRPr="00937C8B" w:rsidRDefault="002A4DDF" w:rsidP="009110ED">
            <w:pPr>
              <w:rPr>
                <w:rFonts w:ascii="Arial" w:hAnsi="Arial" w:cs="Arial"/>
                <w:sz w:val="12"/>
                <w:szCs w:val="12"/>
              </w:rPr>
            </w:pPr>
            <w:r>
              <w:rPr>
                <w:rFonts w:ascii="Arial" w:hAnsi="Arial"/>
                <w:sz w:val="12"/>
                <w:szCs w:val="12"/>
              </w:rPr>
              <w:t>Viladrau</w:t>
            </w:r>
          </w:p>
        </w:tc>
      </w:tr>
      <w:tr w:rsidR="002A4DDF" w:rsidRPr="00937C8B" w14:paraId="1D5C8FE4" w14:textId="77777777" w:rsidTr="00935676">
        <w:trPr>
          <w:cantSplit/>
        </w:trPr>
        <w:tc>
          <w:tcPr>
            <w:tcW w:w="1696" w:type="dxa"/>
            <w:tcBorders>
              <w:left w:val="single" w:sz="4" w:space="0" w:color="auto"/>
            </w:tcBorders>
            <w:shd w:val="clear" w:color="auto" w:fill="auto"/>
          </w:tcPr>
          <w:p w14:paraId="047E6E9C" w14:textId="77777777" w:rsidR="002A4DDF" w:rsidRPr="00937C8B" w:rsidRDefault="002A4DDF" w:rsidP="009110ED">
            <w:pPr>
              <w:rPr>
                <w:rFonts w:ascii="Arial" w:hAnsi="Arial" w:cs="Arial"/>
                <w:sz w:val="12"/>
                <w:szCs w:val="12"/>
              </w:rPr>
            </w:pPr>
          </w:p>
        </w:tc>
        <w:tc>
          <w:tcPr>
            <w:tcW w:w="1843" w:type="dxa"/>
            <w:shd w:val="clear" w:color="auto" w:fill="auto"/>
          </w:tcPr>
          <w:p w14:paraId="01660C66" w14:textId="77777777" w:rsidR="002A4DDF" w:rsidRPr="00937C8B" w:rsidRDefault="002A4DDF" w:rsidP="009110ED">
            <w:pPr>
              <w:rPr>
                <w:rFonts w:ascii="Arial" w:hAnsi="Arial" w:cs="Arial"/>
                <w:sz w:val="12"/>
                <w:szCs w:val="12"/>
              </w:rPr>
            </w:pPr>
          </w:p>
        </w:tc>
        <w:tc>
          <w:tcPr>
            <w:tcW w:w="2268" w:type="dxa"/>
            <w:shd w:val="clear" w:color="auto" w:fill="F2F2F2"/>
            <w:hideMark/>
          </w:tcPr>
          <w:p w14:paraId="42F66199" w14:textId="77777777" w:rsidR="002A4DDF" w:rsidRPr="00937C8B" w:rsidRDefault="002A4DDF" w:rsidP="009110ED">
            <w:pPr>
              <w:rPr>
                <w:rFonts w:ascii="Arial" w:hAnsi="Arial" w:cs="Arial"/>
                <w:sz w:val="12"/>
                <w:szCs w:val="12"/>
              </w:rPr>
            </w:pPr>
            <w:r>
              <w:rPr>
                <w:rFonts w:ascii="Arial" w:hAnsi="Arial"/>
                <w:sz w:val="12"/>
                <w:szCs w:val="12"/>
              </w:rPr>
              <w:t>Palol de Revardit</w:t>
            </w:r>
          </w:p>
        </w:tc>
        <w:tc>
          <w:tcPr>
            <w:tcW w:w="2268" w:type="dxa"/>
            <w:tcBorders>
              <w:right w:val="single" w:sz="4" w:space="0" w:color="auto"/>
            </w:tcBorders>
            <w:shd w:val="clear" w:color="auto" w:fill="D9D9D9"/>
            <w:hideMark/>
          </w:tcPr>
          <w:p w14:paraId="010AFB6F" w14:textId="77777777" w:rsidR="002A4DDF" w:rsidRPr="00937C8B" w:rsidRDefault="002A4DDF" w:rsidP="009110ED">
            <w:pPr>
              <w:rPr>
                <w:rFonts w:ascii="Arial" w:hAnsi="Arial" w:cs="Arial"/>
                <w:sz w:val="12"/>
                <w:szCs w:val="12"/>
              </w:rPr>
            </w:pPr>
            <w:r>
              <w:rPr>
                <w:rFonts w:ascii="Arial" w:hAnsi="Arial"/>
                <w:sz w:val="12"/>
                <w:szCs w:val="12"/>
              </w:rPr>
              <w:t>Vilallonga de Ter</w:t>
            </w:r>
          </w:p>
        </w:tc>
      </w:tr>
      <w:tr w:rsidR="002A4DDF" w:rsidRPr="00937C8B" w14:paraId="66B25463" w14:textId="77777777" w:rsidTr="00935676">
        <w:trPr>
          <w:cantSplit/>
        </w:trPr>
        <w:tc>
          <w:tcPr>
            <w:tcW w:w="1696" w:type="dxa"/>
            <w:tcBorders>
              <w:left w:val="single" w:sz="4" w:space="0" w:color="auto"/>
            </w:tcBorders>
            <w:shd w:val="clear" w:color="auto" w:fill="auto"/>
          </w:tcPr>
          <w:p w14:paraId="0308EB02" w14:textId="77777777" w:rsidR="002A4DDF" w:rsidRPr="00937C8B" w:rsidRDefault="002A4DDF" w:rsidP="009110ED">
            <w:pPr>
              <w:rPr>
                <w:rFonts w:ascii="Arial" w:hAnsi="Arial" w:cs="Arial"/>
                <w:sz w:val="12"/>
                <w:szCs w:val="12"/>
              </w:rPr>
            </w:pPr>
          </w:p>
        </w:tc>
        <w:tc>
          <w:tcPr>
            <w:tcW w:w="1843" w:type="dxa"/>
            <w:shd w:val="clear" w:color="auto" w:fill="auto"/>
          </w:tcPr>
          <w:p w14:paraId="082C6E27" w14:textId="77777777" w:rsidR="002A4DDF" w:rsidRPr="00937C8B" w:rsidRDefault="002A4DDF" w:rsidP="009110ED">
            <w:pPr>
              <w:rPr>
                <w:rFonts w:ascii="Arial" w:hAnsi="Arial" w:cs="Arial"/>
                <w:sz w:val="12"/>
                <w:szCs w:val="12"/>
              </w:rPr>
            </w:pPr>
          </w:p>
        </w:tc>
        <w:tc>
          <w:tcPr>
            <w:tcW w:w="2268" w:type="dxa"/>
            <w:shd w:val="clear" w:color="auto" w:fill="F2F2F2"/>
            <w:hideMark/>
          </w:tcPr>
          <w:p w14:paraId="2B8A95C4" w14:textId="77777777" w:rsidR="002A4DDF" w:rsidRPr="00937C8B" w:rsidRDefault="002A4DDF" w:rsidP="009110ED">
            <w:pPr>
              <w:rPr>
                <w:rFonts w:ascii="Arial" w:hAnsi="Arial" w:cs="Arial"/>
                <w:sz w:val="12"/>
                <w:szCs w:val="12"/>
              </w:rPr>
            </w:pPr>
            <w:r>
              <w:rPr>
                <w:rFonts w:ascii="Arial" w:hAnsi="Arial"/>
                <w:sz w:val="12"/>
                <w:szCs w:val="12"/>
              </w:rPr>
              <w:t>Pals</w:t>
            </w:r>
          </w:p>
        </w:tc>
        <w:tc>
          <w:tcPr>
            <w:tcW w:w="2268" w:type="dxa"/>
            <w:tcBorders>
              <w:right w:val="single" w:sz="4" w:space="0" w:color="auto"/>
            </w:tcBorders>
            <w:shd w:val="clear" w:color="auto" w:fill="D9D9D9"/>
            <w:hideMark/>
          </w:tcPr>
          <w:p w14:paraId="7EA04CE1" w14:textId="77777777" w:rsidR="002A4DDF" w:rsidRPr="00937C8B" w:rsidRDefault="002A4DDF" w:rsidP="009110ED">
            <w:pPr>
              <w:rPr>
                <w:rFonts w:ascii="Arial" w:hAnsi="Arial" w:cs="Arial"/>
                <w:sz w:val="12"/>
                <w:szCs w:val="12"/>
              </w:rPr>
            </w:pPr>
            <w:r>
              <w:rPr>
                <w:rFonts w:ascii="Arial" w:hAnsi="Arial"/>
                <w:sz w:val="12"/>
                <w:szCs w:val="12"/>
              </w:rPr>
              <w:t>Vilamaniscle</w:t>
            </w:r>
          </w:p>
        </w:tc>
      </w:tr>
      <w:tr w:rsidR="002A4DDF" w:rsidRPr="00937C8B" w14:paraId="5DED0FED" w14:textId="77777777" w:rsidTr="00935676">
        <w:trPr>
          <w:cantSplit/>
        </w:trPr>
        <w:tc>
          <w:tcPr>
            <w:tcW w:w="1696" w:type="dxa"/>
            <w:tcBorders>
              <w:left w:val="single" w:sz="4" w:space="0" w:color="auto"/>
            </w:tcBorders>
            <w:shd w:val="clear" w:color="auto" w:fill="auto"/>
          </w:tcPr>
          <w:p w14:paraId="625C5585" w14:textId="77777777" w:rsidR="002A4DDF" w:rsidRPr="00937C8B" w:rsidRDefault="002A4DDF" w:rsidP="009110ED">
            <w:pPr>
              <w:rPr>
                <w:rFonts w:ascii="Arial" w:hAnsi="Arial" w:cs="Arial"/>
                <w:sz w:val="12"/>
                <w:szCs w:val="12"/>
              </w:rPr>
            </w:pPr>
          </w:p>
        </w:tc>
        <w:tc>
          <w:tcPr>
            <w:tcW w:w="1843" w:type="dxa"/>
            <w:shd w:val="clear" w:color="auto" w:fill="auto"/>
          </w:tcPr>
          <w:p w14:paraId="0B49BD51" w14:textId="77777777" w:rsidR="002A4DDF" w:rsidRPr="00937C8B" w:rsidRDefault="002A4DDF" w:rsidP="009110ED">
            <w:pPr>
              <w:rPr>
                <w:rFonts w:ascii="Arial" w:hAnsi="Arial" w:cs="Arial"/>
                <w:sz w:val="12"/>
                <w:szCs w:val="12"/>
              </w:rPr>
            </w:pPr>
          </w:p>
        </w:tc>
        <w:tc>
          <w:tcPr>
            <w:tcW w:w="2268" w:type="dxa"/>
            <w:shd w:val="clear" w:color="auto" w:fill="F2F2F2"/>
            <w:hideMark/>
          </w:tcPr>
          <w:p w14:paraId="26F0726B" w14:textId="77777777" w:rsidR="002A4DDF" w:rsidRPr="00937C8B" w:rsidRDefault="002A4DDF" w:rsidP="009110ED">
            <w:pPr>
              <w:rPr>
                <w:rFonts w:ascii="Arial" w:hAnsi="Arial" w:cs="Arial"/>
                <w:sz w:val="12"/>
                <w:szCs w:val="12"/>
              </w:rPr>
            </w:pPr>
            <w:r>
              <w:rPr>
                <w:rFonts w:ascii="Arial" w:hAnsi="Arial"/>
                <w:sz w:val="12"/>
                <w:szCs w:val="12"/>
              </w:rPr>
              <w:t>Parlavà</w:t>
            </w:r>
          </w:p>
        </w:tc>
        <w:tc>
          <w:tcPr>
            <w:tcW w:w="2268" w:type="dxa"/>
            <w:tcBorders>
              <w:right w:val="single" w:sz="4" w:space="0" w:color="auto"/>
            </w:tcBorders>
            <w:shd w:val="clear" w:color="auto" w:fill="D9D9D9"/>
            <w:hideMark/>
          </w:tcPr>
          <w:p w14:paraId="716229DE" w14:textId="77777777" w:rsidR="002A4DDF" w:rsidRPr="00937C8B" w:rsidRDefault="002A4DDF" w:rsidP="009110ED">
            <w:pPr>
              <w:rPr>
                <w:rFonts w:ascii="Arial" w:hAnsi="Arial" w:cs="Arial"/>
                <w:sz w:val="12"/>
                <w:szCs w:val="12"/>
              </w:rPr>
            </w:pPr>
          </w:p>
        </w:tc>
      </w:tr>
      <w:tr w:rsidR="002A4DDF" w:rsidRPr="00937C8B" w14:paraId="753E3590" w14:textId="77777777" w:rsidTr="00935676">
        <w:trPr>
          <w:cantSplit/>
        </w:trPr>
        <w:tc>
          <w:tcPr>
            <w:tcW w:w="1696" w:type="dxa"/>
            <w:tcBorders>
              <w:left w:val="single" w:sz="4" w:space="0" w:color="auto"/>
            </w:tcBorders>
            <w:shd w:val="clear" w:color="auto" w:fill="auto"/>
          </w:tcPr>
          <w:p w14:paraId="6A88CEB0" w14:textId="77777777" w:rsidR="002A4DDF" w:rsidRPr="00937C8B" w:rsidRDefault="002A4DDF" w:rsidP="009110ED">
            <w:pPr>
              <w:rPr>
                <w:rFonts w:ascii="Arial" w:hAnsi="Arial" w:cs="Arial"/>
                <w:sz w:val="12"/>
                <w:szCs w:val="12"/>
              </w:rPr>
            </w:pPr>
          </w:p>
        </w:tc>
        <w:tc>
          <w:tcPr>
            <w:tcW w:w="1843" w:type="dxa"/>
            <w:shd w:val="clear" w:color="auto" w:fill="auto"/>
          </w:tcPr>
          <w:p w14:paraId="1D6E1CBE" w14:textId="77777777" w:rsidR="002A4DDF" w:rsidRPr="00937C8B" w:rsidRDefault="002A4DDF" w:rsidP="009110ED">
            <w:pPr>
              <w:rPr>
                <w:rFonts w:ascii="Arial" w:hAnsi="Arial" w:cs="Arial"/>
                <w:sz w:val="12"/>
                <w:szCs w:val="12"/>
              </w:rPr>
            </w:pPr>
          </w:p>
        </w:tc>
        <w:tc>
          <w:tcPr>
            <w:tcW w:w="2268" w:type="dxa"/>
            <w:shd w:val="clear" w:color="auto" w:fill="F2F2F2"/>
            <w:hideMark/>
          </w:tcPr>
          <w:p w14:paraId="24516098" w14:textId="77777777" w:rsidR="002A4DDF" w:rsidRPr="00937C8B" w:rsidRDefault="002A4DDF" w:rsidP="009110ED">
            <w:pPr>
              <w:rPr>
                <w:rFonts w:ascii="Arial" w:hAnsi="Arial" w:cs="Arial"/>
                <w:sz w:val="12"/>
                <w:szCs w:val="12"/>
              </w:rPr>
            </w:pPr>
            <w:r>
              <w:rPr>
                <w:rFonts w:ascii="Arial" w:hAnsi="Arial"/>
                <w:sz w:val="12"/>
                <w:szCs w:val="12"/>
              </w:rPr>
              <w:t>Pau</w:t>
            </w:r>
          </w:p>
        </w:tc>
        <w:tc>
          <w:tcPr>
            <w:tcW w:w="2268" w:type="dxa"/>
            <w:tcBorders>
              <w:right w:val="single" w:sz="4" w:space="0" w:color="auto"/>
            </w:tcBorders>
            <w:shd w:val="clear" w:color="auto" w:fill="D9D9D9"/>
            <w:hideMark/>
          </w:tcPr>
          <w:p w14:paraId="60F36A34" w14:textId="77777777" w:rsidR="002A4DDF" w:rsidRPr="00937C8B" w:rsidRDefault="002A4DDF" w:rsidP="009110ED">
            <w:pPr>
              <w:rPr>
                <w:rFonts w:ascii="Arial" w:hAnsi="Arial" w:cs="Arial"/>
                <w:sz w:val="12"/>
                <w:szCs w:val="12"/>
              </w:rPr>
            </w:pPr>
          </w:p>
        </w:tc>
      </w:tr>
      <w:tr w:rsidR="002A4DDF" w:rsidRPr="00937C8B" w14:paraId="47CF4DA4" w14:textId="77777777" w:rsidTr="00935676">
        <w:trPr>
          <w:cantSplit/>
        </w:trPr>
        <w:tc>
          <w:tcPr>
            <w:tcW w:w="1696" w:type="dxa"/>
            <w:tcBorders>
              <w:left w:val="single" w:sz="4" w:space="0" w:color="auto"/>
            </w:tcBorders>
            <w:shd w:val="clear" w:color="auto" w:fill="auto"/>
          </w:tcPr>
          <w:p w14:paraId="6E99CBFF" w14:textId="77777777" w:rsidR="002A4DDF" w:rsidRPr="00937C8B" w:rsidRDefault="002A4DDF" w:rsidP="009110ED">
            <w:pPr>
              <w:rPr>
                <w:rFonts w:ascii="Arial" w:hAnsi="Arial" w:cs="Arial"/>
                <w:sz w:val="12"/>
                <w:szCs w:val="12"/>
              </w:rPr>
            </w:pPr>
          </w:p>
        </w:tc>
        <w:tc>
          <w:tcPr>
            <w:tcW w:w="1843" w:type="dxa"/>
            <w:shd w:val="clear" w:color="auto" w:fill="auto"/>
          </w:tcPr>
          <w:p w14:paraId="1D33EB0D" w14:textId="77777777" w:rsidR="002A4DDF" w:rsidRPr="00937C8B" w:rsidRDefault="002A4DDF" w:rsidP="009110ED">
            <w:pPr>
              <w:rPr>
                <w:rFonts w:ascii="Arial" w:hAnsi="Arial" w:cs="Arial"/>
                <w:sz w:val="12"/>
                <w:szCs w:val="12"/>
              </w:rPr>
            </w:pPr>
          </w:p>
        </w:tc>
        <w:tc>
          <w:tcPr>
            <w:tcW w:w="2268" w:type="dxa"/>
            <w:shd w:val="clear" w:color="auto" w:fill="F2F2F2"/>
            <w:hideMark/>
          </w:tcPr>
          <w:p w14:paraId="6BCD1D79" w14:textId="77777777" w:rsidR="002A4DDF" w:rsidRPr="00937C8B" w:rsidRDefault="002A4DDF" w:rsidP="009110ED">
            <w:pPr>
              <w:rPr>
                <w:rFonts w:ascii="Arial" w:hAnsi="Arial" w:cs="Arial"/>
                <w:sz w:val="12"/>
                <w:szCs w:val="12"/>
              </w:rPr>
            </w:pPr>
            <w:r>
              <w:rPr>
                <w:rFonts w:ascii="Arial" w:hAnsi="Arial"/>
                <w:sz w:val="12"/>
                <w:szCs w:val="12"/>
              </w:rPr>
              <w:t>Pedret i Marzà</w:t>
            </w:r>
          </w:p>
        </w:tc>
        <w:tc>
          <w:tcPr>
            <w:tcW w:w="2268" w:type="dxa"/>
            <w:tcBorders>
              <w:right w:val="single" w:sz="4" w:space="0" w:color="auto"/>
            </w:tcBorders>
            <w:shd w:val="clear" w:color="auto" w:fill="D9D9D9"/>
            <w:hideMark/>
          </w:tcPr>
          <w:p w14:paraId="36F09D4C" w14:textId="77777777" w:rsidR="002A4DDF" w:rsidRPr="00937C8B" w:rsidRDefault="002A4DDF" w:rsidP="009110ED">
            <w:pPr>
              <w:rPr>
                <w:rFonts w:ascii="Arial" w:hAnsi="Arial" w:cs="Arial"/>
                <w:sz w:val="12"/>
                <w:szCs w:val="12"/>
              </w:rPr>
            </w:pPr>
          </w:p>
        </w:tc>
      </w:tr>
      <w:tr w:rsidR="002A4DDF" w:rsidRPr="00937C8B" w14:paraId="39C62261" w14:textId="77777777" w:rsidTr="00935676">
        <w:trPr>
          <w:cantSplit/>
        </w:trPr>
        <w:tc>
          <w:tcPr>
            <w:tcW w:w="1696" w:type="dxa"/>
            <w:tcBorders>
              <w:left w:val="single" w:sz="4" w:space="0" w:color="auto"/>
            </w:tcBorders>
            <w:shd w:val="clear" w:color="auto" w:fill="auto"/>
          </w:tcPr>
          <w:p w14:paraId="76E26F08" w14:textId="77777777" w:rsidR="002A4DDF" w:rsidRPr="00937C8B" w:rsidRDefault="002A4DDF" w:rsidP="009110ED">
            <w:pPr>
              <w:rPr>
                <w:rFonts w:ascii="Arial" w:hAnsi="Arial" w:cs="Arial"/>
                <w:sz w:val="12"/>
                <w:szCs w:val="12"/>
              </w:rPr>
            </w:pPr>
          </w:p>
        </w:tc>
        <w:tc>
          <w:tcPr>
            <w:tcW w:w="1843" w:type="dxa"/>
            <w:shd w:val="clear" w:color="auto" w:fill="auto"/>
          </w:tcPr>
          <w:p w14:paraId="67CA79AB" w14:textId="77777777" w:rsidR="002A4DDF" w:rsidRPr="00937C8B" w:rsidRDefault="002A4DDF" w:rsidP="009110ED">
            <w:pPr>
              <w:rPr>
                <w:rFonts w:ascii="Arial" w:hAnsi="Arial" w:cs="Arial"/>
                <w:sz w:val="12"/>
                <w:szCs w:val="12"/>
              </w:rPr>
            </w:pPr>
          </w:p>
        </w:tc>
        <w:tc>
          <w:tcPr>
            <w:tcW w:w="2268" w:type="dxa"/>
            <w:shd w:val="clear" w:color="auto" w:fill="F2F2F2"/>
            <w:hideMark/>
          </w:tcPr>
          <w:p w14:paraId="5DAA8763" w14:textId="77777777" w:rsidR="002A4DDF" w:rsidRPr="00937C8B" w:rsidRDefault="002A4DDF" w:rsidP="009110ED">
            <w:pPr>
              <w:rPr>
                <w:rFonts w:ascii="Arial" w:hAnsi="Arial" w:cs="Arial"/>
                <w:sz w:val="12"/>
                <w:szCs w:val="12"/>
              </w:rPr>
            </w:pPr>
            <w:r>
              <w:rPr>
                <w:rFonts w:ascii="Arial" w:hAnsi="Arial"/>
                <w:sz w:val="12"/>
                <w:szCs w:val="12"/>
              </w:rPr>
              <w:t>Peralada</w:t>
            </w:r>
          </w:p>
        </w:tc>
        <w:tc>
          <w:tcPr>
            <w:tcW w:w="2268" w:type="dxa"/>
            <w:tcBorders>
              <w:right w:val="single" w:sz="4" w:space="0" w:color="auto"/>
            </w:tcBorders>
            <w:shd w:val="clear" w:color="auto" w:fill="D9D9D9"/>
            <w:hideMark/>
          </w:tcPr>
          <w:p w14:paraId="7218BAE0" w14:textId="77777777" w:rsidR="002A4DDF" w:rsidRPr="00937C8B" w:rsidRDefault="002A4DDF" w:rsidP="009110ED">
            <w:pPr>
              <w:rPr>
                <w:rFonts w:ascii="Arial" w:hAnsi="Arial" w:cs="Arial"/>
                <w:sz w:val="12"/>
                <w:szCs w:val="12"/>
              </w:rPr>
            </w:pPr>
          </w:p>
        </w:tc>
      </w:tr>
      <w:tr w:rsidR="002A4DDF" w:rsidRPr="00937C8B" w14:paraId="20794C12" w14:textId="77777777" w:rsidTr="00935676">
        <w:trPr>
          <w:cantSplit/>
        </w:trPr>
        <w:tc>
          <w:tcPr>
            <w:tcW w:w="1696" w:type="dxa"/>
            <w:tcBorders>
              <w:left w:val="single" w:sz="4" w:space="0" w:color="auto"/>
            </w:tcBorders>
            <w:shd w:val="clear" w:color="auto" w:fill="auto"/>
          </w:tcPr>
          <w:p w14:paraId="0121B896" w14:textId="77777777" w:rsidR="002A4DDF" w:rsidRPr="00937C8B" w:rsidRDefault="002A4DDF" w:rsidP="009110ED">
            <w:pPr>
              <w:rPr>
                <w:rFonts w:ascii="Arial" w:hAnsi="Arial" w:cs="Arial"/>
                <w:sz w:val="12"/>
                <w:szCs w:val="12"/>
              </w:rPr>
            </w:pPr>
          </w:p>
        </w:tc>
        <w:tc>
          <w:tcPr>
            <w:tcW w:w="1843" w:type="dxa"/>
            <w:shd w:val="clear" w:color="auto" w:fill="auto"/>
          </w:tcPr>
          <w:p w14:paraId="05B301B3" w14:textId="77777777" w:rsidR="002A4DDF" w:rsidRPr="00937C8B" w:rsidRDefault="002A4DDF" w:rsidP="009110ED">
            <w:pPr>
              <w:rPr>
                <w:rFonts w:ascii="Arial" w:hAnsi="Arial" w:cs="Arial"/>
                <w:sz w:val="12"/>
                <w:szCs w:val="12"/>
              </w:rPr>
            </w:pPr>
          </w:p>
        </w:tc>
        <w:tc>
          <w:tcPr>
            <w:tcW w:w="2268" w:type="dxa"/>
            <w:shd w:val="clear" w:color="auto" w:fill="F2F2F2"/>
            <w:hideMark/>
          </w:tcPr>
          <w:p w14:paraId="3F54F424" w14:textId="77777777" w:rsidR="002A4DDF" w:rsidRPr="00937C8B" w:rsidRDefault="002A4DDF" w:rsidP="009110ED">
            <w:pPr>
              <w:rPr>
                <w:rFonts w:ascii="Arial" w:hAnsi="Arial" w:cs="Arial"/>
                <w:sz w:val="12"/>
                <w:szCs w:val="12"/>
              </w:rPr>
            </w:pPr>
            <w:r>
              <w:rPr>
                <w:rFonts w:ascii="Arial" w:hAnsi="Arial"/>
                <w:sz w:val="12"/>
                <w:szCs w:val="12"/>
              </w:rPr>
              <w:t>Pont de Molins</w:t>
            </w:r>
          </w:p>
        </w:tc>
        <w:tc>
          <w:tcPr>
            <w:tcW w:w="2268" w:type="dxa"/>
            <w:tcBorders>
              <w:right w:val="single" w:sz="4" w:space="0" w:color="auto"/>
            </w:tcBorders>
            <w:shd w:val="clear" w:color="auto" w:fill="D9D9D9"/>
            <w:hideMark/>
          </w:tcPr>
          <w:p w14:paraId="3926CC53" w14:textId="77777777" w:rsidR="002A4DDF" w:rsidRPr="00937C8B" w:rsidRDefault="002A4DDF" w:rsidP="009110ED">
            <w:pPr>
              <w:rPr>
                <w:rFonts w:ascii="Arial" w:hAnsi="Arial" w:cs="Arial"/>
                <w:sz w:val="12"/>
                <w:szCs w:val="12"/>
              </w:rPr>
            </w:pPr>
          </w:p>
        </w:tc>
      </w:tr>
      <w:tr w:rsidR="002A4DDF" w:rsidRPr="00937C8B" w14:paraId="0B193B45" w14:textId="77777777" w:rsidTr="00935676">
        <w:trPr>
          <w:cantSplit/>
        </w:trPr>
        <w:tc>
          <w:tcPr>
            <w:tcW w:w="1696" w:type="dxa"/>
            <w:tcBorders>
              <w:left w:val="single" w:sz="4" w:space="0" w:color="auto"/>
            </w:tcBorders>
            <w:shd w:val="clear" w:color="auto" w:fill="auto"/>
          </w:tcPr>
          <w:p w14:paraId="6867FFB1" w14:textId="77777777" w:rsidR="002A4DDF" w:rsidRPr="00937C8B" w:rsidRDefault="002A4DDF" w:rsidP="009110ED">
            <w:pPr>
              <w:rPr>
                <w:rFonts w:ascii="Arial" w:hAnsi="Arial" w:cs="Arial"/>
                <w:sz w:val="12"/>
                <w:szCs w:val="12"/>
              </w:rPr>
            </w:pPr>
          </w:p>
        </w:tc>
        <w:tc>
          <w:tcPr>
            <w:tcW w:w="1843" w:type="dxa"/>
            <w:shd w:val="clear" w:color="auto" w:fill="auto"/>
          </w:tcPr>
          <w:p w14:paraId="78C90922" w14:textId="77777777" w:rsidR="002A4DDF" w:rsidRPr="00937C8B" w:rsidRDefault="002A4DDF" w:rsidP="009110ED">
            <w:pPr>
              <w:rPr>
                <w:rFonts w:ascii="Arial" w:hAnsi="Arial" w:cs="Arial"/>
                <w:sz w:val="12"/>
                <w:szCs w:val="12"/>
              </w:rPr>
            </w:pPr>
          </w:p>
        </w:tc>
        <w:tc>
          <w:tcPr>
            <w:tcW w:w="2268" w:type="dxa"/>
            <w:shd w:val="clear" w:color="auto" w:fill="F2F2F2"/>
            <w:hideMark/>
          </w:tcPr>
          <w:p w14:paraId="53704367" w14:textId="77777777" w:rsidR="002A4DDF" w:rsidRPr="00937C8B" w:rsidRDefault="002A4DDF" w:rsidP="009110ED">
            <w:pPr>
              <w:rPr>
                <w:rFonts w:ascii="Arial" w:hAnsi="Arial" w:cs="Arial"/>
                <w:sz w:val="12"/>
                <w:szCs w:val="12"/>
              </w:rPr>
            </w:pPr>
            <w:r>
              <w:rPr>
                <w:rFonts w:ascii="Arial" w:hAnsi="Arial"/>
                <w:sz w:val="12"/>
                <w:szCs w:val="12"/>
              </w:rPr>
              <w:t>Porqueres</w:t>
            </w:r>
          </w:p>
        </w:tc>
        <w:tc>
          <w:tcPr>
            <w:tcW w:w="2268" w:type="dxa"/>
            <w:tcBorders>
              <w:right w:val="single" w:sz="4" w:space="0" w:color="auto"/>
            </w:tcBorders>
            <w:shd w:val="clear" w:color="auto" w:fill="D9D9D9"/>
            <w:hideMark/>
          </w:tcPr>
          <w:p w14:paraId="14D6AF8C" w14:textId="77777777" w:rsidR="002A4DDF" w:rsidRPr="00937C8B" w:rsidRDefault="002A4DDF" w:rsidP="009110ED">
            <w:pPr>
              <w:rPr>
                <w:rFonts w:ascii="Arial" w:hAnsi="Arial" w:cs="Arial"/>
                <w:sz w:val="12"/>
                <w:szCs w:val="12"/>
              </w:rPr>
            </w:pPr>
          </w:p>
        </w:tc>
      </w:tr>
      <w:tr w:rsidR="002A4DDF" w:rsidRPr="00937C8B" w14:paraId="05D16E34" w14:textId="77777777" w:rsidTr="00935676">
        <w:trPr>
          <w:cantSplit/>
        </w:trPr>
        <w:tc>
          <w:tcPr>
            <w:tcW w:w="1696" w:type="dxa"/>
            <w:tcBorders>
              <w:left w:val="single" w:sz="4" w:space="0" w:color="auto"/>
            </w:tcBorders>
            <w:shd w:val="clear" w:color="auto" w:fill="auto"/>
          </w:tcPr>
          <w:p w14:paraId="62037C63" w14:textId="77777777" w:rsidR="002A4DDF" w:rsidRPr="00937C8B" w:rsidRDefault="002A4DDF" w:rsidP="009110ED">
            <w:pPr>
              <w:rPr>
                <w:rFonts w:ascii="Arial" w:hAnsi="Arial" w:cs="Arial"/>
                <w:sz w:val="12"/>
                <w:szCs w:val="12"/>
              </w:rPr>
            </w:pPr>
          </w:p>
        </w:tc>
        <w:tc>
          <w:tcPr>
            <w:tcW w:w="1843" w:type="dxa"/>
            <w:shd w:val="clear" w:color="auto" w:fill="auto"/>
          </w:tcPr>
          <w:p w14:paraId="3AC7D641" w14:textId="77777777" w:rsidR="002A4DDF" w:rsidRPr="00937C8B" w:rsidRDefault="002A4DDF" w:rsidP="009110ED">
            <w:pPr>
              <w:rPr>
                <w:rFonts w:ascii="Arial" w:hAnsi="Arial" w:cs="Arial"/>
                <w:sz w:val="12"/>
                <w:szCs w:val="12"/>
              </w:rPr>
            </w:pPr>
          </w:p>
        </w:tc>
        <w:tc>
          <w:tcPr>
            <w:tcW w:w="2268" w:type="dxa"/>
            <w:shd w:val="clear" w:color="auto" w:fill="F2F2F2"/>
            <w:hideMark/>
          </w:tcPr>
          <w:p w14:paraId="1F7351DC" w14:textId="77777777" w:rsidR="002A4DDF" w:rsidRPr="00937C8B" w:rsidRDefault="002A4DDF" w:rsidP="009110ED">
            <w:pPr>
              <w:rPr>
                <w:rFonts w:ascii="Arial" w:hAnsi="Arial" w:cs="Arial"/>
                <w:sz w:val="12"/>
                <w:szCs w:val="12"/>
              </w:rPr>
            </w:pPr>
            <w:r>
              <w:rPr>
                <w:rFonts w:ascii="Arial" w:hAnsi="Arial"/>
                <w:sz w:val="12"/>
                <w:szCs w:val="12"/>
              </w:rPr>
              <w:t>Puigcerdà</w:t>
            </w:r>
          </w:p>
        </w:tc>
        <w:tc>
          <w:tcPr>
            <w:tcW w:w="2268" w:type="dxa"/>
            <w:tcBorders>
              <w:right w:val="single" w:sz="4" w:space="0" w:color="auto"/>
            </w:tcBorders>
            <w:shd w:val="clear" w:color="auto" w:fill="D9D9D9"/>
            <w:hideMark/>
          </w:tcPr>
          <w:p w14:paraId="26181B06" w14:textId="77777777" w:rsidR="002A4DDF" w:rsidRPr="00937C8B" w:rsidRDefault="002A4DDF" w:rsidP="009110ED">
            <w:pPr>
              <w:rPr>
                <w:rFonts w:ascii="Arial" w:hAnsi="Arial" w:cs="Arial"/>
                <w:sz w:val="12"/>
                <w:szCs w:val="12"/>
              </w:rPr>
            </w:pPr>
          </w:p>
        </w:tc>
      </w:tr>
      <w:tr w:rsidR="002A4DDF" w:rsidRPr="00937C8B" w14:paraId="40D48F9D" w14:textId="77777777" w:rsidTr="00935676">
        <w:trPr>
          <w:cantSplit/>
        </w:trPr>
        <w:tc>
          <w:tcPr>
            <w:tcW w:w="1696" w:type="dxa"/>
            <w:tcBorders>
              <w:left w:val="single" w:sz="4" w:space="0" w:color="auto"/>
            </w:tcBorders>
            <w:shd w:val="clear" w:color="auto" w:fill="auto"/>
          </w:tcPr>
          <w:p w14:paraId="4E7D7D22" w14:textId="77777777" w:rsidR="002A4DDF" w:rsidRPr="00937C8B" w:rsidRDefault="002A4DDF" w:rsidP="009110ED">
            <w:pPr>
              <w:rPr>
                <w:rFonts w:ascii="Arial" w:hAnsi="Arial" w:cs="Arial"/>
                <w:sz w:val="12"/>
                <w:szCs w:val="12"/>
              </w:rPr>
            </w:pPr>
          </w:p>
        </w:tc>
        <w:tc>
          <w:tcPr>
            <w:tcW w:w="1843" w:type="dxa"/>
            <w:shd w:val="clear" w:color="auto" w:fill="auto"/>
          </w:tcPr>
          <w:p w14:paraId="3F365CB1" w14:textId="77777777" w:rsidR="002A4DDF" w:rsidRPr="00937C8B" w:rsidRDefault="002A4DDF" w:rsidP="009110ED">
            <w:pPr>
              <w:rPr>
                <w:rFonts w:ascii="Arial" w:hAnsi="Arial" w:cs="Arial"/>
                <w:sz w:val="12"/>
                <w:szCs w:val="12"/>
              </w:rPr>
            </w:pPr>
          </w:p>
        </w:tc>
        <w:tc>
          <w:tcPr>
            <w:tcW w:w="2268" w:type="dxa"/>
            <w:shd w:val="clear" w:color="auto" w:fill="F2F2F2"/>
            <w:hideMark/>
          </w:tcPr>
          <w:p w14:paraId="238EB5E3" w14:textId="77777777" w:rsidR="002A4DDF" w:rsidRPr="00937C8B" w:rsidRDefault="002A4DDF" w:rsidP="009110ED">
            <w:pPr>
              <w:rPr>
                <w:rFonts w:ascii="Arial" w:hAnsi="Arial" w:cs="Arial"/>
                <w:sz w:val="12"/>
                <w:szCs w:val="12"/>
              </w:rPr>
            </w:pPr>
            <w:r>
              <w:rPr>
                <w:rFonts w:ascii="Arial" w:hAnsi="Arial"/>
                <w:sz w:val="12"/>
                <w:szCs w:val="12"/>
              </w:rPr>
              <w:t>Quart</w:t>
            </w:r>
          </w:p>
        </w:tc>
        <w:tc>
          <w:tcPr>
            <w:tcW w:w="2268" w:type="dxa"/>
            <w:tcBorders>
              <w:right w:val="single" w:sz="4" w:space="0" w:color="auto"/>
            </w:tcBorders>
            <w:shd w:val="clear" w:color="auto" w:fill="D9D9D9"/>
            <w:hideMark/>
          </w:tcPr>
          <w:p w14:paraId="34E49929" w14:textId="77777777" w:rsidR="002A4DDF" w:rsidRPr="00937C8B" w:rsidRDefault="002A4DDF" w:rsidP="009110ED">
            <w:pPr>
              <w:rPr>
                <w:rFonts w:ascii="Arial" w:hAnsi="Arial" w:cs="Arial"/>
                <w:sz w:val="12"/>
                <w:szCs w:val="12"/>
              </w:rPr>
            </w:pPr>
          </w:p>
        </w:tc>
      </w:tr>
      <w:tr w:rsidR="002A4DDF" w:rsidRPr="00937C8B" w14:paraId="16766A33" w14:textId="77777777" w:rsidTr="00935676">
        <w:trPr>
          <w:cantSplit/>
        </w:trPr>
        <w:tc>
          <w:tcPr>
            <w:tcW w:w="1696" w:type="dxa"/>
            <w:tcBorders>
              <w:left w:val="single" w:sz="4" w:space="0" w:color="auto"/>
            </w:tcBorders>
            <w:shd w:val="clear" w:color="auto" w:fill="auto"/>
          </w:tcPr>
          <w:p w14:paraId="35964C15" w14:textId="77777777" w:rsidR="002A4DDF" w:rsidRPr="00937C8B" w:rsidRDefault="002A4DDF" w:rsidP="009110ED">
            <w:pPr>
              <w:rPr>
                <w:rFonts w:ascii="Arial" w:hAnsi="Arial" w:cs="Arial"/>
                <w:sz w:val="12"/>
                <w:szCs w:val="12"/>
              </w:rPr>
            </w:pPr>
          </w:p>
        </w:tc>
        <w:tc>
          <w:tcPr>
            <w:tcW w:w="1843" w:type="dxa"/>
            <w:shd w:val="clear" w:color="auto" w:fill="auto"/>
          </w:tcPr>
          <w:p w14:paraId="61F1977F" w14:textId="77777777" w:rsidR="002A4DDF" w:rsidRPr="00937C8B" w:rsidRDefault="002A4DDF" w:rsidP="009110ED">
            <w:pPr>
              <w:rPr>
                <w:rFonts w:ascii="Arial" w:hAnsi="Arial" w:cs="Arial"/>
                <w:sz w:val="12"/>
                <w:szCs w:val="12"/>
              </w:rPr>
            </w:pPr>
          </w:p>
        </w:tc>
        <w:tc>
          <w:tcPr>
            <w:tcW w:w="2268" w:type="dxa"/>
            <w:shd w:val="clear" w:color="auto" w:fill="F2F2F2"/>
            <w:hideMark/>
          </w:tcPr>
          <w:p w14:paraId="0C4DC320" w14:textId="77777777" w:rsidR="002A4DDF" w:rsidRPr="00937C8B" w:rsidRDefault="002A4DDF" w:rsidP="009110ED">
            <w:pPr>
              <w:rPr>
                <w:rFonts w:ascii="Arial" w:hAnsi="Arial" w:cs="Arial"/>
                <w:sz w:val="12"/>
                <w:szCs w:val="12"/>
              </w:rPr>
            </w:pPr>
            <w:r>
              <w:rPr>
                <w:rFonts w:ascii="Arial" w:hAnsi="Arial"/>
                <w:sz w:val="12"/>
                <w:szCs w:val="12"/>
              </w:rPr>
              <w:t>Regencós</w:t>
            </w:r>
          </w:p>
        </w:tc>
        <w:tc>
          <w:tcPr>
            <w:tcW w:w="2268" w:type="dxa"/>
            <w:tcBorders>
              <w:right w:val="single" w:sz="4" w:space="0" w:color="auto"/>
            </w:tcBorders>
            <w:shd w:val="clear" w:color="auto" w:fill="D9D9D9"/>
            <w:hideMark/>
          </w:tcPr>
          <w:p w14:paraId="1E4349E4" w14:textId="77777777" w:rsidR="002A4DDF" w:rsidRPr="00937C8B" w:rsidRDefault="002A4DDF" w:rsidP="009110ED">
            <w:pPr>
              <w:rPr>
                <w:rFonts w:ascii="Arial" w:hAnsi="Arial" w:cs="Arial"/>
                <w:sz w:val="12"/>
                <w:szCs w:val="12"/>
              </w:rPr>
            </w:pPr>
          </w:p>
        </w:tc>
      </w:tr>
      <w:tr w:rsidR="002A4DDF" w:rsidRPr="00937C8B" w14:paraId="6BA737AE" w14:textId="77777777" w:rsidTr="00935676">
        <w:trPr>
          <w:cantSplit/>
        </w:trPr>
        <w:tc>
          <w:tcPr>
            <w:tcW w:w="1696" w:type="dxa"/>
            <w:tcBorders>
              <w:left w:val="single" w:sz="4" w:space="0" w:color="auto"/>
            </w:tcBorders>
            <w:shd w:val="clear" w:color="auto" w:fill="auto"/>
          </w:tcPr>
          <w:p w14:paraId="57D4ED1C" w14:textId="77777777" w:rsidR="002A4DDF" w:rsidRPr="00937C8B" w:rsidRDefault="002A4DDF" w:rsidP="009110ED">
            <w:pPr>
              <w:rPr>
                <w:rFonts w:ascii="Arial" w:hAnsi="Arial" w:cs="Arial"/>
                <w:sz w:val="12"/>
                <w:szCs w:val="12"/>
              </w:rPr>
            </w:pPr>
          </w:p>
        </w:tc>
        <w:tc>
          <w:tcPr>
            <w:tcW w:w="1843" w:type="dxa"/>
            <w:shd w:val="clear" w:color="auto" w:fill="auto"/>
          </w:tcPr>
          <w:p w14:paraId="1E99290F" w14:textId="77777777" w:rsidR="002A4DDF" w:rsidRPr="00937C8B" w:rsidRDefault="002A4DDF" w:rsidP="009110ED">
            <w:pPr>
              <w:rPr>
                <w:rFonts w:ascii="Arial" w:hAnsi="Arial" w:cs="Arial"/>
                <w:sz w:val="12"/>
                <w:szCs w:val="12"/>
              </w:rPr>
            </w:pPr>
          </w:p>
        </w:tc>
        <w:tc>
          <w:tcPr>
            <w:tcW w:w="2268" w:type="dxa"/>
            <w:shd w:val="clear" w:color="auto" w:fill="F2F2F2"/>
            <w:hideMark/>
          </w:tcPr>
          <w:p w14:paraId="74C8EEC6" w14:textId="77777777" w:rsidR="002A4DDF" w:rsidRPr="00937C8B" w:rsidRDefault="002A4DDF" w:rsidP="009110ED">
            <w:pPr>
              <w:rPr>
                <w:rFonts w:ascii="Arial" w:hAnsi="Arial" w:cs="Arial"/>
                <w:sz w:val="12"/>
                <w:szCs w:val="12"/>
              </w:rPr>
            </w:pPr>
            <w:r>
              <w:rPr>
                <w:rFonts w:ascii="Arial" w:hAnsi="Arial"/>
                <w:sz w:val="12"/>
                <w:szCs w:val="12"/>
              </w:rPr>
              <w:t>Ripoll</w:t>
            </w:r>
          </w:p>
        </w:tc>
        <w:tc>
          <w:tcPr>
            <w:tcW w:w="2268" w:type="dxa"/>
            <w:tcBorders>
              <w:right w:val="single" w:sz="4" w:space="0" w:color="auto"/>
            </w:tcBorders>
            <w:shd w:val="clear" w:color="auto" w:fill="D9D9D9"/>
            <w:hideMark/>
          </w:tcPr>
          <w:p w14:paraId="5B7D2953" w14:textId="77777777" w:rsidR="002A4DDF" w:rsidRPr="00937C8B" w:rsidRDefault="002A4DDF" w:rsidP="009110ED">
            <w:pPr>
              <w:rPr>
                <w:rFonts w:ascii="Arial" w:hAnsi="Arial" w:cs="Arial"/>
                <w:sz w:val="12"/>
                <w:szCs w:val="12"/>
              </w:rPr>
            </w:pPr>
          </w:p>
        </w:tc>
      </w:tr>
      <w:tr w:rsidR="002A4DDF" w:rsidRPr="00937C8B" w14:paraId="1137EFB5" w14:textId="77777777" w:rsidTr="00935676">
        <w:trPr>
          <w:cantSplit/>
        </w:trPr>
        <w:tc>
          <w:tcPr>
            <w:tcW w:w="1696" w:type="dxa"/>
            <w:tcBorders>
              <w:left w:val="single" w:sz="4" w:space="0" w:color="auto"/>
            </w:tcBorders>
            <w:shd w:val="clear" w:color="auto" w:fill="auto"/>
          </w:tcPr>
          <w:p w14:paraId="091008F2" w14:textId="77777777" w:rsidR="002A4DDF" w:rsidRPr="00937C8B" w:rsidRDefault="002A4DDF" w:rsidP="009110ED">
            <w:pPr>
              <w:rPr>
                <w:rFonts w:ascii="Arial" w:hAnsi="Arial" w:cs="Arial"/>
                <w:sz w:val="12"/>
                <w:szCs w:val="12"/>
              </w:rPr>
            </w:pPr>
          </w:p>
        </w:tc>
        <w:tc>
          <w:tcPr>
            <w:tcW w:w="1843" w:type="dxa"/>
            <w:shd w:val="clear" w:color="auto" w:fill="auto"/>
          </w:tcPr>
          <w:p w14:paraId="4733F3C5" w14:textId="77777777" w:rsidR="002A4DDF" w:rsidRPr="00937C8B" w:rsidRDefault="002A4DDF" w:rsidP="009110ED">
            <w:pPr>
              <w:rPr>
                <w:rFonts w:ascii="Arial" w:hAnsi="Arial" w:cs="Arial"/>
                <w:sz w:val="12"/>
                <w:szCs w:val="12"/>
              </w:rPr>
            </w:pPr>
          </w:p>
        </w:tc>
        <w:tc>
          <w:tcPr>
            <w:tcW w:w="2268" w:type="dxa"/>
            <w:shd w:val="clear" w:color="auto" w:fill="F2F2F2"/>
            <w:hideMark/>
          </w:tcPr>
          <w:p w14:paraId="2F1BADD3" w14:textId="77777777" w:rsidR="002A4DDF" w:rsidRPr="00937C8B" w:rsidRDefault="002A4DDF" w:rsidP="009110ED">
            <w:pPr>
              <w:rPr>
                <w:rFonts w:ascii="Arial" w:hAnsi="Arial" w:cs="Arial"/>
                <w:sz w:val="12"/>
                <w:szCs w:val="12"/>
              </w:rPr>
            </w:pPr>
            <w:r>
              <w:rPr>
                <w:rFonts w:ascii="Arial" w:hAnsi="Arial"/>
                <w:sz w:val="12"/>
                <w:szCs w:val="12"/>
              </w:rPr>
              <w:t>Riudaura</w:t>
            </w:r>
          </w:p>
        </w:tc>
        <w:tc>
          <w:tcPr>
            <w:tcW w:w="2268" w:type="dxa"/>
            <w:tcBorders>
              <w:right w:val="single" w:sz="4" w:space="0" w:color="auto"/>
            </w:tcBorders>
            <w:shd w:val="clear" w:color="auto" w:fill="D9D9D9"/>
            <w:hideMark/>
          </w:tcPr>
          <w:p w14:paraId="53E848A6" w14:textId="77777777" w:rsidR="002A4DDF" w:rsidRPr="00937C8B" w:rsidRDefault="002A4DDF" w:rsidP="009110ED">
            <w:pPr>
              <w:rPr>
                <w:rFonts w:ascii="Arial" w:hAnsi="Arial" w:cs="Arial"/>
                <w:sz w:val="12"/>
                <w:szCs w:val="12"/>
              </w:rPr>
            </w:pPr>
          </w:p>
        </w:tc>
      </w:tr>
      <w:tr w:rsidR="002A4DDF" w:rsidRPr="00937C8B" w14:paraId="229ECB54" w14:textId="77777777" w:rsidTr="00935676">
        <w:trPr>
          <w:cantSplit/>
        </w:trPr>
        <w:tc>
          <w:tcPr>
            <w:tcW w:w="1696" w:type="dxa"/>
            <w:tcBorders>
              <w:left w:val="single" w:sz="4" w:space="0" w:color="auto"/>
            </w:tcBorders>
            <w:shd w:val="clear" w:color="auto" w:fill="auto"/>
          </w:tcPr>
          <w:p w14:paraId="29F3BFB5" w14:textId="77777777" w:rsidR="002A4DDF" w:rsidRPr="00937C8B" w:rsidRDefault="002A4DDF" w:rsidP="009110ED">
            <w:pPr>
              <w:rPr>
                <w:rFonts w:ascii="Arial" w:hAnsi="Arial" w:cs="Arial"/>
                <w:sz w:val="12"/>
                <w:szCs w:val="12"/>
              </w:rPr>
            </w:pPr>
          </w:p>
        </w:tc>
        <w:tc>
          <w:tcPr>
            <w:tcW w:w="1843" w:type="dxa"/>
            <w:shd w:val="clear" w:color="auto" w:fill="auto"/>
          </w:tcPr>
          <w:p w14:paraId="070E4B23" w14:textId="77777777" w:rsidR="002A4DDF" w:rsidRPr="00937C8B" w:rsidRDefault="002A4DDF" w:rsidP="009110ED">
            <w:pPr>
              <w:rPr>
                <w:rFonts w:ascii="Arial" w:hAnsi="Arial" w:cs="Arial"/>
                <w:sz w:val="12"/>
                <w:szCs w:val="12"/>
              </w:rPr>
            </w:pPr>
          </w:p>
        </w:tc>
        <w:tc>
          <w:tcPr>
            <w:tcW w:w="2268" w:type="dxa"/>
            <w:shd w:val="clear" w:color="auto" w:fill="F2F2F2"/>
            <w:hideMark/>
          </w:tcPr>
          <w:p w14:paraId="4A654306" w14:textId="77777777" w:rsidR="002A4DDF" w:rsidRPr="00937C8B" w:rsidRDefault="002A4DDF" w:rsidP="009110ED">
            <w:pPr>
              <w:rPr>
                <w:rFonts w:ascii="Arial" w:hAnsi="Arial" w:cs="Arial"/>
                <w:sz w:val="12"/>
                <w:szCs w:val="12"/>
              </w:rPr>
            </w:pPr>
            <w:r>
              <w:rPr>
                <w:rFonts w:ascii="Arial" w:hAnsi="Arial"/>
                <w:sz w:val="12"/>
                <w:szCs w:val="12"/>
              </w:rPr>
              <w:t>Riudellots de la Selva</w:t>
            </w:r>
          </w:p>
        </w:tc>
        <w:tc>
          <w:tcPr>
            <w:tcW w:w="2268" w:type="dxa"/>
            <w:tcBorders>
              <w:right w:val="single" w:sz="4" w:space="0" w:color="auto"/>
            </w:tcBorders>
            <w:shd w:val="clear" w:color="auto" w:fill="D9D9D9"/>
            <w:hideMark/>
          </w:tcPr>
          <w:p w14:paraId="29C917B2" w14:textId="77777777" w:rsidR="002A4DDF" w:rsidRPr="00937C8B" w:rsidRDefault="002A4DDF" w:rsidP="009110ED">
            <w:pPr>
              <w:rPr>
                <w:rFonts w:ascii="Arial" w:hAnsi="Arial" w:cs="Arial"/>
                <w:sz w:val="12"/>
                <w:szCs w:val="12"/>
              </w:rPr>
            </w:pPr>
          </w:p>
        </w:tc>
      </w:tr>
      <w:tr w:rsidR="002A4DDF" w:rsidRPr="00937C8B" w14:paraId="687E191F" w14:textId="77777777" w:rsidTr="00935676">
        <w:trPr>
          <w:cantSplit/>
        </w:trPr>
        <w:tc>
          <w:tcPr>
            <w:tcW w:w="1696" w:type="dxa"/>
            <w:tcBorders>
              <w:left w:val="single" w:sz="4" w:space="0" w:color="auto"/>
            </w:tcBorders>
            <w:shd w:val="clear" w:color="auto" w:fill="auto"/>
          </w:tcPr>
          <w:p w14:paraId="40EB09D1" w14:textId="77777777" w:rsidR="002A4DDF" w:rsidRPr="00937C8B" w:rsidRDefault="002A4DDF" w:rsidP="009110ED">
            <w:pPr>
              <w:rPr>
                <w:rFonts w:ascii="Arial" w:hAnsi="Arial" w:cs="Arial"/>
                <w:sz w:val="12"/>
                <w:szCs w:val="12"/>
              </w:rPr>
            </w:pPr>
          </w:p>
        </w:tc>
        <w:tc>
          <w:tcPr>
            <w:tcW w:w="1843" w:type="dxa"/>
            <w:shd w:val="clear" w:color="auto" w:fill="auto"/>
          </w:tcPr>
          <w:p w14:paraId="13E46887" w14:textId="77777777" w:rsidR="002A4DDF" w:rsidRPr="00937C8B" w:rsidRDefault="002A4DDF" w:rsidP="009110ED">
            <w:pPr>
              <w:rPr>
                <w:rFonts w:ascii="Arial" w:hAnsi="Arial" w:cs="Arial"/>
                <w:sz w:val="12"/>
                <w:szCs w:val="12"/>
              </w:rPr>
            </w:pPr>
          </w:p>
        </w:tc>
        <w:tc>
          <w:tcPr>
            <w:tcW w:w="2268" w:type="dxa"/>
            <w:shd w:val="clear" w:color="auto" w:fill="F2F2F2"/>
            <w:hideMark/>
          </w:tcPr>
          <w:p w14:paraId="3C8AAF1A" w14:textId="77777777" w:rsidR="002A4DDF" w:rsidRPr="00937C8B" w:rsidRDefault="002A4DDF" w:rsidP="009110ED">
            <w:pPr>
              <w:rPr>
                <w:rFonts w:ascii="Arial" w:hAnsi="Arial" w:cs="Arial"/>
                <w:sz w:val="12"/>
                <w:szCs w:val="12"/>
              </w:rPr>
            </w:pPr>
            <w:r>
              <w:rPr>
                <w:rFonts w:ascii="Arial" w:hAnsi="Arial"/>
                <w:sz w:val="12"/>
                <w:szCs w:val="12"/>
              </w:rPr>
              <w:t>Riumors</w:t>
            </w:r>
          </w:p>
        </w:tc>
        <w:tc>
          <w:tcPr>
            <w:tcW w:w="2268" w:type="dxa"/>
            <w:tcBorders>
              <w:right w:val="single" w:sz="4" w:space="0" w:color="auto"/>
            </w:tcBorders>
            <w:shd w:val="clear" w:color="auto" w:fill="D9D9D9"/>
            <w:hideMark/>
          </w:tcPr>
          <w:p w14:paraId="2F6C4ACB" w14:textId="77777777" w:rsidR="002A4DDF" w:rsidRPr="00937C8B" w:rsidRDefault="002A4DDF" w:rsidP="009110ED">
            <w:pPr>
              <w:rPr>
                <w:rFonts w:ascii="Arial" w:hAnsi="Arial" w:cs="Arial"/>
                <w:sz w:val="12"/>
                <w:szCs w:val="12"/>
              </w:rPr>
            </w:pPr>
          </w:p>
        </w:tc>
      </w:tr>
      <w:tr w:rsidR="002A4DDF" w:rsidRPr="00937C8B" w14:paraId="281451EE" w14:textId="77777777" w:rsidTr="00935676">
        <w:trPr>
          <w:cantSplit/>
        </w:trPr>
        <w:tc>
          <w:tcPr>
            <w:tcW w:w="1696" w:type="dxa"/>
            <w:tcBorders>
              <w:left w:val="single" w:sz="4" w:space="0" w:color="auto"/>
            </w:tcBorders>
            <w:shd w:val="clear" w:color="auto" w:fill="auto"/>
          </w:tcPr>
          <w:p w14:paraId="4896B020" w14:textId="77777777" w:rsidR="002A4DDF" w:rsidRPr="00937C8B" w:rsidRDefault="002A4DDF" w:rsidP="009110ED">
            <w:pPr>
              <w:rPr>
                <w:rFonts w:ascii="Arial" w:hAnsi="Arial" w:cs="Arial"/>
                <w:sz w:val="12"/>
                <w:szCs w:val="12"/>
              </w:rPr>
            </w:pPr>
          </w:p>
        </w:tc>
        <w:tc>
          <w:tcPr>
            <w:tcW w:w="1843" w:type="dxa"/>
            <w:shd w:val="clear" w:color="auto" w:fill="auto"/>
          </w:tcPr>
          <w:p w14:paraId="57EF8AC0" w14:textId="77777777" w:rsidR="002A4DDF" w:rsidRPr="00937C8B" w:rsidRDefault="002A4DDF" w:rsidP="009110ED">
            <w:pPr>
              <w:rPr>
                <w:rFonts w:ascii="Arial" w:hAnsi="Arial" w:cs="Arial"/>
                <w:sz w:val="12"/>
                <w:szCs w:val="12"/>
              </w:rPr>
            </w:pPr>
          </w:p>
        </w:tc>
        <w:tc>
          <w:tcPr>
            <w:tcW w:w="2268" w:type="dxa"/>
            <w:shd w:val="clear" w:color="auto" w:fill="F2F2F2"/>
            <w:hideMark/>
          </w:tcPr>
          <w:p w14:paraId="1BAABA66" w14:textId="77777777" w:rsidR="002A4DDF" w:rsidRPr="00937C8B" w:rsidRDefault="002A4DDF" w:rsidP="009110ED">
            <w:pPr>
              <w:rPr>
                <w:rFonts w:ascii="Arial" w:hAnsi="Arial" w:cs="Arial"/>
                <w:sz w:val="12"/>
                <w:szCs w:val="12"/>
              </w:rPr>
            </w:pPr>
            <w:r>
              <w:rPr>
                <w:rFonts w:ascii="Arial" w:hAnsi="Arial"/>
                <w:sz w:val="12"/>
                <w:szCs w:val="12"/>
              </w:rPr>
              <w:t>Rupià</w:t>
            </w:r>
          </w:p>
        </w:tc>
        <w:tc>
          <w:tcPr>
            <w:tcW w:w="2268" w:type="dxa"/>
            <w:tcBorders>
              <w:right w:val="single" w:sz="4" w:space="0" w:color="auto"/>
            </w:tcBorders>
            <w:shd w:val="clear" w:color="auto" w:fill="D9D9D9"/>
            <w:hideMark/>
          </w:tcPr>
          <w:p w14:paraId="7FBD9BF0" w14:textId="77777777" w:rsidR="002A4DDF" w:rsidRPr="00937C8B" w:rsidRDefault="002A4DDF" w:rsidP="009110ED">
            <w:pPr>
              <w:rPr>
                <w:rFonts w:ascii="Arial" w:hAnsi="Arial" w:cs="Arial"/>
                <w:sz w:val="12"/>
                <w:szCs w:val="12"/>
              </w:rPr>
            </w:pPr>
          </w:p>
        </w:tc>
      </w:tr>
      <w:tr w:rsidR="002A4DDF" w:rsidRPr="00937C8B" w14:paraId="2BEFA68C" w14:textId="77777777" w:rsidTr="00935676">
        <w:trPr>
          <w:cantSplit/>
        </w:trPr>
        <w:tc>
          <w:tcPr>
            <w:tcW w:w="1696" w:type="dxa"/>
            <w:tcBorders>
              <w:left w:val="single" w:sz="4" w:space="0" w:color="auto"/>
            </w:tcBorders>
            <w:shd w:val="clear" w:color="auto" w:fill="auto"/>
          </w:tcPr>
          <w:p w14:paraId="2E97E829" w14:textId="77777777" w:rsidR="002A4DDF" w:rsidRPr="00937C8B" w:rsidRDefault="002A4DDF" w:rsidP="009110ED">
            <w:pPr>
              <w:rPr>
                <w:rFonts w:ascii="Arial" w:hAnsi="Arial" w:cs="Arial"/>
                <w:sz w:val="12"/>
                <w:szCs w:val="12"/>
              </w:rPr>
            </w:pPr>
          </w:p>
        </w:tc>
        <w:tc>
          <w:tcPr>
            <w:tcW w:w="1843" w:type="dxa"/>
            <w:shd w:val="clear" w:color="auto" w:fill="auto"/>
          </w:tcPr>
          <w:p w14:paraId="14B2386D" w14:textId="77777777" w:rsidR="002A4DDF" w:rsidRPr="00937C8B" w:rsidRDefault="002A4DDF" w:rsidP="009110ED">
            <w:pPr>
              <w:rPr>
                <w:rFonts w:ascii="Arial" w:hAnsi="Arial" w:cs="Arial"/>
                <w:sz w:val="12"/>
                <w:szCs w:val="12"/>
              </w:rPr>
            </w:pPr>
          </w:p>
        </w:tc>
        <w:tc>
          <w:tcPr>
            <w:tcW w:w="2268" w:type="dxa"/>
            <w:shd w:val="clear" w:color="auto" w:fill="F2F2F2"/>
            <w:hideMark/>
          </w:tcPr>
          <w:p w14:paraId="142B64AC" w14:textId="77777777" w:rsidR="002A4DDF" w:rsidRPr="00937C8B" w:rsidRDefault="002A4DDF" w:rsidP="009110ED">
            <w:pPr>
              <w:rPr>
                <w:rFonts w:ascii="Arial" w:hAnsi="Arial" w:cs="Arial"/>
                <w:sz w:val="12"/>
                <w:szCs w:val="12"/>
              </w:rPr>
            </w:pPr>
            <w:r>
              <w:rPr>
                <w:rFonts w:ascii="Arial" w:hAnsi="Arial"/>
                <w:sz w:val="12"/>
                <w:szCs w:val="12"/>
              </w:rPr>
              <w:t>Salt</w:t>
            </w:r>
          </w:p>
        </w:tc>
        <w:tc>
          <w:tcPr>
            <w:tcW w:w="2268" w:type="dxa"/>
            <w:tcBorders>
              <w:right w:val="single" w:sz="4" w:space="0" w:color="auto"/>
            </w:tcBorders>
            <w:shd w:val="clear" w:color="auto" w:fill="D9D9D9"/>
            <w:hideMark/>
          </w:tcPr>
          <w:p w14:paraId="5FC1E15D" w14:textId="77777777" w:rsidR="002A4DDF" w:rsidRPr="00937C8B" w:rsidRDefault="002A4DDF" w:rsidP="009110ED">
            <w:pPr>
              <w:rPr>
                <w:rFonts w:ascii="Arial" w:hAnsi="Arial" w:cs="Arial"/>
                <w:sz w:val="12"/>
                <w:szCs w:val="12"/>
              </w:rPr>
            </w:pPr>
          </w:p>
        </w:tc>
      </w:tr>
      <w:tr w:rsidR="002A4DDF" w:rsidRPr="00937C8B" w14:paraId="0BE46D47" w14:textId="77777777" w:rsidTr="00935676">
        <w:trPr>
          <w:cantSplit/>
        </w:trPr>
        <w:tc>
          <w:tcPr>
            <w:tcW w:w="1696" w:type="dxa"/>
            <w:tcBorders>
              <w:left w:val="single" w:sz="4" w:space="0" w:color="auto"/>
            </w:tcBorders>
            <w:shd w:val="clear" w:color="auto" w:fill="auto"/>
          </w:tcPr>
          <w:p w14:paraId="23D502B5" w14:textId="77777777" w:rsidR="002A4DDF" w:rsidRPr="00937C8B" w:rsidRDefault="002A4DDF" w:rsidP="009110ED">
            <w:pPr>
              <w:rPr>
                <w:rFonts w:ascii="Arial" w:hAnsi="Arial" w:cs="Arial"/>
                <w:sz w:val="12"/>
                <w:szCs w:val="12"/>
              </w:rPr>
            </w:pPr>
          </w:p>
        </w:tc>
        <w:tc>
          <w:tcPr>
            <w:tcW w:w="1843" w:type="dxa"/>
            <w:shd w:val="clear" w:color="auto" w:fill="auto"/>
          </w:tcPr>
          <w:p w14:paraId="3DD595EC" w14:textId="77777777" w:rsidR="002A4DDF" w:rsidRPr="00937C8B" w:rsidRDefault="002A4DDF" w:rsidP="009110ED">
            <w:pPr>
              <w:rPr>
                <w:rFonts w:ascii="Arial" w:hAnsi="Arial" w:cs="Arial"/>
                <w:sz w:val="12"/>
                <w:szCs w:val="12"/>
              </w:rPr>
            </w:pPr>
          </w:p>
        </w:tc>
        <w:tc>
          <w:tcPr>
            <w:tcW w:w="2268" w:type="dxa"/>
            <w:shd w:val="clear" w:color="auto" w:fill="F2F2F2"/>
            <w:hideMark/>
          </w:tcPr>
          <w:p w14:paraId="45E5531B" w14:textId="77777777" w:rsidR="002A4DDF" w:rsidRPr="00937C8B" w:rsidRDefault="002A4DDF" w:rsidP="009110ED">
            <w:pPr>
              <w:rPr>
                <w:rFonts w:ascii="Arial" w:hAnsi="Arial" w:cs="Arial"/>
                <w:sz w:val="12"/>
                <w:szCs w:val="12"/>
              </w:rPr>
            </w:pPr>
            <w:r>
              <w:rPr>
                <w:rFonts w:ascii="Arial" w:hAnsi="Arial"/>
                <w:sz w:val="12"/>
                <w:szCs w:val="12"/>
              </w:rPr>
              <w:t>Sant Aniol de Finestres</w:t>
            </w:r>
          </w:p>
        </w:tc>
        <w:tc>
          <w:tcPr>
            <w:tcW w:w="2268" w:type="dxa"/>
            <w:tcBorders>
              <w:right w:val="single" w:sz="4" w:space="0" w:color="auto"/>
            </w:tcBorders>
            <w:shd w:val="clear" w:color="auto" w:fill="D9D9D9"/>
            <w:hideMark/>
          </w:tcPr>
          <w:p w14:paraId="09B1FA85" w14:textId="77777777" w:rsidR="002A4DDF" w:rsidRPr="00937C8B" w:rsidRDefault="002A4DDF" w:rsidP="009110ED">
            <w:pPr>
              <w:rPr>
                <w:rFonts w:ascii="Arial" w:hAnsi="Arial" w:cs="Arial"/>
                <w:sz w:val="12"/>
                <w:szCs w:val="12"/>
              </w:rPr>
            </w:pPr>
          </w:p>
        </w:tc>
      </w:tr>
      <w:tr w:rsidR="002A4DDF" w:rsidRPr="00937C8B" w14:paraId="491D7F14" w14:textId="77777777" w:rsidTr="00935676">
        <w:trPr>
          <w:cantSplit/>
        </w:trPr>
        <w:tc>
          <w:tcPr>
            <w:tcW w:w="1696" w:type="dxa"/>
            <w:tcBorders>
              <w:left w:val="single" w:sz="4" w:space="0" w:color="auto"/>
            </w:tcBorders>
            <w:shd w:val="clear" w:color="auto" w:fill="auto"/>
          </w:tcPr>
          <w:p w14:paraId="5540EFAB" w14:textId="77777777" w:rsidR="002A4DDF" w:rsidRPr="00937C8B" w:rsidRDefault="002A4DDF" w:rsidP="009110ED">
            <w:pPr>
              <w:rPr>
                <w:rFonts w:ascii="Arial" w:hAnsi="Arial" w:cs="Arial"/>
                <w:sz w:val="12"/>
                <w:szCs w:val="12"/>
              </w:rPr>
            </w:pPr>
          </w:p>
        </w:tc>
        <w:tc>
          <w:tcPr>
            <w:tcW w:w="1843" w:type="dxa"/>
            <w:shd w:val="clear" w:color="auto" w:fill="auto"/>
          </w:tcPr>
          <w:p w14:paraId="373759C6" w14:textId="77777777" w:rsidR="002A4DDF" w:rsidRPr="00937C8B" w:rsidRDefault="002A4DDF" w:rsidP="009110ED">
            <w:pPr>
              <w:rPr>
                <w:rFonts w:ascii="Arial" w:hAnsi="Arial" w:cs="Arial"/>
                <w:sz w:val="12"/>
                <w:szCs w:val="12"/>
              </w:rPr>
            </w:pPr>
          </w:p>
        </w:tc>
        <w:tc>
          <w:tcPr>
            <w:tcW w:w="2268" w:type="dxa"/>
            <w:shd w:val="clear" w:color="auto" w:fill="F2F2F2"/>
            <w:hideMark/>
          </w:tcPr>
          <w:p w14:paraId="617BD4EC" w14:textId="77777777" w:rsidR="002A4DDF" w:rsidRPr="00937C8B" w:rsidRDefault="002A4DDF" w:rsidP="009110ED">
            <w:pPr>
              <w:rPr>
                <w:rFonts w:ascii="Arial" w:hAnsi="Arial" w:cs="Arial"/>
                <w:sz w:val="12"/>
                <w:szCs w:val="12"/>
              </w:rPr>
            </w:pPr>
            <w:r>
              <w:rPr>
                <w:rFonts w:ascii="Arial" w:hAnsi="Arial"/>
                <w:sz w:val="12"/>
                <w:szCs w:val="12"/>
              </w:rPr>
              <w:t>Sant Feliu de Pallerols</w:t>
            </w:r>
          </w:p>
        </w:tc>
        <w:tc>
          <w:tcPr>
            <w:tcW w:w="2268" w:type="dxa"/>
            <w:tcBorders>
              <w:right w:val="single" w:sz="4" w:space="0" w:color="auto"/>
            </w:tcBorders>
            <w:shd w:val="clear" w:color="auto" w:fill="D9D9D9"/>
            <w:hideMark/>
          </w:tcPr>
          <w:p w14:paraId="66A45353" w14:textId="77777777" w:rsidR="002A4DDF" w:rsidRPr="00937C8B" w:rsidRDefault="002A4DDF" w:rsidP="009110ED">
            <w:pPr>
              <w:rPr>
                <w:rFonts w:ascii="Arial" w:hAnsi="Arial" w:cs="Arial"/>
                <w:sz w:val="12"/>
                <w:szCs w:val="12"/>
              </w:rPr>
            </w:pPr>
          </w:p>
        </w:tc>
      </w:tr>
      <w:tr w:rsidR="002A4DDF" w:rsidRPr="00937C8B" w14:paraId="22553A91" w14:textId="77777777" w:rsidTr="00935676">
        <w:trPr>
          <w:cantSplit/>
        </w:trPr>
        <w:tc>
          <w:tcPr>
            <w:tcW w:w="1696" w:type="dxa"/>
            <w:tcBorders>
              <w:left w:val="single" w:sz="4" w:space="0" w:color="auto"/>
            </w:tcBorders>
            <w:shd w:val="clear" w:color="auto" w:fill="auto"/>
          </w:tcPr>
          <w:p w14:paraId="0BA0F9A3" w14:textId="77777777" w:rsidR="002A4DDF" w:rsidRPr="00937C8B" w:rsidRDefault="002A4DDF" w:rsidP="009110ED">
            <w:pPr>
              <w:rPr>
                <w:rFonts w:ascii="Arial" w:hAnsi="Arial" w:cs="Arial"/>
                <w:sz w:val="12"/>
                <w:szCs w:val="12"/>
              </w:rPr>
            </w:pPr>
          </w:p>
        </w:tc>
        <w:tc>
          <w:tcPr>
            <w:tcW w:w="1843" w:type="dxa"/>
            <w:shd w:val="clear" w:color="auto" w:fill="auto"/>
          </w:tcPr>
          <w:p w14:paraId="39958DC0" w14:textId="77777777" w:rsidR="002A4DDF" w:rsidRPr="00937C8B" w:rsidRDefault="002A4DDF" w:rsidP="009110ED">
            <w:pPr>
              <w:rPr>
                <w:rFonts w:ascii="Arial" w:hAnsi="Arial" w:cs="Arial"/>
                <w:sz w:val="12"/>
                <w:szCs w:val="12"/>
              </w:rPr>
            </w:pPr>
          </w:p>
        </w:tc>
        <w:tc>
          <w:tcPr>
            <w:tcW w:w="2268" w:type="dxa"/>
            <w:shd w:val="clear" w:color="auto" w:fill="F2F2F2"/>
            <w:hideMark/>
          </w:tcPr>
          <w:p w14:paraId="396BC6AF" w14:textId="77777777" w:rsidR="002A4DDF" w:rsidRPr="00937C8B" w:rsidRDefault="002A4DDF" w:rsidP="009110ED">
            <w:pPr>
              <w:rPr>
                <w:rFonts w:ascii="Arial" w:hAnsi="Arial" w:cs="Arial"/>
                <w:sz w:val="12"/>
                <w:szCs w:val="12"/>
              </w:rPr>
            </w:pPr>
            <w:r>
              <w:rPr>
                <w:rFonts w:ascii="Arial" w:hAnsi="Arial"/>
                <w:sz w:val="12"/>
                <w:szCs w:val="12"/>
              </w:rPr>
              <w:t>Sant Ferriol</w:t>
            </w:r>
          </w:p>
        </w:tc>
        <w:tc>
          <w:tcPr>
            <w:tcW w:w="2268" w:type="dxa"/>
            <w:tcBorders>
              <w:right w:val="single" w:sz="4" w:space="0" w:color="auto"/>
            </w:tcBorders>
            <w:shd w:val="clear" w:color="auto" w:fill="D9D9D9"/>
            <w:hideMark/>
          </w:tcPr>
          <w:p w14:paraId="76B1E96F" w14:textId="77777777" w:rsidR="002A4DDF" w:rsidRPr="00937C8B" w:rsidRDefault="002A4DDF" w:rsidP="009110ED">
            <w:pPr>
              <w:rPr>
                <w:rFonts w:ascii="Arial" w:hAnsi="Arial" w:cs="Arial"/>
                <w:sz w:val="12"/>
                <w:szCs w:val="12"/>
              </w:rPr>
            </w:pPr>
          </w:p>
        </w:tc>
      </w:tr>
      <w:tr w:rsidR="002A4DDF" w:rsidRPr="00937C8B" w14:paraId="4BBEC8E9" w14:textId="77777777" w:rsidTr="00935676">
        <w:trPr>
          <w:cantSplit/>
        </w:trPr>
        <w:tc>
          <w:tcPr>
            <w:tcW w:w="1696" w:type="dxa"/>
            <w:tcBorders>
              <w:left w:val="single" w:sz="4" w:space="0" w:color="auto"/>
            </w:tcBorders>
            <w:shd w:val="clear" w:color="auto" w:fill="auto"/>
          </w:tcPr>
          <w:p w14:paraId="3AB48E3D" w14:textId="77777777" w:rsidR="002A4DDF" w:rsidRPr="00937C8B" w:rsidRDefault="002A4DDF" w:rsidP="009110ED">
            <w:pPr>
              <w:rPr>
                <w:rFonts w:ascii="Arial" w:hAnsi="Arial" w:cs="Arial"/>
                <w:sz w:val="12"/>
                <w:szCs w:val="12"/>
              </w:rPr>
            </w:pPr>
          </w:p>
        </w:tc>
        <w:tc>
          <w:tcPr>
            <w:tcW w:w="1843" w:type="dxa"/>
            <w:shd w:val="clear" w:color="auto" w:fill="auto"/>
          </w:tcPr>
          <w:p w14:paraId="3BC19187" w14:textId="77777777" w:rsidR="002A4DDF" w:rsidRPr="00937C8B" w:rsidRDefault="002A4DDF" w:rsidP="009110ED">
            <w:pPr>
              <w:rPr>
                <w:rFonts w:ascii="Arial" w:hAnsi="Arial" w:cs="Arial"/>
                <w:sz w:val="12"/>
                <w:szCs w:val="12"/>
              </w:rPr>
            </w:pPr>
          </w:p>
        </w:tc>
        <w:tc>
          <w:tcPr>
            <w:tcW w:w="2268" w:type="dxa"/>
            <w:shd w:val="clear" w:color="auto" w:fill="F2F2F2"/>
            <w:hideMark/>
          </w:tcPr>
          <w:p w14:paraId="0BF8B9F1" w14:textId="77777777" w:rsidR="002A4DDF" w:rsidRPr="00937C8B" w:rsidRDefault="002A4DDF" w:rsidP="009110ED">
            <w:pPr>
              <w:rPr>
                <w:rFonts w:ascii="Arial" w:hAnsi="Arial" w:cs="Arial"/>
                <w:sz w:val="12"/>
                <w:szCs w:val="12"/>
              </w:rPr>
            </w:pPr>
            <w:r>
              <w:rPr>
                <w:rFonts w:ascii="Arial" w:hAnsi="Arial"/>
                <w:sz w:val="12"/>
                <w:szCs w:val="12"/>
              </w:rPr>
              <w:t>Sant Gregori</w:t>
            </w:r>
          </w:p>
        </w:tc>
        <w:tc>
          <w:tcPr>
            <w:tcW w:w="2268" w:type="dxa"/>
            <w:tcBorders>
              <w:right w:val="single" w:sz="4" w:space="0" w:color="auto"/>
            </w:tcBorders>
            <w:shd w:val="clear" w:color="auto" w:fill="D9D9D9"/>
            <w:hideMark/>
          </w:tcPr>
          <w:p w14:paraId="60021A7B" w14:textId="77777777" w:rsidR="002A4DDF" w:rsidRPr="00937C8B" w:rsidRDefault="002A4DDF" w:rsidP="009110ED">
            <w:pPr>
              <w:rPr>
                <w:rFonts w:ascii="Arial" w:hAnsi="Arial" w:cs="Arial"/>
                <w:sz w:val="12"/>
                <w:szCs w:val="12"/>
              </w:rPr>
            </w:pPr>
          </w:p>
        </w:tc>
      </w:tr>
      <w:tr w:rsidR="002A4DDF" w:rsidRPr="00937C8B" w14:paraId="15F5A2FD" w14:textId="77777777" w:rsidTr="00935676">
        <w:trPr>
          <w:cantSplit/>
        </w:trPr>
        <w:tc>
          <w:tcPr>
            <w:tcW w:w="1696" w:type="dxa"/>
            <w:tcBorders>
              <w:left w:val="single" w:sz="4" w:space="0" w:color="auto"/>
            </w:tcBorders>
            <w:shd w:val="clear" w:color="auto" w:fill="auto"/>
          </w:tcPr>
          <w:p w14:paraId="712E5F85" w14:textId="77777777" w:rsidR="002A4DDF" w:rsidRPr="00937C8B" w:rsidRDefault="002A4DDF" w:rsidP="009110ED">
            <w:pPr>
              <w:rPr>
                <w:rFonts w:ascii="Arial" w:hAnsi="Arial" w:cs="Arial"/>
                <w:sz w:val="12"/>
                <w:szCs w:val="12"/>
              </w:rPr>
            </w:pPr>
          </w:p>
        </w:tc>
        <w:tc>
          <w:tcPr>
            <w:tcW w:w="1843" w:type="dxa"/>
            <w:shd w:val="clear" w:color="auto" w:fill="auto"/>
          </w:tcPr>
          <w:p w14:paraId="1B135918" w14:textId="77777777" w:rsidR="002A4DDF" w:rsidRPr="00937C8B" w:rsidRDefault="002A4DDF" w:rsidP="009110ED">
            <w:pPr>
              <w:rPr>
                <w:rFonts w:ascii="Arial" w:hAnsi="Arial" w:cs="Arial"/>
                <w:sz w:val="12"/>
                <w:szCs w:val="12"/>
              </w:rPr>
            </w:pPr>
          </w:p>
        </w:tc>
        <w:tc>
          <w:tcPr>
            <w:tcW w:w="2268" w:type="dxa"/>
            <w:shd w:val="clear" w:color="auto" w:fill="F2F2F2"/>
            <w:hideMark/>
          </w:tcPr>
          <w:p w14:paraId="504DB739" w14:textId="77777777" w:rsidR="002A4DDF" w:rsidRPr="00937C8B" w:rsidRDefault="002A4DDF" w:rsidP="009110ED">
            <w:pPr>
              <w:rPr>
                <w:rFonts w:ascii="Arial" w:hAnsi="Arial" w:cs="Arial"/>
                <w:sz w:val="12"/>
                <w:szCs w:val="12"/>
              </w:rPr>
            </w:pPr>
            <w:r>
              <w:rPr>
                <w:rFonts w:ascii="Arial" w:hAnsi="Arial"/>
                <w:sz w:val="12"/>
                <w:szCs w:val="12"/>
              </w:rPr>
              <w:t>Sant Jaume de Llierca</w:t>
            </w:r>
          </w:p>
        </w:tc>
        <w:tc>
          <w:tcPr>
            <w:tcW w:w="2268" w:type="dxa"/>
            <w:tcBorders>
              <w:right w:val="single" w:sz="4" w:space="0" w:color="auto"/>
            </w:tcBorders>
            <w:shd w:val="clear" w:color="auto" w:fill="D9D9D9"/>
            <w:hideMark/>
          </w:tcPr>
          <w:p w14:paraId="507AE6D0" w14:textId="77777777" w:rsidR="002A4DDF" w:rsidRPr="00937C8B" w:rsidRDefault="002A4DDF" w:rsidP="009110ED">
            <w:pPr>
              <w:rPr>
                <w:rFonts w:ascii="Arial" w:hAnsi="Arial" w:cs="Arial"/>
                <w:sz w:val="12"/>
                <w:szCs w:val="12"/>
              </w:rPr>
            </w:pPr>
          </w:p>
        </w:tc>
      </w:tr>
      <w:tr w:rsidR="002A4DDF" w:rsidRPr="00937C8B" w14:paraId="340D6BE7" w14:textId="77777777" w:rsidTr="00935676">
        <w:trPr>
          <w:cantSplit/>
        </w:trPr>
        <w:tc>
          <w:tcPr>
            <w:tcW w:w="1696" w:type="dxa"/>
            <w:tcBorders>
              <w:left w:val="single" w:sz="4" w:space="0" w:color="auto"/>
            </w:tcBorders>
            <w:shd w:val="clear" w:color="auto" w:fill="auto"/>
          </w:tcPr>
          <w:p w14:paraId="0B7A8D32" w14:textId="77777777" w:rsidR="002A4DDF" w:rsidRPr="00937C8B" w:rsidRDefault="002A4DDF" w:rsidP="009110ED">
            <w:pPr>
              <w:rPr>
                <w:rFonts w:ascii="Arial" w:hAnsi="Arial" w:cs="Arial"/>
                <w:sz w:val="12"/>
                <w:szCs w:val="12"/>
              </w:rPr>
            </w:pPr>
          </w:p>
        </w:tc>
        <w:tc>
          <w:tcPr>
            <w:tcW w:w="1843" w:type="dxa"/>
            <w:shd w:val="clear" w:color="auto" w:fill="auto"/>
          </w:tcPr>
          <w:p w14:paraId="77875D00" w14:textId="77777777" w:rsidR="002A4DDF" w:rsidRPr="00937C8B" w:rsidRDefault="002A4DDF" w:rsidP="009110ED">
            <w:pPr>
              <w:rPr>
                <w:rFonts w:ascii="Arial" w:hAnsi="Arial" w:cs="Arial"/>
                <w:sz w:val="12"/>
                <w:szCs w:val="12"/>
              </w:rPr>
            </w:pPr>
          </w:p>
        </w:tc>
        <w:tc>
          <w:tcPr>
            <w:tcW w:w="2268" w:type="dxa"/>
            <w:shd w:val="clear" w:color="auto" w:fill="F2F2F2"/>
            <w:hideMark/>
          </w:tcPr>
          <w:p w14:paraId="1F07BECA" w14:textId="77777777" w:rsidR="002A4DDF" w:rsidRPr="00937C8B" w:rsidRDefault="002A4DDF" w:rsidP="009110ED">
            <w:pPr>
              <w:rPr>
                <w:rFonts w:ascii="Arial" w:hAnsi="Arial" w:cs="Arial"/>
                <w:sz w:val="12"/>
                <w:szCs w:val="12"/>
              </w:rPr>
            </w:pPr>
            <w:r>
              <w:rPr>
                <w:rFonts w:ascii="Arial" w:hAnsi="Arial"/>
                <w:sz w:val="12"/>
                <w:szCs w:val="12"/>
              </w:rPr>
              <w:t>Sant Joan de les Abadesses</w:t>
            </w:r>
          </w:p>
        </w:tc>
        <w:tc>
          <w:tcPr>
            <w:tcW w:w="2268" w:type="dxa"/>
            <w:tcBorders>
              <w:right w:val="single" w:sz="4" w:space="0" w:color="auto"/>
            </w:tcBorders>
            <w:shd w:val="clear" w:color="auto" w:fill="D9D9D9"/>
            <w:hideMark/>
          </w:tcPr>
          <w:p w14:paraId="072F138B" w14:textId="77777777" w:rsidR="002A4DDF" w:rsidRPr="00937C8B" w:rsidRDefault="002A4DDF" w:rsidP="009110ED">
            <w:pPr>
              <w:rPr>
                <w:rFonts w:ascii="Arial" w:hAnsi="Arial" w:cs="Arial"/>
                <w:sz w:val="12"/>
                <w:szCs w:val="12"/>
              </w:rPr>
            </w:pPr>
          </w:p>
        </w:tc>
      </w:tr>
      <w:tr w:rsidR="002A4DDF" w:rsidRPr="00937C8B" w14:paraId="7C9A4EBB" w14:textId="77777777" w:rsidTr="00935676">
        <w:trPr>
          <w:cantSplit/>
        </w:trPr>
        <w:tc>
          <w:tcPr>
            <w:tcW w:w="1696" w:type="dxa"/>
            <w:tcBorders>
              <w:left w:val="single" w:sz="4" w:space="0" w:color="auto"/>
            </w:tcBorders>
            <w:shd w:val="clear" w:color="auto" w:fill="auto"/>
          </w:tcPr>
          <w:p w14:paraId="01F13D6F" w14:textId="77777777" w:rsidR="002A4DDF" w:rsidRPr="00937C8B" w:rsidRDefault="002A4DDF" w:rsidP="009110ED">
            <w:pPr>
              <w:rPr>
                <w:rFonts w:ascii="Arial" w:hAnsi="Arial" w:cs="Arial"/>
                <w:sz w:val="12"/>
                <w:szCs w:val="12"/>
              </w:rPr>
            </w:pPr>
          </w:p>
        </w:tc>
        <w:tc>
          <w:tcPr>
            <w:tcW w:w="1843" w:type="dxa"/>
            <w:shd w:val="clear" w:color="auto" w:fill="auto"/>
          </w:tcPr>
          <w:p w14:paraId="1ECE8DDD" w14:textId="77777777" w:rsidR="002A4DDF" w:rsidRPr="00937C8B" w:rsidRDefault="002A4DDF" w:rsidP="009110ED">
            <w:pPr>
              <w:rPr>
                <w:rFonts w:ascii="Arial" w:hAnsi="Arial" w:cs="Arial"/>
                <w:sz w:val="12"/>
                <w:szCs w:val="12"/>
              </w:rPr>
            </w:pPr>
          </w:p>
        </w:tc>
        <w:tc>
          <w:tcPr>
            <w:tcW w:w="2268" w:type="dxa"/>
            <w:shd w:val="clear" w:color="auto" w:fill="F2F2F2"/>
            <w:hideMark/>
          </w:tcPr>
          <w:p w14:paraId="75251626" w14:textId="77777777" w:rsidR="002A4DDF" w:rsidRPr="00937C8B" w:rsidRDefault="002A4DDF" w:rsidP="009110ED">
            <w:pPr>
              <w:rPr>
                <w:rFonts w:ascii="Arial" w:hAnsi="Arial" w:cs="Arial"/>
                <w:sz w:val="12"/>
                <w:szCs w:val="12"/>
              </w:rPr>
            </w:pPr>
            <w:r>
              <w:rPr>
                <w:rFonts w:ascii="Arial" w:hAnsi="Arial"/>
                <w:sz w:val="12"/>
                <w:szCs w:val="12"/>
              </w:rPr>
              <w:t>Sant Joan de Mollet</w:t>
            </w:r>
          </w:p>
        </w:tc>
        <w:tc>
          <w:tcPr>
            <w:tcW w:w="2268" w:type="dxa"/>
            <w:tcBorders>
              <w:right w:val="single" w:sz="4" w:space="0" w:color="auto"/>
            </w:tcBorders>
            <w:shd w:val="clear" w:color="auto" w:fill="D9D9D9"/>
            <w:hideMark/>
          </w:tcPr>
          <w:p w14:paraId="2ACFAFDC" w14:textId="77777777" w:rsidR="002A4DDF" w:rsidRPr="00937C8B" w:rsidRDefault="002A4DDF" w:rsidP="009110ED">
            <w:pPr>
              <w:rPr>
                <w:rFonts w:ascii="Arial" w:hAnsi="Arial" w:cs="Arial"/>
                <w:sz w:val="12"/>
                <w:szCs w:val="12"/>
              </w:rPr>
            </w:pPr>
          </w:p>
        </w:tc>
      </w:tr>
      <w:tr w:rsidR="002A4DDF" w:rsidRPr="00937C8B" w14:paraId="74695AC7" w14:textId="77777777" w:rsidTr="00935676">
        <w:trPr>
          <w:cantSplit/>
        </w:trPr>
        <w:tc>
          <w:tcPr>
            <w:tcW w:w="1696" w:type="dxa"/>
            <w:tcBorders>
              <w:left w:val="single" w:sz="4" w:space="0" w:color="auto"/>
            </w:tcBorders>
            <w:shd w:val="clear" w:color="auto" w:fill="auto"/>
          </w:tcPr>
          <w:p w14:paraId="46CB4489" w14:textId="77777777" w:rsidR="002A4DDF" w:rsidRPr="00937C8B" w:rsidRDefault="002A4DDF" w:rsidP="009110ED">
            <w:pPr>
              <w:rPr>
                <w:rFonts w:ascii="Arial" w:hAnsi="Arial" w:cs="Arial"/>
                <w:sz w:val="12"/>
                <w:szCs w:val="12"/>
              </w:rPr>
            </w:pPr>
          </w:p>
        </w:tc>
        <w:tc>
          <w:tcPr>
            <w:tcW w:w="1843" w:type="dxa"/>
            <w:shd w:val="clear" w:color="auto" w:fill="auto"/>
          </w:tcPr>
          <w:p w14:paraId="7F11051F" w14:textId="77777777" w:rsidR="002A4DDF" w:rsidRPr="00937C8B" w:rsidRDefault="002A4DDF" w:rsidP="009110ED">
            <w:pPr>
              <w:rPr>
                <w:rFonts w:ascii="Arial" w:hAnsi="Arial" w:cs="Arial"/>
                <w:sz w:val="12"/>
                <w:szCs w:val="12"/>
              </w:rPr>
            </w:pPr>
          </w:p>
        </w:tc>
        <w:tc>
          <w:tcPr>
            <w:tcW w:w="2268" w:type="dxa"/>
            <w:shd w:val="clear" w:color="auto" w:fill="F2F2F2"/>
            <w:hideMark/>
          </w:tcPr>
          <w:p w14:paraId="4AFE6FCC" w14:textId="77777777" w:rsidR="002A4DDF" w:rsidRPr="00937C8B" w:rsidRDefault="002A4DDF" w:rsidP="009110ED">
            <w:pPr>
              <w:rPr>
                <w:rFonts w:ascii="Arial" w:hAnsi="Arial" w:cs="Arial"/>
                <w:sz w:val="12"/>
                <w:szCs w:val="12"/>
              </w:rPr>
            </w:pPr>
            <w:r>
              <w:rPr>
                <w:rFonts w:ascii="Arial" w:hAnsi="Arial"/>
                <w:sz w:val="12"/>
                <w:szCs w:val="12"/>
              </w:rPr>
              <w:t>Sant Jordi Desvalls</w:t>
            </w:r>
          </w:p>
        </w:tc>
        <w:tc>
          <w:tcPr>
            <w:tcW w:w="2268" w:type="dxa"/>
            <w:tcBorders>
              <w:right w:val="single" w:sz="4" w:space="0" w:color="auto"/>
            </w:tcBorders>
            <w:shd w:val="clear" w:color="auto" w:fill="D9D9D9"/>
            <w:hideMark/>
          </w:tcPr>
          <w:p w14:paraId="1E13B091" w14:textId="77777777" w:rsidR="002A4DDF" w:rsidRPr="00937C8B" w:rsidRDefault="002A4DDF" w:rsidP="009110ED">
            <w:pPr>
              <w:rPr>
                <w:rFonts w:ascii="Arial" w:hAnsi="Arial" w:cs="Arial"/>
                <w:sz w:val="12"/>
                <w:szCs w:val="12"/>
              </w:rPr>
            </w:pPr>
          </w:p>
        </w:tc>
      </w:tr>
      <w:tr w:rsidR="002A4DDF" w:rsidRPr="00937C8B" w14:paraId="32E15086" w14:textId="77777777" w:rsidTr="00935676">
        <w:trPr>
          <w:cantSplit/>
        </w:trPr>
        <w:tc>
          <w:tcPr>
            <w:tcW w:w="1696" w:type="dxa"/>
            <w:tcBorders>
              <w:left w:val="single" w:sz="4" w:space="0" w:color="auto"/>
            </w:tcBorders>
            <w:shd w:val="clear" w:color="auto" w:fill="auto"/>
          </w:tcPr>
          <w:p w14:paraId="08CC75AA" w14:textId="77777777" w:rsidR="002A4DDF" w:rsidRPr="00937C8B" w:rsidRDefault="002A4DDF" w:rsidP="009110ED">
            <w:pPr>
              <w:rPr>
                <w:rFonts w:ascii="Arial" w:hAnsi="Arial" w:cs="Arial"/>
                <w:sz w:val="12"/>
                <w:szCs w:val="12"/>
              </w:rPr>
            </w:pPr>
          </w:p>
        </w:tc>
        <w:tc>
          <w:tcPr>
            <w:tcW w:w="1843" w:type="dxa"/>
            <w:shd w:val="clear" w:color="auto" w:fill="auto"/>
          </w:tcPr>
          <w:p w14:paraId="26CAA77E" w14:textId="77777777" w:rsidR="002A4DDF" w:rsidRPr="00937C8B" w:rsidRDefault="002A4DDF" w:rsidP="009110ED">
            <w:pPr>
              <w:rPr>
                <w:rFonts w:ascii="Arial" w:hAnsi="Arial" w:cs="Arial"/>
                <w:sz w:val="12"/>
                <w:szCs w:val="12"/>
              </w:rPr>
            </w:pPr>
          </w:p>
        </w:tc>
        <w:tc>
          <w:tcPr>
            <w:tcW w:w="2268" w:type="dxa"/>
            <w:shd w:val="clear" w:color="auto" w:fill="F2F2F2"/>
            <w:hideMark/>
          </w:tcPr>
          <w:p w14:paraId="4788511C" w14:textId="77777777" w:rsidR="002A4DDF" w:rsidRPr="00937C8B" w:rsidRDefault="002A4DDF" w:rsidP="009110ED">
            <w:pPr>
              <w:rPr>
                <w:rFonts w:ascii="Arial" w:hAnsi="Arial" w:cs="Arial"/>
                <w:sz w:val="12"/>
                <w:szCs w:val="12"/>
              </w:rPr>
            </w:pPr>
            <w:r>
              <w:rPr>
                <w:rFonts w:ascii="Arial" w:hAnsi="Arial"/>
                <w:sz w:val="12"/>
                <w:szCs w:val="12"/>
              </w:rPr>
              <w:t>Sant Julià de Ramis</w:t>
            </w:r>
          </w:p>
        </w:tc>
        <w:tc>
          <w:tcPr>
            <w:tcW w:w="2268" w:type="dxa"/>
            <w:tcBorders>
              <w:right w:val="single" w:sz="4" w:space="0" w:color="auto"/>
            </w:tcBorders>
            <w:shd w:val="clear" w:color="auto" w:fill="D9D9D9"/>
            <w:hideMark/>
          </w:tcPr>
          <w:p w14:paraId="539C6BD3" w14:textId="77777777" w:rsidR="002A4DDF" w:rsidRPr="00937C8B" w:rsidRDefault="002A4DDF" w:rsidP="009110ED">
            <w:pPr>
              <w:rPr>
                <w:rFonts w:ascii="Arial" w:hAnsi="Arial" w:cs="Arial"/>
                <w:sz w:val="12"/>
                <w:szCs w:val="12"/>
              </w:rPr>
            </w:pPr>
          </w:p>
        </w:tc>
      </w:tr>
      <w:tr w:rsidR="002A4DDF" w:rsidRPr="00E93486" w14:paraId="1CB82E5B" w14:textId="77777777" w:rsidTr="00935676">
        <w:trPr>
          <w:cantSplit/>
        </w:trPr>
        <w:tc>
          <w:tcPr>
            <w:tcW w:w="1696" w:type="dxa"/>
            <w:tcBorders>
              <w:left w:val="single" w:sz="4" w:space="0" w:color="auto"/>
            </w:tcBorders>
            <w:shd w:val="clear" w:color="auto" w:fill="auto"/>
          </w:tcPr>
          <w:p w14:paraId="08DAFA7A" w14:textId="77777777" w:rsidR="002A4DDF" w:rsidRPr="00937C8B" w:rsidRDefault="002A4DDF" w:rsidP="009110ED">
            <w:pPr>
              <w:rPr>
                <w:rFonts w:ascii="Arial" w:hAnsi="Arial" w:cs="Arial"/>
                <w:sz w:val="12"/>
                <w:szCs w:val="12"/>
              </w:rPr>
            </w:pPr>
          </w:p>
        </w:tc>
        <w:tc>
          <w:tcPr>
            <w:tcW w:w="1843" w:type="dxa"/>
            <w:shd w:val="clear" w:color="auto" w:fill="auto"/>
          </w:tcPr>
          <w:p w14:paraId="53C7CCF9" w14:textId="77777777" w:rsidR="002A4DDF" w:rsidRPr="00937C8B" w:rsidRDefault="002A4DDF" w:rsidP="009110ED">
            <w:pPr>
              <w:rPr>
                <w:rFonts w:ascii="Arial" w:hAnsi="Arial" w:cs="Arial"/>
                <w:sz w:val="12"/>
                <w:szCs w:val="12"/>
              </w:rPr>
            </w:pPr>
          </w:p>
        </w:tc>
        <w:tc>
          <w:tcPr>
            <w:tcW w:w="2268" w:type="dxa"/>
            <w:shd w:val="clear" w:color="auto" w:fill="F2F2F2"/>
            <w:hideMark/>
          </w:tcPr>
          <w:p w14:paraId="330F3E34" w14:textId="77777777" w:rsidR="002A4DDF" w:rsidRPr="00E93486" w:rsidRDefault="002A4DDF" w:rsidP="009110ED">
            <w:pPr>
              <w:rPr>
                <w:rFonts w:ascii="Arial" w:hAnsi="Arial" w:cs="Arial"/>
                <w:sz w:val="12"/>
                <w:szCs w:val="12"/>
                <w:lang w:val="en-US"/>
              </w:rPr>
            </w:pPr>
            <w:r w:rsidRPr="00E93486">
              <w:rPr>
                <w:rFonts w:ascii="Arial" w:hAnsi="Arial"/>
                <w:sz w:val="12"/>
                <w:szCs w:val="12"/>
                <w:lang w:val="en-US"/>
              </w:rPr>
              <w:t>Sant Julià del Llor i Bonmatí</w:t>
            </w:r>
          </w:p>
        </w:tc>
        <w:tc>
          <w:tcPr>
            <w:tcW w:w="2268" w:type="dxa"/>
            <w:tcBorders>
              <w:right w:val="single" w:sz="4" w:space="0" w:color="auto"/>
            </w:tcBorders>
            <w:shd w:val="clear" w:color="auto" w:fill="D9D9D9"/>
            <w:hideMark/>
          </w:tcPr>
          <w:p w14:paraId="6AD2313F" w14:textId="77777777" w:rsidR="002A4DDF" w:rsidRPr="00E93486" w:rsidRDefault="002A4DDF" w:rsidP="009110ED">
            <w:pPr>
              <w:rPr>
                <w:rFonts w:ascii="Arial" w:hAnsi="Arial" w:cs="Arial"/>
                <w:sz w:val="12"/>
                <w:szCs w:val="12"/>
                <w:lang w:val="en-US"/>
              </w:rPr>
            </w:pPr>
          </w:p>
        </w:tc>
      </w:tr>
      <w:tr w:rsidR="002A4DDF" w:rsidRPr="00937C8B" w14:paraId="6EE64950" w14:textId="77777777" w:rsidTr="00935676">
        <w:trPr>
          <w:cantSplit/>
        </w:trPr>
        <w:tc>
          <w:tcPr>
            <w:tcW w:w="1696" w:type="dxa"/>
            <w:tcBorders>
              <w:left w:val="single" w:sz="4" w:space="0" w:color="auto"/>
            </w:tcBorders>
            <w:shd w:val="clear" w:color="auto" w:fill="auto"/>
          </w:tcPr>
          <w:p w14:paraId="60D72542" w14:textId="77777777" w:rsidR="002A4DDF" w:rsidRPr="00E93486" w:rsidRDefault="002A4DDF" w:rsidP="009110ED">
            <w:pPr>
              <w:rPr>
                <w:rFonts w:ascii="Arial" w:hAnsi="Arial" w:cs="Arial"/>
                <w:sz w:val="12"/>
                <w:szCs w:val="12"/>
                <w:lang w:val="en-US"/>
              </w:rPr>
            </w:pPr>
          </w:p>
        </w:tc>
        <w:tc>
          <w:tcPr>
            <w:tcW w:w="1843" w:type="dxa"/>
            <w:shd w:val="clear" w:color="auto" w:fill="auto"/>
          </w:tcPr>
          <w:p w14:paraId="38BD4AC4" w14:textId="77777777" w:rsidR="002A4DDF" w:rsidRPr="00E93486" w:rsidRDefault="002A4DDF" w:rsidP="009110ED">
            <w:pPr>
              <w:rPr>
                <w:rFonts w:ascii="Arial" w:hAnsi="Arial" w:cs="Arial"/>
                <w:sz w:val="12"/>
                <w:szCs w:val="12"/>
                <w:lang w:val="en-US"/>
              </w:rPr>
            </w:pPr>
          </w:p>
        </w:tc>
        <w:tc>
          <w:tcPr>
            <w:tcW w:w="2268" w:type="dxa"/>
            <w:shd w:val="clear" w:color="auto" w:fill="F2F2F2"/>
            <w:hideMark/>
          </w:tcPr>
          <w:p w14:paraId="50EA095C" w14:textId="77777777" w:rsidR="002A4DDF" w:rsidRPr="00937C8B" w:rsidRDefault="002A4DDF" w:rsidP="009110ED">
            <w:pPr>
              <w:rPr>
                <w:rFonts w:ascii="Arial" w:hAnsi="Arial" w:cs="Arial"/>
                <w:sz w:val="12"/>
                <w:szCs w:val="12"/>
              </w:rPr>
            </w:pPr>
            <w:r>
              <w:rPr>
                <w:rFonts w:ascii="Arial" w:hAnsi="Arial"/>
                <w:sz w:val="12"/>
                <w:szCs w:val="12"/>
              </w:rPr>
              <w:t>Sant Llorenç de la Muga</w:t>
            </w:r>
          </w:p>
        </w:tc>
        <w:tc>
          <w:tcPr>
            <w:tcW w:w="2268" w:type="dxa"/>
            <w:tcBorders>
              <w:right w:val="single" w:sz="4" w:space="0" w:color="auto"/>
            </w:tcBorders>
            <w:shd w:val="clear" w:color="auto" w:fill="D9D9D9"/>
            <w:hideMark/>
          </w:tcPr>
          <w:p w14:paraId="3D75E530" w14:textId="77777777" w:rsidR="002A4DDF" w:rsidRPr="00937C8B" w:rsidRDefault="002A4DDF" w:rsidP="009110ED">
            <w:pPr>
              <w:rPr>
                <w:rFonts w:ascii="Arial" w:hAnsi="Arial" w:cs="Arial"/>
                <w:sz w:val="12"/>
                <w:szCs w:val="12"/>
              </w:rPr>
            </w:pPr>
          </w:p>
        </w:tc>
      </w:tr>
      <w:tr w:rsidR="002A4DDF" w:rsidRPr="00937C8B" w14:paraId="51896074" w14:textId="77777777" w:rsidTr="00935676">
        <w:trPr>
          <w:cantSplit/>
        </w:trPr>
        <w:tc>
          <w:tcPr>
            <w:tcW w:w="1696" w:type="dxa"/>
            <w:tcBorders>
              <w:left w:val="single" w:sz="4" w:space="0" w:color="auto"/>
            </w:tcBorders>
            <w:shd w:val="clear" w:color="auto" w:fill="auto"/>
          </w:tcPr>
          <w:p w14:paraId="13976AF7" w14:textId="77777777" w:rsidR="002A4DDF" w:rsidRPr="00937C8B" w:rsidRDefault="002A4DDF" w:rsidP="009110ED">
            <w:pPr>
              <w:rPr>
                <w:rFonts w:ascii="Arial" w:hAnsi="Arial" w:cs="Arial"/>
                <w:sz w:val="12"/>
                <w:szCs w:val="12"/>
              </w:rPr>
            </w:pPr>
          </w:p>
        </w:tc>
        <w:tc>
          <w:tcPr>
            <w:tcW w:w="1843" w:type="dxa"/>
            <w:shd w:val="clear" w:color="auto" w:fill="auto"/>
          </w:tcPr>
          <w:p w14:paraId="32EF4499" w14:textId="77777777" w:rsidR="002A4DDF" w:rsidRPr="00937C8B" w:rsidRDefault="002A4DDF" w:rsidP="009110ED">
            <w:pPr>
              <w:rPr>
                <w:rFonts w:ascii="Arial" w:hAnsi="Arial" w:cs="Arial"/>
                <w:sz w:val="12"/>
                <w:szCs w:val="12"/>
              </w:rPr>
            </w:pPr>
          </w:p>
        </w:tc>
        <w:tc>
          <w:tcPr>
            <w:tcW w:w="2268" w:type="dxa"/>
            <w:shd w:val="clear" w:color="auto" w:fill="F2F2F2"/>
            <w:hideMark/>
          </w:tcPr>
          <w:p w14:paraId="20276445" w14:textId="77777777" w:rsidR="002A4DDF" w:rsidRPr="00937C8B" w:rsidRDefault="002A4DDF" w:rsidP="009110ED">
            <w:pPr>
              <w:rPr>
                <w:rFonts w:ascii="Arial" w:hAnsi="Arial" w:cs="Arial"/>
                <w:sz w:val="12"/>
                <w:szCs w:val="12"/>
              </w:rPr>
            </w:pPr>
            <w:r>
              <w:rPr>
                <w:rFonts w:ascii="Arial" w:hAnsi="Arial"/>
                <w:sz w:val="12"/>
                <w:szCs w:val="12"/>
              </w:rPr>
              <w:t>Sant Martí de Llémena</w:t>
            </w:r>
          </w:p>
        </w:tc>
        <w:tc>
          <w:tcPr>
            <w:tcW w:w="2268" w:type="dxa"/>
            <w:tcBorders>
              <w:right w:val="single" w:sz="4" w:space="0" w:color="auto"/>
            </w:tcBorders>
            <w:shd w:val="clear" w:color="auto" w:fill="D9D9D9"/>
            <w:hideMark/>
          </w:tcPr>
          <w:p w14:paraId="223E77DF" w14:textId="77777777" w:rsidR="002A4DDF" w:rsidRPr="00937C8B" w:rsidRDefault="002A4DDF" w:rsidP="009110ED">
            <w:pPr>
              <w:rPr>
                <w:rFonts w:ascii="Arial" w:hAnsi="Arial" w:cs="Arial"/>
                <w:sz w:val="12"/>
                <w:szCs w:val="12"/>
              </w:rPr>
            </w:pPr>
          </w:p>
        </w:tc>
      </w:tr>
      <w:tr w:rsidR="002A4DDF" w:rsidRPr="00937C8B" w14:paraId="1457E807" w14:textId="77777777" w:rsidTr="00935676">
        <w:trPr>
          <w:cantSplit/>
        </w:trPr>
        <w:tc>
          <w:tcPr>
            <w:tcW w:w="1696" w:type="dxa"/>
            <w:tcBorders>
              <w:left w:val="single" w:sz="4" w:space="0" w:color="auto"/>
            </w:tcBorders>
            <w:shd w:val="clear" w:color="auto" w:fill="auto"/>
          </w:tcPr>
          <w:p w14:paraId="1E46360F" w14:textId="77777777" w:rsidR="002A4DDF" w:rsidRPr="00937C8B" w:rsidRDefault="002A4DDF" w:rsidP="009110ED">
            <w:pPr>
              <w:rPr>
                <w:rFonts w:ascii="Arial" w:hAnsi="Arial" w:cs="Arial"/>
                <w:sz w:val="12"/>
                <w:szCs w:val="12"/>
              </w:rPr>
            </w:pPr>
          </w:p>
        </w:tc>
        <w:tc>
          <w:tcPr>
            <w:tcW w:w="1843" w:type="dxa"/>
            <w:shd w:val="clear" w:color="auto" w:fill="auto"/>
          </w:tcPr>
          <w:p w14:paraId="069490DB" w14:textId="77777777" w:rsidR="002A4DDF" w:rsidRPr="00937C8B" w:rsidRDefault="002A4DDF" w:rsidP="009110ED">
            <w:pPr>
              <w:rPr>
                <w:rFonts w:ascii="Arial" w:hAnsi="Arial" w:cs="Arial"/>
                <w:sz w:val="12"/>
                <w:szCs w:val="12"/>
              </w:rPr>
            </w:pPr>
          </w:p>
        </w:tc>
        <w:tc>
          <w:tcPr>
            <w:tcW w:w="2268" w:type="dxa"/>
            <w:shd w:val="clear" w:color="auto" w:fill="F2F2F2"/>
            <w:hideMark/>
          </w:tcPr>
          <w:p w14:paraId="0C85C5E7" w14:textId="77777777" w:rsidR="002A4DDF" w:rsidRPr="00937C8B" w:rsidRDefault="002A4DDF" w:rsidP="009110ED">
            <w:pPr>
              <w:rPr>
                <w:rFonts w:ascii="Arial" w:hAnsi="Arial" w:cs="Arial"/>
                <w:sz w:val="12"/>
                <w:szCs w:val="12"/>
              </w:rPr>
            </w:pPr>
            <w:r>
              <w:rPr>
                <w:rFonts w:ascii="Arial" w:hAnsi="Arial"/>
                <w:sz w:val="12"/>
                <w:szCs w:val="12"/>
              </w:rPr>
              <w:t>Sant Martí Vell</w:t>
            </w:r>
          </w:p>
        </w:tc>
        <w:tc>
          <w:tcPr>
            <w:tcW w:w="2268" w:type="dxa"/>
            <w:tcBorders>
              <w:right w:val="single" w:sz="4" w:space="0" w:color="auto"/>
            </w:tcBorders>
            <w:shd w:val="clear" w:color="auto" w:fill="D9D9D9"/>
            <w:hideMark/>
          </w:tcPr>
          <w:p w14:paraId="0305E612" w14:textId="77777777" w:rsidR="002A4DDF" w:rsidRPr="00937C8B" w:rsidRDefault="002A4DDF" w:rsidP="009110ED">
            <w:pPr>
              <w:rPr>
                <w:rFonts w:ascii="Arial" w:hAnsi="Arial" w:cs="Arial"/>
                <w:sz w:val="12"/>
                <w:szCs w:val="12"/>
              </w:rPr>
            </w:pPr>
          </w:p>
        </w:tc>
      </w:tr>
      <w:tr w:rsidR="002A4DDF" w:rsidRPr="00937C8B" w14:paraId="5D5109CC" w14:textId="77777777" w:rsidTr="00935676">
        <w:trPr>
          <w:cantSplit/>
        </w:trPr>
        <w:tc>
          <w:tcPr>
            <w:tcW w:w="1696" w:type="dxa"/>
            <w:tcBorders>
              <w:left w:val="single" w:sz="4" w:space="0" w:color="auto"/>
            </w:tcBorders>
            <w:shd w:val="clear" w:color="auto" w:fill="auto"/>
          </w:tcPr>
          <w:p w14:paraId="0B6D23D3" w14:textId="77777777" w:rsidR="002A4DDF" w:rsidRPr="00937C8B" w:rsidRDefault="002A4DDF" w:rsidP="009110ED">
            <w:pPr>
              <w:rPr>
                <w:rFonts w:ascii="Arial" w:hAnsi="Arial" w:cs="Arial"/>
                <w:sz w:val="12"/>
                <w:szCs w:val="12"/>
              </w:rPr>
            </w:pPr>
          </w:p>
        </w:tc>
        <w:tc>
          <w:tcPr>
            <w:tcW w:w="1843" w:type="dxa"/>
            <w:shd w:val="clear" w:color="auto" w:fill="auto"/>
          </w:tcPr>
          <w:p w14:paraId="75040082" w14:textId="77777777" w:rsidR="002A4DDF" w:rsidRPr="00937C8B" w:rsidRDefault="002A4DDF" w:rsidP="009110ED">
            <w:pPr>
              <w:rPr>
                <w:rFonts w:ascii="Arial" w:hAnsi="Arial" w:cs="Arial"/>
                <w:sz w:val="12"/>
                <w:szCs w:val="12"/>
              </w:rPr>
            </w:pPr>
          </w:p>
        </w:tc>
        <w:tc>
          <w:tcPr>
            <w:tcW w:w="2268" w:type="dxa"/>
            <w:shd w:val="clear" w:color="auto" w:fill="F2F2F2"/>
            <w:hideMark/>
          </w:tcPr>
          <w:p w14:paraId="35947789" w14:textId="77777777" w:rsidR="002A4DDF" w:rsidRPr="00937C8B" w:rsidRDefault="002A4DDF" w:rsidP="009110ED">
            <w:pPr>
              <w:rPr>
                <w:rFonts w:ascii="Arial" w:hAnsi="Arial" w:cs="Arial"/>
                <w:sz w:val="12"/>
                <w:szCs w:val="12"/>
              </w:rPr>
            </w:pPr>
            <w:r>
              <w:rPr>
                <w:rFonts w:ascii="Arial" w:hAnsi="Arial"/>
                <w:sz w:val="12"/>
                <w:szCs w:val="12"/>
              </w:rPr>
              <w:t>Sant Miquel de Campmajor</w:t>
            </w:r>
          </w:p>
        </w:tc>
        <w:tc>
          <w:tcPr>
            <w:tcW w:w="2268" w:type="dxa"/>
            <w:tcBorders>
              <w:right w:val="single" w:sz="4" w:space="0" w:color="auto"/>
            </w:tcBorders>
            <w:shd w:val="clear" w:color="auto" w:fill="D9D9D9"/>
            <w:hideMark/>
          </w:tcPr>
          <w:p w14:paraId="1BBA836F" w14:textId="77777777" w:rsidR="002A4DDF" w:rsidRPr="00937C8B" w:rsidRDefault="002A4DDF" w:rsidP="009110ED">
            <w:pPr>
              <w:rPr>
                <w:rFonts w:ascii="Arial" w:hAnsi="Arial" w:cs="Arial"/>
                <w:sz w:val="12"/>
                <w:szCs w:val="12"/>
              </w:rPr>
            </w:pPr>
          </w:p>
        </w:tc>
      </w:tr>
      <w:tr w:rsidR="002A4DDF" w:rsidRPr="00937C8B" w14:paraId="221ADF96" w14:textId="77777777" w:rsidTr="00935676">
        <w:trPr>
          <w:cantSplit/>
        </w:trPr>
        <w:tc>
          <w:tcPr>
            <w:tcW w:w="1696" w:type="dxa"/>
            <w:tcBorders>
              <w:left w:val="single" w:sz="4" w:space="0" w:color="auto"/>
            </w:tcBorders>
            <w:shd w:val="clear" w:color="auto" w:fill="auto"/>
          </w:tcPr>
          <w:p w14:paraId="08F1B419" w14:textId="77777777" w:rsidR="002A4DDF" w:rsidRPr="00937C8B" w:rsidRDefault="002A4DDF" w:rsidP="009110ED">
            <w:pPr>
              <w:rPr>
                <w:rFonts w:ascii="Arial" w:hAnsi="Arial" w:cs="Arial"/>
                <w:sz w:val="12"/>
                <w:szCs w:val="12"/>
              </w:rPr>
            </w:pPr>
          </w:p>
        </w:tc>
        <w:tc>
          <w:tcPr>
            <w:tcW w:w="1843" w:type="dxa"/>
            <w:shd w:val="clear" w:color="auto" w:fill="auto"/>
          </w:tcPr>
          <w:p w14:paraId="3B96E685" w14:textId="77777777" w:rsidR="002A4DDF" w:rsidRPr="00937C8B" w:rsidRDefault="002A4DDF" w:rsidP="009110ED">
            <w:pPr>
              <w:rPr>
                <w:rFonts w:ascii="Arial" w:hAnsi="Arial" w:cs="Arial"/>
                <w:sz w:val="12"/>
                <w:szCs w:val="12"/>
              </w:rPr>
            </w:pPr>
          </w:p>
        </w:tc>
        <w:tc>
          <w:tcPr>
            <w:tcW w:w="2268" w:type="dxa"/>
            <w:shd w:val="clear" w:color="auto" w:fill="F2F2F2"/>
            <w:hideMark/>
          </w:tcPr>
          <w:p w14:paraId="27164214" w14:textId="77777777" w:rsidR="002A4DDF" w:rsidRPr="00937C8B" w:rsidRDefault="002A4DDF" w:rsidP="009110ED">
            <w:pPr>
              <w:rPr>
                <w:rFonts w:ascii="Arial" w:hAnsi="Arial" w:cs="Arial"/>
                <w:sz w:val="12"/>
                <w:szCs w:val="12"/>
              </w:rPr>
            </w:pPr>
            <w:r>
              <w:rPr>
                <w:rFonts w:ascii="Arial" w:hAnsi="Arial"/>
                <w:sz w:val="12"/>
                <w:szCs w:val="12"/>
              </w:rPr>
              <w:t>Sant Pau de Segúries</w:t>
            </w:r>
          </w:p>
        </w:tc>
        <w:tc>
          <w:tcPr>
            <w:tcW w:w="2268" w:type="dxa"/>
            <w:tcBorders>
              <w:right w:val="single" w:sz="4" w:space="0" w:color="auto"/>
            </w:tcBorders>
            <w:shd w:val="clear" w:color="auto" w:fill="D9D9D9"/>
            <w:hideMark/>
          </w:tcPr>
          <w:p w14:paraId="1BF1B0DD" w14:textId="77777777" w:rsidR="002A4DDF" w:rsidRPr="00937C8B" w:rsidRDefault="002A4DDF" w:rsidP="009110ED">
            <w:pPr>
              <w:rPr>
                <w:rFonts w:ascii="Arial" w:hAnsi="Arial" w:cs="Arial"/>
                <w:sz w:val="12"/>
                <w:szCs w:val="12"/>
              </w:rPr>
            </w:pPr>
          </w:p>
        </w:tc>
      </w:tr>
      <w:tr w:rsidR="002A4DDF" w:rsidRPr="00937C8B" w14:paraId="4938F930" w14:textId="77777777" w:rsidTr="00935676">
        <w:trPr>
          <w:cantSplit/>
        </w:trPr>
        <w:tc>
          <w:tcPr>
            <w:tcW w:w="1696" w:type="dxa"/>
            <w:tcBorders>
              <w:left w:val="single" w:sz="4" w:space="0" w:color="auto"/>
            </w:tcBorders>
            <w:shd w:val="clear" w:color="auto" w:fill="auto"/>
          </w:tcPr>
          <w:p w14:paraId="7C003409" w14:textId="77777777" w:rsidR="002A4DDF" w:rsidRPr="00937C8B" w:rsidRDefault="002A4DDF" w:rsidP="009110ED">
            <w:pPr>
              <w:rPr>
                <w:rFonts w:ascii="Arial" w:hAnsi="Arial" w:cs="Arial"/>
                <w:sz w:val="12"/>
                <w:szCs w:val="12"/>
              </w:rPr>
            </w:pPr>
          </w:p>
        </w:tc>
        <w:tc>
          <w:tcPr>
            <w:tcW w:w="1843" w:type="dxa"/>
            <w:shd w:val="clear" w:color="auto" w:fill="auto"/>
          </w:tcPr>
          <w:p w14:paraId="2ED94677" w14:textId="77777777" w:rsidR="002A4DDF" w:rsidRPr="00937C8B" w:rsidRDefault="002A4DDF" w:rsidP="009110ED">
            <w:pPr>
              <w:rPr>
                <w:rFonts w:ascii="Arial" w:hAnsi="Arial" w:cs="Arial"/>
                <w:sz w:val="12"/>
                <w:szCs w:val="12"/>
              </w:rPr>
            </w:pPr>
          </w:p>
        </w:tc>
        <w:tc>
          <w:tcPr>
            <w:tcW w:w="2268" w:type="dxa"/>
            <w:shd w:val="clear" w:color="auto" w:fill="F2F2F2"/>
            <w:hideMark/>
          </w:tcPr>
          <w:p w14:paraId="60710D2F" w14:textId="77777777" w:rsidR="002A4DDF" w:rsidRPr="00937C8B" w:rsidRDefault="002A4DDF" w:rsidP="009110ED">
            <w:pPr>
              <w:rPr>
                <w:rFonts w:ascii="Arial" w:hAnsi="Arial" w:cs="Arial"/>
                <w:sz w:val="12"/>
                <w:szCs w:val="12"/>
              </w:rPr>
            </w:pPr>
            <w:r>
              <w:rPr>
                <w:rFonts w:ascii="Arial" w:hAnsi="Arial"/>
                <w:sz w:val="12"/>
                <w:szCs w:val="12"/>
              </w:rPr>
              <w:t>Sant Pere Pescador</w:t>
            </w:r>
          </w:p>
        </w:tc>
        <w:tc>
          <w:tcPr>
            <w:tcW w:w="2268" w:type="dxa"/>
            <w:tcBorders>
              <w:right w:val="single" w:sz="4" w:space="0" w:color="auto"/>
            </w:tcBorders>
            <w:shd w:val="clear" w:color="auto" w:fill="D9D9D9"/>
            <w:hideMark/>
          </w:tcPr>
          <w:p w14:paraId="6C13A8A0" w14:textId="77777777" w:rsidR="002A4DDF" w:rsidRPr="00937C8B" w:rsidRDefault="002A4DDF" w:rsidP="009110ED">
            <w:pPr>
              <w:rPr>
                <w:rFonts w:ascii="Arial" w:hAnsi="Arial" w:cs="Arial"/>
                <w:sz w:val="12"/>
                <w:szCs w:val="12"/>
              </w:rPr>
            </w:pPr>
          </w:p>
        </w:tc>
      </w:tr>
      <w:tr w:rsidR="002A4DDF" w:rsidRPr="00937C8B" w14:paraId="73D5C18D" w14:textId="77777777" w:rsidTr="00935676">
        <w:trPr>
          <w:cantSplit/>
        </w:trPr>
        <w:tc>
          <w:tcPr>
            <w:tcW w:w="1696" w:type="dxa"/>
            <w:tcBorders>
              <w:left w:val="single" w:sz="4" w:space="0" w:color="auto"/>
            </w:tcBorders>
            <w:shd w:val="clear" w:color="auto" w:fill="auto"/>
          </w:tcPr>
          <w:p w14:paraId="29BC720B" w14:textId="77777777" w:rsidR="002A4DDF" w:rsidRPr="00937C8B" w:rsidRDefault="002A4DDF" w:rsidP="009110ED">
            <w:pPr>
              <w:rPr>
                <w:rFonts w:ascii="Arial" w:hAnsi="Arial" w:cs="Arial"/>
                <w:sz w:val="12"/>
                <w:szCs w:val="12"/>
              </w:rPr>
            </w:pPr>
          </w:p>
        </w:tc>
        <w:tc>
          <w:tcPr>
            <w:tcW w:w="1843" w:type="dxa"/>
            <w:shd w:val="clear" w:color="auto" w:fill="auto"/>
          </w:tcPr>
          <w:p w14:paraId="3D6FCE0A" w14:textId="77777777" w:rsidR="002A4DDF" w:rsidRPr="00937C8B" w:rsidRDefault="002A4DDF" w:rsidP="009110ED">
            <w:pPr>
              <w:rPr>
                <w:rFonts w:ascii="Arial" w:hAnsi="Arial" w:cs="Arial"/>
                <w:sz w:val="12"/>
                <w:szCs w:val="12"/>
              </w:rPr>
            </w:pPr>
          </w:p>
        </w:tc>
        <w:tc>
          <w:tcPr>
            <w:tcW w:w="2268" w:type="dxa"/>
            <w:shd w:val="clear" w:color="auto" w:fill="F2F2F2"/>
            <w:hideMark/>
          </w:tcPr>
          <w:p w14:paraId="05401866" w14:textId="77777777" w:rsidR="002A4DDF" w:rsidRPr="00937C8B" w:rsidRDefault="002A4DDF" w:rsidP="009110ED">
            <w:pPr>
              <w:rPr>
                <w:rFonts w:ascii="Arial" w:hAnsi="Arial" w:cs="Arial"/>
                <w:sz w:val="12"/>
                <w:szCs w:val="12"/>
              </w:rPr>
            </w:pPr>
            <w:r>
              <w:rPr>
                <w:rFonts w:ascii="Arial" w:hAnsi="Arial"/>
                <w:sz w:val="12"/>
                <w:szCs w:val="12"/>
              </w:rPr>
              <w:t>Santa Pau</w:t>
            </w:r>
          </w:p>
        </w:tc>
        <w:tc>
          <w:tcPr>
            <w:tcW w:w="2268" w:type="dxa"/>
            <w:tcBorders>
              <w:right w:val="single" w:sz="4" w:space="0" w:color="auto"/>
            </w:tcBorders>
            <w:shd w:val="clear" w:color="auto" w:fill="D9D9D9"/>
            <w:hideMark/>
          </w:tcPr>
          <w:p w14:paraId="06F4AE77" w14:textId="77777777" w:rsidR="002A4DDF" w:rsidRPr="00937C8B" w:rsidRDefault="002A4DDF" w:rsidP="009110ED">
            <w:pPr>
              <w:rPr>
                <w:rFonts w:ascii="Arial" w:hAnsi="Arial" w:cs="Arial"/>
                <w:sz w:val="12"/>
                <w:szCs w:val="12"/>
              </w:rPr>
            </w:pPr>
          </w:p>
        </w:tc>
      </w:tr>
      <w:tr w:rsidR="002A4DDF" w:rsidRPr="00937C8B" w14:paraId="657E5D04" w14:textId="77777777" w:rsidTr="00935676">
        <w:trPr>
          <w:cantSplit/>
        </w:trPr>
        <w:tc>
          <w:tcPr>
            <w:tcW w:w="1696" w:type="dxa"/>
            <w:tcBorders>
              <w:left w:val="single" w:sz="4" w:space="0" w:color="auto"/>
            </w:tcBorders>
            <w:shd w:val="clear" w:color="auto" w:fill="auto"/>
          </w:tcPr>
          <w:p w14:paraId="6A6F3282" w14:textId="77777777" w:rsidR="002A4DDF" w:rsidRPr="00937C8B" w:rsidRDefault="002A4DDF" w:rsidP="009110ED">
            <w:pPr>
              <w:rPr>
                <w:rFonts w:ascii="Arial" w:hAnsi="Arial" w:cs="Arial"/>
                <w:sz w:val="12"/>
                <w:szCs w:val="12"/>
              </w:rPr>
            </w:pPr>
          </w:p>
        </w:tc>
        <w:tc>
          <w:tcPr>
            <w:tcW w:w="1843" w:type="dxa"/>
            <w:shd w:val="clear" w:color="auto" w:fill="auto"/>
          </w:tcPr>
          <w:p w14:paraId="46F1A1D5" w14:textId="77777777" w:rsidR="002A4DDF" w:rsidRPr="00937C8B" w:rsidRDefault="002A4DDF" w:rsidP="009110ED">
            <w:pPr>
              <w:rPr>
                <w:rFonts w:ascii="Arial" w:hAnsi="Arial" w:cs="Arial"/>
                <w:sz w:val="12"/>
                <w:szCs w:val="12"/>
              </w:rPr>
            </w:pPr>
          </w:p>
        </w:tc>
        <w:tc>
          <w:tcPr>
            <w:tcW w:w="2268" w:type="dxa"/>
            <w:shd w:val="clear" w:color="auto" w:fill="F2F2F2"/>
            <w:hideMark/>
          </w:tcPr>
          <w:p w14:paraId="3EDA44D7" w14:textId="77777777" w:rsidR="002A4DDF" w:rsidRPr="00937C8B" w:rsidRDefault="002A4DDF" w:rsidP="009110ED">
            <w:pPr>
              <w:rPr>
                <w:rFonts w:ascii="Arial" w:hAnsi="Arial" w:cs="Arial"/>
                <w:sz w:val="12"/>
                <w:szCs w:val="12"/>
              </w:rPr>
            </w:pPr>
            <w:r>
              <w:rPr>
                <w:rFonts w:ascii="Arial" w:hAnsi="Arial"/>
                <w:sz w:val="12"/>
                <w:szCs w:val="12"/>
              </w:rPr>
              <w:t>Sarrià de Ter</w:t>
            </w:r>
          </w:p>
        </w:tc>
        <w:tc>
          <w:tcPr>
            <w:tcW w:w="2268" w:type="dxa"/>
            <w:tcBorders>
              <w:right w:val="single" w:sz="4" w:space="0" w:color="auto"/>
            </w:tcBorders>
            <w:shd w:val="clear" w:color="auto" w:fill="D9D9D9"/>
            <w:hideMark/>
          </w:tcPr>
          <w:p w14:paraId="568FCB7D" w14:textId="77777777" w:rsidR="002A4DDF" w:rsidRPr="00937C8B" w:rsidRDefault="002A4DDF" w:rsidP="009110ED">
            <w:pPr>
              <w:rPr>
                <w:rFonts w:ascii="Arial" w:hAnsi="Arial" w:cs="Arial"/>
                <w:sz w:val="12"/>
                <w:szCs w:val="12"/>
              </w:rPr>
            </w:pPr>
          </w:p>
        </w:tc>
      </w:tr>
      <w:tr w:rsidR="002A4DDF" w:rsidRPr="00937C8B" w14:paraId="336B884F" w14:textId="77777777" w:rsidTr="00935676">
        <w:trPr>
          <w:cantSplit/>
        </w:trPr>
        <w:tc>
          <w:tcPr>
            <w:tcW w:w="1696" w:type="dxa"/>
            <w:tcBorders>
              <w:left w:val="single" w:sz="4" w:space="0" w:color="auto"/>
            </w:tcBorders>
            <w:shd w:val="clear" w:color="auto" w:fill="auto"/>
          </w:tcPr>
          <w:p w14:paraId="3BC33DCB" w14:textId="77777777" w:rsidR="002A4DDF" w:rsidRPr="00937C8B" w:rsidRDefault="002A4DDF" w:rsidP="009110ED">
            <w:pPr>
              <w:rPr>
                <w:rFonts w:ascii="Arial" w:hAnsi="Arial" w:cs="Arial"/>
                <w:sz w:val="12"/>
                <w:szCs w:val="12"/>
              </w:rPr>
            </w:pPr>
          </w:p>
        </w:tc>
        <w:tc>
          <w:tcPr>
            <w:tcW w:w="1843" w:type="dxa"/>
            <w:shd w:val="clear" w:color="auto" w:fill="auto"/>
          </w:tcPr>
          <w:p w14:paraId="4C265855" w14:textId="77777777" w:rsidR="002A4DDF" w:rsidRPr="00937C8B" w:rsidRDefault="002A4DDF" w:rsidP="009110ED">
            <w:pPr>
              <w:rPr>
                <w:rFonts w:ascii="Arial" w:hAnsi="Arial" w:cs="Arial"/>
                <w:sz w:val="12"/>
                <w:szCs w:val="12"/>
              </w:rPr>
            </w:pPr>
          </w:p>
        </w:tc>
        <w:tc>
          <w:tcPr>
            <w:tcW w:w="2268" w:type="dxa"/>
            <w:shd w:val="clear" w:color="auto" w:fill="F2F2F2"/>
            <w:hideMark/>
          </w:tcPr>
          <w:p w14:paraId="76178892" w14:textId="77777777" w:rsidR="002A4DDF" w:rsidRPr="00937C8B" w:rsidRDefault="002A4DDF" w:rsidP="009110ED">
            <w:pPr>
              <w:rPr>
                <w:rFonts w:ascii="Arial" w:hAnsi="Arial" w:cs="Arial"/>
                <w:sz w:val="12"/>
                <w:szCs w:val="12"/>
              </w:rPr>
            </w:pPr>
            <w:r>
              <w:rPr>
                <w:rFonts w:ascii="Arial" w:hAnsi="Arial"/>
                <w:sz w:val="12"/>
                <w:szCs w:val="12"/>
              </w:rPr>
              <w:t>Serinyà</w:t>
            </w:r>
          </w:p>
        </w:tc>
        <w:tc>
          <w:tcPr>
            <w:tcW w:w="2268" w:type="dxa"/>
            <w:tcBorders>
              <w:right w:val="single" w:sz="4" w:space="0" w:color="auto"/>
            </w:tcBorders>
            <w:shd w:val="clear" w:color="auto" w:fill="D9D9D9"/>
            <w:hideMark/>
          </w:tcPr>
          <w:p w14:paraId="7FDF451E" w14:textId="77777777" w:rsidR="002A4DDF" w:rsidRPr="00937C8B" w:rsidRDefault="002A4DDF" w:rsidP="009110ED">
            <w:pPr>
              <w:rPr>
                <w:rFonts w:ascii="Arial" w:hAnsi="Arial" w:cs="Arial"/>
                <w:sz w:val="12"/>
                <w:szCs w:val="12"/>
              </w:rPr>
            </w:pPr>
          </w:p>
        </w:tc>
      </w:tr>
      <w:tr w:rsidR="002A4DDF" w:rsidRPr="00937C8B" w14:paraId="1E851E2D" w14:textId="77777777" w:rsidTr="00935676">
        <w:trPr>
          <w:cantSplit/>
        </w:trPr>
        <w:tc>
          <w:tcPr>
            <w:tcW w:w="1696" w:type="dxa"/>
            <w:tcBorders>
              <w:left w:val="single" w:sz="4" w:space="0" w:color="auto"/>
            </w:tcBorders>
            <w:shd w:val="clear" w:color="auto" w:fill="auto"/>
          </w:tcPr>
          <w:p w14:paraId="3F5914A4" w14:textId="77777777" w:rsidR="002A4DDF" w:rsidRPr="00937C8B" w:rsidRDefault="002A4DDF" w:rsidP="009110ED">
            <w:pPr>
              <w:rPr>
                <w:rFonts w:ascii="Arial" w:hAnsi="Arial" w:cs="Arial"/>
                <w:sz w:val="12"/>
                <w:szCs w:val="12"/>
              </w:rPr>
            </w:pPr>
          </w:p>
        </w:tc>
        <w:tc>
          <w:tcPr>
            <w:tcW w:w="1843" w:type="dxa"/>
            <w:shd w:val="clear" w:color="auto" w:fill="auto"/>
          </w:tcPr>
          <w:p w14:paraId="5779BE87" w14:textId="77777777" w:rsidR="002A4DDF" w:rsidRPr="00937C8B" w:rsidRDefault="002A4DDF" w:rsidP="009110ED">
            <w:pPr>
              <w:rPr>
                <w:rFonts w:ascii="Arial" w:hAnsi="Arial" w:cs="Arial"/>
                <w:sz w:val="12"/>
                <w:szCs w:val="12"/>
              </w:rPr>
            </w:pPr>
          </w:p>
        </w:tc>
        <w:tc>
          <w:tcPr>
            <w:tcW w:w="2268" w:type="dxa"/>
            <w:shd w:val="clear" w:color="auto" w:fill="F2F2F2"/>
            <w:hideMark/>
          </w:tcPr>
          <w:p w14:paraId="748F30E8" w14:textId="77777777" w:rsidR="002A4DDF" w:rsidRPr="00937C8B" w:rsidRDefault="002A4DDF" w:rsidP="009110ED">
            <w:pPr>
              <w:rPr>
                <w:rFonts w:ascii="Arial" w:hAnsi="Arial" w:cs="Arial"/>
                <w:sz w:val="12"/>
                <w:szCs w:val="12"/>
              </w:rPr>
            </w:pPr>
            <w:r>
              <w:rPr>
                <w:rFonts w:ascii="Arial" w:hAnsi="Arial"/>
                <w:sz w:val="12"/>
                <w:szCs w:val="12"/>
              </w:rPr>
              <w:t>Siurana</w:t>
            </w:r>
          </w:p>
        </w:tc>
        <w:tc>
          <w:tcPr>
            <w:tcW w:w="2268" w:type="dxa"/>
            <w:tcBorders>
              <w:right w:val="single" w:sz="4" w:space="0" w:color="auto"/>
            </w:tcBorders>
            <w:shd w:val="clear" w:color="auto" w:fill="D9D9D9"/>
            <w:hideMark/>
          </w:tcPr>
          <w:p w14:paraId="34543BC1" w14:textId="77777777" w:rsidR="002A4DDF" w:rsidRPr="00937C8B" w:rsidRDefault="002A4DDF" w:rsidP="009110ED">
            <w:pPr>
              <w:rPr>
                <w:rFonts w:ascii="Arial" w:hAnsi="Arial" w:cs="Arial"/>
                <w:sz w:val="12"/>
                <w:szCs w:val="12"/>
              </w:rPr>
            </w:pPr>
          </w:p>
        </w:tc>
      </w:tr>
      <w:tr w:rsidR="002A4DDF" w:rsidRPr="00937C8B" w14:paraId="58430119" w14:textId="77777777" w:rsidTr="00935676">
        <w:trPr>
          <w:cantSplit/>
        </w:trPr>
        <w:tc>
          <w:tcPr>
            <w:tcW w:w="1696" w:type="dxa"/>
            <w:tcBorders>
              <w:left w:val="single" w:sz="4" w:space="0" w:color="auto"/>
            </w:tcBorders>
            <w:shd w:val="clear" w:color="auto" w:fill="auto"/>
          </w:tcPr>
          <w:p w14:paraId="73E36DA0" w14:textId="77777777" w:rsidR="002A4DDF" w:rsidRPr="00937C8B" w:rsidRDefault="002A4DDF" w:rsidP="009110ED">
            <w:pPr>
              <w:rPr>
                <w:rFonts w:ascii="Arial" w:hAnsi="Arial" w:cs="Arial"/>
                <w:sz w:val="12"/>
                <w:szCs w:val="12"/>
              </w:rPr>
            </w:pPr>
          </w:p>
        </w:tc>
        <w:tc>
          <w:tcPr>
            <w:tcW w:w="1843" w:type="dxa"/>
            <w:shd w:val="clear" w:color="auto" w:fill="auto"/>
          </w:tcPr>
          <w:p w14:paraId="76F185B0" w14:textId="77777777" w:rsidR="002A4DDF" w:rsidRPr="00937C8B" w:rsidRDefault="002A4DDF" w:rsidP="009110ED">
            <w:pPr>
              <w:rPr>
                <w:rFonts w:ascii="Arial" w:hAnsi="Arial" w:cs="Arial"/>
                <w:sz w:val="12"/>
                <w:szCs w:val="12"/>
              </w:rPr>
            </w:pPr>
          </w:p>
        </w:tc>
        <w:tc>
          <w:tcPr>
            <w:tcW w:w="2268" w:type="dxa"/>
            <w:shd w:val="clear" w:color="auto" w:fill="F2F2F2"/>
            <w:hideMark/>
          </w:tcPr>
          <w:p w14:paraId="2AA2A6CD" w14:textId="77777777" w:rsidR="002A4DDF" w:rsidRPr="00937C8B" w:rsidRDefault="002A4DDF" w:rsidP="009110ED">
            <w:pPr>
              <w:rPr>
                <w:rFonts w:ascii="Arial" w:hAnsi="Arial" w:cs="Arial"/>
                <w:sz w:val="12"/>
                <w:szCs w:val="12"/>
              </w:rPr>
            </w:pPr>
            <w:r>
              <w:rPr>
                <w:rFonts w:ascii="Arial" w:hAnsi="Arial"/>
                <w:sz w:val="12"/>
                <w:szCs w:val="12"/>
              </w:rPr>
              <w:t>Torrent</w:t>
            </w:r>
          </w:p>
        </w:tc>
        <w:tc>
          <w:tcPr>
            <w:tcW w:w="2268" w:type="dxa"/>
            <w:tcBorders>
              <w:right w:val="single" w:sz="4" w:space="0" w:color="auto"/>
            </w:tcBorders>
            <w:shd w:val="clear" w:color="auto" w:fill="D9D9D9"/>
            <w:hideMark/>
          </w:tcPr>
          <w:p w14:paraId="3CE5D5AC" w14:textId="77777777" w:rsidR="002A4DDF" w:rsidRPr="00937C8B" w:rsidRDefault="002A4DDF" w:rsidP="009110ED">
            <w:pPr>
              <w:rPr>
                <w:rFonts w:ascii="Arial" w:hAnsi="Arial" w:cs="Arial"/>
                <w:sz w:val="12"/>
                <w:szCs w:val="12"/>
              </w:rPr>
            </w:pPr>
          </w:p>
        </w:tc>
      </w:tr>
      <w:tr w:rsidR="002A4DDF" w:rsidRPr="00937C8B" w14:paraId="689739FE" w14:textId="77777777" w:rsidTr="00935676">
        <w:trPr>
          <w:cantSplit/>
        </w:trPr>
        <w:tc>
          <w:tcPr>
            <w:tcW w:w="1696" w:type="dxa"/>
            <w:tcBorders>
              <w:left w:val="single" w:sz="4" w:space="0" w:color="auto"/>
            </w:tcBorders>
            <w:shd w:val="clear" w:color="auto" w:fill="auto"/>
          </w:tcPr>
          <w:p w14:paraId="1D8DFF37" w14:textId="77777777" w:rsidR="002A4DDF" w:rsidRPr="00937C8B" w:rsidRDefault="002A4DDF" w:rsidP="009110ED">
            <w:pPr>
              <w:rPr>
                <w:rFonts w:ascii="Arial" w:hAnsi="Arial" w:cs="Arial"/>
                <w:sz w:val="12"/>
                <w:szCs w:val="12"/>
              </w:rPr>
            </w:pPr>
          </w:p>
        </w:tc>
        <w:tc>
          <w:tcPr>
            <w:tcW w:w="1843" w:type="dxa"/>
            <w:shd w:val="clear" w:color="auto" w:fill="auto"/>
          </w:tcPr>
          <w:p w14:paraId="6B84A05E" w14:textId="77777777" w:rsidR="002A4DDF" w:rsidRPr="00937C8B" w:rsidRDefault="002A4DDF" w:rsidP="009110ED">
            <w:pPr>
              <w:rPr>
                <w:rFonts w:ascii="Arial" w:hAnsi="Arial" w:cs="Arial"/>
                <w:sz w:val="12"/>
                <w:szCs w:val="12"/>
              </w:rPr>
            </w:pPr>
          </w:p>
        </w:tc>
        <w:tc>
          <w:tcPr>
            <w:tcW w:w="2268" w:type="dxa"/>
            <w:shd w:val="clear" w:color="auto" w:fill="F2F2F2"/>
            <w:hideMark/>
          </w:tcPr>
          <w:p w14:paraId="5A09299D" w14:textId="77777777" w:rsidR="002A4DDF" w:rsidRPr="00937C8B" w:rsidRDefault="002A4DDF" w:rsidP="009110ED">
            <w:pPr>
              <w:rPr>
                <w:rFonts w:ascii="Arial" w:hAnsi="Arial" w:cs="Arial"/>
                <w:sz w:val="12"/>
                <w:szCs w:val="12"/>
              </w:rPr>
            </w:pPr>
            <w:r>
              <w:rPr>
                <w:rFonts w:ascii="Arial" w:hAnsi="Arial"/>
                <w:sz w:val="12"/>
                <w:szCs w:val="12"/>
              </w:rPr>
              <w:t>Torroella de Fluvià</w:t>
            </w:r>
          </w:p>
        </w:tc>
        <w:tc>
          <w:tcPr>
            <w:tcW w:w="2268" w:type="dxa"/>
            <w:tcBorders>
              <w:right w:val="single" w:sz="4" w:space="0" w:color="auto"/>
            </w:tcBorders>
            <w:shd w:val="clear" w:color="auto" w:fill="D9D9D9"/>
            <w:hideMark/>
          </w:tcPr>
          <w:p w14:paraId="2C8E426E" w14:textId="77777777" w:rsidR="002A4DDF" w:rsidRPr="00937C8B" w:rsidRDefault="002A4DDF" w:rsidP="009110ED">
            <w:pPr>
              <w:rPr>
                <w:rFonts w:ascii="Arial" w:hAnsi="Arial" w:cs="Arial"/>
                <w:sz w:val="12"/>
                <w:szCs w:val="12"/>
              </w:rPr>
            </w:pPr>
          </w:p>
        </w:tc>
      </w:tr>
      <w:tr w:rsidR="002A4DDF" w:rsidRPr="00937C8B" w14:paraId="4E235404" w14:textId="77777777" w:rsidTr="00935676">
        <w:trPr>
          <w:cantSplit/>
        </w:trPr>
        <w:tc>
          <w:tcPr>
            <w:tcW w:w="1696" w:type="dxa"/>
            <w:tcBorders>
              <w:left w:val="single" w:sz="4" w:space="0" w:color="auto"/>
            </w:tcBorders>
            <w:shd w:val="clear" w:color="auto" w:fill="auto"/>
          </w:tcPr>
          <w:p w14:paraId="0C98C2C8" w14:textId="77777777" w:rsidR="002A4DDF" w:rsidRPr="00937C8B" w:rsidRDefault="002A4DDF" w:rsidP="009110ED">
            <w:pPr>
              <w:rPr>
                <w:rFonts w:ascii="Arial" w:hAnsi="Arial" w:cs="Arial"/>
                <w:sz w:val="12"/>
                <w:szCs w:val="12"/>
              </w:rPr>
            </w:pPr>
          </w:p>
        </w:tc>
        <w:tc>
          <w:tcPr>
            <w:tcW w:w="1843" w:type="dxa"/>
            <w:shd w:val="clear" w:color="auto" w:fill="auto"/>
          </w:tcPr>
          <w:p w14:paraId="5B752FA6" w14:textId="77777777" w:rsidR="002A4DDF" w:rsidRPr="00937C8B" w:rsidRDefault="002A4DDF" w:rsidP="009110ED">
            <w:pPr>
              <w:rPr>
                <w:rFonts w:ascii="Arial" w:hAnsi="Arial" w:cs="Arial"/>
                <w:sz w:val="12"/>
                <w:szCs w:val="12"/>
              </w:rPr>
            </w:pPr>
          </w:p>
        </w:tc>
        <w:tc>
          <w:tcPr>
            <w:tcW w:w="2268" w:type="dxa"/>
            <w:shd w:val="clear" w:color="auto" w:fill="F2F2F2"/>
            <w:hideMark/>
          </w:tcPr>
          <w:p w14:paraId="39B1C79A" w14:textId="77777777" w:rsidR="002A4DDF" w:rsidRPr="00937C8B" w:rsidRDefault="002A4DDF" w:rsidP="009110ED">
            <w:pPr>
              <w:rPr>
                <w:rFonts w:ascii="Arial" w:hAnsi="Arial" w:cs="Arial"/>
                <w:sz w:val="12"/>
                <w:szCs w:val="12"/>
              </w:rPr>
            </w:pPr>
            <w:r>
              <w:rPr>
                <w:rFonts w:ascii="Arial" w:hAnsi="Arial"/>
                <w:sz w:val="12"/>
                <w:szCs w:val="12"/>
              </w:rPr>
              <w:t>Tortellà</w:t>
            </w:r>
          </w:p>
        </w:tc>
        <w:tc>
          <w:tcPr>
            <w:tcW w:w="2268" w:type="dxa"/>
            <w:tcBorders>
              <w:right w:val="single" w:sz="4" w:space="0" w:color="auto"/>
            </w:tcBorders>
            <w:shd w:val="clear" w:color="auto" w:fill="D9D9D9"/>
            <w:hideMark/>
          </w:tcPr>
          <w:p w14:paraId="74431FAE" w14:textId="77777777" w:rsidR="002A4DDF" w:rsidRPr="00937C8B" w:rsidRDefault="002A4DDF" w:rsidP="009110ED">
            <w:pPr>
              <w:rPr>
                <w:rFonts w:ascii="Arial" w:hAnsi="Arial" w:cs="Arial"/>
                <w:sz w:val="12"/>
                <w:szCs w:val="12"/>
              </w:rPr>
            </w:pPr>
          </w:p>
        </w:tc>
      </w:tr>
      <w:tr w:rsidR="002A4DDF" w:rsidRPr="00937C8B" w14:paraId="476D4780" w14:textId="77777777" w:rsidTr="00935676">
        <w:trPr>
          <w:cantSplit/>
        </w:trPr>
        <w:tc>
          <w:tcPr>
            <w:tcW w:w="1696" w:type="dxa"/>
            <w:tcBorders>
              <w:left w:val="single" w:sz="4" w:space="0" w:color="auto"/>
            </w:tcBorders>
            <w:shd w:val="clear" w:color="auto" w:fill="auto"/>
          </w:tcPr>
          <w:p w14:paraId="3C5AF665" w14:textId="77777777" w:rsidR="002A4DDF" w:rsidRPr="00937C8B" w:rsidRDefault="002A4DDF" w:rsidP="009110ED">
            <w:pPr>
              <w:rPr>
                <w:rFonts w:ascii="Arial" w:hAnsi="Arial" w:cs="Arial"/>
                <w:sz w:val="12"/>
                <w:szCs w:val="12"/>
              </w:rPr>
            </w:pPr>
          </w:p>
        </w:tc>
        <w:tc>
          <w:tcPr>
            <w:tcW w:w="1843" w:type="dxa"/>
            <w:shd w:val="clear" w:color="auto" w:fill="auto"/>
          </w:tcPr>
          <w:p w14:paraId="08AB4B79" w14:textId="77777777" w:rsidR="002A4DDF" w:rsidRPr="00937C8B" w:rsidRDefault="002A4DDF" w:rsidP="009110ED">
            <w:pPr>
              <w:rPr>
                <w:rFonts w:ascii="Arial" w:hAnsi="Arial" w:cs="Arial"/>
                <w:sz w:val="12"/>
                <w:szCs w:val="12"/>
              </w:rPr>
            </w:pPr>
          </w:p>
        </w:tc>
        <w:tc>
          <w:tcPr>
            <w:tcW w:w="2268" w:type="dxa"/>
            <w:shd w:val="clear" w:color="auto" w:fill="F2F2F2"/>
            <w:hideMark/>
          </w:tcPr>
          <w:p w14:paraId="2E7B1F13" w14:textId="77777777" w:rsidR="002A4DDF" w:rsidRPr="00937C8B" w:rsidRDefault="002A4DDF" w:rsidP="009110ED">
            <w:pPr>
              <w:rPr>
                <w:rFonts w:ascii="Arial" w:hAnsi="Arial" w:cs="Arial"/>
                <w:sz w:val="12"/>
                <w:szCs w:val="12"/>
              </w:rPr>
            </w:pPr>
            <w:r>
              <w:rPr>
                <w:rFonts w:ascii="Arial" w:hAnsi="Arial"/>
                <w:sz w:val="12"/>
                <w:szCs w:val="12"/>
              </w:rPr>
              <w:t>Ullastret</w:t>
            </w:r>
          </w:p>
        </w:tc>
        <w:tc>
          <w:tcPr>
            <w:tcW w:w="2268" w:type="dxa"/>
            <w:tcBorders>
              <w:right w:val="single" w:sz="4" w:space="0" w:color="auto"/>
            </w:tcBorders>
            <w:shd w:val="clear" w:color="auto" w:fill="D9D9D9"/>
            <w:hideMark/>
          </w:tcPr>
          <w:p w14:paraId="4463E5A2" w14:textId="77777777" w:rsidR="002A4DDF" w:rsidRPr="00937C8B" w:rsidRDefault="002A4DDF" w:rsidP="009110ED">
            <w:pPr>
              <w:rPr>
                <w:rFonts w:ascii="Arial" w:hAnsi="Arial" w:cs="Arial"/>
                <w:sz w:val="12"/>
                <w:szCs w:val="12"/>
              </w:rPr>
            </w:pPr>
          </w:p>
        </w:tc>
      </w:tr>
      <w:tr w:rsidR="002A4DDF" w:rsidRPr="00937C8B" w14:paraId="46890698" w14:textId="77777777" w:rsidTr="00935676">
        <w:trPr>
          <w:cantSplit/>
        </w:trPr>
        <w:tc>
          <w:tcPr>
            <w:tcW w:w="1696" w:type="dxa"/>
            <w:tcBorders>
              <w:left w:val="single" w:sz="4" w:space="0" w:color="auto"/>
            </w:tcBorders>
            <w:shd w:val="clear" w:color="auto" w:fill="auto"/>
          </w:tcPr>
          <w:p w14:paraId="465CD690" w14:textId="77777777" w:rsidR="002A4DDF" w:rsidRPr="00937C8B" w:rsidRDefault="002A4DDF" w:rsidP="009110ED">
            <w:pPr>
              <w:rPr>
                <w:rFonts w:ascii="Arial" w:hAnsi="Arial" w:cs="Arial"/>
                <w:sz w:val="12"/>
                <w:szCs w:val="12"/>
              </w:rPr>
            </w:pPr>
          </w:p>
        </w:tc>
        <w:tc>
          <w:tcPr>
            <w:tcW w:w="1843" w:type="dxa"/>
            <w:shd w:val="clear" w:color="auto" w:fill="auto"/>
          </w:tcPr>
          <w:p w14:paraId="72A01CB7" w14:textId="77777777" w:rsidR="002A4DDF" w:rsidRPr="00937C8B" w:rsidRDefault="002A4DDF" w:rsidP="009110ED">
            <w:pPr>
              <w:rPr>
                <w:rFonts w:ascii="Arial" w:hAnsi="Arial" w:cs="Arial"/>
                <w:sz w:val="12"/>
                <w:szCs w:val="12"/>
              </w:rPr>
            </w:pPr>
          </w:p>
        </w:tc>
        <w:tc>
          <w:tcPr>
            <w:tcW w:w="2268" w:type="dxa"/>
            <w:shd w:val="clear" w:color="auto" w:fill="F2F2F2"/>
            <w:hideMark/>
          </w:tcPr>
          <w:p w14:paraId="037A807C" w14:textId="77777777" w:rsidR="002A4DDF" w:rsidRPr="00937C8B" w:rsidRDefault="002A4DDF" w:rsidP="009110ED">
            <w:pPr>
              <w:rPr>
                <w:rFonts w:ascii="Arial" w:hAnsi="Arial" w:cs="Arial"/>
                <w:sz w:val="12"/>
                <w:szCs w:val="12"/>
              </w:rPr>
            </w:pPr>
            <w:r>
              <w:rPr>
                <w:rFonts w:ascii="Arial" w:hAnsi="Arial"/>
                <w:sz w:val="12"/>
                <w:szCs w:val="12"/>
              </w:rPr>
              <w:t>Vallfogona de Ripollès</w:t>
            </w:r>
          </w:p>
        </w:tc>
        <w:tc>
          <w:tcPr>
            <w:tcW w:w="2268" w:type="dxa"/>
            <w:tcBorders>
              <w:right w:val="single" w:sz="4" w:space="0" w:color="auto"/>
            </w:tcBorders>
            <w:shd w:val="clear" w:color="auto" w:fill="D9D9D9"/>
            <w:hideMark/>
          </w:tcPr>
          <w:p w14:paraId="0D9FCD06" w14:textId="77777777" w:rsidR="002A4DDF" w:rsidRPr="00937C8B" w:rsidRDefault="002A4DDF" w:rsidP="009110ED">
            <w:pPr>
              <w:rPr>
                <w:rFonts w:ascii="Arial" w:hAnsi="Arial" w:cs="Arial"/>
                <w:sz w:val="12"/>
                <w:szCs w:val="12"/>
              </w:rPr>
            </w:pPr>
          </w:p>
        </w:tc>
      </w:tr>
      <w:tr w:rsidR="002A4DDF" w:rsidRPr="00937C8B" w14:paraId="21D586C0" w14:textId="77777777" w:rsidTr="00935676">
        <w:trPr>
          <w:cantSplit/>
        </w:trPr>
        <w:tc>
          <w:tcPr>
            <w:tcW w:w="1696" w:type="dxa"/>
            <w:tcBorders>
              <w:left w:val="single" w:sz="4" w:space="0" w:color="auto"/>
            </w:tcBorders>
            <w:shd w:val="clear" w:color="auto" w:fill="auto"/>
          </w:tcPr>
          <w:p w14:paraId="11CEBD87" w14:textId="77777777" w:rsidR="002A4DDF" w:rsidRPr="00937C8B" w:rsidRDefault="002A4DDF" w:rsidP="009110ED">
            <w:pPr>
              <w:rPr>
                <w:rFonts w:ascii="Arial" w:hAnsi="Arial" w:cs="Arial"/>
                <w:sz w:val="12"/>
                <w:szCs w:val="12"/>
              </w:rPr>
            </w:pPr>
          </w:p>
        </w:tc>
        <w:tc>
          <w:tcPr>
            <w:tcW w:w="1843" w:type="dxa"/>
            <w:shd w:val="clear" w:color="auto" w:fill="auto"/>
          </w:tcPr>
          <w:p w14:paraId="4349A262" w14:textId="77777777" w:rsidR="002A4DDF" w:rsidRPr="00937C8B" w:rsidRDefault="002A4DDF" w:rsidP="009110ED">
            <w:pPr>
              <w:rPr>
                <w:rFonts w:ascii="Arial" w:hAnsi="Arial" w:cs="Arial"/>
                <w:sz w:val="12"/>
                <w:szCs w:val="12"/>
              </w:rPr>
            </w:pPr>
          </w:p>
        </w:tc>
        <w:tc>
          <w:tcPr>
            <w:tcW w:w="2268" w:type="dxa"/>
            <w:shd w:val="clear" w:color="auto" w:fill="F2F2F2"/>
            <w:hideMark/>
          </w:tcPr>
          <w:p w14:paraId="7AE7683C" w14:textId="77777777" w:rsidR="002A4DDF" w:rsidRPr="00937C8B" w:rsidRDefault="002A4DDF" w:rsidP="009110ED">
            <w:pPr>
              <w:rPr>
                <w:rFonts w:ascii="Arial" w:hAnsi="Arial" w:cs="Arial"/>
                <w:sz w:val="12"/>
                <w:szCs w:val="12"/>
              </w:rPr>
            </w:pPr>
            <w:r>
              <w:rPr>
                <w:rFonts w:ascii="Arial" w:hAnsi="Arial"/>
                <w:sz w:val="12"/>
                <w:szCs w:val="12"/>
              </w:rPr>
              <w:t>Ventalló</w:t>
            </w:r>
          </w:p>
        </w:tc>
        <w:tc>
          <w:tcPr>
            <w:tcW w:w="2268" w:type="dxa"/>
            <w:tcBorders>
              <w:right w:val="single" w:sz="4" w:space="0" w:color="auto"/>
            </w:tcBorders>
            <w:shd w:val="clear" w:color="auto" w:fill="D9D9D9"/>
            <w:hideMark/>
          </w:tcPr>
          <w:p w14:paraId="1A96AF73" w14:textId="77777777" w:rsidR="002A4DDF" w:rsidRPr="00937C8B" w:rsidRDefault="002A4DDF" w:rsidP="009110ED">
            <w:pPr>
              <w:rPr>
                <w:rFonts w:ascii="Arial" w:hAnsi="Arial" w:cs="Arial"/>
                <w:sz w:val="12"/>
                <w:szCs w:val="12"/>
              </w:rPr>
            </w:pPr>
          </w:p>
        </w:tc>
      </w:tr>
      <w:tr w:rsidR="002A4DDF" w:rsidRPr="00937C8B" w14:paraId="7CD2F5A3" w14:textId="77777777" w:rsidTr="00935676">
        <w:trPr>
          <w:cantSplit/>
        </w:trPr>
        <w:tc>
          <w:tcPr>
            <w:tcW w:w="1696" w:type="dxa"/>
            <w:tcBorders>
              <w:left w:val="single" w:sz="4" w:space="0" w:color="auto"/>
            </w:tcBorders>
            <w:shd w:val="clear" w:color="auto" w:fill="auto"/>
          </w:tcPr>
          <w:p w14:paraId="179F4187" w14:textId="77777777" w:rsidR="002A4DDF" w:rsidRPr="00937C8B" w:rsidRDefault="002A4DDF" w:rsidP="009110ED">
            <w:pPr>
              <w:rPr>
                <w:rFonts w:ascii="Arial" w:hAnsi="Arial" w:cs="Arial"/>
                <w:sz w:val="12"/>
                <w:szCs w:val="12"/>
              </w:rPr>
            </w:pPr>
          </w:p>
        </w:tc>
        <w:tc>
          <w:tcPr>
            <w:tcW w:w="1843" w:type="dxa"/>
            <w:shd w:val="clear" w:color="auto" w:fill="auto"/>
          </w:tcPr>
          <w:p w14:paraId="53A1A059" w14:textId="77777777" w:rsidR="002A4DDF" w:rsidRPr="00937C8B" w:rsidRDefault="002A4DDF" w:rsidP="009110ED">
            <w:pPr>
              <w:rPr>
                <w:rFonts w:ascii="Arial" w:hAnsi="Arial" w:cs="Arial"/>
                <w:sz w:val="12"/>
                <w:szCs w:val="12"/>
              </w:rPr>
            </w:pPr>
          </w:p>
        </w:tc>
        <w:tc>
          <w:tcPr>
            <w:tcW w:w="2268" w:type="dxa"/>
            <w:shd w:val="clear" w:color="auto" w:fill="F2F2F2"/>
            <w:hideMark/>
          </w:tcPr>
          <w:p w14:paraId="7A915B08" w14:textId="77777777" w:rsidR="002A4DDF" w:rsidRPr="00937C8B" w:rsidRDefault="002A4DDF" w:rsidP="009110ED">
            <w:pPr>
              <w:rPr>
                <w:rFonts w:ascii="Arial" w:hAnsi="Arial" w:cs="Arial"/>
                <w:sz w:val="12"/>
                <w:szCs w:val="12"/>
              </w:rPr>
            </w:pPr>
            <w:r>
              <w:rPr>
                <w:rFonts w:ascii="Arial" w:hAnsi="Arial"/>
                <w:sz w:val="12"/>
                <w:szCs w:val="12"/>
              </w:rPr>
              <w:t>Vilabertran</w:t>
            </w:r>
          </w:p>
        </w:tc>
        <w:tc>
          <w:tcPr>
            <w:tcW w:w="2268" w:type="dxa"/>
            <w:tcBorders>
              <w:right w:val="single" w:sz="4" w:space="0" w:color="auto"/>
            </w:tcBorders>
            <w:shd w:val="clear" w:color="auto" w:fill="D9D9D9"/>
            <w:hideMark/>
          </w:tcPr>
          <w:p w14:paraId="355E46E8" w14:textId="77777777" w:rsidR="002A4DDF" w:rsidRPr="00937C8B" w:rsidRDefault="002A4DDF" w:rsidP="009110ED">
            <w:pPr>
              <w:rPr>
                <w:rFonts w:ascii="Arial" w:hAnsi="Arial" w:cs="Arial"/>
                <w:sz w:val="12"/>
                <w:szCs w:val="12"/>
              </w:rPr>
            </w:pPr>
          </w:p>
        </w:tc>
      </w:tr>
      <w:tr w:rsidR="002A4DDF" w:rsidRPr="00937C8B" w14:paraId="34792A2E" w14:textId="77777777" w:rsidTr="00935676">
        <w:trPr>
          <w:cantSplit/>
        </w:trPr>
        <w:tc>
          <w:tcPr>
            <w:tcW w:w="1696" w:type="dxa"/>
            <w:tcBorders>
              <w:left w:val="single" w:sz="4" w:space="0" w:color="auto"/>
            </w:tcBorders>
            <w:shd w:val="clear" w:color="auto" w:fill="auto"/>
          </w:tcPr>
          <w:p w14:paraId="442679BB" w14:textId="77777777" w:rsidR="002A4DDF" w:rsidRPr="00937C8B" w:rsidRDefault="002A4DDF" w:rsidP="009110ED">
            <w:pPr>
              <w:rPr>
                <w:rFonts w:ascii="Arial" w:hAnsi="Arial" w:cs="Arial"/>
                <w:sz w:val="12"/>
                <w:szCs w:val="12"/>
              </w:rPr>
            </w:pPr>
          </w:p>
        </w:tc>
        <w:tc>
          <w:tcPr>
            <w:tcW w:w="1843" w:type="dxa"/>
            <w:shd w:val="clear" w:color="auto" w:fill="auto"/>
          </w:tcPr>
          <w:p w14:paraId="1318DD2B" w14:textId="77777777" w:rsidR="002A4DDF" w:rsidRPr="00937C8B" w:rsidRDefault="002A4DDF" w:rsidP="009110ED">
            <w:pPr>
              <w:rPr>
                <w:rFonts w:ascii="Arial" w:hAnsi="Arial" w:cs="Arial"/>
                <w:sz w:val="12"/>
                <w:szCs w:val="12"/>
              </w:rPr>
            </w:pPr>
          </w:p>
        </w:tc>
        <w:tc>
          <w:tcPr>
            <w:tcW w:w="2268" w:type="dxa"/>
            <w:shd w:val="clear" w:color="auto" w:fill="F2F2F2"/>
            <w:hideMark/>
          </w:tcPr>
          <w:p w14:paraId="3BE9731E" w14:textId="77777777" w:rsidR="002A4DDF" w:rsidRPr="00937C8B" w:rsidRDefault="002A4DDF" w:rsidP="009110ED">
            <w:pPr>
              <w:rPr>
                <w:rFonts w:ascii="Arial" w:hAnsi="Arial" w:cs="Arial"/>
                <w:sz w:val="12"/>
                <w:szCs w:val="12"/>
              </w:rPr>
            </w:pPr>
            <w:r>
              <w:rPr>
                <w:rFonts w:ascii="Arial" w:hAnsi="Arial"/>
                <w:sz w:val="12"/>
                <w:szCs w:val="12"/>
              </w:rPr>
              <w:t>Vilablareix</w:t>
            </w:r>
          </w:p>
        </w:tc>
        <w:tc>
          <w:tcPr>
            <w:tcW w:w="2268" w:type="dxa"/>
            <w:tcBorders>
              <w:right w:val="single" w:sz="4" w:space="0" w:color="auto"/>
            </w:tcBorders>
            <w:shd w:val="clear" w:color="auto" w:fill="D9D9D9"/>
            <w:hideMark/>
          </w:tcPr>
          <w:p w14:paraId="05F21E18" w14:textId="77777777" w:rsidR="002A4DDF" w:rsidRPr="00937C8B" w:rsidRDefault="002A4DDF" w:rsidP="009110ED">
            <w:pPr>
              <w:rPr>
                <w:rFonts w:ascii="Arial" w:hAnsi="Arial" w:cs="Arial"/>
                <w:sz w:val="12"/>
                <w:szCs w:val="12"/>
              </w:rPr>
            </w:pPr>
          </w:p>
        </w:tc>
      </w:tr>
      <w:tr w:rsidR="002A4DDF" w:rsidRPr="00937C8B" w14:paraId="7FAA2E4D" w14:textId="77777777" w:rsidTr="00935676">
        <w:trPr>
          <w:cantSplit/>
        </w:trPr>
        <w:tc>
          <w:tcPr>
            <w:tcW w:w="1696" w:type="dxa"/>
            <w:tcBorders>
              <w:left w:val="single" w:sz="4" w:space="0" w:color="auto"/>
            </w:tcBorders>
            <w:shd w:val="clear" w:color="auto" w:fill="auto"/>
          </w:tcPr>
          <w:p w14:paraId="2753E7AD" w14:textId="77777777" w:rsidR="002A4DDF" w:rsidRPr="00937C8B" w:rsidRDefault="002A4DDF" w:rsidP="009110ED">
            <w:pPr>
              <w:rPr>
                <w:rFonts w:ascii="Arial" w:hAnsi="Arial" w:cs="Arial"/>
                <w:sz w:val="12"/>
                <w:szCs w:val="12"/>
              </w:rPr>
            </w:pPr>
          </w:p>
        </w:tc>
        <w:tc>
          <w:tcPr>
            <w:tcW w:w="1843" w:type="dxa"/>
            <w:shd w:val="clear" w:color="auto" w:fill="auto"/>
          </w:tcPr>
          <w:p w14:paraId="58EB9DD4" w14:textId="77777777" w:rsidR="002A4DDF" w:rsidRPr="00937C8B" w:rsidRDefault="002A4DDF" w:rsidP="009110ED">
            <w:pPr>
              <w:rPr>
                <w:rFonts w:ascii="Arial" w:hAnsi="Arial" w:cs="Arial"/>
                <w:sz w:val="12"/>
                <w:szCs w:val="12"/>
              </w:rPr>
            </w:pPr>
          </w:p>
        </w:tc>
        <w:tc>
          <w:tcPr>
            <w:tcW w:w="2268" w:type="dxa"/>
            <w:shd w:val="clear" w:color="auto" w:fill="F2F2F2"/>
            <w:hideMark/>
          </w:tcPr>
          <w:p w14:paraId="6212C0E1" w14:textId="77777777" w:rsidR="002A4DDF" w:rsidRPr="00937C8B" w:rsidRDefault="002A4DDF" w:rsidP="009110ED">
            <w:pPr>
              <w:rPr>
                <w:rFonts w:ascii="Arial" w:hAnsi="Arial" w:cs="Arial"/>
                <w:sz w:val="12"/>
                <w:szCs w:val="12"/>
              </w:rPr>
            </w:pPr>
            <w:r>
              <w:rPr>
                <w:rFonts w:ascii="Arial" w:hAnsi="Arial"/>
                <w:sz w:val="12"/>
                <w:szCs w:val="12"/>
              </w:rPr>
              <w:t>Vilafant</w:t>
            </w:r>
          </w:p>
        </w:tc>
        <w:tc>
          <w:tcPr>
            <w:tcW w:w="2268" w:type="dxa"/>
            <w:tcBorders>
              <w:right w:val="single" w:sz="4" w:space="0" w:color="auto"/>
            </w:tcBorders>
            <w:shd w:val="clear" w:color="auto" w:fill="D9D9D9"/>
            <w:hideMark/>
          </w:tcPr>
          <w:p w14:paraId="047E630A" w14:textId="77777777" w:rsidR="002A4DDF" w:rsidRPr="00937C8B" w:rsidRDefault="002A4DDF" w:rsidP="009110ED">
            <w:pPr>
              <w:rPr>
                <w:rFonts w:ascii="Arial" w:hAnsi="Arial" w:cs="Arial"/>
                <w:sz w:val="12"/>
                <w:szCs w:val="12"/>
              </w:rPr>
            </w:pPr>
          </w:p>
        </w:tc>
      </w:tr>
      <w:tr w:rsidR="002A4DDF" w:rsidRPr="00937C8B" w14:paraId="1CD0C419" w14:textId="77777777" w:rsidTr="00935676">
        <w:trPr>
          <w:cantSplit/>
        </w:trPr>
        <w:tc>
          <w:tcPr>
            <w:tcW w:w="1696" w:type="dxa"/>
            <w:tcBorders>
              <w:left w:val="single" w:sz="4" w:space="0" w:color="auto"/>
            </w:tcBorders>
            <w:shd w:val="clear" w:color="auto" w:fill="auto"/>
          </w:tcPr>
          <w:p w14:paraId="3EBF3E9A" w14:textId="77777777" w:rsidR="002A4DDF" w:rsidRPr="00937C8B" w:rsidRDefault="002A4DDF" w:rsidP="009110ED">
            <w:pPr>
              <w:rPr>
                <w:rFonts w:ascii="Arial" w:hAnsi="Arial" w:cs="Arial"/>
                <w:sz w:val="12"/>
                <w:szCs w:val="12"/>
              </w:rPr>
            </w:pPr>
          </w:p>
        </w:tc>
        <w:tc>
          <w:tcPr>
            <w:tcW w:w="1843" w:type="dxa"/>
            <w:shd w:val="clear" w:color="auto" w:fill="auto"/>
          </w:tcPr>
          <w:p w14:paraId="49D172E3" w14:textId="77777777" w:rsidR="002A4DDF" w:rsidRPr="00937C8B" w:rsidRDefault="002A4DDF" w:rsidP="009110ED">
            <w:pPr>
              <w:rPr>
                <w:rFonts w:ascii="Arial" w:hAnsi="Arial" w:cs="Arial"/>
                <w:sz w:val="12"/>
                <w:szCs w:val="12"/>
              </w:rPr>
            </w:pPr>
          </w:p>
        </w:tc>
        <w:tc>
          <w:tcPr>
            <w:tcW w:w="2268" w:type="dxa"/>
            <w:shd w:val="clear" w:color="auto" w:fill="F2F2F2"/>
            <w:hideMark/>
          </w:tcPr>
          <w:p w14:paraId="0331393F" w14:textId="77777777" w:rsidR="002A4DDF" w:rsidRPr="00937C8B" w:rsidRDefault="002A4DDF" w:rsidP="009110ED">
            <w:pPr>
              <w:rPr>
                <w:rFonts w:ascii="Arial" w:hAnsi="Arial" w:cs="Arial"/>
                <w:sz w:val="12"/>
                <w:szCs w:val="12"/>
              </w:rPr>
            </w:pPr>
            <w:r>
              <w:rPr>
                <w:rFonts w:ascii="Arial" w:hAnsi="Arial"/>
                <w:sz w:val="12"/>
                <w:szCs w:val="12"/>
              </w:rPr>
              <w:t>Vilajuïga</w:t>
            </w:r>
          </w:p>
        </w:tc>
        <w:tc>
          <w:tcPr>
            <w:tcW w:w="2268" w:type="dxa"/>
            <w:tcBorders>
              <w:right w:val="single" w:sz="4" w:space="0" w:color="auto"/>
            </w:tcBorders>
            <w:shd w:val="clear" w:color="auto" w:fill="D9D9D9"/>
            <w:hideMark/>
          </w:tcPr>
          <w:p w14:paraId="126DE401" w14:textId="77777777" w:rsidR="002A4DDF" w:rsidRPr="00937C8B" w:rsidRDefault="002A4DDF" w:rsidP="009110ED">
            <w:pPr>
              <w:rPr>
                <w:rFonts w:ascii="Arial" w:hAnsi="Arial" w:cs="Arial"/>
                <w:sz w:val="12"/>
                <w:szCs w:val="12"/>
              </w:rPr>
            </w:pPr>
          </w:p>
        </w:tc>
      </w:tr>
      <w:tr w:rsidR="002A4DDF" w:rsidRPr="00937C8B" w14:paraId="7ADEAE8A" w14:textId="77777777" w:rsidTr="00935676">
        <w:trPr>
          <w:cantSplit/>
        </w:trPr>
        <w:tc>
          <w:tcPr>
            <w:tcW w:w="1696" w:type="dxa"/>
            <w:tcBorders>
              <w:left w:val="single" w:sz="4" w:space="0" w:color="auto"/>
            </w:tcBorders>
            <w:shd w:val="clear" w:color="auto" w:fill="auto"/>
          </w:tcPr>
          <w:p w14:paraId="0FFFB360" w14:textId="77777777" w:rsidR="002A4DDF" w:rsidRPr="00937C8B" w:rsidRDefault="002A4DDF" w:rsidP="009110ED">
            <w:pPr>
              <w:rPr>
                <w:rFonts w:ascii="Arial" w:hAnsi="Arial" w:cs="Arial"/>
                <w:sz w:val="12"/>
                <w:szCs w:val="12"/>
              </w:rPr>
            </w:pPr>
          </w:p>
        </w:tc>
        <w:tc>
          <w:tcPr>
            <w:tcW w:w="1843" w:type="dxa"/>
            <w:shd w:val="clear" w:color="auto" w:fill="auto"/>
          </w:tcPr>
          <w:p w14:paraId="5F911781" w14:textId="77777777" w:rsidR="002A4DDF" w:rsidRPr="00937C8B" w:rsidRDefault="002A4DDF" w:rsidP="009110ED">
            <w:pPr>
              <w:rPr>
                <w:rFonts w:ascii="Arial" w:hAnsi="Arial" w:cs="Arial"/>
                <w:sz w:val="12"/>
                <w:szCs w:val="12"/>
              </w:rPr>
            </w:pPr>
          </w:p>
        </w:tc>
        <w:tc>
          <w:tcPr>
            <w:tcW w:w="2268" w:type="dxa"/>
            <w:shd w:val="clear" w:color="auto" w:fill="F2F2F2"/>
            <w:hideMark/>
          </w:tcPr>
          <w:p w14:paraId="5C3FA174" w14:textId="77777777" w:rsidR="002A4DDF" w:rsidRPr="00937C8B" w:rsidRDefault="002A4DDF" w:rsidP="009110ED">
            <w:pPr>
              <w:rPr>
                <w:rFonts w:ascii="Arial" w:hAnsi="Arial" w:cs="Arial"/>
                <w:sz w:val="12"/>
                <w:szCs w:val="12"/>
              </w:rPr>
            </w:pPr>
            <w:r>
              <w:rPr>
                <w:rFonts w:ascii="Arial" w:hAnsi="Arial"/>
                <w:sz w:val="12"/>
                <w:szCs w:val="12"/>
              </w:rPr>
              <w:t>Vilamacolum</w:t>
            </w:r>
          </w:p>
        </w:tc>
        <w:tc>
          <w:tcPr>
            <w:tcW w:w="2268" w:type="dxa"/>
            <w:tcBorders>
              <w:right w:val="single" w:sz="4" w:space="0" w:color="auto"/>
            </w:tcBorders>
            <w:shd w:val="clear" w:color="auto" w:fill="D9D9D9"/>
            <w:hideMark/>
          </w:tcPr>
          <w:p w14:paraId="1021C712" w14:textId="77777777" w:rsidR="002A4DDF" w:rsidRPr="00937C8B" w:rsidRDefault="002A4DDF" w:rsidP="009110ED">
            <w:pPr>
              <w:rPr>
                <w:rFonts w:ascii="Arial" w:hAnsi="Arial" w:cs="Arial"/>
                <w:sz w:val="12"/>
                <w:szCs w:val="12"/>
              </w:rPr>
            </w:pPr>
          </w:p>
        </w:tc>
      </w:tr>
      <w:tr w:rsidR="002A4DDF" w:rsidRPr="00937C8B" w14:paraId="2A5A7600" w14:textId="77777777" w:rsidTr="00935676">
        <w:trPr>
          <w:cantSplit/>
        </w:trPr>
        <w:tc>
          <w:tcPr>
            <w:tcW w:w="1696" w:type="dxa"/>
            <w:tcBorders>
              <w:left w:val="single" w:sz="4" w:space="0" w:color="auto"/>
            </w:tcBorders>
            <w:shd w:val="clear" w:color="auto" w:fill="auto"/>
          </w:tcPr>
          <w:p w14:paraId="4BDADC64" w14:textId="77777777" w:rsidR="002A4DDF" w:rsidRPr="00937C8B" w:rsidRDefault="002A4DDF" w:rsidP="009110ED">
            <w:pPr>
              <w:rPr>
                <w:rFonts w:ascii="Arial" w:hAnsi="Arial" w:cs="Arial"/>
                <w:sz w:val="12"/>
                <w:szCs w:val="12"/>
              </w:rPr>
            </w:pPr>
          </w:p>
        </w:tc>
        <w:tc>
          <w:tcPr>
            <w:tcW w:w="1843" w:type="dxa"/>
            <w:shd w:val="clear" w:color="auto" w:fill="auto"/>
          </w:tcPr>
          <w:p w14:paraId="2645D6B3" w14:textId="77777777" w:rsidR="002A4DDF" w:rsidRPr="00937C8B" w:rsidRDefault="002A4DDF" w:rsidP="009110ED">
            <w:pPr>
              <w:rPr>
                <w:rFonts w:ascii="Arial" w:hAnsi="Arial" w:cs="Arial"/>
                <w:sz w:val="12"/>
                <w:szCs w:val="12"/>
              </w:rPr>
            </w:pPr>
          </w:p>
        </w:tc>
        <w:tc>
          <w:tcPr>
            <w:tcW w:w="2268" w:type="dxa"/>
            <w:shd w:val="clear" w:color="auto" w:fill="F2F2F2"/>
            <w:hideMark/>
          </w:tcPr>
          <w:p w14:paraId="604A59DB" w14:textId="77777777" w:rsidR="002A4DDF" w:rsidRPr="00937C8B" w:rsidRDefault="002A4DDF" w:rsidP="009110ED">
            <w:pPr>
              <w:rPr>
                <w:rFonts w:ascii="Arial" w:hAnsi="Arial" w:cs="Arial"/>
                <w:sz w:val="12"/>
                <w:szCs w:val="12"/>
              </w:rPr>
            </w:pPr>
            <w:r>
              <w:rPr>
                <w:rFonts w:ascii="Arial" w:hAnsi="Arial"/>
                <w:sz w:val="12"/>
                <w:szCs w:val="12"/>
              </w:rPr>
              <w:t>Vilamalla</w:t>
            </w:r>
          </w:p>
        </w:tc>
        <w:tc>
          <w:tcPr>
            <w:tcW w:w="2268" w:type="dxa"/>
            <w:tcBorders>
              <w:right w:val="single" w:sz="4" w:space="0" w:color="auto"/>
            </w:tcBorders>
            <w:shd w:val="clear" w:color="auto" w:fill="D9D9D9"/>
            <w:hideMark/>
          </w:tcPr>
          <w:p w14:paraId="1F6615AE" w14:textId="77777777" w:rsidR="002A4DDF" w:rsidRPr="00937C8B" w:rsidRDefault="002A4DDF" w:rsidP="009110ED">
            <w:pPr>
              <w:rPr>
                <w:rFonts w:ascii="Arial" w:hAnsi="Arial" w:cs="Arial"/>
                <w:sz w:val="12"/>
                <w:szCs w:val="12"/>
              </w:rPr>
            </w:pPr>
          </w:p>
        </w:tc>
      </w:tr>
      <w:tr w:rsidR="002A4DDF" w:rsidRPr="00937C8B" w14:paraId="251F1E39" w14:textId="77777777" w:rsidTr="00935676">
        <w:trPr>
          <w:cantSplit/>
        </w:trPr>
        <w:tc>
          <w:tcPr>
            <w:tcW w:w="1696" w:type="dxa"/>
            <w:tcBorders>
              <w:left w:val="single" w:sz="4" w:space="0" w:color="auto"/>
            </w:tcBorders>
            <w:shd w:val="clear" w:color="auto" w:fill="auto"/>
          </w:tcPr>
          <w:p w14:paraId="6B6DA3E8" w14:textId="77777777" w:rsidR="002A4DDF" w:rsidRPr="00937C8B" w:rsidRDefault="002A4DDF" w:rsidP="009110ED">
            <w:pPr>
              <w:rPr>
                <w:rFonts w:ascii="Arial" w:hAnsi="Arial" w:cs="Arial"/>
                <w:sz w:val="12"/>
                <w:szCs w:val="12"/>
              </w:rPr>
            </w:pPr>
          </w:p>
        </w:tc>
        <w:tc>
          <w:tcPr>
            <w:tcW w:w="1843" w:type="dxa"/>
            <w:shd w:val="clear" w:color="auto" w:fill="auto"/>
          </w:tcPr>
          <w:p w14:paraId="6835E72D" w14:textId="77777777" w:rsidR="002A4DDF" w:rsidRPr="00937C8B" w:rsidRDefault="002A4DDF" w:rsidP="009110ED">
            <w:pPr>
              <w:rPr>
                <w:rFonts w:ascii="Arial" w:hAnsi="Arial" w:cs="Arial"/>
                <w:sz w:val="12"/>
                <w:szCs w:val="12"/>
              </w:rPr>
            </w:pPr>
          </w:p>
        </w:tc>
        <w:tc>
          <w:tcPr>
            <w:tcW w:w="2268" w:type="dxa"/>
            <w:shd w:val="clear" w:color="auto" w:fill="F2F2F2"/>
            <w:hideMark/>
          </w:tcPr>
          <w:p w14:paraId="76F298C3" w14:textId="77777777" w:rsidR="002A4DDF" w:rsidRPr="00937C8B" w:rsidRDefault="002A4DDF" w:rsidP="009110ED">
            <w:pPr>
              <w:rPr>
                <w:rFonts w:ascii="Arial" w:hAnsi="Arial" w:cs="Arial"/>
                <w:sz w:val="12"/>
                <w:szCs w:val="12"/>
              </w:rPr>
            </w:pPr>
            <w:r>
              <w:rPr>
                <w:rFonts w:ascii="Arial" w:hAnsi="Arial"/>
                <w:sz w:val="12"/>
                <w:szCs w:val="12"/>
              </w:rPr>
              <w:t>Vilanant</w:t>
            </w:r>
          </w:p>
        </w:tc>
        <w:tc>
          <w:tcPr>
            <w:tcW w:w="2268" w:type="dxa"/>
            <w:tcBorders>
              <w:right w:val="single" w:sz="4" w:space="0" w:color="auto"/>
            </w:tcBorders>
            <w:shd w:val="clear" w:color="auto" w:fill="D9D9D9"/>
            <w:hideMark/>
          </w:tcPr>
          <w:p w14:paraId="53DB74DD" w14:textId="77777777" w:rsidR="002A4DDF" w:rsidRPr="00937C8B" w:rsidRDefault="002A4DDF" w:rsidP="009110ED">
            <w:pPr>
              <w:rPr>
                <w:rFonts w:ascii="Arial" w:hAnsi="Arial" w:cs="Arial"/>
                <w:sz w:val="12"/>
                <w:szCs w:val="12"/>
              </w:rPr>
            </w:pPr>
          </w:p>
        </w:tc>
      </w:tr>
      <w:tr w:rsidR="002A4DDF" w:rsidRPr="00937C8B" w14:paraId="3CBFD003" w14:textId="77777777" w:rsidTr="00935676">
        <w:trPr>
          <w:cantSplit/>
        </w:trPr>
        <w:tc>
          <w:tcPr>
            <w:tcW w:w="1696" w:type="dxa"/>
            <w:tcBorders>
              <w:left w:val="single" w:sz="4" w:space="0" w:color="auto"/>
            </w:tcBorders>
            <w:shd w:val="clear" w:color="auto" w:fill="auto"/>
          </w:tcPr>
          <w:p w14:paraId="35D745AD" w14:textId="77777777" w:rsidR="002A4DDF" w:rsidRPr="00937C8B" w:rsidRDefault="002A4DDF" w:rsidP="009110ED">
            <w:pPr>
              <w:rPr>
                <w:rFonts w:ascii="Arial" w:hAnsi="Arial" w:cs="Arial"/>
                <w:sz w:val="12"/>
                <w:szCs w:val="12"/>
              </w:rPr>
            </w:pPr>
          </w:p>
        </w:tc>
        <w:tc>
          <w:tcPr>
            <w:tcW w:w="1843" w:type="dxa"/>
            <w:shd w:val="clear" w:color="auto" w:fill="auto"/>
          </w:tcPr>
          <w:p w14:paraId="1E98D6F1" w14:textId="77777777" w:rsidR="002A4DDF" w:rsidRPr="00937C8B" w:rsidRDefault="002A4DDF" w:rsidP="009110ED">
            <w:pPr>
              <w:rPr>
                <w:rFonts w:ascii="Arial" w:hAnsi="Arial" w:cs="Arial"/>
                <w:sz w:val="12"/>
                <w:szCs w:val="12"/>
              </w:rPr>
            </w:pPr>
          </w:p>
        </w:tc>
        <w:tc>
          <w:tcPr>
            <w:tcW w:w="2268" w:type="dxa"/>
            <w:shd w:val="clear" w:color="auto" w:fill="F2F2F2"/>
            <w:hideMark/>
          </w:tcPr>
          <w:p w14:paraId="687A8DE7" w14:textId="77777777" w:rsidR="002A4DDF" w:rsidRPr="00937C8B" w:rsidRDefault="002A4DDF" w:rsidP="009110ED">
            <w:pPr>
              <w:rPr>
                <w:rFonts w:ascii="Arial" w:hAnsi="Arial" w:cs="Arial"/>
                <w:sz w:val="12"/>
                <w:szCs w:val="12"/>
              </w:rPr>
            </w:pPr>
            <w:r>
              <w:rPr>
                <w:rFonts w:ascii="Arial" w:hAnsi="Arial"/>
                <w:sz w:val="12"/>
                <w:szCs w:val="12"/>
              </w:rPr>
              <w:t>Vila-sacra</w:t>
            </w:r>
          </w:p>
        </w:tc>
        <w:tc>
          <w:tcPr>
            <w:tcW w:w="2268" w:type="dxa"/>
            <w:tcBorders>
              <w:right w:val="single" w:sz="4" w:space="0" w:color="auto"/>
            </w:tcBorders>
            <w:shd w:val="clear" w:color="auto" w:fill="D9D9D9"/>
            <w:hideMark/>
          </w:tcPr>
          <w:p w14:paraId="40A2B328" w14:textId="77777777" w:rsidR="002A4DDF" w:rsidRPr="00937C8B" w:rsidRDefault="002A4DDF" w:rsidP="009110ED">
            <w:pPr>
              <w:rPr>
                <w:rFonts w:ascii="Arial" w:hAnsi="Arial" w:cs="Arial"/>
                <w:sz w:val="12"/>
                <w:szCs w:val="12"/>
              </w:rPr>
            </w:pPr>
          </w:p>
        </w:tc>
      </w:tr>
      <w:tr w:rsidR="002A4DDF" w:rsidRPr="00937C8B" w14:paraId="7AB5F021" w14:textId="77777777" w:rsidTr="00935676">
        <w:trPr>
          <w:cantSplit/>
        </w:trPr>
        <w:tc>
          <w:tcPr>
            <w:tcW w:w="1696" w:type="dxa"/>
            <w:tcBorders>
              <w:left w:val="single" w:sz="4" w:space="0" w:color="auto"/>
              <w:bottom w:val="single" w:sz="4" w:space="0" w:color="auto"/>
            </w:tcBorders>
            <w:shd w:val="clear" w:color="auto" w:fill="auto"/>
            <w:hideMark/>
          </w:tcPr>
          <w:p w14:paraId="259BCBB3" w14:textId="77777777" w:rsidR="002A4DDF" w:rsidRPr="00937C8B" w:rsidRDefault="002A4DDF" w:rsidP="009110ED">
            <w:pPr>
              <w:rPr>
                <w:rFonts w:ascii="Arial" w:hAnsi="Arial" w:cs="Arial"/>
                <w:sz w:val="12"/>
                <w:szCs w:val="12"/>
              </w:rPr>
            </w:pPr>
            <w:r>
              <w:rPr>
                <w:rFonts w:ascii="Arial" w:hAnsi="Arial"/>
                <w:sz w:val="12"/>
                <w:szCs w:val="12"/>
              </w:rPr>
              <w:t>Catalogne</w:t>
            </w:r>
          </w:p>
        </w:tc>
        <w:tc>
          <w:tcPr>
            <w:tcW w:w="1843" w:type="dxa"/>
            <w:tcBorders>
              <w:bottom w:val="single" w:sz="4" w:space="0" w:color="auto"/>
            </w:tcBorders>
            <w:shd w:val="clear" w:color="auto" w:fill="auto"/>
            <w:hideMark/>
          </w:tcPr>
          <w:p w14:paraId="64E245E0" w14:textId="77777777" w:rsidR="002A4DDF" w:rsidRPr="00937C8B" w:rsidRDefault="002A4DDF" w:rsidP="009110ED">
            <w:pPr>
              <w:rPr>
                <w:rFonts w:ascii="Arial" w:hAnsi="Arial" w:cs="Arial"/>
                <w:sz w:val="12"/>
                <w:szCs w:val="12"/>
              </w:rPr>
            </w:pPr>
            <w:r>
              <w:rPr>
                <w:rFonts w:ascii="Arial" w:hAnsi="Arial"/>
                <w:sz w:val="12"/>
                <w:szCs w:val="12"/>
              </w:rPr>
              <w:t>Gérone</w:t>
            </w:r>
          </w:p>
        </w:tc>
        <w:tc>
          <w:tcPr>
            <w:tcW w:w="2268" w:type="dxa"/>
            <w:tcBorders>
              <w:bottom w:val="single" w:sz="4" w:space="0" w:color="auto"/>
            </w:tcBorders>
            <w:shd w:val="clear" w:color="auto" w:fill="F2F2F2"/>
            <w:hideMark/>
          </w:tcPr>
          <w:p w14:paraId="579F96E3" w14:textId="77777777" w:rsidR="002A4DDF" w:rsidRPr="00937C8B" w:rsidRDefault="002A4DDF" w:rsidP="009110ED">
            <w:pPr>
              <w:rPr>
                <w:rFonts w:ascii="Arial" w:hAnsi="Arial" w:cs="Arial"/>
                <w:sz w:val="12"/>
                <w:szCs w:val="12"/>
              </w:rPr>
            </w:pPr>
            <w:r>
              <w:rPr>
                <w:rFonts w:ascii="Arial" w:hAnsi="Arial"/>
                <w:sz w:val="12"/>
                <w:szCs w:val="12"/>
              </w:rPr>
              <w:t>Vilobí d'Onyar</w:t>
            </w:r>
          </w:p>
        </w:tc>
        <w:tc>
          <w:tcPr>
            <w:tcW w:w="2268" w:type="dxa"/>
            <w:tcBorders>
              <w:bottom w:val="single" w:sz="4" w:space="0" w:color="auto"/>
              <w:right w:val="single" w:sz="4" w:space="0" w:color="auto"/>
            </w:tcBorders>
            <w:shd w:val="clear" w:color="auto" w:fill="D9D9D9"/>
            <w:hideMark/>
          </w:tcPr>
          <w:p w14:paraId="206C6D9D" w14:textId="77777777" w:rsidR="002A4DDF" w:rsidRPr="00937C8B" w:rsidRDefault="002A4DDF" w:rsidP="009110ED">
            <w:pPr>
              <w:rPr>
                <w:rFonts w:ascii="Arial" w:hAnsi="Arial" w:cs="Arial"/>
                <w:sz w:val="12"/>
                <w:szCs w:val="12"/>
              </w:rPr>
            </w:pPr>
          </w:p>
        </w:tc>
      </w:tr>
      <w:tr w:rsidR="002A4DDF" w:rsidRPr="00937C8B" w14:paraId="0DA6CF8C" w14:textId="77777777" w:rsidTr="00935676">
        <w:trPr>
          <w:cantSplit/>
        </w:trPr>
        <w:tc>
          <w:tcPr>
            <w:tcW w:w="1696" w:type="dxa"/>
            <w:tcBorders>
              <w:top w:val="single" w:sz="4" w:space="0" w:color="auto"/>
              <w:bottom w:val="single" w:sz="4" w:space="0" w:color="auto"/>
            </w:tcBorders>
            <w:shd w:val="clear" w:color="auto" w:fill="auto"/>
            <w:hideMark/>
          </w:tcPr>
          <w:p w14:paraId="30CA28DC"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568E57F6"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2DD1629E"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54C1109A" w14:textId="77777777" w:rsidR="002A4DDF" w:rsidRPr="00937C8B" w:rsidRDefault="002A4DDF" w:rsidP="009110ED">
            <w:pPr>
              <w:rPr>
                <w:rFonts w:ascii="Arial" w:hAnsi="Arial" w:cs="Arial"/>
                <w:sz w:val="12"/>
                <w:szCs w:val="12"/>
              </w:rPr>
            </w:pPr>
          </w:p>
        </w:tc>
      </w:tr>
      <w:tr w:rsidR="002A4DDF" w:rsidRPr="00937C8B" w14:paraId="026334EB" w14:textId="77777777" w:rsidTr="00935676">
        <w:trPr>
          <w:cantSplit/>
        </w:trPr>
        <w:tc>
          <w:tcPr>
            <w:tcW w:w="1696" w:type="dxa"/>
            <w:tcBorders>
              <w:top w:val="single" w:sz="4" w:space="0" w:color="auto"/>
              <w:left w:val="single" w:sz="4" w:space="0" w:color="auto"/>
            </w:tcBorders>
            <w:shd w:val="clear" w:color="auto" w:fill="auto"/>
            <w:hideMark/>
          </w:tcPr>
          <w:p w14:paraId="5374DB0A" w14:textId="77777777" w:rsidR="002A4DDF" w:rsidRPr="00937C8B" w:rsidRDefault="002A4DDF" w:rsidP="009110ED">
            <w:pPr>
              <w:rPr>
                <w:rFonts w:ascii="Arial" w:hAnsi="Arial" w:cs="Arial"/>
                <w:sz w:val="12"/>
                <w:szCs w:val="12"/>
              </w:rPr>
            </w:pPr>
            <w:r>
              <w:rPr>
                <w:rFonts w:ascii="Arial" w:hAnsi="Arial"/>
                <w:sz w:val="12"/>
                <w:szCs w:val="12"/>
              </w:rPr>
              <w:t>Catalogne</w:t>
            </w:r>
          </w:p>
        </w:tc>
        <w:tc>
          <w:tcPr>
            <w:tcW w:w="1843" w:type="dxa"/>
            <w:tcBorders>
              <w:top w:val="single" w:sz="4" w:space="0" w:color="auto"/>
            </w:tcBorders>
            <w:shd w:val="clear" w:color="auto" w:fill="auto"/>
            <w:hideMark/>
          </w:tcPr>
          <w:p w14:paraId="4503FCC7" w14:textId="77777777" w:rsidR="002A4DDF" w:rsidRPr="00937C8B" w:rsidRDefault="002A4DDF" w:rsidP="009110ED">
            <w:pPr>
              <w:rPr>
                <w:rFonts w:ascii="Arial" w:hAnsi="Arial" w:cs="Arial"/>
                <w:sz w:val="12"/>
                <w:szCs w:val="12"/>
              </w:rPr>
            </w:pPr>
            <w:r>
              <w:rPr>
                <w:rFonts w:ascii="Arial" w:hAnsi="Arial"/>
                <w:sz w:val="12"/>
                <w:szCs w:val="12"/>
              </w:rPr>
              <w:t>Lérida</w:t>
            </w:r>
          </w:p>
        </w:tc>
        <w:tc>
          <w:tcPr>
            <w:tcW w:w="2268" w:type="dxa"/>
            <w:tcBorders>
              <w:top w:val="single" w:sz="4" w:space="0" w:color="auto"/>
            </w:tcBorders>
            <w:shd w:val="clear" w:color="auto" w:fill="F2F2F2"/>
            <w:hideMark/>
          </w:tcPr>
          <w:p w14:paraId="45053895" w14:textId="77777777" w:rsidR="002A4DDF" w:rsidRPr="00937C8B" w:rsidRDefault="002A4DDF" w:rsidP="009110ED">
            <w:pPr>
              <w:rPr>
                <w:rFonts w:ascii="Arial" w:hAnsi="Arial" w:cs="Arial"/>
                <w:sz w:val="12"/>
                <w:szCs w:val="12"/>
              </w:rPr>
            </w:pPr>
            <w:r>
              <w:rPr>
                <w:rFonts w:ascii="Arial" w:hAnsi="Arial"/>
                <w:sz w:val="12"/>
                <w:szCs w:val="12"/>
              </w:rPr>
              <w:t>Agramunt</w:t>
            </w:r>
          </w:p>
        </w:tc>
        <w:tc>
          <w:tcPr>
            <w:tcW w:w="2268" w:type="dxa"/>
            <w:tcBorders>
              <w:top w:val="single" w:sz="4" w:space="0" w:color="auto"/>
              <w:right w:val="single" w:sz="4" w:space="0" w:color="auto"/>
            </w:tcBorders>
            <w:shd w:val="clear" w:color="auto" w:fill="D9D9D9"/>
            <w:hideMark/>
          </w:tcPr>
          <w:p w14:paraId="7458813F" w14:textId="77777777" w:rsidR="002A4DDF" w:rsidRPr="00937C8B" w:rsidRDefault="002A4DDF" w:rsidP="009110ED">
            <w:pPr>
              <w:rPr>
                <w:rFonts w:ascii="Arial" w:hAnsi="Arial" w:cs="Arial"/>
                <w:sz w:val="12"/>
                <w:szCs w:val="12"/>
              </w:rPr>
            </w:pPr>
            <w:r>
              <w:rPr>
                <w:rFonts w:ascii="Arial" w:hAnsi="Arial"/>
                <w:sz w:val="12"/>
                <w:szCs w:val="12"/>
              </w:rPr>
              <w:t>Alàs i Cerc</w:t>
            </w:r>
          </w:p>
        </w:tc>
      </w:tr>
      <w:tr w:rsidR="002A4DDF" w:rsidRPr="00937C8B" w14:paraId="2A2035EA" w14:textId="77777777" w:rsidTr="00935676">
        <w:trPr>
          <w:cantSplit/>
        </w:trPr>
        <w:tc>
          <w:tcPr>
            <w:tcW w:w="1696" w:type="dxa"/>
            <w:tcBorders>
              <w:left w:val="single" w:sz="4" w:space="0" w:color="auto"/>
            </w:tcBorders>
            <w:shd w:val="clear" w:color="auto" w:fill="auto"/>
          </w:tcPr>
          <w:p w14:paraId="32F1C58F" w14:textId="77777777" w:rsidR="002A4DDF" w:rsidRPr="00937C8B" w:rsidRDefault="002A4DDF" w:rsidP="009110ED">
            <w:pPr>
              <w:rPr>
                <w:rFonts w:ascii="Arial" w:hAnsi="Arial" w:cs="Arial"/>
                <w:sz w:val="12"/>
                <w:szCs w:val="12"/>
              </w:rPr>
            </w:pPr>
          </w:p>
        </w:tc>
        <w:tc>
          <w:tcPr>
            <w:tcW w:w="1843" w:type="dxa"/>
            <w:shd w:val="clear" w:color="auto" w:fill="auto"/>
          </w:tcPr>
          <w:p w14:paraId="0034BC8C" w14:textId="77777777" w:rsidR="002A4DDF" w:rsidRPr="00937C8B" w:rsidRDefault="002A4DDF" w:rsidP="009110ED">
            <w:pPr>
              <w:rPr>
                <w:rFonts w:ascii="Arial" w:hAnsi="Arial" w:cs="Arial"/>
                <w:sz w:val="12"/>
                <w:szCs w:val="12"/>
              </w:rPr>
            </w:pPr>
          </w:p>
        </w:tc>
        <w:tc>
          <w:tcPr>
            <w:tcW w:w="2268" w:type="dxa"/>
            <w:shd w:val="clear" w:color="auto" w:fill="F2F2F2"/>
            <w:hideMark/>
          </w:tcPr>
          <w:p w14:paraId="0231F6D1" w14:textId="77777777" w:rsidR="002A4DDF" w:rsidRPr="00937C8B" w:rsidRDefault="002A4DDF" w:rsidP="009110ED">
            <w:pPr>
              <w:rPr>
                <w:rFonts w:ascii="Arial" w:hAnsi="Arial" w:cs="Arial"/>
                <w:sz w:val="12"/>
                <w:szCs w:val="12"/>
              </w:rPr>
            </w:pPr>
            <w:r>
              <w:rPr>
                <w:rFonts w:ascii="Arial" w:hAnsi="Arial"/>
                <w:sz w:val="12"/>
                <w:szCs w:val="12"/>
              </w:rPr>
              <w:t>Aitona</w:t>
            </w:r>
          </w:p>
        </w:tc>
        <w:tc>
          <w:tcPr>
            <w:tcW w:w="2268" w:type="dxa"/>
            <w:tcBorders>
              <w:right w:val="single" w:sz="4" w:space="0" w:color="auto"/>
            </w:tcBorders>
            <w:shd w:val="clear" w:color="auto" w:fill="D9D9D9"/>
            <w:hideMark/>
          </w:tcPr>
          <w:p w14:paraId="51D66CFE" w14:textId="77777777" w:rsidR="002A4DDF" w:rsidRPr="00937C8B" w:rsidRDefault="002A4DDF" w:rsidP="009110ED">
            <w:pPr>
              <w:rPr>
                <w:rFonts w:ascii="Arial" w:hAnsi="Arial" w:cs="Arial"/>
                <w:sz w:val="12"/>
                <w:szCs w:val="12"/>
              </w:rPr>
            </w:pPr>
            <w:r>
              <w:rPr>
                <w:rFonts w:ascii="Arial" w:hAnsi="Arial"/>
                <w:sz w:val="12"/>
                <w:szCs w:val="12"/>
              </w:rPr>
              <w:t>Alins</w:t>
            </w:r>
          </w:p>
        </w:tc>
      </w:tr>
      <w:tr w:rsidR="002A4DDF" w:rsidRPr="00937C8B" w14:paraId="2BB04FB4" w14:textId="77777777" w:rsidTr="00935676">
        <w:trPr>
          <w:cantSplit/>
        </w:trPr>
        <w:tc>
          <w:tcPr>
            <w:tcW w:w="1696" w:type="dxa"/>
            <w:tcBorders>
              <w:left w:val="single" w:sz="4" w:space="0" w:color="auto"/>
            </w:tcBorders>
            <w:shd w:val="clear" w:color="auto" w:fill="auto"/>
          </w:tcPr>
          <w:p w14:paraId="30C109E8" w14:textId="77777777" w:rsidR="002A4DDF" w:rsidRPr="00937C8B" w:rsidRDefault="002A4DDF" w:rsidP="009110ED">
            <w:pPr>
              <w:rPr>
                <w:rFonts w:ascii="Arial" w:hAnsi="Arial" w:cs="Arial"/>
                <w:sz w:val="12"/>
                <w:szCs w:val="12"/>
              </w:rPr>
            </w:pPr>
          </w:p>
        </w:tc>
        <w:tc>
          <w:tcPr>
            <w:tcW w:w="1843" w:type="dxa"/>
            <w:shd w:val="clear" w:color="auto" w:fill="auto"/>
          </w:tcPr>
          <w:p w14:paraId="78A5D016" w14:textId="77777777" w:rsidR="002A4DDF" w:rsidRPr="00937C8B" w:rsidRDefault="002A4DDF" w:rsidP="009110ED">
            <w:pPr>
              <w:rPr>
                <w:rFonts w:ascii="Arial" w:hAnsi="Arial" w:cs="Arial"/>
                <w:sz w:val="12"/>
                <w:szCs w:val="12"/>
              </w:rPr>
            </w:pPr>
          </w:p>
        </w:tc>
        <w:tc>
          <w:tcPr>
            <w:tcW w:w="2268" w:type="dxa"/>
            <w:shd w:val="clear" w:color="auto" w:fill="F2F2F2"/>
            <w:hideMark/>
          </w:tcPr>
          <w:p w14:paraId="0C2CCEC9" w14:textId="77777777" w:rsidR="002A4DDF" w:rsidRPr="00937C8B" w:rsidRDefault="002A4DDF" w:rsidP="009110ED">
            <w:pPr>
              <w:rPr>
                <w:rFonts w:ascii="Arial" w:hAnsi="Arial" w:cs="Arial"/>
                <w:sz w:val="12"/>
                <w:szCs w:val="12"/>
              </w:rPr>
            </w:pPr>
            <w:r>
              <w:rPr>
                <w:rFonts w:ascii="Arial" w:hAnsi="Arial"/>
                <w:sz w:val="12"/>
                <w:szCs w:val="12"/>
              </w:rPr>
              <w:t>Albatàrrec</w:t>
            </w:r>
          </w:p>
        </w:tc>
        <w:tc>
          <w:tcPr>
            <w:tcW w:w="2268" w:type="dxa"/>
            <w:tcBorders>
              <w:right w:val="single" w:sz="4" w:space="0" w:color="auto"/>
            </w:tcBorders>
            <w:shd w:val="clear" w:color="auto" w:fill="D9D9D9"/>
            <w:hideMark/>
          </w:tcPr>
          <w:p w14:paraId="2E05B2FD" w14:textId="77777777" w:rsidR="002A4DDF" w:rsidRPr="00937C8B" w:rsidRDefault="002A4DDF" w:rsidP="009110ED">
            <w:pPr>
              <w:rPr>
                <w:rFonts w:ascii="Arial" w:hAnsi="Arial" w:cs="Arial"/>
                <w:sz w:val="12"/>
                <w:szCs w:val="12"/>
              </w:rPr>
            </w:pPr>
            <w:r>
              <w:rPr>
                <w:rFonts w:ascii="Arial" w:hAnsi="Arial"/>
                <w:sz w:val="12"/>
                <w:szCs w:val="12"/>
              </w:rPr>
              <w:t>Alt Àneu</w:t>
            </w:r>
          </w:p>
        </w:tc>
      </w:tr>
      <w:tr w:rsidR="002A4DDF" w:rsidRPr="00937C8B" w14:paraId="509BC245" w14:textId="77777777" w:rsidTr="00935676">
        <w:trPr>
          <w:cantSplit/>
        </w:trPr>
        <w:tc>
          <w:tcPr>
            <w:tcW w:w="1696" w:type="dxa"/>
            <w:tcBorders>
              <w:left w:val="single" w:sz="4" w:space="0" w:color="auto"/>
            </w:tcBorders>
            <w:shd w:val="clear" w:color="auto" w:fill="auto"/>
          </w:tcPr>
          <w:p w14:paraId="25EE8449" w14:textId="77777777" w:rsidR="002A4DDF" w:rsidRPr="00937C8B" w:rsidRDefault="002A4DDF" w:rsidP="009110ED">
            <w:pPr>
              <w:rPr>
                <w:rFonts w:ascii="Arial" w:hAnsi="Arial" w:cs="Arial"/>
                <w:sz w:val="12"/>
                <w:szCs w:val="12"/>
              </w:rPr>
            </w:pPr>
          </w:p>
        </w:tc>
        <w:tc>
          <w:tcPr>
            <w:tcW w:w="1843" w:type="dxa"/>
            <w:shd w:val="clear" w:color="auto" w:fill="auto"/>
          </w:tcPr>
          <w:p w14:paraId="4A559A78" w14:textId="77777777" w:rsidR="002A4DDF" w:rsidRPr="00937C8B" w:rsidRDefault="002A4DDF" w:rsidP="009110ED">
            <w:pPr>
              <w:rPr>
                <w:rFonts w:ascii="Arial" w:hAnsi="Arial" w:cs="Arial"/>
                <w:sz w:val="12"/>
                <w:szCs w:val="12"/>
              </w:rPr>
            </w:pPr>
          </w:p>
        </w:tc>
        <w:tc>
          <w:tcPr>
            <w:tcW w:w="2268" w:type="dxa"/>
            <w:shd w:val="clear" w:color="auto" w:fill="F2F2F2"/>
            <w:hideMark/>
          </w:tcPr>
          <w:p w14:paraId="5113BF0A" w14:textId="77777777" w:rsidR="002A4DDF" w:rsidRPr="00937C8B" w:rsidRDefault="002A4DDF" w:rsidP="009110ED">
            <w:pPr>
              <w:rPr>
                <w:rFonts w:ascii="Arial" w:hAnsi="Arial" w:cs="Arial"/>
                <w:sz w:val="12"/>
                <w:szCs w:val="12"/>
              </w:rPr>
            </w:pPr>
            <w:r>
              <w:rPr>
                <w:rFonts w:ascii="Arial" w:hAnsi="Arial"/>
                <w:sz w:val="12"/>
                <w:szCs w:val="12"/>
              </w:rPr>
              <w:t>Albesa</w:t>
            </w:r>
          </w:p>
        </w:tc>
        <w:tc>
          <w:tcPr>
            <w:tcW w:w="2268" w:type="dxa"/>
            <w:tcBorders>
              <w:right w:val="single" w:sz="4" w:space="0" w:color="auto"/>
            </w:tcBorders>
            <w:shd w:val="clear" w:color="auto" w:fill="D9D9D9"/>
            <w:hideMark/>
          </w:tcPr>
          <w:p w14:paraId="7D94CD7A" w14:textId="77777777" w:rsidR="002A4DDF" w:rsidRPr="00937C8B" w:rsidRDefault="002A4DDF" w:rsidP="009110ED">
            <w:pPr>
              <w:rPr>
                <w:rFonts w:ascii="Arial" w:hAnsi="Arial" w:cs="Arial"/>
                <w:sz w:val="12"/>
                <w:szCs w:val="12"/>
              </w:rPr>
            </w:pPr>
            <w:r>
              <w:rPr>
                <w:rFonts w:ascii="Arial" w:hAnsi="Arial"/>
                <w:sz w:val="12"/>
                <w:szCs w:val="12"/>
              </w:rPr>
              <w:t>Arres</w:t>
            </w:r>
          </w:p>
        </w:tc>
      </w:tr>
      <w:tr w:rsidR="002A4DDF" w:rsidRPr="00937C8B" w14:paraId="4CD272DD" w14:textId="77777777" w:rsidTr="00935676">
        <w:trPr>
          <w:cantSplit/>
        </w:trPr>
        <w:tc>
          <w:tcPr>
            <w:tcW w:w="1696" w:type="dxa"/>
            <w:tcBorders>
              <w:left w:val="single" w:sz="4" w:space="0" w:color="auto"/>
            </w:tcBorders>
            <w:shd w:val="clear" w:color="auto" w:fill="auto"/>
          </w:tcPr>
          <w:p w14:paraId="0278C223" w14:textId="77777777" w:rsidR="002A4DDF" w:rsidRPr="00937C8B" w:rsidRDefault="002A4DDF" w:rsidP="009110ED">
            <w:pPr>
              <w:rPr>
                <w:rFonts w:ascii="Arial" w:hAnsi="Arial" w:cs="Arial"/>
                <w:sz w:val="12"/>
                <w:szCs w:val="12"/>
              </w:rPr>
            </w:pPr>
          </w:p>
        </w:tc>
        <w:tc>
          <w:tcPr>
            <w:tcW w:w="1843" w:type="dxa"/>
            <w:shd w:val="clear" w:color="auto" w:fill="auto"/>
          </w:tcPr>
          <w:p w14:paraId="6DBC6FDC" w14:textId="77777777" w:rsidR="002A4DDF" w:rsidRPr="00937C8B" w:rsidRDefault="002A4DDF" w:rsidP="009110ED">
            <w:pPr>
              <w:rPr>
                <w:rFonts w:ascii="Arial" w:hAnsi="Arial" w:cs="Arial"/>
                <w:sz w:val="12"/>
                <w:szCs w:val="12"/>
              </w:rPr>
            </w:pPr>
          </w:p>
        </w:tc>
        <w:tc>
          <w:tcPr>
            <w:tcW w:w="2268" w:type="dxa"/>
            <w:shd w:val="clear" w:color="auto" w:fill="F2F2F2"/>
            <w:hideMark/>
          </w:tcPr>
          <w:p w14:paraId="711C3F23" w14:textId="77777777" w:rsidR="002A4DDF" w:rsidRPr="00937C8B" w:rsidRDefault="002A4DDF" w:rsidP="009110ED">
            <w:pPr>
              <w:rPr>
                <w:rFonts w:ascii="Arial" w:hAnsi="Arial" w:cs="Arial"/>
                <w:sz w:val="12"/>
                <w:szCs w:val="12"/>
              </w:rPr>
            </w:pPr>
            <w:r>
              <w:rPr>
                <w:rFonts w:ascii="Arial" w:hAnsi="Arial"/>
                <w:sz w:val="12"/>
                <w:szCs w:val="12"/>
              </w:rPr>
              <w:t>Alcanó</w:t>
            </w:r>
          </w:p>
        </w:tc>
        <w:tc>
          <w:tcPr>
            <w:tcW w:w="2268" w:type="dxa"/>
            <w:tcBorders>
              <w:right w:val="single" w:sz="4" w:space="0" w:color="auto"/>
            </w:tcBorders>
            <w:shd w:val="clear" w:color="auto" w:fill="D9D9D9"/>
            <w:hideMark/>
          </w:tcPr>
          <w:p w14:paraId="63AF07FD" w14:textId="77777777" w:rsidR="002A4DDF" w:rsidRPr="00937C8B" w:rsidRDefault="002A4DDF" w:rsidP="009110ED">
            <w:pPr>
              <w:rPr>
                <w:rFonts w:ascii="Arial" w:hAnsi="Arial" w:cs="Arial"/>
                <w:sz w:val="12"/>
                <w:szCs w:val="12"/>
              </w:rPr>
            </w:pPr>
            <w:r>
              <w:rPr>
                <w:rFonts w:ascii="Arial" w:hAnsi="Arial"/>
                <w:sz w:val="12"/>
                <w:szCs w:val="12"/>
              </w:rPr>
              <w:t>Arsèguel</w:t>
            </w:r>
          </w:p>
        </w:tc>
      </w:tr>
      <w:tr w:rsidR="002A4DDF" w:rsidRPr="00937C8B" w14:paraId="04EDD5AA" w14:textId="77777777" w:rsidTr="00935676">
        <w:trPr>
          <w:cantSplit/>
        </w:trPr>
        <w:tc>
          <w:tcPr>
            <w:tcW w:w="1696" w:type="dxa"/>
            <w:tcBorders>
              <w:left w:val="single" w:sz="4" w:space="0" w:color="auto"/>
            </w:tcBorders>
            <w:shd w:val="clear" w:color="auto" w:fill="auto"/>
          </w:tcPr>
          <w:p w14:paraId="408D6F16" w14:textId="77777777" w:rsidR="002A4DDF" w:rsidRPr="00937C8B" w:rsidRDefault="002A4DDF" w:rsidP="009110ED">
            <w:pPr>
              <w:rPr>
                <w:rFonts w:ascii="Arial" w:hAnsi="Arial" w:cs="Arial"/>
                <w:sz w:val="12"/>
                <w:szCs w:val="12"/>
              </w:rPr>
            </w:pPr>
          </w:p>
        </w:tc>
        <w:tc>
          <w:tcPr>
            <w:tcW w:w="1843" w:type="dxa"/>
            <w:shd w:val="clear" w:color="auto" w:fill="auto"/>
          </w:tcPr>
          <w:p w14:paraId="0CEB80ED" w14:textId="77777777" w:rsidR="002A4DDF" w:rsidRPr="00937C8B" w:rsidRDefault="002A4DDF" w:rsidP="009110ED">
            <w:pPr>
              <w:rPr>
                <w:rFonts w:ascii="Arial" w:hAnsi="Arial" w:cs="Arial"/>
                <w:sz w:val="12"/>
                <w:szCs w:val="12"/>
              </w:rPr>
            </w:pPr>
          </w:p>
        </w:tc>
        <w:tc>
          <w:tcPr>
            <w:tcW w:w="2268" w:type="dxa"/>
            <w:shd w:val="clear" w:color="auto" w:fill="F2F2F2"/>
            <w:hideMark/>
          </w:tcPr>
          <w:p w14:paraId="41BDC715" w14:textId="77777777" w:rsidR="002A4DDF" w:rsidRPr="00937C8B" w:rsidRDefault="002A4DDF" w:rsidP="009110ED">
            <w:pPr>
              <w:rPr>
                <w:rFonts w:ascii="Arial" w:hAnsi="Arial" w:cs="Arial"/>
                <w:sz w:val="12"/>
                <w:szCs w:val="12"/>
              </w:rPr>
            </w:pPr>
            <w:r>
              <w:rPr>
                <w:rFonts w:ascii="Arial" w:hAnsi="Arial"/>
                <w:sz w:val="12"/>
                <w:szCs w:val="12"/>
              </w:rPr>
              <w:t>Alcarràs</w:t>
            </w:r>
          </w:p>
        </w:tc>
        <w:tc>
          <w:tcPr>
            <w:tcW w:w="2268" w:type="dxa"/>
            <w:tcBorders>
              <w:right w:val="single" w:sz="4" w:space="0" w:color="auto"/>
            </w:tcBorders>
            <w:shd w:val="clear" w:color="auto" w:fill="D9D9D9"/>
            <w:hideMark/>
          </w:tcPr>
          <w:p w14:paraId="288B594E" w14:textId="77777777" w:rsidR="002A4DDF" w:rsidRPr="00937C8B" w:rsidRDefault="002A4DDF" w:rsidP="009110ED">
            <w:pPr>
              <w:rPr>
                <w:rFonts w:ascii="Arial" w:hAnsi="Arial" w:cs="Arial"/>
                <w:sz w:val="12"/>
                <w:szCs w:val="12"/>
              </w:rPr>
            </w:pPr>
            <w:r>
              <w:rPr>
                <w:rFonts w:ascii="Arial" w:hAnsi="Arial"/>
                <w:sz w:val="12"/>
                <w:szCs w:val="12"/>
              </w:rPr>
              <w:t>Baix Pallars</w:t>
            </w:r>
          </w:p>
        </w:tc>
      </w:tr>
      <w:tr w:rsidR="002A4DDF" w:rsidRPr="00937C8B" w14:paraId="5053780C" w14:textId="77777777" w:rsidTr="00935676">
        <w:trPr>
          <w:cantSplit/>
        </w:trPr>
        <w:tc>
          <w:tcPr>
            <w:tcW w:w="1696" w:type="dxa"/>
            <w:tcBorders>
              <w:left w:val="single" w:sz="4" w:space="0" w:color="auto"/>
            </w:tcBorders>
            <w:shd w:val="clear" w:color="auto" w:fill="auto"/>
          </w:tcPr>
          <w:p w14:paraId="332A8372" w14:textId="77777777" w:rsidR="002A4DDF" w:rsidRPr="00937C8B" w:rsidRDefault="002A4DDF" w:rsidP="009110ED">
            <w:pPr>
              <w:rPr>
                <w:rFonts w:ascii="Arial" w:hAnsi="Arial" w:cs="Arial"/>
                <w:sz w:val="12"/>
                <w:szCs w:val="12"/>
              </w:rPr>
            </w:pPr>
          </w:p>
        </w:tc>
        <w:tc>
          <w:tcPr>
            <w:tcW w:w="1843" w:type="dxa"/>
            <w:shd w:val="clear" w:color="auto" w:fill="auto"/>
          </w:tcPr>
          <w:p w14:paraId="01017819" w14:textId="77777777" w:rsidR="002A4DDF" w:rsidRPr="00937C8B" w:rsidRDefault="002A4DDF" w:rsidP="009110ED">
            <w:pPr>
              <w:rPr>
                <w:rFonts w:ascii="Arial" w:hAnsi="Arial" w:cs="Arial"/>
                <w:sz w:val="12"/>
                <w:szCs w:val="12"/>
              </w:rPr>
            </w:pPr>
          </w:p>
        </w:tc>
        <w:tc>
          <w:tcPr>
            <w:tcW w:w="2268" w:type="dxa"/>
            <w:shd w:val="clear" w:color="auto" w:fill="F2F2F2"/>
            <w:hideMark/>
          </w:tcPr>
          <w:p w14:paraId="3068F5BB" w14:textId="77777777" w:rsidR="002A4DDF" w:rsidRPr="00937C8B" w:rsidRDefault="002A4DDF" w:rsidP="009110ED">
            <w:pPr>
              <w:rPr>
                <w:rFonts w:ascii="Arial" w:hAnsi="Arial" w:cs="Arial"/>
                <w:sz w:val="12"/>
                <w:szCs w:val="12"/>
              </w:rPr>
            </w:pPr>
            <w:r>
              <w:rPr>
                <w:rFonts w:ascii="Arial" w:hAnsi="Arial"/>
                <w:sz w:val="12"/>
                <w:szCs w:val="12"/>
              </w:rPr>
              <w:t>Alcoletge</w:t>
            </w:r>
          </w:p>
        </w:tc>
        <w:tc>
          <w:tcPr>
            <w:tcW w:w="2268" w:type="dxa"/>
            <w:tcBorders>
              <w:right w:val="single" w:sz="4" w:space="0" w:color="auto"/>
            </w:tcBorders>
            <w:shd w:val="clear" w:color="auto" w:fill="D9D9D9"/>
            <w:hideMark/>
          </w:tcPr>
          <w:p w14:paraId="45A7C593" w14:textId="77777777" w:rsidR="002A4DDF" w:rsidRPr="00937C8B" w:rsidRDefault="002A4DDF" w:rsidP="009110ED">
            <w:pPr>
              <w:rPr>
                <w:rFonts w:ascii="Arial" w:hAnsi="Arial" w:cs="Arial"/>
                <w:sz w:val="12"/>
                <w:szCs w:val="12"/>
              </w:rPr>
            </w:pPr>
            <w:r>
              <w:rPr>
                <w:rFonts w:ascii="Arial" w:hAnsi="Arial"/>
                <w:sz w:val="12"/>
                <w:szCs w:val="12"/>
              </w:rPr>
              <w:t>Bausen</w:t>
            </w:r>
          </w:p>
        </w:tc>
      </w:tr>
      <w:tr w:rsidR="002A4DDF" w:rsidRPr="00937C8B" w14:paraId="54EBED56" w14:textId="77777777" w:rsidTr="00935676">
        <w:trPr>
          <w:cantSplit/>
        </w:trPr>
        <w:tc>
          <w:tcPr>
            <w:tcW w:w="1696" w:type="dxa"/>
            <w:tcBorders>
              <w:left w:val="single" w:sz="4" w:space="0" w:color="auto"/>
            </w:tcBorders>
            <w:shd w:val="clear" w:color="auto" w:fill="auto"/>
          </w:tcPr>
          <w:p w14:paraId="2D314C36" w14:textId="77777777" w:rsidR="002A4DDF" w:rsidRPr="00937C8B" w:rsidRDefault="002A4DDF" w:rsidP="009110ED">
            <w:pPr>
              <w:rPr>
                <w:rFonts w:ascii="Arial" w:hAnsi="Arial" w:cs="Arial"/>
                <w:sz w:val="12"/>
                <w:szCs w:val="12"/>
              </w:rPr>
            </w:pPr>
          </w:p>
        </w:tc>
        <w:tc>
          <w:tcPr>
            <w:tcW w:w="1843" w:type="dxa"/>
            <w:shd w:val="clear" w:color="auto" w:fill="auto"/>
          </w:tcPr>
          <w:p w14:paraId="57458404" w14:textId="77777777" w:rsidR="002A4DDF" w:rsidRPr="00937C8B" w:rsidRDefault="002A4DDF" w:rsidP="009110ED">
            <w:pPr>
              <w:rPr>
                <w:rFonts w:ascii="Arial" w:hAnsi="Arial" w:cs="Arial"/>
                <w:sz w:val="12"/>
                <w:szCs w:val="12"/>
              </w:rPr>
            </w:pPr>
          </w:p>
        </w:tc>
        <w:tc>
          <w:tcPr>
            <w:tcW w:w="2268" w:type="dxa"/>
            <w:shd w:val="clear" w:color="auto" w:fill="F2F2F2"/>
            <w:hideMark/>
          </w:tcPr>
          <w:p w14:paraId="20E66379" w14:textId="77777777" w:rsidR="002A4DDF" w:rsidRPr="00937C8B" w:rsidRDefault="002A4DDF" w:rsidP="009110ED">
            <w:pPr>
              <w:rPr>
                <w:rFonts w:ascii="Arial" w:hAnsi="Arial" w:cs="Arial"/>
                <w:sz w:val="12"/>
                <w:szCs w:val="12"/>
              </w:rPr>
            </w:pPr>
            <w:r>
              <w:rPr>
                <w:rFonts w:ascii="Arial" w:hAnsi="Arial"/>
                <w:sz w:val="12"/>
                <w:szCs w:val="12"/>
              </w:rPr>
              <w:t>Alguaire</w:t>
            </w:r>
          </w:p>
        </w:tc>
        <w:tc>
          <w:tcPr>
            <w:tcW w:w="2268" w:type="dxa"/>
            <w:tcBorders>
              <w:right w:val="single" w:sz="4" w:space="0" w:color="auto"/>
            </w:tcBorders>
            <w:shd w:val="clear" w:color="auto" w:fill="D9D9D9"/>
            <w:hideMark/>
          </w:tcPr>
          <w:p w14:paraId="4182E084" w14:textId="77777777" w:rsidR="002A4DDF" w:rsidRPr="00937C8B" w:rsidRDefault="002A4DDF" w:rsidP="009110ED">
            <w:pPr>
              <w:rPr>
                <w:rFonts w:ascii="Arial" w:hAnsi="Arial" w:cs="Arial"/>
                <w:sz w:val="12"/>
                <w:szCs w:val="12"/>
              </w:rPr>
            </w:pPr>
            <w:r>
              <w:rPr>
                <w:rFonts w:ascii="Arial" w:hAnsi="Arial"/>
                <w:sz w:val="12"/>
                <w:szCs w:val="12"/>
              </w:rPr>
              <w:t>Bellver de Cerdanya</w:t>
            </w:r>
          </w:p>
        </w:tc>
      </w:tr>
      <w:tr w:rsidR="002A4DDF" w:rsidRPr="00937C8B" w14:paraId="5B1A3859" w14:textId="77777777" w:rsidTr="00935676">
        <w:trPr>
          <w:cantSplit/>
        </w:trPr>
        <w:tc>
          <w:tcPr>
            <w:tcW w:w="1696" w:type="dxa"/>
            <w:tcBorders>
              <w:left w:val="single" w:sz="4" w:space="0" w:color="auto"/>
            </w:tcBorders>
            <w:shd w:val="clear" w:color="auto" w:fill="auto"/>
          </w:tcPr>
          <w:p w14:paraId="79FCDDB8" w14:textId="77777777" w:rsidR="002A4DDF" w:rsidRPr="00937C8B" w:rsidRDefault="002A4DDF" w:rsidP="009110ED">
            <w:pPr>
              <w:rPr>
                <w:rFonts w:ascii="Arial" w:hAnsi="Arial" w:cs="Arial"/>
                <w:sz w:val="12"/>
                <w:szCs w:val="12"/>
              </w:rPr>
            </w:pPr>
          </w:p>
        </w:tc>
        <w:tc>
          <w:tcPr>
            <w:tcW w:w="1843" w:type="dxa"/>
            <w:shd w:val="clear" w:color="auto" w:fill="auto"/>
          </w:tcPr>
          <w:p w14:paraId="74D2E81B" w14:textId="77777777" w:rsidR="002A4DDF" w:rsidRPr="00937C8B" w:rsidRDefault="002A4DDF" w:rsidP="009110ED">
            <w:pPr>
              <w:rPr>
                <w:rFonts w:ascii="Arial" w:hAnsi="Arial" w:cs="Arial"/>
                <w:sz w:val="12"/>
                <w:szCs w:val="12"/>
              </w:rPr>
            </w:pPr>
          </w:p>
        </w:tc>
        <w:tc>
          <w:tcPr>
            <w:tcW w:w="2268" w:type="dxa"/>
            <w:shd w:val="clear" w:color="auto" w:fill="F2F2F2"/>
            <w:hideMark/>
          </w:tcPr>
          <w:p w14:paraId="5A1F5535" w14:textId="77777777" w:rsidR="002A4DDF" w:rsidRPr="00937C8B" w:rsidRDefault="002A4DDF" w:rsidP="009110ED">
            <w:pPr>
              <w:rPr>
                <w:rFonts w:ascii="Arial" w:hAnsi="Arial" w:cs="Arial"/>
                <w:sz w:val="12"/>
                <w:szCs w:val="12"/>
              </w:rPr>
            </w:pPr>
            <w:r>
              <w:rPr>
                <w:rFonts w:ascii="Arial" w:hAnsi="Arial"/>
                <w:sz w:val="12"/>
                <w:szCs w:val="12"/>
              </w:rPr>
              <w:t>Almacelles</w:t>
            </w:r>
          </w:p>
        </w:tc>
        <w:tc>
          <w:tcPr>
            <w:tcW w:w="2268" w:type="dxa"/>
            <w:tcBorders>
              <w:right w:val="single" w:sz="4" w:space="0" w:color="auto"/>
            </w:tcBorders>
            <w:shd w:val="clear" w:color="auto" w:fill="D9D9D9"/>
            <w:hideMark/>
          </w:tcPr>
          <w:p w14:paraId="7F14C6C4" w14:textId="77777777" w:rsidR="002A4DDF" w:rsidRPr="00937C8B" w:rsidRDefault="002A4DDF" w:rsidP="009110ED">
            <w:pPr>
              <w:rPr>
                <w:rFonts w:ascii="Arial" w:hAnsi="Arial" w:cs="Arial"/>
                <w:sz w:val="12"/>
                <w:szCs w:val="12"/>
              </w:rPr>
            </w:pPr>
            <w:r>
              <w:rPr>
                <w:rFonts w:ascii="Arial" w:hAnsi="Arial"/>
                <w:sz w:val="12"/>
                <w:szCs w:val="12"/>
              </w:rPr>
              <w:t>Canejan</w:t>
            </w:r>
          </w:p>
        </w:tc>
      </w:tr>
      <w:tr w:rsidR="002A4DDF" w:rsidRPr="00937C8B" w14:paraId="1F403C51" w14:textId="77777777" w:rsidTr="00935676">
        <w:trPr>
          <w:cantSplit/>
        </w:trPr>
        <w:tc>
          <w:tcPr>
            <w:tcW w:w="1696" w:type="dxa"/>
            <w:tcBorders>
              <w:left w:val="single" w:sz="4" w:space="0" w:color="auto"/>
            </w:tcBorders>
            <w:shd w:val="clear" w:color="auto" w:fill="auto"/>
          </w:tcPr>
          <w:p w14:paraId="17F0A4F2" w14:textId="77777777" w:rsidR="002A4DDF" w:rsidRPr="00937C8B" w:rsidRDefault="002A4DDF" w:rsidP="009110ED">
            <w:pPr>
              <w:rPr>
                <w:rFonts w:ascii="Arial" w:hAnsi="Arial" w:cs="Arial"/>
                <w:sz w:val="12"/>
                <w:szCs w:val="12"/>
              </w:rPr>
            </w:pPr>
          </w:p>
        </w:tc>
        <w:tc>
          <w:tcPr>
            <w:tcW w:w="1843" w:type="dxa"/>
            <w:shd w:val="clear" w:color="auto" w:fill="auto"/>
          </w:tcPr>
          <w:p w14:paraId="05F4A000" w14:textId="77777777" w:rsidR="002A4DDF" w:rsidRPr="00937C8B" w:rsidRDefault="002A4DDF" w:rsidP="009110ED">
            <w:pPr>
              <w:rPr>
                <w:rFonts w:ascii="Arial" w:hAnsi="Arial" w:cs="Arial"/>
                <w:sz w:val="12"/>
                <w:szCs w:val="12"/>
              </w:rPr>
            </w:pPr>
          </w:p>
        </w:tc>
        <w:tc>
          <w:tcPr>
            <w:tcW w:w="2268" w:type="dxa"/>
            <w:shd w:val="clear" w:color="auto" w:fill="F2F2F2"/>
            <w:hideMark/>
          </w:tcPr>
          <w:p w14:paraId="14AAC970" w14:textId="77777777" w:rsidR="002A4DDF" w:rsidRPr="00937C8B" w:rsidRDefault="002A4DDF" w:rsidP="009110ED">
            <w:pPr>
              <w:rPr>
                <w:rFonts w:ascii="Arial" w:hAnsi="Arial" w:cs="Arial"/>
                <w:sz w:val="12"/>
                <w:szCs w:val="12"/>
              </w:rPr>
            </w:pPr>
            <w:r>
              <w:rPr>
                <w:rFonts w:ascii="Arial" w:hAnsi="Arial"/>
                <w:sz w:val="12"/>
                <w:szCs w:val="12"/>
              </w:rPr>
              <w:t>Alpicat</w:t>
            </w:r>
          </w:p>
        </w:tc>
        <w:tc>
          <w:tcPr>
            <w:tcW w:w="2268" w:type="dxa"/>
            <w:tcBorders>
              <w:right w:val="single" w:sz="4" w:space="0" w:color="auto"/>
            </w:tcBorders>
            <w:shd w:val="clear" w:color="auto" w:fill="D9D9D9"/>
            <w:hideMark/>
          </w:tcPr>
          <w:p w14:paraId="76FE9252" w14:textId="77777777" w:rsidR="002A4DDF" w:rsidRPr="00937C8B" w:rsidRDefault="002A4DDF" w:rsidP="009110ED">
            <w:pPr>
              <w:rPr>
                <w:rFonts w:ascii="Arial" w:hAnsi="Arial" w:cs="Arial"/>
                <w:sz w:val="12"/>
                <w:szCs w:val="12"/>
              </w:rPr>
            </w:pPr>
            <w:r>
              <w:rPr>
                <w:rFonts w:ascii="Arial" w:hAnsi="Arial"/>
                <w:sz w:val="12"/>
                <w:szCs w:val="12"/>
              </w:rPr>
              <w:t>Cava</w:t>
            </w:r>
          </w:p>
        </w:tc>
      </w:tr>
      <w:tr w:rsidR="002A4DDF" w:rsidRPr="00937C8B" w14:paraId="232F53DF" w14:textId="77777777" w:rsidTr="00935676">
        <w:trPr>
          <w:cantSplit/>
        </w:trPr>
        <w:tc>
          <w:tcPr>
            <w:tcW w:w="1696" w:type="dxa"/>
            <w:tcBorders>
              <w:left w:val="single" w:sz="4" w:space="0" w:color="auto"/>
            </w:tcBorders>
            <w:shd w:val="clear" w:color="auto" w:fill="auto"/>
          </w:tcPr>
          <w:p w14:paraId="7E56B1E2" w14:textId="77777777" w:rsidR="002A4DDF" w:rsidRPr="00937C8B" w:rsidRDefault="002A4DDF" w:rsidP="009110ED">
            <w:pPr>
              <w:rPr>
                <w:rFonts w:ascii="Arial" w:hAnsi="Arial" w:cs="Arial"/>
                <w:sz w:val="12"/>
                <w:szCs w:val="12"/>
              </w:rPr>
            </w:pPr>
          </w:p>
        </w:tc>
        <w:tc>
          <w:tcPr>
            <w:tcW w:w="1843" w:type="dxa"/>
            <w:shd w:val="clear" w:color="auto" w:fill="auto"/>
          </w:tcPr>
          <w:p w14:paraId="5EF32FB9" w14:textId="77777777" w:rsidR="002A4DDF" w:rsidRPr="00937C8B" w:rsidRDefault="002A4DDF" w:rsidP="009110ED">
            <w:pPr>
              <w:rPr>
                <w:rFonts w:ascii="Arial" w:hAnsi="Arial" w:cs="Arial"/>
                <w:sz w:val="12"/>
                <w:szCs w:val="12"/>
              </w:rPr>
            </w:pPr>
          </w:p>
        </w:tc>
        <w:tc>
          <w:tcPr>
            <w:tcW w:w="2268" w:type="dxa"/>
            <w:shd w:val="clear" w:color="auto" w:fill="F2F2F2"/>
            <w:hideMark/>
          </w:tcPr>
          <w:p w14:paraId="327AB987" w14:textId="77777777" w:rsidR="002A4DDF" w:rsidRPr="00937C8B" w:rsidRDefault="002A4DDF" w:rsidP="009110ED">
            <w:pPr>
              <w:rPr>
                <w:rFonts w:ascii="Arial" w:hAnsi="Arial" w:cs="Arial"/>
                <w:sz w:val="12"/>
                <w:szCs w:val="12"/>
              </w:rPr>
            </w:pPr>
            <w:r>
              <w:rPr>
                <w:rFonts w:ascii="Arial" w:hAnsi="Arial"/>
                <w:sz w:val="12"/>
                <w:szCs w:val="12"/>
              </w:rPr>
              <w:t>Anglesola</w:t>
            </w:r>
          </w:p>
        </w:tc>
        <w:tc>
          <w:tcPr>
            <w:tcW w:w="2268" w:type="dxa"/>
            <w:tcBorders>
              <w:right w:val="single" w:sz="4" w:space="0" w:color="auto"/>
            </w:tcBorders>
            <w:shd w:val="clear" w:color="auto" w:fill="D9D9D9"/>
            <w:hideMark/>
          </w:tcPr>
          <w:p w14:paraId="292C4A69" w14:textId="77777777" w:rsidR="002A4DDF" w:rsidRPr="00937C8B" w:rsidRDefault="002A4DDF" w:rsidP="009110ED">
            <w:pPr>
              <w:rPr>
                <w:rFonts w:ascii="Arial" w:hAnsi="Arial" w:cs="Arial"/>
                <w:sz w:val="12"/>
                <w:szCs w:val="12"/>
              </w:rPr>
            </w:pPr>
            <w:r>
              <w:rPr>
                <w:rFonts w:ascii="Arial" w:hAnsi="Arial"/>
                <w:sz w:val="12"/>
                <w:szCs w:val="12"/>
              </w:rPr>
              <w:t>El Pont de Bar</w:t>
            </w:r>
          </w:p>
        </w:tc>
      </w:tr>
      <w:tr w:rsidR="002A4DDF" w:rsidRPr="00937C8B" w14:paraId="05292067" w14:textId="77777777" w:rsidTr="00935676">
        <w:trPr>
          <w:cantSplit/>
        </w:trPr>
        <w:tc>
          <w:tcPr>
            <w:tcW w:w="1696" w:type="dxa"/>
            <w:tcBorders>
              <w:left w:val="single" w:sz="4" w:space="0" w:color="auto"/>
            </w:tcBorders>
            <w:shd w:val="clear" w:color="auto" w:fill="auto"/>
          </w:tcPr>
          <w:p w14:paraId="69B14E8D" w14:textId="77777777" w:rsidR="002A4DDF" w:rsidRPr="00937C8B" w:rsidRDefault="002A4DDF" w:rsidP="009110ED">
            <w:pPr>
              <w:rPr>
                <w:rFonts w:ascii="Arial" w:hAnsi="Arial" w:cs="Arial"/>
                <w:sz w:val="12"/>
                <w:szCs w:val="12"/>
              </w:rPr>
            </w:pPr>
          </w:p>
        </w:tc>
        <w:tc>
          <w:tcPr>
            <w:tcW w:w="1843" w:type="dxa"/>
            <w:shd w:val="clear" w:color="auto" w:fill="auto"/>
          </w:tcPr>
          <w:p w14:paraId="521F6E6F" w14:textId="77777777" w:rsidR="002A4DDF" w:rsidRPr="00937C8B" w:rsidRDefault="002A4DDF" w:rsidP="009110ED">
            <w:pPr>
              <w:rPr>
                <w:rFonts w:ascii="Arial" w:hAnsi="Arial" w:cs="Arial"/>
                <w:sz w:val="12"/>
                <w:szCs w:val="12"/>
              </w:rPr>
            </w:pPr>
          </w:p>
        </w:tc>
        <w:tc>
          <w:tcPr>
            <w:tcW w:w="2268" w:type="dxa"/>
            <w:shd w:val="clear" w:color="auto" w:fill="F2F2F2"/>
            <w:hideMark/>
          </w:tcPr>
          <w:p w14:paraId="1ADC71CB" w14:textId="77777777" w:rsidR="002A4DDF" w:rsidRPr="00937C8B" w:rsidRDefault="002A4DDF" w:rsidP="009110ED">
            <w:pPr>
              <w:rPr>
                <w:rFonts w:ascii="Arial" w:hAnsi="Arial" w:cs="Arial"/>
                <w:sz w:val="12"/>
                <w:szCs w:val="12"/>
              </w:rPr>
            </w:pPr>
            <w:r>
              <w:rPr>
                <w:rFonts w:ascii="Arial" w:hAnsi="Arial"/>
                <w:sz w:val="12"/>
                <w:szCs w:val="12"/>
              </w:rPr>
              <w:t>Balaguer</w:t>
            </w:r>
          </w:p>
        </w:tc>
        <w:tc>
          <w:tcPr>
            <w:tcW w:w="2268" w:type="dxa"/>
            <w:tcBorders>
              <w:right w:val="single" w:sz="4" w:space="0" w:color="auto"/>
            </w:tcBorders>
            <w:shd w:val="clear" w:color="auto" w:fill="D9D9D9"/>
            <w:hideMark/>
          </w:tcPr>
          <w:p w14:paraId="16062794" w14:textId="77777777" w:rsidR="002A4DDF" w:rsidRPr="00937C8B" w:rsidRDefault="002A4DDF" w:rsidP="009110ED">
            <w:pPr>
              <w:rPr>
                <w:rFonts w:ascii="Arial" w:hAnsi="Arial" w:cs="Arial"/>
                <w:sz w:val="12"/>
                <w:szCs w:val="12"/>
              </w:rPr>
            </w:pPr>
            <w:r>
              <w:rPr>
                <w:rFonts w:ascii="Arial" w:hAnsi="Arial"/>
                <w:sz w:val="12"/>
                <w:szCs w:val="12"/>
              </w:rPr>
              <w:t>El Pont de Suert</w:t>
            </w:r>
          </w:p>
        </w:tc>
      </w:tr>
      <w:tr w:rsidR="002A4DDF" w:rsidRPr="00937C8B" w14:paraId="6CF2203C" w14:textId="77777777" w:rsidTr="00935676">
        <w:trPr>
          <w:cantSplit/>
        </w:trPr>
        <w:tc>
          <w:tcPr>
            <w:tcW w:w="1696" w:type="dxa"/>
            <w:tcBorders>
              <w:left w:val="single" w:sz="4" w:space="0" w:color="auto"/>
            </w:tcBorders>
            <w:shd w:val="clear" w:color="auto" w:fill="auto"/>
          </w:tcPr>
          <w:p w14:paraId="15CCB569" w14:textId="77777777" w:rsidR="002A4DDF" w:rsidRPr="00937C8B" w:rsidRDefault="002A4DDF" w:rsidP="009110ED">
            <w:pPr>
              <w:rPr>
                <w:rFonts w:ascii="Arial" w:hAnsi="Arial" w:cs="Arial"/>
                <w:sz w:val="12"/>
                <w:szCs w:val="12"/>
              </w:rPr>
            </w:pPr>
          </w:p>
        </w:tc>
        <w:tc>
          <w:tcPr>
            <w:tcW w:w="1843" w:type="dxa"/>
            <w:shd w:val="clear" w:color="auto" w:fill="auto"/>
          </w:tcPr>
          <w:p w14:paraId="69583424" w14:textId="77777777" w:rsidR="002A4DDF" w:rsidRPr="00937C8B" w:rsidRDefault="002A4DDF" w:rsidP="009110ED">
            <w:pPr>
              <w:rPr>
                <w:rFonts w:ascii="Arial" w:hAnsi="Arial" w:cs="Arial"/>
                <w:sz w:val="12"/>
                <w:szCs w:val="12"/>
              </w:rPr>
            </w:pPr>
          </w:p>
        </w:tc>
        <w:tc>
          <w:tcPr>
            <w:tcW w:w="2268" w:type="dxa"/>
            <w:shd w:val="clear" w:color="auto" w:fill="F2F2F2"/>
            <w:hideMark/>
          </w:tcPr>
          <w:p w14:paraId="77D52F5A" w14:textId="77777777" w:rsidR="002A4DDF" w:rsidRPr="00937C8B" w:rsidRDefault="002A4DDF" w:rsidP="009110ED">
            <w:pPr>
              <w:rPr>
                <w:rFonts w:ascii="Arial" w:hAnsi="Arial" w:cs="Arial"/>
                <w:sz w:val="12"/>
                <w:szCs w:val="12"/>
              </w:rPr>
            </w:pPr>
            <w:r>
              <w:rPr>
                <w:rFonts w:ascii="Arial" w:hAnsi="Arial"/>
                <w:sz w:val="12"/>
                <w:szCs w:val="12"/>
              </w:rPr>
              <w:t>Barbens</w:t>
            </w:r>
          </w:p>
        </w:tc>
        <w:tc>
          <w:tcPr>
            <w:tcW w:w="2268" w:type="dxa"/>
            <w:tcBorders>
              <w:right w:val="single" w:sz="4" w:space="0" w:color="auto"/>
            </w:tcBorders>
            <w:shd w:val="clear" w:color="auto" w:fill="D9D9D9"/>
            <w:hideMark/>
          </w:tcPr>
          <w:p w14:paraId="48868D93" w14:textId="77777777" w:rsidR="002A4DDF" w:rsidRPr="00937C8B" w:rsidRDefault="002A4DDF" w:rsidP="009110ED">
            <w:pPr>
              <w:rPr>
                <w:rFonts w:ascii="Arial" w:hAnsi="Arial" w:cs="Arial"/>
                <w:sz w:val="12"/>
                <w:szCs w:val="12"/>
              </w:rPr>
            </w:pPr>
            <w:r>
              <w:rPr>
                <w:rFonts w:ascii="Arial" w:hAnsi="Arial"/>
                <w:sz w:val="12"/>
                <w:szCs w:val="12"/>
              </w:rPr>
              <w:t>Es Bòrdes</w:t>
            </w:r>
          </w:p>
        </w:tc>
      </w:tr>
      <w:tr w:rsidR="002A4DDF" w:rsidRPr="00937C8B" w14:paraId="3F755153" w14:textId="77777777" w:rsidTr="00935676">
        <w:trPr>
          <w:cantSplit/>
        </w:trPr>
        <w:tc>
          <w:tcPr>
            <w:tcW w:w="1696" w:type="dxa"/>
            <w:tcBorders>
              <w:left w:val="single" w:sz="4" w:space="0" w:color="auto"/>
            </w:tcBorders>
            <w:shd w:val="clear" w:color="auto" w:fill="auto"/>
          </w:tcPr>
          <w:p w14:paraId="1FCB83DA" w14:textId="77777777" w:rsidR="002A4DDF" w:rsidRPr="00937C8B" w:rsidRDefault="002A4DDF" w:rsidP="009110ED">
            <w:pPr>
              <w:rPr>
                <w:rFonts w:ascii="Arial" w:hAnsi="Arial" w:cs="Arial"/>
                <w:sz w:val="12"/>
                <w:szCs w:val="12"/>
              </w:rPr>
            </w:pPr>
          </w:p>
        </w:tc>
        <w:tc>
          <w:tcPr>
            <w:tcW w:w="1843" w:type="dxa"/>
            <w:shd w:val="clear" w:color="auto" w:fill="auto"/>
          </w:tcPr>
          <w:p w14:paraId="5D8E04F4" w14:textId="77777777" w:rsidR="002A4DDF" w:rsidRPr="00937C8B" w:rsidRDefault="002A4DDF" w:rsidP="009110ED">
            <w:pPr>
              <w:rPr>
                <w:rFonts w:ascii="Arial" w:hAnsi="Arial" w:cs="Arial"/>
                <w:sz w:val="12"/>
                <w:szCs w:val="12"/>
              </w:rPr>
            </w:pPr>
          </w:p>
        </w:tc>
        <w:tc>
          <w:tcPr>
            <w:tcW w:w="2268" w:type="dxa"/>
            <w:shd w:val="clear" w:color="auto" w:fill="F2F2F2"/>
            <w:hideMark/>
          </w:tcPr>
          <w:p w14:paraId="2C60FEC6" w14:textId="77777777" w:rsidR="002A4DDF" w:rsidRPr="00937C8B" w:rsidRDefault="002A4DDF" w:rsidP="009110ED">
            <w:pPr>
              <w:rPr>
                <w:rFonts w:ascii="Arial" w:hAnsi="Arial" w:cs="Arial"/>
                <w:sz w:val="12"/>
                <w:szCs w:val="12"/>
              </w:rPr>
            </w:pPr>
            <w:r>
              <w:rPr>
                <w:rFonts w:ascii="Arial" w:hAnsi="Arial"/>
                <w:sz w:val="12"/>
                <w:szCs w:val="12"/>
              </w:rPr>
              <w:t>Bellcaire d'Urgell</w:t>
            </w:r>
          </w:p>
        </w:tc>
        <w:tc>
          <w:tcPr>
            <w:tcW w:w="2268" w:type="dxa"/>
            <w:tcBorders>
              <w:right w:val="single" w:sz="4" w:space="0" w:color="auto"/>
            </w:tcBorders>
            <w:shd w:val="clear" w:color="auto" w:fill="D9D9D9"/>
            <w:hideMark/>
          </w:tcPr>
          <w:p w14:paraId="201ACE9E" w14:textId="77777777" w:rsidR="002A4DDF" w:rsidRPr="00937C8B" w:rsidRDefault="002A4DDF" w:rsidP="009110ED">
            <w:pPr>
              <w:rPr>
                <w:rFonts w:ascii="Arial" w:hAnsi="Arial" w:cs="Arial"/>
                <w:sz w:val="12"/>
                <w:szCs w:val="12"/>
              </w:rPr>
            </w:pPr>
            <w:r>
              <w:rPr>
                <w:rFonts w:ascii="Arial" w:hAnsi="Arial"/>
                <w:sz w:val="12"/>
                <w:szCs w:val="12"/>
              </w:rPr>
              <w:t>Estamariu</w:t>
            </w:r>
          </w:p>
        </w:tc>
      </w:tr>
      <w:tr w:rsidR="002A4DDF" w:rsidRPr="00937C8B" w14:paraId="326E845B" w14:textId="77777777" w:rsidTr="00935676">
        <w:trPr>
          <w:cantSplit/>
        </w:trPr>
        <w:tc>
          <w:tcPr>
            <w:tcW w:w="1696" w:type="dxa"/>
            <w:tcBorders>
              <w:left w:val="single" w:sz="4" w:space="0" w:color="auto"/>
            </w:tcBorders>
            <w:shd w:val="clear" w:color="auto" w:fill="auto"/>
          </w:tcPr>
          <w:p w14:paraId="12BDB366" w14:textId="77777777" w:rsidR="002A4DDF" w:rsidRPr="00937C8B" w:rsidRDefault="002A4DDF" w:rsidP="009110ED">
            <w:pPr>
              <w:rPr>
                <w:rFonts w:ascii="Arial" w:hAnsi="Arial" w:cs="Arial"/>
                <w:sz w:val="12"/>
                <w:szCs w:val="12"/>
              </w:rPr>
            </w:pPr>
          </w:p>
        </w:tc>
        <w:tc>
          <w:tcPr>
            <w:tcW w:w="1843" w:type="dxa"/>
            <w:shd w:val="clear" w:color="auto" w:fill="auto"/>
          </w:tcPr>
          <w:p w14:paraId="12980628" w14:textId="77777777" w:rsidR="002A4DDF" w:rsidRPr="00937C8B" w:rsidRDefault="002A4DDF" w:rsidP="009110ED">
            <w:pPr>
              <w:rPr>
                <w:rFonts w:ascii="Arial" w:hAnsi="Arial" w:cs="Arial"/>
                <w:sz w:val="12"/>
                <w:szCs w:val="12"/>
              </w:rPr>
            </w:pPr>
          </w:p>
        </w:tc>
        <w:tc>
          <w:tcPr>
            <w:tcW w:w="2268" w:type="dxa"/>
            <w:shd w:val="clear" w:color="auto" w:fill="F2F2F2"/>
            <w:hideMark/>
          </w:tcPr>
          <w:p w14:paraId="6D30E58D" w14:textId="77777777" w:rsidR="002A4DDF" w:rsidRPr="00937C8B" w:rsidRDefault="002A4DDF" w:rsidP="009110ED">
            <w:pPr>
              <w:rPr>
                <w:rFonts w:ascii="Arial" w:hAnsi="Arial" w:cs="Arial"/>
                <w:sz w:val="12"/>
                <w:szCs w:val="12"/>
              </w:rPr>
            </w:pPr>
            <w:r>
              <w:rPr>
                <w:rFonts w:ascii="Arial" w:hAnsi="Arial"/>
                <w:sz w:val="12"/>
                <w:szCs w:val="12"/>
              </w:rPr>
              <w:t>Bell-lloc d'Urgell</w:t>
            </w:r>
          </w:p>
        </w:tc>
        <w:tc>
          <w:tcPr>
            <w:tcW w:w="2268" w:type="dxa"/>
            <w:tcBorders>
              <w:right w:val="single" w:sz="4" w:space="0" w:color="auto"/>
            </w:tcBorders>
            <w:shd w:val="clear" w:color="auto" w:fill="D9D9D9"/>
            <w:hideMark/>
          </w:tcPr>
          <w:p w14:paraId="07E334D5" w14:textId="77777777" w:rsidR="002A4DDF" w:rsidRPr="00937C8B" w:rsidRDefault="002A4DDF" w:rsidP="009110ED">
            <w:pPr>
              <w:rPr>
                <w:rFonts w:ascii="Arial" w:hAnsi="Arial" w:cs="Arial"/>
                <w:sz w:val="12"/>
                <w:szCs w:val="12"/>
              </w:rPr>
            </w:pPr>
            <w:r>
              <w:rPr>
                <w:rFonts w:ascii="Arial" w:hAnsi="Arial"/>
                <w:sz w:val="12"/>
                <w:szCs w:val="12"/>
              </w:rPr>
              <w:t>Esterri d'Àneu</w:t>
            </w:r>
          </w:p>
        </w:tc>
      </w:tr>
      <w:tr w:rsidR="002A4DDF" w:rsidRPr="00937C8B" w14:paraId="699B27E1" w14:textId="77777777" w:rsidTr="00935676">
        <w:trPr>
          <w:cantSplit/>
        </w:trPr>
        <w:tc>
          <w:tcPr>
            <w:tcW w:w="1696" w:type="dxa"/>
            <w:tcBorders>
              <w:left w:val="single" w:sz="4" w:space="0" w:color="auto"/>
            </w:tcBorders>
            <w:shd w:val="clear" w:color="auto" w:fill="auto"/>
          </w:tcPr>
          <w:p w14:paraId="54D85AA5" w14:textId="77777777" w:rsidR="002A4DDF" w:rsidRPr="00937C8B" w:rsidRDefault="002A4DDF" w:rsidP="009110ED">
            <w:pPr>
              <w:rPr>
                <w:rFonts w:ascii="Arial" w:hAnsi="Arial" w:cs="Arial"/>
                <w:sz w:val="12"/>
                <w:szCs w:val="12"/>
              </w:rPr>
            </w:pPr>
          </w:p>
        </w:tc>
        <w:tc>
          <w:tcPr>
            <w:tcW w:w="1843" w:type="dxa"/>
            <w:shd w:val="clear" w:color="auto" w:fill="auto"/>
          </w:tcPr>
          <w:p w14:paraId="0B1A3FA4" w14:textId="77777777" w:rsidR="002A4DDF" w:rsidRPr="00937C8B" w:rsidRDefault="002A4DDF" w:rsidP="009110ED">
            <w:pPr>
              <w:rPr>
                <w:rFonts w:ascii="Arial" w:hAnsi="Arial" w:cs="Arial"/>
                <w:sz w:val="12"/>
                <w:szCs w:val="12"/>
              </w:rPr>
            </w:pPr>
          </w:p>
        </w:tc>
        <w:tc>
          <w:tcPr>
            <w:tcW w:w="2268" w:type="dxa"/>
            <w:shd w:val="clear" w:color="auto" w:fill="F2F2F2"/>
            <w:hideMark/>
          </w:tcPr>
          <w:p w14:paraId="090825F0" w14:textId="77777777" w:rsidR="002A4DDF" w:rsidRPr="00937C8B" w:rsidRDefault="002A4DDF" w:rsidP="009110ED">
            <w:pPr>
              <w:rPr>
                <w:rFonts w:ascii="Arial" w:hAnsi="Arial" w:cs="Arial"/>
                <w:sz w:val="12"/>
                <w:szCs w:val="12"/>
              </w:rPr>
            </w:pPr>
            <w:r>
              <w:rPr>
                <w:rFonts w:ascii="Arial" w:hAnsi="Arial"/>
                <w:sz w:val="12"/>
                <w:szCs w:val="12"/>
              </w:rPr>
              <w:t>Bellpuig</w:t>
            </w:r>
          </w:p>
        </w:tc>
        <w:tc>
          <w:tcPr>
            <w:tcW w:w="2268" w:type="dxa"/>
            <w:tcBorders>
              <w:right w:val="single" w:sz="4" w:space="0" w:color="auto"/>
            </w:tcBorders>
            <w:shd w:val="clear" w:color="auto" w:fill="D9D9D9"/>
            <w:hideMark/>
          </w:tcPr>
          <w:p w14:paraId="18A413E0" w14:textId="77777777" w:rsidR="002A4DDF" w:rsidRPr="00937C8B" w:rsidRDefault="002A4DDF" w:rsidP="009110ED">
            <w:pPr>
              <w:rPr>
                <w:rFonts w:ascii="Arial" w:hAnsi="Arial" w:cs="Arial"/>
                <w:sz w:val="12"/>
                <w:szCs w:val="12"/>
              </w:rPr>
            </w:pPr>
            <w:r>
              <w:rPr>
                <w:rFonts w:ascii="Arial" w:hAnsi="Arial"/>
                <w:sz w:val="12"/>
                <w:szCs w:val="12"/>
              </w:rPr>
              <w:t>Esterri de Cardós</w:t>
            </w:r>
          </w:p>
        </w:tc>
      </w:tr>
      <w:tr w:rsidR="002A4DDF" w:rsidRPr="00937C8B" w14:paraId="436292D3" w14:textId="77777777" w:rsidTr="00935676">
        <w:trPr>
          <w:cantSplit/>
        </w:trPr>
        <w:tc>
          <w:tcPr>
            <w:tcW w:w="1696" w:type="dxa"/>
            <w:tcBorders>
              <w:left w:val="single" w:sz="4" w:space="0" w:color="auto"/>
            </w:tcBorders>
            <w:shd w:val="clear" w:color="auto" w:fill="auto"/>
          </w:tcPr>
          <w:p w14:paraId="0055C2BA" w14:textId="77777777" w:rsidR="002A4DDF" w:rsidRPr="00937C8B" w:rsidRDefault="002A4DDF" w:rsidP="009110ED">
            <w:pPr>
              <w:rPr>
                <w:rFonts w:ascii="Arial" w:hAnsi="Arial" w:cs="Arial"/>
                <w:sz w:val="12"/>
                <w:szCs w:val="12"/>
              </w:rPr>
            </w:pPr>
          </w:p>
        </w:tc>
        <w:tc>
          <w:tcPr>
            <w:tcW w:w="1843" w:type="dxa"/>
            <w:shd w:val="clear" w:color="auto" w:fill="auto"/>
          </w:tcPr>
          <w:p w14:paraId="751C00D4" w14:textId="77777777" w:rsidR="002A4DDF" w:rsidRPr="00937C8B" w:rsidRDefault="002A4DDF" w:rsidP="009110ED">
            <w:pPr>
              <w:rPr>
                <w:rFonts w:ascii="Arial" w:hAnsi="Arial" w:cs="Arial"/>
                <w:sz w:val="12"/>
                <w:szCs w:val="12"/>
              </w:rPr>
            </w:pPr>
          </w:p>
        </w:tc>
        <w:tc>
          <w:tcPr>
            <w:tcW w:w="2268" w:type="dxa"/>
            <w:shd w:val="clear" w:color="auto" w:fill="F2F2F2"/>
            <w:hideMark/>
          </w:tcPr>
          <w:p w14:paraId="4E58CC1D" w14:textId="77777777" w:rsidR="002A4DDF" w:rsidRPr="00937C8B" w:rsidRDefault="002A4DDF" w:rsidP="009110ED">
            <w:pPr>
              <w:rPr>
                <w:rFonts w:ascii="Arial" w:hAnsi="Arial" w:cs="Arial"/>
                <w:sz w:val="12"/>
                <w:szCs w:val="12"/>
              </w:rPr>
            </w:pPr>
            <w:r>
              <w:rPr>
                <w:rFonts w:ascii="Arial" w:hAnsi="Arial"/>
                <w:sz w:val="12"/>
                <w:szCs w:val="12"/>
              </w:rPr>
              <w:t>Biosca</w:t>
            </w:r>
          </w:p>
        </w:tc>
        <w:tc>
          <w:tcPr>
            <w:tcW w:w="2268" w:type="dxa"/>
            <w:tcBorders>
              <w:right w:val="single" w:sz="4" w:space="0" w:color="auto"/>
            </w:tcBorders>
            <w:shd w:val="clear" w:color="auto" w:fill="D9D9D9"/>
            <w:hideMark/>
          </w:tcPr>
          <w:p w14:paraId="3F9B4994" w14:textId="77777777" w:rsidR="002A4DDF" w:rsidRPr="00937C8B" w:rsidRDefault="002A4DDF" w:rsidP="009110ED">
            <w:pPr>
              <w:rPr>
                <w:rFonts w:ascii="Arial" w:hAnsi="Arial" w:cs="Arial"/>
                <w:sz w:val="12"/>
                <w:szCs w:val="12"/>
              </w:rPr>
            </w:pPr>
            <w:r>
              <w:rPr>
                <w:rFonts w:ascii="Arial" w:hAnsi="Arial"/>
                <w:sz w:val="12"/>
                <w:szCs w:val="12"/>
              </w:rPr>
              <w:t>Farrera</w:t>
            </w:r>
          </w:p>
        </w:tc>
      </w:tr>
      <w:tr w:rsidR="002A4DDF" w:rsidRPr="00937C8B" w14:paraId="045BA5BD" w14:textId="77777777" w:rsidTr="00935676">
        <w:trPr>
          <w:cantSplit/>
        </w:trPr>
        <w:tc>
          <w:tcPr>
            <w:tcW w:w="1696" w:type="dxa"/>
            <w:tcBorders>
              <w:left w:val="single" w:sz="4" w:space="0" w:color="auto"/>
            </w:tcBorders>
            <w:shd w:val="clear" w:color="auto" w:fill="auto"/>
          </w:tcPr>
          <w:p w14:paraId="37A77D3F" w14:textId="77777777" w:rsidR="002A4DDF" w:rsidRPr="00937C8B" w:rsidRDefault="002A4DDF" w:rsidP="009110ED">
            <w:pPr>
              <w:rPr>
                <w:rFonts w:ascii="Arial" w:hAnsi="Arial" w:cs="Arial"/>
                <w:sz w:val="12"/>
                <w:szCs w:val="12"/>
              </w:rPr>
            </w:pPr>
          </w:p>
        </w:tc>
        <w:tc>
          <w:tcPr>
            <w:tcW w:w="1843" w:type="dxa"/>
            <w:shd w:val="clear" w:color="auto" w:fill="auto"/>
          </w:tcPr>
          <w:p w14:paraId="2F7CB680" w14:textId="77777777" w:rsidR="002A4DDF" w:rsidRPr="00937C8B" w:rsidRDefault="002A4DDF" w:rsidP="009110ED">
            <w:pPr>
              <w:rPr>
                <w:rFonts w:ascii="Arial" w:hAnsi="Arial" w:cs="Arial"/>
                <w:sz w:val="12"/>
                <w:szCs w:val="12"/>
              </w:rPr>
            </w:pPr>
          </w:p>
        </w:tc>
        <w:tc>
          <w:tcPr>
            <w:tcW w:w="2268" w:type="dxa"/>
            <w:shd w:val="clear" w:color="auto" w:fill="F2F2F2"/>
            <w:hideMark/>
          </w:tcPr>
          <w:p w14:paraId="5E721375" w14:textId="77777777" w:rsidR="002A4DDF" w:rsidRPr="00937C8B" w:rsidRDefault="002A4DDF" w:rsidP="009110ED">
            <w:pPr>
              <w:rPr>
                <w:rFonts w:ascii="Arial" w:hAnsi="Arial" w:cs="Arial"/>
                <w:sz w:val="12"/>
                <w:szCs w:val="12"/>
              </w:rPr>
            </w:pPr>
            <w:r>
              <w:rPr>
                <w:rFonts w:ascii="Arial" w:hAnsi="Arial"/>
                <w:sz w:val="12"/>
                <w:szCs w:val="12"/>
              </w:rPr>
              <w:t>Bossòst</w:t>
            </w:r>
          </w:p>
        </w:tc>
        <w:tc>
          <w:tcPr>
            <w:tcW w:w="2268" w:type="dxa"/>
            <w:tcBorders>
              <w:right w:val="single" w:sz="4" w:space="0" w:color="auto"/>
            </w:tcBorders>
            <w:shd w:val="clear" w:color="auto" w:fill="D9D9D9"/>
            <w:hideMark/>
          </w:tcPr>
          <w:p w14:paraId="596149DE" w14:textId="77777777" w:rsidR="002A4DDF" w:rsidRPr="00937C8B" w:rsidRDefault="002A4DDF" w:rsidP="009110ED">
            <w:pPr>
              <w:rPr>
                <w:rFonts w:ascii="Arial" w:hAnsi="Arial" w:cs="Arial"/>
                <w:sz w:val="12"/>
                <w:szCs w:val="12"/>
              </w:rPr>
            </w:pPr>
            <w:r>
              <w:rPr>
                <w:rFonts w:ascii="Arial" w:hAnsi="Arial"/>
                <w:sz w:val="12"/>
                <w:szCs w:val="12"/>
              </w:rPr>
              <w:t>La Guingueta d'Àneu</w:t>
            </w:r>
          </w:p>
        </w:tc>
      </w:tr>
      <w:tr w:rsidR="002A4DDF" w:rsidRPr="00937C8B" w14:paraId="0A33F2ED" w14:textId="77777777" w:rsidTr="00935676">
        <w:trPr>
          <w:cantSplit/>
        </w:trPr>
        <w:tc>
          <w:tcPr>
            <w:tcW w:w="1696" w:type="dxa"/>
            <w:tcBorders>
              <w:left w:val="single" w:sz="4" w:space="0" w:color="auto"/>
            </w:tcBorders>
            <w:shd w:val="clear" w:color="auto" w:fill="auto"/>
          </w:tcPr>
          <w:p w14:paraId="4AF20034" w14:textId="77777777" w:rsidR="002A4DDF" w:rsidRPr="00937C8B" w:rsidRDefault="002A4DDF" w:rsidP="009110ED">
            <w:pPr>
              <w:rPr>
                <w:rFonts w:ascii="Arial" w:hAnsi="Arial" w:cs="Arial"/>
                <w:sz w:val="12"/>
                <w:szCs w:val="12"/>
              </w:rPr>
            </w:pPr>
          </w:p>
        </w:tc>
        <w:tc>
          <w:tcPr>
            <w:tcW w:w="1843" w:type="dxa"/>
            <w:shd w:val="clear" w:color="auto" w:fill="auto"/>
          </w:tcPr>
          <w:p w14:paraId="40FE9BBD" w14:textId="77777777" w:rsidR="002A4DDF" w:rsidRPr="00937C8B" w:rsidRDefault="002A4DDF" w:rsidP="009110ED">
            <w:pPr>
              <w:rPr>
                <w:rFonts w:ascii="Arial" w:hAnsi="Arial" w:cs="Arial"/>
                <w:sz w:val="12"/>
                <w:szCs w:val="12"/>
              </w:rPr>
            </w:pPr>
          </w:p>
        </w:tc>
        <w:tc>
          <w:tcPr>
            <w:tcW w:w="2268" w:type="dxa"/>
            <w:shd w:val="clear" w:color="auto" w:fill="F2F2F2"/>
            <w:hideMark/>
          </w:tcPr>
          <w:p w14:paraId="02A97B21" w14:textId="77777777" w:rsidR="002A4DDF" w:rsidRPr="00937C8B" w:rsidRDefault="002A4DDF" w:rsidP="009110ED">
            <w:pPr>
              <w:rPr>
                <w:rFonts w:ascii="Arial" w:hAnsi="Arial" w:cs="Arial"/>
                <w:sz w:val="12"/>
                <w:szCs w:val="12"/>
              </w:rPr>
            </w:pPr>
            <w:r>
              <w:rPr>
                <w:rFonts w:ascii="Arial" w:hAnsi="Arial"/>
                <w:sz w:val="12"/>
                <w:szCs w:val="12"/>
              </w:rPr>
              <w:t>Cabó</w:t>
            </w:r>
          </w:p>
        </w:tc>
        <w:tc>
          <w:tcPr>
            <w:tcW w:w="2268" w:type="dxa"/>
            <w:tcBorders>
              <w:right w:val="single" w:sz="4" w:space="0" w:color="auto"/>
            </w:tcBorders>
            <w:shd w:val="clear" w:color="auto" w:fill="D9D9D9"/>
            <w:hideMark/>
          </w:tcPr>
          <w:p w14:paraId="3AE54FD2" w14:textId="77777777" w:rsidR="002A4DDF" w:rsidRPr="00937C8B" w:rsidRDefault="002A4DDF" w:rsidP="009110ED">
            <w:pPr>
              <w:rPr>
                <w:rFonts w:ascii="Arial" w:hAnsi="Arial" w:cs="Arial"/>
                <w:sz w:val="12"/>
                <w:szCs w:val="12"/>
              </w:rPr>
            </w:pPr>
            <w:r>
              <w:rPr>
                <w:rFonts w:ascii="Arial" w:hAnsi="Arial"/>
                <w:sz w:val="12"/>
                <w:szCs w:val="12"/>
              </w:rPr>
              <w:t>La Seu d'Urgell</w:t>
            </w:r>
          </w:p>
        </w:tc>
      </w:tr>
      <w:tr w:rsidR="002A4DDF" w:rsidRPr="00937C8B" w14:paraId="1A87B493" w14:textId="77777777" w:rsidTr="00935676">
        <w:trPr>
          <w:cantSplit/>
        </w:trPr>
        <w:tc>
          <w:tcPr>
            <w:tcW w:w="1696" w:type="dxa"/>
            <w:tcBorders>
              <w:left w:val="single" w:sz="4" w:space="0" w:color="auto"/>
            </w:tcBorders>
            <w:shd w:val="clear" w:color="auto" w:fill="auto"/>
          </w:tcPr>
          <w:p w14:paraId="05FB2B18" w14:textId="77777777" w:rsidR="002A4DDF" w:rsidRPr="00937C8B" w:rsidRDefault="002A4DDF" w:rsidP="009110ED">
            <w:pPr>
              <w:rPr>
                <w:rFonts w:ascii="Arial" w:hAnsi="Arial" w:cs="Arial"/>
                <w:sz w:val="12"/>
                <w:szCs w:val="12"/>
              </w:rPr>
            </w:pPr>
          </w:p>
        </w:tc>
        <w:tc>
          <w:tcPr>
            <w:tcW w:w="1843" w:type="dxa"/>
            <w:shd w:val="clear" w:color="auto" w:fill="auto"/>
          </w:tcPr>
          <w:p w14:paraId="0FB0E5A7" w14:textId="77777777" w:rsidR="002A4DDF" w:rsidRPr="00937C8B" w:rsidRDefault="002A4DDF" w:rsidP="009110ED">
            <w:pPr>
              <w:rPr>
                <w:rFonts w:ascii="Arial" w:hAnsi="Arial" w:cs="Arial"/>
                <w:sz w:val="12"/>
                <w:szCs w:val="12"/>
              </w:rPr>
            </w:pPr>
          </w:p>
        </w:tc>
        <w:tc>
          <w:tcPr>
            <w:tcW w:w="2268" w:type="dxa"/>
            <w:shd w:val="clear" w:color="auto" w:fill="F2F2F2"/>
            <w:hideMark/>
          </w:tcPr>
          <w:p w14:paraId="1066F869" w14:textId="77777777" w:rsidR="002A4DDF" w:rsidRPr="00937C8B" w:rsidRDefault="002A4DDF" w:rsidP="009110ED">
            <w:pPr>
              <w:rPr>
                <w:rFonts w:ascii="Arial" w:hAnsi="Arial" w:cs="Arial"/>
                <w:sz w:val="12"/>
                <w:szCs w:val="12"/>
              </w:rPr>
            </w:pPr>
            <w:r>
              <w:rPr>
                <w:rFonts w:ascii="Arial" w:hAnsi="Arial"/>
                <w:sz w:val="12"/>
                <w:szCs w:val="12"/>
              </w:rPr>
              <w:t>Castellnou de Seana</w:t>
            </w:r>
          </w:p>
        </w:tc>
        <w:tc>
          <w:tcPr>
            <w:tcW w:w="2268" w:type="dxa"/>
            <w:tcBorders>
              <w:right w:val="single" w:sz="4" w:space="0" w:color="auto"/>
            </w:tcBorders>
            <w:shd w:val="clear" w:color="auto" w:fill="D9D9D9"/>
            <w:hideMark/>
          </w:tcPr>
          <w:p w14:paraId="59548539" w14:textId="77777777" w:rsidR="002A4DDF" w:rsidRPr="00937C8B" w:rsidRDefault="002A4DDF" w:rsidP="009110ED">
            <w:pPr>
              <w:rPr>
                <w:rFonts w:ascii="Arial" w:hAnsi="Arial" w:cs="Arial"/>
                <w:sz w:val="12"/>
                <w:szCs w:val="12"/>
              </w:rPr>
            </w:pPr>
            <w:r>
              <w:rPr>
                <w:rFonts w:ascii="Arial" w:hAnsi="Arial"/>
                <w:sz w:val="12"/>
                <w:szCs w:val="12"/>
              </w:rPr>
              <w:t>La Torre de Cabdella</w:t>
            </w:r>
          </w:p>
        </w:tc>
      </w:tr>
      <w:tr w:rsidR="002A4DDF" w:rsidRPr="00937C8B" w14:paraId="5A4B51B3" w14:textId="77777777" w:rsidTr="00935676">
        <w:trPr>
          <w:cantSplit/>
        </w:trPr>
        <w:tc>
          <w:tcPr>
            <w:tcW w:w="1696" w:type="dxa"/>
            <w:tcBorders>
              <w:left w:val="single" w:sz="4" w:space="0" w:color="auto"/>
            </w:tcBorders>
            <w:shd w:val="clear" w:color="auto" w:fill="auto"/>
          </w:tcPr>
          <w:p w14:paraId="63272F36" w14:textId="77777777" w:rsidR="002A4DDF" w:rsidRPr="00937C8B" w:rsidRDefault="002A4DDF" w:rsidP="009110ED">
            <w:pPr>
              <w:rPr>
                <w:rFonts w:ascii="Arial" w:hAnsi="Arial" w:cs="Arial"/>
                <w:sz w:val="12"/>
                <w:szCs w:val="12"/>
              </w:rPr>
            </w:pPr>
          </w:p>
        </w:tc>
        <w:tc>
          <w:tcPr>
            <w:tcW w:w="1843" w:type="dxa"/>
            <w:shd w:val="clear" w:color="auto" w:fill="auto"/>
          </w:tcPr>
          <w:p w14:paraId="714B1337" w14:textId="77777777" w:rsidR="002A4DDF" w:rsidRPr="00937C8B" w:rsidRDefault="002A4DDF" w:rsidP="009110ED">
            <w:pPr>
              <w:rPr>
                <w:rFonts w:ascii="Arial" w:hAnsi="Arial" w:cs="Arial"/>
                <w:sz w:val="12"/>
                <w:szCs w:val="12"/>
              </w:rPr>
            </w:pPr>
          </w:p>
        </w:tc>
        <w:tc>
          <w:tcPr>
            <w:tcW w:w="2268" w:type="dxa"/>
            <w:shd w:val="clear" w:color="auto" w:fill="F2F2F2"/>
            <w:hideMark/>
          </w:tcPr>
          <w:p w14:paraId="682D14B2" w14:textId="77777777" w:rsidR="002A4DDF" w:rsidRPr="00937C8B" w:rsidRDefault="002A4DDF" w:rsidP="009110ED">
            <w:pPr>
              <w:rPr>
                <w:rFonts w:ascii="Arial" w:hAnsi="Arial" w:cs="Arial"/>
                <w:sz w:val="12"/>
                <w:szCs w:val="12"/>
              </w:rPr>
            </w:pPr>
            <w:r>
              <w:rPr>
                <w:rFonts w:ascii="Arial" w:hAnsi="Arial"/>
                <w:sz w:val="12"/>
                <w:szCs w:val="12"/>
              </w:rPr>
              <w:t>Castellserà</w:t>
            </w:r>
          </w:p>
        </w:tc>
        <w:tc>
          <w:tcPr>
            <w:tcW w:w="2268" w:type="dxa"/>
            <w:tcBorders>
              <w:right w:val="single" w:sz="4" w:space="0" w:color="auto"/>
            </w:tcBorders>
            <w:shd w:val="clear" w:color="auto" w:fill="D9D9D9"/>
            <w:hideMark/>
          </w:tcPr>
          <w:p w14:paraId="247FEA46" w14:textId="77777777" w:rsidR="002A4DDF" w:rsidRPr="00937C8B" w:rsidRDefault="002A4DDF" w:rsidP="009110ED">
            <w:pPr>
              <w:rPr>
                <w:rFonts w:ascii="Arial" w:hAnsi="Arial" w:cs="Arial"/>
                <w:sz w:val="12"/>
                <w:szCs w:val="12"/>
              </w:rPr>
            </w:pPr>
            <w:r>
              <w:rPr>
                <w:rFonts w:ascii="Arial" w:hAnsi="Arial"/>
                <w:sz w:val="12"/>
                <w:szCs w:val="12"/>
              </w:rPr>
              <w:t>La Vall de Boí</w:t>
            </w:r>
          </w:p>
        </w:tc>
      </w:tr>
      <w:tr w:rsidR="002A4DDF" w:rsidRPr="00937C8B" w14:paraId="6C39E07B" w14:textId="77777777" w:rsidTr="00935676">
        <w:trPr>
          <w:cantSplit/>
        </w:trPr>
        <w:tc>
          <w:tcPr>
            <w:tcW w:w="1696" w:type="dxa"/>
            <w:tcBorders>
              <w:left w:val="single" w:sz="4" w:space="0" w:color="auto"/>
            </w:tcBorders>
            <w:shd w:val="clear" w:color="auto" w:fill="auto"/>
          </w:tcPr>
          <w:p w14:paraId="168A2ACE" w14:textId="77777777" w:rsidR="002A4DDF" w:rsidRPr="00937C8B" w:rsidRDefault="002A4DDF" w:rsidP="009110ED">
            <w:pPr>
              <w:rPr>
                <w:rFonts w:ascii="Arial" w:hAnsi="Arial" w:cs="Arial"/>
                <w:sz w:val="12"/>
                <w:szCs w:val="12"/>
              </w:rPr>
            </w:pPr>
          </w:p>
        </w:tc>
        <w:tc>
          <w:tcPr>
            <w:tcW w:w="1843" w:type="dxa"/>
            <w:shd w:val="clear" w:color="auto" w:fill="auto"/>
          </w:tcPr>
          <w:p w14:paraId="4D98CE18" w14:textId="77777777" w:rsidR="002A4DDF" w:rsidRPr="00937C8B" w:rsidRDefault="002A4DDF" w:rsidP="009110ED">
            <w:pPr>
              <w:rPr>
                <w:rFonts w:ascii="Arial" w:hAnsi="Arial" w:cs="Arial"/>
                <w:sz w:val="12"/>
                <w:szCs w:val="12"/>
              </w:rPr>
            </w:pPr>
          </w:p>
        </w:tc>
        <w:tc>
          <w:tcPr>
            <w:tcW w:w="2268" w:type="dxa"/>
            <w:shd w:val="clear" w:color="auto" w:fill="F2F2F2"/>
            <w:hideMark/>
          </w:tcPr>
          <w:p w14:paraId="7A273D77" w14:textId="77777777" w:rsidR="002A4DDF" w:rsidRPr="00937C8B" w:rsidRDefault="002A4DDF" w:rsidP="009110ED">
            <w:pPr>
              <w:rPr>
                <w:rFonts w:ascii="Arial" w:hAnsi="Arial" w:cs="Arial"/>
                <w:sz w:val="12"/>
                <w:szCs w:val="12"/>
              </w:rPr>
            </w:pPr>
            <w:r>
              <w:rPr>
                <w:rFonts w:ascii="Arial" w:hAnsi="Arial"/>
                <w:sz w:val="12"/>
                <w:szCs w:val="12"/>
              </w:rPr>
              <w:t>Cervera</w:t>
            </w:r>
          </w:p>
        </w:tc>
        <w:tc>
          <w:tcPr>
            <w:tcW w:w="2268" w:type="dxa"/>
            <w:tcBorders>
              <w:right w:val="single" w:sz="4" w:space="0" w:color="auto"/>
            </w:tcBorders>
            <w:shd w:val="clear" w:color="auto" w:fill="D9D9D9"/>
            <w:hideMark/>
          </w:tcPr>
          <w:p w14:paraId="4E6DFAC3" w14:textId="77777777" w:rsidR="002A4DDF" w:rsidRPr="00937C8B" w:rsidRDefault="002A4DDF" w:rsidP="009110ED">
            <w:pPr>
              <w:rPr>
                <w:rFonts w:ascii="Arial" w:hAnsi="Arial" w:cs="Arial"/>
                <w:sz w:val="12"/>
                <w:szCs w:val="12"/>
              </w:rPr>
            </w:pPr>
            <w:r>
              <w:rPr>
                <w:rFonts w:ascii="Arial" w:hAnsi="Arial"/>
                <w:sz w:val="12"/>
                <w:szCs w:val="12"/>
              </w:rPr>
              <w:t>Les</w:t>
            </w:r>
          </w:p>
        </w:tc>
      </w:tr>
      <w:tr w:rsidR="002A4DDF" w:rsidRPr="00937C8B" w14:paraId="5F682F7A" w14:textId="77777777" w:rsidTr="00935676">
        <w:trPr>
          <w:cantSplit/>
        </w:trPr>
        <w:tc>
          <w:tcPr>
            <w:tcW w:w="1696" w:type="dxa"/>
            <w:tcBorders>
              <w:left w:val="single" w:sz="4" w:space="0" w:color="auto"/>
            </w:tcBorders>
            <w:shd w:val="clear" w:color="auto" w:fill="auto"/>
          </w:tcPr>
          <w:p w14:paraId="0365C021" w14:textId="77777777" w:rsidR="002A4DDF" w:rsidRPr="00937C8B" w:rsidRDefault="002A4DDF" w:rsidP="009110ED">
            <w:pPr>
              <w:rPr>
                <w:rFonts w:ascii="Arial" w:hAnsi="Arial" w:cs="Arial"/>
                <w:sz w:val="12"/>
                <w:szCs w:val="12"/>
              </w:rPr>
            </w:pPr>
          </w:p>
        </w:tc>
        <w:tc>
          <w:tcPr>
            <w:tcW w:w="1843" w:type="dxa"/>
            <w:shd w:val="clear" w:color="auto" w:fill="auto"/>
          </w:tcPr>
          <w:p w14:paraId="718865C3" w14:textId="77777777" w:rsidR="002A4DDF" w:rsidRPr="00937C8B" w:rsidRDefault="002A4DDF" w:rsidP="009110ED">
            <w:pPr>
              <w:rPr>
                <w:rFonts w:ascii="Arial" w:hAnsi="Arial" w:cs="Arial"/>
                <w:sz w:val="12"/>
                <w:szCs w:val="12"/>
              </w:rPr>
            </w:pPr>
          </w:p>
        </w:tc>
        <w:tc>
          <w:tcPr>
            <w:tcW w:w="2268" w:type="dxa"/>
            <w:shd w:val="clear" w:color="auto" w:fill="F2F2F2"/>
            <w:hideMark/>
          </w:tcPr>
          <w:p w14:paraId="18B4D763" w14:textId="77777777" w:rsidR="002A4DDF" w:rsidRPr="00937C8B" w:rsidRDefault="002A4DDF" w:rsidP="009110ED">
            <w:pPr>
              <w:rPr>
                <w:rFonts w:ascii="Arial" w:hAnsi="Arial" w:cs="Arial"/>
                <w:sz w:val="12"/>
                <w:szCs w:val="12"/>
              </w:rPr>
            </w:pPr>
            <w:r>
              <w:rPr>
                <w:rFonts w:ascii="Arial" w:hAnsi="Arial"/>
                <w:sz w:val="12"/>
                <w:szCs w:val="12"/>
              </w:rPr>
              <w:t>Corbins</w:t>
            </w:r>
          </w:p>
        </w:tc>
        <w:tc>
          <w:tcPr>
            <w:tcW w:w="2268" w:type="dxa"/>
            <w:tcBorders>
              <w:right w:val="single" w:sz="4" w:space="0" w:color="auto"/>
            </w:tcBorders>
            <w:shd w:val="clear" w:color="auto" w:fill="D9D9D9"/>
            <w:hideMark/>
          </w:tcPr>
          <w:p w14:paraId="6CB7BA04" w14:textId="77777777" w:rsidR="002A4DDF" w:rsidRPr="00937C8B" w:rsidRDefault="002A4DDF" w:rsidP="009110ED">
            <w:pPr>
              <w:rPr>
                <w:rFonts w:ascii="Arial" w:hAnsi="Arial" w:cs="Arial"/>
                <w:sz w:val="12"/>
                <w:szCs w:val="12"/>
              </w:rPr>
            </w:pPr>
            <w:r>
              <w:rPr>
                <w:rFonts w:ascii="Arial" w:hAnsi="Arial"/>
                <w:sz w:val="12"/>
                <w:szCs w:val="12"/>
              </w:rPr>
              <w:t>Les Valls d'Aguilar</w:t>
            </w:r>
          </w:p>
        </w:tc>
      </w:tr>
      <w:tr w:rsidR="002A4DDF" w:rsidRPr="00937C8B" w14:paraId="7EAFA272" w14:textId="77777777" w:rsidTr="00935676">
        <w:trPr>
          <w:cantSplit/>
        </w:trPr>
        <w:tc>
          <w:tcPr>
            <w:tcW w:w="1696" w:type="dxa"/>
            <w:tcBorders>
              <w:left w:val="single" w:sz="4" w:space="0" w:color="auto"/>
            </w:tcBorders>
            <w:shd w:val="clear" w:color="auto" w:fill="auto"/>
          </w:tcPr>
          <w:p w14:paraId="3AF23742" w14:textId="77777777" w:rsidR="002A4DDF" w:rsidRPr="00937C8B" w:rsidRDefault="002A4DDF" w:rsidP="009110ED">
            <w:pPr>
              <w:rPr>
                <w:rFonts w:ascii="Arial" w:hAnsi="Arial" w:cs="Arial"/>
                <w:sz w:val="12"/>
                <w:szCs w:val="12"/>
              </w:rPr>
            </w:pPr>
          </w:p>
        </w:tc>
        <w:tc>
          <w:tcPr>
            <w:tcW w:w="1843" w:type="dxa"/>
            <w:shd w:val="clear" w:color="auto" w:fill="auto"/>
          </w:tcPr>
          <w:p w14:paraId="793EB3F1" w14:textId="77777777" w:rsidR="002A4DDF" w:rsidRPr="00937C8B" w:rsidRDefault="002A4DDF" w:rsidP="009110ED">
            <w:pPr>
              <w:rPr>
                <w:rFonts w:ascii="Arial" w:hAnsi="Arial" w:cs="Arial"/>
                <w:sz w:val="12"/>
                <w:szCs w:val="12"/>
              </w:rPr>
            </w:pPr>
          </w:p>
        </w:tc>
        <w:tc>
          <w:tcPr>
            <w:tcW w:w="2268" w:type="dxa"/>
            <w:shd w:val="clear" w:color="auto" w:fill="F2F2F2"/>
            <w:hideMark/>
          </w:tcPr>
          <w:p w14:paraId="758A2400" w14:textId="77777777" w:rsidR="002A4DDF" w:rsidRPr="00937C8B" w:rsidRDefault="002A4DDF" w:rsidP="009110ED">
            <w:pPr>
              <w:rPr>
                <w:rFonts w:ascii="Arial" w:hAnsi="Arial" w:cs="Arial"/>
                <w:sz w:val="12"/>
                <w:szCs w:val="12"/>
              </w:rPr>
            </w:pPr>
            <w:r>
              <w:rPr>
                <w:rFonts w:ascii="Arial" w:hAnsi="Arial"/>
                <w:sz w:val="12"/>
                <w:szCs w:val="12"/>
              </w:rPr>
              <w:t>El Poal</w:t>
            </w:r>
          </w:p>
        </w:tc>
        <w:tc>
          <w:tcPr>
            <w:tcW w:w="2268" w:type="dxa"/>
            <w:tcBorders>
              <w:right w:val="single" w:sz="4" w:space="0" w:color="auto"/>
            </w:tcBorders>
            <w:shd w:val="clear" w:color="auto" w:fill="D9D9D9"/>
            <w:hideMark/>
          </w:tcPr>
          <w:p w14:paraId="4F941327" w14:textId="77777777" w:rsidR="002A4DDF" w:rsidRPr="00937C8B" w:rsidRDefault="002A4DDF" w:rsidP="009110ED">
            <w:pPr>
              <w:rPr>
                <w:rFonts w:ascii="Arial" w:hAnsi="Arial" w:cs="Arial"/>
                <w:sz w:val="12"/>
                <w:szCs w:val="12"/>
              </w:rPr>
            </w:pPr>
            <w:r>
              <w:rPr>
                <w:rFonts w:ascii="Arial" w:hAnsi="Arial"/>
                <w:sz w:val="12"/>
                <w:szCs w:val="12"/>
              </w:rPr>
              <w:t>Les Valls de Valira</w:t>
            </w:r>
          </w:p>
        </w:tc>
      </w:tr>
      <w:tr w:rsidR="002A4DDF" w:rsidRPr="00937C8B" w14:paraId="3E00C1CF" w14:textId="77777777" w:rsidTr="00935676">
        <w:trPr>
          <w:cantSplit/>
        </w:trPr>
        <w:tc>
          <w:tcPr>
            <w:tcW w:w="1696" w:type="dxa"/>
            <w:tcBorders>
              <w:left w:val="single" w:sz="4" w:space="0" w:color="auto"/>
            </w:tcBorders>
            <w:shd w:val="clear" w:color="auto" w:fill="auto"/>
          </w:tcPr>
          <w:p w14:paraId="32F7E31B" w14:textId="77777777" w:rsidR="002A4DDF" w:rsidRPr="00937C8B" w:rsidRDefault="002A4DDF" w:rsidP="009110ED">
            <w:pPr>
              <w:rPr>
                <w:rFonts w:ascii="Arial" w:hAnsi="Arial" w:cs="Arial"/>
                <w:sz w:val="12"/>
                <w:szCs w:val="12"/>
              </w:rPr>
            </w:pPr>
          </w:p>
        </w:tc>
        <w:tc>
          <w:tcPr>
            <w:tcW w:w="1843" w:type="dxa"/>
            <w:shd w:val="clear" w:color="auto" w:fill="auto"/>
          </w:tcPr>
          <w:p w14:paraId="6AD047AA" w14:textId="77777777" w:rsidR="002A4DDF" w:rsidRPr="00937C8B" w:rsidRDefault="002A4DDF" w:rsidP="009110ED">
            <w:pPr>
              <w:rPr>
                <w:rFonts w:ascii="Arial" w:hAnsi="Arial" w:cs="Arial"/>
                <w:sz w:val="12"/>
                <w:szCs w:val="12"/>
              </w:rPr>
            </w:pPr>
          </w:p>
        </w:tc>
        <w:tc>
          <w:tcPr>
            <w:tcW w:w="2268" w:type="dxa"/>
            <w:shd w:val="clear" w:color="auto" w:fill="F2F2F2"/>
            <w:hideMark/>
          </w:tcPr>
          <w:p w14:paraId="535A4230" w14:textId="77777777" w:rsidR="002A4DDF" w:rsidRPr="00937C8B" w:rsidRDefault="002A4DDF" w:rsidP="009110ED">
            <w:pPr>
              <w:rPr>
                <w:rFonts w:ascii="Arial" w:hAnsi="Arial" w:cs="Arial"/>
                <w:sz w:val="12"/>
                <w:szCs w:val="12"/>
              </w:rPr>
            </w:pPr>
            <w:r>
              <w:rPr>
                <w:rFonts w:ascii="Arial" w:hAnsi="Arial"/>
                <w:sz w:val="12"/>
                <w:szCs w:val="12"/>
              </w:rPr>
              <w:t>Els Plans de Sió</w:t>
            </w:r>
          </w:p>
        </w:tc>
        <w:tc>
          <w:tcPr>
            <w:tcW w:w="2268" w:type="dxa"/>
            <w:tcBorders>
              <w:right w:val="single" w:sz="4" w:space="0" w:color="auto"/>
            </w:tcBorders>
            <w:shd w:val="clear" w:color="auto" w:fill="D9D9D9"/>
            <w:hideMark/>
          </w:tcPr>
          <w:p w14:paraId="48AA07F9" w14:textId="77777777" w:rsidR="002A4DDF" w:rsidRPr="00937C8B" w:rsidRDefault="002A4DDF" w:rsidP="009110ED">
            <w:pPr>
              <w:rPr>
                <w:rFonts w:ascii="Arial" w:hAnsi="Arial" w:cs="Arial"/>
                <w:sz w:val="12"/>
                <w:szCs w:val="12"/>
              </w:rPr>
            </w:pPr>
            <w:r>
              <w:rPr>
                <w:rFonts w:ascii="Arial" w:hAnsi="Arial"/>
                <w:sz w:val="12"/>
                <w:szCs w:val="12"/>
              </w:rPr>
              <w:t>Lladorre</w:t>
            </w:r>
          </w:p>
        </w:tc>
      </w:tr>
      <w:tr w:rsidR="002A4DDF" w:rsidRPr="00937C8B" w14:paraId="098541BE" w14:textId="77777777" w:rsidTr="00935676">
        <w:trPr>
          <w:cantSplit/>
        </w:trPr>
        <w:tc>
          <w:tcPr>
            <w:tcW w:w="1696" w:type="dxa"/>
            <w:tcBorders>
              <w:left w:val="single" w:sz="4" w:space="0" w:color="auto"/>
            </w:tcBorders>
            <w:shd w:val="clear" w:color="auto" w:fill="auto"/>
          </w:tcPr>
          <w:p w14:paraId="3E1800AF" w14:textId="77777777" w:rsidR="002A4DDF" w:rsidRPr="00937C8B" w:rsidRDefault="002A4DDF" w:rsidP="009110ED">
            <w:pPr>
              <w:rPr>
                <w:rFonts w:ascii="Arial" w:hAnsi="Arial" w:cs="Arial"/>
                <w:sz w:val="12"/>
                <w:szCs w:val="12"/>
              </w:rPr>
            </w:pPr>
          </w:p>
        </w:tc>
        <w:tc>
          <w:tcPr>
            <w:tcW w:w="1843" w:type="dxa"/>
            <w:shd w:val="clear" w:color="auto" w:fill="auto"/>
          </w:tcPr>
          <w:p w14:paraId="39DF154A" w14:textId="77777777" w:rsidR="002A4DDF" w:rsidRPr="00937C8B" w:rsidRDefault="002A4DDF" w:rsidP="009110ED">
            <w:pPr>
              <w:rPr>
                <w:rFonts w:ascii="Arial" w:hAnsi="Arial" w:cs="Arial"/>
                <w:sz w:val="12"/>
                <w:szCs w:val="12"/>
              </w:rPr>
            </w:pPr>
          </w:p>
        </w:tc>
        <w:tc>
          <w:tcPr>
            <w:tcW w:w="2268" w:type="dxa"/>
            <w:shd w:val="clear" w:color="auto" w:fill="F2F2F2"/>
            <w:hideMark/>
          </w:tcPr>
          <w:p w14:paraId="3E4077F2" w14:textId="77777777" w:rsidR="002A4DDF" w:rsidRPr="00937C8B" w:rsidRDefault="002A4DDF" w:rsidP="009110ED">
            <w:pPr>
              <w:rPr>
                <w:rFonts w:ascii="Arial" w:hAnsi="Arial" w:cs="Arial"/>
                <w:sz w:val="12"/>
                <w:szCs w:val="12"/>
              </w:rPr>
            </w:pPr>
            <w:r>
              <w:rPr>
                <w:rFonts w:ascii="Arial" w:hAnsi="Arial"/>
                <w:sz w:val="12"/>
                <w:szCs w:val="12"/>
              </w:rPr>
              <w:t>Espot</w:t>
            </w:r>
          </w:p>
        </w:tc>
        <w:tc>
          <w:tcPr>
            <w:tcW w:w="2268" w:type="dxa"/>
            <w:tcBorders>
              <w:right w:val="single" w:sz="4" w:space="0" w:color="auto"/>
            </w:tcBorders>
            <w:shd w:val="clear" w:color="auto" w:fill="D9D9D9"/>
            <w:hideMark/>
          </w:tcPr>
          <w:p w14:paraId="4A46645E" w14:textId="77777777" w:rsidR="002A4DDF" w:rsidRPr="00937C8B" w:rsidRDefault="002A4DDF" w:rsidP="009110ED">
            <w:pPr>
              <w:rPr>
                <w:rFonts w:ascii="Arial" w:hAnsi="Arial" w:cs="Arial"/>
                <w:sz w:val="12"/>
                <w:szCs w:val="12"/>
              </w:rPr>
            </w:pPr>
            <w:r>
              <w:rPr>
                <w:rFonts w:ascii="Arial" w:hAnsi="Arial"/>
                <w:sz w:val="12"/>
                <w:szCs w:val="12"/>
              </w:rPr>
              <w:t>Llavorsí</w:t>
            </w:r>
          </w:p>
        </w:tc>
      </w:tr>
      <w:tr w:rsidR="002A4DDF" w:rsidRPr="00937C8B" w14:paraId="02A99AC8" w14:textId="77777777" w:rsidTr="00935676">
        <w:trPr>
          <w:cantSplit/>
        </w:trPr>
        <w:tc>
          <w:tcPr>
            <w:tcW w:w="1696" w:type="dxa"/>
            <w:tcBorders>
              <w:left w:val="single" w:sz="4" w:space="0" w:color="auto"/>
            </w:tcBorders>
            <w:shd w:val="clear" w:color="auto" w:fill="auto"/>
          </w:tcPr>
          <w:p w14:paraId="5837D676" w14:textId="77777777" w:rsidR="002A4DDF" w:rsidRPr="00937C8B" w:rsidRDefault="002A4DDF" w:rsidP="009110ED">
            <w:pPr>
              <w:rPr>
                <w:rFonts w:ascii="Arial" w:hAnsi="Arial" w:cs="Arial"/>
                <w:sz w:val="12"/>
                <w:szCs w:val="12"/>
              </w:rPr>
            </w:pPr>
          </w:p>
        </w:tc>
        <w:tc>
          <w:tcPr>
            <w:tcW w:w="1843" w:type="dxa"/>
            <w:shd w:val="clear" w:color="auto" w:fill="auto"/>
          </w:tcPr>
          <w:p w14:paraId="712B4ECC" w14:textId="77777777" w:rsidR="002A4DDF" w:rsidRPr="00937C8B" w:rsidRDefault="002A4DDF" w:rsidP="009110ED">
            <w:pPr>
              <w:rPr>
                <w:rFonts w:ascii="Arial" w:hAnsi="Arial" w:cs="Arial"/>
                <w:sz w:val="12"/>
                <w:szCs w:val="12"/>
              </w:rPr>
            </w:pPr>
          </w:p>
        </w:tc>
        <w:tc>
          <w:tcPr>
            <w:tcW w:w="2268" w:type="dxa"/>
            <w:shd w:val="clear" w:color="auto" w:fill="F2F2F2"/>
            <w:hideMark/>
          </w:tcPr>
          <w:p w14:paraId="257AD176" w14:textId="77777777" w:rsidR="002A4DDF" w:rsidRPr="00937C8B" w:rsidRDefault="002A4DDF" w:rsidP="009110ED">
            <w:pPr>
              <w:rPr>
                <w:rFonts w:ascii="Arial" w:hAnsi="Arial" w:cs="Arial"/>
                <w:sz w:val="12"/>
                <w:szCs w:val="12"/>
              </w:rPr>
            </w:pPr>
            <w:r>
              <w:rPr>
                <w:rFonts w:ascii="Arial" w:hAnsi="Arial"/>
                <w:sz w:val="12"/>
                <w:szCs w:val="12"/>
              </w:rPr>
              <w:t>Estaràs</w:t>
            </w:r>
          </w:p>
        </w:tc>
        <w:tc>
          <w:tcPr>
            <w:tcW w:w="2268" w:type="dxa"/>
            <w:tcBorders>
              <w:right w:val="single" w:sz="4" w:space="0" w:color="auto"/>
            </w:tcBorders>
            <w:shd w:val="clear" w:color="auto" w:fill="D9D9D9"/>
            <w:hideMark/>
          </w:tcPr>
          <w:p w14:paraId="73C25E53" w14:textId="77777777" w:rsidR="002A4DDF" w:rsidRPr="00937C8B" w:rsidRDefault="002A4DDF" w:rsidP="009110ED">
            <w:pPr>
              <w:rPr>
                <w:rFonts w:ascii="Arial" w:hAnsi="Arial" w:cs="Arial"/>
                <w:sz w:val="12"/>
                <w:szCs w:val="12"/>
              </w:rPr>
            </w:pPr>
            <w:r>
              <w:rPr>
                <w:rFonts w:ascii="Arial" w:hAnsi="Arial"/>
                <w:sz w:val="12"/>
                <w:szCs w:val="12"/>
              </w:rPr>
              <w:t>Lles de Cerdanya</w:t>
            </w:r>
          </w:p>
        </w:tc>
      </w:tr>
      <w:tr w:rsidR="002A4DDF" w:rsidRPr="00937C8B" w14:paraId="26E5204A" w14:textId="77777777" w:rsidTr="00935676">
        <w:trPr>
          <w:cantSplit/>
        </w:trPr>
        <w:tc>
          <w:tcPr>
            <w:tcW w:w="1696" w:type="dxa"/>
            <w:tcBorders>
              <w:left w:val="single" w:sz="4" w:space="0" w:color="auto"/>
            </w:tcBorders>
            <w:shd w:val="clear" w:color="auto" w:fill="auto"/>
          </w:tcPr>
          <w:p w14:paraId="3FA38B40" w14:textId="77777777" w:rsidR="002A4DDF" w:rsidRPr="00937C8B" w:rsidRDefault="002A4DDF" w:rsidP="009110ED">
            <w:pPr>
              <w:rPr>
                <w:rFonts w:ascii="Arial" w:hAnsi="Arial" w:cs="Arial"/>
                <w:sz w:val="12"/>
                <w:szCs w:val="12"/>
              </w:rPr>
            </w:pPr>
          </w:p>
        </w:tc>
        <w:tc>
          <w:tcPr>
            <w:tcW w:w="1843" w:type="dxa"/>
            <w:shd w:val="clear" w:color="auto" w:fill="auto"/>
          </w:tcPr>
          <w:p w14:paraId="0021F09F" w14:textId="77777777" w:rsidR="002A4DDF" w:rsidRPr="00937C8B" w:rsidRDefault="002A4DDF" w:rsidP="009110ED">
            <w:pPr>
              <w:rPr>
                <w:rFonts w:ascii="Arial" w:hAnsi="Arial" w:cs="Arial"/>
                <w:sz w:val="12"/>
                <w:szCs w:val="12"/>
              </w:rPr>
            </w:pPr>
          </w:p>
        </w:tc>
        <w:tc>
          <w:tcPr>
            <w:tcW w:w="2268" w:type="dxa"/>
            <w:shd w:val="clear" w:color="auto" w:fill="F2F2F2"/>
            <w:hideMark/>
          </w:tcPr>
          <w:p w14:paraId="3118AA20" w14:textId="77777777" w:rsidR="002A4DDF" w:rsidRPr="00937C8B" w:rsidRDefault="002A4DDF" w:rsidP="009110ED">
            <w:pPr>
              <w:rPr>
                <w:rFonts w:ascii="Arial" w:hAnsi="Arial" w:cs="Arial"/>
                <w:sz w:val="12"/>
                <w:szCs w:val="12"/>
              </w:rPr>
            </w:pPr>
            <w:r>
              <w:rPr>
                <w:rFonts w:ascii="Arial" w:hAnsi="Arial"/>
                <w:sz w:val="12"/>
                <w:szCs w:val="12"/>
              </w:rPr>
              <w:t>Fígols i Alinyà</w:t>
            </w:r>
          </w:p>
        </w:tc>
        <w:tc>
          <w:tcPr>
            <w:tcW w:w="2268" w:type="dxa"/>
            <w:tcBorders>
              <w:right w:val="single" w:sz="4" w:space="0" w:color="auto"/>
            </w:tcBorders>
            <w:shd w:val="clear" w:color="auto" w:fill="D9D9D9"/>
            <w:hideMark/>
          </w:tcPr>
          <w:p w14:paraId="1A436778" w14:textId="77777777" w:rsidR="002A4DDF" w:rsidRPr="00937C8B" w:rsidRDefault="002A4DDF" w:rsidP="009110ED">
            <w:pPr>
              <w:rPr>
                <w:rFonts w:ascii="Arial" w:hAnsi="Arial" w:cs="Arial"/>
                <w:sz w:val="12"/>
                <w:szCs w:val="12"/>
              </w:rPr>
            </w:pPr>
            <w:r>
              <w:rPr>
                <w:rFonts w:ascii="Arial" w:hAnsi="Arial"/>
                <w:sz w:val="12"/>
                <w:szCs w:val="12"/>
              </w:rPr>
              <w:t>Montellà i Martinet</w:t>
            </w:r>
          </w:p>
        </w:tc>
      </w:tr>
      <w:tr w:rsidR="002A4DDF" w:rsidRPr="00937C8B" w14:paraId="61FE010D" w14:textId="77777777" w:rsidTr="00935676">
        <w:trPr>
          <w:cantSplit/>
        </w:trPr>
        <w:tc>
          <w:tcPr>
            <w:tcW w:w="1696" w:type="dxa"/>
            <w:tcBorders>
              <w:left w:val="single" w:sz="4" w:space="0" w:color="auto"/>
            </w:tcBorders>
            <w:shd w:val="clear" w:color="auto" w:fill="auto"/>
          </w:tcPr>
          <w:p w14:paraId="3F148B7A" w14:textId="77777777" w:rsidR="002A4DDF" w:rsidRPr="00937C8B" w:rsidRDefault="002A4DDF" w:rsidP="009110ED">
            <w:pPr>
              <w:rPr>
                <w:rFonts w:ascii="Arial" w:hAnsi="Arial" w:cs="Arial"/>
                <w:sz w:val="12"/>
                <w:szCs w:val="12"/>
              </w:rPr>
            </w:pPr>
          </w:p>
        </w:tc>
        <w:tc>
          <w:tcPr>
            <w:tcW w:w="1843" w:type="dxa"/>
            <w:shd w:val="clear" w:color="auto" w:fill="auto"/>
          </w:tcPr>
          <w:p w14:paraId="1237A3EF" w14:textId="77777777" w:rsidR="002A4DDF" w:rsidRPr="00937C8B" w:rsidRDefault="002A4DDF" w:rsidP="009110ED">
            <w:pPr>
              <w:rPr>
                <w:rFonts w:ascii="Arial" w:hAnsi="Arial" w:cs="Arial"/>
                <w:sz w:val="12"/>
                <w:szCs w:val="12"/>
              </w:rPr>
            </w:pPr>
          </w:p>
        </w:tc>
        <w:tc>
          <w:tcPr>
            <w:tcW w:w="2268" w:type="dxa"/>
            <w:shd w:val="clear" w:color="auto" w:fill="F2F2F2"/>
            <w:hideMark/>
          </w:tcPr>
          <w:p w14:paraId="7B98CEC7" w14:textId="77777777" w:rsidR="002A4DDF" w:rsidRPr="00937C8B" w:rsidRDefault="002A4DDF" w:rsidP="009110ED">
            <w:pPr>
              <w:rPr>
                <w:rFonts w:ascii="Arial" w:hAnsi="Arial" w:cs="Arial"/>
                <w:sz w:val="12"/>
                <w:szCs w:val="12"/>
              </w:rPr>
            </w:pPr>
            <w:r>
              <w:rPr>
                <w:rFonts w:ascii="Arial" w:hAnsi="Arial"/>
                <w:sz w:val="12"/>
                <w:szCs w:val="12"/>
              </w:rPr>
              <w:t>Gimenells i el Pla de la Font</w:t>
            </w:r>
          </w:p>
        </w:tc>
        <w:tc>
          <w:tcPr>
            <w:tcW w:w="2268" w:type="dxa"/>
            <w:tcBorders>
              <w:right w:val="single" w:sz="4" w:space="0" w:color="auto"/>
            </w:tcBorders>
            <w:shd w:val="clear" w:color="auto" w:fill="D9D9D9"/>
            <w:hideMark/>
          </w:tcPr>
          <w:p w14:paraId="3041A905" w14:textId="77777777" w:rsidR="002A4DDF" w:rsidRPr="00937C8B" w:rsidRDefault="002A4DDF" w:rsidP="009110ED">
            <w:pPr>
              <w:rPr>
                <w:rFonts w:ascii="Arial" w:hAnsi="Arial" w:cs="Arial"/>
                <w:sz w:val="12"/>
                <w:szCs w:val="12"/>
              </w:rPr>
            </w:pPr>
            <w:r>
              <w:rPr>
                <w:rFonts w:ascii="Arial" w:hAnsi="Arial"/>
                <w:sz w:val="12"/>
                <w:szCs w:val="12"/>
              </w:rPr>
              <w:t>Montferrer i Castellbò</w:t>
            </w:r>
          </w:p>
        </w:tc>
      </w:tr>
      <w:tr w:rsidR="002A4DDF" w:rsidRPr="00937C8B" w14:paraId="677C738A" w14:textId="77777777" w:rsidTr="00935676">
        <w:trPr>
          <w:cantSplit/>
        </w:trPr>
        <w:tc>
          <w:tcPr>
            <w:tcW w:w="1696" w:type="dxa"/>
            <w:tcBorders>
              <w:left w:val="single" w:sz="4" w:space="0" w:color="auto"/>
            </w:tcBorders>
            <w:shd w:val="clear" w:color="auto" w:fill="auto"/>
          </w:tcPr>
          <w:p w14:paraId="687B4090" w14:textId="77777777" w:rsidR="002A4DDF" w:rsidRPr="00937C8B" w:rsidRDefault="002A4DDF" w:rsidP="009110ED">
            <w:pPr>
              <w:rPr>
                <w:rFonts w:ascii="Arial" w:hAnsi="Arial" w:cs="Arial"/>
                <w:sz w:val="12"/>
                <w:szCs w:val="12"/>
              </w:rPr>
            </w:pPr>
          </w:p>
        </w:tc>
        <w:tc>
          <w:tcPr>
            <w:tcW w:w="1843" w:type="dxa"/>
            <w:shd w:val="clear" w:color="auto" w:fill="auto"/>
          </w:tcPr>
          <w:p w14:paraId="5B68C348" w14:textId="77777777" w:rsidR="002A4DDF" w:rsidRPr="00937C8B" w:rsidRDefault="002A4DDF" w:rsidP="009110ED">
            <w:pPr>
              <w:rPr>
                <w:rFonts w:ascii="Arial" w:hAnsi="Arial" w:cs="Arial"/>
                <w:sz w:val="12"/>
                <w:szCs w:val="12"/>
              </w:rPr>
            </w:pPr>
          </w:p>
        </w:tc>
        <w:tc>
          <w:tcPr>
            <w:tcW w:w="2268" w:type="dxa"/>
            <w:shd w:val="clear" w:color="auto" w:fill="F2F2F2"/>
            <w:hideMark/>
          </w:tcPr>
          <w:p w14:paraId="5D187B5E" w14:textId="77777777" w:rsidR="002A4DDF" w:rsidRPr="00937C8B" w:rsidRDefault="002A4DDF" w:rsidP="009110ED">
            <w:pPr>
              <w:rPr>
                <w:rFonts w:ascii="Arial" w:hAnsi="Arial" w:cs="Arial"/>
                <w:sz w:val="12"/>
                <w:szCs w:val="12"/>
              </w:rPr>
            </w:pPr>
            <w:r>
              <w:rPr>
                <w:rFonts w:ascii="Arial" w:hAnsi="Arial"/>
                <w:sz w:val="12"/>
                <w:szCs w:val="12"/>
              </w:rPr>
              <w:t>Ivars d'Urgell</w:t>
            </w:r>
          </w:p>
        </w:tc>
        <w:tc>
          <w:tcPr>
            <w:tcW w:w="2268" w:type="dxa"/>
            <w:tcBorders>
              <w:right w:val="single" w:sz="4" w:space="0" w:color="auto"/>
            </w:tcBorders>
            <w:shd w:val="clear" w:color="auto" w:fill="D9D9D9"/>
            <w:hideMark/>
          </w:tcPr>
          <w:p w14:paraId="0F41B9AA" w14:textId="77777777" w:rsidR="002A4DDF" w:rsidRPr="00937C8B" w:rsidRDefault="002A4DDF" w:rsidP="009110ED">
            <w:pPr>
              <w:rPr>
                <w:rFonts w:ascii="Arial" w:hAnsi="Arial" w:cs="Arial"/>
                <w:sz w:val="12"/>
                <w:szCs w:val="12"/>
              </w:rPr>
            </w:pPr>
            <w:r>
              <w:rPr>
                <w:rFonts w:ascii="Arial" w:hAnsi="Arial"/>
                <w:sz w:val="12"/>
                <w:szCs w:val="12"/>
              </w:rPr>
              <w:t>Naut Aran</w:t>
            </w:r>
          </w:p>
        </w:tc>
      </w:tr>
      <w:tr w:rsidR="002A4DDF" w:rsidRPr="00937C8B" w14:paraId="58B555F0" w14:textId="77777777" w:rsidTr="00935676">
        <w:trPr>
          <w:cantSplit/>
        </w:trPr>
        <w:tc>
          <w:tcPr>
            <w:tcW w:w="1696" w:type="dxa"/>
            <w:tcBorders>
              <w:left w:val="single" w:sz="4" w:space="0" w:color="auto"/>
            </w:tcBorders>
            <w:shd w:val="clear" w:color="auto" w:fill="auto"/>
          </w:tcPr>
          <w:p w14:paraId="2C696B99" w14:textId="77777777" w:rsidR="002A4DDF" w:rsidRPr="00937C8B" w:rsidRDefault="002A4DDF" w:rsidP="009110ED">
            <w:pPr>
              <w:rPr>
                <w:rFonts w:ascii="Arial" w:hAnsi="Arial" w:cs="Arial"/>
                <w:sz w:val="12"/>
                <w:szCs w:val="12"/>
              </w:rPr>
            </w:pPr>
          </w:p>
        </w:tc>
        <w:tc>
          <w:tcPr>
            <w:tcW w:w="1843" w:type="dxa"/>
            <w:shd w:val="clear" w:color="auto" w:fill="auto"/>
          </w:tcPr>
          <w:p w14:paraId="635186B9" w14:textId="77777777" w:rsidR="002A4DDF" w:rsidRPr="00937C8B" w:rsidRDefault="002A4DDF" w:rsidP="009110ED">
            <w:pPr>
              <w:rPr>
                <w:rFonts w:ascii="Arial" w:hAnsi="Arial" w:cs="Arial"/>
                <w:sz w:val="12"/>
                <w:szCs w:val="12"/>
              </w:rPr>
            </w:pPr>
          </w:p>
        </w:tc>
        <w:tc>
          <w:tcPr>
            <w:tcW w:w="2268" w:type="dxa"/>
            <w:shd w:val="clear" w:color="auto" w:fill="F2F2F2"/>
            <w:hideMark/>
          </w:tcPr>
          <w:p w14:paraId="49AA659C" w14:textId="77777777" w:rsidR="002A4DDF" w:rsidRPr="00937C8B" w:rsidRDefault="002A4DDF" w:rsidP="009110ED">
            <w:pPr>
              <w:rPr>
                <w:rFonts w:ascii="Arial" w:hAnsi="Arial" w:cs="Arial"/>
                <w:sz w:val="12"/>
                <w:szCs w:val="12"/>
              </w:rPr>
            </w:pPr>
            <w:r>
              <w:rPr>
                <w:rFonts w:ascii="Arial" w:hAnsi="Arial"/>
                <w:sz w:val="12"/>
                <w:szCs w:val="12"/>
              </w:rPr>
              <w:t>Josa i Tuixén</w:t>
            </w:r>
          </w:p>
        </w:tc>
        <w:tc>
          <w:tcPr>
            <w:tcW w:w="2268" w:type="dxa"/>
            <w:tcBorders>
              <w:right w:val="single" w:sz="4" w:space="0" w:color="auto"/>
            </w:tcBorders>
            <w:shd w:val="clear" w:color="auto" w:fill="D9D9D9"/>
            <w:hideMark/>
          </w:tcPr>
          <w:p w14:paraId="2908FBEC" w14:textId="77777777" w:rsidR="002A4DDF" w:rsidRPr="00937C8B" w:rsidRDefault="002A4DDF" w:rsidP="009110ED">
            <w:pPr>
              <w:rPr>
                <w:rFonts w:ascii="Arial" w:hAnsi="Arial" w:cs="Arial"/>
                <w:sz w:val="12"/>
                <w:szCs w:val="12"/>
              </w:rPr>
            </w:pPr>
            <w:r>
              <w:rPr>
                <w:rFonts w:ascii="Arial" w:hAnsi="Arial"/>
                <w:sz w:val="12"/>
                <w:szCs w:val="12"/>
              </w:rPr>
              <w:t>Prullans</w:t>
            </w:r>
          </w:p>
        </w:tc>
      </w:tr>
      <w:tr w:rsidR="002A4DDF" w:rsidRPr="00937C8B" w14:paraId="76DBD9DD" w14:textId="77777777" w:rsidTr="00935676">
        <w:trPr>
          <w:cantSplit/>
        </w:trPr>
        <w:tc>
          <w:tcPr>
            <w:tcW w:w="1696" w:type="dxa"/>
            <w:tcBorders>
              <w:left w:val="single" w:sz="4" w:space="0" w:color="auto"/>
            </w:tcBorders>
            <w:shd w:val="clear" w:color="auto" w:fill="auto"/>
          </w:tcPr>
          <w:p w14:paraId="3FAEC3C9" w14:textId="77777777" w:rsidR="002A4DDF" w:rsidRPr="00937C8B" w:rsidRDefault="002A4DDF" w:rsidP="009110ED">
            <w:pPr>
              <w:rPr>
                <w:rFonts w:ascii="Arial" w:hAnsi="Arial" w:cs="Arial"/>
                <w:sz w:val="12"/>
                <w:szCs w:val="12"/>
              </w:rPr>
            </w:pPr>
          </w:p>
        </w:tc>
        <w:tc>
          <w:tcPr>
            <w:tcW w:w="1843" w:type="dxa"/>
            <w:shd w:val="clear" w:color="auto" w:fill="auto"/>
          </w:tcPr>
          <w:p w14:paraId="2E99C991" w14:textId="77777777" w:rsidR="002A4DDF" w:rsidRPr="00937C8B" w:rsidRDefault="002A4DDF" w:rsidP="009110ED">
            <w:pPr>
              <w:rPr>
                <w:rFonts w:ascii="Arial" w:hAnsi="Arial" w:cs="Arial"/>
                <w:sz w:val="12"/>
                <w:szCs w:val="12"/>
              </w:rPr>
            </w:pPr>
          </w:p>
        </w:tc>
        <w:tc>
          <w:tcPr>
            <w:tcW w:w="2268" w:type="dxa"/>
            <w:shd w:val="clear" w:color="auto" w:fill="F2F2F2"/>
            <w:hideMark/>
          </w:tcPr>
          <w:p w14:paraId="5CD68775" w14:textId="77777777" w:rsidR="002A4DDF" w:rsidRPr="00937C8B" w:rsidRDefault="002A4DDF" w:rsidP="009110ED">
            <w:pPr>
              <w:rPr>
                <w:rFonts w:ascii="Arial" w:hAnsi="Arial" w:cs="Arial"/>
                <w:sz w:val="12"/>
                <w:szCs w:val="12"/>
              </w:rPr>
            </w:pPr>
            <w:r>
              <w:rPr>
                <w:rFonts w:ascii="Arial" w:hAnsi="Arial"/>
                <w:sz w:val="12"/>
                <w:szCs w:val="12"/>
              </w:rPr>
              <w:t>La Fuliola</w:t>
            </w:r>
          </w:p>
        </w:tc>
        <w:tc>
          <w:tcPr>
            <w:tcW w:w="2268" w:type="dxa"/>
            <w:tcBorders>
              <w:right w:val="single" w:sz="4" w:space="0" w:color="auto"/>
            </w:tcBorders>
            <w:shd w:val="clear" w:color="auto" w:fill="D9D9D9"/>
            <w:hideMark/>
          </w:tcPr>
          <w:p w14:paraId="2D176DCB" w14:textId="77777777" w:rsidR="002A4DDF" w:rsidRPr="00937C8B" w:rsidRDefault="002A4DDF" w:rsidP="009110ED">
            <w:pPr>
              <w:rPr>
                <w:rFonts w:ascii="Arial" w:hAnsi="Arial" w:cs="Arial"/>
                <w:sz w:val="12"/>
                <w:szCs w:val="12"/>
              </w:rPr>
            </w:pPr>
            <w:r>
              <w:rPr>
                <w:rFonts w:ascii="Arial" w:hAnsi="Arial"/>
                <w:sz w:val="12"/>
                <w:szCs w:val="12"/>
              </w:rPr>
              <w:t>Rialp</w:t>
            </w:r>
          </w:p>
        </w:tc>
      </w:tr>
      <w:tr w:rsidR="002A4DDF" w:rsidRPr="00937C8B" w14:paraId="5EBB70DC" w14:textId="77777777" w:rsidTr="00935676">
        <w:trPr>
          <w:cantSplit/>
        </w:trPr>
        <w:tc>
          <w:tcPr>
            <w:tcW w:w="1696" w:type="dxa"/>
            <w:tcBorders>
              <w:left w:val="single" w:sz="4" w:space="0" w:color="auto"/>
            </w:tcBorders>
            <w:shd w:val="clear" w:color="auto" w:fill="auto"/>
          </w:tcPr>
          <w:p w14:paraId="6B41DA4F" w14:textId="77777777" w:rsidR="002A4DDF" w:rsidRPr="00937C8B" w:rsidRDefault="002A4DDF" w:rsidP="009110ED">
            <w:pPr>
              <w:rPr>
                <w:rFonts w:ascii="Arial" w:hAnsi="Arial" w:cs="Arial"/>
                <w:sz w:val="12"/>
                <w:szCs w:val="12"/>
              </w:rPr>
            </w:pPr>
          </w:p>
        </w:tc>
        <w:tc>
          <w:tcPr>
            <w:tcW w:w="1843" w:type="dxa"/>
            <w:shd w:val="clear" w:color="auto" w:fill="auto"/>
          </w:tcPr>
          <w:p w14:paraId="5860FF9C" w14:textId="77777777" w:rsidR="002A4DDF" w:rsidRPr="00937C8B" w:rsidRDefault="002A4DDF" w:rsidP="009110ED">
            <w:pPr>
              <w:rPr>
                <w:rFonts w:ascii="Arial" w:hAnsi="Arial" w:cs="Arial"/>
                <w:sz w:val="12"/>
                <w:szCs w:val="12"/>
              </w:rPr>
            </w:pPr>
          </w:p>
        </w:tc>
        <w:tc>
          <w:tcPr>
            <w:tcW w:w="2268" w:type="dxa"/>
            <w:shd w:val="clear" w:color="auto" w:fill="F2F2F2"/>
            <w:hideMark/>
          </w:tcPr>
          <w:p w14:paraId="1C3AE7B4" w14:textId="77777777" w:rsidR="002A4DDF" w:rsidRPr="00937C8B" w:rsidRDefault="002A4DDF" w:rsidP="009110ED">
            <w:pPr>
              <w:rPr>
                <w:rFonts w:ascii="Arial" w:hAnsi="Arial" w:cs="Arial"/>
                <w:sz w:val="12"/>
                <w:szCs w:val="12"/>
              </w:rPr>
            </w:pPr>
            <w:r>
              <w:rPr>
                <w:rFonts w:ascii="Arial" w:hAnsi="Arial"/>
                <w:sz w:val="12"/>
                <w:szCs w:val="12"/>
              </w:rPr>
              <w:t>La Portella</w:t>
            </w:r>
          </w:p>
        </w:tc>
        <w:tc>
          <w:tcPr>
            <w:tcW w:w="2268" w:type="dxa"/>
            <w:tcBorders>
              <w:right w:val="single" w:sz="4" w:space="0" w:color="auto"/>
            </w:tcBorders>
            <w:shd w:val="clear" w:color="auto" w:fill="D9D9D9"/>
            <w:hideMark/>
          </w:tcPr>
          <w:p w14:paraId="1AD7AAAD" w14:textId="77777777" w:rsidR="002A4DDF" w:rsidRPr="00937C8B" w:rsidRDefault="002A4DDF" w:rsidP="009110ED">
            <w:pPr>
              <w:rPr>
                <w:rFonts w:ascii="Arial" w:hAnsi="Arial" w:cs="Arial"/>
                <w:sz w:val="12"/>
                <w:szCs w:val="12"/>
              </w:rPr>
            </w:pPr>
            <w:r>
              <w:rPr>
                <w:rFonts w:ascii="Arial" w:hAnsi="Arial"/>
                <w:sz w:val="12"/>
                <w:szCs w:val="12"/>
              </w:rPr>
              <w:t>Ribera d'Urgellet</w:t>
            </w:r>
          </w:p>
        </w:tc>
      </w:tr>
      <w:tr w:rsidR="002A4DDF" w:rsidRPr="00937C8B" w14:paraId="71F3A3B2" w14:textId="77777777" w:rsidTr="00935676">
        <w:trPr>
          <w:cantSplit/>
        </w:trPr>
        <w:tc>
          <w:tcPr>
            <w:tcW w:w="1696" w:type="dxa"/>
            <w:tcBorders>
              <w:left w:val="single" w:sz="4" w:space="0" w:color="auto"/>
            </w:tcBorders>
            <w:shd w:val="clear" w:color="auto" w:fill="auto"/>
          </w:tcPr>
          <w:p w14:paraId="57E582BC" w14:textId="77777777" w:rsidR="002A4DDF" w:rsidRPr="00937C8B" w:rsidRDefault="002A4DDF" w:rsidP="009110ED">
            <w:pPr>
              <w:rPr>
                <w:rFonts w:ascii="Arial" w:hAnsi="Arial" w:cs="Arial"/>
                <w:sz w:val="12"/>
                <w:szCs w:val="12"/>
              </w:rPr>
            </w:pPr>
          </w:p>
        </w:tc>
        <w:tc>
          <w:tcPr>
            <w:tcW w:w="1843" w:type="dxa"/>
            <w:shd w:val="clear" w:color="auto" w:fill="auto"/>
          </w:tcPr>
          <w:p w14:paraId="1AD545D5" w14:textId="77777777" w:rsidR="002A4DDF" w:rsidRPr="00937C8B" w:rsidRDefault="002A4DDF" w:rsidP="009110ED">
            <w:pPr>
              <w:rPr>
                <w:rFonts w:ascii="Arial" w:hAnsi="Arial" w:cs="Arial"/>
                <w:sz w:val="12"/>
                <w:szCs w:val="12"/>
              </w:rPr>
            </w:pPr>
          </w:p>
        </w:tc>
        <w:tc>
          <w:tcPr>
            <w:tcW w:w="2268" w:type="dxa"/>
            <w:shd w:val="clear" w:color="auto" w:fill="F2F2F2"/>
            <w:hideMark/>
          </w:tcPr>
          <w:p w14:paraId="02E4C690" w14:textId="77777777" w:rsidR="002A4DDF" w:rsidRPr="00937C8B" w:rsidRDefault="002A4DDF" w:rsidP="009110ED">
            <w:pPr>
              <w:rPr>
                <w:rFonts w:ascii="Arial" w:hAnsi="Arial" w:cs="Arial"/>
                <w:sz w:val="12"/>
                <w:szCs w:val="12"/>
              </w:rPr>
            </w:pPr>
            <w:r>
              <w:rPr>
                <w:rFonts w:ascii="Arial" w:hAnsi="Arial"/>
                <w:sz w:val="12"/>
                <w:szCs w:val="12"/>
              </w:rPr>
              <w:t>La Sentiu de Sió</w:t>
            </w:r>
          </w:p>
        </w:tc>
        <w:tc>
          <w:tcPr>
            <w:tcW w:w="2268" w:type="dxa"/>
            <w:tcBorders>
              <w:right w:val="single" w:sz="4" w:space="0" w:color="auto"/>
            </w:tcBorders>
            <w:shd w:val="clear" w:color="auto" w:fill="D9D9D9"/>
            <w:hideMark/>
          </w:tcPr>
          <w:p w14:paraId="1DA22F0C" w14:textId="77777777" w:rsidR="002A4DDF" w:rsidRPr="00937C8B" w:rsidRDefault="002A4DDF" w:rsidP="009110ED">
            <w:pPr>
              <w:rPr>
                <w:rFonts w:ascii="Arial" w:hAnsi="Arial" w:cs="Arial"/>
                <w:sz w:val="12"/>
                <w:szCs w:val="12"/>
              </w:rPr>
            </w:pPr>
            <w:r>
              <w:rPr>
                <w:rFonts w:ascii="Arial" w:hAnsi="Arial"/>
                <w:sz w:val="12"/>
                <w:szCs w:val="12"/>
              </w:rPr>
              <w:t>Riu de Cerdanya</w:t>
            </w:r>
          </w:p>
        </w:tc>
      </w:tr>
      <w:tr w:rsidR="002A4DDF" w:rsidRPr="00937C8B" w14:paraId="7A7FC1C1" w14:textId="77777777" w:rsidTr="00935676">
        <w:trPr>
          <w:cantSplit/>
        </w:trPr>
        <w:tc>
          <w:tcPr>
            <w:tcW w:w="1696" w:type="dxa"/>
            <w:tcBorders>
              <w:left w:val="single" w:sz="4" w:space="0" w:color="auto"/>
            </w:tcBorders>
            <w:shd w:val="clear" w:color="auto" w:fill="auto"/>
          </w:tcPr>
          <w:p w14:paraId="2ADBC752" w14:textId="77777777" w:rsidR="002A4DDF" w:rsidRPr="00937C8B" w:rsidRDefault="002A4DDF" w:rsidP="009110ED">
            <w:pPr>
              <w:rPr>
                <w:rFonts w:ascii="Arial" w:hAnsi="Arial" w:cs="Arial"/>
                <w:sz w:val="12"/>
                <w:szCs w:val="12"/>
              </w:rPr>
            </w:pPr>
          </w:p>
        </w:tc>
        <w:tc>
          <w:tcPr>
            <w:tcW w:w="1843" w:type="dxa"/>
            <w:shd w:val="clear" w:color="auto" w:fill="auto"/>
          </w:tcPr>
          <w:p w14:paraId="4C7A5EBE" w14:textId="77777777" w:rsidR="002A4DDF" w:rsidRPr="00937C8B" w:rsidRDefault="002A4DDF" w:rsidP="009110ED">
            <w:pPr>
              <w:rPr>
                <w:rFonts w:ascii="Arial" w:hAnsi="Arial" w:cs="Arial"/>
                <w:sz w:val="12"/>
                <w:szCs w:val="12"/>
              </w:rPr>
            </w:pPr>
          </w:p>
        </w:tc>
        <w:tc>
          <w:tcPr>
            <w:tcW w:w="2268" w:type="dxa"/>
            <w:shd w:val="clear" w:color="auto" w:fill="F2F2F2"/>
            <w:hideMark/>
          </w:tcPr>
          <w:p w14:paraId="0D918395" w14:textId="77777777" w:rsidR="002A4DDF" w:rsidRPr="00937C8B" w:rsidRDefault="002A4DDF" w:rsidP="009110ED">
            <w:pPr>
              <w:rPr>
                <w:rFonts w:ascii="Arial" w:hAnsi="Arial" w:cs="Arial"/>
                <w:sz w:val="12"/>
                <w:szCs w:val="12"/>
              </w:rPr>
            </w:pPr>
            <w:r>
              <w:rPr>
                <w:rFonts w:ascii="Arial" w:hAnsi="Arial"/>
                <w:sz w:val="12"/>
                <w:szCs w:val="12"/>
              </w:rPr>
              <w:t>La Vansa i Fórnols</w:t>
            </w:r>
          </w:p>
        </w:tc>
        <w:tc>
          <w:tcPr>
            <w:tcW w:w="2268" w:type="dxa"/>
            <w:tcBorders>
              <w:right w:val="single" w:sz="4" w:space="0" w:color="auto"/>
            </w:tcBorders>
            <w:shd w:val="clear" w:color="auto" w:fill="D9D9D9"/>
            <w:hideMark/>
          </w:tcPr>
          <w:p w14:paraId="22719577" w14:textId="77777777" w:rsidR="002A4DDF" w:rsidRPr="00937C8B" w:rsidRDefault="002A4DDF" w:rsidP="009110ED">
            <w:pPr>
              <w:rPr>
                <w:rFonts w:ascii="Arial" w:hAnsi="Arial" w:cs="Arial"/>
                <w:sz w:val="12"/>
                <w:szCs w:val="12"/>
              </w:rPr>
            </w:pPr>
            <w:r>
              <w:rPr>
                <w:rFonts w:ascii="Arial" w:hAnsi="Arial"/>
                <w:sz w:val="12"/>
                <w:szCs w:val="12"/>
              </w:rPr>
              <w:t>Sarroca de Bellera</w:t>
            </w:r>
          </w:p>
        </w:tc>
      </w:tr>
      <w:tr w:rsidR="002A4DDF" w:rsidRPr="00937C8B" w14:paraId="1FB932D2" w14:textId="77777777" w:rsidTr="00935676">
        <w:trPr>
          <w:cantSplit/>
        </w:trPr>
        <w:tc>
          <w:tcPr>
            <w:tcW w:w="1696" w:type="dxa"/>
            <w:tcBorders>
              <w:left w:val="single" w:sz="4" w:space="0" w:color="auto"/>
            </w:tcBorders>
            <w:shd w:val="clear" w:color="auto" w:fill="auto"/>
          </w:tcPr>
          <w:p w14:paraId="12390CEA" w14:textId="77777777" w:rsidR="002A4DDF" w:rsidRPr="00937C8B" w:rsidRDefault="002A4DDF" w:rsidP="009110ED">
            <w:pPr>
              <w:rPr>
                <w:rFonts w:ascii="Arial" w:hAnsi="Arial" w:cs="Arial"/>
                <w:sz w:val="12"/>
                <w:szCs w:val="12"/>
              </w:rPr>
            </w:pPr>
          </w:p>
        </w:tc>
        <w:tc>
          <w:tcPr>
            <w:tcW w:w="1843" w:type="dxa"/>
            <w:shd w:val="clear" w:color="auto" w:fill="auto"/>
          </w:tcPr>
          <w:p w14:paraId="31B133F7" w14:textId="77777777" w:rsidR="002A4DDF" w:rsidRPr="00937C8B" w:rsidRDefault="002A4DDF" w:rsidP="009110ED">
            <w:pPr>
              <w:rPr>
                <w:rFonts w:ascii="Arial" w:hAnsi="Arial" w:cs="Arial"/>
                <w:sz w:val="12"/>
                <w:szCs w:val="12"/>
              </w:rPr>
            </w:pPr>
          </w:p>
        </w:tc>
        <w:tc>
          <w:tcPr>
            <w:tcW w:w="2268" w:type="dxa"/>
            <w:shd w:val="clear" w:color="auto" w:fill="F2F2F2"/>
            <w:hideMark/>
          </w:tcPr>
          <w:p w14:paraId="76236517" w14:textId="77777777" w:rsidR="002A4DDF" w:rsidRPr="00937C8B" w:rsidRDefault="002A4DDF" w:rsidP="009110ED">
            <w:pPr>
              <w:rPr>
                <w:rFonts w:ascii="Arial" w:hAnsi="Arial" w:cs="Arial"/>
                <w:sz w:val="12"/>
                <w:szCs w:val="12"/>
              </w:rPr>
            </w:pPr>
            <w:r>
              <w:rPr>
                <w:rFonts w:ascii="Arial" w:hAnsi="Arial"/>
                <w:sz w:val="12"/>
                <w:szCs w:val="12"/>
              </w:rPr>
              <w:t>Les Oluges</w:t>
            </w:r>
          </w:p>
        </w:tc>
        <w:tc>
          <w:tcPr>
            <w:tcW w:w="2268" w:type="dxa"/>
            <w:tcBorders>
              <w:right w:val="single" w:sz="4" w:space="0" w:color="auto"/>
            </w:tcBorders>
            <w:shd w:val="clear" w:color="auto" w:fill="D9D9D9"/>
            <w:hideMark/>
          </w:tcPr>
          <w:p w14:paraId="46EA25CE" w14:textId="77777777" w:rsidR="002A4DDF" w:rsidRPr="00937C8B" w:rsidRDefault="002A4DDF" w:rsidP="009110ED">
            <w:pPr>
              <w:rPr>
                <w:rFonts w:ascii="Arial" w:hAnsi="Arial" w:cs="Arial"/>
                <w:sz w:val="12"/>
                <w:szCs w:val="12"/>
              </w:rPr>
            </w:pPr>
            <w:r>
              <w:rPr>
                <w:rFonts w:ascii="Arial" w:hAnsi="Arial"/>
                <w:sz w:val="12"/>
                <w:szCs w:val="12"/>
              </w:rPr>
              <w:t>Soriguera</w:t>
            </w:r>
          </w:p>
        </w:tc>
      </w:tr>
      <w:tr w:rsidR="002A4DDF" w:rsidRPr="00937C8B" w14:paraId="77BA387D" w14:textId="77777777" w:rsidTr="00935676">
        <w:trPr>
          <w:cantSplit/>
        </w:trPr>
        <w:tc>
          <w:tcPr>
            <w:tcW w:w="1696" w:type="dxa"/>
            <w:tcBorders>
              <w:left w:val="single" w:sz="4" w:space="0" w:color="auto"/>
            </w:tcBorders>
            <w:shd w:val="clear" w:color="auto" w:fill="auto"/>
          </w:tcPr>
          <w:p w14:paraId="1EDF53BE" w14:textId="77777777" w:rsidR="002A4DDF" w:rsidRPr="00937C8B" w:rsidRDefault="002A4DDF" w:rsidP="009110ED">
            <w:pPr>
              <w:rPr>
                <w:rFonts w:ascii="Arial" w:hAnsi="Arial" w:cs="Arial"/>
                <w:sz w:val="12"/>
                <w:szCs w:val="12"/>
              </w:rPr>
            </w:pPr>
          </w:p>
        </w:tc>
        <w:tc>
          <w:tcPr>
            <w:tcW w:w="1843" w:type="dxa"/>
            <w:shd w:val="clear" w:color="auto" w:fill="auto"/>
          </w:tcPr>
          <w:p w14:paraId="789C755D" w14:textId="77777777" w:rsidR="002A4DDF" w:rsidRPr="00937C8B" w:rsidRDefault="002A4DDF" w:rsidP="009110ED">
            <w:pPr>
              <w:rPr>
                <w:rFonts w:ascii="Arial" w:hAnsi="Arial" w:cs="Arial"/>
                <w:sz w:val="12"/>
                <w:szCs w:val="12"/>
              </w:rPr>
            </w:pPr>
          </w:p>
        </w:tc>
        <w:tc>
          <w:tcPr>
            <w:tcW w:w="2268" w:type="dxa"/>
            <w:shd w:val="clear" w:color="auto" w:fill="F2F2F2"/>
            <w:hideMark/>
          </w:tcPr>
          <w:p w14:paraId="254F6CB8" w14:textId="77777777" w:rsidR="002A4DDF" w:rsidRPr="00937C8B" w:rsidRDefault="002A4DDF" w:rsidP="009110ED">
            <w:pPr>
              <w:rPr>
                <w:rFonts w:ascii="Arial" w:hAnsi="Arial" w:cs="Arial"/>
                <w:sz w:val="12"/>
                <w:szCs w:val="12"/>
              </w:rPr>
            </w:pPr>
            <w:r>
              <w:rPr>
                <w:rFonts w:ascii="Arial" w:hAnsi="Arial"/>
                <w:sz w:val="12"/>
                <w:szCs w:val="12"/>
              </w:rPr>
              <w:t>Lleida</w:t>
            </w:r>
          </w:p>
        </w:tc>
        <w:tc>
          <w:tcPr>
            <w:tcW w:w="2268" w:type="dxa"/>
            <w:tcBorders>
              <w:right w:val="single" w:sz="4" w:space="0" w:color="auto"/>
            </w:tcBorders>
            <w:shd w:val="clear" w:color="auto" w:fill="D9D9D9"/>
            <w:hideMark/>
          </w:tcPr>
          <w:p w14:paraId="730A931A" w14:textId="77777777" w:rsidR="002A4DDF" w:rsidRPr="00937C8B" w:rsidRDefault="002A4DDF" w:rsidP="009110ED">
            <w:pPr>
              <w:rPr>
                <w:rFonts w:ascii="Arial" w:hAnsi="Arial" w:cs="Arial"/>
                <w:sz w:val="12"/>
                <w:szCs w:val="12"/>
              </w:rPr>
            </w:pPr>
            <w:r>
              <w:rPr>
                <w:rFonts w:ascii="Arial" w:hAnsi="Arial"/>
                <w:sz w:val="12"/>
                <w:szCs w:val="12"/>
              </w:rPr>
              <w:t>Sort</w:t>
            </w:r>
          </w:p>
        </w:tc>
      </w:tr>
      <w:tr w:rsidR="002A4DDF" w:rsidRPr="00937C8B" w14:paraId="41124389" w14:textId="77777777" w:rsidTr="00935676">
        <w:trPr>
          <w:cantSplit/>
        </w:trPr>
        <w:tc>
          <w:tcPr>
            <w:tcW w:w="1696" w:type="dxa"/>
            <w:tcBorders>
              <w:left w:val="single" w:sz="4" w:space="0" w:color="auto"/>
            </w:tcBorders>
            <w:shd w:val="clear" w:color="auto" w:fill="auto"/>
          </w:tcPr>
          <w:p w14:paraId="3E1610EA" w14:textId="77777777" w:rsidR="002A4DDF" w:rsidRPr="00937C8B" w:rsidRDefault="002A4DDF" w:rsidP="009110ED">
            <w:pPr>
              <w:rPr>
                <w:rFonts w:ascii="Arial" w:hAnsi="Arial" w:cs="Arial"/>
                <w:sz w:val="12"/>
                <w:szCs w:val="12"/>
              </w:rPr>
            </w:pPr>
          </w:p>
        </w:tc>
        <w:tc>
          <w:tcPr>
            <w:tcW w:w="1843" w:type="dxa"/>
            <w:shd w:val="clear" w:color="auto" w:fill="auto"/>
          </w:tcPr>
          <w:p w14:paraId="6F93C46F" w14:textId="77777777" w:rsidR="002A4DDF" w:rsidRPr="00937C8B" w:rsidRDefault="002A4DDF" w:rsidP="009110ED">
            <w:pPr>
              <w:rPr>
                <w:rFonts w:ascii="Arial" w:hAnsi="Arial" w:cs="Arial"/>
                <w:sz w:val="12"/>
                <w:szCs w:val="12"/>
              </w:rPr>
            </w:pPr>
          </w:p>
        </w:tc>
        <w:tc>
          <w:tcPr>
            <w:tcW w:w="2268" w:type="dxa"/>
            <w:shd w:val="clear" w:color="auto" w:fill="F2F2F2"/>
            <w:hideMark/>
          </w:tcPr>
          <w:p w14:paraId="12E3D7F4" w14:textId="77777777" w:rsidR="002A4DDF" w:rsidRPr="00937C8B" w:rsidRDefault="002A4DDF" w:rsidP="009110ED">
            <w:pPr>
              <w:rPr>
                <w:rFonts w:ascii="Arial" w:hAnsi="Arial" w:cs="Arial"/>
                <w:sz w:val="12"/>
                <w:szCs w:val="12"/>
              </w:rPr>
            </w:pPr>
            <w:r>
              <w:rPr>
                <w:rFonts w:ascii="Arial" w:hAnsi="Arial"/>
                <w:sz w:val="12"/>
                <w:szCs w:val="12"/>
              </w:rPr>
              <w:t>Massalcoreig</w:t>
            </w:r>
          </w:p>
        </w:tc>
        <w:tc>
          <w:tcPr>
            <w:tcW w:w="2268" w:type="dxa"/>
            <w:tcBorders>
              <w:right w:val="single" w:sz="4" w:space="0" w:color="auto"/>
            </w:tcBorders>
            <w:shd w:val="clear" w:color="auto" w:fill="D9D9D9"/>
            <w:hideMark/>
          </w:tcPr>
          <w:p w14:paraId="49E06868" w14:textId="77777777" w:rsidR="002A4DDF" w:rsidRPr="00937C8B" w:rsidRDefault="002A4DDF" w:rsidP="009110ED">
            <w:pPr>
              <w:rPr>
                <w:rFonts w:ascii="Arial" w:hAnsi="Arial" w:cs="Arial"/>
                <w:sz w:val="12"/>
                <w:szCs w:val="12"/>
              </w:rPr>
            </w:pPr>
            <w:r>
              <w:rPr>
                <w:rFonts w:ascii="Arial" w:hAnsi="Arial"/>
                <w:sz w:val="12"/>
                <w:szCs w:val="12"/>
              </w:rPr>
              <w:t>Tírvia</w:t>
            </w:r>
          </w:p>
        </w:tc>
      </w:tr>
      <w:tr w:rsidR="002A4DDF" w:rsidRPr="00937C8B" w14:paraId="20AAA533" w14:textId="77777777" w:rsidTr="00935676">
        <w:trPr>
          <w:cantSplit/>
        </w:trPr>
        <w:tc>
          <w:tcPr>
            <w:tcW w:w="1696" w:type="dxa"/>
            <w:tcBorders>
              <w:left w:val="single" w:sz="4" w:space="0" w:color="auto"/>
            </w:tcBorders>
            <w:shd w:val="clear" w:color="auto" w:fill="auto"/>
          </w:tcPr>
          <w:p w14:paraId="74B5ABDE" w14:textId="77777777" w:rsidR="002A4DDF" w:rsidRPr="00937C8B" w:rsidRDefault="002A4DDF" w:rsidP="009110ED">
            <w:pPr>
              <w:rPr>
                <w:rFonts w:ascii="Arial" w:hAnsi="Arial" w:cs="Arial"/>
                <w:sz w:val="12"/>
                <w:szCs w:val="12"/>
              </w:rPr>
            </w:pPr>
          </w:p>
        </w:tc>
        <w:tc>
          <w:tcPr>
            <w:tcW w:w="1843" w:type="dxa"/>
            <w:shd w:val="clear" w:color="auto" w:fill="auto"/>
          </w:tcPr>
          <w:p w14:paraId="788F6053" w14:textId="77777777" w:rsidR="002A4DDF" w:rsidRPr="00937C8B" w:rsidRDefault="002A4DDF" w:rsidP="009110ED">
            <w:pPr>
              <w:rPr>
                <w:rFonts w:ascii="Arial" w:hAnsi="Arial" w:cs="Arial"/>
                <w:sz w:val="12"/>
                <w:szCs w:val="12"/>
              </w:rPr>
            </w:pPr>
          </w:p>
        </w:tc>
        <w:tc>
          <w:tcPr>
            <w:tcW w:w="2268" w:type="dxa"/>
            <w:shd w:val="clear" w:color="auto" w:fill="F2F2F2"/>
            <w:hideMark/>
          </w:tcPr>
          <w:p w14:paraId="2F6F59F2" w14:textId="77777777" w:rsidR="002A4DDF" w:rsidRPr="00937C8B" w:rsidRDefault="002A4DDF" w:rsidP="009110ED">
            <w:pPr>
              <w:rPr>
                <w:rFonts w:ascii="Arial" w:hAnsi="Arial" w:cs="Arial"/>
                <w:sz w:val="12"/>
                <w:szCs w:val="12"/>
              </w:rPr>
            </w:pPr>
            <w:r>
              <w:rPr>
                <w:rFonts w:ascii="Arial" w:hAnsi="Arial"/>
                <w:sz w:val="12"/>
                <w:szCs w:val="12"/>
              </w:rPr>
              <w:t>Menàrguens</w:t>
            </w:r>
          </w:p>
        </w:tc>
        <w:tc>
          <w:tcPr>
            <w:tcW w:w="2268" w:type="dxa"/>
            <w:tcBorders>
              <w:right w:val="single" w:sz="4" w:space="0" w:color="auto"/>
            </w:tcBorders>
            <w:shd w:val="clear" w:color="auto" w:fill="D9D9D9"/>
            <w:hideMark/>
          </w:tcPr>
          <w:p w14:paraId="5DDA7440" w14:textId="77777777" w:rsidR="002A4DDF" w:rsidRPr="00937C8B" w:rsidRDefault="002A4DDF" w:rsidP="009110ED">
            <w:pPr>
              <w:rPr>
                <w:rFonts w:ascii="Arial" w:hAnsi="Arial" w:cs="Arial"/>
                <w:sz w:val="12"/>
                <w:szCs w:val="12"/>
              </w:rPr>
            </w:pPr>
            <w:r>
              <w:rPr>
                <w:rFonts w:ascii="Arial" w:hAnsi="Arial"/>
                <w:sz w:val="12"/>
                <w:szCs w:val="12"/>
              </w:rPr>
              <w:t>Vall de Cardós</w:t>
            </w:r>
          </w:p>
        </w:tc>
      </w:tr>
      <w:tr w:rsidR="002A4DDF" w:rsidRPr="00937C8B" w14:paraId="5B491055" w14:textId="77777777" w:rsidTr="00935676">
        <w:trPr>
          <w:cantSplit/>
        </w:trPr>
        <w:tc>
          <w:tcPr>
            <w:tcW w:w="1696" w:type="dxa"/>
            <w:tcBorders>
              <w:left w:val="single" w:sz="4" w:space="0" w:color="auto"/>
            </w:tcBorders>
            <w:shd w:val="clear" w:color="auto" w:fill="auto"/>
          </w:tcPr>
          <w:p w14:paraId="4D906939" w14:textId="77777777" w:rsidR="002A4DDF" w:rsidRPr="00937C8B" w:rsidRDefault="002A4DDF" w:rsidP="009110ED">
            <w:pPr>
              <w:rPr>
                <w:rFonts w:ascii="Arial" w:hAnsi="Arial" w:cs="Arial"/>
                <w:sz w:val="12"/>
                <w:szCs w:val="12"/>
              </w:rPr>
            </w:pPr>
          </w:p>
        </w:tc>
        <w:tc>
          <w:tcPr>
            <w:tcW w:w="1843" w:type="dxa"/>
            <w:shd w:val="clear" w:color="auto" w:fill="auto"/>
          </w:tcPr>
          <w:p w14:paraId="3821856D" w14:textId="77777777" w:rsidR="002A4DDF" w:rsidRPr="00937C8B" w:rsidRDefault="002A4DDF" w:rsidP="009110ED">
            <w:pPr>
              <w:rPr>
                <w:rFonts w:ascii="Arial" w:hAnsi="Arial" w:cs="Arial"/>
                <w:sz w:val="12"/>
                <w:szCs w:val="12"/>
              </w:rPr>
            </w:pPr>
          </w:p>
        </w:tc>
        <w:tc>
          <w:tcPr>
            <w:tcW w:w="2268" w:type="dxa"/>
            <w:shd w:val="clear" w:color="auto" w:fill="F2F2F2"/>
            <w:hideMark/>
          </w:tcPr>
          <w:p w14:paraId="790878A4" w14:textId="77777777" w:rsidR="002A4DDF" w:rsidRPr="00937C8B" w:rsidRDefault="002A4DDF" w:rsidP="009110ED">
            <w:pPr>
              <w:rPr>
                <w:rFonts w:ascii="Arial" w:hAnsi="Arial" w:cs="Arial"/>
                <w:sz w:val="12"/>
                <w:szCs w:val="12"/>
              </w:rPr>
            </w:pPr>
            <w:r>
              <w:rPr>
                <w:rFonts w:ascii="Arial" w:hAnsi="Arial"/>
                <w:sz w:val="12"/>
                <w:szCs w:val="12"/>
              </w:rPr>
              <w:t>Montgai</w:t>
            </w:r>
          </w:p>
        </w:tc>
        <w:tc>
          <w:tcPr>
            <w:tcW w:w="2268" w:type="dxa"/>
            <w:tcBorders>
              <w:right w:val="single" w:sz="4" w:space="0" w:color="auto"/>
            </w:tcBorders>
            <w:shd w:val="clear" w:color="auto" w:fill="D9D9D9"/>
            <w:hideMark/>
          </w:tcPr>
          <w:p w14:paraId="550927CF" w14:textId="77777777" w:rsidR="002A4DDF" w:rsidRPr="00937C8B" w:rsidRDefault="002A4DDF" w:rsidP="009110ED">
            <w:pPr>
              <w:rPr>
                <w:rFonts w:ascii="Arial" w:hAnsi="Arial" w:cs="Arial"/>
                <w:sz w:val="12"/>
                <w:szCs w:val="12"/>
              </w:rPr>
            </w:pPr>
            <w:r>
              <w:rPr>
                <w:rFonts w:ascii="Arial" w:hAnsi="Arial"/>
                <w:sz w:val="12"/>
                <w:szCs w:val="12"/>
              </w:rPr>
              <w:t>Vielha e Mijaran</w:t>
            </w:r>
          </w:p>
        </w:tc>
      </w:tr>
      <w:tr w:rsidR="002A4DDF" w:rsidRPr="00937C8B" w14:paraId="21B38C68" w14:textId="77777777" w:rsidTr="00935676">
        <w:trPr>
          <w:cantSplit/>
        </w:trPr>
        <w:tc>
          <w:tcPr>
            <w:tcW w:w="1696" w:type="dxa"/>
            <w:tcBorders>
              <w:left w:val="single" w:sz="4" w:space="0" w:color="auto"/>
            </w:tcBorders>
            <w:shd w:val="clear" w:color="auto" w:fill="auto"/>
          </w:tcPr>
          <w:p w14:paraId="1D046872" w14:textId="77777777" w:rsidR="002A4DDF" w:rsidRPr="00937C8B" w:rsidRDefault="002A4DDF" w:rsidP="009110ED">
            <w:pPr>
              <w:rPr>
                <w:rFonts w:ascii="Arial" w:hAnsi="Arial" w:cs="Arial"/>
                <w:sz w:val="12"/>
                <w:szCs w:val="12"/>
              </w:rPr>
            </w:pPr>
          </w:p>
        </w:tc>
        <w:tc>
          <w:tcPr>
            <w:tcW w:w="1843" w:type="dxa"/>
            <w:shd w:val="clear" w:color="auto" w:fill="auto"/>
          </w:tcPr>
          <w:p w14:paraId="4D278F8A" w14:textId="77777777" w:rsidR="002A4DDF" w:rsidRPr="00937C8B" w:rsidRDefault="002A4DDF" w:rsidP="009110ED">
            <w:pPr>
              <w:rPr>
                <w:rFonts w:ascii="Arial" w:hAnsi="Arial" w:cs="Arial"/>
                <w:sz w:val="12"/>
                <w:szCs w:val="12"/>
              </w:rPr>
            </w:pPr>
          </w:p>
        </w:tc>
        <w:tc>
          <w:tcPr>
            <w:tcW w:w="2268" w:type="dxa"/>
            <w:shd w:val="clear" w:color="auto" w:fill="F2F2F2"/>
            <w:hideMark/>
          </w:tcPr>
          <w:p w14:paraId="01BA8ED5" w14:textId="77777777" w:rsidR="002A4DDF" w:rsidRPr="00937C8B" w:rsidRDefault="002A4DDF" w:rsidP="009110ED">
            <w:pPr>
              <w:rPr>
                <w:rFonts w:ascii="Arial" w:hAnsi="Arial" w:cs="Arial"/>
                <w:sz w:val="12"/>
                <w:szCs w:val="12"/>
              </w:rPr>
            </w:pPr>
            <w:r>
              <w:rPr>
                <w:rFonts w:ascii="Arial" w:hAnsi="Arial"/>
                <w:sz w:val="12"/>
                <w:szCs w:val="12"/>
              </w:rPr>
              <w:t>Montoliu de Lleida</w:t>
            </w:r>
          </w:p>
        </w:tc>
        <w:tc>
          <w:tcPr>
            <w:tcW w:w="2268" w:type="dxa"/>
            <w:tcBorders>
              <w:right w:val="single" w:sz="4" w:space="0" w:color="auto"/>
            </w:tcBorders>
            <w:shd w:val="clear" w:color="auto" w:fill="D9D9D9"/>
            <w:hideMark/>
          </w:tcPr>
          <w:p w14:paraId="6D0631DB" w14:textId="77777777" w:rsidR="002A4DDF" w:rsidRPr="00937C8B" w:rsidRDefault="002A4DDF" w:rsidP="009110ED">
            <w:pPr>
              <w:rPr>
                <w:rFonts w:ascii="Arial" w:hAnsi="Arial" w:cs="Arial"/>
                <w:sz w:val="12"/>
                <w:szCs w:val="12"/>
              </w:rPr>
            </w:pPr>
            <w:r>
              <w:rPr>
                <w:rFonts w:ascii="Arial" w:hAnsi="Arial"/>
                <w:sz w:val="12"/>
                <w:szCs w:val="12"/>
              </w:rPr>
              <w:t>Vilaller</w:t>
            </w:r>
          </w:p>
        </w:tc>
      </w:tr>
      <w:tr w:rsidR="002A4DDF" w:rsidRPr="00937C8B" w14:paraId="16942047" w14:textId="77777777" w:rsidTr="00935676">
        <w:trPr>
          <w:cantSplit/>
        </w:trPr>
        <w:tc>
          <w:tcPr>
            <w:tcW w:w="1696" w:type="dxa"/>
            <w:tcBorders>
              <w:left w:val="single" w:sz="4" w:space="0" w:color="auto"/>
            </w:tcBorders>
            <w:shd w:val="clear" w:color="auto" w:fill="auto"/>
          </w:tcPr>
          <w:p w14:paraId="001E4747" w14:textId="77777777" w:rsidR="002A4DDF" w:rsidRPr="00937C8B" w:rsidRDefault="002A4DDF" w:rsidP="009110ED">
            <w:pPr>
              <w:rPr>
                <w:rFonts w:ascii="Arial" w:hAnsi="Arial" w:cs="Arial"/>
                <w:sz w:val="12"/>
                <w:szCs w:val="12"/>
              </w:rPr>
            </w:pPr>
          </w:p>
        </w:tc>
        <w:tc>
          <w:tcPr>
            <w:tcW w:w="1843" w:type="dxa"/>
            <w:shd w:val="clear" w:color="auto" w:fill="auto"/>
          </w:tcPr>
          <w:p w14:paraId="24A12BF0" w14:textId="77777777" w:rsidR="002A4DDF" w:rsidRPr="00937C8B" w:rsidRDefault="002A4DDF" w:rsidP="009110ED">
            <w:pPr>
              <w:rPr>
                <w:rFonts w:ascii="Arial" w:hAnsi="Arial" w:cs="Arial"/>
                <w:sz w:val="12"/>
                <w:szCs w:val="12"/>
              </w:rPr>
            </w:pPr>
          </w:p>
        </w:tc>
        <w:tc>
          <w:tcPr>
            <w:tcW w:w="2268" w:type="dxa"/>
            <w:shd w:val="clear" w:color="auto" w:fill="F2F2F2"/>
            <w:hideMark/>
          </w:tcPr>
          <w:p w14:paraId="561F520E" w14:textId="77777777" w:rsidR="002A4DDF" w:rsidRPr="00937C8B" w:rsidRDefault="002A4DDF" w:rsidP="009110ED">
            <w:pPr>
              <w:rPr>
                <w:rFonts w:ascii="Arial" w:hAnsi="Arial" w:cs="Arial"/>
                <w:sz w:val="12"/>
                <w:szCs w:val="12"/>
              </w:rPr>
            </w:pPr>
            <w:r>
              <w:rPr>
                <w:rFonts w:ascii="Arial" w:hAnsi="Arial"/>
                <w:sz w:val="12"/>
                <w:szCs w:val="12"/>
              </w:rPr>
              <w:t>Montoliu de Segarra</w:t>
            </w:r>
          </w:p>
        </w:tc>
        <w:tc>
          <w:tcPr>
            <w:tcW w:w="2268" w:type="dxa"/>
            <w:tcBorders>
              <w:right w:val="single" w:sz="4" w:space="0" w:color="auto"/>
            </w:tcBorders>
            <w:shd w:val="clear" w:color="auto" w:fill="D9D9D9"/>
            <w:hideMark/>
          </w:tcPr>
          <w:p w14:paraId="0A9BD056" w14:textId="77777777" w:rsidR="002A4DDF" w:rsidRPr="00937C8B" w:rsidRDefault="002A4DDF" w:rsidP="009110ED">
            <w:pPr>
              <w:rPr>
                <w:rFonts w:ascii="Arial" w:hAnsi="Arial" w:cs="Arial"/>
                <w:sz w:val="12"/>
                <w:szCs w:val="12"/>
              </w:rPr>
            </w:pPr>
            <w:r>
              <w:rPr>
                <w:rFonts w:ascii="Arial" w:hAnsi="Arial"/>
                <w:sz w:val="12"/>
                <w:szCs w:val="12"/>
              </w:rPr>
              <w:t>Vilamòs</w:t>
            </w:r>
          </w:p>
        </w:tc>
      </w:tr>
      <w:tr w:rsidR="002A4DDF" w:rsidRPr="00937C8B" w14:paraId="47A87378" w14:textId="77777777" w:rsidTr="00935676">
        <w:trPr>
          <w:cantSplit/>
        </w:trPr>
        <w:tc>
          <w:tcPr>
            <w:tcW w:w="1696" w:type="dxa"/>
            <w:tcBorders>
              <w:left w:val="single" w:sz="4" w:space="0" w:color="auto"/>
            </w:tcBorders>
            <w:shd w:val="clear" w:color="auto" w:fill="auto"/>
          </w:tcPr>
          <w:p w14:paraId="4BA6FDA3" w14:textId="77777777" w:rsidR="002A4DDF" w:rsidRPr="00937C8B" w:rsidRDefault="002A4DDF" w:rsidP="009110ED">
            <w:pPr>
              <w:rPr>
                <w:rFonts w:ascii="Arial" w:hAnsi="Arial" w:cs="Arial"/>
                <w:sz w:val="12"/>
                <w:szCs w:val="12"/>
              </w:rPr>
            </w:pPr>
          </w:p>
        </w:tc>
        <w:tc>
          <w:tcPr>
            <w:tcW w:w="1843" w:type="dxa"/>
            <w:shd w:val="clear" w:color="auto" w:fill="auto"/>
          </w:tcPr>
          <w:p w14:paraId="605D38BE" w14:textId="77777777" w:rsidR="002A4DDF" w:rsidRPr="00937C8B" w:rsidRDefault="002A4DDF" w:rsidP="009110ED">
            <w:pPr>
              <w:rPr>
                <w:rFonts w:ascii="Arial" w:hAnsi="Arial" w:cs="Arial"/>
                <w:sz w:val="12"/>
                <w:szCs w:val="12"/>
              </w:rPr>
            </w:pPr>
          </w:p>
        </w:tc>
        <w:tc>
          <w:tcPr>
            <w:tcW w:w="2268" w:type="dxa"/>
            <w:shd w:val="clear" w:color="auto" w:fill="F2F2F2"/>
            <w:hideMark/>
          </w:tcPr>
          <w:p w14:paraId="7356CBC1" w14:textId="77777777" w:rsidR="002A4DDF" w:rsidRPr="00937C8B" w:rsidRDefault="002A4DDF" w:rsidP="009110ED">
            <w:pPr>
              <w:rPr>
                <w:rFonts w:ascii="Arial" w:hAnsi="Arial" w:cs="Arial"/>
                <w:sz w:val="12"/>
                <w:szCs w:val="12"/>
              </w:rPr>
            </w:pPr>
            <w:r>
              <w:rPr>
                <w:rFonts w:ascii="Arial" w:hAnsi="Arial"/>
                <w:sz w:val="12"/>
                <w:szCs w:val="12"/>
              </w:rPr>
              <w:t>Montornès de Segarra</w:t>
            </w:r>
          </w:p>
        </w:tc>
        <w:tc>
          <w:tcPr>
            <w:tcW w:w="2268" w:type="dxa"/>
            <w:tcBorders>
              <w:right w:val="single" w:sz="4" w:space="0" w:color="auto"/>
            </w:tcBorders>
            <w:shd w:val="clear" w:color="auto" w:fill="D9D9D9"/>
            <w:hideMark/>
          </w:tcPr>
          <w:p w14:paraId="63D3992E" w14:textId="77777777" w:rsidR="002A4DDF" w:rsidRPr="00937C8B" w:rsidRDefault="002A4DDF" w:rsidP="009110ED">
            <w:pPr>
              <w:rPr>
                <w:rFonts w:ascii="Arial" w:hAnsi="Arial" w:cs="Arial"/>
                <w:sz w:val="12"/>
                <w:szCs w:val="12"/>
              </w:rPr>
            </w:pPr>
          </w:p>
        </w:tc>
      </w:tr>
      <w:tr w:rsidR="002A4DDF" w:rsidRPr="00937C8B" w14:paraId="6293F06C" w14:textId="77777777" w:rsidTr="00935676">
        <w:trPr>
          <w:cantSplit/>
        </w:trPr>
        <w:tc>
          <w:tcPr>
            <w:tcW w:w="1696" w:type="dxa"/>
            <w:tcBorders>
              <w:left w:val="single" w:sz="4" w:space="0" w:color="auto"/>
            </w:tcBorders>
            <w:shd w:val="clear" w:color="auto" w:fill="auto"/>
          </w:tcPr>
          <w:p w14:paraId="2462A2CE" w14:textId="77777777" w:rsidR="002A4DDF" w:rsidRPr="00937C8B" w:rsidRDefault="002A4DDF" w:rsidP="009110ED">
            <w:pPr>
              <w:rPr>
                <w:rFonts w:ascii="Arial" w:hAnsi="Arial" w:cs="Arial"/>
                <w:sz w:val="12"/>
                <w:szCs w:val="12"/>
              </w:rPr>
            </w:pPr>
          </w:p>
        </w:tc>
        <w:tc>
          <w:tcPr>
            <w:tcW w:w="1843" w:type="dxa"/>
            <w:shd w:val="clear" w:color="auto" w:fill="auto"/>
          </w:tcPr>
          <w:p w14:paraId="770C7500" w14:textId="77777777" w:rsidR="002A4DDF" w:rsidRPr="00937C8B" w:rsidRDefault="002A4DDF" w:rsidP="009110ED">
            <w:pPr>
              <w:rPr>
                <w:rFonts w:ascii="Arial" w:hAnsi="Arial" w:cs="Arial"/>
                <w:sz w:val="12"/>
                <w:szCs w:val="12"/>
              </w:rPr>
            </w:pPr>
          </w:p>
        </w:tc>
        <w:tc>
          <w:tcPr>
            <w:tcW w:w="2268" w:type="dxa"/>
            <w:shd w:val="clear" w:color="auto" w:fill="F2F2F2"/>
            <w:hideMark/>
          </w:tcPr>
          <w:p w14:paraId="33F17BBC" w14:textId="77777777" w:rsidR="002A4DDF" w:rsidRPr="00937C8B" w:rsidRDefault="002A4DDF" w:rsidP="009110ED">
            <w:pPr>
              <w:rPr>
                <w:rFonts w:ascii="Arial" w:hAnsi="Arial" w:cs="Arial"/>
                <w:sz w:val="12"/>
                <w:szCs w:val="12"/>
              </w:rPr>
            </w:pPr>
            <w:r>
              <w:rPr>
                <w:rFonts w:ascii="Arial" w:hAnsi="Arial"/>
                <w:sz w:val="12"/>
                <w:szCs w:val="12"/>
              </w:rPr>
              <w:t>Organyà</w:t>
            </w:r>
          </w:p>
        </w:tc>
        <w:tc>
          <w:tcPr>
            <w:tcW w:w="2268" w:type="dxa"/>
            <w:tcBorders>
              <w:right w:val="single" w:sz="4" w:space="0" w:color="auto"/>
            </w:tcBorders>
            <w:shd w:val="clear" w:color="auto" w:fill="D9D9D9"/>
            <w:hideMark/>
          </w:tcPr>
          <w:p w14:paraId="5224A327" w14:textId="77777777" w:rsidR="002A4DDF" w:rsidRPr="00937C8B" w:rsidRDefault="002A4DDF" w:rsidP="009110ED">
            <w:pPr>
              <w:rPr>
                <w:rFonts w:ascii="Arial" w:hAnsi="Arial" w:cs="Arial"/>
                <w:sz w:val="12"/>
                <w:szCs w:val="12"/>
              </w:rPr>
            </w:pPr>
          </w:p>
        </w:tc>
      </w:tr>
      <w:tr w:rsidR="002A4DDF" w:rsidRPr="00937C8B" w14:paraId="2052E377" w14:textId="77777777" w:rsidTr="00935676">
        <w:trPr>
          <w:cantSplit/>
        </w:trPr>
        <w:tc>
          <w:tcPr>
            <w:tcW w:w="1696" w:type="dxa"/>
            <w:tcBorders>
              <w:left w:val="single" w:sz="4" w:space="0" w:color="auto"/>
            </w:tcBorders>
            <w:shd w:val="clear" w:color="auto" w:fill="auto"/>
          </w:tcPr>
          <w:p w14:paraId="607B5698" w14:textId="77777777" w:rsidR="002A4DDF" w:rsidRPr="00937C8B" w:rsidRDefault="002A4DDF" w:rsidP="009110ED">
            <w:pPr>
              <w:rPr>
                <w:rFonts w:ascii="Arial" w:hAnsi="Arial" w:cs="Arial"/>
                <w:sz w:val="12"/>
                <w:szCs w:val="12"/>
              </w:rPr>
            </w:pPr>
          </w:p>
        </w:tc>
        <w:tc>
          <w:tcPr>
            <w:tcW w:w="1843" w:type="dxa"/>
            <w:shd w:val="clear" w:color="auto" w:fill="auto"/>
          </w:tcPr>
          <w:p w14:paraId="76B5EC9E" w14:textId="77777777" w:rsidR="002A4DDF" w:rsidRPr="00937C8B" w:rsidRDefault="002A4DDF" w:rsidP="009110ED">
            <w:pPr>
              <w:rPr>
                <w:rFonts w:ascii="Arial" w:hAnsi="Arial" w:cs="Arial"/>
                <w:sz w:val="12"/>
                <w:szCs w:val="12"/>
              </w:rPr>
            </w:pPr>
          </w:p>
        </w:tc>
        <w:tc>
          <w:tcPr>
            <w:tcW w:w="2268" w:type="dxa"/>
            <w:shd w:val="clear" w:color="auto" w:fill="F2F2F2"/>
            <w:hideMark/>
          </w:tcPr>
          <w:p w14:paraId="3C435CB7" w14:textId="77777777" w:rsidR="002A4DDF" w:rsidRPr="00937C8B" w:rsidRDefault="002A4DDF" w:rsidP="009110ED">
            <w:pPr>
              <w:rPr>
                <w:rFonts w:ascii="Arial" w:hAnsi="Arial" w:cs="Arial"/>
                <w:sz w:val="12"/>
                <w:szCs w:val="12"/>
              </w:rPr>
            </w:pPr>
            <w:r>
              <w:rPr>
                <w:rFonts w:ascii="Arial" w:hAnsi="Arial"/>
                <w:sz w:val="12"/>
                <w:szCs w:val="12"/>
              </w:rPr>
              <w:t>Ossó de Sió</w:t>
            </w:r>
          </w:p>
        </w:tc>
        <w:tc>
          <w:tcPr>
            <w:tcW w:w="2268" w:type="dxa"/>
            <w:tcBorders>
              <w:right w:val="single" w:sz="4" w:space="0" w:color="auto"/>
            </w:tcBorders>
            <w:shd w:val="clear" w:color="auto" w:fill="D9D9D9"/>
            <w:hideMark/>
          </w:tcPr>
          <w:p w14:paraId="7F48A0EF" w14:textId="77777777" w:rsidR="002A4DDF" w:rsidRPr="00937C8B" w:rsidRDefault="002A4DDF" w:rsidP="009110ED">
            <w:pPr>
              <w:rPr>
                <w:rFonts w:ascii="Arial" w:hAnsi="Arial" w:cs="Arial"/>
                <w:sz w:val="12"/>
                <w:szCs w:val="12"/>
              </w:rPr>
            </w:pPr>
          </w:p>
        </w:tc>
      </w:tr>
      <w:tr w:rsidR="002A4DDF" w:rsidRPr="00937C8B" w14:paraId="29DF7D08" w14:textId="77777777" w:rsidTr="00935676">
        <w:trPr>
          <w:cantSplit/>
        </w:trPr>
        <w:tc>
          <w:tcPr>
            <w:tcW w:w="1696" w:type="dxa"/>
            <w:tcBorders>
              <w:left w:val="single" w:sz="4" w:space="0" w:color="auto"/>
            </w:tcBorders>
            <w:shd w:val="clear" w:color="auto" w:fill="auto"/>
          </w:tcPr>
          <w:p w14:paraId="26ED22C6" w14:textId="77777777" w:rsidR="002A4DDF" w:rsidRPr="00937C8B" w:rsidRDefault="002A4DDF" w:rsidP="009110ED">
            <w:pPr>
              <w:rPr>
                <w:rFonts w:ascii="Arial" w:hAnsi="Arial" w:cs="Arial"/>
                <w:sz w:val="12"/>
                <w:szCs w:val="12"/>
              </w:rPr>
            </w:pPr>
          </w:p>
        </w:tc>
        <w:tc>
          <w:tcPr>
            <w:tcW w:w="1843" w:type="dxa"/>
            <w:shd w:val="clear" w:color="auto" w:fill="auto"/>
          </w:tcPr>
          <w:p w14:paraId="725BD7E6" w14:textId="77777777" w:rsidR="002A4DDF" w:rsidRPr="00937C8B" w:rsidRDefault="002A4DDF" w:rsidP="009110ED">
            <w:pPr>
              <w:rPr>
                <w:rFonts w:ascii="Arial" w:hAnsi="Arial" w:cs="Arial"/>
                <w:sz w:val="12"/>
                <w:szCs w:val="12"/>
              </w:rPr>
            </w:pPr>
          </w:p>
        </w:tc>
        <w:tc>
          <w:tcPr>
            <w:tcW w:w="2268" w:type="dxa"/>
            <w:shd w:val="clear" w:color="auto" w:fill="F2F2F2"/>
            <w:hideMark/>
          </w:tcPr>
          <w:p w14:paraId="487687D1" w14:textId="77777777" w:rsidR="002A4DDF" w:rsidRPr="00937C8B" w:rsidRDefault="002A4DDF" w:rsidP="009110ED">
            <w:pPr>
              <w:rPr>
                <w:rFonts w:ascii="Arial" w:hAnsi="Arial" w:cs="Arial"/>
                <w:sz w:val="12"/>
                <w:szCs w:val="12"/>
              </w:rPr>
            </w:pPr>
            <w:r>
              <w:rPr>
                <w:rFonts w:ascii="Arial" w:hAnsi="Arial"/>
                <w:sz w:val="12"/>
                <w:szCs w:val="12"/>
              </w:rPr>
              <w:t>Penelles</w:t>
            </w:r>
          </w:p>
        </w:tc>
        <w:tc>
          <w:tcPr>
            <w:tcW w:w="2268" w:type="dxa"/>
            <w:tcBorders>
              <w:right w:val="single" w:sz="4" w:space="0" w:color="auto"/>
            </w:tcBorders>
            <w:shd w:val="clear" w:color="auto" w:fill="D9D9D9"/>
            <w:hideMark/>
          </w:tcPr>
          <w:p w14:paraId="0645411C" w14:textId="77777777" w:rsidR="002A4DDF" w:rsidRPr="00937C8B" w:rsidRDefault="002A4DDF" w:rsidP="009110ED">
            <w:pPr>
              <w:rPr>
                <w:rFonts w:ascii="Arial" w:hAnsi="Arial" w:cs="Arial"/>
                <w:sz w:val="12"/>
                <w:szCs w:val="12"/>
              </w:rPr>
            </w:pPr>
          </w:p>
        </w:tc>
      </w:tr>
      <w:tr w:rsidR="002A4DDF" w:rsidRPr="00937C8B" w14:paraId="5EA50A7B" w14:textId="77777777" w:rsidTr="00935676">
        <w:trPr>
          <w:cantSplit/>
        </w:trPr>
        <w:tc>
          <w:tcPr>
            <w:tcW w:w="1696" w:type="dxa"/>
            <w:tcBorders>
              <w:left w:val="single" w:sz="4" w:space="0" w:color="auto"/>
            </w:tcBorders>
            <w:shd w:val="clear" w:color="auto" w:fill="auto"/>
          </w:tcPr>
          <w:p w14:paraId="7DCC55AC" w14:textId="77777777" w:rsidR="002A4DDF" w:rsidRPr="00937C8B" w:rsidRDefault="002A4DDF" w:rsidP="009110ED">
            <w:pPr>
              <w:rPr>
                <w:rFonts w:ascii="Arial" w:hAnsi="Arial" w:cs="Arial"/>
                <w:sz w:val="12"/>
                <w:szCs w:val="12"/>
              </w:rPr>
            </w:pPr>
          </w:p>
        </w:tc>
        <w:tc>
          <w:tcPr>
            <w:tcW w:w="1843" w:type="dxa"/>
            <w:shd w:val="clear" w:color="auto" w:fill="auto"/>
          </w:tcPr>
          <w:p w14:paraId="22FFA96A" w14:textId="77777777" w:rsidR="002A4DDF" w:rsidRPr="00937C8B" w:rsidRDefault="002A4DDF" w:rsidP="009110ED">
            <w:pPr>
              <w:rPr>
                <w:rFonts w:ascii="Arial" w:hAnsi="Arial" w:cs="Arial"/>
                <w:sz w:val="12"/>
                <w:szCs w:val="12"/>
              </w:rPr>
            </w:pPr>
          </w:p>
        </w:tc>
        <w:tc>
          <w:tcPr>
            <w:tcW w:w="2268" w:type="dxa"/>
            <w:shd w:val="clear" w:color="auto" w:fill="F2F2F2"/>
            <w:hideMark/>
          </w:tcPr>
          <w:p w14:paraId="4512F9C9" w14:textId="77777777" w:rsidR="002A4DDF" w:rsidRPr="00937C8B" w:rsidRDefault="002A4DDF" w:rsidP="009110ED">
            <w:pPr>
              <w:rPr>
                <w:rFonts w:ascii="Arial" w:hAnsi="Arial" w:cs="Arial"/>
                <w:sz w:val="12"/>
                <w:szCs w:val="12"/>
              </w:rPr>
            </w:pPr>
            <w:r>
              <w:rPr>
                <w:rFonts w:ascii="Arial" w:hAnsi="Arial"/>
                <w:sz w:val="12"/>
                <w:szCs w:val="12"/>
              </w:rPr>
              <w:t>Ponts</w:t>
            </w:r>
          </w:p>
        </w:tc>
        <w:tc>
          <w:tcPr>
            <w:tcW w:w="2268" w:type="dxa"/>
            <w:tcBorders>
              <w:right w:val="single" w:sz="4" w:space="0" w:color="auto"/>
            </w:tcBorders>
            <w:shd w:val="clear" w:color="auto" w:fill="D9D9D9"/>
            <w:hideMark/>
          </w:tcPr>
          <w:p w14:paraId="0405694B" w14:textId="77777777" w:rsidR="002A4DDF" w:rsidRPr="00937C8B" w:rsidRDefault="002A4DDF" w:rsidP="009110ED">
            <w:pPr>
              <w:rPr>
                <w:rFonts w:ascii="Arial" w:hAnsi="Arial" w:cs="Arial"/>
                <w:sz w:val="12"/>
                <w:szCs w:val="12"/>
              </w:rPr>
            </w:pPr>
          </w:p>
        </w:tc>
      </w:tr>
      <w:tr w:rsidR="002A4DDF" w:rsidRPr="00937C8B" w14:paraId="773E2332" w14:textId="77777777" w:rsidTr="00935676">
        <w:trPr>
          <w:cantSplit/>
        </w:trPr>
        <w:tc>
          <w:tcPr>
            <w:tcW w:w="1696" w:type="dxa"/>
            <w:tcBorders>
              <w:left w:val="single" w:sz="4" w:space="0" w:color="auto"/>
            </w:tcBorders>
            <w:shd w:val="clear" w:color="auto" w:fill="auto"/>
          </w:tcPr>
          <w:p w14:paraId="7C8FFF46" w14:textId="77777777" w:rsidR="002A4DDF" w:rsidRPr="00937C8B" w:rsidRDefault="002A4DDF" w:rsidP="009110ED">
            <w:pPr>
              <w:rPr>
                <w:rFonts w:ascii="Arial" w:hAnsi="Arial" w:cs="Arial"/>
                <w:sz w:val="12"/>
                <w:szCs w:val="12"/>
              </w:rPr>
            </w:pPr>
          </w:p>
        </w:tc>
        <w:tc>
          <w:tcPr>
            <w:tcW w:w="1843" w:type="dxa"/>
            <w:shd w:val="clear" w:color="auto" w:fill="auto"/>
          </w:tcPr>
          <w:p w14:paraId="3B412487" w14:textId="77777777" w:rsidR="002A4DDF" w:rsidRPr="00937C8B" w:rsidRDefault="002A4DDF" w:rsidP="009110ED">
            <w:pPr>
              <w:rPr>
                <w:rFonts w:ascii="Arial" w:hAnsi="Arial" w:cs="Arial"/>
                <w:sz w:val="12"/>
                <w:szCs w:val="12"/>
              </w:rPr>
            </w:pPr>
          </w:p>
        </w:tc>
        <w:tc>
          <w:tcPr>
            <w:tcW w:w="2268" w:type="dxa"/>
            <w:shd w:val="clear" w:color="auto" w:fill="F2F2F2"/>
            <w:hideMark/>
          </w:tcPr>
          <w:p w14:paraId="4D2331DF" w14:textId="77777777" w:rsidR="002A4DDF" w:rsidRPr="00937C8B" w:rsidRDefault="002A4DDF" w:rsidP="009110ED">
            <w:pPr>
              <w:rPr>
                <w:rFonts w:ascii="Arial" w:hAnsi="Arial" w:cs="Arial"/>
                <w:sz w:val="12"/>
                <w:szCs w:val="12"/>
              </w:rPr>
            </w:pPr>
            <w:r>
              <w:rPr>
                <w:rFonts w:ascii="Arial" w:hAnsi="Arial"/>
                <w:sz w:val="12"/>
                <w:szCs w:val="12"/>
              </w:rPr>
              <w:t>Prats i Sansor</w:t>
            </w:r>
          </w:p>
        </w:tc>
        <w:tc>
          <w:tcPr>
            <w:tcW w:w="2268" w:type="dxa"/>
            <w:tcBorders>
              <w:right w:val="single" w:sz="4" w:space="0" w:color="auto"/>
            </w:tcBorders>
            <w:shd w:val="clear" w:color="auto" w:fill="D9D9D9"/>
            <w:hideMark/>
          </w:tcPr>
          <w:p w14:paraId="5A3D2841" w14:textId="77777777" w:rsidR="002A4DDF" w:rsidRPr="00937C8B" w:rsidRDefault="002A4DDF" w:rsidP="009110ED">
            <w:pPr>
              <w:rPr>
                <w:rFonts w:ascii="Arial" w:hAnsi="Arial" w:cs="Arial"/>
                <w:sz w:val="12"/>
                <w:szCs w:val="12"/>
              </w:rPr>
            </w:pPr>
          </w:p>
        </w:tc>
      </w:tr>
      <w:tr w:rsidR="002A4DDF" w:rsidRPr="00937C8B" w14:paraId="59C954B7" w14:textId="77777777" w:rsidTr="00935676">
        <w:trPr>
          <w:cantSplit/>
        </w:trPr>
        <w:tc>
          <w:tcPr>
            <w:tcW w:w="1696" w:type="dxa"/>
            <w:tcBorders>
              <w:left w:val="single" w:sz="4" w:space="0" w:color="auto"/>
            </w:tcBorders>
            <w:shd w:val="clear" w:color="auto" w:fill="auto"/>
          </w:tcPr>
          <w:p w14:paraId="25D93059" w14:textId="77777777" w:rsidR="002A4DDF" w:rsidRPr="00937C8B" w:rsidRDefault="002A4DDF" w:rsidP="009110ED">
            <w:pPr>
              <w:rPr>
                <w:rFonts w:ascii="Arial" w:hAnsi="Arial" w:cs="Arial"/>
                <w:sz w:val="12"/>
                <w:szCs w:val="12"/>
              </w:rPr>
            </w:pPr>
          </w:p>
        </w:tc>
        <w:tc>
          <w:tcPr>
            <w:tcW w:w="1843" w:type="dxa"/>
            <w:shd w:val="clear" w:color="auto" w:fill="auto"/>
          </w:tcPr>
          <w:p w14:paraId="1820917D" w14:textId="77777777" w:rsidR="002A4DDF" w:rsidRPr="00937C8B" w:rsidRDefault="002A4DDF" w:rsidP="009110ED">
            <w:pPr>
              <w:rPr>
                <w:rFonts w:ascii="Arial" w:hAnsi="Arial" w:cs="Arial"/>
                <w:sz w:val="12"/>
                <w:szCs w:val="12"/>
              </w:rPr>
            </w:pPr>
          </w:p>
        </w:tc>
        <w:tc>
          <w:tcPr>
            <w:tcW w:w="2268" w:type="dxa"/>
            <w:shd w:val="clear" w:color="auto" w:fill="F2F2F2"/>
            <w:hideMark/>
          </w:tcPr>
          <w:p w14:paraId="347A2301" w14:textId="77777777" w:rsidR="002A4DDF" w:rsidRPr="00937C8B" w:rsidRDefault="002A4DDF" w:rsidP="009110ED">
            <w:pPr>
              <w:rPr>
                <w:rFonts w:ascii="Arial" w:hAnsi="Arial" w:cs="Arial"/>
                <w:sz w:val="12"/>
                <w:szCs w:val="12"/>
              </w:rPr>
            </w:pPr>
            <w:r>
              <w:rPr>
                <w:rFonts w:ascii="Arial" w:hAnsi="Arial"/>
                <w:sz w:val="12"/>
                <w:szCs w:val="12"/>
              </w:rPr>
              <w:t>Preixens</w:t>
            </w:r>
          </w:p>
        </w:tc>
        <w:tc>
          <w:tcPr>
            <w:tcW w:w="2268" w:type="dxa"/>
            <w:tcBorders>
              <w:right w:val="single" w:sz="4" w:space="0" w:color="auto"/>
            </w:tcBorders>
            <w:shd w:val="clear" w:color="auto" w:fill="D9D9D9"/>
            <w:hideMark/>
          </w:tcPr>
          <w:p w14:paraId="4C9DB8DA" w14:textId="77777777" w:rsidR="002A4DDF" w:rsidRPr="00937C8B" w:rsidRDefault="002A4DDF" w:rsidP="009110ED">
            <w:pPr>
              <w:rPr>
                <w:rFonts w:ascii="Arial" w:hAnsi="Arial" w:cs="Arial"/>
                <w:sz w:val="12"/>
                <w:szCs w:val="12"/>
              </w:rPr>
            </w:pPr>
          </w:p>
        </w:tc>
      </w:tr>
      <w:tr w:rsidR="002A4DDF" w:rsidRPr="00937C8B" w14:paraId="7DE0AFB8" w14:textId="77777777" w:rsidTr="00935676">
        <w:trPr>
          <w:cantSplit/>
        </w:trPr>
        <w:tc>
          <w:tcPr>
            <w:tcW w:w="1696" w:type="dxa"/>
            <w:tcBorders>
              <w:left w:val="single" w:sz="4" w:space="0" w:color="auto"/>
            </w:tcBorders>
            <w:shd w:val="clear" w:color="auto" w:fill="auto"/>
          </w:tcPr>
          <w:p w14:paraId="1BC3E24D" w14:textId="77777777" w:rsidR="002A4DDF" w:rsidRPr="00937C8B" w:rsidRDefault="002A4DDF" w:rsidP="009110ED">
            <w:pPr>
              <w:rPr>
                <w:rFonts w:ascii="Arial" w:hAnsi="Arial" w:cs="Arial"/>
                <w:sz w:val="12"/>
                <w:szCs w:val="12"/>
              </w:rPr>
            </w:pPr>
          </w:p>
        </w:tc>
        <w:tc>
          <w:tcPr>
            <w:tcW w:w="1843" w:type="dxa"/>
            <w:shd w:val="clear" w:color="auto" w:fill="auto"/>
          </w:tcPr>
          <w:p w14:paraId="44CD5414" w14:textId="77777777" w:rsidR="002A4DDF" w:rsidRPr="00937C8B" w:rsidRDefault="002A4DDF" w:rsidP="009110ED">
            <w:pPr>
              <w:rPr>
                <w:rFonts w:ascii="Arial" w:hAnsi="Arial" w:cs="Arial"/>
                <w:sz w:val="12"/>
                <w:szCs w:val="12"/>
              </w:rPr>
            </w:pPr>
          </w:p>
        </w:tc>
        <w:tc>
          <w:tcPr>
            <w:tcW w:w="2268" w:type="dxa"/>
            <w:shd w:val="clear" w:color="auto" w:fill="F2F2F2"/>
            <w:hideMark/>
          </w:tcPr>
          <w:p w14:paraId="141F4E46" w14:textId="77777777" w:rsidR="002A4DDF" w:rsidRPr="00937C8B" w:rsidRDefault="002A4DDF" w:rsidP="009110ED">
            <w:pPr>
              <w:rPr>
                <w:rFonts w:ascii="Arial" w:hAnsi="Arial" w:cs="Arial"/>
                <w:sz w:val="12"/>
                <w:szCs w:val="12"/>
              </w:rPr>
            </w:pPr>
            <w:r>
              <w:rPr>
                <w:rFonts w:ascii="Arial" w:hAnsi="Arial"/>
                <w:sz w:val="12"/>
                <w:szCs w:val="12"/>
              </w:rPr>
              <w:t>Puigverd d'Agramunt</w:t>
            </w:r>
          </w:p>
        </w:tc>
        <w:tc>
          <w:tcPr>
            <w:tcW w:w="2268" w:type="dxa"/>
            <w:tcBorders>
              <w:right w:val="single" w:sz="4" w:space="0" w:color="auto"/>
            </w:tcBorders>
            <w:shd w:val="clear" w:color="auto" w:fill="D9D9D9"/>
            <w:hideMark/>
          </w:tcPr>
          <w:p w14:paraId="100A8017" w14:textId="77777777" w:rsidR="002A4DDF" w:rsidRPr="00937C8B" w:rsidRDefault="002A4DDF" w:rsidP="009110ED">
            <w:pPr>
              <w:rPr>
                <w:rFonts w:ascii="Arial" w:hAnsi="Arial" w:cs="Arial"/>
                <w:sz w:val="12"/>
                <w:szCs w:val="12"/>
              </w:rPr>
            </w:pPr>
          </w:p>
        </w:tc>
      </w:tr>
      <w:tr w:rsidR="002A4DDF" w:rsidRPr="00937C8B" w14:paraId="07370741" w14:textId="77777777" w:rsidTr="00935676">
        <w:trPr>
          <w:cantSplit/>
        </w:trPr>
        <w:tc>
          <w:tcPr>
            <w:tcW w:w="1696" w:type="dxa"/>
            <w:tcBorders>
              <w:left w:val="single" w:sz="4" w:space="0" w:color="auto"/>
            </w:tcBorders>
            <w:shd w:val="clear" w:color="auto" w:fill="auto"/>
          </w:tcPr>
          <w:p w14:paraId="2FC21CFB" w14:textId="77777777" w:rsidR="002A4DDF" w:rsidRPr="00937C8B" w:rsidRDefault="002A4DDF" w:rsidP="009110ED">
            <w:pPr>
              <w:rPr>
                <w:rFonts w:ascii="Arial" w:hAnsi="Arial" w:cs="Arial"/>
                <w:sz w:val="12"/>
                <w:szCs w:val="12"/>
              </w:rPr>
            </w:pPr>
          </w:p>
        </w:tc>
        <w:tc>
          <w:tcPr>
            <w:tcW w:w="1843" w:type="dxa"/>
            <w:shd w:val="clear" w:color="auto" w:fill="auto"/>
          </w:tcPr>
          <w:p w14:paraId="44DE9BD4" w14:textId="77777777" w:rsidR="002A4DDF" w:rsidRPr="00937C8B" w:rsidRDefault="002A4DDF" w:rsidP="009110ED">
            <w:pPr>
              <w:rPr>
                <w:rFonts w:ascii="Arial" w:hAnsi="Arial" w:cs="Arial"/>
                <w:sz w:val="12"/>
                <w:szCs w:val="12"/>
              </w:rPr>
            </w:pPr>
          </w:p>
        </w:tc>
        <w:tc>
          <w:tcPr>
            <w:tcW w:w="2268" w:type="dxa"/>
            <w:shd w:val="clear" w:color="auto" w:fill="F2F2F2"/>
            <w:hideMark/>
          </w:tcPr>
          <w:p w14:paraId="2B0CFB45" w14:textId="77777777" w:rsidR="002A4DDF" w:rsidRPr="00937C8B" w:rsidRDefault="002A4DDF" w:rsidP="009110ED">
            <w:pPr>
              <w:rPr>
                <w:rFonts w:ascii="Arial" w:hAnsi="Arial" w:cs="Arial"/>
                <w:sz w:val="12"/>
                <w:szCs w:val="12"/>
              </w:rPr>
            </w:pPr>
            <w:r>
              <w:rPr>
                <w:rFonts w:ascii="Arial" w:hAnsi="Arial"/>
                <w:sz w:val="12"/>
                <w:szCs w:val="12"/>
              </w:rPr>
              <w:t>Puigverd de Lleida</w:t>
            </w:r>
          </w:p>
        </w:tc>
        <w:tc>
          <w:tcPr>
            <w:tcW w:w="2268" w:type="dxa"/>
            <w:tcBorders>
              <w:right w:val="single" w:sz="4" w:space="0" w:color="auto"/>
            </w:tcBorders>
            <w:shd w:val="clear" w:color="auto" w:fill="D9D9D9"/>
            <w:hideMark/>
          </w:tcPr>
          <w:p w14:paraId="2C104515" w14:textId="77777777" w:rsidR="002A4DDF" w:rsidRPr="00937C8B" w:rsidRDefault="002A4DDF" w:rsidP="009110ED">
            <w:pPr>
              <w:rPr>
                <w:rFonts w:ascii="Arial" w:hAnsi="Arial" w:cs="Arial"/>
                <w:sz w:val="12"/>
                <w:szCs w:val="12"/>
              </w:rPr>
            </w:pPr>
          </w:p>
        </w:tc>
      </w:tr>
      <w:tr w:rsidR="002A4DDF" w:rsidRPr="00937C8B" w14:paraId="5BDC2E9B" w14:textId="77777777" w:rsidTr="00935676">
        <w:trPr>
          <w:cantSplit/>
        </w:trPr>
        <w:tc>
          <w:tcPr>
            <w:tcW w:w="1696" w:type="dxa"/>
            <w:tcBorders>
              <w:left w:val="single" w:sz="4" w:space="0" w:color="auto"/>
            </w:tcBorders>
            <w:shd w:val="clear" w:color="auto" w:fill="auto"/>
          </w:tcPr>
          <w:p w14:paraId="651E0D2C" w14:textId="77777777" w:rsidR="002A4DDF" w:rsidRPr="00937C8B" w:rsidRDefault="002A4DDF" w:rsidP="009110ED">
            <w:pPr>
              <w:rPr>
                <w:rFonts w:ascii="Arial" w:hAnsi="Arial" w:cs="Arial"/>
                <w:sz w:val="12"/>
                <w:szCs w:val="12"/>
              </w:rPr>
            </w:pPr>
          </w:p>
        </w:tc>
        <w:tc>
          <w:tcPr>
            <w:tcW w:w="1843" w:type="dxa"/>
            <w:shd w:val="clear" w:color="auto" w:fill="auto"/>
          </w:tcPr>
          <w:p w14:paraId="4CEC328A" w14:textId="77777777" w:rsidR="002A4DDF" w:rsidRPr="00937C8B" w:rsidRDefault="002A4DDF" w:rsidP="009110ED">
            <w:pPr>
              <w:rPr>
                <w:rFonts w:ascii="Arial" w:hAnsi="Arial" w:cs="Arial"/>
                <w:sz w:val="12"/>
                <w:szCs w:val="12"/>
              </w:rPr>
            </w:pPr>
          </w:p>
        </w:tc>
        <w:tc>
          <w:tcPr>
            <w:tcW w:w="2268" w:type="dxa"/>
            <w:shd w:val="clear" w:color="auto" w:fill="F2F2F2"/>
            <w:hideMark/>
          </w:tcPr>
          <w:p w14:paraId="1C5BC502" w14:textId="77777777" w:rsidR="002A4DDF" w:rsidRPr="00937C8B" w:rsidRDefault="002A4DDF" w:rsidP="009110ED">
            <w:pPr>
              <w:rPr>
                <w:rFonts w:ascii="Arial" w:hAnsi="Arial" w:cs="Arial"/>
                <w:sz w:val="12"/>
                <w:szCs w:val="12"/>
              </w:rPr>
            </w:pPr>
            <w:r>
              <w:rPr>
                <w:rFonts w:ascii="Arial" w:hAnsi="Arial"/>
                <w:sz w:val="12"/>
                <w:szCs w:val="12"/>
              </w:rPr>
              <w:t>Ribera d'Ondara</w:t>
            </w:r>
          </w:p>
        </w:tc>
        <w:tc>
          <w:tcPr>
            <w:tcW w:w="2268" w:type="dxa"/>
            <w:tcBorders>
              <w:right w:val="single" w:sz="4" w:space="0" w:color="auto"/>
            </w:tcBorders>
            <w:shd w:val="clear" w:color="auto" w:fill="D9D9D9"/>
            <w:hideMark/>
          </w:tcPr>
          <w:p w14:paraId="07A18E49" w14:textId="77777777" w:rsidR="002A4DDF" w:rsidRPr="00937C8B" w:rsidRDefault="002A4DDF" w:rsidP="009110ED">
            <w:pPr>
              <w:rPr>
                <w:rFonts w:ascii="Arial" w:hAnsi="Arial" w:cs="Arial"/>
                <w:sz w:val="12"/>
                <w:szCs w:val="12"/>
              </w:rPr>
            </w:pPr>
          </w:p>
        </w:tc>
      </w:tr>
      <w:tr w:rsidR="002A4DDF" w:rsidRPr="00937C8B" w14:paraId="506F3060" w14:textId="77777777" w:rsidTr="00935676">
        <w:trPr>
          <w:cantSplit/>
        </w:trPr>
        <w:tc>
          <w:tcPr>
            <w:tcW w:w="1696" w:type="dxa"/>
            <w:tcBorders>
              <w:left w:val="single" w:sz="4" w:space="0" w:color="auto"/>
            </w:tcBorders>
            <w:shd w:val="clear" w:color="auto" w:fill="auto"/>
          </w:tcPr>
          <w:p w14:paraId="28F4D0F8" w14:textId="77777777" w:rsidR="002A4DDF" w:rsidRPr="00937C8B" w:rsidRDefault="002A4DDF" w:rsidP="009110ED">
            <w:pPr>
              <w:rPr>
                <w:rFonts w:ascii="Arial" w:hAnsi="Arial" w:cs="Arial"/>
                <w:sz w:val="12"/>
                <w:szCs w:val="12"/>
              </w:rPr>
            </w:pPr>
          </w:p>
        </w:tc>
        <w:tc>
          <w:tcPr>
            <w:tcW w:w="1843" w:type="dxa"/>
            <w:shd w:val="clear" w:color="auto" w:fill="auto"/>
          </w:tcPr>
          <w:p w14:paraId="530179B5" w14:textId="77777777" w:rsidR="002A4DDF" w:rsidRPr="00937C8B" w:rsidRDefault="002A4DDF" w:rsidP="009110ED">
            <w:pPr>
              <w:rPr>
                <w:rFonts w:ascii="Arial" w:hAnsi="Arial" w:cs="Arial"/>
                <w:sz w:val="12"/>
                <w:szCs w:val="12"/>
              </w:rPr>
            </w:pPr>
          </w:p>
        </w:tc>
        <w:tc>
          <w:tcPr>
            <w:tcW w:w="2268" w:type="dxa"/>
            <w:shd w:val="clear" w:color="auto" w:fill="F2F2F2"/>
            <w:hideMark/>
          </w:tcPr>
          <w:p w14:paraId="7AA6F6C2" w14:textId="77777777" w:rsidR="002A4DDF" w:rsidRPr="00937C8B" w:rsidRDefault="002A4DDF" w:rsidP="009110ED">
            <w:pPr>
              <w:rPr>
                <w:rFonts w:ascii="Arial" w:hAnsi="Arial" w:cs="Arial"/>
                <w:sz w:val="12"/>
                <w:szCs w:val="12"/>
              </w:rPr>
            </w:pPr>
            <w:r>
              <w:rPr>
                <w:rFonts w:ascii="Arial" w:hAnsi="Arial"/>
                <w:sz w:val="12"/>
                <w:szCs w:val="12"/>
              </w:rPr>
              <w:t>Sanaüja</w:t>
            </w:r>
          </w:p>
        </w:tc>
        <w:tc>
          <w:tcPr>
            <w:tcW w:w="2268" w:type="dxa"/>
            <w:tcBorders>
              <w:right w:val="single" w:sz="4" w:space="0" w:color="auto"/>
            </w:tcBorders>
            <w:shd w:val="clear" w:color="auto" w:fill="D9D9D9"/>
            <w:hideMark/>
          </w:tcPr>
          <w:p w14:paraId="725560CB" w14:textId="77777777" w:rsidR="002A4DDF" w:rsidRPr="00937C8B" w:rsidRDefault="002A4DDF" w:rsidP="009110ED">
            <w:pPr>
              <w:rPr>
                <w:rFonts w:ascii="Arial" w:hAnsi="Arial" w:cs="Arial"/>
                <w:sz w:val="12"/>
                <w:szCs w:val="12"/>
              </w:rPr>
            </w:pPr>
          </w:p>
        </w:tc>
      </w:tr>
      <w:tr w:rsidR="002A4DDF" w:rsidRPr="00937C8B" w14:paraId="55F662C4" w14:textId="77777777" w:rsidTr="00935676">
        <w:trPr>
          <w:cantSplit/>
        </w:trPr>
        <w:tc>
          <w:tcPr>
            <w:tcW w:w="1696" w:type="dxa"/>
            <w:tcBorders>
              <w:left w:val="single" w:sz="4" w:space="0" w:color="auto"/>
            </w:tcBorders>
            <w:shd w:val="clear" w:color="auto" w:fill="auto"/>
          </w:tcPr>
          <w:p w14:paraId="549FAA9D" w14:textId="77777777" w:rsidR="002A4DDF" w:rsidRPr="00937C8B" w:rsidRDefault="002A4DDF" w:rsidP="009110ED">
            <w:pPr>
              <w:rPr>
                <w:rFonts w:ascii="Arial" w:hAnsi="Arial" w:cs="Arial"/>
                <w:sz w:val="12"/>
                <w:szCs w:val="12"/>
              </w:rPr>
            </w:pPr>
          </w:p>
        </w:tc>
        <w:tc>
          <w:tcPr>
            <w:tcW w:w="1843" w:type="dxa"/>
            <w:shd w:val="clear" w:color="auto" w:fill="auto"/>
          </w:tcPr>
          <w:p w14:paraId="0C613DC7" w14:textId="77777777" w:rsidR="002A4DDF" w:rsidRPr="00937C8B" w:rsidRDefault="002A4DDF" w:rsidP="009110ED">
            <w:pPr>
              <w:rPr>
                <w:rFonts w:ascii="Arial" w:hAnsi="Arial" w:cs="Arial"/>
                <w:sz w:val="12"/>
                <w:szCs w:val="12"/>
              </w:rPr>
            </w:pPr>
          </w:p>
        </w:tc>
        <w:tc>
          <w:tcPr>
            <w:tcW w:w="2268" w:type="dxa"/>
            <w:shd w:val="clear" w:color="auto" w:fill="F2F2F2"/>
            <w:hideMark/>
          </w:tcPr>
          <w:p w14:paraId="098BAE9F" w14:textId="77777777" w:rsidR="002A4DDF" w:rsidRPr="00937C8B" w:rsidRDefault="002A4DDF" w:rsidP="009110ED">
            <w:pPr>
              <w:rPr>
                <w:rFonts w:ascii="Arial" w:hAnsi="Arial" w:cs="Arial"/>
                <w:sz w:val="12"/>
                <w:szCs w:val="12"/>
              </w:rPr>
            </w:pPr>
            <w:r>
              <w:rPr>
                <w:rFonts w:ascii="Arial" w:hAnsi="Arial"/>
                <w:sz w:val="12"/>
                <w:szCs w:val="12"/>
              </w:rPr>
              <w:t>Senterada</w:t>
            </w:r>
          </w:p>
        </w:tc>
        <w:tc>
          <w:tcPr>
            <w:tcW w:w="2268" w:type="dxa"/>
            <w:tcBorders>
              <w:right w:val="single" w:sz="4" w:space="0" w:color="auto"/>
            </w:tcBorders>
            <w:shd w:val="clear" w:color="auto" w:fill="D9D9D9"/>
            <w:hideMark/>
          </w:tcPr>
          <w:p w14:paraId="4EB6CD7F" w14:textId="77777777" w:rsidR="002A4DDF" w:rsidRPr="00937C8B" w:rsidRDefault="002A4DDF" w:rsidP="009110ED">
            <w:pPr>
              <w:rPr>
                <w:rFonts w:ascii="Arial" w:hAnsi="Arial" w:cs="Arial"/>
                <w:sz w:val="12"/>
                <w:szCs w:val="12"/>
              </w:rPr>
            </w:pPr>
          </w:p>
        </w:tc>
      </w:tr>
      <w:tr w:rsidR="002A4DDF" w:rsidRPr="00937C8B" w14:paraId="16B4F4B9" w14:textId="77777777" w:rsidTr="00935676">
        <w:trPr>
          <w:cantSplit/>
        </w:trPr>
        <w:tc>
          <w:tcPr>
            <w:tcW w:w="1696" w:type="dxa"/>
            <w:tcBorders>
              <w:left w:val="single" w:sz="4" w:space="0" w:color="auto"/>
            </w:tcBorders>
            <w:shd w:val="clear" w:color="auto" w:fill="auto"/>
          </w:tcPr>
          <w:p w14:paraId="6837ED0A" w14:textId="77777777" w:rsidR="002A4DDF" w:rsidRPr="00937C8B" w:rsidRDefault="002A4DDF" w:rsidP="009110ED">
            <w:pPr>
              <w:rPr>
                <w:rFonts w:ascii="Arial" w:hAnsi="Arial" w:cs="Arial"/>
                <w:sz w:val="12"/>
                <w:szCs w:val="12"/>
              </w:rPr>
            </w:pPr>
          </w:p>
        </w:tc>
        <w:tc>
          <w:tcPr>
            <w:tcW w:w="1843" w:type="dxa"/>
            <w:shd w:val="clear" w:color="auto" w:fill="auto"/>
          </w:tcPr>
          <w:p w14:paraId="448D91CB" w14:textId="77777777" w:rsidR="002A4DDF" w:rsidRPr="00937C8B" w:rsidRDefault="002A4DDF" w:rsidP="009110ED">
            <w:pPr>
              <w:rPr>
                <w:rFonts w:ascii="Arial" w:hAnsi="Arial" w:cs="Arial"/>
                <w:sz w:val="12"/>
                <w:szCs w:val="12"/>
              </w:rPr>
            </w:pPr>
          </w:p>
        </w:tc>
        <w:tc>
          <w:tcPr>
            <w:tcW w:w="2268" w:type="dxa"/>
            <w:shd w:val="clear" w:color="auto" w:fill="F2F2F2"/>
            <w:hideMark/>
          </w:tcPr>
          <w:p w14:paraId="061EE793" w14:textId="77777777" w:rsidR="002A4DDF" w:rsidRPr="00937C8B" w:rsidRDefault="002A4DDF" w:rsidP="009110ED">
            <w:pPr>
              <w:rPr>
                <w:rFonts w:ascii="Arial" w:hAnsi="Arial" w:cs="Arial"/>
                <w:sz w:val="12"/>
                <w:szCs w:val="12"/>
              </w:rPr>
            </w:pPr>
            <w:r>
              <w:rPr>
                <w:rFonts w:ascii="Arial" w:hAnsi="Arial"/>
                <w:sz w:val="12"/>
                <w:szCs w:val="12"/>
              </w:rPr>
              <w:t>Soses</w:t>
            </w:r>
          </w:p>
        </w:tc>
        <w:tc>
          <w:tcPr>
            <w:tcW w:w="2268" w:type="dxa"/>
            <w:tcBorders>
              <w:right w:val="single" w:sz="4" w:space="0" w:color="auto"/>
            </w:tcBorders>
            <w:shd w:val="clear" w:color="auto" w:fill="D9D9D9"/>
            <w:hideMark/>
          </w:tcPr>
          <w:p w14:paraId="6AA6A92C" w14:textId="77777777" w:rsidR="002A4DDF" w:rsidRPr="00937C8B" w:rsidRDefault="002A4DDF" w:rsidP="009110ED">
            <w:pPr>
              <w:rPr>
                <w:rFonts w:ascii="Arial" w:hAnsi="Arial" w:cs="Arial"/>
                <w:sz w:val="12"/>
                <w:szCs w:val="12"/>
              </w:rPr>
            </w:pPr>
          </w:p>
        </w:tc>
      </w:tr>
      <w:tr w:rsidR="002A4DDF" w:rsidRPr="00937C8B" w14:paraId="1E58F1E3" w14:textId="77777777" w:rsidTr="00935676">
        <w:trPr>
          <w:cantSplit/>
        </w:trPr>
        <w:tc>
          <w:tcPr>
            <w:tcW w:w="1696" w:type="dxa"/>
            <w:tcBorders>
              <w:left w:val="single" w:sz="4" w:space="0" w:color="auto"/>
            </w:tcBorders>
            <w:shd w:val="clear" w:color="auto" w:fill="auto"/>
          </w:tcPr>
          <w:p w14:paraId="371D1AB9" w14:textId="77777777" w:rsidR="002A4DDF" w:rsidRPr="00937C8B" w:rsidRDefault="002A4DDF" w:rsidP="009110ED">
            <w:pPr>
              <w:rPr>
                <w:rFonts w:ascii="Arial" w:hAnsi="Arial" w:cs="Arial"/>
                <w:sz w:val="12"/>
                <w:szCs w:val="12"/>
              </w:rPr>
            </w:pPr>
          </w:p>
        </w:tc>
        <w:tc>
          <w:tcPr>
            <w:tcW w:w="1843" w:type="dxa"/>
            <w:shd w:val="clear" w:color="auto" w:fill="auto"/>
          </w:tcPr>
          <w:p w14:paraId="729709EA" w14:textId="77777777" w:rsidR="002A4DDF" w:rsidRPr="00937C8B" w:rsidRDefault="002A4DDF" w:rsidP="009110ED">
            <w:pPr>
              <w:rPr>
                <w:rFonts w:ascii="Arial" w:hAnsi="Arial" w:cs="Arial"/>
                <w:sz w:val="12"/>
                <w:szCs w:val="12"/>
              </w:rPr>
            </w:pPr>
          </w:p>
        </w:tc>
        <w:tc>
          <w:tcPr>
            <w:tcW w:w="2268" w:type="dxa"/>
            <w:shd w:val="clear" w:color="auto" w:fill="F2F2F2"/>
            <w:hideMark/>
          </w:tcPr>
          <w:p w14:paraId="276446A0" w14:textId="77777777" w:rsidR="002A4DDF" w:rsidRPr="00937C8B" w:rsidRDefault="002A4DDF" w:rsidP="009110ED">
            <w:pPr>
              <w:rPr>
                <w:rFonts w:ascii="Arial" w:hAnsi="Arial" w:cs="Arial"/>
                <w:sz w:val="12"/>
                <w:szCs w:val="12"/>
              </w:rPr>
            </w:pPr>
            <w:r>
              <w:rPr>
                <w:rFonts w:ascii="Arial" w:hAnsi="Arial"/>
                <w:sz w:val="12"/>
                <w:szCs w:val="12"/>
              </w:rPr>
              <w:t>Sudanell</w:t>
            </w:r>
          </w:p>
        </w:tc>
        <w:tc>
          <w:tcPr>
            <w:tcW w:w="2268" w:type="dxa"/>
            <w:tcBorders>
              <w:right w:val="single" w:sz="4" w:space="0" w:color="auto"/>
            </w:tcBorders>
            <w:shd w:val="clear" w:color="auto" w:fill="D9D9D9"/>
            <w:hideMark/>
          </w:tcPr>
          <w:p w14:paraId="4CF64243" w14:textId="77777777" w:rsidR="002A4DDF" w:rsidRPr="00937C8B" w:rsidRDefault="002A4DDF" w:rsidP="009110ED">
            <w:pPr>
              <w:rPr>
                <w:rFonts w:ascii="Arial" w:hAnsi="Arial" w:cs="Arial"/>
                <w:sz w:val="12"/>
                <w:szCs w:val="12"/>
              </w:rPr>
            </w:pPr>
          </w:p>
        </w:tc>
      </w:tr>
      <w:tr w:rsidR="002A4DDF" w:rsidRPr="00937C8B" w14:paraId="4B1E29FC" w14:textId="77777777" w:rsidTr="00935676">
        <w:trPr>
          <w:cantSplit/>
        </w:trPr>
        <w:tc>
          <w:tcPr>
            <w:tcW w:w="1696" w:type="dxa"/>
            <w:tcBorders>
              <w:left w:val="single" w:sz="4" w:space="0" w:color="auto"/>
            </w:tcBorders>
            <w:shd w:val="clear" w:color="auto" w:fill="auto"/>
          </w:tcPr>
          <w:p w14:paraId="55445A5E" w14:textId="77777777" w:rsidR="002A4DDF" w:rsidRPr="00937C8B" w:rsidRDefault="002A4DDF" w:rsidP="009110ED">
            <w:pPr>
              <w:rPr>
                <w:rFonts w:ascii="Arial" w:hAnsi="Arial" w:cs="Arial"/>
                <w:sz w:val="12"/>
                <w:szCs w:val="12"/>
              </w:rPr>
            </w:pPr>
          </w:p>
        </w:tc>
        <w:tc>
          <w:tcPr>
            <w:tcW w:w="1843" w:type="dxa"/>
            <w:shd w:val="clear" w:color="auto" w:fill="auto"/>
          </w:tcPr>
          <w:p w14:paraId="3A4BBE3C" w14:textId="77777777" w:rsidR="002A4DDF" w:rsidRPr="00937C8B" w:rsidRDefault="002A4DDF" w:rsidP="009110ED">
            <w:pPr>
              <w:rPr>
                <w:rFonts w:ascii="Arial" w:hAnsi="Arial" w:cs="Arial"/>
                <w:sz w:val="12"/>
                <w:szCs w:val="12"/>
              </w:rPr>
            </w:pPr>
          </w:p>
        </w:tc>
        <w:tc>
          <w:tcPr>
            <w:tcW w:w="2268" w:type="dxa"/>
            <w:shd w:val="clear" w:color="auto" w:fill="F2F2F2"/>
            <w:hideMark/>
          </w:tcPr>
          <w:p w14:paraId="06CDE7D4" w14:textId="77777777" w:rsidR="002A4DDF" w:rsidRPr="00937C8B" w:rsidRDefault="002A4DDF" w:rsidP="009110ED">
            <w:pPr>
              <w:rPr>
                <w:rFonts w:ascii="Arial" w:hAnsi="Arial" w:cs="Arial"/>
                <w:sz w:val="12"/>
                <w:szCs w:val="12"/>
              </w:rPr>
            </w:pPr>
            <w:r>
              <w:rPr>
                <w:rFonts w:ascii="Arial" w:hAnsi="Arial"/>
                <w:sz w:val="12"/>
                <w:szCs w:val="12"/>
              </w:rPr>
              <w:t>Talavera</w:t>
            </w:r>
          </w:p>
        </w:tc>
        <w:tc>
          <w:tcPr>
            <w:tcW w:w="2268" w:type="dxa"/>
            <w:tcBorders>
              <w:right w:val="single" w:sz="4" w:space="0" w:color="auto"/>
            </w:tcBorders>
            <w:shd w:val="clear" w:color="auto" w:fill="D9D9D9"/>
            <w:hideMark/>
          </w:tcPr>
          <w:p w14:paraId="2443764D" w14:textId="77777777" w:rsidR="002A4DDF" w:rsidRPr="00937C8B" w:rsidRDefault="002A4DDF" w:rsidP="009110ED">
            <w:pPr>
              <w:rPr>
                <w:rFonts w:ascii="Arial" w:hAnsi="Arial" w:cs="Arial"/>
                <w:sz w:val="12"/>
                <w:szCs w:val="12"/>
              </w:rPr>
            </w:pPr>
          </w:p>
        </w:tc>
      </w:tr>
      <w:tr w:rsidR="002A4DDF" w:rsidRPr="00937C8B" w14:paraId="3D0C8652" w14:textId="77777777" w:rsidTr="00935676">
        <w:trPr>
          <w:cantSplit/>
        </w:trPr>
        <w:tc>
          <w:tcPr>
            <w:tcW w:w="1696" w:type="dxa"/>
            <w:tcBorders>
              <w:left w:val="single" w:sz="4" w:space="0" w:color="auto"/>
            </w:tcBorders>
            <w:shd w:val="clear" w:color="auto" w:fill="auto"/>
          </w:tcPr>
          <w:p w14:paraId="5F3D835C" w14:textId="77777777" w:rsidR="002A4DDF" w:rsidRPr="00937C8B" w:rsidRDefault="002A4DDF" w:rsidP="009110ED">
            <w:pPr>
              <w:rPr>
                <w:rFonts w:ascii="Arial" w:hAnsi="Arial" w:cs="Arial"/>
                <w:sz w:val="12"/>
                <w:szCs w:val="12"/>
              </w:rPr>
            </w:pPr>
          </w:p>
        </w:tc>
        <w:tc>
          <w:tcPr>
            <w:tcW w:w="1843" w:type="dxa"/>
            <w:shd w:val="clear" w:color="auto" w:fill="auto"/>
          </w:tcPr>
          <w:p w14:paraId="55E53FF4" w14:textId="77777777" w:rsidR="002A4DDF" w:rsidRPr="00937C8B" w:rsidRDefault="002A4DDF" w:rsidP="009110ED">
            <w:pPr>
              <w:rPr>
                <w:rFonts w:ascii="Arial" w:hAnsi="Arial" w:cs="Arial"/>
                <w:sz w:val="12"/>
                <w:szCs w:val="12"/>
              </w:rPr>
            </w:pPr>
          </w:p>
        </w:tc>
        <w:tc>
          <w:tcPr>
            <w:tcW w:w="2268" w:type="dxa"/>
            <w:shd w:val="clear" w:color="auto" w:fill="F2F2F2"/>
            <w:hideMark/>
          </w:tcPr>
          <w:p w14:paraId="56D3642F" w14:textId="77777777" w:rsidR="002A4DDF" w:rsidRPr="00937C8B" w:rsidRDefault="002A4DDF" w:rsidP="009110ED">
            <w:pPr>
              <w:rPr>
                <w:rFonts w:ascii="Arial" w:hAnsi="Arial" w:cs="Arial"/>
                <w:sz w:val="12"/>
                <w:szCs w:val="12"/>
              </w:rPr>
            </w:pPr>
            <w:r>
              <w:rPr>
                <w:rFonts w:ascii="Arial" w:hAnsi="Arial"/>
                <w:sz w:val="12"/>
                <w:szCs w:val="12"/>
              </w:rPr>
              <w:t>Tàrrega</w:t>
            </w:r>
          </w:p>
        </w:tc>
        <w:tc>
          <w:tcPr>
            <w:tcW w:w="2268" w:type="dxa"/>
            <w:tcBorders>
              <w:right w:val="single" w:sz="4" w:space="0" w:color="auto"/>
            </w:tcBorders>
            <w:shd w:val="clear" w:color="auto" w:fill="D9D9D9"/>
            <w:hideMark/>
          </w:tcPr>
          <w:p w14:paraId="06B7322C" w14:textId="77777777" w:rsidR="002A4DDF" w:rsidRPr="00937C8B" w:rsidRDefault="002A4DDF" w:rsidP="009110ED">
            <w:pPr>
              <w:rPr>
                <w:rFonts w:ascii="Arial" w:hAnsi="Arial" w:cs="Arial"/>
                <w:sz w:val="12"/>
                <w:szCs w:val="12"/>
              </w:rPr>
            </w:pPr>
          </w:p>
        </w:tc>
      </w:tr>
      <w:tr w:rsidR="002A4DDF" w:rsidRPr="00937C8B" w14:paraId="763C2932" w14:textId="77777777" w:rsidTr="00935676">
        <w:trPr>
          <w:cantSplit/>
        </w:trPr>
        <w:tc>
          <w:tcPr>
            <w:tcW w:w="1696" w:type="dxa"/>
            <w:tcBorders>
              <w:left w:val="single" w:sz="4" w:space="0" w:color="auto"/>
            </w:tcBorders>
            <w:shd w:val="clear" w:color="auto" w:fill="auto"/>
          </w:tcPr>
          <w:p w14:paraId="2489C471" w14:textId="77777777" w:rsidR="002A4DDF" w:rsidRPr="00937C8B" w:rsidRDefault="002A4DDF" w:rsidP="009110ED">
            <w:pPr>
              <w:rPr>
                <w:rFonts w:ascii="Arial" w:hAnsi="Arial" w:cs="Arial"/>
                <w:sz w:val="12"/>
                <w:szCs w:val="12"/>
              </w:rPr>
            </w:pPr>
          </w:p>
        </w:tc>
        <w:tc>
          <w:tcPr>
            <w:tcW w:w="1843" w:type="dxa"/>
            <w:shd w:val="clear" w:color="auto" w:fill="auto"/>
          </w:tcPr>
          <w:p w14:paraId="5441F5EC" w14:textId="77777777" w:rsidR="002A4DDF" w:rsidRPr="00937C8B" w:rsidRDefault="002A4DDF" w:rsidP="009110ED">
            <w:pPr>
              <w:rPr>
                <w:rFonts w:ascii="Arial" w:hAnsi="Arial" w:cs="Arial"/>
                <w:sz w:val="12"/>
                <w:szCs w:val="12"/>
              </w:rPr>
            </w:pPr>
          </w:p>
        </w:tc>
        <w:tc>
          <w:tcPr>
            <w:tcW w:w="2268" w:type="dxa"/>
            <w:shd w:val="clear" w:color="auto" w:fill="F2F2F2"/>
            <w:hideMark/>
          </w:tcPr>
          <w:p w14:paraId="01843488" w14:textId="77777777" w:rsidR="002A4DDF" w:rsidRPr="00937C8B" w:rsidRDefault="002A4DDF" w:rsidP="009110ED">
            <w:pPr>
              <w:rPr>
                <w:rFonts w:ascii="Arial" w:hAnsi="Arial" w:cs="Arial"/>
                <w:sz w:val="12"/>
                <w:szCs w:val="12"/>
              </w:rPr>
            </w:pPr>
            <w:r>
              <w:rPr>
                <w:rFonts w:ascii="Arial" w:hAnsi="Arial"/>
                <w:sz w:val="12"/>
                <w:szCs w:val="12"/>
              </w:rPr>
              <w:t>Tarroja de Segarra</w:t>
            </w:r>
          </w:p>
        </w:tc>
        <w:tc>
          <w:tcPr>
            <w:tcW w:w="2268" w:type="dxa"/>
            <w:tcBorders>
              <w:right w:val="single" w:sz="4" w:space="0" w:color="auto"/>
            </w:tcBorders>
            <w:shd w:val="clear" w:color="auto" w:fill="D9D9D9"/>
            <w:hideMark/>
          </w:tcPr>
          <w:p w14:paraId="47DFF80F" w14:textId="77777777" w:rsidR="002A4DDF" w:rsidRPr="00937C8B" w:rsidRDefault="002A4DDF" w:rsidP="009110ED">
            <w:pPr>
              <w:rPr>
                <w:rFonts w:ascii="Arial" w:hAnsi="Arial" w:cs="Arial"/>
                <w:sz w:val="12"/>
                <w:szCs w:val="12"/>
              </w:rPr>
            </w:pPr>
          </w:p>
        </w:tc>
      </w:tr>
      <w:tr w:rsidR="002A4DDF" w:rsidRPr="00937C8B" w14:paraId="2E23262B" w14:textId="77777777" w:rsidTr="00935676">
        <w:trPr>
          <w:cantSplit/>
        </w:trPr>
        <w:tc>
          <w:tcPr>
            <w:tcW w:w="1696" w:type="dxa"/>
            <w:tcBorders>
              <w:left w:val="single" w:sz="4" w:space="0" w:color="auto"/>
            </w:tcBorders>
            <w:shd w:val="clear" w:color="auto" w:fill="auto"/>
          </w:tcPr>
          <w:p w14:paraId="7D054EFC" w14:textId="77777777" w:rsidR="002A4DDF" w:rsidRPr="00937C8B" w:rsidRDefault="002A4DDF" w:rsidP="009110ED">
            <w:pPr>
              <w:rPr>
                <w:rFonts w:ascii="Arial" w:hAnsi="Arial" w:cs="Arial"/>
                <w:sz w:val="12"/>
                <w:szCs w:val="12"/>
              </w:rPr>
            </w:pPr>
          </w:p>
        </w:tc>
        <w:tc>
          <w:tcPr>
            <w:tcW w:w="1843" w:type="dxa"/>
            <w:shd w:val="clear" w:color="auto" w:fill="auto"/>
          </w:tcPr>
          <w:p w14:paraId="4FB40212" w14:textId="77777777" w:rsidR="002A4DDF" w:rsidRPr="00937C8B" w:rsidRDefault="002A4DDF" w:rsidP="009110ED">
            <w:pPr>
              <w:rPr>
                <w:rFonts w:ascii="Arial" w:hAnsi="Arial" w:cs="Arial"/>
                <w:sz w:val="12"/>
                <w:szCs w:val="12"/>
              </w:rPr>
            </w:pPr>
          </w:p>
        </w:tc>
        <w:tc>
          <w:tcPr>
            <w:tcW w:w="2268" w:type="dxa"/>
            <w:shd w:val="clear" w:color="auto" w:fill="F2F2F2"/>
            <w:hideMark/>
          </w:tcPr>
          <w:p w14:paraId="47C0555D" w14:textId="77777777" w:rsidR="002A4DDF" w:rsidRPr="00937C8B" w:rsidRDefault="002A4DDF" w:rsidP="009110ED">
            <w:pPr>
              <w:rPr>
                <w:rFonts w:ascii="Arial" w:hAnsi="Arial" w:cs="Arial"/>
                <w:sz w:val="12"/>
                <w:szCs w:val="12"/>
              </w:rPr>
            </w:pPr>
            <w:r>
              <w:rPr>
                <w:rFonts w:ascii="Arial" w:hAnsi="Arial"/>
                <w:sz w:val="12"/>
                <w:szCs w:val="12"/>
              </w:rPr>
              <w:t>Térmens</w:t>
            </w:r>
          </w:p>
        </w:tc>
        <w:tc>
          <w:tcPr>
            <w:tcW w:w="2268" w:type="dxa"/>
            <w:tcBorders>
              <w:right w:val="single" w:sz="4" w:space="0" w:color="auto"/>
            </w:tcBorders>
            <w:shd w:val="clear" w:color="auto" w:fill="D9D9D9"/>
            <w:hideMark/>
          </w:tcPr>
          <w:p w14:paraId="3897AF0C" w14:textId="77777777" w:rsidR="002A4DDF" w:rsidRPr="00937C8B" w:rsidRDefault="002A4DDF" w:rsidP="009110ED">
            <w:pPr>
              <w:rPr>
                <w:rFonts w:ascii="Arial" w:hAnsi="Arial" w:cs="Arial"/>
                <w:sz w:val="12"/>
                <w:szCs w:val="12"/>
              </w:rPr>
            </w:pPr>
          </w:p>
        </w:tc>
      </w:tr>
      <w:tr w:rsidR="002A4DDF" w:rsidRPr="00937C8B" w14:paraId="702CFAFB" w14:textId="77777777" w:rsidTr="00935676">
        <w:trPr>
          <w:cantSplit/>
        </w:trPr>
        <w:tc>
          <w:tcPr>
            <w:tcW w:w="1696" w:type="dxa"/>
            <w:tcBorders>
              <w:left w:val="single" w:sz="4" w:space="0" w:color="auto"/>
            </w:tcBorders>
            <w:shd w:val="clear" w:color="auto" w:fill="auto"/>
          </w:tcPr>
          <w:p w14:paraId="157C0C0D" w14:textId="77777777" w:rsidR="002A4DDF" w:rsidRPr="00937C8B" w:rsidRDefault="002A4DDF" w:rsidP="009110ED">
            <w:pPr>
              <w:rPr>
                <w:rFonts w:ascii="Arial" w:hAnsi="Arial" w:cs="Arial"/>
                <w:sz w:val="12"/>
                <w:szCs w:val="12"/>
              </w:rPr>
            </w:pPr>
          </w:p>
        </w:tc>
        <w:tc>
          <w:tcPr>
            <w:tcW w:w="1843" w:type="dxa"/>
            <w:shd w:val="clear" w:color="auto" w:fill="auto"/>
          </w:tcPr>
          <w:p w14:paraId="52E70CB0" w14:textId="77777777" w:rsidR="002A4DDF" w:rsidRPr="00937C8B" w:rsidRDefault="002A4DDF" w:rsidP="009110ED">
            <w:pPr>
              <w:rPr>
                <w:rFonts w:ascii="Arial" w:hAnsi="Arial" w:cs="Arial"/>
                <w:sz w:val="12"/>
                <w:szCs w:val="12"/>
              </w:rPr>
            </w:pPr>
          </w:p>
        </w:tc>
        <w:tc>
          <w:tcPr>
            <w:tcW w:w="2268" w:type="dxa"/>
            <w:shd w:val="clear" w:color="auto" w:fill="F2F2F2"/>
            <w:hideMark/>
          </w:tcPr>
          <w:p w14:paraId="04DE9E19" w14:textId="77777777" w:rsidR="002A4DDF" w:rsidRPr="00937C8B" w:rsidRDefault="002A4DDF" w:rsidP="009110ED">
            <w:pPr>
              <w:rPr>
                <w:rFonts w:ascii="Arial" w:hAnsi="Arial" w:cs="Arial"/>
                <w:sz w:val="12"/>
                <w:szCs w:val="12"/>
              </w:rPr>
            </w:pPr>
            <w:r>
              <w:rPr>
                <w:rFonts w:ascii="Arial" w:hAnsi="Arial"/>
                <w:sz w:val="12"/>
                <w:szCs w:val="12"/>
              </w:rPr>
              <w:t>Torà</w:t>
            </w:r>
          </w:p>
        </w:tc>
        <w:tc>
          <w:tcPr>
            <w:tcW w:w="2268" w:type="dxa"/>
            <w:tcBorders>
              <w:right w:val="single" w:sz="4" w:space="0" w:color="auto"/>
            </w:tcBorders>
            <w:shd w:val="clear" w:color="auto" w:fill="D9D9D9"/>
            <w:hideMark/>
          </w:tcPr>
          <w:p w14:paraId="6B63D69B" w14:textId="77777777" w:rsidR="002A4DDF" w:rsidRPr="00937C8B" w:rsidRDefault="002A4DDF" w:rsidP="009110ED">
            <w:pPr>
              <w:rPr>
                <w:rFonts w:ascii="Arial" w:hAnsi="Arial" w:cs="Arial"/>
                <w:sz w:val="12"/>
                <w:szCs w:val="12"/>
              </w:rPr>
            </w:pPr>
          </w:p>
        </w:tc>
      </w:tr>
      <w:tr w:rsidR="002A4DDF" w:rsidRPr="00937C8B" w14:paraId="42032A66" w14:textId="77777777" w:rsidTr="00935676">
        <w:trPr>
          <w:cantSplit/>
        </w:trPr>
        <w:tc>
          <w:tcPr>
            <w:tcW w:w="1696" w:type="dxa"/>
            <w:tcBorders>
              <w:left w:val="single" w:sz="4" w:space="0" w:color="auto"/>
            </w:tcBorders>
            <w:shd w:val="clear" w:color="auto" w:fill="auto"/>
          </w:tcPr>
          <w:p w14:paraId="08A566FF" w14:textId="77777777" w:rsidR="002A4DDF" w:rsidRPr="00937C8B" w:rsidRDefault="002A4DDF" w:rsidP="009110ED">
            <w:pPr>
              <w:rPr>
                <w:rFonts w:ascii="Arial" w:hAnsi="Arial" w:cs="Arial"/>
                <w:sz w:val="12"/>
                <w:szCs w:val="12"/>
              </w:rPr>
            </w:pPr>
          </w:p>
        </w:tc>
        <w:tc>
          <w:tcPr>
            <w:tcW w:w="1843" w:type="dxa"/>
            <w:shd w:val="clear" w:color="auto" w:fill="auto"/>
          </w:tcPr>
          <w:p w14:paraId="4C6D0932" w14:textId="77777777" w:rsidR="002A4DDF" w:rsidRPr="00937C8B" w:rsidRDefault="002A4DDF" w:rsidP="009110ED">
            <w:pPr>
              <w:rPr>
                <w:rFonts w:ascii="Arial" w:hAnsi="Arial" w:cs="Arial"/>
                <w:sz w:val="12"/>
                <w:szCs w:val="12"/>
              </w:rPr>
            </w:pPr>
          </w:p>
        </w:tc>
        <w:tc>
          <w:tcPr>
            <w:tcW w:w="2268" w:type="dxa"/>
            <w:shd w:val="clear" w:color="auto" w:fill="F2F2F2"/>
            <w:hideMark/>
          </w:tcPr>
          <w:p w14:paraId="0E06A4B9" w14:textId="77777777" w:rsidR="002A4DDF" w:rsidRPr="00937C8B" w:rsidRDefault="002A4DDF" w:rsidP="009110ED">
            <w:pPr>
              <w:rPr>
                <w:rFonts w:ascii="Arial" w:hAnsi="Arial" w:cs="Arial"/>
                <w:sz w:val="12"/>
                <w:szCs w:val="12"/>
              </w:rPr>
            </w:pPr>
            <w:r>
              <w:rPr>
                <w:rFonts w:ascii="Arial" w:hAnsi="Arial"/>
                <w:sz w:val="12"/>
                <w:szCs w:val="12"/>
              </w:rPr>
              <w:t>Tornabous</w:t>
            </w:r>
          </w:p>
        </w:tc>
        <w:tc>
          <w:tcPr>
            <w:tcW w:w="2268" w:type="dxa"/>
            <w:tcBorders>
              <w:right w:val="single" w:sz="4" w:space="0" w:color="auto"/>
            </w:tcBorders>
            <w:shd w:val="clear" w:color="auto" w:fill="D9D9D9"/>
            <w:hideMark/>
          </w:tcPr>
          <w:p w14:paraId="2FEA13B7" w14:textId="77777777" w:rsidR="002A4DDF" w:rsidRPr="00937C8B" w:rsidRDefault="002A4DDF" w:rsidP="009110ED">
            <w:pPr>
              <w:rPr>
                <w:rFonts w:ascii="Arial" w:hAnsi="Arial" w:cs="Arial"/>
                <w:sz w:val="12"/>
                <w:szCs w:val="12"/>
              </w:rPr>
            </w:pPr>
          </w:p>
        </w:tc>
      </w:tr>
      <w:tr w:rsidR="002A4DDF" w:rsidRPr="00937C8B" w14:paraId="67BCF091" w14:textId="77777777" w:rsidTr="00935676">
        <w:trPr>
          <w:cantSplit/>
        </w:trPr>
        <w:tc>
          <w:tcPr>
            <w:tcW w:w="1696" w:type="dxa"/>
            <w:tcBorders>
              <w:left w:val="single" w:sz="4" w:space="0" w:color="auto"/>
            </w:tcBorders>
            <w:shd w:val="clear" w:color="auto" w:fill="auto"/>
          </w:tcPr>
          <w:p w14:paraId="0E7E5982" w14:textId="77777777" w:rsidR="002A4DDF" w:rsidRPr="00937C8B" w:rsidRDefault="002A4DDF" w:rsidP="009110ED">
            <w:pPr>
              <w:rPr>
                <w:rFonts w:ascii="Arial" w:hAnsi="Arial" w:cs="Arial"/>
                <w:sz w:val="12"/>
                <w:szCs w:val="12"/>
              </w:rPr>
            </w:pPr>
          </w:p>
        </w:tc>
        <w:tc>
          <w:tcPr>
            <w:tcW w:w="1843" w:type="dxa"/>
            <w:shd w:val="clear" w:color="auto" w:fill="auto"/>
          </w:tcPr>
          <w:p w14:paraId="203C8A86" w14:textId="77777777" w:rsidR="002A4DDF" w:rsidRPr="00937C8B" w:rsidRDefault="002A4DDF" w:rsidP="009110ED">
            <w:pPr>
              <w:rPr>
                <w:rFonts w:ascii="Arial" w:hAnsi="Arial" w:cs="Arial"/>
                <w:sz w:val="12"/>
                <w:szCs w:val="12"/>
              </w:rPr>
            </w:pPr>
          </w:p>
        </w:tc>
        <w:tc>
          <w:tcPr>
            <w:tcW w:w="2268" w:type="dxa"/>
            <w:shd w:val="clear" w:color="auto" w:fill="F2F2F2"/>
            <w:hideMark/>
          </w:tcPr>
          <w:p w14:paraId="4D9AF64B" w14:textId="77777777" w:rsidR="002A4DDF" w:rsidRPr="00937C8B" w:rsidRDefault="002A4DDF" w:rsidP="009110ED">
            <w:pPr>
              <w:rPr>
                <w:rFonts w:ascii="Arial" w:hAnsi="Arial" w:cs="Arial"/>
                <w:sz w:val="12"/>
                <w:szCs w:val="12"/>
              </w:rPr>
            </w:pPr>
            <w:r>
              <w:rPr>
                <w:rFonts w:ascii="Arial" w:hAnsi="Arial"/>
                <w:sz w:val="12"/>
                <w:szCs w:val="12"/>
              </w:rPr>
              <w:t>Torrefeta i Florejacs</w:t>
            </w:r>
          </w:p>
        </w:tc>
        <w:tc>
          <w:tcPr>
            <w:tcW w:w="2268" w:type="dxa"/>
            <w:tcBorders>
              <w:right w:val="single" w:sz="4" w:space="0" w:color="auto"/>
            </w:tcBorders>
            <w:shd w:val="clear" w:color="auto" w:fill="D9D9D9"/>
            <w:hideMark/>
          </w:tcPr>
          <w:p w14:paraId="4CE77D40" w14:textId="77777777" w:rsidR="002A4DDF" w:rsidRPr="00937C8B" w:rsidRDefault="002A4DDF" w:rsidP="009110ED">
            <w:pPr>
              <w:rPr>
                <w:rFonts w:ascii="Arial" w:hAnsi="Arial" w:cs="Arial"/>
                <w:sz w:val="12"/>
                <w:szCs w:val="12"/>
              </w:rPr>
            </w:pPr>
          </w:p>
        </w:tc>
      </w:tr>
      <w:tr w:rsidR="002A4DDF" w:rsidRPr="00937C8B" w14:paraId="01D3283C" w14:textId="77777777" w:rsidTr="00935676">
        <w:trPr>
          <w:cantSplit/>
        </w:trPr>
        <w:tc>
          <w:tcPr>
            <w:tcW w:w="1696" w:type="dxa"/>
            <w:tcBorders>
              <w:left w:val="single" w:sz="4" w:space="0" w:color="auto"/>
            </w:tcBorders>
            <w:shd w:val="clear" w:color="auto" w:fill="auto"/>
          </w:tcPr>
          <w:p w14:paraId="5665CF3A" w14:textId="77777777" w:rsidR="002A4DDF" w:rsidRPr="00937C8B" w:rsidRDefault="002A4DDF" w:rsidP="009110ED">
            <w:pPr>
              <w:rPr>
                <w:rFonts w:ascii="Arial" w:hAnsi="Arial" w:cs="Arial"/>
                <w:sz w:val="12"/>
                <w:szCs w:val="12"/>
              </w:rPr>
            </w:pPr>
          </w:p>
        </w:tc>
        <w:tc>
          <w:tcPr>
            <w:tcW w:w="1843" w:type="dxa"/>
            <w:shd w:val="clear" w:color="auto" w:fill="auto"/>
          </w:tcPr>
          <w:p w14:paraId="1ACBDB22" w14:textId="77777777" w:rsidR="002A4DDF" w:rsidRPr="00937C8B" w:rsidRDefault="002A4DDF" w:rsidP="009110ED">
            <w:pPr>
              <w:rPr>
                <w:rFonts w:ascii="Arial" w:hAnsi="Arial" w:cs="Arial"/>
                <w:sz w:val="12"/>
                <w:szCs w:val="12"/>
              </w:rPr>
            </w:pPr>
          </w:p>
        </w:tc>
        <w:tc>
          <w:tcPr>
            <w:tcW w:w="2268" w:type="dxa"/>
            <w:shd w:val="clear" w:color="auto" w:fill="F2F2F2"/>
            <w:hideMark/>
          </w:tcPr>
          <w:p w14:paraId="19A272E2" w14:textId="77777777" w:rsidR="002A4DDF" w:rsidRPr="00937C8B" w:rsidRDefault="002A4DDF" w:rsidP="009110ED">
            <w:pPr>
              <w:rPr>
                <w:rFonts w:ascii="Arial" w:hAnsi="Arial" w:cs="Arial"/>
                <w:sz w:val="12"/>
                <w:szCs w:val="12"/>
              </w:rPr>
            </w:pPr>
            <w:r>
              <w:rPr>
                <w:rFonts w:ascii="Arial" w:hAnsi="Arial"/>
                <w:sz w:val="12"/>
                <w:szCs w:val="12"/>
              </w:rPr>
              <w:t>Torrelameu</w:t>
            </w:r>
          </w:p>
        </w:tc>
        <w:tc>
          <w:tcPr>
            <w:tcW w:w="2268" w:type="dxa"/>
            <w:tcBorders>
              <w:right w:val="single" w:sz="4" w:space="0" w:color="auto"/>
            </w:tcBorders>
            <w:shd w:val="clear" w:color="auto" w:fill="D9D9D9"/>
            <w:hideMark/>
          </w:tcPr>
          <w:p w14:paraId="081DFF2D" w14:textId="77777777" w:rsidR="002A4DDF" w:rsidRPr="00937C8B" w:rsidRDefault="002A4DDF" w:rsidP="009110ED">
            <w:pPr>
              <w:rPr>
                <w:rFonts w:ascii="Arial" w:hAnsi="Arial" w:cs="Arial"/>
                <w:sz w:val="12"/>
                <w:szCs w:val="12"/>
              </w:rPr>
            </w:pPr>
          </w:p>
        </w:tc>
      </w:tr>
      <w:tr w:rsidR="002A4DDF" w:rsidRPr="00937C8B" w14:paraId="4961DD8C" w14:textId="77777777" w:rsidTr="00935676">
        <w:trPr>
          <w:cantSplit/>
        </w:trPr>
        <w:tc>
          <w:tcPr>
            <w:tcW w:w="1696" w:type="dxa"/>
            <w:tcBorders>
              <w:left w:val="single" w:sz="4" w:space="0" w:color="auto"/>
            </w:tcBorders>
            <w:shd w:val="clear" w:color="auto" w:fill="auto"/>
          </w:tcPr>
          <w:p w14:paraId="1CBB32D5" w14:textId="77777777" w:rsidR="002A4DDF" w:rsidRPr="00937C8B" w:rsidRDefault="002A4DDF" w:rsidP="009110ED">
            <w:pPr>
              <w:rPr>
                <w:rFonts w:ascii="Arial" w:hAnsi="Arial" w:cs="Arial"/>
                <w:sz w:val="12"/>
                <w:szCs w:val="12"/>
              </w:rPr>
            </w:pPr>
          </w:p>
        </w:tc>
        <w:tc>
          <w:tcPr>
            <w:tcW w:w="1843" w:type="dxa"/>
            <w:shd w:val="clear" w:color="auto" w:fill="auto"/>
          </w:tcPr>
          <w:p w14:paraId="5499CF3A" w14:textId="77777777" w:rsidR="002A4DDF" w:rsidRPr="00937C8B" w:rsidRDefault="002A4DDF" w:rsidP="009110ED">
            <w:pPr>
              <w:rPr>
                <w:rFonts w:ascii="Arial" w:hAnsi="Arial" w:cs="Arial"/>
                <w:sz w:val="12"/>
                <w:szCs w:val="12"/>
              </w:rPr>
            </w:pPr>
          </w:p>
        </w:tc>
        <w:tc>
          <w:tcPr>
            <w:tcW w:w="2268" w:type="dxa"/>
            <w:shd w:val="clear" w:color="auto" w:fill="F2F2F2"/>
            <w:hideMark/>
          </w:tcPr>
          <w:p w14:paraId="2BAFB73E" w14:textId="77777777" w:rsidR="002A4DDF" w:rsidRPr="00937C8B" w:rsidRDefault="002A4DDF" w:rsidP="009110ED">
            <w:pPr>
              <w:rPr>
                <w:rFonts w:ascii="Arial" w:hAnsi="Arial" w:cs="Arial"/>
                <w:sz w:val="12"/>
                <w:szCs w:val="12"/>
              </w:rPr>
            </w:pPr>
            <w:r>
              <w:rPr>
                <w:rFonts w:ascii="Arial" w:hAnsi="Arial"/>
                <w:sz w:val="12"/>
                <w:szCs w:val="12"/>
              </w:rPr>
              <w:t>Torres de Segre</w:t>
            </w:r>
          </w:p>
        </w:tc>
        <w:tc>
          <w:tcPr>
            <w:tcW w:w="2268" w:type="dxa"/>
            <w:tcBorders>
              <w:right w:val="single" w:sz="4" w:space="0" w:color="auto"/>
            </w:tcBorders>
            <w:shd w:val="clear" w:color="auto" w:fill="D9D9D9"/>
            <w:hideMark/>
          </w:tcPr>
          <w:p w14:paraId="0F1590D4" w14:textId="77777777" w:rsidR="002A4DDF" w:rsidRPr="00937C8B" w:rsidRDefault="002A4DDF" w:rsidP="009110ED">
            <w:pPr>
              <w:rPr>
                <w:rFonts w:ascii="Arial" w:hAnsi="Arial" w:cs="Arial"/>
                <w:sz w:val="12"/>
                <w:szCs w:val="12"/>
              </w:rPr>
            </w:pPr>
          </w:p>
        </w:tc>
      </w:tr>
      <w:tr w:rsidR="002A4DDF" w:rsidRPr="00937C8B" w14:paraId="58028A5D" w14:textId="77777777" w:rsidTr="00935676">
        <w:trPr>
          <w:cantSplit/>
        </w:trPr>
        <w:tc>
          <w:tcPr>
            <w:tcW w:w="1696" w:type="dxa"/>
            <w:tcBorders>
              <w:left w:val="single" w:sz="4" w:space="0" w:color="auto"/>
            </w:tcBorders>
            <w:shd w:val="clear" w:color="auto" w:fill="auto"/>
          </w:tcPr>
          <w:p w14:paraId="4A7D171B" w14:textId="77777777" w:rsidR="002A4DDF" w:rsidRPr="00937C8B" w:rsidRDefault="002A4DDF" w:rsidP="009110ED">
            <w:pPr>
              <w:rPr>
                <w:rFonts w:ascii="Arial" w:hAnsi="Arial" w:cs="Arial"/>
                <w:sz w:val="12"/>
                <w:szCs w:val="12"/>
              </w:rPr>
            </w:pPr>
          </w:p>
        </w:tc>
        <w:tc>
          <w:tcPr>
            <w:tcW w:w="1843" w:type="dxa"/>
            <w:shd w:val="clear" w:color="auto" w:fill="auto"/>
          </w:tcPr>
          <w:p w14:paraId="3BEC3915" w14:textId="77777777" w:rsidR="002A4DDF" w:rsidRPr="00937C8B" w:rsidRDefault="002A4DDF" w:rsidP="009110ED">
            <w:pPr>
              <w:rPr>
                <w:rFonts w:ascii="Arial" w:hAnsi="Arial" w:cs="Arial"/>
                <w:sz w:val="12"/>
                <w:szCs w:val="12"/>
              </w:rPr>
            </w:pPr>
          </w:p>
        </w:tc>
        <w:tc>
          <w:tcPr>
            <w:tcW w:w="2268" w:type="dxa"/>
            <w:shd w:val="clear" w:color="auto" w:fill="F2F2F2"/>
            <w:hideMark/>
          </w:tcPr>
          <w:p w14:paraId="70569F09" w14:textId="77777777" w:rsidR="002A4DDF" w:rsidRPr="00937C8B" w:rsidRDefault="002A4DDF" w:rsidP="009110ED">
            <w:pPr>
              <w:rPr>
                <w:rFonts w:ascii="Arial" w:hAnsi="Arial" w:cs="Arial"/>
                <w:sz w:val="12"/>
                <w:szCs w:val="12"/>
              </w:rPr>
            </w:pPr>
            <w:r>
              <w:rPr>
                <w:rFonts w:ascii="Arial" w:hAnsi="Arial"/>
                <w:sz w:val="12"/>
                <w:szCs w:val="12"/>
              </w:rPr>
              <w:t>Vallfogona de Balaguer</w:t>
            </w:r>
          </w:p>
        </w:tc>
        <w:tc>
          <w:tcPr>
            <w:tcW w:w="2268" w:type="dxa"/>
            <w:tcBorders>
              <w:right w:val="single" w:sz="4" w:space="0" w:color="auto"/>
            </w:tcBorders>
            <w:shd w:val="clear" w:color="auto" w:fill="D9D9D9"/>
            <w:hideMark/>
          </w:tcPr>
          <w:p w14:paraId="46201641" w14:textId="77777777" w:rsidR="002A4DDF" w:rsidRPr="00937C8B" w:rsidRDefault="002A4DDF" w:rsidP="009110ED">
            <w:pPr>
              <w:rPr>
                <w:rFonts w:ascii="Arial" w:hAnsi="Arial" w:cs="Arial"/>
                <w:sz w:val="12"/>
                <w:szCs w:val="12"/>
              </w:rPr>
            </w:pPr>
          </w:p>
        </w:tc>
      </w:tr>
      <w:tr w:rsidR="002A4DDF" w:rsidRPr="00937C8B" w14:paraId="59813D22" w14:textId="77777777" w:rsidTr="00935676">
        <w:trPr>
          <w:cantSplit/>
        </w:trPr>
        <w:tc>
          <w:tcPr>
            <w:tcW w:w="1696" w:type="dxa"/>
            <w:tcBorders>
              <w:left w:val="single" w:sz="4" w:space="0" w:color="auto"/>
            </w:tcBorders>
            <w:shd w:val="clear" w:color="auto" w:fill="auto"/>
          </w:tcPr>
          <w:p w14:paraId="7482E7F3" w14:textId="77777777" w:rsidR="002A4DDF" w:rsidRPr="00937C8B" w:rsidRDefault="002A4DDF" w:rsidP="009110ED">
            <w:pPr>
              <w:rPr>
                <w:rFonts w:ascii="Arial" w:hAnsi="Arial" w:cs="Arial"/>
                <w:sz w:val="12"/>
                <w:szCs w:val="12"/>
              </w:rPr>
            </w:pPr>
          </w:p>
        </w:tc>
        <w:tc>
          <w:tcPr>
            <w:tcW w:w="1843" w:type="dxa"/>
            <w:shd w:val="clear" w:color="auto" w:fill="auto"/>
          </w:tcPr>
          <w:p w14:paraId="5D095122" w14:textId="77777777" w:rsidR="002A4DDF" w:rsidRPr="00937C8B" w:rsidRDefault="002A4DDF" w:rsidP="009110ED">
            <w:pPr>
              <w:rPr>
                <w:rFonts w:ascii="Arial" w:hAnsi="Arial" w:cs="Arial"/>
                <w:sz w:val="12"/>
                <w:szCs w:val="12"/>
              </w:rPr>
            </w:pPr>
          </w:p>
        </w:tc>
        <w:tc>
          <w:tcPr>
            <w:tcW w:w="2268" w:type="dxa"/>
            <w:shd w:val="clear" w:color="auto" w:fill="F2F2F2"/>
            <w:hideMark/>
          </w:tcPr>
          <w:p w14:paraId="497A68EE" w14:textId="77777777" w:rsidR="002A4DDF" w:rsidRPr="00937C8B" w:rsidRDefault="002A4DDF" w:rsidP="009110ED">
            <w:pPr>
              <w:rPr>
                <w:rFonts w:ascii="Arial" w:hAnsi="Arial" w:cs="Arial"/>
                <w:sz w:val="12"/>
                <w:szCs w:val="12"/>
              </w:rPr>
            </w:pPr>
            <w:r>
              <w:rPr>
                <w:rFonts w:ascii="Arial" w:hAnsi="Arial"/>
                <w:sz w:val="12"/>
                <w:szCs w:val="12"/>
              </w:rPr>
              <w:t>Vilagrassa</w:t>
            </w:r>
          </w:p>
        </w:tc>
        <w:tc>
          <w:tcPr>
            <w:tcW w:w="2268" w:type="dxa"/>
            <w:tcBorders>
              <w:right w:val="single" w:sz="4" w:space="0" w:color="auto"/>
            </w:tcBorders>
            <w:shd w:val="clear" w:color="auto" w:fill="D9D9D9"/>
            <w:hideMark/>
          </w:tcPr>
          <w:p w14:paraId="78185BA8" w14:textId="77777777" w:rsidR="002A4DDF" w:rsidRPr="00937C8B" w:rsidRDefault="002A4DDF" w:rsidP="009110ED">
            <w:pPr>
              <w:rPr>
                <w:rFonts w:ascii="Arial" w:hAnsi="Arial" w:cs="Arial"/>
                <w:sz w:val="12"/>
                <w:szCs w:val="12"/>
              </w:rPr>
            </w:pPr>
          </w:p>
        </w:tc>
      </w:tr>
      <w:tr w:rsidR="002A4DDF" w:rsidRPr="00937C8B" w14:paraId="3A70C2CC" w14:textId="77777777" w:rsidTr="00935676">
        <w:trPr>
          <w:cantSplit/>
        </w:trPr>
        <w:tc>
          <w:tcPr>
            <w:tcW w:w="1696" w:type="dxa"/>
            <w:tcBorders>
              <w:left w:val="single" w:sz="4" w:space="0" w:color="auto"/>
            </w:tcBorders>
            <w:shd w:val="clear" w:color="auto" w:fill="auto"/>
          </w:tcPr>
          <w:p w14:paraId="4E1319FE" w14:textId="77777777" w:rsidR="002A4DDF" w:rsidRPr="00937C8B" w:rsidRDefault="002A4DDF" w:rsidP="009110ED">
            <w:pPr>
              <w:rPr>
                <w:rFonts w:ascii="Arial" w:hAnsi="Arial" w:cs="Arial"/>
                <w:sz w:val="12"/>
                <w:szCs w:val="12"/>
              </w:rPr>
            </w:pPr>
          </w:p>
        </w:tc>
        <w:tc>
          <w:tcPr>
            <w:tcW w:w="1843" w:type="dxa"/>
            <w:shd w:val="clear" w:color="auto" w:fill="auto"/>
          </w:tcPr>
          <w:p w14:paraId="4DD8FA8B" w14:textId="77777777" w:rsidR="002A4DDF" w:rsidRPr="00937C8B" w:rsidRDefault="002A4DDF" w:rsidP="009110ED">
            <w:pPr>
              <w:rPr>
                <w:rFonts w:ascii="Arial" w:hAnsi="Arial" w:cs="Arial"/>
                <w:sz w:val="12"/>
                <w:szCs w:val="12"/>
              </w:rPr>
            </w:pPr>
          </w:p>
        </w:tc>
        <w:tc>
          <w:tcPr>
            <w:tcW w:w="2268" w:type="dxa"/>
            <w:shd w:val="clear" w:color="auto" w:fill="F2F2F2"/>
            <w:hideMark/>
          </w:tcPr>
          <w:p w14:paraId="18107519" w14:textId="77777777" w:rsidR="002A4DDF" w:rsidRPr="00937C8B" w:rsidRDefault="002A4DDF" w:rsidP="009110ED">
            <w:pPr>
              <w:rPr>
                <w:rFonts w:ascii="Arial" w:hAnsi="Arial" w:cs="Arial"/>
                <w:sz w:val="12"/>
                <w:szCs w:val="12"/>
              </w:rPr>
            </w:pPr>
            <w:r>
              <w:rPr>
                <w:rFonts w:ascii="Arial" w:hAnsi="Arial"/>
                <w:sz w:val="12"/>
                <w:szCs w:val="12"/>
              </w:rPr>
              <w:t>Vilanova de la Barca</w:t>
            </w:r>
          </w:p>
        </w:tc>
        <w:tc>
          <w:tcPr>
            <w:tcW w:w="2268" w:type="dxa"/>
            <w:tcBorders>
              <w:right w:val="single" w:sz="4" w:space="0" w:color="auto"/>
            </w:tcBorders>
            <w:shd w:val="clear" w:color="auto" w:fill="D9D9D9"/>
            <w:hideMark/>
          </w:tcPr>
          <w:p w14:paraId="4A690850" w14:textId="77777777" w:rsidR="002A4DDF" w:rsidRPr="00937C8B" w:rsidRDefault="002A4DDF" w:rsidP="009110ED">
            <w:pPr>
              <w:rPr>
                <w:rFonts w:ascii="Arial" w:hAnsi="Arial" w:cs="Arial"/>
                <w:sz w:val="12"/>
                <w:szCs w:val="12"/>
              </w:rPr>
            </w:pPr>
          </w:p>
        </w:tc>
      </w:tr>
      <w:tr w:rsidR="002A4DDF" w:rsidRPr="00937C8B" w14:paraId="60B5EBFE" w14:textId="77777777" w:rsidTr="00935676">
        <w:trPr>
          <w:cantSplit/>
        </w:trPr>
        <w:tc>
          <w:tcPr>
            <w:tcW w:w="1696" w:type="dxa"/>
            <w:tcBorders>
              <w:left w:val="single" w:sz="4" w:space="0" w:color="auto"/>
            </w:tcBorders>
            <w:shd w:val="clear" w:color="auto" w:fill="auto"/>
          </w:tcPr>
          <w:p w14:paraId="12EDEEDE" w14:textId="77777777" w:rsidR="002A4DDF" w:rsidRPr="00937C8B" w:rsidRDefault="002A4DDF" w:rsidP="009110ED">
            <w:pPr>
              <w:rPr>
                <w:rFonts w:ascii="Arial" w:hAnsi="Arial" w:cs="Arial"/>
                <w:sz w:val="12"/>
                <w:szCs w:val="12"/>
              </w:rPr>
            </w:pPr>
          </w:p>
        </w:tc>
        <w:tc>
          <w:tcPr>
            <w:tcW w:w="1843" w:type="dxa"/>
            <w:shd w:val="clear" w:color="auto" w:fill="auto"/>
          </w:tcPr>
          <w:p w14:paraId="4CF17D8F" w14:textId="77777777" w:rsidR="002A4DDF" w:rsidRPr="00937C8B" w:rsidRDefault="002A4DDF" w:rsidP="009110ED">
            <w:pPr>
              <w:rPr>
                <w:rFonts w:ascii="Arial" w:hAnsi="Arial" w:cs="Arial"/>
                <w:sz w:val="12"/>
                <w:szCs w:val="12"/>
              </w:rPr>
            </w:pPr>
          </w:p>
        </w:tc>
        <w:tc>
          <w:tcPr>
            <w:tcW w:w="2268" w:type="dxa"/>
            <w:shd w:val="clear" w:color="auto" w:fill="F2F2F2"/>
            <w:hideMark/>
          </w:tcPr>
          <w:p w14:paraId="676AB8A7" w14:textId="77777777" w:rsidR="002A4DDF" w:rsidRPr="00937C8B" w:rsidRDefault="002A4DDF" w:rsidP="009110ED">
            <w:pPr>
              <w:rPr>
                <w:rFonts w:ascii="Arial" w:hAnsi="Arial" w:cs="Arial"/>
                <w:sz w:val="12"/>
                <w:szCs w:val="12"/>
              </w:rPr>
            </w:pPr>
            <w:r>
              <w:rPr>
                <w:rFonts w:ascii="Arial" w:hAnsi="Arial"/>
                <w:sz w:val="12"/>
                <w:szCs w:val="12"/>
              </w:rPr>
              <w:t>Vilanova de l'Aguda</w:t>
            </w:r>
          </w:p>
        </w:tc>
        <w:tc>
          <w:tcPr>
            <w:tcW w:w="2268" w:type="dxa"/>
            <w:tcBorders>
              <w:right w:val="single" w:sz="4" w:space="0" w:color="auto"/>
            </w:tcBorders>
            <w:shd w:val="clear" w:color="auto" w:fill="D9D9D9"/>
            <w:hideMark/>
          </w:tcPr>
          <w:p w14:paraId="043AD97B" w14:textId="77777777" w:rsidR="002A4DDF" w:rsidRPr="00937C8B" w:rsidRDefault="002A4DDF" w:rsidP="009110ED">
            <w:pPr>
              <w:rPr>
                <w:rFonts w:ascii="Arial" w:hAnsi="Arial" w:cs="Arial"/>
                <w:sz w:val="12"/>
                <w:szCs w:val="12"/>
              </w:rPr>
            </w:pPr>
          </w:p>
        </w:tc>
      </w:tr>
      <w:tr w:rsidR="002A4DDF" w:rsidRPr="00937C8B" w14:paraId="4AACF0E7" w14:textId="77777777" w:rsidTr="00935676">
        <w:trPr>
          <w:cantSplit/>
        </w:trPr>
        <w:tc>
          <w:tcPr>
            <w:tcW w:w="1696" w:type="dxa"/>
            <w:tcBorders>
              <w:left w:val="single" w:sz="4" w:space="0" w:color="auto"/>
            </w:tcBorders>
            <w:shd w:val="clear" w:color="auto" w:fill="auto"/>
          </w:tcPr>
          <w:p w14:paraId="3E2B64D6" w14:textId="77777777" w:rsidR="002A4DDF" w:rsidRPr="00937C8B" w:rsidRDefault="002A4DDF" w:rsidP="009110ED">
            <w:pPr>
              <w:rPr>
                <w:rFonts w:ascii="Arial" w:hAnsi="Arial" w:cs="Arial"/>
                <w:sz w:val="12"/>
                <w:szCs w:val="12"/>
              </w:rPr>
            </w:pPr>
          </w:p>
        </w:tc>
        <w:tc>
          <w:tcPr>
            <w:tcW w:w="1843" w:type="dxa"/>
            <w:shd w:val="clear" w:color="auto" w:fill="auto"/>
          </w:tcPr>
          <w:p w14:paraId="21C83F5C" w14:textId="77777777" w:rsidR="002A4DDF" w:rsidRPr="00937C8B" w:rsidRDefault="002A4DDF" w:rsidP="009110ED">
            <w:pPr>
              <w:rPr>
                <w:rFonts w:ascii="Arial" w:hAnsi="Arial" w:cs="Arial"/>
                <w:sz w:val="12"/>
                <w:szCs w:val="12"/>
              </w:rPr>
            </w:pPr>
          </w:p>
        </w:tc>
        <w:tc>
          <w:tcPr>
            <w:tcW w:w="2268" w:type="dxa"/>
            <w:shd w:val="clear" w:color="auto" w:fill="F2F2F2"/>
            <w:hideMark/>
          </w:tcPr>
          <w:p w14:paraId="1A336931" w14:textId="77777777" w:rsidR="002A4DDF" w:rsidRPr="00937C8B" w:rsidRDefault="002A4DDF" w:rsidP="009110ED">
            <w:pPr>
              <w:rPr>
                <w:rFonts w:ascii="Arial" w:hAnsi="Arial" w:cs="Arial"/>
                <w:sz w:val="12"/>
                <w:szCs w:val="12"/>
              </w:rPr>
            </w:pPr>
            <w:r>
              <w:rPr>
                <w:rFonts w:ascii="Arial" w:hAnsi="Arial"/>
                <w:sz w:val="12"/>
                <w:szCs w:val="12"/>
              </w:rPr>
              <w:t>Vilanova de Segrià</w:t>
            </w:r>
          </w:p>
        </w:tc>
        <w:tc>
          <w:tcPr>
            <w:tcW w:w="2268" w:type="dxa"/>
            <w:tcBorders>
              <w:right w:val="single" w:sz="4" w:space="0" w:color="auto"/>
            </w:tcBorders>
            <w:shd w:val="clear" w:color="auto" w:fill="D9D9D9"/>
            <w:hideMark/>
          </w:tcPr>
          <w:p w14:paraId="41573C31" w14:textId="77777777" w:rsidR="002A4DDF" w:rsidRPr="00937C8B" w:rsidRDefault="002A4DDF" w:rsidP="009110ED">
            <w:pPr>
              <w:rPr>
                <w:rFonts w:ascii="Arial" w:hAnsi="Arial" w:cs="Arial"/>
                <w:sz w:val="12"/>
                <w:szCs w:val="12"/>
              </w:rPr>
            </w:pPr>
          </w:p>
        </w:tc>
      </w:tr>
      <w:tr w:rsidR="002A4DDF" w:rsidRPr="00937C8B" w14:paraId="7F56C7CF" w14:textId="77777777" w:rsidTr="00935676">
        <w:trPr>
          <w:cantSplit/>
        </w:trPr>
        <w:tc>
          <w:tcPr>
            <w:tcW w:w="1696" w:type="dxa"/>
            <w:tcBorders>
              <w:left w:val="single" w:sz="4" w:space="0" w:color="auto"/>
              <w:bottom w:val="single" w:sz="4" w:space="0" w:color="auto"/>
            </w:tcBorders>
            <w:shd w:val="clear" w:color="auto" w:fill="auto"/>
            <w:hideMark/>
          </w:tcPr>
          <w:p w14:paraId="67A2A43C" w14:textId="77777777" w:rsidR="002A4DDF" w:rsidRPr="00937C8B" w:rsidRDefault="002A4DDF" w:rsidP="009110ED">
            <w:pPr>
              <w:rPr>
                <w:rFonts w:ascii="Arial" w:hAnsi="Arial" w:cs="Arial"/>
                <w:sz w:val="12"/>
                <w:szCs w:val="12"/>
              </w:rPr>
            </w:pPr>
            <w:r>
              <w:rPr>
                <w:rFonts w:ascii="Arial" w:hAnsi="Arial"/>
                <w:sz w:val="12"/>
                <w:szCs w:val="12"/>
              </w:rPr>
              <w:t>Catalogne</w:t>
            </w:r>
          </w:p>
        </w:tc>
        <w:tc>
          <w:tcPr>
            <w:tcW w:w="1843" w:type="dxa"/>
            <w:tcBorders>
              <w:bottom w:val="single" w:sz="4" w:space="0" w:color="auto"/>
            </w:tcBorders>
            <w:shd w:val="clear" w:color="auto" w:fill="auto"/>
            <w:hideMark/>
          </w:tcPr>
          <w:p w14:paraId="6583753A" w14:textId="77777777" w:rsidR="002A4DDF" w:rsidRPr="00937C8B" w:rsidRDefault="002A4DDF" w:rsidP="009110ED">
            <w:pPr>
              <w:rPr>
                <w:rFonts w:ascii="Arial" w:hAnsi="Arial" w:cs="Arial"/>
                <w:sz w:val="12"/>
                <w:szCs w:val="12"/>
              </w:rPr>
            </w:pPr>
            <w:r>
              <w:rPr>
                <w:rFonts w:ascii="Arial" w:hAnsi="Arial"/>
                <w:sz w:val="12"/>
                <w:szCs w:val="12"/>
              </w:rPr>
              <w:t>Lérida</w:t>
            </w:r>
          </w:p>
        </w:tc>
        <w:tc>
          <w:tcPr>
            <w:tcW w:w="2268" w:type="dxa"/>
            <w:tcBorders>
              <w:bottom w:val="single" w:sz="4" w:space="0" w:color="auto"/>
            </w:tcBorders>
            <w:shd w:val="clear" w:color="auto" w:fill="F2F2F2"/>
            <w:hideMark/>
          </w:tcPr>
          <w:p w14:paraId="7F350D54" w14:textId="77777777" w:rsidR="002A4DDF" w:rsidRPr="00937C8B" w:rsidRDefault="002A4DDF" w:rsidP="009110ED">
            <w:pPr>
              <w:rPr>
                <w:rFonts w:ascii="Arial" w:hAnsi="Arial" w:cs="Arial"/>
                <w:sz w:val="12"/>
                <w:szCs w:val="12"/>
              </w:rPr>
            </w:pPr>
            <w:r>
              <w:rPr>
                <w:rFonts w:ascii="Arial" w:hAnsi="Arial"/>
                <w:sz w:val="12"/>
                <w:szCs w:val="12"/>
              </w:rPr>
              <w:t>Vila-sana</w:t>
            </w:r>
          </w:p>
        </w:tc>
        <w:tc>
          <w:tcPr>
            <w:tcW w:w="2268" w:type="dxa"/>
            <w:tcBorders>
              <w:bottom w:val="single" w:sz="4" w:space="0" w:color="auto"/>
              <w:right w:val="single" w:sz="4" w:space="0" w:color="auto"/>
            </w:tcBorders>
            <w:shd w:val="clear" w:color="auto" w:fill="D9D9D9"/>
            <w:hideMark/>
          </w:tcPr>
          <w:p w14:paraId="314D58DC" w14:textId="77777777" w:rsidR="002A4DDF" w:rsidRPr="00937C8B" w:rsidRDefault="002A4DDF" w:rsidP="009110ED">
            <w:pPr>
              <w:rPr>
                <w:rFonts w:ascii="Arial" w:hAnsi="Arial" w:cs="Arial"/>
                <w:sz w:val="12"/>
                <w:szCs w:val="12"/>
              </w:rPr>
            </w:pPr>
          </w:p>
        </w:tc>
      </w:tr>
      <w:tr w:rsidR="002A4DDF" w:rsidRPr="00937C8B" w14:paraId="480726F7" w14:textId="77777777" w:rsidTr="00935676">
        <w:trPr>
          <w:cantSplit/>
        </w:trPr>
        <w:tc>
          <w:tcPr>
            <w:tcW w:w="1696" w:type="dxa"/>
            <w:tcBorders>
              <w:top w:val="single" w:sz="4" w:space="0" w:color="auto"/>
              <w:bottom w:val="single" w:sz="4" w:space="0" w:color="auto"/>
            </w:tcBorders>
            <w:shd w:val="clear" w:color="auto" w:fill="auto"/>
            <w:hideMark/>
          </w:tcPr>
          <w:p w14:paraId="3F3C52E0"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08442CD3"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3A785F23"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36E69C4E" w14:textId="77777777" w:rsidR="002A4DDF" w:rsidRPr="00937C8B" w:rsidRDefault="002A4DDF" w:rsidP="009110ED">
            <w:pPr>
              <w:rPr>
                <w:rFonts w:ascii="Arial" w:hAnsi="Arial" w:cs="Arial"/>
                <w:sz w:val="12"/>
                <w:szCs w:val="12"/>
              </w:rPr>
            </w:pPr>
          </w:p>
        </w:tc>
      </w:tr>
      <w:tr w:rsidR="002A4DDF" w:rsidRPr="00937C8B" w14:paraId="2E511AA9" w14:textId="77777777" w:rsidTr="00935676">
        <w:trPr>
          <w:cantSplit/>
        </w:trPr>
        <w:tc>
          <w:tcPr>
            <w:tcW w:w="1696" w:type="dxa"/>
            <w:tcBorders>
              <w:top w:val="single" w:sz="4" w:space="0" w:color="auto"/>
              <w:left w:val="single" w:sz="4" w:space="0" w:color="auto"/>
            </w:tcBorders>
            <w:shd w:val="clear" w:color="auto" w:fill="auto"/>
            <w:hideMark/>
          </w:tcPr>
          <w:p w14:paraId="556EA846" w14:textId="77777777" w:rsidR="002A4DDF" w:rsidRPr="00937C8B" w:rsidRDefault="002A4DDF" w:rsidP="009110ED">
            <w:pPr>
              <w:rPr>
                <w:rFonts w:ascii="Arial" w:hAnsi="Arial" w:cs="Arial"/>
                <w:sz w:val="12"/>
                <w:szCs w:val="12"/>
              </w:rPr>
            </w:pPr>
            <w:r>
              <w:rPr>
                <w:rFonts w:ascii="Arial" w:hAnsi="Arial"/>
                <w:sz w:val="12"/>
                <w:szCs w:val="12"/>
              </w:rPr>
              <w:t>Catalogne</w:t>
            </w:r>
          </w:p>
        </w:tc>
        <w:tc>
          <w:tcPr>
            <w:tcW w:w="1843" w:type="dxa"/>
            <w:tcBorders>
              <w:top w:val="single" w:sz="4" w:space="0" w:color="auto"/>
            </w:tcBorders>
            <w:shd w:val="clear" w:color="auto" w:fill="auto"/>
            <w:hideMark/>
          </w:tcPr>
          <w:p w14:paraId="113A5768" w14:textId="77777777" w:rsidR="002A4DDF" w:rsidRPr="00937C8B" w:rsidRDefault="002A4DDF" w:rsidP="009110ED">
            <w:pPr>
              <w:rPr>
                <w:rFonts w:ascii="Arial" w:hAnsi="Arial" w:cs="Arial"/>
                <w:sz w:val="12"/>
                <w:szCs w:val="12"/>
              </w:rPr>
            </w:pPr>
            <w:r>
              <w:rPr>
                <w:rFonts w:ascii="Arial" w:hAnsi="Arial"/>
                <w:sz w:val="12"/>
                <w:szCs w:val="12"/>
              </w:rPr>
              <w:t>Tarragone</w:t>
            </w:r>
          </w:p>
        </w:tc>
        <w:tc>
          <w:tcPr>
            <w:tcW w:w="2268" w:type="dxa"/>
            <w:tcBorders>
              <w:top w:val="single" w:sz="4" w:space="0" w:color="auto"/>
            </w:tcBorders>
            <w:shd w:val="clear" w:color="auto" w:fill="F2F2F2"/>
            <w:hideMark/>
          </w:tcPr>
          <w:p w14:paraId="0637D952" w14:textId="77777777" w:rsidR="002A4DDF" w:rsidRPr="00937C8B" w:rsidRDefault="002A4DDF" w:rsidP="009110ED">
            <w:pPr>
              <w:rPr>
                <w:rFonts w:ascii="Arial" w:hAnsi="Arial" w:cs="Arial"/>
                <w:sz w:val="12"/>
                <w:szCs w:val="12"/>
              </w:rPr>
            </w:pPr>
            <w:r>
              <w:rPr>
                <w:rFonts w:ascii="Arial" w:hAnsi="Arial"/>
                <w:sz w:val="12"/>
                <w:szCs w:val="12"/>
              </w:rPr>
              <w:t>Arnes</w:t>
            </w:r>
          </w:p>
        </w:tc>
        <w:tc>
          <w:tcPr>
            <w:tcW w:w="2268" w:type="dxa"/>
            <w:tcBorders>
              <w:top w:val="single" w:sz="4" w:space="0" w:color="auto"/>
              <w:right w:val="single" w:sz="4" w:space="0" w:color="auto"/>
            </w:tcBorders>
            <w:shd w:val="clear" w:color="auto" w:fill="D9D9D9"/>
            <w:hideMark/>
          </w:tcPr>
          <w:p w14:paraId="2798DC88" w14:textId="77777777" w:rsidR="002A4DDF" w:rsidRPr="00937C8B" w:rsidRDefault="002A4DDF" w:rsidP="009110ED">
            <w:pPr>
              <w:rPr>
                <w:rFonts w:ascii="Arial" w:hAnsi="Arial" w:cs="Arial"/>
                <w:sz w:val="12"/>
                <w:szCs w:val="12"/>
              </w:rPr>
            </w:pPr>
            <w:r>
              <w:rPr>
                <w:rFonts w:ascii="Arial" w:hAnsi="Arial"/>
                <w:sz w:val="12"/>
                <w:szCs w:val="12"/>
              </w:rPr>
              <w:t>Alforja</w:t>
            </w:r>
          </w:p>
        </w:tc>
      </w:tr>
      <w:tr w:rsidR="002A4DDF" w:rsidRPr="00937C8B" w14:paraId="6E4C0FEF" w14:textId="77777777" w:rsidTr="00935676">
        <w:trPr>
          <w:cantSplit/>
        </w:trPr>
        <w:tc>
          <w:tcPr>
            <w:tcW w:w="1696" w:type="dxa"/>
            <w:tcBorders>
              <w:left w:val="single" w:sz="4" w:space="0" w:color="auto"/>
            </w:tcBorders>
            <w:shd w:val="clear" w:color="auto" w:fill="auto"/>
          </w:tcPr>
          <w:p w14:paraId="78788348" w14:textId="77777777" w:rsidR="002A4DDF" w:rsidRPr="00937C8B" w:rsidRDefault="002A4DDF" w:rsidP="009110ED">
            <w:pPr>
              <w:rPr>
                <w:rFonts w:ascii="Arial" w:hAnsi="Arial" w:cs="Arial"/>
                <w:sz w:val="12"/>
                <w:szCs w:val="12"/>
              </w:rPr>
            </w:pPr>
          </w:p>
        </w:tc>
        <w:tc>
          <w:tcPr>
            <w:tcW w:w="1843" w:type="dxa"/>
            <w:shd w:val="clear" w:color="auto" w:fill="auto"/>
          </w:tcPr>
          <w:p w14:paraId="425162B5" w14:textId="77777777" w:rsidR="002A4DDF" w:rsidRPr="00937C8B" w:rsidRDefault="002A4DDF" w:rsidP="009110ED">
            <w:pPr>
              <w:rPr>
                <w:rFonts w:ascii="Arial" w:hAnsi="Arial" w:cs="Arial"/>
                <w:sz w:val="12"/>
                <w:szCs w:val="12"/>
              </w:rPr>
            </w:pPr>
          </w:p>
        </w:tc>
        <w:tc>
          <w:tcPr>
            <w:tcW w:w="2268" w:type="dxa"/>
            <w:shd w:val="clear" w:color="auto" w:fill="F2F2F2"/>
            <w:hideMark/>
          </w:tcPr>
          <w:p w14:paraId="474495D7" w14:textId="77777777" w:rsidR="002A4DDF" w:rsidRPr="00937C8B" w:rsidRDefault="002A4DDF" w:rsidP="009110ED">
            <w:pPr>
              <w:rPr>
                <w:rFonts w:ascii="Arial" w:hAnsi="Arial" w:cs="Arial"/>
                <w:sz w:val="12"/>
                <w:szCs w:val="12"/>
              </w:rPr>
            </w:pPr>
            <w:r>
              <w:rPr>
                <w:rFonts w:ascii="Arial" w:hAnsi="Arial"/>
                <w:sz w:val="12"/>
                <w:szCs w:val="12"/>
              </w:rPr>
              <w:t>Cambrils</w:t>
            </w:r>
          </w:p>
        </w:tc>
        <w:tc>
          <w:tcPr>
            <w:tcW w:w="2268" w:type="dxa"/>
            <w:tcBorders>
              <w:right w:val="single" w:sz="4" w:space="0" w:color="auto"/>
            </w:tcBorders>
            <w:shd w:val="clear" w:color="auto" w:fill="D9D9D9"/>
            <w:hideMark/>
          </w:tcPr>
          <w:p w14:paraId="2D353C03" w14:textId="77777777" w:rsidR="002A4DDF" w:rsidRPr="00937C8B" w:rsidRDefault="002A4DDF" w:rsidP="009110ED">
            <w:pPr>
              <w:rPr>
                <w:rFonts w:ascii="Arial" w:hAnsi="Arial" w:cs="Arial"/>
                <w:sz w:val="12"/>
                <w:szCs w:val="12"/>
              </w:rPr>
            </w:pPr>
            <w:r>
              <w:rPr>
                <w:rFonts w:ascii="Arial" w:hAnsi="Arial"/>
                <w:sz w:val="12"/>
                <w:szCs w:val="12"/>
              </w:rPr>
              <w:t>Almoster</w:t>
            </w:r>
          </w:p>
        </w:tc>
      </w:tr>
      <w:tr w:rsidR="002A4DDF" w:rsidRPr="00937C8B" w14:paraId="40D17EDD" w14:textId="77777777" w:rsidTr="00935676">
        <w:trPr>
          <w:cantSplit/>
        </w:trPr>
        <w:tc>
          <w:tcPr>
            <w:tcW w:w="1696" w:type="dxa"/>
            <w:tcBorders>
              <w:left w:val="single" w:sz="4" w:space="0" w:color="auto"/>
            </w:tcBorders>
            <w:shd w:val="clear" w:color="auto" w:fill="auto"/>
          </w:tcPr>
          <w:p w14:paraId="770C43A6" w14:textId="77777777" w:rsidR="002A4DDF" w:rsidRPr="00937C8B" w:rsidRDefault="002A4DDF" w:rsidP="009110ED">
            <w:pPr>
              <w:rPr>
                <w:rFonts w:ascii="Arial" w:hAnsi="Arial" w:cs="Arial"/>
                <w:sz w:val="12"/>
                <w:szCs w:val="12"/>
              </w:rPr>
            </w:pPr>
          </w:p>
        </w:tc>
        <w:tc>
          <w:tcPr>
            <w:tcW w:w="1843" w:type="dxa"/>
            <w:shd w:val="clear" w:color="auto" w:fill="auto"/>
          </w:tcPr>
          <w:p w14:paraId="2C8C3303" w14:textId="77777777" w:rsidR="002A4DDF" w:rsidRPr="00937C8B" w:rsidRDefault="002A4DDF" w:rsidP="009110ED">
            <w:pPr>
              <w:rPr>
                <w:rFonts w:ascii="Arial" w:hAnsi="Arial" w:cs="Arial"/>
                <w:sz w:val="12"/>
                <w:szCs w:val="12"/>
              </w:rPr>
            </w:pPr>
          </w:p>
        </w:tc>
        <w:tc>
          <w:tcPr>
            <w:tcW w:w="2268" w:type="dxa"/>
            <w:shd w:val="clear" w:color="auto" w:fill="F2F2F2"/>
            <w:hideMark/>
          </w:tcPr>
          <w:p w14:paraId="198DCFBC" w14:textId="77777777" w:rsidR="002A4DDF" w:rsidRPr="00937C8B" w:rsidRDefault="002A4DDF" w:rsidP="009110ED">
            <w:pPr>
              <w:rPr>
                <w:rFonts w:ascii="Arial" w:hAnsi="Arial" w:cs="Arial"/>
                <w:sz w:val="12"/>
                <w:szCs w:val="12"/>
              </w:rPr>
            </w:pPr>
            <w:r>
              <w:rPr>
                <w:rFonts w:ascii="Arial" w:hAnsi="Arial"/>
                <w:sz w:val="12"/>
                <w:szCs w:val="12"/>
              </w:rPr>
              <w:t>Capafonts</w:t>
            </w:r>
          </w:p>
        </w:tc>
        <w:tc>
          <w:tcPr>
            <w:tcW w:w="2268" w:type="dxa"/>
            <w:tcBorders>
              <w:right w:val="single" w:sz="4" w:space="0" w:color="auto"/>
            </w:tcBorders>
            <w:shd w:val="clear" w:color="auto" w:fill="D9D9D9"/>
            <w:hideMark/>
          </w:tcPr>
          <w:p w14:paraId="70672A5F" w14:textId="77777777" w:rsidR="002A4DDF" w:rsidRPr="00937C8B" w:rsidRDefault="002A4DDF" w:rsidP="009110ED">
            <w:pPr>
              <w:rPr>
                <w:rFonts w:ascii="Arial" w:hAnsi="Arial" w:cs="Arial"/>
                <w:sz w:val="12"/>
                <w:szCs w:val="12"/>
              </w:rPr>
            </w:pPr>
            <w:r>
              <w:rPr>
                <w:rFonts w:ascii="Arial" w:hAnsi="Arial"/>
                <w:sz w:val="12"/>
                <w:szCs w:val="12"/>
              </w:rPr>
              <w:t>Botarell</w:t>
            </w:r>
          </w:p>
        </w:tc>
      </w:tr>
      <w:tr w:rsidR="002A4DDF" w:rsidRPr="00937C8B" w14:paraId="672C059A" w14:textId="77777777" w:rsidTr="00935676">
        <w:trPr>
          <w:cantSplit/>
        </w:trPr>
        <w:tc>
          <w:tcPr>
            <w:tcW w:w="1696" w:type="dxa"/>
            <w:tcBorders>
              <w:left w:val="single" w:sz="4" w:space="0" w:color="auto"/>
            </w:tcBorders>
            <w:shd w:val="clear" w:color="auto" w:fill="auto"/>
          </w:tcPr>
          <w:p w14:paraId="3FFCC3F8" w14:textId="77777777" w:rsidR="002A4DDF" w:rsidRPr="00937C8B" w:rsidRDefault="002A4DDF" w:rsidP="009110ED">
            <w:pPr>
              <w:rPr>
                <w:rFonts w:ascii="Arial" w:hAnsi="Arial" w:cs="Arial"/>
                <w:sz w:val="12"/>
                <w:szCs w:val="12"/>
              </w:rPr>
            </w:pPr>
          </w:p>
        </w:tc>
        <w:tc>
          <w:tcPr>
            <w:tcW w:w="1843" w:type="dxa"/>
            <w:shd w:val="clear" w:color="auto" w:fill="auto"/>
          </w:tcPr>
          <w:p w14:paraId="5EF6D935" w14:textId="77777777" w:rsidR="002A4DDF" w:rsidRPr="00937C8B" w:rsidRDefault="002A4DDF" w:rsidP="009110ED">
            <w:pPr>
              <w:rPr>
                <w:rFonts w:ascii="Arial" w:hAnsi="Arial" w:cs="Arial"/>
                <w:sz w:val="12"/>
                <w:szCs w:val="12"/>
              </w:rPr>
            </w:pPr>
          </w:p>
        </w:tc>
        <w:tc>
          <w:tcPr>
            <w:tcW w:w="2268" w:type="dxa"/>
            <w:shd w:val="clear" w:color="auto" w:fill="F2F2F2"/>
            <w:hideMark/>
          </w:tcPr>
          <w:p w14:paraId="3EF7B779" w14:textId="77777777" w:rsidR="002A4DDF" w:rsidRPr="00937C8B" w:rsidRDefault="002A4DDF" w:rsidP="009110ED">
            <w:pPr>
              <w:rPr>
                <w:rFonts w:ascii="Arial" w:hAnsi="Arial" w:cs="Arial"/>
                <w:sz w:val="12"/>
                <w:szCs w:val="12"/>
              </w:rPr>
            </w:pPr>
            <w:r>
              <w:rPr>
                <w:rFonts w:ascii="Arial" w:hAnsi="Arial"/>
                <w:sz w:val="12"/>
                <w:szCs w:val="12"/>
              </w:rPr>
              <w:t>Caseres</w:t>
            </w:r>
          </w:p>
        </w:tc>
        <w:tc>
          <w:tcPr>
            <w:tcW w:w="2268" w:type="dxa"/>
            <w:tcBorders>
              <w:right w:val="single" w:sz="4" w:space="0" w:color="auto"/>
            </w:tcBorders>
            <w:shd w:val="clear" w:color="auto" w:fill="D9D9D9"/>
            <w:hideMark/>
          </w:tcPr>
          <w:p w14:paraId="4046620B" w14:textId="77777777" w:rsidR="002A4DDF" w:rsidRPr="00937C8B" w:rsidRDefault="002A4DDF" w:rsidP="009110ED">
            <w:pPr>
              <w:rPr>
                <w:rFonts w:ascii="Arial" w:hAnsi="Arial" w:cs="Arial"/>
                <w:sz w:val="12"/>
                <w:szCs w:val="12"/>
              </w:rPr>
            </w:pPr>
            <w:r>
              <w:rPr>
                <w:rFonts w:ascii="Arial" w:hAnsi="Arial"/>
                <w:sz w:val="12"/>
                <w:szCs w:val="12"/>
              </w:rPr>
              <w:t>Castellvell del Camp</w:t>
            </w:r>
          </w:p>
        </w:tc>
      </w:tr>
      <w:tr w:rsidR="002A4DDF" w:rsidRPr="00937C8B" w14:paraId="4DC27762" w14:textId="77777777" w:rsidTr="00935676">
        <w:trPr>
          <w:cantSplit/>
        </w:trPr>
        <w:tc>
          <w:tcPr>
            <w:tcW w:w="1696" w:type="dxa"/>
            <w:tcBorders>
              <w:left w:val="single" w:sz="4" w:space="0" w:color="auto"/>
            </w:tcBorders>
            <w:shd w:val="clear" w:color="auto" w:fill="auto"/>
          </w:tcPr>
          <w:p w14:paraId="1EDFDB56" w14:textId="77777777" w:rsidR="002A4DDF" w:rsidRPr="00937C8B" w:rsidRDefault="002A4DDF" w:rsidP="009110ED">
            <w:pPr>
              <w:rPr>
                <w:rFonts w:ascii="Arial" w:hAnsi="Arial" w:cs="Arial"/>
                <w:sz w:val="12"/>
                <w:szCs w:val="12"/>
              </w:rPr>
            </w:pPr>
          </w:p>
        </w:tc>
        <w:tc>
          <w:tcPr>
            <w:tcW w:w="1843" w:type="dxa"/>
            <w:shd w:val="clear" w:color="auto" w:fill="auto"/>
          </w:tcPr>
          <w:p w14:paraId="0CEE256C" w14:textId="77777777" w:rsidR="002A4DDF" w:rsidRPr="00937C8B" w:rsidRDefault="002A4DDF" w:rsidP="009110ED">
            <w:pPr>
              <w:rPr>
                <w:rFonts w:ascii="Arial" w:hAnsi="Arial" w:cs="Arial"/>
                <w:sz w:val="12"/>
                <w:szCs w:val="12"/>
              </w:rPr>
            </w:pPr>
          </w:p>
        </w:tc>
        <w:tc>
          <w:tcPr>
            <w:tcW w:w="2268" w:type="dxa"/>
            <w:shd w:val="clear" w:color="auto" w:fill="F2F2F2"/>
            <w:hideMark/>
          </w:tcPr>
          <w:p w14:paraId="271E5609" w14:textId="77777777" w:rsidR="002A4DDF" w:rsidRPr="00937C8B" w:rsidRDefault="002A4DDF" w:rsidP="009110ED">
            <w:pPr>
              <w:rPr>
                <w:rFonts w:ascii="Arial" w:hAnsi="Arial" w:cs="Arial"/>
                <w:sz w:val="12"/>
                <w:szCs w:val="12"/>
              </w:rPr>
            </w:pPr>
            <w:r>
              <w:rPr>
                <w:rFonts w:ascii="Arial" w:hAnsi="Arial"/>
                <w:sz w:val="12"/>
                <w:szCs w:val="12"/>
              </w:rPr>
              <w:t>Colldejou</w:t>
            </w:r>
          </w:p>
        </w:tc>
        <w:tc>
          <w:tcPr>
            <w:tcW w:w="2268" w:type="dxa"/>
            <w:tcBorders>
              <w:right w:val="single" w:sz="4" w:space="0" w:color="auto"/>
            </w:tcBorders>
            <w:shd w:val="clear" w:color="auto" w:fill="D9D9D9"/>
            <w:hideMark/>
          </w:tcPr>
          <w:p w14:paraId="51D75AC7" w14:textId="77777777" w:rsidR="002A4DDF" w:rsidRPr="00937C8B" w:rsidRDefault="002A4DDF" w:rsidP="009110ED">
            <w:pPr>
              <w:rPr>
                <w:rFonts w:ascii="Arial" w:hAnsi="Arial" w:cs="Arial"/>
                <w:sz w:val="12"/>
                <w:szCs w:val="12"/>
              </w:rPr>
            </w:pPr>
            <w:r>
              <w:rPr>
                <w:rFonts w:ascii="Arial" w:hAnsi="Arial"/>
                <w:sz w:val="12"/>
                <w:szCs w:val="12"/>
              </w:rPr>
              <w:t>L'Aleixar</w:t>
            </w:r>
          </w:p>
        </w:tc>
      </w:tr>
      <w:tr w:rsidR="002A4DDF" w:rsidRPr="00937C8B" w14:paraId="032B05D4" w14:textId="77777777" w:rsidTr="00935676">
        <w:trPr>
          <w:cantSplit/>
        </w:trPr>
        <w:tc>
          <w:tcPr>
            <w:tcW w:w="1696" w:type="dxa"/>
            <w:tcBorders>
              <w:left w:val="single" w:sz="4" w:space="0" w:color="auto"/>
            </w:tcBorders>
            <w:shd w:val="clear" w:color="auto" w:fill="auto"/>
          </w:tcPr>
          <w:p w14:paraId="386AC471" w14:textId="77777777" w:rsidR="002A4DDF" w:rsidRPr="00937C8B" w:rsidRDefault="002A4DDF" w:rsidP="009110ED">
            <w:pPr>
              <w:rPr>
                <w:rFonts w:ascii="Arial" w:hAnsi="Arial" w:cs="Arial"/>
                <w:sz w:val="12"/>
                <w:szCs w:val="12"/>
              </w:rPr>
            </w:pPr>
          </w:p>
        </w:tc>
        <w:tc>
          <w:tcPr>
            <w:tcW w:w="1843" w:type="dxa"/>
            <w:shd w:val="clear" w:color="auto" w:fill="auto"/>
          </w:tcPr>
          <w:p w14:paraId="72FEF4B8" w14:textId="77777777" w:rsidR="002A4DDF" w:rsidRPr="00937C8B" w:rsidRDefault="002A4DDF" w:rsidP="009110ED">
            <w:pPr>
              <w:rPr>
                <w:rFonts w:ascii="Arial" w:hAnsi="Arial" w:cs="Arial"/>
                <w:sz w:val="12"/>
                <w:szCs w:val="12"/>
              </w:rPr>
            </w:pPr>
          </w:p>
        </w:tc>
        <w:tc>
          <w:tcPr>
            <w:tcW w:w="2268" w:type="dxa"/>
            <w:shd w:val="clear" w:color="auto" w:fill="F2F2F2"/>
            <w:hideMark/>
          </w:tcPr>
          <w:p w14:paraId="39FF3699" w14:textId="77777777" w:rsidR="002A4DDF" w:rsidRPr="00937C8B" w:rsidRDefault="002A4DDF" w:rsidP="009110ED">
            <w:pPr>
              <w:rPr>
                <w:rFonts w:ascii="Arial" w:hAnsi="Arial" w:cs="Arial"/>
                <w:sz w:val="12"/>
                <w:szCs w:val="12"/>
              </w:rPr>
            </w:pPr>
            <w:r>
              <w:rPr>
                <w:rFonts w:ascii="Arial" w:hAnsi="Arial"/>
                <w:sz w:val="12"/>
                <w:szCs w:val="12"/>
              </w:rPr>
              <w:t>Constantí</w:t>
            </w:r>
          </w:p>
        </w:tc>
        <w:tc>
          <w:tcPr>
            <w:tcW w:w="2268" w:type="dxa"/>
            <w:tcBorders>
              <w:right w:val="single" w:sz="4" w:space="0" w:color="auto"/>
            </w:tcBorders>
            <w:shd w:val="clear" w:color="auto" w:fill="D9D9D9"/>
            <w:hideMark/>
          </w:tcPr>
          <w:p w14:paraId="0EDE59E3" w14:textId="77777777" w:rsidR="002A4DDF" w:rsidRPr="00937C8B" w:rsidRDefault="002A4DDF" w:rsidP="009110ED">
            <w:pPr>
              <w:rPr>
                <w:rFonts w:ascii="Arial" w:hAnsi="Arial" w:cs="Arial"/>
                <w:sz w:val="12"/>
                <w:szCs w:val="12"/>
              </w:rPr>
            </w:pPr>
            <w:r>
              <w:rPr>
                <w:rFonts w:ascii="Arial" w:hAnsi="Arial"/>
                <w:sz w:val="12"/>
                <w:szCs w:val="12"/>
              </w:rPr>
              <w:t>Les Borges del Camp</w:t>
            </w:r>
          </w:p>
        </w:tc>
      </w:tr>
      <w:tr w:rsidR="002A4DDF" w:rsidRPr="00937C8B" w14:paraId="47041471" w14:textId="77777777" w:rsidTr="00935676">
        <w:trPr>
          <w:cantSplit/>
        </w:trPr>
        <w:tc>
          <w:tcPr>
            <w:tcW w:w="1696" w:type="dxa"/>
            <w:tcBorders>
              <w:left w:val="single" w:sz="4" w:space="0" w:color="auto"/>
            </w:tcBorders>
            <w:shd w:val="clear" w:color="auto" w:fill="auto"/>
          </w:tcPr>
          <w:p w14:paraId="248B3783" w14:textId="77777777" w:rsidR="002A4DDF" w:rsidRPr="00937C8B" w:rsidRDefault="002A4DDF" w:rsidP="009110ED">
            <w:pPr>
              <w:rPr>
                <w:rFonts w:ascii="Arial" w:hAnsi="Arial" w:cs="Arial"/>
                <w:sz w:val="12"/>
                <w:szCs w:val="12"/>
              </w:rPr>
            </w:pPr>
          </w:p>
        </w:tc>
        <w:tc>
          <w:tcPr>
            <w:tcW w:w="1843" w:type="dxa"/>
            <w:shd w:val="clear" w:color="auto" w:fill="auto"/>
          </w:tcPr>
          <w:p w14:paraId="0BDD577D" w14:textId="77777777" w:rsidR="002A4DDF" w:rsidRPr="00937C8B" w:rsidRDefault="002A4DDF" w:rsidP="009110ED">
            <w:pPr>
              <w:rPr>
                <w:rFonts w:ascii="Arial" w:hAnsi="Arial" w:cs="Arial"/>
                <w:sz w:val="12"/>
                <w:szCs w:val="12"/>
              </w:rPr>
            </w:pPr>
          </w:p>
        </w:tc>
        <w:tc>
          <w:tcPr>
            <w:tcW w:w="2268" w:type="dxa"/>
            <w:shd w:val="clear" w:color="auto" w:fill="F2F2F2"/>
            <w:hideMark/>
          </w:tcPr>
          <w:p w14:paraId="4572180C" w14:textId="77777777" w:rsidR="002A4DDF" w:rsidRPr="00937C8B" w:rsidRDefault="002A4DDF" w:rsidP="009110ED">
            <w:pPr>
              <w:rPr>
                <w:rFonts w:ascii="Arial" w:hAnsi="Arial" w:cs="Arial"/>
                <w:sz w:val="12"/>
                <w:szCs w:val="12"/>
              </w:rPr>
            </w:pPr>
            <w:r>
              <w:rPr>
                <w:rFonts w:ascii="Arial" w:hAnsi="Arial"/>
                <w:sz w:val="12"/>
                <w:szCs w:val="12"/>
              </w:rPr>
              <w:t>Duesaigües</w:t>
            </w:r>
          </w:p>
        </w:tc>
        <w:tc>
          <w:tcPr>
            <w:tcW w:w="2268" w:type="dxa"/>
            <w:tcBorders>
              <w:right w:val="single" w:sz="4" w:space="0" w:color="auto"/>
            </w:tcBorders>
            <w:shd w:val="clear" w:color="auto" w:fill="D9D9D9"/>
            <w:hideMark/>
          </w:tcPr>
          <w:p w14:paraId="451162B2" w14:textId="77777777" w:rsidR="002A4DDF" w:rsidRPr="00937C8B" w:rsidRDefault="002A4DDF" w:rsidP="009110ED">
            <w:pPr>
              <w:rPr>
                <w:rFonts w:ascii="Arial" w:hAnsi="Arial" w:cs="Arial"/>
                <w:sz w:val="12"/>
                <w:szCs w:val="12"/>
              </w:rPr>
            </w:pPr>
            <w:r>
              <w:rPr>
                <w:rFonts w:ascii="Arial" w:hAnsi="Arial"/>
                <w:sz w:val="12"/>
                <w:szCs w:val="12"/>
              </w:rPr>
              <w:t>Maspujols</w:t>
            </w:r>
          </w:p>
        </w:tc>
      </w:tr>
      <w:tr w:rsidR="002A4DDF" w:rsidRPr="00937C8B" w14:paraId="77DD2CCA" w14:textId="77777777" w:rsidTr="00935676">
        <w:trPr>
          <w:cantSplit/>
        </w:trPr>
        <w:tc>
          <w:tcPr>
            <w:tcW w:w="1696" w:type="dxa"/>
            <w:tcBorders>
              <w:left w:val="single" w:sz="4" w:space="0" w:color="auto"/>
            </w:tcBorders>
            <w:shd w:val="clear" w:color="auto" w:fill="auto"/>
          </w:tcPr>
          <w:p w14:paraId="0290FB5C" w14:textId="77777777" w:rsidR="002A4DDF" w:rsidRPr="00937C8B" w:rsidRDefault="002A4DDF" w:rsidP="009110ED">
            <w:pPr>
              <w:rPr>
                <w:rFonts w:ascii="Arial" w:hAnsi="Arial" w:cs="Arial"/>
                <w:sz w:val="12"/>
                <w:szCs w:val="12"/>
              </w:rPr>
            </w:pPr>
          </w:p>
        </w:tc>
        <w:tc>
          <w:tcPr>
            <w:tcW w:w="1843" w:type="dxa"/>
            <w:shd w:val="clear" w:color="auto" w:fill="auto"/>
          </w:tcPr>
          <w:p w14:paraId="0F07B6C4" w14:textId="77777777" w:rsidR="002A4DDF" w:rsidRPr="00937C8B" w:rsidRDefault="002A4DDF" w:rsidP="009110ED">
            <w:pPr>
              <w:rPr>
                <w:rFonts w:ascii="Arial" w:hAnsi="Arial" w:cs="Arial"/>
                <w:sz w:val="12"/>
                <w:szCs w:val="12"/>
              </w:rPr>
            </w:pPr>
          </w:p>
        </w:tc>
        <w:tc>
          <w:tcPr>
            <w:tcW w:w="2268" w:type="dxa"/>
            <w:shd w:val="clear" w:color="auto" w:fill="F2F2F2"/>
            <w:hideMark/>
          </w:tcPr>
          <w:p w14:paraId="35FB357A" w14:textId="77777777" w:rsidR="002A4DDF" w:rsidRPr="00937C8B" w:rsidRDefault="002A4DDF" w:rsidP="009110ED">
            <w:pPr>
              <w:rPr>
                <w:rFonts w:ascii="Arial" w:hAnsi="Arial" w:cs="Arial"/>
                <w:sz w:val="12"/>
                <w:szCs w:val="12"/>
              </w:rPr>
            </w:pPr>
            <w:r>
              <w:rPr>
                <w:rFonts w:ascii="Arial" w:hAnsi="Arial"/>
                <w:sz w:val="12"/>
                <w:szCs w:val="12"/>
              </w:rPr>
              <w:t>El Catllar</w:t>
            </w:r>
          </w:p>
        </w:tc>
        <w:tc>
          <w:tcPr>
            <w:tcW w:w="2268" w:type="dxa"/>
            <w:tcBorders>
              <w:right w:val="single" w:sz="4" w:space="0" w:color="auto"/>
            </w:tcBorders>
            <w:shd w:val="clear" w:color="auto" w:fill="D9D9D9"/>
            <w:hideMark/>
          </w:tcPr>
          <w:p w14:paraId="013F639D" w14:textId="77777777" w:rsidR="002A4DDF" w:rsidRPr="00937C8B" w:rsidRDefault="002A4DDF" w:rsidP="009110ED">
            <w:pPr>
              <w:rPr>
                <w:rFonts w:ascii="Arial" w:hAnsi="Arial" w:cs="Arial"/>
                <w:sz w:val="12"/>
                <w:szCs w:val="12"/>
              </w:rPr>
            </w:pPr>
            <w:r>
              <w:rPr>
                <w:rFonts w:ascii="Arial" w:hAnsi="Arial"/>
                <w:sz w:val="12"/>
                <w:szCs w:val="12"/>
              </w:rPr>
              <w:t>Riudecanyes</w:t>
            </w:r>
          </w:p>
        </w:tc>
      </w:tr>
      <w:tr w:rsidR="002A4DDF" w:rsidRPr="00937C8B" w14:paraId="4BD9817F" w14:textId="77777777" w:rsidTr="00935676">
        <w:trPr>
          <w:cantSplit/>
        </w:trPr>
        <w:tc>
          <w:tcPr>
            <w:tcW w:w="1696" w:type="dxa"/>
            <w:tcBorders>
              <w:left w:val="single" w:sz="4" w:space="0" w:color="auto"/>
            </w:tcBorders>
            <w:shd w:val="clear" w:color="auto" w:fill="auto"/>
          </w:tcPr>
          <w:p w14:paraId="7B0C2868" w14:textId="77777777" w:rsidR="002A4DDF" w:rsidRPr="00937C8B" w:rsidRDefault="002A4DDF" w:rsidP="009110ED">
            <w:pPr>
              <w:rPr>
                <w:rFonts w:ascii="Arial" w:hAnsi="Arial" w:cs="Arial"/>
                <w:sz w:val="12"/>
                <w:szCs w:val="12"/>
              </w:rPr>
            </w:pPr>
          </w:p>
        </w:tc>
        <w:tc>
          <w:tcPr>
            <w:tcW w:w="1843" w:type="dxa"/>
            <w:shd w:val="clear" w:color="auto" w:fill="auto"/>
          </w:tcPr>
          <w:p w14:paraId="1C77203C" w14:textId="77777777" w:rsidR="002A4DDF" w:rsidRPr="00937C8B" w:rsidRDefault="002A4DDF" w:rsidP="009110ED">
            <w:pPr>
              <w:rPr>
                <w:rFonts w:ascii="Arial" w:hAnsi="Arial" w:cs="Arial"/>
                <w:sz w:val="12"/>
                <w:szCs w:val="12"/>
              </w:rPr>
            </w:pPr>
          </w:p>
        </w:tc>
        <w:tc>
          <w:tcPr>
            <w:tcW w:w="2268" w:type="dxa"/>
            <w:shd w:val="clear" w:color="auto" w:fill="F2F2F2"/>
            <w:hideMark/>
          </w:tcPr>
          <w:p w14:paraId="211C5A6B" w14:textId="77777777" w:rsidR="002A4DDF" w:rsidRPr="00937C8B" w:rsidRDefault="002A4DDF" w:rsidP="009110ED">
            <w:pPr>
              <w:rPr>
                <w:rFonts w:ascii="Arial" w:hAnsi="Arial" w:cs="Arial"/>
                <w:sz w:val="12"/>
                <w:szCs w:val="12"/>
              </w:rPr>
            </w:pPr>
            <w:r>
              <w:rPr>
                <w:rFonts w:ascii="Arial" w:hAnsi="Arial"/>
                <w:sz w:val="12"/>
                <w:szCs w:val="12"/>
              </w:rPr>
              <w:t>El Morell</w:t>
            </w:r>
          </w:p>
        </w:tc>
        <w:tc>
          <w:tcPr>
            <w:tcW w:w="2268" w:type="dxa"/>
            <w:tcBorders>
              <w:right w:val="single" w:sz="4" w:space="0" w:color="auto"/>
            </w:tcBorders>
            <w:shd w:val="clear" w:color="auto" w:fill="D9D9D9"/>
            <w:hideMark/>
          </w:tcPr>
          <w:p w14:paraId="57C56C53" w14:textId="77777777" w:rsidR="002A4DDF" w:rsidRPr="00937C8B" w:rsidRDefault="002A4DDF" w:rsidP="009110ED">
            <w:pPr>
              <w:rPr>
                <w:rFonts w:ascii="Arial" w:hAnsi="Arial" w:cs="Arial"/>
                <w:sz w:val="12"/>
                <w:szCs w:val="12"/>
              </w:rPr>
            </w:pPr>
            <w:r>
              <w:rPr>
                <w:rFonts w:ascii="Arial" w:hAnsi="Arial"/>
                <w:sz w:val="12"/>
                <w:szCs w:val="12"/>
              </w:rPr>
              <w:t>Riudecols</w:t>
            </w:r>
          </w:p>
        </w:tc>
      </w:tr>
      <w:tr w:rsidR="002A4DDF" w:rsidRPr="00937C8B" w14:paraId="5B1644A8" w14:textId="77777777" w:rsidTr="00935676">
        <w:trPr>
          <w:cantSplit/>
        </w:trPr>
        <w:tc>
          <w:tcPr>
            <w:tcW w:w="1696" w:type="dxa"/>
            <w:tcBorders>
              <w:left w:val="single" w:sz="4" w:space="0" w:color="auto"/>
            </w:tcBorders>
            <w:shd w:val="clear" w:color="auto" w:fill="auto"/>
          </w:tcPr>
          <w:p w14:paraId="7249BAB4" w14:textId="77777777" w:rsidR="002A4DDF" w:rsidRPr="00937C8B" w:rsidRDefault="002A4DDF" w:rsidP="009110ED">
            <w:pPr>
              <w:rPr>
                <w:rFonts w:ascii="Arial" w:hAnsi="Arial" w:cs="Arial"/>
                <w:sz w:val="12"/>
                <w:szCs w:val="12"/>
              </w:rPr>
            </w:pPr>
          </w:p>
        </w:tc>
        <w:tc>
          <w:tcPr>
            <w:tcW w:w="1843" w:type="dxa"/>
            <w:shd w:val="clear" w:color="auto" w:fill="auto"/>
          </w:tcPr>
          <w:p w14:paraId="118C75DE" w14:textId="77777777" w:rsidR="002A4DDF" w:rsidRPr="00937C8B" w:rsidRDefault="002A4DDF" w:rsidP="009110ED">
            <w:pPr>
              <w:rPr>
                <w:rFonts w:ascii="Arial" w:hAnsi="Arial" w:cs="Arial"/>
                <w:sz w:val="12"/>
                <w:szCs w:val="12"/>
              </w:rPr>
            </w:pPr>
          </w:p>
        </w:tc>
        <w:tc>
          <w:tcPr>
            <w:tcW w:w="2268" w:type="dxa"/>
            <w:shd w:val="clear" w:color="auto" w:fill="F2F2F2"/>
            <w:hideMark/>
          </w:tcPr>
          <w:p w14:paraId="54927D78" w14:textId="77777777" w:rsidR="002A4DDF" w:rsidRPr="00937C8B" w:rsidRDefault="002A4DDF" w:rsidP="009110ED">
            <w:pPr>
              <w:rPr>
                <w:rFonts w:ascii="Arial" w:hAnsi="Arial" w:cs="Arial"/>
                <w:sz w:val="12"/>
                <w:szCs w:val="12"/>
              </w:rPr>
            </w:pPr>
            <w:r>
              <w:rPr>
                <w:rFonts w:ascii="Arial" w:hAnsi="Arial"/>
                <w:sz w:val="12"/>
                <w:szCs w:val="12"/>
              </w:rPr>
              <w:t>Els Pallaresos</w:t>
            </w:r>
          </w:p>
        </w:tc>
        <w:tc>
          <w:tcPr>
            <w:tcW w:w="2268" w:type="dxa"/>
            <w:tcBorders>
              <w:right w:val="single" w:sz="4" w:space="0" w:color="auto"/>
            </w:tcBorders>
            <w:shd w:val="clear" w:color="auto" w:fill="D9D9D9"/>
            <w:hideMark/>
          </w:tcPr>
          <w:p w14:paraId="12E44ACD" w14:textId="77777777" w:rsidR="002A4DDF" w:rsidRPr="00937C8B" w:rsidRDefault="002A4DDF" w:rsidP="009110ED">
            <w:pPr>
              <w:rPr>
                <w:rFonts w:ascii="Arial" w:hAnsi="Arial" w:cs="Arial"/>
                <w:sz w:val="12"/>
                <w:szCs w:val="12"/>
              </w:rPr>
            </w:pPr>
            <w:r>
              <w:rPr>
                <w:rFonts w:ascii="Arial" w:hAnsi="Arial"/>
                <w:sz w:val="12"/>
                <w:szCs w:val="12"/>
              </w:rPr>
              <w:t>Vilanova d'Escornalbou</w:t>
            </w:r>
          </w:p>
        </w:tc>
      </w:tr>
      <w:tr w:rsidR="002A4DDF" w:rsidRPr="00937C8B" w14:paraId="310A11BE" w14:textId="77777777" w:rsidTr="00935676">
        <w:trPr>
          <w:cantSplit/>
        </w:trPr>
        <w:tc>
          <w:tcPr>
            <w:tcW w:w="1696" w:type="dxa"/>
            <w:tcBorders>
              <w:left w:val="single" w:sz="4" w:space="0" w:color="auto"/>
            </w:tcBorders>
            <w:shd w:val="clear" w:color="auto" w:fill="auto"/>
          </w:tcPr>
          <w:p w14:paraId="0054C4FD" w14:textId="77777777" w:rsidR="002A4DDF" w:rsidRPr="00937C8B" w:rsidRDefault="002A4DDF" w:rsidP="009110ED">
            <w:pPr>
              <w:rPr>
                <w:rFonts w:ascii="Arial" w:hAnsi="Arial" w:cs="Arial"/>
                <w:sz w:val="12"/>
                <w:szCs w:val="12"/>
              </w:rPr>
            </w:pPr>
          </w:p>
        </w:tc>
        <w:tc>
          <w:tcPr>
            <w:tcW w:w="1843" w:type="dxa"/>
            <w:shd w:val="clear" w:color="auto" w:fill="auto"/>
          </w:tcPr>
          <w:p w14:paraId="4F15DD39" w14:textId="77777777" w:rsidR="002A4DDF" w:rsidRPr="00937C8B" w:rsidRDefault="002A4DDF" w:rsidP="009110ED">
            <w:pPr>
              <w:rPr>
                <w:rFonts w:ascii="Arial" w:hAnsi="Arial" w:cs="Arial"/>
                <w:sz w:val="12"/>
                <w:szCs w:val="12"/>
              </w:rPr>
            </w:pPr>
          </w:p>
        </w:tc>
        <w:tc>
          <w:tcPr>
            <w:tcW w:w="2268" w:type="dxa"/>
            <w:shd w:val="clear" w:color="auto" w:fill="F2F2F2"/>
            <w:hideMark/>
          </w:tcPr>
          <w:p w14:paraId="14D4C035" w14:textId="77777777" w:rsidR="002A4DDF" w:rsidRPr="00937C8B" w:rsidRDefault="002A4DDF" w:rsidP="009110ED">
            <w:pPr>
              <w:rPr>
                <w:rFonts w:ascii="Arial" w:hAnsi="Arial" w:cs="Arial"/>
                <w:sz w:val="12"/>
                <w:szCs w:val="12"/>
              </w:rPr>
            </w:pPr>
            <w:r>
              <w:rPr>
                <w:rFonts w:ascii="Arial" w:hAnsi="Arial"/>
                <w:sz w:val="12"/>
                <w:szCs w:val="12"/>
              </w:rPr>
              <w:t>La Canonja</w:t>
            </w:r>
          </w:p>
        </w:tc>
        <w:tc>
          <w:tcPr>
            <w:tcW w:w="2268" w:type="dxa"/>
            <w:tcBorders>
              <w:right w:val="single" w:sz="4" w:space="0" w:color="auto"/>
            </w:tcBorders>
            <w:shd w:val="clear" w:color="auto" w:fill="D9D9D9"/>
            <w:hideMark/>
          </w:tcPr>
          <w:p w14:paraId="40DE73B7" w14:textId="77777777" w:rsidR="002A4DDF" w:rsidRPr="00937C8B" w:rsidRDefault="002A4DDF" w:rsidP="009110ED">
            <w:pPr>
              <w:rPr>
                <w:rFonts w:ascii="Arial" w:hAnsi="Arial" w:cs="Arial"/>
                <w:sz w:val="12"/>
                <w:szCs w:val="12"/>
              </w:rPr>
            </w:pPr>
            <w:r>
              <w:rPr>
                <w:rFonts w:ascii="Arial" w:hAnsi="Arial"/>
                <w:sz w:val="12"/>
                <w:szCs w:val="12"/>
              </w:rPr>
              <w:t>Vilaplana</w:t>
            </w:r>
          </w:p>
        </w:tc>
      </w:tr>
      <w:tr w:rsidR="002A4DDF" w:rsidRPr="00937C8B" w14:paraId="34BFED66" w14:textId="77777777" w:rsidTr="00935676">
        <w:trPr>
          <w:cantSplit/>
        </w:trPr>
        <w:tc>
          <w:tcPr>
            <w:tcW w:w="1696" w:type="dxa"/>
            <w:tcBorders>
              <w:left w:val="single" w:sz="4" w:space="0" w:color="auto"/>
            </w:tcBorders>
            <w:shd w:val="clear" w:color="auto" w:fill="auto"/>
          </w:tcPr>
          <w:p w14:paraId="6A576CD4" w14:textId="77777777" w:rsidR="002A4DDF" w:rsidRPr="00937C8B" w:rsidRDefault="002A4DDF" w:rsidP="009110ED">
            <w:pPr>
              <w:rPr>
                <w:rFonts w:ascii="Arial" w:hAnsi="Arial" w:cs="Arial"/>
                <w:sz w:val="12"/>
                <w:szCs w:val="12"/>
              </w:rPr>
            </w:pPr>
          </w:p>
        </w:tc>
        <w:tc>
          <w:tcPr>
            <w:tcW w:w="1843" w:type="dxa"/>
            <w:shd w:val="clear" w:color="auto" w:fill="auto"/>
          </w:tcPr>
          <w:p w14:paraId="36F6F3CF" w14:textId="77777777" w:rsidR="002A4DDF" w:rsidRPr="00937C8B" w:rsidRDefault="002A4DDF" w:rsidP="009110ED">
            <w:pPr>
              <w:rPr>
                <w:rFonts w:ascii="Arial" w:hAnsi="Arial" w:cs="Arial"/>
                <w:sz w:val="12"/>
                <w:szCs w:val="12"/>
              </w:rPr>
            </w:pPr>
          </w:p>
        </w:tc>
        <w:tc>
          <w:tcPr>
            <w:tcW w:w="2268" w:type="dxa"/>
            <w:shd w:val="clear" w:color="auto" w:fill="F2F2F2"/>
            <w:hideMark/>
          </w:tcPr>
          <w:p w14:paraId="3AF40A2A" w14:textId="77777777" w:rsidR="002A4DDF" w:rsidRPr="00937C8B" w:rsidRDefault="002A4DDF" w:rsidP="009110ED">
            <w:pPr>
              <w:rPr>
                <w:rFonts w:ascii="Arial" w:hAnsi="Arial" w:cs="Arial"/>
                <w:sz w:val="12"/>
                <w:szCs w:val="12"/>
              </w:rPr>
            </w:pPr>
            <w:r>
              <w:rPr>
                <w:rFonts w:ascii="Arial" w:hAnsi="Arial"/>
                <w:sz w:val="12"/>
                <w:szCs w:val="12"/>
              </w:rPr>
              <w:t>La Pobla de Mafumet</w:t>
            </w:r>
          </w:p>
        </w:tc>
        <w:tc>
          <w:tcPr>
            <w:tcW w:w="2268" w:type="dxa"/>
            <w:tcBorders>
              <w:right w:val="single" w:sz="4" w:space="0" w:color="auto"/>
            </w:tcBorders>
            <w:shd w:val="clear" w:color="auto" w:fill="D9D9D9"/>
            <w:hideMark/>
          </w:tcPr>
          <w:p w14:paraId="3F36CF6A" w14:textId="77777777" w:rsidR="002A4DDF" w:rsidRPr="00937C8B" w:rsidRDefault="002A4DDF" w:rsidP="009110ED">
            <w:pPr>
              <w:rPr>
                <w:rFonts w:ascii="Arial" w:hAnsi="Arial" w:cs="Arial"/>
                <w:sz w:val="12"/>
                <w:szCs w:val="12"/>
              </w:rPr>
            </w:pPr>
          </w:p>
        </w:tc>
      </w:tr>
      <w:tr w:rsidR="002A4DDF" w:rsidRPr="00937C8B" w14:paraId="13ED1AE9" w14:textId="77777777" w:rsidTr="00935676">
        <w:trPr>
          <w:cantSplit/>
        </w:trPr>
        <w:tc>
          <w:tcPr>
            <w:tcW w:w="1696" w:type="dxa"/>
            <w:tcBorders>
              <w:left w:val="single" w:sz="4" w:space="0" w:color="auto"/>
            </w:tcBorders>
            <w:shd w:val="clear" w:color="auto" w:fill="auto"/>
          </w:tcPr>
          <w:p w14:paraId="42033E5E" w14:textId="77777777" w:rsidR="002A4DDF" w:rsidRPr="00937C8B" w:rsidRDefault="002A4DDF" w:rsidP="009110ED">
            <w:pPr>
              <w:rPr>
                <w:rFonts w:ascii="Arial" w:hAnsi="Arial" w:cs="Arial"/>
                <w:sz w:val="12"/>
                <w:szCs w:val="12"/>
              </w:rPr>
            </w:pPr>
          </w:p>
        </w:tc>
        <w:tc>
          <w:tcPr>
            <w:tcW w:w="1843" w:type="dxa"/>
            <w:shd w:val="clear" w:color="auto" w:fill="auto"/>
          </w:tcPr>
          <w:p w14:paraId="117C6D99" w14:textId="77777777" w:rsidR="002A4DDF" w:rsidRPr="00937C8B" w:rsidRDefault="002A4DDF" w:rsidP="009110ED">
            <w:pPr>
              <w:rPr>
                <w:rFonts w:ascii="Arial" w:hAnsi="Arial" w:cs="Arial"/>
                <w:sz w:val="12"/>
                <w:szCs w:val="12"/>
              </w:rPr>
            </w:pPr>
          </w:p>
        </w:tc>
        <w:tc>
          <w:tcPr>
            <w:tcW w:w="2268" w:type="dxa"/>
            <w:shd w:val="clear" w:color="auto" w:fill="F2F2F2"/>
            <w:hideMark/>
          </w:tcPr>
          <w:p w14:paraId="6D854B10" w14:textId="77777777" w:rsidR="002A4DDF" w:rsidRPr="00937C8B" w:rsidRDefault="002A4DDF" w:rsidP="009110ED">
            <w:pPr>
              <w:rPr>
                <w:rFonts w:ascii="Arial" w:hAnsi="Arial" w:cs="Arial"/>
                <w:sz w:val="12"/>
                <w:szCs w:val="12"/>
              </w:rPr>
            </w:pPr>
            <w:r>
              <w:rPr>
                <w:rFonts w:ascii="Arial" w:hAnsi="Arial"/>
                <w:sz w:val="12"/>
                <w:szCs w:val="12"/>
              </w:rPr>
              <w:t>La Selva del Camp</w:t>
            </w:r>
          </w:p>
        </w:tc>
        <w:tc>
          <w:tcPr>
            <w:tcW w:w="2268" w:type="dxa"/>
            <w:tcBorders>
              <w:right w:val="single" w:sz="4" w:space="0" w:color="auto"/>
            </w:tcBorders>
            <w:shd w:val="clear" w:color="auto" w:fill="D9D9D9"/>
            <w:hideMark/>
          </w:tcPr>
          <w:p w14:paraId="2D9DA5C4" w14:textId="77777777" w:rsidR="002A4DDF" w:rsidRPr="00937C8B" w:rsidRDefault="002A4DDF" w:rsidP="009110ED">
            <w:pPr>
              <w:rPr>
                <w:rFonts w:ascii="Arial" w:hAnsi="Arial" w:cs="Arial"/>
                <w:sz w:val="12"/>
                <w:szCs w:val="12"/>
              </w:rPr>
            </w:pPr>
          </w:p>
        </w:tc>
      </w:tr>
      <w:tr w:rsidR="002A4DDF" w:rsidRPr="00937C8B" w14:paraId="38952A17" w14:textId="77777777" w:rsidTr="00935676">
        <w:trPr>
          <w:cantSplit/>
        </w:trPr>
        <w:tc>
          <w:tcPr>
            <w:tcW w:w="1696" w:type="dxa"/>
            <w:tcBorders>
              <w:left w:val="single" w:sz="4" w:space="0" w:color="auto"/>
            </w:tcBorders>
            <w:shd w:val="clear" w:color="auto" w:fill="auto"/>
          </w:tcPr>
          <w:p w14:paraId="0A2E13CC" w14:textId="77777777" w:rsidR="002A4DDF" w:rsidRPr="00937C8B" w:rsidRDefault="002A4DDF" w:rsidP="009110ED">
            <w:pPr>
              <w:rPr>
                <w:rFonts w:ascii="Arial" w:hAnsi="Arial" w:cs="Arial"/>
                <w:sz w:val="12"/>
                <w:szCs w:val="12"/>
              </w:rPr>
            </w:pPr>
          </w:p>
        </w:tc>
        <w:tc>
          <w:tcPr>
            <w:tcW w:w="1843" w:type="dxa"/>
            <w:shd w:val="clear" w:color="auto" w:fill="auto"/>
          </w:tcPr>
          <w:p w14:paraId="24BA2099" w14:textId="77777777" w:rsidR="002A4DDF" w:rsidRPr="00937C8B" w:rsidRDefault="002A4DDF" w:rsidP="009110ED">
            <w:pPr>
              <w:rPr>
                <w:rFonts w:ascii="Arial" w:hAnsi="Arial" w:cs="Arial"/>
                <w:sz w:val="12"/>
                <w:szCs w:val="12"/>
              </w:rPr>
            </w:pPr>
          </w:p>
        </w:tc>
        <w:tc>
          <w:tcPr>
            <w:tcW w:w="2268" w:type="dxa"/>
            <w:shd w:val="clear" w:color="auto" w:fill="F2F2F2"/>
            <w:hideMark/>
          </w:tcPr>
          <w:p w14:paraId="13815CDC" w14:textId="77777777" w:rsidR="002A4DDF" w:rsidRPr="00937C8B" w:rsidRDefault="002A4DDF" w:rsidP="009110ED">
            <w:pPr>
              <w:rPr>
                <w:rFonts w:ascii="Arial" w:hAnsi="Arial" w:cs="Arial"/>
                <w:sz w:val="12"/>
                <w:szCs w:val="12"/>
              </w:rPr>
            </w:pPr>
            <w:r>
              <w:rPr>
                <w:rFonts w:ascii="Arial" w:hAnsi="Arial"/>
                <w:sz w:val="12"/>
                <w:szCs w:val="12"/>
              </w:rPr>
              <w:t>La Torre de Fontaubella</w:t>
            </w:r>
          </w:p>
        </w:tc>
        <w:tc>
          <w:tcPr>
            <w:tcW w:w="2268" w:type="dxa"/>
            <w:tcBorders>
              <w:right w:val="single" w:sz="4" w:space="0" w:color="auto"/>
            </w:tcBorders>
            <w:shd w:val="clear" w:color="auto" w:fill="D9D9D9"/>
            <w:hideMark/>
          </w:tcPr>
          <w:p w14:paraId="64D41E24" w14:textId="77777777" w:rsidR="002A4DDF" w:rsidRPr="00937C8B" w:rsidRDefault="002A4DDF" w:rsidP="009110ED">
            <w:pPr>
              <w:rPr>
                <w:rFonts w:ascii="Arial" w:hAnsi="Arial" w:cs="Arial"/>
                <w:sz w:val="12"/>
                <w:szCs w:val="12"/>
              </w:rPr>
            </w:pPr>
          </w:p>
        </w:tc>
      </w:tr>
      <w:tr w:rsidR="002A4DDF" w:rsidRPr="00937C8B" w14:paraId="0CD5BF1C" w14:textId="77777777" w:rsidTr="00935676">
        <w:trPr>
          <w:cantSplit/>
        </w:trPr>
        <w:tc>
          <w:tcPr>
            <w:tcW w:w="1696" w:type="dxa"/>
            <w:tcBorders>
              <w:left w:val="single" w:sz="4" w:space="0" w:color="auto"/>
            </w:tcBorders>
            <w:shd w:val="clear" w:color="auto" w:fill="auto"/>
          </w:tcPr>
          <w:p w14:paraId="4D7C741E" w14:textId="77777777" w:rsidR="002A4DDF" w:rsidRPr="00937C8B" w:rsidRDefault="002A4DDF" w:rsidP="009110ED">
            <w:pPr>
              <w:rPr>
                <w:rFonts w:ascii="Arial" w:hAnsi="Arial" w:cs="Arial"/>
                <w:sz w:val="12"/>
                <w:szCs w:val="12"/>
              </w:rPr>
            </w:pPr>
          </w:p>
        </w:tc>
        <w:tc>
          <w:tcPr>
            <w:tcW w:w="1843" w:type="dxa"/>
            <w:shd w:val="clear" w:color="auto" w:fill="auto"/>
          </w:tcPr>
          <w:p w14:paraId="3A7F92D8" w14:textId="77777777" w:rsidR="002A4DDF" w:rsidRPr="00937C8B" w:rsidRDefault="002A4DDF" w:rsidP="009110ED">
            <w:pPr>
              <w:rPr>
                <w:rFonts w:ascii="Arial" w:hAnsi="Arial" w:cs="Arial"/>
                <w:sz w:val="12"/>
                <w:szCs w:val="12"/>
              </w:rPr>
            </w:pPr>
          </w:p>
        </w:tc>
        <w:tc>
          <w:tcPr>
            <w:tcW w:w="2268" w:type="dxa"/>
            <w:shd w:val="clear" w:color="auto" w:fill="F2F2F2"/>
            <w:hideMark/>
          </w:tcPr>
          <w:p w14:paraId="4B312A2E" w14:textId="77777777" w:rsidR="002A4DDF" w:rsidRPr="00937C8B" w:rsidRDefault="002A4DDF" w:rsidP="009110ED">
            <w:pPr>
              <w:rPr>
                <w:rFonts w:ascii="Arial" w:hAnsi="Arial" w:cs="Arial"/>
                <w:sz w:val="12"/>
                <w:szCs w:val="12"/>
              </w:rPr>
            </w:pPr>
            <w:r>
              <w:rPr>
                <w:rFonts w:ascii="Arial" w:hAnsi="Arial"/>
                <w:sz w:val="12"/>
                <w:szCs w:val="12"/>
              </w:rPr>
              <w:t>L'Ametlla de Mar</w:t>
            </w:r>
          </w:p>
        </w:tc>
        <w:tc>
          <w:tcPr>
            <w:tcW w:w="2268" w:type="dxa"/>
            <w:tcBorders>
              <w:right w:val="single" w:sz="4" w:space="0" w:color="auto"/>
            </w:tcBorders>
            <w:shd w:val="clear" w:color="auto" w:fill="D9D9D9"/>
            <w:hideMark/>
          </w:tcPr>
          <w:p w14:paraId="382C0C04" w14:textId="77777777" w:rsidR="002A4DDF" w:rsidRPr="00937C8B" w:rsidRDefault="002A4DDF" w:rsidP="009110ED">
            <w:pPr>
              <w:rPr>
                <w:rFonts w:ascii="Arial" w:hAnsi="Arial" w:cs="Arial"/>
                <w:sz w:val="12"/>
                <w:szCs w:val="12"/>
              </w:rPr>
            </w:pPr>
          </w:p>
        </w:tc>
      </w:tr>
      <w:tr w:rsidR="002A4DDF" w:rsidRPr="00937C8B" w14:paraId="0B7FE78B" w14:textId="77777777" w:rsidTr="00935676">
        <w:trPr>
          <w:cantSplit/>
        </w:trPr>
        <w:tc>
          <w:tcPr>
            <w:tcW w:w="1696" w:type="dxa"/>
            <w:tcBorders>
              <w:left w:val="single" w:sz="4" w:space="0" w:color="auto"/>
            </w:tcBorders>
            <w:shd w:val="clear" w:color="auto" w:fill="auto"/>
          </w:tcPr>
          <w:p w14:paraId="7F115DD9" w14:textId="77777777" w:rsidR="002A4DDF" w:rsidRPr="00937C8B" w:rsidRDefault="002A4DDF" w:rsidP="009110ED">
            <w:pPr>
              <w:rPr>
                <w:rFonts w:ascii="Arial" w:hAnsi="Arial" w:cs="Arial"/>
                <w:sz w:val="12"/>
                <w:szCs w:val="12"/>
              </w:rPr>
            </w:pPr>
          </w:p>
        </w:tc>
        <w:tc>
          <w:tcPr>
            <w:tcW w:w="1843" w:type="dxa"/>
            <w:shd w:val="clear" w:color="auto" w:fill="auto"/>
          </w:tcPr>
          <w:p w14:paraId="584A5560" w14:textId="77777777" w:rsidR="002A4DDF" w:rsidRPr="00937C8B" w:rsidRDefault="002A4DDF" w:rsidP="009110ED">
            <w:pPr>
              <w:rPr>
                <w:rFonts w:ascii="Arial" w:hAnsi="Arial" w:cs="Arial"/>
                <w:sz w:val="12"/>
                <w:szCs w:val="12"/>
              </w:rPr>
            </w:pPr>
          </w:p>
        </w:tc>
        <w:tc>
          <w:tcPr>
            <w:tcW w:w="2268" w:type="dxa"/>
            <w:shd w:val="clear" w:color="auto" w:fill="F2F2F2"/>
            <w:hideMark/>
          </w:tcPr>
          <w:p w14:paraId="36BA3458" w14:textId="77777777" w:rsidR="002A4DDF" w:rsidRPr="00937C8B" w:rsidRDefault="002A4DDF" w:rsidP="009110ED">
            <w:pPr>
              <w:rPr>
                <w:rFonts w:ascii="Arial" w:hAnsi="Arial" w:cs="Arial"/>
                <w:sz w:val="12"/>
                <w:szCs w:val="12"/>
              </w:rPr>
            </w:pPr>
            <w:r>
              <w:rPr>
                <w:rFonts w:ascii="Arial" w:hAnsi="Arial"/>
                <w:sz w:val="12"/>
                <w:szCs w:val="12"/>
              </w:rPr>
              <w:t>L'Argentera</w:t>
            </w:r>
          </w:p>
        </w:tc>
        <w:tc>
          <w:tcPr>
            <w:tcW w:w="2268" w:type="dxa"/>
            <w:tcBorders>
              <w:right w:val="single" w:sz="4" w:space="0" w:color="auto"/>
            </w:tcBorders>
            <w:shd w:val="clear" w:color="auto" w:fill="D9D9D9"/>
            <w:hideMark/>
          </w:tcPr>
          <w:p w14:paraId="2076E019" w14:textId="77777777" w:rsidR="002A4DDF" w:rsidRPr="00937C8B" w:rsidRDefault="002A4DDF" w:rsidP="009110ED">
            <w:pPr>
              <w:rPr>
                <w:rFonts w:ascii="Arial" w:hAnsi="Arial" w:cs="Arial"/>
                <w:sz w:val="12"/>
                <w:szCs w:val="12"/>
              </w:rPr>
            </w:pPr>
          </w:p>
        </w:tc>
      </w:tr>
      <w:tr w:rsidR="002A4DDF" w:rsidRPr="00937C8B" w14:paraId="7D5E1531" w14:textId="77777777" w:rsidTr="00935676">
        <w:trPr>
          <w:cantSplit/>
        </w:trPr>
        <w:tc>
          <w:tcPr>
            <w:tcW w:w="1696" w:type="dxa"/>
            <w:tcBorders>
              <w:left w:val="single" w:sz="4" w:space="0" w:color="auto"/>
            </w:tcBorders>
            <w:shd w:val="clear" w:color="auto" w:fill="auto"/>
          </w:tcPr>
          <w:p w14:paraId="44E26569" w14:textId="77777777" w:rsidR="002A4DDF" w:rsidRPr="00937C8B" w:rsidRDefault="002A4DDF" w:rsidP="009110ED">
            <w:pPr>
              <w:rPr>
                <w:rFonts w:ascii="Arial" w:hAnsi="Arial" w:cs="Arial"/>
                <w:sz w:val="12"/>
                <w:szCs w:val="12"/>
              </w:rPr>
            </w:pPr>
          </w:p>
        </w:tc>
        <w:tc>
          <w:tcPr>
            <w:tcW w:w="1843" w:type="dxa"/>
            <w:shd w:val="clear" w:color="auto" w:fill="auto"/>
          </w:tcPr>
          <w:p w14:paraId="3C59438A" w14:textId="77777777" w:rsidR="002A4DDF" w:rsidRPr="00937C8B" w:rsidRDefault="002A4DDF" w:rsidP="009110ED">
            <w:pPr>
              <w:rPr>
                <w:rFonts w:ascii="Arial" w:hAnsi="Arial" w:cs="Arial"/>
                <w:sz w:val="12"/>
                <w:szCs w:val="12"/>
              </w:rPr>
            </w:pPr>
          </w:p>
        </w:tc>
        <w:tc>
          <w:tcPr>
            <w:tcW w:w="2268" w:type="dxa"/>
            <w:shd w:val="clear" w:color="auto" w:fill="F2F2F2"/>
            <w:hideMark/>
          </w:tcPr>
          <w:p w14:paraId="4780C92B" w14:textId="77777777" w:rsidR="002A4DDF" w:rsidRPr="00937C8B" w:rsidRDefault="002A4DDF" w:rsidP="009110ED">
            <w:pPr>
              <w:rPr>
                <w:rFonts w:ascii="Arial" w:hAnsi="Arial" w:cs="Arial"/>
                <w:sz w:val="12"/>
                <w:szCs w:val="12"/>
              </w:rPr>
            </w:pPr>
            <w:r>
              <w:rPr>
                <w:rFonts w:ascii="Arial" w:hAnsi="Arial"/>
                <w:sz w:val="12"/>
                <w:szCs w:val="12"/>
              </w:rPr>
              <w:t>Llorac</w:t>
            </w:r>
          </w:p>
        </w:tc>
        <w:tc>
          <w:tcPr>
            <w:tcW w:w="2268" w:type="dxa"/>
            <w:tcBorders>
              <w:right w:val="single" w:sz="4" w:space="0" w:color="auto"/>
            </w:tcBorders>
            <w:shd w:val="clear" w:color="auto" w:fill="D9D9D9"/>
            <w:hideMark/>
          </w:tcPr>
          <w:p w14:paraId="32B24DC4" w14:textId="77777777" w:rsidR="002A4DDF" w:rsidRPr="00937C8B" w:rsidRDefault="002A4DDF" w:rsidP="009110ED">
            <w:pPr>
              <w:rPr>
                <w:rFonts w:ascii="Arial" w:hAnsi="Arial" w:cs="Arial"/>
                <w:sz w:val="12"/>
                <w:szCs w:val="12"/>
              </w:rPr>
            </w:pPr>
          </w:p>
        </w:tc>
      </w:tr>
      <w:tr w:rsidR="002A4DDF" w:rsidRPr="00937C8B" w14:paraId="0A4C0E6A" w14:textId="77777777" w:rsidTr="00935676">
        <w:trPr>
          <w:cantSplit/>
        </w:trPr>
        <w:tc>
          <w:tcPr>
            <w:tcW w:w="1696" w:type="dxa"/>
            <w:tcBorders>
              <w:left w:val="single" w:sz="4" w:space="0" w:color="auto"/>
            </w:tcBorders>
            <w:shd w:val="clear" w:color="auto" w:fill="auto"/>
          </w:tcPr>
          <w:p w14:paraId="1D5FF376" w14:textId="77777777" w:rsidR="002A4DDF" w:rsidRPr="00937C8B" w:rsidRDefault="002A4DDF" w:rsidP="009110ED">
            <w:pPr>
              <w:rPr>
                <w:rFonts w:ascii="Arial" w:hAnsi="Arial" w:cs="Arial"/>
                <w:sz w:val="12"/>
                <w:szCs w:val="12"/>
              </w:rPr>
            </w:pPr>
          </w:p>
        </w:tc>
        <w:tc>
          <w:tcPr>
            <w:tcW w:w="1843" w:type="dxa"/>
            <w:shd w:val="clear" w:color="auto" w:fill="auto"/>
          </w:tcPr>
          <w:p w14:paraId="050BB6AF" w14:textId="77777777" w:rsidR="002A4DDF" w:rsidRPr="00937C8B" w:rsidRDefault="002A4DDF" w:rsidP="009110ED">
            <w:pPr>
              <w:rPr>
                <w:rFonts w:ascii="Arial" w:hAnsi="Arial" w:cs="Arial"/>
                <w:sz w:val="12"/>
                <w:szCs w:val="12"/>
              </w:rPr>
            </w:pPr>
          </w:p>
        </w:tc>
        <w:tc>
          <w:tcPr>
            <w:tcW w:w="2268" w:type="dxa"/>
            <w:shd w:val="clear" w:color="auto" w:fill="F2F2F2"/>
            <w:hideMark/>
          </w:tcPr>
          <w:p w14:paraId="2D6C0F9F" w14:textId="77777777" w:rsidR="002A4DDF" w:rsidRPr="00937C8B" w:rsidRDefault="002A4DDF" w:rsidP="009110ED">
            <w:pPr>
              <w:rPr>
                <w:rFonts w:ascii="Arial" w:hAnsi="Arial" w:cs="Arial"/>
                <w:sz w:val="12"/>
                <w:szCs w:val="12"/>
              </w:rPr>
            </w:pPr>
            <w:r>
              <w:rPr>
                <w:rFonts w:ascii="Arial" w:hAnsi="Arial"/>
                <w:sz w:val="12"/>
                <w:szCs w:val="12"/>
              </w:rPr>
              <w:t>Montbrió del Camp</w:t>
            </w:r>
          </w:p>
        </w:tc>
        <w:tc>
          <w:tcPr>
            <w:tcW w:w="2268" w:type="dxa"/>
            <w:tcBorders>
              <w:right w:val="single" w:sz="4" w:space="0" w:color="auto"/>
            </w:tcBorders>
            <w:shd w:val="clear" w:color="auto" w:fill="D9D9D9"/>
            <w:hideMark/>
          </w:tcPr>
          <w:p w14:paraId="25A01B82" w14:textId="77777777" w:rsidR="002A4DDF" w:rsidRPr="00937C8B" w:rsidRDefault="002A4DDF" w:rsidP="009110ED">
            <w:pPr>
              <w:rPr>
                <w:rFonts w:ascii="Arial" w:hAnsi="Arial" w:cs="Arial"/>
                <w:sz w:val="12"/>
                <w:szCs w:val="12"/>
              </w:rPr>
            </w:pPr>
          </w:p>
        </w:tc>
      </w:tr>
      <w:tr w:rsidR="002A4DDF" w:rsidRPr="00937C8B" w14:paraId="69724CC8" w14:textId="77777777" w:rsidTr="00935676">
        <w:trPr>
          <w:cantSplit/>
        </w:trPr>
        <w:tc>
          <w:tcPr>
            <w:tcW w:w="1696" w:type="dxa"/>
            <w:tcBorders>
              <w:left w:val="single" w:sz="4" w:space="0" w:color="auto"/>
            </w:tcBorders>
            <w:shd w:val="clear" w:color="auto" w:fill="auto"/>
          </w:tcPr>
          <w:p w14:paraId="22D1B73A" w14:textId="77777777" w:rsidR="002A4DDF" w:rsidRPr="00937C8B" w:rsidRDefault="002A4DDF" w:rsidP="009110ED">
            <w:pPr>
              <w:rPr>
                <w:rFonts w:ascii="Arial" w:hAnsi="Arial" w:cs="Arial"/>
                <w:sz w:val="12"/>
                <w:szCs w:val="12"/>
              </w:rPr>
            </w:pPr>
          </w:p>
        </w:tc>
        <w:tc>
          <w:tcPr>
            <w:tcW w:w="1843" w:type="dxa"/>
            <w:shd w:val="clear" w:color="auto" w:fill="auto"/>
          </w:tcPr>
          <w:p w14:paraId="626EE0D1" w14:textId="77777777" w:rsidR="002A4DDF" w:rsidRPr="00937C8B" w:rsidRDefault="002A4DDF" w:rsidP="009110ED">
            <w:pPr>
              <w:rPr>
                <w:rFonts w:ascii="Arial" w:hAnsi="Arial" w:cs="Arial"/>
                <w:sz w:val="12"/>
                <w:szCs w:val="12"/>
              </w:rPr>
            </w:pPr>
          </w:p>
        </w:tc>
        <w:tc>
          <w:tcPr>
            <w:tcW w:w="2268" w:type="dxa"/>
            <w:shd w:val="clear" w:color="auto" w:fill="F2F2F2"/>
            <w:hideMark/>
          </w:tcPr>
          <w:p w14:paraId="52B3AD55" w14:textId="77777777" w:rsidR="002A4DDF" w:rsidRPr="00937C8B" w:rsidRDefault="002A4DDF" w:rsidP="009110ED">
            <w:pPr>
              <w:rPr>
                <w:rFonts w:ascii="Arial" w:hAnsi="Arial" w:cs="Arial"/>
                <w:sz w:val="12"/>
                <w:szCs w:val="12"/>
              </w:rPr>
            </w:pPr>
            <w:r>
              <w:rPr>
                <w:rFonts w:ascii="Arial" w:hAnsi="Arial"/>
                <w:sz w:val="12"/>
                <w:szCs w:val="12"/>
              </w:rPr>
              <w:t>Mont-ral</w:t>
            </w:r>
          </w:p>
        </w:tc>
        <w:tc>
          <w:tcPr>
            <w:tcW w:w="2268" w:type="dxa"/>
            <w:tcBorders>
              <w:right w:val="single" w:sz="4" w:space="0" w:color="auto"/>
            </w:tcBorders>
            <w:shd w:val="clear" w:color="auto" w:fill="D9D9D9"/>
            <w:hideMark/>
          </w:tcPr>
          <w:p w14:paraId="520D75F0" w14:textId="77777777" w:rsidR="002A4DDF" w:rsidRPr="00937C8B" w:rsidRDefault="002A4DDF" w:rsidP="009110ED">
            <w:pPr>
              <w:rPr>
                <w:rFonts w:ascii="Arial" w:hAnsi="Arial" w:cs="Arial"/>
                <w:sz w:val="12"/>
                <w:szCs w:val="12"/>
              </w:rPr>
            </w:pPr>
          </w:p>
        </w:tc>
      </w:tr>
      <w:tr w:rsidR="002A4DDF" w:rsidRPr="00937C8B" w14:paraId="2C3ABE09" w14:textId="77777777" w:rsidTr="00935676">
        <w:trPr>
          <w:cantSplit/>
        </w:trPr>
        <w:tc>
          <w:tcPr>
            <w:tcW w:w="1696" w:type="dxa"/>
            <w:tcBorders>
              <w:left w:val="single" w:sz="4" w:space="0" w:color="auto"/>
            </w:tcBorders>
            <w:shd w:val="clear" w:color="auto" w:fill="auto"/>
          </w:tcPr>
          <w:p w14:paraId="60F87144" w14:textId="77777777" w:rsidR="002A4DDF" w:rsidRPr="00937C8B" w:rsidRDefault="002A4DDF" w:rsidP="009110ED">
            <w:pPr>
              <w:rPr>
                <w:rFonts w:ascii="Arial" w:hAnsi="Arial" w:cs="Arial"/>
                <w:sz w:val="12"/>
                <w:szCs w:val="12"/>
              </w:rPr>
            </w:pPr>
          </w:p>
        </w:tc>
        <w:tc>
          <w:tcPr>
            <w:tcW w:w="1843" w:type="dxa"/>
            <w:shd w:val="clear" w:color="auto" w:fill="auto"/>
          </w:tcPr>
          <w:p w14:paraId="361E2B06" w14:textId="77777777" w:rsidR="002A4DDF" w:rsidRPr="00937C8B" w:rsidRDefault="002A4DDF" w:rsidP="009110ED">
            <w:pPr>
              <w:rPr>
                <w:rFonts w:ascii="Arial" w:hAnsi="Arial" w:cs="Arial"/>
                <w:sz w:val="12"/>
                <w:szCs w:val="12"/>
              </w:rPr>
            </w:pPr>
          </w:p>
        </w:tc>
        <w:tc>
          <w:tcPr>
            <w:tcW w:w="2268" w:type="dxa"/>
            <w:shd w:val="clear" w:color="auto" w:fill="F2F2F2"/>
            <w:hideMark/>
          </w:tcPr>
          <w:p w14:paraId="3E655F8B" w14:textId="77777777" w:rsidR="002A4DDF" w:rsidRPr="00937C8B" w:rsidRDefault="002A4DDF" w:rsidP="009110ED">
            <w:pPr>
              <w:rPr>
                <w:rFonts w:ascii="Arial" w:hAnsi="Arial" w:cs="Arial"/>
                <w:sz w:val="12"/>
                <w:szCs w:val="12"/>
              </w:rPr>
            </w:pPr>
            <w:r>
              <w:rPr>
                <w:rFonts w:ascii="Arial" w:hAnsi="Arial"/>
                <w:sz w:val="12"/>
                <w:szCs w:val="12"/>
              </w:rPr>
              <w:t>Mont-roig del Camp</w:t>
            </w:r>
          </w:p>
        </w:tc>
        <w:tc>
          <w:tcPr>
            <w:tcW w:w="2268" w:type="dxa"/>
            <w:tcBorders>
              <w:right w:val="single" w:sz="4" w:space="0" w:color="auto"/>
            </w:tcBorders>
            <w:shd w:val="clear" w:color="auto" w:fill="D9D9D9"/>
            <w:hideMark/>
          </w:tcPr>
          <w:p w14:paraId="520F3395" w14:textId="77777777" w:rsidR="002A4DDF" w:rsidRPr="00937C8B" w:rsidRDefault="002A4DDF" w:rsidP="009110ED">
            <w:pPr>
              <w:rPr>
                <w:rFonts w:ascii="Arial" w:hAnsi="Arial" w:cs="Arial"/>
                <w:sz w:val="12"/>
                <w:szCs w:val="12"/>
              </w:rPr>
            </w:pPr>
          </w:p>
        </w:tc>
      </w:tr>
      <w:tr w:rsidR="002A4DDF" w:rsidRPr="00937C8B" w14:paraId="1D813E48" w14:textId="77777777" w:rsidTr="00935676">
        <w:trPr>
          <w:cantSplit/>
        </w:trPr>
        <w:tc>
          <w:tcPr>
            <w:tcW w:w="1696" w:type="dxa"/>
            <w:tcBorders>
              <w:left w:val="single" w:sz="4" w:space="0" w:color="auto"/>
            </w:tcBorders>
            <w:shd w:val="clear" w:color="auto" w:fill="auto"/>
          </w:tcPr>
          <w:p w14:paraId="6499301E" w14:textId="77777777" w:rsidR="002A4DDF" w:rsidRPr="00937C8B" w:rsidRDefault="002A4DDF" w:rsidP="009110ED">
            <w:pPr>
              <w:rPr>
                <w:rFonts w:ascii="Arial" w:hAnsi="Arial" w:cs="Arial"/>
                <w:sz w:val="12"/>
                <w:szCs w:val="12"/>
              </w:rPr>
            </w:pPr>
          </w:p>
        </w:tc>
        <w:tc>
          <w:tcPr>
            <w:tcW w:w="1843" w:type="dxa"/>
            <w:shd w:val="clear" w:color="auto" w:fill="auto"/>
          </w:tcPr>
          <w:p w14:paraId="63D7C85C" w14:textId="77777777" w:rsidR="002A4DDF" w:rsidRPr="00937C8B" w:rsidRDefault="002A4DDF" w:rsidP="009110ED">
            <w:pPr>
              <w:rPr>
                <w:rFonts w:ascii="Arial" w:hAnsi="Arial" w:cs="Arial"/>
                <w:sz w:val="12"/>
                <w:szCs w:val="12"/>
              </w:rPr>
            </w:pPr>
          </w:p>
        </w:tc>
        <w:tc>
          <w:tcPr>
            <w:tcW w:w="2268" w:type="dxa"/>
            <w:shd w:val="clear" w:color="auto" w:fill="F2F2F2"/>
            <w:hideMark/>
          </w:tcPr>
          <w:p w14:paraId="682E6CFA" w14:textId="77777777" w:rsidR="002A4DDF" w:rsidRPr="00937C8B" w:rsidRDefault="002A4DDF" w:rsidP="009110ED">
            <w:pPr>
              <w:rPr>
                <w:rFonts w:ascii="Arial" w:hAnsi="Arial" w:cs="Arial"/>
                <w:sz w:val="12"/>
                <w:szCs w:val="12"/>
              </w:rPr>
            </w:pPr>
            <w:r>
              <w:rPr>
                <w:rFonts w:ascii="Arial" w:hAnsi="Arial"/>
                <w:sz w:val="12"/>
                <w:szCs w:val="12"/>
              </w:rPr>
              <w:t>Perafort</w:t>
            </w:r>
          </w:p>
        </w:tc>
        <w:tc>
          <w:tcPr>
            <w:tcW w:w="2268" w:type="dxa"/>
            <w:tcBorders>
              <w:right w:val="single" w:sz="4" w:space="0" w:color="auto"/>
            </w:tcBorders>
            <w:shd w:val="clear" w:color="auto" w:fill="D9D9D9"/>
            <w:hideMark/>
          </w:tcPr>
          <w:p w14:paraId="5817A0D0" w14:textId="77777777" w:rsidR="002A4DDF" w:rsidRPr="00937C8B" w:rsidRDefault="002A4DDF" w:rsidP="009110ED">
            <w:pPr>
              <w:rPr>
                <w:rFonts w:ascii="Arial" w:hAnsi="Arial" w:cs="Arial"/>
                <w:sz w:val="12"/>
                <w:szCs w:val="12"/>
              </w:rPr>
            </w:pPr>
          </w:p>
        </w:tc>
      </w:tr>
      <w:tr w:rsidR="002A4DDF" w:rsidRPr="00937C8B" w14:paraId="00767699" w14:textId="77777777" w:rsidTr="00935676">
        <w:trPr>
          <w:cantSplit/>
        </w:trPr>
        <w:tc>
          <w:tcPr>
            <w:tcW w:w="1696" w:type="dxa"/>
            <w:tcBorders>
              <w:left w:val="single" w:sz="4" w:space="0" w:color="auto"/>
            </w:tcBorders>
            <w:shd w:val="clear" w:color="auto" w:fill="auto"/>
          </w:tcPr>
          <w:p w14:paraId="023F0728" w14:textId="77777777" w:rsidR="002A4DDF" w:rsidRPr="00937C8B" w:rsidRDefault="002A4DDF" w:rsidP="009110ED">
            <w:pPr>
              <w:rPr>
                <w:rFonts w:ascii="Arial" w:hAnsi="Arial" w:cs="Arial"/>
                <w:sz w:val="12"/>
                <w:szCs w:val="12"/>
              </w:rPr>
            </w:pPr>
          </w:p>
        </w:tc>
        <w:tc>
          <w:tcPr>
            <w:tcW w:w="1843" w:type="dxa"/>
            <w:shd w:val="clear" w:color="auto" w:fill="auto"/>
          </w:tcPr>
          <w:p w14:paraId="47024972" w14:textId="77777777" w:rsidR="002A4DDF" w:rsidRPr="00937C8B" w:rsidRDefault="002A4DDF" w:rsidP="009110ED">
            <w:pPr>
              <w:rPr>
                <w:rFonts w:ascii="Arial" w:hAnsi="Arial" w:cs="Arial"/>
                <w:sz w:val="12"/>
                <w:szCs w:val="12"/>
              </w:rPr>
            </w:pPr>
          </w:p>
        </w:tc>
        <w:tc>
          <w:tcPr>
            <w:tcW w:w="2268" w:type="dxa"/>
            <w:shd w:val="clear" w:color="auto" w:fill="F2F2F2"/>
            <w:hideMark/>
          </w:tcPr>
          <w:p w14:paraId="3DC871EF" w14:textId="77777777" w:rsidR="002A4DDF" w:rsidRPr="00937C8B" w:rsidRDefault="002A4DDF" w:rsidP="009110ED">
            <w:pPr>
              <w:rPr>
                <w:rFonts w:ascii="Arial" w:hAnsi="Arial" w:cs="Arial"/>
                <w:sz w:val="12"/>
                <w:szCs w:val="12"/>
              </w:rPr>
            </w:pPr>
            <w:r>
              <w:rPr>
                <w:rFonts w:ascii="Arial" w:hAnsi="Arial"/>
                <w:sz w:val="12"/>
                <w:szCs w:val="12"/>
              </w:rPr>
              <w:t>Poboleda</w:t>
            </w:r>
          </w:p>
        </w:tc>
        <w:tc>
          <w:tcPr>
            <w:tcW w:w="2268" w:type="dxa"/>
            <w:tcBorders>
              <w:right w:val="single" w:sz="4" w:space="0" w:color="auto"/>
            </w:tcBorders>
            <w:shd w:val="clear" w:color="auto" w:fill="D9D9D9"/>
            <w:hideMark/>
          </w:tcPr>
          <w:p w14:paraId="4DC7AE4C" w14:textId="77777777" w:rsidR="002A4DDF" w:rsidRPr="00937C8B" w:rsidRDefault="002A4DDF" w:rsidP="009110ED">
            <w:pPr>
              <w:rPr>
                <w:rFonts w:ascii="Arial" w:hAnsi="Arial" w:cs="Arial"/>
                <w:sz w:val="12"/>
                <w:szCs w:val="12"/>
              </w:rPr>
            </w:pPr>
          </w:p>
        </w:tc>
      </w:tr>
      <w:tr w:rsidR="002A4DDF" w:rsidRPr="00937C8B" w14:paraId="3BD38DF6" w14:textId="77777777" w:rsidTr="00935676">
        <w:trPr>
          <w:cantSplit/>
        </w:trPr>
        <w:tc>
          <w:tcPr>
            <w:tcW w:w="1696" w:type="dxa"/>
            <w:tcBorders>
              <w:left w:val="single" w:sz="4" w:space="0" w:color="auto"/>
            </w:tcBorders>
            <w:shd w:val="clear" w:color="auto" w:fill="auto"/>
          </w:tcPr>
          <w:p w14:paraId="5BB08F04" w14:textId="77777777" w:rsidR="002A4DDF" w:rsidRPr="00937C8B" w:rsidRDefault="002A4DDF" w:rsidP="009110ED">
            <w:pPr>
              <w:rPr>
                <w:rFonts w:ascii="Arial" w:hAnsi="Arial" w:cs="Arial"/>
                <w:sz w:val="12"/>
                <w:szCs w:val="12"/>
              </w:rPr>
            </w:pPr>
          </w:p>
        </w:tc>
        <w:tc>
          <w:tcPr>
            <w:tcW w:w="1843" w:type="dxa"/>
            <w:shd w:val="clear" w:color="auto" w:fill="auto"/>
          </w:tcPr>
          <w:p w14:paraId="1F6B7894" w14:textId="77777777" w:rsidR="002A4DDF" w:rsidRPr="00937C8B" w:rsidRDefault="002A4DDF" w:rsidP="009110ED">
            <w:pPr>
              <w:rPr>
                <w:rFonts w:ascii="Arial" w:hAnsi="Arial" w:cs="Arial"/>
                <w:sz w:val="12"/>
                <w:szCs w:val="12"/>
              </w:rPr>
            </w:pPr>
          </w:p>
        </w:tc>
        <w:tc>
          <w:tcPr>
            <w:tcW w:w="2268" w:type="dxa"/>
            <w:shd w:val="clear" w:color="auto" w:fill="F2F2F2"/>
            <w:hideMark/>
          </w:tcPr>
          <w:p w14:paraId="78FD88D3" w14:textId="77777777" w:rsidR="002A4DDF" w:rsidRPr="00937C8B" w:rsidRDefault="002A4DDF" w:rsidP="009110ED">
            <w:pPr>
              <w:rPr>
                <w:rFonts w:ascii="Arial" w:hAnsi="Arial" w:cs="Arial"/>
                <w:sz w:val="12"/>
                <w:szCs w:val="12"/>
              </w:rPr>
            </w:pPr>
            <w:r>
              <w:rPr>
                <w:rFonts w:ascii="Arial" w:hAnsi="Arial"/>
                <w:sz w:val="12"/>
                <w:szCs w:val="12"/>
              </w:rPr>
              <w:t>Pradell de la Teixeta</w:t>
            </w:r>
          </w:p>
        </w:tc>
        <w:tc>
          <w:tcPr>
            <w:tcW w:w="2268" w:type="dxa"/>
            <w:tcBorders>
              <w:right w:val="single" w:sz="4" w:space="0" w:color="auto"/>
            </w:tcBorders>
            <w:shd w:val="clear" w:color="auto" w:fill="D9D9D9"/>
            <w:hideMark/>
          </w:tcPr>
          <w:p w14:paraId="3176F64C" w14:textId="77777777" w:rsidR="002A4DDF" w:rsidRPr="00937C8B" w:rsidRDefault="002A4DDF" w:rsidP="009110ED">
            <w:pPr>
              <w:rPr>
                <w:rFonts w:ascii="Arial" w:hAnsi="Arial" w:cs="Arial"/>
                <w:sz w:val="12"/>
                <w:szCs w:val="12"/>
              </w:rPr>
            </w:pPr>
          </w:p>
        </w:tc>
      </w:tr>
      <w:tr w:rsidR="002A4DDF" w:rsidRPr="00937C8B" w14:paraId="19AE4750" w14:textId="77777777" w:rsidTr="00935676">
        <w:trPr>
          <w:cantSplit/>
        </w:trPr>
        <w:tc>
          <w:tcPr>
            <w:tcW w:w="1696" w:type="dxa"/>
            <w:tcBorders>
              <w:left w:val="single" w:sz="4" w:space="0" w:color="auto"/>
            </w:tcBorders>
            <w:shd w:val="clear" w:color="auto" w:fill="auto"/>
          </w:tcPr>
          <w:p w14:paraId="3DF9F3BA" w14:textId="77777777" w:rsidR="002A4DDF" w:rsidRPr="00937C8B" w:rsidRDefault="002A4DDF" w:rsidP="009110ED">
            <w:pPr>
              <w:rPr>
                <w:rFonts w:ascii="Arial" w:hAnsi="Arial" w:cs="Arial"/>
                <w:sz w:val="12"/>
                <w:szCs w:val="12"/>
              </w:rPr>
            </w:pPr>
          </w:p>
        </w:tc>
        <w:tc>
          <w:tcPr>
            <w:tcW w:w="1843" w:type="dxa"/>
            <w:shd w:val="clear" w:color="auto" w:fill="auto"/>
          </w:tcPr>
          <w:p w14:paraId="39080CD9" w14:textId="77777777" w:rsidR="002A4DDF" w:rsidRPr="00937C8B" w:rsidRDefault="002A4DDF" w:rsidP="009110ED">
            <w:pPr>
              <w:rPr>
                <w:rFonts w:ascii="Arial" w:hAnsi="Arial" w:cs="Arial"/>
                <w:sz w:val="12"/>
                <w:szCs w:val="12"/>
              </w:rPr>
            </w:pPr>
          </w:p>
        </w:tc>
        <w:tc>
          <w:tcPr>
            <w:tcW w:w="2268" w:type="dxa"/>
            <w:shd w:val="clear" w:color="auto" w:fill="F2F2F2"/>
            <w:hideMark/>
          </w:tcPr>
          <w:p w14:paraId="04E1B85A" w14:textId="77777777" w:rsidR="002A4DDF" w:rsidRPr="00937C8B" w:rsidRDefault="002A4DDF" w:rsidP="009110ED">
            <w:pPr>
              <w:rPr>
                <w:rFonts w:ascii="Arial" w:hAnsi="Arial" w:cs="Arial"/>
                <w:sz w:val="12"/>
                <w:szCs w:val="12"/>
              </w:rPr>
            </w:pPr>
            <w:r>
              <w:rPr>
                <w:rFonts w:ascii="Arial" w:hAnsi="Arial"/>
                <w:sz w:val="12"/>
                <w:szCs w:val="12"/>
              </w:rPr>
              <w:t>Pratdip</w:t>
            </w:r>
          </w:p>
        </w:tc>
        <w:tc>
          <w:tcPr>
            <w:tcW w:w="2268" w:type="dxa"/>
            <w:tcBorders>
              <w:right w:val="single" w:sz="4" w:space="0" w:color="auto"/>
            </w:tcBorders>
            <w:shd w:val="clear" w:color="auto" w:fill="D9D9D9"/>
            <w:hideMark/>
          </w:tcPr>
          <w:p w14:paraId="626A0E2A" w14:textId="77777777" w:rsidR="002A4DDF" w:rsidRPr="00937C8B" w:rsidRDefault="002A4DDF" w:rsidP="009110ED">
            <w:pPr>
              <w:rPr>
                <w:rFonts w:ascii="Arial" w:hAnsi="Arial" w:cs="Arial"/>
                <w:sz w:val="12"/>
                <w:szCs w:val="12"/>
              </w:rPr>
            </w:pPr>
          </w:p>
        </w:tc>
      </w:tr>
      <w:tr w:rsidR="002A4DDF" w:rsidRPr="00937C8B" w14:paraId="342C80D8" w14:textId="77777777" w:rsidTr="00935676">
        <w:trPr>
          <w:cantSplit/>
        </w:trPr>
        <w:tc>
          <w:tcPr>
            <w:tcW w:w="1696" w:type="dxa"/>
            <w:tcBorders>
              <w:left w:val="single" w:sz="4" w:space="0" w:color="auto"/>
            </w:tcBorders>
            <w:shd w:val="clear" w:color="auto" w:fill="auto"/>
          </w:tcPr>
          <w:p w14:paraId="4DF28AAC" w14:textId="77777777" w:rsidR="002A4DDF" w:rsidRPr="00937C8B" w:rsidRDefault="002A4DDF" w:rsidP="009110ED">
            <w:pPr>
              <w:rPr>
                <w:rFonts w:ascii="Arial" w:hAnsi="Arial" w:cs="Arial"/>
                <w:sz w:val="12"/>
                <w:szCs w:val="12"/>
              </w:rPr>
            </w:pPr>
          </w:p>
        </w:tc>
        <w:tc>
          <w:tcPr>
            <w:tcW w:w="1843" w:type="dxa"/>
            <w:shd w:val="clear" w:color="auto" w:fill="auto"/>
          </w:tcPr>
          <w:p w14:paraId="6CBED4AE" w14:textId="77777777" w:rsidR="002A4DDF" w:rsidRPr="00937C8B" w:rsidRDefault="002A4DDF" w:rsidP="009110ED">
            <w:pPr>
              <w:rPr>
                <w:rFonts w:ascii="Arial" w:hAnsi="Arial" w:cs="Arial"/>
                <w:sz w:val="12"/>
                <w:szCs w:val="12"/>
              </w:rPr>
            </w:pPr>
          </w:p>
        </w:tc>
        <w:tc>
          <w:tcPr>
            <w:tcW w:w="2268" w:type="dxa"/>
            <w:shd w:val="clear" w:color="auto" w:fill="F2F2F2"/>
            <w:hideMark/>
          </w:tcPr>
          <w:p w14:paraId="6FF1FC23" w14:textId="77777777" w:rsidR="002A4DDF" w:rsidRPr="00937C8B" w:rsidRDefault="002A4DDF" w:rsidP="009110ED">
            <w:pPr>
              <w:rPr>
                <w:rFonts w:ascii="Arial" w:hAnsi="Arial" w:cs="Arial"/>
                <w:sz w:val="12"/>
                <w:szCs w:val="12"/>
              </w:rPr>
            </w:pPr>
            <w:r>
              <w:rPr>
                <w:rFonts w:ascii="Arial" w:hAnsi="Arial"/>
                <w:sz w:val="12"/>
                <w:szCs w:val="12"/>
              </w:rPr>
              <w:t>Reus</w:t>
            </w:r>
          </w:p>
        </w:tc>
        <w:tc>
          <w:tcPr>
            <w:tcW w:w="2268" w:type="dxa"/>
            <w:tcBorders>
              <w:right w:val="single" w:sz="4" w:space="0" w:color="auto"/>
            </w:tcBorders>
            <w:shd w:val="clear" w:color="auto" w:fill="D9D9D9"/>
            <w:hideMark/>
          </w:tcPr>
          <w:p w14:paraId="3162BE55" w14:textId="77777777" w:rsidR="002A4DDF" w:rsidRPr="00937C8B" w:rsidRDefault="002A4DDF" w:rsidP="009110ED">
            <w:pPr>
              <w:rPr>
                <w:rFonts w:ascii="Arial" w:hAnsi="Arial" w:cs="Arial"/>
                <w:sz w:val="12"/>
                <w:szCs w:val="12"/>
              </w:rPr>
            </w:pPr>
          </w:p>
        </w:tc>
      </w:tr>
      <w:tr w:rsidR="002A4DDF" w:rsidRPr="00937C8B" w14:paraId="7636F226" w14:textId="77777777" w:rsidTr="00935676">
        <w:trPr>
          <w:cantSplit/>
        </w:trPr>
        <w:tc>
          <w:tcPr>
            <w:tcW w:w="1696" w:type="dxa"/>
            <w:tcBorders>
              <w:left w:val="single" w:sz="4" w:space="0" w:color="auto"/>
            </w:tcBorders>
            <w:shd w:val="clear" w:color="auto" w:fill="auto"/>
          </w:tcPr>
          <w:p w14:paraId="2A57C0A0" w14:textId="77777777" w:rsidR="002A4DDF" w:rsidRPr="00937C8B" w:rsidRDefault="002A4DDF" w:rsidP="009110ED">
            <w:pPr>
              <w:rPr>
                <w:rFonts w:ascii="Arial" w:hAnsi="Arial" w:cs="Arial"/>
                <w:sz w:val="12"/>
                <w:szCs w:val="12"/>
              </w:rPr>
            </w:pPr>
          </w:p>
        </w:tc>
        <w:tc>
          <w:tcPr>
            <w:tcW w:w="1843" w:type="dxa"/>
            <w:shd w:val="clear" w:color="auto" w:fill="auto"/>
          </w:tcPr>
          <w:p w14:paraId="03859205" w14:textId="77777777" w:rsidR="002A4DDF" w:rsidRPr="00937C8B" w:rsidRDefault="002A4DDF" w:rsidP="009110ED">
            <w:pPr>
              <w:rPr>
                <w:rFonts w:ascii="Arial" w:hAnsi="Arial" w:cs="Arial"/>
                <w:sz w:val="12"/>
                <w:szCs w:val="12"/>
              </w:rPr>
            </w:pPr>
          </w:p>
        </w:tc>
        <w:tc>
          <w:tcPr>
            <w:tcW w:w="2268" w:type="dxa"/>
            <w:shd w:val="clear" w:color="auto" w:fill="F2F2F2"/>
            <w:hideMark/>
          </w:tcPr>
          <w:p w14:paraId="363F7FC4" w14:textId="77777777" w:rsidR="002A4DDF" w:rsidRPr="00937C8B" w:rsidRDefault="002A4DDF" w:rsidP="009110ED">
            <w:pPr>
              <w:rPr>
                <w:rFonts w:ascii="Arial" w:hAnsi="Arial" w:cs="Arial"/>
                <w:sz w:val="12"/>
                <w:szCs w:val="12"/>
              </w:rPr>
            </w:pPr>
            <w:r>
              <w:rPr>
                <w:rFonts w:ascii="Arial" w:hAnsi="Arial"/>
                <w:sz w:val="12"/>
                <w:szCs w:val="12"/>
              </w:rPr>
              <w:t>Riudoms</w:t>
            </w:r>
          </w:p>
        </w:tc>
        <w:tc>
          <w:tcPr>
            <w:tcW w:w="2268" w:type="dxa"/>
            <w:tcBorders>
              <w:right w:val="single" w:sz="4" w:space="0" w:color="auto"/>
            </w:tcBorders>
            <w:shd w:val="clear" w:color="auto" w:fill="D9D9D9"/>
            <w:hideMark/>
          </w:tcPr>
          <w:p w14:paraId="3D1553A7" w14:textId="77777777" w:rsidR="002A4DDF" w:rsidRPr="00937C8B" w:rsidRDefault="002A4DDF" w:rsidP="009110ED">
            <w:pPr>
              <w:rPr>
                <w:rFonts w:ascii="Arial" w:hAnsi="Arial" w:cs="Arial"/>
                <w:sz w:val="12"/>
                <w:szCs w:val="12"/>
              </w:rPr>
            </w:pPr>
          </w:p>
        </w:tc>
      </w:tr>
      <w:tr w:rsidR="002A4DDF" w:rsidRPr="00937C8B" w14:paraId="3DA13439" w14:textId="77777777" w:rsidTr="00935676">
        <w:trPr>
          <w:cantSplit/>
        </w:trPr>
        <w:tc>
          <w:tcPr>
            <w:tcW w:w="1696" w:type="dxa"/>
            <w:tcBorders>
              <w:left w:val="single" w:sz="4" w:space="0" w:color="auto"/>
            </w:tcBorders>
            <w:shd w:val="clear" w:color="auto" w:fill="auto"/>
          </w:tcPr>
          <w:p w14:paraId="34F49CC2" w14:textId="77777777" w:rsidR="002A4DDF" w:rsidRPr="00937C8B" w:rsidRDefault="002A4DDF" w:rsidP="009110ED">
            <w:pPr>
              <w:rPr>
                <w:rFonts w:ascii="Arial" w:hAnsi="Arial" w:cs="Arial"/>
                <w:sz w:val="12"/>
                <w:szCs w:val="12"/>
              </w:rPr>
            </w:pPr>
          </w:p>
        </w:tc>
        <w:tc>
          <w:tcPr>
            <w:tcW w:w="1843" w:type="dxa"/>
            <w:shd w:val="clear" w:color="auto" w:fill="auto"/>
          </w:tcPr>
          <w:p w14:paraId="272E892F" w14:textId="77777777" w:rsidR="002A4DDF" w:rsidRPr="00937C8B" w:rsidRDefault="002A4DDF" w:rsidP="009110ED">
            <w:pPr>
              <w:rPr>
                <w:rFonts w:ascii="Arial" w:hAnsi="Arial" w:cs="Arial"/>
                <w:sz w:val="12"/>
                <w:szCs w:val="12"/>
              </w:rPr>
            </w:pPr>
          </w:p>
        </w:tc>
        <w:tc>
          <w:tcPr>
            <w:tcW w:w="2268" w:type="dxa"/>
            <w:shd w:val="clear" w:color="auto" w:fill="F2F2F2"/>
            <w:hideMark/>
          </w:tcPr>
          <w:p w14:paraId="3F518739" w14:textId="77777777" w:rsidR="002A4DDF" w:rsidRPr="00937C8B" w:rsidRDefault="002A4DDF" w:rsidP="009110ED">
            <w:pPr>
              <w:rPr>
                <w:rFonts w:ascii="Arial" w:hAnsi="Arial" w:cs="Arial"/>
                <w:sz w:val="12"/>
                <w:szCs w:val="12"/>
              </w:rPr>
            </w:pPr>
            <w:r>
              <w:rPr>
                <w:rFonts w:ascii="Arial" w:hAnsi="Arial"/>
                <w:sz w:val="12"/>
                <w:szCs w:val="12"/>
              </w:rPr>
              <w:t>Salou</w:t>
            </w:r>
          </w:p>
        </w:tc>
        <w:tc>
          <w:tcPr>
            <w:tcW w:w="2268" w:type="dxa"/>
            <w:tcBorders>
              <w:right w:val="single" w:sz="4" w:space="0" w:color="auto"/>
            </w:tcBorders>
            <w:shd w:val="clear" w:color="auto" w:fill="D9D9D9"/>
            <w:hideMark/>
          </w:tcPr>
          <w:p w14:paraId="35BD638F" w14:textId="77777777" w:rsidR="002A4DDF" w:rsidRPr="00937C8B" w:rsidRDefault="002A4DDF" w:rsidP="009110ED">
            <w:pPr>
              <w:rPr>
                <w:rFonts w:ascii="Arial" w:hAnsi="Arial" w:cs="Arial"/>
                <w:sz w:val="12"/>
                <w:szCs w:val="12"/>
              </w:rPr>
            </w:pPr>
          </w:p>
        </w:tc>
      </w:tr>
      <w:tr w:rsidR="002A4DDF" w:rsidRPr="00937C8B" w14:paraId="6CB8945A" w14:textId="77777777" w:rsidTr="00935676">
        <w:trPr>
          <w:cantSplit/>
        </w:trPr>
        <w:tc>
          <w:tcPr>
            <w:tcW w:w="1696" w:type="dxa"/>
            <w:tcBorders>
              <w:left w:val="single" w:sz="4" w:space="0" w:color="auto"/>
            </w:tcBorders>
            <w:shd w:val="clear" w:color="auto" w:fill="auto"/>
          </w:tcPr>
          <w:p w14:paraId="6C5D4F4A" w14:textId="77777777" w:rsidR="002A4DDF" w:rsidRPr="00937C8B" w:rsidRDefault="002A4DDF" w:rsidP="009110ED">
            <w:pPr>
              <w:rPr>
                <w:rFonts w:ascii="Arial" w:hAnsi="Arial" w:cs="Arial"/>
                <w:sz w:val="12"/>
                <w:szCs w:val="12"/>
              </w:rPr>
            </w:pPr>
          </w:p>
        </w:tc>
        <w:tc>
          <w:tcPr>
            <w:tcW w:w="1843" w:type="dxa"/>
            <w:shd w:val="clear" w:color="auto" w:fill="auto"/>
          </w:tcPr>
          <w:p w14:paraId="52B7A8E4" w14:textId="77777777" w:rsidR="002A4DDF" w:rsidRPr="00937C8B" w:rsidRDefault="002A4DDF" w:rsidP="009110ED">
            <w:pPr>
              <w:rPr>
                <w:rFonts w:ascii="Arial" w:hAnsi="Arial" w:cs="Arial"/>
                <w:sz w:val="12"/>
                <w:szCs w:val="12"/>
              </w:rPr>
            </w:pPr>
          </w:p>
        </w:tc>
        <w:tc>
          <w:tcPr>
            <w:tcW w:w="2268" w:type="dxa"/>
            <w:shd w:val="clear" w:color="auto" w:fill="F2F2F2"/>
            <w:hideMark/>
          </w:tcPr>
          <w:p w14:paraId="6AD718F4" w14:textId="77777777" w:rsidR="002A4DDF" w:rsidRPr="00937C8B" w:rsidRDefault="002A4DDF" w:rsidP="009110ED">
            <w:pPr>
              <w:rPr>
                <w:rFonts w:ascii="Arial" w:hAnsi="Arial" w:cs="Arial"/>
                <w:sz w:val="12"/>
                <w:szCs w:val="12"/>
              </w:rPr>
            </w:pPr>
            <w:r>
              <w:rPr>
                <w:rFonts w:ascii="Arial" w:hAnsi="Arial"/>
                <w:sz w:val="12"/>
                <w:szCs w:val="12"/>
              </w:rPr>
              <w:t>Tarragone</w:t>
            </w:r>
          </w:p>
        </w:tc>
        <w:tc>
          <w:tcPr>
            <w:tcW w:w="2268" w:type="dxa"/>
            <w:tcBorders>
              <w:right w:val="single" w:sz="4" w:space="0" w:color="auto"/>
            </w:tcBorders>
            <w:shd w:val="clear" w:color="auto" w:fill="D9D9D9"/>
            <w:hideMark/>
          </w:tcPr>
          <w:p w14:paraId="58E53895" w14:textId="77777777" w:rsidR="002A4DDF" w:rsidRPr="00937C8B" w:rsidRDefault="002A4DDF" w:rsidP="009110ED">
            <w:pPr>
              <w:rPr>
                <w:rFonts w:ascii="Arial" w:hAnsi="Arial" w:cs="Arial"/>
                <w:sz w:val="12"/>
                <w:szCs w:val="12"/>
              </w:rPr>
            </w:pPr>
          </w:p>
        </w:tc>
      </w:tr>
      <w:tr w:rsidR="002A4DDF" w:rsidRPr="00937C8B" w14:paraId="6294D135" w14:textId="77777777" w:rsidTr="00935676">
        <w:trPr>
          <w:cantSplit/>
        </w:trPr>
        <w:tc>
          <w:tcPr>
            <w:tcW w:w="1696" w:type="dxa"/>
            <w:tcBorders>
              <w:left w:val="single" w:sz="4" w:space="0" w:color="auto"/>
            </w:tcBorders>
            <w:shd w:val="clear" w:color="auto" w:fill="auto"/>
          </w:tcPr>
          <w:p w14:paraId="002033F0" w14:textId="77777777" w:rsidR="002A4DDF" w:rsidRPr="00937C8B" w:rsidRDefault="002A4DDF" w:rsidP="009110ED">
            <w:pPr>
              <w:rPr>
                <w:rFonts w:ascii="Arial" w:hAnsi="Arial" w:cs="Arial"/>
                <w:sz w:val="12"/>
                <w:szCs w:val="12"/>
              </w:rPr>
            </w:pPr>
          </w:p>
        </w:tc>
        <w:tc>
          <w:tcPr>
            <w:tcW w:w="1843" w:type="dxa"/>
            <w:shd w:val="clear" w:color="auto" w:fill="auto"/>
          </w:tcPr>
          <w:p w14:paraId="6E753FBF" w14:textId="77777777" w:rsidR="002A4DDF" w:rsidRPr="00937C8B" w:rsidRDefault="002A4DDF" w:rsidP="009110ED">
            <w:pPr>
              <w:rPr>
                <w:rFonts w:ascii="Arial" w:hAnsi="Arial" w:cs="Arial"/>
                <w:sz w:val="12"/>
                <w:szCs w:val="12"/>
              </w:rPr>
            </w:pPr>
          </w:p>
        </w:tc>
        <w:tc>
          <w:tcPr>
            <w:tcW w:w="2268" w:type="dxa"/>
            <w:shd w:val="clear" w:color="auto" w:fill="F2F2F2"/>
            <w:hideMark/>
          </w:tcPr>
          <w:p w14:paraId="231B801F" w14:textId="77777777" w:rsidR="002A4DDF" w:rsidRPr="00937C8B" w:rsidRDefault="002A4DDF" w:rsidP="009110ED">
            <w:pPr>
              <w:rPr>
                <w:rFonts w:ascii="Arial" w:hAnsi="Arial" w:cs="Arial"/>
                <w:sz w:val="12"/>
                <w:szCs w:val="12"/>
              </w:rPr>
            </w:pPr>
            <w:r>
              <w:rPr>
                <w:rFonts w:ascii="Arial" w:hAnsi="Arial"/>
                <w:sz w:val="12"/>
                <w:szCs w:val="12"/>
              </w:rPr>
              <w:t>Vallfogona de Riucorb</w:t>
            </w:r>
          </w:p>
        </w:tc>
        <w:tc>
          <w:tcPr>
            <w:tcW w:w="2268" w:type="dxa"/>
            <w:tcBorders>
              <w:right w:val="single" w:sz="4" w:space="0" w:color="auto"/>
            </w:tcBorders>
            <w:shd w:val="clear" w:color="auto" w:fill="D9D9D9"/>
            <w:hideMark/>
          </w:tcPr>
          <w:p w14:paraId="710EDF2E" w14:textId="77777777" w:rsidR="002A4DDF" w:rsidRPr="00937C8B" w:rsidRDefault="002A4DDF" w:rsidP="009110ED">
            <w:pPr>
              <w:rPr>
                <w:rFonts w:ascii="Arial" w:hAnsi="Arial" w:cs="Arial"/>
                <w:sz w:val="12"/>
                <w:szCs w:val="12"/>
              </w:rPr>
            </w:pPr>
          </w:p>
        </w:tc>
      </w:tr>
      <w:tr w:rsidR="002A4DDF" w:rsidRPr="00937C8B" w14:paraId="58FBC848" w14:textId="77777777" w:rsidTr="00935676">
        <w:trPr>
          <w:cantSplit/>
        </w:trPr>
        <w:tc>
          <w:tcPr>
            <w:tcW w:w="1696" w:type="dxa"/>
            <w:tcBorders>
              <w:left w:val="single" w:sz="4" w:space="0" w:color="auto"/>
            </w:tcBorders>
            <w:shd w:val="clear" w:color="auto" w:fill="auto"/>
          </w:tcPr>
          <w:p w14:paraId="022AD4DF" w14:textId="77777777" w:rsidR="002A4DDF" w:rsidRPr="00937C8B" w:rsidRDefault="002A4DDF" w:rsidP="009110ED">
            <w:pPr>
              <w:rPr>
                <w:rFonts w:ascii="Arial" w:hAnsi="Arial" w:cs="Arial"/>
                <w:sz w:val="12"/>
                <w:szCs w:val="12"/>
              </w:rPr>
            </w:pPr>
          </w:p>
        </w:tc>
        <w:tc>
          <w:tcPr>
            <w:tcW w:w="1843" w:type="dxa"/>
            <w:shd w:val="clear" w:color="auto" w:fill="auto"/>
          </w:tcPr>
          <w:p w14:paraId="403510BB" w14:textId="77777777" w:rsidR="002A4DDF" w:rsidRPr="00937C8B" w:rsidRDefault="002A4DDF" w:rsidP="009110ED">
            <w:pPr>
              <w:rPr>
                <w:rFonts w:ascii="Arial" w:hAnsi="Arial" w:cs="Arial"/>
                <w:sz w:val="12"/>
                <w:szCs w:val="12"/>
              </w:rPr>
            </w:pPr>
          </w:p>
        </w:tc>
        <w:tc>
          <w:tcPr>
            <w:tcW w:w="2268" w:type="dxa"/>
            <w:shd w:val="clear" w:color="auto" w:fill="F2F2F2"/>
            <w:hideMark/>
          </w:tcPr>
          <w:p w14:paraId="4ECFA5BC" w14:textId="77777777" w:rsidR="002A4DDF" w:rsidRPr="00937C8B" w:rsidRDefault="002A4DDF" w:rsidP="009110ED">
            <w:pPr>
              <w:rPr>
                <w:rFonts w:ascii="Arial" w:hAnsi="Arial" w:cs="Arial"/>
                <w:sz w:val="12"/>
                <w:szCs w:val="12"/>
              </w:rPr>
            </w:pPr>
            <w:r>
              <w:rPr>
                <w:rFonts w:ascii="Arial" w:hAnsi="Arial"/>
                <w:sz w:val="12"/>
                <w:szCs w:val="12"/>
              </w:rPr>
              <w:t>Vandellòs i l'Hospitalet de l'Infant</w:t>
            </w:r>
          </w:p>
        </w:tc>
        <w:tc>
          <w:tcPr>
            <w:tcW w:w="2268" w:type="dxa"/>
            <w:tcBorders>
              <w:right w:val="single" w:sz="4" w:space="0" w:color="auto"/>
            </w:tcBorders>
            <w:shd w:val="clear" w:color="auto" w:fill="D9D9D9"/>
            <w:hideMark/>
          </w:tcPr>
          <w:p w14:paraId="0F15F8F0" w14:textId="77777777" w:rsidR="002A4DDF" w:rsidRPr="00937C8B" w:rsidRDefault="002A4DDF" w:rsidP="009110ED">
            <w:pPr>
              <w:rPr>
                <w:rFonts w:ascii="Arial" w:hAnsi="Arial" w:cs="Arial"/>
                <w:sz w:val="12"/>
                <w:szCs w:val="12"/>
              </w:rPr>
            </w:pPr>
          </w:p>
        </w:tc>
      </w:tr>
      <w:tr w:rsidR="002A4DDF" w:rsidRPr="00937C8B" w14:paraId="50E87E3E" w14:textId="77777777" w:rsidTr="00935676">
        <w:trPr>
          <w:cantSplit/>
        </w:trPr>
        <w:tc>
          <w:tcPr>
            <w:tcW w:w="1696" w:type="dxa"/>
            <w:tcBorders>
              <w:left w:val="single" w:sz="4" w:space="0" w:color="auto"/>
            </w:tcBorders>
            <w:shd w:val="clear" w:color="auto" w:fill="auto"/>
          </w:tcPr>
          <w:p w14:paraId="4E3F5BBB" w14:textId="77777777" w:rsidR="002A4DDF" w:rsidRPr="00937C8B" w:rsidRDefault="002A4DDF" w:rsidP="009110ED">
            <w:pPr>
              <w:rPr>
                <w:rFonts w:ascii="Arial" w:hAnsi="Arial" w:cs="Arial"/>
                <w:sz w:val="12"/>
                <w:szCs w:val="12"/>
              </w:rPr>
            </w:pPr>
          </w:p>
        </w:tc>
        <w:tc>
          <w:tcPr>
            <w:tcW w:w="1843" w:type="dxa"/>
            <w:shd w:val="clear" w:color="auto" w:fill="auto"/>
          </w:tcPr>
          <w:p w14:paraId="6FAEEC26" w14:textId="77777777" w:rsidR="002A4DDF" w:rsidRPr="00937C8B" w:rsidRDefault="002A4DDF" w:rsidP="009110ED">
            <w:pPr>
              <w:rPr>
                <w:rFonts w:ascii="Arial" w:hAnsi="Arial" w:cs="Arial"/>
                <w:sz w:val="12"/>
                <w:szCs w:val="12"/>
              </w:rPr>
            </w:pPr>
          </w:p>
        </w:tc>
        <w:tc>
          <w:tcPr>
            <w:tcW w:w="2268" w:type="dxa"/>
            <w:shd w:val="clear" w:color="auto" w:fill="F2F2F2"/>
            <w:hideMark/>
          </w:tcPr>
          <w:p w14:paraId="24A65821" w14:textId="77777777" w:rsidR="002A4DDF" w:rsidRPr="00937C8B" w:rsidRDefault="002A4DDF" w:rsidP="009110ED">
            <w:pPr>
              <w:rPr>
                <w:rFonts w:ascii="Arial" w:hAnsi="Arial" w:cs="Arial"/>
                <w:sz w:val="12"/>
                <w:szCs w:val="12"/>
              </w:rPr>
            </w:pPr>
            <w:r>
              <w:rPr>
                <w:rFonts w:ascii="Arial" w:hAnsi="Arial"/>
                <w:sz w:val="12"/>
                <w:szCs w:val="12"/>
              </w:rPr>
              <w:t>Vila-seca</w:t>
            </w:r>
          </w:p>
        </w:tc>
        <w:tc>
          <w:tcPr>
            <w:tcW w:w="2268" w:type="dxa"/>
            <w:tcBorders>
              <w:right w:val="single" w:sz="4" w:space="0" w:color="auto"/>
            </w:tcBorders>
            <w:shd w:val="clear" w:color="auto" w:fill="D9D9D9"/>
            <w:hideMark/>
          </w:tcPr>
          <w:p w14:paraId="1C8FBA3D" w14:textId="77777777" w:rsidR="002A4DDF" w:rsidRPr="00937C8B" w:rsidRDefault="002A4DDF" w:rsidP="009110ED">
            <w:pPr>
              <w:rPr>
                <w:rFonts w:ascii="Arial" w:hAnsi="Arial" w:cs="Arial"/>
                <w:sz w:val="12"/>
                <w:szCs w:val="12"/>
              </w:rPr>
            </w:pPr>
          </w:p>
        </w:tc>
      </w:tr>
      <w:tr w:rsidR="002A4DDF" w:rsidRPr="00937C8B" w14:paraId="6B2FCC79" w14:textId="77777777" w:rsidTr="00935676">
        <w:trPr>
          <w:cantSplit/>
        </w:trPr>
        <w:tc>
          <w:tcPr>
            <w:tcW w:w="1696" w:type="dxa"/>
            <w:tcBorders>
              <w:left w:val="single" w:sz="4" w:space="0" w:color="auto"/>
              <w:bottom w:val="single" w:sz="4" w:space="0" w:color="auto"/>
            </w:tcBorders>
            <w:shd w:val="clear" w:color="auto" w:fill="auto"/>
            <w:hideMark/>
          </w:tcPr>
          <w:p w14:paraId="023FE053" w14:textId="77777777" w:rsidR="002A4DDF" w:rsidRPr="00937C8B" w:rsidRDefault="002A4DDF" w:rsidP="009110ED">
            <w:pPr>
              <w:rPr>
                <w:rFonts w:ascii="Arial" w:hAnsi="Arial" w:cs="Arial"/>
                <w:sz w:val="12"/>
                <w:szCs w:val="12"/>
              </w:rPr>
            </w:pPr>
            <w:r>
              <w:rPr>
                <w:rFonts w:ascii="Arial" w:hAnsi="Arial"/>
                <w:sz w:val="12"/>
                <w:szCs w:val="12"/>
              </w:rPr>
              <w:t>Catalogne</w:t>
            </w:r>
          </w:p>
        </w:tc>
        <w:tc>
          <w:tcPr>
            <w:tcW w:w="1843" w:type="dxa"/>
            <w:tcBorders>
              <w:bottom w:val="single" w:sz="4" w:space="0" w:color="auto"/>
            </w:tcBorders>
            <w:shd w:val="clear" w:color="auto" w:fill="auto"/>
            <w:hideMark/>
          </w:tcPr>
          <w:p w14:paraId="678D94C9" w14:textId="77777777" w:rsidR="002A4DDF" w:rsidRPr="00937C8B" w:rsidRDefault="002A4DDF" w:rsidP="009110ED">
            <w:pPr>
              <w:rPr>
                <w:rFonts w:ascii="Arial" w:hAnsi="Arial" w:cs="Arial"/>
                <w:sz w:val="12"/>
                <w:szCs w:val="12"/>
              </w:rPr>
            </w:pPr>
            <w:r>
              <w:rPr>
                <w:rFonts w:ascii="Arial" w:hAnsi="Arial"/>
                <w:sz w:val="12"/>
                <w:szCs w:val="12"/>
              </w:rPr>
              <w:t>Tarragone</w:t>
            </w:r>
          </w:p>
        </w:tc>
        <w:tc>
          <w:tcPr>
            <w:tcW w:w="2268" w:type="dxa"/>
            <w:tcBorders>
              <w:bottom w:val="single" w:sz="4" w:space="0" w:color="auto"/>
            </w:tcBorders>
            <w:shd w:val="clear" w:color="auto" w:fill="F2F2F2"/>
            <w:hideMark/>
          </w:tcPr>
          <w:p w14:paraId="3D91CB8C" w14:textId="77777777" w:rsidR="002A4DDF" w:rsidRPr="00937C8B" w:rsidRDefault="002A4DDF" w:rsidP="009110ED">
            <w:pPr>
              <w:rPr>
                <w:rFonts w:ascii="Arial" w:hAnsi="Arial" w:cs="Arial"/>
                <w:sz w:val="12"/>
                <w:szCs w:val="12"/>
              </w:rPr>
            </w:pPr>
            <w:r>
              <w:rPr>
                <w:rFonts w:ascii="Arial" w:hAnsi="Arial"/>
                <w:sz w:val="12"/>
                <w:szCs w:val="12"/>
              </w:rPr>
              <w:t>Vinyols i els Arcs</w:t>
            </w:r>
          </w:p>
        </w:tc>
        <w:tc>
          <w:tcPr>
            <w:tcW w:w="2268" w:type="dxa"/>
            <w:tcBorders>
              <w:bottom w:val="single" w:sz="4" w:space="0" w:color="auto"/>
              <w:right w:val="single" w:sz="4" w:space="0" w:color="auto"/>
            </w:tcBorders>
            <w:shd w:val="clear" w:color="auto" w:fill="D9D9D9"/>
            <w:hideMark/>
          </w:tcPr>
          <w:p w14:paraId="1D3A9340" w14:textId="77777777" w:rsidR="002A4DDF" w:rsidRPr="00937C8B" w:rsidRDefault="002A4DDF" w:rsidP="009110ED">
            <w:pPr>
              <w:rPr>
                <w:rFonts w:ascii="Arial" w:hAnsi="Arial" w:cs="Arial"/>
                <w:sz w:val="12"/>
                <w:szCs w:val="12"/>
              </w:rPr>
            </w:pPr>
          </w:p>
        </w:tc>
      </w:tr>
      <w:tr w:rsidR="002A4DDF" w:rsidRPr="00937C8B" w14:paraId="1F5BB414" w14:textId="77777777" w:rsidTr="00935676">
        <w:trPr>
          <w:cantSplit/>
        </w:trPr>
        <w:tc>
          <w:tcPr>
            <w:tcW w:w="1696" w:type="dxa"/>
            <w:tcBorders>
              <w:top w:val="single" w:sz="4" w:space="0" w:color="auto"/>
              <w:bottom w:val="single" w:sz="4" w:space="0" w:color="auto"/>
            </w:tcBorders>
            <w:shd w:val="clear" w:color="auto" w:fill="auto"/>
            <w:hideMark/>
          </w:tcPr>
          <w:p w14:paraId="23C43013"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387514F5"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7EB1BC7D"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0398FE2D" w14:textId="77777777" w:rsidR="002A4DDF" w:rsidRPr="00937C8B" w:rsidRDefault="002A4DDF" w:rsidP="009110ED">
            <w:pPr>
              <w:rPr>
                <w:rFonts w:ascii="Arial" w:hAnsi="Arial" w:cs="Arial"/>
                <w:sz w:val="12"/>
                <w:szCs w:val="12"/>
              </w:rPr>
            </w:pPr>
          </w:p>
        </w:tc>
      </w:tr>
      <w:tr w:rsidR="002A4DDF" w:rsidRPr="00937C8B" w14:paraId="20B50606" w14:textId="77777777" w:rsidTr="00935676">
        <w:trPr>
          <w:cantSplit/>
        </w:trPr>
        <w:tc>
          <w:tcPr>
            <w:tcW w:w="1696" w:type="dxa"/>
            <w:tcBorders>
              <w:top w:val="single" w:sz="4" w:space="0" w:color="auto"/>
              <w:left w:val="single" w:sz="4" w:space="0" w:color="auto"/>
              <w:bottom w:val="single" w:sz="4" w:space="0" w:color="auto"/>
            </w:tcBorders>
            <w:shd w:val="clear" w:color="auto" w:fill="auto"/>
            <w:hideMark/>
          </w:tcPr>
          <w:p w14:paraId="1C1831CB" w14:textId="77777777" w:rsidR="002A4DDF" w:rsidRPr="00937C8B" w:rsidRDefault="002A4DDF" w:rsidP="009110ED">
            <w:pPr>
              <w:rPr>
                <w:rFonts w:ascii="Arial" w:hAnsi="Arial" w:cs="Arial"/>
                <w:sz w:val="12"/>
                <w:szCs w:val="12"/>
              </w:rPr>
            </w:pPr>
            <w:r>
              <w:rPr>
                <w:rFonts w:ascii="Arial" w:hAnsi="Arial"/>
                <w:sz w:val="12"/>
                <w:szCs w:val="12"/>
              </w:rPr>
              <w:t>Ciudad Autónoma de Ceuta</w:t>
            </w:r>
          </w:p>
        </w:tc>
        <w:tc>
          <w:tcPr>
            <w:tcW w:w="1843" w:type="dxa"/>
            <w:tcBorders>
              <w:top w:val="single" w:sz="4" w:space="0" w:color="auto"/>
              <w:bottom w:val="single" w:sz="4" w:space="0" w:color="auto"/>
            </w:tcBorders>
            <w:shd w:val="clear" w:color="auto" w:fill="auto"/>
            <w:hideMark/>
          </w:tcPr>
          <w:p w14:paraId="673AFA02" w14:textId="77777777" w:rsidR="002A4DDF" w:rsidRPr="00937C8B" w:rsidRDefault="002A4DDF" w:rsidP="009110ED">
            <w:pPr>
              <w:rPr>
                <w:rFonts w:ascii="Arial" w:hAnsi="Arial" w:cs="Arial"/>
                <w:sz w:val="12"/>
                <w:szCs w:val="12"/>
              </w:rPr>
            </w:pPr>
            <w:r>
              <w:rPr>
                <w:rFonts w:ascii="Arial" w:hAnsi="Arial"/>
                <w:sz w:val="12"/>
                <w:szCs w:val="12"/>
              </w:rPr>
              <w:t>Ceuta</w:t>
            </w:r>
          </w:p>
        </w:tc>
        <w:tc>
          <w:tcPr>
            <w:tcW w:w="2268" w:type="dxa"/>
            <w:tcBorders>
              <w:top w:val="single" w:sz="4" w:space="0" w:color="auto"/>
              <w:bottom w:val="single" w:sz="4" w:space="0" w:color="auto"/>
            </w:tcBorders>
            <w:shd w:val="clear" w:color="auto" w:fill="F2F2F2"/>
            <w:hideMark/>
          </w:tcPr>
          <w:p w14:paraId="5C960095"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right w:val="single" w:sz="4" w:space="0" w:color="auto"/>
            </w:tcBorders>
            <w:shd w:val="clear" w:color="auto" w:fill="D9D9D9"/>
            <w:hideMark/>
          </w:tcPr>
          <w:p w14:paraId="01A13684" w14:textId="77777777" w:rsidR="002A4DDF" w:rsidRPr="00937C8B" w:rsidRDefault="002A4DDF" w:rsidP="009110ED">
            <w:pPr>
              <w:rPr>
                <w:rFonts w:ascii="Arial" w:hAnsi="Arial" w:cs="Arial"/>
                <w:sz w:val="12"/>
                <w:szCs w:val="12"/>
              </w:rPr>
            </w:pPr>
            <w:r>
              <w:rPr>
                <w:rFonts w:ascii="Arial" w:hAnsi="Arial"/>
                <w:sz w:val="12"/>
                <w:szCs w:val="12"/>
              </w:rPr>
              <w:t>Ceuta</w:t>
            </w:r>
          </w:p>
        </w:tc>
      </w:tr>
      <w:tr w:rsidR="002A4DDF" w:rsidRPr="00937C8B" w14:paraId="1E1E7941" w14:textId="77777777" w:rsidTr="00935676">
        <w:trPr>
          <w:cantSplit/>
        </w:trPr>
        <w:tc>
          <w:tcPr>
            <w:tcW w:w="1696" w:type="dxa"/>
            <w:tcBorders>
              <w:top w:val="single" w:sz="4" w:space="0" w:color="auto"/>
              <w:bottom w:val="single" w:sz="4" w:space="0" w:color="auto"/>
            </w:tcBorders>
            <w:shd w:val="clear" w:color="auto" w:fill="auto"/>
            <w:hideMark/>
          </w:tcPr>
          <w:p w14:paraId="5BB4E421"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45A0A410"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3EC2C258"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50A67D37" w14:textId="77777777" w:rsidR="002A4DDF" w:rsidRPr="00937C8B" w:rsidRDefault="002A4DDF" w:rsidP="009110ED">
            <w:pPr>
              <w:rPr>
                <w:rFonts w:ascii="Arial" w:hAnsi="Arial" w:cs="Arial"/>
                <w:sz w:val="12"/>
                <w:szCs w:val="12"/>
              </w:rPr>
            </w:pPr>
          </w:p>
        </w:tc>
      </w:tr>
      <w:tr w:rsidR="002A4DDF" w:rsidRPr="00937C8B" w14:paraId="76970A04" w14:textId="77777777" w:rsidTr="00935676">
        <w:trPr>
          <w:cantSplit/>
        </w:trPr>
        <w:tc>
          <w:tcPr>
            <w:tcW w:w="1696" w:type="dxa"/>
            <w:tcBorders>
              <w:top w:val="single" w:sz="4" w:space="0" w:color="auto"/>
              <w:left w:val="single" w:sz="4" w:space="0" w:color="auto"/>
            </w:tcBorders>
            <w:shd w:val="clear" w:color="auto" w:fill="auto"/>
            <w:hideMark/>
          </w:tcPr>
          <w:p w14:paraId="121E7707" w14:textId="77777777" w:rsidR="002A4DDF" w:rsidRPr="00937C8B" w:rsidRDefault="002A4DDF" w:rsidP="009110ED">
            <w:pPr>
              <w:rPr>
                <w:rFonts w:ascii="Arial" w:hAnsi="Arial" w:cs="Arial"/>
                <w:sz w:val="12"/>
                <w:szCs w:val="12"/>
              </w:rPr>
            </w:pPr>
            <w:r>
              <w:rPr>
                <w:rFonts w:ascii="Arial" w:hAnsi="Arial"/>
                <w:sz w:val="12"/>
                <w:szCs w:val="12"/>
              </w:rPr>
              <w:t>Communauté de Madrid</w:t>
            </w:r>
          </w:p>
        </w:tc>
        <w:tc>
          <w:tcPr>
            <w:tcW w:w="1843" w:type="dxa"/>
            <w:tcBorders>
              <w:top w:val="single" w:sz="4" w:space="0" w:color="auto"/>
            </w:tcBorders>
            <w:shd w:val="clear" w:color="auto" w:fill="auto"/>
            <w:hideMark/>
          </w:tcPr>
          <w:p w14:paraId="35C8F4CD" w14:textId="77777777" w:rsidR="002A4DDF" w:rsidRPr="00937C8B" w:rsidRDefault="002A4DDF" w:rsidP="009110ED">
            <w:pPr>
              <w:rPr>
                <w:rFonts w:ascii="Arial" w:hAnsi="Arial" w:cs="Arial"/>
                <w:sz w:val="12"/>
                <w:szCs w:val="12"/>
              </w:rPr>
            </w:pPr>
            <w:r>
              <w:rPr>
                <w:rFonts w:ascii="Arial" w:hAnsi="Arial"/>
                <w:sz w:val="12"/>
                <w:szCs w:val="12"/>
              </w:rPr>
              <w:t>Madrid</w:t>
            </w:r>
          </w:p>
        </w:tc>
        <w:tc>
          <w:tcPr>
            <w:tcW w:w="2268" w:type="dxa"/>
            <w:tcBorders>
              <w:top w:val="single" w:sz="4" w:space="0" w:color="auto"/>
            </w:tcBorders>
            <w:shd w:val="clear" w:color="auto" w:fill="F2F2F2"/>
            <w:hideMark/>
          </w:tcPr>
          <w:p w14:paraId="79642B38" w14:textId="77777777" w:rsidR="002A4DDF" w:rsidRPr="00937C8B" w:rsidRDefault="002A4DDF" w:rsidP="009110ED">
            <w:pPr>
              <w:rPr>
                <w:rFonts w:ascii="Arial" w:hAnsi="Arial" w:cs="Arial"/>
                <w:sz w:val="12"/>
                <w:szCs w:val="12"/>
              </w:rPr>
            </w:pPr>
            <w:r>
              <w:rPr>
                <w:rFonts w:ascii="Arial" w:hAnsi="Arial"/>
                <w:sz w:val="12"/>
                <w:szCs w:val="12"/>
              </w:rPr>
              <w:t>Ajalvir</w:t>
            </w:r>
          </w:p>
        </w:tc>
        <w:tc>
          <w:tcPr>
            <w:tcW w:w="2268" w:type="dxa"/>
            <w:tcBorders>
              <w:top w:val="single" w:sz="4" w:space="0" w:color="auto"/>
              <w:right w:val="single" w:sz="4" w:space="0" w:color="auto"/>
            </w:tcBorders>
            <w:shd w:val="clear" w:color="auto" w:fill="D9D9D9"/>
            <w:hideMark/>
          </w:tcPr>
          <w:p w14:paraId="12DAFFE1" w14:textId="77777777" w:rsidR="002A4DDF" w:rsidRPr="00937C8B" w:rsidRDefault="002A4DDF" w:rsidP="009110ED">
            <w:pPr>
              <w:rPr>
                <w:rFonts w:ascii="Arial" w:hAnsi="Arial" w:cs="Arial"/>
                <w:sz w:val="12"/>
                <w:szCs w:val="12"/>
              </w:rPr>
            </w:pPr>
            <w:r>
              <w:rPr>
                <w:rFonts w:ascii="Arial" w:hAnsi="Arial"/>
                <w:sz w:val="12"/>
                <w:szCs w:val="12"/>
              </w:rPr>
              <w:t>Aldea del Fresno</w:t>
            </w:r>
          </w:p>
        </w:tc>
      </w:tr>
      <w:tr w:rsidR="002A4DDF" w:rsidRPr="00937C8B" w14:paraId="66407F91" w14:textId="77777777" w:rsidTr="00935676">
        <w:trPr>
          <w:cantSplit/>
        </w:trPr>
        <w:tc>
          <w:tcPr>
            <w:tcW w:w="1696" w:type="dxa"/>
            <w:tcBorders>
              <w:left w:val="single" w:sz="4" w:space="0" w:color="auto"/>
            </w:tcBorders>
            <w:shd w:val="clear" w:color="auto" w:fill="auto"/>
          </w:tcPr>
          <w:p w14:paraId="1B682CE6" w14:textId="77777777" w:rsidR="002A4DDF" w:rsidRPr="00937C8B" w:rsidRDefault="002A4DDF" w:rsidP="009110ED">
            <w:pPr>
              <w:rPr>
                <w:rFonts w:ascii="Arial" w:hAnsi="Arial" w:cs="Arial"/>
                <w:sz w:val="12"/>
                <w:szCs w:val="12"/>
              </w:rPr>
            </w:pPr>
          </w:p>
        </w:tc>
        <w:tc>
          <w:tcPr>
            <w:tcW w:w="1843" w:type="dxa"/>
            <w:shd w:val="clear" w:color="auto" w:fill="auto"/>
          </w:tcPr>
          <w:p w14:paraId="068F2755" w14:textId="77777777" w:rsidR="002A4DDF" w:rsidRPr="00937C8B" w:rsidRDefault="002A4DDF" w:rsidP="009110ED">
            <w:pPr>
              <w:rPr>
                <w:rFonts w:ascii="Arial" w:hAnsi="Arial" w:cs="Arial"/>
                <w:sz w:val="12"/>
                <w:szCs w:val="12"/>
              </w:rPr>
            </w:pPr>
          </w:p>
        </w:tc>
        <w:tc>
          <w:tcPr>
            <w:tcW w:w="2268" w:type="dxa"/>
            <w:shd w:val="clear" w:color="auto" w:fill="F2F2F2"/>
            <w:hideMark/>
          </w:tcPr>
          <w:p w14:paraId="3CE4AF10" w14:textId="77777777" w:rsidR="002A4DDF" w:rsidRPr="00937C8B" w:rsidRDefault="002A4DDF" w:rsidP="009110ED">
            <w:pPr>
              <w:rPr>
                <w:rFonts w:ascii="Arial" w:hAnsi="Arial" w:cs="Arial"/>
                <w:sz w:val="12"/>
                <w:szCs w:val="12"/>
              </w:rPr>
            </w:pPr>
            <w:r>
              <w:rPr>
                <w:rFonts w:ascii="Arial" w:hAnsi="Arial"/>
                <w:sz w:val="12"/>
                <w:szCs w:val="12"/>
              </w:rPr>
              <w:t>Alameda del Valle</w:t>
            </w:r>
          </w:p>
        </w:tc>
        <w:tc>
          <w:tcPr>
            <w:tcW w:w="2268" w:type="dxa"/>
            <w:tcBorders>
              <w:right w:val="single" w:sz="4" w:space="0" w:color="auto"/>
            </w:tcBorders>
            <w:shd w:val="clear" w:color="auto" w:fill="D9D9D9"/>
            <w:hideMark/>
          </w:tcPr>
          <w:p w14:paraId="2C1CC1B8" w14:textId="77777777" w:rsidR="002A4DDF" w:rsidRPr="00937C8B" w:rsidRDefault="002A4DDF" w:rsidP="009110ED">
            <w:pPr>
              <w:rPr>
                <w:rFonts w:ascii="Arial" w:hAnsi="Arial" w:cs="Arial"/>
                <w:sz w:val="12"/>
                <w:szCs w:val="12"/>
              </w:rPr>
            </w:pPr>
            <w:r>
              <w:rPr>
                <w:rFonts w:ascii="Arial" w:hAnsi="Arial"/>
                <w:sz w:val="12"/>
                <w:szCs w:val="12"/>
              </w:rPr>
              <w:t>Alpedrete</w:t>
            </w:r>
          </w:p>
        </w:tc>
      </w:tr>
      <w:tr w:rsidR="002A4DDF" w:rsidRPr="00937C8B" w14:paraId="423CA7A6" w14:textId="77777777" w:rsidTr="00935676">
        <w:trPr>
          <w:cantSplit/>
        </w:trPr>
        <w:tc>
          <w:tcPr>
            <w:tcW w:w="1696" w:type="dxa"/>
            <w:tcBorders>
              <w:left w:val="single" w:sz="4" w:space="0" w:color="auto"/>
            </w:tcBorders>
            <w:shd w:val="clear" w:color="auto" w:fill="auto"/>
          </w:tcPr>
          <w:p w14:paraId="536AC1B4" w14:textId="77777777" w:rsidR="002A4DDF" w:rsidRPr="00937C8B" w:rsidRDefault="002A4DDF" w:rsidP="009110ED">
            <w:pPr>
              <w:rPr>
                <w:rFonts w:ascii="Arial" w:hAnsi="Arial" w:cs="Arial"/>
                <w:sz w:val="12"/>
                <w:szCs w:val="12"/>
              </w:rPr>
            </w:pPr>
          </w:p>
        </w:tc>
        <w:tc>
          <w:tcPr>
            <w:tcW w:w="1843" w:type="dxa"/>
            <w:shd w:val="clear" w:color="auto" w:fill="auto"/>
          </w:tcPr>
          <w:p w14:paraId="41960309" w14:textId="77777777" w:rsidR="002A4DDF" w:rsidRPr="00937C8B" w:rsidRDefault="002A4DDF" w:rsidP="009110ED">
            <w:pPr>
              <w:rPr>
                <w:rFonts w:ascii="Arial" w:hAnsi="Arial" w:cs="Arial"/>
                <w:sz w:val="12"/>
                <w:szCs w:val="12"/>
              </w:rPr>
            </w:pPr>
          </w:p>
        </w:tc>
        <w:tc>
          <w:tcPr>
            <w:tcW w:w="2268" w:type="dxa"/>
            <w:shd w:val="clear" w:color="auto" w:fill="F2F2F2"/>
            <w:hideMark/>
          </w:tcPr>
          <w:p w14:paraId="32FF58A5" w14:textId="77777777" w:rsidR="002A4DDF" w:rsidRPr="00937C8B" w:rsidRDefault="002A4DDF" w:rsidP="009110ED">
            <w:pPr>
              <w:rPr>
                <w:rFonts w:ascii="Arial" w:hAnsi="Arial" w:cs="Arial"/>
                <w:sz w:val="12"/>
                <w:szCs w:val="12"/>
              </w:rPr>
            </w:pPr>
            <w:r>
              <w:rPr>
                <w:rFonts w:ascii="Arial" w:hAnsi="Arial"/>
                <w:sz w:val="12"/>
                <w:szCs w:val="12"/>
              </w:rPr>
              <w:t>Alcalá de Henares</w:t>
            </w:r>
          </w:p>
        </w:tc>
        <w:tc>
          <w:tcPr>
            <w:tcW w:w="2268" w:type="dxa"/>
            <w:tcBorders>
              <w:right w:val="single" w:sz="4" w:space="0" w:color="auto"/>
            </w:tcBorders>
            <w:shd w:val="clear" w:color="auto" w:fill="D9D9D9"/>
            <w:hideMark/>
          </w:tcPr>
          <w:p w14:paraId="08F88CC2" w14:textId="77777777" w:rsidR="002A4DDF" w:rsidRPr="00937C8B" w:rsidRDefault="002A4DDF" w:rsidP="009110ED">
            <w:pPr>
              <w:rPr>
                <w:rFonts w:ascii="Arial" w:hAnsi="Arial" w:cs="Arial"/>
                <w:sz w:val="12"/>
                <w:szCs w:val="12"/>
              </w:rPr>
            </w:pPr>
            <w:r>
              <w:rPr>
                <w:rFonts w:ascii="Arial" w:hAnsi="Arial"/>
                <w:sz w:val="12"/>
                <w:szCs w:val="12"/>
              </w:rPr>
              <w:t>Becerril de la Sierra</w:t>
            </w:r>
          </w:p>
        </w:tc>
      </w:tr>
      <w:tr w:rsidR="002A4DDF" w:rsidRPr="00937C8B" w14:paraId="3CA0F0C9" w14:textId="77777777" w:rsidTr="00935676">
        <w:trPr>
          <w:cantSplit/>
        </w:trPr>
        <w:tc>
          <w:tcPr>
            <w:tcW w:w="1696" w:type="dxa"/>
            <w:tcBorders>
              <w:left w:val="single" w:sz="4" w:space="0" w:color="auto"/>
            </w:tcBorders>
            <w:shd w:val="clear" w:color="auto" w:fill="auto"/>
          </w:tcPr>
          <w:p w14:paraId="2BF8557C" w14:textId="77777777" w:rsidR="002A4DDF" w:rsidRPr="00937C8B" w:rsidRDefault="002A4DDF" w:rsidP="009110ED">
            <w:pPr>
              <w:rPr>
                <w:rFonts w:ascii="Arial" w:hAnsi="Arial" w:cs="Arial"/>
                <w:sz w:val="12"/>
                <w:szCs w:val="12"/>
              </w:rPr>
            </w:pPr>
          </w:p>
        </w:tc>
        <w:tc>
          <w:tcPr>
            <w:tcW w:w="1843" w:type="dxa"/>
            <w:shd w:val="clear" w:color="auto" w:fill="auto"/>
          </w:tcPr>
          <w:p w14:paraId="70F44924" w14:textId="77777777" w:rsidR="002A4DDF" w:rsidRPr="00937C8B" w:rsidRDefault="002A4DDF" w:rsidP="009110ED">
            <w:pPr>
              <w:rPr>
                <w:rFonts w:ascii="Arial" w:hAnsi="Arial" w:cs="Arial"/>
                <w:sz w:val="12"/>
                <w:szCs w:val="12"/>
              </w:rPr>
            </w:pPr>
          </w:p>
        </w:tc>
        <w:tc>
          <w:tcPr>
            <w:tcW w:w="2268" w:type="dxa"/>
            <w:shd w:val="clear" w:color="auto" w:fill="F2F2F2"/>
            <w:hideMark/>
          </w:tcPr>
          <w:p w14:paraId="66A6D4C6" w14:textId="77777777" w:rsidR="002A4DDF" w:rsidRPr="00937C8B" w:rsidRDefault="002A4DDF" w:rsidP="009110ED">
            <w:pPr>
              <w:rPr>
                <w:rFonts w:ascii="Arial" w:hAnsi="Arial" w:cs="Arial"/>
                <w:sz w:val="12"/>
                <w:szCs w:val="12"/>
              </w:rPr>
            </w:pPr>
            <w:r>
              <w:rPr>
                <w:rFonts w:ascii="Arial" w:hAnsi="Arial"/>
                <w:sz w:val="12"/>
                <w:szCs w:val="12"/>
              </w:rPr>
              <w:t>Alcobendas</w:t>
            </w:r>
          </w:p>
        </w:tc>
        <w:tc>
          <w:tcPr>
            <w:tcW w:w="2268" w:type="dxa"/>
            <w:tcBorders>
              <w:right w:val="single" w:sz="4" w:space="0" w:color="auto"/>
            </w:tcBorders>
            <w:shd w:val="clear" w:color="auto" w:fill="D9D9D9"/>
            <w:hideMark/>
          </w:tcPr>
          <w:p w14:paraId="293DA2F2" w14:textId="77777777" w:rsidR="002A4DDF" w:rsidRPr="00937C8B" w:rsidRDefault="002A4DDF" w:rsidP="009110ED">
            <w:pPr>
              <w:rPr>
                <w:rFonts w:ascii="Arial" w:hAnsi="Arial" w:cs="Arial"/>
                <w:sz w:val="12"/>
                <w:szCs w:val="12"/>
              </w:rPr>
            </w:pPr>
            <w:r>
              <w:rPr>
                <w:rFonts w:ascii="Arial" w:hAnsi="Arial"/>
                <w:sz w:val="12"/>
                <w:szCs w:val="12"/>
              </w:rPr>
              <w:t>Berzosa del Lozoya</w:t>
            </w:r>
          </w:p>
        </w:tc>
      </w:tr>
      <w:tr w:rsidR="002A4DDF" w:rsidRPr="00937C8B" w14:paraId="4D5AC062" w14:textId="77777777" w:rsidTr="00935676">
        <w:trPr>
          <w:cantSplit/>
        </w:trPr>
        <w:tc>
          <w:tcPr>
            <w:tcW w:w="1696" w:type="dxa"/>
            <w:tcBorders>
              <w:left w:val="single" w:sz="4" w:space="0" w:color="auto"/>
            </w:tcBorders>
            <w:shd w:val="clear" w:color="auto" w:fill="auto"/>
          </w:tcPr>
          <w:p w14:paraId="054224D1" w14:textId="77777777" w:rsidR="002A4DDF" w:rsidRPr="00937C8B" w:rsidRDefault="002A4DDF" w:rsidP="009110ED">
            <w:pPr>
              <w:rPr>
                <w:rFonts w:ascii="Arial" w:hAnsi="Arial" w:cs="Arial"/>
                <w:sz w:val="12"/>
                <w:szCs w:val="12"/>
              </w:rPr>
            </w:pPr>
          </w:p>
        </w:tc>
        <w:tc>
          <w:tcPr>
            <w:tcW w:w="1843" w:type="dxa"/>
            <w:shd w:val="clear" w:color="auto" w:fill="auto"/>
          </w:tcPr>
          <w:p w14:paraId="558B1894" w14:textId="77777777" w:rsidR="002A4DDF" w:rsidRPr="00937C8B" w:rsidRDefault="002A4DDF" w:rsidP="009110ED">
            <w:pPr>
              <w:rPr>
                <w:rFonts w:ascii="Arial" w:hAnsi="Arial" w:cs="Arial"/>
                <w:sz w:val="12"/>
                <w:szCs w:val="12"/>
              </w:rPr>
            </w:pPr>
          </w:p>
        </w:tc>
        <w:tc>
          <w:tcPr>
            <w:tcW w:w="2268" w:type="dxa"/>
            <w:shd w:val="clear" w:color="auto" w:fill="F2F2F2"/>
            <w:hideMark/>
          </w:tcPr>
          <w:p w14:paraId="543AB783" w14:textId="77777777" w:rsidR="002A4DDF" w:rsidRPr="00937C8B" w:rsidRDefault="002A4DDF" w:rsidP="009110ED">
            <w:pPr>
              <w:rPr>
                <w:rFonts w:ascii="Arial" w:hAnsi="Arial" w:cs="Arial"/>
                <w:sz w:val="12"/>
                <w:szCs w:val="12"/>
              </w:rPr>
            </w:pPr>
            <w:r>
              <w:rPr>
                <w:rFonts w:ascii="Arial" w:hAnsi="Arial"/>
                <w:sz w:val="12"/>
                <w:szCs w:val="12"/>
              </w:rPr>
              <w:t>Alcorcón</w:t>
            </w:r>
          </w:p>
        </w:tc>
        <w:tc>
          <w:tcPr>
            <w:tcW w:w="2268" w:type="dxa"/>
            <w:tcBorders>
              <w:right w:val="single" w:sz="4" w:space="0" w:color="auto"/>
            </w:tcBorders>
            <w:shd w:val="clear" w:color="auto" w:fill="D9D9D9"/>
            <w:hideMark/>
          </w:tcPr>
          <w:p w14:paraId="6B9EFCF2" w14:textId="77777777" w:rsidR="002A4DDF" w:rsidRPr="00937C8B" w:rsidRDefault="002A4DDF" w:rsidP="009110ED">
            <w:pPr>
              <w:rPr>
                <w:rFonts w:ascii="Arial" w:hAnsi="Arial" w:cs="Arial"/>
                <w:sz w:val="12"/>
                <w:szCs w:val="12"/>
              </w:rPr>
            </w:pPr>
            <w:r>
              <w:rPr>
                <w:rFonts w:ascii="Arial" w:hAnsi="Arial"/>
                <w:sz w:val="12"/>
                <w:szCs w:val="12"/>
              </w:rPr>
              <w:t>Braojos</w:t>
            </w:r>
          </w:p>
        </w:tc>
      </w:tr>
      <w:tr w:rsidR="002A4DDF" w:rsidRPr="00937C8B" w14:paraId="60669DF1" w14:textId="77777777" w:rsidTr="00935676">
        <w:trPr>
          <w:cantSplit/>
        </w:trPr>
        <w:tc>
          <w:tcPr>
            <w:tcW w:w="1696" w:type="dxa"/>
            <w:tcBorders>
              <w:left w:val="single" w:sz="4" w:space="0" w:color="auto"/>
            </w:tcBorders>
            <w:shd w:val="clear" w:color="auto" w:fill="auto"/>
          </w:tcPr>
          <w:p w14:paraId="2D933BCE" w14:textId="77777777" w:rsidR="002A4DDF" w:rsidRPr="00937C8B" w:rsidRDefault="002A4DDF" w:rsidP="009110ED">
            <w:pPr>
              <w:rPr>
                <w:rFonts w:ascii="Arial" w:hAnsi="Arial" w:cs="Arial"/>
                <w:sz w:val="12"/>
                <w:szCs w:val="12"/>
              </w:rPr>
            </w:pPr>
          </w:p>
        </w:tc>
        <w:tc>
          <w:tcPr>
            <w:tcW w:w="1843" w:type="dxa"/>
            <w:shd w:val="clear" w:color="auto" w:fill="auto"/>
          </w:tcPr>
          <w:p w14:paraId="046A1D44" w14:textId="77777777" w:rsidR="002A4DDF" w:rsidRPr="00937C8B" w:rsidRDefault="002A4DDF" w:rsidP="009110ED">
            <w:pPr>
              <w:rPr>
                <w:rFonts w:ascii="Arial" w:hAnsi="Arial" w:cs="Arial"/>
                <w:sz w:val="12"/>
                <w:szCs w:val="12"/>
              </w:rPr>
            </w:pPr>
          </w:p>
        </w:tc>
        <w:tc>
          <w:tcPr>
            <w:tcW w:w="2268" w:type="dxa"/>
            <w:shd w:val="clear" w:color="auto" w:fill="F2F2F2"/>
            <w:hideMark/>
          </w:tcPr>
          <w:p w14:paraId="75F15B7E" w14:textId="77777777" w:rsidR="002A4DDF" w:rsidRPr="00937C8B" w:rsidRDefault="002A4DDF" w:rsidP="009110ED">
            <w:pPr>
              <w:rPr>
                <w:rFonts w:ascii="Arial" w:hAnsi="Arial" w:cs="Arial"/>
                <w:sz w:val="12"/>
                <w:szCs w:val="12"/>
              </w:rPr>
            </w:pPr>
            <w:r>
              <w:rPr>
                <w:rFonts w:ascii="Arial" w:hAnsi="Arial"/>
                <w:sz w:val="12"/>
                <w:szCs w:val="12"/>
              </w:rPr>
              <w:t>Algete</w:t>
            </w:r>
          </w:p>
        </w:tc>
        <w:tc>
          <w:tcPr>
            <w:tcW w:w="2268" w:type="dxa"/>
            <w:tcBorders>
              <w:right w:val="single" w:sz="4" w:space="0" w:color="auto"/>
            </w:tcBorders>
            <w:shd w:val="clear" w:color="auto" w:fill="D9D9D9"/>
            <w:hideMark/>
          </w:tcPr>
          <w:p w14:paraId="474FEDE7" w14:textId="77777777" w:rsidR="002A4DDF" w:rsidRPr="00937C8B" w:rsidRDefault="002A4DDF" w:rsidP="009110ED">
            <w:pPr>
              <w:rPr>
                <w:rFonts w:ascii="Arial" w:hAnsi="Arial" w:cs="Arial"/>
                <w:sz w:val="12"/>
                <w:szCs w:val="12"/>
              </w:rPr>
            </w:pPr>
            <w:r>
              <w:rPr>
                <w:rFonts w:ascii="Arial" w:hAnsi="Arial"/>
                <w:sz w:val="12"/>
                <w:szCs w:val="12"/>
              </w:rPr>
              <w:t>Brunete</w:t>
            </w:r>
          </w:p>
        </w:tc>
      </w:tr>
      <w:tr w:rsidR="002A4DDF" w:rsidRPr="00937C8B" w14:paraId="5AC87023" w14:textId="77777777" w:rsidTr="00935676">
        <w:trPr>
          <w:cantSplit/>
        </w:trPr>
        <w:tc>
          <w:tcPr>
            <w:tcW w:w="1696" w:type="dxa"/>
            <w:tcBorders>
              <w:left w:val="single" w:sz="4" w:space="0" w:color="auto"/>
            </w:tcBorders>
            <w:shd w:val="clear" w:color="auto" w:fill="auto"/>
          </w:tcPr>
          <w:p w14:paraId="5BC61D63" w14:textId="77777777" w:rsidR="002A4DDF" w:rsidRPr="00937C8B" w:rsidRDefault="002A4DDF" w:rsidP="009110ED">
            <w:pPr>
              <w:rPr>
                <w:rFonts w:ascii="Arial" w:hAnsi="Arial" w:cs="Arial"/>
                <w:sz w:val="12"/>
                <w:szCs w:val="12"/>
              </w:rPr>
            </w:pPr>
          </w:p>
        </w:tc>
        <w:tc>
          <w:tcPr>
            <w:tcW w:w="1843" w:type="dxa"/>
            <w:shd w:val="clear" w:color="auto" w:fill="auto"/>
          </w:tcPr>
          <w:p w14:paraId="5A623BF3" w14:textId="77777777" w:rsidR="002A4DDF" w:rsidRPr="00937C8B" w:rsidRDefault="002A4DDF" w:rsidP="009110ED">
            <w:pPr>
              <w:rPr>
                <w:rFonts w:ascii="Arial" w:hAnsi="Arial" w:cs="Arial"/>
                <w:sz w:val="12"/>
                <w:szCs w:val="12"/>
              </w:rPr>
            </w:pPr>
          </w:p>
        </w:tc>
        <w:tc>
          <w:tcPr>
            <w:tcW w:w="2268" w:type="dxa"/>
            <w:shd w:val="clear" w:color="auto" w:fill="F2F2F2"/>
            <w:hideMark/>
          </w:tcPr>
          <w:p w14:paraId="05A2C314" w14:textId="77777777" w:rsidR="002A4DDF" w:rsidRPr="00937C8B" w:rsidRDefault="002A4DDF" w:rsidP="009110ED">
            <w:pPr>
              <w:rPr>
                <w:rFonts w:ascii="Arial" w:hAnsi="Arial" w:cs="Arial"/>
                <w:sz w:val="12"/>
                <w:szCs w:val="12"/>
              </w:rPr>
            </w:pPr>
            <w:r>
              <w:rPr>
                <w:rFonts w:ascii="Arial" w:hAnsi="Arial"/>
                <w:sz w:val="12"/>
                <w:szCs w:val="12"/>
              </w:rPr>
              <w:t>Aranjuez</w:t>
            </w:r>
          </w:p>
        </w:tc>
        <w:tc>
          <w:tcPr>
            <w:tcW w:w="2268" w:type="dxa"/>
            <w:tcBorders>
              <w:right w:val="single" w:sz="4" w:space="0" w:color="auto"/>
            </w:tcBorders>
            <w:shd w:val="clear" w:color="auto" w:fill="D9D9D9"/>
            <w:hideMark/>
          </w:tcPr>
          <w:p w14:paraId="50229C06" w14:textId="77777777" w:rsidR="002A4DDF" w:rsidRPr="00937C8B" w:rsidRDefault="002A4DDF" w:rsidP="009110ED">
            <w:pPr>
              <w:rPr>
                <w:rFonts w:ascii="Arial" w:hAnsi="Arial" w:cs="Arial"/>
                <w:sz w:val="12"/>
                <w:szCs w:val="12"/>
              </w:rPr>
            </w:pPr>
            <w:r>
              <w:rPr>
                <w:rFonts w:ascii="Arial" w:hAnsi="Arial"/>
                <w:sz w:val="12"/>
                <w:szCs w:val="12"/>
              </w:rPr>
              <w:t>Buitrago del Lozoya</w:t>
            </w:r>
          </w:p>
        </w:tc>
      </w:tr>
      <w:tr w:rsidR="002A4DDF" w:rsidRPr="00937C8B" w14:paraId="569CE15B" w14:textId="77777777" w:rsidTr="00935676">
        <w:trPr>
          <w:cantSplit/>
        </w:trPr>
        <w:tc>
          <w:tcPr>
            <w:tcW w:w="1696" w:type="dxa"/>
            <w:tcBorders>
              <w:left w:val="single" w:sz="4" w:space="0" w:color="auto"/>
            </w:tcBorders>
            <w:shd w:val="clear" w:color="auto" w:fill="auto"/>
          </w:tcPr>
          <w:p w14:paraId="5682E660" w14:textId="77777777" w:rsidR="002A4DDF" w:rsidRPr="00937C8B" w:rsidRDefault="002A4DDF" w:rsidP="009110ED">
            <w:pPr>
              <w:rPr>
                <w:rFonts w:ascii="Arial" w:hAnsi="Arial" w:cs="Arial"/>
                <w:sz w:val="12"/>
                <w:szCs w:val="12"/>
              </w:rPr>
            </w:pPr>
          </w:p>
        </w:tc>
        <w:tc>
          <w:tcPr>
            <w:tcW w:w="1843" w:type="dxa"/>
            <w:shd w:val="clear" w:color="auto" w:fill="auto"/>
          </w:tcPr>
          <w:p w14:paraId="76CCCDC8" w14:textId="77777777" w:rsidR="002A4DDF" w:rsidRPr="00937C8B" w:rsidRDefault="002A4DDF" w:rsidP="009110ED">
            <w:pPr>
              <w:rPr>
                <w:rFonts w:ascii="Arial" w:hAnsi="Arial" w:cs="Arial"/>
                <w:sz w:val="12"/>
                <w:szCs w:val="12"/>
              </w:rPr>
            </w:pPr>
          </w:p>
        </w:tc>
        <w:tc>
          <w:tcPr>
            <w:tcW w:w="2268" w:type="dxa"/>
            <w:shd w:val="clear" w:color="auto" w:fill="F2F2F2"/>
            <w:hideMark/>
          </w:tcPr>
          <w:p w14:paraId="29FF7ADA" w14:textId="77777777" w:rsidR="002A4DDF" w:rsidRPr="00937C8B" w:rsidRDefault="002A4DDF" w:rsidP="009110ED">
            <w:pPr>
              <w:rPr>
                <w:rFonts w:ascii="Arial" w:hAnsi="Arial" w:cs="Arial"/>
                <w:sz w:val="12"/>
                <w:szCs w:val="12"/>
              </w:rPr>
            </w:pPr>
            <w:r>
              <w:rPr>
                <w:rFonts w:ascii="Arial" w:hAnsi="Arial"/>
                <w:sz w:val="12"/>
                <w:szCs w:val="12"/>
              </w:rPr>
              <w:t>Arganda del Rey</w:t>
            </w:r>
          </w:p>
        </w:tc>
        <w:tc>
          <w:tcPr>
            <w:tcW w:w="2268" w:type="dxa"/>
            <w:tcBorders>
              <w:right w:val="single" w:sz="4" w:space="0" w:color="auto"/>
            </w:tcBorders>
            <w:shd w:val="clear" w:color="auto" w:fill="D9D9D9"/>
            <w:hideMark/>
          </w:tcPr>
          <w:p w14:paraId="4918C726" w14:textId="77777777" w:rsidR="002A4DDF" w:rsidRPr="00937C8B" w:rsidRDefault="002A4DDF" w:rsidP="009110ED">
            <w:pPr>
              <w:rPr>
                <w:rFonts w:ascii="Arial" w:hAnsi="Arial" w:cs="Arial"/>
                <w:sz w:val="12"/>
                <w:szCs w:val="12"/>
              </w:rPr>
            </w:pPr>
            <w:r>
              <w:rPr>
                <w:rFonts w:ascii="Arial" w:hAnsi="Arial"/>
                <w:sz w:val="12"/>
                <w:szCs w:val="12"/>
              </w:rPr>
              <w:t>Bustarviejo</w:t>
            </w:r>
          </w:p>
        </w:tc>
      </w:tr>
      <w:tr w:rsidR="002A4DDF" w:rsidRPr="00937C8B" w14:paraId="74753760" w14:textId="77777777" w:rsidTr="00935676">
        <w:trPr>
          <w:cantSplit/>
        </w:trPr>
        <w:tc>
          <w:tcPr>
            <w:tcW w:w="1696" w:type="dxa"/>
            <w:tcBorders>
              <w:left w:val="single" w:sz="4" w:space="0" w:color="auto"/>
            </w:tcBorders>
            <w:shd w:val="clear" w:color="auto" w:fill="auto"/>
          </w:tcPr>
          <w:p w14:paraId="5B7E571E" w14:textId="77777777" w:rsidR="002A4DDF" w:rsidRPr="00937C8B" w:rsidRDefault="002A4DDF" w:rsidP="009110ED">
            <w:pPr>
              <w:rPr>
                <w:rFonts w:ascii="Arial" w:hAnsi="Arial" w:cs="Arial"/>
                <w:sz w:val="12"/>
                <w:szCs w:val="12"/>
              </w:rPr>
            </w:pPr>
          </w:p>
        </w:tc>
        <w:tc>
          <w:tcPr>
            <w:tcW w:w="1843" w:type="dxa"/>
            <w:shd w:val="clear" w:color="auto" w:fill="auto"/>
          </w:tcPr>
          <w:p w14:paraId="18E10BCB" w14:textId="77777777" w:rsidR="002A4DDF" w:rsidRPr="00937C8B" w:rsidRDefault="002A4DDF" w:rsidP="009110ED">
            <w:pPr>
              <w:rPr>
                <w:rFonts w:ascii="Arial" w:hAnsi="Arial" w:cs="Arial"/>
                <w:sz w:val="12"/>
                <w:szCs w:val="12"/>
              </w:rPr>
            </w:pPr>
          </w:p>
        </w:tc>
        <w:tc>
          <w:tcPr>
            <w:tcW w:w="2268" w:type="dxa"/>
            <w:shd w:val="clear" w:color="auto" w:fill="F2F2F2"/>
            <w:hideMark/>
          </w:tcPr>
          <w:p w14:paraId="0C8E21D2" w14:textId="77777777" w:rsidR="002A4DDF" w:rsidRPr="00937C8B" w:rsidRDefault="002A4DDF" w:rsidP="009110ED">
            <w:pPr>
              <w:rPr>
                <w:rFonts w:ascii="Arial" w:hAnsi="Arial" w:cs="Arial"/>
                <w:sz w:val="12"/>
                <w:szCs w:val="12"/>
              </w:rPr>
            </w:pPr>
            <w:r>
              <w:rPr>
                <w:rFonts w:ascii="Arial" w:hAnsi="Arial"/>
                <w:sz w:val="12"/>
                <w:szCs w:val="12"/>
              </w:rPr>
              <w:t>Batres</w:t>
            </w:r>
          </w:p>
        </w:tc>
        <w:tc>
          <w:tcPr>
            <w:tcW w:w="2268" w:type="dxa"/>
            <w:tcBorders>
              <w:right w:val="single" w:sz="4" w:space="0" w:color="auto"/>
            </w:tcBorders>
            <w:shd w:val="clear" w:color="auto" w:fill="D9D9D9"/>
            <w:hideMark/>
          </w:tcPr>
          <w:p w14:paraId="43B43C2C" w14:textId="77777777" w:rsidR="002A4DDF" w:rsidRPr="00937C8B" w:rsidRDefault="002A4DDF" w:rsidP="009110ED">
            <w:pPr>
              <w:rPr>
                <w:rFonts w:ascii="Arial" w:hAnsi="Arial" w:cs="Arial"/>
                <w:sz w:val="12"/>
                <w:szCs w:val="12"/>
              </w:rPr>
            </w:pPr>
            <w:r>
              <w:rPr>
                <w:rFonts w:ascii="Arial" w:hAnsi="Arial"/>
                <w:sz w:val="12"/>
                <w:szCs w:val="12"/>
              </w:rPr>
              <w:t>Cabanillas de la Sierra</w:t>
            </w:r>
          </w:p>
        </w:tc>
      </w:tr>
      <w:tr w:rsidR="002A4DDF" w:rsidRPr="00937C8B" w14:paraId="0D5CAB78" w14:textId="77777777" w:rsidTr="00935676">
        <w:trPr>
          <w:cantSplit/>
        </w:trPr>
        <w:tc>
          <w:tcPr>
            <w:tcW w:w="1696" w:type="dxa"/>
            <w:tcBorders>
              <w:left w:val="single" w:sz="4" w:space="0" w:color="auto"/>
            </w:tcBorders>
            <w:shd w:val="clear" w:color="auto" w:fill="auto"/>
          </w:tcPr>
          <w:p w14:paraId="4FDA6472" w14:textId="77777777" w:rsidR="002A4DDF" w:rsidRPr="00937C8B" w:rsidRDefault="002A4DDF" w:rsidP="009110ED">
            <w:pPr>
              <w:rPr>
                <w:rFonts w:ascii="Arial" w:hAnsi="Arial" w:cs="Arial"/>
                <w:sz w:val="12"/>
                <w:szCs w:val="12"/>
              </w:rPr>
            </w:pPr>
          </w:p>
        </w:tc>
        <w:tc>
          <w:tcPr>
            <w:tcW w:w="1843" w:type="dxa"/>
            <w:shd w:val="clear" w:color="auto" w:fill="auto"/>
          </w:tcPr>
          <w:p w14:paraId="084C4BF3" w14:textId="77777777" w:rsidR="002A4DDF" w:rsidRPr="00937C8B" w:rsidRDefault="002A4DDF" w:rsidP="009110ED">
            <w:pPr>
              <w:rPr>
                <w:rFonts w:ascii="Arial" w:hAnsi="Arial" w:cs="Arial"/>
                <w:sz w:val="12"/>
                <w:szCs w:val="12"/>
              </w:rPr>
            </w:pPr>
          </w:p>
        </w:tc>
        <w:tc>
          <w:tcPr>
            <w:tcW w:w="2268" w:type="dxa"/>
            <w:shd w:val="clear" w:color="auto" w:fill="F2F2F2"/>
            <w:hideMark/>
          </w:tcPr>
          <w:p w14:paraId="720A5748" w14:textId="77777777" w:rsidR="002A4DDF" w:rsidRPr="00937C8B" w:rsidRDefault="002A4DDF" w:rsidP="009110ED">
            <w:pPr>
              <w:rPr>
                <w:rFonts w:ascii="Arial" w:hAnsi="Arial" w:cs="Arial"/>
                <w:sz w:val="12"/>
                <w:szCs w:val="12"/>
              </w:rPr>
            </w:pPr>
            <w:r>
              <w:rPr>
                <w:rFonts w:ascii="Arial" w:hAnsi="Arial"/>
                <w:sz w:val="12"/>
                <w:szCs w:val="12"/>
              </w:rPr>
              <w:t>Camarma de Esteruelas</w:t>
            </w:r>
          </w:p>
        </w:tc>
        <w:tc>
          <w:tcPr>
            <w:tcW w:w="2268" w:type="dxa"/>
            <w:tcBorders>
              <w:right w:val="single" w:sz="4" w:space="0" w:color="auto"/>
            </w:tcBorders>
            <w:shd w:val="clear" w:color="auto" w:fill="D9D9D9"/>
            <w:hideMark/>
          </w:tcPr>
          <w:p w14:paraId="11C3533B" w14:textId="77777777" w:rsidR="002A4DDF" w:rsidRPr="00937C8B" w:rsidRDefault="002A4DDF" w:rsidP="009110ED">
            <w:pPr>
              <w:rPr>
                <w:rFonts w:ascii="Arial" w:hAnsi="Arial" w:cs="Arial"/>
                <w:sz w:val="12"/>
                <w:szCs w:val="12"/>
              </w:rPr>
            </w:pPr>
            <w:r>
              <w:rPr>
                <w:rFonts w:ascii="Arial" w:hAnsi="Arial"/>
                <w:sz w:val="12"/>
                <w:szCs w:val="12"/>
              </w:rPr>
              <w:t>Cadalso de los Vidrios</w:t>
            </w:r>
          </w:p>
        </w:tc>
      </w:tr>
      <w:tr w:rsidR="002A4DDF" w:rsidRPr="00937C8B" w14:paraId="11D75760" w14:textId="77777777" w:rsidTr="00935676">
        <w:trPr>
          <w:cantSplit/>
        </w:trPr>
        <w:tc>
          <w:tcPr>
            <w:tcW w:w="1696" w:type="dxa"/>
            <w:tcBorders>
              <w:left w:val="single" w:sz="4" w:space="0" w:color="auto"/>
            </w:tcBorders>
            <w:shd w:val="clear" w:color="auto" w:fill="auto"/>
          </w:tcPr>
          <w:p w14:paraId="372AD470" w14:textId="77777777" w:rsidR="002A4DDF" w:rsidRPr="00937C8B" w:rsidRDefault="002A4DDF" w:rsidP="009110ED">
            <w:pPr>
              <w:rPr>
                <w:rFonts w:ascii="Arial" w:hAnsi="Arial" w:cs="Arial"/>
                <w:sz w:val="12"/>
                <w:szCs w:val="12"/>
              </w:rPr>
            </w:pPr>
          </w:p>
        </w:tc>
        <w:tc>
          <w:tcPr>
            <w:tcW w:w="1843" w:type="dxa"/>
            <w:shd w:val="clear" w:color="auto" w:fill="auto"/>
          </w:tcPr>
          <w:p w14:paraId="0124AF39" w14:textId="77777777" w:rsidR="002A4DDF" w:rsidRPr="00937C8B" w:rsidRDefault="002A4DDF" w:rsidP="009110ED">
            <w:pPr>
              <w:rPr>
                <w:rFonts w:ascii="Arial" w:hAnsi="Arial" w:cs="Arial"/>
                <w:sz w:val="12"/>
                <w:szCs w:val="12"/>
              </w:rPr>
            </w:pPr>
          </w:p>
        </w:tc>
        <w:tc>
          <w:tcPr>
            <w:tcW w:w="2268" w:type="dxa"/>
            <w:shd w:val="clear" w:color="auto" w:fill="F2F2F2"/>
            <w:hideMark/>
          </w:tcPr>
          <w:p w14:paraId="7762CBB6" w14:textId="77777777" w:rsidR="002A4DDF" w:rsidRPr="00937C8B" w:rsidRDefault="002A4DDF" w:rsidP="009110ED">
            <w:pPr>
              <w:rPr>
                <w:rFonts w:ascii="Arial" w:hAnsi="Arial" w:cs="Arial"/>
                <w:sz w:val="12"/>
                <w:szCs w:val="12"/>
              </w:rPr>
            </w:pPr>
            <w:r>
              <w:rPr>
                <w:rFonts w:ascii="Arial" w:hAnsi="Arial"/>
                <w:sz w:val="12"/>
                <w:szCs w:val="12"/>
              </w:rPr>
              <w:t>Casarrubuelos</w:t>
            </w:r>
          </w:p>
        </w:tc>
        <w:tc>
          <w:tcPr>
            <w:tcW w:w="2268" w:type="dxa"/>
            <w:tcBorders>
              <w:right w:val="single" w:sz="4" w:space="0" w:color="auto"/>
            </w:tcBorders>
            <w:shd w:val="clear" w:color="auto" w:fill="D9D9D9"/>
            <w:hideMark/>
          </w:tcPr>
          <w:p w14:paraId="242DF331" w14:textId="77777777" w:rsidR="002A4DDF" w:rsidRPr="00937C8B" w:rsidRDefault="002A4DDF" w:rsidP="009110ED">
            <w:pPr>
              <w:rPr>
                <w:rFonts w:ascii="Arial" w:hAnsi="Arial" w:cs="Arial"/>
                <w:sz w:val="12"/>
                <w:szCs w:val="12"/>
              </w:rPr>
            </w:pPr>
            <w:r>
              <w:rPr>
                <w:rFonts w:ascii="Arial" w:hAnsi="Arial"/>
                <w:sz w:val="12"/>
                <w:szCs w:val="12"/>
              </w:rPr>
              <w:t>Canencia</w:t>
            </w:r>
          </w:p>
        </w:tc>
      </w:tr>
      <w:tr w:rsidR="002A4DDF" w:rsidRPr="00937C8B" w14:paraId="308B0A73" w14:textId="77777777" w:rsidTr="00935676">
        <w:trPr>
          <w:cantSplit/>
        </w:trPr>
        <w:tc>
          <w:tcPr>
            <w:tcW w:w="1696" w:type="dxa"/>
            <w:tcBorders>
              <w:left w:val="single" w:sz="4" w:space="0" w:color="auto"/>
            </w:tcBorders>
            <w:shd w:val="clear" w:color="auto" w:fill="auto"/>
          </w:tcPr>
          <w:p w14:paraId="0D3FB6AD" w14:textId="77777777" w:rsidR="002A4DDF" w:rsidRPr="00937C8B" w:rsidRDefault="002A4DDF" w:rsidP="009110ED">
            <w:pPr>
              <w:rPr>
                <w:rFonts w:ascii="Arial" w:hAnsi="Arial" w:cs="Arial"/>
                <w:sz w:val="12"/>
                <w:szCs w:val="12"/>
              </w:rPr>
            </w:pPr>
          </w:p>
        </w:tc>
        <w:tc>
          <w:tcPr>
            <w:tcW w:w="1843" w:type="dxa"/>
            <w:shd w:val="clear" w:color="auto" w:fill="auto"/>
          </w:tcPr>
          <w:p w14:paraId="604FB22F" w14:textId="77777777" w:rsidR="002A4DDF" w:rsidRPr="00937C8B" w:rsidRDefault="002A4DDF" w:rsidP="009110ED">
            <w:pPr>
              <w:rPr>
                <w:rFonts w:ascii="Arial" w:hAnsi="Arial" w:cs="Arial"/>
                <w:sz w:val="12"/>
                <w:szCs w:val="12"/>
              </w:rPr>
            </w:pPr>
          </w:p>
        </w:tc>
        <w:tc>
          <w:tcPr>
            <w:tcW w:w="2268" w:type="dxa"/>
            <w:shd w:val="clear" w:color="auto" w:fill="F2F2F2"/>
            <w:hideMark/>
          </w:tcPr>
          <w:p w14:paraId="6C739CC6" w14:textId="77777777" w:rsidR="002A4DDF" w:rsidRPr="00937C8B" w:rsidRDefault="002A4DDF" w:rsidP="009110ED">
            <w:pPr>
              <w:rPr>
                <w:rFonts w:ascii="Arial" w:hAnsi="Arial" w:cs="Arial"/>
                <w:sz w:val="12"/>
                <w:szCs w:val="12"/>
              </w:rPr>
            </w:pPr>
            <w:r>
              <w:rPr>
                <w:rFonts w:ascii="Arial" w:hAnsi="Arial"/>
                <w:sz w:val="12"/>
                <w:szCs w:val="12"/>
              </w:rPr>
              <w:t>Cobeña</w:t>
            </w:r>
          </w:p>
        </w:tc>
        <w:tc>
          <w:tcPr>
            <w:tcW w:w="2268" w:type="dxa"/>
            <w:tcBorders>
              <w:right w:val="single" w:sz="4" w:space="0" w:color="auto"/>
            </w:tcBorders>
            <w:shd w:val="clear" w:color="auto" w:fill="D9D9D9"/>
            <w:hideMark/>
          </w:tcPr>
          <w:p w14:paraId="2A5240C2" w14:textId="77777777" w:rsidR="002A4DDF" w:rsidRPr="00937C8B" w:rsidRDefault="002A4DDF" w:rsidP="009110ED">
            <w:pPr>
              <w:rPr>
                <w:rFonts w:ascii="Arial" w:hAnsi="Arial" w:cs="Arial"/>
                <w:sz w:val="12"/>
                <w:szCs w:val="12"/>
              </w:rPr>
            </w:pPr>
            <w:r>
              <w:rPr>
                <w:rFonts w:ascii="Arial" w:hAnsi="Arial"/>
                <w:sz w:val="12"/>
                <w:szCs w:val="12"/>
              </w:rPr>
              <w:t>Cenicientos</w:t>
            </w:r>
          </w:p>
        </w:tc>
      </w:tr>
      <w:tr w:rsidR="002A4DDF" w:rsidRPr="00937C8B" w14:paraId="5E3F5648" w14:textId="77777777" w:rsidTr="00935676">
        <w:trPr>
          <w:cantSplit/>
        </w:trPr>
        <w:tc>
          <w:tcPr>
            <w:tcW w:w="1696" w:type="dxa"/>
            <w:tcBorders>
              <w:left w:val="single" w:sz="4" w:space="0" w:color="auto"/>
            </w:tcBorders>
            <w:shd w:val="clear" w:color="auto" w:fill="auto"/>
          </w:tcPr>
          <w:p w14:paraId="611CAB8D" w14:textId="77777777" w:rsidR="002A4DDF" w:rsidRPr="00937C8B" w:rsidRDefault="002A4DDF" w:rsidP="009110ED">
            <w:pPr>
              <w:rPr>
                <w:rFonts w:ascii="Arial" w:hAnsi="Arial" w:cs="Arial"/>
                <w:sz w:val="12"/>
                <w:szCs w:val="12"/>
              </w:rPr>
            </w:pPr>
          </w:p>
        </w:tc>
        <w:tc>
          <w:tcPr>
            <w:tcW w:w="1843" w:type="dxa"/>
            <w:shd w:val="clear" w:color="auto" w:fill="auto"/>
          </w:tcPr>
          <w:p w14:paraId="23EE2EE5" w14:textId="77777777" w:rsidR="002A4DDF" w:rsidRPr="00937C8B" w:rsidRDefault="002A4DDF" w:rsidP="009110ED">
            <w:pPr>
              <w:rPr>
                <w:rFonts w:ascii="Arial" w:hAnsi="Arial" w:cs="Arial"/>
                <w:sz w:val="12"/>
                <w:szCs w:val="12"/>
              </w:rPr>
            </w:pPr>
          </w:p>
        </w:tc>
        <w:tc>
          <w:tcPr>
            <w:tcW w:w="2268" w:type="dxa"/>
            <w:shd w:val="clear" w:color="auto" w:fill="F2F2F2"/>
            <w:hideMark/>
          </w:tcPr>
          <w:p w14:paraId="0389C589" w14:textId="77777777" w:rsidR="002A4DDF" w:rsidRPr="00937C8B" w:rsidRDefault="002A4DDF" w:rsidP="009110ED">
            <w:pPr>
              <w:rPr>
                <w:rFonts w:ascii="Arial" w:hAnsi="Arial" w:cs="Arial"/>
                <w:sz w:val="12"/>
                <w:szCs w:val="12"/>
              </w:rPr>
            </w:pPr>
            <w:r>
              <w:rPr>
                <w:rFonts w:ascii="Arial" w:hAnsi="Arial"/>
                <w:sz w:val="12"/>
                <w:szCs w:val="12"/>
              </w:rPr>
              <w:t>Colmenar de Oreja</w:t>
            </w:r>
          </w:p>
        </w:tc>
        <w:tc>
          <w:tcPr>
            <w:tcW w:w="2268" w:type="dxa"/>
            <w:tcBorders>
              <w:right w:val="single" w:sz="4" w:space="0" w:color="auto"/>
            </w:tcBorders>
            <w:shd w:val="clear" w:color="auto" w:fill="D9D9D9"/>
            <w:hideMark/>
          </w:tcPr>
          <w:p w14:paraId="576BD10A" w14:textId="77777777" w:rsidR="002A4DDF" w:rsidRPr="00937C8B" w:rsidRDefault="002A4DDF" w:rsidP="009110ED">
            <w:pPr>
              <w:rPr>
                <w:rFonts w:ascii="Arial" w:hAnsi="Arial" w:cs="Arial"/>
                <w:sz w:val="12"/>
                <w:szCs w:val="12"/>
              </w:rPr>
            </w:pPr>
            <w:r>
              <w:rPr>
                <w:rFonts w:ascii="Arial" w:hAnsi="Arial"/>
                <w:sz w:val="12"/>
                <w:szCs w:val="12"/>
              </w:rPr>
              <w:t>Cercedilla</w:t>
            </w:r>
          </w:p>
        </w:tc>
      </w:tr>
      <w:tr w:rsidR="002A4DDF" w:rsidRPr="00937C8B" w14:paraId="61383448" w14:textId="77777777" w:rsidTr="00935676">
        <w:trPr>
          <w:cantSplit/>
        </w:trPr>
        <w:tc>
          <w:tcPr>
            <w:tcW w:w="1696" w:type="dxa"/>
            <w:tcBorders>
              <w:left w:val="single" w:sz="4" w:space="0" w:color="auto"/>
            </w:tcBorders>
            <w:shd w:val="clear" w:color="auto" w:fill="auto"/>
          </w:tcPr>
          <w:p w14:paraId="3EDDE657" w14:textId="77777777" w:rsidR="002A4DDF" w:rsidRPr="00937C8B" w:rsidRDefault="002A4DDF" w:rsidP="009110ED">
            <w:pPr>
              <w:rPr>
                <w:rFonts w:ascii="Arial" w:hAnsi="Arial" w:cs="Arial"/>
                <w:sz w:val="12"/>
                <w:szCs w:val="12"/>
              </w:rPr>
            </w:pPr>
          </w:p>
        </w:tc>
        <w:tc>
          <w:tcPr>
            <w:tcW w:w="1843" w:type="dxa"/>
            <w:shd w:val="clear" w:color="auto" w:fill="auto"/>
          </w:tcPr>
          <w:p w14:paraId="61DA7DCE" w14:textId="77777777" w:rsidR="002A4DDF" w:rsidRPr="00937C8B" w:rsidRDefault="002A4DDF" w:rsidP="009110ED">
            <w:pPr>
              <w:rPr>
                <w:rFonts w:ascii="Arial" w:hAnsi="Arial" w:cs="Arial"/>
                <w:sz w:val="12"/>
                <w:szCs w:val="12"/>
              </w:rPr>
            </w:pPr>
          </w:p>
        </w:tc>
        <w:tc>
          <w:tcPr>
            <w:tcW w:w="2268" w:type="dxa"/>
            <w:shd w:val="clear" w:color="auto" w:fill="F2F2F2"/>
            <w:hideMark/>
          </w:tcPr>
          <w:p w14:paraId="16193EC0" w14:textId="77777777" w:rsidR="002A4DDF" w:rsidRPr="00937C8B" w:rsidRDefault="002A4DDF" w:rsidP="009110ED">
            <w:pPr>
              <w:rPr>
                <w:rFonts w:ascii="Arial" w:hAnsi="Arial" w:cs="Arial"/>
                <w:sz w:val="12"/>
                <w:szCs w:val="12"/>
              </w:rPr>
            </w:pPr>
            <w:r>
              <w:rPr>
                <w:rFonts w:ascii="Arial" w:hAnsi="Arial"/>
                <w:sz w:val="12"/>
                <w:szCs w:val="12"/>
              </w:rPr>
              <w:t>Coslada</w:t>
            </w:r>
          </w:p>
        </w:tc>
        <w:tc>
          <w:tcPr>
            <w:tcW w:w="2268" w:type="dxa"/>
            <w:tcBorders>
              <w:right w:val="single" w:sz="4" w:space="0" w:color="auto"/>
            </w:tcBorders>
            <w:shd w:val="clear" w:color="auto" w:fill="D9D9D9"/>
            <w:hideMark/>
          </w:tcPr>
          <w:p w14:paraId="61890957" w14:textId="77777777" w:rsidR="002A4DDF" w:rsidRPr="00937C8B" w:rsidRDefault="002A4DDF" w:rsidP="009110ED">
            <w:pPr>
              <w:rPr>
                <w:rFonts w:ascii="Arial" w:hAnsi="Arial" w:cs="Arial"/>
                <w:sz w:val="12"/>
                <w:szCs w:val="12"/>
              </w:rPr>
            </w:pPr>
            <w:r>
              <w:rPr>
                <w:rFonts w:ascii="Arial" w:hAnsi="Arial"/>
                <w:sz w:val="12"/>
                <w:szCs w:val="12"/>
              </w:rPr>
              <w:t>Cervera de Buitrago</w:t>
            </w:r>
          </w:p>
        </w:tc>
      </w:tr>
      <w:tr w:rsidR="002A4DDF" w:rsidRPr="00937C8B" w14:paraId="3AA669C3" w14:textId="77777777" w:rsidTr="00935676">
        <w:trPr>
          <w:cantSplit/>
        </w:trPr>
        <w:tc>
          <w:tcPr>
            <w:tcW w:w="1696" w:type="dxa"/>
            <w:tcBorders>
              <w:left w:val="single" w:sz="4" w:space="0" w:color="auto"/>
            </w:tcBorders>
            <w:shd w:val="clear" w:color="auto" w:fill="auto"/>
          </w:tcPr>
          <w:p w14:paraId="443A9AA7" w14:textId="77777777" w:rsidR="002A4DDF" w:rsidRPr="00937C8B" w:rsidRDefault="002A4DDF" w:rsidP="009110ED">
            <w:pPr>
              <w:rPr>
                <w:rFonts w:ascii="Arial" w:hAnsi="Arial" w:cs="Arial"/>
                <w:sz w:val="12"/>
                <w:szCs w:val="12"/>
              </w:rPr>
            </w:pPr>
          </w:p>
        </w:tc>
        <w:tc>
          <w:tcPr>
            <w:tcW w:w="1843" w:type="dxa"/>
            <w:shd w:val="clear" w:color="auto" w:fill="auto"/>
          </w:tcPr>
          <w:p w14:paraId="174BD31C" w14:textId="77777777" w:rsidR="002A4DDF" w:rsidRPr="00937C8B" w:rsidRDefault="002A4DDF" w:rsidP="009110ED">
            <w:pPr>
              <w:rPr>
                <w:rFonts w:ascii="Arial" w:hAnsi="Arial" w:cs="Arial"/>
                <w:sz w:val="12"/>
                <w:szCs w:val="12"/>
              </w:rPr>
            </w:pPr>
          </w:p>
        </w:tc>
        <w:tc>
          <w:tcPr>
            <w:tcW w:w="2268" w:type="dxa"/>
            <w:shd w:val="clear" w:color="auto" w:fill="F2F2F2"/>
            <w:hideMark/>
          </w:tcPr>
          <w:p w14:paraId="52EE95DD" w14:textId="77777777" w:rsidR="002A4DDF" w:rsidRPr="00937C8B" w:rsidRDefault="002A4DDF" w:rsidP="009110ED">
            <w:pPr>
              <w:rPr>
                <w:rFonts w:ascii="Arial" w:hAnsi="Arial" w:cs="Arial"/>
                <w:sz w:val="12"/>
                <w:szCs w:val="12"/>
              </w:rPr>
            </w:pPr>
            <w:r>
              <w:rPr>
                <w:rFonts w:ascii="Arial" w:hAnsi="Arial"/>
                <w:sz w:val="12"/>
                <w:szCs w:val="12"/>
              </w:rPr>
              <w:t>Cubas de la Sagra</w:t>
            </w:r>
          </w:p>
        </w:tc>
        <w:tc>
          <w:tcPr>
            <w:tcW w:w="2268" w:type="dxa"/>
            <w:tcBorders>
              <w:right w:val="single" w:sz="4" w:space="0" w:color="auto"/>
            </w:tcBorders>
            <w:shd w:val="clear" w:color="auto" w:fill="D9D9D9"/>
            <w:hideMark/>
          </w:tcPr>
          <w:p w14:paraId="25F81E12" w14:textId="77777777" w:rsidR="002A4DDF" w:rsidRPr="00937C8B" w:rsidRDefault="002A4DDF" w:rsidP="009110ED">
            <w:pPr>
              <w:rPr>
                <w:rFonts w:ascii="Arial" w:hAnsi="Arial" w:cs="Arial"/>
                <w:sz w:val="12"/>
                <w:szCs w:val="12"/>
              </w:rPr>
            </w:pPr>
            <w:r>
              <w:rPr>
                <w:rFonts w:ascii="Arial" w:hAnsi="Arial"/>
                <w:sz w:val="12"/>
                <w:szCs w:val="12"/>
              </w:rPr>
              <w:t>Chapinería</w:t>
            </w:r>
          </w:p>
        </w:tc>
      </w:tr>
      <w:tr w:rsidR="002A4DDF" w:rsidRPr="00937C8B" w14:paraId="3E73E670" w14:textId="77777777" w:rsidTr="00935676">
        <w:trPr>
          <w:cantSplit/>
        </w:trPr>
        <w:tc>
          <w:tcPr>
            <w:tcW w:w="1696" w:type="dxa"/>
            <w:tcBorders>
              <w:left w:val="single" w:sz="4" w:space="0" w:color="auto"/>
            </w:tcBorders>
            <w:shd w:val="clear" w:color="auto" w:fill="auto"/>
          </w:tcPr>
          <w:p w14:paraId="1D3433C9" w14:textId="77777777" w:rsidR="002A4DDF" w:rsidRPr="00937C8B" w:rsidRDefault="002A4DDF" w:rsidP="009110ED">
            <w:pPr>
              <w:rPr>
                <w:rFonts w:ascii="Arial" w:hAnsi="Arial" w:cs="Arial"/>
                <w:sz w:val="12"/>
                <w:szCs w:val="12"/>
              </w:rPr>
            </w:pPr>
          </w:p>
        </w:tc>
        <w:tc>
          <w:tcPr>
            <w:tcW w:w="1843" w:type="dxa"/>
            <w:shd w:val="clear" w:color="auto" w:fill="auto"/>
          </w:tcPr>
          <w:p w14:paraId="76B3669B" w14:textId="77777777" w:rsidR="002A4DDF" w:rsidRPr="00937C8B" w:rsidRDefault="002A4DDF" w:rsidP="009110ED">
            <w:pPr>
              <w:rPr>
                <w:rFonts w:ascii="Arial" w:hAnsi="Arial" w:cs="Arial"/>
                <w:sz w:val="12"/>
                <w:szCs w:val="12"/>
              </w:rPr>
            </w:pPr>
          </w:p>
        </w:tc>
        <w:tc>
          <w:tcPr>
            <w:tcW w:w="2268" w:type="dxa"/>
            <w:shd w:val="clear" w:color="auto" w:fill="F2F2F2"/>
            <w:hideMark/>
          </w:tcPr>
          <w:p w14:paraId="5B74382D" w14:textId="77777777" w:rsidR="002A4DDF" w:rsidRPr="00937C8B" w:rsidRDefault="002A4DDF" w:rsidP="009110ED">
            <w:pPr>
              <w:rPr>
                <w:rFonts w:ascii="Arial" w:hAnsi="Arial" w:cs="Arial"/>
                <w:sz w:val="12"/>
                <w:szCs w:val="12"/>
              </w:rPr>
            </w:pPr>
            <w:r>
              <w:rPr>
                <w:rFonts w:ascii="Arial" w:hAnsi="Arial"/>
                <w:sz w:val="12"/>
                <w:szCs w:val="12"/>
              </w:rPr>
              <w:t>Daganzo de Arriba</w:t>
            </w:r>
          </w:p>
        </w:tc>
        <w:tc>
          <w:tcPr>
            <w:tcW w:w="2268" w:type="dxa"/>
            <w:tcBorders>
              <w:right w:val="single" w:sz="4" w:space="0" w:color="auto"/>
            </w:tcBorders>
            <w:shd w:val="clear" w:color="auto" w:fill="D9D9D9"/>
            <w:hideMark/>
          </w:tcPr>
          <w:p w14:paraId="149BF788" w14:textId="77777777" w:rsidR="002A4DDF" w:rsidRPr="00937C8B" w:rsidRDefault="002A4DDF" w:rsidP="009110ED">
            <w:pPr>
              <w:rPr>
                <w:rFonts w:ascii="Arial" w:hAnsi="Arial" w:cs="Arial"/>
                <w:sz w:val="12"/>
                <w:szCs w:val="12"/>
              </w:rPr>
            </w:pPr>
            <w:r>
              <w:rPr>
                <w:rFonts w:ascii="Arial" w:hAnsi="Arial"/>
                <w:sz w:val="12"/>
                <w:szCs w:val="12"/>
              </w:rPr>
              <w:t>Collado Mediano</w:t>
            </w:r>
          </w:p>
        </w:tc>
      </w:tr>
      <w:tr w:rsidR="002A4DDF" w:rsidRPr="00937C8B" w14:paraId="65A2DFD9" w14:textId="77777777" w:rsidTr="00935676">
        <w:trPr>
          <w:cantSplit/>
        </w:trPr>
        <w:tc>
          <w:tcPr>
            <w:tcW w:w="1696" w:type="dxa"/>
            <w:tcBorders>
              <w:left w:val="single" w:sz="4" w:space="0" w:color="auto"/>
            </w:tcBorders>
            <w:shd w:val="clear" w:color="auto" w:fill="auto"/>
          </w:tcPr>
          <w:p w14:paraId="7F5C1BD8" w14:textId="77777777" w:rsidR="002A4DDF" w:rsidRPr="00937C8B" w:rsidRDefault="002A4DDF" w:rsidP="009110ED">
            <w:pPr>
              <w:rPr>
                <w:rFonts w:ascii="Arial" w:hAnsi="Arial" w:cs="Arial"/>
                <w:sz w:val="12"/>
                <w:szCs w:val="12"/>
              </w:rPr>
            </w:pPr>
          </w:p>
        </w:tc>
        <w:tc>
          <w:tcPr>
            <w:tcW w:w="1843" w:type="dxa"/>
            <w:shd w:val="clear" w:color="auto" w:fill="auto"/>
          </w:tcPr>
          <w:p w14:paraId="0BA5206A" w14:textId="77777777" w:rsidR="002A4DDF" w:rsidRPr="00937C8B" w:rsidRDefault="002A4DDF" w:rsidP="009110ED">
            <w:pPr>
              <w:rPr>
                <w:rFonts w:ascii="Arial" w:hAnsi="Arial" w:cs="Arial"/>
                <w:sz w:val="12"/>
                <w:szCs w:val="12"/>
              </w:rPr>
            </w:pPr>
          </w:p>
        </w:tc>
        <w:tc>
          <w:tcPr>
            <w:tcW w:w="2268" w:type="dxa"/>
            <w:shd w:val="clear" w:color="auto" w:fill="F2F2F2"/>
            <w:hideMark/>
          </w:tcPr>
          <w:p w14:paraId="58D92832" w14:textId="77777777" w:rsidR="002A4DDF" w:rsidRPr="00937C8B" w:rsidRDefault="002A4DDF" w:rsidP="009110ED">
            <w:pPr>
              <w:rPr>
                <w:rFonts w:ascii="Arial" w:hAnsi="Arial" w:cs="Arial"/>
                <w:sz w:val="12"/>
                <w:szCs w:val="12"/>
              </w:rPr>
            </w:pPr>
            <w:r>
              <w:rPr>
                <w:rFonts w:ascii="Arial" w:hAnsi="Arial"/>
                <w:sz w:val="12"/>
                <w:szCs w:val="12"/>
              </w:rPr>
              <w:t>El Atazar</w:t>
            </w:r>
          </w:p>
        </w:tc>
        <w:tc>
          <w:tcPr>
            <w:tcW w:w="2268" w:type="dxa"/>
            <w:tcBorders>
              <w:right w:val="single" w:sz="4" w:space="0" w:color="auto"/>
            </w:tcBorders>
            <w:shd w:val="clear" w:color="auto" w:fill="D9D9D9"/>
            <w:hideMark/>
          </w:tcPr>
          <w:p w14:paraId="1DE7EE04" w14:textId="77777777" w:rsidR="002A4DDF" w:rsidRPr="00937C8B" w:rsidRDefault="002A4DDF" w:rsidP="009110ED">
            <w:pPr>
              <w:rPr>
                <w:rFonts w:ascii="Arial" w:hAnsi="Arial" w:cs="Arial"/>
                <w:sz w:val="12"/>
                <w:szCs w:val="12"/>
              </w:rPr>
            </w:pPr>
            <w:r>
              <w:rPr>
                <w:rFonts w:ascii="Arial" w:hAnsi="Arial"/>
                <w:sz w:val="12"/>
                <w:szCs w:val="12"/>
              </w:rPr>
              <w:t>Collado Villalba</w:t>
            </w:r>
          </w:p>
        </w:tc>
      </w:tr>
      <w:tr w:rsidR="002A4DDF" w:rsidRPr="00937C8B" w14:paraId="1226153B" w14:textId="77777777" w:rsidTr="00935676">
        <w:trPr>
          <w:cantSplit/>
        </w:trPr>
        <w:tc>
          <w:tcPr>
            <w:tcW w:w="1696" w:type="dxa"/>
            <w:tcBorders>
              <w:left w:val="single" w:sz="4" w:space="0" w:color="auto"/>
            </w:tcBorders>
            <w:shd w:val="clear" w:color="auto" w:fill="auto"/>
          </w:tcPr>
          <w:p w14:paraId="34728437" w14:textId="77777777" w:rsidR="002A4DDF" w:rsidRPr="00937C8B" w:rsidRDefault="002A4DDF" w:rsidP="009110ED">
            <w:pPr>
              <w:rPr>
                <w:rFonts w:ascii="Arial" w:hAnsi="Arial" w:cs="Arial"/>
                <w:sz w:val="12"/>
                <w:szCs w:val="12"/>
              </w:rPr>
            </w:pPr>
          </w:p>
        </w:tc>
        <w:tc>
          <w:tcPr>
            <w:tcW w:w="1843" w:type="dxa"/>
            <w:shd w:val="clear" w:color="auto" w:fill="auto"/>
          </w:tcPr>
          <w:p w14:paraId="2846F98A" w14:textId="77777777" w:rsidR="002A4DDF" w:rsidRPr="00937C8B" w:rsidRDefault="002A4DDF" w:rsidP="009110ED">
            <w:pPr>
              <w:rPr>
                <w:rFonts w:ascii="Arial" w:hAnsi="Arial" w:cs="Arial"/>
                <w:sz w:val="12"/>
                <w:szCs w:val="12"/>
              </w:rPr>
            </w:pPr>
          </w:p>
        </w:tc>
        <w:tc>
          <w:tcPr>
            <w:tcW w:w="2268" w:type="dxa"/>
            <w:shd w:val="clear" w:color="auto" w:fill="F2F2F2"/>
            <w:hideMark/>
          </w:tcPr>
          <w:p w14:paraId="45DFE884" w14:textId="77777777" w:rsidR="002A4DDF" w:rsidRPr="00937C8B" w:rsidRDefault="002A4DDF" w:rsidP="009110ED">
            <w:pPr>
              <w:rPr>
                <w:rFonts w:ascii="Arial" w:hAnsi="Arial" w:cs="Arial"/>
                <w:sz w:val="12"/>
                <w:szCs w:val="12"/>
              </w:rPr>
            </w:pPr>
            <w:r>
              <w:rPr>
                <w:rFonts w:ascii="Arial" w:hAnsi="Arial"/>
                <w:sz w:val="12"/>
                <w:szCs w:val="12"/>
              </w:rPr>
              <w:t>Fresno de Torote</w:t>
            </w:r>
          </w:p>
        </w:tc>
        <w:tc>
          <w:tcPr>
            <w:tcW w:w="2268" w:type="dxa"/>
            <w:tcBorders>
              <w:right w:val="single" w:sz="4" w:space="0" w:color="auto"/>
            </w:tcBorders>
            <w:shd w:val="clear" w:color="auto" w:fill="D9D9D9"/>
            <w:hideMark/>
          </w:tcPr>
          <w:p w14:paraId="39E7F16F" w14:textId="77777777" w:rsidR="002A4DDF" w:rsidRPr="00937C8B" w:rsidRDefault="002A4DDF" w:rsidP="009110ED">
            <w:pPr>
              <w:rPr>
                <w:rFonts w:ascii="Arial" w:hAnsi="Arial" w:cs="Arial"/>
                <w:sz w:val="12"/>
                <w:szCs w:val="12"/>
              </w:rPr>
            </w:pPr>
            <w:r>
              <w:rPr>
                <w:rFonts w:ascii="Arial" w:hAnsi="Arial"/>
                <w:sz w:val="12"/>
                <w:szCs w:val="12"/>
              </w:rPr>
              <w:t>Colmenar del Arroyo</w:t>
            </w:r>
          </w:p>
        </w:tc>
      </w:tr>
      <w:tr w:rsidR="002A4DDF" w:rsidRPr="00937C8B" w14:paraId="06295CD4" w14:textId="77777777" w:rsidTr="00935676">
        <w:trPr>
          <w:cantSplit/>
        </w:trPr>
        <w:tc>
          <w:tcPr>
            <w:tcW w:w="1696" w:type="dxa"/>
            <w:tcBorders>
              <w:left w:val="single" w:sz="4" w:space="0" w:color="auto"/>
            </w:tcBorders>
            <w:shd w:val="clear" w:color="auto" w:fill="auto"/>
          </w:tcPr>
          <w:p w14:paraId="5A092D1B" w14:textId="77777777" w:rsidR="002A4DDF" w:rsidRPr="00937C8B" w:rsidRDefault="002A4DDF" w:rsidP="009110ED">
            <w:pPr>
              <w:rPr>
                <w:rFonts w:ascii="Arial" w:hAnsi="Arial" w:cs="Arial"/>
                <w:sz w:val="12"/>
                <w:szCs w:val="12"/>
              </w:rPr>
            </w:pPr>
          </w:p>
        </w:tc>
        <w:tc>
          <w:tcPr>
            <w:tcW w:w="1843" w:type="dxa"/>
            <w:shd w:val="clear" w:color="auto" w:fill="auto"/>
          </w:tcPr>
          <w:p w14:paraId="2D145940" w14:textId="77777777" w:rsidR="002A4DDF" w:rsidRPr="00937C8B" w:rsidRDefault="002A4DDF" w:rsidP="009110ED">
            <w:pPr>
              <w:rPr>
                <w:rFonts w:ascii="Arial" w:hAnsi="Arial" w:cs="Arial"/>
                <w:sz w:val="12"/>
                <w:szCs w:val="12"/>
              </w:rPr>
            </w:pPr>
          </w:p>
        </w:tc>
        <w:tc>
          <w:tcPr>
            <w:tcW w:w="2268" w:type="dxa"/>
            <w:shd w:val="clear" w:color="auto" w:fill="F2F2F2"/>
            <w:hideMark/>
          </w:tcPr>
          <w:p w14:paraId="00B0AA12" w14:textId="77777777" w:rsidR="002A4DDF" w:rsidRPr="00937C8B" w:rsidRDefault="002A4DDF" w:rsidP="009110ED">
            <w:pPr>
              <w:rPr>
                <w:rFonts w:ascii="Arial" w:hAnsi="Arial" w:cs="Arial"/>
                <w:sz w:val="12"/>
                <w:szCs w:val="12"/>
              </w:rPr>
            </w:pPr>
            <w:r>
              <w:rPr>
                <w:rFonts w:ascii="Arial" w:hAnsi="Arial"/>
                <w:sz w:val="12"/>
                <w:szCs w:val="12"/>
              </w:rPr>
              <w:t>Fuenlabrada</w:t>
            </w:r>
          </w:p>
        </w:tc>
        <w:tc>
          <w:tcPr>
            <w:tcW w:w="2268" w:type="dxa"/>
            <w:tcBorders>
              <w:right w:val="single" w:sz="4" w:space="0" w:color="auto"/>
            </w:tcBorders>
            <w:shd w:val="clear" w:color="auto" w:fill="D9D9D9"/>
            <w:hideMark/>
          </w:tcPr>
          <w:p w14:paraId="14792266" w14:textId="77777777" w:rsidR="002A4DDF" w:rsidRPr="00937C8B" w:rsidRDefault="002A4DDF" w:rsidP="009110ED">
            <w:pPr>
              <w:rPr>
                <w:rFonts w:ascii="Arial" w:hAnsi="Arial" w:cs="Arial"/>
                <w:sz w:val="12"/>
                <w:szCs w:val="12"/>
              </w:rPr>
            </w:pPr>
            <w:r>
              <w:rPr>
                <w:rFonts w:ascii="Arial" w:hAnsi="Arial"/>
                <w:sz w:val="12"/>
                <w:szCs w:val="12"/>
              </w:rPr>
              <w:t>Colmenar Viejo</w:t>
            </w:r>
          </w:p>
        </w:tc>
      </w:tr>
      <w:tr w:rsidR="002A4DDF" w:rsidRPr="00937C8B" w14:paraId="2605A708" w14:textId="77777777" w:rsidTr="00935676">
        <w:trPr>
          <w:cantSplit/>
        </w:trPr>
        <w:tc>
          <w:tcPr>
            <w:tcW w:w="1696" w:type="dxa"/>
            <w:tcBorders>
              <w:left w:val="single" w:sz="4" w:space="0" w:color="auto"/>
            </w:tcBorders>
            <w:shd w:val="clear" w:color="auto" w:fill="auto"/>
          </w:tcPr>
          <w:p w14:paraId="7BDAF1B6" w14:textId="77777777" w:rsidR="002A4DDF" w:rsidRPr="00937C8B" w:rsidRDefault="002A4DDF" w:rsidP="009110ED">
            <w:pPr>
              <w:rPr>
                <w:rFonts w:ascii="Arial" w:hAnsi="Arial" w:cs="Arial"/>
                <w:sz w:val="12"/>
                <w:szCs w:val="12"/>
              </w:rPr>
            </w:pPr>
          </w:p>
        </w:tc>
        <w:tc>
          <w:tcPr>
            <w:tcW w:w="1843" w:type="dxa"/>
            <w:shd w:val="clear" w:color="auto" w:fill="auto"/>
          </w:tcPr>
          <w:p w14:paraId="1977E09F" w14:textId="77777777" w:rsidR="002A4DDF" w:rsidRPr="00937C8B" w:rsidRDefault="002A4DDF" w:rsidP="009110ED">
            <w:pPr>
              <w:rPr>
                <w:rFonts w:ascii="Arial" w:hAnsi="Arial" w:cs="Arial"/>
                <w:sz w:val="12"/>
                <w:szCs w:val="12"/>
              </w:rPr>
            </w:pPr>
          </w:p>
        </w:tc>
        <w:tc>
          <w:tcPr>
            <w:tcW w:w="2268" w:type="dxa"/>
            <w:shd w:val="clear" w:color="auto" w:fill="F2F2F2"/>
            <w:hideMark/>
          </w:tcPr>
          <w:p w14:paraId="26F0FB9F" w14:textId="77777777" w:rsidR="002A4DDF" w:rsidRPr="00937C8B" w:rsidRDefault="002A4DDF" w:rsidP="009110ED">
            <w:pPr>
              <w:rPr>
                <w:rFonts w:ascii="Arial" w:hAnsi="Arial" w:cs="Arial"/>
                <w:sz w:val="12"/>
                <w:szCs w:val="12"/>
              </w:rPr>
            </w:pPr>
            <w:r>
              <w:rPr>
                <w:rFonts w:ascii="Arial" w:hAnsi="Arial"/>
                <w:sz w:val="12"/>
                <w:szCs w:val="12"/>
              </w:rPr>
              <w:t>Fuente el Saz de Jarama</w:t>
            </w:r>
          </w:p>
        </w:tc>
        <w:tc>
          <w:tcPr>
            <w:tcW w:w="2268" w:type="dxa"/>
            <w:tcBorders>
              <w:right w:val="single" w:sz="4" w:space="0" w:color="auto"/>
            </w:tcBorders>
            <w:shd w:val="clear" w:color="auto" w:fill="D9D9D9"/>
            <w:hideMark/>
          </w:tcPr>
          <w:p w14:paraId="05F1BDA9" w14:textId="77777777" w:rsidR="002A4DDF" w:rsidRPr="00937C8B" w:rsidRDefault="002A4DDF" w:rsidP="009110ED">
            <w:pPr>
              <w:rPr>
                <w:rFonts w:ascii="Arial" w:hAnsi="Arial" w:cs="Arial"/>
                <w:sz w:val="12"/>
                <w:szCs w:val="12"/>
              </w:rPr>
            </w:pPr>
            <w:r>
              <w:rPr>
                <w:rFonts w:ascii="Arial" w:hAnsi="Arial"/>
                <w:sz w:val="12"/>
                <w:szCs w:val="12"/>
              </w:rPr>
              <w:t>Colmenarejo</w:t>
            </w:r>
          </w:p>
        </w:tc>
      </w:tr>
      <w:tr w:rsidR="002A4DDF" w:rsidRPr="00937C8B" w14:paraId="0736B37F" w14:textId="77777777" w:rsidTr="00935676">
        <w:trPr>
          <w:cantSplit/>
        </w:trPr>
        <w:tc>
          <w:tcPr>
            <w:tcW w:w="1696" w:type="dxa"/>
            <w:tcBorders>
              <w:left w:val="single" w:sz="4" w:space="0" w:color="auto"/>
            </w:tcBorders>
            <w:shd w:val="clear" w:color="auto" w:fill="auto"/>
          </w:tcPr>
          <w:p w14:paraId="41E59EF2" w14:textId="77777777" w:rsidR="002A4DDF" w:rsidRPr="00937C8B" w:rsidRDefault="002A4DDF" w:rsidP="009110ED">
            <w:pPr>
              <w:rPr>
                <w:rFonts w:ascii="Arial" w:hAnsi="Arial" w:cs="Arial"/>
                <w:sz w:val="12"/>
                <w:szCs w:val="12"/>
              </w:rPr>
            </w:pPr>
          </w:p>
        </w:tc>
        <w:tc>
          <w:tcPr>
            <w:tcW w:w="1843" w:type="dxa"/>
            <w:shd w:val="clear" w:color="auto" w:fill="auto"/>
          </w:tcPr>
          <w:p w14:paraId="210F76DE" w14:textId="77777777" w:rsidR="002A4DDF" w:rsidRPr="00937C8B" w:rsidRDefault="002A4DDF" w:rsidP="009110ED">
            <w:pPr>
              <w:rPr>
                <w:rFonts w:ascii="Arial" w:hAnsi="Arial" w:cs="Arial"/>
                <w:sz w:val="12"/>
                <w:szCs w:val="12"/>
              </w:rPr>
            </w:pPr>
          </w:p>
        </w:tc>
        <w:tc>
          <w:tcPr>
            <w:tcW w:w="2268" w:type="dxa"/>
            <w:shd w:val="clear" w:color="auto" w:fill="F2F2F2"/>
            <w:hideMark/>
          </w:tcPr>
          <w:p w14:paraId="694FEB07" w14:textId="77777777" w:rsidR="002A4DDF" w:rsidRPr="00937C8B" w:rsidRDefault="002A4DDF" w:rsidP="009110ED">
            <w:pPr>
              <w:rPr>
                <w:rFonts w:ascii="Arial" w:hAnsi="Arial" w:cs="Arial"/>
                <w:sz w:val="12"/>
                <w:szCs w:val="12"/>
              </w:rPr>
            </w:pPr>
            <w:r>
              <w:rPr>
                <w:rFonts w:ascii="Arial" w:hAnsi="Arial"/>
                <w:sz w:val="12"/>
                <w:szCs w:val="12"/>
              </w:rPr>
              <w:t>Fuentidueña de Tajo</w:t>
            </w:r>
          </w:p>
        </w:tc>
        <w:tc>
          <w:tcPr>
            <w:tcW w:w="2268" w:type="dxa"/>
            <w:tcBorders>
              <w:right w:val="single" w:sz="4" w:space="0" w:color="auto"/>
            </w:tcBorders>
            <w:shd w:val="clear" w:color="auto" w:fill="D9D9D9"/>
            <w:hideMark/>
          </w:tcPr>
          <w:p w14:paraId="39F85737" w14:textId="77777777" w:rsidR="002A4DDF" w:rsidRPr="00937C8B" w:rsidRDefault="002A4DDF" w:rsidP="009110ED">
            <w:pPr>
              <w:rPr>
                <w:rFonts w:ascii="Arial" w:hAnsi="Arial" w:cs="Arial"/>
                <w:sz w:val="12"/>
                <w:szCs w:val="12"/>
              </w:rPr>
            </w:pPr>
            <w:r>
              <w:rPr>
                <w:rFonts w:ascii="Arial" w:hAnsi="Arial"/>
                <w:sz w:val="12"/>
                <w:szCs w:val="12"/>
              </w:rPr>
              <w:t>El Álamo</w:t>
            </w:r>
          </w:p>
        </w:tc>
      </w:tr>
      <w:tr w:rsidR="002A4DDF" w:rsidRPr="00937C8B" w14:paraId="1EA61394" w14:textId="77777777" w:rsidTr="00935676">
        <w:trPr>
          <w:cantSplit/>
        </w:trPr>
        <w:tc>
          <w:tcPr>
            <w:tcW w:w="1696" w:type="dxa"/>
            <w:tcBorders>
              <w:left w:val="single" w:sz="4" w:space="0" w:color="auto"/>
            </w:tcBorders>
            <w:shd w:val="clear" w:color="auto" w:fill="auto"/>
          </w:tcPr>
          <w:p w14:paraId="5890D2CC" w14:textId="77777777" w:rsidR="002A4DDF" w:rsidRPr="00937C8B" w:rsidRDefault="002A4DDF" w:rsidP="009110ED">
            <w:pPr>
              <w:rPr>
                <w:rFonts w:ascii="Arial" w:hAnsi="Arial" w:cs="Arial"/>
                <w:sz w:val="12"/>
                <w:szCs w:val="12"/>
              </w:rPr>
            </w:pPr>
          </w:p>
        </w:tc>
        <w:tc>
          <w:tcPr>
            <w:tcW w:w="1843" w:type="dxa"/>
            <w:shd w:val="clear" w:color="auto" w:fill="auto"/>
          </w:tcPr>
          <w:p w14:paraId="46F3B6C6" w14:textId="77777777" w:rsidR="002A4DDF" w:rsidRPr="00937C8B" w:rsidRDefault="002A4DDF" w:rsidP="009110ED">
            <w:pPr>
              <w:rPr>
                <w:rFonts w:ascii="Arial" w:hAnsi="Arial" w:cs="Arial"/>
                <w:sz w:val="12"/>
                <w:szCs w:val="12"/>
              </w:rPr>
            </w:pPr>
          </w:p>
        </w:tc>
        <w:tc>
          <w:tcPr>
            <w:tcW w:w="2268" w:type="dxa"/>
            <w:shd w:val="clear" w:color="auto" w:fill="F2F2F2"/>
            <w:hideMark/>
          </w:tcPr>
          <w:p w14:paraId="0EB79B88" w14:textId="77777777" w:rsidR="002A4DDF" w:rsidRPr="00937C8B" w:rsidRDefault="002A4DDF" w:rsidP="009110ED">
            <w:pPr>
              <w:rPr>
                <w:rFonts w:ascii="Arial" w:hAnsi="Arial" w:cs="Arial"/>
                <w:sz w:val="12"/>
                <w:szCs w:val="12"/>
              </w:rPr>
            </w:pPr>
            <w:r>
              <w:rPr>
                <w:rFonts w:ascii="Arial" w:hAnsi="Arial"/>
                <w:sz w:val="12"/>
                <w:szCs w:val="12"/>
              </w:rPr>
              <w:t>Getafe</w:t>
            </w:r>
          </w:p>
        </w:tc>
        <w:tc>
          <w:tcPr>
            <w:tcW w:w="2268" w:type="dxa"/>
            <w:tcBorders>
              <w:right w:val="single" w:sz="4" w:space="0" w:color="auto"/>
            </w:tcBorders>
            <w:shd w:val="clear" w:color="auto" w:fill="D9D9D9"/>
            <w:hideMark/>
          </w:tcPr>
          <w:p w14:paraId="34D65C77" w14:textId="77777777" w:rsidR="002A4DDF" w:rsidRPr="00937C8B" w:rsidRDefault="002A4DDF" w:rsidP="009110ED">
            <w:pPr>
              <w:rPr>
                <w:rFonts w:ascii="Arial" w:hAnsi="Arial" w:cs="Arial"/>
                <w:sz w:val="12"/>
                <w:szCs w:val="12"/>
              </w:rPr>
            </w:pPr>
            <w:r>
              <w:rPr>
                <w:rFonts w:ascii="Arial" w:hAnsi="Arial"/>
                <w:sz w:val="12"/>
                <w:szCs w:val="12"/>
              </w:rPr>
              <w:t>El Berrueco</w:t>
            </w:r>
          </w:p>
        </w:tc>
      </w:tr>
      <w:tr w:rsidR="002A4DDF" w:rsidRPr="00937C8B" w14:paraId="694E2586" w14:textId="77777777" w:rsidTr="00935676">
        <w:trPr>
          <w:cantSplit/>
        </w:trPr>
        <w:tc>
          <w:tcPr>
            <w:tcW w:w="1696" w:type="dxa"/>
            <w:tcBorders>
              <w:left w:val="single" w:sz="4" w:space="0" w:color="auto"/>
            </w:tcBorders>
            <w:shd w:val="clear" w:color="auto" w:fill="auto"/>
          </w:tcPr>
          <w:p w14:paraId="6449E024" w14:textId="77777777" w:rsidR="002A4DDF" w:rsidRPr="00937C8B" w:rsidRDefault="002A4DDF" w:rsidP="009110ED">
            <w:pPr>
              <w:rPr>
                <w:rFonts w:ascii="Arial" w:hAnsi="Arial" w:cs="Arial"/>
                <w:sz w:val="12"/>
                <w:szCs w:val="12"/>
              </w:rPr>
            </w:pPr>
          </w:p>
        </w:tc>
        <w:tc>
          <w:tcPr>
            <w:tcW w:w="1843" w:type="dxa"/>
            <w:shd w:val="clear" w:color="auto" w:fill="auto"/>
          </w:tcPr>
          <w:p w14:paraId="0128BAF2" w14:textId="77777777" w:rsidR="002A4DDF" w:rsidRPr="00937C8B" w:rsidRDefault="002A4DDF" w:rsidP="009110ED">
            <w:pPr>
              <w:rPr>
                <w:rFonts w:ascii="Arial" w:hAnsi="Arial" w:cs="Arial"/>
                <w:sz w:val="12"/>
                <w:szCs w:val="12"/>
              </w:rPr>
            </w:pPr>
          </w:p>
        </w:tc>
        <w:tc>
          <w:tcPr>
            <w:tcW w:w="2268" w:type="dxa"/>
            <w:shd w:val="clear" w:color="auto" w:fill="F2F2F2"/>
            <w:hideMark/>
          </w:tcPr>
          <w:p w14:paraId="12987EAE" w14:textId="77777777" w:rsidR="002A4DDF" w:rsidRPr="00937C8B" w:rsidRDefault="002A4DDF" w:rsidP="009110ED">
            <w:pPr>
              <w:rPr>
                <w:rFonts w:ascii="Arial" w:hAnsi="Arial" w:cs="Arial"/>
                <w:sz w:val="12"/>
                <w:szCs w:val="12"/>
              </w:rPr>
            </w:pPr>
            <w:r>
              <w:rPr>
                <w:rFonts w:ascii="Arial" w:hAnsi="Arial"/>
                <w:sz w:val="12"/>
                <w:szCs w:val="12"/>
              </w:rPr>
              <w:t>Griñón</w:t>
            </w:r>
          </w:p>
        </w:tc>
        <w:tc>
          <w:tcPr>
            <w:tcW w:w="2268" w:type="dxa"/>
            <w:tcBorders>
              <w:right w:val="single" w:sz="4" w:space="0" w:color="auto"/>
            </w:tcBorders>
            <w:shd w:val="clear" w:color="auto" w:fill="D9D9D9"/>
            <w:hideMark/>
          </w:tcPr>
          <w:p w14:paraId="7F40857E" w14:textId="77777777" w:rsidR="002A4DDF" w:rsidRPr="00937C8B" w:rsidRDefault="002A4DDF" w:rsidP="009110ED">
            <w:pPr>
              <w:rPr>
                <w:rFonts w:ascii="Arial" w:hAnsi="Arial" w:cs="Arial"/>
                <w:sz w:val="12"/>
                <w:szCs w:val="12"/>
              </w:rPr>
            </w:pPr>
            <w:r>
              <w:rPr>
                <w:rFonts w:ascii="Arial" w:hAnsi="Arial"/>
                <w:sz w:val="12"/>
                <w:szCs w:val="12"/>
              </w:rPr>
              <w:t>El Boalo</w:t>
            </w:r>
          </w:p>
        </w:tc>
      </w:tr>
      <w:tr w:rsidR="002A4DDF" w:rsidRPr="00937C8B" w14:paraId="27B9406E" w14:textId="77777777" w:rsidTr="00935676">
        <w:trPr>
          <w:cantSplit/>
        </w:trPr>
        <w:tc>
          <w:tcPr>
            <w:tcW w:w="1696" w:type="dxa"/>
            <w:tcBorders>
              <w:left w:val="single" w:sz="4" w:space="0" w:color="auto"/>
            </w:tcBorders>
            <w:shd w:val="clear" w:color="auto" w:fill="auto"/>
          </w:tcPr>
          <w:p w14:paraId="760279BE" w14:textId="77777777" w:rsidR="002A4DDF" w:rsidRPr="00937C8B" w:rsidRDefault="002A4DDF" w:rsidP="009110ED">
            <w:pPr>
              <w:rPr>
                <w:rFonts w:ascii="Arial" w:hAnsi="Arial" w:cs="Arial"/>
                <w:sz w:val="12"/>
                <w:szCs w:val="12"/>
              </w:rPr>
            </w:pPr>
          </w:p>
        </w:tc>
        <w:tc>
          <w:tcPr>
            <w:tcW w:w="1843" w:type="dxa"/>
            <w:shd w:val="clear" w:color="auto" w:fill="auto"/>
          </w:tcPr>
          <w:p w14:paraId="580555B9" w14:textId="77777777" w:rsidR="002A4DDF" w:rsidRPr="00937C8B" w:rsidRDefault="002A4DDF" w:rsidP="009110ED">
            <w:pPr>
              <w:rPr>
                <w:rFonts w:ascii="Arial" w:hAnsi="Arial" w:cs="Arial"/>
                <w:sz w:val="12"/>
                <w:szCs w:val="12"/>
              </w:rPr>
            </w:pPr>
          </w:p>
        </w:tc>
        <w:tc>
          <w:tcPr>
            <w:tcW w:w="2268" w:type="dxa"/>
            <w:shd w:val="clear" w:color="auto" w:fill="F2F2F2"/>
            <w:hideMark/>
          </w:tcPr>
          <w:p w14:paraId="5FB68308" w14:textId="77777777" w:rsidR="002A4DDF" w:rsidRPr="00937C8B" w:rsidRDefault="002A4DDF" w:rsidP="009110ED">
            <w:pPr>
              <w:rPr>
                <w:rFonts w:ascii="Arial" w:hAnsi="Arial" w:cs="Arial"/>
                <w:sz w:val="12"/>
                <w:szCs w:val="12"/>
              </w:rPr>
            </w:pPr>
            <w:r>
              <w:rPr>
                <w:rFonts w:ascii="Arial" w:hAnsi="Arial"/>
                <w:sz w:val="12"/>
                <w:szCs w:val="12"/>
              </w:rPr>
              <w:t>Leganés</w:t>
            </w:r>
          </w:p>
        </w:tc>
        <w:tc>
          <w:tcPr>
            <w:tcW w:w="2268" w:type="dxa"/>
            <w:tcBorders>
              <w:right w:val="single" w:sz="4" w:space="0" w:color="auto"/>
            </w:tcBorders>
            <w:shd w:val="clear" w:color="auto" w:fill="D9D9D9"/>
            <w:hideMark/>
          </w:tcPr>
          <w:p w14:paraId="77CDA82A" w14:textId="77777777" w:rsidR="002A4DDF" w:rsidRPr="00937C8B" w:rsidRDefault="002A4DDF" w:rsidP="009110ED">
            <w:pPr>
              <w:rPr>
                <w:rFonts w:ascii="Arial" w:hAnsi="Arial" w:cs="Arial"/>
                <w:sz w:val="12"/>
                <w:szCs w:val="12"/>
              </w:rPr>
            </w:pPr>
            <w:r>
              <w:rPr>
                <w:rFonts w:ascii="Arial" w:hAnsi="Arial"/>
                <w:sz w:val="12"/>
                <w:szCs w:val="12"/>
              </w:rPr>
              <w:t>El Escorial</w:t>
            </w:r>
          </w:p>
        </w:tc>
      </w:tr>
      <w:tr w:rsidR="002A4DDF" w:rsidRPr="00937C8B" w14:paraId="1E976D63" w14:textId="77777777" w:rsidTr="00935676">
        <w:trPr>
          <w:cantSplit/>
        </w:trPr>
        <w:tc>
          <w:tcPr>
            <w:tcW w:w="1696" w:type="dxa"/>
            <w:tcBorders>
              <w:left w:val="single" w:sz="4" w:space="0" w:color="auto"/>
            </w:tcBorders>
            <w:shd w:val="clear" w:color="auto" w:fill="auto"/>
          </w:tcPr>
          <w:p w14:paraId="08E98877" w14:textId="77777777" w:rsidR="002A4DDF" w:rsidRPr="00937C8B" w:rsidRDefault="002A4DDF" w:rsidP="009110ED">
            <w:pPr>
              <w:rPr>
                <w:rFonts w:ascii="Arial" w:hAnsi="Arial" w:cs="Arial"/>
                <w:sz w:val="12"/>
                <w:szCs w:val="12"/>
              </w:rPr>
            </w:pPr>
          </w:p>
        </w:tc>
        <w:tc>
          <w:tcPr>
            <w:tcW w:w="1843" w:type="dxa"/>
            <w:shd w:val="clear" w:color="auto" w:fill="auto"/>
          </w:tcPr>
          <w:p w14:paraId="0225022B" w14:textId="77777777" w:rsidR="002A4DDF" w:rsidRPr="00937C8B" w:rsidRDefault="002A4DDF" w:rsidP="009110ED">
            <w:pPr>
              <w:rPr>
                <w:rFonts w:ascii="Arial" w:hAnsi="Arial" w:cs="Arial"/>
                <w:sz w:val="12"/>
                <w:szCs w:val="12"/>
              </w:rPr>
            </w:pPr>
          </w:p>
        </w:tc>
        <w:tc>
          <w:tcPr>
            <w:tcW w:w="2268" w:type="dxa"/>
            <w:shd w:val="clear" w:color="auto" w:fill="F2F2F2"/>
            <w:hideMark/>
          </w:tcPr>
          <w:p w14:paraId="60D0E34B" w14:textId="77777777" w:rsidR="002A4DDF" w:rsidRPr="00937C8B" w:rsidRDefault="002A4DDF" w:rsidP="009110ED">
            <w:pPr>
              <w:rPr>
                <w:rFonts w:ascii="Arial" w:hAnsi="Arial" w:cs="Arial"/>
                <w:sz w:val="12"/>
                <w:szCs w:val="12"/>
              </w:rPr>
            </w:pPr>
            <w:r>
              <w:rPr>
                <w:rFonts w:ascii="Arial" w:hAnsi="Arial"/>
                <w:sz w:val="12"/>
                <w:szCs w:val="12"/>
              </w:rPr>
              <w:t>Loeches</w:t>
            </w:r>
          </w:p>
        </w:tc>
        <w:tc>
          <w:tcPr>
            <w:tcW w:w="2268" w:type="dxa"/>
            <w:tcBorders>
              <w:right w:val="single" w:sz="4" w:space="0" w:color="auto"/>
            </w:tcBorders>
            <w:shd w:val="clear" w:color="auto" w:fill="D9D9D9"/>
            <w:hideMark/>
          </w:tcPr>
          <w:p w14:paraId="48AC8C84" w14:textId="77777777" w:rsidR="002A4DDF" w:rsidRPr="00937C8B" w:rsidRDefault="002A4DDF" w:rsidP="009110ED">
            <w:pPr>
              <w:rPr>
                <w:rFonts w:ascii="Arial" w:hAnsi="Arial" w:cs="Arial"/>
                <w:sz w:val="12"/>
                <w:szCs w:val="12"/>
              </w:rPr>
            </w:pPr>
            <w:r>
              <w:rPr>
                <w:rFonts w:ascii="Arial" w:hAnsi="Arial"/>
                <w:sz w:val="12"/>
                <w:szCs w:val="12"/>
              </w:rPr>
              <w:t>El Molar</w:t>
            </w:r>
          </w:p>
        </w:tc>
      </w:tr>
      <w:tr w:rsidR="002A4DDF" w:rsidRPr="00937C8B" w14:paraId="0B7B416E" w14:textId="77777777" w:rsidTr="00935676">
        <w:trPr>
          <w:cantSplit/>
        </w:trPr>
        <w:tc>
          <w:tcPr>
            <w:tcW w:w="1696" w:type="dxa"/>
            <w:tcBorders>
              <w:left w:val="single" w:sz="4" w:space="0" w:color="auto"/>
            </w:tcBorders>
            <w:shd w:val="clear" w:color="auto" w:fill="auto"/>
          </w:tcPr>
          <w:p w14:paraId="324C22BE" w14:textId="77777777" w:rsidR="002A4DDF" w:rsidRPr="00937C8B" w:rsidRDefault="002A4DDF" w:rsidP="009110ED">
            <w:pPr>
              <w:rPr>
                <w:rFonts w:ascii="Arial" w:hAnsi="Arial" w:cs="Arial"/>
                <w:sz w:val="12"/>
                <w:szCs w:val="12"/>
              </w:rPr>
            </w:pPr>
          </w:p>
        </w:tc>
        <w:tc>
          <w:tcPr>
            <w:tcW w:w="1843" w:type="dxa"/>
            <w:shd w:val="clear" w:color="auto" w:fill="auto"/>
          </w:tcPr>
          <w:p w14:paraId="2DDD9A35" w14:textId="77777777" w:rsidR="002A4DDF" w:rsidRPr="00937C8B" w:rsidRDefault="002A4DDF" w:rsidP="009110ED">
            <w:pPr>
              <w:rPr>
                <w:rFonts w:ascii="Arial" w:hAnsi="Arial" w:cs="Arial"/>
                <w:sz w:val="12"/>
                <w:szCs w:val="12"/>
              </w:rPr>
            </w:pPr>
          </w:p>
        </w:tc>
        <w:tc>
          <w:tcPr>
            <w:tcW w:w="2268" w:type="dxa"/>
            <w:shd w:val="clear" w:color="auto" w:fill="F2F2F2"/>
            <w:hideMark/>
          </w:tcPr>
          <w:p w14:paraId="2971AC29" w14:textId="77777777" w:rsidR="002A4DDF" w:rsidRPr="00937C8B" w:rsidRDefault="002A4DDF" w:rsidP="009110ED">
            <w:pPr>
              <w:rPr>
                <w:rFonts w:ascii="Arial" w:hAnsi="Arial" w:cs="Arial"/>
                <w:sz w:val="12"/>
                <w:szCs w:val="12"/>
              </w:rPr>
            </w:pPr>
            <w:r>
              <w:rPr>
                <w:rFonts w:ascii="Arial" w:hAnsi="Arial"/>
                <w:sz w:val="12"/>
                <w:szCs w:val="12"/>
              </w:rPr>
              <w:t>Los Santos de la Humosa</w:t>
            </w:r>
          </w:p>
        </w:tc>
        <w:tc>
          <w:tcPr>
            <w:tcW w:w="2268" w:type="dxa"/>
            <w:tcBorders>
              <w:right w:val="single" w:sz="4" w:space="0" w:color="auto"/>
            </w:tcBorders>
            <w:shd w:val="clear" w:color="auto" w:fill="D9D9D9"/>
            <w:hideMark/>
          </w:tcPr>
          <w:p w14:paraId="08E6709F" w14:textId="77777777" w:rsidR="002A4DDF" w:rsidRPr="00937C8B" w:rsidRDefault="002A4DDF" w:rsidP="009110ED">
            <w:pPr>
              <w:rPr>
                <w:rFonts w:ascii="Arial" w:hAnsi="Arial" w:cs="Arial"/>
                <w:sz w:val="12"/>
                <w:szCs w:val="12"/>
              </w:rPr>
            </w:pPr>
            <w:r>
              <w:rPr>
                <w:rFonts w:ascii="Arial" w:hAnsi="Arial"/>
                <w:sz w:val="12"/>
                <w:szCs w:val="12"/>
              </w:rPr>
              <w:t>El Vellón</w:t>
            </w:r>
          </w:p>
        </w:tc>
      </w:tr>
      <w:tr w:rsidR="002A4DDF" w:rsidRPr="00937C8B" w14:paraId="79C86FD3" w14:textId="77777777" w:rsidTr="00935676">
        <w:trPr>
          <w:cantSplit/>
        </w:trPr>
        <w:tc>
          <w:tcPr>
            <w:tcW w:w="1696" w:type="dxa"/>
            <w:tcBorders>
              <w:left w:val="single" w:sz="4" w:space="0" w:color="auto"/>
            </w:tcBorders>
            <w:shd w:val="clear" w:color="auto" w:fill="auto"/>
          </w:tcPr>
          <w:p w14:paraId="1289DF3F" w14:textId="77777777" w:rsidR="002A4DDF" w:rsidRPr="00937C8B" w:rsidRDefault="002A4DDF" w:rsidP="009110ED">
            <w:pPr>
              <w:rPr>
                <w:rFonts w:ascii="Arial" w:hAnsi="Arial" w:cs="Arial"/>
                <w:sz w:val="12"/>
                <w:szCs w:val="12"/>
              </w:rPr>
            </w:pPr>
          </w:p>
        </w:tc>
        <w:tc>
          <w:tcPr>
            <w:tcW w:w="1843" w:type="dxa"/>
            <w:shd w:val="clear" w:color="auto" w:fill="auto"/>
          </w:tcPr>
          <w:p w14:paraId="4E4635E6" w14:textId="77777777" w:rsidR="002A4DDF" w:rsidRPr="00937C8B" w:rsidRDefault="002A4DDF" w:rsidP="009110ED">
            <w:pPr>
              <w:rPr>
                <w:rFonts w:ascii="Arial" w:hAnsi="Arial" w:cs="Arial"/>
                <w:sz w:val="12"/>
                <w:szCs w:val="12"/>
              </w:rPr>
            </w:pPr>
          </w:p>
        </w:tc>
        <w:tc>
          <w:tcPr>
            <w:tcW w:w="2268" w:type="dxa"/>
            <w:shd w:val="clear" w:color="auto" w:fill="F2F2F2"/>
            <w:hideMark/>
          </w:tcPr>
          <w:p w14:paraId="768E935D" w14:textId="77777777" w:rsidR="002A4DDF" w:rsidRPr="00937C8B" w:rsidRDefault="002A4DDF" w:rsidP="009110ED">
            <w:pPr>
              <w:rPr>
                <w:rFonts w:ascii="Arial" w:hAnsi="Arial" w:cs="Arial"/>
                <w:sz w:val="12"/>
                <w:szCs w:val="12"/>
              </w:rPr>
            </w:pPr>
            <w:r>
              <w:rPr>
                <w:rFonts w:ascii="Arial" w:hAnsi="Arial"/>
                <w:sz w:val="12"/>
                <w:szCs w:val="12"/>
              </w:rPr>
              <w:t>Meco</w:t>
            </w:r>
          </w:p>
        </w:tc>
        <w:tc>
          <w:tcPr>
            <w:tcW w:w="2268" w:type="dxa"/>
            <w:tcBorders>
              <w:right w:val="single" w:sz="4" w:space="0" w:color="auto"/>
            </w:tcBorders>
            <w:shd w:val="clear" w:color="auto" w:fill="D9D9D9"/>
            <w:hideMark/>
          </w:tcPr>
          <w:p w14:paraId="56B85CAE" w14:textId="77777777" w:rsidR="002A4DDF" w:rsidRPr="00937C8B" w:rsidRDefault="002A4DDF" w:rsidP="009110ED">
            <w:pPr>
              <w:rPr>
                <w:rFonts w:ascii="Arial" w:hAnsi="Arial" w:cs="Arial"/>
                <w:sz w:val="12"/>
                <w:szCs w:val="12"/>
              </w:rPr>
            </w:pPr>
            <w:r>
              <w:rPr>
                <w:rFonts w:ascii="Arial" w:hAnsi="Arial"/>
                <w:sz w:val="12"/>
                <w:szCs w:val="12"/>
              </w:rPr>
              <w:t>Fresnedillas de la Oliva</w:t>
            </w:r>
          </w:p>
        </w:tc>
      </w:tr>
      <w:tr w:rsidR="002A4DDF" w:rsidRPr="00937C8B" w14:paraId="111A1D02" w14:textId="77777777" w:rsidTr="00935676">
        <w:trPr>
          <w:cantSplit/>
        </w:trPr>
        <w:tc>
          <w:tcPr>
            <w:tcW w:w="1696" w:type="dxa"/>
            <w:tcBorders>
              <w:left w:val="single" w:sz="4" w:space="0" w:color="auto"/>
            </w:tcBorders>
            <w:shd w:val="clear" w:color="auto" w:fill="auto"/>
          </w:tcPr>
          <w:p w14:paraId="1976F215" w14:textId="77777777" w:rsidR="002A4DDF" w:rsidRPr="00937C8B" w:rsidRDefault="002A4DDF" w:rsidP="009110ED">
            <w:pPr>
              <w:rPr>
                <w:rFonts w:ascii="Arial" w:hAnsi="Arial" w:cs="Arial"/>
                <w:sz w:val="12"/>
                <w:szCs w:val="12"/>
              </w:rPr>
            </w:pPr>
          </w:p>
        </w:tc>
        <w:tc>
          <w:tcPr>
            <w:tcW w:w="1843" w:type="dxa"/>
            <w:shd w:val="clear" w:color="auto" w:fill="auto"/>
          </w:tcPr>
          <w:p w14:paraId="0331CFFF" w14:textId="77777777" w:rsidR="002A4DDF" w:rsidRPr="00937C8B" w:rsidRDefault="002A4DDF" w:rsidP="009110ED">
            <w:pPr>
              <w:rPr>
                <w:rFonts w:ascii="Arial" w:hAnsi="Arial" w:cs="Arial"/>
                <w:sz w:val="12"/>
                <w:szCs w:val="12"/>
              </w:rPr>
            </w:pPr>
          </w:p>
        </w:tc>
        <w:tc>
          <w:tcPr>
            <w:tcW w:w="2268" w:type="dxa"/>
            <w:shd w:val="clear" w:color="auto" w:fill="F2F2F2"/>
            <w:hideMark/>
          </w:tcPr>
          <w:p w14:paraId="29051E3D" w14:textId="77777777" w:rsidR="002A4DDF" w:rsidRPr="00937C8B" w:rsidRDefault="002A4DDF" w:rsidP="009110ED">
            <w:pPr>
              <w:rPr>
                <w:rFonts w:ascii="Arial" w:hAnsi="Arial" w:cs="Arial"/>
                <w:sz w:val="12"/>
                <w:szCs w:val="12"/>
              </w:rPr>
            </w:pPr>
            <w:r>
              <w:rPr>
                <w:rFonts w:ascii="Arial" w:hAnsi="Arial"/>
                <w:sz w:val="12"/>
                <w:szCs w:val="12"/>
              </w:rPr>
              <w:t>Mejorada del Campo</w:t>
            </w:r>
          </w:p>
        </w:tc>
        <w:tc>
          <w:tcPr>
            <w:tcW w:w="2268" w:type="dxa"/>
            <w:tcBorders>
              <w:right w:val="single" w:sz="4" w:space="0" w:color="auto"/>
            </w:tcBorders>
            <w:shd w:val="clear" w:color="auto" w:fill="D9D9D9"/>
            <w:hideMark/>
          </w:tcPr>
          <w:p w14:paraId="4465D145" w14:textId="77777777" w:rsidR="002A4DDF" w:rsidRPr="00937C8B" w:rsidRDefault="002A4DDF" w:rsidP="009110ED">
            <w:pPr>
              <w:rPr>
                <w:rFonts w:ascii="Arial" w:hAnsi="Arial" w:cs="Arial"/>
                <w:sz w:val="12"/>
                <w:szCs w:val="12"/>
              </w:rPr>
            </w:pPr>
            <w:r>
              <w:rPr>
                <w:rFonts w:ascii="Arial" w:hAnsi="Arial"/>
                <w:sz w:val="12"/>
                <w:szCs w:val="12"/>
              </w:rPr>
              <w:t>Galapagar</w:t>
            </w:r>
          </w:p>
        </w:tc>
      </w:tr>
      <w:tr w:rsidR="002A4DDF" w:rsidRPr="00937C8B" w14:paraId="3764E1FC" w14:textId="77777777" w:rsidTr="00935676">
        <w:trPr>
          <w:cantSplit/>
        </w:trPr>
        <w:tc>
          <w:tcPr>
            <w:tcW w:w="1696" w:type="dxa"/>
            <w:tcBorders>
              <w:left w:val="single" w:sz="4" w:space="0" w:color="auto"/>
            </w:tcBorders>
            <w:shd w:val="clear" w:color="auto" w:fill="auto"/>
          </w:tcPr>
          <w:p w14:paraId="31D7A082" w14:textId="77777777" w:rsidR="002A4DDF" w:rsidRPr="00937C8B" w:rsidRDefault="002A4DDF" w:rsidP="009110ED">
            <w:pPr>
              <w:rPr>
                <w:rFonts w:ascii="Arial" w:hAnsi="Arial" w:cs="Arial"/>
                <w:sz w:val="12"/>
                <w:szCs w:val="12"/>
              </w:rPr>
            </w:pPr>
          </w:p>
        </w:tc>
        <w:tc>
          <w:tcPr>
            <w:tcW w:w="1843" w:type="dxa"/>
            <w:shd w:val="clear" w:color="auto" w:fill="auto"/>
          </w:tcPr>
          <w:p w14:paraId="38355958" w14:textId="77777777" w:rsidR="002A4DDF" w:rsidRPr="00937C8B" w:rsidRDefault="002A4DDF" w:rsidP="009110ED">
            <w:pPr>
              <w:rPr>
                <w:rFonts w:ascii="Arial" w:hAnsi="Arial" w:cs="Arial"/>
                <w:sz w:val="12"/>
                <w:szCs w:val="12"/>
              </w:rPr>
            </w:pPr>
          </w:p>
        </w:tc>
        <w:tc>
          <w:tcPr>
            <w:tcW w:w="2268" w:type="dxa"/>
            <w:shd w:val="clear" w:color="auto" w:fill="F2F2F2"/>
            <w:hideMark/>
          </w:tcPr>
          <w:p w14:paraId="71B14EB2" w14:textId="77777777" w:rsidR="002A4DDF" w:rsidRPr="00937C8B" w:rsidRDefault="002A4DDF" w:rsidP="009110ED">
            <w:pPr>
              <w:rPr>
                <w:rFonts w:ascii="Arial" w:hAnsi="Arial" w:cs="Arial"/>
                <w:sz w:val="12"/>
                <w:szCs w:val="12"/>
              </w:rPr>
            </w:pPr>
            <w:r>
              <w:rPr>
                <w:rFonts w:ascii="Arial" w:hAnsi="Arial"/>
                <w:sz w:val="12"/>
                <w:szCs w:val="12"/>
              </w:rPr>
              <w:t>Morata de Tajuña</w:t>
            </w:r>
          </w:p>
        </w:tc>
        <w:tc>
          <w:tcPr>
            <w:tcW w:w="2268" w:type="dxa"/>
            <w:tcBorders>
              <w:right w:val="single" w:sz="4" w:space="0" w:color="auto"/>
            </w:tcBorders>
            <w:shd w:val="clear" w:color="auto" w:fill="D9D9D9"/>
            <w:hideMark/>
          </w:tcPr>
          <w:p w14:paraId="3A24F8AD" w14:textId="77777777" w:rsidR="002A4DDF" w:rsidRPr="00937C8B" w:rsidRDefault="002A4DDF" w:rsidP="009110ED">
            <w:pPr>
              <w:rPr>
                <w:rFonts w:ascii="Arial" w:hAnsi="Arial" w:cs="Arial"/>
                <w:sz w:val="12"/>
                <w:szCs w:val="12"/>
              </w:rPr>
            </w:pPr>
            <w:r>
              <w:rPr>
                <w:rFonts w:ascii="Arial" w:hAnsi="Arial"/>
                <w:sz w:val="12"/>
                <w:szCs w:val="12"/>
              </w:rPr>
              <w:t>Garganta de los Montes</w:t>
            </w:r>
          </w:p>
        </w:tc>
      </w:tr>
      <w:tr w:rsidR="002A4DDF" w:rsidRPr="00937C8B" w14:paraId="367ADDD4" w14:textId="77777777" w:rsidTr="00935676">
        <w:trPr>
          <w:cantSplit/>
        </w:trPr>
        <w:tc>
          <w:tcPr>
            <w:tcW w:w="1696" w:type="dxa"/>
            <w:tcBorders>
              <w:left w:val="single" w:sz="4" w:space="0" w:color="auto"/>
            </w:tcBorders>
            <w:shd w:val="clear" w:color="auto" w:fill="auto"/>
          </w:tcPr>
          <w:p w14:paraId="343E51EC" w14:textId="77777777" w:rsidR="002A4DDF" w:rsidRPr="00937C8B" w:rsidRDefault="002A4DDF" w:rsidP="009110ED">
            <w:pPr>
              <w:rPr>
                <w:rFonts w:ascii="Arial" w:hAnsi="Arial" w:cs="Arial"/>
                <w:sz w:val="12"/>
                <w:szCs w:val="12"/>
              </w:rPr>
            </w:pPr>
          </w:p>
        </w:tc>
        <w:tc>
          <w:tcPr>
            <w:tcW w:w="1843" w:type="dxa"/>
            <w:shd w:val="clear" w:color="auto" w:fill="auto"/>
          </w:tcPr>
          <w:p w14:paraId="55D98840" w14:textId="77777777" w:rsidR="002A4DDF" w:rsidRPr="00937C8B" w:rsidRDefault="002A4DDF" w:rsidP="009110ED">
            <w:pPr>
              <w:rPr>
                <w:rFonts w:ascii="Arial" w:hAnsi="Arial" w:cs="Arial"/>
                <w:sz w:val="12"/>
                <w:szCs w:val="12"/>
              </w:rPr>
            </w:pPr>
          </w:p>
        </w:tc>
        <w:tc>
          <w:tcPr>
            <w:tcW w:w="2268" w:type="dxa"/>
            <w:shd w:val="clear" w:color="auto" w:fill="F2F2F2"/>
            <w:hideMark/>
          </w:tcPr>
          <w:p w14:paraId="154CDDF6" w14:textId="77777777" w:rsidR="002A4DDF" w:rsidRPr="00937C8B" w:rsidRDefault="002A4DDF" w:rsidP="009110ED">
            <w:pPr>
              <w:rPr>
                <w:rFonts w:ascii="Arial" w:hAnsi="Arial" w:cs="Arial"/>
                <w:sz w:val="12"/>
                <w:szCs w:val="12"/>
              </w:rPr>
            </w:pPr>
            <w:r>
              <w:rPr>
                <w:rFonts w:ascii="Arial" w:hAnsi="Arial"/>
                <w:sz w:val="12"/>
                <w:szCs w:val="12"/>
              </w:rPr>
              <w:t>Paracuellos de Jarama</w:t>
            </w:r>
          </w:p>
        </w:tc>
        <w:tc>
          <w:tcPr>
            <w:tcW w:w="2268" w:type="dxa"/>
            <w:tcBorders>
              <w:right w:val="single" w:sz="4" w:space="0" w:color="auto"/>
            </w:tcBorders>
            <w:shd w:val="clear" w:color="auto" w:fill="D9D9D9"/>
            <w:hideMark/>
          </w:tcPr>
          <w:p w14:paraId="40EBF09F" w14:textId="77777777" w:rsidR="002A4DDF" w:rsidRPr="00937C8B" w:rsidRDefault="002A4DDF" w:rsidP="009110ED">
            <w:pPr>
              <w:rPr>
                <w:rFonts w:ascii="Arial" w:hAnsi="Arial" w:cs="Arial"/>
                <w:sz w:val="12"/>
                <w:szCs w:val="12"/>
              </w:rPr>
            </w:pPr>
            <w:r>
              <w:rPr>
                <w:rFonts w:ascii="Arial" w:hAnsi="Arial"/>
                <w:sz w:val="12"/>
                <w:szCs w:val="12"/>
              </w:rPr>
              <w:t>Gargantilla del Lozoya y Pinilla de Buitrago</w:t>
            </w:r>
          </w:p>
        </w:tc>
      </w:tr>
      <w:tr w:rsidR="002A4DDF" w:rsidRPr="00937C8B" w14:paraId="19B9DD2B" w14:textId="77777777" w:rsidTr="00935676">
        <w:trPr>
          <w:cantSplit/>
        </w:trPr>
        <w:tc>
          <w:tcPr>
            <w:tcW w:w="1696" w:type="dxa"/>
            <w:tcBorders>
              <w:left w:val="single" w:sz="4" w:space="0" w:color="auto"/>
            </w:tcBorders>
            <w:shd w:val="clear" w:color="auto" w:fill="auto"/>
          </w:tcPr>
          <w:p w14:paraId="229CCE3B" w14:textId="77777777" w:rsidR="002A4DDF" w:rsidRPr="00937C8B" w:rsidRDefault="002A4DDF" w:rsidP="009110ED">
            <w:pPr>
              <w:rPr>
                <w:rFonts w:ascii="Arial" w:hAnsi="Arial" w:cs="Arial"/>
                <w:sz w:val="12"/>
                <w:szCs w:val="12"/>
              </w:rPr>
            </w:pPr>
          </w:p>
        </w:tc>
        <w:tc>
          <w:tcPr>
            <w:tcW w:w="1843" w:type="dxa"/>
            <w:shd w:val="clear" w:color="auto" w:fill="auto"/>
          </w:tcPr>
          <w:p w14:paraId="74A07A75" w14:textId="77777777" w:rsidR="002A4DDF" w:rsidRPr="00937C8B" w:rsidRDefault="002A4DDF" w:rsidP="009110ED">
            <w:pPr>
              <w:rPr>
                <w:rFonts w:ascii="Arial" w:hAnsi="Arial" w:cs="Arial"/>
                <w:sz w:val="12"/>
                <w:szCs w:val="12"/>
              </w:rPr>
            </w:pPr>
          </w:p>
        </w:tc>
        <w:tc>
          <w:tcPr>
            <w:tcW w:w="2268" w:type="dxa"/>
            <w:shd w:val="clear" w:color="auto" w:fill="F2F2F2"/>
            <w:hideMark/>
          </w:tcPr>
          <w:p w14:paraId="4B86D037" w14:textId="77777777" w:rsidR="002A4DDF" w:rsidRPr="00937C8B" w:rsidRDefault="002A4DDF" w:rsidP="009110ED">
            <w:pPr>
              <w:rPr>
                <w:rFonts w:ascii="Arial" w:hAnsi="Arial" w:cs="Arial"/>
                <w:sz w:val="12"/>
                <w:szCs w:val="12"/>
              </w:rPr>
            </w:pPr>
            <w:r>
              <w:rPr>
                <w:rFonts w:ascii="Arial" w:hAnsi="Arial"/>
                <w:sz w:val="12"/>
                <w:szCs w:val="12"/>
              </w:rPr>
              <w:t>Patones</w:t>
            </w:r>
          </w:p>
        </w:tc>
        <w:tc>
          <w:tcPr>
            <w:tcW w:w="2268" w:type="dxa"/>
            <w:tcBorders>
              <w:right w:val="single" w:sz="4" w:space="0" w:color="auto"/>
            </w:tcBorders>
            <w:shd w:val="clear" w:color="auto" w:fill="D9D9D9"/>
            <w:hideMark/>
          </w:tcPr>
          <w:p w14:paraId="0DEEB59C" w14:textId="77777777" w:rsidR="002A4DDF" w:rsidRPr="00937C8B" w:rsidRDefault="002A4DDF" w:rsidP="009110ED">
            <w:pPr>
              <w:rPr>
                <w:rFonts w:ascii="Arial" w:hAnsi="Arial" w:cs="Arial"/>
                <w:sz w:val="12"/>
                <w:szCs w:val="12"/>
              </w:rPr>
            </w:pPr>
            <w:r>
              <w:rPr>
                <w:rFonts w:ascii="Arial" w:hAnsi="Arial"/>
                <w:sz w:val="12"/>
                <w:szCs w:val="12"/>
              </w:rPr>
              <w:t>Gascones</w:t>
            </w:r>
          </w:p>
        </w:tc>
      </w:tr>
      <w:tr w:rsidR="002A4DDF" w:rsidRPr="00937C8B" w14:paraId="6F80282C" w14:textId="77777777" w:rsidTr="00935676">
        <w:trPr>
          <w:cantSplit/>
        </w:trPr>
        <w:tc>
          <w:tcPr>
            <w:tcW w:w="1696" w:type="dxa"/>
            <w:tcBorders>
              <w:left w:val="single" w:sz="4" w:space="0" w:color="auto"/>
            </w:tcBorders>
            <w:shd w:val="clear" w:color="auto" w:fill="auto"/>
          </w:tcPr>
          <w:p w14:paraId="0A6676A4" w14:textId="77777777" w:rsidR="002A4DDF" w:rsidRPr="00937C8B" w:rsidRDefault="002A4DDF" w:rsidP="009110ED">
            <w:pPr>
              <w:rPr>
                <w:rFonts w:ascii="Arial" w:hAnsi="Arial" w:cs="Arial"/>
                <w:sz w:val="12"/>
                <w:szCs w:val="12"/>
              </w:rPr>
            </w:pPr>
          </w:p>
        </w:tc>
        <w:tc>
          <w:tcPr>
            <w:tcW w:w="1843" w:type="dxa"/>
            <w:shd w:val="clear" w:color="auto" w:fill="auto"/>
          </w:tcPr>
          <w:p w14:paraId="17E23803" w14:textId="77777777" w:rsidR="002A4DDF" w:rsidRPr="00937C8B" w:rsidRDefault="002A4DDF" w:rsidP="009110ED">
            <w:pPr>
              <w:rPr>
                <w:rFonts w:ascii="Arial" w:hAnsi="Arial" w:cs="Arial"/>
                <w:sz w:val="12"/>
                <w:szCs w:val="12"/>
              </w:rPr>
            </w:pPr>
          </w:p>
        </w:tc>
        <w:tc>
          <w:tcPr>
            <w:tcW w:w="2268" w:type="dxa"/>
            <w:shd w:val="clear" w:color="auto" w:fill="F2F2F2"/>
            <w:hideMark/>
          </w:tcPr>
          <w:p w14:paraId="5C8B9B09" w14:textId="77777777" w:rsidR="002A4DDF" w:rsidRPr="00937C8B" w:rsidRDefault="002A4DDF" w:rsidP="009110ED">
            <w:pPr>
              <w:rPr>
                <w:rFonts w:ascii="Arial" w:hAnsi="Arial" w:cs="Arial"/>
                <w:sz w:val="12"/>
                <w:szCs w:val="12"/>
              </w:rPr>
            </w:pPr>
            <w:r>
              <w:rPr>
                <w:rFonts w:ascii="Arial" w:hAnsi="Arial"/>
                <w:sz w:val="12"/>
                <w:szCs w:val="12"/>
              </w:rPr>
              <w:t>Perales de Tajuña</w:t>
            </w:r>
          </w:p>
        </w:tc>
        <w:tc>
          <w:tcPr>
            <w:tcW w:w="2268" w:type="dxa"/>
            <w:tcBorders>
              <w:right w:val="single" w:sz="4" w:space="0" w:color="auto"/>
            </w:tcBorders>
            <w:shd w:val="clear" w:color="auto" w:fill="D9D9D9"/>
            <w:hideMark/>
          </w:tcPr>
          <w:p w14:paraId="72C7A133" w14:textId="77777777" w:rsidR="002A4DDF" w:rsidRPr="00937C8B" w:rsidRDefault="002A4DDF" w:rsidP="009110ED">
            <w:pPr>
              <w:rPr>
                <w:rFonts w:ascii="Arial" w:hAnsi="Arial" w:cs="Arial"/>
                <w:sz w:val="12"/>
                <w:szCs w:val="12"/>
              </w:rPr>
            </w:pPr>
            <w:r>
              <w:rPr>
                <w:rFonts w:ascii="Arial" w:hAnsi="Arial"/>
                <w:sz w:val="12"/>
                <w:szCs w:val="12"/>
              </w:rPr>
              <w:t>Guadalix de la Sierra</w:t>
            </w:r>
          </w:p>
        </w:tc>
      </w:tr>
      <w:tr w:rsidR="002A4DDF" w:rsidRPr="00937C8B" w14:paraId="742224A6" w14:textId="77777777" w:rsidTr="00935676">
        <w:trPr>
          <w:cantSplit/>
        </w:trPr>
        <w:tc>
          <w:tcPr>
            <w:tcW w:w="1696" w:type="dxa"/>
            <w:tcBorders>
              <w:left w:val="single" w:sz="4" w:space="0" w:color="auto"/>
            </w:tcBorders>
            <w:shd w:val="clear" w:color="auto" w:fill="auto"/>
          </w:tcPr>
          <w:p w14:paraId="2292098F" w14:textId="77777777" w:rsidR="002A4DDF" w:rsidRPr="00937C8B" w:rsidRDefault="002A4DDF" w:rsidP="009110ED">
            <w:pPr>
              <w:rPr>
                <w:rFonts w:ascii="Arial" w:hAnsi="Arial" w:cs="Arial"/>
                <w:sz w:val="12"/>
                <w:szCs w:val="12"/>
              </w:rPr>
            </w:pPr>
          </w:p>
        </w:tc>
        <w:tc>
          <w:tcPr>
            <w:tcW w:w="1843" w:type="dxa"/>
            <w:shd w:val="clear" w:color="auto" w:fill="auto"/>
          </w:tcPr>
          <w:p w14:paraId="57858A3D" w14:textId="77777777" w:rsidR="002A4DDF" w:rsidRPr="00937C8B" w:rsidRDefault="002A4DDF" w:rsidP="009110ED">
            <w:pPr>
              <w:rPr>
                <w:rFonts w:ascii="Arial" w:hAnsi="Arial" w:cs="Arial"/>
                <w:sz w:val="12"/>
                <w:szCs w:val="12"/>
              </w:rPr>
            </w:pPr>
          </w:p>
        </w:tc>
        <w:tc>
          <w:tcPr>
            <w:tcW w:w="2268" w:type="dxa"/>
            <w:shd w:val="clear" w:color="auto" w:fill="F2F2F2"/>
            <w:hideMark/>
          </w:tcPr>
          <w:p w14:paraId="39153774" w14:textId="77777777" w:rsidR="002A4DDF" w:rsidRPr="00937C8B" w:rsidRDefault="002A4DDF" w:rsidP="009110ED">
            <w:pPr>
              <w:rPr>
                <w:rFonts w:ascii="Arial" w:hAnsi="Arial" w:cs="Arial"/>
                <w:sz w:val="12"/>
                <w:szCs w:val="12"/>
              </w:rPr>
            </w:pPr>
            <w:r>
              <w:rPr>
                <w:rFonts w:ascii="Arial" w:hAnsi="Arial"/>
                <w:sz w:val="12"/>
                <w:szCs w:val="12"/>
              </w:rPr>
              <w:t>Pinilla del Valle</w:t>
            </w:r>
          </w:p>
        </w:tc>
        <w:tc>
          <w:tcPr>
            <w:tcW w:w="2268" w:type="dxa"/>
            <w:tcBorders>
              <w:right w:val="single" w:sz="4" w:space="0" w:color="auto"/>
            </w:tcBorders>
            <w:shd w:val="clear" w:color="auto" w:fill="D9D9D9"/>
            <w:hideMark/>
          </w:tcPr>
          <w:p w14:paraId="7DFD2930" w14:textId="77777777" w:rsidR="002A4DDF" w:rsidRPr="00937C8B" w:rsidRDefault="002A4DDF" w:rsidP="009110ED">
            <w:pPr>
              <w:rPr>
                <w:rFonts w:ascii="Arial" w:hAnsi="Arial" w:cs="Arial"/>
                <w:sz w:val="12"/>
                <w:szCs w:val="12"/>
              </w:rPr>
            </w:pPr>
            <w:r>
              <w:rPr>
                <w:rFonts w:ascii="Arial" w:hAnsi="Arial"/>
                <w:sz w:val="12"/>
                <w:szCs w:val="12"/>
              </w:rPr>
              <w:t>Guadarrama</w:t>
            </w:r>
          </w:p>
        </w:tc>
      </w:tr>
      <w:tr w:rsidR="002A4DDF" w:rsidRPr="00937C8B" w14:paraId="64443947" w14:textId="77777777" w:rsidTr="00935676">
        <w:trPr>
          <w:cantSplit/>
        </w:trPr>
        <w:tc>
          <w:tcPr>
            <w:tcW w:w="1696" w:type="dxa"/>
            <w:tcBorders>
              <w:left w:val="single" w:sz="4" w:space="0" w:color="auto"/>
            </w:tcBorders>
            <w:shd w:val="clear" w:color="auto" w:fill="auto"/>
          </w:tcPr>
          <w:p w14:paraId="5CE4EB37" w14:textId="77777777" w:rsidR="002A4DDF" w:rsidRPr="00937C8B" w:rsidRDefault="002A4DDF" w:rsidP="009110ED">
            <w:pPr>
              <w:rPr>
                <w:rFonts w:ascii="Arial" w:hAnsi="Arial" w:cs="Arial"/>
                <w:sz w:val="12"/>
                <w:szCs w:val="12"/>
              </w:rPr>
            </w:pPr>
          </w:p>
        </w:tc>
        <w:tc>
          <w:tcPr>
            <w:tcW w:w="1843" w:type="dxa"/>
            <w:shd w:val="clear" w:color="auto" w:fill="auto"/>
          </w:tcPr>
          <w:p w14:paraId="55208102" w14:textId="77777777" w:rsidR="002A4DDF" w:rsidRPr="00937C8B" w:rsidRDefault="002A4DDF" w:rsidP="009110ED">
            <w:pPr>
              <w:rPr>
                <w:rFonts w:ascii="Arial" w:hAnsi="Arial" w:cs="Arial"/>
                <w:sz w:val="12"/>
                <w:szCs w:val="12"/>
              </w:rPr>
            </w:pPr>
          </w:p>
        </w:tc>
        <w:tc>
          <w:tcPr>
            <w:tcW w:w="2268" w:type="dxa"/>
            <w:shd w:val="clear" w:color="auto" w:fill="F2F2F2"/>
            <w:hideMark/>
          </w:tcPr>
          <w:p w14:paraId="5B02165F" w14:textId="77777777" w:rsidR="002A4DDF" w:rsidRPr="00937C8B" w:rsidRDefault="002A4DDF" w:rsidP="009110ED">
            <w:pPr>
              <w:rPr>
                <w:rFonts w:ascii="Arial" w:hAnsi="Arial" w:cs="Arial"/>
                <w:sz w:val="12"/>
                <w:szCs w:val="12"/>
              </w:rPr>
            </w:pPr>
            <w:r>
              <w:rPr>
                <w:rFonts w:ascii="Arial" w:hAnsi="Arial"/>
                <w:sz w:val="12"/>
                <w:szCs w:val="12"/>
              </w:rPr>
              <w:t>Pinto</w:t>
            </w:r>
          </w:p>
        </w:tc>
        <w:tc>
          <w:tcPr>
            <w:tcW w:w="2268" w:type="dxa"/>
            <w:tcBorders>
              <w:right w:val="single" w:sz="4" w:space="0" w:color="auto"/>
            </w:tcBorders>
            <w:shd w:val="clear" w:color="auto" w:fill="D9D9D9"/>
            <w:hideMark/>
          </w:tcPr>
          <w:p w14:paraId="7A2122E2" w14:textId="77777777" w:rsidR="002A4DDF" w:rsidRPr="00937C8B" w:rsidRDefault="002A4DDF" w:rsidP="009110ED">
            <w:pPr>
              <w:rPr>
                <w:rFonts w:ascii="Arial" w:hAnsi="Arial" w:cs="Arial"/>
                <w:sz w:val="12"/>
                <w:szCs w:val="12"/>
              </w:rPr>
            </w:pPr>
            <w:r>
              <w:rPr>
                <w:rFonts w:ascii="Arial" w:hAnsi="Arial"/>
                <w:sz w:val="12"/>
                <w:szCs w:val="12"/>
              </w:rPr>
              <w:t>Horcajo de la Sierra-Aoslos</w:t>
            </w:r>
          </w:p>
        </w:tc>
      </w:tr>
      <w:tr w:rsidR="002A4DDF" w:rsidRPr="00937C8B" w14:paraId="0A12C301" w14:textId="77777777" w:rsidTr="00935676">
        <w:trPr>
          <w:cantSplit/>
        </w:trPr>
        <w:tc>
          <w:tcPr>
            <w:tcW w:w="1696" w:type="dxa"/>
            <w:tcBorders>
              <w:left w:val="single" w:sz="4" w:space="0" w:color="auto"/>
            </w:tcBorders>
            <w:shd w:val="clear" w:color="auto" w:fill="auto"/>
          </w:tcPr>
          <w:p w14:paraId="28563854" w14:textId="77777777" w:rsidR="002A4DDF" w:rsidRPr="00937C8B" w:rsidRDefault="002A4DDF" w:rsidP="009110ED">
            <w:pPr>
              <w:rPr>
                <w:rFonts w:ascii="Arial" w:hAnsi="Arial" w:cs="Arial"/>
                <w:sz w:val="12"/>
                <w:szCs w:val="12"/>
              </w:rPr>
            </w:pPr>
          </w:p>
        </w:tc>
        <w:tc>
          <w:tcPr>
            <w:tcW w:w="1843" w:type="dxa"/>
            <w:shd w:val="clear" w:color="auto" w:fill="auto"/>
          </w:tcPr>
          <w:p w14:paraId="0EBBB8B3" w14:textId="77777777" w:rsidR="002A4DDF" w:rsidRPr="00937C8B" w:rsidRDefault="002A4DDF" w:rsidP="009110ED">
            <w:pPr>
              <w:rPr>
                <w:rFonts w:ascii="Arial" w:hAnsi="Arial" w:cs="Arial"/>
                <w:sz w:val="12"/>
                <w:szCs w:val="12"/>
              </w:rPr>
            </w:pPr>
          </w:p>
        </w:tc>
        <w:tc>
          <w:tcPr>
            <w:tcW w:w="2268" w:type="dxa"/>
            <w:shd w:val="clear" w:color="auto" w:fill="F2F2F2"/>
            <w:hideMark/>
          </w:tcPr>
          <w:p w14:paraId="52A957C2" w14:textId="77777777" w:rsidR="002A4DDF" w:rsidRPr="00937C8B" w:rsidRDefault="002A4DDF" w:rsidP="009110ED">
            <w:pPr>
              <w:rPr>
                <w:rFonts w:ascii="Arial" w:hAnsi="Arial" w:cs="Arial"/>
                <w:sz w:val="12"/>
                <w:szCs w:val="12"/>
              </w:rPr>
            </w:pPr>
            <w:r>
              <w:rPr>
                <w:rFonts w:ascii="Arial" w:hAnsi="Arial"/>
                <w:sz w:val="12"/>
                <w:szCs w:val="12"/>
              </w:rPr>
              <w:t>Quijorna</w:t>
            </w:r>
          </w:p>
        </w:tc>
        <w:tc>
          <w:tcPr>
            <w:tcW w:w="2268" w:type="dxa"/>
            <w:tcBorders>
              <w:right w:val="single" w:sz="4" w:space="0" w:color="auto"/>
            </w:tcBorders>
            <w:shd w:val="clear" w:color="auto" w:fill="D9D9D9"/>
            <w:hideMark/>
          </w:tcPr>
          <w:p w14:paraId="4598982D" w14:textId="77777777" w:rsidR="002A4DDF" w:rsidRPr="00937C8B" w:rsidRDefault="002A4DDF" w:rsidP="009110ED">
            <w:pPr>
              <w:rPr>
                <w:rFonts w:ascii="Arial" w:hAnsi="Arial" w:cs="Arial"/>
                <w:sz w:val="12"/>
                <w:szCs w:val="12"/>
              </w:rPr>
            </w:pPr>
            <w:r>
              <w:rPr>
                <w:rFonts w:ascii="Arial" w:hAnsi="Arial"/>
                <w:sz w:val="12"/>
                <w:szCs w:val="12"/>
              </w:rPr>
              <w:t>Horcajuelo de la Sierra</w:t>
            </w:r>
          </w:p>
        </w:tc>
      </w:tr>
      <w:tr w:rsidR="002A4DDF" w:rsidRPr="00937C8B" w14:paraId="6BFBF1E8" w14:textId="77777777" w:rsidTr="00935676">
        <w:trPr>
          <w:cantSplit/>
        </w:trPr>
        <w:tc>
          <w:tcPr>
            <w:tcW w:w="1696" w:type="dxa"/>
            <w:tcBorders>
              <w:left w:val="single" w:sz="4" w:space="0" w:color="auto"/>
            </w:tcBorders>
            <w:shd w:val="clear" w:color="auto" w:fill="auto"/>
          </w:tcPr>
          <w:p w14:paraId="0CCFA9E0" w14:textId="77777777" w:rsidR="002A4DDF" w:rsidRPr="00937C8B" w:rsidRDefault="002A4DDF" w:rsidP="009110ED">
            <w:pPr>
              <w:rPr>
                <w:rFonts w:ascii="Arial" w:hAnsi="Arial" w:cs="Arial"/>
                <w:sz w:val="12"/>
                <w:szCs w:val="12"/>
              </w:rPr>
            </w:pPr>
          </w:p>
        </w:tc>
        <w:tc>
          <w:tcPr>
            <w:tcW w:w="1843" w:type="dxa"/>
            <w:shd w:val="clear" w:color="auto" w:fill="auto"/>
          </w:tcPr>
          <w:p w14:paraId="15B4A5CF" w14:textId="77777777" w:rsidR="002A4DDF" w:rsidRPr="00937C8B" w:rsidRDefault="002A4DDF" w:rsidP="009110ED">
            <w:pPr>
              <w:rPr>
                <w:rFonts w:ascii="Arial" w:hAnsi="Arial" w:cs="Arial"/>
                <w:sz w:val="12"/>
                <w:szCs w:val="12"/>
              </w:rPr>
            </w:pPr>
          </w:p>
        </w:tc>
        <w:tc>
          <w:tcPr>
            <w:tcW w:w="2268" w:type="dxa"/>
            <w:shd w:val="clear" w:color="auto" w:fill="F2F2F2"/>
            <w:hideMark/>
          </w:tcPr>
          <w:p w14:paraId="4E49A8DA" w14:textId="77777777" w:rsidR="002A4DDF" w:rsidRPr="00937C8B" w:rsidRDefault="002A4DDF" w:rsidP="009110ED">
            <w:pPr>
              <w:rPr>
                <w:rFonts w:ascii="Arial" w:hAnsi="Arial" w:cs="Arial"/>
                <w:sz w:val="12"/>
                <w:szCs w:val="12"/>
              </w:rPr>
            </w:pPr>
            <w:r>
              <w:rPr>
                <w:rFonts w:ascii="Arial" w:hAnsi="Arial"/>
                <w:sz w:val="12"/>
                <w:szCs w:val="12"/>
              </w:rPr>
              <w:t>Redueña</w:t>
            </w:r>
          </w:p>
        </w:tc>
        <w:tc>
          <w:tcPr>
            <w:tcW w:w="2268" w:type="dxa"/>
            <w:tcBorders>
              <w:right w:val="single" w:sz="4" w:space="0" w:color="auto"/>
            </w:tcBorders>
            <w:shd w:val="clear" w:color="auto" w:fill="D9D9D9"/>
            <w:hideMark/>
          </w:tcPr>
          <w:p w14:paraId="7ADF84F0" w14:textId="77777777" w:rsidR="002A4DDF" w:rsidRPr="00937C8B" w:rsidRDefault="002A4DDF" w:rsidP="009110ED">
            <w:pPr>
              <w:rPr>
                <w:rFonts w:ascii="Arial" w:hAnsi="Arial" w:cs="Arial"/>
                <w:sz w:val="12"/>
                <w:szCs w:val="12"/>
              </w:rPr>
            </w:pPr>
            <w:r>
              <w:rPr>
                <w:rFonts w:ascii="Arial" w:hAnsi="Arial"/>
                <w:sz w:val="12"/>
                <w:szCs w:val="12"/>
              </w:rPr>
              <w:t>Hoyo de Manzanares</w:t>
            </w:r>
          </w:p>
        </w:tc>
      </w:tr>
      <w:tr w:rsidR="002A4DDF" w:rsidRPr="00937C8B" w14:paraId="63B90C75" w14:textId="77777777" w:rsidTr="00935676">
        <w:trPr>
          <w:cantSplit/>
        </w:trPr>
        <w:tc>
          <w:tcPr>
            <w:tcW w:w="1696" w:type="dxa"/>
            <w:tcBorders>
              <w:left w:val="single" w:sz="4" w:space="0" w:color="auto"/>
            </w:tcBorders>
            <w:shd w:val="clear" w:color="auto" w:fill="auto"/>
          </w:tcPr>
          <w:p w14:paraId="3B7C41E6" w14:textId="77777777" w:rsidR="002A4DDF" w:rsidRPr="00937C8B" w:rsidRDefault="002A4DDF" w:rsidP="009110ED">
            <w:pPr>
              <w:rPr>
                <w:rFonts w:ascii="Arial" w:hAnsi="Arial" w:cs="Arial"/>
                <w:sz w:val="12"/>
                <w:szCs w:val="12"/>
              </w:rPr>
            </w:pPr>
          </w:p>
        </w:tc>
        <w:tc>
          <w:tcPr>
            <w:tcW w:w="1843" w:type="dxa"/>
            <w:shd w:val="clear" w:color="auto" w:fill="auto"/>
          </w:tcPr>
          <w:p w14:paraId="28F8EEB2" w14:textId="77777777" w:rsidR="002A4DDF" w:rsidRPr="00937C8B" w:rsidRDefault="002A4DDF" w:rsidP="009110ED">
            <w:pPr>
              <w:rPr>
                <w:rFonts w:ascii="Arial" w:hAnsi="Arial" w:cs="Arial"/>
                <w:sz w:val="12"/>
                <w:szCs w:val="12"/>
              </w:rPr>
            </w:pPr>
          </w:p>
        </w:tc>
        <w:tc>
          <w:tcPr>
            <w:tcW w:w="2268" w:type="dxa"/>
            <w:shd w:val="clear" w:color="auto" w:fill="F2F2F2"/>
            <w:hideMark/>
          </w:tcPr>
          <w:p w14:paraId="70E9E9D8" w14:textId="77777777" w:rsidR="002A4DDF" w:rsidRPr="00937C8B" w:rsidRDefault="002A4DDF" w:rsidP="009110ED">
            <w:pPr>
              <w:rPr>
                <w:rFonts w:ascii="Arial" w:hAnsi="Arial" w:cs="Arial"/>
                <w:sz w:val="12"/>
                <w:szCs w:val="12"/>
              </w:rPr>
            </w:pPr>
            <w:r>
              <w:rPr>
                <w:rFonts w:ascii="Arial" w:hAnsi="Arial"/>
                <w:sz w:val="12"/>
                <w:szCs w:val="12"/>
              </w:rPr>
              <w:t>San Agustín del Guadalix</w:t>
            </w:r>
          </w:p>
        </w:tc>
        <w:tc>
          <w:tcPr>
            <w:tcW w:w="2268" w:type="dxa"/>
            <w:tcBorders>
              <w:right w:val="single" w:sz="4" w:space="0" w:color="auto"/>
            </w:tcBorders>
            <w:shd w:val="clear" w:color="auto" w:fill="D9D9D9"/>
            <w:hideMark/>
          </w:tcPr>
          <w:p w14:paraId="58BCF2BC" w14:textId="77777777" w:rsidR="002A4DDF" w:rsidRPr="00937C8B" w:rsidRDefault="002A4DDF" w:rsidP="009110ED">
            <w:pPr>
              <w:rPr>
                <w:rFonts w:ascii="Arial" w:hAnsi="Arial" w:cs="Arial"/>
                <w:sz w:val="12"/>
                <w:szCs w:val="12"/>
              </w:rPr>
            </w:pPr>
            <w:r>
              <w:rPr>
                <w:rFonts w:ascii="Arial" w:hAnsi="Arial"/>
                <w:sz w:val="12"/>
                <w:szCs w:val="12"/>
              </w:rPr>
              <w:t>La Acebeda</w:t>
            </w:r>
          </w:p>
        </w:tc>
      </w:tr>
      <w:tr w:rsidR="002A4DDF" w:rsidRPr="00937C8B" w14:paraId="01B4C40C" w14:textId="77777777" w:rsidTr="00935676">
        <w:trPr>
          <w:cantSplit/>
        </w:trPr>
        <w:tc>
          <w:tcPr>
            <w:tcW w:w="1696" w:type="dxa"/>
            <w:tcBorders>
              <w:left w:val="single" w:sz="4" w:space="0" w:color="auto"/>
            </w:tcBorders>
            <w:shd w:val="clear" w:color="auto" w:fill="auto"/>
          </w:tcPr>
          <w:p w14:paraId="4D1FCF80" w14:textId="77777777" w:rsidR="002A4DDF" w:rsidRPr="00937C8B" w:rsidRDefault="002A4DDF" w:rsidP="009110ED">
            <w:pPr>
              <w:rPr>
                <w:rFonts w:ascii="Arial" w:hAnsi="Arial" w:cs="Arial"/>
                <w:sz w:val="12"/>
                <w:szCs w:val="12"/>
              </w:rPr>
            </w:pPr>
          </w:p>
        </w:tc>
        <w:tc>
          <w:tcPr>
            <w:tcW w:w="1843" w:type="dxa"/>
            <w:shd w:val="clear" w:color="auto" w:fill="auto"/>
          </w:tcPr>
          <w:p w14:paraId="58684A06" w14:textId="77777777" w:rsidR="002A4DDF" w:rsidRPr="00937C8B" w:rsidRDefault="002A4DDF" w:rsidP="009110ED">
            <w:pPr>
              <w:rPr>
                <w:rFonts w:ascii="Arial" w:hAnsi="Arial" w:cs="Arial"/>
                <w:sz w:val="12"/>
                <w:szCs w:val="12"/>
              </w:rPr>
            </w:pPr>
          </w:p>
        </w:tc>
        <w:tc>
          <w:tcPr>
            <w:tcW w:w="2268" w:type="dxa"/>
            <w:shd w:val="clear" w:color="auto" w:fill="F2F2F2"/>
            <w:hideMark/>
          </w:tcPr>
          <w:p w14:paraId="33ECB0EE" w14:textId="77777777" w:rsidR="002A4DDF" w:rsidRPr="00937C8B" w:rsidRDefault="002A4DDF" w:rsidP="009110ED">
            <w:pPr>
              <w:rPr>
                <w:rFonts w:ascii="Arial" w:hAnsi="Arial" w:cs="Arial"/>
                <w:sz w:val="12"/>
                <w:szCs w:val="12"/>
              </w:rPr>
            </w:pPr>
            <w:r>
              <w:rPr>
                <w:rFonts w:ascii="Arial" w:hAnsi="Arial"/>
                <w:sz w:val="12"/>
                <w:szCs w:val="12"/>
              </w:rPr>
              <w:t>San Fernando de Henares</w:t>
            </w:r>
          </w:p>
        </w:tc>
        <w:tc>
          <w:tcPr>
            <w:tcW w:w="2268" w:type="dxa"/>
            <w:tcBorders>
              <w:right w:val="single" w:sz="4" w:space="0" w:color="auto"/>
            </w:tcBorders>
            <w:shd w:val="clear" w:color="auto" w:fill="D9D9D9"/>
            <w:hideMark/>
          </w:tcPr>
          <w:p w14:paraId="1A4C71C1" w14:textId="77777777" w:rsidR="002A4DDF" w:rsidRPr="00937C8B" w:rsidRDefault="002A4DDF" w:rsidP="009110ED">
            <w:pPr>
              <w:rPr>
                <w:rFonts w:ascii="Arial" w:hAnsi="Arial" w:cs="Arial"/>
                <w:sz w:val="12"/>
                <w:szCs w:val="12"/>
              </w:rPr>
            </w:pPr>
            <w:r>
              <w:rPr>
                <w:rFonts w:ascii="Arial" w:hAnsi="Arial"/>
                <w:sz w:val="12"/>
                <w:szCs w:val="12"/>
              </w:rPr>
              <w:t>La Cabrera</w:t>
            </w:r>
          </w:p>
        </w:tc>
      </w:tr>
      <w:tr w:rsidR="002A4DDF" w:rsidRPr="00937C8B" w14:paraId="09796AF3" w14:textId="77777777" w:rsidTr="00935676">
        <w:trPr>
          <w:cantSplit/>
        </w:trPr>
        <w:tc>
          <w:tcPr>
            <w:tcW w:w="1696" w:type="dxa"/>
            <w:tcBorders>
              <w:left w:val="single" w:sz="4" w:space="0" w:color="auto"/>
            </w:tcBorders>
            <w:shd w:val="clear" w:color="auto" w:fill="auto"/>
          </w:tcPr>
          <w:p w14:paraId="0ED1A60D" w14:textId="77777777" w:rsidR="002A4DDF" w:rsidRPr="00937C8B" w:rsidRDefault="002A4DDF" w:rsidP="009110ED">
            <w:pPr>
              <w:rPr>
                <w:rFonts w:ascii="Arial" w:hAnsi="Arial" w:cs="Arial"/>
                <w:sz w:val="12"/>
                <w:szCs w:val="12"/>
              </w:rPr>
            </w:pPr>
          </w:p>
        </w:tc>
        <w:tc>
          <w:tcPr>
            <w:tcW w:w="1843" w:type="dxa"/>
            <w:shd w:val="clear" w:color="auto" w:fill="auto"/>
          </w:tcPr>
          <w:p w14:paraId="1BDC0237" w14:textId="77777777" w:rsidR="002A4DDF" w:rsidRPr="00937C8B" w:rsidRDefault="002A4DDF" w:rsidP="009110ED">
            <w:pPr>
              <w:rPr>
                <w:rFonts w:ascii="Arial" w:hAnsi="Arial" w:cs="Arial"/>
                <w:sz w:val="12"/>
                <w:szCs w:val="12"/>
              </w:rPr>
            </w:pPr>
          </w:p>
        </w:tc>
        <w:tc>
          <w:tcPr>
            <w:tcW w:w="2268" w:type="dxa"/>
            <w:shd w:val="clear" w:color="auto" w:fill="F2F2F2"/>
            <w:hideMark/>
          </w:tcPr>
          <w:p w14:paraId="624DB904" w14:textId="77777777" w:rsidR="002A4DDF" w:rsidRPr="00937C8B" w:rsidRDefault="002A4DDF" w:rsidP="009110ED">
            <w:pPr>
              <w:rPr>
                <w:rFonts w:ascii="Arial" w:hAnsi="Arial" w:cs="Arial"/>
                <w:sz w:val="12"/>
                <w:szCs w:val="12"/>
              </w:rPr>
            </w:pPr>
            <w:r>
              <w:rPr>
                <w:rFonts w:ascii="Arial" w:hAnsi="Arial"/>
                <w:sz w:val="12"/>
                <w:szCs w:val="12"/>
              </w:rPr>
              <w:t>San Martín de la Vega</w:t>
            </w:r>
          </w:p>
        </w:tc>
        <w:tc>
          <w:tcPr>
            <w:tcW w:w="2268" w:type="dxa"/>
            <w:tcBorders>
              <w:right w:val="single" w:sz="4" w:space="0" w:color="auto"/>
            </w:tcBorders>
            <w:shd w:val="clear" w:color="auto" w:fill="D9D9D9"/>
            <w:hideMark/>
          </w:tcPr>
          <w:p w14:paraId="5ABFC1C4" w14:textId="77777777" w:rsidR="002A4DDF" w:rsidRPr="00937C8B" w:rsidRDefault="002A4DDF" w:rsidP="009110ED">
            <w:pPr>
              <w:rPr>
                <w:rFonts w:ascii="Arial" w:hAnsi="Arial" w:cs="Arial"/>
                <w:sz w:val="12"/>
                <w:szCs w:val="12"/>
              </w:rPr>
            </w:pPr>
            <w:r>
              <w:rPr>
                <w:rFonts w:ascii="Arial" w:hAnsi="Arial"/>
                <w:sz w:val="12"/>
                <w:szCs w:val="12"/>
              </w:rPr>
              <w:t>La Hiruela</w:t>
            </w:r>
          </w:p>
        </w:tc>
      </w:tr>
      <w:tr w:rsidR="002A4DDF" w:rsidRPr="00937C8B" w14:paraId="6BD07BF4" w14:textId="77777777" w:rsidTr="00935676">
        <w:trPr>
          <w:cantSplit/>
        </w:trPr>
        <w:tc>
          <w:tcPr>
            <w:tcW w:w="1696" w:type="dxa"/>
            <w:tcBorders>
              <w:left w:val="single" w:sz="4" w:space="0" w:color="auto"/>
            </w:tcBorders>
            <w:shd w:val="clear" w:color="auto" w:fill="auto"/>
          </w:tcPr>
          <w:p w14:paraId="1208B197" w14:textId="77777777" w:rsidR="002A4DDF" w:rsidRPr="00937C8B" w:rsidRDefault="002A4DDF" w:rsidP="009110ED">
            <w:pPr>
              <w:rPr>
                <w:rFonts w:ascii="Arial" w:hAnsi="Arial" w:cs="Arial"/>
                <w:sz w:val="12"/>
                <w:szCs w:val="12"/>
              </w:rPr>
            </w:pPr>
          </w:p>
        </w:tc>
        <w:tc>
          <w:tcPr>
            <w:tcW w:w="1843" w:type="dxa"/>
            <w:shd w:val="clear" w:color="auto" w:fill="auto"/>
          </w:tcPr>
          <w:p w14:paraId="7291A201" w14:textId="77777777" w:rsidR="002A4DDF" w:rsidRPr="00937C8B" w:rsidRDefault="002A4DDF" w:rsidP="009110ED">
            <w:pPr>
              <w:rPr>
                <w:rFonts w:ascii="Arial" w:hAnsi="Arial" w:cs="Arial"/>
                <w:sz w:val="12"/>
                <w:szCs w:val="12"/>
              </w:rPr>
            </w:pPr>
          </w:p>
        </w:tc>
        <w:tc>
          <w:tcPr>
            <w:tcW w:w="2268" w:type="dxa"/>
            <w:shd w:val="clear" w:color="auto" w:fill="F2F2F2"/>
            <w:hideMark/>
          </w:tcPr>
          <w:p w14:paraId="5800EA63" w14:textId="77777777" w:rsidR="002A4DDF" w:rsidRPr="00E93486" w:rsidRDefault="002A4DDF" w:rsidP="009110ED">
            <w:pPr>
              <w:rPr>
                <w:rFonts w:ascii="Arial" w:hAnsi="Arial" w:cs="Arial"/>
                <w:sz w:val="12"/>
                <w:szCs w:val="12"/>
                <w:lang w:val="en-US"/>
              </w:rPr>
            </w:pPr>
            <w:r w:rsidRPr="00E93486">
              <w:rPr>
                <w:rFonts w:ascii="Arial" w:hAnsi="Arial"/>
                <w:sz w:val="12"/>
                <w:szCs w:val="12"/>
                <w:lang w:val="en-US"/>
              </w:rPr>
              <w:t>San Sebastián de los Reyes</w:t>
            </w:r>
          </w:p>
        </w:tc>
        <w:tc>
          <w:tcPr>
            <w:tcW w:w="2268" w:type="dxa"/>
            <w:tcBorders>
              <w:right w:val="single" w:sz="4" w:space="0" w:color="auto"/>
            </w:tcBorders>
            <w:shd w:val="clear" w:color="auto" w:fill="D9D9D9"/>
            <w:hideMark/>
          </w:tcPr>
          <w:p w14:paraId="362CB2B4" w14:textId="77777777" w:rsidR="002A4DDF" w:rsidRPr="00937C8B" w:rsidRDefault="002A4DDF" w:rsidP="009110ED">
            <w:pPr>
              <w:rPr>
                <w:rFonts w:ascii="Arial" w:hAnsi="Arial" w:cs="Arial"/>
                <w:sz w:val="12"/>
                <w:szCs w:val="12"/>
              </w:rPr>
            </w:pPr>
            <w:r>
              <w:rPr>
                <w:rFonts w:ascii="Arial" w:hAnsi="Arial"/>
                <w:sz w:val="12"/>
                <w:szCs w:val="12"/>
              </w:rPr>
              <w:t>La Serna del Monte</w:t>
            </w:r>
          </w:p>
        </w:tc>
      </w:tr>
      <w:tr w:rsidR="002A4DDF" w:rsidRPr="00937C8B" w14:paraId="16F3176C" w14:textId="77777777" w:rsidTr="00935676">
        <w:trPr>
          <w:cantSplit/>
        </w:trPr>
        <w:tc>
          <w:tcPr>
            <w:tcW w:w="1696" w:type="dxa"/>
            <w:tcBorders>
              <w:left w:val="single" w:sz="4" w:space="0" w:color="auto"/>
            </w:tcBorders>
            <w:shd w:val="clear" w:color="auto" w:fill="auto"/>
          </w:tcPr>
          <w:p w14:paraId="3830344E" w14:textId="77777777" w:rsidR="002A4DDF" w:rsidRPr="00937C8B" w:rsidRDefault="002A4DDF" w:rsidP="009110ED">
            <w:pPr>
              <w:rPr>
                <w:rFonts w:ascii="Arial" w:hAnsi="Arial" w:cs="Arial"/>
                <w:sz w:val="12"/>
                <w:szCs w:val="12"/>
              </w:rPr>
            </w:pPr>
          </w:p>
        </w:tc>
        <w:tc>
          <w:tcPr>
            <w:tcW w:w="1843" w:type="dxa"/>
            <w:shd w:val="clear" w:color="auto" w:fill="auto"/>
          </w:tcPr>
          <w:p w14:paraId="2C536722" w14:textId="77777777" w:rsidR="002A4DDF" w:rsidRPr="00937C8B" w:rsidRDefault="002A4DDF" w:rsidP="009110ED">
            <w:pPr>
              <w:rPr>
                <w:rFonts w:ascii="Arial" w:hAnsi="Arial" w:cs="Arial"/>
                <w:sz w:val="12"/>
                <w:szCs w:val="12"/>
              </w:rPr>
            </w:pPr>
          </w:p>
        </w:tc>
        <w:tc>
          <w:tcPr>
            <w:tcW w:w="2268" w:type="dxa"/>
            <w:shd w:val="clear" w:color="auto" w:fill="F2F2F2"/>
            <w:hideMark/>
          </w:tcPr>
          <w:p w14:paraId="16A8522E" w14:textId="77777777" w:rsidR="002A4DDF" w:rsidRPr="00937C8B" w:rsidRDefault="002A4DDF" w:rsidP="009110ED">
            <w:pPr>
              <w:rPr>
                <w:rFonts w:ascii="Arial" w:hAnsi="Arial" w:cs="Arial"/>
                <w:sz w:val="12"/>
                <w:szCs w:val="12"/>
              </w:rPr>
            </w:pPr>
            <w:r>
              <w:rPr>
                <w:rFonts w:ascii="Arial" w:hAnsi="Arial"/>
                <w:sz w:val="12"/>
                <w:szCs w:val="12"/>
              </w:rPr>
              <w:t>Talamanca de Jarama</w:t>
            </w:r>
          </w:p>
        </w:tc>
        <w:tc>
          <w:tcPr>
            <w:tcW w:w="2268" w:type="dxa"/>
            <w:tcBorders>
              <w:right w:val="single" w:sz="4" w:space="0" w:color="auto"/>
            </w:tcBorders>
            <w:shd w:val="clear" w:color="auto" w:fill="D9D9D9"/>
            <w:hideMark/>
          </w:tcPr>
          <w:p w14:paraId="5265657C" w14:textId="77777777" w:rsidR="002A4DDF" w:rsidRPr="00937C8B" w:rsidRDefault="002A4DDF" w:rsidP="009110ED">
            <w:pPr>
              <w:rPr>
                <w:rFonts w:ascii="Arial" w:hAnsi="Arial" w:cs="Arial"/>
                <w:sz w:val="12"/>
                <w:szCs w:val="12"/>
              </w:rPr>
            </w:pPr>
            <w:r>
              <w:rPr>
                <w:rFonts w:ascii="Arial" w:hAnsi="Arial"/>
                <w:sz w:val="12"/>
                <w:szCs w:val="12"/>
              </w:rPr>
              <w:t>Las Rozas de Madrid</w:t>
            </w:r>
          </w:p>
        </w:tc>
      </w:tr>
      <w:tr w:rsidR="002A4DDF" w:rsidRPr="00937C8B" w14:paraId="0201A5BC" w14:textId="77777777" w:rsidTr="00935676">
        <w:trPr>
          <w:cantSplit/>
        </w:trPr>
        <w:tc>
          <w:tcPr>
            <w:tcW w:w="1696" w:type="dxa"/>
            <w:tcBorders>
              <w:left w:val="single" w:sz="4" w:space="0" w:color="auto"/>
            </w:tcBorders>
            <w:shd w:val="clear" w:color="auto" w:fill="auto"/>
          </w:tcPr>
          <w:p w14:paraId="06D647C1" w14:textId="77777777" w:rsidR="002A4DDF" w:rsidRPr="00937C8B" w:rsidRDefault="002A4DDF" w:rsidP="009110ED">
            <w:pPr>
              <w:rPr>
                <w:rFonts w:ascii="Arial" w:hAnsi="Arial" w:cs="Arial"/>
                <w:sz w:val="12"/>
                <w:szCs w:val="12"/>
              </w:rPr>
            </w:pPr>
          </w:p>
        </w:tc>
        <w:tc>
          <w:tcPr>
            <w:tcW w:w="1843" w:type="dxa"/>
            <w:shd w:val="clear" w:color="auto" w:fill="auto"/>
          </w:tcPr>
          <w:p w14:paraId="658B6F75" w14:textId="77777777" w:rsidR="002A4DDF" w:rsidRPr="00937C8B" w:rsidRDefault="002A4DDF" w:rsidP="009110ED">
            <w:pPr>
              <w:rPr>
                <w:rFonts w:ascii="Arial" w:hAnsi="Arial" w:cs="Arial"/>
                <w:sz w:val="12"/>
                <w:szCs w:val="12"/>
              </w:rPr>
            </w:pPr>
          </w:p>
        </w:tc>
        <w:tc>
          <w:tcPr>
            <w:tcW w:w="2268" w:type="dxa"/>
            <w:shd w:val="clear" w:color="auto" w:fill="F2F2F2"/>
            <w:hideMark/>
          </w:tcPr>
          <w:p w14:paraId="313FCC1F" w14:textId="77777777" w:rsidR="002A4DDF" w:rsidRPr="00937C8B" w:rsidRDefault="002A4DDF" w:rsidP="009110ED">
            <w:pPr>
              <w:rPr>
                <w:rFonts w:ascii="Arial" w:hAnsi="Arial" w:cs="Arial"/>
                <w:sz w:val="12"/>
                <w:szCs w:val="12"/>
              </w:rPr>
            </w:pPr>
            <w:r>
              <w:rPr>
                <w:rFonts w:ascii="Arial" w:hAnsi="Arial"/>
                <w:sz w:val="12"/>
                <w:szCs w:val="12"/>
              </w:rPr>
              <w:t>Tielmes</w:t>
            </w:r>
          </w:p>
        </w:tc>
        <w:tc>
          <w:tcPr>
            <w:tcW w:w="2268" w:type="dxa"/>
            <w:tcBorders>
              <w:right w:val="single" w:sz="4" w:space="0" w:color="auto"/>
            </w:tcBorders>
            <w:shd w:val="clear" w:color="auto" w:fill="D9D9D9"/>
            <w:hideMark/>
          </w:tcPr>
          <w:p w14:paraId="77869B53" w14:textId="77777777" w:rsidR="002A4DDF" w:rsidRPr="00937C8B" w:rsidRDefault="002A4DDF" w:rsidP="009110ED">
            <w:pPr>
              <w:rPr>
                <w:rFonts w:ascii="Arial" w:hAnsi="Arial" w:cs="Arial"/>
                <w:sz w:val="12"/>
                <w:szCs w:val="12"/>
              </w:rPr>
            </w:pPr>
            <w:r>
              <w:rPr>
                <w:rFonts w:ascii="Arial" w:hAnsi="Arial"/>
                <w:sz w:val="12"/>
                <w:szCs w:val="12"/>
              </w:rPr>
              <w:t>Los Baldios</w:t>
            </w:r>
          </w:p>
        </w:tc>
      </w:tr>
      <w:tr w:rsidR="002A4DDF" w:rsidRPr="00937C8B" w14:paraId="38D521CB" w14:textId="77777777" w:rsidTr="00935676">
        <w:trPr>
          <w:cantSplit/>
        </w:trPr>
        <w:tc>
          <w:tcPr>
            <w:tcW w:w="1696" w:type="dxa"/>
            <w:tcBorders>
              <w:left w:val="single" w:sz="4" w:space="0" w:color="auto"/>
            </w:tcBorders>
            <w:shd w:val="clear" w:color="auto" w:fill="auto"/>
          </w:tcPr>
          <w:p w14:paraId="143FC40A" w14:textId="77777777" w:rsidR="002A4DDF" w:rsidRPr="00937C8B" w:rsidRDefault="002A4DDF" w:rsidP="009110ED">
            <w:pPr>
              <w:rPr>
                <w:rFonts w:ascii="Arial" w:hAnsi="Arial" w:cs="Arial"/>
                <w:sz w:val="12"/>
                <w:szCs w:val="12"/>
              </w:rPr>
            </w:pPr>
          </w:p>
        </w:tc>
        <w:tc>
          <w:tcPr>
            <w:tcW w:w="1843" w:type="dxa"/>
            <w:shd w:val="clear" w:color="auto" w:fill="auto"/>
          </w:tcPr>
          <w:p w14:paraId="6D506396" w14:textId="77777777" w:rsidR="002A4DDF" w:rsidRPr="00937C8B" w:rsidRDefault="002A4DDF" w:rsidP="009110ED">
            <w:pPr>
              <w:rPr>
                <w:rFonts w:ascii="Arial" w:hAnsi="Arial" w:cs="Arial"/>
                <w:sz w:val="12"/>
                <w:szCs w:val="12"/>
              </w:rPr>
            </w:pPr>
          </w:p>
        </w:tc>
        <w:tc>
          <w:tcPr>
            <w:tcW w:w="2268" w:type="dxa"/>
            <w:shd w:val="clear" w:color="auto" w:fill="F2F2F2"/>
            <w:hideMark/>
          </w:tcPr>
          <w:p w14:paraId="40096BED" w14:textId="77777777" w:rsidR="002A4DDF" w:rsidRPr="00937C8B" w:rsidRDefault="002A4DDF" w:rsidP="009110ED">
            <w:pPr>
              <w:rPr>
                <w:rFonts w:ascii="Arial" w:hAnsi="Arial" w:cs="Arial"/>
                <w:sz w:val="12"/>
                <w:szCs w:val="12"/>
              </w:rPr>
            </w:pPr>
            <w:r>
              <w:rPr>
                <w:rFonts w:ascii="Arial" w:hAnsi="Arial"/>
                <w:sz w:val="12"/>
                <w:szCs w:val="12"/>
              </w:rPr>
              <w:t>Titulcia</w:t>
            </w:r>
          </w:p>
        </w:tc>
        <w:tc>
          <w:tcPr>
            <w:tcW w:w="2268" w:type="dxa"/>
            <w:tcBorders>
              <w:right w:val="single" w:sz="4" w:space="0" w:color="auto"/>
            </w:tcBorders>
            <w:shd w:val="clear" w:color="auto" w:fill="D9D9D9"/>
            <w:hideMark/>
          </w:tcPr>
          <w:p w14:paraId="447E3572" w14:textId="77777777" w:rsidR="002A4DDF" w:rsidRPr="00937C8B" w:rsidRDefault="002A4DDF" w:rsidP="009110ED">
            <w:pPr>
              <w:rPr>
                <w:rFonts w:ascii="Arial" w:hAnsi="Arial" w:cs="Arial"/>
                <w:sz w:val="12"/>
                <w:szCs w:val="12"/>
              </w:rPr>
            </w:pPr>
            <w:r>
              <w:rPr>
                <w:rFonts w:ascii="Arial" w:hAnsi="Arial"/>
                <w:sz w:val="12"/>
                <w:szCs w:val="12"/>
              </w:rPr>
              <w:t>Los Molinos</w:t>
            </w:r>
          </w:p>
        </w:tc>
      </w:tr>
      <w:tr w:rsidR="002A4DDF" w:rsidRPr="00937C8B" w14:paraId="4241CC1C" w14:textId="77777777" w:rsidTr="00935676">
        <w:trPr>
          <w:cantSplit/>
        </w:trPr>
        <w:tc>
          <w:tcPr>
            <w:tcW w:w="1696" w:type="dxa"/>
            <w:tcBorders>
              <w:left w:val="single" w:sz="4" w:space="0" w:color="auto"/>
            </w:tcBorders>
            <w:shd w:val="clear" w:color="auto" w:fill="auto"/>
          </w:tcPr>
          <w:p w14:paraId="637E383E" w14:textId="77777777" w:rsidR="002A4DDF" w:rsidRPr="00937C8B" w:rsidRDefault="002A4DDF" w:rsidP="009110ED">
            <w:pPr>
              <w:rPr>
                <w:rFonts w:ascii="Arial" w:hAnsi="Arial" w:cs="Arial"/>
                <w:sz w:val="12"/>
                <w:szCs w:val="12"/>
              </w:rPr>
            </w:pPr>
          </w:p>
        </w:tc>
        <w:tc>
          <w:tcPr>
            <w:tcW w:w="1843" w:type="dxa"/>
            <w:shd w:val="clear" w:color="auto" w:fill="auto"/>
          </w:tcPr>
          <w:p w14:paraId="7C409802" w14:textId="77777777" w:rsidR="002A4DDF" w:rsidRPr="00937C8B" w:rsidRDefault="002A4DDF" w:rsidP="009110ED">
            <w:pPr>
              <w:rPr>
                <w:rFonts w:ascii="Arial" w:hAnsi="Arial" w:cs="Arial"/>
                <w:sz w:val="12"/>
                <w:szCs w:val="12"/>
              </w:rPr>
            </w:pPr>
          </w:p>
        </w:tc>
        <w:tc>
          <w:tcPr>
            <w:tcW w:w="2268" w:type="dxa"/>
            <w:shd w:val="clear" w:color="auto" w:fill="F2F2F2"/>
            <w:hideMark/>
          </w:tcPr>
          <w:p w14:paraId="55147DBC" w14:textId="77777777" w:rsidR="002A4DDF" w:rsidRPr="00937C8B" w:rsidRDefault="002A4DDF" w:rsidP="009110ED">
            <w:pPr>
              <w:rPr>
                <w:rFonts w:ascii="Arial" w:hAnsi="Arial" w:cs="Arial"/>
                <w:sz w:val="12"/>
                <w:szCs w:val="12"/>
              </w:rPr>
            </w:pPr>
            <w:r>
              <w:rPr>
                <w:rFonts w:ascii="Arial" w:hAnsi="Arial"/>
                <w:sz w:val="12"/>
                <w:szCs w:val="12"/>
              </w:rPr>
              <w:t>Torrejón de Ardoz</w:t>
            </w:r>
          </w:p>
        </w:tc>
        <w:tc>
          <w:tcPr>
            <w:tcW w:w="2268" w:type="dxa"/>
            <w:tcBorders>
              <w:right w:val="single" w:sz="4" w:space="0" w:color="auto"/>
            </w:tcBorders>
            <w:shd w:val="clear" w:color="auto" w:fill="D9D9D9"/>
            <w:hideMark/>
          </w:tcPr>
          <w:p w14:paraId="0E287CA0" w14:textId="77777777" w:rsidR="002A4DDF" w:rsidRPr="00937C8B" w:rsidRDefault="002A4DDF" w:rsidP="009110ED">
            <w:pPr>
              <w:rPr>
                <w:rFonts w:ascii="Arial" w:hAnsi="Arial" w:cs="Arial"/>
                <w:sz w:val="12"/>
                <w:szCs w:val="12"/>
              </w:rPr>
            </w:pPr>
            <w:r>
              <w:rPr>
                <w:rFonts w:ascii="Arial" w:hAnsi="Arial"/>
                <w:sz w:val="12"/>
                <w:szCs w:val="12"/>
              </w:rPr>
              <w:t>Lozoya</w:t>
            </w:r>
          </w:p>
        </w:tc>
      </w:tr>
      <w:tr w:rsidR="002A4DDF" w:rsidRPr="00937C8B" w14:paraId="13D86E78" w14:textId="77777777" w:rsidTr="00935676">
        <w:trPr>
          <w:cantSplit/>
        </w:trPr>
        <w:tc>
          <w:tcPr>
            <w:tcW w:w="1696" w:type="dxa"/>
            <w:tcBorders>
              <w:left w:val="single" w:sz="4" w:space="0" w:color="auto"/>
            </w:tcBorders>
            <w:shd w:val="clear" w:color="auto" w:fill="auto"/>
          </w:tcPr>
          <w:p w14:paraId="71401AAC" w14:textId="77777777" w:rsidR="002A4DDF" w:rsidRPr="00937C8B" w:rsidRDefault="002A4DDF" w:rsidP="009110ED">
            <w:pPr>
              <w:rPr>
                <w:rFonts w:ascii="Arial" w:hAnsi="Arial" w:cs="Arial"/>
                <w:sz w:val="12"/>
                <w:szCs w:val="12"/>
              </w:rPr>
            </w:pPr>
          </w:p>
        </w:tc>
        <w:tc>
          <w:tcPr>
            <w:tcW w:w="1843" w:type="dxa"/>
            <w:shd w:val="clear" w:color="auto" w:fill="auto"/>
          </w:tcPr>
          <w:p w14:paraId="434C23C8" w14:textId="77777777" w:rsidR="002A4DDF" w:rsidRPr="00937C8B" w:rsidRDefault="002A4DDF" w:rsidP="009110ED">
            <w:pPr>
              <w:rPr>
                <w:rFonts w:ascii="Arial" w:hAnsi="Arial" w:cs="Arial"/>
                <w:sz w:val="12"/>
                <w:szCs w:val="12"/>
              </w:rPr>
            </w:pPr>
          </w:p>
        </w:tc>
        <w:tc>
          <w:tcPr>
            <w:tcW w:w="2268" w:type="dxa"/>
            <w:shd w:val="clear" w:color="auto" w:fill="F2F2F2"/>
            <w:hideMark/>
          </w:tcPr>
          <w:p w14:paraId="5B058DB1" w14:textId="77777777" w:rsidR="002A4DDF" w:rsidRPr="00937C8B" w:rsidRDefault="002A4DDF" w:rsidP="009110ED">
            <w:pPr>
              <w:rPr>
                <w:rFonts w:ascii="Arial" w:hAnsi="Arial" w:cs="Arial"/>
                <w:sz w:val="12"/>
                <w:szCs w:val="12"/>
              </w:rPr>
            </w:pPr>
            <w:r>
              <w:rPr>
                <w:rFonts w:ascii="Arial" w:hAnsi="Arial"/>
                <w:sz w:val="12"/>
                <w:szCs w:val="12"/>
              </w:rPr>
              <w:t>Torrejón de Velasco</w:t>
            </w:r>
          </w:p>
        </w:tc>
        <w:tc>
          <w:tcPr>
            <w:tcW w:w="2268" w:type="dxa"/>
            <w:tcBorders>
              <w:right w:val="single" w:sz="4" w:space="0" w:color="auto"/>
            </w:tcBorders>
            <w:shd w:val="clear" w:color="auto" w:fill="D9D9D9"/>
            <w:hideMark/>
          </w:tcPr>
          <w:p w14:paraId="7F199790" w14:textId="77777777" w:rsidR="002A4DDF" w:rsidRPr="00937C8B" w:rsidRDefault="002A4DDF" w:rsidP="009110ED">
            <w:pPr>
              <w:rPr>
                <w:rFonts w:ascii="Arial" w:hAnsi="Arial" w:cs="Arial"/>
                <w:sz w:val="12"/>
                <w:szCs w:val="12"/>
              </w:rPr>
            </w:pPr>
            <w:r>
              <w:rPr>
                <w:rFonts w:ascii="Arial" w:hAnsi="Arial"/>
                <w:sz w:val="12"/>
                <w:szCs w:val="12"/>
              </w:rPr>
              <w:t>Lozoyuela-Navas-Sieteiglesias</w:t>
            </w:r>
          </w:p>
        </w:tc>
      </w:tr>
      <w:tr w:rsidR="002A4DDF" w:rsidRPr="00937C8B" w14:paraId="0F6430C3" w14:textId="77777777" w:rsidTr="00935676">
        <w:trPr>
          <w:cantSplit/>
        </w:trPr>
        <w:tc>
          <w:tcPr>
            <w:tcW w:w="1696" w:type="dxa"/>
            <w:tcBorders>
              <w:left w:val="single" w:sz="4" w:space="0" w:color="auto"/>
            </w:tcBorders>
            <w:shd w:val="clear" w:color="auto" w:fill="auto"/>
          </w:tcPr>
          <w:p w14:paraId="7112AE82" w14:textId="77777777" w:rsidR="002A4DDF" w:rsidRPr="00937C8B" w:rsidRDefault="002A4DDF" w:rsidP="009110ED">
            <w:pPr>
              <w:rPr>
                <w:rFonts w:ascii="Arial" w:hAnsi="Arial" w:cs="Arial"/>
                <w:sz w:val="12"/>
                <w:szCs w:val="12"/>
              </w:rPr>
            </w:pPr>
          </w:p>
        </w:tc>
        <w:tc>
          <w:tcPr>
            <w:tcW w:w="1843" w:type="dxa"/>
            <w:shd w:val="clear" w:color="auto" w:fill="auto"/>
          </w:tcPr>
          <w:p w14:paraId="74BDA4EA" w14:textId="77777777" w:rsidR="002A4DDF" w:rsidRPr="00937C8B" w:rsidRDefault="002A4DDF" w:rsidP="009110ED">
            <w:pPr>
              <w:rPr>
                <w:rFonts w:ascii="Arial" w:hAnsi="Arial" w:cs="Arial"/>
                <w:sz w:val="12"/>
                <w:szCs w:val="12"/>
              </w:rPr>
            </w:pPr>
          </w:p>
        </w:tc>
        <w:tc>
          <w:tcPr>
            <w:tcW w:w="2268" w:type="dxa"/>
            <w:shd w:val="clear" w:color="auto" w:fill="F2F2F2"/>
            <w:hideMark/>
          </w:tcPr>
          <w:p w14:paraId="2A6C903B" w14:textId="77777777" w:rsidR="002A4DDF" w:rsidRPr="00937C8B" w:rsidRDefault="002A4DDF" w:rsidP="009110ED">
            <w:pPr>
              <w:rPr>
                <w:rFonts w:ascii="Arial" w:hAnsi="Arial" w:cs="Arial"/>
                <w:sz w:val="12"/>
                <w:szCs w:val="12"/>
              </w:rPr>
            </w:pPr>
            <w:r>
              <w:rPr>
                <w:rFonts w:ascii="Arial" w:hAnsi="Arial"/>
                <w:sz w:val="12"/>
                <w:szCs w:val="12"/>
              </w:rPr>
              <w:t>Torremocha de Jarama</w:t>
            </w:r>
          </w:p>
        </w:tc>
        <w:tc>
          <w:tcPr>
            <w:tcW w:w="2268" w:type="dxa"/>
            <w:tcBorders>
              <w:right w:val="single" w:sz="4" w:space="0" w:color="auto"/>
            </w:tcBorders>
            <w:shd w:val="clear" w:color="auto" w:fill="D9D9D9"/>
            <w:hideMark/>
          </w:tcPr>
          <w:p w14:paraId="21E5FE94" w14:textId="77777777" w:rsidR="002A4DDF" w:rsidRPr="00937C8B" w:rsidRDefault="002A4DDF" w:rsidP="009110ED">
            <w:pPr>
              <w:rPr>
                <w:rFonts w:ascii="Arial" w:hAnsi="Arial" w:cs="Arial"/>
                <w:sz w:val="12"/>
                <w:szCs w:val="12"/>
              </w:rPr>
            </w:pPr>
            <w:r>
              <w:rPr>
                <w:rFonts w:ascii="Arial" w:hAnsi="Arial"/>
                <w:sz w:val="12"/>
                <w:szCs w:val="12"/>
              </w:rPr>
              <w:t>Madarcos</w:t>
            </w:r>
          </w:p>
        </w:tc>
      </w:tr>
      <w:tr w:rsidR="002A4DDF" w:rsidRPr="00937C8B" w14:paraId="7EC50284" w14:textId="77777777" w:rsidTr="00935676">
        <w:trPr>
          <w:cantSplit/>
        </w:trPr>
        <w:tc>
          <w:tcPr>
            <w:tcW w:w="1696" w:type="dxa"/>
            <w:tcBorders>
              <w:left w:val="single" w:sz="4" w:space="0" w:color="auto"/>
            </w:tcBorders>
            <w:shd w:val="clear" w:color="auto" w:fill="auto"/>
          </w:tcPr>
          <w:p w14:paraId="11AF56C6" w14:textId="77777777" w:rsidR="002A4DDF" w:rsidRPr="00937C8B" w:rsidRDefault="002A4DDF" w:rsidP="009110ED">
            <w:pPr>
              <w:rPr>
                <w:rFonts w:ascii="Arial" w:hAnsi="Arial" w:cs="Arial"/>
                <w:sz w:val="12"/>
                <w:szCs w:val="12"/>
              </w:rPr>
            </w:pPr>
          </w:p>
        </w:tc>
        <w:tc>
          <w:tcPr>
            <w:tcW w:w="1843" w:type="dxa"/>
            <w:shd w:val="clear" w:color="auto" w:fill="auto"/>
          </w:tcPr>
          <w:p w14:paraId="0EA0AAAC" w14:textId="77777777" w:rsidR="002A4DDF" w:rsidRPr="00937C8B" w:rsidRDefault="002A4DDF" w:rsidP="009110ED">
            <w:pPr>
              <w:rPr>
                <w:rFonts w:ascii="Arial" w:hAnsi="Arial" w:cs="Arial"/>
                <w:sz w:val="12"/>
                <w:szCs w:val="12"/>
              </w:rPr>
            </w:pPr>
          </w:p>
        </w:tc>
        <w:tc>
          <w:tcPr>
            <w:tcW w:w="2268" w:type="dxa"/>
            <w:shd w:val="clear" w:color="auto" w:fill="F2F2F2"/>
            <w:hideMark/>
          </w:tcPr>
          <w:p w14:paraId="44C03990" w14:textId="77777777" w:rsidR="002A4DDF" w:rsidRPr="00937C8B" w:rsidRDefault="002A4DDF" w:rsidP="009110ED">
            <w:pPr>
              <w:rPr>
                <w:rFonts w:ascii="Arial" w:hAnsi="Arial" w:cs="Arial"/>
                <w:sz w:val="12"/>
                <w:szCs w:val="12"/>
              </w:rPr>
            </w:pPr>
            <w:r>
              <w:rPr>
                <w:rFonts w:ascii="Arial" w:hAnsi="Arial"/>
                <w:sz w:val="12"/>
                <w:szCs w:val="12"/>
              </w:rPr>
              <w:t>Torres de la Alameda</w:t>
            </w:r>
          </w:p>
        </w:tc>
        <w:tc>
          <w:tcPr>
            <w:tcW w:w="2268" w:type="dxa"/>
            <w:tcBorders>
              <w:right w:val="single" w:sz="4" w:space="0" w:color="auto"/>
            </w:tcBorders>
            <w:shd w:val="clear" w:color="auto" w:fill="D9D9D9"/>
            <w:hideMark/>
          </w:tcPr>
          <w:p w14:paraId="1D6D222E" w14:textId="77777777" w:rsidR="002A4DDF" w:rsidRPr="00937C8B" w:rsidRDefault="002A4DDF" w:rsidP="009110ED">
            <w:pPr>
              <w:rPr>
                <w:rFonts w:ascii="Arial" w:hAnsi="Arial" w:cs="Arial"/>
                <w:sz w:val="12"/>
                <w:szCs w:val="12"/>
              </w:rPr>
            </w:pPr>
            <w:r>
              <w:rPr>
                <w:rFonts w:ascii="Arial" w:hAnsi="Arial"/>
                <w:sz w:val="12"/>
                <w:szCs w:val="12"/>
              </w:rPr>
              <w:t>Manzanares el Real</w:t>
            </w:r>
          </w:p>
        </w:tc>
      </w:tr>
      <w:tr w:rsidR="002A4DDF" w:rsidRPr="00937C8B" w14:paraId="4F40650C" w14:textId="77777777" w:rsidTr="00935676">
        <w:trPr>
          <w:cantSplit/>
        </w:trPr>
        <w:tc>
          <w:tcPr>
            <w:tcW w:w="1696" w:type="dxa"/>
            <w:tcBorders>
              <w:left w:val="single" w:sz="4" w:space="0" w:color="auto"/>
            </w:tcBorders>
            <w:shd w:val="clear" w:color="auto" w:fill="auto"/>
          </w:tcPr>
          <w:p w14:paraId="66FE90EA" w14:textId="77777777" w:rsidR="002A4DDF" w:rsidRPr="00937C8B" w:rsidRDefault="002A4DDF" w:rsidP="009110ED">
            <w:pPr>
              <w:rPr>
                <w:rFonts w:ascii="Arial" w:hAnsi="Arial" w:cs="Arial"/>
                <w:sz w:val="12"/>
                <w:szCs w:val="12"/>
              </w:rPr>
            </w:pPr>
          </w:p>
        </w:tc>
        <w:tc>
          <w:tcPr>
            <w:tcW w:w="1843" w:type="dxa"/>
            <w:shd w:val="clear" w:color="auto" w:fill="auto"/>
          </w:tcPr>
          <w:p w14:paraId="4F0A50BA" w14:textId="77777777" w:rsidR="002A4DDF" w:rsidRPr="00937C8B" w:rsidRDefault="002A4DDF" w:rsidP="009110ED">
            <w:pPr>
              <w:rPr>
                <w:rFonts w:ascii="Arial" w:hAnsi="Arial" w:cs="Arial"/>
                <w:sz w:val="12"/>
                <w:szCs w:val="12"/>
              </w:rPr>
            </w:pPr>
          </w:p>
        </w:tc>
        <w:tc>
          <w:tcPr>
            <w:tcW w:w="2268" w:type="dxa"/>
            <w:shd w:val="clear" w:color="auto" w:fill="F2F2F2"/>
            <w:hideMark/>
          </w:tcPr>
          <w:p w14:paraId="59C7C2BD" w14:textId="77777777" w:rsidR="002A4DDF" w:rsidRPr="00937C8B" w:rsidRDefault="002A4DDF" w:rsidP="009110ED">
            <w:pPr>
              <w:rPr>
                <w:rFonts w:ascii="Arial" w:hAnsi="Arial" w:cs="Arial"/>
                <w:sz w:val="12"/>
                <w:szCs w:val="12"/>
              </w:rPr>
            </w:pPr>
            <w:r>
              <w:rPr>
                <w:rFonts w:ascii="Arial" w:hAnsi="Arial"/>
                <w:sz w:val="12"/>
                <w:szCs w:val="12"/>
              </w:rPr>
              <w:t>Valdeavero</w:t>
            </w:r>
          </w:p>
        </w:tc>
        <w:tc>
          <w:tcPr>
            <w:tcW w:w="2268" w:type="dxa"/>
            <w:tcBorders>
              <w:right w:val="single" w:sz="4" w:space="0" w:color="auto"/>
            </w:tcBorders>
            <w:shd w:val="clear" w:color="auto" w:fill="D9D9D9"/>
            <w:hideMark/>
          </w:tcPr>
          <w:p w14:paraId="5F86BE53" w14:textId="77777777" w:rsidR="002A4DDF" w:rsidRPr="00937C8B" w:rsidRDefault="002A4DDF" w:rsidP="009110ED">
            <w:pPr>
              <w:rPr>
                <w:rFonts w:ascii="Arial" w:hAnsi="Arial" w:cs="Arial"/>
                <w:sz w:val="12"/>
                <w:szCs w:val="12"/>
              </w:rPr>
            </w:pPr>
            <w:r>
              <w:rPr>
                <w:rFonts w:ascii="Arial" w:hAnsi="Arial"/>
                <w:sz w:val="12"/>
                <w:szCs w:val="12"/>
              </w:rPr>
              <w:t>Miraflores de la Sierra</w:t>
            </w:r>
          </w:p>
        </w:tc>
      </w:tr>
      <w:tr w:rsidR="002A4DDF" w:rsidRPr="00937C8B" w14:paraId="2814CFA5" w14:textId="77777777" w:rsidTr="00935676">
        <w:trPr>
          <w:cantSplit/>
        </w:trPr>
        <w:tc>
          <w:tcPr>
            <w:tcW w:w="1696" w:type="dxa"/>
            <w:tcBorders>
              <w:left w:val="single" w:sz="4" w:space="0" w:color="auto"/>
            </w:tcBorders>
            <w:shd w:val="clear" w:color="auto" w:fill="auto"/>
          </w:tcPr>
          <w:p w14:paraId="7471509A" w14:textId="77777777" w:rsidR="002A4DDF" w:rsidRPr="00937C8B" w:rsidRDefault="002A4DDF" w:rsidP="009110ED">
            <w:pPr>
              <w:rPr>
                <w:rFonts w:ascii="Arial" w:hAnsi="Arial" w:cs="Arial"/>
                <w:sz w:val="12"/>
                <w:szCs w:val="12"/>
              </w:rPr>
            </w:pPr>
          </w:p>
        </w:tc>
        <w:tc>
          <w:tcPr>
            <w:tcW w:w="1843" w:type="dxa"/>
            <w:shd w:val="clear" w:color="auto" w:fill="auto"/>
          </w:tcPr>
          <w:p w14:paraId="3A2E1C95" w14:textId="77777777" w:rsidR="002A4DDF" w:rsidRPr="00937C8B" w:rsidRDefault="002A4DDF" w:rsidP="009110ED">
            <w:pPr>
              <w:rPr>
                <w:rFonts w:ascii="Arial" w:hAnsi="Arial" w:cs="Arial"/>
                <w:sz w:val="12"/>
                <w:szCs w:val="12"/>
              </w:rPr>
            </w:pPr>
          </w:p>
        </w:tc>
        <w:tc>
          <w:tcPr>
            <w:tcW w:w="2268" w:type="dxa"/>
            <w:shd w:val="clear" w:color="auto" w:fill="F2F2F2"/>
            <w:hideMark/>
          </w:tcPr>
          <w:p w14:paraId="160B44B1" w14:textId="77777777" w:rsidR="002A4DDF" w:rsidRPr="00937C8B" w:rsidRDefault="002A4DDF" w:rsidP="009110ED">
            <w:pPr>
              <w:rPr>
                <w:rFonts w:ascii="Arial" w:hAnsi="Arial" w:cs="Arial"/>
                <w:sz w:val="12"/>
                <w:szCs w:val="12"/>
              </w:rPr>
            </w:pPr>
            <w:r>
              <w:rPr>
                <w:rFonts w:ascii="Arial" w:hAnsi="Arial"/>
                <w:sz w:val="12"/>
                <w:szCs w:val="12"/>
              </w:rPr>
              <w:t>Valdeolmos-Alalpardo</w:t>
            </w:r>
          </w:p>
        </w:tc>
        <w:tc>
          <w:tcPr>
            <w:tcW w:w="2268" w:type="dxa"/>
            <w:tcBorders>
              <w:right w:val="single" w:sz="4" w:space="0" w:color="auto"/>
            </w:tcBorders>
            <w:shd w:val="clear" w:color="auto" w:fill="D9D9D9"/>
            <w:hideMark/>
          </w:tcPr>
          <w:p w14:paraId="4956F57E" w14:textId="77777777" w:rsidR="002A4DDF" w:rsidRPr="00937C8B" w:rsidRDefault="002A4DDF" w:rsidP="009110ED">
            <w:pPr>
              <w:rPr>
                <w:rFonts w:ascii="Arial" w:hAnsi="Arial" w:cs="Arial"/>
                <w:sz w:val="12"/>
                <w:szCs w:val="12"/>
              </w:rPr>
            </w:pPr>
            <w:r>
              <w:rPr>
                <w:rFonts w:ascii="Arial" w:hAnsi="Arial"/>
                <w:sz w:val="12"/>
                <w:szCs w:val="12"/>
              </w:rPr>
              <w:t>Montejo de la Sierra</w:t>
            </w:r>
          </w:p>
        </w:tc>
      </w:tr>
      <w:tr w:rsidR="002A4DDF" w:rsidRPr="00937C8B" w14:paraId="183E4097" w14:textId="77777777" w:rsidTr="00935676">
        <w:trPr>
          <w:cantSplit/>
        </w:trPr>
        <w:tc>
          <w:tcPr>
            <w:tcW w:w="1696" w:type="dxa"/>
            <w:tcBorders>
              <w:left w:val="single" w:sz="4" w:space="0" w:color="auto"/>
            </w:tcBorders>
            <w:shd w:val="clear" w:color="auto" w:fill="auto"/>
          </w:tcPr>
          <w:p w14:paraId="416EC3DC" w14:textId="77777777" w:rsidR="002A4DDF" w:rsidRPr="00937C8B" w:rsidRDefault="002A4DDF" w:rsidP="009110ED">
            <w:pPr>
              <w:rPr>
                <w:rFonts w:ascii="Arial" w:hAnsi="Arial" w:cs="Arial"/>
                <w:sz w:val="12"/>
                <w:szCs w:val="12"/>
              </w:rPr>
            </w:pPr>
          </w:p>
        </w:tc>
        <w:tc>
          <w:tcPr>
            <w:tcW w:w="1843" w:type="dxa"/>
            <w:shd w:val="clear" w:color="auto" w:fill="auto"/>
          </w:tcPr>
          <w:p w14:paraId="515C9D5F" w14:textId="77777777" w:rsidR="002A4DDF" w:rsidRPr="00937C8B" w:rsidRDefault="002A4DDF" w:rsidP="009110ED">
            <w:pPr>
              <w:rPr>
                <w:rFonts w:ascii="Arial" w:hAnsi="Arial" w:cs="Arial"/>
                <w:sz w:val="12"/>
                <w:szCs w:val="12"/>
              </w:rPr>
            </w:pPr>
          </w:p>
        </w:tc>
        <w:tc>
          <w:tcPr>
            <w:tcW w:w="2268" w:type="dxa"/>
            <w:shd w:val="clear" w:color="auto" w:fill="F2F2F2"/>
            <w:hideMark/>
          </w:tcPr>
          <w:p w14:paraId="690E262B" w14:textId="77777777" w:rsidR="002A4DDF" w:rsidRPr="00937C8B" w:rsidRDefault="002A4DDF" w:rsidP="009110ED">
            <w:pPr>
              <w:rPr>
                <w:rFonts w:ascii="Arial" w:hAnsi="Arial" w:cs="Arial"/>
                <w:sz w:val="12"/>
                <w:szCs w:val="12"/>
              </w:rPr>
            </w:pPr>
            <w:r>
              <w:rPr>
                <w:rFonts w:ascii="Arial" w:hAnsi="Arial"/>
                <w:sz w:val="12"/>
                <w:szCs w:val="12"/>
              </w:rPr>
              <w:t>Valdepiélagos</w:t>
            </w:r>
          </w:p>
        </w:tc>
        <w:tc>
          <w:tcPr>
            <w:tcW w:w="2268" w:type="dxa"/>
            <w:tcBorders>
              <w:right w:val="single" w:sz="4" w:space="0" w:color="auto"/>
            </w:tcBorders>
            <w:shd w:val="clear" w:color="auto" w:fill="D9D9D9"/>
            <w:hideMark/>
          </w:tcPr>
          <w:p w14:paraId="5EDB2599" w14:textId="77777777" w:rsidR="002A4DDF" w:rsidRPr="00937C8B" w:rsidRDefault="002A4DDF" w:rsidP="009110ED">
            <w:pPr>
              <w:rPr>
                <w:rFonts w:ascii="Arial" w:hAnsi="Arial" w:cs="Arial"/>
                <w:sz w:val="12"/>
                <w:szCs w:val="12"/>
              </w:rPr>
            </w:pPr>
            <w:r>
              <w:rPr>
                <w:rFonts w:ascii="Arial" w:hAnsi="Arial"/>
                <w:sz w:val="12"/>
                <w:szCs w:val="12"/>
              </w:rPr>
              <w:t>Moralzarzal</w:t>
            </w:r>
          </w:p>
        </w:tc>
      </w:tr>
      <w:tr w:rsidR="002A4DDF" w:rsidRPr="00937C8B" w14:paraId="195ADDAA" w14:textId="77777777" w:rsidTr="00935676">
        <w:trPr>
          <w:cantSplit/>
        </w:trPr>
        <w:tc>
          <w:tcPr>
            <w:tcW w:w="1696" w:type="dxa"/>
            <w:tcBorders>
              <w:left w:val="single" w:sz="4" w:space="0" w:color="auto"/>
            </w:tcBorders>
            <w:shd w:val="clear" w:color="auto" w:fill="auto"/>
          </w:tcPr>
          <w:p w14:paraId="2740AAD0" w14:textId="77777777" w:rsidR="002A4DDF" w:rsidRPr="00937C8B" w:rsidRDefault="002A4DDF" w:rsidP="009110ED">
            <w:pPr>
              <w:rPr>
                <w:rFonts w:ascii="Arial" w:hAnsi="Arial" w:cs="Arial"/>
                <w:sz w:val="12"/>
                <w:szCs w:val="12"/>
              </w:rPr>
            </w:pPr>
          </w:p>
        </w:tc>
        <w:tc>
          <w:tcPr>
            <w:tcW w:w="1843" w:type="dxa"/>
            <w:shd w:val="clear" w:color="auto" w:fill="auto"/>
          </w:tcPr>
          <w:p w14:paraId="76E5ABC0" w14:textId="77777777" w:rsidR="002A4DDF" w:rsidRPr="00937C8B" w:rsidRDefault="002A4DDF" w:rsidP="009110ED">
            <w:pPr>
              <w:rPr>
                <w:rFonts w:ascii="Arial" w:hAnsi="Arial" w:cs="Arial"/>
                <w:sz w:val="12"/>
                <w:szCs w:val="12"/>
              </w:rPr>
            </w:pPr>
          </w:p>
        </w:tc>
        <w:tc>
          <w:tcPr>
            <w:tcW w:w="2268" w:type="dxa"/>
            <w:shd w:val="clear" w:color="auto" w:fill="F2F2F2"/>
            <w:hideMark/>
          </w:tcPr>
          <w:p w14:paraId="63FADBCF" w14:textId="77777777" w:rsidR="002A4DDF" w:rsidRPr="00937C8B" w:rsidRDefault="002A4DDF" w:rsidP="009110ED">
            <w:pPr>
              <w:rPr>
                <w:rFonts w:ascii="Arial" w:hAnsi="Arial" w:cs="Arial"/>
                <w:sz w:val="12"/>
                <w:szCs w:val="12"/>
              </w:rPr>
            </w:pPr>
            <w:r>
              <w:rPr>
                <w:rFonts w:ascii="Arial" w:hAnsi="Arial"/>
                <w:sz w:val="12"/>
                <w:szCs w:val="12"/>
              </w:rPr>
              <w:t>Valdetorres de Jarama</w:t>
            </w:r>
          </w:p>
        </w:tc>
        <w:tc>
          <w:tcPr>
            <w:tcW w:w="2268" w:type="dxa"/>
            <w:tcBorders>
              <w:right w:val="single" w:sz="4" w:space="0" w:color="auto"/>
            </w:tcBorders>
            <w:shd w:val="clear" w:color="auto" w:fill="D9D9D9"/>
            <w:hideMark/>
          </w:tcPr>
          <w:p w14:paraId="29CF862B" w14:textId="77777777" w:rsidR="002A4DDF" w:rsidRPr="00937C8B" w:rsidRDefault="002A4DDF" w:rsidP="009110ED">
            <w:pPr>
              <w:rPr>
                <w:rFonts w:ascii="Arial" w:hAnsi="Arial" w:cs="Arial"/>
                <w:sz w:val="12"/>
                <w:szCs w:val="12"/>
              </w:rPr>
            </w:pPr>
            <w:r>
              <w:rPr>
                <w:rFonts w:ascii="Arial" w:hAnsi="Arial"/>
                <w:sz w:val="12"/>
                <w:szCs w:val="12"/>
              </w:rPr>
              <w:t>Navacerrada</w:t>
            </w:r>
          </w:p>
        </w:tc>
      </w:tr>
      <w:tr w:rsidR="002A4DDF" w:rsidRPr="00937C8B" w14:paraId="3DC898F5" w14:textId="77777777" w:rsidTr="00935676">
        <w:trPr>
          <w:cantSplit/>
        </w:trPr>
        <w:tc>
          <w:tcPr>
            <w:tcW w:w="1696" w:type="dxa"/>
            <w:tcBorders>
              <w:left w:val="single" w:sz="4" w:space="0" w:color="auto"/>
            </w:tcBorders>
            <w:shd w:val="clear" w:color="auto" w:fill="auto"/>
          </w:tcPr>
          <w:p w14:paraId="4DF68585" w14:textId="77777777" w:rsidR="002A4DDF" w:rsidRPr="00937C8B" w:rsidRDefault="002A4DDF" w:rsidP="009110ED">
            <w:pPr>
              <w:rPr>
                <w:rFonts w:ascii="Arial" w:hAnsi="Arial" w:cs="Arial"/>
                <w:sz w:val="12"/>
                <w:szCs w:val="12"/>
              </w:rPr>
            </w:pPr>
          </w:p>
        </w:tc>
        <w:tc>
          <w:tcPr>
            <w:tcW w:w="1843" w:type="dxa"/>
            <w:shd w:val="clear" w:color="auto" w:fill="auto"/>
          </w:tcPr>
          <w:p w14:paraId="056D1317" w14:textId="77777777" w:rsidR="002A4DDF" w:rsidRPr="00937C8B" w:rsidRDefault="002A4DDF" w:rsidP="009110ED">
            <w:pPr>
              <w:rPr>
                <w:rFonts w:ascii="Arial" w:hAnsi="Arial" w:cs="Arial"/>
                <w:sz w:val="12"/>
                <w:szCs w:val="12"/>
              </w:rPr>
            </w:pPr>
          </w:p>
        </w:tc>
        <w:tc>
          <w:tcPr>
            <w:tcW w:w="2268" w:type="dxa"/>
            <w:shd w:val="clear" w:color="auto" w:fill="F2F2F2"/>
            <w:hideMark/>
          </w:tcPr>
          <w:p w14:paraId="44820FAE" w14:textId="77777777" w:rsidR="002A4DDF" w:rsidRPr="00937C8B" w:rsidRDefault="002A4DDF" w:rsidP="009110ED">
            <w:pPr>
              <w:rPr>
                <w:rFonts w:ascii="Arial" w:hAnsi="Arial" w:cs="Arial"/>
                <w:sz w:val="12"/>
                <w:szCs w:val="12"/>
              </w:rPr>
            </w:pPr>
            <w:r>
              <w:rPr>
                <w:rFonts w:ascii="Arial" w:hAnsi="Arial"/>
                <w:sz w:val="12"/>
                <w:szCs w:val="12"/>
              </w:rPr>
              <w:t>Valverde de Alcalá</w:t>
            </w:r>
          </w:p>
        </w:tc>
        <w:tc>
          <w:tcPr>
            <w:tcW w:w="2268" w:type="dxa"/>
            <w:tcBorders>
              <w:right w:val="single" w:sz="4" w:space="0" w:color="auto"/>
            </w:tcBorders>
            <w:shd w:val="clear" w:color="auto" w:fill="D9D9D9"/>
            <w:hideMark/>
          </w:tcPr>
          <w:p w14:paraId="4CA05423" w14:textId="77777777" w:rsidR="002A4DDF" w:rsidRPr="00937C8B" w:rsidRDefault="002A4DDF" w:rsidP="009110ED">
            <w:pPr>
              <w:rPr>
                <w:rFonts w:ascii="Arial" w:hAnsi="Arial" w:cs="Arial"/>
                <w:sz w:val="12"/>
                <w:szCs w:val="12"/>
              </w:rPr>
            </w:pPr>
            <w:r>
              <w:rPr>
                <w:rFonts w:ascii="Arial" w:hAnsi="Arial"/>
                <w:sz w:val="12"/>
                <w:szCs w:val="12"/>
              </w:rPr>
              <w:t>Navalafuente</w:t>
            </w:r>
          </w:p>
        </w:tc>
      </w:tr>
      <w:tr w:rsidR="002A4DDF" w:rsidRPr="00937C8B" w14:paraId="4664A0F5" w14:textId="77777777" w:rsidTr="00935676">
        <w:trPr>
          <w:cantSplit/>
        </w:trPr>
        <w:tc>
          <w:tcPr>
            <w:tcW w:w="1696" w:type="dxa"/>
            <w:tcBorders>
              <w:left w:val="single" w:sz="4" w:space="0" w:color="auto"/>
            </w:tcBorders>
            <w:shd w:val="clear" w:color="auto" w:fill="auto"/>
          </w:tcPr>
          <w:p w14:paraId="53A0CB77" w14:textId="77777777" w:rsidR="002A4DDF" w:rsidRPr="00937C8B" w:rsidRDefault="002A4DDF" w:rsidP="009110ED">
            <w:pPr>
              <w:rPr>
                <w:rFonts w:ascii="Arial" w:hAnsi="Arial" w:cs="Arial"/>
                <w:sz w:val="12"/>
                <w:szCs w:val="12"/>
              </w:rPr>
            </w:pPr>
          </w:p>
        </w:tc>
        <w:tc>
          <w:tcPr>
            <w:tcW w:w="1843" w:type="dxa"/>
            <w:shd w:val="clear" w:color="auto" w:fill="auto"/>
          </w:tcPr>
          <w:p w14:paraId="5AAA739D" w14:textId="77777777" w:rsidR="002A4DDF" w:rsidRPr="00937C8B" w:rsidRDefault="002A4DDF" w:rsidP="009110ED">
            <w:pPr>
              <w:rPr>
                <w:rFonts w:ascii="Arial" w:hAnsi="Arial" w:cs="Arial"/>
                <w:sz w:val="12"/>
                <w:szCs w:val="12"/>
              </w:rPr>
            </w:pPr>
          </w:p>
        </w:tc>
        <w:tc>
          <w:tcPr>
            <w:tcW w:w="2268" w:type="dxa"/>
            <w:shd w:val="clear" w:color="auto" w:fill="F2F2F2"/>
            <w:hideMark/>
          </w:tcPr>
          <w:p w14:paraId="582230A4" w14:textId="77777777" w:rsidR="002A4DDF" w:rsidRPr="00937C8B" w:rsidRDefault="002A4DDF" w:rsidP="009110ED">
            <w:pPr>
              <w:rPr>
                <w:rFonts w:ascii="Arial" w:hAnsi="Arial" w:cs="Arial"/>
                <w:sz w:val="12"/>
                <w:szCs w:val="12"/>
              </w:rPr>
            </w:pPr>
            <w:r>
              <w:rPr>
                <w:rFonts w:ascii="Arial" w:hAnsi="Arial"/>
                <w:sz w:val="12"/>
                <w:szCs w:val="12"/>
              </w:rPr>
              <w:t>Velilla de San Antonio</w:t>
            </w:r>
          </w:p>
        </w:tc>
        <w:tc>
          <w:tcPr>
            <w:tcW w:w="2268" w:type="dxa"/>
            <w:tcBorders>
              <w:right w:val="single" w:sz="4" w:space="0" w:color="auto"/>
            </w:tcBorders>
            <w:shd w:val="clear" w:color="auto" w:fill="D9D9D9"/>
            <w:hideMark/>
          </w:tcPr>
          <w:p w14:paraId="32B0DEEB" w14:textId="77777777" w:rsidR="002A4DDF" w:rsidRPr="00937C8B" w:rsidRDefault="002A4DDF" w:rsidP="009110ED">
            <w:pPr>
              <w:rPr>
                <w:rFonts w:ascii="Arial" w:hAnsi="Arial" w:cs="Arial"/>
                <w:sz w:val="12"/>
                <w:szCs w:val="12"/>
              </w:rPr>
            </w:pPr>
            <w:r>
              <w:rPr>
                <w:rFonts w:ascii="Arial" w:hAnsi="Arial"/>
                <w:sz w:val="12"/>
                <w:szCs w:val="12"/>
              </w:rPr>
              <w:t>Navalagamella</w:t>
            </w:r>
          </w:p>
        </w:tc>
      </w:tr>
      <w:tr w:rsidR="002A4DDF" w:rsidRPr="00937C8B" w14:paraId="3D359AC9" w14:textId="77777777" w:rsidTr="00935676">
        <w:trPr>
          <w:cantSplit/>
        </w:trPr>
        <w:tc>
          <w:tcPr>
            <w:tcW w:w="1696" w:type="dxa"/>
            <w:tcBorders>
              <w:left w:val="single" w:sz="4" w:space="0" w:color="auto"/>
            </w:tcBorders>
            <w:shd w:val="clear" w:color="auto" w:fill="auto"/>
          </w:tcPr>
          <w:p w14:paraId="1D7FAAB4" w14:textId="77777777" w:rsidR="002A4DDF" w:rsidRPr="00937C8B" w:rsidRDefault="002A4DDF" w:rsidP="009110ED">
            <w:pPr>
              <w:rPr>
                <w:rFonts w:ascii="Arial" w:hAnsi="Arial" w:cs="Arial"/>
                <w:sz w:val="12"/>
                <w:szCs w:val="12"/>
              </w:rPr>
            </w:pPr>
          </w:p>
        </w:tc>
        <w:tc>
          <w:tcPr>
            <w:tcW w:w="1843" w:type="dxa"/>
            <w:shd w:val="clear" w:color="auto" w:fill="auto"/>
          </w:tcPr>
          <w:p w14:paraId="45C46ABF" w14:textId="77777777" w:rsidR="002A4DDF" w:rsidRPr="00937C8B" w:rsidRDefault="002A4DDF" w:rsidP="009110ED">
            <w:pPr>
              <w:rPr>
                <w:rFonts w:ascii="Arial" w:hAnsi="Arial" w:cs="Arial"/>
                <w:sz w:val="12"/>
                <w:szCs w:val="12"/>
              </w:rPr>
            </w:pPr>
          </w:p>
        </w:tc>
        <w:tc>
          <w:tcPr>
            <w:tcW w:w="2268" w:type="dxa"/>
            <w:shd w:val="clear" w:color="auto" w:fill="F2F2F2"/>
            <w:hideMark/>
          </w:tcPr>
          <w:p w14:paraId="1B3FF370" w14:textId="77777777" w:rsidR="002A4DDF" w:rsidRPr="00937C8B" w:rsidRDefault="002A4DDF" w:rsidP="009110ED">
            <w:pPr>
              <w:rPr>
                <w:rFonts w:ascii="Arial" w:hAnsi="Arial" w:cs="Arial"/>
                <w:sz w:val="12"/>
                <w:szCs w:val="12"/>
              </w:rPr>
            </w:pPr>
            <w:r>
              <w:rPr>
                <w:rFonts w:ascii="Arial" w:hAnsi="Arial"/>
                <w:sz w:val="12"/>
                <w:szCs w:val="12"/>
              </w:rPr>
              <w:t>Villaconejos</w:t>
            </w:r>
          </w:p>
        </w:tc>
        <w:tc>
          <w:tcPr>
            <w:tcW w:w="2268" w:type="dxa"/>
            <w:tcBorders>
              <w:right w:val="single" w:sz="4" w:space="0" w:color="auto"/>
            </w:tcBorders>
            <w:shd w:val="clear" w:color="auto" w:fill="D9D9D9"/>
            <w:hideMark/>
          </w:tcPr>
          <w:p w14:paraId="7F6ABF30" w14:textId="77777777" w:rsidR="002A4DDF" w:rsidRPr="00937C8B" w:rsidRDefault="002A4DDF" w:rsidP="009110ED">
            <w:pPr>
              <w:rPr>
                <w:rFonts w:ascii="Arial" w:hAnsi="Arial" w:cs="Arial"/>
                <w:sz w:val="12"/>
                <w:szCs w:val="12"/>
              </w:rPr>
            </w:pPr>
            <w:r>
              <w:rPr>
                <w:rFonts w:ascii="Arial" w:hAnsi="Arial"/>
                <w:sz w:val="12"/>
                <w:szCs w:val="12"/>
              </w:rPr>
              <w:t>Navalcarnero</w:t>
            </w:r>
          </w:p>
        </w:tc>
      </w:tr>
      <w:tr w:rsidR="002A4DDF" w:rsidRPr="00937C8B" w14:paraId="43F94688" w14:textId="77777777" w:rsidTr="00935676">
        <w:trPr>
          <w:cantSplit/>
        </w:trPr>
        <w:tc>
          <w:tcPr>
            <w:tcW w:w="1696" w:type="dxa"/>
            <w:tcBorders>
              <w:left w:val="single" w:sz="4" w:space="0" w:color="auto"/>
            </w:tcBorders>
            <w:shd w:val="clear" w:color="auto" w:fill="auto"/>
          </w:tcPr>
          <w:p w14:paraId="4C7FDEB8" w14:textId="77777777" w:rsidR="002A4DDF" w:rsidRPr="00937C8B" w:rsidRDefault="002A4DDF" w:rsidP="009110ED">
            <w:pPr>
              <w:rPr>
                <w:rFonts w:ascii="Arial" w:hAnsi="Arial" w:cs="Arial"/>
                <w:sz w:val="12"/>
                <w:szCs w:val="12"/>
              </w:rPr>
            </w:pPr>
          </w:p>
        </w:tc>
        <w:tc>
          <w:tcPr>
            <w:tcW w:w="1843" w:type="dxa"/>
            <w:shd w:val="clear" w:color="auto" w:fill="auto"/>
          </w:tcPr>
          <w:p w14:paraId="6090208B" w14:textId="77777777" w:rsidR="002A4DDF" w:rsidRPr="00937C8B" w:rsidRDefault="002A4DDF" w:rsidP="009110ED">
            <w:pPr>
              <w:rPr>
                <w:rFonts w:ascii="Arial" w:hAnsi="Arial" w:cs="Arial"/>
                <w:sz w:val="12"/>
                <w:szCs w:val="12"/>
              </w:rPr>
            </w:pPr>
          </w:p>
        </w:tc>
        <w:tc>
          <w:tcPr>
            <w:tcW w:w="2268" w:type="dxa"/>
            <w:shd w:val="clear" w:color="auto" w:fill="F2F2F2"/>
            <w:hideMark/>
          </w:tcPr>
          <w:p w14:paraId="143D5D53" w14:textId="77777777" w:rsidR="002A4DDF" w:rsidRPr="00937C8B" w:rsidRDefault="002A4DDF" w:rsidP="009110ED">
            <w:pPr>
              <w:rPr>
                <w:rFonts w:ascii="Arial" w:hAnsi="Arial" w:cs="Arial"/>
                <w:sz w:val="12"/>
                <w:szCs w:val="12"/>
              </w:rPr>
            </w:pPr>
            <w:r>
              <w:rPr>
                <w:rFonts w:ascii="Arial" w:hAnsi="Arial"/>
                <w:sz w:val="12"/>
                <w:szCs w:val="12"/>
              </w:rPr>
              <w:t>Villalbilla</w:t>
            </w:r>
          </w:p>
        </w:tc>
        <w:tc>
          <w:tcPr>
            <w:tcW w:w="2268" w:type="dxa"/>
            <w:tcBorders>
              <w:right w:val="single" w:sz="4" w:space="0" w:color="auto"/>
            </w:tcBorders>
            <w:shd w:val="clear" w:color="auto" w:fill="D9D9D9"/>
            <w:hideMark/>
          </w:tcPr>
          <w:p w14:paraId="1131F10D" w14:textId="77777777" w:rsidR="002A4DDF" w:rsidRPr="00937C8B" w:rsidRDefault="002A4DDF" w:rsidP="009110ED">
            <w:pPr>
              <w:rPr>
                <w:rFonts w:ascii="Arial" w:hAnsi="Arial" w:cs="Arial"/>
                <w:sz w:val="12"/>
                <w:szCs w:val="12"/>
              </w:rPr>
            </w:pPr>
            <w:r>
              <w:rPr>
                <w:rFonts w:ascii="Arial" w:hAnsi="Arial"/>
                <w:sz w:val="12"/>
                <w:szCs w:val="12"/>
              </w:rPr>
              <w:t>Navarredonda y San Mamés</w:t>
            </w:r>
          </w:p>
        </w:tc>
      </w:tr>
      <w:tr w:rsidR="002A4DDF" w:rsidRPr="00937C8B" w14:paraId="03633D16" w14:textId="77777777" w:rsidTr="00935676">
        <w:trPr>
          <w:cantSplit/>
        </w:trPr>
        <w:tc>
          <w:tcPr>
            <w:tcW w:w="1696" w:type="dxa"/>
            <w:tcBorders>
              <w:left w:val="single" w:sz="4" w:space="0" w:color="auto"/>
            </w:tcBorders>
            <w:shd w:val="clear" w:color="auto" w:fill="auto"/>
          </w:tcPr>
          <w:p w14:paraId="4D139BD5" w14:textId="77777777" w:rsidR="002A4DDF" w:rsidRPr="00937C8B" w:rsidRDefault="002A4DDF" w:rsidP="009110ED">
            <w:pPr>
              <w:rPr>
                <w:rFonts w:ascii="Arial" w:hAnsi="Arial" w:cs="Arial"/>
                <w:sz w:val="12"/>
                <w:szCs w:val="12"/>
              </w:rPr>
            </w:pPr>
          </w:p>
        </w:tc>
        <w:tc>
          <w:tcPr>
            <w:tcW w:w="1843" w:type="dxa"/>
            <w:shd w:val="clear" w:color="auto" w:fill="auto"/>
          </w:tcPr>
          <w:p w14:paraId="044E1EB6" w14:textId="77777777" w:rsidR="002A4DDF" w:rsidRPr="00937C8B" w:rsidRDefault="002A4DDF" w:rsidP="009110ED">
            <w:pPr>
              <w:rPr>
                <w:rFonts w:ascii="Arial" w:hAnsi="Arial" w:cs="Arial"/>
                <w:sz w:val="12"/>
                <w:szCs w:val="12"/>
              </w:rPr>
            </w:pPr>
          </w:p>
        </w:tc>
        <w:tc>
          <w:tcPr>
            <w:tcW w:w="2268" w:type="dxa"/>
            <w:shd w:val="clear" w:color="auto" w:fill="F2F2F2"/>
            <w:hideMark/>
          </w:tcPr>
          <w:p w14:paraId="43FCE7E9" w14:textId="77777777" w:rsidR="002A4DDF" w:rsidRPr="00937C8B" w:rsidRDefault="002A4DDF" w:rsidP="009110ED">
            <w:pPr>
              <w:rPr>
                <w:rFonts w:ascii="Arial" w:hAnsi="Arial" w:cs="Arial"/>
                <w:sz w:val="12"/>
                <w:szCs w:val="12"/>
              </w:rPr>
            </w:pPr>
            <w:r>
              <w:rPr>
                <w:rFonts w:ascii="Arial" w:hAnsi="Arial"/>
                <w:sz w:val="12"/>
                <w:szCs w:val="12"/>
              </w:rPr>
              <w:t>Villamanrique de Tajo</w:t>
            </w:r>
          </w:p>
        </w:tc>
        <w:tc>
          <w:tcPr>
            <w:tcW w:w="2268" w:type="dxa"/>
            <w:tcBorders>
              <w:right w:val="single" w:sz="4" w:space="0" w:color="auto"/>
            </w:tcBorders>
            <w:shd w:val="clear" w:color="auto" w:fill="D9D9D9"/>
            <w:hideMark/>
          </w:tcPr>
          <w:p w14:paraId="5859AD89" w14:textId="77777777" w:rsidR="002A4DDF" w:rsidRPr="00937C8B" w:rsidRDefault="002A4DDF" w:rsidP="009110ED">
            <w:pPr>
              <w:rPr>
                <w:rFonts w:ascii="Arial" w:hAnsi="Arial" w:cs="Arial"/>
                <w:sz w:val="12"/>
                <w:szCs w:val="12"/>
              </w:rPr>
            </w:pPr>
            <w:r>
              <w:rPr>
                <w:rFonts w:ascii="Arial" w:hAnsi="Arial"/>
                <w:sz w:val="12"/>
                <w:szCs w:val="12"/>
              </w:rPr>
              <w:t>Navas del Rey</w:t>
            </w:r>
          </w:p>
        </w:tc>
      </w:tr>
      <w:tr w:rsidR="002A4DDF" w:rsidRPr="00937C8B" w14:paraId="267A6757" w14:textId="77777777" w:rsidTr="00935676">
        <w:trPr>
          <w:cantSplit/>
        </w:trPr>
        <w:tc>
          <w:tcPr>
            <w:tcW w:w="1696" w:type="dxa"/>
            <w:tcBorders>
              <w:left w:val="single" w:sz="4" w:space="0" w:color="auto"/>
            </w:tcBorders>
            <w:shd w:val="clear" w:color="auto" w:fill="auto"/>
          </w:tcPr>
          <w:p w14:paraId="112B2014" w14:textId="77777777" w:rsidR="002A4DDF" w:rsidRPr="00937C8B" w:rsidRDefault="002A4DDF" w:rsidP="009110ED">
            <w:pPr>
              <w:rPr>
                <w:rFonts w:ascii="Arial" w:hAnsi="Arial" w:cs="Arial"/>
                <w:sz w:val="12"/>
                <w:szCs w:val="12"/>
              </w:rPr>
            </w:pPr>
          </w:p>
        </w:tc>
        <w:tc>
          <w:tcPr>
            <w:tcW w:w="1843" w:type="dxa"/>
            <w:shd w:val="clear" w:color="auto" w:fill="auto"/>
          </w:tcPr>
          <w:p w14:paraId="3E7A63C0" w14:textId="77777777" w:rsidR="002A4DDF" w:rsidRPr="00937C8B" w:rsidRDefault="002A4DDF" w:rsidP="009110ED">
            <w:pPr>
              <w:rPr>
                <w:rFonts w:ascii="Arial" w:hAnsi="Arial" w:cs="Arial"/>
                <w:sz w:val="12"/>
                <w:szCs w:val="12"/>
              </w:rPr>
            </w:pPr>
          </w:p>
        </w:tc>
        <w:tc>
          <w:tcPr>
            <w:tcW w:w="2268" w:type="dxa"/>
            <w:shd w:val="clear" w:color="auto" w:fill="F2F2F2"/>
            <w:hideMark/>
          </w:tcPr>
          <w:p w14:paraId="78519756" w14:textId="77777777" w:rsidR="002A4DDF" w:rsidRPr="00937C8B" w:rsidRDefault="002A4DDF" w:rsidP="009110ED">
            <w:pPr>
              <w:rPr>
                <w:rFonts w:ascii="Arial" w:hAnsi="Arial" w:cs="Arial"/>
                <w:sz w:val="12"/>
                <w:szCs w:val="12"/>
              </w:rPr>
            </w:pPr>
            <w:r>
              <w:rPr>
                <w:rFonts w:ascii="Arial" w:hAnsi="Arial"/>
                <w:sz w:val="12"/>
                <w:szCs w:val="12"/>
              </w:rPr>
              <w:t>Villanueva de la Cañada</w:t>
            </w:r>
          </w:p>
        </w:tc>
        <w:tc>
          <w:tcPr>
            <w:tcW w:w="2268" w:type="dxa"/>
            <w:tcBorders>
              <w:right w:val="single" w:sz="4" w:space="0" w:color="auto"/>
            </w:tcBorders>
            <w:shd w:val="clear" w:color="auto" w:fill="D9D9D9"/>
            <w:hideMark/>
          </w:tcPr>
          <w:p w14:paraId="6D27AF3B" w14:textId="77777777" w:rsidR="002A4DDF" w:rsidRPr="00937C8B" w:rsidRDefault="002A4DDF" w:rsidP="009110ED">
            <w:pPr>
              <w:rPr>
                <w:rFonts w:ascii="Arial" w:hAnsi="Arial" w:cs="Arial"/>
                <w:sz w:val="12"/>
                <w:szCs w:val="12"/>
              </w:rPr>
            </w:pPr>
            <w:r>
              <w:rPr>
                <w:rFonts w:ascii="Arial" w:hAnsi="Arial"/>
                <w:sz w:val="12"/>
                <w:szCs w:val="12"/>
              </w:rPr>
              <w:t>Pedrezuela</w:t>
            </w:r>
          </w:p>
        </w:tc>
      </w:tr>
      <w:tr w:rsidR="002A4DDF" w:rsidRPr="00937C8B" w14:paraId="55D7B964" w14:textId="77777777" w:rsidTr="00935676">
        <w:trPr>
          <w:cantSplit/>
        </w:trPr>
        <w:tc>
          <w:tcPr>
            <w:tcW w:w="1696" w:type="dxa"/>
            <w:tcBorders>
              <w:left w:val="single" w:sz="4" w:space="0" w:color="auto"/>
            </w:tcBorders>
            <w:shd w:val="clear" w:color="auto" w:fill="auto"/>
          </w:tcPr>
          <w:p w14:paraId="40DB46A7" w14:textId="77777777" w:rsidR="002A4DDF" w:rsidRPr="00937C8B" w:rsidRDefault="002A4DDF" w:rsidP="009110ED">
            <w:pPr>
              <w:rPr>
                <w:rFonts w:ascii="Arial" w:hAnsi="Arial" w:cs="Arial"/>
                <w:sz w:val="12"/>
                <w:szCs w:val="12"/>
              </w:rPr>
            </w:pPr>
          </w:p>
        </w:tc>
        <w:tc>
          <w:tcPr>
            <w:tcW w:w="1843" w:type="dxa"/>
            <w:shd w:val="clear" w:color="auto" w:fill="auto"/>
          </w:tcPr>
          <w:p w14:paraId="37324A89" w14:textId="77777777" w:rsidR="002A4DDF" w:rsidRPr="00937C8B" w:rsidRDefault="002A4DDF" w:rsidP="009110ED">
            <w:pPr>
              <w:rPr>
                <w:rFonts w:ascii="Arial" w:hAnsi="Arial" w:cs="Arial"/>
                <w:sz w:val="12"/>
                <w:szCs w:val="12"/>
              </w:rPr>
            </w:pPr>
          </w:p>
        </w:tc>
        <w:tc>
          <w:tcPr>
            <w:tcW w:w="2268" w:type="dxa"/>
            <w:shd w:val="clear" w:color="auto" w:fill="F2F2F2"/>
            <w:hideMark/>
          </w:tcPr>
          <w:p w14:paraId="1F6249C1" w14:textId="77777777" w:rsidR="002A4DDF" w:rsidRPr="00937C8B" w:rsidRDefault="002A4DDF" w:rsidP="009110ED">
            <w:pPr>
              <w:rPr>
                <w:rFonts w:ascii="Arial" w:hAnsi="Arial" w:cs="Arial"/>
                <w:sz w:val="12"/>
                <w:szCs w:val="12"/>
              </w:rPr>
            </w:pPr>
            <w:r>
              <w:rPr>
                <w:rFonts w:ascii="Arial" w:hAnsi="Arial"/>
                <w:sz w:val="12"/>
                <w:szCs w:val="12"/>
              </w:rPr>
              <w:t>Villanueva del Pardillo</w:t>
            </w:r>
          </w:p>
        </w:tc>
        <w:tc>
          <w:tcPr>
            <w:tcW w:w="2268" w:type="dxa"/>
            <w:tcBorders>
              <w:right w:val="single" w:sz="4" w:space="0" w:color="auto"/>
            </w:tcBorders>
            <w:shd w:val="clear" w:color="auto" w:fill="D9D9D9"/>
            <w:hideMark/>
          </w:tcPr>
          <w:p w14:paraId="18B43EBE" w14:textId="77777777" w:rsidR="002A4DDF" w:rsidRPr="00937C8B" w:rsidRDefault="002A4DDF" w:rsidP="009110ED">
            <w:pPr>
              <w:rPr>
                <w:rFonts w:ascii="Arial" w:hAnsi="Arial" w:cs="Arial"/>
                <w:sz w:val="12"/>
                <w:szCs w:val="12"/>
              </w:rPr>
            </w:pPr>
            <w:r>
              <w:rPr>
                <w:rFonts w:ascii="Arial" w:hAnsi="Arial"/>
                <w:sz w:val="12"/>
                <w:szCs w:val="12"/>
              </w:rPr>
              <w:t>Pelayos de la Presa</w:t>
            </w:r>
          </w:p>
        </w:tc>
      </w:tr>
      <w:tr w:rsidR="002A4DDF" w:rsidRPr="00937C8B" w14:paraId="14E240E6" w14:textId="77777777" w:rsidTr="00935676">
        <w:trPr>
          <w:cantSplit/>
        </w:trPr>
        <w:tc>
          <w:tcPr>
            <w:tcW w:w="1696" w:type="dxa"/>
            <w:tcBorders>
              <w:left w:val="single" w:sz="4" w:space="0" w:color="auto"/>
            </w:tcBorders>
            <w:shd w:val="clear" w:color="auto" w:fill="auto"/>
          </w:tcPr>
          <w:p w14:paraId="4FF01E46" w14:textId="77777777" w:rsidR="002A4DDF" w:rsidRPr="00937C8B" w:rsidRDefault="002A4DDF" w:rsidP="009110ED">
            <w:pPr>
              <w:rPr>
                <w:rFonts w:ascii="Arial" w:hAnsi="Arial" w:cs="Arial"/>
                <w:sz w:val="12"/>
                <w:szCs w:val="12"/>
              </w:rPr>
            </w:pPr>
          </w:p>
        </w:tc>
        <w:tc>
          <w:tcPr>
            <w:tcW w:w="1843" w:type="dxa"/>
            <w:shd w:val="clear" w:color="auto" w:fill="auto"/>
          </w:tcPr>
          <w:p w14:paraId="49C64151" w14:textId="77777777" w:rsidR="002A4DDF" w:rsidRPr="00937C8B" w:rsidRDefault="002A4DDF" w:rsidP="009110ED">
            <w:pPr>
              <w:rPr>
                <w:rFonts w:ascii="Arial" w:hAnsi="Arial" w:cs="Arial"/>
                <w:sz w:val="12"/>
                <w:szCs w:val="12"/>
              </w:rPr>
            </w:pPr>
          </w:p>
        </w:tc>
        <w:tc>
          <w:tcPr>
            <w:tcW w:w="2268" w:type="dxa"/>
            <w:shd w:val="clear" w:color="auto" w:fill="F2F2F2"/>
            <w:hideMark/>
          </w:tcPr>
          <w:p w14:paraId="55C48AC1" w14:textId="77777777" w:rsidR="002A4DDF" w:rsidRPr="00937C8B" w:rsidRDefault="002A4DDF" w:rsidP="009110ED">
            <w:pPr>
              <w:rPr>
                <w:rFonts w:ascii="Arial" w:hAnsi="Arial" w:cs="Arial"/>
                <w:sz w:val="12"/>
                <w:szCs w:val="12"/>
              </w:rPr>
            </w:pPr>
            <w:r>
              <w:rPr>
                <w:rFonts w:ascii="Arial" w:hAnsi="Arial"/>
                <w:sz w:val="12"/>
                <w:szCs w:val="12"/>
              </w:rPr>
              <w:t>Villaviciosa de Odón</w:t>
            </w:r>
          </w:p>
        </w:tc>
        <w:tc>
          <w:tcPr>
            <w:tcW w:w="2268" w:type="dxa"/>
            <w:tcBorders>
              <w:right w:val="single" w:sz="4" w:space="0" w:color="auto"/>
            </w:tcBorders>
            <w:shd w:val="clear" w:color="auto" w:fill="D9D9D9"/>
            <w:hideMark/>
          </w:tcPr>
          <w:p w14:paraId="700BEF25" w14:textId="77777777" w:rsidR="002A4DDF" w:rsidRPr="00937C8B" w:rsidRDefault="002A4DDF" w:rsidP="009110ED">
            <w:pPr>
              <w:rPr>
                <w:rFonts w:ascii="Arial" w:hAnsi="Arial" w:cs="Arial"/>
                <w:sz w:val="12"/>
                <w:szCs w:val="12"/>
              </w:rPr>
            </w:pPr>
            <w:r>
              <w:rPr>
                <w:rFonts w:ascii="Arial" w:hAnsi="Arial"/>
                <w:sz w:val="12"/>
                <w:szCs w:val="12"/>
              </w:rPr>
              <w:t>Piñuécar-Gandullas</w:t>
            </w:r>
          </w:p>
        </w:tc>
      </w:tr>
      <w:tr w:rsidR="002A4DDF" w:rsidRPr="00937C8B" w14:paraId="7040ACA3" w14:textId="77777777" w:rsidTr="00935676">
        <w:trPr>
          <w:cantSplit/>
        </w:trPr>
        <w:tc>
          <w:tcPr>
            <w:tcW w:w="1696" w:type="dxa"/>
            <w:tcBorders>
              <w:left w:val="single" w:sz="4" w:space="0" w:color="auto"/>
            </w:tcBorders>
            <w:shd w:val="clear" w:color="auto" w:fill="auto"/>
          </w:tcPr>
          <w:p w14:paraId="46E0851B" w14:textId="77777777" w:rsidR="002A4DDF" w:rsidRPr="00937C8B" w:rsidRDefault="002A4DDF" w:rsidP="009110ED">
            <w:pPr>
              <w:rPr>
                <w:rFonts w:ascii="Arial" w:hAnsi="Arial" w:cs="Arial"/>
                <w:sz w:val="12"/>
                <w:szCs w:val="12"/>
              </w:rPr>
            </w:pPr>
          </w:p>
        </w:tc>
        <w:tc>
          <w:tcPr>
            <w:tcW w:w="1843" w:type="dxa"/>
            <w:shd w:val="clear" w:color="auto" w:fill="auto"/>
          </w:tcPr>
          <w:p w14:paraId="2E5F3693" w14:textId="77777777" w:rsidR="002A4DDF" w:rsidRPr="00937C8B" w:rsidRDefault="002A4DDF" w:rsidP="009110ED">
            <w:pPr>
              <w:rPr>
                <w:rFonts w:ascii="Arial" w:hAnsi="Arial" w:cs="Arial"/>
                <w:sz w:val="12"/>
                <w:szCs w:val="12"/>
              </w:rPr>
            </w:pPr>
          </w:p>
        </w:tc>
        <w:tc>
          <w:tcPr>
            <w:tcW w:w="2268" w:type="dxa"/>
            <w:shd w:val="clear" w:color="auto" w:fill="F2F2F2"/>
            <w:hideMark/>
          </w:tcPr>
          <w:p w14:paraId="15BD701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F829952" w14:textId="77777777" w:rsidR="002A4DDF" w:rsidRPr="00937C8B" w:rsidRDefault="002A4DDF" w:rsidP="009110ED">
            <w:pPr>
              <w:rPr>
                <w:rFonts w:ascii="Arial" w:hAnsi="Arial" w:cs="Arial"/>
                <w:sz w:val="12"/>
                <w:szCs w:val="12"/>
              </w:rPr>
            </w:pPr>
            <w:r>
              <w:rPr>
                <w:rFonts w:ascii="Arial" w:hAnsi="Arial"/>
                <w:sz w:val="12"/>
                <w:szCs w:val="12"/>
              </w:rPr>
              <w:t>Prádena del Rincón</w:t>
            </w:r>
          </w:p>
        </w:tc>
      </w:tr>
      <w:tr w:rsidR="002A4DDF" w:rsidRPr="00937C8B" w14:paraId="64405752" w14:textId="77777777" w:rsidTr="00935676">
        <w:trPr>
          <w:cantSplit/>
        </w:trPr>
        <w:tc>
          <w:tcPr>
            <w:tcW w:w="1696" w:type="dxa"/>
            <w:tcBorders>
              <w:left w:val="single" w:sz="4" w:space="0" w:color="auto"/>
            </w:tcBorders>
            <w:shd w:val="clear" w:color="auto" w:fill="auto"/>
          </w:tcPr>
          <w:p w14:paraId="7C2BDED9" w14:textId="77777777" w:rsidR="002A4DDF" w:rsidRPr="00937C8B" w:rsidRDefault="002A4DDF" w:rsidP="009110ED">
            <w:pPr>
              <w:rPr>
                <w:rFonts w:ascii="Arial" w:hAnsi="Arial" w:cs="Arial"/>
                <w:sz w:val="12"/>
                <w:szCs w:val="12"/>
              </w:rPr>
            </w:pPr>
          </w:p>
        </w:tc>
        <w:tc>
          <w:tcPr>
            <w:tcW w:w="1843" w:type="dxa"/>
            <w:shd w:val="clear" w:color="auto" w:fill="auto"/>
          </w:tcPr>
          <w:p w14:paraId="3A1131EE" w14:textId="77777777" w:rsidR="002A4DDF" w:rsidRPr="00937C8B" w:rsidRDefault="002A4DDF" w:rsidP="009110ED">
            <w:pPr>
              <w:rPr>
                <w:rFonts w:ascii="Arial" w:hAnsi="Arial" w:cs="Arial"/>
                <w:sz w:val="12"/>
                <w:szCs w:val="12"/>
              </w:rPr>
            </w:pPr>
          </w:p>
        </w:tc>
        <w:tc>
          <w:tcPr>
            <w:tcW w:w="2268" w:type="dxa"/>
            <w:shd w:val="clear" w:color="auto" w:fill="F2F2F2"/>
            <w:hideMark/>
          </w:tcPr>
          <w:p w14:paraId="40B53E1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41CE9C2" w14:textId="77777777" w:rsidR="002A4DDF" w:rsidRPr="00937C8B" w:rsidRDefault="002A4DDF" w:rsidP="009110ED">
            <w:pPr>
              <w:rPr>
                <w:rFonts w:ascii="Arial" w:hAnsi="Arial" w:cs="Arial"/>
                <w:sz w:val="12"/>
                <w:szCs w:val="12"/>
              </w:rPr>
            </w:pPr>
            <w:r>
              <w:rPr>
                <w:rFonts w:ascii="Arial" w:hAnsi="Arial"/>
                <w:sz w:val="12"/>
                <w:szCs w:val="12"/>
              </w:rPr>
              <w:t>Puebla de la Sierra</w:t>
            </w:r>
          </w:p>
        </w:tc>
      </w:tr>
      <w:tr w:rsidR="002A4DDF" w:rsidRPr="00937C8B" w14:paraId="08B9AF69" w14:textId="77777777" w:rsidTr="00935676">
        <w:trPr>
          <w:cantSplit/>
        </w:trPr>
        <w:tc>
          <w:tcPr>
            <w:tcW w:w="1696" w:type="dxa"/>
            <w:tcBorders>
              <w:left w:val="single" w:sz="4" w:space="0" w:color="auto"/>
            </w:tcBorders>
            <w:shd w:val="clear" w:color="auto" w:fill="auto"/>
          </w:tcPr>
          <w:p w14:paraId="1362C633" w14:textId="77777777" w:rsidR="002A4DDF" w:rsidRPr="00937C8B" w:rsidRDefault="002A4DDF" w:rsidP="009110ED">
            <w:pPr>
              <w:rPr>
                <w:rFonts w:ascii="Arial" w:hAnsi="Arial" w:cs="Arial"/>
                <w:sz w:val="12"/>
                <w:szCs w:val="12"/>
              </w:rPr>
            </w:pPr>
          </w:p>
        </w:tc>
        <w:tc>
          <w:tcPr>
            <w:tcW w:w="1843" w:type="dxa"/>
            <w:shd w:val="clear" w:color="auto" w:fill="auto"/>
          </w:tcPr>
          <w:p w14:paraId="4F5A4B19" w14:textId="77777777" w:rsidR="002A4DDF" w:rsidRPr="00937C8B" w:rsidRDefault="002A4DDF" w:rsidP="009110ED">
            <w:pPr>
              <w:rPr>
                <w:rFonts w:ascii="Arial" w:hAnsi="Arial" w:cs="Arial"/>
                <w:sz w:val="12"/>
                <w:szCs w:val="12"/>
              </w:rPr>
            </w:pPr>
          </w:p>
        </w:tc>
        <w:tc>
          <w:tcPr>
            <w:tcW w:w="2268" w:type="dxa"/>
            <w:shd w:val="clear" w:color="auto" w:fill="F2F2F2"/>
            <w:hideMark/>
          </w:tcPr>
          <w:p w14:paraId="55FFDD3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3D76139" w14:textId="77777777" w:rsidR="002A4DDF" w:rsidRPr="00937C8B" w:rsidRDefault="002A4DDF" w:rsidP="009110ED">
            <w:pPr>
              <w:rPr>
                <w:rFonts w:ascii="Arial" w:hAnsi="Arial" w:cs="Arial"/>
                <w:sz w:val="12"/>
                <w:szCs w:val="12"/>
              </w:rPr>
            </w:pPr>
            <w:r>
              <w:rPr>
                <w:rFonts w:ascii="Arial" w:hAnsi="Arial"/>
                <w:sz w:val="12"/>
                <w:szCs w:val="12"/>
              </w:rPr>
              <w:t>Puentes Viejas</w:t>
            </w:r>
          </w:p>
        </w:tc>
      </w:tr>
      <w:tr w:rsidR="002A4DDF" w:rsidRPr="00937C8B" w14:paraId="6EE7AD4E" w14:textId="77777777" w:rsidTr="00935676">
        <w:trPr>
          <w:cantSplit/>
        </w:trPr>
        <w:tc>
          <w:tcPr>
            <w:tcW w:w="1696" w:type="dxa"/>
            <w:tcBorders>
              <w:left w:val="single" w:sz="4" w:space="0" w:color="auto"/>
            </w:tcBorders>
            <w:shd w:val="clear" w:color="auto" w:fill="auto"/>
          </w:tcPr>
          <w:p w14:paraId="568B119B" w14:textId="77777777" w:rsidR="002A4DDF" w:rsidRPr="00937C8B" w:rsidRDefault="002A4DDF" w:rsidP="009110ED">
            <w:pPr>
              <w:rPr>
                <w:rFonts w:ascii="Arial" w:hAnsi="Arial" w:cs="Arial"/>
                <w:sz w:val="12"/>
                <w:szCs w:val="12"/>
              </w:rPr>
            </w:pPr>
          </w:p>
        </w:tc>
        <w:tc>
          <w:tcPr>
            <w:tcW w:w="1843" w:type="dxa"/>
            <w:shd w:val="clear" w:color="auto" w:fill="auto"/>
          </w:tcPr>
          <w:p w14:paraId="302F4592" w14:textId="77777777" w:rsidR="002A4DDF" w:rsidRPr="00937C8B" w:rsidRDefault="002A4DDF" w:rsidP="009110ED">
            <w:pPr>
              <w:rPr>
                <w:rFonts w:ascii="Arial" w:hAnsi="Arial" w:cs="Arial"/>
                <w:sz w:val="12"/>
                <w:szCs w:val="12"/>
              </w:rPr>
            </w:pPr>
          </w:p>
        </w:tc>
        <w:tc>
          <w:tcPr>
            <w:tcW w:w="2268" w:type="dxa"/>
            <w:shd w:val="clear" w:color="auto" w:fill="F2F2F2"/>
            <w:hideMark/>
          </w:tcPr>
          <w:p w14:paraId="208CB8D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19C2942" w14:textId="77777777" w:rsidR="002A4DDF" w:rsidRPr="00937C8B" w:rsidRDefault="002A4DDF" w:rsidP="009110ED">
            <w:pPr>
              <w:rPr>
                <w:rFonts w:ascii="Arial" w:hAnsi="Arial" w:cs="Arial"/>
                <w:sz w:val="12"/>
                <w:szCs w:val="12"/>
              </w:rPr>
            </w:pPr>
            <w:r>
              <w:rPr>
                <w:rFonts w:ascii="Arial" w:hAnsi="Arial"/>
                <w:sz w:val="12"/>
                <w:szCs w:val="12"/>
              </w:rPr>
              <w:t>Rascafría</w:t>
            </w:r>
          </w:p>
        </w:tc>
      </w:tr>
      <w:tr w:rsidR="002A4DDF" w:rsidRPr="00937C8B" w14:paraId="7EF263CC" w14:textId="77777777" w:rsidTr="00935676">
        <w:trPr>
          <w:cantSplit/>
        </w:trPr>
        <w:tc>
          <w:tcPr>
            <w:tcW w:w="1696" w:type="dxa"/>
            <w:tcBorders>
              <w:left w:val="single" w:sz="4" w:space="0" w:color="auto"/>
            </w:tcBorders>
            <w:shd w:val="clear" w:color="auto" w:fill="auto"/>
          </w:tcPr>
          <w:p w14:paraId="48F06B7E" w14:textId="77777777" w:rsidR="002A4DDF" w:rsidRPr="00937C8B" w:rsidRDefault="002A4DDF" w:rsidP="009110ED">
            <w:pPr>
              <w:rPr>
                <w:rFonts w:ascii="Arial" w:hAnsi="Arial" w:cs="Arial"/>
                <w:sz w:val="12"/>
                <w:szCs w:val="12"/>
              </w:rPr>
            </w:pPr>
          </w:p>
        </w:tc>
        <w:tc>
          <w:tcPr>
            <w:tcW w:w="1843" w:type="dxa"/>
            <w:shd w:val="clear" w:color="auto" w:fill="auto"/>
          </w:tcPr>
          <w:p w14:paraId="4A5898D0" w14:textId="77777777" w:rsidR="002A4DDF" w:rsidRPr="00937C8B" w:rsidRDefault="002A4DDF" w:rsidP="009110ED">
            <w:pPr>
              <w:rPr>
                <w:rFonts w:ascii="Arial" w:hAnsi="Arial" w:cs="Arial"/>
                <w:sz w:val="12"/>
                <w:szCs w:val="12"/>
              </w:rPr>
            </w:pPr>
          </w:p>
        </w:tc>
        <w:tc>
          <w:tcPr>
            <w:tcW w:w="2268" w:type="dxa"/>
            <w:shd w:val="clear" w:color="auto" w:fill="F2F2F2"/>
            <w:hideMark/>
          </w:tcPr>
          <w:p w14:paraId="43EB4DD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514EDC5" w14:textId="77777777" w:rsidR="002A4DDF" w:rsidRPr="00937C8B" w:rsidRDefault="002A4DDF" w:rsidP="009110ED">
            <w:pPr>
              <w:rPr>
                <w:rFonts w:ascii="Arial" w:hAnsi="Arial" w:cs="Arial"/>
                <w:sz w:val="12"/>
                <w:szCs w:val="12"/>
              </w:rPr>
            </w:pPr>
            <w:r>
              <w:rPr>
                <w:rFonts w:ascii="Arial" w:hAnsi="Arial"/>
                <w:sz w:val="12"/>
                <w:szCs w:val="12"/>
              </w:rPr>
              <w:t>Robledillo de la Jara</w:t>
            </w:r>
          </w:p>
        </w:tc>
      </w:tr>
      <w:tr w:rsidR="002A4DDF" w:rsidRPr="00937C8B" w14:paraId="7069FDF5" w14:textId="77777777" w:rsidTr="00935676">
        <w:trPr>
          <w:cantSplit/>
        </w:trPr>
        <w:tc>
          <w:tcPr>
            <w:tcW w:w="1696" w:type="dxa"/>
            <w:tcBorders>
              <w:left w:val="single" w:sz="4" w:space="0" w:color="auto"/>
            </w:tcBorders>
            <w:shd w:val="clear" w:color="auto" w:fill="auto"/>
          </w:tcPr>
          <w:p w14:paraId="33EB8305" w14:textId="77777777" w:rsidR="002A4DDF" w:rsidRPr="00937C8B" w:rsidRDefault="002A4DDF" w:rsidP="009110ED">
            <w:pPr>
              <w:rPr>
                <w:rFonts w:ascii="Arial" w:hAnsi="Arial" w:cs="Arial"/>
                <w:sz w:val="12"/>
                <w:szCs w:val="12"/>
              </w:rPr>
            </w:pPr>
          </w:p>
        </w:tc>
        <w:tc>
          <w:tcPr>
            <w:tcW w:w="1843" w:type="dxa"/>
            <w:shd w:val="clear" w:color="auto" w:fill="auto"/>
          </w:tcPr>
          <w:p w14:paraId="6D0E1EAC" w14:textId="77777777" w:rsidR="002A4DDF" w:rsidRPr="00937C8B" w:rsidRDefault="002A4DDF" w:rsidP="009110ED">
            <w:pPr>
              <w:rPr>
                <w:rFonts w:ascii="Arial" w:hAnsi="Arial" w:cs="Arial"/>
                <w:sz w:val="12"/>
                <w:szCs w:val="12"/>
              </w:rPr>
            </w:pPr>
          </w:p>
        </w:tc>
        <w:tc>
          <w:tcPr>
            <w:tcW w:w="2268" w:type="dxa"/>
            <w:shd w:val="clear" w:color="auto" w:fill="F2F2F2"/>
            <w:hideMark/>
          </w:tcPr>
          <w:p w14:paraId="51BB8DB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339832C" w14:textId="77777777" w:rsidR="002A4DDF" w:rsidRPr="00937C8B" w:rsidRDefault="002A4DDF" w:rsidP="009110ED">
            <w:pPr>
              <w:rPr>
                <w:rFonts w:ascii="Arial" w:hAnsi="Arial" w:cs="Arial"/>
                <w:sz w:val="12"/>
                <w:szCs w:val="12"/>
              </w:rPr>
            </w:pPr>
            <w:r>
              <w:rPr>
                <w:rFonts w:ascii="Arial" w:hAnsi="Arial"/>
                <w:sz w:val="12"/>
                <w:szCs w:val="12"/>
              </w:rPr>
              <w:t>Robledo de Chavela</w:t>
            </w:r>
          </w:p>
        </w:tc>
      </w:tr>
      <w:tr w:rsidR="002A4DDF" w:rsidRPr="00937C8B" w14:paraId="61CB7F1D" w14:textId="77777777" w:rsidTr="00935676">
        <w:trPr>
          <w:cantSplit/>
        </w:trPr>
        <w:tc>
          <w:tcPr>
            <w:tcW w:w="1696" w:type="dxa"/>
            <w:tcBorders>
              <w:left w:val="single" w:sz="4" w:space="0" w:color="auto"/>
            </w:tcBorders>
            <w:shd w:val="clear" w:color="auto" w:fill="auto"/>
          </w:tcPr>
          <w:p w14:paraId="2D408B14" w14:textId="77777777" w:rsidR="002A4DDF" w:rsidRPr="00937C8B" w:rsidRDefault="002A4DDF" w:rsidP="009110ED">
            <w:pPr>
              <w:rPr>
                <w:rFonts w:ascii="Arial" w:hAnsi="Arial" w:cs="Arial"/>
                <w:sz w:val="12"/>
                <w:szCs w:val="12"/>
              </w:rPr>
            </w:pPr>
          </w:p>
        </w:tc>
        <w:tc>
          <w:tcPr>
            <w:tcW w:w="1843" w:type="dxa"/>
            <w:shd w:val="clear" w:color="auto" w:fill="auto"/>
          </w:tcPr>
          <w:p w14:paraId="20244779" w14:textId="77777777" w:rsidR="002A4DDF" w:rsidRPr="00937C8B" w:rsidRDefault="002A4DDF" w:rsidP="009110ED">
            <w:pPr>
              <w:rPr>
                <w:rFonts w:ascii="Arial" w:hAnsi="Arial" w:cs="Arial"/>
                <w:sz w:val="12"/>
                <w:szCs w:val="12"/>
              </w:rPr>
            </w:pPr>
          </w:p>
        </w:tc>
        <w:tc>
          <w:tcPr>
            <w:tcW w:w="2268" w:type="dxa"/>
            <w:shd w:val="clear" w:color="auto" w:fill="F2F2F2"/>
            <w:hideMark/>
          </w:tcPr>
          <w:p w14:paraId="2AD6B23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97ED559" w14:textId="77777777" w:rsidR="002A4DDF" w:rsidRPr="00937C8B" w:rsidRDefault="002A4DDF" w:rsidP="009110ED">
            <w:pPr>
              <w:rPr>
                <w:rFonts w:ascii="Arial" w:hAnsi="Arial" w:cs="Arial"/>
                <w:sz w:val="12"/>
                <w:szCs w:val="12"/>
              </w:rPr>
            </w:pPr>
            <w:r>
              <w:rPr>
                <w:rFonts w:ascii="Arial" w:hAnsi="Arial"/>
                <w:sz w:val="12"/>
                <w:szCs w:val="12"/>
              </w:rPr>
              <w:t>Robregordo</w:t>
            </w:r>
          </w:p>
        </w:tc>
      </w:tr>
      <w:tr w:rsidR="002A4DDF" w:rsidRPr="00937C8B" w14:paraId="1510AE4A" w14:textId="77777777" w:rsidTr="00935676">
        <w:trPr>
          <w:cantSplit/>
        </w:trPr>
        <w:tc>
          <w:tcPr>
            <w:tcW w:w="1696" w:type="dxa"/>
            <w:tcBorders>
              <w:left w:val="single" w:sz="4" w:space="0" w:color="auto"/>
            </w:tcBorders>
            <w:shd w:val="clear" w:color="auto" w:fill="auto"/>
          </w:tcPr>
          <w:p w14:paraId="56D855D3" w14:textId="77777777" w:rsidR="002A4DDF" w:rsidRPr="00937C8B" w:rsidRDefault="002A4DDF" w:rsidP="009110ED">
            <w:pPr>
              <w:rPr>
                <w:rFonts w:ascii="Arial" w:hAnsi="Arial" w:cs="Arial"/>
                <w:sz w:val="12"/>
                <w:szCs w:val="12"/>
              </w:rPr>
            </w:pPr>
          </w:p>
        </w:tc>
        <w:tc>
          <w:tcPr>
            <w:tcW w:w="1843" w:type="dxa"/>
            <w:shd w:val="clear" w:color="auto" w:fill="auto"/>
          </w:tcPr>
          <w:p w14:paraId="446154C5" w14:textId="77777777" w:rsidR="002A4DDF" w:rsidRPr="00937C8B" w:rsidRDefault="002A4DDF" w:rsidP="009110ED">
            <w:pPr>
              <w:rPr>
                <w:rFonts w:ascii="Arial" w:hAnsi="Arial" w:cs="Arial"/>
                <w:sz w:val="12"/>
                <w:szCs w:val="12"/>
              </w:rPr>
            </w:pPr>
          </w:p>
        </w:tc>
        <w:tc>
          <w:tcPr>
            <w:tcW w:w="2268" w:type="dxa"/>
            <w:shd w:val="clear" w:color="auto" w:fill="F2F2F2"/>
            <w:hideMark/>
          </w:tcPr>
          <w:p w14:paraId="64FDF09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D03C7B0" w14:textId="77777777" w:rsidR="002A4DDF" w:rsidRPr="00937C8B" w:rsidRDefault="002A4DDF" w:rsidP="009110ED">
            <w:pPr>
              <w:rPr>
                <w:rFonts w:ascii="Arial" w:hAnsi="Arial" w:cs="Arial"/>
                <w:sz w:val="12"/>
                <w:szCs w:val="12"/>
              </w:rPr>
            </w:pPr>
            <w:r>
              <w:rPr>
                <w:rFonts w:ascii="Arial" w:hAnsi="Arial"/>
                <w:sz w:val="12"/>
                <w:szCs w:val="12"/>
              </w:rPr>
              <w:t>Rozas de Puerto Real</w:t>
            </w:r>
          </w:p>
        </w:tc>
      </w:tr>
      <w:tr w:rsidR="002A4DDF" w:rsidRPr="00937C8B" w14:paraId="7958A6EB" w14:textId="77777777" w:rsidTr="00935676">
        <w:trPr>
          <w:cantSplit/>
        </w:trPr>
        <w:tc>
          <w:tcPr>
            <w:tcW w:w="1696" w:type="dxa"/>
            <w:tcBorders>
              <w:left w:val="single" w:sz="4" w:space="0" w:color="auto"/>
            </w:tcBorders>
            <w:shd w:val="clear" w:color="auto" w:fill="auto"/>
          </w:tcPr>
          <w:p w14:paraId="3BFB1065" w14:textId="77777777" w:rsidR="002A4DDF" w:rsidRPr="00937C8B" w:rsidRDefault="002A4DDF" w:rsidP="009110ED">
            <w:pPr>
              <w:rPr>
                <w:rFonts w:ascii="Arial" w:hAnsi="Arial" w:cs="Arial"/>
                <w:sz w:val="12"/>
                <w:szCs w:val="12"/>
              </w:rPr>
            </w:pPr>
          </w:p>
        </w:tc>
        <w:tc>
          <w:tcPr>
            <w:tcW w:w="1843" w:type="dxa"/>
            <w:shd w:val="clear" w:color="auto" w:fill="auto"/>
          </w:tcPr>
          <w:p w14:paraId="29B0BF6B" w14:textId="77777777" w:rsidR="002A4DDF" w:rsidRPr="00937C8B" w:rsidRDefault="002A4DDF" w:rsidP="009110ED">
            <w:pPr>
              <w:rPr>
                <w:rFonts w:ascii="Arial" w:hAnsi="Arial" w:cs="Arial"/>
                <w:sz w:val="12"/>
                <w:szCs w:val="12"/>
              </w:rPr>
            </w:pPr>
          </w:p>
        </w:tc>
        <w:tc>
          <w:tcPr>
            <w:tcW w:w="2268" w:type="dxa"/>
            <w:shd w:val="clear" w:color="auto" w:fill="F2F2F2"/>
            <w:hideMark/>
          </w:tcPr>
          <w:p w14:paraId="7CAC45B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7FB28C9" w14:textId="77777777" w:rsidR="002A4DDF" w:rsidRPr="00937C8B" w:rsidRDefault="002A4DDF" w:rsidP="009110ED">
            <w:pPr>
              <w:rPr>
                <w:rFonts w:ascii="Arial" w:hAnsi="Arial" w:cs="Arial"/>
                <w:sz w:val="12"/>
                <w:szCs w:val="12"/>
              </w:rPr>
            </w:pPr>
            <w:r>
              <w:rPr>
                <w:rFonts w:ascii="Arial" w:hAnsi="Arial"/>
                <w:sz w:val="12"/>
                <w:szCs w:val="12"/>
              </w:rPr>
              <w:t>San Lorenzo de El Escorial</w:t>
            </w:r>
          </w:p>
        </w:tc>
      </w:tr>
      <w:tr w:rsidR="002A4DDF" w:rsidRPr="00937C8B" w14:paraId="594EBCB8" w14:textId="77777777" w:rsidTr="00935676">
        <w:trPr>
          <w:cantSplit/>
        </w:trPr>
        <w:tc>
          <w:tcPr>
            <w:tcW w:w="1696" w:type="dxa"/>
            <w:tcBorders>
              <w:left w:val="single" w:sz="4" w:space="0" w:color="auto"/>
            </w:tcBorders>
            <w:shd w:val="clear" w:color="auto" w:fill="auto"/>
          </w:tcPr>
          <w:p w14:paraId="590887F8" w14:textId="77777777" w:rsidR="002A4DDF" w:rsidRPr="00937C8B" w:rsidRDefault="002A4DDF" w:rsidP="009110ED">
            <w:pPr>
              <w:rPr>
                <w:rFonts w:ascii="Arial" w:hAnsi="Arial" w:cs="Arial"/>
                <w:sz w:val="12"/>
                <w:szCs w:val="12"/>
              </w:rPr>
            </w:pPr>
          </w:p>
        </w:tc>
        <w:tc>
          <w:tcPr>
            <w:tcW w:w="1843" w:type="dxa"/>
            <w:shd w:val="clear" w:color="auto" w:fill="auto"/>
          </w:tcPr>
          <w:p w14:paraId="37552603" w14:textId="77777777" w:rsidR="002A4DDF" w:rsidRPr="00937C8B" w:rsidRDefault="002A4DDF" w:rsidP="009110ED">
            <w:pPr>
              <w:rPr>
                <w:rFonts w:ascii="Arial" w:hAnsi="Arial" w:cs="Arial"/>
                <w:sz w:val="12"/>
                <w:szCs w:val="12"/>
              </w:rPr>
            </w:pPr>
          </w:p>
        </w:tc>
        <w:tc>
          <w:tcPr>
            <w:tcW w:w="2268" w:type="dxa"/>
            <w:shd w:val="clear" w:color="auto" w:fill="F2F2F2"/>
            <w:hideMark/>
          </w:tcPr>
          <w:p w14:paraId="58A010A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FAC1FDB" w14:textId="77777777" w:rsidR="002A4DDF" w:rsidRPr="00937C8B" w:rsidRDefault="002A4DDF" w:rsidP="009110ED">
            <w:pPr>
              <w:rPr>
                <w:rFonts w:ascii="Arial" w:hAnsi="Arial" w:cs="Arial"/>
                <w:sz w:val="12"/>
                <w:szCs w:val="12"/>
              </w:rPr>
            </w:pPr>
            <w:r>
              <w:rPr>
                <w:rFonts w:ascii="Arial" w:hAnsi="Arial"/>
                <w:sz w:val="12"/>
                <w:szCs w:val="12"/>
              </w:rPr>
              <w:t>San Martín de Valdeiglesias</w:t>
            </w:r>
          </w:p>
        </w:tc>
      </w:tr>
      <w:tr w:rsidR="002A4DDF" w:rsidRPr="00937C8B" w14:paraId="71012A68" w14:textId="77777777" w:rsidTr="00935676">
        <w:trPr>
          <w:cantSplit/>
        </w:trPr>
        <w:tc>
          <w:tcPr>
            <w:tcW w:w="1696" w:type="dxa"/>
            <w:tcBorders>
              <w:left w:val="single" w:sz="4" w:space="0" w:color="auto"/>
            </w:tcBorders>
            <w:shd w:val="clear" w:color="auto" w:fill="auto"/>
          </w:tcPr>
          <w:p w14:paraId="3CAAC678" w14:textId="77777777" w:rsidR="002A4DDF" w:rsidRPr="00937C8B" w:rsidRDefault="002A4DDF" w:rsidP="009110ED">
            <w:pPr>
              <w:rPr>
                <w:rFonts w:ascii="Arial" w:hAnsi="Arial" w:cs="Arial"/>
                <w:sz w:val="12"/>
                <w:szCs w:val="12"/>
              </w:rPr>
            </w:pPr>
          </w:p>
        </w:tc>
        <w:tc>
          <w:tcPr>
            <w:tcW w:w="1843" w:type="dxa"/>
            <w:shd w:val="clear" w:color="auto" w:fill="auto"/>
          </w:tcPr>
          <w:p w14:paraId="7E8CCB72" w14:textId="77777777" w:rsidR="002A4DDF" w:rsidRPr="00937C8B" w:rsidRDefault="002A4DDF" w:rsidP="009110ED">
            <w:pPr>
              <w:rPr>
                <w:rFonts w:ascii="Arial" w:hAnsi="Arial" w:cs="Arial"/>
                <w:sz w:val="12"/>
                <w:szCs w:val="12"/>
              </w:rPr>
            </w:pPr>
          </w:p>
        </w:tc>
        <w:tc>
          <w:tcPr>
            <w:tcW w:w="2268" w:type="dxa"/>
            <w:shd w:val="clear" w:color="auto" w:fill="F2F2F2"/>
            <w:hideMark/>
          </w:tcPr>
          <w:p w14:paraId="7A65DD2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0E23467" w14:textId="77777777" w:rsidR="002A4DDF" w:rsidRPr="00937C8B" w:rsidRDefault="002A4DDF" w:rsidP="009110ED">
            <w:pPr>
              <w:rPr>
                <w:rFonts w:ascii="Arial" w:hAnsi="Arial" w:cs="Arial"/>
                <w:sz w:val="12"/>
                <w:szCs w:val="12"/>
              </w:rPr>
            </w:pPr>
            <w:r>
              <w:rPr>
                <w:rFonts w:ascii="Arial" w:hAnsi="Arial"/>
                <w:sz w:val="12"/>
                <w:szCs w:val="12"/>
              </w:rPr>
              <w:t>Santa María de la Alameda</w:t>
            </w:r>
          </w:p>
        </w:tc>
      </w:tr>
      <w:tr w:rsidR="002A4DDF" w:rsidRPr="00937C8B" w14:paraId="1E5D64AA" w14:textId="77777777" w:rsidTr="00935676">
        <w:trPr>
          <w:cantSplit/>
        </w:trPr>
        <w:tc>
          <w:tcPr>
            <w:tcW w:w="1696" w:type="dxa"/>
            <w:tcBorders>
              <w:left w:val="single" w:sz="4" w:space="0" w:color="auto"/>
            </w:tcBorders>
            <w:shd w:val="clear" w:color="auto" w:fill="auto"/>
          </w:tcPr>
          <w:p w14:paraId="54C4D390" w14:textId="77777777" w:rsidR="002A4DDF" w:rsidRPr="00937C8B" w:rsidRDefault="002A4DDF" w:rsidP="009110ED">
            <w:pPr>
              <w:rPr>
                <w:rFonts w:ascii="Arial" w:hAnsi="Arial" w:cs="Arial"/>
                <w:sz w:val="12"/>
                <w:szCs w:val="12"/>
              </w:rPr>
            </w:pPr>
          </w:p>
        </w:tc>
        <w:tc>
          <w:tcPr>
            <w:tcW w:w="1843" w:type="dxa"/>
            <w:shd w:val="clear" w:color="auto" w:fill="auto"/>
          </w:tcPr>
          <w:p w14:paraId="1DF517DA" w14:textId="77777777" w:rsidR="002A4DDF" w:rsidRPr="00937C8B" w:rsidRDefault="002A4DDF" w:rsidP="009110ED">
            <w:pPr>
              <w:rPr>
                <w:rFonts w:ascii="Arial" w:hAnsi="Arial" w:cs="Arial"/>
                <w:sz w:val="12"/>
                <w:szCs w:val="12"/>
              </w:rPr>
            </w:pPr>
          </w:p>
        </w:tc>
        <w:tc>
          <w:tcPr>
            <w:tcW w:w="2268" w:type="dxa"/>
            <w:shd w:val="clear" w:color="auto" w:fill="F2F2F2"/>
            <w:hideMark/>
          </w:tcPr>
          <w:p w14:paraId="5EA0C62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8DFD78F" w14:textId="77777777" w:rsidR="002A4DDF" w:rsidRPr="00937C8B" w:rsidRDefault="002A4DDF" w:rsidP="009110ED">
            <w:pPr>
              <w:rPr>
                <w:rFonts w:ascii="Arial" w:hAnsi="Arial" w:cs="Arial"/>
                <w:sz w:val="12"/>
                <w:szCs w:val="12"/>
              </w:rPr>
            </w:pPr>
            <w:r>
              <w:rPr>
                <w:rFonts w:ascii="Arial" w:hAnsi="Arial"/>
                <w:sz w:val="12"/>
                <w:szCs w:val="12"/>
              </w:rPr>
              <w:t>Sevilla la Nueva</w:t>
            </w:r>
          </w:p>
        </w:tc>
      </w:tr>
      <w:tr w:rsidR="002A4DDF" w:rsidRPr="00937C8B" w14:paraId="6C321E74" w14:textId="77777777" w:rsidTr="00935676">
        <w:trPr>
          <w:cantSplit/>
        </w:trPr>
        <w:tc>
          <w:tcPr>
            <w:tcW w:w="1696" w:type="dxa"/>
            <w:tcBorders>
              <w:left w:val="single" w:sz="4" w:space="0" w:color="auto"/>
            </w:tcBorders>
            <w:shd w:val="clear" w:color="auto" w:fill="auto"/>
          </w:tcPr>
          <w:p w14:paraId="7FEB8DD1" w14:textId="77777777" w:rsidR="002A4DDF" w:rsidRPr="00937C8B" w:rsidRDefault="002A4DDF" w:rsidP="009110ED">
            <w:pPr>
              <w:rPr>
                <w:rFonts w:ascii="Arial" w:hAnsi="Arial" w:cs="Arial"/>
                <w:sz w:val="12"/>
                <w:szCs w:val="12"/>
              </w:rPr>
            </w:pPr>
          </w:p>
        </w:tc>
        <w:tc>
          <w:tcPr>
            <w:tcW w:w="1843" w:type="dxa"/>
            <w:shd w:val="clear" w:color="auto" w:fill="auto"/>
          </w:tcPr>
          <w:p w14:paraId="0AAC96BF" w14:textId="77777777" w:rsidR="002A4DDF" w:rsidRPr="00937C8B" w:rsidRDefault="002A4DDF" w:rsidP="009110ED">
            <w:pPr>
              <w:rPr>
                <w:rFonts w:ascii="Arial" w:hAnsi="Arial" w:cs="Arial"/>
                <w:sz w:val="12"/>
                <w:szCs w:val="12"/>
              </w:rPr>
            </w:pPr>
          </w:p>
        </w:tc>
        <w:tc>
          <w:tcPr>
            <w:tcW w:w="2268" w:type="dxa"/>
            <w:shd w:val="clear" w:color="auto" w:fill="F2F2F2"/>
            <w:hideMark/>
          </w:tcPr>
          <w:p w14:paraId="1A1FCEC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14C0394" w14:textId="77777777" w:rsidR="002A4DDF" w:rsidRPr="00937C8B" w:rsidRDefault="002A4DDF" w:rsidP="009110ED">
            <w:pPr>
              <w:rPr>
                <w:rFonts w:ascii="Arial" w:hAnsi="Arial" w:cs="Arial"/>
                <w:sz w:val="12"/>
                <w:szCs w:val="12"/>
              </w:rPr>
            </w:pPr>
            <w:r>
              <w:rPr>
                <w:rFonts w:ascii="Arial" w:hAnsi="Arial"/>
                <w:sz w:val="12"/>
                <w:szCs w:val="12"/>
              </w:rPr>
              <w:t>Somosierra</w:t>
            </w:r>
          </w:p>
        </w:tc>
      </w:tr>
      <w:tr w:rsidR="002A4DDF" w:rsidRPr="00937C8B" w14:paraId="6DC998AF" w14:textId="77777777" w:rsidTr="00935676">
        <w:trPr>
          <w:cantSplit/>
        </w:trPr>
        <w:tc>
          <w:tcPr>
            <w:tcW w:w="1696" w:type="dxa"/>
            <w:tcBorders>
              <w:left w:val="single" w:sz="4" w:space="0" w:color="auto"/>
            </w:tcBorders>
            <w:shd w:val="clear" w:color="auto" w:fill="auto"/>
          </w:tcPr>
          <w:p w14:paraId="59C7323D" w14:textId="77777777" w:rsidR="002A4DDF" w:rsidRPr="00937C8B" w:rsidRDefault="002A4DDF" w:rsidP="009110ED">
            <w:pPr>
              <w:rPr>
                <w:rFonts w:ascii="Arial" w:hAnsi="Arial" w:cs="Arial"/>
                <w:sz w:val="12"/>
                <w:szCs w:val="12"/>
              </w:rPr>
            </w:pPr>
          </w:p>
        </w:tc>
        <w:tc>
          <w:tcPr>
            <w:tcW w:w="1843" w:type="dxa"/>
            <w:shd w:val="clear" w:color="auto" w:fill="auto"/>
          </w:tcPr>
          <w:p w14:paraId="49DF2FCB" w14:textId="77777777" w:rsidR="002A4DDF" w:rsidRPr="00937C8B" w:rsidRDefault="002A4DDF" w:rsidP="009110ED">
            <w:pPr>
              <w:rPr>
                <w:rFonts w:ascii="Arial" w:hAnsi="Arial" w:cs="Arial"/>
                <w:sz w:val="12"/>
                <w:szCs w:val="12"/>
              </w:rPr>
            </w:pPr>
          </w:p>
        </w:tc>
        <w:tc>
          <w:tcPr>
            <w:tcW w:w="2268" w:type="dxa"/>
            <w:shd w:val="clear" w:color="auto" w:fill="F2F2F2"/>
            <w:hideMark/>
          </w:tcPr>
          <w:p w14:paraId="12394C3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B2DF981" w14:textId="77777777" w:rsidR="002A4DDF" w:rsidRPr="00937C8B" w:rsidRDefault="002A4DDF" w:rsidP="009110ED">
            <w:pPr>
              <w:rPr>
                <w:rFonts w:ascii="Arial" w:hAnsi="Arial" w:cs="Arial"/>
                <w:sz w:val="12"/>
                <w:szCs w:val="12"/>
              </w:rPr>
            </w:pPr>
            <w:r>
              <w:rPr>
                <w:rFonts w:ascii="Arial" w:hAnsi="Arial"/>
                <w:sz w:val="12"/>
                <w:szCs w:val="12"/>
              </w:rPr>
              <w:t>Soto del Real</w:t>
            </w:r>
          </w:p>
        </w:tc>
      </w:tr>
      <w:tr w:rsidR="002A4DDF" w:rsidRPr="00937C8B" w14:paraId="7E2C97AC" w14:textId="77777777" w:rsidTr="00935676">
        <w:trPr>
          <w:cantSplit/>
        </w:trPr>
        <w:tc>
          <w:tcPr>
            <w:tcW w:w="1696" w:type="dxa"/>
            <w:tcBorders>
              <w:left w:val="single" w:sz="4" w:space="0" w:color="auto"/>
            </w:tcBorders>
            <w:shd w:val="clear" w:color="auto" w:fill="auto"/>
          </w:tcPr>
          <w:p w14:paraId="69F37512" w14:textId="77777777" w:rsidR="002A4DDF" w:rsidRPr="00937C8B" w:rsidRDefault="002A4DDF" w:rsidP="009110ED">
            <w:pPr>
              <w:rPr>
                <w:rFonts w:ascii="Arial" w:hAnsi="Arial" w:cs="Arial"/>
                <w:sz w:val="12"/>
                <w:szCs w:val="12"/>
              </w:rPr>
            </w:pPr>
          </w:p>
        </w:tc>
        <w:tc>
          <w:tcPr>
            <w:tcW w:w="1843" w:type="dxa"/>
            <w:shd w:val="clear" w:color="auto" w:fill="auto"/>
          </w:tcPr>
          <w:p w14:paraId="3BDF2B5A" w14:textId="77777777" w:rsidR="002A4DDF" w:rsidRPr="00937C8B" w:rsidRDefault="002A4DDF" w:rsidP="009110ED">
            <w:pPr>
              <w:rPr>
                <w:rFonts w:ascii="Arial" w:hAnsi="Arial" w:cs="Arial"/>
                <w:sz w:val="12"/>
                <w:szCs w:val="12"/>
              </w:rPr>
            </w:pPr>
          </w:p>
        </w:tc>
        <w:tc>
          <w:tcPr>
            <w:tcW w:w="2268" w:type="dxa"/>
            <w:shd w:val="clear" w:color="auto" w:fill="F2F2F2"/>
            <w:hideMark/>
          </w:tcPr>
          <w:p w14:paraId="7B8EE02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33B1F4D" w14:textId="77777777" w:rsidR="002A4DDF" w:rsidRPr="00937C8B" w:rsidRDefault="002A4DDF" w:rsidP="009110ED">
            <w:pPr>
              <w:rPr>
                <w:rFonts w:ascii="Arial" w:hAnsi="Arial" w:cs="Arial"/>
                <w:sz w:val="12"/>
                <w:szCs w:val="12"/>
              </w:rPr>
            </w:pPr>
            <w:r>
              <w:rPr>
                <w:rFonts w:ascii="Arial" w:hAnsi="Arial"/>
                <w:sz w:val="12"/>
                <w:szCs w:val="12"/>
              </w:rPr>
              <w:t>Torrelaguna</w:t>
            </w:r>
          </w:p>
        </w:tc>
      </w:tr>
      <w:tr w:rsidR="002A4DDF" w:rsidRPr="00937C8B" w14:paraId="07E25878" w14:textId="77777777" w:rsidTr="00935676">
        <w:trPr>
          <w:cantSplit/>
        </w:trPr>
        <w:tc>
          <w:tcPr>
            <w:tcW w:w="1696" w:type="dxa"/>
            <w:tcBorders>
              <w:left w:val="single" w:sz="4" w:space="0" w:color="auto"/>
            </w:tcBorders>
            <w:shd w:val="clear" w:color="auto" w:fill="auto"/>
          </w:tcPr>
          <w:p w14:paraId="0FC3A55D" w14:textId="77777777" w:rsidR="002A4DDF" w:rsidRPr="00937C8B" w:rsidRDefault="002A4DDF" w:rsidP="009110ED">
            <w:pPr>
              <w:rPr>
                <w:rFonts w:ascii="Arial" w:hAnsi="Arial" w:cs="Arial"/>
                <w:sz w:val="12"/>
                <w:szCs w:val="12"/>
              </w:rPr>
            </w:pPr>
          </w:p>
        </w:tc>
        <w:tc>
          <w:tcPr>
            <w:tcW w:w="1843" w:type="dxa"/>
            <w:shd w:val="clear" w:color="auto" w:fill="auto"/>
          </w:tcPr>
          <w:p w14:paraId="5FAB8845" w14:textId="77777777" w:rsidR="002A4DDF" w:rsidRPr="00937C8B" w:rsidRDefault="002A4DDF" w:rsidP="009110ED">
            <w:pPr>
              <w:rPr>
                <w:rFonts w:ascii="Arial" w:hAnsi="Arial" w:cs="Arial"/>
                <w:sz w:val="12"/>
                <w:szCs w:val="12"/>
              </w:rPr>
            </w:pPr>
          </w:p>
        </w:tc>
        <w:tc>
          <w:tcPr>
            <w:tcW w:w="2268" w:type="dxa"/>
            <w:shd w:val="clear" w:color="auto" w:fill="F2F2F2"/>
            <w:hideMark/>
          </w:tcPr>
          <w:p w14:paraId="5297B4B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0FC3DFA" w14:textId="77777777" w:rsidR="002A4DDF" w:rsidRPr="00937C8B" w:rsidRDefault="002A4DDF" w:rsidP="009110ED">
            <w:pPr>
              <w:rPr>
                <w:rFonts w:ascii="Arial" w:hAnsi="Arial" w:cs="Arial"/>
                <w:sz w:val="12"/>
                <w:szCs w:val="12"/>
              </w:rPr>
            </w:pPr>
            <w:r>
              <w:rPr>
                <w:rFonts w:ascii="Arial" w:hAnsi="Arial"/>
                <w:sz w:val="12"/>
                <w:szCs w:val="12"/>
              </w:rPr>
              <w:t>Torrelodones</w:t>
            </w:r>
          </w:p>
        </w:tc>
      </w:tr>
      <w:tr w:rsidR="002A4DDF" w:rsidRPr="00937C8B" w14:paraId="4C49CAC7" w14:textId="77777777" w:rsidTr="00935676">
        <w:trPr>
          <w:cantSplit/>
        </w:trPr>
        <w:tc>
          <w:tcPr>
            <w:tcW w:w="1696" w:type="dxa"/>
            <w:tcBorders>
              <w:left w:val="single" w:sz="4" w:space="0" w:color="auto"/>
            </w:tcBorders>
            <w:shd w:val="clear" w:color="auto" w:fill="auto"/>
          </w:tcPr>
          <w:p w14:paraId="1168B35C" w14:textId="77777777" w:rsidR="002A4DDF" w:rsidRPr="00937C8B" w:rsidRDefault="002A4DDF" w:rsidP="009110ED">
            <w:pPr>
              <w:rPr>
                <w:rFonts w:ascii="Arial" w:hAnsi="Arial" w:cs="Arial"/>
                <w:sz w:val="12"/>
                <w:szCs w:val="12"/>
              </w:rPr>
            </w:pPr>
          </w:p>
        </w:tc>
        <w:tc>
          <w:tcPr>
            <w:tcW w:w="1843" w:type="dxa"/>
            <w:shd w:val="clear" w:color="auto" w:fill="auto"/>
          </w:tcPr>
          <w:p w14:paraId="78B59A00" w14:textId="77777777" w:rsidR="002A4DDF" w:rsidRPr="00937C8B" w:rsidRDefault="002A4DDF" w:rsidP="009110ED">
            <w:pPr>
              <w:rPr>
                <w:rFonts w:ascii="Arial" w:hAnsi="Arial" w:cs="Arial"/>
                <w:sz w:val="12"/>
                <w:szCs w:val="12"/>
              </w:rPr>
            </w:pPr>
          </w:p>
        </w:tc>
        <w:tc>
          <w:tcPr>
            <w:tcW w:w="2268" w:type="dxa"/>
            <w:shd w:val="clear" w:color="auto" w:fill="F2F2F2"/>
            <w:hideMark/>
          </w:tcPr>
          <w:p w14:paraId="69E1DA1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877F048" w14:textId="77777777" w:rsidR="002A4DDF" w:rsidRPr="00937C8B" w:rsidRDefault="002A4DDF" w:rsidP="009110ED">
            <w:pPr>
              <w:rPr>
                <w:rFonts w:ascii="Arial" w:hAnsi="Arial" w:cs="Arial"/>
                <w:sz w:val="12"/>
                <w:szCs w:val="12"/>
              </w:rPr>
            </w:pPr>
            <w:r>
              <w:rPr>
                <w:rFonts w:ascii="Arial" w:hAnsi="Arial"/>
                <w:sz w:val="12"/>
                <w:szCs w:val="12"/>
              </w:rPr>
              <w:t>Tres Cantos</w:t>
            </w:r>
          </w:p>
        </w:tc>
      </w:tr>
      <w:tr w:rsidR="002A4DDF" w:rsidRPr="00937C8B" w14:paraId="42945696" w14:textId="77777777" w:rsidTr="00935676">
        <w:trPr>
          <w:cantSplit/>
        </w:trPr>
        <w:tc>
          <w:tcPr>
            <w:tcW w:w="1696" w:type="dxa"/>
            <w:tcBorders>
              <w:left w:val="single" w:sz="4" w:space="0" w:color="auto"/>
            </w:tcBorders>
            <w:shd w:val="clear" w:color="auto" w:fill="auto"/>
          </w:tcPr>
          <w:p w14:paraId="45F51F37" w14:textId="77777777" w:rsidR="002A4DDF" w:rsidRPr="00937C8B" w:rsidRDefault="002A4DDF" w:rsidP="009110ED">
            <w:pPr>
              <w:rPr>
                <w:rFonts w:ascii="Arial" w:hAnsi="Arial" w:cs="Arial"/>
                <w:sz w:val="12"/>
                <w:szCs w:val="12"/>
              </w:rPr>
            </w:pPr>
          </w:p>
        </w:tc>
        <w:tc>
          <w:tcPr>
            <w:tcW w:w="1843" w:type="dxa"/>
            <w:shd w:val="clear" w:color="auto" w:fill="auto"/>
          </w:tcPr>
          <w:p w14:paraId="67BB6289" w14:textId="77777777" w:rsidR="002A4DDF" w:rsidRPr="00937C8B" w:rsidRDefault="002A4DDF" w:rsidP="009110ED">
            <w:pPr>
              <w:rPr>
                <w:rFonts w:ascii="Arial" w:hAnsi="Arial" w:cs="Arial"/>
                <w:sz w:val="12"/>
                <w:szCs w:val="12"/>
              </w:rPr>
            </w:pPr>
          </w:p>
        </w:tc>
        <w:tc>
          <w:tcPr>
            <w:tcW w:w="2268" w:type="dxa"/>
            <w:shd w:val="clear" w:color="auto" w:fill="F2F2F2"/>
            <w:hideMark/>
          </w:tcPr>
          <w:p w14:paraId="1AC00EA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4FE807E" w14:textId="77777777" w:rsidR="002A4DDF" w:rsidRPr="00937C8B" w:rsidRDefault="002A4DDF" w:rsidP="009110ED">
            <w:pPr>
              <w:rPr>
                <w:rFonts w:ascii="Arial" w:hAnsi="Arial" w:cs="Arial"/>
                <w:sz w:val="12"/>
                <w:szCs w:val="12"/>
              </w:rPr>
            </w:pPr>
            <w:r>
              <w:rPr>
                <w:rFonts w:ascii="Arial" w:hAnsi="Arial"/>
                <w:sz w:val="12"/>
                <w:szCs w:val="12"/>
              </w:rPr>
              <w:t>Valdemanco</w:t>
            </w:r>
          </w:p>
        </w:tc>
      </w:tr>
      <w:tr w:rsidR="002A4DDF" w:rsidRPr="00937C8B" w14:paraId="0DE287AD" w14:textId="77777777" w:rsidTr="00935676">
        <w:trPr>
          <w:cantSplit/>
        </w:trPr>
        <w:tc>
          <w:tcPr>
            <w:tcW w:w="1696" w:type="dxa"/>
            <w:tcBorders>
              <w:left w:val="single" w:sz="4" w:space="0" w:color="auto"/>
            </w:tcBorders>
            <w:shd w:val="clear" w:color="auto" w:fill="auto"/>
          </w:tcPr>
          <w:p w14:paraId="4FCA9926" w14:textId="77777777" w:rsidR="002A4DDF" w:rsidRPr="00937C8B" w:rsidRDefault="002A4DDF" w:rsidP="009110ED">
            <w:pPr>
              <w:rPr>
                <w:rFonts w:ascii="Arial" w:hAnsi="Arial" w:cs="Arial"/>
                <w:sz w:val="12"/>
                <w:szCs w:val="12"/>
              </w:rPr>
            </w:pPr>
          </w:p>
        </w:tc>
        <w:tc>
          <w:tcPr>
            <w:tcW w:w="1843" w:type="dxa"/>
            <w:shd w:val="clear" w:color="auto" w:fill="auto"/>
          </w:tcPr>
          <w:p w14:paraId="2A622CC9" w14:textId="77777777" w:rsidR="002A4DDF" w:rsidRPr="00937C8B" w:rsidRDefault="002A4DDF" w:rsidP="009110ED">
            <w:pPr>
              <w:rPr>
                <w:rFonts w:ascii="Arial" w:hAnsi="Arial" w:cs="Arial"/>
                <w:sz w:val="12"/>
                <w:szCs w:val="12"/>
              </w:rPr>
            </w:pPr>
          </w:p>
        </w:tc>
        <w:tc>
          <w:tcPr>
            <w:tcW w:w="2268" w:type="dxa"/>
            <w:shd w:val="clear" w:color="auto" w:fill="F2F2F2"/>
            <w:hideMark/>
          </w:tcPr>
          <w:p w14:paraId="135CD6A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BA401B6" w14:textId="77777777" w:rsidR="002A4DDF" w:rsidRPr="00937C8B" w:rsidRDefault="002A4DDF" w:rsidP="009110ED">
            <w:pPr>
              <w:rPr>
                <w:rFonts w:ascii="Arial" w:hAnsi="Arial" w:cs="Arial"/>
                <w:sz w:val="12"/>
                <w:szCs w:val="12"/>
              </w:rPr>
            </w:pPr>
            <w:r>
              <w:rPr>
                <w:rFonts w:ascii="Arial" w:hAnsi="Arial"/>
                <w:sz w:val="12"/>
                <w:szCs w:val="12"/>
              </w:rPr>
              <w:t>Valdemaqueda</w:t>
            </w:r>
          </w:p>
        </w:tc>
      </w:tr>
      <w:tr w:rsidR="002A4DDF" w:rsidRPr="00937C8B" w14:paraId="2DB49E2E" w14:textId="77777777" w:rsidTr="00935676">
        <w:trPr>
          <w:cantSplit/>
        </w:trPr>
        <w:tc>
          <w:tcPr>
            <w:tcW w:w="1696" w:type="dxa"/>
            <w:tcBorders>
              <w:left w:val="single" w:sz="4" w:space="0" w:color="auto"/>
            </w:tcBorders>
            <w:shd w:val="clear" w:color="auto" w:fill="auto"/>
          </w:tcPr>
          <w:p w14:paraId="467BA255" w14:textId="77777777" w:rsidR="002A4DDF" w:rsidRPr="00937C8B" w:rsidRDefault="002A4DDF" w:rsidP="009110ED">
            <w:pPr>
              <w:rPr>
                <w:rFonts w:ascii="Arial" w:hAnsi="Arial" w:cs="Arial"/>
                <w:sz w:val="12"/>
                <w:szCs w:val="12"/>
              </w:rPr>
            </w:pPr>
          </w:p>
        </w:tc>
        <w:tc>
          <w:tcPr>
            <w:tcW w:w="1843" w:type="dxa"/>
            <w:shd w:val="clear" w:color="auto" w:fill="auto"/>
          </w:tcPr>
          <w:p w14:paraId="100F7059" w14:textId="77777777" w:rsidR="002A4DDF" w:rsidRPr="00937C8B" w:rsidRDefault="002A4DDF" w:rsidP="009110ED">
            <w:pPr>
              <w:rPr>
                <w:rFonts w:ascii="Arial" w:hAnsi="Arial" w:cs="Arial"/>
                <w:sz w:val="12"/>
                <w:szCs w:val="12"/>
              </w:rPr>
            </w:pPr>
          </w:p>
        </w:tc>
        <w:tc>
          <w:tcPr>
            <w:tcW w:w="2268" w:type="dxa"/>
            <w:shd w:val="clear" w:color="auto" w:fill="F2F2F2"/>
            <w:hideMark/>
          </w:tcPr>
          <w:p w14:paraId="3B55B52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213D3E3" w14:textId="77777777" w:rsidR="002A4DDF" w:rsidRPr="00937C8B" w:rsidRDefault="002A4DDF" w:rsidP="009110ED">
            <w:pPr>
              <w:rPr>
                <w:rFonts w:ascii="Arial" w:hAnsi="Arial" w:cs="Arial"/>
                <w:sz w:val="12"/>
                <w:szCs w:val="12"/>
              </w:rPr>
            </w:pPr>
            <w:r>
              <w:rPr>
                <w:rFonts w:ascii="Arial" w:hAnsi="Arial"/>
                <w:sz w:val="12"/>
                <w:szCs w:val="12"/>
              </w:rPr>
              <w:t>Valdemorillo</w:t>
            </w:r>
          </w:p>
        </w:tc>
      </w:tr>
      <w:tr w:rsidR="002A4DDF" w:rsidRPr="00937C8B" w14:paraId="0D036B28" w14:textId="77777777" w:rsidTr="00935676">
        <w:trPr>
          <w:cantSplit/>
        </w:trPr>
        <w:tc>
          <w:tcPr>
            <w:tcW w:w="1696" w:type="dxa"/>
            <w:tcBorders>
              <w:left w:val="single" w:sz="4" w:space="0" w:color="auto"/>
            </w:tcBorders>
            <w:shd w:val="clear" w:color="auto" w:fill="auto"/>
          </w:tcPr>
          <w:p w14:paraId="05252813" w14:textId="77777777" w:rsidR="002A4DDF" w:rsidRPr="00937C8B" w:rsidRDefault="002A4DDF" w:rsidP="009110ED">
            <w:pPr>
              <w:rPr>
                <w:rFonts w:ascii="Arial" w:hAnsi="Arial" w:cs="Arial"/>
                <w:sz w:val="12"/>
                <w:szCs w:val="12"/>
              </w:rPr>
            </w:pPr>
          </w:p>
        </w:tc>
        <w:tc>
          <w:tcPr>
            <w:tcW w:w="1843" w:type="dxa"/>
            <w:shd w:val="clear" w:color="auto" w:fill="auto"/>
          </w:tcPr>
          <w:p w14:paraId="7D7F20D0" w14:textId="77777777" w:rsidR="002A4DDF" w:rsidRPr="00937C8B" w:rsidRDefault="002A4DDF" w:rsidP="009110ED">
            <w:pPr>
              <w:rPr>
                <w:rFonts w:ascii="Arial" w:hAnsi="Arial" w:cs="Arial"/>
                <w:sz w:val="12"/>
                <w:szCs w:val="12"/>
              </w:rPr>
            </w:pPr>
          </w:p>
        </w:tc>
        <w:tc>
          <w:tcPr>
            <w:tcW w:w="2268" w:type="dxa"/>
            <w:shd w:val="clear" w:color="auto" w:fill="F2F2F2"/>
            <w:hideMark/>
          </w:tcPr>
          <w:p w14:paraId="111AC97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BAED3E2" w14:textId="77777777" w:rsidR="002A4DDF" w:rsidRPr="00937C8B" w:rsidRDefault="002A4DDF" w:rsidP="009110ED">
            <w:pPr>
              <w:rPr>
                <w:rFonts w:ascii="Arial" w:hAnsi="Arial" w:cs="Arial"/>
                <w:sz w:val="12"/>
                <w:szCs w:val="12"/>
              </w:rPr>
            </w:pPr>
            <w:r>
              <w:rPr>
                <w:rFonts w:ascii="Arial" w:hAnsi="Arial"/>
                <w:sz w:val="12"/>
                <w:szCs w:val="12"/>
              </w:rPr>
              <w:t>Venturada</w:t>
            </w:r>
          </w:p>
        </w:tc>
      </w:tr>
      <w:tr w:rsidR="002A4DDF" w:rsidRPr="00937C8B" w14:paraId="351E6FDE" w14:textId="77777777" w:rsidTr="00935676">
        <w:trPr>
          <w:cantSplit/>
        </w:trPr>
        <w:tc>
          <w:tcPr>
            <w:tcW w:w="1696" w:type="dxa"/>
            <w:tcBorders>
              <w:left w:val="single" w:sz="4" w:space="0" w:color="auto"/>
            </w:tcBorders>
            <w:shd w:val="clear" w:color="auto" w:fill="auto"/>
          </w:tcPr>
          <w:p w14:paraId="5732A024" w14:textId="77777777" w:rsidR="002A4DDF" w:rsidRPr="00937C8B" w:rsidRDefault="002A4DDF" w:rsidP="009110ED">
            <w:pPr>
              <w:rPr>
                <w:rFonts w:ascii="Arial" w:hAnsi="Arial" w:cs="Arial"/>
                <w:sz w:val="12"/>
                <w:szCs w:val="12"/>
              </w:rPr>
            </w:pPr>
          </w:p>
        </w:tc>
        <w:tc>
          <w:tcPr>
            <w:tcW w:w="1843" w:type="dxa"/>
            <w:shd w:val="clear" w:color="auto" w:fill="auto"/>
          </w:tcPr>
          <w:p w14:paraId="4C367146" w14:textId="77777777" w:rsidR="002A4DDF" w:rsidRPr="00937C8B" w:rsidRDefault="002A4DDF" w:rsidP="009110ED">
            <w:pPr>
              <w:rPr>
                <w:rFonts w:ascii="Arial" w:hAnsi="Arial" w:cs="Arial"/>
                <w:sz w:val="12"/>
                <w:szCs w:val="12"/>
              </w:rPr>
            </w:pPr>
          </w:p>
        </w:tc>
        <w:tc>
          <w:tcPr>
            <w:tcW w:w="2268" w:type="dxa"/>
            <w:shd w:val="clear" w:color="auto" w:fill="F2F2F2"/>
            <w:hideMark/>
          </w:tcPr>
          <w:p w14:paraId="5FA46F5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250E999" w14:textId="77777777" w:rsidR="002A4DDF" w:rsidRPr="00937C8B" w:rsidRDefault="002A4DDF" w:rsidP="009110ED">
            <w:pPr>
              <w:rPr>
                <w:rFonts w:ascii="Arial" w:hAnsi="Arial" w:cs="Arial"/>
                <w:sz w:val="12"/>
                <w:szCs w:val="12"/>
              </w:rPr>
            </w:pPr>
            <w:r>
              <w:rPr>
                <w:rFonts w:ascii="Arial" w:hAnsi="Arial"/>
                <w:sz w:val="12"/>
                <w:szCs w:val="12"/>
              </w:rPr>
              <w:t>Villa del Prado</w:t>
            </w:r>
          </w:p>
        </w:tc>
      </w:tr>
      <w:tr w:rsidR="002A4DDF" w:rsidRPr="00937C8B" w14:paraId="70341493" w14:textId="77777777" w:rsidTr="00935676">
        <w:trPr>
          <w:cantSplit/>
        </w:trPr>
        <w:tc>
          <w:tcPr>
            <w:tcW w:w="1696" w:type="dxa"/>
            <w:tcBorders>
              <w:left w:val="single" w:sz="4" w:space="0" w:color="auto"/>
            </w:tcBorders>
            <w:shd w:val="clear" w:color="auto" w:fill="auto"/>
          </w:tcPr>
          <w:p w14:paraId="6BB676F4" w14:textId="77777777" w:rsidR="002A4DDF" w:rsidRPr="00937C8B" w:rsidRDefault="002A4DDF" w:rsidP="009110ED">
            <w:pPr>
              <w:rPr>
                <w:rFonts w:ascii="Arial" w:hAnsi="Arial" w:cs="Arial"/>
                <w:sz w:val="12"/>
                <w:szCs w:val="12"/>
              </w:rPr>
            </w:pPr>
          </w:p>
        </w:tc>
        <w:tc>
          <w:tcPr>
            <w:tcW w:w="1843" w:type="dxa"/>
            <w:shd w:val="clear" w:color="auto" w:fill="auto"/>
          </w:tcPr>
          <w:p w14:paraId="51FE70A4" w14:textId="77777777" w:rsidR="002A4DDF" w:rsidRPr="00937C8B" w:rsidRDefault="002A4DDF" w:rsidP="009110ED">
            <w:pPr>
              <w:rPr>
                <w:rFonts w:ascii="Arial" w:hAnsi="Arial" w:cs="Arial"/>
                <w:sz w:val="12"/>
                <w:szCs w:val="12"/>
              </w:rPr>
            </w:pPr>
          </w:p>
        </w:tc>
        <w:tc>
          <w:tcPr>
            <w:tcW w:w="2268" w:type="dxa"/>
            <w:shd w:val="clear" w:color="auto" w:fill="F2F2F2"/>
            <w:hideMark/>
          </w:tcPr>
          <w:p w14:paraId="2934231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033D9B7" w14:textId="77777777" w:rsidR="002A4DDF" w:rsidRPr="00937C8B" w:rsidRDefault="002A4DDF" w:rsidP="009110ED">
            <w:pPr>
              <w:rPr>
                <w:rFonts w:ascii="Arial" w:hAnsi="Arial" w:cs="Arial"/>
                <w:sz w:val="12"/>
                <w:szCs w:val="12"/>
              </w:rPr>
            </w:pPr>
            <w:r>
              <w:rPr>
                <w:rFonts w:ascii="Arial" w:hAnsi="Arial"/>
                <w:sz w:val="12"/>
                <w:szCs w:val="12"/>
              </w:rPr>
              <w:t>Villamanta</w:t>
            </w:r>
          </w:p>
        </w:tc>
      </w:tr>
      <w:tr w:rsidR="002A4DDF" w:rsidRPr="00937C8B" w14:paraId="7171F269" w14:textId="77777777" w:rsidTr="00935676">
        <w:trPr>
          <w:cantSplit/>
        </w:trPr>
        <w:tc>
          <w:tcPr>
            <w:tcW w:w="1696" w:type="dxa"/>
            <w:tcBorders>
              <w:left w:val="single" w:sz="4" w:space="0" w:color="auto"/>
            </w:tcBorders>
            <w:shd w:val="clear" w:color="auto" w:fill="auto"/>
          </w:tcPr>
          <w:p w14:paraId="1906361A" w14:textId="77777777" w:rsidR="002A4DDF" w:rsidRPr="00937C8B" w:rsidRDefault="002A4DDF" w:rsidP="009110ED">
            <w:pPr>
              <w:rPr>
                <w:rFonts w:ascii="Arial" w:hAnsi="Arial" w:cs="Arial"/>
                <w:sz w:val="12"/>
                <w:szCs w:val="12"/>
              </w:rPr>
            </w:pPr>
          </w:p>
        </w:tc>
        <w:tc>
          <w:tcPr>
            <w:tcW w:w="1843" w:type="dxa"/>
            <w:shd w:val="clear" w:color="auto" w:fill="auto"/>
          </w:tcPr>
          <w:p w14:paraId="1E565019" w14:textId="77777777" w:rsidR="002A4DDF" w:rsidRPr="00937C8B" w:rsidRDefault="002A4DDF" w:rsidP="009110ED">
            <w:pPr>
              <w:rPr>
                <w:rFonts w:ascii="Arial" w:hAnsi="Arial" w:cs="Arial"/>
                <w:sz w:val="12"/>
                <w:szCs w:val="12"/>
              </w:rPr>
            </w:pPr>
          </w:p>
        </w:tc>
        <w:tc>
          <w:tcPr>
            <w:tcW w:w="2268" w:type="dxa"/>
            <w:shd w:val="clear" w:color="auto" w:fill="F2F2F2"/>
            <w:hideMark/>
          </w:tcPr>
          <w:p w14:paraId="704BA1F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090E370" w14:textId="77777777" w:rsidR="002A4DDF" w:rsidRPr="00937C8B" w:rsidRDefault="002A4DDF" w:rsidP="009110ED">
            <w:pPr>
              <w:rPr>
                <w:rFonts w:ascii="Arial" w:hAnsi="Arial" w:cs="Arial"/>
                <w:sz w:val="12"/>
                <w:szCs w:val="12"/>
              </w:rPr>
            </w:pPr>
            <w:r>
              <w:rPr>
                <w:rFonts w:ascii="Arial" w:hAnsi="Arial"/>
                <w:sz w:val="12"/>
                <w:szCs w:val="12"/>
              </w:rPr>
              <w:t>Villamantilla</w:t>
            </w:r>
          </w:p>
        </w:tc>
      </w:tr>
      <w:tr w:rsidR="002A4DDF" w:rsidRPr="00937C8B" w14:paraId="2F000D91" w14:textId="77777777" w:rsidTr="00935676">
        <w:trPr>
          <w:cantSplit/>
        </w:trPr>
        <w:tc>
          <w:tcPr>
            <w:tcW w:w="1696" w:type="dxa"/>
            <w:tcBorders>
              <w:left w:val="single" w:sz="4" w:space="0" w:color="auto"/>
            </w:tcBorders>
            <w:shd w:val="clear" w:color="auto" w:fill="auto"/>
          </w:tcPr>
          <w:p w14:paraId="3B6DA539" w14:textId="77777777" w:rsidR="002A4DDF" w:rsidRPr="00937C8B" w:rsidRDefault="002A4DDF" w:rsidP="009110ED">
            <w:pPr>
              <w:rPr>
                <w:rFonts w:ascii="Arial" w:hAnsi="Arial" w:cs="Arial"/>
                <w:sz w:val="12"/>
                <w:szCs w:val="12"/>
              </w:rPr>
            </w:pPr>
          </w:p>
        </w:tc>
        <w:tc>
          <w:tcPr>
            <w:tcW w:w="1843" w:type="dxa"/>
            <w:shd w:val="clear" w:color="auto" w:fill="auto"/>
          </w:tcPr>
          <w:p w14:paraId="786857F1" w14:textId="77777777" w:rsidR="002A4DDF" w:rsidRPr="00937C8B" w:rsidRDefault="002A4DDF" w:rsidP="009110ED">
            <w:pPr>
              <w:rPr>
                <w:rFonts w:ascii="Arial" w:hAnsi="Arial" w:cs="Arial"/>
                <w:sz w:val="12"/>
                <w:szCs w:val="12"/>
              </w:rPr>
            </w:pPr>
          </w:p>
        </w:tc>
        <w:tc>
          <w:tcPr>
            <w:tcW w:w="2268" w:type="dxa"/>
            <w:shd w:val="clear" w:color="auto" w:fill="F2F2F2"/>
            <w:hideMark/>
          </w:tcPr>
          <w:p w14:paraId="5602A96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F295072" w14:textId="77777777" w:rsidR="002A4DDF" w:rsidRPr="00937C8B" w:rsidRDefault="002A4DDF" w:rsidP="009110ED">
            <w:pPr>
              <w:rPr>
                <w:rFonts w:ascii="Arial" w:hAnsi="Arial" w:cs="Arial"/>
                <w:sz w:val="12"/>
                <w:szCs w:val="12"/>
              </w:rPr>
            </w:pPr>
            <w:r>
              <w:rPr>
                <w:rFonts w:ascii="Arial" w:hAnsi="Arial"/>
                <w:sz w:val="12"/>
                <w:szCs w:val="12"/>
              </w:rPr>
              <w:t>Villanueva de Perales</w:t>
            </w:r>
          </w:p>
        </w:tc>
      </w:tr>
      <w:tr w:rsidR="002A4DDF" w:rsidRPr="00937C8B" w14:paraId="6348EB4F" w14:textId="77777777" w:rsidTr="00935676">
        <w:trPr>
          <w:cantSplit/>
        </w:trPr>
        <w:tc>
          <w:tcPr>
            <w:tcW w:w="1696" w:type="dxa"/>
            <w:tcBorders>
              <w:left w:val="single" w:sz="4" w:space="0" w:color="auto"/>
            </w:tcBorders>
            <w:shd w:val="clear" w:color="auto" w:fill="auto"/>
          </w:tcPr>
          <w:p w14:paraId="30153996" w14:textId="77777777" w:rsidR="002A4DDF" w:rsidRPr="00937C8B" w:rsidRDefault="002A4DDF" w:rsidP="009110ED">
            <w:pPr>
              <w:rPr>
                <w:rFonts w:ascii="Arial" w:hAnsi="Arial" w:cs="Arial"/>
                <w:sz w:val="12"/>
                <w:szCs w:val="12"/>
              </w:rPr>
            </w:pPr>
          </w:p>
        </w:tc>
        <w:tc>
          <w:tcPr>
            <w:tcW w:w="1843" w:type="dxa"/>
            <w:shd w:val="clear" w:color="auto" w:fill="auto"/>
          </w:tcPr>
          <w:p w14:paraId="394EF507" w14:textId="77777777" w:rsidR="002A4DDF" w:rsidRPr="00937C8B" w:rsidRDefault="002A4DDF" w:rsidP="009110ED">
            <w:pPr>
              <w:rPr>
                <w:rFonts w:ascii="Arial" w:hAnsi="Arial" w:cs="Arial"/>
                <w:sz w:val="12"/>
                <w:szCs w:val="12"/>
              </w:rPr>
            </w:pPr>
          </w:p>
        </w:tc>
        <w:tc>
          <w:tcPr>
            <w:tcW w:w="2268" w:type="dxa"/>
            <w:shd w:val="clear" w:color="auto" w:fill="F2F2F2"/>
            <w:hideMark/>
          </w:tcPr>
          <w:p w14:paraId="251AD69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1A7893F" w14:textId="77777777" w:rsidR="002A4DDF" w:rsidRPr="00937C8B" w:rsidRDefault="002A4DDF" w:rsidP="009110ED">
            <w:pPr>
              <w:rPr>
                <w:rFonts w:ascii="Arial" w:hAnsi="Arial" w:cs="Arial"/>
                <w:sz w:val="12"/>
                <w:szCs w:val="12"/>
              </w:rPr>
            </w:pPr>
            <w:r>
              <w:rPr>
                <w:rFonts w:ascii="Arial" w:hAnsi="Arial"/>
                <w:sz w:val="12"/>
                <w:szCs w:val="12"/>
              </w:rPr>
              <w:t>Villavieja del Lozoya</w:t>
            </w:r>
          </w:p>
        </w:tc>
      </w:tr>
      <w:tr w:rsidR="002A4DDF" w:rsidRPr="00937C8B" w14:paraId="561B818F" w14:textId="77777777" w:rsidTr="00935676">
        <w:trPr>
          <w:cantSplit/>
        </w:trPr>
        <w:tc>
          <w:tcPr>
            <w:tcW w:w="1696" w:type="dxa"/>
            <w:tcBorders>
              <w:left w:val="single" w:sz="4" w:space="0" w:color="auto"/>
              <w:bottom w:val="single" w:sz="4" w:space="0" w:color="auto"/>
            </w:tcBorders>
            <w:shd w:val="clear" w:color="auto" w:fill="auto"/>
            <w:hideMark/>
          </w:tcPr>
          <w:p w14:paraId="7F782317" w14:textId="77777777" w:rsidR="002A4DDF" w:rsidRPr="00937C8B" w:rsidRDefault="002A4DDF" w:rsidP="009110ED">
            <w:pPr>
              <w:rPr>
                <w:rFonts w:ascii="Arial" w:hAnsi="Arial" w:cs="Arial"/>
                <w:sz w:val="12"/>
                <w:szCs w:val="12"/>
              </w:rPr>
            </w:pPr>
            <w:r>
              <w:rPr>
                <w:rFonts w:ascii="Arial" w:hAnsi="Arial"/>
                <w:sz w:val="12"/>
                <w:szCs w:val="12"/>
              </w:rPr>
              <w:t>Communauté de Madrid</w:t>
            </w:r>
          </w:p>
        </w:tc>
        <w:tc>
          <w:tcPr>
            <w:tcW w:w="1843" w:type="dxa"/>
            <w:tcBorders>
              <w:bottom w:val="single" w:sz="4" w:space="0" w:color="auto"/>
            </w:tcBorders>
            <w:shd w:val="clear" w:color="auto" w:fill="auto"/>
            <w:hideMark/>
          </w:tcPr>
          <w:p w14:paraId="3EE7310D" w14:textId="77777777" w:rsidR="002A4DDF" w:rsidRPr="00937C8B" w:rsidRDefault="002A4DDF" w:rsidP="009110ED">
            <w:pPr>
              <w:rPr>
                <w:rFonts w:ascii="Arial" w:hAnsi="Arial" w:cs="Arial"/>
                <w:sz w:val="12"/>
                <w:szCs w:val="12"/>
              </w:rPr>
            </w:pPr>
            <w:r>
              <w:rPr>
                <w:rFonts w:ascii="Arial" w:hAnsi="Arial"/>
                <w:sz w:val="12"/>
                <w:szCs w:val="12"/>
              </w:rPr>
              <w:t>Madrid</w:t>
            </w:r>
          </w:p>
        </w:tc>
        <w:tc>
          <w:tcPr>
            <w:tcW w:w="2268" w:type="dxa"/>
            <w:tcBorders>
              <w:bottom w:val="single" w:sz="4" w:space="0" w:color="auto"/>
            </w:tcBorders>
            <w:shd w:val="clear" w:color="auto" w:fill="F2F2F2"/>
            <w:hideMark/>
          </w:tcPr>
          <w:p w14:paraId="465197C3"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4337FE17" w14:textId="77777777" w:rsidR="002A4DDF" w:rsidRPr="00937C8B" w:rsidRDefault="002A4DDF" w:rsidP="009110ED">
            <w:pPr>
              <w:rPr>
                <w:rFonts w:ascii="Arial" w:hAnsi="Arial" w:cs="Arial"/>
                <w:sz w:val="12"/>
                <w:szCs w:val="12"/>
              </w:rPr>
            </w:pPr>
            <w:r>
              <w:rPr>
                <w:rFonts w:ascii="Arial" w:hAnsi="Arial"/>
                <w:sz w:val="12"/>
                <w:szCs w:val="12"/>
              </w:rPr>
              <w:t>Zarzalejo</w:t>
            </w:r>
          </w:p>
        </w:tc>
      </w:tr>
      <w:tr w:rsidR="002A4DDF" w:rsidRPr="00937C8B" w14:paraId="09D369F5" w14:textId="77777777" w:rsidTr="00935676">
        <w:trPr>
          <w:cantSplit/>
        </w:trPr>
        <w:tc>
          <w:tcPr>
            <w:tcW w:w="1696" w:type="dxa"/>
            <w:tcBorders>
              <w:top w:val="single" w:sz="4" w:space="0" w:color="auto"/>
              <w:bottom w:val="single" w:sz="4" w:space="0" w:color="auto"/>
            </w:tcBorders>
            <w:shd w:val="clear" w:color="auto" w:fill="auto"/>
            <w:hideMark/>
          </w:tcPr>
          <w:p w14:paraId="7846368B"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38A76C68"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09F699A4"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5470E379" w14:textId="77777777" w:rsidR="002A4DDF" w:rsidRPr="00937C8B" w:rsidRDefault="002A4DDF" w:rsidP="009110ED">
            <w:pPr>
              <w:rPr>
                <w:rFonts w:ascii="Arial" w:hAnsi="Arial" w:cs="Arial"/>
                <w:sz w:val="12"/>
                <w:szCs w:val="12"/>
              </w:rPr>
            </w:pPr>
          </w:p>
        </w:tc>
      </w:tr>
      <w:tr w:rsidR="002A4DDF" w:rsidRPr="00937C8B" w14:paraId="31F5F4A6" w14:textId="77777777" w:rsidTr="00935676">
        <w:trPr>
          <w:cantSplit/>
        </w:trPr>
        <w:tc>
          <w:tcPr>
            <w:tcW w:w="1696" w:type="dxa"/>
            <w:tcBorders>
              <w:top w:val="single" w:sz="4" w:space="0" w:color="auto"/>
              <w:left w:val="single" w:sz="4" w:space="0" w:color="auto"/>
            </w:tcBorders>
            <w:shd w:val="clear" w:color="auto" w:fill="auto"/>
            <w:hideMark/>
          </w:tcPr>
          <w:p w14:paraId="0E949D0C" w14:textId="77777777" w:rsidR="002A4DDF" w:rsidRPr="00937C8B" w:rsidRDefault="002A4DDF" w:rsidP="009110ED">
            <w:pPr>
              <w:rPr>
                <w:rFonts w:ascii="Arial" w:hAnsi="Arial" w:cs="Arial"/>
                <w:sz w:val="12"/>
                <w:szCs w:val="12"/>
              </w:rPr>
            </w:pPr>
            <w:r>
              <w:rPr>
                <w:rFonts w:ascii="Arial" w:hAnsi="Arial"/>
                <w:sz w:val="12"/>
                <w:szCs w:val="12"/>
              </w:rPr>
              <w:t>Communauté autonome de Navarre</w:t>
            </w:r>
          </w:p>
        </w:tc>
        <w:tc>
          <w:tcPr>
            <w:tcW w:w="1843" w:type="dxa"/>
            <w:tcBorders>
              <w:top w:val="single" w:sz="4" w:space="0" w:color="auto"/>
            </w:tcBorders>
            <w:shd w:val="clear" w:color="auto" w:fill="auto"/>
            <w:hideMark/>
          </w:tcPr>
          <w:p w14:paraId="76597BF2" w14:textId="77777777" w:rsidR="002A4DDF" w:rsidRPr="00937C8B" w:rsidRDefault="002A4DDF" w:rsidP="009110ED">
            <w:pPr>
              <w:rPr>
                <w:rFonts w:ascii="Arial" w:hAnsi="Arial" w:cs="Arial"/>
                <w:sz w:val="12"/>
                <w:szCs w:val="12"/>
              </w:rPr>
            </w:pPr>
            <w:r>
              <w:rPr>
                <w:rFonts w:ascii="Arial" w:hAnsi="Arial"/>
                <w:sz w:val="12"/>
                <w:szCs w:val="12"/>
              </w:rPr>
              <w:t>Navarre</w:t>
            </w:r>
          </w:p>
        </w:tc>
        <w:tc>
          <w:tcPr>
            <w:tcW w:w="2268" w:type="dxa"/>
            <w:tcBorders>
              <w:top w:val="single" w:sz="4" w:space="0" w:color="auto"/>
            </w:tcBorders>
            <w:shd w:val="clear" w:color="auto" w:fill="F2F2F2"/>
            <w:hideMark/>
          </w:tcPr>
          <w:p w14:paraId="61F4E1A8" w14:textId="77777777" w:rsidR="002A4DDF" w:rsidRPr="00937C8B" w:rsidRDefault="002A4DDF" w:rsidP="009110ED">
            <w:pPr>
              <w:rPr>
                <w:rFonts w:ascii="Arial" w:hAnsi="Arial" w:cs="Arial"/>
                <w:sz w:val="12"/>
                <w:szCs w:val="12"/>
              </w:rPr>
            </w:pPr>
            <w:r>
              <w:rPr>
                <w:rFonts w:ascii="Arial" w:hAnsi="Arial"/>
                <w:sz w:val="12"/>
                <w:szCs w:val="12"/>
              </w:rPr>
              <w:t>Aberin</w:t>
            </w:r>
          </w:p>
        </w:tc>
        <w:tc>
          <w:tcPr>
            <w:tcW w:w="2268" w:type="dxa"/>
            <w:tcBorders>
              <w:top w:val="single" w:sz="4" w:space="0" w:color="auto"/>
              <w:right w:val="single" w:sz="4" w:space="0" w:color="auto"/>
            </w:tcBorders>
            <w:shd w:val="clear" w:color="auto" w:fill="D9D9D9"/>
            <w:hideMark/>
          </w:tcPr>
          <w:p w14:paraId="0A81D5DB" w14:textId="77777777" w:rsidR="002A4DDF" w:rsidRPr="00937C8B" w:rsidRDefault="002A4DDF" w:rsidP="009110ED">
            <w:pPr>
              <w:rPr>
                <w:rFonts w:ascii="Arial" w:hAnsi="Arial" w:cs="Arial"/>
                <w:sz w:val="12"/>
                <w:szCs w:val="12"/>
              </w:rPr>
            </w:pPr>
            <w:r>
              <w:rPr>
                <w:rFonts w:ascii="Arial" w:hAnsi="Arial"/>
                <w:sz w:val="12"/>
                <w:szCs w:val="12"/>
              </w:rPr>
              <w:t>Arano</w:t>
            </w:r>
          </w:p>
        </w:tc>
      </w:tr>
      <w:tr w:rsidR="002A4DDF" w:rsidRPr="00937C8B" w14:paraId="7BF37E3D" w14:textId="77777777" w:rsidTr="00935676">
        <w:trPr>
          <w:cantSplit/>
        </w:trPr>
        <w:tc>
          <w:tcPr>
            <w:tcW w:w="1696" w:type="dxa"/>
            <w:tcBorders>
              <w:left w:val="single" w:sz="4" w:space="0" w:color="auto"/>
            </w:tcBorders>
            <w:shd w:val="clear" w:color="auto" w:fill="auto"/>
          </w:tcPr>
          <w:p w14:paraId="43B73FB9" w14:textId="77777777" w:rsidR="002A4DDF" w:rsidRPr="00937C8B" w:rsidRDefault="002A4DDF" w:rsidP="009110ED">
            <w:pPr>
              <w:rPr>
                <w:rFonts w:ascii="Arial" w:hAnsi="Arial" w:cs="Arial"/>
                <w:sz w:val="12"/>
                <w:szCs w:val="12"/>
              </w:rPr>
            </w:pPr>
          </w:p>
        </w:tc>
        <w:tc>
          <w:tcPr>
            <w:tcW w:w="1843" w:type="dxa"/>
            <w:shd w:val="clear" w:color="auto" w:fill="auto"/>
          </w:tcPr>
          <w:p w14:paraId="6814779E" w14:textId="77777777" w:rsidR="002A4DDF" w:rsidRPr="00937C8B" w:rsidRDefault="002A4DDF" w:rsidP="009110ED">
            <w:pPr>
              <w:rPr>
                <w:rFonts w:ascii="Arial" w:hAnsi="Arial" w:cs="Arial"/>
                <w:sz w:val="12"/>
                <w:szCs w:val="12"/>
              </w:rPr>
            </w:pPr>
          </w:p>
        </w:tc>
        <w:tc>
          <w:tcPr>
            <w:tcW w:w="2268" w:type="dxa"/>
            <w:shd w:val="clear" w:color="auto" w:fill="F2F2F2"/>
            <w:hideMark/>
          </w:tcPr>
          <w:p w14:paraId="743DD950" w14:textId="77777777" w:rsidR="002A4DDF" w:rsidRPr="00937C8B" w:rsidRDefault="002A4DDF" w:rsidP="009110ED">
            <w:pPr>
              <w:rPr>
                <w:rFonts w:ascii="Arial" w:hAnsi="Arial" w:cs="Arial"/>
                <w:sz w:val="12"/>
                <w:szCs w:val="12"/>
              </w:rPr>
            </w:pPr>
            <w:r>
              <w:rPr>
                <w:rFonts w:ascii="Arial" w:hAnsi="Arial"/>
                <w:sz w:val="12"/>
                <w:szCs w:val="12"/>
              </w:rPr>
              <w:t>Aibar/Oibar</w:t>
            </w:r>
          </w:p>
        </w:tc>
        <w:tc>
          <w:tcPr>
            <w:tcW w:w="2268" w:type="dxa"/>
            <w:tcBorders>
              <w:right w:val="single" w:sz="4" w:space="0" w:color="auto"/>
            </w:tcBorders>
            <w:shd w:val="clear" w:color="auto" w:fill="D9D9D9"/>
            <w:hideMark/>
          </w:tcPr>
          <w:p w14:paraId="03C6C801" w14:textId="77777777" w:rsidR="002A4DDF" w:rsidRPr="00937C8B" w:rsidRDefault="002A4DDF" w:rsidP="009110ED">
            <w:pPr>
              <w:rPr>
                <w:rFonts w:ascii="Arial" w:hAnsi="Arial" w:cs="Arial"/>
                <w:sz w:val="12"/>
                <w:szCs w:val="12"/>
              </w:rPr>
            </w:pPr>
            <w:r>
              <w:rPr>
                <w:rFonts w:ascii="Arial" w:hAnsi="Arial"/>
                <w:sz w:val="12"/>
                <w:szCs w:val="12"/>
              </w:rPr>
              <w:t>Arantza</w:t>
            </w:r>
          </w:p>
        </w:tc>
      </w:tr>
      <w:tr w:rsidR="002A4DDF" w:rsidRPr="00937C8B" w14:paraId="3BB32205" w14:textId="77777777" w:rsidTr="00935676">
        <w:trPr>
          <w:cantSplit/>
        </w:trPr>
        <w:tc>
          <w:tcPr>
            <w:tcW w:w="1696" w:type="dxa"/>
            <w:tcBorders>
              <w:left w:val="single" w:sz="4" w:space="0" w:color="auto"/>
            </w:tcBorders>
            <w:shd w:val="clear" w:color="auto" w:fill="auto"/>
          </w:tcPr>
          <w:p w14:paraId="473EECFC" w14:textId="77777777" w:rsidR="002A4DDF" w:rsidRPr="00937C8B" w:rsidRDefault="002A4DDF" w:rsidP="009110ED">
            <w:pPr>
              <w:rPr>
                <w:rFonts w:ascii="Arial" w:hAnsi="Arial" w:cs="Arial"/>
                <w:sz w:val="12"/>
                <w:szCs w:val="12"/>
              </w:rPr>
            </w:pPr>
          </w:p>
        </w:tc>
        <w:tc>
          <w:tcPr>
            <w:tcW w:w="1843" w:type="dxa"/>
            <w:shd w:val="clear" w:color="auto" w:fill="auto"/>
          </w:tcPr>
          <w:p w14:paraId="54165F14" w14:textId="77777777" w:rsidR="002A4DDF" w:rsidRPr="00937C8B" w:rsidRDefault="002A4DDF" w:rsidP="009110ED">
            <w:pPr>
              <w:rPr>
                <w:rFonts w:ascii="Arial" w:hAnsi="Arial" w:cs="Arial"/>
                <w:sz w:val="12"/>
                <w:szCs w:val="12"/>
              </w:rPr>
            </w:pPr>
          </w:p>
        </w:tc>
        <w:tc>
          <w:tcPr>
            <w:tcW w:w="2268" w:type="dxa"/>
            <w:shd w:val="clear" w:color="auto" w:fill="F2F2F2"/>
            <w:hideMark/>
          </w:tcPr>
          <w:p w14:paraId="794A72CE" w14:textId="77777777" w:rsidR="002A4DDF" w:rsidRPr="00937C8B" w:rsidRDefault="002A4DDF" w:rsidP="009110ED">
            <w:pPr>
              <w:rPr>
                <w:rFonts w:ascii="Arial" w:hAnsi="Arial" w:cs="Arial"/>
                <w:sz w:val="12"/>
                <w:szCs w:val="12"/>
              </w:rPr>
            </w:pPr>
            <w:r>
              <w:rPr>
                <w:rFonts w:ascii="Arial" w:hAnsi="Arial"/>
                <w:sz w:val="12"/>
                <w:szCs w:val="12"/>
              </w:rPr>
              <w:t>Allín/Allin</w:t>
            </w:r>
          </w:p>
        </w:tc>
        <w:tc>
          <w:tcPr>
            <w:tcW w:w="2268" w:type="dxa"/>
            <w:tcBorders>
              <w:right w:val="single" w:sz="4" w:space="0" w:color="auto"/>
            </w:tcBorders>
            <w:shd w:val="clear" w:color="auto" w:fill="D9D9D9"/>
            <w:hideMark/>
          </w:tcPr>
          <w:p w14:paraId="3823424C" w14:textId="77777777" w:rsidR="002A4DDF" w:rsidRPr="00937C8B" w:rsidRDefault="002A4DDF" w:rsidP="009110ED">
            <w:pPr>
              <w:rPr>
                <w:rFonts w:ascii="Arial" w:hAnsi="Arial" w:cs="Arial"/>
                <w:sz w:val="12"/>
                <w:szCs w:val="12"/>
              </w:rPr>
            </w:pPr>
            <w:r>
              <w:rPr>
                <w:rFonts w:ascii="Arial" w:hAnsi="Arial"/>
                <w:sz w:val="12"/>
                <w:szCs w:val="12"/>
              </w:rPr>
              <w:t>Bera</w:t>
            </w:r>
          </w:p>
        </w:tc>
      </w:tr>
      <w:tr w:rsidR="002A4DDF" w:rsidRPr="00937C8B" w14:paraId="3FEFBF0B" w14:textId="77777777" w:rsidTr="00935676">
        <w:trPr>
          <w:cantSplit/>
        </w:trPr>
        <w:tc>
          <w:tcPr>
            <w:tcW w:w="1696" w:type="dxa"/>
            <w:tcBorders>
              <w:left w:val="single" w:sz="4" w:space="0" w:color="auto"/>
            </w:tcBorders>
            <w:shd w:val="clear" w:color="auto" w:fill="auto"/>
          </w:tcPr>
          <w:p w14:paraId="622CED6F" w14:textId="77777777" w:rsidR="002A4DDF" w:rsidRPr="00937C8B" w:rsidRDefault="002A4DDF" w:rsidP="009110ED">
            <w:pPr>
              <w:rPr>
                <w:rFonts w:ascii="Arial" w:hAnsi="Arial" w:cs="Arial"/>
                <w:sz w:val="12"/>
                <w:szCs w:val="12"/>
              </w:rPr>
            </w:pPr>
          </w:p>
        </w:tc>
        <w:tc>
          <w:tcPr>
            <w:tcW w:w="1843" w:type="dxa"/>
            <w:shd w:val="clear" w:color="auto" w:fill="auto"/>
          </w:tcPr>
          <w:p w14:paraId="709DB06F" w14:textId="77777777" w:rsidR="002A4DDF" w:rsidRPr="00937C8B" w:rsidRDefault="002A4DDF" w:rsidP="009110ED">
            <w:pPr>
              <w:rPr>
                <w:rFonts w:ascii="Arial" w:hAnsi="Arial" w:cs="Arial"/>
                <w:sz w:val="12"/>
                <w:szCs w:val="12"/>
              </w:rPr>
            </w:pPr>
          </w:p>
        </w:tc>
        <w:tc>
          <w:tcPr>
            <w:tcW w:w="2268" w:type="dxa"/>
            <w:shd w:val="clear" w:color="auto" w:fill="F2F2F2"/>
            <w:hideMark/>
          </w:tcPr>
          <w:p w14:paraId="6C868EDA" w14:textId="77777777" w:rsidR="002A4DDF" w:rsidRPr="00937C8B" w:rsidRDefault="002A4DDF" w:rsidP="009110ED">
            <w:pPr>
              <w:rPr>
                <w:rFonts w:ascii="Arial" w:hAnsi="Arial" w:cs="Arial"/>
                <w:sz w:val="12"/>
                <w:szCs w:val="12"/>
              </w:rPr>
            </w:pPr>
            <w:r>
              <w:rPr>
                <w:rFonts w:ascii="Arial" w:hAnsi="Arial"/>
                <w:sz w:val="12"/>
                <w:szCs w:val="12"/>
              </w:rPr>
              <w:t>Allo</w:t>
            </w:r>
          </w:p>
        </w:tc>
        <w:tc>
          <w:tcPr>
            <w:tcW w:w="2268" w:type="dxa"/>
            <w:tcBorders>
              <w:right w:val="single" w:sz="4" w:space="0" w:color="auto"/>
            </w:tcBorders>
            <w:shd w:val="clear" w:color="auto" w:fill="D9D9D9"/>
            <w:hideMark/>
          </w:tcPr>
          <w:p w14:paraId="01233D35" w14:textId="77777777" w:rsidR="002A4DDF" w:rsidRPr="00937C8B" w:rsidRDefault="002A4DDF" w:rsidP="009110ED">
            <w:pPr>
              <w:rPr>
                <w:rFonts w:ascii="Arial" w:hAnsi="Arial" w:cs="Arial"/>
                <w:sz w:val="12"/>
                <w:szCs w:val="12"/>
              </w:rPr>
            </w:pPr>
            <w:r>
              <w:rPr>
                <w:rFonts w:ascii="Arial" w:hAnsi="Arial"/>
                <w:sz w:val="12"/>
                <w:szCs w:val="12"/>
              </w:rPr>
              <w:t>Etxalar</w:t>
            </w:r>
          </w:p>
        </w:tc>
      </w:tr>
      <w:tr w:rsidR="002A4DDF" w:rsidRPr="00937C8B" w14:paraId="606A4844" w14:textId="77777777" w:rsidTr="00935676">
        <w:trPr>
          <w:cantSplit/>
        </w:trPr>
        <w:tc>
          <w:tcPr>
            <w:tcW w:w="1696" w:type="dxa"/>
            <w:tcBorders>
              <w:left w:val="single" w:sz="4" w:space="0" w:color="auto"/>
            </w:tcBorders>
            <w:shd w:val="clear" w:color="auto" w:fill="auto"/>
          </w:tcPr>
          <w:p w14:paraId="6B80E9F4" w14:textId="77777777" w:rsidR="002A4DDF" w:rsidRPr="00937C8B" w:rsidRDefault="002A4DDF" w:rsidP="009110ED">
            <w:pPr>
              <w:rPr>
                <w:rFonts w:ascii="Arial" w:hAnsi="Arial" w:cs="Arial"/>
                <w:sz w:val="12"/>
                <w:szCs w:val="12"/>
              </w:rPr>
            </w:pPr>
          </w:p>
        </w:tc>
        <w:tc>
          <w:tcPr>
            <w:tcW w:w="1843" w:type="dxa"/>
            <w:shd w:val="clear" w:color="auto" w:fill="auto"/>
          </w:tcPr>
          <w:p w14:paraId="4B9C1C97" w14:textId="77777777" w:rsidR="002A4DDF" w:rsidRPr="00937C8B" w:rsidRDefault="002A4DDF" w:rsidP="009110ED">
            <w:pPr>
              <w:rPr>
                <w:rFonts w:ascii="Arial" w:hAnsi="Arial" w:cs="Arial"/>
                <w:sz w:val="12"/>
                <w:szCs w:val="12"/>
              </w:rPr>
            </w:pPr>
          </w:p>
        </w:tc>
        <w:tc>
          <w:tcPr>
            <w:tcW w:w="2268" w:type="dxa"/>
            <w:shd w:val="clear" w:color="auto" w:fill="F2F2F2"/>
            <w:hideMark/>
          </w:tcPr>
          <w:p w14:paraId="3F01BCE0" w14:textId="77777777" w:rsidR="002A4DDF" w:rsidRPr="00937C8B" w:rsidRDefault="002A4DDF" w:rsidP="009110ED">
            <w:pPr>
              <w:rPr>
                <w:rFonts w:ascii="Arial" w:hAnsi="Arial" w:cs="Arial"/>
                <w:sz w:val="12"/>
                <w:szCs w:val="12"/>
              </w:rPr>
            </w:pPr>
            <w:r>
              <w:rPr>
                <w:rFonts w:ascii="Arial" w:hAnsi="Arial"/>
                <w:sz w:val="12"/>
                <w:szCs w:val="12"/>
              </w:rPr>
              <w:t>Araitz</w:t>
            </w:r>
          </w:p>
        </w:tc>
        <w:tc>
          <w:tcPr>
            <w:tcW w:w="2268" w:type="dxa"/>
            <w:tcBorders>
              <w:right w:val="single" w:sz="4" w:space="0" w:color="auto"/>
            </w:tcBorders>
            <w:shd w:val="clear" w:color="auto" w:fill="D9D9D9"/>
            <w:hideMark/>
          </w:tcPr>
          <w:p w14:paraId="40B7A60E" w14:textId="77777777" w:rsidR="002A4DDF" w:rsidRPr="00937C8B" w:rsidRDefault="002A4DDF" w:rsidP="009110ED">
            <w:pPr>
              <w:rPr>
                <w:rFonts w:ascii="Arial" w:hAnsi="Arial" w:cs="Arial"/>
                <w:sz w:val="12"/>
                <w:szCs w:val="12"/>
              </w:rPr>
            </w:pPr>
            <w:r>
              <w:rPr>
                <w:rFonts w:ascii="Arial" w:hAnsi="Arial"/>
                <w:sz w:val="12"/>
                <w:szCs w:val="12"/>
              </w:rPr>
              <w:t>Goizueta</w:t>
            </w:r>
          </w:p>
        </w:tc>
      </w:tr>
      <w:tr w:rsidR="002A4DDF" w:rsidRPr="00937C8B" w14:paraId="2CA3B93F" w14:textId="77777777" w:rsidTr="00935676">
        <w:trPr>
          <w:cantSplit/>
        </w:trPr>
        <w:tc>
          <w:tcPr>
            <w:tcW w:w="1696" w:type="dxa"/>
            <w:tcBorders>
              <w:left w:val="single" w:sz="4" w:space="0" w:color="auto"/>
            </w:tcBorders>
            <w:shd w:val="clear" w:color="auto" w:fill="auto"/>
          </w:tcPr>
          <w:p w14:paraId="68634918" w14:textId="77777777" w:rsidR="002A4DDF" w:rsidRPr="00937C8B" w:rsidRDefault="002A4DDF" w:rsidP="009110ED">
            <w:pPr>
              <w:rPr>
                <w:rFonts w:ascii="Arial" w:hAnsi="Arial" w:cs="Arial"/>
                <w:sz w:val="12"/>
                <w:szCs w:val="12"/>
              </w:rPr>
            </w:pPr>
          </w:p>
        </w:tc>
        <w:tc>
          <w:tcPr>
            <w:tcW w:w="1843" w:type="dxa"/>
            <w:shd w:val="clear" w:color="auto" w:fill="auto"/>
          </w:tcPr>
          <w:p w14:paraId="43F8093E" w14:textId="77777777" w:rsidR="002A4DDF" w:rsidRPr="00937C8B" w:rsidRDefault="002A4DDF" w:rsidP="009110ED">
            <w:pPr>
              <w:rPr>
                <w:rFonts w:ascii="Arial" w:hAnsi="Arial" w:cs="Arial"/>
                <w:sz w:val="12"/>
                <w:szCs w:val="12"/>
              </w:rPr>
            </w:pPr>
          </w:p>
        </w:tc>
        <w:tc>
          <w:tcPr>
            <w:tcW w:w="2268" w:type="dxa"/>
            <w:shd w:val="clear" w:color="auto" w:fill="F2F2F2"/>
            <w:hideMark/>
          </w:tcPr>
          <w:p w14:paraId="1D875C1A" w14:textId="77777777" w:rsidR="002A4DDF" w:rsidRPr="00937C8B" w:rsidRDefault="002A4DDF" w:rsidP="009110ED">
            <w:pPr>
              <w:rPr>
                <w:rFonts w:ascii="Arial" w:hAnsi="Arial" w:cs="Arial"/>
                <w:sz w:val="12"/>
                <w:szCs w:val="12"/>
              </w:rPr>
            </w:pPr>
            <w:r>
              <w:rPr>
                <w:rFonts w:ascii="Arial" w:hAnsi="Arial"/>
                <w:sz w:val="12"/>
                <w:szCs w:val="12"/>
              </w:rPr>
              <w:t>Arakil</w:t>
            </w:r>
          </w:p>
        </w:tc>
        <w:tc>
          <w:tcPr>
            <w:tcW w:w="2268" w:type="dxa"/>
            <w:tcBorders>
              <w:right w:val="single" w:sz="4" w:space="0" w:color="auto"/>
            </w:tcBorders>
            <w:shd w:val="clear" w:color="auto" w:fill="D9D9D9"/>
            <w:hideMark/>
          </w:tcPr>
          <w:p w14:paraId="6CE51D58" w14:textId="77777777" w:rsidR="002A4DDF" w:rsidRPr="00937C8B" w:rsidRDefault="002A4DDF" w:rsidP="009110ED">
            <w:pPr>
              <w:rPr>
                <w:rFonts w:ascii="Arial" w:hAnsi="Arial" w:cs="Arial"/>
                <w:sz w:val="12"/>
                <w:szCs w:val="12"/>
              </w:rPr>
            </w:pPr>
            <w:r>
              <w:rPr>
                <w:rFonts w:ascii="Arial" w:hAnsi="Arial"/>
                <w:sz w:val="12"/>
                <w:szCs w:val="12"/>
              </w:rPr>
              <w:t>Igantzi</w:t>
            </w:r>
          </w:p>
        </w:tc>
      </w:tr>
      <w:tr w:rsidR="002A4DDF" w:rsidRPr="00937C8B" w14:paraId="3D38F5A5" w14:textId="77777777" w:rsidTr="00935676">
        <w:trPr>
          <w:cantSplit/>
        </w:trPr>
        <w:tc>
          <w:tcPr>
            <w:tcW w:w="1696" w:type="dxa"/>
            <w:tcBorders>
              <w:left w:val="single" w:sz="4" w:space="0" w:color="auto"/>
            </w:tcBorders>
            <w:shd w:val="clear" w:color="auto" w:fill="auto"/>
          </w:tcPr>
          <w:p w14:paraId="20067E87" w14:textId="77777777" w:rsidR="002A4DDF" w:rsidRPr="00937C8B" w:rsidRDefault="002A4DDF" w:rsidP="009110ED">
            <w:pPr>
              <w:rPr>
                <w:rFonts w:ascii="Arial" w:hAnsi="Arial" w:cs="Arial"/>
                <w:sz w:val="12"/>
                <w:szCs w:val="12"/>
              </w:rPr>
            </w:pPr>
          </w:p>
        </w:tc>
        <w:tc>
          <w:tcPr>
            <w:tcW w:w="1843" w:type="dxa"/>
            <w:shd w:val="clear" w:color="auto" w:fill="auto"/>
          </w:tcPr>
          <w:p w14:paraId="3430D650" w14:textId="77777777" w:rsidR="002A4DDF" w:rsidRPr="00937C8B" w:rsidRDefault="002A4DDF" w:rsidP="009110ED">
            <w:pPr>
              <w:rPr>
                <w:rFonts w:ascii="Arial" w:hAnsi="Arial" w:cs="Arial"/>
                <w:sz w:val="12"/>
                <w:szCs w:val="12"/>
              </w:rPr>
            </w:pPr>
          </w:p>
        </w:tc>
        <w:tc>
          <w:tcPr>
            <w:tcW w:w="2268" w:type="dxa"/>
            <w:shd w:val="clear" w:color="auto" w:fill="F2F2F2"/>
            <w:hideMark/>
          </w:tcPr>
          <w:p w14:paraId="509A89A9" w14:textId="77777777" w:rsidR="002A4DDF" w:rsidRPr="00937C8B" w:rsidRDefault="002A4DDF" w:rsidP="009110ED">
            <w:pPr>
              <w:rPr>
                <w:rFonts w:ascii="Arial" w:hAnsi="Arial" w:cs="Arial"/>
                <w:sz w:val="12"/>
                <w:szCs w:val="12"/>
              </w:rPr>
            </w:pPr>
            <w:r>
              <w:rPr>
                <w:rFonts w:ascii="Arial" w:hAnsi="Arial"/>
                <w:sz w:val="12"/>
                <w:szCs w:val="12"/>
              </w:rPr>
              <w:t>Areso</w:t>
            </w:r>
          </w:p>
        </w:tc>
        <w:tc>
          <w:tcPr>
            <w:tcW w:w="2268" w:type="dxa"/>
            <w:tcBorders>
              <w:right w:val="single" w:sz="4" w:space="0" w:color="auto"/>
            </w:tcBorders>
            <w:shd w:val="clear" w:color="auto" w:fill="D9D9D9"/>
            <w:hideMark/>
          </w:tcPr>
          <w:p w14:paraId="53A006FD" w14:textId="77777777" w:rsidR="002A4DDF" w:rsidRPr="00937C8B" w:rsidRDefault="002A4DDF" w:rsidP="009110ED">
            <w:pPr>
              <w:rPr>
                <w:rFonts w:ascii="Arial" w:hAnsi="Arial" w:cs="Arial"/>
                <w:sz w:val="12"/>
                <w:szCs w:val="12"/>
              </w:rPr>
            </w:pPr>
            <w:r>
              <w:rPr>
                <w:rFonts w:ascii="Arial" w:hAnsi="Arial"/>
                <w:sz w:val="12"/>
                <w:szCs w:val="12"/>
              </w:rPr>
              <w:t>Ituren</w:t>
            </w:r>
          </w:p>
        </w:tc>
      </w:tr>
      <w:tr w:rsidR="002A4DDF" w:rsidRPr="00937C8B" w14:paraId="21E25AF7" w14:textId="77777777" w:rsidTr="00935676">
        <w:trPr>
          <w:cantSplit/>
        </w:trPr>
        <w:tc>
          <w:tcPr>
            <w:tcW w:w="1696" w:type="dxa"/>
            <w:tcBorders>
              <w:left w:val="single" w:sz="4" w:space="0" w:color="auto"/>
            </w:tcBorders>
            <w:shd w:val="clear" w:color="auto" w:fill="auto"/>
          </w:tcPr>
          <w:p w14:paraId="4D349DB2" w14:textId="77777777" w:rsidR="002A4DDF" w:rsidRPr="00937C8B" w:rsidRDefault="002A4DDF" w:rsidP="009110ED">
            <w:pPr>
              <w:rPr>
                <w:rFonts w:ascii="Arial" w:hAnsi="Arial" w:cs="Arial"/>
                <w:sz w:val="12"/>
                <w:szCs w:val="12"/>
              </w:rPr>
            </w:pPr>
          </w:p>
        </w:tc>
        <w:tc>
          <w:tcPr>
            <w:tcW w:w="1843" w:type="dxa"/>
            <w:shd w:val="clear" w:color="auto" w:fill="auto"/>
          </w:tcPr>
          <w:p w14:paraId="76929EEF" w14:textId="77777777" w:rsidR="002A4DDF" w:rsidRPr="00937C8B" w:rsidRDefault="002A4DDF" w:rsidP="009110ED">
            <w:pPr>
              <w:rPr>
                <w:rFonts w:ascii="Arial" w:hAnsi="Arial" w:cs="Arial"/>
                <w:sz w:val="12"/>
                <w:szCs w:val="12"/>
              </w:rPr>
            </w:pPr>
          </w:p>
        </w:tc>
        <w:tc>
          <w:tcPr>
            <w:tcW w:w="2268" w:type="dxa"/>
            <w:shd w:val="clear" w:color="auto" w:fill="F2F2F2"/>
            <w:hideMark/>
          </w:tcPr>
          <w:p w14:paraId="71E83EE4" w14:textId="77777777" w:rsidR="002A4DDF" w:rsidRPr="00937C8B" w:rsidRDefault="002A4DDF" w:rsidP="009110ED">
            <w:pPr>
              <w:rPr>
                <w:rFonts w:ascii="Arial" w:hAnsi="Arial" w:cs="Arial"/>
                <w:sz w:val="12"/>
                <w:szCs w:val="12"/>
              </w:rPr>
            </w:pPr>
            <w:r>
              <w:rPr>
                <w:rFonts w:ascii="Arial" w:hAnsi="Arial"/>
                <w:sz w:val="12"/>
                <w:szCs w:val="12"/>
              </w:rPr>
              <w:t>Atez/Atetz</w:t>
            </w:r>
          </w:p>
        </w:tc>
        <w:tc>
          <w:tcPr>
            <w:tcW w:w="2268" w:type="dxa"/>
            <w:tcBorders>
              <w:right w:val="single" w:sz="4" w:space="0" w:color="auto"/>
            </w:tcBorders>
            <w:shd w:val="clear" w:color="auto" w:fill="D9D9D9"/>
            <w:hideMark/>
          </w:tcPr>
          <w:p w14:paraId="75C1ABA2" w14:textId="77777777" w:rsidR="002A4DDF" w:rsidRPr="00937C8B" w:rsidRDefault="002A4DDF" w:rsidP="009110ED">
            <w:pPr>
              <w:rPr>
                <w:rFonts w:ascii="Arial" w:hAnsi="Arial" w:cs="Arial"/>
                <w:sz w:val="12"/>
                <w:szCs w:val="12"/>
              </w:rPr>
            </w:pPr>
            <w:r>
              <w:rPr>
                <w:rFonts w:ascii="Arial" w:hAnsi="Arial"/>
                <w:sz w:val="12"/>
                <w:szCs w:val="12"/>
              </w:rPr>
              <w:t>Lesaka</w:t>
            </w:r>
          </w:p>
        </w:tc>
      </w:tr>
      <w:tr w:rsidR="002A4DDF" w:rsidRPr="00937C8B" w14:paraId="15ECE12F" w14:textId="77777777" w:rsidTr="00935676">
        <w:trPr>
          <w:cantSplit/>
        </w:trPr>
        <w:tc>
          <w:tcPr>
            <w:tcW w:w="1696" w:type="dxa"/>
            <w:tcBorders>
              <w:left w:val="single" w:sz="4" w:space="0" w:color="auto"/>
            </w:tcBorders>
            <w:shd w:val="clear" w:color="auto" w:fill="auto"/>
          </w:tcPr>
          <w:p w14:paraId="03C88BFA" w14:textId="77777777" w:rsidR="002A4DDF" w:rsidRPr="00937C8B" w:rsidRDefault="002A4DDF" w:rsidP="009110ED">
            <w:pPr>
              <w:rPr>
                <w:rFonts w:ascii="Arial" w:hAnsi="Arial" w:cs="Arial"/>
                <w:sz w:val="12"/>
                <w:szCs w:val="12"/>
              </w:rPr>
            </w:pPr>
          </w:p>
        </w:tc>
        <w:tc>
          <w:tcPr>
            <w:tcW w:w="1843" w:type="dxa"/>
            <w:shd w:val="clear" w:color="auto" w:fill="auto"/>
          </w:tcPr>
          <w:p w14:paraId="3FAEABEB" w14:textId="77777777" w:rsidR="002A4DDF" w:rsidRPr="00937C8B" w:rsidRDefault="002A4DDF" w:rsidP="009110ED">
            <w:pPr>
              <w:rPr>
                <w:rFonts w:ascii="Arial" w:hAnsi="Arial" w:cs="Arial"/>
                <w:sz w:val="12"/>
                <w:szCs w:val="12"/>
              </w:rPr>
            </w:pPr>
          </w:p>
        </w:tc>
        <w:tc>
          <w:tcPr>
            <w:tcW w:w="2268" w:type="dxa"/>
            <w:shd w:val="clear" w:color="auto" w:fill="F2F2F2"/>
            <w:hideMark/>
          </w:tcPr>
          <w:p w14:paraId="2B0635C2" w14:textId="77777777" w:rsidR="002A4DDF" w:rsidRPr="00937C8B" w:rsidRDefault="002A4DDF" w:rsidP="009110ED">
            <w:pPr>
              <w:rPr>
                <w:rFonts w:ascii="Arial" w:hAnsi="Arial" w:cs="Arial"/>
                <w:sz w:val="12"/>
                <w:szCs w:val="12"/>
              </w:rPr>
            </w:pPr>
            <w:r>
              <w:rPr>
                <w:rFonts w:ascii="Arial" w:hAnsi="Arial"/>
                <w:sz w:val="12"/>
                <w:szCs w:val="12"/>
              </w:rPr>
              <w:t>Auritz/Burguete</w:t>
            </w:r>
          </w:p>
        </w:tc>
        <w:tc>
          <w:tcPr>
            <w:tcW w:w="2268" w:type="dxa"/>
            <w:tcBorders>
              <w:right w:val="single" w:sz="4" w:space="0" w:color="auto"/>
            </w:tcBorders>
            <w:shd w:val="clear" w:color="auto" w:fill="D9D9D9"/>
            <w:hideMark/>
          </w:tcPr>
          <w:p w14:paraId="28490FB8" w14:textId="77777777" w:rsidR="002A4DDF" w:rsidRPr="00937C8B" w:rsidRDefault="002A4DDF" w:rsidP="009110ED">
            <w:pPr>
              <w:rPr>
                <w:rFonts w:ascii="Arial" w:hAnsi="Arial" w:cs="Arial"/>
                <w:sz w:val="12"/>
                <w:szCs w:val="12"/>
              </w:rPr>
            </w:pPr>
            <w:r>
              <w:rPr>
                <w:rFonts w:ascii="Arial" w:hAnsi="Arial"/>
                <w:sz w:val="12"/>
                <w:szCs w:val="12"/>
              </w:rPr>
              <w:t>Luzaide/Valcarlos</w:t>
            </w:r>
          </w:p>
        </w:tc>
      </w:tr>
      <w:tr w:rsidR="002A4DDF" w:rsidRPr="00937C8B" w14:paraId="3DDAC825" w14:textId="77777777" w:rsidTr="00935676">
        <w:trPr>
          <w:cantSplit/>
        </w:trPr>
        <w:tc>
          <w:tcPr>
            <w:tcW w:w="1696" w:type="dxa"/>
            <w:tcBorders>
              <w:left w:val="single" w:sz="4" w:space="0" w:color="auto"/>
            </w:tcBorders>
            <w:shd w:val="clear" w:color="auto" w:fill="auto"/>
          </w:tcPr>
          <w:p w14:paraId="3B878BA9" w14:textId="77777777" w:rsidR="002A4DDF" w:rsidRPr="00937C8B" w:rsidRDefault="002A4DDF" w:rsidP="009110ED">
            <w:pPr>
              <w:rPr>
                <w:rFonts w:ascii="Arial" w:hAnsi="Arial" w:cs="Arial"/>
                <w:sz w:val="12"/>
                <w:szCs w:val="12"/>
              </w:rPr>
            </w:pPr>
          </w:p>
        </w:tc>
        <w:tc>
          <w:tcPr>
            <w:tcW w:w="1843" w:type="dxa"/>
            <w:shd w:val="clear" w:color="auto" w:fill="auto"/>
          </w:tcPr>
          <w:p w14:paraId="5A05A617" w14:textId="77777777" w:rsidR="002A4DDF" w:rsidRPr="00937C8B" w:rsidRDefault="002A4DDF" w:rsidP="009110ED">
            <w:pPr>
              <w:rPr>
                <w:rFonts w:ascii="Arial" w:hAnsi="Arial" w:cs="Arial"/>
                <w:sz w:val="12"/>
                <w:szCs w:val="12"/>
              </w:rPr>
            </w:pPr>
          </w:p>
        </w:tc>
        <w:tc>
          <w:tcPr>
            <w:tcW w:w="2268" w:type="dxa"/>
            <w:shd w:val="clear" w:color="auto" w:fill="F2F2F2"/>
            <w:hideMark/>
          </w:tcPr>
          <w:p w14:paraId="25C19613" w14:textId="77777777" w:rsidR="002A4DDF" w:rsidRPr="00937C8B" w:rsidRDefault="002A4DDF" w:rsidP="009110ED">
            <w:pPr>
              <w:rPr>
                <w:rFonts w:ascii="Arial" w:hAnsi="Arial" w:cs="Arial"/>
                <w:sz w:val="12"/>
                <w:szCs w:val="12"/>
              </w:rPr>
            </w:pPr>
            <w:r>
              <w:rPr>
                <w:rFonts w:ascii="Arial" w:hAnsi="Arial"/>
                <w:sz w:val="12"/>
                <w:szCs w:val="12"/>
              </w:rPr>
              <w:t>Ayegui/Aiegi</w:t>
            </w:r>
          </w:p>
        </w:tc>
        <w:tc>
          <w:tcPr>
            <w:tcW w:w="2268" w:type="dxa"/>
            <w:tcBorders>
              <w:right w:val="single" w:sz="4" w:space="0" w:color="auto"/>
            </w:tcBorders>
            <w:shd w:val="clear" w:color="auto" w:fill="D9D9D9"/>
            <w:hideMark/>
          </w:tcPr>
          <w:p w14:paraId="0EA728F4" w14:textId="77777777" w:rsidR="002A4DDF" w:rsidRPr="00937C8B" w:rsidRDefault="002A4DDF" w:rsidP="009110ED">
            <w:pPr>
              <w:rPr>
                <w:rFonts w:ascii="Arial" w:hAnsi="Arial" w:cs="Arial"/>
                <w:sz w:val="12"/>
                <w:szCs w:val="12"/>
              </w:rPr>
            </w:pPr>
            <w:r>
              <w:rPr>
                <w:rFonts w:ascii="Arial" w:hAnsi="Arial"/>
                <w:sz w:val="12"/>
                <w:szCs w:val="12"/>
              </w:rPr>
              <w:t>Sunbilla</w:t>
            </w:r>
          </w:p>
        </w:tc>
      </w:tr>
      <w:tr w:rsidR="002A4DDF" w:rsidRPr="00937C8B" w14:paraId="2C0BFAAF" w14:textId="77777777" w:rsidTr="00935676">
        <w:trPr>
          <w:cantSplit/>
        </w:trPr>
        <w:tc>
          <w:tcPr>
            <w:tcW w:w="1696" w:type="dxa"/>
            <w:tcBorders>
              <w:left w:val="single" w:sz="4" w:space="0" w:color="auto"/>
            </w:tcBorders>
            <w:shd w:val="clear" w:color="auto" w:fill="auto"/>
          </w:tcPr>
          <w:p w14:paraId="0D3D136E" w14:textId="77777777" w:rsidR="002A4DDF" w:rsidRPr="00937C8B" w:rsidRDefault="002A4DDF" w:rsidP="009110ED">
            <w:pPr>
              <w:rPr>
                <w:rFonts w:ascii="Arial" w:hAnsi="Arial" w:cs="Arial"/>
                <w:sz w:val="12"/>
                <w:szCs w:val="12"/>
              </w:rPr>
            </w:pPr>
          </w:p>
        </w:tc>
        <w:tc>
          <w:tcPr>
            <w:tcW w:w="1843" w:type="dxa"/>
            <w:shd w:val="clear" w:color="auto" w:fill="auto"/>
          </w:tcPr>
          <w:p w14:paraId="7B1F0A38" w14:textId="77777777" w:rsidR="002A4DDF" w:rsidRPr="00937C8B" w:rsidRDefault="002A4DDF" w:rsidP="009110ED">
            <w:pPr>
              <w:rPr>
                <w:rFonts w:ascii="Arial" w:hAnsi="Arial" w:cs="Arial"/>
                <w:sz w:val="12"/>
                <w:szCs w:val="12"/>
              </w:rPr>
            </w:pPr>
          </w:p>
        </w:tc>
        <w:tc>
          <w:tcPr>
            <w:tcW w:w="2268" w:type="dxa"/>
            <w:shd w:val="clear" w:color="auto" w:fill="F2F2F2"/>
            <w:hideMark/>
          </w:tcPr>
          <w:p w14:paraId="70D80D70" w14:textId="77777777" w:rsidR="002A4DDF" w:rsidRPr="00937C8B" w:rsidRDefault="002A4DDF" w:rsidP="009110ED">
            <w:pPr>
              <w:rPr>
                <w:rFonts w:ascii="Arial" w:hAnsi="Arial" w:cs="Arial"/>
                <w:sz w:val="12"/>
                <w:szCs w:val="12"/>
              </w:rPr>
            </w:pPr>
            <w:r>
              <w:rPr>
                <w:rFonts w:ascii="Arial" w:hAnsi="Arial"/>
                <w:sz w:val="12"/>
                <w:szCs w:val="12"/>
              </w:rPr>
              <w:t>Basaburua</w:t>
            </w:r>
          </w:p>
        </w:tc>
        <w:tc>
          <w:tcPr>
            <w:tcW w:w="2268" w:type="dxa"/>
            <w:tcBorders>
              <w:right w:val="single" w:sz="4" w:space="0" w:color="auto"/>
            </w:tcBorders>
            <w:shd w:val="clear" w:color="auto" w:fill="D9D9D9"/>
            <w:hideMark/>
          </w:tcPr>
          <w:p w14:paraId="2B886EB6" w14:textId="77777777" w:rsidR="002A4DDF" w:rsidRPr="00937C8B" w:rsidRDefault="002A4DDF" w:rsidP="009110ED">
            <w:pPr>
              <w:rPr>
                <w:rFonts w:ascii="Arial" w:hAnsi="Arial" w:cs="Arial"/>
                <w:sz w:val="12"/>
                <w:szCs w:val="12"/>
              </w:rPr>
            </w:pPr>
            <w:r>
              <w:rPr>
                <w:rFonts w:ascii="Arial" w:hAnsi="Arial"/>
                <w:sz w:val="12"/>
                <w:szCs w:val="12"/>
              </w:rPr>
              <w:t>Urdazubi/Urdax</w:t>
            </w:r>
          </w:p>
        </w:tc>
      </w:tr>
      <w:tr w:rsidR="002A4DDF" w:rsidRPr="00937C8B" w14:paraId="34CB12E1" w14:textId="77777777" w:rsidTr="00935676">
        <w:trPr>
          <w:cantSplit/>
        </w:trPr>
        <w:tc>
          <w:tcPr>
            <w:tcW w:w="1696" w:type="dxa"/>
            <w:tcBorders>
              <w:left w:val="single" w:sz="4" w:space="0" w:color="auto"/>
            </w:tcBorders>
            <w:shd w:val="clear" w:color="auto" w:fill="auto"/>
          </w:tcPr>
          <w:p w14:paraId="629CD8C0" w14:textId="77777777" w:rsidR="002A4DDF" w:rsidRPr="00937C8B" w:rsidRDefault="002A4DDF" w:rsidP="009110ED">
            <w:pPr>
              <w:rPr>
                <w:rFonts w:ascii="Arial" w:hAnsi="Arial" w:cs="Arial"/>
                <w:sz w:val="12"/>
                <w:szCs w:val="12"/>
              </w:rPr>
            </w:pPr>
          </w:p>
        </w:tc>
        <w:tc>
          <w:tcPr>
            <w:tcW w:w="1843" w:type="dxa"/>
            <w:shd w:val="clear" w:color="auto" w:fill="auto"/>
          </w:tcPr>
          <w:p w14:paraId="36341B09" w14:textId="77777777" w:rsidR="002A4DDF" w:rsidRPr="00937C8B" w:rsidRDefault="002A4DDF" w:rsidP="009110ED">
            <w:pPr>
              <w:rPr>
                <w:rFonts w:ascii="Arial" w:hAnsi="Arial" w:cs="Arial"/>
                <w:sz w:val="12"/>
                <w:szCs w:val="12"/>
              </w:rPr>
            </w:pPr>
          </w:p>
        </w:tc>
        <w:tc>
          <w:tcPr>
            <w:tcW w:w="2268" w:type="dxa"/>
            <w:shd w:val="clear" w:color="auto" w:fill="F2F2F2"/>
            <w:hideMark/>
          </w:tcPr>
          <w:p w14:paraId="07FE0795" w14:textId="77777777" w:rsidR="002A4DDF" w:rsidRPr="00937C8B" w:rsidRDefault="002A4DDF" w:rsidP="009110ED">
            <w:pPr>
              <w:rPr>
                <w:rFonts w:ascii="Arial" w:hAnsi="Arial" w:cs="Arial"/>
                <w:sz w:val="12"/>
                <w:szCs w:val="12"/>
              </w:rPr>
            </w:pPr>
            <w:r>
              <w:rPr>
                <w:rFonts w:ascii="Arial" w:hAnsi="Arial"/>
                <w:sz w:val="12"/>
                <w:szCs w:val="12"/>
              </w:rPr>
              <w:t>Baztan</w:t>
            </w:r>
          </w:p>
        </w:tc>
        <w:tc>
          <w:tcPr>
            <w:tcW w:w="2268" w:type="dxa"/>
            <w:tcBorders>
              <w:right w:val="single" w:sz="4" w:space="0" w:color="auto"/>
            </w:tcBorders>
            <w:shd w:val="clear" w:color="auto" w:fill="D9D9D9"/>
            <w:hideMark/>
          </w:tcPr>
          <w:p w14:paraId="37759467" w14:textId="77777777" w:rsidR="002A4DDF" w:rsidRPr="00937C8B" w:rsidRDefault="002A4DDF" w:rsidP="009110ED">
            <w:pPr>
              <w:rPr>
                <w:rFonts w:ascii="Arial" w:hAnsi="Arial" w:cs="Arial"/>
                <w:sz w:val="12"/>
                <w:szCs w:val="12"/>
              </w:rPr>
            </w:pPr>
            <w:r>
              <w:rPr>
                <w:rFonts w:ascii="Arial" w:hAnsi="Arial"/>
                <w:sz w:val="12"/>
                <w:szCs w:val="12"/>
              </w:rPr>
              <w:t>Zubieta</w:t>
            </w:r>
          </w:p>
        </w:tc>
      </w:tr>
      <w:tr w:rsidR="002A4DDF" w:rsidRPr="00937C8B" w14:paraId="55E54D3D" w14:textId="77777777" w:rsidTr="00935676">
        <w:trPr>
          <w:cantSplit/>
        </w:trPr>
        <w:tc>
          <w:tcPr>
            <w:tcW w:w="1696" w:type="dxa"/>
            <w:tcBorders>
              <w:left w:val="single" w:sz="4" w:space="0" w:color="auto"/>
            </w:tcBorders>
            <w:shd w:val="clear" w:color="auto" w:fill="auto"/>
          </w:tcPr>
          <w:p w14:paraId="6DA004F2" w14:textId="77777777" w:rsidR="002A4DDF" w:rsidRPr="00937C8B" w:rsidRDefault="002A4DDF" w:rsidP="009110ED">
            <w:pPr>
              <w:rPr>
                <w:rFonts w:ascii="Arial" w:hAnsi="Arial" w:cs="Arial"/>
                <w:sz w:val="12"/>
                <w:szCs w:val="12"/>
              </w:rPr>
            </w:pPr>
          </w:p>
        </w:tc>
        <w:tc>
          <w:tcPr>
            <w:tcW w:w="1843" w:type="dxa"/>
            <w:shd w:val="clear" w:color="auto" w:fill="auto"/>
          </w:tcPr>
          <w:p w14:paraId="2EEAB57F" w14:textId="77777777" w:rsidR="002A4DDF" w:rsidRPr="00937C8B" w:rsidRDefault="002A4DDF" w:rsidP="009110ED">
            <w:pPr>
              <w:rPr>
                <w:rFonts w:ascii="Arial" w:hAnsi="Arial" w:cs="Arial"/>
                <w:sz w:val="12"/>
                <w:szCs w:val="12"/>
              </w:rPr>
            </w:pPr>
          </w:p>
        </w:tc>
        <w:tc>
          <w:tcPr>
            <w:tcW w:w="2268" w:type="dxa"/>
            <w:shd w:val="clear" w:color="auto" w:fill="F2F2F2"/>
            <w:hideMark/>
          </w:tcPr>
          <w:p w14:paraId="7D418D18" w14:textId="77777777" w:rsidR="002A4DDF" w:rsidRPr="00937C8B" w:rsidRDefault="002A4DDF" w:rsidP="009110ED">
            <w:pPr>
              <w:rPr>
                <w:rFonts w:ascii="Arial" w:hAnsi="Arial" w:cs="Arial"/>
                <w:sz w:val="12"/>
                <w:szCs w:val="12"/>
              </w:rPr>
            </w:pPr>
            <w:r>
              <w:rPr>
                <w:rFonts w:ascii="Arial" w:hAnsi="Arial"/>
                <w:sz w:val="12"/>
                <w:szCs w:val="12"/>
              </w:rPr>
              <w:t>Beintza-Labaien</w:t>
            </w:r>
          </w:p>
        </w:tc>
        <w:tc>
          <w:tcPr>
            <w:tcW w:w="2268" w:type="dxa"/>
            <w:tcBorders>
              <w:right w:val="single" w:sz="4" w:space="0" w:color="auto"/>
            </w:tcBorders>
            <w:shd w:val="clear" w:color="auto" w:fill="D9D9D9"/>
            <w:hideMark/>
          </w:tcPr>
          <w:p w14:paraId="56CEC841" w14:textId="77777777" w:rsidR="002A4DDF" w:rsidRPr="00937C8B" w:rsidRDefault="002A4DDF" w:rsidP="009110ED">
            <w:pPr>
              <w:rPr>
                <w:rFonts w:ascii="Arial" w:hAnsi="Arial" w:cs="Arial"/>
                <w:sz w:val="12"/>
                <w:szCs w:val="12"/>
              </w:rPr>
            </w:pPr>
          </w:p>
        </w:tc>
      </w:tr>
      <w:tr w:rsidR="002A4DDF" w:rsidRPr="00937C8B" w14:paraId="5B88FA2E" w14:textId="77777777" w:rsidTr="00935676">
        <w:trPr>
          <w:cantSplit/>
        </w:trPr>
        <w:tc>
          <w:tcPr>
            <w:tcW w:w="1696" w:type="dxa"/>
            <w:tcBorders>
              <w:left w:val="single" w:sz="4" w:space="0" w:color="auto"/>
            </w:tcBorders>
            <w:shd w:val="clear" w:color="auto" w:fill="auto"/>
          </w:tcPr>
          <w:p w14:paraId="58D0FF04" w14:textId="77777777" w:rsidR="002A4DDF" w:rsidRPr="00937C8B" w:rsidRDefault="002A4DDF" w:rsidP="009110ED">
            <w:pPr>
              <w:rPr>
                <w:rFonts w:ascii="Arial" w:hAnsi="Arial" w:cs="Arial"/>
                <w:sz w:val="12"/>
                <w:szCs w:val="12"/>
              </w:rPr>
            </w:pPr>
          </w:p>
        </w:tc>
        <w:tc>
          <w:tcPr>
            <w:tcW w:w="1843" w:type="dxa"/>
            <w:shd w:val="clear" w:color="auto" w:fill="auto"/>
          </w:tcPr>
          <w:p w14:paraId="64D41ED5" w14:textId="77777777" w:rsidR="002A4DDF" w:rsidRPr="00937C8B" w:rsidRDefault="002A4DDF" w:rsidP="009110ED">
            <w:pPr>
              <w:rPr>
                <w:rFonts w:ascii="Arial" w:hAnsi="Arial" w:cs="Arial"/>
                <w:sz w:val="12"/>
                <w:szCs w:val="12"/>
              </w:rPr>
            </w:pPr>
          </w:p>
        </w:tc>
        <w:tc>
          <w:tcPr>
            <w:tcW w:w="2268" w:type="dxa"/>
            <w:shd w:val="clear" w:color="auto" w:fill="F2F2F2"/>
            <w:hideMark/>
          </w:tcPr>
          <w:p w14:paraId="38AFBE2D" w14:textId="77777777" w:rsidR="002A4DDF" w:rsidRPr="00937C8B" w:rsidRDefault="002A4DDF" w:rsidP="009110ED">
            <w:pPr>
              <w:rPr>
                <w:rFonts w:ascii="Arial" w:hAnsi="Arial" w:cs="Arial"/>
                <w:sz w:val="12"/>
                <w:szCs w:val="12"/>
              </w:rPr>
            </w:pPr>
            <w:r>
              <w:rPr>
                <w:rFonts w:ascii="Arial" w:hAnsi="Arial"/>
                <w:sz w:val="12"/>
                <w:szCs w:val="12"/>
              </w:rPr>
              <w:t>Berbinzana</w:t>
            </w:r>
          </w:p>
        </w:tc>
        <w:tc>
          <w:tcPr>
            <w:tcW w:w="2268" w:type="dxa"/>
            <w:tcBorders>
              <w:right w:val="single" w:sz="4" w:space="0" w:color="auto"/>
            </w:tcBorders>
            <w:shd w:val="clear" w:color="auto" w:fill="D9D9D9"/>
            <w:hideMark/>
          </w:tcPr>
          <w:p w14:paraId="491F944C" w14:textId="77777777" w:rsidR="002A4DDF" w:rsidRPr="00937C8B" w:rsidRDefault="002A4DDF" w:rsidP="009110ED">
            <w:pPr>
              <w:rPr>
                <w:rFonts w:ascii="Arial" w:hAnsi="Arial" w:cs="Arial"/>
                <w:sz w:val="12"/>
                <w:szCs w:val="12"/>
              </w:rPr>
            </w:pPr>
          </w:p>
        </w:tc>
      </w:tr>
      <w:tr w:rsidR="002A4DDF" w:rsidRPr="00937C8B" w14:paraId="78AD66B1" w14:textId="77777777" w:rsidTr="00935676">
        <w:trPr>
          <w:cantSplit/>
        </w:trPr>
        <w:tc>
          <w:tcPr>
            <w:tcW w:w="1696" w:type="dxa"/>
            <w:tcBorders>
              <w:left w:val="single" w:sz="4" w:space="0" w:color="auto"/>
            </w:tcBorders>
            <w:shd w:val="clear" w:color="auto" w:fill="auto"/>
          </w:tcPr>
          <w:p w14:paraId="30F296FF" w14:textId="77777777" w:rsidR="002A4DDF" w:rsidRPr="00937C8B" w:rsidRDefault="002A4DDF" w:rsidP="009110ED">
            <w:pPr>
              <w:rPr>
                <w:rFonts w:ascii="Arial" w:hAnsi="Arial" w:cs="Arial"/>
                <w:sz w:val="12"/>
                <w:szCs w:val="12"/>
              </w:rPr>
            </w:pPr>
          </w:p>
        </w:tc>
        <w:tc>
          <w:tcPr>
            <w:tcW w:w="1843" w:type="dxa"/>
            <w:shd w:val="clear" w:color="auto" w:fill="auto"/>
          </w:tcPr>
          <w:p w14:paraId="659777C5" w14:textId="77777777" w:rsidR="002A4DDF" w:rsidRPr="00937C8B" w:rsidRDefault="002A4DDF" w:rsidP="009110ED">
            <w:pPr>
              <w:rPr>
                <w:rFonts w:ascii="Arial" w:hAnsi="Arial" w:cs="Arial"/>
                <w:sz w:val="12"/>
                <w:szCs w:val="12"/>
              </w:rPr>
            </w:pPr>
          </w:p>
        </w:tc>
        <w:tc>
          <w:tcPr>
            <w:tcW w:w="2268" w:type="dxa"/>
            <w:shd w:val="clear" w:color="auto" w:fill="F2F2F2"/>
            <w:hideMark/>
          </w:tcPr>
          <w:p w14:paraId="7EDAB72D" w14:textId="77777777" w:rsidR="002A4DDF" w:rsidRPr="00937C8B" w:rsidRDefault="002A4DDF" w:rsidP="009110ED">
            <w:pPr>
              <w:rPr>
                <w:rFonts w:ascii="Arial" w:hAnsi="Arial" w:cs="Arial"/>
                <w:sz w:val="12"/>
                <w:szCs w:val="12"/>
              </w:rPr>
            </w:pPr>
            <w:r>
              <w:rPr>
                <w:rFonts w:ascii="Arial" w:hAnsi="Arial"/>
                <w:sz w:val="12"/>
                <w:szCs w:val="12"/>
              </w:rPr>
              <w:t>Bertizarana</w:t>
            </w:r>
          </w:p>
        </w:tc>
        <w:tc>
          <w:tcPr>
            <w:tcW w:w="2268" w:type="dxa"/>
            <w:tcBorders>
              <w:right w:val="single" w:sz="4" w:space="0" w:color="auto"/>
            </w:tcBorders>
            <w:shd w:val="clear" w:color="auto" w:fill="D9D9D9"/>
            <w:hideMark/>
          </w:tcPr>
          <w:p w14:paraId="27B227CB" w14:textId="77777777" w:rsidR="002A4DDF" w:rsidRPr="00937C8B" w:rsidRDefault="002A4DDF" w:rsidP="009110ED">
            <w:pPr>
              <w:rPr>
                <w:rFonts w:ascii="Arial" w:hAnsi="Arial" w:cs="Arial"/>
                <w:sz w:val="12"/>
                <w:szCs w:val="12"/>
              </w:rPr>
            </w:pPr>
          </w:p>
        </w:tc>
      </w:tr>
      <w:tr w:rsidR="002A4DDF" w:rsidRPr="00937C8B" w14:paraId="426D78A1" w14:textId="77777777" w:rsidTr="00935676">
        <w:trPr>
          <w:cantSplit/>
        </w:trPr>
        <w:tc>
          <w:tcPr>
            <w:tcW w:w="1696" w:type="dxa"/>
            <w:tcBorders>
              <w:left w:val="single" w:sz="4" w:space="0" w:color="auto"/>
            </w:tcBorders>
            <w:shd w:val="clear" w:color="auto" w:fill="auto"/>
          </w:tcPr>
          <w:p w14:paraId="2F498D3D" w14:textId="77777777" w:rsidR="002A4DDF" w:rsidRPr="00937C8B" w:rsidRDefault="002A4DDF" w:rsidP="009110ED">
            <w:pPr>
              <w:rPr>
                <w:rFonts w:ascii="Arial" w:hAnsi="Arial" w:cs="Arial"/>
                <w:sz w:val="12"/>
                <w:szCs w:val="12"/>
              </w:rPr>
            </w:pPr>
          </w:p>
        </w:tc>
        <w:tc>
          <w:tcPr>
            <w:tcW w:w="1843" w:type="dxa"/>
            <w:shd w:val="clear" w:color="auto" w:fill="auto"/>
          </w:tcPr>
          <w:p w14:paraId="33BC173B" w14:textId="77777777" w:rsidR="002A4DDF" w:rsidRPr="00937C8B" w:rsidRDefault="002A4DDF" w:rsidP="009110ED">
            <w:pPr>
              <w:rPr>
                <w:rFonts w:ascii="Arial" w:hAnsi="Arial" w:cs="Arial"/>
                <w:sz w:val="12"/>
                <w:szCs w:val="12"/>
              </w:rPr>
            </w:pPr>
          </w:p>
        </w:tc>
        <w:tc>
          <w:tcPr>
            <w:tcW w:w="2268" w:type="dxa"/>
            <w:shd w:val="clear" w:color="auto" w:fill="F2F2F2"/>
            <w:hideMark/>
          </w:tcPr>
          <w:p w14:paraId="51D40381" w14:textId="77777777" w:rsidR="002A4DDF" w:rsidRPr="00937C8B" w:rsidRDefault="002A4DDF" w:rsidP="009110ED">
            <w:pPr>
              <w:rPr>
                <w:rFonts w:ascii="Arial" w:hAnsi="Arial" w:cs="Arial"/>
                <w:sz w:val="12"/>
                <w:szCs w:val="12"/>
              </w:rPr>
            </w:pPr>
            <w:r>
              <w:rPr>
                <w:rFonts w:ascii="Arial" w:hAnsi="Arial"/>
                <w:sz w:val="12"/>
                <w:szCs w:val="12"/>
              </w:rPr>
              <w:t>Cadreita</w:t>
            </w:r>
          </w:p>
        </w:tc>
        <w:tc>
          <w:tcPr>
            <w:tcW w:w="2268" w:type="dxa"/>
            <w:tcBorders>
              <w:right w:val="single" w:sz="4" w:space="0" w:color="auto"/>
            </w:tcBorders>
            <w:shd w:val="clear" w:color="auto" w:fill="D9D9D9"/>
            <w:hideMark/>
          </w:tcPr>
          <w:p w14:paraId="4D975A3B" w14:textId="77777777" w:rsidR="002A4DDF" w:rsidRPr="00937C8B" w:rsidRDefault="002A4DDF" w:rsidP="009110ED">
            <w:pPr>
              <w:rPr>
                <w:rFonts w:ascii="Arial" w:hAnsi="Arial" w:cs="Arial"/>
                <w:sz w:val="12"/>
                <w:szCs w:val="12"/>
              </w:rPr>
            </w:pPr>
          </w:p>
        </w:tc>
      </w:tr>
      <w:tr w:rsidR="002A4DDF" w:rsidRPr="00937C8B" w14:paraId="678474CB" w14:textId="77777777" w:rsidTr="00935676">
        <w:trPr>
          <w:cantSplit/>
        </w:trPr>
        <w:tc>
          <w:tcPr>
            <w:tcW w:w="1696" w:type="dxa"/>
            <w:tcBorders>
              <w:left w:val="single" w:sz="4" w:space="0" w:color="auto"/>
            </w:tcBorders>
            <w:shd w:val="clear" w:color="auto" w:fill="auto"/>
          </w:tcPr>
          <w:p w14:paraId="7CB9813E" w14:textId="77777777" w:rsidR="002A4DDF" w:rsidRPr="00937C8B" w:rsidRDefault="002A4DDF" w:rsidP="009110ED">
            <w:pPr>
              <w:rPr>
                <w:rFonts w:ascii="Arial" w:hAnsi="Arial" w:cs="Arial"/>
                <w:sz w:val="12"/>
                <w:szCs w:val="12"/>
              </w:rPr>
            </w:pPr>
          </w:p>
        </w:tc>
        <w:tc>
          <w:tcPr>
            <w:tcW w:w="1843" w:type="dxa"/>
            <w:shd w:val="clear" w:color="auto" w:fill="auto"/>
          </w:tcPr>
          <w:p w14:paraId="73A00FAC" w14:textId="77777777" w:rsidR="002A4DDF" w:rsidRPr="00937C8B" w:rsidRDefault="002A4DDF" w:rsidP="009110ED">
            <w:pPr>
              <w:rPr>
                <w:rFonts w:ascii="Arial" w:hAnsi="Arial" w:cs="Arial"/>
                <w:sz w:val="12"/>
                <w:szCs w:val="12"/>
              </w:rPr>
            </w:pPr>
          </w:p>
        </w:tc>
        <w:tc>
          <w:tcPr>
            <w:tcW w:w="2268" w:type="dxa"/>
            <w:shd w:val="clear" w:color="auto" w:fill="F2F2F2"/>
            <w:hideMark/>
          </w:tcPr>
          <w:p w14:paraId="5E8625E7" w14:textId="77777777" w:rsidR="002A4DDF" w:rsidRPr="00937C8B" w:rsidRDefault="002A4DDF" w:rsidP="009110ED">
            <w:pPr>
              <w:rPr>
                <w:rFonts w:ascii="Arial" w:hAnsi="Arial" w:cs="Arial"/>
                <w:sz w:val="12"/>
                <w:szCs w:val="12"/>
              </w:rPr>
            </w:pPr>
            <w:r>
              <w:rPr>
                <w:rFonts w:ascii="Arial" w:hAnsi="Arial"/>
                <w:sz w:val="12"/>
                <w:szCs w:val="12"/>
              </w:rPr>
              <w:t>Castejón</w:t>
            </w:r>
          </w:p>
        </w:tc>
        <w:tc>
          <w:tcPr>
            <w:tcW w:w="2268" w:type="dxa"/>
            <w:tcBorders>
              <w:right w:val="single" w:sz="4" w:space="0" w:color="auto"/>
            </w:tcBorders>
            <w:shd w:val="clear" w:color="auto" w:fill="D9D9D9"/>
            <w:hideMark/>
          </w:tcPr>
          <w:p w14:paraId="5B6908D3" w14:textId="77777777" w:rsidR="002A4DDF" w:rsidRPr="00937C8B" w:rsidRDefault="002A4DDF" w:rsidP="009110ED">
            <w:pPr>
              <w:rPr>
                <w:rFonts w:ascii="Arial" w:hAnsi="Arial" w:cs="Arial"/>
                <w:sz w:val="12"/>
                <w:szCs w:val="12"/>
              </w:rPr>
            </w:pPr>
          </w:p>
        </w:tc>
      </w:tr>
      <w:tr w:rsidR="002A4DDF" w:rsidRPr="00937C8B" w14:paraId="21AAA54D" w14:textId="77777777" w:rsidTr="00935676">
        <w:trPr>
          <w:cantSplit/>
        </w:trPr>
        <w:tc>
          <w:tcPr>
            <w:tcW w:w="1696" w:type="dxa"/>
            <w:tcBorders>
              <w:left w:val="single" w:sz="4" w:space="0" w:color="auto"/>
            </w:tcBorders>
            <w:shd w:val="clear" w:color="auto" w:fill="auto"/>
          </w:tcPr>
          <w:p w14:paraId="5F819065" w14:textId="77777777" w:rsidR="002A4DDF" w:rsidRPr="00937C8B" w:rsidRDefault="002A4DDF" w:rsidP="009110ED">
            <w:pPr>
              <w:rPr>
                <w:rFonts w:ascii="Arial" w:hAnsi="Arial" w:cs="Arial"/>
                <w:sz w:val="12"/>
                <w:szCs w:val="12"/>
              </w:rPr>
            </w:pPr>
          </w:p>
        </w:tc>
        <w:tc>
          <w:tcPr>
            <w:tcW w:w="1843" w:type="dxa"/>
            <w:shd w:val="clear" w:color="auto" w:fill="auto"/>
          </w:tcPr>
          <w:p w14:paraId="088D6E2D" w14:textId="77777777" w:rsidR="002A4DDF" w:rsidRPr="00937C8B" w:rsidRDefault="002A4DDF" w:rsidP="009110ED">
            <w:pPr>
              <w:rPr>
                <w:rFonts w:ascii="Arial" w:hAnsi="Arial" w:cs="Arial"/>
                <w:sz w:val="12"/>
                <w:szCs w:val="12"/>
              </w:rPr>
            </w:pPr>
          </w:p>
        </w:tc>
        <w:tc>
          <w:tcPr>
            <w:tcW w:w="2268" w:type="dxa"/>
            <w:shd w:val="clear" w:color="auto" w:fill="F2F2F2"/>
            <w:hideMark/>
          </w:tcPr>
          <w:p w14:paraId="34C87503" w14:textId="77777777" w:rsidR="002A4DDF" w:rsidRPr="00937C8B" w:rsidRDefault="002A4DDF" w:rsidP="009110ED">
            <w:pPr>
              <w:rPr>
                <w:rFonts w:ascii="Arial" w:hAnsi="Arial" w:cs="Arial"/>
                <w:sz w:val="12"/>
                <w:szCs w:val="12"/>
              </w:rPr>
            </w:pPr>
            <w:r>
              <w:rPr>
                <w:rFonts w:ascii="Arial" w:hAnsi="Arial"/>
                <w:sz w:val="12"/>
                <w:szCs w:val="12"/>
              </w:rPr>
              <w:t>Cintruénigo</w:t>
            </w:r>
          </w:p>
        </w:tc>
        <w:tc>
          <w:tcPr>
            <w:tcW w:w="2268" w:type="dxa"/>
            <w:tcBorders>
              <w:right w:val="single" w:sz="4" w:space="0" w:color="auto"/>
            </w:tcBorders>
            <w:shd w:val="clear" w:color="auto" w:fill="D9D9D9"/>
            <w:hideMark/>
          </w:tcPr>
          <w:p w14:paraId="093DC491" w14:textId="77777777" w:rsidR="002A4DDF" w:rsidRPr="00937C8B" w:rsidRDefault="002A4DDF" w:rsidP="009110ED">
            <w:pPr>
              <w:rPr>
                <w:rFonts w:ascii="Arial" w:hAnsi="Arial" w:cs="Arial"/>
                <w:sz w:val="12"/>
                <w:szCs w:val="12"/>
              </w:rPr>
            </w:pPr>
          </w:p>
        </w:tc>
      </w:tr>
      <w:tr w:rsidR="002A4DDF" w:rsidRPr="00937C8B" w14:paraId="55B1B12E" w14:textId="77777777" w:rsidTr="00935676">
        <w:trPr>
          <w:cantSplit/>
        </w:trPr>
        <w:tc>
          <w:tcPr>
            <w:tcW w:w="1696" w:type="dxa"/>
            <w:tcBorders>
              <w:left w:val="single" w:sz="4" w:space="0" w:color="auto"/>
            </w:tcBorders>
            <w:shd w:val="clear" w:color="auto" w:fill="auto"/>
          </w:tcPr>
          <w:p w14:paraId="2A943E69" w14:textId="77777777" w:rsidR="002A4DDF" w:rsidRPr="00937C8B" w:rsidRDefault="002A4DDF" w:rsidP="009110ED">
            <w:pPr>
              <w:rPr>
                <w:rFonts w:ascii="Arial" w:hAnsi="Arial" w:cs="Arial"/>
                <w:sz w:val="12"/>
                <w:szCs w:val="12"/>
              </w:rPr>
            </w:pPr>
          </w:p>
        </w:tc>
        <w:tc>
          <w:tcPr>
            <w:tcW w:w="1843" w:type="dxa"/>
            <w:shd w:val="clear" w:color="auto" w:fill="auto"/>
          </w:tcPr>
          <w:p w14:paraId="142B07E8" w14:textId="77777777" w:rsidR="002A4DDF" w:rsidRPr="00937C8B" w:rsidRDefault="002A4DDF" w:rsidP="009110ED">
            <w:pPr>
              <w:rPr>
                <w:rFonts w:ascii="Arial" w:hAnsi="Arial" w:cs="Arial"/>
                <w:sz w:val="12"/>
                <w:szCs w:val="12"/>
              </w:rPr>
            </w:pPr>
          </w:p>
        </w:tc>
        <w:tc>
          <w:tcPr>
            <w:tcW w:w="2268" w:type="dxa"/>
            <w:shd w:val="clear" w:color="auto" w:fill="F2F2F2"/>
            <w:hideMark/>
          </w:tcPr>
          <w:p w14:paraId="51DB06E1" w14:textId="77777777" w:rsidR="002A4DDF" w:rsidRPr="00937C8B" w:rsidRDefault="002A4DDF" w:rsidP="009110ED">
            <w:pPr>
              <w:rPr>
                <w:rFonts w:ascii="Arial" w:hAnsi="Arial" w:cs="Arial"/>
                <w:sz w:val="12"/>
                <w:szCs w:val="12"/>
              </w:rPr>
            </w:pPr>
            <w:r>
              <w:rPr>
                <w:rFonts w:ascii="Arial" w:hAnsi="Arial"/>
                <w:sz w:val="12"/>
                <w:szCs w:val="12"/>
              </w:rPr>
              <w:t>Corella</w:t>
            </w:r>
          </w:p>
        </w:tc>
        <w:tc>
          <w:tcPr>
            <w:tcW w:w="2268" w:type="dxa"/>
            <w:tcBorders>
              <w:right w:val="single" w:sz="4" w:space="0" w:color="auto"/>
            </w:tcBorders>
            <w:shd w:val="clear" w:color="auto" w:fill="D9D9D9"/>
            <w:hideMark/>
          </w:tcPr>
          <w:p w14:paraId="5AA3B709" w14:textId="77777777" w:rsidR="002A4DDF" w:rsidRPr="00937C8B" w:rsidRDefault="002A4DDF" w:rsidP="009110ED">
            <w:pPr>
              <w:rPr>
                <w:rFonts w:ascii="Arial" w:hAnsi="Arial" w:cs="Arial"/>
                <w:sz w:val="12"/>
                <w:szCs w:val="12"/>
              </w:rPr>
            </w:pPr>
          </w:p>
        </w:tc>
      </w:tr>
      <w:tr w:rsidR="002A4DDF" w:rsidRPr="00937C8B" w14:paraId="3A1F6C17" w14:textId="77777777" w:rsidTr="00935676">
        <w:trPr>
          <w:cantSplit/>
        </w:trPr>
        <w:tc>
          <w:tcPr>
            <w:tcW w:w="1696" w:type="dxa"/>
            <w:tcBorders>
              <w:left w:val="single" w:sz="4" w:space="0" w:color="auto"/>
            </w:tcBorders>
            <w:shd w:val="clear" w:color="auto" w:fill="auto"/>
          </w:tcPr>
          <w:p w14:paraId="1CE7148B" w14:textId="77777777" w:rsidR="002A4DDF" w:rsidRPr="00937C8B" w:rsidRDefault="002A4DDF" w:rsidP="009110ED">
            <w:pPr>
              <w:rPr>
                <w:rFonts w:ascii="Arial" w:hAnsi="Arial" w:cs="Arial"/>
                <w:sz w:val="12"/>
                <w:szCs w:val="12"/>
              </w:rPr>
            </w:pPr>
          </w:p>
        </w:tc>
        <w:tc>
          <w:tcPr>
            <w:tcW w:w="1843" w:type="dxa"/>
            <w:shd w:val="clear" w:color="auto" w:fill="auto"/>
          </w:tcPr>
          <w:p w14:paraId="680BE260" w14:textId="77777777" w:rsidR="002A4DDF" w:rsidRPr="00937C8B" w:rsidRDefault="002A4DDF" w:rsidP="009110ED">
            <w:pPr>
              <w:rPr>
                <w:rFonts w:ascii="Arial" w:hAnsi="Arial" w:cs="Arial"/>
                <w:sz w:val="12"/>
                <w:szCs w:val="12"/>
              </w:rPr>
            </w:pPr>
          </w:p>
        </w:tc>
        <w:tc>
          <w:tcPr>
            <w:tcW w:w="2268" w:type="dxa"/>
            <w:shd w:val="clear" w:color="auto" w:fill="F2F2F2"/>
            <w:hideMark/>
          </w:tcPr>
          <w:p w14:paraId="2AF85A76" w14:textId="77777777" w:rsidR="002A4DDF" w:rsidRPr="00937C8B" w:rsidRDefault="002A4DDF" w:rsidP="009110ED">
            <w:pPr>
              <w:rPr>
                <w:rFonts w:ascii="Arial" w:hAnsi="Arial" w:cs="Arial"/>
                <w:sz w:val="12"/>
                <w:szCs w:val="12"/>
              </w:rPr>
            </w:pPr>
            <w:r>
              <w:rPr>
                <w:rFonts w:ascii="Arial" w:hAnsi="Arial"/>
                <w:sz w:val="12"/>
                <w:szCs w:val="12"/>
              </w:rPr>
              <w:t>Desojo</w:t>
            </w:r>
          </w:p>
        </w:tc>
        <w:tc>
          <w:tcPr>
            <w:tcW w:w="2268" w:type="dxa"/>
            <w:tcBorders>
              <w:right w:val="single" w:sz="4" w:space="0" w:color="auto"/>
            </w:tcBorders>
            <w:shd w:val="clear" w:color="auto" w:fill="D9D9D9"/>
            <w:hideMark/>
          </w:tcPr>
          <w:p w14:paraId="14B335B0" w14:textId="77777777" w:rsidR="002A4DDF" w:rsidRPr="00937C8B" w:rsidRDefault="002A4DDF" w:rsidP="009110ED">
            <w:pPr>
              <w:rPr>
                <w:rFonts w:ascii="Arial" w:hAnsi="Arial" w:cs="Arial"/>
                <w:sz w:val="12"/>
                <w:szCs w:val="12"/>
              </w:rPr>
            </w:pPr>
          </w:p>
        </w:tc>
      </w:tr>
      <w:tr w:rsidR="002A4DDF" w:rsidRPr="00937C8B" w14:paraId="56A18992" w14:textId="77777777" w:rsidTr="00935676">
        <w:trPr>
          <w:cantSplit/>
        </w:trPr>
        <w:tc>
          <w:tcPr>
            <w:tcW w:w="1696" w:type="dxa"/>
            <w:tcBorders>
              <w:left w:val="single" w:sz="4" w:space="0" w:color="auto"/>
            </w:tcBorders>
            <w:shd w:val="clear" w:color="auto" w:fill="auto"/>
          </w:tcPr>
          <w:p w14:paraId="62828F50" w14:textId="77777777" w:rsidR="002A4DDF" w:rsidRPr="00937C8B" w:rsidRDefault="002A4DDF" w:rsidP="009110ED">
            <w:pPr>
              <w:rPr>
                <w:rFonts w:ascii="Arial" w:hAnsi="Arial" w:cs="Arial"/>
                <w:sz w:val="12"/>
                <w:szCs w:val="12"/>
              </w:rPr>
            </w:pPr>
          </w:p>
        </w:tc>
        <w:tc>
          <w:tcPr>
            <w:tcW w:w="1843" w:type="dxa"/>
            <w:shd w:val="clear" w:color="auto" w:fill="auto"/>
          </w:tcPr>
          <w:p w14:paraId="45C0CB8D" w14:textId="77777777" w:rsidR="002A4DDF" w:rsidRPr="00937C8B" w:rsidRDefault="002A4DDF" w:rsidP="009110ED">
            <w:pPr>
              <w:rPr>
                <w:rFonts w:ascii="Arial" w:hAnsi="Arial" w:cs="Arial"/>
                <w:sz w:val="12"/>
                <w:szCs w:val="12"/>
              </w:rPr>
            </w:pPr>
          </w:p>
        </w:tc>
        <w:tc>
          <w:tcPr>
            <w:tcW w:w="2268" w:type="dxa"/>
            <w:shd w:val="clear" w:color="auto" w:fill="F2F2F2"/>
            <w:hideMark/>
          </w:tcPr>
          <w:p w14:paraId="104DB1BF" w14:textId="77777777" w:rsidR="002A4DDF" w:rsidRPr="00937C8B" w:rsidRDefault="002A4DDF" w:rsidP="009110ED">
            <w:pPr>
              <w:rPr>
                <w:rFonts w:ascii="Arial" w:hAnsi="Arial" w:cs="Arial"/>
                <w:sz w:val="12"/>
                <w:szCs w:val="12"/>
              </w:rPr>
            </w:pPr>
            <w:r>
              <w:rPr>
                <w:rFonts w:ascii="Arial" w:hAnsi="Arial"/>
                <w:sz w:val="12"/>
                <w:szCs w:val="12"/>
              </w:rPr>
              <w:t>Donamaria</w:t>
            </w:r>
          </w:p>
        </w:tc>
        <w:tc>
          <w:tcPr>
            <w:tcW w:w="2268" w:type="dxa"/>
            <w:tcBorders>
              <w:right w:val="single" w:sz="4" w:space="0" w:color="auto"/>
            </w:tcBorders>
            <w:shd w:val="clear" w:color="auto" w:fill="D9D9D9"/>
            <w:hideMark/>
          </w:tcPr>
          <w:p w14:paraId="0FA8B7D8" w14:textId="77777777" w:rsidR="002A4DDF" w:rsidRPr="00937C8B" w:rsidRDefault="002A4DDF" w:rsidP="009110ED">
            <w:pPr>
              <w:rPr>
                <w:rFonts w:ascii="Arial" w:hAnsi="Arial" w:cs="Arial"/>
                <w:sz w:val="12"/>
                <w:szCs w:val="12"/>
              </w:rPr>
            </w:pPr>
          </w:p>
        </w:tc>
      </w:tr>
      <w:tr w:rsidR="002A4DDF" w:rsidRPr="00937C8B" w14:paraId="38EF6641" w14:textId="77777777" w:rsidTr="00935676">
        <w:trPr>
          <w:cantSplit/>
        </w:trPr>
        <w:tc>
          <w:tcPr>
            <w:tcW w:w="1696" w:type="dxa"/>
            <w:tcBorders>
              <w:left w:val="single" w:sz="4" w:space="0" w:color="auto"/>
            </w:tcBorders>
            <w:shd w:val="clear" w:color="auto" w:fill="auto"/>
          </w:tcPr>
          <w:p w14:paraId="0E279769" w14:textId="77777777" w:rsidR="002A4DDF" w:rsidRPr="00937C8B" w:rsidRDefault="002A4DDF" w:rsidP="009110ED">
            <w:pPr>
              <w:rPr>
                <w:rFonts w:ascii="Arial" w:hAnsi="Arial" w:cs="Arial"/>
                <w:sz w:val="12"/>
                <w:szCs w:val="12"/>
              </w:rPr>
            </w:pPr>
          </w:p>
        </w:tc>
        <w:tc>
          <w:tcPr>
            <w:tcW w:w="1843" w:type="dxa"/>
            <w:shd w:val="clear" w:color="auto" w:fill="auto"/>
          </w:tcPr>
          <w:p w14:paraId="1FE843CE" w14:textId="77777777" w:rsidR="002A4DDF" w:rsidRPr="00937C8B" w:rsidRDefault="002A4DDF" w:rsidP="009110ED">
            <w:pPr>
              <w:rPr>
                <w:rFonts w:ascii="Arial" w:hAnsi="Arial" w:cs="Arial"/>
                <w:sz w:val="12"/>
                <w:szCs w:val="12"/>
              </w:rPr>
            </w:pPr>
          </w:p>
        </w:tc>
        <w:tc>
          <w:tcPr>
            <w:tcW w:w="2268" w:type="dxa"/>
            <w:shd w:val="clear" w:color="auto" w:fill="F2F2F2"/>
            <w:hideMark/>
          </w:tcPr>
          <w:p w14:paraId="2C7DF334" w14:textId="77777777" w:rsidR="002A4DDF" w:rsidRPr="00937C8B" w:rsidRDefault="002A4DDF" w:rsidP="009110ED">
            <w:pPr>
              <w:rPr>
                <w:rFonts w:ascii="Arial" w:hAnsi="Arial" w:cs="Arial"/>
                <w:sz w:val="12"/>
                <w:szCs w:val="12"/>
              </w:rPr>
            </w:pPr>
            <w:r>
              <w:rPr>
                <w:rFonts w:ascii="Arial" w:hAnsi="Arial"/>
                <w:sz w:val="12"/>
                <w:szCs w:val="12"/>
              </w:rPr>
              <w:t>Doneztebe/Santesteban</w:t>
            </w:r>
          </w:p>
        </w:tc>
        <w:tc>
          <w:tcPr>
            <w:tcW w:w="2268" w:type="dxa"/>
            <w:tcBorders>
              <w:right w:val="single" w:sz="4" w:space="0" w:color="auto"/>
            </w:tcBorders>
            <w:shd w:val="clear" w:color="auto" w:fill="D9D9D9"/>
            <w:hideMark/>
          </w:tcPr>
          <w:p w14:paraId="76E7E2A9" w14:textId="77777777" w:rsidR="002A4DDF" w:rsidRPr="00937C8B" w:rsidRDefault="002A4DDF" w:rsidP="009110ED">
            <w:pPr>
              <w:rPr>
                <w:rFonts w:ascii="Arial" w:hAnsi="Arial" w:cs="Arial"/>
                <w:sz w:val="12"/>
                <w:szCs w:val="12"/>
              </w:rPr>
            </w:pPr>
          </w:p>
        </w:tc>
      </w:tr>
      <w:tr w:rsidR="002A4DDF" w:rsidRPr="00937C8B" w14:paraId="0DFA0231" w14:textId="77777777" w:rsidTr="00935676">
        <w:trPr>
          <w:cantSplit/>
        </w:trPr>
        <w:tc>
          <w:tcPr>
            <w:tcW w:w="1696" w:type="dxa"/>
            <w:tcBorders>
              <w:left w:val="single" w:sz="4" w:space="0" w:color="auto"/>
            </w:tcBorders>
            <w:shd w:val="clear" w:color="auto" w:fill="auto"/>
          </w:tcPr>
          <w:p w14:paraId="5332A500" w14:textId="77777777" w:rsidR="002A4DDF" w:rsidRPr="00937C8B" w:rsidRDefault="002A4DDF" w:rsidP="009110ED">
            <w:pPr>
              <w:rPr>
                <w:rFonts w:ascii="Arial" w:hAnsi="Arial" w:cs="Arial"/>
                <w:sz w:val="12"/>
                <w:szCs w:val="12"/>
              </w:rPr>
            </w:pPr>
          </w:p>
        </w:tc>
        <w:tc>
          <w:tcPr>
            <w:tcW w:w="1843" w:type="dxa"/>
            <w:shd w:val="clear" w:color="auto" w:fill="auto"/>
          </w:tcPr>
          <w:p w14:paraId="58F0E596" w14:textId="77777777" w:rsidR="002A4DDF" w:rsidRPr="00937C8B" w:rsidRDefault="002A4DDF" w:rsidP="009110ED">
            <w:pPr>
              <w:rPr>
                <w:rFonts w:ascii="Arial" w:hAnsi="Arial" w:cs="Arial"/>
                <w:sz w:val="12"/>
                <w:szCs w:val="12"/>
              </w:rPr>
            </w:pPr>
          </w:p>
        </w:tc>
        <w:tc>
          <w:tcPr>
            <w:tcW w:w="2268" w:type="dxa"/>
            <w:shd w:val="clear" w:color="auto" w:fill="F2F2F2"/>
            <w:hideMark/>
          </w:tcPr>
          <w:p w14:paraId="2CA49D9C" w14:textId="77777777" w:rsidR="002A4DDF" w:rsidRPr="00937C8B" w:rsidRDefault="002A4DDF" w:rsidP="009110ED">
            <w:pPr>
              <w:rPr>
                <w:rFonts w:ascii="Arial" w:hAnsi="Arial" w:cs="Arial"/>
                <w:sz w:val="12"/>
                <w:szCs w:val="12"/>
              </w:rPr>
            </w:pPr>
            <w:r>
              <w:rPr>
                <w:rFonts w:ascii="Arial" w:hAnsi="Arial"/>
                <w:sz w:val="12"/>
                <w:szCs w:val="12"/>
              </w:rPr>
              <w:t>El Busto</w:t>
            </w:r>
          </w:p>
        </w:tc>
        <w:tc>
          <w:tcPr>
            <w:tcW w:w="2268" w:type="dxa"/>
            <w:tcBorders>
              <w:right w:val="single" w:sz="4" w:space="0" w:color="auto"/>
            </w:tcBorders>
            <w:shd w:val="clear" w:color="auto" w:fill="D9D9D9"/>
            <w:hideMark/>
          </w:tcPr>
          <w:p w14:paraId="423F35A6" w14:textId="77777777" w:rsidR="002A4DDF" w:rsidRPr="00937C8B" w:rsidRDefault="002A4DDF" w:rsidP="009110ED">
            <w:pPr>
              <w:rPr>
                <w:rFonts w:ascii="Arial" w:hAnsi="Arial" w:cs="Arial"/>
                <w:sz w:val="12"/>
                <w:szCs w:val="12"/>
              </w:rPr>
            </w:pPr>
          </w:p>
        </w:tc>
      </w:tr>
      <w:tr w:rsidR="002A4DDF" w:rsidRPr="00937C8B" w14:paraId="0FF0F335" w14:textId="77777777" w:rsidTr="00935676">
        <w:trPr>
          <w:cantSplit/>
        </w:trPr>
        <w:tc>
          <w:tcPr>
            <w:tcW w:w="1696" w:type="dxa"/>
            <w:tcBorders>
              <w:left w:val="single" w:sz="4" w:space="0" w:color="auto"/>
            </w:tcBorders>
            <w:shd w:val="clear" w:color="auto" w:fill="auto"/>
          </w:tcPr>
          <w:p w14:paraId="4B32BFF5" w14:textId="77777777" w:rsidR="002A4DDF" w:rsidRPr="00937C8B" w:rsidRDefault="002A4DDF" w:rsidP="009110ED">
            <w:pPr>
              <w:rPr>
                <w:rFonts w:ascii="Arial" w:hAnsi="Arial" w:cs="Arial"/>
                <w:sz w:val="12"/>
                <w:szCs w:val="12"/>
              </w:rPr>
            </w:pPr>
          </w:p>
        </w:tc>
        <w:tc>
          <w:tcPr>
            <w:tcW w:w="1843" w:type="dxa"/>
            <w:shd w:val="clear" w:color="auto" w:fill="auto"/>
          </w:tcPr>
          <w:p w14:paraId="74FAEFA5" w14:textId="77777777" w:rsidR="002A4DDF" w:rsidRPr="00937C8B" w:rsidRDefault="002A4DDF" w:rsidP="009110ED">
            <w:pPr>
              <w:rPr>
                <w:rFonts w:ascii="Arial" w:hAnsi="Arial" w:cs="Arial"/>
                <w:sz w:val="12"/>
                <w:szCs w:val="12"/>
              </w:rPr>
            </w:pPr>
          </w:p>
        </w:tc>
        <w:tc>
          <w:tcPr>
            <w:tcW w:w="2268" w:type="dxa"/>
            <w:shd w:val="clear" w:color="auto" w:fill="F2F2F2"/>
            <w:hideMark/>
          </w:tcPr>
          <w:p w14:paraId="59C87E62" w14:textId="77777777" w:rsidR="002A4DDF" w:rsidRPr="00937C8B" w:rsidRDefault="002A4DDF" w:rsidP="009110ED">
            <w:pPr>
              <w:rPr>
                <w:rFonts w:ascii="Arial" w:hAnsi="Arial" w:cs="Arial"/>
                <w:sz w:val="12"/>
                <w:szCs w:val="12"/>
              </w:rPr>
            </w:pPr>
            <w:r>
              <w:rPr>
                <w:rFonts w:ascii="Arial" w:hAnsi="Arial"/>
                <w:sz w:val="12"/>
                <w:szCs w:val="12"/>
              </w:rPr>
              <w:t>Elgorriaga</w:t>
            </w:r>
          </w:p>
        </w:tc>
        <w:tc>
          <w:tcPr>
            <w:tcW w:w="2268" w:type="dxa"/>
            <w:tcBorders>
              <w:right w:val="single" w:sz="4" w:space="0" w:color="auto"/>
            </w:tcBorders>
            <w:shd w:val="clear" w:color="auto" w:fill="D9D9D9"/>
            <w:hideMark/>
          </w:tcPr>
          <w:p w14:paraId="7BA54FBD" w14:textId="77777777" w:rsidR="002A4DDF" w:rsidRPr="00937C8B" w:rsidRDefault="002A4DDF" w:rsidP="009110ED">
            <w:pPr>
              <w:rPr>
                <w:rFonts w:ascii="Arial" w:hAnsi="Arial" w:cs="Arial"/>
                <w:sz w:val="12"/>
                <w:szCs w:val="12"/>
              </w:rPr>
            </w:pPr>
          </w:p>
        </w:tc>
      </w:tr>
      <w:tr w:rsidR="002A4DDF" w:rsidRPr="00937C8B" w14:paraId="5ACD49A3" w14:textId="77777777" w:rsidTr="00935676">
        <w:trPr>
          <w:cantSplit/>
        </w:trPr>
        <w:tc>
          <w:tcPr>
            <w:tcW w:w="1696" w:type="dxa"/>
            <w:tcBorders>
              <w:left w:val="single" w:sz="4" w:space="0" w:color="auto"/>
            </w:tcBorders>
            <w:shd w:val="clear" w:color="auto" w:fill="auto"/>
          </w:tcPr>
          <w:p w14:paraId="29AF0150" w14:textId="77777777" w:rsidR="002A4DDF" w:rsidRPr="00937C8B" w:rsidRDefault="002A4DDF" w:rsidP="009110ED">
            <w:pPr>
              <w:rPr>
                <w:rFonts w:ascii="Arial" w:hAnsi="Arial" w:cs="Arial"/>
                <w:sz w:val="12"/>
                <w:szCs w:val="12"/>
              </w:rPr>
            </w:pPr>
          </w:p>
        </w:tc>
        <w:tc>
          <w:tcPr>
            <w:tcW w:w="1843" w:type="dxa"/>
            <w:shd w:val="clear" w:color="auto" w:fill="auto"/>
          </w:tcPr>
          <w:p w14:paraId="39D2115C" w14:textId="77777777" w:rsidR="002A4DDF" w:rsidRPr="00937C8B" w:rsidRDefault="002A4DDF" w:rsidP="009110ED">
            <w:pPr>
              <w:rPr>
                <w:rFonts w:ascii="Arial" w:hAnsi="Arial" w:cs="Arial"/>
                <w:sz w:val="12"/>
                <w:szCs w:val="12"/>
              </w:rPr>
            </w:pPr>
          </w:p>
        </w:tc>
        <w:tc>
          <w:tcPr>
            <w:tcW w:w="2268" w:type="dxa"/>
            <w:shd w:val="clear" w:color="auto" w:fill="F2F2F2"/>
            <w:hideMark/>
          </w:tcPr>
          <w:p w14:paraId="4AF0D235" w14:textId="77777777" w:rsidR="002A4DDF" w:rsidRPr="00937C8B" w:rsidRDefault="002A4DDF" w:rsidP="009110ED">
            <w:pPr>
              <w:rPr>
                <w:rFonts w:ascii="Arial" w:hAnsi="Arial" w:cs="Arial"/>
                <w:sz w:val="12"/>
                <w:szCs w:val="12"/>
              </w:rPr>
            </w:pPr>
            <w:r>
              <w:rPr>
                <w:rFonts w:ascii="Arial" w:hAnsi="Arial"/>
                <w:sz w:val="12"/>
                <w:szCs w:val="12"/>
              </w:rPr>
              <w:t>Eratsun</w:t>
            </w:r>
          </w:p>
        </w:tc>
        <w:tc>
          <w:tcPr>
            <w:tcW w:w="2268" w:type="dxa"/>
            <w:tcBorders>
              <w:right w:val="single" w:sz="4" w:space="0" w:color="auto"/>
            </w:tcBorders>
            <w:shd w:val="clear" w:color="auto" w:fill="D9D9D9"/>
            <w:hideMark/>
          </w:tcPr>
          <w:p w14:paraId="13BD28A7" w14:textId="77777777" w:rsidR="002A4DDF" w:rsidRPr="00937C8B" w:rsidRDefault="002A4DDF" w:rsidP="009110ED">
            <w:pPr>
              <w:rPr>
                <w:rFonts w:ascii="Arial" w:hAnsi="Arial" w:cs="Arial"/>
                <w:sz w:val="12"/>
                <w:szCs w:val="12"/>
              </w:rPr>
            </w:pPr>
          </w:p>
        </w:tc>
      </w:tr>
      <w:tr w:rsidR="002A4DDF" w:rsidRPr="00937C8B" w14:paraId="4C0D7FE8" w14:textId="77777777" w:rsidTr="00935676">
        <w:trPr>
          <w:cantSplit/>
        </w:trPr>
        <w:tc>
          <w:tcPr>
            <w:tcW w:w="1696" w:type="dxa"/>
            <w:tcBorders>
              <w:left w:val="single" w:sz="4" w:space="0" w:color="auto"/>
            </w:tcBorders>
            <w:shd w:val="clear" w:color="auto" w:fill="auto"/>
          </w:tcPr>
          <w:p w14:paraId="108ECA2F" w14:textId="77777777" w:rsidR="002A4DDF" w:rsidRPr="00937C8B" w:rsidRDefault="002A4DDF" w:rsidP="009110ED">
            <w:pPr>
              <w:rPr>
                <w:rFonts w:ascii="Arial" w:hAnsi="Arial" w:cs="Arial"/>
                <w:sz w:val="12"/>
                <w:szCs w:val="12"/>
              </w:rPr>
            </w:pPr>
          </w:p>
        </w:tc>
        <w:tc>
          <w:tcPr>
            <w:tcW w:w="1843" w:type="dxa"/>
            <w:shd w:val="clear" w:color="auto" w:fill="auto"/>
          </w:tcPr>
          <w:p w14:paraId="50EF29FD" w14:textId="77777777" w:rsidR="002A4DDF" w:rsidRPr="00937C8B" w:rsidRDefault="002A4DDF" w:rsidP="009110ED">
            <w:pPr>
              <w:rPr>
                <w:rFonts w:ascii="Arial" w:hAnsi="Arial" w:cs="Arial"/>
                <w:sz w:val="12"/>
                <w:szCs w:val="12"/>
              </w:rPr>
            </w:pPr>
          </w:p>
        </w:tc>
        <w:tc>
          <w:tcPr>
            <w:tcW w:w="2268" w:type="dxa"/>
            <w:shd w:val="clear" w:color="auto" w:fill="F2F2F2"/>
            <w:hideMark/>
          </w:tcPr>
          <w:p w14:paraId="022AC29B" w14:textId="77777777" w:rsidR="002A4DDF" w:rsidRPr="00937C8B" w:rsidRDefault="002A4DDF" w:rsidP="009110ED">
            <w:pPr>
              <w:rPr>
                <w:rFonts w:ascii="Arial" w:hAnsi="Arial" w:cs="Arial"/>
                <w:sz w:val="12"/>
                <w:szCs w:val="12"/>
              </w:rPr>
            </w:pPr>
            <w:r>
              <w:rPr>
                <w:rFonts w:ascii="Arial" w:hAnsi="Arial"/>
                <w:sz w:val="12"/>
                <w:szCs w:val="12"/>
              </w:rPr>
              <w:t>Erro</w:t>
            </w:r>
          </w:p>
        </w:tc>
        <w:tc>
          <w:tcPr>
            <w:tcW w:w="2268" w:type="dxa"/>
            <w:tcBorders>
              <w:right w:val="single" w:sz="4" w:space="0" w:color="auto"/>
            </w:tcBorders>
            <w:shd w:val="clear" w:color="auto" w:fill="D9D9D9"/>
            <w:hideMark/>
          </w:tcPr>
          <w:p w14:paraId="3D7852CE" w14:textId="77777777" w:rsidR="002A4DDF" w:rsidRPr="00937C8B" w:rsidRDefault="002A4DDF" w:rsidP="009110ED">
            <w:pPr>
              <w:rPr>
                <w:rFonts w:ascii="Arial" w:hAnsi="Arial" w:cs="Arial"/>
                <w:sz w:val="12"/>
                <w:szCs w:val="12"/>
              </w:rPr>
            </w:pPr>
          </w:p>
        </w:tc>
      </w:tr>
      <w:tr w:rsidR="002A4DDF" w:rsidRPr="00937C8B" w14:paraId="6C8B55B9" w14:textId="77777777" w:rsidTr="00935676">
        <w:trPr>
          <w:cantSplit/>
        </w:trPr>
        <w:tc>
          <w:tcPr>
            <w:tcW w:w="1696" w:type="dxa"/>
            <w:tcBorders>
              <w:left w:val="single" w:sz="4" w:space="0" w:color="auto"/>
            </w:tcBorders>
            <w:shd w:val="clear" w:color="auto" w:fill="auto"/>
          </w:tcPr>
          <w:p w14:paraId="3CF0B44F" w14:textId="77777777" w:rsidR="002A4DDF" w:rsidRPr="00937C8B" w:rsidRDefault="002A4DDF" w:rsidP="009110ED">
            <w:pPr>
              <w:rPr>
                <w:rFonts w:ascii="Arial" w:hAnsi="Arial" w:cs="Arial"/>
                <w:sz w:val="12"/>
                <w:szCs w:val="12"/>
              </w:rPr>
            </w:pPr>
          </w:p>
        </w:tc>
        <w:tc>
          <w:tcPr>
            <w:tcW w:w="1843" w:type="dxa"/>
            <w:shd w:val="clear" w:color="auto" w:fill="auto"/>
          </w:tcPr>
          <w:p w14:paraId="79420A0C" w14:textId="77777777" w:rsidR="002A4DDF" w:rsidRPr="00937C8B" w:rsidRDefault="002A4DDF" w:rsidP="009110ED">
            <w:pPr>
              <w:rPr>
                <w:rFonts w:ascii="Arial" w:hAnsi="Arial" w:cs="Arial"/>
                <w:sz w:val="12"/>
                <w:szCs w:val="12"/>
              </w:rPr>
            </w:pPr>
          </w:p>
        </w:tc>
        <w:tc>
          <w:tcPr>
            <w:tcW w:w="2268" w:type="dxa"/>
            <w:shd w:val="clear" w:color="auto" w:fill="F2F2F2"/>
            <w:hideMark/>
          </w:tcPr>
          <w:p w14:paraId="758855E8" w14:textId="77777777" w:rsidR="002A4DDF" w:rsidRPr="00937C8B" w:rsidRDefault="002A4DDF" w:rsidP="009110ED">
            <w:pPr>
              <w:rPr>
                <w:rFonts w:ascii="Arial" w:hAnsi="Arial" w:cs="Arial"/>
                <w:sz w:val="12"/>
                <w:szCs w:val="12"/>
              </w:rPr>
            </w:pPr>
            <w:r>
              <w:rPr>
                <w:rFonts w:ascii="Arial" w:hAnsi="Arial"/>
                <w:sz w:val="12"/>
                <w:szCs w:val="12"/>
              </w:rPr>
              <w:t>Estella-Lizarra</w:t>
            </w:r>
          </w:p>
        </w:tc>
        <w:tc>
          <w:tcPr>
            <w:tcW w:w="2268" w:type="dxa"/>
            <w:tcBorders>
              <w:right w:val="single" w:sz="4" w:space="0" w:color="auto"/>
            </w:tcBorders>
            <w:shd w:val="clear" w:color="auto" w:fill="D9D9D9"/>
            <w:hideMark/>
          </w:tcPr>
          <w:p w14:paraId="0A54A6B0" w14:textId="77777777" w:rsidR="002A4DDF" w:rsidRPr="00937C8B" w:rsidRDefault="002A4DDF" w:rsidP="009110ED">
            <w:pPr>
              <w:rPr>
                <w:rFonts w:ascii="Arial" w:hAnsi="Arial" w:cs="Arial"/>
                <w:sz w:val="12"/>
                <w:szCs w:val="12"/>
              </w:rPr>
            </w:pPr>
          </w:p>
        </w:tc>
      </w:tr>
      <w:tr w:rsidR="002A4DDF" w:rsidRPr="00937C8B" w14:paraId="3E42D723" w14:textId="77777777" w:rsidTr="00935676">
        <w:trPr>
          <w:cantSplit/>
        </w:trPr>
        <w:tc>
          <w:tcPr>
            <w:tcW w:w="1696" w:type="dxa"/>
            <w:tcBorders>
              <w:left w:val="single" w:sz="4" w:space="0" w:color="auto"/>
            </w:tcBorders>
            <w:shd w:val="clear" w:color="auto" w:fill="auto"/>
          </w:tcPr>
          <w:p w14:paraId="3864855B" w14:textId="77777777" w:rsidR="002A4DDF" w:rsidRPr="00937C8B" w:rsidRDefault="002A4DDF" w:rsidP="009110ED">
            <w:pPr>
              <w:rPr>
                <w:rFonts w:ascii="Arial" w:hAnsi="Arial" w:cs="Arial"/>
                <w:sz w:val="12"/>
                <w:szCs w:val="12"/>
              </w:rPr>
            </w:pPr>
          </w:p>
        </w:tc>
        <w:tc>
          <w:tcPr>
            <w:tcW w:w="1843" w:type="dxa"/>
            <w:shd w:val="clear" w:color="auto" w:fill="auto"/>
          </w:tcPr>
          <w:p w14:paraId="035CC450" w14:textId="77777777" w:rsidR="002A4DDF" w:rsidRPr="00937C8B" w:rsidRDefault="002A4DDF" w:rsidP="009110ED">
            <w:pPr>
              <w:rPr>
                <w:rFonts w:ascii="Arial" w:hAnsi="Arial" w:cs="Arial"/>
                <w:sz w:val="12"/>
                <w:szCs w:val="12"/>
              </w:rPr>
            </w:pPr>
          </w:p>
        </w:tc>
        <w:tc>
          <w:tcPr>
            <w:tcW w:w="2268" w:type="dxa"/>
            <w:shd w:val="clear" w:color="auto" w:fill="F2F2F2"/>
            <w:hideMark/>
          </w:tcPr>
          <w:p w14:paraId="18E3D2C8" w14:textId="77777777" w:rsidR="002A4DDF" w:rsidRPr="00937C8B" w:rsidRDefault="002A4DDF" w:rsidP="009110ED">
            <w:pPr>
              <w:rPr>
                <w:rFonts w:ascii="Arial" w:hAnsi="Arial" w:cs="Arial"/>
                <w:sz w:val="12"/>
                <w:szCs w:val="12"/>
              </w:rPr>
            </w:pPr>
            <w:r>
              <w:rPr>
                <w:rFonts w:ascii="Arial" w:hAnsi="Arial"/>
                <w:sz w:val="12"/>
                <w:szCs w:val="12"/>
              </w:rPr>
              <w:t>Ezkurra</w:t>
            </w:r>
          </w:p>
        </w:tc>
        <w:tc>
          <w:tcPr>
            <w:tcW w:w="2268" w:type="dxa"/>
            <w:tcBorders>
              <w:right w:val="single" w:sz="4" w:space="0" w:color="auto"/>
            </w:tcBorders>
            <w:shd w:val="clear" w:color="auto" w:fill="D9D9D9"/>
            <w:hideMark/>
          </w:tcPr>
          <w:p w14:paraId="771A1274" w14:textId="77777777" w:rsidR="002A4DDF" w:rsidRPr="00937C8B" w:rsidRDefault="002A4DDF" w:rsidP="009110ED">
            <w:pPr>
              <w:rPr>
                <w:rFonts w:ascii="Arial" w:hAnsi="Arial" w:cs="Arial"/>
                <w:sz w:val="12"/>
                <w:szCs w:val="12"/>
              </w:rPr>
            </w:pPr>
          </w:p>
        </w:tc>
      </w:tr>
      <w:tr w:rsidR="002A4DDF" w:rsidRPr="00937C8B" w14:paraId="19A56BF4" w14:textId="77777777" w:rsidTr="00935676">
        <w:trPr>
          <w:cantSplit/>
        </w:trPr>
        <w:tc>
          <w:tcPr>
            <w:tcW w:w="1696" w:type="dxa"/>
            <w:tcBorders>
              <w:left w:val="single" w:sz="4" w:space="0" w:color="auto"/>
            </w:tcBorders>
            <w:shd w:val="clear" w:color="auto" w:fill="auto"/>
          </w:tcPr>
          <w:p w14:paraId="2544423E" w14:textId="77777777" w:rsidR="002A4DDF" w:rsidRPr="00937C8B" w:rsidRDefault="002A4DDF" w:rsidP="009110ED">
            <w:pPr>
              <w:rPr>
                <w:rFonts w:ascii="Arial" w:hAnsi="Arial" w:cs="Arial"/>
                <w:sz w:val="12"/>
                <w:szCs w:val="12"/>
              </w:rPr>
            </w:pPr>
          </w:p>
        </w:tc>
        <w:tc>
          <w:tcPr>
            <w:tcW w:w="1843" w:type="dxa"/>
            <w:shd w:val="clear" w:color="auto" w:fill="auto"/>
          </w:tcPr>
          <w:p w14:paraId="46AE06E9" w14:textId="77777777" w:rsidR="002A4DDF" w:rsidRPr="00937C8B" w:rsidRDefault="002A4DDF" w:rsidP="009110ED">
            <w:pPr>
              <w:rPr>
                <w:rFonts w:ascii="Arial" w:hAnsi="Arial" w:cs="Arial"/>
                <w:sz w:val="12"/>
                <w:szCs w:val="12"/>
              </w:rPr>
            </w:pPr>
          </w:p>
        </w:tc>
        <w:tc>
          <w:tcPr>
            <w:tcW w:w="2268" w:type="dxa"/>
            <w:shd w:val="clear" w:color="auto" w:fill="F2F2F2"/>
            <w:hideMark/>
          </w:tcPr>
          <w:p w14:paraId="1D4BEFF0" w14:textId="77777777" w:rsidR="002A4DDF" w:rsidRPr="00937C8B" w:rsidRDefault="002A4DDF" w:rsidP="009110ED">
            <w:pPr>
              <w:rPr>
                <w:rFonts w:ascii="Arial" w:hAnsi="Arial" w:cs="Arial"/>
                <w:sz w:val="12"/>
                <w:szCs w:val="12"/>
              </w:rPr>
            </w:pPr>
            <w:r>
              <w:rPr>
                <w:rFonts w:ascii="Arial" w:hAnsi="Arial"/>
                <w:sz w:val="12"/>
                <w:szCs w:val="12"/>
              </w:rPr>
              <w:t>Ezprogui</w:t>
            </w:r>
          </w:p>
        </w:tc>
        <w:tc>
          <w:tcPr>
            <w:tcW w:w="2268" w:type="dxa"/>
            <w:tcBorders>
              <w:right w:val="single" w:sz="4" w:space="0" w:color="auto"/>
            </w:tcBorders>
            <w:shd w:val="clear" w:color="auto" w:fill="D9D9D9"/>
            <w:hideMark/>
          </w:tcPr>
          <w:p w14:paraId="0540951F" w14:textId="77777777" w:rsidR="002A4DDF" w:rsidRPr="00937C8B" w:rsidRDefault="002A4DDF" w:rsidP="009110ED">
            <w:pPr>
              <w:rPr>
                <w:rFonts w:ascii="Arial" w:hAnsi="Arial" w:cs="Arial"/>
                <w:sz w:val="12"/>
                <w:szCs w:val="12"/>
              </w:rPr>
            </w:pPr>
          </w:p>
        </w:tc>
      </w:tr>
      <w:tr w:rsidR="002A4DDF" w:rsidRPr="00937C8B" w14:paraId="4130C815" w14:textId="77777777" w:rsidTr="00935676">
        <w:trPr>
          <w:cantSplit/>
        </w:trPr>
        <w:tc>
          <w:tcPr>
            <w:tcW w:w="1696" w:type="dxa"/>
            <w:tcBorders>
              <w:left w:val="single" w:sz="4" w:space="0" w:color="auto"/>
            </w:tcBorders>
            <w:shd w:val="clear" w:color="auto" w:fill="auto"/>
          </w:tcPr>
          <w:p w14:paraId="7A2B3120" w14:textId="77777777" w:rsidR="002A4DDF" w:rsidRPr="00937C8B" w:rsidRDefault="002A4DDF" w:rsidP="009110ED">
            <w:pPr>
              <w:rPr>
                <w:rFonts w:ascii="Arial" w:hAnsi="Arial" w:cs="Arial"/>
                <w:sz w:val="12"/>
                <w:szCs w:val="12"/>
              </w:rPr>
            </w:pPr>
          </w:p>
        </w:tc>
        <w:tc>
          <w:tcPr>
            <w:tcW w:w="1843" w:type="dxa"/>
            <w:shd w:val="clear" w:color="auto" w:fill="auto"/>
          </w:tcPr>
          <w:p w14:paraId="66088F62" w14:textId="77777777" w:rsidR="002A4DDF" w:rsidRPr="00937C8B" w:rsidRDefault="002A4DDF" w:rsidP="009110ED">
            <w:pPr>
              <w:rPr>
                <w:rFonts w:ascii="Arial" w:hAnsi="Arial" w:cs="Arial"/>
                <w:sz w:val="12"/>
                <w:szCs w:val="12"/>
              </w:rPr>
            </w:pPr>
          </w:p>
        </w:tc>
        <w:tc>
          <w:tcPr>
            <w:tcW w:w="2268" w:type="dxa"/>
            <w:shd w:val="clear" w:color="auto" w:fill="F2F2F2"/>
            <w:hideMark/>
          </w:tcPr>
          <w:p w14:paraId="71719F0E" w14:textId="77777777" w:rsidR="002A4DDF" w:rsidRPr="00937C8B" w:rsidRDefault="002A4DDF" w:rsidP="009110ED">
            <w:pPr>
              <w:rPr>
                <w:rFonts w:ascii="Arial" w:hAnsi="Arial" w:cs="Arial"/>
                <w:sz w:val="12"/>
                <w:szCs w:val="12"/>
              </w:rPr>
            </w:pPr>
            <w:r>
              <w:rPr>
                <w:rFonts w:ascii="Arial" w:hAnsi="Arial"/>
                <w:sz w:val="12"/>
                <w:szCs w:val="12"/>
              </w:rPr>
              <w:t>Falces</w:t>
            </w:r>
          </w:p>
        </w:tc>
        <w:tc>
          <w:tcPr>
            <w:tcW w:w="2268" w:type="dxa"/>
            <w:tcBorders>
              <w:right w:val="single" w:sz="4" w:space="0" w:color="auto"/>
            </w:tcBorders>
            <w:shd w:val="clear" w:color="auto" w:fill="D9D9D9"/>
            <w:hideMark/>
          </w:tcPr>
          <w:p w14:paraId="2EEFD0FA" w14:textId="77777777" w:rsidR="002A4DDF" w:rsidRPr="00937C8B" w:rsidRDefault="002A4DDF" w:rsidP="009110ED">
            <w:pPr>
              <w:rPr>
                <w:rFonts w:ascii="Arial" w:hAnsi="Arial" w:cs="Arial"/>
                <w:sz w:val="12"/>
                <w:szCs w:val="12"/>
              </w:rPr>
            </w:pPr>
          </w:p>
        </w:tc>
      </w:tr>
      <w:tr w:rsidR="002A4DDF" w:rsidRPr="00937C8B" w14:paraId="75705425" w14:textId="77777777" w:rsidTr="00935676">
        <w:trPr>
          <w:cantSplit/>
        </w:trPr>
        <w:tc>
          <w:tcPr>
            <w:tcW w:w="1696" w:type="dxa"/>
            <w:tcBorders>
              <w:left w:val="single" w:sz="4" w:space="0" w:color="auto"/>
            </w:tcBorders>
            <w:shd w:val="clear" w:color="auto" w:fill="auto"/>
          </w:tcPr>
          <w:p w14:paraId="0778AF7D" w14:textId="77777777" w:rsidR="002A4DDF" w:rsidRPr="00937C8B" w:rsidRDefault="002A4DDF" w:rsidP="009110ED">
            <w:pPr>
              <w:rPr>
                <w:rFonts w:ascii="Arial" w:hAnsi="Arial" w:cs="Arial"/>
                <w:sz w:val="12"/>
                <w:szCs w:val="12"/>
              </w:rPr>
            </w:pPr>
          </w:p>
        </w:tc>
        <w:tc>
          <w:tcPr>
            <w:tcW w:w="1843" w:type="dxa"/>
            <w:shd w:val="clear" w:color="auto" w:fill="auto"/>
          </w:tcPr>
          <w:p w14:paraId="3BF10A6E" w14:textId="77777777" w:rsidR="002A4DDF" w:rsidRPr="00937C8B" w:rsidRDefault="002A4DDF" w:rsidP="009110ED">
            <w:pPr>
              <w:rPr>
                <w:rFonts w:ascii="Arial" w:hAnsi="Arial" w:cs="Arial"/>
                <w:sz w:val="12"/>
                <w:szCs w:val="12"/>
              </w:rPr>
            </w:pPr>
          </w:p>
        </w:tc>
        <w:tc>
          <w:tcPr>
            <w:tcW w:w="2268" w:type="dxa"/>
            <w:shd w:val="clear" w:color="auto" w:fill="F2F2F2"/>
            <w:hideMark/>
          </w:tcPr>
          <w:p w14:paraId="2929E465" w14:textId="77777777" w:rsidR="002A4DDF" w:rsidRPr="00937C8B" w:rsidRDefault="002A4DDF" w:rsidP="009110ED">
            <w:pPr>
              <w:rPr>
                <w:rFonts w:ascii="Arial" w:hAnsi="Arial" w:cs="Arial"/>
                <w:sz w:val="12"/>
                <w:szCs w:val="12"/>
              </w:rPr>
            </w:pPr>
            <w:r>
              <w:rPr>
                <w:rFonts w:ascii="Arial" w:hAnsi="Arial"/>
                <w:sz w:val="12"/>
                <w:szCs w:val="12"/>
              </w:rPr>
              <w:t>Fitero</w:t>
            </w:r>
          </w:p>
        </w:tc>
        <w:tc>
          <w:tcPr>
            <w:tcW w:w="2268" w:type="dxa"/>
            <w:tcBorders>
              <w:right w:val="single" w:sz="4" w:space="0" w:color="auto"/>
            </w:tcBorders>
            <w:shd w:val="clear" w:color="auto" w:fill="D9D9D9"/>
            <w:hideMark/>
          </w:tcPr>
          <w:p w14:paraId="472BC6A4" w14:textId="77777777" w:rsidR="002A4DDF" w:rsidRPr="00937C8B" w:rsidRDefault="002A4DDF" w:rsidP="009110ED">
            <w:pPr>
              <w:rPr>
                <w:rFonts w:ascii="Arial" w:hAnsi="Arial" w:cs="Arial"/>
                <w:sz w:val="12"/>
                <w:szCs w:val="12"/>
              </w:rPr>
            </w:pPr>
          </w:p>
        </w:tc>
      </w:tr>
      <w:tr w:rsidR="002A4DDF" w:rsidRPr="00937C8B" w14:paraId="6A10A239" w14:textId="77777777" w:rsidTr="00935676">
        <w:trPr>
          <w:cantSplit/>
        </w:trPr>
        <w:tc>
          <w:tcPr>
            <w:tcW w:w="1696" w:type="dxa"/>
            <w:tcBorders>
              <w:left w:val="single" w:sz="4" w:space="0" w:color="auto"/>
            </w:tcBorders>
            <w:shd w:val="clear" w:color="auto" w:fill="auto"/>
          </w:tcPr>
          <w:p w14:paraId="71591616" w14:textId="77777777" w:rsidR="002A4DDF" w:rsidRPr="00937C8B" w:rsidRDefault="002A4DDF" w:rsidP="009110ED">
            <w:pPr>
              <w:rPr>
                <w:rFonts w:ascii="Arial" w:hAnsi="Arial" w:cs="Arial"/>
                <w:sz w:val="12"/>
                <w:szCs w:val="12"/>
              </w:rPr>
            </w:pPr>
          </w:p>
        </w:tc>
        <w:tc>
          <w:tcPr>
            <w:tcW w:w="1843" w:type="dxa"/>
            <w:shd w:val="clear" w:color="auto" w:fill="auto"/>
          </w:tcPr>
          <w:p w14:paraId="01B13392" w14:textId="77777777" w:rsidR="002A4DDF" w:rsidRPr="00937C8B" w:rsidRDefault="002A4DDF" w:rsidP="009110ED">
            <w:pPr>
              <w:rPr>
                <w:rFonts w:ascii="Arial" w:hAnsi="Arial" w:cs="Arial"/>
                <w:sz w:val="12"/>
                <w:szCs w:val="12"/>
              </w:rPr>
            </w:pPr>
          </w:p>
        </w:tc>
        <w:tc>
          <w:tcPr>
            <w:tcW w:w="2268" w:type="dxa"/>
            <w:shd w:val="clear" w:color="auto" w:fill="F2F2F2"/>
            <w:hideMark/>
          </w:tcPr>
          <w:p w14:paraId="061418F9" w14:textId="77777777" w:rsidR="002A4DDF" w:rsidRPr="00937C8B" w:rsidRDefault="002A4DDF" w:rsidP="009110ED">
            <w:pPr>
              <w:rPr>
                <w:rFonts w:ascii="Arial" w:hAnsi="Arial" w:cs="Arial"/>
                <w:sz w:val="12"/>
                <w:szCs w:val="12"/>
              </w:rPr>
            </w:pPr>
            <w:r>
              <w:rPr>
                <w:rFonts w:ascii="Arial" w:hAnsi="Arial"/>
                <w:sz w:val="12"/>
                <w:szCs w:val="12"/>
              </w:rPr>
              <w:t>Igúzquiza</w:t>
            </w:r>
          </w:p>
        </w:tc>
        <w:tc>
          <w:tcPr>
            <w:tcW w:w="2268" w:type="dxa"/>
            <w:tcBorders>
              <w:right w:val="single" w:sz="4" w:space="0" w:color="auto"/>
            </w:tcBorders>
            <w:shd w:val="clear" w:color="auto" w:fill="D9D9D9"/>
            <w:hideMark/>
          </w:tcPr>
          <w:p w14:paraId="4C0EAD06" w14:textId="77777777" w:rsidR="002A4DDF" w:rsidRPr="00937C8B" w:rsidRDefault="002A4DDF" w:rsidP="009110ED">
            <w:pPr>
              <w:rPr>
                <w:rFonts w:ascii="Arial" w:hAnsi="Arial" w:cs="Arial"/>
                <w:sz w:val="12"/>
                <w:szCs w:val="12"/>
              </w:rPr>
            </w:pPr>
          </w:p>
        </w:tc>
      </w:tr>
      <w:tr w:rsidR="002A4DDF" w:rsidRPr="00937C8B" w14:paraId="03185701" w14:textId="77777777" w:rsidTr="00935676">
        <w:trPr>
          <w:cantSplit/>
        </w:trPr>
        <w:tc>
          <w:tcPr>
            <w:tcW w:w="1696" w:type="dxa"/>
            <w:tcBorders>
              <w:left w:val="single" w:sz="4" w:space="0" w:color="auto"/>
            </w:tcBorders>
            <w:shd w:val="clear" w:color="auto" w:fill="auto"/>
          </w:tcPr>
          <w:p w14:paraId="1B2C5A92" w14:textId="77777777" w:rsidR="002A4DDF" w:rsidRPr="00937C8B" w:rsidRDefault="002A4DDF" w:rsidP="009110ED">
            <w:pPr>
              <w:rPr>
                <w:rFonts w:ascii="Arial" w:hAnsi="Arial" w:cs="Arial"/>
                <w:sz w:val="12"/>
                <w:szCs w:val="12"/>
              </w:rPr>
            </w:pPr>
          </w:p>
        </w:tc>
        <w:tc>
          <w:tcPr>
            <w:tcW w:w="1843" w:type="dxa"/>
            <w:shd w:val="clear" w:color="auto" w:fill="auto"/>
          </w:tcPr>
          <w:p w14:paraId="0F9B622B" w14:textId="77777777" w:rsidR="002A4DDF" w:rsidRPr="00937C8B" w:rsidRDefault="002A4DDF" w:rsidP="009110ED">
            <w:pPr>
              <w:rPr>
                <w:rFonts w:ascii="Arial" w:hAnsi="Arial" w:cs="Arial"/>
                <w:sz w:val="12"/>
                <w:szCs w:val="12"/>
              </w:rPr>
            </w:pPr>
          </w:p>
        </w:tc>
        <w:tc>
          <w:tcPr>
            <w:tcW w:w="2268" w:type="dxa"/>
            <w:shd w:val="clear" w:color="auto" w:fill="F2F2F2"/>
            <w:hideMark/>
          </w:tcPr>
          <w:p w14:paraId="5711B7E7" w14:textId="77777777" w:rsidR="002A4DDF" w:rsidRPr="00937C8B" w:rsidRDefault="002A4DDF" w:rsidP="009110ED">
            <w:pPr>
              <w:rPr>
                <w:rFonts w:ascii="Arial" w:hAnsi="Arial" w:cs="Arial"/>
                <w:sz w:val="12"/>
                <w:szCs w:val="12"/>
              </w:rPr>
            </w:pPr>
            <w:r>
              <w:rPr>
                <w:rFonts w:ascii="Arial" w:hAnsi="Arial"/>
                <w:sz w:val="12"/>
                <w:szCs w:val="12"/>
              </w:rPr>
              <w:t>Imotz</w:t>
            </w:r>
          </w:p>
        </w:tc>
        <w:tc>
          <w:tcPr>
            <w:tcW w:w="2268" w:type="dxa"/>
            <w:tcBorders>
              <w:right w:val="single" w:sz="4" w:space="0" w:color="auto"/>
            </w:tcBorders>
            <w:shd w:val="clear" w:color="auto" w:fill="D9D9D9"/>
            <w:hideMark/>
          </w:tcPr>
          <w:p w14:paraId="5DC9002B" w14:textId="77777777" w:rsidR="002A4DDF" w:rsidRPr="00937C8B" w:rsidRDefault="002A4DDF" w:rsidP="009110ED">
            <w:pPr>
              <w:rPr>
                <w:rFonts w:ascii="Arial" w:hAnsi="Arial" w:cs="Arial"/>
                <w:sz w:val="12"/>
                <w:szCs w:val="12"/>
              </w:rPr>
            </w:pPr>
          </w:p>
        </w:tc>
      </w:tr>
      <w:tr w:rsidR="002A4DDF" w:rsidRPr="00937C8B" w14:paraId="1E6DB546" w14:textId="77777777" w:rsidTr="00935676">
        <w:trPr>
          <w:cantSplit/>
        </w:trPr>
        <w:tc>
          <w:tcPr>
            <w:tcW w:w="1696" w:type="dxa"/>
            <w:tcBorders>
              <w:left w:val="single" w:sz="4" w:space="0" w:color="auto"/>
            </w:tcBorders>
            <w:shd w:val="clear" w:color="auto" w:fill="auto"/>
          </w:tcPr>
          <w:p w14:paraId="57CE6B9F" w14:textId="77777777" w:rsidR="002A4DDF" w:rsidRPr="00937C8B" w:rsidRDefault="002A4DDF" w:rsidP="009110ED">
            <w:pPr>
              <w:rPr>
                <w:rFonts w:ascii="Arial" w:hAnsi="Arial" w:cs="Arial"/>
                <w:sz w:val="12"/>
                <w:szCs w:val="12"/>
              </w:rPr>
            </w:pPr>
          </w:p>
        </w:tc>
        <w:tc>
          <w:tcPr>
            <w:tcW w:w="1843" w:type="dxa"/>
            <w:shd w:val="clear" w:color="auto" w:fill="auto"/>
          </w:tcPr>
          <w:p w14:paraId="25039DB0" w14:textId="77777777" w:rsidR="002A4DDF" w:rsidRPr="00937C8B" w:rsidRDefault="002A4DDF" w:rsidP="009110ED">
            <w:pPr>
              <w:rPr>
                <w:rFonts w:ascii="Arial" w:hAnsi="Arial" w:cs="Arial"/>
                <w:sz w:val="12"/>
                <w:szCs w:val="12"/>
              </w:rPr>
            </w:pPr>
          </w:p>
        </w:tc>
        <w:tc>
          <w:tcPr>
            <w:tcW w:w="2268" w:type="dxa"/>
            <w:shd w:val="clear" w:color="auto" w:fill="F2F2F2"/>
            <w:hideMark/>
          </w:tcPr>
          <w:p w14:paraId="16C53B23" w14:textId="77777777" w:rsidR="002A4DDF" w:rsidRPr="00937C8B" w:rsidRDefault="002A4DDF" w:rsidP="009110ED">
            <w:pPr>
              <w:rPr>
                <w:rFonts w:ascii="Arial" w:hAnsi="Arial" w:cs="Arial"/>
                <w:sz w:val="12"/>
                <w:szCs w:val="12"/>
              </w:rPr>
            </w:pPr>
            <w:r>
              <w:rPr>
                <w:rFonts w:ascii="Arial" w:hAnsi="Arial"/>
                <w:sz w:val="12"/>
                <w:szCs w:val="12"/>
              </w:rPr>
              <w:t>Irurtzun</w:t>
            </w:r>
          </w:p>
        </w:tc>
        <w:tc>
          <w:tcPr>
            <w:tcW w:w="2268" w:type="dxa"/>
            <w:tcBorders>
              <w:right w:val="single" w:sz="4" w:space="0" w:color="auto"/>
            </w:tcBorders>
            <w:shd w:val="clear" w:color="auto" w:fill="D9D9D9"/>
            <w:hideMark/>
          </w:tcPr>
          <w:p w14:paraId="277A6B28" w14:textId="77777777" w:rsidR="002A4DDF" w:rsidRPr="00937C8B" w:rsidRDefault="002A4DDF" w:rsidP="009110ED">
            <w:pPr>
              <w:rPr>
                <w:rFonts w:ascii="Arial" w:hAnsi="Arial" w:cs="Arial"/>
                <w:sz w:val="12"/>
                <w:szCs w:val="12"/>
              </w:rPr>
            </w:pPr>
          </w:p>
        </w:tc>
      </w:tr>
      <w:tr w:rsidR="002A4DDF" w:rsidRPr="00937C8B" w14:paraId="60419476" w14:textId="77777777" w:rsidTr="00935676">
        <w:trPr>
          <w:cantSplit/>
        </w:trPr>
        <w:tc>
          <w:tcPr>
            <w:tcW w:w="1696" w:type="dxa"/>
            <w:tcBorders>
              <w:left w:val="single" w:sz="4" w:space="0" w:color="auto"/>
            </w:tcBorders>
            <w:shd w:val="clear" w:color="auto" w:fill="auto"/>
          </w:tcPr>
          <w:p w14:paraId="71D00CCD" w14:textId="77777777" w:rsidR="002A4DDF" w:rsidRPr="00937C8B" w:rsidRDefault="002A4DDF" w:rsidP="009110ED">
            <w:pPr>
              <w:rPr>
                <w:rFonts w:ascii="Arial" w:hAnsi="Arial" w:cs="Arial"/>
                <w:sz w:val="12"/>
                <w:szCs w:val="12"/>
              </w:rPr>
            </w:pPr>
          </w:p>
        </w:tc>
        <w:tc>
          <w:tcPr>
            <w:tcW w:w="1843" w:type="dxa"/>
            <w:shd w:val="clear" w:color="auto" w:fill="auto"/>
          </w:tcPr>
          <w:p w14:paraId="55881486" w14:textId="77777777" w:rsidR="002A4DDF" w:rsidRPr="00937C8B" w:rsidRDefault="002A4DDF" w:rsidP="009110ED">
            <w:pPr>
              <w:rPr>
                <w:rFonts w:ascii="Arial" w:hAnsi="Arial" w:cs="Arial"/>
                <w:sz w:val="12"/>
                <w:szCs w:val="12"/>
              </w:rPr>
            </w:pPr>
          </w:p>
        </w:tc>
        <w:tc>
          <w:tcPr>
            <w:tcW w:w="2268" w:type="dxa"/>
            <w:shd w:val="clear" w:color="auto" w:fill="F2F2F2"/>
            <w:hideMark/>
          </w:tcPr>
          <w:p w14:paraId="608842DA" w14:textId="77777777" w:rsidR="002A4DDF" w:rsidRPr="00937C8B" w:rsidRDefault="002A4DDF" w:rsidP="009110ED">
            <w:pPr>
              <w:rPr>
                <w:rFonts w:ascii="Arial" w:hAnsi="Arial" w:cs="Arial"/>
                <w:sz w:val="12"/>
                <w:szCs w:val="12"/>
              </w:rPr>
            </w:pPr>
            <w:r>
              <w:rPr>
                <w:rFonts w:ascii="Arial" w:hAnsi="Arial"/>
                <w:sz w:val="12"/>
                <w:szCs w:val="12"/>
              </w:rPr>
              <w:t>Iza/Itza</w:t>
            </w:r>
          </w:p>
        </w:tc>
        <w:tc>
          <w:tcPr>
            <w:tcW w:w="2268" w:type="dxa"/>
            <w:tcBorders>
              <w:right w:val="single" w:sz="4" w:space="0" w:color="auto"/>
            </w:tcBorders>
            <w:shd w:val="clear" w:color="auto" w:fill="D9D9D9"/>
            <w:hideMark/>
          </w:tcPr>
          <w:p w14:paraId="66798DCB" w14:textId="77777777" w:rsidR="002A4DDF" w:rsidRPr="00937C8B" w:rsidRDefault="002A4DDF" w:rsidP="009110ED">
            <w:pPr>
              <w:rPr>
                <w:rFonts w:ascii="Arial" w:hAnsi="Arial" w:cs="Arial"/>
                <w:sz w:val="12"/>
                <w:szCs w:val="12"/>
              </w:rPr>
            </w:pPr>
          </w:p>
        </w:tc>
      </w:tr>
      <w:tr w:rsidR="002A4DDF" w:rsidRPr="00937C8B" w14:paraId="478C9E8E" w14:textId="77777777" w:rsidTr="00935676">
        <w:trPr>
          <w:cantSplit/>
        </w:trPr>
        <w:tc>
          <w:tcPr>
            <w:tcW w:w="1696" w:type="dxa"/>
            <w:tcBorders>
              <w:left w:val="single" w:sz="4" w:space="0" w:color="auto"/>
            </w:tcBorders>
            <w:shd w:val="clear" w:color="auto" w:fill="auto"/>
          </w:tcPr>
          <w:p w14:paraId="4EE96C66" w14:textId="77777777" w:rsidR="002A4DDF" w:rsidRPr="00937C8B" w:rsidRDefault="002A4DDF" w:rsidP="009110ED">
            <w:pPr>
              <w:rPr>
                <w:rFonts w:ascii="Arial" w:hAnsi="Arial" w:cs="Arial"/>
                <w:sz w:val="12"/>
                <w:szCs w:val="12"/>
              </w:rPr>
            </w:pPr>
          </w:p>
        </w:tc>
        <w:tc>
          <w:tcPr>
            <w:tcW w:w="1843" w:type="dxa"/>
            <w:shd w:val="clear" w:color="auto" w:fill="auto"/>
          </w:tcPr>
          <w:p w14:paraId="6BF076B8" w14:textId="77777777" w:rsidR="002A4DDF" w:rsidRPr="00937C8B" w:rsidRDefault="002A4DDF" w:rsidP="009110ED">
            <w:pPr>
              <w:rPr>
                <w:rFonts w:ascii="Arial" w:hAnsi="Arial" w:cs="Arial"/>
                <w:sz w:val="12"/>
                <w:szCs w:val="12"/>
              </w:rPr>
            </w:pPr>
          </w:p>
        </w:tc>
        <w:tc>
          <w:tcPr>
            <w:tcW w:w="2268" w:type="dxa"/>
            <w:shd w:val="clear" w:color="auto" w:fill="F2F2F2"/>
            <w:hideMark/>
          </w:tcPr>
          <w:p w14:paraId="03075FBE" w14:textId="77777777" w:rsidR="002A4DDF" w:rsidRPr="00937C8B" w:rsidRDefault="002A4DDF" w:rsidP="009110ED">
            <w:pPr>
              <w:rPr>
                <w:rFonts w:ascii="Arial" w:hAnsi="Arial" w:cs="Arial"/>
                <w:sz w:val="12"/>
                <w:szCs w:val="12"/>
              </w:rPr>
            </w:pPr>
            <w:r>
              <w:rPr>
                <w:rFonts w:ascii="Arial" w:hAnsi="Arial"/>
                <w:sz w:val="12"/>
                <w:szCs w:val="12"/>
              </w:rPr>
              <w:t>Juslapeña</w:t>
            </w:r>
          </w:p>
        </w:tc>
        <w:tc>
          <w:tcPr>
            <w:tcW w:w="2268" w:type="dxa"/>
            <w:tcBorders>
              <w:right w:val="single" w:sz="4" w:space="0" w:color="auto"/>
            </w:tcBorders>
            <w:shd w:val="clear" w:color="auto" w:fill="D9D9D9"/>
            <w:hideMark/>
          </w:tcPr>
          <w:p w14:paraId="4CF0A8E8" w14:textId="77777777" w:rsidR="002A4DDF" w:rsidRPr="00937C8B" w:rsidRDefault="002A4DDF" w:rsidP="009110ED">
            <w:pPr>
              <w:rPr>
                <w:rFonts w:ascii="Arial" w:hAnsi="Arial" w:cs="Arial"/>
                <w:sz w:val="12"/>
                <w:szCs w:val="12"/>
              </w:rPr>
            </w:pPr>
          </w:p>
        </w:tc>
      </w:tr>
      <w:tr w:rsidR="002A4DDF" w:rsidRPr="00937C8B" w14:paraId="7D72CE79" w14:textId="77777777" w:rsidTr="00935676">
        <w:trPr>
          <w:cantSplit/>
        </w:trPr>
        <w:tc>
          <w:tcPr>
            <w:tcW w:w="1696" w:type="dxa"/>
            <w:tcBorders>
              <w:left w:val="single" w:sz="4" w:space="0" w:color="auto"/>
            </w:tcBorders>
            <w:shd w:val="clear" w:color="auto" w:fill="auto"/>
          </w:tcPr>
          <w:p w14:paraId="78AB88FF" w14:textId="77777777" w:rsidR="002A4DDF" w:rsidRPr="00937C8B" w:rsidRDefault="002A4DDF" w:rsidP="009110ED">
            <w:pPr>
              <w:rPr>
                <w:rFonts w:ascii="Arial" w:hAnsi="Arial" w:cs="Arial"/>
                <w:sz w:val="12"/>
                <w:szCs w:val="12"/>
              </w:rPr>
            </w:pPr>
          </w:p>
        </w:tc>
        <w:tc>
          <w:tcPr>
            <w:tcW w:w="1843" w:type="dxa"/>
            <w:shd w:val="clear" w:color="auto" w:fill="auto"/>
          </w:tcPr>
          <w:p w14:paraId="67B38F8D" w14:textId="77777777" w:rsidR="002A4DDF" w:rsidRPr="00937C8B" w:rsidRDefault="002A4DDF" w:rsidP="009110ED">
            <w:pPr>
              <w:rPr>
                <w:rFonts w:ascii="Arial" w:hAnsi="Arial" w:cs="Arial"/>
                <w:sz w:val="12"/>
                <w:szCs w:val="12"/>
              </w:rPr>
            </w:pPr>
          </w:p>
        </w:tc>
        <w:tc>
          <w:tcPr>
            <w:tcW w:w="2268" w:type="dxa"/>
            <w:shd w:val="clear" w:color="auto" w:fill="F2F2F2"/>
            <w:hideMark/>
          </w:tcPr>
          <w:p w14:paraId="6E970A3B" w14:textId="77777777" w:rsidR="002A4DDF" w:rsidRPr="00937C8B" w:rsidRDefault="002A4DDF" w:rsidP="009110ED">
            <w:pPr>
              <w:rPr>
                <w:rFonts w:ascii="Arial" w:hAnsi="Arial" w:cs="Arial"/>
                <w:sz w:val="12"/>
                <w:szCs w:val="12"/>
              </w:rPr>
            </w:pPr>
            <w:r>
              <w:rPr>
                <w:rFonts w:ascii="Arial" w:hAnsi="Arial"/>
                <w:sz w:val="12"/>
                <w:szCs w:val="12"/>
              </w:rPr>
              <w:t>Larraun</w:t>
            </w:r>
          </w:p>
        </w:tc>
        <w:tc>
          <w:tcPr>
            <w:tcW w:w="2268" w:type="dxa"/>
            <w:tcBorders>
              <w:right w:val="single" w:sz="4" w:space="0" w:color="auto"/>
            </w:tcBorders>
            <w:shd w:val="clear" w:color="auto" w:fill="D9D9D9"/>
            <w:hideMark/>
          </w:tcPr>
          <w:p w14:paraId="33707CDC" w14:textId="77777777" w:rsidR="002A4DDF" w:rsidRPr="00937C8B" w:rsidRDefault="002A4DDF" w:rsidP="009110ED">
            <w:pPr>
              <w:rPr>
                <w:rFonts w:ascii="Arial" w:hAnsi="Arial" w:cs="Arial"/>
                <w:sz w:val="12"/>
                <w:szCs w:val="12"/>
              </w:rPr>
            </w:pPr>
          </w:p>
        </w:tc>
      </w:tr>
      <w:tr w:rsidR="002A4DDF" w:rsidRPr="00937C8B" w14:paraId="6E33C605" w14:textId="77777777" w:rsidTr="00935676">
        <w:trPr>
          <w:cantSplit/>
        </w:trPr>
        <w:tc>
          <w:tcPr>
            <w:tcW w:w="1696" w:type="dxa"/>
            <w:tcBorders>
              <w:left w:val="single" w:sz="4" w:space="0" w:color="auto"/>
            </w:tcBorders>
            <w:shd w:val="clear" w:color="auto" w:fill="auto"/>
          </w:tcPr>
          <w:p w14:paraId="3867EDE5" w14:textId="77777777" w:rsidR="002A4DDF" w:rsidRPr="00937C8B" w:rsidRDefault="002A4DDF" w:rsidP="009110ED">
            <w:pPr>
              <w:rPr>
                <w:rFonts w:ascii="Arial" w:hAnsi="Arial" w:cs="Arial"/>
                <w:sz w:val="12"/>
                <w:szCs w:val="12"/>
              </w:rPr>
            </w:pPr>
          </w:p>
        </w:tc>
        <w:tc>
          <w:tcPr>
            <w:tcW w:w="1843" w:type="dxa"/>
            <w:shd w:val="clear" w:color="auto" w:fill="auto"/>
          </w:tcPr>
          <w:p w14:paraId="061E4070" w14:textId="77777777" w:rsidR="002A4DDF" w:rsidRPr="00937C8B" w:rsidRDefault="002A4DDF" w:rsidP="009110ED">
            <w:pPr>
              <w:rPr>
                <w:rFonts w:ascii="Arial" w:hAnsi="Arial" w:cs="Arial"/>
                <w:sz w:val="12"/>
                <w:szCs w:val="12"/>
              </w:rPr>
            </w:pPr>
          </w:p>
        </w:tc>
        <w:tc>
          <w:tcPr>
            <w:tcW w:w="2268" w:type="dxa"/>
            <w:shd w:val="clear" w:color="auto" w:fill="F2F2F2"/>
            <w:hideMark/>
          </w:tcPr>
          <w:p w14:paraId="519ABEC9" w14:textId="77777777" w:rsidR="002A4DDF" w:rsidRPr="00937C8B" w:rsidRDefault="002A4DDF" w:rsidP="009110ED">
            <w:pPr>
              <w:rPr>
                <w:rFonts w:ascii="Arial" w:hAnsi="Arial" w:cs="Arial"/>
                <w:sz w:val="12"/>
                <w:szCs w:val="12"/>
              </w:rPr>
            </w:pPr>
            <w:r>
              <w:rPr>
                <w:rFonts w:ascii="Arial" w:hAnsi="Arial"/>
                <w:sz w:val="12"/>
                <w:szCs w:val="12"/>
              </w:rPr>
              <w:t>Lazagurría</w:t>
            </w:r>
          </w:p>
        </w:tc>
        <w:tc>
          <w:tcPr>
            <w:tcW w:w="2268" w:type="dxa"/>
            <w:tcBorders>
              <w:right w:val="single" w:sz="4" w:space="0" w:color="auto"/>
            </w:tcBorders>
            <w:shd w:val="clear" w:color="auto" w:fill="D9D9D9"/>
            <w:hideMark/>
          </w:tcPr>
          <w:p w14:paraId="38960467" w14:textId="77777777" w:rsidR="002A4DDF" w:rsidRPr="00937C8B" w:rsidRDefault="002A4DDF" w:rsidP="009110ED">
            <w:pPr>
              <w:rPr>
                <w:rFonts w:ascii="Arial" w:hAnsi="Arial" w:cs="Arial"/>
                <w:sz w:val="12"/>
                <w:szCs w:val="12"/>
              </w:rPr>
            </w:pPr>
          </w:p>
        </w:tc>
      </w:tr>
      <w:tr w:rsidR="002A4DDF" w:rsidRPr="00937C8B" w14:paraId="6129471B" w14:textId="77777777" w:rsidTr="00935676">
        <w:trPr>
          <w:cantSplit/>
        </w:trPr>
        <w:tc>
          <w:tcPr>
            <w:tcW w:w="1696" w:type="dxa"/>
            <w:tcBorders>
              <w:left w:val="single" w:sz="4" w:space="0" w:color="auto"/>
            </w:tcBorders>
            <w:shd w:val="clear" w:color="auto" w:fill="auto"/>
          </w:tcPr>
          <w:p w14:paraId="5340AF84" w14:textId="77777777" w:rsidR="002A4DDF" w:rsidRPr="00937C8B" w:rsidRDefault="002A4DDF" w:rsidP="009110ED">
            <w:pPr>
              <w:rPr>
                <w:rFonts w:ascii="Arial" w:hAnsi="Arial" w:cs="Arial"/>
                <w:sz w:val="12"/>
                <w:szCs w:val="12"/>
              </w:rPr>
            </w:pPr>
          </w:p>
        </w:tc>
        <w:tc>
          <w:tcPr>
            <w:tcW w:w="1843" w:type="dxa"/>
            <w:shd w:val="clear" w:color="auto" w:fill="auto"/>
          </w:tcPr>
          <w:p w14:paraId="739A44F9" w14:textId="77777777" w:rsidR="002A4DDF" w:rsidRPr="00937C8B" w:rsidRDefault="002A4DDF" w:rsidP="009110ED">
            <w:pPr>
              <w:rPr>
                <w:rFonts w:ascii="Arial" w:hAnsi="Arial" w:cs="Arial"/>
                <w:sz w:val="12"/>
                <w:szCs w:val="12"/>
              </w:rPr>
            </w:pPr>
          </w:p>
        </w:tc>
        <w:tc>
          <w:tcPr>
            <w:tcW w:w="2268" w:type="dxa"/>
            <w:shd w:val="clear" w:color="auto" w:fill="F2F2F2"/>
            <w:hideMark/>
          </w:tcPr>
          <w:p w14:paraId="0055057D" w14:textId="77777777" w:rsidR="002A4DDF" w:rsidRPr="00937C8B" w:rsidRDefault="002A4DDF" w:rsidP="009110ED">
            <w:pPr>
              <w:rPr>
                <w:rFonts w:ascii="Arial" w:hAnsi="Arial" w:cs="Arial"/>
                <w:sz w:val="12"/>
                <w:szCs w:val="12"/>
              </w:rPr>
            </w:pPr>
            <w:r>
              <w:rPr>
                <w:rFonts w:ascii="Arial" w:hAnsi="Arial"/>
                <w:sz w:val="12"/>
                <w:szCs w:val="12"/>
              </w:rPr>
              <w:t>Leitza</w:t>
            </w:r>
          </w:p>
        </w:tc>
        <w:tc>
          <w:tcPr>
            <w:tcW w:w="2268" w:type="dxa"/>
            <w:tcBorders>
              <w:right w:val="single" w:sz="4" w:space="0" w:color="auto"/>
            </w:tcBorders>
            <w:shd w:val="clear" w:color="auto" w:fill="D9D9D9"/>
            <w:hideMark/>
          </w:tcPr>
          <w:p w14:paraId="58C037CB" w14:textId="77777777" w:rsidR="002A4DDF" w:rsidRPr="00937C8B" w:rsidRDefault="002A4DDF" w:rsidP="009110ED">
            <w:pPr>
              <w:rPr>
                <w:rFonts w:ascii="Arial" w:hAnsi="Arial" w:cs="Arial"/>
                <w:sz w:val="12"/>
                <w:szCs w:val="12"/>
              </w:rPr>
            </w:pPr>
          </w:p>
        </w:tc>
      </w:tr>
      <w:tr w:rsidR="002A4DDF" w:rsidRPr="00937C8B" w14:paraId="2B512B95" w14:textId="77777777" w:rsidTr="00935676">
        <w:trPr>
          <w:cantSplit/>
        </w:trPr>
        <w:tc>
          <w:tcPr>
            <w:tcW w:w="1696" w:type="dxa"/>
            <w:tcBorders>
              <w:left w:val="single" w:sz="4" w:space="0" w:color="auto"/>
            </w:tcBorders>
            <w:shd w:val="clear" w:color="auto" w:fill="auto"/>
          </w:tcPr>
          <w:p w14:paraId="0799AF4D" w14:textId="77777777" w:rsidR="002A4DDF" w:rsidRPr="00937C8B" w:rsidRDefault="002A4DDF" w:rsidP="009110ED">
            <w:pPr>
              <w:rPr>
                <w:rFonts w:ascii="Arial" w:hAnsi="Arial" w:cs="Arial"/>
                <w:sz w:val="12"/>
                <w:szCs w:val="12"/>
              </w:rPr>
            </w:pPr>
          </w:p>
        </w:tc>
        <w:tc>
          <w:tcPr>
            <w:tcW w:w="1843" w:type="dxa"/>
            <w:shd w:val="clear" w:color="auto" w:fill="auto"/>
          </w:tcPr>
          <w:p w14:paraId="2DE6E44E" w14:textId="77777777" w:rsidR="002A4DDF" w:rsidRPr="00937C8B" w:rsidRDefault="002A4DDF" w:rsidP="009110ED">
            <w:pPr>
              <w:rPr>
                <w:rFonts w:ascii="Arial" w:hAnsi="Arial" w:cs="Arial"/>
                <w:sz w:val="12"/>
                <w:szCs w:val="12"/>
              </w:rPr>
            </w:pPr>
          </w:p>
        </w:tc>
        <w:tc>
          <w:tcPr>
            <w:tcW w:w="2268" w:type="dxa"/>
            <w:shd w:val="clear" w:color="auto" w:fill="F2F2F2"/>
            <w:hideMark/>
          </w:tcPr>
          <w:p w14:paraId="0DD15B2E" w14:textId="77777777" w:rsidR="002A4DDF" w:rsidRPr="00937C8B" w:rsidRDefault="002A4DDF" w:rsidP="009110ED">
            <w:pPr>
              <w:rPr>
                <w:rFonts w:ascii="Arial" w:hAnsi="Arial" w:cs="Arial"/>
                <w:sz w:val="12"/>
                <w:szCs w:val="12"/>
              </w:rPr>
            </w:pPr>
            <w:r>
              <w:rPr>
                <w:rFonts w:ascii="Arial" w:hAnsi="Arial"/>
                <w:sz w:val="12"/>
                <w:szCs w:val="12"/>
              </w:rPr>
              <w:t>Liédena</w:t>
            </w:r>
          </w:p>
        </w:tc>
        <w:tc>
          <w:tcPr>
            <w:tcW w:w="2268" w:type="dxa"/>
            <w:tcBorders>
              <w:right w:val="single" w:sz="4" w:space="0" w:color="auto"/>
            </w:tcBorders>
            <w:shd w:val="clear" w:color="auto" w:fill="D9D9D9"/>
            <w:hideMark/>
          </w:tcPr>
          <w:p w14:paraId="33A3BB32" w14:textId="77777777" w:rsidR="002A4DDF" w:rsidRPr="00937C8B" w:rsidRDefault="002A4DDF" w:rsidP="009110ED">
            <w:pPr>
              <w:rPr>
                <w:rFonts w:ascii="Arial" w:hAnsi="Arial" w:cs="Arial"/>
                <w:sz w:val="12"/>
                <w:szCs w:val="12"/>
              </w:rPr>
            </w:pPr>
          </w:p>
        </w:tc>
      </w:tr>
      <w:tr w:rsidR="002A4DDF" w:rsidRPr="00937C8B" w14:paraId="2939C52D" w14:textId="77777777" w:rsidTr="00935676">
        <w:trPr>
          <w:cantSplit/>
        </w:trPr>
        <w:tc>
          <w:tcPr>
            <w:tcW w:w="1696" w:type="dxa"/>
            <w:tcBorders>
              <w:left w:val="single" w:sz="4" w:space="0" w:color="auto"/>
            </w:tcBorders>
            <w:shd w:val="clear" w:color="auto" w:fill="auto"/>
          </w:tcPr>
          <w:p w14:paraId="6401B25E" w14:textId="77777777" w:rsidR="002A4DDF" w:rsidRPr="00937C8B" w:rsidRDefault="002A4DDF" w:rsidP="009110ED">
            <w:pPr>
              <w:rPr>
                <w:rFonts w:ascii="Arial" w:hAnsi="Arial" w:cs="Arial"/>
                <w:sz w:val="12"/>
                <w:szCs w:val="12"/>
              </w:rPr>
            </w:pPr>
          </w:p>
        </w:tc>
        <w:tc>
          <w:tcPr>
            <w:tcW w:w="1843" w:type="dxa"/>
            <w:shd w:val="clear" w:color="auto" w:fill="auto"/>
          </w:tcPr>
          <w:p w14:paraId="3024A5AD" w14:textId="77777777" w:rsidR="002A4DDF" w:rsidRPr="00937C8B" w:rsidRDefault="002A4DDF" w:rsidP="009110ED">
            <w:pPr>
              <w:rPr>
                <w:rFonts w:ascii="Arial" w:hAnsi="Arial" w:cs="Arial"/>
                <w:sz w:val="12"/>
                <w:szCs w:val="12"/>
              </w:rPr>
            </w:pPr>
          </w:p>
        </w:tc>
        <w:tc>
          <w:tcPr>
            <w:tcW w:w="2268" w:type="dxa"/>
            <w:shd w:val="clear" w:color="auto" w:fill="F2F2F2"/>
            <w:hideMark/>
          </w:tcPr>
          <w:p w14:paraId="08F4BC69" w14:textId="77777777" w:rsidR="002A4DDF" w:rsidRPr="00937C8B" w:rsidRDefault="002A4DDF" w:rsidP="009110ED">
            <w:pPr>
              <w:rPr>
                <w:rFonts w:ascii="Arial" w:hAnsi="Arial" w:cs="Arial"/>
                <w:sz w:val="12"/>
                <w:szCs w:val="12"/>
              </w:rPr>
            </w:pPr>
            <w:r>
              <w:rPr>
                <w:rFonts w:ascii="Arial" w:hAnsi="Arial"/>
                <w:sz w:val="12"/>
                <w:szCs w:val="12"/>
              </w:rPr>
              <w:t>Los Arcos</w:t>
            </w:r>
          </w:p>
        </w:tc>
        <w:tc>
          <w:tcPr>
            <w:tcW w:w="2268" w:type="dxa"/>
            <w:tcBorders>
              <w:right w:val="single" w:sz="4" w:space="0" w:color="auto"/>
            </w:tcBorders>
            <w:shd w:val="clear" w:color="auto" w:fill="D9D9D9"/>
            <w:hideMark/>
          </w:tcPr>
          <w:p w14:paraId="2FECC477" w14:textId="77777777" w:rsidR="002A4DDF" w:rsidRPr="00937C8B" w:rsidRDefault="002A4DDF" w:rsidP="009110ED">
            <w:pPr>
              <w:rPr>
                <w:rFonts w:ascii="Arial" w:hAnsi="Arial" w:cs="Arial"/>
                <w:sz w:val="12"/>
                <w:szCs w:val="12"/>
              </w:rPr>
            </w:pPr>
          </w:p>
        </w:tc>
      </w:tr>
      <w:tr w:rsidR="002A4DDF" w:rsidRPr="00937C8B" w14:paraId="1B8E1D00" w14:textId="77777777" w:rsidTr="00935676">
        <w:trPr>
          <w:cantSplit/>
        </w:trPr>
        <w:tc>
          <w:tcPr>
            <w:tcW w:w="1696" w:type="dxa"/>
            <w:tcBorders>
              <w:left w:val="single" w:sz="4" w:space="0" w:color="auto"/>
            </w:tcBorders>
            <w:shd w:val="clear" w:color="auto" w:fill="auto"/>
          </w:tcPr>
          <w:p w14:paraId="284E0ED0" w14:textId="77777777" w:rsidR="002A4DDF" w:rsidRPr="00937C8B" w:rsidRDefault="002A4DDF" w:rsidP="009110ED">
            <w:pPr>
              <w:rPr>
                <w:rFonts w:ascii="Arial" w:hAnsi="Arial" w:cs="Arial"/>
                <w:sz w:val="12"/>
                <w:szCs w:val="12"/>
              </w:rPr>
            </w:pPr>
          </w:p>
        </w:tc>
        <w:tc>
          <w:tcPr>
            <w:tcW w:w="1843" w:type="dxa"/>
            <w:shd w:val="clear" w:color="auto" w:fill="auto"/>
          </w:tcPr>
          <w:p w14:paraId="559B15A2" w14:textId="77777777" w:rsidR="002A4DDF" w:rsidRPr="00937C8B" w:rsidRDefault="002A4DDF" w:rsidP="009110ED">
            <w:pPr>
              <w:rPr>
                <w:rFonts w:ascii="Arial" w:hAnsi="Arial" w:cs="Arial"/>
                <w:sz w:val="12"/>
                <w:szCs w:val="12"/>
              </w:rPr>
            </w:pPr>
          </w:p>
        </w:tc>
        <w:tc>
          <w:tcPr>
            <w:tcW w:w="2268" w:type="dxa"/>
            <w:shd w:val="clear" w:color="auto" w:fill="F2F2F2"/>
            <w:hideMark/>
          </w:tcPr>
          <w:p w14:paraId="3999BA0C" w14:textId="77777777" w:rsidR="002A4DDF" w:rsidRPr="00937C8B" w:rsidRDefault="002A4DDF" w:rsidP="009110ED">
            <w:pPr>
              <w:rPr>
                <w:rFonts w:ascii="Arial" w:hAnsi="Arial" w:cs="Arial"/>
                <w:sz w:val="12"/>
                <w:szCs w:val="12"/>
              </w:rPr>
            </w:pPr>
            <w:r>
              <w:rPr>
                <w:rFonts w:ascii="Arial" w:hAnsi="Arial"/>
                <w:sz w:val="12"/>
                <w:szCs w:val="12"/>
              </w:rPr>
              <w:t>Lumbier</w:t>
            </w:r>
          </w:p>
        </w:tc>
        <w:tc>
          <w:tcPr>
            <w:tcW w:w="2268" w:type="dxa"/>
            <w:tcBorders>
              <w:right w:val="single" w:sz="4" w:space="0" w:color="auto"/>
            </w:tcBorders>
            <w:shd w:val="clear" w:color="auto" w:fill="D9D9D9"/>
            <w:hideMark/>
          </w:tcPr>
          <w:p w14:paraId="5983422A" w14:textId="77777777" w:rsidR="002A4DDF" w:rsidRPr="00937C8B" w:rsidRDefault="002A4DDF" w:rsidP="009110ED">
            <w:pPr>
              <w:rPr>
                <w:rFonts w:ascii="Arial" w:hAnsi="Arial" w:cs="Arial"/>
                <w:sz w:val="12"/>
                <w:szCs w:val="12"/>
              </w:rPr>
            </w:pPr>
          </w:p>
        </w:tc>
      </w:tr>
      <w:tr w:rsidR="002A4DDF" w:rsidRPr="00937C8B" w14:paraId="4F93C9C5" w14:textId="77777777" w:rsidTr="00935676">
        <w:trPr>
          <w:cantSplit/>
        </w:trPr>
        <w:tc>
          <w:tcPr>
            <w:tcW w:w="1696" w:type="dxa"/>
            <w:tcBorders>
              <w:left w:val="single" w:sz="4" w:space="0" w:color="auto"/>
            </w:tcBorders>
            <w:shd w:val="clear" w:color="auto" w:fill="auto"/>
          </w:tcPr>
          <w:p w14:paraId="35FB5760" w14:textId="77777777" w:rsidR="002A4DDF" w:rsidRPr="00937C8B" w:rsidRDefault="002A4DDF" w:rsidP="009110ED">
            <w:pPr>
              <w:rPr>
                <w:rFonts w:ascii="Arial" w:hAnsi="Arial" w:cs="Arial"/>
                <w:sz w:val="12"/>
                <w:szCs w:val="12"/>
              </w:rPr>
            </w:pPr>
          </w:p>
        </w:tc>
        <w:tc>
          <w:tcPr>
            <w:tcW w:w="1843" w:type="dxa"/>
            <w:shd w:val="clear" w:color="auto" w:fill="auto"/>
          </w:tcPr>
          <w:p w14:paraId="0653D791" w14:textId="77777777" w:rsidR="002A4DDF" w:rsidRPr="00937C8B" w:rsidRDefault="002A4DDF" w:rsidP="009110ED">
            <w:pPr>
              <w:rPr>
                <w:rFonts w:ascii="Arial" w:hAnsi="Arial" w:cs="Arial"/>
                <w:sz w:val="12"/>
                <w:szCs w:val="12"/>
              </w:rPr>
            </w:pPr>
          </w:p>
        </w:tc>
        <w:tc>
          <w:tcPr>
            <w:tcW w:w="2268" w:type="dxa"/>
            <w:shd w:val="clear" w:color="auto" w:fill="F2F2F2"/>
            <w:hideMark/>
          </w:tcPr>
          <w:p w14:paraId="59819969" w14:textId="77777777" w:rsidR="002A4DDF" w:rsidRPr="00937C8B" w:rsidRDefault="002A4DDF" w:rsidP="009110ED">
            <w:pPr>
              <w:rPr>
                <w:rFonts w:ascii="Arial" w:hAnsi="Arial" w:cs="Arial"/>
                <w:sz w:val="12"/>
                <w:szCs w:val="12"/>
              </w:rPr>
            </w:pPr>
            <w:r>
              <w:rPr>
                <w:rFonts w:ascii="Arial" w:hAnsi="Arial"/>
                <w:sz w:val="12"/>
                <w:szCs w:val="12"/>
              </w:rPr>
              <w:t>Mendavia</w:t>
            </w:r>
          </w:p>
        </w:tc>
        <w:tc>
          <w:tcPr>
            <w:tcW w:w="2268" w:type="dxa"/>
            <w:tcBorders>
              <w:right w:val="single" w:sz="4" w:space="0" w:color="auto"/>
            </w:tcBorders>
            <w:shd w:val="clear" w:color="auto" w:fill="D9D9D9"/>
            <w:hideMark/>
          </w:tcPr>
          <w:p w14:paraId="5BE732C6" w14:textId="77777777" w:rsidR="002A4DDF" w:rsidRPr="00937C8B" w:rsidRDefault="002A4DDF" w:rsidP="009110ED">
            <w:pPr>
              <w:rPr>
                <w:rFonts w:ascii="Arial" w:hAnsi="Arial" w:cs="Arial"/>
                <w:sz w:val="12"/>
                <w:szCs w:val="12"/>
              </w:rPr>
            </w:pPr>
          </w:p>
        </w:tc>
      </w:tr>
      <w:tr w:rsidR="002A4DDF" w:rsidRPr="00937C8B" w14:paraId="1DAD0AEC" w14:textId="77777777" w:rsidTr="00935676">
        <w:trPr>
          <w:cantSplit/>
        </w:trPr>
        <w:tc>
          <w:tcPr>
            <w:tcW w:w="1696" w:type="dxa"/>
            <w:tcBorders>
              <w:left w:val="single" w:sz="4" w:space="0" w:color="auto"/>
            </w:tcBorders>
            <w:shd w:val="clear" w:color="auto" w:fill="auto"/>
          </w:tcPr>
          <w:p w14:paraId="73B05D5C" w14:textId="77777777" w:rsidR="002A4DDF" w:rsidRPr="00937C8B" w:rsidRDefault="002A4DDF" w:rsidP="009110ED">
            <w:pPr>
              <w:rPr>
                <w:rFonts w:ascii="Arial" w:hAnsi="Arial" w:cs="Arial"/>
                <w:sz w:val="12"/>
                <w:szCs w:val="12"/>
              </w:rPr>
            </w:pPr>
          </w:p>
        </w:tc>
        <w:tc>
          <w:tcPr>
            <w:tcW w:w="1843" w:type="dxa"/>
            <w:shd w:val="clear" w:color="auto" w:fill="auto"/>
          </w:tcPr>
          <w:p w14:paraId="4FFA879C" w14:textId="77777777" w:rsidR="002A4DDF" w:rsidRPr="00937C8B" w:rsidRDefault="002A4DDF" w:rsidP="009110ED">
            <w:pPr>
              <w:rPr>
                <w:rFonts w:ascii="Arial" w:hAnsi="Arial" w:cs="Arial"/>
                <w:sz w:val="12"/>
                <w:szCs w:val="12"/>
              </w:rPr>
            </w:pPr>
          </w:p>
        </w:tc>
        <w:tc>
          <w:tcPr>
            <w:tcW w:w="2268" w:type="dxa"/>
            <w:shd w:val="clear" w:color="auto" w:fill="F2F2F2"/>
            <w:hideMark/>
          </w:tcPr>
          <w:p w14:paraId="593148CE" w14:textId="77777777" w:rsidR="002A4DDF" w:rsidRPr="00937C8B" w:rsidRDefault="002A4DDF" w:rsidP="009110ED">
            <w:pPr>
              <w:rPr>
                <w:rFonts w:ascii="Arial" w:hAnsi="Arial" w:cs="Arial"/>
                <w:sz w:val="12"/>
                <w:szCs w:val="12"/>
              </w:rPr>
            </w:pPr>
            <w:r>
              <w:rPr>
                <w:rFonts w:ascii="Arial" w:hAnsi="Arial"/>
                <w:sz w:val="12"/>
                <w:szCs w:val="12"/>
              </w:rPr>
              <w:t>Mendigorría</w:t>
            </w:r>
          </w:p>
        </w:tc>
        <w:tc>
          <w:tcPr>
            <w:tcW w:w="2268" w:type="dxa"/>
            <w:tcBorders>
              <w:right w:val="single" w:sz="4" w:space="0" w:color="auto"/>
            </w:tcBorders>
            <w:shd w:val="clear" w:color="auto" w:fill="D9D9D9"/>
            <w:hideMark/>
          </w:tcPr>
          <w:p w14:paraId="52C2FE92" w14:textId="77777777" w:rsidR="002A4DDF" w:rsidRPr="00937C8B" w:rsidRDefault="002A4DDF" w:rsidP="009110ED">
            <w:pPr>
              <w:rPr>
                <w:rFonts w:ascii="Arial" w:hAnsi="Arial" w:cs="Arial"/>
                <w:sz w:val="12"/>
                <w:szCs w:val="12"/>
              </w:rPr>
            </w:pPr>
          </w:p>
        </w:tc>
      </w:tr>
      <w:tr w:rsidR="002A4DDF" w:rsidRPr="00937C8B" w14:paraId="02A006C6" w14:textId="77777777" w:rsidTr="00935676">
        <w:trPr>
          <w:cantSplit/>
        </w:trPr>
        <w:tc>
          <w:tcPr>
            <w:tcW w:w="1696" w:type="dxa"/>
            <w:tcBorders>
              <w:left w:val="single" w:sz="4" w:space="0" w:color="auto"/>
            </w:tcBorders>
            <w:shd w:val="clear" w:color="auto" w:fill="auto"/>
          </w:tcPr>
          <w:p w14:paraId="1288B815" w14:textId="77777777" w:rsidR="002A4DDF" w:rsidRPr="00937C8B" w:rsidRDefault="002A4DDF" w:rsidP="009110ED">
            <w:pPr>
              <w:rPr>
                <w:rFonts w:ascii="Arial" w:hAnsi="Arial" w:cs="Arial"/>
                <w:sz w:val="12"/>
                <w:szCs w:val="12"/>
              </w:rPr>
            </w:pPr>
          </w:p>
        </w:tc>
        <w:tc>
          <w:tcPr>
            <w:tcW w:w="1843" w:type="dxa"/>
            <w:shd w:val="clear" w:color="auto" w:fill="auto"/>
          </w:tcPr>
          <w:p w14:paraId="220AC7E3" w14:textId="77777777" w:rsidR="002A4DDF" w:rsidRPr="00937C8B" w:rsidRDefault="002A4DDF" w:rsidP="009110ED">
            <w:pPr>
              <w:rPr>
                <w:rFonts w:ascii="Arial" w:hAnsi="Arial" w:cs="Arial"/>
                <w:sz w:val="12"/>
                <w:szCs w:val="12"/>
              </w:rPr>
            </w:pPr>
          </w:p>
        </w:tc>
        <w:tc>
          <w:tcPr>
            <w:tcW w:w="2268" w:type="dxa"/>
            <w:shd w:val="clear" w:color="auto" w:fill="F2F2F2"/>
            <w:hideMark/>
          </w:tcPr>
          <w:p w14:paraId="12A3032B" w14:textId="77777777" w:rsidR="002A4DDF" w:rsidRPr="00937C8B" w:rsidRDefault="002A4DDF" w:rsidP="009110ED">
            <w:pPr>
              <w:rPr>
                <w:rFonts w:ascii="Arial" w:hAnsi="Arial" w:cs="Arial"/>
                <w:sz w:val="12"/>
                <w:szCs w:val="12"/>
              </w:rPr>
            </w:pPr>
            <w:r>
              <w:rPr>
                <w:rFonts w:ascii="Arial" w:hAnsi="Arial"/>
                <w:sz w:val="12"/>
                <w:szCs w:val="12"/>
              </w:rPr>
              <w:t>Milagro</w:t>
            </w:r>
          </w:p>
        </w:tc>
        <w:tc>
          <w:tcPr>
            <w:tcW w:w="2268" w:type="dxa"/>
            <w:tcBorders>
              <w:right w:val="single" w:sz="4" w:space="0" w:color="auto"/>
            </w:tcBorders>
            <w:shd w:val="clear" w:color="auto" w:fill="D9D9D9"/>
            <w:hideMark/>
          </w:tcPr>
          <w:p w14:paraId="12BD48D6" w14:textId="77777777" w:rsidR="002A4DDF" w:rsidRPr="00937C8B" w:rsidRDefault="002A4DDF" w:rsidP="009110ED">
            <w:pPr>
              <w:rPr>
                <w:rFonts w:ascii="Arial" w:hAnsi="Arial" w:cs="Arial"/>
                <w:sz w:val="12"/>
                <w:szCs w:val="12"/>
              </w:rPr>
            </w:pPr>
          </w:p>
        </w:tc>
      </w:tr>
      <w:tr w:rsidR="002A4DDF" w:rsidRPr="00937C8B" w14:paraId="6057CD60" w14:textId="77777777" w:rsidTr="00935676">
        <w:trPr>
          <w:cantSplit/>
        </w:trPr>
        <w:tc>
          <w:tcPr>
            <w:tcW w:w="1696" w:type="dxa"/>
            <w:tcBorders>
              <w:left w:val="single" w:sz="4" w:space="0" w:color="auto"/>
            </w:tcBorders>
            <w:shd w:val="clear" w:color="auto" w:fill="auto"/>
          </w:tcPr>
          <w:p w14:paraId="503082EA" w14:textId="77777777" w:rsidR="002A4DDF" w:rsidRPr="00937C8B" w:rsidRDefault="002A4DDF" w:rsidP="009110ED">
            <w:pPr>
              <w:rPr>
                <w:rFonts w:ascii="Arial" w:hAnsi="Arial" w:cs="Arial"/>
                <w:sz w:val="12"/>
                <w:szCs w:val="12"/>
              </w:rPr>
            </w:pPr>
          </w:p>
        </w:tc>
        <w:tc>
          <w:tcPr>
            <w:tcW w:w="1843" w:type="dxa"/>
            <w:shd w:val="clear" w:color="auto" w:fill="auto"/>
          </w:tcPr>
          <w:p w14:paraId="701B328F" w14:textId="77777777" w:rsidR="002A4DDF" w:rsidRPr="00937C8B" w:rsidRDefault="002A4DDF" w:rsidP="009110ED">
            <w:pPr>
              <w:rPr>
                <w:rFonts w:ascii="Arial" w:hAnsi="Arial" w:cs="Arial"/>
                <w:sz w:val="12"/>
                <w:szCs w:val="12"/>
              </w:rPr>
            </w:pPr>
          </w:p>
        </w:tc>
        <w:tc>
          <w:tcPr>
            <w:tcW w:w="2268" w:type="dxa"/>
            <w:shd w:val="clear" w:color="auto" w:fill="F2F2F2"/>
            <w:hideMark/>
          </w:tcPr>
          <w:p w14:paraId="5E6F89D7" w14:textId="77777777" w:rsidR="002A4DDF" w:rsidRPr="00937C8B" w:rsidRDefault="002A4DDF" w:rsidP="009110ED">
            <w:pPr>
              <w:rPr>
                <w:rFonts w:ascii="Arial" w:hAnsi="Arial" w:cs="Arial"/>
                <w:sz w:val="12"/>
                <w:szCs w:val="12"/>
              </w:rPr>
            </w:pPr>
            <w:r>
              <w:rPr>
                <w:rFonts w:ascii="Arial" w:hAnsi="Arial"/>
                <w:sz w:val="12"/>
                <w:szCs w:val="12"/>
              </w:rPr>
              <w:t>Mirafuentes</w:t>
            </w:r>
          </w:p>
        </w:tc>
        <w:tc>
          <w:tcPr>
            <w:tcW w:w="2268" w:type="dxa"/>
            <w:tcBorders>
              <w:right w:val="single" w:sz="4" w:space="0" w:color="auto"/>
            </w:tcBorders>
            <w:shd w:val="clear" w:color="auto" w:fill="D9D9D9"/>
            <w:hideMark/>
          </w:tcPr>
          <w:p w14:paraId="7807DA8A" w14:textId="77777777" w:rsidR="002A4DDF" w:rsidRPr="00937C8B" w:rsidRDefault="002A4DDF" w:rsidP="009110ED">
            <w:pPr>
              <w:rPr>
                <w:rFonts w:ascii="Arial" w:hAnsi="Arial" w:cs="Arial"/>
                <w:sz w:val="12"/>
                <w:szCs w:val="12"/>
              </w:rPr>
            </w:pPr>
          </w:p>
        </w:tc>
      </w:tr>
      <w:tr w:rsidR="002A4DDF" w:rsidRPr="00937C8B" w14:paraId="681E3BE6" w14:textId="77777777" w:rsidTr="00935676">
        <w:trPr>
          <w:cantSplit/>
        </w:trPr>
        <w:tc>
          <w:tcPr>
            <w:tcW w:w="1696" w:type="dxa"/>
            <w:tcBorders>
              <w:left w:val="single" w:sz="4" w:space="0" w:color="auto"/>
            </w:tcBorders>
            <w:shd w:val="clear" w:color="auto" w:fill="auto"/>
          </w:tcPr>
          <w:p w14:paraId="236ED5C9" w14:textId="77777777" w:rsidR="002A4DDF" w:rsidRPr="00937C8B" w:rsidRDefault="002A4DDF" w:rsidP="009110ED">
            <w:pPr>
              <w:rPr>
                <w:rFonts w:ascii="Arial" w:hAnsi="Arial" w:cs="Arial"/>
                <w:sz w:val="12"/>
                <w:szCs w:val="12"/>
              </w:rPr>
            </w:pPr>
          </w:p>
        </w:tc>
        <w:tc>
          <w:tcPr>
            <w:tcW w:w="1843" w:type="dxa"/>
            <w:shd w:val="clear" w:color="auto" w:fill="auto"/>
          </w:tcPr>
          <w:p w14:paraId="6E0C47CC" w14:textId="77777777" w:rsidR="002A4DDF" w:rsidRPr="00937C8B" w:rsidRDefault="002A4DDF" w:rsidP="009110ED">
            <w:pPr>
              <w:rPr>
                <w:rFonts w:ascii="Arial" w:hAnsi="Arial" w:cs="Arial"/>
                <w:sz w:val="12"/>
                <w:szCs w:val="12"/>
              </w:rPr>
            </w:pPr>
          </w:p>
        </w:tc>
        <w:tc>
          <w:tcPr>
            <w:tcW w:w="2268" w:type="dxa"/>
            <w:shd w:val="clear" w:color="auto" w:fill="F2F2F2"/>
            <w:hideMark/>
          </w:tcPr>
          <w:p w14:paraId="682B5DC2" w14:textId="77777777" w:rsidR="002A4DDF" w:rsidRPr="00937C8B" w:rsidRDefault="002A4DDF" w:rsidP="009110ED">
            <w:pPr>
              <w:rPr>
                <w:rFonts w:ascii="Arial" w:hAnsi="Arial" w:cs="Arial"/>
                <w:sz w:val="12"/>
                <w:szCs w:val="12"/>
              </w:rPr>
            </w:pPr>
            <w:r>
              <w:rPr>
                <w:rFonts w:ascii="Arial" w:hAnsi="Arial"/>
                <w:sz w:val="12"/>
                <w:szCs w:val="12"/>
              </w:rPr>
              <w:t>Miranda de Arga</w:t>
            </w:r>
          </w:p>
        </w:tc>
        <w:tc>
          <w:tcPr>
            <w:tcW w:w="2268" w:type="dxa"/>
            <w:tcBorders>
              <w:right w:val="single" w:sz="4" w:space="0" w:color="auto"/>
            </w:tcBorders>
            <w:shd w:val="clear" w:color="auto" w:fill="D9D9D9"/>
            <w:hideMark/>
          </w:tcPr>
          <w:p w14:paraId="62B8D708" w14:textId="77777777" w:rsidR="002A4DDF" w:rsidRPr="00937C8B" w:rsidRDefault="002A4DDF" w:rsidP="009110ED">
            <w:pPr>
              <w:rPr>
                <w:rFonts w:ascii="Arial" w:hAnsi="Arial" w:cs="Arial"/>
                <w:sz w:val="12"/>
                <w:szCs w:val="12"/>
              </w:rPr>
            </w:pPr>
          </w:p>
        </w:tc>
      </w:tr>
      <w:tr w:rsidR="002A4DDF" w:rsidRPr="00937C8B" w14:paraId="594A2671" w14:textId="77777777" w:rsidTr="00935676">
        <w:trPr>
          <w:cantSplit/>
        </w:trPr>
        <w:tc>
          <w:tcPr>
            <w:tcW w:w="1696" w:type="dxa"/>
            <w:tcBorders>
              <w:left w:val="single" w:sz="4" w:space="0" w:color="auto"/>
            </w:tcBorders>
            <w:shd w:val="clear" w:color="auto" w:fill="auto"/>
          </w:tcPr>
          <w:p w14:paraId="6AECD945" w14:textId="77777777" w:rsidR="002A4DDF" w:rsidRPr="00937C8B" w:rsidRDefault="002A4DDF" w:rsidP="009110ED">
            <w:pPr>
              <w:rPr>
                <w:rFonts w:ascii="Arial" w:hAnsi="Arial" w:cs="Arial"/>
                <w:sz w:val="12"/>
                <w:szCs w:val="12"/>
              </w:rPr>
            </w:pPr>
          </w:p>
        </w:tc>
        <w:tc>
          <w:tcPr>
            <w:tcW w:w="1843" w:type="dxa"/>
            <w:shd w:val="clear" w:color="auto" w:fill="auto"/>
          </w:tcPr>
          <w:p w14:paraId="1B58096E" w14:textId="77777777" w:rsidR="002A4DDF" w:rsidRPr="00937C8B" w:rsidRDefault="002A4DDF" w:rsidP="009110ED">
            <w:pPr>
              <w:rPr>
                <w:rFonts w:ascii="Arial" w:hAnsi="Arial" w:cs="Arial"/>
                <w:sz w:val="12"/>
                <w:szCs w:val="12"/>
              </w:rPr>
            </w:pPr>
          </w:p>
        </w:tc>
        <w:tc>
          <w:tcPr>
            <w:tcW w:w="2268" w:type="dxa"/>
            <w:shd w:val="clear" w:color="auto" w:fill="F2F2F2"/>
            <w:hideMark/>
          </w:tcPr>
          <w:p w14:paraId="1B6E8107" w14:textId="77777777" w:rsidR="002A4DDF" w:rsidRPr="00937C8B" w:rsidRDefault="002A4DDF" w:rsidP="009110ED">
            <w:pPr>
              <w:rPr>
                <w:rFonts w:ascii="Arial" w:hAnsi="Arial" w:cs="Arial"/>
                <w:sz w:val="12"/>
                <w:szCs w:val="12"/>
              </w:rPr>
            </w:pPr>
            <w:r>
              <w:rPr>
                <w:rFonts w:ascii="Arial" w:hAnsi="Arial"/>
                <w:sz w:val="12"/>
                <w:szCs w:val="12"/>
              </w:rPr>
              <w:t>Mues</w:t>
            </w:r>
          </w:p>
        </w:tc>
        <w:tc>
          <w:tcPr>
            <w:tcW w:w="2268" w:type="dxa"/>
            <w:tcBorders>
              <w:right w:val="single" w:sz="4" w:space="0" w:color="auto"/>
            </w:tcBorders>
            <w:shd w:val="clear" w:color="auto" w:fill="D9D9D9"/>
            <w:hideMark/>
          </w:tcPr>
          <w:p w14:paraId="7958A8A1" w14:textId="77777777" w:rsidR="002A4DDF" w:rsidRPr="00937C8B" w:rsidRDefault="002A4DDF" w:rsidP="009110ED">
            <w:pPr>
              <w:rPr>
                <w:rFonts w:ascii="Arial" w:hAnsi="Arial" w:cs="Arial"/>
                <w:sz w:val="12"/>
                <w:szCs w:val="12"/>
              </w:rPr>
            </w:pPr>
          </w:p>
        </w:tc>
      </w:tr>
      <w:tr w:rsidR="002A4DDF" w:rsidRPr="00937C8B" w14:paraId="20D89D0C" w14:textId="77777777" w:rsidTr="00935676">
        <w:trPr>
          <w:cantSplit/>
        </w:trPr>
        <w:tc>
          <w:tcPr>
            <w:tcW w:w="1696" w:type="dxa"/>
            <w:tcBorders>
              <w:left w:val="single" w:sz="4" w:space="0" w:color="auto"/>
            </w:tcBorders>
            <w:shd w:val="clear" w:color="auto" w:fill="auto"/>
          </w:tcPr>
          <w:p w14:paraId="0CB1A3EE" w14:textId="77777777" w:rsidR="002A4DDF" w:rsidRPr="00937C8B" w:rsidRDefault="002A4DDF" w:rsidP="009110ED">
            <w:pPr>
              <w:rPr>
                <w:rFonts w:ascii="Arial" w:hAnsi="Arial" w:cs="Arial"/>
                <w:sz w:val="12"/>
                <w:szCs w:val="12"/>
              </w:rPr>
            </w:pPr>
          </w:p>
        </w:tc>
        <w:tc>
          <w:tcPr>
            <w:tcW w:w="1843" w:type="dxa"/>
            <w:shd w:val="clear" w:color="auto" w:fill="auto"/>
          </w:tcPr>
          <w:p w14:paraId="15EAA400" w14:textId="77777777" w:rsidR="002A4DDF" w:rsidRPr="00937C8B" w:rsidRDefault="002A4DDF" w:rsidP="009110ED">
            <w:pPr>
              <w:rPr>
                <w:rFonts w:ascii="Arial" w:hAnsi="Arial" w:cs="Arial"/>
                <w:sz w:val="12"/>
                <w:szCs w:val="12"/>
              </w:rPr>
            </w:pPr>
          </w:p>
        </w:tc>
        <w:tc>
          <w:tcPr>
            <w:tcW w:w="2268" w:type="dxa"/>
            <w:shd w:val="clear" w:color="auto" w:fill="F2F2F2"/>
            <w:hideMark/>
          </w:tcPr>
          <w:p w14:paraId="65A252DD" w14:textId="77777777" w:rsidR="002A4DDF" w:rsidRPr="00937C8B" w:rsidRDefault="002A4DDF" w:rsidP="009110ED">
            <w:pPr>
              <w:rPr>
                <w:rFonts w:ascii="Arial" w:hAnsi="Arial" w:cs="Arial"/>
                <w:sz w:val="12"/>
                <w:szCs w:val="12"/>
              </w:rPr>
            </w:pPr>
            <w:r>
              <w:rPr>
                <w:rFonts w:ascii="Arial" w:hAnsi="Arial"/>
                <w:sz w:val="12"/>
                <w:szCs w:val="12"/>
              </w:rPr>
              <w:t>Nazar</w:t>
            </w:r>
          </w:p>
        </w:tc>
        <w:tc>
          <w:tcPr>
            <w:tcW w:w="2268" w:type="dxa"/>
            <w:tcBorders>
              <w:right w:val="single" w:sz="4" w:space="0" w:color="auto"/>
            </w:tcBorders>
            <w:shd w:val="clear" w:color="auto" w:fill="D9D9D9"/>
            <w:hideMark/>
          </w:tcPr>
          <w:p w14:paraId="1F51D156" w14:textId="77777777" w:rsidR="002A4DDF" w:rsidRPr="00937C8B" w:rsidRDefault="002A4DDF" w:rsidP="009110ED">
            <w:pPr>
              <w:rPr>
                <w:rFonts w:ascii="Arial" w:hAnsi="Arial" w:cs="Arial"/>
                <w:sz w:val="12"/>
                <w:szCs w:val="12"/>
              </w:rPr>
            </w:pPr>
          </w:p>
        </w:tc>
      </w:tr>
      <w:tr w:rsidR="002A4DDF" w:rsidRPr="00937C8B" w14:paraId="1CA31C78" w14:textId="77777777" w:rsidTr="00935676">
        <w:trPr>
          <w:cantSplit/>
        </w:trPr>
        <w:tc>
          <w:tcPr>
            <w:tcW w:w="1696" w:type="dxa"/>
            <w:tcBorders>
              <w:left w:val="single" w:sz="4" w:space="0" w:color="auto"/>
            </w:tcBorders>
            <w:shd w:val="clear" w:color="auto" w:fill="auto"/>
          </w:tcPr>
          <w:p w14:paraId="310D8FCE" w14:textId="77777777" w:rsidR="002A4DDF" w:rsidRPr="00937C8B" w:rsidRDefault="002A4DDF" w:rsidP="009110ED">
            <w:pPr>
              <w:rPr>
                <w:rFonts w:ascii="Arial" w:hAnsi="Arial" w:cs="Arial"/>
                <w:sz w:val="12"/>
                <w:szCs w:val="12"/>
              </w:rPr>
            </w:pPr>
          </w:p>
        </w:tc>
        <w:tc>
          <w:tcPr>
            <w:tcW w:w="1843" w:type="dxa"/>
            <w:shd w:val="clear" w:color="auto" w:fill="auto"/>
          </w:tcPr>
          <w:p w14:paraId="70529F62" w14:textId="77777777" w:rsidR="002A4DDF" w:rsidRPr="00937C8B" w:rsidRDefault="002A4DDF" w:rsidP="009110ED">
            <w:pPr>
              <w:rPr>
                <w:rFonts w:ascii="Arial" w:hAnsi="Arial" w:cs="Arial"/>
                <w:sz w:val="12"/>
                <w:szCs w:val="12"/>
              </w:rPr>
            </w:pPr>
          </w:p>
        </w:tc>
        <w:tc>
          <w:tcPr>
            <w:tcW w:w="2268" w:type="dxa"/>
            <w:shd w:val="clear" w:color="auto" w:fill="F2F2F2"/>
            <w:hideMark/>
          </w:tcPr>
          <w:p w14:paraId="2CB972BB" w14:textId="77777777" w:rsidR="002A4DDF" w:rsidRPr="00937C8B" w:rsidRDefault="002A4DDF" w:rsidP="009110ED">
            <w:pPr>
              <w:rPr>
                <w:rFonts w:ascii="Arial" w:hAnsi="Arial" w:cs="Arial"/>
                <w:sz w:val="12"/>
                <w:szCs w:val="12"/>
              </w:rPr>
            </w:pPr>
            <w:r>
              <w:rPr>
                <w:rFonts w:ascii="Arial" w:hAnsi="Arial"/>
                <w:sz w:val="12"/>
                <w:szCs w:val="12"/>
              </w:rPr>
              <w:t>Odieta</w:t>
            </w:r>
          </w:p>
        </w:tc>
        <w:tc>
          <w:tcPr>
            <w:tcW w:w="2268" w:type="dxa"/>
            <w:tcBorders>
              <w:right w:val="single" w:sz="4" w:space="0" w:color="auto"/>
            </w:tcBorders>
            <w:shd w:val="clear" w:color="auto" w:fill="D9D9D9"/>
            <w:hideMark/>
          </w:tcPr>
          <w:p w14:paraId="61733AC9" w14:textId="77777777" w:rsidR="002A4DDF" w:rsidRPr="00937C8B" w:rsidRDefault="002A4DDF" w:rsidP="009110ED">
            <w:pPr>
              <w:rPr>
                <w:rFonts w:ascii="Arial" w:hAnsi="Arial" w:cs="Arial"/>
                <w:sz w:val="12"/>
                <w:szCs w:val="12"/>
              </w:rPr>
            </w:pPr>
          </w:p>
        </w:tc>
      </w:tr>
      <w:tr w:rsidR="002A4DDF" w:rsidRPr="00937C8B" w14:paraId="4FADFDB0" w14:textId="77777777" w:rsidTr="00935676">
        <w:trPr>
          <w:cantSplit/>
        </w:trPr>
        <w:tc>
          <w:tcPr>
            <w:tcW w:w="1696" w:type="dxa"/>
            <w:tcBorders>
              <w:left w:val="single" w:sz="4" w:space="0" w:color="auto"/>
            </w:tcBorders>
            <w:shd w:val="clear" w:color="auto" w:fill="auto"/>
          </w:tcPr>
          <w:p w14:paraId="3887ED34" w14:textId="77777777" w:rsidR="002A4DDF" w:rsidRPr="00937C8B" w:rsidRDefault="002A4DDF" w:rsidP="009110ED">
            <w:pPr>
              <w:rPr>
                <w:rFonts w:ascii="Arial" w:hAnsi="Arial" w:cs="Arial"/>
                <w:sz w:val="12"/>
                <w:szCs w:val="12"/>
              </w:rPr>
            </w:pPr>
          </w:p>
        </w:tc>
        <w:tc>
          <w:tcPr>
            <w:tcW w:w="1843" w:type="dxa"/>
            <w:shd w:val="clear" w:color="auto" w:fill="auto"/>
          </w:tcPr>
          <w:p w14:paraId="51A3B3EA" w14:textId="77777777" w:rsidR="002A4DDF" w:rsidRPr="00937C8B" w:rsidRDefault="002A4DDF" w:rsidP="009110ED">
            <w:pPr>
              <w:rPr>
                <w:rFonts w:ascii="Arial" w:hAnsi="Arial" w:cs="Arial"/>
                <w:sz w:val="12"/>
                <w:szCs w:val="12"/>
              </w:rPr>
            </w:pPr>
          </w:p>
        </w:tc>
        <w:tc>
          <w:tcPr>
            <w:tcW w:w="2268" w:type="dxa"/>
            <w:shd w:val="clear" w:color="auto" w:fill="F2F2F2"/>
            <w:hideMark/>
          </w:tcPr>
          <w:p w14:paraId="1039F18D" w14:textId="77777777" w:rsidR="002A4DDF" w:rsidRPr="00937C8B" w:rsidRDefault="002A4DDF" w:rsidP="009110ED">
            <w:pPr>
              <w:rPr>
                <w:rFonts w:ascii="Arial" w:hAnsi="Arial" w:cs="Arial"/>
                <w:sz w:val="12"/>
                <w:szCs w:val="12"/>
              </w:rPr>
            </w:pPr>
            <w:r>
              <w:rPr>
                <w:rFonts w:ascii="Arial" w:hAnsi="Arial"/>
                <w:sz w:val="12"/>
                <w:szCs w:val="12"/>
              </w:rPr>
              <w:t>Oiz</w:t>
            </w:r>
          </w:p>
        </w:tc>
        <w:tc>
          <w:tcPr>
            <w:tcW w:w="2268" w:type="dxa"/>
            <w:tcBorders>
              <w:right w:val="single" w:sz="4" w:space="0" w:color="auto"/>
            </w:tcBorders>
            <w:shd w:val="clear" w:color="auto" w:fill="D9D9D9"/>
            <w:hideMark/>
          </w:tcPr>
          <w:p w14:paraId="19F46406" w14:textId="77777777" w:rsidR="002A4DDF" w:rsidRPr="00937C8B" w:rsidRDefault="002A4DDF" w:rsidP="009110ED">
            <w:pPr>
              <w:rPr>
                <w:rFonts w:ascii="Arial" w:hAnsi="Arial" w:cs="Arial"/>
                <w:sz w:val="12"/>
                <w:szCs w:val="12"/>
              </w:rPr>
            </w:pPr>
          </w:p>
        </w:tc>
      </w:tr>
      <w:tr w:rsidR="002A4DDF" w:rsidRPr="00937C8B" w14:paraId="11944784" w14:textId="77777777" w:rsidTr="00935676">
        <w:trPr>
          <w:cantSplit/>
        </w:trPr>
        <w:tc>
          <w:tcPr>
            <w:tcW w:w="1696" w:type="dxa"/>
            <w:tcBorders>
              <w:left w:val="single" w:sz="4" w:space="0" w:color="auto"/>
            </w:tcBorders>
            <w:shd w:val="clear" w:color="auto" w:fill="auto"/>
          </w:tcPr>
          <w:p w14:paraId="60EA3C07" w14:textId="77777777" w:rsidR="002A4DDF" w:rsidRPr="00937C8B" w:rsidRDefault="002A4DDF" w:rsidP="009110ED">
            <w:pPr>
              <w:rPr>
                <w:rFonts w:ascii="Arial" w:hAnsi="Arial" w:cs="Arial"/>
                <w:sz w:val="12"/>
                <w:szCs w:val="12"/>
              </w:rPr>
            </w:pPr>
          </w:p>
        </w:tc>
        <w:tc>
          <w:tcPr>
            <w:tcW w:w="1843" w:type="dxa"/>
            <w:shd w:val="clear" w:color="auto" w:fill="auto"/>
          </w:tcPr>
          <w:p w14:paraId="150DB263" w14:textId="77777777" w:rsidR="002A4DDF" w:rsidRPr="00937C8B" w:rsidRDefault="002A4DDF" w:rsidP="009110ED">
            <w:pPr>
              <w:rPr>
                <w:rFonts w:ascii="Arial" w:hAnsi="Arial" w:cs="Arial"/>
                <w:sz w:val="12"/>
                <w:szCs w:val="12"/>
              </w:rPr>
            </w:pPr>
          </w:p>
        </w:tc>
        <w:tc>
          <w:tcPr>
            <w:tcW w:w="2268" w:type="dxa"/>
            <w:shd w:val="clear" w:color="auto" w:fill="F2F2F2"/>
            <w:hideMark/>
          </w:tcPr>
          <w:p w14:paraId="49812B46" w14:textId="77777777" w:rsidR="002A4DDF" w:rsidRPr="00937C8B" w:rsidRDefault="002A4DDF" w:rsidP="009110ED">
            <w:pPr>
              <w:rPr>
                <w:rFonts w:ascii="Arial" w:hAnsi="Arial" w:cs="Arial"/>
                <w:sz w:val="12"/>
                <w:szCs w:val="12"/>
              </w:rPr>
            </w:pPr>
            <w:r>
              <w:rPr>
                <w:rFonts w:ascii="Arial" w:hAnsi="Arial"/>
                <w:sz w:val="12"/>
                <w:szCs w:val="12"/>
              </w:rPr>
              <w:t>Orreaga/Roncesvalles</w:t>
            </w:r>
          </w:p>
        </w:tc>
        <w:tc>
          <w:tcPr>
            <w:tcW w:w="2268" w:type="dxa"/>
            <w:tcBorders>
              <w:right w:val="single" w:sz="4" w:space="0" w:color="auto"/>
            </w:tcBorders>
            <w:shd w:val="clear" w:color="auto" w:fill="D9D9D9"/>
            <w:hideMark/>
          </w:tcPr>
          <w:p w14:paraId="7B65F5D1" w14:textId="77777777" w:rsidR="002A4DDF" w:rsidRPr="00937C8B" w:rsidRDefault="002A4DDF" w:rsidP="009110ED">
            <w:pPr>
              <w:rPr>
                <w:rFonts w:ascii="Arial" w:hAnsi="Arial" w:cs="Arial"/>
                <w:sz w:val="12"/>
                <w:szCs w:val="12"/>
              </w:rPr>
            </w:pPr>
          </w:p>
        </w:tc>
      </w:tr>
      <w:tr w:rsidR="002A4DDF" w:rsidRPr="00937C8B" w14:paraId="1DF5E035" w14:textId="77777777" w:rsidTr="00935676">
        <w:trPr>
          <w:cantSplit/>
        </w:trPr>
        <w:tc>
          <w:tcPr>
            <w:tcW w:w="1696" w:type="dxa"/>
            <w:tcBorders>
              <w:left w:val="single" w:sz="4" w:space="0" w:color="auto"/>
            </w:tcBorders>
            <w:shd w:val="clear" w:color="auto" w:fill="auto"/>
          </w:tcPr>
          <w:p w14:paraId="00885EB6" w14:textId="77777777" w:rsidR="002A4DDF" w:rsidRPr="00937C8B" w:rsidRDefault="002A4DDF" w:rsidP="009110ED">
            <w:pPr>
              <w:rPr>
                <w:rFonts w:ascii="Arial" w:hAnsi="Arial" w:cs="Arial"/>
                <w:sz w:val="12"/>
                <w:szCs w:val="12"/>
              </w:rPr>
            </w:pPr>
          </w:p>
        </w:tc>
        <w:tc>
          <w:tcPr>
            <w:tcW w:w="1843" w:type="dxa"/>
            <w:shd w:val="clear" w:color="auto" w:fill="auto"/>
          </w:tcPr>
          <w:p w14:paraId="0AA611BC" w14:textId="77777777" w:rsidR="002A4DDF" w:rsidRPr="00937C8B" w:rsidRDefault="002A4DDF" w:rsidP="009110ED">
            <w:pPr>
              <w:rPr>
                <w:rFonts w:ascii="Arial" w:hAnsi="Arial" w:cs="Arial"/>
                <w:sz w:val="12"/>
                <w:szCs w:val="12"/>
              </w:rPr>
            </w:pPr>
          </w:p>
        </w:tc>
        <w:tc>
          <w:tcPr>
            <w:tcW w:w="2268" w:type="dxa"/>
            <w:shd w:val="clear" w:color="auto" w:fill="F2F2F2"/>
            <w:hideMark/>
          </w:tcPr>
          <w:p w14:paraId="200313D2" w14:textId="77777777" w:rsidR="002A4DDF" w:rsidRPr="00937C8B" w:rsidRDefault="002A4DDF" w:rsidP="009110ED">
            <w:pPr>
              <w:rPr>
                <w:rFonts w:ascii="Arial" w:hAnsi="Arial" w:cs="Arial"/>
                <w:sz w:val="12"/>
                <w:szCs w:val="12"/>
              </w:rPr>
            </w:pPr>
            <w:r>
              <w:rPr>
                <w:rFonts w:ascii="Arial" w:hAnsi="Arial"/>
                <w:sz w:val="12"/>
                <w:szCs w:val="12"/>
              </w:rPr>
              <w:t>Saldías</w:t>
            </w:r>
          </w:p>
        </w:tc>
        <w:tc>
          <w:tcPr>
            <w:tcW w:w="2268" w:type="dxa"/>
            <w:tcBorders>
              <w:right w:val="single" w:sz="4" w:space="0" w:color="auto"/>
            </w:tcBorders>
            <w:shd w:val="clear" w:color="auto" w:fill="D9D9D9"/>
            <w:hideMark/>
          </w:tcPr>
          <w:p w14:paraId="311C18F3" w14:textId="77777777" w:rsidR="002A4DDF" w:rsidRPr="00937C8B" w:rsidRDefault="002A4DDF" w:rsidP="009110ED">
            <w:pPr>
              <w:rPr>
                <w:rFonts w:ascii="Arial" w:hAnsi="Arial" w:cs="Arial"/>
                <w:sz w:val="12"/>
                <w:szCs w:val="12"/>
              </w:rPr>
            </w:pPr>
          </w:p>
        </w:tc>
      </w:tr>
      <w:tr w:rsidR="002A4DDF" w:rsidRPr="00937C8B" w14:paraId="063DA8F8" w14:textId="77777777" w:rsidTr="00935676">
        <w:trPr>
          <w:cantSplit/>
        </w:trPr>
        <w:tc>
          <w:tcPr>
            <w:tcW w:w="1696" w:type="dxa"/>
            <w:tcBorders>
              <w:left w:val="single" w:sz="4" w:space="0" w:color="auto"/>
            </w:tcBorders>
            <w:shd w:val="clear" w:color="auto" w:fill="auto"/>
          </w:tcPr>
          <w:p w14:paraId="7CA71CBE" w14:textId="77777777" w:rsidR="002A4DDF" w:rsidRPr="00937C8B" w:rsidRDefault="002A4DDF" w:rsidP="009110ED">
            <w:pPr>
              <w:rPr>
                <w:rFonts w:ascii="Arial" w:hAnsi="Arial" w:cs="Arial"/>
                <w:sz w:val="12"/>
                <w:szCs w:val="12"/>
              </w:rPr>
            </w:pPr>
          </w:p>
        </w:tc>
        <w:tc>
          <w:tcPr>
            <w:tcW w:w="1843" w:type="dxa"/>
            <w:shd w:val="clear" w:color="auto" w:fill="auto"/>
          </w:tcPr>
          <w:p w14:paraId="32069228" w14:textId="77777777" w:rsidR="002A4DDF" w:rsidRPr="00937C8B" w:rsidRDefault="002A4DDF" w:rsidP="009110ED">
            <w:pPr>
              <w:rPr>
                <w:rFonts w:ascii="Arial" w:hAnsi="Arial" w:cs="Arial"/>
                <w:sz w:val="12"/>
                <w:szCs w:val="12"/>
              </w:rPr>
            </w:pPr>
          </w:p>
        </w:tc>
        <w:tc>
          <w:tcPr>
            <w:tcW w:w="2268" w:type="dxa"/>
            <w:shd w:val="clear" w:color="auto" w:fill="F2F2F2"/>
            <w:hideMark/>
          </w:tcPr>
          <w:p w14:paraId="4121E4C5" w14:textId="77777777" w:rsidR="002A4DDF" w:rsidRPr="00937C8B" w:rsidRDefault="002A4DDF" w:rsidP="009110ED">
            <w:pPr>
              <w:rPr>
                <w:rFonts w:ascii="Arial" w:hAnsi="Arial" w:cs="Arial"/>
                <w:sz w:val="12"/>
                <w:szCs w:val="12"/>
              </w:rPr>
            </w:pPr>
            <w:r>
              <w:rPr>
                <w:rFonts w:ascii="Arial" w:hAnsi="Arial"/>
                <w:sz w:val="12"/>
                <w:szCs w:val="12"/>
              </w:rPr>
              <w:t>Sangüesa/Zangoza</w:t>
            </w:r>
          </w:p>
        </w:tc>
        <w:tc>
          <w:tcPr>
            <w:tcW w:w="2268" w:type="dxa"/>
            <w:tcBorders>
              <w:right w:val="single" w:sz="4" w:space="0" w:color="auto"/>
            </w:tcBorders>
            <w:shd w:val="clear" w:color="auto" w:fill="D9D9D9"/>
            <w:hideMark/>
          </w:tcPr>
          <w:p w14:paraId="4C52240B" w14:textId="77777777" w:rsidR="002A4DDF" w:rsidRPr="00937C8B" w:rsidRDefault="002A4DDF" w:rsidP="009110ED">
            <w:pPr>
              <w:rPr>
                <w:rFonts w:ascii="Arial" w:hAnsi="Arial" w:cs="Arial"/>
                <w:sz w:val="12"/>
                <w:szCs w:val="12"/>
              </w:rPr>
            </w:pPr>
          </w:p>
        </w:tc>
      </w:tr>
      <w:tr w:rsidR="002A4DDF" w:rsidRPr="00937C8B" w14:paraId="6F08ADBC" w14:textId="77777777" w:rsidTr="00935676">
        <w:trPr>
          <w:cantSplit/>
        </w:trPr>
        <w:tc>
          <w:tcPr>
            <w:tcW w:w="1696" w:type="dxa"/>
            <w:tcBorders>
              <w:left w:val="single" w:sz="4" w:space="0" w:color="auto"/>
            </w:tcBorders>
            <w:shd w:val="clear" w:color="auto" w:fill="auto"/>
          </w:tcPr>
          <w:p w14:paraId="0687E5F3" w14:textId="77777777" w:rsidR="002A4DDF" w:rsidRPr="00937C8B" w:rsidRDefault="002A4DDF" w:rsidP="009110ED">
            <w:pPr>
              <w:rPr>
                <w:rFonts w:ascii="Arial" w:hAnsi="Arial" w:cs="Arial"/>
                <w:sz w:val="12"/>
                <w:szCs w:val="12"/>
              </w:rPr>
            </w:pPr>
          </w:p>
        </w:tc>
        <w:tc>
          <w:tcPr>
            <w:tcW w:w="1843" w:type="dxa"/>
            <w:shd w:val="clear" w:color="auto" w:fill="auto"/>
          </w:tcPr>
          <w:p w14:paraId="268D4311" w14:textId="77777777" w:rsidR="002A4DDF" w:rsidRPr="00937C8B" w:rsidRDefault="002A4DDF" w:rsidP="009110ED">
            <w:pPr>
              <w:rPr>
                <w:rFonts w:ascii="Arial" w:hAnsi="Arial" w:cs="Arial"/>
                <w:sz w:val="12"/>
                <w:szCs w:val="12"/>
              </w:rPr>
            </w:pPr>
          </w:p>
        </w:tc>
        <w:tc>
          <w:tcPr>
            <w:tcW w:w="2268" w:type="dxa"/>
            <w:shd w:val="clear" w:color="auto" w:fill="F2F2F2"/>
            <w:hideMark/>
          </w:tcPr>
          <w:p w14:paraId="1452A7F7" w14:textId="77777777" w:rsidR="002A4DDF" w:rsidRPr="00937C8B" w:rsidRDefault="002A4DDF" w:rsidP="009110ED">
            <w:pPr>
              <w:rPr>
                <w:rFonts w:ascii="Arial" w:hAnsi="Arial" w:cs="Arial"/>
                <w:sz w:val="12"/>
                <w:szCs w:val="12"/>
              </w:rPr>
            </w:pPr>
            <w:r>
              <w:rPr>
                <w:rFonts w:ascii="Arial" w:hAnsi="Arial"/>
                <w:sz w:val="12"/>
                <w:szCs w:val="12"/>
              </w:rPr>
              <w:t>Sesma</w:t>
            </w:r>
          </w:p>
        </w:tc>
        <w:tc>
          <w:tcPr>
            <w:tcW w:w="2268" w:type="dxa"/>
            <w:tcBorders>
              <w:right w:val="single" w:sz="4" w:space="0" w:color="auto"/>
            </w:tcBorders>
            <w:shd w:val="clear" w:color="auto" w:fill="D9D9D9"/>
            <w:hideMark/>
          </w:tcPr>
          <w:p w14:paraId="42025877" w14:textId="77777777" w:rsidR="002A4DDF" w:rsidRPr="00937C8B" w:rsidRDefault="002A4DDF" w:rsidP="009110ED">
            <w:pPr>
              <w:rPr>
                <w:rFonts w:ascii="Arial" w:hAnsi="Arial" w:cs="Arial"/>
                <w:sz w:val="12"/>
                <w:szCs w:val="12"/>
              </w:rPr>
            </w:pPr>
          </w:p>
        </w:tc>
      </w:tr>
      <w:tr w:rsidR="002A4DDF" w:rsidRPr="00937C8B" w14:paraId="52256B9E" w14:textId="77777777" w:rsidTr="00935676">
        <w:trPr>
          <w:cantSplit/>
        </w:trPr>
        <w:tc>
          <w:tcPr>
            <w:tcW w:w="1696" w:type="dxa"/>
            <w:tcBorders>
              <w:left w:val="single" w:sz="4" w:space="0" w:color="auto"/>
            </w:tcBorders>
            <w:shd w:val="clear" w:color="auto" w:fill="auto"/>
          </w:tcPr>
          <w:p w14:paraId="3AFE03B4" w14:textId="77777777" w:rsidR="002A4DDF" w:rsidRPr="00937C8B" w:rsidRDefault="002A4DDF" w:rsidP="009110ED">
            <w:pPr>
              <w:rPr>
                <w:rFonts w:ascii="Arial" w:hAnsi="Arial" w:cs="Arial"/>
                <w:sz w:val="12"/>
                <w:szCs w:val="12"/>
              </w:rPr>
            </w:pPr>
          </w:p>
        </w:tc>
        <w:tc>
          <w:tcPr>
            <w:tcW w:w="1843" w:type="dxa"/>
            <w:shd w:val="clear" w:color="auto" w:fill="auto"/>
          </w:tcPr>
          <w:p w14:paraId="3DE0D45A" w14:textId="77777777" w:rsidR="002A4DDF" w:rsidRPr="00937C8B" w:rsidRDefault="002A4DDF" w:rsidP="009110ED">
            <w:pPr>
              <w:rPr>
                <w:rFonts w:ascii="Arial" w:hAnsi="Arial" w:cs="Arial"/>
                <w:sz w:val="12"/>
                <w:szCs w:val="12"/>
              </w:rPr>
            </w:pPr>
          </w:p>
        </w:tc>
        <w:tc>
          <w:tcPr>
            <w:tcW w:w="2268" w:type="dxa"/>
            <w:shd w:val="clear" w:color="auto" w:fill="F2F2F2"/>
            <w:hideMark/>
          </w:tcPr>
          <w:p w14:paraId="753F50DE" w14:textId="77777777" w:rsidR="002A4DDF" w:rsidRPr="00937C8B" w:rsidRDefault="002A4DDF" w:rsidP="009110ED">
            <w:pPr>
              <w:rPr>
                <w:rFonts w:ascii="Arial" w:hAnsi="Arial" w:cs="Arial"/>
                <w:sz w:val="12"/>
                <w:szCs w:val="12"/>
              </w:rPr>
            </w:pPr>
            <w:r>
              <w:rPr>
                <w:rFonts w:ascii="Arial" w:hAnsi="Arial"/>
                <w:sz w:val="12"/>
                <w:szCs w:val="12"/>
              </w:rPr>
              <w:t>Sierra de Aralar</w:t>
            </w:r>
          </w:p>
        </w:tc>
        <w:tc>
          <w:tcPr>
            <w:tcW w:w="2268" w:type="dxa"/>
            <w:tcBorders>
              <w:right w:val="single" w:sz="4" w:space="0" w:color="auto"/>
            </w:tcBorders>
            <w:shd w:val="clear" w:color="auto" w:fill="D9D9D9"/>
            <w:hideMark/>
          </w:tcPr>
          <w:p w14:paraId="190E3C21" w14:textId="77777777" w:rsidR="002A4DDF" w:rsidRPr="00937C8B" w:rsidRDefault="002A4DDF" w:rsidP="009110ED">
            <w:pPr>
              <w:rPr>
                <w:rFonts w:ascii="Arial" w:hAnsi="Arial" w:cs="Arial"/>
                <w:sz w:val="12"/>
                <w:szCs w:val="12"/>
              </w:rPr>
            </w:pPr>
          </w:p>
        </w:tc>
      </w:tr>
      <w:tr w:rsidR="002A4DDF" w:rsidRPr="00937C8B" w14:paraId="31CACDAF" w14:textId="77777777" w:rsidTr="00935676">
        <w:trPr>
          <w:cantSplit/>
        </w:trPr>
        <w:tc>
          <w:tcPr>
            <w:tcW w:w="1696" w:type="dxa"/>
            <w:tcBorders>
              <w:left w:val="single" w:sz="4" w:space="0" w:color="auto"/>
            </w:tcBorders>
            <w:shd w:val="clear" w:color="auto" w:fill="auto"/>
          </w:tcPr>
          <w:p w14:paraId="009E7DFE" w14:textId="77777777" w:rsidR="002A4DDF" w:rsidRPr="00937C8B" w:rsidRDefault="002A4DDF" w:rsidP="009110ED">
            <w:pPr>
              <w:rPr>
                <w:rFonts w:ascii="Arial" w:hAnsi="Arial" w:cs="Arial"/>
                <w:sz w:val="12"/>
                <w:szCs w:val="12"/>
              </w:rPr>
            </w:pPr>
          </w:p>
        </w:tc>
        <w:tc>
          <w:tcPr>
            <w:tcW w:w="1843" w:type="dxa"/>
            <w:shd w:val="clear" w:color="auto" w:fill="auto"/>
          </w:tcPr>
          <w:p w14:paraId="5B543AD6" w14:textId="77777777" w:rsidR="002A4DDF" w:rsidRPr="00937C8B" w:rsidRDefault="002A4DDF" w:rsidP="009110ED">
            <w:pPr>
              <w:rPr>
                <w:rFonts w:ascii="Arial" w:hAnsi="Arial" w:cs="Arial"/>
                <w:sz w:val="12"/>
                <w:szCs w:val="12"/>
              </w:rPr>
            </w:pPr>
          </w:p>
        </w:tc>
        <w:tc>
          <w:tcPr>
            <w:tcW w:w="2268" w:type="dxa"/>
            <w:shd w:val="clear" w:color="auto" w:fill="F2F2F2"/>
            <w:hideMark/>
          </w:tcPr>
          <w:p w14:paraId="4961FB1C" w14:textId="77777777" w:rsidR="002A4DDF" w:rsidRPr="00937C8B" w:rsidRDefault="002A4DDF" w:rsidP="009110ED">
            <w:pPr>
              <w:rPr>
                <w:rFonts w:ascii="Arial" w:hAnsi="Arial" w:cs="Arial"/>
                <w:sz w:val="12"/>
                <w:szCs w:val="12"/>
              </w:rPr>
            </w:pPr>
            <w:r>
              <w:rPr>
                <w:rFonts w:ascii="Arial" w:hAnsi="Arial"/>
                <w:sz w:val="12"/>
                <w:szCs w:val="12"/>
              </w:rPr>
              <w:t>Torres del Río</w:t>
            </w:r>
          </w:p>
        </w:tc>
        <w:tc>
          <w:tcPr>
            <w:tcW w:w="2268" w:type="dxa"/>
            <w:tcBorders>
              <w:right w:val="single" w:sz="4" w:space="0" w:color="auto"/>
            </w:tcBorders>
            <w:shd w:val="clear" w:color="auto" w:fill="D9D9D9"/>
            <w:hideMark/>
          </w:tcPr>
          <w:p w14:paraId="4EEB3E88" w14:textId="77777777" w:rsidR="002A4DDF" w:rsidRPr="00937C8B" w:rsidRDefault="002A4DDF" w:rsidP="009110ED">
            <w:pPr>
              <w:rPr>
                <w:rFonts w:ascii="Arial" w:hAnsi="Arial" w:cs="Arial"/>
                <w:sz w:val="12"/>
                <w:szCs w:val="12"/>
              </w:rPr>
            </w:pPr>
          </w:p>
        </w:tc>
      </w:tr>
      <w:tr w:rsidR="002A4DDF" w:rsidRPr="00937C8B" w14:paraId="261C82CD" w14:textId="77777777" w:rsidTr="00935676">
        <w:trPr>
          <w:cantSplit/>
        </w:trPr>
        <w:tc>
          <w:tcPr>
            <w:tcW w:w="1696" w:type="dxa"/>
            <w:tcBorders>
              <w:left w:val="single" w:sz="4" w:space="0" w:color="auto"/>
            </w:tcBorders>
            <w:shd w:val="clear" w:color="auto" w:fill="auto"/>
          </w:tcPr>
          <w:p w14:paraId="4C418A17" w14:textId="77777777" w:rsidR="002A4DDF" w:rsidRPr="00937C8B" w:rsidRDefault="002A4DDF" w:rsidP="009110ED">
            <w:pPr>
              <w:rPr>
                <w:rFonts w:ascii="Arial" w:hAnsi="Arial" w:cs="Arial"/>
                <w:sz w:val="12"/>
                <w:szCs w:val="12"/>
              </w:rPr>
            </w:pPr>
          </w:p>
        </w:tc>
        <w:tc>
          <w:tcPr>
            <w:tcW w:w="1843" w:type="dxa"/>
            <w:shd w:val="clear" w:color="auto" w:fill="auto"/>
          </w:tcPr>
          <w:p w14:paraId="095B7431" w14:textId="77777777" w:rsidR="002A4DDF" w:rsidRPr="00937C8B" w:rsidRDefault="002A4DDF" w:rsidP="009110ED">
            <w:pPr>
              <w:rPr>
                <w:rFonts w:ascii="Arial" w:hAnsi="Arial" w:cs="Arial"/>
                <w:sz w:val="12"/>
                <w:szCs w:val="12"/>
              </w:rPr>
            </w:pPr>
          </w:p>
        </w:tc>
        <w:tc>
          <w:tcPr>
            <w:tcW w:w="2268" w:type="dxa"/>
            <w:shd w:val="clear" w:color="auto" w:fill="F2F2F2"/>
            <w:hideMark/>
          </w:tcPr>
          <w:p w14:paraId="14853B7E" w14:textId="77777777" w:rsidR="002A4DDF" w:rsidRPr="00937C8B" w:rsidRDefault="002A4DDF" w:rsidP="009110ED">
            <w:pPr>
              <w:rPr>
                <w:rFonts w:ascii="Arial" w:hAnsi="Arial" w:cs="Arial"/>
                <w:sz w:val="12"/>
                <w:szCs w:val="12"/>
              </w:rPr>
            </w:pPr>
            <w:r>
              <w:rPr>
                <w:rFonts w:ascii="Arial" w:hAnsi="Arial"/>
                <w:sz w:val="12"/>
                <w:szCs w:val="12"/>
              </w:rPr>
              <w:t>Ultzama</w:t>
            </w:r>
          </w:p>
        </w:tc>
        <w:tc>
          <w:tcPr>
            <w:tcW w:w="2268" w:type="dxa"/>
            <w:tcBorders>
              <w:right w:val="single" w:sz="4" w:space="0" w:color="auto"/>
            </w:tcBorders>
            <w:shd w:val="clear" w:color="auto" w:fill="D9D9D9"/>
            <w:hideMark/>
          </w:tcPr>
          <w:p w14:paraId="56481362" w14:textId="77777777" w:rsidR="002A4DDF" w:rsidRPr="00937C8B" w:rsidRDefault="002A4DDF" w:rsidP="009110ED">
            <w:pPr>
              <w:rPr>
                <w:rFonts w:ascii="Arial" w:hAnsi="Arial" w:cs="Arial"/>
                <w:sz w:val="12"/>
                <w:szCs w:val="12"/>
              </w:rPr>
            </w:pPr>
          </w:p>
        </w:tc>
      </w:tr>
      <w:tr w:rsidR="002A4DDF" w:rsidRPr="00937C8B" w14:paraId="6FEF11B1" w14:textId="77777777" w:rsidTr="00935676">
        <w:trPr>
          <w:cantSplit/>
        </w:trPr>
        <w:tc>
          <w:tcPr>
            <w:tcW w:w="1696" w:type="dxa"/>
            <w:tcBorders>
              <w:left w:val="single" w:sz="4" w:space="0" w:color="auto"/>
            </w:tcBorders>
            <w:shd w:val="clear" w:color="auto" w:fill="auto"/>
          </w:tcPr>
          <w:p w14:paraId="2ED2B10A" w14:textId="77777777" w:rsidR="002A4DDF" w:rsidRPr="00937C8B" w:rsidRDefault="002A4DDF" w:rsidP="009110ED">
            <w:pPr>
              <w:rPr>
                <w:rFonts w:ascii="Arial" w:hAnsi="Arial" w:cs="Arial"/>
                <w:sz w:val="12"/>
                <w:szCs w:val="12"/>
              </w:rPr>
            </w:pPr>
          </w:p>
        </w:tc>
        <w:tc>
          <w:tcPr>
            <w:tcW w:w="1843" w:type="dxa"/>
            <w:shd w:val="clear" w:color="auto" w:fill="auto"/>
          </w:tcPr>
          <w:p w14:paraId="63DE99CF" w14:textId="77777777" w:rsidR="002A4DDF" w:rsidRPr="00937C8B" w:rsidRDefault="002A4DDF" w:rsidP="009110ED">
            <w:pPr>
              <w:rPr>
                <w:rFonts w:ascii="Arial" w:hAnsi="Arial" w:cs="Arial"/>
                <w:sz w:val="12"/>
                <w:szCs w:val="12"/>
              </w:rPr>
            </w:pPr>
          </w:p>
        </w:tc>
        <w:tc>
          <w:tcPr>
            <w:tcW w:w="2268" w:type="dxa"/>
            <w:shd w:val="clear" w:color="auto" w:fill="F2F2F2"/>
            <w:hideMark/>
          </w:tcPr>
          <w:p w14:paraId="6DBF777C" w14:textId="77777777" w:rsidR="002A4DDF" w:rsidRPr="00937C8B" w:rsidRDefault="002A4DDF" w:rsidP="009110ED">
            <w:pPr>
              <w:rPr>
                <w:rFonts w:ascii="Arial" w:hAnsi="Arial" w:cs="Arial"/>
                <w:sz w:val="12"/>
                <w:szCs w:val="12"/>
              </w:rPr>
            </w:pPr>
            <w:r>
              <w:rPr>
                <w:rFonts w:ascii="Arial" w:hAnsi="Arial"/>
                <w:sz w:val="12"/>
                <w:szCs w:val="12"/>
              </w:rPr>
              <w:t>Urroz</w:t>
            </w:r>
          </w:p>
        </w:tc>
        <w:tc>
          <w:tcPr>
            <w:tcW w:w="2268" w:type="dxa"/>
            <w:tcBorders>
              <w:right w:val="single" w:sz="4" w:space="0" w:color="auto"/>
            </w:tcBorders>
            <w:shd w:val="clear" w:color="auto" w:fill="D9D9D9"/>
            <w:hideMark/>
          </w:tcPr>
          <w:p w14:paraId="6557AF5B" w14:textId="77777777" w:rsidR="002A4DDF" w:rsidRPr="00937C8B" w:rsidRDefault="002A4DDF" w:rsidP="009110ED">
            <w:pPr>
              <w:rPr>
                <w:rFonts w:ascii="Arial" w:hAnsi="Arial" w:cs="Arial"/>
                <w:sz w:val="12"/>
                <w:szCs w:val="12"/>
              </w:rPr>
            </w:pPr>
          </w:p>
        </w:tc>
      </w:tr>
      <w:tr w:rsidR="002A4DDF" w:rsidRPr="00937C8B" w14:paraId="11DD7B2C" w14:textId="77777777" w:rsidTr="00935676">
        <w:trPr>
          <w:cantSplit/>
        </w:trPr>
        <w:tc>
          <w:tcPr>
            <w:tcW w:w="1696" w:type="dxa"/>
            <w:tcBorders>
              <w:left w:val="single" w:sz="4" w:space="0" w:color="auto"/>
            </w:tcBorders>
            <w:shd w:val="clear" w:color="auto" w:fill="auto"/>
          </w:tcPr>
          <w:p w14:paraId="4186B91F" w14:textId="77777777" w:rsidR="002A4DDF" w:rsidRPr="00937C8B" w:rsidRDefault="002A4DDF" w:rsidP="009110ED">
            <w:pPr>
              <w:rPr>
                <w:rFonts w:ascii="Arial" w:hAnsi="Arial" w:cs="Arial"/>
                <w:sz w:val="12"/>
                <w:szCs w:val="12"/>
              </w:rPr>
            </w:pPr>
          </w:p>
        </w:tc>
        <w:tc>
          <w:tcPr>
            <w:tcW w:w="1843" w:type="dxa"/>
            <w:shd w:val="clear" w:color="auto" w:fill="auto"/>
          </w:tcPr>
          <w:p w14:paraId="6878C3FC" w14:textId="77777777" w:rsidR="002A4DDF" w:rsidRPr="00937C8B" w:rsidRDefault="002A4DDF" w:rsidP="009110ED">
            <w:pPr>
              <w:rPr>
                <w:rFonts w:ascii="Arial" w:hAnsi="Arial" w:cs="Arial"/>
                <w:sz w:val="12"/>
                <w:szCs w:val="12"/>
              </w:rPr>
            </w:pPr>
          </w:p>
        </w:tc>
        <w:tc>
          <w:tcPr>
            <w:tcW w:w="2268" w:type="dxa"/>
            <w:shd w:val="clear" w:color="auto" w:fill="F2F2F2"/>
            <w:hideMark/>
          </w:tcPr>
          <w:p w14:paraId="7C037FB2" w14:textId="77777777" w:rsidR="002A4DDF" w:rsidRPr="00937C8B" w:rsidRDefault="002A4DDF" w:rsidP="009110ED">
            <w:pPr>
              <w:rPr>
                <w:rFonts w:ascii="Arial" w:hAnsi="Arial" w:cs="Arial"/>
                <w:sz w:val="12"/>
                <w:szCs w:val="12"/>
              </w:rPr>
            </w:pPr>
            <w:r>
              <w:rPr>
                <w:rFonts w:ascii="Arial" w:hAnsi="Arial"/>
                <w:sz w:val="12"/>
                <w:szCs w:val="12"/>
              </w:rPr>
              <w:t>Valle de Yerri/Deierri</w:t>
            </w:r>
          </w:p>
        </w:tc>
        <w:tc>
          <w:tcPr>
            <w:tcW w:w="2268" w:type="dxa"/>
            <w:tcBorders>
              <w:right w:val="single" w:sz="4" w:space="0" w:color="auto"/>
            </w:tcBorders>
            <w:shd w:val="clear" w:color="auto" w:fill="D9D9D9"/>
            <w:hideMark/>
          </w:tcPr>
          <w:p w14:paraId="2D46D81C" w14:textId="77777777" w:rsidR="002A4DDF" w:rsidRPr="00937C8B" w:rsidRDefault="002A4DDF" w:rsidP="009110ED">
            <w:pPr>
              <w:rPr>
                <w:rFonts w:ascii="Arial" w:hAnsi="Arial" w:cs="Arial"/>
                <w:sz w:val="12"/>
                <w:szCs w:val="12"/>
              </w:rPr>
            </w:pPr>
          </w:p>
        </w:tc>
      </w:tr>
      <w:tr w:rsidR="002A4DDF" w:rsidRPr="00937C8B" w14:paraId="208EF2B7" w14:textId="77777777" w:rsidTr="00935676">
        <w:trPr>
          <w:cantSplit/>
        </w:trPr>
        <w:tc>
          <w:tcPr>
            <w:tcW w:w="1696" w:type="dxa"/>
            <w:tcBorders>
              <w:left w:val="single" w:sz="4" w:space="0" w:color="auto"/>
            </w:tcBorders>
            <w:shd w:val="clear" w:color="auto" w:fill="auto"/>
          </w:tcPr>
          <w:p w14:paraId="78CB0805" w14:textId="77777777" w:rsidR="002A4DDF" w:rsidRPr="00937C8B" w:rsidRDefault="002A4DDF" w:rsidP="009110ED">
            <w:pPr>
              <w:rPr>
                <w:rFonts w:ascii="Arial" w:hAnsi="Arial" w:cs="Arial"/>
                <w:sz w:val="12"/>
                <w:szCs w:val="12"/>
              </w:rPr>
            </w:pPr>
          </w:p>
        </w:tc>
        <w:tc>
          <w:tcPr>
            <w:tcW w:w="1843" w:type="dxa"/>
            <w:shd w:val="clear" w:color="auto" w:fill="auto"/>
          </w:tcPr>
          <w:p w14:paraId="1FFF9B22" w14:textId="77777777" w:rsidR="002A4DDF" w:rsidRPr="00937C8B" w:rsidRDefault="002A4DDF" w:rsidP="009110ED">
            <w:pPr>
              <w:rPr>
                <w:rFonts w:ascii="Arial" w:hAnsi="Arial" w:cs="Arial"/>
                <w:sz w:val="12"/>
                <w:szCs w:val="12"/>
              </w:rPr>
            </w:pPr>
          </w:p>
        </w:tc>
        <w:tc>
          <w:tcPr>
            <w:tcW w:w="2268" w:type="dxa"/>
            <w:shd w:val="clear" w:color="auto" w:fill="F2F2F2"/>
            <w:hideMark/>
          </w:tcPr>
          <w:p w14:paraId="2BEF2FCF" w14:textId="77777777" w:rsidR="002A4DDF" w:rsidRPr="00937C8B" w:rsidRDefault="002A4DDF" w:rsidP="009110ED">
            <w:pPr>
              <w:rPr>
                <w:rFonts w:ascii="Arial" w:hAnsi="Arial" w:cs="Arial"/>
                <w:sz w:val="12"/>
                <w:szCs w:val="12"/>
              </w:rPr>
            </w:pPr>
            <w:r>
              <w:rPr>
                <w:rFonts w:ascii="Arial" w:hAnsi="Arial"/>
                <w:sz w:val="12"/>
                <w:szCs w:val="12"/>
              </w:rPr>
              <w:t>Valtierra</w:t>
            </w:r>
          </w:p>
        </w:tc>
        <w:tc>
          <w:tcPr>
            <w:tcW w:w="2268" w:type="dxa"/>
            <w:tcBorders>
              <w:right w:val="single" w:sz="4" w:space="0" w:color="auto"/>
            </w:tcBorders>
            <w:shd w:val="clear" w:color="auto" w:fill="D9D9D9"/>
            <w:hideMark/>
          </w:tcPr>
          <w:p w14:paraId="1209E47B" w14:textId="77777777" w:rsidR="002A4DDF" w:rsidRPr="00937C8B" w:rsidRDefault="002A4DDF" w:rsidP="009110ED">
            <w:pPr>
              <w:rPr>
                <w:rFonts w:ascii="Arial" w:hAnsi="Arial" w:cs="Arial"/>
                <w:sz w:val="12"/>
                <w:szCs w:val="12"/>
              </w:rPr>
            </w:pPr>
          </w:p>
        </w:tc>
      </w:tr>
      <w:tr w:rsidR="002A4DDF" w:rsidRPr="00937C8B" w14:paraId="34F9EF44" w14:textId="77777777" w:rsidTr="00935676">
        <w:trPr>
          <w:cantSplit/>
        </w:trPr>
        <w:tc>
          <w:tcPr>
            <w:tcW w:w="1696" w:type="dxa"/>
            <w:tcBorders>
              <w:left w:val="single" w:sz="4" w:space="0" w:color="auto"/>
            </w:tcBorders>
            <w:shd w:val="clear" w:color="auto" w:fill="auto"/>
          </w:tcPr>
          <w:p w14:paraId="27021A84" w14:textId="77777777" w:rsidR="002A4DDF" w:rsidRPr="00937C8B" w:rsidRDefault="002A4DDF" w:rsidP="009110ED">
            <w:pPr>
              <w:rPr>
                <w:rFonts w:ascii="Arial" w:hAnsi="Arial" w:cs="Arial"/>
                <w:sz w:val="12"/>
                <w:szCs w:val="12"/>
              </w:rPr>
            </w:pPr>
          </w:p>
        </w:tc>
        <w:tc>
          <w:tcPr>
            <w:tcW w:w="1843" w:type="dxa"/>
            <w:shd w:val="clear" w:color="auto" w:fill="auto"/>
          </w:tcPr>
          <w:p w14:paraId="16C01119" w14:textId="77777777" w:rsidR="002A4DDF" w:rsidRPr="00937C8B" w:rsidRDefault="002A4DDF" w:rsidP="009110ED">
            <w:pPr>
              <w:rPr>
                <w:rFonts w:ascii="Arial" w:hAnsi="Arial" w:cs="Arial"/>
                <w:sz w:val="12"/>
                <w:szCs w:val="12"/>
              </w:rPr>
            </w:pPr>
          </w:p>
        </w:tc>
        <w:tc>
          <w:tcPr>
            <w:tcW w:w="2268" w:type="dxa"/>
            <w:shd w:val="clear" w:color="auto" w:fill="F2F2F2"/>
            <w:hideMark/>
          </w:tcPr>
          <w:p w14:paraId="615CA912" w14:textId="77777777" w:rsidR="002A4DDF" w:rsidRPr="00937C8B" w:rsidRDefault="002A4DDF" w:rsidP="009110ED">
            <w:pPr>
              <w:rPr>
                <w:rFonts w:ascii="Arial" w:hAnsi="Arial" w:cs="Arial"/>
                <w:sz w:val="12"/>
                <w:szCs w:val="12"/>
              </w:rPr>
            </w:pPr>
            <w:r>
              <w:rPr>
                <w:rFonts w:ascii="Arial" w:hAnsi="Arial"/>
                <w:sz w:val="12"/>
                <w:szCs w:val="12"/>
              </w:rPr>
              <w:t>Viana</w:t>
            </w:r>
          </w:p>
        </w:tc>
        <w:tc>
          <w:tcPr>
            <w:tcW w:w="2268" w:type="dxa"/>
            <w:tcBorders>
              <w:right w:val="single" w:sz="4" w:space="0" w:color="auto"/>
            </w:tcBorders>
            <w:shd w:val="clear" w:color="auto" w:fill="D9D9D9"/>
            <w:hideMark/>
          </w:tcPr>
          <w:p w14:paraId="3ACF1233" w14:textId="77777777" w:rsidR="002A4DDF" w:rsidRPr="00937C8B" w:rsidRDefault="002A4DDF" w:rsidP="009110ED">
            <w:pPr>
              <w:rPr>
                <w:rFonts w:ascii="Arial" w:hAnsi="Arial" w:cs="Arial"/>
                <w:sz w:val="12"/>
                <w:szCs w:val="12"/>
              </w:rPr>
            </w:pPr>
          </w:p>
        </w:tc>
      </w:tr>
      <w:tr w:rsidR="002A4DDF" w:rsidRPr="00937C8B" w14:paraId="339A0227" w14:textId="77777777" w:rsidTr="00935676">
        <w:trPr>
          <w:cantSplit/>
        </w:trPr>
        <w:tc>
          <w:tcPr>
            <w:tcW w:w="1696" w:type="dxa"/>
            <w:tcBorders>
              <w:left w:val="single" w:sz="4" w:space="0" w:color="auto"/>
            </w:tcBorders>
            <w:shd w:val="clear" w:color="auto" w:fill="auto"/>
          </w:tcPr>
          <w:p w14:paraId="735CDB24" w14:textId="77777777" w:rsidR="002A4DDF" w:rsidRPr="00937C8B" w:rsidRDefault="002A4DDF" w:rsidP="009110ED">
            <w:pPr>
              <w:rPr>
                <w:rFonts w:ascii="Arial" w:hAnsi="Arial" w:cs="Arial"/>
                <w:sz w:val="12"/>
                <w:szCs w:val="12"/>
              </w:rPr>
            </w:pPr>
          </w:p>
        </w:tc>
        <w:tc>
          <w:tcPr>
            <w:tcW w:w="1843" w:type="dxa"/>
            <w:shd w:val="clear" w:color="auto" w:fill="auto"/>
          </w:tcPr>
          <w:p w14:paraId="4C4FF34E" w14:textId="77777777" w:rsidR="002A4DDF" w:rsidRPr="00937C8B" w:rsidRDefault="002A4DDF" w:rsidP="009110ED">
            <w:pPr>
              <w:rPr>
                <w:rFonts w:ascii="Arial" w:hAnsi="Arial" w:cs="Arial"/>
                <w:sz w:val="12"/>
                <w:szCs w:val="12"/>
              </w:rPr>
            </w:pPr>
          </w:p>
        </w:tc>
        <w:tc>
          <w:tcPr>
            <w:tcW w:w="2268" w:type="dxa"/>
            <w:shd w:val="clear" w:color="auto" w:fill="F2F2F2"/>
            <w:hideMark/>
          </w:tcPr>
          <w:p w14:paraId="3235E1A9" w14:textId="77777777" w:rsidR="002A4DDF" w:rsidRPr="00937C8B" w:rsidRDefault="002A4DDF" w:rsidP="009110ED">
            <w:pPr>
              <w:rPr>
                <w:rFonts w:ascii="Arial" w:hAnsi="Arial" w:cs="Arial"/>
                <w:sz w:val="12"/>
                <w:szCs w:val="12"/>
              </w:rPr>
            </w:pPr>
            <w:r>
              <w:rPr>
                <w:rFonts w:ascii="Arial" w:hAnsi="Arial"/>
                <w:sz w:val="12"/>
                <w:szCs w:val="12"/>
              </w:rPr>
              <w:t>Villafranca</w:t>
            </w:r>
          </w:p>
        </w:tc>
        <w:tc>
          <w:tcPr>
            <w:tcW w:w="2268" w:type="dxa"/>
            <w:tcBorders>
              <w:right w:val="single" w:sz="4" w:space="0" w:color="auto"/>
            </w:tcBorders>
            <w:shd w:val="clear" w:color="auto" w:fill="D9D9D9"/>
            <w:hideMark/>
          </w:tcPr>
          <w:p w14:paraId="581EE091" w14:textId="77777777" w:rsidR="002A4DDF" w:rsidRPr="00937C8B" w:rsidRDefault="002A4DDF" w:rsidP="009110ED">
            <w:pPr>
              <w:rPr>
                <w:rFonts w:ascii="Arial" w:hAnsi="Arial" w:cs="Arial"/>
                <w:sz w:val="12"/>
                <w:szCs w:val="12"/>
              </w:rPr>
            </w:pPr>
          </w:p>
        </w:tc>
      </w:tr>
      <w:tr w:rsidR="002A4DDF" w:rsidRPr="00937C8B" w14:paraId="60E593EB" w14:textId="77777777" w:rsidTr="00935676">
        <w:trPr>
          <w:cantSplit/>
        </w:trPr>
        <w:tc>
          <w:tcPr>
            <w:tcW w:w="1696" w:type="dxa"/>
            <w:tcBorders>
              <w:left w:val="single" w:sz="4" w:space="0" w:color="auto"/>
            </w:tcBorders>
            <w:shd w:val="clear" w:color="auto" w:fill="auto"/>
          </w:tcPr>
          <w:p w14:paraId="36516617" w14:textId="77777777" w:rsidR="002A4DDF" w:rsidRPr="00937C8B" w:rsidRDefault="002A4DDF" w:rsidP="009110ED">
            <w:pPr>
              <w:rPr>
                <w:rFonts w:ascii="Arial" w:hAnsi="Arial" w:cs="Arial"/>
                <w:sz w:val="12"/>
                <w:szCs w:val="12"/>
              </w:rPr>
            </w:pPr>
          </w:p>
        </w:tc>
        <w:tc>
          <w:tcPr>
            <w:tcW w:w="1843" w:type="dxa"/>
            <w:shd w:val="clear" w:color="auto" w:fill="auto"/>
          </w:tcPr>
          <w:p w14:paraId="6BC6449D" w14:textId="77777777" w:rsidR="002A4DDF" w:rsidRPr="00937C8B" w:rsidRDefault="002A4DDF" w:rsidP="009110ED">
            <w:pPr>
              <w:rPr>
                <w:rFonts w:ascii="Arial" w:hAnsi="Arial" w:cs="Arial"/>
                <w:sz w:val="12"/>
                <w:szCs w:val="12"/>
              </w:rPr>
            </w:pPr>
          </w:p>
        </w:tc>
        <w:tc>
          <w:tcPr>
            <w:tcW w:w="2268" w:type="dxa"/>
            <w:shd w:val="clear" w:color="auto" w:fill="F2F2F2"/>
            <w:hideMark/>
          </w:tcPr>
          <w:p w14:paraId="30432715" w14:textId="77777777" w:rsidR="002A4DDF" w:rsidRPr="00937C8B" w:rsidRDefault="002A4DDF" w:rsidP="009110ED">
            <w:pPr>
              <w:rPr>
                <w:rFonts w:ascii="Arial" w:hAnsi="Arial" w:cs="Arial"/>
                <w:sz w:val="12"/>
                <w:szCs w:val="12"/>
              </w:rPr>
            </w:pPr>
            <w:r>
              <w:rPr>
                <w:rFonts w:ascii="Arial" w:hAnsi="Arial"/>
                <w:sz w:val="12"/>
                <w:szCs w:val="12"/>
              </w:rPr>
              <w:t>Villatuerta</w:t>
            </w:r>
          </w:p>
        </w:tc>
        <w:tc>
          <w:tcPr>
            <w:tcW w:w="2268" w:type="dxa"/>
            <w:tcBorders>
              <w:right w:val="single" w:sz="4" w:space="0" w:color="auto"/>
            </w:tcBorders>
            <w:shd w:val="clear" w:color="auto" w:fill="D9D9D9"/>
            <w:hideMark/>
          </w:tcPr>
          <w:p w14:paraId="1B3F27C6" w14:textId="77777777" w:rsidR="002A4DDF" w:rsidRPr="00937C8B" w:rsidRDefault="002A4DDF" w:rsidP="009110ED">
            <w:pPr>
              <w:rPr>
                <w:rFonts w:ascii="Arial" w:hAnsi="Arial" w:cs="Arial"/>
                <w:sz w:val="12"/>
                <w:szCs w:val="12"/>
              </w:rPr>
            </w:pPr>
          </w:p>
        </w:tc>
      </w:tr>
      <w:tr w:rsidR="002A4DDF" w:rsidRPr="00937C8B" w14:paraId="08ECA868" w14:textId="77777777" w:rsidTr="00935676">
        <w:trPr>
          <w:cantSplit/>
        </w:trPr>
        <w:tc>
          <w:tcPr>
            <w:tcW w:w="1696" w:type="dxa"/>
            <w:tcBorders>
              <w:left w:val="single" w:sz="4" w:space="0" w:color="auto"/>
            </w:tcBorders>
            <w:shd w:val="clear" w:color="auto" w:fill="auto"/>
          </w:tcPr>
          <w:p w14:paraId="62689907" w14:textId="77777777" w:rsidR="002A4DDF" w:rsidRPr="00937C8B" w:rsidRDefault="002A4DDF" w:rsidP="009110ED">
            <w:pPr>
              <w:rPr>
                <w:rFonts w:ascii="Arial" w:hAnsi="Arial" w:cs="Arial"/>
                <w:sz w:val="12"/>
                <w:szCs w:val="12"/>
              </w:rPr>
            </w:pPr>
          </w:p>
        </w:tc>
        <w:tc>
          <w:tcPr>
            <w:tcW w:w="1843" w:type="dxa"/>
            <w:shd w:val="clear" w:color="auto" w:fill="auto"/>
          </w:tcPr>
          <w:p w14:paraId="61C388A4" w14:textId="77777777" w:rsidR="002A4DDF" w:rsidRPr="00937C8B" w:rsidRDefault="002A4DDF" w:rsidP="009110ED">
            <w:pPr>
              <w:rPr>
                <w:rFonts w:ascii="Arial" w:hAnsi="Arial" w:cs="Arial"/>
                <w:sz w:val="12"/>
                <w:szCs w:val="12"/>
              </w:rPr>
            </w:pPr>
          </w:p>
        </w:tc>
        <w:tc>
          <w:tcPr>
            <w:tcW w:w="2268" w:type="dxa"/>
            <w:shd w:val="clear" w:color="auto" w:fill="F2F2F2"/>
            <w:hideMark/>
          </w:tcPr>
          <w:p w14:paraId="255DF962" w14:textId="77777777" w:rsidR="002A4DDF" w:rsidRPr="00937C8B" w:rsidRDefault="002A4DDF" w:rsidP="009110ED">
            <w:pPr>
              <w:rPr>
                <w:rFonts w:ascii="Arial" w:hAnsi="Arial" w:cs="Arial"/>
                <w:sz w:val="12"/>
                <w:szCs w:val="12"/>
              </w:rPr>
            </w:pPr>
            <w:r>
              <w:rPr>
                <w:rFonts w:ascii="Arial" w:hAnsi="Arial"/>
                <w:sz w:val="12"/>
                <w:szCs w:val="12"/>
              </w:rPr>
              <w:t>Ziordia</w:t>
            </w:r>
          </w:p>
        </w:tc>
        <w:tc>
          <w:tcPr>
            <w:tcW w:w="2268" w:type="dxa"/>
            <w:tcBorders>
              <w:right w:val="single" w:sz="4" w:space="0" w:color="auto"/>
            </w:tcBorders>
            <w:shd w:val="clear" w:color="auto" w:fill="D9D9D9"/>
            <w:hideMark/>
          </w:tcPr>
          <w:p w14:paraId="2134FD78" w14:textId="77777777" w:rsidR="002A4DDF" w:rsidRPr="00937C8B" w:rsidRDefault="002A4DDF" w:rsidP="009110ED">
            <w:pPr>
              <w:rPr>
                <w:rFonts w:ascii="Arial" w:hAnsi="Arial" w:cs="Arial"/>
                <w:sz w:val="12"/>
                <w:szCs w:val="12"/>
              </w:rPr>
            </w:pPr>
          </w:p>
        </w:tc>
      </w:tr>
      <w:tr w:rsidR="002A4DDF" w:rsidRPr="00937C8B" w14:paraId="63A95929" w14:textId="77777777" w:rsidTr="00935676">
        <w:trPr>
          <w:cantSplit/>
        </w:trPr>
        <w:tc>
          <w:tcPr>
            <w:tcW w:w="1696" w:type="dxa"/>
            <w:tcBorders>
              <w:left w:val="single" w:sz="4" w:space="0" w:color="auto"/>
              <w:bottom w:val="single" w:sz="4" w:space="0" w:color="auto"/>
            </w:tcBorders>
            <w:shd w:val="clear" w:color="auto" w:fill="auto"/>
            <w:hideMark/>
          </w:tcPr>
          <w:p w14:paraId="7A056004" w14:textId="77777777" w:rsidR="002A4DDF" w:rsidRPr="00937C8B" w:rsidRDefault="002A4DDF" w:rsidP="009110ED">
            <w:pPr>
              <w:rPr>
                <w:rFonts w:ascii="Arial" w:hAnsi="Arial" w:cs="Arial"/>
                <w:sz w:val="12"/>
                <w:szCs w:val="12"/>
              </w:rPr>
            </w:pPr>
            <w:r>
              <w:rPr>
                <w:rFonts w:ascii="Arial" w:hAnsi="Arial"/>
                <w:sz w:val="12"/>
                <w:szCs w:val="12"/>
              </w:rPr>
              <w:t>Communauté autonome de Navarre</w:t>
            </w:r>
          </w:p>
        </w:tc>
        <w:tc>
          <w:tcPr>
            <w:tcW w:w="1843" w:type="dxa"/>
            <w:tcBorders>
              <w:bottom w:val="single" w:sz="4" w:space="0" w:color="auto"/>
            </w:tcBorders>
            <w:shd w:val="clear" w:color="auto" w:fill="auto"/>
            <w:hideMark/>
          </w:tcPr>
          <w:p w14:paraId="3B41692C" w14:textId="77777777" w:rsidR="002A4DDF" w:rsidRPr="00937C8B" w:rsidRDefault="002A4DDF" w:rsidP="009110ED">
            <w:pPr>
              <w:rPr>
                <w:rFonts w:ascii="Arial" w:hAnsi="Arial" w:cs="Arial"/>
                <w:sz w:val="12"/>
                <w:szCs w:val="12"/>
              </w:rPr>
            </w:pPr>
            <w:r>
              <w:rPr>
                <w:rFonts w:ascii="Arial" w:hAnsi="Arial"/>
                <w:sz w:val="12"/>
                <w:szCs w:val="12"/>
              </w:rPr>
              <w:t>Navarre</w:t>
            </w:r>
          </w:p>
        </w:tc>
        <w:tc>
          <w:tcPr>
            <w:tcW w:w="2268" w:type="dxa"/>
            <w:tcBorders>
              <w:bottom w:val="single" w:sz="4" w:space="0" w:color="auto"/>
            </w:tcBorders>
            <w:shd w:val="clear" w:color="auto" w:fill="F2F2F2"/>
            <w:hideMark/>
          </w:tcPr>
          <w:p w14:paraId="576C903B" w14:textId="77777777" w:rsidR="002A4DDF" w:rsidRPr="00937C8B" w:rsidRDefault="002A4DDF" w:rsidP="009110ED">
            <w:pPr>
              <w:rPr>
                <w:rFonts w:ascii="Arial" w:hAnsi="Arial" w:cs="Arial"/>
                <w:sz w:val="12"/>
                <w:szCs w:val="12"/>
              </w:rPr>
            </w:pPr>
            <w:r>
              <w:rPr>
                <w:rFonts w:ascii="Arial" w:hAnsi="Arial"/>
                <w:sz w:val="12"/>
                <w:szCs w:val="12"/>
              </w:rPr>
              <w:t>Zugarramurdi</w:t>
            </w:r>
          </w:p>
        </w:tc>
        <w:tc>
          <w:tcPr>
            <w:tcW w:w="2268" w:type="dxa"/>
            <w:tcBorders>
              <w:bottom w:val="single" w:sz="4" w:space="0" w:color="auto"/>
              <w:right w:val="single" w:sz="4" w:space="0" w:color="auto"/>
            </w:tcBorders>
            <w:shd w:val="clear" w:color="auto" w:fill="D9D9D9"/>
            <w:hideMark/>
          </w:tcPr>
          <w:p w14:paraId="7AE5F9B4" w14:textId="77777777" w:rsidR="002A4DDF" w:rsidRPr="00937C8B" w:rsidRDefault="002A4DDF" w:rsidP="009110ED">
            <w:pPr>
              <w:rPr>
                <w:rFonts w:ascii="Arial" w:hAnsi="Arial" w:cs="Arial"/>
                <w:sz w:val="12"/>
                <w:szCs w:val="12"/>
              </w:rPr>
            </w:pPr>
          </w:p>
        </w:tc>
      </w:tr>
      <w:tr w:rsidR="002A4DDF" w:rsidRPr="00937C8B" w14:paraId="7623EFB8" w14:textId="77777777" w:rsidTr="00935676">
        <w:trPr>
          <w:cantSplit/>
        </w:trPr>
        <w:tc>
          <w:tcPr>
            <w:tcW w:w="1696" w:type="dxa"/>
            <w:tcBorders>
              <w:top w:val="single" w:sz="4" w:space="0" w:color="auto"/>
              <w:bottom w:val="single" w:sz="4" w:space="0" w:color="auto"/>
            </w:tcBorders>
            <w:shd w:val="clear" w:color="auto" w:fill="auto"/>
            <w:hideMark/>
          </w:tcPr>
          <w:p w14:paraId="72CE73F3"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75432D5B"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2D2FF478"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23C2758A" w14:textId="77777777" w:rsidR="002A4DDF" w:rsidRPr="00937C8B" w:rsidRDefault="002A4DDF" w:rsidP="009110ED">
            <w:pPr>
              <w:rPr>
                <w:rFonts w:ascii="Arial" w:hAnsi="Arial" w:cs="Arial"/>
                <w:sz w:val="12"/>
                <w:szCs w:val="12"/>
              </w:rPr>
            </w:pPr>
          </w:p>
        </w:tc>
      </w:tr>
      <w:tr w:rsidR="002A4DDF" w:rsidRPr="00937C8B" w14:paraId="3A3B5C42" w14:textId="77777777" w:rsidTr="00935676">
        <w:trPr>
          <w:cantSplit/>
        </w:trPr>
        <w:tc>
          <w:tcPr>
            <w:tcW w:w="1696" w:type="dxa"/>
            <w:tcBorders>
              <w:top w:val="single" w:sz="4" w:space="0" w:color="auto"/>
              <w:left w:val="single" w:sz="4" w:space="0" w:color="auto"/>
            </w:tcBorders>
            <w:shd w:val="clear" w:color="auto" w:fill="auto"/>
            <w:hideMark/>
          </w:tcPr>
          <w:p w14:paraId="5BB055B6" w14:textId="77777777" w:rsidR="002A4DDF" w:rsidRPr="00937C8B" w:rsidRDefault="002A4DDF" w:rsidP="009110ED">
            <w:pPr>
              <w:rPr>
                <w:rFonts w:ascii="Arial" w:hAnsi="Arial" w:cs="Arial"/>
                <w:sz w:val="12"/>
                <w:szCs w:val="12"/>
              </w:rPr>
            </w:pPr>
            <w:r>
              <w:rPr>
                <w:rFonts w:ascii="Arial" w:hAnsi="Arial"/>
                <w:sz w:val="12"/>
                <w:szCs w:val="12"/>
              </w:rPr>
              <w:t>Communauté de Valence</w:t>
            </w:r>
          </w:p>
        </w:tc>
        <w:tc>
          <w:tcPr>
            <w:tcW w:w="1843" w:type="dxa"/>
            <w:tcBorders>
              <w:top w:val="single" w:sz="4" w:space="0" w:color="auto"/>
            </w:tcBorders>
            <w:shd w:val="clear" w:color="auto" w:fill="auto"/>
            <w:hideMark/>
          </w:tcPr>
          <w:p w14:paraId="16D5084D" w14:textId="77777777" w:rsidR="002A4DDF" w:rsidRPr="00937C8B" w:rsidRDefault="002A4DDF" w:rsidP="009110ED">
            <w:pPr>
              <w:rPr>
                <w:rFonts w:ascii="Arial" w:hAnsi="Arial" w:cs="Arial"/>
                <w:sz w:val="12"/>
                <w:szCs w:val="12"/>
              </w:rPr>
            </w:pPr>
            <w:r>
              <w:rPr>
                <w:rFonts w:ascii="Arial" w:hAnsi="Arial"/>
                <w:sz w:val="12"/>
                <w:szCs w:val="12"/>
              </w:rPr>
              <w:t>Castellón</w:t>
            </w:r>
          </w:p>
        </w:tc>
        <w:tc>
          <w:tcPr>
            <w:tcW w:w="2268" w:type="dxa"/>
            <w:tcBorders>
              <w:top w:val="single" w:sz="4" w:space="0" w:color="auto"/>
            </w:tcBorders>
            <w:shd w:val="clear" w:color="auto" w:fill="F2F2F2"/>
            <w:hideMark/>
          </w:tcPr>
          <w:p w14:paraId="05AC3C01" w14:textId="77777777" w:rsidR="002A4DDF" w:rsidRPr="00937C8B" w:rsidRDefault="002A4DDF" w:rsidP="009110ED">
            <w:pPr>
              <w:rPr>
                <w:rFonts w:ascii="Arial" w:hAnsi="Arial" w:cs="Arial"/>
                <w:sz w:val="12"/>
                <w:szCs w:val="12"/>
              </w:rPr>
            </w:pPr>
            <w:r>
              <w:rPr>
                <w:rFonts w:ascii="Arial" w:hAnsi="Arial"/>
                <w:sz w:val="12"/>
                <w:szCs w:val="12"/>
              </w:rPr>
              <w:t>Alcudia de Veo</w:t>
            </w:r>
          </w:p>
        </w:tc>
        <w:tc>
          <w:tcPr>
            <w:tcW w:w="2268" w:type="dxa"/>
            <w:tcBorders>
              <w:top w:val="single" w:sz="4" w:space="0" w:color="auto"/>
              <w:right w:val="single" w:sz="4" w:space="0" w:color="auto"/>
            </w:tcBorders>
            <w:shd w:val="clear" w:color="auto" w:fill="D9D9D9"/>
            <w:hideMark/>
          </w:tcPr>
          <w:p w14:paraId="3B86B786" w14:textId="77777777" w:rsidR="002A4DDF" w:rsidRPr="00937C8B" w:rsidRDefault="002A4DDF" w:rsidP="009110ED">
            <w:pPr>
              <w:rPr>
                <w:rFonts w:ascii="Arial" w:hAnsi="Arial" w:cs="Arial"/>
                <w:sz w:val="12"/>
                <w:szCs w:val="12"/>
              </w:rPr>
            </w:pPr>
          </w:p>
        </w:tc>
      </w:tr>
      <w:tr w:rsidR="002A4DDF" w:rsidRPr="00937C8B" w14:paraId="568EEE90" w14:textId="77777777" w:rsidTr="00935676">
        <w:trPr>
          <w:cantSplit/>
        </w:trPr>
        <w:tc>
          <w:tcPr>
            <w:tcW w:w="1696" w:type="dxa"/>
            <w:tcBorders>
              <w:left w:val="single" w:sz="4" w:space="0" w:color="auto"/>
            </w:tcBorders>
            <w:shd w:val="clear" w:color="auto" w:fill="auto"/>
          </w:tcPr>
          <w:p w14:paraId="124F1BE2" w14:textId="77777777" w:rsidR="002A4DDF" w:rsidRPr="00937C8B" w:rsidRDefault="002A4DDF" w:rsidP="009110ED">
            <w:pPr>
              <w:rPr>
                <w:rFonts w:ascii="Arial" w:hAnsi="Arial" w:cs="Arial"/>
                <w:sz w:val="12"/>
                <w:szCs w:val="12"/>
              </w:rPr>
            </w:pPr>
          </w:p>
        </w:tc>
        <w:tc>
          <w:tcPr>
            <w:tcW w:w="1843" w:type="dxa"/>
            <w:shd w:val="clear" w:color="auto" w:fill="auto"/>
          </w:tcPr>
          <w:p w14:paraId="7FED60A6" w14:textId="77777777" w:rsidR="002A4DDF" w:rsidRPr="00937C8B" w:rsidRDefault="002A4DDF" w:rsidP="009110ED">
            <w:pPr>
              <w:rPr>
                <w:rFonts w:ascii="Arial" w:hAnsi="Arial" w:cs="Arial"/>
                <w:sz w:val="12"/>
                <w:szCs w:val="12"/>
              </w:rPr>
            </w:pPr>
          </w:p>
        </w:tc>
        <w:tc>
          <w:tcPr>
            <w:tcW w:w="2268" w:type="dxa"/>
            <w:shd w:val="clear" w:color="auto" w:fill="F2F2F2"/>
            <w:hideMark/>
          </w:tcPr>
          <w:p w14:paraId="50A1BF4F" w14:textId="77777777" w:rsidR="002A4DDF" w:rsidRPr="00937C8B" w:rsidRDefault="002A4DDF" w:rsidP="009110ED">
            <w:pPr>
              <w:rPr>
                <w:rFonts w:ascii="Arial" w:hAnsi="Arial" w:cs="Arial"/>
                <w:sz w:val="12"/>
                <w:szCs w:val="12"/>
              </w:rPr>
            </w:pPr>
            <w:r>
              <w:rPr>
                <w:rFonts w:ascii="Arial" w:hAnsi="Arial"/>
                <w:sz w:val="12"/>
                <w:szCs w:val="12"/>
              </w:rPr>
              <w:t>Algimia de Almonacid</w:t>
            </w:r>
          </w:p>
        </w:tc>
        <w:tc>
          <w:tcPr>
            <w:tcW w:w="2268" w:type="dxa"/>
            <w:tcBorders>
              <w:right w:val="single" w:sz="4" w:space="0" w:color="auto"/>
            </w:tcBorders>
            <w:shd w:val="clear" w:color="auto" w:fill="D9D9D9"/>
            <w:hideMark/>
          </w:tcPr>
          <w:p w14:paraId="68350F0A" w14:textId="77777777" w:rsidR="002A4DDF" w:rsidRPr="00937C8B" w:rsidRDefault="002A4DDF" w:rsidP="009110ED">
            <w:pPr>
              <w:rPr>
                <w:rFonts w:ascii="Arial" w:hAnsi="Arial" w:cs="Arial"/>
                <w:sz w:val="12"/>
                <w:szCs w:val="12"/>
              </w:rPr>
            </w:pPr>
          </w:p>
        </w:tc>
      </w:tr>
      <w:tr w:rsidR="002A4DDF" w:rsidRPr="00937C8B" w14:paraId="3EB70775" w14:textId="77777777" w:rsidTr="00935676">
        <w:trPr>
          <w:cantSplit/>
        </w:trPr>
        <w:tc>
          <w:tcPr>
            <w:tcW w:w="1696" w:type="dxa"/>
            <w:tcBorders>
              <w:left w:val="single" w:sz="4" w:space="0" w:color="auto"/>
            </w:tcBorders>
            <w:shd w:val="clear" w:color="auto" w:fill="auto"/>
          </w:tcPr>
          <w:p w14:paraId="4462F4C9" w14:textId="77777777" w:rsidR="002A4DDF" w:rsidRPr="00937C8B" w:rsidRDefault="002A4DDF" w:rsidP="009110ED">
            <w:pPr>
              <w:rPr>
                <w:rFonts w:ascii="Arial" w:hAnsi="Arial" w:cs="Arial"/>
                <w:sz w:val="12"/>
                <w:szCs w:val="12"/>
              </w:rPr>
            </w:pPr>
          </w:p>
        </w:tc>
        <w:tc>
          <w:tcPr>
            <w:tcW w:w="1843" w:type="dxa"/>
            <w:shd w:val="clear" w:color="auto" w:fill="auto"/>
          </w:tcPr>
          <w:p w14:paraId="2355A122" w14:textId="77777777" w:rsidR="002A4DDF" w:rsidRPr="00937C8B" w:rsidRDefault="002A4DDF" w:rsidP="009110ED">
            <w:pPr>
              <w:rPr>
                <w:rFonts w:ascii="Arial" w:hAnsi="Arial" w:cs="Arial"/>
                <w:sz w:val="12"/>
                <w:szCs w:val="12"/>
              </w:rPr>
            </w:pPr>
          </w:p>
        </w:tc>
        <w:tc>
          <w:tcPr>
            <w:tcW w:w="2268" w:type="dxa"/>
            <w:shd w:val="clear" w:color="auto" w:fill="F2F2F2"/>
            <w:hideMark/>
          </w:tcPr>
          <w:p w14:paraId="27134E39" w14:textId="77777777" w:rsidR="002A4DDF" w:rsidRPr="00937C8B" w:rsidRDefault="002A4DDF" w:rsidP="009110ED">
            <w:pPr>
              <w:rPr>
                <w:rFonts w:ascii="Arial" w:hAnsi="Arial" w:cs="Arial"/>
                <w:sz w:val="12"/>
                <w:szCs w:val="12"/>
              </w:rPr>
            </w:pPr>
            <w:r>
              <w:rPr>
                <w:rFonts w:ascii="Arial" w:hAnsi="Arial"/>
                <w:sz w:val="12"/>
                <w:szCs w:val="12"/>
              </w:rPr>
              <w:t>Almedíjar</w:t>
            </w:r>
          </w:p>
        </w:tc>
        <w:tc>
          <w:tcPr>
            <w:tcW w:w="2268" w:type="dxa"/>
            <w:tcBorders>
              <w:right w:val="single" w:sz="4" w:space="0" w:color="auto"/>
            </w:tcBorders>
            <w:shd w:val="clear" w:color="auto" w:fill="D9D9D9"/>
            <w:hideMark/>
          </w:tcPr>
          <w:p w14:paraId="2AACB561" w14:textId="77777777" w:rsidR="002A4DDF" w:rsidRPr="00937C8B" w:rsidRDefault="002A4DDF" w:rsidP="009110ED">
            <w:pPr>
              <w:rPr>
                <w:rFonts w:ascii="Arial" w:hAnsi="Arial" w:cs="Arial"/>
                <w:sz w:val="12"/>
                <w:szCs w:val="12"/>
              </w:rPr>
            </w:pPr>
          </w:p>
        </w:tc>
      </w:tr>
      <w:tr w:rsidR="002A4DDF" w:rsidRPr="00937C8B" w14:paraId="7C673542" w14:textId="77777777" w:rsidTr="00935676">
        <w:trPr>
          <w:cantSplit/>
        </w:trPr>
        <w:tc>
          <w:tcPr>
            <w:tcW w:w="1696" w:type="dxa"/>
            <w:tcBorders>
              <w:left w:val="single" w:sz="4" w:space="0" w:color="auto"/>
            </w:tcBorders>
            <w:shd w:val="clear" w:color="auto" w:fill="auto"/>
          </w:tcPr>
          <w:p w14:paraId="0EA5D658" w14:textId="77777777" w:rsidR="002A4DDF" w:rsidRPr="00937C8B" w:rsidRDefault="002A4DDF" w:rsidP="009110ED">
            <w:pPr>
              <w:rPr>
                <w:rFonts w:ascii="Arial" w:hAnsi="Arial" w:cs="Arial"/>
                <w:sz w:val="12"/>
                <w:szCs w:val="12"/>
              </w:rPr>
            </w:pPr>
          </w:p>
        </w:tc>
        <w:tc>
          <w:tcPr>
            <w:tcW w:w="1843" w:type="dxa"/>
            <w:shd w:val="clear" w:color="auto" w:fill="auto"/>
          </w:tcPr>
          <w:p w14:paraId="0B1CA259" w14:textId="77777777" w:rsidR="002A4DDF" w:rsidRPr="00937C8B" w:rsidRDefault="002A4DDF" w:rsidP="009110ED">
            <w:pPr>
              <w:rPr>
                <w:rFonts w:ascii="Arial" w:hAnsi="Arial" w:cs="Arial"/>
                <w:sz w:val="12"/>
                <w:szCs w:val="12"/>
              </w:rPr>
            </w:pPr>
          </w:p>
        </w:tc>
        <w:tc>
          <w:tcPr>
            <w:tcW w:w="2268" w:type="dxa"/>
            <w:shd w:val="clear" w:color="auto" w:fill="F2F2F2"/>
            <w:hideMark/>
          </w:tcPr>
          <w:p w14:paraId="648CE288" w14:textId="77777777" w:rsidR="002A4DDF" w:rsidRPr="00937C8B" w:rsidRDefault="002A4DDF" w:rsidP="009110ED">
            <w:pPr>
              <w:rPr>
                <w:rFonts w:ascii="Arial" w:hAnsi="Arial" w:cs="Arial"/>
                <w:sz w:val="12"/>
                <w:szCs w:val="12"/>
              </w:rPr>
            </w:pPr>
            <w:r>
              <w:rPr>
                <w:rFonts w:ascii="Arial" w:hAnsi="Arial"/>
                <w:sz w:val="12"/>
                <w:szCs w:val="12"/>
              </w:rPr>
              <w:t>Arañuel</w:t>
            </w:r>
          </w:p>
        </w:tc>
        <w:tc>
          <w:tcPr>
            <w:tcW w:w="2268" w:type="dxa"/>
            <w:tcBorders>
              <w:right w:val="single" w:sz="4" w:space="0" w:color="auto"/>
            </w:tcBorders>
            <w:shd w:val="clear" w:color="auto" w:fill="D9D9D9"/>
            <w:hideMark/>
          </w:tcPr>
          <w:p w14:paraId="0BDB7013" w14:textId="77777777" w:rsidR="002A4DDF" w:rsidRPr="00937C8B" w:rsidRDefault="002A4DDF" w:rsidP="009110ED">
            <w:pPr>
              <w:rPr>
                <w:rFonts w:ascii="Arial" w:hAnsi="Arial" w:cs="Arial"/>
                <w:sz w:val="12"/>
                <w:szCs w:val="12"/>
              </w:rPr>
            </w:pPr>
          </w:p>
        </w:tc>
      </w:tr>
      <w:tr w:rsidR="002A4DDF" w:rsidRPr="00937C8B" w14:paraId="298D92E6" w14:textId="77777777" w:rsidTr="00935676">
        <w:trPr>
          <w:cantSplit/>
        </w:trPr>
        <w:tc>
          <w:tcPr>
            <w:tcW w:w="1696" w:type="dxa"/>
            <w:tcBorders>
              <w:left w:val="single" w:sz="4" w:space="0" w:color="auto"/>
            </w:tcBorders>
            <w:shd w:val="clear" w:color="auto" w:fill="auto"/>
          </w:tcPr>
          <w:p w14:paraId="1E731333" w14:textId="77777777" w:rsidR="002A4DDF" w:rsidRPr="00937C8B" w:rsidRDefault="002A4DDF" w:rsidP="009110ED">
            <w:pPr>
              <w:rPr>
                <w:rFonts w:ascii="Arial" w:hAnsi="Arial" w:cs="Arial"/>
                <w:sz w:val="12"/>
                <w:szCs w:val="12"/>
              </w:rPr>
            </w:pPr>
          </w:p>
        </w:tc>
        <w:tc>
          <w:tcPr>
            <w:tcW w:w="1843" w:type="dxa"/>
            <w:shd w:val="clear" w:color="auto" w:fill="auto"/>
          </w:tcPr>
          <w:p w14:paraId="3FB4467F" w14:textId="77777777" w:rsidR="002A4DDF" w:rsidRPr="00937C8B" w:rsidRDefault="002A4DDF" w:rsidP="009110ED">
            <w:pPr>
              <w:rPr>
                <w:rFonts w:ascii="Arial" w:hAnsi="Arial" w:cs="Arial"/>
                <w:sz w:val="12"/>
                <w:szCs w:val="12"/>
              </w:rPr>
            </w:pPr>
          </w:p>
        </w:tc>
        <w:tc>
          <w:tcPr>
            <w:tcW w:w="2268" w:type="dxa"/>
            <w:shd w:val="clear" w:color="auto" w:fill="F2F2F2"/>
            <w:hideMark/>
          </w:tcPr>
          <w:p w14:paraId="02014E1B" w14:textId="77777777" w:rsidR="002A4DDF" w:rsidRPr="00937C8B" w:rsidRDefault="002A4DDF" w:rsidP="009110ED">
            <w:pPr>
              <w:rPr>
                <w:rFonts w:ascii="Arial" w:hAnsi="Arial" w:cs="Arial"/>
                <w:sz w:val="12"/>
                <w:szCs w:val="12"/>
              </w:rPr>
            </w:pPr>
            <w:r>
              <w:rPr>
                <w:rFonts w:ascii="Arial" w:hAnsi="Arial"/>
                <w:sz w:val="12"/>
                <w:szCs w:val="12"/>
              </w:rPr>
              <w:t>Azuébar</w:t>
            </w:r>
          </w:p>
        </w:tc>
        <w:tc>
          <w:tcPr>
            <w:tcW w:w="2268" w:type="dxa"/>
            <w:tcBorders>
              <w:right w:val="single" w:sz="4" w:space="0" w:color="auto"/>
            </w:tcBorders>
            <w:shd w:val="clear" w:color="auto" w:fill="D9D9D9"/>
            <w:hideMark/>
          </w:tcPr>
          <w:p w14:paraId="071E1EBB" w14:textId="77777777" w:rsidR="002A4DDF" w:rsidRPr="00937C8B" w:rsidRDefault="002A4DDF" w:rsidP="009110ED">
            <w:pPr>
              <w:rPr>
                <w:rFonts w:ascii="Arial" w:hAnsi="Arial" w:cs="Arial"/>
                <w:sz w:val="12"/>
                <w:szCs w:val="12"/>
              </w:rPr>
            </w:pPr>
          </w:p>
        </w:tc>
      </w:tr>
      <w:tr w:rsidR="002A4DDF" w:rsidRPr="00937C8B" w14:paraId="49868047" w14:textId="77777777" w:rsidTr="00935676">
        <w:trPr>
          <w:cantSplit/>
        </w:trPr>
        <w:tc>
          <w:tcPr>
            <w:tcW w:w="1696" w:type="dxa"/>
            <w:tcBorders>
              <w:left w:val="single" w:sz="4" w:space="0" w:color="auto"/>
            </w:tcBorders>
            <w:shd w:val="clear" w:color="auto" w:fill="auto"/>
          </w:tcPr>
          <w:p w14:paraId="37495D69" w14:textId="77777777" w:rsidR="002A4DDF" w:rsidRPr="00937C8B" w:rsidRDefault="002A4DDF" w:rsidP="009110ED">
            <w:pPr>
              <w:rPr>
                <w:rFonts w:ascii="Arial" w:hAnsi="Arial" w:cs="Arial"/>
                <w:sz w:val="12"/>
                <w:szCs w:val="12"/>
              </w:rPr>
            </w:pPr>
          </w:p>
        </w:tc>
        <w:tc>
          <w:tcPr>
            <w:tcW w:w="1843" w:type="dxa"/>
            <w:shd w:val="clear" w:color="auto" w:fill="auto"/>
          </w:tcPr>
          <w:p w14:paraId="149143E6" w14:textId="77777777" w:rsidR="002A4DDF" w:rsidRPr="00937C8B" w:rsidRDefault="002A4DDF" w:rsidP="009110ED">
            <w:pPr>
              <w:rPr>
                <w:rFonts w:ascii="Arial" w:hAnsi="Arial" w:cs="Arial"/>
                <w:sz w:val="12"/>
                <w:szCs w:val="12"/>
              </w:rPr>
            </w:pPr>
          </w:p>
        </w:tc>
        <w:tc>
          <w:tcPr>
            <w:tcW w:w="2268" w:type="dxa"/>
            <w:shd w:val="clear" w:color="auto" w:fill="F2F2F2"/>
            <w:hideMark/>
          </w:tcPr>
          <w:p w14:paraId="23E699EF" w14:textId="77777777" w:rsidR="002A4DDF" w:rsidRPr="00937C8B" w:rsidRDefault="002A4DDF" w:rsidP="009110ED">
            <w:pPr>
              <w:rPr>
                <w:rFonts w:ascii="Arial" w:hAnsi="Arial" w:cs="Arial"/>
                <w:sz w:val="12"/>
                <w:szCs w:val="12"/>
              </w:rPr>
            </w:pPr>
            <w:r>
              <w:rPr>
                <w:rFonts w:ascii="Arial" w:hAnsi="Arial"/>
                <w:sz w:val="12"/>
                <w:szCs w:val="12"/>
              </w:rPr>
              <w:t>Castillo de Villamalefa</w:t>
            </w:r>
          </w:p>
        </w:tc>
        <w:tc>
          <w:tcPr>
            <w:tcW w:w="2268" w:type="dxa"/>
            <w:tcBorders>
              <w:right w:val="single" w:sz="4" w:space="0" w:color="auto"/>
            </w:tcBorders>
            <w:shd w:val="clear" w:color="auto" w:fill="D9D9D9"/>
            <w:hideMark/>
          </w:tcPr>
          <w:p w14:paraId="60AC3552" w14:textId="77777777" w:rsidR="002A4DDF" w:rsidRPr="00937C8B" w:rsidRDefault="002A4DDF" w:rsidP="009110ED">
            <w:pPr>
              <w:rPr>
                <w:rFonts w:ascii="Arial" w:hAnsi="Arial" w:cs="Arial"/>
                <w:sz w:val="12"/>
                <w:szCs w:val="12"/>
              </w:rPr>
            </w:pPr>
          </w:p>
        </w:tc>
      </w:tr>
      <w:tr w:rsidR="002A4DDF" w:rsidRPr="00937C8B" w14:paraId="4284AA68" w14:textId="77777777" w:rsidTr="00935676">
        <w:trPr>
          <w:cantSplit/>
        </w:trPr>
        <w:tc>
          <w:tcPr>
            <w:tcW w:w="1696" w:type="dxa"/>
            <w:tcBorders>
              <w:left w:val="single" w:sz="4" w:space="0" w:color="auto"/>
            </w:tcBorders>
            <w:shd w:val="clear" w:color="auto" w:fill="auto"/>
          </w:tcPr>
          <w:p w14:paraId="47F3F670" w14:textId="77777777" w:rsidR="002A4DDF" w:rsidRPr="00937C8B" w:rsidRDefault="002A4DDF" w:rsidP="009110ED">
            <w:pPr>
              <w:rPr>
                <w:rFonts w:ascii="Arial" w:hAnsi="Arial" w:cs="Arial"/>
                <w:sz w:val="12"/>
                <w:szCs w:val="12"/>
              </w:rPr>
            </w:pPr>
          </w:p>
        </w:tc>
        <w:tc>
          <w:tcPr>
            <w:tcW w:w="1843" w:type="dxa"/>
            <w:shd w:val="clear" w:color="auto" w:fill="auto"/>
          </w:tcPr>
          <w:p w14:paraId="75420DF0" w14:textId="77777777" w:rsidR="002A4DDF" w:rsidRPr="00937C8B" w:rsidRDefault="002A4DDF" w:rsidP="009110ED">
            <w:pPr>
              <w:rPr>
                <w:rFonts w:ascii="Arial" w:hAnsi="Arial" w:cs="Arial"/>
                <w:sz w:val="12"/>
                <w:szCs w:val="12"/>
              </w:rPr>
            </w:pPr>
          </w:p>
        </w:tc>
        <w:tc>
          <w:tcPr>
            <w:tcW w:w="2268" w:type="dxa"/>
            <w:shd w:val="clear" w:color="auto" w:fill="F2F2F2"/>
            <w:hideMark/>
          </w:tcPr>
          <w:p w14:paraId="021D9592" w14:textId="77777777" w:rsidR="002A4DDF" w:rsidRPr="00937C8B" w:rsidRDefault="002A4DDF" w:rsidP="009110ED">
            <w:pPr>
              <w:rPr>
                <w:rFonts w:ascii="Arial" w:hAnsi="Arial" w:cs="Arial"/>
                <w:sz w:val="12"/>
                <w:szCs w:val="12"/>
              </w:rPr>
            </w:pPr>
            <w:r>
              <w:rPr>
                <w:rFonts w:ascii="Arial" w:hAnsi="Arial"/>
                <w:sz w:val="12"/>
                <w:szCs w:val="12"/>
              </w:rPr>
              <w:t>Chóvar</w:t>
            </w:r>
          </w:p>
        </w:tc>
        <w:tc>
          <w:tcPr>
            <w:tcW w:w="2268" w:type="dxa"/>
            <w:tcBorders>
              <w:right w:val="single" w:sz="4" w:space="0" w:color="auto"/>
            </w:tcBorders>
            <w:shd w:val="clear" w:color="auto" w:fill="D9D9D9"/>
            <w:hideMark/>
          </w:tcPr>
          <w:p w14:paraId="43FFAC60" w14:textId="77777777" w:rsidR="002A4DDF" w:rsidRPr="00937C8B" w:rsidRDefault="002A4DDF" w:rsidP="009110ED">
            <w:pPr>
              <w:rPr>
                <w:rFonts w:ascii="Arial" w:hAnsi="Arial" w:cs="Arial"/>
                <w:sz w:val="12"/>
                <w:szCs w:val="12"/>
              </w:rPr>
            </w:pPr>
          </w:p>
        </w:tc>
      </w:tr>
      <w:tr w:rsidR="002A4DDF" w:rsidRPr="00937C8B" w14:paraId="4A201F77" w14:textId="77777777" w:rsidTr="00935676">
        <w:trPr>
          <w:cantSplit/>
        </w:trPr>
        <w:tc>
          <w:tcPr>
            <w:tcW w:w="1696" w:type="dxa"/>
            <w:tcBorders>
              <w:left w:val="single" w:sz="4" w:space="0" w:color="auto"/>
            </w:tcBorders>
            <w:shd w:val="clear" w:color="auto" w:fill="auto"/>
          </w:tcPr>
          <w:p w14:paraId="768A25DB" w14:textId="77777777" w:rsidR="002A4DDF" w:rsidRPr="00937C8B" w:rsidRDefault="002A4DDF" w:rsidP="009110ED">
            <w:pPr>
              <w:rPr>
                <w:rFonts w:ascii="Arial" w:hAnsi="Arial" w:cs="Arial"/>
                <w:sz w:val="12"/>
                <w:szCs w:val="12"/>
              </w:rPr>
            </w:pPr>
          </w:p>
        </w:tc>
        <w:tc>
          <w:tcPr>
            <w:tcW w:w="1843" w:type="dxa"/>
            <w:shd w:val="clear" w:color="auto" w:fill="auto"/>
          </w:tcPr>
          <w:p w14:paraId="2CDB26BD" w14:textId="77777777" w:rsidR="002A4DDF" w:rsidRPr="00937C8B" w:rsidRDefault="002A4DDF" w:rsidP="009110ED">
            <w:pPr>
              <w:rPr>
                <w:rFonts w:ascii="Arial" w:hAnsi="Arial" w:cs="Arial"/>
                <w:sz w:val="12"/>
                <w:szCs w:val="12"/>
              </w:rPr>
            </w:pPr>
          </w:p>
        </w:tc>
        <w:tc>
          <w:tcPr>
            <w:tcW w:w="2268" w:type="dxa"/>
            <w:shd w:val="clear" w:color="auto" w:fill="F2F2F2"/>
            <w:hideMark/>
          </w:tcPr>
          <w:p w14:paraId="6E69F4F4" w14:textId="77777777" w:rsidR="002A4DDF" w:rsidRPr="00937C8B" w:rsidRDefault="002A4DDF" w:rsidP="009110ED">
            <w:pPr>
              <w:rPr>
                <w:rFonts w:ascii="Arial" w:hAnsi="Arial" w:cs="Arial"/>
                <w:sz w:val="12"/>
                <w:szCs w:val="12"/>
              </w:rPr>
            </w:pPr>
            <w:r>
              <w:rPr>
                <w:rFonts w:ascii="Arial" w:hAnsi="Arial"/>
                <w:sz w:val="12"/>
                <w:szCs w:val="12"/>
              </w:rPr>
              <w:t>Gaibiel</w:t>
            </w:r>
          </w:p>
        </w:tc>
        <w:tc>
          <w:tcPr>
            <w:tcW w:w="2268" w:type="dxa"/>
            <w:tcBorders>
              <w:right w:val="single" w:sz="4" w:space="0" w:color="auto"/>
            </w:tcBorders>
            <w:shd w:val="clear" w:color="auto" w:fill="D9D9D9"/>
            <w:hideMark/>
          </w:tcPr>
          <w:p w14:paraId="71E71BBD" w14:textId="77777777" w:rsidR="002A4DDF" w:rsidRPr="00937C8B" w:rsidRDefault="002A4DDF" w:rsidP="009110ED">
            <w:pPr>
              <w:rPr>
                <w:rFonts w:ascii="Arial" w:hAnsi="Arial" w:cs="Arial"/>
                <w:sz w:val="12"/>
                <w:szCs w:val="12"/>
              </w:rPr>
            </w:pPr>
          </w:p>
        </w:tc>
      </w:tr>
      <w:tr w:rsidR="002A4DDF" w:rsidRPr="00937C8B" w14:paraId="310814F7" w14:textId="77777777" w:rsidTr="00935676">
        <w:trPr>
          <w:cantSplit/>
        </w:trPr>
        <w:tc>
          <w:tcPr>
            <w:tcW w:w="1696" w:type="dxa"/>
            <w:tcBorders>
              <w:left w:val="single" w:sz="4" w:space="0" w:color="auto"/>
            </w:tcBorders>
            <w:shd w:val="clear" w:color="auto" w:fill="auto"/>
          </w:tcPr>
          <w:p w14:paraId="4D63F12B" w14:textId="77777777" w:rsidR="002A4DDF" w:rsidRPr="00937C8B" w:rsidRDefault="002A4DDF" w:rsidP="009110ED">
            <w:pPr>
              <w:rPr>
                <w:rFonts w:ascii="Arial" w:hAnsi="Arial" w:cs="Arial"/>
                <w:sz w:val="12"/>
                <w:szCs w:val="12"/>
              </w:rPr>
            </w:pPr>
          </w:p>
        </w:tc>
        <w:tc>
          <w:tcPr>
            <w:tcW w:w="1843" w:type="dxa"/>
            <w:shd w:val="clear" w:color="auto" w:fill="auto"/>
          </w:tcPr>
          <w:p w14:paraId="0E27EFC4" w14:textId="77777777" w:rsidR="002A4DDF" w:rsidRPr="00937C8B" w:rsidRDefault="002A4DDF" w:rsidP="009110ED">
            <w:pPr>
              <w:rPr>
                <w:rFonts w:ascii="Arial" w:hAnsi="Arial" w:cs="Arial"/>
                <w:sz w:val="12"/>
                <w:szCs w:val="12"/>
              </w:rPr>
            </w:pPr>
          </w:p>
        </w:tc>
        <w:tc>
          <w:tcPr>
            <w:tcW w:w="2268" w:type="dxa"/>
            <w:shd w:val="clear" w:color="auto" w:fill="F2F2F2"/>
            <w:hideMark/>
          </w:tcPr>
          <w:p w14:paraId="2D25F052" w14:textId="77777777" w:rsidR="002A4DDF" w:rsidRPr="00937C8B" w:rsidRDefault="002A4DDF" w:rsidP="009110ED">
            <w:pPr>
              <w:rPr>
                <w:rFonts w:ascii="Arial" w:hAnsi="Arial" w:cs="Arial"/>
                <w:sz w:val="12"/>
                <w:szCs w:val="12"/>
              </w:rPr>
            </w:pPr>
            <w:r>
              <w:rPr>
                <w:rFonts w:ascii="Arial" w:hAnsi="Arial"/>
                <w:sz w:val="12"/>
                <w:szCs w:val="12"/>
              </w:rPr>
              <w:t>Higueras</w:t>
            </w:r>
          </w:p>
        </w:tc>
        <w:tc>
          <w:tcPr>
            <w:tcW w:w="2268" w:type="dxa"/>
            <w:tcBorders>
              <w:right w:val="single" w:sz="4" w:space="0" w:color="auto"/>
            </w:tcBorders>
            <w:shd w:val="clear" w:color="auto" w:fill="D9D9D9"/>
            <w:hideMark/>
          </w:tcPr>
          <w:p w14:paraId="23814385" w14:textId="77777777" w:rsidR="002A4DDF" w:rsidRPr="00937C8B" w:rsidRDefault="002A4DDF" w:rsidP="009110ED">
            <w:pPr>
              <w:rPr>
                <w:rFonts w:ascii="Arial" w:hAnsi="Arial" w:cs="Arial"/>
                <w:sz w:val="12"/>
                <w:szCs w:val="12"/>
              </w:rPr>
            </w:pPr>
          </w:p>
        </w:tc>
      </w:tr>
      <w:tr w:rsidR="002A4DDF" w:rsidRPr="00937C8B" w14:paraId="179EA1D6" w14:textId="77777777" w:rsidTr="00935676">
        <w:trPr>
          <w:cantSplit/>
        </w:trPr>
        <w:tc>
          <w:tcPr>
            <w:tcW w:w="1696" w:type="dxa"/>
            <w:tcBorders>
              <w:left w:val="single" w:sz="4" w:space="0" w:color="auto"/>
            </w:tcBorders>
            <w:shd w:val="clear" w:color="auto" w:fill="auto"/>
          </w:tcPr>
          <w:p w14:paraId="1E1924CB" w14:textId="77777777" w:rsidR="002A4DDF" w:rsidRPr="00937C8B" w:rsidRDefault="002A4DDF" w:rsidP="009110ED">
            <w:pPr>
              <w:rPr>
                <w:rFonts w:ascii="Arial" w:hAnsi="Arial" w:cs="Arial"/>
                <w:sz w:val="12"/>
                <w:szCs w:val="12"/>
              </w:rPr>
            </w:pPr>
          </w:p>
        </w:tc>
        <w:tc>
          <w:tcPr>
            <w:tcW w:w="1843" w:type="dxa"/>
            <w:shd w:val="clear" w:color="auto" w:fill="auto"/>
          </w:tcPr>
          <w:p w14:paraId="45A54A26" w14:textId="77777777" w:rsidR="002A4DDF" w:rsidRPr="00937C8B" w:rsidRDefault="002A4DDF" w:rsidP="009110ED">
            <w:pPr>
              <w:rPr>
                <w:rFonts w:ascii="Arial" w:hAnsi="Arial" w:cs="Arial"/>
                <w:sz w:val="12"/>
                <w:szCs w:val="12"/>
              </w:rPr>
            </w:pPr>
          </w:p>
        </w:tc>
        <w:tc>
          <w:tcPr>
            <w:tcW w:w="2268" w:type="dxa"/>
            <w:shd w:val="clear" w:color="auto" w:fill="F2F2F2"/>
            <w:hideMark/>
          </w:tcPr>
          <w:p w14:paraId="711A7BCD" w14:textId="77777777" w:rsidR="002A4DDF" w:rsidRPr="00937C8B" w:rsidRDefault="002A4DDF" w:rsidP="009110ED">
            <w:pPr>
              <w:rPr>
                <w:rFonts w:ascii="Arial" w:hAnsi="Arial" w:cs="Arial"/>
                <w:sz w:val="12"/>
                <w:szCs w:val="12"/>
              </w:rPr>
            </w:pPr>
            <w:r>
              <w:rPr>
                <w:rFonts w:ascii="Arial" w:hAnsi="Arial"/>
                <w:sz w:val="12"/>
                <w:szCs w:val="12"/>
              </w:rPr>
              <w:t>Matet</w:t>
            </w:r>
          </w:p>
        </w:tc>
        <w:tc>
          <w:tcPr>
            <w:tcW w:w="2268" w:type="dxa"/>
            <w:tcBorders>
              <w:right w:val="single" w:sz="4" w:space="0" w:color="auto"/>
            </w:tcBorders>
            <w:shd w:val="clear" w:color="auto" w:fill="D9D9D9"/>
            <w:hideMark/>
          </w:tcPr>
          <w:p w14:paraId="200C6C2C" w14:textId="77777777" w:rsidR="002A4DDF" w:rsidRPr="00937C8B" w:rsidRDefault="002A4DDF" w:rsidP="009110ED">
            <w:pPr>
              <w:rPr>
                <w:rFonts w:ascii="Arial" w:hAnsi="Arial" w:cs="Arial"/>
                <w:sz w:val="12"/>
                <w:szCs w:val="12"/>
              </w:rPr>
            </w:pPr>
          </w:p>
        </w:tc>
      </w:tr>
      <w:tr w:rsidR="002A4DDF" w:rsidRPr="00937C8B" w14:paraId="3B6A0451" w14:textId="77777777" w:rsidTr="00935676">
        <w:trPr>
          <w:cantSplit/>
        </w:trPr>
        <w:tc>
          <w:tcPr>
            <w:tcW w:w="1696" w:type="dxa"/>
            <w:tcBorders>
              <w:left w:val="single" w:sz="4" w:space="0" w:color="auto"/>
            </w:tcBorders>
            <w:shd w:val="clear" w:color="auto" w:fill="auto"/>
          </w:tcPr>
          <w:p w14:paraId="3BB35E04" w14:textId="77777777" w:rsidR="002A4DDF" w:rsidRPr="00937C8B" w:rsidRDefault="002A4DDF" w:rsidP="009110ED">
            <w:pPr>
              <w:rPr>
                <w:rFonts w:ascii="Arial" w:hAnsi="Arial" w:cs="Arial"/>
                <w:sz w:val="12"/>
                <w:szCs w:val="12"/>
              </w:rPr>
            </w:pPr>
          </w:p>
        </w:tc>
        <w:tc>
          <w:tcPr>
            <w:tcW w:w="1843" w:type="dxa"/>
            <w:shd w:val="clear" w:color="auto" w:fill="auto"/>
          </w:tcPr>
          <w:p w14:paraId="6B2AA009" w14:textId="77777777" w:rsidR="002A4DDF" w:rsidRPr="00937C8B" w:rsidRDefault="002A4DDF" w:rsidP="009110ED">
            <w:pPr>
              <w:rPr>
                <w:rFonts w:ascii="Arial" w:hAnsi="Arial" w:cs="Arial"/>
                <w:sz w:val="12"/>
                <w:szCs w:val="12"/>
              </w:rPr>
            </w:pPr>
          </w:p>
        </w:tc>
        <w:tc>
          <w:tcPr>
            <w:tcW w:w="2268" w:type="dxa"/>
            <w:shd w:val="clear" w:color="auto" w:fill="F2F2F2"/>
            <w:hideMark/>
          </w:tcPr>
          <w:p w14:paraId="5D4A5847" w14:textId="77777777" w:rsidR="002A4DDF" w:rsidRPr="00937C8B" w:rsidRDefault="002A4DDF" w:rsidP="009110ED">
            <w:pPr>
              <w:rPr>
                <w:rFonts w:ascii="Arial" w:hAnsi="Arial" w:cs="Arial"/>
                <w:sz w:val="12"/>
                <w:szCs w:val="12"/>
              </w:rPr>
            </w:pPr>
            <w:r>
              <w:rPr>
                <w:rFonts w:ascii="Arial" w:hAnsi="Arial"/>
                <w:sz w:val="12"/>
                <w:szCs w:val="12"/>
              </w:rPr>
              <w:t>Pavías</w:t>
            </w:r>
          </w:p>
        </w:tc>
        <w:tc>
          <w:tcPr>
            <w:tcW w:w="2268" w:type="dxa"/>
            <w:tcBorders>
              <w:right w:val="single" w:sz="4" w:space="0" w:color="auto"/>
            </w:tcBorders>
            <w:shd w:val="clear" w:color="auto" w:fill="D9D9D9"/>
            <w:hideMark/>
          </w:tcPr>
          <w:p w14:paraId="082981ED" w14:textId="77777777" w:rsidR="002A4DDF" w:rsidRPr="00937C8B" w:rsidRDefault="002A4DDF" w:rsidP="009110ED">
            <w:pPr>
              <w:rPr>
                <w:rFonts w:ascii="Arial" w:hAnsi="Arial" w:cs="Arial"/>
                <w:sz w:val="12"/>
                <w:szCs w:val="12"/>
              </w:rPr>
            </w:pPr>
          </w:p>
        </w:tc>
      </w:tr>
      <w:tr w:rsidR="002A4DDF" w:rsidRPr="00937C8B" w14:paraId="35E83E8C" w14:textId="77777777" w:rsidTr="00935676">
        <w:trPr>
          <w:cantSplit/>
        </w:trPr>
        <w:tc>
          <w:tcPr>
            <w:tcW w:w="1696" w:type="dxa"/>
            <w:tcBorders>
              <w:left w:val="single" w:sz="4" w:space="0" w:color="auto"/>
            </w:tcBorders>
            <w:shd w:val="clear" w:color="auto" w:fill="auto"/>
          </w:tcPr>
          <w:p w14:paraId="6D345923" w14:textId="77777777" w:rsidR="002A4DDF" w:rsidRPr="00937C8B" w:rsidRDefault="002A4DDF" w:rsidP="009110ED">
            <w:pPr>
              <w:rPr>
                <w:rFonts w:ascii="Arial" w:hAnsi="Arial" w:cs="Arial"/>
                <w:sz w:val="12"/>
                <w:szCs w:val="12"/>
              </w:rPr>
            </w:pPr>
          </w:p>
        </w:tc>
        <w:tc>
          <w:tcPr>
            <w:tcW w:w="1843" w:type="dxa"/>
            <w:shd w:val="clear" w:color="auto" w:fill="auto"/>
          </w:tcPr>
          <w:p w14:paraId="0C4C7905" w14:textId="77777777" w:rsidR="002A4DDF" w:rsidRPr="00937C8B" w:rsidRDefault="002A4DDF" w:rsidP="009110ED">
            <w:pPr>
              <w:rPr>
                <w:rFonts w:ascii="Arial" w:hAnsi="Arial" w:cs="Arial"/>
                <w:sz w:val="12"/>
                <w:szCs w:val="12"/>
              </w:rPr>
            </w:pPr>
          </w:p>
        </w:tc>
        <w:tc>
          <w:tcPr>
            <w:tcW w:w="2268" w:type="dxa"/>
            <w:shd w:val="clear" w:color="auto" w:fill="F2F2F2"/>
            <w:hideMark/>
          </w:tcPr>
          <w:p w14:paraId="6CCB7E78" w14:textId="77777777" w:rsidR="002A4DDF" w:rsidRPr="00937C8B" w:rsidRDefault="002A4DDF" w:rsidP="009110ED">
            <w:pPr>
              <w:rPr>
                <w:rFonts w:ascii="Arial" w:hAnsi="Arial" w:cs="Arial"/>
                <w:sz w:val="12"/>
                <w:szCs w:val="12"/>
              </w:rPr>
            </w:pPr>
            <w:r>
              <w:rPr>
                <w:rFonts w:ascii="Arial" w:hAnsi="Arial"/>
                <w:sz w:val="12"/>
                <w:szCs w:val="12"/>
              </w:rPr>
              <w:t>Torralba del Pinar</w:t>
            </w:r>
          </w:p>
        </w:tc>
        <w:tc>
          <w:tcPr>
            <w:tcW w:w="2268" w:type="dxa"/>
            <w:tcBorders>
              <w:right w:val="single" w:sz="4" w:space="0" w:color="auto"/>
            </w:tcBorders>
            <w:shd w:val="clear" w:color="auto" w:fill="D9D9D9"/>
            <w:hideMark/>
          </w:tcPr>
          <w:p w14:paraId="55BFB0A3" w14:textId="77777777" w:rsidR="002A4DDF" w:rsidRPr="00937C8B" w:rsidRDefault="002A4DDF" w:rsidP="009110ED">
            <w:pPr>
              <w:rPr>
                <w:rFonts w:ascii="Arial" w:hAnsi="Arial" w:cs="Arial"/>
                <w:sz w:val="12"/>
                <w:szCs w:val="12"/>
              </w:rPr>
            </w:pPr>
          </w:p>
        </w:tc>
      </w:tr>
      <w:tr w:rsidR="002A4DDF" w:rsidRPr="00937C8B" w14:paraId="0F3B579D" w14:textId="77777777" w:rsidTr="00935676">
        <w:trPr>
          <w:cantSplit/>
        </w:trPr>
        <w:tc>
          <w:tcPr>
            <w:tcW w:w="1696" w:type="dxa"/>
            <w:tcBorders>
              <w:left w:val="single" w:sz="4" w:space="0" w:color="auto"/>
            </w:tcBorders>
            <w:shd w:val="clear" w:color="auto" w:fill="auto"/>
            <w:hideMark/>
          </w:tcPr>
          <w:p w14:paraId="29B458D4" w14:textId="77777777" w:rsidR="002A4DDF" w:rsidRPr="00937C8B" w:rsidRDefault="002A4DDF" w:rsidP="009110ED">
            <w:pPr>
              <w:rPr>
                <w:rFonts w:ascii="Arial" w:hAnsi="Arial" w:cs="Arial"/>
                <w:sz w:val="12"/>
                <w:szCs w:val="12"/>
              </w:rPr>
            </w:pPr>
          </w:p>
        </w:tc>
        <w:tc>
          <w:tcPr>
            <w:tcW w:w="1843" w:type="dxa"/>
            <w:shd w:val="clear" w:color="auto" w:fill="auto"/>
          </w:tcPr>
          <w:p w14:paraId="06C079F0" w14:textId="77777777" w:rsidR="002A4DDF" w:rsidRPr="00937C8B" w:rsidRDefault="002A4DDF" w:rsidP="009110ED">
            <w:pPr>
              <w:rPr>
                <w:rFonts w:ascii="Arial" w:hAnsi="Arial" w:cs="Arial"/>
                <w:sz w:val="12"/>
                <w:szCs w:val="12"/>
              </w:rPr>
            </w:pPr>
          </w:p>
        </w:tc>
        <w:tc>
          <w:tcPr>
            <w:tcW w:w="2268" w:type="dxa"/>
            <w:shd w:val="clear" w:color="auto" w:fill="F2F2F2"/>
            <w:hideMark/>
          </w:tcPr>
          <w:p w14:paraId="21129327" w14:textId="77777777" w:rsidR="002A4DDF" w:rsidRPr="00937C8B" w:rsidRDefault="002A4DDF" w:rsidP="009110ED">
            <w:pPr>
              <w:rPr>
                <w:rFonts w:ascii="Arial" w:hAnsi="Arial" w:cs="Arial"/>
                <w:sz w:val="12"/>
                <w:szCs w:val="12"/>
              </w:rPr>
            </w:pPr>
            <w:r>
              <w:rPr>
                <w:rFonts w:ascii="Arial" w:hAnsi="Arial"/>
                <w:sz w:val="12"/>
                <w:szCs w:val="12"/>
              </w:rPr>
              <w:t>Vall de Almonacid</w:t>
            </w:r>
          </w:p>
        </w:tc>
        <w:tc>
          <w:tcPr>
            <w:tcW w:w="2268" w:type="dxa"/>
            <w:tcBorders>
              <w:right w:val="single" w:sz="4" w:space="0" w:color="auto"/>
            </w:tcBorders>
            <w:shd w:val="clear" w:color="auto" w:fill="D9D9D9"/>
            <w:hideMark/>
          </w:tcPr>
          <w:p w14:paraId="60A40407" w14:textId="77777777" w:rsidR="002A4DDF" w:rsidRPr="00937C8B" w:rsidRDefault="002A4DDF" w:rsidP="009110ED">
            <w:pPr>
              <w:rPr>
                <w:rFonts w:ascii="Arial" w:hAnsi="Arial" w:cs="Arial"/>
                <w:sz w:val="12"/>
                <w:szCs w:val="12"/>
              </w:rPr>
            </w:pPr>
          </w:p>
        </w:tc>
      </w:tr>
      <w:tr w:rsidR="002A4DDF" w:rsidRPr="00937C8B" w14:paraId="6782EE31" w14:textId="77777777" w:rsidTr="00935676">
        <w:trPr>
          <w:cantSplit/>
        </w:trPr>
        <w:tc>
          <w:tcPr>
            <w:tcW w:w="1696" w:type="dxa"/>
            <w:tcBorders>
              <w:left w:val="single" w:sz="4" w:space="0" w:color="auto"/>
              <w:bottom w:val="single" w:sz="4" w:space="0" w:color="auto"/>
            </w:tcBorders>
            <w:shd w:val="clear" w:color="auto" w:fill="auto"/>
            <w:hideMark/>
          </w:tcPr>
          <w:p w14:paraId="729CD80E" w14:textId="77777777" w:rsidR="002A4DDF" w:rsidRPr="00937C8B" w:rsidRDefault="002A4DDF" w:rsidP="009110ED">
            <w:pPr>
              <w:rPr>
                <w:rFonts w:ascii="Arial" w:hAnsi="Arial" w:cs="Arial"/>
                <w:sz w:val="12"/>
                <w:szCs w:val="12"/>
              </w:rPr>
            </w:pPr>
            <w:r>
              <w:rPr>
                <w:rFonts w:ascii="Arial" w:hAnsi="Arial"/>
                <w:sz w:val="12"/>
                <w:szCs w:val="12"/>
              </w:rPr>
              <w:t>Communauté de Valence</w:t>
            </w:r>
          </w:p>
        </w:tc>
        <w:tc>
          <w:tcPr>
            <w:tcW w:w="1843" w:type="dxa"/>
            <w:tcBorders>
              <w:bottom w:val="single" w:sz="4" w:space="0" w:color="auto"/>
            </w:tcBorders>
            <w:shd w:val="clear" w:color="auto" w:fill="auto"/>
            <w:hideMark/>
          </w:tcPr>
          <w:p w14:paraId="06198FDE" w14:textId="77777777" w:rsidR="002A4DDF" w:rsidRPr="00937C8B" w:rsidRDefault="002A4DDF" w:rsidP="009110ED">
            <w:pPr>
              <w:rPr>
                <w:rFonts w:ascii="Arial" w:hAnsi="Arial" w:cs="Arial"/>
                <w:sz w:val="12"/>
                <w:szCs w:val="12"/>
              </w:rPr>
            </w:pPr>
            <w:r>
              <w:rPr>
                <w:rFonts w:ascii="Arial" w:hAnsi="Arial"/>
                <w:sz w:val="12"/>
                <w:szCs w:val="12"/>
              </w:rPr>
              <w:t>Castellón</w:t>
            </w:r>
          </w:p>
        </w:tc>
        <w:tc>
          <w:tcPr>
            <w:tcW w:w="2268" w:type="dxa"/>
            <w:tcBorders>
              <w:bottom w:val="single" w:sz="4" w:space="0" w:color="auto"/>
            </w:tcBorders>
            <w:shd w:val="clear" w:color="auto" w:fill="F2F2F2"/>
            <w:hideMark/>
          </w:tcPr>
          <w:p w14:paraId="1DB0F804" w14:textId="77777777" w:rsidR="002A4DDF" w:rsidRPr="00937C8B" w:rsidRDefault="002A4DDF" w:rsidP="009110ED">
            <w:pPr>
              <w:rPr>
                <w:rFonts w:ascii="Arial" w:hAnsi="Arial" w:cs="Arial"/>
                <w:sz w:val="12"/>
                <w:szCs w:val="12"/>
              </w:rPr>
            </w:pPr>
            <w:r>
              <w:rPr>
                <w:rFonts w:ascii="Arial" w:hAnsi="Arial"/>
                <w:sz w:val="12"/>
                <w:szCs w:val="12"/>
              </w:rPr>
              <w:t>Zucaina</w:t>
            </w:r>
          </w:p>
        </w:tc>
        <w:tc>
          <w:tcPr>
            <w:tcW w:w="2268" w:type="dxa"/>
            <w:tcBorders>
              <w:bottom w:val="single" w:sz="4" w:space="0" w:color="auto"/>
              <w:right w:val="single" w:sz="4" w:space="0" w:color="auto"/>
            </w:tcBorders>
            <w:shd w:val="clear" w:color="auto" w:fill="D9D9D9"/>
            <w:hideMark/>
          </w:tcPr>
          <w:p w14:paraId="2927660E" w14:textId="77777777" w:rsidR="002A4DDF" w:rsidRPr="00937C8B" w:rsidRDefault="002A4DDF" w:rsidP="009110ED">
            <w:pPr>
              <w:rPr>
                <w:rFonts w:ascii="Arial" w:hAnsi="Arial" w:cs="Arial"/>
                <w:sz w:val="12"/>
                <w:szCs w:val="12"/>
              </w:rPr>
            </w:pPr>
          </w:p>
        </w:tc>
      </w:tr>
      <w:tr w:rsidR="002A4DDF" w:rsidRPr="00937C8B" w14:paraId="0090458D" w14:textId="77777777" w:rsidTr="00935676">
        <w:trPr>
          <w:cantSplit/>
        </w:trPr>
        <w:tc>
          <w:tcPr>
            <w:tcW w:w="1696" w:type="dxa"/>
            <w:tcBorders>
              <w:top w:val="single" w:sz="4" w:space="0" w:color="auto"/>
              <w:bottom w:val="single" w:sz="4" w:space="0" w:color="auto"/>
            </w:tcBorders>
            <w:shd w:val="clear" w:color="auto" w:fill="auto"/>
            <w:hideMark/>
          </w:tcPr>
          <w:p w14:paraId="24F8B61A"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746ED74A"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5B461589"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2AB51917" w14:textId="77777777" w:rsidR="002A4DDF" w:rsidRPr="00937C8B" w:rsidRDefault="002A4DDF" w:rsidP="009110ED">
            <w:pPr>
              <w:rPr>
                <w:rFonts w:ascii="Arial" w:hAnsi="Arial" w:cs="Arial"/>
                <w:sz w:val="12"/>
                <w:szCs w:val="12"/>
              </w:rPr>
            </w:pPr>
          </w:p>
        </w:tc>
      </w:tr>
      <w:tr w:rsidR="002A4DDF" w:rsidRPr="00937C8B" w14:paraId="39118117" w14:textId="77777777" w:rsidTr="00935676">
        <w:trPr>
          <w:cantSplit/>
        </w:trPr>
        <w:tc>
          <w:tcPr>
            <w:tcW w:w="1696" w:type="dxa"/>
            <w:tcBorders>
              <w:top w:val="single" w:sz="4" w:space="0" w:color="auto"/>
              <w:left w:val="single" w:sz="4" w:space="0" w:color="auto"/>
            </w:tcBorders>
            <w:shd w:val="clear" w:color="auto" w:fill="auto"/>
            <w:hideMark/>
          </w:tcPr>
          <w:p w14:paraId="39C8DC8F" w14:textId="77777777" w:rsidR="002A4DDF" w:rsidRPr="00937C8B" w:rsidRDefault="002A4DDF" w:rsidP="009110ED">
            <w:pPr>
              <w:rPr>
                <w:rFonts w:ascii="Arial" w:hAnsi="Arial" w:cs="Arial"/>
                <w:sz w:val="12"/>
                <w:szCs w:val="12"/>
              </w:rPr>
            </w:pPr>
            <w:r>
              <w:rPr>
                <w:rFonts w:ascii="Arial" w:hAnsi="Arial"/>
                <w:sz w:val="12"/>
                <w:szCs w:val="12"/>
              </w:rPr>
              <w:t>Communauté de Valence</w:t>
            </w:r>
          </w:p>
        </w:tc>
        <w:tc>
          <w:tcPr>
            <w:tcW w:w="1843" w:type="dxa"/>
            <w:tcBorders>
              <w:top w:val="single" w:sz="4" w:space="0" w:color="auto"/>
            </w:tcBorders>
            <w:shd w:val="clear" w:color="auto" w:fill="auto"/>
            <w:hideMark/>
          </w:tcPr>
          <w:p w14:paraId="69C2257A" w14:textId="77777777" w:rsidR="002A4DDF" w:rsidRPr="00937C8B" w:rsidRDefault="002A4DDF" w:rsidP="009110ED">
            <w:pPr>
              <w:rPr>
                <w:rFonts w:ascii="Arial" w:hAnsi="Arial" w:cs="Arial"/>
                <w:sz w:val="12"/>
                <w:szCs w:val="12"/>
              </w:rPr>
            </w:pPr>
            <w:r>
              <w:rPr>
                <w:rFonts w:ascii="Arial" w:hAnsi="Arial"/>
                <w:sz w:val="12"/>
                <w:szCs w:val="12"/>
              </w:rPr>
              <w:t>Valence</w:t>
            </w:r>
          </w:p>
        </w:tc>
        <w:tc>
          <w:tcPr>
            <w:tcW w:w="2268" w:type="dxa"/>
            <w:tcBorders>
              <w:top w:val="single" w:sz="4" w:space="0" w:color="auto"/>
            </w:tcBorders>
            <w:shd w:val="clear" w:color="auto" w:fill="F2F2F2"/>
            <w:hideMark/>
          </w:tcPr>
          <w:p w14:paraId="5824A238" w14:textId="77777777" w:rsidR="002A4DDF" w:rsidRPr="00937C8B" w:rsidRDefault="002A4DDF" w:rsidP="009110ED">
            <w:pPr>
              <w:rPr>
                <w:rFonts w:ascii="Arial" w:hAnsi="Arial" w:cs="Arial"/>
                <w:sz w:val="12"/>
                <w:szCs w:val="12"/>
              </w:rPr>
            </w:pPr>
            <w:r>
              <w:rPr>
                <w:rFonts w:ascii="Arial" w:hAnsi="Arial"/>
                <w:sz w:val="12"/>
                <w:szCs w:val="12"/>
              </w:rPr>
              <w:t>Chera</w:t>
            </w:r>
          </w:p>
        </w:tc>
        <w:tc>
          <w:tcPr>
            <w:tcW w:w="2268" w:type="dxa"/>
            <w:tcBorders>
              <w:top w:val="single" w:sz="4" w:space="0" w:color="auto"/>
              <w:right w:val="single" w:sz="4" w:space="0" w:color="auto"/>
            </w:tcBorders>
            <w:shd w:val="clear" w:color="auto" w:fill="D9D9D9"/>
            <w:hideMark/>
          </w:tcPr>
          <w:p w14:paraId="10702393" w14:textId="77777777" w:rsidR="002A4DDF" w:rsidRPr="00937C8B" w:rsidRDefault="002A4DDF" w:rsidP="009110ED">
            <w:pPr>
              <w:rPr>
                <w:rFonts w:ascii="Arial" w:hAnsi="Arial" w:cs="Arial"/>
                <w:sz w:val="12"/>
                <w:szCs w:val="12"/>
              </w:rPr>
            </w:pPr>
          </w:p>
        </w:tc>
      </w:tr>
      <w:tr w:rsidR="002A4DDF" w:rsidRPr="00937C8B" w14:paraId="7328AC4F" w14:textId="77777777" w:rsidTr="00935676">
        <w:trPr>
          <w:cantSplit/>
        </w:trPr>
        <w:tc>
          <w:tcPr>
            <w:tcW w:w="1696" w:type="dxa"/>
            <w:tcBorders>
              <w:left w:val="single" w:sz="4" w:space="0" w:color="auto"/>
            </w:tcBorders>
            <w:shd w:val="clear" w:color="auto" w:fill="auto"/>
          </w:tcPr>
          <w:p w14:paraId="6F921C28" w14:textId="77777777" w:rsidR="002A4DDF" w:rsidRPr="00937C8B" w:rsidRDefault="002A4DDF" w:rsidP="009110ED">
            <w:pPr>
              <w:rPr>
                <w:rFonts w:ascii="Arial" w:hAnsi="Arial" w:cs="Arial"/>
                <w:sz w:val="12"/>
                <w:szCs w:val="12"/>
              </w:rPr>
            </w:pPr>
          </w:p>
        </w:tc>
        <w:tc>
          <w:tcPr>
            <w:tcW w:w="1843" w:type="dxa"/>
            <w:shd w:val="clear" w:color="auto" w:fill="auto"/>
          </w:tcPr>
          <w:p w14:paraId="534F0B56" w14:textId="77777777" w:rsidR="002A4DDF" w:rsidRPr="00937C8B" w:rsidRDefault="002A4DDF" w:rsidP="009110ED">
            <w:pPr>
              <w:rPr>
                <w:rFonts w:ascii="Arial" w:hAnsi="Arial" w:cs="Arial"/>
                <w:sz w:val="12"/>
                <w:szCs w:val="12"/>
              </w:rPr>
            </w:pPr>
          </w:p>
        </w:tc>
        <w:tc>
          <w:tcPr>
            <w:tcW w:w="2268" w:type="dxa"/>
            <w:shd w:val="clear" w:color="auto" w:fill="F2F2F2"/>
            <w:hideMark/>
          </w:tcPr>
          <w:p w14:paraId="1A72D629" w14:textId="77777777" w:rsidR="002A4DDF" w:rsidRPr="00937C8B" w:rsidRDefault="002A4DDF" w:rsidP="009110ED">
            <w:pPr>
              <w:rPr>
                <w:rFonts w:ascii="Arial" w:hAnsi="Arial" w:cs="Arial"/>
                <w:sz w:val="12"/>
                <w:szCs w:val="12"/>
              </w:rPr>
            </w:pPr>
            <w:r>
              <w:rPr>
                <w:rFonts w:ascii="Arial" w:hAnsi="Arial"/>
                <w:sz w:val="12"/>
                <w:szCs w:val="12"/>
              </w:rPr>
              <w:t>el Puig de Santa Maria</w:t>
            </w:r>
          </w:p>
        </w:tc>
        <w:tc>
          <w:tcPr>
            <w:tcW w:w="2268" w:type="dxa"/>
            <w:tcBorders>
              <w:right w:val="single" w:sz="4" w:space="0" w:color="auto"/>
            </w:tcBorders>
            <w:shd w:val="clear" w:color="auto" w:fill="D9D9D9"/>
            <w:hideMark/>
          </w:tcPr>
          <w:p w14:paraId="428E964C" w14:textId="77777777" w:rsidR="002A4DDF" w:rsidRPr="00937C8B" w:rsidRDefault="002A4DDF" w:rsidP="009110ED">
            <w:pPr>
              <w:rPr>
                <w:rFonts w:ascii="Arial" w:hAnsi="Arial" w:cs="Arial"/>
                <w:sz w:val="12"/>
                <w:szCs w:val="12"/>
              </w:rPr>
            </w:pPr>
          </w:p>
        </w:tc>
      </w:tr>
      <w:tr w:rsidR="002A4DDF" w:rsidRPr="00937C8B" w14:paraId="4C799142" w14:textId="77777777" w:rsidTr="00935676">
        <w:trPr>
          <w:cantSplit/>
        </w:trPr>
        <w:tc>
          <w:tcPr>
            <w:tcW w:w="1696" w:type="dxa"/>
            <w:tcBorders>
              <w:left w:val="single" w:sz="4" w:space="0" w:color="auto"/>
            </w:tcBorders>
            <w:shd w:val="clear" w:color="auto" w:fill="auto"/>
          </w:tcPr>
          <w:p w14:paraId="7A675692" w14:textId="77777777" w:rsidR="002A4DDF" w:rsidRPr="00937C8B" w:rsidRDefault="002A4DDF" w:rsidP="009110ED">
            <w:pPr>
              <w:rPr>
                <w:rFonts w:ascii="Arial" w:hAnsi="Arial" w:cs="Arial"/>
                <w:sz w:val="12"/>
                <w:szCs w:val="12"/>
              </w:rPr>
            </w:pPr>
          </w:p>
        </w:tc>
        <w:tc>
          <w:tcPr>
            <w:tcW w:w="1843" w:type="dxa"/>
            <w:shd w:val="clear" w:color="auto" w:fill="auto"/>
          </w:tcPr>
          <w:p w14:paraId="69711340" w14:textId="77777777" w:rsidR="002A4DDF" w:rsidRPr="00937C8B" w:rsidRDefault="002A4DDF" w:rsidP="009110ED">
            <w:pPr>
              <w:rPr>
                <w:rFonts w:ascii="Arial" w:hAnsi="Arial" w:cs="Arial"/>
                <w:sz w:val="12"/>
                <w:szCs w:val="12"/>
              </w:rPr>
            </w:pPr>
          </w:p>
        </w:tc>
        <w:tc>
          <w:tcPr>
            <w:tcW w:w="2268" w:type="dxa"/>
            <w:shd w:val="clear" w:color="auto" w:fill="F2F2F2"/>
            <w:hideMark/>
          </w:tcPr>
          <w:p w14:paraId="31FC73F7" w14:textId="77777777" w:rsidR="002A4DDF" w:rsidRPr="00937C8B" w:rsidRDefault="002A4DDF" w:rsidP="009110ED">
            <w:pPr>
              <w:rPr>
                <w:rFonts w:ascii="Arial" w:hAnsi="Arial" w:cs="Arial"/>
                <w:sz w:val="12"/>
                <w:szCs w:val="12"/>
              </w:rPr>
            </w:pPr>
            <w:r>
              <w:rPr>
                <w:rFonts w:ascii="Arial" w:hAnsi="Arial"/>
                <w:sz w:val="12"/>
                <w:szCs w:val="12"/>
              </w:rPr>
              <w:t>Gilet</w:t>
            </w:r>
          </w:p>
        </w:tc>
        <w:tc>
          <w:tcPr>
            <w:tcW w:w="2268" w:type="dxa"/>
            <w:tcBorders>
              <w:right w:val="single" w:sz="4" w:space="0" w:color="auto"/>
            </w:tcBorders>
            <w:shd w:val="clear" w:color="auto" w:fill="D9D9D9"/>
            <w:hideMark/>
          </w:tcPr>
          <w:p w14:paraId="3CF98BEB" w14:textId="77777777" w:rsidR="002A4DDF" w:rsidRPr="00937C8B" w:rsidRDefault="002A4DDF" w:rsidP="009110ED">
            <w:pPr>
              <w:rPr>
                <w:rFonts w:ascii="Arial" w:hAnsi="Arial" w:cs="Arial"/>
                <w:sz w:val="12"/>
                <w:szCs w:val="12"/>
              </w:rPr>
            </w:pPr>
          </w:p>
        </w:tc>
      </w:tr>
      <w:tr w:rsidR="002A4DDF" w:rsidRPr="00937C8B" w14:paraId="0E603195" w14:textId="77777777" w:rsidTr="00935676">
        <w:trPr>
          <w:cantSplit/>
        </w:trPr>
        <w:tc>
          <w:tcPr>
            <w:tcW w:w="1696" w:type="dxa"/>
            <w:tcBorders>
              <w:left w:val="single" w:sz="4" w:space="0" w:color="auto"/>
            </w:tcBorders>
            <w:shd w:val="clear" w:color="auto" w:fill="auto"/>
          </w:tcPr>
          <w:p w14:paraId="6EC6777A" w14:textId="77777777" w:rsidR="002A4DDF" w:rsidRPr="00937C8B" w:rsidRDefault="002A4DDF" w:rsidP="009110ED">
            <w:pPr>
              <w:rPr>
                <w:rFonts w:ascii="Arial" w:hAnsi="Arial" w:cs="Arial"/>
                <w:sz w:val="12"/>
                <w:szCs w:val="12"/>
              </w:rPr>
            </w:pPr>
          </w:p>
        </w:tc>
        <w:tc>
          <w:tcPr>
            <w:tcW w:w="1843" w:type="dxa"/>
            <w:shd w:val="clear" w:color="auto" w:fill="auto"/>
          </w:tcPr>
          <w:p w14:paraId="4EE26FBE" w14:textId="77777777" w:rsidR="002A4DDF" w:rsidRPr="00937C8B" w:rsidRDefault="002A4DDF" w:rsidP="009110ED">
            <w:pPr>
              <w:rPr>
                <w:rFonts w:ascii="Arial" w:hAnsi="Arial" w:cs="Arial"/>
                <w:sz w:val="12"/>
                <w:szCs w:val="12"/>
              </w:rPr>
            </w:pPr>
          </w:p>
        </w:tc>
        <w:tc>
          <w:tcPr>
            <w:tcW w:w="2268" w:type="dxa"/>
            <w:shd w:val="clear" w:color="auto" w:fill="F2F2F2"/>
            <w:hideMark/>
          </w:tcPr>
          <w:p w14:paraId="5FE59F91" w14:textId="77777777" w:rsidR="002A4DDF" w:rsidRPr="00937C8B" w:rsidRDefault="002A4DDF" w:rsidP="009110ED">
            <w:pPr>
              <w:rPr>
                <w:rFonts w:ascii="Arial" w:hAnsi="Arial" w:cs="Arial"/>
                <w:sz w:val="12"/>
                <w:szCs w:val="12"/>
              </w:rPr>
            </w:pPr>
            <w:r>
              <w:rPr>
                <w:rFonts w:ascii="Arial" w:hAnsi="Arial"/>
                <w:sz w:val="12"/>
                <w:szCs w:val="12"/>
              </w:rPr>
              <w:t>Puçol</w:t>
            </w:r>
          </w:p>
        </w:tc>
        <w:tc>
          <w:tcPr>
            <w:tcW w:w="2268" w:type="dxa"/>
            <w:tcBorders>
              <w:right w:val="single" w:sz="4" w:space="0" w:color="auto"/>
            </w:tcBorders>
            <w:shd w:val="clear" w:color="auto" w:fill="D9D9D9"/>
            <w:hideMark/>
          </w:tcPr>
          <w:p w14:paraId="07276BD3" w14:textId="77777777" w:rsidR="002A4DDF" w:rsidRPr="00937C8B" w:rsidRDefault="002A4DDF" w:rsidP="009110ED">
            <w:pPr>
              <w:rPr>
                <w:rFonts w:ascii="Arial" w:hAnsi="Arial" w:cs="Arial"/>
                <w:sz w:val="12"/>
                <w:szCs w:val="12"/>
              </w:rPr>
            </w:pPr>
          </w:p>
        </w:tc>
      </w:tr>
      <w:tr w:rsidR="002A4DDF" w:rsidRPr="00937C8B" w14:paraId="48513DFE" w14:textId="77777777" w:rsidTr="00935676">
        <w:trPr>
          <w:cantSplit/>
        </w:trPr>
        <w:tc>
          <w:tcPr>
            <w:tcW w:w="1696" w:type="dxa"/>
            <w:tcBorders>
              <w:left w:val="single" w:sz="4" w:space="0" w:color="auto"/>
              <w:bottom w:val="single" w:sz="4" w:space="0" w:color="auto"/>
            </w:tcBorders>
            <w:shd w:val="clear" w:color="auto" w:fill="auto"/>
            <w:hideMark/>
          </w:tcPr>
          <w:p w14:paraId="1B5ACFE3" w14:textId="77777777" w:rsidR="002A4DDF" w:rsidRPr="00937C8B" w:rsidRDefault="002A4DDF" w:rsidP="009110ED">
            <w:pPr>
              <w:rPr>
                <w:rFonts w:ascii="Arial" w:hAnsi="Arial" w:cs="Arial"/>
                <w:sz w:val="12"/>
                <w:szCs w:val="12"/>
              </w:rPr>
            </w:pPr>
            <w:r>
              <w:rPr>
                <w:rFonts w:ascii="Arial" w:hAnsi="Arial"/>
                <w:sz w:val="12"/>
                <w:szCs w:val="12"/>
              </w:rPr>
              <w:t>Communauté de Valence</w:t>
            </w:r>
          </w:p>
        </w:tc>
        <w:tc>
          <w:tcPr>
            <w:tcW w:w="1843" w:type="dxa"/>
            <w:tcBorders>
              <w:bottom w:val="single" w:sz="4" w:space="0" w:color="auto"/>
            </w:tcBorders>
            <w:shd w:val="clear" w:color="auto" w:fill="auto"/>
            <w:hideMark/>
          </w:tcPr>
          <w:p w14:paraId="05E5F822" w14:textId="77777777" w:rsidR="002A4DDF" w:rsidRPr="00937C8B" w:rsidRDefault="002A4DDF" w:rsidP="009110ED">
            <w:pPr>
              <w:rPr>
                <w:rFonts w:ascii="Arial" w:hAnsi="Arial" w:cs="Arial"/>
                <w:sz w:val="12"/>
                <w:szCs w:val="12"/>
              </w:rPr>
            </w:pPr>
            <w:r>
              <w:rPr>
                <w:rFonts w:ascii="Arial" w:hAnsi="Arial"/>
                <w:sz w:val="12"/>
                <w:szCs w:val="12"/>
              </w:rPr>
              <w:t>Valence</w:t>
            </w:r>
          </w:p>
        </w:tc>
        <w:tc>
          <w:tcPr>
            <w:tcW w:w="2268" w:type="dxa"/>
            <w:tcBorders>
              <w:bottom w:val="single" w:sz="4" w:space="0" w:color="auto"/>
            </w:tcBorders>
            <w:shd w:val="clear" w:color="auto" w:fill="F2F2F2"/>
            <w:hideMark/>
          </w:tcPr>
          <w:p w14:paraId="626CDA76" w14:textId="77777777" w:rsidR="002A4DDF" w:rsidRPr="00937C8B" w:rsidRDefault="002A4DDF" w:rsidP="009110ED">
            <w:pPr>
              <w:rPr>
                <w:rFonts w:ascii="Arial" w:hAnsi="Arial" w:cs="Arial"/>
                <w:sz w:val="12"/>
                <w:szCs w:val="12"/>
              </w:rPr>
            </w:pPr>
            <w:r>
              <w:rPr>
                <w:rFonts w:ascii="Arial" w:hAnsi="Arial"/>
                <w:sz w:val="12"/>
                <w:szCs w:val="12"/>
              </w:rPr>
              <w:t>Sagunto/Sagunt</w:t>
            </w:r>
          </w:p>
        </w:tc>
        <w:tc>
          <w:tcPr>
            <w:tcW w:w="2268" w:type="dxa"/>
            <w:tcBorders>
              <w:bottom w:val="single" w:sz="4" w:space="0" w:color="auto"/>
              <w:right w:val="single" w:sz="4" w:space="0" w:color="auto"/>
            </w:tcBorders>
            <w:shd w:val="clear" w:color="auto" w:fill="D9D9D9"/>
            <w:hideMark/>
          </w:tcPr>
          <w:p w14:paraId="0505BDDB" w14:textId="77777777" w:rsidR="002A4DDF" w:rsidRPr="00937C8B" w:rsidRDefault="002A4DDF" w:rsidP="009110ED">
            <w:pPr>
              <w:rPr>
                <w:rFonts w:ascii="Arial" w:hAnsi="Arial" w:cs="Arial"/>
                <w:sz w:val="12"/>
                <w:szCs w:val="12"/>
              </w:rPr>
            </w:pPr>
          </w:p>
        </w:tc>
      </w:tr>
      <w:tr w:rsidR="002A4DDF" w:rsidRPr="00937C8B" w14:paraId="1B12AE31" w14:textId="77777777" w:rsidTr="00935676">
        <w:trPr>
          <w:cantSplit/>
        </w:trPr>
        <w:tc>
          <w:tcPr>
            <w:tcW w:w="1696" w:type="dxa"/>
            <w:tcBorders>
              <w:top w:val="single" w:sz="4" w:space="0" w:color="auto"/>
              <w:bottom w:val="single" w:sz="4" w:space="0" w:color="auto"/>
            </w:tcBorders>
            <w:shd w:val="clear" w:color="auto" w:fill="auto"/>
            <w:hideMark/>
          </w:tcPr>
          <w:p w14:paraId="6FC42564"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52DB71A7"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47A3E51D"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75997461" w14:textId="77777777" w:rsidR="002A4DDF" w:rsidRPr="00937C8B" w:rsidRDefault="002A4DDF" w:rsidP="009110ED">
            <w:pPr>
              <w:rPr>
                <w:rFonts w:ascii="Arial" w:hAnsi="Arial" w:cs="Arial"/>
                <w:sz w:val="12"/>
                <w:szCs w:val="12"/>
              </w:rPr>
            </w:pPr>
          </w:p>
        </w:tc>
      </w:tr>
      <w:tr w:rsidR="002A4DDF" w:rsidRPr="00937C8B" w14:paraId="1372F70E" w14:textId="77777777" w:rsidTr="00935676">
        <w:trPr>
          <w:cantSplit/>
        </w:trPr>
        <w:tc>
          <w:tcPr>
            <w:tcW w:w="1696" w:type="dxa"/>
            <w:tcBorders>
              <w:top w:val="single" w:sz="4" w:space="0" w:color="auto"/>
              <w:left w:val="single" w:sz="4" w:space="0" w:color="auto"/>
            </w:tcBorders>
            <w:shd w:val="clear" w:color="auto" w:fill="auto"/>
            <w:hideMark/>
          </w:tcPr>
          <w:p w14:paraId="36B15881" w14:textId="77777777" w:rsidR="002A4DDF" w:rsidRPr="00937C8B" w:rsidRDefault="002A4DDF" w:rsidP="009110ED">
            <w:pPr>
              <w:rPr>
                <w:rFonts w:ascii="Arial" w:hAnsi="Arial" w:cs="Arial"/>
                <w:sz w:val="12"/>
                <w:szCs w:val="12"/>
              </w:rPr>
            </w:pPr>
            <w:r>
              <w:rPr>
                <w:rFonts w:ascii="Arial" w:hAnsi="Arial"/>
                <w:sz w:val="12"/>
                <w:szCs w:val="12"/>
              </w:rPr>
              <w:t>Estrémadure</w:t>
            </w:r>
          </w:p>
        </w:tc>
        <w:tc>
          <w:tcPr>
            <w:tcW w:w="1843" w:type="dxa"/>
            <w:tcBorders>
              <w:top w:val="single" w:sz="4" w:space="0" w:color="auto"/>
            </w:tcBorders>
            <w:shd w:val="clear" w:color="auto" w:fill="auto"/>
            <w:hideMark/>
          </w:tcPr>
          <w:p w14:paraId="4C9D2A60" w14:textId="77777777" w:rsidR="002A4DDF" w:rsidRPr="00937C8B" w:rsidRDefault="002A4DDF" w:rsidP="009110ED">
            <w:pPr>
              <w:rPr>
                <w:rFonts w:ascii="Arial" w:hAnsi="Arial" w:cs="Arial"/>
                <w:sz w:val="12"/>
                <w:szCs w:val="12"/>
              </w:rPr>
            </w:pPr>
            <w:r>
              <w:rPr>
                <w:rFonts w:ascii="Arial" w:hAnsi="Arial"/>
                <w:sz w:val="12"/>
                <w:szCs w:val="12"/>
              </w:rPr>
              <w:t>Badajoz</w:t>
            </w:r>
          </w:p>
        </w:tc>
        <w:tc>
          <w:tcPr>
            <w:tcW w:w="2268" w:type="dxa"/>
            <w:tcBorders>
              <w:top w:val="single" w:sz="4" w:space="0" w:color="auto"/>
            </w:tcBorders>
            <w:shd w:val="clear" w:color="auto" w:fill="F2F2F2"/>
            <w:hideMark/>
          </w:tcPr>
          <w:p w14:paraId="446F72BA" w14:textId="77777777" w:rsidR="002A4DDF" w:rsidRPr="00937C8B" w:rsidRDefault="002A4DDF" w:rsidP="009110ED">
            <w:pPr>
              <w:rPr>
                <w:rFonts w:ascii="Arial" w:hAnsi="Arial" w:cs="Arial"/>
                <w:sz w:val="12"/>
                <w:szCs w:val="12"/>
              </w:rPr>
            </w:pPr>
            <w:r>
              <w:rPr>
                <w:rFonts w:ascii="Arial" w:hAnsi="Arial"/>
                <w:sz w:val="12"/>
                <w:szCs w:val="12"/>
              </w:rPr>
              <w:t>Alange</w:t>
            </w:r>
          </w:p>
        </w:tc>
        <w:tc>
          <w:tcPr>
            <w:tcW w:w="2268" w:type="dxa"/>
            <w:tcBorders>
              <w:top w:val="single" w:sz="4" w:space="0" w:color="auto"/>
              <w:right w:val="single" w:sz="4" w:space="0" w:color="auto"/>
            </w:tcBorders>
            <w:shd w:val="clear" w:color="auto" w:fill="D9D9D9"/>
            <w:hideMark/>
          </w:tcPr>
          <w:p w14:paraId="029118D9" w14:textId="77777777" w:rsidR="002A4DDF" w:rsidRPr="00937C8B" w:rsidRDefault="002A4DDF" w:rsidP="009110ED">
            <w:pPr>
              <w:rPr>
                <w:rFonts w:ascii="Arial" w:hAnsi="Arial" w:cs="Arial"/>
                <w:sz w:val="12"/>
                <w:szCs w:val="12"/>
              </w:rPr>
            </w:pPr>
            <w:r>
              <w:rPr>
                <w:rFonts w:ascii="Arial" w:hAnsi="Arial"/>
                <w:sz w:val="12"/>
                <w:szCs w:val="12"/>
              </w:rPr>
              <w:t>Acedera</w:t>
            </w:r>
          </w:p>
        </w:tc>
      </w:tr>
      <w:tr w:rsidR="002A4DDF" w:rsidRPr="00937C8B" w14:paraId="146825F9" w14:textId="77777777" w:rsidTr="00935676">
        <w:trPr>
          <w:cantSplit/>
        </w:trPr>
        <w:tc>
          <w:tcPr>
            <w:tcW w:w="1696" w:type="dxa"/>
            <w:tcBorders>
              <w:left w:val="single" w:sz="4" w:space="0" w:color="auto"/>
            </w:tcBorders>
            <w:shd w:val="clear" w:color="auto" w:fill="auto"/>
          </w:tcPr>
          <w:p w14:paraId="3C7C8CBC" w14:textId="77777777" w:rsidR="002A4DDF" w:rsidRPr="00937C8B" w:rsidRDefault="002A4DDF" w:rsidP="009110ED">
            <w:pPr>
              <w:rPr>
                <w:rFonts w:ascii="Arial" w:hAnsi="Arial" w:cs="Arial"/>
                <w:sz w:val="12"/>
                <w:szCs w:val="12"/>
              </w:rPr>
            </w:pPr>
          </w:p>
        </w:tc>
        <w:tc>
          <w:tcPr>
            <w:tcW w:w="1843" w:type="dxa"/>
            <w:shd w:val="clear" w:color="auto" w:fill="auto"/>
          </w:tcPr>
          <w:p w14:paraId="112FDF11" w14:textId="77777777" w:rsidR="002A4DDF" w:rsidRPr="00937C8B" w:rsidRDefault="002A4DDF" w:rsidP="009110ED">
            <w:pPr>
              <w:rPr>
                <w:rFonts w:ascii="Arial" w:hAnsi="Arial" w:cs="Arial"/>
                <w:sz w:val="12"/>
                <w:szCs w:val="12"/>
              </w:rPr>
            </w:pPr>
          </w:p>
        </w:tc>
        <w:tc>
          <w:tcPr>
            <w:tcW w:w="2268" w:type="dxa"/>
            <w:shd w:val="clear" w:color="auto" w:fill="F2F2F2"/>
            <w:hideMark/>
          </w:tcPr>
          <w:p w14:paraId="748D4FB0" w14:textId="77777777" w:rsidR="002A4DDF" w:rsidRPr="00937C8B" w:rsidRDefault="002A4DDF" w:rsidP="009110ED">
            <w:pPr>
              <w:rPr>
                <w:rFonts w:ascii="Arial" w:hAnsi="Arial" w:cs="Arial"/>
                <w:sz w:val="12"/>
                <w:szCs w:val="12"/>
              </w:rPr>
            </w:pPr>
            <w:r>
              <w:rPr>
                <w:rFonts w:ascii="Arial" w:hAnsi="Arial"/>
                <w:sz w:val="12"/>
                <w:szCs w:val="12"/>
              </w:rPr>
              <w:t>Aljucén</w:t>
            </w:r>
          </w:p>
        </w:tc>
        <w:tc>
          <w:tcPr>
            <w:tcW w:w="2268" w:type="dxa"/>
            <w:tcBorders>
              <w:right w:val="single" w:sz="4" w:space="0" w:color="auto"/>
            </w:tcBorders>
            <w:shd w:val="clear" w:color="auto" w:fill="D9D9D9"/>
            <w:hideMark/>
          </w:tcPr>
          <w:p w14:paraId="6C36FBD6" w14:textId="77777777" w:rsidR="002A4DDF" w:rsidRPr="00937C8B" w:rsidRDefault="002A4DDF" w:rsidP="009110ED">
            <w:pPr>
              <w:rPr>
                <w:rFonts w:ascii="Arial" w:hAnsi="Arial" w:cs="Arial"/>
                <w:sz w:val="12"/>
                <w:szCs w:val="12"/>
              </w:rPr>
            </w:pPr>
            <w:r>
              <w:rPr>
                <w:rFonts w:ascii="Arial" w:hAnsi="Arial"/>
                <w:sz w:val="12"/>
                <w:szCs w:val="12"/>
              </w:rPr>
              <w:t>Ahillones</w:t>
            </w:r>
          </w:p>
        </w:tc>
      </w:tr>
      <w:tr w:rsidR="002A4DDF" w:rsidRPr="00937C8B" w14:paraId="7B7041BE" w14:textId="77777777" w:rsidTr="00935676">
        <w:trPr>
          <w:cantSplit/>
        </w:trPr>
        <w:tc>
          <w:tcPr>
            <w:tcW w:w="1696" w:type="dxa"/>
            <w:tcBorders>
              <w:left w:val="single" w:sz="4" w:space="0" w:color="auto"/>
            </w:tcBorders>
            <w:shd w:val="clear" w:color="auto" w:fill="auto"/>
          </w:tcPr>
          <w:p w14:paraId="7A858437" w14:textId="77777777" w:rsidR="002A4DDF" w:rsidRPr="00937C8B" w:rsidRDefault="002A4DDF" w:rsidP="009110ED">
            <w:pPr>
              <w:rPr>
                <w:rFonts w:ascii="Arial" w:hAnsi="Arial" w:cs="Arial"/>
                <w:sz w:val="12"/>
                <w:szCs w:val="12"/>
              </w:rPr>
            </w:pPr>
          </w:p>
        </w:tc>
        <w:tc>
          <w:tcPr>
            <w:tcW w:w="1843" w:type="dxa"/>
            <w:shd w:val="clear" w:color="auto" w:fill="auto"/>
          </w:tcPr>
          <w:p w14:paraId="6F2E2C1C" w14:textId="77777777" w:rsidR="002A4DDF" w:rsidRPr="00937C8B" w:rsidRDefault="002A4DDF" w:rsidP="009110ED">
            <w:pPr>
              <w:rPr>
                <w:rFonts w:ascii="Arial" w:hAnsi="Arial" w:cs="Arial"/>
                <w:sz w:val="12"/>
                <w:szCs w:val="12"/>
              </w:rPr>
            </w:pPr>
          </w:p>
        </w:tc>
        <w:tc>
          <w:tcPr>
            <w:tcW w:w="2268" w:type="dxa"/>
            <w:shd w:val="clear" w:color="auto" w:fill="F2F2F2"/>
            <w:hideMark/>
          </w:tcPr>
          <w:p w14:paraId="595F315F" w14:textId="77777777" w:rsidR="002A4DDF" w:rsidRPr="00937C8B" w:rsidRDefault="002A4DDF" w:rsidP="009110ED">
            <w:pPr>
              <w:rPr>
                <w:rFonts w:ascii="Arial" w:hAnsi="Arial" w:cs="Arial"/>
                <w:sz w:val="12"/>
                <w:szCs w:val="12"/>
              </w:rPr>
            </w:pPr>
            <w:r>
              <w:rPr>
                <w:rFonts w:ascii="Arial" w:hAnsi="Arial"/>
                <w:sz w:val="12"/>
                <w:szCs w:val="12"/>
              </w:rPr>
              <w:t>Almendralejo</w:t>
            </w:r>
          </w:p>
        </w:tc>
        <w:tc>
          <w:tcPr>
            <w:tcW w:w="2268" w:type="dxa"/>
            <w:tcBorders>
              <w:right w:val="single" w:sz="4" w:space="0" w:color="auto"/>
            </w:tcBorders>
            <w:shd w:val="clear" w:color="auto" w:fill="D9D9D9"/>
            <w:hideMark/>
          </w:tcPr>
          <w:p w14:paraId="33F5E573" w14:textId="77777777" w:rsidR="002A4DDF" w:rsidRPr="00937C8B" w:rsidRDefault="002A4DDF" w:rsidP="009110ED">
            <w:pPr>
              <w:rPr>
                <w:rFonts w:ascii="Arial" w:hAnsi="Arial" w:cs="Arial"/>
                <w:sz w:val="12"/>
                <w:szCs w:val="12"/>
              </w:rPr>
            </w:pPr>
            <w:r>
              <w:rPr>
                <w:rFonts w:ascii="Arial" w:hAnsi="Arial"/>
                <w:sz w:val="12"/>
                <w:szCs w:val="12"/>
              </w:rPr>
              <w:t>Alburquerque</w:t>
            </w:r>
          </w:p>
        </w:tc>
      </w:tr>
      <w:tr w:rsidR="002A4DDF" w:rsidRPr="00937C8B" w14:paraId="56E2B090" w14:textId="77777777" w:rsidTr="00935676">
        <w:trPr>
          <w:cantSplit/>
        </w:trPr>
        <w:tc>
          <w:tcPr>
            <w:tcW w:w="1696" w:type="dxa"/>
            <w:tcBorders>
              <w:left w:val="single" w:sz="4" w:space="0" w:color="auto"/>
            </w:tcBorders>
            <w:shd w:val="clear" w:color="auto" w:fill="auto"/>
          </w:tcPr>
          <w:p w14:paraId="1C97157B" w14:textId="77777777" w:rsidR="002A4DDF" w:rsidRPr="00937C8B" w:rsidRDefault="002A4DDF" w:rsidP="009110ED">
            <w:pPr>
              <w:rPr>
                <w:rFonts w:ascii="Arial" w:hAnsi="Arial" w:cs="Arial"/>
                <w:sz w:val="12"/>
                <w:szCs w:val="12"/>
              </w:rPr>
            </w:pPr>
          </w:p>
        </w:tc>
        <w:tc>
          <w:tcPr>
            <w:tcW w:w="1843" w:type="dxa"/>
            <w:shd w:val="clear" w:color="auto" w:fill="auto"/>
          </w:tcPr>
          <w:p w14:paraId="6B1FC21C" w14:textId="77777777" w:rsidR="002A4DDF" w:rsidRPr="00937C8B" w:rsidRDefault="002A4DDF" w:rsidP="009110ED">
            <w:pPr>
              <w:rPr>
                <w:rFonts w:ascii="Arial" w:hAnsi="Arial" w:cs="Arial"/>
                <w:sz w:val="12"/>
                <w:szCs w:val="12"/>
              </w:rPr>
            </w:pPr>
          </w:p>
        </w:tc>
        <w:tc>
          <w:tcPr>
            <w:tcW w:w="2268" w:type="dxa"/>
            <w:shd w:val="clear" w:color="auto" w:fill="F2F2F2"/>
            <w:hideMark/>
          </w:tcPr>
          <w:p w14:paraId="3C668F61" w14:textId="77777777" w:rsidR="002A4DDF" w:rsidRPr="00937C8B" w:rsidRDefault="002A4DDF" w:rsidP="009110ED">
            <w:pPr>
              <w:rPr>
                <w:rFonts w:ascii="Arial" w:hAnsi="Arial" w:cs="Arial"/>
                <w:sz w:val="12"/>
                <w:szCs w:val="12"/>
              </w:rPr>
            </w:pPr>
            <w:r>
              <w:rPr>
                <w:rFonts w:ascii="Arial" w:hAnsi="Arial"/>
                <w:sz w:val="12"/>
                <w:szCs w:val="12"/>
              </w:rPr>
              <w:t>Azuaga</w:t>
            </w:r>
          </w:p>
        </w:tc>
        <w:tc>
          <w:tcPr>
            <w:tcW w:w="2268" w:type="dxa"/>
            <w:tcBorders>
              <w:right w:val="single" w:sz="4" w:space="0" w:color="auto"/>
            </w:tcBorders>
            <w:shd w:val="clear" w:color="auto" w:fill="D9D9D9"/>
            <w:hideMark/>
          </w:tcPr>
          <w:p w14:paraId="45974299" w14:textId="77777777" w:rsidR="002A4DDF" w:rsidRPr="00937C8B" w:rsidRDefault="002A4DDF" w:rsidP="009110ED">
            <w:pPr>
              <w:rPr>
                <w:rFonts w:ascii="Arial" w:hAnsi="Arial" w:cs="Arial"/>
                <w:sz w:val="12"/>
                <w:szCs w:val="12"/>
              </w:rPr>
            </w:pPr>
            <w:r>
              <w:rPr>
                <w:rFonts w:ascii="Arial" w:hAnsi="Arial"/>
                <w:sz w:val="12"/>
                <w:szCs w:val="12"/>
              </w:rPr>
              <w:t>Alconchel</w:t>
            </w:r>
          </w:p>
        </w:tc>
      </w:tr>
      <w:tr w:rsidR="002A4DDF" w:rsidRPr="00937C8B" w14:paraId="14DE67EA" w14:textId="77777777" w:rsidTr="00935676">
        <w:trPr>
          <w:cantSplit/>
        </w:trPr>
        <w:tc>
          <w:tcPr>
            <w:tcW w:w="1696" w:type="dxa"/>
            <w:tcBorders>
              <w:left w:val="single" w:sz="4" w:space="0" w:color="auto"/>
            </w:tcBorders>
            <w:shd w:val="clear" w:color="auto" w:fill="auto"/>
          </w:tcPr>
          <w:p w14:paraId="519C5B01" w14:textId="77777777" w:rsidR="002A4DDF" w:rsidRPr="00937C8B" w:rsidRDefault="002A4DDF" w:rsidP="009110ED">
            <w:pPr>
              <w:rPr>
                <w:rFonts w:ascii="Arial" w:hAnsi="Arial" w:cs="Arial"/>
                <w:sz w:val="12"/>
                <w:szCs w:val="12"/>
              </w:rPr>
            </w:pPr>
          </w:p>
        </w:tc>
        <w:tc>
          <w:tcPr>
            <w:tcW w:w="1843" w:type="dxa"/>
            <w:shd w:val="clear" w:color="auto" w:fill="auto"/>
          </w:tcPr>
          <w:p w14:paraId="765C1545" w14:textId="77777777" w:rsidR="002A4DDF" w:rsidRPr="00937C8B" w:rsidRDefault="002A4DDF" w:rsidP="009110ED">
            <w:pPr>
              <w:rPr>
                <w:rFonts w:ascii="Arial" w:hAnsi="Arial" w:cs="Arial"/>
                <w:sz w:val="12"/>
                <w:szCs w:val="12"/>
              </w:rPr>
            </w:pPr>
          </w:p>
        </w:tc>
        <w:tc>
          <w:tcPr>
            <w:tcW w:w="2268" w:type="dxa"/>
            <w:shd w:val="clear" w:color="auto" w:fill="F2F2F2"/>
            <w:hideMark/>
          </w:tcPr>
          <w:p w14:paraId="45A8E516" w14:textId="77777777" w:rsidR="002A4DDF" w:rsidRPr="00937C8B" w:rsidRDefault="002A4DDF" w:rsidP="009110ED">
            <w:pPr>
              <w:rPr>
                <w:rFonts w:ascii="Arial" w:hAnsi="Arial" w:cs="Arial"/>
                <w:sz w:val="12"/>
                <w:szCs w:val="12"/>
              </w:rPr>
            </w:pPr>
            <w:r>
              <w:rPr>
                <w:rFonts w:ascii="Arial" w:hAnsi="Arial"/>
                <w:sz w:val="12"/>
                <w:szCs w:val="12"/>
              </w:rPr>
              <w:t>Badajoz</w:t>
            </w:r>
          </w:p>
        </w:tc>
        <w:tc>
          <w:tcPr>
            <w:tcW w:w="2268" w:type="dxa"/>
            <w:tcBorders>
              <w:right w:val="single" w:sz="4" w:space="0" w:color="auto"/>
            </w:tcBorders>
            <w:shd w:val="clear" w:color="auto" w:fill="D9D9D9"/>
            <w:hideMark/>
          </w:tcPr>
          <w:p w14:paraId="7B6961EB" w14:textId="77777777" w:rsidR="002A4DDF" w:rsidRPr="00937C8B" w:rsidRDefault="002A4DDF" w:rsidP="009110ED">
            <w:pPr>
              <w:rPr>
                <w:rFonts w:ascii="Arial" w:hAnsi="Arial" w:cs="Arial"/>
                <w:sz w:val="12"/>
                <w:szCs w:val="12"/>
              </w:rPr>
            </w:pPr>
            <w:r>
              <w:rPr>
                <w:rFonts w:ascii="Arial" w:hAnsi="Arial"/>
                <w:sz w:val="12"/>
                <w:szCs w:val="12"/>
              </w:rPr>
              <w:t>Alconera</w:t>
            </w:r>
          </w:p>
        </w:tc>
      </w:tr>
      <w:tr w:rsidR="002A4DDF" w:rsidRPr="00937C8B" w14:paraId="5D936425" w14:textId="77777777" w:rsidTr="00935676">
        <w:trPr>
          <w:cantSplit/>
        </w:trPr>
        <w:tc>
          <w:tcPr>
            <w:tcW w:w="1696" w:type="dxa"/>
            <w:tcBorders>
              <w:left w:val="single" w:sz="4" w:space="0" w:color="auto"/>
            </w:tcBorders>
            <w:shd w:val="clear" w:color="auto" w:fill="auto"/>
          </w:tcPr>
          <w:p w14:paraId="33453315" w14:textId="77777777" w:rsidR="002A4DDF" w:rsidRPr="00937C8B" w:rsidRDefault="002A4DDF" w:rsidP="009110ED">
            <w:pPr>
              <w:rPr>
                <w:rFonts w:ascii="Arial" w:hAnsi="Arial" w:cs="Arial"/>
                <w:sz w:val="12"/>
                <w:szCs w:val="12"/>
              </w:rPr>
            </w:pPr>
          </w:p>
        </w:tc>
        <w:tc>
          <w:tcPr>
            <w:tcW w:w="1843" w:type="dxa"/>
            <w:shd w:val="clear" w:color="auto" w:fill="auto"/>
          </w:tcPr>
          <w:p w14:paraId="00C57384" w14:textId="77777777" w:rsidR="002A4DDF" w:rsidRPr="00937C8B" w:rsidRDefault="002A4DDF" w:rsidP="009110ED">
            <w:pPr>
              <w:rPr>
                <w:rFonts w:ascii="Arial" w:hAnsi="Arial" w:cs="Arial"/>
                <w:sz w:val="12"/>
                <w:szCs w:val="12"/>
              </w:rPr>
            </w:pPr>
          </w:p>
        </w:tc>
        <w:tc>
          <w:tcPr>
            <w:tcW w:w="2268" w:type="dxa"/>
            <w:shd w:val="clear" w:color="auto" w:fill="F2F2F2"/>
            <w:hideMark/>
          </w:tcPr>
          <w:p w14:paraId="31ED3BFC" w14:textId="77777777" w:rsidR="002A4DDF" w:rsidRPr="00937C8B" w:rsidRDefault="002A4DDF" w:rsidP="009110ED">
            <w:pPr>
              <w:rPr>
                <w:rFonts w:ascii="Arial" w:hAnsi="Arial" w:cs="Arial"/>
                <w:sz w:val="12"/>
                <w:szCs w:val="12"/>
              </w:rPr>
            </w:pPr>
            <w:r>
              <w:rPr>
                <w:rFonts w:ascii="Arial" w:hAnsi="Arial"/>
                <w:sz w:val="12"/>
                <w:szCs w:val="12"/>
              </w:rPr>
              <w:t>Barcarrota</w:t>
            </w:r>
          </w:p>
        </w:tc>
        <w:tc>
          <w:tcPr>
            <w:tcW w:w="2268" w:type="dxa"/>
            <w:tcBorders>
              <w:right w:val="single" w:sz="4" w:space="0" w:color="auto"/>
            </w:tcBorders>
            <w:shd w:val="clear" w:color="auto" w:fill="D9D9D9"/>
            <w:hideMark/>
          </w:tcPr>
          <w:p w14:paraId="752312C1" w14:textId="77777777" w:rsidR="002A4DDF" w:rsidRPr="00937C8B" w:rsidRDefault="002A4DDF" w:rsidP="009110ED">
            <w:pPr>
              <w:rPr>
                <w:rFonts w:ascii="Arial" w:hAnsi="Arial" w:cs="Arial"/>
                <w:sz w:val="12"/>
                <w:szCs w:val="12"/>
              </w:rPr>
            </w:pPr>
            <w:r>
              <w:rPr>
                <w:rFonts w:ascii="Arial" w:hAnsi="Arial"/>
                <w:sz w:val="12"/>
                <w:szCs w:val="12"/>
              </w:rPr>
              <w:t>Almendral</w:t>
            </w:r>
          </w:p>
        </w:tc>
      </w:tr>
      <w:tr w:rsidR="002A4DDF" w:rsidRPr="00937C8B" w14:paraId="1771B02B" w14:textId="77777777" w:rsidTr="00935676">
        <w:trPr>
          <w:cantSplit/>
        </w:trPr>
        <w:tc>
          <w:tcPr>
            <w:tcW w:w="1696" w:type="dxa"/>
            <w:tcBorders>
              <w:left w:val="single" w:sz="4" w:space="0" w:color="auto"/>
            </w:tcBorders>
            <w:shd w:val="clear" w:color="auto" w:fill="auto"/>
          </w:tcPr>
          <w:p w14:paraId="7A75C291" w14:textId="77777777" w:rsidR="002A4DDF" w:rsidRPr="00937C8B" w:rsidRDefault="002A4DDF" w:rsidP="009110ED">
            <w:pPr>
              <w:rPr>
                <w:rFonts w:ascii="Arial" w:hAnsi="Arial" w:cs="Arial"/>
                <w:sz w:val="12"/>
                <w:szCs w:val="12"/>
              </w:rPr>
            </w:pPr>
          </w:p>
        </w:tc>
        <w:tc>
          <w:tcPr>
            <w:tcW w:w="1843" w:type="dxa"/>
            <w:shd w:val="clear" w:color="auto" w:fill="auto"/>
          </w:tcPr>
          <w:p w14:paraId="12B640CB" w14:textId="77777777" w:rsidR="002A4DDF" w:rsidRPr="00937C8B" w:rsidRDefault="002A4DDF" w:rsidP="009110ED">
            <w:pPr>
              <w:rPr>
                <w:rFonts w:ascii="Arial" w:hAnsi="Arial" w:cs="Arial"/>
                <w:sz w:val="12"/>
                <w:szCs w:val="12"/>
              </w:rPr>
            </w:pPr>
          </w:p>
        </w:tc>
        <w:tc>
          <w:tcPr>
            <w:tcW w:w="2268" w:type="dxa"/>
            <w:shd w:val="clear" w:color="auto" w:fill="F2F2F2"/>
            <w:hideMark/>
          </w:tcPr>
          <w:p w14:paraId="74E078FF" w14:textId="77777777" w:rsidR="002A4DDF" w:rsidRPr="00937C8B" w:rsidRDefault="002A4DDF" w:rsidP="009110ED">
            <w:pPr>
              <w:rPr>
                <w:rFonts w:ascii="Arial" w:hAnsi="Arial" w:cs="Arial"/>
                <w:sz w:val="12"/>
                <w:szCs w:val="12"/>
              </w:rPr>
            </w:pPr>
            <w:r>
              <w:rPr>
                <w:rFonts w:ascii="Arial" w:hAnsi="Arial"/>
                <w:sz w:val="12"/>
                <w:szCs w:val="12"/>
              </w:rPr>
              <w:t>Benquerencia de la Serena</w:t>
            </w:r>
          </w:p>
        </w:tc>
        <w:tc>
          <w:tcPr>
            <w:tcW w:w="2268" w:type="dxa"/>
            <w:tcBorders>
              <w:right w:val="single" w:sz="4" w:space="0" w:color="auto"/>
            </w:tcBorders>
            <w:shd w:val="clear" w:color="auto" w:fill="D9D9D9"/>
            <w:hideMark/>
          </w:tcPr>
          <w:p w14:paraId="628EB2E4" w14:textId="77777777" w:rsidR="002A4DDF" w:rsidRPr="00937C8B" w:rsidRDefault="002A4DDF" w:rsidP="009110ED">
            <w:pPr>
              <w:rPr>
                <w:rFonts w:ascii="Arial" w:hAnsi="Arial" w:cs="Arial"/>
                <w:sz w:val="12"/>
                <w:szCs w:val="12"/>
              </w:rPr>
            </w:pPr>
            <w:r>
              <w:rPr>
                <w:rFonts w:ascii="Arial" w:hAnsi="Arial"/>
                <w:sz w:val="12"/>
                <w:szCs w:val="12"/>
              </w:rPr>
              <w:t>Atalaya</w:t>
            </w:r>
          </w:p>
        </w:tc>
      </w:tr>
      <w:tr w:rsidR="002A4DDF" w:rsidRPr="00937C8B" w14:paraId="4760C134" w14:textId="77777777" w:rsidTr="00935676">
        <w:trPr>
          <w:cantSplit/>
        </w:trPr>
        <w:tc>
          <w:tcPr>
            <w:tcW w:w="1696" w:type="dxa"/>
            <w:tcBorders>
              <w:left w:val="single" w:sz="4" w:space="0" w:color="auto"/>
            </w:tcBorders>
            <w:shd w:val="clear" w:color="auto" w:fill="auto"/>
          </w:tcPr>
          <w:p w14:paraId="7F802534" w14:textId="77777777" w:rsidR="002A4DDF" w:rsidRPr="00937C8B" w:rsidRDefault="002A4DDF" w:rsidP="009110ED">
            <w:pPr>
              <w:rPr>
                <w:rFonts w:ascii="Arial" w:hAnsi="Arial" w:cs="Arial"/>
                <w:sz w:val="12"/>
                <w:szCs w:val="12"/>
              </w:rPr>
            </w:pPr>
          </w:p>
        </w:tc>
        <w:tc>
          <w:tcPr>
            <w:tcW w:w="1843" w:type="dxa"/>
            <w:shd w:val="clear" w:color="auto" w:fill="auto"/>
          </w:tcPr>
          <w:p w14:paraId="722035F2" w14:textId="77777777" w:rsidR="002A4DDF" w:rsidRPr="00937C8B" w:rsidRDefault="002A4DDF" w:rsidP="009110ED">
            <w:pPr>
              <w:rPr>
                <w:rFonts w:ascii="Arial" w:hAnsi="Arial" w:cs="Arial"/>
                <w:sz w:val="12"/>
                <w:szCs w:val="12"/>
              </w:rPr>
            </w:pPr>
          </w:p>
        </w:tc>
        <w:tc>
          <w:tcPr>
            <w:tcW w:w="2268" w:type="dxa"/>
            <w:shd w:val="clear" w:color="auto" w:fill="F2F2F2"/>
            <w:hideMark/>
          </w:tcPr>
          <w:p w14:paraId="58C28112" w14:textId="77777777" w:rsidR="002A4DDF" w:rsidRPr="00937C8B" w:rsidRDefault="002A4DDF" w:rsidP="009110ED">
            <w:pPr>
              <w:rPr>
                <w:rFonts w:ascii="Arial" w:hAnsi="Arial" w:cs="Arial"/>
                <w:sz w:val="12"/>
                <w:szCs w:val="12"/>
              </w:rPr>
            </w:pPr>
            <w:r>
              <w:rPr>
                <w:rFonts w:ascii="Arial" w:hAnsi="Arial"/>
                <w:sz w:val="12"/>
                <w:szCs w:val="12"/>
              </w:rPr>
              <w:t>Berlanga</w:t>
            </w:r>
          </w:p>
        </w:tc>
        <w:tc>
          <w:tcPr>
            <w:tcW w:w="2268" w:type="dxa"/>
            <w:tcBorders>
              <w:right w:val="single" w:sz="4" w:space="0" w:color="auto"/>
            </w:tcBorders>
            <w:shd w:val="clear" w:color="auto" w:fill="D9D9D9"/>
            <w:hideMark/>
          </w:tcPr>
          <w:p w14:paraId="38DE68A1" w14:textId="77777777" w:rsidR="002A4DDF" w:rsidRPr="00937C8B" w:rsidRDefault="002A4DDF" w:rsidP="009110ED">
            <w:pPr>
              <w:rPr>
                <w:rFonts w:ascii="Arial" w:hAnsi="Arial" w:cs="Arial"/>
                <w:sz w:val="12"/>
                <w:szCs w:val="12"/>
              </w:rPr>
            </w:pPr>
            <w:r>
              <w:rPr>
                <w:rFonts w:ascii="Arial" w:hAnsi="Arial"/>
                <w:sz w:val="12"/>
                <w:szCs w:val="12"/>
              </w:rPr>
              <w:t>Baterno</w:t>
            </w:r>
          </w:p>
        </w:tc>
      </w:tr>
      <w:tr w:rsidR="002A4DDF" w:rsidRPr="00937C8B" w14:paraId="2BC2810C" w14:textId="77777777" w:rsidTr="00935676">
        <w:trPr>
          <w:cantSplit/>
        </w:trPr>
        <w:tc>
          <w:tcPr>
            <w:tcW w:w="1696" w:type="dxa"/>
            <w:tcBorders>
              <w:left w:val="single" w:sz="4" w:space="0" w:color="auto"/>
            </w:tcBorders>
            <w:shd w:val="clear" w:color="auto" w:fill="auto"/>
          </w:tcPr>
          <w:p w14:paraId="65E0C420" w14:textId="77777777" w:rsidR="002A4DDF" w:rsidRPr="00937C8B" w:rsidRDefault="002A4DDF" w:rsidP="009110ED">
            <w:pPr>
              <w:rPr>
                <w:rFonts w:ascii="Arial" w:hAnsi="Arial" w:cs="Arial"/>
                <w:sz w:val="12"/>
                <w:szCs w:val="12"/>
              </w:rPr>
            </w:pPr>
          </w:p>
        </w:tc>
        <w:tc>
          <w:tcPr>
            <w:tcW w:w="1843" w:type="dxa"/>
            <w:shd w:val="clear" w:color="auto" w:fill="auto"/>
          </w:tcPr>
          <w:p w14:paraId="7AD0F077" w14:textId="77777777" w:rsidR="002A4DDF" w:rsidRPr="00937C8B" w:rsidRDefault="002A4DDF" w:rsidP="009110ED">
            <w:pPr>
              <w:rPr>
                <w:rFonts w:ascii="Arial" w:hAnsi="Arial" w:cs="Arial"/>
                <w:sz w:val="12"/>
                <w:szCs w:val="12"/>
              </w:rPr>
            </w:pPr>
          </w:p>
        </w:tc>
        <w:tc>
          <w:tcPr>
            <w:tcW w:w="2268" w:type="dxa"/>
            <w:shd w:val="clear" w:color="auto" w:fill="F2F2F2"/>
            <w:hideMark/>
          </w:tcPr>
          <w:p w14:paraId="3CA5F433" w14:textId="77777777" w:rsidR="002A4DDF" w:rsidRPr="00937C8B" w:rsidRDefault="002A4DDF" w:rsidP="009110ED">
            <w:pPr>
              <w:rPr>
                <w:rFonts w:ascii="Arial" w:hAnsi="Arial" w:cs="Arial"/>
                <w:sz w:val="12"/>
                <w:szCs w:val="12"/>
              </w:rPr>
            </w:pPr>
            <w:r>
              <w:rPr>
                <w:rFonts w:ascii="Arial" w:hAnsi="Arial"/>
                <w:sz w:val="12"/>
                <w:szCs w:val="12"/>
              </w:rPr>
              <w:t>Burguillos del Cerro</w:t>
            </w:r>
          </w:p>
        </w:tc>
        <w:tc>
          <w:tcPr>
            <w:tcW w:w="2268" w:type="dxa"/>
            <w:tcBorders>
              <w:right w:val="single" w:sz="4" w:space="0" w:color="auto"/>
            </w:tcBorders>
            <w:shd w:val="clear" w:color="auto" w:fill="D9D9D9"/>
            <w:hideMark/>
          </w:tcPr>
          <w:p w14:paraId="459622D1" w14:textId="77777777" w:rsidR="002A4DDF" w:rsidRPr="00937C8B" w:rsidRDefault="002A4DDF" w:rsidP="009110ED">
            <w:pPr>
              <w:rPr>
                <w:rFonts w:ascii="Arial" w:hAnsi="Arial" w:cs="Arial"/>
                <w:sz w:val="12"/>
                <w:szCs w:val="12"/>
              </w:rPr>
            </w:pPr>
            <w:r>
              <w:rPr>
                <w:rFonts w:ascii="Arial" w:hAnsi="Arial"/>
                <w:sz w:val="12"/>
                <w:szCs w:val="12"/>
              </w:rPr>
              <w:t>Cabeza del Buey</w:t>
            </w:r>
          </w:p>
        </w:tc>
      </w:tr>
      <w:tr w:rsidR="002A4DDF" w:rsidRPr="00937C8B" w14:paraId="18BB445B" w14:textId="77777777" w:rsidTr="00935676">
        <w:trPr>
          <w:cantSplit/>
        </w:trPr>
        <w:tc>
          <w:tcPr>
            <w:tcW w:w="1696" w:type="dxa"/>
            <w:tcBorders>
              <w:left w:val="single" w:sz="4" w:space="0" w:color="auto"/>
            </w:tcBorders>
            <w:shd w:val="clear" w:color="auto" w:fill="auto"/>
          </w:tcPr>
          <w:p w14:paraId="5FDD6A05" w14:textId="77777777" w:rsidR="002A4DDF" w:rsidRPr="00937C8B" w:rsidRDefault="002A4DDF" w:rsidP="009110ED">
            <w:pPr>
              <w:rPr>
                <w:rFonts w:ascii="Arial" w:hAnsi="Arial" w:cs="Arial"/>
                <w:sz w:val="12"/>
                <w:szCs w:val="12"/>
              </w:rPr>
            </w:pPr>
          </w:p>
        </w:tc>
        <w:tc>
          <w:tcPr>
            <w:tcW w:w="1843" w:type="dxa"/>
            <w:shd w:val="clear" w:color="auto" w:fill="auto"/>
          </w:tcPr>
          <w:p w14:paraId="4C3938A7" w14:textId="77777777" w:rsidR="002A4DDF" w:rsidRPr="00937C8B" w:rsidRDefault="002A4DDF" w:rsidP="009110ED">
            <w:pPr>
              <w:rPr>
                <w:rFonts w:ascii="Arial" w:hAnsi="Arial" w:cs="Arial"/>
                <w:sz w:val="12"/>
                <w:szCs w:val="12"/>
              </w:rPr>
            </w:pPr>
          </w:p>
        </w:tc>
        <w:tc>
          <w:tcPr>
            <w:tcW w:w="2268" w:type="dxa"/>
            <w:shd w:val="clear" w:color="auto" w:fill="F2F2F2"/>
            <w:hideMark/>
          </w:tcPr>
          <w:p w14:paraId="4A3F3BA7" w14:textId="77777777" w:rsidR="002A4DDF" w:rsidRPr="00937C8B" w:rsidRDefault="002A4DDF" w:rsidP="009110ED">
            <w:pPr>
              <w:rPr>
                <w:rFonts w:ascii="Arial" w:hAnsi="Arial" w:cs="Arial"/>
                <w:sz w:val="12"/>
                <w:szCs w:val="12"/>
              </w:rPr>
            </w:pPr>
            <w:r>
              <w:rPr>
                <w:rFonts w:ascii="Arial" w:hAnsi="Arial"/>
                <w:sz w:val="12"/>
                <w:szCs w:val="12"/>
              </w:rPr>
              <w:t>Cabeza la Vaca</w:t>
            </w:r>
          </w:p>
        </w:tc>
        <w:tc>
          <w:tcPr>
            <w:tcW w:w="2268" w:type="dxa"/>
            <w:tcBorders>
              <w:right w:val="single" w:sz="4" w:space="0" w:color="auto"/>
            </w:tcBorders>
            <w:shd w:val="clear" w:color="auto" w:fill="D9D9D9"/>
            <w:hideMark/>
          </w:tcPr>
          <w:p w14:paraId="76E05F77" w14:textId="77777777" w:rsidR="002A4DDF" w:rsidRPr="00937C8B" w:rsidRDefault="002A4DDF" w:rsidP="009110ED">
            <w:pPr>
              <w:rPr>
                <w:rFonts w:ascii="Arial" w:hAnsi="Arial" w:cs="Arial"/>
                <w:sz w:val="12"/>
                <w:szCs w:val="12"/>
              </w:rPr>
            </w:pPr>
            <w:r>
              <w:rPr>
                <w:rFonts w:ascii="Arial" w:hAnsi="Arial"/>
                <w:sz w:val="12"/>
                <w:szCs w:val="12"/>
              </w:rPr>
              <w:t>Calera de León</w:t>
            </w:r>
          </w:p>
        </w:tc>
      </w:tr>
      <w:tr w:rsidR="002A4DDF" w:rsidRPr="00937C8B" w14:paraId="5DC32435" w14:textId="77777777" w:rsidTr="00935676">
        <w:trPr>
          <w:cantSplit/>
        </w:trPr>
        <w:tc>
          <w:tcPr>
            <w:tcW w:w="1696" w:type="dxa"/>
            <w:tcBorders>
              <w:left w:val="single" w:sz="4" w:space="0" w:color="auto"/>
            </w:tcBorders>
            <w:shd w:val="clear" w:color="auto" w:fill="auto"/>
          </w:tcPr>
          <w:p w14:paraId="633A0EBA" w14:textId="77777777" w:rsidR="002A4DDF" w:rsidRPr="00937C8B" w:rsidRDefault="002A4DDF" w:rsidP="009110ED">
            <w:pPr>
              <w:rPr>
                <w:rFonts w:ascii="Arial" w:hAnsi="Arial" w:cs="Arial"/>
                <w:sz w:val="12"/>
                <w:szCs w:val="12"/>
              </w:rPr>
            </w:pPr>
          </w:p>
        </w:tc>
        <w:tc>
          <w:tcPr>
            <w:tcW w:w="1843" w:type="dxa"/>
            <w:shd w:val="clear" w:color="auto" w:fill="auto"/>
          </w:tcPr>
          <w:p w14:paraId="4553F433" w14:textId="77777777" w:rsidR="002A4DDF" w:rsidRPr="00937C8B" w:rsidRDefault="002A4DDF" w:rsidP="009110ED">
            <w:pPr>
              <w:rPr>
                <w:rFonts w:ascii="Arial" w:hAnsi="Arial" w:cs="Arial"/>
                <w:sz w:val="12"/>
                <w:szCs w:val="12"/>
              </w:rPr>
            </w:pPr>
          </w:p>
        </w:tc>
        <w:tc>
          <w:tcPr>
            <w:tcW w:w="2268" w:type="dxa"/>
            <w:shd w:val="clear" w:color="auto" w:fill="F2F2F2"/>
            <w:hideMark/>
          </w:tcPr>
          <w:p w14:paraId="40CC2151" w14:textId="77777777" w:rsidR="002A4DDF" w:rsidRPr="00937C8B" w:rsidRDefault="002A4DDF" w:rsidP="009110ED">
            <w:pPr>
              <w:rPr>
                <w:rFonts w:ascii="Arial" w:hAnsi="Arial" w:cs="Arial"/>
                <w:sz w:val="12"/>
                <w:szCs w:val="12"/>
              </w:rPr>
            </w:pPr>
            <w:r>
              <w:rPr>
                <w:rFonts w:ascii="Arial" w:hAnsi="Arial"/>
                <w:sz w:val="12"/>
                <w:szCs w:val="12"/>
              </w:rPr>
              <w:t>Campillo de Llerena</w:t>
            </w:r>
          </w:p>
        </w:tc>
        <w:tc>
          <w:tcPr>
            <w:tcW w:w="2268" w:type="dxa"/>
            <w:tcBorders>
              <w:right w:val="single" w:sz="4" w:space="0" w:color="auto"/>
            </w:tcBorders>
            <w:shd w:val="clear" w:color="auto" w:fill="D9D9D9"/>
            <w:hideMark/>
          </w:tcPr>
          <w:p w14:paraId="722703A1" w14:textId="77777777" w:rsidR="002A4DDF" w:rsidRPr="00937C8B" w:rsidRDefault="002A4DDF" w:rsidP="009110ED">
            <w:pPr>
              <w:rPr>
                <w:rFonts w:ascii="Arial" w:hAnsi="Arial" w:cs="Arial"/>
                <w:sz w:val="12"/>
                <w:szCs w:val="12"/>
              </w:rPr>
            </w:pPr>
            <w:r>
              <w:rPr>
                <w:rFonts w:ascii="Arial" w:hAnsi="Arial"/>
                <w:sz w:val="12"/>
                <w:szCs w:val="12"/>
              </w:rPr>
              <w:t>Calzadilla de los Barros</w:t>
            </w:r>
          </w:p>
        </w:tc>
      </w:tr>
      <w:tr w:rsidR="002A4DDF" w:rsidRPr="00937C8B" w14:paraId="520F6390" w14:textId="77777777" w:rsidTr="00935676">
        <w:trPr>
          <w:cantSplit/>
        </w:trPr>
        <w:tc>
          <w:tcPr>
            <w:tcW w:w="1696" w:type="dxa"/>
            <w:tcBorders>
              <w:left w:val="single" w:sz="4" w:space="0" w:color="auto"/>
            </w:tcBorders>
            <w:shd w:val="clear" w:color="auto" w:fill="auto"/>
          </w:tcPr>
          <w:p w14:paraId="2250F4AD" w14:textId="77777777" w:rsidR="002A4DDF" w:rsidRPr="00937C8B" w:rsidRDefault="002A4DDF" w:rsidP="009110ED">
            <w:pPr>
              <w:rPr>
                <w:rFonts w:ascii="Arial" w:hAnsi="Arial" w:cs="Arial"/>
                <w:sz w:val="12"/>
                <w:szCs w:val="12"/>
              </w:rPr>
            </w:pPr>
          </w:p>
        </w:tc>
        <w:tc>
          <w:tcPr>
            <w:tcW w:w="1843" w:type="dxa"/>
            <w:shd w:val="clear" w:color="auto" w:fill="auto"/>
          </w:tcPr>
          <w:p w14:paraId="16C74826" w14:textId="77777777" w:rsidR="002A4DDF" w:rsidRPr="00937C8B" w:rsidRDefault="002A4DDF" w:rsidP="009110ED">
            <w:pPr>
              <w:rPr>
                <w:rFonts w:ascii="Arial" w:hAnsi="Arial" w:cs="Arial"/>
                <w:sz w:val="12"/>
                <w:szCs w:val="12"/>
              </w:rPr>
            </w:pPr>
          </w:p>
        </w:tc>
        <w:tc>
          <w:tcPr>
            <w:tcW w:w="2268" w:type="dxa"/>
            <w:shd w:val="clear" w:color="auto" w:fill="F2F2F2"/>
            <w:hideMark/>
          </w:tcPr>
          <w:p w14:paraId="76278F3A" w14:textId="77777777" w:rsidR="002A4DDF" w:rsidRPr="00937C8B" w:rsidRDefault="002A4DDF" w:rsidP="009110ED">
            <w:pPr>
              <w:rPr>
                <w:rFonts w:ascii="Arial" w:hAnsi="Arial" w:cs="Arial"/>
                <w:sz w:val="12"/>
                <w:szCs w:val="12"/>
              </w:rPr>
            </w:pPr>
            <w:r>
              <w:rPr>
                <w:rFonts w:ascii="Arial" w:hAnsi="Arial"/>
                <w:sz w:val="12"/>
                <w:szCs w:val="12"/>
              </w:rPr>
              <w:t>Carmonita</w:t>
            </w:r>
          </w:p>
        </w:tc>
        <w:tc>
          <w:tcPr>
            <w:tcW w:w="2268" w:type="dxa"/>
            <w:tcBorders>
              <w:right w:val="single" w:sz="4" w:space="0" w:color="auto"/>
            </w:tcBorders>
            <w:shd w:val="clear" w:color="auto" w:fill="D9D9D9"/>
            <w:hideMark/>
          </w:tcPr>
          <w:p w14:paraId="66AE9177" w14:textId="77777777" w:rsidR="002A4DDF" w:rsidRPr="00937C8B" w:rsidRDefault="002A4DDF" w:rsidP="009110ED">
            <w:pPr>
              <w:rPr>
                <w:rFonts w:ascii="Arial" w:hAnsi="Arial" w:cs="Arial"/>
                <w:sz w:val="12"/>
                <w:szCs w:val="12"/>
              </w:rPr>
            </w:pPr>
            <w:r>
              <w:rPr>
                <w:rFonts w:ascii="Arial" w:hAnsi="Arial"/>
                <w:sz w:val="12"/>
                <w:szCs w:val="12"/>
              </w:rPr>
              <w:t>Campanario</w:t>
            </w:r>
          </w:p>
        </w:tc>
      </w:tr>
      <w:tr w:rsidR="002A4DDF" w:rsidRPr="00937C8B" w14:paraId="0B5F8C64" w14:textId="77777777" w:rsidTr="00935676">
        <w:trPr>
          <w:cantSplit/>
        </w:trPr>
        <w:tc>
          <w:tcPr>
            <w:tcW w:w="1696" w:type="dxa"/>
            <w:tcBorders>
              <w:left w:val="single" w:sz="4" w:space="0" w:color="auto"/>
            </w:tcBorders>
            <w:shd w:val="clear" w:color="auto" w:fill="auto"/>
          </w:tcPr>
          <w:p w14:paraId="336B6348" w14:textId="77777777" w:rsidR="002A4DDF" w:rsidRPr="00937C8B" w:rsidRDefault="002A4DDF" w:rsidP="009110ED">
            <w:pPr>
              <w:rPr>
                <w:rFonts w:ascii="Arial" w:hAnsi="Arial" w:cs="Arial"/>
                <w:sz w:val="12"/>
                <w:szCs w:val="12"/>
              </w:rPr>
            </w:pPr>
          </w:p>
        </w:tc>
        <w:tc>
          <w:tcPr>
            <w:tcW w:w="1843" w:type="dxa"/>
            <w:shd w:val="clear" w:color="auto" w:fill="auto"/>
          </w:tcPr>
          <w:p w14:paraId="39CC7E13" w14:textId="77777777" w:rsidR="002A4DDF" w:rsidRPr="00937C8B" w:rsidRDefault="002A4DDF" w:rsidP="009110ED">
            <w:pPr>
              <w:rPr>
                <w:rFonts w:ascii="Arial" w:hAnsi="Arial" w:cs="Arial"/>
                <w:sz w:val="12"/>
                <w:szCs w:val="12"/>
              </w:rPr>
            </w:pPr>
          </w:p>
        </w:tc>
        <w:tc>
          <w:tcPr>
            <w:tcW w:w="2268" w:type="dxa"/>
            <w:shd w:val="clear" w:color="auto" w:fill="F2F2F2"/>
            <w:hideMark/>
          </w:tcPr>
          <w:p w14:paraId="750D6C3A" w14:textId="77777777" w:rsidR="002A4DDF" w:rsidRPr="00937C8B" w:rsidRDefault="002A4DDF" w:rsidP="009110ED">
            <w:pPr>
              <w:rPr>
                <w:rFonts w:ascii="Arial" w:hAnsi="Arial" w:cs="Arial"/>
                <w:sz w:val="12"/>
                <w:szCs w:val="12"/>
              </w:rPr>
            </w:pPr>
            <w:r>
              <w:rPr>
                <w:rFonts w:ascii="Arial" w:hAnsi="Arial"/>
                <w:sz w:val="12"/>
                <w:szCs w:val="12"/>
              </w:rPr>
              <w:t>Cheles</w:t>
            </w:r>
          </w:p>
        </w:tc>
        <w:tc>
          <w:tcPr>
            <w:tcW w:w="2268" w:type="dxa"/>
            <w:tcBorders>
              <w:right w:val="single" w:sz="4" w:space="0" w:color="auto"/>
            </w:tcBorders>
            <w:shd w:val="clear" w:color="auto" w:fill="D9D9D9"/>
            <w:hideMark/>
          </w:tcPr>
          <w:p w14:paraId="1EFDD84C" w14:textId="77777777" w:rsidR="002A4DDF" w:rsidRPr="00937C8B" w:rsidRDefault="002A4DDF" w:rsidP="009110ED">
            <w:pPr>
              <w:rPr>
                <w:rFonts w:ascii="Arial" w:hAnsi="Arial" w:cs="Arial"/>
                <w:sz w:val="12"/>
                <w:szCs w:val="12"/>
              </w:rPr>
            </w:pPr>
            <w:r>
              <w:rPr>
                <w:rFonts w:ascii="Arial" w:hAnsi="Arial"/>
                <w:sz w:val="12"/>
                <w:szCs w:val="12"/>
              </w:rPr>
              <w:t>Capilla</w:t>
            </w:r>
          </w:p>
        </w:tc>
      </w:tr>
      <w:tr w:rsidR="002A4DDF" w:rsidRPr="00937C8B" w14:paraId="28C37581" w14:textId="77777777" w:rsidTr="00935676">
        <w:trPr>
          <w:cantSplit/>
        </w:trPr>
        <w:tc>
          <w:tcPr>
            <w:tcW w:w="1696" w:type="dxa"/>
            <w:tcBorders>
              <w:left w:val="single" w:sz="4" w:space="0" w:color="auto"/>
            </w:tcBorders>
            <w:shd w:val="clear" w:color="auto" w:fill="auto"/>
          </w:tcPr>
          <w:p w14:paraId="6B999551" w14:textId="77777777" w:rsidR="002A4DDF" w:rsidRPr="00937C8B" w:rsidRDefault="002A4DDF" w:rsidP="009110ED">
            <w:pPr>
              <w:rPr>
                <w:rFonts w:ascii="Arial" w:hAnsi="Arial" w:cs="Arial"/>
                <w:sz w:val="12"/>
                <w:szCs w:val="12"/>
              </w:rPr>
            </w:pPr>
          </w:p>
        </w:tc>
        <w:tc>
          <w:tcPr>
            <w:tcW w:w="1843" w:type="dxa"/>
            <w:shd w:val="clear" w:color="auto" w:fill="auto"/>
          </w:tcPr>
          <w:p w14:paraId="7E023F14" w14:textId="77777777" w:rsidR="002A4DDF" w:rsidRPr="00937C8B" w:rsidRDefault="002A4DDF" w:rsidP="009110ED">
            <w:pPr>
              <w:rPr>
                <w:rFonts w:ascii="Arial" w:hAnsi="Arial" w:cs="Arial"/>
                <w:sz w:val="12"/>
                <w:szCs w:val="12"/>
              </w:rPr>
            </w:pPr>
          </w:p>
        </w:tc>
        <w:tc>
          <w:tcPr>
            <w:tcW w:w="2268" w:type="dxa"/>
            <w:shd w:val="clear" w:color="auto" w:fill="F2F2F2"/>
            <w:hideMark/>
          </w:tcPr>
          <w:p w14:paraId="373AEFCE" w14:textId="77777777" w:rsidR="002A4DDF" w:rsidRPr="00937C8B" w:rsidRDefault="002A4DDF" w:rsidP="009110ED">
            <w:pPr>
              <w:rPr>
                <w:rFonts w:ascii="Arial" w:hAnsi="Arial" w:cs="Arial"/>
                <w:sz w:val="12"/>
                <w:szCs w:val="12"/>
              </w:rPr>
            </w:pPr>
            <w:r>
              <w:rPr>
                <w:rFonts w:ascii="Arial" w:hAnsi="Arial"/>
                <w:sz w:val="12"/>
                <w:szCs w:val="12"/>
              </w:rPr>
              <w:t>Cordobilla de Lácara</w:t>
            </w:r>
          </w:p>
        </w:tc>
        <w:tc>
          <w:tcPr>
            <w:tcW w:w="2268" w:type="dxa"/>
            <w:tcBorders>
              <w:right w:val="single" w:sz="4" w:space="0" w:color="auto"/>
            </w:tcBorders>
            <w:shd w:val="clear" w:color="auto" w:fill="D9D9D9"/>
            <w:hideMark/>
          </w:tcPr>
          <w:p w14:paraId="6B0E9051" w14:textId="77777777" w:rsidR="002A4DDF" w:rsidRPr="00937C8B" w:rsidRDefault="002A4DDF" w:rsidP="009110ED">
            <w:pPr>
              <w:rPr>
                <w:rFonts w:ascii="Arial" w:hAnsi="Arial" w:cs="Arial"/>
                <w:sz w:val="12"/>
                <w:szCs w:val="12"/>
              </w:rPr>
            </w:pPr>
            <w:r>
              <w:rPr>
                <w:rFonts w:ascii="Arial" w:hAnsi="Arial"/>
                <w:sz w:val="12"/>
                <w:szCs w:val="12"/>
              </w:rPr>
              <w:t>Casas de Don Pedro</w:t>
            </w:r>
          </w:p>
        </w:tc>
      </w:tr>
      <w:tr w:rsidR="002A4DDF" w:rsidRPr="00937C8B" w14:paraId="0A2F9981" w14:textId="77777777" w:rsidTr="00935676">
        <w:trPr>
          <w:cantSplit/>
        </w:trPr>
        <w:tc>
          <w:tcPr>
            <w:tcW w:w="1696" w:type="dxa"/>
            <w:tcBorders>
              <w:left w:val="single" w:sz="4" w:space="0" w:color="auto"/>
            </w:tcBorders>
            <w:shd w:val="clear" w:color="auto" w:fill="auto"/>
          </w:tcPr>
          <w:p w14:paraId="6D7F95ED" w14:textId="77777777" w:rsidR="002A4DDF" w:rsidRPr="00937C8B" w:rsidRDefault="002A4DDF" w:rsidP="009110ED">
            <w:pPr>
              <w:rPr>
                <w:rFonts w:ascii="Arial" w:hAnsi="Arial" w:cs="Arial"/>
                <w:sz w:val="12"/>
                <w:szCs w:val="12"/>
              </w:rPr>
            </w:pPr>
          </w:p>
        </w:tc>
        <w:tc>
          <w:tcPr>
            <w:tcW w:w="1843" w:type="dxa"/>
            <w:shd w:val="clear" w:color="auto" w:fill="auto"/>
          </w:tcPr>
          <w:p w14:paraId="52A78A8D" w14:textId="77777777" w:rsidR="002A4DDF" w:rsidRPr="00937C8B" w:rsidRDefault="002A4DDF" w:rsidP="009110ED">
            <w:pPr>
              <w:rPr>
                <w:rFonts w:ascii="Arial" w:hAnsi="Arial" w:cs="Arial"/>
                <w:sz w:val="12"/>
                <w:szCs w:val="12"/>
              </w:rPr>
            </w:pPr>
          </w:p>
        </w:tc>
        <w:tc>
          <w:tcPr>
            <w:tcW w:w="2268" w:type="dxa"/>
            <w:shd w:val="clear" w:color="auto" w:fill="F2F2F2"/>
            <w:hideMark/>
          </w:tcPr>
          <w:p w14:paraId="007B1AF8" w14:textId="77777777" w:rsidR="002A4DDF" w:rsidRPr="00937C8B" w:rsidRDefault="002A4DDF" w:rsidP="009110ED">
            <w:pPr>
              <w:rPr>
                <w:rFonts w:ascii="Arial" w:hAnsi="Arial" w:cs="Arial"/>
                <w:sz w:val="12"/>
                <w:szCs w:val="12"/>
              </w:rPr>
            </w:pPr>
            <w:r>
              <w:rPr>
                <w:rFonts w:ascii="Arial" w:hAnsi="Arial"/>
                <w:sz w:val="12"/>
                <w:szCs w:val="12"/>
              </w:rPr>
              <w:t>Corte de Peleas</w:t>
            </w:r>
          </w:p>
        </w:tc>
        <w:tc>
          <w:tcPr>
            <w:tcW w:w="2268" w:type="dxa"/>
            <w:tcBorders>
              <w:right w:val="single" w:sz="4" w:space="0" w:color="auto"/>
            </w:tcBorders>
            <w:shd w:val="clear" w:color="auto" w:fill="D9D9D9"/>
            <w:hideMark/>
          </w:tcPr>
          <w:p w14:paraId="0DC6441C" w14:textId="77777777" w:rsidR="002A4DDF" w:rsidRPr="00937C8B" w:rsidRDefault="002A4DDF" w:rsidP="009110ED">
            <w:pPr>
              <w:rPr>
                <w:rFonts w:ascii="Arial" w:hAnsi="Arial" w:cs="Arial"/>
                <w:sz w:val="12"/>
                <w:szCs w:val="12"/>
              </w:rPr>
            </w:pPr>
            <w:r>
              <w:rPr>
                <w:rFonts w:ascii="Arial" w:hAnsi="Arial"/>
                <w:sz w:val="12"/>
                <w:szCs w:val="12"/>
              </w:rPr>
              <w:t>Casas de Reina</w:t>
            </w:r>
          </w:p>
        </w:tc>
      </w:tr>
      <w:tr w:rsidR="002A4DDF" w:rsidRPr="00937C8B" w14:paraId="74DEEDF4" w14:textId="77777777" w:rsidTr="00935676">
        <w:trPr>
          <w:cantSplit/>
        </w:trPr>
        <w:tc>
          <w:tcPr>
            <w:tcW w:w="1696" w:type="dxa"/>
            <w:tcBorders>
              <w:left w:val="single" w:sz="4" w:space="0" w:color="auto"/>
            </w:tcBorders>
            <w:shd w:val="clear" w:color="auto" w:fill="auto"/>
          </w:tcPr>
          <w:p w14:paraId="5F2092BC" w14:textId="77777777" w:rsidR="002A4DDF" w:rsidRPr="00937C8B" w:rsidRDefault="002A4DDF" w:rsidP="009110ED">
            <w:pPr>
              <w:rPr>
                <w:rFonts w:ascii="Arial" w:hAnsi="Arial" w:cs="Arial"/>
                <w:sz w:val="12"/>
                <w:szCs w:val="12"/>
              </w:rPr>
            </w:pPr>
          </w:p>
        </w:tc>
        <w:tc>
          <w:tcPr>
            <w:tcW w:w="1843" w:type="dxa"/>
            <w:shd w:val="clear" w:color="auto" w:fill="auto"/>
          </w:tcPr>
          <w:p w14:paraId="7FAA2693" w14:textId="77777777" w:rsidR="002A4DDF" w:rsidRPr="00937C8B" w:rsidRDefault="002A4DDF" w:rsidP="009110ED">
            <w:pPr>
              <w:rPr>
                <w:rFonts w:ascii="Arial" w:hAnsi="Arial" w:cs="Arial"/>
                <w:sz w:val="12"/>
                <w:szCs w:val="12"/>
              </w:rPr>
            </w:pPr>
          </w:p>
        </w:tc>
        <w:tc>
          <w:tcPr>
            <w:tcW w:w="2268" w:type="dxa"/>
            <w:shd w:val="clear" w:color="auto" w:fill="F2F2F2"/>
            <w:hideMark/>
          </w:tcPr>
          <w:p w14:paraId="3D96C9B1" w14:textId="77777777" w:rsidR="002A4DDF" w:rsidRPr="00937C8B" w:rsidRDefault="002A4DDF" w:rsidP="009110ED">
            <w:pPr>
              <w:rPr>
                <w:rFonts w:ascii="Arial" w:hAnsi="Arial" w:cs="Arial"/>
                <w:sz w:val="12"/>
                <w:szCs w:val="12"/>
              </w:rPr>
            </w:pPr>
            <w:r>
              <w:rPr>
                <w:rFonts w:ascii="Arial" w:hAnsi="Arial"/>
                <w:sz w:val="12"/>
                <w:szCs w:val="12"/>
              </w:rPr>
              <w:t>Cristina</w:t>
            </w:r>
          </w:p>
        </w:tc>
        <w:tc>
          <w:tcPr>
            <w:tcW w:w="2268" w:type="dxa"/>
            <w:tcBorders>
              <w:right w:val="single" w:sz="4" w:space="0" w:color="auto"/>
            </w:tcBorders>
            <w:shd w:val="clear" w:color="auto" w:fill="D9D9D9"/>
            <w:hideMark/>
          </w:tcPr>
          <w:p w14:paraId="5CC4618B" w14:textId="77777777" w:rsidR="002A4DDF" w:rsidRPr="00937C8B" w:rsidRDefault="002A4DDF" w:rsidP="009110ED">
            <w:pPr>
              <w:rPr>
                <w:rFonts w:ascii="Arial" w:hAnsi="Arial" w:cs="Arial"/>
                <w:sz w:val="12"/>
                <w:szCs w:val="12"/>
              </w:rPr>
            </w:pPr>
            <w:r>
              <w:rPr>
                <w:rFonts w:ascii="Arial" w:hAnsi="Arial"/>
                <w:sz w:val="12"/>
                <w:szCs w:val="12"/>
              </w:rPr>
              <w:t>Castilblanco</w:t>
            </w:r>
          </w:p>
        </w:tc>
      </w:tr>
      <w:tr w:rsidR="002A4DDF" w:rsidRPr="00937C8B" w14:paraId="784A718C" w14:textId="77777777" w:rsidTr="00935676">
        <w:trPr>
          <w:cantSplit/>
        </w:trPr>
        <w:tc>
          <w:tcPr>
            <w:tcW w:w="1696" w:type="dxa"/>
            <w:tcBorders>
              <w:left w:val="single" w:sz="4" w:space="0" w:color="auto"/>
            </w:tcBorders>
            <w:shd w:val="clear" w:color="auto" w:fill="auto"/>
          </w:tcPr>
          <w:p w14:paraId="275BAF64" w14:textId="77777777" w:rsidR="002A4DDF" w:rsidRPr="00937C8B" w:rsidRDefault="002A4DDF" w:rsidP="009110ED">
            <w:pPr>
              <w:rPr>
                <w:rFonts w:ascii="Arial" w:hAnsi="Arial" w:cs="Arial"/>
                <w:sz w:val="12"/>
                <w:szCs w:val="12"/>
              </w:rPr>
            </w:pPr>
          </w:p>
        </w:tc>
        <w:tc>
          <w:tcPr>
            <w:tcW w:w="1843" w:type="dxa"/>
            <w:shd w:val="clear" w:color="auto" w:fill="auto"/>
          </w:tcPr>
          <w:p w14:paraId="03644BA6" w14:textId="77777777" w:rsidR="002A4DDF" w:rsidRPr="00937C8B" w:rsidRDefault="002A4DDF" w:rsidP="009110ED">
            <w:pPr>
              <w:rPr>
                <w:rFonts w:ascii="Arial" w:hAnsi="Arial" w:cs="Arial"/>
                <w:sz w:val="12"/>
                <w:szCs w:val="12"/>
              </w:rPr>
            </w:pPr>
          </w:p>
        </w:tc>
        <w:tc>
          <w:tcPr>
            <w:tcW w:w="2268" w:type="dxa"/>
            <w:shd w:val="clear" w:color="auto" w:fill="F2F2F2"/>
            <w:hideMark/>
          </w:tcPr>
          <w:p w14:paraId="39B6DB3F" w14:textId="77777777" w:rsidR="002A4DDF" w:rsidRPr="00937C8B" w:rsidRDefault="002A4DDF" w:rsidP="009110ED">
            <w:pPr>
              <w:rPr>
                <w:rFonts w:ascii="Arial" w:hAnsi="Arial" w:cs="Arial"/>
                <w:sz w:val="12"/>
                <w:szCs w:val="12"/>
              </w:rPr>
            </w:pPr>
            <w:r>
              <w:rPr>
                <w:rFonts w:ascii="Arial" w:hAnsi="Arial"/>
                <w:sz w:val="12"/>
                <w:szCs w:val="12"/>
              </w:rPr>
              <w:t>Don Álvaro</w:t>
            </w:r>
          </w:p>
        </w:tc>
        <w:tc>
          <w:tcPr>
            <w:tcW w:w="2268" w:type="dxa"/>
            <w:tcBorders>
              <w:right w:val="single" w:sz="4" w:space="0" w:color="auto"/>
            </w:tcBorders>
            <w:shd w:val="clear" w:color="auto" w:fill="D9D9D9"/>
            <w:hideMark/>
          </w:tcPr>
          <w:p w14:paraId="3705E5B7" w14:textId="77777777" w:rsidR="002A4DDF" w:rsidRPr="00937C8B" w:rsidRDefault="002A4DDF" w:rsidP="009110ED">
            <w:pPr>
              <w:rPr>
                <w:rFonts w:ascii="Arial" w:hAnsi="Arial" w:cs="Arial"/>
                <w:sz w:val="12"/>
                <w:szCs w:val="12"/>
              </w:rPr>
            </w:pPr>
            <w:r>
              <w:rPr>
                <w:rFonts w:ascii="Arial" w:hAnsi="Arial"/>
                <w:sz w:val="12"/>
                <w:szCs w:val="12"/>
              </w:rPr>
              <w:t>Castuera</w:t>
            </w:r>
          </w:p>
        </w:tc>
      </w:tr>
      <w:tr w:rsidR="002A4DDF" w:rsidRPr="00937C8B" w14:paraId="1232D454" w14:textId="77777777" w:rsidTr="00935676">
        <w:trPr>
          <w:cantSplit/>
        </w:trPr>
        <w:tc>
          <w:tcPr>
            <w:tcW w:w="1696" w:type="dxa"/>
            <w:tcBorders>
              <w:left w:val="single" w:sz="4" w:space="0" w:color="auto"/>
            </w:tcBorders>
            <w:shd w:val="clear" w:color="auto" w:fill="auto"/>
          </w:tcPr>
          <w:p w14:paraId="5AF3006B" w14:textId="77777777" w:rsidR="002A4DDF" w:rsidRPr="00937C8B" w:rsidRDefault="002A4DDF" w:rsidP="009110ED">
            <w:pPr>
              <w:rPr>
                <w:rFonts w:ascii="Arial" w:hAnsi="Arial" w:cs="Arial"/>
                <w:sz w:val="12"/>
                <w:szCs w:val="12"/>
              </w:rPr>
            </w:pPr>
          </w:p>
        </w:tc>
        <w:tc>
          <w:tcPr>
            <w:tcW w:w="1843" w:type="dxa"/>
            <w:shd w:val="clear" w:color="auto" w:fill="auto"/>
          </w:tcPr>
          <w:p w14:paraId="3763ECC0" w14:textId="77777777" w:rsidR="002A4DDF" w:rsidRPr="00937C8B" w:rsidRDefault="002A4DDF" w:rsidP="009110ED">
            <w:pPr>
              <w:rPr>
                <w:rFonts w:ascii="Arial" w:hAnsi="Arial" w:cs="Arial"/>
                <w:sz w:val="12"/>
                <w:szCs w:val="12"/>
              </w:rPr>
            </w:pPr>
          </w:p>
        </w:tc>
        <w:tc>
          <w:tcPr>
            <w:tcW w:w="2268" w:type="dxa"/>
            <w:shd w:val="clear" w:color="auto" w:fill="F2F2F2"/>
            <w:hideMark/>
          </w:tcPr>
          <w:p w14:paraId="0F7E6076" w14:textId="77777777" w:rsidR="002A4DDF" w:rsidRPr="00937C8B" w:rsidRDefault="002A4DDF" w:rsidP="009110ED">
            <w:pPr>
              <w:rPr>
                <w:rFonts w:ascii="Arial" w:hAnsi="Arial" w:cs="Arial"/>
                <w:sz w:val="12"/>
                <w:szCs w:val="12"/>
              </w:rPr>
            </w:pPr>
            <w:r>
              <w:rPr>
                <w:rFonts w:ascii="Arial" w:hAnsi="Arial"/>
                <w:sz w:val="12"/>
                <w:szCs w:val="12"/>
              </w:rPr>
              <w:t>Entrín Bajo</w:t>
            </w:r>
          </w:p>
        </w:tc>
        <w:tc>
          <w:tcPr>
            <w:tcW w:w="2268" w:type="dxa"/>
            <w:tcBorders>
              <w:right w:val="single" w:sz="4" w:space="0" w:color="auto"/>
            </w:tcBorders>
            <w:shd w:val="clear" w:color="auto" w:fill="D9D9D9"/>
            <w:hideMark/>
          </w:tcPr>
          <w:p w14:paraId="7E47591E" w14:textId="77777777" w:rsidR="002A4DDF" w:rsidRPr="00937C8B" w:rsidRDefault="002A4DDF" w:rsidP="009110ED">
            <w:pPr>
              <w:rPr>
                <w:rFonts w:ascii="Arial" w:hAnsi="Arial" w:cs="Arial"/>
                <w:sz w:val="12"/>
                <w:szCs w:val="12"/>
              </w:rPr>
            </w:pPr>
            <w:r>
              <w:rPr>
                <w:rFonts w:ascii="Arial" w:hAnsi="Arial"/>
                <w:sz w:val="12"/>
                <w:szCs w:val="12"/>
              </w:rPr>
              <w:t>El Carrascalejo</w:t>
            </w:r>
          </w:p>
        </w:tc>
      </w:tr>
      <w:tr w:rsidR="002A4DDF" w:rsidRPr="00937C8B" w14:paraId="344DE089" w14:textId="77777777" w:rsidTr="00935676">
        <w:trPr>
          <w:cantSplit/>
        </w:trPr>
        <w:tc>
          <w:tcPr>
            <w:tcW w:w="1696" w:type="dxa"/>
            <w:tcBorders>
              <w:left w:val="single" w:sz="4" w:space="0" w:color="auto"/>
            </w:tcBorders>
            <w:shd w:val="clear" w:color="auto" w:fill="auto"/>
          </w:tcPr>
          <w:p w14:paraId="43085AE1" w14:textId="77777777" w:rsidR="002A4DDF" w:rsidRPr="00937C8B" w:rsidRDefault="002A4DDF" w:rsidP="009110ED">
            <w:pPr>
              <w:rPr>
                <w:rFonts w:ascii="Arial" w:hAnsi="Arial" w:cs="Arial"/>
                <w:sz w:val="12"/>
                <w:szCs w:val="12"/>
              </w:rPr>
            </w:pPr>
          </w:p>
        </w:tc>
        <w:tc>
          <w:tcPr>
            <w:tcW w:w="1843" w:type="dxa"/>
            <w:shd w:val="clear" w:color="auto" w:fill="auto"/>
          </w:tcPr>
          <w:p w14:paraId="329344B4" w14:textId="77777777" w:rsidR="002A4DDF" w:rsidRPr="00937C8B" w:rsidRDefault="002A4DDF" w:rsidP="009110ED">
            <w:pPr>
              <w:rPr>
                <w:rFonts w:ascii="Arial" w:hAnsi="Arial" w:cs="Arial"/>
                <w:sz w:val="12"/>
                <w:szCs w:val="12"/>
              </w:rPr>
            </w:pPr>
          </w:p>
        </w:tc>
        <w:tc>
          <w:tcPr>
            <w:tcW w:w="2268" w:type="dxa"/>
            <w:shd w:val="clear" w:color="auto" w:fill="F2F2F2"/>
            <w:hideMark/>
          </w:tcPr>
          <w:p w14:paraId="56BF747F" w14:textId="77777777" w:rsidR="002A4DDF" w:rsidRPr="00937C8B" w:rsidRDefault="002A4DDF" w:rsidP="009110ED">
            <w:pPr>
              <w:rPr>
                <w:rFonts w:ascii="Arial" w:hAnsi="Arial" w:cs="Arial"/>
                <w:sz w:val="12"/>
                <w:szCs w:val="12"/>
              </w:rPr>
            </w:pPr>
            <w:r>
              <w:rPr>
                <w:rFonts w:ascii="Arial" w:hAnsi="Arial"/>
                <w:sz w:val="12"/>
                <w:szCs w:val="12"/>
              </w:rPr>
              <w:t>Fuente del Maestre</w:t>
            </w:r>
          </w:p>
        </w:tc>
        <w:tc>
          <w:tcPr>
            <w:tcW w:w="2268" w:type="dxa"/>
            <w:tcBorders>
              <w:right w:val="single" w:sz="4" w:space="0" w:color="auto"/>
            </w:tcBorders>
            <w:shd w:val="clear" w:color="auto" w:fill="D9D9D9"/>
            <w:hideMark/>
          </w:tcPr>
          <w:p w14:paraId="09E51471" w14:textId="77777777" w:rsidR="002A4DDF" w:rsidRPr="00937C8B" w:rsidRDefault="002A4DDF" w:rsidP="009110ED">
            <w:pPr>
              <w:rPr>
                <w:rFonts w:ascii="Arial" w:hAnsi="Arial" w:cs="Arial"/>
                <w:sz w:val="12"/>
                <w:szCs w:val="12"/>
              </w:rPr>
            </w:pPr>
            <w:r>
              <w:rPr>
                <w:rFonts w:ascii="Arial" w:hAnsi="Arial"/>
                <w:sz w:val="12"/>
                <w:szCs w:val="12"/>
              </w:rPr>
              <w:t>Esparragalejo</w:t>
            </w:r>
          </w:p>
        </w:tc>
      </w:tr>
      <w:tr w:rsidR="002A4DDF" w:rsidRPr="00937C8B" w14:paraId="55929B78" w14:textId="77777777" w:rsidTr="00935676">
        <w:trPr>
          <w:cantSplit/>
        </w:trPr>
        <w:tc>
          <w:tcPr>
            <w:tcW w:w="1696" w:type="dxa"/>
            <w:tcBorders>
              <w:left w:val="single" w:sz="4" w:space="0" w:color="auto"/>
            </w:tcBorders>
            <w:shd w:val="clear" w:color="auto" w:fill="auto"/>
          </w:tcPr>
          <w:p w14:paraId="2AABA510" w14:textId="77777777" w:rsidR="002A4DDF" w:rsidRPr="00937C8B" w:rsidRDefault="002A4DDF" w:rsidP="009110ED">
            <w:pPr>
              <w:rPr>
                <w:rFonts w:ascii="Arial" w:hAnsi="Arial" w:cs="Arial"/>
                <w:sz w:val="12"/>
                <w:szCs w:val="12"/>
              </w:rPr>
            </w:pPr>
          </w:p>
        </w:tc>
        <w:tc>
          <w:tcPr>
            <w:tcW w:w="1843" w:type="dxa"/>
            <w:shd w:val="clear" w:color="auto" w:fill="auto"/>
          </w:tcPr>
          <w:p w14:paraId="15E8209F" w14:textId="77777777" w:rsidR="002A4DDF" w:rsidRPr="00937C8B" w:rsidRDefault="002A4DDF" w:rsidP="009110ED">
            <w:pPr>
              <w:rPr>
                <w:rFonts w:ascii="Arial" w:hAnsi="Arial" w:cs="Arial"/>
                <w:sz w:val="12"/>
                <w:szCs w:val="12"/>
              </w:rPr>
            </w:pPr>
          </w:p>
        </w:tc>
        <w:tc>
          <w:tcPr>
            <w:tcW w:w="2268" w:type="dxa"/>
            <w:shd w:val="clear" w:color="auto" w:fill="F2F2F2"/>
            <w:hideMark/>
          </w:tcPr>
          <w:p w14:paraId="05382405" w14:textId="77777777" w:rsidR="002A4DDF" w:rsidRPr="00937C8B" w:rsidRDefault="002A4DDF" w:rsidP="009110ED">
            <w:pPr>
              <w:rPr>
                <w:rFonts w:ascii="Arial" w:hAnsi="Arial" w:cs="Arial"/>
                <w:sz w:val="12"/>
                <w:szCs w:val="12"/>
              </w:rPr>
            </w:pPr>
            <w:r>
              <w:rPr>
                <w:rFonts w:ascii="Arial" w:hAnsi="Arial"/>
                <w:sz w:val="12"/>
                <w:szCs w:val="12"/>
              </w:rPr>
              <w:t>Fuentes de León</w:t>
            </w:r>
          </w:p>
        </w:tc>
        <w:tc>
          <w:tcPr>
            <w:tcW w:w="2268" w:type="dxa"/>
            <w:tcBorders>
              <w:right w:val="single" w:sz="4" w:space="0" w:color="auto"/>
            </w:tcBorders>
            <w:shd w:val="clear" w:color="auto" w:fill="D9D9D9"/>
            <w:hideMark/>
          </w:tcPr>
          <w:p w14:paraId="55CA8664" w14:textId="77777777" w:rsidR="002A4DDF" w:rsidRPr="00937C8B" w:rsidRDefault="002A4DDF" w:rsidP="009110ED">
            <w:pPr>
              <w:rPr>
                <w:rFonts w:ascii="Arial" w:hAnsi="Arial" w:cs="Arial"/>
                <w:sz w:val="12"/>
                <w:szCs w:val="12"/>
              </w:rPr>
            </w:pPr>
            <w:r>
              <w:rPr>
                <w:rFonts w:ascii="Arial" w:hAnsi="Arial"/>
                <w:sz w:val="12"/>
                <w:szCs w:val="12"/>
              </w:rPr>
              <w:t>Esparragosa de la Serena</w:t>
            </w:r>
          </w:p>
        </w:tc>
      </w:tr>
      <w:tr w:rsidR="002A4DDF" w:rsidRPr="00937C8B" w14:paraId="63852CDD" w14:textId="77777777" w:rsidTr="00935676">
        <w:trPr>
          <w:cantSplit/>
        </w:trPr>
        <w:tc>
          <w:tcPr>
            <w:tcW w:w="1696" w:type="dxa"/>
            <w:tcBorders>
              <w:left w:val="single" w:sz="4" w:space="0" w:color="auto"/>
            </w:tcBorders>
            <w:shd w:val="clear" w:color="auto" w:fill="auto"/>
          </w:tcPr>
          <w:p w14:paraId="74632F12" w14:textId="77777777" w:rsidR="002A4DDF" w:rsidRPr="00937C8B" w:rsidRDefault="002A4DDF" w:rsidP="009110ED">
            <w:pPr>
              <w:rPr>
                <w:rFonts w:ascii="Arial" w:hAnsi="Arial" w:cs="Arial"/>
                <w:sz w:val="12"/>
                <w:szCs w:val="12"/>
              </w:rPr>
            </w:pPr>
          </w:p>
        </w:tc>
        <w:tc>
          <w:tcPr>
            <w:tcW w:w="1843" w:type="dxa"/>
            <w:shd w:val="clear" w:color="auto" w:fill="auto"/>
          </w:tcPr>
          <w:p w14:paraId="1C11B5A2" w14:textId="77777777" w:rsidR="002A4DDF" w:rsidRPr="00937C8B" w:rsidRDefault="002A4DDF" w:rsidP="009110ED">
            <w:pPr>
              <w:rPr>
                <w:rFonts w:ascii="Arial" w:hAnsi="Arial" w:cs="Arial"/>
                <w:sz w:val="12"/>
                <w:szCs w:val="12"/>
              </w:rPr>
            </w:pPr>
          </w:p>
        </w:tc>
        <w:tc>
          <w:tcPr>
            <w:tcW w:w="2268" w:type="dxa"/>
            <w:shd w:val="clear" w:color="auto" w:fill="F2F2F2"/>
            <w:hideMark/>
          </w:tcPr>
          <w:p w14:paraId="6E71D77F" w14:textId="77777777" w:rsidR="002A4DDF" w:rsidRPr="00937C8B" w:rsidRDefault="002A4DDF" w:rsidP="009110ED">
            <w:pPr>
              <w:rPr>
                <w:rFonts w:ascii="Arial" w:hAnsi="Arial" w:cs="Arial"/>
                <w:sz w:val="12"/>
                <w:szCs w:val="12"/>
              </w:rPr>
            </w:pPr>
            <w:r>
              <w:rPr>
                <w:rFonts w:ascii="Arial" w:hAnsi="Arial"/>
                <w:sz w:val="12"/>
                <w:szCs w:val="12"/>
              </w:rPr>
              <w:t>Garlitos</w:t>
            </w:r>
          </w:p>
        </w:tc>
        <w:tc>
          <w:tcPr>
            <w:tcW w:w="2268" w:type="dxa"/>
            <w:tcBorders>
              <w:right w:val="single" w:sz="4" w:space="0" w:color="auto"/>
            </w:tcBorders>
            <w:shd w:val="clear" w:color="auto" w:fill="D9D9D9"/>
            <w:hideMark/>
          </w:tcPr>
          <w:p w14:paraId="20652690" w14:textId="77777777" w:rsidR="002A4DDF" w:rsidRPr="00937C8B" w:rsidRDefault="002A4DDF" w:rsidP="009110ED">
            <w:pPr>
              <w:rPr>
                <w:rFonts w:ascii="Arial" w:hAnsi="Arial" w:cs="Arial"/>
                <w:sz w:val="12"/>
                <w:szCs w:val="12"/>
              </w:rPr>
            </w:pPr>
            <w:r>
              <w:rPr>
                <w:rFonts w:ascii="Arial" w:hAnsi="Arial"/>
                <w:sz w:val="12"/>
                <w:szCs w:val="12"/>
              </w:rPr>
              <w:t>Esparragosa de Lares</w:t>
            </w:r>
          </w:p>
        </w:tc>
      </w:tr>
      <w:tr w:rsidR="002A4DDF" w:rsidRPr="00937C8B" w14:paraId="6FE5F832" w14:textId="77777777" w:rsidTr="00935676">
        <w:trPr>
          <w:cantSplit/>
        </w:trPr>
        <w:tc>
          <w:tcPr>
            <w:tcW w:w="1696" w:type="dxa"/>
            <w:tcBorders>
              <w:left w:val="single" w:sz="4" w:space="0" w:color="auto"/>
            </w:tcBorders>
            <w:shd w:val="clear" w:color="auto" w:fill="auto"/>
          </w:tcPr>
          <w:p w14:paraId="0717103A" w14:textId="77777777" w:rsidR="002A4DDF" w:rsidRPr="00937C8B" w:rsidRDefault="002A4DDF" w:rsidP="009110ED">
            <w:pPr>
              <w:rPr>
                <w:rFonts w:ascii="Arial" w:hAnsi="Arial" w:cs="Arial"/>
                <w:sz w:val="12"/>
                <w:szCs w:val="12"/>
              </w:rPr>
            </w:pPr>
          </w:p>
        </w:tc>
        <w:tc>
          <w:tcPr>
            <w:tcW w:w="1843" w:type="dxa"/>
            <w:shd w:val="clear" w:color="auto" w:fill="auto"/>
          </w:tcPr>
          <w:p w14:paraId="1AD630CD" w14:textId="77777777" w:rsidR="002A4DDF" w:rsidRPr="00937C8B" w:rsidRDefault="002A4DDF" w:rsidP="009110ED">
            <w:pPr>
              <w:rPr>
                <w:rFonts w:ascii="Arial" w:hAnsi="Arial" w:cs="Arial"/>
                <w:sz w:val="12"/>
                <w:szCs w:val="12"/>
              </w:rPr>
            </w:pPr>
          </w:p>
        </w:tc>
        <w:tc>
          <w:tcPr>
            <w:tcW w:w="2268" w:type="dxa"/>
            <w:shd w:val="clear" w:color="auto" w:fill="F2F2F2"/>
            <w:hideMark/>
          </w:tcPr>
          <w:p w14:paraId="261AF700" w14:textId="77777777" w:rsidR="002A4DDF" w:rsidRPr="00937C8B" w:rsidRDefault="002A4DDF" w:rsidP="009110ED">
            <w:pPr>
              <w:rPr>
                <w:rFonts w:ascii="Arial" w:hAnsi="Arial" w:cs="Arial"/>
                <w:sz w:val="12"/>
                <w:szCs w:val="12"/>
              </w:rPr>
            </w:pPr>
            <w:r>
              <w:rPr>
                <w:rFonts w:ascii="Arial" w:hAnsi="Arial"/>
                <w:sz w:val="12"/>
                <w:szCs w:val="12"/>
              </w:rPr>
              <w:t>Granja de Torrehermosa</w:t>
            </w:r>
          </w:p>
        </w:tc>
        <w:tc>
          <w:tcPr>
            <w:tcW w:w="2268" w:type="dxa"/>
            <w:tcBorders>
              <w:right w:val="single" w:sz="4" w:space="0" w:color="auto"/>
            </w:tcBorders>
            <w:shd w:val="clear" w:color="auto" w:fill="D9D9D9"/>
            <w:hideMark/>
          </w:tcPr>
          <w:p w14:paraId="73827C42" w14:textId="77777777" w:rsidR="002A4DDF" w:rsidRPr="00937C8B" w:rsidRDefault="002A4DDF" w:rsidP="009110ED">
            <w:pPr>
              <w:rPr>
                <w:rFonts w:ascii="Arial" w:hAnsi="Arial" w:cs="Arial"/>
                <w:sz w:val="12"/>
                <w:szCs w:val="12"/>
              </w:rPr>
            </w:pPr>
            <w:r>
              <w:rPr>
                <w:rFonts w:ascii="Arial" w:hAnsi="Arial"/>
                <w:sz w:val="12"/>
                <w:szCs w:val="12"/>
              </w:rPr>
              <w:t>Feria</w:t>
            </w:r>
          </w:p>
        </w:tc>
      </w:tr>
      <w:tr w:rsidR="002A4DDF" w:rsidRPr="00937C8B" w14:paraId="122D0D86" w14:textId="77777777" w:rsidTr="00935676">
        <w:trPr>
          <w:cantSplit/>
        </w:trPr>
        <w:tc>
          <w:tcPr>
            <w:tcW w:w="1696" w:type="dxa"/>
            <w:tcBorders>
              <w:left w:val="single" w:sz="4" w:space="0" w:color="auto"/>
            </w:tcBorders>
            <w:shd w:val="clear" w:color="auto" w:fill="auto"/>
          </w:tcPr>
          <w:p w14:paraId="646F78B1" w14:textId="77777777" w:rsidR="002A4DDF" w:rsidRPr="00937C8B" w:rsidRDefault="002A4DDF" w:rsidP="009110ED">
            <w:pPr>
              <w:rPr>
                <w:rFonts w:ascii="Arial" w:hAnsi="Arial" w:cs="Arial"/>
                <w:sz w:val="12"/>
                <w:szCs w:val="12"/>
              </w:rPr>
            </w:pPr>
          </w:p>
        </w:tc>
        <w:tc>
          <w:tcPr>
            <w:tcW w:w="1843" w:type="dxa"/>
            <w:shd w:val="clear" w:color="auto" w:fill="auto"/>
          </w:tcPr>
          <w:p w14:paraId="2376191C" w14:textId="77777777" w:rsidR="002A4DDF" w:rsidRPr="00937C8B" w:rsidRDefault="002A4DDF" w:rsidP="009110ED">
            <w:pPr>
              <w:rPr>
                <w:rFonts w:ascii="Arial" w:hAnsi="Arial" w:cs="Arial"/>
                <w:sz w:val="12"/>
                <w:szCs w:val="12"/>
              </w:rPr>
            </w:pPr>
          </w:p>
        </w:tc>
        <w:tc>
          <w:tcPr>
            <w:tcW w:w="2268" w:type="dxa"/>
            <w:shd w:val="clear" w:color="auto" w:fill="F2F2F2"/>
            <w:hideMark/>
          </w:tcPr>
          <w:p w14:paraId="04AE15DA" w14:textId="77777777" w:rsidR="002A4DDF" w:rsidRPr="00937C8B" w:rsidRDefault="002A4DDF" w:rsidP="009110ED">
            <w:pPr>
              <w:rPr>
                <w:rFonts w:ascii="Arial" w:hAnsi="Arial" w:cs="Arial"/>
                <w:sz w:val="12"/>
                <w:szCs w:val="12"/>
              </w:rPr>
            </w:pPr>
            <w:r>
              <w:rPr>
                <w:rFonts w:ascii="Arial" w:hAnsi="Arial"/>
                <w:sz w:val="12"/>
                <w:szCs w:val="12"/>
              </w:rPr>
              <w:t>Guadiana del Caudillo</w:t>
            </w:r>
          </w:p>
        </w:tc>
        <w:tc>
          <w:tcPr>
            <w:tcW w:w="2268" w:type="dxa"/>
            <w:tcBorders>
              <w:right w:val="single" w:sz="4" w:space="0" w:color="auto"/>
            </w:tcBorders>
            <w:shd w:val="clear" w:color="auto" w:fill="D9D9D9"/>
            <w:hideMark/>
          </w:tcPr>
          <w:p w14:paraId="2588F508" w14:textId="77777777" w:rsidR="002A4DDF" w:rsidRPr="00937C8B" w:rsidRDefault="002A4DDF" w:rsidP="009110ED">
            <w:pPr>
              <w:rPr>
                <w:rFonts w:ascii="Arial" w:hAnsi="Arial" w:cs="Arial"/>
                <w:sz w:val="12"/>
                <w:szCs w:val="12"/>
              </w:rPr>
            </w:pPr>
            <w:r>
              <w:rPr>
                <w:rFonts w:ascii="Arial" w:hAnsi="Arial"/>
                <w:sz w:val="12"/>
                <w:szCs w:val="12"/>
              </w:rPr>
              <w:t>Fuenlabrada de los Montes</w:t>
            </w:r>
          </w:p>
        </w:tc>
      </w:tr>
      <w:tr w:rsidR="002A4DDF" w:rsidRPr="00937C8B" w14:paraId="44C92A1C" w14:textId="77777777" w:rsidTr="00935676">
        <w:trPr>
          <w:cantSplit/>
        </w:trPr>
        <w:tc>
          <w:tcPr>
            <w:tcW w:w="1696" w:type="dxa"/>
            <w:tcBorders>
              <w:left w:val="single" w:sz="4" w:space="0" w:color="auto"/>
            </w:tcBorders>
            <w:shd w:val="clear" w:color="auto" w:fill="auto"/>
          </w:tcPr>
          <w:p w14:paraId="656C8A72" w14:textId="77777777" w:rsidR="002A4DDF" w:rsidRPr="00937C8B" w:rsidRDefault="002A4DDF" w:rsidP="009110ED">
            <w:pPr>
              <w:rPr>
                <w:rFonts w:ascii="Arial" w:hAnsi="Arial" w:cs="Arial"/>
                <w:sz w:val="12"/>
                <w:szCs w:val="12"/>
              </w:rPr>
            </w:pPr>
          </w:p>
        </w:tc>
        <w:tc>
          <w:tcPr>
            <w:tcW w:w="1843" w:type="dxa"/>
            <w:shd w:val="clear" w:color="auto" w:fill="auto"/>
          </w:tcPr>
          <w:p w14:paraId="10081D2C" w14:textId="77777777" w:rsidR="002A4DDF" w:rsidRPr="00937C8B" w:rsidRDefault="002A4DDF" w:rsidP="009110ED">
            <w:pPr>
              <w:rPr>
                <w:rFonts w:ascii="Arial" w:hAnsi="Arial" w:cs="Arial"/>
                <w:sz w:val="12"/>
                <w:szCs w:val="12"/>
              </w:rPr>
            </w:pPr>
          </w:p>
        </w:tc>
        <w:tc>
          <w:tcPr>
            <w:tcW w:w="2268" w:type="dxa"/>
            <w:shd w:val="clear" w:color="auto" w:fill="F2F2F2"/>
            <w:hideMark/>
          </w:tcPr>
          <w:p w14:paraId="2253C7B9" w14:textId="77777777" w:rsidR="002A4DDF" w:rsidRPr="00937C8B" w:rsidRDefault="002A4DDF" w:rsidP="009110ED">
            <w:pPr>
              <w:rPr>
                <w:rFonts w:ascii="Arial" w:hAnsi="Arial" w:cs="Arial"/>
                <w:sz w:val="12"/>
                <w:szCs w:val="12"/>
              </w:rPr>
            </w:pPr>
            <w:r>
              <w:rPr>
                <w:rFonts w:ascii="Arial" w:hAnsi="Arial"/>
                <w:sz w:val="12"/>
                <w:szCs w:val="12"/>
              </w:rPr>
              <w:t>Higuera de Llerena</w:t>
            </w:r>
          </w:p>
        </w:tc>
        <w:tc>
          <w:tcPr>
            <w:tcW w:w="2268" w:type="dxa"/>
            <w:tcBorders>
              <w:right w:val="single" w:sz="4" w:space="0" w:color="auto"/>
            </w:tcBorders>
            <w:shd w:val="clear" w:color="auto" w:fill="D9D9D9"/>
            <w:hideMark/>
          </w:tcPr>
          <w:p w14:paraId="0321DA87" w14:textId="77777777" w:rsidR="002A4DDF" w:rsidRPr="00937C8B" w:rsidRDefault="002A4DDF" w:rsidP="009110ED">
            <w:pPr>
              <w:rPr>
                <w:rFonts w:ascii="Arial" w:hAnsi="Arial" w:cs="Arial"/>
                <w:sz w:val="12"/>
                <w:szCs w:val="12"/>
              </w:rPr>
            </w:pPr>
            <w:r>
              <w:rPr>
                <w:rFonts w:ascii="Arial" w:hAnsi="Arial"/>
                <w:sz w:val="12"/>
                <w:szCs w:val="12"/>
              </w:rPr>
              <w:t>Fuente de Cantos</w:t>
            </w:r>
          </w:p>
        </w:tc>
      </w:tr>
      <w:tr w:rsidR="002A4DDF" w:rsidRPr="00937C8B" w14:paraId="467C5E69" w14:textId="77777777" w:rsidTr="00935676">
        <w:trPr>
          <w:cantSplit/>
        </w:trPr>
        <w:tc>
          <w:tcPr>
            <w:tcW w:w="1696" w:type="dxa"/>
            <w:tcBorders>
              <w:left w:val="single" w:sz="4" w:space="0" w:color="auto"/>
            </w:tcBorders>
            <w:shd w:val="clear" w:color="auto" w:fill="auto"/>
          </w:tcPr>
          <w:p w14:paraId="74614F6F" w14:textId="77777777" w:rsidR="002A4DDF" w:rsidRPr="00937C8B" w:rsidRDefault="002A4DDF" w:rsidP="009110ED">
            <w:pPr>
              <w:rPr>
                <w:rFonts w:ascii="Arial" w:hAnsi="Arial" w:cs="Arial"/>
                <w:sz w:val="12"/>
                <w:szCs w:val="12"/>
              </w:rPr>
            </w:pPr>
          </w:p>
        </w:tc>
        <w:tc>
          <w:tcPr>
            <w:tcW w:w="1843" w:type="dxa"/>
            <w:shd w:val="clear" w:color="auto" w:fill="auto"/>
          </w:tcPr>
          <w:p w14:paraId="54314F4E" w14:textId="77777777" w:rsidR="002A4DDF" w:rsidRPr="00937C8B" w:rsidRDefault="002A4DDF" w:rsidP="009110ED">
            <w:pPr>
              <w:rPr>
                <w:rFonts w:ascii="Arial" w:hAnsi="Arial" w:cs="Arial"/>
                <w:sz w:val="12"/>
                <w:szCs w:val="12"/>
              </w:rPr>
            </w:pPr>
          </w:p>
        </w:tc>
        <w:tc>
          <w:tcPr>
            <w:tcW w:w="2268" w:type="dxa"/>
            <w:shd w:val="clear" w:color="auto" w:fill="F2F2F2"/>
            <w:hideMark/>
          </w:tcPr>
          <w:p w14:paraId="02BC5874" w14:textId="77777777" w:rsidR="002A4DDF" w:rsidRPr="00937C8B" w:rsidRDefault="002A4DDF" w:rsidP="009110ED">
            <w:pPr>
              <w:rPr>
                <w:rFonts w:ascii="Arial" w:hAnsi="Arial" w:cs="Arial"/>
                <w:sz w:val="12"/>
                <w:szCs w:val="12"/>
              </w:rPr>
            </w:pPr>
            <w:r>
              <w:rPr>
                <w:rFonts w:ascii="Arial" w:hAnsi="Arial"/>
                <w:sz w:val="12"/>
                <w:szCs w:val="12"/>
              </w:rPr>
              <w:t>Hornachos</w:t>
            </w:r>
          </w:p>
        </w:tc>
        <w:tc>
          <w:tcPr>
            <w:tcW w:w="2268" w:type="dxa"/>
            <w:tcBorders>
              <w:right w:val="single" w:sz="4" w:space="0" w:color="auto"/>
            </w:tcBorders>
            <w:shd w:val="clear" w:color="auto" w:fill="D9D9D9"/>
            <w:hideMark/>
          </w:tcPr>
          <w:p w14:paraId="0E9A09F3" w14:textId="77777777" w:rsidR="002A4DDF" w:rsidRPr="00937C8B" w:rsidRDefault="002A4DDF" w:rsidP="009110ED">
            <w:pPr>
              <w:rPr>
                <w:rFonts w:ascii="Arial" w:hAnsi="Arial" w:cs="Arial"/>
                <w:sz w:val="12"/>
                <w:szCs w:val="12"/>
              </w:rPr>
            </w:pPr>
            <w:r>
              <w:rPr>
                <w:rFonts w:ascii="Arial" w:hAnsi="Arial"/>
                <w:sz w:val="12"/>
                <w:szCs w:val="12"/>
              </w:rPr>
              <w:t>Garbayuela</w:t>
            </w:r>
          </w:p>
        </w:tc>
      </w:tr>
      <w:tr w:rsidR="002A4DDF" w:rsidRPr="00937C8B" w14:paraId="22F11B43" w14:textId="77777777" w:rsidTr="00935676">
        <w:trPr>
          <w:cantSplit/>
        </w:trPr>
        <w:tc>
          <w:tcPr>
            <w:tcW w:w="1696" w:type="dxa"/>
            <w:tcBorders>
              <w:left w:val="single" w:sz="4" w:space="0" w:color="auto"/>
            </w:tcBorders>
            <w:shd w:val="clear" w:color="auto" w:fill="auto"/>
          </w:tcPr>
          <w:p w14:paraId="2C3EB64A" w14:textId="77777777" w:rsidR="002A4DDF" w:rsidRPr="00937C8B" w:rsidRDefault="002A4DDF" w:rsidP="009110ED">
            <w:pPr>
              <w:rPr>
                <w:rFonts w:ascii="Arial" w:hAnsi="Arial" w:cs="Arial"/>
                <w:sz w:val="12"/>
                <w:szCs w:val="12"/>
              </w:rPr>
            </w:pPr>
          </w:p>
        </w:tc>
        <w:tc>
          <w:tcPr>
            <w:tcW w:w="1843" w:type="dxa"/>
            <w:shd w:val="clear" w:color="auto" w:fill="auto"/>
          </w:tcPr>
          <w:p w14:paraId="7CE40E0B" w14:textId="77777777" w:rsidR="002A4DDF" w:rsidRPr="00937C8B" w:rsidRDefault="002A4DDF" w:rsidP="009110ED">
            <w:pPr>
              <w:rPr>
                <w:rFonts w:ascii="Arial" w:hAnsi="Arial" w:cs="Arial"/>
                <w:sz w:val="12"/>
                <w:szCs w:val="12"/>
              </w:rPr>
            </w:pPr>
          </w:p>
        </w:tc>
        <w:tc>
          <w:tcPr>
            <w:tcW w:w="2268" w:type="dxa"/>
            <w:shd w:val="clear" w:color="auto" w:fill="F2F2F2"/>
          </w:tcPr>
          <w:p w14:paraId="53FBC20B" w14:textId="77777777" w:rsidR="002A4DDF" w:rsidRPr="00937C8B" w:rsidRDefault="002A4DDF" w:rsidP="009110ED">
            <w:pPr>
              <w:rPr>
                <w:rFonts w:ascii="Arial" w:hAnsi="Arial" w:cs="Arial"/>
                <w:sz w:val="12"/>
                <w:szCs w:val="12"/>
              </w:rPr>
            </w:pPr>
            <w:r>
              <w:rPr>
                <w:rFonts w:ascii="Arial" w:hAnsi="Arial"/>
                <w:sz w:val="12"/>
                <w:szCs w:val="12"/>
              </w:rPr>
              <w:t>La Codosera</w:t>
            </w:r>
          </w:p>
        </w:tc>
        <w:tc>
          <w:tcPr>
            <w:tcW w:w="2268" w:type="dxa"/>
            <w:tcBorders>
              <w:right w:val="single" w:sz="4" w:space="0" w:color="auto"/>
            </w:tcBorders>
            <w:shd w:val="clear" w:color="auto" w:fill="D9D9D9"/>
          </w:tcPr>
          <w:p w14:paraId="7C4FF82F" w14:textId="77777777" w:rsidR="002A4DDF" w:rsidRPr="00937C8B" w:rsidRDefault="002A4DDF" w:rsidP="009110ED">
            <w:pPr>
              <w:rPr>
                <w:rFonts w:ascii="Arial" w:hAnsi="Arial" w:cs="Arial"/>
                <w:sz w:val="12"/>
                <w:szCs w:val="12"/>
              </w:rPr>
            </w:pPr>
            <w:r>
              <w:rPr>
                <w:rFonts w:ascii="Arial" w:hAnsi="Arial"/>
                <w:sz w:val="12"/>
                <w:szCs w:val="12"/>
              </w:rPr>
              <w:t>Guareña</w:t>
            </w:r>
          </w:p>
        </w:tc>
      </w:tr>
      <w:tr w:rsidR="002A4DDF" w:rsidRPr="00937C8B" w14:paraId="0B05CAC0" w14:textId="77777777" w:rsidTr="00935676">
        <w:trPr>
          <w:cantSplit/>
        </w:trPr>
        <w:tc>
          <w:tcPr>
            <w:tcW w:w="1696" w:type="dxa"/>
            <w:tcBorders>
              <w:left w:val="single" w:sz="4" w:space="0" w:color="auto"/>
            </w:tcBorders>
            <w:shd w:val="clear" w:color="auto" w:fill="auto"/>
          </w:tcPr>
          <w:p w14:paraId="16AF9A4E" w14:textId="77777777" w:rsidR="002A4DDF" w:rsidRPr="00937C8B" w:rsidRDefault="002A4DDF" w:rsidP="009110ED">
            <w:pPr>
              <w:rPr>
                <w:rFonts w:ascii="Arial" w:hAnsi="Arial" w:cs="Arial"/>
                <w:sz w:val="12"/>
                <w:szCs w:val="12"/>
              </w:rPr>
            </w:pPr>
          </w:p>
        </w:tc>
        <w:tc>
          <w:tcPr>
            <w:tcW w:w="1843" w:type="dxa"/>
            <w:shd w:val="clear" w:color="auto" w:fill="auto"/>
          </w:tcPr>
          <w:p w14:paraId="69BF6851" w14:textId="77777777" w:rsidR="002A4DDF" w:rsidRPr="00937C8B" w:rsidRDefault="002A4DDF" w:rsidP="009110ED">
            <w:pPr>
              <w:rPr>
                <w:rFonts w:ascii="Arial" w:hAnsi="Arial" w:cs="Arial"/>
                <w:sz w:val="12"/>
                <w:szCs w:val="12"/>
              </w:rPr>
            </w:pPr>
          </w:p>
        </w:tc>
        <w:tc>
          <w:tcPr>
            <w:tcW w:w="2268" w:type="dxa"/>
            <w:shd w:val="clear" w:color="auto" w:fill="F2F2F2"/>
            <w:hideMark/>
          </w:tcPr>
          <w:p w14:paraId="6F11DE4A" w14:textId="77777777" w:rsidR="002A4DDF" w:rsidRPr="00937C8B" w:rsidRDefault="002A4DDF" w:rsidP="009110ED">
            <w:pPr>
              <w:rPr>
                <w:rFonts w:ascii="Arial" w:hAnsi="Arial" w:cs="Arial"/>
                <w:sz w:val="12"/>
                <w:szCs w:val="12"/>
              </w:rPr>
            </w:pPr>
            <w:r>
              <w:rPr>
                <w:rFonts w:ascii="Arial" w:hAnsi="Arial"/>
                <w:sz w:val="12"/>
                <w:szCs w:val="12"/>
              </w:rPr>
              <w:t>La Garrovilla</w:t>
            </w:r>
          </w:p>
        </w:tc>
        <w:tc>
          <w:tcPr>
            <w:tcW w:w="2268" w:type="dxa"/>
            <w:tcBorders>
              <w:right w:val="single" w:sz="4" w:space="0" w:color="auto"/>
            </w:tcBorders>
            <w:shd w:val="clear" w:color="auto" w:fill="D9D9D9"/>
            <w:hideMark/>
          </w:tcPr>
          <w:p w14:paraId="1B89A82F" w14:textId="77777777" w:rsidR="002A4DDF" w:rsidRPr="00937C8B" w:rsidRDefault="002A4DDF" w:rsidP="009110ED">
            <w:pPr>
              <w:rPr>
                <w:rFonts w:ascii="Arial" w:hAnsi="Arial" w:cs="Arial"/>
                <w:sz w:val="12"/>
                <w:szCs w:val="12"/>
              </w:rPr>
            </w:pPr>
            <w:r>
              <w:rPr>
                <w:rFonts w:ascii="Arial" w:hAnsi="Arial"/>
                <w:sz w:val="12"/>
                <w:szCs w:val="12"/>
              </w:rPr>
              <w:t>Helechosa de los Montes</w:t>
            </w:r>
          </w:p>
        </w:tc>
      </w:tr>
      <w:tr w:rsidR="002A4DDF" w:rsidRPr="00937C8B" w14:paraId="54FF5E31" w14:textId="77777777" w:rsidTr="00935676">
        <w:trPr>
          <w:cantSplit/>
        </w:trPr>
        <w:tc>
          <w:tcPr>
            <w:tcW w:w="1696" w:type="dxa"/>
            <w:tcBorders>
              <w:left w:val="single" w:sz="4" w:space="0" w:color="auto"/>
            </w:tcBorders>
            <w:shd w:val="clear" w:color="auto" w:fill="auto"/>
          </w:tcPr>
          <w:p w14:paraId="783FD9A6" w14:textId="77777777" w:rsidR="002A4DDF" w:rsidRPr="00937C8B" w:rsidRDefault="002A4DDF" w:rsidP="009110ED">
            <w:pPr>
              <w:rPr>
                <w:rFonts w:ascii="Arial" w:hAnsi="Arial" w:cs="Arial"/>
                <w:sz w:val="12"/>
                <w:szCs w:val="12"/>
              </w:rPr>
            </w:pPr>
          </w:p>
        </w:tc>
        <w:tc>
          <w:tcPr>
            <w:tcW w:w="1843" w:type="dxa"/>
            <w:shd w:val="clear" w:color="auto" w:fill="auto"/>
          </w:tcPr>
          <w:p w14:paraId="448DB475" w14:textId="77777777" w:rsidR="002A4DDF" w:rsidRPr="00937C8B" w:rsidRDefault="002A4DDF" w:rsidP="009110ED">
            <w:pPr>
              <w:rPr>
                <w:rFonts w:ascii="Arial" w:hAnsi="Arial" w:cs="Arial"/>
                <w:sz w:val="12"/>
                <w:szCs w:val="12"/>
              </w:rPr>
            </w:pPr>
          </w:p>
        </w:tc>
        <w:tc>
          <w:tcPr>
            <w:tcW w:w="2268" w:type="dxa"/>
            <w:shd w:val="clear" w:color="auto" w:fill="F2F2F2"/>
            <w:hideMark/>
          </w:tcPr>
          <w:p w14:paraId="0B50CFCA" w14:textId="77777777" w:rsidR="002A4DDF" w:rsidRPr="00937C8B" w:rsidRDefault="002A4DDF" w:rsidP="009110ED">
            <w:pPr>
              <w:rPr>
                <w:rFonts w:ascii="Arial" w:hAnsi="Arial" w:cs="Arial"/>
                <w:sz w:val="12"/>
                <w:szCs w:val="12"/>
              </w:rPr>
            </w:pPr>
            <w:r>
              <w:rPr>
                <w:rFonts w:ascii="Arial" w:hAnsi="Arial"/>
                <w:sz w:val="12"/>
                <w:szCs w:val="12"/>
              </w:rPr>
              <w:t>La Zarza</w:t>
            </w:r>
          </w:p>
        </w:tc>
        <w:tc>
          <w:tcPr>
            <w:tcW w:w="2268" w:type="dxa"/>
            <w:tcBorders>
              <w:right w:val="single" w:sz="4" w:space="0" w:color="auto"/>
            </w:tcBorders>
            <w:shd w:val="clear" w:color="auto" w:fill="D9D9D9"/>
            <w:hideMark/>
          </w:tcPr>
          <w:p w14:paraId="36401F59" w14:textId="77777777" w:rsidR="002A4DDF" w:rsidRPr="00937C8B" w:rsidRDefault="002A4DDF" w:rsidP="009110ED">
            <w:pPr>
              <w:rPr>
                <w:rFonts w:ascii="Arial" w:hAnsi="Arial" w:cs="Arial"/>
                <w:sz w:val="12"/>
                <w:szCs w:val="12"/>
              </w:rPr>
            </w:pPr>
            <w:r>
              <w:rPr>
                <w:rFonts w:ascii="Arial" w:hAnsi="Arial"/>
                <w:sz w:val="12"/>
                <w:szCs w:val="12"/>
              </w:rPr>
              <w:t>Herrera del Duque</w:t>
            </w:r>
          </w:p>
        </w:tc>
      </w:tr>
      <w:tr w:rsidR="002A4DDF" w:rsidRPr="00937C8B" w14:paraId="6A7CB702" w14:textId="77777777" w:rsidTr="00935676">
        <w:trPr>
          <w:cantSplit/>
        </w:trPr>
        <w:tc>
          <w:tcPr>
            <w:tcW w:w="1696" w:type="dxa"/>
            <w:tcBorders>
              <w:left w:val="single" w:sz="4" w:space="0" w:color="auto"/>
            </w:tcBorders>
            <w:shd w:val="clear" w:color="auto" w:fill="auto"/>
          </w:tcPr>
          <w:p w14:paraId="63CD54DE" w14:textId="77777777" w:rsidR="002A4DDF" w:rsidRPr="00937C8B" w:rsidRDefault="002A4DDF" w:rsidP="009110ED">
            <w:pPr>
              <w:rPr>
                <w:rFonts w:ascii="Arial" w:hAnsi="Arial" w:cs="Arial"/>
                <w:sz w:val="12"/>
                <w:szCs w:val="12"/>
              </w:rPr>
            </w:pPr>
          </w:p>
        </w:tc>
        <w:tc>
          <w:tcPr>
            <w:tcW w:w="1843" w:type="dxa"/>
            <w:shd w:val="clear" w:color="auto" w:fill="auto"/>
          </w:tcPr>
          <w:p w14:paraId="573DA509" w14:textId="77777777" w:rsidR="002A4DDF" w:rsidRPr="00937C8B" w:rsidRDefault="002A4DDF" w:rsidP="009110ED">
            <w:pPr>
              <w:rPr>
                <w:rFonts w:ascii="Arial" w:hAnsi="Arial" w:cs="Arial"/>
                <w:sz w:val="12"/>
                <w:szCs w:val="12"/>
              </w:rPr>
            </w:pPr>
          </w:p>
        </w:tc>
        <w:tc>
          <w:tcPr>
            <w:tcW w:w="2268" w:type="dxa"/>
            <w:shd w:val="clear" w:color="auto" w:fill="F2F2F2"/>
            <w:hideMark/>
          </w:tcPr>
          <w:p w14:paraId="72F122AF" w14:textId="77777777" w:rsidR="002A4DDF" w:rsidRPr="00937C8B" w:rsidRDefault="002A4DDF" w:rsidP="009110ED">
            <w:pPr>
              <w:rPr>
                <w:rFonts w:ascii="Arial" w:hAnsi="Arial" w:cs="Arial"/>
                <w:sz w:val="12"/>
                <w:szCs w:val="12"/>
              </w:rPr>
            </w:pPr>
            <w:r>
              <w:rPr>
                <w:rFonts w:ascii="Arial" w:hAnsi="Arial"/>
                <w:sz w:val="12"/>
                <w:szCs w:val="12"/>
              </w:rPr>
              <w:t>Lobón</w:t>
            </w:r>
          </w:p>
        </w:tc>
        <w:tc>
          <w:tcPr>
            <w:tcW w:w="2268" w:type="dxa"/>
            <w:tcBorders>
              <w:right w:val="single" w:sz="4" w:space="0" w:color="auto"/>
            </w:tcBorders>
            <w:shd w:val="clear" w:color="auto" w:fill="D9D9D9"/>
            <w:hideMark/>
          </w:tcPr>
          <w:p w14:paraId="27CC7A4D" w14:textId="77777777" w:rsidR="002A4DDF" w:rsidRPr="00937C8B" w:rsidRDefault="002A4DDF" w:rsidP="009110ED">
            <w:pPr>
              <w:rPr>
                <w:rFonts w:ascii="Arial" w:hAnsi="Arial" w:cs="Arial"/>
                <w:sz w:val="12"/>
                <w:szCs w:val="12"/>
              </w:rPr>
            </w:pPr>
            <w:r>
              <w:rPr>
                <w:rFonts w:ascii="Arial" w:hAnsi="Arial"/>
                <w:sz w:val="12"/>
                <w:szCs w:val="12"/>
              </w:rPr>
              <w:t>Higuera de la Serena</w:t>
            </w:r>
          </w:p>
        </w:tc>
      </w:tr>
      <w:tr w:rsidR="002A4DDF" w:rsidRPr="00937C8B" w14:paraId="72193511" w14:textId="77777777" w:rsidTr="00935676">
        <w:trPr>
          <w:cantSplit/>
        </w:trPr>
        <w:tc>
          <w:tcPr>
            <w:tcW w:w="1696" w:type="dxa"/>
            <w:tcBorders>
              <w:left w:val="single" w:sz="4" w:space="0" w:color="auto"/>
            </w:tcBorders>
            <w:shd w:val="clear" w:color="auto" w:fill="auto"/>
          </w:tcPr>
          <w:p w14:paraId="4D85BC2A" w14:textId="77777777" w:rsidR="002A4DDF" w:rsidRPr="00937C8B" w:rsidRDefault="002A4DDF" w:rsidP="009110ED">
            <w:pPr>
              <w:rPr>
                <w:rFonts w:ascii="Arial" w:hAnsi="Arial" w:cs="Arial"/>
                <w:sz w:val="12"/>
                <w:szCs w:val="12"/>
              </w:rPr>
            </w:pPr>
          </w:p>
        </w:tc>
        <w:tc>
          <w:tcPr>
            <w:tcW w:w="1843" w:type="dxa"/>
            <w:shd w:val="clear" w:color="auto" w:fill="auto"/>
          </w:tcPr>
          <w:p w14:paraId="1E907B70" w14:textId="77777777" w:rsidR="002A4DDF" w:rsidRPr="00937C8B" w:rsidRDefault="002A4DDF" w:rsidP="009110ED">
            <w:pPr>
              <w:rPr>
                <w:rFonts w:ascii="Arial" w:hAnsi="Arial" w:cs="Arial"/>
                <w:sz w:val="12"/>
                <w:szCs w:val="12"/>
              </w:rPr>
            </w:pPr>
          </w:p>
        </w:tc>
        <w:tc>
          <w:tcPr>
            <w:tcW w:w="2268" w:type="dxa"/>
            <w:shd w:val="clear" w:color="auto" w:fill="F2F2F2"/>
            <w:hideMark/>
          </w:tcPr>
          <w:p w14:paraId="27DC4BE9" w14:textId="77777777" w:rsidR="002A4DDF" w:rsidRPr="00937C8B" w:rsidRDefault="002A4DDF" w:rsidP="009110ED">
            <w:pPr>
              <w:rPr>
                <w:rFonts w:ascii="Arial" w:hAnsi="Arial" w:cs="Arial"/>
                <w:sz w:val="12"/>
                <w:szCs w:val="12"/>
              </w:rPr>
            </w:pPr>
            <w:r>
              <w:rPr>
                <w:rFonts w:ascii="Arial" w:hAnsi="Arial"/>
                <w:sz w:val="12"/>
                <w:szCs w:val="12"/>
              </w:rPr>
              <w:t>Los Santos de Maimona</w:t>
            </w:r>
          </w:p>
        </w:tc>
        <w:tc>
          <w:tcPr>
            <w:tcW w:w="2268" w:type="dxa"/>
            <w:tcBorders>
              <w:right w:val="single" w:sz="4" w:space="0" w:color="auto"/>
            </w:tcBorders>
            <w:shd w:val="clear" w:color="auto" w:fill="D9D9D9"/>
            <w:hideMark/>
          </w:tcPr>
          <w:p w14:paraId="4958E36A" w14:textId="77777777" w:rsidR="002A4DDF" w:rsidRPr="00937C8B" w:rsidRDefault="002A4DDF" w:rsidP="009110ED">
            <w:pPr>
              <w:rPr>
                <w:rFonts w:ascii="Arial" w:hAnsi="Arial" w:cs="Arial"/>
                <w:sz w:val="12"/>
                <w:szCs w:val="12"/>
              </w:rPr>
            </w:pPr>
            <w:r>
              <w:rPr>
                <w:rFonts w:ascii="Arial" w:hAnsi="Arial"/>
                <w:sz w:val="12"/>
                <w:szCs w:val="12"/>
              </w:rPr>
              <w:t>Higuera de Vargas</w:t>
            </w:r>
          </w:p>
        </w:tc>
      </w:tr>
      <w:tr w:rsidR="002A4DDF" w:rsidRPr="00937C8B" w14:paraId="04602D74" w14:textId="77777777" w:rsidTr="00935676">
        <w:trPr>
          <w:cantSplit/>
        </w:trPr>
        <w:tc>
          <w:tcPr>
            <w:tcW w:w="1696" w:type="dxa"/>
            <w:tcBorders>
              <w:left w:val="single" w:sz="4" w:space="0" w:color="auto"/>
            </w:tcBorders>
            <w:shd w:val="clear" w:color="auto" w:fill="auto"/>
          </w:tcPr>
          <w:p w14:paraId="4C15CC07" w14:textId="77777777" w:rsidR="002A4DDF" w:rsidRPr="00937C8B" w:rsidRDefault="002A4DDF" w:rsidP="009110ED">
            <w:pPr>
              <w:rPr>
                <w:rFonts w:ascii="Arial" w:hAnsi="Arial" w:cs="Arial"/>
                <w:sz w:val="12"/>
                <w:szCs w:val="12"/>
              </w:rPr>
            </w:pPr>
          </w:p>
        </w:tc>
        <w:tc>
          <w:tcPr>
            <w:tcW w:w="1843" w:type="dxa"/>
            <w:shd w:val="clear" w:color="auto" w:fill="auto"/>
          </w:tcPr>
          <w:p w14:paraId="7B41164F" w14:textId="77777777" w:rsidR="002A4DDF" w:rsidRPr="00937C8B" w:rsidRDefault="002A4DDF" w:rsidP="009110ED">
            <w:pPr>
              <w:rPr>
                <w:rFonts w:ascii="Arial" w:hAnsi="Arial" w:cs="Arial"/>
                <w:sz w:val="12"/>
                <w:szCs w:val="12"/>
              </w:rPr>
            </w:pPr>
          </w:p>
        </w:tc>
        <w:tc>
          <w:tcPr>
            <w:tcW w:w="2268" w:type="dxa"/>
            <w:shd w:val="clear" w:color="auto" w:fill="F2F2F2"/>
            <w:hideMark/>
          </w:tcPr>
          <w:p w14:paraId="0B01D8E0" w14:textId="77777777" w:rsidR="002A4DDF" w:rsidRPr="00937C8B" w:rsidRDefault="002A4DDF" w:rsidP="009110ED">
            <w:pPr>
              <w:rPr>
                <w:rFonts w:ascii="Arial" w:hAnsi="Arial" w:cs="Arial"/>
                <w:sz w:val="12"/>
                <w:szCs w:val="12"/>
              </w:rPr>
            </w:pPr>
            <w:r>
              <w:rPr>
                <w:rFonts w:ascii="Arial" w:hAnsi="Arial"/>
                <w:sz w:val="12"/>
                <w:szCs w:val="12"/>
              </w:rPr>
              <w:t>Maguilla</w:t>
            </w:r>
          </w:p>
        </w:tc>
        <w:tc>
          <w:tcPr>
            <w:tcW w:w="2268" w:type="dxa"/>
            <w:tcBorders>
              <w:right w:val="single" w:sz="4" w:space="0" w:color="auto"/>
            </w:tcBorders>
            <w:shd w:val="clear" w:color="auto" w:fill="D9D9D9"/>
            <w:hideMark/>
          </w:tcPr>
          <w:p w14:paraId="60E9CCBC" w14:textId="77777777" w:rsidR="002A4DDF" w:rsidRPr="00937C8B" w:rsidRDefault="002A4DDF" w:rsidP="009110ED">
            <w:pPr>
              <w:rPr>
                <w:rFonts w:ascii="Arial" w:hAnsi="Arial" w:cs="Arial"/>
                <w:sz w:val="12"/>
                <w:szCs w:val="12"/>
              </w:rPr>
            </w:pPr>
            <w:r>
              <w:rPr>
                <w:rFonts w:ascii="Arial" w:hAnsi="Arial"/>
                <w:sz w:val="12"/>
                <w:szCs w:val="12"/>
              </w:rPr>
              <w:t>Higuera la Real</w:t>
            </w:r>
          </w:p>
        </w:tc>
      </w:tr>
      <w:tr w:rsidR="002A4DDF" w:rsidRPr="00937C8B" w14:paraId="4E8B9A26" w14:textId="77777777" w:rsidTr="00935676">
        <w:trPr>
          <w:cantSplit/>
        </w:trPr>
        <w:tc>
          <w:tcPr>
            <w:tcW w:w="1696" w:type="dxa"/>
            <w:tcBorders>
              <w:left w:val="single" w:sz="4" w:space="0" w:color="auto"/>
            </w:tcBorders>
            <w:shd w:val="clear" w:color="auto" w:fill="auto"/>
          </w:tcPr>
          <w:p w14:paraId="78BC76DB" w14:textId="77777777" w:rsidR="002A4DDF" w:rsidRPr="00937C8B" w:rsidRDefault="002A4DDF" w:rsidP="009110ED">
            <w:pPr>
              <w:rPr>
                <w:rFonts w:ascii="Arial" w:hAnsi="Arial" w:cs="Arial"/>
                <w:sz w:val="12"/>
                <w:szCs w:val="12"/>
              </w:rPr>
            </w:pPr>
          </w:p>
        </w:tc>
        <w:tc>
          <w:tcPr>
            <w:tcW w:w="1843" w:type="dxa"/>
            <w:shd w:val="clear" w:color="auto" w:fill="auto"/>
          </w:tcPr>
          <w:p w14:paraId="7128A6D7" w14:textId="77777777" w:rsidR="002A4DDF" w:rsidRPr="00937C8B" w:rsidRDefault="002A4DDF" w:rsidP="009110ED">
            <w:pPr>
              <w:rPr>
                <w:rFonts w:ascii="Arial" w:hAnsi="Arial" w:cs="Arial"/>
                <w:sz w:val="12"/>
                <w:szCs w:val="12"/>
              </w:rPr>
            </w:pPr>
          </w:p>
        </w:tc>
        <w:tc>
          <w:tcPr>
            <w:tcW w:w="2268" w:type="dxa"/>
            <w:shd w:val="clear" w:color="auto" w:fill="F2F2F2"/>
            <w:hideMark/>
          </w:tcPr>
          <w:p w14:paraId="3F958CE7" w14:textId="77777777" w:rsidR="002A4DDF" w:rsidRPr="00937C8B" w:rsidRDefault="002A4DDF" w:rsidP="009110ED">
            <w:pPr>
              <w:rPr>
                <w:rFonts w:ascii="Arial" w:hAnsi="Arial" w:cs="Arial"/>
                <w:sz w:val="12"/>
                <w:szCs w:val="12"/>
              </w:rPr>
            </w:pPr>
            <w:r>
              <w:rPr>
                <w:rFonts w:ascii="Arial" w:hAnsi="Arial"/>
                <w:sz w:val="12"/>
                <w:szCs w:val="12"/>
              </w:rPr>
              <w:t>Malcocinado</w:t>
            </w:r>
          </w:p>
        </w:tc>
        <w:tc>
          <w:tcPr>
            <w:tcW w:w="2268" w:type="dxa"/>
            <w:tcBorders>
              <w:right w:val="single" w:sz="4" w:space="0" w:color="auto"/>
            </w:tcBorders>
            <w:shd w:val="clear" w:color="auto" w:fill="D9D9D9"/>
            <w:hideMark/>
          </w:tcPr>
          <w:p w14:paraId="674B4B10" w14:textId="77777777" w:rsidR="002A4DDF" w:rsidRPr="00937C8B" w:rsidRDefault="002A4DDF" w:rsidP="009110ED">
            <w:pPr>
              <w:rPr>
                <w:rFonts w:ascii="Arial" w:hAnsi="Arial" w:cs="Arial"/>
                <w:sz w:val="12"/>
                <w:szCs w:val="12"/>
              </w:rPr>
            </w:pPr>
            <w:r>
              <w:rPr>
                <w:rFonts w:ascii="Arial" w:hAnsi="Arial"/>
                <w:sz w:val="12"/>
                <w:szCs w:val="12"/>
              </w:rPr>
              <w:t>Jerez de los Caballeros</w:t>
            </w:r>
          </w:p>
        </w:tc>
      </w:tr>
      <w:tr w:rsidR="002A4DDF" w:rsidRPr="00937C8B" w14:paraId="4C9EC446" w14:textId="77777777" w:rsidTr="00935676">
        <w:trPr>
          <w:cantSplit/>
        </w:trPr>
        <w:tc>
          <w:tcPr>
            <w:tcW w:w="1696" w:type="dxa"/>
            <w:tcBorders>
              <w:left w:val="single" w:sz="4" w:space="0" w:color="auto"/>
            </w:tcBorders>
            <w:shd w:val="clear" w:color="auto" w:fill="auto"/>
          </w:tcPr>
          <w:p w14:paraId="5CA58EE0" w14:textId="77777777" w:rsidR="002A4DDF" w:rsidRPr="00937C8B" w:rsidRDefault="002A4DDF" w:rsidP="009110ED">
            <w:pPr>
              <w:rPr>
                <w:rFonts w:ascii="Arial" w:hAnsi="Arial" w:cs="Arial"/>
                <w:sz w:val="12"/>
                <w:szCs w:val="12"/>
              </w:rPr>
            </w:pPr>
          </w:p>
        </w:tc>
        <w:tc>
          <w:tcPr>
            <w:tcW w:w="1843" w:type="dxa"/>
            <w:shd w:val="clear" w:color="auto" w:fill="auto"/>
          </w:tcPr>
          <w:p w14:paraId="566716DE" w14:textId="77777777" w:rsidR="002A4DDF" w:rsidRPr="00937C8B" w:rsidRDefault="002A4DDF" w:rsidP="009110ED">
            <w:pPr>
              <w:rPr>
                <w:rFonts w:ascii="Arial" w:hAnsi="Arial" w:cs="Arial"/>
                <w:sz w:val="12"/>
                <w:szCs w:val="12"/>
              </w:rPr>
            </w:pPr>
          </w:p>
        </w:tc>
        <w:tc>
          <w:tcPr>
            <w:tcW w:w="2268" w:type="dxa"/>
            <w:shd w:val="clear" w:color="auto" w:fill="F2F2F2"/>
            <w:hideMark/>
          </w:tcPr>
          <w:p w14:paraId="4BE52747" w14:textId="77777777" w:rsidR="002A4DDF" w:rsidRPr="00937C8B" w:rsidRDefault="002A4DDF" w:rsidP="009110ED">
            <w:pPr>
              <w:rPr>
                <w:rFonts w:ascii="Arial" w:hAnsi="Arial" w:cs="Arial"/>
                <w:sz w:val="12"/>
                <w:szCs w:val="12"/>
              </w:rPr>
            </w:pPr>
            <w:r>
              <w:rPr>
                <w:rFonts w:ascii="Arial" w:hAnsi="Arial"/>
                <w:sz w:val="12"/>
                <w:szCs w:val="12"/>
              </w:rPr>
              <w:t>Malpartida de la Serena</w:t>
            </w:r>
          </w:p>
        </w:tc>
        <w:tc>
          <w:tcPr>
            <w:tcW w:w="2268" w:type="dxa"/>
            <w:tcBorders>
              <w:right w:val="single" w:sz="4" w:space="0" w:color="auto"/>
            </w:tcBorders>
            <w:shd w:val="clear" w:color="auto" w:fill="D9D9D9"/>
            <w:hideMark/>
          </w:tcPr>
          <w:p w14:paraId="3120A676" w14:textId="77777777" w:rsidR="002A4DDF" w:rsidRPr="00937C8B" w:rsidRDefault="002A4DDF" w:rsidP="009110ED">
            <w:pPr>
              <w:rPr>
                <w:rFonts w:ascii="Arial" w:hAnsi="Arial" w:cs="Arial"/>
                <w:sz w:val="12"/>
                <w:szCs w:val="12"/>
              </w:rPr>
            </w:pPr>
            <w:r>
              <w:rPr>
                <w:rFonts w:ascii="Arial" w:hAnsi="Arial"/>
                <w:sz w:val="12"/>
                <w:szCs w:val="12"/>
              </w:rPr>
              <w:t>La Coronada</w:t>
            </w:r>
          </w:p>
        </w:tc>
      </w:tr>
      <w:tr w:rsidR="002A4DDF" w:rsidRPr="00937C8B" w14:paraId="474977E9" w14:textId="77777777" w:rsidTr="00935676">
        <w:trPr>
          <w:cantSplit/>
        </w:trPr>
        <w:tc>
          <w:tcPr>
            <w:tcW w:w="1696" w:type="dxa"/>
            <w:tcBorders>
              <w:left w:val="single" w:sz="4" w:space="0" w:color="auto"/>
            </w:tcBorders>
            <w:shd w:val="clear" w:color="auto" w:fill="auto"/>
          </w:tcPr>
          <w:p w14:paraId="01DC8F3E" w14:textId="77777777" w:rsidR="002A4DDF" w:rsidRPr="00937C8B" w:rsidRDefault="002A4DDF" w:rsidP="009110ED">
            <w:pPr>
              <w:rPr>
                <w:rFonts w:ascii="Arial" w:hAnsi="Arial" w:cs="Arial"/>
                <w:sz w:val="12"/>
                <w:szCs w:val="12"/>
              </w:rPr>
            </w:pPr>
          </w:p>
        </w:tc>
        <w:tc>
          <w:tcPr>
            <w:tcW w:w="1843" w:type="dxa"/>
            <w:shd w:val="clear" w:color="auto" w:fill="auto"/>
          </w:tcPr>
          <w:p w14:paraId="057000E3" w14:textId="77777777" w:rsidR="002A4DDF" w:rsidRPr="00937C8B" w:rsidRDefault="002A4DDF" w:rsidP="009110ED">
            <w:pPr>
              <w:rPr>
                <w:rFonts w:ascii="Arial" w:hAnsi="Arial" w:cs="Arial"/>
                <w:sz w:val="12"/>
                <w:szCs w:val="12"/>
              </w:rPr>
            </w:pPr>
          </w:p>
        </w:tc>
        <w:tc>
          <w:tcPr>
            <w:tcW w:w="2268" w:type="dxa"/>
            <w:shd w:val="clear" w:color="auto" w:fill="F2F2F2"/>
            <w:hideMark/>
          </w:tcPr>
          <w:p w14:paraId="34DEC342" w14:textId="77777777" w:rsidR="002A4DDF" w:rsidRPr="00937C8B" w:rsidRDefault="002A4DDF" w:rsidP="009110ED">
            <w:pPr>
              <w:rPr>
                <w:rFonts w:ascii="Arial" w:hAnsi="Arial" w:cs="Arial"/>
                <w:sz w:val="12"/>
                <w:szCs w:val="12"/>
              </w:rPr>
            </w:pPr>
            <w:r>
              <w:rPr>
                <w:rFonts w:ascii="Arial" w:hAnsi="Arial"/>
                <w:sz w:val="12"/>
                <w:szCs w:val="12"/>
              </w:rPr>
              <w:t>Manchita</w:t>
            </w:r>
          </w:p>
        </w:tc>
        <w:tc>
          <w:tcPr>
            <w:tcW w:w="2268" w:type="dxa"/>
            <w:tcBorders>
              <w:right w:val="single" w:sz="4" w:space="0" w:color="auto"/>
            </w:tcBorders>
            <w:shd w:val="clear" w:color="auto" w:fill="D9D9D9"/>
            <w:hideMark/>
          </w:tcPr>
          <w:p w14:paraId="60F58DB0" w14:textId="77777777" w:rsidR="002A4DDF" w:rsidRPr="00937C8B" w:rsidRDefault="002A4DDF" w:rsidP="009110ED">
            <w:pPr>
              <w:rPr>
                <w:rFonts w:ascii="Arial" w:hAnsi="Arial" w:cs="Arial"/>
                <w:sz w:val="12"/>
                <w:szCs w:val="12"/>
              </w:rPr>
            </w:pPr>
            <w:r>
              <w:rPr>
                <w:rFonts w:ascii="Arial" w:hAnsi="Arial"/>
                <w:sz w:val="12"/>
                <w:szCs w:val="12"/>
              </w:rPr>
              <w:t>La Haba</w:t>
            </w:r>
          </w:p>
        </w:tc>
      </w:tr>
      <w:tr w:rsidR="002A4DDF" w:rsidRPr="00937C8B" w14:paraId="32F3D6B8" w14:textId="77777777" w:rsidTr="00935676">
        <w:trPr>
          <w:cantSplit/>
        </w:trPr>
        <w:tc>
          <w:tcPr>
            <w:tcW w:w="1696" w:type="dxa"/>
            <w:tcBorders>
              <w:left w:val="single" w:sz="4" w:space="0" w:color="auto"/>
            </w:tcBorders>
            <w:shd w:val="clear" w:color="auto" w:fill="auto"/>
          </w:tcPr>
          <w:p w14:paraId="6889F511" w14:textId="77777777" w:rsidR="002A4DDF" w:rsidRPr="00937C8B" w:rsidRDefault="002A4DDF" w:rsidP="009110ED">
            <w:pPr>
              <w:rPr>
                <w:rFonts w:ascii="Arial" w:hAnsi="Arial" w:cs="Arial"/>
                <w:sz w:val="12"/>
                <w:szCs w:val="12"/>
              </w:rPr>
            </w:pPr>
          </w:p>
        </w:tc>
        <w:tc>
          <w:tcPr>
            <w:tcW w:w="1843" w:type="dxa"/>
            <w:shd w:val="clear" w:color="auto" w:fill="auto"/>
          </w:tcPr>
          <w:p w14:paraId="0F8B7BB3" w14:textId="77777777" w:rsidR="002A4DDF" w:rsidRPr="00937C8B" w:rsidRDefault="002A4DDF" w:rsidP="009110ED">
            <w:pPr>
              <w:rPr>
                <w:rFonts w:ascii="Arial" w:hAnsi="Arial" w:cs="Arial"/>
                <w:sz w:val="12"/>
                <w:szCs w:val="12"/>
              </w:rPr>
            </w:pPr>
          </w:p>
        </w:tc>
        <w:tc>
          <w:tcPr>
            <w:tcW w:w="2268" w:type="dxa"/>
            <w:shd w:val="clear" w:color="auto" w:fill="F2F2F2"/>
            <w:hideMark/>
          </w:tcPr>
          <w:p w14:paraId="7515326E" w14:textId="77777777" w:rsidR="002A4DDF" w:rsidRPr="00937C8B" w:rsidRDefault="002A4DDF" w:rsidP="009110ED">
            <w:pPr>
              <w:rPr>
                <w:rFonts w:ascii="Arial" w:hAnsi="Arial" w:cs="Arial"/>
                <w:sz w:val="12"/>
                <w:szCs w:val="12"/>
              </w:rPr>
            </w:pPr>
            <w:r>
              <w:rPr>
                <w:rFonts w:ascii="Arial" w:hAnsi="Arial"/>
                <w:sz w:val="12"/>
                <w:szCs w:val="12"/>
              </w:rPr>
              <w:t>Medellín</w:t>
            </w:r>
          </w:p>
        </w:tc>
        <w:tc>
          <w:tcPr>
            <w:tcW w:w="2268" w:type="dxa"/>
            <w:tcBorders>
              <w:right w:val="single" w:sz="4" w:space="0" w:color="auto"/>
            </w:tcBorders>
            <w:shd w:val="clear" w:color="auto" w:fill="D9D9D9"/>
            <w:hideMark/>
          </w:tcPr>
          <w:p w14:paraId="493C8CD6" w14:textId="77777777" w:rsidR="002A4DDF" w:rsidRPr="00937C8B" w:rsidRDefault="002A4DDF" w:rsidP="009110ED">
            <w:pPr>
              <w:rPr>
                <w:rFonts w:ascii="Arial" w:hAnsi="Arial" w:cs="Arial"/>
                <w:sz w:val="12"/>
                <w:szCs w:val="12"/>
              </w:rPr>
            </w:pPr>
            <w:r>
              <w:rPr>
                <w:rFonts w:ascii="Arial" w:hAnsi="Arial"/>
                <w:sz w:val="12"/>
                <w:szCs w:val="12"/>
              </w:rPr>
              <w:t>La Lapa</w:t>
            </w:r>
          </w:p>
        </w:tc>
      </w:tr>
      <w:tr w:rsidR="002A4DDF" w:rsidRPr="00937C8B" w14:paraId="2C93F10C" w14:textId="77777777" w:rsidTr="00935676">
        <w:trPr>
          <w:cantSplit/>
        </w:trPr>
        <w:tc>
          <w:tcPr>
            <w:tcW w:w="1696" w:type="dxa"/>
            <w:tcBorders>
              <w:left w:val="single" w:sz="4" w:space="0" w:color="auto"/>
            </w:tcBorders>
            <w:shd w:val="clear" w:color="auto" w:fill="auto"/>
          </w:tcPr>
          <w:p w14:paraId="4F8116AD" w14:textId="77777777" w:rsidR="002A4DDF" w:rsidRPr="00937C8B" w:rsidRDefault="002A4DDF" w:rsidP="009110ED">
            <w:pPr>
              <w:rPr>
                <w:rFonts w:ascii="Arial" w:hAnsi="Arial" w:cs="Arial"/>
                <w:sz w:val="12"/>
                <w:szCs w:val="12"/>
              </w:rPr>
            </w:pPr>
          </w:p>
        </w:tc>
        <w:tc>
          <w:tcPr>
            <w:tcW w:w="1843" w:type="dxa"/>
            <w:shd w:val="clear" w:color="auto" w:fill="auto"/>
          </w:tcPr>
          <w:p w14:paraId="264FCFC7" w14:textId="77777777" w:rsidR="002A4DDF" w:rsidRPr="00937C8B" w:rsidRDefault="002A4DDF" w:rsidP="009110ED">
            <w:pPr>
              <w:rPr>
                <w:rFonts w:ascii="Arial" w:hAnsi="Arial" w:cs="Arial"/>
                <w:sz w:val="12"/>
                <w:szCs w:val="12"/>
              </w:rPr>
            </w:pPr>
          </w:p>
        </w:tc>
        <w:tc>
          <w:tcPr>
            <w:tcW w:w="2268" w:type="dxa"/>
            <w:shd w:val="clear" w:color="auto" w:fill="F2F2F2"/>
            <w:hideMark/>
          </w:tcPr>
          <w:p w14:paraId="5EE2D278" w14:textId="77777777" w:rsidR="002A4DDF" w:rsidRPr="00937C8B" w:rsidRDefault="002A4DDF" w:rsidP="009110ED">
            <w:pPr>
              <w:rPr>
                <w:rFonts w:ascii="Arial" w:hAnsi="Arial" w:cs="Arial"/>
                <w:sz w:val="12"/>
                <w:szCs w:val="12"/>
              </w:rPr>
            </w:pPr>
            <w:r>
              <w:rPr>
                <w:rFonts w:ascii="Arial" w:hAnsi="Arial"/>
                <w:sz w:val="12"/>
                <w:szCs w:val="12"/>
              </w:rPr>
              <w:t>Montijo</w:t>
            </w:r>
          </w:p>
        </w:tc>
        <w:tc>
          <w:tcPr>
            <w:tcW w:w="2268" w:type="dxa"/>
            <w:tcBorders>
              <w:right w:val="single" w:sz="4" w:space="0" w:color="auto"/>
            </w:tcBorders>
            <w:shd w:val="clear" w:color="auto" w:fill="D9D9D9"/>
            <w:hideMark/>
          </w:tcPr>
          <w:p w14:paraId="3EB122E1" w14:textId="77777777" w:rsidR="002A4DDF" w:rsidRPr="00937C8B" w:rsidRDefault="002A4DDF" w:rsidP="009110ED">
            <w:pPr>
              <w:rPr>
                <w:rFonts w:ascii="Arial" w:hAnsi="Arial" w:cs="Arial"/>
                <w:sz w:val="12"/>
                <w:szCs w:val="12"/>
              </w:rPr>
            </w:pPr>
            <w:r>
              <w:rPr>
                <w:rFonts w:ascii="Arial" w:hAnsi="Arial"/>
                <w:sz w:val="12"/>
                <w:szCs w:val="12"/>
              </w:rPr>
              <w:t>La Morera</w:t>
            </w:r>
          </w:p>
        </w:tc>
      </w:tr>
      <w:tr w:rsidR="002A4DDF" w:rsidRPr="00937C8B" w14:paraId="1B0ED131" w14:textId="77777777" w:rsidTr="00935676">
        <w:trPr>
          <w:cantSplit/>
        </w:trPr>
        <w:tc>
          <w:tcPr>
            <w:tcW w:w="1696" w:type="dxa"/>
            <w:tcBorders>
              <w:left w:val="single" w:sz="4" w:space="0" w:color="auto"/>
            </w:tcBorders>
            <w:shd w:val="clear" w:color="auto" w:fill="auto"/>
          </w:tcPr>
          <w:p w14:paraId="429334FF" w14:textId="77777777" w:rsidR="002A4DDF" w:rsidRPr="00937C8B" w:rsidRDefault="002A4DDF" w:rsidP="009110ED">
            <w:pPr>
              <w:rPr>
                <w:rFonts w:ascii="Arial" w:hAnsi="Arial" w:cs="Arial"/>
                <w:sz w:val="12"/>
                <w:szCs w:val="12"/>
              </w:rPr>
            </w:pPr>
          </w:p>
        </w:tc>
        <w:tc>
          <w:tcPr>
            <w:tcW w:w="1843" w:type="dxa"/>
            <w:shd w:val="clear" w:color="auto" w:fill="auto"/>
          </w:tcPr>
          <w:p w14:paraId="2464FA19" w14:textId="77777777" w:rsidR="002A4DDF" w:rsidRPr="00937C8B" w:rsidRDefault="002A4DDF" w:rsidP="009110ED">
            <w:pPr>
              <w:rPr>
                <w:rFonts w:ascii="Arial" w:hAnsi="Arial" w:cs="Arial"/>
                <w:sz w:val="12"/>
                <w:szCs w:val="12"/>
              </w:rPr>
            </w:pPr>
          </w:p>
        </w:tc>
        <w:tc>
          <w:tcPr>
            <w:tcW w:w="2268" w:type="dxa"/>
            <w:shd w:val="clear" w:color="auto" w:fill="F2F2F2"/>
            <w:hideMark/>
          </w:tcPr>
          <w:p w14:paraId="50DB544B" w14:textId="77777777" w:rsidR="002A4DDF" w:rsidRPr="00937C8B" w:rsidRDefault="002A4DDF" w:rsidP="009110ED">
            <w:pPr>
              <w:rPr>
                <w:rFonts w:ascii="Arial" w:hAnsi="Arial" w:cs="Arial"/>
                <w:sz w:val="12"/>
                <w:szCs w:val="12"/>
              </w:rPr>
            </w:pPr>
            <w:r>
              <w:rPr>
                <w:rFonts w:ascii="Arial" w:hAnsi="Arial"/>
                <w:sz w:val="12"/>
                <w:szCs w:val="12"/>
              </w:rPr>
              <w:t>Oliva de la Frontera</w:t>
            </w:r>
          </w:p>
        </w:tc>
        <w:tc>
          <w:tcPr>
            <w:tcW w:w="2268" w:type="dxa"/>
            <w:tcBorders>
              <w:right w:val="single" w:sz="4" w:space="0" w:color="auto"/>
            </w:tcBorders>
            <w:shd w:val="clear" w:color="auto" w:fill="D9D9D9"/>
            <w:hideMark/>
          </w:tcPr>
          <w:p w14:paraId="093D9877" w14:textId="77777777" w:rsidR="002A4DDF" w:rsidRPr="00937C8B" w:rsidRDefault="002A4DDF" w:rsidP="009110ED">
            <w:pPr>
              <w:rPr>
                <w:rFonts w:ascii="Arial" w:hAnsi="Arial" w:cs="Arial"/>
                <w:sz w:val="12"/>
                <w:szCs w:val="12"/>
              </w:rPr>
            </w:pPr>
            <w:r>
              <w:rPr>
                <w:rFonts w:ascii="Arial" w:hAnsi="Arial"/>
                <w:sz w:val="12"/>
                <w:szCs w:val="12"/>
              </w:rPr>
              <w:t>La Parra</w:t>
            </w:r>
          </w:p>
        </w:tc>
      </w:tr>
      <w:tr w:rsidR="002A4DDF" w:rsidRPr="00937C8B" w14:paraId="6770C7FC" w14:textId="77777777" w:rsidTr="00935676">
        <w:trPr>
          <w:cantSplit/>
        </w:trPr>
        <w:tc>
          <w:tcPr>
            <w:tcW w:w="1696" w:type="dxa"/>
            <w:tcBorders>
              <w:left w:val="single" w:sz="4" w:space="0" w:color="auto"/>
            </w:tcBorders>
            <w:shd w:val="clear" w:color="auto" w:fill="auto"/>
          </w:tcPr>
          <w:p w14:paraId="227C14FA" w14:textId="77777777" w:rsidR="002A4DDF" w:rsidRPr="00937C8B" w:rsidRDefault="002A4DDF" w:rsidP="009110ED">
            <w:pPr>
              <w:rPr>
                <w:rFonts w:ascii="Arial" w:hAnsi="Arial" w:cs="Arial"/>
                <w:sz w:val="12"/>
                <w:szCs w:val="12"/>
              </w:rPr>
            </w:pPr>
          </w:p>
        </w:tc>
        <w:tc>
          <w:tcPr>
            <w:tcW w:w="1843" w:type="dxa"/>
            <w:shd w:val="clear" w:color="auto" w:fill="auto"/>
          </w:tcPr>
          <w:p w14:paraId="0D3D7BF0" w14:textId="77777777" w:rsidR="002A4DDF" w:rsidRPr="00937C8B" w:rsidRDefault="002A4DDF" w:rsidP="009110ED">
            <w:pPr>
              <w:rPr>
                <w:rFonts w:ascii="Arial" w:hAnsi="Arial" w:cs="Arial"/>
                <w:sz w:val="12"/>
                <w:szCs w:val="12"/>
              </w:rPr>
            </w:pPr>
          </w:p>
        </w:tc>
        <w:tc>
          <w:tcPr>
            <w:tcW w:w="2268" w:type="dxa"/>
            <w:shd w:val="clear" w:color="auto" w:fill="F2F2F2"/>
            <w:hideMark/>
          </w:tcPr>
          <w:p w14:paraId="0AC853BF" w14:textId="77777777" w:rsidR="002A4DDF" w:rsidRPr="00937C8B" w:rsidRDefault="002A4DDF" w:rsidP="009110ED">
            <w:pPr>
              <w:rPr>
                <w:rFonts w:ascii="Arial" w:hAnsi="Arial" w:cs="Arial"/>
                <w:sz w:val="12"/>
                <w:szCs w:val="12"/>
              </w:rPr>
            </w:pPr>
            <w:r>
              <w:rPr>
                <w:rFonts w:ascii="Arial" w:hAnsi="Arial"/>
                <w:sz w:val="12"/>
                <w:szCs w:val="12"/>
              </w:rPr>
              <w:t>Oliva de Mérida</w:t>
            </w:r>
          </w:p>
        </w:tc>
        <w:tc>
          <w:tcPr>
            <w:tcW w:w="2268" w:type="dxa"/>
            <w:tcBorders>
              <w:right w:val="single" w:sz="4" w:space="0" w:color="auto"/>
            </w:tcBorders>
            <w:shd w:val="clear" w:color="auto" w:fill="D9D9D9"/>
            <w:hideMark/>
          </w:tcPr>
          <w:p w14:paraId="42418AA6" w14:textId="77777777" w:rsidR="002A4DDF" w:rsidRPr="00937C8B" w:rsidRDefault="002A4DDF" w:rsidP="009110ED">
            <w:pPr>
              <w:rPr>
                <w:rFonts w:ascii="Arial" w:hAnsi="Arial" w:cs="Arial"/>
                <w:sz w:val="12"/>
                <w:szCs w:val="12"/>
              </w:rPr>
            </w:pPr>
            <w:r>
              <w:rPr>
                <w:rFonts w:ascii="Arial" w:hAnsi="Arial"/>
                <w:sz w:val="12"/>
                <w:szCs w:val="12"/>
              </w:rPr>
              <w:t>La Roca de la Sierra</w:t>
            </w:r>
          </w:p>
        </w:tc>
      </w:tr>
      <w:tr w:rsidR="002A4DDF" w:rsidRPr="00937C8B" w14:paraId="7537814B" w14:textId="77777777" w:rsidTr="00935676">
        <w:trPr>
          <w:cantSplit/>
        </w:trPr>
        <w:tc>
          <w:tcPr>
            <w:tcW w:w="1696" w:type="dxa"/>
            <w:tcBorders>
              <w:left w:val="single" w:sz="4" w:space="0" w:color="auto"/>
            </w:tcBorders>
            <w:shd w:val="clear" w:color="auto" w:fill="auto"/>
          </w:tcPr>
          <w:p w14:paraId="6CB50BE6" w14:textId="77777777" w:rsidR="002A4DDF" w:rsidRPr="00937C8B" w:rsidRDefault="002A4DDF" w:rsidP="009110ED">
            <w:pPr>
              <w:rPr>
                <w:rFonts w:ascii="Arial" w:hAnsi="Arial" w:cs="Arial"/>
                <w:sz w:val="12"/>
                <w:szCs w:val="12"/>
              </w:rPr>
            </w:pPr>
          </w:p>
        </w:tc>
        <w:tc>
          <w:tcPr>
            <w:tcW w:w="1843" w:type="dxa"/>
            <w:shd w:val="clear" w:color="auto" w:fill="auto"/>
          </w:tcPr>
          <w:p w14:paraId="78967255" w14:textId="77777777" w:rsidR="002A4DDF" w:rsidRPr="00937C8B" w:rsidRDefault="002A4DDF" w:rsidP="009110ED">
            <w:pPr>
              <w:rPr>
                <w:rFonts w:ascii="Arial" w:hAnsi="Arial" w:cs="Arial"/>
                <w:sz w:val="12"/>
                <w:szCs w:val="12"/>
              </w:rPr>
            </w:pPr>
          </w:p>
        </w:tc>
        <w:tc>
          <w:tcPr>
            <w:tcW w:w="2268" w:type="dxa"/>
            <w:shd w:val="clear" w:color="auto" w:fill="F2F2F2"/>
            <w:hideMark/>
          </w:tcPr>
          <w:p w14:paraId="3EAD29C7" w14:textId="77777777" w:rsidR="002A4DDF" w:rsidRPr="00937C8B" w:rsidRDefault="002A4DDF" w:rsidP="009110ED">
            <w:pPr>
              <w:rPr>
                <w:rFonts w:ascii="Arial" w:hAnsi="Arial" w:cs="Arial"/>
                <w:sz w:val="12"/>
                <w:szCs w:val="12"/>
              </w:rPr>
            </w:pPr>
            <w:r>
              <w:rPr>
                <w:rFonts w:ascii="Arial" w:hAnsi="Arial"/>
                <w:sz w:val="12"/>
                <w:szCs w:val="12"/>
              </w:rPr>
              <w:t>Palomas</w:t>
            </w:r>
          </w:p>
        </w:tc>
        <w:tc>
          <w:tcPr>
            <w:tcW w:w="2268" w:type="dxa"/>
            <w:tcBorders>
              <w:right w:val="single" w:sz="4" w:space="0" w:color="auto"/>
            </w:tcBorders>
            <w:shd w:val="clear" w:color="auto" w:fill="D9D9D9"/>
            <w:hideMark/>
          </w:tcPr>
          <w:p w14:paraId="14289DB9" w14:textId="77777777" w:rsidR="002A4DDF" w:rsidRPr="00937C8B" w:rsidRDefault="002A4DDF" w:rsidP="009110ED">
            <w:pPr>
              <w:rPr>
                <w:rFonts w:ascii="Arial" w:hAnsi="Arial" w:cs="Arial"/>
                <w:sz w:val="12"/>
                <w:szCs w:val="12"/>
              </w:rPr>
            </w:pPr>
            <w:r>
              <w:rPr>
                <w:rFonts w:ascii="Arial" w:hAnsi="Arial"/>
                <w:sz w:val="12"/>
                <w:szCs w:val="12"/>
              </w:rPr>
              <w:t>Llera</w:t>
            </w:r>
          </w:p>
        </w:tc>
      </w:tr>
      <w:tr w:rsidR="002A4DDF" w:rsidRPr="00937C8B" w14:paraId="4F8FA89C" w14:textId="77777777" w:rsidTr="00935676">
        <w:trPr>
          <w:cantSplit/>
        </w:trPr>
        <w:tc>
          <w:tcPr>
            <w:tcW w:w="1696" w:type="dxa"/>
            <w:tcBorders>
              <w:left w:val="single" w:sz="4" w:space="0" w:color="auto"/>
            </w:tcBorders>
            <w:shd w:val="clear" w:color="auto" w:fill="auto"/>
          </w:tcPr>
          <w:p w14:paraId="6D681833" w14:textId="77777777" w:rsidR="002A4DDF" w:rsidRPr="00937C8B" w:rsidRDefault="002A4DDF" w:rsidP="009110ED">
            <w:pPr>
              <w:rPr>
                <w:rFonts w:ascii="Arial" w:hAnsi="Arial" w:cs="Arial"/>
                <w:sz w:val="12"/>
                <w:szCs w:val="12"/>
              </w:rPr>
            </w:pPr>
          </w:p>
        </w:tc>
        <w:tc>
          <w:tcPr>
            <w:tcW w:w="1843" w:type="dxa"/>
            <w:shd w:val="clear" w:color="auto" w:fill="auto"/>
          </w:tcPr>
          <w:p w14:paraId="4D754367" w14:textId="77777777" w:rsidR="002A4DDF" w:rsidRPr="00937C8B" w:rsidRDefault="002A4DDF" w:rsidP="009110ED">
            <w:pPr>
              <w:rPr>
                <w:rFonts w:ascii="Arial" w:hAnsi="Arial" w:cs="Arial"/>
                <w:sz w:val="12"/>
                <w:szCs w:val="12"/>
              </w:rPr>
            </w:pPr>
          </w:p>
        </w:tc>
        <w:tc>
          <w:tcPr>
            <w:tcW w:w="2268" w:type="dxa"/>
            <w:shd w:val="clear" w:color="auto" w:fill="F2F2F2"/>
            <w:hideMark/>
          </w:tcPr>
          <w:p w14:paraId="26A7AF65" w14:textId="77777777" w:rsidR="002A4DDF" w:rsidRPr="00937C8B" w:rsidRDefault="002A4DDF" w:rsidP="009110ED">
            <w:pPr>
              <w:rPr>
                <w:rFonts w:ascii="Arial" w:hAnsi="Arial" w:cs="Arial"/>
                <w:sz w:val="12"/>
                <w:szCs w:val="12"/>
              </w:rPr>
            </w:pPr>
            <w:r>
              <w:rPr>
                <w:rFonts w:ascii="Arial" w:hAnsi="Arial"/>
                <w:sz w:val="12"/>
                <w:szCs w:val="12"/>
              </w:rPr>
              <w:t>Puebla de la Calzada</w:t>
            </w:r>
          </w:p>
        </w:tc>
        <w:tc>
          <w:tcPr>
            <w:tcW w:w="2268" w:type="dxa"/>
            <w:tcBorders>
              <w:right w:val="single" w:sz="4" w:space="0" w:color="auto"/>
            </w:tcBorders>
            <w:shd w:val="clear" w:color="auto" w:fill="D9D9D9"/>
            <w:hideMark/>
          </w:tcPr>
          <w:p w14:paraId="0A007B87" w14:textId="77777777" w:rsidR="002A4DDF" w:rsidRPr="00937C8B" w:rsidRDefault="002A4DDF" w:rsidP="009110ED">
            <w:pPr>
              <w:rPr>
                <w:rFonts w:ascii="Arial" w:hAnsi="Arial" w:cs="Arial"/>
                <w:sz w:val="12"/>
                <w:szCs w:val="12"/>
              </w:rPr>
            </w:pPr>
            <w:r>
              <w:rPr>
                <w:rFonts w:ascii="Arial" w:hAnsi="Arial"/>
                <w:sz w:val="12"/>
                <w:szCs w:val="12"/>
              </w:rPr>
              <w:t>Magacela</w:t>
            </w:r>
          </w:p>
        </w:tc>
      </w:tr>
      <w:tr w:rsidR="002A4DDF" w:rsidRPr="00937C8B" w14:paraId="2D83234A" w14:textId="77777777" w:rsidTr="00935676">
        <w:trPr>
          <w:cantSplit/>
        </w:trPr>
        <w:tc>
          <w:tcPr>
            <w:tcW w:w="1696" w:type="dxa"/>
            <w:tcBorders>
              <w:left w:val="single" w:sz="4" w:space="0" w:color="auto"/>
            </w:tcBorders>
            <w:shd w:val="clear" w:color="auto" w:fill="auto"/>
          </w:tcPr>
          <w:p w14:paraId="554435D9" w14:textId="77777777" w:rsidR="002A4DDF" w:rsidRPr="00937C8B" w:rsidRDefault="002A4DDF" w:rsidP="009110ED">
            <w:pPr>
              <w:rPr>
                <w:rFonts w:ascii="Arial" w:hAnsi="Arial" w:cs="Arial"/>
                <w:sz w:val="12"/>
                <w:szCs w:val="12"/>
              </w:rPr>
            </w:pPr>
          </w:p>
        </w:tc>
        <w:tc>
          <w:tcPr>
            <w:tcW w:w="1843" w:type="dxa"/>
            <w:shd w:val="clear" w:color="auto" w:fill="auto"/>
          </w:tcPr>
          <w:p w14:paraId="34D2A31E" w14:textId="77777777" w:rsidR="002A4DDF" w:rsidRPr="00937C8B" w:rsidRDefault="002A4DDF" w:rsidP="009110ED">
            <w:pPr>
              <w:rPr>
                <w:rFonts w:ascii="Arial" w:hAnsi="Arial" w:cs="Arial"/>
                <w:sz w:val="12"/>
                <w:szCs w:val="12"/>
              </w:rPr>
            </w:pPr>
          </w:p>
        </w:tc>
        <w:tc>
          <w:tcPr>
            <w:tcW w:w="2268" w:type="dxa"/>
            <w:shd w:val="clear" w:color="auto" w:fill="F2F2F2"/>
            <w:hideMark/>
          </w:tcPr>
          <w:p w14:paraId="0FC89536" w14:textId="77777777" w:rsidR="002A4DDF" w:rsidRPr="00937C8B" w:rsidRDefault="002A4DDF" w:rsidP="009110ED">
            <w:pPr>
              <w:rPr>
                <w:rFonts w:ascii="Arial" w:hAnsi="Arial" w:cs="Arial"/>
                <w:sz w:val="12"/>
                <w:szCs w:val="12"/>
              </w:rPr>
            </w:pPr>
            <w:r>
              <w:rPr>
                <w:rFonts w:ascii="Arial" w:hAnsi="Arial"/>
                <w:sz w:val="12"/>
                <w:szCs w:val="12"/>
              </w:rPr>
              <w:t>Puebla del Prior</w:t>
            </w:r>
          </w:p>
        </w:tc>
        <w:tc>
          <w:tcPr>
            <w:tcW w:w="2268" w:type="dxa"/>
            <w:tcBorders>
              <w:right w:val="single" w:sz="4" w:space="0" w:color="auto"/>
            </w:tcBorders>
            <w:shd w:val="clear" w:color="auto" w:fill="D9D9D9"/>
            <w:hideMark/>
          </w:tcPr>
          <w:p w14:paraId="1D10EDE5" w14:textId="77777777" w:rsidR="002A4DDF" w:rsidRPr="00937C8B" w:rsidRDefault="002A4DDF" w:rsidP="009110ED">
            <w:pPr>
              <w:rPr>
                <w:rFonts w:ascii="Arial" w:hAnsi="Arial" w:cs="Arial"/>
                <w:sz w:val="12"/>
                <w:szCs w:val="12"/>
              </w:rPr>
            </w:pPr>
            <w:r>
              <w:rPr>
                <w:rFonts w:ascii="Arial" w:hAnsi="Arial"/>
                <w:sz w:val="12"/>
                <w:szCs w:val="12"/>
              </w:rPr>
              <w:t>Medina de las Torres</w:t>
            </w:r>
          </w:p>
        </w:tc>
      </w:tr>
      <w:tr w:rsidR="002A4DDF" w:rsidRPr="00937C8B" w14:paraId="14B79A4D" w14:textId="77777777" w:rsidTr="00935676">
        <w:trPr>
          <w:cantSplit/>
        </w:trPr>
        <w:tc>
          <w:tcPr>
            <w:tcW w:w="1696" w:type="dxa"/>
            <w:tcBorders>
              <w:left w:val="single" w:sz="4" w:space="0" w:color="auto"/>
            </w:tcBorders>
            <w:shd w:val="clear" w:color="auto" w:fill="auto"/>
          </w:tcPr>
          <w:p w14:paraId="1AED9119" w14:textId="77777777" w:rsidR="002A4DDF" w:rsidRPr="00937C8B" w:rsidRDefault="002A4DDF" w:rsidP="009110ED">
            <w:pPr>
              <w:rPr>
                <w:rFonts w:ascii="Arial" w:hAnsi="Arial" w:cs="Arial"/>
                <w:sz w:val="12"/>
                <w:szCs w:val="12"/>
              </w:rPr>
            </w:pPr>
          </w:p>
        </w:tc>
        <w:tc>
          <w:tcPr>
            <w:tcW w:w="1843" w:type="dxa"/>
            <w:shd w:val="clear" w:color="auto" w:fill="auto"/>
          </w:tcPr>
          <w:p w14:paraId="26E41CF0" w14:textId="77777777" w:rsidR="002A4DDF" w:rsidRPr="00937C8B" w:rsidRDefault="002A4DDF" w:rsidP="009110ED">
            <w:pPr>
              <w:rPr>
                <w:rFonts w:ascii="Arial" w:hAnsi="Arial" w:cs="Arial"/>
                <w:sz w:val="12"/>
                <w:szCs w:val="12"/>
              </w:rPr>
            </w:pPr>
          </w:p>
        </w:tc>
        <w:tc>
          <w:tcPr>
            <w:tcW w:w="2268" w:type="dxa"/>
            <w:shd w:val="clear" w:color="auto" w:fill="F2F2F2"/>
            <w:hideMark/>
          </w:tcPr>
          <w:p w14:paraId="1836E726" w14:textId="77777777" w:rsidR="002A4DDF" w:rsidRPr="00937C8B" w:rsidRDefault="002A4DDF" w:rsidP="009110ED">
            <w:pPr>
              <w:rPr>
                <w:rFonts w:ascii="Arial" w:hAnsi="Arial" w:cs="Arial"/>
                <w:sz w:val="12"/>
                <w:szCs w:val="12"/>
              </w:rPr>
            </w:pPr>
            <w:r>
              <w:rPr>
                <w:rFonts w:ascii="Arial" w:hAnsi="Arial"/>
                <w:sz w:val="12"/>
                <w:szCs w:val="12"/>
              </w:rPr>
              <w:t>Pueblonuevo del Guadiana</w:t>
            </w:r>
          </w:p>
        </w:tc>
        <w:tc>
          <w:tcPr>
            <w:tcW w:w="2268" w:type="dxa"/>
            <w:tcBorders>
              <w:right w:val="single" w:sz="4" w:space="0" w:color="auto"/>
            </w:tcBorders>
            <w:shd w:val="clear" w:color="auto" w:fill="D9D9D9"/>
            <w:hideMark/>
          </w:tcPr>
          <w:p w14:paraId="0D4E6CFB" w14:textId="77777777" w:rsidR="002A4DDF" w:rsidRPr="00937C8B" w:rsidRDefault="002A4DDF" w:rsidP="009110ED">
            <w:pPr>
              <w:rPr>
                <w:rFonts w:ascii="Arial" w:hAnsi="Arial" w:cs="Arial"/>
                <w:sz w:val="12"/>
                <w:szCs w:val="12"/>
              </w:rPr>
            </w:pPr>
            <w:r>
              <w:rPr>
                <w:rFonts w:ascii="Arial" w:hAnsi="Arial"/>
                <w:sz w:val="12"/>
                <w:szCs w:val="12"/>
              </w:rPr>
              <w:t>Mérida</w:t>
            </w:r>
          </w:p>
        </w:tc>
      </w:tr>
      <w:tr w:rsidR="002A4DDF" w:rsidRPr="00937C8B" w14:paraId="5326DA6F" w14:textId="77777777" w:rsidTr="00935676">
        <w:trPr>
          <w:cantSplit/>
        </w:trPr>
        <w:tc>
          <w:tcPr>
            <w:tcW w:w="1696" w:type="dxa"/>
            <w:tcBorders>
              <w:left w:val="single" w:sz="4" w:space="0" w:color="auto"/>
            </w:tcBorders>
            <w:shd w:val="clear" w:color="auto" w:fill="auto"/>
          </w:tcPr>
          <w:p w14:paraId="62A72987" w14:textId="77777777" w:rsidR="002A4DDF" w:rsidRPr="00937C8B" w:rsidRDefault="002A4DDF" w:rsidP="009110ED">
            <w:pPr>
              <w:rPr>
                <w:rFonts w:ascii="Arial" w:hAnsi="Arial" w:cs="Arial"/>
                <w:sz w:val="12"/>
                <w:szCs w:val="12"/>
              </w:rPr>
            </w:pPr>
          </w:p>
        </w:tc>
        <w:tc>
          <w:tcPr>
            <w:tcW w:w="1843" w:type="dxa"/>
            <w:shd w:val="clear" w:color="auto" w:fill="auto"/>
          </w:tcPr>
          <w:p w14:paraId="41F10AAB" w14:textId="77777777" w:rsidR="002A4DDF" w:rsidRPr="00937C8B" w:rsidRDefault="002A4DDF" w:rsidP="009110ED">
            <w:pPr>
              <w:rPr>
                <w:rFonts w:ascii="Arial" w:hAnsi="Arial" w:cs="Arial"/>
                <w:sz w:val="12"/>
                <w:szCs w:val="12"/>
              </w:rPr>
            </w:pPr>
          </w:p>
        </w:tc>
        <w:tc>
          <w:tcPr>
            <w:tcW w:w="2268" w:type="dxa"/>
            <w:shd w:val="clear" w:color="auto" w:fill="F2F2F2"/>
            <w:hideMark/>
          </w:tcPr>
          <w:p w14:paraId="573307CE" w14:textId="77777777" w:rsidR="002A4DDF" w:rsidRPr="00937C8B" w:rsidRDefault="002A4DDF" w:rsidP="009110ED">
            <w:pPr>
              <w:rPr>
                <w:rFonts w:ascii="Arial" w:hAnsi="Arial" w:cs="Arial"/>
                <w:sz w:val="12"/>
                <w:szCs w:val="12"/>
              </w:rPr>
            </w:pPr>
            <w:r>
              <w:rPr>
                <w:rFonts w:ascii="Arial" w:hAnsi="Arial"/>
                <w:sz w:val="12"/>
                <w:szCs w:val="12"/>
              </w:rPr>
              <w:t>Segura de León</w:t>
            </w:r>
          </w:p>
        </w:tc>
        <w:tc>
          <w:tcPr>
            <w:tcW w:w="2268" w:type="dxa"/>
            <w:tcBorders>
              <w:right w:val="single" w:sz="4" w:space="0" w:color="auto"/>
            </w:tcBorders>
            <w:shd w:val="clear" w:color="auto" w:fill="D9D9D9"/>
            <w:hideMark/>
          </w:tcPr>
          <w:p w14:paraId="5BBF40D4" w14:textId="77777777" w:rsidR="002A4DDF" w:rsidRPr="00937C8B" w:rsidRDefault="002A4DDF" w:rsidP="009110ED">
            <w:pPr>
              <w:rPr>
                <w:rFonts w:ascii="Arial" w:hAnsi="Arial" w:cs="Arial"/>
                <w:sz w:val="12"/>
                <w:szCs w:val="12"/>
              </w:rPr>
            </w:pPr>
            <w:r>
              <w:rPr>
                <w:rFonts w:ascii="Arial" w:hAnsi="Arial"/>
                <w:sz w:val="12"/>
                <w:szCs w:val="12"/>
              </w:rPr>
              <w:t>Mirandilla</w:t>
            </w:r>
          </w:p>
        </w:tc>
      </w:tr>
      <w:tr w:rsidR="002A4DDF" w:rsidRPr="00937C8B" w14:paraId="484C8E24" w14:textId="77777777" w:rsidTr="00935676">
        <w:trPr>
          <w:cantSplit/>
        </w:trPr>
        <w:tc>
          <w:tcPr>
            <w:tcW w:w="1696" w:type="dxa"/>
            <w:tcBorders>
              <w:left w:val="single" w:sz="4" w:space="0" w:color="auto"/>
            </w:tcBorders>
            <w:shd w:val="clear" w:color="auto" w:fill="auto"/>
          </w:tcPr>
          <w:p w14:paraId="1496B0DD" w14:textId="77777777" w:rsidR="002A4DDF" w:rsidRPr="00937C8B" w:rsidRDefault="002A4DDF" w:rsidP="009110ED">
            <w:pPr>
              <w:rPr>
                <w:rFonts w:ascii="Arial" w:hAnsi="Arial" w:cs="Arial"/>
                <w:sz w:val="12"/>
                <w:szCs w:val="12"/>
              </w:rPr>
            </w:pPr>
          </w:p>
        </w:tc>
        <w:tc>
          <w:tcPr>
            <w:tcW w:w="1843" w:type="dxa"/>
            <w:shd w:val="clear" w:color="auto" w:fill="auto"/>
          </w:tcPr>
          <w:p w14:paraId="740BCE45" w14:textId="77777777" w:rsidR="002A4DDF" w:rsidRPr="00937C8B" w:rsidRDefault="002A4DDF" w:rsidP="009110ED">
            <w:pPr>
              <w:rPr>
                <w:rFonts w:ascii="Arial" w:hAnsi="Arial" w:cs="Arial"/>
                <w:sz w:val="12"/>
                <w:szCs w:val="12"/>
              </w:rPr>
            </w:pPr>
          </w:p>
        </w:tc>
        <w:tc>
          <w:tcPr>
            <w:tcW w:w="2268" w:type="dxa"/>
            <w:shd w:val="clear" w:color="auto" w:fill="F2F2F2"/>
            <w:hideMark/>
          </w:tcPr>
          <w:p w14:paraId="03F531EB" w14:textId="77777777" w:rsidR="002A4DDF" w:rsidRPr="00937C8B" w:rsidRDefault="002A4DDF" w:rsidP="009110ED">
            <w:pPr>
              <w:rPr>
                <w:rFonts w:ascii="Arial" w:hAnsi="Arial" w:cs="Arial"/>
                <w:sz w:val="12"/>
                <w:szCs w:val="12"/>
              </w:rPr>
            </w:pPr>
            <w:r>
              <w:rPr>
                <w:rFonts w:ascii="Arial" w:hAnsi="Arial"/>
                <w:sz w:val="12"/>
                <w:szCs w:val="12"/>
              </w:rPr>
              <w:t>Solana de los Barros</w:t>
            </w:r>
          </w:p>
        </w:tc>
        <w:tc>
          <w:tcPr>
            <w:tcW w:w="2268" w:type="dxa"/>
            <w:tcBorders>
              <w:right w:val="single" w:sz="4" w:space="0" w:color="auto"/>
            </w:tcBorders>
            <w:shd w:val="clear" w:color="auto" w:fill="D9D9D9"/>
            <w:hideMark/>
          </w:tcPr>
          <w:p w14:paraId="7088B9CB" w14:textId="77777777" w:rsidR="002A4DDF" w:rsidRPr="00937C8B" w:rsidRDefault="002A4DDF" w:rsidP="009110ED">
            <w:pPr>
              <w:rPr>
                <w:rFonts w:ascii="Arial" w:hAnsi="Arial" w:cs="Arial"/>
                <w:sz w:val="12"/>
                <w:szCs w:val="12"/>
              </w:rPr>
            </w:pPr>
            <w:r>
              <w:rPr>
                <w:rFonts w:ascii="Arial" w:hAnsi="Arial"/>
                <w:sz w:val="12"/>
                <w:szCs w:val="12"/>
              </w:rPr>
              <w:t>Monesterio</w:t>
            </w:r>
          </w:p>
        </w:tc>
      </w:tr>
      <w:tr w:rsidR="002A4DDF" w:rsidRPr="00937C8B" w14:paraId="2E65D074" w14:textId="77777777" w:rsidTr="00935676">
        <w:trPr>
          <w:cantSplit/>
        </w:trPr>
        <w:tc>
          <w:tcPr>
            <w:tcW w:w="1696" w:type="dxa"/>
            <w:tcBorders>
              <w:left w:val="single" w:sz="4" w:space="0" w:color="auto"/>
            </w:tcBorders>
            <w:shd w:val="clear" w:color="auto" w:fill="auto"/>
          </w:tcPr>
          <w:p w14:paraId="3BF5DC69" w14:textId="77777777" w:rsidR="002A4DDF" w:rsidRPr="00937C8B" w:rsidRDefault="002A4DDF" w:rsidP="009110ED">
            <w:pPr>
              <w:rPr>
                <w:rFonts w:ascii="Arial" w:hAnsi="Arial" w:cs="Arial"/>
                <w:sz w:val="12"/>
                <w:szCs w:val="12"/>
              </w:rPr>
            </w:pPr>
          </w:p>
        </w:tc>
        <w:tc>
          <w:tcPr>
            <w:tcW w:w="1843" w:type="dxa"/>
            <w:shd w:val="clear" w:color="auto" w:fill="auto"/>
          </w:tcPr>
          <w:p w14:paraId="6215801C" w14:textId="77777777" w:rsidR="002A4DDF" w:rsidRPr="00937C8B" w:rsidRDefault="002A4DDF" w:rsidP="009110ED">
            <w:pPr>
              <w:rPr>
                <w:rFonts w:ascii="Arial" w:hAnsi="Arial" w:cs="Arial"/>
                <w:sz w:val="12"/>
                <w:szCs w:val="12"/>
              </w:rPr>
            </w:pPr>
          </w:p>
        </w:tc>
        <w:tc>
          <w:tcPr>
            <w:tcW w:w="2268" w:type="dxa"/>
            <w:shd w:val="clear" w:color="auto" w:fill="F2F2F2"/>
            <w:hideMark/>
          </w:tcPr>
          <w:p w14:paraId="6DE09573" w14:textId="77777777" w:rsidR="002A4DDF" w:rsidRPr="00937C8B" w:rsidRDefault="002A4DDF" w:rsidP="009110ED">
            <w:pPr>
              <w:rPr>
                <w:rFonts w:ascii="Arial" w:hAnsi="Arial" w:cs="Arial"/>
                <w:sz w:val="12"/>
                <w:szCs w:val="12"/>
              </w:rPr>
            </w:pPr>
            <w:r>
              <w:rPr>
                <w:rFonts w:ascii="Arial" w:hAnsi="Arial"/>
                <w:sz w:val="12"/>
                <w:szCs w:val="12"/>
              </w:rPr>
              <w:t>Talavera la Real</w:t>
            </w:r>
          </w:p>
        </w:tc>
        <w:tc>
          <w:tcPr>
            <w:tcW w:w="2268" w:type="dxa"/>
            <w:tcBorders>
              <w:right w:val="single" w:sz="4" w:space="0" w:color="auto"/>
            </w:tcBorders>
            <w:shd w:val="clear" w:color="auto" w:fill="D9D9D9"/>
            <w:hideMark/>
          </w:tcPr>
          <w:p w14:paraId="5BD25077" w14:textId="77777777" w:rsidR="002A4DDF" w:rsidRPr="00937C8B" w:rsidRDefault="002A4DDF" w:rsidP="009110ED">
            <w:pPr>
              <w:rPr>
                <w:rFonts w:ascii="Arial" w:hAnsi="Arial" w:cs="Arial"/>
                <w:sz w:val="12"/>
                <w:szCs w:val="12"/>
              </w:rPr>
            </w:pPr>
            <w:r>
              <w:rPr>
                <w:rFonts w:ascii="Arial" w:hAnsi="Arial"/>
                <w:sz w:val="12"/>
                <w:szCs w:val="12"/>
              </w:rPr>
              <w:t>Montemolín</w:t>
            </w:r>
          </w:p>
        </w:tc>
      </w:tr>
      <w:tr w:rsidR="002A4DDF" w:rsidRPr="00937C8B" w14:paraId="16C7B2F7" w14:textId="77777777" w:rsidTr="00935676">
        <w:trPr>
          <w:cantSplit/>
        </w:trPr>
        <w:tc>
          <w:tcPr>
            <w:tcW w:w="1696" w:type="dxa"/>
            <w:tcBorders>
              <w:left w:val="single" w:sz="4" w:space="0" w:color="auto"/>
            </w:tcBorders>
            <w:shd w:val="clear" w:color="auto" w:fill="auto"/>
          </w:tcPr>
          <w:p w14:paraId="12FAC936" w14:textId="77777777" w:rsidR="002A4DDF" w:rsidRPr="00937C8B" w:rsidRDefault="002A4DDF" w:rsidP="009110ED">
            <w:pPr>
              <w:rPr>
                <w:rFonts w:ascii="Arial" w:hAnsi="Arial" w:cs="Arial"/>
                <w:sz w:val="12"/>
                <w:szCs w:val="12"/>
              </w:rPr>
            </w:pPr>
          </w:p>
        </w:tc>
        <w:tc>
          <w:tcPr>
            <w:tcW w:w="1843" w:type="dxa"/>
            <w:shd w:val="clear" w:color="auto" w:fill="auto"/>
          </w:tcPr>
          <w:p w14:paraId="3A05D2A4" w14:textId="77777777" w:rsidR="002A4DDF" w:rsidRPr="00937C8B" w:rsidRDefault="002A4DDF" w:rsidP="009110ED">
            <w:pPr>
              <w:rPr>
                <w:rFonts w:ascii="Arial" w:hAnsi="Arial" w:cs="Arial"/>
                <w:sz w:val="12"/>
                <w:szCs w:val="12"/>
              </w:rPr>
            </w:pPr>
          </w:p>
        </w:tc>
        <w:tc>
          <w:tcPr>
            <w:tcW w:w="2268" w:type="dxa"/>
            <w:shd w:val="clear" w:color="auto" w:fill="F2F2F2"/>
            <w:hideMark/>
          </w:tcPr>
          <w:p w14:paraId="0C6EB5FF" w14:textId="77777777" w:rsidR="002A4DDF" w:rsidRPr="00937C8B" w:rsidRDefault="002A4DDF" w:rsidP="009110ED">
            <w:pPr>
              <w:rPr>
                <w:rFonts w:ascii="Arial" w:hAnsi="Arial" w:cs="Arial"/>
                <w:sz w:val="12"/>
                <w:szCs w:val="12"/>
              </w:rPr>
            </w:pPr>
            <w:r>
              <w:rPr>
                <w:rFonts w:ascii="Arial" w:hAnsi="Arial"/>
                <w:sz w:val="12"/>
                <w:szCs w:val="12"/>
              </w:rPr>
              <w:t>Torremayor</w:t>
            </w:r>
          </w:p>
        </w:tc>
        <w:tc>
          <w:tcPr>
            <w:tcW w:w="2268" w:type="dxa"/>
            <w:tcBorders>
              <w:right w:val="single" w:sz="4" w:space="0" w:color="auto"/>
            </w:tcBorders>
            <w:shd w:val="clear" w:color="auto" w:fill="D9D9D9"/>
            <w:hideMark/>
          </w:tcPr>
          <w:p w14:paraId="0E48B801" w14:textId="77777777" w:rsidR="002A4DDF" w:rsidRPr="00937C8B" w:rsidRDefault="002A4DDF" w:rsidP="009110ED">
            <w:pPr>
              <w:rPr>
                <w:rFonts w:ascii="Arial" w:hAnsi="Arial" w:cs="Arial"/>
                <w:sz w:val="12"/>
                <w:szCs w:val="12"/>
              </w:rPr>
            </w:pPr>
            <w:r>
              <w:rPr>
                <w:rFonts w:ascii="Arial" w:hAnsi="Arial"/>
                <w:sz w:val="12"/>
                <w:szCs w:val="12"/>
              </w:rPr>
              <w:t>Monterrubio de la Serena</w:t>
            </w:r>
          </w:p>
        </w:tc>
      </w:tr>
      <w:tr w:rsidR="002A4DDF" w:rsidRPr="00937C8B" w14:paraId="4FF84884" w14:textId="77777777" w:rsidTr="00935676">
        <w:trPr>
          <w:cantSplit/>
        </w:trPr>
        <w:tc>
          <w:tcPr>
            <w:tcW w:w="1696" w:type="dxa"/>
            <w:tcBorders>
              <w:left w:val="single" w:sz="4" w:space="0" w:color="auto"/>
            </w:tcBorders>
            <w:shd w:val="clear" w:color="auto" w:fill="auto"/>
          </w:tcPr>
          <w:p w14:paraId="062974D7" w14:textId="77777777" w:rsidR="002A4DDF" w:rsidRPr="00937C8B" w:rsidRDefault="002A4DDF" w:rsidP="009110ED">
            <w:pPr>
              <w:rPr>
                <w:rFonts w:ascii="Arial" w:hAnsi="Arial" w:cs="Arial"/>
                <w:sz w:val="12"/>
                <w:szCs w:val="12"/>
              </w:rPr>
            </w:pPr>
          </w:p>
        </w:tc>
        <w:tc>
          <w:tcPr>
            <w:tcW w:w="1843" w:type="dxa"/>
            <w:shd w:val="clear" w:color="auto" w:fill="auto"/>
          </w:tcPr>
          <w:p w14:paraId="7F741E0A" w14:textId="77777777" w:rsidR="002A4DDF" w:rsidRPr="00937C8B" w:rsidRDefault="002A4DDF" w:rsidP="009110ED">
            <w:pPr>
              <w:rPr>
                <w:rFonts w:ascii="Arial" w:hAnsi="Arial" w:cs="Arial"/>
                <w:sz w:val="12"/>
                <w:szCs w:val="12"/>
              </w:rPr>
            </w:pPr>
          </w:p>
        </w:tc>
        <w:tc>
          <w:tcPr>
            <w:tcW w:w="2268" w:type="dxa"/>
            <w:shd w:val="clear" w:color="auto" w:fill="F2F2F2"/>
            <w:hideMark/>
          </w:tcPr>
          <w:p w14:paraId="24B15FD8" w14:textId="77777777" w:rsidR="002A4DDF" w:rsidRPr="00937C8B" w:rsidRDefault="002A4DDF" w:rsidP="009110ED">
            <w:pPr>
              <w:rPr>
                <w:rFonts w:ascii="Arial" w:hAnsi="Arial" w:cs="Arial"/>
                <w:sz w:val="12"/>
                <w:szCs w:val="12"/>
              </w:rPr>
            </w:pPr>
            <w:r>
              <w:rPr>
                <w:rFonts w:ascii="Arial" w:hAnsi="Arial"/>
                <w:sz w:val="12"/>
                <w:szCs w:val="12"/>
              </w:rPr>
              <w:t>Torremejía</w:t>
            </w:r>
          </w:p>
        </w:tc>
        <w:tc>
          <w:tcPr>
            <w:tcW w:w="2268" w:type="dxa"/>
            <w:tcBorders>
              <w:right w:val="single" w:sz="4" w:space="0" w:color="auto"/>
            </w:tcBorders>
            <w:shd w:val="clear" w:color="auto" w:fill="D9D9D9"/>
            <w:hideMark/>
          </w:tcPr>
          <w:p w14:paraId="43B69ED6" w14:textId="77777777" w:rsidR="002A4DDF" w:rsidRPr="00937C8B" w:rsidRDefault="002A4DDF" w:rsidP="009110ED">
            <w:pPr>
              <w:rPr>
                <w:rFonts w:ascii="Arial" w:hAnsi="Arial" w:cs="Arial"/>
                <w:sz w:val="12"/>
                <w:szCs w:val="12"/>
              </w:rPr>
            </w:pPr>
            <w:r>
              <w:rPr>
                <w:rFonts w:ascii="Arial" w:hAnsi="Arial"/>
                <w:sz w:val="12"/>
                <w:szCs w:val="12"/>
              </w:rPr>
              <w:t>Navalvillar de Pela</w:t>
            </w:r>
          </w:p>
        </w:tc>
      </w:tr>
      <w:tr w:rsidR="002A4DDF" w:rsidRPr="00937C8B" w14:paraId="558BC090" w14:textId="77777777" w:rsidTr="00935676">
        <w:trPr>
          <w:cantSplit/>
        </w:trPr>
        <w:tc>
          <w:tcPr>
            <w:tcW w:w="1696" w:type="dxa"/>
            <w:tcBorders>
              <w:left w:val="single" w:sz="4" w:space="0" w:color="auto"/>
            </w:tcBorders>
            <w:shd w:val="clear" w:color="auto" w:fill="auto"/>
          </w:tcPr>
          <w:p w14:paraId="0302C274" w14:textId="77777777" w:rsidR="002A4DDF" w:rsidRPr="00937C8B" w:rsidRDefault="002A4DDF" w:rsidP="009110ED">
            <w:pPr>
              <w:rPr>
                <w:rFonts w:ascii="Arial" w:hAnsi="Arial" w:cs="Arial"/>
                <w:sz w:val="12"/>
                <w:szCs w:val="12"/>
              </w:rPr>
            </w:pPr>
          </w:p>
        </w:tc>
        <w:tc>
          <w:tcPr>
            <w:tcW w:w="1843" w:type="dxa"/>
            <w:shd w:val="clear" w:color="auto" w:fill="auto"/>
          </w:tcPr>
          <w:p w14:paraId="1BEA8F18" w14:textId="77777777" w:rsidR="002A4DDF" w:rsidRPr="00937C8B" w:rsidRDefault="002A4DDF" w:rsidP="009110ED">
            <w:pPr>
              <w:rPr>
                <w:rFonts w:ascii="Arial" w:hAnsi="Arial" w:cs="Arial"/>
                <w:sz w:val="12"/>
                <w:szCs w:val="12"/>
              </w:rPr>
            </w:pPr>
          </w:p>
        </w:tc>
        <w:tc>
          <w:tcPr>
            <w:tcW w:w="2268" w:type="dxa"/>
            <w:shd w:val="clear" w:color="auto" w:fill="F2F2F2"/>
          </w:tcPr>
          <w:p w14:paraId="108052FB" w14:textId="77777777" w:rsidR="002A4DDF" w:rsidRPr="00937C8B" w:rsidRDefault="002A4DDF" w:rsidP="009110ED">
            <w:pPr>
              <w:rPr>
                <w:rFonts w:ascii="Arial" w:hAnsi="Arial" w:cs="Arial"/>
                <w:sz w:val="12"/>
                <w:szCs w:val="12"/>
              </w:rPr>
            </w:pPr>
            <w:r>
              <w:rPr>
                <w:rFonts w:ascii="Arial" w:hAnsi="Arial"/>
                <w:sz w:val="12"/>
                <w:szCs w:val="12"/>
              </w:rPr>
              <w:t>Trujillanos</w:t>
            </w:r>
          </w:p>
        </w:tc>
        <w:tc>
          <w:tcPr>
            <w:tcW w:w="2268" w:type="dxa"/>
            <w:tcBorders>
              <w:right w:val="single" w:sz="4" w:space="0" w:color="auto"/>
            </w:tcBorders>
            <w:shd w:val="clear" w:color="auto" w:fill="D9D9D9"/>
          </w:tcPr>
          <w:p w14:paraId="25FC27B3" w14:textId="77777777" w:rsidR="002A4DDF" w:rsidRPr="00937C8B" w:rsidRDefault="002A4DDF" w:rsidP="009110ED">
            <w:pPr>
              <w:rPr>
                <w:rFonts w:ascii="Arial" w:hAnsi="Arial" w:cs="Arial"/>
                <w:sz w:val="12"/>
                <w:szCs w:val="12"/>
              </w:rPr>
            </w:pPr>
            <w:r>
              <w:rPr>
                <w:rFonts w:ascii="Arial" w:hAnsi="Arial"/>
                <w:sz w:val="12"/>
                <w:szCs w:val="12"/>
              </w:rPr>
              <w:t>Nogales</w:t>
            </w:r>
          </w:p>
        </w:tc>
      </w:tr>
      <w:tr w:rsidR="002A4DDF" w:rsidRPr="00937C8B" w14:paraId="418F6168" w14:textId="77777777" w:rsidTr="00935676">
        <w:trPr>
          <w:cantSplit/>
        </w:trPr>
        <w:tc>
          <w:tcPr>
            <w:tcW w:w="1696" w:type="dxa"/>
            <w:tcBorders>
              <w:left w:val="single" w:sz="4" w:space="0" w:color="auto"/>
            </w:tcBorders>
            <w:shd w:val="clear" w:color="auto" w:fill="auto"/>
          </w:tcPr>
          <w:p w14:paraId="6D67398A" w14:textId="77777777" w:rsidR="002A4DDF" w:rsidRPr="00937C8B" w:rsidRDefault="002A4DDF" w:rsidP="009110ED">
            <w:pPr>
              <w:rPr>
                <w:rFonts w:ascii="Arial" w:hAnsi="Arial" w:cs="Arial"/>
                <w:sz w:val="12"/>
                <w:szCs w:val="12"/>
              </w:rPr>
            </w:pPr>
          </w:p>
        </w:tc>
        <w:tc>
          <w:tcPr>
            <w:tcW w:w="1843" w:type="dxa"/>
            <w:shd w:val="clear" w:color="auto" w:fill="auto"/>
          </w:tcPr>
          <w:p w14:paraId="2C174C2F" w14:textId="77777777" w:rsidR="002A4DDF" w:rsidRPr="00937C8B" w:rsidRDefault="002A4DDF" w:rsidP="009110ED">
            <w:pPr>
              <w:rPr>
                <w:rFonts w:ascii="Arial" w:hAnsi="Arial" w:cs="Arial"/>
                <w:sz w:val="12"/>
                <w:szCs w:val="12"/>
              </w:rPr>
            </w:pPr>
          </w:p>
        </w:tc>
        <w:tc>
          <w:tcPr>
            <w:tcW w:w="2268" w:type="dxa"/>
            <w:shd w:val="clear" w:color="auto" w:fill="F2F2F2"/>
            <w:hideMark/>
          </w:tcPr>
          <w:p w14:paraId="14D27407" w14:textId="77777777" w:rsidR="002A4DDF" w:rsidRPr="00937C8B" w:rsidRDefault="002A4DDF" w:rsidP="009110ED">
            <w:pPr>
              <w:rPr>
                <w:rFonts w:ascii="Arial" w:hAnsi="Arial" w:cs="Arial"/>
                <w:sz w:val="12"/>
                <w:szCs w:val="12"/>
              </w:rPr>
            </w:pPr>
            <w:r>
              <w:rPr>
                <w:rFonts w:ascii="Arial" w:hAnsi="Arial"/>
                <w:sz w:val="12"/>
                <w:szCs w:val="12"/>
              </w:rPr>
              <w:t>Valdelacalzada</w:t>
            </w:r>
          </w:p>
        </w:tc>
        <w:tc>
          <w:tcPr>
            <w:tcW w:w="2268" w:type="dxa"/>
            <w:tcBorders>
              <w:right w:val="single" w:sz="4" w:space="0" w:color="auto"/>
            </w:tcBorders>
            <w:shd w:val="clear" w:color="auto" w:fill="D9D9D9"/>
            <w:hideMark/>
          </w:tcPr>
          <w:p w14:paraId="68B9F8EC" w14:textId="77777777" w:rsidR="002A4DDF" w:rsidRPr="00937C8B" w:rsidRDefault="002A4DDF" w:rsidP="009110ED">
            <w:pPr>
              <w:rPr>
                <w:rFonts w:ascii="Arial" w:hAnsi="Arial" w:cs="Arial"/>
                <w:sz w:val="12"/>
                <w:szCs w:val="12"/>
              </w:rPr>
            </w:pPr>
            <w:r>
              <w:rPr>
                <w:rFonts w:ascii="Arial" w:hAnsi="Arial"/>
                <w:sz w:val="12"/>
                <w:szCs w:val="12"/>
              </w:rPr>
              <w:t>Olivenza</w:t>
            </w:r>
          </w:p>
        </w:tc>
      </w:tr>
      <w:tr w:rsidR="002A4DDF" w:rsidRPr="00937C8B" w14:paraId="0574C7D5" w14:textId="77777777" w:rsidTr="00935676">
        <w:trPr>
          <w:cantSplit/>
        </w:trPr>
        <w:tc>
          <w:tcPr>
            <w:tcW w:w="1696" w:type="dxa"/>
            <w:tcBorders>
              <w:left w:val="single" w:sz="4" w:space="0" w:color="auto"/>
            </w:tcBorders>
            <w:shd w:val="clear" w:color="auto" w:fill="auto"/>
          </w:tcPr>
          <w:p w14:paraId="3498AD4C" w14:textId="77777777" w:rsidR="002A4DDF" w:rsidRPr="00937C8B" w:rsidRDefault="002A4DDF" w:rsidP="009110ED">
            <w:pPr>
              <w:rPr>
                <w:rFonts w:ascii="Arial" w:hAnsi="Arial" w:cs="Arial"/>
                <w:sz w:val="12"/>
                <w:szCs w:val="12"/>
              </w:rPr>
            </w:pPr>
          </w:p>
        </w:tc>
        <w:tc>
          <w:tcPr>
            <w:tcW w:w="1843" w:type="dxa"/>
            <w:shd w:val="clear" w:color="auto" w:fill="auto"/>
          </w:tcPr>
          <w:p w14:paraId="603D0045" w14:textId="77777777" w:rsidR="002A4DDF" w:rsidRPr="00937C8B" w:rsidRDefault="002A4DDF" w:rsidP="009110ED">
            <w:pPr>
              <w:rPr>
                <w:rFonts w:ascii="Arial" w:hAnsi="Arial" w:cs="Arial"/>
                <w:sz w:val="12"/>
                <w:szCs w:val="12"/>
              </w:rPr>
            </w:pPr>
          </w:p>
        </w:tc>
        <w:tc>
          <w:tcPr>
            <w:tcW w:w="2268" w:type="dxa"/>
            <w:shd w:val="clear" w:color="auto" w:fill="F2F2F2"/>
            <w:hideMark/>
          </w:tcPr>
          <w:p w14:paraId="1F4031BB" w14:textId="77777777" w:rsidR="002A4DDF" w:rsidRPr="00937C8B" w:rsidRDefault="002A4DDF" w:rsidP="009110ED">
            <w:pPr>
              <w:rPr>
                <w:rFonts w:ascii="Arial" w:hAnsi="Arial" w:cs="Arial"/>
                <w:sz w:val="12"/>
                <w:szCs w:val="12"/>
              </w:rPr>
            </w:pPr>
            <w:r>
              <w:rPr>
                <w:rFonts w:ascii="Arial" w:hAnsi="Arial"/>
                <w:sz w:val="12"/>
                <w:szCs w:val="12"/>
              </w:rPr>
              <w:t>Valencia del Mombuey</w:t>
            </w:r>
          </w:p>
        </w:tc>
        <w:tc>
          <w:tcPr>
            <w:tcW w:w="2268" w:type="dxa"/>
            <w:tcBorders>
              <w:right w:val="single" w:sz="4" w:space="0" w:color="auto"/>
            </w:tcBorders>
            <w:shd w:val="clear" w:color="auto" w:fill="D9D9D9"/>
            <w:hideMark/>
          </w:tcPr>
          <w:p w14:paraId="7CC0A487" w14:textId="77777777" w:rsidR="002A4DDF" w:rsidRPr="00937C8B" w:rsidRDefault="002A4DDF" w:rsidP="009110ED">
            <w:pPr>
              <w:rPr>
                <w:rFonts w:ascii="Arial" w:hAnsi="Arial" w:cs="Arial"/>
                <w:sz w:val="12"/>
                <w:szCs w:val="12"/>
              </w:rPr>
            </w:pPr>
            <w:r>
              <w:rPr>
                <w:rFonts w:ascii="Arial" w:hAnsi="Arial"/>
                <w:sz w:val="12"/>
                <w:szCs w:val="12"/>
              </w:rPr>
              <w:t>Orellana de la Sierra</w:t>
            </w:r>
          </w:p>
        </w:tc>
      </w:tr>
      <w:tr w:rsidR="002A4DDF" w:rsidRPr="00937C8B" w14:paraId="6B850A5F" w14:textId="77777777" w:rsidTr="00935676">
        <w:trPr>
          <w:cantSplit/>
        </w:trPr>
        <w:tc>
          <w:tcPr>
            <w:tcW w:w="1696" w:type="dxa"/>
            <w:tcBorders>
              <w:left w:val="single" w:sz="4" w:space="0" w:color="auto"/>
            </w:tcBorders>
            <w:shd w:val="clear" w:color="auto" w:fill="auto"/>
          </w:tcPr>
          <w:p w14:paraId="6C22E25C" w14:textId="77777777" w:rsidR="002A4DDF" w:rsidRPr="00937C8B" w:rsidRDefault="002A4DDF" w:rsidP="009110ED">
            <w:pPr>
              <w:rPr>
                <w:rFonts w:ascii="Arial" w:hAnsi="Arial" w:cs="Arial"/>
                <w:sz w:val="12"/>
                <w:szCs w:val="12"/>
              </w:rPr>
            </w:pPr>
          </w:p>
        </w:tc>
        <w:tc>
          <w:tcPr>
            <w:tcW w:w="1843" w:type="dxa"/>
            <w:shd w:val="clear" w:color="auto" w:fill="auto"/>
          </w:tcPr>
          <w:p w14:paraId="1152D52B" w14:textId="77777777" w:rsidR="002A4DDF" w:rsidRPr="00937C8B" w:rsidRDefault="002A4DDF" w:rsidP="009110ED">
            <w:pPr>
              <w:rPr>
                <w:rFonts w:ascii="Arial" w:hAnsi="Arial" w:cs="Arial"/>
                <w:sz w:val="12"/>
                <w:szCs w:val="12"/>
              </w:rPr>
            </w:pPr>
          </w:p>
        </w:tc>
        <w:tc>
          <w:tcPr>
            <w:tcW w:w="2268" w:type="dxa"/>
            <w:shd w:val="clear" w:color="auto" w:fill="F2F2F2"/>
            <w:hideMark/>
          </w:tcPr>
          <w:p w14:paraId="31C87BE8" w14:textId="77777777" w:rsidR="002A4DDF" w:rsidRPr="00937C8B" w:rsidRDefault="002A4DDF" w:rsidP="009110ED">
            <w:pPr>
              <w:rPr>
                <w:rFonts w:ascii="Arial" w:hAnsi="Arial" w:cs="Arial"/>
                <w:sz w:val="12"/>
                <w:szCs w:val="12"/>
              </w:rPr>
            </w:pPr>
            <w:r>
              <w:rPr>
                <w:rFonts w:ascii="Arial" w:hAnsi="Arial"/>
                <w:sz w:val="12"/>
                <w:szCs w:val="12"/>
              </w:rPr>
              <w:t>Valencia del Ventoso</w:t>
            </w:r>
          </w:p>
        </w:tc>
        <w:tc>
          <w:tcPr>
            <w:tcW w:w="2268" w:type="dxa"/>
            <w:tcBorders>
              <w:right w:val="single" w:sz="4" w:space="0" w:color="auto"/>
            </w:tcBorders>
            <w:shd w:val="clear" w:color="auto" w:fill="D9D9D9"/>
            <w:hideMark/>
          </w:tcPr>
          <w:p w14:paraId="73465057" w14:textId="77777777" w:rsidR="002A4DDF" w:rsidRPr="00937C8B" w:rsidRDefault="002A4DDF" w:rsidP="009110ED">
            <w:pPr>
              <w:rPr>
                <w:rFonts w:ascii="Arial" w:hAnsi="Arial" w:cs="Arial"/>
                <w:sz w:val="12"/>
                <w:szCs w:val="12"/>
              </w:rPr>
            </w:pPr>
            <w:r>
              <w:rPr>
                <w:rFonts w:ascii="Arial" w:hAnsi="Arial"/>
                <w:sz w:val="12"/>
                <w:szCs w:val="12"/>
              </w:rPr>
              <w:t>Orellana la Vieja</w:t>
            </w:r>
          </w:p>
        </w:tc>
      </w:tr>
      <w:tr w:rsidR="002A4DDF" w:rsidRPr="00937C8B" w14:paraId="07DE2E7D" w14:textId="77777777" w:rsidTr="00935676">
        <w:trPr>
          <w:cantSplit/>
        </w:trPr>
        <w:tc>
          <w:tcPr>
            <w:tcW w:w="1696" w:type="dxa"/>
            <w:tcBorders>
              <w:left w:val="single" w:sz="4" w:space="0" w:color="auto"/>
            </w:tcBorders>
            <w:shd w:val="clear" w:color="auto" w:fill="auto"/>
          </w:tcPr>
          <w:p w14:paraId="69EBC696" w14:textId="77777777" w:rsidR="002A4DDF" w:rsidRPr="00937C8B" w:rsidRDefault="002A4DDF" w:rsidP="009110ED">
            <w:pPr>
              <w:rPr>
                <w:rFonts w:ascii="Arial" w:hAnsi="Arial" w:cs="Arial"/>
                <w:sz w:val="12"/>
                <w:szCs w:val="12"/>
              </w:rPr>
            </w:pPr>
          </w:p>
        </w:tc>
        <w:tc>
          <w:tcPr>
            <w:tcW w:w="1843" w:type="dxa"/>
            <w:shd w:val="clear" w:color="auto" w:fill="auto"/>
          </w:tcPr>
          <w:p w14:paraId="152E4DE0" w14:textId="77777777" w:rsidR="002A4DDF" w:rsidRPr="00937C8B" w:rsidRDefault="002A4DDF" w:rsidP="009110ED">
            <w:pPr>
              <w:rPr>
                <w:rFonts w:ascii="Arial" w:hAnsi="Arial" w:cs="Arial"/>
                <w:sz w:val="12"/>
                <w:szCs w:val="12"/>
              </w:rPr>
            </w:pPr>
          </w:p>
        </w:tc>
        <w:tc>
          <w:tcPr>
            <w:tcW w:w="2268" w:type="dxa"/>
            <w:shd w:val="clear" w:color="auto" w:fill="F2F2F2"/>
            <w:hideMark/>
          </w:tcPr>
          <w:p w14:paraId="2C6E34A3" w14:textId="77777777" w:rsidR="002A4DDF" w:rsidRPr="00937C8B" w:rsidRDefault="002A4DDF" w:rsidP="009110ED">
            <w:pPr>
              <w:rPr>
                <w:rFonts w:ascii="Arial" w:hAnsi="Arial" w:cs="Arial"/>
                <w:sz w:val="12"/>
                <w:szCs w:val="12"/>
              </w:rPr>
            </w:pPr>
            <w:r>
              <w:rPr>
                <w:rFonts w:ascii="Arial" w:hAnsi="Arial"/>
                <w:sz w:val="12"/>
                <w:szCs w:val="12"/>
              </w:rPr>
              <w:t>Valle de la Serena</w:t>
            </w:r>
          </w:p>
        </w:tc>
        <w:tc>
          <w:tcPr>
            <w:tcW w:w="2268" w:type="dxa"/>
            <w:tcBorders>
              <w:right w:val="single" w:sz="4" w:space="0" w:color="auto"/>
            </w:tcBorders>
            <w:shd w:val="clear" w:color="auto" w:fill="D9D9D9"/>
            <w:hideMark/>
          </w:tcPr>
          <w:p w14:paraId="1AE615C7" w14:textId="77777777" w:rsidR="002A4DDF" w:rsidRPr="00937C8B" w:rsidRDefault="002A4DDF" w:rsidP="009110ED">
            <w:pPr>
              <w:rPr>
                <w:rFonts w:ascii="Arial" w:hAnsi="Arial" w:cs="Arial"/>
                <w:sz w:val="12"/>
                <w:szCs w:val="12"/>
              </w:rPr>
            </w:pPr>
            <w:r>
              <w:rPr>
                <w:rFonts w:ascii="Arial" w:hAnsi="Arial"/>
                <w:sz w:val="12"/>
                <w:szCs w:val="12"/>
              </w:rPr>
              <w:t>Peñalsordo</w:t>
            </w:r>
          </w:p>
        </w:tc>
      </w:tr>
      <w:tr w:rsidR="002A4DDF" w:rsidRPr="00937C8B" w14:paraId="4A8970BF" w14:textId="77777777" w:rsidTr="00935676">
        <w:trPr>
          <w:cantSplit/>
        </w:trPr>
        <w:tc>
          <w:tcPr>
            <w:tcW w:w="1696" w:type="dxa"/>
            <w:tcBorders>
              <w:left w:val="single" w:sz="4" w:space="0" w:color="auto"/>
            </w:tcBorders>
            <w:shd w:val="clear" w:color="auto" w:fill="auto"/>
          </w:tcPr>
          <w:p w14:paraId="71AA37EA" w14:textId="77777777" w:rsidR="002A4DDF" w:rsidRPr="00937C8B" w:rsidRDefault="002A4DDF" w:rsidP="009110ED">
            <w:pPr>
              <w:rPr>
                <w:rFonts w:ascii="Arial" w:hAnsi="Arial" w:cs="Arial"/>
                <w:sz w:val="12"/>
                <w:szCs w:val="12"/>
              </w:rPr>
            </w:pPr>
          </w:p>
        </w:tc>
        <w:tc>
          <w:tcPr>
            <w:tcW w:w="1843" w:type="dxa"/>
            <w:shd w:val="clear" w:color="auto" w:fill="auto"/>
          </w:tcPr>
          <w:p w14:paraId="2A30094A" w14:textId="77777777" w:rsidR="002A4DDF" w:rsidRPr="00937C8B" w:rsidRDefault="002A4DDF" w:rsidP="009110ED">
            <w:pPr>
              <w:rPr>
                <w:rFonts w:ascii="Arial" w:hAnsi="Arial" w:cs="Arial"/>
                <w:sz w:val="12"/>
                <w:szCs w:val="12"/>
              </w:rPr>
            </w:pPr>
          </w:p>
        </w:tc>
        <w:tc>
          <w:tcPr>
            <w:tcW w:w="2268" w:type="dxa"/>
            <w:shd w:val="clear" w:color="auto" w:fill="F2F2F2"/>
            <w:hideMark/>
          </w:tcPr>
          <w:p w14:paraId="0FE12A56" w14:textId="77777777" w:rsidR="002A4DDF" w:rsidRPr="00937C8B" w:rsidRDefault="002A4DDF" w:rsidP="009110ED">
            <w:pPr>
              <w:rPr>
                <w:rFonts w:ascii="Arial" w:hAnsi="Arial" w:cs="Arial"/>
                <w:sz w:val="12"/>
                <w:szCs w:val="12"/>
              </w:rPr>
            </w:pPr>
            <w:r>
              <w:rPr>
                <w:rFonts w:ascii="Arial" w:hAnsi="Arial"/>
                <w:sz w:val="12"/>
                <w:szCs w:val="12"/>
              </w:rPr>
              <w:t>Valverde de Burguillos</w:t>
            </w:r>
          </w:p>
        </w:tc>
        <w:tc>
          <w:tcPr>
            <w:tcW w:w="2268" w:type="dxa"/>
            <w:tcBorders>
              <w:right w:val="single" w:sz="4" w:space="0" w:color="auto"/>
            </w:tcBorders>
            <w:shd w:val="clear" w:color="auto" w:fill="D9D9D9"/>
            <w:hideMark/>
          </w:tcPr>
          <w:p w14:paraId="4C21DF89" w14:textId="77777777" w:rsidR="002A4DDF" w:rsidRPr="00937C8B" w:rsidRDefault="002A4DDF" w:rsidP="009110ED">
            <w:pPr>
              <w:rPr>
                <w:rFonts w:ascii="Arial" w:hAnsi="Arial" w:cs="Arial"/>
                <w:sz w:val="12"/>
                <w:szCs w:val="12"/>
              </w:rPr>
            </w:pPr>
            <w:r>
              <w:rPr>
                <w:rFonts w:ascii="Arial" w:hAnsi="Arial"/>
                <w:sz w:val="12"/>
                <w:szCs w:val="12"/>
              </w:rPr>
              <w:t>Peraleda del Zaucejo</w:t>
            </w:r>
          </w:p>
        </w:tc>
      </w:tr>
      <w:tr w:rsidR="002A4DDF" w:rsidRPr="00937C8B" w14:paraId="132F0059" w14:textId="77777777" w:rsidTr="00935676">
        <w:trPr>
          <w:cantSplit/>
        </w:trPr>
        <w:tc>
          <w:tcPr>
            <w:tcW w:w="1696" w:type="dxa"/>
            <w:tcBorders>
              <w:left w:val="single" w:sz="4" w:space="0" w:color="auto"/>
            </w:tcBorders>
            <w:shd w:val="clear" w:color="auto" w:fill="auto"/>
          </w:tcPr>
          <w:p w14:paraId="15B73165" w14:textId="77777777" w:rsidR="002A4DDF" w:rsidRPr="00937C8B" w:rsidRDefault="002A4DDF" w:rsidP="009110ED">
            <w:pPr>
              <w:rPr>
                <w:rFonts w:ascii="Arial" w:hAnsi="Arial" w:cs="Arial"/>
                <w:sz w:val="12"/>
                <w:szCs w:val="12"/>
              </w:rPr>
            </w:pPr>
          </w:p>
        </w:tc>
        <w:tc>
          <w:tcPr>
            <w:tcW w:w="1843" w:type="dxa"/>
            <w:shd w:val="clear" w:color="auto" w:fill="auto"/>
          </w:tcPr>
          <w:p w14:paraId="2FEEB9A6" w14:textId="77777777" w:rsidR="002A4DDF" w:rsidRPr="00937C8B" w:rsidRDefault="002A4DDF" w:rsidP="009110ED">
            <w:pPr>
              <w:rPr>
                <w:rFonts w:ascii="Arial" w:hAnsi="Arial" w:cs="Arial"/>
                <w:sz w:val="12"/>
                <w:szCs w:val="12"/>
              </w:rPr>
            </w:pPr>
          </w:p>
        </w:tc>
        <w:tc>
          <w:tcPr>
            <w:tcW w:w="2268" w:type="dxa"/>
            <w:shd w:val="clear" w:color="auto" w:fill="F2F2F2"/>
            <w:hideMark/>
          </w:tcPr>
          <w:p w14:paraId="7454D37E" w14:textId="77777777" w:rsidR="002A4DDF" w:rsidRPr="00937C8B" w:rsidRDefault="002A4DDF" w:rsidP="009110ED">
            <w:pPr>
              <w:rPr>
                <w:rFonts w:ascii="Arial" w:hAnsi="Arial" w:cs="Arial"/>
                <w:sz w:val="12"/>
                <w:szCs w:val="12"/>
              </w:rPr>
            </w:pPr>
            <w:r>
              <w:rPr>
                <w:rFonts w:ascii="Arial" w:hAnsi="Arial"/>
                <w:sz w:val="12"/>
                <w:szCs w:val="12"/>
              </w:rPr>
              <w:t>Villafranca de los Barros</w:t>
            </w:r>
          </w:p>
        </w:tc>
        <w:tc>
          <w:tcPr>
            <w:tcW w:w="2268" w:type="dxa"/>
            <w:tcBorders>
              <w:right w:val="single" w:sz="4" w:space="0" w:color="auto"/>
            </w:tcBorders>
            <w:shd w:val="clear" w:color="auto" w:fill="D9D9D9"/>
            <w:hideMark/>
          </w:tcPr>
          <w:p w14:paraId="75427FD5" w14:textId="77777777" w:rsidR="002A4DDF" w:rsidRPr="00937C8B" w:rsidRDefault="002A4DDF" w:rsidP="009110ED">
            <w:pPr>
              <w:rPr>
                <w:rFonts w:ascii="Arial" w:hAnsi="Arial" w:cs="Arial"/>
                <w:sz w:val="12"/>
                <w:szCs w:val="12"/>
              </w:rPr>
            </w:pPr>
            <w:r>
              <w:rPr>
                <w:rFonts w:ascii="Arial" w:hAnsi="Arial"/>
                <w:sz w:val="12"/>
                <w:szCs w:val="12"/>
              </w:rPr>
              <w:t>Puebla de Alcocer</w:t>
            </w:r>
          </w:p>
        </w:tc>
      </w:tr>
      <w:tr w:rsidR="002A4DDF" w:rsidRPr="00937C8B" w14:paraId="37A3103E" w14:textId="77777777" w:rsidTr="00935676">
        <w:trPr>
          <w:cantSplit/>
        </w:trPr>
        <w:tc>
          <w:tcPr>
            <w:tcW w:w="1696" w:type="dxa"/>
            <w:tcBorders>
              <w:left w:val="single" w:sz="4" w:space="0" w:color="auto"/>
            </w:tcBorders>
            <w:shd w:val="clear" w:color="auto" w:fill="auto"/>
          </w:tcPr>
          <w:p w14:paraId="0D2D1473" w14:textId="77777777" w:rsidR="002A4DDF" w:rsidRPr="00937C8B" w:rsidRDefault="002A4DDF" w:rsidP="009110ED">
            <w:pPr>
              <w:rPr>
                <w:rFonts w:ascii="Arial" w:hAnsi="Arial" w:cs="Arial"/>
                <w:sz w:val="12"/>
                <w:szCs w:val="12"/>
              </w:rPr>
            </w:pPr>
          </w:p>
        </w:tc>
        <w:tc>
          <w:tcPr>
            <w:tcW w:w="1843" w:type="dxa"/>
            <w:shd w:val="clear" w:color="auto" w:fill="auto"/>
          </w:tcPr>
          <w:p w14:paraId="15764982" w14:textId="77777777" w:rsidR="002A4DDF" w:rsidRPr="00937C8B" w:rsidRDefault="002A4DDF" w:rsidP="009110ED">
            <w:pPr>
              <w:rPr>
                <w:rFonts w:ascii="Arial" w:hAnsi="Arial" w:cs="Arial"/>
                <w:sz w:val="12"/>
                <w:szCs w:val="12"/>
              </w:rPr>
            </w:pPr>
          </w:p>
        </w:tc>
        <w:tc>
          <w:tcPr>
            <w:tcW w:w="2268" w:type="dxa"/>
            <w:shd w:val="clear" w:color="auto" w:fill="F2F2F2"/>
            <w:hideMark/>
          </w:tcPr>
          <w:p w14:paraId="75EECFDF" w14:textId="77777777" w:rsidR="002A4DDF" w:rsidRPr="00937C8B" w:rsidRDefault="002A4DDF" w:rsidP="009110ED">
            <w:pPr>
              <w:rPr>
                <w:rFonts w:ascii="Arial" w:hAnsi="Arial" w:cs="Arial"/>
                <w:sz w:val="12"/>
                <w:szCs w:val="12"/>
              </w:rPr>
            </w:pPr>
            <w:r>
              <w:rPr>
                <w:rFonts w:ascii="Arial" w:hAnsi="Arial"/>
                <w:sz w:val="12"/>
                <w:szCs w:val="12"/>
              </w:rPr>
              <w:t>Villagonzalo</w:t>
            </w:r>
          </w:p>
        </w:tc>
        <w:tc>
          <w:tcPr>
            <w:tcW w:w="2268" w:type="dxa"/>
            <w:tcBorders>
              <w:right w:val="single" w:sz="4" w:space="0" w:color="auto"/>
            </w:tcBorders>
            <w:shd w:val="clear" w:color="auto" w:fill="D9D9D9"/>
            <w:hideMark/>
          </w:tcPr>
          <w:p w14:paraId="65A9A16F" w14:textId="77777777" w:rsidR="002A4DDF" w:rsidRPr="00937C8B" w:rsidRDefault="002A4DDF" w:rsidP="009110ED">
            <w:pPr>
              <w:rPr>
                <w:rFonts w:ascii="Arial" w:hAnsi="Arial" w:cs="Arial"/>
                <w:sz w:val="12"/>
                <w:szCs w:val="12"/>
              </w:rPr>
            </w:pPr>
            <w:r>
              <w:rPr>
                <w:rFonts w:ascii="Arial" w:hAnsi="Arial"/>
                <w:sz w:val="12"/>
                <w:szCs w:val="12"/>
              </w:rPr>
              <w:t>Puebla de Obando</w:t>
            </w:r>
          </w:p>
        </w:tc>
      </w:tr>
      <w:tr w:rsidR="002A4DDF" w:rsidRPr="00937C8B" w14:paraId="2DCBF813" w14:textId="77777777" w:rsidTr="00935676">
        <w:trPr>
          <w:cantSplit/>
        </w:trPr>
        <w:tc>
          <w:tcPr>
            <w:tcW w:w="1696" w:type="dxa"/>
            <w:tcBorders>
              <w:left w:val="single" w:sz="4" w:space="0" w:color="auto"/>
            </w:tcBorders>
            <w:shd w:val="clear" w:color="auto" w:fill="auto"/>
          </w:tcPr>
          <w:p w14:paraId="05B2EA1A" w14:textId="77777777" w:rsidR="002A4DDF" w:rsidRPr="00937C8B" w:rsidRDefault="002A4DDF" w:rsidP="009110ED">
            <w:pPr>
              <w:rPr>
                <w:rFonts w:ascii="Arial" w:hAnsi="Arial" w:cs="Arial"/>
                <w:sz w:val="12"/>
                <w:szCs w:val="12"/>
              </w:rPr>
            </w:pPr>
          </w:p>
        </w:tc>
        <w:tc>
          <w:tcPr>
            <w:tcW w:w="1843" w:type="dxa"/>
            <w:shd w:val="clear" w:color="auto" w:fill="auto"/>
          </w:tcPr>
          <w:p w14:paraId="3BCB972D" w14:textId="77777777" w:rsidR="002A4DDF" w:rsidRPr="00937C8B" w:rsidRDefault="002A4DDF" w:rsidP="009110ED">
            <w:pPr>
              <w:rPr>
                <w:rFonts w:ascii="Arial" w:hAnsi="Arial" w:cs="Arial"/>
                <w:sz w:val="12"/>
                <w:szCs w:val="12"/>
              </w:rPr>
            </w:pPr>
          </w:p>
        </w:tc>
        <w:tc>
          <w:tcPr>
            <w:tcW w:w="2268" w:type="dxa"/>
            <w:shd w:val="clear" w:color="auto" w:fill="F2F2F2"/>
            <w:hideMark/>
          </w:tcPr>
          <w:p w14:paraId="0C7367E0" w14:textId="77777777" w:rsidR="002A4DDF" w:rsidRPr="00937C8B" w:rsidRDefault="002A4DDF" w:rsidP="009110ED">
            <w:pPr>
              <w:rPr>
                <w:rFonts w:ascii="Arial" w:hAnsi="Arial" w:cs="Arial"/>
                <w:sz w:val="12"/>
                <w:szCs w:val="12"/>
              </w:rPr>
            </w:pPr>
            <w:r>
              <w:rPr>
                <w:rFonts w:ascii="Arial" w:hAnsi="Arial"/>
                <w:sz w:val="12"/>
                <w:szCs w:val="12"/>
              </w:rPr>
              <w:t>Villanueva del Fresno</w:t>
            </w:r>
          </w:p>
        </w:tc>
        <w:tc>
          <w:tcPr>
            <w:tcW w:w="2268" w:type="dxa"/>
            <w:tcBorders>
              <w:right w:val="single" w:sz="4" w:space="0" w:color="auto"/>
            </w:tcBorders>
            <w:shd w:val="clear" w:color="auto" w:fill="D9D9D9"/>
            <w:hideMark/>
          </w:tcPr>
          <w:p w14:paraId="4264BDA3" w14:textId="77777777" w:rsidR="002A4DDF" w:rsidRPr="00937C8B" w:rsidRDefault="002A4DDF" w:rsidP="009110ED">
            <w:pPr>
              <w:rPr>
                <w:rFonts w:ascii="Arial" w:hAnsi="Arial" w:cs="Arial"/>
                <w:sz w:val="12"/>
                <w:szCs w:val="12"/>
              </w:rPr>
            </w:pPr>
            <w:r>
              <w:rPr>
                <w:rFonts w:ascii="Arial" w:hAnsi="Arial"/>
                <w:sz w:val="12"/>
                <w:szCs w:val="12"/>
              </w:rPr>
              <w:t>Puebla de Sancho Pérez</w:t>
            </w:r>
          </w:p>
        </w:tc>
      </w:tr>
      <w:tr w:rsidR="002A4DDF" w:rsidRPr="00937C8B" w14:paraId="01B5711C" w14:textId="77777777" w:rsidTr="00935676">
        <w:trPr>
          <w:cantSplit/>
        </w:trPr>
        <w:tc>
          <w:tcPr>
            <w:tcW w:w="1696" w:type="dxa"/>
            <w:tcBorders>
              <w:left w:val="single" w:sz="4" w:space="0" w:color="auto"/>
            </w:tcBorders>
            <w:shd w:val="clear" w:color="auto" w:fill="auto"/>
          </w:tcPr>
          <w:p w14:paraId="04F8ACED" w14:textId="77777777" w:rsidR="002A4DDF" w:rsidRPr="00937C8B" w:rsidRDefault="002A4DDF" w:rsidP="009110ED">
            <w:pPr>
              <w:rPr>
                <w:rFonts w:ascii="Arial" w:hAnsi="Arial" w:cs="Arial"/>
                <w:sz w:val="12"/>
                <w:szCs w:val="12"/>
              </w:rPr>
            </w:pPr>
          </w:p>
        </w:tc>
        <w:tc>
          <w:tcPr>
            <w:tcW w:w="1843" w:type="dxa"/>
            <w:shd w:val="clear" w:color="auto" w:fill="auto"/>
          </w:tcPr>
          <w:p w14:paraId="530EA02B" w14:textId="77777777" w:rsidR="002A4DDF" w:rsidRPr="00937C8B" w:rsidRDefault="002A4DDF" w:rsidP="009110ED">
            <w:pPr>
              <w:rPr>
                <w:rFonts w:ascii="Arial" w:hAnsi="Arial" w:cs="Arial"/>
                <w:sz w:val="12"/>
                <w:szCs w:val="12"/>
              </w:rPr>
            </w:pPr>
          </w:p>
        </w:tc>
        <w:tc>
          <w:tcPr>
            <w:tcW w:w="2268" w:type="dxa"/>
            <w:shd w:val="clear" w:color="auto" w:fill="F2F2F2"/>
            <w:hideMark/>
          </w:tcPr>
          <w:p w14:paraId="73236191" w14:textId="77777777" w:rsidR="002A4DDF" w:rsidRPr="00937C8B" w:rsidRDefault="002A4DDF" w:rsidP="009110ED">
            <w:pPr>
              <w:rPr>
                <w:rFonts w:ascii="Arial" w:hAnsi="Arial" w:cs="Arial"/>
                <w:sz w:val="12"/>
                <w:szCs w:val="12"/>
              </w:rPr>
            </w:pPr>
            <w:r>
              <w:rPr>
                <w:rFonts w:ascii="Arial" w:hAnsi="Arial"/>
                <w:sz w:val="12"/>
                <w:szCs w:val="12"/>
              </w:rPr>
              <w:t>Zahínos</w:t>
            </w:r>
          </w:p>
        </w:tc>
        <w:tc>
          <w:tcPr>
            <w:tcW w:w="2268" w:type="dxa"/>
            <w:tcBorders>
              <w:right w:val="single" w:sz="4" w:space="0" w:color="auto"/>
            </w:tcBorders>
            <w:shd w:val="clear" w:color="auto" w:fill="D9D9D9"/>
            <w:hideMark/>
          </w:tcPr>
          <w:p w14:paraId="2F62F09D" w14:textId="77777777" w:rsidR="002A4DDF" w:rsidRPr="00937C8B" w:rsidRDefault="002A4DDF" w:rsidP="009110ED">
            <w:pPr>
              <w:rPr>
                <w:rFonts w:ascii="Arial" w:hAnsi="Arial" w:cs="Arial"/>
                <w:sz w:val="12"/>
                <w:szCs w:val="12"/>
              </w:rPr>
            </w:pPr>
            <w:r>
              <w:rPr>
                <w:rFonts w:ascii="Arial" w:hAnsi="Arial"/>
                <w:sz w:val="12"/>
                <w:szCs w:val="12"/>
              </w:rPr>
              <w:t>Puebla del Maestre</w:t>
            </w:r>
          </w:p>
        </w:tc>
      </w:tr>
      <w:tr w:rsidR="002A4DDF" w:rsidRPr="00937C8B" w14:paraId="7629C07B" w14:textId="77777777" w:rsidTr="00935676">
        <w:trPr>
          <w:cantSplit/>
        </w:trPr>
        <w:tc>
          <w:tcPr>
            <w:tcW w:w="1696" w:type="dxa"/>
            <w:tcBorders>
              <w:left w:val="single" w:sz="4" w:space="0" w:color="auto"/>
            </w:tcBorders>
            <w:shd w:val="clear" w:color="auto" w:fill="auto"/>
          </w:tcPr>
          <w:p w14:paraId="28C0E9E2" w14:textId="77777777" w:rsidR="002A4DDF" w:rsidRPr="00937C8B" w:rsidRDefault="002A4DDF" w:rsidP="009110ED">
            <w:pPr>
              <w:rPr>
                <w:rFonts w:ascii="Arial" w:hAnsi="Arial" w:cs="Arial"/>
                <w:sz w:val="12"/>
                <w:szCs w:val="12"/>
              </w:rPr>
            </w:pPr>
          </w:p>
        </w:tc>
        <w:tc>
          <w:tcPr>
            <w:tcW w:w="1843" w:type="dxa"/>
            <w:shd w:val="clear" w:color="auto" w:fill="auto"/>
          </w:tcPr>
          <w:p w14:paraId="0BD94B1D" w14:textId="77777777" w:rsidR="002A4DDF" w:rsidRPr="00937C8B" w:rsidRDefault="002A4DDF" w:rsidP="009110ED">
            <w:pPr>
              <w:rPr>
                <w:rFonts w:ascii="Arial" w:hAnsi="Arial" w:cs="Arial"/>
                <w:sz w:val="12"/>
                <w:szCs w:val="12"/>
              </w:rPr>
            </w:pPr>
          </w:p>
        </w:tc>
        <w:tc>
          <w:tcPr>
            <w:tcW w:w="2268" w:type="dxa"/>
            <w:shd w:val="clear" w:color="auto" w:fill="F2F2F2"/>
            <w:hideMark/>
          </w:tcPr>
          <w:p w14:paraId="2A23510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7E7796B" w14:textId="77777777" w:rsidR="002A4DDF" w:rsidRPr="00937C8B" w:rsidRDefault="002A4DDF" w:rsidP="009110ED">
            <w:pPr>
              <w:rPr>
                <w:rFonts w:ascii="Arial" w:hAnsi="Arial" w:cs="Arial"/>
                <w:sz w:val="12"/>
                <w:szCs w:val="12"/>
              </w:rPr>
            </w:pPr>
            <w:r>
              <w:rPr>
                <w:rFonts w:ascii="Arial" w:hAnsi="Arial"/>
                <w:sz w:val="12"/>
                <w:szCs w:val="12"/>
              </w:rPr>
              <w:t>Quintana de la Serena</w:t>
            </w:r>
          </w:p>
        </w:tc>
      </w:tr>
      <w:tr w:rsidR="002A4DDF" w:rsidRPr="00937C8B" w14:paraId="24670B3E" w14:textId="77777777" w:rsidTr="00935676">
        <w:trPr>
          <w:cantSplit/>
        </w:trPr>
        <w:tc>
          <w:tcPr>
            <w:tcW w:w="1696" w:type="dxa"/>
            <w:tcBorders>
              <w:left w:val="single" w:sz="4" w:space="0" w:color="auto"/>
            </w:tcBorders>
            <w:shd w:val="clear" w:color="auto" w:fill="auto"/>
          </w:tcPr>
          <w:p w14:paraId="3ACA1AE1" w14:textId="77777777" w:rsidR="002A4DDF" w:rsidRPr="00937C8B" w:rsidRDefault="002A4DDF" w:rsidP="009110ED">
            <w:pPr>
              <w:rPr>
                <w:rFonts w:ascii="Arial" w:hAnsi="Arial" w:cs="Arial"/>
                <w:sz w:val="12"/>
                <w:szCs w:val="12"/>
              </w:rPr>
            </w:pPr>
          </w:p>
        </w:tc>
        <w:tc>
          <w:tcPr>
            <w:tcW w:w="1843" w:type="dxa"/>
            <w:shd w:val="clear" w:color="auto" w:fill="auto"/>
          </w:tcPr>
          <w:p w14:paraId="76760EAA" w14:textId="77777777" w:rsidR="002A4DDF" w:rsidRPr="00937C8B" w:rsidRDefault="002A4DDF" w:rsidP="009110ED">
            <w:pPr>
              <w:rPr>
                <w:rFonts w:ascii="Arial" w:hAnsi="Arial" w:cs="Arial"/>
                <w:sz w:val="12"/>
                <w:szCs w:val="12"/>
              </w:rPr>
            </w:pPr>
          </w:p>
        </w:tc>
        <w:tc>
          <w:tcPr>
            <w:tcW w:w="2268" w:type="dxa"/>
            <w:shd w:val="clear" w:color="auto" w:fill="F2F2F2"/>
            <w:hideMark/>
          </w:tcPr>
          <w:p w14:paraId="2A1D834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942D80B" w14:textId="77777777" w:rsidR="002A4DDF" w:rsidRPr="00937C8B" w:rsidRDefault="002A4DDF" w:rsidP="009110ED">
            <w:pPr>
              <w:rPr>
                <w:rFonts w:ascii="Arial" w:hAnsi="Arial" w:cs="Arial"/>
                <w:sz w:val="12"/>
                <w:szCs w:val="12"/>
              </w:rPr>
            </w:pPr>
            <w:r>
              <w:rPr>
                <w:rFonts w:ascii="Arial" w:hAnsi="Arial"/>
                <w:sz w:val="12"/>
                <w:szCs w:val="12"/>
              </w:rPr>
              <w:t>Reina</w:t>
            </w:r>
          </w:p>
        </w:tc>
      </w:tr>
      <w:tr w:rsidR="002A4DDF" w:rsidRPr="00937C8B" w14:paraId="379A3EE4" w14:textId="77777777" w:rsidTr="00935676">
        <w:trPr>
          <w:cantSplit/>
        </w:trPr>
        <w:tc>
          <w:tcPr>
            <w:tcW w:w="1696" w:type="dxa"/>
            <w:tcBorders>
              <w:left w:val="single" w:sz="4" w:space="0" w:color="auto"/>
            </w:tcBorders>
            <w:shd w:val="clear" w:color="auto" w:fill="auto"/>
          </w:tcPr>
          <w:p w14:paraId="20271CEC" w14:textId="77777777" w:rsidR="002A4DDF" w:rsidRPr="00937C8B" w:rsidRDefault="002A4DDF" w:rsidP="009110ED">
            <w:pPr>
              <w:rPr>
                <w:rFonts w:ascii="Arial" w:hAnsi="Arial" w:cs="Arial"/>
                <w:sz w:val="12"/>
                <w:szCs w:val="12"/>
              </w:rPr>
            </w:pPr>
          </w:p>
        </w:tc>
        <w:tc>
          <w:tcPr>
            <w:tcW w:w="1843" w:type="dxa"/>
            <w:shd w:val="clear" w:color="auto" w:fill="auto"/>
          </w:tcPr>
          <w:p w14:paraId="178D4395" w14:textId="77777777" w:rsidR="002A4DDF" w:rsidRPr="00937C8B" w:rsidRDefault="002A4DDF" w:rsidP="009110ED">
            <w:pPr>
              <w:rPr>
                <w:rFonts w:ascii="Arial" w:hAnsi="Arial" w:cs="Arial"/>
                <w:sz w:val="12"/>
                <w:szCs w:val="12"/>
              </w:rPr>
            </w:pPr>
          </w:p>
        </w:tc>
        <w:tc>
          <w:tcPr>
            <w:tcW w:w="2268" w:type="dxa"/>
            <w:shd w:val="clear" w:color="auto" w:fill="F2F2F2"/>
            <w:hideMark/>
          </w:tcPr>
          <w:p w14:paraId="2166674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095A2FA" w14:textId="77777777" w:rsidR="002A4DDF" w:rsidRPr="00937C8B" w:rsidRDefault="002A4DDF" w:rsidP="009110ED">
            <w:pPr>
              <w:rPr>
                <w:rFonts w:ascii="Arial" w:hAnsi="Arial" w:cs="Arial"/>
                <w:sz w:val="12"/>
                <w:szCs w:val="12"/>
              </w:rPr>
            </w:pPr>
            <w:r>
              <w:rPr>
                <w:rFonts w:ascii="Arial" w:hAnsi="Arial"/>
                <w:sz w:val="12"/>
                <w:szCs w:val="12"/>
              </w:rPr>
              <w:t>Rena</w:t>
            </w:r>
          </w:p>
        </w:tc>
      </w:tr>
      <w:tr w:rsidR="002A4DDF" w:rsidRPr="00937C8B" w14:paraId="58C2F792" w14:textId="77777777" w:rsidTr="00935676">
        <w:trPr>
          <w:cantSplit/>
        </w:trPr>
        <w:tc>
          <w:tcPr>
            <w:tcW w:w="1696" w:type="dxa"/>
            <w:tcBorders>
              <w:left w:val="single" w:sz="4" w:space="0" w:color="auto"/>
            </w:tcBorders>
            <w:shd w:val="clear" w:color="auto" w:fill="auto"/>
          </w:tcPr>
          <w:p w14:paraId="336B8439" w14:textId="77777777" w:rsidR="002A4DDF" w:rsidRPr="00937C8B" w:rsidRDefault="002A4DDF" w:rsidP="009110ED">
            <w:pPr>
              <w:rPr>
                <w:rFonts w:ascii="Arial" w:hAnsi="Arial" w:cs="Arial"/>
                <w:sz w:val="12"/>
                <w:szCs w:val="12"/>
              </w:rPr>
            </w:pPr>
          </w:p>
        </w:tc>
        <w:tc>
          <w:tcPr>
            <w:tcW w:w="1843" w:type="dxa"/>
            <w:shd w:val="clear" w:color="auto" w:fill="auto"/>
          </w:tcPr>
          <w:p w14:paraId="3EBC5EEA" w14:textId="77777777" w:rsidR="002A4DDF" w:rsidRPr="00937C8B" w:rsidRDefault="002A4DDF" w:rsidP="009110ED">
            <w:pPr>
              <w:rPr>
                <w:rFonts w:ascii="Arial" w:hAnsi="Arial" w:cs="Arial"/>
                <w:sz w:val="12"/>
                <w:szCs w:val="12"/>
              </w:rPr>
            </w:pPr>
          </w:p>
        </w:tc>
        <w:tc>
          <w:tcPr>
            <w:tcW w:w="2268" w:type="dxa"/>
            <w:shd w:val="clear" w:color="auto" w:fill="F2F2F2"/>
            <w:hideMark/>
          </w:tcPr>
          <w:p w14:paraId="5B92198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EEA9781" w14:textId="77777777" w:rsidR="002A4DDF" w:rsidRPr="00937C8B" w:rsidRDefault="002A4DDF" w:rsidP="009110ED">
            <w:pPr>
              <w:rPr>
                <w:rFonts w:ascii="Arial" w:hAnsi="Arial" w:cs="Arial"/>
                <w:sz w:val="12"/>
                <w:szCs w:val="12"/>
              </w:rPr>
            </w:pPr>
            <w:r>
              <w:rPr>
                <w:rFonts w:ascii="Arial" w:hAnsi="Arial"/>
                <w:sz w:val="12"/>
                <w:szCs w:val="12"/>
              </w:rPr>
              <w:t>Risco</w:t>
            </w:r>
          </w:p>
        </w:tc>
      </w:tr>
      <w:tr w:rsidR="002A4DDF" w:rsidRPr="00937C8B" w14:paraId="20B8E14A" w14:textId="77777777" w:rsidTr="00935676">
        <w:trPr>
          <w:cantSplit/>
        </w:trPr>
        <w:tc>
          <w:tcPr>
            <w:tcW w:w="1696" w:type="dxa"/>
            <w:tcBorders>
              <w:left w:val="single" w:sz="4" w:space="0" w:color="auto"/>
            </w:tcBorders>
            <w:shd w:val="clear" w:color="auto" w:fill="auto"/>
          </w:tcPr>
          <w:p w14:paraId="4AA06F5C" w14:textId="77777777" w:rsidR="002A4DDF" w:rsidRPr="00937C8B" w:rsidRDefault="002A4DDF" w:rsidP="009110ED">
            <w:pPr>
              <w:rPr>
                <w:rFonts w:ascii="Arial" w:hAnsi="Arial" w:cs="Arial"/>
                <w:sz w:val="12"/>
                <w:szCs w:val="12"/>
              </w:rPr>
            </w:pPr>
          </w:p>
        </w:tc>
        <w:tc>
          <w:tcPr>
            <w:tcW w:w="1843" w:type="dxa"/>
            <w:shd w:val="clear" w:color="auto" w:fill="auto"/>
          </w:tcPr>
          <w:p w14:paraId="07DCF5AA" w14:textId="77777777" w:rsidR="002A4DDF" w:rsidRPr="00937C8B" w:rsidRDefault="002A4DDF" w:rsidP="009110ED">
            <w:pPr>
              <w:rPr>
                <w:rFonts w:ascii="Arial" w:hAnsi="Arial" w:cs="Arial"/>
                <w:sz w:val="12"/>
                <w:szCs w:val="12"/>
              </w:rPr>
            </w:pPr>
          </w:p>
        </w:tc>
        <w:tc>
          <w:tcPr>
            <w:tcW w:w="2268" w:type="dxa"/>
            <w:shd w:val="clear" w:color="auto" w:fill="F2F2F2"/>
            <w:hideMark/>
          </w:tcPr>
          <w:p w14:paraId="42C93B0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CEB0F5B" w14:textId="77777777" w:rsidR="002A4DDF" w:rsidRPr="00937C8B" w:rsidRDefault="002A4DDF" w:rsidP="009110ED">
            <w:pPr>
              <w:rPr>
                <w:rFonts w:ascii="Arial" w:hAnsi="Arial" w:cs="Arial"/>
                <w:sz w:val="12"/>
                <w:szCs w:val="12"/>
              </w:rPr>
            </w:pPr>
            <w:r>
              <w:rPr>
                <w:rFonts w:ascii="Arial" w:hAnsi="Arial"/>
                <w:sz w:val="12"/>
                <w:szCs w:val="12"/>
              </w:rPr>
              <w:t>Salvaleón</w:t>
            </w:r>
          </w:p>
        </w:tc>
      </w:tr>
      <w:tr w:rsidR="002A4DDF" w:rsidRPr="00937C8B" w14:paraId="23BAD21D" w14:textId="77777777" w:rsidTr="00935676">
        <w:trPr>
          <w:cantSplit/>
        </w:trPr>
        <w:tc>
          <w:tcPr>
            <w:tcW w:w="1696" w:type="dxa"/>
            <w:tcBorders>
              <w:left w:val="single" w:sz="4" w:space="0" w:color="auto"/>
            </w:tcBorders>
            <w:shd w:val="clear" w:color="auto" w:fill="auto"/>
          </w:tcPr>
          <w:p w14:paraId="6FA79571" w14:textId="77777777" w:rsidR="002A4DDF" w:rsidRPr="00937C8B" w:rsidRDefault="002A4DDF" w:rsidP="009110ED">
            <w:pPr>
              <w:rPr>
                <w:rFonts w:ascii="Arial" w:hAnsi="Arial" w:cs="Arial"/>
                <w:sz w:val="12"/>
                <w:szCs w:val="12"/>
              </w:rPr>
            </w:pPr>
          </w:p>
        </w:tc>
        <w:tc>
          <w:tcPr>
            <w:tcW w:w="1843" w:type="dxa"/>
            <w:shd w:val="clear" w:color="auto" w:fill="auto"/>
          </w:tcPr>
          <w:p w14:paraId="0B1D0DC9" w14:textId="77777777" w:rsidR="002A4DDF" w:rsidRPr="00937C8B" w:rsidRDefault="002A4DDF" w:rsidP="009110ED">
            <w:pPr>
              <w:rPr>
                <w:rFonts w:ascii="Arial" w:hAnsi="Arial" w:cs="Arial"/>
                <w:sz w:val="12"/>
                <w:szCs w:val="12"/>
              </w:rPr>
            </w:pPr>
          </w:p>
        </w:tc>
        <w:tc>
          <w:tcPr>
            <w:tcW w:w="2268" w:type="dxa"/>
            <w:shd w:val="clear" w:color="auto" w:fill="F2F2F2"/>
            <w:hideMark/>
          </w:tcPr>
          <w:p w14:paraId="74A683B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3176642" w14:textId="77777777" w:rsidR="002A4DDF" w:rsidRPr="00937C8B" w:rsidRDefault="002A4DDF" w:rsidP="009110ED">
            <w:pPr>
              <w:rPr>
                <w:rFonts w:ascii="Arial" w:hAnsi="Arial" w:cs="Arial"/>
                <w:sz w:val="12"/>
                <w:szCs w:val="12"/>
              </w:rPr>
            </w:pPr>
            <w:r>
              <w:rPr>
                <w:rFonts w:ascii="Arial" w:hAnsi="Arial"/>
                <w:sz w:val="12"/>
                <w:szCs w:val="12"/>
              </w:rPr>
              <w:t>Salvatierra de los Barros</w:t>
            </w:r>
          </w:p>
        </w:tc>
      </w:tr>
      <w:tr w:rsidR="002A4DDF" w:rsidRPr="00937C8B" w14:paraId="799415A1" w14:textId="77777777" w:rsidTr="00935676">
        <w:trPr>
          <w:cantSplit/>
        </w:trPr>
        <w:tc>
          <w:tcPr>
            <w:tcW w:w="1696" w:type="dxa"/>
            <w:tcBorders>
              <w:left w:val="single" w:sz="4" w:space="0" w:color="auto"/>
            </w:tcBorders>
            <w:shd w:val="clear" w:color="auto" w:fill="auto"/>
          </w:tcPr>
          <w:p w14:paraId="511B57BC" w14:textId="77777777" w:rsidR="002A4DDF" w:rsidRPr="00937C8B" w:rsidRDefault="002A4DDF" w:rsidP="009110ED">
            <w:pPr>
              <w:rPr>
                <w:rFonts w:ascii="Arial" w:hAnsi="Arial" w:cs="Arial"/>
                <w:sz w:val="12"/>
                <w:szCs w:val="12"/>
              </w:rPr>
            </w:pPr>
          </w:p>
        </w:tc>
        <w:tc>
          <w:tcPr>
            <w:tcW w:w="1843" w:type="dxa"/>
            <w:shd w:val="clear" w:color="auto" w:fill="auto"/>
          </w:tcPr>
          <w:p w14:paraId="21019FCA" w14:textId="77777777" w:rsidR="002A4DDF" w:rsidRPr="00937C8B" w:rsidRDefault="002A4DDF" w:rsidP="009110ED">
            <w:pPr>
              <w:rPr>
                <w:rFonts w:ascii="Arial" w:hAnsi="Arial" w:cs="Arial"/>
                <w:sz w:val="12"/>
                <w:szCs w:val="12"/>
              </w:rPr>
            </w:pPr>
          </w:p>
        </w:tc>
        <w:tc>
          <w:tcPr>
            <w:tcW w:w="2268" w:type="dxa"/>
            <w:shd w:val="clear" w:color="auto" w:fill="F2F2F2"/>
            <w:hideMark/>
          </w:tcPr>
          <w:p w14:paraId="565BCFB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B3C7653" w14:textId="77777777" w:rsidR="002A4DDF" w:rsidRPr="00937C8B" w:rsidRDefault="002A4DDF" w:rsidP="009110ED">
            <w:pPr>
              <w:rPr>
                <w:rFonts w:ascii="Arial" w:hAnsi="Arial" w:cs="Arial"/>
                <w:sz w:val="12"/>
                <w:szCs w:val="12"/>
              </w:rPr>
            </w:pPr>
            <w:r>
              <w:rPr>
                <w:rFonts w:ascii="Arial" w:hAnsi="Arial"/>
                <w:sz w:val="12"/>
                <w:szCs w:val="12"/>
              </w:rPr>
              <w:t>San Pedro de Mérida</w:t>
            </w:r>
          </w:p>
        </w:tc>
      </w:tr>
      <w:tr w:rsidR="002A4DDF" w:rsidRPr="00937C8B" w14:paraId="1EF5CB48" w14:textId="77777777" w:rsidTr="00935676">
        <w:trPr>
          <w:cantSplit/>
        </w:trPr>
        <w:tc>
          <w:tcPr>
            <w:tcW w:w="1696" w:type="dxa"/>
            <w:tcBorders>
              <w:left w:val="single" w:sz="4" w:space="0" w:color="auto"/>
            </w:tcBorders>
            <w:shd w:val="clear" w:color="auto" w:fill="auto"/>
          </w:tcPr>
          <w:p w14:paraId="410ECCA1" w14:textId="77777777" w:rsidR="002A4DDF" w:rsidRPr="00937C8B" w:rsidRDefault="002A4DDF" w:rsidP="009110ED">
            <w:pPr>
              <w:rPr>
                <w:rFonts w:ascii="Arial" w:hAnsi="Arial" w:cs="Arial"/>
                <w:sz w:val="12"/>
                <w:szCs w:val="12"/>
              </w:rPr>
            </w:pPr>
          </w:p>
        </w:tc>
        <w:tc>
          <w:tcPr>
            <w:tcW w:w="1843" w:type="dxa"/>
            <w:shd w:val="clear" w:color="auto" w:fill="auto"/>
          </w:tcPr>
          <w:p w14:paraId="6FCD222A" w14:textId="77777777" w:rsidR="002A4DDF" w:rsidRPr="00937C8B" w:rsidRDefault="002A4DDF" w:rsidP="009110ED">
            <w:pPr>
              <w:rPr>
                <w:rFonts w:ascii="Arial" w:hAnsi="Arial" w:cs="Arial"/>
                <w:sz w:val="12"/>
                <w:szCs w:val="12"/>
              </w:rPr>
            </w:pPr>
          </w:p>
        </w:tc>
        <w:tc>
          <w:tcPr>
            <w:tcW w:w="2268" w:type="dxa"/>
            <w:shd w:val="clear" w:color="auto" w:fill="F2F2F2"/>
            <w:hideMark/>
          </w:tcPr>
          <w:p w14:paraId="2BA491C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378738D" w14:textId="77777777" w:rsidR="002A4DDF" w:rsidRPr="00937C8B" w:rsidRDefault="002A4DDF" w:rsidP="009110ED">
            <w:pPr>
              <w:rPr>
                <w:rFonts w:ascii="Arial" w:hAnsi="Arial" w:cs="Arial"/>
                <w:sz w:val="12"/>
                <w:szCs w:val="12"/>
              </w:rPr>
            </w:pPr>
            <w:r>
              <w:rPr>
                <w:rFonts w:ascii="Arial" w:hAnsi="Arial"/>
                <w:sz w:val="12"/>
                <w:szCs w:val="12"/>
              </w:rPr>
              <w:t>San Vicente de Alcántara</w:t>
            </w:r>
          </w:p>
        </w:tc>
      </w:tr>
      <w:tr w:rsidR="002A4DDF" w:rsidRPr="00937C8B" w14:paraId="4166834F" w14:textId="77777777" w:rsidTr="00935676">
        <w:trPr>
          <w:cantSplit/>
        </w:trPr>
        <w:tc>
          <w:tcPr>
            <w:tcW w:w="1696" w:type="dxa"/>
            <w:tcBorders>
              <w:left w:val="single" w:sz="4" w:space="0" w:color="auto"/>
            </w:tcBorders>
            <w:shd w:val="clear" w:color="auto" w:fill="auto"/>
          </w:tcPr>
          <w:p w14:paraId="56844194" w14:textId="77777777" w:rsidR="002A4DDF" w:rsidRPr="00937C8B" w:rsidRDefault="002A4DDF" w:rsidP="009110ED">
            <w:pPr>
              <w:rPr>
                <w:rFonts w:ascii="Arial" w:hAnsi="Arial" w:cs="Arial"/>
                <w:sz w:val="12"/>
                <w:szCs w:val="12"/>
              </w:rPr>
            </w:pPr>
          </w:p>
        </w:tc>
        <w:tc>
          <w:tcPr>
            <w:tcW w:w="1843" w:type="dxa"/>
            <w:shd w:val="clear" w:color="auto" w:fill="auto"/>
          </w:tcPr>
          <w:p w14:paraId="2AD49BFD" w14:textId="77777777" w:rsidR="002A4DDF" w:rsidRPr="00937C8B" w:rsidRDefault="002A4DDF" w:rsidP="009110ED">
            <w:pPr>
              <w:rPr>
                <w:rFonts w:ascii="Arial" w:hAnsi="Arial" w:cs="Arial"/>
                <w:sz w:val="12"/>
                <w:szCs w:val="12"/>
              </w:rPr>
            </w:pPr>
          </w:p>
        </w:tc>
        <w:tc>
          <w:tcPr>
            <w:tcW w:w="2268" w:type="dxa"/>
            <w:shd w:val="clear" w:color="auto" w:fill="F2F2F2"/>
            <w:hideMark/>
          </w:tcPr>
          <w:p w14:paraId="39710ED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153A826" w14:textId="77777777" w:rsidR="002A4DDF" w:rsidRPr="00937C8B" w:rsidRDefault="002A4DDF" w:rsidP="009110ED">
            <w:pPr>
              <w:rPr>
                <w:rFonts w:ascii="Arial" w:hAnsi="Arial" w:cs="Arial"/>
                <w:sz w:val="12"/>
                <w:szCs w:val="12"/>
              </w:rPr>
            </w:pPr>
            <w:r>
              <w:rPr>
                <w:rFonts w:ascii="Arial" w:hAnsi="Arial"/>
                <w:sz w:val="12"/>
                <w:szCs w:val="12"/>
              </w:rPr>
              <w:t>Sancti-Spíritus</w:t>
            </w:r>
          </w:p>
        </w:tc>
      </w:tr>
      <w:tr w:rsidR="002A4DDF" w:rsidRPr="00937C8B" w14:paraId="55D0D727" w14:textId="77777777" w:rsidTr="00935676">
        <w:trPr>
          <w:cantSplit/>
        </w:trPr>
        <w:tc>
          <w:tcPr>
            <w:tcW w:w="1696" w:type="dxa"/>
            <w:tcBorders>
              <w:left w:val="single" w:sz="4" w:space="0" w:color="auto"/>
            </w:tcBorders>
            <w:shd w:val="clear" w:color="auto" w:fill="auto"/>
          </w:tcPr>
          <w:p w14:paraId="14C84ECF" w14:textId="77777777" w:rsidR="002A4DDF" w:rsidRPr="00937C8B" w:rsidRDefault="002A4DDF" w:rsidP="009110ED">
            <w:pPr>
              <w:rPr>
                <w:rFonts w:ascii="Arial" w:hAnsi="Arial" w:cs="Arial"/>
                <w:sz w:val="12"/>
                <w:szCs w:val="12"/>
              </w:rPr>
            </w:pPr>
          </w:p>
        </w:tc>
        <w:tc>
          <w:tcPr>
            <w:tcW w:w="1843" w:type="dxa"/>
            <w:shd w:val="clear" w:color="auto" w:fill="auto"/>
          </w:tcPr>
          <w:p w14:paraId="63841E42" w14:textId="77777777" w:rsidR="002A4DDF" w:rsidRPr="00937C8B" w:rsidRDefault="002A4DDF" w:rsidP="009110ED">
            <w:pPr>
              <w:rPr>
                <w:rFonts w:ascii="Arial" w:hAnsi="Arial" w:cs="Arial"/>
                <w:sz w:val="12"/>
                <w:szCs w:val="12"/>
              </w:rPr>
            </w:pPr>
          </w:p>
        </w:tc>
        <w:tc>
          <w:tcPr>
            <w:tcW w:w="2268" w:type="dxa"/>
            <w:shd w:val="clear" w:color="auto" w:fill="F2F2F2"/>
            <w:hideMark/>
          </w:tcPr>
          <w:p w14:paraId="5E89B99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4A2D4F6" w14:textId="77777777" w:rsidR="002A4DDF" w:rsidRPr="00937C8B" w:rsidRDefault="002A4DDF" w:rsidP="009110ED">
            <w:pPr>
              <w:rPr>
                <w:rFonts w:ascii="Arial" w:hAnsi="Arial" w:cs="Arial"/>
                <w:sz w:val="12"/>
                <w:szCs w:val="12"/>
              </w:rPr>
            </w:pPr>
            <w:r>
              <w:rPr>
                <w:rFonts w:ascii="Arial" w:hAnsi="Arial"/>
                <w:sz w:val="12"/>
                <w:szCs w:val="12"/>
              </w:rPr>
              <w:t>Santa Marta</w:t>
            </w:r>
          </w:p>
        </w:tc>
      </w:tr>
      <w:tr w:rsidR="002A4DDF" w:rsidRPr="00937C8B" w14:paraId="4919AD2C" w14:textId="77777777" w:rsidTr="00935676">
        <w:trPr>
          <w:cantSplit/>
        </w:trPr>
        <w:tc>
          <w:tcPr>
            <w:tcW w:w="1696" w:type="dxa"/>
            <w:tcBorders>
              <w:left w:val="single" w:sz="4" w:space="0" w:color="auto"/>
            </w:tcBorders>
            <w:shd w:val="clear" w:color="auto" w:fill="auto"/>
          </w:tcPr>
          <w:p w14:paraId="47DAE1B0" w14:textId="77777777" w:rsidR="002A4DDF" w:rsidRPr="00937C8B" w:rsidRDefault="002A4DDF" w:rsidP="009110ED">
            <w:pPr>
              <w:rPr>
                <w:rFonts w:ascii="Arial" w:hAnsi="Arial" w:cs="Arial"/>
                <w:sz w:val="12"/>
                <w:szCs w:val="12"/>
              </w:rPr>
            </w:pPr>
          </w:p>
        </w:tc>
        <w:tc>
          <w:tcPr>
            <w:tcW w:w="1843" w:type="dxa"/>
            <w:shd w:val="clear" w:color="auto" w:fill="auto"/>
          </w:tcPr>
          <w:p w14:paraId="3310F3B5" w14:textId="77777777" w:rsidR="002A4DDF" w:rsidRPr="00937C8B" w:rsidRDefault="002A4DDF" w:rsidP="009110ED">
            <w:pPr>
              <w:rPr>
                <w:rFonts w:ascii="Arial" w:hAnsi="Arial" w:cs="Arial"/>
                <w:sz w:val="12"/>
                <w:szCs w:val="12"/>
              </w:rPr>
            </w:pPr>
          </w:p>
        </w:tc>
        <w:tc>
          <w:tcPr>
            <w:tcW w:w="2268" w:type="dxa"/>
            <w:shd w:val="clear" w:color="auto" w:fill="F2F2F2"/>
            <w:hideMark/>
          </w:tcPr>
          <w:p w14:paraId="2C62274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C89449A" w14:textId="77777777" w:rsidR="002A4DDF" w:rsidRPr="00937C8B" w:rsidRDefault="002A4DDF" w:rsidP="009110ED">
            <w:pPr>
              <w:rPr>
                <w:rFonts w:ascii="Arial" w:hAnsi="Arial" w:cs="Arial"/>
                <w:sz w:val="12"/>
                <w:szCs w:val="12"/>
              </w:rPr>
            </w:pPr>
            <w:r>
              <w:rPr>
                <w:rFonts w:ascii="Arial" w:hAnsi="Arial"/>
                <w:sz w:val="12"/>
                <w:szCs w:val="12"/>
              </w:rPr>
              <w:t>Siruela</w:t>
            </w:r>
          </w:p>
        </w:tc>
      </w:tr>
      <w:tr w:rsidR="002A4DDF" w:rsidRPr="00937C8B" w14:paraId="47827BC2" w14:textId="77777777" w:rsidTr="00935676">
        <w:trPr>
          <w:cantSplit/>
        </w:trPr>
        <w:tc>
          <w:tcPr>
            <w:tcW w:w="1696" w:type="dxa"/>
            <w:tcBorders>
              <w:left w:val="single" w:sz="4" w:space="0" w:color="auto"/>
            </w:tcBorders>
            <w:shd w:val="clear" w:color="auto" w:fill="auto"/>
          </w:tcPr>
          <w:p w14:paraId="79155A08" w14:textId="77777777" w:rsidR="002A4DDF" w:rsidRPr="00937C8B" w:rsidRDefault="002A4DDF" w:rsidP="009110ED">
            <w:pPr>
              <w:rPr>
                <w:rFonts w:ascii="Arial" w:hAnsi="Arial" w:cs="Arial"/>
                <w:sz w:val="12"/>
                <w:szCs w:val="12"/>
              </w:rPr>
            </w:pPr>
          </w:p>
        </w:tc>
        <w:tc>
          <w:tcPr>
            <w:tcW w:w="1843" w:type="dxa"/>
            <w:shd w:val="clear" w:color="auto" w:fill="auto"/>
          </w:tcPr>
          <w:p w14:paraId="432BD812" w14:textId="77777777" w:rsidR="002A4DDF" w:rsidRPr="00937C8B" w:rsidRDefault="002A4DDF" w:rsidP="009110ED">
            <w:pPr>
              <w:rPr>
                <w:rFonts w:ascii="Arial" w:hAnsi="Arial" w:cs="Arial"/>
                <w:sz w:val="12"/>
                <w:szCs w:val="12"/>
              </w:rPr>
            </w:pPr>
          </w:p>
        </w:tc>
        <w:tc>
          <w:tcPr>
            <w:tcW w:w="2268" w:type="dxa"/>
            <w:shd w:val="clear" w:color="auto" w:fill="F2F2F2"/>
            <w:hideMark/>
          </w:tcPr>
          <w:p w14:paraId="040D0B6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37C02C2" w14:textId="77777777" w:rsidR="002A4DDF" w:rsidRPr="00937C8B" w:rsidRDefault="002A4DDF" w:rsidP="009110ED">
            <w:pPr>
              <w:rPr>
                <w:rFonts w:ascii="Arial" w:hAnsi="Arial" w:cs="Arial"/>
                <w:sz w:val="12"/>
                <w:szCs w:val="12"/>
              </w:rPr>
            </w:pPr>
            <w:r>
              <w:rPr>
                <w:rFonts w:ascii="Arial" w:hAnsi="Arial"/>
                <w:sz w:val="12"/>
                <w:szCs w:val="12"/>
              </w:rPr>
              <w:t>Talarrubias</w:t>
            </w:r>
          </w:p>
        </w:tc>
      </w:tr>
      <w:tr w:rsidR="002A4DDF" w:rsidRPr="00937C8B" w14:paraId="6AE640E5" w14:textId="77777777" w:rsidTr="00935676">
        <w:trPr>
          <w:cantSplit/>
        </w:trPr>
        <w:tc>
          <w:tcPr>
            <w:tcW w:w="1696" w:type="dxa"/>
            <w:tcBorders>
              <w:left w:val="single" w:sz="4" w:space="0" w:color="auto"/>
            </w:tcBorders>
            <w:shd w:val="clear" w:color="auto" w:fill="auto"/>
          </w:tcPr>
          <w:p w14:paraId="73D28C8D" w14:textId="77777777" w:rsidR="002A4DDF" w:rsidRPr="00937C8B" w:rsidRDefault="002A4DDF" w:rsidP="009110ED">
            <w:pPr>
              <w:rPr>
                <w:rFonts w:ascii="Arial" w:hAnsi="Arial" w:cs="Arial"/>
                <w:sz w:val="12"/>
                <w:szCs w:val="12"/>
              </w:rPr>
            </w:pPr>
          </w:p>
        </w:tc>
        <w:tc>
          <w:tcPr>
            <w:tcW w:w="1843" w:type="dxa"/>
            <w:shd w:val="clear" w:color="auto" w:fill="auto"/>
          </w:tcPr>
          <w:p w14:paraId="6F66FD92" w14:textId="77777777" w:rsidR="002A4DDF" w:rsidRPr="00937C8B" w:rsidRDefault="002A4DDF" w:rsidP="009110ED">
            <w:pPr>
              <w:rPr>
                <w:rFonts w:ascii="Arial" w:hAnsi="Arial" w:cs="Arial"/>
                <w:sz w:val="12"/>
                <w:szCs w:val="12"/>
              </w:rPr>
            </w:pPr>
          </w:p>
        </w:tc>
        <w:tc>
          <w:tcPr>
            <w:tcW w:w="2268" w:type="dxa"/>
            <w:shd w:val="clear" w:color="auto" w:fill="F2F2F2"/>
            <w:hideMark/>
          </w:tcPr>
          <w:p w14:paraId="5D1AD01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8ADB42E" w14:textId="77777777" w:rsidR="002A4DDF" w:rsidRPr="00937C8B" w:rsidRDefault="002A4DDF" w:rsidP="009110ED">
            <w:pPr>
              <w:rPr>
                <w:rFonts w:ascii="Arial" w:hAnsi="Arial" w:cs="Arial"/>
                <w:sz w:val="12"/>
                <w:szCs w:val="12"/>
              </w:rPr>
            </w:pPr>
            <w:r>
              <w:rPr>
                <w:rFonts w:ascii="Arial" w:hAnsi="Arial"/>
                <w:sz w:val="12"/>
                <w:szCs w:val="12"/>
              </w:rPr>
              <w:t>Táliga</w:t>
            </w:r>
          </w:p>
        </w:tc>
      </w:tr>
      <w:tr w:rsidR="002A4DDF" w:rsidRPr="00937C8B" w14:paraId="2BB3A6DA" w14:textId="77777777" w:rsidTr="00935676">
        <w:trPr>
          <w:cantSplit/>
        </w:trPr>
        <w:tc>
          <w:tcPr>
            <w:tcW w:w="1696" w:type="dxa"/>
            <w:tcBorders>
              <w:left w:val="single" w:sz="4" w:space="0" w:color="auto"/>
            </w:tcBorders>
            <w:shd w:val="clear" w:color="auto" w:fill="auto"/>
          </w:tcPr>
          <w:p w14:paraId="1E547885" w14:textId="77777777" w:rsidR="002A4DDF" w:rsidRPr="00937C8B" w:rsidRDefault="002A4DDF" w:rsidP="009110ED">
            <w:pPr>
              <w:rPr>
                <w:rFonts w:ascii="Arial" w:hAnsi="Arial" w:cs="Arial"/>
                <w:sz w:val="12"/>
                <w:szCs w:val="12"/>
              </w:rPr>
            </w:pPr>
          </w:p>
        </w:tc>
        <w:tc>
          <w:tcPr>
            <w:tcW w:w="1843" w:type="dxa"/>
            <w:shd w:val="clear" w:color="auto" w:fill="auto"/>
          </w:tcPr>
          <w:p w14:paraId="29A04C60" w14:textId="77777777" w:rsidR="002A4DDF" w:rsidRPr="00937C8B" w:rsidRDefault="002A4DDF" w:rsidP="009110ED">
            <w:pPr>
              <w:rPr>
                <w:rFonts w:ascii="Arial" w:hAnsi="Arial" w:cs="Arial"/>
                <w:sz w:val="12"/>
                <w:szCs w:val="12"/>
              </w:rPr>
            </w:pPr>
          </w:p>
        </w:tc>
        <w:tc>
          <w:tcPr>
            <w:tcW w:w="2268" w:type="dxa"/>
            <w:shd w:val="clear" w:color="auto" w:fill="F2F2F2"/>
            <w:hideMark/>
          </w:tcPr>
          <w:p w14:paraId="059ED25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8F86125" w14:textId="77777777" w:rsidR="002A4DDF" w:rsidRPr="00937C8B" w:rsidRDefault="002A4DDF" w:rsidP="009110ED">
            <w:pPr>
              <w:rPr>
                <w:rFonts w:ascii="Arial" w:hAnsi="Arial" w:cs="Arial"/>
                <w:sz w:val="12"/>
                <w:szCs w:val="12"/>
              </w:rPr>
            </w:pPr>
            <w:r>
              <w:rPr>
                <w:rFonts w:ascii="Arial" w:hAnsi="Arial"/>
                <w:sz w:val="12"/>
                <w:szCs w:val="12"/>
              </w:rPr>
              <w:t>Tamurejo</w:t>
            </w:r>
          </w:p>
        </w:tc>
      </w:tr>
      <w:tr w:rsidR="002A4DDF" w:rsidRPr="00937C8B" w14:paraId="132402F5" w14:textId="77777777" w:rsidTr="00935676">
        <w:trPr>
          <w:cantSplit/>
        </w:trPr>
        <w:tc>
          <w:tcPr>
            <w:tcW w:w="1696" w:type="dxa"/>
            <w:tcBorders>
              <w:left w:val="single" w:sz="4" w:space="0" w:color="auto"/>
            </w:tcBorders>
            <w:shd w:val="clear" w:color="auto" w:fill="auto"/>
          </w:tcPr>
          <w:p w14:paraId="2614CDF1" w14:textId="77777777" w:rsidR="002A4DDF" w:rsidRPr="00937C8B" w:rsidRDefault="002A4DDF" w:rsidP="009110ED">
            <w:pPr>
              <w:rPr>
                <w:rFonts w:ascii="Arial" w:hAnsi="Arial" w:cs="Arial"/>
                <w:sz w:val="12"/>
                <w:szCs w:val="12"/>
              </w:rPr>
            </w:pPr>
          </w:p>
        </w:tc>
        <w:tc>
          <w:tcPr>
            <w:tcW w:w="1843" w:type="dxa"/>
            <w:shd w:val="clear" w:color="auto" w:fill="auto"/>
          </w:tcPr>
          <w:p w14:paraId="072D5ABD" w14:textId="77777777" w:rsidR="002A4DDF" w:rsidRPr="00937C8B" w:rsidRDefault="002A4DDF" w:rsidP="009110ED">
            <w:pPr>
              <w:rPr>
                <w:rFonts w:ascii="Arial" w:hAnsi="Arial" w:cs="Arial"/>
                <w:sz w:val="12"/>
                <w:szCs w:val="12"/>
              </w:rPr>
            </w:pPr>
          </w:p>
        </w:tc>
        <w:tc>
          <w:tcPr>
            <w:tcW w:w="2268" w:type="dxa"/>
            <w:shd w:val="clear" w:color="auto" w:fill="F2F2F2"/>
            <w:hideMark/>
          </w:tcPr>
          <w:p w14:paraId="71FEC35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59A14FD" w14:textId="77777777" w:rsidR="002A4DDF" w:rsidRPr="00937C8B" w:rsidRDefault="002A4DDF" w:rsidP="009110ED">
            <w:pPr>
              <w:rPr>
                <w:rFonts w:ascii="Arial" w:hAnsi="Arial" w:cs="Arial"/>
                <w:sz w:val="12"/>
                <w:szCs w:val="12"/>
              </w:rPr>
            </w:pPr>
            <w:r>
              <w:rPr>
                <w:rFonts w:ascii="Arial" w:hAnsi="Arial"/>
                <w:sz w:val="12"/>
                <w:szCs w:val="12"/>
              </w:rPr>
              <w:t>Torre de Miguel Sesmero</w:t>
            </w:r>
          </w:p>
        </w:tc>
      </w:tr>
      <w:tr w:rsidR="002A4DDF" w:rsidRPr="00937C8B" w14:paraId="765767D0" w14:textId="77777777" w:rsidTr="00935676">
        <w:trPr>
          <w:cantSplit/>
        </w:trPr>
        <w:tc>
          <w:tcPr>
            <w:tcW w:w="1696" w:type="dxa"/>
            <w:tcBorders>
              <w:left w:val="single" w:sz="4" w:space="0" w:color="auto"/>
            </w:tcBorders>
            <w:shd w:val="clear" w:color="auto" w:fill="auto"/>
          </w:tcPr>
          <w:p w14:paraId="67922AB2" w14:textId="77777777" w:rsidR="002A4DDF" w:rsidRPr="00937C8B" w:rsidRDefault="002A4DDF" w:rsidP="009110ED">
            <w:pPr>
              <w:rPr>
                <w:rFonts w:ascii="Arial" w:hAnsi="Arial" w:cs="Arial"/>
                <w:sz w:val="12"/>
                <w:szCs w:val="12"/>
              </w:rPr>
            </w:pPr>
          </w:p>
        </w:tc>
        <w:tc>
          <w:tcPr>
            <w:tcW w:w="1843" w:type="dxa"/>
            <w:shd w:val="clear" w:color="auto" w:fill="auto"/>
          </w:tcPr>
          <w:p w14:paraId="6D7CE99E" w14:textId="77777777" w:rsidR="002A4DDF" w:rsidRPr="00937C8B" w:rsidRDefault="002A4DDF" w:rsidP="009110ED">
            <w:pPr>
              <w:rPr>
                <w:rFonts w:ascii="Arial" w:hAnsi="Arial" w:cs="Arial"/>
                <w:sz w:val="12"/>
                <w:szCs w:val="12"/>
              </w:rPr>
            </w:pPr>
          </w:p>
        </w:tc>
        <w:tc>
          <w:tcPr>
            <w:tcW w:w="2268" w:type="dxa"/>
            <w:shd w:val="clear" w:color="auto" w:fill="F2F2F2"/>
            <w:hideMark/>
          </w:tcPr>
          <w:p w14:paraId="6C1B555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FA70AD4" w14:textId="77777777" w:rsidR="002A4DDF" w:rsidRPr="00937C8B" w:rsidRDefault="002A4DDF" w:rsidP="009110ED">
            <w:pPr>
              <w:rPr>
                <w:rFonts w:ascii="Arial" w:hAnsi="Arial" w:cs="Arial"/>
                <w:sz w:val="12"/>
                <w:szCs w:val="12"/>
              </w:rPr>
            </w:pPr>
            <w:r>
              <w:rPr>
                <w:rFonts w:ascii="Arial" w:hAnsi="Arial"/>
                <w:sz w:val="12"/>
                <w:szCs w:val="12"/>
              </w:rPr>
              <w:t>Trasierra</w:t>
            </w:r>
          </w:p>
        </w:tc>
      </w:tr>
      <w:tr w:rsidR="002A4DDF" w:rsidRPr="00937C8B" w14:paraId="4942E2AC" w14:textId="77777777" w:rsidTr="00935676">
        <w:trPr>
          <w:cantSplit/>
        </w:trPr>
        <w:tc>
          <w:tcPr>
            <w:tcW w:w="1696" w:type="dxa"/>
            <w:tcBorders>
              <w:left w:val="single" w:sz="4" w:space="0" w:color="auto"/>
            </w:tcBorders>
            <w:shd w:val="clear" w:color="auto" w:fill="auto"/>
          </w:tcPr>
          <w:p w14:paraId="1236A00F" w14:textId="77777777" w:rsidR="002A4DDF" w:rsidRPr="00937C8B" w:rsidRDefault="002A4DDF" w:rsidP="009110ED">
            <w:pPr>
              <w:rPr>
                <w:rFonts w:ascii="Arial" w:hAnsi="Arial" w:cs="Arial"/>
                <w:sz w:val="12"/>
                <w:szCs w:val="12"/>
              </w:rPr>
            </w:pPr>
          </w:p>
        </w:tc>
        <w:tc>
          <w:tcPr>
            <w:tcW w:w="1843" w:type="dxa"/>
            <w:shd w:val="clear" w:color="auto" w:fill="auto"/>
          </w:tcPr>
          <w:p w14:paraId="54A71EEA" w14:textId="77777777" w:rsidR="002A4DDF" w:rsidRPr="00937C8B" w:rsidRDefault="002A4DDF" w:rsidP="009110ED">
            <w:pPr>
              <w:rPr>
                <w:rFonts w:ascii="Arial" w:hAnsi="Arial" w:cs="Arial"/>
                <w:sz w:val="12"/>
                <w:szCs w:val="12"/>
              </w:rPr>
            </w:pPr>
          </w:p>
        </w:tc>
        <w:tc>
          <w:tcPr>
            <w:tcW w:w="2268" w:type="dxa"/>
            <w:shd w:val="clear" w:color="auto" w:fill="F2F2F2"/>
            <w:hideMark/>
          </w:tcPr>
          <w:p w14:paraId="2A59CB1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1D09076" w14:textId="77777777" w:rsidR="002A4DDF" w:rsidRPr="00937C8B" w:rsidRDefault="002A4DDF" w:rsidP="009110ED">
            <w:pPr>
              <w:rPr>
                <w:rFonts w:ascii="Arial" w:hAnsi="Arial" w:cs="Arial"/>
                <w:sz w:val="12"/>
                <w:szCs w:val="12"/>
              </w:rPr>
            </w:pPr>
            <w:r>
              <w:rPr>
                <w:rFonts w:ascii="Arial" w:hAnsi="Arial"/>
                <w:sz w:val="12"/>
                <w:szCs w:val="12"/>
              </w:rPr>
              <w:t>Usagre</w:t>
            </w:r>
          </w:p>
        </w:tc>
      </w:tr>
      <w:tr w:rsidR="002A4DDF" w:rsidRPr="00937C8B" w14:paraId="248A4321" w14:textId="77777777" w:rsidTr="00935676">
        <w:trPr>
          <w:cantSplit/>
        </w:trPr>
        <w:tc>
          <w:tcPr>
            <w:tcW w:w="1696" w:type="dxa"/>
            <w:tcBorders>
              <w:left w:val="single" w:sz="4" w:space="0" w:color="auto"/>
            </w:tcBorders>
            <w:shd w:val="clear" w:color="auto" w:fill="auto"/>
          </w:tcPr>
          <w:p w14:paraId="25FEB83A" w14:textId="77777777" w:rsidR="002A4DDF" w:rsidRPr="00937C8B" w:rsidRDefault="002A4DDF" w:rsidP="009110ED">
            <w:pPr>
              <w:rPr>
                <w:rFonts w:ascii="Arial" w:hAnsi="Arial" w:cs="Arial"/>
                <w:sz w:val="12"/>
                <w:szCs w:val="12"/>
              </w:rPr>
            </w:pPr>
          </w:p>
        </w:tc>
        <w:tc>
          <w:tcPr>
            <w:tcW w:w="1843" w:type="dxa"/>
            <w:shd w:val="clear" w:color="auto" w:fill="auto"/>
          </w:tcPr>
          <w:p w14:paraId="37EE5772" w14:textId="77777777" w:rsidR="002A4DDF" w:rsidRPr="00937C8B" w:rsidRDefault="002A4DDF" w:rsidP="009110ED">
            <w:pPr>
              <w:rPr>
                <w:rFonts w:ascii="Arial" w:hAnsi="Arial" w:cs="Arial"/>
                <w:sz w:val="12"/>
                <w:szCs w:val="12"/>
              </w:rPr>
            </w:pPr>
          </w:p>
        </w:tc>
        <w:tc>
          <w:tcPr>
            <w:tcW w:w="2268" w:type="dxa"/>
            <w:shd w:val="clear" w:color="auto" w:fill="F2F2F2"/>
            <w:hideMark/>
          </w:tcPr>
          <w:p w14:paraId="4D9D8A1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FC7F18C" w14:textId="77777777" w:rsidR="002A4DDF" w:rsidRPr="00937C8B" w:rsidRDefault="002A4DDF" w:rsidP="009110ED">
            <w:pPr>
              <w:rPr>
                <w:rFonts w:ascii="Arial" w:hAnsi="Arial" w:cs="Arial"/>
                <w:sz w:val="12"/>
                <w:szCs w:val="12"/>
              </w:rPr>
            </w:pPr>
            <w:r>
              <w:rPr>
                <w:rFonts w:ascii="Arial" w:hAnsi="Arial"/>
                <w:sz w:val="12"/>
                <w:szCs w:val="12"/>
              </w:rPr>
              <w:t>Valdecaballeros</w:t>
            </w:r>
          </w:p>
        </w:tc>
      </w:tr>
      <w:tr w:rsidR="002A4DDF" w:rsidRPr="00937C8B" w14:paraId="48E739E4" w14:textId="77777777" w:rsidTr="00935676">
        <w:trPr>
          <w:cantSplit/>
        </w:trPr>
        <w:tc>
          <w:tcPr>
            <w:tcW w:w="1696" w:type="dxa"/>
            <w:tcBorders>
              <w:left w:val="single" w:sz="4" w:space="0" w:color="auto"/>
            </w:tcBorders>
            <w:shd w:val="clear" w:color="auto" w:fill="auto"/>
          </w:tcPr>
          <w:p w14:paraId="673E1676" w14:textId="77777777" w:rsidR="002A4DDF" w:rsidRPr="00937C8B" w:rsidRDefault="002A4DDF" w:rsidP="009110ED">
            <w:pPr>
              <w:rPr>
                <w:rFonts w:ascii="Arial" w:hAnsi="Arial" w:cs="Arial"/>
                <w:sz w:val="12"/>
                <w:szCs w:val="12"/>
              </w:rPr>
            </w:pPr>
          </w:p>
        </w:tc>
        <w:tc>
          <w:tcPr>
            <w:tcW w:w="1843" w:type="dxa"/>
            <w:shd w:val="clear" w:color="auto" w:fill="auto"/>
          </w:tcPr>
          <w:p w14:paraId="53F0A606" w14:textId="77777777" w:rsidR="002A4DDF" w:rsidRPr="00937C8B" w:rsidRDefault="002A4DDF" w:rsidP="009110ED">
            <w:pPr>
              <w:rPr>
                <w:rFonts w:ascii="Arial" w:hAnsi="Arial" w:cs="Arial"/>
                <w:sz w:val="12"/>
                <w:szCs w:val="12"/>
              </w:rPr>
            </w:pPr>
          </w:p>
        </w:tc>
        <w:tc>
          <w:tcPr>
            <w:tcW w:w="2268" w:type="dxa"/>
            <w:shd w:val="clear" w:color="auto" w:fill="F2F2F2"/>
            <w:hideMark/>
          </w:tcPr>
          <w:p w14:paraId="521E295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A25D848" w14:textId="77777777" w:rsidR="002A4DDF" w:rsidRPr="00937C8B" w:rsidRDefault="002A4DDF" w:rsidP="009110ED">
            <w:pPr>
              <w:rPr>
                <w:rFonts w:ascii="Arial" w:hAnsi="Arial" w:cs="Arial"/>
                <w:sz w:val="12"/>
                <w:szCs w:val="12"/>
              </w:rPr>
            </w:pPr>
            <w:r>
              <w:rPr>
                <w:rFonts w:ascii="Arial" w:hAnsi="Arial"/>
                <w:sz w:val="12"/>
                <w:szCs w:val="12"/>
              </w:rPr>
              <w:t>Valdetorres</w:t>
            </w:r>
          </w:p>
        </w:tc>
      </w:tr>
      <w:tr w:rsidR="002A4DDF" w:rsidRPr="00937C8B" w14:paraId="31974BB2" w14:textId="77777777" w:rsidTr="00935676">
        <w:trPr>
          <w:cantSplit/>
        </w:trPr>
        <w:tc>
          <w:tcPr>
            <w:tcW w:w="1696" w:type="dxa"/>
            <w:tcBorders>
              <w:left w:val="single" w:sz="4" w:space="0" w:color="auto"/>
            </w:tcBorders>
            <w:shd w:val="clear" w:color="auto" w:fill="auto"/>
          </w:tcPr>
          <w:p w14:paraId="69A4C3B5" w14:textId="77777777" w:rsidR="002A4DDF" w:rsidRPr="00937C8B" w:rsidRDefault="002A4DDF" w:rsidP="009110ED">
            <w:pPr>
              <w:rPr>
                <w:rFonts w:ascii="Arial" w:hAnsi="Arial" w:cs="Arial"/>
                <w:sz w:val="12"/>
                <w:szCs w:val="12"/>
              </w:rPr>
            </w:pPr>
          </w:p>
        </w:tc>
        <w:tc>
          <w:tcPr>
            <w:tcW w:w="1843" w:type="dxa"/>
            <w:shd w:val="clear" w:color="auto" w:fill="auto"/>
          </w:tcPr>
          <w:p w14:paraId="70F4D576" w14:textId="77777777" w:rsidR="002A4DDF" w:rsidRPr="00937C8B" w:rsidRDefault="002A4DDF" w:rsidP="009110ED">
            <w:pPr>
              <w:rPr>
                <w:rFonts w:ascii="Arial" w:hAnsi="Arial" w:cs="Arial"/>
                <w:sz w:val="12"/>
                <w:szCs w:val="12"/>
              </w:rPr>
            </w:pPr>
          </w:p>
        </w:tc>
        <w:tc>
          <w:tcPr>
            <w:tcW w:w="2268" w:type="dxa"/>
            <w:shd w:val="clear" w:color="auto" w:fill="F2F2F2"/>
            <w:hideMark/>
          </w:tcPr>
          <w:p w14:paraId="7BAE007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D556F2F" w14:textId="77777777" w:rsidR="002A4DDF" w:rsidRPr="00937C8B" w:rsidRDefault="002A4DDF" w:rsidP="009110ED">
            <w:pPr>
              <w:rPr>
                <w:rFonts w:ascii="Arial" w:hAnsi="Arial" w:cs="Arial"/>
                <w:sz w:val="12"/>
                <w:szCs w:val="12"/>
              </w:rPr>
            </w:pPr>
            <w:r>
              <w:rPr>
                <w:rFonts w:ascii="Arial" w:hAnsi="Arial"/>
                <w:sz w:val="12"/>
                <w:szCs w:val="12"/>
              </w:rPr>
              <w:t>Valle de Matamoros</w:t>
            </w:r>
          </w:p>
        </w:tc>
      </w:tr>
      <w:tr w:rsidR="002A4DDF" w:rsidRPr="00937C8B" w14:paraId="67EB8FF0" w14:textId="77777777" w:rsidTr="00935676">
        <w:trPr>
          <w:cantSplit/>
        </w:trPr>
        <w:tc>
          <w:tcPr>
            <w:tcW w:w="1696" w:type="dxa"/>
            <w:tcBorders>
              <w:left w:val="single" w:sz="4" w:space="0" w:color="auto"/>
            </w:tcBorders>
            <w:shd w:val="clear" w:color="auto" w:fill="auto"/>
          </w:tcPr>
          <w:p w14:paraId="143FBB8A" w14:textId="77777777" w:rsidR="002A4DDF" w:rsidRPr="00937C8B" w:rsidRDefault="002A4DDF" w:rsidP="009110ED">
            <w:pPr>
              <w:rPr>
                <w:rFonts w:ascii="Arial" w:hAnsi="Arial" w:cs="Arial"/>
                <w:sz w:val="12"/>
                <w:szCs w:val="12"/>
              </w:rPr>
            </w:pPr>
          </w:p>
        </w:tc>
        <w:tc>
          <w:tcPr>
            <w:tcW w:w="1843" w:type="dxa"/>
            <w:shd w:val="clear" w:color="auto" w:fill="auto"/>
          </w:tcPr>
          <w:p w14:paraId="6C0A68BC" w14:textId="77777777" w:rsidR="002A4DDF" w:rsidRPr="00937C8B" w:rsidRDefault="002A4DDF" w:rsidP="009110ED">
            <w:pPr>
              <w:rPr>
                <w:rFonts w:ascii="Arial" w:hAnsi="Arial" w:cs="Arial"/>
                <w:sz w:val="12"/>
                <w:szCs w:val="12"/>
              </w:rPr>
            </w:pPr>
          </w:p>
        </w:tc>
        <w:tc>
          <w:tcPr>
            <w:tcW w:w="2268" w:type="dxa"/>
            <w:shd w:val="clear" w:color="auto" w:fill="F2F2F2"/>
          </w:tcPr>
          <w:p w14:paraId="6660D8B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tcPr>
          <w:p w14:paraId="2C663427" w14:textId="77777777" w:rsidR="002A4DDF" w:rsidRPr="00937C8B" w:rsidRDefault="002A4DDF" w:rsidP="009110ED">
            <w:pPr>
              <w:rPr>
                <w:rFonts w:ascii="Arial" w:hAnsi="Arial" w:cs="Arial"/>
                <w:sz w:val="12"/>
                <w:szCs w:val="12"/>
              </w:rPr>
            </w:pPr>
            <w:r>
              <w:rPr>
                <w:rFonts w:ascii="Arial" w:hAnsi="Arial"/>
                <w:sz w:val="12"/>
                <w:szCs w:val="12"/>
              </w:rPr>
              <w:t>Valverde de Llerena</w:t>
            </w:r>
          </w:p>
        </w:tc>
      </w:tr>
      <w:tr w:rsidR="002A4DDF" w:rsidRPr="00937C8B" w14:paraId="23A3014F" w14:textId="77777777" w:rsidTr="00935676">
        <w:trPr>
          <w:cantSplit/>
        </w:trPr>
        <w:tc>
          <w:tcPr>
            <w:tcW w:w="1696" w:type="dxa"/>
            <w:tcBorders>
              <w:left w:val="single" w:sz="4" w:space="0" w:color="auto"/>
            </w:tcBorders>
            <w:shd w:val="clear" w:color="auto" w:fill="auto"/>
          </w:tcPr>
          <w:p w14:paraId="52FDC6DF" w14:textId="77777777" w:rsidR="002A4DDF" w:rsidRPr="00937C8B" w:rsidRDefault="002A4DDF" w:rsidP="009110ED">
            <w:pPr>
              <w:rPr>
                <w:rFonts w:ascii="Arial" w:hAnsi="Arial" w:cs="Arial"/>
                <w:sz w:val="12"/>
                <w:szCs w:val="12"/>
              </w:rPr>
            </w:pPr>
          </w:p>
        </w:tc>
        <w:tc>
          <w:tcPr>
            <w:tcW w:w="1843" w:type="dxa"/>
            <w:shd w:val="clear" w:color="auto" w:fill="auto"/>
          </w:tcPr>
          <w:p w14:paraId="6CC34D4C" w14:textId="77777777" w:rsidR="002A4DDF" w:rsidRPr="00937C8B" w:rsidRDefault="002A4DDF" w:rsidP="009110ED">
            <w:pPr>
              <w:rPr>
                <w:rFonts w:ascii="Arial" w:hAnsi="Arial" w:cs="Arial"/>
                <w:sz w:val="12"/>
                <w:szCs w:val="12"/>
              </w:rPr>
            </w:pPr>
          </w:p>
        </w:tc>
        <w:tc>
          <w:tcPr>
            <w:tcW w:w="2268" w:type="dxa"/>
            <w:shd w:val="clear" w:color="auto" w:fill="F2F2F2"/>
            <w:hideMark/>
          </w:tcPr>
          <w:p w14:paraId="1B79593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9606F85" w14:textId="77777777" w:rsidR="002A4DDF" w:rsidRPr="00937C8B" w:rsidRDefault="002A4DDF" w:rsidP="009110ED">
            <w:pPr>
              <w:rPr>
                <w:rFonts w:ascii="Arial" w:hAnsi="Arial" w:cs="Arial"/>
                <w:sz w:val="12"/>
                <w:szCs w:val="12"/>
              </w:rPr>
            </w:pPr>
            <w:r>
              <w:rPr>
                <w:rFonts w:ascii="Arial" w:hAnsi="Arial"/>
                <w:sz w:val="12"/>
                <w:szCs w:val="12"/>
              </w:rPr>
              <w:t>Valverde de Mérida</w:t>
            </w:r>
          </w:p>
        </w:tc>
      </w:tr>
      <w:tr w:rsidR="002A4DDF" w:rsidRPr="00937C8B" w14:paraId="2EAD4E51" w14:textId="77777777" w:rsidTr="00935676">
        <w:trPr>
          <w:cantSplit/>
        </w:trPr>
        <w:tc>
          <w:tcPr>
            <w:tcW w:w="1696" w:type="dxa"/>
            <w:tcBorders>
              <w:left w:val="single" w:sz="4" w:space="0" w:color="auto"/>
            </w:tcBorders>
            <w:shd w:val="clear" w:color="auto" w:fill="auto"/>
          </w:tcPr>
          <w:p w14:paraId="3F75EBD2" w14:textId="77777777" w:rsidR="002A4DDF" w:rsidRPr="00937C8B" w:rsidRDefault="002A4DDF" w:rsidP="009110ED">
            <w:pPr>
              <w:rPr>
                <w:rFonts w:ascii="Arial" w:hAnsi="Arial" w:cs="Arial"/>
                <w:sz w:val="12"/>
                <w:szCs w:val="12"/>
              </w:rPr>
            </w:pPr>
          </w:p>
        </w:tc>
        <w:tc>
          <w:tcPr>
            <w:tcW w:w="1843" w:type="dxa"/>
            <w:shd w:val="clear" w:color="auto" w:fill="auto"/>
          </w:tcPr>
          <w:p w14:paraId="29E4B301" w14:textId="77777777" w:rsidR="002A4DDF" w:rsidRPr="00937C8B" w:rsidRDefault="002A4DDF" w:rsidP="009110ED">
            <w:pPr>
              <w:rPr>
                <w:rFonts w:ascii="Arial" w:hAnsi="Arial" w:cs="Arial"/>
                <w:sz w:val="12"/>
                <w:szCs w:val="12"/>
              </w:rPr>
            </w:pPr>
          </w:p>
        </w:tc>
        <w:tc>
          <w:tcPr>
            <w:tcW w:w="2268" w:type="dxa"/>
            <w:shd w:val="clear" w:color="auto" w:fill="F2F2F2"/>
            <w:hideMark/>
          </w:tcPr>
          <w:p w14:paraId="45B3ED6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2A8540D" w14:textId="77777777" w:rsidR="002A4DDF" w:rsidRPr="00937C8B" w:rsidRDefault="002A4DDF" w:rsidP="009110ED">
            <w:pPr>
              <w:rPr>
                <w:rFonts w:ascii="Arial" w:hAnsi="Arial" w:cs="Arial"/>
                <w:sz w:val="12"/>
                <w:szCs w:val="12"/>
              </w:rPr>
            </w:pPr>
            <w:r>
              <w:rPr>
                <w:rFonts w:ascii="Arial" w:hAnsi="Arial"/>
                <w:sz w:val="12"/>
                <w:szCs w:val="12"/>
              </w:rPr>
              <w:t>Villanueva de la Serena</w:t>
            </w:r>
          </w:p>
        </w:tc>
      </w:tr>
      <w:tr w:rsidR="002A4DDF" w:rsidRPr="00937C8B" w14:paraId="30E332DE" w14:textId="77777777" w:rsidTr="00935676">
        <w:trPr>
          <w:cantSplit/>
        </w:trPr>
        <w:tc>
          <w:tcPr>
            <w:tcW w:w="1696" w:type="dxa"/>
            <w:tcBorders>
              <w:left w:val="single" w:sz="4" w:space="0" w:color="auto"/>
            </w:tcBorders>
            <w:shd w:val="clear" w:color="auto" w:fill="auto"/>
          </w:tcPr>
          <w:p w14:paraId="49A239DD" w14:textId="77777777" w:rsidR="002A4DDF" w:rsidRPr="00937C8B" w:rsidRDefault="002A4DDF" w:rsidP="009110ED">
            <w:pPr>
              <w:rPr>
                <w:rFonts w:ascii="Arial" w:hAnsi="Arial" w:cs="Arial"/>
                <w:sz w:val="12"/>
                <w:szCs w:val="12"/>
              </w:rPr>
            </w:pPr>
          </w:p>
        </w:tc>
        <w:tc>
          <w:tcPr>
            <w:tcW w:w="1843" w:type="dxa"/>
            <w:shd w:val="clear" w:color="auto" w:fill="auto"/>
          </w:tcPr>
          <w:p w14:paraId="6F92B537" w14:textId="77777777" w:rsidR="002A4DDF" w:rsidRPr="00937C8B" w:rsidRDefault="002A4DDF" w:rsidP="009110ED">
            <w:pPr>
              <w:rPr>
                <w:rFonts w:ascii="Arial" w:hAnsi="Arial" w:cs="Arial"/>
                <w:sz w:val="12"/>
                <w:szCs w:val="12"/>
              </w:rPr>
            </w:pPr>
          </w:p>
        </w:tc>
        <w:tc>
          <w:tcPr>
            <w:tcW w:w="2268" w:type="dxa"/>
            <w:shd w:val="clear" w:color="auto" w:fill="F2F2F2"/>
            <w:hideMark/>
          </w:tcPr>
          <w:p w14:paraId="6A3EE85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A63C758" w14:textId="77777777" w:rsidR="002A4DDF" w:rsidRPr="00937C8B" w:rsidRDefault="002A4DDF" w:rsidP="009110ED">
            <w:pPr>
              <w:rPr>
                <w:rFonts w:ascii="Arial" w:hAnsi="Arial" w:cs="Arial"/>
                <w:sz w:val="12"/>
                <w:szCs w:val="12"/>
              </w:rPr>
            </w:pPr>
            <w:r>
              <w:rPr>
                <w:rFonts w:ascii="Arial" w:hAnsi="Arial"/>
                <w:sz w:val="12"/>
                <w:szCs w:val="12"/>
              </w:rPr>
              <w:t>Villar de Rena</w:t>
            </w:r>
          </w:p>
        </w:tc>
      </w:tr>
      <w:tr w:rsidR="002A4DDF" w:rsidRPr="00937C8B" w14:paraId="28D71807" w14:textId="77777777" w:rsidTr="00935676">
        <w:trPr>
          <w:cantSplit/>
        </w:trPr>
        <w:tc>
          <w:tcPr>
            <w:tcW w:w="1696" w:type="dxa"/>
            <w:tcBorders>
              <w:left w:val="single" w:sz="4" w:space="0" w:color="auto"/>
            </w:tcBorders>
            <w:shd w:val="clear" w:color="auto" w:fill="auto"/>
          </w:tcPr>
          <w:p w14:paraId="17233575" w14:textId="77777777" w:rsidR="002A4DDF" w:rsidRPr="00937C8B" w:rsidRDefault="002A4DDF" w:rsidP="009110ED">
            <w:pPr>
              <w:rPr>
                <w:rFonts w:ascii="Arial" w:hAnsi="Arial" w:cs="Arial"/>
                <w:sz w:val="12"/>
                <w:szCs w:val="12"/>
              </w:rPr>
            </w:pPr>
          </w:p>
        </w:tc>
        <w:tc>
          <w:tcPr>
            <w:tcW w:w="1843" w:type="dxa"/>
            <w:shd w:val="clear" w:color="auto" w:fill="auto"/>
          </w:tcPr>
          <w:p w14:paraId="3CC695EE" w14:textId="77777777" w:rsidR="002A4DDF" w:rsidRPr="00937C8B" w:rsidRDefault="002A4DDF" w:rsidP="009110ED">
            <w:pPr>
              <w:rPr>
                <w:rFonts w:ascii="Arial" w:hAnsi="Arial" w:cs="Arial"/>
                <w:sz w:val="12"/>
                <w:szCs w:val="12"/>
              </w:rPr>
            </w:pPr>
          </w:p>
        </w:tc>
        <w:tc>
          <w:tcPr>
            <w:tcW w:w="2268" w:type="dxa"/>
            <w:shd w:val="clear" w:color="auto" w:fill="F2F2F2"/>
            <w:hideMark/>
          </w:tcPr>
          <w:p w14:paraId="2972AFC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FCEBA8A" w14:textId="77777777" w:rsidR="002A4DDF" w:rsidRPr="00937C8B" w:rsidRDefault="002A4DDF" w:rsidP="009110ED">
            <w:pPr>
              <w:rPr>
                <w:rFonts w:ascii="Arial" w:hAnsi="Arial" w:cs="Arial"/>
                <w:sz w:val="12"/>
                <w:szCs w:val="12"/>
              </w:rPr>
            </w:pPr>
            <w:r>
              <w:rPr>
                <w:rFonts w:ascii="Arial" w:hAnsi="Arial"/>
                <w:sz w:val="12"/>
                <w:szCs w:val="12"/>
              </w:rPr>
              <w:t>Villar del Rey</w:t>
            </w:r>
          </w:p>
        </w:tc>
      </w:tr>
      <w:tr w:rsidR="002A4DDF" w:rsidRPr="00937C8B" w14:paraId="296D1109" w14:textId="77777777" w:rsidTr="00935676">
        <w:trPr>
          <w:cantSplit/>
        </w:trPr>
        <w:tc>
          <w:tcPr>
            <w:tcW w:w="1696" w:type="dxa"/>
            <w:tcBorders>
              <w:left w:val="single" w:sz="4" w:space="0" w:color="auto"/>
            </w:tcBorders>
            <w:shd w:val="clear" w:color="auto" w:fill="auto"/>
          </w:tcPr>
          <w:p w14:paraId="5EC17A7D" w14:textId="77777777" w:rsidR="002A4DDF" w:rsidRPr="00937C8B" w:rsidRDefault="002A4DDF" w:rsidP="009110ED">
            <w:pPr>
              <w:rPr>
                <w:rFonts w:ascii="Arial" w:hAnsi="Arial" w:cs="Arial"/>
                <w:sz w:val="12"/>
                <w:szCs w:val="12"/>
              </w:rPr>
            </w:pPr>
          </w:p>
        </w:tc>
        <w:tc>
          <w:tcPr>
            <w:tcW w:w="1843" w:type="dxa"/>
            <w:shd w:val="clear" w:color="auto" w:fill="auto"/>
          </w:tcPr>
          <w:p w14:paraId="3F850539" w14:textId="77777777" w:rsidR="002A4DDF" w:rsidRPr="00937C8B" w:rsidRDefault="002A4DDF" w:rsidP="009110ED">
            <w:pPr>
              <w:rPr>
                <w:rFonts w:ascii="Arial" w:hAnsi="Arial" w:cs="Arial"/>
                <w:sz w:val="12"/>
                <w:szCs w:val="12"/>
              </w:rPr>
            </w:pPr>
          </w:p>
        </w:tc>
        <w:tc>
          <w:tcPr>
            <w:tcW w:w="2268" w:type="dxa"/>
            <w:shd w:val="clear" w:color="auto" w:fill="F2F2F2"/>
            <w:hideMark/>
          </w:tcPr>
          <w:p w14:paraId="6D26203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AADD263" w14:textId="77777777" w:rsidR="002A4DDF" w:rsidRPr="00937C8B" w:rsidRDefault="002A4DDF" w:rsidP="009110ED">
            <w:pPr>
              <w:rPr>
                <w:rFonts w:ascii="Arial" w:hAnsi="Arial" w:cs="Arial"/>
                <w:sz w:val="12"/>
                <w:szCs w:val="12"/>
              </w:rPr>
            </w:pPr>
            <w:r>
              <w:rPr>
                <w:rFonts w:ascii="Arial" w:hAnsi="Arial"/>
                <w:sz w:val="12"/>
                <w:szCs w:val="12"/>
              </w:rPr>
              <w:t>Villarta de los Montes</w:t>
            </w:r>
          </w:p>
        </w:tc>
      </w:tr>
      <w:tr w:rsidR="002A4DDF" w:rsidRPr="00937C8B" w14:paraId="028B85B7" w14:textId="77777777" w:rsidTr="00935676">
        <w:trPr>
          <w:cantSplit/>
        </w:trPr>
        <w:tc>
          <w:tcPr>
            <w:tcW w:w="1696" w:type="dxa"/>
            <w:tcBorders>
              <w:left w:val="single" w:sz="4" w:space="0" w:color="auto"/>
            </w:tcBorders>
            <w:shd w:val="clear" w:color="auto" w:fill="auto"/>
          </w:tcPr>
          <w:p w14:paraId="58333D6A" w14:textId="77777777" w:rsidR="002A4DDF" w:rsidRPr="00937C8B" w:rsidRDefault="002A4DDF" w:rsidP="009110ED">
            <w:pPr>
              <w:rPr>
                <w:rFonts w:ascii="Arial" w:hAnsi="Arial" w:cs="Arial"/>
                <w:sz w:val="12"/>
                <w:szCs w:val="12"/>
              </w:rPr>
            </w:pPr>
          </w:p>
        </w:tc>
        <w:tc>
          <w:tcPr>
            <w:tcW w:w="1843" w:type="dxa"/>
            <w:shd w:val="clear" w:color="auto" w:fill="auto"/>
          </w:tcPr>
          <w:p w14:paraId="40C7FFB9" w14:textId="77777777" w:rsidR="002A4DDF" w:rsidRPr="00937C8B" w:rsidRDefault="002A4DDF" w:rsidP="009110ED">
            <w:pPr>
              <w:rPr>
                <w:rFonts w:ascii="Arial" w:hAnsi="Arial" w:cs="Arial"/>
                <w:sz w:val="12"/>
                <w:szCs w:val="12"/>
              </w:rPr>
            </w:pPr>
          </w:p>
        </w:tc>
        <w:tc>
          <w:tcPr>
            <w:tcW w:w="2268" w:type="dxa"/>
            <w:shd w:val="clear" w:color="auto" w:fill="F2F2F2"/>
            <w:hideMark/>
          </w:tcPr>
          <w:p w14:paraId="53AA2B7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252EE44" w14:textId="77777777" w:rsidR="002A4DDF" w:rsidRPr="00937C8B" w:rsidRDefault="002A4DDF" w:rsidP="009110ED">
            <w:pPr>
              <w:rPr>
                <w:rFonts w:ascii="Arial" w:hAnsi="Arial" w:cs="Arial"/>
                <w:sz w:val="12"/>
                <w:szCs w:val="12"/>
              </w:rPr>
            </w:pPr>
            <w:r>
              <w:rPr>
                <w:rFonts w:ascii="Arial" w:hAnsi="Arial"/>
                <w:sz w:val="12"/>
                <w:szCs w:val="12"/>
              </w:rPr>
              <w:t>Zafra</w:t>
            </w:r>
          </w:p>
        </w:tc>
      </w:tr>
      <w:tr w:rsidR="002A4DDF" w:rsidRPr="00937C8B" w14:paraId="16630EAB" w14:textId="77777777" w:rsidTr="00935676">
        <w:trPr>
          <w:cantSplit/>
        </w:trPr>
        <w:tc>
          <w:tcPr>
            <w:tcW w:w="1696" w:type="dxa"/>
            <w:tcBorders>
              <w:left w:val="single" w:sz="4" w:space="0" w:color="auto"/>
            </w:tcBorders>
            <w:shd w:val="clear" w:color="auto" w:fill="auto"/>
          </w:tcPr>
          <w:p w14:paraId="3D957D3F" w14:textId="77777777" w:rsidR="002A4DDF" w:rsidRPr="00937C8B" w:rsidRDefault="002A4DDF" w:rsidP="009110ED">
            <w:pPr>
              <w:rPr>
                <w:rFonts w:ascii="Arial" w:hAnsi="Arial" w:cs="Arial"/>
                <w:sz w:val="12"/>
                <w:szCs w:val="12"/>
              </w:rPr>
            </w:pPr>
          </w:p>
        </w:tc>
        <w:tc>
          <w:tcPr>
            <w:tcW w:w="1843" w:type="dxa"/>
            <w:shd w:val="clear" w:color="auto" w:fill="auto"/>
          </w:tcPr>
          <w:p w14:paraId="2AF2A378" w14:textId="77777777" w:rsidR="002A4DDF" w:rsidRPr="00937C8B" w:rsidRDefault="002A4DDF" w:rsidP="009110ED">
            <w:pPr>
              <w:rPr>
                <w:rFonts w:ascii="Arial" w:hAnsi="Arial" w:cs="Arial"/>
                <w:sz w:val="12"/>
                <w:szCs w:val="12"/>
              </w:rPr>
            </w:pPr>
          </w:p>
        </w:tc>
        <w:tc>
          <w:tcPr>
            <w:tcW w:w="2268" w:type="dxa"/>
            <w:shd w:val="clear" w:color="auto" w:fill="F2F2F2"/>
            <w:hideMark/>
          </w:tcPr>
          <w:p w14:paraId="39760B4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09CB1F1" w14:textId="77777777" w:rsidR="002A4DDF" w:rsidRPr="00937C8B" w:rsidRDefault="002A4DDF" w:rsidP="009110ED">
            <w:pPr>
              <w:rPr>
                <w:rFonts w:ascii="Arial" w:hAnsi="Arial" w:cs="Arial"/>
                <w:sz w:val="12"/>
                <w:szCs w:val="12"/>
              </w:rPr>
            </w:pPr>
            <w:r>
              <w:rPr>
                <w:rFonts w:ascii="Arial" w:hAnsi="Arial"/>
                <w:sz w:val="12"/>
                <w:szCs w:val="12"/>
              </w:rPr>
              <w:t>Zalamea de la Serena</w:t>
            </w:r>
          </w:p>
        </w:tc>
      </w:tr>
      <w:tr w:rsidR="002A4DDF" w:rsidRPr="00937C8B" w14:paraId="086F9DBD" w14:textId="77777777" w:rsidTr="00935676">
        <w:trPr>
          <w:cantSplit/>
        </w:trPr>
        <w:tc>
          <w:tcPr>
            <w:tcW w:w="1696" w:type="dxa"/>
            <w:tcBorders>
              <w:left w:val="single" w:sz="4" w:space="0" w:color="auto"/>
              <w:bottom w:val="single" w:sz="4" w:space="0" w:color="auto"/>
            </w:tcBorders>
            <w:shd w:val="clear" w:color="auto" w:fill="auto"/>
            <w:hideMark/>
          </w:tcPr>
          <w:p w14:paraId="71367EBA" w14:textId="77777777" w:rsidR="002A4DDF" w:rsidRPr="00937C8B" w:rsidRDefault="002A4DDF" w:rsidP="009110ED">
            <w:pPr>
              <w:rPr>
                <w:rFonts w:ascii="Arial" w:hAnsi="Arial" w:cs="Arial"/>
                <w:sz w:val="12"/>
                <w:szCs w:val="12"/>
              </w:rPr>
            </w:pPr>
            <w:r>
              <w:rPr>
                <w:rFonts w:ascii="Arial" w:hAnsi="Arial"/>
                <w:sz w:val="12"/>
                <w:szCs w:val="12"/>
              </w:rPr>
              <w:t>Estrémadure</w:t>
            </w:r>
          </w:p>
        </w:tc>
        <w:tc>
          <w:tcPr>
            <w:tcW w:w="1843" w:type="dxa"/>
            <w:tcBorders>
              <w:bottom w:val="single" w:sz="4" w:space="0" w:color="auto"/>
            </w:tcBorders>
            <w:shd w:val="clear" w:color="auto" w:fill="auto"/>
            <w:hideMark/>
          </w:tcPr>
          <w:p w14:paraId="52A88B49" w14:textId="77777777" w:rsidR="002A4DDF" w:rsidRPr="00937C8B" w:rsidRDefault="002A4DDF" w:rsidP="009110ED">
            <w:pPr>
              <w:rPr>
                <w:rFonts w:ascii="Arial" w:hAnsi="Arial" w:cs="Arial"/>
                <w:sz w:val="12"/>
                <w:szCs w:val="12"/>
              </w:rPr>
            </w:pPr>
            <w:r>
              <w:rPr>
                <w:rFonts w:ascii="Arial" w:hAnsi="Arial"/>
                <w:sz w:val="12"/>
                <w:szCs w:val="12"/>
              </w:rPr>
              <w:t>Badajoz</w:t>
            </w:r>
          </w:p>
        </w:tc>
        <w:tc>
          <w:tcPr>
            <w:tcW w:w="2268" w:type="dxa"/>
            <w:tcBorders>
              <w:bottom w:val="single" w:sz="4" w:space="0" w:color="auto"/>
            </w:tcBorders>
            <w:shd w:val="clear" w:color="auto" w:fill="F2F2F2"/>
            <w:hideMark/>
          </w:tcPr>
          <w:p w14:paraId="26F44C5C"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05221AED" w14:textId="77777777" w:rsidR="002A4DDF" w:rsidRPr="00937C8B" w:rsidRDefault="002A4DDF" w:rsidP="009110ED">
            <w:pPr>
              <w:rPr>
                <w:rFonts w:ascii="Arial" w:hAnsi="Arial" w:cs="Arial"/>
                <w:sz w:val="12"/>
                <w:szCs w:val="12"/>
              </w:rPr>
            </w:pPr>
            <w:r>
              <w:rPr>
                <w:rFonts w:ascii="Arial" w:hAnsi="Arial"/>
                <w:sz w:val="12"/>
                <w:szCs w:val="12"/>
              </w:rPr>
              <w:t>Zarza-Capilla</w:t>
            </w:r>
          </w:p>
        </w:tc>
      </w:tr>
      <w:tr w:rsidR="002A4DDF" w:rsidRPr="00937C8B" w14:paraId="13109AE1" w14:textId="77777777" w:rsidTr="00935676">
        <w:trPr>
          <w:cantSplit/>
        </w:trPr>
        <w:tc>
          <w:tcPr>
            <w:tcW w:w="1696" w:type="dxa"/>
            <w:tcBorders>
              <w:top w:val="single" w:sz="4" w:space="0" w:color="auto"/>
              <w:left w:val="single" w:sz="4" w:space="0" w:color="auto"/>
              <w:bottom w:val="single" w:sz="4" w:space="0" w:color="auto"/>
            </w:tcBorders>
            <w:shd w:val="clear" w:color="auto" w:fill="auto"/>
            <w:hideMark/>
          </w:tcPr>
          <w:p w14:paraId="3D031282"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39E9DD91"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5BE5E36F"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right w:val="single" w:sz="4" w:space="0" w:color="auto"/>
            </w:tcBorders>
            <w:shd w:val="clear" w:color="auto" w:fill="D9D9D9"/>
            <w:hideMark/>
          </w:tcPr>
          <w:p w14:paraId="1D52F869" w14:textId="77777777" w:rsidR="002A4DDF" w:rsidRPr="00937C8B" w:rsidRDefault="002A4DDF" w:rsidP="009110ED">
            <w:pPr>
              <w:rPr>
                <w:rFonts w:ascii="Arial" w:hAnsi="Arial" w:cs="Arial"/>
                <w:sz w:val="12"/>
                <w:szCs w:val="12"/>
              </w:rPr>
            </w:pPr>
          </w:p>
        </w:tc>
      </w:tr>
      <w:tr w:rsidR="002A4DDF" w:rsidRPr="00937C8B" w14:paraId="3F8A5171" w14:textId="77777777" w:rsidTr="00935676">
        <w:trPr>
          <w:cantSplit/>
        </w:trPr>
        <w:tc>
          <w:tcPr>
            <w:tcW w:w="1696" w:type="dxa"/>
            <w:tcBorders>
              <w:top w:val="single" w:sz="4" w:space="0" w:color="auto"/>
              <w:left w:val="single" w:sz="4" w:space="0" w:color="auto"/>
            </w:tcBorders>
            <w:shd w:val="clear" w:color="auto" w:fill="auto"/>
            <w:hideMark/>
          </w:tcPr>
          <w:p w14:paraId="7F126F31" w14:textId="77777777" w:rsidR="002A4DDF" w:rsidRPr="00937C8B" w:rsidRDefault="002A4DDF" w:rsidP="009110ED">
            <w:pPr>
              <w:rPr>
                <w:rFonts w:ascii="Arial" w:hAnsi="Arial" w:cs="Arial"/>
                <w:sz w:val="12"/>
                <w:szCs w:val="12"/>
              </w:rPr>
            </w:pPr>
            <w:r>
              <w:rPr>
                <w:rFonts w:ascii="Arial" w:hAnsi="Arial"/>
                <w:sz w:val="12"/>
                <w:szCs w:val="12"/>
              </w:rPr>
              <w:t>Estrémadure</w:t>
            </w:r>
          </w:p>
        </w:tc>
        <w:tc>
          <w:tcPr>
            <w:tcW w:w="1843" w:type="dxa"/>
            <w:tcBorders>
              <w:top w:val="single" w:sz="4" w:space="0" w:color="auto"/>
            </w:tcBorders>
            <w:shd w:val="clear" w:color="auto" w:fill="auto"/>
            <w:hideMark/>
          </w:tcPr>
          <w:p w14:paraId="0140B99E" w14:textId="77777777" w:rsidR="002A4DDF" w:rsidRPr="00937C8B" w:rsidRDefault="002A4DDF" w:rsidP="009110ED">
            <w:pPr>
              <w:rPr>
                <w:rFonts w:ascii="Arial" w:hAnsi="Arial" w:cs="Arial"/>
                <w:sz w:val="12"/>
                <w:szCs w:val="12"/>
              </w:rPr>
            </w:pPr>
            <w:r>
              <w:rPr>
                <w:rFonts w:ascii="Arial" w:hAnsi="Arial"/>
                <w:sz w:val="12"/>
                <w:szCs w:val="12"/>
              </w:rPr>
              <w:t>Cáceres</w:t>
            </w:r>
          </w:p>
        </w:tc>
        <w:tc>
          <w:tcPr>
            <w:tcW w:w="2268" w:type="dxa"/>
            <w:tcBorders>
              <w:top w:val="single" w:sz="4" w:space="0" w:color="auto"/>
            </w:tcBorders>
            <w:shd w:val="clear" w:color="auto" w:fill="F2F2F2"/>
            <w:hideMark/>
          </w:tcPr>
          <w:p w14:paraId="2B1D9DF8" w14:textId="77777777" w:rsidR="002A4DDF" w:rsidRPr="00937C8B" w:rsidRDefault="002A4DDF" w:rsidP="009110ED">
            <w:pPr>
              <w:rPr>
                <w:rFonts w:ascii="Arial" w:hAnsi="Arial" w:cs="Arial"/>
                <w:sz w:val="12"/>
                <w:szCs w:val="12"/>
              </w:rPr>
            </w:pPr>
            <w:r>
              <w:rPr>
                <w:rFonts w:ascii="Arial" w:hAnsi="Arial"/>
                <w:sz w:val="12"/>
                <w:szCs w:val="12"/>
              </w:rPr>
              <w:t>Alagón del Río</w:t>
            </w:r>
          </w:p>
        </w:tc>
        <w:tc>
          <w:tcPr>
            <w:tcW w:w="2268" w:type="dxa"/>
            <w:tcBorders>
              <w:top w:val="single" w:sz="4" w:space="0" w:color="auto"/>
              <w:right w:val="single" w:sz="4" w:space="0" w:color="auto"/>
            </w:tcBorders>
            <w:shd w:val="clear" w:color="auto" w:fill="D9D9D9"/>
            <w:hideMark/>
          </w:tcPr>
          <w:p w14:paraId="2A41F615" w14:textId="77777777" w:rsidR="002A4DDF" w:rsidRPr="00937C8B" w:rsidRDefault="002A4DDF" w:rsidP="009110ED">
            <w:pPr>
              <w:rPr>
                <w:rFonts w:ascii="Arial" w:hAnsi="Arial" w:cs="Arial"/>
                <w:sz w:val="12"/>
                <w:szCs w:val="12"/>
              </w:rPr>
            </w:pPr>
            <w:r>
              <w:rPr>
                <w:rFonts w:ascii="Arial" w:hAnsi="Arial"/>
                <w:sz w:val="12"/>
                <w:szCs w:val="12"/>
              </w:rPr>
              <w:t>Abadía</w:t>
            </w:r>
          </w:p>
        </w:tc>
      </w:tr>
      <w:tr w:rsidR="002A4DDF" w:rsidRPr="00937C8B" w14:paraId="26E58284" w14:textId="77777777" w:rsidTr="00935676">
        <w:trPr>
          <w:cantSplit/>
        </w:trPr>
        <w:tc>
          <w:tcPr>
            <w:tcW w:w="1696" w:type="dxa"/>
            <w:tcBorders>
              <w:left w:val="single" w:sz="4" w:space="0" w:color="auto"/>
            </w:tcBorders>
            <w:shd w:val="clear" w:color="auto" w:fill="auto"/>
          </w:tcPr>
          <w:p w14:paraId="38633B06" w14:textId="77777777" w:rsidR="002A4DDF" w:rsidRPr="00937C8B" w:rsidRDefault="002A4DDF" w:rsidP="009110ED">
            <w:pPr>
              <w:rPr>
                <w:rFonts w:ascii="Arial" w:hAnsi="Arial" w:cs="Arial"/>
                <w:sz w:val="12"/>
                <w:szCs w:val="12"/>
              </w:rPr>
            </w:pPr>
          </w:p>
        </w:tc>
        <w:tc>
          <w:tcPr>
            <w:tcW w:w="1843" w:type="dxa"/>
            <w:shd w:val="clear" w:color="auto" w:fill="auto"/>
          </w:tcPr>
          <w:p w14:paraId="51DC249A" w14:textId="77777777" w:rsidR="002A4DDF" w:rsidRPr="00937C8B" w:rsidRDefault="002A4DDF" w:rsidP="009110ED">
            <w:pPr>
              <w:rPr>
                <w:rFonts w:ascii="Arial" w:hAnsi="Arial" w:cs="Arial"/>
                <w:sz w:val="12"/>
                <w:szCs w:val="12"/>
              </w:rPr>
            </w:pPr>
          </w:p>
        </w:tc>
        <w:tc>
          <w:tcPr>
            <w:tcW w:w="2268" w:type="dxa"/>
            <w:shd w:val="clear" w:color="auto" w:fill="F2F2F2"/>
            <w:hideMark/>
          </w:tcPr>
          <w:p w14:paraId="05751678" w14:textId="77777777" w:rsidR="002A4DDF" w:rsidRPr="00937C8B" w:rsidRDefault="002A4DDF" w:rsidP="009110ED">
            <w:pPr>
              <w:rPr>
                <w:rFonts w:ascii="Arial" w:hAnsi="Arial" w:cs="Arial"/>
                <w:sz w:val="12"/>
                <w:szCs w:val="12"/>
              </w:rPr>
            </w:pPr>
            <w:r>
              <w:rPr>
                <w:rFonts w:ascii="Arial" w:hAnsi="Arial"/>
                <w:sz w:val="12"/>
                <w:szCs w:val="12"/>
              </w:rPr>
              <w:t>Alcollarín</w:t>
            </w:r>
          </w:p>
        </w:tc>
        <w:tc>
          <w:tcPr>
            <w:tcW w:w="2268" w:type="dxa"/>
            <w:tcBorders>
              <w:right w:val="single" w:sz="4" w:space="0" w:color="auto"/>
            </w:tcBorders>
            <w:shd w:val="clear" w:color="auto" w:fill="D9D9D9"/>
            <w:hideMark/>
          </w:tcPr>
          <w:p w14:paraId="77EBA9FF" w14:textId="77777777" w:rsidR="002A4DDF" w:rsidRPr="00937C8B" w:rsidRDefault="002A4DDF" w:rsidP="009110ED">
            <w:pPr>
              <w:rPr>
                <w:rFonts w:ascii="Arial" w:hAnsi="Arial" w:cs="Arial"/>
                <w:sz w:val="12"/>
                <w:szCs w:val="12"/>
              </w:rPr>
            </w:pPr>
            <w:r>
              <w:rPr>
                <w:rFonts w:ascii="Arial" w:hAnsi="Arial"/>
                <w:sz w:val="12"/>
                <w:szCs w:val="12"/>
              </w:rPr>
              <w:t>Abertura</w:t>
            </w:r>
          </w:p>
        </w:tc>
      </w:tr>
      <w:tr w:rsidR="002A4DDF" w:rsidRPr="00937C8B" w14:paraId="711DA009" w14:textId="77777777" w:rsidTr="00935676">
        <w:trPr>
          <w:cantSplit/>
        </w:trPr>
        <w:tc>
          <w:tcPr>
            <w:tcW w:w="1696" w:type="dxa"/>
            <w:tcBorders>
              <w:left w:val="single" w:sz="4" w:space="0" w:color="auto"/>
            </w:tcBorders>
            <w:shd w:val="clear" w:color="auto" w:fill="auto"/>
          </w:tcPr>
          <w:p w14:paraId="4DCCC490" w14:textId="77777777" w:rsidR="002A4DDF" w:rsidRPr="00937C8B" w:rsidRDefault="002A4DDF" w:rsidP="009110ED">
            <w:pPr>
              <w:rPr>
                <w:rFonts w:ascii="Arial" w:hAnsi="Arial" w:cs="Arial"/>
                <w:sz w:val="12"/>
                <w:szCs w:val="12"/>
              </w:rPr>
            </w:pPr>
          </w:p>
        </w:tc>
        <w:tc>
          <w:tcPr>
            <w:tcW w:w="1843" w:type="dxa"/>
            <w:shd w:val="clear" w:color="auto" w:fill="auto"/>
          </w:tcPr>
          <w:p w14:paraId="439DB482" w14:textId="77777777" w:rsidR="002A4DDF" w:rsidRPr="00937C8B" w:rsidRDefault="002A4DDF" w:rsidP="009110ED">
            <w:pPr>
              <w:rPr>
                <w:rFonts w:ascii="Arial" w:hAnsi="Arial" w:cs="Arial"/>
                <w:sz w:val="12"/>
                <w:szCs w:val="12"/>
              </w:rPr>
            </w:pPr>
          </w:p>
        </w:tc>
        <w:tc>
          <w:tcPr>
            <w:tcW w:w="2268" w:type="dxa"/>
            <w:shd w:val="clear" w:color="auto" w:fill="F2F2F2"/>
            <w:hideMark/>
          </w:tcPr>
          <w:p w14:paraId="1422C428" w14:textId="77777777" w:rsidR="002A4DDF" w:rsidRPr="00937C8B" w:rsidRDefault="002A4DDF" w:rsidP="009110ED">
            <w:pPr>
              <w:rPr>
                <w:rFonts w:ascii="Arial" w:hAnsi="Arial" w:cs="Arial"/>
                <w:sz w:val="12"/>
                <w:szCs w:val="12"/>
              </w:rPr>
            </w:pPr>
            <w:r>
              <w:rPr>
                <w:rFonts w:ascii="Arial" w:hAnsi="Arial"/>
                <w:sz w:val="12"/>
                <w:szCs w:val="12"/>
              </w:rPr>
              <w:t>Almoharín</w:t>
            </w:r>
          </w:p>
        </w:tc>
        <w:tc>
          <w:tcPr>
            <w:tcW w:w="2268" w:type="dxa"/>
            <w:tcBorders>
              <w:right w:val="single" w:sz="4" w:space="0" w:color="auto"/>
            </w:tcBorders>
            <w:shd w:val="clear" w:color="auto" w:fill="D9D9D9"/>
            <w:hideMark/>
          </w:tcPr>
          <w:p w14:paraId="14CBFFB6" w14:textId="77777777" w:rsidR="002A4DDF" w:rsidRPr="00937C8B" w:rsidRDefault="002A4DDF" w:rsidP="009110ED">
            <w:pPr>
              <w:rPr>
                <w:rFonts w:ascii="Arial" w:hAnsi="Arial" w:cs="Arial"/>
                <w:sz w:val="12"/>
                <w:szCs w:val="12"/>
              </w:rPr>
            </w:pPr>
            <w:r>
              <w:rPr>
                <w:rFonts w:ascii="Arial" w:hAnsi="Arial"/>
                <w:sz w:val="12"/>
                <w:szCs w:val="12"/>
              </w:rPr>
              <w:t>Acebo</w:t>
            </w:r>
          </w:p>
        </w:tc>
      </w:tr>
      <w:tr w:rsidR="002A4DDF" w:rsidRPr="00937C8B" w14:paraId="5E75937E" w14:textId="77777777" w:rsidTr="00935676">
        <w:trPr>
          <w:cantSplit/>
        </w:trPr>
        <w:tc>
          <w:tcPr>
            <w:tcW w:w="1696" w:type="dxa"/>
            <w:tcBorders>
              <w:left w:val="single" w:sz="4" w:space="0" w:color="auto"/>
            </w:tcBorders>
            <w:shd w:val="clear" w:color="auto" w:fill="auto"/>
          </w:tcPr>
          <w:p w14:paraId="18917EF2" w14:textId="77777777" w:rsidR="002A4DDF" w:rsidRPr="00937C8B" w:rsidRDefault="002A4DDF" w:rsidP="009110ED">
            <w:pPr>
              <w:rPr>
                <w:rFonts w:ascii="Arial" w:hAnsi="Arial" w:cs="Arial"/>
                <w:sz w:val="12"/>
                <w:szCs w:val="12"/>
              </w:rPr>
            </w:pPr>
          </w:p>
        </w:tc>
        <w:tc>
          <w:tcPr>
            <w:tcW w:w="1843" w:type="dxa"/>
            <w:shd w:val="clear" w:color="auto" w:fill="auto"/>
          </w:tcPr>
          <w:p w14:paraId="20BFBF31" w14:textId="77777777" w:rsidR="002A4DDF" w:rsidRPr="00937C8B" w:rsidRDefault="002A4DDF" w:rsidP="009110ED">
            <w:pPr>
              <w:rPr>
                <w:rFonts w:ascii="Arial" w:hAnsi="Arial" w:cs="Arial"/>
                <w:sz w:val="12"/>
                <w:szCs w:val="12"/>
              </w:rPr>
            </w:pPr>
          </w:p>
        </w:tc>
        <w:tc>
          <w:tcPr>
            <w:tcW w:w="2268" w:type="dxa"/>
            <w:shd w:val="clear" w:color="auto" w:fill="F2F2F2"/>
            <w:hideMark/>
          </w:tcPr>
          <w:p w14:paraId="771673E5" w14:textId="77777777" w:rsidR="002A4DDF" w:rsidRPr="00937C8B" w:rsidRDefault="002A4DDF" w:rsidP="009110ED">
            <w:pPr>
              <w:rPr>
                <w:rFonts w:ascii="Arial" w:hAnsi="Arial" w:cs="Arial"/>
                <w:sz w:val="12"/>
                <w:szCs w:val="12"/>
              </w:rPr>
            </w:pPr>
            <w:r>
              <w:rPr>
                <w:rFonts w:ascii="Arial" w:hAnsi="Arial"/>
                <w:sz w:val="12"/>
                <w:szCs w:val="12"/>
              </w:rPr>
              <w:t>Coria</w:t>
            </w:r>
          </w:p>
        </w:tc>
        <w:tc>
          <w:tcPr>
            <w:tcW w:w="2268" w:type="dxa"/>
            <w:tcBorders>
              <w:right w:val="single" w:sz="4" w:space="0" w:color="auto"/>
            </w:tcBorders>
            <w:shd w:val="clear" w:color="auto" w:fill="D9D9D9"/>
            <w:hideMark/>
          </w:tcPr>
          <w:p w14:paraId="336901C4" w14:textId="77777777" w:rsidR="002A4DDF" w:rsidRPr="00937C8B" w:rsidRDefault="002A4DDF" w:rsidP="009110ED">
            <w:pPr>
              <w:rPr>
                <w:rFonts w:ascii="Arial" w:hAnsi="Arial" w:cs="Arial"/>
                <w:sz w:val="12"/>
                <w:szCs w:val="12"/>
              </w:rPr>
            </w:pPr>
            <w:r>
              <w:rPr>
                <w:rFonts w:ascii="Arial" w:hAnsi="Arial"/>
                <w:sz w:val="12"/>
                <w:szCs w:val="12"/>
              </w:rPr>
              <w:t>Acehúche</w:t>
            </w:r>
          </w:p>
        </w:tc>
      </w:tr>
      <w:tr w:rsidR="002A4DDF" w:rsidRPr="00937C8B" w14:paraId="534D0E5E" w14:textId="77777777" w:rsidTr="00935676">
        <w:trPr>
          <w:cantSplit/>
        </w:trPr>
        <w:tc>
          <w:tcPr>
            <w:tcW w:w="1696" w:type="dxa"/>
            <w:tcBorders>
              <w:left w:val="single" w:sz="4" w:space="0" w:color="auto"/>
            </w:tcBorders>
            <w:shd w:val="clear" w:color="auto" w:fill="auto"/>
          </w:tcPr>
          <w:p w14:paraId="5FA83A10" w14:textId="77777777" w:rsidR="002A4DDF" w:rsidRPr="00937C8B" w:rsidRDefault="002A4DDF" w:rsidP="009110ED">
            <w:pPr>
              <w:rPr>
                <w:rFonts w:ascii="Arial" w:hAnsi="Arial" w:cs="Arial"/>
                <w:sz w:val="12"/>
                <w:szCs w:val="12"/>
              </w:rPr>
            </w:pPr>
          </w:p>
        </w:tc>
        <w:tc>
          <w:tcPr>
            <w:tcW w:w="1843" w:type="dxa"/>
            <w:shd w:val="clear" w:color="auto" w:fill="auto"/>
          </w:tcPr>
          <w:p w14:paraId="53C86A3A" w14:textId="77777777" w:rsidR="002A4DDF" w:rsidRPr="00937C8B" w:rsidRDefault="002A4DDF" w:rsidP="009110ED">
            <w:pPr>
              <w:rPr>
                <w:rFonts w:ascii="Arial" w:hAnsi="Arial" w:cs="Arial"/>
                <w:sz w:val="12"/>
                <w:szCs w:val="12"/>
              </w:rPr>
            </w:pPr>
          </w:p>
        </w:tc>
        <w:tc>
          <w:tcPr>
            <w:tcW w:w="2268" w:type="dxa"/>
            <w:shd w:val="clear" w:color="auto" w:fill="F2F2F2"/>
            <w:hideMark/>
          </w:tcPr>
          <w:p w14:paraId="4AA01AEC" w14:textId="77777777" w:rsidR="002A4DDF" w:rsidRPr="00937C8B" w:rsidRDefault="002A4DDF" w:rsidP="009110ED">
            <w:pPr>
              <w:rPr>
                <w:rFonts w:ascii="Arial" w:hAnsi="Arial" w:cs="Arial"/>
                <w:sz w:val="12"/>
                <w:szCs w:val="12"/>
              </w:rPr>
            </w:pPr>
            <w:r>
              <w:rPr>
                <w:rFonts w:ascii="Arial" w:hAnsi="Arial"/>
                <w:sz w:val="12"/>
                <w:szCs w:val="12"/>
              </w:rPr>
              <w:t>Herguijuela</w:t>
            </w:r>
          </w:p>
        </w:tc>
        <w:tc>
          <w:tcPr>
            <w:tcW w:w="2268" w:type="dxa"/>
            <w:tcBorders>
              <w:right w:val="single" w:sz="4" w:space="0" w:color="auto"/>
            </w:tcBorders>
            <w:shd w:val="clear" w:color="auto" w:fill="D9D9D9"/>
            <w:hideMark/>
          </w:tcPr>
          <w:p w14:paraId="7B35A021" w14:textId="77777777" w:rsidR="002A4DDF" w:rsidRPr="00937C8B" w:rsidRDefault="002A4DDF" w:rsidP="009110ED">
            <w:pPr>
              <w:rPr>
                <w:rFonts w:ascii="Arial" w:hAnsi="Arial" w:cs="Arial"/>
                <w:sz w:val="12"/>
                <w:szCs w:val="12"/>
              </w:rPr>
            </w:pPr>
            <w:r>
              <w:rPr>
                <w:rFonts w:ascii="Arial" w:hAnsi="Arial"/>
                <w:sz w:val="12"/>
                <w:szCs w:val="12"/>
              </w:rPr>
              <w:t>Aceituna</w:t>
            </w:r>
          </w:p>
        </w:tc>
      </w:tr>
      <w:tr w:rsidR="002A4DDF" w:rsidRPr="00937C8B" w14:paraId="77007423" w14:textId="77777777" w:rsidTr="00935676">
        <w:trPr>
          <w:cantSplit/>
        </w:trPr>
        <w:tc>
          <w:tcPr>
            <w:tcW w:w="1696" w:type="dxa"/>
            <w:tcBorders>
              <w:left w:val="single" w:sz="4" w:space="0" w:color="auto"/>
            </w:tcBorders>
            <w:shd w:val="clear" w:color="auto" w:fill="auto"/>
          </w:tcPr>
          <w:p w14:paraId="4E2D1A11" w14:textId="77777777" w:rsidR="002A4DDF" w:rsidRPr="00937C8B" w:rsidRDefault="002A4DDF" w:rsidP="009110ED">
            <w:pPr>
              <w:rPr>
                <w:rFonts w:ascii="Arial" w:hAnsi="Arial" w:cs="Arial"/>
                <w:sz w:val="12"/>
                <w:szCs w:val="12"/>
              </w:rPr>
            </w:pPr>
          </w:p>
        </w:tc>
        <w:tc>
          <w:tcPr>
            <w:tcW w:w="1843" w:type="dxa"/>
            <w:shd w:val="clear" w:color="auto" w:fill="auto"/>
          </w:tcPr>
          <w:p w14:paraId="334DE9EC" w14:textId="77777777" w:rsidR="002A4DDF" w:rsidRPr="00937C8B" w:rsidRDefault="002A4DDF" w:rsidP="009110ED">
            <w:pPr>
              <w:rPr>
                <w:rFonts w:ascii="Arial" w:hAnsi="Arial" w:cs="Arial"/>
                <w:sz w:val="12"/>
                <w:szCs w:val="12"/>
              </w:rPr>
            </w:pPr>
          </w:p>
        </w:tc>
        <w:tc>
          <w:tcPr>
            <w:tcW w:w="2268" w:type="dxa"/>
            <w:shd w:val="clear" w:color="auto" w:fill="F2F2F2"/>
            <w:hideMark/>
          </w:tcPr>
          <w:p w14:paraId="4F13E437" w14:textId="77777777" w:rsidR="002A4DDF" w:rsidRPr="00937C8B" w:rsidRDefault="002A4DDF" w:rsidP="009110ED">
            <w:pPr>
              <w:rPr>
                <w:rFonts w:ascii="Arial" w:hAnsi="Arial" w:cs="Arial"/>
                <w:sz w:val="12"/>
                <w:szCs w:val="12"/>
              </w:rPr>
            </w:pPr>
            <w:r>
              <w:rPr>
                <w:rFonts w:ascii="Arial" w:hAnsi="Arial"/>
                <w:sz w:val="12"/>
                <w:szCs w:val="12"/>
              </w:rPr>
              <w:t>Holguera</w:t>
            </w:r>
          </w:p>
        </w:tc>
        <w:tc>
          <w:tcPr>
            <w:tcW w:w="2268" w:type="dxa"/>
            <w:tcBorders>
              <w:right w:val="single" w:sz="4" w:space="0" w:color="auto"/>
            </w:tcBorders>
            <w:shd w:val="clear" w:color="auto" w:fill="D9D9D9"/>
            <w:hideMark/>
          </w:tcPr>
          <w:p w14:paraId="4926F7E2" w14:textId="77777777" w:rsidR="002A4DDF" w:rsidRPr="00937C8B" w:rsidRDefault="002A4DDF" w:rsidP="009110ED">
            <w:pPr>
              <w:rPr>
                <w:rFonts w:ascii="Arial" w:hAnsi="Arial" w:cs="Arial"/>
                <w:sz w:val="12"/>
                <w:szCs w:val="12"/>
              </w:rPr>
            </w:pPr>
            <w:r>
              <w:rPr>
                <w:rFonts w:ascii="Arial" w:hAnsi="Arial"/>
                <w:sz w:val="12"/>
                <w:szCs w:val="12"/>
              </w:rPr>
              <w:t>Ahigal</w:t>
            </w:r>
          </w:p>
        </w:tc>
      </w:tr>
      <w:tr w:rsidR="002A4DDF" w:rsidRPr="00937C8B" w14:paraId="3AFFE8C5" w14:textId="77777777" w:rsidTr="00935676">
        <w:trPr>
          <w:cantSplit/>
        </w:trPr>
        <w:tc>
          <w:tcPr>
            <w:tcW w:w="1696" w:type="dxa"/>
            <w:tcBorders>
              <w:left w:val="single" w:sz="4" w:space="0" w:color="auto"/>
            </w:tcBorders>
            <w:shd w:val="clear" w:color="auto" w:fill="auto"/>
          </w:tcPr>
          <w:p w14:paraId="67745727" w14:textId="77777777" w:rsidR="002A4DDF" w:rsidRPr="00937C8B" w:rsidRDefault="002A4DDF" w:rsidP="009110ED">
            <w:pPr>
              <w:rPr>
                <w:rFonts w:ascii="Arial" w:hAnsi="Arial" w:cs="Arial"/>
                <w:sz w:val="12"/>
                <w:szCs w:val="12"/>
              </w:rPr>
            </w:pPr>
          </w:p>
        </w:tc>
        <w:tc>
          <w:tcPr>
            <w:tcW w:w="1843" w:type="dxa"/>
            <w:shd w:val="clear" w:color="auto" w:fill="auto"/>
          </w:tcPr>
          <w:p w14:paraId="7540577E" w14:textId="77777777" w:rsidR="002A4DDF" w:rsidRPr="00937C8B" w:rsidRDefault="002A4DDF" w:rsidP="009110ED">
            <w:pPr>
              <w:rPr>
                <w:rFonts w:ascii="Arial" w:hAnsi="Arial" w:cs="Arial"/>
                <w:sz w:val="12"/>
                <w:szCs w:val="12"/>
              </w:rPr>
            </w:pPr>
          </w:p>
        </w:tc>
        <w:tc>
          <w:tcPr>
            <w:tcW w:w="2268" w:type="dxa"/>
            <w:shd w:val="clear" w:color="auto" w:fill="F2F2F2"/>
            <w:hideMark/>
          </w:tcPr>
          <w:p w14:paraId="4069854B" w14:textId="77777777" w:rsidR="002A4DDF" w:rsidRPr="00937C8B" w:rsidRDefault="002A4DDF" w:rsidP="009110ED">
            <w:pPr>
              <w:rPr>
                <w:rFonts w:ascii="Arial" w:hAnsi="Arial" w:cs="Arial"/>
                <w:sz w:val="12"/>
                <w:szCs w:val="12"/>
              </w:rPr>
            </w:pPr>
            <w:r>
              <w:rPr>
                <w:rFonts w:ascii="Arial" w:hAnsi="Arial"/>
                <w:sz w:val="12"/>
                <w:szCs w:val="12"/>
              </w:rPr>
              <w:t>Huélaga</w:t>
            </w:r>
          </w:p>
        </w:tc>
        <w:tc>
          <w:tcPr>
            <w:tcW w:w="2268" w:type="dxa"/>
            <w:tcBorders>
              <w:right w:val="single" w:sz="4" w:space="0" w:color="auto"/>
            </w:tcBorders>
            <w:shd w:val="clear" w:color="auto" w:fill="D9D9D9"/>
            <w:hideMark/>
          </w:tcPr>
          <w:p w14:paraId="2B2B664A" w14:textId="77777777" w:rsidR="002A4DDF" w:rsidRPr="00937C8B" w:rsidRDefault="002A4DDF" w:rsidP="009110ED">
            <w:pPr>
              <w:rPr>
                <w:rFonts w:ascii="Arial" w:hAnsi="Arial" w:cs="Arial"/>
                <w:sz w:val="12"/>
                <w:szCs w:val="12"/>
              </w:rPr>
            </w:pPr>
            <w:r>
              <w:rPr>
                <w:rFonts w:ascii="Arial" w:hAnsi="Arial"/>
                <w:sz w:val="12"/>
                <w:szCs w:val="12"/>
              </w:rPr>
              <w:t>Albalá</w:t>
            </w:r>
          </w:p>
        </w:tc>
      </w:tr>
      <w:tr w:rsidR="002A4DDF" w:rsidRPr="00937C8B" w14:paraId="391E0EB0" w14:textId="77777777" w:rsidTr="00935676">
        <w:trPr>
          <w:cantSplit/>
        </w:trPr>
        <w:tc>
          <w:tcPr>
            <w:tcW w:w="1696" w:type="dxa"/>
            <w:tcBorders>
              <w:left w:val="single" w:sz="4" w:space="0" w:color="auto"/>
            </w:tcBorders>
            <w:shd w:val="clear" w:color="auto" w:fill="auto"/>
          </w:tcPr>
          <w:p w14:paraId="069196C6" w14:textId="77777777" w:rsidR="002A4DDF" w:rsidRPr="00937C8B" w:rsidRDefault="002A4DDF" w:rsidP="009110ED">
            <w:pPr>
              <w:rPr>
                <w:rFonts w:ascii="Arial" w:hAnsi="Arial" w:cs="Arial"/>
                <w:sz w:val="12"/>
                <w:szCs w:val="12"/>
              </w:rPr>
            </w:pPr>
          </w:p>
        </w:tc>
        <w:tc>
          <w:tcPr>
            <w:tcW w:w="1843" w:type="dxa"/>
            <w:shd w:val="clear" w:color="auto" w:fill="auto"/>
          </w:tcPr>
          <w:p w14:paraId="1A51EF2B" w14:textId="77777777" w:rsidR="002A4DDF" w:rsidRPr="00937C8B" w:rsidRDefault="002A4DDF" w:rsidP="009110ED">
            <w:pPr>
              <w:rPr>
                <w:rFonts w:ascii="Arial" w:hAnsi="Arial" w:cs="Arial"/>
                <w:sz w:val="12"/>
                <w:szCs w:val="12"/>
              </w:rPr>
            </w:pPr>
          </w:p>
        </w:tc>
        <w:tc>
          <w:tcPr>
            <w:tcW w:w="2268" w:type="dxa"/>
            <w:shd w:val="clear" w:color="auto" w:fill="F2F2F2"/>
            <w:hideMark/>
          </w:tcPr>
          <w:p w14:paraId="5450F1CD" w14:textId="77777777" w:rsidR="002A4DDF" w:rsidRPr="00937C8B" w:rsidRDefault="002A4DDF" w:rsidP="009110ED">
            <w:pPr>
              <w:rPr>
                <w:rFonts w:ascii="Arial" w:hAnsi="Arial" w:cs="Arial"/>
                <w:sz w:val="12"/>
                <w:szCs w:val="12"/>
              </w:rPr>
            </w:pPr>
            <w:r>
              <w:rPr>
                <w:rFonts w:ascii="Arial" w:hAnsi="Arial"/>
                <w:sz w:val="12"/>
                <w:szCs w:val="12"/>
              </w:rPr>
              <w:t>La Granja</w:t>
            </w:r>
          </w:p>
        </w:tc>
        <w:tc>
          <w:tcPr>
            <w:tcW w:w="2268" w:type="dxa"/>
            <w:tcBorders>
              <w:right w:val="single" w:sz="4" w:space="0" w:color="auto"/>
            </w:tcBorders>
            <w:shd w:val="clear" w:color="auto" w:fill="D9D9D9"/>
            <w:hideMark/>
          </w:tcPr>
          <w:p w14:paraId="4059339E" w14:textId="77777777" w:rsidR="002A4DDF" w:rsidRPr="00937C8B" w:rsidRDefault="002A4DDF" w:rsidP="009110ED">
            <w:pPr>
              <w:rPr>
                <w:rFonts w:ascii="Arial" w:hAnsi="Arial" w:cs="Arial"/>
                <w:sz w:val="12"/>
                <w:szCs w:val="12"/>
              </w:rPr>
            </w:pPr>
            <w:r>
              <w:rPr>
                <w:rFonts w:ascii="Arial" w:hAnsi="Arial"/>
                <w:sz w:val="12"/>
                <w:szCs w:val="12"/>
              </w:rPr>
              <w:t>Alcántara</w:t>
            </w:r>
          </w:p>
        </w:tc>
      </w:tr>
      <w:tr w:rsidR="002A4DDF" w:rsidRPr="00937C8B" w14:paraId="2D7F80EB" w14:textId="77777777" w:rsidTr="00935676">
        <w:trPr>
          <w:cantSplit/>
        </w:trPr>
        <w:tc>
          <w:tcPr>
            <w:tcW w:w="1696" w:type="dxa"/>
            <w:tcBorders>
              <w:left w:val="single" w:sz="4" w:space="0" w:color="auto"/>
            </w:tcBorders>
            <w:shd w:val="clear" w:color="auto" w:fill="auto"/>
          </w:tcPr>
          <w:p w14:paraId="51264B0E" w14:textId="77777777" w:rsidR="002A4DDF" w:rsidRPr="00937C8B" w:rsidRDefault="002A4DDF" w:rsidP="009110ED">
            <w:pPr>
              <w:rPr>
                <w:rFonts w:ascii="Arial" w:hAnsi="Arial" w:cs="Arial"/>
                <w:sz w:val="12"/>
                <w:szCs w:val="12"/>
              </w:rPr>
            </w:pPr>
          </w:p>
        </w:tc>
        <w:tc>
          <w:tcPr>
            <w:tcW w:w="1843" w:type="dxa"/>
            <w:shd w:val="clear" w:color="auto" w:fill="auto"/>
          </w:tcPr>
          <w:p w14:paraId="451A3F1D" w14:textId="77777777" w:rsidR="002A4DDF" w:rsidRPr="00937C8B" w:rsidRDefault="002A4DDF" w:rsidP="009110ED">
            <w:pPr>
              <w:rPr>
                <w:rFonts w:ascii="Arial" w:hAnsi="Arial" w:cs="Arial"/>
                <w:sz w:val="12"/>
                <w:szCs w:val="12"/>
              </w:rPr>
            </w:pPr>
          </w:p>
        </w:tc>
        <w:tc>
          <w:tcPr>
            <w:tcW w:w="2268" w:type="dxa"/>
            <w:shd w:val="clear" w:color="auto" w:fill="F2F2F2"/>
            <w:hideMark/>
          </w:tcPr>
          <w:p w14:paraId="1AF40C03" w14:textId="77777777" w:rsidR="002A4DDF" w:rsidRPr="00937C8B" w:rsidRDefault="002A4DDF" w:rsidP="009110ED">
            <w:pPr>
              <w:rPr>
                <w:rFonts w:ascii="Arial" w:hAnsi="Arial" w:cs="Arial"/>
                <w:sz w:val="12"/>
                <w:szCs w:val="12"/>
              </w:rPr>
            </w:pPr>
            <w:r>
              <w:rPr>
                <w:rFonts w:ascii="Arial" w:hAnsi="Arial"/>
                <w:sz w:val="12"/>
                <w:szCs w:val="12"/>
              </w:rPr>
              <w:t>Madrigal de la Vera</w:t>
            </w:r>
          </w:p>
        </w:tc>
        <w:tc>
          <w:tcPr>
            <w:tcW w:w="2268" w:type="dxa"/>
            <w:tcBorders>
              <w:right w:val="single" w:sz="4" w:space="0" w:color="auto"/>
            </w:tcBorders>
            <w:shd w:val="clear" w:color="auto" w:fill="D9D9D9"/>
            <w:hideMark/>
          </w:tcPr>
          <w:p w14:paraId="1F7D85B7" w14:textId="77777777" w:rsidR="002A4DDF" w:rsidRPr="00937C8B" w:rsidRDefault="002A4DDF" w:rsidP="009110ED">
            <w:pPr>
              <w:rPr>
                <w:rFonts w:ascii="Arial" w:hAnsi="Arial" w:cs="Arial"/>
                <w:sz w:val="12"/>
                <w:szCs w:val="12"/>
              </w:rPr>
            </w:pPr>
            <w:r>
              <w:rPr>
                <w:rFonts w:ascii="Arial" w:hAnsi="Arial"/>
                <w:sz w:val="12"/>
                <w:szCs w:val="12"/>
              </w:rPr>
              <w:t>Alcuéscar</w:t>
            </w:r>
          </w:p>
        </w:tc>
      </w:tr>
      <w:tr w:rsidR="002A4DDF" w:rsidRPr="00937C8B" w14:paraId="4BE9FEC3" w14:textId="77777777" w:rsidTr="00935676">
        <w:trPr>
          <w:cantSplit/>
        </w:trPr>
        <w:tc>
          <w:tcPr>
            <w:tcW w:w="1696" w:type="dxa"/>
            <w:tcBorders>
              <w:left w:val="single" w:sz="4" w:space="0" w:color="auto"/>
            </w:tcBorders>
            <w:shd w:val="clear" w:color="auto" w:fill="auto"/>
          </w:tcPr>
          <w:p w14:paraId="0F817D22" w14:textId="77777777" w:rsidR="002A4DDF" w:rsidRPr="00937C8B" w:rsidRDefault="002A4DDF" w:rsidP="009110ED">
            <w:pPr>
              <w:rPr>
                <w:rFonts w:ascii="Arial" w:hAnsi="Arial" w:cs="Arial"/>
                <w:sz w:val="12"/>
                <w:szCs w:val="12"/>
              </w:rPr>
            </w:pPr>
          </w:p>
        </w:tc>
        <w:tc>
          <w:tcPr>
            <w:tcW w:w="1843" w:type="dxa"/>
            <w:shd w:val="clear" w:color="auto" w:fill="auto"/>
          </w:tcPr>
          <w:p w14:paraId="75AA38F2" w14:textId="77777777" w:rsidR="002A4DDF" w:rsidRPr="00937C8B" w:rsidRDefault="002A4DDF" w:rsidP="009110ED">
            <w:pPr>
              <w:rPr>
                <w:rFonts w:ascii="Arial" w:hAnsi="Arial" w:cs="Arial"/>
                <w:sz w:val="12"/>
                <w:szCs w:val="12"/>
              </w:rPr>
            </w:pPr>
          </w:p>
        </w:tc>
        <w:tc>
          <w:tcPr>
            <w:tcW w:w="2268" w:type="dxa"/>
            <w:shd w:val="clear" w:color="auto" w:fill="F2F2F2"/>
            <w:hideMark/>
          </w:tcPr>
          <w:p w14:paraId="1E579394" w14:textId="77777777" w:rsidR="002A4DDF" w:rsidRPr="00937C8B" w:rsidRDefault="002A4DDF" w:rsidP="009110ED">
            <w:pPr>
              <w:rPr>
                <w:rFonts w:ascii="Arial" w:hAnsi="Arial" w:cs="Arial"/>
                <w:sz w:val="12"/>
                <w:szCs w:val="12"/>
              </w:rPr>
            </w:pPr>
            <w:r>
              <w:rPr>
                <w:rFonts w:ascii="Arial" w:hAnsi="Arial"/>
                <w:sz w:val="12"/>
                <w:szCs w:val="12"/>
              </w:rPr>
              <w:t>Madrigalejo</w:t>
            </w:r>
          </w:p>
        </w:tc>
        <w:tc>
          <w:tcPr>
            <w:tcW w:w="2268" w:type="dxa"/>
            <w:tcBorders>
              <w:right w:val="single" w:sz="4" w:space="0" w:color="auto"/>
            </w:tcBorders>
            <w:shd w:val="clear" w:color="auto" w:fill="D9D9D9"/>
            <w:hideMark/>
          </w:tcPr>
          <w:p w14:paraId="20C54B64" w14:textId="77777777" w:rsidR="002A4DDF" w:rsidRPr="00937C8B" w:rsidRDefault="002A4DDF" w:rsidP="009110ED">
            <w:pPr>
              <w:rPr>
                <w:rFonts w:ascii="Arial" w:hAnsi="Arial" w:cs="Arial"/>
                <w:sz w:val="12"/>
                <w:szCs w:val="12"/>
              </w:rPr>
            </w:pPr>
            <w:r>
              <w:rPr>
                <w:rFonts w:ascii="Arial" w:hAnsi="Arial"/>
                <w:sz w:val="12"/>
                <w:szCs w:val="12"/>
              </w:rPr>
              <w:t>Aldea del Cano</w:t>
            </w:r>
          </w:p>
        </w:tc>
      </w:tr>
      <w:tr w:rsidR="002A4DDF" w:rsidRPr="00937C8B" w14:paraId="27F3D092" w14:textId="77777777" w:rsidTr="00935676">
        <w:trPr>
          <w:cantSplit/>
        </w:trPr>
        <w:tc>
          <w:tcPr>
            <w:tcW w:w="1696" w:type="dxa"/>
            <w:tcBorders>
              <w:left w:val="single" w:sz="4" w:space="0" w:color="auto"/>
            </w:tcBorders>
            <w:shd w:val="clear" w:color="auto" w:fill="auto"/>
          </w:tcPr>
          <w:p w14:paraId="6ADF6AF6" w14:textId="77777777" w:rsidR="002A4DDF" w:rsidRPr="00937C8B" w:rsidRDefault="002A4DDF" w:rsidP="009110ED">
            <w:pPr>
              <w:rPr>
                <w:rFonts w:ascii="Arial" w:hAnsi="Arial" w:cs="Arial"/>
                <w:sz w:val="12"/>
                <w:szCs w:val="12"/>
              </w:rPr>
            </w:pPr>
          </w:p>
        </w:tc>
        <w:tc>
          <w:tcPr>
            <w:tcW w:w="1843" w:type="dxa"/>
            <w:shd w:val="clear" w:color="auto" w:fill="auto"/>
          </w:tcPr>
          <w:p w14:paraId="18173D54" w14:textId="77777777" w:rsidR="002A4DDF" w:rsidRPr="00937C8B" w:rsidRDefault="002A4DDF" w:rsidP="009110ED">
            <w:pPr>
              <w:rPr>
                <w:rFonts w:ascii="Arial" w:hAnsi="Arial" w:cs="Arial"/>
                <w:sz w:val="12"/>
                <w:szCs w:val="12"/>
              </w:rPr>
            </w:pPr>
          </w:p>
        </w:tc>
        <w:tc>
          <w:tcPr>
            <w:tcW w:w="2268" w:type="dxa"/>
            <w:shd w:val="clear" w:color="auto" w:fill="F2F2F2"/>
            <w:hideMark/>
          </w:tcPr>
          <w:p w14:paraId="4E9890F6" w14:textId="77777777" w:rsidR="002A4DDF" w:rsidRPr="00937C8B" w:rsidRDefault="002A4DDF" w:rsidP="009110ED">
            <w:pPr>
              <w:rPr>
                <w:rFonts w:ascii="Arial" w:hAnsi="Arial" w:cs="Arial"/>
                <w:sz w:val="12"/>
                <w:szCs w:val="12"/>
              </w:rPr>
            </w:pPr>
            <w:r>
              <w:rPr>
                <w:rFonts w:ascii="Arial" w:hAnsi="Arial"/>
                <w:sz w:val="12"/>
                <w:szCs w:val="12"/>
              </w:rPr>
              <w:t>Moraleja</w:t>
            </w:r>
          </w:p>
        </w:tc>
        <w:tc>
          <w:tcPr>
            <w:tcW w:w="2268" w:type="dxa"/>
            <w:tcBorders>
              <w:right w:val="single" w:sz="4" w:space="0" w:color="auto"/>
            </w:tcBorders>
            <w:shd w:val="clear" w:color="auto" w:fill="D9D9D9"/>
            <w:hideMark/>
          </w:tcPr>
          <w:p w14:paraId="4DFE1837" w14:textId="77777777" w:rsidR="002A4DDF" w:rsidRPr="00937C8B" w:rsidRDefault="002A4DDF" w:rsidP="009110ED">
            <w:pPr>
              <w:rPr>
                <w:rFonts w:ascii="Arial" w:hAnsi="Arial" w:cs="Arial"/>
                <w:sz w:val="12"/>
                <w:szCs w:val="12"/>
              </w:rPr>
            </w:pPr>
            <w:r>
              <w:rPr>
                <w:rFonts w:ascii="Arial" w:hAnsi="Arial"/>
                <w:sz w:val="12"/>
                <w:szCs w:val="12"/>
              </w:rPr>
              <w:t>Aldeacentenera</w:t>
            </w:r>
          </w:p>
        </w:tc>
      </w:tr>
      <w:tr w:rsidR="002A4DDF" w:rsidRPr="00937C8B" w14:paraId="4D6C2F7C" w14:textId="77777777" w:rsidTr="00935676">
        <w:trPr>
          <w:cantSplit/>
        </w:trPr>
        <w:tc>
          <w:tcPr>
            <w:tcW w:w="1696" w:type="dxa"/>
            <w:tcBorders>
              <w:left w:val="single" w:sz="4" w:space="0" w:color="auto"/>
            </w:tcBorders>
            <w:shd w:val="clear" w:color="auto" w:fill="auto"/>
          </w:tcPr>
          <w:p w14:paraId="4F953BAB" w14:textId="77777777" w:rsidR="002A4DDF" w:rsidRPr="00937C8B" w:rsidRDefault="002A4DDF" w:rsidP="009110ED">
            <w:pPr>
              <w:rPr>
                <w:rFonts w:ascii="Arial" w:hAnsi="Arial" w:cs="Arial"/>
                <w:sz w:val="12"/>
                <w:szCs w:val="12"/>
              </w:rPr>
            </w:pPr>
          </w:p>
        </w:tc>
        <w:tc>
          <w:tcPr>
            <w:tcW w:w="1843" w:type="dxa"/>
            <w:shd w:val="clear" w:color="auto" w:fill="auto"/>
          </w:tcPr>
          <w:p w14:paraId="2B1EE5AA" w14:textId="77777777" w:rsidR="002A4DDF" w:rsidRPr="00937C8B" w:rsidRDefault="002A4DDF" w:rsidP="009110ED">
            <w:pPr>
              <w:rPr>
                <w:rFonts w:ascii="Arial" w:hAnsi="Arial" w:cs="Arial"/>
                <w:sz w:val="12"/>
                <w:szCs w:val="12"/>
              </w:rPr>
            </w:pPr>
          </w:p>
        </w:tc>
        <w:tc>
          <w:tcPr>
            <w:tcW w:w="2268" w:type="dxa"/>
            <w:shd w:val="clear" w:color="auto" w:fill="F2F2F2"/>
            <w:hideMark/>
          </w:tcPr>
          <w:p w14:paraId="5B5D7CBA" w14:textId="77777777" w:rsidR="002A4DDF" w:rsidRPr="00937C8B" w:rsidRDefault="002A4DDF" w:rsidP="009110ED">
            <w:pPr>
              <w:rPr>
                <w:rFonts w:ascii="Arial" w:hAnsi="Arial" w:cs="Arial"/>
                <w:sz w:val="12"/>
                <w:szCs w:val="12"/>
              </w:rPr>
            </w:pPr>
            <w:r>
              <w:rPr>
                <w:rFonts w:ascii="Arial" w:hAnsi="Arial"/>
                <w:sz w:val="12"/>
                <w:szCs w:val="12"/>
              </w:rPr>
              <w:t>Portezuelo</w:t>
            </w:r>
          </w:p>
        </w:tc>
        <w:tc>
          <w:tcPr>
            <w:tcW w:w="2268" w:type="dxa"/>
            <w:tcBorders>
              <w:right w:val="single" w:sz="4" w:space="0" w:color="auto"/>
            </w:tcBorders>
            <w:shd w:val="clear" w:color="auto" w:fill="D9D9D9"/>
            <w:hideMark/>
          </w:tcPr>
          <w:p w14:paraId="2C86E0D6" w14:textId="77777777" w:rsidR="002A4DDF" w:rsidRPr="00937C8B" w:rsidRDefault="002A4DDF" w:rsidP="009110ED">
            <w:pPr>
              <w:rPr>
                <w:rFonts w:ascii="Arial" w:hAnsi="Arial" w:cs="Arial"/>
                <w:sz w:val="12"/>
                <w:szCs w:val="12"/>
              </w:rPr>
            </w:pPr>
            <w:r>
              <w:rPr>
                <w:rFonts w:ascii="Arial" w:hAnsi="Arial"/>
                <w:sz w:val="12"/>
                <w:szCs w:val="12"/>
              </w:rPr>
              <w:t>Aldeanueva de la Vera</w:t>
            </w:r>
          </w:p>
        </w:tc>
      </w:tr>
      <w:tr w:rsidR="002A4DDF" w:rsidRPr="00937C8B" w14:paraId="38995808" w14:textId="77777777" w:rsidTr="00935676">
        <w:trPr>
          <w:cantSplit/>
        </w:trPr>
        <w:tc>
          <w:tcPr>
            <w:tcW w:w="1696" w:type="dxa"/>
            <w:tcBorders>
              <w:left w:val="single" w:sz="4" w:space="0" w:color="auto"/>
            </w:tcBorders>
            <w:shd w:val="clear" w:color="auto" w:fill="auto"/>
          </w:tcPr>
          <w:p w14:paraId="4A66754C" w14:textId="77777777" w:rsidR="002A4DDF" w:rsidRPr="00937C8B" w:rsidRDefault="002A4DDF" w:rsidP="009110ED">
            <w:pPr>
              <w:rPr>
                <w:rFonts w:ascii="Arial" w:hAnsi="Arial" w:cs="Arial"/>
                <w:sz w:val="12"/>
                <w:szCs w:val="12"/>
              </w:rPr>
            </w:pPr>
          </w:p>
        </w:tc>
        <w:tc>
          <w:tcPr>
            <w:tcW w:w="1843" w:type="dxa"/>
            <w:shd w:val="clear" w:color="auto" w:fill="auto"/>
          </w:tcPr>
          <w:p w14:paraId="57AEC8DD" w14:textId="77777777" w:rsidR="002A4DDF" w:rsidRPr="00937C8B" w:rsidRDefault="002A4DDF" w:rsidP="009110ED">
            <w:pPr>
              <w:rPr>
                <w:rFonts w:ascii="Arial" w:hAnsi="Arial" w:cs="Arial"/>
                <w:sz w:val="12"/>
                <w:szCs w:val="12"/>
              </w:rPr>
            </w:pPr>
          </w:p>
        </w:tc>
        <w:tc>
          <w:tcPr>
            <w:tcW w:w="2268" w:type="dxa"/>
            <w:shd w:val="clear" w:color="auto" w:fill="F2F2F2"/>
            <w:hideMark/>
          </w:tcPr>
          <w:p w14:paraId="675CA179" w14:textId="77777777" w:rsidR="002A4DDF" w:rsidRPr="00937C8B" w:rsidRDefault="002A4DDF" w:rsidP="009110ED">
            <w:pPr>
              <w:rPr>
                <w:rFonts w:ascii="Arial" w:hAnsi="Arial" w:cs="Arial"/>
                <w:sz w:val="12"/>
                <w:szCs w:val="12"/>
              </w:rPr>
            </w:pPr>
            <w:r>
              <w:rPr>
                <w:rFonts w:ascii="Arial" w:hAnsi="Arial"/>
                <w:sz w:val="12"/>
                <w:szCs w:val="12"/>
              </w:rPr>
              <w:t>Pueblonuevo de Miramontes</w:t>
            </w:r>
          </w:p>
        </w:tc>
        <w:tc>
          <w:tcPr>
            <w:tcW w:w="2268" w:type="dxa"/>
            <w:tcBorders>
              <w:right w:val="single" w:sz="4" w:space="0" w:color="auto"/>
            </w:tcBorders>
            <w:shd w:val="clear" w:color="auto" w:fill="D9D9D9"/>
            <w:hideMark/>
          </w:tcPr>
          <w:p w14:paraId="67AB7AF8" w14:textId="77777777" w:rsidR="002A4DDF" w:rsidRPr="00937C8B" w:rsidRDefault="002A4DDF" w:rsidP="009110ED">
            <w:pPr>
              <w:rPr>
                <w:rFonts w:ascii="Arial" w:hAnsi="Arial" w:cs="Arial"/>
                <w:sz w:val="12"/>
                <w:szCs w:val="12"/>
              </w:rPr>
            </w:pPr>
            <w:r>
              <w:rPr>
                <w:rFonts w:ascii="Arial" w:hAnsi="Arial"/>
                <w:sz w:val="12"/>
                <w:szCs w:val="12"/>
              </w:rPr>
              <w:t>Aldeanueva del Camino</w:t>
            </w:r>
          </w:p>
        </w:tc>
      </w:tr>
      <w:tr w:rsidR="002A4DDF" w:rsidRPr="00937C8B" w14:paraId="4F53C289" w14:textId="77777777" w:rsidTr="00935676">
        <w:trPr>
          <w:cantSplit/>
        </w:trPr>
        <w:tc>
          <w:tcPr>
            <w:tcW w:w="1696" w:type="dxa"/>
            <w:tcBorders>
              <w:left w:val="single" w:sz="4" w:space="0" w:color="auto"/>
            </w:tcBorders>
            <w:shd w:val="clear" w:color="auto" w:fill="auto"/>
          </w:tcPr>
          <w:p w14:paraId="6DD2FFDF" w14:textId="77777777" w:rsidR="002A4DDF" w:rsidRPr="00937C8B" w:rsidRDefault="002A4DDF" w:rsidP="009110ED">
            <w:pPr>
              <w:rPr>
                <w:rFonts w:ascii="Arial" w:hAnsi="Arial" w:cs="Arial"/>
                <w:sz w:val="12"/>
                <w:szCs w:val="12"/>
              </w:rPr>
            </w:pPr>
          </w:p>
        </w:tc>
        <w:tc>
          <w:tcPr>
            <w:tcW w:w="1843" w:type="dxa"/>
            <w:shd w:val="clear" w:color="auto" w:fill="auto"/>
          </w:tcPr>
          <w:p w14:paraId="52AF0D77" w14:textId="77777777" w:rsidR="002A4DDF" w:rsidRPr="00937C8B" w:rsidRDefault="002A4DDF" w:rsidP="009110ED">
            <w:pPr>
              <w:rPr>
                <w:rFonts w:ascii="Arial" w:hAnsi="Arial" w:cs="Arial"/>
                <w:sz w:val="12"/>
                <w:szCs w:val="12"/>
              </w:rPr>
            </w:pPr>
          </w:p>
        </w:tc>
        <w:tc>
          <w:tcPr>
            <w:tcW w:w="2268" w:type="dxa"/>
            <w:shd w:val="clear" w:color="auto" w:fill="F2F2F2"/>
            <w:hideMark/>
          </w:tcPr>
          <w:p w14:paraId="20A46706" w14:textId="77777777" w:rsidR="002A4DDF" w:rsidRPr="00937C8B" w:rsidRDefault="002A4DDF" w:rsidP="009110ED">
            <w:pPr>
              <w:rPr>
                <w:rFonts w:ascii="Arial" w:hAnsi="Arial" w:cs="Arial"/>
                <w:sz w:val="12"/>
                <w:szCs w:val="12"/>
              </w:rPr>
            </w:pPr>
            <w:r>
              <w:rPr>
                <w:rFonts w:ascii="Arial" w:hAnsi="Arial"/>
                <w:sz w:val="12"/>
                <w:szCs w:val="12"/>
              </w:rPr>
              <w:t>Santa Cruz de la Sierra</w:t>
            </w:r>
          </w:p>
        </w:tc>
        <w:tc>
          <w:tcPr>
            <w:tcW w:w="2268" w:type="dxa"/>
            <w:tcBorders>
              <w:right w:val="single" w:sz="4" w:space="0" w:color="auto"/>
            </w:tcBorders>
            <w:shd w:val="clear" w:color="auto" w:fill="D9D9D9"/>
            <w:hideMark/>
          </w:tcPr>
          <w:p w14:paraId="5E110E05" w14:textId="77777777" w:rsidR="002A4DDF" w:rsidRPr="00937C8B" w:rsidRDefault="002A4DDF" w:rsidP="009110ED">
            <w:pPr>
              <w:rPr>
                <w:rFonts w:ascii="Arial" w:hAnsi="Arial" w:cs="Arial"/>
                <w:sz w:val="12"/>
                <w:szCs w:val="12"/>
              </w:rPr>
            </w:pPr>
            <w:r>
              <w:rPr>
                <w:rFonts w:ascii="Arial" w:hAnsi="Arial"/>
                <w:sz w:val="12"/>
                <w:szCs w:val="12"/>
              </w:rPr>
              <w:t>Alía</w:t>
            </w:r>
          </w:p>
        </w:tc>
      </w:tr>
      <w:tr w:rsidR="002A4DDF" w:rsidRPr="00937C8B" w14:paraId="13AECFF6" w14:textId="77777777" w:rsidTr="00935676">
        <w:trPr>
          <w:cantSplit/>
        </w:trPr>
        <w:tc>
          <w:tcPr>
            <w:tcW w:w="1696" w:type="dxa"/>
            <w:tcBorders>
              <w:left w:val="single" w:sz="4" w:space="0" w:color="auto"/>
            </w:tcBorders>
            <w:shd w:val="clear" w:color="auto" w:fill="auto"/>
          </w:tcPr>
          <w:p w14:paraId="5B5AF11D" w14:textId="77777777" w:rsidR="002A4DDF" w:rsidRPr="00937C8B" w:rsidRDefault="002A4DDF" w:rsidP="009110ED">
            <w:pPr>
              <w:rPr>
                <w:rFonts w:ascii="Arial" w:hAnsi="Arial" w:cs="Arial"/>
                <w:sz w:val="12"/>
                <w:szCs w:val="12"/>
              </w:rPr>
            </w:pPr>
          </w:p>
        </w:tc>
        <w:tc>
          <w:tcPr>
            <w:tcW w:w="1843" w:type="dxa"/>
            <w:shd w:val="clear" w:color="auto" w:fill="auto"/>
          </w:tcPr>
          <w:p w14:paraId="4AE0BC3A" w14:textId="77777777" w:rsidR="002A4DDF" w:rsidRPr="00937C8B" w:rsidRDefault="002A4DDF" w:rsidP="009110ED">
            <w:pPr>
              <w:rPr>
                <w:rFonts w:ascii="Arial" w:hAnsi="Arial" w:cs="Arial"/>
                <w:sz w:val="12"/>
                <w:szCs w:val="12"/>
              </w:rPr>
            </w:pPr>
          </w:p>
        </w:tc>
        <w:tc>
          <w:tcPr>
            <w:tcW w:w="2268" w:type="dxa"/>
            <w:shd w:val="clear" w:color="auto" w:fill="F2F2F2"/>
            <w:hideMark/>
          </w:tcPr>
          <w:p w14:paraId="2AA1DCFB" w14:textId="77777777" w:rsidR="002A4DDF" w:rsidRPr="00937C8B" w:rsidRDefault="002A4DDF" w:rsidP="009110ED">
            <w:pPr>
              <w:rPr>
                <w:rFonts w:ascii="Arial" w:hAnsi="Arial" w:cs="Arial"/>
                <w:sz w:val="12"/>
                <w:szCs w:val="12"/>
              </w:rPr>
            </w:pPr>
            <w:r>
              <w:rPr>
                <w:rFonts w:ascii="Arial" w:hAnsi="Arial"/>
                <w:sz w:val="12"/>
                <w:szCs w:val="12"/>
              </w:rPr>
              <w:t>Talayuela</w:t>
            </w:r>
          </w:p>
        </w:tc>
        <w:tc>
          <w:tcPr>
            <w:tcW w:w="2268" w:type="dxa"/>
            <w:tcBorders>
              <w:right w:val="single" w:sz="4" w:space="0" w:color="auto"/>
            </w:tcBorders>
            <w:shd w:val="clear" w:color="auto" w:fill="D9D9D9"/>
            <w:hideMark/>
          </w:tcPr>
          <w:p w14:paraId="1EA74FD8" w14:textId="77777777" w:rsidR="002A4DDF" w:rsidRPr="00937C8B" w:rsidRDefault="002A4DDF" w:rsidP="009110ED">
            <w:pPr>
              <w:rPr>
                <w:rFonts w:ascii="Arial" w:hAnsi="Arial" w:cs="Arial"/>
                <w:sz w:val="12"/>
                <w:szCs w:val="12"/>
              </w:rPr>
            </w:pPr>
            <w:r>
              <w:rPr>
                <w:rFonts w:ascii="Arial" w:hAnsi="Arial"/>
                <w:sz w:val="12"/>
                <w:szCs w:val="12"/>
              </w:rPr>
              <w:t>Aliseda</w:t>
            </w:r>
          </w:p>
        </w:tc>
      </w:tr>
      <w:tr w:rsidR="002A4DDF" w:rsidRPr="00937C8B" w14:paraId="4FFE6C4A" w14:textId="77777777" w:rsidTr="00935676">
        <w:trPr>
          <w:cantSplit/>
        </w:trPr>
        <w:tc>
          <w:tcPr>
            <w:tcW w:w="1696" w:type="dxa"/>
            <w:tcBorders>
              <w:left w:val="single" w:sz="4" w:space="0" w:color="auto"/>
            </w:tcBorders>
            <w:shd w:val="clear" w:color="auto" w:fill="auto"/>
          </w:tcPr>
          <w:p w14:paraId="346CD693" w14:textId="77777777" w:rsidR="002A4DDF" w:rsidRPr="00937C8B" w:rsidRDefault="002A4DDF" w:rsidP="009110ED">
            <w:pPr>
              <w:rPr>
                <w:rFonts w:ascii="Arial" w:hAnsi="Arial" w:cs="Arial"/>
                <w:sz w:val="12"/>
                <w:szCs w:val="12"/>
              </w:rPr>
            </w:pPr>
          </w:p>
        </w:tc>
        <w:tc>
          <w:tcPr>
            <w:tcW w:w="1843" w:type="dxa"/>
            <w:shd w:val="clear" w:color="auto" w:fill="auto"/>
          </w:tcPr>
          <w:p w14:paraId="4E70A6CF" w14:textId="77777777" w:rsidR="002A4DDF" w:rsidRPr="00937C8B" w:rsidRDefault="002A4DDF" w:rsidP="009110ED">
            <w:pPr>
              <w:rPr>
                <w:rFonts w:ascii="Arial" w:hAnsi="Arial" w:cs="Arial"/>
                <w:sz w:val="12"/>
                <w:szCs w:val="12"/>
              </w:rPr>
            </w:pPr>
          </w:p>
        </w:tc>
        <w:tc>
          <w:tcPr>
            <w:tcW w:w="2268" w:type="dxa"/>
            <w:shd w:val="clear" w:color="auto" w:fill="F2F2F2"/>
            <w:hideMark/>
          </w:tcPr>
          <w:p w14:paraId="52BC3222" w14:textId="77777777" w:rsidR="002A4DDF" w:rsidRPr="00937C8B" w:rsidRDefault="002A4DDF" w:rsidP="009110ED">
            <w:pPr>
              <w:rPr>
                <w:rFonts w:ascii="Arial" w:hAnsi="Arial" w:cs="Arial"/>
                <w:sz w:val="12"/>
                <w:szCs w:val="12"/>
              </w:rPr>
            </w:pPr>
            <w:r>
              <w:rPr>
                <w:rFonts w:ascii="Arial" w:hAnsi="Arial"/>
                <w:sz w:val="12"/>
                <w:szCs w:val="12"/>
              </w:rPr>
              <w:t>Valdemorales</w:t>
            </w:r>
          </w:p>
        </w:tc>
        <w:tc>
          <w:tcPr>
            <w:tcW w:w="2268" w:type="dxa"/>
            <w:tcBorders>
              <w:right w:val="single" w:sz="4" w:space="0" w:color="auto"/>
            </w:tcBorders>
            <w:shd w:val="clear" w:color="auto" w:fill="D9D9D9"/>
            <w:hideMark/>
          </w:tcPr>
          <w:p w14:paraId="18DC2183" w14:textId="77777777" w:rsidR="002A4DDF" w:rsidRPr="00937C8B" w:rsidRDefault="002A4DDF" w:rsidP="009110ED">
            <w:pPr>
              <w:rPr>
                <w:rFonts w:ascii="Arial" w:hAnsi="Arial" w:cs="Arial"/>
                <w:sz w:val="12"/>
                <w:szCs w:val="12"/>
              </w:rPr>
            </w:pPr>
            <w:r>
              <w:rPr>
                <w:rFonts w:ascii="Arial" w:hAnsi="Arial"/>
                <w:sz w:val="12"/>
                <w:szCs w:val="12"/>
              </w:rPr>
              <w:t>Arroyo de la Luz</w:t>
            </w:r>
          </w:p>
        </w:tc>
      </w:tr>
      <w:tr w:rsidR="002A4DDF" w:rsidRPr="00937C8B" w14:paraId="32B64DE4" w14:textId="77777777" w:rsidTr="00935676">
        <w:trPr>
          <w:cantSplit/>
        </w:trPr>
        <w:tc>
          <w:tcPr>
            <w:tcW w:w="1696" w:type="dxa"/>
            <w:tcBorders>
              <w:left w:val="single" w:sz="4" w:space="0" w:color="auto"/>
            </w:tcBorders>
            <w:shd w:val="clear" w:color="auto" w:fill="auto"/>
          </w:tcPr>
          <w:p w14:paraId="6E8D3A95" w14:textId="77777777" w:rsidR="002A4DDF" w:rsidRPr="00937C8B" w:rsidRDefault="002A4DDF" w:rsidP="009110ED">
            <w:pPr>
              <w:rPr>
                <w:rFonts w:ascii="Arial" w:hAnsi="Arial" w:cs="Arial"/>
                <w:sz w:val="12"/>
                <w:szCs w:val="12"/>
              </w:rPr>
            </w:pPr>
          </w:p>
        </w:tc>
        <w:tc>
          <w:tcPr>
            <w:tcW w:w="1843" w:type="dxa"/>
            <w:shd w:val="clear" w:color="auto" w:fill="auto"/>
          </w:tcPr>
          <w:p w14:paraId="3B0D4EF4" w14:textId="77777777" w:rsidR="002A4DDF" w:rsidRPr="00937C8B" w:rsidRDefault="002A4DDF" w:rsidP="009110ED">
            <w:pPr>
              <w:rPr>
                <w:rFonts w:ascii="Arial" w:hAnsi="Arial" w:cs="Arial"/>
                <w:sz w:val="12"/>
                <w:szCs w:val="12"/>
              </w:rPr>
            </w:pPr>
          </w:p>
        </w:tc>
        <w:tc>
          <w:tcPr>
            <w:tcW w:w="2268" w:type="dxa"/>
            <w:shd w:val="clear" w:color="auto" w:fill="F2F2F2"/>
            <w:hideMark/>
          </w:tcPr>
          <w:p w14:paraId="089AC4FB" w14:textId="77777777" w:rsidR="002A4DDF" w:rsidRPr="00937C8B" w:rsidRDefault="002A4DDF" w:rsidP="009110ED">
            <w:pPr>
              <w:rPr>
                <w:rFonts w:ascii="Arial" w:hAnsi="Arial" w:cs="Arial"/>
                <w:sz w:val="12"/>
                <w:szCs w:val="12"/>
              </w:rPr>
            </w:pPr>
            <w:r>
              <w:rPr>
                <w:rFonts w:ascii="Arial" w:hAnsi="Arial"/>
                <w:sz w:val="12"/>
                <w:szCs w:val="12"/>
              </w:rPr>
              <w:t>Vegaviana</w:t>
            </w:r>
          </w:p>
        </w:tc>
        <w:tc>
          <w:tcPr>
            <w:tcW w:w="2268" w:type="dxa"/>
            <w:tcBorders>
              <w:right w:val="single" w:sz="4" w:space="0" w:color="auto"/>
            </w:tcBorders>
            <w:shd w:val="clear" w:color="auto" w:fill="D9D9D9"/>
            <w:hideMark/>
          </w:tcPr>
          <w:p w14:paraId="34837899" w14:textId="77777777" w:rsidR="002A4DDF" w:rsidRPr="00937C8B" w:rsidRDefault="002A4DDF" w:rsidP="009110ED">
            <w:pPr>
              <w:rPr>
                <w:rFonts w:ascii="Arial" w:hAnsi="Arial" w:cs="Arial"/>
                <w:sz w:val="12"/>
                <w:szCs w:val="12"/>
              </w:rPr>
            </w:pPr>
            <w:r>
              <w:rPr>
                <w:rFonts w:ascii="Arial" w:hAnsi="Arial"/>
                <w:sz w:val="12"/>
                <w:szCs w:val="12"/>
              </w:rPr>
              <w:t>Arroyomolinos</w:t>
            </w:r>
          </w:p>
        </w:tc>
      </w:tr>
      <w:tr w:rsidR="002A4DDF" w:rsidRPr="00937C8B" w14:paraId="583473E2" w14:textId="77777777" w:rsidTr="00935676">
        <w:trPr>
          <w:cantSplit/>
        </w:trPr>
        <w:tc>
          <w:tcPr>
            <w:tcW w:w="1696" w:type="dxa"/>
            <w:tcBorders>
              <w:left w:val="single" w:sz="4" w:space="0" w:color="auto"/>
            </w:tcBorders>
            <w:shd w:val="clear" w:color="auto" w:fill="auto"/>
          </w:tcPr>
          <w:p w14:paraId="16D6E22C" w14:textId="77777777" w:rsidR="002A4DDF" w:rsidRPr="00937C8B" w:rsidRDefault="002A4DDF" w:rsidP="009110ED">
            <w:pPr>
              <w:rPr>
                <w:rFonts w:ascii="Arial" w:hAnsi="Arial" w:cs="Arial"/>
                <w:sz w:val="12"/>
                <w:szCs w:val="12"/>
              </w:rPr>
            </w:pPr>
          </w:p>
        </w:tc>
        <w:tc>
          <w:tcPr>
            <w:tcW w:w="1843" w:type="dxa"/>
            <w:shd w:val="clear" w:color="auto" w:fill="auto"/>
          </w:tcPr>
          <w:p w14:paraId="4CAF6A41" w14:textId="77777777" w:rsidR="002A4DDF" w:rsidRPr="00937C8B" w:rsidRDefault="002A4DDF" w:rsidP="009110ED">
            <w:pPr>
              <w:rPr>
                <w:rFonts w:ascii="Arial" w:hAnsi="Arial" w:cs="Arial"/>
                <w:sz w:val="12"/>
                <w:szCs w:val="12"/>
              </w:rPr>
            </w:pPr>
          </w:p>
        </w:tc>
        <w:tc>
          <w:tcPr>
            <w:tcW w:w="2268" w:type="dxa"/>
            <w:shd w:val="clear" w:color="auto" w:fill="F2F2F2"/>
            <w:hideMark/>
          </w:tcPr>
          <w:p w14:paraId="008C2944" w14:textId="77777777" w:rsidR="002A4DDF" w:rsidRPr="00937C8B" w:rsidRDefault="002A4DDF" w:rsidP="009110ED">
            <w:pPr>
              <w:rPr>
                <w:rFonts w:ascii="Arial" w:hAnsi="Arial" w:cs="Arial"/>
                <w:sz w:val="12"/>
                <w:szCs w:val="12"/>
              </w:rPr>
            </w:pPr>
            <w:r>
              <w:rPr>
                <w:rFonts w:ascii="Arial" w:hAnsi="Arial"/>
                <w:sz w:val="12"/>
                <w:szCs w:val="12"/>
              </w:rPr>
              <w:t>Villamesías</w:t>
            </w:r>
          </w:p>
        </w:tc>
        <w:tc>
          <w:tcPr>
            <w:tcW w:w="2268" w:type="dxa"/>
            <w:tcBorders>
              <w:right w:val="single" w:sz="4" w:space="0" w:color="auto"/>
            </w:tcBorders>
            <w:shd w:val="clear" w:color="auto" w:fill="D9D9D9"/>
            <w:hideMark/>
          </w:tcPr>
          <w:p w14:paraId="1C17CD87" w14:textId="77777777" w:rsidR="002A4DDF" w:rsidRPr="00937C8B" w:rsidRDefault="002A4DDF" w:rsidP="009110ED">
            <w:pPr>
              <w:rPr>
                <w:rFonts w:ascii="Arial" w:hAnsi="Arial" w:cs="Arial"/>
                <w:sz w:val="12"/>
                <w:szCs w:val="12"/>
              </w:rPr>
            </w:pPr>
            <w:r>
              <w:rPr>
                <w:rFonts w:ascii="Arial" w:hAnsi="Arial"/>
                <w:sz w:val="12"/>
                <w:szCs w:val="12"/>
              </w:rPr>
              <w:t>Arroyomolinos de la Vera</w:t>
            </w:r>
          </w:p>
        </w:tc>
      </w:tr>
      <w:tr w:rsidR="002A4DDF" w:rsidRPr="00937C8B" w14:paraId="64D8B5B8" w14:textId="77777777" w:rsidTr="00935676">
        <w:trPr>
          <w:cantSplit/>
        </w:trPr>
        <w:tc>
          <w:tcPr>
            <w:tcW w:w="1696" w:type="dxa"/>
            <w:tcBorders>
              <w:left w:val="single" w:sz="4" w:space="0" w:color="auto"/>
            </w:tcBorders>
            <w:shd w:val="clear" w:color="auto" w:fill="auto"/>
          </w:tcPr>
          <w:p w14:paraId="6F4E8126" w14:textId="77777777" w:rsidR="002A4DDF" w:rsidRPr="00937C8B" w:rsidRDefault="002A4DDF" w:rsidP="009110ED">
            <w:pPr>
              <w:rPr>
                <w:rFonts w:ascii="Arial" w:hAnsi="Arial" w:cs="Arial"/>
                <w:sz w:val="12"/>
                <w:szCs w:val="12"/>
              </w:rPr>
            </w:pPr>
          </w:p>
        </w:tc>
        <w:tc>
          <w:tcPr>
            <w:tcW w:w="1843" w:type="dxa"/>
            <w:shd w:val="clear" w:color="auto" w:fill="auto"/>
          </w:tcPr>
          <w:p w14:paraId="31BD8172" w14:textId="77777777" w:rsidR="002A4DDF" w:rsidRPr="00937C8B" w:rsidRDefault="002A4DDF" w:rsidP="009110ED">
            <w:pPr>
              <w:rPr>
                <w:rFonts w:ascii="Arial" w:hAnsi="Arial" w:cs="Arial"/>
                <w:sz w:val="12"/>
                <w:szCs w:val="12"/>
              </w:rPr>
            </w:pPr>
          </w:p>
        </w:tc>
        <w:tc>
          <w:tcPr>
            <w:tcW w:w="2268" w:type="dxa"/>
            <w:shd w:val="clear" w:color="auto" w:fill="F2F2F2"/>
            <w:hideMark/>
          </w:tcPr>
          <w:p w14:paraId="4E1BC8F5" w14:textId="77777777" w:rsidR="002A4DDF" w:rsidRPr="00937C8B" w:rsidRDefault="002A4DDF" w:rsidP="009110ED">
            <w:pPr>
              <w:rPr>
                <w:rFonts w:ascii="Arial" w:hAnsi="Arial" w:cs="Arial"/>
                <w:sz w:val="12"/>
                <w:szCs w:val="12"/>
              </w:rPr>
            </w:pPr>
            <w:r>
              <w:rPr>
                <w:rFonts w:ascii="Arial" w:hAnsi="Arial"/>
                <w:sz w:val="12"/>
                <w:szCs w:val="12"/>
              </w:rPr>
              <w:t>Zarza la Mayor</w:t>
            </w:r>
          </w:p>
        </w:tc>
        <w:tc>
          <w:tcPr>
            <w:tcW w:w="2268" w:type="dxa"/>
            <w:tcBorders>
              <w:right w:val="single" w:sz="4" w:space="0" w:color="auto"/>
            </w:tcBorders>
            <w:shd w:val="clear" w:color="auto" w:fill="D9D9D9"/>
            <w:hideMark/>
          </w:tcPr>
          <w:p w14:paraId="1AF930FA" w14:textId="77777777" w:rsidR="002A4DDF" w:rsidRPr="00937C8B" w:rsidRDefault="002A4DDF" w:rsidP="009110ED">
            <w:pPr>
              <w:rPr>
                <w:rFonts w:ascii="Arial" w:hAnsi="Arial" w:cs="Arial"/>
                <w:sz w:val="12"/>
                <w:szCs w:val="12"/>
              </w:rPr>
            </w:pPr>
            <w:r>
              <w:rPr>
                <w:rFonts w:ascii="Arial" w:hAnsi="Arial"/>
                <w:sz w:val="12"/>
                <w:szCs w:val="12"/>
              </w:rPr>
              <w:t>Baños de Montemayor</w:t>
            </w:r>
          </w:p>
        </w:tc>
      </w:tr>
      <w:tr w:rsidR="002A4DDF" w:rsidRPr="00937C8B" w14:paraId="790E4531" w14:textId="77777777" w:rsidTr="00935676">
        <w:trPr>
          <w:cantSplit/>
        </w:trPr>
        <w:tc>
          <w:tcPr>
            <w:tcW w:w="1696" w:type="dxa"/>
            <w:tcBorders>
              <w:left w:val="single" w:sz="4" w:space="0" w:color="auto"/>
            </w:tcBorders>
            <w:shd w:val="clear" w:color="auto" w:fill="auto"/>
          </w:tcPr>
          <w:p w14:paraId="68C037F2" w14:textId="77777777" w:rsidR="002A4DDF" w:rsidRPr="00937C8B" w:rsidRDefault="002A4DDF" w:rsidP="009110ED">
            <w:pPr>
              <w:rPr>
                <w:rFonts w:ascii="Arial" w:hAnsi="Arial" w:cs="Arial"/>
                <w:sz w:val="12"/>
                <w:szCs w:val="12"/>
              </w:rPr>
            </w:pPr>
          </w:p>
        </w:tc>
        <w:tc>
          <w:tcPr>
            <w:tcW w:w="1843" w:type="dxa"/>
            <w:shd w:val="clear" w:color="auto" w:fill="auto"/>
          </w:tcPr>
          <w:p w14:paraId="312F3288" w14:textId="77777777" w:rsidR="002A4DDF" w:rsidRPr="00937C8B" w:rsidRDefault="002A4DDF" w:rsidP="009110ED">
            <w:pPr>
              <w:rPr>
                <w:rFonts w:ascii="Arial" w:hAnsi="Arial" w:cs="Arial"/>
                <w:sz w:val="12"/>
                <w:szCs w:val="12"/>
              </w:rPr>
            </w:pPr>
          </w:p>
        </w:tc>
        <w:tc>
          <w:tcPr>
            <w:tcW w:w="2268" w:type="dxa"/>
            <w:shd w:val="clear" w:color="auto" w:fill="F2F2F2"/>
            <w:hideMark/>
          </w:tcPr>
          <w:p w14:paraId="7AB2494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4B2C3CD" w14:textId="77777777" w:rsidR="002A4DDF" w:rsidRPr="00937C8B" w:rsidRDefault="002A4DDF" w:rsidP="009110ED">
            <w:pPr>
              <w:rPr>
                <w:rFonts w:ascii="Arial" w:hAnsi="Arial" w:cs="Arial"/>
                <w:sz w:val="12"/>
                <w:szCs w:val="12"/>
              </w:rPr>
            </w:pPr>
            <w:r>
              <w:rPr>
                <w:rFonts w:ascii="Arial" w:hAnsi="Arial"/>
                <w:sz w:val="12"/>
                <w:szCs w:val="12"/>
              </w:rPr>
              <w:t>Barrado</w:t>
            </w:r>
          </w:p>
        </w:tc>
      </w:tr>
      <w:tr w:rsidR="002A4DDF" w:rsidRPr="00937C8B" w14:paraId="18E03B2A" w14:textId="77777777" w:rsidTr="00935676">
        <w:trPr>
          <w:cantSplit/>
        </w:trPr>
        <w:tc>
          <w:tcPr>
            <w:tcW w:w="1696" w:type="dxa"/>
            <w:tcBorders>
              <w:left w:val="single" w:sz="4" w:space="0" w:color="auto"/>
            </w:tcBorders>
            <w:shd w:val="clear" w:color="auto" w:fill="auto"/>
          </w:tcPr>
          <w:p w14:paraId="33817212" w14:textId="77777777" w:rsidR="002A4DDF" w:rsidRPr="00937C8B" w:rsidRDefault="002A4DDF" w:rsidP="009110ED">
            <w:pPr>
              <w:rPr>
                <w:rFonts w:ascii="Arial" w:hAnsi="Arial" w:cs="Arial"/>
                <w:sz w:val="12"/>
                <w:szCs w:val="12"/>
              </w:rPr>
            </w:pPr>
          </w:p>
        </w:tc>
        <w:tc>
          <w:tcPr>
            <w:tcW w:w="1843" w:type="dxa"/>
            <w:shd w:val="clear" w:color="auto" w:fill="auto"/>
          </w:tcPr>
          <w:p w14:paraId="0801ED64" w14:textId="77777777" w:rsidR="002A4DDF" w:rsidRPr="00937C8B" w:rsidRDefault="002A4DDF" w:rsidP="009110ED">
            <w:pPr>
              <w:rPr>
                <w:rFonts w:ascii="Arial" w:hAnsi="Arial" w:cs="Arial"/>
                <w:sz w:val="12"/>
                <w:szCs w:val="12"/>
              </w:rPr>
            </w:pPr>
          </w:p>
        </w:tc>
        <w:tc>
          <w:tcPr>
            <w:tcW w:w="2268" w:type="dxa"/>
            <w:shd w:val="clear" w:color="auto" w:fill="F2F2F2"/>
            <w:hideMark/>
          </w:tcPr>
          <w:p w14:paraId="4CFCC86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8A1F928" w14:textId="77777777" w:rsidR="002A4DDF" w:rsidRPr="00937C8B" w:rsidRDefault="002A4DDF" w:rsidP="009110ED">
            <w:pPr>
              <w:rPr>
                <w:rFonts w:ascii="Arial" w:hAnsi="Arial" w:cs="Arial"/>
                <w:sz w:val="12"/>
                <w:szCs w:val="12"/>
              </w:rPr>
            </w:pPr>
            <w:r>
              <w:rPr>
                <w:rFonts w:ascii="Arial" w:hAnsi="Arial"/>
                <w:sz w:val="12"/>
                <w:szCs w:val="12"/>
              </w:rPr>
              <w:t>Belvís de Monroy</w:t>
            </w:r>
          </w:p>
        </w:tc>
      </w:tr>
      <w:tr w:rsidR="002A4DDF" w:rsidRPr="00937C8B" w14:paraId="76E2AB78" w14:textId="77777777" w:rsidTr="00935676">
        <w:trPr>
          <w:cantSplit/>
        </w:trPr>
        <w:tc>
          <w:tcPr>
            <w:tcW w:w="1696" w:type="dxa"/>
            <w:tcBorders>
              <w:left w:val="single" w:sz="4" w:space="0" w:color="auto"/>
            </w:tcBorders>
            <w:shd w:val="clear" w:color="auto" w:fill="auto"/>
          </w:tcPr>
          <w:p w14:paraId="6D4A869B" w14:textId="77777777" w:rsidR="002A4DDF" w:rsidRPr="00937C8B" w:rsidRDefault="002A4DDF" w:rsidP="009110ED">
            <w:pPr>
              <w:rPr>
                <w:rFonts w:ascii="Arial" w:hAnsi="Arial" w:cs="Arial"/>
                <w:sz w:val="12"/>
                <w:szCs w:val="12"/>
              </w:rPr>
            </w:pPr>
          </w:p>
        </w:tc>
        <w:tc>
          <w:tcPr>
            <w:tcW w:w="1843" w:type="dxa"/>
            <w:shd w:val="clear" w:color="auto" w:fill="auto"/>
          </w:tcPr>
          <w:p w14:paraId="5F1AEC08" w14:textId="77777777" w:rsidR="002A4DDF" w:rsidRPr="00937C8B" w:rsidRDefault="002A4DDF" w:rsidP="009110ED">
            <w:pPr>
              <w:rPr>
                <w:rFonts w:ascii="Arial" w:hAnsi="Arial" w:cs="Arial"/>
                <w:sz w:val="12"/>
                <w:szCs w:val="12"/>
              </w:rPr>
            </w:pPr>
          </w:p>
        </w:tc>
        <w:tc>
          <w:tcPr>
            <w:tcW w:w="2268" w:type="dxa"/>
            <w:shd w:val="clear" w:color="auto" w:fill="F2F2F2"/>
            <w:hideMark/>
          </w:tcPr>
          <w:p w14:paraId="26DDD55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74E0355" w14:textId="77777777" w:rsidR="002A4DDF" w:rsidRPr="00937C8B" w:rsidRDefault="002A4DDF" w:rsidP="009110ED">
            <w:pPr>
              <w:rPr>
                <w:rFonts w:ascii="Arial" w:hAnsi="Arial" w:cs="Arial"/>
                <w:sz w:val="12"/>
                <w:szCs w:val="12"/>
              </w:rPr>
            </w:pPr>
            <w:r>
              <w:rPr>
                <w:rFonts w:ascii="Arial" w:hAnsi="Arial"/>
                <w:sz w:val="12"/>
                <w:szCs w:val="12"/>
              </w:rPr>
              <w:t>Benquerencia</w:t>
            </w:r>
          </w:p>
        </w:tc>
      </w:tr>
      <w:tr w:rsidR="002A4DDF" w:rsidRPr="00937C8B" w14:paraId="22247B0C" w14:textId="77777777" w:rsidTr="00935676">
        <w:trPr>
          <w:cantSplit/>
        </w:trPr>
        <w:tc>
          <w:tcPr>
            <w:tcW w:w="1696" w:type="dxa"/>
            <w:tcBorders>
              <w:left w:val="single" w:sz="4" w:space="0" w:color="auto"/>
            </w:tcBorders>
            <w:shd w:val="clear" w:color="auto" w:fill="auto"/>
          </w:tcPr>
          <w:p w14:paraId="70D90165" w14:textId="77777777" w:rsidR="002A4DDF" w:rsidRPr="00937C8B" w:rsidRDefault="002A4DDF" w:rsidP="009110ED">
            <w:pPr>
              <w:rPr>
                <w:rFonts w:ascii="Arial" w:hAnsi="Arial" w:cs="Arial"/>
                <w:sz w:val="12"/>
                <w:szCs w:val="12"/>
              </w:rPr>
            </w:pPr>
          </w:p>
        </w:tc>
        <w:tc>
          <w:tcPr>
            <w:tcW w:w="1843" w:type="dxa"/>
            <w:shd w:val="clear" w:color="auto" w:fill="auto"/>
          </w:tcPr>
          <w:p w14:paraId="5017619F" w14:textId="77777777" w:rsidR="002A4DDF" w:rsidRPr="00937C8B" w:rsidRDefault="002A4DDF" w:rsidP="009110ED">
            <w:pPr>
              <w:rPr>
                <w:rFonts w:ascii="Arial" w:hAnsi="Arial" w:cs="Arial"/>
                <w:sz w:val="12"/>
                <w:szCs w:val="12"/>
              </w:rPr>
            </w:pPr>
          </w:p>
        </w:tc>
        <w:tc>
          <w:tcPr>
            <w:tcW w:w="2268" w:type="dxa"/>
            <w:shd w:val="clear" w:color="auto" w:fill="F2F2F2"/>
            <w:hideMark/>
          </w:tcPr>
          <w:p w14:paraId="2C08FA3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F72CCB7" w14:textId="77777777" w:rsidR="002A4DDF" w:rsidRPr="00937C8B" w:rsidRDefault="002A4DDF" w:rsidP="009110ED">
            <w:pPr>
              <w:rPr>
                <w:rFonts w:ascii="Arial" w:hAnsi="Arial" w:cs="Arial"/>
                <w:sz w:val="12"/>
                <w:szCs w:val="12"/>
              </w:rPr>
            </w:pPr>
            <w:r>
              <w:rPr>
                <w:rFonts w:ascii="Arial" w:hAnsi="Arial"/>
                <w:sz w:val="12"/>
                <w:szCs w:val="12"/>
              </w:rPr>
              <w:t>Berrocalejo</w:t>
            </w:r>
          </w:p>
        </w:tc>
      </w:tr>
      <w:tr w:rsidR="002A4DDF" w:rsidRPr="00937C8B" w14:paraId="316E4990" w14:textId="77777777" w:rsidTr="00935676">
        <w:trPr>
          <w:cantSplit/>
        </w:trPr>
        <w:tc>
          <w:tcPr>
            <w:tcW w:w="1696" w:type="dxa"/>
            <w:tcBorders>
              <w:left w:val="single" w:sz="4" w:space="0" w:color="auto"/>
            </w:tcBorders>
            <w:shd w:val="clear" w:color="auto" w:fill="auto"/>
          </w:tcPr>
          <w:p w14:paraId="6C914ADB" w14:textId="77777777" w:rsidR="002A4DDF" w:rsidRPr="00937C8B" w:rsidRDefault="002A4DDF" w:rsidP="009110ED">
            <w:pPr>
              <w:rPr>
                <w:rFonts w:ascii="Arial" w:hAnsi="Arial" w:cs="Arial"/>
                <w:sz w:val="12"/>
                <w:szCs w:val="12"/>
              </w:rPr>
            </w:pPr>
          </w:p>
        </w:tc>
        <w:tc>
          <w:tcPr>
            <w:tcW w:w="1843" w:type="dxa"/>
            <w:shd w:val="clear" w:color="auto" w:fill="auto"/>
          </w:tcPr>
          <w:p w14:paraId="1CF1A90C" w14:textId="77777777" w:rsidR="002A4DDF" w:rsidRPr="00937C8B" w:rsidRDefault="002A4DDF" w:rsidP="009110ED">
            <w:pPr>
              <w:rPr>
                <w:rFonts w:ascii="Arial" w:hAnsi="Arial" w:cs="Arial"/>
                <w:sz w:val="12"/>
                <w:szCs w:val="12"/>
              </w:rPr>
            </w:pPr>
          </w:p>
        </w:tc>
        <w:tc>
          <w:tcPr>
            <w:tcW w:w="2268" w:type="dxa"/>
            <w:shd w:val="clear" w:color="auto" w:fill="F2F2F2"/>
            <w:hideMark/>
          </w:tcPr>
          <w:p w14:paraId="7DEF040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579819D" w14:textId="77777777" w:rsidR="002A4DDF" w:rsidRPr="00937C8B" w:rsidRDefault="002A4DDF" w:rsidP="009110ED">
            <w:pPr>
              <w:rPr>
                <w:rFonts w:ascii="Arial" w:hAnsi="Arial" w:cs="Arial"/>
                <w:sz w:val="12"/>
                <w:szCs w:val="12"/>
              </w:rPr>
            </w:pPr>
            <w:r>
              <w:rPr>
                <w:rFonts w:ascii="Arial" w:hAnsi="Arial"/>
                <w:sz w:val="12"/>
                <w:szCs w:val="12"/>
              </w:rPr>
              <w:t>Berzocana</w:t>
            </w:r>
          </w:p>
        </w:tc>
      </w:tr>
      <w:tr w:rsidR="002A4DDF" w:rsidRPr="00937C8B" w14:paraId="10B2ECAE" w14:textId="77777777" w:rsidTr="00935676">
        <w:trPr>
          <w:cantSplit/>
        </w:trPr>
        <w:tc>
          <w:tcPr>
            <w:tcW w:w="1696" w:type="dxa"/>
            <w:tcBorders>
              <w:left w:val="single" w:sz="4" w:space="0" w:color="auto"/>
            </w:tcBorders>
            <w:shd w:val="clear" w:color="auto" w:fill="auto"/>
          </w:tcPr>
          <w:p w14:paraId="6F08F7DF" w14:textId="77777777" w:rsidR="002A4DDF" w:rsidRPr="00937C8B" w:rsidRDefault="002A4DDF" w:rsidP="009110ED">
            <w:pPr>
              <w:rPr>
                <w:rFonts w:ascii="Arial" w:hAnsi="Arial" w:cs="Arial"/>
                <w:sz w:val="12"/>
                <w:szCs w:val="12"/>
              </w:rPr>
            </w:pPr>
          </w:p>
        </w:tc>
        <w:tc>
          <w:tcPr>
            <w:tcW w:w="1843" w:type="dxa"/>
            <w:shd w:val="clear" w:color="auto" w:fill="auto"/>
          </w:tcPr>
          <w:p w14:paraId="461A08B1" w14:textId="77777777" w:rsidR="002A4DDF" w:rsidRPr="00937C8B" w:rsidRDefault="002A4DDF" w:rsidP="009110ED">
            <w:pPr>
              <w:rPr>
                <w:rFonts w:ascii="Arial" w:hAnsi="Arial" w:cs="Arial"/>
                <w:sz w:val="12"/>
                <w:szCs w:val="12"/>
              </w:rPr>
            </w:pPr>
          </w:p>
        </w:tc>
        <w:tc>
          <w:tcPr>
            <w:tcW w:w="2268" w:type="dxa"/>
            <w:shd w:val="clear" w:color="auto" w:fill="F2F2F2"/>
            <w:hideMark/>
          </w:tcPr>
          <w:p w14:paraId="6FCC50A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C401003" w14:textId="77777777" w:rsidR="002A4DDF" w:rsidRPr="00937C8B" w:rsidRDefault="002A4DDF" w:rsidP="009110ED">
            <w:pPr>
              <w:rPr>
                <w:rFonts w:ascii="Arial" w:hAnsi="Arial" w:cs="Arial"/>
                <w:sz w:val="12"/>
                <w:szCs w:val="12"/>
              </w:rPr>
            </w:pPr>
            <w:r>
              <w:rPr>
                <w:rFonts w:ascii="Arial" w:hAnsi="Arial"/>
                <w:sz w:val="12"/>
                <w:szCs w:val="12"/>
              </w:rPr>
              <w:t>Bohonal de Ibor</w:t>
            </w:r>
          </w:p>
        </w:tc>
      </w:tr>
      <w:tr w:rsidR="002A4DDF" w:rsidRPr="00937C8B" w14:paraId="52F0410E" w14:textId="77777777" w:rsidTr="00935676">
        <w:trPr>
          <w:cantSplit/>
        </w:trPr>
        <w:tc>
          <w:tcPr>
            <w:tcW w:w="1696" w:type="dxa"/>
            <w:tcBorders>
              <w:left w:val="single" w:sz="4" w:space="0" w:color="auto"/>
            </w:tcBorders>
            <w:shd w:val="clear" w:color="auto" w:fill="auto"/>
          </w:tcPr>
          <w:p w14:paraId="3B2E7B6B" w14:textId="77777777" w:rsidR="002A4DDF" w:rsidRPr="00937C8B" w:rsidRDefault="002A4DDF" w:rsidP="009110ED">
            <w:pPr>
              <w:rPr>
                <w:rFonts w:ascii="Arial" w:hAnsi="Arial" w:cs="Arial"/>
                <w:sz w:val="12"/>
                <w:szCs w:val="12"/>
              </w:rPr>
            </w:pPr>
          </w:p>
        </w:tc>
        <w:tc>
          <w:tcPr>
            <w:tcW w:w="1843" w:type="dxa"/>
            <w:shd w:val="clear" w:color="auto" w:fill="auto"/>
          </w:tcPr>
          <w:p w14:paraId="01419828" w14:textId="77777777" w:rsidR="002A4DDF" w:rsidRPr="00937C8B" w:rsidRDefault="002A4DDF" w:rsidP="009110ED">
            <w:pPr>
              <w:rPr>
                <w:rFonts w:ascii="Arial" w:hAnsi="Arial" w:cs="Arial"/>
                <w:sz w:val="12"/>
                <w:szCs w:val="12"/>
              </w:rPr>
            </w:pPr>
          </w:p>
        </w:tc>
        <w:tc>
          <w:tcPr>
            <w:tcW w:w="2268" w:type="dxa"/>
            <w:shd w:val="clear" w:color="auto" w:fill="F2F2F2"/>
            <w:hideMark/>
          </w:tcPr>
          <w:p w14:paraId="4C76F9A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B54E560" w14:textId="77777777" w:rsidR="002A4DDF" w:rsidRPr="00937C8B" w:rsidRDefault="002A4DDF" w:rsidP="009110ED">
            <w:pPr>
              <w:rPr>
                <w:rFonts w:ascii="Arial" w:hAnsi="Arial" w:cs="Arial"/>
                <w:sz w:val="12"/>
                <w:szCs w:val="12"/>
              </w:rPr>
            </w:pPr>
            <w:r>
              <w:rPr>
                <w:rFonts w:ascii="Arial" w:hAnsi="Arial"/>
                <w:sz w:val="12"/>
                <w:szCs w:val="12"/>
              </w:rPr>
              <w:t>Botija</w:t>
            </w:r>
          </w:p>
        </w:tc>
      </w:tr>
      <w:tr w:rsidR="002A4DDF" w:rsidRPr="00937C8B" w14:paraId="31D2272F" w14:textId="77777777" w:rsidTr="00935676">
        <w:trPr>
          <w:cantSplit/>
        </w:trPr>
        <w:tc>
          <w:tcPr>
            <w:tcW w:w="1696" w:type="dxa"/>
            <w:tcBorders>
              <w:left w:val="single" w:sz="4" w:space="0" w:color="auto"/>
            </w:tcBorders>
            <w:shd w:val="clear" w:color="auto" w:fill="auto"/>
          </w:tcPr>
          <w:p w14:paraId="65FCA43B" w14:textId="77777777" w:rsidR="002A4DDF" w:rsidRPr="00937C8B" w:rsidRDefault="002A4DDF" w:rsidP="009110ED">
            <w:pPr>
              <w:rPr>
                <w:rFonts w:ascii="Arial" w:hAnsi="Arial" w:cs="Arial"/>
                <w:sz w:val="12"/>
                <w:szCs w:val="12"/>
              </w:rPr>
            </w:pPr>
          </w:p>
        </w:tc>
        <w:tc>
          <w:tcPr>
            <w:tcW w:w="1843" w:type="dxa"/>
            <w:shd w:val="clear" w:color="auto" w:fill="auto"/>
          </w:tcPr>
          <w:p w14:paraId="283545B9" w14:textId="77777777" w:rsidR="002A4DDF" w:rsidRPr="00937C8B" w:rsidRDefault="002A4DDF" w:rsidP="009110ED">
            <w:pPr>
              <w:rPr>
                <w:rFonts w:ascii="Arial" w:hAnsi="Arial" w:cs="Arial"/>
                <w:sz w:val="12"/>
                <w:szCs w:val="12"/>
              </w:rPr>
            </w:pPr>
          </w:p>
        </w:tc>
        <w:tc>
          <w:tcPr>
            <w:tcW w:w="2268" w:type="dxa"/>
            <w:shd w:val="clear" w:color="auto" w:fill="F2F2F2"/>
            <w:hideMark/>
          </w:tcPr>
          <w:p w14:paraId="1EC09F5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EAD1A2D" w14:textId="77777777" w:rsidR="002A4DDF" w:rsidRPr="00937C8B" w:rsidRDefault="002A4DDF" w:rsidP="009110ED">
            <w:pPr>
              <w:rPr>
                <w:rFonts w:ascii="Arial" w:hAnsi="Arial" w:cs="Arial"/>
                <w:sz w:val="12"/>
                <w:szCs w:val="12"/>
              </w:rPr>
            </w:pPr>
            <w:r>
              <w:rPr>
                <w:rFonts w:ascii="Arial" w:hAnsi="Arial"/>
                <w:sz w:val="12"/>
                <w:szCs w:val="12"/>
              </w:rPr>
              <w:t>Brozas</w:t>
            </w:r>
          </w:p>
        </w:tc>
      </w:tr>
      <w:tr w:rsidR="002A4DDF" w:rsidRPr="00937C8B" w14:paraId="4B81C83C" w14:textId="77777777" w:rsidTr="00935676">
        <w:trPr>
          <w:cantSplit/>
        </w:trPr>
        <w:tc>
          <w:tcPr>
            <w:tcW w:w="1696" w:type="dxa"/>
            <w:tcBorders>
              <w:left w:val="single" w:sz="4" w:space="0" w:color="auto"/>
            </w:tcBorders>
            <w:shd w:val="clear" w:color="auto" w:fill="auto"/>
          </w:tcPr>
          <w:p w14:paraId="6636130F" w14:textId="77777777" w:rsidR="002A4DDF" w:rsidRPr="00937C8B" w:rsidRDefault="002A4DDF" w:rsidP="009110ED">
            <w:pPr>
              <w:rPr>
                <w:rFonts w:ascii="Arial" w:hAnsi="Arial" w:cs="Arial"/>
                <w:sz w:val="12"/>
                <w:szCs w:val="12"/>
              </w:rPr>
            </w:pPr>
          </w:p>
        </w:tc>
        <w:tc>
          <w:tcPr>
            <w:tcW w:w="1843" w:type="dxa"/>
            <w:shd w:val="clear" w:color="auto" w:fill="auto"/>
          </w:tcPr>
          <w:p w14:paraId="43861040" w14:textId="77777777" w:rsidR="002A4DDF" w:rsidRPr="00937C8B" w:rsidRDefault="002A4DDF" w:rsidP="009110ED">
            <w:pPr>
              <w:rPr>
                <w:rFonts w:ascii="Arial" w:hAnsi="Arial" w:cs="Arial"/>
                <w:sz w:val="12"/>
                <w:szCs w:val="12"/>
              </w:rPr>
            </w:pPr>
          </w:p>
        </w:tc>
        <w:tc>
          <w:tcPr>
            <w:tcW w:w="2268" w:type="dxa"/>
            <w:shd w:val="clear" w:color="auto" w:fill="F2F2F2"/>
            <w:hideMark/>
          </w:tcPr>
          <w:p w14:paraId="092A2D0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20D83B0" w14:textId="77777777" w:rsidR="002A4DDF" w:rsidRPr="00937C8B" w:rsidRDefault="002A4DDF" w:rsidP="009110ED">
            <w:pPr>
              <w:rPr>
                <w:rFonts w:ascii="Arial" w:hAnsi="Arial" w:cs="Arial"/>
                <w:sz w:val="12"/>
                <w:szCs w:val="12"/>
              </w:rPr>
            </w:pPr>
            <w:r>
              <w:rPr>
                <w:rFonts w:ascii="Arial" w:hAnsi="Arial"/>
                <w:sz w:val="12"/>
                <w:szCs w:val="12"/>
              </w:rPr>
              <w:t>Cabañas del Castillo</w:t>
            </w:r>
          </w:p>
        </w:tc>
      </w:tr>
      <w:tr w:rsidR="002A4DDF" w:rsidRPr="00937C8B" w14:paraId="4A94ACE7" w14:textId="77777777" w:rsidTr="00935676">
        <w:trPr>
          <w:cantSplit/>
        </w:trPr>
        <w:tc>
          <w:tcPr>
            <w:tcW w:w="1696" w:type="dxa"/>
            <w:tcBorders>
              <w:left w:val="single" w:sz="4" w:space="0" w:color="auto"/>
            </w:tcBorders>
            <w:shd w:val="clear" w:color="auto" w:fill="auto"/>
          </w:tcPr>
          <w:p w14:paraId="4CEB82B5" w14:textId="77777777" w:rsidR="002A4DDF" w:rsidRPr="00937C8B" w:rsidRDefault="002A4DDF" w:rsidP="009110ED">
            <w:pPr>
              <w:rPr>
                <w:rFonts w:ascii="Arial" w:hAnsi="Arial" w:cs="Arial"/>
                <w:sz w:val="12"/>
                <w:szCs w:val="12"/>
              </w:rPr>
            </w:pPr>
          </w:p>
        </w:tc>
        <w:tc>
          <w:tcPr>
            <w:tcW w:w="1843" w:type="dxa"/>
            <w:shd w:val="clear" w:color="auto" w:fill="auto"/>
          </w:tcPr>
          <w:p w14:paraId="02023C97" w14:textId="77777777" w:rsidR="002A4DDF" w:rsidRPr="00937C8B" w:rsidRDefault="002A4DDF" w:rsidP="009110ED">
            <w:pPr>
              <w:rPr>
                <w:rFonts w:ascii="Arial" w:hAnsi="Arial" w:cs="Arial"/>
                <w:sz w:val="12"/>
                <w:szCs w:val="12"/>
              </w:rPr>
            </w:pPr>
          </w:p>
        </w:tc>
        <w:tc>
          <w:tcPr>
            <w:tcW w:w="2268" w:type="dxa"/>
            <w:shd w:val="clear" w:color="auto" w:fill="F2F2F2"/>
            <w:hideMark/>
          </w:tcPr>
          <w:p w14:paraId="2ADB106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10FEA1A" w14:textId="77777777" w:rsidR="002A4DDF" w:rsidRPr="00937C8B" w:rsidRDefault="002A4DDF" w:rsidP="009110ED">
            <w:pPr>
              <w:rPr>
                <w:rFonts w:ascii="Arial" w:hAnsi="Arial" w:cs="Arial"/>
                <w:sz w:val="12"/>
                <w:szCs w:val="12"/>
              </w:rPr>
            </w:pPr>
            <w:r>
              <w:rPr>
                <w:rFonts w:ascii="Arial" w:hAnsi="Arial"/>
                <w:sz w:val="12"/>
                <w:szCs w:val="12"/>
              </w:rPr>
              <w:t>Cabezabellosa</w:t>
            </w:r>
          </w:p>
        </w:tc>
      </w:tr>
      <w:tr w:rsidR="002A4DDF" w:rsidRPr="00937C8B" w14:paraId="22FB6B09" w14:textId="77777777" w:rsidTr="00935676">
        <w:trPr>
          <w:cantSplit/>
        </w:trPr>
        <w:tc>
          <w:tcPr>
            <w:tcW w:w="1696" w:type="dxa"/>
            <w:tcBorders>
              <w:left w:val="single" w:sz="4" w:space="0" w:color="auto"/>
            </w:tcBorders>
            <w:shd w:val="clear" w:color="auto" w:fill="auto"/>
          </w:tcPr>
          <w:p w14:paraId="44BA025E" w14:textId="77777777" w:rsidR="002A4DDF" w:rsidRPr="00937C8B" w:rsidRDefault="002A4DDF" w:rsidP="009110ED">
            <w:pPr>
              <w:rPr>
                <w:rFonts w:ascii="Arial" w:hAnsi="Arial" w:cs="Arial"/>
                <w:sz w:val="12"/>
                <w:szCs w:val="12"/>
              </w:rPr>
            </w:pPr>
          </w:p>
        </w:tc>
        <w:tc>
          <w:tcPr>
            <w:tcW w:w="1843" w:type="dxa"/>
            <w:shd w:val="clear" w:color="auto" w:fill="auto"/>
          </w:tcPr>
          <w:p w14:paraId="2EF9B1EE" w14:textId="77777777" w:rsidR="002A4DDF" w:rsidRPr="00937C8B" w:rsidRDefault="002A4DDF" w:rsidP="009110ED">
            <w:pPr>
              <w:rPr>
                <w:rFonts w:ascii="Arial" w:hAnsi="Arial" w:cs="Arial"/>
                <w:sz w:val="12"/>
                <w:szCs w:val="12"/>
              </w:rPr>
            </w:pPr>
          </w:p>
        </w:tc>
        <w:tc>
          <w:tcPr>
            <w:tcW w:w="2268" w:type="dxa"/>
            <w:shd w:val="clear" w:color="auto" w:fill="F2F2F2"/>
            <w:hideMark/>
          </w:tcPr>
          <w:p w14:paraId="3C2BD2E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845A5ED" w14:textId="77777777" w:rsidR="002A4DDF" w:rsidRPr="00937C8B" w:rsidRDefault="002A4DDF" w:rsidP="009110ED">
            <w:pPr>
              <w:rPr>
                <w:rFonts w:ascii="Arial" w:hAnsi="Arial" w:cs="Arial"/>
                <w:sz w:val="12"/>
                <w:szCs w:val="12"/>
              </w:rPr>
            </w:pPr>
            <w:r>
              <w:rPr>
                <w:rFonts w:ascii="Arial" w:hAnsi="Arial"/>
                <w:sz w:val="12"/>
                <w:szCs w:val="12"/>
              </w:rPr>
              <w:t>Cabezuela del Valle</w:t>
            </w:r>
          </w:p>
        </w:tc>
      </w:tr>
      <w:tr w:rsidR="002A4DDF" w:rsidRPr="00937C8B" w14:paraId="002CD9B8" w14:textId="77777777" w:rsidTr="00935676">
        <w:trPr>
          <w:cantSplit/>
        </w:trPr>
        <w:tc>
          <w:tcPr>
            <w:tcW w:w="1696" w:type="dxa"/>
            <w:tcBorders>
              <w:left w:val="single" w:sz="4" w:space="0" w:color="auto"/>
            </w:tcBorders>
            <w:shd w:val="clear" w:color="auto" w:fill="auto"/>
          </w:tcPr>
          <w:p w14:paraId="22460E84" w14:textId="77777777" w:rsidR="002A4DDF" w:rsidRPr="00937C8B" w:rsidRDefault="002A4DDF" w:rsidP="009110ED">
            <w:pPr>
              <w:rPr>
                <w:rFonts w:ascii="Arial" w:hAnsi="Arial" w:cs="Arial"/>
                <w:sz w:val="12"/>
                <w:szCs w:val="12"/>
              </w:rPr>
            </w:pPr>
          </w:p>
        </w:tc>
        <w:tc>
          <w:tcPr>
            <w:tcW w:w="1843" w:type="dxa"/>
            <w:shd w:val="clear" w:color="auto" w:fill="auto"/>
          </w:tcPr>
          <w:p w14:paraId="74A7940C" w14:textId="77777777" w:rsidR="002A4DDF" w:rsidRPr="00937C8B" w:rsidRDefault="002A4DDF" w:rsidP="009110ED">
            <w:pPr>
              <w:rPr>
                <w:rFonts w:ascii="Arial" w:hAnsi="Arial" w:cs="Arial"/>
                <w:sz w:val="12"/>
                <w:szCs w:val="12"/>
              </w:rPr>
            </w:pPr>
          </w:p>
        </w:tc>
        <w:tc>
          <w:tcPr>
            <w:tcW w:w="2268" w:type="dxa"/>
            <w:shd w:val="clear" w:color="auto" w:fill="F2F2F2"/>
            <w:hideMark/>
          </w:tcPr>
          <w:p w14:paraId="5BE7961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E766C7D" w14:textId="77777777" w:rsidR="002A4DDF" w:rsidRPr="00937C8B" w:rsidRDefault="002A4DDF" w:rsidP="009110ED">
            <w:pPr>
              <w:rPr>
                <w:rFonts w:ascii="Arial" w:hAnsi="Arial" w:cs="Arial"/>
                <w:sz w:val="12"/>
                <w:szCs w:val="12"/>
              </w:rPr>
            </w:pPr>
            <w:r>
              <w:rPr>
                <w:rFonts w:ascii="Arial" w:hAnsi="Arial"/>
                <w:sz w:val="12"/>
                <w:szCs w:val="12"/>
              </w:rPr>
              <w:t>Cabrero</w:t>
            </w:r>
          </w:p>
        </w:tc>
      </w:tr>
      <w:tr w:rsidR="002A4DDF" w:rsidRPr="00937C8B" w14:paraId="13F7A0B1" w14:textId="77777777" w:rsidTr="00935676">
        <w:trPr>
          <w:cantSplit/>
        </w:trPr>
        <w:tc>
          <w:tcPr>
            <w:tcW w:w="1696" w:type="dxa"/>
            <w:tcBorders>
              <w:left w:val="single" w:sz="4" w:space="0" w:color="auto"/>
            </w:tcBorders>
            <w:shd w:val="clear" w:color="auto" w:fill="auto"/>
          </w:tcPr>
          <w:p w14:paraId="53A9274F" w14:textId="77777777" w:rsidR="002A4DDF" w:rsidRPr="00937C8B" w:rsidRDefault="002A4DDF" w:rsidP="009110ED">
            <w:pPr>
              <w:rPr>
                <w:rFonts w:ascii="Arial" w:hAnsi="Arial" w:cs="Arial"/>
                <w:sz w:val="12"/>
                <w:szCs w:val="12"/>
              </w:rPr>
            </w:pPr>
          </w:p>
        </w:tc>
        <w:tc>
          <w:tcPr>
            <w:tcW w:w="1843" w:type="dxa"/>
            <w:shd w:val="clear" w:color="auto" w:fill="auto"/>
          </w:tcPr>
          <w:p w14:paraId="1B55D5C6" w14:textId="77777777" w:rsidR="002A4DDF" w:rsidRPr="00937C8B" w:rsidRDefault="002A4DDF" w:rsidP="009110ED">
            <w:pPr>
              <w:rPr>
                <w:rFonts w:ascii="Arial" w:hAnsi="Arial" w:cs="Arial"/>
                <w:sz w:val="12"/>
                <w:szCs w:val="12"/>
              </w:rPr>
            </w:pPr>
          </w:p>
        </w:tc>
        <w:tc>
          <w:tcPr>
            <w:tcW w:w="2268" w:type="dxa"/>
            <w:shd w:val="clear" w:color="auto" w:fill="F2F2F2"/>
            <w:hideMark/>
          </w:tcPr>
          <w:p w14:paraId="46F6C72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442DBD1" w14:textId="77777777" w:rsidR="002A4DDF" w:rsidRPr="00937C8B" w:rsidRDefault="002A4DDF" w:rsidP="009110ED">
            <w:pPr>
              <w:rPr>
                <w:rFonts w:ascii="Arial" w:hAnsi="Arial" w:cs="Arial"/>
                <w:sz w:val="12"/>
                <w:szCs w:val="12"/>
              </w:rPr>
            </w:pPr>
            <w:r>
              <w:rPr>
                <w:rFonts w:ascii="Arial" w:hAnsi="Arial"/>
                <w:sz w:val="12"/>
                <w:szCs w:val="12"/>
              </w:rPr>
              <w:t>Cáceres</w:t>
            </w:r>
          </w:p>
        </w:tc>
      </w:tr>
      <w:tr w:rsidR="002A4DDF" w:rsidRPr="00937C8B" w14:paraId="1110D905" w14:textId="77777777" w:rsidTr="00935676">
        <w:trPr>
          <w:cantSplit/>
        </w:trPr>
        <w:tc>
          <w:tcPr>
            <w:tcW w:w="1696" w:type="dxa"/>
            <w:tcBorders>
              <w:left w:val="single" w:sz="4" w:space="0" w:color="auto"/>
            </w:tcBorders>
            <w:shd w:val="clear" w:color="auto" w:fill="auto"/>
          </w:tcPr>
          <w:p w14:paraId="1DDC6FE2" w14:textId="77777777" w:rsidR="002A4DDF" w:rsidRPr="00937C8B" w:rsidRDefault="002A4DDF" w:rsidP="009110ED">
            <w:pPr>
              <w:rPr>
                <w:rFonts w:ascii="Arial" w:hAnsi="Arial" w:cs="Arial"/>
                <w:sz w:val="12"/>
                <w:szCs w:val="12"/>
              </w:rPr>
            </w:pPr>
          </w:p>
        </w:tc>
        <w:tc>
          <w:tcPr>
            <w:tcW w:w="1843" w:type="dxa"/>
            <w:shd w:val="clear" w:color="auto" w:fill="auto"/>
          </w:tcPr>
          <w:p w14:paraId="2CBCF2D1" w14:textId="77777777" w:rsidR="002A4DDF" w:rsidRPr="00937C8B" w:rsidRDefault="002A4DDF" w:rsidP="009110ED">
            <w:pPr>
              <w:rPr>
                <w:rFonts w:ascii="Arial" w:hAnsi="Arial" w:cs="Arial"/>
                <w:sz w:val="12"/>
                <w:szCs w:val="12"/>
              </w:rPr>
            </w:pPr>
          </w:p>
        </w:tc>
        <w:tc>
          <w:tcPr>
            <w:tcW w:w="2268" w:type="dxa"/>
            <w:shd w:val="clear" w:color="auto" w:fill="F2F2F2"/>
            <w:hideMark/>
          </w:tcPr>
          <w:p w14:paraId="67BBFAD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193E04E" w14:textId="77777777" w:rsidR="002A4DDF" w:rsidRPr="00937C8B" w:rsidRDefault="002A4DDF" w:rsidP="009110ED">
            <w:pPr>
              <w:rPr>
                <w:rFonts w:ascii="Arial" w:hAnsi="Arial" w:cs="Arial"/>
                <w:sz w:val="12"/>
                <w:szCs w:val="12"/>
              </w:rPr>
            </w:pPr>
            <w:r>
              <w:rPr>
                <w:rFonts w:ascii="Arial" w:hAnsi="Arial"/>
                <w:sz w:val="12"/>
                <w:szCs w:val="12"/>
              </w:rPr>
              <w:t>Cadalso</w:t>
            </w:r>
          </w:p>
        </w:tc>
      </w:tr>
      <w:tr w:rsidR="002A4DDF" w:rsidRPr="00937C8B" w14:paraId="6A19F316" w14:textId="77777777" w:rsidTr="00935676">
        <w:trPr>
          <w:cantSplit/>
        </w:trPr>
        <w:tc>
          <w:tcPr>
            <w:tcW w:w="1696" w:type="dxa"/>
            <w:tcBorders>
              <w:left w:val="single" w:sz="4" w:space="0" w:color="auto"/>
            </w:tcBorders>
            <w:shd w:val="clear" w:color="auto" w:fill="auto"/>
          </w:tcPr>
          <w:p w14:paraId="4E624FA2" w14:textId="77777777" w:rsidR="002A4DDF" w:rsidRPr="00937C8B" w:rsidRDefault="002A4DDF" w:rsidP="009110ED">
            <w:pPr>
              <w:rPr>
                <w:rFonts w:ascii="Arial" w:hAnsi="Arial" w:cs="Arial"/>
                <w:sz w:val="12"/>
                <w:szCs w:val="12"/>
              </w:rPr>
            </w:pPr>
          </w:p>
        </w:tc>
        <w:tc>
          <w:tcPr>
            <w:tcW w:w="1843" w:type="dxa"/>
            <w:shd w:val="clear" w:color="auto" w:fill="auto"/>
          </w:tcPr>
          <w:p w14:paraId="2C95EA3F" w14:textId="77777777" w:rsidR="002A4DDF" w:rsidRPr="00937C8B" w:rsidRDefault="002A4DDF" w:rsidP="009110ED">
            <w:pPr>
              <w:rPr>
                <w:rFonts w:ascii="Arial" w:hAnsi="Arial" w:cs="Arial"/>
                <w:sz w:val="12"/>
                <w:szCs w:val="12"/>
              </w:rPr>
            </w:pPr>
          </w:p>
        </w:tc>
        <w:tc>
          <w:tcPr>
            <w:tcW w:w="2268" w:type="dxa"/>
            <w:shd w:val="clear" w:color="auto" w:fill="F2F2F2"/>
            <w:hideMark/>
          </w:tcPr>
          <w:p w14:paraId="0E48380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39AF0F1" w14:textId="77777777" w:rsidR="002A4DDF" w:rsidRPr="00937C8B" w:rsidRDefault="002A4DDF" w:rsidP="009110ED">
            <w:pPr>
              <w:rPr>
                <w:rFonts w:ascii="Arial" w:hAnsi="Arial" w:cs="Arial"/>
                <w:sz w:val="12"/>
                <w:szCs w:val="12"/>
              </w:rPr>
            </w:pPr>
            <w:r>
              <w:rPr>
                <w:rFonts w:ascii="Arial" w:hAnsi="Arial"/>
                <w:sz w:val="12"/>
                <w:szCs w:val="12"/>
              </w:rPr>
              <w:t>Calzadilla</w:t>
            </w:r>
          </w:p>
        </w:tc>
      </w:tr>
      <w:tr w:rsidR="002A4DDF" w:rsidRPr="00937C8B" w14:paraId="115EAC0A" w14:textId="77777777" w:rsidTr="00935676">
        <w:trPr>
          <w:cantSplit/>
        </w:trPr>
        <w:tc>
          <w:tcPr>
            <w:tcW w:w="1696" w:type="dxa"/>
            <w:tcBorders>
              <w:left w:val="single" w:sz="4" w:space="0" w:color="auto"/>
            </w:tcBorders>
            <w:shd w:val="clear" w:color="auto" w:fill="auto"/>
          </w:tcPr>
          <w:p w14:paraId="008F9346" w14:textId="77777777" w:rsidR="002A4DDF" w:rsidRPr="00937C8B" w:rsidRDefault="002A4DDF" w:rsidP="009110ED">
            <w:pPr>
              <w:rPr>
                <w:rFonts w:ascii="Arial" w:hAnsi="Arial" w:cs="Arial"/>
                <w:sz w:val="12"/>
                <w:szCs w:val="12"/>
              </w:rPr>
            </w:pPr>
          </w:p>
        </w:tc>
        <w:tc>
          <w:tcPr>
            <w:tcW w:w="1843" w:type="dxa"/>
            <w:shd w:val="clear" w:color="auto" w:fill="auto"/>
          </w:tcPr>
          <w:p w14:paraId="1F1196B5" w14:textId="77777777" w:rsidR="002A4DDF" w:rsidRPr="00937C8B" w:rsidRDefault="002A4DDF" w:rsidP="009110ED">
            <w:pPr>
              <w:rPr>
                <w:rFonts w:ascii="Arial" w:hAnsi="Arial" w:cs="Arial"/>
                <w:sz w:val="12"/>
                <w:szCs w:val="12"/>
              </w:rPr>
            </w:pPr>
          </w:p>
        </w:tc>
        <w:tc>
          <w:tcPr>
            <w:tcW w:w="2268" w:type="dxa"/>
            <w:shd w:val="clear" w:color="auto" w:fill="F2F2F2"/>
            <w:hideMark/>
          </w:tcPr>
          <w:p w14:paraId="00CF730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17C8748" w14:textId="77777777" w:rsidR="002A4DDF" w:rsidRPr="00937C8B" w:rsidRDefault="002A4DDF" w:rsidP="009110ED">
            <w:pPr>
              <w:rPr>
                <w:rFonts w:ascii="Arial" w:hAnsi="Arial" w:cs="Arial"/>
                <w:sz w:val="12"/>
                <w:szCs w:val="12"/>
              </w:rPr>
            </w:pPr>
            <w:r>
              <w:rPr>
                <w:rFonts w:ascii="Arial" w:hAnsi="Arial"/>
                <w:sz w:val="12"/>
                <w:szCs w:val="12"/>
              </w:rPr>
              <w:t>Caminomorisco</w:t>
            </w:r>
          </w:p>
        </w:tc>
      </w:tr>
      <w:tr w:rsidR="002A4DDF" w:rsidRPr="00937C8B" w14:paraId="66C9754E" w14:textId="77777777" w:rsidTr="00935676">
        <w:trPr>
          <w:cantSplit/>
        </w:trPr>
        <w:tc>
          <w:tcPr>
            <w:tcW w:w="1696" w:type="dxa"/>
            <w:tcBorders>
              <w:left w:val="single" w:sz="4" w:space="0" w:color="auto"/>
            </w:tcBorders>
            <w:shd w:val="clear" w:color="auto" w:fill="auto"/>
          </w:tcPr>
          <w:p w14:paraId="77FABEEA" w14:textId="77777777" w:rsidR="002A4DDF" w:rsidRPr="00937C8B" w:rsidRDefault="002A4DDF" w:rsidP="009110ED">
            <w:pPr>
              <w:rPr>
                <w:rFonts w:ascii="Arial" w:hAnsi="Arial" w:cs="Arial"/>
                <w:sz w:val="12"/>
                <w:szCs w:val="12"/>
              </w:rPr>
            </w:pPr>
          </w:p>
        </w:tc>
        <w:tc>
          <w:tcPr>
            <w:tcW w:w="1843" w:type="dxa"/>
            <w:shd w:val="clear" w:color="auto" w:fill="auto"/>
          </w:tcPr>
          <w:p w14:paraId="697B1B8E" w14:textId="77777777" w:rsidR="002A4DDF" w:rsidRPr="00937C8B" w:rsidRDefault="002A4DDF" w:rsidP="009110ED">
            <w:pPr>
              <w:rPr>
                <w:rFonts w:ascii="Arial" w:hAnsi="Arial" w:cs="Arial"/>
                <w:sz w:val="12"/>
                <w:szCs w:val="12"/>
              </w:rPr>
            </w:pPr>
          </w:p>
        </w:tc>
        <w:tc>
          <w:tcPr>
            <w:tcW w:w="2268" w:type="dxa"/>
            <w:shd w:val="clear" w:color="auto" w:fill="F2F2F2"/>
            <w:hideMark/>
          </w:tcPr>
          <w:p w14:paraId="32DCFCD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2DD81CD" w14:textId="77777777" w:rsidR="002A4DDF" w:rsidRPr="00937C8B" w:rsidRDefault="002A4DDF" w:rsidP="009110ED">
            <w:pPr>
              <w:rPr>
                <w:rFonts w:ascii="Arial" w:hAnsi="Arial" w:cs="Arial"/>
                <w:sz w:val="12"/>
                <w:szCs w:val="12"/>
              </w:rPr>
            </w:pPr>
            <w:r>
              <w:rPr>
                <w:rFonts w:ascii="Arial" w:hAnsi="Arial"/>
                <w:sz w:val="12"/>
                <w:szCs w:val="12"/>
              </w:rPr>
              <w:t>Campillo de Deleitosa</w:t>
            </w:r>
          </w:p>
        </w:tc>
      </w:tr>
      <w:tr w:rsidR="002A4DDF" w:rsidRPr="00937C8B" w14:paraId="0BEBAA96" w14:textId="77777777" w:rsidTr="00935676">
        <w:trPr>
          <w:cantSplit/>
        </w:trPr>
        <w:tc>
          <w:tcPr>
            <w:tcW w:w="1696" w:type="dxa"/>
            <w:tcBorders>
              <w:left w:val="single" w:sz="4" w:space="0" w:color="auto"/>
            </w:tcBorders>
            <w:shd w:val="clear" w:color="auto" w:fill="auto"/>
          </w:tcPr>
          <w:p w14:paraId="59A61763" w14:textId="77777777" w:rsidR="002A4DDF" w:rsidRPr="00937C8B" w:rsidRDefault="002A4DDF" w:rsidP="009110ED">
            <w:pPr>
              <w:rPr>
                <w:rFonts w:ascii="Arial" w:hAnsi="Arial" w:cs="Arial"/>
                <w:sz w:val="12"/>
                <w:szCs w:val="12"/>
              </w:rPr>
            </w:pPr>
          </w:p>
        </w:tc>
        <w:tc>
          <w:tcPr>
            <w:tcW w:w="1843" w:type="dxa"/>
            <w:shd w:val="clear" w:color="auto" w:fill="auto"/>
          </w:tcPr>
          <w:p w14:paraId="53DC19F0" w14:textId="77777777" w:rsidR="002A4DDF" w:rsidRPr="00937C8B" w:rsidRDefault="002A4DDF" w:rsidP="009110ED">
            <w:pPr>
              <w:rPr>
                <w:rFonts w:ascii="Arial" w:hAnsi="Arial" w:cs="Arial"/>
                <w:sz w:val="12"/>
                <w:szCs w:val="12"/>
              </w:rPr>
            </w:pPr>
          </w:p>
        </w:tc>
        <w:tc>
          <w:tcPr>
            <w:tcW w:w="2268" w:type="dxa"/>
            <w:shd w:val="clear" w:color="auto" w:fill="F2F2F2"/>
            <w:hideMark/>
          </w:tcPr>
          <w:p w14:paraId="3DDBF86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AD4AC88" w14:textId="77777777" w:rsidR="002A4DDF" w:rsidRPr="00937C8B" w:rsidRDefault="002A4DDF" w:rsidP="009110ED">
            <w:pPr>
              <w:rPr>
                <w:rFonts w:ascii="Arial" w:hAnsi="Arial" w:cs="Arial"/>
                <w:sz w:val="12"/>
                <w:szCs w:val="12"/>
              </w:rPr>
            </w:pPr>
            <w:r>
              <w:rPr>
                <w:rFonts w:ascii="Arial" w:hAnsi="Arial"/>
                <w:sz w:val="12"/>
                <w:szCs w:val="12"/>
              </w:rPr>
              <w:t>Campo Lugar</w:t>
            </w:r>
          </w:p>
        </w:tc>
      </w:tr>
      <w:tr w:rsidR="002A4DDF" w:rsidRPr="00937C8B" w14:paraId="4176B324" w14:textId="77777777" w:rsidTr="00935676">
        <w:trPr>
          <w:cantSplit/>
        </w:trPr>
        <w:tc>
          <w:tcPr>
            <w:tcW w:w="1696" w:type="dxa"/>
            <w:tcBorders>
              <w:left w:val="single" w:sz="4" w:space="0" w:color="auto"/>
            </w:tcBorders>
            <w:shd w:val="clear" w:color="auto" w:fill="auto"/>
          </w:tcPr>
          <w:p w14:paraId="6AFBF36A" w14:textId="77777777" w:rsidR="002A4DDF" w:rsidRPr="00937C8B" w:rsidRDefault="002A4DDF" w:rsidP="009110ED">
            <w:pPr>
              <w:rPr>
                <w:rFonts w:ascii="Arial" w:hAnsi="Arial" w:cs="Arial"/>
                <w:sz w:val="12"/>
                <w:szCs w:val="12"/>
              </w:rPr>
            </w:pPr>
          </w:p>
        </w:tc>
        <w:tc>
          <w:tcPr>
            <w:tcW w:w="1843" w:type="dxa"/>
            <w:shd w:val="clear" w:color="auto" w:fill="auto"/>
          </w:tcPr>
          <w:p w14:paraId="5EB608D1" w14:textId="77777777" w:rsidR="002A4DDF" w:rsidRPr="00937C8B" w:rsidRDefault="002A4DDF" w:rsidP="009110ED">
            <w:pPr>
              <w:rPr>
                <w:rFonts w:ascii="Arial" w:hAnsi="Arial" w:cs="Arial"/>
                <w:sz w:val="12"/>
                <w:szCs w:val="12"/>
              </w:rPr>
            </w:pPr>
          </w:p>
        </w:tc>
        <w:tc>
          <w:tcPr>
            <w:tcW w:w="2268" w:type="dxa"/>
            <w:shd w:val="clear" w:color="auto" w:fill="F2F2F2"/>
            <w:hideMark/>
          </w:tcPr>
          <w:p w14:paraId="087D159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1B114C5" w14:textId="77777777" w:rsidR="002A4DDF" w:rsidRPr="00937C8B" w:rsidRDefault="002A4DDF" w:rsidP="009110ED">
            <w:pPr>
              <w:rPr>
                <w:rFonts w:ascii="Arial" w:hAnsi="Arial" w:cs="Arial"/>
                <w:sz w:val="12"/>
                <w:szCs w:val="12"/>
              </w:rPr>
            </w:pPr>
            <w:r>
              <w:rPr>
                <w:rFonts w:ascii="Arial" w:hAnsi="Arial"/>
                <w:sz w:val="12"/>
                <w:szCs w:val="12"/>
              </w:rPr>
              <w:t>Cañamero</w:t>
            </w:r>
          </w:p>
        </w:tc>
      </w:tr>
      <w:tr w:rsidR="002A4DDF" w:rsidRPr="00937C8B" w14:paraId="7836F6EF" w14:textId="77777777" w:rsidTr="00935676">
        <w:trPr>
          <w:cantSplit/>
        </w:trPr>
        <w:tc>
          <w:tcPr>
            <w:tcW w:w="1696" w:type="dxa"/>
            <w:tcBorders>
              <w:left w:val="single" w:sz="4" w:space="0" w:color="auto"/>
            </w:tcBorders>
            <w:shd w:val="clear" w:color="auto" w:fill="auto"/>
          </w:tcPr>
          <w:p w14:paraId="01C3434C" w14:textId="77777777" w:rsidR="002A4DDF" w:rsidRPr="00937C8B" w:rsidRDefault="002A4DDF" w:rsidP="009110ED">
            <w:pPr>
              <w:rPr>
                <w:rFonts w:ascii="Arial" w:hAnsi="Arial" w:cs="Arial"/>
                <w:sz w:val="12"/>
                <w:szCs w:val="12"/>
              </w:rPr>
            </w:pPr>
          </w:p>
        </w:tc>
        <w:tc>
          <w:tcPr>
            <w:tcW w:w="1843" w:type="dxa"/>
            <w:shd w:val="clear" w:color="auto" w:fill="auto"/>
          </w:tcPr>
          <w:p w14:paraId="3AF97E92" w14:textId="77777777" w:rsidR="002A4DDF" w:rsidRPr="00937C8B" w:rsidRDefault="002A4DDF" w:rsidP="009110ED">
            <w:pPr>
              <w:rPr>
                <w:rFonts w:ascii="Arial" w:hAnsi="Arial" w:cs="Arial"/>
                <w:sz w:val="12"/>
                <w:szCs w:val="12"/>
              </w:rPr>
            </w:pPr>
          </w:p>
        </w:tc>
        <w:tc>
          <w:tcPr>
            <w:tcW w:w="2268" w:type="dxa"/>
            <w:shd w:val="clear" w:color="auto" w:fill="F2F2F2"/>
            <w:hideMark/>
          </w:tcPr>
          <w:p w14:paraId="1079773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EDF5119" w14:textId="77777777" w:rsidR="002A4DDF" w:rsidRPr="00937C8B" w:rsidRDefault="002A4DDF" w:rsidP="009110ED">
            <w:pPr>
              <w:rPr>
                <w:rFonts w:ascii="Arial" w:hAnsi="Arial" w:cs="Arial"/>
                <w:sz w:val="12"/>
                <w:szCs w:val="12"/>
              </w:rPr>
            </w:pPr>
            <w:r>
              <w:rPr>
                <w:rFonts w:ascii="Arial" w:hAnsi="Arial"/>
                <w:sz w:val="12"/>
                <w:szCs w:val="12"/>
              </w:rPr>
              <w:t>Cañaveral</w:t>
            </w:r>
          </w:p>
        </w:tc>
      </w:tr>
      <w:tr w:rsidR="002A4DDF" w:rsidRPr="00937C8B" w14:paraId="6808857F" w14:textId="77777777" w:rsidTr="00935676">
        <w:trPr>
          <w:cantSplit/>
        </w:trPr>
        <w:tc>
          <w:tcPr>
            <w:tcW w:w="1696" w:type="dxa"/>
            <w:tcBorders>
              <w:left w:val="single" w:sz="4" w:space="0" w:color="auto"/>
            </w:tcBorders>
            <w:shd w:val="clear" w:color="auto" w:fill="auto"/>
          </w:tcPr>
          <w:p w14:paraId="6FAC1A45" w14:textId="77777777" w:rsidR="002A4DDF" w:rsidRPr="00937C8B" w:rsidRDefault="002A4DDF" w:rsidP="009110ED">
            <w:pPr>
              <w:rPr>
                <w:rFonts w:ascii="Arial" w:hAnsi="Arial" w:cs="Arial"/>
                <w:sz w:val="12"/>
                <w:szCs w:val="12"/>
              </w:rPr>
            </w:pPr>
          </w:p>
        </w:tc>
        <w:tc>
          <w:tcPr>
            <w:tcW w:w="1843" w:type="dxa"/>
            <w:shd w:val="clear" w:color="auto" w:fill="auto"/>
          </w:tcPr>
          <w:p w14:paraId="3878B530" w14:textId="77777777" w:rsidR="002A4DDF" w:rsidRPr="00937C8B" w:rsidRDefault="002A4DDF" w:rsidP="009110ED">
            <w:pPr>
              <w:rPr>
                <w:rFonts w:ascii="Arial" w:hAnsi="Arial" w:cs="Arial"/>
                <w:sz w:val="12"/>
                <w:szCs w:val="12"/>
              </w:rPr>
            </w:pPr>
          </w:p>
        </w:tc>
        <w:tc>
          <w:tcPr>
            <w:tcW w:w="2268" w:type="dxa"/>
            <w:shd w:val="clear" w:color="auto" w:fill="F2F2F2"/>
            <w:hideMark/>
          </w:tcPr>
          <w:p w14:paraId="09CBD07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B098A38" w14:textId="77777777" w:rsidR="002A4DDF" w:rsidRPr="00937C8B" w:rsidRDefault="002A4DDF" w:rsidP="009110ED">
            <w:pPr>
              <w:rPr>
                <w:rFonts w:ascii="Arial" w:hAnsi="Arial" w:cs="Arial"/>
                <w:sz w:val="12"/>
                <w:szCs w:val="12"/>
              </w:rPr>
            </w:pPr>
            <w:r>
              <w:rPr>
                <w:rFonts w:ascii="Arial" w:hAnsi="Arial"/>
                <w:sz w:val="12"/>
                <w:szCs w:val="12"/>
              </w:rPr>
              <w:t>Carbajo</w:t>
            </w:r>
          </w:p>
        </w:tc>
      </w:tr>
      <w:tr w:rsidR="002A4DDF" w:rsidRPr="00937C8B" w14:paraId="0040834C" w14:textId="77777777" w:rsidTr="00935676">
        <w:trPr>
          <w:cantSplit/>
        </w:trPr>
        <w:tc>
          <w:tcPr>
            <w:tcW w:w="1696" w:type="dxa"/>
            <w:tcBorders>
              <w:left w:val="single" w:sz="4" w:space="0" w:color="auto"/>
            </w:tcBorders>
            <w:shd w:val="clear" w:color="auto" w:fill="auto"/>
          </w:tcPr>
          <w:p w14:paraId="29F63C6B" w14:textId="77777777" w:rsidR="002A4DDF" w:rsidRPr="00937C8B" w:rsidRDefault="002A4DDF" w:rsidP="009110ED">
            <w:pPr>
              <w:rPr>
                <w:rFonts w:ascii="Arial" w:hAnsi="Arial" w:cs="Arial"/>
                <w:sz w:val="12"/>
                <w:szCs w:val="12"/>
              </w:rPr>
            </w:pPr>
          </w:p>
        </w:tc>
        <w:tc>
          <w:tcPr>
            <w:tcW w:w="1843" w:type="dxa"/>
            <w:shd w:val="clear" w:color="auto" w:fill="auto"/>
          </w:tcPr>
          <w:p w14:paraId="6678A232" w14:textId="77777777" w:rsidR="002A4DDF" w:rsidRPr="00937C8B" w:rsidRDefault="002A4DDF" w:rsidP="009110ED">
            <w:pPr>
              <w:rPr>
                <w:rFonts w:ascii="Arial" w:hAnsi="Arial" w:cs="Arial"/>
                <w:sz w:val="12"/>
                <w:szCs w:val="12"/>
              </w:rPr>
            </w:pPr>
          </w:p>
        </w:tc>
        <w:tc>
          <w:tcPr>
            <w:tcW w:w="2268" w:type="dxa"/>
            <w:shd w:val="clear" w:color="auto" w:fill="F2F2F2"/>
            <w:hideMark/>
          </w:tcPr>
          <w:p w14:paraId="3CF3436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B6D0408" w14:textId="77777777" w:rsidR="002A4DDF" w:rsidRPr="00937C8B" w:rsidRDefault="002A4DDF" w:rsidP="009110ED">
            <w:pPr>
              <w:rPr>
                <w:rFonts w:ascii="Arial" w:hAnsi="Arial" w:cs="Arial"/>
                <w:sz w:val="12"/>
                <w:szCs w:val="12"/>
              </w:rPr>
            </w:pPr>
            <w:r>
              <w:rPr>
                <w:rFonts w:ascii="Arial" w:hAnsi="Arial"/>
                <w:sz w:val="12"/>
                <w:szCs w:val="12"/>
              </w:rPr>
              <w:t>Carrascalejo</w:t>
            </w:r>
          </w:p>
        </w:tc>
      </w:tr>
      <w:tr w:rsidR="002A4DDF" w:rsidRPr="00937C8B" w14:paraId="4AD5B7A8" w14:textId="77777777" w:rsidTr="00935676">
        <w:trPr>
          <w:cantSplit/>
        </w:trPr>
        <w:tc>
          <w:tcPr>
            <w:tcW w:w="1696" w:type="dxa"/>
            <w:tcBorders>
              <w:left w:val="single" w:sz="4" w:space="0" w:color="auto"/>
            </w:tcBorders>
            <w:shd w:val="clear" w:color="auto" w:fill="auto"/>
          </w:tcPr>
          <w:p w14:paraId="45F9ACA9" w14:textId="77777777" w:rsidR="002A4DDF" w:rsidRPr="00937C8B" w:rsidRDefault="002A4DDF" w:rsidP="009110ED">
            <w:pPr>
              <w:rPr>
                <w:rFonts w:ascii="Arial" w:hAnsi="Arial" w:cs="Arial"/>
                <w:sz w:val="12"/>
                <w:szCs w:val="12"/>
              </w:rPr>
            </w:pPr>
          </w:p>
        </w:tc>
        <w:tc>
          <w:tcPr>
            <w:tcW w:w="1843" w:type="dxa"/>
            <w:shd w:val="clear" w:color="auto" w:fill="auto"/>
          </w:tcPr>
          <w:p w14:paraId="1661B620" w14:textId="77777777" w:rsidR="002A4DDF" w:rsidRPr="00937C8B" w:rsidRDefault="002A4DDF" w:rsidP="009110ED">
            <w:pPr>
              <w:rPr>
                <w:rFonts w:ascii="Arial" w:hAnsi="Arial" w:cs="Arial"/>
                <w:sz w:val="12"/>
                <w:szCs w:val="12"/>
              </w:rPr>
            </w:pPr>
          </w:p>
        </w:tc>
        <w:tc>
          <w:tcPr>
            <w:tcW w:w="2268" w:type="dxa"/>
            <w:shd w:val="clear" w:color="auto" w:fill="F2F2F2"/>
            <w:hideMark/>
          </w:tcPr>
          <w:p w14:paraId="3D94AC9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BAEC55A" w14:textId="77777777" w:rsidR="002A4DDF" w:rsidRPr="00937C8B" w:rsidRDefault="002A4DDF" w:rsidP="009110ED">
            <w:pPr>
              <w:rPr>
                <w:rFonts w:ascii="Arial" w:hAnsi="Arial" w:cs="Arial"/>
                <w:sz w:val="12"/>
                <w:szCs w:val="12"/>
              </w:rPr>
            </w:pPr>
            <w:r>
              <w:rPr>
                <w:rFonts w:ascii="Arial" w:hAnsi="Arial"/>
                <w:sz w:val="12"/>
                <w:szCs w:val="12"/>
              </w:rPr>
              <w:t>Casar de Cáceres</w:t>
            </w:r>
          </w:p>
        </w:tc>
      </w:tr>
      <w:tr w:rsidR="002A4DDF" w:rsidRPr="00937C8B" w14:paraId="2C48E99F" w14:textId="77777777" w:rsidTr="00935676">
        <w:trPr>
          <w:cantSplit/>
        </w:trPr>
        <w:tc>
          <w:tcPr>
            <w:tcW w:w="1696" w:type="dxa"/>
            <w:tcBorders>
              <w:left w:val="single" w:sz="4" w:space="0" w:color="auto"/>
            </w:tcBorders>
            <w:shd w:val="clear" w:color="auto" w:fill="auto"/>
          </w:tcPr>
          <w:p w14:paraId="03F37716" w14:textId="77777777" w:rsidR="002A4DDF" w:rsidRPr="00937C8B" w:rsidRDefault="002A4DDF" w:rsidP="009110ED">
            <w:pPr>
              <w:rPr>
                <w:rFonts w:ascii="Arial" w:hAnsi="Arial" w:cs="Arial"/>
                <w:sz w:val="12"/>
                <w:szCs w:val="12"/>
              </w:rPr>
            </w:pPr>
          </w:p>
        </w:tc>
        <w:tc>
          <w:tcPr>
            <w:tcW w:w="1843" w:type="dxa"/>
            <w:shd w:val="clear" w:color="auto" w:fill="auto"/>
          </w:tcPr>
          <w:p w14:paraId="2E2C2C4F" w14:textId="77777777" w:rsidR="002A4DDF" w:rsidRPr="00937C8B" w:rsidRDefault="002A4DDF" w:rsidP="009110ED">
            <w:pPr>
              <w:rPr>
                <w:rFonts w:ascii="Arial" w:hAnsi="Arial" w:cs="Arial"/>
                <w:sz w:val="12"/>
                <w:szCs w:val="12"/>
              </w:rPr>
            </w:pPr>
          </w:p>
        </w:tc>
        <w:tc>
          <w:tcPr>
            <w:tcW w:w="2268" w:type="dxa"/>
            <w:shd w:val="clear" w:color="auto" w:fill="F2F2F2"/>
            <w:hideMark/>
          </w:tcPr>
          <w:p w14:paraId="6FAC97B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B44DFC2" w14:textId="77777777" w:rsidR="002A4DDF" w:rsidRPr="00937C8B" w:rsidRDefault="002A4DDF" w:rsidP="009110ED">
            <w:pPr>
              <w:rPr>
                <w:rFonts w:ascii="Arial" w:hAnsi="Arial" w:cs="Arial"/>
                <w:sz w:val="12"/>
                <w:szCs w:val="12"/>
              </w:rPr>
            </w:pPr>
            <w:r>
              <w:rPr>
                <w:rFonts w:ascii="Arial" w:hAnsi="Arial"/>
                <w:sz w:val="12"/>
                <w:szCs w:val="12"/>
              </w:rPr>
              <w:t>Casar de Palomero</w:t>
            </w:r>
          </w:p>
        </w:tc>
      </w:tr>
      <w:tr w:rsidR="002A4DDF" w:rsidRPr="00937C8B" w14:paraId="2853221B" w14:textId="77777777" w:rsidTr="00935676">
        <w:trPr>
          <w:cantSplit/>
        </w:trPr>
        <w:tc>
          <w:tcPr>
            <w:tcW w:w="1696" w:type="dxa"/>
            <w:tcBorders>
              <w:left w:val="single" w:sz="4" w:space="0" w:color="auto"/>
            </w:tcBorders>
            <w:shd w:val="clear" w:color="auto" w:fill="auto"/>
          </w:tcPr>
          <w:p w14:paraId="043751EE" w14:textId="77777777" w:rsidR="002A4DDF" w:rsidRPr="00937C8B" w:rsidRDefault="002A4DDF" w:rsidP="009110ED">
            <w:pPr>
              <w:rPr>
                <w:rFonts w:ascii="Arial" w:hAnsi="Arial" w:cs="Arial"/>
                <w:sz w:val="12"/>
                <w:szCs w:val="12"/>
              </w:rPr>
            </w:pPr>
          </w:p>
        </w:tc>
        <w:tc>
          <w:tcPr>
            <w:tcW w:w="1843" w:type="dxa"/>
            <w:shd w:val="clear" w:color="auto" w:fill="auto"/>
          </w:tcPr>
          <w:p w14:paraId="594ED0C8" w14:textId="77777777" w:rsidR="002A4DDF" w:rsidRPr="00937C8B" w:rsidRDefault="002A4DDF" w:rsidP="009110ED">
            <w:pPr>
              <w:rPr>
                <w:rFonts w:ascii="Arial" w:hAnsi="Arial" w:cs="Arial"/>
                <w:sz w:val="12"/>
                <w:szCs w:val="12"/>
              </w:rPr>
            </w:pPr>
          </w:p>
        </w:tc>
        <w:tc>
          <w:tcPr>
            <w:tcW w:w="2268" w:type="dxa"/>
            <w:shd w:val="clear" w:color="auto" w:fill="F2F2F2"/>
            <w:hideMark/>
          </w:tcPr>
          <w:p w14:paraId="3FAC60C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30956C8" w14:textId="77777777" w:rsidR="002A4DDF" w:rsidRPr="00937C8B" w:rsidRDefault="002A4DDF" w:rsidP="009110ED">
            <w:pPr>
              <w:rPr>
                <w:rFonts w:ascii="Arial" w:hAnsi="Arial" w:cs="Arial"/>
                <w:sz w:val="12"/>
                <w:szCs w:val="12"/>
              </w:rPr>
            </w:pPr>
            <w:r>
              <w:rPr>
                <w:rFonts w:ascii="Arial" w:hAnsi="Arial"/>
                <w:sz w:val="12"/>
                <w:szCs w:val="12"/>
              </w:rPr>
              <w:t>Casares de las Hurdes</w:t>
            </w:r>
          </w:p>
        </w:tc>
      </w:tr>
      <w:tr w:rsidR="002A4DDF" w:rsidRPr="00937C8B" w14:paraId="1D90E998" w14:textId="77777777" w:rsidTr="00935676">
        <w:trPr>
          <w:cantSplit/>
        </w:trPr>
        <w:tc>
          <w:tcPr>
            <w:tcW w:w="1696" w:type="dxa"/>
            <w:tcBorders>
              <w:left w:val="single" w:sz="4" w:space="0" w:color="auto"/>
            </w:tcBorders>
            <w:shd w:val="clear" w:color="auto" w:fill="auto"/>
          </w:tcPr>
          <w:p w14:paraId="18502B6B" w14:textId="77777777" w:rsidR="002A4DDF" w:rsidRPr="00937C8B" w:rsidRDefault="002A4DDF" w:rsidP="009110ED">
            <w:pPr>
              <w:rPr>
                <w:rFonts w:ascii="Arial" w:hAnsi="Arial" w:cs="Arial"/>
                <w:sz w:val="12"/>
                <w:szCs w:val="12"/>
              </w:rPr>
            </w:pPr>
          </w:p>
        </w:tc>
        <w:tc>
          <w:tcPr>
            <w:tcW w:w="1843" w:type="dxa"/>
            <w:shd w:val="clear" w:color="auto" w:fill="auto"/>
          </w:tcPr>
          <w:p w14:paraId="569E77E5" w14:textId="77777777" w:rsidR="002A4DDF" w:rsidRPr="00937C8B" w:rsidRDefault="002A4DDF" w:rsidP="009110ED">
            <w:pPr>
              <w:rPr>
                <w:rFonts w:ascii="Arial" w:hAnsi="Arial" w:cs="Arial"/>
                <w:sz w:val="12"/>
                <w:szCs w:val="12"/>
              </w:rPr>
            </w:pPr>
          </w:p>
        </w:tc>
        <w:tc>
          <w:tcPr>
            <w:tcW w:w="2268" w:type="dxa"/>
            <w:shd w:val="clear" w:color="auto" w:fill="F2F2F2"/>
            <w:hideMark/>
          </w:tcPr>
          <w:p w14:paraId="186A65B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4CD9318" w14:textId="77777777" w:rsidR="002A4DDF" w:rsidRPr="00937C8B" w:rsidRDefault="002A4DDF" w:rsidP="009110ED">
            <w:pPr>
              <w:rPr>
                <w:rFonts w:ascii="Arial" w:hAnsi="Arial" w:cs="Arial"/>
                <w:sz w:val="12"/>
                <w:szCs w:val="12"/>
              </w:rPr>
            </w:pPr>
            <w:r>
              <w:rPr>
                <w:rFonts w:ascii="Arial" w:hAnsi="Arial"/>
                <w:sz w:val="12"/>
                <w:szCs w:val="12"/>
              </w:rPr>
              <w:t>Casas de Don Antonio</w:t>
            </w:r>
          </w:p>
        </w:tc>
      </w:tr>
      <w:tr w:rsidR="002A4DDF" w:rsidRPr="00937C8B" w14:paraId="4FE8505E" w14:textId="77777777" w:rsidTr="00935676">
        <w:trPr>
          <w:cantSplit/>
        </w:trPr>
        <w:tc>
          <w:tcPr>
            <w:tcW w:w="1696" w:type="dxa"/>
            <w:tcBorders>
              <w:left w:val="single" w:sz="4" w:space="0" w:color="auto"/>
            </w:tcBorders>
            <w:shd w:val="clear" w:color="auto" w:fill="auto"/>
          </w:tcPr>
          <w:p w14:paraId="5B5E38F2" w14:textId="77777777" w:rsidR="002A4DDF" w:rsidRPr="00937C8B" w:rsidRDefault="002A4DDF" w:rsidP="009110ED">
            <w:pPr>
              <w:rPr>
                <w:rFonts w:ascii="Arial" w:hAnsi="Arial" w:cs="Arial"/>
                <w:sz w:val="12"/>
                <w:szCs w:val="12"/>
              </w:rPr>
            </w:pPr>
          </w:p>
        </w:tc>
        <w:tc>
          <w:tcPr>
            <w:tcW w:w="1843" w:type="dxa"/>
            <w:shd w:val="clear" w:color="auto" w:fill="auto"/>
          </w:tcPr>
          <w:p w14:paraId="48BB75C1" w14:textId="77777777" w:rsidR="002A4DDF" w:rsidRPr="00937C8B" w:rsidRDefault="002A4DDF" w:rsidP="009110ED">
            <w:pPr>
              <w:rPr>
                <w:rFonts w:ascii="Arial" w:hAnsi="Arial" w:cs="Arial"/>
                <w:sz w:val="12"/>
                <w:szCs w:val="12"/>
              </w:rPr>
            </w:pPr>
          </w:p>
        </w:tc>
        <w:tc>
          <w:tcPr>
            <w:tcW w:w="2268" w:type="dxa"/>
            <w:shd w:val="clear" w:color="auto" w:fill="F2F2F2"/>
            <w:hideMark/>
          </w:tcPr>
          <w:p w14:paraId="5AA13EC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6F27E68" w14:textId="77777777" w:rsidR="002A4DDF" w:rsidRPr="00937C8B" w:rsidRDefault="002A4DDF" w:rsidP="009110ED">
            <w:pPr>
              <w:rPr>
                <w:rFonts w:ascii="Arial" w:hAnsi="Arial" w:cs="Arial"/>
                <w:sz w:val="12"/>
                <w:szCs w:val="12"/>
              </w:rPr>
            </w:pPr>
            <w:r>
              <w:rPr>
                <w:rFonts w:ascii="Arial" w:hAnsi="Arial"/>
                <w:sz w:val="12"/>
                <w:szCs w:val="12"/>
              </w:rPr>
              <w:t>Casas de Don Gómez</w:t>
            </w:r>
          </w:p>
        </w:tc>
      </w:tr>
      <w:tr w:rsidR="002A4DDF" w:rsidRPr="00937C8B" w14:paraId="2663AACE" w14:textId="77777777" w:rsidTr="00935676">
        <w:trPr>
          <w:cantSplit/>
        </w:trPr>
        <w:tc>
          <w:tcPr>
            <w:tcW w:w="1696" w:type="dxa"/>
            <w:tcBorders>
              <w:left w:val="single" w:sz="4" w:space="0" w:color="auto"/>
            </w:tcBorders>
            <w:shd w:val="clear" w:color="auto" w:fill="auto"/>
          </w:tcPr>
          <w:p w14:paraId="1E601844" w14:textId="77777777" w:rsidR="002A4DDF" w:rsidRPr="00937C8B" w:rsidRDefault="002A4DDF" w:rsidP="009110ED">
            <w:pPr>
              <w:rPr>
                <w:rFonts w:ascii="Arial" w:hAnsi="Arial" w:cs="Arial"/>
                <w:sz w:val="12"/>
                <w:szCs w:val="12"/>
              </w:rPr>
            </w:pPr>
          </w:p>
        </w:tc>
        <w:tc>
          <w:tcPr>
            <w:tcW w:w="1843" w:type="dxa"/>
            <w:shd w:val="clear" w:color="auto" w:fill="auto"/>
          </w:tcPr>
          <w:p w14:paraId="678FB4AE" w14:textId="77777777" w:rsidR="002A4DDF" w:rsidRPr="00937C8B" w:rsidRDefault="002A4DDF" w:rsidP="009110ED">
            <w:pPr>
              <w:rPr>
                <w:rFonts w:ascii="Arial" w:hAnsi="Arial" w:cs="Arial"/>
                <w:sz w:val="12"/>
                <w:szCs w:val="12"/>
              </w:rPr>
            </w:pPr>
          </w:p>
        </w:tc>
        <w:tc>
          <w:tcPr>
            <w:tcW w:w="2268" w:type="dxa"/>
            <w:shd w:val="clear" w:color="auto" w:fill="F2F2F2"/>
            <w:hideMark/>
          </w:tcPr>
          <w:p w14:paraId="0F13581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427653C" w14:textId="77777777" w:rsidR="002A4DDF" w:rsidRPr="00937C8B" w:rsidRDefault="002A4DDF" w:rsidP="009110ED">
            <w:pPr>
              <w:rPr>
                <w:rFonts w:ascii="Arial" w:hAnsi="Arial" w:cs="Arial"/>
                <w:sz w:val="12"/>
                <w:szCs w:val="12"/>
              </w:rPr>
            </w:pPr>
            <w:r>
              <w:rPr>
                <w:rFonts w:ascii="Arial" w:hAnsi="Arial"/>
                <w:sz w:val="12"/>
                <w:szCs w:val="12"/>
              </w:rPr>
              <w:t>Casas de Millán</w:t>
            </w:r>
          </w:p>
        </w:tc>
      </w:tr>
      <w:tr w:rsidR="002A4DDF" w:rsidRPr="00937C8B" w14:paraId="3E6B2C9D" w14:textId="77777777" w:rsidTr="00935676">
        <w:trPr>
          <w:cantSplit/>
        </w:trPr>
        <w:tc>
          <w:tcPr>
            <w:tcW w:w="1696" w:type="dxa"/>
            <w:tcBorders>
              <w:left w:val="single" w:sz="4" w:space="0" w:color="auto"/>
            </w:tcBorders>
            <w:shd w:val="clear" w:color="auto" w:fill="auto"/>
          </w:tcPr>
          <w:p w14:paraId="589C6BFD" w14:textId="77777777" w:rsidR="002A4DDF" w:rsidRPr="00937C8B" w:rsidRDefault="002A4DDF" w:rsidP="009110ED">
            <w:pPr>
              <w:rPr>
                <w:rFonts w:ascii="Arial" w:hAnsi="Arial" w:cs="Arial"/>
                <w:sz w:val="12"/>
                <w:szCs w:val="12"/>
              </w:rPr>
            </w:pPr>
          </w:p>
        </w:tc>
        <w:tc>
          <w:tcPr>
            <w:tcW w:w="1843" w:type="dxa"/>
            <w:shd w:val="clear" w:color="auto" w:fill="auto"/>
          </w:tcPr>
          <w:p w14:paraId="03E7A9DF" w14:textId="77777777" w:rsidR="002A4DDF" w:rsidRPr="00937C8B" w:rsidRDefault="002A4DDF" w:rsidP="009110ED">
            <w:pPr>
              <w:rPr>
                <w:rFonts w:ascii="Arial" w:hAnsi="Arial" w:cs="Arial"/>
                <w:sz w:val="12"/>
                <w:szCs w:val="12"/>
              </w:rPr>
            </w:pPr>
          </w:p>
        </w:tc>
        <w:tc>
          <w:tcPr>
            <w:tcW w:w="2268" w:type="dxa"/>
            <w:shd w:val="clear" w:color="auto" w:fill="F2F2F2"/>
            <w:hideMark/>
          </w:tcPr>
          <w:p w14:paraId="696C852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33C613E" w14:textId="77777777" w:rsidR="002A4DDF" w:rsidRPr="00937C8B" w:rsidRDefault="002A4DDF" w:rsidP="009110ED">
            <w:pPr>
              <w:rPr>
                <w:rFonts w:ascii="Arial" w:hAnsi="Arial" w:cs="Arial"/>
                <w:sz w:val="12"/>
                <w:szCs w:val="12"/>
              </w:rPr>
            </w:pPr>
            <w:r>
              <w:rPr>
                <w:rFonts w:ascii="Arial" w:hAnsi="Arial"/>
                <w:sz w:val="12"/>
                <w:szCs w:val="12"/>
              </w:rPr>
              <w:t>Casas de Miravete</w:t>
            </w:r>
          </w:p>
        </w:tc>
      </w:tr>
      <w:tr w:rsidR="002A4DDF" w:rsidRPr="00937C8B" w14:paraId="27C7945E" w14:textId="77777777" w:rsidTr="00935676">
        <w:trPr>
          <w:cantSplit/>
        </w:trPr>
        <w:tc>
          <w:tcPr>
            <w:tcW w:w="1696" w:type="dxa"/>
            <w:tcBorders>
              <w:left w:val="single" w:sz="4" w:space="0" w:color="auto"/>
            </w:tcBorders>
            <w:shd w:val="clear" w:color="auto" w:fill="auto"/>
          </w:tcPr>
          <w:p w14:paraId="309B5982" w14:textId="77777777" w:rsidR="002A4DDF" w:rsidRPr="00937C8B" w:rsidRDefault="002A4DDF" w:rsidP="009110ED">
            <w:pPr>
              <w:rPr>
                <w:rFonts w:ascii="Arial" w:hAnsi="Arial" w:cs="Arial"/>
                <w:sz w:val="12"/>
                <w:szCs w:val="12"/>
              </w:rPr>
            </w:pPr>
          </w:p>
        </w:tc>
        <w:tc>
          <w:tcPr>
            <w:tcW w:w="1843" w:type="dxa"/>
            <w:shd w:val="clear" w:color="auto" w:fill="auto"/>
          </w:tcPr>
          <w:p w14:paraId="52C58BDE" w14:textId="77777777" w:rsidR="002A4DDF" w:rsidRPr="00937C8B" w:rsidRDefault="002A4DDF" w:rsidP="009110ED">
            <w:pPr>
              <w:rPr>
                <w:rFonts w:ascii="Arial" w:hAnsi="Arial" w:cs="Arial"/>
                <w:sz w:val="12"/>
                <w:szCs w:val="12"/>
              </w:rPr>
            </w:pPr>
          </w:p>
        </w:tc>
        <w:tc>
          <w:tcPr>
            <w:tcW w:w="2268" w:type="dxa"/>
            <w:shd w:val="clear" w:color="auto" w:fill="F2F2F2"/>
            <w:hideMark/>
          </w:tcPr>
          <w:p w14:paraId="7F93B3F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06BEF48" w14:textId="77777777" w:rsidR="002A4DDF" w:rsidRPr="00937C8B" w:rsidRDefault="002A4DDF" w:rsidP="009110ED">
            <w:pPr>
              <w:rPr>
                <w:rFonts w:ascii="Arial" w:hAnsi="Arial" w:cs="Arial"/>
                <w:sz w:val="12"/>
                <w:szCs w:val="12"/>
              </w:rPr>
            </w:pPr>
            <w:r>
              <w:rPr>
                <w:rFonts w:ascii="Arial" w:hAnsi="Arial"/>
                <w:sz w:val="12"/>
                <w:szCs w:val="12"/>
              </w:rPr>
              <w:t>Casas del Castañar</w:t>
            </w:r>
          </w:p>
        </w:tc>
      </w:tr>
      <w:tr w:rsidR="002A4DDF" w:rsidRPr="00937C8B" w14:paraId="2950D668" w14:textId="77777777" w:rsidTr="00935676">
        <w:trPr>
          <w:cantSplit/>
        </w:trPr>
        <w:tc>
          <w:tcPr>
            <w:tcW w:w="1696" w:type="dxa"/>
            <w:tcBorders>
              <w:left w:val="single" w:sz="4" w:space="0" w:color="auto"/>
            </w:tcBorders>
            <w:shd w:val="clear" w:color="auto" w:fill="auto"/>
          </w:tcPr>
          <w:p w14:paraId="2E93B39D" w14:textId="77777777" w:rsidR="002A4DDF" w:rsidRPr="00937C8B" w:rsidRDefault="002A4DDF" w:rsidP="009110ED">
            <w:pPr>
              <w:rPr>
                <w:rFonts w:ascii="Arial" w:hAnsi="Arial" w:cs="Arial"/>
                <w:sz w:val="12"/>
                <w:szCs w:val="12"/>
              </w:rPr>
            </w:pPr>
          </w:p>
        </w:tc>
        <w:tc>
          <w:tcPr>
            <w:tcW w:w="1843" w:type="dxa"/>
            <w:shd w:val="clear" w:color="auto" w:fill="auto"/>
          </w:tcPr>
          <w:p w14:paraId="735E633A" w14:textId="77777777" w:rsidR="002A4DDF" w:rsidRPr="00937C8B" w:rsidRDefault="002A4DDF" w:rsidP="009110ED">
            <w:pPr>
              <w:rPr>
                <w:rFonts w:ascii="Arial" w:hAnsi="Arial" w:cs="Arial"/>
                <w:sz w:val="12"/>
                <w:szCs w:val="12"/>
              </w:rPr>
            </w:pPr>
          </w:p>
        </w:tc>
        <w:tc>
          <w:tcPr>
            <w:tcW w:w="2268" w:type="dxa"/>
            <w:shd w:val="clear" w:color="auto" w:fill="F2F2F2"/>
            <w:hideMark/>
          </w:tcPr>
          <w:p w14:paraId="0711961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8B6D687" w14:textId="77777777" w:rsidR="002A4DDF" w:rsidRPr="00937C8B" w:rsidRDefault="002A4DDF" w:rsidP="009110ED">
            <w:pPr>
              <w:rPr>
                <w:rFonts w:ascii="Arial" w:hAnsi="Arial" w:cs="Arial"/>
                <w:sz w:val="12"/>
                <w:szCs w:val="12"/>
              </w:rPr>
            </w:pPr>
            <w:r>
              <w:rPr>
                <w:rFonts w:ascii="Arial" w:hAnsi="Arial"/>
                <w:sz w:val="12"/>
                <w:szCs w:val="12"/>
              </w:rPr>
              <w:t>Casas del Monte</w:t>
            </w:r>
          </w:p>
        </w:tc>
      </w:tr>
      <w:tr w:rsidR="002A4DDF" w:rsidRPr="00937C8B" w14:paraId="7A7250B4" w14:textId="77777777" w:rsidTr="00935676">
        <w:trPr>
          <w:cantSplit/>
        </w:trPr>
        <w:tc>
          <w:tcPr>
            <w:tcW w:w="1696" w:type="dxa"/>
            <w:tcBorders>
              <w:left w:val="single" w:sz="4" w:space="0" w:color="auto"/>
            </w:tcBorders>
            <w:shd w:val="clear" w:color="auto" w:fill="auto"/>
          </w:tcPr>
          <w:p w14:paraId="1D3E13B3" w14:textId="77777777" w:rsidR="002A4DDF" w:rsidRPr="00937C8B" w:rsidRDefault="002A4DDF" w:rsidP="009110ED">
            <w:pPr>
              <w:rPr>
                <w:rFonts w:ascii="Arial" w:hAnsi="Arial" w:cs="Arial"/>
                <w:sz w:val="12"/>
                <w:szCs w:val="12"/>
              </w:rPr>
            </w:pPr>
          </w:p>
        </w:tc>
        <w:tc>
          <w:tcPr>
            <w:tcW w:w="1843" w:type="dxa"/>
            <w:shd w:val="clear" w:color="auto" w:fill="auto"/>
          </w:tcPr>
          <w:p w14:paraId="71866B2D" w14:textId="77777777" w:rsidR="002A4DDF" w:rsidRPr="00937C8B" w:rsidRDefault="002A4DDF" w:rsidP="009110ED">
            <w:pPr>
              <w:rPr>
                <w:rFonts w:ascii="Arial" w:hAnsi="Arial" w:cs="Arial"/>
                <w:sz w:val="12"/>
                <w:szCs w:val="12"/>
              </w:rPr>
            </w:pPr>
          </w:p>
        </w:tc>
        <w:tc>
          <w:tcPr>
            <w:tcW w:w="2268" w:type="dxa"/>
            <w:shd w:val="clear" w:color="auto" w:fill="F2F2F2"/>
            <w:hideMark/>
          </w:tcPr>
          <w:p w14:paraId="4CCAA38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4F0F1A0" w14:textId="77777777" w:rsidR="002A4DDF" w:rsidRPr="00937C8B" w:rsidRDefault="002A4DDF" w:rsidP="009110ED">
            <w:pPr>
              <w:rPr>
                <w:rFonts w:ascii="Arial" w:hAnsi="Arial" w:cs="Arial"/>
                <w:sz w:val="12"/>
                <w:szCs w:val="12"/>
              </w:rPr>
            </w:pPr>
            <w:r>
              <w:rPr>
                <w:rFonts w:ascii="Arial" w:hAnsi="Arial"/>
                <w:sz w:val="12"/>
                <w:szCs w:val="12"/>
              </w:rPr>
              <w:t>Casillas de Coria</w:t>
            </w:r>
          </w:p>
        </w:tc>
      </w:tr>
      <w:tr w:rsidR="002A4DDF" w:rsidRPr="00937C8B" w14:paraId="7BF4B72D" w14:textId="77777777" w:rsidTr="00935676">
        <w:trPr>
          <w:cantSplit/>
        </w:trPr>
        <w:tc>
          <w:tcPr>
            <w:tcW w:w="1696" w:type="dxa"/>
            <w:tcBorders>
              <w:left w:val="single" w:sz="4" w:space="0" w:color="auto"/>
            </w:tcBorders>
            <w:shd w:val="clear" w:color="auto" w:fill="auto"/>
          </w:tcPr>
          <w:p w14:paraId="0E8EF178" w14:textId="77777777" w:rsidR="002A4DDF" w:rsidRPr="00937C8B" w:rsidRDefault="002A4DDF" w:rsidP="009110ED">
            <w:pPr>
              <w:rPr>
                <w:rFonts w:ascii="Arial" w:hAnsi="Arial" w:cs="Arial"/>
                <w:sz w:val="12"/>
                <w:szCs w:val="12"/>
              </w:rPr>
            </w:pPr>
          </w:p>
        </w:tc>
        <w:tc>
          <w:tcPr>
            <w:tcW w:w="1843" w:type="dxa"/>
            <w:shd w:val="clear" w:color="auto" w:fill="auto"/>
          </w:tcPr>
          <w:p w14:paraId="1CD2479C" w14:textId="77777777" w:rsidR="002A4DDF" w:rsidRPr="00937C8B" w:rsidRDefault="002A4DDF" w:rsidP="009110ED">
            <w:pPr>
              <w:rPr>
                <w:rFonts w:ascii="Arial" w:hAnsi="Arial" w:cs="Arial"/>
                <w:sz w:val="12"/>
                <w:szCs w:val="12"/>
              </w:rPr>
            </w:pPr>
          </w:p>
        </w:tc>
        <w:tc>
          <w:tcPr>
            <w:tcW w:w="2268" w:type="dxa"/>
            <w:shd w:val="clear" w:color="auto" w:fill="F2F2F2"/>
            <w:hideMark/>
          </w:tcPr>
          <w:p w14:paraId="4A11FC4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F08B42C" w14:textId="77777777" w:rsidR="002A4DDF" w:rsidRPr="00937C8B" w:rsidRDefault="002A4DDF" w:rsidP="009110ED">
            <w:pPr>
              <w:rPr>
                <w:rFonts w:ascii="Arial" w:hAnsi="Arial" w:cs="Arial"/>
                <w:sz w:val="12"/>
                <w:szCs w:val="12"/>
              </w:rPr>
            </w:pPr>
            <w:r>
              <w:rPr>
                <w:rFonts w:ascii="Arial" w:hAnsi="Arial"/>
                <w:sz w:val="12"/>
                <w:szCs w:val="12"/>
              </w:rPr>
              <w:t>Castañar de Ibor</w:t>
            </w:r>
          </w:p>
        </w:tc>
      </w:tr>
      <w:tr w:rsidR="002A4DDF" w:rsidRPr="00937C8B" w14:paraId="1AA8B2B5" w14:textId="77777777" w:rsidTr="00935676">
        <w:trPr>
          <w:cantSplit/>
        </w:trPr>
        <w:tc>
          <w:tcPr>
            <w:tcW w:w="1696" w:type="dxa"/>
            <w:tcBorders>
              <w:left w:val="single" w:sz="4" w:space="0" w:color="auto"/>
            </w:tcBorders>
            <w:shd w:val="clear" w:color="auto" w:fill="auto"/>
          </w:tcPr>
          <w:p w14:paraId="76242637" w14:textId="77777777" w:rsidR="002A4DDF" w:rsidRPr="00937C8B" w:rsidRDefault="002A4DDF" w:rsidP="009110ED">
            <w:pPr>
              <w:rPr>
                <w:rFonts w:ascii="Arial" w:hAnsi="Arial" w:cs="Arial"/>
                <w:sz w:val="12"/>
                <w:szCs w:val="12"/>
              </w:rPr>
            </w:pPr>
          </w:p>
        </w:tc>
        <w:tc>
          <w:tcPr>
            <w:tcW w:w="1843" w:type="dxa"/>
            <w:shd w:val="clear" w:color="auto" w:fill="auto"/>
          </w:tcPr>
          <w:p w14:paraId="63DB0955" w14:textId="77777777" w:rsidR="002A4DDF" w:rsidRPr="00937C8B" w:rsidRDefault="002A4DDF" w:rsidP="009110ED">
            <w:pPr>
              <w:rPr>
                <w:rFonts w:ascii="Arial" w:hAnsi="Arial" w:cs="Arial"/>
                <w:sz w:val="12"/>
                <w:szCs w:val="12"/>
              </w:rPr>
            </w:pPr>
          </w:p>
        </w:tc>
        <w:tc>
          <w:tcPr>
            <w:tcW w:w="2268" w:type="dxa"/>
            <w:shd w:val="clear" w:color="auto" w:fill="F2F2F2"/>
            <w:hideMark/>
          </w:tcPr>
          <w:p w14:paraId="6501FDB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86FF8CE" w14:textId="77777777" w:rsidR="002A4DDF" w:rsidRPr="00937C8B" w:rsidRDefault="002A4DDF" w:rsidP="009110ED">
            <w:pPr>
              <w:rPr>
                <w:rFonts w:ascii="Arial" w:hAnsi="Arial" w:cs="Arial"/>
                <w:sz w:val="12"/>
                <w:szCs w:val="12"/>
              </w:rPr>
            </w:pPr>
            <w:r>
              <w:rPr>
                <w:rFonts w:ascii="Arial" w:hAnsi="Arial"/>
                <w:sz w:val="12"/>
                <w:szCs w:val="12"/>
              </w:rPr>
              <w:t>Ceclavín</w:t>
            </w:r>
          </w:p>
        </w:tc>
      </w:tr>
      <w:tr w:rsidR="002A4DDF" w:rsidRPr="00937C8B" w14:paraId="27B1A697" w14:textId="77777777" w:rsidTr="00935676">
        <w:trPr>
          <w:cantSplit/>
        </w:trPr>
        <w:tc>
          <w:tcPr>
            <w:tcW w:w="1696" w:type="dxa"/>
            <w:tcBorders>
              <w:left w:val="single" w:sz="4" w:space="0" w:color="auto"/>
            </w:tcBorders>
            <w:shd w:val="clear" w:color="auto" w:fill="auto"/>
          </w:tcPr>
          <w:p w14:paraId="54DC8240" w14:textId="77777777" w:rsidR="002A4DDF" w:rsidRPr="00937C8B" w:rsidRDefault="002A4DDF" w:rsidP="009110ED">
            <w:pPr>
              <w:rPr>
                <w:rFonts w:ascii="Arial" w:hAnsi="Arial" w:cs="Arial"/>
                <w:sz w:val="12"/>
                <w:szCs w:val="12"/>
              </w:rPr>
            </w:pPr>
          </w:p>
        </w:tc>
        <w:tc>
          <w:tcPr>
            <w:tcW w:w="1843" w:type="dxa"/>
            <w:shd w:val="clear" w:color="auto" w:fill="auto"/>
          </w:tcPr>
          <w:p w14:paraId="2A7DA971" w14:textId="77777777" w:rsidR="002A4DDF" w:rsidRPr="00937C8B" w:rsidRDefault="002A4DDF" w:rsidP="009110ED">
            <w:pPr>
              <w:rPr>
                <w:rFonts w:ascii="Arial" w:hAnsi="Arial" w:cs="Arial"/>
                <w:sz w:val="12"/>
                <w:szCs w:val="12"/>
              </w:rPr>
            </w:pPr>
          </w:p>
        </w:tc>
        <w:tc>
          <w:tcPr>
            <w:tcW w:w="2268" w:type="dxa"/>
            <w:shd w:val="clear" w:color="auto" w:fill="F2F2F2"/>
            <w:hideMark/>
          </w:tcPr>
          <w:p w14:paraId="31DA25E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8EBC357" w14:textId="77777777" w:rsidR="002A4DDF" w:rsidRPr="00937C8B" w:rsidRDefault="002A4DDF" w:rsidP="009110ED">
            <w:pPr>
              <w:rPr>
                <w:rFonts w:ascii="Arial" w:hAnsi="Arial" w:cs="Arial"/>
                <w:sz w:val="12"/>
                <w:szCs w:val="12"/>
              </w:rPr>
            </w:pPr>
            <w:r>
              <w:rPr>
                <w:rFonts w:ascii="Arial" w:hAnsi="Arial"/>
                <w:sz w:val="12"/>
                <w:szCs w:val="12"/>
              </w:rPr>
              <w:t>Cedillo</w:t>
            </w:r>
          </w:p>
        </w:tc>
      </w:tr>
      <w:tr w:rsidR="002A4DDF" w:rsidRPr="00937C8B" w14:paraId="5B720656" w14:textId="77777777" w:rsidTr="00935676">
        <w:trPr>
          <w:cantSplit/>
        </w:trPr>
        <w:tc>
          <w:tcPr>
            <w:tcW w:w="1696" w:type="dxa"/>
            <w:tcBorders>
              <w:left w:val="single" w:sz="4" w:space="0" w:color="auto"/>
            </w:tcBorders>
            <w:shd w:val="clear" w:color="auto" w:fill="auto"/>
          </w:tcPr>
          <w:p w14:paraId="6550BB5B" w14:textId="77777777" w:rsidR="002A4DDF" w:rsidRPr="00937C8B" w:rsidRDefault="002A4DDF" w:rsidP="009110ED">
            <w:pPr>
              <w:rPr>
                <w:rFonts w:ascii="Arial" w:hAnsi="Arial" w:cs="Arial"/>
                <w:sz w:val="12"/>
                <w:szCs w:val="12"/>
              </w:rPr>
            </w:pPr>
          </w:p>
        </w:tc>
        <w:tc>
          <w:tcPr>
            <w:tcW w:w="1843" w:type="dxa"/>
            <w:shd w:val="clear" w:color="auto" w:fill="auto"/>
          </w:tcPr>
          <w:p w14:paraId="65307D5B" w14:textId="77777777" w:rsidR="002A4DDF" w:rsidRPr="00937C8B" w:rsidRDefault="002A4DDF" w:rsidP="009110ED">
            <w:pPr>
              <w:rPr>
                <w:rFonts w:ascii="Arial" w:hAnsi="Arial" w:cs="Arial"/>
                <w:sz w:val="12"/>
                <w:szCs w:val="12"/>
              </w:rPr>
            </w:pPr>
          </w:p>
        </w:tc>
        <w:tc>
          <w:tcPr>
            <w:tcW w:w="2268" w:type="dxa"/>
            <w:shd w:val="clear" w:color="auto" w:fill="F2F2F2"/>
            <w:hideMark/>
          </w:tcPr>
          <w:p w14:paraId="1045EA1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53272FB" w14:textId="77777777" w:rsidR="002A4DDF" w:rsidRPr="00937C8B" w:rsidRDefault="002A4DDF" w:rsidP="009110ED">
            <w:pPr>
              <w:rPr>
                <w:rFonts w:ascii="Arial" w:hAnsi="Arial" w:cs="Arial"/>
                <w:sz w:val="12"/>
                <w:szCs w:val="12"/>
              </w:rPr>
            </w:pPr>
            <w:r>
              <w:rPr>
                <w:rFonts w:ascii="Arial" w:hAnsi="Arial"/>
                <w:sz w:val="12"/>
                <w:szCs w:val="12"/>
              </w:rPr>
              <w:t>Cerezo</w:t>
            </w:r>
          </w:p>
        </w:tc>
      </w:tr>
      <w:tr w:rsidR="002A4DDF" w:rsidRPr="00937C8B" w14:paraId="760BD6F7" w14:textId="77777777" w:rsidTr="00935676">
        <w:trPr>
          <w:cantSplit/>
        </w:trPr>
        <w:tc>
          <w:tcPr>
            <w:tcW w:w="1696" w:type="dxa"/>
            <w:tcBorders>
              <w:left w:val="single" w:sz="4" w:space="0" w:color="auto"/>
            </w:tcBorders>
            <w:shd w:val="clear" w:color="auto" w:fill="auto"/>
          </w:tcPr>
          <w:p w14:paraId="4069F473" w14:textId="77777777" w:rsidR="002A4DDF" w:rsidRPr="00937C8B" w:rsidRDefault="002A4DDF" w:rsidP="009110ED">
            <w:pPr>
              <w:rPr>
                <w:rFonts w:ascii="Arial" w:hAnsi="Arial" w:cs="Arial"/>
                <w:sz w:val="12"/>
                <w:szCs w:val="12"/>
              </w:rPr>
            </w:pPr>
          </w:p>
        </w:tc>
        <w:tc>
          <w:tcPr>
            <w:tcW w:w="1843" w:type="dxa"/>
            <w:shd w:val="clear" w:color="auto" w:fill="auto"/>
          </w:tcPr>
          <w:p w14:paraId="3BD3A623" w14:textId="77777777" w:rsidR="002A4DDF" w:rsidRPr="00937C8B" w:rsidRDefault="002A4DDF" w:rsidP="009110ED">
            <w:pPr>
              <w:rPr>
                <w:rFonts w:ascii="Arial" w:hAnsi="Arial" w:cs="Arial"/>
                <w:sz w:val="12"/>
                <w:szCs w:val="12"/>
              </w:rPr>
            </w:pPr>
          </w:p>
        </w:tc>
        <w:tc>
          <w:tcPr>
            <w:tcW w:w="2268" w:type="dxa"/>
            <w:shd w:val="clear" w:color="auto" w:fill="F2F2F2"/>
            <w:hideMark/>
          </w:tcPr>
          <w:p w14:paraId="419955B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279645B" w14:textId="77777777" w:rsidR="002A4DDF" w:rsidRPr="00937C8B" w:rsidRDefault="002A4DDF" w:rsidP="009110ED">
            <w:pPr>
              <w:rPr>
                <w:rFonts w:ascii="Arial" w:hAnsi="Arial" w:cs="Arial"/>
                <w:sz w:val="12"/>
                <w:szCs w:val="12"/>
              </w:rPr>
            </w:pPr>
            <w:r>
              <w:rPr>
                <w:rFonts w:ascii="Arial" w:hAnsi="Arial"/>
                <w:sz w:val="12"/>
                <w:szCs w:val="12"/>
              </w:rPr>
              <w:t>Cilleros</w:t>
            </w:r>
          </w:p>
        </w:tc>
      </w:tr>
      <w:tr w:rsidR="002A4DDF" w:rsidRPr="00937C8B" w14:paraId="21B67D4D" w14:textId="77777777" w:rsidTr="00935676">
        <w:trPr>
          <w:cantSplit/>
        </w:trPr>
        <w:tc>
          <w:tcPr>
            <w:tcW w:w="1696" w:type="dxa"/>
            <w:tcBorders>
              <w:left w:val="single" w:sz="4" w:space="0" w:color="auto"/>
            </w:tcBorders>
            <w:shd w:val="clear" w:color="auto" w:fill="auto"/>
          </w:tcPr>
          <w:p w14:paraId="3F42AEC0" w14:textId="77777777" w:rsidR="002A4DDF" w:rsidRPr="00937C8B" w:rsidRDefault="002A4DDF" w:rsidP="009110ED">
            <w:pPr>
              <w:rPr>
                <w:rFonts w:ascii="Arial" w:hAnsi="Arial" w:cs="Arial"/>
                <w:sz w:val="12"/>
                <w:szCs w:val="12"/>
              </w:rPr>
            </w:pPr>
          </w:p>
        </w:tc>
        <w:tc>
          <w:tcPr>
            <w:tcW w:w="1843" w:type="dxa"/>
            <w:shd w:val="clear" w:color="auto" w:fill="auto"/>
          </w:tcPr>
          <w:p w14:paraId="7C36E0AD" w14:textId="77777777" w:rsidR="002A4DDF" w:rsidRPr="00937C8B" w:rsidRDefault="002A4DDF" w:rsidP="009110ED">
            <w:pPr>
              <w:rPr>
                <w:rFonts w:ascii="Arial" w:hAnsi="Arial" w:cs="Arial"/>
                <w:sz w:val="12"/>
                <w:szCs w:val="12"/>
              </w:rPr>
            </w:pPr>
          </w:p>
        </w:tc>
        <w:tc>
          <w:tcPr>
            <w:tcW w:w="2268" w:type="dxa"/>
            <w:shd w:val="clear" w:color="auto" w:fill="F2F2F2"/>
            <w:hideMark/>
          </w:tcPr>
          <w:p w14:paraId="6056406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7F0F366" w14:textId="77777777" w:rsidR="002A4DDF" w:rsidRPr="00937C8B" w:rsidRDefault="002A4DDF" w:rsidP="009110ED">
            <w:pPr>
              <w:rPr>
                <w:rFonts w:ascii="Arial" w:hAnsi="Arial" w:cs="Arial"/>
                <w:sz w:val="12"/>
                <w:szCs w:val="12"/>
              </w:rPr>
            </w:pPr>
            <w:r>
              <w:rPr>
                <w:rFonts w:ascii="Arial" w:hAnsi="Arial"/>
                <w:sz w:val="12"/>
                <w:szCs w:val="12"/>
              </w:rPr>
              <w:t>Collado de la Vera</w:t>
            </w:r>
          </w:p>
        </w:tc>
      </w:tr>
      <w:tr w:rsidR="002A4DDF" w:rsidRPr="00937C8B" w14:paraId="671BDAC6" w14:textId="77777777" w:rsidTr="00935676">
        <w:trPr>
          <w:cantSplit/>
        </w:trPr>
        <w:tc>
          <w:tcPr>
            <w:tcW w:w="1696" w:type="dxa"/>
            <w:tcBorders>
              <w:left w:val="single" w:sz="4" w:space="0" w:color="auto"/>
            </w:tcBorders>
            <w:shd w:val="clear" w:color="auto" w:fill="auto"/>
          </w:tcPr>
          <w:p w14:paraId="70F1C65D" w14:textId="77777777" w:rsidR="002A4DDF" w:rsidRPr="00937C8B" w:rsidRDefault="002A4DDF" w:rsidP="009110ED">
            <w:pPr>
              <w:rPr>
                <w:rFonts w:ascii="Arial" w:hAnsi="Arial" w:cs="Arial"/>
                <w:sz w:val="12"/>
                <w:szCs w:val="12"/>
              </w:rPr>
            </w:pPr>
          </w:p>
        </w:tc>
        <w:tc>
          <w:tcPr>
            <w:tcW w:w="1843" w:type="dxa"/>
            <w:shd w:val="clear" w:color="auto" w:fill="auto"/>
          </w:tcPr>
          <w:p w14:paraId="0653E45C" w14:textId="77777777" w:rsidR="002A4DDF" w:rsidRPr="00937C8B" w:rsidRDefault="002A4DDF" w:rsidP="009110ED">
            <w:pPr>
              <w:rPr>
                <w:rFonts w:ascii="Arial" w:hAnsi="Arial" w:cs="Arial"/>
                <w:sz w:val="12"/>
                <w:szCs w:val="12"/>
              </w:rPr>
            </w:pPr>
          </w:p>
        </w:tc>
        <w:tc>
          <w:tcPr>
            <w:tcW w:w="2268" w:type="dxa"/>
            <w:shd w:val="clear" w:color="auto" w:fill="F2F2F2"/>
            <w:hideMark/>
          </w:tcPr>
          <w:p w14:paraId="5B6C599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6B5CA39" w14:textId="77777777" w:rsidR="002A4DDF" w:rsidRPr="00937C8B" w:rsidRDefault="002A4DDF" w:rsidP="009110ED">
            <w:pPr>
              <w:rPr>
                <w:rFonts w:ascii="Arial" w:hAnsi="Arial" w:cs="Arial"/>
                <w:sz w:val="12"/>
                <w:szCs w:val="12"/>
              </w:rPr>
            </w:pPr>
            <w:r>
              <w:rPr>
                <w:rFonts w:ascii="Arial" w:hAnsi="Arial"/>
                <w:sz w:val="12"/>
                <w:szCs w:val="12"/>
              </w:rPr>
              <w:t>Conquista de la Sierra</w:t>
            </w:r>
          </w:p>
        </w:tc>
      </w:tr>
      <w:tr w:rsidR="002A4DDF" w:rsidRPr="00937C8B" w14:paraId="12E9E519" w14:textId="77777777" w:rsidTr="00935676">
        <w:trPr>
          <w:cantSplit/>
        </w:trPr>
        <w:tc>
          <w:tcPr>
            <w:tcW w:w="1696" w:type="dxa"/>
            <w:tcBorders>
              <w:left w:val="single" w:sz="4" w:space="0" w:color="auto"/>
            </w:tcBorders>
            <w:shd w:val="clear" w:color="auto" w:fill="auto"/>
          </w:tcPr>
          <w:p w14:paraId="32A4D79D" w14:textId="77777777" w:rsidR="002A4DDF" w:rsidRPr="00937C8B" w:rsidRDefault="002A4DDF" w:rsidP="009110ED">
            <w:pPr>
              <w:rPr>
                <w:rFonts w:ascii="Arial" w:hAnsi="Arial" w:cs="Arial"/>
                <w:sz w:val="12"/>
                <w:szCs w:val="12"/>
              </w:rPr>
            </w:pPr>
          </w:p>
        </w:tc>
        <w:tc>
          <w:tcPr>
            <w:tcW w:w="1843" w:type="dxa"/>
            <w:shd w:val="clear" w:color="auto" w:fill="auto"/>
          </w:tcPr>
          <w:p w14:paraId="78F07B46" w14:textId="77777777" w:rsidR="002A4DDF" w:rsidRPr="00937C8B" w:rsidRDefault="002A4DDF" w:rsidP="009110ED">
            <w:pPr>
              <w:rPr>
                <w:rFonts w:ascii="Arial" w:hAnsi="Arial" w:cs="Arial"/>
                <w:sz w:val="12"/>
                <w:szCs w:val="12"/>
              </w:rPr>
            </w:pPr>
          </w:p>
        </w:tc>
        <w:tc>
          <w:tcPr>
            <w:tcW w:w="2268" w:type="dxa"/>
            <w:shd w:val="clear" w:color="auto" w:fill="F2F2F2"/>
            <w:hideMark/>
          </w:tcPr>
          <w:p w14:paraId="3CB6131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006E0C6" w14:textId="77777777" w:rsidR="002A4DDF" w:rsidRPr="00937C8B" w:rsidRDefault="002A4DDF" w:rsidP="009110ED">
            <w:pPr>
              <w:rPr>
                <w:rFonts w:ascii="Arial" w:hAnsi="Arial" w:cs="Arial"/>
                <w:sz w:val="12"/>
                <w:szCs w:val="12"/>
              </w:rPr>
            </w:pPr>
            <w:r>
              <w:rPr>
                <w:rFonts w:ascii="Arial" w:hAnsi="Arial"/>
                <w:sz w:val="12"/>
                <w:szCs w:val="12"/>
              </w:rPr>
              <w:t>Cuacos de Yuste</w:t>
            </w:r>
          </w:p>
        </w:tc>
      </w:tr>
      <w:tr w:rsidR="002A4DDF" w:rsidRPr="00937C8B" w14:paraId="49EFFE60" w14:textId="77777777" w:rsidTr="00935676">
        <w:trPr>
          <w:cantSplit/>
        </w:trPr>
        <w:tc>
          <w:tcPr>
            <w:tcW w:w="1696" w:type="dxa"/>
            <w:tcBorders>
              <w:left w:val="single" w:sz="4" w:space="0" w:color="auto"/>
            </w:tcBorders>
            <w:shd w:val="clear" w:color="auto" w:fill="auto"/>
          </w:tcPr>
          <w:p w14:paraId="3206A967" w14:textId="77777777" w:rsidR="002A4DDF" w:rsidRPr="00937C8B" w:rsidRDefault="002A4DDF" w:rsidP="009110ED">
            <w:pPr>
              <w:rPr>
                <w:rFonts w:ascii="Arial" w:hAnsi="Arial" w:cs="Arial"/>
                <w:sz w:val="12"/>
                <w:szCs w:val="12"/>
              </w:rPr>
            </w:pPr>
          </w:p>
        </w:tc>
        <w:tc>
          <w:tcPr>
            <w:tcW w:w="1843" w:type="dxa"/>
            <w:shd w:val="clear" w:color="auto" w:fill="auto"/>
          </w:tcPr>
          <w:p w14:paraId="449DAC89" w14:textId="77777777" w:rsidR="002A4DDF" w:rsidRPr="00937C8B" w:rsidRDefault="002A4DDF" w:rsidP="009110ED">
            <w:pPr>
              <w:rPr>
                <w:rFonts w:ascii="Arial" w:hAnsi="Arial" w:cs="Arial"/>
                <w:sz w:val="12"/>
                <w:szCs w:val="12"/>
              </w:rPr>
            </w:pPr>
          </w:p>
        </w:tc>
        <w:tc>
          <w:tcPr>
            <w:tcW w:w="2268" w:type="dxa"/>
            <w:shd w:val="clear" w:color="auto" w:fill="F2F2F2"/>
            <w:hideMark/>
          </w:tcPr>
          <w:p w14:paraId="6FF0CE9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4339536" w14:textId="77777777" w:rsidR="002A4DDF" w:rsidRPr="00937C8B" w:rsidRDefault="002A4DDF" w:rsidP="009110ED">
            <w:pPr>
              <w:rPr>
                <w:rFonts w:ascii="Arial" w:hAnsi="Arial" w:cs="Arial"/>
                <w:sz w:val="12"/>
                <w:szCs w:val="12"/>
              </w:rPr>
            </w:pPr>
            <w:r>
              <w:rPr>
                <w:rFonts w:ascii="Arial" w:hAnsi="Arial"/>
                <w:sz w:val="12"/>
                <w:szCs w:val="12"/>
              </w:rPr>
              <w:t>Deleitosa</w:t>
            </w:r>
          </w:p>
        </w:tc>
      </w:tr>
      <w:tr w:rsidR="002A4DDF" w:rsidRPr="00937C8B" w14:paraId="13A2EC66" w14:textId="77777777" w:rsidTr="00935676">
        <w:trPr>
          <w:cantSplit/>
        </w:trPr>
        <w:tc>
          <w:tcPr>
            <w:tcW w:w="1696" w:type="dxa"/>
            <w:tcBorders>
              <w:left w:val="single" w:sz="4" w:space="0" w:color="auto"/>
            </w:tcBorders>
            <w:shd w:val="clear" w:color="auto" w:fill="auto"/>
          </w:tcPr>
          <w:p w14:paraId="16FE86D7" w14:textId="77777777" w:rsidR="002A4DDF" w:rsidRPr="00937C8B" w:rsidRDefault="002A4DDF" w:rsidP="009110ED">
            <w:pPr>
              <w:rPr>
                <w:rFonts w:ascii="Arial" w:hAnsi="Arial" w:cs="Arial"/>
                <w:sz w:val="12"/>
                <w:szCs w:val="12"/>
              </w:rPr>
            </w:pPr>
          </w:p>
        </w:tc>
        <w:tc>
          <w:tcPr>
            <w:tcW w:w="1843" w:type="dxa"/>
            <w:shd w:val="clear" w:color="auto" w:fill="auto"/>
          </w:tcPr>
          <w:p w14:paraId="3D87910A" w14:textId="77777777" w:rsidR="002A4DDF" w:rsidRPr="00937C8B" w:rsidRDefault="002A4DDF" w:rsidP="009110ED">
            <w:pPr>
              <w:rPr>
                <w:rFonts w:ascii="Arial" w:hAnsi="Arial" w:cs="Arial"/>
                <w:sz w:val="12"/>
                <w:szCs w:val="12"/>
              </w:rPr>
            </w:pPr>
          </w:p>
        </w:tc>
        <w:tc>
          <w:tcPr>
            <w:tcW w:w="2268" w:type="dxa"/>
            <w:shd w:val="clear" w:color="auto" w:fill="F2F2F2"/>
            <w:hideMark/>
          </w:tcPr>
          <w:p w14:paraId="14D4098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57EFC54" w14:textId="77777777" w:rsidR="002A4DDF" w:rsidRPr="00937C8B" w:rsidRDefault="002A4DDF" w:rsidP="009110ED">
            <w:pPr>
              <w:rPr>
                <w:rFonts w:ascii="Arial" w:hAnsi="Arial" w:cs="Arial"/>
                <w:sz w:val="12"/>
                <w:szCs w:val="12"/>
              </w:rPr>
            </w:pPr>
            <w:r>
              <w:rPr>
                <w:rFonts w:ascii="Arial" w:hAnsi="Arial"/>
                <w:sz w:val="12"/>
                <w:szCs w:val="12"/>
              </w:rPr>
              <w:t>Descargamaría</w:t>
            </w:r>
          </w:p>
        </w:tc>
      </w:tr>
      <w:tr w:rsidR="002A4DDF" w:rsidRPr="00937C8B" w14:paraId="2056BE2E" w14:textId="77777777" w:rsidTr="00935676">
        <w:trPr>
          <w:cantSplit/>
        </w:trPr>
        <w:tc>
          <w:tcPr>
            <w:tcW w:w="1696" w:type="dxa"/>
            <w:tcBorders>
              <w:left w:val="single" w:sz="4" w:space="0" w:color="auto"/>
            </w:tcBorders>
            <w:shd w:val="clear" w:color="auto" w:fill="auto"/>
          </w:tcPr>
          <w:p w14:paraId="6C53BC46" w14:textId="77777777" w:rsidR="002A4DDF" w:rsidRPr="00937C8B" w:rsidRDefault="002A4DDF" w:rsidP="009110ED">
            <w:pPr>
              <w:rPr>
                <w:rFonts w:ascii="Arial" w:hAnsi="Arial" w:cs="Arial"/>
                <w:sz w:val="12"/>
                <w:szCs w:val="12"/>
              </w:rPr>
            </w:pPr>
          </w:p>
        </w:tc>
        <w:tc>
          <w:tcPr>
            <w:tcW w:w="1843" w:type="dxa"/>
            <w:shd w:val="clear" w:color="auto" w:fill="auto"/>
          </w:tcPr>
          <w:p w14:paraId="636AC49C" w14:textId="77777777" w:rsidR="002A4DDF" w:rsidRPr="00937C8B" w:rsidRDefault="002A4DDF" w:rsidP="009110ED">
            <w:pPr>
              <w:rPr>
                <w:rFonts w:ascii="Arial" w:hAnsi="Arial" w:cs="Arial"/>
                <w:sz w:val="12"/>
                <w:szCs w:val="12"/>
              </w:rPr>
            </w:pPr>
          </w:p>
        </w:tc>
        <w:tc>
          <w:tcPr>
            <w:tcW w:w="2268" w:type="dxa"/>
            <w:shd w:val="clear" w:color="auto" w:fill="F2F2F2"/>
            <w:hideMark/>
          </w:tcPr>
          <w:p w14:paraId="1205863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8F9C064" w14:textId="77777777" w:rsidR="002A4DDF" w:rsidRPr="00937C8B" w:rsidRDefault="002A4DDF" w:rsidP="009110ED">
            <w:pPr>
              <w:rPr>
                <w:rFonts w:ascii="Arial" w:hAnsi="Arial" w:cs="Arial"/>
                <w:sz w:val="12"/>
                <w:szCs w:val="12"/>
              </w:rPr>
            </w:pPr>
            <w:r>
              <w:rPr>
                <w:rFonts w:ascii="Arial" w:hAnsi="Arial"/>
                <w:sz w:val="12"/>
                <w:szCs w:val="12"/>
              </w:rPr>
              <w:t>El Torno</w:t>
            </w:r>
          </w:p>
        </w:tc>
      </w:tr>
      <w:tr w:rsidR="002A4DDF" w:rsidRPr="00937C8B" w14:paraId="6BF6F638" w14:textId="77777777" w:rsidTr="00935676">
        <w:trPr>
          <w:cantSplit/>
        </w:trPr>
        <w:tc>
          <w:tcPr>
            <w:tcW w:w="1696" w:type="dxa"/>
            <w:tcBorders>
              <w:left w:val="single" w:sz="4" w:space="0" w:color="auto"/>
            </w:tcBorders>
            <w:shd w:val="clear" w:color="auto" w:fill="auto"/>
          </w:tcPr>
          <w:p w14:paraId="3ACABC4F" w14:textId="77777777" w:rsidR="002A4DDF" w:rsidRPr="00937C8B" w:rsidRDefault="002A4DDF" w:rsidP="009110ED">
            <w:pPr>
              <w:rPr>
                <w:rFonts w:ascii="Arial" w:hAnsi="Arial" w:cs="Arial"/>
                <w:sz w:val="12"/>
                <w:szCs w:val="12"/>
              </w:rPr>
            </w:pPr>
          </w:p>
        </w:tc>
        <w:tc>
          <w:tcPr>
            <w:tcW w:w="1843" w:type="dxa"/>
            <w:shd w:val="clear" w:color="auto" w:fill="auto"/>
          </w:tcPr>
          <w:p w14:paraId="0EA6F520" w14:textId="77777777" w:rsidR="002A4DDF" w:rsidRPr="00937C8B" w:rsidRDefault="002A4DDF" w:rsidP="009110ED">
            <w:pPr>
              <w:rPr>
                <w:rFonts w:ascii="Arial" w:hAnsi="Arial" w:cs="Arial"/>
                <w:sz w:val="12"/>
                <w:szCs w:val="12"/>
              </w:rPr>
            </w:pPr>
          </w:p>
        </w:tc>
        <w:tc>
          <w:tcPr>
            <w:tcW w:w="2268" w:type="dxa"/>
            <w:shd w:val="clear" w:color="auto" w:fill="F2F2F2"/>
            <w:hideMark/>
          </w:tcPr>
          <w:p w14:paraId="3616789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71DC40D" w14:textId="77777777" w:rsidR="002A4DDF" w:rsidRPr="00937C8B" w:rsidRDefault="002A4DDF" w:rsidP="009110ED">
            <w:pPr>
              <w:rPr>
                <w:rFonts w:ascii="Arial" w:hAnsi="Arial" w:cs="Arial"/>
                <w:sz w:val="12"/>
                <w:szCs w:val="12"/>
              </w:rPr>
            </w:pPr>
            <w:r>
              <w:rPr>
                <w:rFonts w:ascii="Arial" w:hAnsi="Arial"/>
                <w:sz w:val="12"/>
                <w:szCs w:val="12"/>
              </w:rPr>
              <w:t>Eljas</w:t>
            </w:r>
          </w:p>
        </w:tc>
      </w:tr>
      <w:tr w:rsidR="002A4DDF" w:rsidRPr="00937C8B" w14:paraId="0E77931F" w14:textId="77777777" w:rsidTr="00935676">
        <w:trPr>
          <w:cantSplit/>
        </w:trPr>
        <w:tc>
          <w:tcPr>
            <w:tcW w:w="1696" w:type="dxa"/>
            <w:tcBorders>
              <w:left w:val="single" w:sz="4" w:space="0" w:color="auto"/>
            </w:tcBorders>
            <w:shd w:val="clear" w:color="auto" w:fill="auto"/>
          </w:tcPr>
          <w:p w14:paraId="7C50B7D4" w14:textId="77777777" w:rsidR="002A4DDF" w:rsidRPr="00937C8B" w:rsidRDefault="002A4DDF" w:rsidP="009110ED">
            <w:pPr>
              <w:rPr>
                <w:rFonts w:ascii="Arial" w:hAnsi="Arial" w:cs="Arial"/>
                <w:sz w:val="12"/>
                <w:szCs w:val="12"/>
              </w:rPr>
            </w:pPr>
          </w:p>
        </w:tc>
        <w:tc>
          <w:tcPr>
            <w:tcW w:w="1843" w:type="dxa"/>
            <w:shd w:val="clear" w:color="auto" w:fill="auto"/>
          </w:tcPr>
          <w:p w14:paraId="3FA93906" w14:textId="77777777" w:rsidR="002A4DDF" w:rsidRPr="00937C8B" w:rsidRDefault="002A4DDF" w:rsidP="009110ED">
            <w:pPr>
              <w:rPr>
                <w:rFonts w:ascii="Arial" w:hAnsi="Arial" w:cs="Arial"/>
                <w:sz w:val="12"/>
                <w:szCs w:val="12"/>
              </w:rPr>
            </w:pPr>
          </w:p>
        </w:tc>
        <w:tc>
          <w:tcPr>
            <w:tcW w:w="2268" w:type="dxa"/>
            <w:shd w:val="clear" w:color="auto" w:fill="F2F2F2"/>
            <w:hideMark/>
          </w:tcPr>
          <w:p w14:paraId="59FD828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D847B35" w14:textId="77777777" w:rsidR="002A4DDF" w:rsidRPr="00937C8B" w:rsidRDefault="002A4DDF" w:rsidP="009110ED">
            <w:pPr>
              <w:rPr>
                <w:rFonts w:ascii="Arial" w:hAnsi="Arial" w:cs="Arial"/>
                <w:sz w:val="12"/>
                <w:szCs w:val="12"/>
              </w:rPr>
            </w:pPr>
            <w:r>
              <w:rPr>
                <w:rFonts w:ascii="Arial" w:hAnsi="Arial"/>
                <w:sz w:val="12"/>
                <w:szCs w:val="12"/>
              </w:rPr>
              <w:t>Escurial</w:t>
            </w:r>
          </w:p>
        </w:tc>
      </w:tr>
      <w:tr w:rsidR="002A4DDF" w:rsidRPr="00937C8B" w14:paraId="0FFDBF7F" w14:textId="77777777" w:rsidTr="00935676">
        <w:trPr>
          <w:cantSplit/>
        </w:trPr>
        <w:tc>
          <w:tcPr>
            <w:tcW w:w="1696" w:type="dxa"/>
            <w:tcBorders>
              <w:left w:val="single" w:sz="4" w:space="0" w:color="auto"/>
            </w:tcBorders>
            <w:shd w:val="clear" w:color="auto" w:fill="auto"/>
          </w:tcPr>
          <w:p w14:paraId="1C53D146" w14:textId="77777777" w:rsidR="002A4DDF" w:rsidRPr="00937C8B" w:rsidRDefault="002A4DDF" w:rsidP="009110ED">
            <w:pPr>
              <w:rPr>
                <w:rFonts w:ascii="Arial" w:hAnsi="Arial" w:cs="Arial"/>
                <w:sz w:val="12"/>
                <w:szCs w:val="12"/>
              </w:rPr>
            </w:pPr>
          </w:p>
        </w:tc>
        <w:tc>
          <w:tcPr>
            <w:tcW w:w="1843" w:type="dxa"/>
            <w:shd w:val="clear" w:color="auto" w:fill="auto"/>
          </w:tcPr>
          <w:p w14:paraId="56902912" w14:textId="77777777" w:rsidR="002A4DDF" w:rsidRPr="00937C8B" w:rsidRDefault="002A4DDF" w:rsidP="009110ED">
            <w:pPr>
              <w:rPr>
                <w:rFonts w:ascii="Arial" w:hAnsi="Arial" w:cs="Arial"/>
                <w:sz w:val="12"/>
                <w:szCs w:val="12"/>
              </w:rPr>
            </w:pPr>
          </w:p>
        </w:tc>
        <w:tc>
          <w:tcPr>
            <w:tcW w:w="2268" w:type="dxa"/>
            <w:shd w:val="clear" w:color="auto" w:fill="F2F2F2"/>
            <w:hideMark/>
          </w:tcPr>
          <w:p w14:paraId="73846BA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A23F1BD" w14:textId="77777777" w:rsidR="002A4DDF" w:rsidRPr="00937C8B" w:rsidRDefault="002A4DDF" w:rsidP="009110ED">
            <w:pPr>
              <w:rPr>
                <w:rFonts w:ascii="Arial" w:hAnsi="Arial" w:cs="Arial"/>
                <w:sz w:val="12"/>
                <w:szCs w:val="12"/>
              </w:rPr>
            </w:pPr>
            <w:r>
              <w:rPr>
                <w:rFonts w:ascii="Arial" w:hAnsi="Arial"/>
                <w:sz w:val="12"/>
                <w:szCs w:val="12"/>
              </w:rPr>
              <w:t>Fresnedoso de Ibor</w:t>
            </w:r>
          </w:p>
        </w:tc>
      </w:tr>
      <w:tr w:rsidR="002A4DDF" w:rsidRPr="00937C8B" w14:paraId="346F9905" w14:textId="77777777" w:rsidTr="00935676">
        <w:trPr>
          <w:cantSplit/>
        </w:trPr>
        <w:tc>
          <w:tcPr>
            <w:tcW w:w="1696" w:type="dxa"/>
            <w:tcBorders>
              <w:left w:val="single" w:sz="4" w:space="0" w:color="auto"/>
            </w:tcBorders>
            <w:shd w:val="clear" w:color="auto" w:fill="auto"/>
          </w:tcPr>
          <w:p w14:paraId="14A82AD4" w14:textId="77777777" w:rsidR="002A4DDF" w:rsidRPr="00937C8B" w:rsidRDefault="002A4DDF" w:rsidP="009110ED">
            <w:pPr>
              <w:rPr>
                <w:rFonts w:ascii="Arial" w:hAnsi="Arial" w:cs="Arial"/>
                <w:sz w:val="12"/>
                <w:szCs w:val="12"/>
              </w:rPr>
            </w:pPr>
          </w:p>
        </w:tc>
        <w:tc>
          <w:tcPr>
            <w:tcW w:w="1843" w:type="dxa"/>
            <w:shd w:val="clear" w:color="auto" w:fill="auto"/>
          </w:tcPr>
          <w:p w14:paraId="127FC9A1" w14:textId="77777777" w:rsidR="002A4DDF" w:rsidRPr="00937C8B" w:rsidRDefault="002A4DDF" w:rsidP="009110ED">
            <w:pPr>
              <w:rPr>
                <w:rFonts w:ascii="Arial" w:hAnsi="Arial" w:cs="Arial"/>
                <w:sz w:val="12"/>
                <w:szCs w:val="12"/>
              </w:rPr>
            </w:pPr>
          </w:p>
        </w:tc>
        <w:tc>
          <w:tcPr>
            <w:tcW w:w="2268" w:type="dxa"/>
            <w:shd w:val="clear" w:color="auto" w:fill="F2F2F2"/>
            <w:hideMark/>
          </w:tcPr>
          <w:p w14:paraId="4B66EB5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65E8DB8" w14:textId="77777777" w:rsidR="002A4DDF" w:rsidRPr="00937C8B" w:rsidRDefault="002A4DDF" w:rsidP="009110ED">
            <w:pPr>
              <w:rPr>
                <w:rFonts w:ascii="Arial" w:hAnsi="Arial" w:cs="Arial"/>
                <w:sz w:val="12"/>
                <w:szCs w:val="12"/>
              </w:rPr>
            </w:pPr>
            <w:r>
              <w:rPr>
                <w:rFonts w:ascii="Arial" w:hAnsi="Arial"/>
                <w:sz w:val="12"/>
                <w:szCs w:val="12"/>
              </w:rPr>
              <w:t>Garciaz</w:t>
            </w:r>
          </w:p>
        </w:tc>
      </w:tr>
      <w:tr w:rsidR="002A4DDF" w:rsidRPr="00937C8B" w14:paraId="26D4B0D4" w14:textId="77777777" w:rsidTr="00935676">
        <w:trPr>
          <w:cantSplit/>
        </w:trPr>
        <w:tc>
          <w:tcPr>
            <w:tcW w:w="1696" w:type="dxa"/>
            <w:tcBorders>
              <w:left w:val="single" w:sz="4" w:space="0" w:color="auto"/>
            </w:tcBorders>
            <w:shd w:val="clear" w:color="auto" w:fill="auto"/>
          </w:tcPr>
          <w:p w14:paraId="384E321A" w14:textId="77777777" w:rsidR="002A4DDF" w:rsidRPr="00937C8B" w:rsidRDefault="002A4DDF" w:rsidP="009110ED">
            <w:pPr>
              <w:rPr>
                <w:rFonts w:ascii="Arial" w:hAnsi="Arial" w:cs="Arial"/>
                <w:sz w:val="12"/>
                <w:szCs w:val="12"/>
              </w:rPr>
            </w:pPr>
          </w:p>
        </w:tc>
        <w:tc>
          <w:tcPr>
            <w:tcW w:w="1843" w:type="dxa"/>
            <w:shd w:val="clear" w:color="auto" w:fill="auto"/>
          </w:tcPr>
          <w:p w14:paraId="2AE4EEC1" w14:textId="77777777" w:rsidR="002A4DDF" w:rsidRPr="00937C8B" w:rsidRDefault="002A4DDF" w:rsidP="009110ED">
            <w:pPr>
              <w:rPr>
                <w:rFonts w:ascii="Arial" w:hAnsi="Arial" w:cs="Arial"/>
                <w:sz w:val="12"/>
                <w:szCs w:val="12"/>
              </w:rPr>
            </w:pPr>
          </w:p>
        </w:tc>
        <w:tc>
          <w:tcPr>
            <w:tcW w:w="2268" w:type="dxa"/>
            <w:shd w:val="clear" w:color="auto" w:fill="F2F2F2"/>
            <w:hideMark/>
          </w:tcPr>
          <w:p w14:paraId="2BA83DC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055CE35" w14:textId="77777777" w:rsidR="002A4DDF" w:rsidRPr="00937C8B" w:rsidRDefault="002A4DDF" w:rsidP="009110ED">
            <w:pPr>
              <w:rPr>
                <w:rFonts w:ascii="Arial" w:hAnsi="Arial" w:cs="Arial"/>
                <w:sz w:val="12"/>
                <w:szCs w:val="12"/>
              </w:rPr>
            </w:pPr>
            <w:r>
              <w:rPr>
                <w:rFonts w:ascii="Arial" w:hAnsi="Arial"/>
                <w:sz w:val="12"/>
                <w:szCs w:val="12"/>
              </w:rPr>
              <w:t>Garganta la Olla</w:t>
            </w:r>
          </w:p>
        </w:tc>
      </w:tr>
      <w:tr w:rsidR="002A4DDF" w:rsidRPr="00937C8B" w14:paraId="775951D0" w14:textId="77777777" w:rsidTr="00935676">
        <w:trPr>
          <w:cantSplit/>
        </w:trPr>
        <w:tc>
          <w:tcPr>
            <w:tcW w:w="1696" w:type="dxa"/>
            <w:tcBorders>
              <w:left w:val="single" w:sz="4" w:space="0" w:color="auto"/>
            </w:tcBorders>
            <w:shd w:val="clear" w:color="auto" w:fill="auto"/>
          </w:tcPr>
          <w:p w14:paraId="48908C4F" w14:textId="77777777" w:rsidR="002A4DDF" w:rsidRPr="00937C8B" w:rsidRDefault="002A4DDF" w:rsidP="009110ED">
            <w:pPr>
              <w:rPr>
                <w:rFonts w:ascii="Arial" w:hAnsi="Arial" w:cs="Arial"/>
                <w:sz w:val="12"/>
                <w:szCs w:val="12"/>
              </w:rPr>
            </w:pPr>
          </w:p>
        </w:tc>
        <w:tc>
          <w:tcPr>
            <w:tcW w:w="1843" w:type="dxa"/>
            <w:shd w:val="clear" w:color="auto" w:fill="auto"/>
          </w:tcPr>
          <w:p w14:paraId="6C637DA0" w14:textId="77777777" w:rsidR="002A4DDF" w:rsidRPr="00937C8B" w:rsidRDefault="002A4DDF" w:rsidP="009110ED">
            <w:pPr>
              <w:rPr>
                <w:rFonts w:ascii="Arial" w:hAnsi="Arial" w:cs="Arial"/>
                <w:sz w:val="12"/>
                <w:szCs w:val="12"/>
              </w:rPr>
            </w:pPr>
          </w:p>
        </w:tc>
        <w:tc>
          <w:tcPr>
            <w:tcW w:w="2268" w:type="dxa"/>
            <w:shd w:val="clear" w:color="auto" w:fill="F2F2F2"/>
            <w:hideMark/>
          </w:tcPr>
          <w:p w14:paraId="3FD7558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2F9770F" w14:textId="77777777" w:rsidR="002A4DDF" w:rsidRPr="00937C8B" w:rsidRDefault="002A4DDF" w:rsidP="009110ED">
            <w:pPr>
              <w:rPr>
                <w:rFonts w:ascii="Arial" w:hAnsi="Arial" w:cs="Arial"/>
                <w:sz w:val="12"/>
                <w:szCs w:val="12"/>
              </w:rPr>
            </w:pPr>
            <w:r>
              <w:rPr>
                <w:rFonts w:ascii="Arial" w:hAnsi="Arial"/>
                <w:sz w:val="12"/>
                <w:szCs w:val="12"/>
              </w:rPr>
              <w:t>Gargantilla</w:t>
            </w:r>
          </w:p>
        </w:tc>
      </w:tr>
      <w:tr w:rsidR="002A4DDF" w:rsidRPr="00937C8B" w14:paraId="375F05E1" w14:textId="77777777" w:rsidTr="00935676">
        <w:trPr>
          <w:cantSplit/>
        </w:trPr>
        <w:tc>
          <w:tcPr>
            <w:tcW w:w="1696" w:type="dxa"/>
            <w:tcBorders>
              <w:left w:val="single" w:sz="4" w:space="0" w:color="auto"/>
            </w:tcBorders>
            <w:shd w:val="clear" w:color="auto" w:fill="auto"/>
          </w:tcPr>
          <w:p w14:paraId="38A490D3" w14:textId="77777777" w:rsidR="002A4DDF" w:rsidRPr="00937C8B" w:rsidRDefault="002A4DDF" w:rsidP="009110ED">
            <w:pPr>
              <w:rPr>
                <w:rFonts w:ascii="Arial" w:hAnsi="Arial" w:cs="Arial"/>
                <w:sz w:val="12"/>
                <w:szCs w:val="12"/>
              </w:rPr>
            </w:pPr>
          </w:p>
        </w:tc>
        <w:tc>
          <w:tcPr>
            <w:tcW w:w="1843" w:type="dxa"/>
            <w:shd w:val="clear" w:color="auto" w:fill="auto"/>
          </w:tcPr>
          <w:p w14:paraId="1C54B6A9" w14:textId="77777777" w:rsidR="002A4DDF" w:rsidRPr="00937C8B" w:rsidRDefault="002A4DDF" w:rsidP="009110ED">
            <w:pPr>
              <w:rPr>
                <w:rFonts w:ascii="Arial" w:hAnsi="Arial" w:cs="Arial"/>
                <w:sz w:val="12"/>
                <w:szCs w:val="12"/>
              </w:rPr>
            </w:pPr>
          </w:p>
        </w:tc>
        <w:tc>
          <w:tcPr>
            <w:tcW w:w="2268" w:type="dxa"/>
            <w:shd w:val="clear" w:color="auto" w:fill="F2F2F2"/>
            <w:hideMark/>
          </w:tcPr>
          <w:p w14:paraId="78F03A3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2F68BD4" w14:textId="77777777" w:rsidR="002A4DDF" w:rsidRPr="00937C8B" w:rsidRDefault="002A4DDF" w:rsidP="009110ED">
            <w:pPr>
              <w:rPr>
                <w:rFonts w:ascii="Arial" w:hAnsi="Arial" w:cs="Arial"/>
                <w:sz w:val="12"/>
                <w:szCs w:val="12"/>
              </w:rPr>
            </w:pPr>
            <w:r>
              <w:rPr>
                <w:rFonts w:ascii="Arial" w:hAnsi="Arial"/>
                <w:sz w:val="12"/>
                <w:szCs w:val="12"/>
              </w:rPr>
              <w:t>Gargüera</w:t>
            </w:r>
          </w:p>
        </w:tc>
      </w:tr>
      <w:tr w:rsidR="002A4DDF" w:rsidRPr="00937C8B" w14:paraId="605DCAC3" w14:textId="77777777" w:rsidTr="00935676">
        <w:trPr>
          <w:cantSplit/>
        </w:trPr>
        <w:tc>
          <w:tcPr>
            <w:tcW w:w="1696" w:type="dxa"/>
            <w:tcBorders>
              <w:left w:val="single" w:sz="4" w:space="0" w:color="auto"/>
            </w:tcBorders>
            <w:shd w:val="clear" w:color="auto" w:fill="auto"/>
          </w:tcPr>
          <w:p w14:paraId="5371559D" w14:textId="77777777" w:rsidR="002A4DDF" w:rsidRPr="00937C8B" w:rsidRDefault="002A4DDF" w:rsidP="009110ED">
            <w:pPr>
              <w:rPr>
                <w:rFonts w:ascii="Arial" w:hAnsi="Arial" w:cs="Arial"/>
                <w:sz w:val="12"/>
                <w:szCs w:val="12"/>
              </w:rPr>
            </w:pPr>
          </w:p>
        </w:tc>
        <w:tc>
          <w:tcPr>
            <w:tcW w:w="1843" w:type="dxa"/>
            <w:shd w:val="clear" w:color="auto" w:fill="auto"/>
          </w:tcPr>
          <w:p w14:paraId="3DEE4FD0" w14:textId="77777777" w:rsidR="002A4DDF" w:rsidRPr="00937C8B" w:rsidRDefault="002A4DDF" w:rsidP="009110ED">
            <w:pPr>
              <w:rPr>
                <w:rFonts w:ascii="Arial" w:hAnsi="Arial" w:cs="Arial"/>
                <w:sz w:val="12"/>
                <w:szCs w:val="12"/>
              </w:rPr>
            </w:pPr>
          </w:p>
        </w:tc>
        <w:tc>
          <w:tcPr>
            <w:tcW w:w="2268" w:type="dxa"/>
            <w:shd w:val="clear" w:color="auto" w:fill="F2F2F2"/>
            <w:hideMark/>
          </w:tcPr>
          <w:p w14:paraId="7A78A7F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1D1956B" w14:textId="77777777" w:rsidR="002A4DDF" w:rsidRPr="00937C8B" w:rsidRDefault="002A4DDF" w:rsidP="009110ED">
            <w:pPr>
              <w:rPr>
                <w:rFonts w:ascii="Arial" w:hAnsi="Arial" w:cs="Arial"/>
                <w:sz w:val="12"/>
                <w:szCs w:val="12"/>
              </w:rPr>
            </w:pPr>
            <w:r>
              <w:rPr>
                <w:rFonts w:ascii="Arial" w:hAnsi="Arial"/>
                <w:sz w:val="12"/>
                <w:szCs w:val="12"/>
              </w:rPr>
              <w:t>Garrovillas de Alconétar</w:t>
            </w:r>
          </w:p>
        </w:tc>
      </w:tr>
      <w:tr w:rsidR="002A4DDF" w:rsidRPr="00937C8B" w14:paraId="5FC09A00" w14:textId="77777777" w:rsidTr="00935676">
        <w:trPr>
          <w:cantSplit/>
        </w:trPr>
        <w:tc>
          <w:tcPr>
            <w:tcW w:w="1696" w:type="dxa"/>
            <w:tcBorders>
              <w:left w:val="single" w:sz="4" w:space="0" w:color="auto"/>
            </w:tcBorders>
            <w:shd w:val="clear" w:color="auto" w:fill="auto"/>
          </w:tcPr>
          <w:p w14:paraId="09389115" w14:textId="77777777" w:rsidR="002A4DDF" w:rsidRPr="00937C8B" w:rsidRDefault="002A4DDF" w:rsidP="009110ED">
            <w:pPr>
              <w:rPr>
                <w:rFonts w:ascii="Arial" w:hAnsi="Arial" w:cs="Arial"/>
                <w:sz w:val="12"/>
                <w:szCs w:val="12"/>
              </w:rPr>
            </w:pPr>
          </w:p>
        </w:tc>
        <w:tc>
          <w:tcPr>
            <w:tcW w:w="1843" w:type="dxa"/>
            <w:shd w:val="clear" w:color="auto" w:fill="auto"/>
          </w:tcPr>
          <w:p w14:paraId="5A228EDF" w14:textId="77777777" w:rsidR="002A4DDF" w:rsidRPr="00937C8B" w:rsidRDefault="002A4DDF" w:rsidP="009110ED">
            <w:pPr>
              <w:rPr>
                <w:rFonts w:ascii="Arial" w:hAnsi="Arial" w:cs="Arial"/>
                <w:sz w:val="12"/>
                <w:szCs w:val="12"/>
              </w:rPr>
            </w:pPr>
          </w:p>
        </w:tc>
        <w:tc>
          <w:tcPr>
            <w:tcW w:w="2268" w:type="dxa"/>
            <w:shd w:val="clear" w:color="auto" w:fill="F2F2F2"/>
            <w:hideMark/>
          </w:tcPr>
          <w:p w14:paraId="7ACFDC5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3452C49" w14:textId="77777777" w:rsidR="002A4DDF" w:rsidRPr="00937C8B" w:rsidRDefault="002A4DDF" w:rsidP="009110ED">
            <w:pPr>
              <w:rPr>
                <w:rFonts w:ascii="Arial" w:hAnsi="Arial" w:cs="Arial"/>
                <w:sz w:val="12"/>
                <w:szCs w:val="12"/>
              </w:rPr>
            </w:pPr>
            <w:r>
              <w:rPr>
                <w:rFonts w:ascii="Arial" w:hAnsi="Arial"/>
                <w:sz w:val="12"/>
                <w:szCs w:val="12"/>
              </w:rPr>
              <w:t>Garvín</w:t>
            </w:r>
          </w:p>
        </w:tc>
      </w:tr>
      <w:tr w:rsidR="002A4DDF" w:rsidRPr="00937C8B" w14:paraId="44D2D974" w14:textId="77777777" w:rsidTr="00935676">
        <w:trPr>
          <w:cantSplit/>
        </w:trPr>
        <w:tc>
          <w:tcPr>
            <w:tcW w:w="1696" w:type="dxa"/>
            <w:tcBorders>
              <w:left w:val="single" w:sz="4" w:space="0" w:color="auto"/>
            </w:tcBorders>
            <w:shd w:val="clear" w:color="auto" w:fill="auto"/>
          </w:tcPr>
          <w:p w14:paraId="7AE0D5A7" w14:textId="77777777" w:rsidR="002A4DDF" w:rsidRPr="00937C8B" w:rsidRDefault="002A4DDF" w:rsidP="009110ED">
            <w:pPr>
              <w:rPr>
                <w:rFonts w:ascii="Arial" w:hAnsi="Arial" w:cs="Arial"/>
                <w:sz w:val="12"/>
                <w:szCs w:val="12"/>
              </w:rPr>
            </w:pPr>
          </w:p>
        </w:tc>
        <w:tc>
          <w:tcPr>
            <w:tcW w:w="1843" w:type="dxa"/>
            <w:shd w:val="clear" w:color="auto" w:fill="auto"/>
          </w:tcPr>
          <w:p w14:paraId="1E7157D7" w14:textId="77777777" w:rsidR="002A4DDF" w:rsidRPr="00937C8B" w:rsidRDefault="002A4DDF" w:rsidP="009110ED">
            <w:pPr>
              <w:rPr>
                <w:rFonts w:ascii="Arial" w:hAnsi="Arial" w:cs="Arial"/>
                <w:sz w:val="12"/>
                <w:szCs w:val="12"/>
              </w:rPr>
            </w:pPr>
          </w:p>
        </w:tc>
        <w:tc>
          <w:tcPr>
            <w:tcW w:w="2268" w:type="dxa"/>
            <w:shd w:val="clear" w:color="auto" w:fill="F2F2F2"/>
            <w:hideMark/>
          </w:tcPr>
          <w:p w14:paraId="7D43836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216193C" w14:textId="77777777" w:rsidR="002A4DDF" w:rsidRPr="00937C8B" w:rsidRDefault="002A4DDF" w:rsidP="009110ED">
            <w:pPr>
              <w:rPr>
                <w:rFonts w:ascii="Arial" w:hAnsi="Arial" w:cs="Arial"/>
                <w:sz w:val="12"/>
                <w:szCs w:val="12"/>
              </w:rPr>
            </w:pPr>
            <w:r>
              <w:rPr>
                <w:rFonts w:ascii="Arial" w:hAnsi="Arial"/>
                <w:sz w:val="12"/>
                <w:szCs w:val="12"/>
              </w:rPr>
              <w:t>Gata</w:t>
            </w:r>
          </w:p>
        </w:tc>
      </w:tr>
      <w:tr w:rsidR="002A4DDF" w:rsidRPr="00937C8B" w14:paraId="4DEFD3DC" w14:textId="77777777" w:rsidTr="00935676">
        <w:trPr>
          <w:cantSplit/>
        </w:trPr>
        <w:tc>
          <w:tcPr>
            <w:tcW w:w="1696" w:type="dxa"/>
            <w:tcBorders>
              <w:left w:val="single" w:sz="4" w:space="0" w:color="auto"/>
            </w:tcBorders>
            <w:shd w:val="clear" w:color="auto" w:fill="auto"/>
          </w:tcPr>
          <w:p w14:paraId="67ED1BFE" w14:textId="77777777" w:rsidR="002A4DDF" w:rsidRPr="00937C8B" w:rsidRDefault="002A4DDF" w:rsidP="009110ED">
            <w:pPr>
              <w:rPr>
                <w:rFonts w:ascii="Arial" w:hAnsi="Arial" w:cs="Arial"/>
                <w:sz w:val="12"/>
                <w:szCs w:val="12"/>
              </w:rPr>
            </w:pPr>
          </w:p>
        </w:tc>
        <w:tc>
          <w:tcPr>
            <w:tcW w:w="1843" w:type="dxa"/>
            <w:shd w:val="clear" w:color="auto" w:fill="auto"/>
          </w:tcPr>
          <w:p w14:paraId="0E57CBD9" w14:textId="77777777" w:rsidR="002A4DDF" w:rsidRPr="00937C8B" w:rsidRDefault="002A4DDF" w:rsidP="009110ED">
            <w:pPr>
              <w:rPr>
                <w:rFonts w:ascii="Arial" w:hAnsi="Arial" w:cs="Arial"/>
                <w:sz w:val="12"/>
                <w:szCs w:val="12"/>
              </w:rPr>
            </w:pPr>
          </w:p>
        </w:tc>
        <w:tc>
          <w:tcPr>
            <w:tcW w:w="2268" w:type="dxa"/>
            <w:shd w:val="clear" w:color="auto" w:fill="F2F2F2"/>
            <w:hideMark/>
          </w:tcPr>
          <w:p w14:paraId="5933FEE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AC5B64F" w14:textId="77777777" w:rsidR="002A4DDF" w:rsidRPr="00937C8B" w:rsidRDefault="002A4DDF" w:rsidP="009110ED">
            <w:pPr>
              <w:rPr>
                <w:rFonts w:ascii="Arial" w:hAnsi="Arial" w:cs="Arial"/>
                <w:sz w:val="12"/>
                <w:szCs w:val="12"/>
              </w:rPr>
            </w:pPr>
            <w:r>
              <w:rPr>
                <w:rFonts w:ascii="Arial" w:hAnsi="Arial"/>
                <w:sz w:val="12"/>
                <w:szCs w:val="12"/>
              </w:rPr>
              <w:t>Guadalupe</w:t>
            </w:r>
          </w:p>
        </w:tc>
      </w:tr>
      <w:tr w:rsidR="002A4DDF" w:rsidRPr="00937C8B" w14:paraId="2036F0FE" w14:textId="77777777" w:rsidTr="00935676">
        <w:trPr>
          <w:cantSplit/>
        </w:trPr>
        <w:tc>
          <w:tcPr>
            <w:tcW w:w="1696" w:type="dxa"/>
            <w:tcBorders>
              <w:left w:val="single" w:sz="4" w:space="0" w:color="auto"/>
            </w:tcBorders>
            <w:shd w:val="clear" w:color="auto" w:fill="auto"/>
          </w:tcPr>
          <w:p w14:paraId="049F6CA0" w14:textId="77777777" w:rsidR="002A4DDF" w:rsidRPr="00937C8B" w:rsidRDefault="002A4DDF" w:rsidP="009110ED">
            <w:pPr>
              <w:rPr>
                <w:rFonts w:ascii="Arial" w:hAnsi="Arial" w:cs="Arial"/>
                <w:sz w:val="12"/>
                <w:szCs w:val="12"/>
              </w:rPr>
            </w:pPr>
          </w:p>
        </w:tc>
        <w:tc>
          <w:tcPr>
            <w:tcW w:w="1843" w:type="dxa"/>
            <w:shd w:val="clear" w:color="auto" w:fill="auto"/>
          </w:tcPr>
          <w:p w14:paraId="7316F776" w14:textId="77777777" w:rsidR="002A4DDF" w:rsidRPr="00937C8B" w:rsidRDefault="002A4DDF" w:rsidP="009110ED">
            <w:pPr>
              <w:rPr>
                <w:rFonts w:ascii="Arial" w:hAnsi="Arial" w:cs="Arial"/>
                <w:sz w:val="12"/>
                <w:szCs w:val="12"/>
              </w:rPr>
            </w:pPr>
          </w:p>
        </w:tc>
        <w:tc>
          <w:tcPr>
            <w:tcW w:w="2268" w:type="dxa"/>
            <w:shd w:val="clear" w:color="auto" w:fill="F2F2F2"/>
            <w:hideMark/>
          </w:tcPr>
          <w:p w14:paraId="532052B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A112EA3" w14:textId="77777777" w:rsidR="002A4DDF" w:rsidRPr="00937C8B" w:rsidRDefault="002A4DDF" w:rsidP="009110ED">
            <w:pPr>
              <w:rPr>
                <w:rFonts w:ascii="Arial" w:hAnsi="Arial" w:cs="Arial"/>
                <w:sz w:val="12"/>
                <w:szCs w:val="12"/>
              </w:rPr>
            </w:pPr>
            <w:r>
              <w:rPr>
                <w:rFonts w:ascii="Arial" w:hAnsi="Arial"/>
                <w:sz w:val="12"/>
                <w:szCs w:val="12"/>
              </w:rPr>
              <w:t>Guijo de Coria</w:t>
            </w:r>
          </w:p>
        </w:tc>
      </w:tr>
      <w:tr w:rsidR="002A4DDF" w:rsidRPr="00937C8B" w14:paraId="17514EE7" w14:textId="77777777" w:rsidTr="00935676">
        <w:trPr>
          <w:cantSplit/>
        </w:trPr>
        <w:tc>
          <w:tcPr>
            <w:tcW w:w="1696" w:type="dxa"/>
            <w:tcBorders>
              <w:left w:val="single" w:sz="4" w:space="0" w:color="auto"/>
            </w:tcBorders>
            <w:shd w:val="clear" w:color="auto" w:fill="auto"/>
          </w:tcPr>
          <w:p w14:paraId="76C80894" w14:textId="77777777" w:rsidR="002A4DDF" w:rsidRPr="00937C8B" w:rsidRDefault="002A4DDF" w:rsidP="009110ED">
            <w:pPr>
              <w:rPr>
                <w:rFonts w:ascii="Arial" w:hAnsi="Arial" w:cs="Arial"/>
                <w:sz w:val="12"/>
                <w:szCs w:val="12"/>
              </w:rPr>
            </w:pPr>
          </w:p>
        </w:tc>
        <w:tc>
          <w:tcPr>
            <w:tcW w:w="1843" w:type="dxa"/>
            <w:shd w:val="clear" w:color="auto" w:fill="auto"/>
          </w:tcPr>
          <w:p w14:paraId="72FDFA77" w14:textId="77777777" w:rsidR="002A4DDF" w:rsidRPr="00937C8B" w:rsidRDefault="002A4DDF" w:rsidP="009110ED">
            <w:pPr>
              <w:rPr>
                <w:rFonts w:ascii="Arial" w:hAnsi="Arial" w:cs="Arial"/>
                <w:sz w:val="12"/>
                <w:szCs w:val="12"/>
              </w:rPr>
            </w:pPr>
          </w:p>
        </w:tc>
        <w:tc>
          <w:tcPr>
            <w:tcW w:w="2268" w:type="dxa"/>
            <w:shd w:val="clear" w:color="auto" w:fill="F2F2F2"/>
            <w:hideMark/>
          </w:tcPr>
          <w:p w14:paraId="147EAC3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AA216CB" w14:textId="77777777" w:rsidR="002A4DDF" w:rsidRPr="00937C8B" w:rsidRDefault="002A4DDF" w:rsidP="009110ED">
            <w:pPr>
              <w:rPr>
                <w:rFonts w:ascii="Arial" w:hAnsi="Arial" w:cs="Arial"/>
                <w:sz w:val="12"/>
                <w:szCs w:val="12"/>
              </w:rPr>
            </w:pPr>
            <w:r>
              <w:rPr>
                <w:rFonts w:ascii="Arial" w:hAnsi="Arial"/>
                <w:sz w:val="12"/>
                <w:szCs w:val="12"/>
              </w:rPr>
              <w:t>Guijo de Galisteo</w:t>
            </w:r>
          </w:p>
        </w:tc>
      </w:tr>
      <w:tr w:rsidR="002A4DDF" w:rsidRPr="00937C8B" w14:paraId="5B7F25E5" w14:textId="77777777" w:rsidTr="00935676">
        <w:trPr>
          <w:cantSplit/>
        </w:trPr>
        <w:tc>
          <w:tcPr>
            <w:tcW w:w="1696" w:type="dxa"/>
            <w:tcBorders>
              <w:left w:val="single" w:sz="4" w:space="0" w:color="auto"/>
            </w:tcBorders>
            <w:shd w:val="clear" w:color="auto" w:fill="auto"/>
          </w:tcPr>
          <w:p w14:paraId="254CAFA3" w14:textId="77777777" w:rsidR="002A4DDF" w:rsidRPr="00937C8B" w:rsidRDefault="002A4DDF" w:rsidP="009110ED">
            <w:pPr>
              <w:rPr>
                <w:rFonts w:ascii="Arial" w:hAnsi="Arial" w:cs="Arial"/>
                <w:sz w:val="12"/>
                <w:szCs w:val="12"/>
              </w:rPr>
            </w:pPr>
          </w:p>
        </w:tc>
        <w:tc>
          <w:tcPr>
            <w:tcW w:w="1843" w:type="dxa"/>
            <w:shd w:val="clear" w:color="auto" w:fill="auto"/>
          </w:tcPr>
          <w:p w14:paraId="09FAD124" w14:textId="77777777" w:rsidR="002A4DDF" w:rsidRPr="00937C8B" w:rsidRDefault="002A4DDF" w:rsidP="009110ED">
            <w:pPr>
              <w:rPr>
                <w:rFonts w:ascii="Arial" w:hAnsi="Arial" w:cs="Arial"/>
                <w:sz w:val="12"/>
                <w:szCs w:val="12"/>
              </w:rPr>
            </w:pPr>
          </w:p>
        </w:tc>
        <w:tc>
          <w:tcPr>
            <w:tcW w:w="2268" w:type="dxa"/>
            <w:shd w:val="clear" w:color="auto" w:fill="F2F2F2"/>
            <w:hideMark/>
          </w:tcPr>
          <w:p w14:paraId="76360C2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27CDEE1" w14:textId="77777777" w:rsidR="002A4DDF" w:rsidRPr="00937C8B" w:rsidRDefault="002A4DDF" w:rsidP="009110ED">
            <w:pPr>
              <w:rPr>
                <w:rFonts w:ascii="Arial" w:hAnsi="Arial" w:cs="Arial"/>
                <w:sz w:val="12"/>
                <w:szCs w:val="12"/>
              </w:rPr>
            </w:pPr>
            <w:r>
              <w:rPr>
                <w:rFonts w:ascii="Arial" w:hAnsi="Arial"/>
                <w:sz w:val="12"/>
                <w:szCs w:val="12"/>
              </w:rPr>
              <w:t>Guijo de Granadilla</w:t>
            </w:r>
          </w:p>
        </w:tc>
      </w:tr>
      <w:tr w:rsidR="002A4DDF" w:rsidRPr="00937C8B" w14:paraId="1B456B1A" w14:textId="77777777" w:rsidTr="00935676">
        <w:trPr>
          <w:cantSplit/>
        </w:trPr>
        <w:tc>
          <w:tcPr>
            <w:tcW w:w="1696" w:type="dxa"/>
            <w:tcBorders>
              <w:left w:val="single" w:sz="4" w:space="0" w:color="auto"/>
            </w:tcBorders>
            <w:shd w:val="clear" w:color="auto" w:fill="auto"/>
          </w:tcPr>
          <w:p w14:paraId="37DD98F6" w14:textId="77777777" w:rsidR="002A4DDF" w:rsidRPr="00937C8B" w:rsidRDefault="002A4DDF" w:rsidP="009110ED">
            <w:pPr>
              <w:rPr>
                <w:rFonts w:ascii="Arial" w:hAnsi="Arial" w:cs="Arial"/>
                <w:sz w:val="12"/>
                <w:szCs w:val="12"/>
              </w:rPr>
            </w:pPr>
          </w:p>
        </w:tc>
        <w:tc>
          <w:tcPr>
            <w:tcW w:w="1843" w:type="dxa"/>
            <w:shd w:val="clear" w:color="auto" w:fill="auto"/>
          </w:tcPr>
          <w:p w14:paraId="4B41D5E1" w14:textId="77777777" w:rsidR="002A4DDF" w:rsidRPr="00937C8B" w:rsidRDefault="002A4DDF" w:rsidP="009110ED">
            <w:pPr>
              <w:rPr>
                <w:rFonts w:ascii="Arial" w:hAnsi="Arial" w:cs="Arial"/>
                <w:sz w:val="12"/>
                <w:szCs w:val="12"/>
              </w:rPr>
            </w:pPr>
          </w:p>
        </w:tc>
        <w:tc>
          <w:tcPr>
            <w:tcW w:w="2268" w:type="dxa"/>
            <w:shd w:val="clear" w:color="auto" w:fill="F2F2F2"/>
            <w:hideMark/>
          </w:tcPr>
          <w:p w14:paraId="37B701A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2C6AF72" w14:textId="77777777" w:rsidR="002A4DDF" w:rsidRPr="00937C8B" w:rsidRDefault="002A4DDF" w:rsidP="009110ED">
            <w:pPr>
              <w:rPr>
                <w:rFonts w:ascii="Arial" w:hAnsi="Arial" w:cs="Arial"/>
                <w:sz w:val="12"/>
                <w:szCs w:val="12"/>
              </w:rPr>
            </w:pPr>
            <w:r>
              <w:rPr>
                <w:rFonts w:ascii="Arial" w:hAnsi="Arial"/>
                <w:sz w:val="12"/>
                <w:szCs w:val="12"/>
              </w:rPr>
              <w:t>Guijo de Santa Bárbara</w:t>
            </w:r>
          </w:p>
        </w:tc>
      </w:tr>
      <w:tr w:rsidR="002A4DDF" w:rsidRPr="00937C8B" w14:paraId="42A0B357" w14:textId="77777777" w:rsidTr="00935676">
        <w:trPr>
          <w:cantSplit/>
        </w:trPr>
        <w:tc>
          <w:tcPr>
            <w:tcW w:w="1696" w:type="dxa"/>
            <w:tcBorders>
              <w:left w:val="single" w:sz="4" w:space="0" w:color="auto"/>
            </w:tcBorders>
            <w:shd w:val="clear" w:color="auto" w:fill="auto"/>
          </w:tcPr>
          <w:p w14:paraId="512A9140" w14:textId="77777777" w:rsidR="002A4DDF" w:rsidRPr="00937C8B" w:rsidRDefault="002A4DDF" w:rsidP="009110ED">
            <w:pPr>
              <w:rPr>
                <w:rFonts w:ascii="Arial" w:hAnsi="Arial" w:cs="Arial"/>
                <w:sz w:val="12"/>
                <w:szCs w:val="12"/>
              </w:rPr>
            </w:pPr>
          </w:p>
        </w:tc>
        <w:tc>
          <w:tcPr>
            <w:tcW w:w="1843" w:type="dxa"/>
            <w:shd w:val="clear" w:color="auto" w:fill="auto"/>
          </w:tcPr>
          <w:p w14:paraId="691315B2" w14:textId="77777777" w:rsidR="002A4DDF" w:rsidRPr="00937C8B" w:rsidRDefault="002A4DDF" w:rsidP="009110ED">
            <w:pPr>
              <w:rPr>
                <w:rFonts w:ascii="Arial" w:hAnsi="Arial" w:cs="Arial"/>
                <w:sz w:val="12"/>
                <w:szCs w:val="12"/>
              </w:rPr>
            </w:pPr>
          </w:p>
        </w:tc>
        <w:tc>
          <w:tcPr>
            <w:tcW w:w="2268" w:type="dxa"/>
            <w:shd w:val="clear" w:color="auto" w:fill="F2F2F2"/>
            <w:hideMark/>
          </w:tcPr>
          <w:p w14:paraId="1C34388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A68D42E" w14:textId="77777777" w:rsidR="002A4DDF" w:rsidRPr="00937C8B" w:rsidRDefault="002A4DDF" w:rsidP="009110ED">
            <w:pPr>
              <w:rPr>
                <w:rFonts w:ascii="Arial" w:hAnsi="Arial" w:cs="Arial"/>
                <w:sz w:val="12"/>
                <w:szCs w:val="12"/>
              </w:rPr>
            </w:pPr>
            <w:r>
              <w:rPr>
                <w:rFonts w:ascii="Arial" w:hAnsi="Arial"/>
                <w:sz w:val="12"/>
                <w:szCs w:val="12"/>
              </w:rPr>
              <w:t>Hernán-Pérez</w:t>
            </w:r>
          </w:p>
        </w:tc>
      </w:tr>
      <w:tr w:rsidR="002A4DDF" w:rsidRPr="00937C8B" w14:paraId="3ACE8F88" w14:textId="77777777" w:rsidTr="00935676">
        <w:trPr>
          <w:cantSplit/>
        </w:trPr>
        <w:tc>
          <w:tcPr>
            <w:tcW w:w="1696" w:type="dxa"/>
            <w:tcBorders>
              <w:left w:val="single" w:sz="4" w:space="0" w:color="auto"/>
            </w:tcBorders>
            <w:shd w:val="clear" w:color="auto" w:fill="auto"/>
          </w:tcPr>
          <w:p w14:paraId="2A0CE726" w14:textId="77777777" w:rsidR="002A4DDF" w:rsidRPr="00937C8B" w:rsidRDefault="002A4DDF" w:rsidP="009110ED">
            <w:pPr>
              <w:rPr>
                <w:rFonts w:ascii="Arial" w:hAnsi="Arial" w:cs="Arial"/>
                <w:sz w:val="12"/>
                <w:szCs w:val="12"/>
              </w:rPr>
            </w:pPr>
          </w:p>
        </w:tc>
        <w:tc>
          <w:tcPr>
            <w:tcW w:w="1843" w:type="dxa"/>
            <w:shd w:val="clear" w:color="auto" w:fill="auto"/>
          </w:tcPr>
          <w:p w14:paraId="4C0C6EC7" w14:textId="77777777" w:rsidR="002A4DDF" w:rsidRPr="00937C8B" w:rsidRDefault="002A4DDF" w:rsidP="009110ED">
            <w:pPr>
              <w:rPr>
                <w:rFonts w:ascii="Arial" w:hAnsi="Arial" w:cs="Arial"/>
                <w:sz w:val="12"/>
                <w:szCs w:val="12"/>
              </w:rPr>
            </w:pPr>
          </w:p>
        </w:tc>
        <w:tc>
          <w:tcPr>
            <w:tcW w:w="2268" w:type="dxa"/>
            <w:shd w:val="clear" w:color="auto" w:fill="F2F2F2"/>
            <w:hideMark/>
          </w:tcPr>
          <w:p w14:paraId="1402973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26F16E8" w14:textId="77777777" w:rsidR="002A4DDF" w:rsidRPr="00937C8B" w:rsidRDefault="002A4DDF" w:rsidP="009110ED">
            <w:pPr>
              <w:rPr>
                <w:rFonts w:ascii="Arial" w:hAnsi="Arial" w:cs="Arial"/>
                <w:sz w:val="12"/>
                <w:szCs w:val="12"/>
              </w:rPr>
            </w:pPr>
            <w:r>
              <w:rPr>
                <w:rFonts w:ascii="Arial" w:hAnsi="Arial"/>
                <w:sz w:val="12"/>
                <w:szCs w:val="12"/>
              </w:rPr>
              <w:t>Herrera de Alcántara</w:t>
            </w:r>
          </w:p>
        </w:tc>
      </w:tr>
      <w:tr w:rsidR="002A4DDF" w:rsidRPr="00937C8B" w14:paraId="023F596D" w14:textId="77777777" w:rsidTr="00935676">
        <w:trPr>
          <w:cantSplit/>
        </w:trPr>
        <w:tc>
          <w:tcPr>
            <w:tcW w:w="1696" w:type="dxa"/>
            <w:tcBorders>
              <w:left w:val="single" w:sz="4" w:space="0" w:color="auto"/>
            </w:tcBorders>
            <w:shd w:val="clear" w:color="auto" w:fill="auto"/>
          </w:tcPr>
          <w:p w14:paraId="216538AA" w14:textId="77777777" w:rsidR="002A4DDF" w:rsidRPr="00937C8B" w:rsidRDefault="002A4DDF" w:rsidP="009110ED">
            <w:pPr>
              <w:rPr>
                <w:rFonts w:ascii="Arial" w:hAnsi="Arial" w:cs="Arial"/>
                <w:sz w:val="12"/>
                <w:szCs w:val="12"/>
              </w:rPr>
            </w:pPr>
          </w:p>
        </w:tc>
        <w:tc>
          <w:tcPr>
            <w:tcW w:w="1843" w:type="dxa"/>
            <w:shd w:val="clear" w:color="auto" w:fill="auto"/>
          </w:tcPr>
          <w:p w14:paraId="433B8695" w14:textId="77777777" w:rsidR="002A4DDF" w:rsidRPr="00937C8B" w:rsidRDefault="002A4DDF" w:rsidP="009110ED">
            <w:pPr>
              <w:rPr>
                <w:rFonts w:ascii="Arial" w:hAnsi="Arial" w:cs="Arial"/>
                <w:sz w:val="12"/>
                <w:szCs w:val="12"/>
              </w:rPr>
            </w:pPr>
          </w:p>
        </w:tc>
        <w:tc>
          <w:tcPr>
            <w:tcW w:w="2268" w:type="dxa"/>
            <w:shd w:val="clear" w:color="auto" w:fill="F2F2F2"/>
            <w:hideMark/>
          </w:tcPr>
          <w:p w14:paraId="5DA6DE2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5A4E703" w14:textId="77777777" w:rsidR="002A4DDF" w:rsidRPr="00937C8B" w:rsidRDefault="002A4DDF" w:rsidP="009110ED">
            <w:pPr>
              <w:rPr>
                <w:rFonts w:ascii="Arial" w:hAnsi="Arial" w:cs="Arial"/>
                <w:sz w:val="12"/>
                <w:szCs w:val="12"/>
              </w:rPr>
            </w:pPr>
            <w:r>
              <w:rPr>
                <w:rFonts w:ascii="Arial" w:hAnsi="Arial"/>
                <w:sz w:val="12"/>
                <w:szCs w:val="12"/>
              </w:rPr>
              <w:t>Herreruela</w:t>
            </w:r>
          </w:p>
        </w:tc>
      </w:tr>
      <w:tr w:rsidR="002A4DDF" w:rsidRPr="00937C8B" w14:paraId="79B953F3" w14:textId="77777777" w:rsidTr="00935676">
        <w:trPr>
          <w:cantSplit/>
        </w:trPr>
        <w:tc>
          <w:tcPr>
            <w:tcW w:w="1696" w:type="dxa"/>
            <w:tcBorders>
              <w:left w:val="single" w:sz="4" w:space="0" w:color="auto"/>
            </w:tcBorders>
            <w:shd w:val="clear" w:color="auto" w:fill="auto"/>
          </w:tcPr>
          <w:p w14:paraId="53565D53" w14:textId="77777777" w:rsidR="002A4DDF" w:rsidRPr="00937C8B" w:rsidRDefault="002A4DDF" w:rsidP="009110ED">
            <w:pPr>
              <w:rPr>
                <w:rFonts w:ascii="Arial" w:hAnsi="Arial" w:cs="Arial"/>
                <w:sz w:val="12"/>
                <w:szCs w:val="12"/>
              </w:rPr>
            </w:pPr>
          </w:p>
        </w:tc>
        <w:tc>
          <w:tcPr>
            <w:tcW w:w="1843" w:type="dxa"/>
            <w:shd w:val="clear" w:color="auto" w:fill="auto"/>
          </w:tcPr>
          <w:p w14:paraId="334711DF" w14:textId="77777777" w:rsidR="002A4DDF" w:rsidRPr="00937C8B" w:rsidRDefault="002A4DDF" w:rsidP="009110ED">
            <w:pPr>
              <w:rPr>
                <w:rFonts w:ascii="Arial" w:hAnsi="Arial" w:cs="Arial"/>
                <w:sz w:val="12"/>
                <w:szCs w:val="12"/>
              </w:rPr>
            </w:pPr>
          </w:p>
        </w:tc>
        <w:tc>
          <w:tcPr>
            <w:tcW w:w="2268" w:type="dxa"/>
            <w:shd w:val="clear" w:color="auto" w:fill="F2F2F2"/>
            <w:hideMark/>
          </w:tcPr>
          <w:p w14:paraId="488564E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07C403E" w14:textId="77777777" w:rsidR="002A4DDF" w:rsidRPr="00937C8B" w:rsidRDefault="002A4DDF" w:rsidP="009110ED">
            <w:pPr>
              <w:rPr>
                <w:rFonts w:ascii="Arial" w:hAnsi="Arial" w:cs="Arial"/>
                <w:sz w:val="12"/>
                <w:szCs w:val="12"/>
              </w:rPr>
            </w:pPr>
            <w:r>
              <w:rPr>
                <w:rFonts w:ascii="Arial" w:hAnsi="Arial"/>
                <w:sz w:val="12"/>
                <w:szCs w:val="12"/>
              </w:rPr>
              <w:t>Hervás</w:t>
            </w:r>
          </w:p>
        </w:tc>
      </w:tr>
      <w:tr w:rsidR="002A4DDF" w:rsidRPr="00937C8B" w14:paraId="1BB93ECC" w14:textId="77777777" w:rsidTr="00935676">
        <w:trPr>
          <w:cantSplit/>
        </w:trPr>
        <w:tc>
          <w:tcPr>
            <w:tcW w:w="1696" w:type="dxa"/>
            <w:tcBorders>
              <w:left w:val="single" w:sz="4" w:space="0" w:color="auto"/>
            </w:tcBorders>
            <w:shd w:val="clear" w:color="auto" w:fill="auto"/>
          </w:tcPr>
          <w:p w14:paraId="55D691C7" w14:textId="77777777" w:rsidR="002A4DDF" w:rsidRPr="00937C8B" w:rsidRDefault="002A4DDF" w:rsidP="009110ED">
            <w:pPr>
              <w:rPr>
                <w:rFonts w:ascii="Arial" w:hAnsi="Arial" w:cs="Arial"/>
                <w:sz w:val="12"/>
                <w:szCs w:val="12"/>
              </w:rPr>
            </w:pPr>
          </w:p>
        </w:tc>
        <w:tc>
          <w:tcPr>
            <w:tcW w:w="1843" w:type="dxa"/>
            <w:shd w:val="clear" w:color="auto" w:fill="auto"/>
          </w:tcPr>
          <w:p w14:paraId="23A36CEA" w14:textId="77777777" w:rsidR="002A4DDF" w:rsidRPr="00937C8B" w:rsidRDefault="002A4DDF" w:rsidP="009110ED">
            <w:pPr>
              <w:rPr>
                <w:rFonts w:ascii="Arial" w:hAnsi="Arial" w:cs="Arial"/>
                <w:sz w:val="12"/>
                <w:szCs w:val="12"/>
              </w:rPr>
            </w:pPr>
          </w:p>
        </w:tc>
        <w:tc>
          <w:tcPr>
            <w:tcW w:w="2268" w:type="dxa"/>
            <w:shd w:val="clear" w:color="auto" w:fill="F2F2F2"/>
            <w:hideMark/>
          </w:tcPr>
          <w:p w14:paraId="4F961CE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CDED5B4" w14:textId="77777777" w:rsidR="002A4DDF" w:rsidRPr="00937C8B" w:rsidRDefault="002A4DDF" w:rsidP="009110ED">
            <w:pPr>
              <w:rPr>
                <w:rFonts w:ascii="Arial" w:hAnsi="Arial" w:cs="Arial"/>
                <w:sz w:val="12"/>
                <w:szCs w:val="12"/>
              </w:rPr>
            </w:pPr>
            <w:r>
              <w:rPr>
                <w:rFonts w:ascii="Arial" w:hAnsi="Arial"/>
                <w:sz w:val="12"/>
                <w:szCs w:val="12"/>
              </w:rPr>
              <w:t>Higuera</w:t>
            </w:r>
          </w:p>
        </w:tc>
      </w:tr>
      <w:tr w:rsidR="002A4DDF" w:rsidRPr="00937C8B" w14:paraId="65997D6F" w14:textId="77777777" w:rsidTr="00935676">
        <w:trPr>
          <w:cantSplit/>
        </w:trPr>
        <w:tc>
          <w:tcPr>
            <w:tcW w:w="1696" w:type="dxa"/>
            <w:tcBorders>
              <w:left w:val="single" w:sz="4" w:space="0" w:color="auto"/>
            </w:tcBorders>
            <w:shd w:val="clear" w:color="auto" w:fill="auto"/>
          </w:tcPr>
          <w:p w14:paraId="2CAADADF" w14:textId="77777777" w:rsidR="002A4DDF" w:rsidRPr="00937C8B" w:rsidRDefault="002A4DDF" w:rsidP="009110ED">
            <w:pPr>
              <w:rPr>
                <w:rFonts w:ascii="Arial" w:hAnsi="Arial" w:cs="Arial"/>
                <w:sz w:val="12"/>
                <w:szCs w:val="12"/>
              </w:rPr>
            </w:pPr>
          </w:p>
        </w:tc>
        <w:tc>
          <w:tcPr>
            <w:tcW w:w="1843" w:type="dxa"/>
            <w:shd w:val="clear" w:color="auto" w:fill="auto"/>
          </w:tcPr>
          <w:p w14:paraId="319B70C8" w14:textId="77777777" w:rsidR="002A4DDF" w:rsidRPr="00937C8B" w:rsidRDefault="002A4DDF" w:rsidP="009110ED">
            <w:pPr>
              <w:rPr>
                <w:rFonts w:ascii="Arial" w:hAnsi="Arial" w:cs="Arial"/>
                <w:sz w:val="12"/>
                <w:szCs w:val="12"/>
              </w:rPr>
            </w:pPr>
          </w:p>
        </w:tc>
        <w:tc>
          <w:tcPr>
            <w:tcW w:w="2268" w:type="dxa"/>
            <w:shd w:val="clear" w:color="auto" w:fill="F2F2F2"/>
            <w:hideMark/>
          </w:tcPr>
          <w:p w14:paraId="3342855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A024EE6" w14:textId="77777777" w:rsidR="002A4DDF" w:rsidRPr="00937C8B" w:rsidRDefault="002A4DDF" w:rsidP="009110ED">
            <w:pPr>
              <w:rPr>
                <w:rFonts w:ascii="Arial" w:hAnsi="Arial" w:cs="Arial"/>
                <w:sz w:val="12"/>
                <w:szCs w:val="12"/>
              </w:rPr>
            </w:pPr>
            <w:r>
              <w:rPr>
                <w:rFonts w:ascii="Arial" w:hAnsi="Arial"/>
                <w:sz w:val="12"/>
                <w:szCs w:val="12"/>
              </w:rPr>
              <w:t>Hinojal</w:t>
            </w:r>
          </w:p>
        </w:tc>
      </w:tr>
      <w:tr w:rsidR="002A4DDF" w:rsidRPr="00937C8B" w14:paraId="4F7DBDE7" w14:textId="77777777" w:rsidTr="00935676">
        <w:trPr>
          <w:cantSplit/>
        </w:trPr>
        <w:tc>
          <w:tcPr>
            <w:tcW w:w="1696" w:type="dxa"/>
            <w:tcBorders>
              <w:left w:val="single" w:sz="4" w:space="0" w:color="auto"/>
            </w:tcBorders>
            <w:shd w:val="clear" w:color="auto" w:fill="auto"/>
          </w:tcPr>
          <w:p w14:paraId="4C6DE7C9" w14:textId="77777777" w:rsidR="002A4DDF" w:rsidRPr="00937C8B" w:rsidRDefault="002A4DDF" w:rsidP="009110ED">
            <w:pPr>
              <w:rPr>
                <w:rFonts w:ascii="Arial" w:hAnsi="Arial" w:cs="Arial"/>
                <w:sz w:val="12"/>
                <w:szCs w:val="12"/>
              </w:rPr>
            </w:pPr>
          </w:p>
        </w:tc>
        <w:tc>
          <w:tcPr>
            <w:tcW w:w="1843" w:type="dxa"/>
            <w:shd w:val="clear" w:color="auto" w:fill="auto"/>
          </w:tcPr>
          <w:p w14:paraId="2F61E968" w14:textId="77777777" w:rsidR="002A4DDF" w:rsidRPr="00937C8B" w:rsidRDefault="002A4DDF" w:rsidP="009110ED">
            <w:pPr>
              <w:rPr>
                <w:rFonts w:ascii="Arial" w:hAnsi="Arial" w:cs="Arial"/>
                <w:sz w:val="12"/>
                <w:szCs w:val="12"/>
              </w:rPr>
            </w:pPr>
          </w:p>
        </w:tc>
        <w:tc>
          <w:tcPr>
            <w:tcW w:w="2268" w:type="dxa"/>
            <w:shd w:val="clear" w:color="auto" w:fill="F2F2F2"/>
            <w:hideMark/>
          </w:tcPr>
          <w:p w14:paraId="5A43F70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C687C84" w14:textId="77777777" w:rsidR="002A4DDF" w:rsidRPr="00937C8B" w:rsidRDefault="002A4DDF" w:rsidP="009110ED">
            <w:pPr>
              <w:rPr>
                <w:rFonts w:ascii="Arial" w:hAnsi="Arial" w:cs="Arial"/>
                <w:sz w:val="12"/>
                <w:szCs w:val="12"/>
              </w:rPr>
            </w:pPr>
            <w:r>
              <w:rPr>
                <w:rFonts w:ascii="Arial" w:hAnsi="Arial"/>
                <w:sz w:val="12"/>
                <w:szCs w:val="12"/>
              </w:rPr>
              <w:t>Hoyos</w:t>
            </w:r>
          </w:p>
        </w:tc>
      </w:tr>
      <w:tr w:rsidR="002A4DDF" w:rsidRPr="00937C8B" w14:paraId="4674CD90" w14:textId="77777777" w:rsidTr="00935676">
        <w:trPr>
          <w:cantSplit/>
        </w:trPr>
        <w:tc>
          <w:tcPr>
            <w:tcW w:w="1696" w:type="dxa"/>
            <w:tcBorders>
              <w:left w:val="single" w:sz="4" w:space="0" w:color="auto"/>
            </w:tcBorders>
            <w:shd w:val="clear" w:color="auto" w:fill="auto"/>
          </w:tcPr>
          <w:p w14:paraId="25EB1AC4" w14:textId="77777777" w:rsidR="002A4DDF" w:rsidRPr="00937C8B" w:rsidRDefault="002A4DDF" w:rsidP="009110ED">
            <w:pPr>
              <w:rPr>
                <w:rFonts w:ascii="Arial" w:hAnsi="Arial" w:cs="Arial"/>
                <w:sz w:val="12"/>
                <w:szCs w:val="12"/>
              </w:rPr>
            </w:pPr>
          </w:p>
        </w:tc>
        <w:tc>
          <w:tcPr>
            <w:tcW w:w="1843" w:type="dxa"/>
            <w:shd w:val="clear" w:color="auto" w:fill="auto"/>
          </w:tcPr>
          <w:p w14:paraId="476E8E7F" w14:textId="77777777" w:rsidR="002A4DDF" w:rsidRPr="00937C8B" w:rsidRDefault="002A4DDF" w:rsidP="009110ED">
            <w:pPr>
              <w:rPr>
                <w:rFonts w:ascii="Arial" w:hAnsi="Arial" w:cs="Arial"/>
                <w:sz w:val="12"/>
                <w:szCs w:val="12"/>
              </w:rPr>
            </w:pPr>
          </w:p>
        </w:tc>
        <w:tc>
          <w:tcPr>
            <w:tcW w:w="2268" w:type="dxa"/>
            <w:shd w:val="clear" w:color="auto" w:fill="F2F2F2"/>
            <w:hideMark/>
          </w:tcPr>
          <w:p w14:paraId="775D67F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5695F2B" w14:textId="77777777" w:rsidR="002A4DDF" w:rsidRPr="00937C8B" w:rsidRDefault="002A4DDF" w:rsidP="009110ED">
            <w:pPr>
              <w:rPr>
                <w:rFonts w:ascii="Arial" w:hAnsi="Arial" w:cs="Arial"/>
                <w:sz w:val="12"/>
                <w:szCs w:val="12"/>
              </w:rPr>
            </w:pPr>
            <w:r>
              <w:rPr>
                <w:rFonts w:ascii="Arial" w:hAnsi="Arial"/>
                <w:sz w:val="12"/>
                <w:szCs w:val="12"/>
              </w:rPr>
              <w:t>Ibahernando</w:t>
            </w:r>
          </w:p>
        </w:tc>
      </w:tr>
      <w:tr w:rsidR="002A4DDF" w:rsidRPr="00937C8B" w14:paraId="44869D5F" w14:textId="77777777" w:rsidTr="00935676">
        <w:trPr>
          <w:cantSplit/>
        </w:trPr>
        <w:tc>
          <w:tcPr>
            <w:tcW w:w="1696" w:type="dxa"/>
            <w:tcBorders>
              <w:left w:val="single" w:sz="4" w:space="0" w:color="auto"/>
            </w:tcBorders>
            <w:shd w:val="clear" w:color="auto" w:fill="auto"/>
          </w:tcPr>
          <w:p w14:paraId="09FED818" w14:textId="77777777" w:rsidR="002A4DDF" w:rsidRPr="00937C8B" w:rsidRDefault="002A4DDF" w:rsidP="009110ED">
            <w:pPr>
              <w:rPr>
                <w:rFonts w:ascii="Arial" w:hAnsi="Arial" w:cs="Arial"/>
                <w:sz w:val="12"/>
                <w:szCs w:val="12"/>
              </w:rPr>
            </w:pPr>
          </w:p>
        </w:tc>
        <w:tc>
          <w:tcPr>
            <w:tcW w:w="1843" w:type="dxa"/>
            <w:shd w:val="clear" w:color="auto" w:fill="auto"/>
          </w:tcPr>
          <w:p w14:paraId="10B4CED6" w14:textId="77777777" w:rsidR="002A4DDF" w:rsidRPr="00937C8B" w:rsidRDefault="002A4DDF" w:rsidP="009110ED">
            <w:pPr>
              <w:rPr>
                <w:rFonts w:ascii="Arial" w:hAnsi="Arial" w:cs="Arial"/>
                <w:sz w:val="12"/>
                <w:szCs w:val="12"/>
              </w:rPr>
            </w:pPr>
          </w:p>
        </w:tc>
        <w:tc>
          <w:tcPr>
            <w:tcW w:w="2268" w:type="dxa"/>
            <w:shd w:val="clear" w:color="auto" w:fill="F2F2F2"/>
            <w:hideMark/>
          </w:tcPr>
          <w:p w14:paraId="036FB17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EF83E9A" w14:textId="77777777" w:rsidR="002A4DDF" w:rsidRPr="00937C8B" w:rsidRDefault="002A4DDF" w:rsidP="009110ED">
            <w:pPr>
              <w:rPr>
                <w:rFonts w:ascii="Arial" w:hAnsi="Arial" w:cs="Arial"/>
                <w:sz w:val="12"/>
                <w:szCs w:val="12"/>
              </w:rPr>
            </w:pPr>
            <w:r>
              <w:rPr>
                <w:rFonts w:ascii="Arial" w:hAnsi="Arial"/>
                <w:sz w:val="12"/>
                <w:szCs w:val="12"/>
              </w:rPr>
              <w:t>Jaraicejo</w:t>
            </w:r>
          </w:p>
        </w:tc>
      </w:tr>
      <w:tr w:rsidR="002A4DDF" w:rsidRPr="00937C8B" w14:paraId="25FC51AF" w14:textId="77777777" w:rsidTr="00935676">
        <w:trPr>
          <w:cantSplit/>
        </w:trPr>
        <w:tc>
          <w:tcPr>
            <w:tcW w:w="1696" w:type="dxa"/>
            <w:tcBorders>
              <w:left w:val="single" w:sz="4" w:space="0" w:color="auto"/>
            </w:tcBorders>
            <w:shd w:val="clear" w:color="auto" w:fill="auto"/>
          </w:tcPr>
          <w:p w14:paraId="7B501010" w14:textId="77777777" w:rsidR="002A4DDF" w:rsidRPr="00937C8B" w:rsidRDefault="002A4DDF" w:rsidP="009110ED">
            <w:pPr>
              <w:rPr>
                <w:rFonts w:ascii="Arial" w:hAnsi="Arial" w:cs="Arial"/>
                <w:sz w:val="12"/>
                <w:szCs w:val="12"/>
              </w:rPr>
            </w:pPr>
          </w:p>
        </w:tc>
        <w:tc>
          <w:tcPr>
            <w:tcW w:w="1843" w:type="dxa"/>
            <w:shd w:val="clear" w:color="auto" w:fill="auto"/>
          </w:tcPr>
          <w:p w14:paraId="49852BC0" w14:textId="77777777" w:rsidR="002A4DDF" w:rsidRPr="00937C8B" w:rsidRDefault="002A4DDF" w:rsidP="009110ED">
            <w:pPr>
              <w:rPr>
                <w:rFonts w:ascii="Arial" w:hAnsi="Arial" w:cs="Arial"/>
                <w:sz w:val="12"/>
                <w:szCs w:val="12"/>
              </w:rPr>
            </w:pPr>
          </w:p>
        </w:tc>
        <w:tc>
          <w:tcPr>
            <w:tcW w:w="2268" w:type="dxa"/>
            <w:shd w:val="clear" w:color="auto" w:fill="F2F2F2"/>
            <w:hideMark/>
          </w:tcPr>
          <w:p w14:paraId="14EC3AF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59FFEBC" w14:textId="77777777" w:rsidR="002A4DDF" w:rsidRPr="00937C8B" w:rsidRDefault="002A4DDF" w:rsidP="009110ED">
            <w:pPr>
              <w:rPr>
                <w:rFonts w:ascii="Arial" w:hAnsi="Arial" w:cs="Arial"/>
                <w:sz w:val="12"/>
                <w:szCs w:val="12"/>
              </w:rPr>
            </w:pPr>
            <w:r>
              <w:rPr>
                <w:rFonts w:ascii="Arial" w:hAnsi="Arial"/>
                <w:sz w:val="12"/>
                <w:szCs w:val="12"/>
              </w:rPr>
              <w:t>Jaraíz de la Vera</w:t>
            </w:r>
          </w:p>
        </w:tc>
      </w:tr>
      <w:tr w:rsidR="002A4DDF" w:rsidRPr="00937C8B" w14:paraId="60317C7B" w14:textId="77777777" w:rsidTr="00935676">
        <w:trPr>
          <w:cantSplit/>
        </w:trPr>
        <w:tc>
          <w:tcPr>
            <w:tcW w:w="1696" w:type="dxa"/>
            <w:tcBorders>
              <w:left w:val="single" w:sz="4" w:space="0" w:color="auto"/>
            </w:tcBorders>
            <w:shd w:val="clear" w:color="auto" w:fill="auto"/>
          </w:tcPr>
          <w:p w14:paraId="5BD662D1" w14:textId="77777777" w:rsidR="002A4DDF" w:rsidRPr="00937C8B" w:rsidRDefault="002A4DDF" w:rsidP="009110ED">
            <w:pPr>
              <w:rPr>
                <w:rFonts w:ascii="Arial" w:hAnsi="Arial" w:cs="Arial"/>
                <w:sz w:val="12"/>
                <w:szCs w:val="12"/>
              </w:rPr>
            </w:pPr>
          </w:p>
        </w:tc>
        <w:tc>
          <w:tcPr>
            <w:tcW w:w="1843" w:type="dxa"/>
            <w:shd w:val="clear" w:color="auto" w:fill="auto"/>
          </w:tcPr>
          <w:p w14:paraId="4A99C743" w14:textId="77777777" w:rsidR="002A4DDF" w:rsidRPr="00937C8B" w:rsidRDefault="002A4DDF" w:rsidP="009110ED">
            <w:pPr>
              <w:rPr>
                <w:rFonts w:ascii="Arial" w:hAnsi="Arial" w:cs="Arial"/>
                <w:sz w:val="12"/>
                <w:szCs w:val="12"/>
              </w:rPr>
            </w:pPr>
          </w:p>
        </w:tc>
        <w:tc>
          <w:tcPr>
            <w:tcW w:w="2268" w:type="dxa"/>
            <w:shd w:val="clear" w:color="auto" w:fill="F2F2F2"/>
            <w:hideMark/>
          </w:tcPr>
          <w:p w14:paraId="087E3F4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E4ECD93" w14:textId="77777777" w:rsidR="002A4DDF" w:rsidRPr="00937C8B" w:rsidRDefault="002A4DDF" w:rsidP="009110ED">
            <w:pPr>
              <w:rPr>
                <w:rFonts w:ascii="Arial" w:hAnsi="Arial" w:cs="Arial"/>
                <w:sz w:val="12"/>
                <w:szCs w:val="12"/>
              </w:rPr>
            </w:pPr>
            <w:r>
              <w:rPr>
                <w:rFonts w:ascii="Arial" w:hAnsi="Arial"/>
                <w:sz w:val="12"/>
                <w:szCs w:val="12"/>
              </w:rPr>
              <w:t>Jarandilla de la Vera</w:t>
            </w:r>
          </w:p>
        </w:tc>
      </w:tr>
      <w:tr w:rsidR="002A4DDF" w:rsidRPr="00937C8B" w14:paraId="7C0378A5" w14:textId="77777777" w:rsidTr="00935676">
        <w:trPr>
          <w:cantSplit/>
        </w:trPr>
        <w:tc>
          <w:tcPr>
            <w:tcW w:w="1696" w:type="dxa"/>
            <w:tcBorders>
              <w:left w:val="single" w:sz="4" w:space="0" w:color="auto"/>
            </w:tcBorders>
            <w:shd w:val="clear" w:color="auto" w:fill="auto"/>
          </w:tcPr>
          <w:p w14:paraId="65817317" w14:textId="77777777" w:rsidR="002A4DDF" w:rsidRPr="00937C8B" w:rsidRDefault="002A4DDF" w:rsidP="009110ED">
            <w:pPr>
              <w:rPr>
                <w:rFonts w:ascii="Arial" w:hAnsi="Arial" w:cs="Arial"/>
                <w:sz w:val="12"/>
                <w:szCs w:val="12"/>
              </w:rPr>
            </w:pPr>
          </w:p>
        </w:tc>
        <w:tc>
          <w:tcPr>
            <w:tcW w:w="1843" w:type="dxa"/>
            <w:shd w:val="clear" w:color="auto" w:fill="auto"/>
          </w:tcPr>
          <w:p w14:paraId="32293596" w14:textId="77777777" w:rsidR="002A4DDF" w:rsidRPr="00937C8B" w:rsidRDefault="002A4DDF" w:rsidP="009110ED">
            <w:pPr>
              <w:rPr>
                <w:rFonts w:ascii="Arial" w:hAnsi="Arial" w:cs="Arial"/>
                <w:sz w:val="12"/>
                <w:szCs w:val="12"/>
              </w:rPr>
            </w:pPr>
          </w:p>
        </w:tc>
        <w:tc>
          <w:tcPr>
            <w:tcW w:w="2268" w:type="dxa"/>
            <w:shd w:val="clear" w:color="auto" w:fill="F2F2F2"/>
            <w:hideMark/>
          </w:tcPr>
          <w:p w14:paraId="71F99B7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FCE64F3" w14:textId="77777777" w:rsidR="002A4DDF" w:rsidRPr="00937C8B" w:rsidRDefault="002A4DDF" w:rsidP="009110ED">
            <w:pPr>
              <w:rPr>
                <w:rFonts w:ascii="Arial" w:hAnsi="Arial" w:cs="Arial"/>
                <w:sz w:val="12"/>
                <w:szCs w:val="12"/>
              </w:rPr>
            </w:pPr>
            <w:r>
              <w:rPr>
                <w:rFonts w:ascii="Arial" w:hAnsi="Arial"/>
                <w:sz w:val="12"/>
                <w:szCs w:val="12"/>
              </w:rPr>
              <w:t>Jarilla</w:t>
            </w:r>
          </w:p>
        </w:tc>
      </w:tr>
      <w:tr w:rsidR="002A4DDF" w:rsidRPr="00937C8B" w14:paraId="119CAC8E" w14:textId="77777777" w:rsidTr="00935676">
        <w:trPr>
          <w:cantSplit/>
        </w:trPr>
        <w:tc>
          <w:tcPr>
            <w:tcW w:w="1696" w:type="dxa"/>
            <w:tcBorders>
              <w:left w:val="single" w:sz="4" w:space="0" w:color="auto"/>
            </w:tcBorders>
            <w:shd w:val="clear" w:color="auto" w:fill="auto"/>
          </w:tcPr>
          <w:p w14:paraId="2C383EE4" w14:textId="77777777" w:rsidR="002A4DDF" w:rsidRPr="00937C8B" w:rsidRDefault="002A4DDF" w:rsidP="009110ED">
            <w:pPr>
              <w:rPr>
                <w:rFonts w:ascii="Arial" w:hAnsi="Arial" w:cs="Arial"/>
                <w:sz w:val="12"/>
                <w:szCs w:val="12"/>
              </w:rPr>
            </w:pPr>
          </w:p>
        </w:tc>
        <w:tc>
          <w:tcPr>
            <w:tcW w:w="1843" w:type="dxa"/>
            <w:shd w:val="clear" w:color="auto" w:fill="auto"/>
          </w:tcPr>
          <w:p w14:paraId="04D16881" w14:textId="77777777" w:rsidR="002A4DDF" w:rsidRPr="00937C8B" w:rsidRDefault="002A4DDF" w:rsidP="009110ED">
            <w:pPr>
              <w:rPr>
                <w:rFonts w:ascii="Arial" w:hAnsi="Arial" w:cs="Arial"/>
                <w:sz w:val="12"/>
                <w:szCs w:val="12"/>
              </w:rPr>
            </w:pPr>
          </w:p>
        </w:tc>
        <w:tc>
          <w:tcPr>
            <w:tcW w:w="2268" w:type="dxa"/>
            <w:shd w:val="clear" w:color="auto" w:fill="F2F2F2"/>
            <w:hideMark/>
          </w:tcPr>
          <w:p w14:paraId="70A2CEC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0E30DFF" w14:textId="77777777" w:rsidR="002A4DDF" w:rsidRPr="00937C8B" w:rsidRDefault="002A4DDF" w:rsidP="009110ED">
            <w:pPr>
              <w:rPr>
                <w:rFonts w:ascii="Arial" w:hAnsi="Arial" w:cs="Arial"/>
                <w:sz w:val="12"/>
                <w:szCs w:val="12"/>
              </w:rPr>
            </w:pPr>
            <w:r>
              <w:rPr>
                <w:rFonts w:ascii="Arial" w:hAnsi="Arial"/>
                <w:sz w:val="12"/>
                <w:szCs w:val="12"/>
              </w:rPr>
              <w:t>Jerte</w:t>
            </w:r>
          </w:p>
        </w:tc>
      </w:tr>
      <w:tr w:rsidR="002A4DDF" w:rsidRPr="00937C8B" w14:paraId="10333124" w14:textId="77777777" w:rsidTr="00935676">
        <w:trPr>
          <w:cantSplit/>
        </w:trPr>
        <w:tc>
          <w:tcPr>
            <w:tcW w:w="1696" w:type="dxa"/>
            <w:tcBorders>
              <w:left w:val="single" w:sz="4" w:space="0" w:color="auto"/>
            </w:tcBorders>
            <w:shd w:val="clear" w:color="auto" w:fill="auto"/>
          </w:tcPr>
          <w:p w14:paraId="429490E9" w14:textId="77777777" w:rsidR="002A4DDF" w:rsidRPr="00937C8B" w:rsidRDefault="002A4DDF" w:rsidP="009110ED">
            <w:pPr>
              <w:rPr>
                <w:rFonts w:ascii="Arial" w:hAnsi="Arial" w:cs="Arial"/>
                <w:sz w:val="12"/>
                <w:szCs w:val="12"/>
              </w:rPr>
            </w:pPr>
          </w:p>
        </w:tc>
        <w:tc>
          <w:tcPr>
            <w:tcW w:w="1843" w:type="dxa"/>
            <w:shd w:val="clear" w:color="auto" w:fill="auto"/>
          </w:tcPr>
          <w:p w14:paraId="588825DE" w14:textId="77777777" w:rsidR="002A4DDF" w:rsidRPr="00937C8B" w:rsidRDefault="002A4DDF" w:rsidP="009110ED">
            <w:pPr>
              <w:rPr>
                <w:rFonts w:ascii="Arial" w:hAnsi="Arial" w:cs="Arial"/>
                <w:sz w:val="12"/>
                <w:szCs w:val="12"/>
              </w:rPr>
            </w:pPr>
          </w:p>
        </w:tc>
        <w:tc>
          <w:tcPr>
            <w:tcW w:w="2268" w:type="dxa"/>
            <w:shd w:val="clear" w:color="auto" w:fill="F2F2F2"/>
            <w:hideMark/>
          </w:tcPr>
          <w:p w14:paraId="7A218CB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42024DD" w14:textId="77777777" w:rsidR="002A4DDF" w:rsidRPr="00937C8B" w:rsidRDefault="002A4DDF" w:rsidP="009110ED">
            <w:pPr>
              <w:rPr>
                <w:rFonts w:ascii="Arial" w:hAnsi="Arial" w:cs="Arial"/>
                <w:sz w:val="12"/>
                <w:szCs w:val="12"/>
              </w:rPr>
            </w:pPr>
            <w:r>
              <w:rPr>
                <w:rFonts w:ascii="Arial" w:hAnsi="Arial"/>
                <w:sz w:val="12"/>
                <w:szCs w:val="12"/>
              </w:rPr>
              <w:t>La Aldea del Obispo</w:t>
            </w:r>
          </w:p>
        </w:tc>
      </w:tr>
      <w:tr w:rsidR="002A4DDF" w:rsidRPr="00937C8B" w14:paraId="733BA1C7" w14:textId="77777777" w:rsidTr="00935676">
        <w:trPr>
          <w:cantSplit/>
        </w:trPr>
        <w:tc>
          <w:tcPr>
            <w:tcW w:w="1696" w:type="dxa"/>
            <w:tcBorders>
              <w:left w:val="single" w:sz="4" w:space="0" w:color="auto"/>
            </w:tcBorders>
            <w:shd w:val="clear" w:color="auto" w:fill="auto"/>
          </w:tcPr>
          <w:p w14:paraId="16F0F97D" w14:textId="77777777" w:rsidR="002A4DDF" w:rsidRPr="00937C8B" w:rsidRDefault="002A4DDF" w:rsidP="009110ED">
            <w:pPr>
              <w:rPr>
                <w:rFonts w:ascii="Arial" w:hAnsi="Arial" w:cs="Arial"/>
                <w:sz w:val="12"/>
                <w:szCs w:val="12"/>
              </w:rPr>
            </w:pPr>
          </w:p>
        </w:tc>
        <w:tc>
          <w:tcPr>
            <w:tcW w:w="1843" w:type="dxa"/>
            <w:shd w:val="clear" w:color="auto" w:fill="auto"/>
          </w:tcPr>
          <w:p w14:paraId="359FE7DC" w14:textId="77777777" w:rsidR="002A4DDF" w:rsidRPr="00937C8B" w:rsidRDefault="002A4DDF" w:rsidP="009110ED">
            <w:pPr>
              <w:rPr>
                <w:rFonts w:ascii="Arial" w:hAnsi="Arial" w:cs="Arial"/>
                <w:sz w:val="12"/>
                <w:szCs w:val="12"/>
              </w:rPr>
            </w:pPr>
          </w:p>
        </w:tc>
        <w:tc>
          <w:tcPr>
            <w:tcW w:w="2268" w:type="dxa"/>
            <w:shd w:val="clear" w:color="auto" w:fill="F2F2F2"/>
            <w:hideMark/>
          </w:tcPr>
          <w:p w14:paraId="528EA64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58DFD4F" w14:textId="77777777" w:rsidR="002A4DDF" w:rsidRPr="00937C8B" w:rsidRDefault="002A4DDF" w:rsidP="009110ED">
            <w:pPr>
              <w:rPr>
                <w:rFonts w:ascii="Arial" w:hAnsi="Arial" w:cs="Arial"/>
                <w:sz w:val="12"/>
                <w:szCs w:val="12"/>
              </w:rPr>
            </w:pPr>
            <w:r>
              <w:rPr>
                <w:rFonts w:ascii="Arial" w:hAnsi="Arial"/>
                <w:sz w:val="12"/>
                <w:szCs w:val="12"/>
              </w:rPr>
              <w:t>La Cumbre</w:t>
            </w:r>
          </w:p>
        </w:tc>
      </w:tr>
      <w:tr w:rsidR="002A4DDF" w:rsidRPr="00937C8B" w14:paraId="520CF136" w14:textId="77777777" w:rsidTr="00935676">
        <w:trPr>
          <w:cantSplit/>
        </w:trPr>
        <w:tc>
          <w:tcPr>
            <w:tcW w:w="1696" w:type="dxa"/>
            <w:tcBorders>
              <w:left w:val="single" w:sz="4" w:space="0" w:color="auto"/>
            </w:tcBorders>
            <w:shd w:val="clear" w:color="auto" w:fill="auto"/>
          </w:tcPr>
          <w:p w14:paraId="51BA4694" w14:textId="77777777" w:rsidR="002A4DDF" w:rsidRPr="00937C8B" w:rsidRDefault="002A4DDF" w:rsidP="009110ED">
            <w:pPr>
              <w:rPr>
                <w:rFonts w:ascii="Arial" w:hAnsi="Arial" w:cs="Arial"/>
                <w:sz w:val="12"/>
                <w:szCs w:val="12"/>
              </w:rPr>
            </w:pPr>
          </w:p>
        </w:tc>
        <w:tc>
          <w:tcPr>
            <w:tcW w:w="1843" w:type="dxa"/>
            <w:shd w:val="clear" w:color="auto" w:fill="auto"/>
          </w:tcPr>
          <w:p w14:paraId="72327C32" w14:textId="77777777" w:rsidR="002A4DDF" w:rsidRPr="00937C8B" w:rsidRDefault="002A4DDF" w:rsidP="009110ED">
            <w:pPr>
              <w:rPr>
                <w:rFonts w:ascii="Arial" w:hAnsi="Arial" w:cs="Arial"/>
                <w:sz w:val="12"/>
                <w:szCs w:val="12"/>
              </w:rPr>
            </w:pPr>
          </w:p>
        </w:tc>
        <w:tc>
          <w:tcPr>
            <w:tcW w:w="2268" w:type="dxa"/>
            <w:shd w:val="clear" w:color="auto" w:fill="F2F2F2"/>
            <w:hideMark/>
          </w:tcPr>
          <w:p w14:paraId="15D3819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E1FB919" w14:textId="77777777" w:rsidR="002A4DDF" w:rsidRPr="00937C8B" w:rsidRDefault="002A4DDF" w:rsidP="009110ED">
            <w:pPr>
              <w:rPr>
                <w:rFonts w:ascii="Arial" w:hAnsi="Arial" w:cs="Arial"/>
                <w:sz w:val="12"/>
                <w:szCs w:val="12"/>
              </w:rPr>
            </w:pPr>
            <w:r>
              <w:rPr>
                <w:rFonts w:ascii="Arial" w:hAnsi="Arial"/>
                <w:sz w:val="12"/>
                <w:szCs w:val="12"/>
              </w:rPr>
              <w:t>La Garganta</w:t>
            </w:r>
          </w:p>
        </w:tc>
      </w:tr>
      <w:tr w:rsidR="002A4DDF" w:rsidRPr="00937C8B" w14:paraId="5E3EB029" w14:textId="77777777" w:rsidTr="00935676">
        <w:trPr>
          <w:cantSplit/>
        </w:trPr>
        <w:tc>
          <w:tcPr>
            <w:tcW w:w="1696" w:type="dxa"/>
            <w:tcBorders>
              <w:left w:val="single" w:sz="4" w:space="0" w:color="auto"/>
            </w:tcBorders>
            <w:shd w:val="clear" w:color="auto" w:fill="auto"/>
          </w:tcPr>
          <w:p w14:paraId="558E8BA5" w14:textId="77777777" w:rsidR="002A4DDF" w:rsidRPr="00937C8B" w:rsidRDefault="002A4DDF" w:rsidP="009110ED">
            <w:pPr>
              <w:rPr>
                <w:rFonts w:ascii="Arial" w:hAnsi="Arial" w:cs="Arial"/>
                <w:sz w:val="12"/>
                <w:szCs w:val="12"/>
              </w:rPr>
            </w:pPr>
          </w:p>
        </w:tc>
        <w:tc>
          <w:tcPr>
            <w:tcW w:w="1843" w:type="dxa"/>
            <w:shd w:val="clear" w:color="auto" w:fill="auto"/>
          </w:tcPr>
          <w:p w14:paraId="5890096A" w14:textId="77777777" w:rsidR="002A4DDF" w:rsidRPr="00937C8B" w:rsidRDefault="002A4DDF" w:rsidP="009110ED">
            <w:pPr>
              <w:rPr>
                <w:rFonts w:ascii="Arial" w:hAnsi="Arial" w:cs="Arial"/>
                <w:sz w:val="12"/>
                <w:szCs w:val="12"/>
              </w:rPr>
            </w:pPr>
          </w:p>
        </w:tc>
        <w:tc>
          <w:tcPr>
            <w:tcW w:w="2268" w:type="dxa"/>
            <w:shd w:val="clear" w:color="auto" w:fill="F2F2F2"/>
            <w:hideMark/>
          </w:tcPr>
          <w:p w14:paraId="28C6047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FA73F92" w14:textId="77777777" w:rsidR="002A4DDF" w:rsidRPr="00937C8B" w:rsidRDefault="002A4DDF" w:rsidP="009110ED">
            <w:pPr>
              <w:rPr>
                <w:rFonts w:ascii="Arial" w:hAnsi="Arial" w:cs="Arial"/>
                <w:sz w:val="12"/>
                <w:szCs w:val="12"/>
              </w:rPr>
            </w:pPr>
            <w:r>
              <w:rPr>
                <w:rFonts w:ascii="Arial" w:hAnsi="Arial"/>
                <w:sz w:val="12"/>
                <w:szCs w:val="12"/>
              </w:rPr>
              <w:t>La Pesga</w:t>
            </w:r>
          </w:p>
        </w:tc>
      </w:tr>
      <w:tr w:rsidR="002A4DDF" w:rsidRPr="00937C8B" w14:paraId="0AAB1F7B" w14:textId="77777777" w:rsidTr="00935676">
        <w:trPr>
          <w:cantSplit/>
        </w:trPr>
        <w:tc>
          <w:tcPr>
            <w:tcW w:w="1696" w:type="dxa"/>
            <w:tcBorders>
              <w:left w:val="single" w:sz="4" w:space="0" w:color="auto"/>
            </w:tcBorders>
            <w:shd w:val="clear" w:color="auto" w:fill="auto"/>
          </w:tcPr>
          <w:p w14:paraId="25F8F2DB" w14:textId="77777777" w:rsidR="002A4DDF" w:rsidRPr="00937C8B" w:rsidRDefault="002A4DDF" w:rsidP="009110ED">
            <w:pPr>
              <w:rPr>
                <w:rFonts w:ascii="Arial" w:hAnsi="Arial" w:cs="Arial"/>
                <w:sz w:val="12"/>
                <w:szCs w:val="12"/>
              </w:rPr>
            </w:pPr>
          </w:p>
        </w:tc>
        <w:tc>
          <w:tcPr>
            <w:tcW w:w="1843" w:type="dxa"/>
            <w:shd w:val="clear" w:color="auto" w:fill="auto"/>
          </w:tcPr>
          <w:p w14:paraId="5A898CDB" w14:textId="77777777" w:rsidR="002A4DDF" w:rsidRPr="00937C8B" w:rsidRDefault="002A4DDF" w:rsidP="009110ED">
            <w:pPr>
              <w:rPr>
                <w:rFonts w:ascii="Arial" w:hAnsi="Arial" w:cs="Arial"/>
                <w:sz w:val="12"/>
                <w:szCs w:val="12"/>
              </w:rPr>
            </w:pPr>
          </w:p>
        </w:tc>
        <w:tc>
          <w:tcPr>
            <w:tcW w:w="2268" w:type="dxa"/>
            <w:shd w:val="clear" w:color="auto" w:fill="F2F2F2"/>
            <w:hideMark/>
          </w:tcPr>
          <w:p w14:paraId="69ED8A7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8E6006C" w14:textId="77777777" w:rsidR="002A4DDF" w:rsidRPr="00937C8B" w:rsidRDefault="002A4DDF" w:rsidP="009110ED">
            <w:pPr>
              <w:rPr>
                <w:rFonts w:ascii="Arial" w:hAnsi="Arial" w:cs="Arial"/>
                <w:sz w:val="12"/>
                <w:szCs w:val="12"/>
              </w:rPr>
            </w:pPr>
            <w:r>
              <w:rPr>
                <w:rFonts w:ascii="Arial" w:hAnsi="Arial"/>
                <w:sz w:val="12"/>
                <w:szCs w:val="12"/>
              </w:rPr>
              <w:t>Ladrillar</w:t>
            </w:r>
          </w:p>
        </w:tc>
      </w:tr>
      <w:tr w:rsidR="002A4DDF" w:rsidRPr="00937C8B" w14:paraId="65BA547D" w14:textId="77777777" w:rsidTr="00935676">
        <w:trPr>
          <w:cantSplit/>
        </w:trPr>
        <w:tc>
          <w:tcPr>
            <w:tcW w:w="1696" w:type="dxa"/>
            <w:tcBorders>
              <w:left w:val="single" w:sz="4" w:space="0" w:color="auto"/>
            </w:tcBorders>
            <w:shd w:val="clear" w:color="auto" w:fill="auto"/>
          </w:tcPr>
          <w:p w14:paraId="61E368E7" w14:textId="77777777" w:rsidR="002A4DDF" w:rsidRPr="00937C8B" w:rsidRDefault="002A4DDF" w:rsidP="009110ED">
            <w:pPr>
              <w:rPr>
                <w:rFonts w:ascii="Arial" w:hAnsi="Arial" w:cs="Arial"/>
                <w:sz w:val="12"/>
                <w:szCs w:val="12"/>
              </w:rPr>
            </w:pPr>
          </w:p>
        </w:tc>
        <w:tc>
          <w:tcPr>
            <w:tcW w:w="1843" w:type="dxa"/>
            <w:shd w:val="clear" w:color="auto" w:fill="auto"/>
          </w:tcPr>
          <w:p w14:paraId="6C3C6119" w14:textId="77777777" w:rsidR="002A4DDF" w:rsidRPr="00937C8B" w:rsidRDefault="002A4DDF" w:rsidP="009110ED">
            <w:pPr>
              <w:rPr>
                <w:rFonts w:ascii="Arial" w:hAnsi="Arial" w:cs="Arial"/>
                <w:sz w:val="12"/>
                <w:szCs w:val="12"/>
              </w:rPr>
            </w:pPr>
          </w:p>
        </w:tc>
        <w:tc>
          <w:tcPr>
            <w:tcW w:w="2268" w:type="dxa"/>
            <w:shd w:val="clear" w:color="auto" w:fill="F2F2F2"/>
            <w:hideMark/>
          </w:tcPr>
          <w:p w14:paraId="6365ED9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858E79D" w14:textId="77777777" w:rsidR="002A4DDF" w:rsidRPr="00937C8B" w:rsidRDefault="002A4DDF" w:rsidP="009110ED">
            <w:pPr>
              <w:rPr>
                <w:rFonts w:ascii="Arial" w:hAnsi="Arial" w:cs="Arial"/>
                <w:sz w:val="12"/>
                <w:szCs w:val="12"/>
              </w:rPr>
            </w:pPr>
            <w:r>
              <w:rPr>
                <w:rFonts w:ascii="Arial" w:hAnsi="Arial"/>
                <w:sz w:val="12"/>
                <w:szCs w:val="12"/>
              </w:rPr>
              <w:t>Logrosán</w:t>
            </w:r>
          </w:p>
        </w:tc>
      </w:tr>
      <w:tr w:rsidR="002A4DDF" w:rsidRPr="00937C8B" w14:paraId="52BCC19F" w14:textId="77777777" w:rsidTr="00935676">
        <w:trPr>
          <w:cantSplit/>
        </w:trPr>
        <w:tc>
          <w:tcPr>
            <w:tcW w:w="1696" w:type="dxa"/>
            <w:tcBorders>
              <w:left w:val="single" w:sz="4" w:space="0" w:color="auto"/>
            </w:tcBorders>
            <w:shd w:val="clear" w:color="auto" w:fill="auto"/>
          </w:tcPr>
          <w:p w14:paraId="3848332D" w14:textId="77777777" w:rsidR="002A4DDF" w:rsidRPr="00937C8B" w:rsidRDefault="002A4DDF" w:rsidP="009110ED">
            <w:pPr>
              <w:rPr>
                <w:rFonts w:ascii="Arial" w:hAnsi="Arial" w:cs="Arial"/>
                <w:sz w:val="12"/>
                <w:szCs w:val="12"/>
              </w:rPr>
            </w:pPr>
          </w:p>
        </w:tc>
        <w:tc>
          <w:tcPr>
            <w:tcW w:w="1843" w:type="dxa"/>
            <w:shd w:val="clear" w:color="auto" w:fill="auto"/>
          </w:tcPr>
          <w:p w14:paraId="44E0112D" w14:textId="77777777" w:rsidR="002A4DDF" w:rsidRPr="00937C8B" w:rsidRDefault="002A4DDF" w:rsidP="009110ED">
            <w:pPr>
              <w:rPr>
                <w:rFonts w:ascii="Arial" w:hAnsi="Arial" w:cs="Arial"/>
                <w:sz w:val="12"/>
                <w:szCs w:val="12"/>
              </w:rPr>
            </w:pPr>
          </w:p>
        </w:tc>
        <w:tc>
          <w:tcPr>
            <w:tcW w:w="2268" w:type="dxa"/>
            <w:shd w:val="clear" w:color="auto" w:fill="F2F2F2"/>
            <w:hideMark/>
          </w:tcPr>
          <w:p w14:paraId="62FFBE4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8342003" w14:textId="77777777" w:rsidR="002A4DDF" w:rsidRPr="00937C8B" w:rsidRDefault="002A4DDF" w:rsidP="009110ED">
            <w:pPr>
              <w:rPr>
                <w:rFonts w:ascii="Arial" w:hAnsi="Arial" w:cs="Arial"/>
                <w:sz w:val="12"/>
                <w:szCs w:val="12"/>
              </w:rPr>
            </w:pPr>
            <w:r>
              <w:rPr>
                <w:rFonts w:ascii="Arial" w:hAnsi="Arial"/>
                <w:sz w:val="12"/>
                <w:szCs w:val="12"/>
              </w:rPr>
              <w:t>Losar de la Vera</w:t>
            </w:r>
          </w:p>
        </w:tc>
      </w:tr>
      <w:tr w:rsidR="002A4DDF" w:rsidRPr="00937C8B" w14:paraId="3523056B" w14:textId="77777777" w:rsidTr="00935676">
        <w:trPr>
          <w:cantSplit/>
        </w:trPr>
        <w:tc>
          <w:tcPr>
            <w:tcW w:w="1696" w:type="dxa"/>
            <w:tcBorders>
              <w:left w:val="single" w:sz="4" w:space="0" w:color="auto"/>
            </w:tcBorders>
            <w:shd w:val="clear" w:color="auto" w:fill="auto"/>
          </w:tcPr>
          <w:p w14:paraId="2E5CC2E2" w14:textId="77777777" w:rsidR="002A4DDF" w:rsidRPr="00937C8B" w:rsidRDefault="002A4DDF" w:rsidP="009110ED">
            <w:pPr>
              <w:rPr>
                <w:rFonts w:ascii="Arial" w:hAnsi="Arial" w:cs="Arial"/>
                <w:sz w:val="12"/>
                <w:szCs w:val="12"/>
              </w:rPr>
            </w:pPr>
          </w:p>
        </w:tc>
        <w:tc>
          <w:tcPr>
            <w:tcW w:w="1843" w:type="dxa"/>
            <w:shd w:val="clear" w:color="auto" w:fill="auto"/>
          </w:tcPr>
          <w:p w14:paraId="37AD34F0" w14:textId="77777777" w:rsidR="002A4DDF" w:rsidRPr="00937C8B" w:rsidRDefault="002A4DDF" w:rsidP="009110ED">
            <w:pPr>
              <w:rPr>
                <w:rFonts w:ascii="Arial" w:hAnsi="Arial" w:cs="Arial"/>
                <w:sz w:val="12"/>
                <w:szCs w:val="12"/>
              </w:rPr>
            </w:pPr>
          </w:p>
        </w:tc>
        <w:tc>
          <w:tcPr>
            <w:tcW w:w="2268" w:type="dxa"/>
            <w:shd w:val="clear" w:color="auto" w:fill="F2F2F2"/>
            <w:hideMark/>
          </w:tcPr>
          <w:p w14:paraId="0AD4B70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D7F3BBA" w14:textId="77777777" w:rsidR="002A4DDF" w:rsidRPr="00937C8B" w:rsidRDefault="002A4DDF" w:rsidP="009110ED">
            <w:pPr>
              <w:rPr>
                <w:rFonts w:ascii="Arial" w:hAnsi="Arial" w:cs="Arial"/>
                <w:sz w:val="12"/>
                <w:szCs w:val="12"/>
              </w:rPr>
            </w:pPr>
            <w:r>
              <w:rPr>
                <w:rFonts w:ascii="Arial" w:hAnsi="Arial"/>
                <w:sz w:val="12"/>
                <w:szCs w:val="12"/>
              </w:rPr>
              <w:t>Madroñera</w:t>
            </w:r>
          </w:p>
        </w:tc>
      </w:tr>
      <w:tr w:rsidR="002A4DDF" w:rsidRPr="00937C8B" w14:paraId="6E676CE7" w14:textId="77777777" w:rsidTr="00935676">
        <w:trPr>
          <w:cantSplit/>
        </w:trPr>
        <w:tc>
          <w:tcPr>
            <w:tcW w:w="1696" w:type="dxa"/>
            <w:tcBorders>
              <w:left w:val="single" w:sz="4" w:space="0" w:color="auto"/>
            </w:tcBorders>
            <w:shd w:val="clear" w:color="auto" w:fill="auto"/>
          </w:tcPr>
          <w:p w14:paraId="1B93B237" w14:textId="77777777" w:rsidR="002A4DDF" w:rsidRPr="00937C8B" w:rsidRDefault="002A4DDF" w:rsidP="009110ED">
            <w:pPr>
              <w:rPr>
                <w:rFonts w:ascii="Arial" w:hAnsi="Arial" w:cs="Arial"/>
                <w:sz w:val="12"/>
                <w:szCs w:val="12"/>
              </w:rPr>
            </w:pPr>
          </w:p>
        </w:tc>
        <w:tc>
          <w:tcPr>
            <w:tcW w:w="1843" w:type="dxa"/>
            <w:shd w:val="clear" w:color="auto" w:fill="auto"/>
          </w:tcPr>
          <w:p w14:paraId="0C28A161" w14:textId="77777777" w:rsidR="002A4DDF" w:rsidRPr="00937C8B" w:rsidRDefault="002A4DDF" w:rsidP="009110ED">
            <w:pPr>
              <w:rPr>
                <w:rFonts w:ascii="Arial" w:hAnsi="Arial" w:cs="Arial"/>
                <w:sz w:val="12"/>
                <w:szCs w:val="12"/>
              </w:rPr>
            </w:pPr>
          </w:p>
        </w:tc>
        <w:tc>
          <w:tcPr>
            <w:tcW w:w="2268" w:type="dxa"/>
            <w:shd w:val="clear" w:color="auto" w:fill="F2F2F2"/>
            <w:hideMark/>
          </w:tcPr>
          <w:p w14:paraId="0DC3BEF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981AA1A" w14:textId="77777777" w:rsidR="002A4DDF" w:rsidRPr="00937C8B" w:rsidRDefault="002A4DDF" w:rsidP="009110ED">
            <w:pPr>
              <w:rPr>
                <w:rFonts w:ascii="Arial" w:hAnsi="Arial" w:cs="Arial"/>
                <w:sz w:val="12"/>
                <w:szCs w:val="12"/>
              </w:rPr>
            </w:pPr>
            <w:r>
              <w:rPr>
                <w:rFonts w:ascii="Arial" w:hAnsi="Arial"/>
                <w:sz w:val="12"/>
                <w:szCs w:val="12"/>
              </w:rPr>
              <w:t>Malpartida de Cáceres</w:t>
            </w:r>
          </w:p>
        </w:tc>
      </w:tr>
      <w:tr w:rsidR="002A4DDF" w:rsidRPr="00937C8B" w14:paraId="18AFCB71" w14:textId="77777777" w:rsidTr="00935676">
        <w:trPr>
          <w:cantSplit/>
        </w:trPr>
        <w:tc>
          <w:tcPr>
            <w:tcW w:w="1696" w:type="dxa"/>
            <w:tcBorders>
              <w:left w:val="single" w:sz="4" w:space="0" w:color="auto"/>
            </w:tcBorders>
            <w:shd w:val="clear" w:color="auto" w:fill="auto"/>
          </w:tcPr>
          <w:p w14:paraId="10C9C25F" w14:textId="77777777" w:rsidR="002A4DDF" w:rsidRPr="00937C8B" w:rsidRDefault="002A4DDF" w:rsidP="009110ED">
            <w:pPr>
              <w:rPr>
                <w:rFonts w:ascii="Arial" w:hAnsi="Arial" w:cs="Arial"/>
                <w:sz w:val="12"/>
                <w:szCs w:val="12"/>
              </w:rPr>
            </w:pPr>
          </w:p>
        </w:tc>
        <w:tc>
          <w:tcPr>
            <w:tcW w:w="1843" w:type="dxa"/>
            <w:shd w:val="clear" w:color="auto" w:fill="auto"/>
          </w:tcPr>
          <w:p w14:paraId="27327215" w14:textId="77777777" w:rsidR="002A4DDF" w:rsidRPr="00937C8B" w:rsidRDefault="002A4DDF" w:rsidP="009110ED">
            <w:pPr>
              <w:rPr>
                <w:rFonts w:ascii="Arial" w:hAnsi="Arial" w:cs="Arial"/>
                <w:sz w:val="12"/>
                <w:szCs w:val="12"/>
              </w:rPr>
            </w:pPr>
          </w:p>
        </w:tc>
        <w:tc>
          <w:tcPr>
            <w:tcW w:w="2268" w:type="dxa"/>
            <w:shd w:val="clear" w:color="auto" w:fill="F2F2F2"/>
            <w:hideMark/>
          </w:tcPr>
          <w:p w14:paraId="554F529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F2139B5" w14:textId="77777777" w:rsidR="002A4DDF" w:rsidRPr="00937C8B" w:rsidRDefault="002A4DDF" w:rsidP="009110ED">
            <w:pPr>
              <w:rPr>
                <w:rFonts w:ascii="Arial" w:hAnsi="Arial" w:cs="Arial"/>
                <w:sz w:val="12"/>
                <w:szCs w:val="12"/>
              </w:rPr>
            </w:pPr>
            <w:r>
              <w:rPr>
                <w:rFonts w:ascii="Arial" w:hAnsi="Arial"/>
                <w:sz w:val="12"/>
                <w:szCs w:val="12"/>
              </w:rPr>
              <w:t>Malpartida de Plasencia</w:t>
            </w:r>
          </w:p>
        </w:tc>
      </w:tr>
      <w:tr w:rsidR="002A4DDF" w:rsidRPr="00937C8B" w14:paraId="6155B692" w14:textId="77777777" w:rsidTr="00935676">
        <w:trPr>
          <w:cantSplit/>
        </w:trPr>
        <w:tc>
          <w:tcPr>
            <w:tcW w:w="1696" w:type="dxa"/>
            <w:tcBorders>
              <w:left w:val="single" w:sz="4" w:space="0" w:color="auto"/>
            </w:tcBorders>
            <w:shd w:val="clear" w:color="auto" w:fill="auto"/>
          </w:tcPr>
          <w:p w14:paraId="2B1C7D1A" w14:textId="77777777" w:rsidR="002A4DDF" w:rsidRPr="00937C8B" w:rsidRDefault="002A4DDF" w:rsidP="009110ED">
            <w:pPr>
              <w:rPr>
                <w:rFonts w:ascii="Arial" w:hAnsi="Arial" w:cs="Arial"/>
                <w:sz w:val="12"/>
                <w:szCs w:val="12"/>
              </w:rPr>
            </w:pPr>
          </w:p>
        </w:tc>
        <w:tc>
          <w:tcPr>
            <w:tcW w:w="1843" w:type="dxa"/>
            <w:shd w:val="clear" w:color="auto" w:fill="auto"/>
          </w:tcPr>
          <w:p w14:paraId="7EF81A1F" w14:textId="77777777" w:rsidR="002A4DDF" w:rsidRPr="00937C8B" w:rsidRDefault="002A4DDF" w:rsidP="009110ED">
            <w:pPr>
              <w:rPr>
                <w:rFonts w:ascii="Arial" w:hAnsi="Arial" w:cs="Arial"/>
                <w:sz w:val="12"/>
                <w:szCs w:val="12"/>
              </w:rPr>
            </w:pPr>
          </w:p>
        </w:tc>
        <w:tc>
          <w:tcPr>
            <w:tcW w:w="2268" w:type="dxa"/>
            <w:shd w:val="clear" w:color="auto" w:fill="F2F2F2"/>
            <w:hideMark/>
          </w:tcPr>
          <w:p w14:paraId="0F0F02A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DE4E5EE" w14:textId="77777777" w:rsidR="002A4DDF" w:rsidRPr="00937C8B" w:rsidRDefault="002A4DDF" w:rsidP="009110ED">
            <w:pPr>
              <w:rPr>
                <w:rFonts w:ascii="Arial" w:hAnsi="Arial" w:cs="Arial"/>
                <w:sz w:val="12"/>
                <w:szCs w:val="12"/>
              </w:rPr>
            </w:pPr>
            <w:r>
              <w:rPr>
                <w:rFonts w:ascii="Arial" w:hAnsi="Arial"/>
                <w:sz w:val="12"/>
                <w:szCs w:val="12"/>
              </w:rPr>
              <w:t>Marchagaz</w:t>
            </w:r>
          </w:p>
        </w:tc>
      </w:tr>
      <w:tr w:rsidR="002A4DDF" w:rsidRPr="00937C8B" w14:paraId="00F9CAB4" w14:textId="77777777" w:rsidTr="00935676">
        <w:trPr>
          <w:cantSplit/>
        </w:trPr>
        <w:tc>
          <w:tcPr>
            <w:tcW w:w="1696" w:type="dxa"/>
            <w:tcBorders>
              <w:left w:val="single" w:sz="4" w:space="0" w:color="auto"/>
            </w:tcBorders>
            <w:shd w:val="clear" w:color="auto" w:fill="auto"/>
          </w:tcPr>
          <w:p w14:paraId="3049FA72" w14:textId="77777777" w:rsidR="002A4DDF" w:rsidRPr="00937C8B" w:rsidRDefault="002A4DDF" w:rsidP="009110ED">
            <w:pPr>
              <w:rPr>
                <w:rFonts w:ascii="Arial" w:hAnsi="Arial" w:cs="Arial"/>
                <w:sz w:val="12"/>
                <w:szCs w:val="12"/>
              </w:rPr>
            </w:pPr>
          </w:p>
        </w:tc>
        <w:tc>
          <w:tcPr>
            <w:tcW w:w="1843" w:type="dxa"/>
            <w:shd w:val="clear" w:color="auto" w:fill="auto"/>
          </w:tcPr>
          <w:p w14:paraId="2119C779" w14:textId="77777777" w:rsidR="002A4DDF" w:rsidRPr="00937C8B" w:rsidRDefault="002A4DDF" w:rsidP="009110ED">
            <w:pPr>
              <w:rPr>
                <w:rFonts w:ascii="Arial" w:hAnsi="Arial" w:cs="Arial"/>
                <w:sz w:val="12"/>
                <w:szCs w:val="12"/>
              </w:rPr>
            </w:pPr>
          </w:p>
        </w:tc>
        <w:tc>
          <w:tcPr>
            <w:tcW w:w="2268" w:type="dxa"/>
            <w:shd w:val="clear" w:color="auto" w:fill="F2F2F2"/>
            <w:hideMark/>
          </w:tcPr>
          <w:p w14:paraId="7506418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C0D9AD6" w14:textId="77777777" w:rsidR="002A4DDF" w:rsidRPr="00937C8B" w:rsidRDefault="002A4DDF" w:rsidP="009110ED">
            <w:pPr>
              <w:rPr>
                <w:rFonts w:ascii="Arial" w:hAnsi="Arial" w:cs="Arial"/>
                <w:sz w:val="12"/>
                <w:szCs w:val="12"/>
              </w:rPr>
            </w:pPr>
            <w:r>
              <w:rPr>
                <w:rFonts w:ascii="Arial" w:hAnsi="Arial"/>
                <w:sz w:val="12"/>
                <w:szCs w:val="12"/>
              </w:rPr>
              <w:t>Mata de Alcántara</w:t>
            </w:r>
          </w:p>
        </w:tc>
      </w:tr>
      <w:tr w:rsidR="002A4DDF" w:rsidRPr="00937C8B" w14:paraId="0E3AB5F5" w14:textId="77777777" w:rsidTr="00935676">
        <w:trPr>
          <w:cantSplit/>
        </w:trPr>
        <w:tc>
          <w:tcPr>
            <w:tcW w:w="1696" w:type="dxa"/>
            <w:tcBorders>
              <w:left w:val="single" w:sz="4" w:space="0" w:color="auto"/>
            </w:tcBorders>
            <w:shd w:val="clear" w:color="auto" w:fill="auto"/>
          </w:tcPr>
          <w:p w14:paraId="09E20F65" w14:textId="77777777" w:rsidR="002A4DDF" w:rsidRPr="00937C8B" w:rsidRDefault="002A4DDF" w:rsidP="009110ED">
            <w:pPr>
              <w:rPr>
                <w:rFonts w:ascii="Arial" w:hAnsi="Arial" w:cs="Arial"/>
                <w:sz w:val="12"/>
                <w:szCs w:val="12"/>
              </w:rPr>
            </w:pPr>
          </w:p>
        </w:tc>
        <w:tc>
          <w:tcPr>
            <w:tcW w:w="1843" w:type="dxa"/>
            <w:shd w:val="clear" w:color="auto" w:fill="auto"/>
          </w:tcPr>
          <w:p w14:paraId="40754B6B" w14:textId="77777777" w:rsidR="002A4DDF" w:rsidRPr="00937C8B" w:rsidRDefault="002A4DDF" w:rsidP="009110ED">
            <w:pPr>
              <w:rPr>
                <w:rFonts w:ascii="Arial" w:hAnsi="Arial" w:cs="Arial"/>
                <w:sz w:val="12"/>
                <w:szCs w:val="12"/>
              </w:rPr>
            </w:pPr>
          </w:p>
        </w:tc>
        <w:tc>
          <w:tcPr>
            <w:tcW w:w="2268" w:type="dxa"/>
            <w:shd w:val="clear" w:color="auto" w:fill="F2F2F2"/>
            <w:hideMark/>
          </w:tcPr>
          <w:p w14:paraId="6EDB0FE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4FE6377" w14:textId="77777777" w:rsidR="002A4DDF" w:rsidRPr="00937C8B" w:rsidRDefault="002A4DDF" w:rsidP="009110ED">
            <w:pPr>
              <w:rPr>
                <w:rFonts w:ascii="Arial" w:hAnsi="Arial" w:cs="Arial"/>
                <w:sz w:val="12"/>
                <w:szCs w:val="12"/>
              </w:rPr>
            </w:pPr>
            <w:r>
              <w:rPr>
                <w:rFonts w:ascii="Arial" w:hAnsi="Arial"/>
                <w:sz w:val="12"/>
                <w:szCs w:val="12"/>
              </w:rPr>
              <w:t>Membrío</w:t>
            </w:r>
          </w:p>
        </w:tc>
      </w:tr>
      <w:tr w:rsidR="002A4DDF" w:rsidRPr="00937C8B" w14:paraId="70CEBDB9" w14:textId="77777777" w:rsidTr="00935676">
        <w:trPr>
          <w:cantSplit/>
        </w:trPr>
        <w:tc>
          <w:tcPr>
            <w:tcW w:w="1696" w:type="dxa"/>
            <w:tcBorders>
              <w:left w:val="single" w:sz="4" w:space="0" w:color="auto"/>
            </w:tcBorders>
            <w:shd w:val="clear" w:color="auto" w:fill="auto"/>
          </w:tcPr>
          <w:p w14:paraId="7D6336CA" w14:textId="77777777" w:rsidR="002A4DDF" w:rsidRPr="00937C8B" w:rsidRDefault="002A4DDF" w:rsidP="009110ED">
            <w:pPr>
              <w:rPr>
                <w:rFonts w:ascii="Arial" w:hAnsi="Arial" w:cs="Arial"/>
                <w:sz w:val="12"/>
                <w:szCs w:val="12"/>
              </w:rPr>
            </w:pPr>
          </w:p>
        </w:tc>
        <w:tc>
          <w:tcPr>
            <w:tcW w:w="1843" w:type="dxa"/>
            <w:shd w:val="clear" w:color="auto" w:fill="auto"/>
          </w:tcPr>
          <w:p w14:paraId="6239EBD3" w14:textId="77777777" w:rsidR="002A4DDF" w:rsidRPr="00937C8B" w:rsidRDefault="002A4DDF" w:rsidP="009110ED">
            <w:pPr>
              <w:rPr>
                <w:rFonts w:ascii="Arial" w:hAnsi="Arial" w:cs="Arial"/>
                <w:sz w:val="12"/>
                <w:szCs w:val="12"/>
              </w:rPr>
            </w:pPr>
          </w:p>
        </w:tc>
        <w:tc>
          <w:tcPr>
            <w:tcW w:w="2268" w:type="dxa"/>
            <w:shd w:val="clear" w:color="auto" w:fill="F2F2F2"/>
            <w:hideMark/>
          </w:tcPr>
          <w:p w14:paraId="6318F50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F7C5B7E" w14:textId="77777777" w:rsidR="002A4DDF" w:rsidRPr="00937C8B" w:rsidRDefault="002A4DDF" w:rsidP="009110ED">
            <w:pPr>
              <w:rPr>
                <w:rFonts w:ascii="Arial" w:hAnsi="Arial" w:cs="Arial"/>
                <w:sz w:val="12"/>
                <w:szCs w:val="12"/>
              </w:rPr>
            </w:pPr>
            <w:r>
              <w:rPr>
                <w:rFonts w:ascii="Arial" w:hAnsi="Arial"/>
                <w:sz w:val="12"/>
                <w:szCs w:val="12"/>
              </w:rPr>
              <w:t>Mesas de Ibor</w:t>
            </w:r>
          </w:p>
        </w:tc>
      </w:tr>
      <w:tr w:rsidR="002A4DDF" w:rsidRPr="00937C8B" w14:paraId="1F3280DA" w14:textId="77777777" w:rsidTr="00935676">
        <w:trPr>
          <w:cantSplit/>
        </w:trPr>
        <w:tc>
          <w:tcPr>
            <w:tcW w:w="1696" w:type="dxa"/>
            <w:tcBorders>
              <w:left w:val="single" w:sz="4" w:space="0" w:color="auto"/>
            </w:tcBorders>
            <w:shd w:val="clear" w:color="auto" w:fill="auto"/>
          </w:tcPr>
          <w:p w14:paraId="465150F3" w14:textId="77777777" w:rsidR="002A4DDF" w:rsidRPr="00937C8B" w:rsidRDefault="002A4DDF" w:rsidP="009110ED">
            <w:pPr>
              <w:rPr>
                <w:rFonts w:ascii="Arial" w:hAnsi="Arial" w:cs="Arial"/>
                <w:sz w:val="12"/>
                <w:szCs w:val="12"/>
              </w:rPr>
            </w:pPr>
          </w:p>
        </w:tc>
        <w:tc>
          <w:tcPr>
            <w:tcW w:w="1843" w:type="dxa"/>
            <w:shd w:val="clear" w:color="auto" w:fill="auto"/>
          </w:tcPr>
          <w:p w14:paraId="389B661A" w14:textId="77777777" w:rsidR="002A4DDF" w:rsidRPr="00937C8B" w:rsidRDefault="002A4DDF" w:rsidP="009110ED">
            <w:pPr>
              <w:rPr>
                <w:rFonts w:ascii="Arial" w:hAnsi="Arial" w:cs="Arial"/>
                <w:sz w:val="12"/>
                <w:szCs w:val="12"/>
              </w:rPr>
            </w:pPr>
          </w:p>
        </w:tc>
        <w:tc>
          <w:tcPr>
            <w:tcW w:w="2268" w:type="dxa"/>
            <w:shd w:val="clear" w:color="auto" w:fill="F2F2F2"/>
            <w:hideMark/>
          </w:tcPr>
          <w:p w14:paraId="3CA8B58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F490430" w14:textId="77777777" w:rsidR="002A4DDF" w:rsidRPr="00937C8B" w:rsidRDefault="002A4DDF" w:rsidP="009110ED">
            <w:pPr>
              <w:rPr>
                <w:rFonts w:ascii="Arial" w:hAnsi="Arial" w:cs="Arial"/>
                <w:sz w:val="12"/>
                <w:szCs w:val="12"/>
              </w:rPr>
            </w:pPr>
            <w:r>
              <w:rPr>
                <w:rFonts w:ascii="Arial" w:hAnsi="Arial"/>
                <w:sz w:val="12"/>
                <w:szCs w:val="12"/>
              </w:rPr>
              <w:t>Miajadas</w:t>
            </w:r>
          </w:p>
        </w:tc>
      </w:tr>
      <w:tr w:rsidR="002A4DDF" w:rsidRPr="00937C8B" w14:paraId="2AC64A04" w14:textId="77777777" w:rsidTr="00935676">
        <w:trPr>
          <w:cantSplit/>
        </w:trPr>
        <w:tc>
          <w:tcPr>
            <w:tcW w:w="1696" w:type="dxa"/>
            <w:tcBorders>
              <w:left w:val="single" w:sz="4" w:space="0" w:color="auto"/>
            </w:tcBorders>
            <w:shd w:val="clear" w:color="auto" w:fill="auto"/>
          </w:tcPr>
          <w:p w14:paraId="6F85F5BF" w14:textId="77777777" w:rsidR="002A4DDF" w:rsidRPr="00937C8B" w:rsidRDefault="002A4DDF" w:rsidP="009110ED">
            <w:pPr>
              <w:rPr>
                <w:rFonts w:ascii="Arial" w:hAnsi="Arial" w:cs="Arial"/>
                <w:sz w:val="12"/>
                <w:szCs w:val="12"/>
              </w:rPr>
            </w:pPr>
          </w:p>
        </w:tc>
        <w:tc>
          <w:tcPr>
            <w:tcW w:w="1843" w:type="dxa"/>
            <w:shd w:val="clear" w:color="auto" w:fill="auto"/>
          </w:tcPr>
          <w:p w14:paraId="01319654" w14:textId="77777777" w:rsidR="002A4DDF" w:rsidRPr="00937C8B" w:rsidRDefault="002A4DDF" w:rsidP="009110ED">
            <w:pPr>
              <w:rPr>
                <w:rFonts w:ascii="Arial" w:hAnsi="Arial" w:cs="Arial"/>
                <w:sz w:val="12"/>
                <w:szCs w:val="12"/>
              </w:rPr>
            </w:pPr>
          </w:p>
        </w:tc>
        <w:tc>
          <w:tcPr>
            <w:tcW w:w="2268" w:type="dxa"/>
            <w:shd w:val="clear" w:color="auto" w:fill="F2F2F2"/>
            <w:hideMark/>
          </w:tcPr>
          <w:p w14:paraId="6660C46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95B3328" w14:textId="77777777" w:rsidR="002A4DDF" w:rsidRPr="00937C8B" w:rsidRDefault="002A4DDF" w:rsidP="009110ED">
            <w:pPr>
              <w:rPr>
                <w:rFonts w:ascii="Arial" w:hAnsi="Arial" w:cs="Arial"/>
                <w:sz w:val="12"/>
                <w:szCs w:val="12"/>
              </w:rPr>
            </w:pPr>
            <w:r>
              <w:rPr>
                <w:rFonts w:ascii="Arial" w:hAnsi="Arial"/>
                <w:sz w:val="12"/>
                <w:szCs w:val="12"/>
              </w:rPr>
              <w:t>Millanes</w:t>
            </w:r>
          </w:p>
        </w:tc>
      </w:tr>
      <w:tr w:rsidR="002A4DDF" w:rsidRPr="00937C8B" w14:paraId="7CC5879D" w14:textId="77777777" w:rsidTr="00935676">
        <w:trPr>
          <w:cantSplit/>
        </w:trPr>
        <w:tc>
          <w:tcPr>
            <w:tcW w:w="1696" w:type="dxa"/>
            <w:tcBorders>
              <w:left w:val="single" w:sz="4" w:space="0" w:color="auto"/>
            </w:tcBorders>
            <w:shd w:val="clear" w:color="auto" w:fill="auto"/>
          </w:tcPr>
          <w:p w14:paraId="1412560B" w14:textId="77777777" w:rsidR="002A4DDF" w:rsidRPr="00937C8B" w:rsidRDefault="002A4DDF" w:rsidP="009110ED">
            <w:pPr>
              <w:rPr>
                <w:rFonts w:ascii="Arial" w:hAnsi="Arial" w:cs="Arial"/>
                <w:sz w:val="12"/>
                <w:szCs w:val="12"/>
              </w:rPr>
            </w:pPr>
          </w:p>
        </w:tc>
        <w:tc>
          <w:tcPr>
            <w:tcW w:w="1843" w:type="dxa"/>
            <w:shd w:val="clear" w:color="auto" w:fill="auto"/>
          </w:tcPr>
          <w:p w14:paraId="1E7BAEA1" w14:textId="77777777" w:rsidR="002A4DDF" w:rsidRPr="00937C8B" w:rsidRDefault="002A4DDF" w:rsidP="009110ED">
            <w:pPr>
              <w:rPr>
                <w:rFonts w:ascii="Arial" w:hAnsi="Arial" w:cs="Arial"/>
                <w:sz w:val="12"/>
                <w:szCs w:val="12"/>
              </w:rPr>
            </w:pPr>
          </w:p>
        </w:tc>
        <w:tc>
          <w:tcPr>
            <w:tcW w:w="2268" w:type="dxa"/>
            <w:shd w:val="clear" w:color="auto" w:fill="F2F2F2"/>
            <w:hideMark/>
          </w:tcPr>
          <w:p w14:paraId="09E706A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EF7A017" w14:textId="77777777" w:rsidR="002A4DDF" w:rsidRPr="00937C8B" w:rsidRDefault="002A4DDF" w:rsidP="009110ED">
            <w:pPr>
              <w:rPr>
                <w:rFonts w:ascii="Arial" w:hAnsi="Arial" w:cs="Arial"/>
                <w:sz w:val="12"/>
                <w:szCs w:val="12"/>
              </w:rPr>
            </w:pPr>
            <w:r>
              <w:rPr>
                <w:rFonts w:ascii="Arial" w:hAnsi="Arial"/>
                <w:sz w:val="12"/>
                <w:szCs w:val="12"/>
              </w:rPr>
              <w:t>Mirabel</w:t>
            </w:r>
          </w:p>
        </w:tc>
      </w:tr>
      <w:tr w:rsidR="002A4DDF" w:rsidRPr="00937C8B" w14:paraId="23B2A6A0" w14:textId="77777777" w:rsidTr="00935676">
        <w:trPr>
          <w:cantSplit/>
        </w:trPr>
        <w:tc>
          <w:tcPr>
            <w:tcW w:w="1696" w:type="dxa"/>
            <w:tcBorders>
              <w:left w:val="single" w:sz="4" w:space="0" w:color="auto"/>
            </w:tcBorders>
            <w:shd w:val="clear" w:color="auto" w:fill="auto"/>
          </w:tcPr>
          <w:p w14:paraId="40F09C94" w14:textId="77777777" w:rsidR="002A4DDF" w:rsidRPr="00937C8B" w:rsidRDefault="002A4DDF" w:rsidP="009110ED">
            <w:pPr>
              <w:rPr>
                <w:rFonts w:ascii="Arial" w:hAnsi="Arial" w:cs="Arial"/>
                <w:sz w:val="12"/>
                <w:szCs w:val="12"/>
              </w:rPr>
            </w:pPr>
          </w:p>
        </w:tc>
        <w:tc>
          <w:tcPr>
            <w:tcW w:w="1843" w:type="dxa"/>
            <w:shd w:val="clear" w:color="auto" w:fill="auto"/>
          </w:tcPr>
          <w:p w14:paraId="69B3AE0F" w14:textId="77777777" w:rsidR="002A4DDF" w:rsidRPr="00937C8B" w:rsidRDefault="002A4DDF" w:rsidP="009110ED">
            <w:pPr>
              <w:rPr>
                <w:rFonts w:ascii="Arial" w:hAnsi="Arial" w:cs="Arial"/>
                <w:sz w:val="12"/>
                <w:szCs w:val="12"/>
              </w:rPr>
            </w:pPr>
          </w:p>
        </w:tc>
        <w:tc>
          <w:tcPr>
            <w:tcW w:w="2268" w:type="dxa"/>
            <w:shd w:val="clear" w:color="auto" w:fill="F2F2F2"/>
            <w:hideMark/>
          </w:tcPr>
          <w:p w14:paraId="2D295C8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6D064AA" w14:textId="77777777" w:rsidR="002A4DDF" w:rsidRPr="00937C8B" w:rsidRDefault="002A4DDF" w:rsidP="009110ED">
            <w:pPr>
              <w:rPr>
                <w:rFonts w:ascii="Arial" w:hAnsi="Arial" w:cs="Arial"/>
                <w:sz w:val="12"/>
                <w:szCs w:val="12"/>
              </w:rPr>
            </w:pPr>
            <w:r>
              <w:rPr>
                <w:rFonts w:ascii="Arial" w:hAnsi="Arial"/>
                <w:sz w:val="12"/>
                <w:szCs w:val="12"/>
              </w:rPr>
              <w:t>Mohedas de Granadilla</w:t>
            </w:r>
          </w:p>
        </w:tc>
      </w:tr>
      <w:tr w:rsidR="002A4DDF" w:rsidRPr="00937C8B" w14:paraId="32A213DE" w14:textId="77777777" w:rsidTr="00935676">
        <w:trPr>
          <w:cantSplit/>
        </w:trPr>
        <w:tc>
          <w:tcPr>
            <w:tcW w:w="1696" w:type="dxa"/>
            <w:tcBorders>
              <w:left w:val="single" w:sz="4" w:space="0" w:color="auto"/>
            </w:tcBorders>
            <w:shd w:val="clear" w:color="auto" w:fill="auto"/>
          </w:tcPr>
          <w:p w14:paraId="17AF0BF0" w14:textId="77777777" w:rsidR="002A4DDF" w:rsidRPr="00937C8B" w:rsidRDefault="002A4DDF" w:rsidP="009110ED">
            <w:pPr>
              <w:rPr>
                <w:rFonts w:ascii="Arial" w:hAnsi="Arial" w:cs="Arial"/>
                <w:sz w:val="12"/>
                <w:szCs w:val="12"/>
              </w:rPr>
            </w:pPr>
          </w:p>
        </w:tc>
        <w:tc>
          <w:tcPr>
            <w:tcW w:w="1843" w:type="dxa"/>
            <w:shd w:val="clear" w:color="auto" w:fill="auto"/>
          </w:tcPr>
          <w:p w14:paraId="3169B86D" w14:textId="77777777" w:rsidR="002A4DDF" w:rsidRPr="00937C8B" w:rsidRDefault="002A4DDF" w:rsidP="009110ED">
            <w:pPr>
              <w:rPr>
                <w:rFonts w:ascii="Arial" w:hAnsi="Arial" w:cs="Arial"/>
                <w:sz w:val="12"/>
                <w:szCs w:val="12"/>
              </w:rPr>
            </w:pPr>
          </w:p>
        </w:tc>
        <w:tc>
          <w:tcPr>
            <w:tcW w:w="2268" w:type="dxa"/>
            <w:shd w:val="clear" w:color="auto" w:fill="F2F2F2"/>
            <w:hideMark/>
          </w:tcPr>
          <w:p w14:paraId="3FD4F6F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812C1CF" w14:textId="77777777" w:rsidR="002A4DDF" w:rsidRPr="00937C8B" w:rsidRDefault="002A4DDF" w:rsidP="009110ED">
            <w:pPr>
              <w:rPr>
                <w:rFonts w:ascii="Arial" w:hAnsi="Arial" w:cs="Arial"/>
                <w:sz w:val="12"/>
                <w:szCs w:val="12"/>
              </w:rPr>
            </w:pPr>
            <w:r>
              <w:rPr>
                <w:rFonts w:ascii="Arial" w:hAnsi="Arial"/>
                <w:sz w:val="12"/>
                <w:szCs w:val="12"/>
              </w:rPr>
              <w:t>Monroy</w:t>
            </w:r>
          </w:p>
        </w:tc>
      </w:tr>
      <w:tr w:rsidR="002A4DDF" w:rsidRPr="00937C8B" w14:paraId="7A3CBE82" w14:textId="77777777" w:rsidTr="00935676">
        <w:trPr>
          <w:cantSplit/>
        </w:trPr>
        <w:tc>
          <w:tcPr>
            <w:tcW w:w="1696" w:type="dxa"/>
            <w:tcBorders>
              <w:left w:val="single" w:sz="4" w:space="0" w:color="auto"/>
            </w:tcBorders>
            <w:shd w:val="clear" w:color="auto" w:fill="auto"/>
          </w:tcPr>
          <w:p w14:paraId="0EE0F42F" w14:textId="77777777" w:rsidR="002A4DDF" w:rsidRPr="00937C8B" w:rsidRDefault="002A4DDF" w:rsidP="009110ED">
            <w:pPr>
              <w:rPr>
                <w:rFonts w:ascii="Arial" w:hAnsi="Arial" w:cs="Arial"/>
                <w:sz w:val="12"/>
                <w:szCs w:val="12"/>
              </w:rPr>
            </w:pPr>
          </w:p>
        </w:tc>
        <w:tc>
          <w:tcPr>
            <w:tcW w:w="1843" w:type="dxa"/>
            <w:shd w:val="clear" w:color="auto" w:fill="auto"/>
          </w:tcPr>
          <w:p w14:paraId="67045BF4" w14:textId="77777777" w:rsidR="002A4DDF" w:rsidRPr="00937C8B" w:rsidRDefault="002A4DDF" w:rsidP="009110ED">
            <w:pPr>
              <w:rPr>
                <w:rFonts w:ascii="Arial" w:hAnsi="Arial" w:cs="Arial"/>
                <w:sz w:val="12"/>
                <w:szCs w:val="12"/>
              </w:rPr>
            </w:pPr>
          </w:p>
        </w:tc>
        <w:tc>
          <w:tcPr>
            <w:tcW w:w="2268" w:type="dxa"/>
            <w:shd w:val="clear" w:color="auto" w:fill="F2F2F2"/>
            <w:hideMark/>
          </w:tcPr>
          <w:p w14:paraId="2D48984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506A034" w14:textId="77777777" w:rsidR="002A4DDF" w:rsidRPr="00937C8B" w:rsidRDefault="002A4DDF" w:rsidP="009110ED">
            <w:pPr>
              <w:rPr>
                <w:rFonts w:ascii="Arial" w:hAnsi="Arial" w:cs="Arial"/>
                <w:sz w:val="12"/>
                <w:szCs w:val="12"/>
              </w:rPr>
            </w:pPr>
            <w:r>
              <w:rPr>
                <w:rFonts w:ascii="Arial" w:hAnsi="Arial"/>
                <w:sz w:val="12"/>
                <w:szCs w:val="12"/>
              </w:rPr>
              <w:t>Montánchez</w:t>
            </w:r>
          </w:p>
        </w:tc>
      </w:tr>
      <w:tr w:rsidR="002A4DDF" w:rsidRPr="00937C8B" w14:paraId="64560918" w14:textId="77777777" w:rsidTr="00935676">
        <w:trPr>
          <w:cantSplit/>
        </w:trPr>
        <w:tc>
          <w:tcPr>
            <w:tcW w:w="1696" w:type="dxa"/>
            <w:tcBorders>
              <w:left w:val="single" w:sz="4" w:space="0" w:color="auto"/>
            </w:tcBorders>
            <w:shd w:val="clear" w:color="auto" w:fill="auto"/>
          </w:tcPr>
          <w:p w14:paraId="07657658" w14:textId="77777777" w:rsidR="002A4DDF" w:rsidRPr="00937C8B" w:rsidRDefault="002A4DDF" w:rsidP="009110ED">
            <w:pPr>
              <w:rPr>
                <w:rFonts w:ascii="Arial" w:hAnsi="Arial" w:cs="Arial"/>
                <w:sz w:val="12"/>
                <w:szCs w:val="12"/>
              </w:rPr>
            </w:pPr>
          </w:p>
        </w:tc>
        <w:tc>
          <w:tcPr>
            <w:tcW w:w="1843" w:type="dxa"/>
            <w:shd w:val="clear" w:color="auto" w:fill="auto"/>
          </w:tcPr>
          <w:p w14:paraId="5A79BDD9" w14:textId="77777777" w:rsidR="002A4DDF" w:rsidRPr="00937C8B" w:rsidRDefault="002A4DDF" w:rsidP="009110ED">
            <w:pPr>
              <w:rPr>
                <w:rFonts w:ascii="Arial" w:hAnsi="Arial" w:cs="Arial"/>
                <w:sz w:val="12"/>
                <w:szCs w:val="12"/>
              </w:rPr>
            </w:pPr>
          </w:p>
        </w:tc>
        <w:tc>
          <w:tcPr>
            <w:tcW w:w="2268" w:type="dxa"/>
            <w:shd w:val="clear" w:color="auto" w:fill="F2F2F2"/>
            <w:hideMark/>
          </w:tcPr>
          <w:p w14:paraId="0B750A4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418BEA2" w14:textId="77777777" w:rsidR="002A4DDF" w:rsidRPr="00937C8B" w:rsidRDefault="002A4DDF" w:rsidP="009110ED">
            <w:pPr>
              <w:rPr>
                <w:rFonts w:ascii="Arial" w:hAnsi="Arial" w:cs="Arial"/>
                <w:sz w:val="12"/>
                <w:szCs w:val="12"/>
              </w:rPr>
            </w:pPr>
            <w:r>
              <w:rPr>
                <w:rFonts w:ascii="Arial" w:hAnsi="Arial"/>
                <w:sz w:val="12"/>
                <w:szCs w:val="12"/>
              </w:rPr>
              <w:t>Montehermoso</w:t>
            </w:r>
          </w:p>
        </w:tc>
      </w:tr>
      <w:tr w:rsidR="002A4DDF" w:rsidRPr="00937C8B" w14:paraId="0D0C86D4" w14:textId="77777777" w:rsidTr="00935676">
        <w:trPr>
          <w:cantSplit/>
        </w:trPr>
        <w:tc>
          <w:tcPr>
            <w:tcW w:w="1696" w:type="dxa"/>
            <w:tcBorders>
              <w:left w:val="single" w:sz="4" w:space="0" w:color="auto"/>
            </w:tcBorders>
            <w:shd w:val="clear" w:color="auto" w:fill="auto"/>
          </w:tcPr>
          <w:p w14:paraId="53A7B90E" w14:textId="77777777" w:rsidR="002A4DDF" w:rsidRPr="00937C8B" w:rsidRDefault="002A4DDF" w:rsidP="009110ED">
            <w:pPr>
              <w:rPr>
                <w:rFonts w:ascii="Arial" w:hAnsi="Arial" w:cs="Arial"/>
                <w:sz w:val="12"/>
                <w:szCs w:val="12"/>
              </w:rPr>
            </w:pPr>
          </w:p>
        </w:tc>
        <w:tc>
          <w:tcPr>
            <w:tcW w:w="1843" w:type="dxa"/>
            <w:shd w:val="clear" w:color="auto" w:fill="auto"/>
          </w:tcPr>
          <w:p w14:paraId="64733808" w14:textId="77777777" w:rsidR="002A4DDF" w:rsidRPr="00937C8B" w:rsidRDefault="002A4DDF" w:rsidP="009110ED">
            <w:pPr>
              <w:rPr>
                <w:rFonts w:ascii="Arial" w:hAnsi="Arial" w:cs="Arial"/>
                <w:sz w:val="12"/>
                <w:szCs w:val="12"/>
              </w:rPr>
            </w:pPr>
          </w:p>
        </w:tc>
        <w:tc>
          <w:tcPr>
            <w:tcW w:w="2268" w:type="dxa"/>
            <w:shd w:val="clear" w:color="auto" w:fill="F2F2F2"/>
            <w:hideMark/>
          </w:tcPr>
          <w:p w14:paraId="333984F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0AECD73" w14:textId="77777777" w:rsidR="002A4DDF" w:rsidRPr="00937C8B" w:rsidRDefault="002A4DDF" w:rsidP="009110ED">
            <w:pPr>
              <w:rPr>
                <w:rFonts w:ascii="Arial" w:hAnsi="Arial" w:cs="Arial"/>
                <w:sz w:val="12"/>
                <w:szCs w:val="12"/>
              </w:rPr>
            </w:pPr>
            <w:r>
              <w:rPr>
                <w:rFonts w:ascii="Arial" w:hAnsi="Arial"/>
                <w:sz w:val="12"/>
                <w:szCs w:val="12"/>
              </w:rPr>
              <w:t>Navaconcejo</w:t>
            </w:r>
          </w:p>
        </w:tc>
      </w:tr>
      <w:tr w:rsidR="002A4DDF" w:rsidRPr="00937C8B" w14:paraId="4E90D702" w14:textId="77777777" w:rsidTr="00935676">
        <w:trPr>
          <w:cantSplit/>
        </w:trPr>
        <w:tc>
          <w:tcPr>
            <w:tcW w:w="1696" w:type="dxa"/>
            <w:tcBorders>
              <w:left w:val="single" w:sz="4" w:space="0" w:color="auto"/>
            </w:tcBorders>
            <w:shd w:val="clear" w:color="auto" w:fill="auto"/>
          </w:tcPr>
          <w:p w14:paraId="349D2285" w14:textId="77777777" w:rsidR="002A4DDF" w:rsidRPr="00937C8B" w:rsidRDefault="002A4DDF" w:rsidP="009110ED">
            <w:pPr>
              <w:rPr>
                <w:rFonts w:ascii="Arial" w:hAnsi="Arial" w:cs="Arial"/>
                <w:sz w:val="12"/>
                <w:szCs w:val="12"/>
              </w:rPr>
            </w:pPr>
          </w:p>
        </w:tc>
        <w:tc>
          <w:tcPr>
            <w:tcW w:w="1843" w:type="dxa"/>
            <w:shd w:val="clear" w:color="auto" w:fill="auto"/>
          </w:tcPr>
          <w:p w14:paraId="0B42284E" w14:textId="77777777" w:rsidR="002A4DDF" w:rsidRPr="00937C8B" w:rsidRDefault="002A4DDF" w:rsidP="009110ED">
            <w:pPr>
              <w:rPr>
                <w:rFonts w:ascii="Arial" w:hAnsi="Arial" w:cs="Arial"/>
                <w:sz w:val="12"/>
                <w:szCs w:val="12"/>
              </w:rPr>
            </w:pPr>
          </w:p>
        </w:tc>
        <w:tc>
          <w:tcPr>
            <w:tcW w:w="2268" w:type="dxa"/>
            <w:shd w:val="clear" w:color="auto" w:fill="F2F2F2"/>
            <w:hideMark/>
          </w:tcPr>
          <w:p w14:paraId="0410DF9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65ED151" w14:textId="77777777" w:rsidR="002A4DDF" w:rsidRPr="00937C8B" w:rsidRDefault="002A4DDF" w:rsidP="009110ED">
            <w:pPr>
              <w:rPr>
                <w:rFonts w:ascii="Arial" w:hAnsi="Arial" w:cs="Arial"/>
                <w:sz w:val="12"/>
                <w:szCs w:val="12"/>
              </w:rPr>
            </w:pPr>
            <w:r>
              <w:rPr>
                <w:rFonts w:ascii="Arial" w:hAnsi="Arial"/>
                <w:sz w:val="12"/>
                <w:szCs w:val="12"/>
              </w:rPr>
              <w:t>Navalmoral de la Mata</w:t>
            </w:r>
          </w:p>
        </w:tc>
      </w:tr>
      <w:tr w:rsidR="002A4DDF" w:rsidRPr="00937C8B" w14:paraId="551D9B00" w14:textId="77777777" w:rsidTr="00935676">
        <w:trPr>
          <w:cantSplit/>
        </w:trPr>
        <w:tc>
          <w:tcPr>
            <w:tcW w:w="1696" w:type="dxa"/>
            <w:tcBorders>
              <w:left w:val="single" w:sz="4" w:space="0" w:color="auto"/>
            </w:tcBorders>
            <w:shd w:val="clear" w:color="auto" w:fill="auto"/>
          </w:tcPr>
          <w:p w14:paraId="2595459D" w14:textId="77777777" w:rsidR="002A4DDF" w:rsidRPr="00937C8B" w:rsidRDefault="002A4DDF" w:rsidP="009110ED">
            <w:pPr>
              <w:rPr>
                <w:rFonts w:ascii="Arial" w:hAnsi="Arial" w:cs="Arial"/>
                <w:sz w:val="12"/>
                <w:szCs w:val="12"/>
              </w:rPr>
            </w:pPr>
          </w:p>
        </w:tc>
        <w:tc>
          <w:tcPr>
            <w:tcW w:w="1843" w:type="dxa"/>
            <w:shd w:val="clear" w:color="auto" w:fill="auto"/>
          </w:tcPr>
          <w:p w14:paraId="6A9C625D" w14:textId="77777777" w:rsidR="002A4DDF" w:rsidRPr="00937C8B" w:rsidRDefault="002A4DDF" w:rsidP="009110ED">
            <w:pPr>
              <w:rPr>
                <w:rFonts w:ascii="Arial" w:hAnsi="Arial" w:cs="Arial"/>
                <w:sz w:val="12"/>
                <w:szCs w:val="12"/>
              </w:rPr>
            </w:pPr>
          </w:p>
        </w:tc>
        <w:tc>
          <w:tcPr>
            <w:tcW w:w="2268" w:type="dxa"/>
            <w:shd w:val="clear" w:color="auto" w:fill="F2F2F2"/>
            <w:hideMark/>
          </w:tcPr>
          <w:p w14:paraId="0C766AD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5ECB662" w14:textId="77777777" w:rsidR="002A4DDF" w:rsidRPr="00937C8B" w:rsidRDefault="002A4DDF" w:rsidP="009110ED">
            <w:pPr>
              <w:rPr>
                <w:rFonts w:ascii="Arial" w:hAnsi="Arial" w:cs="Arial"/>
                <w:sz w:val="12"/>
                <w:szCs w:val="12"/>
              </w:rPr>
            </w:pPr>
            <w:r>
              <w:rPr>
                <w:rFonts w:ascii="Arial" w:hAnsi="Arial"/>
                <w:sz w:val="12"/>
                <w:szCs w:val="12"/>
              </w:rPr>
              <w:t>Navalvillar de Ibor</w:t>
            </w:r>
          </w:p>
        </w:tc>
      </w:tr>
      <w:tr w:rsidR="002A4DDF" w:rsidRPr="00937C8B" w14:paraId="6C8BFC09" w14:textId="77777777" w:rsidTr="00935676">
        <w:trPr>
          <w:cantSplit/>
        </w:trPr>
        <w:tc>
          <w:tcPr>
            <w:tcW w:w="1696" w:type="dxa"/>
            <w:tcBorders>
              <w:left w:val="single" w:sz="4" w:space="0" w:color="auto"/>
            </w:tcBorders>
            <w:shd w:val="clear" w:color="auto" w:fill="auto"/>
          </w:tcPr>
          <w:p w14:paraId="6BD04130" w14:textId="77777777" w:rsidR="002A4DDF" w:rsidRPr="00937C8B" w:rsidRDefault="002A4DDF" w:rsidP="009110ED">
            <w:pPr>
              <w:rPr>
                <w:rFonts w:ascii="Arial" w:hAnsi="Arial" w:cs="Arial"/>
                <w:sz w:val="12"/>
                <w:szCs w:val="12"/>
              </w:rPr>
            </w:pPr>
          </w:p>
        </w:tc>
        <w:tc>
          <w:tcPr>
            <w:tcW w:w="1843" w:type="dxa"/>
            <w:shd w:val="clear" w:color="auto" w:fill="auto"/>
          </w:tcPr>
          <w:p w14:paraId="2F61C7BF" w14:textId="77777777" w:rsidR="002A4DDF" w:rsidRPr="00937C8B" w:rsidRDefault="002A4DDF" w:rsidP="009110ED">
            <w:pPr>
              <w:rPr>
                <w:rFonts w:ascii="Arial" w:hAnsi="Arial" w:cs="Arial"/>
                <w:sz w:val="12"/>
                <w:szCs w:val="12"/>
              </w:rPr>
            </w:pPr>
          </w:p>
        </w:tc>
        <w:tc>
          <w:tcPr>
            <w:tcW w:w="2268" w:type="dxa"/>
            <w:shd w:val="clear" w:color="auto" w:fill="F2F2F2"/>
            <w:hideMark/>
          </w:tcPr>
          <w:p w14:paraId="5538C73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E3FB191" w14:textId="77777777" w:rsidR="002A4DDF" w:rsidRPr="00937C8B" w:rsidRDefault="002A4DDF" w:rsidP="009110ED">
            <w:pPr>
              <w:rPr>
                <w:rFonts w:ascii="Arial" w:hAnsi="Arial" w:cs="Arial"/>
                <w:sz w:val="12"/>
                <w:szCs w:val="12"/>
              </w:rPr>
            </w:pPr>
            <w:r>
              <w:rPr>
                <w:rFonts w:ascii="Arial" w:hAnsi="Arial"/>
                <w:sz w:val="12"/>
                <w:szCs w:val="12"/>
              </w:rPr>
              <w:t>Navas del Madroño</w:t>
            </w:r>
          </w:p>
        </w:tc>
      </w:tr>
      <w:tr w:rsidR="002A4DDF" w:rsidRPr="00937C8B" w14:paraId="078658AA" w14:textId="77777777" w:rsidTr="00935676">
        <w:trPr>
          <w:cantSplit/>
        </w:trPr>
        <w:tc>
          <w:tcPr>
            <w:tcW w:w="1696" w:type="dxa"/>
            <w:tcBorders>
              <w:left w:val="single" w:sz="4" w:space="0" w:color="auto"/>
            </w:tcBorders>
            <w:shd w:val="clear" w:color="auto" w:fill="auto"/>
          </w:tcPr>
          <w:p w14:paraId="5150E8EB" w14:textId="77777777" w:rsidR="002A4DDF" w:rsidRPr="00937C8B" w:rsidRDefault="002A4DDF" w:rsidP="009110ED">
            <w:pPr>
              <w:rPr>
                <w:rFonts w:ascii="Arial" w:hAnsi="Arial" w:cs="Arial"/>
                <w:sz w:val="12"/>
                <w:szCs w:val="12"/>
              </w:rPr>
            </w:pPr>
          </w:p>
        </w:tc>
        <w:tc>
          <w:tcPr>
            <w:tcW w:w="1843" w:type="dxa"/>
            <w:shd w:val="clear" w:color="auto" w:fill="auto"/>
          </w:tcPr>
          <w:p w14:paraId="28045EC2" w14:textId="77777777" w:rsidR="002A4DDF" w:rsidRPr="00937C8B" w:rsidRDefault="002A4DDF" w:rsidP="009110ED">
            <w:pPr>
              <w:rPr>
                <w:rFonts w:ascii="Arial" w:hAnsi="Arial" w:cs="Arial"/>
                <w:sz w:val="12"/>
                <w:szCs w:val="12"/>
              </w:rPr>
            </w:pPr>
          </w:p>
        </w:tc>
        <w:tc>
          <w:tcPr>
            <w:tcW w:w="2268" w:type="dxa"/>
            <w:shd w:val="clear" w:color="auto" w:fill="F2F2F2"/>
            <w:hideMark/>
          </w:tcPr>
          <w:p w14:paraId="4AB3F4B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4C0122E" w14:textId="77777777" w:rsidR="002A4DDF" w:rsidRPr="00937C8B" w:rsidRDefault="002A4DDF" w:rsidP="009110ED">
            <w:pPr>
              <w:rPr>
                <w:rFonts w:ascii="Arial" w:hAnsi="Arial" w:cs="Arial"/>
                <w:sz w:val="12"/>
                <w:szCs w:val="12"/>
              </w:rPr>
            </w:pPr>
            <w:r>
              <w:rPr>
                <w:rFonts w:ascii="Arial" w:hAnsi="Arial"/>
                <w:sz w:val="12"/>
                <w:szCs w:val="12"/>
              </w:rPr>
              <w:t>Navezuelas</w:t>
            </w:r>
          </w:p>
        </w:tc>
      </w:tr>
      <w:tr w:rsidR="002A4DDF" w:rsidRPr="00937C8B" w14:paraId="69EE8B29" w14:textId="77777777" w:rsidTr="00935676">
        <w:trPr>
          <w:cantSplit/>
        </w:trPr>
        <w:tc>
          <w:tcPr>
            <w:tcW w:w="1696" w:type="dxa"/>
            <w:tcBorders>
              <w:left w:val="single" w:sz="4" w:space="0" w:color="auto"/>
            </w:tcBorders>
            <w:shd w:val="clear" w:color="auto" w:fill="auto"/>
          </w:tcPr>
          <w:p w14:paraId="48041F3D" w14:textId="77777777" w:rsidR="002A4DDF" w:rsidRPr="00937C8B" w:rsidRDefault="002A4DDF" w:rsidP="009110ED">
            <w:pPr>
              <w:rPr>
                <w:rFonts w:ascii="Arial" w:hAnsi="Arial" w:cs="Arial"/>
                <w:sz w:val="12"/>
                <w:szCs w:val="12"/>
              </w:rPr>
            </w:pPr>
          </w:p>
        </w:tc>
        <w:tc>
          <w:tcPr>
            <w:tcW w:w="1843" w:type="dxa"/>
            <w:shd w:val="clear" w:color="auto" w:fill="auto"/>
          </w:tcPr>
          <w:p w14:paraId="612F4AD0" w14:textId="77777777" w:rsidR="002A4DDF" w:rsidRPr="00937C8B" w:rsidRDefault="002A4DDF" w:rsidP="009110ED">
            <w:pPr>
              <w:rPr>
                <w:rFonts w:ascii="Arial" w:hAnsi="Arial" w:cs="Arial"/>
                <w:sz w:val="12"/>
                <w:szCs w:val="12"/>
              </w:rPr>
            </w:pPr>
          </w:p>
        </w:tc>
        <w:tc>
          <w:tcPr>
            <w:tcW w:w="2268" w:type="dxa"/>
            <w:shd w:val="clear" w:color="auto" w:fill="F2F2F2"/>
            <w:hideMark/>
          </w:tcPr>
          <w:p w14:paraId="6E55FDB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3F3C58C" w14:textId="77777777" w:rsidR="002A4DDF" w:rsidRPr="00937C8B" w:rsidRDefault="002A4DDF" w:rsidP="009110ED">
            <w:pPr>
              <w:rPr>
                <w:rFonts w:ascii="Arial" w:hAnsi="Arial" w:cs="Arial"/>
                <w:sz w:val="12"/>
                <w:szCs w:val="12"/>
              </w:rPr>
            </w:pPr>
            <w:r>
              <w:rPr>
                <w:rFonts w:ascii="Arial" w:hAnsi="Arial"/>
                <w:sz w:val="12"/>
                <w:szCs w:val="12"/>
              </w:rPr>
              <w:t>Nuñomoral</w:t>
            </w:r>
          </w:p>
        </w:tc>
      </w:tr>
      <w:tr w:rsidR="002A4DDF" w:rsidRPr="00937C8B" w14:paraId="5F51E817" w14:textId="77777777" w:rsidTr="00935676">
        <w:trPr>
          <w:cantSplit/>
        </w:trPr>
        <w:tc>
          <w:tcPr>
            <w:tcW w:w="1696" w:type="dxa"/>
            <w:tcBorders>
              <w:left w:val="single" w:sz="4" w:space="0" w:color="auto"/>
            </w:tcBorders>
            <w:shd w:val="clear" w:color="auto" w:fill="auto"/>
          </w:tcPr>
          <w:p w14:paraId="7F5D951C" w14:textId="77777777" w:rsidR="002A4DDF" w:rsidRPr="00937C8B" w:rsidRDefault="002A4DDF" w:rsidP="009110ED">
            <w:pPr>
              <w:rPr>
                <w:rFonts w:ascii="Arial" w:hAnsi="Arial" w:cs="Arial"/>
                <w:sz w:val="12"/>
                <w:szCs w:val="12"/>
              </w:rPr>
            </w:pPr>
          </w:p>
        </w:tc>
        <w:tc>
          <w:tcPr>
            <w:tcW w:w="1843" w:type="dxa"/>
            <w:shd w:val="clear" w:color="auto" w:fill="auto"/>
          </w:tcPr>
          <w:p w14:paraId="442E3E9E" w14:textId="77777777" w:rsidR="002A4DDF" w:rsidRPr="00937C8B" w:rsidRDefault="002A4DDF" w:rsidP="009110ED">
            <w:pPr>
              <w:rPr>
                <w:rFonts w:ascii="Arial" w:hAnsi="Arial" w:cs="Arial"/>
                <w:sz w:val="12"/>
                <w:szCs w:val="12"/>
              </w:rPr>
            </w:pPr>
          </w:p>
        </w:tc>
        <w:tc>
          <w:tcPr>
            <w:tcW w:w="2268" w:type="dxa"/>
            <w:shd w:val="clear" w:color="auto" w:fill="F2F2F2"/>
            <w:hideMark/>
          </w:tcPr>
          <w:p w14:paraId="3D251F8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4370F47" w14:textId="77777777" w:rsidR="002A4DDF" w:rsidRPr="00937C8B" w:rsidRDefault="002A4DDF" w:rsidP="009110ED">
            <w:pPr>
              <w:rPr>
                <w:rFonts w:ascii="Arial" w:hAnsi="Arial" w:cs="Arial"/>
                <w:sz w:val="12"/>
                <w:szCs w:val="12"/>
              </w:rPr>
            </w:pPr>
            <w:r>
              <w:rPr>
                <w:rFonts w:ascii="Arial" w:hAnsi="Arial"/>
                <w:sz w:val="12"/>
                <w:szCs w:val="12"/>
              </w:rPr>
              <w:t>Oliva de Plasencia</w:t>
            </w:r>
          </w:p>
        </w:tc>
      </w:tr>
      <w:tr w:rsidR="002A4DDF" w:rsidRPr="00937C8B" w14:paraId="3B80E7A6" w14:textId="77777777" w:rsidTr="00935676">
        <w:trPr>
          <w:cantSplit/>
        </w:trPr>
        <w:tc>
          <w:tcPr>
            <w:tcW w:w="1696" w:type="dxa"/>
            <w:tcBorders>
              <w:left w:val="single" w:sz="4" w:space="0" w:color="auto"/>
            </w:tcBorders>
            <w:shd w:val="clear" w:color="auto" w:fill="auto"/>
          </w:tcPr>
          <w:p w14:paraId="64419744" w14:textId="77777777" w:rsidR="002A4DDF" w:rsidRPr="00937C8B" w:rsidRDefault="002A4DDF" w:rsidP="009110ED">
            <w:pPr>
              <w:rPr>
                <w:rFonts w:ascii="Arial" w:hAnsi="Arial" w:cs="Arial"/>
                <w:sz w:val="12"/>
                <w:szCs w:val="12"/>
              </w:rPr>
            </w:pPr>
          </w:p>
        </w:tc>
        <w:tc>
          <w:tcPr>
            <w:tcW w:w="1843" w:type="dxa"/>
            <w:shd w:val="clear" w:color="auto" w:fill="auto"/>
          </w:tcPr>
          <w:p w14:paraId="4354EE89" w14:textId="77777777" w:rsidR="002A4DDF" w:rsidRPr="00937C8B" w:rsidRDefault="002A4DDF" w:rsidP="009110ED">
            <w:pPr>
              <w:rPr>
                <w:rFonts w:ascii="Arial" w:hAnsi="Arial" w:cs="Arial"/>
                <w:sz w:val="12"/>
                <w:szCs w:val="12"/>
              </w:rPr>
            </w:pPr>
          </w:p>
        </w:tc>
        <w:tc>
          <w:tcPr>
            <w:tcW w:w="2268" w:type="dxa"/>
            <w:shd w:val="clear" w:color="auto" w:fill="F2F2F2"/>
            <w:hideMark/>
          </w:tcPr>
          <w:p w14:paraId="2C4FC7A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BAB08E5" w14:textId="77777777" w:rsidR="002A4DDF" w:rsidRPr="00937C8B" w:rsidRDefault="002A4DDF" w:rsidP="009110ED">
            <w:pPr>
              <w:rPr>
                <w:rFonts w:ascii="Arial" w:hAnsi="Arial" w:cs="Arial"/>
                <w:sz w:val="12"/>
                <w:szCs w:val="12"/>
              </w:rPr>
            </w:pPr>
            <w:r>
              <w:rPr>
                <w:rFonts w:ascii="Arial" w:hAnsi="Arial"/>
                <w:sz w:val="12"/>
                <w:szCs w:val="12"/>
              </w:rPr>
              <w:t>Palomero</w:t>
            </w:r>
          </w:p>
        </w:tc>
      </w:tr>
      <w:tr w:rsidR="002A4DDF" w:rsidRPr="00937C8B" w14:paraId="75FB2094" w14:textId="77777777" w:rsidTr="00935676">
        <w:trPr>
          <w:cantSplit/>
        </w:trPr>
        <w:tc>
          <w:tcPr>
            <w:tcW w:w="1696" w:type="dxa"/>
            <w:tcBorders>
              <w:left w:val="single" w:sz="4" w:space="0" w:color="auto"/>
            </w:tcBorders>
            <w:shd w:val="clear" w:color="auto" w:fill="auto"/>
          </w:tcPr>
          <w:p w14:paraId="5B439675" w14:textId="77777777" w:rsidR="002A4DDF" w:rsidRPr="00937C8B" w:rsidRDefault="002A4DDF" w:rsidP="009110ED">
            <w:pPr>
              <w:rPr>
                <w:rFonts w:ascii="Arial" w:hAnsi="Arial" w:cs="Arial"/>
                <w:sz w:val="12"/>
                <w:szCs w:val="12"/>
              </w:rPr>
            </w:pPr>
          </w:p>
        </w:tc>
        <w:tc>
          <w:tcPr>
            <w:tcW w:w="1843" w:type="dxa"/>
            <w:shd w:val="clear" w:color="auto" w:fill="auto"/>
          </w:tcPr>
          <w:p w14:paraId="4AEFE776" w14:textId="77777777" w:rsidR="002A4DDF" w:rsidRPr="00937C8B" w:rsidRDefault="002A4DDF" w:rsidP="009110ED">
            <w:pPr>
              <w:rPr>
                <w:rFonts w:ascii="Arial" w:hAnsi="Arial" w:cs="Arial"/>
                <w:sz w:val="12"/>
                <w:szCs w:val="12"/>
              </w:rPr>
            </w:pPr>
          </w:p>
        </w:tc>
        <w:tc>
          <w:tcPr>
            <w:tcW w:w="2268" w:type="dxa"/>
            <w:shd w:val="clear" w:color="auto" w:fill="F2F2F2"/>
            <w:hideMark/>
          </w:tcPr>
          <w:p w14:paraId="708F755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A95F595" w14:textId="77777777" w:rsidR="002A4DDF" w:rsidRPr="00937C8B" w:rsidRDefault="002A4DDF" w:rsidP="009110ED">
            <w:pPr>
              <w:rPr>
                <w:rFonts w:ascii="Arial" w:hAnsi="Arial" w:cs="Arial"/>
                <w:sz w:val="12"/>
                <w:szCs w:val="12"/>
              </w:rPr>
            </w:pPr>
            <w:r>
              <w:rPr>
                <w:rFonts w:ascii="Arial" w:hAnsi="Arial"/>
                <w:sz w:val="12"/>
                <w:szCs w:val="12"/>
              </w:rPr>
              <w:t>Pasarón de la Vera</w:t>
            </w:r>
          </w:p>
        </w:tc>
      </w:tr>
      <w:tr w:rsidR="002A4DDF" w:rsidRPr="00937C8B" w14:paraId="2BDB02F8" w14:textId="77777777" w:rsidTr="00935676">
        <w:trPr>
          <w:cantSplit/>
        </w:trPr>
        <w:tc>
          <w:tcPr>
            <w:tcW w:w="1696" w:type="dxa"/>
            <w:tcBorders>
              <w:left w:val="single" w:sz="4" w:space="0" w:color="auto"/>
            </w:tcBorders>
            <w:shd w:val="clear" w:color="auto" w:fill="auto"/>
          </w:tcPr>
          <w:p w14:paraId="3E1DCA99" w14:textId="77777777" w:rsidR="002A4DDF" w:rsidRPr="00937C8B" w:rsidRDefault="002A4DDF" w:rsidP="009110ED">
            <w:pPr>
              <w:rPr>
                <w:rFonts w:ascii="Arial" w:hAnsi="Arial" w:cs="Arial"/>
                <w:sz w:val="12"/>
                <w:szCs w:val="12"/>
              </w:rPr>
            </w:pPr>
          </w:p>
        </w:tc>
        <w:tc>
          <w:tcPr>
            <w:tcW w:w="1843" w:type="dxa"/>
            <w:shd w:val="clear" w:color="auto" w:fill="auto"/>
          </w:tcPr>
          <w:p w14:paraId="17F21ABD" w14:textId="77777777" w:rsidR="002A4DDF" w:rsidRPr="00937C8B" w:rsidRDefault="002A4DDF" w:rsidP="009110ED">
            <w:pPr>
              <w:rPr>
                <w:rFonts w:ascii="Arial" w:hAnsi="Arial" w:cs="Arial"/>
                <w:sz w:val="12"/>
                <w:szCs w:val="12"/>
              </w:rPr>
            </w:pPr>
          </w:p>
        </w:tc>
        <w:tc>
          <w:tcPr>
            <w:tcW w:w="2268" w:type="dxa"/>
            <w:shd w:val="clear" w:color="auto" w:fill="F2F2F2"/>
            <w:hideMark/>
          </w:tcPr>
          <w:p w14:paraId="3DF87F4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136BC1B" w14:textId="77777777" w:rsidR="002A4DDF" w:rsidRPr="00937C8B" w:rsidRDefault="002A4DDF" w:rsidP="009110ED">
            <w:pPr>
              <w:rPr>
                <w:rFonts w:ascii="Arial" w:hAnsi="Arial" w:cs="Arial"/>
                <w:sz w:val="12"/>
                <w:szCs w:val="12"/>
              </w:rPr>
            </w:pPr>
            <w:r>
              <w:rPr>
                <w:rFonts w:ascii="Arial" w:hAnsi="Arial"/>
                <w:sz w:val="12"/>
                <w:szCs w:val="12"/>
              </w:rPr>
              <w:t>Pedroso de Acim</w:t>
            </w:r>
          </w:p>
        </w:tc>
      </w:tr>
      <w:tr w:rsidR="002A4DDF" w:rsidRPr="00937C8B" w14:paraId="5DF81818" w14:textId="77777777" w:rsidTr="00935676">
        <w:trPr>
          <w:cantSplit/>
        </w:trPr>
        <w:tc>
          <w:tcPr>
            <w:tcW w:w="1696" w:type="dxa"/>
            <w:tcBorders>
              <w:left w:val="single" w:sz="4" w:space="0" w:color="auto"/>
            </w:tcBorders>
            <w:shd w:val="clear" w:color="auto" w:fill="auto"/>
          </w:tcPr>
          <w:p w14:paraId="0C0DAF8D" w14:textId="77777777" w:rsidR="002A4DDF" w:rsidRPr="00937C8B" w:rsidRDefault="002A4DDF" w:rsidP="009110ED">
            <w:pPr>
              <w:rPr>
                <w:rFonts w:ascii="Arial" w:hAnsi="Arial" w:cs="Arial"/>
                <w:sz w:val="12"/>
                <w:szCs w:val="12"/>
              </w:rPr>
            </w:pPr>
          </w:p>
        </w:tc>
        <w:tc>
          <w:tcPr>
            <w:tcW w:w="1843" w:type="dxa"/>
            <w:shd w:val="clear" w:color="auto" w:fill="auto"/>
          </w:tcPr>
          <w:p w14:paraId="04146FD5" w14:textId="77777777" w:rsidR="002A4DDF" w:rsidRPr="00937C8B" w:rsidRDefault="002A4DDF" w:rsidP="009110ED">
            <w:pPr>
              <w:rPr>
                <w:rFonts w:ascii="Arial" w:hAnsi="Arial" w:cs="Arial"/>
                <w:sz w:val="12"/>
                <w:szCs w:val="12"/>
              </w:rPr>
            </w:pPr>
          </w:p>
        </w:tc>
        <w:tc>
          <w:tcPr>
            <w:tcW w:w="2268" w:type="dxa"/>
            <w:shd w:val="clear" w:color="auto" w:fill="F2F2F2"/>
            <w:hideMark/>
          </w:tcPr>
          <w:p w14:paraId="1F12F1A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4CE008E" w14:textId="77777777" w:rsidR="002A4DDF" w:rsidRPr="00937C8B" w:rsidRDefault="002A4DDF" w:rsidP="009110ED">
            <w:pPr>
              <w:rPr>
                <w:rFonts w:ascii="Arial" w:hAnsi="Arial" w:cs="Arial"/>
                <w:sz w:val="12"/>
                <w:szCs w:val="12"/>
              </w:rPr>
            </w:pPr>
            <w:r>
              <w:rPr>
                <w:rFonts w:ascii="Arial" w:hAnsi="Arial"/>
                <w:sz w:val="12"/>
                <w:szCs w:val="12"/>
              </w:rPr>
              <w:t>Peraleda de San Román</w:t>
            </w:r>
          </w:p>
        </w:tc>
      </w:tr>
      <w:tr w:rsidR="002A4DDF" w:rsidRPr="00937C8B" w14:paraId="025340F7" w14:textId="77777777" w:rsidTr="00935676">
        <w:trPr>
          <w:cantSplit/>
        </w:trPr>
        <w:tc>
          <w:tcPr>
            <w:tcW w:w="1696" w:type="dxa"/>
            <w:tcBorders>
              <w:left w:val="single" w:sz="4" w:space="0" w:color="auto"/>
            </w:tcBorders>
            <w:shd w:val="clear" w:color="auto" w:fill="auto"/>
          </w:tcPr>
          <w:p w14:paraId="11C14460" w14:textId="77777777" w:rsidR="002A4DDF" w:rsidRPr="00937C8B" w:rsidRDefault="002A4DDF" w:rsidP="009110ED">
            <w:pPr>
              <w:rPr>
                <w:rFonts w:ascii="Arial" w:hAnsi="Arial" w:cs="Arial"/>
                <w:sz w:val="12"/>
                <w:szCs w:val="12"/>
              </w:rPr>
            </w:pPr>
          </w:p>
        </w:tc>
        <w:tc>
          <w:tcPr>
            <w:tcW w:w="1843" w:type="dxa"/>
            <w:shd w:val="clear" w:color="auto" w:fill="auto"/>
          </w:tcPr>
          <w:p w14:paraId="3E68C508" w14:textId="77777777" w:rsidR="002A4DDF" w:rsidRPr="00937C8B" w:rsidRDefault="002A4DDF" w:rsidP="009110ED">
            <w:pPr>
              <w:rPr>
                <w:rFonts w:ascii="Arial" w:hAnsi="Arial" w:cs="Arial"/>
                <w:sz w:val="12"/>
                <w:szCs w:val="12"/>
              </w:rPr>
            </w:pPr>
          </w:p>
        </w:tc>
        <w:tc>
          <w:tcPr>
            <w:tcW w:w="2268" w:type="dxa"/>
            <w:shd w:val="clear" w:color="auto" w:fill="F2F2F2"/>
            <w:hideMark/>
          </w:tcPr>
          <w:p w14:paraId="545B998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91E814D" w14:textId="77777777" w:rsidR="002A4DDF" w:rsidRPr="00937C8B" w:rsidRDefault="002A4DDF" w:rsidP="009110ED">
            <w:pPr>
              <w:rPr>
                <w:rFonts w:ascii="Arial" w:hAnsi="Arial" w:cs="Arial"/>
                <w:sz w:val="12"/>
                <w:szCs w:val="12"/>
              </w:rPr>
            </w:pPr>
            <w:r>
              <w:rPr>
                <w:rFonts w:ascii="Arial" w:hAnsi="Arial"/>
                <w:sz w:val="12"/>
                <w:szCs w:val="12"/>
              </w:rPr>
              <w:t>Perales del Puerto</w:t>
            </w:r>
          </w:p>
        </w:tc>
      </w:tr>
      <w:tr w:rsidR="002A4DDF" w:rsidRPr="00937C8B" w14:paraId="54A537D0" w14:textId="77777777" w:rsidTr="00935676">
        <w:trPr>
          <w:cantSplit/>
        </w:trPr>
        <w:tc>
          <w:tcPr>
            <w:tcW w:w="1696" w:type="dxa"/>
            <w:tcBorders>
              <w:left w:val="single" w:sz="4" w:space="0" w:color="auto"/>
            </w:tcBorders>
            <w:shd w:val="clear" w:color="auto" w:fill="auto"/>
          </w:tcPr>
          <w:p w14:paraId="4EEFFCFA" w14:textId="77777777" w:rsidR="002A4DDF" w:rsidRPr="00937C8B" w:rsidRDefault="002A4DDF" w:rsidP="009110ED">
            <w:pPr>
              <w:rPr>
                <w:rFonts w:ascii="Arial" w:hAnsi="Arial" w:cs="Arial"/>
                <w:sz w:val="12"/>
                <w:szCs w:val="12"/>
              </w:rPr>
            </w:pPr>
          </w:p>
        </w:tc>
        <w:tc>
          <w:tcPr>
            <w:tcW w:w="1843" w:type="dxa"/>
            <w:shd w:val="clear" w:color="auto" w:fill="auto"/>
          </w:tcPr>
          <w:p w14:paraId="67C8D3F8" w14:textId="77777777" w:rsidR="002A4DDF" w:rsidRPr="00937C8B" w:rsidRDefault="002A4DDF" w:rsidP="009110ED">
            <w:pPr>
              <w:rPr>
                <w:rFonts w:ascii="Arial" w:hAnsi="Arial" w:cs="Arial"/>
                <w:sz w:val="12"/>
                <w:szCs w:val="12"/>
              </w:rPr>
            </w:pPr>
          </w:p>
        </w:tc>
        <w:tc>
          <w:tcPr>
            <w:tcW w:w="2268" w:type="dxa"/>
            <w:shd w:val="clear" w:color="auto" w:fill="F2F2F2"/>
            <w:hideMark/>
          </w:tcPr>
          <w:p w14:paraId="1E78B71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8140F8C" w14:textId="77777777" w:rsidR="002A4DDF" w:rsidRPr="00937C8B" w:rsidRDefault="002A4DDF" w:rsidP="009110ED">
            <w:pPr>
              <w:rPr>
                <w:rFonts w:ascii="Arial" w:hAnsi="Arial" w:cs="Arial"/>
                <w:sz w:val="12"/>
                <w:szCs w:val="12"/>
              </w:rPr>
            </w:pPr>
            <w:r>
              <w:rPr>
                <w:rFonts w:ascii="Arial" w:hAnsi="Arial"/>
                <w:sz w:val="12"/>
                <w:szCs w:val="12"/>
              </w:rPr>
              <w:t>Pescueza</w:t>
            </w:r>
          </w:p>
        </w:tc>
      </w:tr>
      <w:tr w:rsidR="002A4DDF" w:rsidRPr="00937C8B" w14:paraId="5501618E" w14:textId="77777777" w:rsidTr="00935676">
        <w:trPr>
          <w:cantSplit/>
        </w:trPr>
        <w:tc>
          <w:tcPr>
            <w:tcW w:w="1696" w:type="dxa"/>
            <w:tcBorders>
              <w:left w:val="single" w:sz="4" w:space="0" w:color="auto"/>
            </w:tcBorders>
            <w:shd w:val="clear" w:color="auto" w:fill="auto"/>
          </w:tcPr>
          <w:p w14:paraId="615B0B1D" w14:textId="77777777" w:rsidR="002A4DDF" w:rsidRPr="00937C8B" w:rsidRDefault="002A4DDF" w:rsidP="009110ED">
            <w:pPr>
              <w:rPr>
                <w:rFonts w:ascii="Arial" w:hAnsi="Arial" w:cs="Arial"/>
                <w:sz w:val="12"/>
                <w:szCs w:val="12"/>
              </w:rPr>
            </w:pPr>
          </w:p>
        </w:tc>
        <w:tc>
          <w:tcPr>
            <w:tcW w:w="1843" w:type="dxa"/>
            <w:shd w:val="clear" w:color="auto" w:fill="auto"/>
          </w:tcPr>
          <w:p w14:paraId="7CC64E98" w14:textId="77777777" w:rsidR="002A4DDF" w:rsidRPr="00937C8B" w:rsidRDefault="002A4DDF" w:rsidP="009110ED">
            <w:pPr>
              <w:rPr>
                <w:rFonts w:ascii="Arial" w:hAnsi="Arial" w:cs="Arial"/>
                <w:sz w:val="12"/>
                <w:szCs w:val="12"/>
              </w:rPr>
            </w:pPr>
          </w:p>
        </w:tc>
        <w:tc>
          <w:tcPr>
            <w:tcW w:w="2268" w:type="dxa"/>
            <w:shd w:val="clear" w:color="auto" w:fill="F2F2F2"/>
            <w:hideMark/>
          </w:tcPr>
          <w:p w14:paraId="5EC20F1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5CA829B" w14:textId="77777777" w:rsidR="002A4DDF" w:rsidRPr="00937C8B" w:rsidRDefault="002A4DDF" w:rsidP="009110ED">
            <w:pPr>
              <w:rPr>
                <w:rFonts w:ascii="Arial" w:hAnsi="Arial" w:cs="Arial"/>
                <w:sz w:val="12"/>
                <w:szCs w:val="12"/>
              </w:rPr>
            </w:pPr>
            <w:r>
              <w:rPr>
                <w:rFonts w:ascii="Arial" w:hAnsi="Arial"/>
                <w:sz w:val="12"/>
                <w:szCs w:val="12"/>
              </w:rPr>
              <w:t>Piedras Albas</w:t>
            </w:r>
          </w:p>
        </w:tc>
      </w:tr>
      <w:tr w:rsidR="002A4DDF" w:rsidRPr="00937C8B" w14:paraId="083EE6F5" w14:textId="77777777" w:rsidTr="00935676">
        <w:trPr>
          <w:cantSplit/>
        </w:trPr>
        <w:tc>
          <w:tcPr>
            <w:tcW w:w="1696" w:type="dxa"/>
            <w:tcBorders>
              <w:left w:val="single" w:sz="4" w:space="0" w:color="auto"/>
            </w:tcBorders>
            <w:shd w:val="clear" w:color="auto" w:fill="auto"/>
          </w:tcPr>
          <w:p w14:paraId="310857FB" w14:textId="77777777" w:rsidR="002A4DDF" w:rsidRPr="00937C8B" w:rsidRDefault="002A4DDF" w:rsidP="009110ED">
            <w:pPr>
              <w:rPr>
                <w:rFonts w:ascii="Arial" w:hAnsi="Arial" w:cs="Arial"/>
                <w:sz w:val="12"/>
                <w:szCs w:val="12"/>
              </w:rPr>
            </w:pPr>
          </w:p>
        </w:tc>
        <w:tc>
          <w:tcPr>
            <w:tcW w:w="1843" w:type="dxa"/>
            <w:shd w:val="clear" w:color="auto" w:fill="auto"/>
          </w:tcPr>
          <w:p w14:paraId="28241865" w14:textId="77777777" w:rsidR="002A4DDF" w:rsidRPr="00937C8B" w:rsidRDefault="002A4DDF" w:rsidP="009110ED">
            <w:pPr>
              <w:rPr>
                <w:rFonts w:ascii="Arial" w:hAnsi="Arial" w:cs="Arial"/>
                <w:sz w:val="12"/>
                <w:szCs w:val="12"/>
              </w:rPr>
            </w:pPr>
          </w:p>
        </w:tc>
        <w:tc>
          <w:tcPr>
            <w:tcW w:w="2268" w:type="dxa"/>
            <w:shd w:val="clear" w:color="auto" w:fill="F2F2F2"/>
            <w:hideMark/>
          </w:tcPr>
          <w:p w14:paraId="0BC896D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9504A4B" w14:textId="77777777" w:rsidR="002A4DDF" w:rsidRPr="00937C8B" w:rsidRDefault="002A4DDF" w:rsidP="009110ED">
            <w:pPr>
              <w:rPr>
                <w:rFonts w:ascii="Arial" w:hAnsi="Arial" w:cs="Arial"/>
                <w:sz w:val="12"/>
                <w:szCs w:val="12"/>
              </w:rPr>
            </w:pPr>
            <w:r>
              <w:rPr>
                <w:rFonts w:ascii="Arial" w:hAnsi="Arial"/>
                <w:sz w:val="12"/>
                <w:szCs w:val="12"/>
              </w:rPr>
              <w:t>Pinofranqueado</w:t>
            </w:r>
          </w:p>
        </w:tc>
      </w:tr>
      <w:tr w:rsidR="002A4DDF" w:rsidRPr="00937C8B" w14:paraId="1F23E0E8" w14:textId="77777777" w:rsidTr="00935676">
        <w:trPr>
          <w:cantSplit/>
        </w:trPr>
        <w:tc>
          <w:tcPr>
            <w:tcW w:w="1696" w:type="dxa"/>
            <w:tcBorders>
              <w:left w:val="single" w:sz="4" w:space="0" w:color="auto"/>
            </w:tcBorders>
            <w:shd w:val="clear" w:color="auto" w:fill="auto"/>
          </w:tcPr>
          <w:p w14:paraId="702EF1F5" w14:textId="77777777" w:rsidR="002A4DDF" w:rsidRPr="00937C8B" w:rsidRDefault="002A4DDF" w:rsidP="009110ED">
            <w:pPr>
              <w:rPr>
                <w:rFonts w:ascii="Arial" w:hAnsi="Arial" w:cs="Arial"/>
                <w:sz w:val="12"/>
                <w:szCs w:val="12"/>
              </w:rPr>
            </w:pPr>
          </w:p>
        </w:tc>
        <w:tc>
          <w:tcPr>
            <w:tcW w:w="1843" w:type="dxa"/>
            <w:shd w:val="clear" w:color="auto" w:fill="auto"/>
          </w:tcPr>
          <w:p w14:paraId="5405439B" w14:textId="77777777" w:rsidR="002A4DDF" w:rsidRPr="00937C8B" w:rsidRDefault="002A4DDF" w:rsidP="009110ED">
            <w:pPr>
              <w:rPr>
                <w:rFonts w:ascii="Arial" w:hAnsi="Arial" w:cs="Arial"/>
                <w:sz w:val="12"/>
                <w:szCs w:val="12"/>
              </w:rPr>
            </w:pPr>
          </w:p>
        </w:tc>
        <w:tc>
          <w:tcPr>
            <w:tcW w:w="2268" w:type="dxa"/>
            <w:shd w:val="clear" w:color="auto" w:fill="F2F2F2"/>
            <w:hideMark/>
          </w:tcPr>
          <w:p w14:paraId="68FF780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BACCC3C" w14:textId="77777777" w:rsidR="002A4DDF" w:rsidRPr="00937C8B" w:rsidRDefault="002A4DDF" w:rsidP="009110ED">
            <w:pPr>
              <w:rPr>
                <w:rFonts w:ascii="Arial" w:hAnsi="Arial" w:cs="Arial"/>
                <w:sz w:val="12"/>
                <w:szCs w:val="12"/>
              </w:rPr>
            </w:pPr>
            <w:r>
              <w:rPr>
                <w:rFonts w:ascii="Arial" w:hAnsi="Arial"/>
                <w:sz w:val="12"/>
                <w:szCs w:val="12"/>
              </w:rPr>
              <w:t>Piornal</w:t>
            </w:r>
          </w:p>
        </w:tc>
      </w:tr>
      <w:tr w:rsidR="002A4DDF" w:rsidRPr="00937C8B" w14:paraId="607CE04C" w14:textId="77777777" w:rsidTr="00935676">
        <w:trPr>
          <w:cantSplit/>
        </w:trPr>
        <w:tc>
          <w:tcPr>
            <w:tcW w:w="1696" w:type="dxa"/>
            <w:tcBorders>
              <w:left w:val="single" w:sz="4" w:space="0" w:color="auto"/>
            </w:tcBorders>
            <w:shd w:val="clear" w:color="auto" w:fill="auto"/>
          </w:tcPr>
          <w:p w14:paraId="3E77E638" w14:textId="77777777" w:rsidR="002A4DDF" w:rsidRPr="00937C8B" w:rsidRDefault="002A4DDF" w:rsidP="009110ED">
            <w:pPr>
              <w:rPr>
                <w:rFonts w:ascii="Arial" w:hAnsi="Arial" w:cs="Arial"/>
                <w:sz w:val="12"/>
                <w:szCs w:val="12"/>
              </w:rPr>
            </w:pPr>
          </w:p>
        </w:tc>
        <w:tc>
          <w:tcPr>
            <w:tcW w:w="1843" w:type="dxa"/>
            <w:shd w:val="clear" w:color="auto" w:fill="auto"/>
          </w:tcPr>
          <w:p w14:paraId="18C7C631" w14:textId="77777777" w:rsidR="002A4DDF" w:rsidRPr="00937C8B" w:rsidRDefault="002A4DDF" w:rsidP="009110ED">
            <w:pPr>
              <w:rPr>
                <w:rFonts w:ascii="Arial" w:hAnsi="Arial" w:cs="Arial"/>
                <w:sz w:val="12"/>
                <w:szCs w:val="12"/>
              </w:rPr>
            </w:pPr>
          </w:p>
        </w:tc>
        <w:tc>
          <w:tcPr>
            <w:tcW w:w="2268" w:type="dxa"/>
            <w:shd w:val="clear" w:color="auto" w:fill="F2F2F2"/>
            <w:hideMark/>
          </w:tcPr>
          <w:p w14:paraId="430B031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8827987" w14:textId="77777777" w:rsidR="002A4DDF" w:rsidRPr="00937C8B" w:rsidRDefault="002A4DDF" w:rsidP="009110ED">
            <w:pPr>
              <w:rPr>
                <w:rFonts w:ascii="Arial" w:hAnsi="Arial" w:cs="Arial"/>
                <w:sz w:val="12"/>
                <w:szCs w:val="12"/>
              </w:rPr>
            </w:pPr>
            <w:r>
              <w:rPr>
                <w:rFonts w:ascii="Arial" w:hAnsi="Arial"/>
                <w:sz w:val="12"/>
                <w:szCs w:val="12"/>
              </w:rPr>
              <w:t>Plasencia</w:t>
            </w:r>
          </w:p>
        </w:tc>
      </w:tr>
      <w:tr w:rsidR="002A4DDF" w:rsidRPr="00937C8B" w14:paraId="28490629" w14:textId="77777777" w:rsidTr="00935676">
        <w:trPr>
          <w:cantSplit/>
        </w:trPr>
        <w:tc>
          <w:tcPr>
            <w:tcW w:w="1696" w:type="dxa"/>
            <w:tcBorders>
              <w:left w:val="single" w:sz="4" w:space="0" w:color="auto"/>
            </w:tcBorders>
            <w:shd w:val="clear" w:color="auto" w:fill="auto"/>
          </w:tcPr>
          <w:p w14:paraId="31B59C8D" w14:textId="77777777" w:rsidR="002A4DDF" w:rsidRPr="00937C8B" w:rsidRDefault="002A4DDF" w:rsidP="009110ED">
            <w:pPr>
              <w:rPr>
                <w:rFonts w:ascii="Arial" w:hAnsi="Arial" w:cs="Arial"/>
                <w:sz w:val="12"/>
                <w:szCs w:val="12"/>
              </w:rPr>
            </w:pPr>
          </w:p>
        </w:tc>
        <w:tc>
          <w:tcPr>
            <w:tcW w:w="1843" w:type="dxa"/>
            <w:shd w:val="clear" w:color="auto" w:fill="auto"/>
          </w:tcPr>
          <w:p w14:paraId="1F439801" w14:textId="77777777" w:rsidR="002A4DDF" w:rsidRPr="00937C8B" w:rsidRDefault="002A4DDF" w:rsidP="009110ED">
            <w:pPr>
              <w:rPr>
                <w:rFonts w:ascii="Arial" w:hAnsi="Arial" w:cs="Arial"/>
                <w:sz w:val="12"/>
                <w:szCs w:val="12"/>
              </w:rPr>
            </w:pPr>
          </w:p>
        </w:tc>
        <w:tc>
          <w:tcPr>
            <w:tcW w:w="2268" w:type="dxa"/>
            <w:shd w:val="clear" w:color="auto" w:fill="F2F2F2"/>
            <w:hideMark/>
          </w:tcPr>
          <w:p w14:paraId="7F2B1C7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3F0646A" w14:textId="77777777" w:rsidR="002A4DDF" w:rsidRPr="00937C8B" w:rsidRDefault="002A4DDF" w:rsidP="009110ED">
            <w:pPr>
              <w:rPr>
                <w:rFonts w:ascii="Arial" w:hAnsi="Arial" w:cs="Arial"/>
                <w:sz w:val="12"/>
                <w:szCs w:val="12"/>
              </w:rPr>
            </w:pPr>
            <w:r>
              <w:rPr>
                <w:rFonts w:ascii="Arial" w:hAnsi="Arial"/>
                <w:sz w:val="12"/>
                <w:szCs w:val="12"/>
              </w:rPr>
              <w:t>Plasenzuela</w:t>
            </w:r>
          </w:p>
        </w:tc>
      </w:tr>
      <w:tr w:rsidR="002A4DDF" w:rsidRPr="00937C8B" w14:paraId="102BE820" w14:textId="77777777" w:rsidTr="00935676">
        <w:trPr>
          <w:cantSplit/>
        </w:trPr>
        <w:tc>
          <w:tcPr>
            <w:tcW w:w="1696" w:type="dxa"/>
            <w:tcBorders>
              <w:left w:val="single" w:sz="4" w:space="0" w:color="auto"/>
            </w:tcBorders>
            <w:shd w:val="clear" w:color="auto" w:fill="auto"/>
          </w:tcPr>
          <w:p w14:paraId="147E0998" w14:textId="77777777" w:rsidR="002A4DDF" w:rsidRPr="00937C8B" w:rsidRDefault="002A4DDF" w:rsidP="009110ED">
            <w:pPr>
              <w:rPr>
                <w:rFonts w:ascii="Arial" w:hAnsi="Arial" w:cs="Arial"/>
                <w:sz w:val="12"/>
                <w:szCs w:val="12"/>
              </w:rPr>
            </w:pPr>
          </w:p>
        </w:tc>
        <w:tc>
          <w:tcPr>
            <w:tcW w:w="1843" w:type="dxa"/>
            <w:shd w:val="clear" w:color="auto" w:fill="auto"/>
          </w:tcPr>
          <w:p w14:paraId="4242D69F" w14:textId="77777777" w:rsidR="002A4DDF" w:rsidRPr="00937C8B" w:rsidRDefault="002A4DDF" w:rsidP="009110ED">
            <w:pPr>
              <w:rPr>
                <w:rFonts w:ascii="Arial" w:hAnsi="Arial" w:cs="Arial"/>
                <w:sz w:val="12"/>
                <w:szCs w:val="12"/>
              </w:rPr>
            </w:pPr>
          </w:p>
        </w:tc>
        <w:tc>
          <w:tcPr>
            <w:tcW w:w="2268" w:type="dxa"/>
            <w:shd w:val="clear" w:color="auto" w:fill="F2F2F2"/>
            <w:hideMark/>
          </w:tcPr>
          <w:p w14:paraId="193079C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3BC0C2C" w14:textId="77777777" w:rsidR="002A4DDF" w:rsidRPr="00937C8B" w:rsidRDefault="002A4DDF" w:rsidP="009110ED">
            <w:pPr>
              <w:rPr>
                <w:rFonts w:ascii="Arial" w:hAnsi="Arial" w:cs="Arial"/>
                <w:sz w:val="12"/>
                <w:szCs w:val="12"/>
              </w:rPr>
            </w:pPr>
            <w:r>
              <w:rPr>
                <w:rFonts w:ascii="Arial" w:hAnsi="Arial"/>
                <w:sz w:val="12"/>
                <w:szCs w:val="12"/>
              </w:rPr>
              <w:t>Portaje</w:t>
            </w:r>
          </w:p>
        </w:tc>
      </w:tr>
      <w:tr w:rsidR="002A4DDF" w:rsidRPr="00937C8B" w14:paraId="277EB407" w14:textId="77777777" w:rsidTr="00935676">
        <w:trPr>
          <w:cantSplit/>
        </w:trPr>
        <w:tc>
          <w:tcPr>
            <w:tcW w:w="1696" w:type="dxa"/>
            <w:tcBorders>
              <w:left w:val="single" w:sz="4" w:space="0" w:color="auto"/>
            </w:tcBorders>
            <w:shd w:val="clear" w:color="auto" w:fill="auto"/>
          </w:tcPr>
          <w:p w14:paraId="7F74DC14" w14:textId="77777777" w:rsidR="002A4DDF" w:rsidRPr="00937C8B" w:rsidRDefault="002A4DDF" w:rsidP="009110ED">
            <w:pPr>
              <w:rPr>
                <w:rFonts w:ascii="Arial" w:hAnsi="Arial" w:cs="Arial"/>
                <w:sz w:val="12"/>
                <w:szCs w:val="12"/>
              </w:rPr>
            </w:pPr>
          </w:p>
        </w:tc>
        <w:tc>
          <w:tcPr>
            <w:tcW w:w="1843" w:type="dxa"/>
            <w:shd w:val="clear" w:color="auto" w:fill="auto"/>
          </w:tcPr>
          <w:p w14:paraId="412BDDE8" w14:textId="77777777" w:rsidR="002A4DDF" w:rsidRPr="00937C8B" w:rsidRDefault="002A4DDF" w:rsidP="009110ED">
            <w:pPr>
              <w:rPr>
                <w:rFonts w:ascii="Arial" w:hAnsi="Arial" w:cs="Arial"/>
                <w:sz w:val="12"/>
                <w:szCs w:val="12"/>
              </w:rPr>
            </w:pPr>
          </w:p>
        </w:tc>
        <w:tc>
          <w:tcPr>
            <w:tcW w:w="2268" w:type="dxa"/>
            <w:shd w:val="clear" w:color="auto" w:fill="F2F2F2"/>
            <w:hideMark/>
          </w:tcPr>
          <w:p w14:paraId="4AECE3D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CECE79F" w14:textId="77777777" w:rsidR="002A4DDF" w:rsidRPr="00937C8B" w:rsidRDefault="002A4DDF" w:rsidP="009110ED">
            <w:pPr>
              <w:rPr>
                <w:rFonts w:ascii="Arial" w:hAnsi="Arial" w:cs="Arial"/>
                <w:sz w:val="12"/>
                <w:szCs w:val="12"/>
              </w:rPr>
            </w:pPr>
            <w:r>
              <w:rPr>
                <w:rFonts w:ascii="Arial" w:hAnsi="Arial"/>
                <w:sz w:val="12"/>
                <w:szCs w:val="12"/>
              </w:rPr>
              <w:t>Pozuelo de Zarzón</w:t>
            </w:r>
          </w:p>
        </w:tc>
      </w:tr>
      <w:tr w:rsidR="002A4DDF" w:rsidRPr="00937C8B" w14:paraId="4120D2B4" w14:textId="77777777" w:rsidTr="00935676">
        <w:trPr>
          <w:cantSplit/>
        </w:trPr>
        <w:tc>
          <w:tcPr>
            <w:tcW w:w="1696" w:type="dxa"/>
            <w:tcBorders>
              <w:left w:val="single" w:sz="4" w:space="0" w:color="auto"/>
            </w:tcBorders>
            <w:shd w:val="clear" w:color="auto" w:fill="auto"/>
          </w:tcPr>
          <w:p w14:paraId="42CD2E5C" w14:textId="77777777" w:rsidR="002A4DDF" w:rsidRPr="00937C8B" w:rsidRDefault="002A4DDF" w:rsidP="009110ED">
            <w:pPr>
              <w:rPr>
                <w:rFonts w:ascii="Arial" w:hAnsi="Arial" w:cs="Arial"/>
                <w:sz w:val="12"/>
                <w:szCs w:val="12"/>
              </w:rPr>
            </w:pPr>
          </w:p>
        </w:tc>
        <w:tc>
          <w:tcPr>
            <w:tcW w:w="1843" w:type="dxa"/>
            <w:shd w:val="clear" w:color="auto" w:fill="auto"/>
          </w:tcPr>
          <w:p w14:paraId="547853A4" w14:textId="77777777" w:rsidR="002A4DDF" w:rsidRPr="00937C8B" w:rsidRDefault="002A4DDF" w:rsidP="009110ED">
            <w:pPr>
              <w:rPr>
                <w:rFonts w:ascii="Arial" w:hAnsi="Arial" w:cs="Arial"/>
                <w:sz w:val="12"/>
                <w:szCs w:val="12"/>
              </w:rPr>
            </w:pPr>
          </w:p>
        </w:tc>
        <w:tc>
          <w:tcPr>
            <w:tcW w:w="2268" w:type="dxa"/>
            <w:shd w:val="clear" w:color="auto" w:fill="F2F2F2"/>
            <w:hideMark/>
          </w:tcPr>
          <w:p w14:paraId="272D9AB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B9513AF" w14:textId="77777777" w:rsidR="002A4DDF" w:rsidRPr="00937C8B" w:rsidRDefault="002A4DDF" w:rsidP="009110ED">
            <w:pPr>
              <w:rPr>
                <w:rFonts w:ascii="Arial" w:hAnsi="Arial" w:cs="Arial"/>
                <w:sz w:val="12"/>
                <w:szCs w:val="12"/>
              </w:rPr>
            </w:pPr>
            <w:r>
              <w:rPr>
                <w:rFonts w:ascii="Arial" w:hAnsi="Arial"/>
                <w:sz w:val="12"/>
                <w:szCs w:val="12"/>
              </w:rPr>
              <w:t>Puerto de Santa Cruz</w:t>
            </w:r>
          </w:p>
        </w:tc>
      </w:tr>
      <w:tr w:rsidR="002A4DDF" w:rsidRPr="00937C8B" w14:paraId="1B24DC78" w14:textId="77777777" w:rsidTr="00935676">
        <w:trPr>
          <w:cantSplit/>
        </w:trPr>
        <w:tc>
          <w:tcPr>
            <w:tcW w:w="1696" w:type="dxa"/>
            <w:tcBorders>
              <w:left w:val="single" w:sz="4" w:space="0" w:color="auto"/>
            </w:tcBorders>
            <w:shd w:val="clear" w:color="auto" w:fill="auto"/>
          </w:tcPr>
          <w:p w14:paraId="23400AB9" w14:textId="77777777" w:rsidR="002A4DDF" w:rsidRPr="00937C8B" w:rsidRDefault="002A4DDF" w:rsidP="009110ED">
            <w:pPr>
              <w:rPr>
                <w:rFonts w:ascii="Arial" w:hAnsi="Arial" w:cs="Arial"/>
                <w:sz w:val="12"/>
                <w:szCs w:val="12"/>
              </w:rPr>
            </w:pPr>
          </w:p>
        </w:tc>
        <w:tc>
          <w:tcPr>
            <w:tcW w:w="1843" w:type="dxa"/>
            <w:shd w:val="clear" w:color="auto" w:fill="auto"/>
          </w:tcPr>
          <w:p w14:paraId="6AE8320C" w14:textId="77777777" w:rsidR="002A4DDF" w:rsidRPr="00937C8B" w:rsidRDefault="002A4DDF" w:rsidP="009110ED">
            <w:pPr>
              <w:rPr>
                <w:rFonts w:ascii="Arial" w:hAnsi="Arial" w:cs="Arial"/>
                <w:sz w:val="12"/>
                <w:szCs w:val="12"/>
              </w:rPr>
            </w:pPr>
          </w:p>
        </w:tc>
        <w:tc>
          <w:tcPr>
            <w:tcW w:w="2268" w:type="dxa"/>
            <w:shd w:val="clear" w:color="auto" w:fill="F2F2F2"/>
            <w:hideMark/>
          </w:tcPr>
          <w:p w14:paraId="68D4E43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A4383D2" w14:textId="77777777" w:rsidR="002A4DDF" w:rsidRPr="00937C8B" w:rsidRDefault="002A4DDF" w:rsidP="009110ED">
            <w:pPr>
              <w:rPr>
                <w:rFonts w:ascii="Arial" w:hAnsi="Arial" w:cs="Arial"/>
                <w:sz w:val="12"/>
                <w:szCs w:val="12"/>
              </w:rPr>
            </w:pPr>
            <w:r>
              <w:rPr>
                <w:rFonts w:ascii="Arial" w:hAnsi="Arial"/>
                <w:sz w:val="12"/>
                <w:szCs w:val="12"/>
              </w:rPr>
              <w:t>Rebollar</w:t>
            </w:r>
          </w:p>
        </w:tc>
      </w:tr>
      <w:tr w:rsidR="002A4DDF" w:rsidRPr="00937C8B" w14:paraId="23A7D95E" w14:textId="77777777" w:rsidTr="00935676">
        <w:trPr>
          <w:cantSplit/>
        </w:trPr>
        <w:tc>
          <w:tcPr>
            <w:tcW w:w="1696" w:type="dxa"/>
            <w:tcBorders>
              <w:left w:val="single" w:sz="4" w:space="0" w:color="auto"/>
            </w:tcBorders>
            <w:shd w:val="clear" w:color="auto" w:fill="auto"/>
          </w:tcPr>
          <w:p w14:paraId="702A9E83" w14:textId="77777777" w:rsidR="002A4DDF" w:rsidRPr="00937C8B" w:rsidRDefault="002A4DDF" w:rsidP="009110ED">
            <w:pPr>
              <w:rPr>
                <w:rFonts w:ascii="Arial" w:hAnsi="Arial" w:cs="Arial"/>
                <w:sz w:val="12"/>
                <w:szCs w:val="12"/>
              </w:rPr>
            </w:pPr>
          </w:p>
        </w:tc>
        <w:tc>
          <w:tcPr>
            <w:tcW w:w="1843" w:type="dxa"/>
            <w:shd w:val="clear" w:color="auto" w:fill="auto"/>
          </w:tcPr>
          <w:p w14:paraId="2E100D43" w14:textId="77777777" w:rsidR="002A4DDF" w:rsidRPr="00937C8B" w:rsidRDefault="002A4DDF" w:rsidP="009110ED">
            <w:pPr>
              <w:rPr>
                <w:rFonts w:ascii="Arial" w:hAnsi="Arial" w:cs="Arial"/>
                <w:sz w:val="12"/>
                <w:szCs w:val="12"/>
              </w:rPr>
            </w:pPr>
          </w:p>
        </w:tc>
        <w:tc>
          <w:tcPr>
            <w:tcW w:w="2268" w:type="dxa"/>
            <w:shd w:val="clear" w:color="auto" w:fill="F2F2F2"/>
            <w:hideMark/>
          </w:tcPr>
          <w:p w14:paraId="38D99EF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FB4BC48" w14:textId="77777777" w:rsidR="002A4DDF" w:rsidRPr="00937C8B" w:rsidRDefault="002A4DDF" w:rsidP="009110ED">
            <w:pPr>
              <w:rPr>
                <w:rFonts w:ascii="Arial" w:hAnsi="Arial" w:cs="Arial"/>
                <w:sz w:val="12"/>
                <w:szCs w:val="12"/>
              </w:rPr>
            </w:pPr>
            <w:r>
              <w:rPr>
                <w:rFonts w:ascii="Arial" w:hAnsi="Arial"/>
                <w:sz w:val="12"/>
                <w:szCs w:val="12"/>
              </w:rPr>
              <w:t>Robledillo de Gata</w:t>
            </w:r>
          </w:p>
        </w:tc>
      </w:tr>
      <w:tr w:rsidR="002A4DDF" w:rsidRPr="00937C8B" w14:paraId="1809E43A" w14:textId="77777777" w:rsidTr="00935676">
        <w:trPr>
          <w:cantSplit/>
        </w:trPr>
        <w:tc>
          <w:tcPr>
            <w:tcW w:w="1696" w:type="dxa"/>
            <w:tcBorders>
              <w:left w:val="single" w:sz="4" w:space="0" w:color="auto"/>
            </w:tcBorders>
            <w:shd w:val="clear" w:color="auto" w:fill="auto"/>
          </w:tcPr>
          <w:p w14:paraId="794AC25D" w14:textId="77777777" w:rsidR="002A4DDF" w:rsidRPr="00937C8B" w:rsidRDefault="002A4DDF" w:rsidP="009110ED">
            <w:pPr>
              <w:rPr>
                <w:rFonts w:ascii="Arial" w:hAnsi="Arial" w:cs="Arial"/>
                <w:sz w:val="12"/>
                <w:szCs w:val="12"/>
              </w:rPr>
            </w:pPr>
          </w:p>
        </w:tc>
        <w:tc>
          <w:tcPr>
            <w:tcW w:w="1843" w:type="dxa"/>
            <w:shd w:val="clear" w:color="auto" w:fill="auto"/>
          </w:tcPr>
          <w:p w14:paraId="440F541C" w14:textId="77777777" w:rsidR="002A4DDF" w:rsidRPr="00937C8B" w:rsidRDefault="002A4DDF" w:rsidP="009110ED">
            <w:pPr>
              <w:rPr>
                <w:rFonts w:ascii="Arial" w:hAnsi="Arial" w:cs="Arial"/>
                <w:sz w:val="12"/>
                <w:szCs w:val="12"/>
              </w:rPr>
            </w:pPr>
          </w:p>
        </w:tc>
        <w:tc>
          <w:tcPr>
            <w:tcW w:w="2268" w:type="dxa"/>
            <w:shd w:val="clear" w:color="auto" w:fill="F2F2F2"/>
            <w:hideMark/>
          </w:tcPr>
          <w:p w14:paraId="1B1A866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3A3A550" w14:textId="77777777" w:rsidR="002A4DDF" w:rsidRPr="00937C8B" w:rsidRDefault="002A4DDF" w:rsidP="009110ED">
            <w:pPr>
              <w:rPr>
                <w:rFonts w:ascii="Arial" w:hAnsi="Arial" w:cs="Arial"/>
                <w:sz w:val="12"/>
                <w:szCs w:val="12"/>
              </w:rPr>
            </w:pPr>
            <w:r>
              <w:rPr>
                <w:rFonts w:ascii="Arial" w:hAnsi="Arial"/>
                <w:sz w:val="12"/>
                <w:szCs w:val="12"/>
              </w:rPr>
              <w:t>Robledillo de la Vera</w:t>
            </w:r>
          </w:p>
        </w:tc>
      </w:tr>
      <w:tr w:rsidR="002A4DDF" w:rsidRPr="00937C8B" w14:paraId="3A38747F" w14:textId="77777777" w:rsidTr="00935676">
        <w:trPr>
          <w:cantSplit/>
        </w:trPr>
        <w:tc>
          <w:tcPr>
            <w:tcW w:w="1696" w:type="dxa"/>
            <w:tcBorders>
              <w:left w:val="single" w:sz="4" w:space="0" w:color="auto"/>
            </w:tcBorders>
            <w:shd w:val="clear" w:color="auto" w:fill="auto"/>
          </w:tcPr>
          <w:p w14:paraId="4E8549B4" w14:textId="77777777" w:rsidR="002A4DDF" w:rsidRPr="00937C8B" w:rsidRDefault="002A4DDF" w:rsidP="009110ED">
            <w:pPr>
              <w:rPr>
                <w:rFonts w:ascii="Arial" w:hAnsi="Arial" w:cs="Arial"/>
                <w:sz w:val="12"/>
                <w:szCs w:val="12"/>
              </w:rPr>
            </w:pPr>
          </w:p>
        </w:tc>
        <w:tc>
          <w:tcPr>
            <w:tcW w:w="1843" w:type="dxa"/>
            <w:shd w:val="clear" w:color="auto" w:fill="auto"/>
          </w:tcPr>
          <w:p w14:paraId="6A6966EA" w14:textId="77777777" w:rsidR="002A4DDF" w:rsidRPr="00937C8B" w:rsidRDefault="002A4DDF" w:rsidP="009110ED">
            <w:pPr>
              <w:rPr>
                <w:rFonts w:ascii="Arial" w:hAnsi="Arial" w:cs="Arial"/>
                <w:sz w:val="12"/>
                <w:szCs w:val="12"/>
              </w:rPr>
            </w:pPr>
          </w:p>
        </w:tc>
        <w:tc>
          <w:tcPr>
            <w:tcW w:w="2268" w:type="dxa"/>
            <w:shd w:val="clear" w:color="auto" w:fill="F2F2F2"/>
            <w:hideMark/>
          </w:tcPr>
          <w:p w14:paraId="689E07C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19C74C5" w14:textId="77777777" w:rsidR="002A4DDF" w:rsidRPr="00937C8B" w:rsidRDefault="002A4DDF" w:rsidP="009110ED">
            <w:pPr>
              <w:rPr>
                <w:rFonts w:ascii="Arial" w:hAnsi="Arial" w:cs="Arial"/>
                <w:sz w:val="12"/>
                <w:szCs w:val="12"/>
              </w:rPr>
            </w:pPr>
            <w:r>
              <w:rPr>
                <w:rFonts w:ascii="Arial" w:hAnsi="Arial"/>
                <w:sz w:val="12"/>
                <w:szCs w:val="12"/>
              </w:rPr>
              <w:t>Robledillo de Trujillo</w:t>
            </w:r>
          </w:p>
        </w:tc>
      </w:tr>
      <w:tr w:rsidR="002A4DDF" w:rsidRPr="00937C8B" w14:paraId="355FF9E8" w14:textId="77777777" w:rsidTr="00935676">
        <w:trPr>
          <w:cantSplit/>
        </w:trPr>
        <w:tc>
          <w:tcPr>
            <w:tcW w:w="1696" w:type="dxa"/>
            <w:tcBorders>
              <w:left w:val="single" w:sz="4" w:space="0" w:color="auto"/>
            </w:tcBorders>
            <w:shd w:val="clear" w:color="auto" w:fill="auto"/>
          </w:tcPr>
          <w:p w14:paraId="22D9F831" w14:textId="77777777" w:rsidR="002A4DDF" w:rsidRPr="00937C8B" w:rsidRDefault="002A4DDF" w:rsidP="009110ED">
            <w:pPr>
              <w:rPr>
                <w:rFonts w:ascii="Arial" w:hAnsi="Arial" w:cs="Arial"/>
                <w:sz w:val="12"/>
                <w:szCs w:val="12"/>
              </w:rPr>
            </w:pPr>
          </w:p>
        </w:tc>
        <w:tc>
          <w:tcPr>
            <w:tcW w:w="1843" w:type="dxa"/>
            <w:shd w:val="clear" w:color="auto" w:fill="auto"/>
          </w:tcPr>
          <w:p w14:paraId="1F13314A" w14:textId="77777777" w:rsidR="002A4DDF" w:rsidRPr="00937C8B" w:rsidRDefault="002A4DDF" w:rsidP="009110ED">
            <w:pPr>
              <w:rPr>
                <w:rFonts w:ascii="Arial" w:hAnsi="Arial" w:cs="Arial"/>
                <w:sz w:val="12"/>
                <w:szCs w:val="12"/>
              </w:rPr>
            </w:pPr>
          </w:p>
        </w:tc>
        <w:tc>
          <w:tcPr>
            <w:tcW w:w="2268" w:type="dxa"/>
            <w:shd w:val="clear" w:color="auto" w:fill="F2F2F2"/>
            <w:hideMark/>
          </w:tcPr>
          <w:p w14:paraId="3E56B44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F4F042D" w14:textId="77777777" w:rsidR="002A4DDF" w:rsidRPr="00937C8B" w:rsidRDefault="002A4DDF" w:rsidP="009110ED">
            <w:pPr>
              <w:rPr>
                <w:rFonts w:ascii="Arial" w:hAnsi="Arial" w:cs="Arial"/>
                <w:sz w:val="12"/>
                <w:szCs w:val="12"/>
              </w:rPr>
            </w:pPr>
            <w:r>
              <w:rPr>
                <w:rFonts w:ascii="Arial" w:hAnsi="Arial"/>
                <w:sz w:val="12"/>
                <w:szCs w:val="12"/>
              </w:rPr>
              <w:t>Robledollano</w:t>
            </w:r>
          </w:p>
        </w:tc>
      </w:tr>
      <w:tr w:rsidR="002A4DDF" w:rsidRPr="00937C8B" w14:paraId="4762B845" w14:textId="77777777" w:rsidTr="00935676">
        <w:trPr>
          <w:cantSplit/>
        </w:trPr>
        <w:tc>
          <w:tcPr>
            <w:tcW w:w="1696" w:type="dxa"/>
            <w:tcBorders>
              <w:left w:val="single" w:sz="4" w:space="0" w:color="auto"/>
            </w:tcBorders>
            <w:shd w:val="clear" w:color="auto" w:fill="auto"/>
          </w:tcPr>
          <w:p w14:paraId="3E02FEAA" w14:textId="77777777" w:rsidR="002A4DDF" w:rsidRPr="00937C8B" w:rsidRDefault="002A4DDF" w:rsidP="009110ED">
            <w:pPr>
              <w:rPr>
                <w:rFonts w:ascii="Arial" w:hAnsi="Arial" w:cs="Arial"/>
                <w:sz w:val="12"/>
                <w:szCs w:val="12"/>
              </w:rPr>
            </w:pPr>
          </w:p>
        </w:tc>
        <w:tc>
          <w:tcPr>
            <w:tcW w:w="1843" w:type="dxa"/>
            <w:shd w:val="clear" w:color="auto" w:fill="auto"/>
          </w:tcPr>
          <w:p w14:paraId="13F0A13E" w14:textId="77777777" w:rsidR="002A4DDF" w:rsidRPr="00937C8B" w:rsidRDefault="002A4DDF" w:rsidP="009110ED">
            <w:pPr>
              <w:rPr>
                <w:rFonts w:ascii="Arial" w:hAnsi="Arial" w:cs="Arial"/>
                <w:sz w:val="12"/>
                <w:szCs w:val="12"/>
              </w:rPr>
            </w:pPr>
          </w:p>
        </w:tc>
        <w:tc>
          <w:tcPr>
            <w:tcW w:w="2268" w:type="dxa"/>
            <w:shd w:val="clear" w:color="auto" w:fill="F2F2F2"/>
            <w:hideMark/>
          </w:tcPr>
          <w:p w14:paraId="1166871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5584BDA" w14:textId="77777777" w:rsidR="002A4DDF" w:rsidRPr="00937C8B" w:rsidRDefault="002A4DDF" w:rsidP="009110ED">
            <w:pPr>
              <w:rPr>
                <w:rFonts w:ascii="Arial" w:hAnsi="Arial" w:cs="Arial"/>
                <w:sz w:val="12"/>
                <w:szCs w:val="12"/>
              </w:rPr>
            </w:pPr>
            <w:r>
              <w:rPr>
                <w:rFonts w:ascii="Arial" w:hAnsi="Arial"/>
                <w:sz w:val="12"/>
                <w:szCs w:val="12"/>
              </w:rPr>
              <w:t>Romangordo</w:t>
            </w:r>
          </w:p>
        </w:tc>
      </w:tr>
      <w:tr w:rsidR="002A4DDF" w:rsidRPr="00937C8B" w14:paraId="1C290507" w14:textId="77777777" w:rsidTr="00935676">
        <w:trPr>
          <w:cantSplit/>
        </w:trPr>
        <w:tc>
          <w:tcPr>
            <w:tcW w:w="1696" w:type="dxa"/>
            <w:tcBorders>
              <w:left w:val="single" w:sz="4" w:space="0" w:color="auto"/>
            </w:tcBorders>
            <w:shd w:val="clear" w:color="auto" w:fill="auto"/>
          </w:tcPr>
          <w:p w14:paraId="3144133F" w14:textId="77777777" w:rsidR="002A4DDF" w:rsidRPr="00937C8B" w:rsidRDefault="002A4DDF" w:rsidP="009110ED">
            <w:pPr>
              <w:rPr>
                <w:rFonts w:ascii="Arial" w:hAnsi="Arial" w:cs="Arial"/>
                <w:sz w:val="12"/>
                <w:szCs w:val="12"/>
              </w:rPr>
            </w:pPr>
          </w:p>
        </w:tc>
        <w:tc>
          <w:tcPr>
            <w:tcW w:w="1843" w:type="dxa"/>
            <w:shd w:val="clear" w:color="auto" w:fill="auto"/>
          </w:tcPr>
          <w:p w14:paraId="1BA32C1C" w14:textId="77777777" w:rsidR="002A4DDF" w:rsidRPr="00937C8B" w:rsidRDefault="002A4DDF" w:rsidP="009110ED">
            <w:pPr>
              <w:rPr>
                <w:rFonts w:ascii="Arial" w:hAnsi="Arial" w:cs="Arial"/>
                <w:sz w:val="12"/>
                <w:szCs w:val="12"/>
              </w:rPr>
            </w:pPr>
          </w:p>
        </w:tc>
        <w:tc>
          <w:tcPr>
            <w:tcW w:w="2268" w:type="dxa"/>
            <w:shd w:val="clear" w:color="auto" w:fill="F2F2F2"/>
            <w:hideMark/>
          </w:tcPr>
          <w:p w14:paraId="5DDFE7F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1D1E41C" w14:textId="77777777" w:rsidR="002A4DDF" w:rsidRPr="00937C8B" w:rsidRDefault="002A4DDF" w:rsidP="009110ED">
            <w:pPr>
              <w:rPr>
                <w:rFonts w:ascii="Arial" w:hAnsi="Arial" w:cs="Arial"/>
                <w:sz w:val="12"/>
                <w:szCs w:val="12"/>
              </w:rPr>
            </w:pPr>
            <w:r>
              <w:rPr>
                <w:rFonts w:ascii="Arial" w:hAnsi="Arial"/>
                <w:sz w:val="12"/>
                <w:szCs w:val="12"/>
              </w:rPr>
              <w:t>Ruanes</w:t>
            </w:r>
          </w:p>
        </w:tc>
      </w:tr>
      <w:tr w:rsidR="002A4DDF" w:rsidRPr="00937C8B" w14:paraId="34B57EEF" w14:textId="77777777" w:rsidTr="00935676">
        <w:trPr>
          <w:cantSplit/>
        </w:trPr>
        <w:tc>
          <w:tcPr>
            <w:tcW w:w="1696" w:type="dxa"/>
            <w:tcBorders>
              <w:left w:val="single" w:sz="4" w:space="0" w:color="auto"/>
            </w:tcBorders>
            <w:shd w:val="clear" w:color="auto" w:fill="auto"/>
          </w:tcPr>
          <w:p w14:paraId="6CB2A4F2" w14:textId="77777777" w:rsidR="002A4DDF" w:rsidRPr="00937C8B" w:rsidRDefault="002A4DDF" w:rsidP="009110ED">
            <w:pPr>
              <w:rPr>
                <w:rFonts w:ascii="Arial" w:hAnsi="Arial" w:cs="Arial"/>
                <w:sz w:val="12"/>
                <w:szCs w:val="12"/>
              </w:rPr>
            </w:pPr>
          </w:p>
        </w:tc>
        <w:tc>
          <w:tcPr>
            <w:tcW w:w="1843" w:type="dxa"/>
            <w:shd w:val="clear" w:color="auto" w:fill="auto"/>
          </w:tcPr>
          <w:p w14:paraId="1C6EDC17" w14:textId="77777777" w:rsidR="002A4DDF" w:rsidRPr="00937C8B" w:rsidRDefault="002A4DDF" w:rsidP="009110ED">
            <w:pPr>
              <w:rPr>
                <w:rFonts w:ascii="Arial" w:hAnsi="Arial" w:cs="Arial"/>
                <w:sz w:val="12"/>
                <w:szCs w:val="12"/>
              </w:rPr>
            </w:pPr>
          </w:p>
        </w:tc>
        <w:tc>
          <w:tcPr>
            <w:tcW w:w="2268" w:type="dxa"/>
            <w:shd w:val="clear" w:color="auto" w:fill="F2F2F2"/>
            <w:hideMark/>
          </w:tcPr>
          <w:p w14:paraId="63FE21B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7604EA3" w14:textId="77777777" w:rsidR="002A4DDF" w:rsidRPr="00937C8B" w:rsidRDefault="002A4DDF" w:rsidP="009110ED">
            <w:pPr>
              <w:rPr>
                <w:rFonts w:ascii="Arial" w:hAnsi="Arial" w:cs="Arial"/>
                <w:sz w:val="12"/>
                <w:szCs w:val="12"/>
              </w:rPr>
            </w:pPr>
            <w:r>
              <w:rPr>
                <w:rFonts w:ascii="Arial" w:hAnsi="Arial"/>
                <w:sz w:val="12"/>
                <w:szCs w:val="12"/>
              </w:rPr>
              <w:t>Salorino</w:t>
            </w:r>
          </w:p>
        </w:tc>
      </w:tr>
      <w:tr w:rsidR="002A4DDF" w:rsidRPr="00937C8B" w14:paraId="25C39294" w14:textId="77777777" w:rsidTr="00935676">
        <w:trPr>
          <w:cantSplit/>
        </w:trPr>
        <w:tc>
          <w:tcPr>
            <w:tcW w:w="1696" w:type="dxa"/>
            <w:tcBorders>
              <w:left w:val="single" w:sz="4" w:space="0" w:color="auto"/>
            </w:tcBorders>
            <w:shd w:val="clear" w:color="auto" w:fill="auto"/>
          </w:tcPr>
          <w:p w14:paraId="31D367BF" w14:textId="77777777" w:rsidR="002A4DDF" w:rsidRPr="00937C8B" w:rsidRDefault="002A4DDF" w:rsidP="009110ED">
            <w:pPr>
              <w:rPr>
                <w:rFonts w:ascii="Arial" w:hAnsi="Arial" w:cs="Arial"/>
                <w:sz w:val="12"/>
                <w:szCs w:val="12"/>
              </w:rPr>
            </w:pPr>
          </w:p>
        </w:tc>
        <w:tc>
          <w:tcPr>
            <w:tcW w:w="1843" w:type="dxa"/>
            <w:shd w:val="clear" w:color="auto" w:fill="auto"/>
          </w:tcPr>
          <w:p w14:paraId="163FEAD3" w14:textId="77777777" w:rsidR="002A4DDF" w:rsidRPr="00937C8B" w:rsidRDefault="002A4DDF" w:rsidP="009110ED">
            <w:pPr>
              <w:rPr>
                <w:rFonts w:ascii="Arial" w:hAnsi="Arial" w:cs="Arial"/>
                <w:sz w:val="12"/>
                <w:szCs w:val="12"/>
              </w:rPr>
            </w:pPr>
          </w:p>
        </w:tc>
        <w:tc>
          <w:tcPr>
            <w:tcW w:w="2268" w:type="dxa"/>
            <w:shd w:val="clear" w:color="auto" w:fill="F2F2F2"/>
            <w:hideMark/>
          </w:tcPr>
          <w:p w14:paraId="2D204B5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AF7F6CA" w14:textId="77777777" w:rsidR="002A4DDF" w:rsidRPr="00937C8B" w:rsidRDefault="002A4DDF" w:rsidP="009110ED">
            <w:pPr>
              <w:rPr>
                <w:rFonts w:ascii="Arial" w:hAnsi="Arial" w:cs="Arial"/>
                <w:sz w:val="12"/>
                <w:szCs w:val="12"/>
              </w:rPr>
            </w:pPr>
            <w:r>
              <w:rPr>
                <w:rFonts w:ascii="Arial" w:hAnsi="Arial"/>
                <w:sz w:val="12"/>
                <w:szCs w:val="12"/>
              </w:rPr>
              <w:t>Salvatierra de Santiago</w:t>
            </w:r>
          </w:p>
        </w:tc>
      </w:tr>
      <w:tr w:rsidR="002A4DDF" w:rsidRPr="00937C8B" w14:paraId="12E33B1D" w14:textId="77777777" w:rsidTr="00935676">
        <w:trPr>
          <w:cantSplit/>
        </w:trPr>
        <w:tc>
          <w:tcPr>
            <w:tcW w:w="1696" w:type="dxa"/>
            <w:tcBorders>
              <w:left w:val="single" w:sz="4" w:space="0" w:color="auto"/>
            </w:tcBorders>
            <w:shd w:val="clear" w:color="auto" w:fill="auto"/>
          </w:tcPr>
          <w:p w14:paraId="5ADB0085" w14:textId="77777777" w:rsidR="002A4DDF" w:rsidRPr="00937C8B" w:rsidRDefault="002A4DDF" w:rsidP="009110ED">
            <w:pPr>
              <w:rPr>
                <w:rFonts w:ascii="Arial" w:hAnsi="Arial" w:cs="Arial"/>
                <w:sz w:val="12"/>
                <w:szCs w:val="12"/>
              </w:rPr>
            </w:pPr>
          </w:p>
        </w:tc>
        <w:tc>
          <w:tcPr>
            <w:tcW w:w="1843" w:type="dxa"/>
            <w:shd w:val="clear" w:color="auto" w:fill="auto"/>
          </w:tcPr>
          <w:p w14:paraId="1EAFD678" w14:textId="77777777" w:rsidR="002A4DDF" w:rsidRPr="00937C8B" w:rsidRDefault="002A4DDF" w:rsidP="009110ED">
            <w:pPr>
              <w:rPr>
                <w:rFonts w:ascii="Arial" w:hAnsi="Arial" w:cs="Arial"/>
                <w:sz w:val="12"/>
                <w:szCs w:val="12"/>
              </w:rPr>
            </w:pPr>
          </w:p>
        </w:tc>
        <w:tc>
          <w:tcPr>
            <w:tcW w:w="2268" w:type="dxa"/>
            <w:shd w:val="clear" w:color="auto" w:fill="F2F2F2"/>
            <w:hideMark/>
          </w:tcPr>
          <w:p w14:paraId="5AC37F8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8FF3D66" w14:textId="77777777" w:rsidR="002A4DDF" w:rsidRPr="00937C8B" w:rsidRDefault="002A4DDF" w:rsidP="009110ED">
            <w:pPr>
              <w:rPr>
                <w:rFonts w:ascii="Arial" w:hAnsi="Arial" w:cs="Arial"/>
                <w:sz w:val="12"/>
                <w:szCs w:val="12"/>
              </w:rPr>
            </w:pPr>
            <w:r>
              <w:rPr>
                <w:rFonts w:ascii="Arial" w:hAnsi="Arial"/>
                <w:sz w:val="12"/>
                <w:szCs w:val="12"/>
              </w:rPr>
              <w:t>San Martín de Trevejo</w:t>
            </w:r>
          </w:p>
        </w:tc>
      </w:tr>
      <w:tr w:rsidR="002A4DDF" w:rsidRPr="00937C8B" w14:paraId="26B0D8F8" w14:textId="77777777" w:rsidTr="00935676">
        <w:trPr>
          <w:cantSplit/>
        </w:trPr>
        <w:tc>
          <w:tcPr>
            <w:tcW w:w="1696" w:type="dxa"/>
            <w:tcBorders>
              <w:left w:val="single" w:sz="4" w:space="0" w:color="auto"/>
            </w:tcBorders>
            <w:shd w:val="clear" w:color="auto" w:fill="auto"/>
          </w:tcPr>
          <w:p w14:paraId="325F7ED5" w14:textId="77777777" w:rsidR="002A4DDF" w:rsidRPr="00937C8B" w:rsidRDefault="002A4DDF" w:rsidP="009110ED">
            <w:pPr>
              <w:rPr>
                <w:rFonts w:ascii="Arial" w:hAnsi="Arial" w:cs="Arial"/>
                <w:sz w:val="12"/>
                <w:szCs w:val="12"/>
              </w:rPr>
            </w:pPr>
          </w:p>
        </w:tc>
        <w:tc>
          <w:tcPr>
            <w:tcW w:w="1843" w:type="dxa"/>
            <w:shd w:val="clear" w:color="auto" w:fill="auto"/>
          </w:tcPr>
          <w:p w14:paraId="14918D2B" w14:textId="77777777" w:rsidR="002A4DDF" w:rsidRPr="00937C8B" w:rsidRDefault="002A4DDF" w:rsidP="009110ED">
            <w:pPr>
              <w:rPr>
                <w:rFonts w:ascii="Arial" w:hAnsi="Arial" w:cs="Arial"/>
                <w:sz w:val="12"/>
                <w:szCs w:val="12"/>
              </w:rPr>
            </w:pPr>
          </w:p>
        </w:tc>
        <w:tc>
          <w:tcPr>
            <w:tcW w:w="2268" w:type="dxa"/>
            <w:shd w:val="clear" w:color="auto" w:fill="F2F2F2"/>
            <w:hideMark/>
          </w:tcPr>
          <w:p w14:paraId="2EE171A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9D1F501" w14:textId="77777777" w:rsidR="002A4DDF" w:rsidRPr="00937C8B" w:rsidRDefault="002A4DDF" w:rsidP="009110ED">
            <w:pPr>
              <w:rPr>
                <w:rFonts w:ascii="Arial" w:hAnsi="Arial" w:cs="Arial"/>
                <w:sz w:val="12"/>
                <w:szCs w:val="12"/>
              </w:rPr>
            </w:pPr>
            <w:r>
              <w:rPr>
                <w:rFonts w:ascii="Arial" w:hAnsi="Arial"/>
                <w:sz w:val="12"/>
                <w:szCs w:val="12"/>
              </w:rPr>
              <w:t>Santa Ana</w:t>
            </w:r>
          </w:p>
        </w:tc>
      </w:tr>
      <w:tr w:rsidR="002A4DDF" w:rsidRPr="00937C8B" w14:paraId="52F4C942" w14:textId="77777777" w:rsidTr="00935676">
        <w:trPr>
          <w:cantSplit/>
        </w:trPr>
        <w:tc>
          <w:tcPr>
            <w:tcW w:w="1696" w:type="dxa"/>
            <w:tcBorders>
              <w:left w:val="single" w:sz="4" w:space="0" w:color="auto"/>
            </w:tcBorders>
            <w:shd w:val="clear" w:color="auto" w:fill="auto"/>
          </w:tcPr>
          <w:p w14:paraId="69805F02" w14:textId="77777777" w:rsidR="002A4DDF" w:rsidRPr="00937C8B" w:rsidRDefault="002A4DDF" w:rsidP="009110ED">
            <w:pPr>
              <w:rPr>
                <w:rFonts w:ascii="Arial" w:hAnsi="Arial" w:cs="Arial"/>
                <w:sz w:val="12"/>
                <w:szCs w:val="12"/>
              </w:rPr>
            </w:pPr>
          </w:p>
        </w:tc>
        <w:tc>
          <w:tcPr>
            <w:tcW w:w="1843" w:type="dxa"/>
            <w:shd w:val="clear" w:color="auto" w:fill="auto"/>
          </w:tcPr>
          <w:p w14:paraId="7CC9C36A" w14:textId="77777777" w:rsidR="002A4DDF" w:rsidRPr="00937C8B" w:rsidRDefault="002A4DDF" w:rsidP="009110ED">
            <w:pPr>
              <w:rPr>
                <w:rFonts w:ascii="Arial" w:hAnsi="Arial" w:cs="Arial"/>
                <w:sz w:val="12"/>
                <w:szCs w:val="12"/>
              </w:rPr>
            </w:pPr>
          </w:p>
        </w:tc>
        <w:tc>
          <w:tcPr>
            <w:tcW w:w="2268" w:type="dxa"/>
            <w:shd w:val="clear" w:color="auto" w:fill="F2F2F2"/>
            <w:hideMark/>
          </w:tcPr>
          <w:p w14:paraId="635AA4B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76E7114" w14:textId="77777777" w:rsidR="002A4DDF" w:rsidRPr="00937C8B" w:rsidRDefault="002A4DDF" w:rsidP="009110ED">
            <w:pPr>
              <w:rPr>
                <w:rFonts w:ascii="Arial" w:hAnsi="Arial" w:cs="Arial"/>
                <w:sz w:val="12"/>
                <w:szCs w:val="12"/>
              </w:rPr>
            </w:pPr>
            <w:r>
              <w:rPr>
                <w:rFonts w:ascii="Arial" w:hAnsi="Arial"/>
                <w:sz w:val="12"/>
                <w:szCs w:val="12"/>
              </w:rPr>
              <w:t>Santa Cruz de Paniagua</w:t>
            </w:r>
          </w:p>
        </w:tc>
      </w:tr>
      <w:tr w:rsidR="002A4DDF" w:rsidRPr="00937C8B" w14:paraId="62A03105" w14:textId="77777777" w:rsidTr="00935676">
        <w:trPr>
          <w:cantSplit/>
        </w:trPr>
        <w:tc>
          <w:tcPr>
            <w:tcW w:w="1696" w:type="dxa"/>
            <w:tcBorders>
              <w:left w:val="single" w:sz="4" w:space="0" w:color="auto"/>
            </w:tcBorders>
            <w:shd w:val="clear" w:color="auto" w:fill="auto"/>
          </w:tcPr>
          <w:p w14:paraId="13D9BD46" w14:textId="77777777" w:rsidR="002A4DDF" w:rsidRPr="00937C8B" w:rsidRDefault="002A4DDF" w:rsidP="009110ED">
            <w:pPr>
              <w:rPr>
                <w:rFonts w:ascii="Arial" w:hAnsi="Arial" w:cs="Arial"/>
                <w:sz w:val="12"/>
                <w:szCs w:val="12"/>
              </w:rPr>
            </w:pPr>
          </w:p>
        </w:tc>
        <w:tc>
          <w:tcPr>
            <w:tcW w:w="1843" w:type="dxa"/>
            <w:shd w:val="clear" w:color="auto" w:fill="auto"/>
          </w:tcPr>
          <w:p w14:paraId="233EE72B" w14:textId="77777777" w:rsidR="002A4DDF" w:rsidRPr="00937C8B" w:rsidRDefault="002A4DDF" w:rsidP="009110ED">
            <w:pPr>
              <w:rPr>
                <w:rFonts w:ascii="Arial" w:hAnsi="Arial" w:cs="Arial"/>
                <w:sz w:val="12"/>
                <w:szCs w:val="12"/>
              </w:rPr>
            </w:pPr>
          </w:p>
        </w:tc>
        <w:tc>
          <w:tcPr>
            <w:tcW w:w="2268" w:type="dxa"/>
            <w:shd w:val="clear" w:color="auto" w:fill="F2F2F2"/>
            <w:hideMark/>
          </w:tcPr>
          <w:p w14:paraId="3F37341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3D522AD" w14:textId="77777777" w:rsidR="002A4DDF" w:rsidRPr="00937C8B" w:rsidRDefault="002A4DDF" w:rsidP="009110ED">
            <w:pPr>
              <w:rPr>
                <w:rFonts w:ascii="Arial" w:hAnsi="Arial" w:cs="Arial"/>
                <w:sz w:val="12"/>
                <w:szCs w:val="12"/>
              </w:rPr>
            </w:pPr>
            <w:r>
              <w:rPr>
                <w:rFonts w:ascii="Arial" w:hAnsi="Arial"/>
                <w:sz w:val="12"/>
                <w:szCs w:val="12"/>
              </w:rPr>
              <w:t>Santa Marta de Magasca</w:t>
            </w:r>
          </w:p>
        </w:tc>
      </w:tr>
      <w:tr w:rsidR="002A4DDF" w:rsidRPr="00937C8B" w14:paraId="5250718C" w14:textId="77777777" w:rsidTr="00935676">
        <w:trPr>
          <w:cantSplit/>
        </w:trPr>
        <w:tc>
          <w:tcPr>
            <w:tcW w:w="1696" w:type="dxa"/>
            <w:tcBorders>
              <w:left w:val="single" w:sz="4" w:space="0" w:color="auto"/>
            </w:tcBorders>
            <w:shd w:val="clear" w:color="auto" w:fill="auto"/>
          </w:tcPr>
          <w:p w14:paraId="3685756B" w14:textId="77777777" w:rsidR="002A4DDF" w:rsidRPr="00937C8B" w:rsidRDefault="002A4DDF" w:rsidP="009110ED">
            <w:pPr>
              <w:rPr>
                <w:rFonts w:ascii="Arial" w:hAnsi="Arial" w:cs="Arial"/>
                <w:sz w:val="12"/>
                <w:szCs w:val="12"/>
              </w:rPr>
            </w:pPr>
          </w:p>
        </w:tc>
        <w:tc>
          <w:tcPr>
            <w:tcW w:w="1843" w:type="dxa"/>
            <w:shd w:val="clear" w:color="auto" w:fill="auto"/>
          </w:tcPr>
          <w:p w14:paraId="38F6533A" w14:textId="77777777" w:rsidR="002A4DDF" w:rsidRPr="00937C8B" w:rsidRDefault="002A4DDF" w:rsidP="009110ED">
            <w:pPr>
              <w:rPr>
                <w:rFonts w:ascii="Arial" w:hAnsi="Arial" w:cs="Arial"/>
                <w:sz w:val="12"/>
                <w:szCs w:val="12"/>
              </w:rPr>
            </w:pPr>
          </w:p>
        </w:tc>
        <w:tc>
          <w:tcPr>
            <w:tcW w:w="2268" w:type="dxa"/>
            <w:shd w:val="clear" w:color="auto" w:fill="F2F2F2"/>
            <w:hideMark/>
          </w:tcPr>
          <w:p w14:paraId="5CE3AB3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52D34D4" w14:textId="77777777" w:rsidR="002A4DDF" w:rsidRPr="00937C8B" w:rsidRDefault="002A4DDF" w:rsidP="009110ED">
            <w:pPr>
              <w:rPr>
                <w:rFonts w:ascii="Arial" w:hAnsi="Arial" w:cs="Arial"/>
                <w:sz w:val="12"/>
                <w:szCs w:val="12"/>
              </w:rPr>
            </w:pPr>
            <w:r>
              <w:rPr>
                <w:rFonts w:ascii="Arial" w:hAnsi="Arial"/>
                <w:sz w:val="12"/>
                <w:szCs w:val="12"/>
              </w:rPr>
              <w:t>Santiago de Alcántara</w:t>
            </w:r>
          </w:p>
        </w:tc>
      </w:tr>
      <w:tr w:rsidR="002A4DDF" w:rsidRPr="00937C8B" w14:paraId="461E624B" w14:textId="77777777" w:rsidTr="00935676">
        <w:trPr>
          <w:cantSplit/>
        </w:trPr>
        <w:tc>
          <w:tcPr>
            <w:tcW w:w="1696" w:type="dxa"/>
            <w:tcBorders>
              <w:left w:val="single" w:sz="4" w:space="0" w:color="auto"/>
            </w:tcBorders>
            <w:shd w:val="clear" w:color="auto" w:fill="auto"/>
          </w:tcPr>
          <w:p w14:paraId="7320DB1A" w14:textId="77777777" w:rsidR="002A4DDF" w:rsidRPr="00937C8B" w:rsidRDefault="002A4DDF" w:rsidP="009110ED">
            <w:pPr>
              <w:rPr>
                <w:rFonts w:ascii="Arial" w:hAnsi="Arial" w:cs="Arial"/>
                <w:sz w:val="12"/>
                <w:szCs w:val="12"/>
              </w:rPr>
            </w:pPr>
          </w:p>
        </w:tc>
        <w:tc>
          <w:tcPr>
            <w:tcW w:w="1843" w:type="dxa"/>
            <w:shd w:val="clear" w:color="auto" w:fill="auto"/>
          </w:tcPr>
          <w:p w14:paraId="4E826D14" w14:textId="77777777" w:rsidR="002A4DDF" w:rsidRPr="00937C8B" w:rsidRDefault="002A4DDF" w:rsidP="009110ED">
            <w:pPr>
              <w:rPr>
                <w:rFonts w:ascii="Arial" w:hAnsi="Arial" w:cs="Arial"/>
                <w:sz w:val="12"/>
                <w:szCs w:val="12"/>
              </w:rPr>
            </w:pPr>
          </w:p>
        </w:tc>
        <w:tc>
          <w:tcPr>
            <w:tcW w:w="2268" w:type="dxa"/>
            <w:shd w:val="clear" w:color="auto" w:fill="F2F2F2"/>
            <w:hideMark/>
          </w:tcPr>
          <w:p w14:paraId="7C9F832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E78A9FF" w14:textId="77777777" w:rsidR="002A4DDF" w:rsidRPr="00937C8B" w:rsidRDefault="002A4DDF" w:rsidP="009110ED">
            <w:pPr>
              <w:rPr>
                <w:rFonts w:ascii="Arial" w:hAnsi="Arial" w:cs="Arial"/>
                <w:sz w:val="12"/>
                <w:szCs w:val="12"/>
              </w:rPr>
            </w:pPr>
            <w:r>
              <w:rPr>
                <w:rFonts w:ascii="Arial" w:hAnsi="Arial"/>
                <w:sz w:val="12"/>
                <w:szCs w:val="12"/>
              </w:rPr>
              <w:t>Santiago del Campo</w:t>
            </w:r>
          </w:p>
        </w:tc>
      </w:tr>
      <w:tr w:rsidR="002A4DDF" w:rsidRPr="00937C8B" w14:paraId="127D66E7" w14:textId="77777777" w:rsidTr="00935676">
        <w:trPr>
          <w:cantSplit/>
        </w:trPr>
        <w:tc>
          <w:tcPr>
            <w:tcW w:w="1696" w:type="dxa"/>
            <w:tcBorders>
              <w:left w:val="single" w:sz="4" w:space="0" w:color="auto"/>
            </w:tcBorders>
            <w:shd w:val="clear" w:color="auto" w:fill="auto"/>
          </w:tcPr>
          <w:p w14:paraId="16ADBC1A" w14:textId="77777777" w:rsidR="002A4DDF" w:rsidRPr="00937C8B" w:rsidRDefault="002A4DDF" w:rsidP="009110ED">
            <w:pPr>
              <w:rPr>
                <w:rFonts w:ascii="Arial" w:hAnsi="Arial" w:cs="Arial"/>
                <w:sz w:val="12"/>
                <w:szCs w:val="12"/>
              </w:rPr>
            </w:pPr>
          </w:p>
        </w:tc>
        <w:tc>
          <w:tcPr>
            <w:tcW w:w="1843" w:type="dxa"/>
            <w:shd w:val="clear" w:color="auto" w:fill="auto"/>
          </w:tcPr>
          <w:p w14:paraId="2215F7A8" w14:textId="77777777" w:rsidR="002A4DDF" w:rsidRPr="00937C8B" w:rsidRDefault="002A4DDF" w:rsidP="009110ED">
            <w:pPr>
              <w:rPr>
                <w:rFonts w:ascii="Arial" w:hAnsi="Arial" w:cs="Arial"/>
                <w:sz w:val="12"/>
                <w:szCs w:val="12"/>
              </w:rPr>
            </w:pPr>
          </w:p>
        </w:tc>
        <w:tc>
          <w:tcPr>
            <w:tcW w:w="2268" w:type="dxa"/>
            <w:shd w:val="clear" w:color="auto" w:fill="F2F2F2"/>
            <w:hideMark/>
          </w:tcPr>
          <w:p w14:paraId="3FCAA31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BDEEED6" w14:textId="77777777" w:rsidR="002A4DDF" w:rsidRPr="00937C8B" w:rsidRDefault="002A4DDF" w:rsidP="009110ED">
            <w:pPr>
              <w:rPr>
                <w:rFonts w:ascii="Arial" w:hAnsi="Arial" w:cs="Arial"/>
                <w:sz w:val="12"/>
                <w:szCs w:val="12"/>
              </w:rPr>
            </w:pPr>
            <w:r>
              <w:rPr>
                <w:rFonts w:ascii="Arial" w:hAnsi="Arial"/>
                <w:sz w:val="12"/>
                <w:szCs w:val="12"/>
              </w:rPr>
              <w:t>Santibáñez el Alto</w:t>
            </w:r>
          </w:p>
        </w:tc>
      </w:tr>
      <w:tr w:rsidR="002A4DDF" w:rsidRPr="00937C8B" w14:paraId="4BBB4674" w14:textId="77777777" w:rsidTr="00935676">
        <w:trPr>
          <w:cantSplit/>
        </w:trPr>
        <w:tc>
          <w:tcPr>
            <w:tcW w:w="1696" w:type="dxa"/>
            <w:tcBorders>
              <w:left w:val="single" w:sz="4" w:space="0" w:color="auto"/>
            </w:tcBorders>
            <w:shd w:val="clear" w:color="auto" w:fill="auto"/>
          </w:tcPr>
          <w:p w14:paraId="6FE1799E" w14:textId="77777777" w:rsidR="002A4DDF" w:rsidRPr="00937C8B" w:rsidRDefault="002A4DDF" w:rsidP="009110ED">
            <w:pPr>
              <w:rPr>
                <w:rFonts w:ascii="Arial" w:hAnsi="Arial" w:cs="Arial"/>
                <w:sz w:val="12"/>
                <w:szCs w:val="12"/>
              </w:rPr>
            </w:pPr>
          </w:p>
        </w:tc>
        <w:tc>
          <w:tcPr>
            <w:tcW w:w="1843" w:type="dxa"/>
            <w:shd w:val="clear" w:color="auto" w:fill="auto"/>
          </w:tcPr>
          <w:p w14:paraId="38038A1A" w14:textId="77777777" w:rsidR="002A4DDF" w:rsidRPr="00937C8B" w:rsidRDefault="002A4DDF" w:rsidP="009110ED">
            <w:pPr>
              <w:rPr>
                <w:rFonts w:ascii="Arial" w:hAnsi="Arial" w:cs="Arial"/>
                <w:sz w:val="12"/>
                <w:szCs w:val="12"/>
              </w:rPr>
            </w:pPr>
          </w:p>
        </w:tc>
        <w:tc>
          <w:tcPr>
            <w:tcW w:w="2268" w:type="dxa"/>
            <w:shd w:val="clear" w:color="auto" w:fill="F2F2F2"/>
            <w:hideMark/>
          </w:tcPr>
          <w:p w14:paraId="7AD5C9E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6AFA78A" w14:textId="77777777" w:rsidR="002A4DDF" w:rsidRPr="00937C8B" w:rsidRDefault="002A4DDF" w:rsidP="009110ED">
            <w:pPr>
              <w:rPr>
                <w:rFonts w:ascii="Arial" w:hAnsi="Arial" w:cs="Arial"/>
                <w:sz w:val="12"/>
                <w:szCs w:val="12"/>
              </w:rPr>
            </w:pPr>
            <w:r>
              <w:rPr>
                <w:rFonts w:ascii="Arial" w:hAnsi="Arial"/>
                <w:sz w:val="12"/>
                <w:szCs w:val="12"/>
              </w:rPr>
              <w:t>Santibáñez el Bajo</w:t>
            </w:r>
          </w:p>
        </w:tc>
      </w:tr>
      <w:tr w:rsidR="002A4DDF" w:rsidRPr="00937C8B" w14:paraId="5FD3CC91" w14:textId="77777777" w:rsidTr="00935676">
        <w:trPr>
          <w:cantSplit/>
        </w:trPr>
        <w:tc>
          <w:tcPr>
            <w:tcW w:w="1696" w:type="dxa"/>
            <w:tcBorders>
              <w:left w:val="single" w:sz="4" w:space="0" w:color="auto"/>
            </w:tcBorders>
            <w:shd w:val="clear" w:color="auto" w:fill="auto"/>
          </w:tcPr>
          <w:p w14:paraId="6A8AAA94" w14:textId="77777777" w:rsidR="002A4DDF" w:rsidRPr="00937C8B" w:rsidRDefault="002A4DDF" w:rsidP="009110ED">
            <w:pPr>
              <w:rPr>
                <w:rFonts w:ascii="Arial" w:hAnsi="Arial" w:cs="Arial"/>
                <w:sz w:val="12"/>
                <w:szCs w:val="12"/>
              </w:rPr>
            </w:pPr>
          </w:p>
        </w:tc>
        <w:tc>
          <w:tcPr>
            <w:tcW w:w="1843" w:type="dxa"/>
            <w:shd w:val="clear" w:color="auto" w:fill="auto"/>
          </w:tcPr>
          <w:p w14:paraId="64BED2D2" w14:textId="77777777" w:rsidR="002A4DDF" w:rsidRPr="00937C8B" w:rsidRDefault="002A4DDF" w:rsidP="009110ED">
            <w:pPr>
              <w:rPr>
                <w:rFonts w:ascii="Arial" w:hAnsi="Arial" w:cs="Arial"/>
                <w:sz w:val="12"/>
                <w:szCs w:val="12"/>
              </w:rPr>
            </w:pPr>
          </w:p>
        </w:tc>
        <w:tc>
          <w:tcPr>
            <w:tcW w:w="2268" w:type="dxa"/>
            <w:shd w:val="clear" w:color="auto" w:fill="F2F2F2"/>
            <w:hideMark/>
          </w:tcPr>
          <w:p w14:paraId="07AAA11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7F22720" w14:textId="77777777" w:rsidR="002A4DDF" w:rsidRPr="00937C8B" w:rsidRDefault="002A4DDF" w:rsidP="009110ED">
            <w:pPr>
              <w:rPr>
                <w:rFonts w:ascii="Arial" w:hAnsi="Arial" w:cs="Arial"/>
                <w:sz w:val="12"/>
                <w:szCs w:val="12"/>
              </w:rPr>
            </w:pPr>
            <w:r>
              <w:rPr>
                <w:rFonts w:ascii="Arial" w:hAnsi="Arial"/>
                <w:sz w:val="12"/>
                <w:szCs w:val="12"/>
              </w:rPr>
              <w:t>Segura de Toro</w:t>
            </w:r>
          </w:p>
        </w:tc>
      </w:tr>
      <w:tr w:rsidR="002A4DDF" w:rsidRPr="00937C8B" w14:paraId="54A7C009" w14:textId="77777777" w:rsidTr="00935676">
        <w:trPr>
          <w:cantSplit/>
        </w:trPr>
        <w:tc>
          <w:tcPr>
            <w:tcW w:w="1696" w:type="dxa"/>
            <w:tcBorders>
              <w:left w:val="single" w:sz="4" w:space="0" w:color="auto"/>
            </w:tcBorders>
            <w:shd w:val="clear" w:color="auto" w:fill="auto"/>
          </w:tcPr>
          <w:p w14:paraId="5B5BBDA0" w14:textId="77777777" w:rsidR="002A4DDF" w:rsidRPr="00937C8B" w:rsidRDefault="002A4DDF" w:rsidP="009110ED">
            <w:pPr>
              <w:rPr>
                <w:rFonts w:ascii="Arial" w:hAnsi="Arial" w:cs="Arial"/>
                <w:sz w:val="12"/>
                <w:szCs w:val="12"/>
              </w:rPr>
            </w:pPr>
          </w:p>
        </w:tc>
        <w:tc>
          <w:tcPr>
            <w:tcW w:w="1843" w:type="dxa"/>
            <w:shd w:val="clear" w:color="auto" w:fill="auto"/>
          </w:tcPr>
          <w:p w14:paraId="698692FE" w14:textId="77777777" w:rsidR="002A4DDF" w:rsidRPr="00937C8B" w:rsidRDefault="002A4DDF" w:rsidP="009110ED">
            <w:pPr>
              <w:rPr>
                <w:rFonts w:ascii="Arial" w:hAnsi="Arial" w:cs="Arial"/>
                <w:sz w:val="12"/>
                <w:szCs w:val="12"/>
              </w:rPr>
            </w:pPr>
          </w:p>
        </w:tc>
        <w:tc>
          <w:tcPr>
            <w:tcW w:w="2268" w:type="dxa"/>
            <w:shd w:val="clear" w:color="auto" w:fill="F2F2F2"/>
            <w:hideMark/>
          </w:tcPr>
          <w:p w14:paraId="6AC1FB6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ED5A1AA" w14:textId="77777777" w:rsidR="002A4DDF" w:rsidRPr="00937C8B" w:rsidRDefault="002A4DDF" w:rsidP="009110ED">
            <w:pPr>
              <w:rPr>
                <w:rFonts w:ascii="Arial" w:hAnsi="Arial" w:cs="Arial"/>
                <w:sz w:val="12"/>
                <w:szCs w:val="12"/>
              </w:rPr>
            </w:pPr>
            <w:r>
              <w:rPr>
                <w:rFonts w:ascii="Arial" w:hAnsi="Arial"/>
                <w:sz w:val="12"/>
                <w:szCs w:val="12"/>
              </w:rPr>
              <w:t>Serradilla</w:t>
            </w:r>
          </w:p>
        </w:tc>
      </w:tr>
      <w:tr w:rsidR="002A4DDF" w:rsidRPr="00937C8B" w14:paraId="1A9EAC54" w14:textId="77777777" w:rsidTr="00935676">
        <w:trPr>
          <w:cantSplit/>
        </w:trPr>
        <w:tc>
          <w:tcPr>
            <w:tcW w:w="1696" w:type="dxa"/>
            <w:tcBorders>
              <w:left w:val="single" w:sz="4" w:space="0" w:color="auto"/>
            </w:tcBorders>
            <w:shd w:val="clear" w:color="auto" w:fill="auto"/>
          </w:tcPr>
          <w:p w14:paraId="427F0BD6" w14:textId="77777777" w:rsidR="002A4DDF" w:rsidRPr="00937C8B" w:rsidRDefault="002A4DDF" w:rsidP="009110ED">
            <w:pPr>
              <w:rPr>
                <w:rFonts w:ascii="Arial" w:hAnsi="Arial" w:cs="Arial"/>
                <w:sz w:val="12"/>
                <w:szCs w:val="12"/>
              </w:rPr>
            </w:pPr>
          </w:p>
        </w:tc>
        <w:tc>
          <w:tcPr>
            <w:tcW w:w="1843" w:type="dxa"/>
            <w:shd w:val="clear" w:color="auto" w:fill="auto"/>
          </w:tcPr>
          <w:p w14:paraId="1EF5E02B" w14:textId="77777777" w:rsidR="002A4DDF" w:rsidRPr="00937C8B" w:rsidRDefault="002A4DDF" w:rsidP="009110ED">
            <w:pPr>
              <w:rPr>
                <w:rFonts w:ascii="Arial" w:hAnsi="Arial" w:cs="Arial"/>
                <w:sz w:val="12"/>
                <w:szCs w:val="12"/>
              </w:rPr>
            </w:pPr>
          </w:p>
        </w:tc>
        <w:tc>
          <w:tcPr>
            <w:tcW w:w="2268" w:type="dxa"/>
            <w:shd w:val="clear" w:color="auto" w:fill="F2F2F2"/>
            <w:hideMark/>
          </w:tcPr>
          <w:p w14:paraId="59A599C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1093E0F" w14:textId="77777777" w:rsidR="002A4DDF" w:rsidRPr="00937C8B" w:rsidRDefault="002A4DDF" w:rsidP="009110ED">
            <w:pPr>
              <w:rPr>
                <w:rFonts w:ascii="Arial" w:hAnsi="Arial" w:cs="Arial"/>
                <w:sz w:val="12"/>
                <w:szCs w:val="12"/>
              </w:rPr>
            </w:pPr>
            <w:r>
              <w:rPr>
                <w:rFonts w:ascii="Arial" w:hAnsi="Arial"/>
                <w:sz w:val="12"/>
                <w:szCs w:val="12"/>
              </w:rPr>
              <w:t>Serrejón</w:t>
            </w:r>
          </w:p>
        </w:tc>
      </w:tr>
      <w:tr w:rsidR="002A4DDF" w:rsidRPr="00937C8B" w14:paraId="42FD3E3C" w14:textId="77777777" w:rsidTr="00935676">
        <w:trPr>
          <w:cantSplit/>
        </w:trPr>
        <w:tc>
          <w:tcPr>
            <w:tcW w:w="1696" w:type="dxa"/>
            <w:tcBorders>
              <w:left w:val="single" w:sz="4" w:space="0" w:color="auto"/>
            </w:tcBorders>
            <w:shd w:val="clear" w:color="auto" w:fill="auto"/>
          </w:tcPr>
          <w:p w14:paraId="5445D50D" w14:textId="77777777" w:rsidR="002A4DDF" w:rsidRPr="00937C8B" w:rsidRDefault="002A4DDF" w:rsidP="009110ED">
            <w:pPr>
              <w:rPr>
                <w:rFonts w:ascii="Arial" w:hAnsi="Arial" w:cs="Arial"/>
                <w:sz w:val="12"/>
                <w:szCs w:val="12"/>
              </w:rPr>
            </w:pPr>
          </w:p>
        </w:tc>
        <w:tc>
          <w:tcPr>
            <w:tcW w:w="1843" w:type="dxa"/>
            <w:shd w:val="clear" w:color="auto" w:fill="auto"/>
          </w:tcPr>
          <w:p w14:paraId="160B38F4" w14:textId="77777777" w:rsidR="002A4DDF" w:rsidRPr="00937C8B" w:rsidRDefault="002A4DDF" w:rsidP="009110ED">
            <w:pPr>
              <w:rPr>
                <w:rFonts w:ascii="Arial" w:hAnsi="Arial" w:cs="Arial"/>
                <w:sz w:val="12"/>
                <w:szCs w:val="12"/>
              </w:rPr>
            </w:pPr>
          </w:p>
        </w:tc>
        <w:tc>
          <w:tcPr>
            <w:tcW w:w="2268" w:type="dxa"/>
            <w:shd w:val="clear" w:color="auto" w:fill="F2F2F2"/>
            <w:hideMark/>
          </w:tcPr>
          <w:p w14:paraId="4794AB5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D7D8252" w14:textId="77777777" w:rsidR="002A4DDF" w:rsidRPr="00937C8B" w:rsidRDefault="002A4DDF" w:rsidP="009110ED">
            <w:pPr>
              <w:rPr>
                <w:rFonts w:ascii="Arial" w:hAnsi="Arial" w:cs="Arial"/>
                <w:sz w:val="12"/>
                <w:szCs w:val="12"/>
              </w:rPr>
            </w:pPr>
            <w:r>
              <w:rPr>
                <w:rFonts w:ascii="Arial" w:hAnsi="Arial"/>
                <w:sz w:val="12"/>
                <w:szCs w:val="12"/>
              </w:rPr>
              <w:t>Sierra de Fuentes</w:t>
            </w:r>
          </w:p>
        </w:tc>
      </w:tr>
      <w:tr w:rsidR="002A4DDF" w:rsidRPr="00937C8B" w14:paraId="77BF3D20" w14:textId="77777777" w:rsidTr="00935676">
        <w:trPr>
          <w:cantSplit/>
        </w:trPr>
        <w:tc>
          <w:tcPr>
            <w:tcW w:w="1696" w:type="dxa"/>
            <w:tcBorders>
              <w:left w:val="single" w:sz="4" w:space="0" w:color="auto"/>
            </w:tcBorders>
            <w:shd w:val="clear" w:color="auto" w:fill="auto"/>
          </w:tcPr>
          <w:p w14:paraId="0849515A" w14:textId="77777777" w:rsidR="002A4DDF" w:rsidRPr="00937C8B" w:rsidRDefault="002A4DDF" w:rsidP="009110ED">
            <w:pPr>
              <w:rPr>
                <w:rFonts w:ascii="Arial" w:hAnsi="Arial" w:cs="Arial"/>
                <w:sz w:val="12"/>
                <w:szCs w:val="12"/>
              </w:rPr>
            </w:pPr>
          </w:p>
        </w:tc>
        <w:tc>
          <w:tcPr>
            <w:tcW w:w="1843" w:type="dxa"/>
            <w:shd w:val="clear" w:color="auto" w:fill="auto"/>
          </w:tcPr>
          <w:p w14:paraId="7FC29D18" w14:textId="77777777" w:rsidR="002A4DDF" w:rsidRPr="00937C8B" w:rsidRDefault="002A4DDF" w:rsidP="009110ED">
            <w:pPr>
              <w:rPr>
                <w:rFonts w:ascii="Arial" w:hAnsi="Arial" w:cs="Arial"/>
                <w:sz w:val="12"/>
                <w:szCs w:val="12"/>
              </w:rPr>
            </w:pPr>
          </w:p>
        </w:tc>
        <w:tc>
          <w:tcPr>
            <w:tcW w:w="2268" w:type="dxa"/>
            <w:shd w:val="clear" w:color="auto" w:fill="F2F2F2"/>
            <w:hideMark/>
          </w:tcPr>
          <w:p w14:paraId="681192C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539069C" w14:textId="77777777" w:rsidR="002A4DDF" w:rsidRPr="00937C8B" w:rsidRDefault="002A4DDF" w:rsidP="009110ED">
            <w:pPr>
              <w:rPr>
                <w:rFonts w:ascii="Arial" w:hAnsi="Arial" w:cs="Arial"/>
                <w:sz w:val="12"/>
                <w:szCs w:val="12"/>
              </w:rPr>
            </w:pPr>
            <w:r>
              <w:rPr>
                <w:rFonts w:ascii="Arial" w:hAnsi="Arial"/>
                <w:sz w:val="12"/>
                <w:szCs w:val="12"/>
              </w:rPr>
              <w:t>Talaván</w:t>
            </w:r>
          </w:p>
        </w:tc>
      </w:tr>
      <w:tr w:rsidR="002A4DDF" w:rsidRPr="00937C8B" w14:paraId="48A3518C" w14:textId="77777777" w:rsidTr="00935676">
        <w:trPr>
          <w:cantSplit/>
        </w:trPr>
        <w:tc>
          <w:tcPr>
            <w:tcW w:w="1696" w:type="dxa"/>
            <w:tcBorders>
              <w:left w:val="single" w:sz="4" w:space="0" w:color="auto"/>
            </w:tcBorders>
            <w:shd w:val="clear" w:color="auto" w:fill="auto"/>
          </w:tcPr>
          <w:p w14:paraId="7E98E623" w14:textId="77777777" w:rsidR="002A4DDF" w:rsidRPr="00937C8B" w:rsidRDefault="002A4DDF" w:rsidP="009110ED">
            <w:pPr>
              <w:rPr>
                <w:rFonts w:ascii="Arial" w:hAnsi="Arial" w:cs="Arial"/>
                <w:sz w:val="12"/>
                <w:szCs w:val="12"/>
              </w:rPr>
            </w:pPr>
          </w:p>
        </w:tc>
        <w:tc>
          <w:tcPr>
            <w:tcW w:w="1843" w:type="dxa"/>
            <w:shd w:val="clear" w:color="auto" w:fill="auto"/>
          </w:tcPr>
          <w:p w14:paraId="4AC1D41C" w14:textId="77777777" w:rsidR="002A4DDF" w:rsidRPr="00937C8B" w:rsidRDefault="002A4DDF" w:rsidP="009110ED">
            <w:pPr>
              <w:rPr>
                <w:rFonts w:ascii="Arial" w:hAnsi="Arial" w:cs="Arial"/>
                <w:sz w:val="12"/>
                <w:szCs w:val="12"/>
              </w:rPr>
            </w:pPr>
          </w:p>
        </w:tc>
        <w:tc>
          <w:tcPr>
            <w:tcW w:w="2268" w:type="dxa"/>
            <w:shd w:val="clear" w:color="auto" w:fill="F2F2F2"/>
            <w:hideMark/>
          </w:tcPr>
          <w:p w14:paraId="08F318B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10785C2" w14:textId="77777777" w:rsidR="002A4DDF" w:rsidRPr="00937C8B" w:rsidRDefault="002A4DDF" w:rsidP="009110ED">
            <w:pPr>
              <w:rPr>
                <w:rFonts w:ascii="Arial" w:hAnsi="Arial" w:cs="Arial"/>
                <w:sz w:val="12"/>
                <w:szCs w:val="12"/>
              </w:rPr>
            </w:pPr>
            <w:r>
              <w:rPr>
                <w:rFonts w:ascii="Arial" w:hAnsi="Arial"/>
                <w:sz w:val="12"/>
                <w:szCs w:val="12"/>
              </w:rPr>
              <w:t>Talaveruela de la Vera</w:t>
            </w:r>
          </w:p>
        </w:tc>
      </w:tr>
      <w:tr w:rsidR="002A4DDF" w:rsidRPr="00937C8B" w14:paraId="1E0C9D1A" w14:textId="77777777" w:rsidTr="00935676">
        <w:trPr>
          <w:cantSplit/>
        </w:trPr>
        <w:tc>
          <w:tcPr>
            <w:tcW w:w="1696" w:type="dxa"/>
            <w:tcBorders>
              <w:left w:val="single" w:sz="4" w:space="0" w:color="auto"/>
            </w:tcBorders>
            <w:shd w:val="clear" w:color="auto" w:fill="auto"/>
          </w:tcPr>
          <w:p w14:paraId="3C7C3B41" w14:textId="77777777" w:rsidR="002A4DDF" w:rsidRPr="00937C8B" w:rsidRDefault="002A4DDF" w:rsidP="009110ED">
            <w:pPr>
              <w:rPr>
                <w:rFonts w:ascii="Arial" w:hAnsi="Arial" w:cs="Arial"/>
                <w:sz w:val="12"/>
                <w:szCs w:val="12"/>
              </w:rPr>
            </w:pPr>
          </w:p>
        </w:tc>
        <w:tc>
          <w:tcPr>
            <w:tcW w:w="1843" w:type="dxa"/>
            <w:shd w:val="clear" w:color="auto" w:fill="auto"/>
          </w:tcPr>
          <w:p w14:paraId="04FA0CD3" w14:textId="77777777" w:rsidR="002A4DDF" w:rsidRPr="00937C8B" w:rsidRDefault="002A4DDF" w:rsidP="009110ED">
            <w:pPr>
              <w:rPr>
                <w:rFonts w:ascii="Arial" w:hAnsi="Arial" w:cs="Arial"/>
                <w:sz w:val="12"/>
                <w:szCs w:val="12"/>
              </w:rPr>
            </w:pPr>
          </w:p>
        </w:tc>
        <w:tc>
          <w:tcPr>
            <w:tcW w:w="2268" w:type="dxa"/>
            <w:shd w:val="clear" w:color="auto" w:fill="F2F2F2"/>
            <w:hideMark/>
          </w:tcPr>
          <w:p w14:paraId="07CAB6D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6D46AAA" w14:textId="77777777" w:rsidR="002A4DDF" w:rsidRPr="00937C8B" w:rsidRDefault="002A4DDF" w:rsidP="009110ED">
            <w:pPr>
              <w:rPr>
                <w:rFonts w:ascii="Arial" w:hAnsi="Arial" w:cs="Arial"/>
                <w:sz w:val="12"/>
                <w:szCs w:val="12"/>
              </w:rPr>
            </w:pPr>
            <w:r>
              <w:rPr>
                <w:rFonts w:ascii="Arial" w:hAnsi="Arial"/>
                <w:sz w:val="12"/>
                <w:szCs w:val="12"/>
              </w:rPr>
              <w:t>Tejeda de Tiétar</w:t>
            </w:r>
          </w:p>
        </w:tc>
      </w:tr>
      <w:tr w:rsidR="002A4DDF" w:rsidRPr="00937C8B" w14:paraId="65ECC002" w14:textId="77777777" w:rsidTr="00935676">
        <w:trPr>
          <w:cantSplit/>
        </w:trPr>
        <w:tc>
          <w:tcPr>
            <w:tcW w:w="1696" w:type="dxa"/>
            <w:tcBorders>
              <w:left w:val="single" w:sz="4" w:space="0" w:color="auto"/>
            </w:tcBorders>
            <w:shd w:val="clear" w:color="auto" w:fill="auto"/>
          </w:tcPr>
          <w:p w14:paraId="64F3C1C3" w14:textId="77777777" w:rsidR="002A4DDF" w:rsidRPr="00937C8B" w:rsidRDefault="002A4DDF" w:rsidP="009110ED">
            <w:pPr>
              <w:rPr>
                <w:rFonts w:ascii="Arial" w:hAnsi="Arial" w:cs="Arial"/>
                <w:sz w:val="12"/>
                <w:szCs w:val="12"/>
              </w:rPr>
            </w:pPr>
          </w:p>
        </w:tc>
        <w:tc>
          <w:tcPr>
            <w:tcW w:w="1843" w:type="dxa"/>
            <w:shd w:val="clear" w:color="auto" w:fill="auto"/>
          </w:tcPr>
          <w:p w14:paraId="765D5571" w14:textId="77777777" w:rsidR="002A4DDF" w:rsidRPr="00937C8B" w:rsidRDefault="002A4DDF" w:rsidP="009110ED">
            <w:pPr>
              <w:rPr>
                <w:rFonts w:ascii="Arial" w:hAnsi="Arial" w:cs="Arial"/>
                <w:sz w:val="12"/>
                <w:szCs w:val="12"/>
              </w:rPr>
            </w:pPr>
          </w:p>
        </w:tc>
        <w:tc>
          <w:tcPr>
            <w:tcW w:w="2268" w:type="dxa"/>
            <w:shd w:val="clear" w:color="auto" w:fill="F2F2F2"/>
            <w:hideMark/>
          </w:tcPr>
          <w:p w14:paraId="75A3B6B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4A4EB89" w14:textId="77777777" w:rsidR="002A4DDF" w:rsidRPr="00937C8B" w:rsidRDefault="002A4DDF" w:rsidP="009110ED">
            <w:pPr>
              <w:rPr>
                <w:rFonts w:ascii="Arial" w:hAnsi="Arial" w:cs="Arial"/>
                <w:sz w:val="12"/>
                <w:szCs w:val="12"/>
              </w:rPr>
            </w:pPr>
            <w:r>
              <w:rPr>
                <w:rFonts w:ascii="Arial" w:hAnsi="Arial"/>
                <w:sz w:val="12"/>
                <w:szCs w:val="12"/>
              </w:rPr>
              <w:t>Tornavacas</w:t>
            </w:r>
          </w:p>
        </w:tc>
      </w:tr>
      <w:tr w:rsidR="002A4DDF" w:rsidRPr="00937C8B" w14:paraId="59D2BE2C" w14:textId="77777777" w:rsidTr="00935676">
        <w:trPr>
          <w:cantSplit/>
        </w:trPr>
        <w:tc>
          <w:tcPr>
            <w:tcW w:w="1696" w:type="dxa"/>
            <w:tcBorders>
              <w:left w:val="single" w:sz="4" w:space="0" w:color="auto"/>
            </w:tcBorders>
            <w:shd w:val="clear" w:color="auto" w:fill="auto"/>
          </w:tcPr>
          <w:p w14:paraId="468EF361" w14:textId="77777777" w:rsidR="002A4DDF" w:rsidRPr="00937C8B" w:rsidRDefault="002A4DDF" w:rsidP="009110ED">
            <w:pPr>
              <w:rPr>
                <w:rFonts w:ascii="Arial" w:hAnsi="Arial" w:cs="Arial"/>
                <w:sz w:val="12"/>
                <w:szCs w:val="12"/>
              </w:rPr>
            </w:pPr>
          </w:p>
        </w:tc>
        <w:tc>
          <w:tcPr>
            <w:tcW w:w="1843" w:type="dxa"/>
            <w:shd w:val="clear" w:color="auto" w:fill="auto"/>
          </w:tcPr>
          <w:p w14:paraId="751BA43B" w14:textId="77777777" w:rsidR="002A4DDF" w:rsidRPr="00937C8B" w:rsidRDefault="002A4DDF" w:rsidP="009110ED">
            <w:pPr>
              <w:rPr>
                <w:rFonts w:ascii="Arial" w:hAnsi="Arial" w:cs="Arial"/>
                <w:sz w:val="12"/>
                <w:szCs w:val="12"/>
              </w:rPr>
            </w:pPr>
          </w:p>
        </w:tc>
        <w:tc>
          <w:tcPr>
            <w:tcW w:w="2268" w:type="dxa"/>
            <w:shd w:val="clear" w:color="auto" w:fill="F2F2F2"/>
            <w:hideMark/>
          </w:tcPr>
          <w:p w14:paraId="40785D0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495971A" w14:textId="77777777" w:rsidR="002A4DDF" w:rsidRPr="00937C8B" w:rsidRDefault="002A4DDF" w:rsidP="009110ED">
            <w:pPr>
              <w:rPr>
                <w:rFonts w:ascii="Arial" w:hAnsi="Arial" w:cs="Arial"/>
                <w:sz w:val="12"/>
                <w:szCs w:val="12"/>
              </w:rPr>
            </w:pPr>
            <w:r>
              <w:rPr>
                <w:rFonts w:ascii="Arial" w:hAnsi="Arial"/>
                <w:sz w:val="12"/>
                <w:szCs w:val="12"/>
              </w:rPr>
              <w:t>Torre de Don Miguel</w:t>
            </w:r>
          </w:p>
        </w:tc>
      </w:tr>
      <w:tr w:rsidR="002A4DDF" w:rsidRPr="00937C8B" w14:paraId="0C9796C6" w14:textId="77777777" w:rsidTr="00935676">
        <w:trPr>
          <w:cantSplit/>
        </w:trPr>
        <w:tc>
          <w:tcPr>
            <w:tcW w:w="1696" w:type="dxa"/>
            <w:tcBorders>
              <w:left w:val="single" w:sz="4" w:space="0" w:color="auto"/>
            </w:tcBorders>
            <w:shd w:val="clear" w:color="auto" w:fill="auto"/>
          </w:tcPr>
          <w:p w14:paraId="04D69640" w14:textId="77777777" w:rsidR="002A4DDF" w:rsidRPr="00937C8B" w:rsidRDefault="002A4DDF" w:rsidP="009110ED">
            <w:pPr>
              <w:rPr>
                <w:rFonts w:ascii="Arial" w:hAnsi="Arial" w:cs="Arial"/>
                <w:sz w:val="12"/>
                <w:szCs w:val="12"/>
              </w:rPr>
            </w:pPr>
          </w:p>
        </w:tc>
        <w:tc>
          <w:tcPr>
            <w:tcW w:w="1843" w:type="dxa"/>
            <w:shd w:val="clear" w:color="auto" w:fill="auto"/>
          </w:tcPr>
          <w:p w14:paraId="374EB6D2" w14:textId="77777777" w:rsidR="002A4DDF" w:rsidRPr="00937C8B" w:rsidRDefault="002A4DDF" w:rsidP="009110ED">
            <w:pPr>
              <w:rPr>
                <w:rFonts w:ascii="Arial" w:hAnsi="Arial" w:cs="Arial"/>
                <w:sz w:val="12"/>
                <w:szCs w:val="12"/>
              </w:rPr>
            </w:pPr>
          </w:p>
        </w:tc>
        <w:tc>
          <w:tcPr>
            <w:tcW w:w="2268" w:type="dxa"/>
            <w:shd w:val="clear" w:color="auto" w:fill="F2F2F2"/>
            <w:hideMark/>
          </w:tcPr>
          <w:p w14:paraId="61C8582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DEA9D0B" w14:textId="77777777" w:rsidR="002A4DDF" w:rsidRPr="00937C8B" w:rsidRDefault="002A4DDF" w:rsidP="009110ED">
            <w:pPr>
              <w:rPr>
                <w:rFonts w:ascii="Arial" w:hAnsi="Arial" w:cs="Arial"/>
                <w:sz w:val="12"/>
                <w:szCs w:val="12"/>
              </w:rPr>
            </w:pPr>
            <w:r>
              <w:rPr>
                <w:rFonts w:ascii="Arial" w:hAnsi="Arial"/>
                <w:sz w:val="12"/>
                <w:szCs w:val="12"/>
              </w:rPr>
              <w:t>Torre de Santa María</w:t>
            </w:r>
          </w:p>
        </w:tc>
      </w:tr>
      <w:tr w:rsidR="002A4DDF" w:rsidRPr="00937C8B" w14:paraId="3FE92776" w14:textId="77777777" w:rsidTr="00935676">
        <w:trPr>
          <w:cantSplit/>
        </w:trPr>
        <w:tc>
          <w:tcPr>
            <w:tcW w:w="1696" w:type="dxa"/>
            <w:tcBorders>
              <w:left w:val="single" w:sz="4" w:space="0" w:color="auto"/>
            </w:tcBorders>
            <w:shd w:val="clear" w:color="auto" w:fill="auto"/>
          </w:tcPr>
          <w:p w14:paraId="2E7FF35C" w14:textId="77777777" w:rsidR="002A4DDF" w:rsidRPr="00937C8B" w:rsidRDefault="002A4DDF" w:rsidP="009110ED">
            <w:pPr>
              <w:rPr>
                <w:rFonts w:ascii="Arial" w:hAnsi="Arial" w:cs="Arial"/>
                <w:sz w:val="12"/>
                <w:szCs w:val="12"/>
              </w:rPr>
            </w:pPr>
          </w:p>
        </w:tc>
        <w:tc>
          <w:tcPr>
            <w:tcW w:w="1843" w:type="dxa"/>
            <w:shd w:val="clear" w:color="auto" w:fill="auto"/>
          </w:tcPr>
          <w:p w14:paraId="7DA7EA8F" w14:textId="77777777" w:rsidR="002A4DDF" w:rsidRPr="00937C8B" w:rsidRDefault="002A4DDF" w:rsidP="009110ED">
            <w:pPr>
              <w:rPr>
                <w:rFonts w:ascii="Arial" w:hAnsi="Arial" w:cs="Arial"/>
                <w:sz w:val="12"/>
                <w:szCs w:val="12"/>
              </w:rPr>
            </w:pPr>
          </w:p>
        </w:tc>
        <w:tc>
          <w:tcPr>
            <w:tcW w:w="2268" w:type="dxa"/>
            <w:shd w:val="clear" w:color="auto" w:fill="F2F2F2"/>
            <w:hideMark/>
          </w:tcPr>
          <w:p w14:paraId="2DDE5D7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6B59A31" w14:textId="77777777" w:rsidR="002A4DDF" w:rsidRPr="00937C8B" w:rsidRDefault="002A4DDF" w:rsidP="009110ED">
            <w:pPr>
              <w:rPr>
                <w:rFonts w:ascii="Arial" w:hAnsi="Arial" w:cs="Arial"/>
                <w:sz w:val="12"/>
                <w:szCs w:val="12"/>
              </w:rPr>
            </w:pPr>
            <w:r>
              <w:rPr>
                <w:rFonts w:ascii="Arial" w:hAnsi="Arial"/>
                <w:sz w:val="12"/>
                <w:szCs w:val="12"/>
              </w:rPr>
              <w:t>Torrecilla de los Ángeles</w:t>
            </w:r>
          </w:p>
        </w:tc>
      </w:tr>
      <w:tr w:rsidR="002A4DDF" w:rsidRPr="00937C8B" w14:paraId="0835B837" w14:textId="77777777" w:rsidTr="00935676">
        <w:trPr>
          <w:cantSplit/>
        </w:trPr>
        <w:tc>
          <w:tcPr>
            <w:tcW w:w="1696" w:type="dxa"/>
            <w:tcBorders>
              <w:left w:val="single" w:sz="4" w:space="0" w:color="auto"/>
            </w:tcBorders>
            <w:shd w:val="clear" w:color="auto" w:fill="auto"/>
          </w:tcPr>
          <w:p w14:paraId="6E9BB5A7" w14:textId="77777777" w:rsidR="002A4DDF" w:rsidRPr="00937C8B" w:rsidRDefault="002A4DDF" w:rsidP="009110ED">
            <w:pPr>
              <w:rPr>
                <w:rFonts w:ascii="Arial" w:hAnsi="Arial" w:cs="Arial"/>
                <w:sz w:val="12"/>
                <w:szCs w:val="12"/>
              </w:rPr>
            </w:pPr>
          </w:p>
        </w:tc>
        <w:tc>
          <w:tcPr>
            <w:tcW w:w="1843" w:type="dxa"/>
            <w:shd w:val="clear" w:color="auto" w:fill="auto"/>
          </w:tcPr>
          <w:p w14:paraId="6694B510" w14:textId="77777777" w:rsidR="002A4DDF" w:rsidRPr="00937C8B" w:rsidRDefault="002A4DDF" w:rsidP="009110ED">
            <w:pPr>
              <w:rPr>
                <w:rFonts w:ascii="Arial" w:hAnsi="Arial" w:cs="Arial"/>
                <w:sz w:val="12"/>
                <w:szCs w:val="12"/>
              </w:rPr>
            </w:pPr>
          </w:p>
        </w:tc>
        <w:tc>
          <w:tcPr>
            <w:tcW w:w="2268" w:type="dxa"/>
            <w:shd w:val="clear" w:color="auto" w:fill="F2F2F2"/>
            <w:hideMark/>
          </w:tcPr>
          <w:p w14:paraId="71F3082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38C4B69" w14:textId="77777777" w:rsidR="002A4DDF" w:rsidRPr="00937C8B" w:rsidRDefault="002A4DDF" w:rsidP="009110ED">
            <w:pPr>
              <w:rPr>
                <w:rFonts w:ascii="Arial" w:hAnsi="Arial" w:cs="Arial"/>
                <w:sz w:val="12"/>
                <w:szCs w:val="12"/>
              </w:rPr>
            </w:pPr>
            <w:r>
              <w:rPr>
                <w:rFonts w:ascii="Arial" w:hAnsi="Arial"/>
                <w:sz w:val="12"/>
                <w:szCs w:val="12"/>
              </w:rPr>
              <w:t>Torrecillas de la Tiesa</w:t>
            </w:r>
          </w:p>
        </w:tc>
      </w:tr>
      <w:tr w:rsidR="002A4DDF" w:rsidRPr="00937C8B" w14:paraId="257ED64E" w14:textId="77777777" w:rsidTr="00935676">
        <w:trPr>
          <w:cantSplit/>
        </w:trPr>
        <w:tc>
          <w:tcPr>
            <w:tcW w:w="1696" w:type="dxa"/>
            <w:tcBorders>
              <w:left w:val="single" w:sz="4" w:space="0" w:color="auto"/>
            </w:tcBorders>
            <w:shd w:val="clear" w:color="auto" w:fill="auto"/>
          </w:tcPr>
          <w:p w14:paraId="0FE8CAE2" w14:textId="77777777" w:rsidR="002A4DDF" w:rsidRPr="00937C8B" w:rsidRDefault="002A4DDF" w:rsidP="009110ED">
            <w:pPr>
              <w:rPr>
                <w:rFonts w:ascii="Arial" w:hAnsi="Arial" w:cs="Arial"/>
                <w:sz w:val="12"/>
                <w:szCs w:val="12"/>
              </w:rPr>
            </w:pPr>
          </w:p>
        </w:tc>
        <w:tc>
          <w:tcPr>
            <w:tcW w:w="1843" w:type="dxa"/>
            <w:shd w:val="clear" w:color="auto" w:fill="auto"/>
          </w:tcPr>
          <w:p w14:paraId="70BBFCB7" w14:textId="77777777" w:rsidR="002A4DDF" w:rsidRPr="00937C8B" w:rsidRDefault="002A4DDF" w:rsidP="009110ED">
            <w:pPr>
              <w:rPr>
                <w:rFonts w:ascii="Arial" w:hAnsi="Arial" w:cs="Arial"/>
                <w:sz w:val="12"/>
                <w:szCs w:val="12"/>
              </w:rPr>
            </w:pPr>
          </w:p>
        </w:tc>
        <w:tc>
          <w:tcPr>
            <w:tcW w:w="2268" w:type="dxa"/>
            <w:shd w:val="clear" w:color="auto" w:fill="F2F2F2"/>
            <w:hideMark/>
          </w:tcPr>
          <w:p w14:paraId="76DAF6A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93586BD" w14:textId="77777777" w:rsidR="002A4DDF" w:rsidRPr="00937C8B" w:rsidRDefault="002A4DDF" w:rsidP="009110ED">
            <w:pPr>
              <w:rPr>
                <w:rFonts w:ascii="Arial" w:hAnsi="Arial" w:cs="Arial"/>
                <w:sz w:val="12"/>
                <w:szCs w:val="12"/>
              </w:rPr>
            </w:pPr>
            <w:r>
              <w:rPr>
                <w:rFonts w:ascii="Arial" w:hAnsi="Arial"/>
                <w:sz w:val="12"/>
                <w:szCs w:val="12"/>
              </w:rPr>
              <w:t>Torrejón el Rubio</w:t>
            </w:r>
          </w:p>
        </w:tc>
      </w:tr>
      <w:tr w:rsidR="002A4DDF" w:rsidRPr="00937C8B" w14:paraId="68E39ABE" w14:textId="77777777" w:rsidTr="00935676">
        <w:trPr>
          <w:cantSplit/>
        </w:trPr>
        <w:tc>
          <w:tcPr>
            <w:tcW w:w="1696" w:type="dxa"/>
            <w:tcBorders>
              <w:left w:val="single" w:sz="4" w:space="0" w:color="auto"/>
            </w:tcBorders>
            <w:shd w:val="clear" w:color="auto" w:fill="auto"/>
          </w:tcPr>
          <w:p w14:paraId="0DF0396B" w14:textId="77777777" w:rsidR="002A4DDF" w:rsidRPr="00937C8B" w:rsidRDefault="002A4DDF" w:rsidP="009110ED">
            <w:pPr>
              <w:rPr>
                <w:rFonts w:ascii="Arial" w:hAnsi="Arial" w:cs="Arial"/>
                <w:sz w:val="12"/>
                <w:szCs w:val="12"/>
              </w:rPr>
            </w:pPr>
          </w:p>
        </w:tc>
        <w:tc>
          <w:tcPr>
            <w:tcW w:w="1843" w:type="dxa"/>
            <w:shd w:val="clear" w:color="auto" w:fill="auto"/>
          </w:tcPr>
          <w:p w14:paraId="53D7717F" w14:textId="77777777" w:rsidR="002A4DDF" w:rsidRPr="00937C8B" w:rsidRDefault="002A4DDF" w:rsidP="009110ED">
            <w:pPr>
              <w:rPr>
                <w:rFonts w:ascii="Arial" w:hAnsi="Arial" w:cs="Arial"/>
                <w:sz w:val="12"/>
                <w:szCs w:val="12"/>
              </w:rPr>
            </w:pPr>
          </w:p>
        </w:tc>
        <w:tc>
          <w:tcPr>
            <w:tcW w:w="2268" w:type="dxa"/>
            <w:shd w:val="clear" w:color="auto" w:fill="F2F2F2"/>
            <w:hideMark/>
          </w:tcPr>
          <w:p w14:paraId="0B29F4C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39F1488" w14:textId="77777777" w:rsidR="002A4DDF" w:rsidRPr="00937C8B" w:rsidRDefault="002A4DDF" w:rsidP="009110ED">
            <w:pPr>
              <w:rPr>
                <w:rFonts w:ascii="Arial" w:hAnsi="Arial" w:cs="Arial"/>
                <w:sz w:val="12"/>
                <w:szCs w:val="12"/>
              </w:rPr>
            </w:pPr>
            <w:r>
              <w:rPr>
                <w:rFonts w:ascii="Arial" w:hAnsi="Arial"/>
                <w:sz w:val="12"/>
                <w:szCs w:val="12"/>
              </w:rPr>
              <w:t>Torrejoncillo</w:t>
            </w:r>
          </w:p>
        </w:tc>
      </w:tr>
      <w:tr w:rsidR="002A4DDF" w:rsidRPr="00937C8B" w14:paraId="4FD6F0FE" w14:textId="77777777" w:rsidTr="00935676">
        <w:trPr>
          <w:cantSplit/>
        </w:trPr>
        <w:tc>
          <w:tcPr>
            <w:tcW w:w="1696" w:type="dxa"/>
            <w:tcBorders>
              <w:left w:val="single" w:sz="4" w:space="0" w:color="auto"/>
            </w:tcBorders>
            <w:shd w:val="clear" w:color="auto" w:fill="auto"/>
          </w:tcPr>
          <w:p w14:paraId="7EB45618" w14:textId="77777777" w:rsidR="002A4DDF" w:rsidRPr="00937C8B" w:rsidRDefault="002A4DDF" w:rsidP="009110ED">
            <w:pPr>
              <w:rPr>
                <w:rFonts w:ascii="Arial" w:hAnsi="Arial" w:cs="Arial"/>
                <w:sz w:val="12"/>
                <w:szCs w:val="12"/>
              </w:rPr>
            </w:pPr>
          </w:p>
        </w:tc>
        <w:tc>
          <w:tcPr>
            <w:tcW w:w="1843" w:type="dxa"/>
            <w:shd w:val="clear" w:color="auto" w:fill="auto"/>
          </w:tcPr>
          <w:p w14:paraId="6757C636" w14:textId="77777777" w:rsidR="002A4DDF" w:rsidRPr="00937C8B" w:rsidRDefault="002A4DDF" w:rsidP="009110ED">
            <w:pPr>
              <w:rPr>
                <w:rFonts w:ascii="Arial" w:hAnsi="Arial" w:cs="Arial"/>
                <w:sz w:val="12"/>
                <w:szCs w:val="12"/>
              </w:rPr>
            </w:pPr>
          </w:p>
        </w:tc>
        <w:tc>
          <w:tcPr>
            <w:tcW w:w="2268" w:type="dxa"/>
            <w:shd w:val="clear" w:color="auto" w:fill="F2F2F2"/>
            <w:hideMark/>
          </w:tcPr>
          <w:p w14:paraId="2D5BEA3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A364A8E" w14:textId="77777777" w:rsidR="002A4DDF" w:rsidRPr="00937C8B" w:rsidRDefault="002A4DDF" w:rsidP="009110ED">
            <w:pPr>
              <w:rPr>
                <w:rFonts w:ascii="Arial" w:hAnsi="Arial" w:cs="Arial"/>
                <w:sz w:val="12"/>
                <w:szCs w:val="12"/>
              </w:rPr>
            </w:pPr>
            <w:r>
              <w:rPr>
                <w:rFonts w:ascii="Arial" w:hAnsi="Arial"/>
                <w:sz w:val="12"/>
                <w:szCs w:val="12"/>
              </w:rPr>
              <w:t>Torremenga</w:t>
            </w:r>
          </w:p>
        </w:tc>
      </w:tr>
      <w:tr w:rsidR="002A4DDF" w:rsidRPr="00937C8B" w14:paraId="1CC5A1AD" w14:textId="77777777" w:rsidTr="00935676">
        <w:trPr>
          <w:cantSplit/>
        </w:trPr>
        <w:tc>
          <w:tcPr>
            <w:tcW w:w="1696" w:type="dxa"/>
            <w:tcBorders>
              <w:left w:val="single" w:sz="4" w:space="0" w:color="auto"/>
            </w:tcBorders>
            <w:shd w:val="clear" w:color="auto" w:fill="auto"/>
          </w:tcPr>
          <w:p w14:paraId="03E81E16" w14:textId="77777777" w:rsidR="002A4DDF" w:rsidRPr="00937C8B" w:rsidRDefault="002A4DDF" w:rsidP="009110ED">
            <w:pPr>
              <w:rPr>
                <w:rFonts w:ascii="Arial" w:hAnsi="Arial" w:cs="Arial"/>
                <w:sz w:val="12"/>
                <w:szCs w:val="12"/>
              </w:rPr>
            </w:pPr>
          </w:p>
        </w:tc>
        <w:tc>
          <w:tcPr>
            <w:tcW w:w="1843" w:type="dxa"/>
            <w:shd w:val="clear" w:color="auto" w:fill="auto"/>
          </w:tcPr>
          <w:p w14:paraId="7AD6F559" w14:textId="77777777" w:rsidR="002A4DDF" w:rsidRPr="00937C8B" w:rsidRDefault="002A4DDF" w:rsidP="009110ED">
            <w:pPr>
              <w:rPr>
                <w:rFonts w:ascii="Arial" w:hAnsi="Arial" w:cs="Arial"/>
                <w:sz w:val="12"/>
                <w:szCs w:val="12"/>
              </w:rPr>
            </w:pPr>
          </w:p>
        </w:tc>
        <w:tc>
          <w:tcPr>
            <w:tcW w:w="2268" w:type="dxa"/>
            <w:shd w:val="clear" w:color="auto" w:fill="F2F2F2"/>
            <w:hideMark/>
          </w:tcPr>
          <w:p w14:paraId="238F62D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ED00110" w14:textId="77777777" w:rsidR="002A4DDF" w:rsidRPr="00937C8B" w:rsidRDefault="002A4DDF" w:rsidP="009110ED">
            <w:pPr>
              <w:rPr>
                <w:rFonts w:ascii="Arial" w:hAnsi="Arial" w:cs="Arial"/>
                <w:sz w:val="12"/>
                <w:szCs w:val="12"/>
              </w:rPr>
            </w:pPr>
            <w:r>
              <w:rPr>
                <w:rFonts w:ascii="Arial" w:hAnsi="Arial"/>
                <w:sz w:val="12"/>
                <w:szCs w:val="12"/>
              </w:rPr>
              <w:t>Torremocha</w:t>
            </w:r>
          </w:p>
        </w:tc>
      </w:tr>
      <w:tr w:rsidR="002A4DDF" w:rsidRPr="00937C8B" w14:paraId="729E2257" w14:textId="77777777" w:rsidTr="00935676">
        <w:trPr>
          <w:cantSplit/>
        </w:trPr>
        <w:tc>
          <w:tcPr>
            <w:tcW w:w="1696" w:type="dxa"/>
            <w:tcBorders>
              <w:left w:val="single" w:sz="4" w:space="0" w:color="auto"/>
            </w:tcBorders>
            <w:shd w:val="clear" w:color="auto" w:fill="auto"/>
          </w:tcPr>
          <w:p w14:paraId="64D81BAC" w14:textId="77777777" w:rsidR="002A4DDF" w:rsidRPr="00937C8B" w:rsidRDefault="002A4DDF" w:rsidP="009110ED">
            <w:pPr>
              <w:rPr>
                <w:rFonts w:ascii="Arial" w:hAnsi="Arial" w:cs="Arial"/>
                <w:sz w:val="12"/>
                <w:szCs w:val="12"/>
              </w:rPr>
            </w:pPr>
          </w:p>
        </w:tc>
        <w:tc>
          <w:tcPr>
            <w:tcW w:w="1843" w:type="dxa"/>
            <w:shd w:val="clear" w:color="auto" w:fill="auto"/>
          </w:tcPr>
          <w:p w14:paraId="51AA8DAB" w14:textId="77777777" w:rsidR="002A4DDF" w:rsidRPr="00937C8B" w:rsidRDefault="002A4DDF" w:rsidP="009110ED">
            <w:pPr>
              <w:rPr>
                <w:rFonts w:ascii="Arial" w:hAnsi="Arial" w:cs="Arial"/>
                <w:sz w:val="12"/>
                <w:szCs w:val="12"/>
              </w:rPr>
            </w:pPr>
          </w:p>
        </w:tc>
        <w:tc>
          <w:tcPr>
            <w:tcW w:w="2268" w:type="dxa"/>
            <w:shd w:val="clear" w:color="auto" w:fill="F2F2F2"/>
            <w:hideMark/>
          </w:tcPr>
          <w:p w14:paraId="1709C07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C28C1C2" w14:textId="77777777" w:rsidR="002A4DDF" w:rsidRPr="00937C8B" w:rsidRDefault="002A4DDF" w:rsidP="009110ED">
            <w:pPr>
              <w:rPr>
                <w:rFonts w:ascii="Arial" w:hAnsi="Arial" w:cs="Arial"/>
                <w:sz w:val="12"/>
                <w:szCs w:val="12"/>
              </w:rPr>
            </w:pPr>
            <w:r>
              <w:rPr>
                <w:rFonts w:ascii="Arial" w:hAnsi="Arial"/>
                <w:sz w:val="12"/>
                <w:szCs w:val="12"/>
              </w:rPr>
              <w:t>Torreorgaz</w:t>
            </w:r>
          </w:p>
        </w:tc>
      </w:tr>
      <w:tr w:rsidR="002A4DDF" w:rsidRPr="00937C8B" w14:paraId="6DE88350" w14:textId="77777777" w:rsidTr="00935676">
        <w:trPr>
          <w:cantSplit/>
        </w:trPr>
        <w:tc>
          <w:tcPr>
            <w:tcW w:w="1696" w:type="dxa"/>
            <w:tcBorders>
              <w:left w:val="single" w:sz="4" w:space="0" w:color="auto"/>
            </w:tcBorders>
            <w:shd w:val="clear" w:color="auto" w:fill="auto"/>
          </w:tcPr>
          <w:p w14:paraId="37984EFB" w14:textId="77777777" w:rsidR="002A4DDF" w:rsidRPr="00937C8B" w:rsidRDefault="002A4DDF" w:rsidP="009110ED">
            <w:pPr>
              <w:rPr>
                <w:rFonts w:ascii="Arial" w:hAnsi="Arial" w:cs="Arial"/>
                <w:sz w:val="12"/>
                <w:szCs w:val="12"/>
              </w:rPr>
            </w:pPr>
          </w:p>
        </w:tc>
        <w:tc>
          <w:tcPr>
            <w:tcW w:w="1843" w:type="dxa"/>
            <w:shd w:val="clear" w:color="auto" w:fill="auto"/>
          </w:tcPr>
          <w:p w14:paraId="691AB1E5" w14:textId="77777777" w:rsidR="002A4DDF" w:rsidRPr="00937C8B" w:rsidRDefault="002A4DDF" w:rsidP="009110ED">
            <w:pPr>
              <w:rPr>
                <w:rFonts w:ascii="Arial" w:hAnsi="Arial" w:cs="Arial"/>
                <w:sz w:val="12"/>
                <w:szCs w:val="12"/>
              </w:rPr>
            </w:pPr>
          </w:p>
        </w:tc>
        <w:tc>
          <w:tcPr>
            <w:tcW w:w="2268" w:type="dxa"/>
            <w:shd w:val="clear" w:color="auto" w:fill="F2F2F2"/>
            <w:hideMark/>
          </w:tcPr>
          <w:p w14:paraId="40279FA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B25382A" w14:textId="77777777" w:rsidR="002A4DDF" w:rsidRPr="00937C8B" w:rsidRDefault="002A4DDF" w:rsidP="009110ED">
            <w:pPr>
              <w:rPr>
                <w:rFonts w:ascii="Arial" w:hAnsi="Arial" w:cs="Arial"/>
                <w:sz w:val="12"/>
                <w:szCs w:val="12"/>
              </w:rPr>
            </w:pPr>
            <w:r>
              <w:rPr>
                <w:rFonts w:ascii="Arial" w:hAnsi="Arial"/>
                <w:sz w:val="12"/>
                <w:szCs w:val="12"/>
              </w:rPr>
              <w:t>Torrequemada</w:t>
            </w:r>
          </w:p>
        </w:tc>
      </w:tr>
      <w:tr w:rsidR="002A4DDF" w:rsidRPr="00937C8B" w14:paraId="35E822AA" w14:textId="77777777" w:rsidTr="00935676">
        <w:trPr>
          <w:cantSplit/>
        </w:trPr>
        <w:tc>
          <w:tcPr>
            <w:tcW w:w="1696" w:type="dxa"/>
            <w:tcBorders>
              <w:left w:val="single" w:sz="4" w:space="0" w:color="auto"/>
            </w:tcBorders>
            <w:shd w:val="clear" w:color="auto" w:fill="auto"/>
          </w:tcPr>
          <w:p w14:paraId="0C028F06" w14:textId="77777777" w:rsidR="002A4DDF" w:rsidRPr="00937C8B" w:rsidRDefault="002A4DDF" w:rsidP="009110ED">
            <w:pPr>
              <w:rPr>
                <w:rFonts w:ascii="Arial" w:hAnsi="Arial" w:cs="Arial"/>
                <w:sz w:val="12"/>
                <w:szCs w:val="12"/>
              </w:rPr>
            </w:pPr>
          </w:p>
        </w:tc>
        <w:tc>
          <w:tcPr>
            <w:tcW w:w="1843" w:type="dxa"/>
            <w:shd w:val="clear" w:color="auto" w:fill="auto"/>
          </w:tcPr>
          <w:p w14:paraId="59358F80" w14:textId="77777777" w:rsidR="002A4DDF" w:rsidRPr="00937C8B" w:rsidRDefault="002A4DDF" w:rsidP="009110ED">
            <w:pPr>
              <w:rPr>
                <w:rFonts w:ascii="Arial" w:hAnsi="Arial" w:cs="Arial"/>
                <w:sz w:val="12"/>
                <w:szCs w:val="12"/>
              </w:rPr>
            </w:pPr>
          </w:p>
        </w:tc>
        <w:tc>
          <w:tcPr>
            <w:tcW w:w="2268" w:type="dxa"/>
            <w:shd w:val="clear" w:color="auto" w:fill="F2F2F2"/>
            <w:hideMark/>
          </w:tcPr>
          <w:p w14:paraId="76CF15C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183BCA1" w14:textId="77777777" w:rsidR="002A4DDF" w:rsidRPr="00937C8B" w:rsidRDefault="002A4DDF" w:rsidP="009110ED">
            <w:pPr>
              <w:rPr>
                <w:rFonts w:ascii="Arial" w:hAnsi="Arial" w:cs="Arial"/>
                <w:sz w:val="12"/>
                <w:szCs w:val="12"/>
              </w:rPr>
            </w:pPr>
            <w:r>
              <w:rPr>
                <w:rFonts w:ascii="Arial" w:hAnsi="Arial"/>
                <w:sz w:val="12"/>
                <w:szCs w:val="12"/>
              </w:rPr>
              <w:t>Trujillo</w:t>
            </w:r>
          </w:p>
        </w:tc>
      </w:tr>
      <w:tr w:rsidR="002A4DDF" w:rsidRPr="00937C8B" w14:paraId="549A4854" w14:textId="77777777" w:rsidTr="00935676">
        <w:trPr>
          <w:cantSplit/>
        </w:trPr>
        <w:tc>
          <w:tcPr>
            <w:tcW w:w="1696" w:type="dxa"/>
            <w:tcBorders>
              <w:left w:val="single" w:sz="4" w:space="0" w:color="auto"/>
            </w:tcBorders>
            <w:shd w:val="clear" w:color="auto" w:fill="auto"/>
          </w:tcPr>
          <w:p w14:paraId="258693C0" w14:textId="77777777" w:rsidR="002A4DDF" w:rsidRPr="00937C8B" w:rsidRDefault="002A4DDF" w:rsidP="009110ED">
            <w:pPr>
              <w:rPr>
                <w:rFonts w:ascii="Arial" w:hAnsi="Arial" w:cs="Arial"/>
                <w:sz w:val="12"/>
                <w:szCs w:val="12"/>
              </w:rPr>
            </w:pPr>
          </w:p>
        </w:tc>
        <w:tc>
          <w:tcPr>
            <w:tcW w:w="1843" w:type="dxa"/>
            <w:shd w:val="clear" w:color="auto" w:fill="auto"/>
          </w:tcPr>
          <w:p w14:paraId="36DEF056" w14:textId="77777777" w:rsidR="002A4DDF" w:rsidRPr="00937C8B" w:rsidRDefault="002A4DDF" w:rsidP="009110ED">
            <w:pPr>
              <w:rPr>
                <w:rFonts w:ascii="Arial" w:hAnsi="Arial" w:cs="Arial"/>
                <w:sz w:val="12"/>
                <w:szCs w:val="12"/>
              </w:rPr>
            </w:pPr>
          </w:p>
        </w:tc>
        <w:tc>
          <w:tcPr>
            <w:tcW w:w="2268" w:type="dxa"/>
            <w:shd w:val="clear" w:color="auto" w:fill="F2F2F2"/>
            <w:hideMark/>
          </w:tcPr>
          <w:p w14:paraId="21B6E6F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0C65AE9" w14:textId="77777777" w:rsidR="002A4DDF" w:rsidRPr="00937C8B" w:rsidRDefault="002A4DDF" w:rsidP="009110ED">
            <w:pPr>
              <w:rPr>
                <w:rFonts w:ascii="Arial" w:hAnsi="Arial" w:cs="Arial"/>
                <w:sz w:val="12"/>
                <w:szCs w:val="12"/>
              </w:rPr>
            </w:pPr>
            <w:r>
              <w:rPr>
                <w:rFonts w:ascii="Arial" w:hAnsi="Arial"/>
                <w:sz w:val="12"/>
                <w:szCs w:val="12"/>
              </w:rPr>
              <w:t>Valdastillas</w:t>
            </w:r>
          </w:p>
        </w:tc>
      </w:tr>
      <w:tr w:rsidR="002A4DDF" w:rsidRPr="00937C8B" w14:paraId="6631A675" w14:textId="77777777" w:rsidTr="00935676">
        <w:trPr>
          <w:cantSplit/>
        </w:trPr>
        <w:tc>
          <w:tcPr>
            <w:tcW w:w="1696" w:type="dxa"/>
            <w:tcBorders>
              <w:left w:val="single" w:sz="4" w:space="0" w:color="auto"/>
            </w:tcBorders>
            <w:shd w:val="clear" w:color="auto" w:fill="auto"/>
          </w:tcPr>
          <w:p w14:paraId="3DD59463" w14:textId="77777777" w:rsidR="002A4DDF" w:rsidRPr="00937C8B" w:rsidRDefault="002A4DDF" w:rsidP="009110ED">
            <w:pPr>
              <w:rPr>
                <w:rFonts w:ascii="Arial" w:hAnsi="Arial" w:cs="Arial"/>
                <w:sz w:val="12"/>
                <w:szCs w:val="12"/>
              </w:rPr>
            </w:pPr>
          </w:p>
        </w:tc>
        <w:tc>
          <w:tcPr>
            <w:tcW w:w="1843" w:type="dxa"/>
            <w:shd w:val="clear" w:color="auto" w:fill="auto"/>
          </w:tcPr>
          <w:p w14:paraId="45AA5F0C" w14:textId="77777777" w:rsidR="002A4DDF" w:rsidRPr="00937C8B" w:rsidRDefault="002A4DDF" w:rsidP="009110ED">
            <w:pPr>
              <w:rPr>
                <w:rFonts w:ascii="Arial" w:hAnsi="Arial" w:cs="Arial"/>
                <w:sz w:val="12"/>
                <w:szCs w:val="12"/>
              </w:rPr>
            </w:pPr>
          </w:p>
        </w:tc>
        <w:tc>
          <w:tcPr>
            <w:tcW w:w="2268" w:type="dxa"/>
            <w:shd w:val="clear" w:color="auto" w:fill="F2F2F2"/>
            <w:hideMark/>
          </w:tcPr>
          <w:p w14:paraId="340D3B5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AA9FBE6" w14:textId="77777777" w:rsidR="002A4DDF" w:rsidRPr="00937C8B" w:rsidRDefault="002A4DDF" w:rsidP="009110ED">
            <w:pPr>
              <w:rPr>
                <w:rFonts w:ascii="Arial" w:hAnsi="Arial" w:cs="Arial"/>
                <w:sz w:val="12"/>
                <w:szCs w:val="12"/>
              </w:rPr>
            </w:pPr>
            <w:r>
              <w:rPr>
                <w:rFonts w:ascii="Arial" w:hAnsi="Arial"/>
                <w:sz w:val="12"/>
                <w:szCs w:val="12"/>
              </w:rPr>
              <w:t>Valdecañas de Tajo</w:t>
            </w:r>
          </w:p>
        </w:tc>
      </w:tr>
      <w:tr w:rsidR="002A4DDF" w:rsidRPr="00937C8B" w14:paraId="6EAD9A59" w14:textId="77777777" w:rsidTr="00935676">
        <w:trPr>
          <w:cantSplit/>
        </w:trPr>
        <w:tc>
          <w:tcPr>
            <w:tcW w:w="1696" w:type="dxa"/>
            <w:tcBorders>
              <w:left w:val="single" w:sz="4" w:space="0" w:color="auto"/>
            </w:tcBorders>
            <w:shd w:val="clear" w:color="auto" w:fill="auto"/>
          </w:tcPr>
          <w:p w14:paraId="19CBB2BE" w14:textId="77777777" w:rsidR="002A4DDF" w:rsidRPr="00937C8B" w:rsidRDefault="002A4DDF" w:rsidP="009110ED">
            <w:pPr>
              <w:rPr>
                <w:rFonts w:ascii="Arial" w:hAnsi="Arial" w:cs="Arial"/>
                <w:sz w:val="12"/>
                <w:szCs w:val="12"/>
              </w:rPr>
            </w:pPr>
          </w:p>
        </w:tc>
        <w:tc>
          <w:tcPr>
            <w:tcW w:w="1843" w:type="dxa"/>
            <w:shd w:val="clear" w:color="auto" w:fill="auto"/>
          </w:tcPr>
          <w:p w14:paraId="3694ED81" w14:textId="77777777" w:rsidR="002A4DDF" w:rsidRPr="00937C8B" w:rsidRDefault="002A4DDF" w:rsidP="009110ED">
            <w:pPr>
              <w:rPr>
                <w:rFonts w:ascii="Arial" w:hAnsi="Arial" w:cs="Arial"/>
                <w:sz w:val="12"/>
                <w:szCs w:val="12"/>
              </w:rPr>
            </w:pPr>
          </w:p>
        </w:tc>
        <w:tc>
          <w:tcPr>
            <w:tcW w:w="2268" w:type="dxa"/>
            <w:shd w:val="clear" w:color="auto" w:fill="F2F2F2"/>
            <w:hideMark/>
          </w:tcPr>
          <w:p w14:paraId="0A68367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AFE73CE" w14:textId="77777777" w:rsidR="002A4DDF" w:rsidRPr="00937C8B" w:rsidRDefault="002A4DDF" w:rsidP="009110ED">
            <w:pPr>
              <w:rPr>
                <w:rFonts w:ascii="Arial" w:hAnsi="Arial" w:cs="Arial"/>
                <w:sz w:val="12"/>
                <w:szCs w:val="12"/>
              </w:rPr>
            </w:pPr>
            <w:r>
              <w:rPr>
                <w:rFonts w:ascii="Arial" w:hAnsi="Arial"/>
                <w:sz w:val="12"/>
                <w:szCs w:val="12"/>
              </w:rPr>
              <w:t>Valdefuentes</w:t>
            </w:r>
          </w:p>
        </w:tc>
      </w:tr>
      <w:tr w:rsidR="002A4DDF" w:rsidRPr="00937C8B" w14:paraId="2721DF57" w14:textId="77777777" w:rsidTr="00935676">
        <w:trPr>
          <w:cantSplit/>
        </w:trPr>
        <w:tc>
          <w:tcPr>
            <w:tcW w:w="1696" w:type="dxa"/>
            <w:tcBorders>
              <w:left w:val="single" w:sz="4" w:space="0" w:color="auto"/>
            </w:tcBorders>
            <w:shd w:val="clear" w:color="auto" w:fill="auto"/>
          </w:tcPr>
          <w:p w14:paraId="1507337C" w14:textId="77777777" w:rsidR="002A4DDF" w:rsidRPr="00937C8B" w:rsidRDefault="002A4DDF" w:rsidP="009110ED">
            <w:pPr>
              <w:rPr>
                <w:rFonts w:ascii="Arial" w:hAnsi="Arial" w:cs="Arial"/>
                <w:sz w:val="12"/>
                <w:szCs w:val="12"/>
              </w:rPr>
            </w:pPr>
          </w:p>
        </w:tc>
        <w:tc>
          <w:tcPr>
            <w:tcW w:w="1843" w:type="dxa"/>
            <w:shd w:val="clear" w:color="auto" w:fill="auto"/>
          </w:tcPr>
          <w:p w14:paraId="504EC5EE" w14:textId="77777777" w:rsidR="002A4DDF" w:rsidRPr="00937C8B" w:rsidRDefault="002A4DDF" w:rsidP="009110ED">
            <w:pPr>
              <w:rPr>
                <w:rFonts w:ascii="Arial" w:hAnsi="Arial" w:cs="Arial"/>
                <w:sz w:val="12"/>
                <w:szCs w:val="12"/>
              </w:rPr>
            </w:pPr>
          </w:p>
        </w:tc>
        <w:tc>
          <w:tcPr>
            <w:tcW w:w="2268" w:type="dxa"/>
            <w:shd w:val="clear" w:color="auto" w:fill="F2F2F2"/>
            <w:hideMark/>
          </w:tcPr>
          <w:p w14:paraId="790C29E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2B07914" w14:textId="77777777" w:rsidR="002A4DDF" w:rsidRPr="00937C8B" w:rsidRDefault="002A4DDF" w:rsidP="009110ED">
            <w:pPr>
              <w:rPr>
                <w:rFonts w:ascii="Arial" w:hAnsi="Arial" w:cs="Arial"/>
                <w:sz w:val="12"/>
                <w:szCs w:val="12"/>
              </w:rPr>
            </w:pPr>
            <w:r>
              <w:rPr>
                <w:rFonts w:ascii="Arial" w:hAnsi="Arial"/>
                <w:sz w:val="12"/>
                <w:szCs w:val="12"/>
              </w:rPr>
              <w:t>Valdehúncar</w:t>
            </w:r>
          </w:p>
        </w:tc>
      </w:tr>
      <w:tr w:rsidR="002A4DDF" w:rsidRPr="00937C8B" w14:paraId="683DB47B" w14:textId="77777777" w:rsidTr="00935676">
        <w:trPr>
          <w:cantSplit/>
        </w:trPr>
        <w:tc>
          <w:tcPr>
            <w:tcW w:w="1696" w:type="dxa"/>
            <w:tcBorders>
              <w:left w:val="single" w:sz="4" w:space="0" w:color="auto"/>
            </w:tcBorders>
            <w:shd w:val="clear" w:color="auto" w:fill="auto"/>
          </w:tcPr>
          <w:p w14:paraId="5981D5BC" w14:textId="77777777" w:rsidR="002A4DDF" w:rsidRPr="00937C8B" w:rsidRDefault="002A4DDF" w:rsidP="009110ED">
            <w:pPr>
              <w:rPr>
                <w:rFonts w:ascii="Arial" w:hAnsi="Arial" w:cs="Arial"/>
                <w:sz w:val="12"/>
                <w:szCs w:val="12"/>
              </w:rPr>
            </w:pPr>
          </w:p>
        </w:tc>
        <w:tc>
          <w:tcPr>
            <w:tcW w:w="1843" w:type="dxa"/>
            <w:shd w:val="clear" w:color="auto" w:fill="auto"/>
          </w:tcPr>
          <w:p w14:paraId="64F171EC" w14:textId="77777777" w:rsidR="002A4DDF" w:rsidRPr="00937C8B" w:rsidRDefault="002A4DDF" w:rsidP="009110ED">
            <w:pPr>
              <w:rPr>
                <w:rFonts w:ascii="Arial" w:hAnsi="Arial" w:cs="Arial"/>
                <w:sz w:val="12"/>
                <w:szCs w:val="12"/>
              </w:rPr>
            </w:pPr>
          </w:p>
        </w:tc>
        <w:tc>
          <w:tcPr>
            <w:tcW w:w="2268" w:type="dxa"/>
            <w:shd w:val="clear" w:color="auto" w:fill="F2F2F2"/>
            <w:hideMark/>
          </w:tcPr>
          <w:p w14:paraId="1DAC68C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A3BEE9B" w14:textId="77777777" w:rsidR="002A4DDF" w:rsidRPr="00937C8B" w:rsidRDefault="002A4DDF" w:rsidP="009110ED">
            <w:pPr>
              <w:rPr>
                <w:rFonts w:ascii="Arial" w:hAnsi="Arial" w:cs="Arial"/>
                <w:sz w:val="12"/>
                <w:szCs w:val="12"/>
              </w:rPr>
            </w:pPr>
            <w:r>
              <w:rPr>
                <w:rFonts w:ascii="Arial" w:hAnsi="Arial"/>
                <w:sz w:val="12"/>
                <w:szCs w:val="12"/>
              </w:rPr>
              <w:t>Valdelacasa de Tajo</w:t>
            </w:r>
          </w:p>
        </w:tc>
      </w:tr>
      <w:tr w:rsidR="002A4DDF" w:rsidRPr="00937C8B" w14:paraId="654E6C52" w14:textId="77777777" w:rsidTr="00935676">
        <w:trPr>
          <w:cantSplit/>
        </w:trPr>
        <w:tc>
          <w:tcPr>
            <w:tcW w:w="1696" w:type="dxa"/>
            <w:tcBorders>
              <w:left w:val="single" w:sz="4" w:space="0" w:color="auto"/>
            </w:tcBorders>
            <w:shd w:val="clear" w:color="auto" w:fill="auto"/>
          </w:tcPr>
          <w:p w14:paraId="2241BC69" w14:textId="77777777" w:rsidR="002A4DDF" w:rsidRPr="00937C8B" w:rsidRDefault="002A4DDF" w:rsidP="009110ED">
            <w:pPr>
              <w:rPr>
                <w:rFonts w:ascii="Arial" w:hAnsi="Arial" w:cs="Arial"/>
                <w:sz w:val="12"/>
                <w:szCs w:val="12"/>
              </w:rPr>
            </w:pPr>
          </w:p>
        </w:tc>
        <w:tc>
          <w:tcPr>
            <w:tcW w:w="1843" w:type="dxa"/>
            <w:shd w:val="clear" w:color="auto" w:fill="auto"/>
          </w:tcPr>
          <w:p w14:paraId="4EE5C6EF" w14:textId="77777777" w:rsidR="002A4DDF" w:rsidRPr="00937C8B" w:rsidRDefault="002A4DDF" w:rsidP="009110ED">
            <w:pPr>
              <w:rPr>
                <w:rFonts w:ascii="Arial" w:hAnsi="Arial" w:cs="Arial"/>
                <w:sz w:val="12"/>
                <w:szCs w:val="12"/>
              </w:rPr>
            </w:pPr>
          </w:p>
        </w:tc>
        <w:tc>
          <w:tcPr>
            <w:tcW w:w="2268" w:type="dxa"/>
            <w:shd w:val="clear" w:color="auto" w:fill="F2F2F2"/>
            <w:hideMark/>
          </w:tcPr>
          <w:p w14:paraId="600DA0E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5E2B535" w14:textId="77777777" w:rsidR="002A4DDF" w:rsidRPr="00937C8B" w:rsidRDefault="002A4DDF" w:rsidP="009110ED">
            <w:pPr>
              <w:rPr>
                <w:rFonts w:ascii="Arial" w:hAnsi="Arial" w:cs="Arial"/>
                <w:sz w:val="12"/>
                <w:szCs w:val="12"/>
              </w:rPr>
            </w:pPr>
            <w:r>
              <w:rPr>
                <w:rFonts w:ascii="Arial" w:hAnsi="Arial"/>
                <w:sz w:val="12"/>
                <w:szCs w:val="12"/>
              </w:rPr>
              <w:t>Valdeobispo</w:t>
            </w:r>
          </w:p>
        </w:tc>
      </w:tr>
      <w:tr w:rsidR="002A4DDF" w:rsidRPr="00937C8B" w14:paraId="3CE676E5" w14:textId="77777777" w:rsidTr="00935676">
        <w:trPr>
          <w:cantSplit/>
        </w:trPr>
        <w:tc>
          <w:tcPr>
            <w:tcW w:w="1696" w:type="dxa"/>
            <w:tcBorders>
              <w:left w:val="single" w:sz="4" w:space="0" w:color="auto"/>
            </w:tcBorders>
            <w:shd w:val="clear" w:color="auto" w:fill="auto"/>
          </w:tcPr>
          <w:p w14:paraId="0C9E7D3A" w14:textId="77777777" w:rsidR="002A4DDF" w:rsidRPr="00937C8B" w:rsidRDefault="002A4DDF" w:rsidP="009110ED">
            <w:pPr>
              <w:rPr>
                <w:rFonts w:ascii="Arial" w:hAnsi="Arial" w:cs="Arial"/>
                <w:sz w:val="12"/>
                <w:szCs w:val="12"/>
              </w:rPr>
            </w:pPr>
          </w:p>
        </w:tc>
        <w:tc>
          <w:tcPr>
            <w:tcW w:w="1843" w:type="dxa"/>
            <w:shd w:val="clear" w:color="auto" w:fill="auto"/>
          </w:tcPr>
          <w:p w14:paraId="3736E214" w14:textId="77777777" w:rsidR="002A4DDF" w:rsidRPr="00937C8B" w:rsidRDefault="002A4DDF" w:rsidP="009110ED">
            <w:pPr>
              <w:rPr>
                <w:rFonts w:ascii="Arial" w:hAnsi="Arial" w:cs="Arial"/>
                <w:sz w:val="12"/>
                <w:szCs w:val="12"/>
              </w:rPr>
            </w:pPr>
          </w:p>
        </w:tc>
        <w:tc>
          <w:tcPr>
            <w:tcW w:w="2268" w:type="dxa"/>
            <w:shd w:val="clear" w:color="auto" w:fill="F2F2F2"/>
            <w:hideMark/>
          </w:tcPr>
          <w:p w14:paraId="4F8BE21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46DA1D6" w14:textId="77777777" w:rsidR="002A4DDF" w:rsidRPr="00937C8B" w:rsidRDefault="002A4DDF" w:rsidP="009110ED">
            <w:pPr>
              <w:rPr>
                <w:rFonts w:ascii="Arial" w:hAnsi="Arial" w:cs="Arial"/>
                <w:sz w:val="12"/>
                <w:szCs w:val="12"/>
              </w:rPr>
            </w:pPr>
            <w:r>
              <w:rPr>
                <w:rFonts w:ascii="Arial" w:hAnsi="Arial"/>
                <w:sz w:val="12"/>
                <w:szCs w:val="12"/>
              </w:rPr>
              <w:t>Valencia de Alcántara</w:t>
            </w:r>
          </w:p>
        </w:tc>
      </w:tr>
      <w:tr w:rsidR="002A4DDF" w:rsidRPr="00937C8B" w14:paraId="620CFDF2" w14:textId="77777777" w:rsidTr="00935676">
        <w:trPr>
          <w:cantSplit/>
        </w:trPr>
        <w:tc>
          <w:tcPr>
            <w:tcW w:w="1696" w:type="dxa"/>
            <w:tcBorders>
              <w:left w:val="single" w:sz="4" w:space="0" w:color="auto"/>
            </w:tcBorders>
            <w:shd w:val="clear" w:color="auto" w:fill="auto"/>
          </w:tcPr>
          <w:p w14:paraId="706BF519" w14:textId="77777777" w:rsidR="002A4DDF" w:rsidRPr="00937C8B" w:rsidRDefault="002A4DDF" w:rsidP="009110ED">
            <w:pPr>
              <w:rPr>
                <w:rFonts w:ascii="Arial" w:hAnsi="Arial" w:cs="Arial"/>
                <w:sz w:val="12"/>
                <w:szCs w:val="12"/>
              </w:rPr>
            </w:pPr>
          </w:p>
        </w:tc>
        <w:tc>
          <w:tcPr>
            <w:tcW w:w="1843" w:type="dxa"/>
            <w:shd w:val="clear" w:color="auto" w:fill="auto"/>
          </w:tcPr>
          <w:p w14:paraId="78A6ABFA" w14:textId="77777777" w:rsidR="002A4DDF" w:rsidRPr="00937C8B" w:rsidRDefault="002A4DDF" w:rsidP="009110ED">
            <w:pPr>
              <w:rPr>
                <w:rFonts w:ascii="Arial" w:hAnsi="Arial" w:cs="Arial"/>
                <w:sz w:val="12"/>
                <w:szCs w:val="12"/>
              </w:rPr>
            </w:pPr>
          </w:p>
        </w:tc>
        <w:tc>
          <w:tcPr>
            <w:tcW w:w="2268" w:type="dxa"/>
            <w:shd w:val="clear" w:color="auto" w:fill="F2F2F2"/>
            <w:hideMark/>
          </w:tcPr>
          <w:p w14:paraId="2D20853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3A452E5" w14:textId="77777777" w:rsidR="002A4DDF" w:rsidRPr="00937C8B" w:rsidRDefault="002A4DDF" w:rsidP="009110ED">
            <w:pPr>
              <w:rPr>
                <w:rFonts w:ascii="Arial" w:hAnsi="Arial" w:cs="Arial"/>
                <w:sz w:val="12"/>
                <w:szCs w:val="12"/>
              </w:rPr>
            </w:pPr>
            <w:r>
              <w:rPr>
                <w:rFonts w:ascii="Arial" w:hAnsi="Arial"/>
                <w:sz w:val="12"/>
                <w:szCs w:val="12"/>
              </w:rPr>
              <w:t>Valverde de la Vera</w:t>
            </w:r>
          </w:p>
        </w:tc>
      </w:tr>
      <w:tr w:rsidR="002A4DDF" w:rsidRPr="00937C8B" w14:paraId="6245C747" w14:textId="77777777" w:rsidTr="00935676">
        <w:trPr>
          <w:cantSplit/>
        </w:trPr>
        <w:tc>
          <w:tcPr>
            <w:tcW w:w="1696" w:type="dxa"/>
            <w:tcBorders>
              <w:left w:val="single" w:sz="4" w:space="0" w:color="auto"/>
            </w:tcBorders>
            <w:shd w:val="clear" w:color="auto" w:fill="auto"/>
          </w:tcPr>
          <w:p w14:paraId="27771631" w14:textId="77777777" w:rsidR="002A4DDF" w:rsidRPr="00937C8B" w:rsidRDefault="002A4DDF" w:rsidP="009110ED">
            <w:pPr>
              <w:rPr>
                <w:rFonts w:ascii="Arial" w:hAnsi="Arial" w:cs="Arial"/>
                <w:sz w:val="12"/>
                <w:szCs w:val="12"/>
              </w:rPr>
            </w:pPr>
          </w:p>
        </w:tc>
        <w:tc>
          <w:tcPr>
            <w:tcW w:w="1843" w:type="dxa"/>
            <w:shd w:val="clear" w:color="auto" w:fill="auto"/>
          </w:tcPr>
          <w:p w14:paraId="1E9B1125" w14:textId="77777777" w:rsidR="002A4DDF" w:rsidRPr="00937C8B" w:rsidRDefault="002A4DDF" w:rsidP="009110ED">
            <w:pPr>
              <w:rPr>
                <w:rFonts w:ascii="Arial" w:hAnsi="Arial" w:cs="Arial"/>
                <w:sz w:val="12"/>
                <w:szCs w:val="12"/>
              </w:rPr>
            </w:pPr>
          </w:p>
        </w:tc>
        <w:tc>
          <w:tcPr>
            <w:tcW w:w="2268" w:type="dxa"/>
            <w:shd w:val="clear" w:color="auto" w:fill="F2F2F2"/>
            <w:hideMark/>
          </w:tcPr>
          <w:p w14:paraId="3DED8CE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D42AF23" w14:textId="77777777" w:rsidR="002A4DDF" w:rsidRPr="00937C8B" w:rsidRDefault="002A4DDF" w:rsidP="009110ED">
            <w:pPr>
              <w:rPr>
                <w:rFonts w:ascii="Arial" w:hAnsi="Arial" w:cs="Arial"/>
                <w:sz w:val="12"/>
                <w:szCs w:val="12"/>
              </w:rPr>
            </w:pPr>
            <w:r>
              <w:rPr>
                <w:rFonts w:ascii="Arial" w:hAnsi="Arial"/>
                <w:sz w:val="12"/>
                <w:szCs w:val="12"/>
              </w:rPr>
              <w:t>Valverde del Fresno</w:t>
            </w:r>
          </w:p>
        </w:tc>
      </w:tr>
      <w:tr w:rsidR="002A4DDF" w:rsidRPr="00937C8B" w14:paraId="4E28C2DA" w14:textId="77777777" w:rsidTr="00935676">
        <w:trPr>
          <w:cantSplit/>
        </w:trPr>
        <w:tc>
          <w:tcPr>
            <w:tcW w:w="1696" w:type="dxa"/>
            <w:tcBorders>
              <w:left w:val="single" w:sz="4" w:space="0" w:color="auto"/>
            </w:tcBorders>
            <w:shd w:val="clear" w:color="auto" w:fill="auto"/>
          </w:tcPr>
          <w:p w14:paraId="29FAC869" w14:textId="77777777" w:rsidR="002A4DDF" w:rsidRPr="00937C8B" w:rsidRDefault="002A4DDF" w:rsidP="009110ED">
            <w:pPr>
              <w:rPr>
                <w:rFonts w:ascii="Arial" w:hAnsi="Arial" w:cs="Arial"/>
                <w:sz w:val="12"/>
                <w:szCs w:val="12"/>
              </w:rPr>
            </w:pPr>
          </w:p>
        </w:tc>
        <w:tc>
          <w:tcPr>
            <w:tcW w:w="1843" w:type="dxa"/>
            <w:shd w:val="clear" w:color="auto" w:fill="auto"/>
          </w:tcPr>
          <w:p w14:paraId="14E720EA" w14:textId="77777777" w:rsidR="002A4DDF" w:rsidRPr="00937C8B" w:rsidRDefault="002A4DDF" w:rsidP="009110ED">
            <w:pPr>
              <w:rPr>
                <w:rFonts w:ascii="Arial" w:hAnsi="Arial" w:cs="Arial"/>
                <w:sz w:val="12"/>
                <w:szCs w:val="12"/>
              </w:rPr>
            </w:pPr>
          </w:p>
        </w:tc>
        <w:tc>
          <w:tcPr>
            <w:tcW w:w="2268" w:type="dxa"/>
            <w:shd w:val="clear" w:color="auto" w:fill="F2F2F2"/>
            <w:hideMark/>
          </w:tcPr>
          <w:p w14:paraId="01E6706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072C629" w14:textId="77777777" w:rsidR="002A4DDF" w:rsidRPr="00937C8B" w:rsidRDefault="002A4DDF" w:rsidP="009110ED">
            <w:pPr>
              <w:rPr>
                <w:rFonts w:ascii="Arial" w:hAnsi="Arial" w:cs="Arial"/>
                <w:sz w:val="12"/>
                <w:szCs w:val="12"/>
              </w:rPr>
            </w:pPr>
            <w:r>
              <w:rPr>
                <w:rFonts w:ascii="Arial" w:hAnsi="Arial"/>
                <w:sz w:val="12"/>
                <w:szCs w:val="12"/>
              </w:rPr>
              <w:t>Viandar de la Vera</w:t>
            </w:r>
          </w:p>
        </w:tc>
      </w:tr>
      <w:tr w:rsidR="002A4DDF" w:rsidRPr="00937C8B" w14:paraId="64D5F0FB" w14:textId="77777777" w:rsidTr="00935676">
        <w:trPr>
          <w:cantSplit/>
        </w:trPr>
        <w:tc>
          <w:tcPr>
            <w:tcW w:w="1696" w:type="dxa"/>
            <w:tcBorders>
              <w:left w:val="single" w:sz="4" w:space="0" w:color="auto"/>
            </w:tcBorders>
            <w:shd w:val="clear" w:color="auto" w:fill="auto"/>
          </w:tcPr>
          <w:p w14:paraId="0CC7F943" w14:textId="77777777" w:rsidR="002A4DDF" w:rsidRPr="00937C8B" w:rsidRDefault="002A4DDF" w:rsidP="009110ED">
            <w:pPr>
              <w:rPr>
                <w:rFonts w:ascii="Arial" w:hAnsi="Arial" w:cs="Arial"/>
                <w:sz w:val="12"/>
                <w:szCs w:val="12"/>
              </w:rPr>
            </w:pPr>
          </w:p>
        </w:tc>
        <w:tc>
          <w:tcPr>
            <w:tcW w:w="1843" w:type="dxa"/>
            <w:shd w:val="clear" w:color="auto" w:fill="auto"/>
          </w:tcPr>
          <w:p w14:paraId="6EB23E6D" w14:textId="77777777" w:rsidR="002A4DDF" w:rsidRPr="00937C8B" w:rsidRDefault="002A4DDF" w:rsidP="009110ED">
            <w:pPr>
              <w:rPr>
                <w:rFonts w:ascii="Arial" w:hAnsi="Arial" w:cs="Arial"/>
                <w:sz w:val="12"/>
                <w:szCs w:val="12"/>
              </w:rPr>
            </w:pPr>
          </w:p>
        </w:tc>
        <w:tc>
          <w:tcPr>
            <w:tcW w:w="2268" w:type="dxa"/>
            <w:shd w:val="clear" w:color="auto" w:fill="F2F2F2"/>
            <w:hideMark/>
          </w:tcPr>
          <w:p w14:paraId="4711D98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2D3DD1A" w14:textId="77777777" w:rsidR="002A4DDF" w:rsidRPr="00937C8B" w:rsidRDefault="002A4DDF" w:rsidP="009110ED">
            <w:pPr>
              <w:rPr>
                <w:rFonts w:ascii="Arial" w:hAnsi="Arial" w:cs="Arial"/>
                <w:sz w:val="12"/>
                <w:szCs w:val="12"/>
              </w:rPr>
            </w:pPr>
            <w:r>
              <w:rPr>
                <w:rFonts w:ascii="Arial" w:hAnsi="Arial"/>
                <w:sz w:val="12"/>
                <w:szCs w:val="12"/>
              </w:rPr>
              <w:t>Villa del Campo</w:t>
            </w:r>
          </w:p>
        </w:tc>
      </w:tr>
      <w:tr w:rsidR="002A4DDF" w:rsidRPr="00937C8B" w14:paraId="7886C876" w14:textId="77777777" w:rsidTr="00935676">
        <w:trPr>
          <w:cantSplit/>
        </w:trPr>
        <w:tc>
          <w:tcPr>
            <w:tcW w:w="1696" w:type="dxa"/>
            <w:tcBorders>
              <w:left w:val="single" w:sz="4" w:space="0" w:color="auto"/>
            </w:tcBorders>
            <w:shd w:val="clear" w:color="auto" w:fill="auto"/>
          </w:tcPr>
          <w:p w14:paraId="7E8AB269" w14:textId="77777777" w:rsidR="002A4DDF" w:rsidRPr="00937C8B" w:rsidRDefault="002A4DDF" w:rsidP="009110ED">
            <w:pPr>
              <w:rPr>
                <w:rFonts w:ascii="Arial" w:hAnsi="Arial" w:cs="Arial"/>
                <w:sz w:val="12"/>
                <w:szCs w:val="12"/>
              </w:rPr>
            </w:pPr>
          </w:p>
        </w:tc>
        <w:tc>
          <w:tcPr>
            <w:tcW w:w="1843" w:type="dxa"/>
            <w:shd w:val="clear" w:color="auto" w:fill="auto"/>
          </w:tcPr>
          <w:p w14:paraId="29EB4F32" w14:textId="77777777" w:rsidR="002A4DDF" w:rsidRPr="00937C8B" w:rsidRDefault="002A4DDF" w:rsidP="009110ED">
            <w:pPr>
              <w:rPr>
                <w:rFonts w:ascii="Arial" w:hAnsi="Arial" w:cs="Arial"/>
                <w:sz w:val="12"/>
                <w:szCs w:val="12"/>
              </w:rPr>
            </w:pPr>
          </w:p>
        </w:tc>
        <w:tc>
          <w:tcPr>
            <w:tcW w:w="2268" w:type="dxa"/>
            <w:shd w:val="clear" w:color="auto" w:fill="F2F2F2"/>
            <w:hideMark/>
          </w:tcPr>
          <w:p w14:paraId="4349FE1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8A68D48" w14:textId="77777777" w:rsidR="002A4DDF" w:rsidRPr="00937C8B" w:rsidRDefault="002A4DDF" w:rsidP="009110ED">
            <w:pPr>
              <w:rPr>
                <w:rFonts w:ascii="Arial" w:hAnsi="Arial" w:cs="Arial"/>
                <w:sz w:val="12"/>
                <w:szCs w:val="12"/>
              </w:rPr>
            </w:pPr>
            <w:r>
              <w:rPr>
                <w:rFonts w:ascii="Arial" w:hAnsi="Arial"/>
                <w:sz w:val="12"/>
                <w:szCs w:val="12"/>
              </w:rPr>
              <w:t>Villa del Rey</w:t>
            </w:r>
          </w:p>
        </w:tc>
      </w:tr>
      <w:tr w:rsidR="002A4DDF" w:rsidRPr="00937C8B" w14:paraId="736034B6" w14:textId="77777777" w:rsidTr="00935676">
        <w:trPr>
          <w:cantSplit/>
        </w:trPr>
        <w:tc>
          <w:tcPr>
            <w:tcW w:w="1696" w:type="dxa"/>
            <w:tcBorders>
              <w:left w:val="single" w:sz="4" w:space="0" w:color="auto"/>
            </w:tcBorders>
            <w:shd w:val="clear" w:color="auto" w:fill="auto"/>
          </w:tcPr>
          <w:p w14:paraId="65C557BE" w14:textId="77777777" w:rsidR="002A4DDF" w:rsidRPr="00937C8B" w:rsidRDefault="002A4DDF" w:rsidP="009110ED">
            <w:pPr>
              <w:rPr>
                <w:rFonts w:ascii="Arial" w:hAnsi="Arial" w:cs="Arial"/>
                <w:sz w:val="12"/>
                <w:szCs w:val="12"/>
              </w:rPr>
            </w:pPr>
          </w:p>
        </w:tc>
        <w:tc>
          <w:tcPr>
            <w:tcW w:w="1843" w:type="dxa"/>
            <w:shd w:val="clear" w:color="auto" w:fill="auto"/>
          </w:tcPr>
          <w:p w14:paraId="5EC3FE0C" w14:textId="77777777" w:rsidR="002A4DDF" w:rsidRPr="00937C8B" w:rsidRDefault="002A4DDF" w:rsidP="009110ED">
            <w:pPr>
              <w:rPr>
                <w:rFonts w:ascii="Arial" w:hAnsi="Arial" w:cs="Arial"/>
                <w:sz w:val="12"/>
                <w:szCs w:val="12"/>
              </w:rPr>
            </w:pPr>
          </w:p>
        </w:tc>
        <w:tc>
          <w:tcPr>
            <w:tcW w:w="2268" w:type="dxa"/>
            <w:shd w:val="clear" w:color="auto" w:fill="F2F2F2"/>
            <w:hideMark/>
          </w:tcPr>
          <w:p w14:paraId="1FF5ED0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892D0C7" w14:textId="77777777" w:rsidR="002A4DDF" w:rsidRPr="00937C8B" w:rsidRDefault="002A4DDF" w:rsidP="009110ED">
            <w:pPr>
              <w:rPr>
                <w:rFonts w:ascii="Arial" w:hAnsi="Arial" w:cs="Arial"/>
                <w:sz w:val="12"/>
                <w:szCs w:val="12"/>
              </w:rPr>
            </w:pPr>
            <w:r>
              <w:rPr>
                <w:rFonts w:ascii="Arial" w:hAnsi="Arial"/>
                <w:sz w:val="12"/>
                <w:szCs w:val="12"/>
              </w:rPr>
              <w:t>Villamiel</w:t>
            </w:r>
          </w:p>
        </w:tc>
      </w:tr>
      <w:tr w:rsidR="002A4DDF" w:rsidRPr="00937C8B" w14:paraId="5E7908F2" w14:textId="77777777" w:rsidTr="00935676">
        <w:trPr>
          <w:cantSplit/>
        </w:trPr>
        <w:tc>
          <w:tcPr>
            <w:tcW w:w="1696" w:type="dxa"/>
            <w:tcBorders>
              <w:left w:val="single" w:sz="4" w:space="0" w:color="auto"/>
            </w:tcBorders>
            <w:shd w:val="clear" w:color="auto" w:fill="auto"/>
          </w:tcPr>
          <w:p w14:paraId="4CD322D4" w14:textId="77777777" w:rsidR="002A4DDF" w:rsidRPr="00937C8B" w:rsidRDefault="002A4DDF" w:rsidP="009110ED">
            <w:pPr>
              <w:rPr>
                <w:rFonts w:ascii="Arial" w:hAnsi="Arial" w:cs="Arial"/>
                <w:sz w:val="12"/>
                <w:szCs w:val="12"/>
              </w:rPr>
            </w:pPr>
          </w:p>
        </w:tc>
        <w:tc>
          <w:tcPr>
            <w:tcW w:w="1843" w:type="dxa"/>
            <w:shd w:val="clear" w:color="auto" w:fill="auto"/>
          </w:tcPr>
          <w:p w14:paraId="5AEBEA78" w14:textId="77777777" w:rsidR="002A4DDF" w:rsidRPr="00937C8B" w:rsidRDefault="002A4DDF" w:rsidP="009110ED">
            <w:pPr>
              <w:rPr>
                <w:rFonts w:ascii="Arial" w:hAnsi="Arial" w:cs="Arial"/>
                <w:sz w:val="12"/>
                <w:szCs w:val="12"/>
              </w:rPr>
            </w:pPr>
          </w:p>
        </w:tc>
        <w:tc>
          <w:tcPr>
            <w:tcW w:w="2268" w:type="dxa"/>
            <w:shd w:val="clear" w:color="auto" w:fill="F2F2F2"/>
            <w:hideMark/>
          </w:tcPr>
          <w:p w14:paraId="278ED41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D6A34D1" w14:textId="77777777" w:rsidR="002A4DDF" w:rsidRPr="00937C8B" w:rsidRDefault="002A4DDF" w:rsidP="009110ED">
            <w:pPr>
              <w:rPr>
                <w:rFonts w:ascii="Arial" w:hAnsi="Arial" w:cs="Arial"/>
                <w:sz w:val="12"/>
                <w:szCs w:val="12"/>
              </w:rPr>
            </w:pPr>
            <w:r>
              <w:rPr>
                <w:rFonts w:ascii="Arial" w:hAnsi="Arial"/>
                <w:sz w:val="12"/>
                <w:szCs w:val="12"/>
              </w:rPr>
              <w:t>Villanueva de la Sierra</w:t>
            </w:r>
          </w:p>
        </w:tc>
      </w:tr>
      <w:tr w:rsidR="002A4DDF" w:rsidRPr="00937C8B" w14:paraId="79E1B4F8" w14:textId="77777777" w:rsidTr="00935676">
        <w:trPr>
          <w:cantSplit/>
        </w:trPr>
        <w:tc>
          <w:tcPr>
            <w:tcW w:w="1696" w:type="dxa"/>
            <w:tcBorders>
              <w:left w:val="single" w:sz="4" w:space="0" w:color="auto"/>
            </w:tcBorders>
            <w:shd w:val="clear" w:color="auto" w:fill="auto"/>
          </w:tcPr>
          <w:p w14:paraId="64590FA4" w14:textId="77777777" w:rsidR="002A4DDF" w:rsidRPr="00937C8B" w:rsidRDefault="002A4DDF" w:rsidP="009110ED">
            <w:pPr>
              <w:rPr>
                <w:rFonts w:ascii="Arial" w:hAnsi="Arial" w:cs="Arial"/>
                <w:sz w:val="12"/>
                <w:szCs w:val="12"/>
              </w:rPr>
            </w:pPr>
          </w:p>
        </w:tc>
        <w:tc>
          <w:tcPr>
            <w:tcW w:w="1843" w:type="dxa"/>
            <w:shd w:val="clear" w:color="auto" w:fill="auto"/>
          </w:tcPr>
          <w:p w14:paraId="47B9FDB7" w14:textId="77777777" w:rsidR="002A4DDF" w:rsidRPr="00937C8B" w:rsidRDefault="002A4DDF" w:rsidP="009110ED">
            <w:pPr>
              <w:rPr>
                <w:rFonts w:ascii="Arial" w:hAnsi="Arial" w:cs="Arial"/>
                <w:sz w:val="12"/>
                <w:szCs w:val="12"/>
              </w:rPr>
            </w:pPr>
          </w:p>
        </w:tc>
        <w:tc>
          <w:tcPr>
            <w:tcW w:w="2268" w:type="dxa"/>
            <w:shd w:val="clear" w:color="auto" w:fill="F2F2F2"/>
            <w:hideMark/>
          </w:tcPr>
          <w:p w14:paraId="454727F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5D57B22" w14:textId="77777777" w:rsidR="002A4DDF" w:rsidRPr="00937C8B" w:rsidRDefault="002A4DDF" w:rsidP="009110ED">
            <w:pPr>
              <w:rPr>
                <w:rFonts w:ascii="Arial" w:hAnsi="Arial" w:cs="Arial"/>
                <w:sz w:val="12"/>
                <w:szCs w:val="12"/>
              </w:rPr>
            </w:pPr>
            <w:r>
              <w:rPr>
                <w:rFonts w:ascii="Arial" w:hAnsi="Arial"/>
                <w:sz w:val="12"/>
                <w:szCs w:val="12"/>
              </w:rPr>
              <w:t>Villanueva de la Vera</w:t>
            </w:r>
          </w:p>
        </w:tc>
      </w:tr>
      <w:tr w:rsidR="002A4DDF" w:rsidRPr="00937C8B" w14:paraId="15F9CB14" w14:textId="77777777" w:rsidTr="00935676">
        <w:trPr>
          <w:cantSplit/>
        </w:trPr>
        <w:tc>
          <w:tcPr>
            <w:tcW w:w="1696" w:type="dxa"/>
            <w:tcBorders>
              <w:left w:val="single" w:sz="4" w:space="0" w:color="auto"/>
            </w:tcBorders>
            <w:shd w:val="clear" w:color="auto" w:fill="auto"/>
          </w:tcPr>
          <w:p w14:paraId="62E88454" w14:textId="77777777" w:rsidR="002A4DDF" w:rsidRPr="00937C8B" w:rsidRDefault="002A4DDF" w:rsidP="009110ED">
            <w:pPr>
              <w:rPr>
                <w:rFonts w:ascii="Arial" w:hAnsi="Arial" w:cs="Arial"/>
                <w:sz w:val="12"/>
                <w:szCs w:val="12"/>
              </w:rPr>
            </w:pPr>
          </w:p>
        </w:tc>
        <w:tc>
          <w:tcPr>
            <w:tcW w:w="1843" w:type="dxa"/>
            <w:shd w:val="clear" w:color="auto" w:fill="auto"/>
          </w:tcPr>
          <w:p w14:paraId="0D297CA3" w14:textId="77777777" w:rsidR="002A4DDF" w:rsidRPr="00937C8B" w:rsidRDefault="002A4DDF" w:rsidP="009110ED">
            <w:pPr>
              <w:rPr>
                <w:rFonts w:ascii="Arial" w:hAnsi="Arial" w:cs="Arial"/>
                <w:sz w:val="12"/>
                <w:szCs w:val="12"/>
              </w:rPr>
            </w:pPr>
          </w:p>
        </w:tc>
        <w:tc>
          <w:tcPr>
            <w:tcW w:w="2268" w:type="dxa"/>
            <w:shd w:val="clear" w:color="auto" w:fill="F2F2F2"/>
            <w:hideMark/>
          </w:tcPr>
          <w:p w14:paraId="0B9F1ED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26E8BE5" w14:textId="77777777" w:rsidR="002A4DDF" w:rsidRPr="00937C8B" w:rsidRDefault="002A4DDF" w:rsidP="009110ED">
            <w:pPr>
              <w:rPr>
                <w:rFonts w:ascii="Arial" w:hAnsi="Arial" w:cs="Arial"/>
                <w:sz w:val="12"/>
                <w:szCs w:val="12"/>
              </w:rPr>
            </w:pPr>
            <w:r>
              <w:rPr>
                <w:rFonts w:ascii="Arial" w:hAnsi="Arial"/>
                <w:sz w:val="12"/>
                <w:szCs w:val="12"/>
              </w:rPr>
              <w:t>Villar de Plasencia</w:t>
            </w:r>
          </w:p>
        </w:tc>
      </w:tr>
      <w:tr w:rsidR="002A4DDF" w:rsidRPr="00937C8B" w14:paraId="5FF58026" w14:textId="77777777" w:rsidTr="00935676">
        <w:trPr>
          <w:cantSplit/>
        </w:trPr>
        <w:tc>
          <w:tcPr>
            <w:tcW w:w="1696" w:type="dxa"/>
            <w:tcBorders>
              <w:left w:val="single" w:sz="4" w:space="0" w:color="auto"/>
            </w:tcBorders>
            <w:shd w:val="clear" w:color="auto" w:fill="auto"/>
          </w:tcPr>
          <w:p w14:paraId="2AF06D8C" w14:textId="77777777" w:rsidR="002A4DDF" w:rsidRPr="00937C8B" w:rsidRDefault="002A4DDF" w:rsidP="009110ED">
            <w:pPr>
              <w:rPr>
                <w:rFonts w:ascii="Arial" w:hAnsi="Arial" w:cs="Arial"/>
                <w:sz w:val="12"/>
                <w:szCs w:val="12"/>
              </w:rPr>
            </w:pPr>
          </w:p>
        </w:tc>
        <w:tc>
          <w:tcPr>
            <w:tcW w:w="1843" w:type="dxa"/>
            <w:shd w:val="clear" w:color="auto" w:fill="auto"/>
          </w:tcPr>
          <w:p w14:paraId="64A75EF0" w14:textId="77777777" w:rsidR="002A4DDF" w:rsidRPr="00937C8B" w:rsidRDefault="002A4DDF" w:rsidP="009110ED">
            <w:pPr>
              <w:rPr>
                <w:rFonts w:ascii="Arial" w:hAnsi="Arial" w:cs="Arial"/>
                <w:sz w:val="12"/>
                <w:szCs w:val="12"/>
              </w:rPr>
            </w:pPr>
          </w:p>
        </w:tc>
        <w:tc>
          <w:tcPr>
            <w:tcW w:w="2268" w:type="dxa"/>
            <w:shd w:val="clear" w:color="auto" w:fill="F2F2F2"/>
            <w:hideMark/>
          </w:tcPr>
          <w:p w14:paraId="03F1F72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4A458F4" w14:textId="77777777" w:rsidR="002A4DDF" w:rsidRPr="00937C8B" w:rsidRDefault="002A4DDF" w:rsidP="009110ED">
            <w:pPr>
              <w:rPr>
                <w:rFonts w:ascii="Arial" w:hAnsi="Arial" w:cs="Arial"/>
                <w:sz w:val="12"/>
                <w:szCs w:val="12"/>
              </w:rPr>
            </w:pPr>
            <w:r>
              <w:rPr>
                <w:rFonts w:ascii="Arial" w:hAnsi="Arial"/>
                <w:sz w:val="12"/>
                <w:szCs w:val="12"/>
              </w:rPr>
              <w:t>Villar del Pedroso</w:t>
            </w:r>
          </w:p>
        </w:tc>
      </w:tr>
      <w:tr w:rsidR="002A4DDF" w:rsidRPr="00937C8B" w14:paraId="1744CB33" w14:textId="77777777" w:rsidTr="00935676">
        <w:trPr>
          <w:cantSplit/>
        </w:trPr>
        <w:tc>
          <w:tcPr>
            <w:tcW w:w="1696" w:type="dxa"/>
            <w:tcBorders>
              <w:left w:val="single" w:sz="4" w:space="0" w:color="auto"/>
            </w:tcBorders>
            <w:shd w:val="clear" w:color="auto" w:fill="auto"/>
          </w:tcPr>
          <w:p w14:paraId="68422737" w14:textId="77777777" w:rsidR="002A4DDF" w:rsidRPr="00937C8B" w:rsidRDefault="002A4DDF" w:rsidP="009110ED">
            <w:pPr>
              <w:rPr>
                <w:rFonts w:ascii="Arial" w:hAnsi="Arial" w:cs="Arial"/>
                <w:sz w:val="12"/>
                <w:szCs w:val="12"/>
              </w:rPr>
            </w:pPr>
          </w:p>
        </w:tc>
        <w:tc>
          <w:tcPr>
            <w:tcW w:w="1843" w:type="dxa"/>
            <w:shd w:val="clear" w:color="auto" w:fill="auto"/>
          </w:tcPr>
          <w:p w14:paraId="4CE75B05" w14:textId="77777777" w:rsidR="002A4DDF" w:rsidRPr="00937C8B" w:rsidRDefault="002A4DDF" w:rsidP="009110ED">
            <w:pPr>
              <w:rPr>
                <w:rFonts w:ascii="Arial" w:hAnsi="Arial" w:cs="Arial"/>
                <w:sz w:val="12"/>
                <w:szCs w:val="12"/>
              </w:rPr>
            </w:pPr>
          </w:p>
        </w:tc>
        <w:tc>
          <w:tcPr>
            <w:tcW w:w="2268" w:type="dxa"/>
            <w:shd w:val="clear" w:color="auto" w:fill="F2F2F2"/>
            <w:hideMark/>
          </w:tcPr>
          <w:p w14:paraId="629BBA3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B42A872" w14:textId="77777777" w:rsidR="002A4DDF" w:rsidRPr="00937C8B" w:rsidRDefault="002A4DDF" w:rsidP="009110ED">
            <w:pPr>
              <w:rPr>
                <w:rFonts w:ascii="Arial" w:hAnsi="Arial" w:cs="Arial"/>
                <w:sz w:val="12"/>
                <w:szCs w:val="12"/>
              </w:rPr>
            </w:pPr>
            <w:r>
              <w:rPr>
                <w:rFonts w:ascii="Arial" w:hAnsi="Arial"/>
                <w:sz w:val="12"/>
                <w:szCs w:val="12"/>
              </w:rPr>
              <w:t>Villasbuenas de Gata</w:t>
            </w:r>
          </w:p>
        </w:tc>
      </w:tr>
      <w:tr w:rsidR="002A4DDF" w:rsidRPr="00937C8B" w14:paraId="5214EB44" w14:textId="77777777" w:rsidTr="00935676">
        <w:trPr>
          <w:cantSplit/>
        </w:trPr>
        <w:tc>
          <w:tcPr>
            <w:tcW w:w="1696" w:type="dxa"/>
            <w:tcBorders>
              <w:left w:val="single" w:sz="4" w:space="0" w:color="auto"/>
            </w:tcBorders>
            <w:shd w:val="clear" w:color="auto" w:fill="auto"/>
          </w:tcPr>
          <w:p w14:paraId="45341654" w14:textId="77777777" w:rsidR="002A4DDF" w:rsidRPr="00937C8B" w:rsidRDefault="002A4DDF" w:rsidP="009110ED">
            <w:pPr>
              <w:rPr>
                <w:rFonts w:ascii="Arial" w:hAnsi="Arial" w:cs="Arial"/>
                <w:sz w:val="12"/>
                <w:szCs w:val="12"/>
              </w:rPr>
            </w:pPr>
          </w:p>
        </w:tc>
        <w:tc>
          <w:tcPr>
            <w:tcW w:w="1843" w:type="dxa"/>
            <w:shd w:val="clear" w:color="auto" w:fill="auto"/>
          </w:tcPr>
          <w:p w14:paraId="7A497432" w14:textId="77777777" w:rsidR="002A4DDF" w:rsidRPr="00937C8B" w:rsidRDefault="002A4DDF" w:rsidP="009110ED">
            <w:pPr>
              <w:rPr>
                <w:rFonts w:ascii="Arial" w:hAnsi="Arial" w:cs="Arial"/>
                <w:sz w:val="12"/>
                <w:szCs w:val="12"/>
              </w:rPr>
            </w:pPr>
          </w:p>
        </w:tc>
        <w:tc>
          <w:tcPr>
            <w:tcW w:w="2268" w:type="dxa"/>
            <w:shd w:val="clear" w:color="auto" w:fill="F2F2F2"/>
            <w:hideMark/>
          </w:tcPr>
          <w:p w14:paraId="6EFBA0A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64EA4CB" w14:textId="77777777" w:rsidR="002A4DDF" w:rsidRPr="00937C8B" w:rsidRDefault="002A4DDF" w:rsidP="009110ED">
            <w:pPr>
              <w:rPr>
                <w:rFonts w:ascii="Arial" w:hAnsi="Arial" w:cs="Arial"/>
                <w:sz w:val="12"/>
                <w:szCs w:val="12"/>
              </w:rPr>
            </w:pPr>
            <w:r>
              <w:rPr>
                <w:rFonts w:ascii="Arial" w:hAnsi="Arial"/>
                <w:sz w:val="12"/>
                <w:szCs w:val="12"/>
              </w:rPr>
              <w:t>Zarza de Granadilla</w:t>
            </w:r>
          </w:p>
        </w:tc>
      </w:tr>
      <w:tr w:rsidR="002A4DDF" w:rsidRPr="00937C8B" w14:paraId="62AD3ACA" w14:textId="77777777" w:rsidTr="00935676">
        <w:trPr>
          <w:cantSplit/>
        </w:trPr>
        <w:tc>
          <w:tcPr>
            <w:tcW w:w="1696" w:type="dxa"/>
            <w:tcBorders>
              <w:left w:val="single" w:sz="4" w:space="0" w:color="auto"/>
            </w:tcBorders>
            <w:shd w:val="clear" w:color="auto" w:fill="auto"/>
          </w:tcPr>
          <w:p w14:paraId="079282A6" w14:textId="77777777" w:rsidR="002A4DDF" w:rsidRPr="00937C8B" w:rsidRDefault="002A4DDF" w:rsidP="009110ED">
            <w:pPr>
              <w:rPr>
                <w:rFonts w:ascii="Arial" w:hAnsi="Arial" w:cs="Arial"/>
                <w:sz w:val="12"/>
                <w:szCs w:val="12"/>
              </w:rPr>
            </w:pPr>
          </w:p>
        </w:tc>
        <w:tc>
          <w:tcPr>
            <w:tcW w:w="1843" w:type="dxa"/>
            <w:shd w:val="clear" w:color="auto" w:fill="auto"/>
          </w:tcPr>
          <w:p w14:paraId="1AAABFD9" w14:textId="77777777" w:rsidR="002A4DDF" w:rsidRPr="00937C8B" w:rsidRDefault="002A4DDF" w:rsidP="009110ED">
            <w:pPr>
              <w:rPr>
                <w:rFonts w:ascii="Arial" w:hAnsi="Arial" w:cs="Arial"/>
                <w:sz w:val="12"/>
                <w:szCs w:val="12"/>
              </w:rPr>
            </w:pPr>
          </w:p>
        </w:tc>
        <w:tc>
          <w:tcPr>
            <w:tcW w:w="2268" w:type="dxa"/>
            <w:shd w:val="clear" w:color="auto" w:fill="F2F2F2"/>
            <w:hideMark/>
          </w:tcPr>
          <w:p w14:paraId="238E9B6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0EBD73E" w14:textId="77777777" w:rsidR="002A4DDF" w:rsidRPr="00937C8B" w:rsidRDefault="002A4DDF" w:rsidP="009110ED">
            <w:pPr>
              <w:rPr>
                <w:rFonts w:ascii="Arial" w:hAnsi="Arial" w:cs="Arial"/>
                <w:sz w:val="12"/>
                <w:szCs w:val="12"/>
              </w:rPr>
            </w:pPr>
            <w:r>
              <w:rPr>
                <w:rFonts w:ascii="Arial" w:hAnsi="Arial"/>
                <w:sz w:val="12"/>
                <w:szCs w:val="12"/>
              </w:rPr>
              <w:t>Zarza de Montánchez</w:t>
            </w:r>
          </w:p>
        </w:tc>
      </w:tr>
      <w:tr w:rsidR="002A4DDF" w:rsidRPr="00937C8B" w14:paraId="601FF8CF" w14:textId="77777777" w:rsidTr="00935676">
        <w:trPr>
          <w:cantSplit/>
        </w:trPr>
        <w:tc>
          <w:tcPr>
            <w:tcW w:w="1696" w:type="dxa"/>
            <w:tcBorders>
              <w:left w:val="single" w:sz="4" w:space="0" w:color="auto"/>
              <w:bottom w:val="single" w:sz="4" w:space="0" w:color="auto"/>
            </w:tcBorders>
            <w:shd w:val="clear" w:color="auto" w:fill="auto"/>
            <w:hideMark/>
          </w:tcPr>
          <w:p w14:paraId="2AB54C59" w14:textId="77777777" w:rsidR="002A4DDF" w:rsidRPr="00937C8B" w:rsidRDefault="002A4DDF" w:rsidP="009110ED">
            <w:pPr>
              <w:rPr>
                <w:rFonts w:ascii="Arial" w:hAnsi="Arial" w:cs="Arial"/>
                <w:sz w:val="12"/>
                <w:szCs w:val="12"/>
              </w:rPr>
            </w:pPr>
            <w:r>
              <w:rPr>
                <w:rFonts w:ascii="Arial" w:hAnsi="Arial"/>
                <w:sz w:val="12"/>
                <w:szCs w:val="12"/>
              </w:rPr>
              <w:t>Estrémadure</w:t>
            </w:r>
          </w:p>
        </w:tc>
        <w:tc>
          <w:tcPr>
            <w:tcW w:w="1843" w:type="dxa"/>
            <w:tcBorders>
              <w:bottom w:val="single" w:sz="4" w:space="0" w:color="auto"/>
            </w:tcBorders>
            <w:shd w:val="clear" w:color="auto" w:fill="auto"/>
            <w:hideMark/>
          </w:tcPr>
          <w:p w14:paraId="083EBA91" w14:textId="77777777" w:rsidR="002A4DDF" w:rsidRPr="00937C8B" w:rsidRDefault="002A4DDF" w:rsidP="009110ED">
            <w:pPr>
              <w:rPr>
                <w:rFonts w:ascii="Arial" w:hAnsi="Arial" w:cs="Arial"/>
                <w:sz w:val="12"/>
                <w:szCs w:val="12"/>
              </w:rPr>
            </w:pPr>
            <w:r>
              <w:rPr>
                <w:rFonts w:ascii="Arial" w:hAnsi="Arial"/>
                <w:sz w:val="12"/>
                <w:szCs w:val="12"/>
              </w:rPr>
              <w:t>Cáceres</w:t>
            </w:r>
          </w:p>
        </w:tc>
        <w:tc>
          <w:tcPr>
            <w:tcW w:w="2268" w:type="dxa"/>
            <w:tcBorders>
              <w:bottom w:val="single" w:sz="4" w:space="0" w:color="auto"/>
            </w:tcBorders>
            <w:shd w:val="clear" w:color="auto" w:fill="F2F2F2"/>
            <w:hideMark/>
          </w:tcPr>
          <w:p w14:paraId="6988040C"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2210231E" w14:textId="77777777" w:rsidR="002A4DDF" w:rsidRPr="00937C8B" w:rsidRDefault="002A4DDF" w:rsidP="009110ED">
            <w:pPr>
              <w:rPr>
                <w:rFonts w:ascii="Arial" w:hAnsi="Arial" w:cs="Arial"/>
                <w:sz w:val="12"/>
                <w:szCs w:val="12"/>
              </w:rPr>
            </w:pPr>
            <w:r>
              <w:rPr>
                <w:rFonts w:ascii="Arial" w:hAnsi="Arial"/>
                <w:sz w:val="12"/>
                <w:szCs w:val="12"/>
              </w:rPr>
              <w:t>Zorita</w:t>
            </w:r>
          </w:p>
        </w:tc>
      </w:tr>
      <w:tr w:rsidR="002A4DDF" w:rsidRPr="00937C8B" w14:paraId="0BD3599C" w14:textId="77777777" w:rsidTr="00935676">
        <w:trPr>
          <w:cantSplit/>
        </w:trPr>
        <w:tc>
          <w:tcPr>
            <w:tcW w:w="1696" w:type="dxa"/>
            <w:tcBorders>
              <w:top w:val="single" w:sz="4" w:space="0" w:color="auto"/>
              <w:bottom w:val="single" w:sz="4" w:space="0" w:color="auto"/>
            </w:tcBorders>
            <w:shd w:val="clear" w:color="auto" w:fill="auto"/>
            <w:hideMark/>
          </w:tcPr>
          <w:p w14:paraId="4598FEE8"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1977DEBA"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26A8543F"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22B4C417" w14:textId="77777777" w:rsidR="002A4DDF" w:rsidRPr="00937C8B" w:rsidRDefault="002A4DDF" w:rsidP="009110ED">
            <w:pPr>
              <w:rPr>
                <w:rFonts w:ascii="Arial" w:hAnsi="Arial" w:cs="Arial"/>
                <w:sz w:val="12"/>
                <w:szCs w:val="12"/>
              </w:rPr>
            </w:pPr>
          </w:p>
        </w:tc>
      </w:tr>
      <w:tr w:rsidR="002A4DDF" w:rsidRPr="00937C8B" w14:paraId="5091C27A" w14:textId="77777777" w:rsidTr="00935676">
        <w:trPr>
          <w:cantSplit/>
        </w:trPr>
        <w:tc>
          <w:tcPr>
            <w:tcW w:w="1696" w:type="dxa"/>
            <w:tcBorders>
              <w:top w:val="single" w:sz="4" w:space="0" w:color="auto"/>
              <w:left w:val="single" w:sz="4" w:space="0" w:color="auto"/>
            </w:tcBorders>
            <w:shd w:val="clear" w:color="auto" w:fill="auto"/>
            <w:hideMark/>
          </w:tcPr>
          <w:p w14:paraId="46217270" w14:textId="77777777" w:rsidR="002A4DDF" w:rsidRPr="00937C8B" w:rsidRDefault="002A4DDF" w:rsidP="009110ED">
            <w:pPr>
              <w:rPr>
                <w:rFonts w:ascii="Arial" w:hAnsi="Arial" w:cs="Arial"/>
                <w:sz w:val="12"/>
                <w:szCs w:val="12"/>
              </w:rPr>
            </w:pPr>
            <w:r>
              <w:rPr>
                <w:rFonts w:ascii="Arial" w:hAnsi="Arial"/>
                <w:sz w:val="12"/>
                <w:szCs w:val="12"/>
              </w:rPr>
              <w:t>Galice</w:t>
            </w:r>
          </w:p>
        </w:tc>
        <w:tc>
          <w:tcPr>
            <w:tcW w:w="1843" w:type="dxa"/>
            <w:tcBorders>
              <w:top w:val="single" w:sz="4" w:space="0" w:color="auto"/>
            </w:tcBorders>
            <w:shd w:val="clear" w:color="auto" w:fill="auto"/>
            <w:hideMark/>
          </w:tcPr>
          <w:p w14:paraId="0C301872" w14:textId="77777777" w:rsidR="002A4DDF" w:rsidRPr="00937C8B" w:rsidRDefault="002A4DDF" w:rsidP="009110ED">
            <w:pPr>
              <w:rPr>
                <w:rFonts w:ascii="Arial" w:hAnsi="Arial" w:cs="Arial"/>
                <w:sz w:val="12"/>
                <w:szCs w:val="12"/>
              </w:rPr>
            </w:pPr>
            <w:r>
              <w:rPr>
                <w:rFonts w:ascii="Arial" w:hAnsi="Arial"/>
                <w:sz w:val="12"/>
                <w:szCs w:val="12"/>
              </w:rPr>
              <w:t>La Corogne</w:t>
            </w:r>
          </w:p>
        </w:tc>
        <w:tc>
          <w:tcPr>
            <w:tcW w:w="2268" w:type="dxa"/>
            <w:tcBorders>
              <w:top w:val="single" w:sz="4" w:space="0" w:color="auto"/>
            </w:tcBorders>
            <w:shd w:val="clear" w:color="auto" w:fill="F2F2F2"/>
            <w:hideMark/>
          </w:tcPr>
          <w:p w14:paraId="2C267427" w14:textId="77777777" w:rsidR="002A4DDF" w:rsidRPr="00937C8B" w:rsidRDefault="002A4DDF" w:rsidP="009110ED">
            <w:pPr>
              <w:rPr>
                <w:rFonts w:ascii="Arial" w:hAnsi="Arial" w:cs="Arial"/>
                <w:sz w:val="12"/>
                <w:szCs w:val="12"/>
              </w:rPr>
            </w:pPr>
            <w:r>
              <w:rPr>
                <w:rFonts w:ascii="Arial" w:hAnsi="Arial"/>
                <w:sz w:val="12"/>
                <w:szCs w:val="12"/>
              </w:rPr>
              <w:t>Melide</w:t>
            </w:r>
          </w:p>
        </w:tc>
        <w:tc>
          <w:tcPr>
            <w:tcW w:w="2268" w:type="dxa"/>
            <w:tcBorders>
              <w:top w:val="single" w:sz="4" w:space="0" w:color="auto"/>
              <w:right w:val="single" w:sz="4" w:space="0" w:color="auto"/>
            </w:tcBorders>
            <w:shd w:val="clear" w:color="auto" w:fill="D9D9D9"/>
            <w:hideMark/>
          </w:tcPr>
          <w:p w14:paraId="5A42D27C" w14:textId="77777777" w:rsidR="002A4DDF" w:rsidRPr="00937C8B" w:rsidRDefault="002A4DDF" w:rsidP="009110ED">
            <w:pPr>
              <w:rPr>
                <w:rFonts w:ascii="Arial" w:hAnsi="Arial" w:cs="Arial"/>
                <w:sz w:val="12"/>
                <w:szCs w:val="12"/>
              </w:rPr>
            </w:pPr>
            <w:r>
              <w:rPr>
                <w:rFonts w:ascii="Arial" w:hAnsi="Arial"/>
                <w:sz w:val="12"/>
                <w:szCs w:val="12"/>
              </w:rPr>
              <w:t>A Baña</w:t>
            </w:r>
          </w:p>
        </w:tc>
      </w:tr>
      <w:tr w:rsidR="002A4DDF" w:rsidRPr="00937C8B" w14:paraId="7BE8BFA0" w14:textId="77777777" w:rsidTr="00935676">
        <w:trPr>
          <w:cantSplit/>
        </w:trPr>
        <w:tc>
          <w:tcPr>
            <w:tcW w:w="1696" w:type="dxa"/>
            <w:tcBorders>
              <w:left w:val="single" w:sz="4" w:space="0" w:color="auto"/>
            </w:tcBorders>
            <w:shd w:val="clear" w:color="auto" w:fill="auto"/>
          </w:tcPr>
          <w:p w14:paraId="02DE9D96" w14:textId="77777777" w:rsidR="002A4DDF" w:rsidRPr="00937C8B" w:rsidRDefault="002A4DDF" w:rsidP="009110ED">
            <w:pPr>
              <w:rPr>
                <w:rFonts w:ascii="Arial" w:hAnsi="Arial" w:cs="Arial"/>
                <w:sz w:val="12"/>
                <w:szCs w:val="12"/>
              </w:rPr>
            </w:pPr>
          </w:p>
        </w:tc>
        <w:tc>
          <w:tcPr>
            <w:tcW w:w="1843" w:type="dxa"/>
            <w:shd w:val="clear" w:color="auto" w:fill="auto"/>
          </w:tcPr>
          <w:p w14:paraId="3150401C" w14:textId="77777777" w:rsidR="002A4DDF" w:rsidRPr="00937C8B" w:rsidRDefault="002A4DDF" w:rsidP="009110ED">
            <w:pPr>
              <w:rPr>
                <w:rFonts w:ascii="Arial" w:hAnsi="Arial" w:cs="Arial"/>
                <w:sz w:val="12"/>
                <w:szCs w:val="12"/>
              </w:rPr>
            </w:pPr>
          </w:p>
        </w:tc>
        <w:tc>
          <w:tcPr>
            <w:tcW w:w="2268" w:type="dxa"/>
            <w:shd w:val="clear" w:color="auto" w:fill="F2F2F2"/>
            <w:hideMark/>
          </w:tcPr>
          <w:p w14:paraId="6EB849FD" w14:textId="77777777" w:rsidR="002A4DDF" w:rsidRPr="00937C8B" w:rsidRDefault="002A4DDF" w:rsidP="009110ED">
            <w:pPr>
              <w:rPr>
                <w:rFonts w:ascii="Arial" w:hAnsi="Arial" w:cs="Arial"/>
                <w:sz w:val="12"/>
                <w:szCs w:val="12"/>
              </w:rPr>
            </w:pPr>
            <w:r>
              <w:rPr>
                <w:rFonts w:ascii="Arial" w:hAnsi="Arial"/>
                <w:sz w:val="12"/>
                <w:szCs w:val="12"/>
              </w:rPr>
              <w:t>San Sadurniño</w:t>
            </w:r>
          </w:p>
        </w:tc>
        <w:tc>
          <w:tcPr>
            <w:tcW w:w="2268" w:type="dxa"/>
            <w:tcBorders>
              <w:right w:val="single" w:sz="4" w:space="0" w:color="auto"/>
            </w:tcBorders>
            <w:shd w:val="clear" w:color="auto" w:fill="D9D9D9"/>
            <w:hideMark/>
          </w:tcPr>
          <w:p w14:paraId="2EFB5B42" w14:textId="77777777" w:rsidR="002A4DDF" w:rsidRPr="00937C8B" w:rsidRDefault="002A4DDF" w:rsidP="009110ED">
            <w:pPr>
              <w:rPr>
                <w:rFonts w:ascii="Arial" w:hAnsi="Arial" w:cs="Arial"/>
                <w:sz w:val="12"/>
                <w:szCs w:val="12"/>
              </w:rPr>
            </w:pPr>
            <w:r>
              <w:rPr>
                <w:rFonts w:ascii="Arial" w:hAnsi="Arial"/>
                <w:sz w:val="12"/>
                <w:szCs w:val="12"/>
              </w:rPr>
              <w:t>A Capela</w:t>
            </w:r>
          </w:p>
        </w:tc>
      </w:tr>
      <w:tr w:rsidR="002A4DDF" w:rsidRPr="00937C8B" w14:paraId="11A3AF71" w14:textId="77777777" w:rsidTr="00935676">
        <w:trPr>
          <w:cantSplit/>
        </w:trPr>
        <w:tc>
          <w:tcPr>
            <w:tcW w:w="1696" w:type="dxa"/>
            <w:tcBorders>
              <w:left w:val="single" w:sz="4" w:space="0" w:color="auto"/>
            </w:tcBorders>
            <w:shd w:val="clear" w:color="auto" w:fill="auto"/>
          </w:tcPr>
          <w:p w14:paraId="2B0C565C" w14:textId="77777777" w:rsidR="002A4DDF" w:rsidRPr="00937C8B" w:rsidRDefault="002A4DDF" w:rsidP="009110ED">
            <w:pPr>
              <w:rPr>
                <w:rFonts w:ascii="Arial" w:hAnsi="Arial" w:cs="Arial"/>
                <w:sz w:val="12"/>
                <w:szCs w:val="12"/>
              </w:rPr>
            </w:pPr>
          </w:p>
        </w:tc>
        <w:tc>
          <w:tcPr>
            <w:tcW w:w="1843" w:type="dxa"/>
            <w:shd w:val="clear" w:color="auto" w:fill="auto"/>
          </w:tcPr>
          <w:p w14:paraId="1359DD5E" w14:textId="77777777" w:rsidR="002A4DDF" w:rsidRPr="00937C8B" w:rsidRDefault="002A4DDF" w:rsidP="009110ED">
            <w:pPr>
              <w:rPr>
                <w:rFonts w:ascii="Arial" w:hAnsi="Arial" w:cs="Arial"/>
                <w:sz w:val="12"/>
                <w:szCs w:val="12"/>
              </w:rPr>
            </w:pPr>
          </w:p>
        </w:tc>
        <w:tc>
          <w:tcPr>
            <w:tcW w:w="2268" w:type="dxa"/>
            <w:shd w:val="clear" w:color="auto" w:fill="F2F2F2"/>
            <w:hideMark/>
          </w:tcPr>
          <w:p w14:paraId="798E1FB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C645F2A" w14:textId="77777777" w:rsidR="002A4DDF" w:rsidRPr="00937C8B" w:rsidRDefault="002A4DDF" w:rsidP="009110ED">
            <w:pPr>
              <w:rPr>
                <w:rFonts w:ascii="Arial" w:hAnsi="Arial" w:cs="Arial"/>
                <w:sz w:val="12"/>
                <w:szCs w:val="12"/>
              </w:rPr>
            </w:pPr>
            <w:r>
              <w:rPr>
                <w:rFonts w:ascii="Arial" w:hAnsi="Arial"/>
                <w:sz w:val="12"/>
                <w:szCs w:val="12"/>
              </w:rPr>
              <w:t>La Corogne</w:t>
            </w:r>
          </w:p>
        </w:tc>
      </w:tr>
      <w:tr w:rsidR="002A4DDF" w:rsidRPr="00937C8B" w14:paraId="32748CFB" w14:textId="77777777" w:rsidTr="00935676">
        <w:trPr>
          <w:cantSplit/>
        </w:trPr>
        <w:tc>
          <w:tcPr>
            <w:tcW w:w="1696" w:type="dxa"/>
            <w:tcBorders>
              <w:left w:val="single" w:sz="4" w:space="0" w:color="auto"/>
            </w:tcBorders>
            <w:shd w:val="clear" w:color="auto" w:fill="auto"/>
          </w:tcPr>
          <w:p w14:paraId="4F8E4C14" w14:textId="77777777" w:rsidR="002A4DDF" w:rsidRPr="00937C8B" w:rsidRDefault="002A4DDF" w:rsidP="009110ED">
            <w:pPr>
              <w:rPr>
                <w:rFonts w:ascii="Arial" w:hAnsi="Arial" w:cs="Arial"/>
                <w:sz w:val="12"/>
                <w:szCs w:val="12"/>
              </w:rPr>
            </w:pPr>
          </w:p>
        </w:tc>
        <w:tc>
          <w:tcPr>
            <w:tcW w:w="1843" w:type="dxa"/>
            <w:shd w:val="clear" w:color="auto" w:fill="auto"/>
          </w:tcPr>
          <w:p w14:paraId="210986CA" w14:textId="77777777" w:rsidR="002A4DDF" w:rsidRPr="00937C8B" w:rsidRDefault="002A4DDF" w:rsidP="009110ED">
            <w:pPr>
              <w:rPr>
                <w:rFonts w:ascii="Arial" w:hAnsi="Arial" w:cs="Arial"/>
                <w:sz w:val="12"/>
                <w:szCs w:val="12"/>
              </w:rPr>
            </w:pPr>
          </w:p>
        </w:tc>
        <w:tc>
          <w:tcPr>
            <w:tcW w:w="2268" w:type="dxa"/>
            <w:shd w:val="clear" w:color="auto" w:fill="F2F2F2"/>
            <w:hideMark/>
          </w:tcPr>
          <w:p w14:paraId="0584BFF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0C50C45" w14:textId="77777777" w:rsidR="002A4DDF" w:rsidRPr="00937C8B" w:rsidRDefault="002A4DDF" w:rsidP="009110ED">
            <w:pPr>
              <w:rPr>
                <w:rFonts w:ascii="Arial" w:hAnsi="Arial" w:cs="Arial"/>
                <w:sz w:val="12"/>
                <w:szCs w:val="12"/>
              </w:rPr>
            </w:pPr>
            <w:r>
              <w:rPr>
                <w:rFonts w:ascii="Arial" w:hAnsi="Arial"/>
                <w:sz w:val="12"/>
                <w:szCs w:val="12"/>
              </w:rPr>
              <w:t>A Laracha</w:t>
            </w:r>
          </w:p>
        </w:tc>
      </w:tr>
      <w:tr w:rsidR="002A4DDF" w:rsidRPr="00937C8B" w14:paraId="20D30AB2" w14:textId="77777777" w:rsidTr="00935676">
        <w:trPr>
          <w:cantSplit/>
        </w:trPr>
        <w:tc>
          <w:tcPr>
            <w:tcW w:w="1696" w:type="dxa"/>
            <w:tcBorders>
              <w:left w:val="single" w:sz="4" w:space="0" w:color="auto"/>
            </w:tcBorders>
            <w:shd w:val="clear" w:color="auto" w:fill="auto"/>
          </w:tcPr>
          <w:p w14:paraId="3C5151D3" w14:textId="77777777" w:rsidR="002A4DDF" w:rsidRPr="00937C8B" w:rsidRDefault="002A4DDF" w:rsidP="009110ED">
            <w:pPr>
              <w:rPr>
                <w:rFonts w:ascii="Arial" w:hAnsi="Arial" w:cs="Arial"/>
                <w:sz w:val="12"/>
                <w:szCs w:val="12"/>
              </w:rPr>
            </w:pPr>
          </w:p>
        </w:tc>
        <w:tc>
          <w:tcPr>
            <w:tcW w:w="1843" w:type="dxa"/>
            <w:shd w:val="clear" w:color="auto" w:fill="auto"/>
          </w:tcPr>
          <w:p w14:paraId="16BCE0EC" w14:textId="77777777" w:rsidR="002A4DDF" w:rsidRPr="00937C8B" w:rsidRDefault="002A4DDF" w:rsidP="009110ED">
            <w:pPr>
              <w:rPr>
                <w:rFonts w:ascii="Arial" w:hAnsi="Arial" w:cs="Arial"/>
                <w:sz w:val="12"/>
                <w:szCs w:val="12"/>
              </w:rPr>
            </w:pPr>
          </w:p>
        </w:tc>
        <w:tc>
          <w:tcPr>
            <w:tcW w:w="2268" w:type="dxa"/>
            <w:shd w:val="clear" w:color="auto" w:fill="F2F2F2"/>
            <w:hideMark/>
          </w:tcPr>
          <w:p w14:paraId="670D8C5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DCD877A" w14:textId="77777777" w:rsidR="002A4DDF" w:rsidRPr="00937C8B" w:rsidRDefault="002A4DDF" w:rsidP="009110ED">
            <w:pPr>
              <w:rPr>
                <w:rFonts w:ascii="Arial" w:hAnsi="Arial" w:cs="Arial"/>
                <w:sz w:val="12"/>
                <w:szCs w:val="12"/>
              </w:rPr>
            </w:pPr>
            <w:r>
              <w:rPr>
                <w:rFonts w:ascii="Arial" w:hAnsi="Arial"/>
                <w:sz w:val="12"/>
                <w:szCs w:val="12"/>
              </w:rPr>
              <w:t>A Pobra do Caramiñal</w:t>
            </w:r>
          </w:p>
        </w:tc>
      </w:tr>
      <w:tr w:rsidR="002A4DDF" w:rsidRPr="00937C8B" w14:paraId="5924A6FF" w14:textId="77777777" w:rsidTr="00935676">
        <w:trPr>
          <w:cantSplit/>
        </w:trPr>
        <w:tc>
          <w:tcPr>
            <w:tcW w:w="1696" w:type="dxa"/>
            <w:tcBorders>
              <w:left w:val="single" w:sz="4" w:space="0" w:color="auto"/>
            </w:tcBorders>
            <w:shd w:val="clear" w:color="auto" w:fill="auto"/>
          </w:tcPr>
          <w:p w14:paraId="5B4E0B0E" w14:textId="77777777" w:rsidR="002A4DDF" w:rsidRPr="00937C8B" w:rsidRDefault="002A4DDF" w:rsidP="009110ED">
            <w:pPr>
              <w:rPr>
                <w:rFonts w:ascii="Arial" w:hAnsi="Arial" w:cs="Arial"/>
                <w:sz w:val="12"/>
                <w:szCs w:val="12"/>
              </w:rPr>
            </w:pPr>
          </w:p>
        </w:tc>
        <w:tc>
          <w:tcPr>
            <w:tcW w:w="1843" w:type="dxa"/>
            <w:shd w:val="clear" w:color="auto" w:fill="auto"/>
          </w:tcPr>
          <w:p w14:paraId="5C0B015C" w14:textId="77777777" w:rsidR="002A4DDF" w:rsidRPr="00937C8B" w:rsidRDefault="002A4DDF" w:rsidP="009110ED">
            <w:pPr>
              <w:rPr>
                <w:rFonts w:ascii="Arial" w:hAnsi="Arial" w:cs="Arial"/>
                <w:sz w:val="12"/>
                <w:szCs w:val="12"/>
              </w:rPr>
            </w:pPr>
          </w:p>
        </w:tc>
        <w:tc>
          <w:tcPr>
            <w:tcW w:w="2268" w:type="dxa"/>
            <w:shd w:val="clear" w:color="auto" w:fill="F2F2F2"/>
            <w:hideMark/>
          </w:tcPr>
          <w:p w14:paraId="2D40082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C84AE70" w14:textId="77777777" w:rsidR="002A4DDF" w:rsidRPr="00937C8B" w:rsidRDefault="002A4DDF" w:rsidP="009110ED">
            <w:pPr>
              <w:rPr>
                <w:rFonts w:ascii="Arial" w:hAnsi="Arial" w:cs="Arial"/>
                <w:sz w:val="12"/>
                <w:szCs w:val="12"/>
              </w:rPr>
            </w:pPr>
            <w:r>
              <w:rPr>
                <w:rFonts w:ascii="Arial" w:hAnsi="Arial"/>
                <w:sz w:val="12"/>
                <w:szCs w:val="12"/>
              </w:rPr>
              <w:t>Abegondo</w:t>
            </w:r>
          </w:p>
        </w:tc>
      </w:tr>
      <w:tr w:rsidR="002A4DDF" w:rsidRPr="00937C8B" w14:paraId="7635ACB2" w14:textId="77777777" w:rsidTr="00935676">
        <w:trPr>
          <w:cantSplit/>
        </w:trPr>
        <w:tc>
          <w:tcPr>
            <w:tcW w:w="1696" w:type="dxa"/>
            <w:tcBorders>
              <w:left w:val="single" w:sz="4" w:space="0" w:color="auto"/>
            </w:tcBorders>
            <w:shd w:val="clear" w:color="auto" w:fill="auto"/>
          </w:tcPr>
          <w:p w14:paraId="6E277A32" w14:textId="77777777" w:rsidR="002A4DDF" w:rsidRPr="00937C8B" w:rsidRDefault="002A4DDF" w:rsidP="009110ED">
            <w:pPr>
              <w:rPr>
                <w:rFonts w:ascii="Arial" w:hAnsi="Arial" w:cs="Arial"/>
                <w:sz w:val="12"/>
                <w:szCs w:val="12"/>
              </w:rPr>
            </w:pPr>
          </w:p>
        </w:tc>
        <w:tc>
          <w:tcPr>
            <w:tcW w:w="1843" w:type="dxa"/>
            <w:shd w:val="clear" w:color="auto" w:fill="auto"/>
          </w:tcPr>
          <w:p w14:paraId="7B87D023" w14:textId="77777777" w:rsidR="002A4DDF" w:rsidRPr="00937C8B" w:rsidRDefault="002A4DDF" w:rsidP="009110ED">
            <w:pPr>
              <w:rPr>
                <w:rFonts w:ascii="Arial" w:hAnsi="Arial" w:cs="Arial"/>
                <w:sz w:val="12"/>
                <w:szCs w:val="12"/>
              </w:rPr>
            </w:pPr>
          </w:p>
        </w:tc>
        <w:tc>
          <w:tcPr>
            <w:tcW w:w="2268" w:type="dxa"/>
            <w:shd w:val="clear" w:color="auto" w:fill="F2F2F2"/>
            <w:hideMark/>
          </w:tcPr>
          <w:p w14:paraId="2448D83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99B4F16" w14:textId="77777777" w:rsidR="002A4DDF" w:rsidRPr="00937C8B" w:rsidRDefault="002A4DDF" w:rsidP="009110ED">
            <w:pPr>
              <w:rPr>
                <w:rFonts w:ascii="Arial" w:hAnsi="Arial" w:cs="Arial"/>
                <w:sz w:val="12"/>
                <w:szCs w:val="12"/>
              </w:rPr>
            </w:pPr>
            <w:r>
              <w:rPr>
                <w:rFonts w:ascii="Arial" w:hAnsi="Arial"/>
                <w:sz w:val="12"/>
                <w:szCs w:val="12"/>
              </w:rPr>
              <w:t>Ames</w:t>
            </w:r>
          </w:p>
        </w:tc>
      </w:tr>
      <w:tr w:rsidR="002A4DDF" w:rsidRPr="00937C8B" w14:paraId="3E3C7E81" w14:textId="77777777" w:rsidTr="00935676">
        <w:trPr>
          <w:cantSplit/>
        </w:trPr>
        <w:tc>
          <w:tcPr>
            <w:tcW w:w="1696" w:type="dxa"/>
            <w:tcBorders>
              <w:left w:val="single" w:sz="4" w:space="0" w:color="auto"/>
            </w:tcBorders>
            <w:shd w:val="clear" w:color="auto" w:fill="auto"/>
          </w:tcPr>
          <w:p w14:paraId="042F213A" w14:textId="77777777" w:rsidR="002A4DDF" w:rsidRPr="00937C8B" w:rsidRDefault="002A4DDF" w:rsidP="009110ED">
            <w:pPr>
              <w:rPr>
                <w:rFonts w:ascii="Arial" w:hAnsi="Arial" w:cs="Arial"/>
                <w:sz w:val="12"/>
                <w:szCs w:val="12"/>
              </w:rPr>
            </w:pPr>
          </w:p>
        </w:tc>
        <w:tc>
          <w:tcPr>
            <w:tcW w:w="1843" w:type="dxa"/>
            <w:shd w:val="clear" w:color="auto" w:fill="auto"/>
          </w:tcPr>
          <w:p w14:paraId="1F1A6B97" w14:textId="77777777" w:rsidR="002A4DDF" w:rsidRPr="00937C8B" w:rsidRDefault="002A4DDF" w:rsidP="009110ED">
            <w:pPr>
              <w:rPr>
                <w:rFonts w:ascii="Arial" w:hAnsi="Arial" w:cs="Arial"/>
                <w:sz w:val="12"/>
                <w:szCs w:val="12"/>
              </w:rPr>
            </w:pPr>
          </w:p>
        </w:tc>
        <w:tc>
          <w:tcPr>
            <w:tcW w:w="2268" w:type="dxa"/>
            <w:shd w:val="clear" w:color="auto" w:fill="F2F2F2"/>
            <w:hideMark/>
          </w:tcPr>
          <w:p w14:paraId="539E383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7DEED24" w14:textId="77777777" w:rsidR="002A4DDF" w:rsidRPr="00937C8B" w:rsidRDefault="002A4DDF" w:rsidP="009110ED">
            <w:pPr>
              <w:rPr>
                <w:rFonts w:ascii="Arial" w:hAnsi="Arial" w:cs="Arial"/>
                <w:sz w:val="12"/>
                <w:szCs w:val="12"/>
              </w:rPr>
            </w:pPr>
            <w:r>
              <w:rPr>
                <w:rFonts w:ascii="Arial" w:hAnsi="Arial"/>
                <w:sz w:val="12"/>
                <w:szCs w:val="12"/>
              </w:rPr>
              <w:t>Aranga</w:t>
            </w:r>
          </w:p>
        </w:tc>
      </w:tr>
      <w:tr w:rsidR="002A4DDF" w:rsidRPr="00937C8B" w14:paraId="6B7E351E" w14:textId="77777777" w:rsidTr="00935676">
        <w:trPr>
          <w:cantSplit/>
        </w:trPr>
        <w:tc>
          <w:tcPr>
            <w:tcW w:w="1696" w:type="dxa"/>
            <w:tcBorders>
              <w:left w:val="single" w:sz="4" w:space="0" w:color="auto"/>
            </w:tcBorders>
            <w:shd w:val="clear" w:color="auto" w:fill="auto"/>
          </w:tcPr>
          <w:p w14:paraId="31CE0197" w14:textId="77777777" w:rsidR="002A4DDF" w:rsidRPr="00937C8B" w:rsidRDefault="002A4DDF" w:rsidP="009110ED">
            <w:pPr>
              <w:rPr>
                <w:rFonts w:ascii="Arial" w:hAnsi="Arial" w:cs="Arial"/>
                <w:sz w:val="12"/>
                <w:szCs w:val="12"/>
              </w:rPr>
            </w:pPr>
          </w:p>
        </w:tc>
        <w:tc>
          <w:tcPr>
            <w:tcW w:w="1843" w:type="dxa"/>
            <w:shd w:val="clear" w:color="auto" w:fill="auto"/>
          </w:tcPr>
          <w:p w14:paraId="471FD8D1" w14:textId="77777777" w:rsidR="002A4DDF" w:rsidRPr="00937C8B" w:rsidRDefault="002A4DDF" w:rsidP="009110ED">
            <w:pPr>
              <w:rPr>
                <w:rFonts w:ascii="Arial" w:hAnsi="Arial" w:cs="Arial"/>
                <w:sz w:val="12"/>
                <w:szCs w:val="12"/>
              </w:rPr>
            </w:pPr>
          </w:p>
        </w:tc>
        <w:tc>
          <w:tcPr>
            <w:tcW w:w="2268" w:type="dxa"/>
            <w:shd w:val="clear" w:color="auto" w:fill="F2F2F2"/>
            <w:hideMark/>
          </w:tcPr>
          <w:p w14:paraId="2BCDB76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E0185FF" w14:textId="77777777" w:rsidR="002A4DDF" w:rsidRPr="00937C8B" w:rsidRDefault="002A4DDF" w:rsidP="009110ED">
            <w:pPr>
              <w:rPr>
                <w:rFonts w:ascii="Arial" w:hAnsi="Arial" w:cs="Arial"/>
                <w:sz w:val="12"/>
                <w:szCs w:val="12"/>
              </w:rPr>
            </w:pPr>
            <w:r>
              <w:rPr>
                <w:rFonts w:ascii="Arial" w:hAnsi="Arial"/>
                <w:sz w:val="12"/>
                <w:szCs w:val="12"/>
              </w:rPr>
              <w:t>Ares</w:t>
            </w:r>
          </w:p>
        </w:tc>
      </w:tr>
      <w:tr w:rsidR="002A4DDF" w:rsidRPr="00937C8B" w14:paraId="05FBB2BF" w14:textId="77777777" w:rsidTr="00935676">
        <w:trPr>
          <w:cantSplit/>
        </w:trPr>
        <w:tc>
          <w:tcPr>
            <w:tcW w:w="1696" w:type="dxa"/>
            <w:tcBorders>
              <w:left w:val="single" w:sz="4" w:space="0" w:color="auto"/>
            </w:tcBorders>
            <w:shd w:val="clear" w:color="auto" w:fill="auto"/>
          </w:tcPr>
          <w:p w14:paraId="63C8A38D" w14:textId="77777777" w:rsidR="002A4DDF" w:rsidRPr="00937C8B" w:rsidRDefault="002A4DDF" w:rsidP="009110ED">
            <w:pPr>
              <w:rPr>
                <w:rFonts w:ascii="Arial" w:hAnsi="Arial" w:cs="Arial"/>
                <w:sz w:val="12"/>
                <w:szCs w:val="12"/>
              </w:rPr>
            </w:pPr>
          </w:p>
        </w:tc>
        <w:tc>
          <w:tcPr>
            <w:tcW w:w="1843" w:type="dxa"/>
            <w:shd w:val="clear" w:color="auto" w:fill="auto"/>
          </w:tcPr>
          <w:p w14:paraId="2337488B" w14:textId="77777777" w:rsidR="002A4DDF" w:rsidRPr="00937C8B" w:rsidRDefault="002A4DDF" w:rsidP="009110ED">
            <w:pPr>
              <w:rPr>
                <w:rFonts w:ascii="Arial" w:hAnsi="Arial" w:cs="Arial"/>
                <w:sz w:val="12"/>
                <w:szCs w:val="12"/>
              </w:rPr>
            </w:pPr>
          </w:p>
        </w:tc>
        <w:tc>
          <w:tcPr>
            <w:tcW w:w="2268" w:type="dxa"/>
            <w:shd w:val="clear" w:color="auto" w:fill="F2F2F2"/>
            <w:hideMark/>
          </w:tcPr>
          <w:p w14:paraId="1AE6BAB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094C2A3" w14:textId="77777777" w:rsidR="002A4DDF" w:rsidRPr="00937C8B" w:rsidRDefault="002A4DDF" w:rsidP="009110ED">
            <w:pPr>
              <w:rPr>
                <w:rFonts w:ascii="Arial" w:hAnsi="Arial" w:cs="Arial"/>
                <w:sz w:val="12"/>
                <w:szCs w:val="12"/>
              </w:rPr>
            </w:pPr>
            <w:r>
              <w:rPr>
                <w:rFonts w:ascii="Arial" w:hAnsi="Arial"/>
                <w:sz w:val="12"/>
                <w:szCs w:val="12"/>
              </w:rPr>
              <w:t>Arteixo</w:t>
            </w:r>
          </w:p>
        </w:tc>
      </w:tr>
      <w:tr w:rsidR="002A4DDF" w:rsidRPr="00937C8B" w14:paraId="0A6EEBC9" w14:textId="77777777" w:rsidTr="00935676">
        <w:trPr>
          <w:cantSplit/>
        </w:trPr>
        <w:tc>
          <w:tcPr>
            <w:tcW w:w="1696" w:type="dxa"/>
            <w:tcBorders>
              <w:left w:val="single" w:sz="4" w:space="0" w:color="auto"/>
            </w:tcBorders>
            <w:shd w:val="clear" w:color="auto" w:fill="auto"/>
          </w:tcPr>
          <w:p w14:paraId="24050076" w14:textId="77777777" w:rsidR="002A4DDF" w:rsidRPr="00937C8B" w:rsidRDefault="002A4DDF" w:rsidP="009110ED">
            <w:pPr>
              <w:rPr>
                <w:rFonts w:ascii="Arial" w:hAnsi="Arial" w:cs="Arial"/>
                <w:sz w:val="12"/>
                <w:szCs w:val="12"/>
              </w:rPr>
            </w:pPr>
          </w:p>
        </w:tc>
        <w:tc>
          <w:tcPr>
            <w:tcW w:w="1843" w:type="dxa"/>
            <w:shd w:val="clear" w:color="auto" w:fill="auto"/>
          </w:tcPr>
          <w:p w14:paraId="6EEF75BF" w14:textId="77777777" w:rsidR="002A4DDF" w:rsidRPr="00937C8B" w:rsidRDefault="002A4DDF" w:rsidP="009110ED">
            <w:pPr>
              <w:rPr>
                <w:rFonts w:ascii="Arial" w:hAnsi="Arial" w:cs="Arial"/>
                <w:sz w:val="12"/>
                <w:szCs w:val="12"/>
              </w:rPr>
            </w:pPr>
          </w:p>
        </w:tc>
        <w:tc>
          <w:tcPr>
            <w:tcW w:w="2268" w:type="dxa"/>
            <w:shd w:val="clear" w:color="auto" w:fill="F2F2F2"/>
            <w:hideMark/>
          </w:tcPr>
          <w:p w14:paraId="73851A2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448DDB9" w14:textId="77777777" w:rsidR="002A4DDF" w:rsidRPr="00937C8B" w:rsidRDefault="002A4DDF" w:rsidP="009110ED">
            <w:pPr>
              <w:rPr>
                <w:rFonts w:ascii="Arial" w:hAnsi="Arial" w:cs="Arial"/>
                <w:sz w:val="12"/>
                <w:szCs w:val="12"/>
              </w:rPr>
            </w:pPr>
            <w:r>
              <w:rPr>
                <w:rFonts w:ascii="Arial" w:hAnsi="Arial"/>
                <w:sz w:val="12"/>
                <w:szCs w:val="12"/>
              </w:rPr>
              <w:t>Arzúa</w:t>
            </w:r>
          </w:p>
        </w:tc>
      </w:tr>
      <w:tr w:rsidR="002A4DDF" w:rsidRPr="00937C8B" w14:paraId="6FA15E77" w14:textId="77777777" w:rsidTr="00935676">
        <w:trPr>
          <w:cantSplit/>
        </w:trPr>
        <w:tc>
          <w:tcPr>
            <w:tcW w:w="1696" w:type="dxa"/>
            <w:tcBorders>
              <w:left w:val="single" w:sz="4" w:space="0" w:color="auto"/>
            </w:tcBorders>
            <w:shd w:val="clear" w:color="auto" w:fill="auto"/>
          </w:tcPr>
          <w:p w14:paraId="5C582EDF" w14:textId="77777777" w:rsidR="002A4DDF" w:rsidRPr="00937C8B" w:rsidRDefault="002A4DDF" w:rsidP="009110ED">
            <w:pPr>
              <w:rPr>
                <w:rFonts w:ascii="Arial" w:hAnsi="Arial" w:cs="Arial"/>
                <w:sz w:val="12"/>
                <w:szCs w:val="12"/>
              </w:rPr>
            </w:pPr>
          </w:p>
        </w:tc>
        <w:tc>
          <w:tcPr>
            <w:tcW w:w="1843" w:type="dxa"/>
            <w:shd w:val="clear" w:color="auto" w:fill="auto"/>
          </w:tcPr>
          <w:p w14:paraId="3E0B0B56" w14:textId="77777777" w:rsidR="002A4DDF" w:rsidRPr="00937C8B" w:rsidRDefault="002A4DDF" w:rsidP="009110ED">
            <w:pPr>
              <w:rPr>
                <w:rFonts w:ascii="Arial" w:hAnsi="Arial" w:cs="Arial"/>
                <w:sz w:val="12"/>
                <w:szCs w:val="12"/>
              </w:rPr>
            </w:pPr>
          </w:p>
        </w:tc>
        <w:tc>
          <w:tcPr>
            <w:tcW w:w="2268" w:type="dxa"/>
            <w:shd w:val="clear" w:color="auto" w:fill="F2F2F2"/>
            <w:hideMark/>
          </w:tcPr>
          <w:p w14:paraId="48BEB26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6CF73FC" w14:textId="77777777" w:rsidR="002A4DDF" w:rsidRPr="00937C8B" w:rsidRDefault="002A4DDF" w:rsidP="009110ED">
            <w:pPr>
              <w:rPr>
                <w:rFonts w:ascii="Arial" w:hAnsi="Arial" w:cs="Arial"/>
                <w:sz w:val="12"/>
                <w:szCs w:val="12"/>
              </w:rPr>
            </w:pPr>
            <w:r>
              <w:rPr>
                <w:rFonts w:ascii="Arial" w:hAnsi="Arial"/>
                <w:sz w:val="12"/>
                <w:szCs w:val="12"/>
              </w:rPr>
              <w:t>As Pontes de García Rodríguez</w:t>
            </w:r>
          </w:p>
        </w:tc>
      </w:tr>
      <w:tr w:rsidR="002A4DDF" w:rsidRPr="00937C8B" w14:paraId="458C0311" w14:textId="77777777" w:rsidTr="00935676">
        <w:trPr>
          <w:cantSplit/>
        </w:trPr>
        <w:tc>
          <w:tcPr>
            <w:tcW w:w="1696" w:type="dxa"/>
            <w:tcBorders>
              <w:left w:val="single" w:sz="4" w:space="0" w:color="auto"/>
            </w:tcBorders>
            <w:shd w:val="clear" w:color="auto" w:fill="auto"/>
          </w:tcPr>
          <w:p w14:paraId="1CB1E5DB" w14:textId="77777777" w:rsidR="002A4DDF" w:rsidRPr="00937C8B" w:rsidRDefault="002A4DDF" w:rsidP="009110ED">
            <w:pPr>
              <w:rPr>
                <w:rFonts w:ascii="Arial" w:hAnsi="Arial" w:cs="Arial"/>
                <w:sz w:val="12"/>
                <w:szCs w:val="12"/>
              </w:rPr>
            </w:pPr>
          </w:p>
        </w:tc>
        <w:tc>
          <w:tcPr>
            <w:tcW w:w="1843" w:type="dxa"/>
            <w:shd w:val="clear" w:color="auto" w:fill="auto"/>
          </w:tcPr>
          <w:p w14:paraId="6FCBC850" w14:textId="77777777" w:rsidR="002A4DDF" w:rsidRPr="00937C8B" w:rsidRDefault="002A4DDF" w:rsidP="009110ED">
            <w:pPr>
              <w:rPr>
                <w:rFonts w:ascii="Arial" w:hAnsi="Arial" w:cs="Arial"/>
                <w:sz w:val="12"/>
                <w:szCs w:val="12"/>
              </w:rPr>
            </w:pPr>
          </w:p>
        </w:tc>
        <w:tc>
          <w:tcPr>
            <w:tcW w:w="2268" w:type="dxa"/>
            <w:shd w:val="clear" w:color="auto" w:fill="F2F2F2"/>
            <w:hideMark/>
          </w:tcPr>
          <w:p w14:paraId="77D0A96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AFF0C6A" w14:textId="77777777" w:rsidR="002A4DDF" w:rsidRPr="00937C8B" w:rsidRDefault="002A4DDF" w:rsidP="009110ED">
            <w:pPr>
              <w:rPr>
                <w:rFonts w:ascii="Arial" w:hAnsi="Arial" w:cs="Arial"/>
                <w:sz w:val="12"/>
                <w:szCs w:val="12"/>
              </w:rPr>
            </w:pPr>
            <w:r>
              <w:rPr>
                <w:rFonts w:ascii="Arial" w:hAnsi="Arial"/>
                <w:sz w:val="12"/>
                <w:szCs w:val="12"/>
              </w:rPr>
              <w:t>Bergondo</w:t>
            </w:r>
          </w:p>
        </w:tc>
      </w:tr>
      <w:tr w:rsidR="002A4DDF" w:rsidRPr="00937C8B" w14:paraId="75FBA1F8" w14:textId="77777777" w:rsidTr="00935676">
        <w:trPr>
          <w:cantSplit/>
        </w:trPr>
        <w:tc>
          <w:tcPr>
            <w:tcW w:w="1696" w:type="dxa"/>
            <w:tcBorders>
              <w:left w:val="single" w:sz="4" w:space="0" w:color="auto"/>
            </w:tcBorders>
            <w:shd w:val="clear" w:color="auto" w:fill="auto"/>
          </w:tcPr>
          <w:p w14:paraId="275E84BC" w14:textId="77777777" w:rsidR="002A4DDF" w:rsidRPr="00937C8B" w:rsidRDefault="002A4DDF" w:rsidP="009110ED">
            <w:pPr>
              <w:rPr>
                <w:rFonts w:ascii="Arial" w:hAnsi="Arial" w:cs="Arial"/>
                <w:sz w:val="12"/>
                <w:szCs w:val="12"/>
              </w:rPr>
            </w:pPr>
          </w:p>
        </w:tc>
        <w:tc>
          <w:tcPr>
            <w:tcW w:w="1843" w:type="dxa"/>
            <w:shd w:val="clear" w:color="auto" w:fill="auto"/>
          </w:tcPr>
          <w:p w14:paraId="7016E6CD" w14:textId="77777777" w:rsidR="002A4DDF" w:rsidRPr="00937C8B" w:rsidRDefault="002A4DDF" w:rsidP="009110ED">
            <w:pPr>
              <w:rPr>
                <w:rFonts w:ascii="Arial" w:hAnsi="Arial" w:cs="Arial"/>
                <w:sz w:val="12"/>
                <w:szCs w:val="12"/>
              </w:rPr>
            </w:pPr>
          </w:p>
        </w:tc>
        <w:tc>
          <w:tcPr>
            <w:tcW w:w="2268" w:type="dxa"/>
            <w:shd w:val="clear" w:color="auto" w:fill="F2F2F2"/>
            <w:hideMark/>
          </w:tcPr>
          <w:p w14:paraId="39A143C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AB1118F" w14:textId="77777777" w:rsidR="002A4DDF" w:rsidRPr="00937C8B" w:rsidRDefault="002A4DDF" w:rsidP="009110ED">
            <w:pPr>
              <w:rPr>
                <w:rFonts w:ascii="Arial" w:hAnsi="Arial" w:cs="Arial"/>
                <w:sz w:val="12"/>
                <w:szCs w:val="12"/>
              </w:rPr>
            </w:pPr>
            <w:r>
              <w:rPr>
                <w:rFonts w:ascii="Arial" w:hAnsi="Arial"/>
                <w:sz w:val="12"/>
                <w:szCs w:val="12"/>
              </w:rPr>
              <w:t>Betanzos</w:t>
            </w:r>
          </w:p>
        </w:tc>
      </w:tr>
      <w:tr w:rsidR="002A4DDF" w:rsidRPr="00937C8B" w14:paraId="05AAC35B" w14:textId="77777777" w:rsidTr="00935676">
        <w:trPr>
          <w:cantSplit/>
        </w:trPr>
        <w:tc>
          <w:tcPr>
            <w:tcW w:w="1696" w:type="dxa"/>
            <w:tcBorders>
              <w:left w:val="single" w:sz="4" w:space="0" w:color="auto"/>
            </w:tcBorders>
            <w:shd w:val="clear" w:color="auto" w:fill="auto"/>
          </w:tcPr>
          <w:p w14:paraId="51818D38" w14:textId="77777777" w:rsidR="002A4DDF" w:rsidRPr="00937C8B" w:rsidRDefault="002A4DDF" w:rsidP="009110ED">
            <w:pPr>
              <w:rPr>
                <w:rFonts w:ascii="Arial" w:hAnsi="Arial" w:cs="Arial"/>
                <w:sz w:val="12"/>
                <w:szCs w:val="12"/>
              </w:rPr>
            </w:pPr>
          </w:p>
        </w:tc>
        <w:tc>
          <w:tcPr>
            <w:tcW w:w="1843" w:type="dxa"/>
            <w:shd w:val="clear" w:color="auto" w:fill="auto"/>
          </w:tcPr>
          <w:p w14:paraId="72138D5C" w14:textId="77777777" w:rsidR="002A4DDF" w:rsidRPr="00937C8B" w:rsidRDefault="002A4DDF" w:rsidP="009110ED">
            <w:pPr>
              <w:rPr>
                <w:rFonts w:ascii="Arial" w:hAnsi="Arial" w:cs="Arial"/>
                <w:sz w:val="12"/>
                <w:szCs w:val="12"/>
              </w:rPr>
            </w:pPr>
          </w:p>
        </w:tc>
        <w:tc>
          <w:tcPr>
            <w:tcW w:w="2268" w:type="dxa"/>
            <w:shd w:val="clear" w:color="auto" w:fill="F2F2F2"/>
            <w:hideMark/>
          </w:tcPr>
          <w:p w14:paraId="7322F17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E964391" w14:textId="77777777" w:rsidR="002A4DDF" w:rsidRPr="00937C8B" w:rsidRDefault="002A4DDF" w:rsidP="009110ED">
            <w:pPr>
              <w:rPr>
                <w:rFonts w:ascii="Arial" w:hAnsi="Arial" w:cs="Arial"/>
                <w:sz w:val="12"/>
                <w:szCs w:val="12"/>
              </w:rPr>
            </w:pPr>
            <w:r>
              <w:rPr>
                <w:rFonts w:ascii="Arial" w:hAnsi="Arial"/>
                <w:sz w:val="12"/>
                <w:szCs w:val="12"/>
              </w:rPr>
              <w:t>Boimorto</w:t>
            </w:r>
          </w:p>
        </w:tc>
      </w:tr>
      <w:tr w:rsidR="002A4DDF" w:rsidRPr="00937C8B" w14:paraId="269B50A8" w14:textId="77777777" w:rsidTr="00935676">
        <w:trPr>
          <w:cantSplit/>
        </w:trPr>
        <w:tc>
          <w:tcPr>
            <w:tcW w:w="1696" w:type="dxa"/>
            <w:tcBorders>
              <w:left w:val="single" w:sz="4" w:space="0" w:color="auto"/>
            </w:tcBorders>
            <w:shd w:val="clear" w:color="auto" w:fill="auto"/>
          </w:tcPr>
          <w:p w14:paraId="03153DF3" w14:textId="77777777" w:rsidR="002A4DDF" w:rsidRPr="00937C8B" w:rsidRDefault="002A4DDF" w:rsidP="009110ED">
            <w:pPr>
              <w:rPr>
                <w:rFonts w:ascii="Arial" w:hAnsi="Arial" w:cs="Arial"/>
                <w:sz w:val="12"/>
                <w:szCs w:val="12"/>
              </w:rPr>
            </w:pPr>
          </w:p>
        </w:tc>
        <w:tc>
          <w:tcPr>
            <w:tcW w:w="1843" w:type="dxa"/>
            <w:shd w:val="clear" w:color="auto" w:fill="auto"/>
          </w:tcPr>
          <w:p w14:paraId="60F6361E" w14:textId="77777777" w:rsidR="002A4DDF" w:rsidRPr="00937C8B" w:rsidRDefault="002A4DDF" w:rsidP="009110ED">
            <w:pPr>
              <w:rPr>
                <w:rFonts w:ascii="Arial" w:hAnsi="Arial" w:cs="Arial"/>
                <w:sz w:val="12"/>
                <w:szCs w:val="12"/>
              </w:rPr>
            </w:pPr>
          </w:p>
        </w:tc>
        <w:tc>
          <w:tcPr>
            <w:tcW w:w="2268" w:type="dxa"/>
            <w:shd w:val="clear" w:color="auto" w:fill="F2F2F2"/>
            <w:hideMark/>
          </w:tcPr>
          <w:p w14:paraId="6087087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75DDAB0" w14:textId="77777777" w:rsidR="002A4DDF" w:rsidRPr="00937C8B" w:rsidRDefault="002A4DDF" w:rsidP="009110ED">
            <w:pPr>
              <w:rPr>
                <w:rFonts w:ascii="Arial" w:hAnsi="Arial" w:cs="Arial"/>
                <w:sz w:val="12"/>
                <w:szCs w:val="12"/>
              </w:rPr>
            </w:pPr>
            <w:r>
              <w:rPr>
                <w:rFonts w:ascii="Arial" w:hAnsi="Arial"/>
                <w:sz w:val="12"/>
                <w:szCs w:val="12"/>
              </w:rPr>
              <w:t>Boiro</w:t>
            </w:r>
          </w:p>
        </w:tc>
      </w:tr>
      <w:tr w:rsidR="002A4DDF" w:rsidRPr="00937C8B" w14:paraId="260C441C" w14:textId="77777777" w:rsidTr="00935676">
        <w:trPr>
          <w:cantSplit/>
        </w:trPr>
        <w:tc>
          <w:tcPr>
            <w:tcW w:w="1696" w:type="dxa"/>
            <w:tcBorders>
              <w:left w:val="single" w:sz="4" w:space="0" w:color="auto"/>
            </w:tcBorders>
            <w:shd w:val="clear" w:color="auto" w:fill="auto"/>
          </w:tcPr>
          <w:p w14:paraId="2F71F1C8" w14:textId="77777777" w:rsidR="002A4DDF" w:rsidRPr="00937C8B" w:rsidRDefault="002A4DDF" w:rsidP="009110ED">
            <w:pPr>
              <w:rPr>
                <w:rFonts w:ascii="Arial" w:hAnsi="Arial" w:cs="Arial"/>
                <w:sz w:val="12"/>
                <w:szCs w:val="12"/>
              </w:rPr>
            </w:pPr>
          </w:p>
        </w:tc>
        <w:tc>
          <w:tcPr>
            <w:tcW w:w="1843" w:type="dxa"/>
            <w:shd w:val="clear" w:color="auto" w:fill="auto"/>
          </w:tcPr>
          <w:p w14:paraId="41555AB3" w14:textId="77777777" w:rsidR="002A4DDF" w:rsidRPr="00937C8B" w:rsidRDefault="002A4DDF" w:rsidP="009110ED">
            <w:pPr>
              <w:rPr>
                <w:rFonts w:ascii="Arial" w:hAnsi="Arial" w:cs="Arial"/>
                <w:sz w:val="12"/>
                <w:szCs w:val="12"/>
              </w:rPr>
            </w:pPr>
          </w:p>
        </w:tc>
        <w:tc>
          <w:tcPr>
            <w:tcW w:w="2268" w:type="dxa"/>
            <w:shd w:val="clear" w:color="auto" w:fill="F2F2F2"/>
            <w:hideMark/>
          </w:tcPr>
          <w:p w14:paraId="0285651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283D196" w14:textId="77777777" w:rsidR="002A4DDF" w:rsidRPr="00937C8B" w:rsidRDefault="002A4DDF" w:rsidP="009110ED">
            <w:pPr>
              <w:rPr>
                <w:rFonts w:ascii="Arial" w:hAnsi="Arial" w:cs="Arial"/>
                <w:sz w:val="12"/>
                <w:szCs w:val="12"/>
              </w:rPr>
            </w:pPr>
            <w:r>
              <w:rPr>
                <w:rFonts w:ascii="Arial" w:hAnsi="Arial"/>
                <w:sz w:val="12"/>
                <w:szCs w:val="12"/>
              </w:rPr>
              <w:t>Boqueixón</w:t>
            </w:r>
          </w:p>
        </w:tc>
      </w:tr>
      <w:tr w:rsidR="002A4DDF" w:rsidRPr="00937C8B" w14:paraId="7D1ECE83" w14:textId="77777777" w:rsidTr="00935676">
        <w:trPr>
          <w:cantSplit/>
        </w:trPr>
        <w:tc>
          <w:tcPr>
            <w:tcW w:w="1696" w:type="dxa"/>
            <w:tcBorders>
              <w:left w:val="single" w:sz="4" w:space="0" w:color="auto"/>
            </w:tcBorders>
            <w:shd w:val="clear" w:color="auto" w:fill="auto"/>
          </w:tcPr>
          <w:p w14:paraId="3F9D9DC5" w14:textId="77777777" w:rsidR="002A4DDF" w:rsidRPr="00937C8B" w:rsidRDefault="002A4DDF" w:rsidP="009110ED">
            <w:pPr>
              <w:rPr>
                <w:rFonts w:ascii="Arial" w:hAnsi="Arial" w:cs="Arial"/>
                <w:sz w:val="12"/>
                <w:szCs w:val="12"/>
              </w:rPr>
            </w:pPr>
          </w:p>
        </w:tc>
        <w:tc>
          <w:tcPr>
            <w:tcW w:w="1843" w:type="dxa"/>
            <w:shd w:val="clear" w:color="auto" w:fill="auto"/>
          </w:tcPr>
          <w:p w14:paraId="1CBA5FDE" w14:textId="77777777" w:rsidR="002A4DDF" w:rsidRPr="00937C8B" w:rsidRDefault="002A4DDF" w:rsidP="009110ED">
            <w:pPr>
              <w:rPr>
                <w:rFonts w:ascii="Arial" w:hAnsi="Arial" w:cs="Arial"/>
                <w:sz w:val="12"/>
                <w:szCs w:val="12"/>
              </w:rPr>
            </w:pPr>
          </w:p>
        </w:tc>
        <w:tc>
          <w:tcPr>
            <w:tcW w:w="2268" w:type="dxa"/>
            <w:shd w:val="clear" w:color="auto" w:fill="F2F2F2"/>
            <w:hideMark/>
          </w:tcPr>
          <w:p w14:paraId="34FC7E3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58226FE" w14:textId="77777777" w:rsidR="002A4DDF" w:rsidRPr="00937C8B" w:rsidRDefault="002A4DDF" w:rsidP="009110ED">
            <w:pPr>
              <w:rPr>
                <w:rFonts w:ascii="Arial" w:hAnsi="Arial" w:cs="Arial"/>
                <w:sz w:val="12"/>
                <w:szCs w:val="12"/>
              </w:rPr>
            </w:pPr>
            <w:r>
              <w:rPr>
                <w:rFonts w:ascii="Arial" w:hAnsi="Arial"/>
                <w:sz w:val="12"/>
                <w:szCs w:val="12"/>
              </w:rPr>
              <w:t>Brión</w:t>
            </w:r>
          </w:p>
        </w:tc>
      </w:tr>
      <w:tr w:rsidR="002A4DDF" w:rsidRPr="00937C8B" w14:paraId="55742914" w14:textId="77777777" w:rsidTr="00935676">
        <w:trPr>
          <w:cantSplit/>
        </w:trPr>
        <w:tc>
          <w:tcPr>
            <w:tcW w:w="1696" w:type="dxa"/>
            <w:tcBorders>
              <w:left w:val="single" w:sz="4" w:space="0" w:color="auto"/>
            </w:tcBorders>
            <w:shd w:val="clear" w:color="auto" w:fill="auto"/>
          </w:tcPr>
          <w:p w14:paraId="21E57B8A" w14:textId="77777777" w:rsidR="002A4DDF" w:rsidRPr="00937C8B" w:rsidRDefault="002A4DDF" w:rsidP="009110ED">
            <w:pPr>
              <w:rPr>
                <w:rFonts w:ascii="Arial" w:hAnsi="Arial" w:cs="Arial"/>
                <w:sz w:val="12"/>
                <w:szCs w:val="12"/>
              </w:rPr>
            </w:pPr>
          </w:p>
        </w:tc>
        <w:tc>
          <w:tcPr>
            <w:tcW w:w="1843" w:type="dxa"/>
            <w:shd w:val="clear" w:color="auto" w:fill="auto"/>
          </w:tcPr>
          <w:p w14:paraId="7BC13206" w14:textId="77777777" w:rsidR="002A4DDF" w:rsidRPr="00937C8B" w:rsidRDefault="002A4DDF" w:rsidP="009110ED">
            <w:pPr>
              <w:rPr>
                <w:rFonts w:ascii="Arial" w:hAnsi="Arial" w:cs="Arial"/>
                <w:sz w:val="12"/>
                <w:szCs w:val="12"/>
              </w:rPr>
            </w:pPr>
          </w:p>
        </w:tc>
        <w:tc>
          <w:tcPr>
            <w:tcW w:w="2268" w:type="dxa"/>
            <w:shd w:val="clear" w:color="auto" w:fill="F2F2F2"/>
            <w:hideMark/>
          </w:tcPr>
          <w:p w14:paraId="3DA908A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8BE3E99" w14:textId="77777777" w:rsidR="002A4DDF" w:rsidRPr="00937C8B" w:rsidRDefault="002A4DDF" w:rsidP="009110ED">
            <w:pPr>
              <w:rPr>
                <w:rFonts w:ascii="Arial" w:hAnsi="Arial" w:cs="Arial"/>
                <w:sz w:val="12"/>
                <w:szCs w:val="12"/>
              </w:rPr>
            </w:pPr>
            <w:r>
              <w:rPr>
                <w:rFonts w:ascii="Arial" w:hAnsi="Arial"/>
                <w:sz w:val="12"/>
                <w:szCs w:val="12"/>
              </w:rPr>
              <w:t>Cabana de Bergantiños</w:t>
            </w:r>
          </w:p>
        </w:tc>
      </w:tr>
      <w:tr w:rsidR="002A4DDF" w:rsidRPr="00937C8B" w14:paraId="448E3084" w14:textId="77777777" w:rsidTr="00935676">
        <w:trPr>
          <w:cantSplit/>
        </w:trPr>
        <w:tc>
          <w:tcPr>
            <w:tcW w:w="1696" w:type="dxa"/>
            <w:tcBorders>
              <w:left w:val="single" w:sz="4" w:space="0" w:color="auto"/>
            </w:tcBorders>
            <w:shd w:val="clear" w:color="auto" w:fill="auto"/>
          </w:tcPr>
          <w:p w14:paraId="6458D8A1" w14:textId="77777777" w:rsidR="002A4DDF" w:rsidRPr="00937C8B" w:rsidRDefault="002A4DDF" w:rsidP="009110ED">
            <w:pPr>
              <w:rPr>
                <w:rFonts w:ascii="Arial" w:hAnsi="Arial" w:cs="Arial"/>
                <w:sz w:val="12"/>
                <w:szCs w:val="12"/>
              </w:rPr>
            </w:pPr>
          </w:p>
        </w:tc>
        <w:tc>
          <w:tcPr>
            <w:tcW w:w="1843" w:type="dxa"/>
            <w:shd w:val="clear" w:color="auto" w:fill="auto"/>
          </w:tcPr>
          <w:p w14:paraId="3F7B75B3" w14:textId="77777777" w:rsidR="002A4DDF" w:rsidRPr="00937C8B" w:rsidRDefault="002A4DDF" w:rsidP="009110ED">
            <w:pPr>
              <w:rPr>
                <w:rFonts w:ascii="Arial" w:hAnsi="Arial" w:cs="Arial"/>
                <w:sz w:val="12"/>
                <w:szCs w:val="12"/>
              </w:rPr>
            </w:pPr>
          </w:p>
        </w:tc>
        <w:tc>
          <w:tcPr>
            <w:tcW w:w="2268" w:type="dxa"/>
            <w:shd w:val="clear" w:color="auto" w:fill="F2F2F2"/>
            <w:hideMark/>
          </w:tcPr>
          <w:p w14:paraId="7E5F2C5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435F1E9" w14:textId="77777777" w:rsidR="002A4DDF" w:rsidRPr="00937C8B" w:rsidRDefault="002A4DDF" w:rsidP="009110ED">
            <w:pPr>
              <w:rPr>
                <w:rFonts w:ascii="Arial" w:hAnsi="Arial" w:cs="Arial"/>
                <w:sz w:val="12"/>
                <w:szCs w:val="12"/>
              </w:rPr>
            </w:pPr>
            <w:r>
              <w:rPr>
                <w:rFonts w:ascii="Arial" w:hAnsi="Arial"/>
                <w:sz w:val="12"/>
                <w:szCs w:val="12"/>
              </w:rPr>
              <w:t>Cabanas</w:t>
            </w:r>
          </w:p>
        </w:tc>
      </w:tr>
      <w:tr w:rsidR="002A4DDF" w:rsidRPr="00937C8B" w14:paraId="477975F8" w14:textId="77777777" w:rsidTr="00935676">
        <w:trPr>
          <w:cantSplit/>
        </w:trPr>
        <w:tc>
          <w:tcPr>
            <w:tcW w:w="1696" w:type="dxa"/>
            <w:tcBorders>
              <w:left w:val="single" w:sz="4" w:space="0" w:color="auto"/>
            </w:tcBorders>
            <w:shd w:val="clear" w:color="auto" w:fill="auto"/>
          </w:tcPr>
          <w:p w14:paraId="1DE80CA0" w14:textId="77777777" w:rsidR="002A4DDF" w:rsidRPr="00937C8B" w:rsidRDefault="002A4DDF" w:rsidP="009110ED">
            <w:pPr>
              <w:rPr>
                <w:rFonts w:ascii="Arial" w:hAnsi="Arial" w:cs="Arial"/>
                <w:sz w:val="12"/>
                <w:szCs w:val="12"/>
              </w:rPr>
            </w:pPr>
          </w:p>
        </w:tc>
        <w:tc>
          <w:tcPr>
            <w:tcW w:w="1843" w:type="dxa"/>
            <w:shd w:val="clear" w:color="auto" w:fill="auto"/>
          </w:tcPr>
          <w:p w14:paraId="6A391357" w14:textId="77777777" w:rsidR="002A4DDF" w:rsidRPr="00937C8B" w:rsidRDefault="002A4DDF" w:rsidP="009110ED">
            <w:pPr>
              <w:rPr>
                <w:rFonts w:ascii="Arial" w:hAnsi="Arial" w:cs="Arial"/>
                <w:sz w:val="12"/>
                <w:szCs w:val="12"/>
              </w:rPr>
            </w:pPr>
          </w:p>
        </w:tc>
        <w:tc>
          <w:tcPr>
            <w:tcW w:w="2268" w:type="dxa"/>
            <w:shd w:val="clear" w:color="auto" w:fill="F2F2F2"/>
            <w:hideMark/>
          </w:tcPr>
          <w:p w14:paraId="2AA7D9C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45B8E94" w14:textId="77777777" w:rsidR="002A4DDF" w:rsidRPr="00937C8B" w:rsidRDefault="002A4DDF" w:rsidP="009110ED">
            <w:pPr>
              <w:rPr>
                <w:rFonts w:ascii="Arial" w:hAnsi="Arial" w:cs="Arial"/>
                <w:sz w:val="12"/>
                <w:szCs w:val="12"/>
              </w:rPr>
            </w:pPr>
            <w:r>
              <w:rPr>
                <w:rFonts w:ascii="Arial" w:hAnsi="Arial"/>
                <w:sz w:val="12"/>
                <w:szCs w:val="12"/>
              </w:rPr>
              <w:t>Camariñas</w:t>
            </w:r>
          </w:p>
        </w:tc>
      </w:tr>
      <w:tr w:rsidR="002A4DDF" w:rsidRPr="00937C8B" w14:paraId="37BD4FDD" w14:textId="77777777" w:rsidTr="00935676">
        <w:trPr>
          <w:cantSplit/>
        </w:trPr>
        <w:tc>
          <w:tcPr>
            <w:tcW w:w="1696" w:type="dxa"/>
            <w:tcBorders>
              <w:left w:val="single" w:sz="4" w:space="0" w:color="auto"/>
            </w:tcBorders>
            <w:shd w:val="clear" w:color="auto" w:fill="auto"/>
          </w:tcPr>
          <w:p w14:paraId="19AF7965" w14:textId="77777777" w:rsidR="002A4DDF" w:rsidRPr="00937C8B" w:rsidRDefault="002A4DDF" w:rsidP="009110ED">
            <w:pPr>
              <w:rPr>
                <w:rFonts w:ascii="Arial" w:hAnsi="Arial" w:cs="Arial"/>
                <w:sz w:val="12"/>
                <w:szCs w:val="12"/>
              </w:rPr>
            </w:pPr>
          </w:p>
        </w:tc>
        <w:tc>
          <w:tcPr>
            <w:tcW w:w="1843" w:type="dxa"/>
            <w:shd w:val="clear" w:color="auto" w:fill="auto"/>
          </w:tcPr>
          <w:p w14:paraId="7BD0EA69" w14:textId="77777777" w:rsidR="002A4DDF" w:rsidRPr="00937C8B" w:rsidRDefault="002A4DDF" w:rsidP="009110ED">
            <w:pPr>
              <w:rPr>
                <w:rFonts w:ascii="Arial" w:hAnsi="Arial" w:cs="Arial"/>
                <w:sz w:val="12"/>
                <w:szCs w:val="12"/>
              </w:rPr>
            </w:pPr>
          </w:p>
        </w:tc>
        <w:tc>
          <w:tcPr>
            <w:tcW w:w="2268" w:type="dxa"/>
            <w:shd w:val="clear" w:color="auto" w:fill="F2F2F2"/>
            <w:hideMark/>
          </w:tcPr>
          <w:p w14:paraId="18BDAC5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F8A4D1E" w14:textId="77777777" w:rsidR="002A4DDF" w:rsidRPr="00937C8B" w:rsidRDefault="002A4DDF" w:rsidP="009110ED">
            <w:pPr>
              <w:rPr>
                <w:rFonts w:ascii="Arial" w:hAnsi="Arial" w:cs="Arial"/>
                <w:sz w:val="12"/>
                <w:szCs w:val="12"/>
              </w:rPr>
            </w:pPr>
            <w:r>
              <w:rPr>
                <w:rFonts w:ascii="Arial" w:hAnsi="Arial"/>
                <w:sz w:val="12"/>
                <w:szCs w:val="12"/>
              </w:rPr>
              <w:t>Cambre</w:t>
            </w:r>
          </w:p>
        </w:tc>
      </w:tr>
      <w:tr w:rsidR="002A4DDF" w:rsidRPr="00937C8B" w14:paraId="7920E450" w14:textId="77777777" w:rsidTr="00935676">
        <w:trPr>
          <w:cantSplit/>
        </w:trPr>
        <w:tc>
          <w:tcPr>
            <w:tcW w:w="1696" w:type="dxa"/>
            <w:tcBorders>
              <w:left w:val="single" w:sz="4" w:space="0" w:color="auto"/>
            </w:tcBorders>
            <w:shd w:val="clear" w:color="auto" w:fill="auto"/>
          </w:tcPr>
          <w:p w14:paraId="74ADB490" w14:textId="77777777" w:rsidR="002A4DDF" w:rsidRPr="00937C8B" w:rsidRDefault="002A4DDF" w:rsidP="009110ED">
            <w:pPr>
              <w:rPr>
                <w:rFonts w:ascii="Arial" w:hAnsi="Arial" w:cs="Arial"/>
                <w:sz w:val="12"/>
                <w:szCs w:val="12"/>
              </w:rPr>
            </w:pPr>
          </w:p>
        </w:tc>
        <w:tc>
          <w:tcPr>
            <w:tcW w:w="1843" w:type="dxa"/>
            <w:shd w:val="clear" w:color="auto" w:fill="auto"/>
          </w:tcPr>
          <w:p w14:paraId="46F4EC00" w14:textId="77777777" w:rsidR="002A4DDF" w:rsidRPr="00937C8B" w:rsidRDefault="002A4DDF" w:rsidP="009110ED">
            <w:pPr>
              <w:rPr>
                <w:rFonts w:ascii="Arial" w:hAnsi="Arial" w:cs="Arial"/>
                <w:sz w:val="12"/>
                <w:szCs w:val="12"/>
              </w:rPr>
            </w:pPr>
          </w:p>
        </w:tc>
        <w:tc>
          <w:tcPr>
            <w:tcW w:w="2268" w:type="dxa"/>
            <w:shd w:val="clear" w:color="auto" w:fill="F2F2F2"/>
            <w:hideMark/>
          </w:tcPr>
          <w:p w14:paraId="3D0EA73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6320CC5" w14:textId="77777777" w:rsidR="002A4DDF" w:rsidRPr="00937C8B" w:rsidRDefault="002A4DDF" w:rsidP="009110ED">
            <w:pPr>
              <w:rPr>
                <w:rFonts w:ascii="Arial" w:hAnsi="Arial" w:cs="Arial"/>
                <w:sz w:val="12"/>
                <w:szCs w:val="12"/>
              </w:rPr>
            </w:pPr>
            <w:r>
              <w:rPr>
                <w:rFonts w:ascii="Arial" w:hAnsi="Arial"/>
                <w:sz w:val="12"/>
                <w:szCs w:val="12"/>
              </w:rPr>
              <w:t>Carballo</w:t>
            </w:r>
          </w:p>
        </w:tc>
      </w:tr>
      <w:tr w:rsidR="002A4DDF" w:rsidRPr="00937C8B" w14:paraId="354818AA" w14:textId="77777777" w:rsidTr="00935676">
        <w:trPr>
          <w:cantSplit/>
        </w:trPr>
        <w:tc>
          <w:tcPr>
            <w:tcW w:w="1696" w:type="dxa"/>
            <w:tcBorders>
              <w:left w:val="single" w:sz="4" w:space="0" w:color="auto"/>
            </w:tcBorders>
            <w:shd w:val="clear" w:color="auto" w:fill="auto"/>
          </w:tcPr>
          <w:p w14:paraId="7DE3CFEA" w14:textId="77777777" w:rsidR="002A4DDF" w:rsidRPr="00937C8B" w:rsidRDefault="002A4DDF" w:rsidP="009110ED">
            <w:pPr>
              <w:rPr>
                <w:rFonts w:ascii="Arial" w:hAnsi="Arial" w:cs="Arial"/>
                <w:sz w:val="12"/>
                <w:szCs w:val="12"/>
              </w:rPr>
            </w:pPr>
          </w:p>
        </w:tc>
        <w:tc>
          <w:tcPr>
            <w:tcW w:w="1843" w:type="dxa"/>
            <w:shd w:val="clear" w:color="auto" w:fill="auto"/>
          </w:tcPr>
          <w:p w14:paraId="27AC31C8" w14:textId="77777777" w:rsidR="002A4DDF" w:rsidRPr="00937C8B" w:rsidRDefault="002A4DDF" w:rsidP="009110ED">
            <w:pPr>
              <w:rPr>
                <w:rFonts w:ascii="Arial" w:hAnsi="Arial" w:cs="Arial"/>
                <w:sz w:val="12"/>
                <w:szCs w:val="12"/>
              </w:rPr>
            </w:pPr>
          </w:p>
        </w:tc>
        <w:tc>
          <w:tcPr>
            <w:tcW w:w="2268" w:type="dxa"/>
            <w:shd w:val="clear" w:color="auto" w:fill="F2F2F2"/>
            <w:hideMark/>
          </w:tcPr>
          <w:p w14:paraId="13FE7D2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515180B" w14:textId="77777777" w:rsidR="002A4DDF" w:rsidRPr="00937C8B" w:rsidRDefault="002A4DDF" w:rsidP="009110ED">
            <w:pPr>
              <w:rPr>
                <w:rFonts w:ascii="Arial" w:hAnsi="Arial" w:cs="Arial"/>
                <w:sz w:val="12"/>
                <w:szCs w:val="12"/>
              </w:rPr>
            </w:pPr>
            <w:r>
              <w:rPr>
                <w:rFonts w:ascii="Arial" w:hAnsi="Arial"/>
                <w:sz w:val="12"/>
                <w:szCs w:val="12"/>
              </w:rPr>
              <w:t>Cariño</w:t>
            </w:r>
          </w:p>
        </w:tc>
      </w:tr>
      <w:tr w:rsidR="002A4DDF" w:rsidRPr="00937C8B" w14:paraId="5D80151E" w14:textId="77777777" w:rsidTr="00935676">
        <w:trPr>
          <w:cantSplit/>
        </w:trPr>
        <w:tc>
          <w:tcPr>
            <w:tcW w:w="1696" w:type="dxa"/>
            <w:tcBorders>
              <w:left w:val="single" w:sz="4" w:space="0" w:color="auto"/>
            </w:tcBorders>
            <w:shd w:val="clear" w:color="auto" w:fill="auto"/>
          </w:tcPr>
          <w:p w14:paraId="29E71437" w14:textId="77777777" w:rsidR="002A4DDF" w:rsidRPr="00937C8B" w:rsidRDefault="002A4DDF" w:rsidP="009110ED">
            <w:pPr>
              <w:rPr>
                <w:rFonts w:ascii="Arial" w:hAnsi="Arial" w:cs="Arial"/>
                <w:sz w:val="12"/>
                <w:szCs w:val="12"/>
              </w:rPr>
            </w:pPr>
          </w:p>
        </w:tc>
        <w:tc>
          <w:tcPr>
            <w:tcW w:w="1843" w:type="dxa"/>
            <w:shd w:val="clear" w:color="auto" w:fill="auto"/>
          </w:tcPr>
          <w:p w14:paraId="20FF4F62" w14:textId="77777777" w:rsidR="002A4DDF" w:rsidRPr="00937C8B" w:rsidRDefault="002A4DDF" w:rsidP="009110ED">
            <w:pPr>
              <w:rPr>
                <w:rFonts w:ascii="Arial" w:hAnsi="Arial" w:cs="Arial"/>
                <w:sz w:val="12"/>
                <w:szCs w:val="12"/>
              </w:rPr>
            </w:pPr>
          </w:p>
        </w:tc>
        <w:tc>
          <w:tcPr>
            <w:tcW w:w="2268" w:type="dxa"/>
            <w:shd w:val="clear" w:color="auto" w:fill="F2F2F2"/>
            <w:hideMark/>
          </w:tcPr>
          <w:p w14:paraId="7D952E6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F2304E8" w14:textId="77777777" w:rsidR="002A4DDF" w:rsidRPr="00937C8B" w:rsidRDefault="002A4DDF" w:rsidP="009110ED">
            <w:pPr>
              <w:rPr>
                <w:rFonts w:ascii="Arial" w:hAnsi="Arial" w:cs="Arial"/>
                <w:sz w:val="12"/>
                <w:szCs w:val="12"/>
              </w:rPr>
            </w:pPr>
            <w:r>
              <w:rPr>
                <w:rFonts w:ascii="Arial" w:hAnsi="Arial"/>
                <w:sz w:val="12"/>
                <w:szCs w:val="12"/>
              </w:rPr>
              <w:t>Carnota</w:t>
            </w:r>
          </w:p>
        </w:tc>
      </w:tr>
      <w:tr w:rsidR="002A4DDF" w:rsidRPr="00937C8B" w14:paraId="7A47F3F5" w14:textId="77777777" w:rsidTr="00935676">
        <w:trPr>
          <w:cantSplit/>
        </w:trPr>
        <w:tc>
          <w:tcPr>
            <w:tcW w:w="1696" w:type="dxa"/>
            <w:tcBorders>
              <w:left w:val="single" w:sz="4" w:space="0" w:color="auto"/>
            </w:tcBorders>
            <w:shd w:val="clear" w:color="auto" w:fill="auto"/>
          </w:tcPr>
          <w:p w14:paraId="15B6FBC3" w14:textId="77777777" w:rsidR="002A4DDF" w:rsidRPr="00937C8B" w:rsidRDefault="002A4DDF" w:rsidP="009110ED">
            <w:pPr>
              <w:rPr>
                <w:rFonts w:ascii="Arial" w:hAnsi="Arial" w:cs="Arial"/>
                <w:sz w:val="12"/>
                <w:szCs w:val="12"/>
              </w:rPr>
            </w:pPr>
          </w:p>
        </w:tc>
        <w:tc>
          <w:tcPr>
            <w:tcW w:w="1843" w:type="dxa"/>
            <w:shd w:val="clear" w:color="auto" w:fill="auto"/>
          </w:tcPr>
          <w:p w14:paraId="27E535D8" w14:textId="77777777" w:rsidR="002A4DDF" w:rsidRPr="00937C8B" w:rsidRDefault="002A4DDF" w:rsidP="009110ED">
            <w:pPr>
              <w:rPr>
                <w:rFonts w:ascii="Arial" w:hAnsi="Arial" w:cs="Arial"/>
                <w:sz w:val="12"/>
                <w:szCs w:val="12"/>
              </w:rPr>
            </w:pPr>
          </w:p>
        </w:tc>
        <w:tc>
          <w:tcPr>
            <w:tcW w:w="2268" w:type="dxa"/>
            <w:shd w:val="clear" w:color="auto" w:fill="F2F2F2"/>
            <w:hideMark/>
          </w:tcPr>
          <w:p w14:paraId="1F4F565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1AF39C4" w14:textId="77777777" w:rsidR="002A4DDF" w:rsidRPr="00937C8B" w:rsidRDefault="002A4DDF" w:rsidP="009110ED">
            <w:pPr>
              <w:rPr>
                <w:rFonts w:ascii="Arial" w:hAnsi="Arial" w:cs="Arial"/>
                <w:sz w:val="12"/>
                <w:szCs w:val="12"/>
              </w:rPr>
            </w:pPr>
            <w:r>
              <w:rPr>
                <w:rFonts w:ascii="Arial" w:hAnsi="Arial"/>
                <w:sz w:val="12"/>
                <w:szCs w:val="12"/>
              </w:rPr>
              <w:t>Carral</w:t>
            </w:r>
          </w:p>
        </w:tc>
      </w:tr>
      <w:tr w:rsidR="002A4DDF" w:rsidRPr="00937C8B" w14:paraId="56185F00" w14:textId="77777777" w:rsidTr="00935676">
        <w:trPr>
          <w:cantSplit/>
        </w:trPr>
        <w:tc>
          <w:tcPr>
            <w:tcW w:w="1696" w:type="dxa"/>
            <w:tcBorders>
              <w:left w:val="single" w:sz="4" w:space="0" w:color="auto"/>
            </w:tcBorders>
            <w:shd w:val="clear" w:color="auto" w:fill="auto"/>
          </w:tcPr>
          <w:p w14:paraId="35670374" w14:textId="77777777" w:rsidR="002A4DDF" w:rsidRPr="00937C8B" w:rsidRDefault="002A4DDF" w:rsidP="009110ED">
            <w:pPr>
              <w:rPr>
                <w:rFonts w:ascii="Arial" w:hAnsi="Arial" w:cs="Arial"/>
                <w:sz w:val="12"/>
                <w:szCs w:val="12"/>
              </w:rPr>
            </w:pPr>
          </w:p>
        </w:tc>
        <w:tc>
          <w:tcPr>
            <w:tcW w:w="1843" w:type="dxa"/>
            <w:shd w:val="clear" w:color="auto" w:fill="auto"/>
          </w:tcPr>
          <w:p w14:paraId="4BFC3FF3" w14:textId="77777777" w:rsidR="002A4DDF" w:rsidRPr="00937C8B" w:rsidRDefault="002A4DDF" w:rsidP="009110ED">
            <w:pPr>
              <w:rPr>
                <w:rFonts w:ascii="Arial" w:hAnsi="Arial" w:cs="Arial"/>
                <w:sz w:val="12"/>
                <w:szCs w:val="12"/>
              </w:rPr>
            </w:pPr>
          </w:p>
        </w:tc>
        <w:tc>
          <w:tcPr>
            <w:tcW w:w="2268" w:type="dxa"/>
            <w:shd w:val="clear" w:color="auto" w:fill="F2F2F2"/>
            <w:hideMark/>
          </w:tcPr>
          <w:p w14:paraId="272E19B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E9CF2B9" w14:textId="77777777" w:rsidR="002A4DDF" w:rsidRPr="00937C8B" w:rsidRDefault="002A4DDF" w:rsidP="009110ED">
            <w:pPr>
              <w:rPr>
                <w:rFonts w:ascii="Arial" w:hAnsi="Arial" w:cs="Arial"/>
                <w:sz w:val="12"/>
                <w:szCs w:val="12"/>
              </w:rPr>
            </w:pPr>
            <w:r>
              <w:rPr>
                <w:rFonts w:ascii="Arial" w:hAnsi="Arial"/>
                <w:sz w:val="12"/>
                <w:szCs w:val="12"/>
              </w:rPr>
              <w:t>Cedeira</w:t>
            </w:r>
          </w:p>
        </w:tc>
      </w:tr>
      <w:tr w:rsidR="002A4DDF" w:rsidRPr="00937C8B" w14:paraId="31E983B5" w14:textId="77777777" w:rsidTr="00935676">
        <w:trPr>
          <w:cantSplit/>
        </w:trPr>
        <w:tc>
          <w:tcPr>
            <w:tcW w:w="1696" w:type="dxa"/>
            <w:tcBorders>
              <w:left w:val="single" w:sz="4" w:space="0" w:color="auto"/>
            </w:tcBorders>
            <w:shd w:val="clear" w:color="auto" w:fill="auto"/>
          </w:tcPr>
          <w:p w14:paraId="00015AE5" w14:textId="77777777" w:rsidR="002A4DDF" w:rsidRPr="00937C8B" w:rsidRDefault="002A4DDF" w:rsidP="009110ED">
            <w:pPr>
              <w:rPr>
                <w:rFonts w:ascii="Arial" w:hAnsi="Arial" w:cs="Arial"/>
                <w:sz w:val="12"/>
                <w:szCs w:val="12"/>
              </w:rPr>
            </w:pPr>
          </w:p>
        </w:tc>
        <w:tc>
          <w:tcPr>
            <w:tcW w:w="1843" w:type="dxa"/>
            <w:shd w:val="clear" w:color="auto" w:fill="auto"/>
          </w:tcPr>
          <w:p w14:paraId="4F08B924" w14:textId="77777777" w:rsidR="002A4DDF" w:rsidRPr="00937C8B" w:rsidRDefault="002A4DDF" w:rsidP="009110ED">
            <w:pPr>
              <w:rPr>
                <w:rFonts w:ascii="Arial" w:hAnsi="Arial" w:cs="Arial"/>
                <w:sz w:val="12"/>
                <w:szCs w:val="12"/>
              </w:rPr>
            </w:pPr>
          </w:p>
        </w:tc>
        <w:tc>
          <w:tcPr>
            <w:tcW w:w="2268" w:type="dxa"/>
            <w:shd w:val="clear" w:color="auto" w:fill="F2F2F2"/>
            <w:hideMark/>
          </w:tcPr>
          <w:p w14:paraId="1CB36B8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A30EC64" w14:textId="77777777" w:rsidR="002A4DDF" w:rsidRPr="00937C8B" w:rsidRDefault="002A4DDF" w:rsidP="009110ED">
            <w:pPr>
              <w:rPr>
                <w:rFonts w:ascii="Arial" w:hAnsi="Arial" w:cs="Arial"/>
                <w:sz w:val="12"/>
                <w:szCs w:val="12"/>
              </w:rPr>
            </w:pPr>
            <w:r>
              <w:rPr>
                <w:rFonts w:ascii="Arial" w:hAnsi="Arial"/>
                <w:sz w:val="12"/>
                <w:szCs w:val="12"/>
              </w:rPr>
              <w:t>Cee</w:t>
            </w:r>
          </w:p>
        </w:tc>
      </w:tr>
      <w:tr w:rsidR="002A4DDF" w:rsidRPr="00937C8B" w14:paraId="491169DF" w14:textId="77777777" w:rsidTr="00935676">
        <w:trPr>
          <w:cantSplit/>
        </w:trPr>
        <w:tc>
          <w:tcPr>
            <w:tcW w:w="1696" w:type="dxa"/>
            <w:tcBorders>
              <w:left w:val="single" w:sz="4" w:space="0" w:color="auto"/>
            </w:tcBorders>
            <w:shd w:val="clear" w:color="auto" w:fill="auto"/>
          </w:tcPr>
          <w:p w14:paraId="666E8640" w14:textId="77777777" w:rsidR="002A4DDF" w:rsidRPr="00937C8B" w:rsidRDefault="002A4DDF" w:rsidP="009110ED">
            <w:pPr>
              <w:rPr>
                <w:rFonts w:ascii="Arial" w:hAnsi="Arial" w:cs="Arial"/>
                <w:sz w:val="12"/>
                <w:szCs w:val="12"/>
              </w:rPr>
            </w:pPr>
          </w:p>
        </w:tc>
        <w:tc>
          <w:tcPr>
            <w:tcW w:w="1843" w:type="dxa"/>
            <w:shd w:val="clear" w:color="auto" w:fill="auto"/>
          </w:tcPr>
          <w:p w14:paraId="39213ABD" w14:textId="77777777" w:rsidR="002A4DDF" w:rsidRPr="00937C8B" w:rsidRDefault="002A4DDF" w:rsidP="009110ED">
            <w:pPr>
              <w:rPr>
                <w:rFonts w:ascii="Arial" w:hAnsi="Arial" w:cs="Arial"/>
                <w:sz w:val="12"/>
                <w:szCs w:val="12"/>
              </w:rPr>
            </w:pPr>
          </w:p>
        </w:tc>
        <w:tc>
          <w:tcPr>
            <w:tcW w:w="2268" w:type="dxa"/>
            <w:shd w:val="clear" w:color="auto" w:fill="F2F2F2"/>
            <w:hideMark/>
          </w:tcPr>
          <w:p w14:paraId="4AD7374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D719296" w14:textId="77777777" w:rsidR="002A4DDF" w:rsidRPr="00937C8B" w:rsidRDefault="002A4DDF" w:rsidP="009110ED">
            <w:pPr>
              <w:rPr>
                <w:rFonts w:ascii="Arial" w:hAnsi="Arial" w:cs="Arial"/>
                <w:sz w:val="12"/>
                <w:szCs w:val="12"/>
              </w:rPr>
            </w:pPr>
            <w:r>
              <w:rPr>
                <w:rFonts w:ascii="Arial" w:hAnsi="Arial"/>
                <w:sz w:val="12"/>
                <w:szCs w:val="12"/>
              </w:rPr>
              <w:t>Cerceda</w:t>
            </w:r>
          </w:p>
        </w:tc>
      </w:tr>
      <w:tr w:rsidR="002A4DDF" w:rsidRPr="00937C8B" w14:paraId="0400F54B" w14:textId="77777777" w:rsidTr="00935676">
        <w:trPr>
          <w:cantSplit/>
        </w:trPr>
        <w:tc>
          <w:tcPr>
            <w:tcW w:w="1696" w:type="dxa"/>
            <w:tcBorders>
              <w:left w:val="single" w:sz="4" w:space="0" w:color="auto"/>
            </w:tcBorders>
            <w:shd w:val="clear" w:color="auto" w:fill="auto"/>
          </w:tcPr>
          <w:p w14:paraId="3C1760A3" w14:textId="77777777" w:rsidR="002A4DDF" w:rsidRPr="00937C8B" w:rsidRDefault="002A4DDF" w:rsidP="009110ED">
            <w:pPr>
              <w:rPr>
                <w:rFonts w:ascii="Arial" w:hAnsi="Arial" w:cs="Arial"/>
                <w:sz w:val="12"/>
                <w:szCs w:val="12"/>
              </w:rPr>
            </w:pPr>
          </w:p>
        </w:tc>
        <w:tc>
          <w:tcPr>
            <w:tcW w:w="1843" w:type="dxa"/>
            <w:shd w:val="clear" w:color="auto" w:fill="auto"/>
          </w:tcPr>
          <w:p w14:paraId="67E311C6" w14:textId="77777777" w:rsidR="002A4DDF" w:rsidRPr="00937C8B" w:rsidRDefault="002A4DDF" w:rsidP="009110ED">
            <w:pPr>
              <w:rPr>
                <w:rFonts w:ascii="Arial" w:hAnsi="Arial" w:cs="Arial"/>
                <w:sz w:val="12"/>
                <w:szCs w:val="12"/>
              </w:rPr>
            </w:pPr>
          </w:p>
        </w:tc>
        <w:tc>
          <w:tcPr>
            <w:tcW w:w="2268" w:type="dxa"/>
            <w:shd w:val="clear" w:color="auto" w:fill="F2F2F2"/>
            <w:hideMark/>
          </w:tcPr>
          <w:p w14:paraId="0D2DBA7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E5813EB" w14:textId="77777777" w:rsidR="002A4DDF" w:rsidRPr="00937C8B" w:rsidRDefault="002A4DDF" w:rsidP="009110ED">
            <w:pPr>
              <w:rPr>
                <w:rFonts w:ascii="Arial" w:hAnsi="Arial" w:cs="Arial"/>
                <w:sz w:val="12"/>
                <w:szCs w:val="12"/>
              </w:rPr>
            </w:pPr>
            <w:r>
              <w:rPr>
                <w:rFonts w:ascii="Arial" w:hAnsi="Arial"/>
                <w:sz w:val="12"/>
                <w:szCs w:val="12"/>
              </w:rPr>
              <w:t>Coirós</w:t>
            </w:r>
          </w:p>
        </w:tc>
      </w:tr>
      <w:tr w:rsidR="002A4DDF" w:rsidRPr="00937C8B" w14:paraId="2BA935A6" w14:textId="77777777" w:rsidTr="00935676">
        <w:trPr>
          <w:cantSplit/>
        </w:trPr>
        <w:tc>
          <w:tcPr>
            <w:tcW w:w="1696" w:type="dxa"/>
            <w:tcBorders>
              <w:left w:val="single" w:sz="4" w:space="0" w:color="auto"/>
            </w:tcBorders>
            <w:shd w:val="clear" w:color="auto" w:fill="auto"/>
          </w:tcPr>
          <w:p w14:paraId="33CEE655" w14:textId="77777777" w:rsidR="002A4DDF" w:rsidRPr="00937C8B" w:rsidRDefault="002A4DDF" w:rsidP="009110ED">
            <w:pPr>
              <w:rPr>
                <w:rFonts w:ascii="Arial" w:hAnsi="Arial" w:cs="Arial"/>
                <w:sz w:val="12"/>
                <w:szCs w:val="12"/>
              </w:rPr>
            </w:pPr>
          </w:p>
        </w:tc>
        <w:tc>
          <w:tcPr>
            <w:tcW w:w="1843" w:type="dxa"/>
            <w:shd w:val="clear" w:color="auto" w:fill="auto"/>
          </w:tcPr>
          <w:p w14:paraId="23672B8A" w14:textId="77777777" w:rsidR="002A4DDF" w:rsidRPr="00937C8B" w:rsidRDefault="002A4DDF" w:rsidP="009110ED">
            <w:pPr>
              <w:rPr>
                <w:rFonts w:ascii="Arial" w:hAnsi="Arial" w:cs="Arial"/>
                <w:sz w:val="12"/>
                <w:szCs w:val="12"/>
              </w:rPr>
            </w:pPr>
          </w:p>
        </w:tc>
        <w:tc>
          <w:tcPr>
            <w:tcW w:w="2268" w:type="dxa"/>
            <w:shd w:val="clear" w:color="auto" w:fill="F2F2F2"/>
            <w:hideMark/>
          </w:tcPr>
          <w:p w14:paraId="47FE0CB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83BDD64" w14:textId="77777777" w:rsidR="002A4DDF" w:rsidRPr="00937C8B" w:rsidRDefault="002A4DDF" w:rsidP="009110ED">
            <w:pPr>
              <w:rPr>
                <w:rFonts w:ascii="Arial" w:hAnsi="Arial" w:cs="Arial"/>
                <w:sz w:val="12"/>
                <w:szCs w:val="12"/>
              </w:rPr>
            </w:pPr>
            <w:r>
              <w:rPr>
                <w:rFonts w:ascii="Arial" w:hAnsi="Arial"/>
                <w:sz w:val="12"/>
                <w:szCs w:val="12"/>
              </w:rPr>
              <w:t>Corcubión</w:t>
            </w:r>
          </w:p>
        </w:tc>
      </w:tr>
      <w:tr w:rsidR="002A4DDF" w:rsidRPr="00937C8B" w14:paraId="7482A31D" w14:textId="77777777" w:rsidTr="00935676">
        <w:trPr>
          <w:cantSplit/>
        </w:trPr>
        <w:tc>
          <w:tcPr>
            <w:tcW w:w="1696" w:type="dxa"/>
            <w:tcBorders>
              <w:left w:val="single" w:sz="4" w:space="0" w:color="auto"/>
            </w:tcBorders>
            <w:shd w:val="clear" w:color="auto" w:fill="auto"/>
          </w:tcPr>
          <w:p w14:paraId="157BDF93" w14:textId="77777777" w:rsidR="002A4DDF" w:rsidRPr="00937C8B" w:rsidRDefault="002A4DDF" w:rsidP="009110ED">
            <w:pPr>
              <w:rPr>
                <w:rFonts w:ascii="Arial" w:hAnsi="Arial" w:cs="Arial"/>
                <w:sz w:val="12"/>
                <w:szCs w:val="12"/>
              </w:rPr>
            </w:pPr>
          </w:p>
        </w:tc>
        <w:tc>
          <w:tcPr>
            <w:tcW w:w="1843" w:type="dxa"/>
            <w:shd w:val="clear" w:color="auto" w:fill="auto"/>
          </w:tcPr>
          <w:p w14:paraId="4C3CBBB4" w14:textId="77777777" w:rsidR="002A4DDF" w:rsidRPr="00937C8B" w:rsidRDefault="002A4DDF" w:rsidP="009110ED">
            <w:pPr>
              <w:rPr>
                <w:rFonts w:ascii="Arial" w:hAnsi="Arial" w:cs="Arial"/>
                <w:sz w:val="12"/>
                <w:szCs w:val="12"/>
              </w:rPr>
            </w:pPr>
          </w:p>
        </w:tc>
        <w:tc>
          <w:tcPr>
            <w:tcW w:w="2268" w:type="dxa"/>
            <w:shd w:val="clear" w:color="auto" w:fill="F2F2F2"/>
            <w:hideMark/>
          </w:tcPr>
          <w:p w14:paraId="50F9D62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B99C0B5" w14:textId="77777777" w:rsidR="002A4DDF" w:rsidRPr="00937C8B" w:rsidRDefault="002A4DDF" w:rsidP="009110ED">
            <w:pPr>
              <w:rPr>
                <w:rFonts w:ascii="Arial" w:hAnsi="Arial" w:cs="Arial"/>
                <w:sz w:val="12"/>
                <w:szCs w:val="12"/>
              </w:rPr>
            </w:pPr>
            <w:r>
              <w:rPr>
                <w:rFonts w:ascii="Arial" w:hAnsi="Arial"/>
                <w:sz w:val="12"/>
                <w:szCs w:val="12"/>
              </w:rPr>
              <w:t>Coristanco</w:t>
            </w:r>
          </w:p>
        </w:tc>
      </w:tr>
      <w:tr w:rsidR="002A4DDF" w:rsidRPr="00937C8B" w14:paraId="26BF9F46" w14:textId="77777777" w:rsidTr="00935676">
        <w:trPr>
          <w:cantSplit/>
        </w:trPr>
        <w:tc>
          <w:tcPr>
            <w:tcW w:w="1696" w:type="dxa"/>
            <w:tcBorders>
              <w:left w:val="single" w:sz="4" w:space="0" w:color="auto"/>
            </w:tcBorders>
            <w:shd w:val="clear" w:color="auto" w:fill="auto"/>
          </w:tcPr>
          <w:p w14:paraId="52B874B0" w14:textId="77777777" w:rsidR="002A4DDF" w:rsidRPr="00937C8B" w:rsidRDefault="002A4DDF" w:rsidP="009110ED">
            <w:pPr>
              <w:rPr>
                <w:rFonts w:ascii="Arial" w:hAnsi="Arial" w:cs="Arial"/>
                <w:sz w:val="12"/>
                <w:szCs w:val="12"/>
              </w:rPr>
            </w:pPr>
          </w:p>
        </w:tc>
        <w:tc>
          <w:tcPr>
            <w:tcW w:w="1843" w:type="dxa"/>
            <w:shd w:val="clear" w:color="auto" w:fill="auto"/>
          </w:tcPr>
          <w:p w14:paraId="0961662C" w14:textId="77777777" w:rsidR="002A4DDF" w:rsidRPr="00937C8B" w:rsidRDefault="002A4DDF" w:rsidP="009110ED">
            <w:pPr>
              <w:rPr>
                <w:rFonts w:ascii="Arial" w:hAnsi="Arial" w:cs="Arial"/>
                <w:sz w:val="12"/>
                <w:szCs w:val="12"/>
              </w:rPr>
            </w:pPr>
          </w:p>
        </w:tc>
        <w:tc>
          <w:tcPr>
            <w:tcW w:w="2268" w:type="dxa"/>
            <w:shd w:val="clear" w:color="auto" w:fill="F2F2F2"/>
            <w:hideMark/>
          </w:tcPr>
          <w:p w14:paraId="78995E7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ECA6CE0" w14:textId="77777777" w:rsidR="002A4DDF" w:rsidRPr="00937C8B" w:rsidRDefault="002A4DDF" w:rsidP="009110ED">
            <w:pPr>
              <w:rPr>
                <w:rFonts w:ascii="Arial" w:hAnsi="Arial" w:cs="Arial"/>
                <w:sz w:val="12"/>
                <w:szCs w:val="12"/>
              </w:rPr>
            </w:pPr>
            <w:r>
              <w:rPr>
                <w:rFonts w:ascii="Arial" w:hAnsi="Arial"/>
                <w:sz w:val="12"/>
                <w:szCs w:val="12"/>
              </w:rPr>
              <w:t>Culleredo</w:t>
            </w:r>
          </w:p>
        </w:tc>
      </w:tr>
      <w:tr w:rsidR="002A4DDF" w:rsidRPr="00937C8B" w14:paraId="1FA63295" w14:textId="77777777" w:rsidTr="00935676">
        <w:trPr>
          <w:cantSplit/>
        </w:trPr>
        <w:tc>
          <w:tcPr>
            <w:tcW w:w="1696" w:type="dxa"/>
            <w:tcBorders>
              <w:left w:val="single" w:sz="4" w:space="0" w:color="auto"/>
            </w:tcBorders>
            <w:shd w:val="clear" w:color="auto" w:fill="auto"/>
          </w:tcPr>
          <w:p w14:paraId="204E085D" w14:textId="77777777" w:rsidR="002A4DDF" w:rsidRPr="00937C8B" w:rsidRDefault="002A4DDF" w:rsidP="009110ED">
            <w:pPr>
              <w:rPr>
                <w:rFonts w:ascii="Arial" w:hAnsi="Arial" w:cs="Arial"/>
                <w:sz w:val="12"/>
                <w:szCs w:val="12"/>
              </w:rPr>
            </w:pPr>
          </w:p>
        </w:tc>
        <w:tc>
          <w:tcPr>
            <w:tcW w:w="1843" w:type="dxa"/>
            <w:shd w:val="clear" w:color="auto" w:fill="auto"/>
          </w:tcPr>
          <w:p w14:paraId="6CA399A5" w14:textId="77777777" w:rsidR="002A4DDF" w:rsidRPr="00937C8B" w:rsidRDefault="002A4DDF" w:rsidP="009110ED">
            <w:pPr>
              <w:rPr>
                <w:rFonts w:ascii="Arial" w:hAnsi="Arial" w:cs="Arial"/>
                <w:sz w:val="12"/>
                <w:szCs w:val="12"/>
              </w:rPr>
            </w:pPr>
          </w:p>
        </w:tc>
        <w:tc>
          <w:tcPr>
            <w:tcW w:w="2268" w:type="dxa"/>
            <w:shd w:val="clear" w:color="auto" w:fill="F2F2F2"/>
            <w:hideMark/>
          </w:tcPr>
          <w:p w14:paraId="5B4A422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AD9C6A3" w14:textId="77777777" w:rsidR="002A4DDF" w:rsidRPr="00937C8B" w:rsidRDefault="002A4DDF" w:rsidP="009110ED">
            <w:pPr>
              <w:rPr>
                <w:rFonts w:ascii="Arial" w:hAnsi="Arial" w:cs="Arial"/>
                <w:sz w:val="12"/>
                <w:szCs w:val="12"/>
              </w:rPr>
            </w:pPr>
            <w:r>
              <w:rPr>
                <w:rFonts w:ascii="Arial" w:hAnsi="Arial"/>
                <w:sz w:val="12"/>
                <w:szCs w:val="12"/>
              </w:rPr>
              <w:t>Curtis</w:t>
            </w:r>
          </w:p>
        </w:tc>
      </w:tr>
      <w:tr w:rsidR="002A4DDF" w:rsidRPr="00937C8B" w14:paraId="0186BB0F" w14:textId="77777777" w:rsidTr="00935676">
        <w:trPr>
          <w:cantSplit/>
        </w:trPr>
        <w:tc>
          <w:tcPr>
            <w:tcW w:w="1696" w:type="dxa"/>
            <w:tcBorders>
              <w:left w:val="single" w:sz="4" w:space="0" w:color="auto"/>
            </w:tcBorders>
            <w:shd w:val="clear" w:color="auto" w:fill="auto"/>
          </w:tcPr>
          <w:p w14:paraId="45EF5007" w14:textId="77777777" w:rsidR="002A4DDF" w:rsidRPr="00937C8B" w:rsidRDefault="002A4DDF" w:rsidP="009110ED">
            <w:pPr>
              <w:rPr>
                <w:rFonts w:ascii="Arial" w:hAnsi="Arial" w:cs="Arial"/>
                <w:sz w:val="12"/>
                <w:szCs w:val="12"/>
              </w:rPr>
            </w:pPr>
          </w:p>
        </w:tc>
        <w:tc>
          <w:tcPr>
            <w:tcW w:w="1843" w:type="dxa"/>
            <w:shd w:val="clear" w:color="auto" w:fill="auto"/>
          </w:tcPr>
          <w:p w14:paraId="08DDE47A" w14:textId="77777777" w:rsidR="002A4DDF" w:rsidRPr="00937C8B" w:rsidRDefault="002A4DDF" w:rsidP="009110ED">
            <w:pPr>
              <w:rPr>
                <w:rFonts w:ascii="Arial" w:hAnsi="Arial" w:cs="Arial"/>
                <w:sz w:val="12"/>
                <w:szCs w:val="12"/>
              </w:rPr>
            </w:pPr>
          </w:p>
        </w:tc>
        <w:tc>
          <w:tcPr>
            <w:tcW w:w="2268" w:type="dxa"/>
            <w:shd w:val="clear" w:color="auto" w:fill="F2F2F2"/>
            <w:hideMark/>
          </w:tcPr>
          <w:p w14:paraId="4392DE2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4627DF3" w14:textId="77777777" w:rsidR="002A4DDF" w:rsidRPr="00937C8B" w:rsidRDefault="002A4DDF" w:rsidP="009110ED">
            <w:pPr>
              <w:rPr>
                <w:rFonts w:ascii="Arial" w:hAnsi="Arial" w:cs="Arial"/>
                <w:sz w:val="12"/>
                <w:szCs w:val="12"/>
              </w:rPr>
            </w:pPr>
            <w:r>
              <w:rPr>
                <w:rFonts w:ascii="Arial" w:hAnsi="Arial"/>
                <w:sz w:val="12"/>
                <w:szCs w:val="12"/>
              </w:rPr>
              <w:t>Dodro</w:t>
            </w:r>
          </w:p>
        </w:tc>
      </w:tr>
      <w:tr w:rsidR="002A4DDF" w:rsidRPr="00937C8B" w14:paraId="36B7A3E6" w14:textId="77777777" w:rsidTr="00935676">
        <w:trPr>
          <w:cantSplit/>
        </w:trPr>
        <w:tc>
          <w:tcPr>
            <w:tcW w:w="1696" w:type="dxa"/>
            <w:tcBorders>
              <w:left w:val="single" w:sz="4" w:space="0" w:color="auto"/>
            </w:tcBorders>
            <w:shd w:val="clear" w:color="auto" w:fill="auto"/>
          </w:tcPr>
          <w:p w14:paraId="28C2D198" w14:textId="77777777" w:rsidR="002A4DDF" w:rsidRPr="00937C8B" w:rsidRDefault="002A4DDF" w:rsidP="009110ED">
            <w:pPr>
              <w:rPr>
                <w:rFonts w:ascii="Arial" w:hAnsi="Arial" w:cs="Arial"/>
                <w:sz w:val="12"/>
                <w:szCs w:val="12"/>
              </w:rPr>
            </w:pPr>
          </w:p>
        </w:tc>
        <w:tc>
          <w:tcPr>
            <w:tcW w:w="1843" w:type="dxa"/>
            <w:shd w:val="clear" w:color="auto" w:fill="auto"/>
          </w:tcPr>
          <w:p w14:paraId="54EF6EF6" w14:textId="77777777" w:rsidR="002A4DDF" w:rsidRPr="00937C8B" w:rsidRDefault="002A4DDF" w:rsidP="009110ED">
            <w:pPr>
              <w:rPr>
                <w:rFonts w:ascii="Arial" w:hAnsi="Arial" w:cs="Arial"/>
                <w:sz w:val="12"/>
                <w:szCs w:val="12"/>
              </w:rPr>
            </w:pPr>
          </w:p>
        </w:tc>
        <w:tc>
          <w:tcPr>
            <w:tcW w:w="2268" w:type="dxa"/>
            <w:shd w:val="clear" w:color="auto" w:fill="F2F2F2"/>
            <w:hideMark/>
          </w:tcPr>
          <w:p w14:paraId="0080C84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790BD36" w14:textId="77777777" w:rsidR="002A4DDF" w:rsidRPr="00937C8B" w:rsidRDefault="002A4DDF" w:rsidP="009110ED">
            <w:pPr>
              <w:rPr>
                <w:rFonts w:ascii="Arial" w:hAnsi="Arial" w:cs="Arial"/>
                <w:sz w:val="12"/>
                <w:szCs w:val="12"/>
              </w:rPr>
            </w:pPr>
            <w:r>
              <w:rPr>
                <w:rFonts w:ascii="Arial" w:hAnsi="Arial"/>
                <w:sz w:val="12"/>
                <w:szCs w:val="12"/>
              </w:rPr>
              <w:t>Dumbría</w:t>
            </w:r>
          </w:p>
        </w:tc>
      </w:tr>
      <w:tr w:rsidR="002A4DDF" w:rsidRPr="00937C8B" w14:paraId="23BF84FE" w14:textId="77777777" w:rsidTr="00935676">
        <w:trPr>
          <w:cantSplit/>
        </w:trPr>
        <w:tc>
          <w:tcPr>
            <w:tcW w:w="1696" w:type="dxa"/>
            <w:tcBorders>
              <w:left w:val="single" w:sz="4" w:space="0" w:color="auto"/>
            </w:tcBorders>
            <w:shd w:val="clear" w:color="auto" w:fill="auto"/>
          </w:tcPr>
          <w:p w14:paraId="3E178758" w14:textId="77777777" w:rsidR="002A4DDF" w:rsidRPr="00937C8B" w:rsidRDefault="002A4DDF" w:rsidP="009110ED">
            <w:pPr>
              <w:rPr>
                <w:rFonts w:ascii="Arial" w:hAnsi="Arial" w:cs="Arial"/>
                <w:sz w:val="12"/>
                <w:szCs w:val="12"/>
              </w:rPr>
            </w:pPr>
          </w:p>
        </w:tc>
        <w:tc>
          <w:tcPr>
            <w:tcW w:w="1843" w:type="dxa"/>
            <w:shd w:val="clear" w:color="auto" w:fill="auto"/>
          </w:tcPr>
          <w:p w14:paraId="27B01E2D" w14:textId="77777777" w:rsidR="002A4DDF" w:rsidRPr="00937C8B" w:rsidRDefault="002A4DDF" w:rsidP="009110ED">
            <w:pPr>
              <w:rPr>
                <w:rFonts w:ascii="Arial" w:hAnsi="Arial" w:cs="Arial"/>
                <w:sz w:val="12"/>
                <w:szCs w:val="12"/>
              </w:rPr>
            </w:pPr>
          </w:p>
        </w:tc>
        <w:tc>
          <w:tcPr>
            <w:tcW w:w="2268" w:type="dxa"/>
            <w:shd w:val="clear" w:color="auto" w:fill="F2F2F2"/>
            <w:hideMark/>
          </w:tcPr>
          <w:p w14:paraId="2A826AB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8446ABB" w14:textId="77777777" w:rsidR="002A4DDF" w:rsidRPr="00937C8B" w:rsidRDefault="002A4DDF" w:rsidP="009110ED">
            <w:pPr>
              <w:rPr>
                <w:rFonts w:ascii="Arial" w:hAnsi="Arial" w:cs="Arial"/>
                <w:sz w:val="12"/>
                <w:szCs w:val="12"/>
              </w:rPr>
            </w:pPr>
            <w:r>
              <w:rPr>
                <w:rFonts w:ascii="Arial" w:hAnsi="Arial"/>
                <w:sz w:val="12"/>
                <w:szCs w:val="12"/>
              </w:rPr>
              <w:t>Fene</w:t>
            </w:r>
          </w:p>
        </w:tc>
      </w:tr>
      <w:tr w:rsidR="002A4DDF" w:rsidRPr="00937C8B" w14:paraId="27AF7728" w14:textId="77777777" w:rsidTr="00935676">
        <w:trPr>
          <w:cantSplit/>
        </w:trPr>
        <w:tc>
          <w:tcPr>
            <w:tcW w:w="1696" w:type="dxa"/>
            <w:tcBorders>
              <w:left w:val="single" w:sz="4" w:space="0" w:color="auto"/>
            </w:tcBorders>
            <w:shd w:val="clear" w:color="auto" w:fill="auto"/>
          </w:tcPr>
          <w:p w14:paraId="055DBDD3" w14:textId="77777777" w:rsidR="002A4DDF" w:rsidRPr="00937C8B" w:rsidRDefault="002A4DDF" w:rsidP="009110ED">
            <w:pPr>
              <w:rPr>
                <w:rFonts w:ascii="Arial" w:hAnsi="Arial" w:cs="Arial"/>
                <w:sz w:val="12"/>
                <w:szCs w:val="12"/>
              </w:rPr>
            </w:pPr>
          </w:p>
        </w:tc>
        <w:tc>
          <w:tcPr>
            <w:tcW w:w="1843" w:type="dxa"/>
            <w:shd w:val="clear" w:color="auto" w:fill="auto"/>
          </w:tcPr>
          <w:p w14:paraId="7847E7F1" w14:textId="77777777" w:rsidR="002A4DDF" w:rsidRPr="00937C8B" w:rsidRDefault="002A4DDF" w:rsidP="009110ED">
            <w:pPr>
              <w:rPr>
                <w:rFonts w:ascii="Arial" w:hAnsi="Arial" w:cs="Arial"/>
                <w:sz w:val="12"/>
                <w:szCs w:val="12"/>
              </w:rPr>
            </w:pPr>
          </w:p>
        </w:tc>
        <w:tc>
          <w:tcPr>
            <w:tcW w:w="2268" w:type="dxa"/>
            <w:shd w:val="clear" w:color="auto" w:fill="F2F2F2"/>
            <w:hideMark/>
          </w:tcPr>
          <w:p w14:paraId="799A13C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6F532ED" w14:textId="77777777" w:rsidR="002A4DDF" w:rsidRPr="00937C8B" w:rsidRDefault="002A4DDF" w:rsidP="009110ED">
            <w:pPr>
              <w:rPr>
                <w:rFonts w:ascii="Arial" w:hAnsi="Arial" w:cs="Arial"/>
                <w:sz w:val="12"/>
                <w:szCs w:val="12"/>
              </w:rPr>
            </w:pPr>
            <w:r>
              <w:rPr>
                <w:rFonts w:ascii="Arial" w:hAnsi="Arial"/>
                <w:sz w:val="12"/>
                <w:szCs w:val="12"/>
              </w:rPr>
              <w:t>Ferrol</w:t>
            </w:r>
          </w:p>
        </w:tc>
      </w:tr>
      <w:tr w:rsidR="002A4DDF" w:rsidRPr="00937C8B" w14:paraId="7E568325" w14:textId="77777777" w:rsidTr="00935676">
        <w:trPr>
          <w:cantSplit/>
        </w:trPr>
        <w:tc>
          <w:tcPr>
            <w:tcW w:w="1696" w:type="dxa"/>
            <w:tcBorders>
              <w:left w:val="single" w:sz="4" w:space="0" w:color="auto"/>
            </w:tcBorders>
            <w:shd w:val="clear" w:color="auto" w:fill="auto"/>
          </w:tcPr>
          <w:p w14:paraId="117AF0D5" w14:textId="77777777" w:rsidR="002A4DDF" w:rsidRPr="00937C8B" w:rsidRDefault="002A4DDF" w:rsidP="009110ED">
            <w:pPr>
              <w:rPr>
                <w:rFonts w:ascii="Arial" w:hAnsi="Arial" w:cs="Arial"/>
                <w:sz w:val="12"/>
                <w:szCs w:val="12"/>
              </w:rPr>
            </w:pPr>
          </w:p>
        </w:tc>
        <w:tc>
          <w:tcPr>
            <w:tcW w:w="1843" w:type="dxa"/>
            <w:shd w:val="clear" w:color="auto" w:fill="auto"/>
          </w:tcPr>
          <w:p w14:paraId="3475D0CE" w14:textId="77777777" w:rsidR="002A4DDF" w:rsidRPr="00937C8B" w:rsidRDefault="002A4DDF" w:rsidP="009110ED">
            <w:pPr>
              <w:rPr>
                <w:rFonts w:ascii="Arial" w:hAnsi="Arial" w:cs="Arial"/>
                <w:sz w:val="12"/>
                <w:szCs w:val="12"/>
              </w:rPr>
            </w:pPr>
          </w:p>
        </w:tc>
        <w:tc>
          <w:tcPr>
            <w:tcW w:w="2268" w:type="dxa"/>
            <w:shd w:val="clear" w:color="auto" w:fill="F2F2F2"/>
            <w:hideMark/>
          </w:tcPr>
          <w:p w14:paraId="26D835D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F9766FB" w14:textId="77777777" w:rsidR="002A4DDF" w:rsidRPr="00937C8B" w:rsidRDefault="002A4DDF" w:rsidP="009110ED">
            <w:pPr>
              <w:rPr>
                <w:rFonts w:ascii="Arial" w:hAnsi="Arial" w:cs="Arial"/>
                <w:sz w:val="12"/>
                <w:szCs w:val="12"/>
              </w:rPr>
            </w:pPr>
            <w:r>
              <w:rPr>
                <w:rFonts w:ascii="Arial" w:hAnsi="Arial"/>
                <w:sz w:val="12"/>
                <w:szCs w:val="12"/>
              </w:rPr>
              <w:t>Fisterra</w:t>
            </w:r>
          </w:p>
        </w:tc>
      </w:tr>
      <w:tr w:rsidR="002A4DDF" w:rsidRPr="00937C8B" w14:paraId="3E8956B7" w14:textId="77777777" w:rsidTr="00935676">
        <w:trPr>
          <w:cantSplit/>
        </w:trPr>
        <w:tc>
          <w:tcPr>
            <w:tcW w:w="1696" w:type="dxa"/>
            <w:tcBorders>
              <w:left w:val="single" w:sz="4" w:space="0" w:color="auto"/>
            </w:tcBorders>
            <w:shd w:val="clear" w:color="auto" w:fill="auto"/>
          </w:tcPr>
          <w:p w14:paraId="57F22C15" w14:textId="77777777" w:rsidR="002A4DDF" w:rsidRPr="00937C8B" w:rsidRDefault="002A4DDF" w:rsidP="009110ED">
            <w:pPr>
              <w:rPr>
                <w:rFonts w:ascii="Arial" w:hAnsi="Arial" w:cs="Arial"/>
                <w:sz w:val="12"/>
                <w:szCs w:val="12"/>
              </w:rPr>
            </w:pPr>
          </w:p>
        </w:tc>
        <w:tc>
          <w:tcPr>
            <w:tcW w:w="1843" w:type="dxa"/>
            <w:shd w:val="clear" w:color="auto" w:fill="auto"/>
          </w:tcPr>
          <w:p w14:paraId="00921566" w14:textId="77777777" w:rsidR="002A4DDF" w:rsidRPr="00937C8B" w:rsidRDefault="002A4DDF" w:rsidP="009110ED">
            <w:pPr>
              <w:rPr>
                <w:rFonts w:ascii="Arial" w:hAnsi="Arial" w:cs="Arial"/>
                <w:sz w:val="12"/>
                <w:szCs w:val="12"/>
              </w:rPr>
            </w:pPr>
          </w:p>
        </w:tc>
        <w:tc>
          <w:tcPr>
            <w:tcW w:w="2268" w:type="dxa"/>
            <w:shd w:val="clear" w:color="auto" w:fill="F2F2F2"/>
            <w:hideMark/>
          </w:tcPr>
          <w:p w14:paraId="7F4B8F8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0CDB444" w14:textId="77777777" w:rsidR="002A4DDF" w:rsidRPr="00937C8B" w:rsidRDefault="002A4DDF" w:rsidP="009110ED">
            <w:pPr>
              <w:rPr>
                <w:rFonts w:ascii="Arial" w:hAnsi="Arial" w:cs="Arial"/>
                <w:sz w:val="12"/>
                <w:szCs w:val="12"/>
              </w:rPr>
            </w:pPr>
            <w:r>
              <w:rPr>
                <w:rFonts w:ascii="Arial" w:hAnsi="Arial"/>
                <w:sz w:val="12"/>
                <w:szCs w:val="12"/>
              </w:rPr>
              <w:t>Frades</w:t>
            </w:r>
          </w:p>
        </w:tc>
      </w:tr>
      <w:tr w:rsidR="002A4DDF" w:rsidRPr="00937C8B" w14:paraId="2E384384" w14:textId="77777777" w:rsidTr="00935676">
        <w:trPr>
          <w:cantSplit/>
        </w:trPr>
        <w:tc>
          <w:tcPr>
            <w:tcW w:w="1696" w:type="dxa"/>
            <w:tcBorders>
              <w:left w:val="single" w:sz="4" w:space="0" w:color="auto"/>
            </w:tcBorders>
            <w:shd w:val="clear" w:color="auto" w:fill="auto"/>
          </w:tcPr>
          <w:p w14:paraId="35D0854B" w14:textId="77777777" w:rsidR="002A4DDF" w:rsidRPr="00937C8B" w:rsidRDefault="002A4DDF" w:rsidP="009110ED">
            <w:pPr>
              <w:rPr>
                <w:rFonts w:ascii="Arial" w:hAnsi="Arial" w:cs="Arial"/>
                <w:sz w:val="12"/>
                <w:szCs w:val="12"/>
              </w:rPr>
            </w:pPr>
          </w:p>
        </w:tc>
        <w:tc>
          <w:tcPr>
            <w:tcW w:w="1843" w:type="dxa"/>
            <w:shd w:val="clear" w:color="auto" w:fill="auto"/>
          </w:tcPr>
          <w:p w14:paraId="1B966DC8" w14:textId="77777777" w:rsidR="002A4DDF" w:rsidRPr="00937C8B" w:rsidRDefault="002A4DDF" w:rsidP="009110ED">
            <w:pPr>
              <w:rPr>
                <w:rFonts w:ascii="Arial" w:hAnsi="Arial" w:cs="Arial"/>
                <w:sz w:val="12"/>
                <w:szCs w:val="12"/>
              </w:rPr>
            </w:pPr>
          </w:p>
        </w:tc>
        <w:tc>
          <w:tcPr>
            <w:tcW w:w="2268" w:type="dxa"/>
            <w:shd w:val="clear" w:color="auto" w:fill="F2F2F2"/>
            <w:hideMark/>
          </w:tcPr>
          <w:p w14:paraId="74FE5BD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D15F3D6" w14:textId="77777777" w:rsidR="002A4DDF" w:rsidRPr="00937C8B" w:rsidRDefault="002A4DDF" w:rsidP="009110ED">
            <w:pPr>
              <w:rPr>
                <w:rFonts w:ascii="Arial" w:hAnsi="Arial" w:cs="Arial"/>
                <w:sz w:val="12"/>
                <w:szCs w:val="12"/>
              </w:rPr>
            </w:pPr>
            <w:r>
              <w:rPr>
                <w:rFonts w:ascii="Arial" w:hAnsi="Arial"/>
                <w:sz w:val="12"/>
                <w:szCs w:val="12"/>
              </w:rPr>
              <w:t>Irixoa</w:t>
            </w:r>
          </w:p>
        </w:tc>
      </w:tr>
      <w:tr w:rsidR="002A4DDF" w:rsidRPr="00937C8B" w14:paraId="0D1545CE" w14:textId="77777777" w:rsidTr="00935676">
        <w:trPr>
          <w:cantSplit/>
        </w:trPr>
        <w:tc>
          <w:tcPr>
            <w:tcW w:w="1696" w:type="dxa"/>
            <w:tcBorders>
              <w:left w:val="single" w:sz="4" w:space="0" w:color="auto"/>
            </w:tcBorders>
            <w:shd w:val="clear" w:color="auto" w:fill="auto"/>
          </w:tcPr>
          <w:p w14:paraId="3F82F293" w14:textId="77777777" w:rsidR="002A4DDF" w:rsidRPr="00937C8B" w:rsidRDefault="002A4DDF" w:rsidP="009110ED">
            <w:pPr>
              <w:rPr>
                <w:rFonts w:ascii="Arial" w:hAnsi="Arial" w:cs="Arial"/>
                <w:sz w:val="12"/>
                <w:szCs w:val="12"/>
              </w:rPr>
            </w:pPr>
          </w:p>
        </w:tc>
        <w:tc>
          <w:tcPr>
            <w:tcW w:w="1843" w:type="dxa"/>
            <w:shd w:val="clear" w:color="auto" w:fill="auto"/>
          </w:tcPr>
          <w:p w14:paraId="1DA0C028" w14:textId="77777777" w:rsidR="002A4DDF" w:rsidRPr="00937C8B" w:rsidRDefault="002A4DDF" w:rsidP="009110ED">
            <w:pPr>
              <w:rPr>
                <w:rFonts w:ascii="Arial" w:hAnsi="Arial" w:cs="Arial"/>
                <w:sz w:val="12"/>
                <w:szCs w:val="12"/>
              </w:rPr>
            </w:pPr>
          </w:p>
        </w:tc>
        <w:tc>
          <w:tcPr>
            <w:tcW w:w="2268" w:type="dxa"/>
            <w:shd w:val="clear" w:color="auto" w:fill="F2F2F2"/>
            <w:hideMark/>
          </w:tcPr>
          <w:p w14:paraId="3AF86E5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7ADAEBC" w14:textId="77777777" w:rsidR="002A4DDF" w:rsidRPr="00937C8B" w:rsidRDefault="002A4DDF" w:rsidP="009110ED">
            <w:pPr>
              <w:rPr>
                <w:rFonts w:ascii="Arial" w:hAnsi="Arial" w:cs="Arial"/>
                <w:sz w:val="12"/>
                <w:szCs w:val="12"/>
              </w:rPr>
            </w:pPr>
            <w:r>
              <w:rPr>
                <w:rFonts w:ascii="Arial" w:hAnsi="Arial"/>
                <w:sz w:val="12"/>
                <w:szCs w:val="12"/>
              </w:rPr>
              <w:t>Laxe</w:t>
            </w:r>
          </w:p>
        </w:tc>
      </w:tr>
      <w:tr w:rsidR="002A4DDF" w:rsidRPr="00937C8B" w14:paraId="50800C56" w14:textId="77777777" w:rsidTr="00935676">
        <w:trPr>
          <w:cantSplit/>
        </w:trPr>
        <w:tc>
          <w:tcPr>
            <w:tcW w:w="1696" w:type="dxa"/>
            <w:tcBorders>
              <w:left w:val="single" w:sz="4" w:space="0" w:color="auto"/>
            </w:tcBorders>
            <w:shd w:val="clear" w:color="auto" w:fill="auto"/>
          </w:tcPr>
          <w:p w14:paraId="0423ABB5" w14:textId="77777777" w:rsidR="002A4DDF" w:rsidRPr="00937C8B" w:rsidRDefault="002A4DDF" w:rsidP="009110ED">
            <w:pPr>
              <w:rPr>
                <w:rFonts w:ascii="Arial" w:hAnsi="Arial" w:cs="Arial"/>
                <w:sz w:val="12"/>
                <w:szCs w:val="12"/>
              </w:rPr>
            </w:pPr>
          </w:p>
        </w:tc>
        <w:tc>
          <w:tcPr>
            <w:tcW w:w="1843" w:type="dxa"/>
            <w:shd w:val="clear" w:color="auto" w:fill="auto"/>
          </w:tcPr>
          <w:p w14:paraId="677EF73F" w14:textId="77777777" w:rsidR="002A4DDF" w:rsidRPr="00937C8B" w:rsidRDefault="002A4DDF" w:rsidP="009110ED">
            <w:pPr>
              <w:rPr>
                <w:rFonts w:ascii="Arial" w:hAnsi="Arial" w:cs="Arial"/>
                <w:sz w:val="12"/>
                <w:szCs w:val="12"/>
              </w:rPr>
            </w:pPr>
          </w:p>
        </w:tc>
        <w:tc>
          <w:tcPr>
            <w:tcW w:w="2268" w:type="dxa"/>
            <w:shd w:val="clear" w:color="auto" w:fill="F2F2F2"/>
            <w:hideMark/>
          </w:tcPr>
          <w:p w14:paraId="0CE02A7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EC902E0" w14:textId="77777777" w:rsidR="002A4DDF" w:rsidRPr="00937C8B" w:rsidRDefault="002A4DDF" w:rsidP="009110ED">
            <w:pPr>
              <w:rPr>
                <w:rFonts w:ascii="Arial" w:hAnsi="Arial" w:cs="Arial"/>
                <w:sz w:val="12"/>
                <w:szCs w:val="12"/>
              </w:rPr>
            </w:pPr>
            <w:r>
              <w:rPr>
                <w:rFonts w:ascii="Arial" w:hAnsi="Arial"/>
                <w:sz w:val="12"/>
                <w:szCs w:val="12"/>
              </w:rPr>
              <w:t>Lousame</w:t>
            </w:r>
          </w:p>
        </w:tc>
      </w:tr>
      <w:tr w:rsidR="002A4DDF" w:rsidRPr="00937C8B" w14:paraId="5D16080F" w14:textId="77777777" w:rsidTr="00935676">
        <w:trPr>
          <w:cantSplit/>
        </w:trPr>
        <w:tc>
          <w:tcPr>
            <w:tcW w:w="1696" w:type="dxa"/>
            <w:tcBorders>
              <w:left w:val="single" w:sz="4" w:space="0" w:color="auto"/>
            </w:tcBorders>
            <w:shd w:val="clear" w:color="auto" w:fill="auto"/>
          </w:tcPr>
          <w:p w14:paraId="5B662B96" w14:textId="77777777" w:rsidR="002A4DDF" w:rsidRPr="00937C8B" w:rsidRDefault="002A4DDF" w:rsidP="009110ED">
            <w:pPr>
              <w:rPr>
                <w:rFonts w:ascii="Arial" w:hAnsi="Arial" w:cs="Arial"/>
                <w:sz w:val="12"/>
                <w:szCs w:val="12"/>
              </w:rPr>
            </w:pPr>
          </w:p>
        </w:tc>
        <w:tc>
          <w:tcPr>
            <w:tcW w:w="1843" w:type="dxa"/>
            <w:shd w:val="clear" w:color="auto" w:fill="auto"/>
          </w:tcPr>
          <w:p w14:paraId="79A30C5B" w14:textId="77777777" w:rsidR="002A4DDF" w:rsidRPr="00937C8B" w:rsidRDefault="002A4DDF" w:rsidP="009110ED">
            <w:pPr>
              <w:rPr>
                <w:rFonts w:ascii="Arial" w:hAnsi="Arial" w:cs="Arial"/>
                <w:sz w:val="12"/>
                <w:szCs w:val="12"/>
              </w:rPr>
            </w:pPr>
          </w:p>
        </w:tc>
        <w:tc>
          <w:tcPr>
            <w:tcW w:w="2268" w:type="dxa"/>
            <w:shd w:val="clear" w:color="auto" w:fill="F2F2F2"/>
            <w:hideMark/>
          </w:tcPr>
          <w:p w14:paraId="7F1DEA5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9B48318" w14:textId="77777777" w:rsidR="002A4DDF" w:rsidRPr="00937C8B" w:rsidRDefault="002A4DDF" w:rsidP="009110ED">
            <w:pPr>
              <w:rPr>
                <w:rFonts w:ascii="Arial" w:hAnsi="Arial" w:cs="Arial"/>
                <w:sz w:val="12"/>
                <w:szCs w:val="12"/>
              </w:rPr>
            </w:pPr>
            <w:r>
              <w:rPr>
                <w:rFonts w:ascii="Arial" w:hAnsi="Arial"/>
                <w:sz w:val="12"/>
                <w:szCs w:val="12"/>
              </w:rPr>
              <w:t>Malpica de Bergantiños</w:t>
            </w:r>
          </w:p>
        </w:tc>
      </w:tr>
      <w:tr w:rsidR="002A4DDF" w:rsidRPr="00937C8B" w14:paraId="5FFCA6A6" w14:textId="77777777" w:rsidTr="00935676">
        <w:trPr>
          <w:cantSplit/>
        </w:trPr>
        <w:tc>
          <w:tcPr>
            <w:tcW w:w="1696" w:type="dxa"/>
            <w:tcBorders>
              <w:left w:val="single" w:sz="4" w:space="0" w:color="auto"/>
            </w:tcBorders>
            <w:shd w:val="clear" w:color="auto" w:fill="auto"/>
          </w:tcPr>
          <w:p w14:paraId="31400735" w14:textId="77777777" w:rsidR="002A4DDF" w:rsidRPr="00937C8B" w:rsidRDefault="002A4DDF" w:rsidP="009110ED">
            <w:pPr>
              <w:rPr>
                <w:rFonts w:ascii="Arial" w:hAnsi="Arial" w:cs="Arial"/>
                <w:sz w:val="12"/>
                <w:szCs w:val="12"/>
              </w:rPr>
            </w:pPr>
          </w:p>
        </w:tc>
        <w:tc>
          <w:tcPr>
            <w:tcW w:w="1843" w:type="dxa"/>
            <w:shd w:val="clear" w:color="auto" w:fill="auto"/>
          </w:tcPr>
          <w:p w14:paraId="00615B58" w14:textId="77777777" w:rsidR="002A4DDF" w:rsidRPr="00937C8B" w:rsidRDefault="002A4DDF" w:rsidP="009110ED">
            <w:pPr>
              <w:rPr>
                <w:rFonts w:ascii="Arial" w:hAnsi="Arial" w:cs="Arial"/>
                <w:sz w:val="12"/>
                <w:szCs w:val="12"/>
              </w:rPr>
            </w:pPr>
          </w:p>
        </w:tc>
        <w:tc>
          <w:tcPr>
            <w:tcW w:w="2268" w:type="dxa"/>
            <w:shd w:val="clear" w:color="auto" w:fill="F2F2F2"/>
            <w:hideMark/>
          </w:tcPr>
          <w:p w14:paraId="31F9DF5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9F9D210" w14:textId="77777777" w:rsidR="002A4DDF" w:rsidRPr="00937C8B" w:rsidRDefault="002A4DDF" w:rsidP="009110ED">
            <w:pPr>
              <w:rPr>
                <w:rFonts w:ascii="Arial" w:hAnsi="Arial" w:cs="Arial"/>
                <w:sz w:val="12"/>
                <w:szCs w:val="12"/>
              </w:rPr>
            </w:pPr>
            <w:r>
              <w:rPr>
                <w:rFonts w:ascii="Arial" w:hAnsi="Arial"/>
                <w:sz w:val="12"/>
                <w:szCs w:val="12"/>
              </w:rPr>
              <w:t>Mañón</w:t>
            </w:r>
          </w:p>
        </w:tc>
      </w:tr>
      <w:tr w:rsidR="002A4DDF" w:rsidRPr="00937C8B" w14:paraId="18572D68" w14:textId="77777777" w:rsidTr="00935676">
        <w:trPr>
          <w:cantSplit/>
        </w:trPr>
        <w:tc>
          <w:tcPr>
            <w:tcW w:w="1696" w:type="dxa"/>
            <w:tcBorders>
              <w:left w:val="single" w:sz="4" w:space="0" w:color="auto"/>
            </w:tcBorders>
            <w:shd w:val="clear" w:color="auto" w:fill="auto"/>
          </w:tcPr>
          <w:p w14:paraId="7A920B4A" w14:textId="77777777" w:rsidR="002A4DDF" w:rsidRPr="00937C8B" w:rsidRDefault="002A4DDF" w:rsidP="009110ED">
            <w:pPr>
              <w:rPr>
                <w:rFonts w:ascii="Arial" w:hAnsi="Arial" w:cs="Arial"/>
                <w:sz w:val="12"/>
                <w:szCs w:val="12"/>
              </w:rPr>
            </w:pPr>
          </w:p>
        </w:tc>
        <w:tc>
          <w:tcPr>
            <w:tcW w:w="1843" w:type="dxa"/>
            <w:shd w:val="clear" w:color="auto" w:fill="auto"/>
          </w:tcPr>
          <w:p w14:paraId="4FC7FFAE" w14:textId="77777777" w:rsidR="002A4DDF" w:rsidRPr="00937C8B" w:rsidRDefault="002A4DDF" w:rsidP="009110ED">
            <w:pPr>
              <w:rPr>
                <w:rFonts w:ascii="Arial" w:hAnsi="Arial" w:cs="Arial"/>
                <w:sz w:val="12"/>
                <w:szCs w:val="12"/>
              </w:rPr>
            </w:pPr>
          </w:p>
        </w:tc>
        <w:tc>
          <w:tcPr>
            <w:tcW w:w="2268" w:type="dxa"/>
            <w:shd w:val="clear" w:color="auto" w:fill="F2F2F2"/>
            <w:hideMark/>
          </w:tcPr>
          <w:p w14:paraId="46A8A25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E6874D7" w14:textId="77777777" w:rsidR="002A4DDF" w:rsidRPr="00937C8B" w:rsidRDefault="002A4DDF" w:rsidP="009110ED">
            <w:pPr>
              <w:rPr>
                <w:rFonts w:ascii="Arial" w:hAnsi="Arial" w:cs="Arial"/>
                <w:sz w:val="12"/>
                <w:szCs w:val="12"/>
              </w:rPr>
            </w:pPr>
            <w:r>
              <w:rPr>
                <w:rFonts w:ascii="Arial" w:hAnsi="Arial"/>
                <w:sz w:val="12"/>
                <w:szCs w:val="12"/>
              </w:rPr>
              <w:t>Mazaricos</w:t>
            </w:r>
          </w:p>
        </w:tc>
      </w:tr>
      <w:tr w:rsidR="002A4DDF" w:rsidRPr="00937C8B" w14:paraId="50A8D2B5" w14:textId="77777777" w:rsidTr="00935676">
        <w:trPr>
          <w:cantSplit/>
        </w:trPr>
        <w:tc>
          <w:tcPr>
            <w:tcW w:w="1696" w:type="dxa"/>
            <w:tcBorders>
              <w:left w:val="single" w:sz="4" w:space="0" w:color="auto"/>
            </w:tcBorders>
            <w:shd w:val="clear" w:color="auto" w:fill="auto"/>
          </w:tcPr>
          <w:p w14:paraId="6375A554" w14:textId="77777777" w:rsidR="002A4DDF" w:rsidRPr="00937C8B" w:rsidRDefault="002A4DDF" w:rsidP="009110ED">
            <w:pPr>
              <w:rPr>
                <w:rFonts w:ascii="Arial" w:hAnsi="Arial" w:cs="Arial"/>
                <w:sz w:val="12"/>
                <w:szCs w:val="12"/>
              </w:rPr>
            </w:pPr>
          </w:p>
        </w:tc>
        <w:tc>
          <w:tcPr>
            <w:tcW w:w="1843" w:type="dxa"/>
            <w:shd w:val="clear" w:color="auto" w:fill="auto"/>
          </w:tcPr>
          <w:p w14:paraId="33546A59" w14:textId="77777777" w:rsidR="002A4DDF" w:rsidRPr="00937C8B" w:rsidRDefault="002A4DDF" w:rsidP="009110ED">
            <w:pPr>
              <w:rPr>
                <w:rFonts w:ascii="Arial" w:hAnsi="Arial" w:cs="Arial"/>
                <w:sz w:val="12"/>
                <w:szCs w:val="12"/>
              </w:rPr>
            </w:pPr>
          </w:p>
        </w:tc>
        <w:tc>
          <w:tcPr>
            <w:tcW w:w="2268" w:type="dxa"/>
            <w:shd w:val="clear" w:color="auto" w:fill="F2F2F2"/>
            <w:hideMark/>
          </w:tcPr>
          <w:p w14:paraId="4880A23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9DBCF35" w14:textId="77777777" w:rsidR="002A4DDF" w:rsidRPr="00937C8B" w:rsidRDefault="002A4DDF" w:rsidP="009110ED">
            <w:pPr>
              <w:rPr>
                <w:rFonts w:ascii="Arial" w:hAnsi="Arial" w:cs="Arial"/>
                <w:sz w:val="12"/>
                <w:szCs w:val="12"/>
              </w:rPr>
            </w:pPr>
            <w:r>
              <w:rPr>
                <w:rFonts w:ascii="Arial" w:hAnsi="Arial"/>
                <w:sz w:val="12"/>
                <w:szCs w:val="12"/>
              </w:rPr>
              <w:t>Mesía</w:t>
            </w:r>
          </w:p>
        </w:tc>
      </w:tr>
      <w:tr w:rsidR="002A4DDF" w:rsidRPr="00937C8B" w14:paraId="0DFC522E" w14:textId="77777777" w:rsidTr="00935676">
        <w:trPr>
          <w:cantSplit/>
        </w:trPr>
        <w:tc>
          <w:tcPr>
            <w:tcW w:w="1696" w:type="dxa"/>
            <w:tcBorders>
              <w:left w:val="single" w:sz="4" w:space="0" w:color="auto"/>
            </w:tcBorders>
            <w:shd w:val="clear" w:color="auto" w:fill="auto"/>
          </w:tcPr>
          <w:p w14:paraId="77A85B44" w14:textId="77777777" w:rsidR="002A4DDF" w:rsidRPr="00937C8B" w:rsidRDefault="002A4DDF" w:rsidP="009110ED">
            <w:pPr>
              <w:rPr>
                <w:rFonts w:ascii="Arial" w:hAnsi="Arial" w:cs="Arial"/>
                <w:sz w:val="12"/>
                <w:szCs w:val="12"/>
              </w:rPr>
            </w:pPr>
          </w:p>
        </w:tc>
        <w:tc>
          <w:tcPr>
            <w:tcW w:w="1843" w:type="dxa"/>
            <w:shd w:val="clear" w:color="auto" w:fill="auto"/>
          </w:tcPr>
          <w:p w14:paraId="10C24707" w14:textId="77777777" w:rsidR="002A4DDF" w:rsidRPr="00937C8B" w:rsidRDefault="002A4DDF" w:rsidP="009110ED">
            <w:pPr>
              <w:rPr>
                <w:rFonts w:ascii="Arial" w:hAnsi="Arial" w:cs="Arial"/>
                <w:sz w:val="12"/>
                <w:szCs w:val="12"/>
              </w:rPr>
            </w:pPr>
          </w:p>
        </w:tc>
        <w:tc>
          <w:tcPr>
            <w:tcW w:w="2268" w:type="dxa"/>
            <w:shd w:val="clear" w:color="auto" w:fill="F2F2F2"/>
            <w:hideMark/>
          </w:tcPr>
          <w:p w14:paraId="082B8CD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9C60D63" w14:textId="77777777" w:rsidR="002A4DDF" w:rsidRPr="00937C8B" w:rsidRDefault="002A4DDF" w:rsidP="009110ED">
            <w:pPr>
              <w:rPr>
                <w:rFonts w:ascii="Arial" w:hAnsi="Arial" w:cs="Arial"/>
                <w:sz w:val="12"/>
                <w:szCs w:val="12"/>
              </w:rPr>
            </w:pPr>
            <w:r>
              <w:rPr>
                <w:rFonts w:ascii="Arial" w:hAnsi="Arial"/>
                <w:sz w:val="12"/>
                <w:szCs w:val="12"/>
              </w:rPr>
              <w:t>Miño</w:t>
            </w:r>
          </w:p>
        </w:tc>
      </w:tr>
      <w:tr w:rsidR="002A4DDF" w:rsidRPr="00937C8B" w14:paraId="4E61560B" w14:textId="77777777" w:rsidTr="00935676">
        <w:trPr>
          <w:cantSplit/>
        </w:trPr>
        <w:tc>
          <w:tcPr>
            <w:tcW w:w="1696" w:type="dxa"/>
            <w:tcBorders>
              <w:left w:val="single" w:sz="4" w:space="0" w:color="auto"/>
            </w:tcBorders>
            <w:shd w:val="clear" w:color="auto" w:fill="auto"/>
          </w:tcPr>
          <w:p w14:paraId="23E95F91" w14:textId="77777777" w:rsidR="002A4DDF" w:rsidRPr="00937C8B" w:rsidRDefault="002A4DDF" w:rsidP="009110ED">
            <w:pPr>
              <w:rPr>
                <w:rFonts w:ascii="Arial" w:hAnsi="Arial" w:cs="Arial"/>
                <w:sz w:val="12"/>
                <w:szCs w:val="12"/>
              </w:rPr>
            </w:pPr>
          </w:p>
        </w:tc>
        <w:tc>
          <w:tcPr>
            <w:tcW w:w="1843" w:type="dxa"/>
            <w:shd w:val="clear" w:color="auto" w:fill="auto"/>
          </w:tcPr>
          <w:p w14:paraId="4B0401A3" w14:textId="77777777" w:rsidR="002A4DDF" w:rsidRPr="00937C8B" w:rsidRDefault="002A4DDF" w:rsidP="009110ED">
            <w:pPr>
              <w:rPr>
                <w:rFonts w:ascii="Arial" w:hAnsi="Arial" w:cs="Arial"/>
                <w:sz w:val="12"/>
                <w:szCs w:val="12"/>
              </w:rPr>
            </w:pPr>
          </w:p>
        </w:tc>
        <w:tc>
          <w:tcPr>
            <w:tcW w:w="2268" w:type="dxa"/>
            <w:shd w:val="clear" w:color="auto" w:fill="F2F2F2"/>
          </w:tcPr>
          <w:p w14:paraId="73BF9A6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tcPr>
          <w:p w14:paraId="1892AF72" w14:textId="77777777" w:rsidR="002A4DDF" w:rsidRPr="00937C8B" w:rsidRDefault="002A4DDF" w:rsidP="009110ED">
            <w:pPr>
              <w:rPr>
                <w:rFonts w:ascii="Arial" w:hAnsi="Arial" w:cs="Arial"/>
                <w:sz w:val="12"/>
                <w:szCs w:val="12"/>
              </w:rPr>
            </w:pPr>
            <w:r>
              <w:rPr>
                <w:rFonts w:ascii="Arial" w:hAnsi="Arial"/>
                <w:sz w:val="12"/>
                <w:szCs w:val="12"/>
              </w:rPr>
              <w:t>Moeche</w:t>
            </w:r>
          </w:p>
        </w:tc>
      </w:tr>
      <w:tr w:rsidR="002A4DDF" w:rsidRPr="00937C8B" w14:paraId="36C91462" w14:textId="77777777" w:rsidTr="00935676">
        <w:trPr>
          <w:cantSplit/>
        </w:trPr>
        <w:tc>
          <w:tcPr>
            <w:tcW w:w="1696" w:type="dxa"/>
            <w:tcBorders>
              <w:left w:val="single" w:sz="4" w:space="0" w:color="auto"/>
            </w:tcBorders>
            <w:shd w:val="clear" w:color="auto" w:fill="auto"/>
          </w:tcPr>
          <w:p w14:paraId="072ED597" w14:textId="77777777" w:rsidR="002A4DDF" w:rsidRPr="00937C8B" w:rsidRDefault="002A4DDF" w:rsidP="009110ED">
            <w:pPr>
              <w:rPr>
                <w:rFonts w:ascii="Arial" w:hAnsi="Arial" w:cs="Arial"/>
                <w:sz w:val="12"/>
                <w:szCs w:val="12"/>
              </w:rPr>
            </w:pPr>
          </w:p>
        </w:tc>
        <w:tc>
          <w:tcPr>
            <w:tcW w:w="1843" w:type="dxa"/>
            <w:shd w:val="clear" w:color="auto" w:fill="auto"/>
          </w:tcPr>
          <w:p w14:paraId="2AC4C36B" w14:textId="77777777" w:rsidR="002A4DDF" w:rsidRPr="00937C8B" w:rsidRDefault="002A4DDF" w:rsidP="009110ED">
            <w:pPr>
              <w:rPr>
                <w:rFonts w:ascii="Arial" w:hAnsi="Arial" w:cs="Arial"/>
                <w:sz w:val="12"/>
                <w:szCs w:val="12"/>
              </w:rPr>
            </w:pPr>
          </w:p>
        </w:tc>
        <w:tc>
          <w:tcPr>
            <w:tcW w:w="2268" w:type="dxa"/>
            <w:shd w:val="clear" w:color="auto" w:fill="F2F2F2"/>
            <w:hideMark/>
          </w:tcPr>
          <w:p w14:paraId="5989B73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347710F" w14:textId="77777777" w:rsidR="002A4DDF" w:rsidRPr="00937C8B" w:rsidRDefault="002A4DDF" w:rsidP="009110ED">
            <w:pPr>
              <w:rPr>
                <w:rFonts w:ascii="Arial" w:hAnsi="Arial" w:cs="Arial"/>
                <w:sz w:val="12"/>
                <w:szCs w:val="12"/>
              </w:rPr>
            </w:pPr>
            <w:r>
              <w:rPr>
                <w:rFonts w:ascii="Arial" w:hAnsi="Arial"/>
                <w:sz w:val="12"/>
                <w:szCs w:val="12"/>
              </w:rPr>
              <w:t>Monfero</w:t>
            </w:r>
          </w:p>
        </w:tc>
      </w:tr>
      <w:tr w:rsidR="002A4DDF" w:rsidRPr="00937C8B" w14:paraId="068648E1" w14:textId="77777777" w:rsidTr="00935676">
        <w:trPr>
          <w:cantSplit/>
        </w:trPr>
        <w:tc>
          <w:tcPr>
            <w:tcW w:w="1696" w:type="dxa"/>
            <w:tcBorders>
              <w:left w:val="single" w:sz="4" w:space="0" w:color="auto"/>
            </w:tcBorders>
            <w:shd w:val="clear" w:color="auto" w:fill="auto"/>
          </w:tcPr>
          <w:p w14:paraId="5B1FB576" w14:textId="77777777" w:rsidR="002A4DDF" w:rsidRPr="00937C8B" w:rsidRDefault="002A4DDF" w:rsidP="009110ED">
            <w:pPr>
              <w:rPr>
                <w:rFonts w:ascii="Arial" w:hAnsi="Arial" w:cs="Arial"/>
                <w:sz w:val="12"/>
                <w:szCs w:val="12"/>
              </w:rPr>
            </w:pPr>
          </w:p>
        </w:tc>
        <w:tc>
          <w:tcPr>
            <w:tcW w:w="1843" w:type="dxa"/>
            <w:shd w:val="clear" w:color="auto" w:fill="auto"/>
          </w:tcPr>
          <w:p w14:paraId="6A81631B" w14:textId="77777777" w:rsidR="002A4DDF" w:rsidRPr="00937C8B" w:rsidRDefault="002A4DDF" w:rsidP="009110ED">
            <w:pPr>
              <w:rPr>
                <w:rFonts w:ascii="Arial" w:hAnsi="Arial" w:cs="Arial"/>
                <w:sz w:val="12"/>
                <w:szCs w:val="12"/>
              </w:rPr>
            </w:pPr>
          </w:p>
        </w:tc>
        <w:tc>
          <w:tcPr>
            <w:tcW w:w="2268" w:type="dxa"/>
            <w:shd w:val="clear" w:color="auto" w:fill="F2F2F2"/>
            <w:hideMark/>
          </w:tcPr>
          <w:p w14:paraId="00C3EA9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70B45EB" w14:textId="77777777" w:rsidR="002A4DDF" w:rsidRPr="00937C8B" w:rsidRDefault="002A4DDF" w:rsidP="009110ED">
            <w:pPr>
              <w:rPr>
                <w:rFonts w:ascii="Arial" w:hAnsi="Arial" w:cs="Arial"/>
                <w:sz w:val="12"/>
                <w:szCs w:val="12"/>
              </w:rPr>
            </w:pPr>
            <w:r>
              <w:rPr>
                <w:rFonts w:ascii="Arial" w:hAnsi="Arial"/>
                <w:sz w:val="12"/>
                <w:szCs w:val="12"/>
              </w:rPr>
              <w:t>Mugardos</w:t>
            </w:r>
          </w:p>
        </w:tc>
      </w:tr>
      <w:tr w:rsidR="002A4DDF" w:rsidRPr="00937C8B" w14:paraId="50DE8AEA" w14:textId="77777777" w:rsidTr="00935676">
        <w:trPr>
          <w:cantSplit/>
        </w:trPr>
        <w:tc>
          <w:tcPr>
            <w:tcW w:w="1696" w:type="dxa"/>
            <w:tcBorders>
              <w:left w:val="single" w:sz="4" w:space="0" w:color="auto"/>
            </w:tcBorders>
            <w:shd w:val="clear" w:color="auto" w:fill="auto"/>
          </w:tcPr>
          <w:p w14:paraId="68A68C2B" w14:textId="77777777" w:rsidR="002A4DDF" w:rsidRPr="00937C8B" w:rsidRDefault="002A4DDF" w:rsidP="009110ED">
            <w:pPr>
              <w:rPr>
                <w:rFonts w:ascii="Arial" w:hAnsi="Arial" w:cs="Arial"/>
                <w:sz w:val="12"/>
                <w:szCs w:val="12"/>
              </w:rPr>
            </w:pPr>
          </w:p>
        </w:tc>
        <w:tc>
          <w:tcPr>
            <w:tcW w:w="1843" w:type="dxa"/>
            <w:shd w:val="clear" w:color="auto" w:fill="auto"/>
          </w:tcPr>
          <w:p w14:paraId="585C42CF" w14:textId="77777777" w:rsidR="002A4DDF" w:rsidRPr="00937C8B" w:rsidRDefault="002A4DDF" w:rsidP="009110ED">
            <w:pPr>
              <w:rPr>
                <w:rFonts w:ascii="Arial" w:hAnsi="Arial" w:cs="Arial"/>
                <w:sz w:val="12"/>
                <w:szCs w:val="12"/>
              </w:rPr>
            </w:pPr>
          </w:p>
        </w:tc>
        <w:tc>
          <w:tcPr>
            <w:tcW w:w="2268" w:type="dxa"/>
            <w:shd w:val="clear" w:color="auto" w:fill="F2F2F2"/>
            <w:hideMark/>
          </w:tcPr>
          <w:p w14:paraId="667BDC5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8C0A09D" w14:textId="77777777" w:rsidR="002A4DDF" w:rsidRPr="00937C8B" w:rsidRDefault="002A4DDF" w:rsidP="009110ED">
            <w:pPr>
              <w:rPr>
                <w:rFonts w:ascii="Arial" w:hAnsi="Arial" w:cs="Arial"/>
                <w:sz w:val="12"/>
                <w:szCs w:val="12"/>
              </w:rPr>
            </w:pPr>
            <w:r>
              <w:rPr>
                <w:rFonts w:ascii="Arial" w:hAnsi="Arial"/>
                <w:sz w:val="12"/>
                <w:szCs w:val="12"/>
              </w:rPr>
              <w:t>Muros</w:t>
            </w:r>
          </w:p>
        </w:tc>
      </w:tr>
      <w:tr w:rsidR="002A4DDF" w:rsidRPr="00937C8B" w14:paraId="7FC4C9D7" w14:textId="77777777" w:rsidTr="00935676">
        <w:trPr>
          <w:cantSplit/>
        </w:trPr>
        <w:tc>
          <w:tcPr>
            <w:tcW w:w="1696" w:type="dxa"/>
            <w:tcBorders>
              <w:left w:val="single" w:sz="4" w:space="0" w:color="auto"/>
            </w:tcBorders>
            <w:shd w:val="clear" w:color="auto" w:fill="auto"/>
          </w:tcPr>
          <w:p w14:paraId="048411B9" w14:textId="77777777" w:rsidR="002A4DDF" w:rsidRPr="00937C8B" w:rsidRDefault="002A4DDF" w:rsidP="009110ED">
            <w:pPr>
              <w:rPr>
                <w:rFonts w:ascii="Arial" w:hAnsi="Arial" w:cs="Arial"/>
                <w:sz w:val="12"/>
                <w:szCs w:val="12"/>
              </w:rPr>
            </w:pPr>
          </w:p>
        </w:tc>
        <w:tc>
          <w:tcPr>
            <w:tcW w:w="1843" w:type="dxa"/>
            <w:shd w:val="clear" w:color="auto" w:fill="auto"/>
          </w:tcPr>
          <w:p w14:paraId="59A88A19" w14:textId="77777777" w:rsidR="002A4DDF" w:rsidRPr="00937C8B" w:rsidRDefault="002A4DDF" w:rsidP="009110ED">
            <w:pPr>
              <w:rPr>
                <w:rFonts w:ascii="Arial" w:hAnsi="Arial" w:cs="Arial"/>
                <w:sz w:val="12"/>
                <w:szCs w:val="12"/>
              </w:rPr>
            </w:pPr>
          </w:p>
        </w:tc>
        <w:tc>
          <w:tcPr>
            <w:tcW w:w="2268" w:type="dxa"/>
            <w:shd w:val="clear" w:color="auto" w:fill="F2F2F2"/>
            <w:hideMark/>
          </w:tcPr>
          <w:p w14:paraId="31C6BB2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0066105" w14:textId="77777777" w:rsidR="002A4DDF" w:rsidRPr="00937C8B" w:rsidRDefault="002A4DDF" w:rsidP="009110ED">
            <w:pPr>
              <w:rPr>
                <w:rFonts w:ascii="Arial" w:hAnsi="Arial" w:cs="Arial"/>
                <w:sz w:val="12"/>
                <w:szCs w:val="12"/>
              </w:rPr>
            </w:pPr>
            <w:r>
              <w:rPr>
                <w:rFonts w:ascii="Arial" w:hAnsi="Arial"/>
                <w:sz w:val="12"/>
                <w:szCs w:val="12"/>
              </w:rPr>
              <w:t>Muxía</w:t>
            </w:r>
          </w:p>
        </w:tc>
      </w:tr>
      <w:tr w:rsidR="002A4DDF" w:rsidRPr="00937C8B" w14:paraId="6967ADBC" w14:textId="77777777" w:rsidTr="00935676">
        <w:trPr>
          <w:cantSplit/>
        </w:trPr>
        <w:tc>
          <w:tcPr>
            <w:tcW w:w="1696" w:type="dxa"/>
            <w:tcBorders>
              <w:left w:val="single" w:sz="4" w:space="0" w:color="auto"/>
            </w:tcBorders>
            <w:shd w:val="clear" w:color="auto" w:fill="auto"/>
          </w:tcPr>
          <w:p w14:paraId="3B8032D2" w14:textId="77777777" w:rsidR="002A4DDF" w:rsidRPr="00937C8B" w:rsidRDefault="002A4DDF" w:rsidP="009110ED">
            <w:pPr>
              <w:rPr>
                <w:rFonts w:ascii="Arial" w:hAnsi="Arial" w:cs="Arial"/>
                <w:sz w:val="12"/>
                <w:szCs w:val="12"/>
              </w:rPr>
            </w:pPr>
          </w:p>
        </w:tc>
        <w:tc>
          <w:tcPr>
            <w:tcW w:w="1843" w:type="dxa"/>
            <w:shd w:val="clear" w:color="auto" w:fill="auto"/>
          </w:tcPr>
          <w:p w14:paraId="402A638D" w14:textId="77777777" w:rsidR="002A4DDF" w:rsidRPr="00937C8B" w:rsidRDefault="002A4DDF" w:rsidP="009110ED">
            <w:pPr>
              <w:rPr>
                <w:rFonts w:ascii="Arial" w:hAnsi="Arial" w:cs="Arial"/>
                <w:sz w:val="12"/>
                <w:szCs w:val="12"/>
              </w:rPr>
            </w:pPr>
          </w:p>
        </w:tc>
        <w:tc>
          <w:tcPr>
            <w:tcW w:w="2268" w:type="dxa"/>
            <w:shd w:val="clear" w:color="auto" w:fill="F2F2F2"/>
            <w:hideMark/>
          </w:tcPr>
          <w:p w14:paraId="3539FA1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C3BB3A6" w14:textId="77777777" w:rsidR="002A4DDF" w:rsidRPr="00937C8B" w:rsidRDefault="002A4DDF" w:rsidP="009110ED">
            <w:pPr>
              <w:rPr>
                <w:rFonts w:ascii="Arial" w:hAnsi="Arial" w:cs="Arial"/>
                <w:sz w:val="12"/>
                <w:szCs w:val="12"/>
              </w:rPr>
            </w:pPr>
            <w:r>
              <w:rPr>
                <w:rFonts w:ascii="Arial" w:hAnsi="Arial"/>
                <w:sz w:val="12"/>
                <w:szCs w:val="12"/>
              </w:rPr>
              <w:t>Narón</w:t>
            </w:r>
          </w:p>
        </w:tc>
      </w:tr>
      <w:tr w:rsidR="002A4DDF" w:rsidRPr="00937C8B" w14:paraId="10F41F5D" w14:textId="77777777" w:rsidTr="00935676">
        <w:trPr>
          <w:cantSplit/>
        </w:trPr>
        <w:tc>
          <w:tcPr>
            <w:tcW w:w="1696" w:type="dxa"/>
            <w:tcBorders>
              <w:left w:val="single" w:sz="4" w:space="0" w:color="auto"/>
            </w:tcBorders>
            <w:shd w:val="clear" w:color="auto" w:fill="auto"/>
          </w:tcPr>
          <w:p w14:paraId="4980FB9C" w14:textId="77777777" w:rsidR="002A4DDF" w:rsidRPr="00937C8B" w:rsidRDefault="002A4DDF" w:rsidP="009110ED">
            <w:pPr>
              <w:rPr>
                <w:rFonts w:ascii="Arial" w:hAnsi="Arial" w:cs="Arial"/>
                <w:sz w:val="12"/>
                <w:szCs w:val="12"/>
              </w:rPr>
            </w:pPr>
          </w:p>
        </w:tc>
        <w:tc>
          <w:tcPr>
            <w:tcW w:w="1843" w:type="dxa"/>
            <w:shd w:val="clear" w:color="auto" w:fill="auto"/>
          </w:tcPr>
          <w:p w14:paraId="7441623D" w14:textId="77777777" w:rsidR="002A4DDF" w:rsidRPr="00937C8B" w:rsidRDefault="002A4DDF" w:rsidP="009110ED">
            <w:pPr>
              <w:rPr>
                <w:rFonts w:ascii="Arial" w:hAnsi="Arial" w:cs="Arial"/>
                <w:sz w:val="12"/>
                <w:szCs w:val="12"/>
              </w:rPr>
            </w:pPr>
          </w:p>
        </w:tc>
        <w:tc>
          <w:tcPr>
            <w:tcW w:w="2268" w:type="dxa"/>
            <w:shd w:val="clear" w:color="auto" w:fill="F2F2F2"/>
            <w:hideMark/>
          </w:tcPr>
          <w:p w14:paraId="0B62C4C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724FC68" w14:textId="77777777" w:rsidR="002A4DDF" w:rsidRPr="00937C8B" w:rsidRDefault="002A4DDF" w:rsidP="009110ED">
            <w:pPr>
              <w:rPr>
                <w:rFonts w:ascii="Arial" w:hAnsi="Arial" w:cs="Arial"/>
                <w:sz w:val="12"/>
                <w:szCs w:val="12"/>
              </w:rPr>
            </w:pPr>
            <w:r>
              <w:rPr>
                <w:rFonts w:ascii="Arial" w:hAnsi="Arial"/>
                <w:sz w:val="12"/>
                <w:szCs w:val="12"/>
              </w:rPr>
              <w:t>Neda</w:t>
            </w:r>
          </w:p>
        </w:tc>
      </w:tr>
      <w:tr w:rsidR="002A4DDF" w:rsidRPr="00937C8B" w14:paraId="09C884CD" w14:textId="77777777" w:rsidTr="00935676">
        <w:trPr>
          <w:cantSplit/>
        </w:trPr>
        <w:tc>
          <w:tcPr>
            <w:tcW w:w="1696" w:type="dxa"/>
            <w:tcBorders>
              <w:left w:val="single" w:sz="4" w:space="0" w:color="auto"/>
            </w:tcBorders>
            <w:shd w:val="clear" w:color="auto" w:fill="auto"/>
          </w:tcPr>
          <w:p w14:paraId="0063F6C0" w14:textId="77777777" w:rsidR="002A4DDF" w:rsidRPr="00937C8B" w:rsidRDefault="002A4DDF" w:rsidP="009110ED">
            <w:pPr>
              <w:rPr>
                <w:rFonts w:ascii="Arial" w:hAnsi="Arial" w:cs="Arial"/>
                <w:sz w:val="12"/>
                <w:szCs w:val="12"/>
              </w:rPr>
            </w:pPr>
          </w:p>
        </w:tc>
        <w:tc>
          <w:tcPr>
            <w:tcW w:w="1843" w:type="dxa"/>
            <w:shd w:val="clear" w:color="auto" w:fill="auto"/>
          </w:tcPr>
          <w:p w14:paraId="15FDCD90" w14:textId="77777777" w:rsidR="002A4DDF" w:rsidRPr="00937C8B" w:rsidRDefault="002A4DDF" w:rsidP="009110ED">
            <w:pPr>
              <w:rPr>
                <w:rFonts w:ascii="Arial" w:hAnsi="Arial" w:cs="Arial"/>
                <w:sz w:val="12"/>
                <w:szCs w:val="12"/>
              </w:rPr>
            </w:pPr>
          </w:p>
        </w:tc>
        <w:tc>
          <w:tcPr>
            <w:tcW w:w="2268" w:type="dxa"/>
            <w:shd w:val="clear" w:color="auto" w:fill="F2F2F2"/>
            <w:hideMark/>
          </w:tcPr>
          <w:p w14:paraId="44C3CE6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6D30DE3" w14:textId="77777777" w:rsidR="002A4DDF" w:rsidRPr="00937C8B" w:rsidRDefault="002A4DDF" w:rsidP="009110ED">
            <w:pPr>
              <w:rPr>
                <w:rFonts w:ascii="Arial" w:hAnsi="Arial" w:cs="Arial"/>
                <w:sz w:val="12"/>
                <w:szCs w:val="12"/>
              </w:rPr>
            </w:pPr>
            <w:r>
              <w:rPr>
                <w:rFonts w:ascii="Arial" w:hAnsi="Arial"/>
                <w:sz w:val="12"/>
                <w:szCs w:val="12"/>
              </w:rPr>
              <w:t>Negreira</w:t>
            </w:r>
          </w:p>
        </w:tc>
      </w:tr>
      <w:tr w:rsidR="002A4DDF" w:rsidRPr="00937C8B" w14:paraId="62139641" w14:textId="77777777" w:rsidTr="00935676">
        <w:trPr>
          <w:cantSplit/>
        </w:trPr>
        <w:tc>
          <w:tcPr>
            <w:tcW w:w="1696" w:type="dxa"/>
            <w:tcBorders>
              <w:left w:val="single" w:sz="4" w:space="0" w:color="auto"/>
            </w:tcBorders>
            <w:shd w:val="clear" w:color="auto" w:fill="auto"/>
          </w:tcPr>
          <w:p w14:paraId="6C9B5CF3" w14:textId="77777777" w:rsidR="002A4DDF" w:rsidRPr="00937C8B" w:rsidRDefault="002A4DDF" w:rsidP="009110ED">
            <w:pPr>
              <w:rPr>
                <w:rFonts w:ascii="Arial" w:hAnsi="Arial" w:cs="Arial"/>
                <w:sz w:val="12"/>
                <w:szCs w:val="12"/>
              </w:rPr>
            </w:pPr>
          </w:p>
        </w:tc>
        <w:tc>
          <w:tcPr>
            <w:tcW w:w="1843" w:type="dxa"/>
            <w:shd w:val="clear" w:color="auto" w:fill="auto"/>
          </w:tcPr>
          <w:p w14:paraId="1F49C420" w14:textId="77777777" w:rsidR="002A4DDF" w:rsidRPr="00937C8B" w:rsidRDefault="002A4DDF" w:rsidP="009110ED">
            <w:pPr>
              <w:rPr>
                <w:rFonts w:ascii="Arial" w:hAnsi="Arial" w:cs="Arial"/>
                <w:sz w:val="12"/>
                <w:szCs w:val="12"/>
              </w:rPr>
            </w:pPr>
          </w:p>
        </w:tc>
        <w:tc>
          <w:tcPr>
            <w:tcW w:w="2268" w:type="dxa"/>
            <w:shd w:val="clear" w:color="auto" w:fill="F2F2F2"/>
            <w:hideMark/>
          </w:tcPr>
          <w:p w14:paraId="6BF5BE3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D8E2AFA" w14:textId="77777777" w:rsidR="002A4DDF" w:rsidRPr="00937C8B" w:rsidRDefault="002A4DDF" w:rsidP="009110ED">
            <w:pPr>
              <w:rPr>
                <w:rFonts w:ascii="Arial" w:hAnsi="Arial" w:cs="Arial"/>
                <w:sz w:val="12"/>
                <w:szCs w:val="12"/>
              </w:rPr>
            </w:pPr>
            <w:r>
              <w:rPr>
                <w:rFonts w:ascii="Arial" w:hAnsi="Arial"/>
                <w:sz w:val="12"/>
                <w:szCs w:val="12"/>
              </w:rPr>
              <w:t>Noia</w:t>
            </w:r>
          </w:p>
        </w:tc>
      </w:tr>
      <w:tr w:rsidR="002A4DDF" w:rsidRPr="00937C8B" w14:paraId="3439630C" w14:textId="77777777" w:rsidTr="00935676">
        <w:trPr>
          <w:cantSplit/>
        </w:trPr>
        <w:tc>
          <w:tcPr>
            <w:tcW w:w="1696" w:type="dxa"/>
            <w:tcBorders>
              <w:left w:val="single" w:sz="4" w:space="0" w:color="auto"/>
            </w:tcBorders>
            <w:shd w:val="clear" w:color="auto" w:fill="auto"/>
          </w:tcPr>
          <w:p w14:paraId="247828DC" w14:textId="77777777" w:rsidR="002A4DDF" w:rsidRPr="00937C8B" w:rsidRDefault="002A4DDF" w:rsidP="009110ED">
            <w:pPr>
              <w:rPr>
                <w:rFonts w:ascii="Arial" w:hAnsi="Arial" w:cs="Arial"/>
                <w:sz w:val="12"/>
                <w:szCs w:val="12"/>
              </w:rPr>
            </w:pPr>
          </w:p>
        </w:tc>
        <w:tc>
          <w:tcPr>
            <w:tcW w:w="1843" w:type="dxa"/>
            <w:shd w:val="clear" w:color="auto" w:fill="auto"/>
          </w:tcPr>
          <w:p w14:paraId="30C45351" w14:textId="77777777" w:rsidR="002A4DDF" w:rsidRPr="00937C8B" w:rsidRDefault="002A4DDF" w:rsidP="009110ED">
            <w:pPr>
              <w:rPr>
                <w:rFonts w:ascii="Arial" w:hAnsi="Arial" w:cs="Arial"/>
                <w:sz w:val="12"/>
                <w:szCs w:val="12"/>
              </w:rPr>
            </w:pPr>
          </w:p>
        </w:tc>
        <w:tc>
          <w:tcPr>
            <w:tcW w:w="2268" w:type="dxa"/>
            <w:shd w:val="clear" w:color="auto" w:fill="F2F2F2"/>
            <w:hideMark/>
          </w:tcPr>
          <w:p w14:paraId="76BD2AA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2196B62" w14:textId="77777777" w:rsidR="002A4DDF" w:rsidRPr="00937C8B" w:rsidRDefault="002A4DDF" w:rsidP="009110ED">
            <w:pPr>
              <w:rPr>
                <w:rFonts w:ascii="Arial" w:hAnsi="Arial" w:cs="Arial"/>
                <w:sz w:val="12"/>
                <w:szCs w:val="12"/>
              </w:rPr>
            </w:pPr>
            <w:r>
              <w:rPr>
                <w:rFonts w:ascii="Arial" w:hAnsi="Arial"/>
                <w:sz w:val="12"/>
                <w:szCs w:val="12"/>
              </w:rPr>
              <w:t>O Pino</w:t>
            </w:r>
          </w:p>
        </w:tc>
      </w:tr>
      <w:tr w:rsidR="002A4DDF" w:rsidRPr="00937C8B" w14:paraId="303FD05B" w14:textId="77777777" w:rsidTr="00935676">
        <w:trPr>
          <w:cantSplit/>
        </w:trPr>
        <w:tc>
          <w:tcPr>
            <w:tcW w:w="1696" w:type="dxa"/>
            <w:tcBorders>
              <w:left w:val="single" w:sz="4" w:space="0" w:color="auto"/>
            </w:tcBorders>
            <w:shd w:val="clear" w:color="auto" w:fill="auto"/>
          </w:tcPr>
          <w:p w14:paraId="18999209" w14:textId="77777777" w:rsidR="002A4DDF" w:rsidRPr="00937C8B" w:rsidRDefault="002A4DDF" w:rsidP="009110ED">
            <w:pPr>
              <w:rPr>
                <w:rFonts w:ascii="Arial" w:hAnsi="Arial" w:cs="Arial"/>
                <w:sz w:val="12"/>
                <w:szCs w:val="12"/>
              </w:rPr>
            </w:pPr>
          </w:p>
        </w:tc>
        <w:tc>
          <w:tcPr>
            <w:tcW w:w="1843" w:type="dxa"/>
            <w:shd w:val="clear" w:color="auto" w:fill="auto"/>
          </w:tcPr>
          <w:p w14:paraId="56843278" w14:textId="77777777" w:rsidR="002A4DDF" w:rsidRPr="00937C8B" w:rsidRDefault="002A4DDF" w:rsidP="009110ED">
            <w:pPr>
              <w:rPr>
                <w:rFonts w:ascii="Arial" w:hAnsi="Arial" w:cs="Arial"/>
                <w:sz w:val="12"/>
                <w:szCs w:val="12"/>
              </w:rPr>
            </w:pPr>
          </w:p>
        </w:tc>
        <w:tc>
          <w:tcPr>
            <w:tcW w:w="2268" w:type="dxa"/>
            <w:shd w:val="clear" w:color="auto" w:fill="F2F2F2"/>
            <w:hideMark/>
          </w:tcPr>
          <w:p w14:paraId="2890FF3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D9B7762" w14:textId="77777777" w:rsidR="002A4DDF" w:rsidRPr="00937C8B" w:rsidRDefault="002A4DDF" w:rsidP="009110ED">
            <w:pPr>
              <w:rPr>
                <w:rFonts w:ascii="Arial" w:hAnsi="Arial" w:cs="Arial"/>
                <w:sz w:val="12"/>
                <w:szCs w:val="12"/>
              </w:rPr>
            </w:pPr>
            <w:r>
              <w:rPr>
                <w:rFonts w:ascii="Arial" w:hAnsi="Arial"/>
                <w:sz w:val="12"/>
                <w:szCs w:val="12"/>
              </w:rPr>
              <w:t>Oleiros</w:t>
            </w:r>
          </w:p>
        </w:tc>
      </w:tr>
      <w:tr w:rsidR="002A4DDF" w:rsidRPr="00937C8B" w14:paraId="09F95BBF" w14:textId="77777777" w:rsidTr="00935676">
        <w:trPr>
          <w:cantSplit/>
        </w:trPr>
        <w:tc>
          <w:tcPr>
            <w:tcW w:w="1696" w:type="dxa"/>
            <w:tcBorders>
              <w:left w:val="single" w:sz="4" w:space="0" w:color="auto"/>
            </w:tcBorders>
            <w:shd w:val="clear" w:color="auto" w:fill="auto"/>
          </w:tcPr>
          <w:p w14:paraId="1B29002A" w14:textId="77777777" w:rsidR="002A4DDF" w:rsidRPr="00937C8B" w:rsidRDefault="002A4DDF" w:rsidP="009110ED">
            <w:pPr>
              <w:rPr>
                <w:rFonts w:ascii="Arial" w:hAnsi="Arial" w:cs="Arial"/>
                <w:sz w:val="12"/>
                <w:szCs w:val="12"/>
              </w:rPr>
            </w:pPr>
          </w:p>
        </w:tc>
        <w:tc>
          <w:tcPr>
            <w:tcW w:w="1843" w:type="dxa"/>
            <w:shd w:val="clear" w:color="auto" w:fill="auto"/>
          </w:tcPr>
          <w:p w14:paraId="0EF7FB37" w14:textId="77777777" w:rsidR="002A4DDF" w:rsidRPr="00937C8B" w:rsidRDefault="002A4DDF" w:rsidP="009110ED">
            <w:pPr>
              <w:rPr>
                <w:rFonts w:ascii="Arial" w:hAnsi="Arial" w:cs="Arial"/>
                <w:sz w:val="12"/>
                <w:szCs w:val="12"/>
              </w:rPr>
            </w:pPr>
          </w:p>
        </w:tc>
        <w:tc>
          <w:tcPr>
            <w:tcW w:w="2268" w:type="dxa"/>
            <w:shd w:val="clear" w:color="auto" w:fill="F2F2F2"/>
            <w:hideMark/>
          </w:tcPr>
          <w:p w14:paraId="5A6D2A0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8F2E9A0" w14:textId="77777777" w:rsidR="002A4DDF" w:rsidRPr="00937C8B" w:rsidRDefault="002A4DDF" w:rsidP="009110ED">
            <w:pPr>
              <w:rPr>
                <w:rFonts w:ascii="Arial" w:hAnsi="Arial" w:cs="Arial"/>
                <w:sz w:val="12"/>
                <w:szCs w:val="12"/>
              </w:rPr>
            </w:pPr>
            <w:r>
              <w:rPr>
                <w:rFonts w:ascii="Arial" w:hAnsi="Arial"/>
                <w:sz w:val="12"/>
                <w:szCs w:val="12"/>
              </w:rPr>
              <w:t>Ordes</w:t>
            </w:r>
          </w:p>
        </w:tc>
      </w:tr>
      <w:tr w:rsidR="002A4DDF" w:rsidRPr="00937C8B" w14:paraId="714427E6" w14:textId="77777777" w:rsidTr="00935676">
        <w:trPr>
          <w:cantSplit/>
        </w:trPr>
        <w:tc>
          <w:tcPr>
            <w:tcW w:w="1696" w:type="dxa"/>
            <w:tcBorders>
              <w:left w:val="single" w:sz="4" w:space="0" w:color="auto"/>
            </w:tcBorders>
            <w:shd w:val="clear" w:color="auto" w:fill="auto"/>
          </w:tcPr>
          <w:p w14:paraId="3E415FD7" w14:textId="77777777" w:rsidR="002A4DDF" w:rsidRPr="00937C8B" w:rsidRDefault="002A4DDF" w:rsidP="009110ED">
            <w:pPr>
              <w:rPr>
                <w:rFonts w:ascii="Arial" w:hAnsi="Arial" w:cs="Arial"/>
                <w:sz w:val="12"/>
                <w:szCs w:val="12"/>
              </w:rPr>
            </w:pPr>
          </w:p>
        </w:tc>
        <w:tc>
          <w:tcPr>
            <w:tcW w:w="1843" w:type="dxa"/>
            <w:shd w:val="clear" w:color="auto" w:fill="auto"/>
          </w:tcPr>
          <w:p w14:paraId="6D069072" w14:textId="77777777" w:rsidR="002A4DDF" w:rsidRPr="00937C8B" w:rsidRDefault="002A4DDF" w:rsidP="009110ED">
            <w:pPr>
              <w:rPr>
                <w:rFonts w:ascii="Arial" w:hAnsi="Arial" w:cs="Arial"/>
                <w:sz w:val="12"/>
                <w:szCs w:val="12"/>
              </w:rPr>
            </w:pPr>
          </w:p>
        </w:tc>
        <w:tc>
          <w:tcPr>
            <w:tcW w:w="2268" w:type="dxa"/>
            <w:shd w:val="clear" w:color="auto" w:fill="F2F2F2"/>
            <w:hideMark/>
          </w:tcPr>
          <w:p w14:paraId="2FE0615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E035797" w14:textId="77777777" w:rsidR="002A4DDF" w:rsidRPr="00937C8B" w:rsidRDefault="002A4DDF" w:rsidP="009110ED">
            <w:pPr>
              <w:rPr>
                <w:rFonts w:ascii="Arial" w:hAnsi="Arial" w:cs="Arial"/>
                <w:sz w:val="12"/>
                <w:szCs w:val="12"/>
              </w:rPr>
            </w:pPr>
            <w:r>
              <w:rPr>
                <w:rFonts w:ascii="Arial" w:hAnsi="Arial"/>
                <w:sz w:val="12"/>
                <w:szCs w:val="12"/>
              </w:rPr>
              <w:t>Oroso</w:t>
            </w:r>
          </w:p>
        </w:tc>
      </w:tr>
      <w:tr w:rsidR="002A4DDF" w:rsidRPr="00937C8B" w14:paraId="66AC9542" w14:textId="77777777" w:rsidTr="00935676">
        <w:trPr>
          <w:cantSplit/>
        </w:trPr>
        <w:tc>
          <w:tcPr>
            <w:tcW w:w="1696" w:type="dxa"/>
            <w:tcBorders>
              <w:left w:val="single" w:sz="4" w:space="0" w:color="auto"/>
            </w:tcBorders>
            <w:shd w:val="clear" w:color="auto" w:fill="auto"/>
          </w:tcPr>
          <w:p w14:paraId="5EBB9FE8" w14:textId="77777777" w:rsidR="002A4DDF" w:rsidRPr="00937C8B" w:rsidRDefault="002A4DDF" w:rsidP="009110ED">
            <w:pPr>
              <w:rPr>
                <w:rFonts w:ascii="Arial" w:hAnsi="Arial" w:cs="Arial"/>
                <w:sz w:val="12"/>
                <w:szCs w:val="12"/>
              </w:rPr>
            </w:pPr>
          </w:p>
        </w:tc>
        <w:tc>
          <w:tcPr>
            <w:tcW w:w="1843" w:type="dxa"/>
            <w:shd w:val="clear" w:color="auto" w:fill="auto"/>
          </w:tcPr>
          <w:p w14:paraId="5EF28323" w14:textId="77777777" w:rsidR="002A4DDF" w:rsidRPr="00937C8B" w:rsidRDefault="002A4DDF" w:rsidP="009110ED">
            <w:pPr>
              <w:rPr>
                <w:rFonts w:ascii="Arial" w:hAnsi="Arial" w:cs="Arial"/>
                <w:sz w:val="12"/>
                <w:szCs w:val="12"/>
              </w:rPr>
            </w:pPr>
          </w:p>
        </w:tc>
        <w:tc>
          <w:tcPr>
            <w:tcW w:w="2268" w:type="dxa"/>
            <w:shd w:val="clear" w:color="auto" w:fill="F2F2F2"/>
            <w:hideMark/>
          </w:tcPr>
          <w:p w14:paraId="189DB93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5D77B92" w14:textId="77777777" w:rsidR="002A4DDF" w:rsidRPr="00937C8B" w:rsidRDefault="002A4DDF" w:rsidP="009110ED">
            <w:pPr>
              <w:rPr>
                <w:rFonts w:ascii="Arial" w:hAnsi="Arial" w:cs="Arial"/>
                <w:sz w:val="12"/>
                <w:szCs w:val="12"/>
              </w:rPr>
            </w:pPr>
            <w:r>
              <w:rPr>
                <w:rFonts w:ascii="Arial" w:hAnsi="Arial"/>
                <w:sz w:val="12"/>
                <w:szCs w:val="12"/>
              </w:rPr>
              <w:t>Ortigueira</w:t>
            </w:r>
          </w:p>
        </w:tc>
      </w:tr>
      <w:tr w:rsidR="002A4DDF" w:rsidRPr="00937C8B" w14:paraId="6D3437DF" w14:textId="77777777" w:rsidTr="00935676">
        <w:trPr>
          <w:cantSplit/>
        </w:trPr>
        <w:tc>
          <w:tcPr>
            <w:tcW w:w="1696" w:type="dxa"/>
            <w:tcBorders>
              <w:left w:val="single" w:sz="4" w:space="0" w:color="auto"/>
            </w:tcBorders>
            <w:shd w:val="clear" w:color="auto" w:fill="auto"/>
          </w:tcPr>
          <w:p w14:paraId="05E703AF" w14:textId="77777777" w:rsidR="002A4DDF" w:rsidRPr="00937C8B" w:rsidRDefault="002A4DDF" w:rsidP="009110ED">
            <w:pPr>
              <w:rPr>
                <w:rFonts w:ascii="Arial" w:hAnsi="Arial" w:cs="Arial"/>
                <w:sz w:val="12"/>
                <w:szCs w:val="12"/>
              </w:rPr>
            </w:pPr>
          </w:p>
        </w:tc>
        <w:tc>
          <w:tcPr>
            <w:tcW w:w="1843" w:type="dxa"/>
            <w:shd w:val="clear" w:color="auto" w:fill="auto"/>
          </w:tcPr>
          <w:p w14:paraId="0A8509F9" w14:textId="77777777" w:rsidR="002A4DDF" w:rsidRPr="00937C8B" w:rsidRDefault="002A4DDF" w:rsidP="009110ED">
            <w:pPr>
              <w:rPr>
                <w:rFonts w:ascii="Arial" w:hAnsi="Arial" w:cs="Arial"/>
                <w:sz w:val="12"/>
                <w:szCs w:val="12"/>
              </w:rPr>
            </w:pPr>
          </w:p>
        </w:tc>
        <w:tc>
          <w:tcPr>
            <w:tcW w:w="2268" w:type="dxa"/>
            <w:shd w:val="clear" w:color="auto" w:fill="F2F2F2"/>
            <w:hideMark/>
          </w:tcPr>
          <w:p w14:paraId="2CDC4E2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AB00172" w14:textId="77777777" w:rsidR="002A4DDF" w:rsidRPr="00937C8B" w:rsidRDefault="002A4DDF" w:rsidP="009110ED">
            <w:pPr>
              <w:rPr>
                <w:rFonts w:ascii="Arial" w:hAnsi="Arial" w:cs="Arial"/>
                <w:sz w:val="12"/>
                <w:szCs w:val="12"/>
              </w:rPr>
            </w:pPr>
            <w:r>
              <w:rPr>
                <w:rFonts w:ascii="Arial" w:hAnsi="Arial"/>
                <w:sz w:val="12"/>
                <w:szCs w:val="12"/>
              </w:rPr>
              <w:t>Outes</w:t>
            </w:r>
          </w:p>
        </w:tc>
      </w:tr>
      <w:tr w:rsidR="002A4DDF" w:rsidRPr="00937C8B" w14:paraId="4DE5D309" w14:textId="77777777" w:rsidTr="00935676">
        <w:trPr>
          <w:cantSplit/>
        </w:trPr>
        <w:tc>
          <w:tcPr>
            <w:tcW w:w="1696" w:type="dxa"/>
            <w:tcBorders>
              <w:left w:val="single" w:sz="4" w:space="0" w:color="auto"/>
            </w:tcBorders>
            <w:shd w:val="clear" w:color="auto" w:fill="auto"/>
          </w:tcPr>
          <w:p w14:paraId="07504E77" w14:textId="77777777" w:rsidR="002A4DDF" w:rsidRPr="00937C8B" w:rsidRDefault="002A4DDF" w:rsidP="009110ED">
            <w:pPr>
              <w:rPr>
                <w:rFonts w:ascii="Arial" w:hAnsi="Arial" w:cs="Arial"/>
                <w:sz w:val="12"/>
                <w:szCs w:val="12"/>
              </w:rPr>
            </w:pPr>
          </w:p>
        </w:tc>
        <w:tc>
          <w:tcPr>
            <w:tcW w:w="1843" w:type="dxa"/>
            <w:shd w:val="clear" w:color="auto" w:fill="auto"/>
          </w:tcPr>
          <w:p w14:paraId="2EDEE6CD" w14:textId="77777777" w:rsidR="002A4DDF" w:rsidRPr="00937C8B" w:rsidRDefault="002A4DDF" w:rsidP="009110ED">
            <w:pPr>
              <w:rPr>
                <w:rFonts w:ascii="Arial" w:hAnsi="Arial" w:cs="Arial"/>
                <w:sz w:val="12"/>
                <w:szCs w:val="12"/>
              </w:rPr>
            </w:pPr>
          </w:p>
        </w:tc>
        <w:tc>
          <w:tcPr>
            <w:tcW w:w="2268" w:type="dxa"/>
            <w:shd w:val="clear" w:color="auto" w:fill="F2F2F2"/>
            <w:hideMark/>
          </w:tcPr>
          <w:p w14:paraId="3849097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4FCB62D" w14:textId="77777777" w:rsidR="002A4DDF" w:rsidRPr="00937C8B" w:rsidRDefault="002A4DDF" w:rsidP="009110ED">
            <w:pPr>
              <w:rPr>
                <w:rFonts w:ascii="Arial" w:hAnsi="Arial" w:cs="Arial"/>
                <w:sz w:val="12"/>
                <w:szCs w:val="12"/>
              </w:rPr>
            </w:pPr>
            <w:r>
              <w:rPr>
                <w:rFonts w:ascii="Arial" w:hAnsi="Arial"/>
                <w:sz w:val="12"/>
                <w:szCs w:val="12"/>
              </w:rPr>
              <w:t>Oza-Cesuras</w:t>
            </w:r>
          </w:p>
        </w:tc>
      </w:tr>
      <w:tr w:rsidR="002A4DDF" w:rsidRPr="00937C8B" w14:paraId="133B7E6D" w14:textId="77777777" w:rsidTr="00935676">
        <w:trPr>
          <w:cantSplit/>
        </w:trPr>
        <w:tc>
          <w:tcPr>
            <w:tcW w:w="1696" w:type="dxa"/>
            <w:tcBorders>
              <w:left w:val="single" w:sz="4" w:space="0" w:color="auto"/>
            </w:tcBorders>
            <w:shd w:val="clear" w:color="auto" w:fill="auto"/>
          </w:tcPr>
          <w:p w14:paraId="04DDCF53" w14:textId="77777777" w:rsidR="002A4DDF" w:rsidRPr="00937C8B" w:rsidRDefault="002A4DDF" w:rsidP="009110ED">
            <w:pPr>
              <w:rPr>
                <w:rFonts w:ascii="Arial" w:hAnsi="Arial" w:cs="Arial"/>
                <w:sz w:val="12"/>
                <w:szCs w:val="12"/>
              </w:rPr>
            </w:pPr>
          </w:p>
        </w:tc>
        <w:tc>
          <w:tcPr>
            <w:tcW w:w="1843" w:type="dxa"/>
            <w:shd w:val="clear" w:color="auto" w:fill="auto"/>
          </w:tcPr>
          <w:p w14:paraId="4C674877" w14:textId="77777777" w:rsidR="002A4DDF" w:rsidRPr="00937C8B" w:rsidRDefault="002A4DDF" w:rsidP="009110ED">
            <w:pPr>
              <w:rPr>
                <w:rFonts w:ascii="Arial" w:hAnsi="Arial" w:cs="Arial"/>
                <w:sz w:val="12"/>
                <w:szCs w:val="12"/>
              </w:rPr>
            </w:pPr>
          </w:p>
        </w:tc>
        <w:tc>
          <w:tcPr>
            <w:tcW w:w="2268" w:type="dxa"/>
            <w:shd w:val="clear" w:color="auto" w:fill="F2F2F2"/>
            <w:hideMark/>
          </w:tcPr>
          <w:p w14:paraId="3153E89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B0F40F2" w14:textId="77777777" w:rsidR="002A4DDF" w:rsidRPr="00937C8B" w:rsidRDefault="002A4DDF" w:rsidP="009110ED">
            <w:pPr>
              <w:rPr>
                <w:rFonts w:ascii="Arial" w:hAnsi="Arial" w:cs="Arial"/>
                <w:sz w:val="12"/>
                <w:szCs w:val="12"/>
              </w:rPr>
            </w:pPr>
            <w:r>
              <w:rPr>
                <w:rFonts w:ascii="Arial" w:hAnsi="Arial"/>
                <w:sz w:val="12"/>
                <w:szCs w:val="12"/>
              </w:rPr>
              <w:t>Paderne</w:t>
            </w:r>
          </w:p>
        </w:tc>
      </w:tr>
      <w:tr w:rsidR="002A4DDF" w:rsidRPr="00937C8B" w14:paraId="2FB11B31" w14:textId="77777777" w:rsidTr="00935676">
        <w:trPr>
          <w:cantSplit/>
        </w:trPr>
        <w:tc>
          <w:tcPr>
            <w:tcW w:w="1696" w:type="dxa"/>
            <w:tcBorders>
              <w:left w:val="single" w:sz="4" w:space="0" w:color="auto"/>
            </w:tcBorders>
            <w:shd w:val="clear" w:color="auto" w:fill="auto"/>
          </w:tcPr>
          <w:p w14:paraId="6C6DCE79" w14:textId="77777777" w:rsidR="002A4DDF" w:rsidRPr="00937C8B" w:rsidRDefault="002A4DDF" w:rsidP="009110ED">
            <w:pPr>
              <w:rPr>
                <w:rFonts w:ascii="Arial" w:hAnsi="Arial" w:cs="Arial"/>
                <w:sz w:val="12"/>
                <w:szCs w:val="12"/>
              </w:rPr>
            </w:pPr>
          </w:p>
        </w:tc>
        <w:tc>
          <w:tcPr>
            <w:tcW w:w="1843" w:type="dxa"/>
            <w:shd w:val="clear" w:color="auto" w:fill="auto"/>
          </w:tcPr>
          <w:p w14:paraId="4B96DE9C" w14:textId="77777777" w:rsidR="002A4DDF" w:rsidRPr="00937C8B" w:rsidRDefault="002A4DDF" w:rsidP="009110ED">
            <w:pPr>
              <w:rPr>
                <w:rFonts w:ascii="Arial" w:hAnsi="Arial" w:cs="Arial"/>
                <w:sz w:val="12"/>
                <w:szCs w:val="12"/>
              </w:rPr>
            </w:pPr>
          </w:p>
        </w:tc>
        <w:tc>
          <w:tcPr>
            <w:tcW w:w="2268" w:type="dxa"/>
            <w:shd w:val="clear" w:color="auto" w:fill="F2F2F2"/>
            <w:hideMark/>
          </w:tcPr>
          <w:p w14:paraId="75E6DAD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4655D17" w14:textId="77777777" w:rsidR="002A4DDF" w:rsidRPr="00937C8B" w:rsidRDefault="002A4DDF" w:rsidP="009110ED">
            <w:pPr>
              <w:rPr>
                <w:rFonts w:ascii="Arial" w:hAnsi="Arial" w:cs="Arial"/>
                <w:sz w:val="12"/>
                <w:szCs w:val="12"/>
              </w:rPr>
            </w:pPr>
            <w:r>
              <w:rPr>
                <w:rFonts w:ascii="Arial" w:hAnsi="Arial"/>
                <w:sz w:val="12"/>
                <w:szCs w:val="12"/>
              </w:rPr>
              <w:t>Padrón</w:t>
            </w:r>
          </w:p>
        </w:tc>
      </w:tr>
      <w:tr w:rsidR="002A4DDF" w:rsidRPr="00937C8B" w14:paraId="49CE34E2" w14:textId="77777777" w:rsidTr="00935676">
        <w:trPr>
          <w:cantSplit/>
        </w:trPr>
        <w:tc>
          <w:tcPr>
            <w:tcW w:w="1696" w:type="dxa"/>
            <w:tcBorders>
              <w:left w:val="single" w:sz="4" w:space="0" w:color="auto"/>
            </w:tcBorders>
            <w:shd w:val="clear" w:color="auto" w:fill="auto"/>
          </w:tcPr>
          <w:p w14:paraId="386CE67E" w14:textId="77777777" w:rsidR="002A4DDF" w:rsidRPr="00937C8B" w:rsidRDefault="002A4DDF" w:rsidP="009110ED">
            <w:pPr>
              <w:rPr>
                <w:rFonts w:ascii="Arial" w:hAnsi="Arial" w:cs="Arial"/>
                <w:sz w:val="12"/>
                <w:szCs w:val="12"/>
              </w:rPr>
            </w:pPr>
          </w:p>
        </w:tc>
        <w:tc>
          <w:tcPr>
            <w:tcW w:w="1843" w:type="dxa"/>
            <w:shd w:val="clear" w:color="auto" w:fill="auto"/>
          </w:tcPr>
          <w:p w14:paraId="44D33262" w14:textId="77777777" w:rsidR="002A4DDF" w:rsidRPr="00937C8B" w:rsidRDefault="002A4DDF" w:rsidP="009110ED">
            <w:pPr>
              <w:rPr>
                <w:rFonts w:ascii="Arial" w:hAnsi="Arial" w:cs="Arial"/>
                <w:sz w:val="12"/>
                <w:szCs w:val="12"/>
              </w:rPr>
            </w:pPr>
          </w:p>
        </w:tc>
        <w:tc>
          <w:tcPr>
            <w:tcW w:w="2268" w:type="dxa"/>
            <w:shd w:val="clear" w:color="auto" w:fill="F2F2F2"/>
            <w:hideMark/>
          </w:tcPr>
          <w:p w14:paraId="7540C5C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0F10809" w14:textId="77777777" w:rsidR="002A4DDF" w:rsidRPr="00937C8B" w:rsidRDefault="002A4DDF" w:rsidP="009110ED">
            <w:pPr>
              <w:rPr>
                <w:rFonts w:ascii="Arial" w:hAnsi="Arial" w:cs="Arial"/>
                <w:sz w:val="12"/>
                <w:szCs w:val="12"/>
              </w:rPr>
            </w:pPr>
            <w:r>
              <w:rPr>
                <w:rFonts w:ascii="Arial" w:hAnsi="Arial"/>
                <w:sz w:val="12"/>
                <w:szCs w:val="12"/>
              </w:rPr>
              <w:t>Ponteceso</w:t>
            </w:r>
          </w:p>
        </w:tc>
      </w:tr>
      <w:tr w:rsidR="002A4DDF" w:rsidRPr="00937C8B" w14:paraId="5F8585BE" w14:textId="77777777" w:rsidTr="00935676">
        <w:trPr>
          <w:cantSplit/>
        </w:trPr>
        <w:tc>
          <w:tcPr>
            <w:tcW w:w="1696" w:type="dxa"/>
            <w:tcBorders>
              <w:left w:val="single" w:sz="4" w:space="0" w:color="auto"/>
            </w:tcBorders>
            <w:shd w:val="clear" w:color="auto" w:fill="auto"/>
          </w:tcPr>
          <w:p w14:paraId="06CFA65C" w14:textId="77777777" w:rsidR="002A4DDF" w:rsidRPr="00937C8B" w:rsidRDefault="002A4DDF" w:rsidP="009110ED">
            <w:pPr>
              <w:rPr>
                <w:rFonts w:ascii="Arial" w:hAnsi="Arial" w:cs="Arial"/>
                <w:sz w:val="12"/>
                <w:szCs w:val="12"/>
              </w:rPr>
            </w:pPr>
          </w:p>
        </w:tc>
        <w:tc>
          <w:tcPr>
            <w:tcW w:w="1843" w:type="dxa"/>
            <w:shd w:val="clear" w:color="auto" w:fill="auto"/>
          </w:tcPr>
          <w:p w14:paraId="672DCC3F" w14:textId="77777777" w:rsidR="002A4DDF" w:rsidRPr="00937C8B" w:rsidRDefault="002A4DDF" w:rsidP="009110ED">
            <w:pPr>
              <w:rPr>
                <w:rFonts w:ascii="Arial" w:hAnsi="Arial" w:cs="Arial"/>
                <w:sz w:val="12"/>
                <w:szCs w:val="12"/>
              </w:rPr>
            </w:pPr>
          </w:p>
        </w:tc>
        <w:tc>
          <w:tcPr>
            <w:tcW w:w="2268" w:type="dxa"/>
            <w:shd w:val="clear" w:color="auto" w:fill="F2F2F2"/>
            <w:hideMark/>
          </w:tcPr>
          <w:p w14:paraId="630168E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8221B7E" w14:textId="77777777" w:rsidR="002A4DDF" w:rsidRPr="00937C8B" w:rsidRDefault="002A4DDF" w:rsidP="009110ED">
            <w:pPr>
              <w:rPr>
                <w:rFonts w:ascii="Arial" w:hAnsi="Arial" w:cs="Arial"/>
                <w:sz w:val="12"/>
                <w:szCs w:val="12"/>
              </w:rPr>
            </w:pPr>
            <w:r>
              <w:rPr>
                <w:rFonts w:ascii="Arial" w:hAnsi="Arial"/>
                <w:sz w:val="12"/>
                <w:szCs w:val="12"/>
              </w:rPr>
              <w:t>Pontedeume</w:t>
            </w:r>
          </w:p>
        </w:tc>
      </w:tr>
      <w:tr w:rsidR="002A4DDF" w:rsidRPr="00937C8B" w14:paraId="0F879770" w14:textId="77777777" w:rsidTr="00935676">
        <w:trPr>
          <w:cantSplit/>
        </w:trPr>
        <w:tc>
          <w:tcPr>
            <w:tcW w:w="1696" w:type="dxa"/>
            <w:tcBorders>
              <w:left w:val="single" w:sz="4" w:space="0" w:color="auto"/>
            </w:tcBorders>
            <w:shd w:val="clear" w:color="auto" w:fill="auto"/>
          </w:tcPr>
          <w:p w14:paraId="2068A31E" w14:textId="77777777" w:rsidR="002A4DDF" w:rsidRPr="00937C8B" w:rsidRDefault="002A4DDF" w:rsidP="009110ED">
            <w:pPr>
              <w:rPr>
                <w:rFonts w:ascii="Arial" w:hAnsi="Arial" w:cs="Arial"/>
                <w:sz w:val="12"/>
                <w:szCs w:val="12"/>
              </w:rPr>
            </w:pPr>
          </w:p>
        </w:tc>
        <w:tc>
          <w:tcPr>
            <w:tcW w:w="1843" w:type="dxa"/>
            <w:shd w:val="clear" w:color="auto" w:fill="auto"/>
          </w:tcPr>
          <w:p w14:paraId="69466840" w14:textId="77777777" w:rsidR="002A4DDF" w:rsidRPr="00937C8B" w:rsidRDefault="002A4DDF" w:rsidP="009110ED">
            <w:pPr>
              <w:rPr>
                <w:rFonts w:ascii="Arial" w:hAnsi="Arial" w:cs="Arial"/>
                <w:sz w:val="12"/>
                <w:szCs w:val="12"/>
              </w:rPr>
            </w:pPr>
          </w:p>
        </w:tc>
        <w:tc>
          <w:tcPr>
            <w:tcW w:w="2268" w:type="dxa"/>
            <w:shd w:val="clear" w:color="auto" w:fill="F2F2F2"/>
            <w:hideMark/>
          </w:tcPr>
          <w:p w14:paraId="4D1A3B7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268F4E5" w14:textId="77777777" w:rsidR="002A4DDF" w:rsidRPr="00937C8B" w:rsidRDefault="002A4DDF" w:rsidP="009110ED">
            <w:pPr>
              <w:rPr>
                <w:rFonts w:ascii="Arial" w:hAnsi="Arial" w:cs="Arial"/>
                <w:sz w:val="12"/>
                <w:szCs w:val="12"/>
              </w:rPr>
            </w:pPr>
            <w:r>
              <w:rPr>
                <w:rFonts w:ascii="Arial" w:hAnsi="Arial"/>
                <w:sz w:val="12"/>
                <w:szCs w:val="12"/>
              </w:rPr>
              <w:t>Porto do Son</w:t>
            </w:r>
          </w:p>
        </w:tc>
      </w:tr>
      <w:tr w:rsidR="002A4DDF" w:rsidRPr="00937C8B" w14:paraId="55AEC115" w14:textId="77777777" w:rsidTr="00935676">
        <w:trPr>
          <w:cantSplit/>
        </w:trPr>
        <w:tc>
          <w:tcPr>
            <w:tcW w:w="1696" w:type="dxa"/>
            <w:tcBorders>
              <w:left w:val="single" w:sz="4" w:space="0" w:color="auto"/>
            </w:tcBorders>
            <w:shd w:val="clear" w:color="auto" w:fill="auto"/>
          </w:tcPr>
          <w:p w14:paraId="5FC9578A" w14:textId="77777777" w:rsidR="002A4DDF" w:rsidRPr="00937C8B" w:rsidRDefault="002A4DDF" w:rsidP="009110ED">
            <w:pPr>
              <w:rPr>
                <w:rFonts w:ascii="Arial" w:hAnsi="Arial" w:cs="Arial"/>
                <w:sz w:val="12"/>
                <w:szCs w:val="12"/>
              </w:rPr>
            </w:pPr>
          </w:p>
        </w:tc>
        <w:tc>
          <w:tcPr>
            <w:tcW w:w="1843" w:type="dxa"/>
            <w:shd w:val="clear" w:color="auto" w:fill="auto"/>
          </w:tcPr>
          <w:p w14:paraId="4A302E49" w14:textId="77777777" w:rsidR="002A4DDF" w:rsidRPr="00937C8B" w:rsidRDefault="002A4DDF" w:rsidP="009110ED">
            <w:pPr>
              <w:rPr>
                <w:rFonts w:ascii="Arial" w:hAnsi="Arial" w:cs="Arial"/>
                <w:sz w:val="12"/>
                <w:szCs w:val="12"/>
              </w:rPr>
            </w:pPr>
          </w:p>
        </w:tc>
        <w:tc>
          <w:tcPr>
            <w:tcW w:w="2268" w:type="dxa"/>
            <w:shd w:val="clear" w:color="auto" w:fill="F2F2F2"/>
            <w:hideMark/>
          </w:tcPr>
          <w:p w14:paraId="356C889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FC14CDF" w14:textId="77777777" w:rsidR="002A4DDF" w:rsidRPr="00937C8B" w:rsidRDefault="002A4DDF" w:rsidP="009110ED">
            <w:pPr>
              <w:rPr>
                <w:rFonts w:ascii="Arial" w:hAnsi="Arial" w:cs="Arial"/>
                <w:sz w:val="12"/>
                <w:szCs w:val="12"/>
              </w:rPr>
            </w:pPr>
            <w:r>
              <w:rPr>
                <w:rFonts w:ascii="Arial" w:hAnsi="Arial"/>
                <w:sz w:val="12"/>
                <w:szCs w:val="12"/>
              </w:rPr>
              <w:t>Rianxo</w:t>
            </w:r>
          </w:p>
        </w:tc>
      </w:tr>
      <w:tr w:rsidR="002A4DDF" w:rsidRPr="00937C8B" w14:paraId="622F667E" w14:textId="77777777" w:rsidTr="00935676">
        <w:trPr>
          <w:cantSplit/>
        </w:trPr>
        <w:tc>
          <w:tcPr>
            <w:tcW w:w="1696" w:type="dxa"/>
            <w:tcBorders>
              <w:left w:val="single" w:sz="4" w:space="0" w:color="auto"/>
            </w:tcBorders>
            <w:shd w:val="clear" w:color="auto" w:fill="auto"/>
          </w:tcPr>
          <w:p w14:paraId="2C3213B4" w14:textId="77777777" w:rsidR="002A4DDF" w:rsidRPr="00937C8B" w:rsidRDefault="002A4DDF" w:rsidP="009110ED">
            <w:pPr>
              <w:rPr>
                <w:rFonts w:ascii="Arial" w:hAnsi="Arial" w:cs="Arial"/>
                <w:sz w:val="12"/>
                <w:szCs w:val="12"/>
              </w:rPr>
            </w:pPr>
          </w:p>
        </w:tc>
        <w:tc>
          <w:tcPr>
            <w:tcW w:w="1843" w:type="dxa"/>
            <w:shd w:val="clear" w:color="auto" w:fill="auto"/>
          </w:tcPr>
          <w:p w14:paraId="182AA866" w14:textId="77777777" w:rsidR="002A4DDF" w:rsidRPr="00937C8B" w:rsidRDefault="002A4DDF" w:rsidP="009110ED">
            <w:pPr>
              <w:rPr>
                <w:rFonts w:ascii="Arial" w:hAnsi="Arial" w:cs="Arial"/>
                <w:sz w:val="12"/>
                <w:szCs w:val="12"/>
              </w:rPr>
            </w:pPr>
          </w:p>
        </w:tc>
        <w:tc>
          <w:tcPr>
            <w:tcW w:w="2268" w:type="dxa"/>
            <w:shd w:val="clear" w:color="auto" w:fill="F2F2F2"/>
            <w:hideMark/>
          </w:tcPr>
          <w:p w14:paraId="378B19E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E6CE238" w14:textId="77777777" w:rsidR="002A4DDF" w:rsidRPr="00937C8B" w:rsidRDefault="002A4DDF" w:rsidP="009110ED">
            <w:pPr>
              <w:rPr>
                <w:rFonts w:ascii="Arial" w:hAnsi="Arial" w:cs="Arial"/>
                <w:sz w:val="12"/>
                <w:szCs w:val="12"/>
              </w:rPr>
            </w:pPr>
            <w:r>
              <w:rPr>
                <w:rFonts w:ascii="Arial" w:hAnsi="Arial"/>
                <w:sz w:val="12"/>
                <w:szCs w:val="12"/>
              </w:rPr>
              <w:t>Ribeira</w:t>
            </w:r>
          </w:p>
        </w:tc>
      </w:tr>
      <w:tr w:rsidR="002A4DDF" w:rsidRPr="00937C8B" w14:paraId="7872B662" w14:textId="77777777" w:rsidTr="00935676">
        <w:trPr>
          <w:cantSplit/>
        </w:trPr>
        <w:tc>
          <w:tcPr>
            <w:tcW w:w="1696" w:type="dxa"/>
            <w:tcBorders>
              <w:left w:val="single" w:sz="4" w:space="0" w:color="auto"/>
            </w:tcBorders>
            <w:shd w:val="clear" w:color="auto" w:fill="auto"/>
          </w:tcPr>
          <w:p w14:paraId="4F7BDC32" w14:textId="77777777" w:rsidR="002A4DDF" w:rsidRPr="00937C8B" w:rsidRDefault="002A4DDF" w:rsidP="009110ED">
            <w:pPr>
              <w:rPr>
                <w:rFonts w:ascii="Arial" w:hAnsi="Arial" w:cs="Arial"/>
                <w:sz w:val="12"/>
                <w:szCs w:val="12"/>
              </w:rPr>
            </w:pPr>
          </w:p>
        </w:tc>
        <w:tc>
          <w:tcPr>
            <w:tcW w:w="1843" w:type="dxa"/>
            <w:shd w:val="clear" w:color="auto" w:fill="auto"/>
          </w:tcPr>
          <w:p w14:paraId="5DBB3DA2" w14:textId="77777777" w:rsidR="002A4DDF" w:rsidRPr="00937C8B" w:rsidRDefault="002A4DDF" w:rsidP="009110ED">
            <w:pPr>
              <w:rPr>
                <w:rFonts w:ascii="Arial" w:hAnsi="Arial" w:cs="Arial"/>
                <w:sz w:val="12"/>
                <w:szCs w:val="12"/>
              </w:rPr>
            </w:pPr>
          </w:p>
        </w:tc>
        <w:tc>
          <w:tcPr>
            <w:tcW w:w="2268" w:type="dxa"/>
            <w:shd w:val="clear" w:color="auto" w:fill="F2F2F2"/>
            <w:hideMark/>
          </w:tcPr>
          <w:p w14:paraId="7338570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36F85F4" w14:textId="77777777" w:rsidR="002A4DDF" w:rsidRPr="00937C8B" w:rsidRDefault="002A4DDF" w:rsidP="009110ED">
            <w:pPr>
              <w:rPr>
                <w:rFonts w:ascii="Arial" w:hAnsi="Arial" w:cs="Arial"/>
                <w:sz w:val="12"/>
                <w:szCs w:val="12"/>
              </w:rPr>
            </w:pPr>
            <w:r>
              <w:rPr>
                <w:rFonts w:ascii="Arial" w:hAnsi="Arial"/>
                <w:sz w:val="12"/>
                <w:szCs w:val="12"/>
              </w:rPr>
              <w:t>Rois</w:t>
            </w:r>
          </w:p>
        </w:tc>
      </w:tr>
      <w:tr w:rsidR="002A4DDF" w:rsidRPr="00937C8B" w14:paraId="154AB4A5" w14:textId="77777777" w:rsidTr="00935676">
        <w:trPr>
          <w:cantSplit/>
        </w:trPr>
        <w:tc>
          <w:tcPr>
            <w:tcW w:w="1696" w:type="dxa"/>
            <w:tcBorders>
              <w:left w:val="single" w:sz="4" w:space="0" w:color="auto"/>
            </w:tcBorders>
            <w:shd w:val="clear" w:color="auto" w:fill="auto"/>
          </w:tcPr>
          <w:p w14:paraId="63CBB826" w14:textId="77777777" w:rsidR="002A4DDF" w:rsidRPr="00937C8B" w:rsidRDefault="002A4DDF" w:rsidP="009110ED">
            <w:pPr>
              <w:rPr>
                <w:rFonts w:ascii="Arial" w:hAnsi="Arial" w:cs="Arial"/>
                <w:sz w:val="12"/>
                <w:szCs w:val="12"/>
              </w:rPr>
            </w:pPr>
          </w:p>
        </w:tc>
        <w:tc>
          <w:tcPr>
            <w:tcW w:w="1843" w:type="dxa"/>
            <w:shd w:val="clear" w:color="auto" w:fill="auto"/>
          </w:tcPr>
          <w:p w14:paraId="19646F09" w14:textId="77777777" w:rsidR="002A4DDF" w:rsidRPr="00937C8B" w:rsidRDefault="002A4DDF" w:rsidP="009110ED">
            <w:pPr>
              <w:rPr>
                <w:rFonts w:ascii="Arial" w:hAnsi="Arial" w:cs="Arial"/>
                <w:sz w:val="12"/>
                <w:szCs w:val="12"/>
              </w:rPr>
            </w:pPr>
          </w:p>
        </w:tc>
        <w:tc>
          <w:tcPr>
            <w:tcW w:w="2268" w:type="dxa"/>
            <w:shd w:val="clear" w:color="auto" w:fill="F2F2F2"/>
            <w:hideMark/>
          </w:tcPr>
          <w:p w14:paraId="3D046EF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E2179CE" w14:textId="77777777" w:rsidR="002A4DDF" w:rsidRPr="00937C8B" w:rsidRDefault="002A4DDF" w:rsidP="009110ED">
            <w:pPr>
              <w:rPr>
                <w:rFonts w:ascii="Arial" w:hAnsi="Arial" w:cs="Arial"/>
                <w:sz w:val="12"/>
                <w:szCs w:val="12"/>
              </w:rPr>
            </w:pPr>
            <w:r>
              <w:rPr>
                <w:rFonts w:ascii="Arial" w:hAnsi="Arial"/>
                <w:sz w:val="12"/>
                <w:szCs w:val="12"/>
              </w:rPr>
              <w:t>Sada</w:t>
            </w:r>
          </w:p>
        </w:tc>
      </w:tr>
      <w:tr w:rsidR="002A4DDF" w:rsidRPr="00937C8B" w14:paraId="0D52EC40" w14:textId="77777777" w:rsidTr="00935676">
        <w:trPr>
          <w:cantSplit/>
        </w:trPr>
        <w:tc>
          <w:tcPr>
            <w:tcW w:w="1696" w:type="dxa"/>
            <w:tcBorders>
              <w:left w:val="single" w:sz="4" w:space="0" w:color="auto"/>
            </w:tcBorders>
            <w:shd w:val="clear" w:color="auto" w:fill="auto"/>
          </w:tcPr>
          <w:p w14:paraId="6E00EB7D" w14:textId="77777777" w:rsidR="002A4DDF" w:rsidRPr="00937C8B" w:rsidRDefault="002A4DDF" w:rsidP="009110ED">
            <w:pPr>
              <w:rPr>
                <w:rFonts w:ascii="Arial" w:hAnsi="Arial" w:cs="Arial"/>
                <w:sz w:val="12"/>
                <w:szCs w:val="12"/>
              </w:rPr>
            </w:pPr>
          </w:p>
        </w:tc>
        <w:tc>
          <w:tcPr>
            <w:tcW w:w="1843" w:type="dxa"/>
            <w:shd w:val="clear" w:color="auto" w:fill="auto"/>
          </w:tcPr>
          <w:p w14:paraId="34571A8A" w14:textId="77777777" w:rsidR="002A4DDF" w:rsidRPr="00937C8B" w:rsidRDefault="002A4DDF" w:rsidP="009110ED">
            <w:pPr>
              <w:rPr>
                <w:rFonts w:ascii="Arial" w:hAnsi="Arial" w:cs="Arial"/>
                <w:sz w:val="12"/>
                <w:szCs w:val="12"/>
              </w:rPr>
            </w:pPr>
          </w:p>
        </w:tc>
        <w:tc>
          <w:tcPr>
            <w:tcW w:w="2268" w:type="dxa"/>
            <w:shd w:val="clear" w:color="auto" w:fill="F2F2F2"/>
            <w:hideMark/>
          </w:tcPr>
          <w:p w14:paraId="0CA1EAF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AC0B0FF" w14:textId="77777777" w:rsidR="002A4DDF" w:rsidRPr="00937C8B" w:rsidRDefault="002A4DDF" w:rsidP="009110ED">
            <w:pPr>
              <w:rPr>
                <w:rFonts w:ascii="Arial" w:hAnsi="Arial" w:cs="Arial"/>
                <w:sz w:val="12"/>
                <w:szCs w:val="12"/>
              </w:rPr>
            </w:pPr>
            <w:r>
              <w:rPr>
                <w:rFonts w:ascii="Arial" w:hAnsi="Arial"/>
                <w:sz w:val="12"/>
                <w:szCs w:val="12"/>
              </w:rPr>
              <w:t>Santa Comba</w:t>
            </w:r>
          </w:p>
        </w:tc>
      </w:tr>
      <w:tr w:rsidR="002A4DDF" w:rsidRPr="00937C8B" w14:paraId="189E8437" w14:textId="77777777" w:rsidTr="00935676">
        <w:trPr>
          <w:cantSplit/>
        </w:trPr>
        <w:tc>
          <w:tcPr>
            <w:tcW w:w="1696" w:type="dxa"/>
            <w:tcBorders>
              <w:left w:val="single" w:sz="4" w:space="0" w:color="auto"/>
            </w:tcBorders>
            <w:shd w:val="clear" w:color="auto" w:fill="auto"/>
          </w:tcPr>
          <w:p w14:paraId="413DFCE9" w14:textId="77777777" w:rsidR="002A4DDF" w:rsidRPr="00937C8B" w:rsidRDefault="002A4DDF" w:rsidP="009110ED">
            <w:pPr>
              <w:rPr>
                <w:rFonts w:ascii="Arial" w:hAnsi="Arial" w:cs="Arial"/>
                <w:sz w:val="12"/>
                <w:szCs w:val="12"/>
              </w:rPr>
            </w:pPr>
          </w:p>
        </w:tc>
        <w:tc>
          <w:tcPr>
            <w:tcW w:w="1843" w:type="dxa"/>
            <w:shd w:val="clear" w:color="auto" w:fill="auto"/>
          </w:tcPr>
          <w:p w14:paraId="021C5030" w14:textId="77777777" w:rsidR="002A4DDF" w:rsidRPr="00937C8B" w:rsidRDefault="002A4DDF" w:rsidP="009110ED">
            <w:pPr>
              <w:rPr>
                <w:rFonts w:ascii="Arial" w:hAnsi="Arial" w:cs="Arial"/>
                <w:sz w:val="12"/>
                <w:szCs w:val="12"/>
              </w:rPr>
            </w:pPr>
          </w:p>
        </w:tc>
        <w:tc>
          <w:tcPr>
            <w:tcW w:w="2268" w:type="dxa"/>
            <w:shd w:val="clear" w:color="auto" w:fill="F2F2F2"/>
            <w:hideMark/>
          </w:tcPr>
          <w:p w14:paraId="133CF73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4E5A2AD" w14:textId="77777777" w:rsidR="002A4DDF" w:rsidRPr="00937C8B" w:rsidRDefault="002A4DDF" w:rsidP="009110ED">
            <w:pPr>
              <w:rPr>
                <w:rFonts w:ascii="Arial" w:hAnsi="Arial" w:cs="Arial"/>
                <w:sz w:val="12"/>
                <w:szCs w:val="12"/>
              </w:rPr>
            </w:pPr>
            <w:r>
              <w:rPr>
                <w:rFonts w:ascii="Arial" w:hAnsi="Arial"/>
                <w:sz w:val="12"/>
                <w:szCs w:val="12"/>
              </w:rPr>
              <w:t>Santiago de Compostela</w:t>
            </w:r>
          </w:p>
        </w:tc>
      </w:tr>
      <w:tr w:rsidR="002A4DDF" w:rsidRPr="00937C8B" w14:paraId="160CA77F" w14:textId="77777777" w:rsidTr="00935676">
        <w:trPr>
          <w:cantSplit/>
        </w:trPr>
        <w:tc>
          <w:tcPr>
            <w:tcW w:w="1696" w:type="dxa"/>
            <w:tcBorders>
              <w:left w:val="single" w:sz="4" w:space="0" w:color="auto"/>
            </w:tcBorders>
            <w:shd w:val="clear" w:color="auto" w:fill="auto"/>
          </w:tcPr>
          <w:p w14:paraId="144302C2" w14:textId="77777777" w:rsidR="002A4DDF" w:rsidRPr="00937C8B" w:rsidRDefault="002A4DDF" w:rsidP="009110ED">
            <w:pPr>
              <w:rPr>
                <w:rFonts w:ascii="Arial" w:hAnsi="Arial" w:cs="Arial"/>
                <w:sz w:val="12"/>
                <w:szCs w:val="12"/>
              </w:rPr>
            </w:pPr>
          </w:p>
        </w:tc>
        <w:tc>
          <w:tcPr>
            <w:tcW w:w="1843" w:type="dxa"/>
            <w:shd w:val="clear" w:color="auto" w:fill="auto"/>
          </w:tcPr>
          <w:p w14:paraId="69CD789B" w14:textId="77777777" w:rsidR="002A4DDF" w:rsidRPr="00937C8B" w:rsidRDefault="002A4DDF" w:rsidP="009110ED">
            <w:pPr>
              <w:rPr>
                <w:rFonts w:ascii="Arial" w:hAnsi="Arial" w:cs="Arial"/>
                <w:sz w:val="12"/>
                <w:szCs w:val="12"/>
              </w:rPr>
            </w:pPr>
          </w:p>
        </w:tc>
        <w:tc>
          <w:tcPr>
            <w:tcW w:w="2268" w:type="dxa"/>
            <w:shd w:val="clear" w:color="auto" w:fill="F2F2F2"/>
            <w:hideMark/>
          </w:tcPr>
          <w:p w14:paraId="0A98D1F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3BC9E2B" w14:textId="77777777" w:rsidR="002A4DDF" w:rsidRPr="00937C8B" w:rsidRDefault="002A4DDF" w:rsidP="009110ED">
            <w:pPr>
              <w:rPr>
                <w:rFonts w:ascii="Arial" w:hAnsi="Arial" w:cs="Arial"/>
                <w:sz w:val="12"/>
                <w:szCs w:val="12"/>
              </w:rPr>
            </w:pPr>
            <w:r>
              <w:rPr>
                <w:rFonts w:ascii="Arial" w:hAnsi="Arial"/>
                <w:sz w:val="12"/>
                <w:szCs w:val="12"/>
              </w:rPr>
              <w:t>Santiso</w:t>
            </w:r>
          </w:p>
        </w:tc>
      </w:tr>
      <w:tr w:rsidR="002A4DDF" w:rsidRPr="00937C8B" w14:paraId="10850490" w14:textId="77777777" w:rsidTr="00935676">
        <w:trPr>
          <w:cantSplit/>
        </w:trPr>
        <w:tc>
          <w:tcPr>
            <w:tcW w:w="1696" w:type="dxa"/>
            <w:tcBorders>
              <w:left w:val="single" w:sz="4" w:space="0" w:color="auto"/>
            </w:tcBorders>
            <w:shd w:val="clear" w:color="auto" w:fill="auto"/>
          </w:tcPr>
          <w:p w14:paraId="7E827EBC" w14:textId="77777777" w:rsidR="002A4DDF" w:rsidRPr="00937C8B" w:rsidRDefault="002A4DDF" w:rsidP="009110ED">
            <w:pPr>
              <w:rPr>
                <w:rFonts w:ascii="Arial" w:hAnsi="Arial" w:cs="Arial"/>
                <w:sz w:val="12"/>
                <w:szCs w:val="12"/>
              </w:rPr>
            </w:pPr>
          </w:p>
        </w:tc>
        <w:tc>
          <w:tcPr>
            <w:tcW w:w="1843" w:type="dxa"/>
            <w:shd w:val="clear" w:color="auto" w:fill="auto"/>
          </w:tcPr>
          <w:p w14:paraId="6F44FD10" w14:textId="77777777" w:rsidR="002A4DDF" w:rsidRPr="00937C8B" w:rsidRDefault="002A4DDF" w:rsidP="009110ED">
            <w:pPr>
              <w:rPr>
                <w:rFonts w:ascii="Arial" w:hAnsi="Arial" w:cs="Arial"/>
                <w:sz w:val="12"/>
                <w:szCs w:val="12"/>
              </w:rPr>
            </w:pPr>
          </w:p>
        </w:tc>
        <w:tc>
          <w:tcPr>
            <w:tcW w:w="2268" w:type="dxa"/>
            <w:shd w:val="clear" w:color="auto" w:fill="F2F2F2"/>
            <w:hideMark/>
          </w:tcPr>
          <w:p w14:paraId="44AD37F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447C608" w14:textId="77777777" w:rsidR="002A4DDF" w:rsidRPr="00937C8B" w:rsidRDefault="002A4DDF" w:rsidP="009110ED">
            <w:pPr>
              <w:rPr>
                <w:rFonts w:ascii="Arial" w:hAnsi="Arial" w:cs="Arial"/>
                <w:sz w:val="12"/>
                <w:szCs w:val="12"/>
              </w:rPr>
            </w:pPr>
            <w:r>
              <w:rPr>
                <w:rFonts w:ascii="Arial" w:hAnsi="Arial"/>
                <w:sz w:val="12"/>
                <w:szCs w:val="12"/>
              </w:rPr>
              <w:t>Teo</w:t>
            </w:r>
          </w:p>
        </w:tc>
      </w:tr>
      <w:tr w:rsidR="002A4DDF" w:rsidRPr="00937C8B" w14:paraId="49C29893" w14:textId="77777777" w:rsidTr="00935676">
        <w:trPr>
          <w:cantSplit/>
        </w:trPr>
        <w:tc>
          <w:tcPr>
            <w:tcW w:w="1696" w:type="dxa"/>
            <w:tcBorders>
              <w:left w:val="single" w:sz="4" w:space="0" w:color="auto"/>
            </w:tcBorders>
            <w:shd w:val="clear" w:color="auto" w:fill="auto"/>
          </w:tcPr>
          <w:p w14:paraId="5A0CD21E" w14:textId="77777777" w:rsidR="002A4DDF" w:rsidRPr="00937C8B" w:rsidRDefault="002A4DDF" w:rsidP="009110ED">
            <w:pPr>
              <w:rPr>
                <w:rFonts w:ascii="Arial" w:hAnsi="Arial" w:cs="Arial"/>
                <w:sz w:val="12"/>
                <w:szCs w:val="12"/>
              </w:rPr>
            </w:pPr>
          </w:p>
        </w:tc>
        <w:tc>
          <w:tcPr>
            <w:tcW w:w="1843" w:type="dxa"/>
            <w:shd w:val="clear" w:color="auto" w:fill="auto"/>
          </w:tcPr>
          <w:p w14:paraId="38E59F84" w14:textId="77777777" w:rsidR="002A4DDF" w:rsidRPr="00937C8B" w:rsidRDefault="002A4DDF" w:rsidP="009110ED">
            <w:pPr>
              <w:rPr>
                <w:rFonts w:ascii="Arial" w:hAnsi="Arial" w:cs="Arial"/>
                <w:sz w:val="12"/>
                <w:szCs w:val="12"/>
              </w:rPr>
            </w:pPr>
          </w:p>
        </w:tc>
        <w:tc>
          <w:tcPr>
            <w:tcW w:w="2268" w:type="dxa"/>
            <w:shd w:val="clear" w:color="auto" w:fill="F2F2F2"/>
            <w:hideMark/>
          </w:tcPr>
          <w:p w14:paraId="5C2563E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17612F9" w14:textId="77777777" w:rsidR="002A4DDF" w:rsidRPr="00937C8B" w:rsidRDefault="002A4DDF" w:rsidP="009110ED">
            <w:pPr>
              <w:rPr>
                <w:rFonts w:ascii="Arial" w:hAnsi="Arial" w:cs="Arial"/>
                <w:sz w:val="12"/>
                <w:szCs w:val="12"/>
              </w:rPr>
            </w:pPr>
            <w:r>
              <w:rPr>
                <w:rFonts w:ascii="Arial" w:hAnsi="Arial"/>
                <w:sz w:val="12"/>
                <w:szCs w:val="12"/>
              </w:rPr>
              <w:t>Toques</w:t>
            </w:r>
          </w:p>
        </w:tc>
      </w:tr>
      <w:tr w:rsidR="002A4DDF" w:rsidRPr="00937C8B" w14:paraId="56DFFBFB" w14:textId="77777777" w:rsidTr="00935676">
        <w:trPr>
          <w:cantSplit/>
        </w:trPr>
        <w:tc>
          <w:tcPr>
            <w:tcW w:w="1696" w:type="dxa"/>
            <w:tcBorders>
              <w:left w:val="single" w:sz="4" w:space="0" w:color="auto"/>
            </w:tcBorders>
            <w:shd w:val="clear" w:color="auto" w:fill="auto"/>
          </w:tcPr>
          <w:p w14:paraId="49640922" w14:textId="77777777" w:rsidR="002A4DDF" w:rsidRPr="00937C8B" w:rsidRDefault="002A4DDF" w:rsidP="009110ED">
            <w:pPr>
              <w:rPr>
                <w:rFonts w:ascii="Arial" w:hAnsi="Arial" w:cs="Arial"/>
                <w:sz w:val="12"/>
                <w:szCs w:val="12"/>
              </w:rPr>
            </w:pPr>
          </w:p>
        </w:tc>
        <w:tc>
          <w:tcPr>
            <w:tcW w:w="1843" w:type="dxa"/>
            <w:shd w:val="clear" w:color="auto" w:fill="auto"/>
          </w:tcPr>
          <w:p w14:paraId="1DBF2D01" w14:textId="77777777" w:rsidR="002A4DDF" w:rsidRPr="00937C8B" w:rsidRDefault="002A4DDF" w:rsidP="009110ED">
            <w:pPr>
              <w:rPr>
                <w:rFonts w:ascii="Arial" w:hAnsi="Arial" w:cs="Arial"/>
                <w:sz w:val="12"/>
                <w:szCs w:val="12"/>
              </w:rPr>
            </w:pPr>
          </w:p>
        </w:tc>
        <w:tc>
          <w:tcPr>
            <w:tcW w:w="2268" w:type="dxa"/>
            <w:shd w:val="clear" w:color="auto" w:fill="F2F2F2"/>
            <w:hideMark/>
          </w:tcPr>
          <w:p w14:paraId="4A2E361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9DCCE37" w14:textId="77777777" w:rsidR="002A4DDF" w:rsidRPr="00937C8B" w:rsidRDefault="002A4DDF" w:rsidP="009110ED">
            <w:pPr>
              <w:rPr>
                <w:rFonts w:ascii="Arial" w:hAnsi="Arial" w:cs="Arial"/>
                <w:sz w:val="12"/>
                <w:szCs w:val="12"/>
              </w:rPr>
            </w:pPr>
            <w:r>
              <w:rPr>
                <w:rFonts w:ascii="Arial" w:hAnsi="Arial"/>
                <w:sz w:val="12"/>
                <w:szCs w:val="12"/>
              </w:rPr>
              <w:t>Tordoia</w:t>
            </w:r>
          </w:p>
        </w:tc>
      </w:tr>
      <w:tr w:rsidR="002A4DDF" w:rsidRPr="00937C8B" w14:paraId="278CBDBD" w14:textId="77777777" w:rsidTr="00935676">
        <w:trPr>
          <w:cantSplit/>
        </w:trPr>
        <w:tc>
          <w:tcPr>
            <w:tcW w:w="1696" w:type="dxa"/>
            <w:tcBorders>
              <w:left w:val="single" w:sz="4" w:space="0" w:color="auto"/>
            </w:tcBorders>
            <w:shd w:val="clear" w:color="auto" w:fill="auto"/>
          </w:tcPr>
          <w:p w14:paraId="69D2AA84" w14:textId="77777777" w:rsidR="002A4DDF" w:rsidRPr="00937C8B" w:rsidRDefault="002A4DDF" w:rsidP="009110ED">
            <w:pPr>
              <w:rPr>
                <w:rFonts w:ascii="Arial" w:hAnsi="Arial" w:cs="Arial"/>
                <w:sz w:val="12"/>
                <w:szCs w:val="12"/>
              </w:rPr>
            </w:pPr>
          </w:p>
        </w:tc>
        <w:tc>
          <w:tcPr>
            <w:tcW w:w="1843" w:type="dxa"/>
            <w:shd w:val="clear" w:color="auto" w:fill="auto"/>
          </w:tcPr>
          <w:p w14:paraId="51E47E17" w14:textId="77777777" w:rsidR="002A4DDF" w:rsidRPr="00937C8B" w:rsidRDefault="002A4DDF" w:rsidP="009110ED">
            <w:pPr>
              <w:rPr>
                <w:rFonts w:ascii="Arial" w:hAnsi="Arial" w:cs="Arial"/>
                <w:sz w:val="12"/>
                <w:szCs w:val="12"/>
              </w:rPr>
            </w:pPr>
          </w:p>
        </w:tc>
        <w:tc>
          <w:tcPr>
            <w:tcW w:w="2268" w:type="dxa"/>
            <w:shd w:val="clear" w:color="auto" w:fill="F2F2F2"/>
            <w:hideMark/>
          </w:tcPr>
          <w:p w14:paraId="45C6270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DD3F5E2" w14:textId="77777777" w:rsidR="002A4DDF" w:rsidRPr="00937C8B" w:rsidRDefault="002A4DDF" w:rsidP="009110ED">
            <w:pPr>
              <w:rPr>
                <w:rFonts w:ascii="Arial" w:hAnsi="Arial" w:cs="Arial"/>
                <w:sz w:val="12"/>
                <w:szCs w:val="12"/>
              </w:rPr>
            </w:pPr>
            <w:r>
              <w:rPr>
                <w:rFonts w:ascii="Arial" w:hAnsi="Arial"/>
                <w:sz w:val="12"/>
                <w:szCs w:val="12"/>
              </w:rPr>
              <w:t>Touro</w:t>
            </w:r>
          </w:p>
        </w:tc>
      </w:tr>
      <w:tr w:rsidR="002A4DDF" w:rsidRPr="00937C8B" w14:paraId="50D2E221" w14:textId="77777777" w:rsidTr="00935676">
        <w:trPr>
          <w:cantSplit/>
        </w:trPr>
        <w:tc>
          <w:tcPr>
            <w:tcW w:w="1696" w:type="dxa"/>
            <w:tcBorders>
              <w:left w:val="single" w:sz="4" w:space="0" w:color="auto"/>
            </w:tcBorders>
            <w:shd w:val="clear" w:color="auto" w:fill="auto"/>
          </w:tcPr>
          <w:p w14:paraId="5D57BEF2" w14:textId="77777777" w:rsidR="002A4DDF" w:rsidRPr="00937C8B" w:rsidRDefault="002A4DDF" w:rsidP="009110ED">
            <w:pPr>
              <w:rPr>
                <w:rFonts w:ascii="Arial" w:hAnsi="Arial" w:cs="Arial"/>
                <w:sz w:val="12"/>
                <w:szCs w:val="12"/>
              </w:rPr>
            </w:pPr>
          </w:p>
        </w:tc>
        <w:tc>
          <w:tcPr>
            <w:tcW w:w="1843" w:type="dxa"/>
            <w:shd w:val="clear" w:color="auto" w:fill="auto"/>
          </w:tcPr>
          <w:p w14:paraId="0A45281A" w14:textId="77777777" w:rsidR="002A4DDF" w:rsidRPr="00937C8B" w:rsidRDefault="002A4DDF" w:rsidP="009110ED">
            <w:pPr>
              <w:rPr>
                <w:rFonts w:ascii="Arial" w:hAnsi="Arial" w:cs="Arial"/>
                <w:sz w:val="12"/>
                <w:szCs w:val="12"/>
              </w:rPr>
            </w:pPr>
          </w:p>
        </w:tc>
        <w:tc>
          <w:tcPr>
            <w:tcW w:w="2268" w:type="dxa"/>
            <w:shd w:val="clear" w:color="auto" w:fill="F2F2F2"/>
            <w:hideMark/>
          </w:tcPr>
          <w:p w14:paraId="1A202D4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F761A11" w14:textId="77777777" w:rsidR="002A4DDF" w:rsidRPr="00937C8B" w:rsidRDefault="002A4DDF" w:rsidP="009110ED">
            <w:pPr>
              <w:rPr>
                <w:rFonts w:ascii="Arial" w:hAnsi="Arial" w:cs="Arial"/>
                <w:sz w:val="12"/>
                <w:szCs w:val="12"/>
              </w:rPr>
            </w:pPr>
            <w:r>
              <w:rPr>
                <w:rFonts w:ascii="Arial" w:hAnsi="Arial"/>
                <w:sz w:val="12"/>
                <w:szCs w:val="12"/>
              </w:rPr>
              <w:t>Trazo</w:t>
            </w:r>
          </w:p>
        </w:tc>
      </w:tr>
      <w:tr w:rsidR="002A4DDF" w:rsidRPr="00937C8B" w14:paraId="0BD62915" w14:textId="77777777" w:rsidTr="00935676">
        <w:trPr>
          <w:cantSplit/>
        </w:trPr>
        <w:tc>
          <w:tcPr>
            <w:tcW w:w="1696" w:type="dxa"/>
            <w:tcBorders>
              <w:left w:val="single" w:sz="4" w:space="0" w:color="auto"/>
            </w:tcBorders>
            <w:shd w:val="clear" w:color="auto" w:fill="auto"/>
          </w:tcPr>
          <w:p w14:paraId="4539F1AA" w14:textId="77777777" w:rsidR="002A4DDF" w:rsidRPr="00937C8B" w:rsidRDefault="002A4DDF" w:rsidP="009110ED">
            <w:pPr>
              <w:rPr>
                <w:rFonts w:ascii="Arial" w:hAnsi="Arial" w:cs="Arial"/>
                <w:sz w:val="12"/>
                <w:szCs w:val="12"/>
              </w:rPr>
            </w:pPr>
          </w:p>
        </w:tc>
        <w:tc>
          <w:tcPr>
            <w:tcW w:w="1843" w:type="dxa"/>
            <w:shd w:val="clear" w:color="auto" w:fill="auto"/>
          </w:tcPr>
          <w:p w14:paraId="5AF8F341" w14:textId="77777777" w:rsidR="002A4DDF" w:rsidRPr="00937C8B" w:rsidRDefault="002A4DDF" w:rsidP="009110ED">
            <w:pPr>
              <w:rPr>
                <w:rFonts w:ascii="Arial" w:hAnsi="Arial" w:cs="Arial"/>
                <w:sz w:val="12"/>
                <w:szCs w:val="12"/>
              </w:rPr>
            </w:pPr>
          </w:p>
        </w:tc>
        <w:tc>
          <w:tcPr>
            <w:tcW w:w="2268" w:type="dxa"/>
            <w:shd w:val="clear" w:color="auto" w:fill="F2F2F2"/>
            <w:hideMark/>
          </w:tcPr>
          <w:p w14:paraId="1B98DF0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2B1D8C7" w14:textId="77777777" w:rsidR="002A4DDF" w:rsidRPr="00937C8B" w:rsidRDefault="002A4DDF" w:rsidP="009110ED">
            <w:pPr>
              <w:rPr>
                <w:rFonts w:ascii="Arial" w:hAnsi="Arial" w:cs="Arial"/>
                <w:sz w:val="12"/>
                <w:szCs w:val="12"/>
              </w:rPr>
            </w:pPr>
            <w:r>
              <w:rPr>
                <w:rFonts w:ascii="Arial" w:hAnsi="Arial"/>
                <w:sz w:val="12"/>
                <w:szCs w:val="12"/>
              </w:rPr>
              <w:t>Val do Dubra</w:t>
            </w:r>
          </w:p>
        </w:tc>
      </w:tr>
      <w:tr w:rsidR="002A4DDF" w:rsidRPr="00937C8B" w14:paraId="709DA04E" w14:textId="77777777" w:rsidTr="00935676">
        <w:trPr>
          <w:cantSplit/>
        </w:trPr>
        <w:tc>
          <w:tcPr>
            <w:tcW w:w="1696" w:type="dxa"/>
            <w:tcBorders>
              <w:left w:val="single" w:sz="4" w:space="0" w:color="auto"/>
            </w:tcBorders>
            <w:shd w:val="clear" w:color="auto" w:fill="auto"/>
          </w:tcPr>
          <w:p w14:paraId="31F2B57D" w14:textId="77777777" w:rsidR="002A4DDF" w:rsidRPr="00937C8B" w:rsidRDefault="002A4DDF" w:rsidP="009110ED">
            <w:pPr>
              <w:rPr>
                <w:rFonts w:ascii="Arial" w:hAnsi="Arial" w:cs="Arial"/>
                <w:sz w:val="12"/>
                <w:szCs w:val="12"/>
              </w:rPr>
            </w:pPr>
          </w:p>
        </w:tc>
        <w:tc>
          <w:tcPr>
            <w:tcW w:w="1843" w:type="dxa"/>
            <w:shd w:val="clear" w:color="auto" w:fill="auto"/>
          </w:tcPr>
          <w:p w14:paraId="4729525A" w14:textId="77777777" w:rsidR="002A4DDF" w:rsidRPr="00937C8B" w:rsidRDefault="002A4DDF" w:rsidP="009110ED">
            <w:pPr>
              <w:rPr>
                <w:rFonts w:ascii="Arial" w:hAnsi="Arial" w:cs="Arial"/>
                <w:sz w:val="12"/>
                <w:szCs w:val="12"/>
              </w:rPr>
            </w:pPr>
          </w:p>
        </w:tc>
        <w:tc>
          <w:tcPr>
            <w:tcW w:w="2268" w:type="dxa"/>
            <w:shd w:val="clear" w:color="auto" w:fill="F2F2F2"/>
            <w:hideMark/>
          </w:tcPr>
          <w:p w14:paraId="17492DA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D6902CF" w14:textId="77777777" w:rsidR="002A4DDF" w:rsidRPr="00937C8B" w:rsidRDefault="002A4DDF" w:rsidP="009110ED">
            <w:pPr>
              <w:rPr>
                <w:rFonts w:ascii="Arial" w:hAnsi="Arial" w:cs="Arial"/>
                <w:sz w:val="12"/>
                <w:szCs w:val="12"/>
              </w:rPr>
            </w:pPr>
            <w:r>
              <w:rPr>
                <w:rFonts w:ascii="Arial" w:hAnsi="Arial"/>
                <w:sz w:val="12"/>
                <w:szCs w:val="12"/>
              </w:rPr>
              <w:t>Valdoviño</w:t>
            </w:r>
          </w:p>
        </w:tc>
      </w:tr>
      <w:tr w:rsidR="002A4DDF" w:rsidRPr="00937C8B" w14:paraId="5C7DA563" w14:textId="77777777" w:rsidTr="00935676">
        <w:trPr>
          <w:cantSplit/>
        </w:trPr>
        <w:tc>
          <w:tcPr>
            <w:tcW w:w="1696" w:type="dxa"/>
            <w:tcBorders>
              <w:left w:val="single" w:sz="4" w:space="0" w:color="auto"/>
            </w:tcBorders>
            <w:shd w:val="clear" w:color="auto" w:fill="auto"/>
          </w:tcPr>
          <w:p w14:paraId="6A1BB9C2" w14:textId="77777777" w:rsidR="002A4DDF" w:rsidRPr="00937C8B" w:rsidRDefault="002A4DDF" w:rsidP="009110ED">
            <w:pPr>
              <w:rPr>
                <w:rFonts w:ascii="Arial" w:hAnsi="Arial" w:cs="Arial"/>
                <w:sz w:val="12"/>
                <w:szCs w:val="12"/>
              </w:rPr>
            </w:pPr>
          </w:p>
        </w:tc>
        <w:tc>
          <w:tcPr>
            <w:tcW w:w="1843" w:type="dxa"/>
            <w:shd w:val="clear" w:color="auto" w:fill="auto"/>
          </w:tcPr>
          <w:p w14:paraId="44B23732" w14:textId="77777777" w:rsidR="002A4DDF" w:rsidRPr="00937C8B" w:rsidRDefault="002A4DDF" w:rsidP="009110ED">
            <w:pPr>
              <w:rPr>
                <w:rFonts w:ascii="Arial" w:hAnsi="Arial" w:cs="Arial"/>
                <w:sz w:val="12"/>
                <w:szCs w:val="12"/>
              </w:rPr>
            </w:pPr>
          </w:p>
        </w:tc>
        <w:tc>
          <w:tcPr>
            <w:tcW w:w="2268" w:type="dxa"/>
            <w:shd w:val="clear" w:color="auto" w:fill="F2F2F2"/>
            <w:hideMark/>
          </w:tcPr>
          <w:p w14:paraId="03FC4C5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1094A8D" w14:textId="77777777" w:rsidR="002A4DDF" w:rsidRPr="00937C8B" w:rsidRDefault="002A4DDF" w:rsidP="009110ED">
            <w:pPr>
              <w:rPr>
                <w:rFonts w:ascii="Arial" w:hAnsi="Arial" w:cs="Arial"/>
                <w:sz w:val="12"/>
                <w:szCs w:val="12"/>
              </w:rPr>
            </w:pPr>
            <w:r>
              <w:rPr>
                <w:rFonts w:ascii="Arial" w:hAnsi="Arial"/>
                <w:sz w:val="12"/>
                <w:szCs w:val="12"/>
              </w:rPr>
              <w:t>Vedra</w:t>
            </w:r>
          </w:p>
        </w:tc>
      </w:tr>
      <w:tr w:rsidR="002A4DDF" w:rsidRPr="00937C8B" w14:paraId="14E91C5C" w14:textId="77777777" w:rsidTr="00935676">
        <w:trPr>
          <w:cantSplit/>
        </w:trPr>
        <w:tc>
          <w:tcPr>
            <w:tcW w:w="1696" w:type="dxa"/>
            <w:tcBorders>
              <w:left w:val="single" w:sz="4" w:space="0" w:color="auto"/>
            </w:tcBorders>
            <w:shd w:val="clear" w:color="auto" w:fill="auto"/>
          </w:tcPr>
          <w:p w14:paraId="5B3EC093" w14:textId="77777777" w:rsidR="002A4DDF" w:rsidRPr="00937C8B" w:rsidRDefault="002A4DDF" w:rsidP="009110ED">
            <w:pPr>
              <w:rPr>
                <w:rFonts w:ascii="Arial" w:hAnsi="Arial" w:cs="Arial"/>
                <w:sz w:val="12"/>
                <w:szCs w:val="12"/>
              </w:rPr>
            </w:pPr>
          </w:p>
        </w:tc>
        <w:tc>
          <w:tcPr>
            <w:tcW w:w="1843" w:type="dxa"/>
            <w:shd w:val="clear" w:color="auto" w:fill="auto"/>
          </w:tcPr>
          <w:p w14:paraId="116EA524" w14:textId="77777777" w:rsidR="002A4DDF" w:rsidRPr="00937C8B" w:rsidRDefault="002A4DDF" w:rsidP="009110ED">
            <w:pPr>
              <w:rPr>
                <w:rFonts w:ascii="Arial" w:hAnsi="Arial" w:cs="Arial"/>
                <w:sz w:val="12"/>
                <w:szCs w:val="12"/>
              </w:rPr>
            </w:pPr>
          </w:p>
        </w:tc>
        <w:tc>
          <w:tcPr>
            <w:tcW w:w="2268" w:type="dxa"/>
            <w:shd w:val="clear" w:color="auto" w:fill="F2F2F2"/>
            <w:hideMark/>
          </w:tcPr>
          <w:p w14:paraId="5CC2127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C4B6EDF" w14:textId="77777777" w:rsidR="002A4DDF" w:rsidRPr="00937C8B" w:rsidRDefault="002A4DDF" w:rsidP="009110ED">
            <w:pPr>
              <w:rPr>
                <w:rFonts w:ascii="Arial" w:hAnsi="Arial" w:cs="Arial"/>
                <w:sz w:val="12"/>
                <w:szCs w:val="12"/>
              </w:rPr>
            </w:pPr>
            <w:r>
              <w:rPr>
                <w:rFonts w:ascii="Arial" w:hAnsi="Arial"/>
                <w:sz w:val="12"/>
                <w:szCs w:val="12"/>
              </w:rPr>
              <w:t>Vilarmaior</w:t>
            </w:r>
          </w:p>
        </w:tc>
      </w:tr>
      <w:tr w:rsidR="002A4DDF" w:rsidRPr="00937C8B" w14:paraId="401729E7" w14:textId="77777777" w:rsidTr="00935676">
        <w:trPr>
          <w:cantSplit/>
        </w:trPr>
        <w:tc>
          <w:tcPr>
            <w:tcW w:w="1696" w:type="dxa"/>
            <w:tcBorders>
              <w:left w:val="single" w:sz="4" w:space="0" w:color="auto"/>
            </w:tcBorders>
            <w:shd w:val="clear" w:color="auto" w:fill="auto"/>
          </w:tcPr>
          <w:p w14:paraId="4DF1A381" w14:textId="77777777" w:rsidR="002A4DDF" w:rsidRPr="00937C8B" w:rsidRDefault="002A4DDF" w:rsidP="009110ED">
            <w:pPr>
              <w:rPr>
                <w:rFonts w:ascii="Arial" w:hAnsi="Arial" w:cs="Arial"/>
                <w:sz w:val="12"/>
                <w:szCs w:val="12"/>
              </w:rPr>
            </w:pPr>
          </w:p>
        </w:tc>
        <w:tc>
          <w:tcPr>
            <w:tcW w:w="1843" w:type="dxa"/>
            <w:shd w:val="clear" w:color="auto" w:fill="auto"/>
          </w:tcPr>
          <w:p w14:paraId="4A1A5A8A" w14:textId="77777777" w:rsidR="002A4DDF" w:rsidRPr="00937C8B" w:rsidRDefault="002A4DDF" w:rsidP="009110ED">
            <w:pPr>
              <w:rPr>
                <w:rFonts w:ascii="Arial" w:hAnsi="Arial" w:cs="Arial"/>
                <w:sz w:val="12"/>
                <w:szCs w:val="12"/>
              </w:rPr>
            </w:pPr>
          </w:p>
        </w:tc>
        <w:tc>
          <w:tcPr>
            <w:tcW w:w="2268" w:type="dxa"/>
            <w:shd w:val="clear" w:color="auto" w:fill="F2F2F2"/>
            <w:hideMark/>
          </w:tcPr>
          <w:p w14:paraId="70102F5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7F4A97E" w14:textId="77777777" w:rsidR="002A4DDF" w:rsidRPr="00937C8B" w:rsidRDefault="002A4DDF" w:rsidP="009110ED">
            <w:pPr>
              <w:rPr>
                <w:rFonts w:ascii="Arial" w:hAnsi="Arial" w:cs="Arial"/>
                <w:sz w:val="12"/>
                <w:szCs w:val="12"/>
              </w:rPr>
            </w:pPr>
            <w:r>
              <w:rPr>
                <w:rFonts w:ascii="Arial" w:hAnsi="Arial"/>
                <w:sz w:val="12"/>
                <w:szCs w:val="12"/>
              </w:rPr>
              <w:t>Vilasantar</w:t>
            </w:r>
          </w:p>
        </w:tc>
      </w:tr>
      <w:tr w:rsidR="002A4DDF" w:rsidRPr="00937C8B" w14:paraId="47F6DAD3" w14:textId="77777777" w:rsidTr="00935676">
        <w:trPr>
          <w:cantSplit/>
        </w:trPr>
        <w:tc>
          <w:tcPr>
            <w:tcW w:w="1696" w:type="dxa"/>
            <w:tcBorders>
              <w:left w:val="single" w:sz="4" w:space="0" w:color="auto"/>
            </w:tcBorders>
            <w:shd w:val="clear" w:color="auto" w:fill="auto"/>
          </w:tcPr>
          <w:p w14:paraId="53AF68AB" w14:textId="77777777" w:rsidR="002A4DDF" w:rsidRPr="00937C8B" w:rsidRDefault="002A4DDF" w:rsidP="009110ED">
            <w:pPr>
              <w:rPr>
                <w:rFonts w:ascii="Arial" w:hAnsi="Arial" w:cs="Arial"/>
                <w:sz w:val="12"/>
                <w:szCs w:val="12"/>
              </w:rPr>
            </w:pPr>
          </w:p>
        </w:tc>
        <w:tc>
          <w:tcPr>
            <w:tcW w:w="1843" w:type="dxa"/>
            <w:shd w:val="clear" w:color="auto" w:fill="auto"/>
          </w:tcPr>
          <w:p w14:paraId="0B4F5B97" w14:textId="77777777" w:rsidR="002A4DDF" w:rsidRPr="00937C8B" w:rsidRDefault="002A4DDF" w:rsidP="009110ED">
            <w:pPr>
              <w:rPr>
                <w:rFonts w:ascii="Arial" w:hAnsi="Arial" w:cs="Arial"/>
                <w:sz w:val="12"/>
                <w:szCs w:val="12"/>
              </w:rPr>
            </w:pPr>
          </w:p>
        </w:tc>
        <w:tc>
          <w:tcPr>
            <w:tcW w:w="2268" w:type="dxa"/>
            <w:shd w:val="clear" w:color="auto" w:fill="F2F2F2"/>
            <w:hideMark/>
          </w:tcPr>
          <w:p w14:paraId="7E795FC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15D6BA2" w14:textId="77777777" w:rsidR="002A4DDF" w:rsidRPr="00937C8B" w:rsidRDefault="002A4DDF" w:rsidP="009110ED">
            <w:pPr>
              <w:rPr>
                <w:rFonts w:ascii="Arial" w:hAnsi="Arial" w:cs="Arial"/>
                <w:sz w:val="12"/>
                <w:szCs w:val="12"/>
              </w:rPr>
            </w:pPr>
            <w:r>
              <w:rPr>
                <w:rFonts w:ascii="Arial" w:hAnsi="Arial"/>
                <w:sz w:val="12"/>
                <w:szCs w:val="12"/>
              </w:rPr>
              <w:t>Vimianzo</w:t>
            </w:r>
          </w:p>
        </w:tc>
      </w:tr>
      <w:tr w:rsidR="002A4DDF" w:rsidRPr="00937C8B" w14:paraId="779211E5" w14:textId="77777777" w:rsidTr="00935676">
        <w:trPr>
          <w:cantSplit/>
        </w:trPr>
        <w:tc>
          <w:tcPr>
            <w:tcW w:w="1696" w:type="dxa"/>
            <w:tcBorders>
              <w:left w:val="single" w:sz="4" w:space="0" w:color="auto"/>
              <w:bottom w:val="single" w:sz="4" w:space="0" w:color="auto"/>
            </w:tcBorders>
            <w:shd w:val="clear" w:color="auto" w:fill="auto"/>
            <w:hideMark/>
          </w:tcPr>
          <w:p w14:paraId="6435BA99" w14:textId="77777777" w:rsidR="002A4DDF" w:rsidRPr="00937C8B" w:rsidRDefault="002A4DDF" w:rsidP="009110ED">
            <w:pPr>
              <w:rPr>
                <w:rFonts w:ascii="Arial" w:hAnsi="Arial" w:cs="Arial"/>
                <w:sz w:val="12"/>
                <w:szCs w:val="12"/>
              </w:rPr>
            </w:pPr>
            <w:r>
              <w:rPr>
                <w:rFonts w:ascii="Arial" w:hAnsi="Arial"/>
                <w:sz w:val="12"/>
                <w:szCs w:val="12"/>
              </w:rPr>
              <w:t>Galice</w:t>
            </w:r>
          </w:p>
        </w:tc>
        <w:tc>
          <w:tcPr>
            <w:tcW w:w="1843" w:type="dxa"/>
            <w:tcBorders>
              <w:bottom w:val="single" w:sz="4" w:space="0" w:color="auto"/>
            </w:tcBorders>
            <w:shd w:val="clear" w:color="auto" w:fill="auto"/>
            <w:hideMark/>
          </w:tcPr>
          <w:p w14:paraId="7C4479A3" w14:textId="77777777" w:rsidR="002A4DDF" w:rsidRPr="00937C8B" w:rsidRDefault="002A4DDF" w:rsidP="009110ED">
            <w:pPr>
              <w:rPr>
                <w:rFonts w:ascii="Arial" w:hAnsi="Arial" w:cs="Arial"/>
                <w:sz w:val="12"/>
                <w:szCs w:val="12"/>
              </w:rPr>
            </w:pPr>
            <w:r>
              <w:rPr>
                <w:rFonts w:ascii="Arial" w:hAnsi="Arial"/>
                <w:sz w:val="12"/>
                <w:szCs w:val="12"/>
              </w:rPr>
              <w:t>La Corogne</w:t>
            </w:r>
          </w:p>
        </w:tc>
        <w:tc>
          <w:tcPr>
            <w:tcW w:w="2268" w:type="dxa"/>
            <w:tcBorders>
              <w:bottom w:val="single" w:sz="4" w:space="0" w:color="auto"/>
            </w:tcBorders>
            <w:shd w:val="clear" w:color="auto" w:fill="F2F2F2"/>
            <w:hideMark/>
          </w:tcPr>
          <w:p w14:paraId="69FB5E4B"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6B5D5BA7" w14:textId="77777777" w:rsidR="002A4DDF" w:rsidRPr="00937C8B" w:rsidRDefault="002A4DDF" w:rsidP="009110ED">
            <w:pPr>
              <w:rPr>
                <w:rFonts w:ascii="Arial" w:hAnsi="Arial" w:cs="Arial"/>
                <w:sz w:val="12"/>
                <w:szCs w:val="12"/>
              </w:rPr>
            </w:pPr>
            <w:r>
              <w:rPr>
                <w:rFonts w:ascii="Arial" w:hAnsi="Arial"/>
                <w:sz w:val="12"/>
                <w:szCs w:val="12"/>
              </w:rPr>
              <w:t>Zas</w:t>
            </w:r>
          </w:p>
        </w:tc>
      </w:tr>
      <w:tr w:rsidR="002A4DDF" w:rsidRPr="00937C8B" w14:paraId="679E1D6D" w14:textId="77777777" w:rsidTr="00935676">
        <w:trPr>
          <w:cantSplit/>
        </w:trPr>
        <w:tc>
          <w:tcPr>
            <w:tcW w:w="1696" w:type="dxa"/>
            <w:tcBorders>
              <w:top w:val="single" w:sz="4" w:space="0" w:color="auto"/>
              <w:bottom w:val="single" w:sz="4" w:space="0" w:color="auto"/>
            </w:tcBorders>
            <w:shd w:val="clear" w:color="auto" w:fill="auto"/>
            <w:hideMark/>
          </w:tcPr>
          <w:p w14:paraId="39C584B0"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69802F93"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75ADF9DC"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2E57567F" w14:textId="77777777" w:rsidR="002A4DDF" w:rsidRPr="00937C8B" w:rsidRDefault="002A4DDF" w:rsidP="009110ED">
            <w:pPr>
              <w:rPr>
                <w:rFonts w:ascii="Arial" w:hAnsi="Arial" w:cs="Arial"/>
                <w:sz w:val="12"/>
                <w:szCs w:val="12"/>
              </w:rPr>
            </w:pPr>
          </w:p>
        </w:tc>
      </w:tr>
      <w:tr w:rsidR="002A4DDF" w:rsidRPr="00937C8B" w14:paraId="029244A3" w14:textId="77777777" w:rsidTr="00935676">
        <w:trPr>
          <w:cantSplit/>
        </w:trPr>
        <w:tc>
          <w:tcPr>
            <w:tcW w:w="1696" w:type="dxa"/>
            <w:tcBorders>
              <w:top w:val="single" w:sz="4" w:space="0" w:color="auto"/>
              <w:left w:val="single" w:sz="4" w:space="0" w:color="auto"/>
            </w:tcBorders>
            <w:shd w:val="clear" w:color="auto" w:fill="auto"/>
            <w:hideMark/>
          </w:tcPr>
          <w:p w14:paraId="37DBCFE4" w14:textId="77777777" w:rsidR="002A4DDF" w:rsidRPr="00937C8B" w:rsidRDefault="002A4DDF" w:rsidP="009110ED">
            <w:pPr>
              <w:rPr>
                <w:rFonts w:ascii="Arial" w:hAnsi="Arial" w:cs="Arial"/>
                <w:sz w:val="12"/>
                <w:szCs w:val="12"/>
              </w:rPr>
            </w:pPr>
            <w:r>
              <w:rPr>
                <w:rFonts w:ascii="Arial" w:hAnsi="Arial"/>
                <w:sz w:val="12"/>
                <w:szCs w:val="12"/>
              </w:rPr>
              <w:t>Galice</w:t>
            </w:r>
          </w:p>
        </w:tc>
        <w:tc>
          <w:tcPr>
            <w:tcW w:w="1843" w:type="dxa"/>
            <w:tcBorders>
              <w:top w:val="single" w:sz="4" w:space="0" w:color="auto"/>
            </w:tcBorders>
            <w:shd w:val="clear" w:color="auto" w:fill="auto"/>
            <w:hideMark/>
          </w:tcPr>
          <w:p w14:paraId="06C329E2" w14:textId="77777777" w:rsidR="002A4DDF" w:rsidRPr="00937C8B" w:rsidRDefault="002A4DDF" w:rsidP="009110ED">
            <w:pPr>
              <w:rPr>
                <w:rFonts w:ascii="Arial" w:hAnsi="Arial" w:cs="Arial"/>
                <w:sz w:val="12"/>
                <w:szCs w:val="12"/>
              </w:rPr>
            </w:pPr>
            <w:r>
              <w:rPr>
                <w:rFonts w:ascii="Arial" w:hAnsi="Arial"/>
                <w:sz w:val="12"/>
                <w:szCs w:val="12"/>
              </w:rPr>
              <w:t>Lugo</w:t>
            </w:r>
          </w:p>
        </w:tc>
        <w:tc>
          <w:tcPr>
            <w:tcW w:w="2268" w:type="dxa"/>
            <w:tcBorders>
              <w:top w:val="single" w:sz="4" w:space="0" w:color="auto"/>
            </w:tcBorders>
            <w:shd w:val="clear" w:color="auto" w:fill="F2F2F2"/>
            <w:hideMark/>
          </w:tcPr>
          <w:p w14:paraId="082A8498" w14:textId="77777777" w:rsidR="002A4DDF" w:rsidRPr="00937C8B" w:rsidRDefault="002A4DDF" w:rsidP="009110ED">
            <w:pPr>
              <w:rPr>
                <w:rFonts w:ascii="Arial" w:hAnsi="Arial" w:cs="Arial"/>
                <w:sz w:val="12"/>
                <w:szCs w:val="12"/>
              </w:rPr>
            </w:pPr>
            <w:r>
              <w:rPr>
                <w:rFonts w:ascii="Arial" w:hAnsi="Arial"/>
                <w:sz w:val="12"/>
                <w:szCs w:val="12"/>
              </w:rPr>
              <w:t>A Fonsagrada</w:t>
            </w:r>
          </w:p>
        </w:tc>
        <w:tc>
          <w:tcPr>
            <w:tcW w:w="2268" w:type="dxa"/>
            <w:tcBorders>
              <w:top w:val="single" w:sz="4" w:space="0" w:color="auto"/>
              <w:right w:val="single" w:sz="4" w:space="0" w:color="auto"/>
            </w:tcBorders>
            <w:shd w:val="clear" w:color="auto" w:fill="D9D9D9"/>
            <w:hideMark/>
          </w:tcPr>
          <w:p w14:paraId="622D6540" w14:textId="77777777" w:rsidR="002A4DDF" w:rsidRPr="00937C8B" w:rsidRDefault="002A4DDF" w:rsidP="009110ED">
            <w:pPr>
              <w:rPr>
                <w:rFonts w:ascii="Arial" w:hAnsi="Arial" w:cs="Arial"/>
                <w:sz w:val="12"/>
                <w:szCs w:val="12"/>
              </w:rPr>
            </w:pPr>
            <w:r>
              <w:rPr>
                <w:rFonts w:ascii="Arial" w:hAnsi="Arial"/>
                <w:sz w:val="12"/>
                <w:szCs w:val="12"/>
              </w:rPr>
              <w:t>A Pastoriza</w:t>
            </w:r>
          </w:p>
        </w:tc>
      </w:tr>
      <w:tr w:rsidR="002A4DDF" w:rsidRPr="00937C8B" w14:paraId="30E7E09A" w14:textId="77777777" w:rsidTr="00935676">
        <w:trPr>
          <w:cantSplit/>
        </w:trPr>
        <w:tc>
          <w:tcPr>
            <w:tcW w:w="1696" w:type="dxa"/>
            <w:tcBorders>
              <w:left w:val="single" w:sz="4" w:space="0" w:color="auto"/>
            </w:tcBorders>
            <w:shd w:val="clear" w:color="auto" w:fill="auto"/>
          </w:tcPr>
          <w:p w14:paraId="405FC269" w14:textId="77777777" w:rsidR="002A4DDF" w:rsidRPr="00937C8B" w:rsidRDefault="002A4DDF" w:rsidP="009110ED">
            <w:pPr>
              <w:rPr>
                <w:rFonts w:ascii="Arial" w:hAnsi="Arial" w:cs="Arial"/>
                <w:sz w:val="12"/>
                <w:szCs w:val="12"/>
              </w:rPr>
            </w:pPr>
          </w:p>
        </w:tc>
        <w:tc>
          <w:tcPr>
            <w:tcW w:w="1843" w:type="dxa"/>
            <w:shd w:val="clear" w:color="auto" w:fill="auto"/>
          </w:tcPr>
          <w:p w14:paraId="34B1FB88" w14:textId="77777777" w:rsidR="002A4DDF" w:rsidRPr="00937C8B" w:rsidRDefault="002A4DDF" w:rsidP="009110ED">
            <w:pPr>
              <w:rPr>
                <w:rFonts w:ascii="Arial" w:hAnsi="Arial" w:cs="Arial"/>
                <w:sz w:val="12"/>
                <w:szCs w:val="12"/>
              </w:rPr>
            </w:pPr>
          </w:p>
        </w:tc>
        <w:tc>
          <w:tcPr>
            <w:tcW w:w="2268" w:type="dxa"/>
            <w:shd w:val="clear" w:color="auto" w:fill="F2F2F2"/>
            <w:hideMark/>
          </w:tcPr>
          <w:p w14:paraId="2B0B6287" w14:textId="77777777" w:rsidR="002A4DDF" w:rsidRPr="00937C8B" w:rsidRDefault="002A4DDF" w:rsidP="009110ED">
            <w:pPr>
              <w:rPr>
                <w:rFonts w:ascii="Arial" w:hAnsi="Arial" w:cs="Arial"/>
                <w:sz w:val="12"/>
                <w:szCs w:val="12"/>
              </w:rPr>
            </w:pPr>
            <w:r>
              <w:rPr>
                <w:rFonts w:ascii="Arial" w:hAnsi="Arial"/>
                <w:sz w:val="12"/>
                <w:szCs w:val="12"/>
              </w:rPr>
              <w:t>A Pobra do Brollón</w:t>
            </w:r>
          </w:p>
        </w:tc>
        <w:tc>
          <w:tcPr>
            <w:tcW w:w="2268" w:type="dxa"/>
            <w:tcBorders>
              <w:right w:val="single" w:sz="4" w:space="0" w:color="auto"/>
            </w:tcBorders>
            <w:shd w:val="clear" w:color="auto" w:fill="D9D9D9"/>
            <w:hideMark/>
          </w:tcPr>
          <w:p w14:paraId="6ECFB1E0" w14:textId="77777777" w:rsidR="002A4DDF" w:rsidRPr="00937C8B" w:rsidRDefault="002A4DDF" w:rsidP="009110ED">
            <w:pPr>
              <w:rPr>
                <w:rFonts w:ascii="Arial" w:hAnsi="Arial" w:cs="Arial"/>
                <w:sz w:val="12"/>
                <w:szCs w:val="12"/>
              </w:rPr>
            </w:pPr>
            <w:r>
              <w:rPr>
                <w:rFonts w:ascii="Arial" w:hAnsi="Arial"/>
                <w:sz w:val="12"/>
                <w:szCs w:val="12"/>
              </w:rPr>
              <w:t>A Pontenova</w:t>
            </w:r>
          </w:p>
        </w:tc>
      </w:tr>
      <w:tr w:rsidR="002A4DDF" w:rsidRPr="00937C8B" w14:paraId="781C7CBB" w14:textId="77777777" w:rsidTr="00935676">
        <w:trPr>
          <w:cantSplit/>
        </w:trPr>
        <w:tc>
          <w:tcPr>
            <w:tcW w:w="1696" w:type="dxa"/>
            <w:tcBorders>
              <w:left w:val="single" w:sz="4" w:space="0" w:color="auto"/>
            </w:tcBorders>
            <w:shd w:val="clear" w:color="auto" w:fill="auto"/>
          </w:tcPr>
          <w:p w14:paraId="4AA04218" w14:textId="77777777" w:rsidR="002A4DDF" w:rsidRPr="00937C8B" w:rsidRDefault="002A4DDF" w:rsidP="009110ED">
            <w:pPr>
              <w:rPr>
                <w:rFonts w:ascii="Arial" w:hAnsi="Arial" w:cs="Arial"/>
                <w:sz w:val="12"/>
                <w:szCs w:val="12"/>
              </w:rPr>
            </w:pPr>
          </w:p>
        </w:tc>
        <w:tc>
          <w:tcPr>
            <w:tcW w:w="1843" w:type="dxa"/>
            <w:shd w:val="clear" w:color="auto" w:fill="auto"/>
          </w:tcPr>
          <w:p w14:paraId="01147DDF" w14:textId="77777777" w:rsidR="002A4DDF" w:rsidRPr="00937C8B" w:rsidRDefault="002A4DDF" w:rsidP="009110ED">
            <w:pPr>
              <w:rPr>
                <w:rFonts w:ascii="Arial" w:hAnsi="Arial" w:cs="Arial"/>
                <w:sz w:val="12"/>
                <w:szCs w:val="12"/>
              </w:rPr>
            </w:pPr>
          </w:p>
        </w:tc>
        <w:tc>
          <w:tcPr>
            <w:tcW w:w="2268" w:type="dxa"/>
            <w:shd w:val="clear" w:color="auto" w:fill="F2F2F2"/>
            <w:hideMark/>
          </w:tcPr>
          <w:p w14:paraId="0A2D7DC0" w14:textId="77777777" w:rsidR="002A4DDF" w:rsidRPr="00937C8B" w:rsidRDefault="002A4DDF" w:rsidP="009110ED">
            <w:pPr>
              <w:rPr>
                <w:rFonts w:ascii="Arial" w:hAnsi="Arial" w:cs="Arial"/>
                <w:sz w:val="12"/>
                <w:szCs w:val="12"/>
              </w:rPr>
            </w:pPr>
            <w:r>
              <w:rPr>
                <w:rFonts w:ascii="Arial" w:hAnsi="Arial"/>
                <w:sz w:val="12"/>
                <w:szCs w:val="12"/>
              </w:rPr>
              <w:t>Cervantes</w:t>
            </w:r>
          </w:p>
        </w:tc>
        <w:tc>
          <w:tcPr>
            <w:tcW w:w="2268" w:type="dxa"/>
            <w:tcBorders>
              <w:right w:val="single" w:sz="4" w:space="0" w:color="auto"/>
            </w:tcBorders>
            <w:shd w:val="clear" w:color="auto" w:fill="D9D9D9"/>
            <w:hideMark/>
          </w:tcPr>
          <w:p w14:paraId="0E3DE8E6" w14:textId="77777777" w:rsidR="002A4DDF" w:rsidRPr="00937C8B" w:rsidRDefault="002A4DDF" w:rsidP="009110ED">
            <w:pPr>
              <w:rPr>
                <w:rFonts w:ascii="Arial" w:hAnsi="Arial" w:cs="Arial"/>
                <w:sz w:val="12"/>
                <w:szCs w:val="12"/>
              </w:rPr>
            </w:pPr>
            <w:r>
              <w:rPr>
                <w:rFonts w:ascii="Arial" w:hAnsi="Arial"/>
                <w:sz w:val="12"/>
                <w:szCs w:val="12"/>
              </w:rPr>
              <w:t>Abadín</w:t>
            </w:r>
          </w:p>
        </w:tc>
      </w:tr>
      <w:tr w:rsidR="002A4DDF" w:rsidRPr="00937C8B" w14:paraId="7B43BDC9" w14:textId="77777777" w:rsidTr="00935676">
        <w:trPr>
          <w:cantSplit/>
        </w:trPr>
        <w:tc>
          <w:tcPr>
            <w:tcW w:w="1696" w:type="dxa"/>
            <w:tcBorders>
              <w:left w:val="single" w:sz="4" w:space="0" w:color="auto"/>
            </w:tcBorders>
            <w:shd w:val="clear" w:color="auto" w:fill="auto"/>
          </w:tcPr>
          <w:p w14:paraId="77EA0AD4" w14:textId="77777777" w:rsidR="002A4DDF" w:rsidRPr="00937C8B" w:rsidRDefault="002A4DDF" w:rsidP="009110ED">
            <w:pPr>
              <w:rPr>
                <w:rFonts w:ascii="Arial" w:hAnsi="Arial" w:cs="Arial"/>
                <w:sz w:val="12"/>
                <w:szCs w:val="12"/>
              </w:rPr>
            </w:pPr>
          </w:p>
        </w:tc>
        <w:tc>
          <w:tcPr>
            <w:tcW w:w="1843" w:type="dxa"/>
            <w:shd w:val="clear" w:color="auto" w:fill="auto"/>
          </w:tcPr>
          <w:p w14:paraId="68AE5708" w14:textId="77777777" w:rsidR="002A4DDF" w:rsidRPr="00937C8B" w:rsidRDefault="002A4DDF" w:rsidP="009110ED">
            <w:pPr>
              <w:rPr>
                <w:rFonts w:ascii="Arial" w:hAnsi="Arial" w:cs="Arial"/>
                <w:sz w:val="12"/>
                <w:szCs w:val="12"/>
              </w:rPr>
            </w:pPr>
          </w:p>
        </w:tc>
        <w:tc>
          <w:tcPr>
            <w:tcW w:w="2268" w:type="dxa"/>
            <w:shd w:val="clear" w:color="auto" w:fill="F2F2F2"/>
            <w:hideMark/>
          </w:tcPr>
          <w:p w14:paraId="034DBD07" w14:textId="77777777" w:rsidR="002A4DDF" w:rsidRPr="00937C8B" w:rsidRDefault="002A4DDF" w:rsidP="009110ED">
            <w:pPr>
              <w:rPr>
                <w:rFonts w:ascii="Arial" w:hAnsi="Arial" w:cs="Arial"/>
                <w:sz w:val="12"/>
                <w:szCs w:val="12"/>
              </w:rPr>
            </w:pPr>
            <w:r>
              <w:rPr>
                <w:rFonts w:ascii="Arial" w:hAnsi="Arial"/>
                <w:sz w:val="12"/>
                <w:szCs w:val="12"/>
              </w:rPr>
              <w:t>Cospeito</w:t>
            </w:r>
          </w:p>
        </w:tc>
        <w:tc>
          <w:tcPr>
            <w:tcW w:w="2268" w:type="dxa"/>
            <w:tcBorders>
              <w:right w:val="single" w:sz="4" w:space="0" w:color="auto"/>
            </w:tcBorders>
            <w:shd w:val="clear" w:color="auto" w:fill="D9D9D9"/>
            <w:hideMark/>
          </w:tcPr>
          <w:p w14:paraId="58597754" w14:textId="77777777" w:rsidR="002A4DDF" w:rsidRPr="00937C8B" w:rsidRDefault="002A4DDF" w:rsidP="009110ED">
            <w:pPr>
              <w:rPr>
                <w:rFonts w:ascii="Arial" w:hAnsi="Arial" w:cs="Arial"/>
                <w:sz w:val="12"/>
                <w:szCs w:val="12"/>
              </w:rPr>
            </w:pPr>
            <w:r>
              <w:rPr>
                <w:rFonts w:ascii="Arial" w:hAnsi="Arial"/>
                <w:sz w:val="12"/>
                <w:szCs w:val="12"/>
              </w:rPr>
              <w:t>Alfoz</w:t>
            </w:r>
          </w:p>
        </w:tc>
      </w:tr>
      <w:tr w:rsidR="002A4DDF" w:rsidRPr="00937C8B" w14:paraId="366BB79C" w14:textId="77777777" w:rsidTr="00935676">
        <w:trPr>
          <w:cantSplit/>
        </w:trPr>
        <w:tc>
          <w:tcPr>
            <w:tcW w:w="1696" w:type="dxa"/>
            <w:tcBorders>
              <w:left w:val="single" w:sz="4" w:space="0" w:color="auto"/>
            </w:tcBorders>
            <w:shd w:val="clear" w:color="auto" w:fill="auto"/>
          </w:tcPr>
          <w:p w14:paraId="70D4CAEB" w14:textId="77777777" w:rsidR="002A4DDF" w:rsidRPr="00937C8B" w:rsidRDefault="002A4DDF" w:rsidP="009110ED">
            <w:pPr>
              <w:rPr>
                <w:rFonts w:ascii="Arial" w:hAnsi="Arial" w:cs="Arial"/>
                <w:sz w:val="12"/>
                <w:szCs w:val="12"/>
              </w:rPr>
            </w:pPr>
          </w:p>
        </w:tc>
        <w:tc>
          <w:tcPr>
            <w:tcW w:w="1843" w:type="dxa"/>
            <w:shd w:val="clear" w:color="auto" w:fill="auto"/>
          </w:tcPr>
          <w:p w14:paraId="2E797FCD" w14:textId="77777777" w:rsidR="002A4DDF" w:rsidRPr="00937C8B" w:rsidRDefault="002A4DDF" w:rsidP="009110ED">
            <w:pPr>
              <w:rPr>
                <w:rFonts w:ascii="Arial" w:hAnsi="Arial" w:cs="Arial"/>
                <w:sz w:val="12"/>
                <w:szCs w:val="12"/>
              </w:rPr>
            </w:pPr>
          </w:p>
        </w:tc>
        <w:tc>
          <w:tcPr>
            <w:tcW w:w="2268" w:type="dxa"/>
            <w:shd w:val="clear" w:color="auto" w:fill="F2F2F2"/>
            <w:hideMark/>
          </w:tcPr>
          <w:p w14:paraId="06289AA4" w14:textId="77777777" w:rsidR="002A4DDF" w:rsidRPr="00937C8B" w:rsidRDefault="002A4DDF" w:rsidP="009110ED">
            <w:pPr>
              <w:rPr>
                <w:rFonts w:ascii="Arial" w:hAnsi="Arial" w:cs="Arial"/>
                <w:sz w:val="12"/>
                <w:szCs w:val="12"/>
              </w:rPr>
            </w:pPr>
            <w:r>
              <w:rPr>
                <w:rFonts w:ascii="Arial" w:hAnsi="Arial"/>
                <w:sz w:val="12"/>
                <w:szCs w:val="12"/>
              </w:rPr>
              <w:t>Folgoso do Courel</w:t>
            </w:r>
          </w:p>
        </w:tc>
        <w:tc>
          <w:tcPr>
            <w:tcW w:w="2268" w:type="dxa"/>
            <w:tcBorders>
              <w:right w:val="single" w:sz="4" w:space="0" w:color="auto"/>
            </w:tcBorders>
            <w:shd w:val="clear" w:color="auto" w:fill="D9D9D9"/>
            <w:hideMark/>
          </w:tcPr>
          <w:p w14:paraId="5EC13DC6" w14:textId="77777777" w:rsidR="002A4DDF" w:rsidRPr="00937C8B" w:rsidRDefault="002A4DDF" w:rsidP="009110ED">
            <w:pPr>
              <w:rPr>
                <w:rFonts w:ascii="Arial" w:hAnsi="Arial" w:cs="Arial"/>
                <w:sz w:val="12"/>
                <w:szCs w:val="12"/>
              </w:rPr>
            </w:pPr>
            <w:r>
              <w:rPr>
                <w:rFonts w:ascii="Arial" w:hAnsi="Arial"/>
                <w:sz w:val="12"/>
                <w:szCs w:val="12"/>
              </w:rPr>
              <w:t>Antas de Ulla</w:t>
            </w:r>
          </w:p>
        </w:tc>
      </w:tr>
      <w:tr w:rsidR="002A4DDF" w:rsidRPr="00937C8B" w14:paraId="016E4459" w14:textId="77777777" w:rsidTr="00935676">
        <w:trPr>
          <w:cantSplit/>
        </w:trPr>
        <w:tc>
          <w:tcPr>
            <w:tcW w:w="1696" w:type="dxa"/>
            <w:tcBorders>
              <w:left w:val="single" w:sz="4" w:space="0" w:color="auto"/>
            </w:tcBorders>
            <w:shd w:val="clear" w:color="auto" w:fill="auto"/>
          </w:tcPr>
          <w:p w14:paraId="5D6FBDFA" w14:textId="77777777" w:rsidR="002A4DDF" w:rsidRPr="00937C8B" w:rsidRDefault="002A4DDF" w:rsidP="009110ED">
            <w:pPr>
              <w:rPr>
                <w:rFonts w:ascii="Arial" w:hAnsi="Arial" w:cs="Arial"/>
                <w:sz w:val="12"/>
                <w:szCs w:val="12"/>
              </w:rPr>
            </w:pPr>
          </w:p>
        </w:tc>
        <w:tc>
          <w:tcPr>
            <w:tcW w:w="1843" w:type="dxa"/>
            <w:shd w:val="clear" w:color="auto" w:fill="auto"/>
          </w:tcPr>
          <w:p w14:paraId="22D805A6" w14:textId="77777777" w:rsidR="002A4DDF" w:rsidRPr="00937C8B" w:rsidRDefault="002A4DDF" w:rsidP="009110ED">
            <w:pPr>
              <w:rPr>
                <w:rFonts w:ascii="Arial" w:hAnsi="Arial" w:cs="Arial"/>
                <w:sz w:val="12"/>
                <w:szCs w:val="12"/>
              </w:rPr>
            </w:pPr>
          </w:p>
        </w:tc>
        <w:tc>
          <w:tcPr>
            <w:tcW w:w="2268" w:type="dxa"/>
            <w:shd w:val="clear" w:color="auto" w:fill="F2F2F2"/>
            <w:hideMark/>
          </w:tcPr>
          <w:p w14:paraId="545D8560" w14:textId="77777777" w:rsidR="002A4DDF" w:rsidRPr="00937C8B" w:rsidRDefault="002A4DDF" w:rsidP="009110ED">
            <w:pPr>
              <w:rPr>
                <w:rFonts w:ascii="Arial" w:hAnsi="Arial" w:cs="Arial"/>
                <w:sz w:val="12"/>
                <w:szCs w:val="12"/>
              </w:rPr>
            </w:pPr>
            <w:r>
              <w:rPr>
                <w:rFonts w:ascii="Arial" w:hAnsi="Arial"/>
                <w:sz w:val="12"/>
                <w:szCs w:val="12"/>
              </w:rPr>
              <w:t>Lourenzá</w:t>
            </w:r>
          </w:p>
        </w:tc>
        <w:tc>
          <w:tcPr>
            <w:tcW w:w="2268" w:type="dxa"/>
            <w:tcBorders>
              <w:right w:val="single" w:sz="4" w:space="0" w:color="auto"/>
            </w:tcBorders>
            <w:shd w:val="clear" w:color="auto" w:fill="D9D9D9"/>
            <w:hideMark/>
          </w:tcPr>
          <w:p w14:paraId="22D28613" w14:textId="77777777" w:rsidR="002A4DDF" w:rsidRPr="00937C8B" w:rsidRDefault="002A4DDF" w:rsidP="009110ED">
            <w:pPr>
              <w:rPr>
                <w:rFonts w:ascii="Arial" w:hAnsi="Arial" w:cs="Arial"/>
                <w:sz w:val="12"/>
                <w:szCs w:val="12"/>
              </w:rPr>
            </w:pPr>
            <w:r>
              <w:rPr>
                <w:rFonts w:ascii="Arial" w:hAnsi="Arial"/>
                <w:sz w:val="12"/>
                <w:szCs w:val="12"/>
              </w:rPr>
              <w:t>As Nogais</w:t>
            </w:r>
          </w:p>
        </w:tc>
      </w:tr>
      <w:tr w:rsidR="002A4DDF" w:rsidRPr="00937C8B" w14:paraId="65B1B286" w14:textId="77777777" w:rsidTr="00935676">
        <w:trPr>
          <w:cantSplit/>
        </w:trPr>
        <w:tc>
          <w:tcPr>
            <w:tcW w:w="1696" w:type="dxa"/>
            <w:tcBorders>
              <w:left w:val="single" w:sz="4" w:space="0" w:color="auto"/>
            </w:tcBorders>
            <w:shd w:val="clear" w:color="auto" w:fill="auto"/>
          </w:tcPr>
          <w:p w14:paraId="7E40BBB5" w14:textId="77777777" w:rsidR="002A4DDF" w:rsidRPr="00937C8B" w:rsidRDefault="002A4DDF" w:rsidP="009110ED">
            <w:pPr>
              <w:rPr>
                <w:rFonts w:ascii="Arial" w:hAnsi="Arial" w:cs="Arial"/>
                <w:sz w:val="12"/>
                <w:szCs w:val="12"/>
              </w:rPr>
            </w:pPr>
          </w:p>
        </w:tc>
        <w:tc>
          <w:tcPr>
            <w:tcW w:w="1843" w:type="dxa"/>
            <w:shd w:val="clear" w:color="auto" w:fill="auto"/>
          </w:tcPr>
          <w:p w14:paraId="146E037F" w14:textId="77777777" w:rsidR="002A4DDF" w:rsidRPr="00937C8B" w:rsidRDefault="002A4DDF" w:rsidP="009110ED">
            <w:pPr>
              <w:rPr>
                <w:rFonts w:ascii="Arial" w:hAnsi="Arial" w:cs="Arial"/>
                <w:sz w:val="12"/>
                <w:szCs w:val="12"/>
              </w:rPr>
            </w:pPr>
          </w:p>
        </w:tc>
        <w:tc>
          <w:tcPr>
            <w:tcW w:w="2268" w:type="dxa"/>
            <w:shd w:val="clear" w:color="auto" w:fill="F2F2F2"/>
            <w:hideMark/>
          </w:tcPr>
          <w:p w14:paraId="5B88DE00" w14:textId="77777777" w:rsidR="002A4DDF" w:rsidRPr="00937C8B" w:rsidRDefault="002A4DDF" w:rsidP="009110ED">
            <w:pPr>
              <w:rPr>
                <w:rFonts w:ascii="Arial" w:hAnsi="Arial" w:cs="Arial"/>
                <w:sz w:val="12"/>
                <w:szCs w:val="12"/>
              </w:rPr>
            </w:pPr>
            <w:r>
              <w:rPr>
                <w:rFonts w:ascii="Arial" w:hAnsi="Arial"/>
                <w:sz w:val="12"/>
                <w:szCs w:val="12"/>
              </w:rPr>
              <w:t>Navia de Suarna</w:t>
            </w:r>
          </w:p>
        </w:tc>
        <w:tc>
          <w:tcPr>
            <w:tcW w:w="2268" w:type="dxa"/>
            <w:tcBorders>
              <w:right w:val="single" w:sz="4" w:space="0" w:color="auto"/>
            </w:tcBorders>
            <w:shd w:val="clear" w:color="auto" w:fill="D9D9D9"/>
            <w:hideMark/>
          </w:tcPr>
          <w:p w14:paraId="2CB98F0D" w14:textId="77777777" w:rsidR="002A4DDF" w:rsidRPr="00937C8B" w:rsidRDefault="002A4DDF" w:rsidP="009110ED">
            <w:pPr>
              <w:rPr>
                <w:rFonts w:ascii="Arial" w:hAnsi="Arial" w:cs="Arial"/>
                <w:sz w:val="12"/>
                <w:szCs w:val="12"/>
              </w:rPr>
            </w:pPr>
            <w:r>
              <w:rPr>
                <w:rFonts w:ascii="Arial" w:hAnsi="Arial"/>
                <w:sz w:val="12"/>
                <w:szCs w:val="12"/>
              </w:rPr>
              <w:t>Baleira</w:t>
            </w:r>
          </w:p>
        </w:tc>
      </w:tr>
      <w:tr w:rsidR="002A4DDF" w:rsidRPr="00937C8B" w14:paraId="083CFD7E" w14:textId="77777777" w:rsidTr="00935676">
        <w:trPr>
          <w:cantSplit/>
        </w:trPr>
        <w:tc>
          <w:tcPr>
            <w:tcW w:w="1696" w:type="dxa"/>
            <w:tcBorders>
              <w:left w:val="single" w:sz="4" w:space="0" w:color="auto"/>
            </w:tcBorders>
            <w:shd w:val="clear" w:color="auto" w:fill="auto"/>
          </w:tcPr>
          <w:p w14:paraId="6D1A9F7C" w14:textId="77777777" w:rsidR="002A4DDF" w:rsidRPr="00937C8B" w:rsidRDefault="002A4DDF" w:rsidP="009110ED">
            <w:pPr>
              <w:rPr>
                <w:rFonts w:ascii="Arial" w:hAnsi="Arial" w:cs="Arial"/>
                <w:sz w:val="12"/>
                <w:szCs w:val="12"/>
              </w:rPr>
            </w:pPr>
          </w:p>
        </w:tc>
        <w:tc>
          <w:tcPr>
            <w:tcW w:w="1843" w:type="dxa"/>
            <w:shd w:val="clear" w:color="auto" w:fill="auto"/>
          </w:tcPr>
          <w:p w14:paraId="31654BF6" w14:textId="77777777" w:rsidR="002A4DDF" w:rsidRPr="00937C8B" w:rsidRDefault="002A4DDF" w:rsidP="009110ED">
            <w:pPr>
              <w:rPr>
                <w:rFonts w:ascii="Arial" w:hAnsi="Arial" w:cs="Arial"/>
                <w:sz w:val="12"/>
                <w:szCs w:val="12"/>
              </w:rPr>
            </w:pPr>
          </w:p>
        </w:tc>
        <w:tc>
          <w:tcPr>
            <w:tcW w:w="2268" w:type="dxa"/>
            <w:shd w:val="clear" w:color="auto" w:fill="F2F2F2"/>
            <w:hideMark/>
          </w:tcPr>
          <w:p w14:paraId="161FF636" w14:textId="77777777" w:rsidR="002A4DDF" w:rsidRPr="00937C8B" w:rsidRDefault="002A4DDF" w:rsidP="009110ED">
            <w:pPr>
              <w:rPr>
                <w:rFonts w:ascii="Arial" w:hAnsi="Arial" w:cs="Arial"/>
                <w:sz w:val="12"/>
                <w:szCs w:val="12"/>
              </w:rPr>
            </w:pPr>
            <w:r>
              <w:rPr>
                <w:rFonts w:ascii="Arial" w:hAnsi="Arial"/>
                <w:sz w:val="12"/>
                <w:szCs w:val="12"/>
              </w:rPr>
              <w:t>Pol</w:t>
            </w:r>
          </w:p>
        </w:tc>
        <w:tc>
          <w:tcPr>
            <w:tcW w:w="2268" w:type="dxa"/>
            <w:tcBorders>
              <w:right w:val="single" w:sz="4" w:space="0" w:color="auto"/>
            </w:tcBorders>
            <w:shd w:val="clear" w:color="auto" w:fill="D9D9D9"/>
            <w:hideMark/>
          </w:tcPr>
          <w:p w14:paraId="633520ED" w14:textId="77777777" w:rsidR="002A4DDF" w:rsidRPr="00937C8B" w:rsidRDefault="002A4DDF" w:rsidP="009110ED">
            <w:pPr>
              <w:rPr>
                <w:rFonts w:ascii="Arial" w:hAnsi="Arial" w:cs="Arial"/>
                <w:sz w:val="12"/>
                <w:szCs w:val="12"/>
              </w:rPr>
            </w:pPr>
            <w:r>
              <w:rPr>
                <w:rFonts w:ascii="Arial" w:hAnsi="Arial"/>
                <w:sz w:val="12"/>
                <w:szCs w:val="12"/>
              </w:rPr>
              <w:t>Baralla</w:t>
            </w:r>
          </w:p>
        </w:tc>
      </w:tr>
      <w:tr w:rsidR="002A4DDF" w:rsidRPr="00937C8B" w14:paraId="1F09BAC1" w14:textId="77777777" w:rsidTr="00935676">
        <w:trPr>
          <w:cantSplit/>
        </w:trPr>
        <w:tc>
          <w:tcPr>
            <w:tcW w:w="1696" w:type="dxa"/>
            <w:tcBorders>
              <w:left w:val="single" w:sz="4" w:space="0" w:color="auto"/>
            </w:tcBorders>
            <w:shd w:val="clear" w:color="auto" w:fill="auto"/>
          </w:tcPr>
          <w:p w14:paraId="26D572A3" w14:textId="77777777" w:rsidR="002A4DDF" w:rsidRPr="00937C8B" w:rsidRDefault="002A4DDF" w:rsidP="009110ED">
            <w:pPr>
              <w:rPr>
                <w:rFonts w:ascii="Arial" w:hAnsi="Arial" w:cs="Arial"/>
                <w:sz w:val="12"/>
                <w:szCs w:val="12"/>
              </w:rPr>
            </w:pPr>
          </w:p>
        </w:tc>
        <w:tc>
          <w:tcPr>
            <w:tcW w:w="1843" w:type="dxa"/>
            <w:shd w:val="clear" w:color="auto" w:fill="auto"/>
          </w:tcPr>
          <w:p w14:paraId="659BA2F7" w14:textId="77777777" w:rsidR="002A4DDF" w:rsidRPr="00937C8B" w:rsidRDefault="002A4DDF" w:rsidP="009110ED">
            <w:pPr>
              <w:rPr>
                <w:rFonts w:ascii="Arial" w:hAnsi="Arial" w:cs="Arial"/>
                <w:sz w:val="12"/>
                <w:szCs w:val="12"/>
              </w:rPr>
            </w:pPr>
          </w:p>
        </w:tc>
        <w:tc>
          <w:tcPr>
            <w:tcW w:w="2268" w:type="dxa"/>
            <w:shd w:val="clear" w:color="auto" w:fill="F2F2F2"/>
            <w:hideMark/>
          </w:tcPr>
          <w:p w14:paraId="1EC7D013" w14:textId="77777777" w:rsidR="002A4DDF" w:rsidRPr="00937C8B" w:rsidRDefault="002A4DDF" w:rsidP="009110ED">
            <w:pPr>
              <w:rPr>
                <w:rFonts w:ascii="Arial" w:hAnsi="Arial" w:cs="Arial"/>
                <w:sz w:val="12"/>
                <w:szCs w:val="12"/>
              </w:rPr>
            </w:pPr>
            <w:r>
              <w:rPr>
                <w:rFonts w:ascii="Arial" w:hAnsi="Arial"/>
                <w:sz w:val="12"/>
                <w:szCs w:val="12"/>
              </w:rPr>
              <w:t>Ribadeo</w:t>
            </w:r>
          </w:p>
        </w:tc>
        <w:tc>
          <w:tcPr>
            <w:tcW w:w="2268" w:type="dxa"/>
            <w:tcBorders>
              <w:right w:val="single" w:sz="4" w:space="0" w:color="auto"/>
            </w:tcBorders>
            <w:shd w:val="clear" w:color="auto" w:fill="D9D9D9"/>
            <w:hideMark/>
          </w:tcPr>
          <w:p w14:paraId="7286236B" w14:textId="77777777" w:rsidR="002A4DDF" w:rsidRPr="00937C8B" w:rsidRDefault="002A4DDF" w:rsidP="009110ED">
            <w:pPr>
              <w:rPr>
                <w:rFonts w:ascii="Arial" w:hAnsi="Arial" w:cs="Arial"/>
                <w:sz w:val="12"/>
                <w:szCs w:val="12"/>
              </w:rPr>
            </w:pPr>
            <w:r>
              <w:rPr>
                <w:rFonts w:ascii="Arial" w:hAnsi="Arial"/>
                <w:sz w:val="12"/>
                <w:szCs w:val="12"/>
              </w:rPr>
              <w:t>Barreiros</w:t>
            </w:r>
          </w:p>
        </w:tc>
      </w:tr>
      <w:tr w:rsidR="002A4DDF" w:rsidRPr="00937C8B" w14:paraId="0E010C1C" w14:textId="77777777" w:rsidTr="00935676">
        <w:trPr>
          <w:cantSplit/>
        </w:trPr>
        <w:tc>
          <w:tcPr>
            <w:tcW w:w="1696" w:type="dxa"/>
            <w:tcBorders>
              <w:left w:val="single" w:sz="4" w:space="0" w:color="auto"/>
            </w:tcBorders>
            <w:shd w:val="clear" w:color="auto" w:fill="auto"/>
          </w:tcPr>
          <w:p w14:paraId="534E53C1" w14:textId="77777777" w:rsidR="002A4DDF" w:rsidRPr="00937C8B" w:rsidRDefault="002A4DDF" w:rsidP="009110ED">
            <w:pPr>
              <w:rPr>
                <w:rFonts w:ascii="Arial" w:hAnsi="Arial" w:cs="Arial"/>
                <w:sz w:val="12"/>
                <w:szCs w:val="12"/>
              </w:rPr>
            </w:pPr>
          </w:p>
        </w:tc>
        <w:tc>
          <w:tcPr>
            <w:tcW w:w="1843" w:type="dxa"/>
            <w:shd w:val="clear" w:color="auto" w:fill="auto"/>
          </w:tcPr>
          <w:p w14:paraId="7EF0048D" w14:textId="77777777" w:rsidR="002A4DDF" w:rsidRPr="00937C8B" w:rsidRDefault="002A4DDF" w:rsidP="009110ED">
            <w:pPr>
              <w:rPr>
                <w:rFonts w:ascii="Arial" w:hAnsi="Arial" w:cs="Arial"/>
                <w:sz w:val="12"/>
                <w:szCs w:val="12"/>
              </w:rPr>
            </w:pPr>
          </w:p>
        </w:tc>
        <w:tc>
          <w:tcPr>
            <w:tcW w:w="2268" w:type="dxa"/>
            <w:shd w:val="clear" w:color="auto" w:fill="F2F2F2"/>
            <w:hideMark/>
          </w:tcPr>
          <w:p w14:paraId="58EB9593" w14:textId="77777777" w:rsidR="002A4DDF" w:rsidRPr="00937C8B" w:rsidRDefault="002A4DDF" w:rsidP="009110ED">
            <w:pPr>
              <w:rPr>
                <w:rFonts w:ascii="Arial" w:hAnsi="Arial" w:cs="Arial"/>
                <w:sz w:val="12"/>
                <w:szCs w:val="12"/>
              </w:rPr>
            </w:pPr>
            <w:r>
              <w:rPr>
                <w:rFonts w:ascii="Arial" w:hAnsi="Arial"/>
                <w:sz w:val="12"/>
                <w:szCs w:val="12"/>
              </w:rPr>
              <w:t>Ribeira de Piquín</w:t>
            </w:r>
          </w:p>
        </w:tc>
        <w:tc>
          <w:tcPr>
            <w:tcW w:w="2268" w:type="dxa"/>
            <w:tcBorders>
              <w:right w:val="single" w:sz="4" w:space="0" w:color="auto"/>
            </w:tcBorders>
            <w:shd w:val="clear" w:color="auto" w:fill="D9D9D9"/>
            <w:hideMark/>
          </w:tcPr>
          <w:p w14:paraId="60D60816" w14:textId="77777777" w:rsidR="002A4DDF" w:rsidRPr="00937C8B" w:rsidRDefault="002A4DDF" w:rsidP="009110ED">
            <w:pPr>
              <w:rPr>
                <w:rFonts w:ascii="Arial" w:hAnsi="Arial" w:cs="Arial"/>
                <w:sz w:val="12"/>
                <w:szCs w:val="12"/>
              </w:rPr>
            </w:pPr>
            <w:r>
              <w:rPr>
                <w:rFonts w:ascii="Arial" w:hAnsi="Arial"/>
                <w:sz w:val="12"/>
                <w:szCs w:val="12"/>
              </w:rPr>
              <w:t>Becerreá</w:t>
            </w:r>
          </w:p>
        </w:tc>
      </w:tr>
      <w:tr w:rsidR="002A4DDF" w:rsidRPr="00937C8B" w14:paraId="15142C5A" w14:textId="77777777" w:rsidTr="00935676">
        <w:trPr>
          <w:cantSplit/>
        </w:trPr>
        <w:tc>
          <w:tcPr>
            <w:tcW w:w="1696" w:type="dxa"/>
            <w:tcBorders>
              <w:left w:val="single" w:sz="4" w:space="0" w:color="auto"/>
            </w:tcBorders>
            <w:shd w:val="clear" w:color="auto" w:fill="auto"/>
          </w:tcPr>
          <w:p w14:paraId="593A5906" w14:textId="77777777" w:rsidR="002A4DDF" w:rsidRPr="00937C8B" w:rsidRDefault="002A4DDF" w:rsidP="009110ED">
            <w:pPr>
              <w:rPr>
                <w:rFonts w:ascii="Arial" w:hAnsi="Arial" w:cs="Arial"/>
                <w:sz w:val="12"/>
                <w:szCs w:val="12"/>
              </w:rPr>
            </w:pPr>
          </w:p>
        </w:tc>
        <w:tc>
          <w:tcPr>
            <w:tcW w:w="1843" w:type="dxa"/>
            <w:shd w:val="clear" w:color="auto" w:fill="auto"/>
          </w:tcPr>
          <w:p w14:paraId="2E7626A1" w14:textId="77777777" w:rsidR="002A4DDF" w:rsidRPr="00937C8B" w:rsidRDefault="002A4DDF" w:rsidP="009110ED">
            <w:pPr>
              <w:rPr>
                <w:rFonts w:ascii="Arial" w:hAnsi="Arial" w:cs="Arial"/>
                <w:sz w:val="12"/>
                <w:szCs w:val="12"/>
              </w:rPr>
            </w:pPr>
          </w:p>
        </w:tc>
        <w:tc>
          <w:tcPr>
            <w:tcW w:w="2268" w:type="dxa"/>
            <w:shd w:val="clear" w:color="auto" w:fill="F2F2F2"/>
            <w:hideMark/>
          </w:tcPr>
          <w:p w14:paraId="05B4B41A" w14:textId="77777777" w:rsidR="002A4DDF" w:rsidRPr="00937C8B" w:rsidRDefault="002A4DDF" w:rsidP="009110ED">
            <w:pPr>
              <w:rPr>
                <w:rFonts w:ascii="Arial" w:hAnsi="Arial" w:cs="Arial"/>
                <w:sz w:val="12"/>
                <w:szCs w:val="12"/>
              </w:rPr>
            </w:pPr>
            <w:r>
              <w:rPr>
                <w:rFonts w:ascii="Arial" w:hAnsi="Arial"/>
                <w:sz w:val="12"/>
                <w:szCs w:val="12"/>
              </w:rPr>
              <w:t>Trabada</w:t>
            </w:r>
          </w:p>
        </w:tc>
        <w:tc>
          <w:tcPr>
            <w:tcW w:w="2268" w:type="dxa"/>
            <w:tcBorders>
              <w:right w:val="single" w:sz="4" w:space="0" w:color="auto"/>
            </w:tcBorders>
            <w:shd w:val="clear" w:color="auto" w:fill="D9D9D9"/>
            <w:hideMark/>
          </w:tcPr>
          <w:p w14:paraId="006DF31C" w14:textId="77777777" w:rsidR="002A4DDF" w:rsidRPr="00937C8B" w:rsidRDefault="002A4DDF" w:rsidP="009110ED">
            <w:pPr>
              <w:rPr>
                <w:rFonts w:ascii="Arial" w:hAnsi="Arial" w:cs="Arial"/>
                <w:sz w:val="12"/>
                <w:szCs w:val="12"/>
              </w:rPr>
            </w:pPr>
            <w:r>
              <w:rPr>
                <w:rFonts w:ascii="Arial" w:hAnsi="Arial"/>
                <w:sz w:val="12"/>
                <w:szCs w:val="12"/>
              </w:rPr>
              <w:t>Begonte</w:t>
            </w:r>
          </w:p>
        </w:tc>
      </w:tr>
      <w:tr w:rsidR="002A4DDF" w:rsidRPr="00937C8B" w14:paraId="00737322" w14:textId="77777777" w:rsidTr="00935676">
        <w:trPr>
          <w:cantSplit/>
        </w:trPr>
        <w:tc>
          <w:tcPr>
            <w:tcW w:w="1696" w:type="dxa"/>
            <w:tcBorders>
              <w:left w:val="single" w:sz="4" w:space="0" w:color="auto"/>
            </w:tcBorders>
            <w:shd w:val="clear" w:color="auto" w:fill="auto"/>
          </w:tcPr>
          <w:p w14:paraId="41F62E7F" w14:textId="77777777" w:rsidR="002A4DDF" w:rsidRPr="00937C8B" w:rsidRDefault="002A4DDF" w:rsidP="009110ED">
            <w:pPr>
              <w:rPr>
                <w:rFonts w:ascii="Arial" w:hAnsi="Arial" w:cs="Arial"/>
                <w:sz w:val="12"/>
                <w:szCs w:val="12"/>
              </w:rPr>
            </w:pPr>
          </w:p>
        </w:tc>
        <w:tc>
          <w:tcPr>
            <w:tcW w:w="1843" w:type="dxa"/>
            <w:shd w:val="clear" w:color="auto" w:fill="auto"/>
          </w:tcPr>
          <w:p w14:paraId="1C628D27" w14:textId="77777777" w:rsidR="002A4DDF" w:rsidRPr="00937C8B" w:rsidRDefault="002A4DDF" w:rsidP="009110ED">
            <w:pPr>
              <w:rPr>
                <w:rFonts w:ascii="Arial" w:hAnsi="Arial" w:cs="Arial"/>
                <w:sz w:val="12"/>
                <w:szCs w:val="12"/>
              </w:rPr>
            </w:pPr>
          </w:p>
        </w:tc>
        <w:tc>
          <w:tcPr>
            <w:tcW w:w="2268" w:type="dxa"/>
            <w:shd w:val="clear" w:color="auto" w:fill="F2F2F2"/>
            <w:hideMark/>
          </w:tcPr>
          <w:p w14:paraId="0BCDC63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03A1CE5" w14:textId="77777777" w:rsidR="002A4DDF" w:rsidRPr="00937C8B" w:rsidRDefault="002A4DDF" w:rsidP="009110ED">
            <w:pPr>
              <w:rPr>
                <w:rFonts w:ascii="Arial" w:hAnsi="Arial" w:cs="Arial"/>
                <w:sz w:val="12"/>
                <w:szCs w:val="12"/>
              </w:rPr>
            </w:pPr>
            <w:r>
              <w:rPr>
                <w:rFonts w:ascii="Arial" w:hAnsi="Arial"/>
                <w:sz w:val="12"/>
                <w:szCs w:val="12"/>
              </w:rPr>
              <w:t>Bóveda</w:t>
            </w:r>
          </w:p>
        </w:tc>
      </w:tr>
      <w:tr w:rsidR="002A4DDF" w:rsidRPr="00937C8B" w14:paraId="2EA62114" w14:textId="77777777" w:rsidTr="00935676">
        <w:trPr>
          <w:cantSplit/>
        </w:trPr>
        <w:tc>
          <w:tcPr>
            <w:tcW w:w="1696" w:type="dxa"/>
            <w:tcBorders>
              <w:left w:val="single" w:sz="4" w:space="0" w:color="auto"/>
            </w:tcBorders>
            <w:shd w:val="clear" w:color="auto" w:fill="auto"/>
          </w:tcPr>
          <w:p w14:paraId="68148F3B" w14:textId="77777777" w:rsidR="002A4DDF" w:rsidRPr="00937C8B" w:rsidRDefault="002A4DDF" w:rsidP="009110ED">
            <w:pPr>
              <w:rPr>
                <w:rFonts w:ascii="Arial" w:hAnsi="Arial" w:cs="Arial"/>
                <w:sz w:val="12"/>
                <w:szCs w:val="12"/>
              </w:rPr>
            </w:pPr>
          </w:p>
        </w:tc>
        <w:tc>
          <w:tcPr>
            <w:tcW w:w="1843" w:type="dxa"/>
            <w:shd w:val="clear" w:color="auto" w:fill="auto"/>
          </w:tcPr>
          <w:p w14:paraId="77C7A6E5" w14:textId="77777777" w:rsidR="002A4DDF" w:rsidRPr="00937C8B" w:rsidRDefault="002A4DDF" w:rsidP="009110ED">
            <w:pPr>
              <w:rPr>
                <w:rFonts w:ascii="Arial" w:hAnsi="Arial" w:cs="Arial"/>
                <w:sz w:val="12"/>
                <w:szCs w:val="12"/>
              </w:rPr>
            </w:pPr>
          </w:p>
        </w:tc>
        <w:tc>
          <w:tcPr>
            <w:tcW w:w="2268" w:type="dxa"/>
            <w:shd w:val="clear" w:color="auto" w:fill="F2F2F2"/>
            <w:hideMark/>
          </w:tcPr>
          <w:p w14:paraId="415A8A0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96E7C5F" w14:textId="77777777" w:rsidR="002A4DDF" w:rsidRPr="00937C8B" w:rsidRDefault="002A4DDF" w:rsidP="009110ED">
            <w:pPr>
              <w:rPr>
                <w:rFonts w:ascii="Arial" w:hAnsi="Arial" w:cs="Arial"/>
                <w:sz w:val="12"/>
                <w:szCs w:val="12"/>
              </w:rPr>
            </w:pPr>
            <w:r>
              <w:rPr>
                <w:rFonts w:ascii="Arial" w:hAnsi="Arial"/>
                <w:sz w:val="12"/>
                <w:szCs w:val="12"/>
              </w:rPr>
              <w:t>Burela</w:t>
            </w:r>
          </w:p>
        </w:tc>
      </w:tr>
      <w:tr w:rsidR="002A4DDF" w:rsidRPr="00937C8B" w14:paraId="72C568EA" w14:textId="77777777" w:rsidTr="00935676">
        <w:trPr>
          <w:cantSplit/>
        </w:trPr>
        <w:tc>
          <w:tcPr>
            <w:tcW w:w="1696" w:type="dxa"/>
            <w:tcBorders>
              <w:left w:val="single" w:sz="4" w:space="0" w:color="auto"/>
            </w:tcBorders>
            <w:shd w:val="clear" w:color="auto" w:fill="auto"/>
          </w:tcPr>
          <w:p w14:paraId="364FCA91" w14:textId="77777777" w:rsidR="002A4DDF" w:rsidRPr="00937C8B" w:rsidRDefault="002A4DDF" w:rsidP="009110ED">
            <w:pPr>
              <w:rPr>
                <w:rFonts w:ascii="Arial" w:hAnsi="Arial" w:cs="Arial"/>
                <w:sz w:val="12"/>
                <w:szCs w:val="12"/>
              </w:rPr>
            </w:pPr>
          </w:p>
        </w:tc>
        <w:tc>
          <w:tcPr>
            <w:tcW w:w="1843" w:type="dxa"/>
            <w:shd w:val="clear" w:color="auto" w:fill="auto"/>
          </w:tcPr>
          <w:p w14:paraId="2E1AEF66" w14:textId="77777777" w:rsidR="002A4DDF" w:rsidRPr="00937C8B" w:rsidRDefault="002A4DDF" w:rsidP="009110ED">
            <w:pPr>
              <w:rPr>
                <w:rFonts w:ascii="Arial" w:hAnsi="Arial" w:cs="Arial"/>
                <w:sz w:val="12"/>
                <w:szCs w:val="12"/>
              </w:rPr>
            </w:pPr>
          </w:p>
        </w:tc>
        <w:tc>
          <w:tcPr>
            <w:tcW w:w="2268" w:type="dxa"/>
            <w:shd w:val="clear" w:color="auto" w:fill="F2F2F2"/>
            <w:hideMark/>
          </w:tcPr>
          <w:p w14:paraId="5A5EE3E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55A42E8" w14:textId="77777777" w:rsidR="002A4DDF" w:rsidRPr="00937C8B" w:rsidRDefault="002A4DDF" w:rsidP="009110ED">
            <w:pPr>
              <w:rPr>
                <w:rFonts w:ascii="Arial" w:hAnsi="Arial" w:cs="Arial"/>
                <w:sz w:val="12"/>
                <w:szCs w:val="12"/>
              </w:rPr>
            </w:pPr>
            <w:r>
              <w:rPr>
                <w:rFonts w:ascii="Arial" w:hAnsi="Arial"/>
                <w:sz w:val="12"/>
                <w:szCs w:val="12"/>
              </w:rPr>
              <w:t>Carballedo</w:t>
            </w:r>
          </w:p>
        </w:tc>
      </w:tr>
      <w:tr w:rsidR="002A4DDF" w:rsidRPr="00937C8B" w14:paraId="5269E6A5" w14:textId="77777777" w:rsidTr="00935676">
        <w:trPr>
          <w:cantSplit/>
        </w:trPr>
        <w:tc>
          <w:tcPr>
            <w:tcW w:w="1696" w:type="dxa"/>
            <w:tcBorders>
              <w:left w:val="single" w:sz="4" w:space="0" w:color="auto"/>
            </w:tcBorders>
            <w:shd w:val="clear" w:color="auto" w:fill="auto"/>
          </w:tcPr>
          <w:p w14:paraId="1A56C069" w14:textId="77777777" w:rsidR="002A4DDF" w:rsidRPr="00937C8B" w:rsidRDefault="002A4DDF" w:rsidP="009110ED">
            <w:pPr>
              <w:rPr>
                <w:rFonts w:ascii="Arial" w:hAnsi="Arial" w:cs="Arial"/>
                <w:sz w:val="12"/>
                <w:szCs w:val="12"/>
              </w:rPr>
            </w:pPr>
          </w:p>
        </w:tc>
        <w:tc>
          <w:tcPr>
            <w:tcW w:w="1843" w:type="dxa"/>
            <w:shd w:val="clear" w:color="auto" w:fill="auto"/>
          </w:tcPr>
          <w:p w14:paraId="0D204919" w14:textId="77777777" w:rsidR="002A4DDF" w:rsidRPr="00937C8B" w:rsidRDefault="002A4DDF" w:rsidP="009110ED">
            <w:pPr>
              <w:rPr>
                <w:rFonts w:ascii="Arial" w:hAnsi="Arial" w:cs="Arial"/>
                <w:sz w:val="12"/>
                <w:szCs w:val="12"/>
              </w:rPr>
            </w:pPr>
          </w:p>
        </w:tc>
        <w:tc>
          <w:tcPr>
            <w:tcW w:w="2268" w:type="dxa"/>
            <w:shd w:val="clear" w:color="auto" w:fill="F2F2F2"/>
            <w:hideMark/>
          </w:tcPr>
          <w:p w14:paraId="2AA10C7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F67F689" w14:textId="77777777" w:rsidR="002A4DDF" w:rsidRPr="00937C8B" w:rsidRDefault="002A4DDF" w:rsidP="009110ED">
            <w:pPr>
              <w:rPr>
                <w:rFonts w:ascii="Arial" w:hAnsi="Arial" w:cs="Arial"/>
                <w:sz w:val="12"/>
                <w:szCs w:val="12"/>
              </w:rPr>
            </w:pPr>
            <w:r>
              <w:rPr>
                <w:rFonts w:ascii="Arial" w:hAnsi="Arial"/>
                <w:sz w:val="12"/>
                <w:szCs w:val="12"/>
              </w:rPr>
              <w:t>Castro de Rei</w:t>
            </w:r>
          </w:p>
        </w:tc>
      </w:tr>
      <w:tr w:rsidR="002A4DDF" w:rsidRPr="00937C8B" w14:paraId="021F12B0" w14:textId="77777777" w:rsidTr="00935676">
        <w:trPr>
          <w:cantSplit/>
        </w:trPr>
        <w:tc>
          <w:tcPr>
            <w:tcW w:w="1696" w:type="dxa"/>
            <w:tcBorders>
              <w:left w:val="single" w:sz="4" w:space="0" w:color="auto"/>
            </w:tcBorders>
            <w:shd w:val="clear" w:color="auto" w:fill="auto"/>
          </w:tcPr>
          <w:p w14:paraId="43C231F7" w14:textId="77777777" w:rsidR="002A4DDF" w:rsidRPr="00937C8B" w:rsidRDefault="002A4DDF" w:rsidP="009110ED">
            <w:pPr>
              <w:rPr>
                <w:rFonts w:ascii="Arial" w:hAnsi="Arial" w:cs="Arial"/>
                <w:sz w:val="12"/>
                <w:szCs w:val="12"/>
              </w:rPr>
            </w:pPr>
          </w:p>
        </w:tc>
        <w:tc>
          <w:tcPr>
            <w:tcW w:w="1843" w:type="dxa"/>
            <w:shd w:val="clear" w:color="auto" w:fill="auto"/>
          </w:tcPr>
          <w:p w14:paraId="0C03AB66" w14:textId="77777777" w:rsidR="002A4DDF" w:rsidRPr="00937C8B" w:rsidRDefault="002A4DDF" w:rsidP="009110ED">
            <w:pPr>
              <w:rPr>
                <w:rFonts w:ascii="Arial" w:hAnsi="Arial" w:cs="Arial"/>
                <w:sz w:val="12"/>
                <w:szCs w:val="12"/>
              </w:rPr>
            </w:pPr>
          </w:p>
        </w:tc>
        <w:tc>
          <w:tcPr>
            <w:tcW w:w="2268" w:type="dxa"/>
            <w:shd w:val="clear" w:color="auto" w:fill="F2F2F2"/>
            <w:hideMark/>
          </w:tcPr>
          <w:p w14:paraId="03D3134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397D04E" w14:textId="77777777" w:rsidR="002A4DDF" w:rsidRPr="00937C8B" w:rsidRDefault="002A4DDF" w:rsidP="009110ED">
            <w:pPr>
              <w:rPr>
                <w:rFonts w:ascii="Arial" w:hAnsi="Arial" w:cs="Arial"/>
                <w:sz w:val="12"/>
                <w:szCs w:val="12"/>
              </w:rPr>
            </w:pPr>
            <w:r>
              <w:rPr>
                <w:rFonts w:ascii="Arial" w:hAnsi="Arial"/>
                <w:sz w:val="12"/>
                <w:szCs w:val="12"/>
              </w:rPr>
              <w:t>Castroverde</w:t>
            </w:r>
          </w:p>
        </w:tc>
      </w:tr>
      <w:tr w:rsidR="002A4DDF" w:rsidRPr="00937C8B" w14:paraId="59751674" w14:textId="77777777" w:rsidTr="00935676">
        <w:trPr>
          <w:cantSplit/>
        </w:trPr>
        <w:tc>
          <w:tcPr>
            <w:tcW w:w="1696" w:type="dxa"/>
            <w:tcBorders>
              <w:left w:val="single" w:sz="4" w:space="0" w:color="auto"/>
            </w:tcBorders>
            <w:shd w:val="clear" w:color="auto" w:fill="auto"/>
          </w:tcPr>
          <w:p w14:paraId="7D1C8EF3" w14:textId="77777777" w:rsidR="002A4DDF" w:rsidRPr="00937C8B" w:rsidRDefault="002A4DDF" w:rsidP="009110ED">
            <w:pPr>
              <w:rPr>
                <w:rFonts w:ascii="Arial" w:hAnsi="Arial" w:cs="Arial"/>
                <w:sz w:val="12"/>
                <w:szCs w:val="12"/>
              </w:rPr>
            </w:pPr>
          </w:p>
        </w:tc>
        <w:tc>
          <w:tcPr>
            <w:tcW w:w="1843" w:type="dxa"/>
            <w:shd w:val="clear" w:color="auto" w:fill="auto"/>
          </w:tcPr>
          <w:p w14:paraId="4BA4F624" w14:textId="77777777" w:rsidR="002A4DDF" w:rsidRPr="00937C8B" w:rsidRDefault="002A4DDF" w:rsidP="009110ED">
            <w:pPr>
              <w:rPr>
                <w:rFonts w:ascii="Arial" w:hAnsi="Arial" w:cs="Arial"/>
                <w:sz w:val="12"/>
                <w:szCs w:val="12"/>
              </w:rPr>
            </w:pPr>
          </w:p>
        </w:tc>
        <w:tc>
          <w:tcPr>
            <w:tcW w:w="2268" w:type="dxa"/>
            <w:shd w:val="clear" w:color="auto" w:fill="F2F2F2"/>
            <w:hideMark/>
          </w:tcPr>
          <w:p w14:paraId="1283A93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FFF1FD5" w14:textId="77777777" w:rsidR="002A4DDF" w:rsidRPr="00937C8B" w:rsidRDefault="002A4DDF" w:rsidP="009110ED">
            <w:pPr>
              <w:rPr>
                <w:rFonts w:ascii="Arial" w:hAnsi="Arial" w:cs="Arial"/>
                <w:sz w:val="12"/>
                <w:szCs w:val="12"/>
              </w:rPr>
            </w:pPr>
            <w:r>
              <w:rPr>
                <w:rFonts w:ascii="Arial" w:hAnsi="Arial"/>
                <w:sz w:val="12"/>
                <w:szCs w:val="12"/>
              </w:rPr>
              <w:t>Cervo</w:t>
            </w:r>
          </w:p>
        </w:tc>
      </w:tr>
      <w:tr w:rsidR="002A4DDF" w:rsidRPr="00937C8B" w14:paraId="18F9C2F7" w14:textId="77777777" w:rsidTr="00935676">
        <w:trPr>
          <w:cantSplit/>
        </w:trPr>
        <w:tc>
          <w:tcPr>
            <w:tcW w:w="1696" w:type="dxa"/>
            <w:tcBorders>
              <w:left w:val="single" w:sz="4" w:space="0" w:color="auto"/>
            </w:tcBorders>
            <w:shd w:val="clear" w:color="auto" w:fill="auto"/>
          </w:tcPr>
          <w:p w14:paraId="7BEB4571" w14:textId="77777777" w:rsidR="002A4DDF" w:rsidRPr="00937C8B" w:rsidRDefault="002A4DDF" w:rsidP="009110ED">
            <w:pPr>
              <w:rPr>
                <w:rFonts w:ascii="Arial" w:hAnsi="Arial" w:cs="Arial"/>
                <w:sz w:val="12"/>
                <w:szCs w:val="12"/>
              </w:rPr>
            </w:pPr>
          </w:p>
        </w:tc>
        <w:tc>
          <w:tcPr>
            <w:tcW w:w="1843" w:type="dxa"/>
            <w:shd w:val="clear" w:color="auto" w:fill="auto"/>
          </w:tcPr>
          <w:p w14:paraId="0BD3F012" w14:textId="77777777" w:rsidR="002A4DDF" w:rsidRPr="00937C8B" w:rsidRDefault="002A4DDF" w:rsidP="009110ED">
            <w:pPr>
              <w:rPr>
                <w:rFonts w:ascii="Arial" w:hAnsi="Arial" w:cs="Arial"/>
                <w:sz w:val="12"/>
                <w:szCs w:val="12"/>
              </w:rPr>
            </w:pPr>
          </w:p>
        </w:tc>
        <w:tc>
          <w:tcPr>
            <w:tcW w:w="2268" w:type="dxa"/>
            <w:shd w:val="clear" w:color="auto" w:fill="F2F2F2"/>
            <w:hideMark/>
          </w:tcPr>
          <w:p w14:paraId="5CADAB4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D914466" w14:textId="77777777" w:rsidR="002A4DDF" w:rsidRPr="00937C8B" w:rsidRDefault="002A4DDF" w:rsidP="009110ED">
            <w:pPr>
              <w:rPr>
                <w:rFonts w:ascii="Arial" w:hAnsi="Arial" w:cs="Arial"/>
                <w:sz w:val="12"/>
                <w:szCs w:val="12"/>
              </w:rPr>
            </w:pPr>
            <w:r>
              <w:rPr>
                <w:rFonts w:ascii="Arial" w:hAnsi="Arial"/>
                <w:sz w:val="12"/>
                <w:szCs w:val="12"/>
              </w:rPr>
              <w:t>Chantada</w:t>
            </w:r>
          </w:p>
        </w:tc>
      </w:tr>
      <w:tr w:rsidR="002A4DDF" w:rsidRPr="00937C8B" w14:paraId="70DC8DF8" w14:textId="77777777" w:rsidTr="00935676">
        <w:trPr>
          <w:cantSplit/>
        </w:trPr>
        <w:tc>
          <w:tcPr>
            <w:tcW w:w="1696" w:type="dxa"/>
            <w:tcBorders>
              <w:left w:val="single" w:sz="4" w:space="0" w:color="auto"/>
            </w:tcBorders>
            <w:shd w:val="clear" w:color="auto" w:fill="auto"/>
          </w:tcPr>
          <w:p w14:paraId="40B94344" w14:textId="77777777" w:rsidR="002A4DDF" w:rsidRPr="00937C8B" w:rsidRDefault="002A4DDF" w:rsidP="009110ED">
            <w:pPr>
              <w:rPr>
                <w:rFonts w:ascii="Arial" w:hAnsi="Arial" w:cs="Arial"/>
                <w:sz w:val="12"/>
                <w:szCs w:val="12"/>
              </w:rPr>
            </w:pPr>
          </w:p>
        </w:tc>
        <w:tc>
          <w:tcPr>
            <w:tcW w:w="1843" w:type="dxa"/>
            <w:shd w:val="clear" w:color="auto" w:fill="auto"/>
          </w:tcPr>
          <w:p w14:paraId="1E5650C3" w14:textId="77777777" w:rsidR="002A4DDF" w:rsidRPr="00937C8B" w:rsidRDefault="002A4DDF" w:rsidP="009110ED">
            <w:pPr>
              <w:rPr>
                <w:rFonts w:ascii="Arial" w:hAnsi="Arial" w:cs="Arial"/>
                <w:sz w:val="12"/>
                <w:szCs w:val="12"/>
              </w:rPr>
            </w:pPr>
          </w:p>
        </w:tc>
        <w:tc>
          <w:tcPr>
            <w:tcW w:w="2268" w:type="dxa"/>
            <w:shd w:val="clear" w:color="auto" w:fill="F2F2F2"/>
            <w:hideMark/>
          </w:tcPr>
          <w:p w14:paraId="7065002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DC31A80" w14:textId="77777777" w:rsidR="002A4DDF" w:rsidRPr="00937C8B" w:rsidRDefault="002A4DDF" w:rsidP="009110ED">
            <w:pPr>
              <w:rPr>
                <w:rFonts w:ascii="Arial" w:hAnsi="Arial" w:cs="Arial"/>
                <w:sz w:val="12"/>
                <w:szCs w:val="12"/>
              </w:rPr>
            </w:pPr>
            <w:r>
              <w:rPr>
                <w:rFonts w:ascii="Arial" w:hAnsi="Arial"/>
                <w:sz w:val="12"/>
                <w:szCs w:val="12"/>
              </w:rPr>
              <w:t>Foz</w:t>
            </w:r>
          </w:p>
        </w:tc>
      </w:tr>
      <w:tr w:rsidR="002A4DDF" w:rsidRPr="00937C8B" w14:paraId="2408BC9C" w14:textId="77777777" w:rsidTr="00935676">
        <w:trPr>
          <w:cantSplit/>
        </w:trPr>
        <w:tc>
          <w:tcPr>
            <w:tcW w:w="1696" w:type="dxa"/>
            <w:tcBorders>
              <w:left w:val="single" w:sz="4" w:space="0" w:color="auto"/>
            </w:tcBorders>
            <w:shd w:val="clear" w:color="auto" w:fill="auto"/>
          </w:tcPr>
          <w:p w14:paraId="583F4B78" w14:textId="77777777" w:rsidR="002A4DDF" w:rsidRPr="00937C8B" w:rsidRDefault="002A4DDF" w:rsidP="009110ED">
            <w:pPr>
              <w:rPr>
                <w:rFonts w:ascii="Arial" w:hAnsi="Arial" w:cs="Arial"/>
                <w:sz w:val="12"/>
                <w:szCs w:val="12"/>
              </w:rPr>
            </w:pPr>
          </w:p>
        </w:tc>
        <w:tc>
          <w:tcPr>
            <w:tcW w:w="1843" w:type="dxa"/>
            <w:shd w:val="clear" w:color="auto" w:fill="auto"/>
          </w:tcPr>
          <w:p w14:paraId="0F3F157C" w14:textId="77777777" w:rsidR="002A4DDF" w:rsidRPr="00937C8B" w:rsidRDefault="002A4DDF" w:rsidP="009110ED">
            <w:pPr>
              <w:rPr>
                <w:rFonts w:ascii="Arial" w:hAnsi="Arial" w:cs="Arial"/>
                <w:sz w:val="12"/>
                <w:szCs w:val="12"/>
              </w:rPr>
            </w:pPr>
          </w:p>
        </w:tc>
        <w:tc>
          <w:tcPr>
            <w:tcW w:w="2268" w:type="dxa"/>
            <w:shd w:val="clear" w:color="auto" w:fill="F2F2F2"/>
            <w:hideMark/>
          </w:tcPr>
          <w:p w14:paraId="0227F63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21C557F" w14:textId="77777777" w:rsidR="002A4DDF" w:rsidRPr="00937C8B" w:rsidRDefault="002A4DDF" w:rsidP="009110ED">
            <w:pPr>
              <w:rPr>
                <w:rFonts w:ascii="Arial" w:hAnsi="Arial" w:cs="Arial"/>
                <w:sz w:val="12"/>
                <w:szCs w:val="12"/>
              </w:rPr>
            </w:pPr>
            <w:r>
              <w:rPr>
                <w:rFonts w:ascii="Arial" w:hAnsi="Arial"/>
                <w:sz w:val="12"/>
                <w:szCs w:val="12"/>
              </w:rPr>
              <w:t>Friol</w:t>
            </w:r>
          </w:p>
        </w:tc>
      </w:tr>
      <w:tr w:rsidR="002A4DDF" w:rsidRPr="00937C8B" w14:paraId="7FC887B9" w14:textId="77777777" w:rsidTr="00935676">
        <w:trPr>
          <w:cantSplit/>
        </w:trPr>
        <w:tc>
          <w:tcPr>
            <w:tcW w:w="1696" w:type="dxa"/>
            <w:tcBorders>
              <w:left w:val="single" w:sz="4" w:space="0" w:color="auto"/>
            </w:tcBorders>
            <w:shd w:val="clear" w:color="auto" w:fill="auto"/>
          </w:tcPr>
          <w:p w14:paraId="7E38847C" w14:textId="77777777" w:rsidR="002A4DDF" w:rsidRPr="00937C8B" w:rsidRDefault="002A4DDF" w:rsidP="009110ED">
            <w:pPr>
              <w:rPr>
                <w:rFonts w:ascii="Arial" w:hAnsi="Arial" w:cs="Arial"/>
                <w:sz w:val="12"/>
                <w:szCs w:val="12"/>
              </w:rPr>
            </w:pPr>
          </w:p>
        </w:tc>
        <w:tc>
          <w:tcPr>
            <w:tcW w:w="1843" w:type="dxa"/>
            <w:shd w:val="clear" w:color="auto" w:fill="auto"/>
          </w:tcPr>
          <w:p w14:paraId="593F84C1" w14:textId="77777777" w:rsidR="002A4DDF" w:rsidRPr="00937C8B" w:rsidRDefault="002A4DDF" w:rsidP="009110ED">
            <w:pPr>
              <w:rPr>
                <w:rFonts w:ascii="Arial" w:hAnsi="Arial" w:cs="Arial"/>
                <w:sz w:val="12"/>
                <w:szCs w:val="12"/>
              </w:rPr>
            </w:pPr>
          </w:p>
        </w:tc>
        <w:tc>
          <w:tcPr>
            <w:tcW w:w="2268" w:type="dxa"/>
            <w:shd w:val="clear" w:color="auto" w:fill="F2F2F2"/>
            <w:hideMark/>
          </w:tcPr>
          <w:p w14:paraId="74D4B5C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F4D9E8F" w14:textId="77777777" w:rsidR="002A4DDF" w:rsidRPr="00937C8B" w:rsidRDefault="002A4DDF" w:rsidP="009110ED">
            <w:pPr>
              <w:rPr>
                <w:rFonts w:ascii="Arial" w:hAnsi="Arial" w:cs="Arial"/>
                <w:sz w:val="12"/>
                <w:szCs w:val="12"/>
              </w:rPr>
            </w:pPr>
            <w:r>
              <w:rPr>
                <w:rFonts w:ascii="Arial" w:hAnsi="Arial"/>
                <w:sz w:val="12"/>
                <w:szCs w:val="12"/>
              </w:rPr>
              <w:t>Guitiriz</w:t>
            </w:r>
          </w:p>
        </w:tc>
      </w:tr>
      <w:tr w:rsidR="002A4DDF" w:rsidRPr="00937C8B" w14:paraId="4EBD0CF2" w14:textId="77777777" w:rsidTr="00935676">
        <w:trPr>
          <w:cantSplit/>
        </w:trPr>
        <w:tc>
          <w:tcPr>
            <w:tcW w:w="1696" w:type="dxa"/>
            <w:tcBorders>
              <w:left w:val="single" w:sz="4" w:space="0" w:color="auto"/>
            </w:tcBorders>
            <w:shd w:val="clear" w:color="auto" w:fill="auto"/>
          </w:tcPr>
          <w:p w14:paraId="4B0BB1C0" w14:textId="77777777" w:rsidR="002A4DDF" w:rsidRPr="00937C8B" w:rsidRDefault="002A4DDF" w:rsidP="009110ED">
            <w:pPr>
              <w:rPr>
                <w:rFonts w:ascii="Arial" w:hAnsi="Arial" w:cs="Arial"/>
                <w:sz w:val="12"/>
                <w:szCs w:val="12"/>
              </w:rPr>
            </w:pPr>
          </w:p>
        </w:tc>
        <w:tc>
          <w:tcPr>
            <w:tcW w:w="1843" w:type="dxa"/>
            <w:shd w:val="clear" w:color="auto" w:fill="auto"/>
          </w:tcPr>
          <w:p w14:paraId="1AAF022C" w14:textId="77777777" w:rsidR="002A4DDF" w:rsidRPr="00937C8B" w:rsidRDefault="002A4DDF" w:rsidP="009110ED">
            <w:pPr>
              <w:rPr>
                <w:rFonts w:ascii="Arial" w:hAnsi="Arial" w:cs="Arial"/>
                <w:sz w:val="12"/>
                <w:szCs w:val="12"/>
              </w:rPr>
            </w:pPr>
          </w:p>
        </w:tc>
        <w:tc>
          <w:tcPr>
            <w:tcW w:w="2268" w:type="dxa"/>
            <w:shd w:val="clear" w:color="auto" w:fill="F2F2F2"/>
            <w:hideMark/>
          </w:tcPr>
          <w:p w14:paraId="46F3094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4B7EAF1" w14:textId="77777777" w:rsidR="002A4DDF" w:rsidRPr="00937C8B" w:rsidRDefault="002A4DDF" w:rsidP="009110ED">
            <w:pPr>
              <w:rPr>
                <w:rFonts w:ascii="Arial" w:hAnsi="Arial" w:cs="Arial"/>
                <w:sz w:val="12"/>
                <w:szCs w:val="12"/>
              </w:rPr>
            </w:pPr>
            <w:r>
              <w:rPr>
                <w:rFonts w:ascii="Arial" w:hAnsi="Arial"/>
                <w:sz w:val="12"/>
                <w:szCs w:val="12"/>
              </w:rPr>
              <w:t>Guntín</w:t>
            </w:r>
          </w:p>
        </w:tc>
      </w:tr>
      <w:tr w:rsidR="002A4DDF" w:rsidRPr="00937C8B" w14:paraId="3FAE7D2A" w14:textId="77777777" w:rsidTr="00935676">
        <w:trPr>
          <w:cantSplit/>
        </w:trPr>
        <w:tc>
          <w:tcPr>
            <w:tcW w:w="1696" w:type="dxa"/>
            <w:tcBorders>
              <w:left w:val="single" w:sz="4" w:space="0" w:color="auto"/>
            </w:tcBorders>
            <w:shd w:val="clear" w:color="auto" w:fill="auto"/>
          </w:tcPr>
          <w:p w14:paraId="45A6813F" w14:textId="77777777" w:rsidR="002A4DDF" w:rsidRPr="00937C8B" w:rsidRDefault="002A4DDF" w:rsidP="009110ED">
            <w:pPr>
              <w:rPr>
                <w:rFonts w:ascii="Arial" w:hAnsi="Arial" w:cs="Arial"/>
                <w:sz w:val="12"/>
                <w:szCs w:val="12"/>
              </w:rPr>
            </w:pPr>
          </w:p>
        </w:tc>
        <w:tc>
          <w:tcPr>
            <w:tcW w:w="1843" w:type="dxa"/>
            <w:shd w:val="clear" w:color="auto" w:fill="auto"/>
          </w:tcPr>
          <w:p w14:paraId="1FB925DB" w14:textId="77777777" w:rsidR="002A4DDF" w:rsidRPr="00937C8B" w:rsidRDefault="002A4DDF" w:rsidP="009110ED">
            <w:pPr>
              <w:rPr>
                <w:rFonts w:ascii="Arial" w:hAnsi="Arial" w:cs="Arial"/>
                <w:sz w:val="12"/>
                <w:szCs w:val="12"/>
              </w:rPr>
            </w:pPr>
          </w:p>
        </w:tc>
        <w:tc>
          <w:tcPr>
            <w:tcW w:w="2268" w:type="dxa"/>
            <w:shd w:val="clear" w:color="auto" w:fill="F2F2F2"/>
            <w:hideMark/>
          </w:tcPr>
          <w:p w14:paraId="1CEDFF7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16EB8A5" w14:textId="77777777" w:rsidR="002A4DDF" w:rsidRPr="00937C8B" w:rsidRDefault="002A4DDF" w:rsidP="009110ED">
            <w:pPr>
              <w:rPr>
                <w:rFonts w:ascii="Arial" w:hAnsi="Arial" w:cs="Arial"/>
                <w:sz w:val="12"/>
                <w:szCs w:val="12"/>
              </w:rPr>
            </w:pPr>
            <w:r>
              <w:rPr>
                <w:rFonts w:ascii="Arial" w:hAnsi="Arial"/>
                <w:sz w:val="12"/>
                <w:szCs w:val="12"/>
              </w:rPr>
              <w:t>Láncara</w:t>
            </w:r>
          </w:p>
        </w:tc>
      </w:tr>
      <w:tr w:rsidR="002A4DDF" w:rsidRPr="00937C8B" w14:paraId="163A16D4" w14:textId="77777777" w:rsidTr="00935676">
        <w:trPr>
          <w:cantSplit/>
        </w:trPr>
        <w:tc>
          <w:tcPr>
            <w:tcW w:w="1696" w:type="dxa"/>
            <w:tcBorders>
              <w:left w:val="single" w:sz="4" w:space="0" w:color="auto"/>
            </w:tcBorders>
            <w:shd w:val="clear" w:color="auto" w:fill="auto"/>
          </w:tcPr>
          <w:p w14:paraId="24048B67" w14:textId="77777777" w:rsidR="002A4DDF" w:rsidRPr="00937C8B" w:rsidRDefault="002A4DDF" w:rsidP="009110ED">
            <w:pPr>
              <w:rPr>
                <w:rFonts w:ascii="Arial" w:hAnsi="Arial" w:cs="Arial"/>
                <w:sz w:val="12"/>
                <w:szCs w:val="12"/>
              </w:rPr>
            </w:pPr>
          </w:p>
        </w:tc>
        <w:tc>
          <w:tcPr>
            <w:tcW w:w="1843" w:type="dxa"/>
            <w:shd w:val="clear" w:color="auto" w:fill="auto"/>
          </w:tcPr>
          <w:p w14:paraId="5D64AB68" w14:textId="77777777" w:rsidR="002A4DDF" w:rsidRPr="00937C8B" w:rsidRDefault="002A4DDF" w:rsidP="009110ED">
            <w:pPr>
              <w:rPr>
                <w:rFonts w:ascii="Arial" w:hAnsi="Arial" w:cs="Arial"/>
                <w:sz w:val="12"/>
                <w:szCs w:val="12"/>
              </w:rPr>
            </w:pPr>
          </w:p>
        </w:tc>
        <w:tc>
          <w:tcPr>
            <w:tcW w:w="2268" w:type="dxa"/>
            <w:shd w:val="clear" w:color="auto" w:fill="F2F2F2"/>
            <w:hideMark/>
          </w:tcPr>
          <w:p w14:paraId="7A10AF7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D2742C9" w14:textId="77777777" w:rsidR="002A4DDF" w:rsidRPr="00937C8B" w:rsidRDefault="002A4DDF" w:rsidP="009110ED">
            <w:pPr>
              <w:rPr>
                <w:rFonts w:ascii="Arial" w:hAnsi="Arial" w:cs="Arial"/>
                <w:sz w:val="12"/>
                <w:szCs w:val="12"/>
              </w:rPr>
            </w:pPr>
            <w:r>
              <w:rPr>
                <w:rFonts w:ascii="Arial" w:hAnsi="Arial"/>
                <w:sz w:val="12"/>
                <w:szCs w:val="12"/>
              </w:rPr>
              <w:t>Lugo</w:t>
            </w:r>
          </w:p>
        </w:tc>
      </w:tr>
      <w:tr w:rsidR="002A4DDF" w:rsidRPr="00937C8B" w14:paraId="3341A523" w14:textId="77777777" w:rsidTr="00935676">
        <w:trPr>
          <w:cantSplit/>
        </w:trPr>
        <w:tc>
          <w:tcPr>
            <w:tcW w:w="1696" w:type="dxa"/>
            <w:tcBorders>
              <w:left w:val="single" w:sz="4" w:space="0" w:color="auto"/>
            </w:tcBorders>
            <w:shd w:val="clear" w:color="auto" w:fill="auto"/>
          </w:tcPr>
          <w:p w14:paraId="4D8A7597" w14:textId="77777777" w:rsidR="002A4DDF" w:rsidRPr="00937C8B" w:rsidRDefault="002A4DDF" w:rsidP="009110ED">
            <w:pPr>
              <w:rPr>
                <w:rFonts w:ascii="Arial" w:hAnsi="Arial" w:cs="Arial"/>
                <w:sz w:val="12"/>
                <w:szCs w:val="12"/>
              </w:rPr>
            </w:pPr>
          </w:p>
        </w:tc>
        <w:tc>
          <w:tcPr>
            <w:tcW w:w="1843" w:type="dxa"/>
            <w:shd w:val="clear" w:color="auto" w:fill="auto"/>
          </w:tcPr>
          <w:p w14:paraId="53CE12FF" w14:textId="77777777" w:rsidR="002A4DDF" w:rsidRPr="00937C8B" w:rsidRDefault="002A4DDF" w:rsidP="009110ED">
            <w:pPr>
              <w:rPr>
                <w:rFonts w:ascii="Arial" w:hAnsi="Arial" w:cs="Arial"/>
                <w:sz w:val="12"/>
                <w:szCs w:val="12"/>
              </w:rPr>
            </w:pPr>
          </w:p>
        </w:tc>
        <w:tc>
          <w:tcPr>
            <w:tcW w:w="2268" w:type="dxa"/>
            <w:shd w:val="clear" w:color="auto" w:fill="F2F2F2"/>
            <w:hideMark/>
          </w:tcPr>
          <w:p w14:paraId="23BBA51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0BA39A0" w14:textId="77777777" w:rsidR="002A4DDF" w:rsidRPr="00937C8B" w:rsidRDefault="002A4DDF" w:rsidP="009110ED">
            <w:pPr>
              <w:rPr>
                <w:rFonts w:ascii="Arial" w:hAnsi="Arial" w:cs="Arial"/>
                <w:sz w:val="12"/>
                <w:szCs w:val="12"/>
              </w:rPr>
            </w:pPr>
            <w:r>
              <w:rPr>
                <w:rFonts w:ascii="Arial" w:hAnsi="Arial"/>
                <w:sz w:val="12"/>
                <w:szCs w:val="12"/>
              </w:rPr>
              <w:t>Meira</w:t>
            </w:r>
          </w:p>
        </w:tc>
      </w:tr>
      <w:tr w:rsidR="002A4DDF" w:rsidRPr="00937C8B" w14:paraId="79E1F583" w14:textId="77777777" w:rsidTr="00935676">
        <w:trPr>
          <w:cantSplit/>
        </w:trPr>
        <w:tc>
          <w:tcPr>
            <w:tcW w:w="1696" w:type="dxa"/>
            <w:tcBorders>
              <w:left w:val="single" w:sz="4" w:space="0" w:color="auto"/>
            </w:tcBorders>
            <w:shd w:val="clear" w:color="auto" w:fill="auto"/>
          </w:tcPr>
          <w:p w14:paraId="78690CD9" w14:textId="77777777" w:rsidR="002A4DDF" w:rsidRPr="00937C8B" w:rsidRDefault="002A4DDF" w:rsidP="009110ED">
            <w:pPr>
              <w:rPr>
                <w:rFonts w:ascii="Arial" w:hAnsi="Arial" w:cs="Arial"/>
                <w:sz w:val="12"/>
                <w:szCs w:val="12"/>
              </w:rPr>
            </w:pPr>
          </w:p>
        </w:tc>
        <w:tc>
          <w:tcPr>
            <w:tcW w:w="1843" w:type="dxa"/>
            <w:shd w:val="clear" w:color="auto" w:fill="auto"/>
          </w:tcPr>
          <w:p w14:paraId="711ED891" w14:textId="77777777" w:rsidR="002A4DDF" w:rsidRPr="00937C8B" w:rsidRDefault="002A4DDF" w:rsidP="009110ED">
            <w:pPr>
              <w:rPr>
                <w:rFonts w:ascii="Arial" w:hAnsi="Arial" w:cs="Arial"/>
                <w:sz w:val="12"/>
                <w:szCs w:val="12"/>
              </w:rPr>
            </w:pPr>
          </w:p>
        </w:tc>
        <w:tc>
          <w:tcPr>
            <w:tcW w:w="2268" w:type="dxa"/>
            <w:shd w:val="clear" w:color="auto" w:fill="F2F2F2"/>
            <w:hideMark/>
          </w:tcPr>
          <w:p w14:paraId="476716B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8DEE41C" w14:textId="77777777" w:rsidR="002A4DDF" w:rsidRPr="00937C8B" w:rsidRDefault="002A4DDF" w:rsidP="009110ED">
            <w:pPr>
              <w:rPr>
                <w:rFonts w:ascii="Arial" w:hAnsi="Arial" w:cs="Arial"/>
                <w:sz w:val="12"/>
                <w:szCs w:val="12"/>
              </w:rPr>
            </w:pPr>
            <w:r>
              <w:rPr>
                <w:rFonts w:ascii="Arial" w:hAnsi="Arial"/>
                <w:sz w:val="12"/>
                <w:szCs w:val="12"/>
              </w:rPr>
              <w:t>Mondoñedo</w:t>
            </w:r>
          </w:p>
        </w:tc>
      </w:tr>
      <w:tr w:rsidR="002A4DDF" w:rsidRPr="00937C8B" w14:paraId="353C4806" w14:textId="77777777" w:rsidTr="00935676">
        <w:trPr>
          <w:cantSplit/>
        </w:trPr>
        <w:tc>
          <w:tcPr>
            <w:tcW w:w="1696" w:type="dxa"/>
            <w:tcBorders>
              <w:left w:val="single" w:sz="4" w:space="0" w:color="auto"/>
            </w:tcBorders>
            <w:shd w:val="clear" w:color="auto" w:fill="auto"/>
          </w:tcPr>
          <w:p w14:paraId="6C949FA5" w14:textId="77777777" w:rsidR="002A4DDF" w:rsidRPr="00937C8B" w:rsidRDefault="002A4DDF" w:rsidP="009110ED">
            <w:pPr>
              <w:rPr>
                <w:rFonts w:ascii="Arial" w:hAnsi="Arial" w:cs="Arial"/>
                <w:sz w:val="12"/>
                <w:szCs w:val="12"/>
              </w:rPr>
            </w:pPr>
          </w:p>
        </w:tc>
        <w:tc>
          <w:tcPr>
            <w:tcW w:w="1843" w:type="dxa"/>
            <w:shd w:val="clear" w:color="auto" w:fill="auto"/>
          </w:tcPr>
          <w:p w14:paraId="1CBD5CED" w14:textId="77777777" w:rsidR="002A4DDF" w:rsidRPr="00937C8B" w:rsidRDefault="002A4DDF" w:rsidP="009110ED">
            <w:pPr>
              <w:rPr>
                <w:rFonts w:ascii="Arial" w:hAnsi="Arial" w:cs="Arial"/>
                <w:sz w:val="12"/>
                <w:szCs w:val="12"/>
              </w:rPr>
            </w:pPr>
          </w:p>
        </w:tc>
        <w:tc>
          <w:tcPr>
            <w:tcW w:w="2268" w:type="dxa"/>
            <w:shd w:val="clear" w:color="auto" w:fill="F2F2F2"/>
            <w:hideMark/>
          </w:tcPr>
          <w:p w14:paraId="27A2BDC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95822D0" w14:textId="77777777" w:rsidR="002A4DDF" w:rsidRPr="00937C8B" w:rsidRDefault="002A4DDF" w:rsidP="009110ED">
            <w:pPr>
              <w:rPr>
                <w:rFonts w:ascii="Arial" w:hAnsi="Arial" w:cs="Arial"/>
                <w:sz w:val="12"/>
                <w:szCs w:val="12"/>
              </w:rPr>
            </w:pPr>
            <w:r>
              <w:rPr>
                <w:rFonts w:ascii="Arial" w:hAnsi="Arial"/>
                <w:sz w:val="12"/>
                <w:szCs w:val="12"/>
              </w:rPr>
              <w:t>Monforte de Lemos</w:t>
            </w:r>
          </w:p>
        </w:tc>
      </w:tr>
      <w:tr w:rsidR="002A4DDF" w:rsidRPr="00937C8B" w14:paraId="3EB060A0" w14:textId="77777777" w:rsidTr="00935676">
        <w:trPr>
          <w:cantSplit/>
        </w:trPr>
        <w:tc>
          <w:tcPr>
            <w:tcW w:w="1696" w:type="dxa"/>
            <w:tcBorders>
              <w:left w:val="single" w:sz="4" w:space="0" w:color="auto"/>
            </w:tcBorders>
            <w:shd w:val="clear" w:color="auto" w:fill="auto"/>
          </w:tcPr>
          <w:p w14:paraId="64A3EC70" w14:textId="77777777" w:rsidR="002A4DDF" w:rsidRPr="00937C8B" w:rsidRDefault="002A4DDF" w:rsidP="009110ED">
            <w:pPr>
              <w:rPr>
                <w:rFonts w:ascii="Arial" w:hAnsi="Arial" w:cs="Arial"/>
                <w:sz w:val="12"/>
                <w:szCs w:val="12"/>
              </w:rPr>
            </w:pPr>
          </w:p>
        </w:tc>
        <w:tc>
          <w:tcPr>
            <w:tcW w:w="1843" w:type="dxa"/>
            <w:shd w:val="clear" w:color="auto" w:fill="auto"/>
          </w:tcPr>
          <w:p w14:paraId="7FB271DB" w14:textId="77777777" w:rsidR="002A4DDF" w:rsidRPr="00937C8B" w:rsidRDefault="002A4DDF" w:rsidP="009110ED">
            <w:pPr>
              <w:rPr>
                <w:rFonts w:ascii="Arial" w:hAnsi="Arial" w:cs="Arial"/>
                <w:sz w:val="12"/>
                <w:szCs w:val="12"/>
              </w:rPr>
            </w:pPr>
          </w:p>
        </w:tc>
        <w:tc>
          <w:tcPr>
            <w:tcW w:w="2268" w:type="dxa"/>
            <w:shd w:val="clear" w:color="auto" w:fill="F2F2F2"/>
            <w:hideMark/>
          </w:tcPr>
          <w:p w14:paraId="7BC6D15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55A27AA" w14:textId="77777777" w:rsidR="002A4DDF" w:rsidRPr="00937C8B" w:rsidRDefault="002A4DDF" w:rsidP="009110ED">
            <w:pPr>
              <w:rPr>
                <w:rFonts w:ascii="Arial" w:hAnsi="Arial" w:cs="Arial"/>
                <w:sz w:val="12"/>
                <w:szCs w:val="12"/>
              </w:rPr>
            </w:pPr>
            <w:r>
              <w:rPr>
                <w:rFonts w:ascii="Arial" w:hAnsi="Arial"/>
                <w:sz w:val="12"/>
                <w:szCs w:val="12"/>
              </w:rPr>
              <w:t>Monterroso</w:t>
            </w:r>
          </w:p>
        </w:tc>
      </w:tr>
      <w:tr w:rsidR="002A4DDF" w:rsidRPr="00937C8B" w14:paraId="48EEFA13" w14:textId="77777777" w:rsidTr="00935676">
        <w:trPr>
          <w:cantSplit/>
        </w:trPr>
        <w:tc>
          <w:tcPr>
            <w:tcW w:w="1696" w:type="dxa"/>
            <w:tcBorders>
              <w:left w:val="single" w:sz="4" w:space="0" w:color="auto"/>
            </w:tcBorders>
            <w:shd w:val="clear" w:color="auto" w:fill="auto"/>
          </w:tcPr>
          <w:p w14:paraId="0F77B8FD" w14:textId="77777777" w:rsidR="002A4DDF" w:rsidRPr="00937C8B" w:rsidRDefault="002A4DDF" w:rsidP="009110ED">
            <w:pPr>
              <w:rPr>
                <w:rFonts w:ascii="Arial" w:hAnsi="Arial" w:cs="Arial"/>
                <w:sz w:val="12"/>
                <w:szCs w:val="12"/>
              </w:rPr>
            </w:pPr>
          </w:p>
        </w:tc>
        <w:tc>
          <w:tcPr>
            <w:tcW w:w="1843" w:type="dxa"/>
            <w:shd w:val="clear" w:color="auto" w:fill="auto"/>
          </w:tcPr>
          <w:p w14:paraId="7F0073BC" w14:textId="77777777" w:rsidR="002A4DDF" w:rsidRPr="00937C8B" w:rsidRDefault="002A4DDF" w:rsidP="009110ED">
            <w:pPr>
              <w:rPr>
                <w:rFonts w:ascii="Arial" w:hAnsi="Arial" w:cs="Arial"/>
                <w:sz w:val="12"/>
                <w:szCs w:val="12"/>
              </w:rPr>
            </w:pPr>
          </w:p>
        </w:tc>
        <w:tc>
          <w:tcPr>
            <w:tcW w:w="2268" w:type="dxa"/>
            <w:shd w:val="clear" w:color="auto" w:fill="F2F2F2"/>
            <w:hideMark/>
          </w:tcPr>
          <w:p w14:paraId="4F64EB7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DAAB502" w14:textId="77777777" w:rsidR="002A4DDF" w:rsidRPr="00937C8B" w:rsidRDefault="002A4DDF" w:rsidP="009110ED">
            <w:pPr>
              <w:rPr>
                <w:rFonts w:ascii="Arial" w:hAnsi="Arial" w:cs="Arial"/>
                <w:sz w:val="12"/>
                <w:szCs w:val="12"/>
              </w:rPr>
            </w:pPr>
            <w:r>
              <w:rPr>
                <w:rFonts w:ascii="Arial" w:hAnsi="Arial"/>
                <w:sz w:val="12"/>
                <w:szCs w:val="12"/>
              </w:rPr>
              <w:t>Muras</w:t>
            </w:r>
          </w:p>
        </w:tc>
      </w:tr>
      <w:tr w:rsidR="002A4DDF" w:rsidRPr="00937C8B" w14:paraId="7213EEBD" w14:textId="77777777" w:rsidTr="00935676">
        <w:trPr>
          <w:cantSplit/>
        </w:trPr>
        <w:tc>
          <w:tcPr>
            <w:tcW w:w="1696" w:type="dxa"/>
            <w:tcBorders>
              <w:left w:val="single" w:sz="4" w:space="0" w:color="auto"/>
            </w:tcBorders>
            <w:shd w:val="clear" w:color="auto" w:fill="auto"/>
          </w:tcPr>
          <w:p w14:paraId="12FC778F" w14:textId="77777777" w:rsidR="002A4DDF" w:rsidRPr="00937C8B" w:rsidRDefault="002A4DDF" w:rsidP="009110ED">
            <w:pPr>
              <w:rPr>
                <w:rFonts w:ascii="Arial" w:hAnsi="Arial" w:cs="Arial"/>
                <w:sz w:val="12"/>
                <w:szCs w:val="12"/>
              </w:rPr>
            </w:pPr>
          </w:p>
        </w:tc>
        <w:tc>
          <w:tcPr>
            <w:tcW w:w="1843" w:type="dxa"/>
            <w:shd w:val="clear" w:color="auto" w:fill="auto"/>
          </w:tcPr>
          <w:p w14:paraId="7A835574" w14:textId="77777777" w:rsidR="002A4DDF" w:rsidRPr="00937C8B" w:rsidRDefault="002A4DDF" w:rsidP="009110ED">
            <w:pPr>
              <w:rPr>
                <w:rFonts w:ascii="Arial" w:hAnsi="Arial" w:cs="Arial"/>
                <w:sz w:val="12"/>
                <w:szCs w:val="12"/>
              </w:rPr>
            </w:pPr>
          </w:p>
        </w:tc>
        <w:tc>
          <w:tcPr>
            <w:tcW w:w="2268" w:type="dxa"/>
            <w:shd w:val="clear" w:color="auto" w:fill="F2F2F2"/>
            <w:hideMark/>
          </w:tcPr>
          <w:p w14:paraId="1B723F4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8F31FB4" w14:textId="77777777" w:rsidR="002A4DDF" w:rsidRPr="00937C8B" w:rsidRDefault="002A4DDF" w:rsidP="009110ED">
            <w:pPr>
              <w:rPr>
                <w:rFonts w:ascii="Arial" w:hAnsi="Arial" w:cs="Arial"/>
                <w:sz w:val="12"/>
                <w:szCs w:val="12"/>
              </w:rPr>
            </w:pPr>
            <w:r>
              <w:rPr>
                <w:rFonts w:ascii="Arial" w:hAnsi="Arial"/>
                <w:sz w:val="12"/>
                <w:szCs w:val="12"/>
              </w:rPr>
              <w:t>Negueira de Muñiz</w:t>
            </w:r>
          </w:p>
        </w:tc>
      </w:tr>
      <w:tr w:rsidR="002A4DDF" w:rsidRPr="00937C8B" w14:paraId="4D9FCA4D" w14:textId="77777777" w:rsidTr="00935676">
        <w:trPr>
          <w:cantSplit/>
        </w:trPr>
        <w:tc>
          <w:tcPr>
            <w:tcW w:w="1696" w:type="dxa"/>
            <w:tcBorders>
              <w:left w:val="single" w:sz="4" w:space="0" w:color="auto"/>
            </w:tcBorders>
            <w:shd w:val="clear" w:color="auto" w:fill="auto"/>
          </w:tcPr>
          <w:p w14:paraId="01BACB44" w14:textId="77777777" w:rsidR="002A4DDF" w:rsidRPr="00937C8B" w:rsidRDefault="002A4DDF" w:rsidP="009110ED">
            <w:pPr>
              <w:rPr>
                <w:rFonts w:ascii="Arial" w:hAnsi="Arial" w:cs="Arial"/>
                <w:sz w:val="12"/>
                <w:szCs w:val="12"/>
              </w:rPr>
            </w:pPr>
          </w:p>
        </w:tc>
        <w:tc>
          <w:tcPr>
            <w:tcW w:w="1843" w:type="dxa"/>
            <w:shd w:val="clear" w:color="auto" w:fill="auto"/>
          </w:tcPr>
          <w:p w14:paraId="761493E4" w14:textId="77777777" w:rsidR="002A4DDF" w:rsidRPr="00937C8B" w:rsidRDefault="002A4DDF" w:rsidP="009110ED">
            <w:pPr>
              <w:rPr>
                <w:rFonts w:ascii="Arial" w:hAnsi="Arial" w:cs="Arial"/>
                <w:sz w:val="12"/>
                <w:szCs w:val="12"/>
              </w:rPr>
            </w:pPr>
          </w:p>
        </w:tc>
        <w:tc>
          <w:tcPr>
            <w:tcW w:w="2268" w:type="dxa"/>
            <w:shd w:val="clear" w:color="auto" w:fill="F2F2F2"/>
            <w:hideMark/>
          </w:tcPr>
          <w:p w14:paraId="0E7A87C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DB75761" w14:textId="77777777" w:rsidR="002A4DDF" w:rsidRPr="00937C8B" w:rsidRDefault="002A4DDF" w:rsidP="009110ED">
            <w:pPr>
              <w:rPr>
                <w:rFonts w:ascii="Arial" w:hAnsi="Arial" w:cs="Arial"/>
                <w:sz w:val="12"/>
                <w:szCs w:val="12"/>
              </w:rPr>
            </w:pPr>
            <w:r>
              <w:rPr>
                <w:rFonts w:ascii="Arial" w:hAnsi="Arial"/>
                <w:sz w:val="12"/>
                <w:szCs w:val="12"/>
              </w:rPr>
              <w:t>O Corgo</w:t>
            </w:r>
          </w:p>
        </w:tc>
      </w:tr>
      <w:tr w:rsidR="002A4DDF" w:rsidRPr="00937C8B" w14:paraId="12A2452C" w14:textId="77777777" w:rsidTr="00935676">
        <w:trPr>
          <w:cantSplit/>
        </w:trPr>
        <w:tc>
          <w:tcPr>
            <w:tcW w:w="1696" w:type="dxa"/>
            <w:tcBorders>
              <w:left w:val="single" w:sz="4" w:space="0" w:color="auto"/>
            </w:tcBorders>
            <w:shd w:val="clear" w:color="auto" w:fill="auto"/>
          </w:tcPr>
          <w:p w14:paraId="0620D04E" w14:textId="77777777" w:rsidR="002A4DDF" w:rsidRPr="00937C8B" w:rsidRDefault="002A4DDF" w:rsidP="009110ED">
            <w:pPr>
              <w:rPr>
                <w:rFonts w:ascii="Arial" w:hAnsi="Arial" w:cs="Arial"/>
                <w:sz w:val="12"/>
                <w:szCs w:val="12"/>
              </w:rPr>
            </w:pPr>
          </w:p>
        </w:tc>
        <w:tc>
          <w:tcPr>
            <w:tcW w:w="1843" w:type="dxa"/>
            <w:shd w:val="clear" w:color="auto" w:fill="auto"/>
          </w:tcPr>
          <w:p w14:paraId="33E3FC21" w14:textId="77777777" w:rsidR="002A4DDF" w:rsidRPr="00937C8B" w:rsidRDefault="002A4DDF" w:rsidP="009110ED">
            <w:pPr>
              <w:rPr>
                <w:rFonts w:ascii="Arial" w:hAnsi="Arial" w:cs="Arial"/>
                <w:sz w:val="12"/>
                <w:szCs w:val="12"/>
              </w:rPr>
            </w:pPr>
          </w:p>
        </w:tc>
        <w:tc>
          <w:tcPr>
            <w:tcW w:w="2268" w:type="dxa"/>
            <w:shd w:val="clear" w:color="auto" w:fill="F2F2F2"/>
            <w:hideMark/>
          </w:tcPr>
          <w:p w14:paraId="4C4C55E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787750D" w14:textId="77777777" w:rsidR="002A4DDF" w:rsidRPr="00937C8B" w:rsidRDefault="002A4DDF" w:rsidP="009110ED">
            <w:pPr>
              <w:rPr>
                <w:rFonts w:ascii="Arial" w:hAnsi="Arial" w:cs="Arial"/>
                <w:sz w:val="12"/>
                <w:szCs w:val="12"/>
              </w:rPr>
            </w:pPr>
            <w:r>
              <w:rPr>
                <w:rFonts w:ascii="Arial" w:hAnsi="Arial"/>
                <w:sz w:val="12"/>
                <w:szCs w:val="12"/>
              </w:rPr>
              <w:t>O Incio</w:t>
            </w:r>
          </w:p>
        </w:tc>
      </w:tr>
      <w:tr w:rsidR="002A4DDF" w:rsidRPr="00937C8B" w14:paraId="57FCA7AF" w14:textId="77777777" w:rsidTr="00935676">
        <w:trPr>
          <w:cantSplit/>
        </w:trPr>
        <w:tc>
          <w:tcPr>
            <w:tcW w:w="1696" w:type="dxa"/>
            <w:tcBorders>
              <w:left w:val="single" w:sz="4" w:space="0" w:color="auto"/>
            </w:tcBorders>
            <w:shd w:val="clear" w:color="auto" w:fill="auto"/>
          </w:tcPr>
          <w:p w14:paraId="76446D77" w14:textId="77777777" w:rsidR="002A4DDF" w:rsidRPr="00937C8B" w:rsidRDefault="002A4DDF" w:rsidP="009110ED">
            <w:pPr>
              <w:rPr>
                <w:rFonts w:ascii="Arial" w:hAnsi="Arial" w:cs="Arial"/>
                <w:sz w:val="12"/>
                <w:szCs w:val="12"/>
              </w:rPr>
            </w:pPr>
          </w:p>
        </w:tc>
        <w:tc>
          <w:tcPr>
            <w:tcW w:w="1843" w:type="dxa"/>
            <w:shd w:val="clear" w:color="auto" w:fill="auto"/>
          </w:tcPr>
          <w:p w14:paraId="3A286F2F" w14:textId="77777777" w:rsidR="002A4DDF" w:rsidRPr="00937C8B" w:rsidRDefault="002A4DDF" w:rsidP="009110ED">
            <w:pPr>
              <w:rPr>
                <w:rFonts w:ascii="Arial" w:hAnsi="Arial" w:cs="Arial"/>
                <w:sz w:val="12"/>
                <w:szCs w:val="12"/>
              </w:rPr>
            </w:pPr>
          </w:p>
        </w:tc>
        <w:tc>
          <w:tcPr>
            <w:tcW w:w="2268" w:type="dxa"/>
            <w:shd w:val="clear" w:color="auto" w:fill="F2F2F2"/>
            <w:hideMark/>
          </w:tcPr>
          <w:p w14:paraId="3C3E28C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7AF37CE" w14:textId="77777777" w:rsidR="002A4DDF" w:rsidRPr="00937C8B" w:rsidRDefault="002A4DDF" w:rsidP="009110ED">
            <w:pPr>
              <w:rPr>
                <w:rFonts w:ascii="Arial" w:hAnsi="Arial" w:cs="Arial"/>
                <w:sz w:val="12"/>
                <w:szCs w:val="12"/>
              </w:rPr>
            </w:pPr>
            <w:r>
              <w:rPr>
                <w:rFonts w:ascii="Arial" w:hAnsi="Arial"/>
                <w:sz w:val="12"/>
                <w:szCs w:val="12"/>
              </w:rPr>
              <w:t>O Páramo</w:t>
            </w:r>
          </w:p>
        </w:tc>
      </w:tr>
      <w:tr w:rsidR="002A4DDF" w:rsidRPr="00937C8B" w14:paraId="32ED8723" w14:textId="77777777" w:rsidTr="00935676">
        <w:trPr>
          <w:cantSplit/>
        </w:trPr>
        <w:tc>
          <w:tcPr>
            <w:tcW w:w="1696" w:type="dxa"/>
            <w:tcBorders>
              <w:left w:val="single" w:sz="4" w:space="0" w:color="auto"/>
            </w:tcBorders>
            <w:shd w:val="clear" w:color="auto" w:fill="auto"/>
          </w:tcPr>
          <w:p w14:paraId="12B9DA37" w14:textId="77777777" w:rsidR="002A4DDF" w:rsidRPr="00937C8B" w:rsidRDefault="002A4DDF" w:rsidP="009110ED">
            <w:pPr>
              <w:rPr>
                <w:rFonts w:ascii="Arial" w:hAnsi="Arial" w:cs="Arial"/>
                <w:sz w:val="12"/>
                <w:szCs w:val="12"/>
              </w:rPr>
            </w:pPr>
          </w:p>
        </w:tc>
        <w:tc>
          <w:tcPr>
            <w:tcW w:w="1843" w:type="dxa"/>
            <w:shd w:val="clear" w:color="auto" w:fill="auto"/>
          </w:tcPr>
          <w:p w14:paraId="7EF52A32" w14:textId="77777777" w:rsidR="002A4DDF" w:rsidRPr="00937C8B" w:rsidRDefault="002A4DDF" w:rsidP="009110ED">
            <w:pPr>
              <w:rPr>
                <w:rFonts w:ascii="Arial" w:hAnsi="Arial" w:cs="Arial"/>
                <w:sz w:val="12"/>
                <w:szCs w:val="12"/>
              </w:rPr>
            </w:pPr>
          </w:p>
        </w:tc>
        <w:tc>
          <w:tcPr>
            <w:tcW w:w="2268" w:type="dxa"/>
            <w:shd w:val="clear" w:color="auto" w:fill="F2F2F2"/>
            <w:hideMark/>
          </w:tcPr>
          <w:p w14:paraId="1E60C58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186FEE7" w14:textId="77777777" w:rsidR="002A4DDF" w:rsidRPr="00937C8B" w:rsidRDefault="002A4DDF" w:rsidP="009110ED">
            <w:pPr>
              <w:rPr>
                <w:rFonts w:ascii="Arial" w:hAnsi="Arial" w:cs="Arial"/>
                <w:sz w:val="12"/>
                <w:szCs w:val="12"/>
              </w:rPr>
            </w:pPr>
            <w:r>
              <w:rPr>
                <w:rFonts w:ascii="Arial" w:hAnsi="Arial"/>
                <w:sz w:val="12"/>
                <w:szCs w:val="12"/>
              </w:rPr>
              <w:t>O Saviñao</w:t>
            </w:r>
          </w:p>
        </w:tc>
      </w:tr>
      <w:tr w:rsidR="002A4DDF" w:rsidRPr="00937C8B" w14:paraId="2E9574FE" w14:textId="77777777" w:rsidTr="00935676">
        <w:trPr>
          <w:cantSplit/>
        </w:trPr>
        <w:tc>
          <w:tcPr>
            <w:tcW w:w="1696" w:type="dxa"/>
            <w:tcBorders>
              <w:left w:val="single" w:sz="4" w:space="0" w:color="auto"/>
            </w:tcBorders>
            <w:shd w:val="clear" w:color="auto" w:fill="auto"/>
          </w:tcPr>
          <w:p w14:paraId="5D660B6D" w14:textId="77777777" w:rsidR="002A4DDF" w:rsidRPr="00937C8B" w:rsidRDefault="002A4DDF" w:rsidP="009110ED">
            <w:pPr>
              <w:rPr>
                <w:rFonts w:ascii="Arial" w:hAnsi="Arial" w:cs="Arial"/>
                <w:sz w:val="12"/>
                <w:szCs w:val="12"/>
              </w:rPr>
            </w:pPr>
          </w:p>
        </w:tc>
        <w:tc>
          <w:tcPr>
            <w:tcW w:w="1843" w:type="dxa"/>
            <w:shd w:val="clear" w:color="auto" w:fill="auto"/>
          </w:tcPr>
          <w:p w14:paraId="2ED14567" w14:textId="77777777" w:rsidR="002A4DDF" w:rsidRPr="00937C8B" w:rsidRDefault="002A4DDF" w:rsidP="009110ED">
            <w:pPr>
              <w:rPr>
                <w:rFonts w:ascii="Arial" w:hAnsi="Arial" w:cs="Arial"/>
                <w:sz w:val="12"/>
                <w:szCs w:val="12"/>
              </w:rPr>
            </w:pPr>
          </w:p>
        </w:tc>
        <w:tc>
          <w:tcPr>
            <w:tcW w:w="2268" w:type="dxa"/>
            <w:shd w:val="clear" w:color="auto" w:fill="F2F2F2"/>
            <w:hideMark/>
          </w:tcPr>
          <w:p w14:paraId="2D6058A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4370A5D" w14:textId="77777777" w:rsidR="002A4DDF" w:rsidRPr="00937C8B" w:rsidRDefault="002A4DDF" w:rsidP="009110ED">
            <w:pPr>
              <w:rPr>
                <w:rFonts w:ascii="Arial" w:hAnsi="Arial" w:cs="Arial"/>
                <w:sz w:val="12"/>
                <w:szCs w:val="12"/>
              </w:rPr>
            </w:pPr>
            <w:r>
              <w:rPr>
                <w:rFonts w:ascii="Arial" w:hAnsi="Arial"/>
                <w:sz w:val="12"/>
                <w:szCs w:val="12"/>
              </w:rPr>
              <w:t>O Valadouro</w:t>
            </w:r>
          </w:p>
        </w:tc>
      </w:tr>
      <w:tr w:rsidR="002A4DDF" w:rsidRPr="00937C8B" w14:paraId="596BA34E" w14:textId="77777777" w:rsidTr="00935676">
        <w:trPr>
          <w:cantSplit/>
        </w:trPr>
        <w:tc>
          <w:tcPr>
            <w:tcW w:w="1696" w:type="dxa"/>
            <w:tcBorders>
              <w:left w:val="single" w:sz="4" w:space="0" w:color="auto"/>
            </w:tcBorders>
            <w:shd w:val="clear" w:color="auto" w:fill="auto"/>
          </w:tcPr>
          <w:p w14:paraId="36B5FAA2" w14:textId="77777777" w:rsidR="002A4DDF" w:rsidRPr="00937C8B" w:rsidRDefault="002A4DDF" w:rsidP="009110ED">
            <w:pPr>
              <w:rPr>
                <w:rFonts w:ascii="Arial" w:hAnsi="Arial" w:cs="Arial"/>
                <w:sz w:val="12"/>
                <w:szCs w:val="12"/>
              </w:rPr>
            </w:pPr>
          </w:p>
        </w:tc>
        <w:tc>
          <w:tcPr>
            <w:tcW w:w="1843" w:type="dxa"/>
            <w:shd w:val="clear" w:color="auto" w:fill="auto"/>
          </w:tcPr>
          <w:p w14:paraId="7E5CE1D4" w14:textId="77777777" w:rsidR="002A4DDF" w:rsidRPr="00937C8B" w:rsidRDefault="002A4DDF" w:rsidP="009110ED">
            <w:pPr>
              <w:rPr>
                <w:rFonts w:ascii="Arial" w:hAnsi="Arial" w:cs="Arial"/>
                <w:sz w:val="12"/>
                <w:szCs w:val="12"/>
              </w:rPr>
            </w:pPr>
          </w:p>
        </w:tc>
        <w:tc>
          <w:tcPr>
            <w:tcW w:w="2268" w:type="dxa"/>
            <w:shd w:val="clear" w:color="auto" w:fill="F2F2F2"/>
            <w:hideMark/>
          </w:tcPr>
          <w:p w14:paraId="4C507F1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727B586" w14:textId="77777777" w:rsidR="002A4DDF" w:rsidRPr="00937C8B" w:rsidRDefault="002A4DDF" w:rsidP="009110ED">
            <w:pPr>
              <w:rPr>
                <w:rFonts w:ascii="Arial" w:hAnsi="Arial" w:cs="Arial"/>
                <w:sz w:val="12"/>
                <w:szCs w:val="12"/>
              </w:rPr>
            </w:pPr>
            <w:r>
              <w:rPr>
                <w:rFonts w:ascii="Arial" w:hAnsi="Arial"/>
                <w:sz w:val="12"/>
                <w:szCs w:val="12"/>
              </w:rPr>
              <w:t>O Vicedo</w:t>
            </w:r>
          </w:p>
        </w:tc>
      </w:tr>
      <w:tr w:rsidR="002A4DDF" w:rsidRPr="00937C8B" w14:paraId="333C8563" w14:textId="77777777" w:rsidTr="00935676">
        <w:trPr>
          <w:cantSplit/>
        </w:trPr>
        <w:tc>
          <w:tcPr>
            <w:tcW w:w="1696" w:type="dxa"/>
            <w:tcBorders>
              <w:left w:val="single" w:sz="4" w:space="0" w:color="auto"/>
            </w:tcBorders>
            <w:shd w:val="clear" w:color="auto" w:fill="auto"/>
          </w:tcPr>
          <w:p w14:paraId="1164C812" w14:textId="77777777" w:rsidR="002A4DDF" w:rsidRPr="00937C8B" w:rsidRDefault="002A4DDF" w:rsidP="009110ED">
            <w:pPr>
              <w:rPr>
                <w:rFonts w:ascii="Arial" w:hAnsi="Arial" w:cs="Arial"/>
                <w:sz w:val="12"/>
                <w:szCs w:val="12"/>
              </w:rPr>
            </w:pPr>
          </w:p>
        </w:tc>
        <w:tc>
          <w:tcPr>
            <w:tcW w:w="1843" w:type="dxa"/>
            <w:shd w:val="clear" w:color="auto" w:fill="auto"/>
          </w:tcPr>
          <w:p w14:paraId="625C211F" w14:textId="77777777" w:rsidR="002A4DDF" w:rsidRPr="00937C8B" w:rsidRDefault="002A4DDF" w:rsidP="009110ED">
            <w:pPr>
              <w:rPr>
                <w:rFonts w:ascii="Arial" w:hAnsi="Arial" w:cs="Arial"/>
                <w:sz w:val="12"/>
                <w:szCs w:val="12"/>
              </w:rPr>
            </w:pPr>
          </w:p>
        </w:tc>
        <w:tc>
          <w:tcPr>
            <w:tcW w:w="2268" w:type="dxa"/>
            <w:shd w:val="clear" w:color="auto" w:fill="F2F2F2"/>
            <w:hideMark/>
          </w:tcPr>
          <w:p w14:paraId="036F802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793FC22" w14:textId="77777777" w:rsidR="002A4DDF" w:rsidRPr="00937C8B" w:rsidRDefault="002A4DDF" w:rsidP="009110ED">
            <w:pPr>
              <w:rPr>
                <w:rFonts w:ascii="Arial" w:hAnsi="Arial" w:cs="Arial"/>
                <w:sz w:val="12"/>
                <w:szCs w:val="12"/>
              </w:rPr>
            </w:pPr>
            <w:r>
              <w:rPr>
                <w:rFonts w:ascii="Arial" w:hAnsi="Arial"/>
                <w:sz w:val="12"/>
                <w:szCs w:val="12"/>
              </w:rPr>
              <w:t>Ourol</w:t>
            </w:r>
          </w:p>
        </w:tc>
      </w:tr>
      <w:tr w:rsidR="002A4DDF" w:rsidRPr="00937C8B" w14:paraId="15AFDB64" w14:textId="77777777" w:rsidTr="00935676">
        <w:trPr>
          <w:cantSplit/>
        </w:trPr>
        <w:tc>
          <w:tcPr>
            <w:tcW w:w="1696" w:type="dxa"/>
            <w:tcBorders>
              <w:left w:val="single" w:sz="4" w:space="0" w:color="auto"/>
            </w:tcBorders>
            <w:shd w:val="clear" w:color="auto" w:fill="auto"/>
          </w:tcPr>
          <w:p w14:paraId="33D5E30F" w14:textId="77777777" w:rsidR="002A4DDF" w:rsidRPr="00937C8B" w:rsidRDefault="002A4DDF" w:rsidP="009110ED">
            <w:pPr>
              <w:rPr>
                <w:rFonts w:ascii="Arial" w:hAnsi="Arial" w:cs="Arial"/>
                <w:sz w:val="12"/>
                <w:szCs w:val="12"/>
              </w:rPr>
            </w:pPr>
          </w:p>
        </w:tc>
        <w:tc>
          <w:tcPr>
            <w:tcW w:w="1843" w:type="dxa"/>
            <w:shd w:val="clear" w:color="auto" w:fill="auto"/>
          </w:tcPr>
          <w:p w14:paraId="2F7483DA" w14:textId="77777777" w:rsidR="002A4DDF" w:rsidRPr="00937C8B" w:rsidRDefault="002A4DDF" w:rsidP="009110ED">
            <w:pPr>
              <w:rPr>
                <w:rFonts w:ascii="Arial" w:hAnsi="Arial" w:cs="Arial"/>
                <w:sz w:val="12"/>
                <w:szCs w:val="12"/>
              </w:rPr>
            </w:pPr>
          </w:p>
        </w:tc>
        <w:tc>
          <w:tcPr>
            <w:tcW w:w="2268" w:type="dxa"/>
            <w:shd w:val="clear" w:color="auto" w:fill="F2F2F2"/>
            <w:hideMark/>
          </w:tcPr>
          <w:p w14:paraId="23F30E0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E6DCF20" w14:textId="77777777" w:rsidR="002A4DDF" w:rsidRPr="00937C8B" w:rsidRDefault="002A4DDF" w:rsidP="009110ED">
            <w:pPr>
              <w:rPr>
                <w:rFonts w:ascii="Arial" w:hAnsi="Arial" w:cs="Arial"/>
                <w:sz w:val="12"/>
                <w:szCs w:val="12"/>
              </w:rPr>
            </w:pPr>
            <w:r>
              <w:rPr>
                <w:rFonts w:ascii="Arial" w:hAnsi="Arial"/>
                <w:sz w:val="12"/>
                <w:szCs w:val="12"/>
              </w:rPr>
              <w:t>Outeiro de Rei</w:t>
            </w:r>
          </w:p>
        </w:tc>
      </w:tr>
      <w:tr w:rsidR="002A4DDF" w:rsidRPr="00937C8B" w14:paraId="7394F085" w14:textId="77777777" w:rsidTr="00935676">
        <w:trPr>
          <w:cantSplit/>
        </w:trPr>
        <w:tc>
          <w:tcPr>
            <w:tcW w:w="1696" w:type="dxa"/>
            <w:tcBorders>
              <w:left w:val="single" w:sz="4" w:space="0" w:color="auto"/>
            </w:tcBorders>
            <w:shd w:val="clear" w:color="auto" w:fill="auto"/>
          </w:tcPr>
          <w:p w14:paraId="168039DD" w14:textId="77777777" w:rsidR="002A4DDF" w:rsidRPr="00937C8B" w:rsidRDefault="002A4DDF" w:rsidP="009110ED">
            <w:pPr>
              <w:rPr>
                <w:rFonts w:ascii="Arial" w:hAnsi="Arial" w:cs="Arial"/>
                <w:sz w:val="12"/>
                <w:szCs w:val="12"/>
              </w:rPr>
            </w:pPr>
          </w:p>
        </w:tc>
        <w:tc>
          <w:tcPr>
            <w:tcW w:w="1843" w:type="dxa"/>
            <w:shd w:val="clear" w:color="auto" w:fill="auto"/>
          </w:tcPr>
          <w:p w14:paraId="50387F0B" w14:textId="77777777" w:rsidR="002A4DDF" w:rsidRPr="00937C8B" w:rsidRDefault="002A4DDF" w:rsidP="009110ED">
            <w:pPr>
              <w:rPr>
                <w:rFonts w:ascii="Arial" w:hAnsi="Arial" w:cs="Arial"/>
                <w:sz w:val="12"/>
                <w:szCs w:val="12"/>
              </w:rPr>
            </w:pPr>
          </w:p>
        </w:tc>
        <w:tc>
          <w:tcPr>
            <w:tcW w:w="2268" w:type="dxa"/>
            <w:shd w:val="clear" w:color="auto" w:fill="F2F2F2"/>
            <w:hideMark/>
          </w:tcPr>
          <w:p w14:paraId="226EA5D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9DCB83F" w14:textId="77777777" w:rsidR="002A4DDF" w:rsidRPr="00937C8B" w:rsidRDefault="002A4DDF" w:rsidP="009110ED">
            <w:pPr>
              <w:rPr>
                <w:rFonts w:ascii="Arial" w:hAnsi="Arial" w:cs="Arial"/>
                <w:sz w:val="12"/>
                <w:szCs w:val="12"/>
              </w:rPr>
            </w:pPr>
            <w:r>
              <w:rPr>
                <w:rFonts w:ascii="Arial" w:hAnsi="Arial"/>
                <w:sz w:val="12"/>
                <w:szCs w:val="12"/>
              </w:rPr>
              <w:t>Palas de Rei</w:t>
            </w:r>
          </w:p>
        </w:tc>
      </w:tr>
      <w:tr w:rsidR="002A4DDF" w:rsidRPr="00937C8B" w14:paraId="3CB697E3" w14:textId="77777777" w:rsidTr="00935676">
        <w:trPr>
          <w:cantSplit/>
        </w:trPr>
        <w:tc>
          <w:tcPr>
            <w:tcW w:w="1696" w:type="dxa"/>
            <w:tcBorders>
              <w:left w:val="single" w:sz="4" w:space="0" w:color="auto"/>
            </w:tcBorders>
            <w:shd w:val="clear" w:color="auto" w:fill="auto"/>
          </w:tcPr>
          <w:p w14:paraId="33DC21E4" w14:textId="77777777" w:rsidR="002A4DDF" w:rsidRPr="00937C8B" w:rsidRDefault="002A4DDF" w:rsidP="009110ED">
            <w:pPr>
              <w:rPr>
                <w:rFonts w:ascii="Arial" w:hAnsi="Arial" w:cs="Arial"/>
                <w:sz w:val="12"/>
                <w:szCs w:val="12"/>
              </w:rPr>
            </w:pPr>
          </w:p>
        </w:tc>
        <w:tc>
          <w:tcPr>
            <w:tcW w:w="1843" w:type="dxa"/>
            <w:shd w:val="clear" w:color="auto" w:fill="auto"/>
          </w:tcPr>
          <w:p w14:paraId="1F0D002C" w14:textId="77777777" w:rsidR="002A4DDF" w:rsidRPr="00937C8B" w:rsidRDefault="002A4DDF" w:rsidP="009110ED">
            <w:pPr>
              <w:rPr>
                <w:rFonts w:ascii="Arial" w:hAnsi="Arial" w:cs="Arial"/>
                <w:sz w:val="12"/>
                <w:szCs w:val="12"/>
              </w:rPr>
            </w:pPr>
          </w:p>
        </w:tc>
        <w:tc>
          <w:tcPr>
            <w:tcW w:w="2268" w:type="dxa"/>
            <w:shd w:val="clear" w:color="auto" w:fill="F2F2F2"/>
            <w:hideMark/>
          </w:tcPr>
          <w:p w14:paraId="50CC516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95AD552" w14:textId="77777777" w:rsidR="002A4DDF" w:rsidRPr="00937C8B" w:rsidRDefault="002A4DDF" w:rsidP="009110ED">
            <w:pPr>
              <w:rPr>
                <w:rFonts w:ascii="Arial" w:hAnsi="Arial" w:cs="Arial"/>
                <w:sz w:val="12"/>
                <w:szCs w:val="12"/>
              </w:rPr>
            </w:pPr>
            <w:r>
              <w:rPr>
                <w:rFonts w:ascii="Arial" w:hAnsi="Arial"/>
                <w:sz w:val="12"/>
                <w:szCs w:val="12"/>
              </w:rPr>
              <w:t>Pantón</w:t>
            </w:r>
          </w:p>
        </w:tc>
      </w:tr>
      <w:tr w:rsidR="002A4DDF" w:rsidRPr="00937C8B" w14:paraId="50D22503" w14:textId="77777777" w:rsidTr="00935676">
        <w:trPr>
          <w:cantSplit/>
        </w:trPr>
        <w:tc>
          <w:tcPr>
            <w:tcW w:w="1696" w:type="dxa"/>
            <w:tcBorders>
              <w:left w:val="single" w:sz="4" w:space="0" w:color="auto"/>
            </w:tcBorders>
            <w:shd w:val="clear" w:color="auto" w:fill="auto"/>
          </w:tcPr>
          <w:p w14:paraId="43EDA4EC" w14:textId="77777777" w:rsidR="002A4DDF" w:rsidRPr="00937C8B" w:rsidRDefault="002A4DDF" w:rsidP="009110ED">
            <w:pPr>
              <w:rPr>
                <w:rFonts w:ascii="Arial" w:hAnsi="Arial" w:cs="Arial"/>
                <w:sz w:val="12"/>
                <w:szCs w:val="12"/>
              </w:rPr>
            </w:pPr>
          </w:p>
        </w:tc>
        <w:tc>
          <w:tcPr>
            <w:tcW w:w="1843" w:type="dxa"/>
            <w:shd w:val="clear" w:color="auto" w:fill="auto"/>
          </w:tcPr>
          <w:p w14:paraId="0EDCDA30" w14:textId="77777777" w:rsidR="002A4DDF" w:rsidRPr="00937C8B" w:rsidRDefault="002A4DDF" w:rsidP="009110ED">
            <w:pPr>
              <w:rPr>
                <w:rFonts w:ascii="Arial" w:hAnsi="Arial" w:cs="Arial"/>
                <w:sz w:val="12"/>
                <w:szCs w:val="12"/>
              </w:rPr>
            </w:pPr>
          </w:p>
        </w:tc>
        <w:tc>
          <w:tcPr>
            <w:tcW w:w="2268" w:type="dxa"/>
            <w:shd w:val="clear" w:color="auto" w:fill="F2F2F2"/>
            <w:hideMark/>
          </w:tcPr>
          <w:p w14:paraId="49AB1ED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4CB92F9" w14:textId="77777777" w:rsidR="002A4DDF" w:rsidRPr="00937C8B" w:rsidRDefault="002A4DDF" w:rsidP="009110ED">
            <w:pPr>
              <w:rPr>
                <w:rFonts w:ascii="Arial" w:hAnsi="Arial" w:cs="Arial"/>
                <w:sz w:val="12"/>
                <w:szCs w:val="12"/>
              </w:rPr>
            </w:pPr>
            <w:r>
              <w:rPr>
                <w:rFonts w:ascii="Arial" w:hAnsi="Arial"/>
                <w:sz w:val="12"/>
                <w:szCs w:val="12"/>
              </w:rPr>
              <w:t>Paradela</w:t>
            </w:r>
          </w:p>
        </w:tc>
      </w:tr>
      <w:tr w:rsidR="002A4DDF" w:rsidRPr="00937C8B" w14:paraId="3488DE73" w14:textId="77777777" w:rsidTr="00935676">
        <w:trPr>
          <w:cantSplit/>
        </w:trPr>
        <w:tc>
          <w:tcPr>
            <w:tcW w:w="1696" w:type="dxa"/>
            <w:tcBorders>
              <w:left w:val="single" w:sz="4" w:space="0" w:color="auto"/>
            </w:tcBorders>
            <w:shd w:val="clear" w:color="auto" w:fill="auto"/>
          </w:tcPr>
          <w:p w14:paraId="28E2B3AA" w14:textId="77777777" w:rsidR="002A4DDF" w:rsidRPr="00937C8B" w:rsidRDefault="002A4DDF" w:rsidP="009110ED">
            <w:pPr>
              <w:rPr>
                <w:rFonts w:ascii="Arial" w:hAnsi="Arial" w:cs="Arial"/>
                <w:sz w:val="12"/>
                <w:szCs w:val="12"/>
              </w:rPr>
            </w:pPr>
          </w:p>
        </w:tc>
        <w:tc>
          <w:tcPr>
            <w:tcW w:w="1843" w:type="dxa"/>
            <w:shd w:val="clear" w:color="auto" w:fill="auto"/>
          </w:tcPr>
          <w:p w14:paraId="1C1356DA" w14:textId="77777777" w:rsidR="002A4DDF" w:rsidRPr="00937C8B" w:rsidRDefault="002A4DDF" w:rsidP="009110ED">
            <w:pPr>
              <w:rPr>
                <w:rFonts w:ascii="Arial" w:hAnsi="Arial" w:cs="Arial"/>
                <w:sz w:val="12"/>
                <w:szCs w:val="12"/>
              </w:rPr>
            </w:pPr>
          </w:p>
        </w:tc>
        <w:tc>
          <w:tcPr>
            <w:tcW w:w="2268" w:type="dxa"/>
            <w:shd w:val="clear" w:color="auto" w:fill="F2F2F2"/>
            <w:hideMark/>
          </w:tcPr>
          <w:p w14:paraId="2CF7B7B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64FF578" w14:textId="77777777" w:rsidR="002A4DDF" w:rsidRPr="00937C8B" w:rsidRDefault="002A4DDF" w:rsidP="009110ED">
            <w:pPr>
              <w:rPr>
                <w:rFonts w:ascii="Arial" w:hAnsi="Arial" w:cs="Arial"/>
                <w:sz w:val="12"/>
                <w:szCs w:val="12"/>
              </w:rPr>
            </w:pPr>
            <w:r>
              <w:rPr>
                <w:rFonts w:ascii="Arial" w:hAnsi="Arial"/>
                <w:sz w:val="12"/>
                <w:szCs w:val="12"/>
              </w:rPr>
              <w:t>Pedrafita do Cebreiro</w:t>
            </w:r>
          </w:p>
        </w:tc>
      </w:tr>
      <w:tr w:rsidR="002A4DDF" w:rsidRPr="00937C8B" w14:paraId="32266D0E" w14:textId="77777777" w:rsidTr="00935676">
        <w:trPr>
          <w:cantSplit/>
        </w:trPr>
        <w:tc>
          <w:tcPr>
            <w:tcW w:w="1696" w:type="dxa"/>
            <w:tcBorders>
              <w:left w:val="single" w:sz="4" w:space="0" w:color="auto"/>
            </w:tcBorders>
            <w:shd w:val="clear" w:color="auto" w:fill="auto"/>
          </w:tcPr>
          <w:p w14:paraId="01CAC42A" w14:textId="77777777" w:rsidR="002A4DDF" w:rsidRPr="00937C8B" w:rsidRDefault="002A4DDF" w:rsidP="009110ED">
            <w:pPr>
              <w:rPr>
                <w:rFonts w:ascii="Arial" w:hAnsi="Arial" w:cs="Arial"/>
                <w:sz w:val="12"/>
                <w:szCs w:val="12"/>
              </w:rPr>
            </w:pPr>
          </w:p>
        </w:tc>
        <w:tc>
          <w:tcPr>
            <w:tcW w:w="1843" w:type="dxa"/>
            <w:shd w:val="clear" w:color="auto" w:fill="auto"/>
          </w:tcPr>
          <w:p w14:paraId="5AD41F53" w14:textId="77777777" w:rsidR="002A4DDF" w:rsidRPr="00937C8B" w:rsidRDefault="002A4DDF" w:rsidP="009110ED">
            <w:pPr>
              <w:rPr>
                <w:rFonts w:ascii="Arial" w:hAnsi="Arial" w:cs="Arial"/>
                <w:sz w:val="12"/>
                <w:szCs w:val="12"/>
              </w:rPr>
            </w:pPr>
          </w:p>
        </w:tc>
        <w:tc>
          <w:tcPr>
            <w:tcW w:w="2268" w:type="dxa"/>
            <w:shd w:val="clear" w:color="auto" w:fill="F2F2F2"/>
            <w:hideMark/>
          </w:tcPr>
          <w:p w14:paraId="16C2A97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4EC23CE" w14:textId="77777777" w:rsidR="002A4DDF" w:rsidRPr="00937C8B" w:rsidRDefault="002A4DDF" w:rsidP="009110ED">
            <w:pPr>
              <w:rPr>
                <w:rFonts w:ascii="Arial" w:hAnsi="Arial" w:cs="Arial"/>
                <w:sz w:val="12"/>
                <w:szCs w:val="12"/>
              </w:rPr>
            </w:pPr>
            <w:r>
              <w:rPr>
                <w:rFonts w:ascii="Arial" w:hAnsi="Arial"/>
                <w:sz w:val="12"/>
                <w:szCs w:val="12"/>
              </w:rPr>
              <w:t>Portomarín</w:t>
            </w:r>
          </w:p>
        </w:tc>
      </w:tr>
      <w:tr w:rsidR="002A4DDF" w:rsidRPr="00937C8B" w14:paraId="738F3E70" w14:textId="77777777" w:rsidTr="00935676">
        <w:trPr>
          <w:cantSplit/>
        </w:trPr>
        <w:tc>
          <w:tcPr>
            <w:tcW w:w="1696" w:type="dxa"/>
            <w:tcBorders>
              <w:left w:val="single" w:sz="4" w:space="0" w:color="auto"/>
            </w:tcBorders>
            <w:shd w:val="clear" w:color="auto" w:fill="auto"/>
          </w:tcPr>
          <w:p w14:paraId="0732760D" w14:textId="77777777" w:rsidR="002A4DDF" w:rsidRPr="00937C8B" w:rsidRDefault="002A4DDF" w:rsidP="009110ED">
            <w:pPr>
              <w:rPr>
                <w:rFonts w:ascii="Arial" w:hAnsi="Arial" w:cs="Arial"/>
                <w:sz w:val="12"/>
                <w:szCs w:val="12"/>
              </w:rPr>
            </w:pPr>
          </w:p>
        </w:tc>
        <w:tc>
          <w:tcPr>
            <w:tcW w:w="1843" w:type="dxa"/>
            <w:shd w:val="clear" w:color="auto" w:fill="auto"/>
          </w:tcPr>
          <w:p w14:paraId="35E77A89" w14:textId="77777777" w:rsidR="002A4DDF" w:rsidRPr="00937C8B" w:rsidRDefault="002A4DDF" w:rsidP="009110ED">
            <w:pPr>
              <w:rPr>
                <w:rFonts w:ascii="Arial" w:hAnsi="Arial" w:cs="Arial"/>
                <w:sz w:val="12"/>
                <w:szCs w:val="12"/>
              </w:rPr>
            </w:pPr>
          </w:p>
        </w:tc>
        <w:tc>
          <w:tcPr>
            <w:tcW w:w="2268" w:type="dxa"/>
            <w:shd w:val="clear" w:color="auto" w:fill="F2F2F2"/>
            <w:hideMark/>
          </w:tcPr>
          <w:p w14:paraId="0C549AE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4C6A406" w14:textId="77777777" w:rsidR="002A4DDF" w:rsidRPr="00937C8B" w:rsidRDefault="002A4DDF" w:rsidP="009110ED">
            <w:pPr>
              <w:rPr>
                <w:rFonts w:ascii="Arial" w:hAnsi="Arial" w:cs="Arial"/>
                <w:sz w:val="12"/>
                <w:szCs w:val="12"/>
              </w:rPr>
            </w:pPr>
            <w:r>
              <w:rPr>
                <w:rFonts w:ascii="Arial" w:hAnsi="Arial"/>
                <w:sz w:val="12"/>
                <w:szCs w:val="12"/>
              </w:rPr>
              <w:t>Quiroga</w:t>
            </w:r>
          </w:p>
        </w:tc>
      </w:tr>
      <w:tr w:rsidR="002A4DDF" w:rsidRPr="00937C8B" w14:paraId="0EB3C4FD" w14:textId="77777777" w:rsidTr="00935676">
        <w:trPr>
          <w:cantSplit/>
        </w:trPr>
        <w:tc>
          <w:tcPr>
            <w:tcW w:w="1696" w:type="dxa"/>
            <w:tcBorders>
              <w:left w:val="single" w:sz="4" w:space="0" w:color="auto"/>
            </w:tcBorders>
            <w:shd w:val="clear" w:color="auto" w:fill="auto"/>
          </w:tcPr>
          <w:p w14:paraId="595B3ABC" w14:textId="77777777" w:rsidR="002A4DDF" w:rsidRPr="00937C8B" w:rsidRDefault="002A4DDF" w:rsidP="009110ED">
            <w:pPr>
              <w:rPr>
                <w:rFonts w:ascii="Arial" w:hAnsi="Arial" w:cs="Arial"/>
                <w:sz w:val="12"/>
                <w:szCs w:val="12"/>
              </w:rPr>
            </w:pPr>
          </w:p>
        </w:tc>
        <w:tc>
          <w:tcPr>
            <w:tcW w:w="1843" w:type="dxa"/>
            <w:shd w:val="clear" w:color="auto" w:fill="auto"/>
          </w:tcPr>
          <w:p w14:paraId="1BE91571" w14:textId="77777777" w:rsidR="002A4DDF" w:rsidRPr="00937C8B" w:rsidRDefault="002A4DDF" w:rsidP="009110ED">
            <w:pPr>
              <w:rPr>
                <w:rFonts w:ascii="Arial" w:hAnsi="Arial" w:cs="Arial"/>
                <w:sz w:val="12"/>
                <w:szCs w:val="12"/>
              </w:rPr>
            </w:pPr>
          </w:p>
        </w:tc>
        <w:tc>
          <w:tcPr>
            <w:tcW w:w="2268" w:type="dxa"/>
            <w:shd w:val="clear" w:color="auto" w:fill="F2F2F2"/>
            <w:hideMark/>
          </w:tcPr>
          <w:p w14:paraId="57E84D0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5E0734B" w14:textId="77777777" w:rsidR="002A4DDF" w:rsidRPr="00937C8B" w:rsidRDefault="002A4DDF" w:rsidP="009110ED">
            <w:pPr>
              <w:rPr>
                <w:rFonts w:ascii="Arial" w:hAnsi="Arial" w:cs="Arial"/>
                <w:sz w:val="12"/>
                <w:szCs w:val="12"/>
              </w:rPr>
            </w:pPr>
            <w:r>
              <w:rPr>
                <w:rFonts w:ascii="Arial" w:hAnsi="Arial"/>
                <w:sz w:val="12"/>
                <w:szCs w:val="12"/>
              </w:rPr>
              <w:t>Rábade</w:t>
            </w:r>
          </w:p>
        </w:tc>
      </w:tr>
      <w:tr w:rsidR="002A4DDF" w:rsidRPr="00937C8B" w14:paraId="5C1E0995" w14:textId="77777777" w:rsidTr="00935676">
        <w:trPr>
          <w:cantSplit/>
        </w:trPr>
        <w:tc>
          <w:tcPr>
            <w:tcW w:w="1696" w:type="dxa"/>
            <w:tcBorders>
              <w:left w:val="single" w:sz="4" w:space="0" w:color="auto"/>
            </w:tcBorders>
            <w:shd w:val="clear" w:color="auto" w:fill="auto"/>
          </w:tcPr>
          <w:p w14:paraId="2198CEFE" w14:textId="77777777" w:rsidR="002A4DDF" w:rsidRPr="00937C8B" w:rsidRDefault="002A4DDF" w:rsidP="009110ED">
            <w:pPr>
              <w:rPr>
                <w:rFonts w:ascii="Arial" w:hAnsi="Arial" w:cs="Arial"/>
                <w:sz w:val="12"/>
                <w:szCs w:val="12"/>
              </w:rPr>
            </w:pPr>
          </w:p>
        </w:tc>
        <w:tc>
          <w:tcPr>
            <w:tcW w:w="1843" w:type="dxa"/>
            <w:shd w:val="clear" w:color="auto" w:fill="auto"/>
          </w:tcPr>
          <w:p w14:paraId="7E4998C6" w14:textId="77777777" w:rsidR="002A4DDF" w:rsidRPr="00937C8B" w:rsidRDefault="002A4DDF" w:rsidP="009110ED">
            <w:pPr>
              <w:rPr>
                <w:rFonts w:ascii="Arial" w:hAnsi="Arial" w:cs="Arial"/>
                <w:sz w:val="12"/>
                <w:szCs w:val="12"/>
              </w:rPr>
            </w:pPr>
          </w:p>
        </w:tc>
        <w:tc>
          <w:tcPr>
            <w:tcW w:w="2268" w:type="dxa"/>
            <w:shd w:val="clear" w:color="auto" w:fill="F2F2F2"/>
            <w:hideMark/>
          </w:tcPr>
          <w:p w14:paraId="6876CE1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0CDA41F" w14:textId="77777777" w:rsidR="002A4DDF" w:rsidRPr="00937C8B" w:rsidRDefault="002A4DDF" w:rsidP="009110ED">
            <w:pPr>
              <w:rPr>
                <w:rFonts w:ascii="Arial" w:hAnsi="Arial" w:cs="Arial"/>
                <w:sz w:val="12"/>
                <w:szCs w:val="12"/>
              </w:rPr>
            </w:pPr>
            <w:r>
              <w:rPr>
                <w:rFonts w:ascii="Arial" w:hAnsi="Arial"/>
                <w:sz w:val="12"/>
                <w:szCs w:val="12"/>
              </w:rPr>
              <w:t>Ribas de Sil</w:t>
            </w:r>
          </w:p>
        </w:tc>
      </w:tr>
      <w:tr w:rsidR="002A4DDF" w:rsidRPr="00937C8B" w14:paraId="662E6AE7" w14:textId="77777777" w:rsidTr="00935676">
        <w:trPr>
          <w:cantSplit/>
        </w:trPr>
        <w:tc>
          <w:tcPr>
            <w:tcW w:w="1696" w:type="dxa"/>
            <w:tcBorders>
              <w:left w:val="single" w:sz="4" w:space="0" w:color="auto"/>
            </w:tcBorders>
            <w:shd w:val="clear" w:color="auto" w:fill="auto"/>
          </w:tcPr>
          <w:p w14:paraId="07628E8C" w14:textId="77777777" w:rsidR="002A4DDF" w:rsidRPr="00937C8B" w:rsidRDefault="002A4DDF" w:rsidP="009110ED">
            <w:pPr>
              <w:rPr>
                <w:rFonts w:ascii="Arial" w:hAnsi="Arial" w:cs="Arial"/>
                <w:sz w:val="12"/>
                <w:szCs w:val="12"/>
              </w:rPr>
            </w:pPr>
          </w:p>
        </w:tc>
        <w:tc>
          <w:tcPr>
            <w:tcW w:w="1843" w:type="dxa"/>
            <w:shd w:val="clear" w:color="auto" w:fill="auto"/>
          </w:tcPr>
          <w:p w14:paraId="6B03362C" w14:textId="77777777" w:rsidR="002A4DDF" w:rsidRPr="00937C8B" w:rsidRDefault="002A4DDF" w:rsidP="009110ED">
            <w:pPr>
              <w:rPr>
                <w:rFonts w:ascii="Arial" w:hAnsi="Arial" w:cs="Arial"/>
                <w:sz w:val="12"/>
                <w:szCs w:val="12"/>
              </w:rPr>
            </w:pPr>
          </w:p>
        </w:tc>
        <w:tc>
          <w:tcPr>
            <w:tcW w:w="2268" w:type="dxa"/>
            <w:shd w:val="clear" w:color="auto" w:fill="F2F2F2"/>
            <w:hideMark/>
          </w:tcPr>
          <w:p w14:paraId="7542215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5068524" w14:textId="77777777" w:rsidR="002A4DDF" w:rsidRPr="00937C8B" w:rsidRDefault="002A4DDF" w:rsidP="009110ED">
            <w:pPr>
              <w:rPr>
                <w:rFonts w:ascii="Arial" w:hAnsi="Arial" w:cs="Arial"/>
                <w:sz w:val="12"/>
                <w:szCs w:val="12"/>
              </w:rPr>
            </w:pPr>
            <w:r>
              <w:rPr>
                <w:rFonts w:ascii="Arial" w:hAnsi="Arial"/>
                <w:sz w:val="12"/>
                <w:szCs w:val="12"/>
              </w:rPr>
              <w:t>Riotorto</w:t>
            </w:r>
          </w:p>
        </w:tc>
      </w:tr>
      <w:tr w:rsidR="002A4DDF" w:rsidRPr="00937C8B" w14:paraId="6F8CA9DB" w14:textId="77777777" w:rsidTr="00935676">
        <w:trPr>
          <w:cantSplit/>
        </w:trPr>
        <w:tc>
          <w:tcPr>
            <w:tcW w:w="1696" w:type="dxa"/>
            <w:tcBorders>
              <w:left w:val="single" w:sz="4" w:space="0" w:color="auto"/>
            </w:tcBorders>
            <w:shd w:val="clear" w:color="auto" w:fill="auto"/>
          </w:tcPr>
          <w:p w14:paraId="1DC7FBEF" w14:textId="77777777" w:rsidR="002A4DDF" w:rsidRPr="00937C8B" w:rsidRDefault="002A4DDF" w:rsidP="009110ED">
            <w:pPr>
              <w:rPr>
                <w:rFonts w:ascii="Arial" w:hAnsi="Arial" w:cs="Arial"/>
                <w:sz w:val="12"/>
                <w:szCs w:val="12"/>
              </w:rPr>
            </w:pPr>
          </w:p>
        </w:tc>
        <w:tc>
          <w:tcPr>
            <w:tcW w:w="1843" w:type="dxa"/>
            <w:shd w:val="clear" w:color="auto" w:fill="auto"/>
          </w:tcPr>
          <w:p w14:paraId="1C18B567" w14:textId="77777777" w:rsidR="002A4DDF" w:rsidRPr="00937C8B" w:rsidRDefault="002A4DDF" w:rsidP="009110ED">
            <w:pPr>
              <w:rPr>
                <w:rFonts w:ascii="Arial" w:hAnsi="Arial" w:cs="Arial"/>
                <w:sz w:val="12"/>
                <w:szCs w:val="12"/>
              </w:rPr>
            </w:pPr>
          </w:p>
        </w:tc>
        <w:tc>
          <w:tcPr>
            <w:tcW w:w="2268" w:type="dxa"/>
            <w:shd w:val="clear" w:color="auto" w:fill="F2F2F2"/>
            <w:hideMark/>
          </w:tcPr>
          <w:p w14:paraId="7AF3DF0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8BFC244" w14:textId="77777777" w:rsidR="002A4DDF" w:rsidRPr="00937C8B" w:rsidRDefault="002A4DDF" w:rsidP="009110ED">
            <w:pPr>
              <w:rPr>
                <w:rFonts w:ascii="Arial" w:hAnsi="Arial" w:cs="Arial"/>
                <w:sz w:val="12"/>
                <w:szCs w:val="12"/>
              </w:rPr>
            </w:pPr>
            <w:r>
              <w:rPr>
                <w:rFonts w:ascii="Arial" w:hAnsi="Arial"/>
                <w:sz w:val="12"/>
                <w:szCs w:val="12"/>
              </w:rPr>
              <w:t>Samos</w:t>
            </w:r>
          </w:p>
        </w:tc>
      </w:tr>
      <w:tr w:rsidR="002A4DDF" w:rsidRPr="00937C8B" w14:paraId="199084F8" w14:textId="77777777" w:rsidTr="00935676">
        <w:trPr>
          <w:cantSplit/>
        </w:trPr>
        <w:tc>
          <w:tcPr>
            <w:tcW w:w="1696" w:type="dxa"/>
            <w:tcBorders>
              <w:left w:val="single" w:sz="4" w:space="0" w:color="auto"/>
            </w:tcBorders>
            <w:shd w:val="clear" w:color="auto" w:fill="auto"/>
          </w:tcPr>
          <w:p w14:paraId="025D19D8" w14:textId="77777777" w:rsidR="002A4DDF" w:rsidRPr="00937C8B" w:rsidRDefault="002A4DDF" w:rsidP="009110ED">
            <w:pPr>
              <w:rPr>
                <w:rFonts w:ascii="Arial" w:hAnsi="Arial" w:cs="Arial"/>
                <w:sz w:val="12"/>
                <w:szCs w:val="12"/>
              </w:rPr>
            </w:pPr>
          </w:p>
        </w:tc>
        <w:tc>
          <w:tcPr>
            <w:tcW w:w="1843" w:type="dxa"/>
            <w:shd w:val="clear" w:color="auto" w:fill="auto"/>
          </w:tcPr>
          <w:p w14:paraId="48B51A82" w14:textId="77777777" w:rsidR="002A4DDF" w:rsidRPr="00937C8B" w:rsidRDefault="002A4DDF" w:rsidP="009110ED">
            <w:pPr>
              <w:rPr>
                <w:rFonts w:ascii="Arial" w:hAnsi="Arial" w:cs="Arial"/>
                <w:sz w:val="12"/>
                <w:szCs w:val="12"/>
              </w:rPr>
            </w:pPr>
          </w:p>
        </w:tc>
        <w:tc>
          <w:tcPr>
            <w:tcW w:w="2268" w:type="dxa"/>
            <w:shd w:val="clear" w:color="auto" w:fill="F2F2F2"/>
            <w:hideMark/>
          </w:tcPr>
          <w:p w14:paraId="66C6B90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0B63808" w14:textId="77777777" w:rsidR="002A4DDF" w:rsidRPr="00937C8B" w:rsidRDefault="002A4DDF" w:rsidP="009110ED">
            <w:pPr>
              <w:rPr>
                <w:rFonts w:ascii="Arial" w:hAnsi="Arial" w:cs="Arial"/>
                <w:sz w:val="12"/>
                <w:szCs w:val="12"/>
              </w:rPr>
            </w:pPr>
            <w:r>
              <w:rPr>
                <w:rFonts w:ascii="Arial" w:hAnsi="Arial"/>
                <w:sz w:val="12"/>
                <w:szCs w:val="12"/>
              </w:rPr>
              <w:t>Sarria</w:t>
            </w:r>
          </w:p>
        </w:tc>
      </w:tr>
      <w:tr w:rsidR="002A4DDF" w:rsidRPr="00937C8B" w14:paraId="2D3CB6F8" w14:textId="77777777" w:rsidTr="00935676">
        <w:trPr>
          <w:cantSplit/>
        </w:trPr>
        <w:tc>
          <w:tcPr>
            <w:tcW w:w="1696" w:type="dxa"/>
            <w:tcBorders>
              <w:left w:val="single" w:sz="4" w:space="0" w:color="auto"/>
            </w:tcBorders>
            <w:shd w:val="clear" w:color="auto" w:fill="auto"/>
          </w:tcPr>
          <w:p w14:paraId="5849CD86" w14:textId="77777777" w:rsidR="002A4DDF" w:rsidRPr="00937C8B" w:rsidRDefault="002A4DDF" w:rsidP="009110ED">
            <w:pPr>
              <w:rPr>
                <w:rFonts w:ascii="Arial" w:hAnsi="Arial" w:cs="Arial"/>
                <w:sz w:val="12"/>
                <w:szCs w:val="12"/>
              </w:rPr>
            </w:pPr>
          </w:p>
        </w:tc>
        <w:tc>
          <w:tcPr>
            <w:tcW w:w="1843" w:type="dxa"/>
            <w:shd w:val="clear" w:color="auto" w:fill="auto"/>
          </w:tcPr>
          <w:p w14:paraId="225E66B2" w14:textId="77777777" w:rsidR="002A4DDF" w:rsidRPr="00937C8B" w:rsidRDefault="002A4DDF" w:rsidP="009110ED">
            <w:pPr>
              <w:rPr>
                <w:rFonts w:ascii="Arial" w:hAnsi="Arial" w:cs="Arial"/>
                <w:sz w:val="12"/>
                <w:szCs w:val="12"/>
              </w:rPr>
            </w:pPr>
          </w:p>
        </w:tc>
        <w:tc>
          <w:tcPr>
            <w:tcW w:w="2268" w:type="dxa"/>
            <w:shd w:val="clear" w:color="auto" w:fill="F2F2F2"/>
            <w:hideMark/>
          </w:tcPr>
          <w:p w14:paraId="1A968C6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C957881" w14:textId="77777777" w:rsidR="002A4DDF" w:rsidRPr="00937C8B" w:rsidRDefault="002A4DDF" w:rsidP="009110ED">
            <w:pPr>
              <w:rPr>
                <w:rFonts w:ascii="Arial" w:hAnsi="Arial" w:cs="Arial"/>
                <w:sz w:val="12"/>
                <w:szCs w:val="12"/>
              </w:rPr>
            </w:pPr>
            <w:r>
              <w:rPr>
                <w:rFonts w:ascii="Arial" w:hAnsi="Arial"/>
                <w:sz w:val="12"/>
                <w:szCs w:val="12"/>
              </w:rPr>
              <w:t>Sober</w:t>
            </w:r>
          </w:p>
        </w:tc>
      </w:tr>
      <w:tr w:rsidR="002A4DDF" w:rsidRPr="00937C8B" w14:paraId="3F01374B" w14:textId="77777777" w:rsidTr="00935676">
        <w:trPr>
          <w:cantSplit/>
        </w:trPr>
        <w:tc>
          <w:tcPr>
            <w:tcW w:w="1696" w:type="dxa"/>
            <w:tcBorders>
              <w:left w:val="single" w:sz="4" w:space="0" w:color="auto"/>
            </w:tcBorders>
            <w:shd w:val="clear" w:color="auto" w:fill="auto"/>
          </w:tcPr>
          <w:p w14:paraId="0D441439" w14:textId="77777777" w:rsidR="002A4DDF" w:rsidRPr="00937C8B" w:rsidRDefault="002A4DDF" w:rsidP="009110ED">
            <w:pPr>
              <w:rPr>
                <w:rFonts w:ascii="Arial" w:hAnsi="Arial" w:cs="Arial"/>
                <w:sz w:val="12"/>
                <w:szCs w:val="12"/>
              </w:rPr>
            </w:pPr>
          </w:p>
        </w:tc>
        <w:tc>
          <w:tcPr>
            <w:tcW w:w="1843" w:type="dxa"/>
            <w:shd w:val="clear" w:color="auto" w:fill="auto"/>
          </w:tcPr>
          <w:p w14:paraId="07C8972B" w14:textId="77777777" w:rsidR="002A4DDF" w:rsidRPr="00937C8B" w:rsidRDefault="002A4DDF" w:rsidP="009110ED">
            <w:pPr>
              <w:rPr>
                <w:rFonts w:ascii="Arial" w:hAnsi="Arial" w:cs="Arial"/>
                <w:sz w:val="12"/>
                <w:szCs w:val="12"/>
              </w:rPr>
            </w:pPr>
          </w:p>
        </w:tc>
        <w:tc>
          <w:tcPr>
            <w:tcW w:w="2268" w:type="dxa"/>
            <w:shd w:val="clear" w:color="auto" w:fill="F2F2F2"/>
            <w:hideMark/>
          </w:tcPr>
          <w:p w14:paraId="355BF28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374482A" w14:textId="77777777" w:rsidR="002A4DDF" w:rsidRPr="00937C8B" w:rsidRDefault="002A4DDF" w:rsidP="009110ED">
            <w:pPr>
              <w:rPr>
                <w:rFonts w:ascii="Arial" w:hAnsi="Arial" w:cs="Arial"/>
                <w:sz w:val="12"/>
                <w:szCs w:val="12"/>
              </w:rPr>
            </w:pPr>
            <w:r>
              <w:rPr>
                <w:rFonts w:ascii="Arial" w:hAnsi="Arial"/>
                <w:sz w:val="12"/>
                <w:szCs w:val="12"/>
              </w:rPr>
              <w:t>Taboada</w:t>
            </w:r>
          </w:p>
        </w:tc>
      </w:tr>
      <w:tr w:rsidR="002A4DDF" w:rsidRPr="00937C8B" w14:paraId="19F18340" w14:textId="77777777" w:rsidTr="00935676">
        <w:trPr>
          <w:cantSplit/>
        </w:trPr>
        <w:tc>
          <w:tcPr>
            <w:tcW w:w="1696" w:type="dxa"/>
            <w:tcBorders>
              <w:left w:val="single" w:sz="4" w:space="0" w:color="auto"/>
            </w:tcBorders>
            <w:shd w:val="clear" w:color="auto" w:fill="auto"/>
          </w:tcPr>
          <w:p w14:paraId="2CB30F64" w14:textId="77777777" w:rsidR="002A4DDF" w:rsidRPr="00937C8B" w:rsidRDefault="002A4DDF" w:rsidP="009110ED">
            <w:pPr>
              <w:rPr>
                <w:rFonts w:ascii="Arial" w:hAnsi="Arial" w:cs="Arial"/>
                <w:sz w:val="12"/>
                <w:szCs w:val="12"/>
              </w:rPr>
            </w:pPr>
          </w:p>
        </w:tc>
        <w:tc>
          <w:tcPr>
            <w:tcW w:w="1843" w:type="dxa"/>
            <w:shd w:val="clear" w:color="auto" w:fill="auto"/>
          </w:tcPr>
          <w:p w14:paraId="6C622C51" w14:textId="77777777" w:rsidR="002A4DDF" w:rsidRPr="00937C8B" w:rsidRDefault="002A4DDF" w:rsidP="009110ED">
            <w:pPr>
              <w:rPr>
                <w:rFonts w:ascii="Arial" w:hAnsi="Arial" w:cs="Arial"/>
                <w:sz w:val="12"/>
                <w:szCs w:val="12"/>
              </w:rPr>
            </w:pPr>
          </w:p>
        </w:tc>
        <w:tc>
          <w:tcPr>
            <w:tcW w:w="2268" w:type="dxa"/>
            <w:shd w:val="clear" w:color="auto" w:fill="F2F2F2"/>
            <w:hideMark/>
          </w:tcPr>
          <w:p w14:paraId="0D4B1A1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5347ECF" w14:textId="77777777" w:rsidR="002A4DDF" w:rsidRPr="00937C8B" w:rsidRDefault="002A4DDF" w:rsidP="009110ED">
            <w:pPr>
              <w:rPr>
                <w:rFonts w:ascii="Arial" w:hAnsi="Arial" w:cs="Arial"/>
                <w:sz w:val="12"/>
                <w:szCs w:val="12"/>
              </w:rPr>
            </w:pPr>
            <w:r>
              <w:rPr>
                <w:rFonts w:ascii="Arial" w:hAnsi="Arial"/>
                <w:sz w:val="12"/>
                <w:szCs w:val="12"/>
              </w:rPr>
              <w:t>Triacastela</w:t>
            </w:r>
          </w:p>
        </w:tc>
      </w:tr>
      <w:tr w:rsidR="002A4DDF" w:rsidRPr="00937C8B" w14:paraId="01E93876" w14:textId="77777777" w:rsidTr="00935676">
        <w:trPr>
          <w:cantSplit/>
        </w:trPr>
        <w:tc>
          <w:tcPr>
            <w:tcW w:w="1696" w:type="dxa"/>
            <w:tcBorders>
              <w:left w:val="single" w:sz="4" w:space="0" w:color="auto"/>
            </w:tcBorders>
            <w:shd w:val="clear" w:color="auto" w:fill="auto"/>
          </w:tcPr>
          <w:p w14:paraId="6144DCA1" w14:textId="77777777" w:rsidR="002A4DDF" w:rsidRPr="00937C8B" w:rsidRDefault="002A4DDF" w:rsidP="009110ED">
            <w:pPr>
              <w:rPr>
                <w:rFonts w:ascii="Arial" w:hAnsi="Arial" w:cs="Arial"/>
                <w:sz w:val="12"/>
                <w:szCs w:val="12"/>
              </w:rPr>
            </w:pPr>
          </w:p>
        </w:tc>
        <w:tc>
          <w:tcPr>
            <w:tcW w:w="1843" w:type="dxa"/>
            <w:shd w:val="clear" w:color="auto" w:fill="auto"/>
          </w:tcPr>
          <w:p w14:paraId="29D0F70A" w14:textId="77777777" w:rsidR="002A4DDF" w:rsidRPr="00937C8B" w:rsidRDefault="002A4DDF" w:rsidP="009110ED">
            <w:pPr>
              <w:rPr>
                <w:rFonts w:ascii="Arial" w:hAnsi="Arial" w:cs="Arial"/>
                <w:sz w:val="12"/>
                <w:szCs w:val="12"/>
              </w:rPr>
            </w:pPr>
          </w:p>
        </w:tc>
        <w:tc>
          <w:tcPr>
            <w:tcW w:w="2268" w:type="dxa"/>
            <w:shd w:val="clear" w:color="auto" w:fill="F2F2F2"/>
            <w:hideMark/>
          </w:tcPr>
          <w:p w14:paraId="50A1F95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0E7A671" w14:textId="77777777" w:rsidR="002A4DDF" w:rsidRPr="00937C8B" w:rsidRDefault="002A4DDF" w:rsidP="009110ED">
            <w:pPr>
              <w:rPr>
                <w:rFonts w:ascii="Arial" w:hAnsi="Arial" w:cs="Arial"/>
                <w:sz w:val="12"/>
                <w:szCs w:val="12"/>
              </w:rPr>
            </w:pPr>
            <w:r>
              <w:rPr>
                <w:rFonts w:ascii="Arial" w:hAnsi="Arial"/>
                <w:sz w:val="12"/>
                <w:szCs w:val="12"/>
              </w:rPr>
              <w:t>Vilalba</w:t>
            </w:r>
          </w:p>
        </w:tc>
      </w:tr>
      <w:tr w:rsidR="002A4DDF" w:rsidRPr="00937C8B" w14:paraId="283DC9BC" w14:textId="77777777" w:rsidTr="00935676">
        <w:trPr>
          <w:cantSplit/>
        </w:trPr>
        <w:tc>
          <w:tcPr>
            <w:tcW w:w="1696" w:type="dxa"/>
            <w:tcBorders>
              <w:left w:val="single" w:sz="4" w:space="0" w:color="auto"/>
            </w:tcBorders>
            <w:shd w:val="clear" w:color="auto" w:fill="auto"/>
          </w:tcPr>
          <w:p w14:paraId="6B27C0A2" w14:textId="77777777" w:rsidR="002A4DDF" w:rsidRPr="00937C8B" w:rsidRDefault="002A4DDF" w:rsidP="009110ED">
            <w:pPr>
              <w:rPr>
                <w:rFonts w:ascii="Arial" w:hAnsi="Arial" w:cs="Arial"/>
                <w:sz w:val="12"/>
                <w:szCs w:val="12"/>
              </w:rPr>
            </w:pPr>
          </w:p>
        </w:tc>
        <w:tc>
          <w:tcPr>
            <w:tcW w:w="1843" w:type="dxa"/>
            <w:shd w:val="clear" w:color="auto" w:fill="auto"/>
          </w:tcPr>
          <w:p w14:paraId="6F1608C7" w14:textId="77777777" w:rsidR="002A4DDF" w:rsidRPr="00937C8B" w:rsidRDefault="002A4DDF" w:rsidP="009110ED">
            <w:pPr>
              <w:rPr>
                <w:rFonts w:ascii="Arial" w:hAnsi="Arial" w:cs="Arial"/>
                <w:sz w:val="12"/>
                <w:szCs w:val="12"/>
              </w:rPr>
            </w:pPr>
          </w:p>
        </w:tc>
        <w:tc>
          <w:tcPr>
            <w:tcW w:w="2268" w:type="dxa"/>
            <w:shd w:val="clear" w:color="auto" w:fill="F2F2F2"/>
            <w:hideMark/>
          </w:tcPr>
          <w:p w14:paraId="3B5BA9D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6904898" w14:textId="77777777" w:rsidR="002A4DDF" w:rsidRPr="00937C8B" w:rsidRDefault="002A4DDF" w:rsidP="009110ED">
            <w:pPr>
              <w:rPr>
                <w:rFonts w:ascii="Arial" w:hAnsi="Arial" w:cs="Arial"/>
                <w:sz w:val="12"/>
                <w:szCs w:val="12"/>
              </w:rPr>
            </w:pPr>
            <w:r>
              <w:rPr>
                <w:rFonts w:ascii="Arial" w:hAnsi="Arial"/>
                <w:sz w:val="12"/>
                <w:szCs w:val="12"/>
              </w:rPr>
              <w:t>Viveiro</w:t>
            </w:r>
          </w:p>
        </w:tc>
      </w:tr>
      <w:tr w:rsidR="002A4DDF" w:rsidRPr="00937C8B" w14:paraId="0100760E" w14:textId="77777777" w:rsidTr="00935676">
        <w:trPr>
          <w:cantSplit/>
        </w:trPr>
        <w:tc>
          <w:tcPr>
            <w:tcW w:w="1696" w:type="dxa"/>
            <w:tcBorders>
              <w:left w:val="single" w:sz="4" w:space="0" w:color="auto"/>
            </w:tcBorders>
            <w:shd w:val="clear" w:color="auto" w:fill="auto"/>
          </w:tcPr>
          <w:p w14:paraId="6570F4F5" w14:textId="77777777" w:rsidR="002A4DDF" w:rsidRPr="00937C8B" w:rsidRDefault="002A4DDF" w:rsidP="009110ED">
            <w:pPr>
              <w:rPr>
                <w:rFonts w:ascii="Arial" w:hAnsi="Arial" w:cs="Arial"/>
                <w:sz w:val="12"/>
                <w:szCs w:val="12"/>
              </w:rPr>
            </w:pPr>
          </w:p>
        </w:tc>
        <w:tc>
          <w:tcPr>
            <w:tcW w:w="1843" w:type="dxa"/>
            <w:shd w:val="clear" w:color="auto" w:fill="auto"/>
          </w:tcPr>
          <w:p w14:paraId="397235AB" w14:textId="77777777" w:rsidR="002A4DDF" w:rsidRPr="00937C8B" w:rsidRDefault="002A4DDF" w:rsidP="009110ED">
            <w:pPr>
              <w:rPr>
                <w:rFonts w:ascii="Arial" w:hAnsi="Arial" w:cs="Arial"/>
                <w:sz w:val="12"/>
                <w:szCs w:val="12"/>
              </w:rPr>
            </w:pPr>
          </w:p>
        </w:tc>
        <w:tc>
          <w:tcPr>
            <w:tcW w:w="2268" w:type="dxa"/>
            <w:shd w:val="clear" w:color="auto" w:fill="F2F2F2"/>
            <w:hideMark/>
          </w:tcPr>
          <w:p w14:paraId="6D81B2B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3B20F44" w14:textId="77777777" w:rsidR="002A4DDF" w:rsidRPr="00937C8B" w:rsidRDefault="002A4DDF" w:rsidP="009110ED">
            <w:pPr>
              <w:rPr>
                <w:rFonts w:ascii="Arial" w:hAnsi="Arial" w:cs="Arial"/>
                <w:sz w:val="12"/>
                <w:szCs w:val="12"/>
              </w:rPr>
            </w:pPr>
            <w:r>
              <w:rPr>
                <w:rFonts w:ascii="Arial" w:hAnsi="Arial"/>
                <w:sz w:val="12"/>
                <w:szCs w:val="12"/>
              </w:rPr>
              <w:t>Xermade</w:t>
            </w:r>
          </w:p>
        </w:tc>
      </w:tr>
      <w:tr w:rsidR="002A4DDF" w:rsidRPr="00937C8B" w14:paraId="1DC12E7A" w14:textId="77777777" w:rsidTr="00935676">
        <w:trPr>
          <w:cantSplit/>
        </w:trPr>
        <w:tc>
          <w:tcPr>
            <w:tcW w:w="1696" w:type="dxa"/>
            <w:tcBorders>
              <w:left w:val="single" w:sz="4" w:space="0" w:color="auto"/>
              <w:bottom w:val="single" w:sz="4" w:space="0" w:color="auto"/>
            </w:tcBorders>
            <w:shd w:val="clear" w:color="auto" w:fill="auto"/>
            <w:hideMark/>
          </w:tcPr>
          <w:p w14:paraId="09BD9C1B" w14:textId="77777777" w:rsidR="002A4DDF" w:rsidRPr="00937C8B" w:rsidRDefault="002A4DDF" w:rsidP="009110ED">
            <w:pPr>
              <w:rPr>
                <w:rFonts w:ascii="Arial" w:hAnsi="Arial" w:cs="Arial"/>
                <w:sz w:val="12"/>
                <w:szCs w:val="12"/>
              </w:rPr>
            </w:pPr>
            <w:r>
              <w:rPr>
                <w:rFonts w:ascii="Arial" w:hAnsi="Arial"/>
                <w:sz w:val="12"/>
                <w:szCs w:val="12"/>
              </w:rPr>
              <w:t>Galice</w:t>
            </w:r>
          </w:p>
        </w:tc>
        <w:tc>
          <w:tcPr>
            <w:tcW w:w="1843" w:type="dxa"/>
            <w:tcBorders>
              <w:bottom w:val="single" w:sz="4" w:space="0" w:color="auto"/>
            </w:tcBorders>
            <w:shd w:val="clear" w:color="auto" w:fill="auto"/>
            <w:hideMark/>
          </w:tcPr>
          <w:p w14:paraId="4A1A60F2" w14:textId="77777777" w:rsidR="002A4DDF" w:rsidRPr="00937C8B" w:rsidRDefault="002A4DDF" w:rsidP="009110ED">
            <w:pPr>
              <w:rPr>
                <w:rFonts w:ascii="Arial" w:hAnsi="Arial" w:cs="Arial"/>
                <w:sz w:val="12"/>
                <w:szCs w:val="12"/>
              </w:rPr>
            </w:pPr>
            <w:r>
              <w:rPr>
                <w:rFonts w:ascii="Arial" w:hAnsi="Arial"/>
                <w:sz w:val="12"/>
                <w:szCs w:val="12"/>
              </w:rPr>
              <w:t>Lugo</w:t>
            </w:r>
          </w:p>
        </w:tc>
        <w:tc>
          <w:tcPr>
            <w:tcW w:w="2268" w:type="dxa"/>
            <w:tcBorders>
              <w:bottom w:val="single" w:sz="4" w:space="0" w:color="auto"/>
            </w:tcBorders>
            <w:shd w:val="clear" w:color="auto" w:fill="F2F2F2"/>
            <w:hideMark/>
          </w:tcPr>
          <w:p w14:paraId="7105FE8A"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0E02D565" w14:textId="77777777" w:rsidR="002A4DDF" w:rsidRPr="00937C8B" w:rsidRDefault="002A4DDF" w:rsidP="009110ED">
            <w:pPr>
              <w:rPr>
                <w:rFonts w:ascii="Arial" w:hAnsi="Arial" w:cs="Arial"/>
                <w:sz w:val="12"/>
                <w:szCs w:val="12"/>
              </w:rPr>
            </w:pPr>
            <w:r>
              <w:rPr>
                <w:rFonts w:ascii="Arial" w:hAnsi="Arial"/>
                <w:sz w:val="12"/>
                <w:szCs w:val="12"/>
              </w:rPr>
              <w:t>Xove</w:t>
            </w:r>
          </w:p>
        </w:tc>
      </w:tr>
      <w:tr w:rsidR="002A4DDF" w:rsidRPr="00937C8B" w14:paraId="69A34AAA" w14:textId="77777777" w:rsidTr="00935676">
        <w:trPr>
          <w:cantSplit/>
        </w:trPr>
        <w:tc>
          <w:tcPr>
            <w:tcW w:w="1696" w:type="dxa"/>
            <w:tcBorders>
              <w:top w:val="single" w:sz="4" w:space="0" w:color="auto"/>
              <w:bottom w:val="single" w:sz="4" w:space="0" w:color="auto"/>
            </w:tcBorders>
            <w:shd w:val="clear" w:color="auto" w:fill="auto"/>
            <w:hideMark/>
          </w:tcPr>
          <w:p w14:paraId="1720CD4C"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6070A151"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5BE98FEB"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2A430F00" w14:textId="77777777" w:rsidR="002A4DDF" w:rsidRPr="00937C8B" w:rsidRDefault="002A4DDF" w:rsidP="009110ED">
            <w:pPr>
              <w:rPr>
                <w:rFonts w:ascii="Arial" w:hAnsi="Arial" w:cs="Arial"/>
                <w:sz w:val="12"/>
                <w:szCs w:val="12"/>
              </w:rPr>
            </w:pPr>
          </w:p>
        </w:tc>
      </w:tr>
      <w:tr w:rsidR="002A4DDF" w:rsidRPr="00937C8B" w14:paraId="338467C3" w14:textId="77777777" w:rsidTr="00935676">
        <w:trPr>
          <w:cantSplit/>
        </w:trPr>
        <w:tc>
          <w:tcPr>
            <w:tcW w:w="1696" w:type="dxa"/>
            <w:tcBorders>
              <w:top w:val="single" w:sz="4" w:space="0" w:color="auto"/>
              <w:left w:val="single" w:sz="4" w:space="0" w:color="auto"/>
            </w:tcBorders>
            <w:shd w:val="clear" w:color="auto" w:fill="auto"/>
            <w:hideMark/>
          </w:tcPr>
          <w:p w14:paraId="38744987" w14:textId="77777777" w:rsidR="002A4DDF" w:rsidRPr="00937C8B" w:rsidRDefault="002A4DDF" w:rsidP="009110ED">
            <w:pPr>
              <w:rPr>
                <w:rFonts w:ascii="Arial" w:hAnsi="Arial" w:cs="Arial"/>
                <w:sz w:val="12"/>
                <w:szCs w:val="12"/>
              </w:rPr>
            </w:pPr>
            <w:r>
              <w:rPr>
                <w:rFonts w:ascii="Arial" w:hAnsi="Arial"/>
                <w:sz w:val="12"/>
                <w:szCs w:val="12"/>
              </w:rPr>
              <w:t>Galice</w:t>
            </w:r>
          </w:p>
        </w:tc>
        <w:tc>
          <w:tcPr>
            <w:tcW w:w="1843" w:type="dxa"/>
            <w:tcBorders>
              <w:top w:val="single" w:sz="4" w:space="0" w:color="auto"/>
            </w:tcBorders>
            <w:shd w:val="clear" w:color="auto" w:fill="auto"/>
            <w:hideMark/>
          </w:tcPr>
          <w:p w14:paraId="60359DDA" w14:textId="77777777" w:rsidR="002A4DDF" w:rsidRPr="00937C8B" w:rsidRDefault="002A4DDF" w:rsidP="009110ED">
            <w:pPr>
              <w:rPr>
                <w:rFonts w:ascii="Arial" w:hAnsi="Arial" w:cs="Arial"/>
                <w:sz w:val="12"/>
                <w:szCs w:val="12"/>
              </w:rPr>
            </w:pPr>
            <w:r>
              <w:rPr>
                <w:rFonts w:ascii="Arial" w:hAnsi="Arial"/>
                <w:sz w:val="12"/>
                <w:szCs w:val="12"/>
              </w:rPr>
              <w:t>Orense</w:t>
            </w:r>
          </w:p>
        </w:tc>
        <w:tc>
          <w:tcPr>
            <w:tcW w:w="2268" w:type="dxa"/>
            <w:tcBorders>
              <w:top w:val="single" w:sz="4" w:space="0" w:color="auto"/>
            </w:tcBorders>
            <w:shd w:val="clear" w:color="auto" w:fill="F2F2F2"/>
            <w:hideMark/>
          </w:tcPr>
          <w:p w14:paraId="03F59DEC" w14:textId="77777777" w:rsidR="002A4DDF" w:rsidRPr="00937C8B" w:rsidRDefault="002A4DDF" w:rsidP="009110ED">
            <w:pPr>
              <w:rPr>
                <w:rFonts w:ascii="Arial" w:hAnsi="Arial" w:cs="Arial"/>
                <w:sz w:val="12"/>
                <w:szCs w:val="12"/>
              </w:rPr>
            </w:pPr>
            <w:r>
              <w:rPr>
                <w:rFonts w:ascii="Arial" w:hAnsi="Arial"/>
                <w:sz w:val="12"/>
                <w:szCs w:val="12"/>
              </w:rPr>
              <w:t>A Rúa</w:t>
            </w:r>
          </w:p>
        </w:tc>
        <w:tc>
          <w:tcPr>
            <w:tcW w:w="2268" w:type="dxa"/>
            <w:tcBorders>
              <w:top w:val="single" w:sz="4" w:space="0" w:color="auto"/>
              <w:right w:val="single" w:sz="4" w:space="0" w:color="auto"/>
            </w:tcBorders>
            <w:shd w:val="clear" w:color="auto" w:fill="D9D9D9"/>
            <w:hideMark/>
          </w:tcPr>
          <w:p w14:paraId="00B82587" w14:textId="77777777" w:rsidR="002A4DDF" w:rsidRPr="00937C8B" w:rsidRDefault="002A4DDF" w:rsidP="009110ED">
            <w:pPr>
              <w:rPr>
                <w:rFonts w:ascii="Arial" w:hAnsi="Arial" w:cs="Arial"/>
                <w:sz w:val="12"/>
                <w:szCs w:val="12"/>
              </w:rPr>
            </w:pPr>
            <w:r>
              <w:rPr>
                <w:rFonts w:ascii="Arial" w:hAnsi="Arial"/>
                <w:sz w:val="12"/>
                <w:szCs w:val="12"/>
              </w:rPr>
              <w:t>A Arnoia</w:t>
            </w:r>
          </w:p>
        </w:tc>
      </w:tr>
      <w:tr w:rsidR="002A4DDF" w:rsidRPr="00937C8B" w14:paraId="721084CD" w14:textId="77777777" w:rsidTr="00935676">
        <w:trPr>
          <w:cantSplit/>
        </w:trPr>
        <w:tc>
          <w:tcPr>
            <w:tcW w:w="1696" w:type="dxa"/>
            <w:tcBorders>
              <w:left w:val="single" w:sz="4" w:space="0" w:color="auto"/>
            </w:tcBorders>
            <w:shd w:val="clear" w:color="auto" w:fill="auto"/>
          </w:tcPr>
          <w:p w14:paraId="798D74C3" w14:textId="77777777" w:rsidR="002A4DDF" w:rsidRPr="00937C8B" w:rsidRDefault="002A4DDF" w:rsidP="009110ED">
            <w:pPr>
              <w:rPr>
                <w:rFonts w:ascii="Arial" w:hAnsi="Arial" w:cs="Arial"/>
                <w:sz w:val="12"/>
                <w:szCs w:val="12"/>
              </w:rPr>
            </w:pPr>
          </w:p>
        </w:tc>
        <w:tc>
          <w:tcPr>
            <w:tcW w:w="1843" w:type="dxa"/>
            <w:shd w:val="clear" w:color="auto" w:fill="auto"/>
          </w:tcPr>
          <w:p w14:paraId="42C548C6" w14:textId="77777777" w:rsidR="002A4DDF" w:rsidRPr="00937C8B" w:rsidRDefault="002A4DDF" w:rsidP="009110ED">
            <w:pPr>
              <w:rPr>
                <w:rFonts w:ascii="Arial" w:hAnsi="Arial" w:cs="Arial"/>
                <w:sz w:val="12"/>
                <w:szCs w:val="12"/>
              </w:rPr>
            </w:pPr>
          </w:p>
        </w:tc>
        <w:tc>
          <w:tcPr>
            <w:tcW w:w="2268" w:type="dxa"/>
            <w:shd w:val="clear" w:color="auto" w:fill="F2F2F2"/>
            <w:hideMark/>
          </w:tcPr>
          <w:p w14:paraId="2585B3C4" w14:textId="77777777" w:rsidR="002A4DDF" w:rsidRPr="00937C8B" w:rsidRDefault="002A4DDF" w:rsidP="009110ED">
            <w:pPr>
              <w:rPr>
                <w:rFonts w:ascii="Arial" w:hAnsi="Arial" w:cs="Arial"/>
                <w:sz w:val="12"/>
                <w:szCs w:val="12"/>
              </w:rPr>
            </w:pPr>
            <w:r>
              <w:rPr>
                <w:rFonts w:ascii="Arial" w:hAnsi="Arial"/>
                <w:sz w:val="12"/>
                <w:szCs w:val="12"/>
              </w:rPr>
              <w:t>Castrelo do Val</w:t>
            </w:r>
          </w:p>
        </w:tc>
        <w:tc>
          <w:tcPr>
            <w:tcW w:w="2268" w:type="dxa"/>
            <w:tcBorders>
              <w:right w:val="single" w:sz="4" w:space="0" w:color="auto"/>
            </w:tcBorders>
            <w:shd w:val="clear" w:color="auto" w:fill="D9D9D9"/>
            <w:hideMark/>
          </w:tcPr>
          <w:p w14:paraId="154E25E5" w14:textId="77777777" w:rsidR="002A4DDF" w:rsidRPr="00937C8B" w:rsidRDefault="002A4DDF" w:rsidP="009110ED">
            <w:pPr>
              <w:rPr>
                <w:rFonts w:ascii="Arial" w:hAnsi="Arial" w:cs="Arial"/>
                <w:sz w:val="12"/>
                <w:szCs w:val="12"/>
              </w:rPr>
            </w:pPr>
            <w:r>
              <w:rPr>
                <w:rFonts w:ascii="Arial" w:hAnsi="Arial"/>
                <w:sz w:val="12"/>
                <w:szCs w:val="12"/>
              </w:rPr>
              <w:t>A Bola</w:t>
            </w:r>
          </w:p>
        </w:tc>
      </w:tr>
      <w:tr w:rsidR="002A4DDF" w:rsidRPr="00937C8B" w14:paraId="0133AD4F" w14:textId="77777777" w:rsidTr="00935676">
        <w:trPr>
          <w:cantSplit/>
        </w:trPr>
        <w:tc>
          <w:tcPr>
            <w:tcW w:w="1696" w:type="dxa"/>
            <w:tcBorders>
              <w:left w:val="single" w:sz="4" w:space="0" w:color="auto"/>
            </w:tcBorders>
            <w:shd w:val="clear" w:color="auto" w:fill="auto"/>
          </w:tcPr>
          <w:p w14:paraId="7EC398AA" w14:textId="77777777" w:rsidR="002A4DDF" w:rsidRPr="00937C8B" w:rsidRDefault="002A4DDF" w:rsidP="009110ED">
            <w:pPr>
              <w:rPr>
                <w:rFonts w:ascii="Arial" w:hAnsi="Arial" w:cs="Arial"/>
                <w:sz w:val="12"/>
                <w:szCs w:val="12"/>
              </w:rPr>
            </w:pPr>
          </w:p>
        </w:tc>
        <w:tc>
          <w:tcPr>
            <w:tcW w:w="1843" w:type="dxa"/>
            <w:shd w:val="clear" w:color="auto" w:fill="auto"/>
          </w:tcPr>
          <w:p w14:paraId="30C4BD0D" w14:textId="77777777" w:rsidR="002A4DDF" w:rsidRPr="00937C8B" w:rsidRDefault="002A4DDF" w:rsidP="009110ED">
            <w:pPr>
              <w:rPr>
                <w:rFonts w:ascii="Arial" w:hAnsi="Arial" w:cs="Arial"/>
                <w:sz w:val="12"/>
                <w:szCs w:val="12"/>
              </w:rPr>
            </w:pPr>
          </w:p>
        </w:tc>
        <w:tc>
          <w:tcPr>
            <w:tcW w:w="2268" w:type="dxa"/>
            <w:shd w:val="clear" w:color="auto" w:fill="F2F2F2"/>
            <w:hideMark/>
          </w:tcPr>
          <w:p w14:paraId="069568FA" w14:textId="77777777" w:rsidR="002A4DDF" w:rsidRPr="00937C8B" w:rsidRDefault="002A4DDF" w:rsidP="009110ED">
            <w:pPr>
              <w:rPr>
                <w:rFonts w:ascii="Arial" w:hAnsi="Arial" w:cs="Arial"/>
                <w:sz w:val="12"/>
                <w:szCs w:val="12"/>
              </w:rPr>
            </w:pPr>
            <w:r>
              <w:rPr>
                <w:rFonts w:ascii="Arial" w:hAnsi="Arial"/>
                <w:sz w:val="12"/>
                <w:szCs w:val="12"/>
              </w:rPr>
              <w:t>Laza</w:t>
            </w:r>
          </w:p>
        </w:tc>
        <w:tc>
          <w:tcPr>
            <w:tcW w:w="2268" w:type="dxa"/>
            <w:tcBorders>
              <w:right w:val="single" w:sz="4" w:space="0" w:color="auto"/>
            </w:tcBorders>
            <w:shd w:val="clear" w:color="auto" w:fill="D9D9D9"/>
            <w:hideMark/>
          </w:tcPr>
          <w:p w14:paraId="2CE8FCB6" w14:textId="77777777" w:rsidR="002A4DDF" w:rsidRPr="00937C8B" w:rsidRDefault="002A4DDF" w:rsidP="009110ED">
            <w:pPr>
              <w:rPr>
                <w:rFonts w:ascii="Arial" w:hAnsi="Arial" w:cs="Arial"/>
                <w:sz w:val="12"/>
                <w:szCs w:val="12"/>
              </w:rPr>
            </w:pPr>
            <w:r>
              <w:rPr>
                <w:rFonts w:ascii="Arial" w:hAnsi="Arial"/>
                <w:sz w:val="12"/>
                <w:szCs w:val="12"/>
              </w:rPr>
              <w:t>A Gudiña</w:t>
            </w:r>
          </w:p>
        </w:tc>
      </w:tr>
      <w:tr w:rsidR="002A4DDF" w:rsidRPr="00937C8B" w14:paraId="0146106A" w14:textId="77777777" w:rsidTr="00935676">
        <w:trPr>
          <w:cantSplit/>
        </w:trPr>
        <w:tc>
          <w:tcPr>
            <w:tcW w:w="1696" w:type="dxa"/>
            <w:tcBorders>
              <w:left w:val="single" w:sz="4" w:space="0" w:color="auto"/>
            </w:tcBorders>
            <w:shd w:val="clear" w:color="auto" w:fill="auto"/>
          </w:tcPr>
          <w:p w14:paraId="368C6559" w14:textId="77777777" w:rsidR="002A4DDF" w:rsidRPr="00937C8B" w:rsidRDefault="002A4DDF" w:rsidP="009110ED">
            <w:pPr>
              <w:rPr>
                <w:rFonts w:ascii="Arial" w:hAnsi="Arial" w:cs="Arial"/>
                <w:sz w:val="12"/>
                <w:szCs w:val="12"/>
              </w:rPr>
            </w:pPr>
          </w:p>
        </w:tc>
        <w:tc>
          <w:tcPr>
            <w:tcW w:w="1843" w:type="dxa"/>
            <w:shd w:val="clear" w:color="auto" w:fill="auto"/>
          </w:tcPr>
          <w:p w14:paraId="4318E345" w14:textId="77777777" w:rsidR="002A4DDF" w:rsidRPr="00937C8B" w:rsidRDefault="002A4DDF" w:rsidP="009110ED">
            <w:pPr>
              <w:rPr>
                <w:rFonts w:ascii="Arial" w:hAnsi="Arial" w:cs="Arial"/>
                <w:sz w:val="12"/>
                <w:szCs w:val="12"/>
              </w:rPr>
            </w:pPr>
          </w:p>
        </w:tc>
        <w:tc>
          <w:tcPr>
            <w:tcW w:w="2268" w:type="dxa"/>
            <w:shd w:val="clear" w:color="auto" w:fill="F2F2F2"/>
            <w:hideMark/>
          </w:tcPr>
          <w:p w14:paraId="2CD3AE80" w14:textId="77777777" w:rsidR="002A4DDF" w:rsidRPr="00937C8B" w:rsidRDefault="002A4DDF" w:rsidP="009110ED">
            <w:pPr>
              <w:rPr>
                <w:rFonts w:ascii="Arial" w:hAnsi="Arial" w:cs="Arial"/>
                <w:sz w:val="12"/>
                <w:szCs w:val="12"/>
              </w:rPr>
            </w:pPr>
            <w:r>
              <w:rPr>
                <w:rFonts w:ascii="Arial" w:hAnsi="Arial"/>
                <w:sz w:val="12"/>
                <w:szCs w:val="12"/>
              </w:rPr>
              <w:t>O Barco de Valdeorras</w:t>
            </w:r>
          </w:p>
        </w:tc>
        <w:tc>
          <w:tcPr>
            <w:tcW w:w="2268" w:type="dxa"/>
            <w:tcBorders>
              <w:right w:val="single" w:sz="4" w:space="0" w:color="auto"/>
            </w:tcBorders>
            <w:shd w:val="clear" w:color="auto" w:fill="D9D9D9"/>
            <w:hideMark/>
          </w:tcPr>
          <w:p w14:paraId="4FDA3592" w14:textId="77777777" w:rsidR="002A4DDF" w:rsidRPr="00937C8B" w:rsidRDefault="002A4DDF" w:rsidP="009110ED">
            <w:pPr>
              <w:rPr>
                <w:rFonts w:ascii="Arial" w:hAnsi="Arial" w:cs="Arial"/>
                <w:sz w:val="12"/>
                <w:szCs w:val="12"/>
              </w:rPr>
            </w:pPr>
            <w:r>
              <w:rPr>
                <w:rFonts w:ascii="Arial" w:hAnsi="Arial"/>
                <w:sz w:val="12"/>
                <w:szCs w:val="12"/>
              </w:rPr>
              <w:t>A Merca</w:t>
            </w:r>
          </w:p>
        </w:tc>
      </w:tr>
      <w:tr w:rsidR="002A4DDF" w:rsidRPr="00937C8B" w14:paraId="062319BA" w14:textId="77777777" w:rsidTr="00935676">
        <w:trPr>
          <w:cantSplit/>
        </w:trPr>
        <w:tc>
          <w:tcPr>
            <w:tcW w:w="1696" w:type="dxa"/>
            <w:tcBorders>
              <w:left w:val="single" w:sz="4" w:space="0" w:color="auto"/>
            </w:tcBorders>
            <w:shd w:val="clear" w:color="auto" w:fill="auto"/>
          </w:tcPr>
          <w:p w14:paraId="77F054F9" w14:textId="77777777" w:rsidR="002A4DDF" w:rsidRPr="00937C8B" w:rsidRDefault="002A4DDF" w:rsidP="009110ED">
            <w:pPr>
              <w:rPr>
                <w:rFonts w:ascii="Arial" w:hAnsi="Arial" w:cs="Arial"/>
                <w:sz w:val="12"/>
                <w:szCs w:val="12"/>
              </w:rPr>
            </w:pPr>
          </w:p>
        </w:tc>
        <w:tc>
          <w:tcPr>
            <w:tcW w:w="1843" w:type="dxa"/>
            <w:shd w:val="clear" w:color="auto" w:fill="auto"/>
          </w:tcPr>
          <w:p w14:paraId="59F8C393" w14:textId="77777777" w:rsidR="002A4DDF" w:rsidRPr="00937C8B" w:rsidRDefault="002A4DDF" w:rsidP="009110ED">
            <w:pPr>
              <w:rPr>
                <w:rFonts w:ascii="Arial" w:hAnsi="Arial" w:cs="Arial"/>
                <w:sz w:val="12"/>
                <w:szCs w:val="12"/>
              </w:rPr>
            </w:pPr>
          </w:p>
        </w:tc>
        <w:tc>
          <w:tcPr>
            <w:tcW w:w="2268" w:type="dxa"/>
            <w:shd w:val="clear" w:color="auto" w:fill="F2F2F2"/>
            <w:hideMark/>
          </w:tcPr>
          <w:p w14:paraId="3773D22B" w14:textId="77777777" w:rsidR="002A4DDF" w:rsidRPr="00937C8B" w:rsidRDefault="002A4DDF" w:rsidP="009110ED">
            <w:pPr>
              <w:rPr>
                <w:rFonts w:ascii="Arial" w:hAnsi="Arial" w:cs="Arial"/>
                <w:sz w:val="12"/>
                <w:szCs w:val="12"/>
              </w:rPr>
            </w:pPr>
            <w:r>
              <w:rPr>
                <w:rFonts w:ascii="Arial" w:hAnsi="Arial"/>
                <w:sz w:val="12"/>
                <w:szCs w:val="12"/>
              </w:rPr>
              <w:t>Oímbra</w:t>
            </w:r>
          </w:p>
        </w:tc>
        <w:tc>
          <w:tcPr>
            <w:tcW w:w="2268" w:type="dxa"/>
            <w:tcBorders>
              <w:right w:val="single" w:sz="4" w:space="0" w:color="auto"/>
            </w:tcBorders>
            <w:shd w:val="clear" w:color="auto" w:fill="D9D9D9"/>
            <w:hideMark/>
          </w:tcPr>
          <w:p w14:paraId="71528772" w14:textId="77777777" w:rsidR="002A4DDF" w:rsidRPr="00937C8B" w:rsidRDefault="002A4DDF" w:rsidP="009110ED">
            <w:pPr>
              <w:rPr>
                <w:rFonts w:ascii="Arial" w:hAnsi="Arial" w:cs="Arial"/>
                <w:sz w:val="12"/>
                <w:szCs w:val="12"/>
              </w:rPr>
            </w:pPr>
            <w:r>
              <w:rPr>
                <w:rFonts w:ascii="Arial" w:hAnsi="Arial"/>
                <w:sz w:val="12"/>
                <w:szCs w:val="12"/>
              </w:rPr>
              <w:t>A Mezquita</w:t>
            </w:r>
          </w:p>
        </w:tc>
      </w:tr>
      <w:tr w:rsidR="002A4DDF" w:rsidRPr="00937C8B" w14:paraId="2319FB42" w14:textId="77777777" w:rsidTr="00935676">
        <w:trPr>
          <w:cantSplit/>
        </w:trPr>
        <w:tc>
          <w:tcPr>
            <w:tcW w:w="1696" w:type="dxa"/>
            <w:tcBorders>
              <w:left w:val="single" w:sz="4" w:space="0" w:color="auto"/>
            </w:tcBorders>
            <w:shd w:val="clear" w:color="auto" w:fill="auto"/>
          </w:tcPr>
          <w:p w14:paraId="0B9EAB0C" w14:textId="77777777" w:rsidR="002A4DDF" w:rsidRPr="00937C8B" w:rsidRDefault="002A4DDF" w:rsidP="009110ED">
            <w:pPr>
              <w:rPr>
                <w:rFonts w:ascii="Arial" w:hAnsi="Arial" w:cs="Arial"/>
                <w:sz w:val="12"/>
                <w:szCs w:val="12"/>
              </w:rPr>
            </w:pPr>
          </w:p>
        </w:tc>
        <w:tc>
          <w:tcPr>
            <w:tcW w:w="1843" w:type="dxa"/>
            <w:shd w:val="clear" w:color="auto" w:fill="auto"/>
          </w:tcPr>
          <w:p w14:paraId="6114A0DB" w14:textId="77777777" w:rsidR="002A4DDF" w:rsidRPr="00937C8B" w:rsidRDefault="002A4DDF" w:rsidP="009110ED">
            <w:pPr>
              <w:rPr>
                <w:rFonts w:ascii="Arial" w:hAnsi="Arial" w:cs="Arial"/>
                <w:sz w:val="12"/>
                <w:szCs w:val="12"/>
              </w:rPr>
            </w:pPr>
          </w:p>
        </w:tc>
        <w:tc>
          <w:tcPr>
            <w:tcW w:w="2268" w:type="dxa"/>
            <w:shd w:val="clear" w:color="auto" w:fill="F2F2F2"/>
            <w:hideMark/>
          </w:tcPr>
          <w:p w14:paraId="6F6BE5EB" w14:textId="77777777" w:rsidR="002A4DDF" w:rsidRPr="00937C8B" w:rsidRDefault="002A4DDF" w:rsidP="009110ED">
            <w:pPr>
              <w:rPr>
                <w:rFonts w:ascii="Arial" w:hAnsi="Arial" w:cs="Arial"/>
                <w:sz w:val="12"/>
                <w:szCs w:val="12"/>
              </w:rPr>
            </w:pPr>
            <w:r>
              <w:rPr>
                <w:rFonts w:ascii="Arial" w:hAnsi="Arial"/>
                <w:sz w:val="12"/>
                <w:szCs w:val="12"/>
              </w:rPr>
              <w:t>Rairiz de Veiga</w:t>
            </w:r>
          </w:p>
        </w:tc>
        <w:tc>
          <w:tcPr>
            <w:tcW w:w="2268" w:type="dxa"/>
            <w:tcBorders>
              <w:right w:val="single" w:sz="4" w:space="0" w:color="auto"/>
            </w:tcBorders>
            <w:shd w:val="clear" w:color="auto" w:fill="D9D9D9"/>
            <w:hideMark/>
          </w:tcPr>
          <w:p w14:paraId="19606BF3" w14:textId="77777777" w:rsidR="002A4DDF" w:rsidRPr="00937C8B" w:rsidRDefault="002A4DDF" w:rsidP="009110ED">
            <w:pPr>
              <w:rPr>
                <w:rFonts w:ascii="Arial" w:hAnsi="Arial" w:cs="Arial"/>
                <w:sz w:val="12"/>
                <w:szCs w:val="12"/>
              </w:rPr>
            </w:pPr>
            <w:r>
              <w:rPr>
                <w:rFonts w:ascii="Arial" w:hAnsi="Arial"/>
                <w:sz w:val="12"/>
                <w:szCs w:val="12"/>
              </w:rPr>
              <w:t>A Peroxa</w:t>
            </w:r>
          </w:p>
        </w:tc>
      </w:tr>
      <w:tr w:rsidR="002A4DDF" w:rsidRPr="00937C8B" w14:paraId="163975A1" w14:textId="77777777" w:rsidTr="00935676">
        <w:trPr>
          <w:cantSplit/>
        </w:trPr>
        <w:tc>
          <w:tcPr>
            <w:tcW w:w="1696" w:type="dxa"/>
            <w:tcBorders>
              <w:left w:val="single" w:sz="4" w:space="0" w:color="auto"/>
            </w:tcBorders>
            <w:shd w:val="clear" w:color="auto" w:fill="auto"/>
          </w:tcPr>
          <w:p w14:paraId="36C8CC5F" w14:textId="77777777" w:rsidR="002A4DDF" w:rsidRPr="00937C8B" w:rsidRDefault="002A4DDF" w:rsidP="009110ED">
            <w:pPr>
              <w:rPr>
                <w:rFonts w:ascii="Arial" w:hAnsi="Arial" w:cs="Arial"/>
                <w:sz w:val="12"/>
                <w:szCs w:val="12"/>
              </w:rPr>
            </w:pPr>
          </w:p>
        </w:tc>
        <w:tc>
          <w:tcPr>
            <w:tcW w:w="1843" w:type="dxa"/>
            <w:shd w:val="clear" w:color="auto" w:fill="auto"/>
          </w:tcPr>
          <w:p w14:paraId="50553798" w14:textId="77777777" w:rsidR="002A4DDF" w:rsidRPr="00937C8B" w:rsidRDefault="002A4DDF" w:rsidP="009110ED">
            <w:pPr>
              <w:rPr>
                <w:rFonts w:ascii="Arial" w:hAnsi="Arial" w:cs="Arial"/>
                <w:sz w:val="12"/>
                <w:szCs w:val="12"/>
              </w:rPr>
            </w:pPr>
          </w:p>
        </w:tc>
        <w:tc>
          <w:tcPr>
            <w:tcW w:w="2268" w:type="dxa"/>
            <w:shd w:val="clear" w:color="auto" w:fill="F2F2F2"/>
            <w:hideMark/>
          </w:tcPr>
          <w:p w14:paraId="7042AF50" w14:textId="77777777" w:rsidR="002A4DDF" w:rsidRPr="00937C8B" w:rsidRDefault="002A4DDF" w:rsidP="009110ED">
            <w:pPr>
              <w:rPr>
                <w:rFonts w:ascii="Arial" w:hAnsi="Arial" w:cs="Arial"/>
                <w:sz w:val="12"/>
                <w:szCs w:val="12"/>
              </w:rPr>
            </w:pPr>
            <w:r>
              <w:rPr>
                <w:rFonts w:ascii="Arial" w:hAnsi="Arial"/>
                <w:sz w:val="12"/>
                <w:szCs w:val="12"/>
              </w:rPr>
              <w:t>Rubiá</w:t>
            </w:r>
          </w:p>
        </w:tc>
        <w:tc>
          <w:tcPr>
            <w:tcW w:w="2268" w:type="dxa"/>
            <w:tcBorders>
              <w:right w:val="single" w:sz="4" w:space="0" w:color="auto"/>
            </w:tcBorders>
            <w:shd w:val="clear" w:color="auto" w:fill="D9D9D9"/>
            <w:hideMark/>
          </w:tcPr>
          <w:p w14:paraId="494C7BE2" w14:textId="77777777" w:rsidR="002A4DDF" w:rsidRPr="00937C8B" w:rsidRDefault="002A4DDF" w:rsidP="009110ED">
            <w:pPr>
              <w:rPr>
                <w:rFonts w:ascii="Arial" w:hAnsi="Arial" w:cs="Arial"/>
                <w:sz w:val="12"/>
                <w:szCs w:val="12"/>
              </w:rPr>
            </w:pPr>
            <w:r>
              <w:rPr>
                <w:rFonts w:ascii="Arial" w:hAnsi="Arial"/>
                <w:sz w:val="12"/>
                <w:szCs w:val="12"/>
              </w:rPr>
              <w:t>A Pobra de Trives</w:t>
            </w:r>
          </w:p>
        </w:tc>
      </w:tr>
      <w:tr w:rsidR="002A4DDF" w:rsidRPr="00937C8B" w14:paraId="2F3277C8" w14:textId="77777777" w:rsidTr="00935676">
        <w:trPr>
          <w:cantSplit/>
        </w:trPr>
        <w:tc>
          <w:tcPr>
            <w:tcW w:w="1696" w:type="dxa"/>
            <w:tcBorders>
              <w:left w:val="single" w:sz="4" w:space="0" w:color="auto"/>
            </w:tcBorders>
            <w:shd w:val="clear" w:color="auto" w:fill="auto"/>
          </w:tcPr>
          <w:p w14:paraId="356263E0" w14:textId="77777777" w:rsidR="002A4DDF" w:rsidRPr="00937C8B" w:rsidRDefault="002A4DDF" w:rsidP="009110ED">
            <w:pPr>
              <w:rPr>
                <w:rFonts w:ascii="Arial" w:hAnsi="Arial" w:cs="Arial"/>
                <w:sz w:val="12"/>
                <w:szCs w:val="12"/>
              </w:rPr>
            </w:pPr>
          </w:p>
        </w:tc>
        <w:tc>
          <w:tcPr>
            <w:tcW w:w="1843" w:type="dxa"/>
            <w:shd w:val="clear" w:color="auto" w:fill="auto"/>
          </w:tcPr>
          <w:p w14:paraId="1A9E5FAB" w14:textId="77777777" w:rsidR="002A4DDF" w:rsidRPr="00937C8B" w:rsidRDefault="002A4DDF" w:rsidP="009110ED">
            <w:pPr>
              <w:rPr>
                <w:rFonts w:ascii="Arial" w:hAnsi="Arial" w:cs="Arial"/>
                <w:sz w:val="12"/>
                <w:szCs w:val="12"/>
              </w:rPr>
            </w:pPr>
          </w:p>
        </w:tc>
        <w:tc>
          <w:tcPr>
            <w:tcW w:w="2268" w:type="dxa"/>
            <w:shd w:val="clear" w:color="auto" w:fill="F2F2F2"/>
            <w:hideMark/>
          </w:tcPr>
          <w:p w14:paraId="48C8EE0D" w14:textId="77777777" w:rsidR="002A4DDF" w:rsidRPr="00937C8B" w:rsidRDefault="002A4DDF" w:rsidP="009110ED">
            <w:pPr>
              <w:rPr>
                <w:rFonts w:ascii="Arial" w:hAnsi="Arial" w:cs="Arial"/>
                <w:sz w:val="12"/>
                <w:szCs w:val="12"/>
              </w:rPr>
            </w:pPr>
            <w:r>
              <w:rPr>
                <w:rFonts w:ascii="Arial" w:hAnsi="Arial"/>
                <w:sz w:val="12"/>
                <w:szCs w:val="12"/>
              </w:rPr>
              <w:t>Verín</w:t>
            </w:r>
          </w:p>
        </w:tc>
        <w:tc>
          <w:tcPr>
            <w:tcW w:w="2268" w:type="dxa"/>
            <w:tcBorders>
              <w:right w:val="single" w:sz="4" w:space="0" w:color="auto"/>
            </w:tcBorders>
            <w:shd w:val="clear" w:color="auto" w:fill="D9D9D9"/>
            <w:hideMark/>
          </w:tcPr>
          <w:p w14:paraId="5F6134C6" w14:textId="77777777" w:rsidR="002A4DDF" w:rsidRPr="00937C8B" w:rsidRDefault="002A4DDF" w:rsidP="009110ED">
            <w:pPr>
              <w:rPr>
                <w:rFonts w:ascii="Arial" w:hAnsi="Arial" w:cs="Arial"/>
                <w:sz w:val="12"/>
                <w:szCs w:val="12"/>
              </w:rPr>
            </w:pPr>
            <w:r>
              <w:rPr>
                <w:rFonts w:ascii="Arial" w:hAnsi="Arial"/>
                <w:sz w:val="12"/>
                <w:szCs w:val="12"/>
              </w:rPr>
              <w:t>A Teixeira</w:t>
            </w:r>
          </w:p>
        </w:tc>
      </w:tr>
      <w:tr w:rsidR="002A4DDF" w:rsidRPr="00937C8B" w14:paraId="60504BD5" w14:textId="77777777" w:rsidTr="00935676">
        <w:trPr>
          <w:cantSplit/>
        </w:trPr>
        <w:tc>
          <w:tcPr>
            <w:tcW w:w="1696" w:type="dxa"/>
            <w:tcBorders>
              <w:left w:val="single" w:sz="4" w:space="0" w:color="auto"/>
            </w:tcBorders>
            <w:shd w:val="clear" w:color="auto" w:fill="auto"/>
          </w:tcPr>
          <w:p w14:paraId="3E2A040E" w14:textId="77777777" w:rsidR="002A4DDF" w:rsidRPr="00937C8B" w:rsidRDefault="002A4DDF" w:rsidP="009110ED">
            <w:pPr>
              <w:rPr>
                <w:rFonts w:ascii="Arial" w:hAnsi="Arial" w:cs="Arial"/>
                <w:sz w:val="12"/>
                <w:szCs w:val="12"/>
              </w:rPr>
            </w:pPr>
          </w:p>
        </w:tc>
        <w:tc>
          <w:tcPr>
            <w:tcW w:w="1843" w:type="dxa"/>
            <w:shd w:val="clear" w:color="auto" w:fill="auto"/>
          </w:tcPr>
          <w:p w14:paraId="6CEA631A" w14:textId="77777777" w:rsidR="002A4DDF" w:rsidRPr="00937C8B" w:rsidRDefault="002A4DDF" w:rsidP="009110ED">
            <w:pPr>
              <w:rPr>
                <w:rFonts w:ascii="Arial" w:hAnsi="Arial" w:cs="Arial"/>
                <w:sz w:val="12"/>
                <w:szCs w:val="12"/>
              </w:rPr>
            </w:pPr>
          </w:p>
        </w:tc>
        <w:tc>
          <w:tcPr>
            <w:tcW w:w="2268" w:type="dxa"/>
            <w:shd w:val="clear" w:color="auto" w:fill="F2F2F2"/>
            <w:hideMark/>
          </w:tcPr>
          <w:p w14:paraId="76E8CA5D" w14:textId="77777777" w:rsidR="002A4DDF" w:rsidRPr="00937C8B" w:rsidRDefault="002A4DDF" w:rsidP="009110ED">
            <w:pPr>
              <w:rPr>
                <w:rFonts w:ascii="Arial" w:hAnsi="Arial" w:cs="Arial"/>
                <w:sz w:val="12"/>
                <w:szCs w:val="12"/>
              </w:rPr>
            </w:pPr>
            <w:r>
              <w:rPr>
                <w:rFonts w:ascii="Arial" w:hAnsi="Arial"/>
                <w:sz w:val="12"/>
                <w:szCs w:val="12"/>
              </w:rPr>
              <w:t>Viana do Bolo</w:t>
            </w:r>
          </w:p>
        </w:tc>
        <w:tc>
          <w:tcPr>
            <w:tcW w:w="2268" w:type="dxa"/>
            <w:tcBorders>
              <w:right w:val="single" w:sz="4" w:space="0" w:color="auto"/>
            </w:tcBorders>
            <w:shd w:val="clear" w:color="auto" w:fill="D9D9D9"/>
            <w:hideMark/>
          </w:tcPr>
          <w:p w14:paraId="5BA83D9B" w14:textId="77777777" w:rsidR="002A4DDF" w:rsidRPr="00937C8B" w:rsidRDefault="002A4DDF" w:rsidP="009110ED">
            <w:pPr>
              <w:rPr>
                <w:rFonts w:ascii="Arial" w:hAnsi="Arial" w:cs="Arial"/>
                <w:sz w:val="12"/>
                <w:szCs w:val="12"/>
              </w:rPr>
            </w:pPr>
            <w:r>
              <w:rPr>
                <w:rFonts w:ascii="Arial" w:hAnsi="Arial"/>
                <w:sz w:val="12"/>
                <w:szCs w:val="12"/>
              </w:rPr>
              <w:t>A Veiga</w:t>
            </w:r>
          </w:p>
        </w:tc>
      </w:tr>
      <w:tr w:rsidR="002A4DDF" w:rsidRPr="00937C8B" w14:paraId="18ABB2D9" w14:textId="77777777" w:rsidTr="00935676">
        <w:trPr>
          <w:cantSplit/>
        </w:trPr>
        <w:tc>
          <w:tcPr>
            <w:tcW w:w="1696" w:type="dxa"/>
            <w:tcBorders>
              <w:left w:val="single" w:sz="4" w:space="0" w:color="auto"/>
            </w:tcBorders>
            <w:shd w:val="clear" w:color="auto" w:fill="auto"/>
          </w:tcPr>
          <w:p w14:paraId="037A1322" w14:textId="77777777" w:rsidR="002A4DDF" w:rsidRPr="00937C8B" w:rsidRDefault="002A4DDF" w:rsidP="009110ED">
            <w:pPr>
              <w:rPr>
                <w:rFonts w:ascii="Arial" w:hAnsi="Arial" w:cs="Arial"/>
                <w:sz w:val="12"/>
                <w:szCs w:val="12"/>
              </w:rPr>
            </w:pPr>
          </w:p>
        </w:tc>
        <w:tc>
          <w:tcPr>
            <w:tcW w:w="1843" w:type="dxa"/>
            <w:shd w:val="clear" w:color="auto" w:fill="auto"/>
          </w:tcPr>
          <w:p w14:paraId="7D3CB047" w14:textId="77777777" w:rsidR="002A4DDF" w:rsidRPr="00937C8B" w:rsidRDefault="002A4DDF" w:rsidP="009110ED">
            <w:pPr>
              <w:rPr>
                <w:rFonts w:ascii="Arial" w:hAnsi="Arial" w:cs="Arial"/>
                <w:sz w:val="12"/>
                <w:szCs w:val="12"/>
              </w:rPr>
            </w:pPr>
          </w:p>
        </w:tc>
        <w:tc>
          <w:tcPr>
            <w:tcW w:w="2268" w:type="dxa"/>
            <w:shd w:val="clear" w:color="auto" w:fill="F2F2F2"/>
            <w:hideMark/>
          </w:tcPr>
          <w:p w14:paraId="1C438516" w14:textId="77777777" w:rsidR="002A4DDF" w:rsidRPr="00937C8B" w:rsidRDefault="002A4DDF" w:rsidP="009110ED">
            <w:pPr>
              <w:rPr>
                <w:rFonts w:ascii="Arial" w:hAnsi="Arial" w:cs="Arial"/>
                <w:sz w:val="12"/>
                <w:szCs w:val="12"/>
              </w:rPr>
            </w:pPr>
            <w:r>
              <w:rPr>
                <w:rFonts w:ascii="Arial" w:hAnsi="Arial"/>
                <w:sz w:val="12"/>
                <w:szCs w:val="12"/>
              </w:rPr>
              <w:t>Vilamartín de Valdeorras</w:t>
            </w:r>
          </w:p>
        </w:tc>
        <w:tc>
          <w:tcPr>
            <w:tcW w:w="2268" w:type="dxa"/>
            <w:tcBorders>
              <w:right w:val="single" w:sz="4" w:space="0" w:color="auto"/>
            </w:tcBorders>
            <w:shd w:val="clear" w:color="auto" w:fill="D9D9D9"/>
            <w:hideMark/>
          </w:tcPr>
          <w:p w14:paraId="6555690B" w14:textId="77777777" w:rsidR="002A4DDF" w:rsidRPr="00937C8B" w:rsidRDefault="002A4DDF" w:rsidP="009110ED">
            <w:pPr>
              <w:rPr>
                <w:rFonts w:ascii="Arial" w:hAnsi="Arial" w:cs="Arial"/>
                <w:sz w:val="12"/>
                <w:szCs w:val="12"/>
              </w:rPr>
            </w:pPr>
            <w:r>
              <w:rPr>
                <w:rFonts w:ascii="Arial" w:hAnsi="Arial"/>
                <w:sz w:val="12"/>
                <w:szCs w:val="12"/>
              </w:rPr>
              <w:t>Allariz</w:t>
            </w:r>
          </w:p>
        </w:tc>
      </w:tr>
      <w:tr w:rsidR="002A4DDF" w:rsidRPr="00937C8B" w14:paraId="037796A1" w14:textId="77777777" w:rsidTr="00935676">
        <w:trPr>
          <w:cantSplit/>
        </w:trPr>
        <w:tc>
          <w:tcPr>
            <w:tcW w:w="1696" w:type="dxa"/>
            <w:tcBorders>
              <w:left w:val="single" w:sz="4" w:space="0" w:color="auto"/>
            </w:tcBorders>
            <w:shd w:val="clear" w:color="auto" w:fill="auto"/>
          </w:tcPr>
          <w:p w14:paraId="0DF8FF3C" w14:textId="77777777" w:rsidR="002A4DDF" w:rsidRPr="00937C8B" w:rsidRDefault="002A4DDF" w:rsidP="009110ED">
            <w:pPr>
              <w:rPr>
                <w:rFonts w:ascii="Arial" w:hAnsi="Arial" w:cs="Arial"/>
                <w:sz w:val="12"/>
                <w:szCs w:val="12"/>
              </w:rPr>
            </w:pPr>
          </w:p>
        </w:tc>
        <w:tc>
          <w:tcPr>
            <w:tcW w:w="1843" w:type="dxa"/>
            <w:shd w:val="clear" w:color="auto" w:fill="auto"/>
          </w:tcPr>
          <w:p w14:paraId="24645074" w14:textId="77777777" w:rsidR="002A4DDF" w:rsidRPr="00937C8B" w:rsidRDefault="002A4DDF" w:rsidP="009110ED">
            <w:pPr>
              <w:rPr>
                <w:rFonts w:ascii="Arial" w:hAnsi="Arial" w:cs="Arial"/>
                <w:sz w:val="12"/>
                <w:szCs w:val="12"/>
              </w:rPr>
            </w:pPr>
          </w:p>
        </w:tc>
        <w:tc>
          <w:tcPr>
            <w:tcW w:w="2268" w:type="dxa"/>
            <w:shd w:val="clear" w:color="auto" w:fill="F2F2F2"/>
            <w:hideMark/>
          </w:tcPr>
          <w:p w14:paraId="376F39B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1054D69" w14:textId="77777777" w:rsidR="002A4DDF" w:rsidRPr="00937C8B" w:rsidRDefault="002A4DDF" w:rsidP="009110ED">
            <w:pPr>
              <w:rPr>
                <w:rFonts w:ascii="Arial" w:hAnsi="Arial" w:cs="Arial"/>
                <w:sz w:val="12"/>
                <w:szCs w:val="12"/>
              </w:rPr>
            </w:pPr>
            <w:r>
              <w:rPr>
                <w:rFonts w:ascii="Arial" w:hAnsi="Arial"/>
                <w:sz w:val="12"/>
                <w:szCs w:val="12"/>
              </w:rPr>
              <w:t>Amoeiro</w:t>
            </w:r>
          </w:p>
        </w:tc>
      </w:tr>
      <w:tr w:rsidR="002A4DDF" w:rsidRPr="00937C8B" w14:paraId="64130CC2" w14:textId="77777777" w:rsidTr="00935676">
        <w:trPr>
          <w:cantSplit/>
        </w:trPr>
        <w:tc>
          <w:tcPr>
            <w:tcW w:w="1696" w:type="dxa"/>
            <w:tcBorders>
              <w:left w:val="single" w:sz="4" w:space="0" w:color="auto"/>
            </w:tcBorders>
            <w:shd w:val="clear" w:color="auto" w:fill="auto"/>
          </w:tcPr>
          <w:p w14:paraId="1DDA5E08" w14:textId="77777777" w:rsidR="002A4DDF" w:rsidRPr="00937C8B" w:rsidRDefault="002A4DDF" w:rsidP="009110ED">
            <w:pPr>
              <w:rPr>
                <w:rFonts w:ascii="Arial" w:hAnsi="Arial" w:cs="Arial"/>
                <w:sz w:val="12"/>
                <w:szCs w:val="12"/>
              </w:rPr>
            </w:pPr>
          </w:p>
        </w:tc>
        <w:tc>
          <w:tcPr>
            <w:tcW w:w="1843" w:type="dxa"/>
            <w:shd w:val="clear" w:color="auto" w:fill="auto"/>
          </w:tcPr>
          <w:p w14:paraId="5D560D94" w14:textId="77777777" w:rsidR="002A4DDF" w:rsidRPr="00937C8B" w:rsidRDefault="002A4DDF" w:rsidP="009110ED">
            <w:pPr>
              <w:rPr>
                <w:rFonts w:ascii="Arial" w:hAnsi="Arial" w:cs="Arial"/>
                <w:sz w:val="12"/>
                <w:szCs w:val="12"/>
              </w:rPr>
            </w:pPr>
          </w:p>
        </w:tc>
        <w:tc>
          <w:tcPr>
            <w:tcW w:w="2268" w:type="dxa"/>
            <w:shd w:val="clear" w:color="auto" w:fill="F2F2F2"/>
            <w:hideMark/>
          </w:tcPr>
          <w:p w14:paraId="4953DB3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10D3E12" w14:textId="77777777" w:rsidR="002A4DDF" w:rsidRPr="00937C8B" w:rsidRDefault="002A4DDF" w:rsidP="009110ED">
            <w:pPr>
              <w:rPr>
                <w:rFonts w:ascii="Arial" w:hAnsi="Arial" w:cs="Arial"/>
                <w:sz w:val="12"/>
                <w:szCs w:val="12"/>
              </w:rPr>
            </w:pPr>
            <w:r>
              <w:rPr>
                <w:rFonts w:ascii="Arial" w:hAnsi="Arial"/>
                <w:sz w:val="12"/>
                <w:szCs w:val="12"/>
              </w:rPr>
              <w:t>Avión</w:t>
            </w:r>
          </w:p>
        </w:tc>
      </w:tr>
      <w:tr w:rsidR="002A4DDF" w:rsidRPr="00937C8B" w14:paraId="6D7B9AD2" w14:textId="77777777" w:rsidTr="00935676">
        <w:trPr>
          <w:cantSplit/>
        </w:trPr>
        <w:tc>
          <w:tcPr>
            <w:tcW w:w="1696" w:type="dxa"/>
            <w:tcBorders>
              <w:left w:val="single" w:sz="4" w:space="0" w:color="auto"/>
            </w:tcBorders>
            <w:shd w:val="clear" w:color="auto" w:fill="auto"/>
          </w:tcPr>
          <w:p w14:paraId="49DD4E9C" w14:textId="77777777" w:rsidR="002A4DDF" w:rsidRPr="00937C8B" w:rsidRDefault="002A4DDF" w:rsidP="009110ED">
            <w:pPr>
              <w:rPr>
                <w:rFonts w:ascii="Arial" w:hAnsi="Arial" w:cs="Arial"/>
                <w:sz w:val="12"/>
                <w:szCs w:val="12"/>
              </w:rPr>
            </w:pPr>
          </w:p>
        </w:tc>
        <w:tc>
          <w:tcPr>
            <w:tcW w:w="1843" w:type="dxa"/>
            <w:shd w:val="clear" w:color="auto" w:fill="auto"/>
          </w:tcPr>
          <w:p w14:paraId="4A1D923C" w14:textId="77777777" w:rsidR="002A4DDF" w:rsidRPr="00937C8B" w:rsidRDefault="002A4DDF" w:rsidP="009110ED">
            <w:pPr>
              <w:rPr>
                <w:rFonts w:ascii="Arial" w:hAnsi="Arial" w:cs="Arial"/>
                <w:sz w:val="12"/>
                <w:szCs w:val="12"/>
              </w:rPr>
            </w:pPr>
          </w:p>
        </w:tc>
        <w:tc>
          <w:tcPr>
            <w:tcW w:w="2268" w:type="dxa"/>
            <w:shd w:val="clear" w:color="auto" w:fill="F2F2F2"/>
            <w:hideMark/>
          </w:tcPr>
          <w:p w14:paraId="6B7FE04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3CC3E37" w14:textId="77777777" w:rsidR="002A4DDF" w:rsidRPr="00937C8B" w:rsidRDefault="002A4DDF" w:rsidP="009110ED">
            <w:pPr>
              <w:rPr>
                <w:rFonts w:ascii="Arial" w:hAnsi="Arial" w:cs="Arial"/>
                <w:sz w:val="12"/>
                <w:szCs w:val="12"/>
              </w:rPr>
            </w:pPr>
            <w:r>
              <w:rPr>
                <w:rFonts w:ascii="Arial" w:hAnsi="Arial"/>
                <w:sz w:val="12"/>
                <w:szCs w:val="12"/>
              </w:rPr>
              <w:t>Baltar</w:t>
            </w:r>
          </w:p>
        </w:tc>
      </w:tr>
      <w:tr w:rsidR="002A4DDF" w:rsidRPr="00937C8B" w14:paraId="4E0D74A4" w14:textId="77777777" w:rsidTr="00935676">
        <w:trPr>
          <w:cantSplit/>
        </w:trPr>
        <w:tc>
          <w:tcPr>
            <w:tcW w:w="1696" w:type="dxa"/>
            <w:tcBorders>
              <w:left w:val="single" w:sz="4" w:space="0" w:color="auto"/>
            </w:tcBorders>
            <w:shd w:val="clear" w:color="auto" w:fill="auto"/>
          </w:tcPr>
          <w:p w14:paraId="39EF5822" w14:textId="77777777" w:rsidR="002A4DDF" w:rsidRPr="00937C8B" w:rsidRDefault="002A4DDF" w:rsidP="009110ED">
            <w:pPr>
              <w:rPr>
                <w:rFonts w:ascii="Arial" w:hAnsi="Arial" w:cs="Arial"/>
                <w:sz w:val="12"/>
                <w:szCs w:val="12"/>
              </w:rPr>
            </w:pPr>
          </w:p>
        </w:tc>
        <w:tc>
          <w:tcPr>
            <w:tcW w:w="1843" w:type="dxa"/>
            <w:shd w:val="clear" w:color="auto" w:fill="auto"/>
          </w:tcPr>
          <w:p w14:paraId="2E14F548" w14:textId="77777777" w:rsidR="002A4DDF" w:rsidRPr="00937C8B" w:rsidRDefault="002A4DDF" w:rsidP="009110ED">
            <w:pPr>
              <w:rPr>
                <w:rFonts w:ascii="Arial" w:hAnsi="Arial" w:cs="Arial"/>
                <w:sz w:val="12"/>
                <w:szCs w:val="12"/>
              </w:rPr>
            </w:pPr>
          </w:p>
        </w:tc>
        <w:tc>
          <w:tcPr>
            <w:tcW w:w="2268" w:type="dxa"/>
            <w:shd w:val="clear" w:color="auto" w:fill="F2F2F2"/>
            <w:hideMark/>
          </w:tcPr>
          <w:p w14:paraId="7512985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56AD22A" w14:textId="77777777" w:rsidR="002A4DDF" w:rsidRPr="00937C8B" w:rsidRDefault="002A4DDF" w:rsidP="009110ED">
            <w:pPr>
              <w:rPr>
                <w:rFonts w:ascii="Arial" w:hAnsi="Arial" w:cs="Arial"/>
                <w:sz w:val="12"/>
                <w:szCs w:val="12"/>
              </w:rPr>
            </w:pPr>
            <w:r>
              <w:rPr>
                <w:rFonts w:ascii="Arial" w:hAnsi="Arial"/>
                <w:sz w:val="12"/>
                <w:szCs w:val="12"/>
              </w:rPr>
              <w:t>Bande</w:t>
            </w:r>
          </w:p>
        </w:tc>
      </w:tr>
      <w:tr w:rsidR="002A4DDF" w:rsidRPr="00937C8B" w14:paraId="3535EC1E" w14:textId="77777777" w:rsidTr="00935676">
        <w:trPr>
          <w:cantSplit/>
        </w:trPr>
        <w:tc>
          <w:tcPr>
            <w:tcW w:w="1696" w:type="dxa"/>
            <w:tcBorders>
              <w:left w:val="single" w:sz="4" w:space="0" w:color="auto"/>
            </w:tcBorders>
            <w:shd w:val="clear" w:color="auto" w:fill="auto"/>
          </w:tcPr>
          <w:p w14:paraId="75409A2E" w14:textId="77777777" w:rsidR="002A4DDF" w:rsidRPr="00937C8B" w:rsidRDefault="002A4DDF" w:rsidP="009110ED">
            <w:pPr>
              <w:rPr>
                <w:rFonts w:ascii="Arial" w:hAnsi="Arial" w:cs="Arial"/>
                <w:sz w:val="12"/>
                <w:szCs w:val="12"/>
              </w:rPr>
            </w:pPr>
          </w:p>
        </w:tc>
        <w:tc>
          <w:tcPr>
            <w:tcW w:w="1843" w:type="dxa"/>
            <w:shd w:val="clear" w:color="auto" w:fill="auto"/>
          </w:tcPr>
          <w:p w14:paraId="4A67D869" w14:textId="77777777" w:rsidR="002A4DDF" w:rsidRPr="00937C8B" w:rsidRDefault="002A4DDF" w:rsidP="009110ED">
            <w:pPr>
              <w:rPr>
                <w:rFonts w:ascii="Arial" w:hAnsi="Arial" w:cs="Arial"/>
                <w:sz w:val="12"/>
                <w:szCs w:val="12"/>
              </w:rPr>
            </w:pPr>
          </w:p>
        </w:tc>
        <w:tc>
          <w:tcPr>
            <w:tcW w:w="2268" w:type="dxa"/>
            <w:shd w:val="clear" w:color="auto" w:fill="F2F2F2"/>
            <w:hideMark/>
          </w:tcPr>
          <w:p w14:paraId="0CE61E2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3203248" w14:textId="77777777" w:rsidR="002A4DDF" w:rsidRPr="00937C8B" w:rsidRDefault="002A4DDF" w:rsidP="009110ED">
            <w:pPr>
              <w:rPr>
                <w:rFonts w:ascii="Arial" w:hAnsi="Arial" w:cs="Arial"/>
                <w:sz w:val="12"/>
                <w:szCs w:val="12"/>
              </w:rPr>
            </w:pPr>
            <w:r>
              <w:rPr>
                <w:rFonts w:ascii="Arial" w:hAnsi="Arial"/>
                <w:sz w:val="12"/>
                <w:szCs w:val="12"/>
              </w:rPr>
              <w:t>Baños de Molgas</w:t>
            </w:r>
          </w:p>
        </w:tc>
      </w:tr>
      <w:tr w:rsidR="002A4DDF" w:rsidRPr="00937C8B" w14:paraId="1CFAD5D7" w14:textId="77777777" w:rsidTr="00935676">
        <w:trPr>
          <w:cantSplit/>
        </w:trPr>
        <w:tc>
          <w:tcPr>
            <w:tcW w:w="1696" w:type="dxa"/>
            <w:tcBorders>
              <w:left w:val="single" w:sz="4" w:space="0" w:color="auto"/>
            </w:tcBorders>
            <w:shd w:val="clear" w:color="auto" w:fill="auto"/>
          </w:tcPr>
          <w:p w14:paraId="70B00D64" w14:textId="77777777" w:rsidR="002A4DDF" w:rsidRPr="00937C8B" w:rsidRDefault="002A4DDF" w:rsidP="009110ED">
            <w:pPr>
              <w:rPr>
                <w:rFonts w:ascii="Arial" w:hAnsi="Arial" w:cs="Arial"/>
                <w:sz w:val="12"/>
                <w:szCs w:val="12"/>
              </w:rPr>
            </w:pPr>
          </w:p>
        </w:tc>
        <w:tc>
          <w:tcPr>
            <w:tcW w:w="1843" w:type="dxa"/>
            <w:shd w:val="clear" w:color="auto" w:fill="auto"/>
          </w:tcPr>
          <w:p w14:paraId="2CFEB502" w14:textId="77777777" w:rsidR="002A4DDF" w:rsidRPr="00937C8B" w:rsidRDefault="002A4DDF" w:rsidP="009110ED">
            <w:pPr>
              <w:rPr>
                <w:rFonts w:ascii="Arial" w:hAnsi="Arial" w:cs="Arial"/>
                <w:sz w:val="12"/>
                <w:szCs w:val="12"/>
              </w:rPr>
            </w:pPr>
          </w:p>
        </w:tc>
        <w:tc>
          <w:tcPr>
            <w:tcW w:w="2268" w:type="dxa"/>
            <w:shd w:val="clear" w:color="auto" w:fill="F2F2F2"/>
            <w:hideMark/>
          </w:tcPr>
          <w:p w14:paraId="4272D4F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A61976C" w14:textId="77777777" w:rsidR="002A4DDF" w:rsidRPr="00937C8B" w:rsidRDefault="002A4DDF" w:rsidP="009110ED">
            <w:pPr>
              <w:rPr>
                <w:rFonts w:ascii="Arial" w:hAnsi="Arial" w:cs="Arial"/>
                <w:sz w:val="12"/>
                <w:szCs w:val="12"/>
              </w:rPr>
            </w:pPr>
            <w:r>
              <w:rPr>
                <w:rFonts w:ascii="Arial" w:hAnsi="Arial"/>
                <w:sz w:val="12"/>
                <w:szCs w:val="12"/>
              </w:rPr>
              <w:t>Barbadás</w:t>
            </w:r>
          </w:p>
        </w:tc>
      </w:tr>
      <w:tr w:rsidR="002A4DDF" w:rsidRPr="00937C8B" w14:paraId="0D237D61" w14:textId="77777777" w:rsidTr="00935676">
        <w:trPr>
          <w:cantSplit/>
        </w:trPr>
        <w:tc>
          <w:tcPr>
            <w:tcW w:w="1696" w:type="dxa"/>
            <w:tcBorders>
              <w:left w:val="single" w:sz="4" w:space="0" w:color="auto"/>
            </w:tcBorders>
            <w:shd w:val="clear" w:color="auto" w:fill="auto"/>
          </w:tcPr>
          <w:p w14:paraId="5DEA5725" w14:textId="77777777" w:rsidR="002A4DDF" w:rsidRPr="00937C8B" w:rsidRDefault="002A4DDF" w:rsidP="009110ED">
            <w:pPr>
              <w:rPr>
                <w:rFonts w:ascii="Arial" w:hAnsi="Arial" w:cs="Arial"/>
                <w:sz w:val="12"/>
                <w:szCs w:val="12"/>
              </w:rPr>
            </w:pPr>
          </w:p>
        </w:tc>
        <w:tc>
          <w:tcPr>
            <w:tcW w:w="1843" w:type="dxa"/>
            <w:shd w:val="clear" w:color="auto" w:fill="auto"/>
          </w:tcPr>
          <w:p w14:paraId="021E0F92" w14:textId="77777777" w:rsidR="002A4DDF" w:rsidRPr="00937C8B" w:rsidRDefault="002A4DDF" w:rsidP="009110ED">
            <w:pPr>
              <w:rPr>
                <w:rFonts w:ascii="Arial" w:hAnsi="Arial" w:cs="Arial"/>
                <w:sz w:val="12"/>
                <w:szCs w:val="12"/>
              </w:rPr>
            </w:pPr>
          </w:p>
        </w:tc>
        <w:tc>
          <w:tcPr>
            <w:tcW w:w="2268" w:type="dxa"/>
            <w:shd w:val="clear" w:color="auto" w:fill="F2F2F2"/>
            <w:hideMark/>
          </w:tcPr>
          <w:p w14:paraId="5648017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36C4F1B" w14:textId="77777777" w:rsidR="002A4DDF" w:rsidRPr="00937C8B" w:rsidRDefault="002A4DDF" w:rsidP="009110ED">
            <w:pPr>
              <w:rPr>
                <w:rFonts w:ascii="Arial" w:hAnsi="Arial" w:cs="Arial"/>
                <w:sz w:val="12"/>
                <w:szCs w:val="12"/>
              </w:rPr>
            </w:pPr>
            <w:r>
              <w:rPr>
                <w:rFonts w:ascii="Arial" w:hAnsi="Arial"/>
                <w:sz w:val="12"/>
                <w:szCs w:val="12"/>
              </w:rPr>
              <w:t>Beade</w:t>
            </w:r>
          </w:p>
        </w:tc>
      </w:tr>
      <w:tr w:rsidR="002A4DDF" w:rsidRPr="00937C8B" w14:paraId="20D70CBE" w14:textId="77777777" w:rsidTr="00935676">
        <w:trPr>
          <w:cantSplit/>
        </w:trPr>
        <w:tc>
          <w:tcPr>
            <w:tcW w:w="1696" w:type="dxa"/>
            <w:tcBorders>
              <w:left w:val="single" w:sz="4" w:space="0" w:color="auto"/>
            </w:tcBorders>
            <w:shd w:val="clear" w:color="auto" w:fill="auto"/>
          </w:tcPr>
          <w:p w14:paraId="258D990E" w14:textId="77777777" w:rsidR="002A4DDF" w:rsidRPr="00937C8B" w:rsidRDefault="002A4DDF" w:rsidP="009110ED">
            <w:pPr>
              <w:rPr>
                <w:rFonts w:ascii="Arial" w:hAnsi="Arial" w:cs="Arial"/>
                <w:sz w:val="12"/>
                <w:szCs w:val="12"/>
              </w:rPr>
            </w:pPr>
          </w:p>
        </w:tc>
        <w:tc>
          <w:tcPr>
            <w:tcW w:w="1843" w:type="dxa"/>
            <w:shd w:val="clear" w:color="auto" w:fill="auto"/>
          </w:tcPr>
          <w:p w14:paraId="44356502" w14:textId="77777777" w:rsidR="002A4DDF" w:rsidRPr="00937C8B" w:rsidRDefault="002A4DDF" w:rsidP="009110ED">
            <w:pPr>
              <w:rPr>
                <w:rFonts w:ascii="Arial" w:hAnsi="Arial" w:cs="Arial"/>
                <w:sz w:val="12"/>
                <w:szCs w:val="12"/>
              </w:rPr>
            </w:pPr>
          </w:p>
        </w:tc>
        <w:tc>
          <w:tcPr>
            <w:tcW w:w="2268" w:type="dxa"/>
            <w:shd w:val="clear" w:color="auto" w:fill="F2F2F2"/>
            <w:hideMark/>
          </w:tcPr>
          <w:p w14:paraId="4F70DD0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7DC7DE8" w14:textId="77777777" w:rsidR="002A4DDF" w:rsidRPr="00937C8B" w:rsidRDefault="002A4DDF" w:rsidP="009110ED">
            <w:pPr>
              <w:rPr>
                <w:rFonts w:ascii="Arial" w:hAnsi="Arial" w:cs="Arial"/>
                <w:sz w:val="12"/>
                <w:szCs w:val="12"/>
              </w:rPr>
            </w:pPr>
            <w:r>
              <w:rPr>
                <w:rFonts w:ascii="Arial" w:hAnsi="Arial"/>
                <w:sz w:val="12"/>
                <w:szCs w:val="12"/>
              </w:rPr>
              <w:t>Beariz</w:t>
            </w:r>
          </w:p>
        </w:tc>
      </w:tr>
      <w:tr w:rsidR="002A4DDF" w:rsidRPr="00937C8B" w14:paraId="19AFEAB1" w14:textId="77777777" w:rsidTr="00935676">
        <w:trPr>
          <w:cantSplit/>
        </w:trPr>
        <w:tc>
          <w:tcPr>
            <w:tcW w:w="1696" w:type="dxa"/>
            <w:tcBorders>
              <w:left w:val="single" w:sz="4" w:space="0" w:color="auto"/>
            </w:tcBorders>
            <w:shd w:val="clear" w:color="auto" w:fill="auto"/>
          </w:tcPr>
          <w:p w14:paraId="7510983B" w14:textId="77777777" w:rsidR="002A4DDF" w:rsidRPr="00937C8B" w:rsidRDefault="002A4DDF" w:rsidP="009110ED">
            <w:pPr>
              <w:rPr>
                <w:rFonts w:ascii="Arial" w:hAnsi="Arial" w:cs="Arial"/>
                <w:sz w:val="12"/>
                <w:szCs w:val="12"/>
              </w:rPr>
            </w:pPr>
          </w:p>
        </w:tc>
        <w:tc>
          <w:tcPr>
            <w:tcW w:w="1843" w:type="dxa"/>
            <w:shd w:val="clear" w:color="auto" w:fill="auto"/>
          </w:tcPr>
          <w:p w14:paraId="18AD0D04" w14:textId="77777777" w:rsidR="002A4DDF" w:rsidRPr="00937C8B" w:rsidRDefault="002A4DDF" w:rsidP="009110ED">
            <w:pPr>
              <w:rPr>
                <w:rFonts w:ascii="Arial" w:hAnsi="Arial" w:cs="Arial"/>
                <w:sz w:val="12"/>
                <w:szCs w:val="12"/>
              </w:rPr>
            </w:pPr>
          </w:p>
        </w:tc>
        <w:tc>
          <w:tcPr>
            <w:tcW w:w="2268" w:type="dxa"/>
            <w:shd w:val="clear" w:color="auto" w:fill="F2F2F2"/>
            <w:hideMark/>
          </w:tcPr>
          <w:p w14:paraId="41D9166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03DB0AE" w14:textId="77777777" w:rsidR="002A4DDF" w:rsidRPr="00937C8B" w:rsidRDefault="002A4DDF" w:rsidP="009110ED">
            <w:pPr>
              <w:rPr>
                <w:rFonts w:ascii="Arial" w:hAnsi="Arial" w:cs="Arial"/>
                <w:sz w:val="12"/>
                <w:szCs w:val="12"/>
              </w:rPr>
            </w:pPr>
            <w:r>
              <w:rPr>
                <w:rFonts w:ascii="Arial" w:hAnsi="Arial"/>
                <w:sz w:val="12"/>
                <w:szCs w:val="12"/>
              </w:rPr>
              <w:t>Boborás</w:t>
            </w:r>
          </w:p>
        </w:tc>
      </w:tr>
      <w:tr w:rsidR="002A4DDF" w:rsidRPr="00937C8B" w14:paraId="501076C1" w14:textId="77777777" w:rsidTr="00935676">
        <w:trPr>
          <w:cantSplit/>
        </w:trPr>
        <w:tc>
          <w:tcPr>
            <w:tcW w:w="1696" w:type="dxa"/>
            <w:tcBorders>
              <w:left w:val="single" w:sz="4" w:space="0" w:color="auto"/>
            </w:tcBorders>
            <w:shd w:val="clear" w:color="auto" w:fill="auto"/>
          </w:tcPr>
          <w:p w14:paraId="0CCB35DC" w14:textId="77777777" w:rsidR="002A4DDF" w:rsidRPr="00937C8B" w:rsidRDefault="002A4DDF" w:rsidP="009110ED">
            <w:pPr>
              <w:rPr>
                <w:rFonts w:ascii="Arial" w:hAnsi="Arial" w:cs="Arial"/>
                <w:sz w:val="12"/>
                <w:szCs w:val="12"/>
              </w:rPr>
            </w:pPr>
          </w:p>
        </w:tc>
        <w:tc>
          <w:tcPr>
            <w:tcW w:w="1843" w:type="dxa"/>
            <w:shd w:val="clear" w:color="auto" w:fill="auto"/>
          </w:tcPr>
          <w:p w14:paraId="6ADDFD2E" w14:textId="77777777" w:rsidR="002A4DDF" w:rsidRPr="00937C8B" w:rsidRDefault="002A4DDF" w:rsidP="009110ED">
            <w:pPr>
              <w:rPr>
                <w:rFonts w:ascii="Arial" w:hAnsi="Arial" w:cs="Arial"/>
                <w:sz w:val="12"/>
                <w:szCs w:val="12"/>
              </w:rPr>
            </w:pPr>
          </w:p>
        </w:tc>
        <w:tc>
          <w:tcPr>
            <w:tcW w:w="2268" w:type="dxa"/>
            <w:shd w:val="clear" w:color="auto" w:fill="F2F2F2"/>
            <w:hideMark/>
          </w:tcPr>
          <w:p w14:paraId="6146B9C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1511E9E" w14:textId="77777777" w:rsidR="002A4DDF" w:rsidRPr="00937C8B" w:rsidRDefault="002A4DDF" w:rsidP="009110ED">
            <w:pPr>
              <w:rPr>
                <w:rFonts w:ascii="Arial" w:hAnsi="Arial" w:cs="Arial"/>
                <w:sz w:val="12"/>
                <w:szCs w:val="12"/>
              </w:rPr>
            </w:pPr>
            <w:r>
              <w:rPr>
                <w:rFonts w:ascii="Arial" w:hAnsi="Arial"/>
                <w:sz w:val="12"/>
                <w:szCs w:val="12"/>
              </w:rPr>
              <w:t>Calvos de Randín</w:t>
            </w:r>
          </w:p>
        </w:tc>
      </w:tr>
      <w:tr w:rsidR="002A4DDF" w:rsidRPr="00937C8B" w14:paraId="413CC255" w14:textId="77777777" w:rsidTr="00935676">
        <w:trPr>
          <w:cantSplit/>
        </w:trPr>
        <w:tc>
          <w:tcPr>
            <w:tcW w:w="1696" w:type="dxa"/>
            <w:tcBorders>
              <w:left w:val="single" w:sz="4" w:space="0" w:color="auto"/>
            </w:tcBorders>
            <w:shd w:val="clear" w:color="auto" w:fill="auto"/>
          </w:tcPr>
          <w:p w14:paraId="22A89E8F" w14:textId="77777777" w:rsidR="002A4DDF" w:rsidRPr="00937C8B" w:rsidRDefault="002A4DDF" w:rsidP="009110ED">
            <w:pPr>
              <w:rPr>
                <w:rFonts w:ascii="Arial" w:hAnsi="Arial" w:cs="Arial"/>
                <w:sz w:val="12"/>
                <w:szCs w:val="12"/>
              </w:rPr>
            </w:pPr>
          </w:p>
        </w:tc>
        <w:tc>
          <w:tcPr>
            <w:tcW w:w="1843" w:type="dxa"/>
            <w:shd w:val="clear" w:color="auto" w:fill="auto"/>
          </w:tcPr>
          <w:p w14:paraId="39D7A2A0" w14:textId="77777777" w:rsidR="002A4DDF" w:rsidRPr="00937C8B" w:rsidRDefault="002A4DDF" w:rsidP="009110ED">
            <w:pPr>
              <w:rPr>
                <w:rFonts w:ascii="Arial" w:hAnsi="Arial" w:cs="Arial"/>
                <w:sz w:val="12"/>
                <w:szCs w:val="12"/>
              </w:rPr>
            </w:pPr>
          </w:p>
        </w:tc>
        <w:tc>
          <w:tcPr>
            <w:tcW w:w="2268" w:type="dxa"/>
            <w:shd w:val="clear" w:color="auto" w:fill="F2F2F2"/>
            <w:hideMark/>
          </w:tcPr>
          <w:p w14:paraId="2086A35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83480C4" w14:textId="77777777" w:rsidR="002A4DDF" w:rsidRPr="00937C8B" w:rsidRDefault="002A4DDF" w:rsidP="009110ED">
            <w:pPr>
              <w:rPr>
                <w:rFonts w:ascii="Arial" w:hAnsi="Arial" w:cs="Arial"/>
                <w:sz w:val="12"/>
                <w:szCs w:val="12"/>
              </w:rPr>
            </w:pPr>
            <w:r>
              <w:rPr>
                <w:rFonts w:ascii="Arial" w:hAnsi="Arial"/>
                <w:sz w:val="12"/>
                <w:szCs w:val="12"/>
              </w:rPr>
              <w:t>Carballeda de Avia</w:t>
            </w:r>
          </w:p>
        </w:tc>
      </w:tr>
      <w:tr w:rsidR="002A4DDF" w:rsidRPr="00937C8B" w14:paraId="7C79C095" w14:textId="77777777" w:rsidTr="00935676">
        <w:trPr>
          <w:cantSplit/>
        </w:trPr>
        <w:tc>
          <w:tcPr>
            <w:tcW w:w="1696" w:type="dxa"/>
            <w:tcBorders>
              <w:left w:val="single" w:sz="4" w:space="0" w:color="auto"/>
            </w:tcBorders>
            <w:shd w:val="clear" w:color="auto" w:fill="auto"/>
          </w:tcPr>
          <w:p w14:paraId="52F81CA1" w14:textId="77777777" w:rsidR="002A4DDF" w:rsidRPr="00937C8B" w:rsidRDefault="002A4DDF" w:rsidP="009110ED">
            <w:pPr>
              <w:rPr>
                <w:rFonts w:ascii="Arial" w:hAnsi="Arial" w:cs="Arial"/>
                <w:sz w:val="12"/>
                <w:szCs w:val="12"/>
              </w:rPr>
            </w:pPr>
          </w:p>
        </w:tc>
        <w:tc>
          <w:tcPr>
            <w:tcW w:w="1843" w:type="dxa"/>
            <w:shd w:val="clear" w:color="auto" w:fill="auto"/>
          </w:tcPr>
          <w:p w14:paraId="136F3FF5" w14:textId="77777777" w:rsidR="002A4DDF" w:rsidRPr="00937C8B" w:rsidRDefault="002A4DDF" w:rsidP="009110ED">
            <w:pPr>
              <w:rPr>
                <w:rFonts w:ascii="Arial" w:hAnsi="Arial" w:cs="Arial"/>
                <w:sz w:val="12"/>
                <w:szCs w:val="12"/>
              </w:rPr>
            </w:pPr>
          </w:p>
        </w:tc>
        <w:tc>
          <w:tcPr>
            <w:tcW w:w="2268" w:type="dxa"/>
            <w:shd w:val="clear" w:color="auto" w:fill="F2F2F2"/>
            <w:hideMark/>
          </w:tcPr>
          <w:p w14:paraId="2DF549F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6231F6F" w14:textId="77777777" w:rsidR="002A4DDF" w:rsidRPr="00937C8B" w:rsidRDefault="002A4DDF" w:rsidP="009110ED">
            <w:pPr>
              <w:rPr>
                <w:rFonts w:ascii="Arial" w:hAnsi="Arial" w:cs="Arial"/>
                <w:sz w:val="12"/>
                <w:szCs w:val="12"/>
              </w:rPr>
            </w:pPr>
            <w:r>
              <w:rPr>
                <w:rFonts w:ascii="Arial" w:hAnsi="Arial"/>
                <w:sz w:val="12"/>
                <w:szCs w:val="12"/>
              </w:rPr>
              <w:t>Carballeda de Valdeorras</w:t>
            </w:r>
          </w:p>
        </w:tc>
      </w:tr>
      <w:tr w:rsidR="002A4DDF" w:rsidRPr="00937C8B" w14:paraId="7DE40E4F" w14:textId="77777777" w:rsidTr="00935676">
        <w:trPr>
          <w:cantSplit/>
        </w:trPr>
        <w:tc>
          <w:tcPr>
            <w:tcW w:w="1696" w:type="dxa"/>
            <w:tcBorders>
              <w:left w:val="single" w:sz="4" w:space="0" w:color="auto"/>
            </w:tcBorders>
            <w:shd w:val="clear" w:color="auto" w:fill="auto"/>
          </w:tcPr>
          <w:p w14:paraId="65DE1D78" w14:textId="77777777" w:rsidR="002A4DDF" w:rsidRPr="00937C8B" w:rsidRDefault="002A4DDF" w:rsidP="009110ED">
            <w:pPr>
              <w:rPr>
                <w:rFonts w:ascii="Arial" w:hAnsi="Arial" w:cs="Arial"/>
                <w:sz w:val="12"/>
                <w:szCs w:val="12"/>
              </w:rPr>
            </w:pPr>
          </w:p>
        </w:tc>
        <w:tc>
          <w:tcPr>
            <w:tcW w:w="1843" w:type="dxa"/>
            <w:shd w:val="clear" w:color="auto" w:fill="auto"/>
          </w:tcPr>
          <w:p w14:paraId="151D82DA" w14:textId="77777777" w:rsidR="002A4DDF" w:rsidRPr="00937C8B" w:rsidRDefault="002A4DDF" w:rsidP="009110ED">
            <w:pPr>
              <w:rPr>
                <w:rFonts w:ascii="Arial" w:hAnsi="Arial" w:cs="Arial"/>
                <w:sz w:val="12"/>
                <w:szCs w:val="12"/>
              </w:rPr>
            </w:pPr>
          </w:p>
        </w:tc>
        <w:tc>
          <w:tcPr>
            <w:tcW w:w="2268" w:type="dxa"/>
            <w:shd w:val="clear" w:color="auto" w:fill="F2F2F2"/>
            <w:hideMark/>
          </w:tcPr>
          <w:p w14:paraId="28319B2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219ABE4" w14:textId="77777777" w:rsidR="002A4DDF" w:rsidRPr="00937C8B" w:rsidRDefault="002A4DDF" w:rsidP="009110ED">
            <w:pPr>
              <w:rPr>
                <w:rFonts w:ascii="Arial" w:hAnsi="Arial" w:cs="Arial"/>
                <w:sz w:val="12"/>
                <w:szCs w:val="12"/>
              </w:rPr>
            </w:pPr>
            <w:r>
              <w:rPr>
                <w:rFonts w:ascii="Arial" w:hAnsi="Arial"/>
                <w:sz w:val="12"/>
                <w:szCs w:val="12"/>
              </w:rPr>
              <w:t>Cartelle</w:t>
            </w:r>
          </w:p>
        </w:tc>
      </w:tr>
      <w:tr w:rsidR="002A4DDF" w:rsidRPr="00937C8B" w14:paraId="0670622F" w14:textId="77777777" w:rsidTr="00935676">
        <w:trPr>
          <w:cantSplit/>
        </w:trPr>
        <w:tc>
          <w:tcPr>
            <w:tcW w:w="1696" w:type="dxa"/>
            <w:tcBorders>
              <w:left w:val="single" w:sz="4" w:space="0" w:color="auto"/>
            </w:tcBorders>
            <w:shd w:val="clear" w:color="auto" w:fill="auto"/>
          </w:tcPr>
          <w:p w14:paraId="3105EDA7" w14:textId="77777777" w:rsidR="002A4DDF" w:rsidRPr="00937C8B" w:rsidRDefault="002A4DDF" w:rsidP="009110ED">
            <w:pPr>
              <w:rPr>
                <w:rFonts w:ascii="Arial" w:hAnsi="Arial" w:cs="Arial"/>
                <w:sz w:val="12"/>
                <w:szCs w:val="12"/>
              </w:rPr>
            </w:pPr>
          </w:p>
        </w:tc>
        <w:tc>
          <w:tcPr>
            <w:tcW w:w="1843" w:type="dxa"/>
            <w:shd w:val="clear" w:color="auto" w:fill="auto"/>
          </w:tcPr>
          <w:p w14:paraId="4B7AEA5F" w14:textId="77777777" w:rsidR="002A4DDF" w:rsidRPr="00937C8B" w:rsidRDefault="002A4DDF" w:rsidP="009110ED">
            <w:pPr>
              <w:rPr>
                <w:rFonts w:ascii="Arial" w:hAnsi="Arial" w:cs="Arial"/>
                <w:sz w:val="12"/>
                <w:szCs w:val="12"/>
              </w:rPr>
            </w:pPr>
          </w:p>
        </w:tc>
        <w:tc>
          <w:tcPr>
            <w:tcW w:w="2268" w:type="dxa"/>
            <w:shd w:val="clear" w:color="auto" w:fill="F2F2F2"/>
            <w:hideMark/>
          </w:tcPr>
          <w:p w14:paraId="457E1C0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205E009" w14:textId="77777777" w:rsidR="002A4DDF" w:rsidRPr="00937C8B" w:rsidRDefault="002A4DDF" w:rsidP="009110ED">
            <w:pPr>
              <w:rPr>
                <w:rFonts w:ascii="Arial" w:hAnsi="Arial" w:cs="Arial"/>
                <w:sz w:val="12"/>
                <w:szCs w:val="12"/>
              </w:rPr>
            </w:pPr>
            <w:r>
              <w:rPr>
                <w:rFonts w:ascii="Arial" w:hAnsi="Arial"/>
                <w:sz w:val="12"/>
                <w:szCs w:val="12"/>
              </w:rPr>
              <w:t>Castrelo de Miño</w:t>
            </w:r>
          </w:p>
        </w:tc>
      </w:tr>
      <w:tr w:rsidR="002A4DDF" w:rsidRPr="00937C8B" w14:paraId="6BCC0C05" w14:textId="77777777" w:rsidTr="00935676">
        <w:trPr>
          <w:cantSplit/>
        </w:trPr>
        <w:tc>
          <w:tcPr>
            <w:tcW w:w="1696" w:type="dxa"/>
            <w:tcBorders>
              <w:left w:val="single" w:sz="4" w:space="0" w:color="auto"/>
            </w:tcBorders>
            <w:shd w:val="clear" w:color="auto" w:fill="auto"/>
          </w:tcPr>
          <w:p w14:paraId="20735F4C" w14:textId="77777777" w:rsidR="002A4DDF" w:rsidRPr="00937C8B" w:rsidRDefault="002A4DDF" w:rsidP="009110ED">
            <w:pPr>
              <w:rPr>
                <w:rFonts w:ascii="Arial" w:hAnsi="Arial" w:cs="Arial"/>
                <w:sz w:val="12"/>
                <w:szCs w:val="12"/>
              </w:rPr>
            </w:pPr>
          </w:p>
        </w:tc>
        <w:tc>
          <w:tcPr>
            <w:tcW w:w="1843" w:type="dxa"/>
            <w:shd w:val="clear" w:color="auto" w:fill="auto"/>
          </w:tcPr>
          <w:p w14:paraId="051B9F42" w14:textId="77777777" w:rsidR="002A4DDF" w:rsidRPr="00937C8B" w:rsidRDefault="002A4DDF" w:rsidP="009110ED">
            <w:pPr>
              <w:rPr>
                <w:rFonts w:ascii="Arial" w:hAnsi="Arial" w:cs="Arial"/>
                <w:sz w:val="12"/>
                <w:szCs w:val="12"/>
              </w:rPr>
            </w:pPr>
          </w:p>
        </w:tc>
        <w:tc>
          <w:tcPr>
            <w:tcW w:w="2268" w:type="dxa"/>
            <w:shd w:val="clear" w:color="auto" w:fill="F2F2F2"/>
            <w:hideMark/>
          </w:tcPr>
          <w:p w14:paraId="0FB966B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6A7509A" w14:textId="77777777" w:rsidR="002A4DDF" w:rsidRPr="00937C8B" w:rsidRDefault="002A4DDF" w:rsidP="009110ED">
            <w:pPr>
              <w:rPr>
                <w:rFonts w:ascii="Arial" w:hAnsi="Arial" w:cs="Arial"/>
                <w:sz w:val="12"/>
                <w:szCs w:val="12"/>
              </w:rPr>
            </w:pPr>
            <w:r>
              <w:rPr>
                <w:rFonts w:ascii="Arial" w:hAnsi="Arial"/>
                <w:sz w:val="12"/>
                <w:szCs w:val="12"/>
              </w:rPr>
              <w:t>Castro Caldelas</w:t>
            </w:r>
          </w:p>
        </w:tc>
      </w:tr>
      <w:tr w:rsidR="002A4DDF" w:rsidRPr="00937C8B" w14:paraId="3B192C50" w14:textId="77777777" w:rsidTr="00935676">
        <w:trPr>
          <w:cantSplit/>
        </w:trPr>
        <w:tc>
          <w:tcPr>
            <w:tcW w:w="1696" w:type="dxa"/>
            <w:tcBorders>
              <w:left w:val="single" w:sz="4" w:space="0" w:color="auto"/>
            </w:tcBorders>
            <w:shd w:val="clear" w:color="auto" w:fill="auto"/>
          </w:tcPr>
          <w:p w14:paraId="0DF6011F" w14:textId="77777777" w:rsidR="002A4DDF" w:rsidRPr="00937C8B" w:rsidRDefault="002A4DDF" w:rsidP="009110ED">
            <w:pPr>
              <w:rPr>
                <w:rFonts w:ascii="Arial" w:hAnsi="Arial" w:cs="Arial"/>
                <w:sz w:val="12"/>
                <w:szCs w:val="12"/>
              </w:rPr>
            </w:pPr>
          </w:p>
        </w:tc>
        <w:tc>
          <w:tcPr>
            <w:tcW w:w="1843" w:type="dxa"/>
            <w:shd w:val="clear" w:color="auto" w:fill="auto"/>
          </w:tcPr>
          <w:p w14:paraId="3195CBEB" w14:textId="77777777" w:rsidR="002A4DDF" w:rsidRPr="00937C8B" w:rsidRDefault="002A4DDF" w:rsidP="009110ED">
            <w:pPr>
              <w:rPr>
                <w:rFonts w:ascii="Arial" w:hAnsi="Arial" w:cs="Arial"/>
                <w:sz w:val="12"/>
                <w:szCs w:val="12"/>
              </w:rPr>
            </w:pPr>
          </w:p>
        </w:tc>
        <w:tc>
          <w:tcPr>
            <w:tcW w:w="2268" w:type="dxa"/>
            <w:shd w:val="clear" w:color="auto" w:fill="F2F2F2"/>
            <w:hideMark/>
          </w:tcPr>
          <w:p w14:paraId="5ABCBF0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5FA36E8" w14:textId="77777777" w:rsidR="002A4DDF" w:rsidRPr="00937C8B" w:rsidRDefault="002A4DDF" w:rsidP="009110ED">
            <w:pPr>
              <w:rPr>
                <w:rFonts w:ascii="Arial" w:hAnsi="Arial" w:cs="Arial"/>
                <w:sz w:val="12"/>
                <w:szCs w:val="12"/>
              </w:rPr>
            </w:pPr>
            <w:r>
              <w:rPr>
                <w:rFonts w:ascii="Arial" w:hAnsi="Arial"/>
                <w:sz w:val="12"/>
                <w:szCs w:val="12"/>
              </w:rPr>
              <w:t>Celanova</w:t>
            </w:r>
          </w:p>
        </w:tc>
      </w:tr>
      <w:tr w:rsidR="002A4DDF" w:rsidRPr="00937C8B" w14:paraId="2BAB1C64" w14:textId="77777777" w:rsidTr="00935676">
        <w:trPr>
          <w:cantSplit/>
        </w:trPr>
        <w:tc>
          <w:tcPr>
            <w:tcW w:w="1696" w:type="dxa"/>
            <w:tcBorders>
              <w:left w:val="single" w:sz="4" w:space="0" w:color="auto"/>
            </w:tcBorders>
            <w:shd w:val="clear" w:color="auto" w:fill="auto"/>
          </w:tcPr>
          <w:p w14:paraId="4FC5BE38" w14:textId="77777777" w:rsidR="002A4DDF" w:rsidRPr="00937C8B" w:rsidRDefault="002A4DDF" w:rsidP="009110ED">
            <w:pPr>
              <w:rPr>
                <w:rFonts w:ascii="Arial" w:hAnsi="Arial" w:cs="Arial"/>
                <w:sz w:val="12"/>
                <w:szCs w:val="12"/>
              </w:rPr>
            </w:pPr>
          </w:p>
        </w:tc>
        <w:tc>
          <w:tcPr>
            <w:tcW w:w="1843" w:type="dxa"/>
            <w:shd w:val="clear" w:color="auto" w:fill="auto"/>
          </w:tcPr>
          <w:p w14:paraId="701F5D48" w14:textId="77777777" w:rsidR="002A4DDF" w:rsidRPr="00937C8B" w:rsidRDefault="002A4DDF" w:rsidP="009110ED">
            <w:pPr>
              <w:rPr>
                <w:rFonts w:ascii="Arial" w:hAnsi="Arial" w:cs="Arial"/>
                <w:sz w:val="12"/>
                <w:szCs w:val="12"/>
              </w:rPr>
            </w:pPr>
          </w:p>
        </w:tc>
        <w:tc>
          <w:tcPr>
            <w:tcW w:w="2268" w:type="dxa"/>
            <w:shd w:val="clear" w:color="auto" w:fill="F2F2F2"/>
            <w:hideMark/>
          </w:tcPr>
          <w:p w14:paraId="7E4A856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BED5A3A" w14:textId="77777777" w:rsidR="002A4DDF" w:rsidRPr="00937C8B" w:rsidRDefault="002A4DDF" w:rsidP="009110ED">
            <w:pPr>
              <w:rPr>
                <w:rFonts w:ascii="Arial" w:hAnsi="Arial" w:cs="Arial"/>
                <w:sz w:val="12"/>
                <w:szCs w:val="12"/>
              </w:rPr>
            </w:pPr>
            <w:r>
              <w:rPr>
                <w:rFonts w:ascii="Arial" w:hAnsi="Arial"/>
                <w:sz w:val="12"/>
                <w:szCs w:val="12"/>
              </w:rPr>
              <w:t>Cenlle</w:t>
            </w:r>
          </w:p>
        </w:tc>
      </w:tr>
      <w:tr w:rsidR="002A4DDF" w:rsidRPr="00937C8B" w14:paraId="5D9F0751" w14:textId="77777777" w:rsidTr="00935676">
        <w:trPr>
          <w:cantSplit/>
        </w:trPr>
        <w:tc>
          <w:tcPr>
            <w:tcW w:w="1696" w:type="dxa"/>
            <w:tcBorders>
              <w:left w:val="single" w:sz="4" w:space="0" w:color="auto"/>
            </w:tcBorders>
            <w:shd w:val="clear" w:color="auto" w:fill="auto"/>
          </w:tcPr>
          <w:p w14:paraId="5E6D0071" w14:textId="77777777" w:rsidR="002A4DDF" w:rsidRPr="00937C8B" w:rsidRDefault="002A4DDF" w:rsidP="009110ED">
            <w:pPr>
              <w:rPr>
                <w:rFonts w:ascii="Arial" w:hAnsi="Arial" w:cs="Arial"/>
                <w:sz w:val="12"/>
                <w:szCs w:val="12"/>
              </w:rPr>
            </w:pPr>
          </w:p>
        </w:tc>
        <w:tc>
          <w:tcPr>
            <w:tcW w:w="1843" w:type="dxa"/>
            <w:shd w:val="clear" w:color="auto" w:fill="auto"/>
          </w:tcPr>
          <w:p w14:paraId="16B6E045" w14:textId="77777777" w:rsidR="002A4DDF" w:rsidRPr="00937C8B" w:rsidRDefault="002A4DDF" w:rsidP="009110ED">
            <w:pPr>
              <w:rPr>
                <w:rFonts w:ascii="Arial" w:hAnsi="Arial" w:cs="Arial"/>
                <w:sz w:val="12"/>
                <w:szCs w:val="12"/>
              </w:rPr>
            </w:pPr>
          </w:p>
        </w:tc>
        <w:tc>
          <w:tcPr>
            <w:tcW w:w="2268" w:type="dxa"/>
            <w:shd w:val="clear" w:color="auto" w:fill="F2F2F2"/>
            <w:hideMark/>
          </w:tcPr>
          <w:p w14:paraId="00C67C2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995A9C6" w14:textId="77777777" w:rsidR="002A4DDF" w:rsidRPr="00937C8B" w:rsidRDefault="002A4DDF" w:rsidP="009110ED">
            <w:pPr>
              <w:rPr>
                <w:rFonts w:ascii="Arial" w:hAnsi="Arial" w:cs="Arial"/>
                <w:sz w:val="12"/>
                <w:szCs w:val="12"/>
              </w:rPr>
            </w:pPr>
            <w:r>
              <w:rPr>
                <w:rFonts w:ascii="Arial" w:hAnsi="Arial"/>
                <w:sz w:val="12"/>
                <w:szCs w:val="12"/>
              </w:rPr>
              <w:t>Chandrexa de Queixa</w:t>
            </w:r>
          </w:p>
        </w:tc>
      </w:tr>
      <w:tr w:rsidR="002A4DDF" w:rsidRPr="00937C8B" w14:paraId="0B1C4433" w14:textId="77777777" w:rsidTr="00935676">
        <w:trPr>
          <w:cantSplit/>
        </w:trPr>
        <w:tc>
          <w:tcPr>
            <w:tcW w:w="1696" w:type="dxa"/>
            <w:tcBorders>
              <w:left w:val="single" w:sz="4" w:space="0" w:color="auto"/>
            </w:tcBorders>
            <w:shd w:val="clear" w:color="auto" w:fill="auto"/>
          </w:tcPr>
          <w:p w14:paraId="38E8936E" w14:textId="77777777" w:rsidR="002A4DDF" w:rsidRPr="00937C8B" w:rsidRDefault="002A4DDF" w:rsidP="009110ED">
            <w:pPr>
              <w:rPr>
                <w:rFonts w:ascii="Arial" w:hAnsi="Arial" w:cs="Arial"/>
                <w:sz w:val="12"/>
                <w:szCs w:val="12"/>
              </w:rPr>
            </w:pPr>
          </w:p>
        </w:tc>
        <w:tc>
          <w:tcPr>
            <w:tcW w:w="1843" w:type="dxa"/>
            <w:shd w:val="clear" w:color="auto" w:fill="auto"/>
          </w:tcPr>
          <w:p w14:paraId="4D6CB71B" w14:textId="77777777" w:rsidR="002A4DDF" w:rsidRPr="00937C8B" w:rsidRDefault="002A4DDF" w:rsidP="009110ED">
            <w:pPr>
              <w:rPr>
                <w:rFonts w:ascii="Arial" w:hAnsi="Arial" w:cs="Arial"/>
                <w:sz w:val="12"/>
                <w:szCs w:val="12"/>
              </w:rPr>
            </w:pPr>
          </w:p>
        </w:tc>
        <w:tc>
          <w:tcPr>
            <w:tcW w:w="2268" w:type="dxa"/>
            <w:shd w:val="clear" w:color="auto" w:fill="F2F2F2"/>
            <w:hideMark/>
          </w:tcPr>
          <w:p w14:paraId="5EB95FF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8A3B325" w14:textId="77777777" w:rsidR="002A4DDF" w:rsidRPr="00937C8B" w:rsidRDefault="002A4DDF" w:rsidP="009110ED">
            <w:pPr>
              <w:rPr>
                <w:rFonts w:ascii="Arial" w:hAnsi="Arial" w:cs="Arial"/>
                <w:sz w:val="12"/>
                <w:szCs w:val="12"/>
              </w:rPr>
            </w:pPr>
            <w:r>
              <w:rPr>
                <w:rFonts w:ascii="Arial" w:hAnsi="Arial"/>
                <w:sz w:val="12"/>
                <w:szCs w:val="12"/>
              </w:rPr>
              <w:t>Coles</w:t>
            </w:r>
          </w:p>
        </w:tc>
      </w:tr>
      <w:tr w:rsidR="002A4DDF" w:rsidRPr="00937C8B" w14:paraId="196B40B8" w14:textId="77777777" w:rsidTr="00935676">
        <w:trPr>
          <w:cantSplit/>
        </w:trPr>
        <w:tc>
          <w:tcPr>
            <w:tcW w:w="1696" w:type="dxa"/>
            <w:tcBorders>
              <w:left w:val="single" w:sz="4" w:space="0" w:color="auto"/>
            </w:tcBorders>
            <w:shd w:val="clear" w:color="auto" w:fill="auto"/>
          </w:tcPr>
          <w:p w14:paraId="5670FD04" w14:textId="77777777" w:rsidR="002A4DDF" w:rsidRPr="00937C8B" w:rsidRDefault="002A4DDF" w:rsidP="009110ED">
            <w:pPr>
              <w:rPr>
                <w:rFonts w:ascii="Arial" w:hAnsi="Arial" w:cs="Arial"/>
                <w:sz w:val="12"/>
                <w:szCs w:val="12"/>
              </w:rPr>
            </w:pPr>
          </w:p>
        </w:tc>
        <w:tc>
          <w:tcPr>
            <w:tcW w:w="1843" w:type="dxa"/>
            <w:shd w:val="clear" w:color="auto" w:fill="auto"/>
          </w:tcPr>
          <w:p w14:paraId="47A76DE6" w14:textId="77777777" w:rsidR="002A4DDF" w:rsidRPr="00937C8B" w:rsidRDefault="002A4DDF" w:rsidP="009110ED">
            <w:pPr>
              <w:rPr>
                <w:rFonts w:ascii="Arial" w:hAnsi="Arial" w:cs="Arial"/>
                <w:sz w:val="12"/>
                <w:szCs w:val="12"/>
              </w:rPr>
            </w:pPr>
          </w:p>
        </w:tc>
        <w:tc>
          <w:tcPr>
            <w:tcW w:w="2268" w:type="dxa"/>
            <w:shd w:val="clear" w:color="auto" w:fill="F2F2F2"/>
            <w:hideMark/>
          </w:tcPr>
          <w:p w14:paraId="7D2FFC8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4F79711" w14:textId="77777777" w:rsidR="002A4DDF" w:rsidRPr="00937C8B" w:rsidRDefault="002A4DDF" w:rsidP="009110ED">
            <w:pPr>
              <w:rPr>
                <w:rFonts w:ascii="Arial" w:hAnsi="Arial" w:cs="Arial"/>
                <w:sz w:val="12"/>
                <w:szCs w:val="12"/>
              </w:rPr>
            </w:pPr>
            <w:r>
              <w:rPr>
                <w:rFonts w:ascii="Arial" w:hAnsi="Arial"/>
                <w:sz w:val="12"/>
                <w:szCs w:val="12"/>
              </w:rPr>
              <w:t>Cortegada</w:t>
            </w:r>
          </w:p>
        </w:tc>
      </w:tr>
      <w:tr w:rsidR="002A4DDF" w:rsidRPr="00937C8B" w14:paraId="3C850A15" w14:textId="77777777" w:rsidTr="00935676">
        <w:trPr>
          <w:cantSplit/>
        </w:trPr>
        <w:tc>
          <w:tcPr>
            <w:tcW w:w="1696" w:type="dxa"/>
            <w:tcBorders>
              <w:left w:val="single" w:sz="4" w:space="0" w:color="auto"/>
            </w:tcBorders>
            <w:shd w:val="clear" w:color="auto" w:fill="auto"/>
          </w:tcPr>
          <w:p w14:paraId="429E88A4" w14:textId="77777777" w:rsidR="002A4DDF" w:rsidRPr="00937C8B" w:rsidRDefault="002A4DDF" w:rsidP="009110ED">
            <w:pPr>
              <w:rPr>
                <w:rFonts w:ascii="Arial" w:hAnsi="Arial" w:cs="Arial"/>
                <w:sz w:val="12"/>
                <w:szCs w:val="12"/>
              </w:rPr>
            </w:pPr>
          </w:p>
        </w:tc>
        <w:tc>
          <w:tcPr>
            <w:tcW w:w="1843" w:type="dxa"/>
            <w:shd w:val="clear" w:color="auto" w:fill="auto"/>
          </w:tcPr>
          <w:p w14:paraId="56ECE573" w14:textId="77777777" w:rsidR="002A4DDF" w:rsidRPr="00937C8B" w:rsidRDefault="002A4DDF" w:rsidP="009110ED">
            <w:pPr>
              <w:rPr>
                <w:rFonts w:ascii="Arial" w:hAnsi="Arial" w:cs="Arial"/>
                <w:sz w:val="12"/>
                <w:szCs w:val="12"/>
              </w:rPr>
            </w:pPr>
          </w:p>
        </w:tc>
        <w:tc>
          <w:tcPr>
            <w:tcW w:w="2268" w:type="dxa"/>
            <w:shd w:val="clear" w:color="auto" w:fill="F2F2F2"/>
            <w:hideMark/>
          </w:tcPr>
          <w:p w14:paraId="592B5FD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009A17C" w14:textId="77777777" w:rsidR="002A4DDF" w:rsidRPr="00937C8B" w:rsidRDefault="002A4DDF" w:rsidP="009110ED">
            <w:pPr>
              <w:rPr>
                <w:rFonts w:ascii="Arial" w:hAnsi="Arial" w:cs="Arial"/>
                <w:sz w:val="12"/>
                <w:szCs w:val="12"/>
              </w:rPr>
            </w:pPr>
            <w:r>
              <w:rPr>
                <w:rFonts w:ascii="Arial" w:hAnsi="Arial"/>
                <w:sz w:val="12"/>
                <w:szCs w:val="12"/>
              </w:rPr>
              <w:t>Cualedro</w:t>
            </w:r>
          </w:p>
        </w:tc>
      </w:tr>
      <w:tr w:rsidR="002A4DDF" w:rsidRPr="00937C8B" w14:paraId="7F2C2344" w14:textId="77777777" w:rsidTr="00935676">
        <w:trPr>
          <w:cantSplit/>
        </w:trPr>
        <w:tc>
          <w:tcPr>
            <w:tcW w:w="1696" w:type="dxa"/>
            <w:tcBorders>
              <w:left w:val="single" w:sz="4" w:space="0" w:color="auto"/>
            </w:tcBorders>
            <w:shd w:val="clear" w:color="auto" w:fill="auto"/>
          </w:tcPr>
          <w:p w14:paraId="56E0A12B" w14:textId="77777777" w:rsidR="002A4DDF" w:rsidRPr="00937C8B" w:rsidRDefault="002A4DDF" w:rsidP="009110ED">
            <w:pPr>
              <w:rPr>
                <w:rFonts w:ascii="Arial" w:hAnsi="Arial" w:cs="Arial"/>
                <w:sz w:val="12"/>
                <w:szCs w:val="12"/>
              </w:rPr>
            </w:pPr>
          </w:p>
        </w:tc>
        <w:tc>
          <w:tcPr>
            <w:tcW w:w="1843" w:type="dxa"/>
            <w:shd w:val="clear" w:color="auto" w:fill="auto"/>
          </w:tcPr>
          <w:p w14:paraId="0293CAC9" w14:textId="77777777" w:rsidR="002A4DDF" w:rsidRPr="00937C8B" w:rsidRDefault="002A4DDF" w:rsidP="009110ED">
            <w:pPr>
              <w:rPr>
                <w:rFonts w:ascii="Arial" w:hAnsi="Arial" w:cs="Arial"/>
                <w:sz w:val="12"/>
                <w:szCs w:val="12"/>
              </w:rPr>
            </w:pPr>
          </w:p>
        </w:tc>
        <w:tc>
          <w:tcPr>
            <w:tcW w:w="2268" w:type="dxa"/>
            <w:shd w:val="clear" w:color="auto" w:fill="F2F2F2"/>
            <w:hideMark/>
          </w:tcPr>
          <w:p w14:paraId="7AD7448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F6CE223" w14:textId="77777777" w:rsidR="002A4DDF" w:rsidRPr="00937C8B" w:rsidRDefault="002A4DDF" w:rsidP="009110ED">
            <w:pPr>
              <w:rPr>
                <w:rFonts w:ascii="Arial" w:hAnsi="Arial" w:cs="Arial"/>
                <w:sz w:val="12"/>
                <w:szCs w:val="12"/>
              </w:rPr>
            </w:pPr>
            <w:r>
              <w:rPr>
                <w:rFonts w:ascii="Arial" w:hAnsi="Arial"/>
                <w:sz w:val="12"/>
                <w:szCs w:val="12"/>
              </w:rPr>
              <w:t>Entrimo</w:t>
            </w:r>
          </w:p>
        </w:tc>
      </w:tr>
      <w:tr w:rsidR="002A4DDF" w:rsidRPr="00937C8B" w14:paraId="4E0C19B3" w14:textId="77777777" w:rsidTr="00935676">
        <w:trPr>
          <w:cantSplit/>
        </w:trPr>
        <w:tc>
          <w:tcPr>
            <w:tcW w:w="1696" w:type="dxa"/>
            <w:tcBorders>
              <w:left w:val="single" w:sz="4" w:space="0" w:color="auto"/>
            </w:tcBorders>
            <w:shd w:val="clear" w:color="auto" w:fill="auto"/>
          </w:tcPr>
          <w:p w14:paraId="5B51DDA4" w14:textId="77777777" w:rsidR="002A4DDF" w:rsidRPr="00937C8B" w:rsidRDefault="002A4DDF" w:rsidP="009110ED">
            <w:pPr>
              <w:rPr>
                <w:rFonts w:ascii="Arial" w:hAnsi="Arial" w:cs="Arial"/>
                <w:sz w:val="12"/>
                <w:szCs w:val="12"/>
              </w:rPr>
            </w:pPr>
          </w:p>
        </w:tc>
        <w:tc>
          <w:tcPr>
            <w:tcW w:w="1843" w:type="dxa"/>
            <w:shd w:val="clear" w:color="auto" w:fill="auto"/>
          </w:tcPr>
          <w:p w14:paraId="6EB0B2D1" w14:textId="77777777" w:rsidR="002A4DDF" w:rsidRPr="00937C8B" w:rsidRDefault="002A4DDF" w:rsidP="009110ED">
            <w:pPr>
              <w:rPr>
                <w:rFonts w:ascii="Arial" w:hAnsi="Arial" w:cs="Arial"/>
                <w:sz w:val="12"/>
                <w:szCs w:val="12"/>
              </w:rPr>
            </w:pPr>
          </w:p>
        </w:tc>
        <w:tc>
          <w:tcPr>
            <w:tcW w:w="2268" w:type="dxa"/>
            <w:shd w:val="clear" w:color="auto" w:fill="F2F2F2"/>
            <w:hideMark/>
          </w:tcPr>
          <w:p w14:paraId="0BC8FEC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8E1EB49" w14:textId="77777777" w:rsidR="002A4DDF" w:rsidRPr="00937C8B" w:rsidRDefault="002A4DDF" w:rsidP="009110ED">
            <w:pPr>
              <w:rPr>
                <w:rFonts w:ascii="Arial" w:hAnsi="Arial" w:cs="Arial"/>
                <w:sz w:val="12"/>
                <w:szCs w:val="12"/>
              </w:rPr>
            </w:pPr>
            <w:r>
              <w:rPr>
                <w:rFonts w:ascii="Arial" w:hAnsi="Arial"/>
                <w:sz w:val="12"/>
                <w:szCs w:val="12"/>
              </w:rPr>
              <w:t>Esgos</w:t>
            </w:r>
          </w:p>
        </w:tc>
      </w:tr>
      <w:tr w:rsidR="002A4DDF" w:rsidRPr="00937C8B" w14:paraId="6A092FBA" w14:textId="77777777" w:rsidTr="00935676">
        <w:trPr>
          <w:cantSplit/>
        </w:trPr>
        <w:tc>
          <w:tcPr>
            <w:tcW w:w="1696" w:type="dxa"/>
            <w:tcBorders>
              <w:left w:val="single" w:sz="4" w:space="0" w:color="auto"/>
            </w:tcBorders>
            <w:shd w:val="clear" w:color="auto" w:fill="auto"/>
          </w:tcPr>
          <w:p w14:paraId="4142BB20" w14:textId="77777777" w:rsidR="002A4DDF" w:rsidRPr="00937C8B" w:rsidRDefault="002A4DDF" w:rsidP="009110ED">
            <w:pPr>
              <w:rPr>
                <w:rFonts w:ascii="Arial" w:hAnsi="Arial" w:cs="Arial"/>
                <w:sz w:val="12"/>
                <w:szCs w:val="12"/>
              </w:rPr>
            </w:pPr>
          </w:p>
        </w:tc>
        <w:tc>
          <w:tcPr>
            <w:tcW w:w="1843" w:type="dxa"/>
            <w:shd w:val="clear" w:color="auto" w:fill="auto"/>
          </w:tcPr>
          <w:p w14:paraId="38117EF6" w14:textId="77777777" w:rsidR="002A4DDF" w:rsidRPr="00937C8B" w:rsidRDefault="002A4DDF" w:rsidP="009110ED">
            <w:pPr>
              <w:rPr>
                <w:rFonts w:ascii="Arial" w:hAnsi="Arial" w:cs="Arial"/>
                <w:sz w:val="12"/>
                <w:szCs w:val="12"/>
              </w:rPr>
            </w:pPr>
          </w:p>
        </w:tc>
        <w:tc>
          <w:tcPr>
            <w:tcW w:w="2268" w:type="dxa"/>
            <w:shd w:val="clear" w:color="auto" w:fill="F2F2F2"/>
            <w:hideMark/>
          </w:tcPr>
          <w:p w14:paraId="1240700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D1642B0" w14:textId="77777777" w:rsidR="002A4DDF" w:rsidRPr="00937C8B" w:rsidRDefault="002A4DDF" w:rsidP="009110ED">
            <w:pPr>
              <w:rPr>
                <w:rFonts w:ascii="Arial" w:hAnsi="Arial" w:cs="Arial"/>
                <w:sz w:val="12"/>
                <w:szCs w:val="12"/>
              </w:rPr>
            </w:pPr>
            <w:r>
              <w:rPr>
                <w:rFonts w:ascii="Arial" w:hAnsi="Arial"/>
                <w:sz w:val="12"/>
                <w:szCs w:val="12"/>
              </w:rPr>
              <w:t>Gomesende</w:t>
            </w:r>
          </w:p>
        </w:tc>
      </w:tr>
      <w:tr w:rsidR="002A4DDF" w:rsidRPr="00937C8B" w14:paraId="2ADD552E" w14:textId="77777777" w:rsidTr="00935676">
        <w:trPr>
          <w:cantSplit/>
        </w:trPr>
        <w:tc>
          <w:tcPr>
            <w:tcW w:w="1696" w:type="dxa"/>
            <w:tcBorders>
              <w:left w:val="single" w:sz="4" w:space="0" w:color="auto"/>
            </w:tcBorders>
            <w:shd w:val="clear" w:color="auto" w:fill="auto"/>
          </w:tcPr>
          <w:p w14:paraId="7D78F1F2" w14:textId="77777777" w:rsidR="002A4DDF" w:rsidRPr="00937C8B" w:rsidRDefault="002A4DDF" w:rsidP="009110ED">
            <w:pPr>
              <w:rPr>
                <w:rFonts w:ascii="Arial" w:hAnsi="Arial" w:cs="Arial"/>
                <w:sz w:val="12"/>
                <w:szCs w:val="12"/>
              </w:rPr>
            </w:pPr>
          </w:p>
        </w:tc>
        <w:tc>
          <w:tcPr>
            <w:tcW w:w="1843" w:type="dxa"/>
            <w:shd w:val="clear" w:color="auto" w:fill="auto"/>
          </w:tcPr>
          <w:p w14:paraId="23E6C907" w14:textId="77777777" w:rsidR="002A4DDF" w:rsidRPr="00937C8B" w:rsidRDefault="002A4DDF" w:rsidP="009110ED">
            <w:pPr>
              <w:rPr>
                <w:rFonts w:ascii="Arial" w:hAnsi="Arial" w:cs="Arial"/>
                <w:sz w:val="12"/>
                <w:szCs w:val="12"/>
              </w:rPr>
            </w:pPr>
          </w:p>
        </w:tc>
        <w:tc>
          <w:tcPr>
            <w:tcW w:w="2268" w:type="dxa"/>
            <w:shd w:val="clear" w:color="auto" w:fill="F2F2F2"/>
            <w:hideMark/>
          </w:tcPr>
          <w:p w14:paraId="67BACB9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422171D" w14:textId="77777777" w:rsidR="002A4DDF" w:rsidRPr="00937C8B" w:rsidRDefault="002A4DDF" w:rsidP="009110ED">
            <w:pPr>
              <w:rPr>
                <w:rFonts w:ascii="Arial" w:hAnsi="Arial" w:cs="Arial"/>
                <w:sz w:val="12"/>
                <w:szCs w:val="12"/>
              </w:rPr>
            </w:pPr>
            <w:r>
              <w:rPr>
                <w:rFonts w:ascii="Arial" w:hAnsi="Arial"/>
                <w:sz w:val="12"/>
                <w:szCs w:val="12"/>
              </w:rPr>
              <w:t>Larouco</w:t>
            </w:r>
          </w:p>
        </w:tc>
      </w:tr>
      <w:tr w:rsidR="002A4DDF" w:rsidRPr="00937C8B" w14:paraId="1BF2530D" w14:textId="77777777" w:rsidTr="00935676">
        <w:trPr>
          <w:cantSplit/>
        </w:trPr>
        <w:tc>
          <w:tcPr>
            <w:tcW w:w="1696" w:type="dxa"/>
            <w:tcBorders>
              <w:left w:val="single" w:sz="4" w:space="0" w:color="auto"/>
            </w:tcBorders>
            <w:shd w:val="clear" w:color="auto" w:fill="auto"/>
          </w:tcPr>
          <w:p w14:paraId="08198E8C" w14:textId="77777777" w:rsidR="002A4DDF" w:rsidRPr="00937C8B" w:rsidRDefault="002A4DDF" w:rsidP="009110ED">
            <w:pPr>
              <w:rPr>
                <w:rFonts w:ascii="Arial" w:hAnsi="Arial" w:cs="Arial"/>
                <w:sz w:val="12"/>
                <w:szCs w:val="12"/>
              </w:rPr>
            </w:pPr>
          </w:p>
        </w:tc>
        <w:tc>
          <w:tcPr>
            <w:tcW w:w="1843" w:type="dxa"/>
            <w:shd w:val="clear" w:color="auto" w:fill="auto"/>
          </w:tcPr>
          <w:p w14:paraId="577E3340" w14:textId="77777777" w:rsidR="002A4DDF" w:rsidRPr="00937C8B" w:rsidRDefault="002A4DDF" w:rsidP="009110ED">
            <w:pPr>
              <w:rPr>
                <w:rFonts w:ascii="Arial" w:hAnsi="Arial" w:cs="Arial"/>
                <w:sz w:val="12"/>
                <w:szCs w:val="12"/>
              </w:rPr>
            </w:pPr>
          </w:p>
        </w:tc>
        <w:tc>
          <w:tcPr>
            <w:tcW w:w="2268" w:type="dxa"/>
            <w:shd w:val="clear" w:color="auto" w:fill="F2F2F2"/>
            <w:hideMark/>
          </w:tcPr>
          <w:p w14:paraId="1F81066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3DF6354" w14:textId="77777777" w:rsidR="002A4DDF" w:rsidRPr="00937C8B" w:rsidRDefault="002A4DDF" w:rsidP="009110ED">
            <w:pPr>
              <w:rPr>
                <w:rFonts w:ascii="Arial" w:hAnsi="Arial" w:cs="Arial"/>
                <w:sz w:val="12"/>
                <w:szCs w:val="12"/>
              </w:rPr>
            </w:pPr>
            <w:r>
              <w:rPr>
                <w:rFonts w:ascii="Arial" w:hAnsi="Arial"/>
                <w:sz w:val="12"/>
                <w:szCs w:val="12"/>
              </w:rPr>
              <w:t>Leiro</w:t>
            </w:r>
          </w:p>
        </w:tc>
      </w:tr>
      <w:tr w:rsidR="002A4DDF" w:rsidRPr="00937C8B" w14:paraId="7745A49A" w14:textId="77777777" w:rsidTr="00935676">
        <w:trPr>
          <w:cantSplit/>
        </w:trPr>
        <w:tc>
          <w:tcPr>
            <w:tcW w:w="1696" w:type="dxa"/>
            <w:tcBorders>
              <w:left w:val="single" w:sz="4" w:space="0" w:color="auto"/>
            </w:tcBorders>
            <w:shd w:val="clear" w:color="auto" w:fill="auto"/>
          </w:tcPr>
          <w:p w14:paraId="3A68E2C7" w14:textId="77777777" w:rsidR="002A4DDF" w:rsidRPr="00937C8B" w:rsidRDefault="002A4DDF" w:rsidP="009110ED">
            <w:pPr>
              <w:rPr>
                <w:rFonts w:ascii="Arial" w:hAnsi="Arial" w:cs="Arial"/>
                <w:sz w:val="12"/>
                <w:szCs w:val="12"/>
              </w:rPr>
            </w:pPr>
          </w:p>
        </w:tc>
        <w:tc>
          <w:tcPr>
            <w:tcW w:w="1843" w:type="dxa"/>
            <w:shd w:val="clear" w:color="auto" w:fill="auto"/>
          </w:tcPr>
          <w:p w14:paraId="64D0C9F4" w14:textId="77777777" w:rsidR="002A4DDF" w:rsidRPr="00937C8B" w:rsidRDefault="002A4DDF" w:rsidP="009110ED">
            <w:pPr>
              <w:rPr>
                <w:rFonts w:ascii="Arial" w:hAnsi="Arial" w:cs="Arial"/>
                <w:sz w:val="12"/>
                <w:szCs w:val="12"/>
              </w:rPr>
            </w:pPr>
          </w:p>
        </w:tc>
        <w:tc>
          <w:tcPr>
            <w:tcW w:w="2268" w:type="dxa"/>
            <w:shd w:val="clear" w:color="auto" w:fill="F2F2F2"/>
            <w:hideMark/>
          </w:tcPr>
          <w:p w14:paraId="38E0716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56C4FFF" w14:textId="77777777" w:rsidR="002A4DDF" w:rsidRPr="00937C8B" w:rsidRDefault="002A4DDF" w:rsidP="009110ED">
            <w:pPr>
              <w:rPr>
                <w:rFonts w:ascii="Arial" w:hAnsi="Arial" w:cs="Arial"/>
                <w:sz w:val="12"/>
                <w:szCs w:val="12"/>
              </w:rPr>
            </w:pPr>
            <w:r>
              <w:rPr>
                <w:rFonts w:ascii="Arial" w:hAnsi="Arial"/>
                <w:sz w:val="12"/>
                <w:szCs w:val="12"/>
              </w:rPr>
              <w:t>Lobeira</w:t>
            </w:r>
          </w:p>
        </w:tc>
      </w:tr>
      <w:tr w:rsidR="002A4DDF" w:rsidRPr="00937C8B" w14:paraId="5D7077E7" w14:textId="77777777" w:rsidTr="00935676">
        <w:trPr>
          <w:cantSplit/>
        </w:trPr>
        <w:tc>
          <w:tcPr>
            <w:tcW w:w="1696" w:type="dxa"/>
            <w:tcBorders>
              <w:left w:val="single" w:sz="4" w:space="0" w:color="auto"/>
            </w:tcBorders>
            <w:shd w:val="clear" w:color="auto" w:fill="auto"/>
          </w:tcPr>
          <w:p w14:paraId="45C8A646" w14:textId="77777777" w:rsidR="002A4DDF" w:rsidRPr="00937C8B" w:rsidRDefault="002A4DDF" w:rsidP="009110ED">
            <w:pPr>
              <w:rPr>
                <w:rFonts w:ascii="Arial" w:hAnsi="Arial" w:cs="Arial"/>
                <w:sz w:val="12"/>
                <w:szCs w:val="12"/>
              </w:rPr>
            </w:pPr>
          </w:p>
        </w:tc>
        <w:tc>
          <w:tcPr>
            <w:tcW w:w="1843" w:type="dxa"/>
            <w:shd w:val="clear" w:color="auto" w:fill="auto"/>
          </w:tcPr>
          <w:p w14:paraId="3D9FAEDC" w14:textId="77777777" w:rsidR="002A4DDF" w:rsidRPr="00937C8B" w:rsidRDefault="002A4DDF" w:rsidP="009110ED">
            <w:pPr>
              <w:rPr>
                <w:rFonts w:ascii="Arial" w:hAnsi="Arial" w:cs="Arial"/>
                <w:sz w:val="12"/>
                <w:szCs w:val="12"/>
              </w:rPr>
            </w:pPr>
          </w:p>
        </w:tc>
        <w:tc>
          <w:tcPr>
            <w:tcW w:w="2268" w:type="dxa"/>
            <w:shd w:val="clear" w:color="auto" w:fill="F2F2F2"/>
            <w:hideMark/>
          </w:tcPr>
          <w:p w14:paraId="3204093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FE1330E" w14:textId="77777777" w:rsidR="002A4DDF" w:rsidRPr="00937C8B" w:rsidRDefault="002A4DDF" w:rsidP="009110ED">
            <w:pPr>
              <w:rPr>
                <w:rFonts w:ascii="Arial" w:hAnsi="Arial" w:cs="Arial"/>
                <w:sz w:val="12"/>
                <w:szCs w:val="12"/>
              </w:rPr>
            </w:pPr>
            <w:r>
              <w:rPr>
                <w:rFonts w:ascii="Arial" w:hAnsi="Arial"/>
                <w:sz w:val="12"/>
                <w:szCs w:val="12"/>
              </w:rPr>
              <w:t>Lobios</w:t>
            </w:r>
          </w:p>
        </w:tc>
      </w:tr>
      <w:tr w:rsidR="002A4DDF" w:rsidRPr="00937C8B" w14:paraId="6153D2F0" w14:textId="77777777" w:rsidTr="00935676">
        <w:trPr>
          <w:cantSplit/>
        </w:trPr>
        <w:tc>
          <w:tcPr>
            <w:tcW w:w="1696" w:type="dxa"/>
            <w:tcBorders>
              <w:left w:val="single" w:sz="4" w:space="0" w:color="auto"/>
            </w:tcBorders>
            <w:shd w:val="clear" w:color="auto" w:fill="auto"/>
          </w:tcPr>
          <w:p w14:paraId="3EB4AE43" w14:textId="77777777" w:rsidR="002A4DDF" w:rsidRPr="00937C8B" w:rsidRDefault="002A4DDF" w:rsidP="009110ED">
            <w:pPr>
              <w:rPr>
                <w:rFonts w:ascii="Arial" w:hAnsi="Arial" w:cs="Arial"/>
                <w:sz w:val="12"/>
                <w:szCs w:val="12"/>
              </w:rPr>
            </w:pPr>
          </w:p>
        </w:tc>
        <w:tc>
          <w:tcPr>
            <w:tcW w:w="1843" w:type="dxa"/>
            <w:shd w:val="clear" w:color="auto" w:fill="auto"/>
          </w:tcPr>
          <w:p w14:paraId="348E15E9" w14:textId="77777777" w:rsidR="002A4DDF" w:rsidRPr="00937C8B" w:rsidRDefault="002A4DDF" w:rsidP="009110ED">
            <w:pPr>
              <w:rPr>
                <w:rFonts w:ascii="Arial" w:hAnsi="Arial" w:cs="Arial"/>
                <w:sz w:val="12"/>
                <w:szCs w:val="12"/>
              </w:rPr>
            </w:pPr>
          </w:p>
        </w:tc>
        <w:tc>
          <w:tcPr>
            <w:tcW w:w="2268" w:type="dxa"/>
            <w:shd w:val="clear" w:color="auto" w:fill="F2F2F2"/>
            <w:hideMark/>
          </w:tcPr>
          <w:p w14:paraId="49EB4FC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35F7D39" w14:textId="77777777" w:rsidR="002A4DDF" w:rsidRPr="00937C8B" w:rsidRDefault="002A4DDF" w:rsidP="009110ED">
            <w:pPr>
              <w:rPr>
                <w:rFonts w:ascii="Arial" w:hAnsi="Arial" w:cs="Arial"/>
                <w:sz w:val="12"/>
                <w:szCs w:val="12"/>
              </w:rPr>
            </w:pPr>
            <w:r>
              <w:rPr>
                <w:rFonts w:ascii="Arial" w:hAnsi="Arial"/>
                <w:sz w:val="12"/>
                <w:szCs w:val="12"/>
              </w:rPr>
              <w:t>Maceda</w:t>
            </w:r>
          </w:p>
        </w:tc>
      </w:tr>
      <w:tr w:rsidR="002A4DDF" w:rsidRPr="00937C8B" w14:paraId="20CEE0E1" w14:textId="77777777" w:rsidTr="00935676">
        <w:trPr>
          <w:cantSplit/>
        </w:trPr>
        <w:tc>
          <w:tcPr>
            <w:tcW w:w="1696" w:type="dxa"/>
            <w:tcBorders>
              <w:left w:val="single" w:sz="4" w:space="0" w:color="auto"/>
            </w:tcBorders>
            <w:shd w:val="clear" w:color="auto" w:fill="auto"/>
          </w:tcPr>
          <w:p w14:paraId="67D03C38" w14:textId="77777777" w:rsidR="002A4DDF" w:rsidRPr="00937C8B" w:rsidRDefault="002A4DDF" w:rsidP="009110ED">
            <w:pPr>
              <w:rPr>
                <w:rFonts w:ascii="Arial" w:hAnsi="Arial" w:cs="Arial"/>
                <w:sz w:val="12"/>
                <w:szCs w:val="12"/>
              </w:rPr>
            </w:pPr>
          </w:p>
        </w:tc>
        <w:tc>
          <w:tcPr>
            <w:tcW w:w="1843" w:type="dxa"/>
            <w:shd w:val="clear" w:color="auto" w:fill="auto"/>
          </w:tcPr>
          <w:p w14:paraId="3AA313ED" w14:textId="77777777" w:rsidR="002A4DDF" w:rsidRPr="00937C8B" w:rsidRDefault="002A4DDF" w:rsidP="009110ED">
            <w:pPr>
              <w:rPr>
                <w:rFonts w:ascii="Arial" w:hAnsi="Arial" w:cs="Arial"/>
                <w:sz w:val="12"/>
                <w:szCs w:val="12"/>
              </w:rPr>
            </w:pPr>
          </w:p>
        </w:tc>
        <w:tc>
          <w:tcPr>
            <w:tcW w:w="2268" w:type="dxa"/>
            <w:shd w:val="clear" w:color="auto" w:fill="F2F2F2"/>
            <w:hideMark/>
          </w:tcPr>
          <w:p w14:paraId="1D402DF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22F0490" w14:textId="77777777" w:rsidR="002A4DDF" w:rsidRPr="00937C8B" w:rsidRDefault="002A4DDF" w:rsidP="009110ED">
            <w:pPr>
              <w:rPr>
                <w:rFonts w:ascii="Arial" w:hAnsi="Arial" w:cs="Arial"/>
                <w:sz w:val="12"/>
                <w:szCs w:val="12"/>
              </w:rPr>
            </w:pPr>
            <w:r>
              <w:rPr>
                <w:rFonts w:ascii="Arial" w:hAnsi="Arial"/>
                <w:sz w:val="12"/>
                <w:szCs w:val="12"/>
              </w:rPr>
              <w:t>Manzaneda</w:t>
            </w:r>
          </w:p>
        </w:tc>
      </w:tr>
      <w:tr w:rsidR="002A4DDF" w:rsidRPr="00937C8B" w14:paraId="79AF9133" w14:textId="77777777" w:rsidTr="00935676">
        <w:trPr>
          <w:cantSplit/>
        </w:trPr>
        <w:tc>
          <w:tcPr>
            <w:tcW w:w="1696" w:type="dxa"/>
            <w:tcBorders>
              <w:left w:val="single" w:sz="4" w:space="0" w:color="auto"/>
            </w:tcBorders>
            <w:shd w:val="clear" w:color="auto" w:fill="auto"/>
          </w:tcPr>
          <w:p w14:paraId="3B95E60A" w14:textId="77777777" w:rsidR="002A4DDF" w:rsidRPr="00937C8B" w:rsidRDefault="002A4DDF" w:rsidP="009110ED">
            <w:pPr>
              <w:rPr>
                <w:rFonts w:ascii="Arial" w:hAnsi="Arial" w:cs="Arial"/>
                <w:sz w:val="12"/>
                <w:szCs w:val="12"/>
              </w:rPr>
            </w:pPr>
          </w:p>
        </w:tc>
        <w:tc>
          <w:tcPr>
            <w:tcW w:w="1843" w:type="dxa"/>
            <w:shd w:val="clear" w:color="auto" w:fill="auto"/>
          </w:tcPr>
          <w:p w14:paraId="00A6E05C" w14:textId="77777777" w:rsidR="002A4DDF" w:rsidRPr="00937C8B" w:rsidRDefault="002A4DDF" w:rsidP="009110ED">
            <w:pPr>
              <w:rPr>
                <w:rFonts w:ascii="Arial" w:hAnsi="Arial" w:cs="Arial"/>
                <w:sz w:val="12"/>
                <w:szCs w:val="12"/>
              </w:rPr>
            </w:pPr>
          </w:p>
        </w:tc>
        <w:tc>
          <w:tcPr>
            <w:tcW w:w="2268" w:type="dxa"/>
            <w:shd w:val="clear" w:color="auto" w:fill="F2F2F2"/>
            <w:hideMark/>
          </w:tcPr>
          <w:p w14:paraId="1CF9CAE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5EA5444" w14:textId="77777777" w:rsidR="002A4DDF" w:rsidRPr="00937C8B" w:rsidRDefault="002A4DDF" w:rsidP="009110ED">
            <w:pPr>
              <w:rPr>
                <w:rFonts w:ascii="Arial" w:hAnsi="Arial" w:cs="Arial"/>
                <w:sz w:val="12"/>
                <w:szCs w:val="12"/>
              </w:rPr>
            </w:pPr>
            <w:r>
              <w:rPr>
                <w:rFonts w:ascii="Arial" w:hAnsi="Arial"/>
                <w:sz w:val="12"/>
                <w:szCs w:val="12"/>
              </w:rPr>
              <w:t>Maside</w:t>
            </w:r>
          </w:p>
        </w:tc>
      </w:tr>
      <w:tr w:rsidR="002A4DDF" w:rsidRPr="00937C8B" w14:paraId="2C89B28E" w14:textId="77777777" w:rsidTr="00935676">
        <w:trPr>
          <w:cantSplit/>
        </w:trPr>
        <w:tc>
          <w:tcPr>
            <w:tcW w:w="1696" w:type="dxa"/>
            <w:tcBorders>
              <w:left w:val="single" w:sz="4" w:space="0" w:color="auto"/>
            </w:tcBorders>
            <w:shd w:val="clear" w:color="auto" w:fill="auto"/>
          </w:tcPr>
          <w:p w14:paraId="5F62479D" w14:textId="77777777" w:rsidR="002A4DDF" w:rsidRPr="00937C8B" w:rsidRDefault="002A4DDF" w:rsidP="009110ED">
            <w:pPr>
              <w:rPr>
                <w:rFonts w:ascii="Arial" w:hAnsi="Arial" w:cs="Arial"/>
                <w:sz w:val="12"/>
                <w:szCs w:val="12"/>
              </w:rPr>
            </w:pPr>
          </w:p>
        </w:tc>
        <w:tc>
          <w:tcPr>
            <w:tcW w:w="1843" w:type="dxa"/>
            <w:shd w:val="clear" w:color="auto" w:fill="auto"/>
          </w:tcPr>
          <w:p w14:paraId="58623610" w14:textId="77777777" w:rsidR="002A4DDF" w:rsidRPr="00937C8B" w:rsidRDefault="002A4DDF" w:rsidP="009110ED">
            <w:pPr>
              <w:rPr>
                <w:rFonts w:ascii="Arial" w:hAnsi="Arial" w:cs="Arial"/>
                <w:sz w:val="12"/>
                <w:szCs w:val="12"/>
              </w:rPr>
            </w:pPr>
          </w:p>
        </w:tc>
        <w:tc>
          <w:tcPr>
            <w:tcW w:w="2268" w:type="dxa"/>
            <w:shd w:val="clear" w:color="auto" w:fill="F2F2F2"/>
            <w:hideMark/>
          </w:tcPr>
          <w:p w14:paraId="4AC0F07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6D5A0E1" w14:textId="77777777" w:rsidR="002A4DDF" w:rsidRPr="00937C8B" w:rsidRDefault="002A4DDF" w:rsidP="009110ED">
            <w:pPr>
              <w:rPr>
                <w:rFonts w:ascii="Arial" w:hAnsi="Arial" w:cs="Arial"/>
                <w:sz w:val="12"/>
                <w:szCs w:val="12"/>
              </w:rPr>
            </w:pPr>
            <w:r>
              <w:rPr>
                <w:rFonts w:ascii="Arial" w:hAnsi="Arial"/>
                <w:sz w:val="12"/>
                <w:szCs w:val="12"/>
              </w:rPr>
              <w:t>Melón</w:t>
            </w:r>
          </w:p>
        </w:tc>
      </w:tr>
      <w:tr w:rsidR="002A4DDF" w:rsidRPr="00937C8B" w14:paraId="2B0A50AD" w14:textId="77777777" w:rsidTr="00935676">
        <w:trPr>
          <w:cantSplit/>
        </w:trPr>
        <w:tc>
          <w:tcPr>
            <w:tcW w:w="1696" w:type="dxa"/>
            <w:tcBorders>
              <w:left w:val="single" w:sz="4" w:space="0" w:color="auto"/>
            </w:tcBorders>
            <w:shd w:val="clear" w:color="auto" w:fill="auto"/>
          </w:tcPr>
          <w:p w14:paraId="3993AAC2" w14:textId="77777777" w:rsidR="002A4DDF" w:rsidRPr="00937C8B" w:rsidRDefault="002A4DDF" w:rsidP="009110ED">
            <w:pPr>
              <w:rPr>
                <w:rFonts w:ascii="Arial" w:hAnsi="Arial" w:cs="Arial"/>
                <w:sz w:val="12"/>
                <w:szCs w:val="12"/>
              </w:rPr>
            </w:pPr>
          </w:p>
        </w:tc>
        <w:tc>
          <w:tcPr>
            <w:tcW w:w="1843" w:type="dxa"/>
            <w:shd w:val="clear" w:color="auto" w:fill="auto"/>
          </w:tcPr>
          <w:p w14:paraId="710A9EA7" w14:textId="77777777" w:rsidR="002A4DDF" w:rsidRPr="00937C8B" w:rsidRDefault="002A4DDF" w:rsidP="009110ED">
            <w:pPr>
              <w:rPr>
                <w:rFonts w:ascii="Arial" w:hAnsi="Arial" w:cs="Arial"/>
                <w:sz w:val="12"/>
                <w:szCs w:val="12"/>
              </w:rPr>
            </w:pPr>
          </w:p>
        </w:tc>
        <w:tc>
          <w:tcPr>
            <w:tcW w:w="2268" w:type="dxa"/>
            <w:shd w:val="clear" w:color="auto" w:fill="F2F2F2"/>
            <w:hideMark/>
          </w:tcPr>
          <w:p w14:paraId="3F75662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5DBC467" w14:textId="77777777" w:rsidR="002A4DDF" w:rsidRPr="00937C8B" w:rsidRDefault="002A4DDF" w:rsidP="009110ED">
            <w:pPr>
              <w:rPr>
                <w:rFonts w:ascii="Arial" w:hAnsi="Arial" w:cs="Arial"/>
                <w:sz w:val="12"/>
                <w:szCs w:val="12"/>
              </w:rPr>
            </w:pPr>
            <w:r>
              <w:rPr>
                <w:rFonts w:ascii="Arial" w:hAnsi="Arial"/>
                <w:sz w:val="12"/>
                <w:szCs w:val="12"/>
              </w:rPr>
              <w:t>Montederramo</w:t>
            </w:r>
          </w:p>
        </w:tc>
      </w:tr>
      <w:tr w:rsidR="002A4DDF" w:rsidRPr="00937C8B" w14:paraId="093CE1C7" w14:textId="77777777" w:rsidTr="00935676">
        <w:trPr>
          <w:cantSplit/>
        </w:trPr>
        <w:tc>
          <w:tcPr>
            <w:tcW w:w="1696" w:type="dxa"/>
            <w:tcBorders>
              <w:left w:val="single" w:sz="4" w:space="0" w:color="auto"/>
            </w:tcBorders>
            <w:shd w:val="clear" w:color="auto" w:fill="auto"/>
          </w:tcPr>
          <w:p w14:paraId="45C5CB99" w14:textId="77777777" w:rsidR="002A4DDF" w:rsidRPr="00937C8B" w:rsidRDefault="002A4DDF" w:rsidP="009110ED">
            <w:pPr>
              <w:rPr>
                <w:rFonts w:ascii="Arial" w:hAnsi="Arial" w:cs="Arial"/>
                <w:sz w:val="12"/>
                <w:szCs w:val="12"/>
              </w:rPr>
            </w:pPr>
          </w:p>
        </w:tc>
        <w:tc>
          <w:tcPr>
            <w:tcW w:w="1843" w:type="dxa"/>
            <w:shd w:val="clear" w:color="auto" w:fill="auto"/>
          </w:tcPr>
          <w:p w14:paraId="502082C0" w14:textId="77777777" w:rsidR="002A4DDF" w:rsidRPr="00937C8B" w:rsidRDefault="002A4DDF" w:rsidP="009110ED">
            <w:pPr>
              <w:rPr>
                <w:rFonts w:ascii="Arial" w:hAnsi="Arial" w:cs="Arial"/>
                <w:sz w:val="12"/>
                <w:szCs w:val="12"/>
              </w:rPr>
            </w:pPr>
          </w:p>
        </w:tc>
        <w:tc>
          <w:tcPr>
            <w:tcW w:w="2268" w:type="dxa"/>
            <w:shd w:val="clear" w:color="auto" w:fill="F2F2F2"/>
            <w:hideMark/>
          </w:tcPr>
          <w:p w14:paraId="0A44D53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DB58F08" w14:textId="77777777" w:rsidR="002A4DDF" w:rsidRPr="00937C8B" w:rsidRDefault="002A4DDF" w:rsidP="009110ED">
            <w:pPr>
              <w:rPr>
                <w:rFonts w:ascii="Arial" w:hAnsi="Arial" w:cs="Arial"/>
                <w:sz w:val="12"/>
                <w:szCs w:val="12"/>
              </w:rPr>
            </w:pPr>
            <w:r>
              <w:rPr>
                <w:rFonts w:ascii="Arial" w:hAnsi="Arial"/>
                <w:sz w:val="12"/>
                <w:szCs w:val="12"/>
              </w:rPr>
              <w:t>Monterrei</w:t>
            </w:r>
          </w:p>
        </w:tc>
      </w:tr>
      <w:tr w:rsidR="002A4DDF" w:rsidRPr="00937C8B" w14:paraId="57F4DC24" w14:textId="77777777" w:rsidTr="00935676">
        <w:trPr>
          <w:cantSplit/>
        </w:trPr>
        <w:tc>
          <w:tcPr>
            <w:tcW w:w="1696" w:type="dxa"/>
            <w:tcBorders>
              <w:left w:val="single" w:sz="4" w:space="0" w:color="auto"/>
            </w:tcBorders>
            <w:shd w:val="clear" w:color="auto" w:fill="auto"/>
          </w:tcPr>
          <w:p w14:paraId="7FAE47C9" w14:textId="77777777" w:rsidR="002A4DDF" w:rsidRPr="00937C8B" w:rsidRDefault="002A4DDF" w:rsidP="009110ED">
            <w:pPr>
              <w:rPr>
                <w:rFonts w:ascii="Arial" w:hAnsi="Arial" w:cs="Arial"/>
                <w:sz w:val="12"/>
                <w:szCs w:val="12"/>
              </w:rPr>
            </w:pPr>
          </w:p>
        </w:tc>
        <w:tc>
          <w:tcPr>
            <w:tcW w:w="1843" w:type="dxa"/>
            <w:shd w:val="clear" w:color="auto" w:fill="auto"/>
          </w:tcPr>
          <w:p w14:paraId="5C04E892" w14:textId="77777777" w:rsidR="002A4DDF" w:rsidRPr="00937C8B" w:rsidRDefault="002A4DDF" w:rsidP="009110ED">
            <w:pPr>
              <w:rPr>
                <w:rFonts w:ascii="Arial" w:hAnsi="Arial" w:cs="Arial"/>
                <w:sz w:val="12"/>
                <w:szCs w:val="12"/>
              </w:rPr>
            </w:pPr>
          </w:p>
        </w:tc>
        <w:tc>
          <w:tcPr>
            <w:tcW w:w="2268" w:type="dxa"/>
            <w:shd w:val="clear" w:color="auto" w:fill="F2F2F2"/>
            <w:hideMark/>
          </w:tcPr>
          <w:p w14:paraId="435B214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A194EE8" w14:textId="77777777" w:rsidR="002A4DDF" w:rsidRPr="00937C8B" w:rsidRDefault="002A4DDF" w:rsidP="009110ED">
            <w:pPr>
              <w:rPr>
                <w:rFonts w:ascii="Arial" w:hAnsi="Arial" w:cs="Arial"/>
                <w:sz w:val="12"/>
                <w:szCs w:val="12"/>
              </w:rPr>
            </w:pPr>
            <w:r>
              <w:rPr>
                <w:rFonts w:ascii="Arial" w:hAnsi="Arial"/>
                <w:sz w:val="12"/>
                <w:szCs w:val="12"/>
              </w:rPr>
              <w:t>Muíños</w:t>
            </w:r>
          </w:p>
        </w:tc>
      </w:tr>
      <w:tr w:rsidR="002A4DDF" w:rsidRPr="00937C8B" w14:paraId="7AA717B7" w14:textId="77777777" w:rsidTr="00935676">
        <w:trPr>
          <w:cantSplit/>
        </w:trPr>
        <w:tc>
          <w:tcPr>
            <w:tcW w:w="1696" w:type="dxa"/>
            <w:tcBorders>
              <w:left w:val="single" w:sz="4" w:space="0" w:color="auto"/>
            </w:tcBorders>
            <w:shd w:val="clear" w:color="auto" w:fill="auto"/>
          </w:tcPr>
          <w:p w14:paraId="67AE4451" w14:textId="77777777" w:rsidR="002A4DDF" w:rsidRPr="00937C8B" w:rsidRDefault="002A4DDF" w:rsidP="009110ED">
            <w:pPr>
              <w:rPr>
                <w:rFonts w:ascii="Arial" w:hAnsi="Arial" w:cs="Arial"/>
                <w:sz w:val="12"/>
                <w:szCs w:val="12"/>
              </w:rPr>
            </w:pPr>
          </w:p>
        </w:tc>
        <w:tc>
          <w:tcPr>
            <w:tcW w:w="1843" w:type="dxa"/>
            <w:shd w:val="clear" w:color="auto" w:fill="auto"/>
          </w:tcPr>
          <w:p w14:paraId="237FBF34" w14:textId="77777777" w:rsidR="002A4DDF" w:rsidRPr="00937C8B" w:rsidRDefault="002A4DDF" w:rsidP="009110ED">
            <w:pPr>
              <w:rPr>
                <w:rFonts w:ascii="Arial" w:hAnsi="Arial" w:cs="Arial"/>
                <w:sz w:val="12"/>
                <w:szCs w:val="12"/>
              </w:rPr>
            </w:pPr>
          </w:p>
        </w:tc>
        <w:tc>
          <w:tcPr>
            <w:tcW w:w="2268" w:type="dxa"/>
            <w:shd w:val="clear" w:color="auto" w:fill="F2F2F2"/>
            <w:hideMark/>
          </w:tcPr>
          <w:p w14:paraId="76D6F75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FDADEEE" w14:textId="77777777" w:rsidR="002A4DDF" w:rsidRPr="00937C8B" w:rsidRDefault="002A4DDF" w:rsidP="009110ED">
            <w:pPr>
              <w:rPr>
                <w:rFonts w:ascii="Arial" w:hAnsi="Arial" w:cs="Arial"/>
                <w:sz w:val="12"/>
                <w:szCs w:val="12"/>
              </w:rPr>
            </w:pPr>
            <w:r>
              <w:rPr>
                <w:rFonts w:ascii="Arial" w:hAnsi="Arial"/>
                <w:sz w:val="12"/>
                <w:szCs w:val="12"/>
              </w:rPr>
              <w:t>Nogueira de Ramuín</w:t>
            </w:r>
          </w:p>
        </w:tc>
      </w:tr>
      <w:tr w:rsidR="002A4DDF" w:rsidRPr="00937C8B" w14:paraId="4C52E3CA" w14:textId="77777777" w:rsidTr="00935676">
        <w:trPr>
          <w:cantSplit/>
        </w:trPr>
        <w:tc>
          <w:tcPr>
            <w:tcW w:w="1696" w:type="dxa"/>
            <w:tcBorders>
              <w:left w:val="single" w:sz="4" w:space="0" w:color="auto"/>
            </w:tcBorders>
            <w:shd w:val="clear" w:color="auto" w:fill="auto"/>
          </w:tcPr>
          <w:p w14:paraId="7745BDB7" w14:textId="77777777" w:rsidR="002A4DDF" w:rsidRPr="00937C8B" w:rsidRDefault="002A4DDF" w:rsidP="009110ED">
            <w:pPr>
              <w:rPr>
                <w:rFonts w:ascii="Arial" w:hAnsi="Arial" w:cs="Arial"/>
                <w:sz w:val="12"/>
                <w:szCs w:val="12"/>
              </w:rPr>
            </w:pPr>
          </w:p>
        </w:tc>
        <w:tc>
          <w:tcPr>
            <w:tcW w:w="1843" w:type="dxa"/>
            <w:shd w:val="clear" w:color="auto" w:fill="auto"/>
          </w:tcPr>
          <w:p w14:paraId="498C0799" w14:textId="77777777" w:rsidR="002A4DDF" w:rsidRPr="00937C8B" w:rsidRDefault="002A4DDF" w:rsidP="009110ED">
            <w:pPr>
              <w:rPr>
                <w:rFonts w:ascii="Arial" w:hAnsi="Arial" w:cs="Arial"/>
                <w:sz w:val="12"/>
                <w:szCs w:val="12"/>
              </w:rPr>
            </w:pPr>
          </w:p>
        </w:tc>
        <w:tc>
          <w:tcPr>
            <w:tcW w:w="2268" w:type="dxa"/>
            <w:shd w:val="clear" w:color="auto" w:fill="F2F2F2"/>
            <w:hideMark/>
          </w:tcPr>
          <w:p w14:paraId="1C0C44A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DB1E2B4" w14:textId="77777777" w:rsidR="002A4DDF" w:rsidRPr="00937C8B" w:rsidRDefault="002A4DDF" w:rsidP="009110ED">
            <w:pPr>
              <w:rPr>
                <w:rFonts w:ascii="Arial" w:hAnsi="Arial" w:cs="Arial"/>
                <w:sz w:val="12"/>
                <w:szCs w:val="12"/>
              </w:rPr>
            </w:pPr>
            <w:r>
              <w:rPr>
                <w:rFonts w:ascii="Arial" w:hAnsi="Arial"/>
                <w:sz w:val="12"/>
                <w:szCs w:val="12"/>
              </w:rPr>
              <w:t>O Bolo</w:t>
            </w:r>
          </w:p>
        </w:tc>
      </w:tr>
      <w:tr w:rsidR="002A4DDF" w:rsidRPr="00937C8B" w14:paraId="031DFA6B" w14:textId="77777777" w:rsidTr="00935676">
        <w:trPr>
          <w:cantSplit/>
        </w:trPr>
        <w:tc>
          <w:tcPr>
            <w:tcW w:w="1696" w:type="dxa"/>
            <w:tcBorders>
              <w:left w:val="single" w:sz="4" w:space="0" w:color="auto"/>
            </w:tcBorders>
            <w:shd w:val="clear" w:color="auto" w:fill="auto"/>
          </w:tcPr>
          <w:p w14:paraId="22F99267" w14:textId="77777777" w:rsidR="002A4DDF" w:rsidRPr="00937C8B" w:rsidRDefault="002A4DDF" w:rsidP="009110ED">
            <w:pPr>
              <w:rPr>
                <w:rFonts w:ascii="Arial" w:hAnsi="Arial" w:cs="Arial"/>
                <w:sz w:val="12"/>
                <w:szCs w:val="12"/>
              </w:rPr>
            </w:pPr>
          </w:p>
        </w:tc>
        <w:tc>
          <w:tcPr>
            <w:tcW w:w="1843" w:type="dxa"/>
            <w:shd w:val="clear" w:color="auto" w:fill="auto"/>
          </w:tcPr>
          <w:p w14:paraId="5B7240F9" w14:textId="77777777" w:rsidR="002A4DDF" w:rsidRPr="00937C8B" w:rsidRDefault="002A4DDF" w:rsidP="009110ED">
            <w:pPr>
              <w:rPr>
                <w:rFonts w:ascii="Arial" w:hAnsi="Arial" w:cs="Arial"/>
                <w:sz w:val="12"/>
                <w:szCs w:val="12"/>
              </w:rPr>
            </w:pPr>
          </w:p>
        </w:tc>
        <w:tc>
          <w:tcPr>
            <w:tcW w:w="2268" w:type="dxa"/>
            <w:shd w:val="clear" w:color="auto" w:fill="F2F2F2"/>
            <w:hideMark/>
          </w:tcPr>
          <w:p w14:paraId="49337C3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730B85F" w14:textId="77777777" w:rsidR="002A4DDF" w:rsidRPr="00937C8B" w:rsidRDefault="002A4DDF" w:rsidP="009110ED">
            <w:pPr>
              <w:rPr>
                <w:rFonts w:ascii="Arial" w:hAnsi="Arial" w:cs="Arial"/>
                <w:sz w:val="12"/>
                <w:szCs w:val="12"/>
              </w:rPr>
            </w:pPr>
            <w:r>
              <w:rPr>
                <w:rFonts w:ascii="Arial" w:hAnsi="Arial"/>
                <w:sz w:val="12"/>
                <w:szCs w:val="12"/>
              </w:rPr>
              <w:t>O Carballiño</w:t>
            </w:r>
          </w:p>
        </w:tc>
      </w:tr>
      <w:tr w:rsidR="002A4DDF" w:rsidRPr="00937C8B" w14:paraId="5D08C6B2" w14:textId="77777777" w:rsidTr="00935676">
        <w:trPr>
          <w:cantSplit/>
        </w:trPr>
        <w:tc>
          <w:tcPr>
            <w:tcW w:w="1696" w:type="dxa"/>
            <w:tcBorders>
              <w:left w:val="single" w:sz="4" w:space="0" w:color="auto"/>
            </w:tcBorders>
            <w:shd w:val="clear" w:color="auto" w:fill="auto"/>
          </w:tcPr>
          <w:p w14:paraId="301C8F8C" w14:textId="77777777" w:rsidR="002A4DDF" w:rsidRPr="00937C8B" w:rsidRDefault="002A4DDF" w:rsidP="009110ED">
            <w:pPr>
              <w:rPr>
                <w:rFonts w:ascii="Arial" w:hAnsi="Arial" w:cs="Arial"/>
                <w:sz w:val="12"/>
                <w:szCs w:val="12"/>
              </w:rPr>
            </w:pPr>
          </w:p>
        </w:tc>
        <w:tc>
          <w:tcPr>
            <w:tcW w:w="1843" w:type="dxa"/>
            <w:shd w:val="clear" w:color="auto" w:fill="auto"/>
          </w:tcPr>
          <w:p w14:paraId="52BBBBF0" w14:textId="77777777" w:rsidR="002A4DDF" w:rsidRPr="00937C8B" w:rsidRDefault="002A4DDF" w:rsidP="009110ED">
            <w:pPr>
              <w:rPr>
                <w:rFonts w:ascii="Arial" w:hAnsi="Arial" w:cs="Arial"/>
                <w:sz w:val="12"/>
                <w:szCs w:val="12"/>
              </w:rPr>
            </w:pPr>
          </w:p>
        </w:tc>
        <w:tc>
          <w:tcPr>
            <w:tcW w:w="2268" w:type="dxa"/>
            <w:shd w:val="clear" w:color="auto" w:fill="F2F2F2"/>
            <w:hideMark/>
          </w:tcPr>
          <w:p w14:paraId="0725BB0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D8406E1" w14:textId="77777777" w:rsidR="002A4DDF" w:rsidRPr="00937C8B" w:rsidRDefault="002A4DDF" w:rsidP="009110ED">
            <w:pPr>
              <w:rPr>
                <w:rFonts w:ascii="Arial" w:hAnsi="Arial" w:cs="Arial"/>
                <w:sz w:val="12"/>
                <w:szCs w:val="12"/>
              </w:rPr>
            </w:pPr>
            <w:r>
              <w:rPr>
                <w:rFonts w:ascii="Arial" w:hAnsi="Arial"/>
                <w:sz w:val="12"/>
                <w:szCs w:val="12"/>
              </w:rPr>
              <w:t>O Irixo</w:t>
            </w:r>
          </w:p>
        </w:tc>
      </w:tr>
      <w:tr w:rsidR="002A4DDF" w:rsidRPr="00937C8B" w14:paraId="13B0D523" w14:textId="77777777" w:rsidTr="00935676">
        <w:trPr>
          <w:cantSplit/>
        </w:trPr>
        <w:tc>
          <w:tcPr>
            <w:tcW w:w="1696" w:type="dxa"/>
            <w:tcBorders>
              <w:left w:val="single" w:sz="4" w:space="0" w:color="auto"/>
            </w:tcBorders>
            <w:shd w:val="clear" w:color="auto" w:fill="auto"/>
          </w:tcPr>
          <w:p w14:paraId="34BB7627" w14:textId="77777777" w:rsidR="002A4DDF" w:rsidRPr="00937C8B" w:rsidRDefault="002A4DDF" w:rsidP="009110ED">
            <w:pPr>
              <w:rPr>
                <w:rFonts w:ascii="Arial" w:hAnsi="Arial" w:cs="Arial"/>
                <w:sz w:val="12"/>
                <w:szCs w:val="12"/>
              </w:rPr>
            </w:pPr>
          </w:p>
        </w:tc>
        <w:tc>
          <w:tcPr>
            <w:tcW w:w="1843" w:type="dxa"/>
            <w:shd w:val="clear" w:color="auto" w:fill="auto"/>
          </w:tcPr>
          <w:p w14:paraId="16B087B1" w14:textId="77777777" w:rsidR="002A4DDF" w:rsidRPr="00937C8B" w:rsidRDefault="002A4DDF" w:rsidP="009110ED">
            <w:pPr>
              <w:rPr>
                <w:rFonts w:ascii="Arial" w:hAnsi="Arial" w:cs="Arial"/>
                <w:sz w:val="12"/>
                <w:szCs w:val="12"/>
              </w:rPr>
            </w:pPr>
          </w:p>
        </w:tc>
        <w:tc>
          <w:tcPr>
            <w:tcW w:w="2268" w:type="dxa"/>
            <w:shd w:val="clear" w:color="auto" w:fill="F2F2F2"/>
            <w:hideMark/>
          </w:tcPr>
          <w:p w14:paraId="0D525CC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BBD2E95" w14:textId="77777777" w:rsidR="002A4DDF" w:rsidRPr="00937C8B" w:rsidRDefault="002A4DDF" w:rsidP="009110ED">
            <w:pPr>
              <w:rPr>
                <w:rFonts w:ascii="Arial" w:hAnsi="Arial" w:cs="Arial"/>
                <w:sz w:val="12"/>
                <w:szCs w:val="12"/>
              </w:rPr>
            </w:pPr>
            <w:r>
              <w:rPr>
                <w:rFonts w:ascii="Arial" w:hAnsi="Arial"/>
                <w:sz w:val="12"/>
                <w:szCs w:val="12"/>
              </w:rPr>
              <w:t>O Pereiro de Aguiar</w:t>
            </w:r>
          </w:p>
        </w:tc>
      </w:tr>
      <w:tr w:rsidR="002A4DDF" w:rsidRPr="00937C8B" w14:paraId="6E737E68" w14:textId="77777777" w:rsidTr="00935676">
        <w:trPr>
          <w:cantSplit/>
        </w:trPr>
        <w:tc>
          <w:tcPr>
            <w:tcW w:w="1696" w:type="dxa"/>
            <w:tcBorders>
              <w:left w:val="single" w:sz="4" w:space="0" w:color="auto"/>
            </w:tcBorders>
            <w:shd w:val="clear" w:color="auto" w:fill="auto"/>
          </w:tcPr>
          <w:p w14:paraId="01ED4C60" w14:textId="77777777" w:rsidR="002A4DDF" w:rsidRPr="00937C8B" w:rsidRDefault="002A4DDF" w:rsidP="009110ED">
            <w:pPr>
              <w:rPr>
                <w:rFonts w:ascii="Arial" w:hAnsi="Arial" w:cs="Arial"/>
                <w:sz w:val="12"/>
                <w:szCs w:val="12"/>
              </w:rPr>
            </w:pPr>
          </w:p>
        </w:tc>
        <w:tc>
          <w:tcPr>
            <w:tcW w:w="1843" w:type="dxa"/>
            <w:shd w:val="clear" w:color="auto" w:fill="auto"/>
          </w:tcPr>
          <w:p w14:paraId="0797BC3F" w14:textId="77777777" w:rsidR="002A4DDF" w:rsidRPr="00937C8B" w:rsidRDefault="002A4DDF" w:rsidP="009110ED">
            <w:pPr>
              <w:rPr>
                <w:rFonts w:ascii="Arial" w:hAnsi="Arial" w:cs="Arial"/>
                <w:sz w:val="12"/>
                <w:szCs w:val="12"/>
              </w:rPr>
            </w:pPr>
          </w:p>
        </w:tc>
        <w:tc>
          <w:tcPr>
            <w:tcW w:w="2268" w:type="dxa"/>
            <w:shd w:val="clear" w:color="auto" w:fill="F2F2F2"/>
            <w:hideMark/>
          </w:tcPr>
          <w:p w14:paraId="631D674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A10B819" w14:textId="77777777" w:rsidR="002A4DDF" w:rsidRPr="00937C8B" w:rsidRDefault="002A4DDF" w:rsidP="009110ED">
            <w:pPr>
              <w:rPr>
                <w:rFonts w:ascii="Arial" w:hAnsi="Arial" w:cs="Arial"/>
                <w:sz w:val="12"/>
                <w:szCs w:val="12"/>
              </w:rPr>
            </w:pPr>
            <w:r>
              <w:rPr>
                <w:rFonts w:ascii="Arial" w:hAnsi="Arial"/>
                <w:sz w:val="12"/>
                <w:szCs w:val="12"/>
              </w:rPr>
              <w:t>Os Blancos</w:t>
            </w:r>
          </w:p>
        </w:tc>
      </w:tr>
      <w:tr w:rsidR="002A4DDF" w:rsidRPr="00937C8B" w14:paraId="03650239" w14:textId="77777777" w:rsidTr="00935676">
        <w:trPr>
          <w:cantSplit/>
        </w:trPr>
        <w:tc>
          <w:tcPr>
            <w:tcW w:w="1696" w:type="dxa"/>
            <w:tcBorders>
              <w:left w:val="single" w:sz="4" w:space="0" w:color="auto"/>
            </w:tcBorders>
            <w:shd w:val="clear" w:color="auto" w:fill="auto"/>
          </w:tcPr>
          <w:p w14:paraId="5FC54833" w14:textId="77777777" w:rsidR="002A4DDF" w:rsidRPr="00937C8B" w:rsidRDefault="002A4DDF" w:rsidP="009110ED">
            <w:pPr>
              <w:rPr>
                <w:rFonts w:ascii="Arial" w:hAnsi="Arial" w:cs="Arial"/>
                <w:sz w:val="12"/>
                <w:szCs w:val="12"/>
              </w:rPr>
            </w:pPr>
          </w:p>
        </w:tc>
        <w:tc>
          <w:tcPr>
            <w:tcW w:w="1843" w:type="dxa"/>
            <w:shd w:val="clear" w:color="auto" w:fill="auto"/>
          </w:tcPr>
          <w:p w14:paraId="2E6FC670" w14:textId="77777777" w:rsidR="002A4DDF" w:rsidRPr="00937C8B" w:rsidRDefault="002A4DDF" w:rsidP="009110ED">
            <w:pPr>
              <w:rPr>
                <w:rFonts w:ascii="Arial" w:hAnsi="Arial" w:cs="Arial"/>
                <w:sz w:val="12"/>
                <w:szCs w:val="12"/>
              </w:rPr>
            </w:pPr>
          </w:p>
        </w:tc>
        <w:tc>
          <w:tcPr>
            <w:tcW w:w="2268" w:type="dxa"/>
            <w:shd w:val="clear" w:color="auto" w:fill="F2F2F2"/>
            <w:hideMark/>
          </w:tcPr>
          <w:p w14:paraId="111C7E7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D2C9BE3" w14:textId="77777777" w:rsidR="002A4DDF" w:rsidRPr="00937C8B" w:rsidRDefault="002A4DDF" w:rsidP="009110ED">
            <w:pPr>
              <w:rPr>
                <w:rFonts w:ascii="Arial" w:hAnsi="Arial" w:cs="Arial"/>
                <w:sz w:val="12"/>
                <w:szCs w:val="12"/>
              </w:rPr>
            </w:pPr>
            <w:r>
              <w:rPr>
                <w:rFonts w:ascii="Arial" w:hAnsi="Arial"/>
                <w:sz w:val="12"/>
                <w:szCs w:val="12"/>
              </w:rPr>
              <w:t>Ourense</w:t>
            </w:r>
          </w:p>
        </w:tc>
      </w:tr>
      <w:tr w:rsidR="002A4DDF" w:rsidRPr="00937C8B" w14:paraId="4A9FE703" w14:textId="77777777" w:rsidTr="00935676">
        <w:trPr>
          <w:cantSplit/>
        </w:trPr>
        <w:tc>
          <w:tcPr>
            <w:tcW w:w="1696" w:type="dxa"/>
            <w:tcBorders>
              <w:left w:val="single" w:sz="4" w:space="0" w:color="auto"/>
            </w:tcBorders>
            <w:shd w:val="clear" w:color="auto" w:fill="auto"/>
          </w:tcPr>
          <w:p w14:paraId="5513055F" w14:textId="77777777" w:rsidR="002A4DDF" w:rsidRPr="00937C8B" w:rsidRDefault="002A4DDF" w:rsidP="009110ED">
            <w:pPr>
              <w:rPr>
                <w:rFonts w:ascii="Arial" w:hAnsi="Arial" w:cs="Arial"/>
                <w:sz w:val="12"/>
                <w:szCs w:val="12"/>
              </w:rPr>
            </w:pPr>
          </w:p>
        </w:tc>
        <w:tc>
          <w:tcPr>
            <w:tcW w:w="1843" w:type="dxa"/>
            <w:shd w:val="clear" w:color="auto" w:fill="auto"/>
          </w:tcPr>
          <w:p w14:paraId="55C1DDFC" w14:textId="77777777" w:rsidR="002A4DDF" w:rsidRPr="00937C8B" w:rsidRDefault="002A4DDF" w:rsidP="009110ED">
            <w:pPr>
              <w:rPr>
                <w:rFonts w:ascii="Arial" w:hAnsi="Arial" w:cs="Arial"/>
                <w:sz w:val="12"/>
                <w:szCs w:val="12"/>
              </w:rPr>
            </w:pPr>
          </w:p>
        </w:tc>
        <w:tc>
          <w:tcPr>
            <w:tcW w:w="2268" w:type="dxa"/>
            <w:shd w:val="clear" w:color="auto" w:fill="F2F2F2"/>
            <w:hideMark/>
          </w:tcPr>
          <w:p w14:paraId="096DE98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8A4F034" w14:textId="77777777" w:rsidR="002A4DDF" w:rsidRPr="00937C8B" w:rsidRDefault="002A4DDF" w:rsidP="009110ED">
            <w:pPr>
              <w:rPr>
                <w:rFonts w:ascii="Arial" w:hAnsi="Arial" w:cs="Arial"/>
                <w:sz w:val="12"/>
                <w:szCs w:val="12"/>
              </w:rPr>
            </w:pPr>
            <w:r>
              <w:rPr>
                <w:rFonts w:ascii="Arial" w:hAnsi="Arial"/>
                <w:sz w:val="12"/>
                <w:szCs w:val="12"/>
              </w:rPr>
              <w:t>Paderne de Allariz</w:t>
            </w:r>
          </w:p>
        </w:tc>
      </w:tr>
      <w:tr w:rsidR="002A4DDF" w:rsidRPr="00937C8B" w14:paraId="55656930" w14:textId="77777777" w:rsidTr="00935676">
        <w:trPr>
          <w:cantSplit/>
        </w:trPr>
        <w:tc>
          <w:tcPr>
            <w:tcW w:w="1696" w:type="dxa"/>
            <w:tcBorders>
              <w:left w:val="single" w:sz="4" w:space="0" w:color="auto"/>
            </w:tcBorders>
            <w:shd w:val="clear" w:color="auto" w:fill="auto"/>
          </w:tcPr>
          <w:p w14:paraId="736E3C0C" w14:textId="77777777" w:rsidR="002A4DDF" w:rsidRPr="00937C8B" w:rsidRDefault="002A4DDF" w:rsidP="009110ED">
            <w:pPr>
              <w:rPr>
                <w:rFonts w:ascii="Arial" w:hAnsi="Arial" w:cs="Arial"/>
                <w:sz w:val="12"/>
                <w:szCs w:val="12"/>
              </w:rPr>
            </w:pPr>
          </w:p>
        </w:tc>
        <w:tc>
          <w:tcPr>
            <w:tcW w:w="1843" w:type="dxa"/>
            <w:shd w:val="clear" w:color="auto" w:fill="auto"/>
          </w:tcPr>
          <w:p w14:paraId="67029005" w14:textId="77777777" w:rsidR="002A4DDF" w:rsidRPr="00937C8B" w:rsidRDefault="002A4DDF" w:rsidP="009110ED">
            <w:pPr>
              <w:rPr>
                <w:rFonts w:ascii="Arial" w:hAnsi="Arial" w:cs="Arial"/>
                <w:sz w:val="12"/>
                <w:szCs w:val="12"/>
              </w:rPr>
            </w:pPr>
          </w:p>
        </w:tc>
        <w:tc>
          <w:tcPr>
            <w:tcW w:w="2268" w:type="dxa"/>
            <w:shd w:val="clear" w:color="auto" w:fill="F2F2F2"/>
            <w:hideMark/>
          </w:tcPr>
          <w:p w14:paraId="685BECC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9985E46" w14:textId="77777777" w:rsidR="002A4DDF" w:rsidRPr="00937C8B" w:rsidRDefault="002A4DDF" w:rsidP="009110ED">
            <w:pPr>
              <w:rPr>
                <w:rFonts w:ascii="Arial" w:hAnsi="Arial" w:cs="Arial"/>
                <w:sz w:val="12"/>
                <w:szCs w:val="12"/>
              </w:rPr>
            </w:pPr>
            <w:r>
              <w:rPr>
                <w:rFonts w:ascii="Arial" w:hAnsi="Arial"/>
                <w:sz w:val="12"/>
                <w:szCs w:val="12"/>
              </w:rPr>
              <w:t>Padrenda</w:t>
            </w:r>
          </w:p>
        </w:tc>
      </w:tr>
      <w:tr w:rsidR="002A4DDF" w:rsidRPr="00937C8B" w14:paraId="53278EF5" w14:textId="77777777" w:rsidTr="00935676">
        <w:trPr>
          <w:cantSplit/>
        </w:trPr>
        <w:tc>
          <w:tcPr>
            <w:tcW w:w="1696" w:type="dxa"/>
            <w:tcBorders>
              <w:left w:val="single" w:sz="4" w:space="0" w:color="auto"/>
            </w:tcBorders>
            <w:shd w:val="clear" w:color="auto" w:fill="auto"/>
          </w:tcPr>
          <w:p w14:paraId="2E813466" w14:textId="77777777" w:rsidR="002A4DDF" w:rsidRPr="00937C8B" w:rsidRDefault="002A4DDF" w:rsidP="009110ED">
            <w:pPr>
              <w:rPr>
                <w:rFonts w:ascii="Arial" w:hAnsi="Arial" w:cs="Arial"/>
                <w:sz w:val="12"/>
                <w:szCs w:val="12"/>
              </w:rPr>
            </w:pPr>
          </w:p>
        </w:tc>
        <w:tc>
          <w:tcPr>
            <w:tcW w:w="1843" w:type="dxa"/>
            <w:shd w:val="clear" w:color="auto" w:fill="auto"/>
          </w:tcPr>
          <w:p w14:paraId="2DC3FE5A" w14:textId="77777777" w:rsidR="002A4DDF" w:rsidRPr="00937C8B" w:rsidRDefault="002A4DDF" w:rsidP="009110ED">
            <w:pPr>
              <w:rPr>
                <w:rFonts w:ascii="Arial" w:hAnsi="Arial" w:cs="Arial"/>
                <w:sz w:val="12"/>
                <w:szCs w:val="12"/>
              </w:rPr>
            </w:pPr>
          </w:p>
        </w:tc>
        <w:tc>
          <w:tcPr>
            <w:tcW w:w="2268" w:type="dxa"/>
            <w:shd w:val="clear" w:color="auto" w:fill="F2F2F2"/>
            <w:hideMark/>
          </w:tcPr>
          <w:p w14:paraId="53019F9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054E025" w14:textId="77777777" w:rsidR="002A4DDF" w:rsidRPr="00937C8B" w:rsidRDefault="002A4DDF" w:rsidP="009110ED">
            <w:pPr>
              <w:rPr>
                <w:rFonts w:ascii="Arial" w:hAnsi="Arial" w:cs="Arial"/>
                <w:sz w:val="12"/>
                <w:szCs w:val="12"/>
              </w:rPr>
            </w:pPr>
            <w:r>
              <w:rPr>
                <w:rFonts w:ascii="Arial" w:hAnsi="Arial"/>
                <w:sz w:val="12"/>
                <w:szCs w:val="12"/>
              </w:rPr>
              <w:t>Parada de Sil</w:t>
            </w:r>
          </w:p>
        </w:tc>
      </w:tr>
      <w:tr w:rsidR="002A4DDF" w:rsidRPr="00937C8B" w14:paraId="5C9F246C" w14:textId="77777777" w:rsidTr="00935676">
        <w:trPr>
          <w:cantSplit/>
        </w:trPr>
        <w:tc>
          <w:tcPr>
            <w:tcW w:w="1696" w:type="dxa"/>
            <w:tcBorders>
              <w:left w:val="single" w:sz="4" w:space="0" w:color="auto"/>
            </w:tcBorders>
            <w:shd w:val="clear" w:color="auto" w:fill="auto"/>
          </w:tcPr>
          <w:p w14:paraId="2FA42A98" w14:textId="77777777" w:rsidR="002A4DDF" w:rsidRPr="00937C8B" w:rsidRDefault="002A4DDF" w:rsidP="009110ED">
            <w:pPr>
              <w:rPr>
                <w:rFonts w:ascii="Arial" w:hAnsi="Arial" w:cs="Arial"/>
                <w:sz w:val="12"/>
                <w:szCs w:val="12"/>
              </w:rPr>
            </w:pPr>
          </w:p>
        </w:tc>
        <w:tc>
          <w:tcPr>
            <w:tcW w:w="1843" w:type="dxa"/>
            <w:shd w:val="clear" w:color="auto" w:fill="auto"/>
          </w:tcPr>
          <w:p w14:paraId="4802C60F" w14:textId="77777777" w:rsidR="002A4DDF" w:rsidRPr="00937C8B" w:rsidRDefault="002A4DDF" w:rsidP="009110ED">
            <w:pPr>
              <w:rPr>
                <w:rFonts w:ascii="Arial" w:hAnsi="Arial" w:cs="Arial"/>
                <w:sz w:val="12"/>
                <w:szCs w:val="12"/>
              </w:rPr>
            </w:pPr>
          </w:p>
        </w:tc>
        <w:tc>
          <w:tcPr>
            <w:tcW w:w="2268" w:type="dxa"/>
            <w:shd w:val="clear" w:color="auto" w:fill="F2F2F2"/>
            <w:hideMark/>
          </w:tcPr>
          <w:p w14:paraId="2D751A2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079D2F8" w14:textId="77777777" w:rsidR="002A4DDF" w:rsidRPr="00937C8B" w:rsidRDefault="002A4DDF" w:rsidP="009110ED">
            <w:pPr>
              <w:rPr>
                <w:rFonts w:ascii="Arial" w:hAnsi="Arial" w:cs="Arial"/>
                <w:sz w:val="12"/>
                <w:szCs w:val="12"/>
              </w:rPr>
            </w:pPr>
            <w:r>
              <w:rPr>
                <w:rFonts w:ascii="Arial" w:hAnsi="Arial"/>
                <w:sz w:val="12"/>
                <w:szCs w:val="12"/>
              </w:rPr>
              <w:t>Petín</w:t>
            </w:r>
          </w:p>
        </w:tc>
      </w:tr>
      <w:tr w:rsidR="002A4DDF" w:rsidRPr="00937C8B" w14:paraId="0CD3C420" w14:textId="77777777" w:rsidTr="00935676">
        <w:trPr>
          <w:cantSplit/>
        </w:trPr>
        <w:tc>
          <w:tcPr>
            <w:tcW w:w="1696" w:type="dxa"/>
            <w:tcBorders>
              <w:left w:val="single" w:sz="4" w:space="0" w:color="auto"/>
            </w:tcBorders>
            <w:shd w:val="clear" w:color="auto" w:fill="auto"/>
          </w:tcPr>
          <w:p w14:paraId="60452324" w14:textId="77777777" w:rsidR="002A4DDF" w:rsidRPr="00937C8B" w:rsidRDefault="002A4DDF" w:rsidP="009110ED">
            <w:pPr>
              <w:rPr>
                <w:rFonts w:ascii="Arial" w:hAnsi="Arial" w:cs="Arial"/>
                <w:sz w:val="12"/>
                <w:szCs w:val="12"/>
              </w:rPr>
            </w:pPr>
          </w:p>
        </w:tc>
        <w:tc>
          <w:tcPr>
            <w:tcW w:w="1843" w:type="dxa"/>
            <w:shd w:val="clear" w:color="auto" w:fill="auto"/>
          </w:tcPr>
          <w:p w14:paraId="57621490" w14:textId="77777777" w:rsidR="002A4DDF" w:rsidRPr="00937C8B" w:rsidRDefault="002A4DDF" w:rsidP="009110ED">
            <w:pPr>
              <w:rPr>
                <w:rFonts w:ascii="Arial" w:hAnsi="Arial" w:cs="Arial"/>
                <w:sz w:val="12"/>
                <w:szCs w:val="12"/>
              </w:rPr>
            </w:pPr>
          </w:p>
        </w:tc>
        <w:tc>
          <w:tcPr>
            <w:tcW w:w="2268" w:type="dxa"/>
            <w:shd w:val="clear" w:color="auto" w:fill="F2F2F2"/>
            <w:hideMark/>
          </w:tcPr>
          <w:p w14:paraId="68BBB52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4214EAC" w14:textId="77777777" w:rsidR="002A4DDF" w:rsidRPr="00937C8B" w:rsidRDefault="002A4DDF" w:rsidP="009110ED">
            <w:pPr>
              <w:rPr>
                <w:rFonts w:ascii="Arial" w:hAnsi="Arial" w:cs="Arial"/>
                <w:sz w:val="12"/>
                <w:szCs w:val="12"/>
              </w:rPr>
            </w:pPr>
            <w:r>
              <w:rPr>
                <w:rFonts w:ascii="Arial" w:hAnsi="Arial"/>
                <w:sz w:val="12"/>
                <w:szCs w:val="12"/>
              </w:rPr>
              <w:t>Piñor</w:t>
            </w:r>
          </w:p>
        </w:tc>
      </w:tr>
      <w:tr w:rsidR="002A4DDF" w:rsidRPr="00937C8B" w14:paraId="6A42D89A" w14:textId="77777777" w:rsidTr="00935676">
        <w:trPr>
          <w:cantSplit/>
        </w:trPr>
        <w:tc>
          <w:tcPr>
            <w:tcW w:w="1696" w:type="dxa"/>
            <w:tcBorders>
              <w:left w:val="single" w:sz="4" w:space="0" w:color="auto"/>
            </w:tcBorders>
            <w:shd w:val="clear" w:color="auto" w:fill="auto"/>
          </w:tcPr>
          <w:p w14:paraId="3317B679" w14:textId="77777777" w:rsidR="002A4DDF" w:rsidRPr="00937C8B" w:rsidRDefault="002A4DDF" w:rsidP="009110ED">
            <w:pPr>
              <w:rPr>
                <w:rFonts w:ascii="Arial" w:hAnsi="Arial" w:cs="Arial"/>
                <w:sz w:val="12"/>
                <w:szCs w:val="12"/>
              </w:rPr>
            </w:pPr>
          </w:p>
        </w:tc>
        <w:tc>
          <w:tcPr>
            <w:tcW w:w="1843" w:type="dxa"/>
            <w:shd w:val="clear" w:color="auto" w:fill="auto"/>
          </w:tcPr>
          <w:p w14:paraId="2FC0184C" w14:textId="77777777" w:rsidR="002A4DDF" w:rsidRPr="00937C8B" w:rsidRDefault="002A4DDF" w:rsidP="009110ED">
            <w:pPr>
              <w:rPr>
                <w:rFonts w:ascii="Arial" w:hAnsi="Arial" w:cs="Arial"/>
                <w:sz w:val="12"/>
                <w:szCs w:val="12"/>
              </w:rPr>
            </w:pPr>
          </w:p>
        </w:tc>
        <w:tc>
          <w:tcPr>
            <w:tcW w:w="2268" w:type="dxa"/>
            <w:shd w:val="clear" w:color="auto" w:fill="F2F2F2"/>
            <w:hideMark/>
          </w:tcPr>
          <w:p w14:paraId="7770FB5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468243C" w14:textId="77777777" w:rsidR="002A4DDF" w:rsidRPr="00937C8B" w:rsidRDefault="002A4DDF" w:rsidP="009110ED">
            <w:pPr>
              <w:rPr>
                <w:rFonts w:ascii="Arial" w:hAnsi="Arial" w:cs="Arial"/>
                <w:sz w:val="12"/>
                <w:szCs w:val="12"/>
              </w:rPr>
            </w:pPr>
            <w:r>
              <w:rPr>
                <w:rFonts w:ascii="Arial" w:hAnsi="Arial"/>
                <w:sz w:val="12"/>
                <w:szCs w:val="12"/>
              </w:rPr>
              <w:t>Pontedeva</w:t>
            </w:r>
          </w:p>
        </w:tc>
      </w:tr>
      <w:tr w:rsidR="002A4DDF" w:rsidRPr="00937C8B" w14:paraId="18AF6CAC" w14:textId="77777777" w:rsidTr="00935676">
        <w:trPr>
          <w:cantSplit/>
        </w:trPr>
        <w:tc>
          <w:tcPr>
            <w:tcW w:w="1696" w:type="dxa"/>
            <w:tcBorders>
              <w:left w:val="single" w:sz="4" w:space="0" w:color="auto"/>
            </w:tcBorders>
            <w:shd w:val="clear" w:color="auto" w:fill="auto"/>
          </w:tcPr>
          <w:p w14:paraId="217C7EBD" w14:textId="77777777" w:rsidR="002A4DDF" w:rsidRPr="00937C8B" w:rsidRDefault="002A4DDF" w:rsidP="009110ED">
            <w:pPr>
              <w:rPr>
                <w:rFonts w:ascii="Arial" w:hAnsi="Arial" w:cs="Arial"/>
                <w:sz w:val="12"/>
                <w:szCs w:val="12"/>
              </w:rPr>
            </w:pPr>
          </w:p>
        </w:tc>
        <w:tc>
          <w:tcPr>
            <w:tcW w:w="1843" w:type="dxa"/>
            <w:shd w:val="clear" w:color="auto" w:fill="auto"/>
          </w:tcPr>
          <w:p w14:paraId="4016D6A0" w14:textId="77777777" w:rsidR="002A4DDF" w:rsidRPr="00937C8B" w:rsidRDefault="002A4DDF" w:rsidP="009110ED">
            <w:pPr>
              <w:rPr>
                <w:rFonts w:ascii="Arial" w:hAnsi="Arial" w:cs="Arial"/>
                <w:sz w:val="12"/>
                <w:szCs w:val="12"/>
              </w:rPr>
            </w:pPr>
          </w:p>
        </w:tc>
        <w:tc>
          <w:tcPr>
            <w:tcW w:w="2268" w:type="dxa"/>
            <w:shd w:val="clear" w:color="auto" w:fill="F2F2F2"/>
            <w:hideMark/>
          </w:tcPr>
          <w:p w14:paraId="47349A4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80F940C" w14:textId="77777777" w:rsidR="002A4DDF" w:rsidRPr="00937C8B" w:rsidRDefault="002A4DDF" w:rsidP="009110ED">
            <w:pPr>
              <w:rPr>
                <w:rFonts w:ascii="Arial" w:hAnsi="Arial" w:cs="Arial"/>
                <w:sz w:val="12"/>
                <w:szCs w:val="12"/>
              </w:rPr>
            </w:pPr>
            <w:r>
              <w:rPr>
                <w:rFonts w:ascii="Arial" w:hAnsi="Arial"/>
                <w:sz w:val="12"/>
                <w:szCs w:val="12"/>
              </w:rPr>
              <w:t>Porqueira</w:t>
            </w:r>
          </w:p>
        </w:tc>
      </w:tr>
      <w:tr w:rsidR="002A4DDF" w:rsidRPr="00937C8B" w14:paraId="00975A23" w14:textId="77777777" w:rsidTr="00935676">
        <w:trPr>
          <w:cantSplit/>
        </w:trPr>
        <w:tc>
          <w:tcPr>
            <w:tcW w:w="1696" w:type="dxa"/>
            <w:tcBorders>
              <w:left w:val="single" w:sz="4" w:space="0" w:color="auto"/>
            </w:tcBorders>
            <w:shd w:val="clear" w:color="auto" w:fill="auto"/>
          </w:tcPr>
          <w:p w14:paraId="1CE8D3EF" w14:textId="77777777" w:rsidR="002A4DDF" w:rsidRPr="00937C8B" w:rsidRDefault="002A4DDF" w:rsidP="009110ED">
            <w:pPr>
              <w:rPr>
                <w:rFonts w:ascii="Arial" w:hAnsi="Arial" w:cs="Arial"/>
                <w:sz w:val="12"/>
                <w:szCs w:val="12"/>
              </w:rPr>
            </w:pPr>
          </w:p>
        </w:tc>
        <w:tc>
          <w:tcPr>
            <w:tcW w:w="1843" w:type="dxa"/>
            <w:shd w:val="clear" w:color="auto" w:fill="auto"/>
          </w:tcPr>
          <w:p w14:paraId="2B173C4F" w14:textId="77777777" w:rsidR="002A4DDF" w:rsidRPr="00937C8B" w:rsidRDefault="002A4DDF" w:rsidP="009110ED">
            <w:pPr>
              <w:rPr>
                <w:rFonts w:ascii="Arial" w:hAnsi="Arial" w:cs="Arial"/>
                <w:sz w:val="12"/>
                <w:szCs w:val="12"/>
              </w:rPr>
            </w:pPr>
          </w:p>
        </w:tc>
        <w:tc>
          <w:tcPr>
            <w:tcW w:w="2268" w:type="dxa"/>
            <w:shd w:val="clear" w:color="auto" w:fill="F2F2F2"/>
            <w:hideMark/>
          </w:tcPr>
          <w:p w14:paraId="35717D4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DE04A83" w14:textId="77777777" w:rsidR="002A4DDF" w:rsidRPr="00937C8B" w:rsidRDefault="002A4DDF" w:rsidP="009110ED">
            <w:pPr>
              <w:rPr>
                <w:rFonts w:ascii="Arial" w:hAnsi="Arial" w:cs="Arial"/>
                <w:sz w:val="12"/>
                <w:szCs w:val="12"/>
              </w:rPr>
            </w:pPr>
            <w:r>
              <w:rPr>
                <w:rFonts w:ascii="Arial" w:hAnsi="Arial"/>
                <w:sz w:val="12"/>
                <w:szCs w:val="12"/>
              </w:rPr>
              <w:t>Punxín</w:t>
            </w:r>
          </w:p>
        </w:tc>
      </w:tr>
      <w:tr w:rsidR="002A4DDF" w:rsidRPr="00937C8B" w14:paraId="7762E519" w14:textId="77777777" w:rsidTr="00935676">
        <w:trPr>
          <w:cantSplit/>
        </w:trPr>
        <w:tc>
          <w:tcPr>
            <w:tcW w:w="1696" w:type="dxa"/>
            <w:tcBorders>
              <w:left w:val="single" w:sz="4" w:space="0" w:color="auto"/>
            </w:tcBorders>
            <w:shd w:val="clear" w:color="auto" w:fill="auto"/>
          </w:tcPr>
          <w:p w14:paraId="49699C53" w14:textId="77777777" w:rsidR="002A4DDF" w:rsidRPr="00937C8B" w:rsidRDefault="002A4DDF" w:rsidP="009110ED">
            <w:pPr>
              <w:rPr>
                <w:rFonts w:ascii="Arial" w:hAnsi="Arial" w:cs="Arial"/>
                <w:sz w:val="12"/>
                <w:szCs w:val="12"/>
              </w:rPr>
            </w:pPr>
          </w:p>
        </w:tc>
        <w:tc>
          <w:tcPr>
            <w:tcW w:w="1843" w:type="dxa"/>
            <w:shd w:val="clear" w:color="auto" w:fill="auto"/>
          </w:tcPr>
          <w:p w14:paraId="739EEB0D" w14:textId="77777777" w:rsidR="002A4DDF" w:rsidRPr="00937C8B" w:rsidRDefault="002A4DDF" w:rsidP="009110ED">
            <w:pPr>
              <w:rPr>
                <w:rFonts w:ascii="Arial" w:hAnsi="Arial" w:cs="Arial"/>
                <w:sz w:val="12"/>
                <w:szCs w:val="12"/>
              </w:rPr>
            </w:pPr>
          </w:p>
        </w:tc>
        <w:tc>
          <w:tcPr>
            <w:tcW w:w="2268" w:type="dxa"/>
            <w:shd w:val="clear" w:color="auto" w:fill="F2F2F2"/>
            <w:hideMark/>
          </w:tcPr>
          <w:p w14:paraId="32AC414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5519F8F" w14:textId="77777777" w:rsidR="002A4DDF" w:rsidRPr="00937C8B" w:rsidRDefault="002A4DDF" w:rsidP="009110ED">
            <w:pPr>
              <w:rPr>
                <w:rFonts w:ascii="Arial" w:hAnsi="Arial" w:cs="Arial"/>
                <w:sz w:val="12"/>
                <w:szCs w:val="12"/>
              </w:rPr>
            </w:pPr>
            <w:r>
              <w:rPr>
                <w:rFonts w:ascii="Arial" w:hAnsi="Arial"/>
                <w:sz w:val="12"/>
                <w:szCs w:val="12"/>
              </w:rPr>
              <w:t>Quintela de Leirado</w:t>
            </w:r>
          </w:p>
        </w:tc>
      </w:tr>
      <w:tr w:rsidR="002A4DDF" w:rsidRPr="00937C8B" w14:paraId="01A4245B" w14:textId="77777777" w:rsidTr="00935676">
        <w:trPr>
          <w:cantSplit/>
        </w:trPr>
        <w:tc>
          <w:tcPr>
            <w:tcW w:w="1696" w:type="dxa"/>
            <w:tcBorders>
              <w:left w:val="single" w:sz="4" w:space="0" w:color="auto"/>
            </w:tcBorders>
            <w:shd w:val="clear" w:color="auto" w:fill="auto"/>
          </w:tcPr>
          <w:p w14:paraId="27FBDA1B" w14:textId="77777777" w:rsidR="002A4DDF" w:rsidRPr="00937C8B" w:rsidRDefault="002A4DDF" w:rsidP="009110ED">
            <w:pPr>
              <w:rPr>
                <w:rFonts w:ascii="Arial" w:hAnsi="Arial" w:cs="Arial"/>
                <w:sz w:val="12"/>
                <w:szCs w:val="12"/>
              </w:rPr>
            </w:pPr>
          </w:p>
        </w:tc>
        <w:tc>
          <w:tcPr>
            <w:tcW w:w="1843" w:type="dxa"/>
            <w:shd w:val="clear" w:color="auto" w:fill="auto"/>
          </w:tcPr>
          <w:p w14:paraId="03EB188D" w14:textId="77777777" w:rsidR="002A4DDF" w:rsidRPr="00937C8B" w:rsidRDefault="002A4DDF" w:rsidP="009110ED">
            <w:pPr>
              <w:rPr>
                <w:rFonts w:ascii="Arial" w:hAnsi="Arial" w:cs="Arial"/>
                <w:sz w:val="12"/>
                <w:szCs w:val="12"/>
              </w:rPr>
            </w:pPr>
          </w:p>
        </w:tc>
        <w:tc>
          <w:tcPr>
            <w:tcW w:w="2268" w:type="dxa"/>
            <w:shd w:val="clear" w:color="auto" w:fill="F2F2F2"/>
            <w:hideMark/>
          </w:tcPr>
          <w:p w14:paraId="6D198B6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806A2E7" w14:textId="77777777" w:rsidR="002A4DDF" w:rsidRPr="00937C8B" w:rsidRDefault="002A4DDF" w:rsidP="009110ED">
            <w:pPr>
              <w:rPr>
                <w:rFonts w:ascii="Arial" w:hAnsi="Arial" w:cs="Arial"/>
                <w:sz w:val="12"/>
                <w:szCs w:val="12"/>
              </w:rPr>
            </w:pPr>
            <w:r>
              <w:rPr>
                <w:rFonts w:ascii="Arial" w:hAnsi="Arial"/>
                <w:sz w:val="12"/>
                <w:szCs w:val="12"/>
              </w:rPr>
              <w:t>Ramirás</w:t>
            </w:r>
          </w:p>
        </w:tc>
      </w:tr>
      <w:tr w:rsidR="002A4DDF" w:rsidRPr="00937C8B" w14:paraId="1F883A8F" w14:textId="77777777" w:rsidTr="00935676">
        <w:trPr>
          <w:cantSplit/>
        </w:trPr>
        <w:tc>
          <w:tcPr>
            <w:tcW w:w="1696" w:type="dxa"/>
            <w:tcBorders>
              <w:left w:val="single" w:sz="4" w:space="0" w:color="auto"/>
            </w:tcBorders>
            <w:shd w:val="clear" w:color="auto" w:fill="auto"/>
          </w:tcPr>
          <w:p w14:paraId="11135F86" w14:textId="77777777" w:rsidR="002A4DDF" w:rsidRPr="00937C8B" w:rsidRDefault="002A4DDF" w:rsidP="009110ED">
            <w:pPr>
              <w:rPr>
                <w:rFonts w:ascii="Arial" w:hAnsi="Arial" w:cs="Arial"/>
                <w:sz w:val="12"/>
                <w:szCs w:val="12"/>
              </w:rPr>
            </w:pPr>
          </w:p>
        </w:tc>
        <w:tc>
          <w:tcPr>
            <w:tcW w:w="1843" w:type="dxa"/>
            <w:shd w:val="clear" w:color="auto" w:fill="auto"/>
          </w:tcPr>
          <w:p w14:paraId="2F444E74" w14:textId="77777777" w:rsidR="002A4DDF" w:rsidRPr="00937C8B" w:rsidRDefault="002A4DDF" w:rsidP="009110ED">
            <w:pPr>
              <w:rPr>
                <w:rFonts w:ascii="Arial" w:hAnsi="Arial" w:cs="Arial"/>
                <w:sz w:val="12"/>
                <w:szCs w:val="12"/>
              </w:rPr>
            </w:pPr>
          </w:p>
        </w:tc>
        <w:tc>
          <w:tcPr>
            <w:tcW w:w="2268" w:type="dxa"/>
            <w:shd w:val="clear" w:color="auto" w:fill="F2F2F2"/>
            <w:hideMark/>
          </w:tcPr>
          <w:p w14:paraId="6A82950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E9B869E" w14:textId="77777777" w:rsidR="002A4DDF" w:rsidRPr="00937C8B" w:rsidRDefault="002A4DDF" w:rsidP="009110ED">
            <w:pPr>
              <w:rPr>
                <w:rFonts w:ascii="Arial" w:hAnsi="Arial" w:cs="Arial"/>
                <w:sz w:val="12"/>
                <w:szCs w:val="12"/>
              </w:rPr>
            </w:pPr>
            <w:r>
              <w:rPr>
                <w:rFonts w:ascii="Arial" w:hAnsi="Arial"/>
                <w:sz w:val="12"/>
                <w:szCs w:val="12"/>
              </w:rPr>
              <w:t>Ribadavia</w:t>
            </w:r>
          </w:p>
        </w:tc>
      </w:tr>
      <w:tr w:rsidR="002A4DDF" w:rsidRPr="00937C8B" w14:paraId="566098D5" w14:textId="77777777" w:rsidTr="00935676">
        <w:trPr>
          <w:cantSplit/>
        </w:trPr>
        <w:tc>
          <w:tcPr>
            <w:tcW w:w="1696" w:type="dxa"/>
            <w:tcBorders>
              <w:left w:val="single" w:sz="4" w:space="0" w:color="auto"/>
            </w:tcBorders>
            <w:shd w:val="clear" w:color="auto" w:fill="auto"/>
          </w:tcPr>
          <w:p w14:paraId="483B4DA6" w14:textId="77777777" w:rsidR="002A4DDF" w:rsidRPr="00937C8B" w:rsidRDefault="002A4DDF" w:rsidP="009110ED">
            <w:pPr>
              <w:rPr>
                <w:rFonts w:ascii="Arial" w:hAnsi="Arial" w:cs="Arial"/>
                <w:sz w:val="12"/>
                <w:szCs w:val="12"/>
              </w:rPr>
            </w:pPr>
          </w:p>
        </w:tc>
        <w:tc>
          <w:tcPr>
            <w:tcW w:w="1843" w:type="dxa"/>
            <w:shd w:val="clear" w:color="auto" w:fill="auto"/>
          </w:tcPr>
          <w:p w14:paraId="261EC102" w14:textId="77777777" w:rsidR="002A4DDF" w:rsidRPr="00937C8B" w:rsidRDefault="002A4DDF" w:rsidP="009110ED">
            <w:pPr>
              <w:rPr>
                <w:rFonts w:ascii="Arial" w:hAnsi="Arial" w:cs="Arial"/>
                <w:sz w:val="12"/>
                <w:szCs w:val="12"/>
              </w:rPr>
            </w:pPr>
          </w:p>
        </w:tc>
        <w:tc>
          <w:tcPr>
            <w:tcW w:w="2268" w:type="dxa"/>
            <w:shd w:val="clear" w:color="auto" w:fill="F2F2F2"/>
            <w:hideMark/>
          </w:tcPr>
          <w:p w14:paraId="04DF2C3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0AF0BB4" w14:textId="77777777" w:rsidR="002A4DDF" w:rsidRPr="00937C8B" w:rsidRDefault="002A4DDF" w:rsidP="009110ED">
            <w:pPr>
              <w:rPr>
                <w:rFonts w:ascii="Arial" w:hAnsi="Arial" w:cs="Arial"/>
                <w:sz w:val="12"/>
                <w:szCs w:val="12"/>
              </w:rPr>
            </w:pPr>
            <w:r>
              <w:rPr>
                <w:rFonts w:ascii="Arial" w:hAnsi="Arial"/>
                <w:sz w:val="12"/>
                <w:szCs w:val="12"/>
              </w:rPr>
              <w:t>Riós</w:t>
            </w:r>
          </w:p>
        </w:tc>
      </w:tr>
      <w:tr w:rsidR="002A4DDF" w:rsidRPr="00937C8B" w14:paraId="251BA651" w14:textId="77777777" w:rsidTr="00935676">
        <w:trPr>
          <w:cantSplit/>
        </w:trPr>
        <w:tc>
          <w:tcPr>
            <w:tcW w:w="1696" w:type="dxa"/>
            <w:tcBorders>
              <w:left w:val="single" w:sz="4" w:space="0" w:color="auto"/>
            </w:tcBorders>
            <w:shd w:val="clear" w:color="auto" w:fill="auto"/>
          </w:tcPr>
          <w:p w14:paraId="52D4162B" w14:textId="77777777" w:rsidR="002A4DDF" w:rsidRPr="00937C8B" w:rsidRDefault="002A4DDF" w:rsidP="009110ED">
            <w:pPr>
              <w:rPr>
                <w:rFonts w:ascii="Arial" w:hAnsi="Arial" w:cs="Arial"/>
                <w:sz w:val="12"/>
                <w:szCs w:val="12"/>
              </w:rPr>
            </w:pPr>
          </w:p>
        </w:tc>
        <w:tc>
          <w:tcPr>
            <w:tcW w:w="1843" w:type="dxa"/>
            <w:shd w:val="clear" w:color="auto" w:fill="auto"/>
          </w:tcPr>
          <w:p w14:paraId="2D635F6A" w14:textId="77777777" w:rsidR="002A4DDF" w:rsidRPr="00937C8B" w:rsidRDefault="002A4DDF" w:rsidP="009110ED">
            <w:pPr>
              <w:rPr>
                <w:rFonts w:ascii="Arial" w:hAnsi="Arial" w:cs="Arial"/>
                <w:sz w:val="12"/>
                <w:szCs w:val="12"/>
              </w:rPr>
            </w:pPr>
          </w:p>
        </w:tc>
        <w:tc>
          <w:tcPr>
            <w:tcW w:w="2268" w:type="dxa"/>
            <w:shd w:val="clear" w:color="auto" w:fill="F2F2F2"/>
            <w:hideMark/>
          </w:tcPr>
          <w:p w14:paraId="58503FA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9A68A7D" w14:textId="77777777" w:rsidR="002A4DDF" w:rsidRPr="00937C8B" w:rsidRDefault="002A4DDF" w:rsidP="009110ED">
            <w:pPr>
              <w:rPr>
                <w:rFonts w:ascii="Arial" w:hAnsi="Arial" w:cs="Arial"/>
                <w:sz w:val="12"/>
                <w:szCs w:val="12"/>
              </w:rPr>
            </w:pPr>
            <w:r>
              <w:rPr>
                <w:rFonts w:ascii="Arial" w:hAnsi="Arial"/>
                <w:sz w:val="12"/>
                <w:szCs w:val="12"/>
              </w:rPr>
              <w:t>San Amaro</w:t>
            </w:r>
          </w:p>
        </w:tc>
      </w:tr>
      <w:tr w:rsidR="002A4DDF" w:rsidRPr="00937C8B" w14:paraId="75D08A65" w14:textId="77777777" w:rsidTr="00935676">
        <w:trPr>
          <w:cantSplit/>
        </w:trPr>
        <w:tc>
          <w:tcPr>
            <w:tcW w:w="1696" w:type="dxa"/>
            <w:tcBorders>
              <w:left w:val="single" w:sz="4" w:space="0" w:color="auto"/>
            </w:tcBorders>
            <w:shd w:val="clear" w:color="auto" w:fill="auto"/>
          </w:tcPr>
          <w:p w14:paraId="30C84127" w14:textId="77777777" w:rsidR="002A4DDF" w:rsidRPr="00937C8B" w:rsidRDefault="002A4DDF" w:rsidP="009110ED">
            <w:pPr>
              <w:rPr>
                <w:rFonts w:ascii="Arial" w:hAnsi="Arial" w:cs="Arial"/>
                <w:sz w:val="12"/>
                <w:szCs w:val="12"/>
              </w:rPr>
            </w:pPr>
          </w:p>
        </w:tc>
        <w:tc>
          <w:tcPr>
            <w:tcW w:w="1843" w:type="dxa"/>
            <w:shd w:val="clear" w:color="auto" w:fill="auto"/>
          </w:tcPr>
          <w:p w14:paraId="0D7832D6" w14:textId="77777777" w:rsidR="002A4DDF" w:rsidRPr="00937C8B" w:rsidRDefault="002A4DDF" w:rsidP="009110ED">
            <w:pPr>
              <w:rPr>
                <w:rFonts w:ascii="Arial" w:hAnsi="Arial" w:cs="Arial"/>
                <w:sz w:val="12"/>
                <w:szCs w:val="12"/>
              </w:rPr>
            </w:pPr>
          </w:p>
        </w:tc>
        <w:tc>
          <w:tcPr>
            <w:tcW w:w="2268" w:type="dxa"/>
            <w:shd w:val="clear" w:color="auto" w:fill="F2F2F2"/>
            <w:hideMark/>
          </w:tcPr>
          <w:p w14:paraId="5743020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0B1888E" w14:textId="77777777" w:rsidR="002A4DDF" w:rsidRPr="00937C8B" w:rsidRDefault="002A4DDF" w:rsidP="009110ED">
            <w:pPr>
              <w:rPr>
                <w:rFonts w:ascii="Arial" w:hAnsi="Arial" w:cs="Arial"/>
                <w:sz w:val="12"/>
                <w:szCs w:val="12"/>
              </w:rPr>
            </w:pPr>
            <w:r>
              <w:rPr>
                <w:rFonts w:ascii="Arial" w:hAnsi="Arial"/>
                <w:sz w:val="12"/>
                <w:szCs w:val="12"/>
              </w:rPr>
              <w:t>San Cibrao das Viñas</w:t>
            </w:r>
          </w:p>
        </w:tc>
      </w:tr>
      <w:tr w:rsidR="002A4DDF" w:rsidRPr="00937C8B" w14:paraId="59EAF0E6" w14:textId="77777777" w:rsidTr="00935676">
        <w:trPr>
          <w:cantSplit/>
        </w:trPr>
        <w:tc>
          <w:tcPr>
            <w:tcW w:w="1696" w:type="dxa"/>
            <w:tcBorders>
              <w:left w:val="single" w:sz="4" w:space="0" w:color="auto"/>
            </w:tcBorders>
            <w:shd w:val="clear" w:color="auto" w:fill="auto"/>
          </w:tcPr>
          <w:p w14:paraId="5C5A4A96" w14:textId="77777777" w:rsidR="002A4DDF" w:rsidRPr="00937C8B" w:rsidRDefault="002A4DDF" w:rsidP="009110ED">
            <w:pPr>
              <w:rPr>
                <w:rFonts w:ascii="Arial" w:hAnsi="Arial" w:cs="Arial"/>
                <w:sz w:val="12"/>
                <w:szCs w:val="12"/>
              </w:rPr>
            </w:pPr>
          </w:p>
        </w:tc>
        <w:tc>
          <w:tcPr>
            <w:tcW w:w="1843" w:type="dxa"/>
            <w:shd w:val="clear" w:color="auto" w:fill="auto"/>
          </w:tcPr>
          <w:p w14:paraId="0EEC4D1D" w14:textId="77777777" w:rsidR="002A4DDF" w:rsidRPr="00937C8B" w:rsidRDefault="002A4DDF" w:rsidP="009110ED">
            <w:pPr>
              <w:rPr>
                <w:rFonts w:ascii="Arial" w:hAnsi="Arial" w:cs="Arial"/>
                <w:sz w:val="12"/>
                <w:szCs w:val="12"/>
              </w:rPr>
            </w:pPr>
          </w:p>
        </w:tc>
        <w:tc>
          <w:tcPr>
            <w:tcW w:w="2268" w:type="dxa"/>
            <w:shd w:val="clear" w:color="auto" w:fill="F2F2F2"/>
            <w:hideMark/>
          </w:tcPr>
          <w:p w14:paraId="1A57053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770B560" w14:textId="77777777" w:rsidR="002A4DDF" w:rsidRPr="00937C8B" w:rsidRDefault="002A4DDF" w:rsidP="009110ED">
            <w:pPr>
              <w:rPr>
                <w:rFonts w:ascii="Arial" w:hAnsi="Arial" w:cs="Arial"/>
                <w:sz w:val="12"/>
                <w:szCs w:val="12"/>
              </w:rPr>
            </w:pPr>
            <w:r>
              <w:rPr>
                <w:rFonts w:ascii="Arial" w:hAnsi="Arial"/>
                <w:sz w:val="12"/>
                <w:szCs w:val="12"/>
              </w:rPr>
              <w:t>San Cristovo de Cea</w:t>
            </w:r>
          </w:p>
        </w:tc>
      </w:tr>
      <w:tr w:rsidR="002A4DDF" w:rsidRPr="00937C8B" w14:paraId="3B4E8A6C" w14:textId="77777777" w:rsidTr="00935676">
        <w:trPr>
          <w:cantSplit/>
        </w:trPr>
        <w:tc>
          <w:tcPr>
            <w:tcW w:w="1696" w:type="dxa"/>
            <w:tcBorders>
              <w:left w:val="single" w:sz="4" w:space="0" w:color="auto"/>
            </w:tcBorders>
            <w:shd w:val="clear" w:color="auto" w:fill="auto"/>
          </w:tcPr>
          <w:p w14:paraId="25289D45" w14:textId="77777777" w:rsidR="002A4DDF" w:rsidRPr="00937C8B" w:rsidRDefault="002A4DDF" w:rsidP="009110ED">
            <w:pPr>
              <w:rPr>
                <w:rFonts w:ascii="Arial" w:hAnsi="Arial" w:cs="Arial"/>
                <w:sz w:val="12"/>
                <w:szCs w:val="12"/>
              </w:rPr>
            </w:pPr>
          </w:p>
        </w:tc>
        <w:tc>
          <w:tcPr>
            <w:tcW w:w="1843" w:type="dxa"/>
            <w:shd w:val="clear" w:color="auto" w:fill="auto"/>
          </w:tcPr>
          <w:p w14:paraId="22262142" w14:textId="77777777" w:rsidR="002A4DDF" w:rsidRPr="00937C8B" w:rsidRDefault="002A4DDF" w:rsidP="009110ED">
            <w:pPr>
              <w:rPr>
                <w:rFonts w:ascii="Arial" w:hAnsi="Arial" w:cs="Arial"/>
                <w:sz w:val="12"/>
                <w:szCs w:val="12"/>
              </w:rPr>
            </w:pPr>
          </w:p>
        </w:tc>
        <w:tc>
          <w:tcPr>
            <w:tcW w:w="2268" w:type="dxa"/>
            <w:shd w:val="clear" w:color="auto" w:fill="F2F2F2"/>
            <w:hideMark/>
          </w:tcPr>
          <w:p w14:paraId="2BD6958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2323600" w14:textId="77777777" w:rsidR="002A4DDF" w:rsidRPr="00937C8B" w:rsidRDefault="002A4DDF" w:rsidP="009110ED">
            <w:pPr>
              <w:rPr>
                <w:rFonts w:ascii="Arial" w:hAnsi="Arial" w:cs="Arial"/>
                <w:sz w:val="12"/>
                <w:szCs w:val="12"/>
              </w:rPr>
            </w:pPr>
            <w:r>
              <w:rPr>
                <w:rFonts w:ascii="Arial" w:hAnsi="Arial"/>
                <w:sz w:val="12"/>
                <w:szCs w:val="12"/>
              </w:rPr>
              <w:t>San Xoán de Río</w:t>
            </w:r>
          </w:p>
        </w:tc>
      </w:tr>
      <w:tr w:rsidR="002A4DDF" w:rsidRPr="00937C8B" w14:paraId="13359BD9" w14:textId="77777777" w:rsidTr="00935676">
        <w:trPr>
          <w:cantSplit/>
        </w:trPr>
        <w:tc>
          <w:tcPr>
            <w:tcW w:w="1696" w:type="dxa"/>
            <w:tcBorders>
              <w:left w:val="single" w:sz="4" w:space="0" w:color="auto"/>
            </w:tcBorders>
            <w:shd w:val="clear" w:color="auto" w:fill="auto"/>
          </w:tcPr>
          <w:p w14:paraId="4F2124B4" w14:textId="77777777" w:rsidR="002A4DDF" w:rsidRPr="00937C8B" w:rsidRDefault="002A4DDF" w:rsidP="009110ED">
            <w:pPr>
              <w:rPr>
                <w:rFonts w:ascii="Arial" w:hAnsi="Arial" w:cs="Arial"/>
                <w:sz w:val="12"/>
                <w:szCs w:val="12"/>
              </w:rPr>
            </w:pPr>
          </w:p>
        </w:tc>
        <w:tc>
          <w:tcPr>
            <w:tcW w:w="1843" w:type="dxa"/>
            <w:shd w:val="clear" w:color="auto" w:fill="auto"/>
          </w:tcPr>
          <w:p w14:paraId="4589F491" w14:textId="77777777" w:rsidR="002A4DDF" w:rsidRPr="00937C8B" w:rsidRDefault="002A4DDF" w:rsidP="009110ED">
            <w:pPr>
              <w:rPr>
                <w:rFonts w:ascii="Arial" w:hAnsi="Arial" w:cs="Arial"/>
                <w:sz w:val="12"/>
                <w:szCs w:val="12"/>
              </w:rPr>
            </w:pPr>
          </w:p>
        </w:tc>
        <w:tc>
          <w:tcPr>
            <w:tcW w:w="2268" w:type="dxa"/>
            <w:shd w:val="clear" w:color="auto" w:fill="F2F2F2"/>
            <w:hideMark/>
          </w:tcPr>
          <w:p w14:paraId="58783D1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7CC49BD" w14:textId="77777777" w:rsidR="002A4DDF" w:rsidRPr="00937C8B" w:rsidRDefault="002A4DDF" w:rsidP="009110ED">
            <w:pPr>
              <w:rPr>
                <w:rFonts w:ascii="Arial" w:hAnsi="Arial" w:cs="Arial"/>
                <w:sz w:val="12"/>
                <w:szCs w:val="12"/>
              </w:rPr>
            </w:pPr>
            <w:r>
              <w:rPr>
                <w:rFonts w:ascii="Arial" w:hAnsi="Arial"/>
                <w:sz w:val="12"/>
                <w:szCs w:val="12"/>
              </w:rPr>
              <w:t>Sandiás</w:t>
            </w:r>
          </w:p>
        </w:tc>
      </w:tr>
      <w:tr w:rsidR="002A4DDF" w:rsidRPr="00937C8B" w14:paraId="7DF9CE2D" w14:textId="77777777" w:rsidTr="00935676">
        <w:trPr>
          <w:cantSplit/>
        </w:trPr>
        <w:tc>
          <w:tcPr>
            <w:tcW w:w="1696" w:type="dxa"/>
            <w:tcBorders>
              <w:left w:val="single" w:sz="4" w:space="0" w:color="auto"/>
            </w:tcBorders>
            <w:shd w:val="clear" w:color="auto" w:fill="auto"/>
          </w:tcPr>
          <w:p w14:paraId="0AA8928D" w14:textId="77777777" w:rsidR="002A4DDF" w:rsidRPr="00937C8B" w:rsidRDefault="002A4DDF" w:rsidP="009110ED">
            <w:pPr>
              <w:rPr>
                <w:rFonts w:ascii="Arial" w:hAnsi="Arial" w:cs="Arial"/>
                <w:sz w:val="12"/>
                <w:szCs w:val="12"/>
              </w:rPr>
            </w:pPr>
          </w:p>
        </w:tc>
        <w:tc>
          <w:tcPr>
            <w:tcW w:w="1843" w:type="dxa"/>
            <w:shd w:val="clear" w:color="auto" w:fill="auto"/>
          </w:tcPr>
          <w:p w14:paraId="000ADFFA" w14:textId="77777777" w:rsidR="002A4DDF" w:rsidRPr="00937C8B" w:rsidRDefault="002A4DDF" w:rsidP="009110ED">
            <w:pPr>
              <w:rPr>
                <w:rFonts w:ascii="Arial" w:hAnsi="Arial" w:cs="Arial"/>
                <w:sz w:val="12"/>
                <w:szCs w:val="12"/>
              </w:rPr>
            </w:pPr>
          </w:p>
        </w:tc>
        <w:tc>
          <w:tcPr>
            <w:tcW w:w="2268" w:type="dxa"/>
            <w:shd w:val="clear" w:color="auto" w:fill="F2F2F2"/>
            <w:hideMark/>
          </w:tcPr>
          <w:p w14:paraId="3C3F288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E01968F" w14:textId="77777777" w:rsidR="002A4DDF" w:rsidRPr="00937C8B" w:rsidRDefault="002A4DDF" w:rsidP="009110ED">
            <w:pPr>
              <w:rPr>
                <w:rFonts w:ascii="Arial" w:hAnsi="Arial" w:cs="Arial"/>
                <w:sz w:val="12"/>
                <w:szCs w:val="12"/>
              </w:rPr>
            </w:pPr>
            <w:r>
              <w:rPr>
                <w:rFonts w:ascii="Arial" w:hAnsi="Arial"/>
                <w:sz w:val="12"/>
                <w:szCs w:val="12"/>
              </w:rPr>
              <w:t>Sarreaus</w:t>
            </w:r>
          </w:p>
        </w:tc>
      </w:tr>
      <w:tr w:rsidR="002A4DDF" w:rsidRPr="00937C8B" w14:paraId="45C0B8D4" w14:textId="77777777" w:rsidTr="00935676">
        <w:trPr>
          <w:cantSplit/>
        </w:trPr>
        <w:tc>
          <w:tcPr>
            <w:tcW w:w="1696" w:type="dxa"/>
            <w:tcBorders>
              <w:left w:val="single" w:sz="4" w:space="0" w:color="auto"/>
            </w:tcBorders>
            <w:shd w:val="clear" w:color="auto" w:fill="auto"/>
          </w:tcPr>
          <w:p w14:paraId="73679991" w14:textId="77777777" w:rsidR="002A4DDF" w:rsidRPr="00937C8B" w:rsidRDefault="002A4DDF" w:rsidP="009110ED">
            <w:pPr>
              <w:rPr>
                <w:rFonts w:ascii="Arial" w:hAnsi="Arial" w:cs="Arial"/>
                <w:sz w:val="12"/>
                <w:szCs w:val="12"/>
              </w:rPr>
            </w:pPr>
          </w:p>
        </w:tc>
        <w:tc>
          <w:tcPr>
            <w:tcW w:w="1843" w:type="dxa"/>
            <w:shd w:val="clear" w:color="auto" w:fill="auto"/>
          </w:tcPr>
          <w:p w14:paraId="687B4E61" w14:textId="77777777" w:rsidR="002A4DDF" w:rsidRPr="00937C8B" w:rsidRDefault="002A4DDF" w:rsidP="009110ED">
            <w:pPr>
              <w:rPr>
                <w:rFonts w:ascii="Arial" w:hAnsi="Arial" w:cs="Arial"/>
                <w:sz w:val="12"/>
                <w:szCs w:val="12"/>
              </w:rPr>
            </w:pPr>
          </w:p>
        </w:tc>
        <w:tc>
          <w:tcPr>
            <w:tcW w:w="2268" w:type="dxa"/>
            <w:shd w:val="clear" w:color="auto" w:fill="F2F2F2"/>
            <w:hideMark/>
          </w:tcPr>
          <w:p w14:paraId="5D7ABF1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900FB97" w14:textId="77777777" w:rsidR="002A4DDF" w:rsidRPr="00937C8B" w:rsidRDefault="002A4DDF" w:rsidP="009110ED">
            <w:pPr>
              <w:rPr>
                <w:rFonts w:ascii="Arial" w:hAnsi="Arial" w:cs="Arial"/>
                <w:sz w:val="12"/>
                <w:szCs w:val="12"/>
              </w:rPr>
            </w:pPr>
            <w:r>
              <w:rPr>
                <w:rFonts w:ascii="Arial" w:hAnsi="Arial"/>
                <w:sz w:val="12"/>
                <w:szCs w:val="12"/>
              </w:rPr>
              <w:t>Taboadela</w:t>
            </w:r>
          </w:p>
        </w:tc>
      </w:tr>
      <w:tr w:rsidR="002A4DDF" w:rsidRPr="00937C8B" w14:paraId="170A51A4" w14:textId="77777777" w:rsidTr="00935676">
        <w:trPr>
          <w:cantSplit/>
        </w:trPr>
        <w:tc>
          <w:tcPr>
            <w:tcW w:w="1696" w:type="dxa"/>
            <w:tcBorders>
              <w:left w:val="single" w:sz="4" w:space="0" w:color="auto"/>
            </w:tcBorders>
            <w:shd w:val="clear" w:color="auto" w:fill="auto"/>
          </w:tcPr>
          <w:p w14:paraId="0D7F8937" w14:textId="77777777" w:rsidR="002A4DDF" w:rsidRPr="00937C8B" w:rsidRDefault="002A4DDF" w:rsidP="009110ED">
            <w:pPr>
              <w:rPr>
                <w:rFonts w:ascii="Arial" w:hAnsi="Arial" w:cs="Arial"/>
                <w:sz w:val="12"/>
                <w:szCs w:val="12"/>
              </w:rPr>
            </w:pPr>
          </w:p>
        </w:tc>
        <w:tc>
          <w:tcPr>
            <w:tcW w:w="1843" w:type="dxa"/>
            <w:shd w:val="clear" w:color="auto" w:fill="auto"/>
          </w:tcPr>
          <w:p w14:paraId="70BFC18B" w14:textId="77777777" w:rsidR="002A4DDF" w:rsidRPr="00937C8B" w:rsidRDefault="002A4DDF" w:rsidP="009110ED">
            <w:pPr>
              <w:rPr>
                <w:rFonts w:ascii="Arial" w:hAnsi="Arial" w:cs="Arial"/>
                <w:sz w:val="12"/>
                <w:szCs w:val="12"/>
              </w:rPr>
            </w:pPr>
          </w:p>
        </w:tc>
        <w:tc>
          <w:tcPr>
            <w:tcW w:w="2268" w:type="dxa"/>
            <w:shd w:val="clear" w:color="auto" w:fill="F2F2F2"/>
            <w:hideMark/>
          </w:tcPr>
          <w:p w14:paraId="0770E50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10F67B5" w14:textId="77777777" w:rsidR="002A4DDF" w:rsidRPr="00937C8B" w:rsidRDefault="002A4DDF" w:rsidP="009110ED">
            <w:pPr>
              <w:rPr>
                <w:rFonts w:ascii="Arial" w:hAnsi="Arial" w:cs="Arial"/>
                <w:sz w:val="12"/>
                <w:szCs w:val="12"/>
              </w:rPr>
            </w:pPr>
            <w:r>
              <w:rPr>
                <w:rFonts w:ascii="Arial" w:hAnsi="Arial"/>
                <w:sz w:val="12"/>
                <w:szCs w:val="12"/>
              </w:rPr>
              <w:t>Toén</w:t>
            </w:r>
          </w:p>
        </w:tc>
      </w:tr>
      <w:tr w:rsidR="002A4DDF" w:rsidRPr="00937C8B" w14:paraId="418D0EB1" w14:textId="77777777" w:rsidTr="00935676">
        <w:trPr>
          <w:cantSplit/>
        </w:trPr>
        <w:tc>
          <w:tcPr>
            <w:tcW w:w="1696" w:type="dxa"/>
            <w:tcBorders>
              <w:left w:val="single" w:sz="4" w:space="0" w:color="auto"/>
            </w:tcBorders>
            <w:shd w:val="clear" w:color="auto" w:fill="auto"/>
          </w:tcPr>
          <w:p w14:paraId="01EAAD9D" w14:textId="77777777" w:rsidR="002A4DDF" w:rsidRPr="00937C8B" w:rsidRDefault="002A4DDF" w:rsidP="009110ED">
            <w:pPr>
              <w:rPr>
                <w:rFonts w:ascii="Arial" w:hAnsi="Arial" w:cs="Arial"/>
                <w:sz w:val="12"/>
                <w:szCs w:val="12"/>
              </w:rPr>
            </w:pPr>
          </w:p>
        </w:tc>
        <w:tc>
          <w:tcPr>
            <w:tcW w:w="1843" w:type="dxa"/>
            <w:shd w:val="clear" w:color="auto" w:fill="auto"/>
          </w:tcPr>
          <w:p w14:paraId="231319E2" w14:textId="77777777" w:rsidR="002A4DDF" w:rsidRPr="00937C8B" w:rsidRDefault="002A4DDF" w:rsidP="009110ED">
            <w:pPr>
              <w:rPr>
                <w:rFonts w:ascii="Arial" w:hAnsi="Arial" w:cs="Arial"/>
                <w:sz w:val="12"/>
                <w:szCs w:val="12"/>
              </w:rPr>
            </w:pPr>
          </w:p>
        </w:tc>
        <w:tc>
          <w:tcPr>
            <w:tcW w:w="2268" w:type="dxa"/>
            <w:shd w:val="clear" w:color="auto" w:fill="F2F2F2"/>
            <w:hideMark/>
          </w:tcPr>
          <w:p w14:paraId="2ED4AF4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054D571" w14:textId="77777777" w:rsidR="002A4DDF" w:rsidRPr="00937C8B" w:rsidRDefault="002A4DDF" w:rsidP="009110ED">
            <w:pPr>
              <w:rPr>
                <w:rFonts w:ascii="Arial" w:hAnsi="Arial" w:cs="Arial"/>
                <w:sz w:val="12"/>
                <w:szCs w:val="12"/>
              </w:rPr>
            </w:pPr>
            <w:r>
              <w:rPr>
                <w:rFonts w:ascii="Arial" w:hAnsi="Arial"/>
                <w:sz w:val="12"/>
                <w:szCs w:val="12"/>
              </w:rPr>
              <w:t>Trasmiras</w:t>
            </w:r>
          </w:p>
        </w:tc>
      </w:tr>
      <w:tr w:rsidR="002A4DDF" w:rsidRPr="00937C8B" w14:paraId="6BC64E0B" w14:textId="77777777" w:rsidTr="00935676">
        <w:trPr>
          <w:cantSplit/>
        </w:trPr>
        <w:tc>
          <w:tcPr>
            <w:tcW w:w="1696" w:type="dxa"/>
            <w:tcBorders>
              <w:left w:val="single" w:sz="4" w:space="0" w:color="auto"/>
            </w:tcBorders>
            <w:shd w:val="clear" w:color="auto" w:fill="auto"/>
          </w:tcPr>
          <w:p w14:paraId="5B797072" w14:textId="77777777" w:rsidR="002A4DDF" w:rsidRPr="00937C8B" w:rsidRDefault="002A4DDF" w:rsidP="009110ED">
            <w:pPr>
              <w:rPr>
                <w:rFonts w:ascii="Arial" w:hAnsi="Arial" w:cs="Arial"/>
                <w:sz w:val="12"/>
                <w:szCs w:val="12"/>
              </w:rPr>
            </w:pPr>
          </w:p>
        </w:tc>
        <w:tc>
          <w:tcPr>
            <w:tcW w:w="1843" w:type="dxa"/>
            <w:shd w:val="clear" w:color="auto" w:fill="auto"/>
          </w:tcPr>
          <w:p w14:paraId="5CDB9E94" w14:textId="77777777" w:rsidR="002A4DDF" w:rsidRPr="00937C8B" w:rsidRDefault="002A4DDF" w:rsidP="009110ED">
            <w:pPr>
              <w:rPr>
                <w:rFonts w:ascii="Arial" w:hAnsi="Arial" w:cs="Arial"/>
                <w:sz w:val="12"/>
                <w:szCs w:val="12"/>
              </w:rPr>
            </w:pPr>
          </w:p>
        </w:tc>
        <w:tc>
          <w:tcPr>
            <w:tcW w:w="2268" w:type="dxa"/>
            <w:shd w:val="clear" w:color="auto" w:fill="F2F2F2"/>
            <w:hideMark/>
          </w:tcPr>
          <w:p w14:paraId="705F737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8DCDAE5" w14:textId="77777777" w:rsidR="002A4DDF" w:rsidRPr="00937C8B" w:rsidRDefault="002A4DDF" w:rsidP="009110ED">
            <w:pPr>
              <w:rPr>
                <w:rFonts w:ascii="Arial" w:hAnsi="Arial" w:cs="Arial"/>
                <w:sz w:val="12"/>
                <w:szCs w:val="12"/>
              </w:rPr>
            </w:pPr>
            <w:r>
              <w:rPr>
                <w:rFonts w:ascii="Arial" w:hAnsi="Arial"/>
                <w:sz w:val="12"/>
                <w:szCs w:val="12"/>
              </w:rPr>
              <w:t>Verea</w:t>
            </w:r>
          </w:p>
        </w:tc>
      </w:tr>
      <w:tr w:rsidR="002A4DDF" w:rsidRPr="00937C8B" w14:paraId="0A765088" w14:textId="77777777" w:rsidTr="00935676">
        <w:trPr>
          <w:cantSplit/>
        </w:trPr>
        <w:tc>
          <w:tcPr>
            <w:tcW w:w="1696" w:type="dxa"/>
            <w:tcBorders>
              <w:left w:val="single" w:sz="4" w:space="0" w:color="auto"/>
            </w:tcBorders>
            <w:shd w:val="clear" w:color="auto" w:fill="auto"/>
          </w:tcPr>
          <w:p w14:paraId="31ACE772" w14:textId="77777777" w:rsidR="002A4DDF" w:rsidRPr="00937C8B" w:rsidRDefault="002A4DDF" w:rsidP="009110ED">
            <w:pPr>
              <w:rPr>
                <w:rFonts w:ascii="Arial" w:hAnsi="Arial" w:cs="Arial"/>
                <w:sz w:val="12"/>
                <w:szCs w:val="12"/>
              </w:rPr>
            </w:pPr>
          </w:p>
        </w:tc>
        <w:tc>
          <w:tcPr>
            <w:tcW w:w="1843" w:type="dxa"/>
            <w:shd w:val="clear" w:color="auto" w:fill="auto"/>
          </w:tcPr>
          <w:p w14:paraId="5137C62C" w14:textId="77777777" w:rsidR="002A4DDF" w:rsidRPr="00937C8B" w:rsidRDefault="002A4DDF" w:rsidP="009110ED">
            <w:pPr>
              <w:rPr>
                <w:rFonts w:ascii="Arial" w:hAnsi="Arial" w:cs="Arial"/>
                <w:sz w:val="12"/>
                <w:szCs w:val="12"/>
              </w:rPr>
            </w:pPr>
          </w:p>
        </w:tc>
        <w:tc>
          <w:tcPr>
            <w:tcW w:w="2268" w:type="dxa"/>
            <w:shd w:val="clear" w:color="auto" w:fill="F2F2F2"/>
            <w:hideMark/>
          </w:tcPr>
          <w:p w14:paraId="63BA63F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0990C37" w14:textId="77777777" w:rsidR="002A4DDF" w:rsidRPr="00937C8B" w:rsidRDefault="002A4DDF" w:rsidP="009110ED">
            <w:pPr>
              <w:rPr>
                <w:rFonts w:ascii="Arial" w:hAnsi="Arial" w:cs="Arial"/>
                <w:sz w:val="12"/>
                <w:szCs w:val="12"/>
              </w:rPr>
            </w:pPr>
            <w:r>
              <w:rPr>
                <w:rFonts w:ascii="Arial" w:hAnsi="Arial"/>
                <w:sz w:val="12"/>
                <w:szCs w:val="12"/>
              </w:rPr>
              <w:t>Vilamarín</w:t>
            </w:r>
          </w:p>
        </w:tc>
      </w:tr>
      <w:tr w:rsidR="002A4DDF" w:rsidRPr="00937C8B" w14:paraId="520F998E" w14:textId="77777777" w:rsidTr="00935676">
        <w:trPr>
          <w:cantSplit/>
        </w:trPr>
        <w:tc>
          <w:tcPr>
            <w:tcW w:w="1696" w:type="dxa"/>
            <w:tcBorders>
              <w:left w:val="single" w:sz="4" w:space="0" w:color="auto"/>
            </w:tcBorders>
            <w:shd w:val="clear" w:color="auto" w:fill="auto"/>
          </w:tcPr>
          <w:p w14:paraId="77FC2DDF" w14:textId="77777777" w:rsidR="002A4DDF" w:rsidRPr="00937C8B" w:rsidRDefault="002A4DDF" w:rsidP="009110ED">
            <w:pPr>
              <w:rPr>
                <w:rFonts w:ascii="Arial" w:hAnsi="Arial" w:cs="Arial"/>
                <w:sz w:val="12"/>
                <w:szCs w:val="12"/>
              </w:rPr>
            </w:pPr>
          </w:p>
        </w:tc>
        <w:tc>
          <w:tcPr>
            <w:tcW w:w="1843" w:type="dxa"/>
            <w:shd w:val="clear" w:color="auto" w:fill="auto"/>
          </w:tcPr>
          <w:p w14:paraId="2078BFC2" w14:textId="77777777" w:rsidR="002A4DDF" w:rsidRPr="00937C8B" w:rsidRDefault="002A4DDF" w:rsidP="009110ED">
            <w:pPr>
              <w:rPr>
                <w:rFonts w:ascii="Arial" w:hAnsi="Arial" w:cs="Arial"/>
                <w:sz w:val="12"/>
                <w:szCs w:val="12"/>
              </w:rPr>
            </w:pPr>
          </w:p>
        </w:tc>
        <w:tc>
          <w:tcPr>
            <w:tcW w:w="2268" w:type="dxa"/>
            <w:shd w:val="clear" w:color="auto" w:fill="F2F2F2"/>
            <w:hideMark/>
          </w:tcPr>
          <w:p w14:paraId="53613B6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4300A7F" w14:textId="77777777" w:rsidR="002A4DDF" w:rsidRPr="00937C8B" w:rsidRDefault="002A4DDF" w:rsidP="009110ED">
            <w:pPr>
              <w:rPr>
                <w:rFonts w:ascii="Arial" w:hAnsi="Arial" w:cs="Arial"/>
                <w:sz w:val="12"/>
                <w:szCs w:val="12"/>
              </w:rPr>
            </w:pPr>
            <w:r>
              <w:rPr>
                <w:rFonts w:ascii="Arial" w:hAnsi="Arial"/>
                <w:sz w:val="12"/>
                <w:szCs w:val="12"/>
              </w:rPr>
              <w:t>Vilar de Barrio</w:t>
            </w:r>
          </w:p>
        </w:tc>
      </w:tr>
      <w:tr w:rsidR="002A4DDF" w:rsidRPr="00937C8B" w14:paraId="5B9C0081" w14:textId="77777777" w:rsidTr="00935676">
        <w:trPr>
          <w:cantSplit/>
        </w:trPr>
        <w:tc>
          <w:tcPr>
            <w:tcW w:w="1696" w:type="dxa"/>
            <w:tcBorders>
              <w:left w:val="single" w:sz="4" w:space="0" w:color="auto"/>
            </w:tcBorders>
            <w:shd w:val="clear" w:color="auto" w:fill="auto"/>
          </w:tcPr>
          <w:p w14:paraId="3B82BA3F" w14:textId="77777777" w:rsidR="002A4DDF" w:rsidRPr="00937C8B" w:rsidRDefault="002A4DDF" w:rsidP="009110ED">
            <w:pPr>
              <w:rPr>
                <w:rFonts w:ascii="Arial" w:hAnsi="Arial" w:cs="Arial"/>
                <w:sz w:val="12"/>
                <w:szCs w:val="12"/>
              </w:rPr>
            </w:pPr>
          </w:p>
        </w:tc>
        <w:tc>
          <w:tcPr>
            <w:tcW w:w="1843" w:type="dxa"/>
            <w:shd w:val="clear" w:color="auto" w:fill="auto"/>
          </w:tcPr>
          <w:p w14:paraId="212FDEAD" w14:textId="77777777" w:rsidR="002A4DDF" w:rsidRPr="00937C8B" w:rsidRDefault="002A4DDF" w:rsidP="009110ED">
            <w:pPr>
              <w:rPr>
                <w:rFonts w:ascii="Arial" w:hAnsi="Arial" w:cs="Arial"/>
                <w:sz w:val="12"/>
                <w:szCs w:val="12"/>
              </w:rPr>
            </w:pPr>
          </w:p>
        </w:tc>
        <w:tc>
          <w:tcPr>
            <w:tcW w:w="2268" w:type="dxa"/>
            <w:shd w:val="clear" w:color="auto" w:fill="F2F2F2"/>
            <w:hideMark/>
          </w:tcPr>
          <w:p w14:paraId="447E59E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E4AEE12" w14:textId="77777777" w:rsidR="002A4DDF" w:rsidRPr="00937C8B" w:rsidRDefault="002A4DDF" w:rsidP="009110ED">
            <w:pPr>
              <w:rPr>
                <w:rFonts w:ascii="Arial" w:hAnsi="Arial" w:cs="Arial"/>
                <w:sz w:val="12"/>
                <w:szCs w:val="12"/>
              </w:rPr>
            </w:pPr>
            <w:r>
              <w:rPr>
                <w:rFonts w:ascii="Arial" w:hAnsi="Arial"/>
                <w:sz w:val="12"/>
                <w:szCs w:val="12"/>
              </w:rPr>
              <w:t>Vilar de Santos</w:t>
            </w:r>
          </w:p>
        </w:tc>
      </w:tr>
      <w:tr w:rsidR="002A4DDF" w:rsidRPr="00937C8B" w14:paraId="6B7ADC24" w14:textId="77777777" w:rsidTr="00935676">
        <w:trPr>
          <w:cantSplit/>
        </w:trPr>
        <w:tc>
          <w:tcPr>
            <w:tcW w:w="1696" w:type="dxa"/>
            <w:tcBorders>
              <w:left w:val="single" w:sz="4" w:space="0" w:color="auto"/>
            </w:tcBorders>
            <w:shd w:val="clear" w:color="auto" w:fill="auto"/>
          </w:tcPr>
          <w:p w14:paraId="0ACC3826" w14:textId="77777777" w:rsidR="002A4DDF" w:rsidRPr="00937C8B" w:rsidRDefault="002A4DDF" w:rsidP="009110ED">
            <w:pPr>
              <w:rPr>
                <w:rFonts w:ascii="Arial" w:hAnsi="Arial" w:cs="Arial"/>
                <w:sz w:val="12"/>
                <w:szCs w:val="12"/>
              </w:rPr>
            </w:pPr>
          </w:p>
        </w:tc>
        <w:tc>
          <w:tcPr>
            <w:tcW w:w="1843" w:type="dxa"/>
            <w:shd w:val="clear" w:color="auto" w:fill="auto"/>
          </w:tcPr>
          <w:p w14:paraId="5792B0C4" w14:textId="77777777" w:rsidR="002A4DDF" w:rsidRPr="00937C8B" w:rsidRDefault="002A4DDF" w:rsidP="009110ED">
            <w:pPr>
              <w:rPr>
                <w:rFonts w:ascii="Arial" w:hAnsi="Arial" w:cs="Arial"/>
                <w:sz w:val="12"/>
                <w:szCs w:val="12"/>
              </w:rPr>
            </w:pPr>
          </w:p>
        </w:tc>
        <w:tc>
          <w:tcPr>
            <w:tcW w:w="2268" w:type="dxa"/>
            <w:shd w:val="clear" w:color="auto" w:fill="F2F2F2"/>
            <w:hideMark/>
          </w:tcPr>
          <w:p w14:paraId="31943A6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E923EAB" w14:textId="77777777" w:rsidR="002A4DDF" w:rsidRPr="00937C8B" w:rsidRDefault="002A4DDF" w:rsidP="009110ED">
            <w:pPr>
              <w:rPr>
                <w:rFonts w:ascii="Arial" w:hAnsi="Arial" w:cs="Arial"/>
                <w:sz w:val="12"/>
                <w:szCs w:val="12"/>
              </w:rPr>
            </w:pPr>
            <w:r>
              <w:rPr>
                <w:rFonts w:ascii="Arial" w:hAnsi="Arial"/>
                <w:sz w:val="12"/>
                <w:szCs w:val="12"/>
              </w:rPr>
              <w:t>Vilardevós</w:t>
            </w:r>
          </w:p>
        </w:tc>
      </w:tr>
      <w:tr w:rsidR="002A4DDF" w:rsidRPr="00937C8B" w14:paraId="7276A677" w14:textId="77777777" w:rsidTr="00935676">
        <w:trPr>
          <w:cantSplit/>
        </w:trPr>
        <w:tc>
          <w:tcPr>
            <w:tcW w:w="1696" w:type="dxa"/>
            <w:tcBorders>
              <w:left w:val="single" w:sz="4" w:space="0" w:color="auto"/>
            </w:tcBorders>
            <w:shd w:val="clear" w:color="auto" w:fill="auto"/>
          </w:tcPr>
          <w:p w14:paraId="635C4FDB" w14:textId="77777777" w:rsidR="002A4DDF" w:rsidRPr="00937C8B" w:rsidRDefault="002A4DDF" w:rsidP="009110ED">
            <w:pPr>
              <w:rPr>
                <w:rFonts w:ascii="Arial" w:hAnsi="Arial" w:cs="Arial"/>
                <w:sz w:val="12"/>
                <w:szCs w:val="12"/>
              </w:rPr>
            </w:pPr>
          </w:p>
        </w:tc>
        <w:tc>
          <w:tcPr>
            <w:tcW w:w="1843" w:type="dxa"/>
            <w:shd w:val="clear" w:color="auto" w:fill="auto"/>
          </w:tcPr>
          <w:p w14:paraId="67706B48" w14:textId="77777777" w:rsidR="002A4DDF" w:rsidRPr="00937C8B" w:rsidRDefault="002A4DDF" w:rsidP="009110ED">
            <w:pPr>
              <w:rPr>
                <w:rFonts w:ascii="Arial" w:hAnsi="Arial" w:cs="Arial"/>
                <w:sz w:val="12"/>
                <w:szCs w:val="12"/>
              </w:rPr>
            </w:pPr>
          </w:p>
        </w:tc>
        <w:tc>
          <w:tcPr>
            <w:tcW w:w="2268" w:type="dxa"/>
            <w:shd w:val="clear" w:color="auto" w:fill="F2F2F2"/>
            <w:hideMark/>
          </w:tcPr>
          <w:p w14:paraId="5ED0AA7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6291E28" w14:textId="77777777" w:rsidR="002A4DDF" w:rsidRPr="00937C8B" w:rsidRDefault="002A4DDF" w:rsidP="009110ED">
            <w:pPr>
              <w:rPr>
                <w:rFonts w:ascii="Arial" w:hAnsi="Arial" w:cs="Arial"/>
                <w:sz w:val="12"/>
                <w:szCs w:val="12"/>
              </w:rPr>
            </w:pPr>
            <w:r>
              <w:rPr>
                <w:rFonts w:ascii="Arial" w:hAnsi="Arial"/>
                <w:sz w:val="12"/>
                <w:szCs w:val="12"/>
              </w:rPr>
              <w:t>Vilariño de Conso</w:t>
            </w:r>
          </w:p>
        </w:tc>
      </w:tr>
      <w:tr w:rsidR="002A4DDF" w:rsidRPr="00937C8B" w14:paraId="5888E800" w14:textId="77777777" w:rsidTr="00935676">
        <w:trPr>
          <w:cantSplit/>
        </w:trPr>
        <w:tc>
          <w:tcPr>
            <w:tcW w:w="1696" w:type="dxa"/>
            <w:tcBorders>
              <w:left w:val="single" w:sz="4" w:space="0" w:color="auto"/>
            </w:tcBorders>
            <w:shd w:val="clear" w:color="auto" w:fill="auto"/>
          </w:tcPr>
          <w:p w14:paraId="4CDD1D70" w14:textId="77777777" w:rsidR="002A4DDF" w:rsidRPr="00937C8B" w:rsidRDefault="002A4DDF" w:rsidP="009110ED">
            <w:pPr>
              <w:rPr>
                <w:rFonts w:ascii="Arial" w:hAnsi="Arial" w:cs="Arial"/>
                <w:sz w:val="12"/>
                <w:szCs w:val="12"/>
              </w:rPr>
            </w:pPr>
          </w:p>
        </w:tc>
        <w:tc>
          <w:tcPr>
            <w:tcW w:w="1843" w:type="dxa"/>
            <w:shd w:val="clear" w:color="auto" w:fill="auto"/>
          </w:tcPr>
          <w:p w14:paraId="59BF356A" w14:textId="77777777" w:rsidR="002A4DDF" w:rsidRPr="00937C8B" w:rsidRDefault="002A4DDF" w:rsidP="009110ED">
            <w:pPr>
              <w:rPr>
                <w:rFonts w:ascii="Arial" w:hAnsi="Arial" w:cs="Arial"/>
                <w:sz w:val="12"/>
                <w:szCs w:val="12"/>
              </w:rPr>
            </w:pPr>
          </w:p>
        </w:tc>
        <w:tc>
          <w:tcPr>
            <w:tcW w:w="2268" w:type="dxa"/>
            <w:shd w:val="clear" w:color="auto" w:fill="F2F2F2"/>
            <w:hideMark/>
          </w:tcPr>
          <w:p w14:paraId="17711AA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917FE6F" w14:textId="77777777" w:rsidR="002A4DDF" w:rsidRPr="00937C8B" w:rsidRDefault="002A4DDF" w:rsidP="009110ED">
            <w:pPr>
              <w:rPr>
                <w:rFonts w:ascii="Arial" w:hAnsi="Arial" w:cs="Arial"/>
                <w:sz w:val="12"/>
                <w:szCs w:val="12"/>
              </w:rPr>
            </w:pPr>
            <w:r>
              <w:rPr>
                <w:rFonts w:ascii="Arial" w:hAnsi="Arial"/>
                <w:sz w:val="12"/>
                <w:szCs w:val="12"/>
              </w:rPr>
              <w:t>Xinzo de Limia</w:t>
            </w:r>
          </w:p>
        </w:tc>
      </w:tr>
      <w:tr w:rsidR="002A4DDF" w:rsidRPr="00937C8B" w14:paraId="36D489A4" w14:textId="77777777" w:rsidTr="00935676">
        <w:trPr>
          <w:cantSplit/>
        </w:trPr>
        <w:tc>
          <w:tcPr>
            <w:tcW w:w="1696" w:type="dxa"/>
            <w:tcBorders>
              <w:left w:val="single" w:sz="4" w:space="0" w:color="auto"/>
            </w:tcBorders>
            <w:shd w:val="clear" w:color="auto" w:fill="auto"/>
          </w:tcPr>
          <w:p w14:paraId="1739359F" w14:textId="77777777" w:rsidR="002A4DDF" w:rsidRPr="00937C8B" w:rsidRDefault="002A4DDF" w:rsidP="009110ED">
            <w:pPr>
              <w:rPr>
                <w:rFonts w:ascii="Arial" w:hAnsi="Arial" w:cs="Arial"/>
                <w:sz w:val="12"/>
                <w:szCs w:val="12"/>
              </w:rPr>
            </w:pPr>
          </w:p>
        </w:tc>
        <w:tc>
          <w:tcPr>
            <w:tcW w:w="1843" w:type="dxa"/>
            <w:shd w:val="clear" w:color="auto" w:fill="auto"/>
          </w:tcPr>
          <w:p w14:paraId="08CAE4A4" w14:textId="77777777" w:rsidR="002A4DDF" w:rsidRPr="00937C8B" w:rsidRDefault="002A4DDF" w:rsidP="009110ED">
            <w:pPr>
              <w:rPr>
                <w:rFonts w:ascii="Arial" w:hAnsi="Arial" w:cs="Arial"/>
                <w:sz w:val="12"/>
                <w:szCs w:val="12"/>
              </w:rPr>
            </w:pPr>
          </w:p>
        </w:tc>
        <w:tc>
          <w:tcPr>
            <w:tcW w:w="2268" w:type="dxa"/>
            <w:shd w:val="clear" w:color="auto" w:fill="F2F2F2"/>
            <w:hideMark/>
          </w:tcPr>
          <w:p w14:paraId="6AB20CD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BA29254" w14:textId="77777777" w:rsidR="002A4DDF" w:rsidRPr="00937C8B" w:rsidRDefault="002A4DDF" w:rsidP="009110ED">
            <w:pPr>
              <w:rPr>
                <w:rFonts w:ascii="Arial" w:hAnsi="Arial" w:cs="Arial"/>
                <w:sz w:val="12"/>
                <w:szCs w:val="12"/>
              </w:rPr>
            </w:pPr>
            <w:r>
              <w:rPr>
                <w:rFonts w:ascii="Arial" w:hAnsi="Arial"/>
                <w:sz w:val="12"/>
                <w:szCs w:val="12"/>
              </w:rPr>
              <w:t>Xunqueira de Ambía</w:t>
            </w:r>
          </w:p>
        </w:tc>
      </w:tr>
      <w:tr w:rsidR="002A4DDF" w:rsidRPr="00937C8B" w14:paraId="2043602B" w14:textId="77777777" w:rsidTr="00935676">
        <w:trPr>
          <w:cantSplit/>
        </w:trPr>
        <w:tc>
          <w:tcPr>
            <w:tcW w:w="1696" w:type="dxa"/>
            <w:tcBorders>
              <w:left w:val="single" w:sz="4" w:space="0" w:color="auto"/>
              <w:bottom w:val="single" w:sz="4" w:space="0" w:color="auto"/>
            </w:tcBorders>
            <w:shd w:val="clear" w:color="auto" w:fill="auto"/>
            <w:hideMark/>
          </w:tcPr>
          <w:p w14:paraId="12B12C5A" w14:textId="77777777" w:rsidR="002A4DDF" w:rsidRPr="00937C8B" w:rsidRDefault="002A4DDF" w:rsidP="009110ED">
            <w:pPr>
              <w:rPr>
                <w:rFonts w:ascii="Arial" w:hAnsi="Arial" w:cs="Arial"/>
                <w:sz w:val="12"/>
                <w:szCs w:val="12"/>
              </w:rPr>
            </w:pPr>
            <w:r>
              <w:rPr>
                <w:rFonts w:ascii="Arial" w:hAnsi="Arial"/>
                <w:sz w:val="12"/>
                <w:szCs w:val="12"/>
              </w:rPr>
              <w:t>Galice</w:t>
            </w:r>
          </w:p>
        </w:tc>
        <w:tc>
          <w:tcPr>
            <w:tcW w:w="1843" w:type="dxa"/>
            <w:tcBorders>
              <w:bottom w:val="single" w:sz="4" w:space="0" w:color="auto"/>
            </w:tcBorders>
            <w:shd w:val="clear" w:color="auto" w:fill="auto"/>
            <w:hideMark/>
          </w:tcPr>
          <w:p w14:paraId="31FF2F05" w14:textId="77777777" w:rsidR="002A4DDF" w:rsidRPr="00937C8B" w:rsidRDefault="002A4DDF" w:rsidP="009110ED">
            <w:pPr>
              <w:rPr>
                <w:rFonts w:ascii="Arial" w:hAnsi="Arial" w:cs="Arial"/>
                <w:sz w:val="12"/>
                <w:szCs w:val="12"/>
              </w:rPr>
            </w:pPr>
            <w:r>
              <w:rPr>
                <w:rFonts w:ascii="Arial" w:hAnsi="Arial"/>
                <w:sz w:val="12"/>
                <w:szCs w:val="12"/>
              </w:rPr>
              <w:t>Orense</w:t>
            </w:r>
          </w:p>
        </w:tc>
        <w:tc>
          <w:tcPr>
            <w:tcW w:w="2268" w:type="dxa"/>
            <w:tcBorders>
              <w:bottom w:val="single" w:sz="4" w:space="0" w:color="auto"/>
            </w:tcBorders>
            <w:shd w:val="clear" w:color="auto" w:fill="F2F2F2"/>
            <w:hideMark/>
          </w:tcPr>
          <w:p w14:paraId="25BBA0BE"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2A126F44" w14:textId="77777777" w:rsidR="002A4DDF" w:rsidRPr="00937C8B" w:rsidRDefault="002A4DDF" w:rsidP="009110ED">
            <w:pPr>
              <w:rPr>
                <w:rFonts w:ascii="Arial" w:hAnsi="Arial" w:cs="Arial"/>
                <w:sz w:val="12"/>
                <w:szCs w:val="12"/>
              </w:rPr>
            </w:pPr>
            <w:r>
              <w:rPr>
                <w:rFonts w:ascii="Arial" w:hAnsi="Arial"/>
                <w:sz w:val="12"/>
                <w:szCs w:val="12"/>
              </w:rPr>
              <w:t>Xunqueira de Espadanedo</w:t>
            </w:r>
          </w:p>
        </w:tc>
      </w:tr>
      <w:tr w:rsidR="002A4DDF" w:rsidRPr="00937C8B" w14:paraId="79E3A848" w14:textId="77777777" w:rsidTr="00935676">
        <w:trPr>
          <w:cantSplit/>
        </w:trPr>
        <w:tc>
          <w:tcPr>
            <w:tcW w:w="1696" w:type="dxa"/>
            <w:tcBorders>
              <w:top w:val="single" w:sz="4" w:space="0" w:color="auto"/>
              <w:bottom w:val="single" w:sz="4" w:space="0" w:color="auto"/>
            </w:tcBorders>
            <w:shd w:val="clear" w:color="auto" w:fill="auto"/>
            <w:hideMark/>
          </w:tcPr>
          <w:p w14:paraId="53CD0AA4"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7C1E182E"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29929E6A"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78D40C2A" w14:textId="77777777" w:rsidR="002A4DDF" w:rsidRPr="00937C8B" w:rsidRDefault="002A4DDF" w:rsidP="009110ED">
            <w:pPr>
              <w:rPr>
                <w:rFonts w:ascii="Arial" w:hAnsi="Arial" w:cs="Arial"/>
                <w:sz w:val="12"/>
                <w:szCs w:val="12"/>
              </w:rPr>
            </w:pPr>
          </w:p>
        </w:tc>
      </w:tr>
      <w:tr w:rsidR="002A4DDF" w:rsidRPr="00937C8B" w14:paraId="593F8428" w14:textId="77777777" w:rsidTr="00935676">
        <w:trPr>
          <w:cantSplit/>
        </w:trPr>
        <w:tc>
          <w:tcPr>
            <w:tcW w:w="1696" w:type="dxa"/>
            <w:tcBorders>
              <w:top w:val="single" w:sz="4" w:space="0" w:color="auto"/>
              <w:left w:val="single" w:sz="4" w:space="0" w:color="auto"/>
            </w:tcBorders>
            <w:shd w:val="clear" w:color="auto" w:fill="auto"/>
            <w:hideMark/>
          </w:tcPr>
          <w:p w14:paraId="2DBBCA45" w14:textId="77777777" w:rsidR="002A4DDF" w:rsidRPr="00937C8B" w:rsidRDefault="002A4DDF" w:rsidP="009110ED">
            <w:pPr>
              <w:rPr>
                <w:rFonts w:ascii="Arial" w:hAnsi="Arial" w:cs="Arial"/>
                <w:sz w:val="12"/>
                <w:szCs w:val="12"/>
              </w:rPr>
            </w:pPr>
            <w:r>
              <w:rPr>
                <w:rFonts w:ascii="Arial" w:hAnsi="Arial"/>
                <w:sz w:val="12"/>
                <w:szCs w:val="12"/>
              </w:rPr>
              <w:t>Galice</w:t>
            </w:r>
          </w:p>
        </w:tc>
        <w:tc>
          <w:tcPr>
            <w:tcW w:w="1843" w:type="dxa"/>
            <w:tcBorders>
              <w:top w:val="single" w:sz="4" w:space="0" w:color="auto"/>
            </w:tcBorders>
            <w:shd w:val="clear" w:color="auto" w:fill="auto"/>
            <w:hideMark/>
          </w:tcPr>
          <w:p w14:paraId="184B7323" w14:textId="77777777" w:rsidR="002A4DDF" w:rsidRPr="00937C8B" w:rsidRDefault="002A4DDF" w:rsidP="009110ED">
            <w:pPr>
              <w:rPr>
                <w:rFonts w:ascii="Arial" w:hAnsi="Arial" w:cs="Arial"/>
                <w:sz w:val="12"/>
                <w:szCs w:val="12"/>
              </w:rPr>
            </w:pPr>
            <w:r>
              <w:rPr>
                <w:rFonts w:ascii="Arial" w:hAnsi="Arial"/>
                <w:sz w:val="12"/>
                <w:szCs w:val="12"/>
              </w:rPr>
              <w:t>Pontevedra</w:t>
            </w:r>
          </w:p>
        </w:tc>
        <w:tc>
          <w:tcPr>
            <w:tcW w:w="2268" w:type="dxa"/>
            <w:tcBorders>
              <w:top w:val="single" w:sz="4" w:space="0" w:color="auto"/>
            </w:tcBorders>
            <w:shd w:val="clear" w:color="auto" w:fill="F2F2F2"/>
            <w:hideMark/>
          </w:tcPr>
          <w:p w14:paraId="218CD6CA" w14:textId="77777777" w:rsidR="002A4DDF" w:rsidRPr="00937C8B" w:rsidRDefault="002A4DDF" w:rsidP="009110ED">
            <w:pPr>
              <w:rPr>
                <w:rFonts w:ascii="Arial" w:hAnsi="Arial" w:cs="Arial"/>
                <w:sz w:val="12"/>
                <w:szCs w:val="12"/>
              </w:rPr>
            </w:pPr>
            <w:r>
              <w:rPr>
                <w:rFonts w:ascii="Arial" w:hAnsi="Arial"/>
                <w:sz w:val="12"/>
                <w:szCs w:val="12"/>
              </w:rPr>
              <w:t>O Rosal</w:t>
            </w:r>
          </w:p>
        </w:tc>
        <w:tc>
          <w:tcPr>
            <w:tcW w:w="2268" w:type="dxa"/>
            <w:tcBorders>
              <w:top w:val="single" w:sz="4" w:space="0" w:color="auto"/>
              <w:right w:val="single" w:sz="4" w:space="0" w:color="auto"/>
            </w:tcBorders>
            <w:shd w:val="clear" w:color="auto" w:fill="D9D9D9"/>
            <w:hideMark/>
          </w:tcPr>
          <w:p w14:paraId="3318CB64" w14:textId="77777777" w:rsidR="002A4DDF" w:rsidRPr="00937C8B" w:rsidRDefault="002A4DDF" w:rsidP="009110ED">
            <w:pPr>
              <w:rPr>
                <w:rFonts w:ascii="Arial" w:hAnsi="Arial" w:cs="Arial"/>
                <w:sz w:val="12"/>
                <w:szCs w:val="12"/>
              </w:rPr>
            </w:pPr>
            <w:r>
              <w:rPr>
                <w:rFonts w:ascii="Arial" w:hAnsi="Arial"/>
                <w:sz w:val="12"/>
                <w:szCs w:val="12"/>
              </w:rPr>
              <w:t>A Cañiza</w:t>
            </w:r>
          </w:p>
        </w:tc>
      </w:tr>
      <w:tr w:rsidR="002A4DDF" w:rsidRPr="00937C8B" w14:paraId="26DE21D6" w14:textId="77777777" w:rsidTr="00935676">
        <w:trPr>
          <w:cantSplit/>
        </w:trPr>
        <w:tc>
          <w:tcPr>
            <w:tcW w:w="1696" w:type="dxa"/>
            <w:tcBorders>
              <w:left w:val="single" w:sz="4" w:space="0" w:color="auto"/>
            </w:tcBorders>
            <w:shd w:val="clear" w:color="auto" w:fill="auto"/>
          </w:tcPr>
          <w:p w14:paraId="74BDE1A6" w14:textId="77777777" w:rsidR="002A4DDF" w:rsidRPr="00937C8B" w:rsidRDefault="002A4DDF" w:rsidP="009110ED">
            <w:pPr>
              <w:rPr>
                <w:rFonts w:ascii="Arial" w:hAnsi="Arial" w:cs="Arial"/>
                <w:sz w:val="12"/>
                <w:szCs w:val="12"/>
              </w:rPr>
            </w:pPr>
          </w:p>
        </w:tc>
        <w:tc>
          <w:tcPr>
            <w:tcW w:w="1843" w:type="dxa"/>
            <w:shd w:val="clear" w:color="auto" w:fill="auto"/>
          </w:tcPr>
          <w:p w14:paraId="33868575" w14:textId="77777777" w:rsidR="002A4DDF" w:rsidRPr="00937C8B" w:rsidRDefault="002A4DDF" w:rsidP="009110ED">
            <w:pPr>
              <w:rPr>
                <w:rFonts w:ascii="Arial" w:hAnsi="Arial" w:cs="Arial"/>
                <w:sz w:val="12"/>
                <w:szCs w:val="12"/>
              </w:rPr>
            </w:pPr>
          </w:p>
        </w:tc>
        <w:tc>
          <w:tcPr>
            <w:tcW w:w="2268" w:type="dxa"/>
            <w:shd w:val="clear" w:color="auto" w:fill="F2F2F2"/>
            <w:hideMark/>
          </w:tcPr>
          <w:p w14:paraId="4ABA9F90" w14:textId="77777777" w:rsidR="002A4DDF" w:rsidRPr="00937C8B" w:rsidRDefault="002A4DDF" w:rsidP="009110ED">
            <w:pPr>
              <w:rPr>
                <w:rFonts w:ascii="Arial" w:hAnsi="Arial" w:cs="Arial"/>
                <w:sz w:val="12"/>
                <w:szCs w:val="12"/>
              </w:rPr>
            </w:pPr>
            <w:r>
              <w:rPr>
                <w:rFonts w:ascii="Arial" w:hAnsi="Arial"/>
                <w:sz w:val="12"/>
                <w:szCs w:val="12"/>
              </w:rPr>
              <w:t>Salvaterra de Miño</w:t>
            </w:r>
          </w:p>
        </w:tc>
        <w:tc>
          <w:tcPr>
            <w:tcW w:w="2268" w:type="dxa"/>
            <w:tcBorders>
              <w:right w:val="single" w:sz="4" w:space="0" w:color="auto"/>
            </w:tcBorders>
            <w:shd w:val="clear" w:color="auto" w:fill="D9D9D9"/>
            <w:hideMark/>
          </w:tcPr>
          <w:p w14:paraId="74882AC8" w14:textId="77777777" w:rsidR="002A4DDF" w:rsidRPr="00937C8B" w:rsidRDefault="002A4DDF" w:rsidP="009110ED">
            <w:pPr>
              <w:rPr>
                <w:rFonts w:ascii="Arial" w:hAnsi="Arial" w:cs="Arial"/>
                <w:sz w:val="12"/>
                <w:szCs w:val="12"/>
              </w:rPr>
            </w:pPr>
            <w:r>
              <w:rPr>
                <w:rFonts w:ascii="Arial" w:hAnsi="Arial"/>
                <w:sz w:val="12"/>
                <w:szCs w:val="12"/>
              </w:rPr>
              <w:t>A Estrada</w:t>
            </w:r>
          </w:p>
        </w:tc>
      </w:tr>
      <w:tr w:rsidR="002A4DDF" w:rsidRPr="00937C8B" w14:paraId="7B0F8F4B" w14:textId="77777777" w:rsidTr="00935676">
        <w:trPr>
          <w:cantSplit/>
        </w:trPr>
        <w:tc>
          <w:tcPr>
            <w:tcW w:w="1696" w:type="dxa"/>
            <w:tcBorders>
              <w:left w:val="single" w:sz="4" w:space="0" w:color="auto"/>
            </w:tcBorders>
            <w:shd w:val="clear" w:color="auto" w:fill="auto"/>
          </w:tcPr>
          <w:p w14:paraId="32C4C6DD" w14:textId="77777777" w:rsidR="002A4DDF" w:rsidRPr="00937C8B" w:rsidRDefault="002A4DDF" w:rsidP="009110ED">
            <w:pPr>
              <w:rPr>
                <w:rFonts w:ascii="Arial" w:hAnsi="Arial" w:cs="Arial"/>
                <w:sz w:val="12"/>
                <w:szCs w:val="12"/>
              </w:rPr>
            </w:pPr>
          </w:p>
        </w:tc>
        <w:tc>
          <w:tcPr>
            <w:tcW w:w="1843" w:type="dxa"/>
            <w:shd w:val="clear" w:color="auto" w:fill="auto"/>
          </w:tcPr>
          <w:p w14:paraId="420DE7FF" w14:textId="77777777" w:rsidR="002A4DDF" w:rsidRPr="00937C8B" w:rsidRDefault="002A4DDF" w:rsidP="009110ED">
            <w:pPr>
              <w:rPr>
                <w:rFonts w:ascii="Arial" w:hAnsi="Arial" w:cs="Arial"/>
                <w:sz w:val="12"/>
                <w:szCs w:val="12"/>
              </w:rPr>
            </w:pPr>
          </w:p>
        </w:tc>
        <w:tc>
          <w:tcPr>
            <w:tcW w:w="2268" w:type="dxa"/>
            <w:shd w:val="clear" w:color="auto" w:fill="F2F2F2"/>
            <w:hideMark/>
          </w:tcPr>
          <w:p w14:paraId="2A8A081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C643345" w14:textId="77777777" w:rsidR="002A4DDF" w:rsidRPr="00937C8B" w:rsidRDefault="002A4DDF" w:rsidP="009110ED">
            <w:pPr>
              <w:rPr>
                <w:rFonts w:ascii="Arial" w:hAnsi="Arial" w:cs="Arial"/>
                <w:sz w:val="12"/>
                <w:szCs w:val="12"/>
              </w:rPr>
            </w:pPr>
            <w:r>
              <w:rPr>
                <w:rFonts w:ascii="Arial" w:hAnsi="Arial"/>
                <w:sz w:val="12"/>
                <w:szCs w:val="12"/>
              </w:rPr>
              <w:t>A Guarda</w:t>
            </w:r>
          </w:p>
        </w:tc>
      </w:tr>
      <w:tr w:rsidR="002A4DDF" w:rsidRPr="00937C8B" w14:paraId="7525EF91" w14:textId="77777777" w:rsidTr="00935676">
        <w:trPr>
          <w:cantSplit/>
        </w:trPr>
        <w:tc>
          <w:tcPr>
            <w:tcW w:w="1696" w:type="dxa"/>
            <w:tcBorders>
              <w:left w:val="single" w:sz="4" w:space="0" w:color="auto"/>
            </w:tcBorders>
            <w:shd w:val="clear" w:color="auto" w:fill="auto"/>
          </w:tcPr>
          <w:p w14:paraId="1EF9170D" w14:textId="77777777" w:rsidR="002A4DDF" w:rsidRPr="00937C8B" w:rsidRDefault="002A4DDF" w:rsidP="009110ED">
            <w:pPr>
              <w:rPr>
                <w:rFonts w:ascii="Arial" w:hAnsi="Arial" w:cs="Arial"/>
                <w:sz w:val="12"/>
                <w:szCs w:val="12"/>
              </w:rPr>
            </w:pPr>
          </w:p>
        </w:tc>
        <w:tc>
          <w:tcPr>
            <w:tcW w:w="1843" w:type="dxa"/>
            <w:shd w:val="clear" w:color="auto" w:fill="auto"/>
          </w:tcPr>
          <w:p w14:paraId="54F6094A" w14:textId="77777777" w:rsidR="002A4DDF" w:rsidRPr="00937C8B" w:rsidRDefault="002A4DDF" w:rsidP="009110ED">
            <w:pPr>
              <w:rPr>
                <w:rFonts w:ascii="Arial" w:hAnsi="Arial" w:cs="Arial"/>
                <w:sz w:val="12"/>
                <w:szCs w:val="12"/>
              </w:rPr>
            </w:pPr>
          </w:p>
        </w:tc>
        <w:tc>
          <w:tcPr>
            <w:tcW w:w="2268" w:type="dxa"/>
            <w:shd w:val="clear" w:color="auto" w:fill="F2F2F2"/>
            <w:hideMark/>
          </w:tcPr>
          <w:p w14:paraId="7DCF453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39FD11D" w14:textId="77777777" w:rsidR="002A4DDF" w:rsidRPr="00937C8B" w:rsidRDefault="002A4DDF" w:rsidP="009110ED">
            <w:pPr>
              <w:rPr>
                <w:rFonts w:ascii="Arial" w:hAnsi="Arial" w:cs="Arial"/>
                <w:sz w:val="12"/>
                <w:szCs w:val="12"/>
              </w:rPr>
            </w:pPr>
            <w:r>
              <w:rPr>
                <w:rFonts w:ascii="Arial" w:hAnsi="Arial"/>
                <w:sz w:val="12"/>
                <w:szCs w:val="12"/>
              </w:rPr>
              <w:t>A Illa de Arousa</w:t>
            </w:r>
          </w:p>
        </w:tc>
      </w:tr>
      <w:tr w:rsidR="002A4DDF" w:rsidRPr="00937C8B" w14:paraId="151C8251" w14:textId="77777777" w:rsidTr="00935676">
        <w:trPr>
          <w:cantSplit/>
        </w:trPr>
        <w:tc>
          <w:tcPr>
            <w:tcW w:w="1696" w:type="dxa"/>
            <w:tcBorders>
              <w:left w:val="single" w:sz="4" w:space="0" w:color="auto"/>
            </w:tcBorders>
            <w:shd w:val="clear" w:color="auto" w:fill="auto"/>
          </w:tcPr>
          <w:p w14:paraId="4B648A0E" w14:textId="77777777" w:rsidR="002A4DDF" w:rsidRPr="00937C8B" w:rsidRDefault="002A4DDF" w:rsidP="009110ED">
            <w:pPr>
              <w:rPr>
                <w:rFonts w:ascii="Arial" w:hAnsi="Arial" w:cs="Arial"/>
                <w:sz w:val="12"/>
                <w:szCs w:val="12"/>
              </w:rPr>
            </w:pPr>
          </w:p>
        </w:tc>
        <w:tc>
          <w:tcPr>
            <w:tcW w:w="1843" w:type="dxa"/>
            <w:shd w:val="clear" w:color="auto" w:fill="auto"/>
          </w:tcPr>
          <w:p w14:paraId="6B112901" w14:textId="77777777" w:rsidR="002A4DDF" w:rsidRPr="00937C8B" w:rsidRDefault="002A4DDF" w:rsidP="009110ED">
            <w:pPr>
              <w:rPr>
                <w:rFonts w:ascii="Arial" w:hAnsi="Arial" w:cs="Arial"/>
                <w:sz w:val="12"/>
                <w:szCs w:val="12"/>
              </w:rPr>
            </w:pPr>
          </w:p>
        </w:tc>
        <w:tc>
          <w:tcPr>
            <w:tcW w:w="2268" w:type="dxa"/>
            <w:shd w:val="clear" w:color="auto" w:fill="F2F2F2"/>
            <w:hideMark/>
          </w:tcPr>
          <w:p w14:paraId="0C5EF71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23ACECE" w14:textId="77777777" w:rsidR="002A4DDF" w:rsidRPr="00937C8B" w:rsidRDefault="002A4DDF" w:rsidP="009110ED">
            <w:pPr>
              <w:rPr>
                <w:rFonts w:ascii="Arial" w:hAnsi="Arial" w:cs="Arial"/>
                <w:sz w:val="12"/>
                <w:szCs w:val="12"/>
              </w:rPr>
            </w:pPr>
            <w:r>
              <w:rPr>
                <w:rFonts w:ascii="Arial" w:hAnsi="Arial"/>
                <w:sz w:val="12"/>
                <w:szCs w:val="12"/>
              </w:rPr>
              <w:t>Agolada</w:t>
            </w:r>
          </w:p>
        </w:tc>
      </w:tr>
      <w:tr w:rsidR="002A4DDF" w:rsidRPr="00937C8B" w14:paraId="21B26FE7" w14:textId="77777777" w:rsidTr="00935676">
        <w:trPr>
          <w:cantSplit/>
        </w:trPr>
        <w:tc>
          <w:tcPr>
            <w:tcW w:w="1696" w:type="dxa"/>
            <w:tcBorders>
              <w:left w:val="single" w:sz="4" w:space="0" w:color="auto"/>
            </w:tcBorders>
            <w:shd w:val="clear" w:color="auto" w:fill="auto"/>
          </w:tcPr>
          <w:p w14:paraId="01C009DD" w14:textId="77777777" w:rsidR="002A4DDF" w:rsidRPr="00937C8B" w:rsidRDefault="002A4DDF" w:rsidP="009110ED">
            <w:pPr>
              <w:rPr>
                <w:rFonts w:ascii="Arial" w:hAnsi="Arial" w:cs="Arial"/>
                <w:sz w:val="12"/>
                <w:szCs w:val="12"/>
              </w:rPr>
            </w:pPr>
          </w:p>
        </w:tc>
        <w:tc>
          <w:tcPr>
            <w:tcW w:w="1843" w:type="dxa"/>
            <w:shd w:val="clear" w:color="auto" w:fill="auto"/>
          </w:tcPr>
          <w:p w14:paraId="3F470BBF" w14:textId="77777777" w:rsidR="002A4DDF" w:rsidRPr="00937C8B" w:rsidRDefault="002A4DDF" w:rsidP="009110ED">
            <w:pPr>
              <w:rPr>
                <w:rFonts w:ascii="Arial" w:hAnsi="Arial" w:cs="Arial"/>
                <w:sz w:val="12"/>
                <w:szCs w:val="12"/>
              </w:rPr>
            </w:pPr>
          </w:p>
        </w:tc>
        <w:tc>
          <w:tcPr>
            <w:tcW w:w="2268" w:type="dxa"/>
            <w:shd w:val="clear" w:color="auto" w:fill="F2F2F2"/>
            <w:hideMark/>
          </w:tcPr>
          <w:p w14:paraId="239A7B8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881AC0D" w14:textId="77777777" w:rsidR="002A4DDF" w:rsidRPr="00937C8B" w:rsidRDefault="002A4DDF" w:rsidP="009110ED">
            <w:pPr>
              <w:rPr>
                <w:rFonts w:ascii="Arial" w:hAnsi="Arial" w:cs="Arial"/>
                <w:sz w:val="12"/>
                <w:szCs w:val="12"/>
              </w:rPr>
            </w:pPr>
            <w:r>
              <w:rPr>
                <w:rFonts w:ascii="Arial" w:hAnsi="Arial"/>
                <w:sz w:val="12"/>
                <w:szCs w:val="12"/>
              </w:rPr>
              <w:t>Arbo</w:t>
            </w:r>
          </w:p>
        </w:tc>
      </w:tr>
      <w:tr w:rsidR="002A4DDF" w:rsidRPr="00937C8B" w14:paraId="584A1833" w14:textId="77777777" w:rsidTr="00935676">
        <w:trPr>
          <w:cantSplit/>
        </w:trPr>
        <w:tc>
          <w:tcPr>
            <w:tcW w:w="1696" w:type="dxa"/>
            <w:tcBorders>
              <w:left w:val="single" w:sz="4" w:space="0" w:color="auto"/>
            </w:tcBorders>
            <w:shd w:val="clear" w:color="auto" w:fill="auto"/>
          </w:tcPr>
          <w:p w14:paraId="557BAA16" w14:textId="77777777" w:rsidR="002A4DDF" w:rsidRPr="00937C8B" w:rsidRDefault="002A4DDF" w:rsidP="009110ED">
            <w:pPr>
              <w:rPr>
                <w:rFonts w:ascii="Arial" w:hAnsi="Arial" w:cs="Arial"/>
                <w:sz w:val="12"/>
                <w:szCs w:val="12"/>
              </w:rPr>
            </w:pPr>
          </w:p>
        </w:tc>
        <w:tc>
          <w:tcPr>
            <w:tcW w:w="1843" w:type="dxa"/>
            <w:shd w:val="clear" w:color="auto" w:fill="auto"/>
          </w:tcPr>
          <w:p w14:paraId="0438FE8A" w14:textId="77777777" w:rsidR="002A4DDF" w:rsidRPr="00937C8B" w:rsidRDefault="002A4DDF" w:rsidP="009110ED">
            <w:pPr>
              <w:rPr>
                <w:rFonts w:ascii="Arial" w:hAnsi="Arial" w:cs="Arial"/>
                <w:sz w:val="12"/>
                <w:szCs w:val="12"/>
              </w:rPr>
            </w:pPr>
          </w:p>
        </w:tc>
        <w:tc>
          <w:tcPr>
            <w:tcW w:w="2268" w:type="dxa"/>
            <w:shd w:val="clear" w:color="auto" w:fill="F2F2F2"/>
            <w:hideMark/>
          </w:tcPr>
          <w:p w14:paraId="1989A0D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FED28FB" w14:textId="77777777" w:rsidR="002A4DDF" w:rsidRPr="00937C8B" w:rsidRDefault="002A4DDF" w:rsidP="009110ED">
            <w:pPr>
              <w:rPr>
                <w:rFonts w:ascii="Arial" w:hAnsi="Arial" w:cs="Arial"/>
                <w:sz w:val="12"/>
                <w:szCs w:val="12"/>
              </w:rPr>
            </w:pPr>
            <w:r>
              <w:rPr>
                <w:rFonts w:ascii="Arial" w:hAnsi="Arial"/>
                <w:sz w:val="12"/>
                <w:szCs w:val="12"/>
              </w:rPr>
              <w:t>As Neves</w:t>
            </w:r>
          </w:p>
        </w:tc>
      </w:tr>
      <w:tr w:rsidR="002A4DDF" w:rsidRPr="00937C8B" w14:paraId="5371461F" w14:textId="77777777" w:rsidTr="00935676">
        <w:trPr>
          <w:cantSplit/>
        </w:trPr>
        <w:tc>
          <w:tcPr>
            <w:tcW w:w="1696" w:type="dxa"/>
            <w:tcBorders>
              <w:left w:val="single" w:sz="4" w:space="0" w:color="auto"/>
            </w:tcBorders>
            <w:shd w:val="clear" w:color="auto" w:fill="auto"/>
          </w:tcPr>
          <w:p w14:paraId="2D8F2F66" w14:textId="77777777" w:rsidR="002A4DDF" w:rsidRPr="00937C8B" w:rsidRDefault="002A4DDF" w:rsidP="009110ED">
            <w:pPr>
              <w:rPr>
                <w:rFonts w:ascii="Arial" w:hAnsi="Arial" w:cs="Arial"/>
                <w:sz w:val="12"/>
                <w:szCs w:val="12"/>
              </w:rPr>
            </w:pPr>
          </w:p>
        </w:tc>
        <w:tc>
          <w:tcPr>
            <w:tcW w:w="1843" w:type="dxa"/>
            <w:shd w:val="clear" w:color="auto" w:fill="auto"/>
          </w:tcPr>
          <w:p w14:paraId="691A31D8" w14:textId="77777777" w:rsidR="002A4DDF" w:rsidRPr="00937C8B" w:rsidRDefault="002A4DDF" w:rsidP="009110ED">
            <w:pPr>
              <w:rPr>
                <w:rFonts w:ascii="Arial" w:hAnsi="Arial" w:cs="Arial"/>
                <w:sz w:val="12"/>
                <w:szCs w:val="12"/>
              </w:rPr>
            </w:pPr>
          </w:p>
        </w:tc>
        <w:tc>
          <w:tcPr>
            <w:tcW w:w="2268" w:type="dxa"/>
            <w:shd w:val="clear" w:color="auto" w:fill="F2F2F2"/>
            <w:hideMark/>
          </w:tcPr>
          <w:p w14:paraId="2CF72AD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1339895" w14:textId="77777777" w:rsidR="002A4DDF" w:rsidRPr="00937C8B" w:rsidRDefault="002A4DDF" w:rsidP="009110ED">
            <w:pPr>
              <w:rPr>
                <w:rFonts w:ascii="Arial" w:hAnsi="Arial" w:cs="Arial"/>
                <w:sz w:val="12"/>
                <w:szCs w:val="12"/>
              </w:rPr>
            </w:pPr>
            <w:r>
              <w:rPr>
                <w:rFonts w:ascii="Arial" w:hAnsi="Arial"/>
                <w:sz w:val="12"/>
                <w:szCs w:val="12"/>
              </w:rPr>
              <w:t>Baiona</w:t>
            </w:r>
          </w:p>
        </w:tc>
      </w:tr>
      <w:tr w:rsidR="002A4DDF" w:rsidRPr="00937C8B" w14:paraId="7907483B" w14:textId="77777777" w:rsidTr="00935676">
        <w:trPr>
          <w:cantSplit/>
        </w:trPr>
        <w:tc>
          <w:tcPr>
            <w:tcW w:w="1696" w:type="dxa"/>
            <w:tcBorders>
              <w:left w:val="single" w:sz="4" w:space="0" w:color="auto"/>
            </w:tcBorders>
            <w:shd w:val="clear" w:color="auto" w:fill="auto"/>
          </w:tcPr>
          <w:p w14:paraId="3B9C03BB" w14:textId="77777777" w:rsidR="002A4DDF" w:rsidRPr="00937C8B" w:rsidRDefault="002A4DDF" w:rsidP="009110ED">
            <w:pPr>
              <w:rPr>
                <w:rFonts w:ascii="Arial" w:hAnsi="Arial" w:cs="Arial"/>
                <w:sz w:val="12"/>
                <w:szCs w:val="12"/>
              </w:rPr>
            </w:pPr>
          </w:p>
        </w:tc>
        <w:tc>
          <w:tcPr>
            <w:tcW w:w="1843" w:type="dxa"/>
            <w:shd w:val="clear" w:color="auto" w:fill="auto"/>
          </w:tcPr>
          <w:p w14:paraId="6B47E90F" w14:textId="77777777" w:rsidR="002A4DDF" w:rsidRPr="00937C8B" w:rsidRDefault="002A4DDF" w:rsidP="009110ED">
            <w:pPr>
              <w:rPr>
                <w:rFonts w:ascii="Arial" w:hAnsi="Arial" w:cs="Arial"/>
                <w:sz w:val="12"/>
                <w:szCs w:val="12"/>
              </w:rPr>
            </w:pPr>
          </w:p>
        </w:tc>
        <w:tc>
          <w:tcPr>
            <w:tcW w:w="2268" w:type="dxa"/>
            <w:shd w:val="clear" w:color="auto" w:fill="F2F2F2"/>
            <w:hideMark/>
          </w:tcPr>
          <w:p w14:paraId="40C4D34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9E9CA6B" w14:textId="77777777" w:rsidR="002A4DDF" w:rsidRPr="00937C8B" w:rsidRDefault="002A4DDF" w:rsidP="009110ED">
            <w:pPr>
              <w:rPr>
                <w:rFonts w:ascii="Arial" w:hAnsi="Arial" w:cs="Arial"/>
                <w:sz w:val="12"/>
                <w:szCs w:val="12"/>
              </w:rPr>
            </w:pPr>
            <w:r>
              <w:rPr>
                <w:rFonts w:ascii="Arial" w:hAnsi="Arial"/>
                <w:sz w:val="12"/>
                <w:szCs w:val="12"/>
              </w:rPr>
              <w:t>Barro</w:t>
            </w:r>
          </w:p>
        </w:tc>
      </w:tr>
      <w:tr w:rsidR="002A4DDF" w:rsidRPr="00937C8B" w14:paraId="7752D24D" w14:textId="77777777" w:rsidTr="00935676">
        <w:trPr>
          <w:cantSplit/>
        </w:trPr>
        <w:tc>
          <w:tcPr>
            <w:tcW w:w="1696" w:type="dxa"/>
            <w:tcBorders>
              <w:left w:val="single" w:sz="4" w:space="0" w:color="auto"/>
            </w:tcBorders>
            <w:shd w:val="clear" w:color="auto" w:fill="auto"/>
          </w:tcPr>
          <w:p w14:paraId="276AE5B6" w14:textId="77777777" w:rsidR="002A4DDF" w:rsidRPr="00937C8B" w:rsidRDefault="002A4DDF" w:rsidP="009110ED">
            <w:pPr>
              <w:rPr>
                <w:rFonts w:ascii="Arial" w:hAnsi="Arial" w:cs="Arial"/>
                <w:sz w:val="12"/>
                <w:szCs w:val="12"/>
              </w:rPr>
            </w:pPr>
          </w:p>
        </w:tc>
        <w:tc>
          <w:tcPr>
            <w:tcW w:w="1843" w:type="dxa"/>
            <w:shd w:val="clear" w:color="auto" w:fill="auto"/>
          </w:tcPr>
          <w:p w14:paraId="4AFB4EB5" w14:textId="77777777" w:rsidR="002A4DDF" w:rsidRPr="00937C8B" w:rsidRDefault="002A4DDF" w:rsidP="009110ED">
            <w:pPr>
              <w:rPr>
                <w:rFonts w:ascii="Arial" w:hAnsi="Arial" w:cs="Arial"/>
                <w:sz w:val="12"/>
                <w:szCs w:val="12"/>
              </w:rPr>
            </w:pPr>
          </w:p>
        </w:tc>
        <w:tc>
          <w:tcPr>
            <w:tcW w:w="2268" w:type="dxa"/>
            <w:shd w:val="clear" w:color="auto" w:fill="F2F2F2"/>
            <w:hideMark/>
          </w:tcPr>
          <w:p w14:paraId="26075C8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3769585" w14:textId="77777777" w:rsidR="002A4DDF" w:rsidRPr="00937C8B" w:rsidRDefault="002A4DDF" w:rsidP="009110ED">
            <w:pPr>
              <w:rPr>
                <w:rFonts w:ascii="Arial" w:hAnsi="Arial" w:cs="Arial"/>
                <w:sz w:val="12"/>
                <w:szCs w:val="12"/>
              </w:rPr>
            </w:pPr>
            <w:r>
              <w:rPr>
                <w:rFonts w:ascii="Arial" w:hAnsi="Arial"/>
                <w:sz w:val="12"/>
                <w:szCs w:val="12"/>
              </w:rPr>
              <w:t>Bueu</w:t>
            </w:r>
          </w:p>
        </w:tc>
      </w:tr>
      <w:tr w:rsidR="002A4DDF" w:rsidRPr="00937C8B" w14:paraId="1AFDC8C7" w14:textId="77777777" w:rsidTr="00935676">
        <w:trPr>
          <w:cantSplit/>
        </w:trPr>
        <w:tc>
          <w:tcPr>
            <w:tcW w:w="1696" w:type="dxa"/>
            <w:tcBorders>
              <w:left w:val="single" w:sz="4" w:space="0" w:color="auto"/>
            </w:tcBorders>
            <w:shd w:val="clear" w:color="auto" w:fill="auto"/>
          </w:tcPr>
          <w:p w14:paraId="3F5ABCA6" w14:textId="77777777" w:rsidR="002A4DDF" w:rsidRPr="00937C8B" w:rsidRDefault="002A4DDF" w:rsidP="009110ED">
            <w:pPr>
              <w:rPr>
                <w:rFonts w:ascii="Arial" w:hAnsi="Arial" w:cs="Arial"/>
                <w:sz w:val="12"/>
                <w:szCs w:val="12"/>
              </w:rPr>
            </w:pPr>
          </w:p>
        </w:tc>
        <w:tc>
          <w:tcPr>
            <w:tcW w:w="1843" w:type="dxa"/>
            <w:shd w:val="clear" w:color="auto" w:fill="auto"/>
          </w:tcPr>
          <w:p w14:paraId="1703FCB5" w14:textId="77777777" w:rsidR="002A4DDF" w:rsidRPr="00937C8B" w:rsidRDefault="002A4DDF" w:rsidP="009110ED">
            <w:pPr>
              <w:rPr>
                <w:rFonts w:ascii="Arial" w:hAnsi="Arial" w:cs="Arial"/>
                <w:sz w:val="12"/>
                <w:szCs w:val="12"/>
              </w:rPr>
            </w:pPr>
          </w:p>
        </w:tc>
        <w:tc>
          <w:tcPr>
            <w:tcW w:w="2268" w:type="dxa"/>
            <w:shd w:val="clear" w:color="auto" w:fill="F2F2F2"/>
            <w:hideMark/>
          </w:tcPr>
          <w:p w14:paraId="0F025B6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87992B3" w14:textId="77777777" w:rsidR="002A4DDF" w:rsidRPr="00937C8B" w:rsidRDefault="002A4DDF" w:rsidP="009110ED">
            <w:pPr>
              <w:rPr>
                <w:rFonts w:ascii="Arial" w:hAnsi="Arial" w:cs="Arial"/>
                <w:sz w:val="12"/>
                <w:szCs w:val="12"/>
              </w:rPr>
            </w:pPr>
            <w:r>
              <w:rPr>
                <w:rFonts w:ascii="Arial" w:hAnsi="Arial"/>
                <w:sz w:val="12"/>
                <w:szCs w:val="12"/>
              </w:rPr>
              <w:t>Caldas de Reis</w:t>
            </w:r>
          </w:p>
        </w:tc>
      </w:tr>
      <w:tr w:rsidR="002A4DDF" w:rsidRPr="00937C8B" w14:paraId="6CE5BF2A" w14:textId="77777777" w:rsidTr="00935676">
        <w:trPr>
          <w:cantSplit/>
        </w:trPr>
        <w:tc>
          <w:tcPr>
            <w:tcW w:w="1696" w:type="dxa"/>
            <w:tcBorders>
              <w:left w:val="single" w:sz="4" w:space="0" w:color="auto"/>
            </w:tcBorders>
            <w:shd w:val="clear" w:color="auto" w:fill="auto"/>
          </w:tcPr>
          <w:p w14:paraId="150C356A" w14:textId="77777777" w:rsidR="002A4DDF" w:rsidRPr="00937C8B" w:rsidRDefault="002A4DDF" w:rsidP="009110ED">
            <w:pPr>
              <w:rPr>
                <w:rFonts w:ascii="Arial" w:hAnsi="Arial" w:cs="Arial"/>
                <w:sz w:val="12"/>
                <w:szCs w:val="12"/>
              </w:rPr>
            </w:pPr>
          </w:p>
        </w:tc>
        <w:tc>
          <w:tcPr>
            <w:tcW w:w="1843" w:type="dxa"/>
            <w:shd w:val="clear" w:color="auto" w:fill="auto"/>
          </w:tcPr>
          <w:p w14:paraId="1069E30D" w14:textId="77777777" w:rsidR="002A4DDF" w:rsidRPr="00937C8B" w:rsidRDefault="002A4DDF" w:rsidP="009110ED">
            <w:pPr>
              <w:rPr>
                <w:rFonts w:ascii="Arial" w:hAnsi="Arial" w:cs="Arial"/>
                <w:sz w:val="12"/>
                <w:szCs w:val="12"/>
              </w:rPr>
            </w:pPr>
          </w:p>
        </w:tc>
        <w:tc>
          <w:tcPr>
            <w:tcW w:w="2268" w:type="dxa"/>
            <w:shd w:val="clear" w:color="auto" w:fill="F2F2F2"/>
            <w:hideMark/>
          </w:tcPr>
          <w:p w14:paraId="49381E6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8F2FD22" w14:textId="77777777" w:rsidR="002A4DDF" w:rsidRPr="00937C8B" w:rsidRDefault="002A4DDF" w:rsidP="009110ED">
            <w:pPr>
              <w:rPr>
                <w:rFonts w:ascii="Arial" w:hAnsi="Arial" w:cs="Arial"/>
                <w:sz w:val="12"/>
                <w:szCs w:val="12"/>
              </w:rPr>
            </w:pPr>
            <w:r>
              <w:rPr>
                <w:rFonts w:ascii="Arial" w:hAnsi="Arial"/>
                <w:sz w:val="12"/>
                <w:szCs w:val="12"/>
              </w:rPr>
              <w:t>Cambados</w:t>
            </w:r>
          </w:p>
        </w:tc>
      </w:tr>
      <w:tr w:rsidR="002A4DDF" w:rsidRPr="00937C8B" w14:paraId="220DDE1A" w14:textId="77777777" w:rsidTr="00935676">
        <w:trPr>
          <w:cantSplit/>
        </w:trPr>
        <w:tc>
          <w:tcPr>
            <w:tcW w:w="1696" w:type="dxa"/>
            <w:tcBorders>
              <w:left w:val="single" w:sz="4" w:space="0" w:color="auto"/>
            </w:tcBorders>
            <w:shd w:val="clear" w:color="auto" w:fill="auto"/>
          </w:tcPr>
          <w:p w14:paraId="44E3A8D7" w14:textId="77777777" w:rsidR="002A4DDF" w:rsidRPr="00937C8B" w:rsidRDefault="002A4DDF" w:rsidP="009110ED">
            <w:pPr>
              <w:rPr>
                <w:rFonts w:ascii="Arial" w:hAnsi="Arial" w:cs="Arial"/>
                <w:sz w:val="12"/>
                <w:szCs w:val="12"/>
              </w:rPr>
            </w:pPr>
          </w:p>
        </w:tc>
        <w:tc>
          <w:tcPr>
            <w:tcW w:w="1843" w:type="dxa"/>
            <w:shd w:val="clear" w:color="auto" w:fill="auto"/>
          </w:tcPr>
          <w:p w14:paraId="6CD1203C" w14:textId="77777777" w:rsidR="002A4DDF" w:rsidRPr="00937C8B" w:rsidRDefault="002A4DDF" w:rsidP="009110ED">
            <w:pPr>
              <w:rPr>
                <w:rFonts w:ascii="Arial" w:hAnsi="Arial" w:cs="Arial"/>
                <w:sz w:val="12"/>
                <w:szCs w:val="12"/>
              </w:rPr>
            </w:pPr>
          </w:p>
        </w:tc>
        <w:tc>
          <w:tcPr>
            <w:tcW w:w="2268" w:type="dxa"/>
            <w:shd w:val="clear" w:color="auto" w:fill="F2F2F2"/>
            <w:hideMark/>
          </w:tcPr>
          <w:p w14:paraId="2DCE9FB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AD254D8" w14:textId="77777777" w:rsidR="002A4DDF" w:rsidRPr="00937C8B" w:rsidRDefault="002A4DDF" w:rsidP="009110ED">
            <w:pPr>
              <w:rPr>
                <w:rFonts w:ascii="Arial" w:hAnsi="Arial" w:cs="Arial"/>
                <w:sz w:val="12"/>
                <w:szCs w:val="12"/>
              </w:rPr>
            </w:pPr>
            <w:r>
              <w:rPr>
                <w:rFonts w:ascii="Arial" w:hAnsi="Arial"/>
                <w:sz w:val="12"/>
                <w:szCs w:val="12"/>
              </w:rPr>
              <w:t>Campo Lameiro</w:t>
            </w:r>
          </w:p>
        </w:tc>
      </w:tr>
      <w:tr w:rsidR="002A4DDF" w:rsidRPr="00937C8B" w14:paraId="2078DBB0" w14:textId="77777777" w:rsidTr="00935676">
        <w:trPr>
          <w:cantSplit/>
        </w:trPr>
        <w:tc>
          <w:tcPr>
            <w:tcW w:w="1696" w:type="dxa"/>
            <w:tcBorders>
              <w:left w:val="single" w:sz="4" w:space="0" w:color="auto"/>
            </w:tcBorders>
            <w:shd w:val="clear" w:color="auto" w:fill="auto"/>
          </w:tcPr>
          <w:p w14:paraId="090E5A33" w14:textId="77777777" w:rsidR="002A4DDF" w:rsidRPr="00937C8B" w:rsidRDefault="002A4DDF" w:rsidP="009110ED">
            <w:pPr>
              <w:rPr>
                <w:rFonts w:ascii="Arial" w:hAnsi="Arial" w:cs="Arial"/>
                <w:sz w:val="12"/>
                <w:szCs w:val="12"/>
              </w:rPr>
            </w:pPr>
          </w:p>
        </w:tc>
        <w:tc>
          <w:tcPr>
            <w:tcW w:w="1843" w:type="dxa"/>
            <w:shd w:val="clear" w:color="auto" w:fill="auto"/>
          </w:tcPr>
          <w:p w14:paraId="06A70656" w14:textId="77777777" w:rsidR="002A4DDF" w:rsidRPr="00937C8B" w:rsidRDefault="002A4DDF" w:rsidP="009110ED">
            <w:pPr>
              <w:rPr>
                <w:rFonts w:ascii="Arial" w:hAnsi="Arial" w:cs="Arial"/>
                <w:sz w:val="12"/>
                <w:szCs w:val="12"/>
              </w:rPr>
            </w:pPr>
          </w:p>
        </w:tc>
        <w:tc>
          <w:tcPr>
            <w:tcW w:w="2268" w:type="dxa"/>
            <w:shd w:val="clear" w:color="auto" w:fill="F2F2F2"/>
            <w:hideMark/>
          </w:tcPr>
          <w:p w14:paraId="50AAC05F"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1A2E004" w14:textId="77777777" w:rsidR="002A4DDF" w:rsidRPr="00937C8B" w:rsidRDefault="002A4DDF" w:rsidP="009110ED">
            <w:pPr>
              <w:rPr>
                <w:rFonts w:ascii="Arial" w:hAnsi="Arial" w:cs="Arial"/>
                <w:sz w:val="12"/>
                <w:szCs w:val="12"/>
              </w:rPr>
            </w:pPr>
            <w:r>
              <w:rPr>
                <w:rFonts w:ascii="Arial" w:hAnsi="Arial"/>
                <w:sz w:val="12"/>
                <w:szCs w:val="12"/>
              </w:rPr>
              <w:t>Cangas</w:t>
            </w:r>
          </w:p>
        </w:tc>
      </w:tr>
      <w:tr w:rsidR="002A4DDF" w:rsidRPr="00937C8B" w14:paraId="7D19EB08" w14:textId="77777777" w:rsidTr="00935676">
        <w:trPr>
          <w:cantSplit/>
        </w:trPr>
        <w:tc>
          <w:tcPr>
            <w:tcW w:w="1696" w:type="dxa"/>
            <w:tcBorders>
              <w:left w:val="single" w:sz="4" w:space="0" w:color="auto"/>
            </w:tcBorders>
            <w:shd w:val="clear" w:color="auto" w:fill="auto"/>
          </w:tcPr>
          <w:p w14:paraId="5790A76F" w14:textId="77777777" w:rsidR="002A4DDF" w:rsidRPr="00937C8B" w:rsidRDefault="002A4DDF" w:rsidP="009110ED">
            <w:pPr>
              <w:rPr>
                <w:rFonts w:ascii="Arial" w:hAnsi="Arial" w:cs="Arial"/>
                <w:sz w:val="12"/>
                <w:szCs w:val="12"/>
              </w:rPr>
            </w:pPr>
          </w:p>
        </w:tc>
        <w:tc>
          <w:tcPr>
            <w:tcW w:w="1843" w:type="dxa"/>
            <w:shd w:val="clear" w:color="auto" w:fill="auto"/>
          </w:tcPr>
          <w:p w14:paraId="63742583" w14:textId="77777777" w:rsidR="002A4DDF" w:rsidRPr="00937C8B" w:rsidRDefault="002A4DDF" w:rsidP="009110ED">
            <w:pPr>
              <w:rPr>
                <w:rFonts w:ascii="Arial" w:hAnsi="Arial" w:cs="Arial"/>
                <w:sz w:val="12"/>
                <w:szCs w:val="12"/>
              </w:rPr>
            </w:pPr>
          </w:p>
        </w:tc>
        <w:tc>
          <w:tcPr>
            <w:tcW w:w="2268" w:type="dxa"/>
            <w:shd w:val="clear" w:color="auto" w:fill="F2F2F2"/>
            <w:hideMark/>
          </w:tcPr>
          <w:p w14:paraId="79D00AC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D3A3542" w14:textId="77777777" w:rsidR="002A4DDF" w:rsidRPr="00937C8B" w:rsidRDefault="002A4DDF" w:rsidP="009110ED">
            <w:pPr>
              <w:rPr>
                <w:rFonts w:ascii="Arial" w:hAnsi="Arial" w:cs="Arial"/>
                <w:sz w:val="12"/>
                <w:szCs w:val="12"/>
              </w:rPr>
            </w:pPr>
            <w:r>
              <w:rPr>
                <w:rFonts w:ascii="Arial" w:hAnsi="Arial"/>
                <w:sz w:val="12"/>
                <w:szCs w:val="12"/>
              </w:rPr>
              <w:t>Catoira</w:t>
            </w:r>
          </w:p>
        </w:tc>
      </w:tr>
      <w:tr w:rsidR="002A4DDF" w:rsidRPr="00937C8B" w14:paraId="65BFF999" w14:textId="77777777" w:rsidTr="00935676">
        <w:trPr>
          <w:cantSplit/>
        </w:trPr>
        <w:tc>
          <w:tcPr>
            <w:tcW w:w="1696" w:type="dxa"/>
            <w:tcBorders>
              <w:left w:val="single" w:sz="4" w:space="0" w:color="auto"/>
            </w:tcBorders>
            <w:shd w:val="clear" w:color="auto" w:fill="auto"/>
          </w:tcPr>
          <w:p w14:paraId="665A8BBD" w14:textId="77777777" w:rsidR="002A4DDF" w:rsidRPr="00937C8B" w:rsidRDefault="002A4DDF" w:rsidP="009110ED">
            <w:pPr>
              <w:rPr>
                <w:rFonts w:ascii="Arial" w:hAnsi="Arial" w:cs="Arial"/>
                <w:sz w:val="12"/>
                <w:szCs w:val="12"/>
              </w:rPr>
            </w:pPr>
          </w:p>
        </w:tc>
        <w:tc>
          <w:tcPr>
            <w:tcW w:w="1843" w:type="dxa"/>
            <w:shd w:val="clear" w:color="auto" w:fill="auto"/>
          </w:tcPr>
          <w:p w14:paraId="3AAFB8FD" w14:textId="77777777" w:rsidR="002A4DDF" w:rsidRPr="00937C8B" w:rsidRDefault="002A4DDF" w:rsidP="009110ED">
            <w:pPr>
              <w:rPr>
                <w:rFonts w:ascii="Arial" w:hAnsi="Arial" w:cs="Arial"/>
                <w:sz w:val="12"/>
                <w:szCs w:val="12"/>
              </w:rPr>
            </w:pPr>
          </w:p>
        </w:tc>
        <w:tc>
          <w:tcPr>
            <w:tcW w:w="2268" w:type="dxa"/>
            <w:shd w:val="clear" w:color="auto" w:fill="F2F2F2"/>
            <w:hideMark/>
          </w:tcPr>
          <w:p w14:paraId="025887E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96228B2" w14:textId="77777777" w:rsidR="002A4DDF" w:rsidRPr="00937C8B" w:rsidRDefault="002A4DDF" w:rsidP="009110ED">
            <w:pPr>
              <w:rPr>
                <w:rFonts w:ascii="Arial" w:hAnsi="Arial" w:cs="Arial"/>
                <w:sz w:val="12"/>
                <w:szCs w:val="12"/>
              </w:rPr>
            </w:pPr>
            <w:r>
              <w:rPr>
                <w:rFonts w:ascii="Arial" w:hAnsi="Arial"/>
                <w:sz w:val="12"/>
                <w:szCs w:val="12"/>
              </w:rPr>
              <w:t>Cerdedo</w:t>
            </w:r>
          </w:p>
        </w:tc>
      </w:tr>
      <w:tr w:rsidR="002A4DDF" w:rsidRPr="00937C8B" w14:paraId="42ED79D1" w14:textId="77777777" w:rsidTr="00935676">
        <w:trPr>
          <w:cantSplit/>
        </w:trPr>
        <w:tc>
          <w:tcPr>
            <w:tcW w:w="1696" w:type="dxa"/>
            <w:tcBorders>
              <w:left w:val="single" w:sz="4" w:space="0" w:color="auto"/>
            </w:tcBorders>
            <w:shd w:val="clear" w:color="auto" w:fill="auto"/>
          </w:tcPr>
          <w:p w14:paraId="10D757A0" w14:textId="77777777" w:rsidR="002A4DDF" w:rsidRPr="00937C8B" w:rsidRDefault="002A4DDF" w:rsidP="009110ED">
            <w:pPr>
              <w:rPr>
                <w:rFonts w:ascii="Arial" w:hAnsi="Arial" w:cs="Arial"/>
                <w:sz w:val="12"/>
                <w:szCs w:val="12"/>
              </w:rPr>
            </w:pPr>
          </w:p>
        </w:tc>
        <w:tc>
          <w:tcPr>
            <w:tcW w:w="1843" w:type="dxa"/>
            <w:shd w:val="clear" w:color="auto" w:fill="auto"/>
          </w:tcPr>
          <w:p w14:paraId="30493DF6" w14:textId="77777777" w:rsidR="002A4DDF" w:rsidRPr="00937C8B" w:rsidRDefault="002A4DDF" w:rsidP="009110ED">
            <w:pPr>
              <w:rPr>
                <w:rFonts w:ascii="Arial" w:hAnsi="Arial" w:cs="Arial"/>
                <w:sz w:val="12"/>
                <w:szCs w:val="12"/>
              </w:rPr>
            </w:pPr>
          </w:p>
        </w:tc>
        <w:tc>
          <w:tcPr>
            <w:tcW w:w="2268" w:type="dxa"/>
            <w:shd w:val="clear" w:color="auto" w:fill="F2F2F2"/>
            <w:hideMark/>
          </w:tcPr>
          <w:p w14:paraId="04DADFFC"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BCF8350" w14:textId="77777777" w:rsidR="002A4DDF" w:rsidRPr="00937C8B" w:rsidRDefault="002A4DDF" w:rsidP="009110ED">
            <w:pPr>
              <w:rPr>
                <w:rFonts w:ascii="Arial" w:hAnsi="Arial" w:cs="Arial"/>
                <w:sz w:val="12"/>
                <w:szCs w:val="12"/>
              </w:rPr>
            </w:pPr>
            <w:r>
              <w:rPr>
                <w:rFonts w:ascii="Arial" w:hAnsi="Arial"/>
                <w:sz w:val="12"/>
                <w:szCs w:val="12"/>
              </w:rPr>
              <w:t>Cotobade</w:t>
            </w:r>
          </w:p>
        </w:tc>
      </w:tr>
      <w:tr w:rsidR="002A4DDF" w:rsidRPr="00937C8B" w14:paraId="0165E5FD" w14:textId="77777777" w:rsidTr="00935676">
        <w:trPr>
          <w:cantSplit/>
        </w:trPr>
        <w:tc>
          <w:tcPr>
            <w:tcW w:w="1696" w:type="dxa"/>
            <w:tcBorders>
              <w:left w:val="single" w:sz="4" w:space="0" w:color="auto"/>
            </w:tcBorders>
            <w:shd w:val="clear" w:color="auto" w:fill="auto"/>
          </w:tcPr>
          <w:p w14:paraId="2B671407" w14:textId="77777777" w:rsidR="002A4DDF" w:rsidRPr="00937C8B" w:rsidRDefault="002A4DDF" w:rsidP="009110ED">
            <w:pPr>
              <w:rPr>
                <w:rFonts w:ascii="Arial" w:hAnsi="Arial" w:cs="Arial"/>
                <w:sz w:val="12"/>
                <w:szCs w:val="12"/>
              </w:rPr>
            </w:pPr>
          </w:p>
        </w:tc>
        <w:tc>
          <w:tcPr>
            <w:tcW w:w="1843" w:type="dxa"/>
            <w:shd w:val="clear" w:color="auto" w:fill="auto"/>
          </w:tcPr>
          <w:p w14:paraId="2C7826DD" w14:textId="77777777" w:rsidR="002A4DDF" w:rsidRPr="00937C8B" w:rsidRDefault="002A4DDF" w:rsidP="009110ED">
            <w:pPr>
              <w:rPr>
                <w:rFonts w:ascii="Arial" w:hAnsi="Arial" w:cs="Arial"/>
                <w:sz w:val="12"/>
                <w:szCs w:val="12"/>
              </w:rPr>
            </w:pPr>
          </w:p>
        </w:tc>
        <w:tc>
          <w:tcPr>
            <w:tcW w:w="2268" w:type="dxa"/>
            <w:shd w:val="clear" w:color="auto" w:fill="F2F2F2"/>
            <w:hideMark/>
          </w:tcPr>
          <w:p w14:paraId="1877A95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1A8BCF5" w14:textId="77777777" w:rsidR="002A4DDF" w:rsidRPr="00937C8B" w:rsidRDefault="002A4DDF" w:rsidP="009110ED">
            <w:pPr>
              <w:rPr>
                <w:rFonts w:ascii="Arial" w:hAnsi="Arial" w:cs="Arial"/>
                <w:sz w:val="12"/>
                <w:szCs w:val="12"/>
              </w:rPr>
            </w:pPr>
            <w:r>
              <w:rPr>
                <w:rFonts w:ascii="Arial" w:hAnsi="Arial"/>
                <w:sz w:val="12"/>
                <w:szCs w:val="12"/>
              </w:rPr>
              <w:t>Covelo</w:t>
            </w:r>
          </w:p>
        </w:tc>
      </w:tr>
      <w:tr w:rsidR="002A4DDF" w:rsidRPr="00937C8B" w14:paraId="527934D4" w14:textId="77777777" w:rsidTr="00935676">
        <w:trPr>
          <w:cantSplit/>
        </w:trPr>
        <w:tc>
          <w:tcPr>
            <w:tcW w:w="1696" w:type="dxa"/>
            <w:tcBorders>
              <w:left w:val="single" w:sz="4" w:space="0" w:color="auto"/>
            </w:tcBorders>
            <w:shd w:val="clear" w:color="auto" w:fill="auto"/>
          </w:tcPr>
          <w:p w14:paraId="3D34CC5D" w14:textId="77777777" w:rsidR="002A4DDF" w:rsidRPr="00937C8B" w:rsidRDefault="002A4DDF" w:rsidP="009110ED">
            <w:pPr>
              <w:rPr>
                <w:rFonts w:ascii="Arial" w:hAnsi="Arial" w:cs="Arial"/>
                <w:sz w:val="12"/>
                <w:szCs w:val="12"/>
              </w:rPr>
            </w:pPr>
          </w:p>
        </w:tc>
        <w:tc>
          <w:tcPr>
            <w:tcW w:w="1843" w:type="dxa"/>
            <w:shd w:val="clear" w:color="auto" w:fill="auto"/>
          </w:tcPr>
          <w:p w14:paraId="2D90E122" w14:textId="77777777" w:rsidR="002A4DDF" w:rsidRPr="00937C8B" w:rsidRDefault="002A4DDF" w:rsidP="009110ED">
            <w:pPr>
              <w:rPr>
                <w:rFonts w:ascii="Arial" w:hAnsi="Arial" w:cs="Arial"/>
                <w:sz w:val="12"/>
                <w:szCs w:val="12"/>
              </w:rPr>
            </w:pPr>
          </w:p>
        </w:tc>
        <w:tc>
          <w:tcPr>
            <w:tcW w:w="2268" w:type="dxa"/>
            <w:shd w:val="clear" w:color="auto" w:fill="F2F2F2"/>
            <w:hideMark/>
          </w:tcPr>
          <w:p w14:paraId="2A19900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1B6F246" w14:textId="77777777" w:rsidR="002A4DDF" w:rsidRPr="00937C8B" w:rsidRDefault="002A4DDF" w:rsidP="009110ED">
            <w:pPr>
              <w:rPr>
                <w:rFonts w:ascii="Arial" w:hAnsi="Arial" w:cs="Arial"/>
                <w:sz w:val="12"/>
                <w:szCs w:val="12"/>
              </w:rPr>
            </w:pPr>
            <w:r>
              <w:rPr>
                <w:rFonts w:ascii="Arial" w:hAnsi="Arial"/>
                <w:sz w:val="12"/>
                <w:szCs w:val="12"/>
              </w:rPr>
              <w:t>Crecente</w:t>
            </w:r>
          </w:p>
        </w:tc>
      </w:tr>
      <w:tr w:rsidR="002A4DDF" w:rsidRPr="00937C8B" w14:paraId="3322AB6A" w14:textId="77777777" w:rsidTr="00935676">
        <w:trPr>
          <w:cantSplit/>
        </w:trPr>
        <w:tc>
          <w:tcPr>
            <w:tcW w:w="1696" w:type="dxa"/>
            <w:tcBorders>
              <w:left w:val="single" w:sz="4" w:space="0" w:color="auto"/>
            </w:tcBorders>
            <w:shd w:val="clear" w:color="auto" w:fill="auto"/>
          </w:tcPr>
          <w:p w14:paraId="0EEC9B36" w14:textId="77777777" w:rsidR="002A4DDF" w:rsidRPr="00937C8B" w:rsidRDefault="002A4DDF" w:rsidP="009110ED">
            <w:pPr>
              <w:rPr>
                <w:rFonts w:ascii="Arial" w:hAnsi="Arial" w:cs="Arial"/>
                <w:sz w:val="12"/>
                <w:szCs w:val="12"/>
              </w:rPr>
            </w:pPr>
          </w:p>
        </w:tc>
        <w:tc>
          <w:tcPr>
            <w:tcW w:w="1843" w:type="dxa"/>
            <w:shd w:val="clear" w:color="auto" w:fill="auto"/>
          </w:tcPr>
          <w:p w14:paraId="260B1334" w14:textId="77777777" w:rsidR="002A4DDF" w:rsidRPr="00937C8B" w:rsidRDefault="002A4DDF" w:rsidP="009110ED">
            <w:pPr>
              <w:rPr>
                <w:rFonts w:ascii="Arial" w:hAnsi="Arial" w:cs="Arial"/>
                <w:sz w:val="12"/>
                <w:szCs w:val="12"/>
              </w:rPr>
            </w:pPr>
          </w:p>
        </w:tc>
        <w:tc>
          <w:tcPr>
            <w:tcW w:w="2268" w:type="dxa"/>
            <w:shd w:val="clear" w:color="auto" w:fill="F2F2F2"/>
            <w:hideMark/>
          </w:tcPr>
          <w:p w14:paraId="11EC684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569B3C7" w14:textId="77777777" w:rsidR="002A4DDF" w:rsidRPr="00937C8B" w:rsidRDefault="002A4DDF" w:rsidP="009110ED">
            <w:pPr>
              <w:rPr>
                <w:rFonts w:ascii="Arial" w:hAnsi="Arial" w:cs="Arial"/>
                <w:sz w:val="12"/>
                <w:szCs w:val="12"/>
              </w:rPr>
            </w:pPr>
            <w:r>
              <w:rPr>
                <w:rFonts w:ascii="Arial" w:hAnsi="Arial"/>
                <w:sz w:val="12"/>
                <w:szCs w:val="12"/>
              </w:rPr>
              <w:t>Cuntis</w:t>
            </w:r>
          </w:p>
        </w:tc>
      </w:tr>
      <w:tr w:rsidR="002A4DDF" w:rsidRPr="00937C8B" w14:paraId="71FFD81D" w14:textId="77777777" w:rsidTr="00935676">
        <w:trPr>
          <w:cantSplit/>
        </w:trPr>
        <w:tc>
          <w:tcPr>
            <w:tcW w:w="1696" w:type="dxa"/>
            <w:tcBorders>
              <w:left w:val="single" w:sz="4" w:space="0" w:color="auto"/>
            </w:tcBorders>
            <w:shd w:val="clear" w:color="auto" w:fill="auto"/>
          </w:tcPr>
          <w:p w14:paraId="5416DE58" w14:textId="77777777" w:rsidR="002A4DDF" w:rsidRPr="00937C8B" w:rsidRDefault="002A4DDF" w:rsidP="009110ED">
            <w:pPr>
              <w:rPr>
                <w:rFonts w:ascii="Arial" w:hAnsi="Arial" w:cs="Arial"/>
                <w:sz w:val="12"/>
                <w:szCs w:val="12"/>
              </w:rPr>
            </w:pPr>
          </w:p>
        </w:tc>
        <w:tc>
          <w:tcPr>
            <w:tcW w:w="1843" w:type="dxa"/>
            <w:shd w:val="clear" w:color="auto" w:fill="auto"/>
          </w:tcPr>
          <w:p w14:paraId="0C5CB1D6" w14:textId="77777777" w:rsidR="002A4DDF" w:rsidRPr="00937C8B" w:rsidRDefault="002A4DDF" w:rsidP="009110ED">
            <w:pPr>
              <w:rPr>
                <w:rFonts w:ascii="Arial" w:hAnsi="Arial" w:cs="Arial"/>
                <w:sz w:val="12"/>
                <w:szCs w:val="12"/>
              </w:rPr>
            </w:pPr>
          </w:p>
        </w:tc>
        <w:tc>
          <w:tcPr>
            <w:tcW w:w="2268" w:type="dxa"/>
            <w:shd w:val="clear" w:color="auto" w:fill="F2F2F2"/>
            <w:hideMark/>
          </w:tcPr>
          <w:p w14:paraId="5B1F066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0449473" w14:textId="77777777" w:rsidR="002A4DDF" w:rsidRPr="00937C8B" w:rsidRDefault="002A4DDF" w:rsidP="009110ED">
            <w:pPr>
              <w:rPr>
                <w:rFonts w:ascii="Arial" w:hAnsi="Arial" w:cs="Arial"/>
                <w:sz w:val="12"/>
                <w:szCs w:val="12"/>
              </w:rPr>
            </w:pPr>
            <w:r>
              <w:rPr>
                <w:rFonts w:ascii="Arial" w:hAnsi="Arial"/>
                <w:sz w:val="12"/>
                <w:szCs w:val="12"/>
              </w:rPr>
              <w:t>Dozón</w:t>
            </w:r>
          </w:p>
        </w:tc>
      </w:tr>
      <w:tr w:rsidR="002A4DDF" w:rsidRPr="00937C8B" w14:paraId="1F4E4499" w14:textId="77777777" w:rsidTr="00935676">
        <w:trPr>
          <w:cantSplit/>
        </w:trPr>
        <w:tc>
          <w:tcPr>
            <w:tcW w:w="1696" w:type="dxa"/>
            <w:tcBorders>
              <w:left w:val="single" w:sz="4" w:space="0" w:color="auto"/>
            </w:tcBorders>
            <w:shd w:val="clear" w:color="auto" w:fill="auto"/>
          </w:tcPr>
          <w:p w14:paraId="7F12D6A7" w14:textId="77777777" w:rsidR="002A4DDF" w:rsidRPr="00937C8B" w:rsidRDefault="002A4DDF" w:rsidP="009110ED">
            <w:pPr>
              <w:rPr>
                <w:rFonts w:ascii="Arial" w:hAnsi="Arial" w:cs="Arial"/>
                <w:sz w:val="12"/>
                <w:szCs w:val="12"/>
              </w:rPr>
            </w:pPr>
          </w:p>
        </w:tc>
        <w:tc>
          <w:tcPr>
            <w:tcW w:w="1843" w:type="dxa"/>
            <w:shd w:val="clear" w:color="auto" w:fill="auto"/>
          </w:tcPr>
          <w:p w14:paraId="10C1CA45" w14:textId="77777777" w:rsidR="002A4DDF" w:rsidRPr="00937C8B" w:rsidRDefault="002A4DDF" w:rsidP="009110ED">
            <w:pPr>
              <w:rPr>
                <w:rFonts w:ascii="Arial" w:hAnsi="Arial" w:cs="Arial"/>
                <w:sz w:val="12"/>
                <w:szCs w:val="12"/>
              </w:rPr>
            </w:pPr>
          </w:p>
        </w:tc>
        <w:tc>
          <w:tcPr>
            <w:tcW w:w="2268" w:type="dxa"/>
            <w:shd w:val="clear" w:color="auto" w:fill="F2F2F2"/>
            <w:hideMark/>
          </w:tcPr>
          <w:p w14:paraId="7579677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D826AF6" w14:textId="77777777" w:rsidR="002A4DDF" w:rsidRPr="00937C8B" w:rsidRDefault="002A4DDF" w:rsidP="009110ED">
            <w:pPr>
              <w:rPr>
                <w:rFonts w:ascii="Arial" w:hAnsi="Arial" w:cs="Arial"/>
                <w:sz w:val="12"/>
                <w:szCs w:val="12"/>
              </w:rPr>
            </w:pPr>
            <w:r>
              <w:rPr>
                <w:rFonts w:ascii="Arial" w:hAnsi="Arial"/>
                <w:sz w:val="12"/>
                <w:szCs w:val="12"/>
              </w:rPr>
              <w:t>Forcarei</w:t>
            </w:r>
          </w:p>
        </w:tc>
      </w:tr>
      <w:tr w:rsidR="002A4DDF" w:rsidRPr="00937C8B" w14:paraId="1E8790DA" w14:textId="77777777" w:rsidTr="00935676">
        <w:trPr>
          <w:cantSplit/>
        </w:trPr>
        <w:tc>
          <w:tcPr>
            <w:tcW w:w="1696" w:type="dxa"/>
            <w:tcBorders>
              <w:left w:val="single" w:sz="4" w:space="0" w:color="auto"/>
            </w:tcBorders>
            <w:shd w:val="clear" w:color="auto" w:fill="auto"/>
          </w:tcPr>
          <w:p w14:paraId="18AA6445" w14:textId="77777777" w:rsidR="002A4DDF" w:rsidRPr="00937C8B" w:rsidRDefault="002A4DDF" w:rsidP="009110ED">
            <w:pPr>
              <w:rPr>
                <w:rFonts w:ascii="Arial" w:hAnsi="Arial" w:cs="Arial"/>
                <w:sz w:val="12"/>
                <w:szCs w:val="12"/>
              </w:rPr>
            </w:pPr>
          </w:p>
        </w:tc>
        <w:tc>
          <w:tcPr>
            <w:tcW w:w="1843" w:type="dxa"/>
            <w:shd w:val="clear" w:color="auto" w:fill="auto"/>
          </w:tcPr>
          <w:p w14:paraId="5BD577DE" w14:textId="77777777" w:rsidR="002A4DDF" w:rsidRPr="00937C8B" w:rsidRDefault="002A4DDF" w:rsidP="009110ED">
            <w:pPr>
              <w:rPr>
                <w:rFonts w:ascii="Arial" w:hAnsi="Arial" w:cs="Arial"/>
                <w:sz w:val="12"/>
                <w:szCs w:val="12"/>
              </w:rPr>
            </w:pPr>
          </w:p>
        </w:tc>
        <w:tc>
          <w:tcPr>
            <w:tcW w:w="2268" w:type="dxa"/>
            <w:shd w:val="clear" w:color="auto" w:fill="F2F2F2"/>
            <w:hideMark/>
          </w:tcPr>
          <w:p w14:paraId="2764607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0D5360E" w14:textId="77777777" w:rsidR="002A4DDF" w:rsidRPr="00937C8B" w:rsidRDefault="002A4DDF" w:rsidP="009110ED">
            <w:pPr>
              <w:rPr>
                <w:rFonts w:ascii="Arial" w:hAnsi="Arial" w:cs="Arial"/>
                <w:sz w:val="12"/>
                <w:szCs w:val="12"/>
              </w:rPr>
            </w:pPr>
            <w:r>
              <w:rPr>
                <w:rFonts w:ascii="Arial" w:hAnsi="Arial"/>
                <w:sz w:val="12"/>
                <w:szCs w:val="12"/>
              </w:rPr>
              <w:t>Fornelos de Montes</w:t>
            </w:r>
          </w:p>
        </w:tc>
      </w:tr>
      <w:tr w:rsidR="002A4DDF" w:rsidRPr="00937C8B" w14:paraId="14FAE983" w14:textId="77777777" w:rsidTr="00935676">
        <w:trPr>
          <w:cantSplit/>
        </w:trPr>
        <w:tc>
          <w:tcPr>
            <w:tcW w:w="1696" w:type="dxa"/>
            <w:tcBorders>
              <w:left w:val="single" w:sz="4" w:space="0" w:color="auto"/>
            </w:tcBorders>
            <w:shd w:val="clear" w:color="auto" w:fill="auto"/>
          </w:tcPr>
          <w:p w14:paraId="51CCC5E6" w14:textId="77777777" w:rsidR="002A4DDF" w:rsidRPr="00937C8B" w:rsidRDefault="002A4DDF" w:rsidP="009110ED">
            <w:pPr>
              <w:rPr>
                <w:rFonts w:ascii="Arial" w:hAnsi="Arial" w:cs="Arial"/>
                <w:sz w:val="12"/>
                <w:szCs w:val="12"/>
              </w:rPr>
            </w:pPr>
          </w:p>
        </w:tc>
        <w:tc>
          <w:tcPr>
            <w:tcW w:w="1843" w:type="dxa"/>
            <w:shd w:val="clear" w:color="auto" w:fill="auto"/>
          </w:tcPr>
          <w:p w14:paraId="37D0E611" w14:textId="77777777" w:rsidR="002A4DDF" w:rsidRPr="00937C8B" w:rsidRDefault="002A4DDF" w:rsidP="009110ED">
            <w:pPr>
              <w:rPr>
                <w:rFonts w:ascii="Arial" w:hAnsi="Arial" w:cs="Arial"/>
                <w:sz w:val="12"/>
                <w:szCs w:val="12"/>
              </w:rPr>
            </w:pPr>
          </w:p>
        </w:tc>
        <w:tc>
          <w:tcPr>
            <w:tcW w:w="2268" w:type="dxa"/>
            <w:shd w:val="clear" w:color="auto" w:fill="F2F2F2"/>
            <w:hideMark/>
          </w:tcPr>
          <w:p w14:paraId="6416E80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DD023D1" w14:textId="77777777" w:rsidR="002A4DDF" w:rsidRPr="00937C8B" w:rsidRDefault="002A4DDF" w:rsidP="009110ED">
            <w:pPr>
              <w:rPr>
                <w:rFonts w:ascii="Arial" w:hAnsi="Arial" w:cs="Arial"/>
                <w:sz w:val="12"/>
                <w:szCs w:val="12"/>
              </w:rPr>
            </w:pPr>
            <w:r>
              <w:rPr>
                <w:rFonts w:ascii="Arial" w:hAnsi="Arial"/>
                <w:sz w:val="12"/>
                <w:szCs w:val="12"/>
              </w:rPr>
              <w:t>Gondomar</w:t>
            </w:r>
          </w:p>
        </w:tc>
      </w:tr>
      <w:tr w:rsidR="002A4DDF" w:rsidRPr="00937C8B" w14:paraId="4F99C3EE" w14:textId="77777777" w:rsidTr="00935676">
        <w:trPr>
          <w:cantSplit/>
        </w:trPr>
        <w:tc>
          <w:tcPr>
            <w:tcW w:w="1696" w:type="dxa"/>
            <w:tcBorders>
              <w:left w:val="single" w:sz="4" w:space="0" w:color="auto"/>
            </w:tcBorders>
            <w:shd w:val="clear" w:color="auto" w:fill="auto"/>
          </w:tcPr>
          <w:p w14:paraId="78DCFF3C" w14:textId="77777777" w:rsidR="002A4DDF" w:rsidRPr="00937C8B" w:rsidRDefault="002A4DDF" w:rsidP="009110ED">
            <w:pPr>
              <w:rPr>
                <w:rFonts w:ascii="Arial" w:hAnsi="Arial" w:cs="Arial"/>
                <w:sz w:val="12"/>
                <w:szCs w:val="12"/>
              </w:rPr>
            </w:pPr>
          </w:p>
        </w:tc>
        <w:tc>
          <w:tcPr>
            <w:tcW w:w="1843" w:type="dxa"/>
            <w:shd w:val="clear" w:color="auto" w:fill="auto"/>
          </w:tcPr>
          <w:p w14:paraId="513886EC" w14:textId="77777777" w:rsidR="002A4DDF" w:rsidRPr="00937C8B" w:rsidRDefault="002A4DDF" w:rsidP="009110ED">
            <w:pPr>
              <w:rPr>
                <w:rFonts w:ascii="Arial" w:hAnsi="Arial" w:cs="Arial"/>
                <w:sz w:val="12"/>
                <w:szCs w:val="12"/>
              </w:rPr>
            </w:pPr>
          </w:p>
        </w:tc>
        <w:tc>
          <w:tcPr>
            <w:tcW w:w="2268" w:type="dxa"/>
            <w:shd w:val="clear" w:color="auto" w:fill="F2F2F2"/>
            <w:hideMark/>
          </w:tcPr>
          <w:p w14:paraId="009CFBC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172E3CC" w14:textId="77777777" w:rsidR="002A4DDF" w:rsidRPr="00937C8B" w:rsidRDefault="002A4DDF" w:rsidP="009110ED">
            <w:pPr>
              <w:rPr>
                <w:rFonts w:ascii="Arial" w:hAnsi="Arial" w:cs="Arial"/>
                <w:sz w:val="12"/>
                <w:szCs w:val="12"/>
              </w:rPr>
            </w:pPr>
            <w:r>
              <w:rPr>
                <w:rFonts w:ascii="Arial" w:hAnsi="Arial"/>
                <w:sz w:val="12"/>
                <w:szCs w:val="12"/>
              </w:rPr>
              <w:t>Lalín</w:t>
            </w:r>
          </w:p>
        </w:tc>
      </w:tr>
      <w:tr w:rsidR="002A4DDF" w:rsidRPr="00937C8B" w14:paraId="28124BBF" w14:textId="77777777" w:rsidTr="00935676">
        <w:trPr>
          <w:cantSplit/>
        </w:trPr>
        <w:tc>
          <w:tcPr>
            <w:tcW w:w="1696" w:type="dxa"/>
            <w:tcBorders>
              <w:left w:val="single" w:sz="4" w:space="0" w:color="auto"/>
            </w:tcBorders>
            <w:shd w:val="clear" w:color="auto" w:fill="auto"/>
          </w:tcPr>
          <w:p w14:paraId="58FE56FE" w14:textId="77777777" w:rsidR="002A4DDF" w:rsidRPr="00937C8B" w:rsidRDefault="002A4DDF" w:rsidP="009110ED">
            <w:pPr>
              <w:rPr>
                <w:rFonts w:ascii="Arial" w:hAnsi="Arial" w:cs="Arial"/>
                <w:sz w:val="12"/>
                <w:szCs w:val="12"/>
              </w:rPr>
            </w:pPr>
          </w:p>
        </w:tc>
        <w:tc>
          <w:tcPr>
            <w:tcW w:w="1843" w:type="dxa"/>
            <w:shd w:val="clear" w:color="auto" w:fill="auto"/>
          </w:tcPr>
          <w:p w14:paraId="305C220B" w14:textId="77777777" w:rsidR="002A4DDF" w:rsidRPr="00937C8B" w:rsidRDefault="002A4DDF" w:rsidP="009110ED">
            <w:pPr>
              <w:rPr>
                <w:rFonts w:ascii="Arial" w:hAnsi="Arial" w:cs="Arial"/>
                <w:sz w:val="12"/>
                <w:szCs w:val="12"/>
              </w:rPr>
            </w:pPr>
          </w:p>
        </w:tc>
        <w:tc>
          <w:tcPr>
            <w:tcW w:w="2268" w:type="dxa"/>
            <w:shd w:val="clear" w:color="auto" w:fill="F2F2F2"/>
            <w:hideMark/>
          </w:tcPr>
          <w:p w14:paraId="5992DCA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228F37F" w14:textId="77777777" w:rsidR="002A4DDF" w:rsidRPr="00937C8B" w:rsidRDefault="002A4DDF" w:rsidP="009110ED">
            <w:pPr>
              <w:rPr>
                <w:rFonts w:ascii="Arial" w:hAnsi="Arial" w:cs="Arial"/>
                <w:sz w:val="12"/>
                <w:szCs w:val="12"/>
              </w:rPr>
            </w:pPr>
            <w:r>
              <w:rPr>
                <w:rFonts w:ascii="Arial" w:hAnsi="Arial"/>
                <w:sz w:val="12"/>
                <w:szCs w:val="12"/>
              </w:rPr>
              <w:t>Marín</w:t>
            </w:r>
          </w:p>
        </w:tc>
      </w:tr>
      <w:tr w:rsidR="002A4DDF" w:rsidRPr="00937C8B" w14:paraId="60299868" w14:textId="77777777" w:rsidTr="00935676">
        <w:trPr>
          <w:cantSplit/>
        </w:trPr>
        <w:tc>
          <w:tcPr>
            <w:tcW w:w="1696" w:type="dxa"/>
            <w:tcBorders>
              <w:left w:val="single" w:sz="4" w:space="0" w:color="auto"/>
            </w:tcBorders>
            <w:shd w:val="clear" w:color="auto" w:fill="auto"/>
          </w:tcPr>
          <w:p w14:paraId="60F0948F" w14:textId="77777777" w:rsidR="002A4DDF" w:rsidRPr="00937C8B" w:rsidRDefault="002A4DDF" w:rsidP="009110ED">
            <w:pPr>
              <w:rPr>
                <w:rFonts w:ascii="Arial" w:hAnsi="Arial" w:cs="Arial"/>
                <w:sz w:val="12"/>
                <w:szCs w:val="12"/>
              </w:rPr>
            </w:pPr>
          </w:p>
        </w:tc>
        <w:tc>
          <w:tcPr>
            <w:tcW w:w="1843" w:type="dxa"/>
            <w:shd w:val="clear" w:color="auto" w:fill="auto"/>
          </w:tcPr>
          <w:p w14:paraId="0880184E" w14:textId="77777777" w:rsidR="002A4DDF" w:rsidRPr="00937C8B" w:rsidRDefault="002A4DDF" w:rsidP="009110ED">
            <w:pPr>
              <w:rPr>
                <w:rFonts w:ascii="Arial" w:hAnsi="Arial" w:cs="Arial"/>
                <w:sz w:val="12"/>
                <w:szCs w:val="12"/>
              </w:rPr>
            </w:pPr>
          </w:p>
        </w:tc>
        <w:tc>
          <w:tcPr>
            <w:tcW w:w="2268" w:type="dxa"/>
            <w:shd w:val="clear" w:color="auto" w:fill="F2F2F2"/>
            <w:hideMark/>
          </w:tcPr>
          <w:p w14:paraId="3531207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8B70438" w14:textId="77777777" w:rsidR="002A4DDF" w:rsidRPr="00937C8B" w:rsidRDefault="002A4DDF" w:rsidP="009110ED">
            <w:pPr>
              <w:rPr>
                <w:rFonts w:ascii="Arial" w:hAnsi="Arial" w:cs="Arial"/>
                <w:sz w:val="12"/>
                <w:szCs w:val="12"/>
              </w:rPr>
            </w:pPr>
            <w:r>
              <w:rPr>
                <w:rFonts w:ascii="Arial" w:hAnsi="Arial"/>
                <w:sz w:val="12"/>
                <w:szCs w:val="12"/>
              </w:rPr>
              <w:t>Meaño</w:t>
            </w:r>
          </w:p>
        </w:tc>
      </w:tr>
      <w:tr w:rsidR="002A4DDF" w:rsidRPr="00937C8B" w14:paraId="445886C7" w14:textId="77777777" w:rsidTr="00935676">
        <w:trPr>
          <w:cantSplit/>
        </w:trPr>
        <w:tc>
          <w:tcPr>
            <w:tcW w:w="1696" w:type="dxa"/>
            <w:tcBorders>
              <w:left w:val="single" w:sz="4" w:space="0" w:color="auto"/>
            </w:tcBorders>
            <w:shd w:val="clear" w:color="auto" w:fill="auto"/>
          </w:tcPr>
          <w:p w14:paraId="36C8B33C" w14:textId="77777777" w:rsidR="002A4DDF" w:rsidRPr="00937C8B" w:rsidRDefault="002A4DDF" w:rsidP="009110ED">
            <w:pPr>
              <w:rPr>
                <w:rFonts w:ascii="Arial" w:hAnsi="Arial" w:cs="Arial"/>
                <w:sz w:val="12"/>
                <w:szCs w:val="12"/>
              </w:rPr>
            </w:pPr>
          </w:p>
        </w:tc>
        <w:tc>
          <w:tcPr>
            <w:tcW w:w="1843" w:type="dxa"/>
            <w:shd w:val="clear" w:color="auto" w:fill="auto"/>
          </w:tcPr>
          <w:p w14:paraId="4C90DC63" w14:textId="77777777" w:rsidR="002A4DDF" w:rsidRPr="00937C8B" w:rsidRDefault="002A4DDF" w:rsidP="009110ED">
            <w:pPr>
              <w:rPr>
                <w:rFonts w:ascii="Arial" w:hAnsi="Arial" w:cs="Arial"/>
                <w:sz w:val="12"/>
                <w:szCs w:val="12"/>
              </w:rPr>
            </w:pPr>
          </w:p>
        </w:tc>
        <w:tc>
          <w:tcPr>
            <w:tcW w:w="2268" w:type="dxa"/>
            <w:shd w:val="clear" w:color="auto" w:fill="F2F2F2"/>
            <w:hideMark/>
          </w:tcPr>
          <w:p w14:paraId="6C63A8C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64E4922" w14:textId="77777777" w:rsidR="002A4DDF" w:rsidRPr="00937C8B" w:rsidRDefault="002A4DDF" w:rsidP="009110ED">
            <w:pPr>
              <w:rPr>
                <w:rFonts w:ascii="Arial" w:hAnsi="Arial" w:cs="Arial"/>
                <w:sz w:val="12"/>
                <w:szCs w:val="12"/>
              </w:rPr>
            </w:pPr>
            <w:r>
              <w:rPr>
                <w:rFonts w:ascii="Arial" w:hAnsi="Arial"/>
                <w:sz w:val="12"/>
                <w:szCs w:val="12"/>
              </w:rPr>
              <w:t>Meis</w:t>
            </w:r>
          </w:p>
        </w:tc>
      </w:tr>
      <w:tr w:rsidR="002A4DDF" w:rsidRPr="00937C8B" w14:paraId="622EA5E8" w14:textId="77777777" w:rsidTr="00935676">
        <w:trPr>
          <w:cantSplit/>
        </w:trPr>
        <w:tc>
          <w:tcPr>
            <w:tcW w:w="1696" w:type="dxa"/>
            <w:tcBorders>
              <w:left w:val="single" w:sz="4" w:space="0" w:color="auto"/>
            </w:tcBorders>
            <w:shd w:val="clear" w:color="auto" w:fill="auto"/>
          </w:tcPr>
          <w:p w14:paraId="13374993" w14:textId="77777777" w:rsidR="002A4DDF" w:rsidRPr="00937C8B" w:rsidRDefault="002A4DDF" w:rsidP="009110ED">
            <w:pPr>
              <w:rPr>
                <w:rFonts w:ascii="Arial" w:hAnsi="Arial" w:cs="Arial"/>
                <w:sz w:val="12"/>
                <w:szCs w:val="12"/>
              </w:rPr>
            </w:pPr>
          </w:p>
        </w:tc>
        <w:tc>
          <w:tcPr>
            <w:tcW w:w="1843" w:type="dxa"/>
            <w:shd w:val="clear" w:color="auto" w:fill="auto"/>
          </w:tcPr>
          <w:p w14:paraId="4B0E589B" w14:textId="77777777" w:rsidR="002A4DDF" w:rsidRPr="00937C8B" w:rsidRDefault="002A4DDF" w:rsidP="009110ED">
            <w:pPr>
              <w:rPr>
                <w:rFonts w:ascii="Arial" w:hAnsi="Arial" w:cs="Arial"/>
                <w:sz w:val="12"/>
                <w:szCs w:val="12"/>
              </w:rPr>
            </w:pPr>
          </w:p>
        </w:tc>
        <w:tc>
          <w:tcPr>
            <w:tcW w:w="2268" w:type="dxa"/>
            <w:shd w:val="clear" w:color="auto" w:fill="F2F2F2"/>
            <w:hideMark/>
          </w:tcPr>
          <w:p w14:paraId="006A01BD"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DD15173" w14:textId="77777777" w:rsidR="002A4DDF" w:rsidRPr="00937C8B" w:rsidRDefault="002A4DDF" w:rsidP="009110ED">
            <w:pPr>
              <w:rPr>
                <w:rFonts w:ascii="Arial" w:hAnsi="Arial" w:cs="Arial"/>
                <w:sz w:val="12"/>
                <w:szCs w:val="12"/>
              </w:rPr>
            </w:pPr>
            <w:r>
              <w:rPr>
                <w:rFonts w:ascii="Arial" w:hAnsi="Arial"/>
                <w:sz w:val="12"/>
                <w:szCs w:val="12"/>
              </w:rPr>
              <w:t>Moaña</w:t>
            </w:r>
          </w:p>
        </w:tc>
      </w:tr>
      <w:tr w:rsidR="002A4DDF" w:rsidRPr="00937C8B" w14:paraId="7C818935" w14:textId="77777777" w:rsidTr="00935676">
        <w:trPr>
          <w:cantSplit/>
        </w:trPr>
        <w:tc>
          <w:tcPr>
            <w:tcW w:w="1696" w:type="dxa"/>
            <w:tcBorders>
              <w:left w:val="single" w:sz="4" w:space="0" w:color="auto"/>
            </w:tcBorders>
            <w:shd w:val="clear" w:color="auto" w:fill="auto"/>
          </w:tcPr>
          <w:p w14:paraId="329FAA8C" w14:textId="77777777" w:rsidR="002A4DDF" w:rsidRPr="00937C8B" w:rsidRDefault="002A4DDF" w:rsidP="009110ED">
            <w:pPr>
              <w:rPr>
                <w:rFonts w:ascii="Arial" w:hAnsi="Arial" w:cs="Arial"/>
                <w:sz w:val="12"/>
                <w:szCs w:val="12"/>
              </w:rPr>
            </w:pPr>
          </w:p>
        </w:tc>
        <w:tc>
          <w:tcPr>
            <w:tcW w:w="1843" w:type="dxa"/>
            <w:shd w:val="clear" w:color="auto" w:fill="auto"/>
          </w:tcPr>
          <w:p w14:paraId="325E7A9A" w14:textId="77777777" w:rsidR="002A4DDF" w:rsidRPr="00937C8B" w:rsidRDefault="002A4DDF" w:rsidP="009110ED">
            <w:pPr>
              <w:rPr>
                <w:rFonts w:ascii="Arial" w:hAnsi="Arial" w:cs="Arial"/>
                <w:sz w:val="12"/>
                <w:szCs w:val="12"/>
              </w:rPr>
            </w:pPr>
          </w:p>
        </w:tc>
        <w:tc>
          <w:tcPr>
            <w:tcW w:w="2268" w:type="dxa"/>
            <w:shd w:val="clear" w:color="auto" w:fill="F2F2F2"/>
            <w:hideMark/>
          </w:tcPr>
          <w:p w14:paraId="6D92333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CC2E96C" w14:textId="77777777" w:rsidR="002A4DDF" w:rsidRPr="00937C8B" w:rsidRDefault="002A4DDF" w:rsidP="009110ED">
            <w:pPr>
              <w:rPr>
                <w:rFonts w:ascii="Arial" w:hAnsi="Arial" w:cs="Arial"/>
                <w:sz w:val="12"/>
                <w:szCs w:val="12"/>
              </w:rPr>
            </w:pPr>
            <w:r>
              <w:rPr>
                <w:rFonts w:ascii="Arial" w:hAnsi="Arial"/>
                <w:sz w:val="12"/>
                <w:szCs w:val="12"/>
              </w:rPr>
              <w:t>Mondariz</w:t>
            </w:r>
          </w:p>
        </w:tc>
      </w:tr>
      <w:tr w:rsidR="002A4DDF" w:rsidRPr="00937C8B" w14:paraId="633A1B08" w14:textId="77777777" w:rsidTr="00935676">
        <w:trPr>
          <w:cantSplit/>
        </w:trPr>
        <w:tc>
          <w:tcPr>
            <w:tcW w:w="1696" w:type="dxa"/>
            <w:tcBorders>
              <w:left w:val="single" w:sz="4" w:space="0" w:color="auto"/>
            </w:tcBorders>
            <w:shd w:val="clear" w:color="auto" w:fill="auto"/>
          </w:tcPr>
          <w:p w14:paraId="1079A035" w14:textId="77777777" w:rsidR="002A4DDF" w:rsidRPr="00937C8B" w:rsidRDefault="002A4DDF" w:rsidP="009110ED">
            <w:pPr>
              <w:rPr>
                <w:rFonts w:ascii="Arial" w:hAnsi="Arial" w:cs="Arial"/>
                <w:sz w:val="12"/>
                <w:szCs w:val="12"/>
              </w:rPr>
            </w:pPr>
          </w:p>
        </w:tc>
        <w:tc>
          <w:tcPr>
            <w:tcW w:w="1843" w:type="dxa"/>
            <w:shd w:val="clear" w:color="auto" w:fill="auto"/>
          </w:tcPr>
          <w:p w14:paraId="2503BEBD" w14:textId="77777777" w:rsidR="002A4DDF" w:rsidRPr="00937C8B" w:rsidRDefault="002A4DDF" w:rsidP="009110ED">
            <w:pPr>
              <w:rPr>
                <w:rFonts w:ascii="Arial" w:hAnsi="Arial" w:cs="Arial"/>
                <w:sz w:val="12"/>
                <w:szCs w:val="12"/>
              </w:rPr>
            </w:pPr>
          </w:p>
        </w:tc>
        <w:tc>
          <w:tcPr>
            <w:tcW w:w="2268" w:type="dxa"/>
            <w:shd w:val="clear" w:color="auto" w:fill="F2F2F2"/>
            <w:hideMark/>
          </w:tcPr>
          <w:p w14:paraId="1BB915F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68BFB72" w14:textId="77777777" w:rsidR="002A4DDF" w:rsidRPr="00937C8B" w:rsidRDefault="002A4DDF" w:rsidP="009110ED">
            <w:pPr>
              <w:rPr>
                <w:rFonts w:ascii="Arial" w:hAnsi="Arial" w:cs="Arial"/>
                <w:sz w:val="12"/>
                <w:szCs w:val="12"/>
              </w:rPr>
            </w:pPr>
            <w:r>
              <w:rPr>
                <w:rFonts w:ascii="Arial" w:hAnsi="Arial"/>
                <w:sz w:val="12"/>
                <w:szCs w:val="12"/>
              </w:rPr>
              <w:t>Mondariz-Balneario</w:t>
            </w:r>
          </w:p>
        </w:tc>
      </w:tr>
      <w:tr w:rsidR="002A4DDF" w:rsidRPr="00937C8B" w14:paraId="50655613" w14:textId="77777777" w:rsidTr="00935676">
        <w:trPr>
          <w:cantSplit/>
        </w:trPr>
        <w:tc>
          <w:tcPr>
            <w:tcW w:w="1696" w:type="dxa"/>
            <w:tcBorders>
              <w:left w:val="single" w:sz="4" w:space="0" w:color="auto"/>
            </w:tcBorders>
            <w:shd w:val="clear" w:color="auto" w:fill="auto"/>
          </w:tcPr>
          <w:p w14:paraId="472BDAD9" w14:textId="77777777" w:rsidR="002A4DDF" w:rsidRPr="00937C8B" w:rsidRDefault="002A4DDF" w:rsidP="009110ED">
            <w:pPr>
              <w:rPr>
                <w:rFonts w:ascii="Arial" w:hAnsi="Arial" w:cs="Arial"/>
                <w:sz w:val="12"/>
                <w:szCs w:val="12"/>
              </w:rPr>
            </w:pPr>
          </w:p>
        </w:tc>
        <w:tc>
          <w:tcPr>
            <w:tcW w:w="1843" w:type="dxa"/>
            <w:shd w:val="clear" w:color="auto" w:fill="auto"/>
          </w:tcPr>
          <w:p w14:paraId="7877819B" w14:textId="77777777" w:rsidR="002A4DDF" w:rsidRPr="00937C8B" w:rsidRDefault="002A4DDF" w:rsidP="009110ED">
            <w:pPr>
              <w:rPr>
                <w:rFonts w:ascii="Arial" w:hAnsi="Arial" w:cs="Arial"/>
                <w:sz w:val="12"/>
                <w:szCs w:val="12"/>
              </w:rPr>
            </w:pPr>
          </w:p>
        </w:tc>
        <w:tc>
          <w:tcPr>
            <w:tcW w:w="2268" w:type="dxa"/>
            <w:shd w:val="clear" w:color="auto" w:fill="F2F2F2"/>
            <w:hideMark/>
          </w:tcPr>
          <w:p w14:paraId="1BB4222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88EFBF8" w14:textId="77777777" w:rsidR="002A4DDF" w:rsidRPr="00937C8B" w:rsidRDefault="002A4DDF" w:rsidP="009110ED">
            <w:pPr>
              <w:rPr>
                <w:rFonts w:ascii="Arial" w:hAnsi="Arial" w:cs="Arial"/>
                <w:sz w:val="12"/>
                <w:szCs w:val="12"/>
              </w:rPr>
            </w:pPr>
            <w:r>
              <w:rPr>
                <w:rFonts w:ascii="Arial" w:hAnsi="Arial"/>
                <w:sz w:val="12"/>
                <w:szCs w:val="12"/>
              </w:rPr>
              <w:t>Moraña</w:t>
            </w:r>
          </w:p>
        </w:tc>
      </w:tr>
      <w:tr w:rsidR="002A4DDF" w:rsidRPr="00937C8B" w14:paraId="0D3E3364" w14:textId="77777777" w:rsidTr="00935676">
        <w:trPr>
          <w:cantSplit/>
        </w:trPr>
        <w:tc>
          <w:tcPr>
            <w:tcW w:w="1696" w:type="dxa"/>
            <w:tcBorders>
              <w:left w:val="single" w:sz="4" w:space="0" w:color="auto"/>
            </w:tcBorders>
            <w:shd w:val="clear" w:color="auto" w:fill="auto"/>
          </w:tcPr>
          <w:p w14:paraId="5AA3EFD7" w14:textId="77777777" w:rsidR="002A4DDF" w:rsidRPr="00937C8B" w:rsidRDefault="002A4DDF" w:rsidP="009110ED">
            <w:pPr>
              <w:rPr>
                <w:rFonts w:ascii="Arial" w:hAnsi="Arial" w:cs="Arial"/>
                <w:sz w:val="12"/>
                <w:szCs w:val="12"/>
              </w:rPr>
            </w:pPr>
          </w:p>
        </w:tc>
        <w:tc>
          <w:tcPr>
            <w:tcW w:w="1843" w:type="dxa"/>
            <w:shd w:val="clear" w:color="auto" w:fill="auto"/>
          </w:tcPr>
          <w:p w14:paraId="5E34FC3F" w14:textId="77777777" w:rsidR="002A4DDF" w:rsidRPr="00937C8B" w:rsidRDefault="002A4DDF" w:rsidP="009110ED">
            <w:pPr>
              <w:rPr>
                <w:rFonts w:ascii="Arial" w:hAnsi="Arial" w:cs="Arial"/>
                <w:sz w:val="12"/>
                <w:szCs w:val="12"/>
              </w:rPr>
            </w:pPr>
          </w:p>
        </w:tc>
        <w:tc>
          <w:tcPr>
            <w:tcW w:w="2268" w:type="dxa"/>
            <w:shd w:val="clear" w:color="auto" w:fill="F2F2F2"/>
            <w:hideMark/>
          </w:tcPr>
          <w:p w14:paraId="31BDE15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C7B9CE0" w14:textId="77777777" w:rsidR="002A4DDF" w:rsidRPr="00937C8B" w:rsidRDefault="002A4DDF" w:rsidP="009110ED">
            <w:pPr>
              <w:rPr>
                <w:rFonts w:ascii="Arial" w:hAnsi="Arial" w:cs="Arial"/>
                <w:sz w:val="12"/>
                <w:szCs w:val="12"/>
              </w:rPr>
            </w:pPr>
            <w:r>
              <w:rPr>
                <w:rFonts w:ascii="Arial" w:hAnsi="Arial"/>
                <w:sz w:val="12"/>
                <w:szCs w:val="12"/>
              </w:rPr>
              <w:t>Mos</w:t>
            </w:r>
          </w:p>
        </w:tc>
      </w:tr>
      <w:tr w:rsidR="002A4DDF" w:rsidRPr="00937C8B" w14:paraId="4D781BBE" w14:textId="77777777" w:rsidTr="00935676">
        <w:trPr>
          <w:cantSplit/>
        </w:trPr>
        <w:tc>
          <w:tcPr>
            <w:tcW w:w="1696" w:type="dxa"/>
            <w:tcBorders>
              <w:left w:val="single" w:sz="4" w:space="0" w:color="auto"/>
            </w:tcBorders>
            <w:shd w:val="clear" w:color="auto" w:fill="auto"/>
          </w:tcPr>
          <w:p w14:paraId="26463A07" w14:textId="77777777" w:rsidR="002A4DDF" w:rsidRPr="00937C8B" w:rsidRDefault="002A4DDF" w:rsidP="009110ED">
            <w:pPr>
              <w:rPr>
                <w:rFonts w:ascii="Arial" w:hAnsi="Arial" w:cs="Arial"/>
                <w:sz w:val="12"/>
                <w:szCs w:val="12"/>
              </w:rPr>
            </w:pPr>
          </w:p>
        </w:tc>
        <w:tc>
          <w:tcPr>
            <w:tcW w:w="1843" w:type="dxa"/>
            <w:shd w:val="clear" w:color="auto" w:fill="auto"/>
          </w:tcPr>
          <w:p w14:paraId="6F2CE8F2" w14:textId="77777777" w:rsidR="002A4DDF" w:rsidRPr="00937C8B" w:rsidRDefault="002A4DDF" w:rsidP="009110ED">
            <w:pPr>
              <w:rPr>
                <w:rFonts w:ascii="Arial" w:hAnsi="Arial" w:cs="Arial"/>
                <w:sz w:val="12"/>
                <w:szCs w:val="12"/>
              </w:rPr>
            </w:pPr>
          </w:p>
        </w:tc>
        <w:tc>
          <w:tcPr>
            <w:tcW w:w="2268" w:type="dxa"/>
            <w:shd w:val="clear" w:color="auto" w:fill="F2F2F2"/>
            <w:hideMark/>
          </w:tcPr>
          <w:p w14:paraId="28F173E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1F8B657" w14:textId="77777777" w:rsidR="002A4DDF" w:rsidRPr="00937C8B" w:rsidRDefault="002A4DDF" w:rsidP="009110ED">
            <w:pPr>
              <w:rPr>
                <w:rFonts w:ascii="Arial" w:hAnsi="Arial" w:cs="Arial"/>
                <w:sz w:val="12"/>
                <w:szCs w:val="12"/>
              </w:rPr>
            </w:pPr>
            <w:r>
              <w:rPr>
                <w:rFonts w:ascii="Arial" w:hAnsi="Arial"/>
                <w:sz w:val="12"/>
                <w:szCs w:val="12"/>
              </w:rPr>
              <w:t>Nigrán</w:t>
            </w:r>
          </w:p>
        </w:tc>
      </w:tr>
      <w:tr w:rsidR="002A4DDF" w:rsidRPr="00937C8B" w14:paraId="6836BFB4" w14:textId="77777777" w:rsidTr="00935676">
        <w:trPr>
          <w:cantSplit/>
        </w:trPr>
        <w:tc>
          <w:tcPr>
            <w:tcW w:w="1696" w:type="dxa"/>
            <w:tcBorders>
              <w:left w:val="single" w:sz="4" w:space="0" w:color="auto"/>
            </w:tcBorders>
            <w:shd w:val="clear" w:color="auto" w:fill="auto"/>
          </w:tcPr>
          <w:p w14:paraId="13CD36B2" w14:textId="77777777" w:rsidR="002A4DDF" w:rsidRPr="00937C8B" w:rsidRDefault="002A4DDF" w:rsidP="009110ED">
            <w:pPr>
              <w:rPr>
                <w:rFonts w:ascii="Arial" w:hAnsi="Arial" w:cs="Arial"/>
                <w:sz w:val="12"/>
                <w:szCs w:val="12"/>
              </w:rPr>
            </w:pPr>
          </w:p>
        </w:tc>
        <w:tc>
          <w:tcPr>
            <w:tcW w:w="1843" w:type="dxa"/>
            <w:shd w:val="clear" w:color="auto" w:fill="auto"/>
          </w:tcPr>
          <w:p w14:paraId="42B80901" w14:textId="77777777" w:rsidR="002A4DDF" w:rsidRPr="00937C8B" w:rsidRDefault="002A4DDF" w:rsidP="009110ED">
            <w:pPr>
              <w:rPr>
                <w:rFonts w:ascii="Arial" w:hAnsi="Arial" w:cs="Arial"/>
                <w:sz w:val="12"/>
                <w:szCs w:val="12"/>
              </w:rPr>
            </w:pPr>
          </w:p>
        </w:tc>
        <w:tc>
          <w:tcPr>
            <w:tcW w:w="2268" w:type="dxa"/>
            <w:shd w:val="clear" w:color="auto" w:fill="F2F2F2"/>
            <w:hideMark/>
          </w:tcPr>
          <w:p w14:paraId="293E4A00"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5A9A549" w14:textId="77777777" w:rsidR="002A4DDF" w:rsidRPr="00937C8B" w:rsidRDefault="002A4DDF" w:rsidP="009110ED">
            <w:pPr>
              <w:rPr>
                <w:rFonts w:ascii="Arial" w:hAnsi="Arial" w:cs="Arial"/>
                <w:sz w:val="12"/>
                <w:szCs w:val="12"/>
              </w:rPr>
            </w:pPr>
            <w:r>
              <w:rPr>
                <w:rFonts w:ascii="Arial" w:hAnsi="Arial"/>
                <w:sz w:val="12"/>
                <w:szCs w:val="12"/>
              </w:rPr>
              <w:t>O Grove</w:t>
            </w:r>
          </w:p>
        </w:tc>
      </w:tr>
      <w:tr w:rsidR="002A4DDF" w:rsidRPr="00937C8B" w14:paraId="255221C1" w14:textId="77777777" w:rsidTr="00935676">
        <w:trPr>
          <w:cantSplit/>
        </w:trPr>
        <w:tc>
          <w:tcPr>
            <w:tcW w:w="1696" w:type="dxa"/>
            <w:tcBorders>
              <w:left w:val="single" w:sz="4" w:space="0" w:color="auto"/>
            </w:tcBorders>
            <w:shd w:val="clear" w:color="auto" w:fill="auto"/>
          </w:tcPr>
          <w:p w14:paraId="17654298" w14:textId="77777777" w:rsidR="002A4DDF" w:rsidRPr="00937C8B" w:rsidRDefault="002A4DDF" w:rsidP="009110ED">
            <w:pPr>
              <w:rPr>
                <w:rFonts w:ascii="Arial" w:hAnsi="Arial" w:cs="Arial"/>
                <w:sz w:val="12"/>
                <w:szCs w:val="12"/>
              </w:rPr>
            </w:pPr>
          </w:p>
        </w:tc>
        <w:tc>
          <w:tcPr>
            <w:tcW w:w="1843" w:type="dxa"/>
            <w:shd w:val="clear" w:color="auto" w:fill="auto"/>
          </w:tcPr>
          <w:p w14:paraId="22B891C5" w14:textId="77777777" w:rsidR="002A4DDF" w:rsidRPr="00937C8B" w:rsidRDefault="002A4DDF" w:rsidP="009110ED">
            <w:pPr>
              <w:rPr>
                <w:rFonts w:ascii="Arial" w:hAnsi="Arial" w:cs="Arial"/>
                <w:sz w:val="12"/>
                <w:szCs w:val="12"/>
              </w:rPr>
            </w:pPr>
          </w:p>
        </w:tc>
        <w:tc>
          <w:tcPr>
            <w:tcW w:w="2268" w:type="dxa"/>
            <w:shd w:val="clear" w:color="auto" w:fill="F2F2F2"/>
            <w:hideMark/>
          </w:tcPr>
          <w:p w14:paraId="1DBCF02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4561435" w14:textId="77777777" w:rsidR="002A4DDF" w:rsidRPr="00937C8B" w:rsidRDefault="002A4DDF" w:rsidP="009110ED">
            <w:pPr>
              <w:rPr>
                <w:rFonts w:ascii="Arial" w:hAnsi="Arial" w:cs="Arial"/>
                <w:sz w:val="12"/>
                <w:szCs w:val="12"/>
              </w:rPr>
            </w:pPr>
            <w:r>
              <w:rPr>
                <w:rFonts w:ascii="Arial" w:hAnsi="Arial"/>
                <w:sz w:val="12"/>
                <w:szCs w:val="12"/>
              </w:rPr>
              <w:t>O Porriño</w:t>
            </w:r>
          </w:p>
        </w:tc>
      </w:tr>
      <w:tr w:rsidR="002A4DDF" w:rsidRPr="00937C8B" w14:paraId="7330A1ED" w14:textId="77777777" w:rsidTr="00935676">
        <w:trPr>
          <w:cantSplit/>
        </w:trPr>
        <w:tc>
          <w:tcPr>
            <w:tcW w:w="1696" w:type="dxa"/>
            <w:tcBorders>
              <w:left w:val="single" w:sz="4" w:space="0" w:color="auto"/>
            </w:tcBorders>
            <w:shd w:val="clear" w:color="auto" w:fill="auto"/>
          </w:tcPr>
          <w:p w14:paraId="5AE59D30" w14:textId="77777777" w:rsidR="002A4DDF" w:rsidRPr="00937C8B" w:rsidRDefault="002A4DDF" w:rsidP="009110ED">
            <w:pPr>
              <w:rPr>
                <w:rFonts w:ascii="Arial" w:hAnsi="Arial" w:cs="Arial"/>
                <w:sz w:val="12"/>
                <w:szCs w:val="12"/>
              </w:rPr>
            </w:pPr>
          </w:p>
        </w:tc>
        <w:tc>
          <w:tcPr>
            <w:tcW w:w="1843" w:type="dxa"/>
            <w:shd w:val="clear" w:color="auto" w:fill="auto"/>
          </w:tcPr>
          <w:p w14:paraId="35CC1D7E" w14:textId="77777777" w:rsidR="002A4DDF" w:rsidRPr="00937C8B" w:rsidRDefault="002A4DDF" w:rsidP="009110ED">
            <w:pPr>
              <w:rPr>
                <w:rFonts w:ascii="Arial" w:hAnsi="Arial" w:cs="Arial"/>
                <w:sz w:val="12"/>
                <w:szCs w:val="12"/>
              </w:rPr>
            </w:pPr>
          </w:p>
        </w:tc>
        <w:tc>
          <w:tcPr>
            <w:tcW w:w="2268" w:type="dxa"/>
            <w:shd w:val="clear" w:color="auto" w:fill="F2F2F2"/>
            <w:hideMark/>
          </w:tcPr>
          <w:p w14:paraId="7294498E"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DD6C42C" w14:textId="77777777" w:rsidR="002A4DDF" w:rsidRPr="00937C8B" w:rsidRDefault="002A4DDF" w:rsidP="009110ED">
            <w:pPr>
              <w:rPr>
                <w:rFonts w:ascii="Arial" w:hAnsi="Arial" w:cs="Arial"/>
                <w:sz w:val="12"/>
                <w:szCs w:val="12"/>
              </w:rPr>
            </w:pPr>
            <w:r>
              <w:rPr>
                <w:rFonts w:ascii="Arial" w:hAnsi="Arial"/>
                <w:sz w:val="12"/>
                <w:szCs w:val="12"/>
              </w:rPr>
              <w:t>Oia</w:t>
            </w:r>
          </w:p>
        </w:tc>
      </w:tr>
      <w:tr w:rsidR="002A4DDF" w:rsidRPr="00937C8B" w14:paraId="556976B0" w14:textId="77777777" w:rsidTr="00935676">
        <w:trPr>
          <w:cantSplit/>
        </w:trPr>
        <w:tc>
          <w:tcPr>
            <w:tcW w:w="1696" w:type="dxa"/>
            <w:tcBorders>
              <w:left w:val="single" w:sz="4" w:space="0" w:color="auto"/>
            </w:tcBorders>
            <w:shd w:val="clear" w:color="auto" w:fill="auto"/>
          </w:tcPr>
          <w:p w14:paraId="2BC0E80D" w14:textId="77777777" w:rsidR="002A4DDF" w:rsidRPr="00937C8B" w:rsidRDefault="002A4DDF" w:rsidP="009110ED">
            <w:pPr>
              <w:rPr>
                <w:rFonts w:ascii="Arial" w:hAnsi="Arial" w:cs="Arial"/>
                <w:sz w:val="12"/>
                <w:szCs w:val="12"/>
              </w:rPr>
            </w:pPr>
          </w:p>
        </w:tc>
        <w:tc>
          <w:tcPr>
            <w:tcW w:w="1843" w:type="dxa"/>
            <w:shd w:val="clear" w:color="auto" w:fill="auto"/>
          </w:tcPr>
          <w:p w14:paraId="22930461" w14:textId="77777777" w:rsidR="002A4DDF" w:rsidRPr="00937C8B" w:rsidRDefault="002A4DDF" w:rsidP="009110ED">
            <w:pPr>
              <w:rPr>
                <w:rFonts w:ascii="Arial" w:hAnsi="Arial" w:cs="Arial"/>
                <w:sz w:val="12"/>
                <w:szCs w:val="12"/>
              </w:rPr>
            </w:pPr>
          </w:p>
        </w:tc>
        <w:tc>
          <w:tcPr>
            <w:tcW w:w="2268" w:type="dxa"/>
            <w:shd w:val="clear" w:color="auto" w:fill="F2F2F2"/>
            <w:hideMark/>
          </w:tcPr>
          <w:p w14:paraId="7D1BC5E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D84A98E" w14:textId="77777777" w:rsidR="002A4DDF" w:rsidRPr="00937C8B" w:rsidRDefault="002A4DDF" w:rsidP="009110ED">
            <w:pPr>
              <w:rPr>
                <w:rFonts w:ascii="Arial" w:hAnsi="Arial" w:cs="Arial"/>
                <w:sz w:val="12"/>
                <w:szCs w:val="12"/>
              </w:rPr>
            </w:pPr>
            <w:r>
              <w:rPr>
                <w:rFonts w:ascii="Arial" w:hAnsi="Arial"/>
                <w:sz w:val="12"/>
                <w:szCs w:val="12"/>
              </w:rPr>
              <w:t>Pazos de Borbén</w:t>
            </w:r>
          </w:p>
        </w:tc>
      </w:tr>
      <w:tr w:rsidR="002A4DDF" w:rsidRPr="00937C8B" w14:paraId="15F89191" w14:textId="77777777" w:rsidTr="00935676">
        <w:trPr>
          <w:cantSplit/>
        </w:trPr>
        <w:tc>
          <w:tcPr>
            <w:tcW w:w="1696" w:type="dxa"/>
            <w:tcBorders>
              <w:left w:val="single" w:sz="4" w:space="0" w:color="auto"/>
            </w:tcBorders>
            <w:shd w:val="clear" w:color="auto" w:fill="auto"/>
          </w:tcPr>
          <w:p w14:paraId="49FB306D" w14:textId="77777777" w:rsidR="002A4DDF" w:rsidRPr="00937C8B" w:rsidRDefault="002A4DDF" w:rsidP="009110ED">
            <w:pPr>
              <w:rPr>
                <w:rFonts w:ascii="Arial" w:hAnsi="Arial" w:cs="Arial"/>
                <w:sz w:val="12"/>
                <w:szCs w:val="12"/>
              </w:rPr>
            </w:pPr>
          </w:p>
        </w:tc>
        <w:tc>
          <w:tcPr>
            <w:tcW w:w="1843" w:type="dxa"/>
            <w:shd w:val="clear" w:color="auto" w:fill="auto"/>
          </w:tcPr>
          <w:p w14:paraId="447DB46B" w14:textId="77777777" w:rsidR="002A4DDF" w:rsidRPr="00937C8B" w:rsidRDefault="002A4DDF" w:rsidP="009110ED">
            <w:pPr>
              <w:rPr>
                <w:rFonts w:ascii="Arial" w:hAnsi="Arial" w:cs="Arial"/>
                <w:sz w:val="12"/>
                <w:szCs w:val="12"/>
              </w:rPr>
            </w:pPr>
          </w:p>
        </w:tc>
        <w:tc>
          <w:tcPr>
            <w:tcW w:w="2268" w:type="dxa"/>
            <w:shd w:val="clear" w:color="auto" w:fill="F2F2F2"/>
            <w:hideMark/>
          </w:tcPr>
          <w:p w14:paraId="257F3926"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1CC03D33" w14:textId="77777777" w:rsidR="002A4DDF" w:rsidRPr="00937C8B" w:rsidRDefault="002A4DDF" w:rsidP="009110ED">
            <w:pPr>
              <w:rPr>
                <w:rFonts w:ascii="Arial" w:hAnsi="Arial" w:cs="Arial"/>
                <w:sz w:val="12"/>
                <w:szCs w:val="12"/>
              </w:rPr>
            </w:pPr>
            <w:r>
              <w:rPr>
                <w:rFonts w:ascii="Arial" w:hAnsi="Arial"/>
                <w:sz w:val="12"/>
                <w:szCs w:val="12"/>
              </w:rPr>
              <w:t>Poio</w:t>
            </w:r>
          </w:p>
        </w:tc>
      </w:tr>
      <w:tr w:rsidR="002A4DDF" w:rsidRPr="00937C8B" w14:paraId="7FAAB508" w14:textId="77777777" w:rsidTr="00935676">
        <w:trPr>
          <w:cantSplit/>
        </w:trPr>
        <w:tc>
          <w:tcPr>
            <w:tcW w:w="1696" w:type="dxa"/>
            <w:tcBorders>
              <w:left w:val="single" w:sz="4" w:space="0" w:color="auto"/>
            </w:tcBorders>
            <w:shd w:val="clear" w:color="auto" w:fill="auto"/>
          </w:tcPr>
          <w:p w14:paraId="7BF51873" w14:textId="77777777" w:rsidR="002A4DDF" w:rsidRPr="00937C8B" w:rsidRDefault="002A4DDF" w:rsidP="009110ED">
            <w:pPr>
              <w:rPr>
                <w:rFonts w:ascii="Arial" w:hAnsi="Arial" w:cs="Arial"/>
                <w:sz w:val="12"/>
                <w:szCs w:val="12"/>
              </w:rPr>
            </w:pPr>
          </w:p>
        </w:tc>
        <w:tc>
          <w:tcPr>
            <w:tcW w:w="1843" w:type="dxa"/>
            <w:shd w:val="clear" w:color="auto" w:fill="auto"/>
          </w:tcPr>
          <w:p w14:paraId="04B7FD80" w14:textId="77777777" w:rsidR="002A4DDF" w:rsidRPr="00937C8B" w:rsidRDefault="002A4DDF" w:rsidP="009110ED">
            <w:pPr>
              <w:rPr>
                <w:rFonts w:ascii="Arial" w:hAnsi="Arial" w:cs="Arial"/>
                <w:sz w:val="12"/>
                <w:szCs w:val="12"/>
              </w:rPr>
            </w:pPr>
          </w:p>
        </w:tc>
        <w:tc>
          <w:tcPr>
            <w:tcW w:w="2268" w:type="dxa"/>
            <w:shd w:val="clear" w:color="auto" w:fill="F2F2F2"/>
            <w:hideMark/>
          </w:tcPr>
          <w:p w14:paraId="2184C59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D9CB3CD" w14:textId="77777777" w:rsidR="002A4DDF" w:rsidRPr="00937C8B" w:rsidRDefault="002A4DDF" w:rsidP="009110ED">
            <w:pPr>
              <w:rPr>
                <w:rFonts w:ascii="Arial" w:hAnsi="Arial" w:cs="Arial"/>
                <w:sz w:val="12"/>
                <w:szCs w:val="12"/>
              </w:rPr>
            </w:pPr>
            <w:r>
              <w:rPr>
                <w:rFonts w:ascii="Arial" w:hAnsi="Arial"/>
                <w:sz w:val="12"/>
                <w:szCs w:val="12"/>
              </w:rPr>
              <w:t>Ponte Caldelas</w:t>
            </w:r>
          </w:p>
        </w:tc>
      </w:tr>
      <w:tr w:rsidR="002A4DDF" w:rsidRPr="00937C8B" w14:paraId="08FC7F1A" w14:textId="77777777" w:rsidTr="00935676">
        <w:trPr>
          <w:cantSplit/>
        </w:trPr>
        <w:tc>
          <w:tcPr>
            <w:tcW w:w="1696" w:type="dxa"/>
            <w:tcBorders>
              <w:left w:val="single" w:sz="4" w:space="0" w:color="auto"/>
            </w:tcBorders>
            <w:shd w:val="clear" w:color="auto" w:fill="auto"/>
          </w:tcPr>
          <w:p w14:paraId="52EFF3F5" w14:textId="77777777" w:rsidR="002A4DDF" w:rsidRPr="00937C8B" w:rsidRDefault="002A4DDF" w:rsidP="009110ED">
            <w:pPr>
              <w:rPr>
                <w:rFonts w:ascii="Arial" w:hAnsi="Arial" w:cs="Arial"/>
                <w:sz w:val="12"/>
                <w:szCs w:val="12"/>
              </w:rPr>
            </w:pPr>
          </w:p>
        </w:tc>
        <w:tc>
          <w:tcPr>
            <w:tcW w:w="1843" w:type="dxa"/>
            <w:shd w:val="clear" w:color="auto" w:fill="auto"/>
          </w:tcPr>
          <w:p w14:paraId="5A6EE82D" w14:textId="77777777" w:rsidR="002A4DDF" w:rsidRPr="00937C8B" w:rsidRDefault="002A4DDF" w:rsidP="009110ED">
            <w:pPr>
              <w:rPr>
                <w:rFonts w:ascii="Arial" w:hAnsi="Arial" w:cs="Arial"/>
                <w:sz w:val="12"/>
                <w:szCs w:val="12"/>
              </w:rPr>
            </w:pPr>
          </w:p>
        </w:tc>
        <w:tc>
          <w:tcPr>
            <w:tcW w:w="2268" w:type="dxa"/>
            <w:shd w:val="clear" w:color="auto" w:fill="F2F2F2"/>
            <w:hideMark/>
          </w:tcPr>
          <w:p w14:paraId="6BCDEEF2"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654A9A2" w14:textId="77777777" w:rsidR="002A4DDF" w:rsidRPr="00937C8B" w:rsidRDefault="002A4DDF" w:rsidP="009110ED">
            <w:pPr>
              <w:rPr>
                <w:rFonts w:ascii="Arial" w:hAnsi="Arial" w:cs="Arial"/>
                <w:sz w:val="12"/>
                <w:szCs w:val="12"/>
              </w:rPr>
            </w:pPr>
            <w:r>
              <w:rPr>
                <w:rFonts w:ascii="Arial" w:hAnsi="Arial"/>
                <w:sz w:val="12"/>
                <w:szCs w:val="12"/>
              </w:rPr>
              <w:t>Ponteareas</w:t>
            </w:r>
          </w:p>
        </w:tc>
      </w:tr>
      <w:tr w:rsidR="002A4DDF" w:rsidRPr="00937C8B" w14:paraId="0D78B61B" w14:textId="77777777" w:rsidTr="00935676">
        <w:trPr>
          <w:cantSplit/>
        </w:trPr>
        <w:tc>
          <w:tcPr>
            <w:tcW w:w="1696" w:type="dxa"/>
            <w:tcBorders>
              <w:left w:val="single" w:sz="4" w:space="0" w:color="auto"/>
            </w:tcBorders>
            <w:shd w:val="clear" w:color="auto" w:fill="auto"/>
          </w:tcPr>
          <w:p w14:paraId="59A4B45A" w14:textId="77777777" w:rsidR="002A4DDF" w:rsidRPr="00937C8B" w:rsidRDefault="002A4DDF" w:rsidP="009110ED">
            <w:pPr>
              <w:rPr>
                <w:rFonts w:ascii="Arial" w:hAnsi="Arial" w:cs="Arial"/>
                <w:sz w:val="12"/>
                <w:szCs w:val="12"/>
              </w:rPr>
            </w:pPr>
          </w:p>
        </w:tc>
        <w:tc>
          <w:tcPr>
            <w:tcW w:w="1843" w:type="dxa"/>
            <w:shd w:val="clear" w:color="auto" w:fill="auto"/>
          </w:tcPr>
          <w:p w14:paraId="1EA7CB78" w14:textId="77777777" w:rsidR="002A4DDF" w:rsidRPr="00937C8B" w:rsidRDefault="002A4DDF" w:rsidP="009110ED">
            <w:pPr>
              <w:rPr>
                <w:rFonts w:ascii="Arial" w:hAnsi="Arial" w:cs="Arial"/>
                <w:sz w:val="12"/>
                <w:szCs w:val="12"/>
              </w:rPr>
            </w:pPr>
          </w:p>
        </w:tc>
        <w:tc>
          <w:tcPr>
            <w:tcW w:w="2268" w:type="dxa"/>
            <w:shd w:val="clear" w:color="auto" w:fill="F2F2F2"/>
            <w:hideMark/>
          </w:tcPr>
          <w:p w14:paraId="26358E3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F9DA2BA" w14:textId="77777777" w:rsidR="002A4DDF" w:rsidRPr="00937C8B" w:rsidRDefault="002A4DDF" w:rsidP="009110ED">
            <w:pPr>
              <w:rPr>
                <w:rFonts w:ascii="Arial" w:hAnsi="Arial" w:cs="Arial"/>
                <w:sz w:val="12"/>
                <w:szCs w:val="12"/>
              </w:rPr>
            </w:pPr>
            <w:r>
              <w:rPr>
                <w:rFonts w:ascii="Arial" w:hAnsi="Arial"/>
                <w:sz w:val="12"/>
                <w:szCs w:val="12"/>
              </w:rPr>
              <w:t>Pontecesures</w:t>
            </w:r>
          </w:p>
        </w:tc>
      </w:tr>
      <w:tr w:rsidR="002A4DDF" w:rsidRPr="00937C8B" w14:paraId="175D0D6A" w14:textId="77777777" w:rsidTr="00935676">
        <w:trPr>
          <w:cantSplit/>
        </w:trPr>
        <w:tc>
          <w:tcPr>
            <w:tcW w:w="1696" w:type="dxa"/>
            <w:tcBorders>
              <w:left w:val="single" w:sz="4" w:space="0" w:color="auto"/>
            </w:tcBorders>
            <w:shd w:val="clear" w:color="auto" w:fill="auto"/>
          </w:tcPr>
          <w:p w14:paraId="6AEED916" w14:textId="77777777" w:rsidR="002A4DDF" w:rsidRPr="00937C8B" w:rsidRDefault="002A4DDF" w:rsidP="009110ED">
            <w:pPr>
              <w:rPr>
                <w:rFonts w:ascii="Arial" w:hAnsi="Arial" w:cs="Arial"/>
                <w:sz w:val="12"/>
                <w:szCs w:val="12"/>
              </w:rPr>
            </w:pPr>
          </w:p>
        </w:tc>
        <w:tc>
          <w:tcPr>
            <w:tcW w:w="1843" w:type="dxa"/>
            <w:shd w:val="clear" w:color="auto" w:fill="auto"/>
          </w:tcPr>
          <w:p w14:paraId="680B126E" w14:textId="77777777" w:rsidR="002A4DDF" w:rsidRPr="00937C8B" w:rsidRDefault="002A4DDF" w:rsidP="009110ED">
            <w:pPr>
              <w:rPr>
                <w:rFonts w:ascii="Arial" w:hAnsi="Arial" w:cs="Arial"/>
                <w:sz w:val="12"/>
                <w:szCs w:val="12"/>
              </w:rPr>
            </w:pPr>
          </w:p>
        </w:tc>
        <w:tc>
          <w:tcPr>
            <w:tcW w:w="2268" w:type="dxa"/>
            <w:shd w:val="clear" w:color="auto" w:fill="F2F2F2"/>
            <w:hideMark/>
          </w:tcPr>
          <w:p w14:paraId="0BCF067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037CA6A" w14:textId="77777777" w:rsidR="002A4DDF" w:rsidRPr="00937C8B" w:rsidRDefault="002A4DDF" w:rsidP="009110ED">
            <w:pPr>
              <w:rPr>
                <w:rFonts w:ascii="Arial" w:hAnsi="Arial" w:cs="Arial"/>
                <w:sz w:val="12"/>
                <w:szCs w:val="12"/>
              </w:rPr>
            </w:pPr>
            <w:r>
              <w:rPr>
                <w:rFonts w:ascii="Arial" w:hAnsi="Arial"/>
                <w:sz w:val="12"/>
                <w:szCs w:val="12"/>
              </w:rPr>
              <w:t>Pontevedra</w:t>
            </w:r>
          </w:p>
        </w:tc>
      </w:tr>
      <w:tr w:rsidR="002A4DDF" w:rsidRPr="00937C8B" w14:paraId="30171849" w14:textId="77777777" w:rsidTr="00935676">
        <w:trPr>
          <w:cantSplit/>
        </w:trPr>
        <w:tc>
          <w:tcPr>
            <w:tcW w:w="1696" w:type="dxa"/>
            <w:tcBorders>
              <w:left w:val="single" w:sz="4" w:space="0" w:color="auto"/>
            </w:tcBorders>
            <w:shd w:val="clear" w:color="auto" w:fill="auto"/>
          </w:tcPr>
          <w:p w14:paraId="67D86B3B" w14:textId="77777777" w:rsidR="002A4DDF" w:rsidRPr="00937C8B" w:rsidRDefault="002A4DDF" w:rsidP="009110ED">
            <w:pPr>
              <w:rPr>
                <w:rFonts w:ascii="Arial" w:hAnsi="Arial" w:cs="Arial"/>
                <w:sz w:val="12"/>
                <w:szCs w:val="12"/>
              </w:rPr>
            </w:pPr>
          </w:p>
        </w:tc>
        <w:tc>
          <w:tcPr>
            <w:tcW w:w="1843" w:type="dxa"/>
            <w:shd w:val="clear" w:color="auto" w:fill="auto"/>
          </w:tcPr>
          <w:p w14:paraId="74969A76" w14:textId="77777777" w:rsidR="002A4DDF" w:rsidRPr="00937C8B" w:rsidRDefault="002A4DDF" w:rsidP="009110ED">
            <w:pPr>
              <w:rPr>
                <w:rFonts w:ascii="Arial" w:hAnsi="Arial" w:cs="Arial"/>
                <w:sz w:val="12"/>
                <w:szCs w:val="12"/>
              </w:rPr>
            </w:pPr>
          </w:p>
        </w:tc>
        <w:tc>
          <w:tcPr>
            <w:tcW w:w="2268" w:type="dxa"/>
            <w:shd w:val="clear" w:color="auto" w:fill="F2F2F2"/>
            <w:hideMark/>
          </w:tcPr>
          <w:p w14:paraId="50B08D8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031C31E" w14:textId="77777777" w:rsidR="002A4DDF" w:rsidRPr="00937C8B" w:rsidRDefault="002A4DDF" w:rsidP="009110ED">
            <w:pPr>
              <w:rPr>
                <w:rFonts w:ascii="Arial" w:hAnsi="Arial" w:cs="Arial"/>
                <w:sz w:val="12"/>
                <w:szCs w:val="12"/>
              </w:rPr>
            </w:pPr>
            <w:r>
              <w:rPr>
                <w:rFonts w:ascii="Arial" w:hAnsi="Arial"/>
                <w:sz w:val="12"/>
                <w:szCs w:val="12"/>
              </w:rPr>
              <w:t>Portas</w:t>
            </w:r>
          </w:p>
        </w:tc>
      </w:tr>
      <w:tr w:rsidR="002A4DDF" w:rsidRPr="00937C8B" w14:paraId="56096169" w14:textId="77777777" w:rsidTr="00935676">
        <w:trPr>
          <w:cantSplit/>
        </w:trPr>
        <w:tc>
          <w:tcPr>
            <w:tcW w:w="1696" w:type="dxa"/>
            <w:tcBorders>
              <w:left w:val="single" w:sz="4" w:space="0" w:color="auto"/>
            </w:tcBorders>
            <w:shd w:val="clear" w:color="auto" w:fill="auto"/>
          </w:tcPr>
          <w:p w14:paraId="010B7FD1" w14:textId="77777777" w:rsidR="002A4DDF" w:rsidRPr="00937C8B" w:rsidRDefault="002A4DDF" w:rsidP="009110ED">
            <w:pPr>
              <w:rPr>
                <w:rFonts w:ascii="Arial" w:hAnsi="Arial" w:cs="Arial"/>
                <w:sz w:val="12"/>
                <w:szCs w:val="12"/>
              </w:rPr>
            </w:pPr>
          </w:p>
        </w:tc>
        <w:tc>
          <w:tcPr>
            <w:tcW w:w="1843" w:type="dxa"/>
            <w:shd w:val="clear" w:color="auto" w:fill="auto"/>
          </w:tcPr>
          <w:p w14:paraId="3133197E" w14:textId="77777777" w:rsidR="002A4DDF" w:rsidRPr="00937C8B" w:rsidRDefault="002A4DDF" w:rsidP="009110ED">
            <w:pPr>
              <w:rPr>
                <w:rFonts w:ascii="Arial" w:hAnsi="Arial" w:cs="Arial"/>
                <w:sz w:val="12"/>
                <w:szCs w:val="12"/>
              </w:rPr>
            </w:pPr>
          </w:p>
        </w:tc>
        <w:tc>
          <w:tcPr>
            <w:tcW w:w="2268" w:type="dxa"/>
            <w:shd w:val="clear" w:color="auto" w:fill="F2F2F2"/>
            <w:hideMark/>
          </w:tcPr>
          <w:p w14:paraId="1065C2D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AF00C02" w14:textId="77777777" w:rsidR="002A4DDF" w:rsidRPr="00937C8B" w:rsidRDefault="002A4DDF" w:rsidP="009110ED">
            <w:pPr>
              <w:rPr>
                <w:rFonts w:ascii="Arial" w:hAnsi="Arial" w:cs="Arial"/>
                <w:sz w:val="12"/>
                <w:szCs w:val="12"/>
              </w:rPr>
            </w:pPr>
            <w:r>
              <w:rPr>
                <w:rFonts w:ascii="Arial" w:hAnsi="Arial"/>
                <w:sz w:val="12"/>
                <w:szCs w:val="12"/>
              </w:rPr>
              <w:t>Redondela</w:t>
            </w:r>
          </w:p>
        </w:tc>
      </w:tr>
      <w:tr w:rsidR="002A4DDF" w:rsidRPr="00937C8B" w14:paraId="2931830B" w14:textId="77777777" w:rsidTr="00935676">
        <w:trPr>
          <w:cantSplit/>
        </w:trPr>
        <w:tc>
          <w:tcPr>
            <w:tcW w:w="1696" w:type="dxa"/>
            <w:tcBorders>
              <w:left w:val="single" w:sz="4" w:space="0" w:color="auto"/>
            </w:tcBorders>
            <w:shd w:val="clear" w:color="auto" w:fill="auto"/>
          </w:tcPr>
          <w:p w14:paraId="40EACF93" w14:textId="77777777" w:rsidR="002A4DDF" w:rsidRPr="00937C8B" w:rsidRDefault="002A4DDF" w:rsidP="009110ED">
            <w:pPr>
              <w:rPr>
                <w:rFonts w:ascii="Arial" w:hAnsi="Arial" w:cs="Arial"/>
                <w:sz w:val="12"/>
                <w:szCs w:val="12"/>
              </w:rPr>
            </w:pPr>
          </w:p>
        </w:tc>
        <w:tc>
          <w:tcPr>
            <w:tcW w:w="1843" w:type="dxa"/>
            <w:shd w:val="clear" w:color="auto" w:fill="auto"/>
          </w:tcPr>
          <w:p w14:paraId="0B2A1512" w14:textId="77777777" w:rsidR="002A4DDF" w:rsidRPr="00937C8B" w:rsidRDefault="002A4DDF" w:rsidP="009110ED">
            <w:pPr>
              <w:rPr>
                <w:rFonts w:ascii="Arial" w:hAnsi="Arial" w:cs="Arial"/>
                <w:sz w:val="12"/>
                <w:szCs w:val="12"/>
              </w:rPr>
            </w:pPr>
          </w:p>
        </w:tc>
        <w:tc>
          <w:tcPr>
            <w:tcW w:w="2268" w:type="dxa"/>
            <w:shd w:val="clear" w:color="auto" w:fill="F2F2F2"/>
            <w:hideMark/>
          </w:tcPr>
          <w:p w14:paraId="6876FEC5"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818C45A" w14:textId="77777777" w:rsidR="002A4DDF" w:rsidRPr="00937C8B" w:rsidRDefault="002A4DDF" w:rsidP="009110ED">
            <w:pPr>
              <w:rPr>
                <w:rFonts w:ascii="Arial" w:hAnsi="Arial" w:cs="Arial"/>
                <w:sz w:val="12"/>
                <w:szCs w:val="12"/>
              </w:rPr>
            </w:pPr>
            <w:r>
              <w:rPr>
                <w:rFonts w:ascii="Arial" w:hAnsi="Arial"/>
                <w:sz w:val="12"/>
                <w:szCs w:val="12"/>
              </w:rPr>
              <w:t>Ribadumia</w:t>
            </w:r>
          </w:p>
        </w:tc>
      </w:tr>
      <w:tr w:rsidR="002A4DDF" w:rsidRPr="00937C8B" w14:paraId="7A681914" w14:textId="77777777" w:rsidTr="00935676">
        <w:trPr>
          <w:cantSplit/>
        </w:trPr>
        <w:tc>
          <w:tcPr>
            <w:tcW w:w="1696" w:type="dxa"/>
            <w:tcBorders>
              <w:left w:val="single" w:sz="4" w:space="0" w:color="auto"/>
            </w:tcBorders>
            <w:shd w:val="clear" w:color="auto" w:fill="auto"/>
          </w:tcPr>
          <w:p w14:paraId="6B7D085F" w14:textId="77777777" w:rsidR="002A4DDF" w:rsidRPr="00937C8B" w:rsidRDefault="002A4DDF" w:rsidP="009110ED">
            <w:pPr>
              <w:rPr>
                <w:rFonts w:ascii="Arial" w:hAnsi="Arial" w:cs="Arial"/>
                <w:sz w:val="12"/>
                <w:szCs w:val="12"/>
              </w:rPr>
            </w:pPr>
          </w:p>
        </w:tc>
        <w:tc>
          <w:tcPr>
            <w:tcW w:w="1843" w:type="dxa"/>
            <w:shd w:val="clear" w:color="auto" w:fill="auto"/>
          </w:tcPr>
          <w:p w14:paraId="36B71A60" w14:textId="77777777" w:rsidR="002A4DDF" w:rsidRPr="00937C8B" w:rsidRDefault="002A4DDF" w:rsidP="009110ED">
            <w:pPr>
              <w:rPr>
                <w:rFonts w:ascii="Arial" w:hAnsi="Arial" w:cs="Arial"/>
                <w:sz w:val="12"/>
                <w:szCs w:val="12"/>
              </w:rPr>
            </w:pPr>
          </w:p>
        </w:tc>
        <w:tc>
          <w:tcPr>
            <w:tcW w:w="2268" w:type="dxa"/>
            <w:shd w:val="clear" w:color="auto" w:fill="F2F2F2"/>
            <w:hideMark/>
          </w:tcPr>
          <w:p w14:paraId="297BA41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7524685" w14:textId="77777777" w:rsidR="002A4DDF" w:rsidRPr="00937C8B" w:rsidRDefault="002A4DDF" w:rsidP="009110ED">
            <w:pPr>
              <w:rPr>
                <w:rFonts w:ascii="Arial" w:hAnsi="Arial" w:cs="Arial"/>
                <w:sz w:val="12"/>
                <w:szCs w:val="12"/>
              </w:rPr>
            </w:pPr>
            <w:r>
              <w:rPr>
                <w:rFonts w:ascii="Arial" w:hAnsi="Arial"/>
                <w:sz w:val="12"/>
                <w:szCs w:val="12"/>
              </w:rPr>
              <w:t>Rodeiro</w:t>
            </w:r>
          </w:p>
        </w:tc>
      </w:tr>
      <w:tr w:rsidR="002A4DDF" w:rsidRPr="00937C8B" w14:paraId="7A6C707B" w14:textId="77777777" w:rsidTr="00935676">
        <w:trPr>
          <w:cantSplit/>
        </w:trPr>
        <w:tc>
          <w:tcPr>
            <w:tcW w:w="1696" w:type="dxa"/>
            <w:tcBorders>
              <w:left w:val="single" w:sz="4" w:space="0" w:color="auto"/>
            </w:tcBorders>
            <w:shd w:val="clear" w:color="auto" w:fill="auto"/>
          </w:tcPr>
          <w:p w14:paraId="06972063" w14:textId="77777777" w:rsidR="002A4DDF" w:rsidRPr="00937C8B" w:rsidRDefault="002A4DDF" w:rsidP="009110ED">
            <w:pPr>
              <w:rPr>
                <w:rFonts w:ascii="Arial" w:hAnsi="Arial" w:cs="Arial"/>
                <w:sz w:val="12"/>
                <w:szCs w:val="12"/>
              </w:rPr>
            </w:pPr>
          </w:p>
        </w:tc>
        <w:tc>
          <w:tcPr>
            <w:tcW w:w="1843" w:type="dxa"/>
            <w:shd w:val="clear" w:color="auto" w:fill="auto"/>
          </w:tcPr>
          <w:p w14:paraId="6EC21CDA" w14:textId="77777777" w:rsidR="002A4DDF" w:rsidRPr="00937C8B" w:rsidRDefault="002A4DDF" w:rsidP="009110ED">
            <w:pPr>
              <w:rPr>
                <w:rFonts w:ascii="Arial" w:hAnsi="Arial" w:cs="Arial"/>
                <w:sz w:val="12"/>
                <w:szCs w:val="12"/>
              </w:rPr>
            </w:pPr>
          </w:p>
        </w:tc>
        <w:tc>
          <w:tcPr>
            <w:tcW w:w="2268" w:type="dxa"/>
            <w:shd w:val="clear" w:color="auto" w:fill="F2F2F2"/>
            <w:hideMark/>
          </w:tcPr>
          <w:p w14:paraId="27D9BB7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6F9061D" w14:textId="77777777" w:rsidR="002A4DDF" w:rsidRPr="00937C8B" w:rsidRDefault="002A4DDF" w:rsidP="009110ED">
            <w:pPr>
              <w:rPr>
                <w:rFonts w:ascii="Arial" w:hAnsi="Arial" w:cs="Arial"/>
                <w:sz w:val="12"/>
                <w:szCs w:val="12"/>
              </w:rPr>
            </w:pPr>
            <w:r>
              <w:rPr>
                <w:rFonts w:ascii="Arial" w:hAnsi="Arial"/>
                <w:sz w:val="12"/>
                <w:szCs w:val="12"/>
              </w:rPr>
              <w:t>Salceda de Caselas</w:t>
            </w:r>
          </w:p>
        </w:tc>
      </w:tr>
      <w:tr w:rsidR="002A4DDF" w:rsidRPr="00937C8B" w14:paraId="7CE62EF7" w14:textId="77777777" w:rsidTr="00935676">
        <w:trPr>
          <w:cantSplit/>
        </w:trPr>
        <w:tc>
          <w:tcPr>
            <w:tcW w:w="1696" w:type="dxa"/>
            <w:tcBorders>
              <w:left w:val="single" w:sz="4" w:space="0" w:color="auto"/>
            </w:tcBorders>
            <w:shd w:val="clear" w:color="auto" w:fill="auto"/>
          </w:tcPr>
          <w:p w14:paraId="2D2418BE" w14:textId="77777777" w:rsidR="002A4DDF" w:rsidRPr="00937C8B" w:rsidRDefault="002A4DDF" w:rsidP="009110ED">
            <w:pPr>
              <w:rPr>
                <w:rFonts w:ascii="Arial" w:hAnsi="Arial" w:cs="Arial"/>
                <w:sz w:val="12"/>
                <w:szCs w:val="12"/>
              </w:rPr>
            </w:pPr>
          </w:p>
        </w:tc>
        <w:tc>
          <w:tcPr>
            <w:tcW w:w="1843" w:type="dxa"/>
            <w:shd w:val="clear" w:color="auto" w:fill="auto"/>
          </w:tcPr>
          <w:p w14:paraId="5CD606D1" w14:textId="77777777" w:rsidR="002A4DDF" w:rsidRPr="00937C8B" w:rsidRDefault="002A4DDF" w:rsidP="009110ED">
            <w:pPr>
              <w:rPr>
                <w:rFonts w:ascii="Arial" w:hAnsi="Arial" w:cs="Arial"/>
                <w:sz w:val="12"/>
                <w:szCs w:val="12"/>
              </w:rPr>
            </w:pPr>
          </w:p>
        </w:tc>
        <w:tc>
          <w:tcPr>
            <w:tcW w:w="2268" w:type="dxa"/>
            <w:shd w:val="clear" w:color="auto" w:fill="F2F2F2"/>
            <w:hideMark/>
          </w:tcPr>
          <w:p w14:paraId="19D058F1"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68F0E74C" w14:textId="77777777" w:rsidR="002A4DDF" w:rsidRPr="00937C8B" w:rsidRDefault="002A4DDF" w:rsidP="009110ED">
            <w:pPr>
              <w:rPr>
                <w:rFonts w:ascii="Arial" w:hAnsi="Arial" w:cs="Arial"/>
                <w:sz w:val="12"/>
                <w:szCs w:val="12"/>
              </w:rPr>
            </w:pPr>
            <w:r>
              <w:rPr>
                <w:rFonts w:ascii="Arial" w:hAnsi="Arial"/>
                <w:sz w:val="12"/>
                <w:szCs w:val="12"/>
              </w:rPr>
              <w:t>Sanxenxo</w:t>
            </w:r>
          </w:p>
        </w:tc>
      </w:tr>
      <w:tr w:rsidR="002A4DDF" w:rsidRPr="00937C8B" w14:paraId="535AE89B" w14:textId="77777777" w:rsidTr="00935676">
        <w:trPr>
          <w:cantSplit/>
        </w:trPr>
        <w:tc>
          <w:tcPr>
            <w:tcW w:w="1696" w:type="dxa"/>
            <w:tcBorders>
              <w:left w:val="single" w:sz="4" w:space="0" w:color="auto"/>
            </w:tcBorders>
            <w:shd w:val="clear" w:color="auto" w:fill="auto"/>
          </w:tcPr>
          <w:p w14:paraId="25A4AA33" w14:textId="77777777" w:rsidR="002A4DDF" w:rsidRPr="00937C8B" w:rsidRDefault="002A4DDF" w:rsidP="009110ED">
            <w:pPr>
              <w:rPr>
                <w:rFonts w:ascii="Arial" w:hAnsi="Arial" w:cs="Arial"/>
                <w:sz w:val="12"/>
                <w:szCs w:val="12"/>
              </w:rPr>
            </w:pPr>
          </w:p>
        </w:tc>
        <w:tc>
          <w:tcPr>
            <w:tcW w:w="1843" w:type="dxa"/>
            <w:shd w:val="clear" w:color="auto" w:fill="auto"/>
          </w:tcPr>
          <w:p w14:paraId="392232BB" w14:textId="77777777" w:rsidR="002A4DDF" w:rsidRPr="00937C8B" w:rsidRDefault="002A4DDF" w:rsidP="009110ED">
            <w:pPr>
              <w:rPr>
                <w:rFonts w:ascii="Arial" w:hAnsi="Arial" w:cs="Arial"/>
                <w:sz w:val="12"/>
                <w:szCs w:val="12"/>
              </w:rPr>
            </w:pPr>
          </w:p>
        </w:tc>
        <w:tc>
          <w:tcPr>
            <w:tcW w:w="2268" w:type="dxa"/>
            <w:shd w:val="clear" w:color="auto" w:fill="F2F2F2"/>
            <w:hideMark/>
          </w:tcPr>
          <w:p w14:paraId="7000FF5B"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1513493" w14:textId="77777777" w:rsidR="002A4DDF" w:rsidRPr="00937C8B" w:rsidRDefault="002A4DDF" w:rsidP="009110ED">
            <w:pPr>
              <w:rPr>
                <w:rFonts w:ascii="Arial" w:hAnsi="Arial" w:cs="Arial"/>
                <w:sz w:val="12"/>
                <w:szCs w:val="12"/>
              </w:rPr>
            </w:pPr>
            <w:r>
              <w:rPr>
                <w:rFonts w:ascii="Arial" w:hAnsi="Arial"/>
                <w:sz w:val="12"/>
                <w:szCs w:val="12"/>
              </w:rPr>
              <w:t>Silleda</w:t>
            </w:r>
          </w:p>
        </w:tc>
      </w:tr>
      <w:tr w:rsidR="002A4DDF" w:rsidRPr="00937C8B" w14:paraId="02912A7D" w14:textId="77777777" w:rsidTr="00935676">
        <w:trPr>
          <w:cantSplit/>
        </w:trPr>
        <w:tc>
          <w:tcPr>
            <w:tcW w:w="1696" w:type="dxa"/>
            <w:tcBorders>
              <w:left w:val="single" w:sz="4" w:space="0" w:color="auto"/>
            </w:tcBorders>
            <w:shd w:val="clear" w:color="auto" w:fill="auto"/>
          </w:tcPr>
          <w:p w14:paraId="619A703A" w14:textId="77777777" w:rsidR="002A4DDF" w:rsidRPr="00937C8B" w:rsidRDefault="002A4DDF" w:rsidP="009110ED">
            <w:pPr>
              <w:rPr>
                <w:rFonts w:ascii="Arial" w:hAnsi="Arial" w:cs="Arial"/>
                <w:sz w:val="12"/>
                <w:szCs w:val="12"/>
              </w:rPr>
            </w:pPr>
          </w:p>
        </w:tc>
        <w:tc>
          <w:tcPr>
            <w:tcW w:w="1843" w:type="dxa"/>
            <w:shd w:val="clear" w:color="auto" w:fill="auto"/>
          </w:tcPr>
          <w:p w14:paraId="7CD04CD0" w14:textId="77777777" w:rsidR="002A4DDF" w:rsidRPr="00937C8B" w:rsidRDefault="002A4DDF" w:rsidP="009110ED">
            <w:pPr>
              <w:rPr>
                <w:rFonts w:ascii="Arial" w:hAnsi="Arial" w:cs="Arial"/>
                <w:sz w:val="12"/>
                <w:szCs w:val="12"/>
              </w:rPr>
            </w:pPr>
          </w:p>
        </w:tc>
        <w:tc>
          <w:tcPr>
            <w:tcW w:w="2268" w:type="dxa"/>
            <w:shd w:val="clear" w:color="auto" w:fill="F2F2F2"/>
            <w:hideMark/>
          </w:tcPr>
          <w:p w14:paraId="5E1FCF68"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0564AEC3" w14:textId="77777777" w:rsidR="002A4DDF" w:rsidRPr="00937C8B" w:rsidRDefault="002A4DDF" w:rsidP="009110ED">
            <w:pPr>
              <w:rPr>
                <w:rFonts w:ascii="Arial" w:hAnsi="Arial" w:cs="Arial"/>
                <w:sz w:val="12"/>
                <w:szCs w:val="12"/>
              </w:rPr>
            </w:pPr>
            <w:r>
              <w:rPr>
                <w:rFonts w:ascii="Arial" w:hAnsi="Arial"/>
                <w:sz w:val="12"/>
                <w:szCs w:val="12"/>
              </w:rPr>
              <w:t>Soutomaior</w:t>
            </w:r>
          </w:p>
        </w:tc>
      </w:tr>
      <w:tr w:rsidR="002A4DDF" w:rsidRPr="00937C8B" w14:paraId="48F5AF3A" w14:textId="77777777" w:rsidTr="00935676">
        <w:trPr>
          <w:cantSplit/>
        </w:trPr>
        <w:tc>
          <w:tcPr>
            <w:tcW w:w="1696" w:type="dxa"/>
            <w:tcBorders>
              <w:left w:val="single" w:sz="4" w:space="0" w:color="auto"/>
            </w:tcBorders>
            <w:shd w:val="clear" w:color="auto" w:fill="auto"/>
          </w:tcPr>
          <w:p w14:paraId="1617A101" w14:textId="77777777" w:rsidR="002A4DDF" w:rsidRPr="00937C8B" w:rsidRDefault="002A4DDF" w:rsidP="009110ED">
            <w:pPr>
              <w:rPr>
                <w:rFonts w:ascii="Arial" w:hAnsi="Arial" w:cs="Arial"/>
                <w:sz w:val="12"/>
                <w:szCs w:val="12"/>
              </w:rPr>
            </w:pPr>
          </w:p>
        </w:tc>
        <w:tc>
          <w:tcPr>
            <w:tcW w:w="1843" w:type="dxa"/>
            <w:shd w:val="clear" w:color="auto" w:fill="auto"/>
          </w:tcPr>
          <w:p w14:paraId="2388618F" w14:textId="77777777" w:rsidR="002A4DDF" w:rsidRPr="00937C8B" w:rsidRDefault="002A4DDF" w:rsidP="009110ED">
            <w:pPr>
              <w:rPr>
                <w:rFonts w:ascii="Arial" w:hAnsi="Arial" w:cs="Arial"/>
                <w:sz w:val="12"/>
                <w:szCs w:val="12"/>
              </w:rPr>
            </w:pPr>
          </w:p>
        </w:tc>
        <w:tc>
          <w:tcPr>
            <w:tcW w:w="2268" w:type="dxa"/>
            <w:shd w:val="clear" w:color="auto" w:fill="F2F2F2"/>
            <w:hideMark/>
          </w:tcPr>
          <w:p w14:paraId="42136C49"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7E2E1557" w14:textId="77777777" w:rsidR="002A4DDF" w:rsidRPr="00937C8B" w:rsidRDefault="002A4DDF" w:rsidP="009110ED">
            <w:pPr>
              <w:rPr>
                <w:rFonts w:ascii="Arial" w:hAnsi="Arial" w:cs="Arial"/>
                <w:sz w:val="12"/>
                <w:szCs w:val="12"/>
              </w:rPr>
            </w:pPr>
            <w:r>
              <w:rPr>
                <w:rFonts w:ascii="Arial" w:hAnsi="Arial"/>
                <w:sz w:val="12"/>
                <w:szCs w:val="12"/>
              </w:rPr>
              <w:t>Tomiño</w:t>
            </w:r>
          </w:p>
        </w:tc>
      </w:tr>
      <w:tr w:rsidR="002A4DDF" w:rsidRPr="00937C8B" w14:paraId="36C034DC" w14:textId="77777777" w:rsidTr="00935676">
        <w:trPr>
          <w:cantSplit/>
        </w:trPr>
        <w:tc>
          <w:tcPr>
            <w:tcW w:w="1696" w:type="dxa"/>
            <w:tcBorders>
              <w:left w:val="single" w:sz="4" w:space="0" w:color="auto"/>
            </w:tcBorders>
            <w:shd w:val="clear" w:color="auto" w:fill="auto"/>
          </w:tcPr>
          <w:p w14:paraId="14503165" w14:textId="77777777" w:rsidR="002A4DDF" w:rsidRPr="00937C8B" w:rsidRDefault="002A4DDF" w:rsidP="009110ED">
            <w:pPr>
              <w:rPr>
                <w:rFonts w:ascii="Arial" w:hAnsi="Arial" w:cs="Arial"/>
                <w:sz w:val="12"/>
                <w:szCs w:val="12"/>
              </w:rPr>
            </w:pPr>
          </w:p>
        </w:tc>
        <w:tc>
          <w:tcPr>
            <w:tcW w:w="1843" w:type="dxa"/>
            <w:shd w:val="clear" w:color="auto" w:fill="auto"/>
          </w:tcPr>
          <w:p w14:paraId="6383A3B1" w14:textId="77777777" w:rsidR="002A4DDF" w:rsidRPr="00937C8B" w:rsidRDefault="002A4DDF" w:rsidP="009110ED">
            <w:pPr>
              <w:rPr>
                <w:rFonts w:ascii="Arial" w:hAnsi="Arial" w:cs="Arial"/>
                <w:sz w:val="12"/>
                <w:szCs w:val="12"/>
              </w:rPr>
            </w:pPr>
          </w:p>
        </w:tc>
        <w:tc>
          <w:tcPr>
            <w:tcW w:w="2268" w:type="dxa"/>
            <w:shd w:val="clear" w:color="auto" w:fill="F2F2F2"/>
            <w:hideMark/>
          </w:tcPr>
          <w:p w14:paraId="4C2B9963"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FA84DDF" w14:textId="77777777" w:rsidR="002A4DDF" w:rsidRPr="00937C8B" w:rsidRDefault="002A4DDF" w:rsidP="009110ED">
            <w:pPr>
              <w:rPr>
                <w:rFonts w:ascii="Arial" w:hAnsi="Arial" w:cs="Arial"/>
                <w:sz w:val="12"/>
                <w:szCs w:val="12"/>
              </w:rPr>
            </w:pPr>
            <w:r>
              <w:rPr>
                <w:rFonts w:ascii="Arial" w:hAnsi="Arial"/>
                <w:sz w:val="12"/>
                <w:szCs w:val="12"/>
              </w:rPr>
              <w:t>Tui</w:t>
            </w:r>
          </w:p>
        </w:tc>
      </w:tr>
      <w:tr w:rsidR="002A4DDF" w:rsidRPr="00937C8B" w14:paraId="2EFDF30E" w14:textId="77777777" w:rsidTr="00935676">
        <w:trPr>
          <w:cantSplit/>
        </w:trPr>
        <w:tc>
          <w:tcPr>
            <w:tcW w:w="1696" w:type="dxa"/>
            <w:tcBorders>
              <w:left w:val="single" w:sz="4" w:space="0" w:color="auto"/>
            </w:tcBorders>
            <w:shd w:val="clear" w:color="auto" w:fill="auto"/>
          </w:tcPr>
          <w:p w14:paraId="06B8B564" w14:textId="77777777" w:rsidR="002A4DDF" w:rsidRPr="00937C8B" w:rsidRDefault="002A4DDF" w:rsidP="009110ED">
            <w:pPr>
              <w:rPr>
                <w:rFonts w:ascii="Arial" w:hAnsi="Arial" w:cs="Arial"/>
                <w:sz w:val="12"/>
                <w:szCs w:val="12"/>
              </w:rPr>
            </w:pPr>
          </w:p>
        </w:tc>
        <w:tc>
          <w:tcPr>
            <w:tcW w:w="1843" w:type="dxa"/>
            <w:shd w:val="clear" w:color="auto" w:fill="auto"/>
          </w:tcPr>
          <w:p w14:paraId="77136C28" w14:textId="77777777" w:rsidR="002A4DDF" w:rsidRPr="00937C8B" w:rsidRDefault="002A4DDF" w:rsidP="009110ED">
            <w:pPr>
              <w:rPr>
                <w:rFonts w:ascii="Arial" w:hAnsi="Arial" w:cs="Arial"/>
                <w:sz w:val="12"/>
                <w:szCs w:val="12"/>
              </w:rPr>
            </w:pPr>
          </w:p>
        </w:tc>
        <w:tc>
          <w:tcPr>
            <w:tcW w:w="2268" w:type="dxa"/>
            <w:shd w:val="clear" w:color="auto" w:fill="F2F2F2"/>
            <w:hideMark/>
          </w:tcPr>
          <w:p w14:paraId="3F29288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29048F66" w14:textId="77777777" w:rsidR="002A4DDF" w:rsidRPr="00937C8B" w:rsidRDefault="002A4DDF" w:rsidP="009110ED">
            <w:pPr>
              <w:rPr>
                <w:rFonts w:ascii="Arial" w:hAnsi="Arial" w:cs="Arial"/>
                <w:sz w:val="12"/>
                <w:szCs w:val="12"/>
              </w:rPr>
            </w:pPr>
            <w:r>
              <w:rPr>
                <w:rFonts w:ascii="Arial" w:hAnsi="Arial"/>
                <w:sz w:val="12"/>
                <w:szCs w:val="12"/>
              </w:rPr>
              <w:t>Valga</w:t>
            </w:r>
          </w:p>
        </w:tc>
      </w:tr>
      <w:tr w:rsidR="002A4DDF" w:rsidRPr="00937C8B" w14:paraId="7B90DE83" w14:textId="77777777" w:rsidTr="00935676">
        <w:trPr>
          <w:cantSplit/>
        </w:trPr>
        <w:tc>
          <w:tcPr>
            <w:tcW w:w="1696" w:type="dxa"/>
            <w:tcBorders>
              <w:left w:val="single" w:sz="4" w:space="0" w:color="auto"/>
            </w:tcBorders>
            <w:shd w:val="clear" w:color="auto" w:fill="auto"/>
          </w:tcPr>
          <w:p w14:paraId="5F622000" w14:textId="77777777" w:rsidR="002A4DDF" w:rsidRPr="00937C8B" w:rsidRDefault="002A4DDF" w:rsidP="009110ED">
            <w:pPr>
              <w:rPr>
                <w:rFonts w:ascii="Arial" w:hAnsi="Arial" w:cs="Arial"/>
                <w:sz w:val="12"/>
                <w:szCs w:val="12"/>
              </w:rPr>
            </w:pPr>
          </w:p>
        </w:tc>
        <w:tc>
          <w:tcPr>
            <w:tcW w:w="1843" w:type="dxa"/>
            <w:shd w:val="clear" w:color="auto" w:fill="auto"/>
          </w:tcPr>
          <w:p w14:paraId="52727784" w14:textId="77777777" w:rsidR="002A4DDF" w:rsidRPr="00937C8B" w:rsidRDefault="002A4DDF" w:rsidP="009110ED">
            <w:pPr>
              <w:rPr>
                <w:rFonts w:ascii="Arial" w:hAnsi="Arial" w:cs="Arial"/>
                <w:sz w:val="12"/>
                <w:szCs w:val="12"/>
              </w:rPr>
            </w:pPr>
          </w:p>
        </w:tc>
        <w:tc>
          <w:tcPr>
            <w:tcW w:w="2268" w:type="dxa"/>
            <w:shd w:val="clear" w:color="auto" w:fill="F2F2F2"/>
            <w:hideMark/>
          </w:tcPr>
          <w:p w14:paraId="0C5FE2CA"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58C1F12" w14:textId="77777777" w:rsidR="002A4DDF" w:rsidRPr="00937C8B" w:rsidRDefault="002A4DDF" w:rsidP="009110ED">
            <w:pPr>
              <w:rPr>
                <w:rFonts w:ascii="Arial" w:hAnsi="Arial" w:cs="Arial"/>
                <w:sz w:val="12"/>
                <w:szCs w:val="12"/>
              </w:rPr>
            </w:pPr>
            <w:r>
              <w:rPr>
                <w:rFonts w:ascii="Arial" w:hAnsi="Arial"/>
                <w:sz w:val="12"/>
                <w:szCs w:val="12"/>
              </w:rPr>
              <w:t>Vigo</w:t>
            </w:r>
          </w:p>
        </w:tc>
      </w:tr>
      <w:tr w:rsidR="002A4DDF" w:rsidRPr="00937C8B" w14:paraId="3E9C62F3" w14:textId="77777777" w:rsidTr="00935676">
        <w:trPr>
          <w:cantSplit/>
        </w:trPr>
        <w:tc>
          <w:tcPr>
            <w:tcW w:w="1696" w:type="dxa"/>
            <w:tcBorders>
              <w:left w:val="single" w:sz="4" w:space="0" w:color="auto"/>
            </w:tcBorders>
            <w:shd w:val="clear" w:color="auto" w:fill="auto"/>
          </w:tcPr>
          <w:p w14:paraId="7FB533C8" w14:textId="77777777" w:rsidR="002A4DDF" w:rsidRPr="00937C8B" w:rsidRDefault="002A4DDF" w:rsidP="009110ED">
            <w:pPr>
              <w:rPr>
                <w:rFonts w:ascii="Arial" w:hAnsi="Arial" w:cs="Arial"/>
                <w:sz w:val="12"/>
                <w:szCs w:val="12"/>
              </w:rPr>
            </w:pPr>
          </w:p>
        </w:tc>
        <w:tc>
          <w:tcPr>
            <w:tcW w:w="1843" w:type="dxa"/>
            <w:shd w:val="clear" w:color="auto" w:fill="auto"/>
          </w:tcPr>
          <w:p w14:paraId="65908AF2" w14:textId="77777777" w:rsidR="002A4DDF" w:rsidRPr="00937C8B" w:rsidRDefault="002A4DDF" w:rsidP="009110ED">
            <w:pPr>
              <w:rPr>
                <w:rFonts w:ascii="Arial" w:hAnsi="Arial" w:cs="Arial"/>
                <w:sz w:val="12"/>
                <w:szCs w:val="12"/>
              </w:rPr>
            </w:pPr>
          </w:p>
        </w:tc>
        <w:tc>
          <w:tcPr>
            <w:tcW w:w="2268" w:type="dxa"/>
            <w:shd w:val="clear" w:color="auto" w:fill="F2F2F2"/>
            <w:hideMark/>
          </w:tcPr>
          <w:p w14:paraId="752F598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348A744C" w14:textId="77777777" w:rsidR="002A4DDF" w:rsidRPr="00937C8B" w:rsidRDefault="002A4DDF" w:rsidP="009110ED">
            <w:pPr>
              <w:rPr>
                <w:rFonts w:ascii="Arial" w:hAnsi="Arial" w:cs="Arial"/>
                <w:sz w:val="12"/>
                <w:szCs w:val="12"/>
              </w:rPr>
            </w:pPr>
            <w:r>
              <w:rPr>
                <w:rFonts w:ascii="Arial" w:hAnsi="Arial"/>
                <w:sz w:val="12"/>
                <w:szCs w:val="12"/>
              </w:rPr>
              <w:t>Vila de Cruces</w:t>
            </w:r>
          </w:p>
        </w:tc>
      </w:tr>
      <w:tr w:rsidR="002A4DDF" w:rsidRPr="00937C8B" w14:paraId="42D9DA99" w14:textId="77777777" w:rsidTr="00935676">
        <w:trPr>
          <w:cantSplit/>
        </w:trPr>
        <w:tc>
          <w:tcPr>
            <w:tcW w:w="1696" w:type="dxa"/>
            <w:tcBorders>
              <w:left w:val="single" w:sz="4" w:space="0" w:color="auto"/>
            </w:tcBorders>
            <w:shd w:val="clear" w:color="auto" w:fill="auto"/>
          </w:tcPr>
          <w:p w14:paraId="108CC7DE" w14:textId="77777777" w:rsidR="002A4DDF" w:rsidRPr="00937C8B" w:rsidRDefault="002A4DDF" w:rsidP="009110ED">
            <w:pPr>
              <w:rPr>
                <w:rFonts w:ascii="Arial" w:hAnsi="Arial" w:cs="Arial"/>
                <w:sz w:val="12"/>
                <w:szCs w:val="12"/>
              </w:rPr>
            </w:pPr>
          </w:p>
        </w:tc>
        <w:tc>
          <w:tcPr>
            <w:tcW w:w="1843" w:type="dxa"/>
            <w:shd w:val="clear" w:color="auto" w:fill="auto"/>
          </w:tcPr>
          <w:p w14:paraId="03DC3CFC" w14:textId="77777777" w:rsidR="002A4DDF" w:rsidRPr="00937C8B" w:rsidRDefault="002A4DDF" w:rsidP="009110ED">
            <w:pPr>
              <w:rPr>
                <w:rFonts w:ascii="Arial" w:hAnsi="Arial" w:cs="Arial"/>
                <w:sz w:val="12"/>
                <w:szCs w:val="12"/>
              </w:rPr>
            </w:pPr>
          </w:p>
        </w:tc>
        <w:tc>
          <w:tcPr>
            <w:tcW w:w="2268" w:type="dxa"/>
            <w:shd w:val="clear" w:color="auto" w:fill="F2F2F2"/>
            <w:hideMark/>
          </w:tcPr>
          <w:p w14:paraId="331C3EE7"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5DA5F5F7" w14:textId="77777777" w:rsidR="002A4DDF" w:rsidRPr="00937C8B" w:rsidRDefault="002A4DDF" w:rsidP="009110ED">
            <w:pPr>
              <w:rPr>
                <w:rFonts w:ascii="Arial" w:hAnsi="Arial" w:cs="Arial"/>
                <w:sz w:val="12"/>
                <w:szCs w:val="12"/>
              </w:rPr>
            </w:pPr>
            <w:r>
              <w:rPr>
                <w:rFonts w:ascii="Arial" w:hAnsi="Arial"/>
                <w:sz w:val="12"/>
                <w:szCs w:val="12"/>
              </w:rPr>
              <w:t>Vilaboa</w:t>
            </w:r>
          </w:p>
        </w:tc>
      </w:tr>
      <w:tr w:rsidR="002A4DDF" w:rsidRPr="00937C8B" w14:paraId="1C926048" w14:textId="77777777" w:rsidTr="00935676">
        <w:trPr>
          <w:cantSplit/>
        </w:trPr>
        <w:tc>
          <w:tcPr>
            <w:tcW w:w="1696" w:type="dxa"/>
            <w:tcBorders>
              <w:left w:val="single" w:sz="4" w:space="0" w:color="auto"/>
            </w:tcBorders>
            <w:shd w:val="clear" w:color="auto" w:fill="auto"/>
          </w:tcPr>
          <w:p w14:paraId="3AA3FF91" w14:textId="77777777" w:rsidR="002A4DDF" w:rsidRPr="00937C8B" w:rsidRDefault="002A4DDF" w:rsidP="009110ED">
            <w:pPr>
              <w:rPr>
                <w:rFonts w:ascii="Arial" w:hAnsi="Arial" w:cs="Arial"/>
                <w:sz w:val="12"/>
                <w:szCs w:val="12"/>
              </w:rPr>
            </w:pPr>
          </w:p>
        </w:tc>
        <w:tc>
          <w:tcPr>
            <w:tcW w:w="1843" w:type="dxa"/>
            <w:shd w:val="clear" w:color="auto" w:fill="auto"/>
          </w:tcPr>
          <w:p w14:paraId="40902B4D" w14:textId="77777777" w:rsidR="002A4DDF" w:rsidRPr="00937C8B" w:rsidRDefault="002A4DDF" w:rsidP="009110ED">
            <w:pPr>
              <w:rPr>
                <w:rFonts w:ascii="Arial" w:hAnsi="Arial" w:cs="Arial"/>
                <w:sz w:val="12"/>
                <w:szCs w:val="12"/>
              </w:rPr>
            </w:pPr>
          </w:p>
        </w:tc>
        <w:tc>
          <w:tcPr>
            <w:tcW w:w="2268" w:type="dxa"/>
            <w:shd w:val="clear" w:color="auto" w:fill="F2F2F2"/>
            <w:hideMark/>
          </w:tcPr>
          <w:p w14:paraId="75DA09B4" w14:textId="77777777"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14:paraId="48B32B56" w14:textId="77777777" w:rsidR="002A4DDF" w:rsidRPr="00937C8B" w:rsidRDefault="002A4DDF" w:rsidP="009110ED">
            <w:pPr>
              <w:rPr>
                <w:rFonts w:ascii="Arial" w:hAnsi="Arial" w:cs="Arial"/>
                <w:sz w:val="12"/>
                <w:szCs w:val="12"/>
              </w:rPr>
            </w:pPr>
            <w:r>
              <w:rPr>
                <w:rFonts w:ascii="Arial" w:hAnsi="Arial"/>
                <w:sz w:val="12"/>
                <w:szCs w:val="12"/>
              </w:rPr>
              <w:t>Vilagarcía de Arousa</w:t>
            </w:r>
          </w:p>
        </w:tc>
      </w:tr>
      <w:tr w:rsidR="002A4DDF" w:rsidRPr="00937C8B" w14:paraId="0E1F4336" w14:textId="77777777" w:rsidTr="00935676">
        <w:trPr>
          <w:cantSplit/>
        </w:trPr>
        <w:tc>
          <w:tcPr>
            <w:tcW w:w="1696" w:type="dxa"/>
            <w:tcBorders>
              <w:left w:val="single" w:sz="4" w:space="0" w:color="auto"/>
              <w:bottom w:val="single" w:sz="4" w:space="0" w:color="auto"/>
            </w:tcBorders>
            <w:shd w:val="clear" w:color="auto" w:fill="auto"/>
            <w:hideMark/>
          </w:tcPr>
          <w:p w14:paraId="36845C0F" w14:textId="77777777" w:rsidR="002A4DDF" w:rsidRPr="00937C8B" w:rsidRDefault="002A4DDF" w:rsidP="009110ED">
            <w:pPr>
              <w:rPr>
                <w:rFonts w:ascii="Arial" w:hAnsi="Arial" w:cs="Arial"/>
                <w:sz w:val="12"/>
                <w:szCs w:val="12"/>
              </w:rPr>
            </w:pPr>
            <w:r>
              <w:rPr>
                <w:rFonts w:ascii="Arial" w:hAnsi="Arial"/>
                <w:sz w:val="12"/>
                <w:szCs w:val="12"/>
              </w:rPr>
              <w:t>Galice</w:t>
            </w:r>
          </w:p>
        </w:tc>
        <w:tc>
          <w:tcPr>
            <w:tcW w:w="1843" w:type="dxa"/>
            <w:tcBorders>
              <w:bottom w:val="single" w:sz="4" w:space="0" w:color="auto"/>
            </w:tcBorders>
            <w:shd w:val="clear" w:color="auto" w:fill="auto"/>
            <w:hideMark/>
          </w:tcPr>
          <w:p w14:paraId="0ECC843E" w14:textId="77777777" w:rsidR="002A4DDF" w:rsidRPr="00937C8B" w:rsidRDefault="002A4DDF" w:rsidP="009110ED">
            <w:pPr>
              <w:rPr>
                <w:rFonts w:ascii="Arial" w:hAnsi="Arial" w:cs="Arial"/>
                <w:sz w:val="12"/>
                <w:szCs w:val="12"/>
              </w:rPr>
            </w:pPr>
            <w:r>
              <w:rPr>
                <w:rFonts w:ascii="Arial" w:hAnsi="Arial"/>
                <w:sz w:val="12"/>
                <w:szCs w:val="12"/>
              </w:rPr>
              <w:t>Pontevedra</w:t>
            </w:r>
          </w:p>
        </w:tc>
        <w:tc>
          <w:tcPr>
            <w:tcW w:w="2268" w:type="dxa"/>
            <w:tcBorders>
              <w:bottom w:val="single" w:sz="4" w:space="0" w:color="auto"/>
            </w:tcBorders>
            <w:shd w:val="clear" w:color="auto" w:fill="F2F2F2"/>
            <w:hideMark/>
          </w:tcPr>
          <w:p w14:paraId="56F9FB5D" w14:textId="77777777"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14:paraId="4F2D0B81" w14:textId="77777777" w:rsidR="002A4DDF" w:rsidRPr="00937C8B" w:rsidRDefault="002A4DDF" w:rsidP="009110ED">
            <w:pPr>
              <w:rPr>
                <w:rFonts w:ascii="Arial" w:hAnsi="Arial" w:cs="Arial"/>
                <w:sz w:val="12"/>
                <w:szCs w:val="12"/>
              </w:rPr>
            </w:pPr>
            <w:r>
              <w:rPr>
                <w:rFonts w:ascii="Arial" w:hAnsi="Arial"/>
                <w:sz w:val="12"/>
                <w:szCs w:val="12"/>
              </w:rPr>
              <w:t>Vilanova de Arousa</w:t>
            </w:r>
          </w:p>
        </w:tc>
      </w:tr>
      <w:tr w:rsidR="002A4DDF" w:rsidRPr="00937C8B" w14:paraId="44C676CB" w14:textId="77777777" w:rsidTr="00935676">
        <w:trPr>
          <w:cantSplit/>
        </w:trPr>
        <w:tc>
          <w:tcPr>
            <w:tcW w:w="1696" w:type="dxa"/>
            <w:tcBorders>
              <w:top w:val="single" w:sz="4" w:space="0" w:color="auto"/>
              <w:bottom w:val="single" w:sz="4" w:space="0" w:color="auto"/>
            </w:tcBorders>
            <w:shd w:val="clear" w:color="auto" w:fill="auto"/>
            <w:hideMark/>
          </w:tcPr>
          <w:p w14:paraId="60621EF2"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2F4A09D3"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4667AA4F"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11FD7D8E" w14:textId="77777777" w:rsidR="002A4DDF" w:rsidRPr="00937C8B" w:rsidRDefault="002A4DDF" w:rsidP="009110ED">
            <w:pPr>
              <w:rPr>
                <w:rFonts w:ascii="Arial" w:hAnsi="Arial" w:cs="Arial"/>
                <w:sz w:val="12"/>
                <w:szCs w:val="12"/>
              </w:rPr>
            </w:pPr>
          </w:p>
        </w:tc>
      </w:tr>
      <w:tr w:rsidR="002A4DDF" w:rsidRPr="00937C8B" w14:paraId="01456E2C" w14:textId="77777777" w:rsidTr="00935676">
        <w:trPr>
          <w:cantSplit/>
        </w:trPr>
        <w:tc>
          <w:tcPr>
            <w:tcW w:w="1696" w:type="dxa"/>
            <w:tcBorders>
              <w:top w:val="single" w:sz="4" w:space="0" w:color="auto"/>
              <w:left w:val="single" w:sz="4" w:space="0" w:color="auto"/>
            </w:tcBorders>
            <w:shd w:val="clear" w:color="auto" w:fill="auto"/>
            <w:hideMark/>
          </w:tcPr>
          <w:p w14:paraId="0CC82B28" w14:textId="77777777" w:rsidR="002A4DDF" w:rsidRPr="00937C8B" w:rsidRDefault="002A4DDF" w:rsidP="009110ED">
            <w:pPr>
              <w:rPr>
                <w:rFonts w:ascii="Arial" w:hAnsi="Arial" w:cs="Arial"/>
                <w:sz w:val="12"/>
                <w:szCs w:val="12"/>
              </w:rPr>
            </w:pPr>
            <w:r>
              <w:rPr>
                <w:rFonts w:ascii="Arial" w:hAnsi="Arial"/>
                <w:sz w:val="12"/>
                <w:szCs w:val="12"/>
              </w:rPr>
              <w:t xml:space="preserve"> Îles Baléares</w:t>
            </w:r>
          </w:p>
        </w:tc>
        <w:tc>
          <w:tcPr>
            <w:tcW w:w="1843" w:type="dxa"/>
            <w:tcBorders>
              <w:top w:val="single" w:sz="4" w:space="0" w:color="auto"/>
            </w:tcBorders>
            <w:shd w:val="clear" w:color="auto" w:fill="auto"/>
            <w:hideMark/>
          </w:tcPr>
          <w:p w14:paraId="762C5619" w14:textId="77777777" w:rsidR="002A4DDF" w:rsidRPr="00937C8B" w:rsidRDefault="002A4DDF" w:rsidP="009110ED">
            <w:pPr>
              <w:rPr>
                <w:rFonts w:ascii="Arial" w:hAnsi="Arial" w:cs="Arial"/>
                <w:sz w:val="12"/>
                <w:szCs w:val="12"/>
              </w:rPr>
            </w:pPr>
            <w:r>
              <w:rPr>
                <w:rFonts w:ascii="Arial" w:hAnsi="Arial"/>
                <w:sz w:val="12"/>
                <w:szCs w:val="12"/>
              </w:rPr>
              <w:t xml:space="preserve"> Îles Baléares</w:t>
            </w:r>
          </w:p>
        </w:tc>
        <w:tc>
          <w:tcPr>
            <w:tcW w:w="2268" w:type="dxa"/>
            <w:tcBorders>
              <w:top w:val="single" w:sz="4" w:space="0" w:color="auto"/>
            </w:tcBorders>
            <w:shd w:val="clear" w:color="auto" w:fill="F2F2F2"/>
            <w:hideMark/>
          </w:tcPr>
          <w:p w14:paraId="1DF0029B" w14:textId="77777777" w:rsidR="002A4DDF" w:rsidRPr="00937C8B" w:rsidRDefault="002A4DDF" w:rsidP="009110ED">
            <w:pPr>
              <w:rPr>
                <w:rFonts w:ascii="Arial" w:hAnsi="Arial" w:cs="Arial"/>
                <w:sz w:val="12"/>
                <w:szCs w:val="12"/>
              </w:rPr>
            </w:pPr>
            <w:r>
              <w:rPr>
                <w:rFonts w:ascii="Arial" w:hAnsi="Arial"/>
                <w:sz w:val="12"/>
                <w:szCs w:val="12"/>
              </w:rPr>
              <w:t>Alaró</w:t>
            </w:r>
          </w:p>
        </w:tc>
        <w:tc>
          <w:tcPr>
            <w:tcW w:w="2268" w:type="dxa"/>
            <w:tcBorders>
              <w:top w:val="single" w:sz="4" w:space="0" w:color="auto"/>
              <w:right w:val="single" w:sz="4" w:space="0" w:color="auto"/>
            </w:tcBorders>
            <w:shd w:val="clear" w:color="auto" w:fill="D9D9D9"/>
            <w:hideMark/>
          </w:tcPr>
          <w:p w14:paraId="1BA0C229" w14:textId="77777777" w:rsidR="002A4DDF" w:rsidRPr="00937C8B" w:rsidRDefault="002A4DDF" w:rsidP="009110ED">
            <w:pPr>
              <w:rPr>
                <w:rFonts w:ascii="Arial" w:hAnsi="Arial" w:cs="Arial"/>
                <w:sz w:val="12"/>
                <w:szCs w:val="12"/>
              </w:rPr>
            </w:pPr>
          </w:p>
        </w:tc>
      </w:tr>
      <w:tr w:rsidR="002A4DDF" w:rsidRPr="00937C8B" w14:paraId="62E13A83" w14:textId="77777777" w:rsidTr="00935676">
        <w:trPr>
          <w:cantSplit/>
        </w:trPr>
        <w:tc>
          <w:tcPr>
            <w:tcW w:w="1696" w:type="dxa"/>
            <w:tcBorders>
              <w:left w:val="single" w:sz="4" w:space="0" w:color="auto"/>
            </w:tcBorders>
            <w:shd w:val="clear" w:color="auto" w:fill="auto"/>
          </w:tcPr>
          <w:p w14:paraId="5FA04834" w14:textId="77777777" w:rsidR="002A4DDF" w:rsidRPr="00937C8B" w:rsidRDefault="002A4DDF" w:rsidP="009110ED">
            <w:pPr>
              <w:rPr>
                <w:rFonts w:ascii="Arial" w:hAnsi="Arial" w:cs="Arial"/>
                <w:sz w:val="12"/>
                <w:szCs w:val="12"/>
              </w:rPr>
            </w:pPr>
          </w:p>
        </w:tc>
        <w:tc>
          <w:tcPr>
            <w:tcW w:w="1843" w:type="dxa"/>
            <w:shd w:val="clear" w:color="auto" w:fill="auto"/>
          </w:tcPr>
          <w:p w14:paraId="22FED1E7" w14:textId="77777777" w:rsidR="002A4DDF" w:rsidRPr="00937C8B" w:rsidRDefault="002A4DDF" w:rsidP="009110ED">
            <w:pPr>
              <w:rPr>
                <w:rFonts w:ascii="Arial" w:hAnsi="Arial" w:cs="Arial"/>
                <w:sz w:val="12"/>
                <w:szCs w:val="12"/>
              </w:rPr>
            </w:pPr>
          </w:p>
        </w:tc>
        <w:tc>
          <w:tcPr>
            <w:tcW w:w="2268" w:type="dxa"/>
            <w:shd w:val="clear" w:color="auto" w:fill="F2F2F2"/>
            <w:hideMark/>
          </w:tcPr>
          <w:p w14:paraId="24C75626" w14:textId="77777777" w:rsidR="002A4DDF" w:rsidRPr="00937C8B" w:rsidRDefault="002A4DDF" w:rsidP="009110ED">
            <w:pPr>
              <w:rPr>
                <w:rFonts w:ascii="Arial" w:hAnsi="Arial" w:cs="Arial"/>
                <w:sz w:val="12"/>
                <w:szCs w:val="12"/>
              </w:rPr>
            </w:pPr>
            <w:r>
              <w:rPr>
                <w:rFonts w:ascii="Arial" w:hAnsi="Arial"/>
                <w:sz w:val="12"/>
                <w:szCs w:val="12"/>
              </w:rPr>
              <w:t>Artà</w:t>
            </w:r>
          </w:p>
        </w:tc>
        <w:tc>
          <w:tcPr>
            <w:tcW w:w="2268" w:type="dxa"/>
            <w:tcBorders>
              <w:right w:val="single" w:sz="4" w:space="0" w:color="auto"/>
            </w:tcBorders>
            <w:shd w:val="clear" w:color="auto" w:fill="D9D9D9"/>
            <w:hideMark/>
          </w:tcPr>
          <w:p w14:paraId="0E40B15F" w14:textId="77777777" w:rsidR="002A4DDF" w:rsidRPr="00937C8B" w:rsidRDefault="002A4DDF" w:rsidP="009110ED">
            <w:pPr>
              <w:rPr>
                <w:rFonts w:ascii="Arial" w:hAnsi="Arial" w:cs="Arial"/>
                <w:sz w:val="12"/>
                <w:szCs w:val="12"/>
              </w:rPr>
            </w:pPr>
          </w:p>
        </w:tc>
      </w:tr>
      <w:tr w:rsidR="002A4DDF" w:rsidRPr="00937C8B" w14:paraId="2C757743" w14:textId="77777777" w:rsidTr="00935676">
        <w:trPr>
          <w:cantSplit/>
        </w:trPr>
        <w:tc>
          <w:tcPr>
            <w:tcW w:w="1696" w:type="dxa"/>
            <w:tcBorders>
              <w:left w:val="single" w:sz="4" w:space="0" w:color="auto"/>
            </w:tcBorders>
            <w:shd w:val="clear" w:color="auto" w:fill="auto"/>
          </w:tcPr>
          <w:p w14:paraId="758EABD9" w14:textId="77777777" w:rsidR="002A4DDF" w:rsidRPr="00937C8B" w:rsidRDefault="002A4DDF" w:rsidP="009110ED">
            <w:pPr>
              <w:rPr>
                <w:rFonts w:ascii="Arial" w:hAnsi="Arial" w:cs="Arial"/>
                <w:sz w:val="12"/>
                <w:szCs w:val="12"/>
              </w:rPr>
            </w:pPr>
          </w:p>
        </w:tc>
        <w:tc>
          <w:tcPr>
            <w:tcW w:w="1843" w:type="dxa"/>
            <w:shd w:val="clear" w:color="auto" w:fill="auto"/>
          </w:tcPr>
          <w:p w14:paraId="7D639220" w14:textId="77777777" w:rsidR="002A4DDF" w:rsidRPr="00937C8B" w:rsidRDefault="002A4DDF" w:rsidP="009110ED">
            <w:pPr>
              <w:rPr>
                <w:rFonts w:ascii="Arial" w:hAnsi="Arial" w:cs="Arial"/>
                <w:sz w:val="12"/>
                <w:szCs w:val="12"/>
              </w:rPr>
            </w:pPr>
          </w:p>
        </w:tc>
        <w:tc>
          <w:tcPr>
            <w:tcW w:w="2268" w:type="dxa"/>
            <w:shd w:val="clear" w:color="auto" w:fill="F2F2F2"/>
            <w:hideMark/>
          </w:tcPr>
          <w:p w14:paraId="6FE9BDD9" w14:textId="77777777" w:rsidR="002A4DDF" w:rsidRPr="00937C8B" w:rsidRDefault="002A4DDF" w:rsidP="009110ED">
            <w:pPr>
              <w:rPr>
                <w:rFonts w:ascii="Arial" w:hAnsi="Arial" w:cs="Arial"/>
                <w:sz w:val="12"/>
                <w:szCs w:val="12"/>
              </w:rPr>
            </w:pPr>
            <w:r>
              <w:rPr>
                <w:rFonts w:ascii="Arial" w:hAnsi="Arial"/>
                <w:sz w:val="12"/>
                <w:szCs w:val="12"/>
              </w:rPr>
              <w:t>Bunyola</w:t>
            </w:r>
          </w:p>
        </w:tc>
        <w:tc>
          <w:tcPr>
            <w:tcW w:w="2268" w:type="dxa"/>
            <w:tcBorders>
              <w:right w:val="single" w:sz="4" w:space="0" w:color="auto"/>
            </w:tcBorders>
            <w:shd w:val="clear" w:color="auto" w:fill="D9D9D9"/>
            <w:hideMark/>
          </w:tcPr>
          <w:p w14:paraId="75252125" w14:textId="77777777" w:rsidR="002A4DDF" w:rsidRPr="00937C8B" w:rsidRDefault="002A4DDF" w:rsidP="009110ED">
            <w:pPr>
              <w:rPr>
                <w:rFonts w:ascii="Arial" w:hAnsi="Arial" w:cs="Arial"/>
                <w:sz w:val="12"/>
                <w:szCs w:val="12"/>
              </w:rPr>
            </w:pPr>
          </w:p>
        </w:tc>
      </w:tr>
      <w:tr w:rsidR="002A4DDF" w:rsidRPr="00937C8B" w14:paraId="059ED6D6" w14:textId="77777777" w:rsidTr="00935676">
        <w:trPr>
          <w:cantSplit/>
        </w:trPr>
        <w:tc>
          <w:tcPr>
            <w:tcW w:w="1696" w:type="dxa"/>
            <w:tcBorders>
              <w:left w:val="single" w:sz="4" w:space="0" w:color="auto"/>
            </w:tcBorders>
            <w:shd w:val="clear" w:color="auto" w:fill="auto"/>
          </w:tcPr>
          <w:p w14:paraId="316D11B1" w14:textId="77777777" w:rsidR="002A4DDF" w:rsidRPr="00937C8B" w:rsidRDefault="002A4DDF" w:rsidP="009110ED">
            <w:pPr>
              <w:rPr>
                <w:rFonts w:ascii="Arial" w:hAnsi="Arial" w:cs="Arial"/>
                <w:sz w:val="12"/>
                <w:szCs w:val="12"/>
              </w:rPr>
            </w:pPr>
          </w:p>
        </w:tc>
        <w:tc>
          <w:tcPr>
            <w:tcW w:w="1843" w:type="dxa"/>
            <w:shd w:val="clear" w:color="auto" w:fill="auto"/>
          </w:tcPr>
          <w:p w14:paraId="404C90A9" w14:textId="77777777" w:rsidR="002A4DDF" w:rsidRPr="00937C8B" w:rsidRDefault="002A4DDF" w:rsidP="009110ED">
            <w:pPr>
              <w:rPr>
                <w:rFonts w:ascii="Arial" w:hAnsi="Arial" w:cs="Arial"/>
                <w:sz w:val="12"/>
                <w:szCs w:val="12"/>
              </w:rPr>
            </w:pPr>
          </w:p>
        </w:tc>
        <w:tc>
          <w:tcPr>
            <w:tcW w:w="2268" w:type="dxa"/>
            <w:shd w:val="clear" w:color="auto" w:fill="F2F2F2"/>
            <w:hideMark/>
          </w:tcPr>
          <w:p w14:paraId="545689AC" w14:textId="77777777" w:rsidR="002A4DDF" w:rsidRPr="00937C8B" w:rsidRDefault="002A4DDF" w:rsidP="009110ED">
            <w:pPr>
              <w:rPr>
                <w:rFonts w:ascii="Arial" w:hAnsi="Arial" w:cs="Arial"/>
                <w:sz w:val="12"/>
                <w:szCs w:val="12"/>
              </w:rPr>
            </w:pPr>
            <w:r>
              <w:rPr>
                <w:rFonts w:ascii="Arial" w:hAnsi="Arial"/>
                <w:sz w:val="12"/>
                <w:szCs w:val="12"/>
              </w:rPr>
              <w:t>Capdepera</w:t>
            </w:r>
          </w:p>
        </w:tc>
        <w:tc>
          <w:tcPr>
            <w:tcW w:w="2268" w:type="dxa"/>
            <w:tcBorders>
              <w:right w:val="single" w:sz="4" w:space="0" w:color="auto"/>
            </w:tcBorders>
            <w:shd w:val="clear" w:color="auto" w:fill="D9D9D9"/>
            <w:hideMark/>
          </w:tcPr>
          <w:p w14:paraId="16EC6301" w14:textId="77777777" w:rsidR="002A4DDF" w:rsidRPr="00937C8B" w:rsidRDefault="002A4DDF" w:rsidP="009110ED">
            <w:pPr>
              <w:rPr>
                <w:rFonts w:ascii="Arial" w:hAnsi="Arial" w:cs="Arial"/>
                <w:sz w:val="12"/>
                <w:szCs w:val="12"/>
              </w:rPr>
            </w:pPr>
          </w:p>
        </w:tc>
      </w:tr>
      <w:tr w:rsidR="002A4DDF" w:rsidRPr="00937C8B" w14:paraId="5BD81890" w14:textId="77777777" w:rsidTr="00935676">
        <w:trPr>
          <w:cantSplit/>
        </w:trPr>
        <w:tc>
          <w:tcPr>
            <w:tcW w:w="1696" w:type="dxa"/>
            <w:tcBorders>
              <w:left w:val="single" w:sz="4" w:space="0" w:color="auto"/>
            </w:tcBorders>
            <w:shd w:val="clear" w:color="auto" w:fill="auto"/>
          </w:tcPr>
          <w:p w14:paraId="39A48F6F" w14:textId="77777777" w:rsidR="002A4DDF" w:rsidRPr="00937C8B" w:rsidRDefault="002A4DDF" w:rsidP="009110ED">
            <w:pPr>
              <w:rPr>
                <w:rFonts w:ascii="Arial" w:hAnsi="Arial" w:cs="Arial"/>
                <w:sz w:val="12"/>
                <w:szCs w:val="12"/>
              </w:rPr>
            </w:pPr>
          </w:p>
        </w:tc>
        <w:tc>
          <w:tcPr>
            <w:tcW w:w="1843" w:type="dxa"/>
            <w:shd w:val="clear" w:color="auto" w:fill="auto"/>
          </w:tcPr>
          <w:p w14:paraId="791F57EF" w14:textId="77777777" w:rsidR="002A4DDF" w:rsidRPr="00937C8B" w:rsidRDefault="002A4DDF" w:rsidP="009110ED">
            <w:pPr>
              <w:rPr>
                <w:rFonts w:ascii="Arial" w:hAnsi="Arial" w:cs="Arial"/>
                <w:sz w:val="12"/>
                <w:szCs w:val="12"/>
              </w:rPr>
            </w:pPr>
          </w:p>
        </w:tc>
        <w:tc>
          <w:tcPr>
            <w:tcW w:w="2268" w:type="dxa"/>
            <w:shd w:val="clear" w:color="auto" w:fill="F2F2F2"/>
            <w:hideMark/>
          </w:tcPr>
          <w:p w14:paraId="427D5805" w14:textId="77777777" w:rsidR="002A4DDF" w:rsidRPr="00937C8B" w:rsidRDefault="002A4DDF" w:rsidP="009110ED">
            <w:pPr>
              <w:rPr>
                <w:rFonts w:ascii="Arial" w:hAnsi="Arial" w:cs="Arial"/>
                <w:sz w:val="12"/>
                <w:szCs w:val="12"/>
              </w:rPr>
            </w:pPr>
            <w:r>
              <w:rPr>
                <w:rFonts w:ascii="Arial" w:hAnsi="Arial"/>
                <w:sz w:val="12"/>
                <w:szCs w:val="12"/>
              </w:rPr>
              <w:t>Deià</w:t>
            </w:r>
          </w:p>
        </w:tc>
        <w:tc>
          <w:tcPr>
            <w:tcW w:w="2268" w:type="dxa"/>
            <w:tcBorders>
              <w:right w:val="single" w:sz="4" w:space="0" w:color="auto"/>
            </w:tcBorders>
            <w:shd w:val="clear" w:color="auto" w:fill="D9D9D9"/>
            <w:hideMark/>
          </w:tcPr>
          <w:p w14:paraId="5DA69CBE" w14:textId="77777777" w:rsidR="002A4DDF" w:rsidRPr="00937C8B" w:rsidRDefault="002A4DDF" w:rsidP="009110ED">
            <w:pPr>
              <w:rPr>
                <w:rFonts w:ascii="Arial" w:hAnsi="Arial" w:cs="Arial"/>
                <w:sz w:val="12"/>
                <w:szCs w:val="12"/>
              </w:rPr>
            </w:pPr>
          </w:p>
        </w:tc>
      </w:tr>
      <w:tr w:rsidR="002A4DDF" w:rsidRPr="00937C8B" w14:paraId="5BB6D883" w14:textId="77777777" w:rsidTr="00935676">
        <w:trPr>
          <w:cantSplit/>
        </w:trPr>
        <w:tc>
          <w:tcPr>
            <w:tcW w:w="1696" w:type="dxa"/>
            <w:tcBorders>
              <w:left w:val="single" w:sz="4" w:space="0" w:color="auto"/>
            </w:tcBorders>
            <w:shd w:val="clear" w:color="auto" w:fill="auto"/>
          </w:tcPr>
          <w:p w14:paraId="0C33299A" w14:textId="77777777" w:rsidR="002A4DDF" w:rsidRPr="00937C8B" w:rsidRDefault="002A4DDF" w:rsidP="009110ED">
            <w:pPr>
              <w:rPr>
                <w:rFonts w:ascii="Arial" w:hAnsi="Arial" w:cs="Arial"/>
                <w:sz w:val="12"/>
                <w:szCs w:val="12"/>
              </w:rPr>
            </w:pPr>
          </w:p>
        </w:tc>
        <w:tc>
          <w:tcPr>
            <w:tcW w:w="1843" w:type="dxa"/>
            <w:shd w:val="clear" w:color="auto" w:fill="auto"/>
          </w:tcPr>
          <w:p w14:paraId="21CFB1E5" w14:textId="77777777" w:rsidR="002A4DDF" w:rsidRPr="00937C8B" w:rsidRDefault="002A4DDF" w:rsidP="009110ED">
            <w:pPr>
              <w:rPr>
                <w:rFonts w:ascii="Arial" w:hAnsi="Arial" w:cs="Arial"/>
                <w:sz w:val="12"/>
                <w:szCs w:val="12"/>
              </w:rPr>
            </w:pPr>
          </w:p>
        </w:tc>
        <w:tc>
          <w:tcPr>
            <w:tcW w:w="2268" w:type="dxa"/>
            <w:shd w:val="clear" w:color="auto" w:fill="F2F2F2"/>
            <w:hideMark/>
          </w:tcPr>
          <w:p w14:paraId="37E85377" w14:textId="77777777" w:rsidR="002A4DDF" w:rsidRPr="00937C8B" w:rsidRDefault="002A4DDF" w:rsidP="009110ED">
            <w:pPr>
              <w:rPr>
                <w:rFonts w:ascii="Arial" w:hAnsi="Arial" w:cs="Arial"/>
                <w:sz w:val="12"/>
                <w:szCs w:val="12"/>
              </w:rPr>
            </w:pPr>
            <w:r>
              <w:rPr>
                <w:rFonts w:ascii="Arial" w:hAnsi="Arial"/>
                <w:sz w:val="12"/>
                <w:szCs w:val="12"/>
              </w:rPr>
              <w:t>Es Migjorn Gran</w:t>
            </w:r>
          </w:p>
        </w:tc>
        <w:tc>
          <w:tcPr>
            <w:tcW w:w="2268" w:type="dxa"/>
            <w:tcBorders>
              <w:right w:val="single" w:sz="4" w:space="0" w:color="auto"/>
            </w:tcBorders>
            <w:shd w:val="clear" w:color="auto" w:fill="D9D9D9"/>
            <w:hideMark/>
          </w:tcPr>
          <w:p w14:paraId="66D6DBB0" w14:textId="77777777" w:rsidR="002A4DDF" w:rsidRPr="00937C8B" w:rsidRDefault="002A4DDF" w:rsidP="009110ED">
            <w:pPr>
              <w:rPr>
                <w:rFonts w:ascii="Arial" w:hAnsi="Arial" w:cs="Arial"/>
                <w:sz w:val="12"/>
                <w:szCs w:val="12"/>
              </w:rPr>
            </w:pPr>
          </w:p>
        </w:tc>
      </w:tr>
      <w:tr w:rsidR="002A4DDF" w:rsidRPr="00937C8B" w14:paraId="63309B67" w14:textId="77777777" w:rsidTr="00935676">
        <w:trPr>
          <w:cantSplit/>
        </w:trPr>
        <w:tc>
          <w:tcPr>
            <w:tcW w:w="1696" w:type="dxa"/>
            <w:tcBorders>
              <w:left w:val="single" w:sz="4" w:space="0" w:color="auto"/>
            </w:tcBorders>
            <w:shd w:val="clear" w:color="auto" w:fill="auto"/>
          </w:tcPr>
          <w:p w14:paraId="109CF0CF" w14:textId="77777777" w:rsidR="002A4DDF" w:rsidRPr="00937C8B" w:rsidRDefault="002A4DDF" w:rsidP="009110ED">
            <w:pPr>
              <w:rPr>
                <w:rFonts w:ascii="Arial" w:hAnsi="Arial" w:cs="Arial"/>
                <w:sz w:val="12"/>
                <w:szCs w:val="12"/>
              </w:rPr>
            </w:pPr>
          </w:p>
        </w:tc>
        <w:tc>
          <w:tcPr>
            <w:tcW w:w="1843" w:type="dxa"/>
            <w:shd w:val="clear" w:color="auto" w:fill="auto"/>
          </w:tcPr>
          <w:p w14:paraId="6FCEF928" w14:textId="77777777" w:rsidR="002A4DDF" w:rsidRPr="00937C8B" w:rsidRDefault="002A4DDF" w:rsidP="009110ED">
            <w:pPr>
              <w:rPr>
                <w:rFonts w:ascii="Arial" w:hAnsi="Arial" w:cs="Arial"/>
                <w:sz w:val="12"/>
                <w:szCs w:val="12"/>
              </w:rPr>
            </w:pPr>
          </w:p>
        </w:tc>
        <w:tc>
          <w:tcPr>
            <w:tcW w:w="2268" w:type="dxa"/>
            <w:shd w:val="clear" w:color="auto" w:fill="F2F2F2"/>
            <w:hideMark/>
          </w:tcPr>
          <w:p w14:paraId="72396A11" w14:textId="77777777" w:rsidR="002A4DDF" w:rsidRPr="00937C8B" w:rsidRDefault="002A4DDF" w:rsidP="009110ED">
            <w:pPr>
              <w:rPr>
                <w:rFonts w:ascii="Arial" w:hAnsi="Arial" w:cs="Arial"/>
                <w:sz w:val="12"/>
                <w:szCs w:val="12"/>
              </w:rPr>
            </w:pPr>
            <w:r>
              <w:rPr>
                <w:rFonts w:ascii="Arial" w:hAnsi="Arial"/>
                <w:sz w:val="12"/>
                <w:szCs w:val="12"/>
              </w:rPr>
              <w:t>Esporles</w:t>
            </w:r>
          </w:p>
        </w:tc>
        <w:tc>
          <w:tcPr>
            <w:tcW w:w="2268" w:type="dxa"/>
            <w:tcBorders>
              <w:right w:val="single" w:sz="4" w:space="0" w:color="auto"/>
            </w:tcBorders>
            <w:shd w:val="clear" w:color="auto" w:fill="D9D9D9"/>
            <w:hideMark/>
          </w:tcPr>
          <w:p w14:paraId="1FA6F5CE" w14:textId="77777777" w:rsidR="002A4DDF" w:rsidRPr="00937C8B" w:rsidRDefault="002A4DDF" w:rsidP="009110ED">
            <w:pPr>
              <w:rPr>
                <w:rFonts w:ascii="Arial" w:hAnsi="Arial" w:cs="Arial"/>
                <w:sz w:val="12"/>
                <w:szCs w:val="12"/>
              </w:rPr>
            </w:pPr>
          </w:p>
        </w:tc>
      </w:tr>
      <w:tr w:rsidR="002A4DDF" w:rsidRPr="00937C8B" w14:paraId="59074FF6" w14:textId="77777777" w:rsidTr="00935676">
        <w:trPr>
          <w:cantSplit/>
        </w:trPr>
        <w:tc>
          <w:tcPr>
            <w:tcW w:w="1696" w:type="dxa"/>
            <w:tcBorders>
              <w:left w:val="single" w:sz="4" w:space="0" w:color="auto"/>
            </w:tcBorders>
            <w:shd w:val="clear" w:color="auto" w:fill="auto"/>
          </w:tcPr>
          <w:p w14:paraId="5AC6A7C4" w14:textId="77777777" w:rsidR="002A4DDF" w:rsidRPr="00937C8B" w:rsidRDefault="002A4DDF" w:rsidP="009110ED">
            <w:pPr>
              <w:rPr>
                <w:rFonts w:ascii="Arial" w:hAnsi="Arial" w:cs="Arial"/>
                <w:sz w:val="12"/>
                <w:szCs w:val="12"/>
              </w:rPr>
            </w:pPr>
          </w:p>
        </w:tc>
        <w:tc>
          <w:tcPr>
            <w:tcW w:w="1843" w:type="dxa"/>
            <w:shd w:val="clear" w:color="auto" w:fill="auto"/>
          </w:tcPr>
          <w:p w14:paraId="121EF2E2" w14:textId="77777777" w:rsidR="002A4DDF" w:rsidRPr="00937C8B" w:rsidRDefault="002A4DDF" w:rsidP="009110ED">
            <w:pPr>
              <w:rPr>
                <w:rFonts w:ascii="Arial" w:hAnsi="Arial" w:cs="Arial"/>
                <w:sz w:val="12"/>
                <w:szCs w:val="12"/>
              </w:rPr>
            </w:pPr>
          </w:p>
        </w:tc>
        <w:tc>
          <w:tcPr>
            <w:tcW w:w="2268" w:type="dxa"/>
            <w:shd w:val="clear" w:color="auto" w:fill="F2F2F2"/>
            <w:hideMark/>
          </w:tcPr>
          <w:p w14:paraId="48587210" w14:textId="77777777" w:rsidR="002A4DDF" w:rsidRPr="00937C8B" w:rsidRDefault="002A4DDF" w:rsidP="009110ED">
            <w:pPr>
              <w:rPr>
                <w:rFonts w:ascii="Arial" w:hAnsi="Arial" w:cs="Arial"/>
                <w:sz w:val="12"/>
                <w:szCs w:val="12"/>
              </w:rPr>
            </w:pPr>
            <w:r>
              <w:rPr>
                <w:rFonts w:ascii="Arial" w:hAnsi="Arial"/>
                <w:sz w:val="12"/>
                <w:szCs w:val="12"/>
              </w:rPr>
              <w:t>Felanitx</w:t>
            </w:r>
          </w:p>
        </w:tc>
        <w:tc>
          <w:tcPr>
            <w:tcW w:w="2268" w:type="dxa"/>
            <w:tcBorders>
              <w:right w:val="single" w:sz="4" w:space="0" w:color="auto"/>
            </w:tcBorders>
            <w:shd w:val="clear" w:color="auto" w:fill="D9D9D9"/>
            <w:hideMark/>
          </w:tcPr>
          <w:p w14:paraId="041C9EDE" w14:textId="77777777" w:rsidR="002A4DDF" w:rsidRPr="00937C8B" w:rsidRDefault="002A4DDF" w:rsidP="009110ED">
            <w:pPr>
              <w:rPr>
                <w:rFonts w:ascii="Arial" w:hAnsi="Arial" w:cs="Arial"/>
                <w:sz w:val="12"/>
                <w:szCs w:val="12"/>
              </w:rPr>
            </w:pPr>
          </w:p>
        </w:tc>
      </w:tr>
      <w:tr w:rsidR="002A4DDF" w:rsidRPr="00937C8B" w14:paraId="588E3376" w14:textId="77777777" w:rsidTr="00935676">
        <w:trPr>
          <w:cantSplit/>
        </w:trPr>
        <w:tc>
          <w:tcPr>
            <w:tcW w:w="1696" w:type="dxa"/>
            <w:tcBorders>
              <w:left w:val="single" w:sz="4" w:space="0" w:color="auto"/>
            </w:tcBorders>
            <w:shd w:val="clear" w:color="auto" w:fill="auto"/>
          </w:tcPr>
          <w:p w14:paraId="08937BBE" w14:textId="77777777" w:rsidR="002A4DDF" w:rsidRPr="00937C8B" w:rsidRDefault="002A4DDF" w:rsidP="009110ED">
            <w:pPr>
              <w:rPr>
                <w:rFonts w:ascii="Arial" w:hAnsi="Arial" w:cs="Arial"/>
                <w:sz w:val="12"/>
                <w:szCs w:val="12"/>
              </w:rPr>
            </w:pPr>
          </w:p>
        </w:tc>
        <w:tc>
          <w:tcPr>
            <w:tcW w:w="1843" w:type="dxa"/>
            <w:shd w:val="clear" w:color="auto" w:fill="auto"/>
          </w:tcPr>
          <w:p w14:paraId="1CFEE6AA" w14:textId="77777777" w:rsidR="002A4DDF" w:rsidRPr="00937C8B" w:rsidRDefault="002A4DDF" w:rsidP="009110ED">
            <w:pPr>
              <w:rPr>
                <w:rFonts w:ascii="Arial" w:hAnsi="Arial" w:cs="Arial"/>
                <w:sz w:val="12"/>
                <w:szCs w:val="12"/>
              </w:rPr>
            </w:pPr>
          </w:p>
        </w:tc>
        <w:tc>
          <w:tcPr>
            <w:tcW w:w="2268" w:type="dxa"/>
            <w:shd w:val="clear" w:color="auto" w:fill="F2F2F2"/>
            <w:hideMark/>
          </w:tcPr>
          <w:p w14:paraId="79E3DBE6" w14:textId="77777777" w:rsidR="002A4DDF" w:rsidRPr="00937C8B" w:rsidRDefault="002A4DDF" w:rsidP="009110ED">
            <w:pPr>
              <w:rPr>
                <w:rFonts w:ascii="Arial" w:hAnsi="Arial" w:cs="Arial"/>
                <w:sz w:val="12"/>
                <w:szCs w:val="12"/>
              </w:rPr>
            </w:pPr>
            <w:r>
              <w:rPr>
                <w:rFonts w:ascii="Arial" w:hAnsi="Arial"/>
                <w:sz w:val="12"/>
                <w:szCs w:val="12"/>
              </w:rPr>
              <w:t>Ferreries</w:t>
            </w:r>
          </w:p>
        </w:tc>
        <w:tc>
          <w:tcPr>
            <w:tcW w:w="2268" w:type="dxa"/>
            <w:tcBorders>
              <w:right w:val="single" w:sz="4" w:space="0" w:color="auto"/>
            </w:tcBorders>
            <w:shd w:val="clear" w:color="auto" w:fill="D9D9D9"/>
            <w:hideMark/>
          </w:tcPr>
          <w:p w14:paraId="35780615" w14:textId="77777777" w:rsidR="002A4DDF" w:rsidRPr="00937C8B" w:rsidRDefault="002A4DDF" w:rsidP="009110ED">
            <w:pPr>
              <w:rPr>
                <w:rFonts w:ascii="Arial" w:hAnsi="Arial" w:cs="Arial"/>
                <w:sz w:val="12"/>
                <w:szCs w:val="12"/>
              </w:rPr>
            </w:pPr>
          </w:p>
        </w:tc>
      </w:tr>
      <w:tr w:rsidR="002A4DDF" w:rsidRPr="00937C8B" w14:paraId="41E5159D" w14:textId="77777777" w:rsidTr="00935676">
        <w:trPr>
          <w:cantSplit/>
        </w:trPr>
        <w:tc>
          <w:tcPr>
            <w:tcW w:w="1696" w:type="dxa"/>
            <w:tcBorders>
              <w:left w:val="single" w:sz="4" w:space="0" w:color="auto"/>
            </w:tcBorders>
            <w:shd w:val="clear" w:color="auto" w:fill="auto"/>
          </w:tcPr>
          <w:p w14:paraId="62591BEB" w14:textId="77777777" w:rsidR="002A4DDF" w:rsidRPr="00937C8B" w:rsidRDefault="002A4DDF" w:rsidP="009110ED">
            <w:pPr>
              <w:rPr>
                <w:rFonts w:ascii="Arial" w:hAnsi="Arial" w:cs="Arial"/>
                <w:sz w:val="12"/>
                <w:szCs w:val="12"/>
              </w:rPr>
            </w:pPr>
          </w:p>
        </w:tc>
        <w:tc>
          <w:tcPr>
            <w:tcW w:w="1843" w:type="dxa"/>
            <w:shd w:val="clear" w:color="auto" w:fill="auto"/>
          </w:tcPr>
          <w:p w14:paraId="0F90EF59" w14:textId="77777777" w:rsidR="002A4DDF" w:rsidRPr="00937C8B" w:rsidRDefault="002A4DDF" w:rsidP="009110ED">
            <w:pPr>
              <w:rPr>
                <w:rFonts w:ascii="Arial" w:hAnsi="Arial" w:cs="Arial"/>
                <w:sz w:val="12"/>
                <w:szCs w:val="12"/>
              </w:rPr>
            </w:pPr>
          </w:p>
        </w:tc>
        <w:tc>
          <w:tcPr>
            <w:tcW w:w="2268" w:type="dxa"/>
            <w:shd w:val="clear" w:color="auto" w:fill="F2F2F2"/>
            <w:hideMark/>
          </w:tcPr>
          <w:p w14:paraId="463AEF2A" w14:textId="77777777" w:rsidR="002A4DDF" w:rsidRPr="00937C8B" w:rsidRDefault="002A4DDF" w:rsidP="009110ED">
            <w:pPr>
              <w:rPr>
                <w:rFonts w:ascii="Arial" w:hAnsi="Arial" w:cs="Arial"/>
                <w:sz w:val="12"/>
                <w:szCs w:val="12"/>
              </w:rPr>
            </w:pPr>
            <w:r>
              <w:rPr>
                <w:rFonts w:ascii="Arial" w:hAnsi="Arial"/>
                <w:sz w:val="12"/>
                <w:szCs w:val="12"/>
              </w:rPr>
              <w:t>Fornalutx</w:t>
            </w:r>
          </w:p>
        </w:tc>
        <w:tc>
          <w:tcPr>
            <w:tcW w:w="2268" w:type="dxa"/>
            <w:tcBorders>
              <w:right w:val="single" w:sz="4" w:space="0" w:color="auto"/>
            </w:tcBorders>
            <w:shd w:val="clear" w:color="auto" w:fill="D9D9D9"/>
            <w:hideMark/>
          </w:tcPr>
          <w:p w14:paraId="5DF6032F" w14:textId="77777777" w:rsidR="002A4DDF" w:rsidRPr="00937C8B" w:rsidRDefault="002A4DDF" w:rsidP="009110ED">
            <w:pPr>
              <w:rPr>
                <w:rFonts w:ascii="Arial" w:hAnsi="Arial" w:cs="Arial"/>
                <w:sz w:val="12"/>
                <w:szCs w:val="12"/>
              </w:rPr>
            </w:pPr>
          </w:p>
        </w:tc>
      </w:tr>
      <w:tr w:rsidR="002A4DDF" w:rsidRPr="00937C8B" w14:paraId="2B68A98C" w14:textId="77777777" w:rsidTr="00935676">
        <w:trPr>
          <w:cantSplit/>
        </w:trPr>
        <w:tc>
          <w:tcPr>
            <w:tcW w:w="1696" w:type="dxa"/>
            <w:tcBorders>
              <w:left w:val="single" w:sz="4" w:space="0" w:color="auto"/>
            </w:tcBorders>
            <w:shd w:val="clear" w:color="auto" w:fill="auto"/>
          </w:tcPr>
          <w:p w14:paraId="0C7B0553" w14:textId="77777777" w:rsidR="002A4DDF" w:rsidRPr="00937C8B" w:rsidRDefault="002A4DDF" w:rsidP="009110ED">
            <w:pPr>
              <w:rPr>
                <w:rFonts w:ascii="Arial" w:hAnsi="Arial" w:cs="Arial"/>
                <w:sz w:val="12"/>
                <w:szCs w:val="12"/>
              </w:rPr>
            </w:pPr>
          </w:p>
        </w:tc>
        <w:tc>
          <w:tcPr>
            <w:tcW w:w="1843" w:type="dxa"/>
            <w:shd w:val="clear" w:color="auto" w:fill="auto"/>
          </w:tcPr>
          <w:p w14:paraId="6687FA19" w14:textId="77777777" w:rsidR="002A4DDF" w:rsidRPr="00937C8B" w:rsidRDefault="002A4DDF" w:rsidP="009110ED">
            <w:pPr>
              <w:rPr>
                <w:rFonts w:ascii="Arial" w:hAnsi="Arial" w:cs="Arial"/>
                <w:sz w:val="12"/>
                <w:szCs w:val="12"/>
              </w:rPr>
            </w:pPr>
          </w:p>
        </w:tc>
        <w:tc>
          <w:tcPr>
            <w:tcW w:w="2268" w:type="dxa"/>
            <w:shd w:val="clear" w:color="auto" w:fill="F2F2F2"/>
            <w:hideMark/>
          </w:tcPr>
          <w:p w14:paraId="09926CB9" w14:textId="77777777" w:rsidR="002A4DDF" w:rsidRPr="00937C8B" w:rsidRDefault="002A4DDF" w:rsidP="009110ED">
            <w:pPr>
              <w:rPr>
                <w:rFonts w:ascii="Arial" w:hAnsi="Arial" w:cs="Arial"/>
                <w:sz w:val="12"/>
                <w:szCs w:val="12"/>
              </w:rPr>
            </w:pPr>
            <w:r>
              <w:rPr>
                <w:rFonts w:ascii="Arial" w:hAnsi="Arial"/>
                <w:sz w:val="12"/>
                <w:szCs w:val="12"/>
              </w:rPr>
              <w:t>Lloret de Vistalegre</w:t>
            </w:r>
          </w:p>
        </w:tc>
        <w:tc>
          <w:tcPr>
            <w:tcW w:w="2268" w:type="dxa"/>
            <w:tcBorders>
              <w:right w:val="single" w:sz="4" w:space="0" w:color="auto"/>
            </w:tcBorders>
            <w:shd w:val="clear" w:color="auto" w:fill="D9D9D9"/>
            <w:hideMark/>
          </w:tcPr>
          <w:p w14:paraId="5161AE4D" w14:textId="77777777" w:rsidR="002A4DDF" w:rsidRPr="00937C8B" w:rsidRDefault="002A4DDF" w:rsidP="009110ED">
            <w:pPr>
              <w:rPr>
                <w:rFonts w:ascii="Arial" w:hAnsi="Arial" w:cs="Arial"/>
                <w:sz w:val="12"/>
                <w:szCs w:val="12"/>
              </w:rPr>
            </w:pPr>
          </w:p>
        </w:tc>
      </w:tr>
      <w:tr w:rsidR="002A4DDF" w:rsidRPr="00937C8B" w14:paraId="1D6FBCAA" w14:textId="77777777" w:rsidTr="00935676">
        <w:trPr>
          <w:cantSplit/>
        </w:trPr>
        <w:tc>
          <w:tcPr>
            <w:tcW w:w="1696" w:type="dxa"/>
            <w:tcBorders>
              <w:left w:val="single" w:sz="4" w:space="0" w:color="auto"/>
            </w:tcBorders>
            <w:shd w:val="clear" w:color="auto" w:fill="auto"/>
          </w:tcPr>
          <w:p w14:paraId="693D3713" w14:textId="77777777" w:rsidR="002A4DDF" w:rsidRPr="00937C8B" w:rsidRDefault="002A4DDF" w:rsidP="009110ED">
            <w:pPr>
              <w:rPr>
                <w:rFonts w:ascii="Arial" w:hAnsi="Arial" w:cs="Arial"/>
                <w:sz w:val="12"/>
                <w:szCs w:val="12"/>
              </w:rPr>
            </w:pPr>
          </w:p>
        </w:tc>
        <w:tc>
          <w:tcPr>
            <w:tcW w:w="1843" w:type="dxa"/>
            <w:shd w:val="clear" w:color="auto" w:fill="auto"/>
          </w:tcPr>
          <w:p w14:paraId="6C76BE39" w14:textId="77777777" w:rsidR="002A4DDF" w:rsidRPr="00937C8B" w:rsidRDefault="002A4DDF" w:rsidP="009110ED">
            <w:pPr>
              <w:rPr>
                <w:rFonts w:ascii="Arial" w:hAnsi="Arial" w:cs="Arial"/>
                <w:sz w:val="12"/>
                <w:szCs w:val="12"/>
              </w:rPr>
            </w:pPr>
          </w:p>
        </w:tc>
        <w:tc>
          <w:tcPr>
            <w:tcW w:w="2268" w:type="dxa"/>
            <w:shd w:val="clear" w:color="auto" w:fill="F2F2F2"/>
            <w:hideMark/>
          </w:tcPr>
          <w:p w14:paraId="226C873F" w14:textId="77777777" w:rsidR="002A4DDF" w:rsidRPr="00937C8B" w:rsidRDefault="002A4DDF" w:rsidP="009110ED">
            <w:pPr>
              <w:rPr>
                <w:rFonts w:ascii="Arial" w:hAnsi="Arial" w:cs="Arial"/>
                <w:sz w:val="12"/>
                <w:szCs w:val="12"/>
              </w:rPr>
            </w:pPr>
            <w:r>
              <w:rPr>
                <w:rFonts w:ascii="Arial" w:hAnsi="Arial"/>
                <w:sz w:val="12"/>
                <w:szCs w:val="12"/>
              </w:rPr>
              <w:t>Lloseta</w:t>
            </w:r>
          </w:p>
        </w:tc>
        <w:tc>
          <w:tcPr>
            <w:tcW w:w="2268" w:type="dxa"/>
            <w:tcBorders>
              <w:right w:val="single" w:sz="4" w:space="0" w:color="auto"/>
            </w:tcBorders>
            <w:shd w:val="clear" w:color="auto" w:fill="D9D9D9"/>
            <w:hideMark/>
          </w:tcPr>
          <w:p w14:paraId="388D3D26" w14:textId="77777777" w:rsidR="002A4DDF" w:rsidRPr="00937C8B" w:rsidRDefault="002A4DDF" w:rsidP="009110ED">
            <w:pPr>
              <w:rPr>
                <w:rFonts w:ascii="Arial" w:hAnsi="Arial" w:cs="Arial"/>
                <w:sz w:val="12"/>
                <w:szCs w:val="12"/>
              </w:rPr>
            </w:pPr>
          </w:p>
        </w:tc>
      </w:tr>
      <w:tr w:rsidR="002A4DDF" w:rsidRPr="00937C8B" w14:paraId="16536BC1" w14:textId="77777777" w:rsidTr="00935676">
        <w:trPr>
          <w:cantSplit/>
        </w:trPr>
        <w:tc>
          <w:tcPr>
            <w:tcW w:w="1696" w:type="dxa"/>
            <w:tcBorders>
              <w:left w:val="single" w:sz="4" w:space="0" w:color="auto"/>
            </w:tcBorders>
            <w:shd w:val="clear" w:color="auto" w:fill="auto"/>
          </w:tcPr>
          <w:p w14:paraId="62A581C6" w14:textId="77777777" w:rsidR="002A4DDF" w:rsidRPr="00937C8B" w:rsidRDefault="002A4DDF" w:rsidP="009110ED">
            <w:pPr>
              <w:rPr>
                <w:rFonts w:ascii="Arial" w:hAnsi="Arial" w:cs="Arial"/>
                <w:sz w:val="12"/>
                <w:szCs w:val="12"/>
              </w:rPr>
            </w:pPr>
          </w:p>
        </w:tc>
        <w:tc>
          <w:tcPr>
            <w:tcW w:w="1843" w:type="dxa"/>
            <w:shd w:val="clear" w:color="auto" w:fill="auto"/>
          </w:tcPr>
          <w:p w14:paraId="027075BB" w14:textId="77777777" w:rsidR="002A4DDF" w:rsidRPr="00937C8B" w:rsidRDefault="002A4DDF" w:rsidP="009110ED">
            <w:pPr>
              <w:rPr>
                <w:rFonts w:ascii="Arial" w:hAnsi="Arial" w:cs="Arial"/>
                <w:sz w:val="12"/>
                <w:szCs w:val="12"/>
              </w:rPr>
            </w:pPr>
          </w:p>
        </w:tc>
        <w:tc>
          <w:tcPr>
            <w:tcW w:w="2268" w:type="dxa"/>
            <w:shd w:val="clear" w:color="auto" w:fill="F2F2F2"/>
            <w:hideMark/>
          </w:tcPr>
          <w:p w14:paraId="2F613085" w14:textId="77777777" w:rsidR="002A4DDF" w:rsidRPr="00937C8B" w:rsidRDefault="002A4DDF" w:rsidP="009110ED">
            <w:pPr>
              <w:rPr>
                <w:rFonts w:ascii="Arial" w:hAnsi="Arial" w:cs="Arial"/>
                <w:sz w:val="12"/>
                <w:szCs w:val="12"/>
              </w:rPr>
            </w:pPr>
            <w:r>
              <w:rPr>
                <w:rFonts w:ascii="Arial" w:hAnsi="Arial"/>
                <w:sz w:val="12"/>
                <w:szCs w:val="12"/>
              </w:rPr>
              <w:t>Manacor</w:t>
            </w:r>
          </w:p>
        </w:tc>
        <w:tc>
          <w:tcPr>
            <w:tcW w:w="2268" w:type="dxa"/>
            <w:tcBorders>
              <w:right w:val="single" w:sz="4" w:space="0" w:color="auto"/>
            </w:tcBorders>
            <w:shd w:val="clear" w:color="auto" w:fill="D9D9D9"/>
            <w:hideMark/>
          </w:tcPr>
          <w:p w14:paraId="3E8F30E4" w14:textId="77777777" w:rsidR="002A4DDF" w:rsidRPr="00937C8B" w:rsidRDefault="002A4DDF" w:rsidP="009110ED">
            <w:pPr>
              <w:rPr>
                <w:rFonts w:ascii="Arial" w:hAnsi="Arial" w:cs="Arial"/>
                <w:sz w:val="12"/>
                <w:szCs w:val="12"/>
              </w:rPr>
            </w:pPr>
          </w:p>
        </w:tc>
      </w:tr>
      <w:tr w:rsidR="002A4DDF" w:rsidRPr="00937C8B" w14:paraId="61FD7172" w14:textId="77777777" w:rsidTr="00935676">
        <w:trPr>
          <w:cantSplit/>
        </w:trPr>
        <w:tc>
          <w:tcPr>
            <w:tcW w:w="1696" w:type="dxa"/>
            <w:tcBorders>
              <w:left w:val="single" w:sz="4" w:space="0" w:color="auto"/>
            </w:tcBorders>
            <w:shd w:val="clear" w:color="auto" w:fill="auto"/>
          </w:tcPr>
          <w:p w14:paraId="1959852F" w14:textId="77777777" w:rsidR="002A4DDF" w:rsidRPr="00937C8B" w:rsidRDefault="002A4DDF" w:rsidP="009110ED">
            <w:pPr>
              <w:rPr>
                <w:rFonts w:ascii="Arial" w:hAnsi="Arial" w:cs="Arial"/>
                <w:sz w:val="12"/>
                <w:szCs w:val="12"/>
              </w:rPr>
            </w:pPr>
          </w:p>
        </w:tc>
        <w:tc>
          <w:tcPr>
            <w:tcW w:w="1843" w:type="dxa"/>
            <w:shd w:val="clear" w:color="auto" w:fill="auto"/>
          </w:tcPr>
          <w:p w14:paraId="1A572D26" w14:textId="77777777" w:rsidR="002A4DDF" w:rsidRPr="00937C8B" w:rsidRDefault="002A4DDF" w:rsidP="009110ED">
            <w:pPr>
              <w:rPr>
                <w:rFonts w:ascii="Arial" w:hAnsi="Arial" w:cs="Arial"/>
                <w:sz w:val="12"/>
                <w:szCs w:val="12"/>
              </w:rPr>
            </w:pPr>
          </w:p>
        </w:tc>
        <w:tc>
          <w:tcPr>
            <w:tcW w:w="2268" w:type="dxa"/>
            <w:shd w:val="clear" w:color="auto" w:fill="F2F2F2"/>
            <w:hideMark/>
          </w:tcPr>
          <w:p w14:paraId="1D6BD2D0" w14:textId="77777777" w:rsidR="002A4DDF" w:rsidRPr="00937C8B" w:rsidRDefault="002A4DDF" w:rsidP="009110ED">
            <w:pPr>
              <w:rPr>
                <w:rFonts w:ascii="Arial" w:hAnsi="Arial" w:cs="Arial"/>
                <w:sz w:val="12"/>
                <w:szCs w:val="12"/>
              </w:rPr>
            </w:pPr>
            <w:r>
              <w:rPr>
                <w:rFonts w:ascii="Arial" w:hAnsi="Arial"/>
                <w:sz w:val="12"/>
                <w:szCs w:val="12"/>
              </w:rPr>
              <w:t>Montuïri</w:t>
            </w:r>
          </w:p>
        </w:tc>
        <w:tc>
          <w:tcPr>
            <w:tcW w:w="2268" w:type="dxa"/>
            <w:tcBorders>
              <w:right w:val="single" w:sz="4" w:space="0" w:color="auto"/>
            </w:tcBorders>
            <w:shd w:val="clear" w:color="auto" w:fill="D9D9D9"/>
            <w:hideMark/>
          </w:tcPr>
          <w:p w14:paraId="4C833E64" w14:textId="77777777" w:rsidR="002A4DDF" w:rsidRPr="00937C8B" w:rsidRDefault="002A4DDF" w:rsidP="009110ED">
            <w:pPr>
              <w:rPr>
                <w:rFonts w:ascii="Arial" w:hAnsi="Arial" w:cs="Arial"/>
                <w:sz w:val="12"/>
                <w:szCs w:val="12"/>
              </w:rPr>
            </w:pPr>
          </w:p>
        </w:tc>
      </w:tr>
      <w:tr w:rsidR="002A4DDF" w:rsidRPr="00937C8B" w14:paraId="0646163F" w14:textId="77777777" w:rsidTr="00935676">
        <w:trPr>
          <w:cantSplit/>
        </w:trPr>
        <w:tc>
          <w:tcPr>
            <w:tcW w:w="1696" w:type="dxa"/>
            <w:tcBorders>
              <w:left w:val="single" w:sz="4" w:space="0" w:color="auto"/>
            </w:tcBorders>
            <w:shd w:val="clear" w:color="auto" w:fill="auto"/>
          </w:tcPr>
          <w:p w14:paraId="52F60A90" w14:textId="77777777" w:rsidR="002A4DDF" w:rsidRPr="00937C8B" w:rsidRDefault="002A4DDF" w:rsidP="009110ED">
            <w:pPr>
              <w:rPr>
                <w:rFonts w:ascii="Arial" w:hAnsi="Arial" w:cs="Arial"/>
                <w:sz w:val="12"/>
                <w:szCs w:val="12"/>
              </w:rPr>
            </w:pPr>
          </w:p>
        </w:tc>
        <w:tc>
          <w:tcPr>
            <w:tcW w:w="1843" w:type="dxa"/>
            <w:shd w:val="clear" w:color="auto" w:fill="auto"/>
          </w:tcPr>
          <w:p w14:paraId="44002295" w14:textId="77777777" w:rsidR="002A4DDF" w:rsidRPr="00937C8B" w:rsidRDefault="002A4DDF" w:rsidP="009110ED">
            <w:pPr>
              <w:rPr>
                <w:rFonts w:ascii="Arial" w:hAnsi="Arial" w:cs="Arial"/>
                <w:sz w:val="12"/>
                <w:szCs w:val="12"/>
              </w:rPr>
            </w:pPr>
          </w:p>
        </w:tc>
        <w:tc>
          <w:tcPr>
            <w:tcW w:w="2268" w:type="dxa"/>
            <w:shd w:val="clear" w:color="auto" w:fill="F2F2F2"/>
            <w:hideMark/>
          </w:tcPr>
          <w:p w14:paraId="543B9A06" w14:textId="77777777" w:rsidR="002A4DDF" w:rsidRPr="00937C8B" w:rsidRDefault="002A4DDF" w:rsidP="009110ED">
            <w:pPr>
              <w:rPr>
                <w:rFonts w:ascii="Arial" w:hAnsi="Arial" w:cs="Arial"/>
                <w:sz w:val="12"/>
                <w:szCs w:val="12"/>
              </w:rPr>
            </w:pPr>
            <w:r>
              <w:rPr>
                <w:rFonts w:ascii="Arial" w:hAnsi="Arial"/>
                <w:sz w:val="12"/>
                <w:szCs w:val="12"/>
              </w:rPr>
              <w:t>Sant Antoni de Portmany</w:t>
            </w:r>
          </w:p>
        </w:tc>
        <w:tc>
          <w:tcPr>
            <w:tcW w:w="2268" w:type="dxa"/>
            <w:tcBorders>
              <w:right w:val="single" w:sz="4" w:space="0" w:color="auto"/>
            </w:tcBorders>
            <w:shd w:val="clear" w:color="auto" w:fill="D9D9D9"/>
            <w:hideMark/>
          </w:tcPr>
          <w:p w14:paraId="0D90C79A" w14:textId="77777777" w:rsidR="002A4DDF" w:rsidRPr="00937C8B" w:rsidRDefault="002A4DDF" w:rsidP="009110ED">
            <w:pPr>
              <w:rPr>
                <w:rFonts w:ascii="Arial" w:hAnsi="Arial" w:cs="Arial"/>
                <w:sz w:val="12"/>
                <w:szCs w:val="12"/>
              </w:rPr>
            </w:pPr>
          </w:p>
        </w:tc>
      </w:tr>
      <w:tr w:rsidR="002A4DDF" w:rsidRPr="00937C8B" w14:paraId="7F89A737" w14:textId="77777777" w:rsidTr="00935676">
        <w:trPr>
          <w:cantSplit/>
        </w:trPr>
        <w:tc>
          <w:tcPr>
            <w:tcW w:w="1696" w:type="dxa"/>
            <w:tcBorders>
              <w:left w:val="single" w:sz="4" w:space="0" w:color="auto"/>
            </w:tcBorders>
            <w:shd w:val="clear" w:color="auto" w:fill="auto"/>
          </w:tcPr>
          <w:p w14:paraId="49D0244F" w14:textId="77777777" w:rsidR="002A4DDF" w:rsidRPr="00937C8B" w:rsidRDefault="002A4DDF" w:rsidP="009110ED">
            <w:pPr>
              <w:rPr>
                <w:rFonts w:ascii="Arial" w:hAnsi="Arial" w:cs="Arial"/>
                <w:sz w:val="12"/>
                <w:szCs w:val="12"/>
              </w:rPr>
            </w:pPr>
          </w:p>
        </w:tc>
        <w:tc>
          <w:tcPr>
            <w:tcW w:w="1843" w:type="dxa"/>
            <w:shd w:val="clear" w:color="auto" w:fill="auto"/>
          </w:tcPr>
          <w:p w14:paraId="510DD818" w14:textId="77777777" w:rsidR="002A4DDF" w:rsidRPr="00937C8B" w:rsidRDefault="002A4DDF" w:rsidP="009110ED">
            <w:pPr>
              <w:rPr>
                <w:rFonts w:ascii="Arial" w:hAnsi="Arial" w:cs="Arial"/>
                <w:sz w:val="12"/>
                <w:szCs w:val="12"/>
              </w:rPr>
            </w:pPr>
          </w:p>
        </w:tc>
        <w:tc>
          <w:tcPr>
            <w:tcW w:w="2268" w:type="dxa"/>
            <w:shd w:val="clear" w:color="auto" w:fill="F2F2F2"/>
            <w:hideMark/>
          </w:tcPr>
          <w:p w14:paraId="1B27F20E" w14:textId="77777777" w:rsidR="002A4DDF" w:rsidRPr="00937C8B" w:rsidRDefault="002A4DDF" w:rsidP="009110ED">
            <w:pPr>
              <w:rPr>
                <w:rFonts w:ascii="Arial" w:hAnsi="Arial" w:cs="Arial"/>
                <w:sz w:val="12"/>
                <w:szCs w:val="12"/>
              </w:rPr>
            </w:pPr>
            <w:r>
              <w:rPr>
                <w:rFonts w:ascii="Arial" w:hAnsi="Arial"/>
                <w:sz w:val="12"/>
                <w:szCs w:val="12"/>
              </w:rPr>
              <w:t>Sant Joan</w:t>
            </w:r>
          </w:p>
        </w:tc>
        <w:tc>
          <w:tcPr>
            <w:tcW w:w="2268" w:type="dxa"/>
            <w:tcBorders>
              <w:right w:val="single" w:sz="4" w:space="0" w:color="auto"/>
            </w:tcBorders>
            <w:shd w:val="clear" w:color="auto" w:fill="D9D9D9"/>
            <w:hideMark/>
          </w:tcPr>
          <w:p w14:paraId="667DB4B0" w14:textId="77777777" w:rsidR="002A4DDF" w:rsidRPr="00937C8B" w:rsidRDefault="002A4DDF" w:rsidP="009110ED">
            <w:pPr>
              <w:rPr>
                <w:rFonts w:ascii="Arial" w:hAnsi="Arial" w:cs="Arial"/>
                <w:sz w:val="12"/>
                <w:szCs w:val="12"/>
              </w:rPr>
            </w:pPr>
          </w:p>
        </w:tc>
      </w:tr>
      <w:tr w:rsidR="002A4DDF" w:rsidRPr="00937C8B" w14:paraId="663DD830" w14:textId="77777777" w:rsidTr="00935676">
        <w:trPr>
          <w:cantSplit/>
        </w:trPr>
        <w:tc>
          <w:tcPr>
            <w:tcW w:w="1696" w:type="dxa"/>
            <w:tcBorders>
              <w:left w:val="single" w:sz="4" w:space="0" w:color="auto"/>
            </w:tcBorders>
            <w:shd w:val="clear" w:color="auto" w:fill="auto"/>
          </w:tcPr>
          <w:p w14:paraId="5EE0DCAB" w14:textId="77777777" w:rsidR="002A4DDF" w:rsidRPr="00937C8B" w:rsidRDefault="002A4DDF" w:rsidP="009110ED">
            <w:pPr>
              <w:rPr>
                <w:rFonts w:ascii="Arial" w:hAnsi="Arial" w:cs="Arial"/>
                <w:sz w:val="12"/>
                <w:szCs w:val="12"/>
              </w:rPr>
            </w:pPr>
          </w:p>
        </w:tc>
        <w:tc>
          <w:tcPr>
            <w:tcW w:w="1843" w:type="dxa"/>
            <w:shd w:val="clear" w:color="auto" w:fill="auto"/>
          </w:tcPr>
          <w:p w14:paraId="737E7757" w14:textId="77777777" w:rsidR="002A4DDF" w:rsidRPr="00937C8B" w:rsidRDefault="002A4DDF" w:rsidP="009110ED">
            <w:pPr>
              <w:rPr>
                <w:rFonts w:ascii="Arial" w:hAnsi="Arial" w:cs="Arial"/>
                <w:sz w:val="12"/>
                <w:szCs w:val="12"/>
              </w:rPr>
            </w:pPr>
          </w:p>
        </w:tc>
        <w:tc>
          <w:tcPr>
            <w:tcW w:w="2268" w:type="dxa"/>
            <w:shd w:val="clear" w:color="auto" w:fill="F2F2F2"/>
            <w:hideMark/>
          </w:tcPr>
          <w:p w14:paraId="55B54209" w14:textId="77777777" w:rsidR="002A4DDF" w:rsidRPr="00937C8B" w:rsidRDefault="002A4DDF" w:rsidP="009110ED">
            <w:pPr>
              <w:rPr>
                <w:rFonts w:ascii="Arial" w:hAnsi="Arial" w:cs="Arial"/>
                <w:sz w:val="12"/>
                <w:szCs w:val="12"/>
              </w:rPr>
            </w:pPr>
            <w:r>
              <w:rPr>
                <w:rFonts w:ascii="Arial" w:hAnsi="Arial"/>
                <w:sz w:val="12"/>
                <w:szCs w:val="12"/>
              </w:rPr>
              <w:t>Sant Joan de Labritja</w:t>
            </w:r>
          </w:p>
        </w:tc>
        <w:tc>
          <w:tcPr>
            <w:tcW w:w="2268" w:type="dxa"/>
            <w:tcBorders>
              <w:right w:val="single" w:sz="4" w:space="0" w:color="auto"/>
            </w:tcBorders>
            <w:shd w:val="clear" w:color="auto" w:fill="D9D9D9"/>
            <w:hideMark/>
          </w:tcPr>
          <w:p w14:paraId="25B32FCF" w14:textId="77777777" w:rsidR="002A4DDF" w:rsidRPr="00937C8B" w:rsidRDefault="002A4DDF" w:rsidP="009110ED">
            <w:pPr>
              <w:rPr>
                <w:rFonts w:ascii="Arial" w:hAnsi="Arial" w:cs="Arial"/>
                <w:sz w:val="12"/>
                <w:szCs w:val="12"/>
              </w:rPr>
            </w:pPr>
          </w:p>
        </w:tc>
      </w:tr>
      <w:tr w:rsidR="002A4DDF" w:rsidRPr="00937C8B" w14:paraId="7D704C8A" w14:textId="77777777" w:rsidTr="00935676">
        <w:trPr>
          <w:cantSplit/>
        </w:trPr>
        <w:tc>
          <w:tcPr>
            <w:tcW w:w="1696" w:type="dxa"/>
            <w:tcBorders>
              <w:left w:val="single" w:sz="4" w:space="0" w:color="auto"/>
            </w:tcBorders>
            <w:shd w:val="clear" w:color="auto" w:fill="auto"/>
          </w:tcPr>
          <w:p w14:paraId="6D9B87EB" w14:textId="77777777" w:rsidR="002A4DDF" w:rsidRPr="00937C8B" w:rsidRDefault="002A4DDF" w:rsidP="009110ED">
            <w:pPr>
              <w:rPr>
                <w:rFonts w:ascii="Arial" w:hAnsi="Arial" w:cs="Arial"/>
                <w:sz w:val="12"/>
                <w:szCs w:val="12"/>
              </w:rPr>
            </w:pPr>
          </w:p>
        </w:tc>
        <w:tc>
          <w:tcPr>
            <w:tcW w:w="1843" w:type="dxa"/>
            <w:shd w:val="clear" w:color="auto" w:fill="auto"/>
          </w:tcPr>
          <w:p w14:paraId="02BA4473" w14:textId="77777777" w:rsidR="002A4DDF" w:rsidRPr="00937C8B" w:rsidRDefault="002A4DDF" w:rsidP="009110ED">
            <w:pPr>
              <w:rPr>
                <w:rFonts w:ascii="Arial" w:hAnsi="Arial" w:cs="Arial"/>
                <w:sz w:val="12"/>
                <w:szCs w:val="12"/>
              </w:rPr>
            </w:pPr>
          </w:p>
        </w:tc>
        <w:tc>
          <w:tcPr>
            <w:tcW w:w="2268" w:type="dxa"/>
            <w:shd w:val="clear" w:color="auto" w:fill="F2F2F2"/>
            <w:hideMark/>
          </w:tcPr>
          <w:p w14:paraId="3EE0AFD7" w14:textId="77777777" w:rsidR="002A4DDF" w:rsidRPr="00937C8B" w:rsidRDefault="002A4DDF" w:rsidP="009110ED">
            <w:pPr>
              <w:rPr>
                <w:rFonts w:ascii="Arial" w:hAnsi="Arial" w:cs="Arial"/>
                <w:sz w:val="12"/>
                <w:szCs w:val="12"/>
              </w:rPr>
            </w:pPr>
            <w:r>
              <w:rPr>
                <w:rFonts w:ascii="Arial" w:hAnsi="Arial"/>
                <w:sz w:val="12"/>
                <w:szCs w:val="12"/>
              </w:rPr>
              <w:t>Sant Llorenç des Cardassar</w:t>
            </w:r>
          </w:p>
        </w:tc>
        <w:tc>
          <w:tcPr>
            <w:tcW w:w="2268" w:type="dxa"/>
            <w:tcBorders>
              <w:right w:val="single" w:sz="4" w:space="0" w:color="auto"/>
            </w:tcBorders>
            <w:shd w:val="clear" w:color="auto" w:fill="D9D9D9"/>
            <w:hideMark/>
          </w:tcPr>
          <w:p w14:paraId="4CC6B08F" w14:textId="77777777" w:rsidR="002A4DDF" w:rsidRPr="00937C8B" w:rsidRDefault="002A4DDF" w:rsidP="009110ED">
            <w:pPr>
              <w:rPr>
                <w:rFonts w:ascii="Arial" w:hAnsi="Arial" w:cs="Arial"/>
                <w:sz w:val="12"/>
                <w:szCs w:val="12"/>
              </w:rPr>
            </w:pPr>
          </w:p>
        </w:tc>
      </w:tr>
      <w:tr w:rsidR="002A4DDF" w:rsidRPr="00937C8B" w14:paraId="7676A85F" w14:textId="77777777" w:rsidTr="00935676">
        <w:trPr>
          <w:cantSplit/>
        </w:trPr>
        <w:tc>
          <w:tcPr>
            <w:tcW w:w="1696" w:type="dxa"/>
            <w:tcBorders>
              <w:left w:val="single" w:sz="4" w:space="0" w:color="auto"/>
            </w:tcBorders>
            <w:shd w:val="clear" w:color="auto" w:fill="auto"/>
          </w:tcPr>
          <w:p w14:paraId="58354E3B" w14:textId="77777777" w:rsidR="002A4DDF" w:rsidRPr="00937C8B" w:rsidRDefault="002A4DDF" w:rsidP="009110ED">
            <w:pPr>
              <w:rPr>
                <w:rFonts w:ascii="Arial" w:hAnsi="Arial" w:cs="Arial"/>
                <w:sz w:val="12"/>
                <w:szCs w:val="12"/>
              </w:rPr>
            </w:pPr>
          </w:p>
        </w:tc>
        <w:tc>
          <w:tcPr>
            <w:tcW w:w="1843" w:type="dxa"/>
            <w:shd w:val="clear" w:color="auto" w:fill="auto"/>
          </w:tcPr>
          <w:p w14:paraId="10071044" w14:textId="77777777" w:rsidR="002A4DDF" w:rsidRPr="00937C8B" w:rsidRDefault="002A4DDF" w:rsidP="009110ED">
            <w:pPr>
              <w:rPr>
                <w:rFonts w:ascii="Arial" w:hAnsi="Arial" w:cs="Arial"/>
                <w:sz w:val="12"/>
                <w:szCs w:val="12"/>
              </w:rPr>
            </w:pPr>
          </w:p>
        </w:tc>
        <w:tc>
          <w:tcPr>
            <w:tcW w:w="2268" w:type="dxa"/>
            <w:shd w:val="clear" w:color="auto" w:fill="F2F2F2"/>
            <w:hideMark/>
          </w:tcPr>
          <w:p w14:paraId="7A07CA94" w14:textId="77777777" w:rsidR="002A4DDF" w:rsidRPr="00937C8B" w:rsidRDefault="002A4DDF" w:rsidP="009110ED">
            <w:pPr>
              <w:rPr>
                <w:rFonts w:ascii="Arial" w:hAnsi="Arial" w:cs="Arial"/>
                <w:sz w:val="12"/>
                <w:szCs w:val="12"/>
              </w:rPr>
            </w:pPr>
            <w:r>
              <w:rPr>
                <w:rFonts w:ascii="Arial" w:hAnsi="Arial"/>
                <w:sz w:val="12"/>
                <w:szCs w:val="12"/>
              </w:rPr>
              <w:t>Santa Eulària des Riu</w:t>
            </w:r>
          </w:p>
        </w:tc>
        <w:tc>
          <w:tcPr>
            <w:tcW w:w="2268" w:type="dxa"/>
            <w:tcBorders>
              <w:right w:val="single" w:sz="4" w:space="0" w:color="auto"/>
            </w:tcBorders>
            <w:shd w:val="clear" w:color="auto" w:fill="D9D9D9"/>
            <w:hideMark/>
          </w:tcPr>
          <w:p w14:paraId="17F393B8" w14:textId="77777777" w:rsidR="002A4DDF" w:rsidRPr="00937C8B" w:rsidRDefault="002A4DDF" w:rsidP="009110ED">
            <w:pPr>
              <w:rPr>
                <w:rFonts w:ascii="Arial" w:hAnsi="Arial" w:cs="Arial"/>
                <w:sz w:val="12"/>
                <w:szCs w:val="12"/>
              </w:rPr>
            </w:pPr>
          </w:p>
        </w:tc>
      </w:tr>
      <w:tr w:rsidR="002A4DDF" w:rsidRPr="00937C8B" w14:paraId="25E721D6" w14:textId="77777777" w:rsidTr="00935676">
        <w:trPr>
          <w:cantSplit/>
        </w:trPr>
        <w:tc>
          <w:tcPr>
            <w:tcW w:w="1696" w:type="dxa"/>
            <w:tcBorders>
              <w:left w:val="single" w:sz="4" w:space="0" w:color="auto"/>
            </w:tcBorders>
            <w:shd w:val="clear" w:color="auto" w:fill="auto"/>
          </w:tcPr>
          <w:p w14:paraId="41263CFF" w14:textId="77777777" w:rsidR="002A4DDF" w:rsidRPr="00937C8B" w:rsidRDefault="002A4DDF" w:rsidP="009110ED">
            <w:pPr>
              <w:rPr>
                <w:rFonts w:ascii="Arial" w:hAnsi="Arial" w:cs="Arial"/>
                <w:sz w:val="12"/>
                <w:szCs w:val="12"/>
              </w:rPr>
            </w:pPr>
          </w:p>
        </w:tc>
        <w:tc>
          <w:tcPr>
            <w:tcW w:w="1843" w:type="dxa"/>
            <w:shd w:val="clear" w:color="auto" w:fill="auto"/>
          </w:tcPr>
          <w:p w14:paraId="72FEDF78" w14:textId="77777777" w:rsidR="002A4DDF" w:rsidRPr="00937C8B" w:rsidRDefault="002A4DDF" w:rsidP="009110ED">
            <w:pPr>
              <w:rPr>
                <w:rFonts w:ascii="Arial" w:hAnsi="Arial" w:cs="Arial"/>
                <w:sz w:val="12"/>
                <w:szCs w:val="12"/>
              </w:rPr>
            </w:pPr>
          </w:p>
        </w:tc>
        <w:tc>
          <w:tcPr>
            <w:tcW w:w="2268" w:type="dxa"/>
            <w:shd w:val="clear" w:color="auto" w:fill="F2F2F2"/>
            <w:hideMark/>
          </w:tcPr>
          <w:p w14:paraId="36D000D2" w14:textId="77777777" w:rsidR="002A4DDF" w:rsidRPr="00937C8B" w:rsidRDefault="002A4DDF" w:rsidP="009110ED">
            <w:pPr>
              <w:rPr>
                <w:rFonts w:ascii="Arial" w:hAnsi="Arial" w:cs="Arial"/>
                <w:sz w:val="12"/>
                <w:szCs w:val="12"/>
              </w:rPr>
            </w:pPr>
            <w:r>
              <w:rPr>
                <w:rFonts w:ascii="Arial" w:hAnsi="Arial"/>
                <w:sz w:val="12"/>
                <w:szCs w:val="12"/>
              </w:rPr>
              <w:t>Selva</w:t>
            </w:r>
          </w:p>
        </w:tc>
        <w:tc>
          <w:tcPr>
            <w:tcW w:w="2268" w:type="dxa"/>
            <w:tcBorders>
              <w:right w:val="single" w:sz="4" w:space="0" w:color="auto"/>
            </w:tcBorders>
            <w:shd w:val="clear" w:color="auto" w:fill="D9D9D9"/>
            <w:hideMark/>
          </w:tcPr>
          <w:p w14:paraId="64BC4670" w14:textId="77777777" w:rsidR="002A4DDF" w:rsidRPr="00937C8B" w:rsidRDefault="002A4DDF" w:rsidP="009110ED">
            <w:pPr>
              <w:rPr>
                <w:rFonts w:ascii="Arial" w:hAnsi="Arial" w:cs="Arial"/>
                <w:sz w:val="12"/>
                <w:szCs w:val="12"/>
              </w:rPr>
            </w:pPr>
          </w:p>
        </w:tc>
      </w:tr>
      <w:tr w:rsidR="002A4DDF" w:rsidRPr="00937C8B" w14:paraId="7B71C55F" w14:textId="77777777" w:rsidTr="00935676">
        <w:trPr>
          <w:cantSplit/>
        </w:trPr>
        <w:tc>
          <w:tcPr>
            <w:tcW w:w="1696" w:type="dxa"/>
            <w:tcBorders>
              <w:left w:val="single" w:sz="4" w:space="0" w:color="auto"/>
            </w:tcBorders>
            <w:shd w:val="clear" w:color="auto" w:fill="auto"/>
          </w:tcPr>
          <w:p w14:paraId="2F09DED8" w14:textId="77777777" w:rsidR="002A4DDF" w:rsidRPr="00937C8B" w:rsidRDefault="002A4DDF" w:rsidP="009110ED">
            <w:pPr>
              <w:rPr>
                <w:rFonts w:ascii="Arial" w:hAnsi="Arial" w:cs="Arial"/>
                <w:sz w:val="12"/>
                <w:szCs w:val="12"/>
              </w:rPr>
            </w:pPr>
          </w:p>
        </w:tc>
        <w:tc>
          <w:tcPr>
            <w:tcW w:w="1843" w:type="dxa"/>
            <w:shd w:val="clear" w:color="auto" w:fill="auto"/>
          </w:tcPr>
          <w:p w14:paraId="28B6BE9D" w14:textId="77777777" w:rsidR="002A4DDF" w:rsidRPr="00937C8B" w:rsidRDefault="002A4DDF" w:rsidP="009110ED">
            <w:pPr>
              <w:rPr>
                <w:rFonts w:ascii="Arial" w:hAnsi="Arial" w:cs="Arial"/>
                <w:sz w:val="12"/>
                <w:szCs w:val="12"/>
              </w:rPr>
            </w:pPr>
          </w:p>
        </w:tc>
        <w:tc>
          <w:tcPr>
            <w:tcW w:w="2268" w:type="dxa"/>
            <w:shd w:val="clear" w:color="auto" w:fill="F2F2F2"/>
            <w:hideMark/>
          </w:tcPr>
          <w:p w14:paraId="05BB6514" w14:textId="77777777" w:rsidR="002A4DDF" w:rsidRPr="00937C8B" w:rsidRDefault="002A4DDF" w:rsidP="009110ED">
            <w:pPr>
              <w:rPr>
                <w:rFonts w:ascii="Arial" w:hAnsi="Arial" w:cs="Arial"/>
                <w:sz w:val="12"/>
                <w:szCs w:val="12"/>
              </w:rPr>
            </w:pPr>
            <w:r>
              <w:rPr>
                <w:rFonts w:ascii="Arial" w:hAnsi="Arial"/>
                <w:sz w:val="12"/>
                <w:szCs w:val="12"/>
              </w:rPr>
              <w:t>ses Salines</w:t>
            </w:r>
          </w:p>
        </w:tc>
        <w:tc>
          <w:tcPr>
            <w:tcW w:w="2268" w:type="dxa"/>
            <w:tcBorders>
              <w:right w:val="single" w:sz="4" w:space="0" w:color="auto"/>
            </w:tcBorders>
            <w:shd w:val="clear" w:color="auto" w:fill="D9D9D9"/>
            <w:hideMark/>
          </w:tcPr>
          <w:p w14:paraId="01217428" w14:textId="77777777" w:rsidR="002A4DDF" w:rsidRPr="00937C8B" w:rsidRDefault="002A4DDF" w:rsidP="009110ED">
            <w:pPr>
              <w:rPr>
                <w:rFonts w:ascii="Arial" w:hAnsi="Arial" w:cs="Arial"/>
                <w:sz w:val="12"/>
                <w:szCs w:val="12"/>
              </w:rPr>
            </w:pPr>
          </w:p>
        </w:tc>
      </w:tr>
      <w:tr w:rsidR="002A4DDF" w:rsidRPr="00937C8B" w14:paraId="697EC6DA" w14:textId="77777777" w:rsidTr="00935676">
        <w:trPr>
          <w:cantSplit/>
        </w:trPr>
        <w:tc>
          <w:tcPr>
            <w:tcW w:w="1696" w:type="dxa"/>
            <w:tcBorders>
              <w:left w:val="single" w:sz="4" w:space="0" w:color="auto"/>
            </w:tcBorders>
            <w:shd w:val="clear" w:color="auto" w:fill="auto"/>
          </w:tcPr>
          <w:p w14:paraId="56ADB91C" w14:textId="77777777" w:rsidR="002A4DDF" w:rsidRPr="00937C8B" w:rsidRDefault="002A4DDF" w:rsidP="009110ED">
            <w:pPr>
              <w:rPr>
                <w:rFonts w:ascii="Arial" w:hAnsi="Arial" w:cs="Arial"/>
                <w:sz w:val="12"/>
                <w:szCs w:val="12"/>
              </w:rPr>
            </w:pPr>
          </w:p>
        </w:tc>
        <w:tc>
          <w:tcPr>
            <w:tcW w:w="1843" w:type="dxa"/>
            <w:shd w:val="clear" w:color="auto" w:fill="auto"/>
          </w:tcPr>
          <w:p w14:paraId="61A34641" w14:textId="77777777" w:rsidR="002A4DDF" w:rsidRPr="00937C8B" w:rsidRDefault="002A4DDF" w:rsidP="009110ED">
            <w:pPr>
              <w:rPr>
                <w:rFonts w:ascii="Arial" w:hAnsi="Arial" w:cs="Arial"/>
                <w:sz w:val="12"/>
                <w:szCs w:val="12"/>
              </w:rPr>
            </w:pPr>
          </w:p>
        </w:tc>
        <w:tc>
          <w:tcPr>
            <w:tcW w:w="2268" w:type="dxa"/>
            <w:shd w:val="clear" w:color="auto" w:fill="F2F2F2"/>
            <w:hideMark/>
          </w:tcPr>
          <w:p w14:paraId="4FCB18B5" w14:textId="77777777" w:rsidR="002A4DDF" w:rsidRPr="00937C8B" w:rsidRDefault="002A4DDF" w:rsidP="009110ED">
            <w:pPr>
              <w:rPr>
                <w:rFonts w:ascii="Arial" w:hAnsi="Arial" w:cs="Arial"/>
                <w:sz w:val="12"/>
                <w:szCs w:val="12"/>
              </w:rPr>
            </w:pPr>
            <w:r>
              <w:rPr>
                <w:rFonts w:ascii="Arial" w:hAnsi="Arial"/>
                <w:sz w:val="12"/>
                <w:szCs w:val="12"/>
              </w:rPr>
              <w:t>Sineu</w:t>
            </w:r>
          </w:p>
        </w:tc>
        <w:tc>
          <w:tcPr>
            <w:tcW w:w="2268" w:type="dxa"/>
            <w:tcBorders>
              <w:right w:val="single" w:sz="4" w:space="0" w:color="auto"/>
            </w:tcBorders>
            <w:shd w:val="clear" w:color="auto" w:fill="D9D9D9"/>
            <w:hideMark/>
          </w:tcPr>
          <w:p w14:paraId="3D7FC394" w14:textId="77777777" w:rsidR="002A4DDF" w:rsidRPr="00937C8B" w:rsidRDefault="002A4DDF" w:rsidP="009110ED">
            <w:pPr>
              <w:rPr>
                <w:rFonts w:ascii="Arial" w:hAnsi="Arial" w:cs="Arial"/>
                <w:sz w:val="12"/>
                <w:szCs w:val="12"/>
              </w:rPr>
            </w:pPr>
          </w:p>
        </w:tc>
      </w:tr>
      <w:tr w:rsidR="002A4DDF" w:rsidRPr="00937C8B" w14:paraId="35030529" w14:textId="77777777" w:rsidTr="00935676">
        <w:trPr>
          <w:cantSplit/>
        </w:trPr>
        <w:tc>
          <w:tcPr>
            <w:tcW w:w="1696" w:type="dxa"/>
            <w:tcBorders>
              <w:left w:val="single" w:sz="4" w:space="0" w:color="auto"/>
            </w:tcBorders>
            <w:shd w:val="clear" w:color="auto" w:fill="auto"/>
          </w:tcPr>
          <w:p w14:paraId="3F9F7AFA" w14:textId="77777777" w:rsidR="002A4DDF" w:rsidRPr="00937C8B" w:rsidRDefault="002A4DDF" w:rsidP="009110ED">
            <w:pPr>
              <w:rPr>
                <w:rFonts w:ascii="Arial" w:hAnsi="Arial" w:cs="Arial"/>
                <w:sz w:val="12"/>
                <w:szCs w:val="12"/>
              </w:rPr>
            </w:pPr>
          </w:p>
        </w:tc>
        <w:tc>
          <w:tcPr>
            <w:tcW w:w="1843" w:type="dxa"/>
            <w:shd w:val="clear" w:color="auto" w:fill="auto"/>
          </w:tcPr>
          <w:p w14:paraId="643DA43B" w14:textId="77777777" w:rsidR="002A4DDF" w:rsidRPr="00937C8B" w:rsidRDefault="002A4DDF" w:rsidP="009110ED">
            <w:pPr>
              <w:rPr>
                <w:rFonts w:ascii="Arial" w:hAnsi="Arial" w:cs="Arial"/>
                <w:sz w:val="12"/>
                <w:szCs w:val="12"/>
              </w:rPr>
            </w:pPr>
          </w:p>
        </w:tc>
        <w:tc>
          <w:tcPr>
            <w:tcW w:w="2268" w:type="dxa"/>
            <w:shd w:val="clear" w:color="auto" w:fill="F2F2F2"/>
            <w:hideMark/>
          </w:tcPr>
          <w:p w14:paraId="2BD25C5A" w14:textId="77777777" w:rsidR="002A4DDF" w:rsidRPr="00937C8B" w:rsidRDefault="002A4DDF" w:rsidP="009110ED">
            <w:pPr>
              <w:rPr>
                <w:rFonts w:ascii="Arial" w:hAnsi="Arial" w:cs="Arial"/>
                <w:sz w:val="12"/>
                <w:szCs w:val="12"/>
              </w:rPr>
            </w:pPr>
            <w:r>
              <w:rPr>
                <w:rFonts w:ascii="Arial" w:hAnsi="Arial"/>
                <w:sz w:val="12"/>
                <w:szCs w:val="12"/>
              </w:rPr>
              <w:t>Sóller</w:t>
            </w:r>
          </w:p>
        </w:tc>
        <w:tc>
          <w:tcPr>
            <w:tcW w:w="2268" w:type="dxa"/>
            <w:tcBorders>
              <w:right w:val="single" w:sz="4" w:space="0" w:color="auto"/>
            </w:tcBorders>
            <w:shd w:val="clear" w:color="auto" w:fill="D9D9D9"/>
            <w:hideMark/>
          </w:tcPr>
          <w:p w14:paraId="402DB845" w14:textId="77777777" w:rsidR="002A4DDF" w:rsidRPr="00937C8B" w:rsidRDefault="002A4DDF" w:rsidP="009110ED">
            <w:pPr>
              <w:rPr>
                <w:rFonts w:ascii="Arial" w:hAnsi="Arial" w:cs="Arial"/>
                <w:sz w:val="12"/>
                <w:szCs w:val="12"/>
              </w:rPr>
            </w:pPr>
          </w:p>
        </w:tc>
      </w:tr>
      <w:tr w:rsidR="002A4DDF" w:rsidRPr="00937C8B" w14:paraId="7D6C8276" w14:textId="77777777" w:rsidTr="00935676">
        <w:trPr>
          <w:cantSplit/>
        </w:trPr>
        <w:tc>
          <w:tcPr>
            <w:tcW w:w="1696" w:type="dxa"/>
            <w:tcBorders>
              <w:left w:val="single" w:sz="4" w:space="0" w:color="auto"/>
            </w:tcBorders>
            <w:shd w:val="clear" w:color="auto" w:fill="auto"/>
          </w:tcPr>
          <w:p w14:paraId="4FE9C46B" w14:textId="77777777" w:rsidR="002A4DDF" w:rsidRPr="00937C8B" w:rsidRDefault="002A4DDF" w:rsidP="009110ED">
            <w:pPr>
              <w:rPr>
                <w:rFonts w:ascii="Arial" w:hAnsi="Arial" w:cs="Arial"/>
                <w:sz w:val="12"/>
                <w:szCs w:val="12"/>
              </w:rPr>
            </w:pPr>
          </w:p>
        </w:tc>
        <w:tc>
          <w:tcPr>
            <w:tcW w:w="1843" w:type="dxa"/>
            <w:shd w:val="clear" w:color="auto" w:fill="auto"/>
          </w:tcPr>
          <w:p w14:paraId="5621247F" w14:textId="77777777" w:rsidR="002A4DDF" w:rsidRPr="00937C8B" w:rsidRDefault="002A4DDF" w:rsidP="009110ED">
            <w:pPr>
              <w:rPr>
                <w:rFonts w:ascii="Arial" w:hAnsi="Arial" w:cs="Arial"/>
                <w:sz w:val="12"/>
                <w:szCs w:val="12"/>
              </w:rPr>
            </w:pPr>
          </w:p>
        </w:tc>
        <w:tc>
          <w:tcPr>
            <w:tcW w:w="2268" w:type="dxa"/>
            <w:shd w:val="clear" w:color="auto" w:fill="F2F2F2"/>
            <w:hideMark/>
          </w:tcPr>
          <w:p w14:paraId="5081FDFE" w14:textId="77777777" w:rsidR="002A4DDF" w:rsidRPr="00937C8B" w:rsidRDefault="002A4DDF" w:rsidP="009110ED">
            <w:pPr>
              <w:rPr>
                <w:rFonts w:ascii="Arial" w:hAnsi="Arial" w:cs="Arial"/>
                <w:sz w:val="12"/>
                <w:szCs w:val="12"/>
              </w:rPr>
            </w:pPr>
            <w:r>
              <w:rPr>
                <w:rFonts w:ascii="Arial" w:hAnsi="Arial"/>
                <w:sz w:val="12"/>
                <w:szCs w:val="12"/>
              </w:rPr>
              <w:t>Son Servera</w:t>
            </w:r>
          </w:p>
        </w:tc>
        <w:tc>
          <w:tcPr>
            <w:tcW w:w="2268" w:type="dxa"/>
            <w:tcBorders>
              <w:right w:val="single" w:sz="4" w:space="0" w:color="auto"/>
            </w:tcBorders>
            <w:shd w:val="clear" w:color="auto" w:fill="D9D9D9"/>
            <w:hideMark/>
          </w:tcPr>
          <w:p w14:paraId="25F9DBA8" w14:textId="77777777" w:rsidR="002A4DDF" w:rsidRPr="00937C8B" w:rsidRDefault="002A4DDF" w:rsidP="009110ED">
            <w:pPr>
              <w:rPr>
                <w:rFonts w:ascii="Arial" w:hAnsi="Arial" w:cs="Arial"/>
                <w:sz w:val="12"/>
                <w:szCs w:val="12"/>
              </w:rPr>
            </w:pPr>
          </w:p>
        </w:tc>
      </w:tr>
      <w:tr w:rsidR="002A4DDF" w:rsidRPr="00937C8B" w14:paraId="795B17E3" w14:textId="77777777" w:rsidTr="00935676">
        <w:trPr>
          <w:cantSplit/>
        </w:trPr>
        <w:tc>
          <w:tcPr>
            <w:tcW w:w="1696" w:type="dxa"/>
            <w:tcBorders>
              <w:left w:val="single" w:sz="4" w:space="0" w:color="auto"/>
              <w:bottom w:val="single" w:sz="4" w:space="0" w:color="auto"/>
            </w:tcBorders>
            <w:shd w:val="clear" w:color="auto" w:fill="auto"/>
            <w:hideMark/>
          </w:tcPr>
          <w:p w14:paraId="46D5DF2E" w14:textId="77777777" w:rsidR="002A4DDF" w:rsidRPr="00937C8B" w:rsidRDefault="002A4DDF" w:rsidP="009110ED">
            <w:pPr>
              <w:rPr>
                <w:rFonts w:ascii="Arial" w:hAnsi="Arial" w:cs="Arial"/>
                <w:sz w:val="12"/>
                <w:szCs w:val="12"/>
              </w:rPr>
            </w:pPr>
            <w:r>
              <w:rPr>
                <w:rFonts w:ascii="Arial" w:hAnsi="Arial"/>
                <w:sz w:val="12"/>
                <w:szCs w:val="12"/>
              </w:rPr>
              <w:t>Îles Baléares</w:t>
            </w:r>
          </w:p>
        </w:tc>
        <w:tc>
          <w:tcPr>
            <w:tcW w:w="1843" w:type="dxa"/>
            <w:tcBorders>
              <w:bottom w:val="single" w:sz="4" w:space="0" w:color="auto"/>
            </w:tcBorders>
            <w:shd w:val="clear" w:color="auto" w:fill="auto"/>
            <w:hideMark/>
          </w:tcPr>
          <w:p w14:paraId="15DFBA5C" w14:textId="77777777" w:rsidR="002A4DDF" w:rsidRPr="00937C8B" w:rsidRDefault="002A4DDF" w:rsidP="009110ED">
            <w:pPr>
              <w:rPr>
                <w:rFonts w:ascii="Arial" w:hAnsi="Arial" w:cs="Arial"/>
                <w:sz w:val="12"/>
                <w:szCs w:val="12"/>
              </w:rPr>
            </w:pPr>
            <w:r>
              <w:rPr>
                <w:rFonts w:ascii="Arial" w:hAnsi="Arial"/>
                <w:sz w:val="12"/>
                <w:szCs w:val="12"/>
              </w:rPr>
              <w:t>Îles Baléares</w:t>
            </w:r>
          </w:p>
        </w:tc>
        <w:tc>
          <w:tcPr>
            <w:tcW w:w="2268" w:type="dxa"/>
            <w:tcBorders>
              <w:bottom w:val="single" w:sz="4" w:space="0" w:color="auto"/>
            </w:tcBorders>
            <w:shd w:val="clear" w:color="auto" w:fill="F2F2F2"/>
            <w:hideMark/>
          </w:tcPr>
          <w:p w14:paraId="42FD1C4F" w14:textId="77777777" w:rsidR="002A4DDF" w:rsidRPr="00937C8B" w:rsidRDefault="002A4DDF" w:rsidP="009110ED">
            <w:pPr>
              <w:rPr>
                <w:rFonts w:ascii="Arial" w:hAnsi="Arial" w:cs="Arial"/>
                <w:sz w:val="12"/>
                <w:szCs w:val="12"/>
              </w:rPr>
            </w:pPr>
            <w:r>
              <w:rPr>
                <w:rFonts w:ascii="Arial" w:hAnsi="Arial"/>
                <w:sz w:val="12"/>
                <w:szCs w:val="12"/>
              </w:rPr>
              <w:t>Valldemossa</w:t>
            </w:r>
          </w:p>
        </w:tc>
        <w:tc>
          <w:tcPr>
            <w:tcW w:w="2268" w:type="dxa"/>
            <w:tcBorders>
              <w:bottom w:val="single" w:sz="4" w:space="0" w:color="auto"/>
              <w:right w:val="single" w:sz="4" w:space="0" w:color="auto"/>
            </w:tcBorders>
            <w:shd w:val="clear" w:color="auto" w:fill="D9D9D9"/>
            <w:hideMark/>
          </w:tcPr>
          <w:p w14:paraId="0333E815" w14:textId="77777777" w:rsidR="002A4DDF" w:rsidRPr="00937C8B" w:rsidRDefault="002A4DDF" w:rsidP="009110ED">
            <w:pPr>
              <w:rPr>
                <w:rFonts w:ascii="Arial" w:hAnsi="Arial" w:cs="Arial"/>
                <w:sz w:val="12"/>
                <w:szCs w:val="12"/>
              </w:rPr>
            </w:pPr>
          </w:p>
        </w:tc>
      </w:tr>
      <w:tr w:rsidR="002A4DDF" w:rsidRPr="00937C8B" w14:paraId="29C577C2" w14:textId="77777777" w:rsidTr="00935676">
        <w:trPr>
          <w:cantSplit/>
        </w:trPr>
        <w:tc>
          <w:tcPr>
            <w:tcW w:w="1696" w:type="dxa"/>
            <w:tcBorders>
              <w:top w:val="single" w:sz="4" w:space="0" w:color="auto"/>
              <w:bottom w:val="single" w:sz="4" w:space="0" w:color="auto"/>
            </w:tcBorders>
            <w:shd w:val="clear" w:color="auto" w:fill="auto"/>
            <w:hideMark/>
          </w:tcPr>
          <w:p w14:paraId="36B04A64"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2422B087"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61DAE87C"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2615B4CA" w14:textId="77777777" w:rsidR="002A4DDF" w:rsidRPr="00937C8B" w:rsidRDefault="002A4DDF" w:rsidP="009110ED">
            <w:pPr>
              <w:rPr>
                <w:rFonts w:ascii="Arial" w:hAnsi="Arial" w:cs="Arial"/>
                <w:sz w:val="12"/>
                <w:szCs w:val="12"/>
              </w:rPr>
            </w:pPr>
          </w:p>
        </w:tc>
      </w:tr>
      <w:tr w:rsidR="002A4DDF" w:rsidRPr="00937C8B" w14:paraId="7A345016" w14:textId="77777777" w:rsidTr="00935676">
        <w:trPr>
          <w:cantSplit/>
        </w:trPr>
        <w:tc>
          <w:tcPr>
            <w:tcW w:w="1696" w:type="dxa"/>
            <w:tcBorders>
              <w:top w:val="single" w:sz="4" w:space="0" w:color="auto"/>
              <w:left w:val="single" w:sz="4" w:space="0" w:color="auto"/>
            </w:tcBorders>
            <w:shd w:val="clear" w:color="auto" w:fill="auto"/>
            <w:hideMark/>
          </w:tcPr>
          <w:p w14:paraId="1790272B" w14:textId="77777777" w:rsidR="002A4DDF" w:rsidRPr="00937C8B" w:rsidRDefault="002A4DDF" w:rsidP="009110ED">
            <w:pPr>
              <w:rPr>
                <w:rFonts w:ascii="Arial" w:hAnsi="Arial" w:cs="Arial"/>
                <w:sz w:val="12"/>
                <w:szCs w:val="12"/>
              </w:rPr>
            </w:pPr>
            <w:r>
              <w:rPr>
                <w:rFonts w:ascii="Arial" w:hAnsi="Arial"/>
                <w:sz w:val="12"/>
                <w:szCs w:val="12"/>
              </w:rPr>
              <w:t>La Rioja</w:t>
            </w:r>
          </w:p>
        </w:tc>
        <w:tc>
          <w:tcPr>
            <w:tcW w:w="1843" w:type="dxa"/>
            <w:tcBorders>
              <w:top w:val="single" w:sz="4" w:space="0" w:color="auto"/>
            </w:tcBorders>
            <w:shd w:val="clear" w:color="auto" w:fill="auto"/>
            <w:hideMark/>
          </w:tcPr>
          <w:p w14:paraId="103B605C" w14:textId="77777777" w:rsidR="002A4DDF" w:rsidRPr="00937C8B" w:rsidRDefault="002A4DDF" w:rsidP="009110ED">
            <w:pPr>
              <w:rPr>
                <w:rFonts w:ascii="Arial" w:hAnsi="Arial" w:cs="Arial"/>
                <w:sz w:val="12"/>
                <w:szCs w:val="12"/>
              </w:rPr>
            </w:pPr>
            <w:r>
              <w:rPr>
                <w:rFonts w:ascii="Arial" w:hAnsi="Arial"/>
                <w:sz w:val="12"/>
                <w:szCs w:val="12"/>
              </w:rPr>
              <w:t>La Rioja</w:t>
            </w:r>
          </w:p>
        </w:tc>
        <w:tc>
          <w:tcPr>
            <w:tcW w:w="2268" w:type="dxa"/>
            <w:tcBorders>
              <w:top w:val="single" w:sz="4" w:space="0" w:color="auto"/>
            </w:tcBorders>
            <w:shd w:val="clear" w:color="auto" w:fill="F2F2F2"/>
            <w:hideMark/>
          </w:tcPr>
          <w:p w14:paraId="50EC64B0" w14:textId="77777777" w:rsidR="002A4DDF" w:rsidRPr="00937C8B" w:rsidRDefault="002A4DDF" w:rsidP="009110ED">
            <w:pPr>
              <w:rPr>
                <w:rFonts w:ascii="Arial" w:hAnsi="Arial" w:cs="Arial"/>
                <w:sz w:val="12"/>
                <w:szCs w:val="12"/>
              </w:rPr>
            </w:pPr>
            <w:r>
              <w:rPr>
                <w:rFonts w:ascii="Arial" w:hAnsi="Arial"/>
                <w:sz w:val="12"/>
                <w:szCs w:val="12"/>
              </w:rPr>
              <w:t>Agoncillo</w:t>
            </w:r>
          </w:p>
        </w:tc>
        <w:tc>
          <w:tcPr>
            <w:tcW w:w="2268" w:type="dxa"/>
            <w:tcBorders>
              <w:top w:val="single" w:sz="4" w:space="0" w:color="auto"/>
              <w:right w:val="single" w:sz="4" w:space="0" w:color="auto"/>
            </w:tcBorders>
            <w:shd w:val="clear" w:color="auto" w:fill="D9D9D9"/>
            <w:hideMark/>
          </w:tcPr>
          <w:p w14:paraId="17DFA7C8" w14:textId="77777777" w:rsidR="002A4DDF" w:rsidRPr="00937C8B" w:rsidRDefault="002A4DDF" w:rsidP="009110ED">
            <w:pPr>
              <w:rPr>
                <w:rFonts w:ascii="Arial" w:hAnsi="Arial" w:cs="Arial"/>
                <w:sz w:val="12"/>
                <w:szCs w:val="12"/>
              </w:rPr>
            </w:pPr>
          </w:p>
        </w:tc>
      </w:tr>
      <w:tr w:rsidR="002A4DDF" w:rsidRPr="00937C8B" w14:paraId="355D0647" w14:textId="77777777" w:rsidTr="00935676">
        <w:trPr>
          <w:cantSplit/>
        </w:trPr>
        <w:tc>
          <w:tcPr>
            <w:tcW w:w="1696" w:type="dxa"/>
            <w:tcBorders>
              <w:left w:val="single" w:sz="4" w:space="0" w:color="auto"/>
            </w:tcBorders>
            <w:shd w:val="clear" w:color="auto" w:fill="auto"/>
          </w:tcPr>
          <w:p w14:paraId="43F1512E" w14:textId="77777777" w:rsidR="002A4DDF" w:rsidRPr="00937C8B" w:rsidRDefault="002A4DDF" w:rsidP="009110ED">
            <w:pPr>
              <w:rPr>
                <w:rFonts w:ascii="Arial" w:hAnsi="Arial" w:cs="Arial"/>
                <w:sz w:val="12"/>
                <w:szCs w:val="12"/>
              </w:rPr>
            </w:pPr>
          </w:p>
        </w:tc>
        <w:tc>
          <w:tcPr>
            <w:tcW w:w="1843" w:type="dxa"/>
            <w:shd w:val="clear" w:color="auto" w:fill="auto"/>
          </w:tcPr>
          <w:p w14:paraId="1BC42ED9" w14:textId="77777777" w:rsidR="002A4DDF" w:rsidRPr="00937C8B" w:rsidRDefault="002A4DDF" w:rsidP="009110ED">
            <w:pPr>
              <w:rPr>
                <w:rFonts w:ascii="Arial" w:hAnsi="Arial" w:cs="Arial"/>
                <w:sz w:val="12"/>
                <w:szCs w:val="12"/>
              </w:rPr>
            </w:pPr>
          </w:p>
        </w:tc>
        <w:tc>
          <w:tcPr>
            <w:tcW w:w="2268" w:type="dxa"/>
            <w:shd w:val="clear" w:color="auto" w:fill="F2F2F2"/>
            <w:hideMark/>
          </w:tcPr>
          <w:p w14:paraId="50460C34" w14:textId="77777777" w:rsidR="002A4DDF" w:rsidRPr="00937C8B" w:rsidRDefault="002A4DDF" w:rsidP="009110ED">
            <w:pPr>
              <w:rPr>
                <w:rFonts w:ascii="Arial" w:hAnsi="Arial" w:cs="Arial"/>
                <w:sz w:val="12"/>
                <w:szCs w:val="12"/>
              </w:rPr>
            </w:pPr>
            <w:r>
              <w:rPr>
                <w:rFonts w:ascii="Arial" w:hAnsi="Arial"/>
                <w:sz w:val="12"/>
                <w:szCs w:val="12"/>
              </w:rPr>
              <w:t>Ajamil de Cameros</w:t>
            </w:r>
          </w:p>
        </w:tc>
        <w:tc>
          <w:tcPr>
            <w:tcW w:w="2268" w:type="dxa"/>
            <w:tcBorders>
              <w:right w:val="single" w:sz="4" w:space="0" w:color="auto"/>
            </w:tcBorders>
            <w:shd w:val="clear" w:color="auto" w:fill="D9D9D9"/>
            <w:hideMark/>
          </w:tcPr>
          <w:p w14:paraId="2A4F0AC6" w14:textId="77777777" w:rsidR="002A4DDF" w:rsidRPr="00937C8B" w:rsidRDefault="002A4DDF" w:rsidP="009110ED">
            <w:pPr>
              <w:rPr>
                <w:rFonts w:ascii="Arial" w:hAnsi="Arial" w:cs="Arial"/>
                <w:sz w:val="12"/>
                <w:szCs w:val="12"/>
              </w:rPr>
            </w:pPr>
          </w:p>
        </w:tc>
      </w:tr>
      <w:tr w:rsidR="002A4DDF" w:rsidRPr="00937C8B" w14:paraId="50287F13" w14:textId="77777777" w:rsidTr="00935676">
        <w:trPr>
          <w:cantSplit/>
        </w:trPr>
        <w:tc>
          <w:tcPr>
            <w:tcW w:w="1696" w:type="dxa"/>
            <w:tcBorders>
              <w:left w:val="single" w:sz="4" w:space="0" w:color="auto"/>
            </w:tcBorders>
            <w:shd w:val="clear" w:color="auto" w:fill="auto"/>
          </w:tcPr>
          <w:p w14:paraId="4CC69C0C" w14:textId="77777777" w:rsidR="002A4DDF" w:rsidRPr="00937C8B" w:rsidRDefault="002A4DDF" w:rsidP="009110ED">
            <w:pPr>
              <w:rPr>
                <w:rFonts w:ascii="Arial" w:hAnsi="Arial" w:cs="Arial"/>
                <w:sz w:val="12"/>
                <w:szCs w:val="12"/>
              </w:rPr>
            </w:pPr>
          </w:p>
        </w:tc>
        <w:tc>
          <w:tcPr>
            <w:tcW w:w="1843" w:type="dxa"/>
            <w:shd w:val="clear" w:color="auto" w:fill="auto"/>
          </w:tcPr>
          <w:p w14:paraId="7A5D526C" w14:textId="77777777" w:rsidR="002A4DDF" w:rsidRPr="00937C8B" w:rsidRDefault="002A4DDF" w:rsidP="009110ED">
            <w:pPr>
              <w:rPr>
                <w:rFonts w:ascii="Arial" w:hAnsi="Arial" w:cs="Arial"/>
                <w:sz w:val="12"/>
                <w:szCs w:val="12"/>
              </w:rPr>
            </w:pPr>
          </w:p>
        </w:tc>
        <w:tc>
          <w:tcPr>
            <w:tcW w:w="2268" w:type="dxa"/>
            <w:shd w:val="clear" w:color="auto" w:fill="F2F2F2"/>
            <w:hideMark/>
          </w:tcPr>
          <w:p w14:paraId="692FDFCF" w14:textId="77777777" w:rsidR="002A4DDF" w:rsidRPr="00937C8B" w:rsidRDefault="002A4DDF" w:rsidP="009110ED">
            <w:pPr>
              <w:rPr>
                <w:rFonts w:ascii="Arial" w:hAnsi="Arial" w:cs="Arial"/>
                <w:sz w:val="12"/>
                <w:szCs w:val="12"/>
              </w:rPr>
            </w:pPr>
            <w:r>
              <w:rPr>
                <w:rFonts w:ascii="Arial" w:hAnsi="Arial"/>
                <w:sz w:val="12"/>
                <w:szCs w:val="12"/>
              </w:rPr>
              <w:t>Aldeanueva de Ebro</w:t>
            </w:r>
          </w:p>
        </w:tc>
        <w:tc>
          <w:tcPr>
            <w:tcW w:w="2268" w:type="dxa"/>
            <w:tcBorders>
              <w:right w:val="single" w:sz="4" w:space="0" w:color="auto"/>
            </w:tcBorders>
            <w:shd w:val="clear" w:color="auto" w:fill="D9D9D9"/>
            <w:hideMark/>
          </w:tcPr>
          <w:p w14:paraId="6CA9FBA9" w14:textId="77777777" w:rsidR="002A4DDF" w:rsidRPr="00937C8B" w:rsidRDefault="002A4DDF" w:rsidP="009110ED">
            <w:pPr>
              <w:rPr>
                <w:rFonts w:ascii="Arial" w:hAnsi="Arial" w:cs="Arial"/>
                <w:sz w:val="12"/>
                <w:szCs w:val="12"/>
              </w:rPr>
            </w:pPr>
          </w:p>
        </w:tc>
      </w:tr>
      <w:tr w:rsidR="002A4DDF" w:rsidRPr="00937C8B" w14:paraId="24FCF00C" w14:textId="77777777" w:rsidTr="00935676">
        <w:trPr>
          <w:cantSplit/>
        </w:trPr>
        <w:tc>
          <w:tcPr>
            <w:tcW w:w="1696" w:type="dxa"/>
            <w:tcBorders>
              <w:left w:val="single" w:sz="4" w:space="0" w:color="auto"/>
            </w:tcBorders>
            <w:shd w:val="clear" w:color="auto" w:fill="auto"/>
          </w:tcPr>
          <w:p w14:paraId="3C9FDF55" w14:textId="77777777" w:rsidR="002A4DDF" w:rsidRPr="00937C8B" w:rsidRDefault="002A4DDF" w:rsidP="009110ED">
            <w:pPr>
              <w:rPr>
                <w:rFonts w:ascii="Arial" w:hAnsi="Arial" w:cs="Arial"/>
                <w:sz w:val="12"/>
                <w:szCs w:val="12"/>
              </w:rPr>
            </w:pPr>
          </w:p>
        </w:tc>
        <w:tc>
          <w:tcPr>
            <w:tcW w:w="1843" w:type="dxa"/>
            <w:shd w:val="clear" w:color="auto" w:fill="auto"/>
          </w:tcPr>
          <w:p w14:paraId="5C479B24" w14:textId="77777777" w:rsidR="002A4DDF" w:rsidRPr="00937C8B" w:rsidRDefault="002A4DDF" w:rsidP="009110ED">
            <w:pPr>
              <w:rPr>
                <w:rFonts w:ascii="Arial" w:hAnsi="Arial" w:cs="Arial"/>
                <w:sz w:val="12"/>
                <w:szCs w:val="12"/>
              </w:rPr>
            </w:pPr>
          </w:p>
        </w:tc>
        <w:tc>
          <w:tcPr>
            <w:tcW w:w="2268" w:type="dxa"/>
            <w:shd w:val="clear" w:color="auto" w:fill="F2F2F2"/>
            <w:hideMark/>
          </w:tcPr>
          <w:p w14:paraId="4217970F" w14:textId="77777777" w:rsidR="002A4DDF" w:rsidRPr="00937C8B" w:rsidRDefault="002A4DDF" w:rsidP="009110ED">
            <w:pPr>
              <w:rPr>
                <w:rFonts w:ascii="Arial" w:hAnsi="Arial" w:cs="Arial"/>
                <w:sz w:val="12"/>
                <w:szCs w:val="12"/>
              </w:rPr>
            </w:pPr>
            <w:r>
              <w:rPr>
                <w:rFonts w:ascii="Arial" w:hAnsi="Arial"/>
                <w:sz w:val="12"/>
                <w:szCs w:val="12"/>
              </w:rPr>
              <w:t>Alfaro</w:t>
            </w:r>
          </w:p>
        </w:tc>
        <w:tc>
          <w:tcPr>
            <w:tcW w:w="2268" w:type="dxa"/>
            <w:tcBorders>
              <w:right w:val="single" w:sz="4" w:space="0" w:color="auto"/>
            </w:tcBorders>
            <w:shd w:val="clear" w:color="auto" w:fill="D9D9D9"/>
            <w:hideMark/>
          </w:tcPr>
          <w:p w14:paraId="1E0AF244" w14:textId="77777777" w:rsidR="002A4DDF" w:rsidRPr="00937C8B" w:rsidRDefault="002A4DDF" w:rsidP="009110ED">
            <w:pPr>
              <w:rPr>
                <w:rFonts w:ascii="Arial" w:hAnsi="Arial" w:cs="Arial"/>
                <w:sz w:val="12"/>
                <w:szCs w:val="12"/>
              </w:rPr>
            </w:pPr>
          </w:p>
        </w:tc>
      </w:tr>
      <w:tr w:rsidR="002A4DDF" w:rsidRPr="00937C8B" w14:paraId="68A2BF60" w14:textId="77777777" w:rsidTr="00935676">
        <w:trPr>
          <w:cantSplit/>
        </w:trPr>
        <w:tc>
          <w:tcPr>
            <w:tcW w:w="1696" w:type="dxa"/>
            <w:tcBorders>
              <w:left w:val="single" w:sz="4" w:space="0" w:color="auto"/>
            </w:tcBorders>
            <w:shd w:val="clear" w:color="auto" w:fill="auto"/>
          </w:tcPr>
          <w:p w14:paraId="1691D1EE" w14:textId="77777777" w:rsidR="002A4DDF" w:rsidRPr="00937C8B" w:rsidRDefault="002A4DDF" w:rsidP="009110ED">
            <w:pPr>
              <w:rPr>
                <w:rFonts w:ascii="Arial" w:hAnsi="Arial" w:cs="Arial"/>
                <w:sz w:val="12"/>
                <w:szCs w:val="12"/>
              </w:rPr>
            </w:pPr>
          </w:p>
        </w:tc>
        <w:tc>
          <w:tcPr>
            <w:tcW w:w="1843" w:type="dxa"/>
            <w:shd w:val="clear" w:color="auto" w:fill="auto"/>
          </w:tcPr>
          <w:p w14:paraId="732F5B91" w14:textId="77777777" w:rsidR="002A4DDF" w:rsidRPr="00937C8B" w:rsidRDefault="002A4DDF" w:rsidP="009110ED">
            <w:pPr>
              <w:rPr>
                <w:rFonts w:ascii="Arial" w:hAnsi="Arial" w:cs="Arial"/>
                <w:sz w:val="12"/>
                <w:szCs w:val="12"/>
              </w:rPr>
            </w:pPr>
          </w:p>
        </w:tc>
        <w:tc>
          <w:tcPr>
            <w:tcW w:w="2268" w:type="dxa"/>
            <w:shd w:val="clear" w:color="auto" w:fill="F2F2F2"/>
            <w:hideMark/>
          </w:tcPr>
          <w:p w14:paraId="7AD8CE25" w14:textId="77777777" w:rsidR="002A4DDF" w:rsidRPr="00937C8B" w:rsidRDefault="002A4DDF" w:rsidP="009110ED">
            <w:pPr>
              <w:rPr>
                <w:rFonts w:ascii="Arial" w:hAnsi="Arial" w:cs="Arial"/>
                <w:sz w:val="12"/>
                <w:szCs w:val="12"/>
              </w:rPr>
            </w:pPr>
            <w:r>
              <w:rPr>
                <w:rFonts w:ascii="Arial" w:hAnsi="Arial"/>
                <w:sz w:val="12"/>
                <w:szCs w:val="12"/>
              </w:rPr>
              <w:t>Anguciana</w:t>
            </w:r>
          </w:p>
        </w:tc>
        <w:tc>
          <w:tcPr>
            <w:tcW w:w="2268" w:type="dxa"/>
            <w:tcBorders>
              <w:right w:val="single" w:sz="4" w:space="0" w:color="auto"/>
            </w:tcBorders>
            <w:shd w:val="clear" w:color="auto" w:fill="D9D9D9"/>
            <w:hideMark/>
          </w:tcPr>
          <w:p w14:paraId="6A696709" w14:textId="77777777" w:rsidR="002A4DDF" w:rsidRPr="00937C8B" w:rsidRDefault="002A4DDF" w:rsidP="009110ED">
            <w:pPr>
              <w:rPr>
                <w:rFonts w:ascii="Arial" w:hAnsi="Arial" w:cs="Arial"/>
                <w:sz w:val="12"/>
                <w:szCs w:val="12"/>
              </w:rPr>
            </w:pPr>
          </w:p>
        </w:tc>
      </w:tr>
      <w:tr w:rsidR="002A4DDF" w:rsidRPr="00937C8B" w14:paraId="4C68EF63" w14:textId="77777777" w:rsidTr="00935676">
        <w:trPr>
          <w:cantSplit/>
        </w:trPr>
        <w:tc>
          <w:tcPr>
            <w:tcW w:w="1696" w:type="dxa"/>
            <w:tcBorders>
              <w:left w:val="single" w:sz="4" w:space="0" w:color="auto"/>
            </w:tcBorders>
            <w:shd w:val="clear" w:color="auto" w:fill="auto"/>
          </w:tcPr>
          <w:p w14:paraId="4694B06C" w14:textId="77777777" w:rsidR="002A4DDF" w:rsidRPr="00937C8B" w:rsidRDefault="002A4DDF" w:rsidP="009110ED">
            <w:pPr>
              <w:rPr>
                <w:rFonts w:ascii="Arial" w:hAnsi="Arial" w:cs="Arial"/>
                <w:sz w:val="12"/>
                <w:szCs w:val="12"/>
              </w:rPr>
            </w:pPr>
          </w:p>
        </w:tc>
        <w:tc>
          <w:tcPr>
            <w:tcW w:w="1843" w:type="dxa"/>
            <w:shd w:val="clear" w:color="auto" w:fill="auto"/>
          </w:tcPr>
          <w:p w14:paraId="51410450" w14:textId="77777777" w:rsidR="002A4DDF" w:rsidRPr="00937C8B" w:rsidRDefault="002A4DDF" w:rsidP="009110ED">
            <w:pPr>
              <w:rPr>
                <w:rFonts w:ascii="Arial" w:hAnsi="Arial" w:cs="Arial"/>
                <w:sz w:val="12"/>
                <w:szCs w:val="12"/>
              </w:rPr>
            </w:pPr>
          </w:p>
        </w:tc>
        <w:tc>
          <w:tcPr>
            <w:tcW w:w="2268" w:type="dxa"/>
            <w:shd w:val="clear" w:color="auto" w:fill="F2F2F2"/>
            <w:hideMark/>
          </w:tcPr>
          <w:p w14:paraId="464F4C2D" w14:textId="77777777" w:rsidR="002A4DDF" w:rsidRPr="00937C8B" w:rsidRDefault="002A4DDF" w:rsidP="009110ED">
            <w:pPr>
              <w:rPr>
                <w:rFonts w:ascii="Arial" w:hAnsi="Arial" w:cs="Arial"/>
                <w:sz w:val="12"/>
                <w:szCs w:val="12"/>
              </w:rPr>
            </w:pPr>
            <w:r>
              <w:rPr>
                <w:rFonts w:ascii="Arial" w:hAnsi="Arial"/>
                <w:sz w:val="12"/>
                <w:szCs w:val="12"/>
              </w:rPr>
              <w:t>Anguiano</w:t>
            </w:r>
          </w:p>
        </w:tc>
        <w:tc>
          <w:tcPr>
            <w:tcW w:w="2268" w:type="dxa"/>
            <w:tcBorders>
              <w:right w:val="single" w:sz="4" w:space="0" w:color="auto"/>
            </w:tcBorders>
            <w:shd w:val="clear" w:color="auto" w:fill="D9D9D9"/>
            <w:hideMark/>
          </w:tcPr>
          <w:p w14:paraId="6B2A2F64" w14:textId="77777777" w:rsidR="002A4DDF" w:rsidRPr="00937C8B" w:rsidRDefault="002A4DDF" w:rsidP="009110ED">
            <w:pPr>
              <w:rPr>
                <w:rFonts w:ascii="Arial" w:hAnsi="Arial" w:cs="Arial"/>
                <w:sz w:val="12"/>
                <w:szCs w:val="12"/>
              </w:rPr>
            </w:pPr>
          </w:p>
        </w:tc>
      </w:tr>
      <w:tr w:rsidR="002A4DDF" w:rsidRPr="00937C8B" w14:paraId="6EE799B7" w14:textId="77777777" w:rsidTr="00935676">
        <w:trPr>
          <w:cantSplit/>
        </w:trPr>
        <w:tc>
          <w:tcPr>
            <w:tcW w:w="1696" w:type="dxa"/>
            <w:tcBorders>
              <w:left w:val="single" w:sz="4" w:space="0" w:color="auto"/>
            </w:tcBorders>
            <w:shd w:val="clear" w:color="auto" w:fill="auto"/>
          </w:tcPr>
          <w:p w14:paraId="70B47DB5" w14:textId="77777777" w:rsidR="002A4DDF" w:rsidRPr="00937C8B" w:rsidRDefault="002A4DDF" w:rsidP="009110ED">
            <w:pPr>
              <w:rPr>
                <w:rFonts w:ascii="Arial" w:hAnsi="Arial" w:cs="Arial"/>
                <w:sz w:val="12"/>
                <w:szCs w:val="12"/>
              </w:rPr>
            </w:pPr>
          </w:p>
        </w:tc>
        <w:tc>
          <w:tcPr>
            <w:tcW w:w="1843" w:type="dxa"/>
            <w:shd w:val="clear" w:color="auto" w:fill="auto"/>
          </w:tcPr>
          <w:p w14:paraId="5747734D" w14:textId="77777777" w:rsidR="002A4DDF" w:rsidRPr="00937C8B" w:rsidRDefault="002A4DDF" w:rsidP="009110ED">
            <w:pPr>
              <w:rPr>
                <w:rFonts w:ascii="Arial" w:hAnsi="Arial" w:cs="Arial"/>
                <w:sz w:val="12"/>
                <w:szCs w:val="12"/>
              </w:rPr>
            </w:pPr>
          </w:p>
        </w:tc>
        <w:tc>
          <w:tcPr>
            <w:tcW w:w="2268" w:type="dxa"/>
            <w:shd w:val="clear" w:color="auto" w:fill="F2F2F2"/>
            <w:hideMark/>
          </w:tcPr>
          <w:p w14:paraId="6B1F3633" w14:textId="77777777" w:rsidR="002A4DDF" w:rsidRPr="00937C8B" w:rsidRDefault="002A4DDF" w:rsidP="009110ED">
            <w:pPr>
              <w:rPr>
                <w:rFonts w:ascii="Arial" w:hAnsi="Arial" w:cs="Arial"/>
                <w:sz w:val="12"/>
                <w:szCs w:val="12"/>
              </w:rPr>
            </w:pPr>
            <w:r>
              <w:rPr>
                <w:rFonts w:ascii="Arial" w:hAnsi="Arial"/>
                <w:sz w:val="12"/>
                <w:szCs w:val="12"/>
              </w:rPr>
              <w:t>Arnedillo</w:t>
            </w:r>
          </w:p>
        </w:tc>
        <w:tc>
          <w:tcPr>
            <w:tcW w:w="2268" w:type="dxa"/>
            <w:tcBorders>
              <w:right w:val="single" w:sz="4" w:space="0" w:color="auto"/>
            </w:tcBorders>
            <w:shd w:val="clear" w:color="auto" w:fill="D9D9D9"/>
            <w:hideMark/>
          </w:tcPr>
          <w:p w14:paraId="276F2B94" w14:textId="77777777" w:rsidR="002A4DDF" w:rsidRPr="00937C8B" w:rsidRDefault="002A4DDF" w:rsidP="009110ED">
            <w:pPr>
              <w:rPr>
                <w:rFonts w:ascii="Arial" w:hAnsi="Arial" w:cs="Arial"/>
                <w:sz w:val="12"/>
                <w:szCs w:val="12"/>
              </w:rPr>
            </w:pPr>
          </w:p>
        </w:tc>
      </w:tr>
      <w:tr w:rsidR="002A4DDF" w:rsidRPr="00937C8B" w14:paraId="2268B300" w14:textId="77777777" w:rsidTr="00935676">
        <w:trPr>
          <w:cantSplit/>
        </w:trPr>
        <w:tc>
          <w:tcPr>
            <w:tcW w:w="1696" w:type="dxa"/>
            <w:tcBorders>
              <w:left w:val="single" w:sz="4" w:space="0" w:color="auto"/>
            </w:tcBorders>
            <w:shd w:val="clear" w:color="auto" w:fill="auto"/>
          </w:tcPr>
          <w:p w14:paraId="4600F039" w14:textId="77777777" w:rsidR="002A4DDF" w:rsidRPr="00937C8B" w:rsidRDefault="002A4DDF" w:rsidP="009110ED">
            <w:pPr>
              <w:rPr>
                <w:rFonts w:ascii="Arial" w:hAnsi="Arial" w:cs="Arial"/>
                <w:sz w:val="12"/>
                <w:szCs w:val="12"/>
              </w:rPr>
            </w:pPr>
          </w:p>
        </w:tc>
        <w:tc>
          <w:tcPr>
            <w:tcW w:w="1843" w:type="dxa"/>
            <w:shd w:val="clear" w:color="auto" w:fill="auto"/>
          </w:tcPr>
          <w:p w14:paraId="2D0CA688" w14:textId="77777777" w:rsidR="002A4DDF" w:rsidRPr="00937C8B" w:rsidRDefault="002A4DDF" w:rsidP="009110ED">
            <w:pPr>
              <w:rPr>
                <w:rFonts w:ascii="Arial" w:hAnsi="Arial" w:cs="Arial"/>
                <w:sz w:val="12"/>
                <w:szCs w:val="12"/>
              </w:rPr>
            </w:pPr>
          </w:p>
        </w:tc>
        <w:tc>
          <w:tcPr>
            <w:tcW w:w="2268" w:type="dxa"/>
            <w:shd w:val="clear" w:color="auto" w:fill="F2F2F2"/>
            <w:hideMark/>
          </w:tcPr>
          <w:p w14:paraId="595D717E" w14:textId="77777777" w:rsidR="002A4DDF" w:rsidRPr="00937C8B" w:rsidRDefault="002A4DDF" w:rsidP="009110ED">
            <w:pPr>
              <w:rPr>
                <w:rFonts w:ascii="Arial" w:hAnsi="Arial" w:cs="Arial"/>
                <w:sz w:val="12"/>
                <w:szCs w:val="12"/>
              </w:rPr>
            </w:pPr>
            <w:r>
              <w:rPr>
                <w:rFonts w:ascii="Arial" w:hAnsi="Arial"/>
                <w:sz w:val="12"/>
                <w:szCs w:val="12"/>
              </w:rPr>
              <w:t>Arnedo</w:t>
            </w:r>
          </w:p>
        </w:tc>
        <w:tc>
          <w:tcPr>
            <w:tcW w:w="2268" w:type="dxa"/>
            <w:tcBorders>
              <w:right w:val="single" w:sz="4" w:space="0" w:color="auto"/>
            </w:tcBorders>
            <w:shd w:val="clear" w:color="auto" w:fill="D9D9D9"/>
            <w:hideMark/>
          </w:tcPr>
          <w:p w14:paraId="70D7D08D" w14:textId="77777777" w:rsidR="002A4DDF" w:rsidRPr="00937C8B" w:rsidRDefault="002A4DDF" w:rsidP="009110ED">
            <w:pPr>
              <w:rPr>
                <w:rFonts w:ascii="Arial" w:hAnsi="Arial" w:cs="Arial"/>
                <w:sz w:val="12"/>
                <w:szCs w:val="12"/>
              </w:rPr>
            </w:pPr>
          </w:p>
        </w:tc>
      </w:tr>
      <w:tr w:rsidR="002A4DDF" w:rsidRPr="00937C8B" w14:paraId="500DBFF3" w14:textId="77777777" w:rsidTr="00935676">
        <w:trPr>
          <w:cantSplit/>
        </w:trPr>
        <w:tc>
          <w:tcPr>
            <w:tcW w:w="1696" w:type="dxa"/>
            <w:tcBorders>
              <w:left w:val="single" w:sz="4" w:space="0" w:color="auto"/>
            </w:tcBorders>
            <w:shd w:val="clear" w:color="auto" w:fill="auto"/>
          </w:tcPr>
          <w:p w14:paraId="25A7D18E" w14:textId="77777777" w:rsidR="002A4DDF" w:rsidRPr="00937C8B" w:rsidRDefault="002A4DDF" w:rsidP="009110ED">
            <w:pPr>
              <w:rPr>
                <w:rFonts w:ascii="Arial" w:hAnsi="Arial" w:cs="Arial"/>
                <w:sz w:val="12"/>
                <w:szCs w:val="12"/>
              </w:rPr>
            </w:pPr>
          </w:p>
        </w:tc>
        <w:tc>
          <w:tcPr>
            <w:tcW w:w="1843" w:type="dxa"/>
            <w:shd w:val="clear" w:color="auto" w:fill="auto"/>
          </w:tcPr>
          <w:p w14:paraId="321F0429" w14:textId="77777777" w:rsidR="002A4DDF" w:rsidRPr="00937C8B" w:rsidRDefault="002A4DDF" w:rsidP="009110ED">
            <w:pPr>
              <w:rPr>
                <w:rFonts w:ascii="Arial" w:hAnsi="Arial" w:cs="Arial"/>
                <w:sz w:val="12"/>
                <w:szCs w:val="12"/>
              </w:rPr>
            </w:pPr>
          </w:p>
        </w:tc>
        <w:tc>
          <w:tcPr>
            <w:tcW w:w="2268" w:type="dxa"/>
            <w:shd w:val="clear" w:color="auto" w:fill="F2F2F2"/>
            <w:hideMark/>
          </w:tcPr>
          <w:p w14:paraId="6AEF6EFC" w14:textId="77777777" w:rsidR="002A4DDF" w:rsidRPr="00937C8B" w:rsidRDefault="002A4DDF" w:rsidP="009110ED">
            <w:pPr>
              <w:rPr>
                <w:rFonts w:ascii="Arial" w:hAnsi="Arial" w:cs="Arial"/>
                <w:sz w:val="12"/>
                <w:szCs w:val="12"/>
              </w:rPr>
            </w:pPr>
            <w:r>
              <w:rPr>
                <w:rFonts w:ascii="Arial" w:hAnsi="Arial"/>
                <w:sz w:val="12"/>
                <w:szCs w:val="12"/>
              </w:rPr>
              <w:t>Arrúbal</w:t>
            </w:r>
          </w:p>
        </w:tc>
        <w:tc>
          <w:tcPr>
            <w:tcW w:w="2268" w:type="dxa"/>
            <w:tcBorders>
              <w:right w:val="single" w:sz="4" w:space="0" w:color="auto"/>
            </w:tcBorders>
            <w:shd w:val="clear" w:color="auto" w:fill="D9D9D9"/>
            <w:hideMark/>
          </w:tcPr>
          <w:p w14:paraId="7E81AE6E" w14:textId="77777777" w:rsidR="002A4DDF" w:rsidRPr="00937C8B" w:rsidRDefault="002A4DDF" w:rsidP="009110ED">
            <w:pPr>
              <w:rPr>
                <w:rFonts w:ascii="Arial" w:hAnsi="Arial" w:cs="Arial"/>
                <w:sz w:val="12"/>
                <w:szCs w:val="12"/>
              </w:rPr>
            </w:pPr>
          </w:p>
        </w:tc>
      </w:tr>
      <w:tr w:rsidR="002A4DDF" w:rsidRPr="00937C8B" w14:paraId="5B8DAC0A" w14:textId="77777777" w:rsidTr="00935676">
        <w:trPr>
          <w:cantSplit/>
        </w:trPr>
        <w:tc>
          <w:tcPr>
            <w:tcW w:w="1696" w:type="dxa"/>
            <w:tcBorders>
              <w:left w:val="single" w:sz="4" w:space="0" w:color="auto"/>
            </w:tcBorders>
            <w:shd w:val="clear" w:color="auto" w:fill="auto"/>
          </w:tcPr>
          <w:p w14:paraId="3A89AF36" w14:textId="77777777" w:rsidR="002A4DDF" w:rsidRPr="00937C8B" w:rsidRDefault="002A4DDF" w:rsidP="009110ED">
            <w:pPr>
              <w:rPr>
                <w:rFonts w:ascii="Arial" w:hAnsi="Arial" w:cs="Arial"/>
                <w:sz w:val="12"/>
                <w:szCs w:val="12"/>
              </w:rPr>
            </w:pPr>
          </w:p>
        </w:tc>
        <w:tc>
          <w:tcPr>
            <w:tcW w:w="1843" w:type="dxa"/>
            <w:shd w:val="clear" w:color="auto" w:fill="auto"/>
          </w:tcPr>
          <w:p w14:paraId="4F136D9A" w14:textId="77777777" w:rsidR="002A4DDF" w:rsidRPr="00937C8B" w:rsidRDefault="002A4DDF" w:rsidP="009110ED">
            <w:pPr>
              <w:rPr>
                <w:rFonts w:ascii="Arial" w:hAnsi="Arial" w:cs="Arial"/>
                <w:sz w:val="12"/>
                <w:szCs w:val="12"/>
              </w:rPr>
            </w:pPr>
          </w:p>
        </w:tc>
        <w:tc>
          <w:tcPr>
            <w:tcW w:w="2268" w:type="dxa"/>
            <w:shd w:val="clear" w:color="auto" w:fill="F2F2F2"/>
            <w:hideMark/>
          </w:tcPr>
          <w:p w14:paraId="3760959F" w14:textId="77777777" w:rsidR="002A4DDF" w:rsidRPr="00937C8B" w:rsidRDefault="002A4DDF" w:rsidP="009110ED">
            <w:pPr>
              <w:rPr>
                <w:rFonts w:ascii="Arial" w:hAnsi="Arial" w:cs="Arial"/>
                <w:sz w:val="12"/>
                <w:szCs w:val="12"/>
              </w:rPr>
            </w:pPr>
            <w:r>
              <w:rPr>
                <w:rFonts w:ascii="Arial" w:hAnsi="Arial"/>
                <w:sz w:val="12"/>
                <w:szCs w:val="12"/>
              </w:rPr>
              <w:t>Autol</w:t>
            </w:r>
          </w:p>
        </w:tc>
        <w:tc>
          <w:tcPr>
            <w:tcW w:w="2268" w:type="dxa"/>
            <w:tcBorders>
              <w:right w:val="single" w:sz="4" w:space="0" w:color="auto"/>
            </w:tcBorders>
            <w:shd w:val="clear" w:color="auto" w:fill="D9D9D9"/>
            <w:hideMark/>
          </w:tcPr>
          <w:p w14:paraId="0F58C517" w14:textId="77777777" w:rsidR="002A4DDF" w:rsidRPr="00937C8B" w:rsidRDefault="002A4DDF" w:rsidP="009110ED">
            <w:pPr>
              <w:rPr>
                <w:rFonts w:ascii="Arial" w:hAnsi="Arial" w:cs="Arial"/>
                <w:sz w:val="12"/>
                <w:szCs w:val="12"/>
              </w:rPr>
            </w:pPr>
          </w:p>
        </w:tc>
      </w:tr>
      <w:tr w:rsidR="002A4DDF" w:rsidRPr="00937C8B" w14:paraId="521301AB" w14:textId="77777777" w:rsidTr="00935676">
        <w:trPr>
          <w:cantSplit/>
        </w:trPr>
        <w:tc>
          <w:tcPr>
            <w:tcW w:w="1696" w:type="dxa"/>
            <w:tcBorders>
              <w:left w:val="single" w:sz="4" w:space="0" w:color="auto"/>
            </w:tcBorders>
            <w:shd w:val="clear" w:color="auto" w:fill="auto"/>
          </w:tcPr>
          <w:p w14:paraId="650DEDAC" w14:textId="77777777" w:rsidR="002A4DDF" w:rsidRPr="00937C8B" w:rsidRDefault="002A4DDF" w:rsidP="009110ED">
            <w:pPr>
              <w:rPr>
                <w:rFonts w:ascii="Arial" w:hAnsi="Arial" w:cs="Arial"/>
                <w:sz w:val="12"/>
                <w:szCs w:val="12"/>
              </w:rPr>
            </w:pPr>
          </w:p>
        </w:tc>
        <w:tc>
          <w:tcPr>
            <w:tcW w:w="1843" w:type="dxa"/>
            <w:shd w:val="clear" w:color="auto" w:fill="auto"/>
          </w:tcPr>
          <w:p w14:paraId="6263CADB" w14:textId="77777777" w:rsidR="002A4DDF" w:rsidRPr="00937C8B" w:rsidRDefault="002A4DDF" w:rsidP="009110ED">
            <w:pPr>
              <w:rPr>
                <w:rFonts w:ascii="Arial" w:hAnsi="Arial" w:cs="Arial"/>
                <w:sz w:val="12"/>
                <w:szCs w:val="12"/>
              </w:rPr>
            </w:pPr>
          </w:p>
        </w:tc>
        <w:tc>
          <w:tcPr>
            <w:tcW w:w="2268" w:type="dxa"/>
            <w:shd w:val="clear" w:color="auto" w:fill="F2F2F2"/>
            <w:hideMark/>
          </w:tcPr>
          <w:p w14:paraId="296A1890" w14:textId="77777777" w:rsidR="002A4DDF" w:rsidRPr="00937C8B" w:rsidRDefault="002A4DDF" w:rsidP="009110ED">
            <w:pPr>
              <w:rPr>
                <w:rFonts w:ascii="Arial" w:hAnsi="Arial" w:cs="Arial"/>
                <w:sz w:val="12"/>
                <w:szCs w:val="12"/>
              </w:rPr>
            </w:pPr>
            <w:r>
              <w:rPr>
                <w:rFonts w:ascii="Arial" w:hAnsi="Arial"/>
                <w:sz w:val="12"/>
                <w:szCs w:val="12"/>
              </w:rPr>
              <w:t>Badarán</w:t>
            </w:r>
          </w:p>
        </w:tc>
        <w:tc>
          <w:tcPr>
            <w:tcW w:w="2268" w:type="dxa"/>
            <w:tcBorders>
              <w:right w:val="single" w:sz="4" w:space="0" w:color="auto"/>
            </w:tcBorders>
            <w:shd w:val="clear" w:color="auto" w:fill="D9D9D9"/>
            <w:hideMark/>
          </w:tcPr>
          <w:p w14:paraId="663D2074" w14:textId="77777777" w:rsidR="002A4DDF" w:rsidRPr="00937C8B" w:rsidRDefault="002A4DDF" w:rsidP="009110ED">
            <w:pPr>
              <w:rPr>
                <w:rFonts w:ascii="Arial" w:hAnsi="Arial" w:cs="Arial"/>
                <w:sz w:val="12"/>
                <w:szCs w:val="12"/>
              </w:rPr>
            </w:pPr>
          </w:p>
        </w:tc>
      </w:tr>
      <w:tr w:rsidR="002A4DDF" w:rsidRPr="00937C8B" w14:paraId="32E56651" w14:textId="77777777" w:rsidTr="00935676">
        <w:trPr>
          <w:cantSplit/>
        </w:trPr>
        <w:tc>
          <w:tcPr>
            <w:tcW w:w="1696" w:type="dxa"/>
            <w:tcBorders>
              <w:left w:val="single" w:sz="4" w:space="0" w:color="auto"/>
            </w:tcBorders>
            <w:shd w:val="clear" w:color="auto" w:fill="auto"/>
          </w:tcPr>
          <w:p w14:paraId="3E33DCCE" w14:textId="77777777" w:rsidR="002A4DDF" w:rsidRPr="00937C8B" w:rsidRDefault="002A4DDF" w:rsidP="009110ED">
            <w:pPr>
              <w:rPr>
                <w:rFonts w:ascii="Arial" w:hAnsi="Arial" w:cs="Arial"/>
                <w:sz w:val="12"/>
                <w:szCs w:val="12"/>
              </w:rPr>
            </w:pPr>
          </w:p>
        </w:tc>
        <w:tc>
          <w:tcPr>
            <w:tcW w:w="1843" w:type="dxa"/>
            <w:shd w:val="clear" w:color="auto" w:fill="auto"/>
          </w:tcPr>
          <w:p w14:paraId="66AAA2F3" w14:textId="77777777" w:rsidR="002A4DDF" w:rsidRPr="00937C8B" w:rsidRDefault="002A4DDF" w:rsidP="009110ED">
            <w:pPr>
              <w:rPr>
                <w:rFonts w:ascii="Arial" w:hAnsi="Arial" w:cs="Arial"/>
                <w:sz w:val="12"/>
                <w:szCs w:val="12"/>
              </w:rPr>
            </w:pPr>
          </w:p>
        </w:tc>
        <w:tc>
          <w:tcPr>
            <w:tcW w:w="2268" w:type="dxa"/>
            <w:shd w:val="clear" w:color="auto" w:fill="F2F2F2"/>
            <w:hideMark/>
          </w:tcPr>
          <w:p w14:paraId="3B3A357F" w14:textId="77777777" w:rsidR="002A4DDF" w:rsidRPr="00937C8B" w:rsidRDefault="002A4DDF" w:rsidP="009110ED">
            <w:pPr>
              <w:rPr>
                <w:rFonts w:ascii="Arial" w:hAnsi="Arial" w:cs="Arial"/>
                <w:sz w:val="12"/>
                <w:szCs w:val="12"/>
              </w:rPr>
            </w:pPr>
            <w:r>
              <w:rPr>
                <w:rFonts w:ascii="Arial" w:hAnsi="Arial"/>
                <w:sz w:val="12"/>
                <w:szCs w:val="12"/>
              </w:rPr>
              <w:t>Bañares</w:t>
            </w:r>
          </w:p>
        </w:tc>
        <w:tc>
          <w:tcPr>
            <w:tcW w:w="2268" w:type="dxa"/>
            <w:tcBorders>
              <w:right w:val="single" w:sz="4" w:space="0" w:color="auto"/>
            </w:tcBorders>
            <w:shd w:val="clear" w:color="auto" w:fill="D9D9D9"/>
            <w:hideMark/>
          </w:tcPr>
          <w:p w14:paraId="43230E39" w14:textId="77777777" w:rsidR="002A4DDF" w:rsidRPr="00937C8B" w:rsidRDefault="002A4DDF" w:rsidP="009110ED">
            <w:pPr>
              <w:rPr>
                <w:rFonts w:ascii="Arial" w:hAnsi="Arial" w:cs="Arial"/>
                <w:sz w:val="12"/>
                <w:szCs w:val="12"/>
              </w:rPr>
            </w:pPr>
          </w:p>
        </w:tc>
      </w:tr>
      <w:tr w:rsidR="002A4DDF" w:rsidRPr="00937C8B" w14:paraId="7D1AA7DF" w14:textId="77777777" w:rsidTr="00935676">
        <w:trPr>
          <w:cantSplit/>
        </w:trPr>
        <w:tc>
          <w:tcPr>
            <w:tcW w:w="1696" w:type="dxa"/>
            <w:tcBorders>
              <w:left w:val="single" w:sz="4" w:space="0" w:color="auto"/>
            </w:tcBorders>
            <w:shd w:val="clear" w:color="auto" w:fill="auto"/>
          </w:tcPr>
          <w:p w14:paraId="25930173" w14:textId="77777777" w:rsidR="002A4DDF" w:rsidRPr="00937C8B" w:rsidRDefault="002A4DDF" w:rsidP="009110ED">
            <w:pPr>
              <w:rPr>
                <w:rFonts w:ascii="Arial" w:hAnsi="Arial" w:cs="Arial"/>
                <w:sz w:val="12"/>
                <w:szCs w:val="12"/>
              </w:rPr>
            </w:pPr>
          </w:p>
        </w:tc>
        <w:tc>
          <w:tcPr>
            <w:tcW w:w="1843" w:type="dxa"/>
            <w:shd w:val="clear" w:color="auto" w:fill="auto"/>
          </w:tcPr>
          <w:p w14:paraId="13AB7252" w14:textId="77777777" w:rsidR="002A4DDF" w:rsidRPr="00937C8B" w:rsidRDefault="002A4DDF" w:rsidP="009110ED">
            <w:pPr>
              <w:rPr>
                <w:rFonts w:ascii="Arial" w:hAnsi="Arial" w:cs="Arial"/>
                <w:sz w:val="12"/>
                <w:szCs w:val="12"/>
              </w:rPr>
            </w:pPr>
          </w:p>
        </w:tc>
        <w:tc>
          <w:tcPr>
            <w:tcW w:w="2268" w:type="dxa"/>
            <w:shd w:val="clear" w:color="auto" w:fill="F2F2F2"/>
            <w:hideMark/>
          </w:tcPr>
          <w:p w14:paraId="334D6997" w14:textId="77777777" w:rsidR="002A4DDF" w:rsidRPr="00937C8B" w:rsidRDefault="002A4DDF" w:rsidP="009110ED">
            <w:pPr>
              <w:rPr>
                <w:rFonts w:ascii="Arial" w:hAnsi="Arial" w:cs="Arial"/>
                <w:sz w:val="12"/>
                <w:szCs w:val="12"/>
              </w:rPr>
            </w:pPr>
            <w:r>
              <w:rPr>
                <w:rFonts w:ascii="Arial" w:hAnsi="Arial"/>
                <w:sz w:val="12"/>
                <w:szCs w:val="12"/>
              </w:rPr>
              <w:t>Baños de Río Tobía</w:t>
            </w:r>
          </w:p>
        </w:tc>
        <w:tc>
          <w:tcPr>
            <w:tcW w:w="2268" w:type="dxa"/>
            <w:tcBorders>
              <w:right w:val="single" w:sz="4" w:space="0" w:color="auto"/>
            </w:tcBorders>
            <w:shd w:val="clear" w:color="auto" w:fill="D9D9D9"/>
            <w:hideMark/>
          </w:tcPr>
          <w:p w14:paraId="3BD8895E" w14:textId="77777777" w:rsidR="002A4DDF" w:rsidRPr="00937C8B" w:rsidRDefault="002A4DDF" w:rsidP="009110ED">
            <w:pPr>
              <w:rPr>
                <w:rFonts w:ascii="Arial" w:hAnsi="Arial" w:cs="Arial"/>
                <w:sz w:val="12"/>
                <w:szCs w:val="12"/>
              </w:rPr>
            </w:pPr>
          </w:p>
        </w:tc>
      </w:tr>
      <w:tr w:rsidR="002A4DDF" w:rsidRPr="00937C8B" w14:paraId="15CC5B1A" w14:textId="77777777" w:rsidTr="00935676">
        <w:trPr>
          <w:cantSplit/>
        </w:trPr>
        <w:tc>
          <w:tcPr>
            <w:tcW w:w="1696" w:type="dxa"/>
            <w:tcBorders>
              <w:left w:val="single" w:sz="4" w:space="0" w:color="auto"/>
            </w:tcBorders>
            <w:shd w:val="clear" w:color="auto" w:fill="auto"/>
          </w:tcPr>
          <w:p w14:paraId="02A71638" w14:textId="77777777" w:rsidR="002A4DDF" w:rsidRPr="00937C8B" w:rsidRDefault="002A4DDF" w:rsidP="009110ED">
            <w:pPr>
              <w:rPr>
                <w:rFonts w:ascii="Arial" w:hAnsi="Arial" w:cs="Arial"/>
                <w:sz w:val="12"/>
                <w:szCs w:val="12"/>
              </w:rPr>
            </w:pPr>
          </w:p>
        </w:tc>
        <w:tc>
          <w:tcPr>
            <w:tcW w:w="1843" w:type="dxa"/>
            <w:shd w:val="clear" w:color="auto" w:fill="auto"/>
          </w:tcPr>
          <w:p w14:paraId="5F0C0DBA" w14:textId="77777777" w:rsidR="002A4DDF" w:rsidRPr="00937C8B" w:rsidRDefault="002A4DDF" w:rsidP="009110ED">
            <w:pPr>
              <w:rPr>
                <w:rFonts w:ascii="Arial" w:hAnsi="Arial" w:cs="Arial"/>
                <w:sz w:val="12"/>
                <w:szCs w:val="12"/>
              </w:rPr>
            </w:pPr>
          </w:p>
        </w:tc>
        <w:tc>
          <w:tcPr>
            <w:tcW w:w="2268" w:type="dxa"/>
            <w:shd w:val="clear" w:color="auto" w:fill="F2F2F2"/>
            <w:hideMark/>
          </w:tcPr>
          <w:p w14:paraId="6C7778EE" w14:textId="77777777" w:rsidR="002A4DDF" w:rsidRPr="00937C8B" w:rsidRDefault="002A4DDF" w:rsidP="009110ED">
            <w:pPr>
              <w:rPr>
                <w:rFonts w:ascii="Arial" w:hAnsi="Arial" w:cs="Arial"/>
                <w:sz w:val="12"/>
                <w:szCs w:val="12"/>
              </w:rPr>
            </w:pPr>
            <w:r>
              <w:rPr>
                <w:rFonts w:ascii="Arial" w:hAnsi="Arial"/>
                <w:sz w:val="12"/>
                <w:szCs w:val="12"/>
              </w:rPr>
              <w:t>Baños de Rioja</w:t>
            </w:r>
          </w:p>
        </w:tc>
        <w:tc>
          <w:tcPr>
            <w:tcW w:w="2268" w:type="dxa"/>
            <w:tcBorders>
              <w:right w:val="single" w:sz="4" w:space="0" w:color="auto"/>
            </w:tcBorders>
            <w:shd w:val="clear" w:color="auto" w:fill="D9D9D9"/>
            <w:hideMark/>
          </w:tcPr>
          <w:p w14:paraId="3E672392" w14:textId="77777777" w:rsidR="002A4DDF" w:rsidRPr="00937C8B" w:rsidRDefault="002A4DDF" w:rsidP="009110ED">
            <w:pPr>
              <w:rPr>
                <w:rFonts w:ascii="Arial" w:hAnsi="Arial" w:cs="Arial"/>
                <w:sz w:val="12"/>
                <w:szCs w:val="12"/>
              </w:rPr>
            </w:pPr>
          </w:p>
        </w:tc>
      </w:tr>
      <w:tr w:rsidR="002A4DDF" w:rsidRPr="00937C8B" w14:paraId="3DC12AD3" w14:textId="77777777" w:rsidTr="00935676">
        <w:trPr>
          <w:cantSplit/>
        </w:trPr>
        <w:tc>
          <w:tcPr>
            <w:tcW w:w="1696" w:type="dxa"/>
            <w:tcBorders>
              <w:left w:val="single" w:sz="4" w:space="0" w:color="auto"/>
            </w:tcBorders>
            <w:shd w:val="clear" w:color="auto" w:fill="auto"/>
          </w:tcPr>
          <w:p w14:paraId="5BCFBDB9" w14:textId="77777777" w:rsidR="002A4DDF" w:rsidRPr="00937C8B" w:rsidRDefault="002A4DDF" w:rsidP="009110ED">
            <w:pPr>
              <w:rPr>
                <w:rFonts w:ascii="Arial" w:hAnsi="Arial" w:cs="Arial"/>
                <w:sz w:val="12"/>
                <w:szCs w:val="12"/>
              </w:rPr>
            </w:pPr>
          </w:p>
        </w:tc>
        <w:tc>
          <w:tcPr>
            <w:tcW w:w="1843" w:type="dxa"/>
            <w:shd w:val="clear" w:color="auto" w:fill="auto"/>
          </w:tcPr>
          <w:p w14:paraId="4BAE54C6" w14:textId="77777777" w:rsidR="002A4DDF" w:rsidRPr="00937C8B" w:rsidRDefault="002A4DDF" w:rsidP="009110ED">
            <w:pPr>
              <w:rPr>
                <w:rFonts w:ascii="Arial" w:hAnsi="Arial" w:cs="Arial"/>
                <w:sz w:val="12"/>
                <w:szCs w:val="12"/>
              </w:rPr>
            </w:pPr>
          </w:p>
        </w:tc>
        <w:tc>
          <w:tcPr>
            <w:tcW w:w="2268" w:type="dxa"/>
            <w:shd w:val="clear" w:color="auto" w:fill="F2F2F2"/>
            <w:hideMark/>
          </w:tcPr>
          <w:p w14:paraId="79F6FF5A" w14:textId="77777777" w:rsidR="002A4DDF" w:rsidRPr="00937C8B" w:rsidRDefault="002A4DDF" w:rsidP="009110ED">
            <w:pPr>
              <w:rPr>
                <w:rFonts w:ascii="Arial" w:hAnsi="Arial" w:cs="Arial"/>
                <w:sz w:val="12"/>
                <w:szCs w:val="12"/>
              </w:rPr>
            </w:pPr>
            <w:r>
              <w:rPr>
                <w:rFonts w:ascii="Arial" w:hAnsi="Arial"/>
                <w:sz w:val="12"/>
                <w:szCs w:val="12"/>
              </w:rPr>
              <w:t>Berceo</w:t>
            </w:r>
          </w:p>
        </w:tc>
        <w:tc>
          <w:tcPr>
            <w:tcW w:w="2268" w:type="dxa"/>
            <w:tcBorders>
              <w:right w:val="single" w:sz="4" w:space="0" w:color="auto"/>
            </w:tcBorders>
            <w:shd w:val="clear" w:color="auto" w:fill="D9D9D9"/>
            <w:hideMark/>
          </w:tcPr>
          <w:p w14:paraId="13AF0E38" w14:textId="77777777" w:rsidR="002A4DDF" w:rsidRPr="00937C8B" w:rsidRDefault="002A4DDF" w:rsidP="009110ED">
            <w:pPr>
              <w:rPr>
                <w:rFonts w:ascii="Arial" w:hAnsi="Arial" w:cs="Arial"/>
                <w:sz w:val="12"/>
                <w:szCs w:val="12"/>
              </w:rPr>
            </w:pPr>
          </w:p>
        </w:tc>
      </w:tr>
      <w:tr w:rsidR="002A4DDF" w:rsidRPr="00937C8B" w14:paraId="0D9B31FD" w14:textId="77777777" w:rsidTr="00935676">
        <w:trPr>
          <w:cantSplit/>
        </w:trPr>
        <w:tc>
          <w:tcPr>
            <w:tcW w:w="1696" w:type="dxa"/>
            <w:tcBorders>
              <w:left w:val="single" w:sz="4" w:space="0" w:color="auto"/>
            </w:tcBorders>
            <w:shd w:val="clear" w:color="auto" w:fill="auto"/>
          </w:tcPr>
          <w:p w14:paraId="3694A823" w14:textId="77777777" w:rsidR="002A4DDF" w:rsidRPr="00937C8B" w:rsidRDefault="002A4DDF" w:rsidP="009110ED">
            <w:pPr>
              <w:rPr>
                <w:rFonts w:ascii="Arial" w:hAnsi="Arial" w:cs="Arial"/>
                <w:sz w:val="12"/>
                <w:szCs w:val="12"/>
              </w:rPr>
            </w:pPr>
          </w:p>
        </w:tc>
        <w:tc>
          <w:tcPr>
            <w:tcW w:w="1843" w:type="dxa"/>
            <w:shd w:val="clear" w:color="auto" w:fill="auto"/>
          </w:tcPr>
          <w:p w14:paraId="00030522" w14:textId="77777777" w:rsidR="002A4DDF" w:rsidRPr="00937C8B" w:rsidRDefault="002A4DDF" w:rsidP="009110ED">
            <w:pPr>
              <w:rPr>
                <w:rFonts w:ascii="Arial" w:hAnsi="Arial" w:cs="Arial"/>
                <w:sz w:val="12"/>
                <w:szCs w:val="12"/>
              </w:rPr>
            </w:pPr>
          </w:p>
        </w:tc>
        <w:tc>
          <w:tcPr>
            <w:tcW w:w="2268" w:type="dxa"/>
            <w:shd w:val="clear" w:color="auto" w:fill="F2F2F2"/>
            <w:hideMark/>
          </w:tcPr>
          <w:p w14:paraId="0EE8A898" w14:textId="77777777" w:rsidR="002A4DDF" w:rsidRPr="00937C8B" w:rsidRDefault="002A4DDF" w:rsidP="009110ED">
            <w:pPr>
              <w:rPr>
                <w:rFonts w:ascii="Arial" w:hAnsi="Arial" w:cs="Arial"/>
                <w:sz w:val="12"/>
                <w:szCs w:val="12"/>
              </w:rPr>
            </w:pPr>
            <w:r>
              <w:rPr>
                <w:rFonts w:ascii="Arial" w:hAnsi="Arial"/>
                <w:sz w:val="12"/>
                <w:szCs w:val="12"/>
              </w:rPr>
              <w:t>Bergasa</w:t>
            </w:r>
          </w:p>
        </w:tc>
        <w:tc>
          <w:tcPr>
            <w:tcW w:w="2268" w:type="dxa"/>
            <w:tcBorders>
              <w:right w:val="single" w:sz="4" w:space="0" w:color="auto"/>
            </w:tcBorders>
            <w:shd w:val="clear" w:color="auto" w:fill="D9D9D9"/>
            <w:hideMark/>
          </w:tcPr>
          <w:p w14:paraId="0E988E63" w14:textId="77777777" w:rsidR="002A4DDF" w:rsidRPr="00937C8B" w:rsidRDefault="002A4DDF" w:rsidP="009110ED">
            <w:pPr>
              <w:rPr>
                <w:rFonts w:ascii="Arial" w:hAnsi="Arial" w:cs="Arial"/>
                <w:sz w:val="12"/>
                <w:szCs w:val="12"/>
              </w:rPr>
            </w:pPr>
          </w:p>
        </w:tc>
      </w:tr>
      <w:tr w:rsidR="002A4DDF" w:rsidRPr="00937C8B" w14:paraId="6FB94C2D" w14:textId="77777777" w:rsidTr="00935676">
        <w:trPr>
          <w:cantSplit/>
        </w:trPr>
        <w:tc>
          <w:tcPr>
            <w:tcW w:w="1696" w:type="dxa"/>
            <w:tcBorders>
              <w:left w:val="single" w:sz="4" w:space="0" w:color="auto"/>
            </w:tcBorders>
            <w:shd w:val="clear" w:color="auto" w:fill="auto"/>
          </w:tcPr>
          <w:p w14:paraId="15D973B8" w14:textId="77777777" w:rsidR="002A4DDF" w:rsidRPr="00937C8B" w:rsidRDefault="002A4DDF" w:rsidP="009110ED">
            <w:pPr>
              <w:rPr>
                <w:rFonts w:ascii="Arial" w:hAnsi="Arial" w:cs="Arial"/>
                <w:sz w:val="12"/>
                <w:szCs w:val="12"/>
              </w:rPr>
            </w:pPr>
          </w:p>
        </w:tc>
        <w:tc>
          <w:tcPr>
            <w:tcW w:w="1843" w:type="dxa"/>
            <w:shd w:val="clear" w:color="auto" w:fill="auto"/>
          </w:tcPr>
          <w:p w14:paraId="52390989" w14:textId="77777777" w:rsidR="002A4DDF" w:rsidRPr="00937C8B" w:rsidRDefault="002A4DDF" w:rsidP="009110ED">
            <w:pPr>
              <w:rPr>
                <w:rFonts w:ascii="Arial" w:hAnsi="Arial" w:cs="Arial"/>
                <w:sz w:val="12"/>
                <w:szCs w:val="12"/>
              </w:rPr>
            </w:pPr>
          </w:p>
        </w:tc>
        <w:tc>
          <w:tcPr>
            <w:tcW w:w="2268" w:type="dxa"/>
            <w:shd w:val="clear" w:color="auto" w:fill="F2F2F2"/>
            <w:hideMark/>
          </w:tcPr>
          <w:p w14:paraId="712FAAFD" w14:textId="77777777" w:rsidR="002A4DDF" w:rsidRPr="00937C8B" w:rsidRDefault="002A4DDF" w:rsidP="009110ED">
            <w:pPr>
              <w:rPr>
                <w:rFonts w:ascii="Arial" w:hAnsi="Arial" w:cs="Arial"/>
                <w:sz w:val="12"/>
                <w:szCs w:val="12"/>
              </w:rPr>
            </w:pPr>
            <w:r>
              <w:rPr>
                <w:rFonts w:ascii="Arial" w:hAnsi="Arial"/>
                <w:sz w:val="12"/>
                <w:szCs w:val="12"/>
              </w:rPr>
              <w:t>Bobadilla</w:t>
            </w:r>
          </w:p>
        </w:tc>
        <w:tc>
          <w:tcPr>
            <w:tcW w:w="2268" w:type="dxa"/>
            <w:tcBorders>
              <w:right w:val="single" w:sz="4" w:space="0" w:color="auto"/>
            </w:tcBorders>
            <w:shd w:val="clear" w:color="auto" w:fill="D9D9D9"/>
            <w:hideMark/>
          </w:tcPr>
          <w:p w14:paraId="4CBFA8BE" w14:textId="77777777" w:rsidR="002A4DDF" w:rsidRPr="00937C8B" w:rsidRDefault="002A4DDF" w:rsidP="009110ED">
            <w:pPr>
              <w:rPr>
                <w:rFonts w:ascii="Arial" w:hAnsi="Arial" w:cs="Arial"/>
                <w:sz w:val="12"/>
                <w:szCs w:val="12"/>
              </w:rPr>
            </w:pPr>
          </w:p>
        </w:tc>
      </w:tr>
      <w:tr w:rsidR="002A4DDF" w:rsidRPr="00937C8B" w14:paraId="6232C658" w14:textId="77777777" w:rsidTr="00935676">
        <w:trPr>
          <w:cantSplit/>
        </w:trPr>
        <w:tc>
          <w:tcPr>
            <w:tcW w:w="1696" w:type="dxa"/>
            <w:tcBorders>
              <w:left w:val="single" w:sz="4" w:space="0" w:color="auto"/>
            </w:tcBorders>
            <w:shd w:val="clear" w:color="auto" w:fill="auto"/>
          </w:tcPr>
          <w:p w14:paraId="32AC3B4E" w14:textId="77777777" w:rsidR="002A4DDF" w:rsidRPr="00937C8B" w:rsidRDefault="002A4DDF" w:rsidP="009110ED">
            <w:pPr>
              <w:rPr>
                <w:rFonts w:ascii="Arial" w:hAnsi="Arial" w:cs="Arial"/>
                <w:sz w:val="12"/>
                <w:szCs w:val="12"/>
              </w:rPr>
            </w:pPr>
          </w:p>
        </w:tc>
        <w:tc>
          <w:tcPr>
            <w:tcW w:w="1843" w:type="dxa"/>
            <w:shd w:val="clear" w:color="auto" w:fill="auto"/>
          </w:tcPr>
          <w:p w14:paraId="146BFAFA" w14:textId="77777777" w:rsidR="002A4DDF" w:rsidRPr="00937C8B" w:rsidRDefault="002A4DDF" w:rsidP="009110ED">
            <w:pPr>
              <w:rPr>
                <w:rFonts w:ascii="Arial" w:hAnsi="Arial" w:cs="Arial"/>
                <w:sz w:val="12"/>
                <w:szCs w:val="12"/>
              </w:rPr>
            </w:pPr>
          </w:p>
        </w:tc>
        <w:tc>
          <w:tcPr>
            <w:tcW w:w="2268" w:type="dxa"/>
            <w:shd w:val="clear" w:color="auto" w:fill="F2F2F2"/>
            <w:hideMark/>
          </w:tcPr>
          <w:p w14:paraId="0D8801EB" w14:textId="77777777" w:rsidR="002A4DDF" w:rsidRPr="00937C8B" w:rsidRDefault="002A4DDF" w:rsidP="009110ED">
            <w:pPr>
              <w:rPr>
                <w:rFonts w:ascii="Arial" w:hAnsi="Arial" w:cs="Arial"/>
                <w:sz w:val="12"/>
                <w:szCs w:val="12"/>
              </w:rPr>
            </w:pPr>
            <w:r>
              <w:rPr>
                <w:rFonts w:ascii="Arial" w:hAnsi="Arial"/>
                <w:sz w:val="12"/>
                <w:szCs w:val="12"/>
              </w:rPr>
              <w:t>Brieva de Cameros</w:t>
            </w:r>
          </w:p>
        </w:tc>
        <w:tc>
          <w:tcPr>
            <w:tcW w:w="2268" w:type="dxa"/>
            <w:tcBorders>
              <w:right w:val="single" w:sz="4" w:space="0" w:color="auto"/>
            </w:tcBorders>
            <w:shd w:val="clear" w:color="auto" w:fill="D9D9D9"/>
            <w:hideMark/>
          </w:tcPr>
          <w:p w14:paraId="35BE5795" w14:textId="77777777" w:rsidR="002A4DDF" w:rsidRPr="00937C8B" w:rsidRDefault="002A4DDF" w:rsidP="009110ED">
            <w:pPr>
              <w:rPr>
                <w:rFonts w:ascii="Arial" w:hAnsi="Arial" w:cs="Arial"/>
                <w:sz w:val="12"/>
                <w:szCs w:val="12"/>
              </w:rPr>
            </w:pPr>
          </w:p>
        </w:tc>
      </w:tr>
      <w:tr w:rsidR="002A4DDF" w:rsidRPr="00937C8B" w14:paraId="3C8AFCE0" w14:textId="77777777" w:rsidTr="00935676">
        <w:trPr>
          <w:cantSplit/>
        </w:trPr>
        <w:tc>
          <w:tcPr>
            <w:tcW w:w="1696" w:type="dxa"/>
            <w:tcBorders>
              <w:left w:val="single" w:sz="4" w:space="0" w:color="auto"/>
            </w:tcBorders>
            <w:shd w:val="clear" w:color="auto" w:fill="auto"/>
          </w:tcPr>
          <w:p w14:paraId="50F0084B" w14:textId="77777777" w:rsidR="002A4DDF" w:rsidRPr="00937C8B" w:rsidRDefault="002A4DDF" w:rsidP="009110ED">
            <w:pPr>
              <w:rPr>
                <w:rFonts w:ascii="Arial" w:hAnsi="Arial" w:cs="Arial"/>
                <w:sz w:val="12"/>
                <w:szCs w:val="12"/>
              </w:rPr>
            </w:pPr>
          </w:p>
        </w:tc>
        <w:tc>
          <w:tcPr>
            <w:tcW w:w="1843" w:type="dxa"/>
            <w:shd w:val="clear" w:color="auto" w:fill="auto"/>
          </w:tcPr>
          <w:p w14:paraId="237AF56C" w14:textId="77777777" w:rsidR="002A4DDF" w:rsidRPr="00937C8B" w:rsidRDefault="002A4DDF" w:rsidP="009110ED">
            <w:pPr>
              <w:rPr>
                <w:rFonts w:ascii="Arial" w:hAnsi="Arial" w:cs="Arial"/>
                <w:sz w:val="12"/>
                <w:szCs w:val="12"/>
              </w:rPr>
            </w:pPr>
          </w:p>
        </w:tc>
        <w:tc>
          <w:tcPr>
            <w:tcW w:w="2268" w:type="dxa"/>
            <w:shd w:val="clear" w:color="auto" w:fill="F2F2F2"/>
            <w:hideMark/>
          </w:tcPr>
          <w:p w14:paraId="3F25F159" w14:textId="77777777" w:rsidR="002A4DDF" w:rsidRPr="00937C8B" w:rsidRDefault="002A4DDF" w:rsidP="009110ED">
            <w:pPr>
              <w:rPr>
                <w:rFonts w:ascii="Arial" w:hAnsi="Arial" w:cs="Arial"/>
                <w:sz w:val="12"/>
                <w:szCs w:val="12"/>
              </w:rPr>
            </w:pPr>
            <w:r>
              <w:rPr>
                <w:rFonts w:ascii="Arial" w:hAnsi="Arial"/>
                <w:sz w:val="12"/>
                <w:szCs w:val="12"/>
              </w:rPr>
              <w:t>Calahorra</w:t>
            </w:r>
          </w:p>
        </w:tc>
        <w:tc>
          <w:tcPr>
            <w:tcW w:w="2268" w:type="dxa"/>
            <w:tcBorders>
              <w:right w:val="single" w:sz="4" w:space="0" w:color="auto"/>
            </w:tcBorders>
            <w:shd w:val="clear" w:color="auto" w:fill="D9D9D9"/>
            <w:hideMark/>
          </w:tcPr>
          <w:p w14:paraId="2DA8B741" w14:textId="77777777" w:rsidR="002A4DDF" w:rsidRPr="00937C8B" w:rsidRDefault="002A4DDF" w:rsidP="009110ED">
            <w:pPr>
              <w:rPr>
                <w:rFonts w:ascii="Arial" w:hAnsi="Arial" w:cs="Arial"/>
                <w:sz w:val="12"/>
                <w:szCs w:val="12"/>
              </w:rPr>
            </w:pPr>
          </w:p>
        </w:tc>
      </w:tr>
      <w:tr w:rsidR="002A4DDF" w:rsidRPr="00937C8B" w14:paraId="1775F558" w14:textId="77777777" w:rsidTr="00935676">
        <w:trPr>
          <w:cantSplit/>
        </w:trPr>
        <w:tc>
          <w:tcPr>
            <w:tcW w:w="1696" w:type="dxa"/>
            <w:tcBorders>
              <w:left w:val="single" w:sz="4" w:space="0" w:color="auto"/>
            </w:tcBorders>
            <w:shd w:val="clear" w:color="auto" w:fill="auto"/>
          </w:tcPr>
          <w:p w14:paraId="3B13E30F" w14:textId="77777777" w:rsidR="002A4DDF" w:rsidRPr="00937C8B" w:rsidRDefault="002A4DDF" w:rsidP="009110ED">
            <w:pPr>
              <w:rPr>
                <w:rFonts w:ascii="Arial" w:hAnsi="Arial" w:cs="Arial"/>
                <w:sz w:val="12"/>
                <w:szCs w:val="12"/>
              </w:rPr>
            </w:pPr>
          </w:p>
        </w:tc>
        <w:tc>
          <w:tcPr>
            <w:tcW w:w="1843" w:type="dxa"/>
            <w:shd w:val="clear" w:color="auto" w:fill="auto"/>
          </w:tcPr>
          <w:p w14:paraId="04FA8D72" w14:textId="77777777" w:rsidR="002A4DDF" w:rsidRPr="00937C8B" w:rsidRDefault="002A4DDF" w:rsidP="009110ED">
            <w:pPr>
              <w:rPr>
                <w:rFonts w:ascii="Arial" w:hAnsi="Arial" w:cs="Arial"/>
                <w:sz w:val="12"/>
                <w:szCs w:val="12"/>
              </w:rPr>
            </w:pPr>
          </w:p>
        </w:tc>
        <w:tc>
          <w:tcPr>
            <w:tcW w:w="2268" w:type="dxa"/>
            <w:shd w:val="clear" w:color="auto" w:fill="F2F2F2"/>
            <w:hideMark/>
          </w:tcPr>
          <w:p w14:paraId="1B10FD79" w14:textId="77777777" w:rsidR="002A4DDF" w:rsidRPr="00937C8B" w:rsidRDefault="002A4DDF" w:rsidP="009110ED">
            <w:pPr>
              <w:rPr>
                <w:rFonts w:ascii="Arial" w:hAnsi="Arial" w:cs="Arial"/>
                <w:sz w:val="12"/>
                <w:szCs w:val="12"/>
              </w:rPr>
            </w:pPr>
            <w:r>
              <w:rPr>
                <w:rFonts w:ascii="Arial" w:hAnsi="Arial"/>
                <w:sz w:val="12"/>
                <w:szCs w:val="12"/>
              </w:rPr>
              <w:t>Canales de la Sierra</w:t>
            </w:r>
          </w:p>
        </w:tc>
        <w:tc>
          <w:tcPr>
            <w:tcW w:w="2268" w:type="dxa"/>
            <w:tcBorders>
              <w:right w:val="single" w:sz="4" w:space="0" w:color="auto"/>
            </w:tcBorders>
            <w:shd w:val="clear" w:color="auto" w:fill="D9D9D9"/>
            <w:hideMark/>
          </w:tcPr>
          <w:p w14:paraId="75D8C121" w14:textId="77777777" w:rsidR="002A4DDF" w:rsidRPr="00937C8B" w:rsidRDefault="002A4DDF" w:rsidP="009110ED">
            <w:pPr>
              <w:rPr>
                <w:rFonts w:ascii="Arial" w:hAnsi="Arial" w:cs="Arial"/>
                <w:sz w:val="12"/>
                <w:szCs w:val="12"/>
              </w:rPr>
            </w:pPr>
          </w:p>
        </w:tc>
      </w:tr>
      <w:tr w:rsidR="002A4DDF" w:rsidRPr="00937C8B" w14:paraId="088F8563" w14:textId="77777777" w:rsidTr="00935676">
        <w:trPr>
          <w:cantSplit/>
        </w:trPr>
        <w:tc>
          <w:tcPr>
            <w:tcW w:w="1696" w:type="dxa"/>
            <w:tcBorders>
              <w:left w:val="single" w:sz="4" w:space="0" w:color="auto"/>
            </w:tcBorders>
            <w:shd w:val="clear" w:color="auto" w:fill="auto"/>
          </w:tcPr>
          <w:p w14:paraId="2351E93E" w14:textId="77777777" w:rsidR="002A4DDF" w:rsidRPr="00937C8B" w:rsidRDefault="002A4DDF" w:rsidP="009110ED">
            <w:pPr>
              <w:rPr>
                <w:rFonts w:ascii="Arial" w:hAnsi="Arial" w:cs="Arial"/>
                <w:sz w:val="12"/>
                <w:szCs w:val="12"/>
              </w:rPr>
            </w:pPr>
          </w:p>
        </w:tc>
        <w:tc>
          <w:tcPr>
            <w:tcW w:w="1843" w:type="dxa"/>
            <w:shd w:val="clear" w:color="auto" w:fill="auto"/>
          </w:tcPr>
          <w:p w14:paraId="186DB2D0" w14:textId="77777777" w:rsidR="002A4DDF" w:rsidRPr="00937C8B" w:rsidRDefault="002A4DDF" w:rsidP="009110ED">
            <w:pPr>
              <w:rPr>
                <w:rFonts w:ascii="Arial" w:hAnsi="Arial" w:cs="Arial"/>
                <w:sz w:val="12"/>
                <w:szCs w:val="12"/>
              </w:rPr>
            </w:pPr>
          </w:p>
        </w:tc>
        <w:tc>
          <w:tcPr>
            <w:tcW w:w="2268" w:type="dxa"/>
            <w:shd w:val="clear" w:color="auto" w:fill="F2F2F2"/>
            <w:hideMark/>
          </w:tcPr>
          <w:p w14:paraId="43718D62" w14:textId="77777777" w:rsidR="002A4DDF" w:rsidRPr="00937C8B" w:rsidRDefault="002A4DDF" w:rsidP="009110ED">
            <w:pPr>
              <w:rPr>
                <w:rFonts w:ascii="Arial" w:hAnsi="Arial" w:cs="Arial"/>
                <w:sz w:val="12"/>
                <w:szCs w:val="12"/>
              </w:rPr>
            </w:pPr>
            <w:r>
              <w:rPr>
                <w:rFonts w:ascii="Arial" w:hAnsi="Arial"/>
                <w:sz w:val="12"/>
                <w:szCs w:val="12"/>
              </w:rPr>
              <w:t>Cañas</w:t>
            </w:r>
          </w:p>
        </w:tc>
        <w:tc>
          <w:tcPr>
            <w:tcW w:w="2268" w:type="dxa"/>
            <w:tcBorders>
              <w:right w:val="single" w:sz="4" w:space="0" w:color="auto"/>
            </w:tcBorders>
            <w:shd w:val="clear" w:color="auto" w:fill="D9D9D9"/>
            <w:hideMark/>
          </w:tcPr>
          <w:p w14:paraId="7649CECD" w14:textId="77777777" w:rsidR="002A4DDF" w:rsidRPr="00937C8B" w:rsidRDefault="002A4DDF" w:rsidP="009110ED">
            <w:pPr>
              <w:rPr>
                <w:rFonts w:ascii="Arial" w:hAnsi="Arial" w:cs="Arial"/>
                <w:sz w:val="12"/>
                <w:szCs w:val="12"/>
              </w:rPr>
            </w:pPr>
          </w:p>
        </w:tc>
      </w:tr>
      <w:tr w:rsidR="002A4DDF" w:rsidRPr="00937C8B" w14:paraId="12BB6602" w14:textId="77777777" w:rsidTr="00935676">
        <w:trPr>
          <w:cantSplit/>
        </w:trPr>
        <w:tc>
          <w:tcPr>
            <w:tcW w:w="1696" w:type="dxa"/>
            <w:tcBorders>
              <w:left w:val="single" w:sz="4" w:space="0" w:color="auto"/>
            </w:tcBorders>
            <w:shd w:val="clear" w:color="auto" w:fill="auto"/>
          </w:tcPr>
          <w:p w14:paraId="04FCE4A2" w14:textId="77777777" w:rsidR="002A4DDF" w:rsidRPr="00937C8B" w:rsidRDefault="002A4DDF" w:rsidP="009110ED">
            <w:pPr>
              <w:rPr>
                <w:rFonts w:ascii="Arial" w:hAnsi="Arial" w:cs="Arial"/>
                <w:sz w:val="12"/>
                <w:szCs w:val="12"/>
              </w:rPr>
            </w:pPr>
          </w:p>
        </w:tc>
        <w:tc>
          <w:tcPr>
            <w:tcW w:w="1843" w:type="dxa"/>
            <w:shd w:val="clear" w:color="auto" w:fill="auto"/>
          </w:tcPr>
          <w:p w14:paraId="74DBE122" w14:textId="77777777" w:rsidR="002A4DDF" w:rsidRPr="00937C8B" w:rsidRDefault="002A4DDF" w:rsidP="009110ED">
            <w:pPr>
              <w:rPr>
                <w:rFonts w:ascii="Arial" w:hAnsi="Arial" w:cs="Arial"/>
                <w:sz w:val="12"/>
                <w:szCs w:val="12"/>
              </w:rPr>
            </w:pPr>
          </w:p>
        </w:tc>
        <w:tc>
          <w:tcPr>
            <w:tcW w:w="2268" w:type="dxa"/>
            <w:shd w:val="clear" w:color="auto" w:fill="F2F2F2"/>
            <w:hideMark/>
          </w:tcPr>
          <w:p w14:paraId="3258BDBA" w14:textId="77777777" w:rsidR="002A4DDF" w:rsidRPr="00937C8B" w:rsidRDefault="002A4DDF" w:rsidP="009110ED">
            <w:pPr>
              <w:rPr>
                <w:rFonts w:ascii="Arial" w:hAnsi="Arial" w:cs="Arial"/>
                <w:sz w:val="12"/>
                <w:szCs w:val="12"/>
              </w:rPr>
            </w:pPr>
            <w:r>
              <w:rPr>
                <w:rFonts w:ascii="Arial" w:hAnsi="Arial"/>
                <w:sz w:val="12"/>
                <w:szCs w:val="12"/>
              </w:rPr>
              <w:t>Cárdenas</w:t>
            </w:r>
          </w:p>
        </w:tc>
        <w:tc>
          <w:tcPr>
            <w:tcW w:w="2268" w:type="dxa"/>
            <w:tcBorders>
              <w:right w:val="single" w:sz="4" w:space="0" w:color="auto"/>
            </w:tcBorders>
            <w:shd w:val="clear" w:color="auto" w:fill="D9D9D9"/>
            <w:hideMark/>
          </w:tcPr>
          <w:p w14:paraId="11736376" w14:textId="77777777" w:rsidR="002A4DDF" w:rsidRPr="00937C8B" w:rsidRDefault="002A4DDF" w:rsidP="009110ED">
            <w:pPr>
              <w:rPr>
                <w:rFonts w:ascii="Arial" w:hAnsi="Arial" w:cs="Arial"/>
                <w:sz w:val="12"/>
                <w:szCs w:val="12"/>
              </w:rPr>
            </w:pPr>
          </w:p>
        </w:tc>
      </w:tr>
      <w:tr w:rsidR="002A4DDF" w:rsidRPr="00937C8B" w14:paraId="27BC76AB" w14:textId="77777777" w:rsidTr="00935676">
        <w:trPr>
          <w:cantSplit/>
        </w:trPr>
        <w:tc>
          <w:tcPr>
            <w:tcW w:w="1696" w:type="dxa"/>
            <w:tcBorders>
              <w:left w:val="single" w:sz="4" w:space="0" w:color="auto"/>
            </w:tcBorders>
            <w:shd w:val="clear" w:color="auto" w:fill="auto"/>
          </w:tcPr>
          <w:p w14:paraId="3A4520C9" w14:textId="77777777" w:rsidR="002A4DDF" w:rsidRPr="00937C8B" w:rsidRDefault="002A4DDF" w:rsidP="009110ED">
            <w:pPr>
              <w:rPr>
                <w:rFonts w:ascii="Arial" w:hAnsi="Arial" w:cs="Arial"/>
                <w:sz w:val="12"/>
                <w:szCs w:val="12"/>
              </w:rPr>
            </w:pPr>
          </w:p>
        </w:tc>
        <w:tc>
          <w:tcPr>
            <w:tcW w:w="1843" w:type="dxa"/>
            <w:shd w:val="clear" w:color="auto" w:fill="auto"/>
          </w:tcPr>
          <w:p w14:paraId="0907927E" w14:textId="77777777" w:rsidR="002A4DDF" w:rsidRPr="00937C8B" w:rsidRDefault="002A4DDF" w:rsidP="009110ED">
            <w:pPr>
              <w:rPr>
                <w:rFonts w:ascii="Arial" w:hAnsi="Arial" w:cs="Arial"/>
                <w:sz w:val="12"/>
                <w:szCs w:val="12"/>
              </w:rPr>
            </w:pPr>
          </w:p>
        </w:tc>
        <w:tc>
          <w:tcPr>
            <w:tcW w:w="2268" w:type="dxa"/>
            <w:shd w:val="clear" w:color="auto" w:fill="F2F2F2"/>
            <w:hideMark/>
          </w:tcPr>
          <w:p w14:paraId="028BAC97" w14:textId="77777777" w:rsidR="002A4DDF" w:rsidRPr="00937C8B" w:rsidRDefault="002A4DDF" w:rsidP="009110ED">
            <w:pPr>
              <w:rPr>
                <w:rFonts w:ascii="Arial" w:hAnsi="Arial" w:cs="Arial"/>
                <w:sz w:val="12"/>
                <w:szCs w:val="12"/>
              </w:rPr>
            </w:pPr>
            <w:r>
              <w:rPr>
                <w:rFonts w:ascii="Arial" w:hAnsi="Arial"/>
                <w:sz w:val="12"/>
                <w:szCs w:val="12"/>
              </w:rPr>
              <w:t>Casalarreina</w:t>
            </w:r>
          </w:p>
        </w:tc>
        <w:tc>
          <w:tcPr>
            <w:tcW w:w="2268" w:type="dxa"/>
            <w:tcBorders>
              <w:right w:val="single" w:sz="4" w:space="0" w:color="auto"/>
            </w:tcBorders>
            <w:shd w:val="clear" w:color="auto" w:fill="D9D9D9"/>
            <w:hideMark/>
          </w:tcPr>
          <w:p w14:paraId="4368D4E7" w14:textId="77777777" w:rsidR="002A4DDF" w:rsidRPr="00937C8B" w:rsidRDefault="002A4DDF" w:rsidP="009110ED">
            <w:pPr>
              <w:rPr>
                <w:rFonts w:ascii="Arial" w:hAnsi="Arial" w:cs="Arial"/>
                <w:sz w:val="12"/>
                <w:szCs w:val="12"/>
              </w:rPr>
            </w:pPr>
          </w:p>
        </w:tc>
      </w:tr>
      <w:tr w:rsidR="002A4DDF" w:rsidRPr="00937C8B" w14:paraId="29518040" w14:textId="77777777" w:rsidTr="00935676">
        <w:trPr>
          <w:cantSplit/>
        </w:trPr>
        <w:tc>
          <w:tcPr>
            <w:tcW w:w="1696" w:type="dxa"/>
            <w:tcBorders>
              <w:left w:val="single" w:sz="4" w:space="0" w:color="auto"/>
            </w:tcBorders>
            <w:shd w:val="clear" w:color="auto" w:fill="auto"/>
          </w:tcPr>
          <w:p w14:paraId="042132F3" w14:textId="77777777" w:rsidR="002A4DDF" w:rsidRPr="00937C8B" w:rsidRDefault="002A4DDF" w:rsidP="009110ED">
            <w:pPr>
              <w:rPr>
                <w:rFonts w:ascii="Arial" w:hAnsi="Arial" w:cs="Arial"/>
                <w:sz w:val="12"/>
                <w:szCs w:val="12"/>
              </w:rPr>
            </w:pPr>
          </w:p>
        </w:tc>
        <w:tc>
          <w:tcPr>
            <w:tcW w:w="1843" w:type="dxa"/>
            <w:shd w:val="clear" w:color="auto" w:fill="auto"/>
          </w:tcPr>
          <w:p w14:paraId="08AC49EE" w14:textId="77777777" w:rsidR="002A4DDF" w:rsidRPr="00937C8B" w:rsidRDefault="002A4DDF" w:rsidP="009110ED">
            <w:pPr>
              <w:rPr>
                <w:rFonts w:ascii="Arial" w:hAnsi="Arial" w:cs="Arial"/>
                <w:sz w:val="12"/>
                <w:szCs w:val="12"/>
              </w:rPr>
            </w:pPr>
          </w:p>
        </w:tc>
        <w:tc>
          <w:tcPr>
            <w:tcW w:w="2268" w:type="dxa"/>
            <w:shd w:val="clear" w:color="auto" w:fill="F2F2F2"/>
            <w:hideMark/>
          </w:tcPr>
          <w:p w14:paraId="549CE509" w14:textId="77777777" w:rsidR="002A4DDF" w:rsidRPr="00937C8B" w:rsidRDefault="002A4DDF" w:rsidP="009110ED">
            <w:pPr>
              <w:rPr>
                <w:rFonts w:ascii="Arial" w:hAnsi="Arial" w:cs="Arial"/>
                <w:sz w:val="12"/>
                <w:szCs w:val="12"/>
              </w:rPr>
            </w:pPr>
            <w:r>
              <w:rPr>
                <w:rFonts w:ascii="Arial" w:hAnsi="Arial"/>
                <w:sz w:val="12"/>
                <w:szCs w:val="12"/>
              </w:rPr>
              <w:t>Castañares de Rioja</w:t>
            </w:r>
          </w:p>
        </w:tc>
        <w:tc>
          <w:tcPr>
            <w:tcW w:w="2268" w:type="dxa"/>
            <w:tcBorders>
              <w:right w:val="single" w:sz="4" w:space="0" w:color="auto"/>
            </w:tcBorders>
            <w:shd w:val="clear" w:color="auto" w:fill="D9D9D9"/>
            <w:hideMark/>
          </w:tcPr>
          <w:p w14:paraId="220B5F3E" w14:textId="77777777" w:rsidR="002A4DDF" w:rsidRPr="00937C8B" w:rsidRDefault="002A4DDF" w:rsidP="009110ED">
            <w:pPr>
              <w:rPr>
                <w:rFonts w:ascii="Arial" w:hAnsi="Arial" w:cs="Arial"/>
                <w:sz w:val="12"/>
                <w:szCs w:val="12"/>
              </w:rPr>
            </w:pPr>
          </w:p>
        </w:tc>
      </w:tr>
      <w:tr w:rsidR="002A4DDF" w:rsidRPr="00937C8B" w14:paraId="528DC4F0" w14:textId="77777777" w:rsidTr="00935676">
        <w:trPr>
          <w:cantSplit/>
        </w:trPr>
        <w:tc>
          <w:tcPr>
            <w:tcW w:w="1696" w:type="dxa"/>
            <w:tcBorders>
              <w:left w:val="single" w:sz="4" w:space="0" w:color="auto"/>
            </w:tcBorders>
            <w:shd w:val="clear" w:color="auto" w:fill="auto"/>
          </w:tcPr>
          <w:p w14:paraId="36B1EFF7" w14:textId="77777777" w:rsidR="002A4DDF" w:rsidRPr="00937C8B" w:rsidRDefault="002A4DDF" w:rsidP="009110ED">
            <w:pPr>
              <w:rPr>
                <w:rFonts w:ascii="Arial" w:hAnsi="Arial" w:cs="Arial"/>
                <w:sz w:val="12"/>
                <w:szCs w:val="12"/>
              </w:rPr>
            </w:pPr>
          </w:p>
        </w:tc>
        <w:tc>
          <w:tcPr>
            <w:tcW w:w="1843" w:type="dxa"/>
            <w:shd w:val="clear" w:color="auto" w:fill="auto"/>
          </w:tcPr>
          <w:p w14:paraId="634FB2F7" w14:textId="77777777" w:rsidR="002A4DDF" w:rsidRPr="00937C8B" w:rsidRDefault="002A4DDF" w:rsidP="009110ED">
            <w:pPr>
              <w:rPr>
                <w:rFonts w:ascii="Arial" w:hAnsi="Arial" w:cs="Arial"/>
                <w:sz w:val="12"/>
                <w:szCs w:val="12"/>
              </w:rPr>
            </w:pPr>
          </w:p>
        </w:tc>
        <w:tc>
          <w:tcPr>
            <w:tcW w:w="2268" w:type="dxa"/>
            <w:shd w:val="clear" w:color="auto" w:fill="F2F2F2"/>
            <w:hideMark/>
          </w:tcPr>
          <w:p w14:paraId="03919E94" w14:textId="77777777" w:rsidR="002A4DDF" w:rsidRPr="00937C8B" w:rsidRDefault="002A4DDF" w:rsidP="009110ED">
            <w:pPr>
              <w:rPr>
                <w:rFonts w:ascii="Arial" w:hAnsi="Arial" w:cs="Arial"/>
                <w:sz w:val="12"/>
                <w:szCs w:val="12"/>
              </w:rPr>
            </w:pPr>
            <w:r>
              <w:rPr>
                <w:rFonts w:ascii="Arial" w:hAnsi="Arial"/>
                <w:sz w:val="12"/>
                <w:szCs w:val="12"/>
              </w:rPr>
              <w:t>Cervera del Río Alhama</w:t>
            </w:r>
          </w:p>
        </w:tc>
        <w:tc>
          <w:tcPr>
            <w:tcW w:w="2268" w:type="dxa"/>
            <w:tcBorders>
              <w:right w:val="single" w:sz="4" w:space="0" w:color="auto"/>
            </w:tcBorders>
            <w:shd w:val="clear" w:color="auto" w:fill="D9D9D9"/>
            <w:hideMark/>
          </w:tcPr>
          <w:p w14:paraId="047D3603" w14:textId="77777777" w:rsidR="002A4DDF" w:rsidRPr="00937C8B" w:rsidRDefault="002A4DDF" w:rsidP="009110ED">
            <w:pPr>
              <w:rPr>
                <w:rFonts w:ascii="Arial" w:hAnsi="Arial" w:cs="Arial"/>
                <w:sz w:val="12"/>
                <w:szCs w:val="12"/>
              </w:rPr>
            </w:pPr>
          </w:p>
        </w:tc>
      </w:tr>
      <w:tr w:rsidR="002A4DDF" w:rsidRPr="00937C8B" w14:paraId="3C8599A5" w14:textId="77777777" w:rsidTr="00935676">
        <w:trPr>
          <w:cantSplit/>
        </w:trPr>
        <w:tc>
          <w:tcPr>
            <w:tcW w:w="1696" w:type="dxa"/>
            <w:tcBorders>
              <w:left w:val="single" w:sz="4" w:space="0" w:color="auto"/>
            </w:tcBorders>
            <w:shd w:val="clear" w:color="auto" w:fill="auto"/>
          </w:tcPr>
          <w:p w14:paraId="23C91FB4" w14:textId="77777777" w:rsidR="002A4DDF" w:rsidRPr="00937C8B" w:rsidRDefault="002A4DDF" w:rsidP="009110ED">
            <w:pPr>
              <w:rPr>
                <w:rFonts w:ascii="Arial" w:hAnsi="Arial" w:cs="Arial"/>
                <w:sz w:val="12"/>
                <w:szCs w:val="12"/>
              </w:rPr>
            </w:pPr>
          </w:p>
        </w:tc>
        <w:tc>
          <w:tcPr>
            <w:tcW w:w="1843" w:type="dxa"/>
            <w:shd w:val="clear" w:color="auto" w:fill="auto"/>
          </w:tcPr>
          <w:p w14:paraId="75D2012C" w14:textId="77777777" w:rsidR="002A4DDF" w:rsidRPr="00937C8B" w:rsidRDefault="002A4DDF" w:rsidP="009110ED">
            <w:pPr>
              <w:rPr>
                <w:rFonts w:ascii="Arial" w:hAnsi="Arial" w:cs="Arial"/>
                <w:sz w:val="12"/>
                <w:szCs w:val="12"/>
              </w:rPr>
            </w:pPr>
          </w:p>
        </w:tc>
        <w:tc>
          <w:tcPr>
            <w:tcW w:w="2268" w:type="dxa"/>
            <w:shd w:val="clear" w:color="auto" w:fill="F2F2F2"/>
            <w:hideMark/>
          </w:tcPr>
          <w:p w14:paraId="1483EB73" w14:textId="77777777" w:rsidR="002A4DDF" w:rsidRPr="00937C8B" w:rsidRDefault="002A4DDF" w:rsidP="009110ED">
            <w:pPr>
              <w:rPr>
                <w:rFonts w:ascii="Arial" w:hAnsi="Arial" w:cs="Arial"/>
                <w:sz w:val="12"/>
                <w:szCs w:val="12"/>
              </w:rPr>
            </w:pPr>
            <w:r>
              <w:rPr>
                <w:rFonts w:ascii="Arial" w:hAnsi="Arial"/>
                <w:sz w:val="12"/>
                <w:szCs w:val="12"/>
              </w:rPr>
              <w:t>Cidamón</w:t>
            </w:r>
          </w:p>
        </w:tc>
        <w:tc>
          <w:tcPr>
            <w:tcW w:w="2268" w:type="dxa"/>
            <w:tcBorders>
              <w:right w:val="single" w:sz="4" w:space="0" w:color="auto"/>
            </w:tcBorders>
            <w:shd w:val="clear" w:color="auto" w:fill="D9D9D9"/>
            <w:hideMark/>
          </w:tcPr>
          <w:p w14:paraId="23EC5500" w14:textId="77777777" w:rsidR="002A4DDF" w:rsidRPr="00937C8B" w:rsidRDefault="002A4DDF" w:rsidP="009110ED">
            <w:pPr>
              <w:rPr>
                <w:rFonts w:ascii="Arial" w:hAnsi="Arial" w:cs="Arial"/>
                <w:sz w:val="12"/>
                <w:szCs w:val="12"/>
              </w:rPr>
            </w:pPr>
          </w:p>
        </w:tc>
      </w:tr>
      <w:tr w:rsidR="002A4DDF" w:rsidRPr="00937C8B" w14:paraId="4318DE47" w14:textId="77777777" w:rsidTr="00935676">
        <w:trPr>
          <w:cantSplit/>
        </w:trPr>
        <w:tc>
          <w:tcPr>
            <w:tcW w:w="1696" w:type="dxa"/>
            <w:tcBorders>
              <w:left w:val="single" w:sz="4" w:space="0" w:color="auto"/>
            </w:tcBorders>
            <w:shd w:val="clear" w:color="auto" w:fill="auto"/>
          </w:tcPr>
          <w:p w14:paraId="6C643511" w14:textId="77777777" w:rsidR="002A4DDF" w:rsidRPr="00937C8B" w:rsidRDefault="002A4DDF" w:rsidP="009110ED">
            <w:pPr>
              <w:rPr>
                <w:rFonts w:ascii="Arial" w:hAnsi="Arial" w:cs="Arial"/>
                <w:sz w:val="12"/>
                <w:szCs w:val="12"/>
              </w:rPr>
            </w:pPr>
          </w:p>
        </w:tc>
        <w:tc>
          <w:tcPr>
            <w:tcW w:w="1843" w:type="dxa"/>
            <w:shd w:val="clear" w:color="auto" w:fill="auto"/>
          </w:tcPr>
          <w:p w14:paraId="5B54BD1E" w14:textId="77777777" w:rsidR="002A4DDF" w:rsidRPr="00937C8B" w:rsidRDefault="002A4DDF" w:rsidP="009110ED">
            <w:pPr>
              <w:rPr>
                <w:rFonts w:ascii="Arial" w:hAnsi="Arial" w:cs="Arial"/>
                <w:sz w:val="12"/>
                <w:szCs w:val="12"/>
              </w:rPr>
            </w:pPr>
          </w:p>
        </w:tc>
        <w:tc>
          <w:tcPr>
            <w:tcW w:w="2268" w:type="dxa"/>
            <w:shd w:val="clear" w:color="auto" w:fill="F2F2F2"/>
            <w:hideMark/>
          </w:tcPr>
          <w:p w14:paraId="5CE8101F" w14:textId="77777777" w:rsidR="002A4DDF" w:rsidRPr="00937C8B" w:rsidRDefault="002A4DDF" w:rsidP="009110ED">
            <w:pPr>
              <w:rPr>
                <w:rFonts w:ascii="Arial" w:hAnsi="Arial" w:cs="Arial"/>
                <w:sz w:val="12"/>
                <w:szCs w:val="12"/>
              </w:rPr>
            </w:pPr>
            <w:r>
              <w:rPr>
                <w:rFonts w:ascii="Arial" w:hAnsi="Arial"/>
                <w:sz w:val="12"/>
                <w:szCs w:val="12"/>
              </w:rPr>
              <w:t>Cirueña</w:t>
            </w:r>
          </w:p>
        </w:tc>
        <w:tc>
          <w:tcPr>
            <w:tcW w:w="2268" w:type="dxa"/>
            <w:tcBorders>
              <w:right w:val="single" w:sz="4" w:space="0" w:color="auto"/>
            </w:tcBorders>
            <w:shd w:val="clear" w:color="auto" w:fill="D9D9D9"/>
            <w:hideMark/>
          </w:tcPr>
          <w:p w14:paraId="4DBF6880" w14:textId="77777777" w:rsidR="002A4DDF" w:rsidRPr="00937C8B" w:rsidRDefault="002A4DDF" w:rsidP="009110ED">
            <w:pPr>
              <w:rPr>
                <w:rFonts w:ascii="Arial" w:hAnsi="Arial" w:cs="Arial"/>
                <w:sz w:val="12"/>
                <w:szCs w:val="12"/>
              </w:rPr>
            </w:pPr>
          </w:p>
        </w:tc>
      </w:tr>
      <w:tr w:rsidR="002A4DDF" w:rsidRPr="00937C8B" w14:paraId="00C35626" w14:textId="77777777" w:rsidTr="00935676">
        <w:trPr>
          <w:cantSplit/>
        </w:trPr>
        <w:tc>
          <w:tcPr>
            <w:tcW w:w="1696" w:type="dxa"/>
            <w:tcBorders>
              <w:left w:val="single" w:sz="4" w:space="0" w:color="auto"/>
            </w:tcBorders>
            <w:shd w:val="clear" w:color="auto" w:fill="auto"/>
          </w:tcPr>
          <w:p w14:paraId="2C141339" w14:textId="77777777" w:rsidR="002A4DDF" w:rsidRPr="00937C8B" w:rsidRDefault="002A4DDF" w:rsidP="009110ED">
            <w:pPr>
              <w:rPr>
                <w:rFonts w:ascii="Arial" w:hAnsi="Arial" w:cs="Arial"/>
                <w:sz w:val="12"/>
                <w:szCs w:val="12"/>
              </w:rPr>
            </w:pPr>
          </w:p>
        </w:tc>
        <w:tc>
          <w:tcPr>
            <w:tcW w:w="1843" w:type="dxa"/>
            <w:shd w:val="clear" w:color="auto" w:fill="auto"/>
          </w:tcPr>
          <w:p w14:paraId="19324BD9" w14:textId="77777777" w:rsidR="002A4DDF" w:rsidRPr="00937C8B" w:rsidRDefault="002A4DDF" w:rsidP="009110ED">
            <w:pPr>
              <w:rPr>
                <w:rFonts w:ascii="Arial" w:hAnsi="Arial" w:cs="Arial"/>
                <w:sz w:val="12"/>
                <w:szCs w:val="12"/>
              </w:rPr>
            </w:pPr>
          </w:p>
        </w:tc>
        <w:tc>
          <w:tcPr>
            <w:tcW w:w="2268" w:type="dxa"/>
            <w:shd w:val="clear" w:color="auto" w:fill="F2F2F2"/>
            <w:hideMark/>
          </w:tcPr>
          <w:p w14:paraId="39948B04" w14:textId="77777777" w:rsidR="002A4DDF" w:rsidRPr="00937C8B" w:rsidRDefault="002A4DDF" w:rsidP="009110ED">
            <w:pPr>
              <w:rPr>
                <w:rFonts w:ascii="Arial" w:hAnsi="Arial" w:cs="Arial"/>
                <w:sz w:val="12"/>
                <w:szCs w:val="12"/>
              </w:rPr>
            </w:pPr>
            <w:r>
              <w:rPr>
                <w:rFonts w:ascii="Arial" w:hAnsi="Arial"/>
                <w:sz w:val="12"/>
                <w:szCs w:val="12"/>
              </w:rPr>
              <w:t>Cornago</w:t>
            </w:r>
          </w:p>
        </w:tc>
        <w:tc>
          <w:tcPr>
            <w:tcW w:w="2268" w:type="dxa"/>
            <w:tcBorders>
              <w:right w:val="single" w:sz="4" w:space="0" w:color="auto"/>
            </w:tcBorders>
            <w:shd w:val="clear" w:color="auto" w:fill="D9D9D9"/>
            <w:hideMark/>
          </w:tcPr>
          <w:p w14:paraId="12A5E15D" w14:textId="77777777" w:rsidR="002A4DDF" w:rsidRPr="00937C8B" w:rsidRDefault="002A4DDF" w:rsidP="009110ED">
            <w:pPr>
              <w:rPr>
                <w:rFonts w:ascii="Arial" w:hAnsi="Arial" w:cs="Arial"/>
                <w:sz w:val="12"/>
                <w:szCs w:val="12"/>
              </w:rPr>
            </w:pPr>
          </w:p>
        </w:tc>
      </w:tr>
      <w:tr w:rsidR="002A4DDF" w:rsidRPr="00937C8B" w14:paraId="379F47EF" w14:textId="77777777" w:rsidTr="00935676">
        <w:trPr>
          <w:cantSplit/>
        </w:trPr>
        <w:tc>
          <w:tcPr>
            <w:tcW w:w="1696" w:type="dxa"/>
            <w:tcBorders>
              <w:left w:val="single" w:sz="4" w:space="0" w:color="auto"/>
            </w:tcBorders>
            <w:shd w:val="clear" w:color="auto" w:fill="auto"/>
          </w:tcPr>
          <w:p w14:paraId="60CCAD78" w14:textId="77777777" w:rsidR="002A4DDF" w:rsidRPr="00937C8B" w:rsidRDefault="002A4DDF" w:rsidP="009110ED">
            <w:pPr>
              <w:rPr>
                <w:rFonts w:ascii="Arial" w:hAnsi="Arial" w:cs="Arial"/>
                <w:sz w:val="12"/>
                <w:szCs w:val="12"/>
              </w:rPr>
            </w:pPr>
          </w:p>
        </w:tc>
        <w:tc>
          <w:tcPr>
            <w:tcW w:w="1843" w:type="dxa"/>
            <w:shd w:val="clear" w:color="auto" w:fill="auto"/>
          </w:tcPr>
          <w:p w14:paraId="2727C13E" w14:textId="77777777" w:rsidR="002A4DDF" w:rsidRPr="00937C8B" w:rsidRDefault="002A4DDF" w:rsidP="009110ED">
            <w:pPr>
              <w:rPr>
                <w:rFonts w:ascii="Arial" w:hAnsi="Arial" w:cs="Arial"/>
                <w:sz w:val="12"/>
                <w:szCs w:val="12"/>
              </w:rPr>
            </w:pPr>
          </w:p>
        </w:tc>
        <w:tc>
          <w:tcPr>
            <w:tcW w:w="2268" w:type="dxa"/>
            <w:shd w:val="clear" w:color="auto" w:fill="F2F2F2"/>
            <w:hideMark/>
          </w:tcPr>
          <w:p w14:paraId="3B2D3500" w14:textId="77777777" w:rsidR="002A4DDF" w:rsidRPr="00937C8B" w:rsidRDefault="002A4DDF" w:rsidP="009110ED">
            <w:pPr>
              <w:rPr>
                <w:rFonts w:ascii="Arial" w:hAnsi="Arial" w:cs="Arial"/>
                <w:sz w:val="12"/>
                <w:szCs w:val="12"/>
              </w:rPr>
            </w:pPr>
            <w:r>
              <w:rPr>
                <w:rFonts w:ascii="Arial" w:hAnsi="Arial"/>
                <w:sz w:val="12"/>
                <w:szCs w:val="12"/>
              </w:rPr>
              <w:t>El Rasillo de Cameros</w:t>
            </w:r>
          </w:p>
        </w:tc>
        <w:tc>
          <w:tcPr>
            <w:tcW w:w="2268" w:type="dxa"/>
            <w:tcBorders>
              <w:right w:val="single" w:sz="4" w:space="0" w:color="auto"/>
            </w:tcBorders>
            <w:shd w:val="clear" w:color="auto" w:fill="D9D9D9"/>
            <w:hideMark/>
          </w:tcPr>
          <w:p w14:paraId="505713CC" w14:textId="77777777" w:rsidR="002A4DDF" w:rsidRPr="00937C8B" w:rsidRDefault="002A4DDF" w:rsidP="009110ED">
            <w:pPr>
              <w:rPr>
                <w:rFonts w:ascii="Arial" w:hAnsi="Arial" w:cs="Arial"/>
                <w:sz w:val="12"/>
                <w:szCs w:val="12"/>
              </w:rPr>
            </w:pPr>
          </w:p>
        </w:tc>
      </w:tr>
      <w:tr w:rsidR="002A4DDF" w:rsidRPr="00937C8B" w14:paraId="3AC77C60" w14:textId="77777777" w:rsidTr="00935676">
        <w:trPr>
          <w:cantSplit/>
        </w:trPr>
        <w:tc>
          <w:tcPr>
            <w:tcW w:w="1696" w:type="dxa"/>
            <w:tcBorders>
              <w:left w:val="single" w:sz="4" w:space="0" w:color="auto"/>
            </w:tcBorders>
            <w:shd w:val="clear" w:color="auto" w:fill="auto"/>
          </w:tcPr>
          <w:p w14:paraId="749778F5" w14:textId="77777777" w:rsidR="002A4DDF" w:rsidRPr="00937C8B" w:rsidRDefault="002A4DDF" w:rsidP="009110ED">
            <w:pPr>
              <w:rPr>
                <w:rFonts w:ascii="Arial" w:hAnsi="Arial" w:cs="Arial"/>
                <w:sz w:val="12"/>
                <w:szCs w:val="12"/>
              </w:rPr>
            </w:pPr>
          </w:p>
        </w:tc>
        <w:tc>
          <w:tcPr>
            <w:tcW w:w="1843" w:type="dxa"/>
            <w:shd w:val="clear" w:color="auto" w:fill="auto"/>
          </w:tcPr>
          <w:p w14:paraId="720846BD" w14:textId="77777777" w:rsidR="002A4DDF" w:rsidRPr="00937C8B" w:rsidRDefault="002A4DDF" w:rsidP="009110ED">
            <w:pPr>
              <w:rPr>
                <w:rFonts w:ascii="Arial" w:hAnsi="Arial" w:cs="Arial"/>
                <w:sz w:val="12"/>
                <w:szCs w:val="12"/>
              </w:rPr>
            </w:pPr>
          </w:p>
        </w:tc>
        <w:tc>
          <w:tcPr>
            <w:tcW w:w="2268" w:type="dxa"/>
            <w:shd w:val="clear" w:color="auto" w:fill="F2F2F2"/>
            <w:hideMark/>
          </w:tcPr>
          <w:p w14:paraId="428EA4B1" w14:textId="77777777" w:rsidR="002A4DDF" w:rsidRPr="00937C8B" w:rsidRDefault="002A4DDF" w:rsidP="009110ED">
            <w:pPr>
              <w:rPr>
                <w:rFonts w:ascii="Arial" w:hAnsi="Arial" w:cs="Arial"/>
                <w:sz w:val="12"/>
                <w:szCs w:val="12"/>
              </w:rPr>
            </w:pPr>
            <w:r>
              <w:rPr>
                <w:rFonts w:ascii="Arial" w:hAnsi="Arial"/>
                <w:sz w:val="12"/>
                <w:szCs w:val="12"/>
              </w:rPr>
              <w:t>Enciso</w:t>
            </w:r>
          </w:p>
        </w:tc>
        <w:tc>
          <w:tcPr>
            <w:tcW w:w="2268" w:type="dxa"/>
            <w:tcBorders>
              <w:right w:val="single" w:sz="4" w:space="0" w:color="auto"/>
            </w:tcBorders>
            <w:shd w:val="clear" w:color="auto" w:fill="D9D9D9"/>
            <w:hideMark/>
          </w:tcPr>
          <w:p w14:paraId="7550E0A8" w14:textId="77777777" w:rsidR="002A4DDF" w:rsidRPr="00937C8B" w:rsidRDefault="002A4DDF" w:rsidP="009110ED">
            <w:pPr>
              <w:rPr>
                <w:rFonts w:ascii="Arial" w:hAnsi="Arial" w:cs="Arial"/>
                <w:sz w:val="12"/>
                <w:szCs w:val="12"/>
              </w:rPr>
            </w:pPr>
          </w:p>
        </w:tc>
      </w:tr>
      <w:tr w:rsidR="002A4DDF" w:rsidRPr="00937C8B" w14:paraId="79FD8635" w14:textId="77777777" w:rsidTr="00935676">
        <w:trPr>
          <w:cantSplit/>
        </w:trPr>
        <w:tc>
          <w:tcPr>
            <w:tcW w:w="1696" w:type="dxa"/>
            <w:tcBorders>
              <w:left w:val="single" w:sz="4" w:space="0" w:color="auto"/>
            </w:tcBorders>
            <w:shd w:val="clear" w:color="auto" w:fill="auto"/>
          </w:tcPr>
          <w:p w14:paraId="11FB45B8" w14:textId="77777777" w:rsidR="002A4DDF" w:rsidRPr="00937C8B" w:rsidRDefault="002A4DDF" w:rsidP="009110ED">
            <w:pPr>
              <w:rPr>
                <w:rFonts w:ascii="Arial" w:hAnsi="Arial" w:cs="Arial"/>
                <w:sz w:val="12"/>
                <w:szCs w:val="12"/>
              </w:rPr>
            </w:pPr>
          </w:p>
        </w:tc>
        <w:tc>
          <w:tcPr>
            <w:tcW w:w="1843" w:type="dxa"/>
            <w:shd w:val="clear" w:color="auto" w:fill="auto"/>
          </w:tcPr>
          <w:p w14:paraId="6FAE6B53" w14:textId="77777777" w:rsidR="002A4DDF" w:rsidRPr="00937C8B" w:rsidRDefault="002A4DDF" w:rsidP="009110ED">
            <w:pPr>
              <w:rPr>
                <w:rFonts w:ascii="Arial" w:hAnsi="Arial" w:cs="Arial"/>
                <w:sz w:val="12"/>
                <w:szCs w:val="12"/>
              </w:rPr>
            </w:pPr>
          </w:p>
        </w:tc>
        <w:tc>
          <w:tcPr>
            <w:tcW w:w="2268" w:type="dxa"/>
            <w:shd w:val="clear" w:color="auto" w:fill="F2F2F2"/>
            <w:hideMark/>
          </w:tcPr>
          <w:p w14:paraId="115833EF" w14:textId="77777777" w:rsidR="002A4DDF" w:rsidRPr="00937C8B" w:rsidRDefault="002A4DDF" w:rsidP="009110ED">
            <w:pPr>
              <w:rPr>
                <w:rFonts w:ascii="Arial" w:hAnsi="Arial" w:cs="Arial"/>
                <w:sz w:val="12"/>
                <w:szCs w:val="12"/>
              </w:rPr>
            </w:pPr>
            <w:r>
              <w:rPr>
                <w:rFonts w:ascii="Arial" w:hAnsi="Arial"/>
                <w:sz w:val="12"/>
                <w:szCs w:val="12"/>
              </w:rPr>
              <w:t>Estollo</w:t>
            </w:r>
          </w:p>
        </w:tc>
        <w:tc>
          <w:tcPr>
            <w:tcW w:w="2268" w:type="dxa"/>
            <w:tcBorders>
              <w:right w:val="single" w:sz="4" w:space="0" w:color="auto"/>
            </w:tcBorders>
            <w:shd w:val="clear" w:color="auto" w:fill="D9D9D9"/>
            <w:hideMark/>
          </w:tcPr>
          <w:p w14:paraId="7FCD1723" w14:textId="77777777" w:rsidR="002A4DDF" w:rsidRPr="00937C8B" w:rsidRDefault="002A4DDF" w:rsidP="009110ED">
            <w:pPr>
              <w:rPr>
                <w:rFonts w:ascii="Arial" w:hAnsi="Arial" w:cs="Arial"/>
                <w:sz w:val="12"/>
                <w:szCs w:val="12"/>
              </w:rPr>
            </w:pPr>
          </w:p>
        </w:tc>
      </w:tr>
      <w:tr w:rsidR="002A4DDF" w:rsidRPr="00937C8B" w14:paraId="75295B1C" w14:textId="77777777" w:rsidTr="00935676">
        <w:trPr>
          <w:cantSplit/>
        </w:trPr>
        <w:tc>
          <w:tcPr>
            <w:tcW w:w="1696" w:type="dxa"/>
            <w:tcBorders>
              <w:left w:val="single" w:sz="4" w:space="0" w:color="auto"/>
            </w:tcBorders>
            <w:shd w:val="clear" w:color="auto" w:fill="auto"/>
          </w:tcPr>
          <w:p w14:paraId="0E12A00F" w14:textId="77777777" w:rsidR="002A4DDF" w:rsidRPr="00937C8B" w:rsidRDefault="002A4DDF" w:rsidP="009110ED">
            <w:pPr>
              <w:rPr>
                <w:rFonts w:ascii="Arial" w:hAnsi="Arial" w:cs="Arial"/>
                <w:sz w:val="12"/>
                <w:szCs w:val="12"/>
              </w:rPr>
            </w:pPr>
          </w:p>
        </w:tc>
        <w:tc>
          <w:tcPr>
            <w:tcW w:w="1843" w:type="dxa"/>
            <w:shd w:val="clear" w:color="auto" w:fill="auto"/>
          </w:tcPr>
          <w:p w14:paraId="7B931C36" w14:textId="77777777" w:rsidR="002A4DDF" w:rsidRPr="00937C8B" w:rsidRDefault="002A4DDF" w:rsidP="009110ED">
            <w:pPr>
              <w:rPr>
                <w:rFonts w:ascii="Arial" w:hAnsi="Arial" w:cs="Arial"/>
                <w:sz w:val="12"/>
                <w:szCs w:val="12"/>
              </w:rPr>
            </w:pPr>
          </w:p>
        </w:tc>
        <w:tc>
          <w:tcPr>
            <w:tcW w:w="2268" w:type="dxa"/>
            <w:shd w:val="clear" w:color="auto" w:fill="F2F2F2"/>
            <w:hideMark/>
          </w:tcPr>
          <w:p w14:paraId="55AE4FBB" w14:textId="77777777" w:rsidR="002A4DDF" w:rsidRPr="00937C8B" w:rsidRDefault="002A4DDF" w:rsidP="009110ED">
            <w:pPr>
              <w:rPr>
                <w:rFonts w:ascii="Arial" w:hAnsi="Arial" w:cs="Arial"/>
                <w:sz w:val="12"/>
                <w:szCs w:val="12"/>
              </w:rPr>
            </w:pPr>
            <w:r>
              <w:rPr>
                <w:rFonts w:ascii="Arial" w:hAnsi="Arial"/>
                <w:sz w:val="12"/>
                <w:szCs w:val="12"/>
              </w:rPr>
              <w:t>Ezcaray</w:t>
            </w:r>
          </w:p>
        </w:tc>
        <w:tc>
          <w:tcPr>
            <w:tcW w:w="2268" w:type="dxa"/>
            <w:tcBorders>
              <w:right w:val="single" w:sz="4" w:space="0" w:color="auto"/>
            </w:tcBorders>
            <w:shd w:val="clear" w:color="auto" w:fill="D9D9D9"/>
            <w:hideMark/>
          </w:tcPr>
          <w:p w14:paraId="1B35AC8D" w14:textId="77777777" w:rsidR="002A4DDF" w:rsidRPr="00937C8B" w:rsidRDefault="002A4DDF" w:rsidP="009110ED">
            <w:pPr>
              <w:rPr>
                <w:rFonts w:ascii="Arial" w:hAnsi="Arial" w:cs="Arial"/>
                <w:sz w:val="12"/>
                <w:szCs w:val="12"/>
              </w:rPr>
            </w:pPr>
          </w:p>
        </w:tc>
      </w:tr>
      <w:tr w:rsidR="002A4DDF" w:rsidRPr="00937C8B" w14:paraId="4B5BC2EB" w14:textId="77777777" w:rsidTr="00935676">
        <w:trPr>
          <w:cantSplit/>
        </w:trPr>
        <w:tc>
          <w:tcPr>
            <w:tcW w:w="1696" w:type="dxa"/>
            <w:tcBorders>
              <w:left w:val="single" w:sz="4" w:space="0" w:color="auto"/>
            </w:tcBorders>
            <w:shd w:val="clear" w:color="auto" w:fill="auto"/>
          </w:tcPr>
          <w:p w14:paraId="4E9942B9" w14:textId="77777777" w:rsidR="002A4DDF" w:rsidRPr="00937C8B" w:rsidRDefault="002A4DDF" w:rsidP="009110ED">
            <w:pPr>
              <w:rPr>
                <w:rFonts w:ascii="Arial" w:hAnsi="Arial" w:cs="Arial"/>
                <w:sz w:val="12"/>
                <w:szCs w:val="12"/>
              </w:rPr>
            </w:pPr>
          </w:p>
        </w:tc>
        <w:tc>
          <w:tcPr>
            <w:tcW w:w="1843" w:type="dxa"/>
            <w:shd w:val="clear" w:color="auto" w:fill="auto"/>
          </w:tcPr>
          <w:p w14:paraId="68A18F4B" w14:textId="77777777" w:rsidR="002A4DDF" w:rsidRPr="00937C8B" w:rsidRDefault="002A4DDF" w:rsidP="009110ED">
            <w:pPr>
              <w:rPr>
                <w:rFonts w:ascii="Arial" w:hAnsi="Arial" w:cs="Arial"/>
                <w:sz w:val="12"/>
                <w:szCs w:val="12"/>
              </w:rPr>
            </w:pPr>
          </w:p>
        </w:tc>
        <w:tc>
          <w:tcPr>
            <w:tcW w:w="2268" w:type="dxa"/>
            <w:shd w:val="clear" w:color="auto" w:fill="F2F2F2"/>
            <w:hideMark/>
          </w:tcPr>
          <w:p w14:paraId="19031327" w14:textId="77777777" w:rsidR="002A4DDF" w:rsidRPr="00937C8B" w:rsidRDefault="002A4DDF" w:rsidP="009110ED">
            <w:pPr>
              <w:rPr>
                <w:rFonts w:ascii="Arial" w:hAnsi="Arial" w:cs="Arial"/>
                <w:sz w:val="12"/>
                <w:szCs w:val="12"/>
              </w:rPr>
            </w:pPr>
            <w:r>
              <w:rPr>
                <w:rFonts w:ascii="Arial" w:hAnsi="Arial"/>
                <w:sz w:val="12"/>
                <w:szCs w:val="12"/>
              </w:rPr>
              <w:t>Grávalos</w:t>
            </w:r>
          </w:p>
        </w:tc>
        <w:tc>
          <w:tcPr>
            <w:tcW w:w="2268" w:type="dxa"/>
            <w:tcBorders>
              <w:right w:val="single" w:sz="4" w:space="0" w:color="auto"/>
            </w:tcBorders>
            <w:shd w:val="clear" w:color="auto" w:fill="D9D9D9"/>
            <w:hideMark/>
          </w:tcPr>
          <w:p w14:paraId="26029004" w14:textId="77777777" w:rsidR="002A4DDF" w:rsidRPr="00937C8B" w:rsidRDefault="002A4DDF" w:rsidP="009110ED">
            <w:pPr>
              <w:rPr>
                <w:rFonts w:ascii="Arial" w:hAnsi="Arial" w:cs="Arial"/>
                <w:sz w:val="12"/>
                <w:szCs w:val="12"/>
              </w:rPr>
            </w:pPr>
          </w:p>
        </w:tc>
      </w:tr>
      <w:tr w:rsidR="002A4DDF" w:rsidRPr="00937C8B" w14:paraId="62B586E7" w14:textId="77777777" w:rsidTr="00935676">
        <w:trPr>
          <w:cantSplit/>
        </w:trPr>
        <w:tc>
          <w:tcPr>
            <w:tcW w:w="1696" w:type="dxa"/>
            <w:tcBorders>
              <w:left w:val="single" w:sz="4" w:space="0" w:color="auto"/>
            </w:tcBorders>
            <w:shd w:val="clear" w:color="auto" w:fill="auto"/>
          </w:tcPr>
          <w:p w14:paraId="1A518691" w14:textId="77777777" w:rsidR="002A4DDF" w:rsidRPr="00937C8B" w:rsidRDefault="002A4DDF" w:rsidP="009110ED">
            <w:pPr>
              <w:rPr>
                <w:rFonts w:ascii="Arial" w:hAnsi="Arial" w:cs="Arial"/>
                <w:sz w:val="12"/>
                <w:szCs w:val="12"/>
              </w:rPr>
            </w:pPr>
          </w:p>
        </w:tc>
        <w:tc>
          <w:tcPr>
            <w:tcW w:w="1843" w:type="dxa"/>
            <w:shd w:val="clear" w:color="auto" w:fill="auto"/>
          </w:tcPr>
          <w:p w14:paraId="44A4304F" w14:textId="77777777" w:rsidR="002A4DDF" w:rsidRPr="00937C8B" w:rsidRDefault="002A4DDF" w:rsidP="009110ED">
            <w:pPr>
              <w:rPr>
                <w:rFonts w:ascii="Arial" w:hAnsi="Arial" w:cs="Arial"/>
                <w:sz w:val="12"/>
                <w:szCs w:val="12"/>
              </w:rPr>
            </w:pPr>
          </w:p>
        </w:tc>
        <w:tc>
          <w:tcPr>
            <w:tcW w:w="2268" w:type="dxa"/>
            <w:shd w:val="clear" w:color="auto" w:fill="F2F2F2"/>
            <w:hideMark/>
          </w:tcPr>
          <w:p w14:paraId="69DE130D" w14:textId="77777777" w:rsidR="002A4DDF" w:rsidRPr="00937C8B" w:rsidRDefault="002A4DDF" w:rsidP="009110ED">
            <w:pPr>
              <w:rPr>
                <w:rFonts w:ascii="Arial" w:hAnsi="Arial" w:cs="Arial"/>
                <w:sz w:val="12"/>
                <w:szCs w:val="12"/>
              </w:rPr>
            </w:pPr>
            <w:r>
              <w:rPr>
                <w:rFonts w:ascii="Arial" w:hAnsi="Arial"/>
                <w:sz w:val="12"/>
                <w:szCs w:val="12"/>
              </w:rPr>
              <w:t>Haro</w:t>
            </w:r>
          </w:p>
        </w:tc>
        <w:tc>
          <w:tcPr>
            <w:tcW w:w="2268" w:type="dxa"/>
            <w:tcBorders>
              <w:right w:val="single" w:sz="4" w:space="0" w:color="auto"/>
            </w:tcBorders>
            <w:shd w:val="clear" w:color="auto" w:fill="D9D9D9"/>
            <w:hideMark/>
          </w:tcPr>
          <w:p w14:paraId="078DB716" w14:textId="77777777" w:rsidR="002A4DDF" w:rsidRPr="00937C8B" w:rsidRDefault="002A4DDF" w:rsidP="009110ED">
            <w:pPr>
              <w:rPr>
                <w:rFonts w:ascii="Arial" w:hAnsi="Arial" w:cs="Arial"/>
                <w:sz w:val="12"/>
                <w:szCs w:val="12"/>
              </w:rPr>
            </w:pPr>
          </w:p>
        </w:tc>
      </w:tr>
      <w:tr w:rsidR="002A4DDF" w:rsidRPr="00937C8B" w14:paraId="2D2DD892" w14:textId="77777777" w:rsidTr="00935676">
        <w:trPr>
          <w:cantSplit/>
        </w:trPr>
        <w:tc>
          <w:tcPr>
            <w:tcW w:w="1696" w:type="dxa"/>
            <w:tcBorders>
              <w:left w:val="single" w:sz="4" w:space="0" w:color="auto"/>
            </w:tcBorders>
            <w:shd w:val="clear" w:color="auto" w:fill="auto"/>
          </w:tcPr>
          <w:p w14:paraId="690549CC" w14:textId="77777777" w:rsidR="002A4DDF" w:rsidRPr="00937C8B" w:rsidRDefault="002A4DDF" w:rsidP="009110ED">
            <w:pPr>
              <w:rPr>
                <w:rFonts w:ascii="Arial" w:hAnsi="Arial" w:cs="Arial"/>
                <w:sz w:val="12"/>
                <w:szCs w:val="12"/>
              </w:rPr>
            </w:pPr>
          </w:p>
        </w:tc>
        <w:tc>
          <w:tcPr>
            <w:tcW w:w="1843" w:type="dxa"/>
            <w:shd w:val="clear" w:color="auto" w:fill="auto"/>
          </w:tcPr>
          <w:p w14:paraId="0AECF6F2" w14:textId="77777777" w:rsidR="002A4DDF" w:rsidRPr="00937C8B" w:rsidRDefault="002A4DDF" w:rsidP="009110ED">
            <w:pPr>
              <w:rPr>
                <w:rFonts w:ascii="Arial" w:hAnsi="Arial" w:cs="Arial"/>
                <w:sz w:val="12"/>
                <w:szCs w:val="12"/>
              </w:rPr>
            </w:pPr>
          </w:p>
        </w:tc>
        <w:tc>
          <w:tcPr>
            <w:tcW w:w="2268" w:type="dxa"/>
            <w:shd w:val="clear" w:color="auto" w:fill="F2F2F2"/>
            <w:hideMark/>
          </w:tcPr>
          <w:p w14:paraId="3FCA619A" w14:textId="77777777" w:rsidR="002A4DDF" w:rsidRPr="00937C8B" w:rsidRDefault="002A4DDF" w:rsidP="009110ED">
            <w:pPr>
              <w:rPr>
                <w:rFonts w:ascii="Arial" w:hAnsi="Arial" w:cs="Arial"/>
                <w:sz w:val="12"/>
                <w:szCs w:val="12"/>
              </w:rPr>
            </w:pPr>
            <w:r>
              <w:rPr>
                <w:rFonts w:ascii="Arial" w:hAnsi="Arial"/>
                <w:sz w:val="12"/>
                <w:szCs w:val="12"/>
              </w:rPr>
              <w:t>Herce</w:t>
            </w:r>
          </w:p>
        </w:tc>
        <w:tc>
          <w:tcPr>
            <w:tcW w:w="2268" w:type="dxa"/>
            <w:tcBorders>
              <w:right w:val="single" w:sz="4" w:space="0" w:color="auto"/>
            </w:tcBorders>
            <w:shd w:val="clear" w:color="auto" w:fill="D9D9D9"/>
            <w:hideMark/>
          </w:tcPr>
          <w:p w14:paraId="520F39EB" w14:textId="77777777" w:rsidR="002A4DDF" w:rsidRPr="00937C8B" w:rsidRDefault="002A4DDF" w:rsidP="009110ED">
            <w:pPr>
              <w:rPr>
                <w:rFonts w:ascii="Arial" w:hAnsi="Arial" w:cs="Arial"/>
                <w:sz w:val="12"/>
                <w:szCs w:val="12"/>
              </w:rPr>
            </w:pPr>
          </w:p>
        </w:tc>
      </w:tr>
      <w:tr w:rsidR="002A4DDF" w:rsidRPr="00937C8B" w14:paraId="06DE2514" w14:textId="77777777" w:rsidTr="00935676">
        <w:trPr>
          <w:cantSplit/>
        </w:trPr>
        <w:tc>
          <w:tcPr>
            <w:tcW w:w="1696" w:type="dxa"/>
            <w:tcBorders>
              <w:left w:val="single" w:sz="4" w:space="0" w:color="auto"/>
            </w:tcBorders>
            <w:shd w:val="clear" w:color="auto" w:fill="auto"/>
          </w:tcPr>
          <w:p w14:paraId="52DA179A" w14:textId="77777777" w:rsidR="002A4DDF" w:rsidRPr="00937C8B" w:rsidRDefault="002A4DDF" w:rsidP="009110ED">
            <w:pPr>
              <w:rPr>
                <w:rFonts w:ascii="Arial" w:hAnsi="Arial" w:cs="Arial"/>
                <w:sz w:val="12"/>
                <w:szCs w:val="12"/>
              </w:rPr>
            </w:pPr>
          </w:p>
        </w:tc>
        <w:tc>
          <w:tcPr>
            <w:tcW w:w="1843" w:type="dxa"/>
            <w:shd w:val="clear" w:color="auto" w:fill="auto"/>
          </w:tcPr>
          <w:p w14:paraId="13C8627D" w14:textId="77777777" w:rsidR="002A4DDF" w:rsidRPr="00937C8B" w:rsidRDefault="002A4DDF" w:rsidP="009110ED">
            <w:pPr>
              <w:rPr>
                <w:rFonts w:ascii="Arial" w:hAnsi="Arial" w:cs="Arial"/>
                <w:sz w:val="12"/>
                <w:szCs w:val="12"/>
              </w:rPr>
            </w:pPr>
          </w:p>
        </w:tc>
        <w:tc>
          <w:tcPr>
            <w:tcW w:w="2268" w:type="dxa"/>
            <w:shd w:val="clear" w:color="auto" w:fill="F2F2F2"/>
            <w:hideMark/>
          </w:tcPr>
          <w:p w14:paraId="09770C56" w14:textId="77777777" w:rsidR="002A4DDF" w:rsidRPr="00937C8B" w:rsidRDefault="002A4DDF" w:rsidP="009110ED">
            <w:pPr>
              <w:rPr>
                <w:rFonts w:ascii="Arial" w:hAnsi="Arial" w:cs="Arial"/>
                <w:sz w:val="12"/>
                <w:szCs w:val="12"/>
              </w:rPr>
            </w:pPr>
            <w:r>
              <w:rPr>
                <w:rFonts w:ascii="Arial" w:hAnsi="Arial"/>
                <w:sz w:val="12"/>
                <w:szCs w:val="12"/>
              </w:rPr>
              <w:t>Hervías</w:t>
            </w:r>
          </w:p>
        </w:tc>
        <w:tc>
          <w:tcPr>
            <w:tcW w:w="2268" w:type="dxa"/>
            <w:tcBorders>
              <w:right w:val="single" w:sz="4" w:space="0" w:color="auto"/>
            </w:tcBorders>
            <w:shd w:val="clear" w:color="auto" w:fill="D9D9D9"/>
            <w:hideMark/>
          </w:tcPr>
          <w:p w14:paraId="3720F830" w14:textId="77777777" w:rsidR="002A4DDF" w:rsidRPr="00937C8B" w:rsidRDefault="002A4DDF" w:rsidP="009110ED">
            <w:pPr>
              <w:rPr>
                <w:rFonts w:ascii="Arial" w:hAnsi="Arial" w:cs="Arial"/>
                <w:sz w:val="12"/>
                <w:szCs w:val="12"/>
              </w:rPr>
            </w:pPr>
          </w:p>
        </w:tc>
      </w:tr>
      <w:tr w:rsidR="002A4DDF" w:rsidRPr="00937C8B" w14:paraId="25C3077E" w14:textId="77777777" w:rsidTr="00935676">
        <w:trPr>
          <w:cantSplit/>
        </w:trPr>
        <w:tc>
          <w:tcPr>
            <w:tcW w:w="1696" w:type="dxa"/>
            <w:tcBorders>
              <w:left w:val="single" w:sz="4" w:space="0" w:color="auto"/>
            </w:tcBorders>
            <w:shd w:val="clear" w:color="auto" w:fill="auto"/>
          </w:tcPr>
          <w:p w14:paraId="1341295D" w14:textId="77777777" w:rsidR="002A4DDF" w:rsidRPr="00937C8B" w:rsidRDefault="002A4DDF" w:rsidP="009110ED">
            <w:pPr>
              <w:rPr>
                <w:rFonts w:ascii="Arial" w:hAnsi="Arial" w:cs="Arial"/>
                <w:sz w:val="12"/>
                <w:szCs w:val="12"/>
              </w:rPr>
            </w:pPr>
          </w:p>
        </w:tc>
        <w:tc>
          <w:tcPr>
            <w:tcW w:w="1843" w:type="dxa"/>
            <w:shd w:val="clear" w:color="auto" w:fill="auto"/>
          </w:tcPr>
          <w:p w14:paraId="45DC97FF" w14:textId="77777777" w:rsidR="002A4DDF" w:rsidRPr="00937C8B" w:rsidRDefault="002A4DDF" w:rsidP="009110ED">
            <w:pPr>
              <w:rPr>
                <w:rFonts w:ascii="Arial" w:hAnsi="Arial" w:cs="Arial"/>
                <w:sz w:val="12"/>
                <w:szCs w:val="12"/>
              </w:rPr>
            </w:pPr>
          </w:p>
        </w:tc>
        <w:tc>
          <w:tcPr>
            <w:tcW w:w="2268" w:type="dxa"/>
            <w:shd w:val="clear" w:color="auto" w:fill="F2F2F2"/>
            <w:hideMark/>
          </w:tcPr>
          <w:p w14:paraId="3ABFE8DB" w14:textId="77777777" w:rsidR="002A4DDF" w:rsidRPr="00937C8B" w:rsidRDefault="002A4DDF" w:rsidP="009110ED">
            <w:pPr>
              <w:rPr>
                <w:rFonts w:ascii="Arial" w:hAnsi="Arial" w:cs="Arial"/>
                <w:sz w:val="12"/>
                <w:szCs w:val="12"/>
              </w:rPr>
            </w:pPr>
            <w:r>
              <w:rPr>
                <w:rFonts w:ascii="Arial" w:hAnsi="Arial"/>
                <w:sz w:val="12"/>
                <w:szCs w:val="12"/>
              </w:rPr>
              <w:t>Hornillos de Cameros</w:t>
            </w:r>
          </w:p>
        </w:tc>
        <w:tc>
          <w:tcPr>
            <w:tcW w:w="2268" w:type="dxa"/>
            <w:tcBorders>
              <w:right w:val="single" w:sz="4" w:space="0" w:color="auto"/>
            </w:tcBorders>
            <w:shd w:val="clear" w:color="auto" w:fill="D9D9D9"/>
            <w:hideMark/>
          </w:tcPr>
          <w:p w14:paraId="6F54DD84" w14:textId="77777777" w:rsidR="002A4DDF" w:rsidRPr="00937C8B" w:rsidRDefault="002A4DDF" w:rsidP="009110ED">
            <w:pPr>
              <w:rPr>
                <w:rFonts w:ascii="Arial" w:hAnsi="Arial" w:cs="Arial"/>
                <w:sz w:val="12"/>
                <w:szCs w:val="12"/>
              </w:rPr>
            </w:pPr>
          </w:p>
        </w:tc>
      </w:tr>
      <w:tr w:rsidR="002A4DDF" w:rsidRPr="00937C8B" w14:paraId="767645D8" w14:textId="77777777" w:rsidTr="00935676">
        <w:trPr>
          <w:cantSplit/>
        </w:trPr>
        <w:tc>
          <w:tcPr>
            <w:tcW w:w="1696" w:type="dxa"/>
            <w:tcBorders>
              <w:left w:val="single" w:sz="4" w:space="0" w:color="auto"/>
            </w:tcBorders>
            <w:shd w:val="clear" w:color="auto" w:fill="auto"/>
          </w:tcPr>
          <w:p w14:paraId="46032E09" w14:textId="77777777" w:rsidR="002A4DDF" w:rsidRPr="00937C8B" w:rsidRDefault="002A4DDF" w:rsidP="009110ED">
            <w:pPr>
              <w:rPr>
                <w:rFonts w:ascii="Arial" w:hAnsi="Arial" w:cs="Arial"/>
                <w:sz w:val="12"/>
                <w:szCs w:val="12"/>
              </w:rPr>
            </w:pPr>
          </w:p>
        </w:tc>
        <w:tc>
          <w:tcPr>
            <w:tcW w:w="1843" w:type="dxa"/>
            <w:shd w:val="clear" w:color="auto" w:fill="auto"/>
          </w:tcPr>
          <w:p w14:paraId="0309F121" w14:textId="77777777" w:rsidR="002A4DDF" w:rsidRPr="00937C8B" w:rsidRDefault="002A4DDF" w:rsidP="009110ED">
            <w:pPr>
              <w:rPr>
                <w:rFonts w:ascii="Arial" w:hAnsi="Arial" w:cs="Arial"/>
                <w:sz w:val="12"/>
                <w:szCs w:val="12"/>
              </w:rPr>
            </w:pPr>
          </w:p>
        </w:tc>
        <w:tc>
          <w:tcPr>
            <w:tcW w:w="2268" w:type="dxa"/>
            <w:shd w:val="clear" w:color="auto" w:fill="F2F2F2"/>
            <w:hideMark/>
          </w:tcPr>
          <w:p w14:paraId="2F743B02" w14:textId="77777777" w:rsidR="002A4DDF" w:rsidRPr="00937C8B" w:rsidRDefault="002A4DDF" w:rsidP="009110ED">
            <w:pPr>
              <w:rPr>
                <w:rFonts w:ascii="Arial" w:hAnsi="Arial" w:cs="Arial"/>
                <w:sz w:val="12"/>
                <w:szCs w:val="12"/>
              </w:rPr>
            </w:pPr>
            <w:r>
              <w:rPr>
                <w:rFonts w:ascii="Arial" w:hAnsi="Arial"/>
                <w:sz w:val="12"/>
                <w:szCs w:val="12"/>
              </w:rPr>
              <w:t>Igea</w:t>
            </w:r>
          </w:p>
        </w:tc>
        <w:tc>
          <w:tcPr>
            <w:tcW w:w="2268" w:type="dxa"/>
            <w:tcBorders>
              <w:right w:val="single" w:sz="4" w:space="0" w:color="auto"/>
            </w:tcBorders>
            <w:shd w:val="clear" w:color="auto" w:fill="D9D9D9"/>
            <w:hideMark/>
          </w:tcPr>
          <w:p w14:paraId="1908822A" w14:textId="77777777" w:rsidR="002A4DDF" w:rsidRPr="00937C8B" w:rsidRDefault="002A4DDF" w:rsidP="009110ED">
            <w:pPr>
              <w:rPr>
                <w:rFonts w:ascii="Arial" w:hAnsi="Arial" w:cs="Arial"/>
                <w:sz w:val="12"/>
                <w:szCs w:val="12"/>
              </w:rPr>
            </w:pPr>
          </w:p>
        </w:tc>
      </w:tr>
      <w:tr w:rsidR="002A4DDF" w:rsidRPr="00937C8B" w14:paraId="2774AEE3" w14:textId="77777777" w:rsidTr="00935676">
        <w:trPr>
          <w:cantSplit/>
        </w:trPr>
        <w:tc>
          <w:tcPr>
            <w:tcW w:w="1696" w:type="dxa"/>
            <w:tcBorders>
              <w:left w:val="single" w:sz="4" w:space="0" w:color="auto"/>
            </w:tcBorders>
            <w:shd w:val="clear" w:color="auto" w:fill="auto"/>
          </w:tcPr>
          <w:p w14:paraId="32625F56" w14:textId="77777777" w:rsidR="002A4DDF" w:rsidRPr="00937C8B" w:rsidRDefault="002A4DDF" w:rsidP="009110ED">
            <w:pPr>
              <w:rPr>
                <w:rFonts w:ascii="Arial" w:hAnsi="Arial" w:cs="Arial"/>
                <w:sz w:val="12"/>
                <w:szCs w:val="12"/>
              </w:rPr>
            </w:pPr>
          </w:p>
        </w:tc>
        <w:tc>
          <w:tcPr>
            <w:tcW w:w="1843" w:type="dxa"/>
            <w:shd w:val="clear" w:color="auto" w:fill="auto"/>
          </w:tcPr>
          <w:p w14:paraId="02F0476E" w14:textId="77777777" w:rsidR="002A4DDF" w:rsidRPr="00937C8B" w:rsidRDefault="002A4DDF" w:rsidP="009110ED">
            <w:pPr>
              <w:rPr>
                <w:rFonts w:ascii="Arial" w:hAnsi="Arial" w:cs="Arial"/>
                <w:sz w:val="12"/>
                <w:szCs w:val="12"/>
              </w:rPr>
            </w:pPr>
          </w:p>
        </w:tc>
        <w:tc>
          <w:tcPr>
            <w:tcW w:w="2268" w:type="dxa"/>
            <w:shd w:val="clear" w:color="auto" w:fill="F2F2F2"/>
            <w:hideMark/>
          </w:tcPr>
          <w:p w14:paraId="56F0EAA0" w14:textId="77777777" w:rsidR="002A4DDF" w:rsidRPr="00937C8B" w:rsidRDefault="002A4DDF" w:rsidP="009110ED">
            <w:pPr>
              <w:rPr>
                <w:rFonts w:ascii="Arial" w:hAnsi="Arial" w:cs="Arial"/>
                <w:sz w:val="12"/>
                <w:szCs w:val="12"/>
              </w:rPr>
            </w:pPr>
            <w:r>
              <w:rPr>
                <w:rFonts w:ascii="Arial" w:hAnsi="Arial"/>
                <w:sz w:val="12"/>
                <w:szCs w:val="12"/>
              </w:rPr>
              <w:t>Lagunilla del Jubera</w:t>
            </w:r>
          </w:p>
        </w:tc>
        <w:tc>
          <w:tcPr>
            <w:tcW w:w="2268" w:type="dxa"/>
            <w:tcBorders>
              <w:right w:val="single" w:sz="4" w:space="0" w:color="auto"/>
            </w:tcBorders>
            <w:shd w:val="clear" w:color="auto" w:fill="D9D9D9"/>
            <w:hideMark/>
          </w:tcPr>
          <w:p w14:paraId="7365E7A6" w14:textId="77777777" w:rsidR="002A4DDF" w:rsidRPr="00937C8B" w:rsidRDefault="002A4DDF" w:rsidP="009110ED">
            <w:pPr>
              <w:rPr>
                <w:rFonts w:ascii="Arial" w:hAnsi="Arial" w:cs="Arial"/>
                <w:sz w:val="12"/>
                <w:szCs w:val="12"/>
              </w:rPr>
            </w:pPr>
          </w:p>
        </w:tc>
      </w:tr>
      <w:tr w:rsidR="002A4DDF" w:rsidRPr="00937C8B" w14:paraId="7C54D576" w14:textId="77777777" w:rsidTr="00935676">
        <w:trPr>
          <w:cantSplit/>
        </w:trPr>
        <w:tc>
          <w:tcPr>
            <w:tcW w:w="1696" w:type="dxa"/>
            <w:tcBorders>
              <w:left w:val="single" w:sz="4" w:space="0" w:color="auto"/>
            </w:tcBorders>
            <w:shd w:val="clear" w:color="auto" w:fill="auto"/>
          </w:tcPr>
          <w:p w14:paraId="4265FD60" w14:textId="77777777" w:rsidR="002A4DDF" w:rsidRPr="00937C8B" w:rsidRDefault="002A4DDF" w:rsidP="009110ED">
            <w:pPr>
              <w:rPr>
                <w:rFonts w:ascii="Arial" w:hAnsi="Arial" w:cs="Arial"/>
                <w:sz w:val="12"/>
                <w:szCs w:val="12"/>
              </w:rPr>
            </w:pPr>
          </w:p>
        </w:tc>
        <w:tc>
          <w:tcPr>
            <w:tcW w:w="1843" w:type="dxa"/>
            <w:shd w:val="clear" w:color="auto" w:fill="auto"/>
          </w:tcPr>
          <w:p w14:paraId="5DB62D94" w14:textId="77777777" w:rsidR="002A4DDF" w:rsidRPr="00937C8B" w:rsidRDefault="002A4DDF" w:rsidP="009110ED">
            <w:pPr>
              <w:rPr>
                <w:rFonts w:ascii="Arial" w:hAnsi="Arial" w:cs="Arial"/>
                <w:sz w:val="12"/>
                <w:szCs w:val="12"/>
              </w:rPr>
            </w:pPr>
          </w:p>
        </w:tc>
        <w:tc>
          <w:tcPr>
            <w:tcW w:w="2268" w:type="dxa"/>
            <w:shd w:val="clear" w:color="auto" w:fill="F2F2F2"/>
            <w:hideMark/>
          </w:tcPr>
          <w:p w14:paraId="30FF8193" w14:textId="77777777" w:rsidR="002A4DDF" w:rsidRPr="00937C8B" w:rsidRDefault="002A4DDF" w:rsidP="009110ED">
            <w:pPr>
              <w:rPr>
                <w:rFonts w:ascii="Arial" w:hAnsi="Arial" w:cs="Arial"/>
                <w:sz w:val="12"/>
                <w:szCs w:val="12"/>
              </w:rPr>
            </w:pPr>
            <w:r>
              <w:rPr>
                <w:rFonts w:ascii="Arial" w:hAnsi="Arial"/>
                <w:sz w:val="12"/>
                <w:szCs w:val="12"/>
              </w:rPr>
              <w:t>Leza de Río Leza</w:t>
            </w:r>
          </w:p>
        </w:tc>
        <w:tc>
          <w:tcPr>
            <w:tcW w:w="2268" w:type="dxa"/>
            <w:tcBorders>
              <w:right w:val="single" w:sz="4" w:space="0" w:color="auto"/>
            </w:tcBorders>
            <w:shd w:val="clear" w:color="auto" w:fill="D9D9D9"/>
            <w:hideMark/>
          </w:tcPr>
          <w:p w14:paraId="551AB313" w14:textId="77777777" w:rsidR="002A4DDF" w:rsidRPr="00937C8B" w:rsidRDefault="002A4DDF" w:rsidP="009110ED">
            <w:pPr>
              <w:rPr>
                <w:rFonts w:ascii="Arial" w:hAnsi="Arial" w:cs="Arial"/>
                <w:sz w:val="12"/>
                <w:szCs w:val="12"/>
              </w:rPr>
            </w:pPr>
          </w:p>
        </w:tc>
      </w:tr>
      <w:tr w:rsidR="002A4DDF" w:rsidRPr="00937C8B" w14:paraId="51242549" w14:textId="77777777" w:rsidTr="00935676">
        <w:trPr>
          <w:cantSplit/>
        </w:trPr>
        <w:tc>
          <w:tcPr>
            <w:tcW w:w="1696" w:type="dxa"/>
            <w:tcBorders>
              <w:left w:val="single" w:sz="4" w:space="0" w:color="auto"/>
            </w:tcBorders>
            <w:shd w:val="clear" w:color="auto" w:fill="auto"/>
          </w:tcPr>
          <w:p w14:paraId="5D8E0FD8" w14:textId="77777777" w:rsidR="002A4DDF" w:rsidRPr="00937C8B" w:rsidRDefault="002A4DDF" w:rsidP="009110ED">
            <w:pPr>
              <w:rPr>
                <w:rFonts w:ascii="Arial" w:hAnsi="Arial" w:cs="Arial"/>
                <w:sz w:val="12"/>
                <w:szCs w:val="12"/>
              </w:rPr>
            </w:pPr>
          </w:p>
        </w:tc>
        <w:tc>
          <w:tcPr>
            <w:tcW w:w="1843" w:type="dxa"/>
            <w:shd w:val="clear" w:color="auto" w:fill="auto"/>
          </w:tcPr>
          <w:p w14:paraId="2E02B49A" w14:textId="77777777" w:rsidR="002A4DDF" w:rsidRPr="00937C8B" w:rsidRDefault="002A4DDF" w:rsidP="009110ED">
            <w:pPr>
              <w:rPr>
                <w:rFonts w:ascii="Arial" w:hAnsi="Arial" w:cs="Arial"/>
                <w:sz w:val="12"/>
                <w:szCs w:val="12"/>
              </w:rPr>
            </w:pPr>
          </w:p>
        </w:tc>
        <w:tc>
          <w:tcPr>
            <w:tcW w:w="2268" w:type="dxa"/>
            <w:shd w:val="clear" w:color="auto" w:fill="F2F2F2"/>
            <w:hideMark/>
          </w:tcPr>
          <w:p w14:paraId="38D73756" w14:textId="77777777" w:rsidR="002A4DDF" w:rsidRPr="00937C8B" w:rsidRDefault="002A4DDF" w:rsidP="009110ED">
            <w:pPr>
              <w:rPr>
                <w:rFonts w:ascii="Arial" w:hAnsi="Arial" w:cs="Arial"/>
                <w:sz w:val="12"/>
                <w:szCs w:val="12"/>
              </w:rPr>
            </w:pPr>
            <w:r>
              <w:rPr>
                <w:rFonts w:ascii="Arial" w:hAnsi="Arial"/>
                <w:sz w:val="12"/>
                <w:szCs w:val="12"/>
              </w:rPr>
              <w:t>Mansilla de la Sierra</w:t>
            </w:r>
          </w:p>
        </w:tc>
        <w:tc>
          <w:tcPr>
            <w:tcW w:w="2268" w:type="dxa"/>
            <w:tcBorders>
              <w:right w:val="single" w:sz="4" w:space="0" w:color="auto"/>
            </w:tcBorders>
            <w:shd w:val="clear" w:color="auto" w:fill="D9D9D9"/>
            <w:hideMark/>
          </w:tcPr>
          <w:p w14:paraId="3372AB58" w14:textId="77777777" w:rsidR="002A4DDF" w:rsidRPr="00937C8B" w:rsidRDefault="002A4DDF" w:rsidP="009110ED">
            <w:pPr>
              <w:rPr>
                <w:rFonts w:ascii="Arial" w:hAnsi="Arial" w:cs="Arial"/>
                <w:sz w:val="12"/>
                <w:szCs w:val="12"/>
              </w:rPr>
            </w:pPr>
          </w:p>
        </w:tc>
      </w:tr>
      <w:tr w:rsidR="002A4DDF" w:rsidRPr="00937C8B" w14:paraId="67492BB0" w14:textId="77777777" w:rsidTr="00935676">
        <w:trPr>
          <w:cantSplit/>
        </w:trPr>
        <w:tc>
          <w:tcPr>
            <w:tcW w:w="1696" w:type="dxa"/>
            <w:tcBorders>
              <w:left w:val="single" w:sz="4" w:space="0" w:color="auto"/>
            </w:tcBorders>
            <w:shd w:val="clear" w:color="auto" w:fill="auto"/>
          </w:tcPr>
          <w:p w14:paraId="72B744F2" w14:textId="77777777" w:rsidR="002A4DDF" w:rsidRPr="00937C8B" w:rsidRDefault="002A4DDF" w:rsidP="009110ED">
            <w:pPr>
              <w:rPr>
                <w:rFonts w:ascii="Arial" w:hAnsi="Arial" w:cs="Arial"/>
                <w:sz w:val="12"/>
                <w:szCs w:val="12"/>
              </w:rPr>
            </w:pPr>
          </w:p>
        </w:tc>
        <w:tc>
          <w:tcPr>
            <w:tcW w:w="1843" w:type="dxa"/>
            <w:shd w:val="clear" w:color="auto" w:fill="auto"/>
          </w:tcPr>
          <w:p w14:paraId="7BDCF989" w14:textId="77777777" w:rsidR="002A4DDF" w:rsidRPr="00937C8B" w:rsidRDefault="002A4DDF" w:rsidP="009110ED">
            <w:pPr>
              <w:rPr>
                <w:rFonts w:ascii="Arial" w:hAnsi="Arial" w:cs="Arial"/>
                <w:sz w:val="12"/>
                <w:szCs w:val="12"/>
              </w:rPr>
            </w:pPr>
          </w:p>
        </w:tc>
        <w:tc>
          <w:tcPr>
            <w:tcW w:w="2268" w:type="dxa"/>
            <w:shd w:val="clear" w:color="auto" w:fill="F2F2F2"/>
            <w:hideMark/>
          </w:tcPr>
          <w:p w14:paraId="675E0643" w14:textId="77777777" w:rsidR="002A4DDF" w:rsidRPr="00937C8B" w:rsidRDefault="002A4DDF" w:rsidP="009110ED">
            <w:pPr>
              <w:rPr>
                <w:rFonts w:ascii="Arial" w:hAnsi="Arial" w:cs="Arial"/>
                <w:sz w:val="12"/>
                <w:szCs w:val="12"/>
              </w:rPr>
            </w:pPr>
            <w:r>
              <w:rPr>
                <w:rFonts w:ascii="Arial" w:hAnsi="Arial"/>
                <w:sz w:val="12"/>
                <w:szCs w:val="12"/>
              </w:rPr>
              <w:t>Manzanares de Rioja</w:t>
            </w:r>
          </w:p>
        </w:tc>
        <w:tc>
          <w:tcPr>
            <w:tcW w:w="2268" w:type="dxa"/>
            <w:tcBorders>
              <w:right w:val="single" w:sz="4" w:space="0" w:color="auto"/>
            </w:tcBorders>
            <w:shd w:val="clear" w:color="auto" w:fill="D9D9D9"/>
            <w:hideMark/>
          </w:tcPr>
          <w:p w14:paraId="1D231E2B" w14:textId="77777777" w:rsidR="002A4DDF" w:rsidRPr="00937C8B" w:rsidRDefault="002A4DDF" w:rsidP="009110ED">
            <w:pPr>
              <w:rPr>
                <w:rFonts w:ascii="Arial" w:hAnsi="Arial" w:cs="Arial"/>
                <w:sz w:val="12"/>
                <w:szCs w:val="12"/>
              </w:rPr>
            </w:pPr>
          </w:p>
        </w:tc>
      </w:tr>
      <w:tr w:rsidR="002A4DDF" w:rsidRPr="00937C8B" w14:paraId="09E35E75" w14:textId="77777777" w:rsidTr="00935676">
        <w:trPr>
          <w:cantSplit/>
        </w:trPr>
        <w:tc>
          <w:tcPr>
            <w:tcW w:w="1696" w:type="dxa"/>
            <w:tcBorders>
              <w:left w:val="single" w:sz="4" w:space="0" w:color="auto"/>
            </w:tcBorders>
            <w:shd w:val="clear" w:color="auto" w:fill="auto"/>
          </w:tcPr>
          <w:p w14:paraId="7D1DF77E" w14:textId="77777777" w:rsidR="002A4DDF" w:rsidRPr="00937C8B" w:rsidRDefault="002A4DDF" w:rsidP="009110ED">
            <w:pPr>
              <w:rPr>
                <w:rFonts w:ascii="Arial" w:hAnsi="Arial" w:cs="Arial"/>
                <w:sz w:val="12"/>
                <w:szCs w:val="12"/>
              </w:rPr>
            </w:pPr>
          </w:p>
        </w:tc>
        <w:tc>
          <w:tcPr>
            <w:tcW w:w="1843" w:type="dxa"/>
            <w:shd w:val="clear" w:color="auto" w:fill="auto"/>
          </w:tcPr>
          <w:p w14:paraId="01ACA6F2" w14:textId="77777777" w:rsidR="002A4DDF" w:rsidRPr="00937C8B" w:rsidRDefault="002A4DDF" w:rsidP="009110ED">
            <w:pPr>
              <w:rPr>
                <w:rFonts w:ascii="Arial" w:hAnsi="Arial" w:cs="Arial"/>
                <w:sz w:val="12"/>
                <w:szCs w:val="12"/>
              </w:rPr>
            </w:pPr>
          </w:p>
        </w:tc>
        <w:tc>
          <w:tcPr>
            <w:tcW w:w="2268" w:type="dxa"/>
            <w:shd w:val="clear" w:color="auto" w:fill="F2F2F2"/>
            <w:hideMark/>
          </w:tcPr>
          <w:p w14:paraId="578D434A" w14:textId="77777777" w:rsidR="002A4DDF" w:rsidRPr="00937C8B" w:rsidRDefault="002A4DDF" w:rsidP="009110ED">
            <w:pPr>
              <w:rPr>
                <w:rFonts w:ascii="Arial" w:hAnsi="Arial" w:cs="Arial"/>
                <w:sz w:val="12"/>
                <w:szCs w:val="12"/>
              </w:rPr>
            </w:pPr>
            <w:r>
              <w:rPr>
                <w:rFonts w:ascii="Arial" w:hAnsi="Arial"/>
                <w:sz w:val="12"/>
                <w:szCs w:val="12"/>
              </w:rPr>
              <w:t>Matute</w:t>
            </w:r>
          </w:p>
        </w:tc>
        <w:tc>
          <w:tcPr>
            <w:tcW w:w="2268" w:type="dxa"/>
            <w:tcBorders>
              <w:right w:val="single" w:sz="4" w:space="0" w:color="auto"/>
            </w:tcBorders>
            <w:shd w:val="clear" w:color="auto" w:fill="D9D9D9"/>
            <w:hideMark/>
          </w:tcPr>
          <w:p w14:paraId="615B629F" w14:textId="77777777" w:rsidR="002A4DDF" w:rsidRPr="00937C8B" w:rsidRDefault="002A4DDF" w:rsidP="009110ED">
            <w:pPr>
              <w:rPr>
                <w:rFonts w:ascii="Arial" w:hAnsi="Arial" w:cs="Arial"/>
                <w:sz w:val="12"/>
                <w:szCs w:val="12"/>
              </w:rPr>
            </w:pPr>
          </w:p>
        </w:tc>
      </w:tr>
      <w:tr w:rsidR="002A4DDF" w:rsidRPr="00937C8B" w14:paraId="5068E0D2" w14:textId="77777777" w:rsidTr="00935676">
        <w:trPr>
          <w:cantSplit/>
        </w:trPr>
        <w:tc>
          <w:tcPr>
            <w:tcW w:w="1696" w:type="dxa"/>
            <w:tcBorders>
              <w:left w:val="single" w:sz="4" w:space="0" w:color="auto"/>
            </w:tcBorders>
            <w:shd w:val="clear" w:color="auto" w:fill="auto"/>
          </w:tcPr>
          <w:p w14:paraId="72AB692C" w14:textId="77777777" w:rsidR="002A4DDF" w:rsidRPr="00937C8B" w:rsidRDefault="002A4DDF" w:rsidP="009110ED">
            <w:pPr>
              <w:rPr>
                <w:rFonts w:ascii="Arial" w:hAnsi="Arial" w:cs="Arial"/>
                <w:sz w:val="12"/>
                <w:szCs w:val="12"/>
              </w:rPr>
            </w:pPr>
          </w:p>
        </w:tc>
        <w:tc>
          <w:tcPr>
            <w:tcW w:w="1843" w:type="dxa"/>
            <w:shd w:val="clear" w:color="auto" w:fill="auto"/>
          </w:tcPr>
          <w:p w14:paraId="34EE9F71" w14:textId="77777777" w:rsidR="002A4DDF" w:rsidRPr="00937C8B" w:rsidRDefault="002A4DDF" w:rsidP="009110ED">
            <w:pPr>
              <w:rPr>
                <w:rFonts w:ascii="Arial" w:hAnsi="Arial" w:cs="Arial"/>
                <w:sz w:val="12"/>
                <w:szCs w:val="12"/>
              </w:rPr>
            </w:pPr>
          </w:p>
        </w:tc>
        <w:tc>
          <w:tcPr>
            <w:tcW w:w="2268" w:type="dxa"/>
            <w:shd w:val="clear" w:color="auto" w:fill="F2F2F2"/>
            <w:hideMark/>
          </w:tcPr>
          <w:p w14:paraId="41677F9A" w14:textId="77777777" w:rsidR="002A4DDF" w:rsidRPr="00937C8B" w:rsidRDefault="002A4DDF" w:rsidP="009110ED">
            <w:pPr>
              <w:rPr>
                <w:rFonts w:ascii="Arial" w:hAnsi="Arial" w:cs="Arial"/>
                <w:sz w:val="12"/>
                <w:szCs w:val="12"/>
              </w:rPr>
            </w:pPr>
            <w:r>
              <w:rPr>
                <w:rFonts w:ascii="Arial" w:hAnsi="Arial"/>
                <w:sz w:val="12"/>
                <w:szCs w:val="12"/>
              </w:rPr>
              <w:t>Munilla</w:t>
            </w:r>
          </w:p>
        </w:tc>
        <w:tc>
          <w:tcPr>
            <w:tcW w:w="2268" w:type="dxa"/>
            <w:tcBorders>
              <w:right w:val="single" w:sz="4" w:space="0" w:color="auto"/>
            </w:tcBorders>
            <w:shd w:val="clear" w:color="auto" w:fill="D9D9D9"/>
            <w:hideMark/>
          </w:tcPr>
          <w:p w14:paraId="3A9710B6" w14:textId="77777777" w:rsidR="002A4DDF" w:rsidRPr="00937C8B" w:rsidRDefault="002A4DDF" w:rsidP="009110ED">
            <w:pPr>
              <w:rPr>
                <w:rFonts w:ascii="Arial" w:hAnsi="Arial" w:cs="Arial"/>
                <w:sz w:val="12"/>
                <w:szCs w:val="12"/>
              </w:rPr>
            </w:pPr>
          </w:p>
        </w:tc>
      </w:tr>
      <w:tr w:rsidR="002A4DDF" w:rsidRPr="00937C8B" w14:paraId="0B8F3BB9" w14:textId="77777777" w:rsidTr="00935676">
        <w:trPr>
          <w:cantSplit/>
        </w:trPr>
        <w:tc>
          <w:tcPr>
            <w:tcW w:w="1696" w:type="dxa"/>
            <w:tcBorders>
              <w:left w:val="single" w:sz="4" w:space="0" w:color="auto"/>
            </w:tcBorders>
            <w:shd w:val="clear" w:color="auto" w:fill="auto"/>
          </w:tcPr>
          <w:p w14:paraId="6285B5CC" w14:textId="77777777" w:rsidR="002A4DDF" w:rsidRPr="00937C8B" w:rsidRDefault="002A4DDF" w:rsidP="009110ED">
            <w:pPr>
              <w:rPr>
                <w:rFonts w:ascii="Arial" w:hAnsi="Arial" w:cs="Arial"/>
                <w:sz w:val="12"/>
                <w:szCs w:val="12"/>
              </w:rPr>
            </w:pPr>
          </w:p>
        </w:tc>
        <w:tc>
          <w:tcPr>
            <w:tcW w:w="1843" w:type="dxa"/>
            <w:shd w:val="clear" w:color="auto" w:fill="auto"/>
          </w:tcPr>
          <w:p w14:paraId="3E9C4753" w14:textId="77777777" w:rsidR="002A4DDF" w:rsidRPr="00937C8B" w:rsidRDefault="002A4DDF" w:rsidP="009110ED">
            <w:pPr>
              <w:rPr>
                <w:rFonts w:ascii="Arial" w:hAnsi="Arial" w:cs="Arial"/>
                <w:sz w:val="12"/>
                <w:szCs w:val="12"/>
              </w:rPr>
            </w:pPr>
          </w:p>
        </w:tc>
        <w:tc>
          <w:tcPr>
            <w:tcW w:w="2268" w:type="dxa"/>
            <w:shd w:val="clear" w:color="auto" w:fill="F2F2F2"/>
            <w:hideMark/>
          </w:tcPr>
          <w:p w14:paraId="0C690A6E" w14:textId="77777777" w:rsidR="002A4DDF" w:rsidRPr="00937C8B" w:rsidRDefault="002A4DDF" w:rsidP="009110ED">
            <w:pPr>
              <w:rPr>
                <w:rFonts w:ascii="Arial" w:hAnsi="Arial" w:cs="Arial"/>
                <w:sz w:val="12"/>
                <w:szCs w:val="12"/>
              </w:rPr>
            </w:pPr>
            <w:r>
              <w:rPr>
                <w:rFonts w:ascii="Arial" w:hAnsi="Arial"/>
                <w:sz w:val="12"/>
                <w:szCs w:val="12"/>
              </w:rPr>
              <w:t>Murillo de Río Leza</w:t>
            </w:r>
          </w:p>
        </w:tc>
        <w:tc>
          <w:tcPr>
            <w:tcW w:w="2268" w:type="dxa"/>
            <w:tcBorders>
              <w:right w:val="single" w:sz="4" w:space="0" w:color="auto"/>
            </w:tcBorders>
            <w:shd w:val="clear" w:color="auto" w:fill="D9D9D9"/>
            <w:hideMark/>
          </w:tcPr>
          <w:p w14:paraId="34C1D82E" w14:textId="77777777" w:rsidR="002A4DDF" w:rsidRPr="00937C8B" w:rsidRDefault="002A4DDF" w:rsidP="009110ED">
            <w:pPr>
              <w:rPr>
                <w:rFonts w:ascii="Arial" w:hAnsi="Arial" w:cs="Arial"/>
                <w:sz w:val="12"/>
                <w:szCs w:val="12"/>
              </w:rPr>
            </w:pPr>
          </w:p>
        </w:tc>
      </w:tr>
      <w:tr w:rsidR="002A4DDF" w:rsidRPr="00937C8B" w14:paraId="21670A16" w14:textId="77777777" w:rsidTr="00935676">
        <w:trPr>
          <w:cantSplit/>
        </w:trPr>
        <w:tc>
          <w:tcPr>
            <w:tcW w:w="1696" w:type="dxa"/>
            <w:tcBorders>
              <w:left w:val="single" w:sz="4" w:space="0" w:color="auto"/>
            </w:tcBorders>
            <w:shd w:val="clear" w:color="auto" w:fill="auto"/>
          </w:tcPr>
          <w:p w14:paraId="10F2E7F9" w14:textId="77777777" w:rsidR="002A4DDF" w:rsidRPr="00937C8B" w:rsidRDefault="002A4DDF" w:rsidP="009110ED">
            <w:pPr>
              <w:rPr>
                <w:rFonts w:ascii="Arial" w:hAnsi="Arial" w:cs="Arial"/>
                <w:sz w:val="12"/>
                <w:szCs w:val="12"/>
              </w:rPr>
            </w:pPr>
          </w:p>
        </w:tc>
        <w:tc>
          <w:tcPr>
            <w:tcW w:w="1843" w:type="dxa"/>
            <w:shd w:val="clear" w:color="auto" w:fill="auto"/>
          </w:tcPr>
          <w:p w14:paraId="51BA0509" w14:textId="77777777" w:rsidR="002A4DDF" w:rsidRPr="00937C8B" w:rsidRDefault="002A4DDF" w:rsidP="009110ED">
            <w:pPr>
              <w:rPr>
                <w:rFonts w:ascii="Arial" w:hAnsi="Arial" w:cs="Arial"/>
                <w:sz w:val="12"/>
                <w:szCs w:val="12"/>
              </w:rPr>
            </w:pPr>
          </w:p>
        </w:tc>
        <w:tc>
          <w:tcPr>
            <w:tcW w:w="2268" w:type="dxa"/>
            <w:shd w:val="clear" w:color="auto" w:fill="F2F2F2"/>
            <w:hideMark/>
          </w:tcPr>
          <w:p w14:paraId="68601258" w14:textId="77777777" w:rsidR="002A4DDF" w:rsidRPr="00937C8B" w:rsidRDefault="002A4DDF" w:rsidP="009110ED">
            <w:pPr>
              <w:rPr>
                <w:rFonts w:ascii="Arial" w:hAnsi="Arial" w:cs="Arial"/>
                <w:sz w:val="12"/>
                <w:szCs w:val="12"/>
              </w:rPr>
            </w:pPr>
            <w:r>
              <w:rPr>
                <w:rFonts w:ascii="Arial" w:hAnsi="Arial"/>
                <w:sz w:val="12"/>
                <w:szCs w:val="12"/>
              </w:rPr>
              <w:t>Ocón</w:t>
            </w:r>
          </w:p>
        </w:tc>
        <w:tc>
          <w:tcPr>
            <w:tcW w:w="2268" w:type="dxa"/>
            <w:tcBorders>
              <w:right w:val="single" w:sz="4" w:space="0" w:color="auto"/>
            </w:tcBorders>
            <w:shd w:val="clear" w:color="auto" w:fill="D9D9D9"/>
            <w:hideMark/>
          </w:tcPr>
          <w:p w14:paraId="48AC9F46" w14:textId="77777777" w:rsidR="002A4DDF" w:rsidRPr="00937C8B" w:rsidRDefault="002A4DDF" w:rsidP="009110ED">
            <w:pPr>
              <w:rPr>
                <w:rFonts w:ascii="Arial" w:hAnsi="Arial" w:cs="Arial"/>
                <w:sz w:val="12"/>
                <w:szCs w:val="12"/>
              </w:rPr>
            </w:pPr>
          </w:p>
        </w:tc>
      </w:tr>
      <w:tr w:rsidR="002A4DDF" w:rsidRPr="00937C8B" w14:paraId="4AB77F18" w14:textId="77777777" w:rsidTr="00935676">
        <w:trPr>
          <w:cantSplit/>
        </w:trPr>
        <w:tc>
          <w:tcPr>
            <w:tcW w:w="1696" w:type="dxa"/>
            <w:tcBorders>
              <w:left w:val="single" w:sz="4" w:space="0" w:color="auto"/>
            </w:tcBorders>
            <w:shd w:val="clear" w:color="auto" w:fill="auto"/>
          </w:tcPr>
          <w:p w14:paraId="08FAB6AD" w14:textId="77777777" w:rsidR="002A4DDF" w:rsidRPr="00937C8B" w:rsidRDefault="002A4DDF" w:rsidP="009110ED">
            <w:pPr>
              <w:rPr>
                <w:rFonts w:ascii="Arial" w:hAnsi="Arial" w:cs="Arial"/>
                <w:sz w:val="12"/>
                <w:szCs w:val="12"/>
              </w:rPr>
            </w:pPr>
          </w:p>
        </w:tc>
        <w:tc>
          <w:tcPr>
            <w:tcW w:w="1843" w:type="dxa"/>
            <w:shd w:val="clear" w:color="auto" w:fill="auto"/>
          </w:tcPr>
          <w:p w14:paraId="153EC5AB" w14:textId="77777777" w:rsidR="002A4DDF" w:rsidRPr="00937C8B" w:rsidRDefault="002A4DDF" w:rsidP="009110ED">
            <w:pPr>
              <w:rPr>
                <w:rFonts w:ascii="Arial" w:hAnsi="Arial" w:cs="Arial"/>
                <w:sz w:val="12"/>
                <w:szCs w:val="12"/>
              </w:rPr>
            </w:pPr>
          </w:p>
        </w:tc>
        <w:tc>
          <w:tcPr>
            <w:tcW w:w="2268" w:type="dxa"/>
            <w:shd w:val="clear" w:color="auto" w:fill="F2F2F2"/>
            <w:hideMark/>
          </w:tcPr>
          <w:p w14:paraId="2431FB27" w14:textId="77777777" w:rsidR="002A4DDF" w:rsidRPr="00937C8B" w:rsidRDefault="002A4DDF" w:rsidP="009110ED">
            <w:pPr>
              <w:rPr>
                <w:rFonts w:ascii="Arial" w:hAnsi="Arial" w:cs="Arial"/>
                <w:sz w:val="12"/>
                <w:szCs w:val="12"/>
              </w:rPr>
            </w:pPr>
            <w:r>
              <w:rPr>
                <w:rFonts w:ascii="Arial" w:hAnsi="Arial"/>
                <w:sz w:val="12"/>
                <w:szCs w:val="12"/>
              </w:rPr>
              <w:t>Ortigosa de Cameros</w:t>
            </w:r>
          </w:p>
        </w:tc>
        <w:tc>
          <w:tcPr>
            <w:tcW w:w="2268" w:type="dxa"/>
            <w:tcBorders>
              <w:right w:val="single" w:sz="4" w:space="0" w:color="auto"/>
            </w:tcBorders>
            <w:shd w:val="clear" w:color="auto" w:fill="D9D9D9"/>
            <w:hideMark/>
          </w:tcPr>
          <w:p w14:paraId="2C7CCC54" w14:textId="77777777" w:rsidR="002A4DDF" w:rsidRPr="00937C8B" w:rsidRDefault="002A4DDF" w:rsidP="009110ED">
            <w:pPr>
              <w:rPr>
                <w:rFonts w:ascii="Arial" w:hAnsi="Arial" w:cs="Arial"/>
                <w:sz w:val="12"/>
                <w:szCs w:val="12"/>
              </w:rPr>
            </w:pPr>
          </w:p>
        </w:tc>
      </w:tr>
      <w:tr w:rsidR="002A4DDF" w:rsidRPr="00937C8B" w14:paraId="468176D0" w14:textId="77777777" w:rsidTr="00935676">
        <w:trPr>
          <w:cantSplit/>
        </w:trPr>
        <w:tc>
          <w:tcPr>
            <w:tcW w:w="1696" w:type="dxa"/>
            <w:tcBorders>
              <w:left w:val="single" w:sz="4" w:space="0" w:color="auto"/>
            </w:tcBorders>
            <w:shd w:val="clear" w:color="auto" w:fill="auto"/>
          </w:tcPr>
          <w:p w14:paraId="7C93879E" w14:textId="77777777" w:rsidR="002A4DDF" w:rsidRPr="00937C8B" w:rsidRDefault="002A4DDF" w:rsidP="009110ED">
            <w:pPr>
              <w:rPr>
                <w:rFonts w:ascii="Arial" w:hAnsi="Arial" w:cs="Arial"/>
                <w:sz w:val="12"/>
                <w:szCs w:val="12"/>
              </w:rPr>
            </w:pPr>
          </w:p>
        </w:tc>
        <w:tc>
          <w:tcPr>
            <w:tcW w:w="1843" w:type="dxa"/>
            <w:shd w:val="clear" w:color="auto" w:fill="auto"/>
          </w:tcPr>
          <w:p w14:paraId="42C6B8AD" w14:textId="77777777" w:rsidR="002A4DDF" w:rsidRPr="00937C8B" w:rsidRDefault="002A4DDF" w:rsidP="009110ED">
            <w:pPr>
              <w:rPr>
                <w:rFonts w:ascii="Arial" w:hAnsi="Arial" w:cs="Arial"/>
                <w:sz w:val="12"/>
                <w:szCs w:val="12"/>
              </w:rPr>
            </w:pPr>
          </w:p>
        </w:tc>
        <w:tc>
          <w:tcPr>
            <w:tcW w:w="2268" w:type="dxa"/>
            <w:shd w:val="clear" w:color="auto" w:fill="F2F2F2"/>
            <w:hideMark/>
          </w:tcPr>
          <w:p w14:paraId="5CA79D7D" w14:textId="77777777" w:rsidR="002A4DDF" w:rsidRPr="00937C8B" w:rsidRDefault="002A4DDF" w:rsidP="009110ED">
            <w:pPr>
              <w:rPr>
                <w:rFonts w:ascii="Arial" w:hAnsi="Arial" w:cs="Arial"/>
                <w:sz w:val="12"/>
                <w:szCs w:val="12"/>
              </w:rPr>
            </w:pPr>
            <w:r>
              <w:rPr>
                <w:rFonts w:ascii="Arial" w:hAnsi="Arial"/>
                <w:sz w:val="12"/>
                <w:szCs w:val="12"/>
              </w:rPr>
              <w:t>Pazuengos</w:t>
            </w:r>
          </w:p>
        </w:tc>
        <w:tc>
          <w:tcPr>
            <w:tcW w:w="2268" w:type="dxa"/>
            <w:tcBorders>
              <w:right w:val="single" w:sz="4" w:space="0" w:color="auto"/>
            </w:tcBorders>
            <w:shd w:val="clear" w:color="auto" w:fill="D9D9D9"/>
            <w:hideMark/>
          </w:tcPr>
          <w:p w14:paraId="255199AE" w14:textId="77777777" w:rsidR="002A4DDF" w:rsidRPr="00937C8B" w:rsidRDefault="002A4DDF" w:rsidP="009110ED">
            <w:pPr>
              <w:rPr>
                <w:rFonts w:ascii="Arial" w:hAnsi="Arial" w:cs="Arial"/>
                <w:sz w:val="12"/>
                <w:szCs w:val="12"/>
              </w:rPr>
            </w:pPr>
          </w:p>
        </w:tc>
      </w:tr>
      <w:tr w:rsidR="002A4DDF" w:rsidRPr="00937C8B" w14:paraId="72F6FCD5" w14:textId="77777777" w:rsidTr="00935676">
        <w:trPr>
          <w:cantSplit/>
        </w:trPr>
        <w:tc>
          <w:tcPr>
            <w:tcW w:w="1696" w:type="dxa"/>
            <w:tcBorders>
              <w:left w:val="single" w:sz="4" w:space="0" w:color="auto"/>
            </w:tcBorders>
            <w:shd w:val="clear" w:color="auto" w:fill="auto"/>
          </w:tcPr>
          <w:p w14:paraId="6FB7D1CA" w14:textId="77777777" w:rsidR="002A4DDF" w:rsidRPr="00937C8B" w:rsidRDefault="002A4DDF" w:rsidP="009110ED">
            <w:pPr>
              <w:rPr>
                <w:rFonts w:ascii="Arial" w:hAnsi="Arial" w:cs="Arial"/>
                <w:sz w:val="12"/>
                <w:szCs w:val="12"/>
              </w:rPr>
            </w:pPr>
          </w:p>
        </w:tc>
        <w:tc>
          <w:tcPr>
            <w:tcW w:w="1843" w:type="dxa"/>
            <w:shd w:val="clear" w:color="auto" w:fill="auto"/>
          </w:tcPr>
          <w:p w14:paraId="79F8367A" w14:textId="77777777" w:rsidR="002A4DDF" w:rsidRPr="00937C8B" w:rsidRDefault="002A4DDF" w:rsidP="009110ED">
            <w:pPr>
              <w:rPr>
                <w:rFonts w:ascii="Arial" w:hAnsi="Arial" w:cs="Arial"/>
                <w:sz w:val="12"/>
                <w:szCs w:val="12"/>
              </w:rPr>
            </w:pPr>
          </w:p>
        </w:tc>
        <w:tc>
          <w:tcPr>
            <w:tcW w:w="2268" w:type="dxa"/>
            <w:shd w:val="clear" w:color="auto" w:fill="F2F2F2"/>
            <w:hideMark/>
          </w:tcPr>
          <w:p w14:paraId="424EEF84" w14:textId="77777777" w:rsidR="002A4DDF" w:rsidRPr="00937C8B" w:rsidRDefault="002A4DDF" w:rsidP="009110ED">
            <w:pPr>
              <w:rPr>
                <w:rFonts w:ascii="Arial" w:hAnsi="Arial" w:cs="Arial"/>
                <w:sz w:val="12"/>
                <w:szCs w:val="12"/>
              </w:rPr>
            </w:pPr>
            <w:r>
              <w:rPr>
                <w:rFonts w:ascii="Arial" w:hAnsi="Arial"/>
                <w:sz w:val="12"/>
                <w:szCs w:val="12"/>
              </w:rPr>
              <w:t>Quel</w:t>
            </w:r>
          </w:p>
        </w:tc>
        <w:tc>
          <w:tcPr>
            <w:tcW w:w="2268" w:type="dxa"/>
            <w:tcBorders>
              <w:right w:val="single" w:sz="4" w:space="0" w:color="auto"/>
            </w:tcBorders>
            <w:shd w:val="clear" w:color="auto" w:fill="D9D9D9"/>
            <w:hideMark/>
          </w:tcPr>
          <w:p w14:paraId="694764E8" w14:textId="77777777" w:rsidR="002A4DDF" w:rsidRPr="00937C8B" w:rsidRDefault="002A4DDF" w:rsidP="009110ED">
            <w:pPr>
              <w:rPr>
                <w:rFonts w:ascii="Arial" w:hAnsi="Arial" w:cs="Arial"/>
                <w:sz w:val="12"/>
                <w:szCs w:val="12"/>
              </w:rPr>
            </w:pPr>
          </w:p>
        </w:tc>
      </w:tr>
      <w:tr w:rsidR="002A4DDF" w:rsidRPr="00937C8B" w14:paraId="0A468F88" w14:textId="77777777" w:rsidTr="00935676">
        <w:trPr>
          <w:cantSplit/>
        </w:trPr>
        <w:tc>
          <w:tcPr>
            <w:tcW w:w="1696" w:type="dxa"/>
            <w:tcBorders>
              <w:left w:val="single" w:sz="4" w:space="0" w:color="auto"/>
            </w:tcBorders>
            <w:shd w:val="clear" w:color="auto" w:fill="auto"/>
          </w:tcPr>
          <w:p w14:paraId="084E6E72" w14:textId="77777777" w:rsidR="002A4DDF" w:rsidRPr="00937C8B" w:rsidRDefault="002A4DDF" w:rsidP="009110ED">
            <w:pPr>
              <w:rPr>
                <w:rFonts w:ascii="Arial" w:hAnsi="Arial" w:cs="Arial"/>
                <w:sz w:val="12"/>
                <w:szCs w:val="12"/>
              </w:rPr>
            </w:pPr>
          </w:p>
        </w:tc>
        <w:tc>
          <w:tcPr>
            <w:tcW w:w="1843" w:type="dxa"/>
            <w:shd w:val="clear" w:color="auto" w:fill="auto"/>
          </w:tcPr>
          <w:p w14:paraId="43EFB0A7" w14:textId="77777777" w:rsidR="002A4DDF" w:rsidRPr="00937C8B" w:rsidRDefault="002A4DDF" w:rsidP="009110ED">
            <w:pPr>
              <w:rPr>
                <w:rFonts w:ascii="Arial" w:hAnsi="Arial" w:cs="Arial"/>
                <w:sz w:val="12"/>
                <w:szCs w:val="12"/>
              </w:rPr>
            </w:pPr>
          </w:p>
        </w:tc>
        <w:tc>
          <w:tcPr>
            <w:tcW w:w="2268" w:type="dxa"/>
            <w:shd w:val="clear" w:color="auto" w:fill="F2F2F2"/>
            <w:hideMark/>
          </w:tcPr>
          <w:p w14:paraId="5D58DB12" w14:textId="77777777" w:rsidR="002A4DDF" w:rsidRPr="00937C8B" w:rsidRDefault="002A4DDF" w:rsidP="009110ED">
            <w:pPr>
              <w:rPr>
                <w:rFonts w:ascii="Arial" w:hAnsi="Arial" w:cs="Arial"/>
                <w:sz w:val="12"/>
                <w:szCs w:val="12"/>
              </w:rPr>
            </w:pPr>
            <w:r>
              <w:rPr>
                <w:rFonts w:ascii="Arial" w:hAnsi="Arial"/>
                <w:sz w:val="12"/>
                <w:szCs w:val="12"/>
              </w:rPr>
              <w:t>Rincón de Soto</w:t>
            </w:r>
          </w:p>
        </w:tc>
        <w:tc>
          <w:tcPr>
            <w:tcW w:w="2268" w:type="dxa"/>
            <w:tcBorders>
              <w:right w:val="single" w:sz="4" w:space="0" w:color="auto"/>
            </w:tcBorders>
            <w:shd w:val="clear" w:color="auto" w:fill="D9D9D9"/>
            <w:hideMark/>
          </w:tcPr>
          <w:p w14:paraId="34D92AAA" w14:textId="77777777" w:rsidR="002A4DDF" w:rsidRPr="00937C8B" w:rsidRDefault="002A4DDF" w:rsidP="009110ED">
            <w:pPr>
              <w:rPr>
                <w:rFonts w:ascii="Arial" w:hAnsi="Arial" w:cs="Arial"/>
                <w:sz w:val="12"/>
                <w:szCs w:val="12"/>
              </w:rPr>
            </w:pPr>
          </w:p>
        </w:tc>
      </w:tr>
      <w:tr w:rsidR="002A4DDF" w:rsidRPr="00937C8B" w14:paraId="5533A43A" w14:textId="77777777" w:rsidTr="00935676">
        <w:trPr>
          <w:cantSplit/>
        </w:trPr>
        <w:tc>
          <w:tcPr>
            <w:tcW w:w="1696" w:type="dxa"/>
            <w:tcBorders>
              <w:left w:val="single" w:sz="4" w:space="0" w:color="auto"/>
            </w:tcBorders>
            <w:shd w:val="clear" w:color="auto" w:fill="auto"/>
          </w:tcPr>
          <w:p w14:paraId="4FFD0ABB" w14:textId="77777777" w:rsidR="002A4DDF" w:rsidRPr="00937C8B" w:rsidRDefault="002A4DDF" w:rsidP="009110ED">
            <w:pPr>
              <w:rPr>
                <w:rFonts w:ascii="Arial" w:hAnsi="Arial" w:cs="Arial"/>
                <w:sz w:val="12"/>
                <w:szCs w:val="12"/>
              </w:rPr>
            </w:pPr>
          </w:p>
        </w:tc>
        <w:tc>
          <w:tcPr>
            <w:tcW w:w="1843" w:type="dxa"/>
            <w:shd w:val="clear" w:color="auto" w:fill="auto"/>
          </w:tcPr>
          <w:p w14:paraId="399175DC" w14:textId="77777777" w:rsidR="002A4DDF" w:rsidRPr="00937C8B" w:rsidRDefault="002A4DDF" w:rsidP="009110ED">
            <w:pPr>
              <w:rPr>
                <w:rFonts w:ascii="Arial" w:hAnsi="Arial" w:cs="Arial"/>
                <w:sz w:val="12"/>
                <w:szCs w:val="12"/>
              </w:rPr>
            </w:pPr>
          </w:p>
        </w:tc>
        <w:tc>
          <w:tcPr>
            <w:tcW w:w="2268" w:type="dxa"/>
            <w:shd w:val="clear" w:color="auto" w:fill="F2F2F2"/>
            <w:hideMark/>
          </w:tcPr>
          <w:p w14:paraId="1C634F2B" w14:textId="77777777" w:rsidR="002A4DDF" w:rsidRPr="00937C8B" w:rsidRDefault="002A4DDF" w:rsidP="009110ED">
            <w:pPr>
              <w:rPr>
                <w:rFonts w:ascii="Arial" w:hAnsi="Arial" w:cs="Arial"/>
                <w:sz w:val="12"/>
                <w:szCs w:val="12"/>
              </w:rPr>
            </w:pPr>
            <w:r>
              <w:rPr>
                <w:rFonts w:ascii="Arial" w:hAnsi="Arial"/>
                <w:sz w:val="12"/>
                <w:szCs w:val="12"/>
              </w:rPr>
              <w:t>Robres del Castillo</w:t>
            </w:r>
          </w:p>
        </w:tc>
        <w:tc>
          <w:tcPr>
            <w:tcW w:w="2268" w:type="dxa"/>
            <w:tcBorders>
              <w:right w:val="single" w:sz="4" w:space="0" w:color="auto"/>
            </w:tcBorders>
            <w:shd w:val="clear" w:color="auto" w:fill="D9D9D9"/>
            <w:hideMark/>
          </w:tcPr>
          <w:p w14:paraId="28E0DAB9" w14:textId="77777777" w:rsidR="002A4DDF" w:rsidRPr="00937C8B" w:rsidRDefault="002A4DDF" w:rsidP="009110ED">
            <w:pPr>
              <w:rPr>
                <w:rFonts w:ascii="Arial" w:hAnsi="Arial" w:cs="Arial"/>
                <w:sz w:val="12"/>
                <w:szCs w:val="12"/>
              </w:rPr>
            </w:pPr>
          </w:p>
        </w:tc>
      </w:tr>
      <w:tr w:rsidR="002A4DDF" w:rsidRPr="00937C8B" w14:paraId="5E2FB817" w14:textId="77777777" w:rsidTr="00935676">
        <w:trPr>
          <w:cantSplit/>
        </w:trPr>
        <w:tc>
          <w:tcPr>
            <w:tcW w:w="1696" w:type="dxa"/>
            <w:tcBorders>
              <w:left w:val="single" w:sz="4" w:space="0" w:color="auto"/>
            </w:tcBorders>
            <w:shd w:val="clear" w:color="auto" w:fill="auto"/>
          </w:tcPr>
          <w:p w14:paraId="393027AD" w14:textId="77777777" w:rsidR="002A4DDF" w:rsidRPr="00937C8B" w:rsidRDefault="002A4DDF" w:rsidP="009110ED">
            <w:pPr>
              <w:rPr>
                <w:rFonts w:ascii="Arial" w:hAnsi="Arial" w:cs="Arial"/>
                <w:sz w:val="12"/>
                <w:szCs w:val="12"/>
              </w:rPr>
            </w:pPr>
          </w:p>
        </w:tc>
        <w:tc>
          <w:tcPr>
            <w:tcW w:w="1843" w:type="dxa"/>
            <w:shd w:val="clear" w:color="auto" w:fill="auto"/>
          </w:tcPr>
          <w:p w14:paraId="076EF330" w14:textId="77777777" w:rsidR="002A4DDF" w:rsidRPr="00937C8B" w:rsidRDefault="002A4DDF" w:rsidP="009110ED">
            <w:pPr>
              <w:rPr>
                <w:rFonts w:ascii="Arial" w:hAnsi="Arial" w:cs="Arial"/>
                <w:sz w:val="12"/>
                <w:szCs w:val="12"/>
              </w:rPr>
            </w:pPr>
          </w:p>
        </w:tc>
        <w:tc>
          <w:tcPr>
            <w:tcW w:w="2268" w:type="dxa"/>
            <w:shd w:val="clear" w:color="auto" w:fill="F2F2F2"/>
            <w:hideMark/>
          </w:tcPr>
          <w:p w14:paraId="46743C06" w14:textId="77777777" w:rsidR="002A4DDF" w:rsidRPr="00937C8B" w:rsidRDefault="002A4DDF" w:rsidP="009110ED">
            <w:pPr>
              <w:rPr>
                <w:rFonts w:ascii="Arial" w:hAnsi="Arial" w:cs="Arial"/>
                <w:sz w:val="12"/>
                <w:szCs w:val="12"/>
              </w:rPr>
            </w:pPr>
            <w:r>
              <w:rPr>
                <w:rFonts w:ascii="Arial" w:hAnsi="Arial"/>
                <w:sz w:val="12"/>
                <w:szCs w:val="12"/>
              </w:rPr>
              <w:t>Rodezno</w:t>
            </w:r>
          </w:p>
        </w:tc>
        <w:tc>
          <w:tcPr>
            <w:tcW w:w="2268" w:type="dxa"/>
            <w:tcBorders>
              <w:right w:val="single" w:sz="4" w:space="0" w:color="auto"/>
            </w:tcBorders>
            <w:shd w:val="clear" w:color="auto" w:fill="D9D9D9"/>
            <w:hideMark/>
          </w:tcPr>
          <w:p w14:paraId="742F85DF" w14:textId="77777777" w:rsidR="002A4DDF" w:rsidRPr="00937C8B" w:rsidRDefault="002A4DDF" w:rsidP="009110ED">
            <w:pPr>
              <w:rPr>
                <w:rFonts w:ascii="Arial" w:hAnsi="Arial" w:cs="Arial"/>
                <w:sz w:val="12"/>
                <w:szCs w:val="12"/>
              </w:rPr>
            </w:pPr>
          </w:p>
        </w:tc>
      </w:tr>
      <w:tr w:rsidR="002A4DDF" w:rsidRPr="00937C8B" w14:paraId="742F3811" w14:textId="77777777" w:rsidTr="00935676">
        <w:trPr>
          <w:cantSplit/>
        </w:trPr>
        <w:tc>
          <w:tcPr>
            <w:tcW w:w="1696" w:type="dxa"/>
            <w:tcBorders>
              <w:left w:val="single" w:sz="4" w:space="0" w:color="auto"/>
            </w:tcBorders>
            <w:shd w:val="clear" w:color="auto" w:fill="auto"/>
          </w:tcPr>
          <w:p w14:paraId="67B642C3" w14:textId="77777777" w:rsidR="002A4DDF" w:rsidRPr="00937C8B" w:rsidRDefault="002A4DDF" w:rsidP="009110ED">
            <w:pPr>
              <w:rPr>
                <w:rFonts w:ascii="Arial" w:hAnsi="Arial" w:cs="Arial"/>
                <w:sz w:val="12"/>
                <w:szCs w:val="12"/>
              </w:rPr>
            </w:pPr>
          </w:p>
        </w:tc>
        <w:tc>
          <w:tcPr>
            <w:tcW w:w="1843" w:type="dxa"/>
            <w:shd w:val="clear" w:color="auto" w:fill="auto"/>
          </w:tcPr>
          <w:p w14:paraId="562C2F12" w14:textId="77777777" w:rsidR="002A4DDF" w:rsidRPr="00937C8B" w:rsidRDefault="002A4DDF" w:rsidP="009110ED">
            <w:pPr>
              <w:rPr>
                <w:rFonts w:ascii="Arial" w:hAnsi="Arial" w:cs="Arial"/>
                <w:sz w:val="12"/>
                <w:szCs w:val="12"/>
              </w:rPr>
            </w:pPr>
          </w:p>
        </w:tc>
        <w:tc>
          <w:tcPr>
            <w:tcW w:w="2268" w:type="dxa"/>
            <w:shd w:val="clear" w:color="auto" w:fill="F2F2F2"/>
            <w:hideMark/>
          </w:tcPr>
          <w:p w14:paraId="7816A585" w14:textId="77777777" w:rsidR="002A4DDF" w:rsidRPr="00937C8B" w:rsidRDefault="002A4DDF" w:rsidP="009110ED">
            <w:pPr>
              <w:rPr>
                <w:rFonts w:ascii="Arial" w:hAnsi="Arial" w:cs="Arial"/>
                <w:sz w:val="12"/>
                <w:szCs w:val="12"/>
              </w:rPr>
            </w:pPr>
            <w:r>
              <w:rPr>
                <w:rFonts w:ascii="Arial" w:hAnsi="Arial"/>
                <w:sz w:val="12"/>
                <w:szCs w:val="12"/>
              </w:rPr>
              <w:t>San Millán de la Cogolla</w:t>
            </w:r>
          </w:p>
        </w:tc>
        <w:tc>
          <w:tcPr>
            <w:tcW w:w="2268" w:type="dxa"/>
            <w:tcBorders>
              <w:right w:val="single" w:sz="4" w:space="0" w:color="auto"/>
            </w:tcBorders>
            <w:shd w:val="clear" w:color="auto" w:fill="D9D9D9"/>
            <w:hideMark/>
          </w:tcPr>
          <w:p w14:paraId="17D8D34F" w14:textId="77777777" w:rsidR="002A4DDF" w:rsidRPr="00937C8B" w:rsidRDefault="002A4DDF" w:rsidP="009110ED">
            <w:pPr>
              <w:rPr>
                <w:rFonts w:ascii="Arial" w:hAnsi="Arial" w:cs="Arial"/>
                <w:sz w:val="12"/>
                <w:szCs w:val="12"/>
              </w:rPr>
            </w:pPr>
          </w:p>
        </w:tc>
      </w:tr>
      <w:tr w:rsidR="002A4DDF" w:rsidRPr="00937C8B" w14:paraId="7A183376" w14:textId="77777777" w:rsidTr="00935676">
        <w:trPr>
          <w:cantSplit/>
        </w:trPr>
        <w:tc>
          <w:tcPr>
            <w:tcW w:w="1696" w:type="dxa"/>
            <w:tcBorders>
              <w:left w:val="single" w:sz="4" w:space="0" w:color="auto"/>
            </w:tcBorders>
            <w:shd w:val="clear" w:color="auto" w:fill="auto"/>
          </w:tcPr>
          <w:p w14:paraId="5286D11F" w14:textId="77777777" w:rsidR="002A4DDF" w:rsidRPr="00937C8B" w:rsidRDefault="002A4DDF" w:rsidP="009110ED">
            <w:pPr>
              <w:rPr>
                <w:rFonts w:ascii="Arial" w:hAnsi="Arial" w:cs="Arial"/>
                <w:sz w:val="12"/>
                <w:szCs w:val="12"/>
              </w:rPr>
            </w:pPr>
          </w:p>
        </w:tc>
        <w:tc>
          <w:tcPr>
            <w:tcW w:w="1843" w:type="dxa"/>
            <w:shd w:val="clear" w:color="auto" w:fill="auto"/>
          </w:tcPr>
          <w:p w14:paraId="1911704D" w14:textId="77777777" w:rsidR="002A4DDF" w:rsidRPr="00937C8B" w:rsidRDefault="002A4DDF" w:rsidP="009110ED">
            <w:pPr>
              <w:rPr>
                <w:rFonts w:ascii="Arial" w:hAnsi="Arial" w:cs="Arial"/>
                <w:sz w:val="12"/>
                <w:szCs w:val="12"/>
              </w:rPr>
            </w:pPr>
          </w:p>
        </w:tc>
        <w:tc>
          <w:tcPr>
            <w:tcW w:w="2268" w:type="dxa"/>
            <w:shd w:val="clear" w:color="auto" w:fill="F2F2F2"/>
            <w:hideMark/>
          </w:tcPr>
          <w:p w14:paraId="4D0DEBE0" w14:textId="77777777" w:rsidR="002A4DDF" w:rsidRPr="00937C8B" w:rsidRDefault="002A4DDF" w:rsidP="009110ED">
            <w:pPr>
              <w:rPr>
                <w:rFonts w:ascii="Arial" w:hAnsi="Arial" w:cs="Arial"/>
                <w:sz w:val="12"/>
                <w:szCs w:val="12"/>
              </w:rPr>
            </w:pPr>
            <w:r>
              <w:rPr>
                <w:rFonts w:ascii="Arial" w:hAnsi="Arial"/>
                <w:sz w:val="12"/>
                <w:szCs w:val="12"/>
              </w:rPr>
              <w:t>San Román de Cameros</w:t>
            </w:r>
          </w:p>
        </w:tc>
        <w:tc>
          <w:tcPr>
            <w:tcW w:w="2268" w:type="dxa"/>
            <w:tcBorders>
              <w:right w:val="single" w:sz="4" w:space="0" w:color="auto"/>
            </w:tcBorders>
            <w:shd w:val="clear" w:color="auto" w:fill="D9D9D9"/>
            <w:hideMark/>
          </w:tcPr>
          <w:p w14:paraId="2A1EC92B" w14:textId="77777777" w:rsidR="002A4DDF" w:rsidRPr="00937C8B" w:rsidRDefault="002A4DDF" w:rsidP="009110ED">
            <w:pPr>
              <w:rPr>
                <w:rFonts w:ascii="Arial" w:hAnsi="Arial" w:cs="Arial"/>
                <w:sz w:val="12"/>
                <w:szCs w:val="12"/>
              </w:rPr>
            </w:pPr>
          </w:p>
        </w:tc>
      </w:tr>
      <w:tr w:rsidR="002A4DDF" w:rsidRPr="00937C8B" w14:paraId="77DE45A7" w14:textId="77777777" w:rsidTr="00935676">
        <w:trPr>
          <w:cantSplit/>
        </w:trPr>
        <w:tc>
          <w:tcPr>
            <w:tcW w:w="1696" w:type="dxa"/>
            <w:tcBorders>
              <w:left w:val="single" w:sz="4" w:space="0" w:color="auto"/>
            </w:tcBorders>
            <w:shd w:val="clear" w:color="auto" w:fill="auto"/>
          </w:tcPr>
          <w:p w14:paraId="0D7B2297" w14:textId="77777777" w:rsidR="002A4DDF" w:rsidRPr="00937C8B" w:rsidRDefault="002A4DDF" w:rsidP="009110ED">
            <w:pPr>
              <w:rPr>
                <w:rFonts w:ascii="Arial" w:hAnsi="Arial" w:cs="Arial"/>
                <w:sz w:val="12"/>
                <w:szCs w:val="12"/>
              </w:rPr>
            </w:pPr>
          </w:p>
        </w:tc>
        <w:tc>
          <w:tcPr>
            <w:tcW w:w="1843" w:type="dxa"/>
            <w:shd w:val="clear" w:color="auto" w:fill="auto"/>
          </w:tcPr>
          <w:p w14:paraId="47EAC3E9" w14:textId="77777777" w:rsidR="002A4DDF" w:rsidRPr="00937C8B" w:rsidRDefault="002A4DDF" w:rsidP="009110ED">
            <w:pPr>
              <w:rPr>
                <w:rFonts w:ascii="Arial" w:hAnsi="Arial" w:cs="Arial"/>
                <w:sz w:val="12"/>
                <w:szCs w:val="12"/>
              </w:rPr>
            </w:pPr>
          </w:p>
        </w:tc>
        <w:tc>
          <w:tcPr>
            <w:tcW w:w="2268" w:type="dxa"/>
            <w:shd w:val="clear" w:color="auto" w:fill="F2F2F2"/>
            <w:hideMark/>
          </w:tcPr>
          <w:p w14:paraId="146A9F4F" w14:textId="77777777" w:rsidR="002A4DDF" w:rsidRPr="00937C8B" w:rsidRDefault="002A4DDF" w:rsidP="009110ED">
            <w:pPr>
              <w:rPr>
                <w:rFonts w:ascii="Arial" w:hAnsi="Arial" w:cs="Arial"/>
                <w:sz w:val="12"/>
                <w:szCs w:val="12"/>
              </w:rPr>
            </w:pPr>
            <w:r>
              <w:rPr>
                <w:rFonts w:ascii="Arial" w:hAnsi="Arial"/>
                <w:sz w:val="12"/>
                <w:szCs w:val="12"/>
              </w:rPr>
              <w:t>San Torcuato</w:t>
            </w:r>
          </w:p>
        </w:tc>
        <w:tc>
          <w:tcPr>
            <w:tcW w:w="2268" w:type="dxa"/>
            <w:tcBorders>
              <w:right w:val="single" w:sz="4" w:space="0" w:color="auto"/>
            </w:tcBorders>
            <w:shd w:val="clear" w:color="auto" w:fill="D9D9D9"/>
            <w:hideMark/>
          </w:tcPr>
          <w:p w14:paraId="596E4F1F" w14:textId="77777777" w:rsidR="002A4DDF" w:rsidRPr="00937C8B" w:rsidRDefault="002A4DDF" w:rsidP="009110ED">
            <w:pPr>
              <w:rPr>
                <w:rFonts w:ascii="Arial" w:hAnsi="Arial" w:cs="Arial"/>
                <w:sz w:val="12"/>
                <w:szCs w:val="12"/>
              </w:rPr>
            </w:pPr>
          </w:p>
        </w:tc>
      </w:tr>
      <w:tr w:rsidR="002A4DDF" w:rsidRPr="00937C8B" w14:paraId="7E15F5DB" w14:textId="77777777" w:rsidTr="00935676">
        <w:trPr>
          <w:cantSplit/>
        </w:trPr>
        <w:tc>
          <w:tcPr>
            <w:tcW w:w="1696" w:type="dxa"/>
            <w:tcBorders>
              <w:left w:val="single" w:sz="4" w:space="0" w:color="auto"/>
            </w:tcBorders>
            <w:shd w:val="clear" w:color="auto" w:fill="auto"/>
          </w:tcPr>
          <w:p w14:paraId="25231F5D" w14:textId="77777777" w:rsidR="002A4DDF" w:rsidRPr="00937C8B" w:rsidRDefault="002A4DDF" w:rsidP="009110ED">
            <w:pPr>
              <w:rPr>
                <w:rFonts w:ascii="Arial" w:hAnsi="Arial" w:cs="Arial"/>
                <w:sz w:val="12"/>
                <w:szCs w:val="12"/>
              </w:rPr>
            </w:pPr>
          </w:p>
        </w:tc>
        <w:tc>
          <w:tcPr>
            <w:tcW w:w="1843" w:type="dxa"/>
            <w:shd w:val="clear" w:color="auto" w:fill="auto"/>
          </w:tcPr>
          <w:p w14:paraId="4F770AD3" w14:textId="77777777" w:rsidR="002A4DDF" w:rsidRPr="00937C8B" w:rsidRDefault="002A4DDF" w:rsidP="009110ED">
            <w:pPr>
              <w:rPr>
                <w:rFonts w:ascii="Arial" w:hAnsi="Arial" w:cs="Arial"/>
                <w:sz w:val="12"/>
                <w:szCs w:val="12"/>
              </w:rPr>
            </w:pPr>
          </w:p>
        </w:tc>
        <w:tc>
          <w:tcPr>
            <w:tcW w:w="2268" w:type="dxa"/>
            <w:shd w:val="clear" w:color="auto" w:fill="F2F2F2"/>
            <w:hideMark/>
          </w:tcPr>
          <w:p w14:paraId="24E72AE7" w14:textId="77777777" w:rsidR="002A4DDF" w:rsidRPr="00937C8B" w:rsidRDefault="002A4DDF" w:rsidP="009110ED">
            <w:pPr>
              <w:rPr>
                <w:rFonts w:ascii="Arial" w:hAnsi="Arial" w:cs="Arial"/>
                <w:sz w:val="12"/>
                <w:szCs w:val="12"/>
              </w:rPr>
            </w:pPr>
            <w:r>
              <w:rPr>
                <w:rFonts w:ascii="Arial" w:hAnsi="Arial"/>
                <w:sz w:val="12"/>
                <w:szCs w:val="12"/>
              </w:rPr>
              <w:t>Santa Engracia del Jubera</w:t>
            </w:r>
          </w:p>
        </w:tc>
        <w:tc>
          <w:tcPr>
            <w:tcW w:w="2268" w:type="dxa"/>
            <w:tcBorders>
              <w:right w:val="single" w:sz="4" w:space="0" w:color="auto"/>
            </w:tcBorders>
            <w:shd w:val="clear" w:color="auto" w:fill="D9D9D9"/>
            <w:hideMark/>
          </w:tcPr>
          <w:p w14:paraId="5365A91F" w14:textId="77777777" w:rsidR="002A4DDF" w:rsidRPr="00937C8B" w:rsidRDefault="002A4DDF" w:rsidP="009110ED">
            <w:pPr>
              <w:rPr>
                <w:rFonts w:ascii="Arial" w:hAnsi="Arial" w:cs="Arial"/>
                <w:sz w:val="12"/>
                <w:szCs w:val="12"/>
              </w:rPr>
            </w:pPr>
          </w:p>
        </w:tc>
      </w:tr>
      <w:tr w:rsidR="002A4DDF" w:rsidRPr="00937C8B" w14:paraId="58C77A1A" w14:textId="77777777" w:rsidTr="00935676">
        <w:trPr>
          <w:cantSplit/>
        </w:trPr>
        <w:tc>
          <w:tcPr>
            <w:tcW w:w="1696" w:type="dxa"/>
            <w:tcBorders>
              <w:left w:val="single" w:sz="4" w:space="0" w:color="auto"/>
            </w:tcBorders>
            <w:shd w:val="clear" w:color="auto" w:fill="auto"/>
          </w:tcPr>
          <w:p w14:paraId="2B85CC78" w14:textId="77777777" w:rsidR="002A4DDF" w:rsidRPr="00937C8B" w:rsidRDefault="002A4DDF" w:rsidP="009110ED">
            <w:pPr>
              <w:rPr>
                <w:rFonts w:ascii="Arial" w:hAnsi="Arial" w:cs="Arial"/>
                <w:sz w:val="12"/>
                <w:szCs w:val="12"/>
              </w:rPr>
            </w:pPr>
          </w:p>
        </w:tc>
        <w:tc>
          <w:tcPr>
            <w:tcW w:w="1843" w:type="dxa"/>
            <w:shd w:val="clear" w:color="auto" w:fill="auto"/>
          </w:tcPr>
          <w:p w14:paraId="4701DF73" w14:textId="77777777" w:rsidR="002A4DDF" w:rsidRPr="00937C8B" w:rsidRDefault="002A4DDF" w:rsidP="009110ED">
            <w:pPr>
              <w:rPr>
                <w:rFonts w:ascii="Arial" w:hAnsi="Arial" w:cs="Arial"/>
                <w:sz w:val="12"/>
                <w:szCs w:val="12"/>
              </w:rPr>
            </w:pPr>
          </w:p>
        </w:tc>
        <w:tc>
          <w:tcPr>
            <w:tcW w:w="2268" w:type="dxa"/>
            <w:shd w:val="clear" w:color="auto" w:fill="F2F2F2"/>
            <w:hideMark/>
          </w:tcPr>
          <w:p w14:paraId="2DE62009" w14:textId="77777777" w:rsidR="002A4DDF" w:rsidRPr="00937C8B" w:rsidRDefault="002A4DDF" w:rsidP="009110ED">
            <w:pPr>
              <w:rPr>
                <w:rFonts w:ascii="Arial" w:hAnsi="Arial" w:cs="Arial"/>
                <w:sz w:val="12"/>
                <w:szCs w:val="12"/>
              </w:rPr>
            </w:pPr>
            <w:r>
              <w:rPr>
                <w:rFonts w:ascii="Arial" w:hAnsi="Arial"/>
                <w:sz w:val="12"/>
                <w:szCs w:val="12"/>
              </w:rPr>
              <w:t>Santa Eulalia Bajera</w:t>
            </w:r>
          </w:p>
        </w:tc>
        <w:tc>
          <w:tcPr>
            <w:tcW w:w="2268" w:type="dxa"/>
            <w:tcBorders>
              <w:right w:val="single" w:sz="4" w:space="0" w:color="auto"/>
            </w:tcBorders>
            <w:shd w:val="clear" w:color="auto" w:fill="D9D9D9"/>
            <w:hideMark/>
          </w:tcPr>
          <w:p w14:paraId="7067CA44" w14:textId="77777777" w:rsidR="002A4DDF" w:rsidRPr="00937C8B" w:rsidRDefault="002A4DDF" w:rsidP="009110ED">
            <w:pPr>
              <w:rPr>
                <w:rFonts w:ascii="Arial" w:hAnsi="Arial" w:cs="Arial"/>
                <w:sz w:val="12"/>
                <w:szCs w:val="12"/>
              </w:rPr>
            </w:pPr>
          </w:p>
        </w:tc>
      </w:tr>
      <w:tr w:rsidR="002A4DDF" w:rsidRPr="00937C8B" w14:paraId="20088769" w14:textId="77777777" w:rsidTr="00935676">
        <w:trPr>
          <w:cantSplit/>
        </w:trPr>
        <w:tc>
          <w:tcPr>
            <w:tcW w:w="1696" w:type="dxa"/>
            <w:tcBorders>
              <w:left w:val="single" w:sz="4" w:space="0" w:color="auto"/>
            </w:tcBorders>
            <w:shd w:val="clear" w:color="auto" w:fill="auto"/>
          </w:tcPr>
          <w:p w14:paraId="77A42AC2" w14:textId="77777777" w:rsidR="002A4DDF" w:rsidRPr="00937C8B" w:rsidRDefault="002A4DDF" w:rsidP="009110ED">
            <w:pPr>
              <w:rPr>
                <w:rFonts w:ascii="Arial" w:hAnsi="Arial" w:cs="Arial"/>
                <w:sz w:val="12"/>
                <w:szCs w:val="12"/>
              </w:rPr>
            </w:pPr>
          </w:p>
        </w:tc>
        <w:tc>
          <w:tcPr>
            <w:tcW w:w="1843" w:type="dxa"/>
            <w:shd w:val="clear" w:color="auto" w:fill="auto"/>
          </w:tcPr>
          <w:p w14:paraId="70094338" w14:textId="77777777" w:rsidR="002A4DDF" w:rsidRPr="00937C8B" w:rsidRDefault="002A4DDF" w:rsidP="009110ED">
            <w:pPr>
              <w:rPr>
                <w:rFonts w:ascii="Arial" w:hAnsi="Arial" w:cs="Arial"/>
                <w:sz w:val="12"/>
                <w:szCs w:val="12"/>
              </w:rPr>
            </w:pPr>
          </w:p>
        </w:tc>
        <w:tc>
          <w:tcPr>
            <w:tcW w:w="2268" w:type="dxa"/>
            <w:shd w:val="clear" w:color="auto" w:fill="F2F2F2"/>
            <w:hideMark/>
          </w:tcPr>
          <w:p w14:paraId="2E64A72B" w14:textId="77777777" w:rsidR="002A4DDF" w:rsidRPr="00937C8B" w:rsidRDefault="002A4DDF" w:rsidP="009110ED">
            <w:pPr>
              <w:rPr>
                <w:rFonts w:ascii="Arial" w:hAnsi="Arial" w:cs="Arial"/>
                <w:sz w:val="12"/>
                <w:szCs w:val="12"/>
              </w:rPr>
            </w:pPr>
            <w:r>
              <w:rPr>
                <w:rFonts w:ascii="Arial" w:hAnsi="Arial"/>
                <w:sz w:val="12"/>
                <w:szCs w:val="12"/>
              </w:rPr>
              <w:t>Santo Domingo de la Calzada</w:t>
            </w:r>
          </w:p>
        </w:tc>
        <w:tc>
          <w:tcPr>
            <w:tcW w:w="2268" w:type="dxa"/>
            <w:tcBorders>
              <w:right w:val="single" w:sz="4" w:space="0" w:color="auto"/>
            </w:tcBorders>
            <w:shd w:val="clear" w:color="auto" w:fill="D9D9D9"/>
            <w:hideMark/>
          </w:tcPr>
          <w:p w14:paraId="666DDEC8" w14:textId="77777777" w:rsidR="002A4DDF" w:rsidRPr="00937C8B" w:rsidRDefault="002A4DDF" w:rsidP="009110ED">
            <w:pPr>
              <w:rPr>
                <w:rFonts w:ascii="Arial" w:hAnsi="Arial" w:cs="Arial"/>
                <w:sz w:val="12"/>
                <w:szCs w:val="12"/>
              </w:rPr>
            </w:pPr>
          </w:p>
        </w:tc>
      </w:tr>
      <w:tr w:rsidR="002A4DDF" w:rsidRPr="00937C8B" w14:paraId="2DF34142" w14:textId="77777777" w:rsidTr="00935676">
        <w:trPr>
          <w:cantSplit/>
        </w:trPr>
        <w:tc>
          <w:tcPr>
            <w:tcW w:w="1696" w:type="dxa"/>
            <w:tcBorders>
              <w:left w:val="single" w:sz="4" w:space="0" w:color="auto"/>
            </w:tcBorders>
            <w:shd w:val="clear" w:color="auto" w:fill="auto"/>
          </w:tcPr>
          <w:p w14:paraId="023F7814" w14:textId="77777777" w:rsidR="002A4DDF" w:rsidRPr="00937C8B" w:rsidRDefault="002A4DDF" w:rsidP="009110ED">
            <w:pPr>
              <w:rPr>
                <w:rFonts w:ascii="Arial" w:hAnsi="Arial" w:cs="Arial"/>
                <w:sz w:val="12"/>
                <w:szCs w:val="12"/>
              </w:rPr>
            </w:pPr>
          </w:p>
        </w:tc>
        <w:tc>
          <w:tcPr>
            <w:tcW w:w="1843" w:type="dxa"/>
            <w:shd w:val="clear" w:color="auto" w:fill="auto"/>
          </w:tcPr>
          <w:p w14:paraId="57EE3BD4" w14:textId="77777777" w:rsidR="002A4DDF" w:rsidRPr="00937C8B" w:rsidRDefault="002A4DDF" w:rsidP="009110ED">
            <w:pPr>
              <w:rPr>
                <w:rFonts w:ascii="Arial" w:hAnsi="Arial" w:cs="Arial"/>
                <w:sz w:val="12"/>
                <w:szCs w:val="12"/>
              </w:rPr>
            </w:pPr>
          </w:p>
        </w:tc>
        <w:tc>
          <w:tcPr>
            <w:tcW w:w="2268" w:type="dxa"/>
            <w:shd w:val="clear" w:color="auto" w:fill="F2F2F2"/>
            <w:hideMark/>
          </w:tcPr>
          <w:p w14:paraId="697A266E" w14:textId="77777777" w:rsidR="002A4DDF" w:rsidRPr="00937C8B" w:rsidRDefault="002A4DDF" w:rsidP="009110ED">
            <w:pPr>
              <w:rPr>
                <w:rFonts w:ascii="Arial" w:hAnsi="Arial" w:cs="Arial"/>
                <w:sz w:val="12"/>
                <w:szCs w:val="12"/>
              </w:rPr>
            </w:pPr>
            <w:r>
              <w:rPr>
                <w:rFonts w:ascii="Arial" w:hAnsi="Arial"/>
                <w:sz w:val="12"/>
                <w:szCs w:val="12"/>
              </w:rPr>
              <w:t>Santurdejo</w:t>
            </w:r>
          </w:p>
        </w:tc>
        <w:tc>
          <w:tcPr>
            <w:tcW w:w="2268" w:type="dxa"/>
            <w:tcBorders>
              <w:right w:val="single" w:sz="4" w:space="0" w:color="auto"/>
            </w:tcBorders>
            <w:shd w:val="clear" w:color="auto" w:fill="D9D9D9"/>
            <w:hideMark/>
          </w:tcPr>
          <w:p w14:paraId="0E2148D1" w14:textId="77777777" w:rsidR="002A4DDF" w:rsidRPr="00937C8B" w:rsidRDefault="002A4DDF" w:rsidP="009110ED">
            <w:pPr>
              <w:rPr>
                <w:rFonts w:ascii="Arial" w:hAnsi="Arial" w:cs="Arial"/>
                <w:sz w:val="12"/>
                <w:szCs w:val="12"/>
              </w:rPr>
            </w:pPr>
          </w:p>
        </w:tc>
      </w:tr>
      <w:tr w:rsidR="002A4DDF" w:rsidRPr="00937C8B" w14:paraId="71B4C36F" w14:textId="77777777" w:rsidTr="00935676">
        <w:trPr>
          <w:cantSplit/>
        </w:trPr>
        <w:tc>
          <w:tcPr>
            <w:tcW w:w="1696" w:type="dxa"/>
            <w:tcBorders>
              <w:left w:val="single" w:sz="4" w:space="0" w:color="auto"/>
            </w:tcBorders>
            <w:shd w:val="clear" w:color="auto" w:fill="auto"/>
          </w:tcPr>
          <w:p w14:paraId="681B57D1" w14:textId="77777777" w:rsidR="002A4DDF" w:rsidRPr="00937C8B" w:rsidRDefault="002A4DDF" w:rsidP="009110ED">
            <w:pPr>
              <w:rPr>
                <w:rFonts w:ascii="Arial" w:hAnsi="Arial" w:cs="Arial"/>
                <w:sz w:val="12"/>
                <w:szCs w:val="12"/>
              </w:rPr>
            </w:pPr>
          </w:p>
        </w:tc>
        <w:tc>
          <w:tcPr>
            <w:tcW w:w="1843" w:type="dxa"/>
            <w:shd w:val="clear" w:color="auto" w:fill="auto"/>
          </w:tcPr>
          <w:p w14:paraId="7C04DAC4" w14:textId="77777777" w:rsidR="002A4DDF" w:rsidRPr="00937C8B" w:rsidRDefault="002A4DDF" w:rsidP="009110ED">
            <w:pPr>
              <w:rPr>
                <w:rFonts w:ascii="Arial" w:hAnsi="Arial" w:cs="Arial"/>
                <w:sz w:val="12"/>
                <w:szCs w:val="12"/>
              </w:rPr>
            </w:pPr>
          </w:p>
        </w:tc>
        <w:tc>
          <w:tcPr>
            <w:tcW w:w="2268" w:type="dxa"/>
            <w:shd w:val="clear" w:color="auto" w:fill="F2F2F2"/>
            <w:hideMark/>
          </w:tcPr>
          <w:p w14:paraId="61499C58" w14:textId="77777777" w:rsidR="002A4DDF" w:rsidRPr="00937C8B" w:rsidRDefault="002A4DDF" w:rsidP="009110ED">
            <w:pPr>
              <w:rPr>
                <w:rFonts w:ascii="Arial" w:hAnsi="Arial" w:cs="Arial"/>
                <w:sz w:val="12"/>
                <w:szCs w:val="12"/>
              </w:rPr>
            </w:pPr>
            <w:r>
              <w:rPr>
                <w:rFonts w:ascii="Arial" w:hAnsi="Arial"/>
                <w:sz w:val="12"/>
                <w:szCs w:val="12"/>
              </w:rPr>
              <w:t>Torrecilla sobre Alesanco</w:t>
            </w:r>
          </w:p>
        </w:tc>
        <w:tc>
          <w:tcPr>
            <w:tcW w:w="2268" w:type="dxa"/>
            <w:tcBorders>
              <w:right w:val="single" w:sz="4" w:space="0" w:color="auto"/>
            </w:tcBorders>
            <w:shd w:val="clear" w:color="auto" w:fill="D9D9D9"/>
            <w:hideMark/>
          </w:tcPr>
          <w:p w14:paraId="5FFFC1A5" w14:textId="77777777" w:rsidR="002A4DDF" w:rsidRPr="00937C8B" w:rsidRDefault="002A4DDF" w:rsidP="009110ED">
            <w:pPr>
              <w:rPr>
                <w:rFonts w:ascii="Arial" w:hAnsi="Arial" w:cs="Arial"/>
                <w:sz w:val="12"/>
                <w:szCs w:val="12"/>
              </w:rPr>
            </w:pPr>
          </w:p>
        </w:tc>
      </w:tr>
      <w:tr w:rsidR="002A4DDF" w:rsidRPr="00937C8B" w14:paraId="3229E212" w14:textId="77777777" w:rsidTr="00935676">
        <w:trPr>
          <w:cantSplit/>
        </w:trPr>
        <w:tc>
          <w:tcPr>
            <w:tcW w:w="1696" w:type="dxa"/>
            <w:tcBorders>
              <w:left w:val="single" w:sz="4" w:space="0" w:color="auto"/>
            </w:tcBorders>
            <w:shd w:val="clear" w:color="auto" w:fill="auto"/>
          </w:tcPr>
          <w:p w14:paraId="3EBA7A20" w14:textId="77777777" w:rsidR="002A4DDF" w:rsidRPr="00937C8B" w:rsidRDefault="002A4DDF" w:rsidP="009110ED">
            <w:pPr>
              <w:rPr>
                <w:rFonts w:ascii="Arial" w:hAnsi="Arial" w:cs="Arial"/>
                <w:sz w:val="12"/>
                <w:szCs w:val="12"/>
              </w:rPr>
            </w:pPr>
          </w:p>
        </w:tc>
        <w:tc>
          <w:tcPr>
            <w:tcW w:w="1843" w:type="dxa"/>
            <w:shd w:val="clear" w:color="auto" w:fill="auto"/>
          </w:tcPr>
          <w:p w14:paraId="12EC00C2" w14:textId="77777777" w:rsidR="002A4DDF" w:rsidRPr="00937C8B" w:rsidRDefault="002A4DDF" w:rsidP="009110ED">
            <w:pPr>
              <w:rPr>
                <w:rFonts w:ascii="Arial" w:hAnsi="Arial" w:cs="Arial"/>
                <w:sz w:val="12"/>
                <w:szCs w:val="12"/>
              </w:rPr>
            </w:pPr>
          </w:p>
        </w:tc>
        <w:tc>
          <w:tcPr>
            <w:tcW w:w="2268" w:type="dxa"/>
            <w:shd w:val="clear" w:color="auto" w:fill="F2F2F2"/>
            <w:hideMark/>
          </w:tcPr>
          <w:p w14:paraId="02E5D1DF" w14:textId="77777777" w:rsidR="002A4DDF" w:rsidRPr="00937C8B" w:rsidRDefault="002A4DDF" w:rsidP="009110ED">
            <w:pPr>
              <w:rPr>
                <w:rFonts w:ascii="Arial" w:hAnsi="Arial" w:cs="Arial"/>
                <w:sz w:val="12"/>
                <w:szCs w:val="12"/>
              </w:rPr>
            </w:pPr>
            <w:r>
              <w:rPr>
                <w:rFonts w:ascii="Arial" w:hAnsi="Arial"/>
                <w:sz w:val="12"/>
                <w:szCs w:val="12"/>
              </w:rPr>
              <w:t>Valgañón</w:t>
            </w:r>
          </w:p>
        </w:tc>
        <w:tc>
          <w:tcPr>
            <w:tcW w:w="2268" w:type="dxa"/>
            <w:tcBorders>
              <w:right w:val="single" w:sz="4" w:space="0" w:color="auto"/>
            </w:tcBorders>
            <w:shd w:val="clear" w:color="auto" w:fill="D9D9D9"/>
            <w:hideMark/>
          </w:tcPr>
          <w:p w14:paraId="45B0FEC0" w14:textId="77777777" w:rsidR="002A4DDF" w:rsidRPr="00937C8B" w:rsidRDefault="002A4DDF" w:rsidP="009110ED">
            <w:pPr>
              <w:rPr>
                <w:rFonts w:ascii="Arial" w:hAnsi="Arial" w:cs="Arial"/>
                <w:sz w:val="12"/>
                <w:szCs w:val="12"/>
              </w:rPr>
            </w:pPr>
          </w:p>
        </w:tc>
      </w:tr>
      <w:tr w:rsidR="002A4DDF" w:rsidRPr="00937C8B" w14:paraId="1E7E638E" w14:textId="77777777" w:rsidTr="00935676">
        <w:trPr>
          <w:cantSplit/>
        </w:trPr>
        <w:tc>
          <w:tcPr>
            <w:tcW w:w="1696" w:type="dxa"/>
            <w:tcBorders>
              <w:left w:val="single" w:sz="4" w:space="0" w:color="auto"/>
            </w:tcBorders>
            <w:shd w:val="clear" w:color="auto" w:fill="auto"/>
          </w:tcPr>
          <w:p w14:paraId="0BD2A09D" w14:textId="77777777" w:rsidR="002A4DDF" w:rsidRPr="00937C8B" w:rsidRDefault="002A4DDF" w:rsidP="009110ED">
            <w:pPr>
              <w:rPr>
                <w:rFonts w:ascii="Arial" w:hAnsi="Arial" w:cs="Arial"/>
                <w:sz w:val="12"/>
                <w:szCs w:val="12"/>
              </w:rPr>
            </w:pPr>
          </w:p>
        </w:tc>
        <w:tc>
          <w:tcPr>
            <w:tcW w:w="1843" w:type="dxa"/>
            <w:shd w:val="clear" w:color="auto" w:fill="auto"/>
          </w:tcPr>
          <w:p w14:paraId="2A6852DF" w14:textId="77777777" w:rsidR="002A4DDF" w:rsidRPr="00937C8B" w:rsidRDefault="002A4DDF" w:rsidP="009110ED">
            <w:pPr>
              <w:rPr>
                <w:rFonts w:ascii="Arial" w:hAnsi="Arial" w:cs="Arial"/>
                <w:sz w:val="12"/>
                <w:szCs w:val="12"/>
              </w:rPr>
            </w:pPr>
          </w:p>
        </w:tc>
        <w:tc>
          <w:tcPr>
            <w:tcW w:w="2268" w:type="dxa"/>
            <w:shd w:val="clear" w:color="auto" w:fill="F2F2F2"/>
            <w:hideMark/>
          </w:tcPr>
          <w:p w14:paraId="7F3FF273" w14:textId="77777777" w:rsidR="002A4DDF" w:rsidRPr="00937C8B" w:rsidRDefault="002A4DDF" w:rsidP="009110ED">
            <w:pPr>
              <w:rPr>
                <w:rFonts w:ascii="Arial" w:hAnsi="Arial" w:cs="Arial"/>
                <w:sz w:val="12"/>
                <w:szCs w:val="12"/>
              </w:rPr>
            </w:pPr>
            <w:r>
              <w:rPr>
                <w:rFonts w:ascii="Arial" w:hAnsi="Arial"/>
                <w:sz w:val="12"/>
                <w:szCs w:val="12"/>
              </w:rPr>
              <w:t>Ventrosa</w:t>
            </w:r>
          </w:p>
        </w:tc>
        <w:tc>
          <w:tcPr>
            <w:tcW w:w="2268" w:type="dxa"/>
            <w:tcBorders>
              <w:right w:val="single" w:sz="4" w:space="0" w:color="auto"/>
            </w:tcBorders>
            <w:shd w:val="clear" w:color="auto" w:fill="D9D9D9"/>
            <w:hideMark/>
          </w:tcPr>
          <w:p w14:paraId="534523E1" w14:textId="77777777" w:rsidR="002A4DDF" w:rsidRPr="00937C8B" w:rsidRDefault="002A4DDF" w:rsidP="009110ED">
            <w:pPr>
              <w:rPr>
                <w:rFonts w:ascii="Arial" w:hAnsi="Arial" w:cs="Arial"/>
                <w:sz w:val="12"/>
                <w:szCs w:val="12"/>
              </w:rPr>
            </w:pPr>
          </w:p>
        </w:tc>
      </w:tr>
      <w:tr w:rsidR="002A4DDF" w:rsidRPr="00937C8B" w14:paraId="7C3E563A" w14:textId="77777777" w:rsidTr="00935676">
        <w:trPr>
          <w:cantSplit/>
        </w:trPr>
        <w:tc>
          <w:tcPr>
            <w:tcW w:w="1696" w:type="dxa"/>
            <w:tcBorders>
              <w:left w:val="single" w:sz="4" w:space="0" w:color="auto"/>
            </w:tcBorders>
            <w:shd w:val="clear" w:color="auto" w:fill="auto"/>
          </w:tcPr>
          <w:p w14:paraId="71BDF8E1" w14:textId="77777777" w:rsidR="002A4DDF" w:rsidRPr="00937C8B" w:rsidRDefault="002A4DDF" w:rsidP="009110ED">
            <w:pPr>
              <w:rPr>
                <w:rFonts w:ascii="Arial" w:hAnsi="Arial" w:cs="Arial"/>
                <w:sz w:val="12"/>
                <w:szCs w:val="12"/>
              </w:rPr>
            </w:pPr>
          </w:p>
        </w:tc>
        <w:tc>
          <w:tcPr>
            <w:tcW w:w="1843" w:type="dxa"/>
            <w:shd w:val="clear" w:color="auto" w:fill="auto"/>
          </w:tcPr>
          <w:p w14:paraId="2001B5B8" w14:textId="77777777" w:rsidR="002A4DDF" w:rsidRPr="00937C8B" w:rsidRDefault="002A4DDF" w:rsidP="009110ED">
            <w:pPr>
              <w:rPr>
                <w:rFonts w:ascii="Arial" w:hAnsi="Arial" w:cs="Arial"/>
                <w:sz w:val="12"/>
                <w:szCs w:val="12"/>
              </w:rPr>
            </w:pPr>
          </w:p>
        </w:tc>
        <w:tc>
          <w:tcPr>
            <w:tcW w:w="2268" w:type="dxa"/>
            <w:shd w:val="clear" w:color="auto" w:fill="F2F2F2"/>
            <w:hideMark/>
          </w:tcPr>
          <w:p w14:paraId="7CA50F8F" w14:textId="77777777" w:rsidR="002A4DDF" w:rsidRPr="00937C8B" w:rsidRDefault="002A4DDF" w:rsidP="009110ED">
            <w:pPr>
              <w:rPr>
                <w:rFonts w:ascii="Arial" w:hAnsi="Arial" w:cs="Arial"/>
                <w:sz w:val="12"/>
                <w:szCs w:val="12"/>
              </w:rPr>
            </w:pPr>
            <w:r>
              <w:rPr>
                <w:rFonts w:ascii="Arial" w:hAnsi="Arial"/>
                <w:sz w:val="12"/>
                <w:szCs w:val="12"/>
              </w:rPr>
              <w:t>Villalobar de Rioja</w:t>
            </w:r>
          </w:p>
        </w:tc>
        <w:tc>
          <w:tcPr>
            <w:tcW w:w="2268" w:type="dxa"/>
            <w:tcBorders>
              <w:right w:val="single" w:sz="4" w:space="0" w:color="auto"/>
            </w:tcBorders>
            <w:shd w:val="clear" w:color="auto" w:fill="D9D9D9"/>
            <w:hideMark/>
          </w:tcPr>
          <w:p w14:paraId="6352D83C" w14:textId="77777777" w:rsidR="002A4DDF" w:rsidRPr="00937C8B" w:rsidRDefault="002A4DDF" w:rsidP="009110ED">
            <w:pPr>
              <w:rPr>
                <w:rFonts w:ascii="Arial" w:hAnsi="Arial" w:cs="Arial"/>
                <w:sz w:val="12"/>
                <w:szCs w:val="12"/>
              </w:rPr>
            </w:pPr>
          </w:p>
        </w:tc>
      </w:tr>
      <w:tr w:rsidR="002A4DDF" w:rsidRPr="00937C8B" w14:paraId="01576CF9" w14:textId="77777777" w:rsidTr="00935676">
        <w:trPr>
          <w:cantSplit/>
        </w:trPr>
        <w:tc>
          <w:tcPr>
            <w:tcW w:w="1696" w:type="dxa"/>
            <w:tcBorders>
              <w:left w:val="single" w:sz="4" w:space="0" w:color="auto"/>
            </w:tcBorders>
            <w:shd w:val="clear" w:color="auto" w:fill="auto"/>
          </w:tcPr>
          <w:p w14:paraId="7E7EE681" w14:textId="77777777" w:rsidR="002A4DDF" w:rsidRPr="00937C8B" w:rsidRDefault="002A4DDF" w:rsidP="009110ED">
            <w:pPr>
              <w:rPr>
                <w:rFonts w:ascii="Arial" w:hAnsi="Arial" w:cs="Arial"/>
                <w:sz w:val="12"/>
                <w:szCs w:val="12"/>
              </w:rPr>
            </w:pPr>
          </w:p>
        </w:tc>
        <w:tc>
          <w:tcPr>
            <w:tcW w:w="1843" w:type="dxa"/>
            <w:shd w:val="clear" w:color="auto" w:fill="auto"/>
          </w:tcPr>
          <w:p w14:paraId="655DD161" w14:textId="77777777" w:rsidR="002A4DDF" w:rsidRPr="00937C8B" w:rsidRDefault="002A4DDF" w:rsidP="009110ED">
            <w:pPr>
              <w:rPr>
                <w:rFonts w:ascii="Arial" w:hAnsi="Arial" w:cs="Arial"/>
                <w:sz w:val="12"/>
                <w:szCs w:val="12"/>
              </w:rPr>
            </w:pPr>
          </w:p>
        </w:tc>
        <w:tc>
          <w:tcPr>
            <w:tcW w:w="2268" w:type="dxa"/>
            <w:shd w:val="clear" w:color="auto" w:fill="F2F2F2"/>
            <w:hideMark/>
          </w:tcPr>
          <w:p w14:paraId="5B367371" w14:textId="77777777" w:rsidR="002A4DDF" w:rsidRPr="00937C8B" w:rsidRDefault="002A4DDF" w:rsidP="009110ED">
            <w:pPr>
              <w:rPr>
                <w:rFonts w:ascii="Arial" w:hAnsi="Arial" w:cs="Arial"/>
                <w:sz w:val="12"/>
                <w:szCs w:val="12"/>
              </w:rPr>
            </w:pPr>
            <w:r>
              <w:rPr>
                <w:rFonts w:ascii="Arial" w:hAnsi="Arial"/>
                <w:sz w:val="12"/>
                <w:szCs w:val="12"/>
              </w:rPr>
              <w:t>Villar de Torre</w:t>
            </w:r>
          </w:p>
        </w:tc>
        <w:tc>
          <w:tcPr>
            <w:tcW w:w="2268" w:type="dxa"/>
            <w:tcBorders>
              <w:right w:val="single" w:sz="4" w:space="0" w:color="auto"/>
            </w:tcBorders>
            <w:shd w:val="clear" w:color="auto" w:fill="D9D9D9"/>
            <w:hideMark/>
          </w:tcPr>
          <w:p w14:paraId="52F7A3E5" w14:textId="77777777" w:rsidR="002A4DDF" w:rsidRPr="00937C8B" w:rsidRDefault="002A4DDF" w:rsidP="009110ED">
            <w:pPr>
              <w:rPr>
                <w:rFonts w:ascii="Arial" w:hAnsi="Arial" w:cs="Arial"/>
                <w:sz w:val="12"/>
                <w:szCs w:val="12"/>
              </w:rPr>
            </w:pPr>
          </w:p>
        </w:tc>
      </w:tr>
      <w:tr w:rsidR="002A4DDF" w:rsidRPr="00937C8B" w14:paraId="5A3A3CF7" w14:textId="77777777" w:rsidTr="00935676">
        <w:trPr>
          <w:cantSplit/>
        </w:trPr>
        <w:tc>
          <w:tcPr>
            <w:tcW w:w="1696" w:type="dxa"/>
            <w:tcBorders>
              <w:left w:val="single" w:sz="4" w:space="0" w:color="auto"/>
            </w:tcBorders>
            <w:shd w:val="clear" w:color="auto" w:fill="auto"/>
          </w:tcPr>
          <w:p w14:paraId="11FC4BB3" w14:textId="77777777" w:rsidR="002A4DDF" w:rsidRPr="00937C8B" w:rsidRDefault="002A4DDF" w:rsidP="009110ED">
            <w:pPr>
              <w:rPr>
                <w:rFonts w:ascii="Arial" w:hAnsi="Arial" w:cs="Arial"/>
                <w:sz w:val="12"/>
                <w:szCs w:val="12"/>
              </w:rPr>
            </w:pPr>
          </w:p>
        </w:tc>
        <w:tc>
          <w:tcPr>
            <w:tcW w:w="1843" w:type="dxa"/>
            <w:shd w:val="clear" w:color="auto" w:fill="auto"/>
          </w:tcPr>
          <w:p w14:paraId="16F0D132" w14:textId="77777777" w:rsidR="002A4DDF" w:rsidRPr="00937C8B" w:rsidRDefault="002A4DDF" w:rsidP="009110ED">
            <w:pPr>
              <w:rPr>
                <w:rFonts w:ascii="Arial" w:hAnsi="Arial" w:cs="Arial"/>
                <w:sz w:val="12"/>
                <w:szCs w:val="12"/>
              </w:rPr>
            </w:pPr>
          </w:p>
        </w:tc>
        <w:tc>
          <w:tcPr>
            <w:tcW w:w="2268" w:type="dxa"/>
            <w:shd w:val="clear" w:color="auto" w:fill="F2F2F2"/>
            <w:hideMark/>
          </w:tcPr>
          <w:p w14:paraId="2F962EDD" w14:textId="77777777" w:rsidR="002A4DDF" w:rsidRPr="00937C8B" w:rsidRDefault="002A4DDF" w:rsidP="009110ED">
            <w:pPr>
              <w:rPr>
                <w:rFonts w:ascii="Arial" w:hAnsi="Arial" w:cs="Arial"/>
                <w:sz w:val="12"/>
                <w:szCs w:val="12"/>
              </w:rPr>
            </w:pPr>
            <w:r>
              <w:rPr>
                <w:rFonts w:ascii="Arial" w:hAnsi="Arial"/>
                <w:sz w:val="12"/>
                <w:szCs w:val="12"/>
              </w:rPr>
              <w:t>Villavelayo</w:t>
            </w:r>
          </w:p>
        </w:tc>
        <w:tc>
          <w:tcPr>
            <w:tcW w:w="2268" w:type="dxa"/>
            <w:tcBorders>
              <w:right w:val="single" w:sz="4" w:space="0" w:color="auto"/>
            </w:tcBorders>
            <w:shd w:val="clear" w:color="auto" w:fill="D9D9D9"/>
            <w:hideMark/>
          </w:tcPr>
          <w:p w14:paraId="2F909F41" w14:textId="77777777" w:rsidR="002A4DDF" w:rsidRPr="00937C8B" w:rsidRDefault="002A4DDF" w:rsidP="009110ED">
            <w:pPr>
              <w:rPr>
                <w:rFonts w:ascii="Arial" w:hAnsi="Arial" w:cs="Arial"/>
                <w:sz w:val="12"/>
                <w:szCs w:val="12"/>
              </w:rPr>
            </w:pPr>
          </w:p>
        </w:tc>
      </w:tr>
      <w:tr w:rsidR="002A4DDF" w:rsidRPr="00937C8B" w14:paraId="271D49D1" w14:textId="77777777" w:rsidTr="00935676">
        <w:trPr>
          <w:cantSplit/>
        </w:trPr>
        <w:tc>
          <w:tcPr>
            <w:tcW w:w="1696" w:type="dxa"/>
            <w:tcBorders>
              <w:left w:val="single" w:sz="4" w:space="0" w:color="auto"/>
            </w:tcBorders>
            <w:shd w:val="clear" w:color="auto" w:fill="auto"/>
          </w:tcPr>
          <w:p w14:paraId="0741C8B5" w14:textId="77777777" w:rsidR="002A4DDF" w:rsidRPr="00937C8B" w:rsidRDefault="002A4DDF" w:rsidP="009110ED">
            <w:pPr>
              <w:rPr>
                <w:rFonts w:ascii="Arial" w:hAnsi="Arial" w:cs="Arial"/>
                <w:sz w:val="12"/>
                <w:szCs w:val="12"/>
              </w:rPr>
            </w:pPr>
          </w:p>
        </w:tc>
        <w:tc>
          <w:tcPr>
            <w:tcW w:w="1843" w:type="dxa"/>
            <w:shd w:val="clear" w:color="auto" w:fill="auto"/>
          </w:tcPr>
          <w:p w14:paraId="01BD7205" w14:textId="77777777" w:rsidR="002A4DDF" w:rsidRPr="00937C8B" w:rsidRDefault="002A4DDF" w:rsidP="009110ED">
            <w:pPr>
              <w:rPr>
                <w:rFonts w:ascii="Arial" w:hAnsi="Arial" w:cs="Arial"/>
                <w:sz w:val="12"/>
                <w:szCs w:val="12"/>
              </w:rPr>
            </w:pPr>
          </w:p>
        </w:tc>
        <w:tc>
          <w:tcPr>
            <w:tcW w:w="2268" w:type="dxa"/>
            <w:shd w:val="clear" w:color="auto" w:fill="F2F2F2"/>
            <w:hideMark/>
          </w:tcPr>
          <w:p w14:paraId="5BCBC803" w14:textId="77777777" w:rsidR="002A4DDF" w:rsidRPr="00937C8B" w:rsidRDefault="002A4DDF" w:rsidP="009110ED">
            <w:pPr>
              <w:rPr>
                <w:rFonts w:ascii="Arial" w:hAnsi="Arial" w:cs="Arial"/>
                <w:sz w:val="12"/>
                <w:szCs w:val="12"/>
              </w:rPr>
            </w:pPr>
            <w:r>
              <w:rPr>
                <w:rFonts w:ascii="Arial" w:hAnsi="Arial"/>
                <w:sz w:val="12"/>
                <w:szCs w:val="12"/>
              </w:rPr>
              <w:t>Viniegra de Abajo</w:t>
            </w:r>
          </w:p>
        </w:tc>
        <w:tc>
          <w:tcPr>
            <w:tcW w:w="2268" w:type="dxa"/>
            <w:tcBorders>
              <w:right w:val="single" w:sz="4" w:space="0" w:color="auto"/>
            </w:tcBorders>
            <w:shd w:val="clear" w:color="auto" w:fill="D9D9D9"/>
            <w:hideMark/>
          </w:tcPr>
          <w:p w14:paraId="33C4FCA6" w14:textId="77777777" w:rsidR="002A4DDF" w:rsidRPr="00937C8B" w:rsidRDefault="002A4DDF" w:rsidP="009110ED">
            <w:pPr>
              <w:rPr>
                <w:rFonts w:ascii="Arial" w:hAnsi="Arial" w:cs="Arial"/>
                <w:sz w:val="12"/>
                <w:szCs w:val="12"/>
              </w:rPr>
            </w:pPr>
          </w:p>
        </w:tc>
      </w:tr>
      <w:tr w:rsidR="002A4DDF" w:rsidRPr="00937C8B" w14:paraId="00B1DFAE" w14:textId="77777777" w:rsidTr="00935676">
        <w:trPr>
          <w:cantSplit/>
        </w:trPr>
        <w:tc>
          <w:tcPr>
            <w:tcW w:w="1696" w:type="dxa"/>
            <w:tcBorders>
              <w:left w:val="single" w:sz="4" w:space="0" w:color="auto"/>
            </w:tcBorders>
            <w:shd w:val="clear" w:color="auto" w:fill="auto"/>
          </w:tcPr>
          <w:p w14:paraId="29A5A4C7" w14:textId="77777777" w:rsidR="002A4DDF" w:rsidRPr="00937C8B" w:rsidRDefault="002A4DDF" w:rsidP="009110ED">
            <w:pPr>
              <w:rPr>
                <w:rFonts w:ascii="Arial" w:hAnsi="Arial" w:cs="Arial"/>
                <w:sz w:val="12"/>
                <w:szCs w:val="12"/>
              </w:rPr>
            </w:pPr>
          </w:p>
        </w:tc>
        <w:tc>
          <w:tcPr>
            <w:tcW w:w="1843" w:type="dxa"/>
            <w:shd w:val="clear" w:color="auto" w:fill="auto"/>
          </w:tcPr>
          <w:p w14:paraId="52AF3591" w14:textId="77777777" w:rsidR="002A4DDF" w:rsidRPr="00937C8B" w:rsidRDefault="002A4DDF" w:rsidP="009110ED">
            <w:pPr>
              <w:rPr>
                <w:rFonts w:ascii="Arial" w:hAnsi="Arial" w:cs="Arial"/>
                <w:sz w:val="12"/>
                <w:szCs w:val="12"/>
              </w:rPr>
            </w:pPr>
          </w:p>
        </w:tc>
        <w:tc>
          <w:tcPr>
            <w:tcW w:w="2268" w:type="dxa"/>
            <w:shd w:val="clear" w:color="auto" w:fill="F2F2F2"/>
            <w:hideMark/>
          </w:tcPr>
          <w:p w14:paraId="26A6DC43" w14:textId="77777777" w:rsidR="002A4DDF" w:rsidRPr="00937C8B" w:rsidRDefault="002A4DDF" w:rsidP="009110ED">
            <w:pPr>
              <w:rPr>
                <w:rFonts w:ascii="Arial" w:hAnsi="Arial" w:cs="Arial"/>
                <w:sz w:val="12"/>
                <w:szCs w:val="12"/>
              </w:rPr>
            </w:pPr>
            <w:r>
              <w:rPr>
                <w:rFonts w:ascii="Arial" w:hAnsi="Arial"/>
                <w:sz w:val="12"/>
                <w:szCs w:val="12"/>
              </w:rPr>
              <w:t>Viniegra de Arriba</w:t>
            </w:r>
          </w:p>
        </w:tc>
        <w:tc>
          <w:tcPr>
            <w:tcW w:w="2268" w:type="dxa"/>
            <w:tcBorders>
              <w:right w:val="single" w:sz="4" w:space="0" w:color="auto"/>
            </w:tcBorders>
            <w:shd w:val="clear" w:color="auto" w:fill="D9D9D9"/>
            <w:hideMark/>
          </w:tcPr>
          <w:p w14:paraId="6A5CAEFC" w14:textId="77777777" w:rsidR="002A4DDF" w:rsidRPr="00937C8B" w:rsidRDefault="002A4DDF" w:rsidP="009110ED">
            <w:pPr>
              <w:rPr>
                <w:rFonts w:ascii="Arial" w:hAnsi="Arial" w:cs="Arial"/>
                <w:sz w:val="12"/>
                <w:szCs w:val="12"/>
              </w:rPr>
            </w:pPr>
          </w:p>
        </w:tc>
      </w:tr>
      <w:tr w:rsidR="002A4DDF" w:rsidRPr="00937C8B" w14:paraId="331E6175" w14:textId="77777777" w:rsidTr="00935676">
        <w:trPr>
          <w:cantSplit/>
        </w:trPr>
        <w:tc>
          <w:tcPr>
            <w:tcW w:w="1696" w:type="dxa"/>
            <w:tcBorders>
              <w:left w:val="single" w:sz="4" w:space="0" w:color="auto"/>
            </w:tcBorders>
            <w:shd w:val="clear" w:color="auto" w:fill="auto"/>
          </w:tcPr>
          <w:p w14:paraId="42DEB96D" w14:textId="77777777" w:rsidR="002A4DDF" w:rsidRPr="00937C8B" w:rsidRDefault="002A4DDF" w:rsidP="009110ED">
            <w:pPr>
              <w:rPr>
                <w:rFonts w:ascii="Arial" w:hAnsi="Arial" w:cs="Arial"/>
                <w:sz w:val="12"/>
                <w:szCs w:val="12"/>
              </w:rPr>
            </w:pPr>
          </w:p>
        </w:tc>
        <w:tc>
          <w:tcPr>
            <w:tcW w:w="1843" w:type="dxa"/>
            <w:shd w:val="clear" w:color="auto" w:fill="auto"/>
          </w:tcPr>
          <w:p w14:paraId="757C72AC" w14:textId="77777777" w:rsidR="002A4DDF" w:rsidRPr="00937C8B" w:rsidRDefault="002A4DDF" w:rsidP="009110ED">
            <w:pPr>
              <w:rPr>
                <w:rFonts w:ascii="Arial" w:hAnsi="Arial" w:cs="Arial"/>
                <w:sz w:val="12"/>
                <w:szCs w:val="12"/>
              </w:rPr>
            </w:pPr>
          </w:p>
        </w:tc>
        <w:tc>
          <w:tcPr>
            <w:tcW w:w="2268" w:type="dxa"/>
            <w:shd w:val="clear" w:color="auto" w:fill="F2F2F2"/>
            <w:hideMark/>
          </w:tcPr>
          <w:p w14:paraId="42482140" w14:textId="77777777" w:rsidR="002A4DDF" w:rsidRPr="00937C8B" w:rsidRDefault="002A4DDF" w:rsidP="009110ED">
            <w:pPr>
              <w:rPr>
                <w:rFonts w:ascii="Arial" w:hAnsi="Arial" w:cs="Arial"/>
                <w:sz w:val="12"/>
                <w:szCs w:val="12"/>
              </w:rPr>
            </w:pPr>
            <w:r>
              <w:rPr>
                <w:rFonts w:ascii="Arial" w:hAnsi="Arial"/>
                <w:sz w:val="12"/>
                <w:szCs w:val="12"/>
              </w:rPr>
              <w:t>Zarratón</w:t>
            </w:r>
          </w:p>
        </w:tc>
        <w:tc>
          <w:tcPr>
            <w:tcW w:w="2268" w:type="dxa"/>
            <w:tcBorders>
              <w:right w:val="single" w:sz="4" w:space="0" w:color="auto"/>
            </w:tcBorders>
            <w:shd w:val="clear" w:color="auto" w:fill="D9D9D9"/>
            <w:hideMark/>
          </w:tcPr>
          <w:p w14:paraId="64307C53" w14:textId="77777777" w:rsidR="002A4DDF" w:rsidRPr="00937C8B" w:rsidRDefault="002A4DDF" w:rsidP="009110ED">
            <w:pPr>
              <w:rPr>
                <w:rFonts w:ascii="Arial" w:hAnsi="Arial" w:cs="Arial"/>
                <w:sz w:val="12"/>
                <w:szCs w:val="12"/>
              </w:rPr>
            </w:pPr>
          </w:p>
        </w:tc>
      </w:tr>
      <w:tr w:rsidR="002A4DDF" w:rsidRPr="00937C8B" w14:paraId="2D5A15D7" w14:textId="77777777" w:rsidTr="00935676">
        <w:trPr>
          <w:cantSplit/>
        </w:trPr>
        <w:tc>
          <w:tcPr>
            <w:tcW w:w="1696" w:type="dxa"/>
            <w:tcBorders>
              <w:left w:val="single" w:sz="4" w:space="0" w:color="auto"/>
            </w:tcBorders>
            <w:shd w:val="clear" w:color="auto" w:fill="auto"/>
          </w:tcPr>
          <w:p w14:paraId="2F8D8F29" w14:textId="77777777" w:rsidR="002A4DDF" w:rsidRPr="00937C8B" w:rsidRDefault="002A4DDF" w:rsidP="009110ED">
            <w:pPr>
              <w:rPr>
                <w:rFonts w:ascii="Arial" w:hAnsi="Arial" w:cs="Arial"/>
                <w:sz w:val="12"/>
                <w:szCs w:val="12"/>
              </w:rPr>
            </w:pPr>
          </w:p>
        </w:tc>
        <w:tc>
          <w:tcPr>
            <w:tcW w:w="1843" w:type="dxa"/>
            <w:shd w:val="clear" w:color="auto" w:fill="auto"/>
          </w:tcPr>
          <w:p w14:paraId="64B9E093" w14:textId="77777777" w:rsidR="002A4DDF" w:rsidRPr="00937C8B" w:rsidRDefault="002A4DDF" w:rsidP="009110ED">
            <w:pPr>
              <w:rPr>
                <w:rFonts w:ascii="Arial" w:hAnsi="Arial" w:cs="Arial"/>
                <w:sz w:val="12"/>
                <w:szCs w:val="12"/>
              </w:rPr>
            </w:pPr>
          </w:p>
        </w:tc>
        <w:tc>
          <w:tcPr>
            <w:tcW w:w="2268" w:type="dxa"/>
            <w:shd w:val="clear" w:color="auto" w:fill="F2F2F2"/>
            <w:hideMark/>
          </w:tcPr>
          <w:p w14:paraId="49E94896" w14:textId="77777777" w:rsidR="002A4DDF" w:rsidRPr="00937C8B" w:rsidRDefault="002A4DDF" w:rsidP="009110ED">
            <w:pPr>
              <w:rPr>
                <w:rFonts w:ascii="Arial" w:hAnsi="Arial" w:cs="Arial"/>
                <w:sz w:val="12"/>
                <w:szCs w:val="12"/>
              </w:rPr>
            </w:pPr>
            <w:r>
              <w:rPr>
                <w:rFonts w:ascii="Arial" w:hAnsi="Arial"/>
                <w:sz w:val="12"/>
                <w:szCs w:val="12"/>
              </w:rPr>
              <w:t>Zarzosa</w:t>
            </w:r>
          </w:p>
        </w:tc>
        <w:tc>
          <w:tcPr>
            <w:tcW w:w="2268" w:type="dxa"/>
            <w:tcBorders>
              <w:right w:val="single" w:sz="4" w:space="0" w:color="auto"/>
            </w:tcBorders>
            <w:shd w:val="clear" w:color="auto" w:fill="D9D9D9"/>
            <w:hideMark/>
          </w:tcPr>
          <w:p w14:paraId="15926C86" w14:textId="77777777" w:rsidR="002A4DDF" w:rsidRPr="00937C8B" w:rsidRDefault="002A4DDF" w:rsidP="009110ED">
            <w:pPr>
              <w:rPr>
                <w:rFonts w:ascii="Arial" w:hAnsi="Arial" w:cs="Arial"/>
                <w:sz w:val="12"/>
                <w:szCs w:val="12"/>
              </w:rPr>
            </w:pPr>
          </w:p>
        </w:tc>
      </w:tr>
      <w:tr w:rsidR="002A4DDF" w:rsidRPr="00937C8B" w14:paraId="1C7E25B8" w14:textId="77777777" w:rsidTr="00935676">
        <w:trPr>
          <w:cantSplit/>
        </w:trPr>
        <w:tc>
          <w:tcPr>
            <w:tcW w:w="1696" w:type="dxa"/>
            <w:tcBorders>
              <w:left w:val="single" w:sz="4" w:space="0" w:color="auto"/>
              <w:bottom w:val="single" w:sz="4" w:space="0" w:color="auto"/>
            </w:tcBorders>
            <w:shd w:val="clear" w:color="auto" w:fill="auto"/>
            <w:hideMark/>
          </w:tcPr>
          <w:p w14:paraId="7404A5AE" w14:textId="77777777" w:rsidR="002A4DDF" w:rsidRPr="00937C8B" w:rsidRDefault="002A4DDF" w:rsidP="009110ED">
            <w:pPr>
              <w:rPr>
                <w:rFonts w:ascii="Arial" w:hAnsi="Arial" w:cs="Arial"/>
                <w:sz w:val="12"/>
                <w:szCs w:val="12"/>
              </w:rPr>
            </w:pPr>
            <w:r>
              <w:rPr>
                <w:rFonts w:ascii="Arial" w:hAnsi="Arial"/>
                <w:sz w:val="12"/>
                <w:szCs w:val="12"/>
              </w:rPr>
              <w:t>La Rioja</w:t>
            </w:r>
          </w:p>
        </w:tc>
        <w:tc>
          <w:tcPr>
            <w:tcW w:w="1843" w:type="dxa"/>
            <w:tcBorders>
              <w:bottom w:val="single" w:sz="4" w:space="0" w:color="auto"/>
            </w:tcBorders>
            <w:shd w:val="clear" w:color="auto" w:fill="auto"/>
            <w:hideMark/>
          </w:tcPr>
          <w:p w14:paraId="7154F679" w14:textId="77777777" w:rsidR="002A4DDF" w:rsidRPr="00937C8B" w:rsidRDefault="002A4DDF" w:rsidP="009110ED">
            <w:pPr>
              <w:rPr>
                <w:rFonts w:ascii="Arial" w:hAnsi="Arial" w:cs="Arial"/>
                <w:sz w:val="12"/>
                <w:szCs w:val="12"/>
              </w:rPr>
            </w:pPr>
            <w:r>
              <w:rPr>
                <w:rFonts w:ascii="Arial" w:hAnsi="Arial"/>
                <w:sz w:val="12"/>
                <w:szCs w:val="12"/>
              </w:rPr>
              <w:t>La Rioja</w:t>
            </w:r>
          </w:p>
        </w:tc>
        <w:tc>
          <w:tcPr>
            <w:tcW w:w="2268" w:type="dxa"/>
            <w:tcBorders>
              <w:bottom w:val="single" w:sz="4" w:space="0" w:color="auto"/>
            </w:tcBorders>
            <w:shd w:val="clear" w:color="auto" w:fill="F2F2F2"/>
            <w:hideMark/>
          </w:tcPr>
          <w:p w14:paraId="6380804F" w14:textId="77777777" w:rsidR="002A4DDF" w:rsidRPr="00937C8B" w:rsidRDefault="002A4DDF" w:rsidP="009110ED">
            <w:pPr>
              <w:rPr>
                <w:rFonts w:ascii="Arial" w:hAnsi="Arial" w:cs="Arial"/>
                <w:sz w:val="12"/>
                <w:szCs w:val="12"/>
              </w:rPr>
            </w:pPr>
            <w:r>
              <w:rPr>
                <w:rFonts w:ascii="Arial" w:hAnsi="Arial"/>
                <w:sz w:val="12"/>
                <w:szCs w:val="12"/>
              </w:rPr>
              <w:t>Zorraquín</w:t>
            </w:r>
          </w:p>
        </w:tc>
        <w:tc>
          <w:tcPr>
            <w:tcW w:w="2268" w:type="dxa"/>
            <w:tcBorders>
              <w:bottom w:val="single" w:sz="4" w:space="0" w:color="auto"/>
              <w:right w:val="single" w:sz="4" w:space="0" w:color="auto"/>
            </w:tcBorders>
            <w:shd w:val="clear" w:color="auto" w:fill="D9D9D9"/>
            <w:hideMark/>
          </w:tcPr>
          <w:p w14:paraId="53C73662" w14:textId="77777777" w:rsidR="002A4DDF" w:rsidRPr="00937C8B" w:rsidRDefault="002A4DDF" w:rsidP="009110ED">
            <w:pPr>
              <w:rPr>
                <w:rFonts w:ascii="Arial" w:hAnsi="Arial" w:cs="Arial"/>
                <w:sz w:val="12"/>
                <w:szCs w:val="12"/>
              </w:rPr>
            </w:pPr>
          </w:p>
        </w:tc>
      </w:tr>
      <w:tr w:rsidR="002A4DDF" w:rsidRPr="00937C8B" w14:paraId="61BB71C5" w14:textId="77777777" w:rsidTr="00935676">
        <w:trPr>
          <w:cantSplit/>
        </w:trPr>
        <w:tc>
          <w:tcPr>
            <w:tcW w:w="1696" w:type="dxa"/>
            <w:tcBorders>
              <w:top w:val="single" w:sz="4" w:space="0" w:color="auto"/>
              <w:bottom w:val="single" w:sz="4" w:space="0" w:color="auto"/>
            </w:tcBorders>
            <w:shd w:val="clear" w:color="auto" w:fill="auto"/>
            <w:hideMark/>
          </w:tcPr>
          <w:p w14:paraId="2E79CEB3"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11FB6E1D"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75BC1424"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4B5D9F77" w14:textId="77777777" w:rsidR="002A4DDF" w:rsidRPr="00937C8B" w:rsidRDefault="002A4DDF" w:rsidP="009110ED">
            <w:pPr>
              <w:rPr>
                <w:rFonts w:ascii="Arial" w:hAnsi="Arial" w:cs="Arial"/>
                <w:sz w:val="12"/>
                <w:szCs w:val="12"/>
              </w:rPr>
            </w:pPr>
          </w:p>
        </w:tc>
      </w:tr>
      <w:tr w:rsidR="002A4DDF" w:rsidRPr="00937C8B" w14:paraId="669325EE" w14:textId="77777777" w:rsidTr="00935676">
        <w:trPr>
          <w:cantSplit/>
        </w:trPr>
        <w:tc>
          <w:tcPr>
            <w:tcW w:w="1696" w:type="dxa"/>
            <w:tcBorders>
              <w:top w:val="single" w:sz="4" w:space="0" w:color="auto"/>
              <w:left w:val="single" w:sz="4" w:space="0" w:color="auto"/>
            </w:tcBorders>
            <w:shd w:val="clear" w:color="auto" w:fill="auto"/>
            <w:hideMark/>
          </w:tcPr>
          <w:p w14:paraId="6F086EBA" w14:textId="77777777" w:rsidR="002A4DDF" w:rsidRPr="00937C8B" w:rsidRDefault="002A4DDF" w:rsidP="009110ED">
            <w:pPr>
              <w:rPr>
                <w:rFonts w:ascii="Arial" w:hAnsi="Arial" w:cs="Arial"/>
                <w:sz w:val="12"/>
                <w:szCs w:val="12"/>
              </w:rPr>
            </w:pPr>
            <w:r>
              <w:rPr>
                <w:rFonts w:ascii="Arial" w:hAnsi="Arial"/>
                <w:sz w:val="12"/>
                <w:szCs w:val="12"/>
              </w:rPr>
              <w:t>Murcie</w:t>
            </w:r>
          </w:p>
        </w:tc>
        <w:tc>
          <w:tcPr>
            <w:tcW w:w="1843" w:type="dxa"/>
            <w:tcBorders>
              <w:top w:val="single" w:sz="4" w:space="0" w:color="auto"/>
            </w:tcBorders>
            <w:shd w:val="clear" w:color="auto" w:fill="auto"/>
            <w:hideMark/>
          </w:tcPr>
          <w:p w14:paraId="318CBF72" w14:textId="77777777" w:rsidR="002A4DDF" w:rsidRPr="00937C8B" w:rsidRDefault="002A4DDF" w:rsidP="009110ED">
            <w:pPr>
              <w:rPr>
                <w:rFonts w:ascii="Arial" w:hAnsi="Arial" w:cs="Arial"/>
                <w:sz w:val="12"/>
                <w:szCs w:val="12"/>
              </w:rPr>
            </w:pPr>
            <w:r>
              <w:rPr>
                <w:rFonts w:ascii="Arial" w:hAnsi="Arial"/>
                <w:sz w:val="12"/>
                <w:szCs w:val="12"/>
              </w:rPr>
              <w:t>Murcie</w:t>
            </w:r>
          </w:p>
        </w:tc>
        <w:tc>
          <w:tcPr>
            <w:tcW w:w="2268" w:type="dxa"/>
            <w:tcBorders>
              <w:top w:val="single" w:sz="4" w:space="0" w:color="auto"/>
            </w:tcBorders>
            <w:shd w:val="clear" w:color="auto" w:fill="F2F2F2"/>
            <w:hideMark/>
          </w:tcPr>
          <w:p w14:paraId="7F994536" w14:textId="77777777" w:rsidR="002A4DDF" w:rsidRPr="00937C8B" w:rsidRDefault="002A4DDF" w:rsidP="009110ED">
            <w:pPr>
              <w:rPr>
                <w:rFonts w:ascii="Arial" w:hAnsi="Arial" w:cs="Arial"/>
                <w:sz w:val="12"/>
                <w:szCs w:val="12"/>
              </w:rPr>
            </w:pPr>
            <w:r>
              <w:rPr>
                <w:rFonts w:ascii="Arial" w:hAnsi="Arial"/>
                <w:sz w:val="12"/>
                <w:szCs w:val="12"/>
              </w:rPr>
              <w:t>Águilas</w:t>
            </w:r>
          </w:p>
        </w:tc>
        <w:tc>
          <w:tcPr>
            <w:tcW w:w="2268" w:type="dxa"/>
            <w:tcBorders>
              <w:top w:val="single" w:sz="4" w:space="0" w:color="auto"/>
              <w:right w:val="single" w:sz="4" w:space="0" w:color="auto"/>
            </w:tcBorders>
            <w:shd w:val="clear" w:color="auto" w:fill="D9D9D9"/>
            <w:hideMark/>
          </w:tcPr>
          <w:p w14:paraId="36012FCA" w14:textId="77777777" w:rsidR="002A4DDF" w:rsidRPr="00937C8B" w:rsidRDefault="002A4DDF" w:rsidP="009110ED">
            <w:pPr>
              <w:rPr>
                <w:rFonts w:ascii="Arial" w:hAnsi="Arial" w:cs="Arial"/>
                <w:sz w:val="12"/>
                <w:szCs w:val="12"/>
              </w:rPr>
            </w:pPr>
          </w:p>
        </w:tc>
      </w:tr>
      <w:tr w:rsidR="002A4DDF" w:rsidRPr="00937C8B" w14:paraId="26BE731F" w14:textId="77777777" w:rsidTr="00935676">
        <w:trPr>
          <w:cantSplit/>
        </w:trPr>
        <w:tc>
          <w:tcPr>
            <w:tcW w:w="1696" w:type="dxa"/>
            <w:tcBorders>
              <w:left w:val="single" w:sz="4" w:space="0" w:color="auto"/>
            </w:tcBorders>
            <w:shd w:val="clear" w:color="auto" w:fill="auto"/>
          </w:tcPr>
          <w:p w14:paraId="36231B97" w14:textId="77777777" w:rsidR="002A4DDF" w:rsidRPr="00937C8B" w:rsidRDefault="002A4DDF" w:rsidP="009110ED">
            <w:pPr>
              <w:rPr>
                <w:rFonts w:ascii="Arial" w:hAnsi="Arial" w:cs="Arial"/>
                <w:sz w:val="12"/>
                <w:szCs w:val="12"/>
              </w:rPr>
            </w:pPr>
          </w:p>
        </w:tc>
        <w:tc>
          <w:tcPr>
            <w:tcW w:w="1843" w:type="dxa"/>
            <w:shd w:val="clear" w:color="auto" w:fill="auto"/>
          </w:tcPr>
          <w:p w14:paraId="7BE63A8E" w14:textId="77777777" w:rsidR="002A4DDF" w:rsidRPr="00937C8B" w:rsidRDefault="002A4DDF" w:rsidP="009110ED">
            <w:pPr>
              <w:rPr>
                <w:rFonts w:ascii="Arial" w:hAnsi="Arial" w:cs="Arial"/>
                <w:sz w:val="12"/>
                <w:szCs w:val="12"/>
              </w:rPr>
            </w:pPr>
          </w:p>
        </w:tc>
        <w:tc>
          <w:tcPr>
            <w:tcW w:w="2268" w:type="dxa"/>
            <w:shd w:val="clear" w:color="auto" w:fill="F2F2F2"/>
            <w:hideMark/>
          </w:tcPr>
          <w:p w14:paraId="4A615D76" w14:textId="77777777" w:rsidR="002A4DDF" w:rsidRPr="00937C8B" w:rsidRDefault="002A4DDF" w:rsidP="009110ED">
            <w:pPr>
              <w:rPr>
                <w:rFonts w:ascii="Arial" w:hAnsi="Arial" w:cs="Arial"/>
                <w:sz w:val="12"/>
                <w:szCs w:val="12"/>
              </w:rPr>
            </w:pPr>
            <w:r>
              <w:rPr>
                <w:rFonts w:ascii="Arial" w:hAnsi="Arial"/>
                <w:sz w:val="12"/>
                <w:szCs w:val="12"/>
              </w:rPr>
              <w:t>Cartagena</w:t>
            </w:r>
          </w:p>
        </w:tc>
        <w:tc>
          <w:tcPr>
            <w:tcW w:w="2268" w:type="dxa"/>
            <w:tcBorders>
              <w:right w:val="single" w:sz="4" w:space="0" w:color="auto"/>
            </w:tcBorders>
            <w:shd w:val="clear" w:color="auto" w:fill="D9D9D9"/>
            <w:hideMark/>
          </w:tcPr>
          <w:p w14:paraId="144B45B8" w14:textId="77777777" w:rsidR="002A4DDF" w:rsidRPr="00937C8B" w:rsidRDefault="002A4DDF" w:rsidP="009110ED">
            <w:pPr>
              <w:rPr>
                <w:rFonts w:ascii="Arial" w:hAnsi="Arial" w:cs="Arial"/>
                <w:sz w:val="12"/>
                <w:szCs w:val="12"/>
              </w:rPr>
            </w:pPr>
          </w:p>
        </w:tc>
      </w:tr>
      <w:tr w:rsidR="002A4DDF" w:rsidRPr="00937C8B" w14:paraId="1BA1FA36" w14:textId="77777777" w:rsidTr="00935676">
        <w:trPr>
          <w:cantSplit/>
        </w:trPr>
        <w:tc>
          <w:tcPr>
            <w:tcW w:w="1696" w:type="dxa"/>
            <w:tcBorders>
              <w:left w:val="single" w:sz="4" w:space="0" w:color="auto"/>
              <w:bottom w:val="single" w:sz="4" w:space="0" w:color="auto"/>
            </w:tcBorders>
            <w:shd w:val="clear" w:color="auto" w:fill="auto"/>
            <w:hideMark/>
          </w:tcPr>
          <w:p w14:paraId="7353267A" w14:textId="77777777" w:rsidR="002A4DDF" w:rsidRPr="00937C8B" w:rsidRDefault="002A4DDF" w:rsidP="009110ED">
            <w:pPr>
              <w:rPr>
                <w:rFonts w:ascii="Arial" w:hAnsi="Arial" w:cs="Arial"/>
                <w:sz w:val="12"/>
                <w:szCs w:val="12"/>
              </w:rPr>
            </w:pPr>
            <w:r>
              <w:rPr>
                <w:rFonts w:ascii="Arial" w:hAnsi="Arial"/>
                <w:sz w:val="12"/>
                <w:szCs w:val="12"/>
              </w:rPr>
              <w:t>Murcie</w:t>
            </w:r>
          </w:p>
        </w:tc>
        <w:tc>
          <w:tcPr>
            <w:tcW w:w="1843" w:type="dxa"/>
            <w:tcBorders>
              <w:bottom w:val="single" w:sz="4" w:space="0" w:color="auto"/>
            </w:tcBorders>
            <w:shd w:val="clear" w:color="auto" w:fill="auto"/>
            <w:hideMark/>
          </w:tcPr>
          <w:p w14:paraId="57F81BB1" w14:textId="77777777" w:rsidR="002A4DDF" w:rsidRPr="00937C8B" w:rsidRDefault="002A4DDF" w:rsidP="009110ED">
            <w:pPr>
              <w:rPr>
                <w:rFonts w:ascii="Arial" w:hAnsi="Arial" w:cs="Arial"/>
                <w:sz w:val="12"/>
                <w:szCs w:val="12"/>
              </w:rPr>
            </w:pPr>
            <w:r>
              <w:rPr>
                <w:rFonts w:ascii="Arial" w:hAnsi="Arial"/>
                <w:sz w:val="12"/>
                <w:szCs w:val="12"/>
              </w:rPr>
              <w:t>Murcie</w:t>
            </w:r>
          </w:p>
        </w:tc>
        <w:tc>
          <w:tcPr>
            <w:tcW w:w="2268" w:type="dxa"/>
            <w:tcBorders>
              <w:bottom w:val="single" w:sz="4" w:space="0" w:color="auto"/>
            </w:tcBorders>
            <w:shd w:val="clear" w:color="auto" w:fill="F2F2F2"/>
            <w:hideMark/>
          </w:tcPr>
          <w:p w14:paraId="644B3B6D" w14:textId="77777777" w:rsidR="002A4DDF" w:rsidRPr="00937C8B" w:rsidRDefault="002A4DDF" w:rsidP="009110ED">
            <w:pPr>
              <w:rPr>
                <w:rFonts w:ascii="Arial" w:hAnsi="Arial" w:cs="Arial"/>
                <w:sz w:val="12"/>
                <w:szCs w:val="12"/>
              </w:rPr>
            </w:pPr>
            <w:r>
              <w:rPr>
                <w:rFonts w:ascii="Arial" w:hAnsi="Arial"/>
                <w:sz w:val="12"/>
                <w:szCs w:val="12"/>
              </w:rPr>
              <w:t>Puerto Lumbreras</w:t>
            </w:r>
          </w:p>
        </w:tc>
        <w:tc>
          <w:tcPr>
            <w:tcW w:w="2268" w:type="dxa"/>
            <w:tcBorders>
              <w:bottom w:val="single" w:sz="4" w:space="0" w:color="auto"/>
              <w:right w:val="single" w:sz="4" w:space="0" w:color="auto"/>
            </w:tcBorders>
            <w:shd w:val="clear" w:color="auto" w:fill="D9D9D9"/>
            <w:hideMark/>
          </w:tcPr>
          <w:p w14:paraId="3533B48B" w14:textId="77777777" w:rsidR="002A4DDF" w:rsidRPr="00937C8B" w:rsidRDefault="002A4DDF" w:rsidP="009110ED">
            <w:pPr>
              <w:rPr>
                <w:rFonts w:ascii="Arial" w:hAnsi="Arial" w:cs="Arial"/>
                <w:sz w:val="12"/>
                <w:szCs w:val="12"/>
              </w:rPr>
            </w:pPr>
          </w:p>
        </w:tc>
      </w:tr>
      <w:tr w:rsidR="002A4DDF" w:rsidRPr="00937C8B" w14:paraId="33B1EED3" w14:textId="77777777" w:rsidTr="00935676">
        <w:trPr>
          <w:cantSplit/>
        </w:trPr>
        <w:tc>
          <w:tcPr>
            <w:tcW w:w="1696" w:type="dxa"/>
            <w:tcBorders>
              <w:top w:val="single" w:sz="4" w:space="0" w:color="auto"/>
              <w:bottom w:val="single" w:sz="4" w:space="0" w:color="auto"/>
            </w:tcBorders>
            <w:shd w:val="clear" w:color="auto" w:fill="auto"/>
            <w:hideMark/>
          </w:tcPr>
          <w:p w14:paraId="3008A88F"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57373F9A"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7D8FE5FC"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1476FC18" w14:textId="77777777" w:rsidR="002A4DDF" w:rsidRPr="00937C8B" w:rsidRDefault="002A4DDF" w:rsidP="009110ED">
            <w:pPr>
              <w:rPr>
                <w:rFonts w:ascii="Arial" w:hAnsi="Arial" w:cs="Arial"/>
                <w:sz w:val="12"/>
                <w:szCs w:val="12"/>
              </w:rPr>
            </w:pPr>
          </w:p>
        </w:tc>
      </w:tr>
      <w:tr w:rsidR="002A4DDF" w:rsidRPr="00937C8B" w14:paraId="6064C10A" w14:textId="77777777" w:rsidTr="00935676">
        <w:trPr>
          <w:cantSplit/>
        </w:trPr>
        <w:tc>
          <w:tcPr>
            <w:tcW w:w="1696" w:type="dxa"/>
            <w:tcBorders>
              <w:top w:val="single" w:sz="4" w:space="0" w:color="auto"/>
              <w:left w:val="single" w:sz="4" w:space="0" w:color="auto"/>
            </w:tcBorders>
            <w:shd w:val="clear" w:color="auto" w:fill="auto"/>
            <w:hideMark/>
          </w:tcPr>
          <w:p w14:paraId="4C23E0C7" w14:textId="77777777" w:rsidR="002A4DDF" w:rsidRPr="00937C8B" w:rsidRDefault="002A4DDF" w:rsidP="009110ED">
            <w:pPr>
              <w:rPr>
                <w:rFonts w:ascii="Arial" w:hAnsi="Arial" w:cs="Arial"/>
                <w:sz w:val="12"/>
                <w:szCs w:val="12"/>
              </w:rPr>
            </w:pPr>
            <w:r>
              <w:rPr>
                <w:rFonts w:ascii="Arial" w:hAnsi="Arial"/>
                <w:sz w:val="12"/>
                <w:szCs w:val="12"/>
              </w:rPr>
              <w:t>Pays basque</w:t>
            </w:r>
          </w:p>
        </w:tc>
        <w:tc>
          <w:tcPr>
            <w:tcW w:w="1843" w:type="dxa"/>
            <w:tcBorders>
              <w:top w:val="single" w:sz="4" w:space="0" w:color="auto"/>
            </w:tcBorders>
            <w:shd w:val="clear" w:color="auto" w:fill="auto"/>
            <w:hideMark/>
          </w:tcPr>
          <w:p w14:paraId="1773211D" w14:textId="77777777" w:rsidR="002A4DDF" w:rsidRPr="00937C8B" w:rsidRDefault="002A4DDF" w:rsidP="009110ED">
            <w:pPr>
              <w:rPr>
                <w:rFonts w:ascii="Arial" w:hAnsi="Arial" w:cs="Arial"/>
                <w:sz w:val="12"/>
                <w:szCs w:val="12"/>
              </w:rPr>
            </w:pPr>
            <w:r>
              <w:rPr>
                <w:rFonts w:ascii="Arial" w:hAnsi="Arial"/>
                <w:sz w:val="12"/>
                <w:szCs w:val="12"/>
              </w:rPr>
              <w:t>Álava / Araba</w:t>
            </w:r>
          </w:p>
        </w:tc>
        <w:tc>
          <w:tcPr>
            <w:tcW w:w="2268" w:type="dxa"/>
            <w:tcBorders>
              <w:top w:val="single" w:sz="4" w:space="0" w:color="auto"/>
            </w:tcBorders>
            <w:shd w:val="clear" w:color="auto" w:fill="F2F2F2"/>
            <w:hideMark/>
          </w:tcPr>
          <w:p w14:paraId="36CA21D0" w14:textId="77777777" w:rsidR="002A4DDF" w:rsidRPr="00937C8B" w:rsidRDefault="002A4DDF" w:rsidP="009110ED">
            <w:pPr>
              <w:rPr>
                <w:rFonts w:ascii="Arial" w:hAnsi="Arial" w:cs="Arial"/>
                <w:sz w:val="12"/>
                <w:szCs w:val="12"/>
              </w:rPr>
            </w:pPr>
            <w:r>
              <w:rPr>
                <w:rFonts w:ascii="Arial" w:hAnsi="Arial"/>
                <w:sz w:val="12"/>
                <w:szCs w:val="12"/>
              </w:rPr>
              <w:t>Aramaio</w:t>
            </w:r>
          </w:p>
        </w:tc>
        <w:tc>
          <w:tcPr>
            <w:tcW w:w="2268" w:type="dxa"/>
            <w:tcBorders>
              <w:top w:val="single" w:sz="4" w:space="0" w:color="auto"/>
              <w:right w:val="single" w:sz="4" w:space="0" w:color="auto"/>
            </w:tcBorders>
            <w:shd w:val="clear" w:color="auto" w:fill="D9D9D9"/>
            <w:hideMark/>
          </w:tcPr>
          <w:p w14:paraId="037FFEF5" w14:textId="77777777" w:rsidR="002A4DDF" w:rsidRPr="00937C8B" w:rsidRDefault="002A4DDF" w:rsidP="009110ED">
            <w:pPr>
              <w:rPr>
                <w:rFonts w:ascii="Arial" w:hAnsi="Arial" w:cs="Arial"/>
                <w:sz w:val="12"/>
                <w:szCs w:val="12"/>
              </w:rPr>
            </w:pPr>
          </w:p>
        </w:tc>
      </w:tr>
      <w:tr w:rsidR="002A4DDF" w:rsidRPr="00937C8B" w14:paraId="3B0F6D33" w14:textId="77777777" w:rsidTr="00935676">
        <w:trPr>
          <w:cantSplit/>
        </w:trPr>
        <w:tc>
          <w:tcPr>
            <w:tcW w:w="1696" w:type="dxa"/>
            <w:tcBorders>
              <w:left w:val="single" w:sz="4" w:space="0" w:color="auto"/>
            </w:tcBorders>
            <w:shd w:val="clear" w:color="auto" w:fill="auto"/>
          </w:tcPr>
          <w:p w14:paraId="144E73C7" w14:textId="77777777" w:rsidR="002A4DDF" w:rsidRPr="00937C8B" w:rsidRDefault="002A4DDF" w:rsidP="009110ED">
            <w:pPr>
              <w:rPr>
                <w:rFonts w:ascii="Arial" w:hAnsi="Arial" w:cs="Arial"/>
                <w:sz w:val="12"/>
                <w:szCs w:val="12"/>
              </w:rPr>
            </w:pPr>
          </w:p>
        </w:tc>
        <w:tc>
          <w:tcPr>
            <w:tcW w:w="1843" w:type="dxa"/>
            <w:shd w:val="clear" w:color="auto" w:fill="auto"/>
          </w:tcPr>
          <w:p w14:paraId="20BC5649" w14:textId="77777777" w:rsidR="002A4DDF" w:rsidRPr="00937C8B" w:rsidRDefault="002A4DDF" w:rsidP="009110ED">
            <w:pPr>
              <w:rPr>
                <w:rFonts w:ascii="Arial" w:hAnsi="Arial" w:cs="Arial"/>
                <w:sz w:val="12"/>
                <w:szCs w:val="12"/>
              </w:rPr>
            </w:pPr>
          </w:p>
        </w:tc>
        <w:tc>
          <w:tcPr>
            <w:tcW w:w="2268" w:type="dxa"/>
            <w:shd w:val="clear" w:color="auto" w:fill="F2F2F2"/>
            <w:hideMark/>
          </w:tcPr>
          <w:p w14:paraId="744702D0" w14:textId="77777777" w:rsidR="002A4DDF" w:rsidRPr="00937C8B" w:rsidRDefault="002A4DDF" w:rsidP="009110ED">
            <w:pPr>
              <w:rPr>
                <w:rFonts w:ascii="Arial" w:hAnsi="Arial" w:cs="Arial"/>
                <w:sz w:val="12"/>
                <w:szCs w:val="12"/>
              </w:rPr>
            </w:pPr>
            <w:r>
              <w:rPr>
                <w:rFonts w:ascii="Arial" w:hAnsi="Arial"/>
                <w:sz w:val="12"/>
                <w:szCs w:val="12"/>
              </w:rPr>
              <w:t>Arratzua-Ubarrundia</w:t>
            </w:r>
          </w:p>
        </w:tc>
        <w:tc>
          <w:tcPr>
            <w:tcW w:w="2268" w:type="dxa"/>
            <w:tcBorders>
              <w:right w:val="single" w:sz="4" w:space="0" w:color="auto"/>
            </w:tcBorders>
            <w:shd w:val="clear" w:color="auto" w:fill="D9D9D9"/>
            <w:hideMark/>
          </w:tcPr>
          <w:p w14:paraId="6343CCA9" w14:textId="77777777" w:rsidR="002A4DDF" w:rsidRPr="00937C8B" w:rsidRDefault="002A4DDF" w:rsidP="009110ED">
            <w:pPr>
              <w:rPr>
                <w:rFonts w:ascii="Arial" w:hAnsi="Arial" w:cs="Arial"/>
                <w:sz w:val="12"/>
                <w:szCs w:val="12"/>
              </w:rPr>
            </w:pPr>
          </w:p>
        </w:tc>
      </w:tr>
      <w:tr w:rsidR="002A4DDF" w:rsidRPr="00937C8B" w14:paraId="06D044A6" w14:textId="77777777" w:rsidTr="00935676">
        <w:trPr>
          <w:cantSplit/>
        </w:trPr>
        <w:tc>
          <w:tcPr>
            <w:tcW w:w="1696" w:type="dxa"/>
            <w:tcBorders>
              <w:left w:val="single" w:sz="4" w:space="0" w:color="auto"/>
            </w:tcBorders>
            <w:shd w:val="clear" w:color="auto" w:fill="auto"/>
          </w:tcPr>
          <w:p w14:paraId="59DD1664" w14:textId="77777777" w:rsidR="002A4DDF" w:rsidRPr="00937C8B" w:rsidRDefault="002A4DDF" w:rsidP="009110ED">
            <w:pPr>
              <w:rPr>
                <w:rFonts w:ascii="Arial" w:hAnsi="Arial" w:cs="Arial"/>
                <w:sz w:val="12"/>
                <w:szCs w:val="12"/>
              </w:rPr>
            </w:pPr>
          </w:p>
        </w:tc>
        <w:tc>
          <w:tcPr>
            <w:tcW w:w="1843" w:type="dxa"/>
            <w:shd w:val="clear" w:color="auto" w:fill="auto"/>
          </w:tcPr>
          <w:p w14:paraId="11B0E481" w14:textId="77777777" w:rsidR="002A4DDF" w:rsidRPr="00937C8B" w:rsidRDefault="002A4DDF" w:rsidP="009110ED">
            <w:pPr>
              <w:rPr>
                <w:rFonts w:ascii="Arial" w:hAnsi="Arial" w:cs="Arial"/>
                <w:sz w:val="12"/>
                <w:szCs w:val="12"/>
              </w:rPr>
            </w:pPr>
          </w:p>
        </w:tc>
        <w:tc>
          <w:tcPr>
            <w:tcW w:w="2268" w:type="dxa"/>
            <w:shd w:val="clear" w:color="auto" w:fill="F2F2F2"/>
            <w:hideMark/>
          </w:tcPr>
          <w:p w14:paraId="4A3AEB19" w14:textId="77777777" w:rsidR="002A4DDF" w:rsidRPr="00937C8B" w:rsidRDefault="002A4DDF" w:rsidP="009110ED">
            <w:pPr>
              <w:rPr>
                <w:rFonts w:ascii="Arial" w:hAnsi="Arial" w:cs="Arial"/>
                <w:sz w:val="12"/>
                <w:szCs w:val="12"/>
              </w:rPr>
            </w:pPr>
            <w:r>
              <w:rPr>
                <w:rFonts w:ascii="Arial" w:hAnsi="Arial"/>
                <w:sz w:val="12"/>
                <w:szCs w:val="12"/>
              </w:rPr>
              <w:t>Asparrena</w:t>
            </w:r>
          </w:p>
        </w:tc>
        <w:tc>
          <w:tcPr>
            <w:tcW w:w="2268" w:type="dxa"/>
            <w:tcBorders>
              <w:right w:val="single" w:sz="4" w:space="0" w:color="auto"/>
            </w:tcBorders>
            <w:shd w:val="clear" w:color="auto" w:fill="D9D9D9"/>
            <w:hideMark/>
          </w:tcPr>
          <w:p w14:paraId="515A0DCD" w14:textId="77777777" w:rsidR="002A4DDF" w:rsidRPr="00937C8B" w:rsidRDefault="002A4DDF" w:rsidP="009110ED">
            <w:pPr>
              <w:rPr>
                <w:rFonts w:ascii="Arial" w:hAnsi="Arial" w:cs="Arial"/>
                <w:sz w:val="12"/>
                <w:szCs w:val="12"/>
              </w:rPr>
            </w:pPr>
          </w:p>
        </w:tc>
      </w:tr>
      <w:tr w:rsidR="002A4DDF" w:rsidRPr="00937C8B" w14:paraId="78532B64" w14:textId="77777777" w:rsidTr="00935676">
        <w:trPr>
          <w:cantSplit/>
        </w:trPr>
        <w:tc>
          <w:tcPr>
            <w:tcW w:w="1696" w:type="dxa"/>
            <w:tcBorders>
              <w:left w:val="single" w:sz="4" w:space="0" w:color="auto"/>
            </w:tcBorders>
            <w:shd w:val="clear" w:color="auto" w:fill="auto"/>
          </w:tcPr>
          <w:p w14:paraId="7EE6393E" w14:textId="77777777" w:rsidR="002A4DDF" w:rsidRPr="00937C8B" w:rsidRDefault="002A4DDF" w:rsidP="009110ED">
            <w:pPr>
              <w:rPr>
                <w:rFonts w:ascii="Arial" w:hAnsi="Arial" w:cs="Arial"/>
                <w:sz w:val="12"/>
                <w:szCs w:val="12"/>
              </w:rPr>
            </w:pPr>
          </w:p>
        </w:tc>
        <w:tc>
          <w:tcPr>
            <w:tcW w:w="1843" w:type="dxa"/>
            <w:shd w:val="clear" w:color="auto" w:fill="auto"/>
          </w:tcPr>
          <w:p w14:paraId="612EEE6A" w14:textId="77777777" w:rsidR="002A4DDF" w:rsidRPr="00937C8B" w:rsidRDefault="002A4DDF" w:rsidP="009110ED">
            <w:pPr>
              <w:rPr>
                <w:rFonts w:ascii="Arial" w:hAnsi="Arial" w:cs="Arial"/>
                <w:sz w:val="12"/>
                <w:szCs w:val="12"/>
              </w:rPr>
            </w:pPr>
          </w:p>
        </w:tc>
        <w:tc>
          <w:tcPr>
            <w:tcW w:w="2268" w:type="dxa"/>
            <w:shd w:val="clear" w:color="auto" w:fill="F2F2F2"/>
            <w:hideMark/>
          </w:tcPr>
          <w:p w14:paraId="607D521D" w14:textId="77777777" w:rsidR="002A4DDF" w:rsidRPr="00937C8B" w:rsidRDefault="002A4DDF" w:rsidP="009110ED">
            <w:pPr>
              <w:rPr>
                <w:rFonts w:ascii="Arial" w:hAnsi="Arial" w:cs="Arial"/>
                <w:sz w:val="12"/>
                <w:szCs w:val="12"/>
              </w:rPr>
            </w:pPr>
            <w:r>
              <w:rPr>
                <w:rFonts w:ascii="Arial" w:hAnsi="Arial"/>
                <w:sz w:val="12"/>
                <w:szCs w:val="12"/>
              </w:rPr>
              <w:t>Barrundia</w:t>
            </w:r>
          </w:p>
        </w:tc>
        <w:tc>
          <w:tcPr>
            <w:tcW w:w="2268" w:type="dxa"/>
            <w:tcBorders>
              <w:right w:val="single" w:sz="4" w:space="0" w:color="auto"/>
            </w:tcBorders>
            <w:shd w:val="clear" w:color="auto" w:fill="D9D9D9"/>
            <w:hideMark/>
          </w:tcPr>
          <w:p w14:paraId="42C41B2B" w14:textId="77777777" w:rsidR="002A4DDF" w:rsidRPr="00937C8B" w:rsidRDefault="002A4DDF" w:rsidP="009110ED">
            <w:pPr>
              <w:rPr>
                <w:rFonts w:ascii="Arial" w:hAnsi="Arial" w:cs="Arial"/>
                <w:sz w:val="12"/>
                <w:szCs w:val="12"/>
              </w:rPr>
            </w:pPr>
          </w:p>
        </w:tc>
      </w:tr>
      <w:tr w:rsidR="002A4DDF" w:rsidRPr="00937C8B" w14:paraId="26352D1B" w14:textId="77777777" w:rsidTr="00935676">
        <w:trPr>
          <w:cantSplit/>
        </w:trPr>
        <w:tc>
          <w:tcPr>
            <w:tcW w:w="1696" w:type="dxa"/>
            <w:tcBorders>
              <w:left w:val="single" w:sz="4" w:space="0" w:color="auto"/>
            </w:tcBorders>
            <w:shd w:val="clear" w:color="auto" w:fill="auto"/>
          </w:tcPr>
          <w:p w14:paraId="29B49550" w14:textId="77777777" w:rsidR="002A4DDF" w:rsidRPr="00937C8B" w:rsidRDefault="002A4DDF" w:rsidP="009110ED">
            <w:pPr>
              <w:rPr>
                <w:rFonts w:ascii="Arial" w:hAnsi="Arial" w:cs="Arial"/>
                <w:sz w:val="12"/>
                <w:szCs w:val="12"/>
              </w:rPr>
            </w:pPr>
          </w:p>
        </w:tc>
        <w:tc>
          <w:tcPr>
            <w:tcW w:w="1843" w:type="dxa"/>
            <w:shd w:val="clear" w:color="auto" w:fill="auto"/>
          </w:tcPr>
          <w:p w14:paraId="0FD0ECD1" w14:textId="77777777" w:rsidR="002A4DDF" w:rsidRPr="00937C8B" w:rsidRDefault="002A4DDF" w:rsidP="009110ED">
            <w:pPr>
              <w:rPr>
                <w:rFonts w:ascii="Arial" w:hAnsi="Arial" w:cs="Arial"/>
                <w:sz w:val="12"/>
                <w:szCs w:val="12"/>
              </w:rPr>
            </w:pPr>
          </w:p>
        </w:tc>
        <w:tc>
          <w:tcPr>
            <w:tcW w:w="2268" w:type="dxa"/>
            <w:shd w:val="clear" w:color="auto" w:fill="F2F2F2"/>
            <w:hideMark/>
          </w:tcPr>
          <w:p w14:paraId="5D19BDBB" w14:textId="77777777" w:rsidR="002A4DDF" w:rsidRPr="00937C8B" w:rsidRDefault="002A4DDF" w:rsidP="009110ED">
            <w:pPr>
              <w:rPr>
                <w:rFonts w:ascii="Arial" w:hAnsi="Arial" w:cs="Arial"/>
                <w:sz w:val="12"/>
                <w:szCs w:val="12"/>
              </w:rPr>
            </w:pPr>
            <w:r>
              <w:rPr>
                <w:rFonts w:ascii="Arial" w:hAnsi="Arial"/>
                <w:sz w:val="12"/>
                <w:szCs w:val="12"/>
              </w:rPr>
              <w:t>Legutio</w:t>
            </w:r>
          </w:p>
        </w:tc>
        <w:tc>
          <w:tcPr>
            <w:tcW w:w="2268" w:type="dxa"/>
            <w:tcBorders>
              <w:right w:val="single" w:sz="4" w:space="0" w:color="auto"/>
            </w:tcBorders>
            <w:shd w:val="clear" w:color="auto" w:fill="D9D9D9"/>
            <w:hideMark/>
          </w:tcPr>
          <w:p w14:paraId="3F90846D" w14:textId="77777777" w:rsidR="002A4DDF" w:rsidRPr="00937C8B" w:rsidRDefault="002A4DDF" w:rsidP="009110ED">
            <w:pPr>
              <w:rPr>
                <w:rFonts w:ascii="Arial" w:hAnsi="Arial" w:cs="Arial"/>
                <w:sz w:val="12"/>
                <w:szCs w:val="12"/>
              </w:rPr>
            </w:pPr>
          </w:p>
        </w:tc>
      </w:tr>
      <w:tr w:rsidR="002A4DDF" w:rsidRPr="00E93486" w14:paraId="443BBAA0" w14:textId="77777777" w:rsidTr="00935676">
        <w:trPr>
          <w:cantSplit/>
        </w:trPr>
        <w:tc>
          <w:tcPr>
            <w:tcW w:w="1696" w:type="dxa"/>
            <w:tcBorders>
              <w:left w:val="single" w:sz="4" w:space="0" w:color="auto"/>
            </w:tcBorders>
            <w:shd w:val="clear" w:color="auto" w:fill="auto"/>
          </w:tcPr>
          <w:p w14:paraId="611020AD" w14:textId="77777777" w:rsidR="002A4DDF" w:rsidRPr="00937C8B" w:rsidRDefault="002A4DDF" w:rsidP="009110ED">
            <w:pPr>
              <w:rPr>
                <w:rFonts w:ascii="Arial" w:hAnsi="Arial" w:cs="Arial"/>
                <w:sz w:val="12"/>
                <w:szCs w:val="12"/>
              </w:rPr>
            </w:pPr>
          </w:p>
        </w:tc>
        <w:tc>
          <w:tcPr>
            <w:tcW w:w="1843" w:type="dxa"/>
            <w:shd w:val="clear" w:color="auto" w:fill="auto"/>
          </w:tcPr>
          <w:p w14:paraId="42C26BB5" w14:textId="77777777" w:rsidR="002A4DDF" w:rsidRPr="00937C8B" w:rsidRDefault="002A4DDF" w:rsidP="009110ED">
            <w:pPr>
              <w:rPr>
                <w:rFonts w:ascii="Arial" w:hAnsi="Arial" w:cs="Arial"/>
                <w:sz w:val="12"/>
                <w:szCs w:val="12"/>
              </w:rPr>
            </w:pPr>
          </w:p>
        </w:tc>
        <w:tc>
          <w:tcPr>
            <w:tcW w:w="2268" w:type="dxa"/>
            <w:shd w:val="clear" w:color="auto" w:fill="F2F2F2"/>
            <w:hideMark/>
          </w:tcPr>
          <w:p w14:paraId="37AAD6F2" w14:textId="77777777" w:rsidR="002A4DDF" w:rsidRPr="00E93486" w:rsidRDefault="002A4DDF" w:rsidP="009110ED">
            <w:pPr>
              <w:rPr>
                <w:rFonts w:ascii="Arial" w:hAnsi="Arial" w:cs="Arial"/>
                <w:sz w:val="12"/>
                <w:szCs w:val="12"/>
                <w:lang w:val="en-US"/>
              </w:rPr>
            </w:pPr>
            <w:r w:rsidRPr="00E93486">
              <w:rPr>
                <w:rFonts w:ascii="Arial" w:hAnsi="Arial"/>
                <w:sz w:val="12"/>
                <w:szCs w:val="12"/>
                <w:lang w:val="en-US"/>
              </w:rPr>
              <w:t>Moreda de Álava/Moreda Araba</w:t>
            </w:r>
          </w:p>
        </w:tc>
        <w:tc>
          <w:tcPr>
            <w:tcW w:w="2268" w:type="dxa"/>
            <w:tcBorders>
              <w:right w:val="single" w:sz="4" w:space="0" w:color="auto"/>
            </w:tcBorders>
            <w:shd w:val="clear" w:color="auto" w:fill="D9D9D9"/>
            <w:hideMark/>
          </w:tcPr>
          <w:p w14:paraId="3004D3BD" w14:textId="77777777" w:rsidR="002A4DDF" w:rsidRPr="00E93486" w:rsidRDefault="002A4DDF" w:rsidP="009110ED">
            <w:pPr>
              <w:rPr>
                <w:rFonts w:ascii="Arial" w:hAnsi="Arial" w:cs="Arial"/>
                <w:sz w:val="12"/>
                <w:szCs w:val="12"/>
                <w:lang w:val="en-US"/>
              </w:rPr>
            </w:pPr>
          </w:p>
        </w:tc>
      </w:tr>
      <w:tr w:rsidR="002A4DDF" w:rsidRPr="00937C8B" w14:paraId="5471FDA4" w14:textId="77777777" w:rsidTr="00935676">
        <w:trPr>
          <w:cantSplit/>
        </w:trPr>
        <w:tc>
          <w:tcPr>
            <w:tcW w:w="1696" w:type="dxa"/>
            <w:tcBorders>
              <w:left w:val="single" w:sz="4" w:space="0" w:color="auto"/>
              <w:bottom w:val="single" w:sz="4" w:space="0" w:color="auto"/>
            </w:tcBorders>
            <w:shd w:val="clear" w:color="auto" w:fill="auto"/>
            <w:hideMark/>
          </w:tcPr>
          <w:p w14:paraId="4273521C" w14:textId="77777777" w:rsidR="002A4DDF" w:rsidRPr="00937C8B" w:rsidRDefault="002A4DDF" w:rsidP="009110ED">
            <w:pPr>
              <w:rPr>
                <w:rFonts w:ascii="Arial" w:hAnsi="Arial" w:cs="Arial"/>
                <w:sz w:val="12"/>
                <w:szCs w:val="12"/>
              </w:rPr>
            </w:pPr>
            <w:r>
              <w:rPr>
                <w:rFonts w:ascii="Arial" w:hAnsi="Arial"/>
                <w:sz w:val="12"/>
                <w:szCs w:val="12"/>
              </w:rPr>
              <w:t>Pays basque</w:t>
            </w:r>
          </w:p>
        </w:tc>
        <w:tc>
          <w:tcPr>
            <w:tcW w:w="1843" w:type="dxa"/>
            <w:tcBorders>
              <w:bottom w:val="single" w:sz="4" w:space="0" w:color="auto"/>
            </w:tcBorders>
            <w:shd w:val="clear" w:color="auto" w:fill="auto"/>
            <w:hideMark/>
          </w:tcPr>
          <w:p w14:paraId="5D21C8AC" w14:textId="77777777" w:rsidR="002A4DDF" w:rsidRPr="00937C8B" w:rsidRDefault="002A4DDF" w:rsidP="009110ED">
            <w:pPr>
              <w:rPr>
                <w:rFonts w:ascii="Arial" w:hAnsi="Arial" w:cs="Arial"/>
                <w:sz w:val="12"/>
                <w:szCs w:val="12"/>
              </w:rPr>
            </w:pPr>
            <w:r>
              <w:rPr>
                <w:rFonts w:ascii="Arial" w:hAnsi="Arial"/>
                <w:sz w:val="12"/>
                <w:szCs w:val="12"/>
              </w:rPr>
              <w:t>Álava / Araba</w:t>
            </w:r>
          </w:p>
        </w:tc>
        <w:tc>
          <w:tcPr>
            <w:tcW w:w="2268" w:type="dxa"/>
            <w:tcBorders>
              <w:bottom w:val="single" w:sz="4" w:space="0" w:color="auto"/>
            </w:tcBorders>
            <w:shd w:val="clear" w:color="auto" w:fill="F2F2F2"/>
            <w:hideMark/>
          </w:tcPr>
          <w:p w14:paraId="741C59C7" w14:textId="77777777" w:rsidR="002A4DDF" w:rsidRPr="00937C8B" w:rsidRDefault="002A4DDF" w:rsidP="009110ED">
            <w:pPr>
              <w:rPr>
                <w:rFonts w:ascii="Arial" w:hAnsi="Arial" w:cs="Arial"/>
                <w:sz w:val="12"/>
                <w:szCs w:val="12"/>
              </w:rPr>
            </w:pPr>
            <w:r>
              <w:rPr>
                <w:rFonts w:ascii="Arial" w:hAnsi="Arial"/>
                <w:sz w:val="12"/>
                <w:szCs w:val="12"/>
              </w:rPr>
              <w:t>Oyón-Oion</w:t>
            </w:r>
          </w:p>
        </w:tc>
        <w:tc>
          <w:tcPr>
            <w:tcW w:w="2268" w:type="dxa"/>
            <w:tcBorders>
              <w:bottom w:val="single" w:sz="4" w:space="0" w:color="auto"/>
              <w:right w:val="single" w:sz="4" w:space="0" w:color="auto"/>
            </w:tcBorders>
            <w:shd w:val="clear" w:color="auto" w:fill="D9D9D9"/>
            <w:hideMark/>
          </w:tcPr>
          <w:p w14:paraId="7EAD2BB0" w14:textId="77777777" w:rsidR="002A4DDF" w:rsidRPr="00937C8B" w:rsidRDefault="002A4DDF" w:rsidP="009110ED">
            <w:pPr>
              <w:rPr>
                <w:rFonts w:ascii="Arial" w:hAnsi="Arial" w:cs="Arial"/>
                <w:sz w:val="12"/>
                <w:szCs w:val="12"/>
              </w:rPr>
            </w:pPr>
          </w:p>
        </w:tc>
      </w:tr>
      <w:tr w:rsidR="002A4DDF" w:rsidRPr="00937C8B" w14:paraId="2F5F3693" w14:textId="77777777" w:rsidTr="00935676">
        <w:trPr>
          <w:cantSplit/>
        </w:trPr>
        <w:tc>
          <w:tcPr>
            <w:tcW w:w="1696" w:type="dxa"/>
            <w:tcBorders>
              <w:top w:val="single" w:sz="4" w:space="0" w:color="auto"/>
              <w:bottom w:val="single" w:sz="4" w:space="0" w:color="auto"/>
            </w:tcBorders>
            <w:shd w:val="clear" w:color="auto" w:fill="auto"/>
            <w:hideMark/>
          </w:tcPr>
          <w:p w14:paraId="341C5C6A"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3F120E32"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32B77D24"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444893E9" w14:textId="77777777" w:rsidR="002A4DDF" w:rsidRPr="00937C8B" w:rsidRDefault="002A4DDF" w:rsidP="009110ED">
            <w:pPr>
              <w:rPr>
                <w:rFonts w:ascii="Arial" w:hAnsi="Arial" w:cs="Arial"/>
                <w:sz w:val="12"/>
                <w:szCs w:val="12"/>
              </w:rPr>
            </w:pPr>
          </w:p>
        </w:tc>
      </w:tr>
      <w:tr w:rsidR="002A4DDF" w:rsidRPr="00937C8B" w14:paraId="70135ED8" w14:textId="77777777" w:rsidTr="00935676">
        <w:trPr>
          <w:cantSplit/>
        </w:trPr>
        <w:tc>
          <w:tcPr>
            <w:tcW w:w="1696" w:type="dxa"/>
            <w:tcBorders>
              <w:top w:val="single" w:sz="4" w:space="0" w:color="auto"/>
              <w:left w:val="single" w:sz="4" w:space="0" w:color="auto"/>
            </w:tcBorders>
            <w:shd w:val="clear" w:color="auto" w:fill="auto"/>
            <w:hideMark/>
          </w:tcPr>
          <w:p w14:paraId="72BD7293" w14:textId="77777777" w:rsidR="002A4DDF" w:rsidRPr="00937C8B" w:rsidRDefault="002A4DDF" w:rsidP="009110ED">
            <w:pPr>
              <w:rPr>
                <w:rFonts w:ascii="Arial" w:hAnsi="Arial" w:cs="Arial"/>
                <w:sz w:val="12"/>
                <w:szCs w:val="12"/>
              </w:rPr>
            </w:pPr>
            <w:r>
              <w:rPr>
                <w:rFonts w:ascii="Arial" w:hAnsi="Arial"/>
                <w:sz w:val="12"/>
                <w:szCs w:val="12"/>
              </w:rPr>
              <w:t>Pays basque</w:t>
            </w:r>
          </w:p>
        </w:tc>
        <w:tc>
          <w:tcPr>
            <w:tcW w:w="1843" w:type="dxa"/>
            <w:tcBorders>
              <w:top w:val="single" w:sz="4" w:space="0" w:color="auto"/>
            </w:tcBorders>
            <w:shd w:val="clear" w:color="auto" w:fill="auto"/>
            <w:hideMark/>
          </w:tcPr>
          <w:p w14:paraId="68E1750D" w14:textId="77777777" w:rsidR="002A4DDF" w:rsidRPr="00937C8B" w:rsidRDefault="002A4DDF" w:rsidP="009110ED">
            <w:pPr>
              <w:rPr>
                <w:rFonts w:ascii="Arial" w:hAnsi="Arial" w:cs="Arial"/>
                <w:sz w:val="12"/>
                <w:szCs w:val="12"/>
              </w:rPr>
            </w:pPr>
            <w:r>
              <w:rPr>
                <w:rFonts w:ascii="Arial" w:hAnsi="Arial"/>
                <w:sz w:val="12"/>
                <w:szCs w:val="12"/>
              </w:rPr>
              <w:t>Guipúzcoa / Gipuzkoa</w:t>
            </w:r>
          </w:p>
        </w:tc>
        <w:tc>
          <w:tcPr>
            <w:tcW w:w="2268" w:type="dxa"/>
            <w:tcBorders>
              <w:top w:val="single" w:sz="4" w:space="0" w:color="auto"/>
            </w:tcBorders>
            <w:shd w:val="clear" w:color="auto" w:fill="F2F2F2"/>
            <w:hideMark/>
          </w:tcPr>
          <w:p w14:paraId="2C54531C" w14:textId="77777777" w:rsidR="002A4DDF" w:rsidRPr="00937C8B" w:rsidRDefault="002A4DDF" w:rsidP="009110ED">
            <w:pPr>
              <w:rPr>
                <w:rFonts w:ascii="Arial" w:hAnsi="Arial" w:cs="Arial"/>
                <w:sz w:val="12"/>
                <w:szCs w:val="12"/>
              </w:rPr>
            </w:pPr>
            <w:r>
              <w:rPr>
                <w:rFonts w:ascii="Arial" w:hAnsi="Arial"/>
                <w:sz w:val="12"/>
                <w:szCs w:val="12"/>
              </w:rPr>
              <w:t>Abaltzisketa</w:t>
            </w:r>
          </w:p>
        </w:tc>
        <w:tc>
          <w:tcPr>
            <w:tcW w:w="2268" w:type="dxa"/>
            <w:tcBorders>
              <w:top w:val="single" w:sz="4" w:space="0" w:color="auto"/>
              <w:right w:val="single" w:sz="4" w:space="0" w:color="auto"/>
            </w:tcBorders>
            <w:shd w:val="clear" w:color="auto" w:fill="D9D9D9"/>
            <w:hideMark/>
          </w:tcPr>
          <w:p w14:paraId="3A05156A" w14:textId="77777777" w:rsidR="002A4DDF" w:rsidRPr="00937C8B" w:rsidRDefault="002A4DDF" w:rsidP="009110ED">
            <w:pPr>
              <w:rPr>
                <w:rFonts w:ascii="Arial" w:hAnsi="Arial" w:cs="Arial"/>
                <w:sz w:val="12"/>
                <w:szCs w:val="12"/>
              </w:rPr>
            </w:pPr>
          </w:p>
        </w:tc>
      </w:tr>
      <w:tr w:rsidR="002A4DDF" w:rsidRPr="00937C8B" w14:paraId="11EA96F0" w14:textId="77777777" w:rsidTr="00935676">
        <w:trPr>
          <w:cantSplit/>
        </w:trPr>
        <w:tc>
          <w:tcPr>
            <w:tcW w:w="1696" w:type="dxa"/>
            <w:tcBorders>
              <w:left w:val="single" w:sz="4" w:space="0" w:color="auto"/>
            </w:tcBorders>
            <w:shd w:val="clear" w:color="auto" w:fill="auto"/>
          </w:tcPr>
          <w:p w14:paraId="322A6E6B" w14:textId="77777777" w:rsidR="002A4DDF" w:rsidRPr="00937C8B" w:rsidRDefault="002A4DDF" w:rsidP="009110ED">
            <w:pPr>
              <w:rPr>
                <w:rFonts w:ascii="Arial" w:hAnsi="Arial" w:cs="Arial"/>
                <w:sz w:val="12"/>
                <w:szCs w:val="12"/>
              </w:rPr>
            </w:pPr>
          </w:p>
        </w:tc>
        <w:tc>
          <w:tcPr>
            <w:tcW w:w="1843" w:type="dxa"/>
            <w:shd w:val="clear" w:color="auto" w:fill="auto"/>
          </w:tcPr>
          <w:p w14:paraId="20DAD2B8" w14:textId="77777777" w:rsidR="002A4DDF" w:rsidRPr="00937C8B" w:rsidRDefault="002A4DDF" w:rsidP="009110ED">
            <w:pPr>
              <w:rPr>
                <w:rFonts w:ascii="Arial" w:hAnsi="Arial" w:cs="Arial"/>
                <w:sz w:val="12"/>
                <w:szCs w:val="12"/>
              </w:rPr>
            </w:pPr>
          </w:p>
        </w:tc>
        <w:tc>
          <w:tcPr>
            <w:tcW w:w="2268" w:type="dxa"/>
            <w:shd w:val="clear" w:color="auto" w:fill="F2F2F2"/>
            <w:hideMark/>
          </w:tcPr>
          <w:p w14:paraId="05D29A24" w14:textId="77777777" w:rsidR="002A4DDF" w:rsidRPr="00937C8B" w:rsidRDefault="002A4DDF" w:rsidP="009110ED">
            <w:pPr>
              <w:rPr>
                <w:rFonts w:ascii="Arial" w:hAnsi="Arial" w:cs="Arial"/>
                <w:sz w:val="12"/>
                <w:szCs w:val="12"/>
              </w:rPr>
            </w:pPr>
            <w:r>
              <w:rPr>
                <w:rFonts w:ascii="Arial" w:hAnsi="Arial"/>
                <w:sz w:val="12"/>
                <w:szCs w:val="12"/>
              </w:rPr>
              <w:t>Aia</w:t>
            </w:r>
          </w:p>
        </w:tc>
        <w:tc>
          <w:tcPr>
            <w:tcW w:w="2268" w:type="dxa"/>
            <w:tcBorders>
              <w:right w:val="single" w:sz="4" w:space="0" w:color="auto"/>
            </w:tcBorders>
            <w:shd w:val="clear" w:color="auto" w:fill="D9D9D9"/>
            <w:hideMark/>
          </w:tcPr>
          <w:p w14:paraId="7B6FFA84" w14:textId="77777777" w:rsidR="002A4DDF" w:rsidRPr="00937C8B" w:rsidRDefault="002A4DDF" w:rsidP="009110ED">
            <w:pPr>
              <w:rPr>
                <w:rFonts w:ascii="Arial" w:hAnsi="Arial" w:cs="Arial"/>
                <w:sz w:val="12"/>
                <w:szCs w:val="12"/>
              </w:rPr>
            </w:pPr>
          </w:p>
        </w:tc>
      </w:tr>
      <w:tr w:rsidR="002A4DDF" w:rsidRPr="00937C8B" w14:paraId="5F51A2D7" w14:textId="77777777" w:rsidTr="00935676">
        <w:trPr>
          <w:cantSplit/>
        </w:trPr>
        <w:tc>
          <w:tcPr>
            <w:tcW w:w="1696" w:type="dxa"/>
            <w:tcBorders>
              <w:left w:val="single" w:sz="4" w:space="0" w:color="auto"/>
            </w:tcBorders>
            <w:shd w:val="clear" w:color="auto" w:fill="auto"/>
          </w:tcPr>
          <w:p w14:paraId="6FAD27C3" w14:textId="77777777" w:rsidR="002A4DDF" w:rsidRPr="00937C8B" w:rsidRDefault="002A4DDF" w:rsidP="009110ED">
            <w:pPr>
              <w:rPr>
                <w:rFonts w:ascii="Arial" w:hAnsi="Arial" w:cs="Arial"/>
                <w:sz w:val="12"/>
                <w:szCs w:val="12"/>
              </w:rPr>
            </w:pPr>
          </w:p>
        </w:tc>
        <w:tc>
          <w:tcPr>
            <w:tcW w:w="1843" w:type="dxa"/>
            <w:shd w:val="clear" w:color="auto" w:fill="auto"/>
          </w:tcPr>
          <w:p w14:paraId="60DB54FB" w14:textId="77777777" w:rsidR="002A4DDF" w:rsidRPr="00937C8B" w:rsidRDefault="002A4DDF" w:rsidP="009110ED">
            <w:pPr>
              <w:rPr>
                <w:rFonts w:ascii="Arial" w:hAnsi="Arial" w:cs="Arial"/>
                <w:sz w:val="12"/>
                <w:szCs w:val="12"/>
              </w:rPr>
            </w:pPr>
          </w:p>
        </w:tc>
        <w:tc>
          <w:tcPr>
            <w:tcW w:w="2268" w:type="dxa"/>
            <w:shd w:val="clear" w:color="auto" w:fill="F2F2F2"/>
            <w:hideMark/>
          </w:tcPr>
          <w:p w14:paraId="595805D0" w14:textId="77777777" w:rsidR="002A4DDF" w:rsidRPr="00937C8B" w:rsidRDefault="002A4DDF" w:rsidP="009110ED">
            <w:pPr>
              <w:rPr>
                <w:rFonts w:ascii="Arial" w:hAnsi="Arial" w:cs="Arial"/>
                <w:sz w:val="12"/>
                <w:szCs w:val="12"/>
              </w:rPr>
            </w:pPr>
            <w:r>
              <w:rPr>
                <w:rFonts w:ascii="Arial" w:hAnsi="Arial"/>
                <w:sz w:val="12"/>
                <w:szCs w:val="12"/>
              </w:rPr>
              <w:t>Aizarnazabal</w:t>
            </w:r>
          </w:p>
        </w:tc>
        <w:tc>
          <w:tcPr>
            <w:tcW w:w="2268" w:type="dxa"/>
            <w:tcBorders>
              <w:right w:val="single" w:sz="4" w:space="0" w:color="auto"/>
            </w:tcBorders>
            <w:shd w:val="clear" w:color="auto" w:fill="D9D9D9"/>
            <w:hideMark/>
          </w:tcPr>
          <w:p w14:paraId="20E3D43B" w14:textId="77777777" w:rsidR="002A4DDF" w:rsidRPr="00937C8B" w:rsidRDefault="002A4DDF" w:rsidP="009110ED">
            <w:pPr>
              <w:rPr>
                <w:rFonts w:ascii="Arial" w:hAnsi="Arial" w:cs="Arial"/>
                <w:sz w:val="12"/>
                <w:szCs w:val="12"/>
              </w:rPr>
            </w:pPr>
          </w:p>
        </w:tc>
      </w:tr>
      <w:tr w:rsidR="002A4DDF" w:rsidRPr="00937C8B" w14:paraId="066FE3D4" w14:textId="77777777" w:rsidTr="00935676">
        <w:trPr>
          <w:cantSplit/>
        </w:trPr>
        <w:tc>
          <w:tcPr>
            <w:tcW w:w="1696" w:type="dxa"/>
            <w:tcBorders>
              <w:left w:val="single" w:sz="4" w:space="0" w:color="auto"/>
            </w:tcBorders>
            <w:shd w:val="clear" w:color="auto" w:fill="auto"/>
          </w:tcPr>
          <w:p w14:paraId="59E0EFEA" w14:textId="77777777" w:rsidR="002A4DDF" w:rsidRPr="00937C8B" w:rsidRDefault="002A4DDF" w:rsidP="009110ED">
            <w:pPr>
              <w:rPr>
                <w:rFonts w:ascii="Arial" w:hAnsi="Arial" w:cs="Arial"/>
                <w:sz w:val="12"/>
                <w:szCs w:val="12"/>
              </w:rPr>
            </w:pPr>
          </w:p>
        </w:tc>
        <w:tc>
          <w:tcPr>
            <w:tcW w:w="1843" w:type="dxa"/>
            <w:shd w:val="clear" w:color="auto" w:fill="auto"/>
          </w:tcPr>
          <w:p w14:paraId="2560CDBC" w14:textId="77777777" w:rsidR="002A4DDF" w:rsidRPr="00937C8B" w:rsidRDefault="002A4DDF" w:rsidP="009110ED">
            <w:pPr>
              <w:rPr>
                <w:rFonts w:ascii="Arial" w:hAnsi="Arial" w:cs="Arial"/>
                <w:sz w:val="12"/>
                <w:szCs w:val="12"/>
              </w:rPr>
            </w:pPr>
          </w:p>
        </w:tc>
        <w:tc>
          <w:tcPr>
            <w:tcW w:w="2268" w:type="dxa"/>
            <w:shd w:val="clear" w:color="auto" w:fill="F2F2F2"/>
            <w:hideMark/>
          </w:tcPr>
          <w:p w14:paraId="0DC16417" w14:textId="77777777" w:rsidR="002A4DDF" w:rsidRPr="00937C8B" w:rsidRDefault="002A4DDF" w:rsidP="009110ED">
            <w:pPr>
              <w:rPr>
                <w:rFonts w:ascii="Arial" w:hAnsi="Arial" w:cs="Arial"/>
                <w:sz w:val="12"/>
                <w:szCs w:val="12"/>
              </w:rPr>
            </w:pPr>
            <w:r>
              <w:rPr>
                <w:rFonts w:ascii="Arial" w:hAnsi="Arial"/>
                <w:sz w:val="12"/>
                <w:szCs w:val="12"/>
              </w:rPr>
              <w:t>Albiztur</w:t>
            </w:r>
          </w:p>
        </w:tc>
        <w:tc>
          <w:tcPr>
            <w:tcW w:w="2268" w:type="dxa"/>
            <w:tcBorders>
              <w:right w:val="single" w:sz="4" w:space="0" w:color="auto"/>
            </w:tcBorders>
            <w:shd w:val="clear" w:color="auto" w:fill="D9D9D9"/>
            <w:hideMark/>
          </w:tcPr>
          <w:p w14:paraId="4F298213" w14:textId="77777777" w:rsidR="002A4DDF" w:rsidRPr="00937C8B" w:rsidRDefault="002A4DDF" w:rsidP="009110ED">
            <w:pPr>
              <w:rPr>
                <w:rFonts w:ascii="Arial" w:hAnsi="Arial" w:cs="Arial"/>
                <w:sz w:val="12"/>
                <w:szCs w:val="12"/>
              </w:rPr>
            </w:pPr>
          </w:p>
        </w:tc>
      </w:tr>
      <w:tr w:rsidR="002A4DDF" w:rsidRPr="00937C8B" w14:paraId="04708F0A" w14:textId="77777777" w:rsidTr="00935676">
        <w:trPr>
          <w:cantSplit/>
        </w:trPr>
        <w:tc>
          <w:tcPr>
            <w:tcW w:w="1696" w:type="dxa"/>
            <w:tcBorders>
              <w:left w:val="single" w:sz="4" w:space="0" w:color="auto"/>
            </w:tcBorders>
            <w:shd w:val="clear" w:color="auto" w:fill="auto"/>
          </w:tcPr>
          <w:p w14:paraId="0D83F617" w14:textId="77777777" w:rsidR="002A4DDF" w:rsidRPr="00937C8B" w:rsidRDefault="002A4DDF" w:rsidP="009110ED">
            <w:pPr>
              <w:rPr>
                <w:rFonts w:ascii="Arial" w:hAnsi="Arial" w:cs="Arial"/>
                <w:sz w:val="12"/>
                <w:szCs w:val="12"/>
              </w:rPr>
            </w:pPr>
          </w:p>
        </w:tc>
        <w:tc>
          <w:tcPr>
            <w:tcW w:w="1843" w:type="dxa"/>
            <w:shd w:val="clear" w:color="auto" w:fill="auto"/>
          </w:tcPr>
          <w:p w14:paraId="1A847B11" w14:textId="77777777" w:rsidR="002A4DDF" w:rsidRPr="00937C8B" w:rsidRDefault="002A4DDF" w:rsidP="009110ED">
            <w:pPr>
              <w:rPr>
                <w:rFonts w:ascii="Arial" w:hAnsi="Arial" w:cs="Arial"/>
                <w:sz w:val="12"/>
                <w:szCs w:val="12"/>
              </w:rPr>
            </w:pPr>
          </w:p>
        </w:tc>
        <w:tc>
          <w:tcPr>
            <w:tcW w:w="2268" w:type="dxa"/>
            <w:shd w:val="clear" w:color="auto" w:fill="F2F2F2"/>
            <w:hideMark/>
          </w:tcPr>
          <w:p w14:paraId="6772032E" w14:textId="77777777" w:rsidR="002A4DDF" w:rsidRPr="00937C8B" w:rsidRDefault="002A4DDF" w:rsidP="009110ED">
            <w:pPr>
              <w:rPr>
                <w:rFonts w:ascii="Arial" w:hAnsi="Arial" w:cs="Arial"/>
                <w:sz w:val="12"/>
                <w:szCs w:val="12"/>
              </w:rPr>
            </w:pPr>
            <w:r>
              <w:rPr>
                <w:rFonts w:ascii="Arial" w:hAnsi="Arial"/>
                <w:sz w:val="12"/>
                <w:szCs w:val="12"/>
              </w:rPr>
              <w:t>Alegia</w:t>
            </w:r>
          </w:p>
        </w:tc>
        <w:tc>
          <w:tcPr>
            <w:tcW w:w="2268" w:type="dxa"/>
            <w:tcBorders>
              <w:right w:val="single" w:sz="4" w:space="0" w:color="auto"/>
            </w:tcBorders>
            <w:shd w:val="clear" w:color="auto" w:fill="D9D9D9"/>
            <w:hideMark/>
          </w:tcPr>
          <w:p w14:paraId="1BF0EAE8" w14:textId="77777777" w:rsidR="002A4DDF" w:rsidRPr="00937C8B" w:rsidRDefault="002A4DDF" w:rsidP="009110ED">
            <w:pPr>
              <w:rPr>
                <w:rFonts w:ascii="Arial" w:hAnsi="Arial" w:cs="Arial"/>
                <w:sz w:val="12"/>
                <w:szCs w:val="12"/>
              </w:rPr>
            </w:pPr>
          </w:p>
        </w:tc>
      </w:tr>
      <w:tr w:rsidR="002A4DDF" w:rsidRPr="00937C8B" w14:paraId="567BC8ED" w14:textId="77777777" w:rsidTr="00935676">
        <w:trPr>
          <w:cantSplit/>
        </w:trPr>
        <w:tc>
          <w:tcPr>
            <w:tcW w:w="1696" w:type="dxa"/>
            <w:tcBorders>
              <w:left w:val="single" w:sz="4" w:space="0" w:color="auto"/>
            </w:tcBorders>
            <w:shd w:val="clear" w:color="auto" w:fill="auto"/>
          </w:tcPr>
          <w:p w14:paraId="6D2C346B" w14:textId="77777777" w:rsidR="002A4DDF" w:rsidRPr="00937C8B" w:rsidRDefault="002A4DDF" w:rsidP="009110ED">
            <w:pPr>
              <w:rPr>
                <w:rFonts w:ascii="Arial" w:hAnsi="Arial" w:cs="Arial"/>
                <w:sz w:val="12"/>
                <w:szCs w:val="12"/>
              </w:rPr>
            </w:pPr>
          </w:p>
        </w:tc>
        <w:tc>
          <w:tcPr>
            <w:tcW w:w="1843" w:type="dxa"/>
            <w:shd w:val="clear" w:color="auto" w:fill="auto"/>
          </w:tcPr>
          <w:p w14:paraId="53E3D924" w14:textId="77777777" w:rsidR="002A4DDF" w:rsidRPr="00937C8B" w:rsidRDefault="002A4DDF" w:rsidP="009110ED">
            <w:pPr>
              <w:rPr>
                <w:rFonts w:ascii="Arial" w:hAnsi="Arial" w:cs="Arial"/>
                <w:sz w:val="12"/>
                <w:szCs w:val="12"/>
              </w:rPr>
            </w:pPr>
          </w:p>
        </w:tc>
        <w:tc>
          <w:tcPr>
            <w:tcW w:w="2268" w:type="dxa"/>
            <w:shd w:val="clear" w:color="auto" w:fill="F2F2F2"/>
            <w:hideMark/>
          </w:tcPr>
          <w:p w14:paraId="670E260C" w14:textId="77777777" w:rsidR="002A4DDF" w:rsidRPr="00937C8B" w:rsidRDefault="002A4DDF" w:rsidP="009110ED">
            <w:pPr>
              <w:rPr>
                <w:rFonts w:ascii="Arial" w:hAnsi="Arial" w:cs="Arial"/>
                <w:sz w:val="12"/>
                <w:szCs w:val="12"/>
              </w:rPr>
            </w:pPr>
            <w:r>
              <w:rPr>
                <w:rFonts w:ascii="Arial" w:hAnsi="Arial"/>
                <w:sz w:val="12"/>
                <w:szCs w:val="12"/>
              </w:rPr>
              <w:t>Alkiza</w:t>
            </w:r>
          </w:p>
        </w:tc>
        <w:tc>
          <w:tcPr>
            <w:tcW w:w="2268" w:type="dxa"/>
            <w:tcBorders>
              <w:right w:val="single" w:sz="4" w:space="0" w:color="auto"/>
            </w:tcBorders>
            <w:shd w:val="clear" w:color="auto" w:fill="D9D9D9"/>
            <w:hideMark/>
          </w:tcPr>
          <w:p w14:paraId="24D690C0" w14:textId="77777777" w:rsidR="002A4DDF" w:rsidRPr="00937C8B" w:rsidRDefault="002A4DDF" w:rsidP="009110ED">
            <w:pPr>
              <w:rPr>
                <w:rFonts w:ascii="Arial" w:hAnsi="Arial" w:cs="Arial"/>
                <w:sz w:val="12"/>
                <w:szCs w:val="12"/>
              </w:rPr>
            </w:pPr>
          </w:p>
        </w:tc>
      </w:tr>
      <w:tr w:rsidR="002A4DDF" w:rsidRPr="00937C8B" w14:paraId="338ECC13" w14:textId="77777777" w:rsidTr="00935676">
        <w:trPr>
          <w:cantSplit/>
        </w:trPr>
        <w:tc>
          <w:tcPr>
            <w:tcW w:w="1696" w:type="dxa"/>
            <w:tcBorders>
              <w:left w:val="single" w:sz="4" w:space="0" w:color="auto"/>
            </w:tcBorders>
            <w:shd w:val="clear" w:color="auto" w:fill="auto"/>
          </w:tcPr>
          <w:p w14:paraId="65D80842" w14:textId="77777777" w:rsidR="002A4DDF" w:rsidRPr="00937C8B" w:rsidRDefault="002A4DDF" w:rsidP="009110ED">
            <w:pPr>
              <w:rPr>
                <w:rFonts w:ascii="Arial" w:hAnsi="Arial" w:cs="Arial"/>
                <w:sz w:val="12"/>
                <w:szCs w:val="12"/>
              </w:rPr>
            </w:pPr>
          </w:p>
        </w:tc>
        <w:tc>
          <w:tcPr>
            <w:tcW w:w="1843" w:type="dxa"/>
            <w:shd w:val="clear" w:color="auto" w:fill="auto"/>
          </w:tcPr>
          <w:p w14:paraId="2BC1B5DA" w14:textId="77777777" w:rsidR="002A4DDF" w:rsidRPr="00937C8B" w:rsidRDefault="002A4DDF" w:rsidP="009110ED">
            <w:pPr>
              <w:rPr>
                <w:rFonts w:ascii="Arial" w:hAnsi="Arial" w:cs="Arial"/>
                <w:sz w:val="12"/>
                <w:szCs w:val="12"/>
              </w:rPr>
            </w:pPr>
          </w:p>
        </w:tc>
        <w:tc>
          <w:tcPr>
            <w:tcW w:w="2268" w:type="dxa"/>
            <w:shd w:val="clear" w:color="auto" w:fill="F2F2F2"/>
            <w:hideMark/>
          </w:tcPr>
          <w:p w14:paraId="416A38EC" w14:textId="77777777" w:rsidR="002A4DDF" w:rsidRPr="00937C8B" w:rsidRDefault="002A4DDF" w:rsidP="009110ED">
            <w:pPr>
              <w:rPr>
                <w:rFonts w:ascii="Arial" w:hAnsi="Arial" w:cs="Arial"/>
                <w:sz w:val="12"/>
                <w:szCs w:val="12"/>
              </w:rPr>
            </w:pPr>
            <w:r>
              <w:rPr>
                <w:rFonts w:ascii="Arial" w:hAnsi="Arial"/>
                <w:sz w:val="12"/>
                <w:szCs w:val="12"/>
              </w:rPr>
              <w:t>Altzaga</w:t>
            </w:r>
          </w:p>
        </w:tc>
        <w:tc>
          <w:tcPr>
            <w:tcW w:w="2268" w:type="dxa"/>
            <w:tcBorders>
              <w:right w:val="single" w:sz="4" w:space="0" w:color="auto"/>
            </w:tcBorders>
            <w:shd w:val="clear" w:color="auto" w:fill="D9D9D9"/>
            <w:hideMark/>
          </w:tcPr>
          <w:p w14:paraId="23168F93" w14:textId="77777777" w:rsidR="002A4DDF" w:rsidRPr="00937C8B" w:rsidRDefault="002A4DDF" w:rsidP="009110ED">
            <w:pPr>
              <w:rPr>
                <w:rFonts w:ascii="Arial" w:hAnsi="Arial" w:cs="Arial"/>
                <w:sz w:val="12"/>
                <w:szCs w:val="12"/>
              </w:rPr>
            </w:pPr>
          </w:p>
        </w:tc>
      </w:tr>
      <w:tr w:rsidR="002A4DDF" w:rsidRPr="00937C8B" w14:paraId="290D7D9A" w14:textId="77777777" w:rsidTr="00935676">
        <w:trPr>
          <w:cantSplit/>
        </w:trPr>
        <w:tc>
          <w:tcPr>
            <w:tcW w:w="1696" w:type="dxa"/>
            <w:tcBorders>
              <w:left w:val="single" w:sz="4" w:space="0" w:color="auto"/>
            </w:tcBorders>
            <w:shd w:val="clear" w:color="auto" w:fill="auto"/>
          </w:tcPr>
          <w:p w14:paraId="0837CE4C" w14:textId="77777777" w:rsidR="002A4DDF" w:rsidRPr="00937C8B" w:rsidRDefault="002A4DDF" w:rsidP="009110ED">
            <w:pPr>
              <w:rPr>
                <w:rFonts w:ascii="Arial" w:hAnsi="Arial" w:cs="Arial"/>
                <w:sz w:val="12"/>
                <w:szCs w:val="12"/>
              </w:rPr>
            </w:pPr>
          </w:p>
        </w:tc>
        <w:tc>
          <w:tcPr>
            <w:tcW w:w="1843" w:type="dxa"/>
            <w:shd w:val="clear" w:color="auto" w:fill="auto"/>
          </w:tcPr>
          <w:p w14:paraId="5FF1E178" w14:textId="77777777" w:rsidR="002A4DDF" w:rsidRPr="00937C8B" w:rsidRDefault="002A4DDF" w:rsidP="009110ED">
            <w:pPr>
              <w:rPr>
                <w:rFonts w:ascii="Arial" w:hAnsi="Arial" w:cs="Arial"/>
                <w:sz w:val="12"/>
                <w:szCs w:val="12"/>
              </w:rPr>
            </w:pPr>
          </w:p>
        </w:tc>
        <w:tc>
          <w:tcPr>
            <w:tcW w:w="2268" w:type="dxa"/>
            <w:shd w:val="clear" w:color="auto" w:fill="F2F2F2"/>
            <w:hideMark/>
          </w:tcPr>
          <w:p w14:paraId="5D63AAB5" w14:textId="77777777" w:rsidR="002A4DDF" w:rsidRPr="00937C8B" w:rsidRDefault="002A4DDF" w:rsidP="009110ED">
            <w:pPr>
              <w:rPr>
                <w:rFonts w:ascii="Arial" w:hAnsi="Arial" w:cs="Arial"/>
                <w:sz w:val="12"/>
                <w:szCs w:val="12"/>
              </w:rPr>
            </w:pPr>
            <w:r>
              <w:rPr>
                <w:rFonts w:ascii="Arial" w:hAnsi="Arial"/>
                <w:sz w:val="12"/>
                <w:szCs w:val="12"/>
              </w:rPr>
              <w:t>Altzo</w:t>
            </w:r>
          </w:p>
        </w:tc>
        <w:tc>
          <w:tcPr>
            <w:tcW w:w="2268" w:type="dxa"/>
            <w:tcBorders>
              <w:right w:val="single" w:sz="4" w:space="0" w:color="auto"/>
            </w:tcBorders>
            <w:shd w:val="clear" w:color="auto" w:fill="D9D9D9"/>
            <w:hideMark/>
          </w:tcPr>
          <w:p w14:paraId="5398D418" w14:textId="77777777" w:rsidR="002A4DDF" w:rsidRPr="00937C8B" w:rsidRDefault="002A4DDF" w:rsidP="009110ED">
            <w:pPr>
              <w:rPr>
                <w:rFonts w:ascii="Arial" w:hAnsi="Arial" w:cs="Arial"/>
                <w:sz w:val="12"/>
                <w:szCs w:val="12"/>
              </w:rPr>
            </w:pPr>
          </w:p>
        </w:tc>
      </w:tr>
      <w:tr w:rsidR="002A4DDF" w:rsidRPr="00937C8B" w14:paraId="3BA24C99" w14:textId="77777777" w:rsidTr="00935676">
        <w:trPr>
          <w:cantSplit/>
        </w:trPr>
        <w:tc>
          <w:tcPr>
            <w:tcW w:w="1696" w:type="dxa"/>
            <w:tcBorders>
              <w:left w:val="single" w:sz="4" w:space="0" w:color="auto"/>
            </w:tcBorders>
            <w:shd w:val="clear" w:color="auto" w:fill="auto"/>
          </w:tcPr>
          <w:p w14:paraId="05985178" w14:textId="77777777" w:rsidR="002A4DDF" w:rsidRPr="00937C8B" w:rsidRDefault="002A4DDF" w:rsidP="009110ED">
            <w:pPr>
              <w:rPr>
                <w:rFonts w:ascii="Arial" w:hAnsi="Arial" w:cs="Arial"/>
                <w:sz w:val="12"/>
                <w:szCs w:val="12"/>
              </w:rPr>
            </w:pPr>
          </w:p>
        </w:tc>
        <w:tc>
          <w:tcPr>
            <w:tcW w:w="1843" w:type="dxa"/>
            <w:shd w:val="clear" w:color="auto" w:fill="auto"/>
          </w:tcPr>
          <w:p w14:paraId="3F7A17E0" w14:textId="77777777" w:rsidR="002A4DDF" w:rsidRPr="00937C8B" w:rsidRDefault="002A4DDF" w:rsidP="009110ED">
            <w:pPr>
              <w:rPr>
                <w:rFonts w:ascii="Arial" w:hAnsi="Arial" w:cs="Arial"/>
                <w:sz w:val="12"/>
                <w:szCs w:val="12"/>
              </w:rPr>
            </w:pPr>
          </w:p>
        </w:tc>
        <w:tc>
          <w:tcPr>
            <w:tcW w:w="2268" w:type="dxa"/>
            <w:shd w:val="clear" w:color="auto" w:fill="F2F2F2"/>
            <w:hideMark/>
          </w:tcPr>
          <w:p w14:paraId="49F2B774" w14:textId="77777777" w:rsidR="002A4DDF" w:rsidRPr="00937C8B" w:rsidRDefault="002A4DDF" w:rsidP="009110ED">
            <w:pPr>
              <w:rPr>
                <w:rFonts w:ascii="Arial" w:hAnsi="Arial" w:cs="Arial"/>
                <w:sz w:val="12"/>
                <w:szCs w:val="12"/>
              </w:rPr>
            </w:pPr>
            <w:r>
              <w:rPr>
                <w:rFonts w:ascii="Arial" w:hAnsi="Arial"/>
                <w:sz w:val="12"/>
                <w:szCs w:val="12"/>
              </w:rPr>
              <w:t>Amezketa</w:t>
            </w:r>
          </w:p>
        </w:tc>
        <w:tc>
          <w:tcPr>
            <w:tcW w:w="2268" w:type="dxa"/>
            <w:tcBorders>
              <w:right w:val="single" w:sz="4" w:space="0" w:color="auto"/>
            </w:tcBorders>
            <w:shd w:val="clear" w:color="auto" w:fill="D9D9D9"/>
            <w:hideMark/>
          </w:tcPr>
          <w:p w14:paraId="7F74B720" w14:textId="77777777" w:rsidR="002A4DDF" w:rsidRPr="00937C8B" w:rsidRDefault="002A4DDF" w:rsidP="009110ED">
            <w:pPr>
              <w:rPr>
                <w:rFonts w:ascii="Arial" w:hAnsi="Arial" w:cs="Arial"/>
                <w:sz w:val="12"/>
                <w:szCs w:val="12"/>
              </w:rPr>
            </w:pPr>
          </w:p>
        </w:tc>
      </w:tr>
      <w:tr w:rsidR="002A4DDF" w:rsidRPr="00937C8B" w14:paraId="7D755710" w14:textId="77777777" w:rsidTr="00935676">
        <w:trPr>
          <w:cantSplit/>
        </w:trPr>
        <w:tc>
          <w:tcPr>
            <w:tcW w:w="1696" w:type="dxa"/>
            <w:tcBorders>
              <w:left w:val="single" w:sz="4" w:space="0" w:color="auto"/>
            </w:tcBorders>
            <w:shd w:val="clear" w:color="auto" w:fill="auto"/>
          </w:tcPr>
          <w:p w14:paraId="5C615ABA" w14:textId="77777777" w:rsidR="002A4DDF" w:rsidRPr="00937C8B" w:rsidRDefault="002A4DDF" w:rsidP="009110ED">
            <w:pPr>
              <w:rPr>
                <w:rFonts w:ascii="Arial" w:hAnsi="Arial" w:cs="Arial"/>
                <w:sz w:val="12"/>
                <w:szCs w:val="12"/>
              </w:rPr>
            </w:pPr>
          </w:p>
        </w:tc>
        <w:tc>
          <w:tcPr>
            <w:tcW w:w="1843" w:type="dxa"/>
            <w:shd w:val="clear" w:color="auto" w:fill="auto"/>
          </w:tcPr>
          <w:p w14:paraId="1DE286E9" w14:textId="77777777" w:rsidR="002A4DDF" w:rsidRPr="00937C8B" w:rsidRDefault="002A4DDF" w:rsidP="009110ED">
            <w:pPr>
              <w:rPr>
                <w:rFonts w:ascii="Arial" w:hAnsi="Arial" w:cs="Arial"/>
                <w:sz w:val="12"/>
                <w:szCs w:val="12"/>
              </w:rPr>
            </w:pPr>
          </w:p>
        </w:tc>
        <w:tc>
          <w:tcPr>
            <w:tcW w:w="2268" w:type="dxa"/>
            <w:shd w:val="clear" w:color="auto" w:fill="F2F2F2"/>
            <w:hideMark/>
          </w:tcPr>
          <w:p w14:paraId="165E5D5B" w14:textId="77777777" w:rsidR="002A4DDF" w:rsidRPr="00937C8B" w:rsidRDefault="002A4DDF" w:rsidP="009110ED">
            <w:pPr>
              <w:rPr>
                <w:rFonts w:ascii="Arial" w:hAnsi="Arial" w:cs="Arial"/>
                <w:sz w:val="12"/>
                <w:szCs w:val="12"/>
              </w:rPr>
            </w:pPr>
            <w:r>
              <w:rPr>
                <w:rFonts w:ascii="Arial" w:hAnsi="Arial"/>
                <w:sz w:val="12"/>
                <w:szCs w:val="12"/>
              </w:rPr>
              <w:t>Anoeta</w:t>
            </w:r>
          </w:p>
        </w:tc>
        <w:tc>
          <w:tcPr>
            <w:tcW w:w="2268" w:type="dxa"/>
            <w:tcBorders>
              <w:right w:val="single" w:sz="4" w:space="0" w:color="auto"/>
            </w:tcBorders>
            <w:shd w:val="clear" w:color="auto" w:fill="D9D9D9"/>
            <w:hideMark/>
          </w:tcPr>
          <w:p w14:paraId="3D303530" w14:textId="77777777" w:rsidR="002A4DDF" w:rsidRPr="00937C8B" w:rsidRDefault="002A4DDF" w:rsidP="009110ED">
            <w:pPr>
              <w:rPr>
                <w:rFonts w:ascii="Arial" w:hAnsi="Arial" w:cs="Arial"/>
                <w:sz w:val="12"/>
                <w:szCs w:val="12"/>
              </w:rPr>
            </w:pPr>
          </w:p>
        </w:tc>
      </w:tr>
      <w:tr w:rsidR="002A4DDF" w:rsidRPr="00937C8B" w14:paraId="4657F9BE" w14:textId="77777777" w:rsidTr="00935676">
        <w:trPr>
          <w:cantSplit/>
        </w:trPr>
        <w:tc>
          <w:tcPr>
            <w:tcW w:w="1696" w:type="dxa"/>
            <w:tcBorders>
              <w:left w:val="single" w:sz="4" w:space="0" w:color="auto"/>
            </w:tcBorders>
            <w:shd w:val="clear" w:color="auto" w:fill="auto"/>
          </w:tcPr>
          <w:p w14:paraId="1999FED8" w14:textId="77777777" w:rsidR="002A4DDF" w:rsidRPr="00937C8B" w:rsidRDefault="002A4DDF" w:rsidP="009110ED">
            <w:pPr>
              <w:rPr>
                <w:rFonts w:ascii="Arial" w:hAnsi="Arial" w:cs="Arial"/>
                <w:sz w:val="12"/>
                <w:szCs w:val="12"/>
              </w:rPr>
            </w:pPr>
          </w:p>
        </w:tc>
        <w:tc>
          <w:tcPr>
            <w:tcW w:w="1843" w:type="dxa"/>
            <w:shd w:val="clear" w:color="auto" w:fill="auto"/>
          </w:tcPr>
          <w:p w14:paraId="43D26C06" w14:textId="77777777" w:rsidR="002A4DDF" w:rsidRPr="00937C8B" w:rsidRDefault="002A4DDF" w:rsidP="009110ED">
            <w:pPr>
              <w:rPr>
                <w:rFonts w:ascii="Arial" w:hAnsi="Arial" w:cs="Arial"/>
                <w:sz w:val="12"/>
                <w:szCs w:val="12"/>
              </w:rPr>
            </w:pPr>
          </w:p>
        </w:tc>
        <w:tc>
          <w:tcPr>
            <w:tcW w:w="2268" w:type="dxa"/>
            <w:shd w:val="clear" w:color="auto" w:fill="F2F2F2"/>
            <w:hideMark/>
          </w:tcPr>
          <w:p w14:paraId="7A870DEC" w14:textId="77777777" w:rsidR="002A4DDF" w:rsidRPr="00937C8B" w:rsidRDefault="002A4DDF" w:rsidP="009110ED">
            <w:pPr>
              <w:rPr>
                <w:rFonts w:ascii="Arial" w:hAnsi="Arial" w:cs="Arial"/>
                <w:sz w:val="12"/>
                <w:szCs w:val="12"/>
              </w:rPr>
            </w:pPr>
            <w:r>
              <w:rPr>
                <w:rFonts w:ascii="Arial" w:hAnsi="Arial"/>
                <w:sz w:val="12"/>
                <w:szCs w:val="12"/>
              </w:rPr>
              <w:t>Arama</w:t>
            </w:r>
          </w:p>
        </w:tc>
        <w:tc>
          <w:tcPr>
            <w:tcW w:w="2268" w:type="dxa"/>
            <w:tcBorders>
              <w:right w:val="single" w:sz="4" w:space="0" w:color="auto"/>
            </w:tcBorders>
            <w:shd w:val="clear" w:color="auto" w:fill="D9D9D9"/>
            <w:hideMark/>
          </w:tcPr>
          <w:p w14:paraId="2A2E1E95" w14:textId="77777777" w:rsidR="002A4DDF" w:rsidRPr="00937C8B" w:rsidRDefault="002A4DDF" w:rsidP="009110ED">
            <w:pPr>
              <w:rPr>
                <w:rFonts w:ascii="Arial" w:hAnsi="Arial" w:cs="Arial"/>
                <w:sz w:val="12"/>
                <w:szCs w:val="12"/>
              </w:rPr>
            </w:pPr>
          </w:p>
        </w:tc>
      </w:tr>
      <w:tr w:rsidR="002A4DDF" w:rsidRPr="00937C8B" w14:paraId="3A511858" w14:textId="77777777" w:rsidTr="00935676">
        <w:trPr>
          <w:cantSplit/>
        </w:trPr>
        <w:tc>
          <w:tcPr>
            <w:tcW w:w="1696" w:type="dxa"/>
            <w:tcBorders>
              <w:left w:val="single" w:sz="4" w:space="0" w:color="auto"/>
            </w:tcBorders>
            <w:shd w:val="clear" w:color="auto" w:fill="auto"/>
          </w:tcPr>
          <w:p w14:paraId="3814D008" w14:textId="77777777" w:rsidR="002A4DDF" w:rsidRPr="00937C8B" w:rsidRDefault="002A4DDF" w:rsidP="009110ED">
            <w:pPr>
              <w:rPr>
                <w:rFonts w:ascii="Arial" w:hAnsi="Arial" w:cs="Arial"/>
                <w:sz w:val="12"/>
                <w:szCs w:val="12"/>
              </w:rPr>
            </w:pPr>
          </w:p>
        </w:tc>
        <w:tc>
          <w:tcPr>
            <w:tcW w:w="1843" w:type="dxa"/>
            <w:shd w:val="clear" w:color="auto" w:fill="auto"/>
          </w:tcPr>
          <w:p w14:paraId="117D8CDD" w14:textId="77777777" w:rsidR="002A4DDF" w:rsidRPr="00937C8B" w:rsidRDefault="002A4DDF" w:rsidP="009110ED">
            <w:pPr>
              <w:rPr>
                <w:rFonts w:ascii="Arial" w:hAnsi="Arial" w:cs="Arial"/>
                <w:sz w:val="12"/>
                <w:szCs w:val="12"/>
              </w:rPr>
            </w:pPr>
          </w:p>
        </w:tc>
        <w:tc>
          <w:tcPr>
            <w:tcW w:w="2268" w:type="dxa"/>
            <w:shd w:val="clear" w:color="auto" w:fill="F2F2F2"/>
            <w:hideMark/>
          </w:tcPr>
          <w:p w14:paraId="1891B87A" w14:textId="77777777" w:rsidR="002A4DDF" w:rsidRPr="00937C8B" w:rsidRDefault="002A4DDF" w:rsidP="009110ED">
            <w:pPr>
              <w:rPr>
                <w:rFonts w:ascii="Arial" w:hAnsi="Arial" w:cs="Arial"/>
                <w:sz w:val="12"/>
                <w:szCs w:val="12"/>
              </w:rPr>
            </w:pPr>
            <w:r>
              <w:rPr>
                <w:rFonts w:ascii="Arial" w:hAnsi="Arial"/>
                <w:sz w:val="12"/>
                <w:szCs w:val="12"/>
              </w:rPr>
              <w:t>Aretxabaleta</w:t>
            </w:r>
          </w:p>
        </w:tc>
        <w:tc>
          <w:tcPr>
            <w:tcW w:w="2268" w:type="dxa"/>
            <w:tcBorders>
              <w:right w:val="single" w:sz="4" w:space="0" w:color="auto"/>
            </w:tcBorders>
            <w:shd w:val="clear" w:color="auto" w:fill="D9D9D9"/>
            <w:hideMark/>
          </w:tcPr>
          <w:p w14:paraId="295EF105" w14:textId="77777777" w:rsidR="002A4DDF" w:rsidRPr="00937C8B" w:rsidRDefault="002A4DDF" w:rsidP="009110ED">
            <w:pPr>
              <w:rPr>
                <w:rFonts w:ascii="Arial" w:hAnsi="Arial" w:cs="Arial"/>
                <w:sz w:val="12"/>
                <w:szCs w:val="12"/>
              </w:rPr>
            </w:pPr>
          </w:p>
        </w:tc>
      </w:tr>
      <w:tr w:rsidR="002A4DDF" w:rsidRPr="00937C8B" w14:paraId="5CC43367" w14:textId="77777777" w:rsidTr="00935676">
        <w:trPr>
          <w:cantSplit/>
        </w:trPr>
        <w:tc>
          <w:tcPr>
            <w:tcW w:w="1696" w:type="dxa"/>
            <w:tcBorders>
              <w:left w:val="single" w:sz="4" w:space="0" w:color="auto"/>
            </w:tcBorders>
            <w:shd w:val="clear" w:color="auto" w:fill="auto"/>
          </w:tcPr>
          <w:p w14:paraId="541FC567" w14:textId="77777777" w:rsidR="002A4DDF" w:rsidRPr="00937C8B" w:rsidRDefault="002A4DDF" w:rsidP="009110ED">
            <w:pPr>
              <w:rPr>
                <w:rFonts w:ascii="Arial" w:hAnsi="Arial" w:cs="Arial"/>
                <w:sz w:val="12"/>
                <w:szCs w:val="12"/>
              </w:rPr>
            </w:pPr>
          </w:p>
        </w:tc>
        <w:tc>
          <w:tcPr>
            <w:tcW w:w="1843" w:type="dxa"/>
            <w:shd w:val="clear" w:color="auto" w:fill="auto"/>
          </w:tcPr>
          <w:p w14:paraId="61E4EDA9" w14:textId="77777777" w:rsidR="002A4DDF" w:rsidRPr="00937C8B" w:rsidRDefault="002A4DDF" w:rsidP="009110ED">
            <w:pPr>
              <w:rPr>
                <w:rFonts w:ascii="Arial" w:hAnsi="Arial" w:cs="Arial"/>
                <w:sz w:val="12"/>
                <w:szCs w:val="12"/>
              </w:rPr>
            </w:pPr>
          </w:p>
        </w:tc>
        <w:tc>
          <w:tcPr>
            <w:tcW w:w="2268" w:type="dxa"/>
            <w:shd w:val="clear" w:color="auto" w:fill="F2F2F2"/>
            <w:hideMark/>
          </w:tcPr>
          <w:p w14:paraId="267E6628" w14:textId="77777777" w:rsidR="002A4DDF" w:rsidRPr="00937C8B" w:rsidRDefault="002A4DDF" w:rsidP="009110ED">
            <w:pPr>
              <w:rPr>
                <w:rFonts w:ascii="Arial" w:hAnsi="Arial" w:cs="Arial"/>
                <w:sz w:val="12"/>
                <w:szCs w:val="12"/>
              </w:rPr>
            </w:pPr>
            <w:r>
              <w:rPr>
                <w:rFonts w:ascii="Arial" w:hAnsi="Arial"/>
                <w:sz w:val="12"/>
                <w:szCs w:val="12"/>
              </w:rPr>
              <w:t>Arrasate/Mondragón</w:t>
            </w:r>
          </w:p>
        </w:tc>
        <w:tc>
          <w:tcPr>
            <w:tcW w:w="2268" w:type="dxa"/>
            <w:tcBorders>
              <w:right w:val="single" w:sz="4" w:space="0" w:color="auto"/>
            </w:tcBorders>
            <w:shd w:val="clear" w:color="auto" w:fill="D9D9D9"/>
            <w:hideMark/>
          </w:tcPr>
          <w:p w14:paraId="5A21C660" w14:textId="77777777" w:rsidR="002A4DDF" w:rsidRPr="00937C8B" w:rsidRDefault="002A4DDF" w:rsidP="009110ED">
            <w:pPr>
              <w:rPr>
                <w:rFonts w:ascii="Arial" w:hAnsi="Arial" w:cs="Arial"/>
                <w:sz w:val="12"/>
                <w:szCs w:val="12"/>
              </w:rPr>
            </w:pPr>
          </w:p>
        </w:tc>
      </w:tr>
      <w:tr w:rsidR="002A4DDF" w:rsidRPr="00937C8B" w14:paraId="0A549F77" w14:textId="77777777" w:rsidTr="00935676">
        <w:trPr>
          <w:cantSplit/>
        </w:trPr>
        <w:tc>
          <w:tcPr>
            <w:tcW w:w="1696" w:type="dxa"/>
            <w:tcBorders>
              <w:left w:val="single" w:sz="4" w:space="0" w:color="auto"/>
            </w:tcBorders>
            <w:shd w:val="clear" w:color="auto" w:fill="auto"/>
          </w:tcPr>
          <w:p w14:paraId="6DF4F126" w14:textId="77777777" w:rsidR="002A4DDF" w:rsidRPr="00937C8B" w:rsidRDefault="002A4DDF" w:rsidP="009110ED">
            <w:pPr>
              <w:rPr>
                <w:rFonts w:ascii="Arial" w:hAnsi="Arial" w:cs="Arial"/>
                <w:sz w:val="12"/>
                <w:szCs w:val="12"/>
              </w:rPr>
            </w:pPr>
          </w:p>
        </w:tc>
        <w:tc>
          <w:tcPr>
            <w:tcW w:w="1843" w:type="dxa"/>
            <w:shd w:val="clear" w:color="auto" w:fill="auto"/>
          </w:tcPr>
          <w:p w14:paraId="68D42CDF" w14:textId="77777777" w:rsidR="002A4DDF" w:rsidRPr="00937C8B" w:rsidRDefault="002A4DDF" w:rsidP="009110ED">
            <w:pPr>
              <w:rPr>
                <w:rFonts w:ascii="Arial" w:hAnsi="Arial" w:cs="Arial"/>
                <w:sz w:val="12"/>
                <w:szCs w:val="12"/>
              </w:rPr>
            </w:pPr>
          </w:p>
        </w:tc>
        <w:tc>
          <w:tcPr>
            <w:tcW w:w="2268" w:type="dxa"/>
            <w:shd w:val="clear" w:color="auto" w:fill="F2F2F2"/>
            <w:hideMark/>
          </w:tcPr>
          <w:p w14:paraId="2ECA60C6" w14:textId="77777777" w:rsidR="002A4DDF" w:rsidRPr="00937C8B" w:rsidRDefault="002A4DDF" w:rsidP="009110ED">
            <w:pPr>
              <w:rPr>
                <w:rFonts w:ascii="Arial" w:hAnsi="Arial" w:cs="Arial"/>
                <w:sz w:val="12"/>
                <w:szCs w:val="12"/>
              </w:rPr>
            </w:pPr>
            <w:r>
              <w:rPr>
                <w:rFonts w:ascii="Arial" w:hAnsi="Arial"/>
                <w:sz w:val="12"/>
                <w:szCs w:val="12"/>
              </w:rPr>
              <w:t>Asteasu</w:t>
            </w:r>
          </w:p>
        </w:tc>
        <w:tc>
          <w:tcPr>
            <w:tcW w:w="2268" w:type="dxa"/>
            <w:tcBorders>
              <w:right w:val="single" w:sz="4" w:space="0" w:color="auto"/>
            </w:tcBorders>
            <w:shd w:val="clear" w:color="auto" w:fill="D9D9D9"/>
            <w:hideMark/>
          </w:tcPr>
          <w:p w14:paraId="24EF45C7" w14:textId="77777777" w:rsidR="002A4DDF" w:rsidRPr="00937C8B" w:rsidRDefault="002A4DDF" w:rsidP="009110ED">
            <w:pPr>
              <w:rPr>
                <w:rFonts w:ascii="Arial" w:hAnsi="Arial" w:cs="Arial"/>
                <w:sz w:val="12"/>
                <w:szCs w:val="12"/>
              </w:rPr>
            </w:pPr>
          </w:p>
        </w:tc>
      </w:tr>
      <w:tr w:rsidR="002A4DDF" w:rsidRPr="00937C8B" w14:paraId="47E6F06C" w14:textId="77777777" w:rsidTr="00935676">
        <w:trPr>
          <w:cantSplit/>
        </w:trPr>
        <w:tc>
          <w:tcPr>
            <w:tcW w:w="1696" w:type="dxa"/>
            <w:tcBorders>
              <w:left w:val="single" w:sz="4" w:space="0" w:color="auto"/>
            </w:tcBorders>
            <w:shd w:val="clear" w:color="auto" w:fill="auto"/>
          </w:tcPr>
          <w:p w14:paraId="6B76463C" w14:textId="77777777" w:rsidR="002A4DDF" w:rsidRPr="00937C8B" w:rsidRDefault="002A4DDF" w:rsidP="009110ED">
            <w:pPr>
              <w:rPr>
                <w:rFonts w:ascii="Arial" w:hAnsi="Arial" w:cs="Arial"/>
                <w:sz w:val="12"/>
                <w:szCs w:val="12"/>
              </w:rPr>
            </w:pPr>
          </w:p>
        </w:tc>
        <w:tc>
          <w:tcPr>
            <w:tcW w:w="1843" w:type="dxa"/>
            <w:shd w:val="clear" w:color="auto" w:fill="auto"/>
          </w:tcPr>
          <w:p w14:paraId="337159DE" w14:textId="77777777" w:rsidR="002A4DDF" w:rsidRPr="00937C8B" w:rsidRDefault="002A4DDF" w:rsidP="009110ED">
            <w:pPr>
              <w:rPr>
                <w:rFonts w:ascii="Arial" w:hAnsi="Arial" w:cs="Arial"/>
                <w:sz w:val="12"/>
                <w:szCs w:val="12"/>
              </w:rPr>
            </w:pPr>
          </w:p>
        </w:tc>
        <w:tc>
          <w:tcPr>
            <w:tcW w:w="2268" w:type="dxa"/>
            <w:shd w:val="clear" w:color="auto" w:fill="F2F2F2"/>
            <w:hideMark/>
          </w:tcPr>
          <w:p w14:paraId="1E916D0C" w14:textId="77777777" w:rsidR="002A4DDF" w:rsidRPr="00937C8B" w:rsidRDefault="002A4DDF" w:rsidP="009110ED">
            <w:pPr>
              <w:rPr>
                <w:rFonts w:ascii="Arial" w:hAnsi="Arial" w:cs="Arial"/>
                <w:sz w:val="12"/>
                <w:szCs w:val="12"/>
              </w:rPr>
            </w:pPr>
            <w:r>
              <w:rPr>
                <w:rFonts w:ascii="Arial" w:hAnsi="Arial"/>
                <w:sz w:val="12"/>
                <w:szCs w:val="12"/>
              </w:rPr>
              <w:t>Ataun</w:t>
            </w:r>
          </w:p>
        </w:tc>
        <w:tc>
          <w:tcPr>
            <w:tcW w:w="2268" w:type="dxa"/>
            <w:tcBorders>
              <w:right w:val="single" w:sz="4" w:space="0" w:color="auto"/>
            </w:tcBorders>
            <w:shd w:val="clear" w:color="auto" w:fill="D9D9D9"/>
            <w:hideMark/>
          </w:tcPr>
          <w:p w14:paraId="4C111F34" w14:textId="77777777" w:rsidR="002A4DDF" w:rsidRPr="00937C8B" w:rsidRDefault="002A4DDF" w:rsidP="009110ED">
            <w:pPr>
              <w:rPr>
                <w:rFonts w:ascii="Arial" w:hAnsi="Arial" w:cs="Arial"/>
                <w:sz w:val="12"/>
                <w:szCs w:val="12"/>
              </w:rPr>
            </w:pPr>
          </w:p>
        </w:tc>
      </w:tr>
      <w:tr w:rsidR="002A4DDF" w:rsidRPr="00937C8B" w14:paraId="4C75EE7C" w14:textId="77777777" w:rsidTr="00935676">
        <w:trPr>
          <w:cantSplit/>
        </w:trPr>
        <w:tc>
          <w:tcPr>
            <w:tcW w:w="1696" w:type="dxa"/>
            <w:tcBorders>
              <w:left w:val="single" w:sz="4" w:space="0" w:color="auto"/>
            </w:tcBorders>
            <w:shd w:val="clear" w:color="auto" w:fill="auto"/>
          </w:tcPr>
          <w:p w14:paraId="01A2339C" w14:textId="77777777" w:rsidR="002A4DDF" w:rsidRPr="00937C8B" w:rsidRDefault="002A4DDF" w:rsidP="009110ED">
            <w:pPr>
              <w:rPr>
                <w:rFonts w:ascii="Arial" w:hAnsi="Arial" w:cs="Arial"/>
                <w:sz w:val="12"/>
                <w:szCs w:val="12"/>
              </w:rPr>
            </w:pPr>
          </w:p>
        </w:tc>
        <w:tc>
          <w:tcPr>
            <w:tcW w:w="1843" w:type="dxa"/>
            <w:shd w:val="clear" w:color="auto" w:fill="auto"/>
          </w:tcPr>
          <w:p w14:paraId="46A28904" w14:textId="77777777" w:rsidR="002A4DDF" w:rsidRPr="00937C8B" w:rsidRDefault="002A4DDF" w:rsidP="009110ED">
            <w:pPr>
              <w:rPr>
                <w:rFonts w:ascii="Arial" w:hAnsi="Arial" w:cs="Arial"/>
                <w:sz w:val="12"/>
                <w:szCs w:val="12"/>
              </w:rPr>
            </w:pPr>
          </w:p>
        </w:tc>
        <w:tc>
          <w:tcPr>
            <w:tcW w:w="2268" w:type="dxa"/>
            <w:shd w:val="clear" w:color="auto" w:fill="F2F2F2"/>
            <w:hideMark/>
          </w:tcPr>
          <w:p w14:paraId="646F31C6" w14:textId="77777777" w:rsidR="002A4DDF" w:rsidRPr="00937C8B" w:rsidRDefault="002A4DDF" w:rsidP="009110ED">
            <w:pPr>
              <w:rPr>
                <w:rFonts w:ascii="Arial" w:hAnsi="Arial" w:cs="Arial"/>
                <w:sz w:val="12"/>
                <w:szCs w:val="12"/>
              </w:rPr>
            </w:pPr>
            <w:r>
              <w:rPr>
                <w:rFonts w:ascii="Arial" w:hAnsi="Arial"/>
                <w:sz w:val="12"/>
                <w:szCs w:val="12"/>
              </w:rPr>
              <w:t>Azkoitia</w:t>
            </w:r>
          </w:p>
        </w:tc>
        <w:tc>
          <w:tcPr>
            <w:tcW w:w="2268" w:type="dxa"/>
            <w:tcBorders>
              <w:right w:val="single" w:sz="4" w:space="0" w:color="auto"/>
            </w:tcBorders>
            <w:shd w:val="clear" w:color="auto" w:fill="D9D9D9"/>
            <w:hideMark/>
          </w:tcPr>
          <w:p w14:paraId="18D55DA3" w14:textId="77777777" w:rsidR="002A4DDF" w:rsidRPr="00937C8B" w:rsidRDefault="002A4DDF" w:rsidP="009110ED">
            <w:pPr>
              <w:rPr>
                <w:rFonts w:ascii="Arial" w:hAnsi="Arial" w:cs="Arial"/>
                <w:sz w:val="12"/>
                <w:szCs w:val="12"/>
              </w:rPr>
            </w:pPr>
          </w:p>
        </w:tc>
      </w:tr>
      <w:tr w:rsidR="002A4DDF" w:rsidRPr="00937C8B" w14:paraId="1F0203E2" w14:textId="77777777" w:rsidTr="00935676">
        <w:trPr>
          <w:cantSplit/>
        </w:trPr>
        <w:tc>
          <w:tcPr>
            <w:tcW w:w="1696" w:type="dxa"/>
            <w:tcBorders>
              <w:left w:val="single" w:sz="4" w:space="0" w:color="auto"/>
            </w:tcBorders>
            <w:shd w:val="clear" w:color="auto" w:fill="auto"/>
          </w:tcPr>
          <w:p w14:paraId="634AF4B2" w14:textId="77777777" w:rsidR="002A4DDF" w:rsidRPr="00937C8B" w:rsidRDefault="002A4DDF" w:rsidP="009110ED">
            <w:pPr>
              <w:rPr>
                <w:rFonts w:ascii="Arial" w:hAnsi="Arial" w:cs="Arial"/>
                <w:sz w:val="12"/>
                <w:szCs w:val="12"/>
              </w:rPr>
            </w:pPr>
          </w:p>
        </w:tc>
        <w:tc>
          <w:tcPr>
            <w:tcW w:w="1843" w:type="dxa"/>
            <w:shd w:val="clear" w:color="auto" w:fill="auto"/>
          </w:tcPr>
          <w:p w14:paraId="4D9A2ED9" w14:textId="77777777" w:rsidR="002A4DDF" w:rsidRPr="00937C8B" w:rsidRDefault="002A4DDF" w:rsidP="009110ED">
            <w:pPr>
              <w:rPr>
                <w:rFonts w:ascii="Arial" w:hAnsi="Arial" w:cs="Arial"/>
                <w:sz w:val="12"/>
                <w:szCs w:val="12"/>
              </w:rPr>
            </w:pPr>
          </w:p>
        </w:tc>
        <w:tc>
          <w:tcPr>
            <w:tcW w:w="2268" w:type="dxa"/>
            <w:shd w:val="clear" w:color="auto" w:fill="F2F2F2"/>
            <w:hideMark/>
          </w:tcPr>
          <w:p w14:paraId="2F042109" w14:textId="77777777" w:rsidR="002A4DDF" w:rsidRPr="00937C8B" w:rsidRDefault="002A4DDF" w:rsidP="009110ED">
            <w:pPr>
              <w:rPr>
                <w:rFonts w:ascii="Arial" w:hAnsi="Arial" w:cs="Arial"/>
                <w:sz w:val="12"/>
                <w:szCs w:val="12"/>
              </w:rPr>
            </w:pPr>
            <w:r>
              <w:rPr>
                <w:rFonts w:ascii="Arial" w:hAnsi="Arial"/>
                <w:sz w:val="12"/>
                <w:szCs w:val="12"/>
              </w:rPr>
              <w:t>Azpeitia</w:t>
            </w:r>
          </w:p>
        </w:tc>
        <w:tc>
          <w:tcPr>
            <w:tcW w:w="2268" w:type="dxa"/>
            <w:tcBorders>
              <w:right w:val="single" w:sz="4" w:space="0" w:color="auto"/>
            </w:tcBorders>
            <w:shd w:val="clear" w:color="auto" w:fill="D9D9D9"/>
            <w:hideMark/>
          </w:tcPr>
          <w:p w14:paraId="4C7426D1" w14:textId="77777777" w:rsidR="002A4DDF" w:rsidRPr="00937C8B" w:rsidRDefault="002A4DDF" w:rsidP="009110ED">
            <w:pPr>
              <w:rPr>
                <w:rFonts w:ascii="Arial" w:hAnsi="Arial" w:cs="Arial"/>
                <w:sz w:val="12"/>
                <w:szCs w:val="12"/>
              </w:rPr>
            </w:pPr>
          </w:p>
        </w:tc>
      </w:tr>
      <w:tr w:rsidR="002A4DDF" w:rsidRPr="00937C8B" w14:paraId="3AC447B3" w14:textId="77777777" w:rsidTr="00935676">
        <w:trPr>
          <w:cantSplit/>
        </w:trPr>
        <w:tc>
          <w:tcPr>
            <w:tcW w:w="1696" w:type="dxa"/>
            <w:tcBorders>
              <w:left w:val="single" w:sz="4" w:space="0" w:color="auto"/>
            </w:tcBorders>
            <w:shd w:val="clear" w:color="auto" w:fill="auto"/>
          </w:tcPr>
          <w:p w14:paraId="2B5BB46B" w14:textId="77777777" w:rsidR="002A4DDF" w:rsidRPr="00937C8B" w:rsidRDefault="002A4DDF" w:rsidP="009110ED">
            <w:pPr>
              <w:rPr>
                <w:rFonts w:ascii="Arial" w:hAnsi="Arial" w:cs="Arial"/>
                <w:sz w:val="12"/>
                <w:szCs w:val="12"/>
              </w:rPr>
            </w:pPr>
          </w:p>
        </w:tc>
        <w:tc>
          <w:tcPr>
            <w:tcW w:w="1843" w:type="dxa"/>
            <w:shd w:val="clear" w:color="auto" w:fill="auto"/>
          </w:tcPr>
          <w:p w14:paraId="78253300" w14:textId="77777777" w:rsidR="002A4DDF" w:rsidRPr="00937C8B" w:rsidRDefault="002A4DDF" w:rsidP="009110ED">
            <w:pPr>
              <w:rPr>
                <w:rFonts w:ascii="Arial" w:hAnsi="Arial" w:cs="Arial"/>
                <w:sz w:val="12"/>
                <w:szCs w:val="12"/>
              </w:rPr>
            </w:pPr>
          </w:p>
        </w:tc>
        <w:tc>
          <w:tcPr>
            <w:tcW w:w="2268" w:type="dxa"/>
            <w:shd w:val="clear" w:color="auto" w:fill="F2F2F2"/>
            <w:hideMark/>
          </w:tcPr>
          <w:p w14:paraId="462287CD" w14:textId="77777777" w:rsidR="002A4DDF" w:rsidRPr="00937C8B" w:rsidRDefault="002A4DDF" w:rsidP="009110ED">
            <w:pPr>
              <w:rPr>
                <w:rFonts w:ascii="Arial" w:hAnsi="Arial" w:cs="Arial"/>
                <w:sz w:val="12"/>
                <w:szCs w:val="12"/>
              </w:rPr>
            </w:pPr>
            <w:r>
              <w:rPr>
                <w:rFonts w:ascii="Arial" w:hAnsi="Arial"/>
                <w:sz w:val="12"/>
                <w:szCs w:val="12"/>
              </w:rPr>
              <w:t>Baliarrain</w:t>
            </w:r>
          </w:p>
        </w:tc>
        <w:tc>
          <w:tcPr>
            <w:tcW w:w="2268" w:type="dxa"/>
            <w:tcBorders>
              <w:right w:val="single" w:sz="4" w:space="0" w:color="auto"/>
            </w:tcBorders>
            <w:shd w:val="clear" w:color="auto" w:fill="D9D9D9"/>
            <w:hideMark/>
          </w:tcPr>
          <w:p w14:paraId="35C0A69B" w14:textId="77777777" w:rsidR="002A4DDF" w:rsidRPr="00937C8B" w:rsidRDefault="002A4DDF" w:rsidP="009110ED">
            <w:pPr>
              <w:rPr>
                <w:rFonts w:ascii="Arial" w:hAnsi="Arial" w:cs="Arial"/>
                <w:sz w:val="12"/>
                <w:szCs w:val="12"/>
              </w:rPr>
            </w:pPr>
          </w:p>
        </w:tc>
      </w:tr>
      <w:tr w:rsidR="002A4DDF" w:rsidRPr="00937C8B" w14:paraId="04107837" w14:textId="77777777" w:rsidTr="00935676">
        <w:trPr>
          <w:cantSplit/>
        </w:trPr>
        <w:tc>
          <w:tcPr>
            <w:tcW w:w="1696" w:type="dxa"/>
            <w:tcBorders>
              <w:left w:val="single" w:sz="4" w:space="0" w:color="auto"/>
            </w:tcBorders>
            <w:shd w:val="clear" w:color="auto" w:fill="auto"/>
          </w:tcPr>
          <w:p w14:paraId="16FF6B22" w14:textId="77777777" w:rsidR="002A4DDF" w:rsidRPr="00937C8B" w:rsidRDefault="002A4DDF" w:rsidP="009110ED">
            <w:pPr>
              <w:rPr>
                <w:rFonts w:ascii="Arial" w:hAnsi="Arial" w:cs="Arial"/>
                <w:sz w:val="12"/>
                <w:szCs w:val="12"/>
              </w:rPr>
            </w:pPr>
          </w:p>
        </w:tc>
        <w:tc>
          <w:tcPr>
            <w:tcW w:w="1843" w:type="dxa"/>
            <w:shd w:val="clear" w:color="auto" w:fill="auto"/>
          </w:tcPr>
          <w:p w14:paraId="5FBDA74E" w14:textId="77777777" w:rsidR="002A4DDF" w:rsidRPr="00937C8B" w:rsidRDefault="002A4DDF" w:rsidP="009110ED">
            <w:pPr>
              <w:rPr>
                <w:rFonts w:ascii="Arial" w:hAnsi="Arial" w:cs="Arial"/>
                <w:sz w:val="12"/>
                <w:szCs w:val="12"/>
              </w:rPr>
            </w:pPr>
          </w:p>
        </w:tc>
        <w:tc>
          <w:tcPr>
            <w:tcW w:w="2268" w:type="dxa"/>
            <w:shd w:val="clear" w:color="auto" w:fill="F2F2F2"/>
            <w:hideMark/>
          </w:tcPr>
          <w:p w14:paraId="09C83EC5" w14:textId="77777777" w:rsidR="002A4DDF" w:rsidRPr="00937C8B" w:rsidRDefault="002A4DDF" w:rsidP="009110ED">
            <w:pPr>
              <w:rPr>
                <w:rFonts w:ascii="Arial" w:hAnsi="Arial" w:cs="Arial"/>
                <w:sz w:val="12"/>
                <w:szCs w:val="12"/>
              </w:rPr>
            </w:pPr>
            <w:r>
              <w:rPr>
                <w:rFonts w:ascii="Arial" w:hAnsi="Arial"/>
                <w:sz w:val="12"/>
                <w:szCs w:val="12"/>
              </w:rPr>
              <w:t>Beasain</w:t>
            </w:r>
          </w:p>
        </w:tc>
        <w:tc>
          <w:tcPr>
            <w:tcW w:w="2268" w:type="dxa"/>
            <w:tcBorders>
              <w:right w:val="single" w:sz="4" w:space="0" w:color="auto"/>
            </w:tcBorders>
            <w:shd w:val="clear" w:color="auto" w:fill="D9D9D9"/>
            <w:hideMark/>
          </w:tcPr>
          <w:p w14:paraId="621CC077" w14:textId="77777777" w:rsidR="002A4DDF" w:rsidRPr="00937C8B" w:rsidRDefault="002A4DDF" w:rsidP="009110ED">
            <w:pPr>
              <w:rPr>
                <w:rFonts w:ascii="Arial" w:hAnsi="Arial" w:cs="Arial"/>
                <w:sz w:val="12"/>
                <w:szCs w:val="12"/>
              </w:rPr>
            </w:pPr>
          </w:p>
        </w:tc>
      </w:tr>
      <w:tr w:rsidR="002A4DDF" w:rsidRPr="00937C8B" w14:paraId="4321A2FF" w14:textId="77777777" w:rsidTr="00935676">
        <w:trPr>
          <w:cantSplit/>
        </w:trPr>
        <w:tc>
          <w:tcPr>
            <w:tcW w:w="1696" w:type="dxa"/>
            <w:tcBorders>
              <w:left w:val="single" w:sz="4" w:space="0" w:color="auto"/>
            </w:tcBorders>
            <w:shd w:val="clear" w:color="auto" w:fill="auto"/>
          </w:tcPr>
          <w:p w14:paraId="06E08770" w14:textId="77777777" w:rsidR="002A4DDF" w:rsidRPr="00937C8B" w:rsidRDefault="002A4DDF" w:rsidP="009110ED">
            <w:pPr>
              <w:rPr>
                <w:rFonts w:ascii="Arial" w:hAnsi="Arial" w:cs="Arial"/>
                <w:sz w:val="12"/>
                <w:szCs w:val="12"/>
              </w:rPr>
            </w:pPr>
          </w:p>
        </w:tc>
        <w:tc>
          <w:tcPr>
            <w:tcW w:w="1843" w:type="dxa"/>
            <w:shd w:val="clear" w:color="auto" w:fill="auto"/>
          </w:tcPr>
          <w:p w14:paraId="6EB882AA" w14:textId="77777777" w:rsidR="002A4DDF" w:rsidRPr="00937C8B" w:rsidRDefault="002A4DDF" w:rsidP="009110ED">
            <w:pPr>
              <w:rPr>
                <w:rFonts w:ascii="Arial" w:hAnsi="Arial" w:cs="Arial"/>
                <w:sz w:val="12"/>
                <w:szCs w:val="12"/>
              </w:rPr>
            </w:pPr>
          </w:p>
        </w:tc>
        <w:tc>
          <w:tcPr>
            <w:tcW w:w="2268" w:type="dxa"/>
            <w:shd w:val="clear" w:color="auto" w:fill="F2F2F2"/>
            <w:hideMark/>
          </w:tcPr>
          <w:p w14:paraId="3779AFB1" w14:textId="77777777" w:rsidR="002A4DDF" w:rsidRPr="00937C8B" w:rsidRDefault="002A4DDF" w:rsidP="009110ED">
            <w:pPr>
              <w:rPr>
                <w:rFonts w:ascii="Arial" w:hAnsi="Arial" w:cs="Arial"/>
                <w:sz w:val="12"/>
                <w:szCs w:val="12"/>
              </w:rPr>
            </w:pPr>
            <w:r>
              <w:rPr>
                <w:rFonts w:ascii="Arial" w:hAnsi="Arial"/>
                <w:sz w:val="12"/>
                <w:szCs w:val="12"/>
              </w:rPr>
              <w:t>Beizama</w:t>
            </w:r>
          </w:p>
        </w:tc>
        <w:tc>
          <w:tcPr>
            <w:tcW w:w="2268" w:type="dxa"/>
            <w:tcBorders>
              <w:right w:val="single" w:sz="4" w:space="0" w:color="auto"/>
            </w:tcBorders>
            <w:shd w:val="clear" w:color="auto" w:fill="D9D9D9"/>
            <w:hideMark/>
          </w:tcPr>
          <w:p w14:paraId="5255DD8F" w14:textId="77777777" w:rsidR="002A4DDF" w:rsidRPr="00937C8B" w:rsidRDefault="002A4DDF" w:rsidP="009110ED">
            <w:pPr>
              <w:rPr>
                <w:rFonts w:ascii="Arial" w:hAnsi="Arial" w:cs="Arial"/>
                <w:sz w:val="12"/>
                <w:szCs w:val="12"/>
              </w:rPr>
            </w:pPr>
          </w:p>
        </w:tc>
      </w:tr>
      <w:tr w:rsidR="002A4DDF" w:rsidRPr="00937C8B" w14:paraId="1623BA27" w14:textId="77777777" w:rsidTr="00935676">
        <w:trPr>
          <w:cantSplit/>
        </w:trPr>
        <w:tc>
          <w:tcPr>
            <w:tcW w:w="1696" w:type="dxa"/>
            <w:tcBorders>
              <w:left w:val="single" w:sz="4" w:space="0" w:color="auto"/>
            </w:tcBorders>
            <w:shd w:val="clear" w:color="auto" w:fill="auto"/>
          </w:tcPr>
          <w:p w14:paraId="7C76E7A0" w14:textId="77777777" w:rsidR="002A4DDF" w:rsidRPr="00937C8B" w:rsidRDefault="002A4DDF" w:rsidP="009110ED">
            <w:pPr>
              <w:rPr>
                <w:rFonts w:ascii="Arial" w:hAnsi="Arial" w:cs="Arial"/>
                <w:sz w:val="12"/>
                <w:szCs w:val="12"/>
              </w:rPr>
            </w:pPr>
          </w:p>
        </w:tc>
        <w:tc>
          <w:tcPr>
            <w:tcW w:w="1843" w:type="dxa"/>
            <w:shd w:val="clear" w:color="auto" w:fill="auto"/>
          </w:tcPr>
          <w:p w14:paraId="78A0E0E7" w14:textId="77777777" w:rsidR="002A4DDF" w:rsidRPr="00937C8B" w:rsidRDefault="002A4DDF" w:rsidP="009110ED">
            <w:pPr>
              <w:rPr>
                <w:rFonts w:ascii="Arial" w:hAnsi="Arial" w:cs="Arial"/>
                <w:sz w:val="12"/>
                <w:szCs w:val="12"/>
              </w:rPr>
            </w:pPr>
          </w:p>
        </w:tc>
        <w:tc>
          <w:tcPr>
            <w:tcW w:w="2268" w:type="dxa"/>
            <w:shd w:val="clear" w:color="auto" w:fill="F2F2F2"/>
            <w:hideMark/>
          </w:tcPr>
          <w:p w14:paraId="4EE100D1" w14:textId="77777777" w:rsidR="002A4DDF" w:rsidRPr="00937C8B" w:rsidRDefault="002A4DDF" w:rsidP="009110ED">
            <w:pPr>
              <w:rPr>
                <w:rFonts w:ascii="Arial" w:hAnsi="Arial" w:cs="Arial"/>
                <w:sz w:val="12"/>
                <w:szCs w:val="12"/>
              </w:rPr>
            </w:pPr>
            <w:r>
              <w:rPr>
                <w:rFonts w:ascii="Arial" w:hAnsi="Arial"/>
                <w:sz w:val="12"/>
                <w:szCs w:val="12"/>
              </w:rPr>
              <w:t>Belauntza</w:t>
            </w:r>
          </w:p>
        </w:tc>
        <w:tc>
          <w:tcPr>
            <w:tcW w:w="2268" w:type="dxa"/>
            <w:tcBorders>
              <w:right w:val="single" w:sz="4" w:space="0" w:color="auto"/>
            </w:tcBorders>
            <w:shd w:val="clear" w:color="auto" w:fill="D9D9D9"/>
            <w:hideMark/>
          </w:tcPr>
          <w:p w14:paraId="28E9385B" w14:textId="77777777" w:rsidR="002A4DDF" w:rsidRPr="00937C8B" w:rsidRDefault="002A4DDF" w:rsidP="009110ED">
            <w:pPr>
              <w:rPr>
                <w:rFonts w:ascii="Arial" w:hAnsi="Arial" w:cs="Arial"/>
                <w:sz w:val="12"/>
                <w:szCs w:val="12"/>
              </w:rPr>
            </w:pPr>
          </w:p>
        </w:tc>
      </w:tr>
      <w:tr w:rsidR="002A4DDF" w:rsidRPr="00937C8B" w14:paraId="5099A87C" w14:textId="77777777" w:rsidTr="00935676">
        <w:trPr>
          <w:cantSplit/>
        </w:trPr>
        <w:tc>
          <w:tcPr>
            <w:tcW w:w="1696" w:type="dxa"/>
            <w:tcBorders>
              <w:left w:val="single" w:sz="4" w:space="0" w:color="auto"/>
            </w:tcBorders>
            <w:shd w:val="clear" w:color="auto" w:fill="auto"/>
          </w:tcPr>
          <w:p w14:paraId="73A91B65" w14:textId="77777777" w:rsidR="002A4DDF" w:rsidRPr="00937C8B" w:rsidRDefault="002A4DDF" w:rsidP="009110ED">
            <w:pPr>
              <w:rPr>
                <w:rFonts w:ascii="Arial" w:hAnsi="Arial" w:cs="Arial"/>
                <w:sz w:val="12"/>
                <w:szCs w:val="12"/>
              </w:rPr>
            </w:pPr>
          </w:p>
        </w:tc>
        <w:tc>
          <w:tcPr>
            <w:tcW w:w="1843" w:type="dxa"/>
            <w:shd w:val="clear" w:color="auto" w:fill="auto"/>
          </w:tcPr>
          <w:p w14:paraId="398CD87E" w14:textId="77777777" w:rsidR="002A4DDF" w:rsidRPr="00937C8B" w:rsidRDefault="002A4DDF" w:rsidP="009110ED">
            <w:pPr>
              <w:rPr>
                <w:rFonts w:ascii="Arial" w:hAnsi="Arial" w:cs="Arial"/>
                <w:sz w:val="12"/>
                <w:szCs w:val="12"/>
              </w:rPr>
            </w:pPr>
          </w:p>
        </w:tc>
        <w:tc>
          <w:tcPr>
            <w:tcW w:w="2268" w:type="dxa"/>
            <w:shd w:val="clear" w:color="auto" w:fill="F2F2F2"/>
            <w:hideMark/>
          </w:tcPr>
          <w:p w14:paraId="6B5A3BB4" w14:textId="77777777" w:rsidR="002A4DDF" w:rsidRPr="00937C8B" w:rsidRDefault="002A4DDF" w:rsidP="009110ED">
            <w:pPr>
              <w:rPr>
                <w:rFonts w:ascii="Arial" w:hAnsi="Arial" w:cs="Arial"/>
                <w:sz w:val="12"/>
                <w:szCs w:val="12"/>
              </w:rPr>
            </w:pPr>
            <w:r>
              <w:rPr>
                <w:rFonts w:ascii="Arial" w:hAnsi="Arial"/>
                <w:sz w:val="12"/>
                <w:szCs w:val="12"/>
              </w:rPr>
              <w:t>Berastegi</w:t>
            </w:r>
          </w:p>
        </w:tc>
        <w:tc>
          <w:tcPr>
            <w:tcW w:w="2268" w:type="dxa"/>
            <w:tcBorders>
              <w:right w:val="single" w:sz="4" w:space="0" w:color="auto"/>
            </w:tcBorders>
            <w:shd w:val="clear" w:color="auto" w:fill="D9D9D9"/>
            <w:hideMark/>
          </w:tcPr>
          <w:p w14:paraId="7FB151BC" w14:textId="77777777" w:rsidR="002A4DDF" w:rsidRPr="00937C8B" w:rsidRDefault="002A4DDF" w:rsidP="009110ED">
            <w:pPr>
              <w:rPr>
                <w:rFonts w:ascii="Arial" w:hAnsi="Arial" w:cs="Arial"/>
                <w:sz w:val="12"/>
                <w:szCs w:val="12"/>
              </w:rPr>
            </w:pPr>
          </w:p>
        </w:tc>
      </w:tr>
      <w:tr w:rsidR="002A4DDF" w:rsidRPr="00937C8B" w14:paraId="33CE2D2A" w14:textId="77777777" w:rsidTr="00935676">
        <w:trPr>
          <w:cantSplit/>
        </w:trPr>
        <w:tc>
          <w:tcPr>
            <w:tcW w:w="1696" w:type="dxa"/>
            <w:tcBorders>
              <w:left w:val="single" w:sz="4" w:space="0" w:color="auto"/>
            </w:tcBorders>
            <w:shd w:val="clear" w:color="auto" w:fill="auto"/>
          </w:tcPr>
          <w:p w14:paraId="31E17B62" w14:textId="77777777" w:rsidR="002A4DDF" w:rsidRPr="00937C8B" w:rsidRDefault="002A4DDF" w:rsidP="009110ED">
            <w:pPr>
              <w:rPr>
                <w:rFonts w:ascii="Arial" w:hAnsi="Arial" w:cs="Arial"/>
                <w:sz w:val="12"/>
                <w:szCs w:val="12"/>
              </w:rPr>
            </w:pPr>
          </w:p>
        </w:tc>
        <w:tc>
          <w:tcPr>
            <w:tcW w:w="1843" w:type="dxa"/>
            <w:shd w:val="clear" w:color="auto" w:fill="auto"/>
          </w:tcPr>
          <w:p w14:paraId="32472C61" w14:textId="77777777" w:rsidR="002A4DDF" w:rsidRPr="00937C8B" w:rsidRDefault="002A4DDF" w:rsidP="009110ED">
            <w:pPr>
              <w:rPr>
                <w:rFonts w:ascii="Arial" w:hAnsi="Arial" w:cs="Arial"/>
                <w:sz w:val="12"/>
                <w:szCs w:val="12"/>
              </w:rPr>
            </w:pPr>
          </w:p>
        </w:tc>
        <w:tc>
          <w:tcPr>
            <w:tcW w:w="2268" w:type="dxa"/>
            <w:shd w:val="clear" w:color="auto" w:fill="F2F2F2"/>
            <w:hideMark/>
          </w:tcPr>
          <w:p w14:paraId="6F7E4D8B" w14:textId="77777777" w:rsidR="002A4DDF" w:rsidRPr="00937C8B" w:rsidRDefault="002A4DDF" w:rsidP="009110ED">
            <w:pPr>
              <w:rPr>
                <w:rFonts w:ascii="Arial" w:hAnsi="Arial" w:cs="Arial"/>
                <w:sz w:val="12"/>
                <w:szCs w:val="12"/>
              </w:rPr>
            </w:pPr>
            <w:r>
              <w:rPr>
                <w:rFonts w:ascii="Arial" w:hAnsi="Arial"/>
                <w:sz w:val="12"/>
                <w:szCs w:val="12"/>
              </w:rPr>
              <w:t>Berrobi</w:t>
            </w:r>
          </w:p>
        </w:tc>
        <w:tc>
          <w:tcPr>
            <w:tcW w:w="2268" w:type="dxa"/>
            <w:tcBorders>
              <w:right w:val="single" w:sz="4" w:space="0" w:color="auto"/>
            </w:tcBorders>
            <w:shd w:val="clear" w:color="auto" w:fill="D9D9D9"/>
            <w:hideMark/>
          </w:tcPr>
          <w:p w14:paraId="5B71B233" w14:textId="77777777" w:rsidR="002A4DDF" w:rsidRPr="00937C8B" w:rsidRDefault="002A4DDF" w:rsidP="009110ED">
            <w:pPr>
              <w:rPr>
                <w:rFonts w:ascii="Arial" w:hAnsi="Arial" w:cs="Arial"/>
                <w:sz w:val="12"/>
                <w:szCs w:val="12"/>
              </w:rPr>
            </w:pPr>
          </w:p>
        </w:tc>
      </w:tr>
      <w:tr w:rsidR="002A4DDF" w:rsidRPr="00937C8B" w14:paraId="2051160B" w14:textId="77777777" w:rsidTr="00935676">
        <w:trPr>
          <w:cantSplit/>
        </w:trPr>
        <w:tc>
          <w:tcPr>
            <w:tcW w:w="1696" w:type="dxa"/>
            <w:tcBorders>
              <w:left w:val="single" w:sz="4" w:space="0" w:color="auto"/>
            </w:tcBorders>
            <w:shd w:val="clear" w:color="auto" w:fill="auto"/>
          </w:tcPr>
          <w:p w14:paraId="07A7678C" w14:textId="77777777" w:rsidR="002A4DDF" w:rsidRPr="00937C8B" w:rsidRDefault="002A4DDF" w:rsidP="009110ED">
            <w:pPr>
              <w:rPr>
                <w:rFonts w:ascii="Arial" w:hAnsi="Arial" w:cs="Arial"/>
                <w:sz w:val="12"/>
                <w:szCs w:val="12"/>
              </w:rPr>
            </w:pPr>
          </w:p>
        </w:tc>
        <w:tc>
          <w:tcPr>
            <w:tcW w:w="1843" w:type="dxa"/>
            <w:shd w:val="clear" w:color="auto" w:fill="auto"/>
          </w:tcPr>
          <w:p w14:paraId="3C3C1DAE" w14:textId="77777777" w:rsidR="002A4DDF" w:rsidRPr="00937C8B" w:rsidRDefault="002A4DDF" w:rsidP="009110ED">
            <w:pPr>
              <w:rPr>
                <w:rFonts w:ascii="Arial" w:hAnsi="Arial" w:cs="Arial"/>
                <w:sz w:val="12"/>
                <w:szCs w:val="12"/>
              </w:rPr>
            </w:pPr>
          </w:p>
        </w:tc>
        <w:tc>
          <w:tcPr>
            <w:tcW w:w="2268" w:type="dxa"/>
            <w:shd w:val="clear" w:color="auto" w:fill="F2F2F2"/>
            <w:hideMark/>
          </w:tcPr>
          <w:p w14:paraId="694B8269" w14:textId="77777777" w:rsidR="002A4DDF" w:rsidRPr="00937C8B" w:rsidRDefault="002A4DDF" w:rsidP="009110ED">
            <w:pPr>
              <w:rPr>
                <w:rFonts w:ascii="Arial" w:hAnsi="Arial" w:cs="Arial"/>
                <w:sz w:val="12"/>
                <w:szCs w:val="12"/>
              </w:rPr>
            </w:pPr>
            <w:r>
              <w:rPr>
                <w:rFonts w:ascii="Arial" w:hAnsi="Arial"/>
                <w:sz w:val="12"/>
                <w:szCs w:val="12"/>
              </w:rPr>
              <w:t>Bidania-Goiatz</w:t>
            </w:r>
          </w:p>
        </w:tc>
        <w:tc>
          <w:tcPr>
            <w:tcW w:w="2268" w:type="dxa"/>
            <w:tcBorders>
              <w:right w:val="single" w:sz="4" w:space="0" w:color="auto"/>
            </w:tcBorders>
            <w:shd w:val="clear" w:color="auto" w:fill="D9D9D9"/>
            <w:hideMark/>
          </w:tcPr>
          <w:p w14:paraId="10D6ED0F" w14:textId="77777777" w:rsidR="002A4DDF" w:rsidRPr="00937C8B" w:rsidRDefault="002A4DDF" w:rsidP="009110ED">
            <w:pPr>
              <w:rPr>
                <w:rFonts w:ascii="Arial" w:hAnsi="Arial" w:cs="Arial"/>
                <w:sz w:val="12"/>
                <w:szCs w:val="12"/>
              </w:rPr>
            </w:pPr>
          </w:p>
        </w:tc>
      </w:tr>
      <w:tr w:rsidR="002A4DDF" w:rsidRPr="00937C8B" w14:paraId="432953EF" w14:textId="77777777" w:rsidTr="00935676">
        <w:trPr>
          <w:cantSplit/>
        </w:trPr>
        <w:tc>
          <w:tcPr>
            <w:tcW w:w="1696" w:type="dxa"/>
            <w:tcBorders>
              <w:left w:val="single" w:sz="4" w:space="0" w:color="auto"/>
            </w:tcBorders>
            <w:shd w:val="clear" w:color="auto" w:fill="auto"/>
          </w:tcPr>
          <w:p w14:paraId="61C7634F" w14:textId="77777777" w:rsidR="002A4DDF" w:rsidRPr="00937C8B" w:rsidRDefault="002A4DDF" w:rsidP="009110ED">
            <w:pPr>
              <w:rPr>
                <w:rFonts w:ascii="Arial" w:hAnsi="Arial" w:cs="Arial"/>
                <w:sz w:val="12"/>
                <w:szCs w:val="12"/>
              </w:rPr>
            </w:pPr>
          </w:p>
        </w:tc>
        <w:tc>
          <w:tcPr>
            <w:tcW w:w="1843" w:type="dxa"/>
            <w:shd w:val="clear" w:color="auto" w:fill="auto"/>
          </w:tcPr>
          <w:p w14:paraId="3939BA32" w14:textId="77777777" w:rsidR="002A4DDF" w:rsidRPr="00937C8B" w:rsidRDefault="002A4DDF" w:rsidP="009110ED">
            <w:pPr>
              <w:rPr>
                <w:rFonts w:ascii="Arial" w:hAnsi="Arial" w:cs="Arial"/>
                <w:sz w:val="12"/>
                <w:szCs w:val="12"/>
              </w:rPr>
            </w:pPr>
          </w:p>
        </w:tc>
        <w:tc>
          <w:tcPr>
            <w:tcW w:w="2268" w:type="dxa"/>
            <w:shd w:val="clear" w:color="auto" w:fill="F2F2F2"/>
            <w:hideMark/>
          </w:tcPr>
          <w:p w14:paraId="76A8EA99" w14:textId="77777777" w:rsidR="002A4DDF" w:rsidRPr="00937C8B" w:rsidRDefault="002A4DDF" w:rsidP="009110ED">
            <w:pPr>
              <w:rPr>
                <w:rFonts w:ascii="Arial" w:hAnsi="Arial" w:cs="Arial"/>
                <w:sz w:val="12"/>
                <w:szCs w:val="12"/>
              </w:rPr>
            </w:pPr>
            <w:r>
              <w:rPr>
                <w:rFonts w:ascii="Arial" w:hAnsi="Arial"/>
                <w:sz w:val="12"/>
                <w:szCs w:val="12"/>
              </w:rPr>
              <w:t>Deba</w:t>
            </w:r>
          </w:p>
        </w:tc>
        <w:tc>
          <w:tcPr>
            <w:tcW w:w="2268" w:type="dxa"/>
            <w:tcBorders>
              <w:right w:val="single" w:sz="4" w:space="0" w:color="auto"/>
            </w:tcBorders>
            <w:shd w:val="clear" w:color="auto" w:fill="D9D9D9"/>
            <w:hideMark/>
          </w:tcPr>
          <w:p w14:paraId="493CF900" w14:textId="77777777" w:rsidR="002A4DDF" w:rsidRPr="00937C8B" w:rsidRDefault="002A4DDF" w:rsidP="009110ED">
            <w:pPr>
              <w:rPr>
                <w:rFonts w:ascii="Arial" w:hAnsi="Arial" w:cs="Arial"/>
                <w:sz w:val="12"/>
                <w:szCs w:val="12"/>
              </w:rPr>
            </w:pPr>
          </w:p>
        </w:tc>
      </w:tr>
      <w:tr w:rsidR="002A4DDF" w:rsidRPr="00937C8B" w14:paraId="48CB9BAF" w14:textId="77777777" w:rsidTr="00935676">
        <w:trPr>
          <w:cantSplit/>
        </w:trPr>
        <w:tc>
          <w:tcPr>
            <w:tcW w:w="1696" w:type="dxa"/>
            <w:tcBorders>
              <w:left w:val="single" w:sz="4" w:space="0" w:color="auto"/>
            </w:tcBorders>
            <w:shd w:val="clear" w:color="auto" w:fill="auto"/>
          </w:tcPr>
          <w:p w14:paraId="2385D6FC" w14:textId="77777777" w:rsidR="002A4DDF" w:rsidRPr="00937C8B" w:rsidRDefault="002A4DDF" w:rsidP="009110ED">
            <w:pPr>
              <w:rPr>
                <w:rFonts w:ascii="Arial" w:hAnsi="Arial" w:cs="Arial"/>
                <w:sz w:val="12"/>
                <w:szCs w:val="12"/>
              </w:rPr>
            </w:pPr>
          </w:p>
        </w:tc>
        <w:tc>
          <w:tcPr>
            <w:tcW w:w="1843" w:type="dxa"/>
            <w:shd w:val="clear" w:color="auto" w:fill="auto"/>
          </w:tcPr>
          <w:p w14:paraId="60954F3F" w14:textId="77777777" w:rsidR="002A4DDF" w:rsidRPr="00937C8B" w:rsidRDefault="002A4DDF" w:rsidP="009110ED">
            <w:pPr>
              <w:rPr>
                <w:rFonts w:ascii="Arial" w:hAnsi="Arial" w:cs="Arial"/>
                <w:sz w:val="12"/>
                <w:szCs w:val="12"/>
              </w:rPr>
            </w:pPr>
          </w:p>
        </w:tc>
        <w:tc>
          <w:tcPr>
            <w:tcW w:w="2268" w:type="dxa"/>
            <w:shd w:val="clear" w:color="auto" w:fill="F2F2F2"/>
            <w:hideMark/>
          </w:tcPr>
          <w:p w14:paraId="5B0E0B96" w14:textId="77777777" w:rsidR="002A4DDF" w:rsidRPr="00937C8B" w:rsidRDefault="002A4DDF" w:rsidP="009110ED">
            <w:pPr>
              <w:rPr>
                <w:rFonts w:ascii="Arial" w:hAnsi="Arial" w:cs="Arial"/>
                <w:sz w:val="12"/>
                <w:szCs w:val="12"/>
              </w:rPr>
            </w:pPr>
            <w:r>
              <w:rPr>
                <w:rFonts w:ascii="Arial" w:hAnsi="Arial"/>
                <w:sz w:val="12"/>
                <w:szCs w:val="12"/>
              </w:rPr>
              <w:t>Elduain</w:t>
            </w:r>
          </w:p>
        </w:tc>
        <w:tc>
          <w:tcPr>
            <w:tcW w:w="2268" w:type="dxa"/>
            <w:tcBorders>
              <w:right w:val="single" w:sz="4" w:space="0" w:color="auto"/>
            </w:tcBorders>
            <w:shd w:val="clear" w:color="auto" w:fill="D9D9D9"/>
            <w:hideMark/>
          </w:tcPr>
          <w:p w14:paraId="44DF6251" w14:textId="77777777" w:rsidR="002A4DDF" w:rsidRPr="00937C8B" w:rsidRDefault="002A4DDF" w:rsidP="009110ED">
            <w:pPr>
              <w:rPr>
                <w:rFonts w:ascii="Arial" w:hAnsi="Arial" w:cs="Arial"/>
                <w:sz w:val="12"/>
                <w:szCs w:val="12"/>
              </w:rPr>
            </w:pPr>
          </w:p>
        </w:tc>
      </w:tr>
      <w:tr w:rsidR="002A4DDF" w:rsidRPr="00937C8B" w14:paraId="08B65A97" w14:textId="77777777" w:rsidTr="00935676">
        <w:trPr>
          <w:cantSplit/>
        </w:trPr>
        <w:tc>
          <w:tcPr>
            <w:tcW w:w="1696" w:type="dxa"/>
            <w:tcBorders>
              <w:left w:val="single" w:sz="4" w:space="0" w:color="auto"/>
            </w:tcBorders>
            <w:shd w:val="clear" w:color="auto" w:fill="auto"/>
          </w:tcPr>
          <w:p w14:paraId="462075BF" w14:textId="77777777" w:rsidR="002A4DDF" w:rsidRPr="00937C8B" w:rsidRDefault="002A4DDF" w:rsidP="009110ED">
            <w:pPr>
              <w:rPr>
                <w:rFonts w:ascii="Arial" w:hAnsi="Arial" w:cs="Arial"/>
                <w:sz w:val="12"/>
                <w:szCs w:val="12"/>
              </w:rPr>
            </w:pPr>
          </w:p>
        </w:tc>
        <w:tc>
          <w:tcPr>
            <w:tcW w:w="1843" w:type="dxa"/>
            <w:shd w:val="clear" w:color="auto" w:fill="auto"/>
          </w:tcPr>
          <w:p w14:paraId="6651ECD0" w14:textId="77777777" w:rsidR="002A4DDF" w:rsidRPr="00937C8B" w:rsidRDefault="002A4DDF" w:rsidP="009110ED">
            <w:pPr>
              <w:rPr>
                <w:rFonts w:ascii="Arial" w:hAnsi="Arial" w:cs="Arial"/>
                <w:sz w:val="12"/>
                <w:szCs w:val="12"/>
              </w:rPr>
            </w:pPr>
          </w:p>
        </w:tc>
        <w:tc>
          <w:tcPr>
            <w:tcW w:w="2268" w:type="dxa"/>
            <w:shd w:val="clear" w:color="auto" w:fill="F2F2F2"/>
            <w:hideMark/>
          </w:tcPr>
          <w:p w14:paraId="6FF6CBE4" w14:textId="77777777" w:rsidR="002A4DDF" w:rsidRPr="00937C8B" w:rsidRDefault="002A4DDF" w:rsidP="009110ED">
            <w:pPr>
              <w:rPr>
                <w:rFonts w:ascii="Arial" w:hAnsi="Arial" w:cs="Arial"/>
                <w:sz w:val="12"/>
                <w:szCs w:val="12"/>
              </w:rPr>
            </w:pPr>
            <w:r>
              <w:rPr>
                <w:rFonts w:ascii="Arial" w:hAnsi="Arial"/>
                <w:sz w:val="12"/>
                <w:szCs w:val="12"/>
              </w:rPr>
              <w:t>Errezil</w:t>
            </w:r>
          </w:p>
        </w:tc>
        <w:tc>
          <w:tcPr>
            <w:tcW w:w="2268" w:type="dxa"/>
            <w:tcBorders>
              <w:right w:val="single" w:sz="4" w:space="0" w:color="auto"/>
            </w:tcBorders>
            <w:shd w:val="clear" w:color="auto" w:fill="D9D9D9"/>
            <w:hideMark/>
          </w:tcPr>
          <w:p w14:paraId="69F8CBFB" w14:textId="77777777" w:rsidR="002A4DDF" w:rsidRPr="00937C8B" w:rsidRDefault="002A4DDF" w:rsidP="009110ED">
            <w:pPr>
              <w:rPr>
                <w:rFonts w:ascii="Arial" w:hAnsi="Arial" w:cs="Arial"/>
                <w:sz w:val="12"/>
                <w:szCs w:val="12"/>
              </w:rPr>
            </w:pPr>
          </w:p>
        </w:tc>
      </w:tr>
      <w:tr w:rsidR="002A4DDF" w:rsidRPr="00937C8B" w14:paraId="7EBBEAF9" w14:textId="77777777" w:rsidTr="00935676">
        <w:trPr>
          <w:cantSplit/>
        </w:trPr>
        <w:tc>
          <w:tcPr>
            <w:tcW w:w="1696" w:type="dxa"/>
            <w:tcBorders>
              <w:left w:val="single" w:sz="4" w:space="0" w:color="auto"/>
            </w:tcBorders>
            <w:shd w:val="clear" w:color="auto" w:fill="auto"/>
          </w:tcPr>
          <w:p w14:paraId="56BE16BD" w14:textId="77777777" w:rsidR="002A4DDF" w:rsidRPr="00937C8B" w:rsidRDefault="002A4DDF" w:rsidP="009110ED">
            <w:pPr>
              <w:rPr>
                <w:rFonts w:ascii="Arial" w:hAnsi="Arial" w:cs="Arial"/>
                <w:sz w:val="12"/>
                <w:szCs w:val="12"/>
              </w:rPr>
            </w:pPr>
          </w:p>
        </w:tc>
        <w:tc>
          <w:tcPr>
            <w:tcW w:w="1843" w:type="dxa"/>
            <w:shd w:val="clear" w:color="auto" w:fill="auto"/>
          </w:tcPr>
          <w:p w14:paraId="557B403A" w14:textId="77777777" w:rsidR="002A4DDF" w:rsidRPr="00937C8B" w:rsidRDefault="002A4DDF" w:rsidP="009110ED">
            <w:pPr>
              <w:rPr>
                <w:rFonts w:ascii="Arial" w:hAnsi="Arial" w:cs="Arial"/>
                <w:sz w:val="12"/>
                <w:szCs w:val="12"/>
              </w:rPr>
            </w:pPr>
          </w:p>
        </w:tc>
        <w:tc>
          <w:tcPr>
            <w:tcW w:w="2268" w:type="dxa"/>
            <w:shd w:val="clear" w:color="auto" w:fill="F2F2F2"/>
            <w:hideMark/>
          </w:tcPr>
          <w:p w14:paraId="745BDCAA" w14:textId="77777777" w:rsidR="002A4DDF" w:rsidRPr="00937C8B" w:rsidRDefault="002A4DDF" w:rsidP="009110ED">
            <w:pPr>
              <w:rPr>
                <w:rFonts w:ascii="Arial" w:hAnsi="Arial" w:cs="Arial"/>
                <w:sz w:val="12"/>
                <w:szCs w:val="12"/>
              </w:rPr>
            </w:pPr>
            <w:r>
              <w:rPr>
                <w:rFonts w:ascii="Arial" w:hAnsi="Arial"/>
                <w:sz w:val="12"/>
                <w:szCs w:val="12"/>
              </w:rPr>
              <w:t>Eskoriatza</w:t>
            </w:r>
          </w:p>
        </w:tc>
        <w:tc>
          <w:tcPr>
            <w:tcW w:w="2268" w:type="dxa"/>
            <w:tcBorders>
              <w:right w:val="single" w:sz="4" w:space="0" w:color="auto"/>
            </w:tcBorders>
            <w:shd w:val="clear" w:color="auto" w:fill="D9D9D9"/>
            <w:hideMark/>
          </w:tcPr>
          <w:p w14:paraId="032D5FAC" w14:textId="77777777" w:rsidR="002A4DDF" w:rsidRPr="00937C8B" w:rsidRDefault="002A4DDF" w:rsidP="009110ED">
            <w:pPr>
              <w:rPr>
                <w:rFonts w:ascii="Arial" w:hAnsi="Arial" w:cs="Arial"/>
                <w:sz w:val="12"/>
                <w:szCs w:val="12"/>
              </w:rPr>
            </w:pPr>
          </w:p>
        </w:tc>
      </w:tr>
      <w:tr w:rsidR="002A4DDF" w:rsidRPr="00937C8B" w14:paraId="3C4F91A7" w14:textId="77777777" w:rsidTr="00935676">
        <w:trPr>
          <w:cantSplit/>
        </w:trPr>
        <w:tc>
          <w:tcPr>
            <w:tcW w:w="1696" w:type="dxa"/>
            <w:tcBorders>
              <w:left w:val="single" w:sz="4" w:space="0" w:color="auto"/>
            </w:tcBorders>
            <w:shd w:val="clear" w:color="auto" w:fill="auto"/>
          </w:tcPr>
          <w:p w14:paraId="0A325A15" w14:textId="77777777" w:rsidR="002A4DDF" w:rsidRPr="00937C8B" w:rsidRDefault="002A4DDF" w:rsidP="009110ED">
            <w:pPr>
              <w:rPr>
                <w:rFonts w:ascii="Arial" w:hAnsi="Arial" w:cs="Arial"/>
                <w:sz w:val="12"/>
                <w:szCs w:val="12"/>
              </w:rPr>
            </w:pPr>
          </w:p>
        </w:tc>
        <w:tc>
          <w:tcPr>
            <w:tcW w:w="1843" w:type="dxa"/>
            <w:shd w:val="clear" w:color="auto" w:fill="auto"/>
          </w:tcPr>
          <w:p w14:paraId="48B69957" w14:textId="77777777" w:rsidR="002A4DDF" w:rsidRPr="00937C8B" w:rsidRDefault="002A4DDF" w:rsidP="009110ED">
            <w:pPr>
              <w:rPr>
                <w:rFonts w:ascii="Arial" w:hAnsi="Arial" w:cs="Arial"/>
                <w:sz w:val="12"/>
                <w:szCs w:val="12"/>
              </w:rPr>
            </w:pPr>
          </w:p>
        </w:tc>
        <w:tc>
          <w:tcPr>
            <w:tcW w:w="2268" w:type="dxa"/>
            <w:shd w:val="clear" w:color="auto" w:fill="F2F2F2"/>
            <w:hideMark/>
          </w:tcPr>
          <w:p w14:paraId="202583E9" w14:textId="77777777" w:rsidR="002A4DDF" w:rsidRPr="00937C8B" w:rsidRDefault="002A4DDF" w:rsidP="009110ED">
            <w:pPr>
              <w:rPr>
                <w:rFonts w:ascii="Arial" w:hAnsi="Arial" w:cs="Arial"/>
                <w:sz w:val="12"/>
                <w:szCs w:val="12"/>
              </w:rPr>
            </w:pPr>
            <w:r>
              <w:rPr>
                <w:rFonts w:ascii="Arial" w:hAnsi="Arial"/>
                <w:sz w:val="12"/>
                <w:szCs w:val="12"/>
              </w:rPr>
              <w:t>Ezkio-Itsaso</w:t>
            </w:r>
          </w:p>
        </w:tc>
        <w:tc>
          <w:tcPr>
            <w:tcW w:w="2268" w:type="dxa"/>
            <w:tcBorders>
              <w:right w:val="single" w:sz="4" w:space="0" w:color="auto"/>
            </w:tcBorders>
            <w:shd w:val="clear" w:color="auto" w:fill="D9D9D9"/>
            <w:hideMark/>
          </w:tcPr>
          <w:p w14:paraId="5A424B4C" w14:textId="77777777" w:rsidR="002A4DDF" w:rsidRPr="00937C8B" w:rsidRDefault="002A4DDF" w:rsidP="009110ED">
            <w:pPr>
              <w:rPr>
                <w:rFonts w:ascii="Arial" w:hAnsi="Arial" w:cs="Arial"/>
                <w:sz w:val="12"/>
                <w:szCs w:val="12"/>
              </w:rPr>
            </w:pPr>
          </w:p>
        </w:tc>
      </w:tr>
      <w:tr w:rsidR="002A4DDF" w:rsidRPr="00937C8B" w14:paraId="648C95FE" w14:textId="77777777" w:rsidTr="00935676">
        <w:trPr>
          <w:cantSplit/>
        </w:trPr>
        <w:tc>
          <w:tcPr>
            <w:tcW w:w="1696" w:type="dxa"/>
            <w:tcBorders>
              <w:left w:val="single" w:sz="4" w:space="0" w:color="auto"/>
            </w:tcBorders>
            <w:shd w:val="clear" w:color="auto" w:fill="auto"/>
          </w:tcPr>
          <w:p w14:paraId="539394D9" w14:textId="77777777" w:rsidR="002A4DDF" w:rsidRPr="00937C8B" w:rsidRDefault="002A4DDF" w:rsidP="009110ED">
            <w:pPr>
              <w:rPr>
                <w:rFonts w:ascii="Arial" w:hAnsi="Arial" w:cs="Arial"/>
                <w:sz w:val="12"/>
                <w:szCs w:val="12"/>
              </w:rPr>
            </w:pPr>
          </w:p>
        </w:tc>
        <w:tc>
          <w:tcPr>
            <w:tcW w:w="1843" w:type="dxa"/>
            <w:shd w:val="clear" w:color="auto" w:fill="auto"/>
          </w:tcPr>
          <w:p w14:paraId="5FC23939" w14:textId="77777777" w:rsidR="002A4DDF" w:rsidRPr="00937C8B" w:rsidRDefault="002A4DDF" w:rsidP="009110ED">
            <w:pPr>
              <w:rPr>
                <w:rFonts w:ascii="Arial" w:hAnsi="Arial" w:cs="Arial"/>
                <w:sz w:val="12"/>
                <w:szCs w:val="12"/>
              </w:rPr>
            </w:pPr>
          </w:p>
        </w:tc>
        <w:tc>
          <w:tcPr>
            <w:tcW w:w="2268" w:type="dxa"/>
            <w:shd w:val="clear" w:color="auto" w:fill="F2F2F2"/>
            <w:hideMark/>
          </w:tcPr>
          <w:p w14:paraId="391A2B3B" w14:textId="77777777" w:rsidR="002A4DDF" w:rsidRPr="00937C8B" w:rsidRDefault="002A4DDF" w:rsidP="009110ED">
            <w:pPr>
              <w:rPr>
                <w:rFonts w:ascii="Arial" w:hAnsi="Arial" w:cs="Arial"/>
                <w:sz w:val="12"/>
                <w:szCs w:val="12"/>
              </w:rPr>
            </w:pPr>
            <w:r>
              <w:rPr>
                <w:rFonts w:ascii="Arial" w:hAnsi="Arial"/>
                <w:sz w:val="12"/>
                <w:szCs w:val="12"/>
              </w:rPr>
              <w:t>Gabiria</w:t>
            </w:r>
          </w:p>
        </w:tc>
        <w:tc>
          <w:tcPr>
            <w:tcW w:w="2268" w:type="dxa"/>
            <w:tcBorders>
              <w:right w:val="single" w:sz="4" w:space="0" w:color="auto"/>
            </w:tcBorders>
            <w:shd w:val="clear" w:color="auto" w:fill="D9D9D9"/>
            <w:hideMark/>
          </w:tcPr>
          <w:p w14:paraId="3BF94303" w14:textId="77777777" w:rsidR="002A4DDF" w:rsidRPr="00937C8B" w:rsidRDefault="002A4DDF" w:rsidP="009110ED">
            <w:pPr>
              <w:rPr>
                <w:rFonts w:ascii="Arial" w:hAnsi="Arial" w:cs="Arial"/>
                <w:sz w:val="12"/>
                <w:szCs w:val="12"/>
              </w:rPr>
            </w:pPr>
          </w:p>
        </w:tc>
      </w:tr>
      <w:tr w:rsidR="002A4DDF" w:rsidRPr="00937C8B" w14:paraId="7D91CAE9" w14:textId="77777777" w:rsidTr="00935676">
        <w:trPr>
          <w:cantSplit/>
        </w:trPr>
        <w:tc>
          <w:tcPr>
            <w:tcW w:w="1696" w:type="dxa"/>
            <w:tcBorders>
              <w:left w:val="single" w:sz="4" w:space="0" w:color="auto"/>
            </w:tcBorders>
            <w:shd w:val="clear" w:color="auto" w:fill="auto"/>
          </w:tcPr>
          <w:p w14:paraId="00630B31" w14:textId="77777777" w:rsidR="002A4DDF" w:rsidRPr="00937C8B" w:rsidRDefault="002A4DDF" w:rsidP="009110ED">
            <w:pPr>
              <w:rPr>
                <w:rFonts w:ascii="Arial" w:hAnsi="Arial" w:cs="Arial"/>
                <w:sz w:val="12"/>
                <w:szCs w:val="12"/>
              </w:rPr>
            </w:pPr>
          </w:p>
        </w:tc>
        <w:tc>
          <w:tcPr>
            <w:tcW w:w="1843" w:type="dxa"/>
            <w:shd w:val="clear" w:color="auto" w:fill="auto"/>
          </w:tcPr>
          <w:p w14:paraId="72B10913" w14:textId="77777777" w:rsidR="002A4DDF" w:rsidRPr="00937C8B" w:rsidRDefault="002A4DDF" w:rsidP="009110ED">
            <w:pPr>
              <w:rPr>
                <w:rFonts w:ascii="Arial" w:hAnsi="Arial" w:cs="Arial"/>
                <w:sz w:val="12"/>
                <w:szCs w:val="12"/>
              </w:rPr>
            </w:pPr>
          </w:p>
        </w:tc>
        <w:tc>
          <w:tcPr>
            <w:tcW w:w="2268" w:type="dxa"/>
            <w:shd w:val="clear" w:color="auto" w:fill="F2F2F2"/>
            <w:hideMark/>
          </w:tcPr>
          <w:p w14:paraId="0CB6198A" w14:textId="77777777" w:rsidR="002A4DDF" w:rsidRPr="00937C8B" w:rsidRDefault="002A4DDF" w:rsidP="009110ED">
            <w:pPr>
              <w:rPr>
                <w:rFonts w:ascii="Arial" w:hAnsi="Arial" w:cs="Arial"/>
                <w:sz w:val="12"/>
                <w:szCs w:val="12"/>
              </w:rPr>
            </w:pPr>
            <w:r>
              <w:rPr>
                <w:rFonts w:ascii="Arial" w:hAnsi="Arial"/>
                <w:sz w:val="12"/>
                <w:szCs w:val="12"/>
              </w:rPr>
              <w:t>Gaintza</w:t>
            </w:r>
          </w:p>
        </w:tc>
        <w:tc>
          <w:tcPr>
            <w:tcW w:w="2268" w:type="dxa"/>
            <w:tcBorders>
              <w:right w:val="single" w:sz="4" w:space="0" w:color="auto"/>
            </w:tcBorders>
            <w:shd w:val="clear" w:color="auto" w:fill="D9D9D9"/>
            <w:hideMark/>
          </w:tcPr>
          <w:p w14:paraId="40FE79C1" w14:textId="77777777" w:rsidR="002A4DDF" w:rsidRPr="00937C8B" w:rsidRDefault="002A4DDF" w:rsidP="009110ED">
            <w:pPr>
              <w:rPr>
                <w:rFonts w:ascii="Arial" w:hAnsi="Arial" w:cs="Arial"/>
                <w:sz w:val="12"/>
                <w:szCs w:val="12"/>
              </w:rPr>
            </w:pPr>
          </w:p>
        </w:tc>
      </w:tr>
      <w:tr w:rsidR="002A4DDF" w:rsidRPr="00937C8B" w14:paraId="68CB342B" w14:textId="77777777" w:rsidTr="00935676">
        <w:trPr>
          <w:cantSplit/>
        </w:trPr>
        <w:tc>
          <w:tcPr>
            <w:tcW w:w="1696" w:type="dxa"/>
            <w:tcBorders>
              <w:left w:val="single" w:sz="4" w:space="0" w:color="auto"/>
            </w:tcBorders>
            <w:shd w:val="clear" w:color="auto" w:fill="auto"/>
          </w:tcPr>
          <w:p w14:paraId="5D2238C4" w14:textId="77777777" w:rsidR="002A4DDF" w:rsidRPr="00937C8B" w:rsidRDefault="002A4DDF" w:rsidP="009110ED">
            <w:pPr>
              <w:rPr>
                <w:rFonts w:ascii="Arial" w:hAnsi="Arial" w:cs="Arial"/>
                <w:sz w:val="12"/>
                <w:szCs w:val="12"/>
              </w:rPr>
            </w:pPr>
          </w:p>
        </w:tc>
        <w:tc>
          <w:tcPr>
            <w:tcW w:w="1843" w:type="dxa"/>
            <w:shd w:val="clear" w:color="auto" w:fill="auto"/>
          </w:tcPr>
          <w:p w14:paraId="04E8953E" w14:textId="77777777" w:rsidR="002A4DDF" w:rsidRPr="00937C8B" w:rsidRDefault="002A4DDF" w:rsidP="009110ED">
            <w:pPr>
              <w:rPr>
                <w:rFonts w:ascii="Arial" w:hAnsi="Arial" w:cs="Arial"/>
                <w:sz w:val="12"/>
                <w:szCs w:val="12"/>
              </w:rPr>
            </w:pPr>
          </w:p>
        </w:tc>
        <w:tc>
          <w:tcPr>
            <w:tcW w:w="2268" w:type="dxa"/>
            <w:shd w:val="clear" w:color="auto" w:fill="F2F2F2"/>
            <w:hideMark/>
          </w:tcPr>
          <w:p w14:paraId="69B21D6C" w14:textId="77777777" w:rsidR="002A4DDF" w:rsidRPr="00937C8B" w:rsidRDefault="002A4DDF" w:rsidP="009110ED">
            <w:pPr>
              <w:rPr>
                <w:rFonts w:ascii="Arial" w:hAnsi="Arial" w:cs="Arial"/>
                <w:sz w:val="12"/>
                <w:szCs w:val="12"/>
              </w:rPr>
            </w:pPr>
            <w:r>
              <w:rPr>
                <w:rFonts w:ascii="Arial" w:hAnsi="Arial"/>
                <w:sz w:val="12"/>
                <w:szCs w:val="12"/>
              </w:rPr>
              <w:t>Gaztelu</w:t>
            </w:r>
          </w:p>
        </w:tc>
        <w:tc>
          <w:tcPr>
            <w:tcW w:w="2268" w:type="dxa"/>
            <w:tcBorders>
              <w:right w:val="single" w:sz="4" w:space="0" w:color="auto"/>
            </w:tcBorders>
            <w:shd w:val="clear" w:color="auto" w:fill="D9D9D9"/>
            <w:hideMark/>
          </w:tcPr>
          <w:p w14:paraId="711FB763" w14:textId="77777777" w:rsidR="002A4DDF" w:rsidRPr="00937C8B" w:rsidRDefault="002A4DDF" w:rsidP="009110ED">
            <w:pPr>
              <w:rPr>
                <w:rFonts w:ascii="Arial" w:hAnsi="Arial" w:cs="Arial"/>
                <w:sz w:val="12"/>
                <w:szCs w:val="12"/>
              </w:rPr>
            </w:pPr>
          </w:p>
        </w:tc>
      </w:tr>
      <w:tr w:rsidR="002A4DDF" w:rsidRPr="00937C8B" w14:paraId="54D48905" w14:textId="77777777" w:rsidTr="00935676">
        <w:trPr>
          <w:cantSplit/>
        </w:trPr>
        <w:tc>
          <w:tcPr>
            <w:tcW w:w="1696" w:type="dxa"/>
            <w:tcBorders>
              <w:left w:val="single" w:sz="4" w:space="0" w:color="auto"/>
            </w:tcBorders>
            <w:shd w:val="clear" w:color="auto" w:fill="auto"/>
          </w:tcPr>
          <w:p w14:paraId="569D4257" w14:textId="77777777" w:rsidR="002A4DDF" w:rsidRPr="00937C8B" w:rsidRDefault="002A4DDF" w:rsidP="009110ED">
            <w:pPr>
              <w:rPr>
                <w:rFonts w:ascii="Arial" w:hAnsi="Arial" w:cs="Arial"/>
                <w:sz w:val="12"/>
                <w:szCs w:val="12"/>
              </w:rPr>
            </w:pPr>
          </w:p>
        </w:tc>
        <w:tc>
          <w:tcPr>
            <w:tcW w:w="1843" w:type="dxa"/>
            <w:shd w:val="clear" w:color="auto" w:fill="auto"/>
          </w:tcPr>
          <w:p w14:paraId="6A06F2F2" w14:textId="77777777" w:rsidR="002A4DDF" w:rsidRPr="00937C8B" w:rsidRDefault="002A4DDF" w:rsidP="009110ED">
            <w:pPr>
              <w:rPr>
                <w:rFonts w:ascii="Arial" w:hAnsi="Arial" w:cs="Arial"/>
                <w:sz w:val="12"/>
                <w:szCs w:val="12"/>
              </w:rPr>
            </w:pPr>
          </w:p>
        </w:tc>
        <w:tc>
          <w:tcPr>
            <w:tcW w:w="2268" w:type="dxa"/>
            <w:shd w:val="clear" w:color="auto" w:fill="F2F2F2"/>
            <w:hideMark/>
          </w:tcPr>
          <w:p w14:paraId="27A32AF9" w14:textId="77777777" w:rsidR="002A4DDF" w:rsidRPr="00937C8B" w:rsidRDefault="002A4DDF" w:rsidP="009110ED">
            <w:pPr>
              <w:rPr>
                <w:rFonts w:ascii="Arial" w:hAnsi="Arial" w:cs="Arial"/>
                <w:sz w:val="12"/>
                <w:szCs w:val="12"/>
              </w:rPr>
            </w:pPr>
            <w:r>
              <w:rPr>
                <w:rFonts w:ascii="Arial" w:hAnsi="Arial"/>
                <w:sz w:val="12"/>
                <w:szCs w:val="12"/>
              </w:rPr>
              <w:t>Hernialde</w:t>
            </w:r>
          </w:p>
        </w:tc>
        <w:tc>
          <w:tcPr>
            <w:tcW w:w="2268" w:type="dxa"/>
            <w:tcBorders>
              <w:right w:val="single" w:sz="4" w:space="0" w:color="auto"/>
            </w:tcBorders>
            <w:shd w:val="clear" w:color="auto" w:fill="D9D9D9"/>
            <w:hideMark/>
          </w:tcPr>
          <w:p w14:paraId="39B44C01" w14:textId="77777777" w:rsidR="002A4DDF" w:rsidRPr="00937C8B" w:rsidRDefault="002A4DDF" w:rsidP="009110ED">
            <w:pPr>
              <w:rPr>
                <w:rFonts w:ascii="Arial" w:hAnsi="Arial" w:cs="Arial"/>
                <w:sz w:val="12"/>
                <w:szCs w:val="12"/>
              </w:rPr>
            </w:pPr>
          </w:p>
        </w:tc>
      </w:tr>
      <w:tr w:rsidR="002A4DDF" w:rsidRPr="00937C8B" w14:paraId="704242FC" w14:textId="77777777" w:rsidTr="00935676">
        <w:trPr>
          <w:cantSplit/>
        </w:trPr>
        <w:tc>
          <w:tcPr>
            <w:tcW w:w="1696" w:type="dxa"/>
            <w:tcBorders>
              <w:left w:val="single" w:sz="4" w:space="0" w:color="auto"/>
            </w:tcBorders>
            <w:shd w:val="clear" w:color="auto" w:fill="auto"/>
          </w:tcPr>
          <w:p w14:paraId="789969AB" w14:textId="77777777" w:rsidR="002A4DDF" w:rsidRPr="00937C8B" w:rsidRDefault="002A4DDF" w:rsidP="009110ED">
            <w:pPr>
              <w:rPr>
                <w:rFonts w:ascii="Arial" w:hAnsi="Arial" w:cs="Arial"/>
                <w:sz w:val="12"/>
                <w:szCs w:val="12"/>
              </w:rPr>
            </w:pPr>
          </w:p>
        </w:tc>
        <w:tc>
          <w:tcPr>
            <w:tcW w:w="1843" w:type="dxa"/>
            <w:shd w:val="clear" w:color="auto" w:fill="auto"/>
          </w:tcPr>
          <w:p w14:paraId="3077B1B2" w14:textId="77777777" w:rsidR="002A4DDF" w:rsidRPr="00937C8B" w:rsidRDefault="002A4DDF" w:rsidP="009110ED">
            <w:pPr>
              <w:rPr>
                <w:rFonts w:ascii="Arial" w:hAnsi="Arial" w:cs="Arial"/>
                <w:sz w:val="12"/>
                <w:szCs w:val="12"/>
              </w:rPr>
            </w:pPr>
          </w:p>
        </w:tc>
        <w:tc>
          <w:tcPr>
            <w:tcW w:w="2268" w:type="dxa"/>
            <w:shd w:val="clear" w:color="auto" w:fill="F2F2F2"/>
            <w:hideMark/>
          </w:tcPr>
          <w:p w14:paraId="7AE8B4C7" w14:textId="77777777" w:rsidR="002A4DDF" w:rsidRPr="00937C8B" w:rsidRDefault="002A4DDF" w:rsidP="009110ED">
            <w:pPr>
              <w:rPr>
                <w:rFonts w:ascii="Arial" w:hAnsi="Arial" w:cs="Arial"/>
                <w:sz w:val="12"/>
                <w:szCs w:val="12"/>
              </w:rPr>
            </w:pPr>
            <w:r>
              <w:rPr>
                <w:rFonts w:ascii="Arial" w:hAnsi="Arial"/>
                <w:sz w:val="12"/>
                <w:szCs w:val="12"/>
              </w:rPr>
              <w:t>Hondarribia</w:t>
            </w:r>
          </w:p>
        </w:tc>
        <w:tc>
          <w:tcPr>
            <w:tcW w:w="2268" w:type="dxa"/>
            <w:tcBorders>
              <w:right w:val="single" w:sz="4" w:space="0" w:color="auto"/>
            </w:tcBorders>
            <w:shd w:val="clear" w:color="auto" w:fill="D9D9D9"/>
            <w:hideMark/>
          </w:tcPr>
          <w:p w14:paraId="4C6C428F" w14:textId="77777777" w:rsidR="002A4DDF" w:rsidRPr="00937C8B" w:rsidRDefault="002A4DDF" w:rsidP="009110ED">
            <w:pPr>
              <w:rPr>
                <w:rFonts w:ascii="Arial" w:hAnsi="Arial" w:cs="Arial"/>
                <w:sz w:val="12"/>
                <w:szCs w:val="12"/>
              </w:rPr>
            </w:pPr>
          </w:p>
        </w:tc>
      </w:tr>
      <w:tr w:rsidR="002A4DDF" w:rsidRPr="00937C8B" w14:paraId="014C03ED" w14:textId="77777777" w:rsidTr="00935676">
        <w:trPr>
          <w:cantSplit/>
        </w:trPr>
        <w:tc>
          <w:tcPr>
            <w:tcW w:w="1696" w:type="dxa"/>
            <w:tcBorders>
              <w:left w:val="single" w:sz="4" w:space="0" w:color="auto"/>
            </w:tcBorders>
            <w:shd w:val="clear" w:color="auto" w:fill="auto"/>
          </w:tcPr>
          <w:p w14:paraId="3910B1FC" w14:textId="77777777" w:rsidR="002A4DDF" w:rsidRPr="00937C8B" w:rsidRDefault="002A4DDF" w:rsidP="009110ED">
            <w:pPr>
              <w:rPr>
                <w:rFonts w:ascii="Arial" w:hAnsi="Arial" w:cs="Arial"/>
                <w:sz w:val="12"/>
                <w:szCs w:val="12"/>
              </w:rPr>
            </w:pPr>
          </w:p>
        </w:tc>
        <w:tc>
          <w:tcPr>
            <w:tcW w:w="1843" w:type="dxa"/>
            <w:shd w:val="clear" w:color="auto" w:fill="auto"/>
          </w:tcPr>
          <w:p w14:paraId="5088F4E0" w14:textId="77777777" w:rsidR="002A4DDF" w:rsidRPr="00937C8B" w:rsidRDefault="002A4DDF" w:rsidP="009110ED">
            <w:pPr>
              <w:rPr>
                <w:rFonts w:ascii="Arial" w:hAnsi="Arial" w:cs="Arial"/>
                <w:sz w:val="12"/>
                <w:szCs w:val="12"/>
              </w:rPr>
            </w:pPr>
          </w:p>
        </w:tc>
        <w:tc>
          <w:tcPr>
            <w:tcW w:w="2268" w:type="dxa"/>
            <w:shd w:val="clear" w:color="auto" w:fill="F2F2F2"/>
            <w:hideMark/>
          </w:tcPr>
          <w:p w14:paraId="31271788" w14:textId="77777777" w:rsidR="002A4DDF" w:rsidRPr="00937C8B" w:rsidRDefault="002A4DDF" w:rsidP="009110ED">
            <w:pPr>
              <w:rPr>
                <w:rFonts w:ascii="Arial" w:hAnsi="Arial" w:cs="Arial"/>
                <w:sz w:val="12"/>
                <w:szCs w:val="12"/>
              </w:rPr>
            </w:pPr>
            <w:r>
              <w:rPr>
                <w:rFonts w:ascii="Arial" w:hAnsi="Arial"/>
                <w:sz w:val="12"/>
                <w:szCs w:val="12"/>
              </w:rPr>
              <w:t>Ibarra</w:t>
            </w:r>
          </w:p>
        </w:tc>
        <w:tc>
          <w:tcPr>
            <w:tcW w:w="2268" w:type="dxa"/>
            <w:tcBorders>
              <w:right w:val="single" w:sz="4" w:space="0" w:color="auto"/>
            </w:tcBorders>
            <w:shd w:val="clear" w:color="auto" w:fill="D9D9D9"/>
            <w:hideMark/>
          </w:tcPr>
          <w:p w14:paraId="43BE944C" w14:textId="77777777" w:rsidR="002A4DDF" w:rsidRPr="00937C8B" w:rsidRDefault="002A4DDF" w:rsidP="009110ED">
            <w:pPr>
              <w:rPr>
                <w:rFonts w:ascii="Arial" w:hAnsi="Arial" w:cs="Arial"/>
                <w:sz w:val="12"/>
                <w:szCs w:val="12"/>
              </w:rPr>
            </w:pPr>
          </w:p>
        </w:tc>
      </w:tr>
      <w:tr w:rsidR="002A4DDF" w:rsidRPr="00937C8B" w14:paraId="4E37C0A8" w14:textId="77777777" w:rsidTr="00935676">
        <w:trPr>
          <w:cantSplit/>
        </w:trPr>
        <w:tc>
          <w:tcPr>
            <w:tcW w:w="1696" w:type="dxa"/>
            <w:tcBorders>
              <w:left w:val="single" w:sz="4" w:space="0" w:color="auto"/>
            </w:tcBorders>
            <w:shd w:val="clear" w:color="auto" w:fill="auto"/>
          </w:tcPr>
          <w:p w14:paraId="5C3F462E" w14:textId="77777777" w:rsidR="002A4DDF" w:rsidRPr="00937C8B" w:rsidRDefault="002A4DDF" w:rsidP="009110ED">
            <w:pPr>
              <w:rPr>
                <w:rFonts w:ascii="Arial" w:hAnsi="Arial" w:cs="Arial"/>
                <w:sz w:val="12"/>
                <w:szCs w:val="12"/>
              </w:rPr>
            </w:pPr>
          </w:p>
        </w:tc>
        <w:tc>
          <w:tcPr>
            <w:tcW w:w="1843" w:type="dxa"/>
            <w:shd w:val="clear" w:color="auto" w:fill="auto"/>
          </w:tcPr>
          <w:p w14:paraId="02743D90" w14:textId="77777777" w:rsidR="002A4DDF" w:rsidRPr="00937C8B" w:rsidRDefault="002A4DDF" w:rsidP="009110ED">
            <w:pPr>
              <w:rPr>
                <w:rFonts w:ascii="Arial" w:hAnsi="Arial" w:cs="Arial"/>
                <w:sz w:val="12"/>
                <w:szCs w:val="12"/>
              </w:rPr>
            </w:pPr>
          </w:p>
        </w:tc>
        <w:tc>
          <w:tcPr>
            <w:tcW w:w="2268" w:type="dxa"/>
            <w:shd w:val="clear" w:color="auto" w:fill="F2F2F2"/>
            <w:hideMark/>
          </w:tcPr>
          <w:p w14:paraId="406A7D00" w14:textId="77777777" w:rsidR="002A4DDF" w:rsidRPr="00937C8B" w:rsidRDefault="002A4DDF" w:rsidP="009110ED">
            <w:pPr>
              <w:rPr>
                <w:rFonts w:ascii="Arial" w:hAnsi="Arial" w:cs="Arial"/>
                <w:sz w:val="12"/>
                <w:szCs w:val="12"/>
              </w:rPr>
            </w:pPr>
            <w:r>
              <w:rPr>
                <w:rFonts w:ascii="Arial" w:hAnsi="Arial"/>
                <w:sz w:val="12"/>
                <w:szCs w:val="12"/>
              </w:rPr>
              <w:t>Idiazabal</w:t>
            </w:r>
          </w:p>
        </w:tc>
        <w:tc>
          <w:tcPr>
            <w:tcW w:w="2268" w:type="dxa"/>
            <w:tcBorders>
              <w:right w:val="single" w:sz="4" w:space="0" w:color="auto"/>
            </w:tcBorders>
            <w:shd w:val="clear" w:color="auto" w:fill="D9D9D9"/>
            <w:hideMark/>
          </w:tcPr>
          <w:p w14:paraId="504A51FA" w14:textId="77777777" w:rsidR="002A4DDF" w:rsidRPr="00937C8B" w:rsidRDefault="002A4DDF" w:rsidP="009110ED">
            <w:pPr>
              <w:rPr>
                <w:rFonts w:ascii="Arial" w:hAnsi="Arial" w:cs="Arial"/>
                <w:sz w:val="12"/>
                <w:szCs w:val="12"/>
              </w:rPr>
            </w:pPr>
          </w:p>
        </w:tc>
      </w:tr>
      <w:tr w:rsidR="002A4DDF" w:rsidRPr="00937C8B" w14:paraId="58171AB8" w14:textId="77777777" w:rsidTr="00935676">
        <w:trPr>
          <w:cantSplit/>
        </w:trPr>
        <w:tc>
          <w:tcPr>
            <w:tcW w:w="1696" w:type="dxa"/>
            <w:tcBorders>
              <w:left w:val="single" w:sz="4" w:space="0" w:color="auto"/>
            </w:tcBorders>
            <w:shd w:val="clear" w:color="auto" w:fill="auto"/>
          </w:tcPr>
          <w:p w14:paraId="4BE6C8E5" w14:textId="77777777" w:rsidR="002A4DDF" w:rsidRPr="00937C8B" w:rsidRDefault="002A4DDF" w:rsidP="009110ED">
            <w:pPr>
              <w:rPr>
                <w:rFonts w:ascii="Arial" w:hAnsi="Arial" w:cs="Arial"/>
                <w:sz w:val="12"/>
                <w:szCs w:val="12"/>
              </w:rPr>
            </w:pPr>
          </w:p>
        </w:tc>
        <w:tc>
          <w:tcPr>
            <w:tcW w:w="1843" w:type="dxa"/>
            <w:shd w:val="clear" w:color="auto" w:fill="auto"/>
          </w:tcPr>
          <w:p w14:paraId="6FB5C730" w14:textId="77777777" w:rsidR="002A4DDF" w:rsidRPr="00937C8B" w:rsidRDefault="002A4DDF" w:rsidP="009110ED">
            <w:pPr>
              <w:rPr>
                <w:rFonts w:ascii="Arial" w:hAnsi="Arial" w:cs="Arial"/>
                <w:sz w:val="12"/>
                <w:szCs w:val="12"/>
              </w:rPr>
            </w:pPr>
          </w:p>
        </w:tc>
        <w:tc>
          <w:tcPr>
            <w:tcW w:w="2268" w:type="dxa"/>
            <w:shd w:val="clear" w:color="auto" w:fill="F2F2F2"/>
            <w:hideMark/>
          </w:tcPr>
          <w:p w14:paraId="2BA78003" w14:textId="77777777" w:rsidR="002A4DDF" w:rsidRPr="00937C8B" w:rsidRDefault="002A4DDF" w:rsidP="009110ED">
            <w:pPr>
              <w:rPr>
                <w:rFonts w:ascii="Arial" w:hAnsi="Arial" w:cs="Arial"/>
                <w:sz w:val="12"/>
                <w:szCs w:val="12"/>
              </w:rPr>
            </w:pPr>
            <w:r>
              <w:rPr>
                <w:rFonts w:ascii="Arial" w:hAnsi="Arial"/>
                <w:sz w:val="12"/>
                <w:szCs w:val="12"/>
              </w:rPr>
              <w:t>Ikaztegieta</w:t>
            </w:r>
          </w:p>
        </w:tc>
        <w:tc>
          <w:tcPr>
            <w:tcW w:w="2268" w:type="dxa"/>
            <w:tcBorders>
              <w:right w:val="single" w:sz="4" w:space="0" w:color="auto"/>
            </w:tcBorders>
            <w:shd w:val="clear" w:color="auto" w:fill="D9D9D9"/>
            <w:hideMark/>
          </w:tcPr>
          <w:p w14:paraId="53E6CB6E" w14:textId="77777777" w:rsidR="002A4DDF" w:rsidRPr="00937C8B" w:rsidRDefault="002A4DDF" w:rsidP="009110ED">
            <w:pPr>
              <w:rPr>
                <w:rFonts w:ascii="Arial" w:hAnsi="Arial" w:cs="Arial"/>
                <w:sz w:val="12"/>
                <w:szCs w:val="12"/>
              </w:rPr>
            </w:pPr>
          </w:p>
        </w:tc>
      </w:tr>
      <w:tr w:rsidR="002A4DDF" w:rsidRPr="00937C8B" w14:paraId="65E56866" w14:textId="77777777" w:rsidTr="00935676">
        <w:trPr>
          <w:cantSplit/>
        </w:trPr>
        <w:tc>
          <w:tcPr>
            <w:tcW w:w="1696" w:type="dxa"/>
            <w:tcBorders>
              <w:left w:val="single" w:sz="4" w:space="0" w:color="auto"/>
            </w:tcBorders>
            <w:shd w:val="clear" w:color="auto" w:fill="auto"/>
          </w:tcPr>
          <w:p w14:paraId="0968E3EE" w14:textId="77777777" w:rsidR="002A4DDF" w:rsidRPr="00937C8B" w:rsidRDefault="002A4DDF" w:rsidP="009110ED">
            <w:pPr>
              <w:rPr>
                <w:rFonts w:ascii="Arial" w:hAnsi="Arial" w:cs="Arial"/>
                <w:sz w:val="12"/>
                <w:szCs w:val="12"/>
              </w:rPr>
            </w:pPr>
          </w:p>
        </w:tc>
        <w:tc>
          <w:tcPr>
            <w:tcW w:w="1843" w:type="dxa"/>
            <w:shd w:val="clear" w:color="auto" w:fill="auto"/>
          </w:tcPr>
          <w:p w14:paraId="17FCE832" w14:textId="77777777" w:rsidR="002A4DDF" w:rsidRPr="00937C8B" w:rsidRDefault="002A4DDF" w:rsidP="009110ED">
            <w:pPr>
              <w:rPr>
                <w:rFonts w:ascii="Arial" w:hAnsi="Arial" w:cs="Arial"/>
                <w:sz w:val="12"/>
                <w:szCs w:val="12"/>
              </w:rPr>
            </w:pPr>
          </w:p>
        </w:tc>
        <w:tc>
          <w:tcPr>
            <w:tcW w:w="2268" w:type="dxa"/>
            <w:shd w:val="clear" w:color="auto" w:fill="F2F2F2"/>
            <w:hideMark/>
          </w:tcPr>
          <w:p w14:paraId="5C648B9F" w14:textId="77777777" w:rsidR="002A4DDF" w:rsidRPr="00937C8B" w:rsidRDefault="002A4DDF" w:rsidP="009110ED">
            <w:pPr>
              <w:rPr>
                <w:rFonts w:ascii="Arial" w:hAnsi="Arial" w:cs="Arial"/>
                <w:sz w:val="12"/>
                <w:szCs w:val="12"/>
              </w:rPr>
            </w:pPr>
            <w:r>
              <w:rPr>
                <w:rFonts w:ascii="Arial" w:hAnsi="Arial"/>
                <w:sz w:val="12"/>
                <w:szCs w:val="12"/>
              </w:rPr>
              <w:t>Irun</w:t>
            </w:r>
          </w:p>
        </w:tc>
        <w:tc>
          <w:tcPr>
            <w:tcW w:w="2268" w:type="dxa"/>
            <w:tcBorders>
              <w:right w:val="single" w:sz="4" w:space="0" w:color="auto"/>
            </w:tcBorders>
            <w:shd w:val="clear" w:color="auto" w:fill="D9D9D9"/>
            <w:hideMark/>
          </w:tcPr>
          <w:p w14:paraId="184D3B37" w14:textId="77777777" w:rsidR="002A4DDF" w:rsidRPr="00937C8B" w:rsidRDefault="002A4DDF" w:rsidP="009110ED">
            <w:pPr>
              <w:rPr>
                <w:rFonts w:ascii="Arial" w:hAnsi="Arial" w:cs="Arial"/>
                <w:sz w:val="12"/>
                <w:szCs w:val="12"/>
              </w:rPr>
            </w:pPr>
          </w:p>
        </w:tc>
      </w:tr>
      <w:tr w:rsidR="002A4DDF" w:rsidRPr="00937C8B" w14:paraId="6469E167" w14:textId="77777777" w:rsidTr="00935676">
        <w:trPr>
          <w:cantSplit/>
        </w:trPr>
        <w:tc>
          <w:tcPr>
            <w:tcW w:w="1696" w:type="dxa"/>
            <w:tcBorders>
              <w:left w:val="single" w:sz="4" w:space="0" w:color="auto"/>
            </w:tcBorders>
            <w:shd w:val="clear" w:color="auto" w:fill="auto"/>
          </w:tcPr>
          <w:p w14:paraId="2CE2EC78" w14:textId="77777777" w:rsidR="002A4DDF" w:rsidRPr="00937C8B" w:rsidRDefault="002A4DDF" w:rsidP="009110ED">
            <w:pPr>
              <w:rPr>
                <w:rFonts w:ascii="Arial" w:hAnsi="Arial" w:cs="Arial"/>
                <w:sz w:val="12"/>
                <w:szCs w:val="12"/>
              </w:rPr>
            </w:pPr>
          </w:p>
        </w:tc>
        <w:tc>
          <w:tcPr>
            <w:tcW w:w="1843" w:type="dxa"/>
            <w:shd w:val="clear" w:color="auto" w:fill="auto"/>
          </w:tcPr>
          <w:p w14:paraId="18968226" w14:textId="77777777" w:rsidR="002A4DDF" w:rsidRPr="00937C8B" w:rsidRDefault="002A4DDF" w:rsidP="009110ED">
            <w:pPr>
              <w:rPr>
                <w:rFonts w:ascii="Arial" w:hAnsi="Arial" w:cs="Arial"/>
                <w:sz w:val="12"/>
                <w:szCs w:val="12"/>
              </w:rPr>
            </w:pPr>
          </w:p>
        </w:tc>
        <w:tc>
          <w:tcPr>
            <w:tcW w:w="2268" w:type="dxa"/>
            <w:shd w:val="clear" w:color="auto" w:fill="F2F2F2"/>
            <w:hideMark/>
          </w:tcPr>
          <w:p w14:paraId="610BBB60" w14:textId="77777777" w:rsidR="002A4DDF" w:rsidRPr="00937C8B" w:rsidRDefault="002A4DDF" w:rsidP="009110ED">
            <w:pPr>
              <w:rPr>
                <w:rFonts w:ascii="Arial" w:hAnsi="Arial" w:cs="Arial"/>
                <w:sz w:val="12"/>
                <w:szCs w:val="12"/>
              </w:rPr>
            </w:pPr>
            <w:r>
              <w:rPr>
                <w:rFonts w:ascii="Arial" w:hAnsi="Arial"/>
                <w:sz w:val="12"/>
                <w:szCs w:val="12"/>
              </w:rPr>
              <w:t>Irura</w:t>
            </w:r>
          </w:p>
        </w:tc>
        <w:tc>
          <w:tcPr>
            <w:tcW w:w="2268" w:type="dxa"/>
            <w:tcBorders>
              <w:right w:val="single" w:sz="4" w:space="0" w:color="auto"/>
            </w:tcBorders>
            <w:shd w:val="clear" w:color="auto" w:fill="D9D9D9"/>
            <w:hideMark/>
          </w:tcPr>
          <w:p w14:paraId="1A204E55" w14:textId="77777777" w:rsidR="002A4DDF" w:rsidRPr="00937C8B" w:rsidRDefault="002A4DDF" w:rsidP="009110ED">
            <w:pPr>
              <w:rPr>
                <w:rFonts w:ascii="Arial" w:hAnsi="Arial" w:cs="Arial"/>
                <w:sz w:val="12"/>
                <w:szCs w:val="12"/>
              </w:rPr>
            </w:pPr>
          </w:p>
        </w:tc>
      </w:tr>
      <w:tr w:rsidR="002A4DDF" w:rsidRPr="00937C8B" w14:paraId="0601C47B" w14:textId="77777777" w:rsidTr="00935676">
        <w:trPr>
          <w:cantSplit/>
        </w:trPr>
        <w:tc>
          <w:tcPr>
            <w:tcW w:w="1696" w:type="dxa"/>
            <w:tcBorders>
              <w:left w:val="single" w:sz="4" w:space="0" w:color="auto"/>
            </w:tcBorders>
            <w:shd w:val="clear" w:color="auto" w:fill="auto"/>
          </w:tcPr>
          <w:p w14:paraId="4CF9140B" w14:textId="77777777" w:rsidR="002A4DDF" w:rsidRPr="00937C8B" w:rsidRDefault="002A4DDF" w:rsidP="009110ED">
            <w:pPr>
              <w:rPr>
                <w:rFonts w:ascii="Arial" w:hAnsi="Arial" w:cs="Arial"/>
                <w:sz w:val="12"/>
                <w:szCs w:val="12"/>
              </w:rPr>
            </w:pPr>
          </w:p>
        </w:tc>
        <w:tc>
          <w:tcPr>
            <w:tcW w:w="1843" w:type="dxa"/>
            <w:shd w:val="clear" w:color="auto" w:fill="auto"/>
          </w:tcPr>
          <w:p w14:paraId="0A82CBDB" w14:textId="77777777" w:rsidR="002A4DDF" w:rsidRPr="00937C8B" w:rsidRDefault="002A4DDF" w:rsidP="009110ED">
            <w:pPr>
              <w:rPr>
                <w:rFonts w:ascii="Arial" w:hAnsi="Arial" w:cs="Arial"/>
                <w:sz w:val="12"/>
                <w:szCs w:val="12"/>
              </w:rPr>
            </w:pPr>
          </w:p>
        </w:tc>
        <w:tc>
          <w:tcPr>
            <w:tcW w:w="2268" w:type="dxa"/>
            <w:shd w:val="clear" w:color="auto" w:fill="F2F2F2"/>
            <w:hideMark/>
          </w:tcPr>
          <w:p w14:paraId="56D34C93" w14:textId="77777777" w:rsidR="002A4DDF" w:rsidRPr="00937C8B" w:rsidRDefault="002A4DDF" w:rsidP="009110ED">
            <w:pPr>
              <w:rPr>
                <w:rFonts w:ascii="Arial" w:hAnsi="Arial" w:cs="Arial"/>
                <w:sz w:val="12"/>
                <w:szCs w:val="12"/>
              </w:rPr>
            </w:pPr>
            <w:r>
              <w:rPr>
                <w:rFonts w:ascii="Arial" w:hAnsi="Arial"/>
                <w:sz w:val="12"/>
                <w:szCs w:val="12"/>
              </w:rPr>
              <w:t>Itsasondo</w:t>
            </w:r>
          </w:p>
        </w:tc>
        <w:tc>
          <w:tcPr>
            <w:tcW w:w="2268" w:type="dxa"/>
            <w:tcBorders>
              <w:right w:val="single" w:sz="4" w:space="0" w:color="auto"/>
            </w:tcBorders>
            <w:shd w:val="clear" w:color="auto" w:fill="D9D9D9"/>
            <w:hideMark/>
          </w:tcPr>
          <w:p w14:paraId="032D9034" w14:textId="77777777" w:rsidR="002A4DDF" w:rsidRPr="00937C8B" w:rsidRDefault="002A4DDF" w:rsidP="009110ED">
            <w:pPr>
              <w:rPr>
                <w:rFonts w:ascii="Arial" w:hAnsi="Arial" w:cs="Arial"/>
                <w:sz w:val="12"/>
                <w:szCs w:val="12"/>
              </w:rPr>
            </w:pPr>
          </w:p>
        </w:tc>
      </w:tr>
      <w:tr w:rsidR="002A4DDF" w:rsidRPr="00937C8B" w14:paraId="31D98A96" w14:textId="77777777" w:rsidTr="00935676">
        <w:trPr>
          <w:cantSplit/>
        </w:trPr>
        <w:tc>
          <w:tcPr>
            <w:tcW w:w="1696" w:type="dxa"/>
            <w:tcBorders>
              <w:left w:val="single" w:sz="4" w:space="0" w:color="auto"/>
            </w:tcBorders>
            <w:shd w:val="clear" w:color="auto" w:fill="auto"/>
          </w:tcPr>
          <w:p w14:paraId="0CDB4EE6" w14:textId="77777777" w:rsidR="002A4DDF" w:rsidRPr="00937C8B" w:rsidRDefault="002A4DDF" w:rsidP="009110ED">
            <w:pPr>
              <w:rPr>
                <w:rFonts w:ascii="Arial" w:hAnsi="Arial" w:cs="Arial"/>
                <w:sz w:val="12"/>
                <w:szCs w:val="12"/>
              </w:rPr>
            </w:pPr>
          </w:p>
        </w:tc>
        <w:tc>
          <w:tcPr>
            <w:tcW w:w="1843" w:type="dxa"/>
            <w:shd w:val="clear" w:color="auto" w:fill="auto"/>
          </w:tcPr>
          <w:p w14:paraId="546E781B" w14:textId="77777777" w:rsidR="002A4DDF" w:rsidRPr="00937C8B" w:rsidRDefault="002A4DDF" w:rsidP="009110ED">
            <w:pPr>
              <w:rPr>
                <w:rFonts w:ascii="Arial" w:hAnsi="Arial" w:cs="Arial"/>
                <w:sz w:val="12"/>
                <w:szCs w:val="12"/>
              </w:rPr>
            </w:pPr>
          </w:p>
        </w:tc>
        <w:tc>
          <w:tcPr>
            <w:tcW w:w="2268" w:type="dxa"/>
            <w:shd w:val="clear" w:color="auto" w:fill="F2F2F2"/>
            <w:hideMark/>
          </w:tcPr>
          <w:p w14:paraId="2D0274FC" w14:textId="77777777" w:rsidR="002A4DDF" w:rsidRPr="00937C8B" w:rsidRDefault="002A4DDF" w:rsidP="009110ED">
            <w:pPr>
              <w:rPr>
                <w:rFonts w:ascii="Arial" w:hAnsi="Arial" w:cs="Arial"/>
                <w:sz w:val="12"/>
                <w:szCs w:val="12"/>
              </w:rPr>
            </w:pPr>
            <w:r>
              <w:rPr>
                <w:rFonts w:ascii="Arial" w:hAnsi="Arial"/>
                <w:sz w:val="12"/>
                <w:szCs w:val="12"/>
              </w:rPr>
              <w:t>Larraul</w:t>
            </w:r>
          </w:p>
        </w:tc>
        <w:tc>
          <w:tcPr>
            <w:tcW w:w="2268" w:type="dxa"/>
            <w:tcBorders>
              <w:right w:val="single" w:sz="4" w:space="0" w:color="auto"/>
            </w:tcBorders>
            <w:shd w:val="clear" w:color="auto" w:fill="D9D9D9"/>
            <w:hideMark/>
          </w:tcPr>
          <w:p w14:paraId="524EBDF0" w14:textId="77777777" w:rsidR="002A4DDF" w:rsidRPr="00937C8B" w:rsidRDefault="002A4DDF" w:rsidP="009110ED">
            <w:pPr>
              <w:rPr>
                <w:rFonts w:ascii="Arial" w:hAnsi="Arial" w:cs="Arial"/>
                <w:sz w:val="12"/>
                <w:szCs w:val="12"/>
              </w:rPr>
            </w:pPr>
          </w:p>
        </w:tc>
      </w:tr>
      <w:tr w:rsidR="002A4DDF" w:rsidRPr="00937C8B" w14:paraId="7310A018" w14:textId="77777777" w:rsidTr="00935676">
        <w:trPr>
          <w:cantSplit/>
        </w:trPr>
        <w:tc>
          <w:tcPr>
            <w:tcW w:w="1696" w:type="dxa"/>
            <w:tcBorders>
              <w:left w:val="single" w:sz="4" w:space="0" w:color="auto"/>
            </w:tcBorders>
            <w:shd w:val="clear" w:color="auto" w:fill="auto"/>
          </w:tcPr>
          <w:p w14:paraId="01A673A3" w14:textId="77777777" w:rsidR="002A4DDF" w:rsidRPr="00937C8B" w:rsidRDefault="002A4DDF" w:rsidP="009110ED">
            <w:pPr>
              <w:rPr>
                <w:rFonts w:ascii="Arial" w:hAnsi="Arial" w:cs="Arial"/>
                <w:sz w:val="12"/>
                <w:szCs w:val="12"/>
              </w:rPr>
            </w:pPr>
          </w:p>
        </w:tc>
        <w:tc>
          <w:tcPr>
            <w:tcW w:w="1843" w:type="dxa"/>
            <w:shd w:val="clear" w:color="auto" w:fill="auto"/>
          </w:tcPr>
          <w:p w14:paraId="69AEF134" w14:textId="77777777" w:rsidR="002A4DDF" w:rsidRPr="00937C8B" w:rsidRDefault="002A4DDF" w:rsidP="009110ED">
            <w:pPr>
              <w:rPr>
                <w:rFonts w:ascii="Arial" w:hAnsi="Arial" w:cs="Arial"/>
                <w:sz w:val="12"/>
                <w:szCs w:val="12"/>
              </w:rPr>
            </w:pPr>
          </w:p>
        </w:tc>
        <w:tc>
          <w:tcPr>
            <w:tcW w:w="2268" w:type="dxa"/>
            <w:shd w:val="clear" w:color="auto" w:fill="F2F2F2"/>
            <w:hideMark/>
          </w:tcPr>
          <w:p w14:paraId="7768528C" w14:textId="77777777" w:rsidR="002A4DDF" w:rsidRPr="00937C8B" w:rsidRDefault="002A4DDF" w:rsidP="009110ED">
            <w:pPr>
              <w:rPr>
                <w:rFonts w:ascii="Arial" w:hAnsi="Arial" w:cs="Arial"/>
                <w:sz w:val="12"/>
                <w:szCs w:val="12"/>
              </w:rPr>
            </w:pPr>
            <w:r>
              <w:rPr>
                <w:rFonts w:ascii="Arial" w:hAnsi="Arial"/>
                <w:sz w:val="12"/>
                <w:szCs w:val="12"/>
              </w:rPr>
              <w:t>Lazkao</w:t>
            </w:r>
          </w:p>
        </w:tc>
        <w:tc>
          <w:tcPr>
            <w:tcW w:w="2268" w:type="dxa"/>
            <w:tcBorders>
              <w:right w:val="single" w:sz="4" w:space="0" w:color="auto"/>
            </w:tcBorders>
            <w:shd w:val="clear" w:color="auto" w:fill="D9D9D9"/>
            <w:hideMark/>
          </w:tcPr>
          <w:p w14:paraId="7833B76C" w14:textId="77777777" w:rsidR="002A4DDF" w:rsidRPr="00937C8B" w:rsidRDefault="002A4DDF" w:rsidP="009110ED">
            <w:pPr>
              <w:rPr>
                <w:rFonts w:ascii="Arial" w:hAnsi="Arial" w:cs="Arial"/>
                <w:sz w:val="12"/>
                <w:szCs w:val="12"/>
              </w:rPr>
            </w:pPr>
          </w:p>
        </w:tc>
      </w:tr>
      <w:tr w:rsidR="002A4DDF" w:rsidRPr="00937C8B" w14:paraId="6BE1153F" w14:textId="77777777" w:rsidTr="00935676">
        <w:trPr>
          <w:cantSplit/>
        </w:trPr>
        <w:tc>
          <w:tcPr>
            <w:tcW w:w="1696" w:type="dxa"/>
            <w:tcBorders>
              <w:left w:val="single" w:sz="4" w:space="0" w:color="auto"/>
            </w:tcBorders>
            <w:shd w:val="clear" w:color="auto" w:fill="auto"/>
          </w:tcPr>
          <w:p w14:paraId="5FDAAE48" w14:textId="77777777" w:rsidR="002A4DDF" w:rsidRPr="00937C8B" w:rsidRDefault="002A4DDF" w:rsidP="009110ED">
            <w:pPr>
              <w:rPr>
                <w:rFonts w:ascii="Arial" w:hAnsi="Arial" w:cs="Arial"/>
                <w:sz w:val="12"/>
                <w:szCs w:val="12"/>
              </w:rPr>
            </w:pPr>
          </w:p>
        </w:tc>
        <w:tc>
          <w:tcPr>
            <w:tcW w:w="1843" w:type="dxa"/>
            <w:shd w:val="clear" w:color="auto" w:fill="auto"/>
          </w:tcPr>
          <w:p w14:paraId="635CD9D8" w14:textId="77777777" w:rsidR="002A4DDF" w:rsidRPr="00937C8B" w:rsidRDefault="002A4DDF" w:rsidP="009110ED">
            <w:pPr>
              <w:rPr>
                <w:rFonts w:ascii="Arial" w:hAnsi="Arial" w:cs="Arial"/>
                <w:sz w:val="12"/>
                <w:szCs w:val="12"/>
              </w:rPr>
            </w:pPr>
          </w:p>
        </w:tc>
        <w:tc>
          <w:tcPr>
            <w:tcW w:w="2268" w:type="dxa"/>
            <w:shd w:val="clear" w:color="auto" w:fill="F2F2F2"/>
            <w:hideMark/>
          </w:tcPr>
          <w:p w14:paraId="7C1E1D90" w14:textId="77777777" w:rsidR="002A4DDF" w:rsidRPr="00937C8B" w:rsidRDefault="002A4DDF" w:rsidP="009110ED">
            <w:pPr>
              <w:rPr>
                <w:rFonts w:ascii="Arial" w:hAnsi="Arial" w:cs="Arial"/>
                <w:sz w:val="12"/>
                <w:szCs w:val="12"/>
              </w:rPr>
            </w:pPr>
            <w:r>
              <w:rPr>
                <w:rFonts w:ascii="Arial" w:hAnsi="Arial"/>
                <w:sz w:val="12"/>
                <w:szCs w:val="12"/>
              </w:rPr>
              <w:t>Leaburu</w:t>
            </w:r>
          </w:p>
        </w:tc>
        <w:tc>
          <w:tcPr>
            <w:tcW w:w="2268" w:type="dxa"/>
            <w:tcBorders>
              <w:right w:val="single" w:sz="4" w:space="0" w:color="auto"/>
            </w:tcBorders>
            <w:shd w:val="clear" w:color="auto" w:fill="D9D9D9"/>
            <w:hideMark/>
          </w:tcPr>
          <w:p w14:paraId="2A61254F" w14:textId="77777777" w:rsidR="002A4DDF" w:rsidRPr="00937C8B" w:rsidRDefault="002A4DDF" w:rsidP="009110ED">
            <w:pPr>
              <w:rPr>
                <w:rFonts w:ascii="Arial" w:hAnsi="Arial" w:cs="Arial"/>
                <w:sz w:val="12"/>
                <w:szCs w:val="12"/>
              </w:rPr>
            </w:pPr>
          </w:p>
        </w:tc>
      </w:tr>
      <w:tr w:rsidR="002A4DDF" w:rsidRPr="00937C8B" w14:paraId="0C4B1D84" w14:textId="77777777" w:rsidTr="00935676">
        <w:trPr>
          <w:cantSplit/>
        </w:trPr>
        <w:tc>
          <w:tcPr>
            <w:tcW w:w="1696" w:type="dxa"/>
            <w:tcBorders>
              <w:left w:val="single" w:sz="4" w:space="0" w:color="auto"/>
            </w:tcBorders>
            <w:shd w:val="clear" w:color="auto" w:fill="auto"/>
          </w:tcPr>
          <w:p w14:paraId="34F91204" w14:textId="77777777" w:rsidR="002A4DDF" w:rsidRPr="00937C8B" w:rsidRDefault="002A4DDF" w:rsidP="009110ED">
            <w:pPr>
              <w:rPr>
                <w:rFonts w:ascii="Arial" w:hAnsi="Arial" w:cs="Arial"/>
                <w:sz w:val="12"/>
                <w:szCs w:val="12"/>
              </w:rPr>
            </w:pPr>
          </w:p>
        </w:tc>
        <w:tc>
          <w:tcPr>
            <w:tcW w:w="1843" w:type="dxa"/>
            <w:shd w:val="clear" w:color="auto" w:fill="auto"/>
          </w:tcPr>
          <w:p w14:paraId="5234EE4E" w14:textId="77777777" w:rsidR="002A4DDF" w:rsidRPr="00937C8B" w:rsidRDefault="002A4DDF" w:rsidP="009110ED">
            <w:pPr>
              <w:rPr>
                <w:rFonts w:ascii="Arial" w:hAnsi="Arial" w:cs="Arial"/>
                <w:sz w:val="12"/>
                <w:szCs w:val="12"/>
              </w:rPr>
            </w:pPr>
          </w:p>
        </w:tc>
        <w:tc>
          <w:tcPr>
            <w:tcW w:w="2268" w:type="dxa"/>
            <w:shd w:val="clear" w:color="auto" w:fill="F2F2F2"/>
            <w:hideMark/>
          </w:tcPr>
          <w:p w14:paraId="53A711C8" w14:textId="77777777" w:rsidR="002A4DDF" w:rsidRPr="00937C8B" w:rsidRDefault="002A4DDF" w:rsidP="009110ED">
            <w:pPr>
              <w:rPr>
                <w:rFonts w:ascii="Arial" w:hAnsi="Arial" w:cs="Arial"/>
                <w:sz w:val="12"/>
                <w:szCs w:val="12"/>
              </w:rPr>
            </w:pPr>
            <w:r>
              <w:rPr>
                <w:rFonts w:ascii="Arial" w:hAnsi="Arial"/>
                <w:sz w:val="12"/>
                <w:szCs w:val="12"/>
              </w:rPr>
              <w:t>Legazpi</w:t>
            </w:r>
          </w:p>
        </w:tc>
        <w:tc>
          <w:tcPr>
            <w:tcW w:w="2268" w:type="dxa"/>
            <w:tcBorders>
              <w:right w:val="single" w:sz="4" w:space="0" w:color="auto"/>
            </w:tcBorders>
            <w:shd w:val="clear" w:color="auto" w:fill="D9D9D9"/>
            <w:hideMark/>
          </w:tcPr>
          <w:p w14:paraId="4B6211A1" w14:textId="77777777" w:rsidR="002A4DDF" w:rsidRPr="00937C8B" w:rsidRDefault="002A4DDF" w:rsidP="009110ED">
            <w:pPr>
              <w:rPr>
                <w:rFonts w:ascii="Arial" w:hAnsi="Arial" w:cs="Arial"/>
                <w:sz w:val="12"/>
                <w:szCs w:val="12"/>
              </w:rPr>
            </w:pPr>
          </w:p>
        </w:tc>
      </w:tr>
      <w:tr w:rsidR="002A4DDF" w:rsidRPr="00937C8B" w14:paraId="7294D106" w14:textId="77777777" w:rsidTr="00935676">
        <w:trPr>
          <w:cantSplit/>
        </w:trPr>
        <w:tc>
          <w:tcPr>
            <w:tcW w:w="1696" w:type="dxa"/>
            <w:tcBorders>
              <w:left w:val="single" w:sz="4" w:space="0" w:color="auto"/>
            </w:tcBorders>
            <w:shd w:val="clear" w:color="auto" w:fill="auto"/>
          </w:tcPr>
          <w:p w14:paraId="38B80421" w14:textId="77777777" w:rsidR="002A4DDF" w:rsidRPr="00937C8B" w:rsidRDefault="002A4DDF" w:rsidP="009110ED">
            <w:pPr>
              <w:rPr>
                <w:rFonts w:ascii="Arial" w:hAnsi="Arial" w:cs="Arial"/>
                <w:sz w:val="12"/>
                <w:szCs w:val="12"/>
              </w:rPr>
            </w:pPr>
          </w:p>
        </w:tc>
        <w:tc>
          <w:tcPr>
            <w:tcW w:w="1843" w:type="dxa"/>
            <w:shd w:val="clear" w:color="auto" w:fill="auto"/>
          </w:tcPr>
          <w:p w14:paraId="06834227" w14:textId="77777777" w:rsidR="002A4DDF" w:rsidRPr="00937C8B" w:rsidRDefault="002A4DDF" w:rsidP="009110ED">
            <w:pPr>
              <w:rPr>
                <w:rFonts w:ascii="Arial" w:hAnsi="Arial" w:cs="Arial"/>
                <w:sz w:val="12"/>
                <w:szCs w:val="12"/>
              </w:rPr>
            </w:pPr>
          </w:p>
        </w:tc>
        <w:tc>
          <w:tcPr>
            <w:tcW w:w="2268" w:type="dxa"/>
            <w:shd w:val="clear" w:color="auto" w:fill="F2F2F2"/>
            <w:hideMark/>
          </w:tcPr>
          <w:p w14:paraId="748D95AD" w14:textId="77777777" w:rsidR="002A4DDF" w:rsidRPr="00937C8B" w:rsidRDefault="002A4DDF" w:rsidP="009110ED">
            <w:pPr>
              <w:rPr>
                <w:rFonts w:ascii="Arial" w:hAnsi="Arial" w:cs="Arial"/>
                <w:sz w:val="12"/>
                <w:szCs w:val="12"/>
              </w:rPr>
            </w:pPr>
            <w:r>
              <w:rPr>
                <w:rFonts w:ascii="Arial" w:hAnsi="Arial"/>
                <w:sz w:val="12"/>
                <w:szCs w:val="12"/>
              </w:rPr>
              <w:t>Legorreta</w:t>
            </w:r>
          </w:p>
        </w:tc>
        <w:tc>
          <w:tcPr>
            <w:tcW w:w="2268" w:type="dxa"/>
            <w:tcBorders>
              <w:right w:val="single" w:sz="4" w:space="0" w:color="auto"/>
            </w:tcBorders>
            <w:shd w:val="clear" w:color="auto" w:fill="D9D9D9"/>
            <w:hideMark/>
          </w:tcPr>
          <w:p w14:paraId="76B400EF" w14:textId="77777777" w:rsidR="002A4DDF" w:rsidRPr="00937C8B" w:rsidRDefault="002A4DDF" w:rsidP="009110ED">
            <w:pPr>
              <w:rPr>
                <w:rFonts w:ascii="Arial" w:hAnsi="Arial" w:cs="Arial"/>
                <w:sz w:val="12"/>
                <w:szCs w:val="12"/>
              </w:rPr>
            </w:pPr>
          </w:p>
        </w:tc>
      </w:tr>
      <w:tr w:rsidR="002A4DDF" w:rsidRPr="00937C8B" w14:paraId="1E51C40F" w14:textId="77777777" w:rsidTr="00935676">
        <w:trPr>
          <w:cantSplit/>
        </w:trPr>
        <w:tc>
          <w:tcPr>
            <w:tcW w:w="1696" w:type="dxa"/>
            <w:tcBorders>
              <w:left w:val="single" w:sz="4" w:space="0" w:color="auto"/>
            </w:tcBorders>
            <w:shd w:val="clear" w:color="auto" w:fill="auto"/>
          </w:tcPr>
          <w:p w14:paraId="5223CB4A" w14:textId="77777777" w:rsidR="002A4DDF" w:rsidRPr="00937C8B" w:rsidRDefault="002A4DDF" w:rsidP="009110ED">
            <w:pPr>
              <w:rPr>
                <w:rFonts w:ascii="Arial" w:hAnsi="Arial" w:cs="Arial"/>
                <w:sz w:val="12"/>
                <w:szCs w:val="12"/>
              </w:rPr>
            </w:pPr>
          </w:p>
        </w:tc>
        <w:tc>
          <w:tcPr>
            <w:tcW w:w="1843" w:type="dxa"/>
            <w:shd w:val="clear" w:color="auto" w:fill="auto"/>
          </w:tcPr>
          <w:p w14:paraId="423AB651" w14:textId="77777777" w:rsidR="002A4DDF" w:rsidRPr="00937C8B" w:rsidRDefault="002A4DDF" w:rsidP="009110ED">
            <w:pPr>
              <w:rPr>
                <w:rFonts w:ascii="Arial" w:hAnsi="Arial" w:cs="Arial"/>
                <w:sz w:val="12"/>
                <w:szCs w:val="12"/>
              </w:rPr>
            </w:pPr>
          </w:p>
        </w:tc>
        <w:tc>
          <w:tcPr>
            <w:tcW w:w="2268" w:type="dxa"/>
            <w:shd w:val="clear" w:color="auto" w:fill="F2F2F2"/>
            <w:hideMark/>
          </w:tcPr>
          <w:p w14:paraId="6171127F" w14:textId="77777777" w:rsidR="002A4DDF" w:rsidRPr="00937C8B" w:rsidRDefault="002A4DDF" w:rsidP="009110ED">
            <w:pPr>
              <w:rPr>
                <w:rFonts w:ascii="Arial" w:hAnsi="Arial" w:cs="Arial"/>
                <w:sz w:val="12"/>
                <w:szCs w:val="12"/>
              </w:rPr>
            </w:pPr>
            <w:r>
              <w:rPr>
                <w:rFonts w:ascii="Arial" w:hAnsi="Arial"/>
                <w:sz w:val="12"/>
                <w:szCs w:val="12"/>
              </w:rPr>
              <w:t>Leintz-Gatzaga</w:t>
            </w:r>
          </w:p>
        </w:tc>
        <w:tc>
          <w:tcPr>
            <w:tcW w:w="2268" w:type="dxa"/>
            <w:tcBorders>
              <w:right w:val="single" w:sz="4" w:space="0" w:color="auto"/>
            </w:tcBorders>
            <w:shd w:val="clear" w:color="auto" w:fill="D9D9D9"/>
            <w:hideMark/>
          </w:tcPr>
          <w:p w14:paraId="49DF8081" w14:textId="77777777" w:rsidR="002A4DDF" w:rsidRPr="00937C8B" w:rsidRDefault="002A4DDF" w:rsidP="009110ED">
            <w:pPr>
              <w:rPr>
                <w:rFonts w:ascii="Arial" w:hAnsi="Arial" w:cs="Arial"/>
                <w:sz w:val="12"/>
                <w:szCs w:val="12"/>
              </w:rPr>
            </w:pPr>
          </w:p>
        </w:tc>
      </w:tr>
      <w:tr w:rsidR="002A4DDF" w:rsidRPr="00937C8B" w14:paraId="77775DFA" w14:textId="77777777" w:rsidTr="00935676">
        <w:trPr>
          <w:cantSplit/>
        </w:trPr>
        <w:tc>
          <w:tcPr>
            <w:tcW w:w="1696" w:type="dxa"/>
            <w:tcBorders>
              <w:left w:val="single" w:sz="4" w:space="0" w:color="auto"/>
            </w:tcBorders>
            <w:shd w:val="clear" w:color="auto" w:fill="auto"/>
          </w:tcPr>
          <w:p w14:paraId="41DB3C34" w14:textId="77777777" w:rsidR="002A4DDF" w:rsidRPr="00937C8B" w:rsidRDefault="002A4DDF" w:rsidP="009110ED">
            <w:pPr>
              <w:rPr>
                <w:rFonts w:ascii="Arial" w:hAnsi="Arial" w:cs="Arial"/>
                <w:sz w:val="12"/>
                <w:szCs w:val="12"/>
              </w:rPr>
            </w:pPr>
          </w:p>
        </w:tc>
        <w:tc>
          <w:tcPr>
            <w:tcW w:w="1843" w:type="dxa"/>
            <w:shd w:val="clear" w:color="auto" w:fill="auto"/>
          </w:tcPr>
          <w:p w14:paraId="12A17F0B" w14:textId="77777777" w:rsidR="002A4DDF" w:rsidRPr="00937C8B" w:rsidRDefault="002A4DDF" w:rsidP="009110ED">
            <w:pPr>
              <w:rPr>
                <w:rFonts w:ascii="Arial" w:hAnsi="Arial" w:cs="Arial"/>
                <w:sz w:val="12"/>
                <w:szCs w:val="12"/>
              </w:rPr>
            </w:pPr>
          </w:p>
        </w:tc>
        <w:tc>
          <w:tcPr>
            <w:tcW w:w="2268" w:type="dxa"/>
            <w:shd w:val="clear" w:color="auto" w:fill="F2F2F2"/>
            <w:hideMark/>
          </w:tcPr>
          <w:p w14:paraId="58938EE7" w14:textId="77777777" w:rsidR="002A4DDF" w:rsidRPr="00937C8B" w:rsidRDefault="002A4DDF" w:rsidP="009110ED">
            <w:pPr>
              <w:rPr>
                <w:rFonts w:ascii="Arial" w:hAnsi="Arial" w:cs="Arial"/>
                <w:sz w:val="12"/>
                <w:szCs w:val="12"/>
              </w:rPr>
            </w:pPr>
            <w:r>
              <w:rPr>
                <w:rFonts w:ascii="Arial" w:hAnsi="Arial"/>
                <w:sz w:val="12"/>
                <w:szCs w:val="12"/>
              </w:rPr>
              <w:t>Lezo</w:t>
            </w:r>
          </w:p>
        </w:tc>
        <w:tc>
          <w:tcPr>
            <w:tcW w:w="2268" w:type="dxa"/>
            <w:tcBorders>
              <w:right w:val="single" w:sz="4" w:space="0" w:color="auto"/>
            </w:tcBorders>
            <w:shd w:val="clear" w:color="auto" w:fill="D9D9D9"/>
            <w:hideMark/>
          </w:tcPr>
          <w:p w14:paraId="2FDE1FD1" w14:textId="77777777" w:rsidR="002A4DDF" w:rsidRPr="00937C8B" w:rsidRDefault="002A4DDF" w:rsidP="009110ED">
            <w:pPr>
              <w:rPr>
                <w:rFonts w:ascii="Arial" w:hAnsi="Arial" w:cs="Arial"/>
                <w:sz w:val="12"/>
                <w:szCs w:val="12"/>
              </w:rPr>
            </w:pPr>
          </w:p>
        </w:tc>
      </w:tr>
      <w:tr w:rsidR="002A4DDF" w:rsidRPr="00937C8B" w14:paraId="669B85D2" w14:textId="77777777" w:rsidTr="00935676">
        <w:trPr>
          <w:cantSplit/>
        </w:trPr>
        <w:tc>
          <w:tcPr>
            <w:tcW w:w="1696" w:type="dxa"/>
            <w:tcBorders>
              <w:left w:val="single" w:sz="4" w:space="0" w:color="auto"/>
            </w:tcBorders>
            <w:shd w:val="clear" w:color="auto" w:fill="auto"/>
          </w:tcPr>
          <w:p w14:paraId="395D43D8" w14:textId="77777777" w:rsidR="002A4DDF" w:rsidRPr="00937C8B" w:rsidRDefault="002A4DDF" w:rsidP="009110ED">
            <w:pPr>
              <w:rPr>
                <w:rFonts w:ascii="Arial" w:hAnsi="Arial" w:cs="Arial"/>
                <w:sz w:val="12"/>
                <w:szCs w:val="12"/>
              </w:rPr>
            </w:pPr>
          </w:p>
        </w:tc>
        <w:tc>
          <w:tcPr>
            <w:tcW w:w="1843" w:type="dxa"/>
            <w:shd w:val="clear" w:color="auto" w:fill="auto"/>
          </w:tcPr>
          <w:p w14:paraId="4A009168" w14:textId="77777777" w:rsidR="002A4DDF" w:rsidRPr="00937C8B" w:rsidRDefault="002A4DDF" w:rsidP="009110ED">
            <w:pPr>
              <w:rPr>
                <w:rFonts w:ascii="Arial" w:hAnsi="Arial" w:cs="Arial"/>
                <w:sz w:val="12"/>
                <w:szCs w:val="12"/>
              </w:rPr>
            </w:pPr>
          </w:p>
        </w:tc>
        <w:tc>
          <w:tcPr>
            <w:tcW w:w="2268" w:type="dxa"/>
            <w:shd w:val="clear" w:color="auto" w:fill="F2F2F2"/>
            <w:hideMark/>
          </w:tcPr>
          <w:p w14:paraId="12D717C1" w14:textId="77777777" w:rsidR="002A4DDF" w:rsidRPr="00937C8B" w:rsidRDefault="002A4DDF" w:rsidP="009110ED">
            <w:pPr>
              <w:rPr>
                <w:rFonts w:ascii="Arial" w:hAnsi="Arial" w:cs="Arial"/>
                <w:sz w:val="12"/>
                <w:szCs w:val="12"/>
              </w:rPr>
            </w:pPr>
            <w:r>
              <w:rPr>
                <w:rFonts w:ascii="Arial" w:hAnsi="Arial"/>
                <w:sz w:val="12"/>
                <w:szCs w:val="12"/>
              </w:rPr>
              <w:t>Lizartza</w:t>
            </w:r>
          </w:p>
        </w:tc>
        <w:tc>
          <w:tcPr>
            <w:tcW w:w="2268" w:type="dxa"/>
            <w:tcBorders>
              <w:right w:val="single" w:sz="4" w:space="0" w:color="auto"/>
            </w:tcBorders>
            <w:shd w:val="clear" w:color="auto" w:fill="D9D9D9"/>
            <w:hideMark/>
          </w:tcPr>
          <w:p w14:paraId="60B6F9D7" w14:textId="77777777" w:rsidR="002A4DDF" w:rsidRPr="00937C8B" w:rsidRDefault="002A4DDF" w:rsidP="009110ED">
            <w:pPr>
              <w:rPr>
                <w:rFonts w:ascii="Arial" w:hAnsi="Arial" w:cs="Arial"/>
                <w:sz w:val="12"/>
                <w:szCs w:val="12"/>
              </w:rPr>
            </w:pPr>
          </w:p>
        </w:tc>
      </w:tr>
      <w:tr w:rsidR="002A4DDF" w:rsidRPr="00937C8B" w14:paraId="5B7C833A" w14:textId="77777777" w:rsidTr="00935676">
        <w:trPr>
          <w:cantSplit/>
        </w:trPr>
        <w:tc>
          <w:tcPr>
            <w:tcW w:w="1696" w:type="dxa"/>
            <w:tcBorders>
              <w:left w:val="single" w:sz="4" w:space="0" w:color="auto"/>
            </w:tcBorders>
            <w:shd w:val="clear" w:color="auto" w:fill="auto"/>
          </w:tcPr>
          <w:p w14:paraId="7769A586" w14:textId="77777777" w:rsidR="002A4DDF" w:rsidRPr="00937C8B" w:rsidRDefault="002A4DDF" w:rsidP="009110ED">
            <w:pPr>
              <w:rPr>
                <w:rFonts w:ascii="Arial" w:hAnsi="Arial" w:cs="Arial"/>
                <w:sz w:val="12"/>
                <w:szCs w:val="12"/>
              </w:rPr>
            </w:pPr>
          </w:p>
        </w:tc>
        <w:tc>
          <w:tcPr>
            <w:tcW w:w="1843" w:type="dxa"/>
            <w:shd w:val="clear" w:color="auto" w:fill="auto"/>
          </w:tcPr>
          <w:p w14:paraId="2AFFF686" w14:textId="77777777" w:rsidR="002A4DDF" w:rsidRPr="00937C8B" w:rsidRDefault="002A4DDF" w:rsidP="009110ED">
            <w:pPr>
              <w:rPr>
                <w:rFonts w:ascii="Arial" w:hAnsi="Arial" w:cs="Arial"/>
                <w:sz w:val="12"/>
                <w:szCs w:val="12"/>
              </w:rPr>
            </w:pPr>
          </w:p>
        </w:tc>
        <w:tc>
          <w:tcPr>
            <w:tcW w:w="2268" w:type="dxa"/>
            <w:shd w:val="clear" w:color="auto" w:fill="F2F2F2"/>
            <w:hideMark/>
          </w:tcPr>
          <w:p w14:paraId="38A13B70" w14:textId="77777777" w:rsidR="002A4DDF" w:rsidRPr="00937C8B" w:rsidRDefault="002A4DDF" w:rsidP="009110ED">
            <w:pPr>
              <w:rPr>
                <w:rFonts w:ascii="Arial" w:hAnsi="Arial" w:cs="Arial"/>
                <w:sz w:val="12"/>
                <w:szCs w:val="12"/>
              </w:rPr>
            </w:pPr>
            <w:r>
              <w:rPr>
                <w:rFonts w:ascii="Arial" w:hAnsi="Arial"/>
                <w:sz w:val="12"/>
                <w:szCs w:val="12"/>
              </w:rPr>
              <w:t>Mendaro</w:t>
            </w:r>
          </w:p>
        </w:tc>
        <w:tc>
          <w:tcPr>
            <w:tcW w:w="2268" w:type="dxa"/>
            <w:tcBorders>
              <w:right w:val="single" w:sz="4" w:space="0" w:color="auto"/>
            </w:tcBorders>
            <w:shd w:val="clear" w:color="auto" w:fill="D9D9D9"/>
            <w:hideMark/>
          </w:tcPr>
          <w:p w14:paraId="1C71F97A" w14:textId="77777777" w:rsidR="002A4DDF" w:rsidRPr="00937C8B" w:rsidRDefault="002A4DDF" w:rsidP="009110ED">
            <w:pPr>
              <w:rPr>
                <w:rFonts w:ascii="Arial" w:hAnsi="Arial" w:cs="Arial"/>
                <w:sz w:val="12"/>
                <w:szCs w:val="12"/>
              </w:rPr>
            </w:pPr>
          </w:p>
        </w:tc>
      </w:tr>
      <w:tr w:rsidR="002A4DDF" w:rsidRPr="00937C8B" w14:paraId="7B527CD8" w14:textId="77777777" w:rsidTr="00935676">
        <w:trPr>
          <w:cantSplit/>
        </w:trPr>
        <w:tc>
          <w:tcPr>
            <w:tcW w:w="1696" w:type="dxa"/>
            <w:tcBorders>
              <w:left w:val="single" w:sz="4" w:space="0" w:color="auto"/>
            </w:tcBorders>
            <w:shd w:val="clear" w:color="auto" w:fill="auto"/>
          </w:tcPr>
          <w:p w14:paraId="52C333F7" w14:textId="77777777" w:rsidR="002A4DDF" w:rsidRPr="00937C8B" w:rsidRDefault="002A4DDF" w:rsidP="009110ED">
            <w:pPr>
              <w:rPr>
                <w:rFonts w:ascii="Arial" w:hAnsi="Arial" w:cs="Arial"/>
                <w:sz w:val="12"/>
                <w:szCs w:val="12"/>
              </w:rPr>
            </w:pPr>
          </w:p>
        </w:tc>
        <w:tc>
          <w:tcPr>
            <w:tcW w:w="1843" w:type="dxa"/>
            <w:shd w:val="clear" w:color="auto" w:fill="auto"/>
          </w:tcPr>
          <w:p w14:paraId="25AD7A27" w14:textId="77777777" w:rsidR="002A4DDF" w:rsidRPr="00937C8B" w:rsidRDefault="002A4DDF" w:rsidP="009110ED">
            <w:pPr>
              <w:rPr>
                <w:rFonts w:ascii="Arial" w:hAnsi="Arial" w:cs="Arial"/>
                <w:sz w:val="12"/>
                <w:szCs w:val="12"/>
              </w:rPr>
            </w:pPr>
          </w:p>
        </w:tc>
        <w:tc>
          <w:tcPr>
            <w:tcW w:w="2268" w:type="dxa"/>
            <w:shd w:val="clear" w:color="auto" w:fill="F2F2F2"/>
            <w:hideMark/>
          </w:tcPr>
          <w:p w14:paraId="0B33E178" w14:textId="77777777" w:rsidR="002A4DDF" w:rsidRPr="00937C8B" w:rsidRDefault="002A4DDF" w:rsidP="009110ED">
            <w:pPr>
              <w:rPr>
                <w:rFonts w:ascii="Arial" w:hAnsi="Arial" w:cs="Arial"/>
                <w:sz w:val="12"/>
                <w:szCs w:val="12"/>
              </w:rPr>
            </w:pPr>
            <w:r>
              <w:rPr>
                <w:rFonts w:ascii="Arial" w:hAnsi="Arial"/>
                <w:sz w:val="12"/>
                <w:szCs w:val="12"/>
              </w:rPr>
              <w:t>Mutiloa</w:t>
            </w:r>
          </w:p>
        </w:tc>
        <w:tc>
          <w:tcPr>
            <w:tcW w:w="2268" w:type="dxa"/>
            <w:tcBorders>
              <w:right w:val="single" w:sz="4" w:space="0" w:color="auto"/>
            </w:tcBorders>
            <w:shd w:val="clear" w:color="auto" w:fill="D9D9D9"/>
            <w:hideMark/>
          </w:tcPr>
          <w:p w14:paraId="605D6E04" w14:textId="77777777" w:rsidR="002A4DDF" w:rsidRPr="00937C8B" w:rsidRDefault="002A4DDF" w:rsidP="009110ED">
            <w:pPr>
              <w:rPr>
                <w:rFonts w:ascii="Arial" w:hAnsi="Arial" w:cs="Arial"/>
                <w:sz w:val="12"/>
                <w:szCs w:val="12"/>
              </w:rPr>
            </w:pPr>
          </w:p>
        </w:tc>
      </w:tr>
      <w:tr w:rsidR="002A4DDF" w:rsidRPr="00937C8B" w14:paraId="7D88C9F6" w14:textId="77777777" w:rsidTr="00935676">
        <w:trPr>
          <w:cantSplit/>
        </w:trPr>
        <w:tc>
          <w:tcPr>
            <w:tcW w:w="1696" w:type="dxa"/>
            <w:tcBorders>
              <w:left w:val="single" w:sz="4" w:space="0" w:color="auto"/>
            </w:tcBorders>
            <w:shd w:val="clear" w:color="auto" w:fill="auto"/>
          </w:tcPr>
          <w:p w14:paraId="268C722A" w14:textId="77777777" w:rsidR="002A4DDF" w:rsidRPr="00937C8B" w:rsidRDefault="002A4DDF" w:rsidP="009110ED">
            <w:pPr>
              <w:rPr>
                <w:rFonts w:ascii="Arial" w:hAnsi="Arial" w:cs="Arial"/>
                <w:sz w:val="12"/>
                <w:szCs w:val="12"/>
              </w:rPr>
            </w:pPr>
          </w:p>
        </w:tc>
        <w:tc>
          <w:tcPr>
            <w:tcW w:w="1843" w:type="dxa"/>
            <w:shd w:val="clear" w:color="auto" w:fill="auto"/>
          </w:tcPr>
          <w:p w14:paraId="75048D4C" w14:textId="77777777" w:rsidR="002A4DDF" w:rsidRPr="00937C8B" w:rsidRDefault="002A4DDF" w:rsidP="009110ED">
            <w:pPr>
              <w:rPr>
                <w:rFonts w:ascii="Arial" w:hAnsi="Arial" w:cs="Arial"/>
                <w:sz w:val="12"/>
                <w:szCs w:val="12"/>
              </w:rPr>
            </w:pPr>
          </w:p>
        </w:tc>
        <w:tc>
          <w:tcPr>
            <w:tcW w:w="2268" w:type="dxa"/>
            <w:shd w:val="clear" w:color="auto" w:fill="F2F2F2"/>
            <w:hideMark/>
          </w:tcPr>
          <w:p w14:paraId="4AAD86DB" w14:textId="77777777" w:rsidR="002A4DDF" w:rsidRPr="00937C8B" w:rsidRDefault="002A4DDF" w:rsidP="009110ED">
            <w:pPr>
              <w:rPr>
                <w:rFonts w:ascii="Arial" w:hAnsi="Arial" w:cs="Arial"/>
                <w:sz w:val="12"/>
                <w:szCs w:val="12"/>
              </w:rPr>
            </w:pPr>
            <w:r>
              <w:rPr>
                <w:rFonts w:ascii="Arial" w:hAnsi="Arial"/>
                <w:sz w:val="12"/>
                <w:szCs w:val="12"/>
              </w:rPr>
              <w:t>Mutriku</w:t>
            </w:r>
          </w:p>
        </w:tc>
        <w:tc>
          <w:tcPr>
            <w:tcW w:w="2268" w:type="dxa"/>
            <w:tcBorders>
              <w:right w:val="single" w:sz="4" w:space="0" w:color="auto"/>
            </w:tcBorders>
            <w:shd w:val="clear" w:color="auto" w:fill="D9D9D9"/>
            <w:hideMark/>
          </w:tcPr>
          <w:p w14:paraId="7E1B6F46" w14:textId="77777777" w:rsidR="002A4DDF" w:rsidRPr="00937C8B" w:rsidRDefault="002A4DDF" w:rsidP="009110ED">
            <w:pPr>
              <w:rPr>
                <w:rFonts w:ascii="Arial" w:hAnsi="Arial" w:cs="Arial"/>
                <w:sz w:val="12"/>
                <w:szCs w:val="12"/>
              </w:rPr>
            </w:pPr>
          </w:p>
        </w:tc>
      </w:tr>
      <w:tr w:rsidR="002A4DDF" w:rsidRPr="00937C8B" w14:paraId="6358CF52" w14:textId="77777777" w:rsidTr="00935676">
        <w:trPr>
          <w:cantSplit/>
        </w:trPr>
        <w:tc>
          <w:tcPr>
            <w:tcW w:w="1696" w:type="dxa"/>
            <w:tcBorders>
              <w:left w:val="single" w:sz="4" w:space="0" w:color="auto"/>
            </w:tcBorders>
            <w:shd w:val="clear" w:color="auto" w:fill="auto"/>
          </w:tcPr>
          <w:p w14:paraId="03B8D430" w14:textId="77777777" w:rsidR="002A4DDF" w:rsidRPr="00937C8B" w:rsidRDefault="002A4DDF" w:rsidP="009110ED">
            <w:pPr>
              <w:rPr>
                <w:rFonts w:ascii="Arial" w:hAnsi="Arial" w:cs="Arial"/>
                <w:sz w:val="12"/>
                <w:szCs w:val="12"/>
              </w:rPr>
            </w:pPr>
          </w:p>
        </w:tc>
        <w:tc>
          <w:tcPr>
            <w:tcW w:w="1843" w:type="dxa"/>
            <w:shd w:val="clear" w:color="auto" w:fill="auto"/>
          </w:tcPr>
          <w:p w14:paraId="64B0E59D" w14:textId="77777777" w:rsidR="002A4DDF" w:rsidRPr="00937C8B" w:rsidRDefault="002A4DDF" w:rsidP="009110ED">
            <w:pPr>
              <w:rPr>
                <w:rFonts w:ascii="Arial" w:hAnsi="Arial" w:cs="Arial"/>
                <w:sz w:val="12"/>
                <w:szCs w:val="12"/>
              </w:rPr>
            </w:pPr>
          </w:p>
        </w:tc>
        <w:tc>
          <w:tcPr>
            <w:tcW w:w="2268" w:type="dxa"/>
            <w:shd w:val="clear" w:color="auto" w:fill="F2F2F2"/>
            <w:hideMark/>
          </w:tcPr>
          <w:p w14:paraId="7165B05E" w14:textId="77777777" w:rsidR="002A4DDF" w:rsidRPr="00937C8B" w:rsidRDefault="002A4DDF" w:rsidP="009110ED">
            <w:pPr>
              <w:rPr>
                <w:rFonts w:ascii="Arial" w:hAnsi="Arial" w:cs="Arial"/>
                <w:sz w:val="12"/>
                <w:szCs w:val="12"/>
              </w:rPr>
            </w:pPr>
            <w:r>
              <w:rPr>
                <w:rFonts w:ascii="Arial" w:hAnsi="Arial"/>
                <w:sz w:val="12"/>
                <w:szCs w:val="12"/>
              </w:rPr>
              <w:t>Oiartzun</w:t>
            </w:r>
          </w:p>
        </w:tc>
        <w:tc>
          <w:tcPr>
            <w:tcW w:w="2268" w:type="dxa"/>
            <w:tcBorders>
              <w:right w:val="single" w:sz="4" w:space="0" w:color="auto"/>
            </w:tcBorders>
            <w:shd w:val="clear" w:color="auto" w:fill="D9D9D9"/>
            <w:hideMark/>
          </w:tcPr>
          <w:p w14:paraId="652BFB69" w14:textId="77777777" w:rsidR="002A4DDF" w:rsidRPr="00937C8B" w:rsidRDefault="002A4DDF" w:rsidP="009110ED">
            <w:pPr>
              <w:rPr>
                <w:rFonts w:ascii="Arial" w:hAnsi="Arial" w:cs="Arial"/>
                <w:sz w:val="12"/>
                <w:szCs w:val="12"/>
              </w:rPr>
            </w:pPr>
          </w:p>
        </w:tc>
      </w:tr>
      <w:tr w:rsidR="002A4DDF" w:rsidRPr="00937C8B" w14:paraId="6D9B7363" w14:textId="77777777" w:rsidTr="00935676">
        <w:trPr>
          <w:cantSplit/>
        </w:trPr>
        <w:tc>
          <w:tcPr>
            <w:tcW w:w="1696" w:type="dxa"/>
            <w:tcBorders>
              <w:left w:val="single" w:sz="4" w:space="0" w:color="auto"/>
            </w:tcBorders>
            <w:shd w:val="clear" w:color="auto" w:fill="auto"/>
          </w:tcPr>
          <w:p w14:paraId="6116775F" w14:textId="77777777" w:rsidR="002A4DDF" w:rsidRPr="00937C8B" w:rsidRDefault="002A4DDF" w:rsidP="009110ED">
            <w:pPr>
              <w:rPr>
                <w:rFonts w:ascii="Arial" w:hAnsi="Arial" w:cs="Arial"/>
                <w:sz w:val="12"/>
                <w:szCs w:val="12"/>
              </w:rPr>
            </w:pPr>
          </w:p>
        </w:tc>
        <w:tc>
          <w:tcPr>
            <w:tcW w:w="1843" w:type="dxa"/>
            <w:shd w:val="clear" w:color="auto" w:fill="auto"/>
          </w:tcPr>
          <w:p w14:paraId="35EE57A5" w14:textId="77777777" w:rsidR="002A4DDF" w:rsidRPr="00937C8B" w:rsidRDefault="002A4DDF" w:rsidP="009110ED">
            <w:pPr>
              <w:rPr>
                <w:rFonts w:ascii="Arial" w:hAnsi="Arial" w:cs="Arial"/>
                <w:sz w:val="12"/>
                <w:szCs w:val="12"/>
              </w:rPr>
            </w:pPr>
          </w:p>
        </w:tc>
        <w:tc>
          <w:tcPr>
            <w:tcW w:w="2268" w:type="dxa"/>
            <w:shd w:val="clear" w:color="auto" w:fill="F2F2F2"/>
            <w:hideMark/>
          </w:tcPr>
          <w:p w14:paraId="13A53082" w14:textId="77777777" w:rsidR="002A4DDF" w:rsidRPr="00937C8B" w:rsidRDefault="002A4DDF" w:rsidP="009110ED">
            <w:pPr>
              <w:rPr>
                <w:rFonts w:ascii="Arial" w:hAnsi="Arial" w:cs="Arial"/>
                <w:sz w:val="12"/>
                <w:szCs w:val="12"/>
              </w:rPr>
            </w:pPr>
            <w:r>
              <w:rPr>
                <w:rFonts w:ascii="Arial" w:hAnsi="Arial"/>
                <w:sz w:val="12"/>
                <w:szCs w:val="12"/>
              </w:rPr>
              <w:t>Olaberria</w:t>
            </w:r>
          </w:p>
        </w:tc>
        <w:tc>
          <w:tcPr>
            <w:tcW w:w="2268" w:type="dxa"/>
            <w:tcBorders>
              <w:right w:val="single" w:sz="4" w:space="0" w:color="auto"/>
            </w:tcBorders>
            <w:shd w:val="clear" w:color="auto" w:fill="D9D9D9"/>
            <w:hideMark/>
          </w:tcPr>
          <w:p w14:paraId="43429D5B" w14:textId="77777777" w:rsidR="002A4DDF" w:rsidRPr="00937C8B" w:rsidRDefault="002A4DDF" w:rsidP="009110ED">
            <w:pPr>
              <w:rPr>
                <w:rFonts w:ascii="Arial" w:hAnsi="Arial" w:cs="Arial"/>
                <w:sz w:val="12"/>
                <w:szCs w:val="12"/>
              </w:rPr>
            </w:pPr>
          </w:p>
        </w:tc>
      </w:tr>
      <w:tr w:rsidR="002A4DDF" w:rsidRPr="00937C8B" w14:paraId="0BE7FF4A" w14:textId="77777777" w:rsidTr="00935676">
        <w:trPr>
          <w:cantSplit/>
        </w:trPr>
        <w:tc>
          <w:tcPr>
            <w:tcW w:w="1696" w:type="dxa"/>
            <w:tcBorders>
              <w:left w:val="single" w:sz="4" w:space="0" w:color="auto"/>
            </w:tcBorders>
            <w:shd w:val="clear" w:color="auto" w:fill="auto"/>
          </w:tcPr>
          <w:p w14:paraId="7FA69A2B" w14:textId="77777777" w:rsidR="002A4DDF" w:rsidRPr="00937C8B" w:rsidRDefault="002A4DDF" w:rsidP="009110ED">
            <w:pPr>
              <w:rPr>
                <w:rFonts w:ascii="Arial" w:hAnsi="Arial" w:cs="Arial"/>
                <w:sz w:val="12"/>
                <w:szCs w:val="12"/>
              </w:rPr>
            </w:pPr>
          </w:p>
        </w:tc>
        <w:tc>
          <w:tcPr>
            <w:tcW w:w="1843" w:type="dxa"/>
            <w:shd w:val="clear" w:color="auto" w:fill="auto"/>
          </w:tcPr>
          <w:p w14:paraId="3575518B" w14:textId="77777777" w:rsidR="002A4DDF" w:rsidRPr="00937C8B" w:rsidRDefault="002A4DDF" w:rsidP="009110ED">
            <w:pPr>
              <w:rPr>
                <w:rFonts w:ascii="Arial" w:hAnsi="Arial" w:cs="Arial"/>
                <w:sz w:val="12"/>
                <w:szCs w:val="12"/>
              </w:rPr>
            </w:pPr>
          </w:p>
        </w:tc>
        <w:tc>
          <w:tcPr>
            <w:tcW w:w="2268" w:type="dxa"/>
            <w:shd w:val="clear" w:color="auto" w:fill="F2F2F2"/>
            <w:hideMark/>
          </w:tcPr>
          <w:p w14:paraId="70C606F4" w14:textId="77777777" w:rsidR="002A4DDF" w:rsidRPr="00937C8B" w:rsidRDefault="002A4DDF" w:rsidP="009110ED">
            <w:pPr>
              <w:rPr>
                <w:rFonts w:ascii="Arial" w:hAnsi="Arial" w:cs="Arial"/>
                <w:sz w:val="12"/>
                <w:szCs w:val="12"/>
              </w:rPr>
            </w:pPr>
            <w:r>
              <w:rPr>
                <w:rFonts w:ascii="Arial" w:hAnsi="Arial"/>
                <w:sz w:val="12"/>
                <w:szCs w:val="12"/>
              </w:rPr>
              <w:t>Ordizia</w:t>
            </w:r>
          </w:p>
        </w:tc>
        <w:tc>
          <w:tcPr>
            <w:tcW w:w="2268" w:type="dxa"/>
            <w:tcBorders>
              <w:right w:val="single" w:sz="4" w:space="0" w:color="auto"/>
            </w:tcBorders>
            <w:shd w:val="clear" w:color="auto" w:fill="D9D9D9"/>
            <w:hideMark/>
          </w:tcPr>
          <w:p w14:paraId="7805A716" w14:textId="77777777" w:rsidR="002A4DDF" w:rsidRPr="00937C8B" w:rsidRDefault="002A4DDF" w:rsidP="009110ED">
            <w:pPr>
              <w:rPr>
                <w:rFonts w:ascii="Arial" w:hAnsi="Arial" w:cs="Arial"/>
                <w:sz w:val="12"/>
                <w:szCs w:val="12"/>
              </w:rPr>
            </w:pPr>
          </w:p>
        </w:tc>
      </w:tr>
      <w:tr w:rsidR="002A4DDF" w:rsidRPr="00937C8B" w14:paraId="04659790" w14:textId="77777777" w:rsidTr="00935676">
        <w:trPr>
          <w:cantSplit/>
        </w:trPr>
        <w:tc>
          <w:tcPr>
            <w:tcW w:w="1696" w:type="dxa"/>
            <w:tcBorders>
              <w:left w:val="single" w:sz="4" w:space="0" w:color="auto"/>
            </w:tcBorders>
            <w:shd w:val="clear" w:color="auto" w:fill="auto"/>
          </w:tcPr>
          <w:p w14:paraId="5E397CF1" w14:textId="77777777" w:rsidR="002A4DDF" w:rsidRPr="00937C8B" w:rsidRDefault="002A4DDF" w:rsidP="009110ED">
            <w:pPr>
              <w:rPr>
                <w:rFonts w:ascii="Arial" w:hAnsi="Arial" w:cs="Arial"/>
                <w:sz w:val="12"/>
                <w:szCs w:val="12"/>
              </w:rPr>
            </w:pPr>
          </w:p>
        </w:tc>
        <w:tc>
          <w:tcPr>
            <w:tcW w:w="1843" w:type="dxa"/>
            <w:shd w:val="clear" w:color="auto" w:fill="auto"/>
          </w:tcPr>
          <w:p w14:paraId="5E7B1931" w14:textId="77777777" w:rsidR="002A4DDF" w:rsidRPr="00937C8B" w:rsidRDefault="002A4DDF" w:rsidP="009110ED">
            <w:pPr>
              <w:rPr>
                <w:rFonts w:ascii="Arial" w:hAnsi="Arial" w:cs="Arial"/>
                <w:sz w:val="12"/>
                <w:szCs w:val="12"/>
              </w:rPr>
            </w:pPr>
          </w:p>
        </w:tc>
        <w:tc>
          <w:tcPr>
            <w:tcW w:w="2268" w:type="dxa"/>
            <w:shd w:val="clear" w:color="auto" w:fill="F2F2F2"/>
            <w:hideMark/>
          </w:tcPr>
          <w:p w14:paraId="33825F5E" w14:textId="77777777" w:rsidR="002A4DDF" w:rsidRPr="00937C8B" w:rsidRDefault="002A4DDF" w:rsidP="009110ED">
            <w:pPr>
              <w:rPr>
                <w:rFonts w:ascii="Arial" w:hAnsi="Arial" w:cs="Arial"/>
                <w:sz w:val="12"/>
                <w:szCs w:val="12"/>
              </w:rPr>
            </w:pPr>
            <w:r>
              <w:rPr>
                <w:rFonts w:ascii="Arial" w:hAnsi="Arial"/>
                <w:sz w:val="12"/>
                <w:szCs w:val="12"/>
              </w:rPr>
              <w:t>Orendain</w:t>
            </w:r>
          </w:p>
        </w:tc>
        <w:tc>
          <w:tcPr>
            <w:tcW w:w="2268" w:type="dxa"/>
            <w:tcBorders>
              <w:right w:val="single" w:sz="4" w:space="0" w:color="auto"/>
            </w:tcBorders>
            <w:shd w:val="clear" w:color="auto" w:fill="D9D9D9"/>
            <w:hideMark/>
          </w:tcPr>
          <w:p w14:paraId="2B916893" w14:textId="77777777" w:rsidR="002A4DDF" w:rsidRPr="00937C8B" w:rsidRDefault="002A4DDF" w:rsidP="009110ED">
            <w:pPr>
              <w:rPr>
                <w:rFonts w:ascii="Arial" w:hAnsi="Arial" w:cs="Arial"/>
                <w:sz w:val="12"/>
                <w:szCs w:val="12"/>
              </w:rPr>
            </w:pPr>
          </w:p>
        </w:tc>
      </w:tr>
      <w:tr w:rsidR="002A4DDF" w:rsidRPr="00937C8B" w14:paraId="1FA17D7C" w14:textId="77777777" w:rsidTr="00935676">
        <w:trPr>
          <w:cantSplit/>
        </w:trPr>
        <w:tc>
          <w:tcPr>
            <w:tcW w:w="1696" w:type="dxa"/>
            <w:tcBorders>
              <w:left w:val="single" w:sz="4" w:space="0" w:color="auto"/>
            </w:tcBorders>
            <w:shd w:val="clear" w:color="auto" w:fill="auto"/>
          </w:tcPr>
          <w:p w14:paraId="48741FB7" w14:textId="77777777" w:rsidR="002A4DDF" w:rsidRPr="00937C8B" w:rsidRDefault="002A4DDF" w:rsidP="009110ED">
            <w:pPr>
              <w:rPr>
                <w:rFonts w:ascii="Arial" w:hAnsi="Arial" w:cs="Arial"/>
                <w:sz w:val="12"/>
                <w:szCs w:val="12"/>
              </w:rPr>
            </w:pPr>
          </w:p>
        </w:tc>
        <w:tc>
          <w:tcPr>
            <w:tcW w:w="1843" w:type="dxa"/>
            <w:shd w:val="clear" w:color="auto" w:fill="auto"/>
          </w:tcPr>
          <w:p w14:paraId="29F1965C" w14:textId="77777777" w:rsidR="002A4DDF" w:rsidRPr="00937C8B" w:rsidRDefault="002A4DDF" w:rsidP="009110ED">
            <w:pPr>
              <w:rPr>
                <w:rFonts w:ascii="Arial" w:hAnsi="Arial" w:cs="Arial"/>
                <w:sz w:val="12"/>
                <w:szCs w:val="12"/>
              </w:rPr>
            </w:pPr>
          </w:p>
        </w:tc>
        <w:tc>
          <w:tcPr>
            <w:tcW w:w="2268" w:type="dxa"/>
            <w:shd w:val="clear" w:color="auto" w:fill="F2F2F2"/>
            <w:hideMark/>
          </w:tcPr>
          <w:p w14:paraId="342209F6" w14:textId="77777777" w:rsidR="002A4DDF" w:rsidRPr="00937C8B" w:rsidRDefault="002A4DDF" w:rsidP="009110ED">
            <w:pPr>
              <w:rPr>
                <w:rFonts w:ascii="Arial" w:hAnsi="Arial" w:cs="Arial"/>
                <w:sz w:val="12"/>
                <w:szCs w:val="12"/>
              </w:rPr>
            </w:pPr>
            <w:r>
              <w:rPr>
                <w:rFonts w:ascii="Arial" w:hAnsi="Arial"/>
                <w:sz w:val="12"/>
                <w:szCs w:val="12"/>
              </w:rPr>
              <w:t>Orexa</w:t>
            </w:r>
          </w:p>
        </w:tc>
        <w:tc>
          <w:tcPr>
            <w:tcW w:w="2268" w:type="dxa"/>
            <w:tcBorders>
              <w:right w:val="single" w:sz="4" w:space="0" w:color="auto"/>
            </w:tcBorders>
            <w:shd w:val="clear" w:color="auto" w:fill="D9D9D9"/>
            <w:hideMark/>
          </w:tcPr>
          <w:p w14:paraId="18E4E13C" w14:textId="77777777" w:rsidR="002A4DDF" w:rsidRPr="00937C8B" w:rsidRDefault="002A4DDF" w:rsidP="009110ED">
            <w:pPr>
              <w:rPr>
                <w:rFonts w:ascii="Arial" w:hAnsi="Arial" w:cs="Arial"/>
                <w:sz w:val="12"/>
                <w:szCs w:val="12"/>
              </w:rPr>
            </w:pPr>
          </w:p>
        </w:tc>
      </w:tr>
      <w:tr w:rsidR="002A4DDF" w:rsidRPr="00937C8B" w14:paraId="557861B0" w14:textId="77777777" w:rsidTr="00935676">
        <w:trPr>
          <w:cantSplit/>
        </w:trPr>
        <w:tc>
          <w:tcPr>
            <w:tcW w:w="1696" w:type="dxa"/>
            <w:tcBorders>
              <w:left w:val="single" w:sz="4" w:space="0" w:color="auto"/>
            </w:tcBorders>
            <w:shd w:val="clear" w:color="auto" w:fill="auto"/>
          </w:tcPr>
          <w:p w14:paraId="1157CADA" w14:textId="77777777" w:rsidR="002A4DDF" w:rsidRPr="00937C8B" w:rsidRDefault="002A4DDF" w:rsidP="009110ED">
            <w:pPr>
              <w:rPr>
                <w:rFonts w:ascii="Arial" w:hAnsi="Arial" w:cs="Arial"/>
                <w:sz w:val="12"/>
                <w:szCs w:val="12"/>
              </w:rPr>
            </w:pPr>
          </w:p>
        </w:tc>
        <w:tc>
          <w:tcPr>
            <w:tcW w:w="1843" w:type="dxa"/>
            <w:shd w:val="clear" w:color="auto" w:fill="auto"/>
          </w:tcPr>
          <w:p w14:paraId="700DC7A3" w14:textId="77777777" w:rsidR="002A4DDF" w:rsidRPr="00937C8B" w:rsidRDefault="002A4DDF" w:rsidP="009110ED">
            <w:pPr>
              <w:rPr>
                <w:rFonts w:ascii="Arial" w:hAnsi="Arial" w:cs="Arial"/>
                <w:sz w:val="12"/>
                <w:szCs w:val="12"/>
              </w:rPr>
            </w:pPr>
          </w:p>
        </w:tc>
        <w:tc>
          <w:tcPr>
            <w:tcW w:w="2268" w:type="dxa"/>
            <w:shd w:val="clear" w:color="auto" w:fill="F2F2F2"/>
            <w:hideMark/>
          </w:tcPr>
          <w:p w14:paraId="5BB0AC21" w14:textId="77777777" w:rsidR="002A4DDF" w:rsidRPr="00937C8B" w:rsidRDefault="002A4DDF" w:rsidP="009110ED">
            <w:pPr>
              <w:rPr>
                <w:rFonts w:ascii="Arial" w:hAnsi="Arial" w:cs="Arial"/>
                <w:sz w:val="12"/>
                <w:szCs w:val="12"/>
              </w:rPr>
            </w:pPr>
            <w:r>
              <w:rPr>
                <w:rFonts w:ascii="Arial" w:hAnsi="Arial"/>
                <w:sz w:val="12"/>
                <w:szCs w:val="12"/>
              </w:rPr>
              <w:t>Orio</w:t>
            </w:r>
          </w:p>
        </w:tc>
        <w:tc>
          <w:tcPr>
            <w:tcW w:w="2268" w:type="dxa"/>
            <w:tcBorders>
              <w:right w:val="single" w:sz="4" w:space="0" w:color="auto"/>
            </w:tcBorders>
            <w:shd w:val="clear" w:color="auto" w:fill="D9D9D9"/>
            <w:hideMark/>
          </w:tcPr>
          <w:p w14:paraId="23C847D4" w14:textId="77777777" w:rsidR="002A4DDF" w:rsidRPr="00937C8B" w:rsidRDefault="002A4DDF" w:rsidP="009110ED">
            <w:pPr>
              <w:rPr>
                <w:rFonts w:ascii="Arial" w:hAnsi="Arial" w:cs="Arial"/>
                <w:sz w:val="12"/>
                <w:szCs w:val="12"/>
              </w:rPr>
            </w:pPr>
          </w:p>
        </w:tc>
      </w:tr>
      <w:tr w:rsidR="002A4DDF" w:rsidRPr="00937C8B" w14:paraId="25E24BF3" w14:textId="77777777" w:rsidTr="00935676">
        <w:trPr>
          <w:cantSplit/>
        </w:trPr>
        <w:tc>
          <w:tcPr>
            <w:tcW w:w="1696" w:type="dxa"/>
            <w:tcBorders>
              <w:left w:val="single" w:sz="4" w:space="0" w:color="auto"/>
            </w:tcBorders>
            <w:shd w:val="clear" w:color="auto" w:fill="auto"/>
          </w:tcPr>
          <w:p w14:paraId="06487655" w14:textId="77777777" w:rsidR="002A4DDF" w:rsidRPr="00937C8B" w:rsidRDefault="002A4DDF" w:rsidP="009110ED">
            <w:pPr>
              <w:rPr>
                <w:rFonts w:ascii="Arial" w:hAnsi="Arial" w:cs="Arial"/>
                <w:sz w:val="12"/>
                <w:szCs w:val="12"/>
              </w:rPr>
            </w:pPr>
          </w:p>
        </w:tc>
        <w:tc>
          <w:tcPr>
            <w:tcW w:w="1843" w:type="dxa"/>
            <w:shd w:val="clear" w:color="auto" w:fill="auto"/>
          </w:tcPr>
          <w:p w14:paraId="24F042BE" w14:textId="77777777" w:rsidR="002A4DDF" w:rsidRPr="00937C8B" w:rsidRDefault="002A4DDF" w:rsidP="009110ED">
            <w:pPr>
              <w:rPr>
                <w:rFonts w:ascii="Arial" w:hAnsi="Arial" w:cs="Arial"/>
                <w:sz w:val="12"/>
                <w:szCs w:val="12"/>
              </w:rPr>
            </w:pPr>
          </w:p>
        </w:tc>
        <w:tc>
          <w:tcPr>
            <w:tcW w:w="2268" w:type="dxa"/>
            <w:shd w:val="clear" w:color="auto" w:fill="F2F2F2"/>
            <w:hideMark/>
          </w:tcPr>
          <w:p w14:paraId="303D3EC7" w14:textId="77777777" w:rsidR="002A4DDF" w:rsidRPr="00937C8B" w:rsidRDefault="002A4DDF" w:rsidP="009110ED">
            <w:pPr>
              <w:rPr>
                <w:rFonts w:ascii="Arial" w:hAnsi="Arial" w:cs="Arial"/>
                <w:sz w:val="12"/>
                <w:szCs w:val="12"/>
              </w:rPr>
            </w:pPr>
            <w:r>
              <w:rPr>
                <w:rFonts w:ascii="Arial" w:hAnsi="Arial"/>
                <w:sz w:val="12"/>
                <w:szCs w:val="12"/>
              </w:rPr>
              <w:t>Ormaiztegi</w:t>
            </w:r>
          </w:p>
        </w:tc>
        <w:tc>
          <w:tcPr>
            <w:tcW w:w="2268" w:type="dxa"/>
            <w:tcBorders>
              <w:right w:val="single" w:sz="4" w:space="0" w:color="auto"/>
            </w:tcBorders>
            <w:shd w:val="clear" w:color="auto" w:fill="D9D9D9"/>
            <w:hideMark/>
          </w:tcPr>
          <w:p w14:paraId="389E2445" w14:textId="77777777" w:rsidR="002A4DDF" w:rsidRPr="00937C8B" w:rsidRDefault="002A4DDF" w:rsidP="009110ED">
            <w:pPr>
              <w:rPr>
                <w:rFonts w:ascii="Arial" w:hAnsi="Arial" w:cs="Arial"/>
                <w:sz w:val="12"/>
                <w:szCs w:val="12"/>
              </w:rPr>
            </w:pPr>
          </w:p>
        </w:tc>
      </w:tr>
      <w:tr w:rsidR="002A4DDF" w:rsidRPr="00937C8B" w14:paraId="5BF31AE1" w14:textId="77777777" w:rsidTr="00935676">
        <w:trPr>
          <w:cantSplit/>
        </w:trPr>
        <w:tc>
          <w:tcPr>
            <w:tcW w:w="1696" w:type="dxa"/>
            <w:tcBorders>
              <w:left w:val="single" w:sz="4" w:space="0" w:color="auto"/>
            </w:tcBorders>
            <w:shd w:val="clear" w:color="auto" w:fill="auto"/>
          </w:tcPr>
          <w:p w14:paraId="75887DCB" w14:textId="77777777" w:rsidR="002A4DDF" w:rsidRPr="00937C8B" w:rsidRDefault="002A4DDF" w:rsidP="009110ED">
            <w:pPr>
              <w:rPr>
                <w:rFonts w:ascii="Arial" w:hAnsi="Arial" w:cs="Arial"/>
                <w:sz w:val="12"/>
                <w:szCs w:val="12"/>
              </w:rPr>
            </w:pPr>
          </w:p>
        </w:tc>
        <w:tc>
          <w:tcPr>
            <w:tcW w:w="1843" w:type="dxa"/>
            <w:shd w:val="clear" w:color="auto" w:fill="auto"/>
          </w:tcPr>
          <w:p w14:paraId="104ED0C1" w14:textId="77777777" w:rsidR="002A4DDF" w:rsidRPr="00937C8B" w:rsidRDefault="002A4DDF" w:rsidP="009110ED">
            <w:pPr>
              <w:rPr>
                <w:rFonts w:ascii="Arial" w:hAnsi="Arial" w:cs="Arial"/>
                <w:sz w:val="12"/>
                <w:szCs w:val="12"/>
              </w:rPr>
            </w:pPr>
          </w:p>
        </w:tc>
        <w:tc>
          <w:tcPr>
            <w:tcW w:w="2268" w:type="dxa"/>
            <w:shd w:val="clear" w:color="auto" w:fill="F2F2F2"/>
            <w:hideMark/>
          </w:tcPr>
          <w:p w14:paraId="3AAB4744" w14:textId="77777777" w:rsidR="002A4DDF" w:rsidRPr="00937C8B" w:rsidRDefault="002A4DDF" w:rsidP="009110ED">
            <w:pPr>
              <w:rPr>
                <w:rFonts w:ascii="Arial" w:hAnsi="Arial" w:cs="Arial"/>
                <w:sz w:val="12"/>
                <w:szCs w:val="12"/>
              </w:rPr>
            </w:pPr>
            <w:r>
              <w:rPr>
                <w:rFonts w:ascii="Arial" w:hAnsi="Arial"/>
                <w:sz w:val="12"/>
                <w:szCs w:val="12"/>
              </w:rPr>
              <w:t>Segura</w:t>
            </w:r>
          </w:p>
        </w:tc>
        <w:tc>
          <w:tcPr>
            <w:tcW w:w="2268" w:type="dxa"/>
            <w:tcBorders>
              <w:right w:val="single" w:sz="4" w:space="0" w:color="auto"/>
            </w:tcBorders>
            <w:shd w:val="clear" w:color="auto" w:fill="D9D9D9"/>
            <w:hideMark/>
          </w:tcPr>
          <w:p w14:paraId="57D9DCA9" w14:textId="77777777" w:rsidR="002A4DDF" w:rsidRPr="00937C8B" w:rsidRDefault="002A4DDF" w:rsidP="009110ED">
            <w:pPr>
              <w:rPr>
                <w:rFonts w:ascii="Arial" w:hAnsi="Arial" w:cs="Arial"/>
                <w:sz w:val="12"/>
                <w:szCs w:val="12"/>
              </w:rPr>
            </w:pPr>
          </w:p>
        </w:tc>
      </w:tr>
      <w:tr w:rsidR="002A4DDF" w:rsidRPr="00937C8B" w14:paraId="1F89E150" w14:textId="77777777" w:rsidTr="00935676">
        <w:trPr>
          <w:cantSplit/>
        </w:trPr>
        <w:tc>
          <w:tcPr>
            <w:tcW w:w="1696" w:type="dxa"/>
            <w:tcBorders>
              <w:left w:val="single" w:sz="4" w:space="0" w:color="auto"/>
            </w:tcBorders>
            <w:shd w:val="clear" w:color="auto" w:fill="auto"/>
          </w:tcPr>
          <w:p w14:paraId="185B21A0" w14:textId="77777777" w:rsidR="002A4DDF" w:rsidRPr="00937C8B" w:rsidRDefault="002A4DDF" w:rsidP="009110ED">
            <w:pPr>
              <w:rPr>
                <w:rFonts w:ascii="Arial" w:hAnsi="Arial" w:cs="Arial"/>
                <w:sz w:val="12"/>
                <w:szCs w:val="12"/>
              </w:rPr>
            </w:pPr>
          </w:p>
        </w:tc>
        <w:tc>
          <w:tcPr>
            <w:tcW w:w="1843" w:type="dxa"/>
            <w:shd w:val="clear" w:color="auto" w:fill="auto"/>
          </w:tcPr>
          <w:p w14:paraId="7B25C293" w14:textId="77777777" w:rsidR="002A4DDF" w:rsidRPr="00937C8B" w:rsidRDefault="002A4DDF" w:rsidP="009110ED">
            <w:pPr>
              <w:rPr>
                <w:rFonts w:ascii="Arial" w:hAnsi="Arial" w:cs="Arial"/>
                <w:sz w:val="12"/>
                <w:szCs w:val="12"/>
              </w:rPr>
            </w:pPr>
          </w:p>
        </w:tc>
        <w:tc>
          <w:tcPr>
            <w:tcW w:w="2268" w:type="dxa"/>
            <w:shd w:val="clear" w:color="auto" w:fill="F2F2F2"/>
            <w:hideMark/>
          </w:tcPr>
          <w:p w14:paraId="72A67E3B" w14:textId="77777777" w:rsidR="002A4DDF" w:rsidRPr="00937C8B" w:rsidRDefault="002A4DDF" w:rsidP="009110ED">
            <w:pPr>
              <w:rPr>
                <w:rFonts w:ascii="Arial" w:hAnsi="Arial" w:cs="Arial"/>
                <w:sz w:val="12"/>
                <w:szCs w:val="12"/>
              </w:rPr>
            </w:pPr>
            <w:r>
              <w:rPr>
                <w:rFonts w:ascii="Arial" w:hAnsi="Arial"/>
                <w:sz w:val="12"/>
                <w:szCs w:val="12"/>
              </w:rPr>
              <w:t>Tolosa</w:t>
            </w:r>
          </w:p>
        </w:tc>
        <w:tc>
          <w:tcPr>
            <w:tcW w:w="2268" w:type="dxa"/>
            <w:tcBorders>
              <w:right w:val="single" w:sz="4" w:space="0" w:color="auto"/>
            </w:tcBorders>
            <w:shd w:val="clear" w:color="auto" w:fill="D9D9D9"/>
            <w:hideMark/>
          </w:tcPr>
          <w:p w14:paraId="78458EF2" w14:textId="77777777" w:rsidR="002A4DDF" w:rsidRPr="00937C8B" w:rsidRDefault="002A4DDF" w:rsidP="009110ED">
            <w:pPr>
              <w:rPr>
                <w:rFonts w:ascii="Arial" w:hAnsi="Arial" w:cs="Arial"/>
                <w:sz w:val="12"/>
                <w:szCs w:val="12"/>
              </w:rPr>
            </w:pPr>
          </w:p>
        </w:tc>
      </w:tr>
      <w:tr w:rsidR="002A4DDF" w:rsidRPr="00937C8B" w14:paraId="5786D92A" w14:textId="77777777" w:rsidTr="00935676">
        <w:trPr>
          <w:cantSplit/>
        </w:trPr>
        <w:tc>
          <w:tcPr>
            <w:tcW w:w="1696" w:type="dxa"/>
            <w:tcBorders>
              <w:left w:val="single" w:sz="4" w:space="0" w:color="auto"/>
            </w:tcBorders>
            <w:shd w:val="clear" w:color="auto" w:fill="auto"/>
          </w:tcPr>
          <w:p w14:paraId="0795763C" w14:textId="77777777" w:rsidR="002A4DDF" w:rsidRPr="00937C8B" w:rsidRDefault="002A4DDF" w:rsidP="009110ED">
            <w:pPr>
              <w:rPr>
                <w:rFonts w:ascii="Arial" w:hAnsi="Arial" w:cs="Arial"/>
                <w:sz w:val="12"/>
                <w:szCs w:val="12"/>
              </w:rPr>
            </w:pPr>
          </w:p>
        </w:tc>
        <w:tc>
          <w:tcPr>
            <w:tcW w:w="1843" w:type="dxa"/>
            <w:shd w:val="clear" w:color="auto" w:fill="auto"/>
          </w:tcPr>
          <w:p w14:paraId="0BE589CE" w14:textId="77777777" w:rsidR="002A4DDF" w:rsidRPr="00937C8B" w:rsidRDefault="002A4DDF" w:rsidP="009110ED">
            <w:pPr>
              <w:rPr>
                <w:rFonts w:ascii="Arial" w:hAnsi="Arial" w:cs="Arial"/>
                <w:sz w:val="12"/>
                <w:szCs w:val="12"/>
              </w:rPr>
            </w:pPr>
          </w:p>
        </w:tc>
        <w:tc>
          <w:tcPr>
            <w:tcW w:w="2268" w:type="dxa"/>
            <w:shd w:val="clear" w:color="auto" w:fill="F2F2F2"/>
            <w:hideMark/>
          </w:tcPr>
          <w:p w14:paraId="7FE46B8A" w14:textId="77777777" w:rsidR="002A4DDF" w:rsidRPr="00937C8B" w:rsidRDefault="002A4DDF" w:rsidP="009110ED">
            <w:pPr>
              <w:rPr>
                <w:rFonts w:ascii="Arial" w:hAnsi="Arial" w:cs="Arial"/>
                <w:sz w:val="12"/>
                <w:szCs w:val="12"/>
              </w:rPr>
            </w:pPr>
            <w:r>
              <w:rPr>
                <w:rFonts w:ascii="Arial" w:hAnsi="Arial"/>
                <w:sz w:val="12"/>
                <w:szCs w:val="12"/>
              </w:rPr>
              <w:t>Urretxu</w:t>
            </w:r>
          </w:p>
        </w:tc>
        <w:tc>
          <w:tcPr>
            <w:tcW w:w="2268" w:type="dxa"/>
            <w:tcBorders>
              <w:right w:val="single" w:sz="4" w:space="0" w:color="auto"/>
            </w:tcBorders>
            <w:shd w:val="clear" w:color="auto" w:fill="D9D9D9"/>
            <w:hideMark/>
          </w:tcPr>
          <w:p w14:paraId="78FE86D0" w14:textId="77777777" w:rsidR="002A4DDF" w:rsidRPr="00937C8B" w:rsidRDefault="002A4DDF" w:rsidP="009110ED">
            <w:pPr>
              <w:rPr>
                <w:rFonts w:ascii="Arial" w:hAnsi="Arial" w:cs="Arial"/>
                <w:sz w:val="12"/>
                <w:szCs w:val="12"/>
              </w:rPr>
            </w:pPr>
          </w:p>
        </w:tc>
      </w:tr>
      <w:tr w:rsidR="002A4DDF" w:rsidRPr="00937C8B" w14:paraId="5455F33A" w14:textId="77777777" w:rsidTr="00935676">
        <w:trPr>
          <w:cantSplit/>
        </w:trPr>
        <w:tc>
          <w:tcPr>
            <w:tcW w:w="1696" w:type="dxa"/>
            <w:tcBorders>
              <w:left w:val="single" w:sz="4" w:space="0" w:color="auto"/>
            </w:tcBorders>
            <w:shd w:val="clear" w:color="auto" w:fill="auto"/>
          </w:tcPr>
          <w:p w14:paraId="6B4606FB" w14:textId="77777777" w:rsidR="002A4DDF" w:rsidRPr="00937C8B" w:rsidRDefault="002A4DDF" w:rsidP="009110ED">
            <w:pPr>
              <w:rPr>
                <w:rFonts w:ascii="Arial" w:hAnsi="Arial" w:cs="Arial"/>
                <w:sz w:val="12"/>
                <w:szCs w:val="12"/>
              </w:rPr>
            </w:pPr>
          </w:p>
        </w:tc>
        <w:tc>
          <w:tcPr>
            <w:tcW w:w="1843" w:type="dxa"/>
            <w:shd w:val="clear" w:color="auto" w:fill="auto"/>
          </w:tcPr>
          <w:p w14:paraId="7886CC82" w14:textId="77777777" w:rsidR="002A4DDF" w:rsidRPr="00937C8B" w:rsidRDefault="002A4DDF" w:rsidP="009110ED">
            <w:pPr>
              <w:rPr>
                <w:rFonts w:ascii="Arial" w:hAnsi="Arial" w:cs="Arial"/>
                <w:sz w:val="12"/>
                <w:szCs w:val="12"/>
              </w:rPr>
            </w:pPr>
          </w:p>
        </w:tc>
        <w:tc>
          <w:tcPr>
            <w:tcW w:w="2268" w:type="dxa"/>
            <w:shd w:val="clear" w:color="auto" w:fill="F2F2F2"/>
            <w:hideMark/>
          </w:tcPr>
          <w:p w14:paraId="666084D8" w14:textId="77777777" w:rsidR="002A4DDF" w:rsidRPr="00937C8B" w:rsidRDefault="002A4DDF" w:rsidP="009110ED">
            <w:pPr>
              <w:rPr>
                <w:rFonts w:ascii="Arial" w:hAnsi="Arial" w:cs="Arial"/>
                <w:sz w:val="12"/>
                <w:szCs w:val="12"/>
              </w:rPr>
            </w:pPr>
            <w:r>
              <w:rPr>
                <w:rFonts w:ascii="Arial" w:hAnsi="Arial"/>
                <w:sz w:val="12"/>
                <w:szCs w:val="12"/>
              </w:rPr>
              <w:t>Villabona</w:t>
            </w:r>
          </w:p>
        </w:tc>
        <w:tc>
          <w:tcPr>
            <w:tcW w:w="2268" w:type="dxa"/>
            <w:tcBorders>
              <w:right w:val="single" w:sz="4" w:space="0" w:color="auto"/>
            </w:tcBorders>
            <w:shd w:val="clear" w:color="auto" w:fill="D9D9D9"/>
            <w:hideMark/>
          </w:tcPr>
          <w:p w14:paraId="1FD548C8" w14:textId="77777777" w:rsidR="002A4DDF" w:rsidRPr="00937C8B" w:rsidRDefault="002A4DDF" w:rsidP="009110ED">
            <w:pPr>
              <w:rPr>
                <w:rFonts w:ascii="Arial" w:hAnsi="Arial" w:cs="Arial"/>
                <w:sz w:val="12"/>
                <w:szCs w:val="12"/>
              </w:rPr>
            </w:pPr>
          </w:p>
        </w:tc>
      </w:tr>
      <w:tr w:rsidR="002A4DDF" w:rsidRPr="00937C8B" w14:paraId="29A4ADD3" w14:textId="77777777" w:rsidTr="00935676">
        <w:trPr>
          <w:cantSplit/>
        </w:trPr>
        <w:tc>
          <w:tcPr>
            <w:tcW w:w="1696" w:type="dxa"/>
            <w:tcBorders>
              <w:left w:val="single" w:sz="4" w:space="0" w:color="auto"/>
            </w:tcBorders>
            <w:shd w:val="clear" w:color="auto" w:fill="auto"/>
          </w:tcPr>
          <w:p w14:paraId="0060D85B" w14:textId="77777777" w:rsidR="002A4DDF" w:rsidRPr="00937C8B" w:rsidRDefault="002A4DDF" w:rsidP="009110ED">
            <w:pPr>
              <w:rPr>
                <w:rFonts w:ascii="Arial" w:hAnsi="Arial" w:cs="Arial"/>
                <w:sz w:val="12"/>
                <w:szCs w:val="12"/>
              </w:rPr>
            </w:pPr>
          </w:p>
        </w:tc>
        <w:tc>
          <w:tcPr>
            <w:tcW w:w="1843" w:type="dxa"/>
            <w:shd w:val="clear" w:color="auto" w:fill="auto"/>
          </w:tcPr>
          <w:p w14:paraId="1E58DE32" w14:textId="77777777" w:rsidR="002A4DDF" w:rsidRPr="00937C8B" w:rsidRDefault="002A4DDF" w:rsidP="009110ED">
            <w:pPr>
              <w:rPr>
                <w:rFonts w:ascii="Arial" w:hAnsi="Arial" w:cs="Arial"/>
                <w:sz w:val="12"/>
                <w:szCs w:val="12"/>
              </w:rPr>
            </w:pPr>
          </w:p>
        </w:tc>
        <w:tc>
          <w:tcPr>
            <w:tcW w:w="2268" w:type="dxa"/>
            <w:shd w:val="clear" w:color="auto" w:fill="F2F2F2"/>
            <w:hideMark/>
          </w:tcPr>
          <w:p w14:paraId="5250F46A" w14:textId="77777777" w:rsidR="002A4DDF" w:rsidRPr="00937C8B" w:rsidRDefault="002A4DDF" w:rsidP="009110ED">
            <w:pPr>
              <w:rPr>
                <w:rFonts w:ascii="Arial" w:hAnsi="Arial" w:cs="Arial"/>
                <w:sz w:val="12"/>
                <w:szCs w:val="12"/>
              </w:rPr>
            </w:pPr>
            <w:r>
              <w:rPr>
                <w:rFonts w:ascii="Arial" w:hAnsi="Arial"/>
                <w:sz w:val="12"/>
                <w:szCs w:val="12"/>
              </w:rPr>
              <w:t>Zaldibia</w:t>
            </w:r>
          </w:p>
        </w:tc>
        <w:tc>
          <w:tcPr>
            <w:tcW w:w="2268" w:type="dxa"/>
            <w:tcBorders>
              <w:right w:val="single" w:sz="4" w:space="0" w:color="auto"/>
            </w:tcBorders>
            <w:shd w:val="clear" w:color="auto" w:fill="D9D9D9"/>
            <w:hideMark/>
          </w:tcPr>
          <w:p w14:paraId="06BD5CFB" w14:textId="77777777" w:rsidR="002A4DDF" w:rsidRPr="00937C8B" w:rsidRDefault="002A4DDF" w:rsidP="009110ED">
            <w:pPr>
              <w:rPr>
                <w:rFonts w:ascii="Arial" w:hAnsi="Arial" w:cs="Arial"/>
                <w:sz w:val="12"/>
                <w:szCs w:val="12"/>
              </w:rPr>
            </w:pPr>
          </w:p>
        </w:tc>
      </w:tr>
      <w:tr w:rsidR="002A4DDF" w:rsidRPr="00937C8B" w14:paraId="0A36B9BB" w14:textId="77777777" w:rsidTr="00935676">
        <w:trPr>
          <w:cantSplit/>
        </w:trPr>
        <w:tc>
          <w:tcPr>
            <w:tcW w:w="1696" w:type="dxa"/>
            <w:tcBorders>
              <w:left w:val="single" w:sz="4" w:space="0" w:color="auto"/>
            </w:tcBorders>
            <w:shd w:val="clear" w:color="auto" w:fill="auto"/>
          </w:tcPr>
          <w:p w14:paraId="2DAD4AAD" w14:textId="77777777" w:rsidR="002A4DDF" w:rsidRPr="00937C8B" w:rsidRDefault="002A4DDF" w:rsidP="009110ED">
            <w:pPr>
              <w:rPr>
                <w:rFonts w:ascii="Arial" w:hAnsi="Arial" w:cs="Arial"/>
                <w:sz w:val="12"/>
                <w:szCs w:val="12"/>
              </w:rPr>
            </w:pPr>
          </w:p>
        </w:tc>
        <w:tc>
          <w:tcPr>
            <w:tcW w:w="1843" w:type="dxa"/>
            <w:shd w:val="clear" w:color="auto" w:fill="auto"/>
          </w:tcPr>
          <w:p w14:paraId="6C168C36" w14:textId="77777777" w:rsidR="002A4DDF" w:rsidRPr="00937C8B" w:rsidRDefault="002A4DDF" w:rsidP="009110ED">
            <w:pPr>
              <w:rPr>
                <w:rFonts w:ascii="Arial" w:hAnsi="Arial" w:cs="Arial"/>
                <w:sz w:val="12"/>
                <w:szCs w:val="12"/>
              </w:rPr>
            </w:pPr>
          </w:p>
        </w:tc>
        <w:tc>
          <w:tcPr>
            <w:tcW w:w="2268" w:type="dxa"/>
            <w:shd w:val="clear" w:color="auto" w:fill="F2F2F2"/>
            <w:hideMark/>
          </w:tcPr>
          <w:p w14:paraId="380DEAC1" w14:textId="77777777" w:rsidR="002A4DDF" w:rsidRPr="00937C8B" w:rsidRDefault="002A4DDF" w:rsidP="009110ED">
            <w:pPr>
              <w:rPr>
                <w:rFonts w:ascii="Arial" w:hAnsi="Arial" w:cs="Arial"/>
                <w:sz w:val="12"/>
                <w:szCs w:val="12"/>
              </w:rPr>
            </w:pPr>
            <w:r>
              <w:rPr>
                <w:rFonts w:ascii="Arial" w:hAnsi="Arial"/>
                <w:sz w:val="12"/>
                <w:szCs w:val="12"/>
              </w:rPr>
              <w:t>Zarautz</w:t>
            </w:r>
          </w:p>
        </w:tc>
        <w:tc>
          <w:tcPr>
            <w:tcW w:w="2268" w:type="dxa"/>
            <w:tcBorders>
              <w:right w:val="single" w:sz="4" w:space="0" w:color="auto"/>
            </w:tcBorders>
            <w:shd w:val="clear" w:color="auto" w:fill="D9D9D9"/>
            <w:hideMark/>
          </w:tcPr>
          <w:p w14:paraId="08F3C0C3" w14:textId="77777777" w:rsidR="002A4DDF" w:rsidRPr="00937C8B" w:rsidRDefault="002A4DDF" w:rsidP="009110ED">
            <w:pPr>
              <w:rPr>
                <w:rFonts w:ascii="Arial" w:hAnsi="Arial" w:cs="Arial"/>
                <w:sz w:val="12"/>
                <w:szCs w:val="12"/>
              </w:rPr>
            </w:pPr>
          </w:p>
        </w:tc>
      </w:tr>
      <w:tr w:rsidR="002A4DDF" w:rsidRPr="00937C8B" w14:paraId="4816A01E" w14:textId="77777777" w:rsidTr="00935676">
        <w:trPr>
          <w:cantSplit/>
        </w:trPr>
        <w:tc>
          <w:tcPr>
            <w:tcW w:w="1696" w:type="dxa"/>
            <w:tcBorders>
              <w:left w:val="single" w:sz="4" w:space="0" w:color="auto"/>
            </w:tcBorders>
            <w:shd w:val="clear" w:color="auto" w:fill="auto"/>
          </w:tcPr>
          <w:p w14:paraId="707FF9F2" w14:textId="77777777" w:rsidR="002A4DDF" w:rsidRPr="00937C8B" w:rsidRDefault="002A4DDF" w:rsidP="009110ED">
            <w:pPr>
              <w:rPr>
                <w:rFonts w:ascii="Arial" w:hAnsi="Arial" w:cs="Arial"/>
                <w:sz w:val="12"/>
                <w:szCs w:val="12"/>
              </w:rPr>
            </w:pPr>
          </w:p>
        </w:tc>
        <w:tc>
          <w:tcPr>
            <w:tcW w:w="1843" w:type="dxa"/>
            <w:shd w:val="clear" w:color="auto" w:fill="auto"/>
          </w:tcPr>
          <w:p w14:paraId="78A4AFE6" w14:textId="77777777" w:rsidR="002A4DDF" w:rsidRPr="00937C8B" w:rsidRDefault="002A4DDF" w:rsidP="009110ED">
            <w:pPr>
              <w:rPr>
                <w:rFonts w:ascii="Arial" w:hAnsi="Arial" w:cs="Arial"/>
                <w:sz w:val="12"/>
                <w:szCs w:val="12"/>
              </w:rPr>
            </w:pPr>
          </w:p>
        </w:tc>
        <w:tc>
          <w:tcPr>
            <w:tcW w:w="2268" w:type="dxa"/>
            <w:shd w:val="clear" w:color="auto" w:fill="F2F2F2"/>
            <w:hideMark/>
          </w:tcPr>
          <w:p w14:paraId="60FCF57A" w14:textId="77777777" w:rsidR="002A4DDF" w:rsidRPr="00937C8B" w:rsidRDefault="002A4DDF" w:rsidP="009110ED">
            <w:pPr>
              <w:rPr>
                <w:rFonts w:ascii="Arial" w:hAnsi="Arial" w:cs="Arial"/>
                <w:sz w:val="12"/>
                <w:szCs w:val="12"/>
              </w:rPr>
            </w:pPr>
            <w:r>
              <w:rPr>
                <w:rFonts w:ascii="Arial" w:hAnsi="Arial"/>
                <w:sz w:val="12"/>
                <w:szCs w:val="12"/>
              </w:rPr>
              <w:t>Zegama</w:t>
            </w:r>
          </w:p>
        </w:tc>
        <w:tc>
          <w:tcPr>
            <w:tcW w:w="2268" w:type="dxa"/>
            <w:tcBorders>
              <w:right w:val="single" w:sz="4" w:space="0" w:color="auto"/>
            </w:tcBorders>
            <w:shd w:val="clear" w:color="auto" w:fill="D9D9D9"/>
            <w:hideMark/>
          </w:tcPr>
          <w:p w14:paraId="63622AF3" w14:textId="77777777" w:rsidR="002A4DDF" w:rsidRPr="00937C8B" w:rsidRDefault="002A4DDF" w:rsidP="009110ED">
            <w:pPr>
              <w:rPr>
                <w:rFonts w:ascii="Arial" w:hAnsi="Arial" w:cs="Arial"/>
                <w:sz w:val="12"/>
                <w:szCs w:val="12"/>
              </w:rPr>
            </w:pPr>
          </w:p>
        </w:tc>
      </w:tr>
      <w:tr w:rsidR="002A4DDF" w:rsidRPr="00937C8B" w14:paraId="0DB4D751" w14:textId="77777777" w:rsidTr="00935676">
        <w:trPr>
          <w:cantSplit/>
        </w:trPr>
        <w:tc>
          <w:tcPr>
            <w:tcW w:w="1696" w:type="dxa"/>
            <w:tcBorders>
              <w:left w:val="single" w:sz="4" w:space="0" w:color="auto"/>
            </w:tcBorders>
            <w:shd w:val="clear" w:color="auto" w:fill="auto"/>
          </w:tcPr>
          <w:p w14:paraId="270971B2" w14:textId="77777777" w:rsidR="002A4DDF" w:rsidRPr="00937C8B" w:rsidRDefault="002A4DDF" w:rsidP="009110ED">
            <w:pPr>
              <w:rPr>
                <w:rFonts w:ascii="Arial" w:hAnsi="Arial" w:cs="Arial"/>
                <w:sz w:val="12"/>
                <w:szCs w:val="12"/>
              </w:rPr>
            </w:pPr>
          </w:p>
        </w:tc>
        <w:tc>
          <w:tcPr>
            <w:tcW w:w="1843" w:type="dxa"/>
            <w:shd w:val="clear" w:color="auto" w:fill="auto"/>
          </w:tcPr>
          <w:p w14:paraId="305B887D" w14:textId="77777777" w:rsidR="002A4DDF" w:rsidRPr="00937C8B" w:rsidRDefault="002A4DDF" w:rsidP="009110ED">
            <w:pPr>
              <w:rPr>
                <w:rFonts w:ascii="Arial" w:hAnsi="Arial" w:cs="Arial"/>
                <w:sz w:val="12"/>
                <w:szCs w:val="12"/>
              </w:rPr>
            </w:pPr>
          </w:p>
        </w:tc>
        <w:tc>
          <w:tcPr>
            <w:tcW w:w="2268" w:type="dxa"/>
            <w:shd w:val="clear" w:color="auto" w:fill="F2F2F2"/>
            <w:hideMark/>
          </w:tcPr>
          <w:p w14:paraId="4290008C" w14:textId="77777777" w:rsidR="002A4DDF" w:rsidRPr="00937C8B" w:rsidRDefault="002A4DDF" w:rsidP="009110ED">
            <w:pPr>
              <w:rPr>
                <w:rFonts w:ascii="Arial" w:hAnsi="Arial" w:cs="Arial"/>
                <w:sz w:val="12"/>
                <w:szCs w:val="12"/>
              </w:rPr>
            </w:pPr>
            <w:r>
              <w:rPr>
                <w:rFonts w:ascii="Arial" w:hAnsi="Arial"/>
                <w:sz w:val="12"/>
                <w:szCs w:val="12"/>
              </w:rPr>
              <w:t>Zerain</w:t>
            </w:r>
          </w:p>
        </w:tc>
        <w:tc>
          <w:tcPr>
            <w:tcW w:w="2268" w:type="dxa"/>
            <w:tcBorders>
              <w:right w:val="single" w:sz="4" w:space="0" w:color="auto"/>
            </w:tcBorders>
            <w:shd w:val="clear" w:color="auto" w:fill="D9D9D9"/>
            <w:hideMark/>
          </w:tcPr>
          <w:p w14:paraId="2971CC3C" w14:textId="77777777" w:rsidR="002A4DDF" w:rsidRPr="00937C8B" w:rsidRDefault="002A4DDF" w:rsidP="009110ED">
            <w:pPr>
              <w:rPr>
                <w:rFonts w:ascii="Arial" w:hAnsi="Arial" w:cs="Arial"/>
                <w:sz w:val="12"/>
                <w:szCs w:val="12"/>
              </w:rPr>
            </w:pPr>
          </w:p>
        </w:tc>
      </w:tr>
      <w:tr w:rsidR="002A4DDF" w:rsidRPr="00937C8B" w14:paraId="73DED629" w14:textId="77777777" w:rsidTr="00935676">
        <w:trPr>
          <w:cantSplit/>
        </w:trPr>
        <w:tc>
          <w:tcPr>
            <w:tcW w:w="1696" w:type="dxa"/>
            <w:tcBorders>
              <w:left w:val="single" w:sz="4" w:space="0" w:color="auto"/>
            </w:tcBorders>
            <w:shd w:val="clear" w:color="auto" w:fill="auto"/>
          </w:tcPr>
          <w:p w14:paraId="6DB4F6C5" w14:textId="77777777" w:rsidR="002A4DDF" w:rsidRPr="00937C8B" w:rsidRDefault="002A4DDF" w:rsidP="009110ED">
            <w:pPr>
              <w:rPr>
                <w:rFonts w:ascii="Arial" w:hAnsi="Arial" w:cs="Arial"/>
                <w:sz w:val="12"/>
                <w:szCs w:val="12"/>
              </w:rPr>
            </w:pPr>
          </w:p>
        </w:tc>
        <w:tc>
          <w:tcPr>
            <w:tcW w:w="1843" w:type="dxa"/>
            <w:shd w:val="clear" w:color="auto" w:fill="auto"/>
          </w:tcPr>
          <w:p w14:paraId="526BD42F" w14:textId="77777777" w:rsidR="002A4DDF" w:rsidRPr="00937C8B" w:rsidRDefault="002A4DDF" w:rsidP="009110ED">
            <w:pPr>
              <w:rPr>
                <w:rFonts w:ascii="Arial" w:hAnsi="Arial" w:cs="Arial"/>
                <w:sz w:val="12"/>
                <w:szCs w:val="12"/>
              </w:rPr>
            </w:pPr>
          </w:p>
        </w:tc>
        <w:tc>
          <w:tcPr>
            <w:tcW w:w="2268" w:type="dxa"/>
            <w:shd w:val="clear" w:color="auto" w:fill="F2F2F2"/>
            <w:hideMark/>
          </w:tcPr>
          <w:p w14:paraId="0DB7E937" w14:textId="77777777" w:rsidR="002A4DDF" w:rsidRPr="00937C8B" w:rsidRDefault="002A4DDF" w:rsidP="009110ED">
            <w:pPr>
              <w:rPr>
                <w:rFonts w:ascii="Arial" w:hAnsi="Arial" w:cs="Arial"/>
                <w:sz w:val="12"/>
                <w:szCs w:val="12"/>
              </w:rPr>
            </w:pPr>
            <w:r>
              <w:rPr>
                <w:rFonts w:ascii="Arial" w:hAnsi="Arial"/>
                <w:sz w:val="12"/>
                <w:szCs w:val="12"/>
              </w:rPr>
              <w:t>Zestoa</w:t>
            </w:r>
          </w:p>
        </w:tc>
        <w:tc>
          <w:tcPr>
            <w:tcW w:w="2268" w:type="dxa"/>
            <w:tcBorders>
              <w:right w:val="single" w:sz="4" w:space="0" w:color="auto"/>
            </w:tcBorders>
            <w:shd w:val="clear" w:color="auto" w:fill="D9D9D9"/>
            <w:hideMark/>
          </w:tcPr>
          <w:p w14:paraId="637AAA29" w14:textId="77777777" w:rsidR="002A4DDF" w:rsidRPr="00937C8B" w:rsidRDefault="002A4DDF" w:rsidP="009110ED">
            <w:pPr>
              <w:rPr>
                <w:rFonts w:ascii="Arial" w:hAnsi="Arial" w:cs="Arial"/>
                <w:sz w:val="12"/>
                <w:szCs w:val="12"/>
              </w:rPr>
            </w:pPr>
          </w:p>
        </w:tc>
      </w:tr>
      <w:tr w:rsidR="002A4DDF" w:rsidRPr="00937C8B" w14:paraId="562AF21C" w14:textId="77777777" w:rsidTr="00935676">
        <w:trPr>
          <w:cantSplit/>
        </w:trPr>
        <w:tc>
          <w:tcPr>
            <w:tcW w:w="1696" w:type="dxa"/>
            <w:tcBorders>
              <w:left w:val="single" w:sz="4" w:space="0" w:color="auto"/>
            </w:tcBorders>
            <w:shd w:val="clear" w:color="auto" w:fill="auto"/>
          </w:tcPr>
          <w:p w14:paraId="46CAD8FB" w14:textId="77777777" w:rsidR="002A4DDF" w:rsidRPr="00937C8B" w:rsidRDefault="002A4DDF" w:rsidP="009110ED">
            <w:pPr>
              <w:rPr>
                <w:rFonts w:ascii="Arial" w:hAnsi="Arial" w:cs="Arial"/>
                <w:sz w:val="12"/>
                <w:szCs w:val="12"/>
              </w:rPr>
            </w:pPr>
          </w:p>
        </w:tc>
        <w:tc>
          <w:tcPr>
            <w:tcW w:w="1843" w:type="dxa"/>
            <w:shd w:val="clear" w:color="auto" w:fill="auto"/>
          </w:tcPr>
          <w:p w14:paraId="6EF2F936" w14:textId="77777777" w:rsidR="002A4DDF" w:rsidRPr="00937C8B" w:rsidRDefault="002A4DDF" w:rsidP="009110ED">
            <w:pPr>
              <w:rPr>
                <w:rFonts w:ascii="Arial" w:hAnsi="Arial" w:cs="Arial"/>
                <w:sz w:val="12"/>
                <w:szCs w:val="12"/>
              </w:rPr>
            </w:pPr>
          </w:p>
        </w:tc>
        <w:tc>
          <w:tcPr>
            <w:tcW w:w="2268" w:type="dxa"/>
            <w:shd w:val="clear" w:color="auto" w:fill="F2F2F2"/>
            <w:hideMark/>
          </w:tcPr>
          <w:p w14:paraId="7A4F7943" w14:textId="77777777" w:rsidR="002A4DDF" w:rsidRPr="00937C8B" w:rsidRDefault="002A4DDF" w:rsidP="009110ED">
            <w:pPr>
              <w:rPr>
                <w:rFonts w:ascii="Arial" w:hAnsi="Arial" w:cs="Arial"/>
                <w:sz w:val="12"/>
                <w:szCs w:val="12"/>
              </w:rPr>
            </w:pPr>
            <w:r>
              <w:rPr>
                <w:rFonts w:ascii="Arial" w:hAnsi="Arial"/>
                <w:sz w:val="12"/>
                <w:szCs w:val="12"/>
              </w:rPr>
              <w:t>Zizurkil</w:t>
            </w:r>
          </w:p>
        </w:tc>
        <w:tc>
          <w:tcPr>
            <w:tcW w:w="2268" w:type="dxa"/>
            <w:tcBorders>
              <w:right w:val="single" w:sz="4" w:space="0" w:color="auto"/>
            </w:tcBorders>
            <w:shd w:val="clear" w:color="auto" w:fill="D9D9D9"/>
            <w:hideMark/>
          </w:tcPr>
          <w:p w14:paraId="55EBE7DD" w14:textId="77777777" w:rsidR="002A4DDF" w:rsidRPr="00937C8B" w:rsidRDefault="002A4DDF" w:rsidP="009110ED">
            <w:pPr>
              <w:rPr>
                <w:rFonts w:ascii="Arial" w:hAnsi="Arial" w:cs="Arial"/>
                <w:sz w:val="12"/>
                <w:szCs w:val="12"/>
              </w:rPr>
            </w:pPr>
          </w:p>
        </w:tc>
      </w:tr>
      <w:tr w:rsidR="002A4DDF" w:rsidRPr="00937C8B" w14:paraId="317FFEEB" w14:textId="77777777" w:rsidTr="00935676">
        <w:trPr>
          <w:cantSplit/>
        </w:trPr>
        <w:tc>
          <w:tcPr>
            <w:tcW w:w="1696" w:type="dxa"/>
            <w:tcBorders>
              <w:left w:val="single" w:sz="4" w:space="0" w:color="auto"/>
            </w:tcBorders>
            <w:shd w:val="clear" w:color="auto" w:fill="auto"/>
          </w:tcPr>
          <w:p w14:paraId="4896FA6E" w14:textId="77777777" w:rsidR="002A4DDF" w:rsidRPr="00937C8B" w:rsidRDefault="002A4DDF" w:rsidP="009110ED">
            <w:pPr>
              <w:rPr>
                <w:rFonts w:ascii="Arial" w:hAnsi="Arial" w:cs="Arial"/>
                <w:sz w:val="12"/>
                <w:szCs w:val="12"/>
              </w:rPr>
            </w:pPr>
          </w:p>
        </w:tc>
        <w:tc>
          <w:tcPr>
            <w:tcW w:w="1843" w:type="dxa"/>
            <w:shd w:val="clear" w:color="auto" w:fill="auto"/>
          </w:tcPr>
          <w:p w14:paraId="63123B21" w14:textId="77777777" w:rsidR="002A4DDF" w:rsidRPr="00937C8B" w:rsidRDefault="002A4DDF" w:rsidP="009110ED">
            <w:pPr>
              <w:rPr>
                <w:rFonts w:ascii="Arial" w:hAnsi="Arial" w:cs="Arial"/>
                <w:sz w:val="12"/>
                <w:szCs w:val="12"/>
              </w:rPr>
            </w:pPr>
          </w:p>
        </w:tc>
        <w:tc>
          <w:tcPr>
            <w:tcW w:w="2268" w:type="dxa"/>
            <w:shd w:val="clear" w:color="auto" w:fill="F2F2F2"/>
            <w:hideMark/>
          </w:tcPr>
          <w:p w14:paraId="4D7353C7" w14:textId="77777777" w:rsidR="002A4DDF" w:rsidRPr="00937C8B" w:rsidRDefault="002A4DDF" w:rsidP="009110ED">
            <w:pPr>
              <w:rPr>
                <w:rFonts w:ascii="Arial" w:hAnsi="Arial" w:cs="Arial"/>
                <w:sz w:val="12"/>
                <w:szCs w:val="12"/>
              </w:rPr>
            </w:pPr>
            <w:r>
              <w:rPr>
                <w:rFonts w:ascii="Arial" w:hAnsi="Arial"/>
                <w:sz w:val="12"/>
                <w:szCs w:val="12"/>
              </w:rPr>
              <w:t>Zumaia</w:t>
            </w:r>
          </w:p>
        </w:tc>
        <w:tc>
          <w:tcPr>
            <w:tcW w:w="2268" w:type="dxa"/>
            <w:tcBorders>
              <w:right w:val="single" w:sz="4" w:space="0" w:color="auto"/>
            </w:tcBorders>
            <w:shd w:val="clear" w:color="auto" w:fill="D9D9D9"/>
            <w:hideMark/>
          </w:tcPr>
          <w:p w14:paraId="5C61DD9F" w14:textId="77777777" w:rsidR="002A4DDF" w:rsidRPr="00937C8B" w:rsidRDefault="002A4DDF" w:rsidP="009110ED">
            <w:pPr>
              <w:rPr>
                <w:rFonts w:ascii="Arial" w:hAnsi="Arial" w:cs="Arial"/>
                <w:sz w:val="12"/>
                <w:szCs w:val="12"/>
              </w:rPr>
            </w:pPr>
          </w:p>
        </w:tc>
      </w:tr>
      <w:tr w:rsidR="002A4DDF" w:rsidRPr="00937C8B" w14:paraId="44F23C10" w14:textId="77777777" w:rsidTr="00935676">
        <w:trPr>
          <w:cantSplit/>
        </w:trPr>
        <w:tc>
          <w:tcPr>
            <w:tcW w:w="1696" w:type="dxa"/>
            <w:tcBorders>
              <w:left w:val="single" w:sz="4" w:space="0" w:color="auto"/>
              <w:bottom w:val="single" w:sz="4" w:space="0" w:color="auto"/>
            </w:tcBorders>
            <w:shd w:val="clear" w:color="auto" w:fill="auto"/>
            <w:hideMark/>
          </w:tcPr>
          <w:p w14:paraId="16635544" w14:textId="77777777" w:rsidR="002A4DDF" w:rsidRPr="00937C8B" w:rsidRDefault="002A4DDF" w:rsidP="009110ED">
            <w:pPr>
              <w:rPr>
                <w:rFonts w:ascii="Arial" w:hAnsi="Arial" w:cs="Arial"/>
                <w:sz w:val="12"/>
                <w:szCs w:val="12"/>
              </w:rPr>
            </w:pPr>
            <w:r>
              <w:rPr>
                <w:rFonts w:ascii="Arial" w:hAnsi="Arial"/>
                <w:sz w:val="12"/>
                <w:szCs w:val="12"/>
              </w:rPr>
              <w:t>Pays basque</w:t>
            </w:r>
          </w:p>
        </w:tc>
        <w:tc>
          <w:tcPr>
            <w:tcW w:w="1843" w:type="dxa"/>
            <w:tcBorders>
              <w:bottom w:val="single" w:sz="4" w:space="0" w:color="auto"/>
            </w:tcBorders>
            <w:shd w:val="clear" w:color="auto" w:fill="auto"/>
            <w:hideMark/>
          </w:tcPr>
          <w:p w14:paraId="7BCAC7A6" w14:textId="77777777" w:rsidR="002A4DDF" w:rsidRPr="00937C8B" w:rsidRDefault="002A4DDF" w:rsidP="009110ED">
            <w:pPr>
              <w:rPr>
                <w:rFonts w:ascii="Arial" w:hAnsi="Arial" w:cs="Arial"/>
                <w:sz w:val="12"/>
                <w:szCs w:val="12"/>
              </w:rPr>
            </w:pPr>
            <w:r>
              <w:rPr>
                <w:rFonts w:ascii="Arial" w:hAnsi="Arial"/>
                <w:sz w:val="12"/>
                <w:szCs w:val="12"/>
              </w:rPr>
              <w:t>Guipúzcoa / Gipuzkoa</w:t>
            </w:r>
          </w:p>
        </w:tc>
        <w:tc>
          <w:tcPr>
            <w:tcW w:w="2268" w:type="dxa"/>
            <w:tcBorders>
              <w:bottom w:val="single" w:sz="4" w:space="0" w:color="auto"/>
            </w:tcBorders>
            <w:shd w:val="clear" w:color="auto" w:fill="F2F2F2"/>
            <w:hideMark/>
          </w:tcPr>
          <w:p w14:paraId="2D5A231E" w14:textId="77777777" w:rsidR="002A4DDF" w:rsidRPr="00937C8B" w:rsidRDefault="002A4DDF" w:rsidP="009110ED">
            <w:pPr>
              <w:rPr>
                <w:rFonts w:ascii="Arial" w:hAnsi="Arial" w:cs="Arial"/>
                <w:sz w:val="12"/>
                <w:szCs w:val="12"/>
              </w:rPr>
            </w:pPr>
            <w:r>
              <w:rPr>
                <w:rFonts w:ascii="Arial" w:hAnsi="Arial"/>
                <w:sz w:val="12"/>
                <w:szCs w:val="12"/>
              </w:rPr>
              <w:t>Zumarraga</w:t>
            </w:r>
          </w:p>
        </w:tc>
        <w:tc>
          <w:tcPr>
            <w:tcW w:w="2268" w:type="dxa"/>
            <w:tcBorders>
              <w:bottom w:val="single" w:sz="4" w:space="0" w:color="auto"/>
              <w:right w:val="single" w:sz="4" w:space="0" w:color="auto"/>
            </w:tcBorders>
            <w:shd w:val="clear" w:color="auto" w:fill="D9D9D9"/>
            <w:hideMark/>
          </w:tcPr>
          <w:p w14:paraId="7601FA74" w14:textId="77777777" w:rsidR="002A4DDF" w:rsidRPr="00937C8B" w:rsidRDefault="002A4DDF" w:rsidP="009110ED">
            <w:pPr>
              <w:rPr>
                <w:rFonts w:ascii="Arial" w:hAnsi="Arial" w:cs="Arial"/>
                <w:sz w:val="12"/>
                <w:szCs w:val="12"/>
              </w:rPr>
            </w:pPr>
          </w:p>
        </w:tc>
      </w:tr>
      <w:tr w:rsidR="002A4DDF" w:rsidRPr="00937C8B" w14:paraId="2A408472" w14:textId="77777777" w:rsidTr="00935676">
        <w:trPr>
          <w:cantSplit/>
        </w:trPr>
        <w:tc>
          <w:tcPr>
            <w:tcW w:w="1696" w:type="dxa"/>
            <w:tcBorders>
              <w:top w:val="single" w:sz="4" w:space="0" w:color="auto"/>
              <w:bottom w:val="single" w:sz="4" w:space="0" w:color="auto"/>
            </w:tcBorders>
            <w:shd w:val="clear" w:color="auto" w:fill="auto"/>
            <w:hideMark/>
          </w:tcPr>
          <w:p w14:paraId="1BF6F879" w14:textId="77777777"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14:paraId="6CA6F872" w14:textId="77777777"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14:paraId="5C9619FC" w14:textId="77777777"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14:paraId="056FBA08" w14:textId="77777777" w:rsidR="002A4DDF" w:rsidRPr="00937C8B" w:rsidRDefault="002A4DDF" w:rsidP="009110ED">
            <w:pPr>
              <w:rPr>
                <w:rFonts w:ascii="Arial" w:hAnsi="Arial" w:cs="Arial"/>
                <w:sz w:val="12"/>
                <w:szCs w:val="12"/>
              </w:rPr>
            </w:pPr>
          </w:p>
        </w:tc>
      </w:tr>
      <w:tr w:rsidR="002A4DDF" w:rsidRPr="00937C8B" w14:paraId="105F73AC" w14:textId="77777777" w:rsidTr="00935676">
        <w:trPr>
          <w:cantSplit/>
        </w:trPr>
        <w:tc>
          <w:tcPr>
            <w:tcW w:w="1696" w:type="dxa"/>
            <w:tcBorders>
              <w:top w:val="single" w:sz="4" w:space="0" w:color="auto"/>
              <w:left w:val="single" w:sz="4" w:space="0" w:color="auto"/>
            </w:tcBorders>
            <w:shd w:val="clear" w:color="auto" w:fill="auto"/>
            <w:hideMark/>
          </w:tcPr>
          <w:p w14:paraId="0825E475" w14:textId="77777777" w:rsidR="002A4DDF" w:rsidRPr="00937C8B" w:rsidRDefault="002A4DDF" w:rsidP="009110ED">
            <w:pPr>
              <w:rPr>
                <w:rFonts w:ascii="Arial" w:hAnsi="Arial" w:cs="Arial"/>
                <w:sz w:val="12"/>
                <w:szCs w:val="12"/>
              </w:rPr>
            </w:pPr>
            <w:r>
              <w:rPr>
                <w:rFonts w:ascii="Arial" w:hAnsi="Arial"/>
                <w:sz w:val="12"/>
                <w:szCs w:val="12"/>
              </w:rPr>
              <w:t>Pays basque</w:t>
            </w:r>
          </w:p>
        </w:tc>
        <w:tc>
          <w:tcPr>
            <w:tcW w:w="1843" w:type="dxa"/>
            <w:tcBorders>
              <w:top w:val="single" w:sz="4" w:space="0" w:color="auto"/>
            </w:tcBorders>
            <w:shd w:val="clear" w:color="auto" w:fill="auto"/>
            <w:hideMark/>
          </w:tcPr>
          <w:p w14:paraId="30BA0438" w14:textId="77777777" w:rsidR="002A4DDF" w:rsidRPr="00937C8B" w:rsidRDefault="002A4DDF" w:rsidP="009110ED">
            <w:pPr>
              <w:rPr>
                <w:rFonts w:ascii="Arial" w:hAnsi="Arial" w:cs="Arial"/>
                <w:sz w:val="12"/>
                <w:szCs w:val="12"/>
              </w:rPr>
            </w:pPr>
            <w:r>
              <w:rPr>
                <w:rFonts w:ascii="Arial" w:hAnsi="Arial"/>
                <w:sz w:val="12"/>
                <w:szCs w:val="12"/>
              </w:rPr>
              <w:t>Vizcaya / Bizkaia</w:t>
            </w:r>
          </w:p>
        </w:tc>
        <w:tc>
          <w:tcPr>
            <w:tcW w:w="2268" w:type="dxa"/>
            <w:tcBorders>
              <w:top w:val="single" w:sz="4" w:space="0" w:color="auto"/>
            </w:tcBorders>
            <w:shd w:val="clear" w:color="auto" w:fill="F2F2F2"/>
            <w:hideMark/>
          </w:tcPr>
          <w:p w14:paraId="6B409628" w14:textId="77777777" w:rsidR="002A4DDF" w:rsidRPr="00937C8B" w:rsidRDefault="002A4DDF" w:rsidP="009110ED">
            <w:pPr>
              <w:rPr>
                <w:rFonts w:ascii="Arial" w:hAnsi="Arial" w:cs="Arial"/>
                <w:sz w:val="12"/>
                <w:szCs w:val="12"/>
              </w:rPr>
            </w:pPr>
            <w:r>
              <w:rPr>
                <w:rFonts w:ascii="Arial" w:hAnsi="Arial"/>
                <w:sz w:val="12"/>
                <w:szCs w:val="12"/>
              </w:rPr>
              <w:t>Abadiño</w:t>
            </w:r>
          </w:p>
        </w:tc>
        <w:tc>
          <w:tcPr>
            <w:tcW w:w="2268" w:type="dxa"/>
            <w:tcBorders>
              <w:top w:val="single" w:sz="4" w:space="0" w:color="auto"/>
              <w:right w:val="single" w:sz="4" w:space="0" w:color="auto"/>
            </w:tcBorders>
            <w:shd w:val="clear" w:color="auto" w:fill="D9D9D9"/>
            <w:hideMark/>
          </w:tcPr>
          <w:p w14:paraId="27CD771E" w14:textId="77777777" w:rsidR="002A4DDF" w:rsidRPr="00937C8B" w:rsidRDefault="002A4DDF" w:rsidP="009110ED">
            <w:pPr>
              <w:rPr>
                <w:rFonts w:ascii="Arial" w:hAnsi="Arial" w:cs="Arial"/>
                <w:sz w:val="12"/>
                <w:szCs w:val="12"/>
              </w:rPr>
            </w:pPr>
          </w:p>
        </w:tc>
      </w:tr>
      <w:tr w:rsidR="002A4DDF" w:rsidRPr="00937C8B" w14:paraId="12D4AB19" w14:textId="77777777" w:rsidTr="00935676">
        <w:trPr>
          <w:cantSplit/>
        </w:trPr>
        <w:tc>
          <w:tcPr>
            <w:tcW w:w="1696" w:type="dxa"/>
            <w:tcBorders>
              <w:left w:val="single" w:sz="4" w:space="0" w:color="auto"/>
            </w:tcBorders>
            <w:shd w:val="clear" w:color="auto" w:fill="auto"/>
          </w:tcPr>
          <w:p w14:paraId="38E542AF" w14:textId="77777777" w:rsidR="002A4DDF" w:rsidRPr="00937C8B" w:rsidRDefault="002A4DDF" w:rsidP="009110ED">
            <w:pPr>
              <w:rPr>
                <w:rFonts w:ascii="Arial" w:hAnsi="Arial" w:cs="Arial"/>
                <w:sz w:val="12"/>
                <w:szCs w:val="12"/>
              </w:rPr>
            </w:pPr>
          </w:p>
        </w:tc>
        <w:tc>
          <w:tcPr>
            <w:tcW w:w="1843" w:type="dxa"/>
            <w:shd w:val="clear" w:color="auto" w:fill="auto"/>
          </w:tcPr>
          <w:p w14:paraId="4E3C0C10" w14:textId="77777777" w:rsidR="002A4DDF" w:rsidRPr="00937C8B" w:rsidRDefault="002A4DDF" w:rsidP="009110ED">
            <w:pPr>
              <w:rPr>
                <w:rFonts w:ascii="Arial" w:hAnsi="Arial" w:cs="Arial"/>
                <w:sz w:val="12"/>
                <w:szCs w:val="12"/>
              </w:rPr>
            </w:pPr>
          </w:p>
        </w:tc>
        <w:tc>
          <w:tcPr>
            <w:tcW w:w="2268" w:type="dxa"/>
            <w:shd w:val="clear" w:color="auto" w:fill="F2F2F2"/>
            <w:hideMark/>
          </w:tcPr>
          <w:p w14:paraId="70A7AF81" w14:textId="77777777" w:rsidR="002A4DDF" w:rsidRPr="00937C8B" w:rsidRDefault="002A4DDF" w:rsidP="009110ED">
            <w:pPr>
              <w:rPr>
                <w:rFonts w:ascii="Arial" w:hAnsi="Arial" w:cs="Arial"/>
                <w:sz w:val="12"/>
                <w:szCs w:val="12"/>
              </w:rPr>
            </w:pPr>
            <w:r>
              <w:rPr>
                <w:rFonts w:ascii="Arial" w:hAnsi="Arial"/>
                <w:sz w:val="12"/>
                <w:szCs w:val="12"/>
              </w:rPr>
              <w:t>Abanto et Ciérvana - Abanto Zierbena</w:t>
            </w:r>
          </w:p>
        </w:tc>
        <w:tc>
          <w:tcPr>
            <w:tcW w:w="2268" w:type="dxa"/>
            <w:tcBorders>
              <w:right w:val="single" w:sz="4" w:space="0" w:color="auto"/>
            </w:tcBorders>
            <w:shd w:val="clear" w:color="auto" w:fill="D9D9D9"/>
            <w:hideMark/>
          </w:tcPr>
          <w:p w14:paraId="6C04E511" w14:textId="77777777" w:rsidR="002A4DDF" w:rsidRPr="00937C8B" w:rsidRDefault="002A4DDF" w:rsidP="009110ED">
            <w:pPr>
              <w:rPr>
                <w:rFonts w:ascii="Arial" w:hAnsi="Arial" w:cs="Arial"/>
                <w:sz w:val="12"/>
                <w:szCs w:val="12"/>
              </w:rPr>
            </w:pPr>
          </w:p>
        </w:tc>
      </w:tr>
      <w:tr w:rsidR="002A4DDF" w:rsidRPr="00937C8B" w14:paraId="65799600" w14:textId="77777777" w:rsidTr="00935676">
        <w:trPr>
          <w:cantSplit/>
        </w:trPr>
        <w:tc>
          <w:tcPr>
            <w:tcW w:w="1696" w:type="dxa"/>
            <w:tcBorders>
              <w:left w:val="single" w:sz="4" w:space="0" w:color="auto"/>
            </w:tcBorders>
            <w:shd w:val="clear" w:color="auto" w:fill="auto"/>
          </w:tcPr>
          <w:p w14:paraId="03B4A38B" w14:textId="77777777" w:rsidR="002A4DDF" w:rsidRPr="00937C8B" w:rsidRDefault="002A4DDF" w:rsidP="009110ED">
            <w:pPr>
              <w:rPr>
                <w:rFonts w:cs="Arial"/>
                <w:sz w:val="12"/>
                <w:szCs w:val="12"/>
              </w:rPr>
            </w:pPr>
          </w:p>
        </w:tc>
        <w:tc>
          <w:tcPr>
            <w:tcW w:w="1843" w:type="dxa"/>
            <w:shd w:val="clear" w:color="auto" w:fill="auto"/>
          </w:tcPr>
          <w:p w14:paraId="43F2CD95" w14:textId="77777777" w:rsidR="002A4DDF" w:rsidRPr="00937C8B" w:rsidRDefault="002A4DDF" w:rsidP="009110ED">
            <w:pPr>
              <w:rPr>
                <w:rFonts w:cs="Arial"/>
                <w:sz w:val="12"/>
                <w:szCs w:val="12"/>
              </w:rPr>
            </w:pPr>
          </w:p>
        </w:tc>
        <w:tc>
          <w:tcPr>
            <w:tcW w:w="2268" w:type="dxa"/>
            <w:shd w:val="clear" w:color="auto" w:fill="F2F2F2"/>
            <w:hideMark/>
          </w:tcPr>
          <w:p w14:paraId="54C5AEE9" w14:textId="77777777" w:rsidR="002A4DDF" w:rsidRPr="00937C8B" w:rsidRDefault="002A4DDF" w:rsidP="009110ED">
            <w:pPr>
              <w:rPr>
                <w:rFonts w:cs="Arial"/>
                <w:sz w:val="12"/>
                <w:szCs w:val="12"/>
              </w:rPr>
            </w:pPr>
            <w:r>
              <w:rPr>
                <w:sz w:val="12"/>
                <w:szCs w:val="12"/>
              </w:rPr>
              <w:t>Alonsotegi</w:t>
            </w:r>
          </w:p>
        </w:tc>
        <w:tc>
          <w:tcPr>
            <w:tcW w:w="2268" w:type="dxa"/>
            <w:tcBorders>
              <w:right w:val="single" w:sz="4" w:space="0" w:color="auto"/>
            </w:tcBorders>
            <w:shd w:val="clear" w:color="auto" w:fill="D9D9D9"/>
            <w:hideMark/>
          </w:tcPr>
          <w:p w14:paraId="3ED3FC0F" w14:textId="77777777" w:rsidR="002A4DDF" w:rsidRPr="00937C8B" w:rsidRDefault="002A4DDF" w:rsidP="009110ED">
            <w:pPr>
              <w:rPr>
                <w:rFonts w:cs="Arial"/>
                <w:sz w:val="12"/>
                <w:szCs w:val="12"/>
              </w:rPr>
            </w:pPr>
          </w:p>
        </w:tc>
      </w:tr>
      <w:tr w:rsidR="002A4DDF" w:rsidRPr="00937C8B" w14:paraId="152B01AD" w14:textId="77777777" w:rsidTr="00935676">
        <w:trPr>
          <w:cantSplit/>
        </w:trPr>
        <w:tc>
          <w:tcPr>
            <w:tcW w:w="1696" w:type="dxa"/>
            <w:tcBorders>
              <w:left w:val="single" w:sz="4" w:space="0" w:color="auto"/>
            </w:tcBorders>
            <w:shd w:val="clear" w:color="auto" w:fill="auto"/>
          </w:tcPr>
          <w:p w14:paraId="047C73F1" w14:textId="77777777" w:rsidR="002A4DDF" w:rsidRPr="00937C8B" w:rsidRDefault="002A4DDF" w:rsidP="009110ED">
            <w:pPr>
              <w:rPr>
                <w:rFonts w:cs="Arial"/>
                <w:sz w:val="12"/>
                <w:szCs w:val="12"/>
              </w:rPr>
            </w:pPr>
          </w:p>
        </w:tc>
        <w:tc>
          <w:tcPr>
            <w:tcW w:w="1843" w:type="dxa"/>
            <w:shd w:val="clear" w:color="auto" w:fill="auto"/>
          </w:tcPr>
          <w:p w14:paraId="35789448" w14:textId="77777777" w:rsidR="002A4DDF" w:rsidRPr="00937C8B" w:rsidRDefault="002A4DDF" w:rsidP="009110ED">
            <w:pPr>
              <w:rPr>
                <w:rFonts w:cs="Arial"/>
                <w:sz w:val="12"/>
                <w:szCs w:val="12"/>
              </w:rPr>
            </w:pPr>
          </w:p>
        </w:tc>
        <w:tc>
          <w:tcPr>
            <w:tcW w:w="2268" w:type="dxa"/>
            <w:shd w:val="clear" w:color="auto" w:fill="F2F2F2"/>
            <w:hideMark/>
          </w:tcPr>
          <w:p w14:paraId="6DDD5CAE" w14:textId="77777777" w:rsidR="002A4DDF" w:rsidRPr="00937C8B" w:rsidRDefault="002A4DDF" w:rsidP="009110ED">
            <w:pPr>
              <w:rPr>
                <w:rFonts w:cs="Arial"/>
                <w:sz w:val="12"/>
                <w:szCs w:val="12"/>
              </w:rPr>
            </w:pPr>
            <w:r>
              <w:rPr>
                <w:sz w:val="12"/>
                <w:szCs w:val="12"/>
              </w:rPr>
              <w:t>Arantzazu</w:t>
            </w:r>
          </w:p>
        </w:tc>
        <w:tc>
          <w:tcPr>
            <w:tcW w:w="2268" w:type="dxa"/>
            <w:tcBorders>
              <w:right w:val="single" w:sz="4" w:space="0" w:color="auto"/>
            </w:tcBorders>
            <w:shd w:val="clear" w:color="auto" w:fill="D9D9D9"/>
            <w:hideMark/>
          </w:tcPr>
          <w:p w14:paraId="603966D6" w14:textId="77777777" w:rsidR="002A4DDF" w:rsidRPr="00937C8B" w:rsidRDefault="002A4DDF" w:rsidP="009110ED">
            <w:pPr>
              <w:rPr>
                <w:rFonts w:cs="Arial"/>
                <w:sz w:val="12"/>
                <w:szCs w:val="12"/>
              </w:rPr>
            </w:pPr>
          </w:p>
        </w:tc>
      </w:tr>
      <w:tr w:rsidR="002A4DDF" w:rsidRPr="00937C8B" w14:paraId="08D8A9D8" w14:textId="77777777" w:rsidTr="00935676">
        <w:trPr>
          <w:cantSplit/>
        </w:trPr>
        <w:tc>
          <w:tcPr>
            <w:tcW w:w="1696" w:type="dxa"/>
            <w:tcBorders>
              <w:left w:val="single" w:sz="4" w:space="0" w:color="auto"/>
            </w:tcBorders>
            <w:shd w:val="clear" w:color="auto" w:fill="auto"/>
          </w:tcPr>
          <w:p w14:paraId="2DEC0CD6" w14:textId="77777777" w:rsidR="002A4DDF" w:rsidRPr="00937C8B" w:rsidRDefault="002A4DDF" w:rsidP="009110ED">
            <w:pPr>
              <w:rPr>
                <w:rFonts w:cs="Arial"/>
                <w:sz w:val="12"/>
                <w:szCs w:val="12"/>
              </w:rPr>
            </w:pPr>
          </w:p>
        </w:tc>
        <w:tc>
          <w:tcPr>
            <w:tcW w:w="1843" w:type="dxa"/>
            <w:shd w:val="clear" w:color="auto" w:fill="auto"/>
          </w:tcPr>
          <w:p w14:paraId="53B5300E" w14:textId="77777777" w:rsidR="002A4DDF" w:rsidRPr="00937C8B" w:rsidRDefault="002A4DDF" w:rsidP="009110ED">
            <w:pPr>
              <w:rPr>
                <w:rFonts w:cs="Arial"/>
                <w:sz w:val="12"/>
                <w:szCs w:val="12"/>
              </w:rPr>
            </w:pPr>
          </w:p>
        </w:tc>
        <w:tc>
          <w:tcPr>
            <w:tcW w:w="2268" w:type="dxa"/>
            <w:shd w:val="clear" w:color="auto" w:fill="F2F2F2"/>
            <w:hideMark/>
          </w:tcPr>
          <w:p w14:paraId="69015968" w14:textId="77777777" w:rsidR="002A4DDF" w:rsidRPr="00937C8B" w:rsidRDefault="002A4DDF" w:rsidP="009110ED">
            <w:pPr>
              <w:rPr>
                <w:rFonts w:cs="Arial"/>
                <w:sz w:val="12"/>
                <w:szCs w:val="12"/>
              </w:rPr>
            </w:pPr>
            <w:r>
              <w:rPr>
                <w:sz w:val="12"/>
                <w:szCs w:val="12"/>
              </w:rPr>
              <w:t>Areatza</w:t>
            </w:r>
          </w:p>
        </w:tc>
        <w:tc>
          <w:tcPr>
            <w:tcW w:w="2268" w:type="dxa"/>
            <w:tcBorders>
              <w:right w:val="single" w:sz="4" w:space="0" w:color="auto"/>
            </w:tcBorders>
            <w:shd w:val="clear" w:color="auto" w:fill="D9D9D9"/>
            <w:hideMark/>
          </w:tcPr>
          <w:p w14:paraId="73CFE031" w14:textId="77777777" w:rsidR="002A4DDF" w:rsidRPr="00937C8B" w:rsidRDefault="002A4DDF" w:rsidP="009110ED">
            <w:pPr>
              <w:rPr>
                <w:rFonts w:cs="Arial"/>
                <w:sz w:val="12"/>
                <w:szCs w:val="12"/>
              </w:rPr>
            </w:pPr>
          </w:p>
        </w:tc>
      </w:tr>
      <w:tr w:rsidR="002A4DDF" w:rsidRPr="00937C8B" w14:paraId="7D1C2747" w14:textId="77777777" w:rsidTr="00935676">
        <w:trPr>
          <w:cantSplit/>
        </w:trPr>
        <w:tc>
          <w:tcPr>
            <w:tcW w:w="1696" w:type="dxa"/>
            <w:tcBorders>
              <w:left w:val="single" w:sz="4" w:space="0" w:color="auto"/>
            </w:tcBorders>
            <w:shd w:val="clear" w:color="auto" w:fill="auto"/>
          </w:tcPr>
          <w:p w14:paraId="7AF888A0" w14:textId="77777777" w:rsidR="002A4DDF" w:rsidRPr="00937C8B" w:rsidRDefault="002A4DDF" w:rsidP="009110ED">
            <w:pPr>
              <w:rPr>
                <w:rFonts w:cs="Arial"/>
                <w:sz w:val="12"/>
                <w:szCs w:val="12"/>
              </w:rPr>
            </w:pPr>
          </w:p>
        </w:tc>
        <w:tc>
          <w:tcPr>
            <w:tcW w:w="1843" w:type="dxa"/>
            <w:shd w:val="clear" w:color="auto" w:fill="auto"/>
          </w:tcPr>
          <w:p w14:paraId="2B9E5511" w14:textId="77777777" w:rsidR="002A4DDF" w:rsidRPr="00937C8B" w:rsidRDefault="002A4DDF" w:rsidP="009110ED">
            <w:pPr>
              <w:rPr>
                <w:rFonts w:cs="Arial"/>
                <w:sz w:val="12"/>
                <w:szCs w:val="12"/>
              </w:rPr>
            </w:pPr>
          </w:p>
        </w:tc>
        <w:tc>
          <w:tcPr>
            <w:tcW w:w="2268" w:type="dxa"/>
            <w:shd w:val="clear" w:color="auto" w:fill="F2F2F2"/>
            <w:hideMark/>
          </w:tcPr>
          <w:p w14:paraId="7432393A" w14:textId="77777777" w:rsidR="002A4DDF" w:rsidRPr="00937C8B" w:rsidRDefault="002A4DDF" w:rsidP="009110ED">
            <w:pPr>
              <w:rPr>
                <w:rFonts w:cs="Arial"/>
                <w:sz w:val="12"/>
                <w:szCs w:val="12"/>
              </w:rPr>
            </w:pPr>
            <w:r>
              <w:rPr>
                <w:sz w:val="12"/>
                <w:szCs w:val="12"/>
              </w:rPr>
              <w:t>Arrigorriaga</w:t>
            </w:r>
          </w:p>
        </w:tc>
        <w:tc>
          <w:tcPr>
            <w:tcW w:w="2268" w:type="dxa"/>
            <w:tcBorders>
              <w:right w:val="single" w:sz="4" w:space="0" w:color="auto"/>
            </w:tcBorders>
            <w:shd w:val="clear" w:color="auto" w:fill="D9D9D9"/>
            <w:hideMark/>
          </w:tcPr>
          <w:p w14:paraId="45CA4DEC" w14:textId="77777777" w:rsidR="002A4DDF" w:rsidRPr="00937C8B" w:rsidRDefault="002A4DDF" w:rsidP="009110ED">
            <w:pPr>
              <w:rPr>
                <w:rFonts w:cs="Arial"/>
                <w:sz w:val="12"/>
                <w:szCs w:val="12"/>
              </w:rPr>
            </w:pPr>
          </w:p>
        </w:tc>
      </w:tr>
      <w:tr w:rsidR="002A4DDF" w:rsidRPr="00937C8B" w14:paraId="301B191A" w14:textId="77777777" w:rsidTr="00935676">
        <w:trPr>
          <w:cantSplit/>
        </w:trPr>
        <w:tc>
          <w:tcPr>
            <w:tcW w:w="1696" w:type="dxa"/>
            <w:tcBorders>
              <w:left w:val="single" w:sz="4" w:space="0" w:color="auto"/>
            </w:tcBorders>
            <w:shd w:val="clear" w:color="auto" w:fill="auto"/>
          </w:tcPr>
          <w:p w14:paraId="3C1BD91C" w14:textId="77777777" w:rsidR="002A4DDF" w:rsidRPr="00937C8B" w:rsidRDefault="002A4DDF" w:rsidP="009110ED">
            <w:pPr>
              <w:rPr>
                <w:rFonts w:cs="Arial"/>
                <w:sz w:val="12"/>
                <w:szCs w:val="12"/>
              </w:rPr>
            </w:pPr>
          </w:p>
        </w:tc>
        <w:tc>
          <w:tcPr>
            <w:tcW w:w="1843" w:type="dxa"/>
            <w:shd w:val="clear" w:color="auto" w:fill="auto"/>
          </w:tcPr>
          <w:p w14:paraId="1364ED01" w14:textId="77777777" w:rsidR="002A4DDF" w:rsidRPr="00937C8B" w:rsidRDefault="002A4DDF" w:rsidP="009110ED">
            <w:pPr>
              <w:rPr>
                <w:rFonts w:cs="Arial"/>
                <w:sz w:val="12"/>
                <w:szCs w:val="12"/>
              </w:rPr>
            </w:pPr>
          </w:p>
        </w:tc>
        <w:tc>
          <w:tcPr>
            <w:tcW w:w="2268" w:type="dxa"/>
            <w:shd w:val="clear" w:color="auto" w:fill="F2F2F2"/>
            <w:hideMark/>
          </w:tcPr>
          <w:p w14:paraId="21E4ED12" w14:textId="77777777" w:rsidR="002A4DDF" w:rsidRPr="00937C8B" w:rsidRDefault="002A4DDF" w:rsidP="009110ED">
            <w:pPr>
              <w:rPr>
                <w:rFonts w:cs="Arial"/>
                <w:sz w:val="12"/>
                <w:szCs w:val="12"/>
              </w:rPr>
            </w:pPr>
            <w:r>
              <w:rPr>
                <w:sz w:val="12"/>
                <w:szCs w:val="12"/>
              </w:rPr>
              <w:t>Artea</w:t>
            </w:r>
          </w:p>
        </w:tc>
        <w:tc>
          <w:tcPr>
            <w:tcW w:w="2268" w:type="dxa"/>
            <w:tcBorders>
              <w:right w:val="single" w:sz="4" w:space="0" w:color="auto"/>
            </w:tcBorders>
            <w:shd w:val="clear" w:color="auto" w:fill="D9D9D9"/>
            <w:hideMark/>
          </w:tcPr>
          <w:p w14:paraId="66679DBC" w14:textId="77777777" w:rsidR="002A4DDF" w:rsidRPr="00937C8B" w:rsidRDefault="002A4DDF" w:rsidP="009110ED">
            <w:pPr>
              <w:rPr>
                <w:rFonts w:cs="Arial"/>
                <w:sz w:val="12"/>
                <w:szCs w:val="12"/>
              </w:rPr>
            </w:pPr>
          </w:p>
        </w:tc>
      </w:tr>
      <w:tr w:rsidR="002A4DDF" w:rsidRPr="00937C8B" w14:paraId="0F716EF8" w14:textId="77777777" w:rsidTr="00935676">
        <w:trPr>
          <w:cantSplit/>
        </w:trPr>
        <w:tc>
          <w:tcPr>
            <w:tcW w:w="1696" w:type="dxa"/>
            <w:tcBorders>
              <w:left w:val="single" w:sz="4" w:space="0" w:color="auto"/>
            </w:tcBorders>
            <w:shd w:val="clear" w:color="auto" w:fill="auto"/>
          </w:tcPr>
          <w:p w14:paraId="1A9ED230" w14:textId="77777777" w:rsidR="002A4DDF" w:rsidRPr="00937C8B" w:rsidRDefault="002A4DDF" w:rsidP="009110ED">
            <w:pPr>
              <w:rPr>
                <w:rFonts w:cs="Arial"/>
                <w:sz w:val="12"/>
                <w:szCs w:val="12"/>
              </w:rPr>
            </w:pPr>
          </w:p>
        </w:tc>
        <w:tc>
          <w:tcPr>
            <w:tcW w:w="1843" w:type="dxa"/>
            <w:shd w:val="clear" w:color="auto" w:fill="auto"/>
          </w:tcPr>
          <w:p w14:paraId="59F249D0" w14:textId="77777777" w:rsidR="002A4DDF" w:rsidRPr="00937C8B" w:rsidRDefault="002A4DDF" w:rsidP="009110ED">
            <w:pPr>
              <w:rPr>
                <w:rFonts w:cs="Arial"/>
                <w:sz w:val="12"/>
                <w:szCs w:val="12"/>
              </w:rPr>
            </w:pPr>
          </w:p>
        </w:tc>
        <w:tc>
          <w:tcPr>
            <w:tcW w:w="2268" w:type="dxa"/>
            <w:shd w:val="clear" w:color="auto" w:fill="F2F2F2"/>
            <w:hideMark/>
          </w:tcPr>
          <w:p w14:paraId="3F068A41" w14:textId="77777777" w:rsidR="002A4DDF" w:rsidRPr="00937C8B" w:rsidRDefault="002A4DDF" w:rsidP="009110ED">
            <w:pPr>
              <w:rPr>
                <w:rFonts w:cs="Arial"/>
                <w:sz w:val="12"/>
                <w:szCs w:val="12"/>
              </w:rPr>
            </w:pPr>
            <w:r>
              <w:rPr>
                <w:sz w:val="12"/>
                <w:szCs w:val="12"/>
              </w:rPr>
              <w:t>Artzentales</w:t>
            </w:r>
          </w:p>
        </w:tc>
        <w:tc>
          <w:tcPr>
            <w:tcW w:w="2268" w:type="dxa"/>
            <w:tcBorders>
              <w:right w:val="single" w:sz="4" w:space="0" w:color="auto"/>
            </w:tcBorders>
            <w:shd w:val="clear" w:color="auto" w:fill="D9D9D9"/>
            <w:hideMark/>
          </w:tcPr>
          <w:p w14:paraId="78F2A358" w14:textId="77777777" w:rsidR="002A4DDF" w:rsidRPr="00937C8B" w:rsidRDefault="002A4DDF" w:rsidP="009110ED">
            <w:pPr>
              <w:rPr>
                <w:rFonts w:cs="Arial"/>
                <w:sz w:val="12"/>
                <w:szCs w:val="12"/>
              </w:rPr>
            </w:pPr>
          </w:p>
        </w:tc>
      </w:tr>
      <w:tr w:rsidR="002A4DDF" w:rsidRPr="00937C8B" w14:paraId="2D30CE61" w14:textId="77777777" w:rsidTr="00935676">
        <w:trPr>
          <w:cantSplit/>
        </w:trPr>
        <w:tc>
          <w:tcPr>
            <w:tcW w:w="1696" w:type="dxa"/>
            <w:tcBorders>
              <w:left w:val="single" w:sz="4" w:space="0" w:color="auto"/>
            </w:tcBorders>
            <w:shd w:val="clear" w:color="auto" w:fill="auto"/>
          </w:tcPr>
          <w:p w14:paraId="0DBAC749" w14:textId="77777777" w:rsidR="002A4DDF" w:rsidRPr="00937C8B" w:rsidRDefault="002A4DDF" w:rsidP="009110ED">
            <w:pPr>
              <w:rPr>
                <w:rFonts w:cs="Arial"/>
                <w:sz w:val="12"/>
                <w:szCs w:val="12"/>
              </w:rPr>
            </w:pPr>
          </w:p>
        </w:tc>
        <w:tc>
          <w:tcPr>
            <w:tcW w:w="1843" w:type="dxa"/>
            <w:shd w:val="clear" w:color="auto" w:fill="auto"/>
          </w:tcPr>
          <w:p w14:paraId="517BEEEB" w14:textId="77777777" w:rsidR="002A4DDF" w:rsidRPr="00937C8B" w:rsidRDefault="002A4DDF" w:rsidP="009110ED">
            <w:pPr>
              <w:rPr>
                <w:rFonts w:cs="Arial"/>
                <w:sz w:val="12"/>
                <w:szCs w:val="12"/>
              </w:rPr>
            </w:pPr>
          </w:p>
        </w:tc>
        <w:tc>
          <w:tcPr>
            <w:tcW w:w="2268" w:type="dxa"/>
            <w:shd w:val="clear" w:color="auto" w:fill="F2F2F2"/>
            <w:hideMark/>
          </w:tcPr>
          <w:p w14:paraId="1A899E71" w14:textId="77777777" w:rsidR="002A4DDF" w:rsidRPr="00937C8B" w:rsidRDefault="002A4DDF" w:rsidP="009110ED">
            <w:pPr>
              <w:rPr>
                <w:rFonts w:cs="Arial"/>
                <w:sz w:val="12"/>
                <w:szCs w:val="12"/>
              </w:rPr>
            </w:pPr>
            <w:r>
              <w:rPr>
                <w:sz w:val="12"/>
                <w:szCs w:val="12"/>
              </w:rPr>
              <w:t>Atxondo</w:t>
            </w:r>
          </w:p>
        </w:tc>
        <w:tc>
          <w:tcPr>
            <w:tcW w:w="2268" w:type="dxa"/>
            <w:tcBorders>
              <w:right w:val="single" w:sz="4" w:space="0" w:color="auto"/>
            </w:tcBorders>
            <w:shd w:val="clear" w:color="auto" w:fill="D9D9D9"/>
            <w:hideMark/>
          </w:tcPr>
          <w:p w14:paraId="2C900C33" w14:textId="77777777" w:rsidR="002A4DDF" w:rsidRPr="00937C8B" w:rsidRDefault="002A4DDF" w:rsidP="009110ED">
            <w:pPr>
              <w:rPr>
                <w:rFonts w:cs="Arial"/>
                <w:sz w:val="12"/>
                <w:szCs w:val="12"/>
              </w:rPr>
            </w:pPr>
          </w:p>
        </w:tc>
      </w:tr>
      <w:tr w:rsidR="002A4DDF" w:rsidRPr="00937C8B" w14:paraId="1DED5500" w14:textId="77777777" w:rsidTr="00935676">
        <w:trPr>
          <w:cantSplit/>
        </w:trPr>
        <w:tc>
          <w:tcPr>
            <w:tcW w:w="1696" w:type="dxa"/>
            <w:tcBorders>
              <w:left w:val="single" w:sz="4" w:space="0" w:color="auto"/>
            </w:tcBorders>
            <w:shd w:val="clear" w:color="auto" w:fill="auto"/>
          </w:tcPr>
          <w:p w14:paraId="446A2E83" w14:textId="77777777" w:rsidR="002A4DDF" w:rsidRPr="00937C8B" w:rsidRDefault="002A4DDF" w:rsidP="009110ED">
            <w:pPr>
              <w:rPr>
                <w:rFonts w:cs="Arial"/>
                <w:sz w:val="12"/>
                <w:szCs w:val="12"/>
              </w:rPr>
            </w:pPr>
          </w:p>
        </w:tc>
        <w:tc>
          <w:tcPr>
            <w:tcW w:w="1843" w:type="dxa"/>
            <w:shd w:val="clear" w:color="auto" w:fill="auto"/>
          </w:tcPr>
          <w:p w14:paraId="3887382C" w14:textId="77777777" w:rsidR="002A4DDF" w:rsidRPr="00937C8B" w:rsidRDefault="002A4DDF" w:rsidP="009110ED">
            <w:pPr>
              <w:rPr>
                <w:rFonts w:cs="Arial"/>
                <w:sz w:val="12"/>
                <w:szCs w:val="12"/>
              </w:rPr>
            </w:pPr>
          </w:p>
        </w:tc>
        <w:tc>
          <w:tcPr>
            <w:tcW w:w="2268" w:type="dxa"/>
            <w:shd w:val="clear" w:color="auto" w:fill="F2F2F2"/>
            <w:hideMark/>
          </w:tcPr>
          <w:p w14:paraId="3682CEFF" w14:textId="77777777" w:rsidR="002A4DDF" w:rsidRPr="00937C8B" w:rsidRDefault="002A4DDF" w:rsidP="009110ED">
            <w:pPr>
              <w:rPr>
                <w:rFonts w:cs="Arial"/>
                <w:sz w:val="12"/>
                <w:szCs w:val="12"/>
              </w:rPr>
            </w:pPr>
            <w:r>
              <w:rPr>
                <w:sz w:val="12"/>
                <w:szCs w:val="12"/>
              </w:rPr>
              <w:t>Balmaseda</w:t>
            </w:r>
          </w:p>
        </w:tc>
        <w:tc>
          <w:tcPr>
            <w:tcW w:w="2268" w:type="dxa"/>
            <w:tcBorders>
              <w:right w:val="single" w:sz="4" w:space="0" w:color="auto"/>
            </w:tcBorders>
            <w:shd w:val="clear" w:color="auto" w:fill="D9D9D9"/>
            <w:hideMark/>
          </w:tcPr>
          <w:p w14:paraId="534BCC66" w14:textId="77777777" w:rsidR="002A4DDF" w:rsidRPr="00937C8B" w:rsidRDefault="002A4DDF" w:rsidP="009110ED">
            <w:pPr>
              <w:rPr>
                <w:rFonts w:cs="Arial"/>
                <w:sz w:val="12"/>
                <w:szCs w:val="12"/>
              </w:rPr>
            </w:pPr>
          </w:p>
        </w:tc>
      </w:tr>
      <w:tr w:rsidR="002A4DDF" w:rsidRPr="00937C8B" w14:paraId="1EAF5448" w14:textId="77777777" w:rsidTr="00935676">
        <w:trPr>
          <w:cantSplit/>
        </w:trPr>
        <w:tc>
          <w:tcPr>
            <w:tcW w:w="1696" w:type="dxa"/>
            <w:tcBorders>
              <w:left w:val="single" w:sz="4" w:space="0" w:color="auto"/>
            </w:tcBorders>
            <w:shd w:val="clear" w:color="auto" w:fill="auto"/>
          </w:tcPr>
          <w:p w14:paraId="34E2A2B7" w14:textId="77777777" w:rsidR="002A4DDF" w:rsidRPr="00937C8B" w:rsidRDefault="002A4DDF" w:rsidP="009110ED">
            <w:pPr>
              <w:rPr>
                <w:rFonts w:cs="Arial"/>
                <w:sz w:val="12"/>
                <w:szCs w:val="12"/>
              </w:rPr>
            </w:pPr>
          </w:p>
        </w:tc>
        <w:tc>
          <w:tcPr>
            <w:tcW w:w="1843" w:type="dxa"/>
            <w:shd w:val="clear" w:color="auto" w:fill="auto"/>
          </w:tcPr>
          <w:p w14:paraId="7589056B" w14:textId="77777777" w:rsidR="002A4DDF" w:rsidRPr="00937C8B" w:rsidRDefault="002A4DDF" w:rsidP="009110ED">
            <w:pPr>
              <w:rPr>
                <w:rFonts w:cs="Arial"/>
                <w:sz w:val="12"/>
                <w:szCs w:val="12"/>
              </w:rPr>
            </w:pPr>
          </w:p>
        </w:tc>
        <w:tc>
          <w:tcPr>
            <w:tcW w:w="2268" w:type="dxa"/>
            <w:shd w:val="clear" w:color="auto" w:fill="F2F2F2"/>
            <w:hideMark/>
          </w:tcPr>
          <w:p w14:paraId="24A1C9E4" w14:textId="77777777" w:rsidR="002A4DDF" w:rsidRPr="00937C8B" w:rsidRDefault="002A4DDF" w:rsidP="009110ED">
            <w:pPr>
              <w:rPr>
                <w:rFonts w:cs="Arial"/>
                <w:sz w:val="12"/>
                <w:szCs w:val="12"/>
              </w:rPr>
            </w:pPr>
            <w:r>
              <w:rPr>
                <w:sz w:val="12"/>
                <w:szCs w:val="12"/>
              </w:rPr>
              <w:t>Barakaldo</w:t>
            </w:r>
          </w:p>
        </w:tc>
        <w:tc>
          <w:tcPr>
            <w:tcW w:w="2268" w:type="dxa"/>
            <w:tcBorders>
              <w:right w:val="single" w:sz="4" w:space="0" w:color="auto"/>
            </w:tcBorders>
            <w:shd w:val="clear" w:color="auto" w:fill="D9D9D9"/>
            <w:hideMark/>
          </w:tcPr>
          <w:p w14:paraId="6DCAF895" w14:textId="77777777" w:rsidR="002A4DDF" w:rsidRPr="00937C8B" w:rsidRDefault="002A4DDF" w:rsidP="009110ED">
            <w:pPr>
              <w:rPr>
                <w:rFonts w:cs="Arial"/>
                <w:sz w:val="12"/>
                <w:szCs w:val="12"/>
              </w:rPr>
            </w:pPr>
          </w:p>
        </w:tc>
      </w:tr>
      <w:tr w:rsidR="002A4DDF" w:rsidRPr="00937C8B" w14:paraId="151F7578" w14:textId="77777777" w:rsidTr="00935676">
        <w:trPr>
          <w:cantSplit/>
        </w:trPr>
        <w:tc>
          <w:tcPr>
            <w:tcW w:w="1696" w:type="dxa"/>
            <w:tcBorders>
              <w:left w:val="single" w:sz="4" w:space="0" w:color="auto"/>
            </w:tcBorders>
            <w:shd w:val="clear" w:color="auto" w:fill="auto"/>
          </w:tcPr>
          <w:p w14:paraId="47411437" w14:textId="77777777" w:rsidR="002A4DDF" w:rsidRPr="00937C8B" w:rsidRDefault="002A4DDF" w:rsidP="009110ED">
            <w:pPr>
              <w:rPr>
                <w:rFonts w:cs="Arial"/>
                <w:sz w:val="12"/>
                <w:szCs w:val="12"/>
              </w:rPr>
            </w:pPr>
          </w:p>
        </w:tc>
        <w:tc>
          <w:tcPr>
            <w:tcW w:w="1843" w:type="dxa"/>
            <w:shd w:val="clear" w:color="auto" w:fill="auto"/>
          </w:tcPr>
          <w:p w14:paraId="26B15574" w14:textId="77777777" w:rsidR="002A4DDF" w:rsidRPr="00937C8B" w:rsidRDefault="002A4DDF" w:rsidP="009110ED">
            <w:pPr>
              <w:rPr>
                <w:rFonts w:cs="Arial"/>
                <w:sz w:val="12"/>
                <w:szCs w:val="12"/>
              </w:rPr>
            </w:pPr>
          </w:p>
        </w:tc>
        <w:tc>
          <w:tcPr>
            <w:tcW w:w="2268" w:type="dxa"/>
            <w:shd w:val="clear" w:color="auto" w:fill="F2F2F2"/>
            <w:hideMark/>
          </w:tcPr>
          <w:p w14:paraId="7C2803F3" w14:textId="77777777" w:rsidR="002A4DDF" w:rsidRPr="00937C8B" w:rsidRDefault="002A4DDF" w:rsidP="009110ED">
            <w:pPr>
              <w:rPr>
                <w:rFonts w:cs="Arial"/>
                <w:sz w:val="12"/>
                <w:szCs w:val="12"/>
              </w:rPr>
            </w:pPr>
            <w:r>
              <w:rPr>
                <w:sz w:val="12"/>
                <w:szCs w:val="12"/>
              </w:rPr>
              <w:t>Basauri</w:t>
            </w:r>
          </w:p>
        </w:tc>
        <w:tc>
          <w:tcPr>
            <w:tcW w:w="2268" w:type="dxa"/>
            <w:tcBorders>
              <w:right w:val="single" w:sz="4" w:space="0" w:color="auto"/>
            </w:tcBorders>
            <w:shd w:val="clear" w:color="auto" w:fill="D9D9D9"/>
            <w:hideMark/>
          </w:tcPr>
          <w:p w14:paraId="262C860D" w14:textId="77777777" w:rsidR="002A4DDF" w:rsidRPr="00937C8B" w:rsidRDefault="002A4DDF" w:rsidP="009110ED">
            <w:pPr>
              <w:rPr>
                <w:rFonts w:cs="Arial"/>
                <w:sz w:val="12"/>
                <w:szCs w:val="12"/>
              </w:rPr>
            </w:pPr>
          </w:p>
        </w:tc>
      </w:tr>
      <w:tr w:rsidR="002A4DDF" w:rsidRPr="00937C8B" w14:paraId="1A7ED093" w14:textId="77777777" w:rsidTr="00935676">
        <w:trPr>
          <w:cantSplit/>
        </w:trPr>
        <w:tc>
          <w:tcPr>
            <w:tcW w:w="1696" w:type="dxa"/>
            <w:tcBorders>
              <w:left w:val="single" w:sz="4" w:space="0" w:color="auto"/>
            </w:tcBorders>
            <w:shd w:val="clear" w:color="auto" w:fill="auto"/>
          </w:tcPr>
          <w:p w14:paraId="72EA40C7" w14:textId="77777777" w:rsidR="002A4DDF" w:rsidRPr="00937C8B" w:rsidRDefault="002A4DDF" w:rsidP="009110ED">
            <w:pPr>
              <w:rPr>
                <w:rFonts w:cs="Arial"/>
                <w:sz w:val="12"/>
                <w:szCs w:val="12"/>
              </w:rPr>
            </w:pPr>
          </w:p>
        </w:tc>
        <w:tc>
          <w:tcPr>
            <w:tcW w:w="1843" w:type="dxa"/>
            <w:shd w:val="clear" w:color="auto" w:fill="auto"/>
          </w:tcPr>
          <w:p w14:paraId="1FC3F760" w14:textId="77777777" w:rsidR="002A4DDF" w:rsidRPr="00937C8B" w:rsidRDefault="002A4DDF" w:rsidP="009110ED">
            <w:pPr>
              <w:rPr>
                <w:rFonts w:cs="Arial"/>
                <w:sz w:val="12"/>
                <w:szCs w:val="12"/>
              </w:rPr>
            </w:pPr>
          </w:p>
        </w:tc>
        <w:tc>
          <w:tcPr>
            <w:tcW w:w="2268" w:type="dxa"/>
            <w:shd w:val="clear" w:color="auto" w:fill="F2F2F2"/>
            <w:hideMark/>
          </w:tcPr>
          <w:p w14:paraId="3BF5D2B3" w14:textId="77777777" w:rsidR="002A4DDF" w:rsidRPr="00937C8B" w:rsidRDefault="002A4DDF" w:rsidP="009110ED">
            <w:pPr>
              <w:rPr>
                <w:rFonts w:cs="Arial"/>
                <w:sz w:val="12"/>
                <w:szCs w:val="12"/>
              </w:rPr>
            </w:pPr>
            <w:r>
              <w:rPr>
                <w:sz w:val="12"/>
                <w:szCs w:val="12"/>
              </w:rPr>
              <w:t>Bilbao</w:t>
            </w:r>
          </w:p>
        </w:tc>
        <w:tc>
          <w:tcPr>
            <w:tcW w:w="2268" w:type="dxa"/>
            <w:tcBorders>
              <w:right w:val="single" w:sz="4" w:space="0" w:color="auto"/>
            </w:tcBorders>
            <w:shd w:val="clear" w:color="auto" w:fill="D9D9D9"/>
            <w:hideMark/>
          </w:tcPr>
          <w:p w14:paraId="60A0F90A" w14:textId="77777777" w:rsidR="002A4DDF" w:rsidRPr="00937C8B" w:rsidRDefault="002A4DDF" w:rsidP="009110ED">
            <w:pPr>
              <w:rPr>
                <w:rFonts w:cs="Arial"/>
                <w:sz w:val="12"/>
                <w:szCs w:val="12"/>
              </w:rPr>
            </w:pPr>
          </w:p>
        </w:tc>
      </w:tr>
      <w:tr w:rsidR="002A4DDF" w:rsidRPr="00937C8B" w14:paraId="7ECF4867" w14:textId="77777777" w:rsidTr="00935676">
        <w:trPr>
          <w:cantSplit/>
        </w:trPr>
        <w:tc>
          <w:tcPr>
            <w:tcW w:w="1696" w:type="dxa"/>
            <w:tcBorders>
              <w:left w:val="single" w:sz="4" w:space="0" w:color="auto"/>
            </w:tcBorders>
            <w:shd w:val="clear" w:color="auto" w:fill="auto"/>
          </w:tcPr>
          <w:p w14:paraId="0E144603" w14:textId="77777777" w:rsidR="002A4DDF" w:rsidRPr="00937C8B" w:rsidRDefault="002A4DDF" w:rsidP="009110ED">
            <w:pPr>
              <w:rPr>
                <w:rFonts w:cs="Arial"/>
                <w:sz w:val="12"/>
                <w:szCs w:val="12"/>
              </w:rPr>
            </w:pPr>
          </w:p>
        </w:tc>
        <w:tc>
          <w:tcPr>
            <w:tcW w:w="1843" w:type="dxa"/>
            <w:shd w:val="clear" w:color="auto" w:fill="auto"/>
          </w:tcPr>
          <w:p w14:paraId="3ACE93D1" w14:textId="77777777" w:rsidR="002A4DDF" w:rsidRPr="00937C8B" w:rsidRDefault="002A4DDF" w:rsidP="009110ED">
            <w:pPr>
              <w:rPr>
                <w:rFonts w:cs="Arial"/>
                <w:sz w:val="12"/>
                <w:szCs w:val="12"/>
              </w:rPr>
            </w:pPr>
          </w:p>
        </w:tc>
        <w:tc>
          <w:tcPr>
            <w:tcW w:w="2268" w:type="dxa"/>
            <w:shd w:val="clear" w:color="auto" w:fill="F2F2F2"/>
            <w:hideMark/>
          </w:tcPr>
          <w:p w14:paraId="220991A5" w14:textId="77777777" w:rsidR="002A4DDF" w:rsidRPr="00937C8B" w:rsidRDefault="002A4DDF" w:rsidP="009110ED">
            <w:pPr>
              <w:rPr>
                <w:rFonts w:cs="Arial"/>
                <w:sz w:val="12"/>
                <w:szCs w:val="12"/>
              </w:rPr>
            </w:pPr>
            <w:r>
              <w:rPr>
                <w:sz w:val="12"/>
                <w:szCs w:val="12"/>
              </w:rPr>
              <w:t>Durango</w:t>
            </w:r>
          </w:p>
        </w:tc>
        <w:tc>
          <w:tcPr>
            <w:tcW w:w="2268" w:type="dxa"/>
            <w:tcBorders>
              <w:right w:val="single" w:sz="4" w:space="0" w:color="auto"/>
            </w:tcBorders>
            <w:shd w:val="clear" w:color="auto" w:fill="D9D9D9"/>
            <w:hideMark/>
          </w:tcPr>
          <w:p w14:paraId="64251CD0" w14:textId="77777777" w:rsidR="002A4DDF" w:rsidRPr="00937C8B" w:rsidRDefault="002A4DDF" w:rsidP="009110ED">
            <w:pPr>
              <w:rPr>
                <w:rFonts w:cs="Arial"/>
                <w:sz w:val="12"/>
                <w:szCs w:val="12"/>
              </w:rPr>
            </w:pPr>
          </w:p>
        </w:tc>
      </w:tr>
      <w:tr w:rsidR="002A4DDF" w:rsidRPr="00937C8B" w14:paraId="6AAE2B99" w14:textId="77777777" w:rsidTr="00935676">
        <w:trPr>
          <w:cantSplit/>
        </w:trPr>
        <w:tc>
          <w:tcPr>
            <w:tcW w:w="1696" w:type="dxa"/>
            <w:tcBorders>
              <w:left w:val="single" w:sz="4" w:space="0" w:color="auto"/>
            </w:tcBorders>
            <w:shd w:val="clear" w:color="auto" w:fill="auto"/>
          </w:tcPr>
          <w:p w14:paraId="71198662" w14:textId="77777777" w:rsidR="002A4DDF" w:rsidRPr="00937C8B" w:rsidRDefault="002A4DDF" w:rsidP="009110ED">
            <w:pPr>
              <w:rPr>
                <w:rFonts w:cs="Arial"/>
                <w:sz w:val="12"/>
                <w:szCs w:val="12"/>
              </w:rPr>
            </w:pPr>
          </w:p>
        </w:tc>
        <w:tc>
          <w:tcPr>
            <w:tcW w:w="1843" w:type="dxa"/>
            <w:shd w:val="clear" w:color="auto" w:fill="auto"/>
          </w:tcPr>
          <w:p w14:paraId="7B455E40" w14:textId="77777777" w:rsidR="002A4DDF" w:rsidRPr="00937C8B" w:rsidRDefault="002A4DDF" w:rsidP="009110ED">
            <w:pPr>
              <w:rPr>
                <w:rFonts w:cs="Arial"/>
                <w:sz w:val="12"/>
                <w:szCs w:val="12"/>
              </w:rPr>
            </w:pPr>
          </w:p>
        </w:tc>
        <w:tc>
          <w:tcPr>
            <w:tcW w:w="2268" w:type="dxa"/>
            <w:shd w:val="clear" w:color="auto" w:fill="F2F2F2"/>
            <w:hideMark/>
          </w:tcPr>
          <w:p w14:paraId="2F3DB8CF" w14:textId="77777777" w:rsidR="002A4DDF" w:rsidRPr="00937C8B" w:rsidRDefault="002A4DDF" w:rsidP="009110ED">
            <w:pPr>
              <w:rPr>
                <w:rFonts w:cs="Arial"/>
                <w:sz w:val="12"/>
                <w:szCs w:val="12"/>
              </w:rPr>
            </w:pPr>
            <w:r>
              <w:rPr>
                <w:sz w:val="12"/>
                <w:szCs w:val="12"/>
              </w:rPr>
              <w:t>Elorrio</w:t>
            </w:r>
          </w:p>
        </w:tc>
        <w:tc>
          <w:tcPr>
            <w:tcW w:w="2268" w:type="dxa"/>
            <w:tcBorders>
              <w:right w:val="single" w:sz="4" w:space="0" w:color="auto"/>
            </w:tcBorders>
            <w:shd w:val="clear" w:color="auto" w:fill="D9D9D9"/>
            <w:hideMark/>
          </w:tcPr>
          <w:p w14:paraId="6DE7A4E7" w14:textId="77777777" w:rsidR="002A4DDF" w:rsidRPr="00937C8B" w:rsidRDefault="002A4DDF" w:rsidP="009110ED">
            <w:pPr>
              <w:rPr>
                <w:rFonts w:cs="Arial"/>
                <w:sz w:val="12"/>
                <w:szCs w:val="12"/>
              </w:rPr>
            </w:pPr>
          </w:p>
        </w:tc>
      </w:tr>
      <w:tr w:rsidR="002A4DDF" w:rsidRPr="00937C8B" w14:paraId="62C062D7" w14:textId="77777777" w:rsidTr="00935676">
        <w:trPr>
          <w:cantSplit/>
        </w:trPr>
        <w:tc>
          <w:tcPr>
            <w:tcW w:w="1696" w:type="dxa"/>
            <w:tcBorders>
              <w:left w:val="single" w:sz="4" w:space="0" w:color="auto"/>
            </w:tcBorders>
            <w:shd w:val="clear" w:color="auto" w:fill="auto"/>
          </w:tcPr>
          <w:p w14:paraId="36CB8C30" w14:textId="77777777" w:rsidR="002A4DDF" w:rsidRPr="00937C8B" w:rsidRDefault="002A4DDF" w:rsidP="009110ED">
            <w:pPr>
              <w:rPr>
                <w:rFonts w:cs="Arial"/>
                <w:sz w:val="12"/>
                <w:szCs w:val="12"/>
              </w:rPr>
            </w:pPr>
          </w:p>
        </w:tc>
        <w:tc>
          <w:tcPr>
            <w:tcW w:w="1843" w:type="dxa"/>
            <w:shd w:val="clear" w:color="auto" w:fill="auto"/>
          </w:tcPr>
          <w:p w14:paraId="39CDCDBA" w14:textId="77777777" w:rsidR="002A4DDF" w:rsidRPr="00937C8B" w:rsidRDefault="002A4DDF" w:rsidP="009110ED">
            <w:pPr>
              <w:ind w:left="-70" w:firstLine="70"/>
              <w:rPr>
                <w:rFonts w:cs="Arial"/>
                <w:sz w:val="12"/>
                <w:szCs w:val="12"/>
              </w:rPr>
            </w:pPr>
          </w:p>
        </w:tc>
        <w:tc>
          <w:tcPr>
            <w:tcW w:w="2268" w:type="dxa"/>
            <w:shd w:val="clear" w:color="auto" w:fill="F2F2F2"/>
            <w:hideMark/>
          </w:tcPr>
          <w:p w14:paraId="275A2C91" w14:textId="77777777" w:rsidR="002A4DDF" w:rsidRPr="00937C8B" w:rsidRDefault="002A4DDF" w:rsidP="009110ED">
            <w:pPr>
              <w:rPr>
                <w:rFonts w:cs="Arial"/>
                <w:sz w:val="12"/>
                <w:szCs w:val="12"/>
              </w:rPr>
            </w:pPr>
            <w:r>
              <w:rPr>
                <w:sz w:val="12"/>
                <w:szCs w:val="12"/>
              </w:rPr>
              <w:t>Etxebarri</w:t>
            </w:r>
          </w:p>
        </w:tc>
        <w:tc>
          <w:tcPr>
            <w:tcW w:w="2268" w:type="dxa"/>
            <w:tcBorders>
              <w:right w:val="single" w:sz="4" w:space="0" w:color="auto"/>
            </w:tcBorders>
            <w:shd w:val="clear" w:color="auto" w:fill="D9D9D9"/>
            <w:hideMark/>
          </w:tcPr>
          <w:p w14:paraId="496C81E7" w14:textId="77777777" w:rsidR="002A4DDF" w:rsidRPr="00937C8B" w:rsidRDefault="002A4DDF" w:rsidP="009110ED">
            <w:pPr>
              <w:rPr>
                <w:rFonts w:cs="Arial"/>
                <w:sz w:val="12"/>
                <w:szCs w:val="12"/>
              </w:rPr>
            </w:pPr>
          </w:p>
        </w:tc>
      </w:tr>
      <w:tr w:rsidR="002A4DDF" w:rsidRPr="00937C8B" w14:paraId="109E0705" w14:textId="77777777" w:rsidTr="00935676">
        <w:trPr>
          <w:cantSplit/>
        </w:trPr>
        <w:tc>
          <w:tcPr>
            <w:tcW w:w="1696" w:type="dxa"/>
            <w:tcBorders>
              <w:left w:val="single" w:sz="4" w:space="0" w:color="auto"/>
            </w:tcBorders>
            <w:shd w:val="clear" w:color="auto" w:fill="auto"/>
          </w:tcPr>
          <w:p w14:paraId="099CCFD7" w14:textId="77777777" w:rsidR="002A4DDF" w:rsidRPr="00937C8B" w:rsidRDefault="002A4DDF" w:rsidP="009110ED">
            <w:pPr>
              <w:rPr>
                <w:rFonts w:cs="Arial"/>
                <w:sz w:val="12"/>
                <w:szCs w:val="12"/>
              </w:rPr>
            </w:pPr>
          </w:p>
        </w:tc>
        <w:tc>
          <w:tcPr>
            <w:tcW w:w="1843" w:type="dxa"/>
            <w:shd w:val="clear" w:color="auto" w:fill="auto"/>
          </w:tcPr>
          <w:p w14:paraId="5FDE16A3" w14:textId="77777777" w:rsidR="002A4DDF" w:rsidRPr="00937C8B" w:rsidRDefault="002A4DDF" w:rsidP="009110ED">
            <w:pPr>
              <w:rPr>
                <w:rFonts w:cs="Arial"/>
                <w:sz w:val="12"/>
                <w:szCs w:val="12"/>
              </w:rPr>
            </w:pPr>
          </w:p>
        </w:tc>
        <w:tc>
          <w:tcPr>
            <w:tcW w:w="2268" w:type="dxa"/>
            <w:shd w:val="clear" w:color="auto" w:fill="F2F2F2"/>
            <w:hideMark/>
          </w:tcPr>
          <w:p w14:paraId="66175982" w14:textId="77777777" w:rsidR="002A4DDF" w:rsidRPr="00937C8B" w:rsidRDefault="002A4DDF" w:rsidP="009110ED">
            <w:pPr>
              <w:rPr>
                <w:rFonts w:cs="Arial"/>
                <w:sz w:val="12"/>
                <w:szCs w:val="12"/>
              </w:rPr>
            </w:pPr>
            <w:r>
              <w:rPr>
                <w:sz w:val="12"/>
                <w:szCs w:val="12"/>
              </w:rPr>
              <w:t>Galdames</w:t>
            </w:r>
          </w:p>
        </w:tc>
        <w:tc>
          <w:tcPr>
            <w:tcW w:w="2268" w:type="dxa"/>
            <w:tcBorders>
              <w:right w:val="single" w:sz="4" w:space="0" w:color="auto"/>
            </w:tcBorders>
            <w:shd w:val="clear" w:color="auto" w:fill="D9D9D9"/>
            <w:hideMark/>
          </w:tcPr>
          <w:p w14:paraId="28D1B874" w14:textId="77777777" w:rsidR="002A4DDF" w:rsidRPr="00937C8B" w:rsidRDefault="002A4DDF" w:rsidP="009110ED">
            <w:pPr>
              <w:rPr>
                <w:rFonts w:cs="Arial"/>
                <w:sz w:val="12"/>
                <w:szCs w:val="12"/>
              </w:rPr>
            </w:pPr>
          </w:p>
        </w:tc>
      </w:tr>
      <w:tr w:rsidR="002A4DDF" w:rsidRPr="00937C8B" w14:paraId="38DF9190" w14:textId="77777777" w:rsidTr="00935676">
        <w:trPr>
          <w:cantSplit/>
        </w:trPr>
        <w:tc>
          <w:tcPr>
            <w:tcW w:w="1696" w:type="dxa"/>
            <w:tcBorders>
              <w:left w:val="single" w:sz="4" w:space="0" w:color="auto"/>
            </w:tcBorders>
            <w:shd w:val="clear" w:color="auto" w:fill="auto"/>
          </w:tcPr>
          <w:p w14:paraId="19800C3B" w14:textId="77777777" w:rsidR="002A4DDF" w:rsidRPr="00937C8B" w:rsidRDefault="002A4DDF" w:rsidP="009110ED">
            <w:pPr>
              <w:rPr>
                <w:rFonts w:cs="Arial"/>
                <w:sz w:val="12"/>
                <w:szCs w:val="12"/>
              </w:rPr>
            </w:pPr>
          </w:p>
        </w:tc>
        <w:tc>
          <w:tcPr>
            <w:tcW w:w="1843" w:type="dxa"/>
            <w:shd w:val="clear" w:color="auto" w:fill="auto"/>
          </w:tcPr>
          <w:p w14:paraId="6061FCDD" w14:textId="77777777" w:rsidR="002A4DDF" w:rsidRPr="00937C8B" w:rsidRDefault="002A4DDF" w:rsidP="009110ED">
            <w:pPr>
              <w:rPr>
                <w:rFonts w:cs="Arial"/>
                <w:sz w:val="12"/>
                <w:szCs w:val="12"/>
              </w:rPr>
            </w:pPr>
          </w:p>
        </w:tc>
        <w:tc>
          <w:tcPr>
            <w:tcW w:w="2268" w:type="dxa"/>
            <w:shd w:val="clear" w:color="auto" w:fill="F2F2F2"/>
            <w:hideMark/>
          </w:tcPr>
          <w:p w14:paraId="2A2E846D" w14:textId="77777777" w:rsidR="002A4DDF" w:rsidRPr="00937C8B" w:rsidRDefault="002A4DDF" w:rsidP="009110ED">
            <w:pPr>
              <w:rPr>
                <w:rFonts w:cs="Arial"/>
                <w:sz w:val="12"/>
                <w:szCs w:val="12"/>
              </w:rPr>
            </w:pPr>
            <w:r>
              <w:rPr>
                <w:sz w:val="12"/>
                <w:szCs w:val="12"/>
              </w:rPr>
              <w:t>Gordexola</w:t>
            </w:r>
          </w:p>
        </w:tc>
        <w:tc>
          <w:tcPr>
            <w:tcW w:w="2268" w:type="dxa"/>
            <w:tcBorders>
              <w:right w:val="single" w:sz="4" w:space="0" w:color="auto"/>
            </w:tcBorders>
            <w:shd w:val="clear" w:color="auto" w:fill="D9D9D9"/>
            <w:hideMark/>
          </w:tcPr>
          <w:p w14:paraId="559B10C7" w14:textId="77777777" w:rsidR="002A4DDF" w:rsidRPr="00937C8B" w:rsidRDefault="002A4DDF" w:rsidP="009110ED">
            <w:pPr>
              <w:rPr>
                <w:rFonts w:cs="Arial"/>
                <w:sz w:val="12"/>
                <w:szCs w:val="12"/>
              </w:rPr>
            </w:pPr>
          </w:p>
        </w:tc>
      </w:tr>
      <w:tr w:rsidR="002A4DDF" w:rsidRPr="00937C8B" w14:paraId="750EE17B" w14:textId="77777777" w:rsidTr="00935676">
        <w:trPr>
          <w:cantSplit/>
        </w:trPr>
        <w:tc>
          <w:tcPr>
            <w:tcW w:w="1696" w:type="dxa"/>
            <w:tcBorders>
              <w:left w:val="single" w:sz="4" w:space="0" w:color="auto"/>
            </w:tcBorders>
            <w:shd w:val="clear" w:color="auto" w:fill="auto"/>
          </w:tcPr>
          <w:p w14:paraId="73E01109" w14:textId="77777777" w:rsidR="002A4DDF" w:rsidRPr="00937C8B" w:rsidRDefault="002A4DDF" w:rsidP="009110ED">
            <w:pPr>
              <w:rPr>
                <w:rFonts w:cs="Arial"/>
                <w:sz w:val="12"/>
                <w:szCs w:val="12"/>
              </w:rPr>
            </w:pPr>
          </w:p>
        </w:tc>
        <w:tc>
          <w:tcPr>
            <w:tcW w:w="1843" w:type="dxa"/>
            <w:shd w:val="clear" w:color="auto" w:fill="auto"/>
          </w:tcPr>
          <w:p w14:paraId="75FA6A4C" w14:textId="77777777" w:rsidR="002A4DDF" w:rsidRPr="00937C8B" w:rsidRDefault="002A4DDF" w:rsidP="009110ED">
            <w:pPr>
              <w:rPr>
                <w:rFonts w:cs="Arial"/>
                <w:sz w:val="12"/>
                <w:szCs w:val="12"/>
              </w:rPr>
            </w:pPr>
          </w:p>
        </w:tc>
        <w:tc>
          <w:tcPr>
            <w:tcW w:w="2268" w:type="dxa"/>
            <w:shd w:val="clear" w:color="auto" w:fill="F2F2F2"/>
            <w:hideMark/>
          </w:tcPr>
          <w:p w14:paraId="22CCD255" w14:textId="77777777" w:rsidR="002A4DDF" w:rsidRPr="00937C8B" w:rsidRDefault="002A4DDF" w:rsidP="009110ED">
            <w:pPr>
              <w:rPr>
                <w:rFonts w:cs="Arial"/>
                <w:sz w:val="12"/>
                <w:szCs w:val="12"/>
              </w:rPr>
            </w:pPr>
            <w:r>
              <w:rPr>
                <w:sz w:val="12"/>
                <w:szCs w:val="12"/>
              </w:rPr>
              <w:t>Güeñes</w:t>
            </w:r>
          </w:p>
        </w:tc>
        <w:tc>
          <w:tcPr>
            <w:tcW w:w="2268" w:type="dxa"/>
            <w:tcBorders>
              <w:right w:val="single" w:sz="4" w:space="0" w:color="auto"/>
            </w:tcBorders>
            <w:shd w:val="clear" w:color="auto" w:fill="D9D9D9"/>
            <w:hideMark/>
          </w:tcPr>
          <w:p w14:paraId="26ADCFF0" w14:textId="77777777" w:rsidR="002A4DDF" w:rsidRPr="00937C8B" w:rsidRDefault="002A4DDF" w:rsidP="009110ED">
            <w:pPr>
              <w:rPr>
                <w:rFonts w:cs="Arial"/>
                <w:sz w:val="12"/>
                <w:szCs w:val="12"/>
              </w:rPr>
            </w:pPr>
          </w:p>
        </w:tc>
      </w:tr>
      <w:tr w:rsidR="002A4DDF" w:rsidRPr="00937C8B" w14:paraId="6A1FA7D1" w14:textId="77777777" w:rsidTr="00935676">
        <w:trPr>
          <w:cantSplit/>
        </w:trPr>
        <w:tc>
          <w:tcPr>
            <w:tcW w:w="1696" w:type="dxa"/>
            <w:tcBorders>
              <w:left w:val="single" w:sz="4" w:space="0" w:color="auto"/>
            </w:tcBorders>
            <w:shd w:val="clear" w:color="auto" w:fill="auto"/>
          </w:tcPr>
          <w:p w14:paraId="56ED2DD5" w14:textId="77777777" w:rsidR="002A4DDF" w:rsidRPr="00937C8B" w:rsidRDefault="002A4DDF" w:rsidP="009110ED">
            <w:pPr>
              <w:rPr>
                <w:rFonts w:cs="Arial"/>
                <w:sz w:val="12"/>
                <w:szCs w:val="12"/>
              </w:rPr>
            </w:pPr>
          </w:p>
        </w:tc>
        <w:tc>
          <w:tcPr>
            <w:tcW w:w="1843" w:type="dxa"/>
            <w:shd w:val="clear" w:color="auto" w:fill="auto"/>
          </w:tcPr>
          <w:p w14:paraId="640431D9" w14:textId="77777777" w:rsidR="002A4DDF" w:rsidRPr="00937C8B" w:rsidRDefault="002A4DDF" w:rsidP="009110ED">
            <w:pPr>
              <w:rPr>
                <w:rFonts w:cs="Arial"/>
                <w:sz w:val="12"/>
                <w:szCs w:val="12"/>
              </w:rPr>
            </w:pPr>
          </w:p>
        </w:tc>
        <w:tc>
          <w:tcPr>
            <w:tcW w:w="2268" w:type="dxa"/>
            <w:shd w:val="clear" w:color="auto" w:fill="F2F2F2"/>
            <w:hideMark/>
          </w:tcPr>
          <w:p w14:paraId="0FF93A23" w14:textId="77777777" w:rsidR="002A4DDF" w:rsidRPr="00937C8B" w:rsidRDefault="002A4DDF" w:rsidP="009110ED">
            <w:pPr>
              <w:rPr>
                <w:rFonts w:cs="Arial"/>
                <w:sz w:val="12"/>
                <w:szCs w:val="12"/>
              </w:rPr>
            </w:pPr>
            <w:r>
              <w:rPr>
                <w:sz w:val="12"/>
                <w:szCs w:val="12"/>
              </w:rPr>
              <w:t>Izurtza</w:t>
            </w:r>
          </w:p>
        </w:tc>
        <w:tc>
          <w:tcPr>
            <w:tcW w:w="2268" w:type="dxa"/>
            <w:tcBorders>
              <w:right w:val="single" w:sz="4" w:space="0" w:color="auto"/>
            </w:tcBorders>
            <w:shd w:val="clear" w:color="auto" w:fill="D9D9D9"/>
            <w:hideMark/>
          </w:tcPr>
          <w:p w14:paraId="6737FE32" w14:textId="77777777" w:rsidR="002A4DDF" w:rsidRPr="00937C8B" w:rsidRDefault="002A4DDF" w:rsidP="009110ED">
            <w:pPr>
              <w:rPr>
                <w:rFonts w:cs="Arial"/>
                <w:sz w:val="12"/>
                <w:szCs w:val="12"/>
              </w:rPr>
            </w:pPr>
          </w:p>
        </w:tc>
      </w:tr>
      <w:tr w:rsidR="002A4DDF" w:rsidRPr="00937C8B" w14:paraId="06AC34AE" w14:textId="77777777" w:rsidTr="00935676">
        <w:trPr>
          <w:cantSplit/>
        </w:trPr>
        <w:tc>
          <w:tcPr>
            <w:tcW w:w="1696" w:type="dxa"/>
            <w:tcBorders>
              <w:left w:val="single" w:sz="4" w:space="0" w:color="auto"/>
            </w:tcBorders>
            <w:shd w:val="clear" w:color="auto" w:fill="auto"/>
          </w:tcPr>
          <w:p w14:paraId="5B75ED18" w14:textId="77777777" w:rsidR="002A4DDF" w:rsidRPr="00937C8B" w:rsidRDefault="002A4DDF" w:rsidP="009110ED">
            <w:pPr>
              <w:rPr>
                <w:rFonts w:cs="Arial"/>
                <w:sz w:val="12"/>
                <w:szCs w:val="12"/>
              </w:rPr>
            </w:pPr>
          </w:p>
        </w:tc>
        <w:tc>
          <w:tcPr>
            <w:tcW w:w="1843" w:type="dxa"/>
            <w:shd w:val="clear" w:color="auto" w:fill="auto"/>
          </w:tcPr>
          <w:p w14:paraId="56158856" w14:textId="77777777" w:rsidR="002A4DDF" w:rsidRPr="00937C8B" w:rsidRDefault="002A4DDF" w:rsidP="009110ED">
            <w:pPr>
              <w:rPr>
                <w:rFonts w:cs="Arial"/>
                <w:sz w:val="12"/>
                <w:szCs w:val="12"/>
              </w:rPr>
            </w:pPr>
          </w:p>
        </w:tc>
        <w:tc>
          <w:tcPr>
            <w:tcW w:w="2268" w:type="dxa"/>
            <w:shd w:val="clear" w:color="auto" w:fill="F2F2F2"/>
            <w:hideMark/>
          </w:tcPr>
          <w:p w14:paraId="131C242F" w14:textId="77777777" w:rsidR="002A4DDF" w:rsidRPr="00937C8B" w:rsidRDefault="002A4DDF" w:rsidP="009110ED">
            <w:pPr>
              <w:rPr>
                <w:rFonts w:cs="Arial"/>
                <w:sz w:val="12"/>
                <w:szCs w:val="12"/>
              </w:rPr>
            </w:pPr>
            <w:r>
              <w:rPr>
                <w:sz w:val="12"/>
                <w:szCs w:val="12"/>
              </w:rPr>
              <w:t>Karrantza Harana/Valle de Carranza</w:t>
            </w:r>
          </w:p>
        </w:tc>
        <w:tc>
          <w:tcPr>
            <w:tcW w:w="2268" w:type="dxa"/>
            <w:tcBorders>
              <w:right w:val="single" w:sz="4" w:space="0" w:color="auto"/>
            </w:tcBorders>
            <w:shd w:val="clear" w:color="auto" w:fill="D9D9D9"/>
            <w:hideMark/>
          </w:tcPr>
          <w:p w14:paraId="39A4E9DA" w14:textId="77777777" w:rsidR="002A4DDF" w:rsidRPr="00937C8B" w:rsidRDefault="002A4DDF" w:rsidP="009110ED">
            <w:pPr>
              <w:rPr>
                <w:rFonts w:cs="Arial"/>
                <w:sz w:val="12"/>
                <w:szCs w:val="12"/>
              </w:rPr>
            </w:pPr>
          </w:p>
        </w:tc>
      </w:tr>
      <w:tr w:rsidR="002A4DDF" w:rsidRPr="00937C8B" w14:paraId="7D74980C" w14:textId="77777777" w:rsidTr="00935676">
        <w:trPr>
          <w:cantSplit/>
        </w:trPr>
        <w:tc>
          <w:tcPr>
            <w:tcW w:w="1696" w:type="dxa"/>
            <w:tcBorders>
              <w:left w:val="single" w:sz="4" w:space="0" w:color="auto"/>
            </w:tcBorders>
            <w:shd w:val="clear" w:color="auto" w:fill="auto"/>
          </w:tcPr>
          <w:p w14:paraId="176D9A94" w14:textId="77777777" w:rsidR="002A4DDF" w:rsidRPr="00937C8B" w:rsidRDefault="002A4DDF" w:rsidP="009110ED">
            <w:pPr>
              <w:rPr>
                <w:rFonts w:cs="Arial"/>
                <w:sz w:val="12"/>
                <w:szCs w:val="12"/>
              </w:rPr>
            </w:pPr>
          </w:p>
        </w:tc>
        <w:tc>
          <w:tcPr>
            <w:tcW w:w="1843" w:type="dxa"/>
            <w:shd w:val="clear" w:color="auto" w:fill="auto"/>
          </w:tcPr>
          <w:p w14:paraId="62CFEF6A" w14:textId="77777777" w:rsidR="002A4DDF" w:rsidRPr="00937C8B" w:rsidRDefault="002A4DDF" w:rsidP="009110ED">
            <w:pPr>
              <w:rPr>
                <w:rFonts w:cs="Arial"/>
                <w:sz w:val="12"/>
                <w:szCs w:val="12"/>
              </w:rPr>
            </w:pPr>
          </w:p>
        </w:tc>
        <w:tc>
          <w:tcPr>
            <w:tcW w:w="2268" w:type="dxa"/>
            <w:shd w:val="clear" w:color="auto" w:fill="F2F2F2"/>
            <w:hideMark/>
          </w:tcPr>
          <w:p w14:paraId="5E209291" w14:textId="77777777" w:rsidR="002A4DDF" w:rsidRPr="00937C8B" w:rsidRDefault="002A4DDF" w:rsidP="009110ED">
            <w:pPr>
              <w:rPr>
                <w:rFonts w:cs="Arial"/>
                <w:sz w:val="12"/>
                <w:szCs w:val="12"/>
              </w:rPr>
            </w:pPr>
            <w:r>
              <w:rPr>
                <w:sz w:val="12"/>
                <w:szCs w:val="12"/>
              </w:rPr>
              <w:t>Mañaria</w:t>
            </w:r>
          </w:p>
        </w:tc>
        <w:tc>
          <w:tcPr>
            <w:tcW w:w="2268" w:type="dxa"/>
            <w:tcBorders>
              <w:right w:val="single" w:sz="4" w:space="0" w:color="auto"/>
            </w:tcBorders>
            <w:shd w:val="clear" w:color="auto" w:fill="D9D9D9"/>
            <w:hideMark/>
          </w:tcPr>
          <w:p w14:paraId="22A3B572" w14:textId="77777777" w:rsidR="002A4DDF" w:rsidRPr="00937C8B" w:rsidRDefault="002A4DDF" w:rsidP="009110ED">
            <w:pPr>
              <w:rPr>
                <w:rFonts w:cs="Arial"/>
                <w:sz w:val="12"/>
                <w:szCs w:val="12"/>
              </w:rPr>
            </w:pPr>
          </w:p>
        </w:tc>
      </w:tr>
      <w:tr w:rsidR="002A4DDF" w:rsidRPr="00937C8B" w14:paraId="198D2C7F" w14:textId="77777777" w:rsidTr="00935676">
        <w:trPr>
          <w:cantSplit/>
        </w:trPr>
        <w:tc>
          <w:tcPr>
            <w:tcW w:w="1696" w:type="dxa"/>
            <w:tcBorders>
              <w:left w:val="single" w:sz="4" w:space="0" w:color="auto"/>
            </w:tcBorders>
            <w:shd w:val="clear" w:color="auto" w:fill="auto"/>
          </w:tcPr>
          <w:p w14:paraId="7CFA090E" w14:textId="77777777" w:rsidR="002A4DDF" w:rsidRPr="00937C8B" w:rsidRDefault="002A4DDF" w:rsidP="009110ED">
            <w:pPr>
              <w:rPr>
                <w:rFonts w:cs="Arial"/>
                <w:sz w:val="12"/>
                <w:szCs w:val="12"/>
              </w:rPr>
            </w:pPr>
          </w:p>
        </w:tc>
        <w:tc>
          <w:tcPr>
            <w:tcW w:w="1843" w:type="dxa"/>
            <w:shd w:val="clear" w:color="auto" w:fill="auto"/>
          </w:tcPr>
          <w:p w14:paraId="1F3A524D" w14:textId="77777777" w:rsidR="002A4DDF" w:rsidRPr="00937C8B" w:rsidRDefault="002A4DDF" w:rsidP="009110ED">
            <w:pPr>
              <w:rPr>
                <w:rFonts w:cs="Arial"/>
                <w:sz w:val="12"/>
                <w:szCs w:val="12"/>
              </w:rPr>
            </w:pPr>
          </w:p>
        </w:tc>
        <w:tc>
          <w:tcPr>
            <w:tcW w:w="2268" w:type="dxa"/>
            <w:shd w:val="clear" w:color="auto" w:fill="F2F2F2"/>
            <w:hideMark/>
          </w:tcPr>
          <w:p w14:paraId="1B742353" w14:textId="77777777" w:rsidR="002A4DDF" w:rsidRPr="00937C8B" w:rsidRDefault="002A4DDF" w:rsidP="009110ED">
            <w:pPr>
              <w:rPr>
                <w:rFonts w:cs="Arial"/>
                <w:sz w:val="12"/>
                <w:szCs w:val="12"/>
              </w:rPr>
            </w:pPr>
            <w:r>
              <w:rPr>
                <w:sz w:val="12"/>
                <w:szCs w:val="12"/>
              </w:rPr>
              <w:t>Muskiz</w:t>
            </w:r>
          </w:p>
        </w:tc>
        <w:tc>
          <w:tcPr>
            <w:tcW w:w="2268" w:type="dxa"/>
            <w:tcBorders>
              <w:right w:val="single" w:sz="4" w:space="0" w:color="auto"/>
            </w:tcBorders>
            <w:shd w:val="clear" w:color="auto" w:fill="D9D9D9"/>
            <w:hideMark/>
          </w:tcPr>
          <w:p w14:paraId="517BE857" w14:textId="77777777" w:rsidR="002A4DDF" w:rsidRPr="00937C8B" w:rsidRDefault="002A4DDF" w:rsidP="009110ED">
            <w:pPr>
              <w:rPr>
                <w:rFonts w:cs="Arial"/>
                <w:sz w:val="12"/>
                <w:szCs w:val="12"/>
              </w:rPr>
            </w:pPr>
          </w:p>
        </w:tc>
      </w:tr>
      <w:tr w:rsidR="002A4DDF" w:rsidRPr="00937C8B" w14:paraId="20088E50" w14:textId="77777777" w:rsidTr="00935676">
        <w:trPr>
          <w:cantSplit/>
        </w:trPr>
        <w:tc>
          <w:tcPr>
            <w:tcW w:w="1696" w:type="dxa"/>
            <w:tcBorders>
              <w:left w:val="single" w:sz="4" w:space="0" w:color="auto"/>
            </w:tcBorders>
            <w:shd w:val="clear" w:color="auto" w:fill="auto"/>
          </w:tcPr>
          <w:p w14:paraId="57F0C446" w14:textId="77777777" w:rsidR="002A4DDF" w:rsidRPr="00937C8B" w:rsidRDefault="002A4DDF" w:rsidP="009110ED">
            <w:pPr>
              <w:rPr>
                <w:rFonts w:cs="Arial"/>
                <w:sz w:val="12"/>
                <w:szCs w:val="12"/>
              </w:rPr>
            </w:pPr>
          </w:p>
        </w:tc>
        <w:tc>
          <w:tcPr>
            <w:tcW w:w="1843" w:type="dxa"/>
            <w:shd w:val="clear" w:color="auto" w:fill="auto"/>
          </w:tcPr>
          <w:p w14:paraId="4AA69DDA" w14:textId="77777777" w:rsidR="002A4DDF" w:rsidRPr="00937C8B" w:rsidRDefault="002A4DDF" w:rsidP="009110ED">
            <w:pPr>
              <w:rPr>
                <w:rFonts w:cs="Arial"/>
                <w:sz w:val="12"/>
                <w:szCs w:val="12"/>
              </w:rPr>
            </w:pPr>
          </w:p>
        </w:tc>
        <w:tc>
          <w:tcPr>
            <w:tcW w:w="2268" w:type="dxa"/>
            <w:shd w:val="clear" w:color="auto" w:fill="F2F2F2"/>
            <w:hideMark/>
          </w:tcPr>
          <w:p w14:paraId="750287AA" w14:textId="77777777" w:rsidR="002A4DDF" w:rsidRPr="00937C8B" w:rsidRDefault="002A4DDF" w:rsidP="009110ED">
            <w:pPr>
              <w:rPr>
                <w:rFonts w:cs="Arial"/>
                <w:sz w:val="12"/>
                <w:szCs w:val="12"/>
              </w:rPr>
            </w:pPr>
            <w:r>
              <w:rPr>
                <w:sz w:val="12"/>
                <w:szCs w:val="12"/>
              </w:rPr>
              <w:t>Otxandio</w:t>
            </w:r>
          </w:p>
        </w:tc>
        <w:tc>
          <w:tcPr>
            <w:tcW w:w="2268" w:type="dxa"/>
            <w:tcBorders>
              <w:right w:val="single" w:sz="4" w:space="0" w:color="auto"/>
            </w:tcBorders>
            <w:shd w:val="clear" w:color="auto" w:fill="D9D9D9"/>
            <w:hideMark/>
          </w:tcPr>
          <w:p w14:paraId="7D1B6BEE" w14:textId="77777777" w:rsidR="002A4DDF" w:rsidRPr="00937C8B" w:rsidRDefault="002A4DDF" w:rsidP="009110ED">
            <w:pPr>
              <w:rPr>
                <w:rFonts w:cs="Arial"/>
                <w:sz w:val="12"/>
                <w:szCs w:val="12"/>
              </w:rPr>
            </w:pPr>
          </w:p>
        </w:tc>
      </w:tr>
      <w:tr w:rsidR="002A4DDF" w:rsidRPr="00937C8B" w14:paraId="18BF673E" w14:textId="77777777" w:rsidTr="00935676">
        <w:trPr>
          <w:cantSplit/>
        </w:trPr>
        <w:tc>
          <w:tcPr>
            <w:tcW w:w="1696" w:type="dxa"/>
            <w:tcBorders>
              <w:left w:val="single" w:sz="4" w:space="0" w:color="auto"/>
            </w:tcBorders>
            <w:shd w:val="clear" w:color="auto" w:fill="auto"/>
          </w:tcPr>
          <w:p w14:paraId="0348487E" w14:textId="77777777" w:rsidR="002A4DDF" w:rsidRPr="00937C8B" w:rsidRDefault="002A4DDF" w:rsidP="009110ED">
            <w:pPr>
              <w:rPr>
                <w:rFonts w:cs="Arial"/>
                <w:sz w:val="12"/>
                <w:szCs w:val="12"/>
              </w:rPr>
            </w:pPr>
          </w:p>
        </w:tc>
        <w:tc>
          <w:tcPr>
            <w:tcW w:w="1843" w:type="dxa"/>
            <w:shd w:val="clear" w:color="auto" w:fill="auto"/>
          </w:tcPr>
          <w:p w14:paraId="0711AA72" w14:textId="77777777" w:rsidR="002A4DDF" w:rsidRPr="00937C8B" w:rsidRDefault="002A4DDF" w:rsidP="009110ED">
            <w:pPr>
              <w:rPr>
                <w:rFonts w:cs="Arial"/>
                <w:sz w:val="12"/>
                <w:szCs w:val="12"/>
              </w:rPr>
            </w:pPr>
          </w:p>
        </w:tc>
        <w:tc>
          <w:tcPr>
            <w:tcW w:w="2268" w:type="dxa"/>
            <w:shd w:val="clear" w:color="auto" w:fill="F2F2F2"/>
            <w:hideMark/>
          </w:tcPr>
          <w:p w14:paraId="4BC49262" w14:textId="77777777" w:rsidR="002A4DDF" w:rsidRPr="00937C8B" w:rsidRDefault="002A4DDF" w:rsidP="009110ED">
            <w:pPr>
              <w:rPr>
                <w:rFonts w:cs="Arial"/>
                <w:sz w:val="12"/>
                <w:szCs w:val="12"/>
              </w:rPr>
            </w:pPr>
            <w:r>
              <w:rPr>
                <w:sz w:val="12"/>
                <w:szCs w:val="12"/>
              </w:rPr>
              <w:t>Sopuerta</w:t>
            </w:r>
          </w:p>
        </w:tc>
        <w:tc>
          <w:tcPr>
            <w:tcW w:w="2268" w:type="dxa"/>
            <w:tcBorders>
              <w:right w:val="single" w:sz="4" w:space="0" w:color="auto"/>
            </w:tcBorders>
            <w:shd w:val="clear" w:color="auto" w:fill="D9D9D9"/>
            <w:hideMark/>
          </w:tcPr>
          <w:p w14:paraId="4F30A88F" w14:textId="77777777" w:rsidR="002A4DDF" w:rsidRPr="00937C8B" w:rsidRDefault="002A4DDF" w:rsidP="009110ED">
            <w:pPr>
              <w:rPr>
                <w:rFonts w:cs="Arial"/>
                <w:sz w:val="12"/>
                <w:szCs w:val="12"/>
              </w:rPr>
            </w:pPr>
          </w:p>
        </w:tc>
      </w:tr>
      <w:tr w:rsidR="002A4DDF" w:rsidRPr="00937C8B" w14:paraId="52D77106" w14:textId="77777777" w:rsidTr="00935676">
        <w:trPr>
          <w:cantSplit/>
        </w:trPr>
        <w:tc>
          <w:tcPr>
            <w:tcW w:w="1696" w:type="dxa"/>
            <w:tcBorders>
              <w:left w:val="single" w:sz="4" w:space="0" w:color="auto"/>
            </w:tcBorders>
            <w:shd w:val="clear" w:color="auto" w:fill="auto"/>
          </w:tcPr>
          <w:p w14:paraId="01E88194" w14:textId="77777777" w:rsidR="002A4DDF" w:rsidRPr="00937C8B" w:rsidRDefault="002A4DDF" w:rsidP="009110ED">
            <w:pPr>
              <w:rPr>
                <w:rFonts w:cs="Arial"/>
                <w:sz w:val="12"/>
                <w:szCs w:val="12"/>
              </w:rPr>
            </w:pPr>
          </w:p>
        </w:tc>
        <w:tc>
          <w:tcPr>
            <w:tcW w:w="1843" w:type="dxa"/>
            <w:shd w:val="clear" w:color="auto" w:fill="auto"/>
          </w:tcPr>
          <w:p w14:paraId="4FBFCC41" w14:textId="77777777" w:rsidR="002A4DDF" w:rsidRPr="00937C8B" w:rsidRDefault="002A4DDF" w:rsidP="009110ED">
            <w:pPr>
              <w:rPr>
                <w:rFonts w:cs="Arial"/>
                <w:sz w:val="12"/>
                <w:szCs w:val="12"/>
              </w:rPr>
            </w:pPr>
          </w:p>
        </w:tc>
        <w:tc>
          <w:tcPr>
            <w:tcW w:w="2268" w:type="dxa"/>
            <w:shd w:val="clear" w:color="auto" w:fill="F2F2F2"/>
            <w:hideMark/>
          </w:tcPr>
          <w:p w14:paraId="0C0BAA04" w14:textId="77777777" w:rsidR="002A4DDF" w:rsidRPr="00937C8B" w:rsidRDefault="002A4DDF" w:rsidP="009110ED">
            <w:pPr>
              <w:rPr>
                <w:rFonts w:cs="Arial"/>
                <w:sz w:val="12"/>
                <w:szCs w:val="12"/>
              </w:rPr>
            </w:pPr>
            <w:r>
              <w:rPr>
                <w:sz w:val="12"/>
                <w:szCs w:val="12"/>
              </w:rPr>
              <w:t>Trucios-Turtzioz</w:t>
            </w:r>
          </w:p>
        </w:tc>
        <w:tc>
          <w:tcPr>
            <w:tcW w:w="2268" w:type="dxa"/>
            <w:tcBorders>
              <w:right w:val="single" w:sz="4" w:space="0" w:color="auto"/>
            </w:tcBorders>
            <w:shd w:val="clear" w:color="auto" w:fill="D9D9D9"/>
            <w:hideMark/>
          </w:tcPr>
          <w:p w14:paraId="3686221D" w14:textId="77777777" w:rsidR="002A4DDF" w:rsidRPr="00937C8B" w:rsidRDefault="002A4DDF" w:rsidP="009110ED">
            <w:pPr>
              <w:rPr>
                <w:rFonts w:cs="Arial"/>
                <w:sz w:val="12"/>
                <w:szCs w:val="12"/>
              </w:rPr>
            </w:pPr>
          </w:p>
        </w:tc>
      </w:tr>
      <w:tr w:rsidR="002A4DDF" w:rsidRPr="00937C8B" w14:paraId="69720507" w14:textId="77777777" w:rsidTr="00935676">
        <w:trPr>
          <w:cantSplit/>
        </w:trPr>
        <w:tc>
          <w:tcPr>
            <w:tcW w:w="1696" w:type="dxa"/>
            <w:tcBorders>
              <w:left w:val="single" w:sz="4" w:space="0" w:color="auto"/>
            </w:tcBorders>
            <w:shd w:val="clear" w:color="auto" w:fill="auto"/>
          </w:tcPr>
          <w:p w14:paraId="2E17DFC1" w14:textId="77777777" w:rsidR="002A4DDF" w:rsidRPr="00937C8B" w:rsidRDefault="002A4DDF" w:rsidP="009110ED">
            <w:pPr>
              <w:rPr>
                <w:rFonts w:cs="Arial"/>
                <w:sz w:val="12"/>
                <w:szCs w:val="12"/>
              </w:rPr>
            </w:pPr>
          </w:p>
        </w:tc>
        <w:tc>
          <w:tcPr>
            <w:tcW w:w="1843" w:type="dxa"/>
            <w:shd w:val="clear" w:color="auto" w:fill="auto"/>
          </w:tcPr>
          <w:p w14:paraId="64EFAA28" w14:textId="77777777" w:rsidR="002A4DDF" w:rsidRPr="00937C8B" w:rsidRDefault="002A4DDF" w:rsidP="009110ED">
            <w:pPr>
              <w:rPr>
                <w:rFonts w:cs="Arial"/>
                <w:sz w:val="12"/>
                <w:szCs w:val="12"/>
              </w:rPr>
            </w:pPr>
          </w:p>
        </w:tc>
        <w:tc>
          <w:tcPr>
            <w:tcW w:w="2268" w:type="dxa"/>
            <w:shd w:val="clear" w:color="auto" w:fill="F2F2F2"/>
            <w:hideMark/>
          </w:tcPr>
          <w:p w14:paraId="595F9F77" w14:textId="77777777" w:rsidR="002A4DDF" w:rsidRPr="00937C8B" w:rsidRDefault="002A4DDF" w:rsidP="009110ED">
            <w:pPr>
              <w:rPr>
                <w:rFonts w:cs="Arial"/>
                <w:sz w:val="12"/>
                <w:szCs w:val="12"/>
              </w:rPr>
            </w:pPr>
            <w:r>
              <w:rPr>
                <w:sz w:val="12"/>
                <w:szCs w:val="12"/>
              </w:rPr>
              <w:t>Ubide</w:t>
            </w:r>
          </w:p>
        </w:tc>
        <w:tc>
          <w:tcPr>
            <w:tcW w:w="2268" w:type="dxa"/>
            <w:tcBorders>
              <w:right w:val="single" w:sz="4" w:space="0" w:color="auto"/>
            </w:tcBorders>
            <w:shd w:val="clear" w:color="auto" w:fill="D9D9D9"/>
            <w:hideMark/>
          </w:tcPr>
          <w:p w14:paraId="44757764" w14:textId="77777777" w:rsidR="002A4DDF" w:rsidRPr="00937C8B" w:rsidRDefault="002A4DDF" w:rsidP="009110ED">
            <w:pPr>
              <w:rPr>
                <w:rFonts w:cs="Arial"/>
                <w:sz w:val="12"/>
                <w:szCs w:val="12"/>
              </w:rPr>
            </w:pPr>
          </w:p>
        </w:tc>
      </w:tr>
      <w:tr w:rsidR="002A4DDF" w:rsidRPr="00937C8B" w14:paraId="061516F9" w14:textId="77777777" w:rsidTr="00935676">
        <w:trPr>
          <w:cantSplit/>
        </w:trPr>
        <w:tc>
          <w:tcPr>
            <w:tcW w:w="1696" w:type="dxa"/>
            <w:tcBorders>
              <w:left w:val="single" w:sz="4" w:space="0" w:color="auto"/>
            </w:tcBorders>
            <w:shd w:val="clear" w:color="auto" w:fill="auto"/>
          </w:tcPr>
          <w:p w14:paraId="5637C53E" w14:textId="77777777" w:rsidR="002A4DDF" w:rsidRPr="00937C8B" w:rsidRDefault="002A4DDF" w:rsidP="009110ED">
            <w:pPr>
              <w:rPr>
                <w:rFonts w:cs="Arial"/>
                <w:sz w:val="12"/>
                <w:szCs w:val="12"/>
              </w:rPr>
            </w:pPr>
          </w:p>
        </w:tc>
        <w:tc>
          <w:tcPr>
            <w:tcW w:w="1843" w:type="dxa"/>
            <w:shd w:val="clear" w:color="auto" w:fill="auto"/>
          </w:tcPr>
          <w:p w14:paraId="3496C459" w14:textId="77777777" w:rsidR="002A4DDF" w:rsidRPr="00937C8B" w:rsidRDefault="002A4DDF" w:rsidP="009110ED">
            <w:pPr>
              <w:rPr>
                <w:rFonts w:cs="Arial"/>
                <w:sz w:val="12"/>
                <w:szCs w:val="12"/>
              </w:rPr>
            </w:pPr>
          </w:p>
        </w:tc>
        <w:tc>
          <w:tcPr>
            <w:tcW w:w="2268" w:type="dxa"/>
            <w:shd w:val="clear" w:color="auto" w:fill="F2F2F2"/>
            <w:hideMark/>
          </w:tcPr>
          <w:p w14:paraId="16F76898" w14:textId="77777777" w:rsidR="002A4DDF" w:rsidRPr="00937C8B" w:rsidRDefault="002A4DDF" w:rsidP="009110ED">
            <w:pPr>
              <w:rPr>
                <w:rFonts w:cs="Arial"/>
                <w:sz w:val="12"/>
                <w:szCs w:val="12"/>
              </w:rPr>
            </w:pPr>
            <w:r>
              <w:rPr>
                <w:sz w:val="12"/>
                <w:szCs w:val="12"/>
              </w:rPr>
              <w:t>Ugao-Miraballes</w:t>
            </w:r>
          </w:p>
        </w:tc>
        <w:tc>
          <w:tcPr>
            <w:tcW w:w="2268" w:type="dxa"/>
            <w:tcBorders>
              <w:right w:val="single" w:sz="4" w:space="0" w:color="auto"/>
            </w:tcBorders>
            <w:shd w:val="clear" w:color="auto" w:fill="D9D9D9"/>
            <w:hideMark/>
          </w:tcPr>
          <w:p w14:paraId="2C745607" w14:textId="77777777" w:rsidR="002A4DDF" w:rsidRPr="00937C8B" w:rsidRDefault="002A4DDF" w:rsidP="009110ED">
            <w:pPr>
              <w:rPr>
                <w:rFonts w:cs="Arial"/>
                <w:sz w:val="12"/>
                <w:szCs w:val="12"/>
              </w:rPr>
            </w:pPr>
          </w:p>
        </w:tc>
      </w:tr>
      <w:tr w:rsidR="002A4DDF" w:rsidRPr="00937C8B" w14:paraId="5F4EA742" w14:textId="77777777" w:rsidTr="00935676">
        <w:trPr>
          <w:cantSplit/>
        </w:trPr>
        <w:tc>
          <w:tcPr>
            <w:tcW w:w="1696" w:type="dxa"/>
            <w:tcBorders>
              <w:left w:val="single" w:sz="4" w:space="0" w:color="auto"/>
            </w:tcBorders>
            <w:shd w:val="clear" w:color="auto" w:fill="auto"/>
          </w:tcPr>
          <w:p w14:paraId="721F0C6C" w14:textId="77777777" w:rsidR="002A4DDF" w:rsidRPr="00937C8B" w:rsidRDefault="002A4DDF" w:rsidP="009110ED">
            <w:pPr>
              <w:rPr>
                <w:rFonts w:cs="Arial"/>
                <w:sz w:val="12"/>
                <w:szCs w:val="12"/>
              </w:rPr>
            </w:pPr>
          </w:p>
        </w:tc>
        <w:tc>
          <w:tcPr>
            <w:tcW w:w="1843" w:type="dxa"/>
            <w:shd w:val="clear" w:color="auto" w:fill="auto"/>
          </w:tcPr>
          <w:p w14:paraId="2C2C6D64" w14:textId="77777777" w:rsidR="002A4DDF" w:rsidRPr="00937C8B" w:rsidRDefault="002A4DDF" w:rsidP="009110ED">
            <w:pPr>
              <w:rPr>
                <w:rFonts w:cs="Arial"/>
                <w:sz w:val="12"/>
                <w:szCs w:val="12"/>
              </w:rPr>
            </w:pPr>
          </w:p>
        </w:tc>
        <w:tc>
          <w:tcPr>
            <w:tcW w:w="2268" w:type="dxa"/>
            <w:shd w:val="clear" w:color="auto" w:fill="F2F2F2"/>
            <w:hideMark/>
          </w:tcPr>
          <w:p w14:paraId="3F6D6D5F" w14:textId="77777777" w:rsidR="002A4DDF" w:rsidRPr="00937C8B" w:rsidRDefault="002A4DDF" w:rsidP="009110ED">
            <w:pPr>
              <w:rPr>
                <w:rFonts w:cs="Arial"/>
                <w:sz w:val="12"/>
                <w:szCs w:val="12"/>
              </w:rPr>
            </w:pPr>
            <w:r>
              <w:rPr>
                <w:sz w:val="12"/>
                <w:szCs w:val="12"/>
              </w:rPr>
              <w:t>Zalla</w:t>
            </w:r>
          </w:p>
        </w:tc>
        <w:tc>
          <w:tcPr>
            <w:tcW w:w="2268" w:type="dxa"/>
            <w:tcBorders>
              <w:right w:val="single" w:sz="4" w:space="0" w:color="auto"/>
            </w:tcBorders>
            <w:shd w:val="clear" w:color="auto" w:fill="D9D9D9"/>
            <w:hideMark/>
          </w:tcPr>
          <w:p w14:paraId="64099965" w14:textId="77777777" w:rsidR="002A4DDF" w:rsidRPr="00937C8B" w:rsidRDefault="002A4DDF" w:rsidP="009110ED">
            <w:pPr>
              <w:rPr>
                <w:rFonts w:cs="Arial"/>
                <w:sz w:val="12"/>
                <w:szCs w:val="12"/>
              </w:rPr>
            </w:pPr>
          </w:p>
        </w:tc>
      </w:tr>
      <w:tr w:rsidR="002A4DDF" w:rsidRPr="00937C8B" w14:paraId="42405AC7" w14:textId="77777777" w:rsidTr="00935676">
        <w:trPr>
          <w:cantSplit/>
        </w:trPr>
        <w:tc>
          <w:tcPr>
            <w:tcW w:w="1696" w:type="dxa"/>
            <w:tcBorders>
              <w:left w:val="single" w:sz="4" w:space="0" w:color="auto"/>
            </w:tcBorders>
            <w:shd w:val="clear" w:color="auto" w:fill="auto"/>
          </w:tcPr>
          <w:p w14:paraId="67737A92" w14:textId="77777777" w:rsidR="002A4DDF" w:rsidRPr="00937C8B" w:rsidRDefault="002A4DDF" w:rsidP="009110ED">
            <w:pPr>
              <w:rPr>
                <w:rFonts w:cs="Arial"/>
                <w:sz w:val="12"/>
                <w:szCs w:val="12"/>
              </w:rPr>
            </w:pPr>
          </w:p>
        </w:tc>
        <w:tc>
          <w:tcPr>
            <w:tcW w:w="1843" w:type="dxa"/>
            <w:shd w:val="clear" w:color="auto" w:fill="auto"/>
          </w:tcPr>
          <w:p w14:paraId="54322CF2" w14:textId="77777777" w:rsidR="002A4DDF" w:rsidRPr="00937C8B" w:rsidRDefault="002A4DDF" w:rsidP="009110ED">
            <w:pPr>
              <w:rPr>
                <w:rFonts w:cs="Arial"/>
                <w:sz w:val="12"/>
                <w:szCs w:val="12"/>
              </w:rPr>
            </w:pPr>
          </w:p>
        </w:tc>
        <w:tc>
          <w:tcPr>
            <w:tcW w:w="2268" w:type="dxa"/>
            <w:shd w:val="clear" w:color="auto" w:fill="F2F2F2"/>
            <w:hideMark/>
          </w:tcPr>
          <w:p w14:paraId="23F32E10" w14:textId="77777777" w:rsidR="002A4DDF" w:rsidRPr="00937C8B" w:rsidRDefault="002A4DDF" w:rsidP="009110ED">
            <w:pPr>
              <w:rPr>
                <w:rFonts w:cs="Arial"/>
                <w:sz w:val="12"/>
                <w:szCs w:val="12"/>
              </w:rPr>
            </w:pPr>
            <w:r>
              <w:rPr>
                <w:sz w:val="12"/>
                <w:szCs w:val="12"/>
              </w:rPr>
              <w:t>Zaratamo</w:t>
            </w:r>
          </w:p>
        </w:tc>
        <w:tc>
          <w:tcPr>
            <w:tcW w:w="2268" w:type="dxa"/>
            <w:tcBorders>
              <w:right w:val="single" w:sz="4" w:space="0" w:color="auto"/>
            </w:tcBorders>
            <w:shd w:val="clear" w:color="auto" w:fill="D9D9D9"/>
            <w:hideMark/>
          </w:tcPr>
          <w:p w14:paraId="433ACFBD" w14:textId="77777777" w:rsidR="002A4DDF" w:rsidRPr="00937C8B" w:rsidRDefault="002A4DDF" w:rsidP="009110ED">
            <w:pPr>
              <w:rPr>
                <w:rFonts w:cs="Arial"/>
                <w:sz w:val="12"/>
                <w:szCs w:val="12"/>
              </w:rPr>
            </w:pPr>
          </w:p>
        </w:tc>
      </w:tr>
      <w:tr w:rsidR="002A4DDF" w:rsidRPr="00937C8B" w14:paraId="10EEC746" w14:textId="77777777" w:rsidTr="00935676">
        <w:trPr>
          <w:cantSplit/>
        </w:trPr>
        <w:tc>
          <w:tcPr>
            <w:tcW w:w="1696" w:type="dxa"/>
            <w:tcBorders>
              <w:left w:val="single" w:sz="4" w:space="0" w:color="auto"/>
            </w:tcBorders>
            <w:shd w:val="clear" w:color="auto" w:fill="auto"/>
          </w:tcPr>
          <w:p w14:paraId="39E76B52" w14:textId="77777777" w:rsidR="002A4DDF" w:rsidRPr="00937C8B" w:rsidRDefault="002A4DDF" w:rsidP="009110ED">
            <w:pPr>
              <w:rPr>
                <w:rFonts w:cs="Arial"/>
                <w:sz w:val="12"/>
                <w:szCs w:val="12"/>
              </w:rPr>
            </w:pPr>
          </w:p>
        </w:tc>
        <w:tc>
          <w:tcPr>
            <w:tcW w:w="1843" w:type="dxa"/>
            <w:shd w:val="clear" w:color="auto" w:fill="auto"/>
          </w:tcPr>
          <w:p w14:paraId="7E0CF942" w14:textId="77777777" w:rsidR="002A4DDF" w:rsidRPr="00937C8B" w:rsidRDefault="002A4DDF" w:rsidP="009110ED">
            <w:pPr>
              <w:rPr>
                <w:rFonts w:cs="Arial"/>
                <w:sz w:val="12"/>
                <w:szCs w:val="12"/>
              </w:rPr>
            </w:pPr>
          </w:p>
        </w:tc>
        <w:tc>
          <w:tcPr>
            <w:tcW w:w="2268" w:type="dxa"/>
            <w:shd w:val="clear" w:color="auto" w:fill="F2F2F2"/>
            <w:hideMark/>
          </w:tcPr>
          <w:p w14:paraId="52C35C53" w14:textId="77777777" w:rsidR="002A4DDF" w:rsidRPr="00937C8B" w:rsidRDefault="002A4DDF" w:rsidP="009110ED">
            <w:pPr>
              <w:rPr>
                <w:rFonts w:cs="Arial"/>
                <w:sz w:val="12"/>
                <w:szCs w:val="12"/>
              </w:rPr>
            </w:pPr>
            <w:r>
              <w:rPr>
                <w:sz w:val="12"/>
                <w:szCs w:val="12"/>
              </w:rPr>
              <w:t>Zeanuri</w:t>
            </w:r>
          </w:p>
        </w:tc>
        <w:tc>
          <w:tcPr>
            <w:tcW w:w="2268" w:type="dxa"/>
            <w:tcBorders>
              <w:right w:val="single" w:sz="4" w:space="0" w:color="auto"/>
            </w:tcBorders>
            <w:shd w:val="clear" w:color="auto" w:fill="D9D9D9"/>
            <w:hideMark/>
          </w:tcPr>
          <w:p w14:paraId="2BB9C607" w14:textId="77777777" w:rsidR="002A4DDF" w:rsidRPr="00937C8B" w:rsidRDefault="002A4DDF" w:rsidP="009110ED">
            <w:pPr>
              <w:rPr>
                <w:rFonts w:cs="Arial"/>
                <w:sz w:val="12"/>
                <w:szCs w:val="12"/>
              </w:rPr>
            </w:pPr>
          </w:p>
        </w:tc>
      </w:tr>
      <w:tr w:rsidR="002A4DDF" w:rsidRPr="00937C8B" w14:paraId="2D25AEFA" w14:textId="77777777" w:rsidTr="00935676">
        <w:trPr>
          <w:cantSplit/>
        </w:trPr>
        <w:tc>
          <w:tcPr>
            <w:tcW w:w="1696" w:type="dxa"/>
            <w:tcBorders>
              <w:left w:val="single" w:sz="4" w:space="0" w:color="auto"/>
              <w:bottom w:val="single" w:sz="4" w:space="0" w:color="auto"/>
            </w:tcBorders>
            <w:shd w:val="clear" w:color="auto" w:fill="auto"/>
            <w:hideMark/>
          </w:tcPr>
          <w:p w14:paraId="335F7BE8" w14:textId="77777777" w:rsidR="002A4DDF" w:rsidRPr="00937C8B" w:rsidRDefault="002A4DDF" w:rsidP="009110ED">
            <w:pPr>
              <w:rPr>
                <w:rFonts w:cs="Arial"/>
                <w:sz w:val="12"/>
                <w:szCs w:val="12"/>
              </w:rPr>
            </w:pPr>
            <w:r>
              <w:rPr>
                <w:sz w:val="12"/>
                <w:szCs w:val="12"/>
              </w:rPr>
              <w:t>Pays basque</w:t>
            </w:r>
          </w:p>
        </w:tc>
        <w:tc>
          <w:tcPr>
            <w:tcW w:w="1843" w:type="dxa"/>
            <w:tcBorders>
              <w:bottom w:val="single" w:sz="4" w:space="0" w:color="auto"/>
            </w:tcBorders>
            <w:shd w:val="clear" w:color="auto" w:fill="auto"/>
            <w:hideMark/>
          </w:tcPr>
          <w:p w14:paraId="712144F3" w14:textId="77777777" w:rsidR="002A4DDF" w:rsidRPr="00937C8B" w:rsidRDefault="002A4DDF" w:rsidP="009110ED">
            <w:pPr>
              <w:rPr>
                <w:rFonts w:cs="Arial"/>
                <w:sz w:val="12"/>
                <w:szCs w:val="12"/>
              </w:rPr>
            </w:pPr>
            <w:r>
              <w:rPr>
                <w:sz w:val="12"/>
                <w:szCs w:val="12"/>
              </w:rPr>
              <w:t>Vizcaya / Bizkaia</w:t>
            </w:r>
          </w:p>
        </w:tc>
        <w:tc>
          <w:tcPr>
            <w:tcW w:w="2268" w:type="dxa"/>
            <w:tcBorders>
              <w:bottom w:val="single" w:sz="4" w:space="0" w:color="auto"/>
            </w:tcBorders>
            <w:shd w:val="clear" w:color="auto" w:fill="F2F2F2"/>
            <w:hideMark/>
          </w:tcPr>
          <w:p w14:paraId="245F1E08" w14:textId="77777777" w:rsidR="002A4DDF" w:rsidRPr="00937C8B" w:rsidRDefault="002A4DDF" w:rsidP="009110ED">
            <w:pPr>
              <w:rPr>
                <w:rFonts w:cs="Arial"/>
                <w:sz w:val="12"/>
                <w:szCs w:val="12"/>
              </w:rPr>
            </w:pPr>
            <w:r>
              <w:rPr>
                <w:sz w:val="12"/>
                <w:szCs w:val="12"/>
              </w:rPr>
              <w:t>Zierbena</w:t>
            </w:r>
          </w:p>
        </w:tc>
        <w:tc>
          <w:tcPr>
            <w:tcW w:w="2268" w:type="dxa"/>
            <w:tcBorders>
              <w:bottom w:val="single" w:sz="4" w:space="0" w:color="auto"/>
              <w:right w:val="single" w:sz="4" w:space="0" w:color="auto"/>
            </w:tcBorders>
            <w:shd w:val="clear" w:color="auto" w:fill="D9D9D9"/>
            <w:hideMark/>
          </w:tcPr>
          <w:p w14:paraId="700FE734" w14:textId="77777777" w:rsidR="002A4DDF" w:rsidRPr="00937C8B" w:rsidRDefault="002A4DDF" w:rsidP="009110ED">
            <w:pPr>
              <w:rPr>
                <w:rFonts w:cs="Arial"/>
                <w:sz w:val="12"/>
                <w:szCs w:val="12"/>
              </w:rPr>
            </w:pPr>
          </w:p>
        </w:tc>
      </w:tr>
      <w:tr w:rsidR="002A4DDF" w:rsidRPr="00937C8B" w14:paraId="595C551C" w14:textId="77777777" w:rsidTr="00935676">
        <w:trPr>
          <w:cantSplit/>
        </w:trPr>
        <w:tc>
          <w:tcPr>
            <w:tcW w:w="1696" w:type="dxa"/>
            <w:tcBorders>
              <w:top w:val="single" w:sz="4" w:space="0" w:color="auto"/>
              <w:bottom w:val="single" w:sz="4" w:space="0" w:color="auto"/>
            </w:tcBorders>
            <w:shd w:val="clear" w:color="auto" w:fill="auto"/>
            <w:hideMark/>
          </w:tcPr>
          <w:p w14:paraId="19B674AE" w14:textId="77777777" w:rsidR="002A4DDF" w:rsidRPr="00937C8B" w:rsidRDefault="002A4DDF" w:rsidP="009110ED">
            <w:pPr>
              <w:rPr>
                <w:rFonts w:cs="Arial"/>
                <w:sz w:val="12"/>
                <w:szCs w:val="12"/>
              </w:rPr>
            </w:pPr>
          </w:p>
        </w:tc>
        <w:tc>
          <w:tcPr>
            <w:tcW w:w="1843" w:type="dxa"/>
            <w:tcBorders>
              <w:top w:val="single" w:sz="4" w:space="0" w:color="auto"/>
              <w:bottom w:val="single" w:sz="4" w:space="0" w:color="auto"/>
            </w:tcBorders>
            <w:shd w:val="clear" w:color="auto" w:fill="auto"/>
            <w:hideMark/>
          </w:tcPr>
          <w:p w14:paraId="07A6F21C" w14:textId="77777777" w:rsidR="002A4DDF" w:rsidRPr="00937C8B" w:rsidRDefault="002A4DDF" w:rsidP="009110ED">
            <w:pPr>
              <w:jc w:val="center"/>
              <w:rPr>
                <w:rFonts w:cs="Arial"/>
                <w:sz w:val="12"/>
                <w:szCs w:val="12"/>
              </w:rPr>
            </w:pPr>
          </w:p>
        </w:tc>
        <w:tc>
          <w:tcPr>
            <w:tcW w:w="2268" w:type="dxa"/>
            <w:tcBorders>
              <w:top w:val="single" w:sz="4" w:space="0" w:color="auto"/>
              <w:bottom w:val="single" w:sz="4" w:space="0" w:color="auto"/>
            </w:tcBorders>
            <w:shd w:val="clear" w:color="auto" w:fill="F2F2F2"/>
            <w:hideMark/>
          </w:tcPr>
          <w:p w14:paraId="2AA2C6CF" w14:textId="77777777" w:rsidR="002A4DDF" w:rsidRPr="00937C8B" w:rsidRDefault="002A4DDF" w:rsidP="009110ED">
            <w:pPr>
              <w:rPr>
                <w:rFonts w:cs="Arial"/>
                <w:sz w:val="12"/>
                <w:szCs w:val="12"/>
              </w:rPr>
            </w:pPr>
          </w:p>
        </w:tc>
        <w:tc>
          <w:tcPr>
            <w:tcW w:w="2268" w:type="dxa"/>
            <w:tcBorders>
              <w:top w:val="single" w:sz="4" w:space="0" w:color="auto"/>
              <w:bottom w:val="single" w:sz="4" w:space="0" w:color="auto"/>
            </w:tcBorders>
            <w:shd w:val="clear" w:color="auto" w:fill="D9D9D9"/>
            <w:hideMark/>
          </w:tcPr>
          <w:p w14:paraId="41B1B43D" w14:textId="77777777" w:rsidR="002A4DDF" w:rsidRPr="00937C8B" w:rsidRDefault="002A4DDF" w:rsidP="009110ED">
            <w:pPr>
              <w:rPr>
                <w:rFonts w:cs="Arial"/>
                <w:sz w:val="12"/>
                <w:szCs w:val="12"/>
              </w:rPr>
            </w:pPr>
          </w:p>
        </w:tc>
      </w:tr>
      <w:tr w:rsidR="002A4DDF" w:rsidRPr="00937C8B" w14:paraId="6725BB18" w14:textId="77777777" w:rsidTr="00935676">
        <w:trPr>
          <w:cantSplit/>
        </w:trPr>
        <w:tc>
          <w:tcPr>
            <w:tcW w:w="1696" w:type="dxa"/>
            <w:tcBorders>
              <w:top w:val="single" w:sz="4" w:space="0" w:color="auto"/>
              <w:left w:val="single" w:sz="4" w:space="0" w:color="auto"/>
            </w:tcBorders>
            <w:shd w:val="clear" w:color="auto" w:fill="auto"/>
            <w:hideMark/>
          </w:tcPr>
          <w:p w14:paraId="463A01EA" w14:textId="77777777" w:rsidR="002A4DDF" w:rsidRPr="00937C8B" w:rsidRDefault="002A4DDF" w:rsidP="009110ED">
            <w:pPr>
              <w:rPr>
                <w:rFonts w:cs="Arial"/>
                <w:sz w:val="12"/>
                <w:szCs w:val="12"/>
              </w:rPr>
            </w:pPr>
            <w:r>
              <w:rPr>
                <w:sz w:val="12"/>
                <w:szCs w:val="12"/>
              </w:rPr>
              <w:lastRenderedPageBreak/>
              <w:t>Principauté des Asturies</w:t>
            </w:r>
          </w:p>
        </w:tc>
        <w:tc>
          <w:tcPr>
            <w:tcW w:w="1843" w:type="dxa"/>
            <w:tcBorders>
              <w:top w:val="single" w:sz="4" w:space="0" w:color="auto"/>
            </w:tcBorders>
            <w:shd w:val="clear" w:color="auto" w:fill="auto"/>
            <w:hideMark/>
          </w:tcPr>
          <w:p w14:paraId="3A6859AE" w14:textId="77777777" w:rsidR="002A4DDF" w:rsidRPr="00937C8B" w:rsidRDefault="002A4DDF" w:rsidP="009110ED">
            <w:pPr>
              <w:rPr>
                <w:rFonts w:cs="Arial"/>
                <w:sz w:val="12"/>
                <w:szCs w:val="12"/>
              </w:rPr>
            </w:pPr>
            <w:r>
              <w:rPr>
                <w:sz w:val="12"/>
                <w:szCs w:val="12"/>
              </w:rPr>
              <w:t>Asturies</w:t>
            </w:r>
          </w:p>
        </w:tc>
        <w:tc>
          <w:tcPr>
            <w:tcW w:w="2268" w:type="dxa"/>
            <w:tcBorders>
              <w:top w:val="single" w:sz="4" w:space="0" w:color="auto"/>
            </w:tcBorders>
            <w:shd w:val="clear" w:color="auto" w:fill="F2F2F2"/>
            <w:hideMark/>
          </w:tcPr>
          <w:p w14:paraId="504542B9" w14:textId="77777777" w:rsidR="002A4DDF" w:rsidRPr="00937C8B" w:rsidRDefault="002A4DDF" w:rsidP="009110ED">
            <w:pPr>
              <w:rPr>
                <w:rFonts w:cs="Arial"/>
                <w:sz w:val="12"/>
                <w:szCs w:val="12"/>
              </w:rPr>
            </w:pPr>
            <w:r>
              <w:rPr>
                <w:sz w:val="12"/>
                <w:szCs w:val="12"/>
              </w:rPr>
              <w:t>Aller</w:t>
            </w:r>
          </w:p>
        </w:tc>
        <w:tc>
          <w:tcPr>
            <w:tcW w:w="2268" w:type="dxa"/>
            <w:tcBorders>
              <w:top w:val="single" w:sz="4" w:space="0" w:color="auto"/>
              <w:right w:val="single" w:sz="4" w:space="0" w:color="auto"/>
            </w:tcBorders>
            <w:shd w:val="clear" w:color="auto" w:fill="D9D9D9"/>
            <w:hideMark/>
          </w:tcPr>
          <w:p w14:paraId="0C1D9D3C" w14:textId="77777777" w:rsidR="002A4DDF" w:rsidRPr="00937C8B" w:rsidRDefault="002A4DDF" w:rsidP="009110ED">
            <w:pPr>
              <w:rPr>
                <w:rFonts w:cs="Arial"/>
                <w:sz w:val="12"/>
                <w:szCs w:val="12"/>
              </w:rPr>
            </w:pPr>
            <w:r>
              <w:rPr>
                <w:sz w:val="12"/>
                <w:szCs w:val="12"/>
              </w:rPr>
              <w:t>Allande</w:t>
            </w:r>
          </w:p>
        </w:tc>
      </w:tr>
      <w:tr w:rsidR="002A4DDF" w:rsidRPr="00937C8B" w14:paraId="0E0DAFC9" w14:textId="77777777" w:rsidTr="00935676">
        <w:trPr>
          <w:cantSplit/>
        </w:trPr>
        <w:tc>
          <w:tcPr>
            <w:tcW w:w="1696" w:type="dxa"/>
            <w:tcBorders>
              <w:left w:val="single" w:sz="4" w:space="0" w:color="auto"/>
            </w:tcBorders>
            <w:shd w:val="clear" w:color="auto" w:fill="auto"/>
          </w:tcPr>
          <w:p w14:paraId="2D877FAE" w14:textId="77777777" w:rsidR="002A4DDF" w:rsidRPr="00937C8B" w:rsidRDefault="002A4DDF" w:rsidP="009110ED">
            <w:pPr>
              <w:rPr>
                <w:rFonts w:cs="Arial"/>
                <w:sz w:val="12"/>
                <w:szCs w:val="12"/>
              </w:rPr>
            </w:pPr>
          </w:p>
        </w:tc>
        <w:tc>
          <w:tcPr>
            <w:tcW w:w="1843" w:type="dxa"/>
            <w:shd w:val="clear" w:color="auto" w:fill="auto"/>
          </w:tcPr>
          <w:p w14:paraId="423A08A2" w14:textId="77777777" w:rsidR="002A4DDF" w:rsidRPr="00937C8B" w:rsidRDefault="002A4DDF" w:rsidP="009110ED">
            <w:pPr>
              <w:rPr>
                <w:rFonts w:cs="Arial"/>
                <w:sz w:val="12"/>
                <w:szCs w:val="12"/>
              </w:rPr>
            </w:pPr>
          </w:p>
        </w:tc>
        <w:tc>
          <w:tcPr>
            <w:tcW w:w="2268" w:type="dxa"/>
            <w:shd w:val="clear" w:color="auto" w:fill="F2F2F2"/>
            <w:hideMark/>
          </w:tcPr>
          <w:p w14:paraId="476A0133" w14:textId="77777777" w:rsidR="002A4DDF" w:rsidRPr="00937C8B" w:rsidRDefault="002A4DDF" w:rsidP="009110ED">
            <w:pPr>
              <w:rPr>
                <w:rFonts w:cs="Arial"/>
                <w:sz w:val="12"/>
                <w:szCs w:val="12"/>
              </w:rPr>
            </w:pPr>
            <w:r>
              <w:rPr>
                <w:sz w:val="12"/>
                <w:szCs w:val="12"/>
              </w:rPr>
              <w:t>Belmonte de Miranda</w:t>
            </w:r>
          </w:p>
        </w:tc>
        <w:tc>
          <w:tcPr>
            <w:tcW w:w="2268" w:type="dxa"/>
            <w:tcBorders>
              <w:right w:val="single" w:sz="4" w:space="0" w:color="auto"/>
            </w:tcBorders>
            <w:shd w:val="clear" w:color="auto" w:fill="D9D9D9"/>
            <w:hideMark/>
          </w:tcPr>
          <w:p w14:paraId="48BCCCE8" w14:textId="77777777" w:rsidR="002A4DDF" w:rsidRPr="00937C8B" w:rsidRDefault="002A4DDF" w:rsidP="009110ED">
            <w:pPr>
              <w:rPr>
                <w:rFonts w:cs="Arial"/>
                <w:sz w:val="12"/>
                <w:szCs w:val="12"/>
              </w:rPr>
            </w:pPr>
            <w:r>
              <w:rPr>
                <w:sz w:val="12"/>
                <w:szCs w:val="12"/>
              </w:rPr>
              <w:t>Amieva</w:t>
            </w:r>
          </w:p>
        </w:tc>
      </w:tr>
      <w:tr w:rsidR="002A4DDF" w:rsidRPr="00937C8B" w14:paraId="4DB1F69D" w14:textId="77777777" w:rsidTr="00935676">
        <w:trPr>
          <w:cantSplit/>
        </w:trPr>
        <w:tc>
          <w:tcPr>
            <w:tcW w:w="1696" w:type="dxa"/>
            <w:tcBorders>
              <w:left w:val="single" w:sz="4" w:space="0" w:color="auto"/>
            </w:tcBorders>
            <w:shd w:val="clear" w:color="auto" w:fill="auto"/>
          </w:tcPr>
          <w:p w14:paraId="3E1D5AC8" w14:textId="77777777" w:rsidR="002A4DDF" w:rsidRPr="00937C8B" w:rsidRDefault="002A4DDF" w:rsidP="009110ED">
            <w:pPr>
              <w:rPr>
                <w:rFonts w:cs="Arial"/>
                <w:sz w:val="12"/>
                <w:szCs w:val="12"/>
              </w:rPr>
            </w:pPr>
          </w:p>
        </w:tc>
        <w:tc>
          <w:tcPr>
            <w:tcW w:w="1843" w:type="dxa"/>
            <w:shd w:val="clear" w:color="auto" w:fill="auto"/>
          </w:tcPr>
          <w:p w14:paraId="07307D4E" w14:textId="77777777" w:rsidR="002A4DDF" w:rsidRPr="00937C8B" w:rsidRDefault="002A4DDF" w:rsidP="009110ED">
            <w:pPr>
              <w:rPr>
                <w:rFonts w:cs="Arial"/>
                <w:sz w:val="12"/>
                <w:szCs w:val="12"/>
              </w:rPr>
            </w:pPr>
          </w:p>
        </w:tc>
        <w:tc>
          <w:tcPr>
            <w:tcW w:w="2268" w:type="dxa"/>
            <w:shd w:val="clear" w:color="auto" w:fill="F2F2F2"/>
            <w:hideMark/>
          </w:tcPr>
          <w:p w14:paraId="6A43DA39" w14:textId="77777777" w:rsidR="002A4DDF" w:rsidRPr="00937C8B" w:rsidRDefault="002A4DDF" w:rsidP="009110ED">
            <w:pPr>
              <w:rPr>
                <w:rFonts w:cs="Arial"/>
                <w:sz w:val="12"/>
                <w:szCs w:val="12"/>
              </w:rPr>
            </w:pPr>
            <w:r>
              <w:rPr>
                <w:sz w:val="12"/>
                <w:szCs w:val="12"/>
              </w:rPr>
              <w:t>Candamo</w:t>
            </w:r>
          </w:p>
        </w:tc>
        <w:tc>
          <w:tcPr>
            <w:tcW w:w="2268" w:type="dxa"/>
            <w:tcBorders>
              <w:right w:val="single" w:sz="4" w:space="0" w:color="auto"/>
            </w:tcBorders>
            <w:shd w:val="clear" w:color="auto" w:fill="D9D9D9"/>
            <w:hideMark/>
          </w:tcPr>
          <w:p w14:paraId="4817A216" w14:textId="77777777" w:rsidR="002A4DDF" w:rsidRPr="00937C8B" w:rsidRDefault="002A4DDF" w:rsidP="009110ED">
            <w:pPr>
              <w:rPr>
                <w:rFonts w:cs="Arial"/>
                <w:sz w:val="12"/>
                <w:szCs w:val="12"/>
              </w:rPr>
            </w:pPr>
            <w:r>
              <w:rPr>
                <w:sz w:val="12"/>
                <w:szCs w:val="12"/>
              </w:rPr>
              <w:t>Boal</w:t>
            </w:r>
          </w:p>
        </w:tc>
      </w:tr>
      <w:tr w:rsidR="002A4DDF" w:rsidRPr="00937C8B" w14:paraId="31AA13B4" w14:textId="77777777" w:rsidTr="00935676">
        <w:trPr>
          <w:cantSplit/>
        </w:trPr>
        <w:tc>
          <w:tcPr>
            <w:tcW w:w="1696" w:type="dxa"/>
            <w:tcBorders>
              <w:left w:val="single" w:sz="4" w:space="0" w:color="auto"/>
            </w:tcBorders>
            <w:shd w:val="clear" w:color="auto" w:fill="auto"/>
          </w:tcPr>
          <w:p w14:paraId="3F4ECFF5" w14:textId="77777777" w:rsidR="002A4DDF" w:rsidRPr="00937C8B" w:rsidRDefault="002A4DDF" w:rsidP="009110ED">
            <w:pPr>
              <w:rPr>
                <w:rFonts w:cs="Arial"/>
                <w:sz w:val="12"/>
                <w:szCs w:val="12"/>
              </w:rPr>
            </w:pPr>
          </w:p>
        </w:tc>
        <w:tc>
          <w:tcPr>
            <w:tcW w:w="1843" w:type="dxa"/>
            <w:shd w:val="clear" w:color="auto" w:fill="auto"/>
          </w:tcPr>
          <w:p w14:paraId="4D8CCB8F" w14:textId="77777777" w:rsidR="002A4DDF" w:rsidRPr="00937C8B" w:rsidRDefault="002A4DDF" w:rsidP="009110ED">
            <w:pPr>
              <w:rPr>
                <w:rFonts w:cs="Arial"/>
                <w:sz w:val="12"/>
                <w:szCs w:val="12"/>
              </w:rPr>
            </w:pPr>
          </w:p>
        </w:tc>
        <w:tc>
          <w:tcPr>
            <w:tcW w:w="2268" w:type="dxa"/>
            <w:shd w:val="clear" w:color="auto" w:fill="F2F2F2"/>
            <w:hideMark/>
          </w:tcPr>
          <w:p w14:paraId="2D6A19D2" w14:textId="77777777" w:rsidR="002A4DDF" w:rsidRPr="00937C8B" w:rsidRDefault="002A4DDF" w:rsidP="009110ED">
            <w:pPr>
              <w:rPr>
                <w:rFonts w:cs="Arial"/>
                <w:sz w:val="12"/>
                <w:szCs w:val="12"/>
              </w:rPr>
            </w:pPr>
            <w:r>
              <w:rPr>
                <w:sz w:val="12"/>
                <w:szCs w:val="12"/>
              </w:rPr>
              <w:t>Cangas del Narcea</w:t>
            </w:r>
          </w:p>
        </w:tc>
        <w:tc>
          <w:tcPr>
            <w:tcW w:w="2268" w:type="dxa"/>
            <w:tcBorders>
              <w:right w:val="single" w:sz="4" w:space="0" w:color="auto"/>
            </w:tcBorders>
            <w:shd w:val="clear" w:color="auto" w:fill="D9D9D9"/>
            <w:hideMark/>
          </w:tcPr>
          <w:p w14:paraId="5A6D6434" w14:textId="77777777" w:rsidR="002A4DDF" w:rsidRPr="00937C8B" w:rsidRDefault="002A4DDF" w:rsidP="009110ED">
            <w:pPr>
              <w:rPr>
                <w:rFonts w:cs="Arial"/>
                <w:sz w:val="12"/>
                <w:szCs w:val="12"/>
              </w:rPr>
            </w:pPr>
            <w:r>
              <w:rPr>
                <w:sz w:val="12"/>
                <w:szCs w:val="12"/>
              </w:rPr>
              <w:t>Coaña</w:t>
            </w:r>
          </w:p>
        </w:tc>
      </w:tr>
      <w:tr w:rsidR="002A4DDF" w:rsidRPr="00937C8B" w14:paraId="0448A473" w14:textId="77777777" w:rsidTr="00935676">
        <w:trPr>
          <w:cantSplit/>
        </w:trPr>
        <w:tc>
          <w:tcPr>
            <w:tcW w:w="1696" w:type="dxa"/>
            <w:tcBorders>
              <w:left w:val="single" w:sz="4" w:space="0" w:color="auto"/>
            </w:tcBorders>
            <w:shd w:val="clear" w:color="auto" w:fill="auto"/>
          </w:tcPr>
          <w:p w14:paraId="64C2C10C" w14:textId="77777777" w:rsidR="002A4DDF" w:rsidRPr="00937C8B" w:rsidRDefault="002A4DDF" w:rsidP="009110ED">
            <w:pPr>
              <w:rPr>
                <w:rFonts w:cs="Arial"/>
                <w:sz w:val="12"/>
                <w:szCs w:val="12"/>
              </w:rPr>
            </w:pPr>
          </w:p>
        </w:tc>
        <w:tc>
          <w:tcPr>
            <w:tcW w:w="1843" w:type="dxa"/>
            <w:shd w:val="clear" w:color="auto" w:fill="auto"/>
          </w:tcPr>
          <w:p w14:paraId="1E74CF57" w14:textId="77777777" w:rsidR="002A4DDF" w:rsidRPr="00937C8B" w:rsidRDefault="002A4DDF" w:rsidP="009110ED">
            <w:pPr>
              <w:rPr>
                <w:rFonts w:cs="Arial"/>
                <w:sz w:val="12"/>
                <w:szCs w:val="12"/>
              </w:rPr>
            </w:pPr>
          </w:p>
        </w:tc>
        <w:tc>
          <w:tcPr>
            <w:tcW w:w="2268" w:type="dxa"/>
            <w:shd w:val="clear" w:color="auto" w:fill="F2F2F2"/>
            <w:hideMark/>
          </w:tcPr>
          <w:p w14:paraId="0242F841" w14:textId="77777777" w:rsidR="002A4DDF" w:rsidRPr="00937C8B" w:rsidRDefault="002A4DDF" w:rsidP="009110ED">
            <w:pPr>
              <w:rPr>
                <w:rFonts w:cs="Arial"/>
                <w:sz w:val="12"/>
                <w:szCs w:val="12"/>
              </w:rPr>
            </w:pPr>
            <w:r>
              <w:rPr>
                <w:sz w:val="12"/>
                <w:szCs w:val="12"/>
              </w:rPr>
              <w:t>Castrillón</w:t>
            </w:r>
          </w:p>
        </w:tc>
        <w:tc>
          <w:tcPr>
            <w:tcW w:w="2268" w:type="dxa"/>
            <w:tcBorders>
              <w:right w:val="single" w:sz="4" w:space="0" w:color="auto"/>
            </w:tcBorders>
            <w:shd w:val="clear" w:color="auto" w:fill="D9D9D9"/>
            <w:hideMark/>
          </w:tcPr>
          <w:p w14:paraId="5E3A7934" w14:textId="77777777" w:rsidR="002A4DDF" w:rsidRPr="00937C8B" w:rsidRDefault="002A4DDF" w:rsidP="009110ED">
            <w:pPr>
              <w:rPr>
                <w:rFonts w:cs="Arial"/>
                <w:sz w:val="12"/>
                <w:szCs w:val="12"/>
              </w:rPr>
            </w:pPr>
            <w:r>
              <w:rPr>
                <w:sz w:val="12"/>
                <w:szCs w:val="12"/>
              </w:rPr>
              <w:t>Cudillero</w:t>
            </w:r>
          </w:p>
        </w:tc>
      </w:tr>
      <w:tr w:rsidR="002A4DDF" w:rsidRPr="00937C8B" w14:paraId="6FD9AAEB" w14:textId="77777777" w:rsidTr="00935676">
        <w:trPr>
          <w:cantSplit/>
        </w:trPr>
        <w:tc>
          <w:tcPr>
            <w:tcW w:w="1696" w:type="dxa"/>
            <w:tcBorders>
              <w:left w:val="single" w:sz="4" w:space="0" w:color="auto"/>
            </w:tcBorders>
            <w:shd w:val="clear" w:color="auto" w:fill="auto"/>
          </w:tcPr>
          <w:p w14:paraId="71D9911D" w14:textId="77777777" w:rsidR="002A4DDF" w:rsidRPr="00937C8B" w:rsidRDefault="002A4DDF" w:rsidP="009110ED">
            <w:pPr>
              <w:rPr>
                <w:rFonts w:cs="Arial"/>
                <w:sz w:val="12"/>
                <w:szCs w:val="12"/>
              </w:rPr>
            </w:pPr>
          </w:p>
        </w:tc>
        <w:tc>
          <w:tcPr>
            <w:tcW w:w="1843" w:type="dxa"/>
            <w:shd w:val="clear" w:color="auto" w:fill="auto"/>
          </w:tcPr>
          <w:p w14:paraId="42A0EE5C" w14:textId="77777777" w:rsidR="002A4DDF" w:rsidRPr="00937C8B" w:rsidRDefault="002A4DDF" w:rsidP="009110ED">
            <w:pPr>
              <w:rPr>
                <w:rFonts w:cs="Arial"/>
                <w:sz w:val="12"/>
                <w:szCs w:val="12"/>
              </w:rPr>
            </w:pPr>
          </w:p>
        </w:tc>
        <w:tc>
          <w:tcPr>
            <w:tcW w:w="2268" w:type="dxa"/>
            <w:shd w:val="clear" w:color="auto" w:fill="F2F2F2"/>
            <w:hideMark/>
          </w:tcPr>
          <w:p w14:paraId="32E51DC2" w14:textId="77777777" w:rsidR="002A4DDF" w:rsidRPr="00937C8B" w:rsidRDefault="002A4DDF" w:rsidP="009110ED">
            <w:pPr>
              <w:rPr>
                <w:rFonts w:cs="Arial"/>
                <w:sz w:val="12"/>
                <w:szCs w:val="12"/>
              </w:rPr>
            </w:pPr>
            <w:r>
              <w:rPr>
                <w:sz w:val="12"/>
                <w:szCs w:val="12"/>
              </w:rPr>
              <w:t>Castropol</w:t>
            </w:r>
          </w:p>
        </w:tc>
        <w:tc>
          <w:tcPr>
            <w:tcW w:w="2268" w:type="dxa"/>
            <w:tcBorders>
              <w:right w:val="single" w:sz="4" w:space="0" w:color="auto"/>
            </w:tcBorders>
            <w:shd w:val="clear" w:color="auto" w:fill="D9D9D9"/>
            <w:hideMark/>
          </w:tcPr>
          <w:p w14:paraId="1AB36941" w14:textId="77777777" w:rsidR="002A4DDF" w:rsidRPr="00937C8B" w:rsidRDefault="002A4DDF" w:rsidP="009110ED">
            <w:pPr>
              <w:rPr>
                <w:rFonts w:cs="Arial"/>
                <w:sz w:val="12"/>
                <w:szCs w:val="12"/>
              </w:rPr>
            </w:pPr>
            <w:r>
              <w:rPr>
                <w:sz w:val="12"/>
                <w:szCs w:val="12"/>
              </w:rPr>
              <w:t>Muros de Nalón</w:t>
            </w:r>
          </w:p>
        </w:tc>
      </w:tr>
      <w:tr w:rsidR="002A4DDF" w:rsidRPr="00937C8B" w14:paraId="2DB93408" w14:textId="77777777" w:rsidTr="00935676">
        <w:trPr>
          <w:cantSplit/>
        </w:trPr>
        <w:tc>
          <w:tcPr>
            <w:tcW w:w="1696" w:type="dxa"/>
            <w:tcBorders>
              <w:left w:val="single" w:sz="4" w:space="0" w:color="auto"/>
            </w:tcBorders>
            <w:shd w:val="clear" w:color="auto" w:fill="auto"/>
          </w:tcPr>
          <w:p w14:paraId="0C7EDE14" w14:textId="77777777" w:rsidR="002A4DDF" w:rsidRPr="00937C8B" w:rsidRDefault="002A4DDF" w:rsidP="009110ED">
            <w:pPr>
              <w:rPr>
                <w:rFonts w:cs="Arial"/>
                <w:sz w:val="12"/>
                <w:szCs w:val="12"/>
              </w:rPr>
            </w:pPr>
          </w:p>
        </w:tc>
        <w:tc>
          <w:tcPr>
            <w:tcW w:w="1843" w:type="dxa"/>
            <w:shd w:val="clear" w:color="auto" w:fill="auto"/>
          </w:tcPr>
          <w:p w14:paraId="7A1A5D89" w14:textId="77777777" w:rsidR="002A4DDF" w:rsidRPr="00937C8B" w:rsidRDefault="002A4DDF" w:rsidP="009110ED">
            <w:pPr>
              <w:rPr>
                <w:rFonts w:cs="Arial"/>
                <w:sz w:val="12"/>
                <w:szCs w:val="12"/>
              </w:rPr>
            </w:pPr>
          </w:p>
        </w:tc>
        <w:tc>
          <w:tcPr>
            <w:tcW w:w="2268" w:type="dxa"/>
            <w:shd w:val="clear" w:color="auto" w:fill="F2F2F2"/>
            <w:hideMark/>
          </w:tcPr>
          <w:p w14:paraId="60833A6B" w14:textId="77777777" w:rsidR="002A4DDF" w:rsidRPr="00937C8B" w:rsidRDefault="002A4DDF" w:rsidP="009110ED">
            <w:pPr>
              <w:rPr>
                <w:rFonts w:cs="Arial"/>
                <w:sz w:val="12"/>
                <w:szCs w:val="12"/>
              </w:rPr>
            </w:pPr>
            <w:r>
              <w:rPr>
                <w:sz w:val="12"/>
                <w:szCs w:val="12"/>
              </w:rPr>
              <w:t>Degaña</w:t>
            </w:r>
          </w:p>
        </w:tc>
        <w:tc>
          <w:tcPr>
            <w:tcW w:w="2268" w:type="dxa"/>
            <w:tcBorders>
              <w:right w:val="single" w:sz="4" w:space="0" w:color="auto"/>
            </w:tcBorders>
            <w:shd w:val="clear" w:color="auto" w:fill="D9D9D9"/>
            <w:hideMark/>
          </w:tcPr>
          <w:p w14:paraId="2564F935" w14:textId="77777777" w:rsidR="002A4DDF" w:rsidRPr="00937C8B" w:rsidRDefault="002A4DDF" w:rsidP="009110ED">
            <w:pPr>
              <w:rPr>
                <w:rFonts w:cs="Arial"/>
                <w:sz w:val="12"/>
                <w:szCs w:val="12"/>
              </w:rPr>
            </w:pPr>
            <w:r>
              <w:rPr>
                <w:sz w:val="12"/>
                <w:szCs w:val="12"/>
              </w:rPr>
              <w:t>Navia</w:t>
            </w:r>
          </w:p>
        </w:tc>
      </w:tr>
      <w:tr w:rsidR="002A4DDF" w:rsidRPr="00937C8B" w14:paraId="5CF0B728" w14:textId="77777777" w:rsidTr="00935676">
        <w:trPr>
          <w:cantSplit/>
        </w:trPr>
        <w:tc>
          <w:tcPr>
            <w:tcW w:w="1696" w:type="dxa"/>
            <w:tcBorders>
              <w:left w:val="single" w:sz="4" w:space="0" w:color="auto"/>
            </w:tcBorders>
            <w:shd w:val="clear" w:color="auto" w:fill="auto"/>
          </w:tcPr>
          <w:p w14:paraId="350DDF37" w14:textId="77777777" w:rsidR="002A4DDF" w:rsidRPr="00937C8B" w:rsidRDefault="002A4DDF" w:rsidP="009110ED">
            <w:pPr>
              <w:rPr>
                <w:rFonts w:cs="Arial"/>
                <w:sz w:val="12"/>
                <w:szCs w:val="12"/>
              </w:rPr>
            </w:pPr>
          </w:p>
        </w:tc>
        <w:tc>
          <w:tcPr>
            <w:tcW w:w="1843" w:type="dxa"/>
            <w:shd w:val="clear" w:color="auto" w:fill="auto"/>
          </w:tcPr>
          <w:p w14:paraId="7038FF51" w14:textId="77777777" w:rsidR="002A4DDF" w:rsidRPr="00937C8B" w:rsidRDefault="002A4DDF" w:rsidP="009110ED">
            <w:pPr>
              <w:rPr>
                <w:rFonts w:cs="Arial"/>
                <w:sz w:val="12"/>
                <w:szCs w:val="12"/>
              </w:rPr>
            </w:pPr>
          </w:p>
        </w:tc>
        <w:tc>
          <w:tcPr>
            <w:tcW w:w="2268" w:type="dxa"/>
            <w:shd w:val="clear" w:color="auto" w:fill="F2F2F2"/>
            <w:hideMark/>
          </w:tcPr>
          <w:p w14:paraId="55A7CB6C" w14:textId="77777777" w:rsidR="002A4DDF" w:rsidRPr="00937C8B" w:rsidRDefault="002A4DDF" w:rsidP="009110ED">
            <w:pPr>
              <w:rPr>
                <w:rFonts w:cs="Arial"/>
                <w:sz w:val="12"/>
                <w:szCs w:val="12"/>
              </w:rPr>
            </w:pPr>
            <w:r>
              <w:rPr>
                <w:sz w:val="12"/>
                <w:szCs w:val="12"/>
              </w:rPr>
              <w:t>El Franco</w:t>
            </w:r>
          </w:p>
        </w:tc>
        <w:tc>
          <w:tcPr>
            <w:tcW w:w="2268" w:type="dxa"/>
            <w:tcBorders>
              <w:right w:val="single" w:sz="4" w:space="0" w:color="auto"/>
            </w:tcBorders>
            <w:shd w:val="clear" w:color="auto" w:fill="D9D9D9"/>
            <w:hideMark/>
          </w:tcPr>
          <w:p w14:paraId="2133D7F6" w14:textId="77777777" w:rsidR="002A4DDF" w:rsidRPr="00937C8B" w:rsidRDefault="002A4DDF" w:rsidP="009110ED">
            <w:pPr>
              <w:rPr>
                <w:rFonts w:cs="Arial"/>
                <w:sz w:val="12"/>
                <w:szCs w:val="12"/>
              </w:rPr>
            </w:pPr>
            <w:r>
              <w:rPr>
                <w:sz w:val="12"/>
                <w:szCs w:val="12"/>
              </w:rPr>
              <w:t>Ponga</w:t>
            </w:r>
          </w:p>
        </w:tc>
      </w:tr>
      <w:tr w:rsidR="002A4DDF" w:rsidRPr="00937C8B" w14:paraId="7F8202B7" w14:textId="77777777" w:rsidTr="00935676">
        <w:trPr>
          <w:cantSplit/>
        </w:trPr>
        <w:tc>
          <w:tcPr>
            <w:tcW w:w="1696" w:type="dxa"/>
            <w:tcBorders>
              <w:left w:val="single" w:sz="4" w:space="0" w:color="auto"/>
            </w:tcBorders>
            <w:shd w:val="clear" w:color="auto" w:fill="auto"/>
          </w:tcPr>
          <w:p w14:paraId="19AF5B9D" w14:textId="77777777" w:rsidR="002A4DDF" w:rsidRPr="00937C8B" w:rsidRDefault="002A4DDF" w:rsidP="009110ED">
            <w:pPr>
              <w:rPr>
                <w:rFonts w:cs="Arial"/>
                <w:sz w:val="12"/>
                <w:szCs w:val="12"/>
              </w:rPr>
            </w:pPr>
          </w:p>
        </w:tc>
        <w:tc>
          <w:tcPr>
            <w:tcW w:w="1843" w:type="dxa"/>
            <w:shd w:val="clear" w:color="auto" w:fill="auto"/>
          </w:tcPr>
          <w:p w14:paraId="775A66F4" w14:textId="77777777" w:rsidR="002A4DDF" w:rsidRPr="00937C8B" w:rsidRDefault="002A4DDF" w:rsidP="009110ED">
            <w:pPr>
              <w:rPr>
                <w:rFonts w:cs="Arial"/>
                <w:sz w:val="12"/>
                <w:szCs w:val="12"/>
              </w:rPr>
            </w:pPr>
          </w:p>
        </w:tc>
        <w:tc>
          <w:tcPr>
            <w:tcW w:w="2268" w:type="dxa"/>
            <w:shd w:val="clear" w:color="auto" w:fill="F2F2F2"/>
            <w:hideMark/>
          </w:tcPr>
          <w:p w14:paraId="622CA56F" w14:textId="77777777" w:rsidR="002A4DDF" w:rsidRPr="00937C8B" w:rsidRDefault="002A4DDF" w:rsidP="009110ED">
            <w:pPr>
              <w:rPr>
                <w:rFonts w:cs="Arial"/>
                <w:sz w:val="12"/>
                <w:szCs w:val="12"/>
              </w:rPr>
            </w:pPr>
            <w:r>
              <w:rPr>
                <w:sz w:val="12"/>
                <w:szCs w:val="12"/>
              </w:rPr>
              <w:t>Gijón</w:t>
            </w:r>
          </w:p>
        </w:tc>
        <w:tc>
          <w:tcPr>
            <w:tcW w:w="2268" w:type="dxa"/>
            <w:tcBorders>
              <w:right w:val="single" w:sz="4" w:space="0" w:color="auto"/>
            </w:tcBorders>
            <w:shd w:val="clear" w:color="auto" w:fill="D9D9D9"/>
            <w:hideMark/>
          </w:tcPr>
          <w:p w14:paraId="65D38AD5" w14:textId="77777777" w:rsidR="002A4DDF" w:rsidRPr="00937C8B" w:rsidRDefault="002A4DDF" w:rsidP="009110ED">
            <w:pPr>
              <w:rPr>
                <w:rFonts w:cs="Arial"/>
                <w:sz w:val="12"/>
                <w:szCs w:val="12"/>
              </w:rPr>
            </w:pPr>
            <w:r>
              <w:rPr>
                <w:sz w:val="12"/>
                <w:szCs w:val="12"/>
              </w:rPr>
              <w:t>Tineo</w:t>
            </w:r>
          </w:p>
        </w:tc>
      </w:tr>
      <w:tr w:rsidR="002A4DDF" w:rsidRPr="00937C8B" w14:paraId="7C625EB6" w14:textId="77777777" w:rsidTr="00935676">
        <w:trPr>
          <w:cantSplit/>
        </w:trPr>
        <w:tc>
          <w:tcPr>
            <w:tcW w:w="1696" w:type="dxa"/>
            <w:tcBorders>
              <w:left w:val="single" w:sz="4" w:space="0" w:color="auto"/>
            </w:tcBorders>
            <w:shd w:val="clear" w:color="auto" w:fill="auto"/>
          </w:tcPr>
          <w:p w14:paraId="39AF118E" w14:textId="77777777" w:rsidR="002A4DDF" w:rsidRPr="00937C8B" w:rsidRDefault="002A4DDF" w:rsidP="009110ED">
            <w:pPr>
              <w:rPr>
                <w:rFonts w:cs="Arial"/>
                <w:sz w:val="12"/>
                <w:szCs w:val="12"/>
              </w:rPr>
            </w:pPr>
          </w:p>
        </w:tc>
        <w:tc>
          <w:tcPr>
            <w:tcW w:w="1843" w:type="dxa"/>
            <w:shd w:val="clear" w:color="auto" w:fill="auto"/>
          </w:tcPr>
          <w:p w14:paraId="0C413DCB" w14:textId="77777777" w:rsidR="002A4DDF" w:rsidRPr="00937C8B" w:rsidRDefault="002A4DDF" w:rsidP="009110ED">
            <w:pPr>
              <w:rPr>
                <w:rFonts w:cs="Arial"/>
                <w:sz w:val="12"/>
                <w:szCs w:val="12"/>
              </w:rPr>
            </w:pPr>
          </w:p>
        </w:tc>
        <w:tc>
          <w:tcPr>
            <w:tcW w:w="2268" w:type="dxa"/>
            <w:shd w:val="clear" w:color="auto" w:fill="F2F2F2"/>
            <w:hideMark/>
          </w:tcPr>
          <w:p w14:paraId="3DEC59FB" w14:textId="77777777" w:rsidR="002A4DDF" w:rsidRPr="00937C8B" w:rsidRDefault="002A4DDF" w:rsidP="009110ED">
            <w:pPr>
              <w:rPr>
                <w:rFonts w:cs="Arial"/>
                <w:sz w:val="12"/>
                <w:szCs w:val="12"/>
              </w:rPr>
            </w:pPr>
            <w:r>
              <w:rPr>
                <w:sz w:val="12"/>
                <w:szCs w:val="12"/>
              </w:rPr>
              <w:t>Grado</w:t>
            </w:r>
          </w:p>
        </w:tc>
        <w:tc>
          <w:tcPr>
            <w:tcW w:w="2268" w:type="dxa"/>
            <w:tcBorders>
              <w:right w:val="single" w:sz="4" w:space="0" w:color="auto"/>
            </w:tcBorders>
            <w:shd w:val="clear" w:color="auto" w:fill="D9D9D9"/>
            <w:hideMark/>
          </w:tcPr>
          <w:p w14:paraId="2F44C5BB" w14:textId="77777777" w:rsidR="002A4DDF" w:rsidRPr="00937C8B" w:rsidRDefault="002A4DDF" w:rsidP="009110ED">
            <w:pPr>
              <w:rPr>
                <w:rFonts w:cs="Arial"/>
                <w:sz w:val="12"/>
                <w:szCs w:val="12"/>
              </w:rPr>
            </w:pPr>
            <w:r>
              <w:rPr>
                <w:sz w:val="12"/>
                <w:szCs w:val="12"/>
              </w:rPr>
              <w:t>Valdés</w:t>
            </w:r>
          </w:p>
        </w:tc>
      </w:tr>
      <w:tr w:rsidR="002A4DDF" w:rsidRPr="00937C8B" w14:paraId="16EB1810" w14:textId="77777777" w:rsidTr="00935676">
        <w:trPr>
          <w:cantSplit/>
        </w:trPr>
        <w:tc>
          <w:tcPr>
            <w:tcW w:w="1696" w:type="dxa"/>
            <w:tcBorders>
              <w:left w:val="single" w:sz="4" w:space="0" w:color="auto"/>
            </w:tcBorders>
            <w:shd w:val="clear" w:color="auto" w:fill="auto"/>
          </w:tcPr>
          <w:p w14:paraId="64D86CC4" w14:textId="77777777" w:rsidR="002A4DDF" w:rsidRPr="00937C8B" w:rsidRDefault="002A4DDF" w:rsidP="009110ED">
            <w:pPr>
              <w:rPr>
                <w:rFonts w:cs="Arial"/>
                <w:sz w:val="12"/>
                <w:szCs w:val="12"/>
              </w:rPr>
            </w:pPr>
          </w:p>
        </w:tc>
        <w:tc>
          <w:tcPr>
            <w:tcW w:w="1843" w:type="dxa"/>
            <w:shd w:val="clear" w:color="auto" w:fill="auto"/>
          </w:tcPr>
          <w:p w14:paraId="5DD196C2" w14:textId="77777777" w:rsidR="002A4DDF" w:rsidRPr="00937C8B" w:rsidRDefault="002A4DDF" w:rsidP="009110ED">
            <w:pPr>
              <w:rPr>
                <w:rFonts w:cs="Arial"/>
                <w:sz w:val="12"/>
                <w:szCs w:val="12"/>
              </w:rPr>
            </w:pPr>
          </w:p>
        </w:tc>
        <w:tc>
          <w:tcPr>
            <w:tcW w:w="2268" w:type="dxa"/>
            <w:shd w:val="clear" w:color="auto" w:fill="F2F2F2"/>
            <w:hideMark/>
          </w:tcPr>
          <w:p w14:paraId="4C917E79" w14:textId="77777777" w:rsidR="002A4DDF" w:rsidRPr="00937C8B" w:rsidRDefault="002A4DDF" w:rsidP="009110ED">
            <w:pPr>
              <w:rPr>
                <w:rFonts w:cs="Arial"/>
                <w:sz w:val="12"/>
                <w:szCs w:val="12"/>
              </w:rPr>
            </w:pPr>
            <w:r>
              <w:rPr>
                <w:sz w:val="12"/>
                <w:szCs w:val="12"/>
              </w:rPr>
              <w:t>Grandas de Salime</w:t>
            </w:r>
          </w:p>
        </w:tc>
        <w:tc>
          <w:tcPr>
            <w:tcW w:w="2268" w:type="dxa"/>
            <w:tcBorders>
              <w:right w:val="single" w:sz="4" w:space="0" w:color="auto"/>
            </w:tcBorders>
            <w:shd w:val="clear" w:color="auto" w:fill="D9D9D9"/>
            <w:hideMark/>
          </w:tcPr>
          <w:p w14:paraId="04ADB450" w14:textId="77777777" w:rsidR="002A4DDF" w:rsidRPr="00937C8B" w:rsidRDefault="002A4DDF" w:rsidP="009110ED">
            <w:pPr>
              <w:rPr>
                <w:rFonts w:cs="Arial"/>
                <w:sz w:val="12"/>
                <w:szCs w:val="12"/>
              </w:rPr>
            </w:pPr>
            <w:r>
              <w:rPr>
                <w:sz w:val="12"/>
                <w:szCs w:val="12"/>
              </w:rPr>
              <w:t>Yernes y Tameza</w:t>
            </w:r>
          </w:p>
        </w:tc>
      </w:tr>
      <w:tr w:rsidR="002A4DDF" w:rsidRPr="00937C8B" w14:paraId="02A59985" w14:textId="77777777" w:rsidTr="00935676">
        <w:trPr>
          <w:cantSplit/>
        </w:trPr>
        <w:tc>
          <w:tcPr>
            <w:tcW w:w="1696" w:type="dxa"/>
            <w:tcBorders>
              <w:left w:val="single" w:sz="4" w:space="0" w:color="auto"/>
            </w:tcBorders>
            <w:shd w:val="clear" w:color="auto" w:fill="auto"/>
          </w:tcPr>
          <w:p w14:paraId="5406DDBA" w14:textId="77777777" w:rsidR="002A4DDF" w:rsidRPr="00937C8B" w:rsidRDefault="002A4DDF" w:rsidP="009110ED">
            <w:pPr>
              <w:rPr>
                <w:rFonts w:cs="Arial"/>
                <w:sz w:val="12"/>
                <w:szCs w:val="12"/>
              </w:rPr>
            </w:pPr>
          </w:p>
        </w:tc>
        <w:tc>
          <w:tcPr>
            <w:tcW w:w="1843" w:type="dxa"/>
            <w:shd w:val="clear" w:color="auto" w:fill="auto"/>
          </w:tcPr>
          <w:p w14:paraId="26750017" w14:textId="77777777" w:rsidR="002A4DDF" w:rsidRPr="00937C8B" w:rsidRDefault="002A4DDF" w:rsidP="009110ED">
            <w:pPr>
              <w:rPr>
                <w:rFonts w:cs="Arial"/>
                <w:sz w:val="12"/>
                <w:szCs w:val="12"/>
              </w:rPr>
            </w:pPr>
          </w:p>
        </w:tc>
        <w:tc>
          <w:tcPr>
            <w:tcW w:w="2268" w:type="dxa"/>
            <w:shd w:val="clear" w:color="auto" w:fill="F2F2F2"/>
            <w:hideMark/>
          </w:tcPr>
          <w:p w14:paraId="71912BD3" w14:textId="77777777" w:rsidR="002A4DDF" w:rsidRPr="00937C8B" w:rsidRDefault="002A4DDF" w:rsidP="009110ED">
            <w:pPr>
              <w:rPr>
                <w:rFonts w:cs="Arial"/>
                <w:sz w:val="12"/>
                <w:szCs w:val="12"/>
              </w:rPr>
            </w:pPr>
            <w:r>
              <w:rPr>
                <w:sz w:val="12"/>
                <w:szCs w:val="12"/>
              </w:rPr>
              <w:t>Ibias</w:t>
            </w:r>
          </w:p>
        </w:tc>
        <w:tc>
          <w:tcPr>
            <w:tcW w:w="2268" w:type="dxa"/>
            <w:tcBorders>
              <w:right w:val="single" w:sz="4" w:space="0" w:color="auto"/>
            </w:tcBorders>
            <w:shd w:val="clear" w:color="auto" w:fill="D9D9D9"/>
            <w:hideMark/>
          </w:tcPr>
          <w:p w14:paraId="694B23B4" w14:textId="77777777" w:rsidR="002A4DDF" w:rsidRPr="00937C8B" w:rsidRDefault="002A4DDF" w:rsidP="009110ED">
            <w:pPr>
              <w:rPr>
                <w:rFonts w:cs="Arial"/>
                <w:sz w:val="12"/>
                <w:szCs w:val="12"/>
              </w:rPr>
            </w:pPr>
          </w:p>
        </w:tc>
      </w:tr>
      <w:tr w:rsidR="002A4DDF" w:rsidRPr="00937C8B" w14:paraId="41288EF9" w14:textId="77777777" w:rsidTr="00935676">
        <w:trPr>
          <w:cantSplit/>
        </w:trPr>
        <w:tc>
          <w:tcPr>
            <w:tcW w:w="1696" w:type="dxa"/>
            <w:tcBorders>
              <w:left w:val="single" w:sz="4" w:space="0" w:color="auto"/>
            </w:tcBorders>
            <w:shd w:val="clear" w:color="auto" w:fill="auto"/>
          </w:tcPr>
          <w:p w14:paraId="25FF30BA" w14:textId="77777777" w:rsidR="002A4DDF" w:rsidRPr="00937C8B" w:rsidRDefault="002A4DDF" w:rsidP="009110ED">
            <w:pPr>
              <w:rPr>
                <w:rFonts w:cs="Arial"/>
                <w:sz w:val="12"/>
                <w:szCs w:val="12"/>
              </w:rPr>
            </w:pPr>
          </w:p>
        </w:tc>
        <w:tc>
          <w:tcPr>
            <w:tcW w:w="1843" w:type="dxa"/>
            <w:shd w:val="clear" w:color="auto" w:fill="auto"/>
          </w:tcPr>
          <w:p w14:paraId="49FD05E5" w14:textId="77777777" w:rsidR="002A4DDF" w:rsidRPr="00937C8B" w:rsidRDefault="002A4DDF" w:rsidP="009110ED">
            <w:pPr>
              <w:rPr>
                <w:rFonts w:cs="Arial"/>
                <w:sz w:val="12"/>
                <w:szCs w:val="12"/>
              </w:rPr>
            </w:pPr>
          </w:p>
        </w:tc>
        <w:tc>
          <w:tcPr>
            <w:tcW w:w="2268" w:type="dxa"/>
            <w:shd w:val="clear" w:color="auto" w:fill="F2F2F2"/>
            <w:hideMark/>
          </w:tcPr>
          <w:p w14:paraId="0AD80720" w14:textId="77777777" w:rsidR="002A4DDF" w:rsidRPr="00937C8B" w:rsidRDefault="002A4DDF" w:rsidP="009110ED">
            <w:pPr>
              <w:rPr>
                <w:rFonts w:cs="Arial"/>
                <w:sz w:val="12"/>
                <w:szCs w:val="12"/>
              </w:rPr>
            </w:pPr>
            <w:r>
              <w:rPr>
                <w:sz w:val="12"/>
                <w:szCs w:val="12"/>
              </w:rPr>
              <w:t>Illano</w:t>
            </w:r>
          </w:p>
        </w:tc>
        <w:tc>
          <w:tcPr>
            <w:tcW w:w="2268" w:type="dxa"/>
            <w:tcBorders>
              <w:right w:val="single" w:sz="4" w:space="0" w:color="auto"/>
            </w:tcBorders>
            <w:shd w:val="clear" w:color="auto" w:fill="D9D9D9"/>
            <w:hideMark/>
          </w:tcPr>
          <w:p w14:paraId="1C95FD71" w14:textId="77777777" w:rsidR="002A4DDF" w:rsidRPr="00937C8B" w:rsidRDefault="002A4DDF" w:rsidP="009110ED">
            <w:pPr>
              <w:rPr>
                <w:rFonts w:cs="Arial"/>
                <w:sz w:val="12"/>
                <w:szCs w:val="12"/>
              </w:rPr>
            </w:pPr>
          </w:p>
        </w:tc>
      </w:tr>
      <w:tr w:rsidR="002A4DDF" w:rsidRPr="00937C8B" w14:paraId="15840A6D" w14:textId="77777777" w:rsidTr="00935676">
        <w:trPr>
          <w:cantSplit/>
        </w:trPr>
        <w:tc>
          <w:tcPr>
            <w:tcW w:w="1696" w:type="dxa"/>
            <w:tcBorders>
              <w:left w:val="single" w:sz="4" w:space="0" w:color="auto"/>
            </w:tcBorders>
            <w:shd w:val="clear" w:color="auto" w:fill="auto"/>
          </w:tcPr>
          <w:p w14:paraId="4C01C5C4" w14:textId="77777777" w:rsidR="002A4DDF" w:rsidRPr="00937C8B" w:rsidRDefault="002A4DDF" w:rsidP="009110ED">
            <w:pPr>
              <w:rPr>
                <w:rFonts w:cs="Arial"/>
                <w:sz w:val="12"/>
                <w:szCs w:val="12"/>
              </w:rPr>
            </w:pPr>
          </w:p>
        </w:tc>
        <w:tc>
          <w:tcPr>
            <w:tcW w:w="1843" w:type="dxa"/>
            <w:shd w:val="clear" w:color="auto" w:fill="auto"/>
          </w:tcPr>
          <w:p w14:paraId="7B0CCBD6" w14:textId="77777777" w:rsidR="002A4DDF" w:rsidRPr="00937C8B" w:rsidRDefault="002A4DDF" w:rsidP="009110ED">
            <w:pPr>
              <w:rPr>
                <w:rFonts w:cs="Arial"/>
                <w:sz w:val="12"/>
                <w:szCs w:val="12"/>
              </w:rPr>
            </w:pPr>
          </w:p>
        </w:tc>
        <w:tc>
          <w:tcPr>
            <w:tcW w:w="2268" w:type="dxa"/>
            <w:shd w:val="clear" w:color="auto" w:fill="F2F2F2"/>
            <w:hideMark/>
          </w:tcPr>
          <w:p w14:paraId="34F4D691" w14:textId="77777777" w:rsidR="002A4DDF" w:rsidRPr="00937C8B" w:rsidRDefault="002A4DDF" w:rsidP="009110ED">
            <w:pPr>
              <w:rPr>
                <w:rFonts w:cs="Arial"/>
                <w:sz w:val="12"/>
                <w:szCs w:val="12"/>
              </w:rPr>
            </w:pPr>
            <w:r>
              <w:rPr>
                <w:sz w:val="12"/>
                <w:szCs w:val="12"/>
              </w:rPr>
              <w:t>Illas</w:t>
            </w:r>
          </w:p>
        </w:tc>
        <w:tc>
          <w:tcPr>
            <w:tcW w:w="2268" w:type="dxa"/>
            <w:tcBorders>
              <w:right w:val="single" w:sz="4" w:space="0" w:color="auto"/>
            </w:tcBorders>
            <w:shd w:val="clear" w:color="auto" w:fill="D9D9D9"/>
            <w:hideMark/>
          </w:tcPr>
          <w:p w14:paraId="2FD83C0A" w14:textId="77777777" w:rsidR="002A4DDF" w:rsidRPr="00937C8B" w:rsidRDefault="002A4DDF" w:rsidP="009110ED">
            <w:pPr>
              <w:rPr>
                <w:rFonts w:cs="Arial"/>
                <w:sz w:val="12"/>
                <w:szCs w:val="12"/>
              </w:rPr>
            </w:pPr>
          </w:p>
        </w:tc>
      </w:tr>
      <w:tr w:rsidR="002A4DDF" w:rsidRPr="00937C8B" w14:paraId="6D4128CC" w14:textId="77777777" w:rsidTr="00935676">
        <w:trPr>
          <w:cantSplit/>
        </w:trPr>
        <w:tc>
          <w:tcPr>
            <w:tcW w:w="1696" w:type="dxa"/>
            <w:tcBorders>
              <w:left w:val="single" w:sz="4" w:space="0" w:color="auto"/>
            </w:tcBorders>
            <w:shd w:val="clear" w:color="auto" w:fill="auto"/>
          </w:tcPr>
          <w:p w14:paraId="0590B352" w14:textId="77777777" w:rsidR="002A4DDF" w:rsidRPr="00937C8B" w:rsidRDefault="002A4DDF" w:rsidP="009110ED">
            <w:pPr>
              <w:rPr>
                <w:rFonts w:cs="Arial"/>
                <w:sz w:val="12"/>
                <w:szCs w:val="12"/>
              </w:rPr>
            </w:pPr>
          </w:p>
        </w:tc>
        <w:tc>
          <w:tcPr>
            <w:tcW w:w="1843" w:type="dxa"/>
            <w:shd w:val="clear" w:color="auto" w:fill="auto"/>
          </w:tcPr>
          <w:p w14:paraId="1B3BFB5A" w14:textId="77777777" w:rsidR="002A4DDF" w:rsidRPr="00937C8B" w:rsidRDefault="002A4DDF" w:rsidP="009110ED">
            <w:pPr>
              <w:rPr>
                <w:rFonts w:cs="Arial"/>
                <w:sz w:val="12"/>
                <w:szCs w:val="12"/>
              </w:rPr>
            </w:pPr>
          </w:p>
        </w:tc>
        <w:tc>
          <w:tcPr>
            <w:tcW w:w="2268" w:type="dxa"/>
            <w:shd w:val="clear" w:color="auto" w:fill="F2F2F2"/>
            <w:hideMark/>
          </w:tcPr>
          <w:p w14:paraId="672665C3" w14:textId="77777777" w:rsidR="002A4DDF" w:rsidRPr="00937C8B" w:rsidRDefault="002A4DDF" w:rsidP="009110ED">
            <w:pPr>
              <w:rPr>
                <w:rFonts w:cs="Arial"/>
                <w:sz w:val="12"/>
                <w:szCs w:val="12"/>
              </w:rPr>
            </w:pPr>
            <w:r>
              <w:rPr>
                <w:sz w:val="12"/>
                <w:szCs w:val="12"/>
              </w:rPr>
              <w:t>Las Regueras</w:t>
            </w:r>
          </w:p>
        </w:tc>
        <w:tc>
          <w:tcPr>
            <w:tcW w:w="2268" w:type="dxa"/>
            <w:tcBorders>
              <w:right w:val="single" w:sz="4" w:space="0" w:color="auto"/>
            </w:tcBorders>
            <w:shd w:val="clear" w:color="auto" w:fill="D9D9D9"/>
            <w:hideMark/>
          </w:tcPr>
          <w:p w14:paraId="471AE147" w14:textId="77777777" w:rsidR="002A4DDF" w:rsidRPr="00937C8B" w:rsidRDefault="002A4DDF" w:rsidP="009110ED">
            <w:pPr>
              <w:rPr>
                <w:rFonts w:cs="Arial"/>
                <w:sz w:val="12"/>
                <w:szCs w:val="12"/>
              </w:rPr>
            </w:pPr>
          </w:p>
        </w:tc>
      </w:tr>
      <w:tr w:rsidR="002A4DDF" w:rsidRPr="00937C8B" w14:paraId="051E6B25" w14:textId="77777777" w:rsidTr="00935676">
        <w:trPr>
          <w:cantSplit/>
        </w:trPr>
        <w:tc>
          <w:tcPr>
            <w:tcW w:w="1696" w:type="dxa"/>
            <w:tcBorders>
              <w:left w:val="single" w:sz="4" w:space="0" w:color="auto"/>
            </w:tcBorders>
            <w:shd w:val="clear" w:color="auto" w:fill="auto"/>
          </w:tcPr>
          <w:p w14:paraId="77C7094D" w14:textId="77777777" w:rsidR="002A4DDF" w:rsidRPr="00937C8B" w:rsidRDefault="002A4DDF" w:rsidP="009110ED">
            <w:pPr>
              <w:rPr>
                <w:rFonts w:cs="Arial"/>
                <w:sz w:val="12"/>
                <w:szCs w:val="12"/>
              </w:rPr>
            </w:pPr>
          </w:p>
        </w:tc>
        <w:tc>
          <w:tcPr>
            <w:tcW w:w="1843" w:type="dxa"/>
            <w:shd w:val="clear" w:color="auto" w:fill="auto"/>
          </w:tcPr>
          <w:p w14:paraId="29BCBE18" w14:textId="77777777" w:rsidR="002A4DDF" w:rsidRPr="00937C8B" w:rsidRDefault="002A4DDF" w:rsidP="009110ED">
            <w:pPr>
              <w:rPr>
                <w:rFonts w:cs="Arial"/>
                <w:sz w:val="12"/>
                <w:szCs w:val="12"/>
              </w:rPr>
            </w:pPr>
          </w:p>
        </w:tc>
        <w:tc>
          <w:tcPr>
            <w:tcW w:w="2268" w:type="dxa"/>
            <w:shd w:val="clear" w:color="auto" w:fill="F2F2F2"/>
            <w:hideMark/>
          </w:tcPr>
          <w:p w14:paraId="48D56095" w14:textId="77777777" w:rsidR="002A4DDF" w:rsidRPr="00937C8B" w:rsidRDefault="002A4DDF" w:rsidP="009110ED">
            <w:pPr>
              <w:rPr>
                <w:rFonts w:cs="Arial"/>
                <w:sz w:val="12"/>
                <w:szCs w:val="12"/>
              </w:rPr>
            </w:pPr>
            <w:r>
              <w:rPr>
                <w:sz w:val="12"/>
                <w:szCs w:val="12"/>
              </w:rPr>
              <w:t>Laviana</w:t>
            </w:r>
          </w:p>
        </w:tc>
        <w:tc>
          <w:tcPr>
            <w:tcW w:w="2268" w:type="dxa"/>
            <w:tcBorders>
              <w:right w:val="single" w:sz="4" w:space="0" w:color="auto"/>
            </w:tcBorders>
            <w:shd w:val="clear" w:color="auto" w:fill="D9D9D9"/>
            <w:hideMark/>
          </w:tcPr>
          <w:p w14:paraId="3CE70101" w14:textId="77777777" w:rsidR="002A4DDF" w:rsidRPr="00937C8B" w:rsidRDefault="002A4DDF" w:rsidP="009110ED">
            <w:pPr>
              <w:rPr>
                <w:rFonts w:cs="Arial"/>
                <w:sz w:val="12"/>
                <w:szCs w:val="12"/>
              </w:rPr>
            </w:pPr>
          </w:p>
        </w:tc>
      </w:tr>
      <w:tr w:rsidR="002A4DDF" w:rsidRPr="00937C8B" w14:paraId="7CD85480" w14:textId="77777777" w:rsidTr="00935676">
        <w:trPr>
          <w:cantSplit/>
        </w:trPr>
        <w:tc>
          <w:tcPr>
            <w:tcW w:w="1696" w:type="dxa"/>
            <w:tcBorders>
              <w:left w:val="single" w:sz="4" w:space="0" w:color="auto"/>
            </w:tcBorders>
            <w:shd w:val="clear" w:color="auto" w:fill="auto"/>
          </w:tcPr>
          <w:p w14:paraId="7B010D81" w14:textId="77777777" w:rsidR="002A4DDF" w:rsidRPr="00937C8B" w:rsidRDefault="002A4DDF" w:rsidP="009110ED">
            <w:pPr>
              <w:rPr>
                <w:rFonts w:cs="Arial"/>
                <w:sz w:val="12"/>
                <w:szCs w:val="12"/>
              </w:rPr>
            </w:pPr>
          </w:p>
        </w:tc>
        <w:tc>
          <w:tcPr>
            <w:tcW w:w="1843" w:type="dxa"/>
            <w:shd w:val="clear" w:color="auto" w:fill="auto"/>
          </w:tcPr>
          <w:p w14:paraId="72700E5D" w14:textId="77777777" w:rsidR="002A4DDF" w:rsidRPr="00937C8B" w:rsidRDefault="002A4DDF" w:rsidP="009110ED">
            <w:pPr>
              <w:rPr>
                <w:rFonts w:cs="Arial"/>
                <w:sz w:val="12"/>
                <w:szCs w:val="12"/>
              </w:rPr>
            </w:pPr>
          </w:p>
        </w:tc>
        <w:tc>
          <w:tcPr>
            <w:tcW w:w="2268" w:type="dxa"/>
            <w:shd w:val="clear" w:color="auto" w:fill="F2F2F2"/>
            <w:hideMark/>
          </w:tcPr>
          <w:p w14:paraId="4FE3F368" w14:textId="77777777" w:rsidR="002A4DDF" w:rsidRPr="00937C8B" w:rsidRDefault="002A4DDF" w:rsidP="009110ED">
            <w:pPr>
              <w:rPr>
                <w:rFonts w:cs="Arial"/>
                <w:sz w:val="12"/>
                <w:szCs w:val="12"/>
              </w:rPr>
            </w:pPr>
            <w:r>
              <w:rPr>
                <w:sz w:val="12"/>
                <w:szCs w:val="12"/>
              </w:rPr>
              <w:t>Lena</w:t>
            </w:r>
          </w:p>
        </w:tc>
        <w:tc>
          <w:tcPr>
            <w:tcW w:w="2268" w:type="dxa"/>
            <w:tcBorders>
              <w:right w:val="single" w:sz="4" w:space="0" w:color="auto"/>
            </w:tcBorders>
            <w:shd w:val="clear" w:color="auto" w:fill="D9D9D9"/>
            <w:hideMark/>
          </w:tcPr>
          <w:p w14:paraId="76FDACBA" w14:textId="77777777" w:rsidR="002A4DDF" w:rsidRPr="00937C8B" w:rsidRDefault="002A4DDF" w:rsidP="009110ED">
            <w:pPr>
              <w:rPr>
                <w:rFonts w:cs="Arial"/>
                <w:sz w:val="12"/>
                <w:szCs w:val="12"/>
              </w:rPr>
            </w:pPr>
          </w:p>
        </w:tc>
      </w:tr>
      <w:tr w:rsidR="002A4DDF" w:rsidRPr="00937C8B" w14:paraId="1D70F854" w14:textId="77777777" w:rsidTr="00935676">
        <w:trPr>
          <w:cantSplit/>
        </w:trPr>
        <w:tc>
          <w:tcPr>
            <w:tcW w:w="1696" w:type="dxa"/>
            <w:tcBorders>
              <w:left w:val="single" w:sz="4" w:space="0" w:color="auto"/>
            </w:tcBorders>
            <w:shd w:val="clear" w:color="auto" w:fill="auto"/>
          </w:tcPr>
          <w:p w14:paraId="122EB94D" w14:textId="77777777" w:rsidR="002A4DDF" w:rsidRPr="00937C8B" w:rsidRDefault="002A4DDF" w:rsidP="009110ED">
            <w:pPr>
              <w:rPr>
                <w:rFonts w:cs="Arial"/>
                <w:sz w:val="12"/>
                <w:szCs w:val="12"/>
              </w:rPr>
            </w:pPr>
          </w:p>
        </w:tc>
        <w:tc>
          <w:tcPr>
            <w:tcW w:w="1843" w:type="dxa"/>
            <w:shd w:val="clear" w:color="auto" w:fill="auto"/>
          </w:tcPr>
          <w:p w14:paraId="258769C2" w14:textId="77777777" w:rsidR="002A4DDF" w:rsidRPr="00937C8B" w:rsidRDefault="002A4DDF" w:rsidP="009110ED">
            <w:pPr>
              <w:rPr>
                <w:rFonts w:cs="Arial"/>
                <w:sz w:val="12"/>
                <w:szCs w:val="12"/>
              </w:rPr>
            </w:pPr>
          </w:p>
        </w:tc>
        <w:tc>
          <w:tcPr>
            <w:tcW w:w="2268" w:type="dxa"/>
            <w:shd w:val="clear" w:color="auto" w:fill="F2F2F2"/>
            <w:hideMark/>
          </w:tcPr>
          <w:p w14:paraId="56F10673" w14:textId="77777777" w:rsidR="002A4DDF" w:rsidRPr="00937C8B" w:rsidRDefault="002A4DDF" w:rsidP="009110ED">
            <w:pPr>
              <w:rPr>
                <w:rFonts w:cs="Arial"/>
                <w:sz w:val="12"/>
                <w:szCs w:val="12"/>
              </w:rPr>
            </w:pPr>
            <w:r>
              <w:rPr>
                <w:sz w:val="12"/>
                <w:szCs w:val="12"/>
              </w:rPr>
              <w:t>Llanera</w:t>
            </w:r>
          </w:p>
        </w:tc>
        <w:tc>
          <w:tcPr>
            <w:tcW w:w="2268" w:type="dxa"/>
            <w:tcBorders>
              <w:right w:val="single" w:sz="4" w:space="0" w:color="auto"/>
            </w:tcBorders>
            <w:shd w:val="clear" w:color="auto" w:fill="D9D9D9"/>
            <w:hideMark/>
          </w:tcPr>
          <w:p w14:paraId="779154D9" w14:textId="77777777" w:rsidR="002A4DDF" w:rsidRPr="00937C8B" w:rsidRDefault="002A4DDF" w:rsidP="009110ED">
            <w:pPr>
              <w:rPr>
                <w:rFonts w:cs="Arial"/>
                <w:sz w:val="12"/>
                <w:szCs w:val="12"/>
              </w:rPr>
            </w:pPr>
          </w:p>
        </w:tc>
      </w:tr>
      <w:tr w:rsidR="002A4DDF" w:rsidRPr="00937C8B" w14:paraId="7DADA632" w14:textId="77777777" w:rsidTr="00935676">
        <w:trPr>
          <w:cantSplit/>
        </w:trPr>
        <w:tc>
          <w:tcPr>
            <w:tcW w:w="1696" w:type="dxa"/>
            <w:tcBorders>
              <w:left w:val="single" w:sz="4" w:space="0" w:color="auto"/>
            </w:tcBorders>
            <w:shd w:val="clear" w:color="auto" w:fill="auto"/>
          </w:tcPr>
          <w:p w14:paraId="11F36CC9" w14:textId="77777777" w:rsidR="002A4DDF" w:rsidRPr="00937C8B" w:rsidRDefault="002A4DDF" w:rsidP="009110ED">
            <w:pPr>
              <w:rPr>
                <w:rFonts w:cs="Arial"/>
                <w:sz w:val="12"/>
                <w:szCs w:val="12"/>
              </w:rPr>
            </w:pPr>
          </w:p>
        </w:tc>
        <w:tc>
          <w:tcPr>
            <w:tcW w:w="1843" w:type="dxa"/>
            <w:shd w:val="clear" w:color="auto" w:fill="auto"/>
          </w:tcPr>
          <w:p w14:paraId="42A10C53" w14:textId="77777777" w:rsidR="002A4DDF" w:rsidRPr="00937C8B" w:rsidRDefault="002A4DDF" w:rsidP="009110ED">
            <w:pPr>
              <w:rPr>
                <w:rFonts w:cs="Arial"/>
                <w:sz w:val="12"/>
                <w:szCs w:val="12"/>
              </w:rPr>
            </w:pPr>
          </w:p>
        </w:tc>
        <w:tc>
          <w:tcPr>
            <w:tcW w:w="2268" w:type="dxa"/>
            <w:shd w:val="clear" w:color="auto" w:fill="F2F2F2"/>
            <w:hideMark/>
          </w:tcPr>
          <w:p w14:paraId="3762938F" w14:textId="77777777" w:rsidR="002A4DDF" w:rsidRPr="00937C8B" w:rsidRDefault="002A4DDF" w:rsidP="009110ED">
            <w:pPr>
              <w:rPr>
                <w:rFonts w:cs="Arial"/>
                <w:sz w:val="12"/>
                <w:szCs w:val="12"/>
              </w:rPr>
            </w:pPr>
            <w:r>
              <w:rPr>
                <w:sz w:val="12"/>
                <w:szCs w:val="12"/>
              </w:rPr>
              <w:t>Mieres</w:t>
            </w:r>
          </w:p>
        </w:tc>
        <w:tc>
          <w:tcPr>
            <w:tcW w:w="2268" w:type="dxa"/>
            <w:tcBorders>
              <w:right w:val="single" w:sz="4" w:space="0" w:color="auto"/>
            </w:tcBorders>
            <w:shd w:val="clear" w:color="auto" w:fill="D9D9D9"/>
            <w:hideMark/>
          </w:tcPr>
          <w:p w14:paraId="5BC3B2C2" w14:textId="77777777" w:rsidR="002A4DDF" w:rsidRPr="00937C8B" w:rsidRDefault="002A4DDF" w:rsidP="009110ED">
            <w:pPr>
              <w:rPr>
                <w:rFonts w:cs="Arial"/>
                <w:sz w:val="12"/>
                <w:szCs w:val="12"/>
              </w:rPr>
            </w:pPr>
          </w:p>
        </w:tc>
      </w:tr>
      <w:tr w:rsidR="002A4DDF" w:rsidRPr="00937C8B" w14:paraId="68C9A290" w14:textId="77777777" w:rsidTr="00935676">
        <w:trPr>
          <w:cantSplit/>
        </w:trPr>
        <w:tc>
          <w:tcPr>
            <w:tcW w:w="1696" w:type="dxa"/>
            <w:tcBorders>
              <w:left w:val="single" w:sz="4" w:space="0" w:color="auto"/>
            </w:tcBorders>
            <w:shd w:val="clear" w:color="auto" w:fill="auto"/>
          </w:tcPr>
          <w:p w14:paraId="09CDD7AF" w14:textId="77777777" w:rsidR="002A4DDF" w:rsidRPr="00937C8B" w:rsidRDefault="002A4DDF" w:rsidP="009110ED">
            <w:pPr>
              <w:rPr>
                <w:rFonts w:cs="Arial"/>
                <w:sz w:val="12"/>
                <w:szCs w:val="12"/>
              </w:rPr>
            </w:pPr>
          </w:p>
        </w:tc>
        <w:tc>
          <w:tcPr>
            <w:tcW w:w="1843" w:type="dxa"/>
            <w:shd w:val="clear" w:color="auto" w:fill="auto"/>
          </w:tcPr>
          <w:p w14:paraId="38D81071" w14:textId="77777777" w:rsidR="002A4DDF" w:rsidRPr="00937C8B" w:rsidRDefault="002A4DDF" w:rsidP="009110ED">
            <w:pPr>
              <w:rPr>
                <w:rFonts w:cs="Arial"/>
                <w:sz w:val="12"/>
                <w:szCs w:val="12"/>
              </w:rPr>
            </w:pPr>
          </w:p>
        </w:tc>
        <w:tc>
          <w:tcPr>
            <w:tcW w:w="2268" w:type="dxa"/>
            <w:shd w:val="clear" w:color="auto" w:fill="F2F2F2"/>
            <w:hideMark/>
          </w:tcPr>
          <w:p w14:paraId="53FB9DE9" w14:textId="77777777" w:rsidR="002A4DDF" w:rsidRPr="00937C8B" w:rsidRDefault="002A4DDF" w:rsidP="009110ED">
            <w:pPr>
              <w:rPr>
                <w:rFonts w:cs="Arial"/>
                <w:sz w:val="12"/>
                <w:szCs w:val="12"/>
              </w:rPr>
            </w:pPr>
            <w:r>
              <w:rPr>
                <w:sz w:val="12"/>
                <w:szCs w:val="12"/>
              </w:rPr>
              <w:t>Oviedo</w:t>
            </w:r>
          </w:p>
        </w:tc>
        <w:tc>
          <w:tcPr>
            <w:tcW w:w="2268" w:type="dxa"/>
            <w:tcBorders>
              <w:right w:val="single" w:sz="4" w:space="0" w:color="auto"/>
            </w:tcBorders>
            <w:shd w:val="clear" w:color="auto" w:fill="D9D9D9"/>
            <w:hideMark/>
          </w:tcPr>
          <w:p w14:paraId="76E5CBD5" w14:textId="77777777" w:rsidR="002A4DDF" w:rsidRPr="00937C8B" w:rsidRDefault="002A4DDF" w:rsidP="009110ED">
            <w:pPr>
              <w:rPr>
                <w:rFonts w:cs="Arial"/>
                <w:sz w:val="12"/>
                <w:szCs w:val="12"/>
              </w:rPr>
            </w:pPr>
          </w:p>
        </w:tc>
      </w:tr>
      <w:tr w:rsidR="002A4DDF" w:rsidRPr="00937C8B" w14:paraId="7CDC55F4" w14:textId="77777777" w:rsidTr="00935676">
        <w:trPr>
          <w:cantSplit/>
        </w:trPr>
        <w:tc>
          <w:tcPr>
            <w:tcW w:w="1696" w:type="dxa"/>
            <w:tcBorders>
              <w:left w:val="single" w:sz="4" w:space="0" w:color="auto"/>
            </w:tcBorders>
            <w:shd w:val="clear" w:color="auto" w:fill="auto"/>
          </w:tcPr>
          <w:p w14:paraId="1A6E55A4" w14:textId="77777777" w:rsidR="002A4DDF" w:rsidRPr="00937C8B" w:rsidRDefault="002A4DDF" w:rsidP="009110ED">
            <w:pPr>
              <w:rPr>
                <w:rFonts w:cs="Arial"/>
                <w:sz w:val="12"/>
                <w:szCs w:val="12"/>
              </w:rPr>
            </w:pPr>
          </w:p>
        </w:tc>
        <w:tc>
          <w:tcPr>
            <w:tcW w:w="1843" w:type="dxa"/>
            <w:shd w:val="clear" w:color="auto" w:fill="auto"/>
          </w:tcPr>
          <w:p w14:paraId="15D83A90" w14:textId="77777777" w:rsidR="002A4DDF" w:rsidRPr="00937C8B" w:rsidRDefault="002A4DDF" w:rsidP="009110ED">
            <w:pPr>
              <w:rPr>
                <w:rFonts w:cs="Arial"/>
                <w:sz w:val="12"/>
                <w:szCs w:val="12"/>
              </w:rPr>
            </w:pPr>
          </w:p>
        </w:tc>
        <w:tc>
          <w:tcPr>
            <w:tcW w:w="2268" w:type="dxa"/>
            <w:shd w:val="clear" w:color="auto" w:fill="F2F2F2"/>
            <w:hideMark/>
          </w:tcPr>
          <w:p w14:paraId="234B72D1" w14:textId="77777777" w:rsidR="002A4DDF" w:rsidRPr="00937C8B" w:rsidRDefault="002A4DDF" w:rsidP="009110ED">
            <w:pPr>
              <w:rPr>
                <w:rFonts w:cs="Arial"/>
                <w:sz w:val="12"/>
                <w:szCs w:val="12"/>
              </w:rPr>
            </w:pPr>
            <w:r>
              <w:rPr>
                <w:sz w:val="12"/>
                <w:szCs w:val="12"/>
              </w:rPr>
              <w:t>Pesoz</w:t>
            </w:r>
          </w:p>
        </w:tc>
        <w:tc>
          <w:tcPr>
            <w:tcW w:w="2268" w:type="dxa"/>
            <w:tcBorders>
              <w:right w:val="single" w:sz="4" w:space="0" w:color="auto"/>
            </w:tcBorders>
            <w:shd w:val="clear" w:color="auto" w:fill="D9D9D9"/>
            <w:hideMark/>
          </w:tcPr>
          <w:p w14:paraId="208080DD" w14:textId="77777777" w:rsidR="002A4DDF" w:rsidRPr="00937C8B" w:rsidRDefault="002A4DDF" w:rsidP="009110ED">
            <w:pPr>
              <w:rPr>
                <w:rFonts w:cs="Arial"/>
                <w:sz w:val="12"/>
                <w:szCs w:val="12"/>
              </w:rPr>
            </w:pPr>
          </w:p>
        </w:tc>
      </w:tr>
      <w:tr w:rsidR="002A4DDF" w:rsidRPr="00937C8B" w14:paraId="33E5DD71" w14:textId="77777777" w:rsidTr="00935676">
        <w:trPr>
          <w:cantSplit/>
        </w:trPr>
        <w:tc>
          <w:tcPr>
            <w:tcW w:w="1696" w:type="dxa"/>
            <w:tcBorders>
              <w:left w:val="single" w:sz="4" w:space="0" w:color="auto"/>
            </w:tcBorders>
            <w:shd w:val="clear" w:color="auto" w:fill="auto"/>
          </w:tcPr>
          <w:p w14:paraId="2BDA7045" w14:textId="77777777" w:rsidR="002A4DDF" w:rsidRPr="00937C8B" w:rsidRDefault="002A4DDF" w:rsidP="009110ED">
            <w:pPr>
              <w:rPr>
                <w:rFonts w:cs="Arial"/>
                <w:sz w:val="12"/>
                <w:szCs w:val="12"/>
              </w:rPr>
            </w:pPr>
          </w:p>
        </w:tc>
        <w:tc>
          <w:tcPr>
            <w:tcW w:w="1843" w:type="dxa"/>
            <w:shd w:val="clear" w:color="auto" w:fill="auto"/>
          </w:tcPr>
          <w:p w14:paraId="7611E001" w14:textId="77777777" w:rsidR="002A4DDF" w:rsidRPr="00937C8B" w:rsidRDefault="002A4DDF" w:rsidP="009110ED">
            <w:pPr>
              <w:rPr>
                <w:rFonts w:cs="Arial"/>
                <w:sz w:val="12"/>
                <w:szCs w:val="12"/>
              </w:rPr>
            </w:pPr>
          </w:p>
        </w:tc>
        <w:tc>
          <w:tcPr>
            <w:tcW w:w="2268" w:type="dxa"/>
            <w:shd w:val="clear" w:color="auto" w:fill="F2F2F2"/>
            <w:hideMark/>
          </w:tcPr>
          <w:p w14:paraId="26CB7782" w14:textId="77777777" w:rsidR="002A4DDF" w:rsidRPr="00937C8B" w:rsidRDefault="002A4DDF" w:rsidP="009110ED">
            <w:pPr>
              <w:rPr>
                <w:rFonts w:cs="Arial"/>
                <w:sz w:val="12"/>
                <w:szCs w:val="12"/>
              </w:rPr>
            </w:pPr>
            <w:r>
              <w:rPr>
                <w:sz w:val="12"/>
                <w:szCs w:val="12"/>
              </w:rPr>
              <w:t>Pravia</w:t>
            </w:r>
          </w:p>
        </w:tc>
        <w:tc>
          <w:tcPr>
            <w:tcW w:w="2268" w:type="dxa"/>
            <w:tcBorders>
              <w:right w:val="single" w:sz="4" w:space="0" w:color="auto"/>
            </w:tcBorders>
            <w:shd w:val="clear" w:color="auto" w:fill="D9D9D9"/>
            <w:hideMark/>
          </w:tcPr>
          <w:p w14:paraId="66B4747D" w14:textId="77777777" w:rsidR="002A4DDF" w:rsidRPr="00937C8B" w:rsidRDefault="002A4DDF" w:rsidP="009110ED">
            <w:pPr>
              <w:rPr>
                <w:rFonts w:cs="Arial"/>
                <w:sz w:val="12"/>
                <w:szCs w:val="12"/>
              </w:rPr>
            </w:pPr>
          </w:p>
        </w:tc>
      </w:tr>
      <w:tr w:rsidR="002A4DDF" w:rsidRPr="00937C8B" w14:paraId="5F83B110" w14:textId="77777777" w:rsidTr="00935676">
        <w:trPr>
          <w:cantSplit/>
        </w:trPr>
        <w:tc>
          <w:tcPr>
            <w:tcW w:w="1696" w:type="dxa"/>
            <w:tcBorders>
              <w:left w:val="single" w:sz="4" w:space="0" w:color="auto"/>
            </w:tcBorders>
            <w:shd w:val="clear" w:color="auto" w:fill="auto"/>
          </w:tcPr>
          <w:p w14:paraId="146CFF76" w14:textId="77777777" w:rsidR="002A4DDF" w:rsidRPr="00937C8B" w:rsidRDefault="002A4DDF" w:rsidP="009110ED">
            <w:pPr>
              <w:rPr>
                <w:rFonts w:cs="Arial"/>
                <w:sz w:val="12"/>
                <w:szCs w:val="12"/>
              </w:rPr>
            </w:pPr>
          </w:p>
        </w:tc>
        <w:tc>
          <w:tcPr>
            <w:tcW w:w="1843" w:type="dxa"/>
            <w:shd w:val="clear" w:color="auto" w:fill="auto"/>
          </w:tcPr>
          <w:p w14:paraId="34910951" w14:textId="77777777" w:rsidR="002A4DDF" w:rsidRPr="00937C8B" w:rsidRDefault="002A4DDF" w:rsidP="009110ED">
            <w:pPr>
              <w:rPr>
                <w:rFonts w:cs="Arial"/>
                <w:sz w:val="12"/>
                <w:szCs w:val="12"/>
              </w:rPr>
            </w:pPr>
          </w:p>
        </w:tc>
        <w:tc>
          <w:tcPr>
            <w:tcW w:w="2268" w:type="dxa"/>
            <w:shd w:val="clear" w:color="auto" w:fill="F2F2F2"/>
            <w:hideMark/>
          </w:tcPr>
          <w:p w14:paraId="3B1F2BC9" w14:textId="77777777" w:rsidR="002A4DDF" w:rsidRPr="00937C8B" w:rsidRDefault="002A4DDF" w:rsidP="009110ED">
            <w:pPr>
              <w:rPr>
                <w:rFonts w:cs="Arial"/>
                <w:sz w:val="12"/>
                <w:szCs w:val="12"/>
              </w:rPr>
            </w:pPr>
            <w:r>
              <w:rPr>
                <w:sz w:val="12"/>
                <w:szCs w:val="12"/>
              </w:rPr>
              <w:t>Ribera de Arriba</w:t>
            </w:r>
          </w:p>
        </w:tc>
        <w:tc>
          <w:tcPr>
            <w:tcW w:w="2268" w:type="dxa"/>
            <w:tcBorders>
              <w:right w:val="single" w:sz="4" w:space="0" w:color="auto"/>
            </w:tcBorders>
            <w:shd w:val="clear" w:color="auto" w:fill="D9D9D9"/>
            <w:hideMark/>
          </w:tcPr>
          <w:p w14:paraId="35DFA32C" w14:textId="77777777" w:rsidR="002A4DDF" w:rsidRPr="00937C8B" w:rsidRDefault="002A4DDF" w:rsidP="009110ED">
            <w:pPr>
              <w:rPr>
                <w:rFonts w:cs="Arial"/>
                <w:sz w:val="12"/>
                <w:szCs w:val="12"/>
              </w:rPr>
            </w:pPr>
          </w:p>
        </w:tc>
      </w:tr>
      <w:tr w:rsidR="002A4DDF" w:rsidRPr="00937C8B" w14:paraId="689AB3CB" w14:textId="77777777" w:rsidTr="00935676">
        <w:trPr>
          <w:cantSplit/>
        </w:trPr>
        <w:tc>
          <w:tcPr>
            <w:tcW w:w="1696" w:type="dxa"/>
            <w:tcBorders>
              <w:left w:val="single" w:sz="4" w:space="0" w:color="auto"/>
            </w:tcBorders>
            <w:shd w:val="clear" w:color="auto" w:fill="auto"/>
          </w:tcPr>
          <w:p w14:paraId="5A2CAA19" w14:textId="77777777" w:rsidR="002A4DDF" w:rsidRPr="00937C8B" w:rsidRDefault="002A4DDF" w:rsidP="009110ED">
            <w:pPr>
              <w:rPr>
                <w:rFonts w:cs="Arial"/>
                <w:sz w:val="12"/>
                <w:szCs w:val="12"/>
              </w:rPr>
            </w:pPr>
          </w:p>
        </w:tc>
        <w:tc>
          <w:tcPr>
            <w:tcW w:w="1843" w:type="dxa"/>
            <w:shd w:val="clear" w:color="auto" w:fill="auto"/>
          </w:tcPr>
          <w:p w14:paraId="7E866183" w14:textId="77777777" w:rsidR="002A4DDF" w:rsidRPr="00937C8B" w:rsidRDefault="002A4DDF" w:rsidP="009110ED">
            <w:pPr>
              <w:rPr>
                <w:rFonts w:cs="Arial"/>
                <w:sz w:val="12"/>
                <w:szCs w:val="12"/>
              </w:rPr>
            </w:pPr>
          </w:p>
        </w:tc>
        <w:tc>
          <w:tcPr>
            <w:tcW w:w="2268" w:type="dxa"/>
            <w:shd w:val="clear" w:color="auto" w:fill="F2F2F2"/>
            <w:hideMark/>
          </w:tcPr>
          <w:p w14:paraId="0457D608" w14:textId="77777777" w:rsidR="002A4DDF" w:rsidRPr="00937C8B" w:rsidRDefault="002A4DDF" w:rsidP="009110ED">
            <w:pPr>
              <w:rPr>
                <w:rFonts w:cs="Arial"/>
                <w:sz w:val="12"/>
                <w:szCs w:val="12"/>
              </w:rPr>
            </w:pPr>
            <w:r>
              <w:rPr>
                <w:sz w:val="12"/>
                <w:szCs w:val="12"/>
              </w:rPr>
              <w:t>Salas</w:t>
            </w:r>
          </w:p>
        </w:tc>
        <w:tc>
          <w:tcPr>
            <w:tcW w:w="2268" w:type="dxa"/>
            <w:tcBorders>
              <w:right w:val="single" w:sz="4" w:space="0" w:color="auto"/>
            </w:tcBorders>
            <w:shd w:val="clear" w:color="auto" w:fill="D9D9D9"/>
            <w:hideMark/>
          </w:tcPr>
          <w:p w14:paraId="38BA92B3" w14:textId="77777777" w:rsidR="002A4DDF" w:rsidRPr="00937C8B" w:rsidRDefault="002A4DDF" w:rsidP="009110ED">
            <w:pPr>
              <w:rPr>
                <w:rFonts w:cs="Arial"/>
                <w:sz w:val="12"/>
                <w:szCs w:val="12"/>
              </w:rPr>
            </w:pPr>
          </w:p>
        </w:tc>
      </w:tr>
      <w:tr w:rsidR="002A4DDF" w:rsidRPr="00937C8B" w14:paraId="6365915D" w14:textId="77777777" w:rsidTr="00935676">
        <w:trPr>
          <w:cantSplit/>
        </w:trPr>
        <w:tc>
          <w:tcPr>
            <w:tcW w:w="1696" w:type="dxa"/>
            <w:tcBorders>
              <w:left w:val="single" w:sz="4" w:space="0" w:color="auto"/>
            </w:tcBorders>
            <w:shd w:val="clear" w:color="auto" w:fill="auto"/>
          </w:tcPr>
          <w:p w14:paraId="11F059A0" w14:textId="77777777" w:rsidR="002A4DDF" w:rsidRPr="00937C8B" w:rsidRDefault="002A4DDF" w:rsidP="009110ED">
            <w:pPr>
              <w:rPr>
                <w:rFonts w:cs="Arial"/>
                <w:sz w:val="12"/>
                <w:szCs w:val="12"/>
              </w:rPr>
            </w:pPr>
          </w:p>
        </w:tc>
        <w:tc>
          <w:tcPr>
            <w:tcW w:w="1843" w:type="dxa"/>
            <w:shd w:val="clear" w:color="auto" w:fill="auto"/>
          </w:tcPr>
          <w:p w14:paraId="4CAB11A9" w14:textId="77777777" w:rsidR="002A4DDF" w:rsidRPr="00937C8B" w:rsidRDefault="002A4DDF" w:rsidP="009110ED">
            <w:pPr>
              <w:rPr>
                <w:rFonts w:cs="Arial"/>
                <w:sz w:val="12"/>
                <w:szCs w:val="12"/>
              </w:rPr>
            </w:pPr>
          </w:p>
        </w:tc>
        <w:tc>
          <w:tcPr>
            <w:tcW w:w="2268" w:type="dxa"/>
            <w:shd w:val="clear" w:color="auto" w:fill="F2F2F2"/>
            <w:hideMark/>
          </w:tcPr>
          <w:p w14:paraId="59D1659F" w14:textId="77777777" w:rsidR="002A4DDF" w:rsidRPr="00937C8B" w:rsidRDefault="002A4DDF" w:rsidP="009110ED">
            <w:pPr>
              <w:rPr>
                <w:rFonts w:cs="Arial"/>
                <w:sz w:val="12"/>
                <w:szCs w:val="12"/>
              </w:rPr>
            </w:pPr>
            <w:r>
              <w:rPr>
                <w:sz w:val="12"/>
                <w:szCs w:val="12"/>
              </w:rPr>
              <w:t>San Martín de Oscos</w:t>
            </w:r>
          </w:p>
        </w:tc>
        <w:tc>
          <w:tcPr>
            <w:tcW w:w="2268" w:type="dxa"/>
            <w:tcBorders>
              <w:right w:val="single" w:sz="4" w:space="0" w:color="auto"/>
            </w:tcBorders>
            <w:shd w:val="clear" w:color="auto" w:fill="D9D9D9"/>
            <w:hideMark/>
          </w:tcPr>
          <w:p w14:paraId="51346DCF" w14:textId="77777777" w:rsidR="002A4DDF" w:rsidRPr="00937C8B" w:rsidRDefault="002A4DDF" w:rsidP="009110ED">
            <w:pPr>
              <w:rPr>
                <w:rFonts w:cs="Arial"/>
                <w:sz w:val="12"/>
                <w:szCs w:val="12"/>
              </w:rPr>
            </w:pPr>
          </w:p>
        </w:tc>
      </w:tr>
      <w:tr w:rsidR="002A4DDF" w:rsidRPr="00E93486" w14:paraId="1E43C4A4" w14:textId="77777777" w:rsidTr="00935676">
        <w:trPr>
          <w:cantSplit/>
        </w:trPr>
        <w:tc>
          <w:tcPr>
            <w:tcW w:w="1696" w:type="dxa"/>
            <w:tcBorders>
              <w:left w:val="single" w:sz="4" w:space="0" w:color="auto"/>
            </w:tcBorders>
            <w:shd w:val="clear" w:color="auto" w:fill="auto"/>
          </w:tcPr>
          <w:p w14:paraId="4A867D98" w14:textId="77777777" w:rsidR="002A4DDF" w:rsidRPr="00937C8B" w:rsidRDefault="002A4DDF" w:rsidP="009110ED">
            <w:pPr>
              <w:rPr>
                <w:rFonts w:cs="Arial"/>
                <w:sz w:val="12"/>
                <w:szCs w:val="12"/>
              </w:rPr>
            </w:pPr>
          </w:p>
        </w:tc>
        <w:tc>
          <w:tcPr>
            <w:tcW w:w="1843" w:type="dxa"/>
            <w:shd w:val="clear" w:color="auto" w:fill="auto"/>
          </w:tcPr>
          <w:p w14:paraId="248CFDC6" w14:textId="77777777" w:rsidR="002A4DDF" w:rsidRPr="00937C8B" w:rsidRDefault="002A4DDF" w:rsidP="009110ED">
            <w:pPr>
              <w:rPr>
                <w:rFonts w:cs="Arial"/>
                <w:sz w:val="12"/>
                <w:szCs w:val="12"/>
              </w:rPr>
            </w:pPr>
          </w:p>
        </w:tc>
        <w:tc>
          <w:tcPr>
            <w:tcW w:w="2268" w:type="dxa"/>
            <w:shd w:val="clear" w:color="auto" w:fill="F2F2F2"/>
            <w:hideMark/>
          </w:tcPr>
          <w:p w14:paraId="4FF04854" w14:textId="77777777" w:rsidR="002A4DDF" w:rsidRPr="00E93486" w:rsidRDefault="002A4DDF" w:rsidP="009110ED">
            <w:pPr>
              <w:rPr>
                <w:rFonts w:cs="Arial"/>
                <w:sz w:val="12"/>
                <w:szCs w:val="12"/>
                <w:lang w:val="en-US"/>
              </w:rPr>
            </w:pPr>
            <w:r w:rsidRPr="00E93486">
              <w:rPr>
                <w:sz w:val="12"/>
                <w:szCs w:val="12"/>
                <w:lang w:val="en-US"/>
              </w:rPr>
              <w:t>San Martín del Rey Aurelio</w:t>
            </w:r>
          </w:p>
        </w:tc>
        <w:tc>
          <w:tcPr>
            <w:tcW w:w="2268" w:type="dxa"/>
            <w:tcBorders>
              <w:right w:val="single" w:sz="4" w:space="0" w:color="auto"/>
            </w:tcBorders>
            <w:shd w:val="clear" w:color="auto" w:fill="D9D9D9"/>
            <w:hideMark/>
          </w:tcPr>
          <w:p w14:paraId="5013AF95" w14:textId="77777777" w:rsidR="002A4DDF" w:rsidRPr="00E93486" w:rsidRDefault="002A4DDF" w:rsidP="009110ED">
            <w:pPr>
              <w:rPr>
                <w:rFonts w:cs="Arial"/>
                <w:sz w:val="12"/>
                <w:szCs w:val="12"/>
                <w:lang w:val="en-US"/>
              </w:rPr>
            </w:pPr>
          </w:p>
        </w:tc>
      </w:tr>
      <w:tr w:rsidR="002A4DDF" w:rsidRPr="00937C8B" w14:paraId="1FEE8904" w14:textId="77777777" w:rsidTr="00935676">
        <w:trPr>
          <w:cantSplit/>
        </w:trPr>
        <w:tc>
          <w:tcPr>
            <w:tcW w:w="1696" w:type="dxa"/>
            <w:tcBorders>
              <w:left w:val="single" w:sz="4" w:space="0" w:color="auto"/>
            </w:tcBorders>
            <w:shd w:val="clear" w:color="auto" w:fill="auto"/>
          </w:tcPr>
          <w:p w14:paraId="28DB956E" w14:textId="77777777" w:rsidR="002A4DDF" w:rsidRPr="00E93486" w:rsidRDefault="002A4DDF" w:rsidP="009110ED">
            <w:pPr>
              <w:rPr>
                <w:rFonts w:cs="Arial"/>
                <w:sz w:val="12"/>
                <w:szCs w:val="12"/>
                <w:lang w:val="en-US"/>
              </w:rPr>
            </w:pPr>
          </w:p>
        </w:tc>
        <w:tc>
          <w:tcPr>
            <w:tcW w:w="1843" w:type="dxa"/>
            <w:shd w:val="clear" w:color="auto" w:fill="auto"/>
          </w:tcPr>
          <w:p w14:paraId="0B006C3D" w14:textId="77777777" w:rsidR="002A4DDF" w:rsidRPr="00E93486" w:rsidRDefault="002A4DDF" w:rsidP="009110ED">
            <w:pPr>
              <w:rPr>
                <w:rFonts w:cs="Arial"/>
                <w:sz w:val="12"/>
                <w:szCs w:val="12"/>
                <w:lang w:val="en-US"/>
              </w:rPr>
            </w:pPr>
          </w:p>
        </w:tc>
        <w:tc>
          <w:tcPr>
            <w:tcW w:w="2268" w:type="dxa"/>
            <w:shd w:val="clear" w:color="auto" w:fill="F2F2F2"/>
            <w:hideMark/>
          </w:tcPr>
          <w:p w14:paraId="2A451A62" w14:textId="77777777" w:rsidR="002A4DDF" w:rsidRPr="00937C8B" w:rsidRDefault="002A4DDF" w:rsidP="009110ED">
            <w:pPr>
              <w:rPr>
                <w:rFonts w:cs="Arial"/>
                <w:sz w:val="12"/>
                <w:szCs w:val="12"/>
              </w:rPr>
            </w:pPr>
            <w:r>
              <w:rPr>
                <w:sz w:val="12"/>
                <w:szCs w:val="12"/>
              </w:rPr>
              <w:t>San Tirso de Abres</w:t>
            </w:r>
          </w:p>
        </w:tc>
        <w:tc>
          <w:tcPr>
            <w:tcW w:w="2268" w:type="dxa"/>
            <w:tcBorders>
              <w:right w:val="single" w:sz="4" w:space="0" w:color="auto"/>
            </w:tcBorders>
            <w:shd w:val="clear" w:color="auto" w:fill="D9D9D9"/>
            <w:hideMark/>
          </w:tcPr>
          <w:p w14:paraId="3811DA40" w14:textId="77777777" w:rsidR="002A4DDF" w:rsidRPr="00937C8B" w:rsidRDefault="002A4DDF" w:rsidP="009110ED">
            <w:pPr>
              <w:rPr>
                <w:rFonts w:cs="Arial"/>
                <w:sz w:val="12"/>
                <w:szCs w:val="12"/>
              </w:rPr>
            </w:pPr>
          </w:p>
        </w:tc>
      </w:tr>
      <w:tr w:rsidR="002A4DDF" w:rsidRPr="00937C8B" w14:paraId="72ACE1DA" w14:textId="77777777" w:rsidTr="00935676">
        <w:trPr>
          <w:cantSplit/>
        </w:trPr>
        <w:tc>
          <w:tcPr>
            <w:tcW w:w="1696" w:type="dxa"/>
            <w:tcBorders>
              <w:left w:val="single" w:sz="4" w:space="0" w:color="auto"/>
            </w:tcBorders>
            <w:shd w:val="clear" w:color="auto" w:fill="auto"/>
          </w:tcPr>
          <w:p w14:paraId="1D0B2809" w14:textId="77777777" w:rsidR="002A4DDF" w:rsidRPr="00937C8B" w:rsidRDefault="002A4DDF" w:rsidP="009110ED">
            <w:pPr>
              <w:rPr>
                <w:rFonts w:cs="Arial"/>
                <w:sz w:val="12"/>
                <w:szCs w:val="12"/>
              </w:rPr>
            </w:pPr>
          </w:p>
        </w:tc>
        <w:tc>
          <w:tcPr>
            <w:tcW w:w="1843" w:type="dxa"/>
            <w:shd w:val="clear" w:color="auto" w:fill="auto"/>
          </w:tcPr>
          <w:p w14:paraId="500BA2FB" w14:textId="77777777" w:rsidR="002A4DDF" w:rsidRPr="00937C8B" w:rsidRDefault="002A4DDF" w:rsidP="009110ED">
            <w:pPr>
              <w:rPr>
                <w:rFonts w:cs="Arial"/>
                <w:sz w:val="12"/>
                <w:szCs w:val="12"/>
              </w:rPr>
            </w:pPr>
          </w:p>
        </w:tc>
        <w:tc>
          <w:tcPr>
            <w:tcW w:w="2268" w:type="dxa"/>
            <w:shd w:val="clear" w:color="auto" w:fill="F2F2F2"/>
            <w:hideMark/>
          </w:tcPr>
          <w:p w14:paraId="69785C7C" w14:textId="77777777" w:rsidR="002A4DDF" w:rsidRPr="00937C8B" w:rsidRDefault="002A4DDF" w:rsidP="009110ED">
            <w:pPr>
              <w:rPr>
                <w:rFonts w:cs="Arial"/>
                <w:sz w:val="12"/>
                <w:szCs w:val="12"/>
              </w:rPr>
            </w:pPr>
            <w:r>
              <w:rPr>
                <w:sz w:val="12"/>
                <w:szCs w:val="12"/>
              </w:rPr>
              <w:t>Santa Eulalia de Oscos</w:t>
            </w:r>
          </w:p>
        </w:tc>
        <w:tc>
          <w:tcPr>
            <w:tcW w:w="2268" w:type="dxa"/>
            <w:tcBorders>
              <w:right w:val="single" w:sz="4" w:space="0" w:color="auto"/>
            </w:tcBorders>
            <w:shd w:val="clear" w:color="auto" w:fill="D9D9D9"/>
            <w:hideMark/>
          </w:tcPr>
          <w:p w14:paraId="4980F110" w14:textId="77777777" w:rsidR="002A4DDF" w:rsidRPr="00937C8B" w:rsidRDefault="002A4DDF" w:rsidP="009110ED">
            <w:pPr>
              <w:rPr>
                <w:rFonts w:cs="Arial"/>
                <w:sz w:val="12"/>
                <w:szCs w:val="12"/>
              </w:rPr>
            </w:pPr>
          </w:p>
        </w:tc>
      </w:tr>
      <w:tr w:rsidR="002A4DDF" w:rsidRPr="00937C8B" w14:paraId="68C0C039" w14:textId="77777777" w:rsidTr="00935676">
        <w:trPr>
          <w:cantSplit/>
        </w:trPr>
        <w:tc>
          <w:tcPr>
            <w:tcW w:w="1696" w:type="dxa"/>
            <w:tcBorders>
              <w:left w:val="single" w:sz="4" w:space="0" w:color="auto"/>
            </w:tcBorders>
            <w:shd w:val="clear" w:color="auto" w:fill="auto"/>
          </w:tcPr>
          <w:p w14:paraId="6D616FBD" w14:textId="77777777" w:rsidR="002A4DDF" w:rsidRPr="00937C8B" w:rsidRDefault="002A4DDF" w:rsidP="009110ED">
            <w:pPr>
              <w:rPr>
                <w:rFonts w:cs="Arial"/>
                <w:sz w:val="12"/>
                <w:szCs w:val="12"/>
              </w:rPr>
            </w:pPr>
          </w:p>
        </w:tc>
        <w:tc>
          <w:tcPr>
            <w:tcW w:w="1843" w:type="dxa"/>
            <w:shd w:val="clear" w:color="auto" w:fill="auto"/>
          </w:tcPr>
          <w:p w14:paraId="4E089621" w14:textId="77777777" w:rsidR="002A4DDF" w:rsidRPr="00937C8B" w:rsidRDefault="002A4DDF" w:rsidP="009110ED">
            <w:pPr>
              <w:rPr>
                <w:rFonts w:cs="Arial"/>
                <w:sz w:val="12"/>
                <w:szCs w:val="12"/>
              </w:rPr>
            </w:pPr>
          </w:p>
        </w:tc>
        <w:tc>
          <w:tcPr>
            <w:tcW w:w="2268" w:type="dxa"/>
            <w:shd w:val="clear" w:color="auto" w:fill="F2F2F2"/>
            <w:hideMark/>
          </w:tcPr>
          <w:p w14:paraId="3A743C31" w14:textId="77777777" w:rsidR="002A4DDF" w:rsidRPr="00937C8B" w:rsidRDefault="002A4DDF" w:rsidP="009110ED">
            <w:pPr>
              <w:rPr>
                <w:rFonts w:cs="Arial"/>
                <w:sz w:val="12"/>
                <w:szCs w:val="12"/>
              </w:rPr>
            </w:pPr>
            <w:r>
              <w:rPr>
                <w:sz w:val="12"/>
                <w:szCs w:val="12"/>
              </w:rPr>
              <w:t>Santo Adriano</w:t>
            </w:r>
          </w:p>
        </w:tc>
        <w:tc>
          <w:tcPr>
            <w:tcW w:w="2268" w:type="dxa"/>
            <w:tcBorders>
              <w:right w:val="single" w:sz="4" w:space="0" w:color="auto"/>
            </w:tcBorders>
            <w:shd w:val="clear" w:color="auto" w:fill="D9D9D9"/>
            <w:hideMark/>
          </w:tcPr>
          <w:p w14:paraId="1835F33A" w14:textId="77777777" w:rsidR="002A4DDF" w:rsidRPr="00937C8B" w:rsidRDefault="002A4DDF" w:rsidP="009110ED">
            <w:pPr>
              <w:rPr>
                <w:rFonts w:cs="Arial"/>
                <w:sz w:val="12"/>
                <w:szCs w:val="12"/>
              </w:rPr>
            </w:pPr>
          </w:p>
        </w:tc>
      </w:tr>
      <w:tr w:rsidR="002A4DDF" w:rsidRPr="00937C8B" w14:paraId="091DB7CC" w14:textId="77777777" w:rsidTr="00935676">
        <w:trPr>
          <w:cantSplit/>
        </w:trPr>
        <w:tc>
          <w:tcPr>
            <w:tcW w:w="1696" w:type="dxa"/>
            <w:tcBorders>
              <w:left w:val="single" w:sz="4" w:space="0" w:color="auto"/>
            </w:tcBorders>
            <w:shd w:val="clear" w:color="auto" w:fill="auto"/>
          </w:tcPr>
          <w:p w14:paraId="459B47D6" w14:textId="77777777" w:rsidR="002A4DDF" w:rsidRPr="00937C8B" w:rsidRDefault="002A4DDF" w:rsidP="009110ED">
            <w:pPr>
              <w:rPr>
                <w:rFonts w:cs="Arial"/>
                <w:sz w:val="12"/>
                <w:szCs w:val="12"/>
              </w:rPr>
            </w:pPr>
          </w:p>
        </w:tc>
        <w:tc>
          <w:tcPr>
            <w:tcW w:w="1843" w:type="dxa"/>
            <w:shd w:val="clear" w:color="auto" w:fill="auto"/>
          </w:tcPr>
          <w:p w14:paraId="711FC39E" w14:textId="77777777" w:rsidR="002A4DDF" w:rsidRPr="00937C8B" w:rsidRDefault="002A4DDF" w:rsidP="009110ED">
            <w:pPr>
              <w:rPr>
                <w:rFonts w:cs="Arial"/>
                <w:sz w:val="12"/>
                <w:szCs w:val="12"/>
              </w:rPr>
            </w:pPr>
          </w:p>
        </w:tc>
        <w:tc>
          <w:tcPr>
            <w:tcW w:w="2268" w:type="dxa"/>
            <w:shd w:val="clear" w:color="auto" w:fill="F2F2F2"/>
            <w:hideMark/>
          </w:tcPr>
          <w:p w14:paraId="6AA06D4C" w14:textId="77777777" w:rsidR="002A4DDF" w:rsidRPr="00937C8B" w:rsidRDefault="002A4DDF" w:rsidP="009110ED">
            <w:pPr>
              <w:rPr>
                <w:rFonts w:cs="Arial"/>
                <w:sz w:val="12"/>
                <w:szCs w:val="12"/>
              </w:rPr>
            </w:pPr>
            <w:r>
              <w:rPr>
                <w:sz w:val="12"/>
                <w:szCs w:val="12"/>
              </w:rPr>
              <w:t>Siero</w:t>
            </w:r>
          </w:p>
        </w:tc>
        <w:tc>
          <w:tcPr>
            <w:tcW w:w="2268" w:type="dxa"/>
            <w:tcBorders>
              <w:right w:val="single" w:sz="4" w:space="0" w:color="auto"/>
            </w:tcBorders>
            <w:shd w:val="clear" w:color="auto" w:fill="D9D9D9"/>
            <w:hideMark/>
          </w:tcPr>
          <w:p w14:paraId="278DE1D7" w14:textId="77777777" w:rsidR="002A4DDF" w:rsidRPr="00937C8B" w:rsidRDefault="002A4DDF" w:rsidP="009110ED">
            <w:pPr>
              <w:rPr>
                <w:rFonts w:cs="Arial"/>
                <w:sz w:val="12"/>
                <w:szCs w:val="12"/>
              </w:rPr>
            </w:pPr>
          </w:p>
        </w:tc>
      </w:tr>
      <w:tr w:rsidR="002A4DDF" w:rsidRPr="00937C8B" w14:paraId="68FB80F4" w14:textId="77777777" w:rsidTr="00935676">
        <w:trPr>
          <w:cantSplit/>
        </w:trPr>
        <w:tc>
          <w:tcPr>
            <w:tcW w:w="1696" w:type="dxa"/>
            <w:tcBorders>
              <w:left w:val="single" w:sz="4" w:space="0" w:color="auto"/>
            </w:tcBorders>
            <w:shd w:val="clear" w:color="auto" w:fill="auto"/>
          </w:tcPr>
          <w:p w14:paraId="5420B38C" w14:textId="77777777" w:rsidR="002A4DDF" w:rsidRPr="00937C8B" w:rsidRDefault="002A4DDF" w:rsidP="009110ED">
            <w:pPr>
              <w:rPr>
                <w:rFonts w:cs="Arial"/>
                <w:sz w:val="12"/>
                <w:szCs w:val="12"/>
              </w:rPr>
            </w:pPr>
          </w:p>
        </w:tc>
        <w:tc>
          <w:tcPr>
            <w:tcW w:w="1843" w:type="dxa"/>
            <w:shd w:val="clear" w:color="auto" w:fill="auto"/>
          </w:tcPr>
          <w:p w14:paraId="0594E2AC" w14:textId="77777777" w:rsidR="002A4DDF" w:rsidRPr="00937C8B" w:rsidRDefault="002A4DDF" w:rsidP="009110ED">
            <w:pPr>
              <w:rPr>
                <w:rFonts w:cs="Arial"/>
                <w:sz w:val="12"/>
                <w:szCs w:val="12"/>
              </w:rPr>
            </w:pPr>
          </w:p>
        </w:tc>
        <w:tc>
          <w:tcPr>
            <w:tcW w:w="2268" w:type="dxa"/>
            <w:shd w:val="clear" w:color="auto" w:fill="F2F2F2"/>
            <w:hideMark/>
          </w:tcPr>
          <w:p w14:paraId="3BC887AC" w14:textId="77777777" w:rsidR="002A4DDF" w:rsidRPr="00937C8B" w:rsidRDefault="002A4DDF" w:rsidP="009110ED">
            <w:pPr>
              <w:rPr>
                <w:rFonts w:cs="Arial"/>
                <w:sz w:val="12"/>
                <w:szCs w:val="12"/>
              </w:rPr>
            </w:pPr>
            <w:r>
              <w:rPr>
                <w:sz w:val="12"/>
                <w:szCs w:val="12"/>
              </w:rPr>
              <w:t>Somiedo</w:t>
            </w:r>
          </w:p>
        </w:tc>
        <w:tc>
          <w:tcPr>
            <w:tcW w:w="2268" w:type="dxa"/>
            <w:tcBorders>
              <w:right w:val="single" w:sz="4" w:space="0" w:color="auto"/>
            </w:tcBorders>
            <w:shd w:val="clear" w:color="auto" w:fill="D9D9D9"/>
            <w:hideMark/>
          </w:tcPr>
          <w:p w14:paraId="1709AB40" w14:textId="77777777" w:rsidR="002A4DDF" w:rsidRPr="00937C8B" w:rsidRDefault="002A4DDF" w:rsidP="009110ED">
            <w:pPr>
              <w:rPr>
                <w:rFonts w:cs="Arial"/>
                <w:sz w:val="12"/>
                <w:szCs w:val="12"/>
              </w:rPr>
            </w:pPr>
          </w:p>
        </w:tc>
      </w:tr>
      <w:tr w:rsidR="002A4DDF" w:rsidRPr="00937C8B" w14:paraId="720832EF" w14:textId="77777777" w:rsidTr="00935676">
        <w:trPr>
          <w:cantSplit/>
        </w:trPr>
        <w:tc>
          <w:tcPr>
            <w:tcW w:w="1696" w:type="dxa"/>
            <w:tcBorders>
              <w:left w:val="single" w:sz="4" w:space="0" w:color="auto"/>
            </w:tcBorders>
            <w:shd w:val="clear" w:color="auto" w:fill="auto"/>
          </w:tcPr>
          <w:p w14:paraId="138EEE27" w14:textId="77777777" w:rsidR="002A4DDF" w:rsidRPr="00937C8B" w:rsidRDefault="002A4DDF" w:rsidP="009110ED">
            <w:pPr>
              <w:rPr>
                <w:rFonts w:cs="Arial"/>
                <w:sz w:val="12"/>
                <w:szCs w:val="12"/>
              </w:rPr>
            </w:pPr>
          </w:p>
        </w:tc>
        <w:tc>
          <w:tcPr>
            <w:tcW w:w="1843" w:type="dxa"/>
            <w:shd w:val="clear" w:color="auto" w:fill="auto"/>
          </w:tcPr>
          <w:p w14:paraId="6D531C04" w14:textId="77777777" w:rsidR="002A4DDF" w:rsidRPr="00937C8B" w:rsidRDefault="002A4DDF" w:rsidP="009110ED">
            <w:pPr>
              <w:rPr>
                <w:rFonts w:cs="Arial"/>
                <w:sz w:val="12"/>
                <w:szCs w:val="12"/>
              </w:rPr>
            </w:pPr>
          </w:p>
        </w:tc>
        <w:tc>
          <w:tcPr>
            <w:tcW w:w="2268" w:type="dxa"/>
            <w:shd w:val="clear" w:color="auto" w:fill="F2F2F2"/>
            <w:hideMark/>
          </w:tcPr>
          <w:p w14:paraId="2866BB18" w14:textId="77777777" w:rsidR="002A4DDF" w:rsidRPr="00937C8B" w:rsidRDefault="002A4DDF" w:rsidP="009110ED">
            <w:pPr>
              <w:rPr>
                <w:rFonts w:cs="Arial"/>
                <w:sz w:val="12"/>
                <w:szCs w:val="12"/>
              </w:rPr>
            </w:pPr>
            <w:r>
              <w:rPr>
                <w:sz w:val="12"/>
                <w:szCs w:val="12"/>
              </w:rPr>
              <w:t>Soto del Barco</w:t>
            </w:r>
          </w:p>
        </w:tc>
        <w:tc>
          <w:tcPr>
            <w:tcW w:w="2268" w:type="dxa"/>
            <w:tcBorders>
              <w:right w:val="single" w:sz="4" w:space="0" w:color="auto"/>
            </w:tcBorders>
            <w:shd w:val="clear" w:color="auto" w:fill="D9D9D9"/>
            <w:hideMark/>
          </w:tcPr>
          <w:p w14:paraId="08244217" w14:textId="77777777" w:rsidR="002A4DDF" w:rsidRPr="00937C8B" w:rsidRDefault="002A4DDF" w:rsidP="009110ED">
            <w:pPr>
              <w:rPr>
                <w:rFonts w:cs="Arial"/>
                <w:sz w:val="12"/>
                <w:szCs w:val="12"/>
              </w:rPr>
            </w:pPr>
          </w:p>
        </w:tc>
      </w:tr>
      <w:tr w:rsidR="002A4DDF" w:rsidRPr="00937C8B" w14:paraId="3F30CE9E" w14:textId="77777777" w:rsidTr="00935676">
        <w:trPr>
          <w:cantSplit/>
        </w:trPr>
        <w:tc>
          <w:tcPr>
            <w:tcW w:w="1696" w:type="dxa"/>
            <w:tcBorders>
              <w:left w:val="single" w:sz="4" w:space="0" w:color="auto"/>
            </w:tcBorders>
            <w:shd w:val="clear" w:color="auto" w:fill="auto"/>
          </w:tcPr>
          <w:p w14:paraId="3F96FF13" w14:textId="77777777" w:rsidR="002A4DDF" w:rsidRPr="00937C8B" w:rsidRDefault="002A4DDF" w:rsidP="009110ED">
            <w:pPr>
              <w:rPr>
                <w:rFonts w:cs="Arial"/>
                <w:sz w:val="12"/>
                <w:szCs w:val="12"/>
              </w:rPr>
            </w:pPr>
          </w:p>
        </w:tc>
        <w:tc>
          <w:tcPr>
            <w:tcW w:w="1843" w:type="dxa"/>
            <w:shd w:val="clear" w:color="auto" w:fill="auto"/>
          </w:tcPr>
          <w:p w14:paraId="1EC4464F" w14:textId="77777777" w:rsidR="002A4DDF" w:rsidRPr="00937C8B" w:rsidRDefault="002A4DDF" w:rsidP="009110ED">
            <w:pPr>
              <w:rPr>
                <w:rFonts w:cs="Arial"/>
                <w:sz w:val="12"/>
                <w:szCs w:val="12"/>
              </w:rPr>
            </w:pPr>
          </w:p>
        </w:tc>
        <w:tc>
          <w:tcPr>
            <w:tcW w:w="2268" w:type="dxa"/>
            <w:shd w:val="clear" w:color="auto" w:fill="F2F2F2"/>
            <w:hideMark/>
          </w:tcPr>
          <w:p w14:paraId="6ACA0656" w14:textId="77777777" w:rsidR="002A4DDF" w:rsidRPr="00937C8B" w:rsidRDefault="002A4DDF" w:rsidP="009110ED">
            <w:pPr>
              <w:rPr>
                <w:rFonts w:cs="Arial"/>
                <w:sz w:val="12"/>
                <w:szCs w:val="12"/>
              </w:rPr>
            </w:pPr>
            <w:r>
              <w:rPr>
                <w:sz w:val="12"/>
                <w:szCs w:val="12"/>
              </w:rPr>
              <w:t>Tapia de Casariego</w:t>
            </w:r>
          </w:p>
        </w:tc>
        <w:tc>
          <w:tcPr>
            <w:tcW w:w="2268" w:type="dxa"/>
            <w:tcBorders>
              <w:right w:val="single" w:sz="4" w:space="0" w:color="auto"/>
            </w:tcBorders>
            <w:shd w:val="clear" w:color="auto" w:fill="D9D9D9"/>
            <w:hideMark/>
          </w:tcPr>
          <w:p w14:paraId="6361EF93" w14:textId="77777777" w:rsidR="002A4DDF" w:rsidRPr="00937C8B" w:rsidRDefault="002A4DDF" w:rsidP="009110ED">
            <w:pPr>
              <w:rPr>
                <w:rFonts w:cs="Arial"/>
                <w:sz w:val="12"/>
                <w:szCs w:val="12"/>
              </w:rPr>
            </w:pPr>
          </w:p>
        </w:tc>
      </w:tr>
      <w:tr w:rsidR="002A4DDF" w:rsidRPr="00937C8B" w14:paraId="6E905978" w14:textId="77777777" w:rsidTr="00935676">
        <w:trPr>
          <w:cantSplit/>
        </w:trPr>
        <w:tc>
          <w:tcPr>
            <w:tcW w:w="1696" w:type="dxa"/>
            <w:tcBorders>
              <w:left w:val="single" w:sz="4" w:space="0" w:color="auto"/>
            </w:tcBorders>
            <w:shd w:val="clear" w:color="auto" w:fill="auto"/>
          </w:tcPr>
          <w:p w14:paraId="4E7352AC" w14:textId="77777777" w:rsidR="002A4DDF" w:rsidRPr="00937C8B" w:rsidRDefault="002A4DDF" w:rsidP="009110ED">
            <w:pPr>
              <w:rPr>
                <w:rFonts w:cs="Arial"/>
                <w:sz w:val="12"/>
                <w:szCs w:val="12"/>
              </w:rPr>
            </w:pPr>
          </w:p>
        </w:tc>
        <w:tc>
          <w:tcPr>
            <w:tcW w:w="1843" w:type="dxa"/>
            <w:shd w:val="clear" w:color="auto" w:fill="auto"/>
          </w:tcPr>
          <w:p w14:paraId="39377111" w14:textId="77777777" w:rsidR="002A4DDF" w:rsidRPr="00937C8B" w:rsidRDefault="002A4DDF" w:rsidP="009110ED">
            <w:pPr>
              <w:rPr>
                <w:rFonts w:cs="Arial"/>
                <w:sz w:val="12"/>
                <w:szCs w:val="12"/>
              </w:rPr>
            </w:pPr>
          </w:p>
        </w:tc>
        <w:tc>
          <w:tcPr>
            <w:tcW w:w="2268" w:type="dxa"/>
            <w:shd w:val="clear" w:color="auto" w:fill="F2F2F2"/>
            <w:hideMark/>
          </w:tcPr>
          <w:p w14:paraId="1EF97830" w14:textId="77777777" w:rsidR="002A4DDF" w:rsidRPr="00937C8B" w:rsidRDefault="002A4DDF" w:rsidP="009110ED">
            <w:pPr>
              <w:rPr>
                <w:rFonts w:cs="Arial"/>
                <w:sz w:val="12"/>
                <w:szCs w:val="12"/>
              </w:rPr>
            </w:pPr>
            <w:r>
              <w:rPr>
                <w:sz w:val="12"/>
                <w:szCs w:val="12"/>
              </w:rPr>
              <w:t>Taramundi</w:t>
            </w:r>
          </w:p>
        </w:tc>
        <w:tc>
          <w:tcPr>
            <w:tcW w:w="2268" w:type="dxa"/>
            <w:tcBorders>
              <w:right w:val="single" w:sz="4" w:space="0" w:color="auto"/>
            </w:tcBorders>
            <w:shd w:val="clear" w:color="auto" w:fill="D9D9D9"/>
            <w:hideMark/>
          </w:tcPr>
          <w:p w14:paraId="63848933" w14:textId="77777777" w:rsidR="002A4DDF" w:rsidRPr="00937C8B" w:rsidRDefault="002A4DDF" w:rsidP="009110ED">
            <w:pPr>
              <w:rPr>
                <w:rFonts w:cs="Arial"/>
                <w:sz w:val="12"/>
                <w:szCs w:val="12"/>
              </w:rPr>
            </w:pPr>
          </w:p>
        </w:tc>
      </w:tr>
      <w:tr w:rsidR="002A4DDF" w:rsidRPr="00937C8B" w14:paraId="436AC4B5" w14:textId="77777777" w:rsidTr="00935676">
        <w:trPr>
          <w:cantSplit/>
        </w:trPr>
        <w:tc>
          <w:tcPr>
            <w:tcW w:w="1696" w:type="dxa"/>
            <w:tcBorders>
              <w:left w:val="single" w:sz="4" w:space="0" w:color="auto"/>
            </w:tcBorders>
            <w:shd w:val="clear" w:color="auto" w:fill="auto"/>
          </w:tcPr>
          <w:p w14:paraId="32C538AC" w14:textId="77777777" w:rsidR="002A4DDF" w:rsidRPr="00937C8B" w:rsidRDefault="002A4DDF" w:rsidP="009110ED">
            <w:pPr>
              <w:rPr>
                <w:rFonts w:cs="Arial"/>
                <w:sz w:val="12"/>
                <w:szCs w:val="12"/>
              </w:rPr>
            </w:pPr>
          </w:p>
        </w:tc>
        <w:tc>
          <w:tcPr>
            <w:tcW w:w="1843" w:type="dxa"/>
            <w:shd w:val="clear" w:color="auto" w:fill="auto"/>
          </w:tcPr>
          <w:p w14:paraId="531BDD80" w14:textId="77777777" w:rsidR="002A4DDF" w:rsidRPr="00937C8B" w:rsidRDefault="002A4DDF" w:rsidP="009110ED">
            <w:pPr>
              <w:rPr>
                <w:rFonts w:cs="Arial"/>
                <w:sz w:val="12"/>
                <w:szCs w:val="12"/>
              </w:rPr>
            </w:pPr>
          </w:p>
        </w:tc>
        <w:tc>
          <w:tcPr>
            <w:tcW w:w="2268" w:type="dxa"/>
            <w:shd w:val="clear" w:color="auto" w:fill="F2F2F2"/>
            <w:hideMark/>
          </w:tcPr>
          <w:p w14:paraId="6F0D481F" w14:textId="77777777" w:rsidR="002A4DDF" w:rsidRPr="00937C8B" w:rsidRDefault="002A4DDF" w:rsidP="009110ED">
            <w:pPr>
              <w:rPr>
                <w:rFonts w:cs="Arial"/>
                <w:sz w:val="12"/>
                <w:szCs w:val="12"/>
              </w:rPr>
            </w:pPr>
            <w:r>
              <w:rPr>
                <w:sz w:val="12"/>
                <w:szCs w:val="12"/>
              </w:rPr>
              <w:t>Teverga</w:t>
            </w:r>
          </w:p>
        </w:tc>
        <w:tc>
          <w:tcPr>
            <w:tcW w:w="2268" w:type="dxa"/>
            <w:tcBorders>
              <w:right w:val="single" w:sz="4" w:space="0" w:color="auto"/>
            </w:tcBorders>
            <w:shd w:val="clear" w:color="auto" w:fill="D9D9D9"/>
            <w:hideMark/>
          </w:tcPr>
          <w:p w14:paraId="6B94B82F" w14:textId="77777777" w:rsidR="002A4DDF" w:rsidRPr="00937C8B" w:rsidRDefault="002A4DDF" w:rsidP="009110ED">
            <w:pPr>
              <w:rPr>
                <w:rFonts w:cs="Arial"/>
                <w:sz w:val="12"/>
                <w:szCs w:val="12"/>
              </w:rPr>
            </w:pPr>
          </w:p>
        </w:tc>
      </w:tr>
      <w:tr w:rsidR="002A4DDF" w:rsidRPr="00937C8B" w14:paraId="47AD8B35" w14:textId="77777777" w:rsidTr="00935676">
        <w:trPr>
          <w:cantSplit/>
        </w:trPr>
        <w:tc>
          <w:tcPr>
            <w:tcW w:w="1696" w:type="dxa"/>
            <w:tcBorders>
              <w:left w:val="single" w:sz="4" w:space="0" w:color="auto"/>
            </w:tcBorders>
            <w:shd w:val="clear" w:color="auto" w:fill="auto"/>
          </w:tcPr>
          <w:p w14:paraId="7209214D" w14:textId="77777777" w:rsidR="002A4DDF" w:rsidRPr="00937C8B" w:rsidRDefault="002A4DDF" w:rsidP="009110ED">
            <w:pPr>
              <w:rPr>
                <w:rFonts w:cs="Arial"/>
                <w:sz w:val="12"/>
                <w:szCs w:val="12"/>
              </w:rPr>
            </w:pPr>
          </w:p>
        </w:tc>
        <w:tc>
          <w:tcPr>
            <w:tcW w:w="1843" w:type="dxa"/>
            <w:shd w:val="clear" w:color="auto" w:fill="auto"/>
          </w:tcPr>
          <w:p w14:paraId="634F8719" w14:textId="77777777" w:rsidR="002A4DDF" w:rsidRPr="00937C8B" w:rsidRDefault="002A4DDF" w:rsidP="009110ED">
            <w:pPr>
              <w:rPr>
                <w:rFonts w:cs="Arial"/>
                <w:sz w:val="12"/>
                <w:szCs w:val="12"/>
              </w:rPr>
            </w:pPr>
          </w:p>
        </w:tc>
        <w:tc>
          <w:tcPr>
            <w:tcW w:w="2268" w:type="dxa"/>
            <w:shd w:val="clear" w:color="auto" w:fill="F2F2F2"/>
            <w:hideMark/>
          </w:tcPr>
          <w:p w14:paraId="7CFEBB4C" w14:textId="77777777" w:rsidR="002A4DDF" w:rsidRPr="00937C8B" w:rsidRDefault="002A4DDF" w:rsidP="009110ED">
            <w:pPr>
              <w:rPr>
                <w:rFonts w:cs="Arial"/>
                <w:sz w:val="12"/>
                <w:szCs w:val="12"/>
              </w:rPr>
            </w:pPr>
            <w:r>
              <w:rPr>
                <w:sz w:val="12"/>
                <w:szCs w:val="12"/>
              </w:rPr>
              <w:t>Vegadeo</w:t>
            </w:r>
          </w:p>
        </w:tc>
        <w:tc>
          <w:tcPr>
            <w:tcW w:w="2268" w:type="dxa"/>
            <w:tcBorders>
              <w:right w:val="single" w:sz="4" w:space="0" w:color="auto"/>
            </w:tcBorders>
            <w:shd w:val="clear" w:color="auto" w:fill="D9D9D9"/>
            <w:hideMark/>
          </w:tcPr>
          <w:p w14:paraId="53643E0E" w14:textId="77777777" w:rsidR="002A4DDF" w:rsidRPr="00937C8B" w:rsidRDefault="002A4DDF" w:rsidP="009110ED">
            <w:pPr>
              <w:rPr>
                <w:rFonts w:cs="Arial"/>
                <w:sz w:val="12"/>
                <w:szCs w:val="12"/>
              </w:rPr>
            </w:pPr>
          </w:p>
        </w:tc>
      </w:tr>
      <w:tr w:rsidR="002A4DDF" w:rsidRPr="00937C8B" w14:paraId="7D50B995" w14:textId="77777777" w:rsidTr="00935676">
        <w:trPr>
          <w:cantSplit/>
        </w:trPr>
        <w:tc>
          <w:tcPr>
            <w:tcW w:w="1696" w:type="dxa"/>
            <w:tcBorders>
              <w:left w:val="single" w:sz="4" w:space="0" w:color="auto"/>
            </w:tcBorders>
            <w:shd w:val="clear" w:color="auto" w:fill="auto"/>
          </w:tcPr>
          <w:p w14:paraId="67C24E36" w14:textId="77777777" w:rsidR="002A4DDF" w:rsidRPr="00937C8B" w:rsidRDefault="002A4DDF" w:rsidP="009110ED">
            <w:pPr>
              <w:rPr>
                <w:rFonts w:cs="Arial"/>
                <w:sz w:val="12"/>
                <w:szCs w:val="12"/>
              </w:rPr>
            </w:pPr>
          </w:p>
        </w:tc>
        <w:tc>
          <w:tcPr>
            <w:tcW w:w="1843" w:type="dxa"/>
            <w:shd w:val="clear" w:color="auto" w:fill="auto"/>
          </w:tcPr>
          <w:p w14:paraId="243F6548" w14:textId="77777777" w:rsidR="002A4DDF" w:rsidRPr="00937C8B" w:rsidRDefault="002A4DDF" w:rsidP="009110ED">
            <w:pPr>
              <w:rPr>
                <w:rFonts w:cs="Arial"/>
                <w:sz w:val="12"/>
                <w:szCs w:val="12"/>
              </w:rPr>
            </w:pPr>
          </w:p>
        </w:tc>
        <w:tc>
          <w:tcPr>
            <w:tcW w:w="2268" w:type="dxa"/>
            <w:shd w:val="clear" w:color="auto" w:fill="F2F2F2"/>
            <w:hideMark/>
          </w:tcPr>
          <w:p w14:paraId="2F1D31B5" w14:textId="77777777" w:rsidR="002A4DDF" w:rsidRPr="00937C8B" w:rsidRDefault="002A4DDF" w:rsidP="009110ED">
            <w:pPr>
              <w:rPr>
                <w:rFonts w:cs="Arial"/>
                <w:sz w:val="12"/>
                <w:szCs w:val="12"/>
              </w:rPr>
            </w:pPr>
            <w:r>
              <w:rPr>
                <w:sz w:val="12"/>
                <w:szCs w:val="12"/>
              </w:rPr>
              <w:t>Villanueva de Oscos</w:t>
            </w:r>
          </w:p>
        </w:tc>
        <w:tc>
          <w:tcPr>
            <w:tcW w:w="2268" w:type="dxa"/>
            <w:tcBorders>
              <w:right w:val="single" w:sz="4" w:space="0" w:color="auto"/>
            </w:tcBorders>
            <w:shd w:val="clear" w:color="auto" w:fill="D9D9D9"/>
            <w:hideMark/>
          </w:tcPr>
          <w:p w14:paraId="0E08A939" w14:textId="77777777" w:rsidR="002A4DDF" w:rsidRPr="00937C8B" w:rsidRDefault="002A4DDF" w:rsidP="009110ED">
            <w:pPr>
              <w:rPr>
                <w:rFonts w:cs="Arial"/>
                <w:sz w:val="12"/>
                <w:szCs w:val="12"/>
              </w:rPr>
            </w:pPr>
          </w:p>
        </w:tc>
      </w:tr>
      <w:tr w:rsidR="002A4DDF" w:rsidRPr="00937C8B" w14:paraId="048800C0" w14:textId="77777777" w:rsidTr="00935676">
        <w:trPr>
          <w:cantSplit/>
        </w:trPr>
        <w:tc>
          <w:tcPr>
            <w:tcW w:w="1696" w:type="dxa"/>
            <w:tcBorders>
              <w:left w:val="single" w:sz="4" w:space="0" w:color="auto"/>
            </w:tcBorders>
            <w:shd w:val="clear" w:color="auto" w:fill="auto"/>
          </w:tcPr>
          <w:p w14:paraId="1CEC8D15" w14:textId="77777777" w:rsidR="002A4DDF" w:rsidRPr="00937C8B" w:rsidRDefault="002A4DDF" w:rsidP="009110ED">
            <w:pPr>
              <w:rPr>
                <w:rFonts w:cs="Arial"/>
                <w:sz w:val="12"/>
                <w:szCs w:val="12"/>
              </w:rPr>
            </w:pPr>
            <w:r>
              <w:rPr>
                <w:sz w:val="12"/>
                <w:szCs w:val="12"/>
              </w:rPr>
              <w:t>Principauté des Asturies</w:t>
            </w:r>
          </w:p>
        </w:tc>
        <w:tc>
          <w:tcPr>
            <w:tcW w:w="1843" w:type="dxa"/>
            <w:shd w:val="clear" w:color="auto" w:fill="auto"/>
          </w:tcPr>
          <w:p w14:paraId="39ED0D29" w14:textId="77777777" w:rsidR="002A4DDF" w:rsidRPr="00937C8B" w:rsidRDefault="002A4DDF" w:rsidP="009110ED">
            <w:pPr>
              <w:rPr>
                <w:rFonts w:cs="Arial"/>
                <w:sz w:val="12"/>
                <w:szCs w:val="12"/>
              </w:rPr>
            </w:pPr>
            <w:r>
              <w:rPr>
                <w:sz w:val="12"/>
                <w:szCs w:val="12"/>
              </w:rPr>
              <w:t>Asturies</w:t>
            </w:r>
          </w:p>
        </w:tc>
        <w:tc>
          <w:tcPr>
            <w:tcW w:w="2268" w:type="dxa"/>
            <w:shd w:val="clear" w:color="auto" w:fill="F2F2F2"/>
            <w:hideMark/>
          </w:tcPr>
          <w:p w14:paraId="561EB004" w14:textId="77777777" w:rsidR="002A4DDF" w:rsidRPr="00937C8B" w:rsidRDefault="002A4DDF" w:rsidP="009110ED">
            <w:pPr>
              <w:rPr>
                <w:rFonts w:cs="Arial"/>
                <w:sz w:val="12"/>
                <w:szCs w:val="12"/>
              </w:rPr>
            </w:pPr>
            <w:r>
              <w:rPr>
                <w:sz w:val="12"/>
                <w:szCs w:val="12"/>
              </w:rPr>
              <w:t>Villayón</w:t>
            </w:r>
          </w:p>
        </w:tc>
        <w:tc>
          <w:tcPr>
            <w:tcW w:w="2268" w:type="dxa"/>
            <w:tcBorders>
              <w:right w:val="single" w:sz="4" w:space="0" w:color="auto"/>
            </w:tcBorders>
            <w:shd w:val="clear" w:color="auto" w:fill="D9D9D9"/>
            <w:hideMark/>
          </w:tcPr>
          <w:p w14:paraId="72536649" w14:textId="77777777" w:rsidR="002A4DDF" w:rsidRPr="00937C8B" w:rsidRDefault="002A4DDF" w:rsidP="009110ED">
            <w:pPr>
              <w:rPr>
                <w:rFonts w:cs="Arial"/>
                <w:sz w:val="12"/>
                <w:szCs w:val="12"/>
              </w:rPr>
            </w:pPr>
          </w:p>
        </w:tc>
      </w:tr>
    </w:tbl>
    <w:p w14:paraId="70916D89" w14:textId="77777777" w:rsidR="00431690" w:rsidRPr="00937C8B" w:rsidRDefault="00431690" w:rsidP="00431690">
      <w:pPr>
        <w:tabs>
          <w:tab w:val="left" w:pos="567"/>
        </w:tabs>
        <w:rPr>
          <w:b/>
          <w:sz w:val="28"/>
          <w:szCs w:val="28"/>
        </w:rPr>
      </w:pPr>
      <w:bookmarkStart w:id="383" w:name="_Toc309145613"/>
      <w:bookmarkStart w:id="384" w:name="_Toc309145614"/>
    </w:p>
    <w:p w14:paraId="16240BEB" w14:textId="77777777" w:rsidR="00431690" w:rsidRPr="00937C8B" w:rsidRDefault="00431690" w:rsidP="0084739B">
      <w:pPr>
        <w:pageBreakBefore/>
        <w:rPr>
          <w:rFonts w:ascii="Arial" w:hAnsi="Arial" w:cs="Arial"/>
          <w:b/>
          <w:sz w:val="28"/>
          <w:szCs w:val="28"/>
        </w:rPr>
      </w:pPr>
      <w:r>
        <w:rPr>
          <w:rFonts w:ascii="Arial" w:hAnsi="Arial"/>
          <w:b/>
          <w:sz w:val="28"/>
          <w:szCs w:val="28"/>
        </w:rPr>
        <w:lastRenderedPageBreak/>
        <w:t xml:space="preserve">Annexe C Détermination de la </w:t>
      </w:r>
      <w:r>
        <w:rPr>
          <w:rFonts w:ascii="Arial" w:hAnsi="Arial"/>
          <w:b/>
          <w:i/>
          <w:iCs/>
          <w:sz w:val="28"/>
          <w:szCs w:val="28"/>
        </w:rPr>
        <w:t>moyenne annuelle de concentration de radon</w:t>
      </w:r>
      <w:r>
        <w:rPr>
          <w:rFonts w:ascii="Arial" w:hAnsi="Arial"/>
          <w:b/>
          <w:sz w:val="28"/>
          <w:szCs w:val="28"/>
        </w:rPr>
        <w:t xml:space="preserve"> </w:t>
      </w:r>
      <w:bookmarkEnd w:id="383"/>
      <w:r>
        <w:rPr>
          <w:rFonts w:ascii="Arial" w:hAnsi="Arial"/>
          <w:b/>
          <w:sz w:val="28"/>
          <w:szCs w:val="28"/>
        </w:rPr>
        <w:t xml:space="preserve">dans l’air des </w:t>
      </w:r>
      <w:r>
        <w:rPr>
          <w:rFonts w:ascii="Arial" w:hAnsi="Arial"/>
          <w:b/>
          <w:i/>
          <w:iCs/>
          <w:sz w:val="28"/>
          <w:szCs w:val="28"/>
        </w:rPr>
        <w:t>enceintes habitables</w:t>
      </w:r>
      <w:r>
        <w:rPr>
          <w:rFonts w:ascii="Arial" w:hAnsi="Arial"/>
          <w:b/>
          <w:sz w:val="28"/>
          <w:szCs w:val="28"/>
        </w:rPr>
        <w:t xml:space="preserve"> d’un bâtiment</w:t>
      </w:r>
    </w:p>
    <w:p w14:paraId="7FEA069E" w14:textId="77777777" w:rsidR="00431690" w:rsidRPr="00937C8B" w:rsidRDefault="00431690" w:rsidP="00431690">
      <w:pPr>
        <w:keepNext/>
        <w:tabs>
          <w:tab w:val="left" w:pos="426"/>
        </w:tabs>
        <w:spacing w:before="480" w:after="160"/>
        <w:outlineLvl w:val="0"/>
        <w:rPr>
          <w:rFonts w:ascii="Arial" w:eastAsia="Calibri" w:hAnsi="Arial" w:cs="Arial"/>
          <w:b/>
          <w:bCs/>
          <w:noProof/>
          <w:kern w:val="32"/>
          <w:sz w:val="28"/>
          <w:szCs w:val="28"/>
        </w:rPr>
      </w:pPr>
      <w:bookmarkStart w:id="385" w:name="_Toc39158010"/>
      <w:bookmarkStart w:id="386" w:name="_Toc39158170"/>
      <w:r>
        <w:rPr>
          <w:rFonts w:ascii="Arial" w:hAnsi="Arial"/>
          <w:b/>
          <w:bCs/>
          <w:sz w:val="28"/>
          <w:szCs w:val="28"/>
        </w:rPr>
        <w:t>1  Généralités</w:t>
      </w:r>
      <w:bookmarkEnd w:id="385"/>
      <w:bookmarkEnd w:id="386"/>
    </w:p>
    <w:p w14:paraId="500CC9D8" w14:textId="77777777" w:rsidR="00431690" w:rsidRPr="00937C8B" w:rsidRDefault="00431690" w:rsidP="00CE59B1">
      <w:pPr>
        <w:numPr>
          <w:ilvl w:val="0"/>
          <w:numId w:val="53"/>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 xml:space="preserve">Cette annexe présente les spécifications de base pour déterminer la </w:t>
      </w:r>
      <w:r>
        <w:rPr>
          <w:rFonts w:ascii="Arial" w:hAnsi="Arial"/>
          <w:i/>
          <w:iCs/>
          <w:sz w:val="20"/>
          <w:szCs w:val="20"/>
        </w:rPr>
        <w:t>moyenne annuelle de concentration de radon</w:t>
      </w:r>
      <w:r>
        <w:rPr>
          <w:rFonts w:ascii="Arial" w:hAnsi="Arial"/>
          <w:sz w:val="20"/>
          <w:szCs w:val="20"/>
        </w:rPr>
        <w:t xml:space="preserve"> (Rn-222) dans l'air des </w:t>
      </w:r>
      <w:r>
        <w:rPr>
          <w:rFonts w:ascii="Arial" w:hAnsi="Arial"/>
          <w:i/>
          <w:iCs/>
          <w:sz w:val="20"/>
          <w:szCs w:val="20"/>
        </w:rPr>
        <w:t>enceintes habitables</w:t>
      </w:r>
      <w:r>
        <w:rPr>
          <w:rFonts w:ascii="Arial" w:hAnsi="Arial"/>
          <w:sz w:val="20"/>
          <w:szCs w:val="20"/>
        </w:rPr>
        <w:t xml:space="preserve"> d'un bâtiment. Le processus de détermination s’articule en trois phases: l’échantillonnage, la mesure et l’estimation de la </w:t>
      </w:r>
      <w:r>
        <w:rPr>
          <w:rFonts w:ascii="Arial" w:hAnsi="Arial"/>
          <w:i/>
          <w:iCs/>
          <w:sz w:val="20"/>
          <w:szCs w:val="20"/>
        </w:rPr>
        <w:t>moyenne annuelle de concentration de radon</w:t>
      </w:r>
      <w:r>
        <w:rPr>
          <w:rFonts w:ascii="Arial" w:hAnsi="Arial"/>
          <w:sz w:val="20"/>
          <w:szCs w:val="20"/>
        </w:rPr>
        <w:t>.</w:t>
      </w:r>
    </w:p>
    <w:p w14:paraId="15A8336C" w14:textId="77777777" w:rsidR="00431690" w:rsidRPr="00937C8B" w:rsidRDefault="00431690" w:rsidP="00CE59B1">
      <w:pPr>
        <w:numPr>
          <w:ilvl w:val="0"/>
          <w:numId w:val="53"/>
        </w:numPr>
        <w:tabs>
          <w:tab w:val="left"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L'unité de mesure utilisée est le becquerel par mètre cube (Bq/m</w:t>
      </w:r>
      <w:r>
        <w:rPr>
          <w:rFonts w:ascii="Arial" w:hAnsi="Arial"/>
          <w:sz w:val="20"/>
          <w:szCs w:val="20"/>
          <w:vertAlign w:val="superscript"/>
        </w:rPr>
        <w:t>3</w:t>
      </w:r>
      <w:r>
        <w:rPr>
          <w:rFonts w:ascii="Arial" w:hAnsi="Arial"/>
          <w:sz w:val="20"/>
          <w:szCs w:val="20"/>
        </w:rPr>
        <w:t>).</w:t>
      </w:r>
    </w:p>
    <w:p w14:paraId="70C96270" w14:textId="77777777" w:rsidR="00431690" w:rsidRPr="00937C8B" w:rsidRDefault="00431690" w:rsidP="00431690">
      <w:pPr>
        <w:keepNext/>
        <w:tabs>
          <w:tab w:val="left" w:pos="426"/>
        </w:tabs>
        <w:spacing w:before="480" w:after="160"/>
        <w:outlineLvl w:val="0"/>
        <w:rPr>
          <w:rFonts w:ascii="Arial" w:eastAsia="Calibri" w:hAnsi="Arial" w:cs="Arial"/>
          <w:b/>
          <w:bCs/>
          <w:kern w:val="32"/>
          <w:sz w:val="28"/>
          <w:szCs w:val="28"/>
        </w:rPr>
      </w:pPr>
      <w:bookmarkStart w:id="387" w:name="_Toc39158011"/>
      <w:bookmarkStart w:id="388" w:name="_Toc39158171"/>
      <w:r>
        <w:rPr>
          <w:rFonts w:ascii="Arial" w:hAnsi="Arial"/>
          <w:b/>
          <w:bCs/>
          <w:sz w:val="28"/>
          <w:szCs w:val="28"/>
        </w:rPr>
        <w:t>2</w:t>
      </w:r>
      <w:r>
        <w:rPr>
          <w:rFonts w:ascii="Arial" w:hAnsi="Arial"/>
          <w:b/>
          <w:bCs/>
          <w:sz w:val="28"/>
          <w:szCs w:val="28"/>
        </w:rPr>
        <w:tab/>
        <w:t>Échantillonnage</w:t>
      </w:r>
      <w:bookmarkEnd w:id="387"/>
      <w:bookmarkEnd w:id="388"/>
    </w:p>
    <w:p w14:paraId="78D26955" w14:textId="77777777" w:rsidR="00431690" w:rsidRPr="00937C8B" w:rsidRDefault="00431690" w:rsidP="00B128CB">
      <w:pPr>
        <w:numPr>
          <w:ilvl w:val="0"/>
          <w:numId w:val="54"/>
        </w:numPr>
        <w:tabs>
          <w:tab w:val="left"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La phase d'échantillonnage est déterminée par le concepteur, l’entité de gestion ou l'entité de contrôle.</w:t>
      </w:r>
    </w:p>
    <w:p w14:paraId="3B1FCB74" w14:textId="77777777" w:rsidR="00431690" w:rsidRPr="00937C8B" w:rsidRDefault="00431690" w:rsidP="00431690">
      <w:pPr>
        <w:tabs>
          <w:tab w:val="left" w:pos="0"/>
          <w:tab w:val="left" w:pos="426"/>
        </w:tabs>
        <w:spacing w:before="280" w:after="100"/>
        <w:rPr>
          <w:rFonts w:ascii="Arial" w:eastAsia="Calibri" w:hAnsi="Arial" w:cs="Arial"/>
          <w:b/>
          <w:bCs/>
          <w:noProof/>
        </w:rPr>
      </w:pPr>
      <w:r>
        <w:rPr>
          <w:rFonts w:ascii="Arial" w:hAnsi="Arial"/>
          <w:b/>
          <w:bCs/>
        </w:rPr>
        <w:t>2.1</w:t>
      </w:r>
      <w:r>
        <w:rPr>
          <w:rFonts w:ascii="Arial" w:hAnsi="Arial"/>
          <w:b/>
          <w:bCs/>
        </w:rPr>
        <w:tab/>
        <w:t>Détermination du nombre de détecteurs</w:t>
      </w:r>
    </w:p>
    <w:p w14:paraId="4DCCF86E" w14:textId="77777777" w:rsidR="00431690" w:rsidRPr="00937C8B" w:rsidRDefault="00431690" w:rsidP="00B128CB">
      <w:pPr>
        <w:numPr>
          <w:ilvl w:val="0"/>
          <w:numId w:val="5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Pour déterminer le nombre de détecteurs à utiliser, il convient de définir tout d’abord les zones d'échantillonnage nécessaires dans le bâtiment.</w:t>
      </w:r>
    </w:p>
    <w:p w14:paraId="4B638541" w14:textId="77777777" w:rsidR="00431690" w:rsidRPr="00937C8B" w:rsidRDefault="00431690" w:rsidP="00E42FD8">
      <w:pPr>
        <w:keepNext/>
        <w:numPr>
          <w:ilvl w:val="0"/>
          <w:numId w:val="5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Les zones d'échantillonnage seront établies dans les étages du bâtiment présentant la plus forte probabilité d’afficher des niveaux élevés de radon. En particulier:</w:t>
      </w:r>
    </w:p>
    <w:p w14:paraId="43FBDAAA" w14:textId="77777777" w:rsidR="00431690" w:rsidRPr="00937C8B" w:rsidRDefault="00431690" w:rsidP="00425ADA">
      <w:pPr>
        <w:numPr>
          <w:ilvl w:val="0"/>
          <w:numId w:val="60"/>
        </w:numPr>
        <w:suppressAutoHyphens/>
        <w:spacing w:before="60" w:after="60" w:line="259" w:lineRule="auto"/>
        <w:ind w:left="851" w:hanging="425"/>
        <w:jc w:val="both"/>
        <w:rPr>
          <w:rFonts w:ascii="Arial" w:eastAsia="Calibri" w:hAnsi="Arial" w:cs="Arial"/>
          <w:sz w:val="20"/>
          <w:szCs w:val="20"/>
        </w:rPr>
      </w:pPr>
      <w:r>
        <w:rPr>
          <w:rFonts w:ascii="Arial" w:hAnsi="Arial"/>
          <w:sz w:val="20"/>
          <w:szCs w:val="20"/>
        </w:rPr>
        <w:t>en sous-sol, à chacun des étages disposant d’</w:t>
      </w:r>
      <w:r>
        <w:rPr>
          <w:rFonts w:ascii="Arial" w:hAnsi="Arial"/>
          <w:i/>
          <w:iCs/>
          <w:sz w:val="20"/>
          <w:szCs w:val="20"/>
        </w:rPr>
        <w:t>enceintes habitables</w:t>
      </w:r>
      <w:r>
        <w:rPr>
          <w:rFonts w:ascii="Arial" w:hAnsi="Arial"/>
          <w:sz w:val="20"/>
          <w:szCs w:val="20"/>
        </w:rPr>
        <w:t>;</w:t>
      </w:r>
    </w:p>
    <w:p w14:paraId="3000939C" w14:textId="77777777" w:rsidR="00431690" w:rsidRPr="00937C8B" w:rsidRDefault="00431690" w:rsidP="00425ADA">
      <w:pPr>
        <w:numPr>
          <w:ilvl w:val="0"/>
          <w:numId w:val="60"/>
        </w:numPr>
        <w:suppressAutoHyphens/>
        <w:spacing w:before="60" w:after="60" w:line="259" w:lineRule="auto"/>
        <w:ind w:left="851" w:hanging="425"/>
        <w:jc w:val="both"/>
        <w:rPr>
          <w:rFonts w:ascii="Arial" w:eastAsia="Calibri" w:hAnsi="Arial" w:cs="Arial"/>
          <w:sz w:val="20"/>
          <w:szCs w:val="20"/>
        </w:rPr>
      </w:pPr>
      <w:r>
        <w:rPr>
          <w:rFonts w:ascii="Arial" w:hAnsi="Arial"/>
          <w:sz w:val="20"/>
          <w:szCs w:val="20"/>
        </w:rPr>
        <w:t>au-dessus du sol, dans les deux étages inférieurs disposant d’</w:t>
      </w:r>
      <w:r>
        <w:rPr>
          <w:rFonts w:ascii="Arial" w:hAnsi="Arial"/>
          <w:i/>
          <w:iCs/>
          <w:sz w:val="20"/>
          <w:szCs w:val="20"/>
        </w:rPr>
        <w:t>enceintes habitables</w:t>
      </w:r>
      <w:r>
        <w:rPr>
          <w:rFonts w:ascii="Arial" w:hAnsi="Arial"/>
          <w:sz w:val="20"/>
          <w:szCs w:val="20"/>
        </w:rPr>
        <w:t>.</w:t>
      </w:r>
    </w:p>
    <w:p w14:paraId="212B9812" w14:textId="77777777" w:rsidR="00431690" w:rsidRPr="00937C8B" w:rsidRDefault="00431690" w:rsidP="00E42FD8">
      <w:pPr>
        <w:keepNext/>
        <w:numPr>
          <w:ilvl w:val="0"/>
          <w:numId w:val="56"/>
        </w:numPr>
        <w:tabs>
          <w:tab w:val="num" w:pos="709"/>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Les critères suivants doivent être pris en compte pour délimiter les zones d'échantillonnage:</w:t>
      </w:r>
    </w:p>
    <w:p w14:paraId="2075C08F" w14:textId="77777777" w:rsidR="00431690" w:rsidRPr="00937C8B" w:rsidRDefault="00431690" w:rsidP="00E42FD8">
      <w:pPr>
        <w:keepNext/>
        <w:numPr>
          <w:ilvl w:val="1"/>
          <w:numId w:val="65"/>
        </w:numPr>
        <w:suppressAutoHyphens/>
        <w:spacing w:before="60" w:after="60" w:line="259" w:lineRule="auto"/>
        <w:ind w:left="851" w:hanging="425"/>
        <w:jc w:val="both"/>
        <w:rPr>
          <w:rFonts w:ascii="Arial" w:eastAsia="Calibri" w:hAnsi="Arial" w:cs="Arial"/>
          <w:sz w:val="20"/>
          <w:szCs w:val="20"/>
        </w:rPr>
      </w:pPr>
      <w:r>
        <w:rPr>
          <w:rFonts w:ascii="Arial" w:hAnsi="Arial"/>
          <w:sz w:val="20"/>
          <w:szCs w:val="20"/>
        </w:rPr>
        <w:t xml:space="preserve">Il convient d’établir, dans chaque </w:t>
      </w:r>
      <w:r>
        <w:rPr>
          <w:rFonts w:ascii="Arial" w:hAnsi="Arial"/>
          <w:i/>
          <w:iCs/>
          <w:sz w:val="20"/>
          <w:szCs w:val="20"/>
        </w:rPr>
        <w:t>unité d'utilisation</w:t>
      </w:r>
      <w:r>
        <w:rPr>
          <w:rFonts w:ascii="Arial" w:hAnsi="Arial"/>
          <w:sz w:val="20"/>
          <w:szCs w:val="20"/>
        </w:rPr>
        <w:t>, au moins:</w:t>
      </w:r>
    </w:p>
    <w:p w14:paraId="6068F581" w14:textId="77777777" w:rsidR="00431690" w:rsidRPr="00937C8B" w:rsidRDefault="00431690" w:rsidP="00425ADA">
      <w:pPr>
        <w:pStyle w:val="Paragraphedeliste"/>
        <w:numPr>
          <w:ilvl w:val="7"/>
          <w:numId w:val="29"/>
        </w:numPr>
        <w:tabs>
          <w:tab w:val="clear" w:pos="1080"/>
          <w:tab w:val="num" w:pos="1418"/>
        </w:tabs>
        <w:suppressAutoHyphens/>
        <w:spacing w:before="60" w:after="60"/>
        <w:ind w:left="1418" w:hanging="425"/>
        <w:jc w:val="both"/>
        <w:rPr>
          <w:rFonts w:ascii="Arial" w:hAnsi="Arial" w:cs="Arial"/>
          <w:sz w:val="20"/>
          <w:szCs w:val="20"/>
        </w:rPr>
      </w:pPr>
      <w:r>
        <w:rPr>
          <w:rFonts w:ascii="Arial" w:hAnsi="Arial"/>
          <w:sz w:val="20"/>
          <w:szCs w:val="20"/>
        </w:rPr>
        <w:t>une zone d'échantillonnage par 200 m</w:t>
      </w:r>
      <w:r>
        <w:rPr>
          <w:rFonts w:ascii="Arial" w:hAnsi="Arial"/>
          <w:sz w:val="20"/>
          <w:szCs w:val="20"/>
          <w:vertAlign w:val="superscript"/>
        </w:rPr>
        <w:t>2</w:t>
      </w:r>
      <w:r>
        <w:rPr>
          <w:rFonts w:ascii="Arial" w:hAnsi="Arial"/>
          <w:sz w:val="20"/>
          <w:szCs w:val="20"/>
        </w:rPr>
        <w:t xml:space="preserve"> de surface utile;</w:t>
      </w:r>
    </w:p>
    <w:p w14:paraId="359F419C" w14:textId="77777777" w:rsidR="00431690" w:rsidRPr="00937C8B" w:rsidRDefault="00431690" w:rsidP="00425ADA">
      <w:pPr>
        <w:pStyle w:val="Paragraphedeliste"/>
        <w:numPr>
          <w:ilvl w:val="7"/>
          <w:numId w:val="29"/>
        </w:numPr>
        <w:tabs>
          <w:tab w:val="clear" w:pos="1080"/>
          <w:tab w:val="num" w:pos="1418"/>
        </w:tabs>
        <w:suppressAutoHyphens/>
        <w:spacing w:before="60" w:after="60"/>
        <w:ind w:left="1418" w:hanging="425"/>
        <w:jc w:val="both"/>
        <w:rPr>
          <w:rFonts w:ascii="Arial" w:hAnsi="Arial" w:cs="Arial"/>
          <w:sz w:val="20"/>
          <w:szCs w:val="20"/>
        </w:rPr>
      </w:pPr>
      <w:r>
        <w:rPr>
          <w:rFonts w:ascii="Arial" w:hAnsi="Arial"/>
          <w:sz w:val="20"/>
          <w:szCs w:val="20"/>
        </w:rPr>
        <w:t>une zone d’échantillonnage par étage.</w:t>
      </w:r>
    </w:p>
    <w:p w14:paraId="39A4DF27" w14:textId="77777777" w:rsidR="00431690" w:rsidRPr="00937C8B" w:rsidRDefault="00431690" w:rsidP="00E42FD8">
      <w:pPr>
        <w:keepNext/>
        <w:numPr>
          <w:ilvl w:val="1"/>
          <w:numId w:val="65"/>
        </w:numPr>
        <w:suppressAutoHyphens/>
        <w:spacing w:before="60" w:after="60" w:line="259" w:lineRule="auto"/>
        <w:ind w:left="851" w:hanging="425"/>
        <w:jc w:val="both"/>
        <w:rPr>
          <w:rFonts w:ascii="Arial" w:eastAsia="Calibri" w:hAnsi="Arial" w:cs="Arial"/>
          <w:sz w:val="20"/>
          <w:szCs w:val="20"/>
        </w:rPr>
      </w:pPr>
      <w:r>
        <w:rPr>
          <w:rFonts w:ascii="Arial" w:hAnsi="Arial"/>
          <w:sz w:val="20"/>
          <w:szCs w:val="20"/>
        </w:rPr>
        <w:t xml:space="preserve">Dans les </w:t>
      </w:r>
      <w:r>
        <w:rPr>
          <w:rFonts w:ascii="Arial" w:hAnsi="Arial"/>
          <w:i/>
          <w:iCs/>
          <w:sz w:val="20"/>
          <w:szCs w:val="20"/>
        </w:rPr>
        <w:t>unités d'utilisation</w:t>
      </w:r>
      <w:r>
        <w:rPr>
          <w:rFonts w:ascii="Arial" w:hAnsi="Arial"/>
          <w:sz w:val="20"/>
          <w:szCs w:val="20"/>
        </w:rPr>
        <w:t xml:space="preserve"> disposant de grandes zones non compartimentées (par exemple, bureaux ouverts, surfaces de service à la clientèle, etc.), il convient de respecter les éléments suivants:</w:t>
      </w:r>
    </w:p>
    <w:p w14:paraId="0511C113" w14:textId="77777777" w:rsidR="00431690" w:rsidRPr="00937C8B" w:rsidRDefault="00431690" w:rsidP="00425ADA">
      <w:pPr>
        <w:pStyle w:val="Paragraphedeliste"/>
        <w:numPr>
          <w:ilvl w:val="7"/>
          <w:numId w:val="26"/>
        </w:numPr>
        <w:tabs>
          <w:tab w:val="clear" w:pos="1080"/>
          <w:tab w:val="num" w:pos="1418"/>
        </w:tabs>
        <w:suppressAutoHyphens/>
        <w:spacing w:before="60" w:after="60"/>
        <w:ind w:left="1418" w:hanging="425"/>
        <w:jc w:val="both"/>
        <w:rPr>
          <w:rFonts w:ascii="Arial" w:hAnsi="Arial" w:cs="Arial"/>
          <w:sz w:val="20"/>
          <w:szCs w:val="20"/>
        </w:rPr>
      </w:pPr>
      <w:r>
        <w:rPr>
          <w:rFonts w:ascii="Arial" w:hAnsi="Arial"/>
          <w:sz w:val="20"/>
          <w:szCs w:val="20"/>
        </w:rPr>
        <w:t>si la surface est comprise entre 1 000 m</w:t>
      </w:r>
      <w:r>
        <w:rPr>
          <w:rFonts w:ascii="Arial" w:hAnsi="Arial"/>
          <w:sz w:val="20"/>
          <w:szCs w:val="20"/>
          <w:vertAlign w:val="superscript"/>
        </w:rPr>
        <w:t>2</w:t>
      </w:r>
      <w:r>
        <w:rPr>
          <w:rFonts w:ascii="Arial" w:hAnsi="Arial"/>
          <w:sz w:val="20"/>
          <w:szCs w:val="20"/>
        </w:rPr>
        <w:t xml:space="preserve"> et 5 000 m</w:t>
      </w:r>
      <w:r>
        <w:rPr>
          <w:rFonts w:ascii="Arial" w:hAnsi="Arial"/>
          <w:sz w:val="20"/>
          <w:szCs w:val="20"/>
          <w:vertAlign w:val="superscript"/>
        </w:rPr>
        <w:t>2</w:t>
      </w:r>
      <w:r>
        <w:rPr>
          <w:rFonts w:ascii="Arial" w:hAnsi="Arial"/>
          <w:sz w:val="20"/>
          <w:szCs w:val="20"/>
        </w:rPr>
        <w:t>, une zone d'échantillonnage peut être établie tous les 400 m</w:t>
      </w:r>
      <w:r>
        <w:rPr>
          <w:rFonts w:ascii="Arial" w:hAnsi="Arial"/>
          <w:sz w:val="20"/>
          <w:szCs w:val="20"/>
          <w:vertAlign w:val="superscript"/>
        </w:rPr>
        <w:t>2</w:t>
      </w:r>
      <w:r>
        <w:rPr>
          <w:rFonts w:ascii="Arial" w:hAnsi="Arial"/>
          <w:sz w:val="20"/>
          <w:szCs w:val="20"/>
        </w:rPr>
        <w:t>;</w:t>
      </w:r>
    </w:p>
    <w:p w14:paraId="1528AA94" w14:textId="77777777" w:rsidR="00431690" w:rsidRPr="00937C8B" w:rsidRDefault="00431690" w:rsidP="00425ADA">
      <w:pPr>
        <w:pStyle w:val="Paragraphedeliste"/>
        <w:numPr>
          <w:ilvl w:val="7"/>
          <w:numId w:val="26"/>
        </w:numPr>
        <w:tabs>
          <w:tab w:val="clear" w:pos="1080"/>
          <w:tab w:val="num" w:pos="1418"/>
        </w:tabs>
        <w:suppressAutoHyphens/>
        <w:spacing w:before="60" w:after="60"/>
        <w:ind w:left="1418" w:hanging="425"/>
        <w:jc w:val="both"/>
        <w:rPr>
          <w:rFonts w:ascii="Arial" w:hAnsi="Arial" w:cs="Arial"/>
          <w:sz w:val="20"/>
          <w:szCs w:val="20"/>
        </w:rPr>
      </w:pPr>
      <w:r>
        <w:rPr>
          <w:rFonts w:ascii="Arial" w:hAnsi="Arial"/>
          <w:sz w:val="20"/>
          <w:szCs w:val="20"/>
        </w:rPr>
        <w:t>si la surface est supérieure à 5 000 m</w:t>
      </w:r>
      <w:r>
        <w:rPr>
          <w:rFonts w:ascii="Arial" w:hAnsi="Arial"/>
          <w:sz w:val="20"/>
          <w:szCs w:val="20"/>
          <w:vertAlign w:val="superscript"/>
        </w:rPr>
        <w:t>2</w:t>
      </w:r>
      <w:r>
        <w:rPr>
          <w:rFonts w:ascii="Arial" w:hAnsi="Arial"/>
          <w:sz w:val="20"/>
          <w:szCs w:val="20"/>
        </w:rPr>
        <w:t>, une zone d'échantillonnage peut être établie tous les 500 m</w:t>
      </w:r>
      <w:r>
        <w:rPr>
          <w:rFonts w:ascii="Arial" w:hAnsi="Arial"/>
          <w:sz w:val="20"/>
          <w:szCs w:val="20"/>
          <w:vertAlign w:val="superscript"/>
        </w:rPr>
        <w:t>2</w:t>
      </w:r>
      <w:r>
        <w:rPr>
          <w:rFonts w:ascii="Arial" w:hAnsi="Arial"/>
          <w:sz w:val="20"/>
          <w:szCs w:val="20"/>
        </w:rPr>
        <w:t>.</w:t>
      </w:r>
    </w:p>
    <w:p w14:paraId="5424BDD7" w14:textId="77777777" w:rsidR="00431690" w:rsidRPr="00937C8B" w:rsidRDefault="00431690" w:rsidP="00B128CB">
      <w:pPr>
        <w:numPr>
          <w:ilvl w:val="0"/>
          <w:numId w:val="5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 xml:space="preserve">Il convient d'installer au moins 1 détecteur dans chaque zone d’échantillonnage, à l’exception des </w:t>
      </w:r>
      <w:r>
        <w:rPr>
          <w:rFonts w:ascii="Arial" w:hAnsi="Arial"/>
          <w:i/>
          <w:iCs/>
          <w:sz w:val="20"/>
          <w:szCs w:val="20"/>
        </w:rPr>
        <w:t>unités d'utilisation</w:t>
      </w:r>
      <w:r>
        <w:rPr>
          <w:rFonts w:ascii="Arial" w:hAnsi="Arial"/>
          <w:sz w:val="20"/>
          <w:szCs w:val="20"/>
        </w:rPr>
        <w:t xml:space="preserve"> d'une surface inférieure à 200 m</w:t>
      </w:r>
      <w:r>
        <w:rPr>
          <w:rFonts w:ascii="Arial" w:hAnsi="Arial"/>
          <w:sz w:val="20"/>
          <w:szCs w:val="20"/>
          <w:vertAlign w:val="superscript"/>
        </w:rPr>
        <w:t>2</w:t>
      </w:r>
      <w:r>
        <w:rPr>
          <w:rFonts w:ascii="Arial" w:hAnsi="Arial"/>
          <w:sz w:val="20"/>
          <w:szCs w:val="20"/>
        </w:rPr>
        <w:t xml:space="preserve"> comptant une seule zone d'échantillonnage, dans lesquelles au moins 2 détecteurs seront installés.</w:t>
      </w:r>
    </w:p>
    <w:p w14:paraId="2093C549" w14:textId="77777777" w:rsidR="00B128CB" w:rsidRPr="00937C8B" w:rsidRDefault="00431690" w:rsidP="00B128CB">
      <w:pPr>
        <w:numPr>
          <w:ilvl w:val="0"/>
          <w:numId w:val="5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 xml:space="preserve">Dans le cas des </w:t>
      </w:r>
      <w:r>
        <w:rPr>
          <w:rFonts w:ascii="Arial" w:hAnsi="Arial"/>
          <w:i/>
          <w:iCs/>
          <w:sz w:val="20"/>
          <w:szCs w:val="20"/>
        </w:rPr>
        <w:t>détecteurs passifs</w:t>
      </w:r>
      <w:r>
        <w:rPr>
          <w:rFonts w:ascii="Arial" w:hAnsi="Arial"/>
          <w:sz w:val="20"/>
          <w:szCs w:val="20"/>
        </w:rPr>
        <w:t xml:space="preserve">, lorsque, selon les indications précédentes, le nombre de détecteurs à exposer dans le même bâtiment est compris entre 15 et 25, il convient de placer un autre détecteur, à des fins de contrôle. À partir de 25 détecteurs, il convient d’ajouter un détecteur de contrôle supplémentaire chaque 20 détecteurs exposés. Ces détecteurs seront situés dans une zone du bâtiment où une faible </w:t>
      </w:r>
      <w:r>
        <w:rPr>
          <w:rFonts w:ascii="Arial" w:hAnsi="Arial"/>
          <w:i/>
          <w:iCs/>
          <w:sz w:val="20"/>
          <w:szCs w:val="20"/>
        </w:rPr>
        <w:t>concentration de radon</w:t>
      </w:r>
      <w:r>
        <w:rPr>
          <w:rFonts w:ascii="Arial" w:hAnsi="Arial"/>
          <w:sz w:val="20"/>
          <w:szCs w:val="20"/>
        </w:rPr>
        <w:t xml:space="preserve"> est attendue.</w:t>
      </w:r>
    </w:p>
    <w:p w14:paraId="600455BD" w14:textId="77777777" w:rsidR="00431690" w:rsidRPr="00937C8B" w:rsidRDefault="00431690" w:rsidP="00E42FD8">
      <w:pPr>
        <w:keepNext/>
        <w:tabs>
          <w:tab w:val="left" w:pos="0"/>
          <w:tab w:val="left" w:pos="426"/>
        </w:tabs>
        <w:spacing w:before="280" w:after="100"/>
        <w:rPr>
          <w:rFonts w:ascii="Arial" w:eastAsia="Calibri" w:hAnsi="Arial" w:cs="Arial"/>
          <w:b/>
          <w:bCs/>
          <w:noProof/>
        </w:rPr>
      </w:pPr>
      <w:r>
        <w:rPr>
          <w:rFonts w:ascii="Arial" w:hAnsi="Arial"/>
          <w:b/>
          <w:bCs/>
        </w:rPr>
        <w:t>2.2</w:t>
      </w:r>
      <w:r>
        <w:rPr>
          <w:rFonts w:ascii="Arial" w:hAnsi="Arial"/>
          <w:b/>
          <w:bCs/>
        </w:rPr>
        <w:tab/>
        <w:t>Emplacement des détecteurs</w:t>
      </w:r>
    </w:p>
    <w:p w14:paraId="215A13CC" w14:textId="77777777" w:rsidR="00431690" w:rsidRPr="00937C8B" w:rsidRDefault="00431690" w:rsidP="00425ADA">
      <w:pPr>
        <w:numPr>
          <w:ilvl w:val="0"/>
          <w:numId w:val="33"/>
        </w:numPr>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L'emplacement des détecteurs dans chaque zone d'échantillonnage doit être choisi de manière à représenter les pièces où la permanence des personnes est la plus élevée (par exemple, dans les maisons, les chambres et les salons).</w:t>
      </w:r>
    </w:p>
    <w:p w14:paraId="17B62E50" w14:textId="77777777" w:rsidR="00431690" w:rsidRPr="00937C8B" w:rsidRDefault="00431690" w:rsidP="00B128CB">
      <w:pPr>
        <w:numPr>
          <w:ilvl w:val="0"/>
          <w:numId w:val="54"/>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L'emplacement exact des détecteurs dans chaque zone d'échantillonnage sera établi en fonction de la configuration spatiale de chaque étage, logement ou local, en tenant compte des caractéristiques des systèmes de chauffage, de refroidissement et de ventilation, et notamment de la distribution des entrées d’air, des sorties d'air, des portes et des fenêtres.</w:t>
      </w:r>
    </w:p>
    <w:p w14:paraId="431B6531" w14:textId="77777777" w:rsidR="00431690" w:rsidRPr="00937C8B" w:rsidRDefault="00431690" w:rsidP="00B128CB">
      <w:pPr>
        <w:numPr>
          <w:ilvl w:val="0"/>
          <w:numId w:val="54"/>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lastRenderedPageBreak/>
        <w:t>Il convient d'indiquer l'emplacement de chaque détecteur, la répartition des zones d'échantillonnage et l'emplacement des systèmes de chauffage et de refroidissement, des entrées et sorties d'air du système de ventilation et des portes et fenêtres, à l'aide d'un diagramme graphique du bâtiment et du plan de chaque étage.</w:t>
      </w:r>
    </w:p>
    <w:p w14:paraId="0D05D023" w14:textId="77777777" w:rsidR="00431690" w:rsidRPr="00937C8B" w:rsidRDefault="00431690" w:rsidP="00E42FD8">
      <w:pPr>
        <w:keepNext/>
        <w:tabs>
          <w:tab w:val="left" w:pos="426"/>
        </w:tabs>
        <w:spacing w:before="480" w:after="160"/>
        <w:outlineLvl w:val="0"/>
        <w:rPr>
          <w:rFonts w:ascii="Arial" w:eastAsia="Calibri" w:hAnsi="Arial" w:cs="Arial"/>
          <w:b/>
          <w:bCs/>
          <w:kern w:val="32"/>
          <w:sz w:val="28"/>
          <w:szCs w:val="28"/>
        </w:rPr>
      </w:pPr>
      <w:bookmarkStart w:id="389" w:name="_Toc39158012"/>
      <w:bookmarkStart w:id="390" w:name="_Toc39158172"/>
      <w:r>
        <w:rPr>
          <w:rFonts w:ascii="Arial" w:hAnsi="Arial"/>
          <w:b/>
          <w:bCs/>
          <w:sz w:val="28"/>
          <w:szCs w:val="28"/>
        </w:rPr>
        <w:t>3</w:t>
      </w:r>
      <w:r>
        <w:rPr>
          <w:rFonts w:ascii="Arial" w:hAnsi="Arial"/>
          <w:b/>
          <w:bCs/>
          <w:sz w:val="28"/>
          <w:szCs w:val="28"/>
        </w:rPr>
        <w:tab/>
        <w:t>Mesurage</w:t>
      </w:r>
      <w:bookmarkEnd w:id="389"/>
      <w:bookmarkEnd w:id="390"/>
    </w:p>
    <w:p w14:paraId="330E7F32" w14:textId="77777777" w:rsidR="00431690" w:rsidRPr="00937C8B" w:rsidRDefault="00431690" w:rsidP="00E42FD8">
      <w:pPr>
        <w:keepNext/>
        <w:tabs>
          <w:tab w:val="left" w:pos="0"/>
          <w:tab w:val="left" w:pos="426"/>
        </w:tabs>
        <w:spacing w:before="280" w:after="100"/>
        <w:rPr>
          <w:rFonts w:ascii="Arial" w:eastAsia="Calibri" w:hAnsi="Arial" w:cs="Arial"/>
          <w:b/>
          <w:bCs/>
          <w:noProof/>
        </w:rPr>
      </w:pPr>
      <w:r>
        <w:rPr>
          <w:rFonts w:ascii="Arial" w:hAnsi="Arial"/>
          <w:b/>
          <w:bCs/>
        </w:rPr>
        <w:t>3.1</w:t>
      </w:r>
      <w:r>
        <w:rPr>
          <w:rFonts w:ascii="Arial" w:hAnsi="Arial"/>
          <w:b/>
          <w:bCs/>
        </w:rPr>
        <w:tab/>
        <w:t>Entités de mesure</w:t>
      </w:r>
    </w:p>
    <w:p w14:paraId="4E3268A5" w14:textId="77777777" w:rsidR="005F61FB" w:rsidRPr="00937C8B" w:rsidRDefault="00431690" w:rsidP="00E42FD8">
      <w:pPr>
        <w:keepNext/>
        <w:numPr>
          <w:ilvl w:val="0"/>
          <w:numId w:val="55"/>
        </w:numPr>
        <w:tabs>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 xml:space="preserve">L'estimation de la </w:t>
      </w:r>
      <w:r>
        <w:rPr>
          <w:rFonts w:ascii="Arial" w:hAnsi="Arial"/>
          <w:i/>
          <w:iCs/>
          <w:sz w:val="20"/>
          <w:szCs w:val="20"/>
        </w:rPr>
        <w:t>moyenne annuelle de la concentration de radon</w:t>
      </w:r>
      <w:r>
        <w:rPr>
          <w:rFonts w:ascii="Arial" w:hAnsi="Arial"/>
          <w:sz w:val="20"/>
          <w:szCs w:val="20"/>
        </w:rPr>
        <w:t xml:space="preserve"> dans l'air peut se faire à l'aide de détecteurs passifs ou actifs. Les entités de mesure qui fournissent les détecteurs à des fins d’analyse ou de traitement des enregistrements de mesure doivent répondre aux exigences suivantes: </w:t>
      </w:r>
    </w:p>
    <w:p w14:paraId="7EE566B7" w14:textId="77777777" w:rsidR="00431690" w:rsidRPr="00937C8B" w:rsidRDefault="005F61FB" w:rsidP="005F61FB">
      <w:pPr>
        <w:suppressAutoHyphens/>
        <w:spacing w:before="60" w:after="60" w:line="259" w:lineRule="auto"/>
        <w:ind w:left="426"/>
        <w:jc w:val="both"/>
        <w:rPr>
          <w:rFonts w:ascii="Arial" w:eastAsia="Calibri" w:hAnsi="Arial" w:cs="Arial"/>
          <w:sz w:val="20"/>
          <w:szCs w:val="20"/>
        </w:rPr>
      </w:pPr>
      <w:r>
        <w:rPr>
          <w:rFonts w:ascii="Arial" w:hAnsi="Arial"/>
          <w:sz w:val="20"/>
          <w:szCs w:val="20"/>
        </w:rPr>
        <w:t xml:space="preserve">a) être accréditées conformément à la norme UNE-EN ISO/IEC 17025:2017 par l'organisme national d'accréditation (ENAC) ou par un autre organisme national d'accréditation désigné conformément aux réglementations européennes; et </w:t>
      </w:r>
    </w:p>
    <w:p w14:paraId="41A28672" w14:textId="77777777" w:rsidR="005F61FB" w:rsidRPr="00937C8B" w:rsidRDefault="005F61FB" w:rsidP="005F61FB">
      <w:pPr>
        <w:suppressAutoHyphens/>
        <w:spacing w:before="60" w:after="60" w:line="259" w:lineRule="auto"/>
        <w:ind w:left="426"/>
        <w:jc w:val="both"/>
        <w:rPr>
          <w:rFonts w:ascii="Arial" w:eastAsia="Calibri" w:hAnsi="Arial" w:cs="Arial"/>
          <w:sz w:val="20"/>
          <w:szCs w:val="20"/>
        </w:rPr>
      </w:pPr>
      <w:r>
        <w:rPr>
          <w:rFonts w:ascii="Arial" w:hAnsi="Arial"/>
          <w:sz w:val="20"/>
          <w:szCs w:val="20"/>
        </w:rPr>
        <w:t>b) répondre aux exigences établies dans le décret royal n° 410/2010 du 31 mars 2010 et avoir présenté la déclaration responsable en tant que laboratoire d'essai pour le contrôle de la qualité du bâtiment devant l'organisme compétent de la communauté autonome.</w:t>
      </w:r>
    </w:p>
    <w:p w14:paraId="130CA8F2" w14:textId="77777777" w:rsidR="00431690" w:rsidRPr="00937C8B" w:rsidRDefault="00431690" w:rsidP="00B128CB">
      <w:pPr>
        <w:numPr>
          <w:ilvl w:val="0"/>
          <w:numId w:val="55"/>
        </w:numPr>
        <w:tabs>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Lorsque le système de mesure utilisé l'exige, les entités de mesure seront responsables de l'installation, de la mise en service, de la collecte des données, de la lecture ou de la détermination de la mesure et de l'expression de la mesure des détecteurs du niveau de radon, dans chaque zone d'échantillonnage identifiée et localisée aux emplacements indiqués par le concepteur, l'entité de gestion ou l’entité de contrôle.</w:t>
      </w:r>
    </w:p>
    <w:p w14:paraId="67BA041C" w14:textId="77777777" w:rsidR="00431690" w:rsidRPr="00937C8B" w:rsidRDefault="00431690" w:rsidP="00E42FD8">
      <w:pPr>
        <w:keepNext/>
        <w:tabs>
          <w:tab w:val="left" w:pos="0"/>
          <w:tab w:val="left" w:pos="426"/>
        </w:tabs>
        <w:spacing w:before="280" w:after="100"/>
        <w:rPr>
          <w:rFonts w:ascii="Arial" w:eastAsia="Calibri" w:hAnsi="Arial" w:cs="Arial"/>
          <w:b/>
          <w:bCs/>
          <w:noProof/>
        </w:rPr>
      </w:pPr>
      <w:r>
        <w:rPr>
          <w:rFonts w:ascii="Arial" w:hAnsi="Arial"/>
          <w:b/>
          <w:bCs/>
        </w:rPr>
        <w:t>3.2</w:t>
      </w:r>
      <w:r>
        <w:rPr>
          <w:rFonts w:ascii="Arial" w:hAnsi="Arial"/>
          <w:b/>
          <w:bCs/>
        </w:rPr>
        <w:tab/>
        <w:t>Installation et mise en marche</w:t>
      </w:r>
    </w:p>
    <w:p w14:paraId="663C88DA" w14:textId="77777777" w:rsidR="00431690" w:rsidRPr="00937C8B" w:rsidRDefault="00431690" w:rsidP="00E42FD8">
      <w:pPr>
        <w:keepNext/>
        <w:numPr>
          <w:ilvl w:val="0"/>
          <w:numId w:val="68"/>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L'emplacement des détecteurs doit répondre aux critères suivants:</w:t>
      </w:r>
    </w:p>
    <w:p w14:paraId="3B5AF580" w14:textId="77777777" w:rsidR="00431690" w:rsidRPr="00937C8B" w:rsidRDefault="00431690" w:rsidP="00B128CB">
      <w:pPr>
        <w:numPr>
          <w:ilvl w:val="0"/>
          <w:numId w:val="67"/>
        </w:numPr>
        <w:suppressAutoHyphens/>
        <w:spacing w:before="60" w:after="60" w:line="259" w:lineRule="auto"/>
        <w:ind w:left="709" w:hanging="283"/>
        <w:jc w:val="both"/>
        <w:rPr>
          <w:rFonts w:ascii="Arial" w:eastAsia="Calibri" w:hAnsi="Arial" w:cs="Arial"/>
          <w:sz w:val="20"/>
          <w:szCs w:val="20"/>
        </w:rPr>
      </w:pPr>
      <w:r>
        <w:rPr>
          <w:rFonts w:ascii="Arial" w:hAnsi="Arial"/>
          <w:sz w:val="20"/>
          <w:szCs w:val="20"/>
        </w:rPr>
        <w:t xml:space="preserve">les détecteurs doivent être situés à une hauteur comprise entre 50 et 180 cm au-dessus du sol, à une distance de plus de 30 cm des murs ou des portes et à plus de 10 cm des autres objets; </w:t>
      </w:r>
    </w:p>
    <w:p w14:paraId="2B891554" w14:textId="77777777" w:rsidR="00431690" w:rsidRPr="00937C8B" w:rsidRDefault="00431690" w:rsidP="00EA7588">
      <w:pPr>
        <w:numPr>
          <w:ilvl w:val="0"/>
          <w:numId w:val="67"/>
        </w:numPr>
        <w:suppressAutoHyphens/>
        <w:spacing w:before="60" w:after="60" w:line="259" w:lineRule="auto"/>
        <w:ind w:left="709" w:hanging="283"/>
        <w:jc w:val="both"/>
        <w:rPr>
          <w:rFonts w:ascii="Arial" w:eastAsia="Calibri" w:hAnsi="Arial" w:cs="Arial"/>
          <w:sz w:val="20"/>
          <w:szCs w:val="20"/>
        </w:rPr>
      </w:pPr>
      <w:r>
        <w:rPr>
          <w:rFonts w:ascii="Arial" w:hAnsi="Arial"/>
          <w:sz w:val="20"/>
          <w:szCs w:val="20"/>
        </w:rPr>
        <w:t>ils ne doivent pas être placés à l'intérieur d'éléments fermés, tels que des armoires, des tiroirs ou des vitrines;</w:t>
      </w:r>
    </w:p>
    <w:p w14:paraId="45040B96" w14:textId="77777777" w:rsidR="00431690" w:rsidRPr="00937C8B" w:rsidRDefault="00431690" w:rsidP="00B128CB">
      <w:pPr>
        <w:numPr>
          <w:ilvl w:val="0"/>
          <w:numId w:val="67"/>
        </w:numPr>
        <w:suppressAutoHyphens/>
        <w:spacing w:before="60" w:after="60" w:line="259" w:lineRule="auto"/>
        <w:ind w:left="709" w:hanging="283"/>
        <w:jc w:val="both"/>
        <w:rPr>
          <w:rFonts w:ascii="Arial" w:eastAsia="Calibri" w:hAnsi="Arial" w:cs="Arial"/>
          <w:sz w:val="20"/>
          <w:szCs w:val="20"/>
        </w:rPr>
      </w:pPr>
      <w:r>
        <w:rPr>
          <w:rFonts w:ascii="Arial" w:hAnsi="Arial"/>
          <w:sz w:val="20"/>
          <w:szCs w:val="20"/>
        </w:rPr>
        <w:t>ils ne doivent pas être placés à proximité de courants d'air (fenêtres, ventilateurs) ou exposés à la lumière directe du soleil ni à d'autres sources de chaleur;</w:t>
      </w:r>
    </w:p>
    <w:p w14:paraId="473D4BB0" w14:textId="77777777" w:rsidR="00431690" w:rsidRPr="00937C8B" w:rsidRDefault="00431690" w:rsidP="00B128CB">
      <w:pPr>
        <w:numPr>
          <w:ilvl w:val="0"/>
          <w:numId w:val="67"/>
        </w:numPr>
        <w:suppressAutoHyphens/>
        <w:spacing w:before="60" w:after="60" w:line="259" w:lineRule="auto"/>
        <w:ind w:left="709" w:hanging="283"/>
        <w:jc w:val="both"/>
        <w:rPr>
          <w:rFonts w:ascii="Arial" w:eastAsia="Calibri" w:hAnsi="Arial" w:cs="Arial"/>
          <w:sz w:val="20"/>
          <w:szCs w:val="20"/>
        </w:rPr>
      </w:pPr>
      <w:r>
        <w:rPr>
          <w:rFonts w:ascii="Arial" w:hAnsi="Arial"/>
          <w:sz w:val="20"/>
          <w:szCs w:val="20"/>
        </w:rPr>
        <w:t>s'il est nécessaire de les placer dans des endroits à forte humidité (HR &gt; 70%), et que, d’après les spécifications du fabricant, ce critère est susceptible de les altérer, il convient de les recouvrir d'une membrane qui les protège de l'humidité sans interférer avec le résultat de la mesure de radon.</w:t>
      </w:r>
    </w:p>
    <w:p w14:paraId="158D82BF" w14:textId="77777777" w:rsidR="00431690" w:rsidRPr="00937C8B" w:rsidRDefault="00431690" w:rsidP="00E42FD8">
      <w:pPr>
        <w:keepNext/>
        <w:tabs>
          <w:tab w:val="left" w:pos="0"/>
          <w:tab w:val="left" w:pos="426"/>
        </w:tabs>
        <w:spacing w:before="280" w:after="100"/>
        <w:rPr>
          <w:rFonts w:ascii="Arial" w:eastAsia="Calibri" w:hAnsi="Arial" w:cs="Arial"/>
          <w:b/>
          <w:bCs/>
          <w:noProof/>
        </w:rPr>
      </w:pPr>
      <w:r>
        <w:rPr>
          <w:rFonts w:ascii="Arial" w:hAnsi="Arial"/>
          <w:b/>
          <w:bCs/>
        </w:rPr>
        <w:t>3.3</w:t>
      </w:r>
      <w:r>
        <w:rPr>
          <w:rFonts w:ascii="Arial" w:hAnsi="Arial"/>
          <w:b/>
          <w:bCs/>
        </w:rPr>
        <w:tab/>
        <w:t>Conditions lors de l’exposition</w:t>
      </w:r>
    </w:p>
    <w:p w14:paraId="70DD8AC3" w14:textId="77777777" w:rsidR="00431690" w:rsidRPr="00937C8B" w:rsidRDefault="00431690" w:rsidP="00B128CB">
      <w:pPr>
        <w:numPr>
          <w:ilvl w:val="0"/>
          <w:numId w:val="6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 xml:space="preserve">Pendant la période d'exposition des détecteurs, les habitudes professionnelles normales des bâtiments seront respectées et, s'il existe des aménagements de protection contre le radon telles que des </w:t>
      </w:r>
      <w:r>
        <w:rPr>
          <w:rFonts w:ascii="Arial" w:hAnsi="Arial"/>
          <w:i/>
          <w:iCs/>
          <w:sz w:val="20"/>
          <w:szCs w:val="20"/>
        </w:rPr>
        <w:t>espaces de contention ventilées</w:t>
      </w:r>
      <w:r>
        <w:rPr>
          <w:rFonts w:ascii="Arial" w:hAnsi="Arial"/>
          <w:sz w:val="20"/>
          <w:szCs w:val="20"/>
        </w:rPr>
        <w:t xml:space="preserve"> ou des systèmes de dépressurisation, ceux-ci doivent être utilisés en régime de fonctionnement normal. </w:t>
      </w:r>
    </w:p>
    <w:p w14:paraId="7E214F93" w14:textId="77777777" w:rsidR="00431690" w:rsidRPr="00937C8B" w:rsidRDefault="00431690" w:rsidP="00B128CB">
      <w:pPr>
        <w:numPr>
          <w:ilvl w:val="0"/>
          <w:numId w:val="6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 xml:space="preserve">Si le bâtiment n'est pas occupé, les conditions du bâtiment fermé seront maintenues, dans la mesure du possible (fenêtres et portes extérieures fermées et portes intérieures ouvertes). Si le bâtiment comporte des aménagements de protection contre le radon ceux-ci doivent être utilisés en régime de fonctionnement normal. </w:t>
      </w:r>
    </w:p>
    <w:p w14:paraId="5EF6BA9A" w14:textId="77777777" w:rsidR="00431690" w:rsidRPr="00937C8B" w:rsidRDefault="00431690" w:rsidP="00B128CB">
      <w:pPr>
        <w:numPr>
          <w:ilvl w:val="0"/>
          <w:numId w:val="6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Les détecteurs doivent rester exposés pendant au moins deux mois.</w:t>
      </w:r>
    </w:p>
    <w:p w14:paraId="3A619E0E" w14:textId="77777777" w:rsidR="00431690" w:rsidRPr="00937C8B" w:rsidRDefault="00431690" w:rsidP="00B128CB">
      <w:pPr>
        <w:numPr>
          <w:ilvl w:val="0"/>
          <w:numId w:val="6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Si le bâtiment est situé dans l'une des zones climatiques hivernales C, D ou E établies dans le DB-HE «Économie d'énergie», la période d'exposition aura lieu de préférence pendant les mois de la saison de chauffage.</w:t>
      </w:r>
    </w:p>
    <w:p w14:paraId="4DF95F71" w14:textId="77777777" w:rsidR="00431690" w:rsidRPr="00937C8B" w:rsidRDefault="00431690" w:rsidP="00E42FD8">
      <w:pPr>
        <w:keepNext/>
        <w:tabs>
          <w:tab w:val="left" w:pos="0"/>
          <w:tab w:val="left" w:pos="426"/>
        </w:tabs>
        <w:spacing w:before="280" w:after="100"/>
        <w:rPr>
          <w:rFonts w:ascii="Arial" w:eastAsia="Calibri" w:hAnsi="Arial" w:cs="Arial"/>
          <w:b/>
          <w:bCs/>
          <w:noProof/>
        </w:rPr>
      </w:pPr>
      <w:r>
        <w:rPr>
          <w:rFonts w:ascii="Arial" w:hAnsi="Arial"/>
          <w:b/>
          <w:bCs/>
        </w:rPr>
        <w:t>3.4</w:t>
      </w:r>
      <w:r>
        <w:rPr>
          <w:rFonts w:ascii="Arial" w:hAnsi="Arial"/>
          <w:b/>
          <w:bCs/>
        </w:rPr>
        <w:tab/>
        <w:t>Analyse des détecteurs et expression des résultats de mesure</w:t>
      </w:r>
    </w:p>
    <w:p w14:paraId="72CF6284" w14:textId="77777777" w:rsidR="00431690" w:rsidRPr="00937C8B" w:rsidRDefault="00431690" w:rsidP="00B128CB">
      <w:pPr>
        <w:numPr>
          <w:ilvl w:val="0"/>
          <w:numId w:val="57"/>
        </w:numPr>
        <w:tabs>
          <w:tab w:val="clear" w:pos="567"/>
          <w:tab w:val="num" w:pos="426"/>
          <w:tab w:val="num" w:pos="709"/>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Les valeurs mesurées par chaque détecteur doivent être présentées, associées à leur code d'identification correspondant, dans le rapport émis par l'entité de mesure comme la concentration moyenne de radon (Bq/m</w:t>
      </w:r>
      <w:r>
        <w:rPr>
          <w:rFonts w:ascii="Arial" w:hAnsi="Arial"/>
          <w:sz w:val="20"/>
          <w:szCs w:val="20"/>
          <w:vertAlign w:val="superscript"/>
        </w:rPr>
        <w:t>3</w:t>
      </w:r>
      <w:r>
        <w:rPr>
          <w:rFonts w:ascii="Arial" w:hAnsi="Arial"/>
          <w:sz w:val="20"/>
          <w:szCs w:val="20"/>
        </w:rPr>
        <w:t xml:space="preserve">) pendant la période d'exposition. La valeur de la concentration ou de l'exposition doit être exprimée conjointement </w:t>
      </w:r>
      <w:r>
        <w:rPr>
          <w:rFonts w:ascii="Arial" w:hAnsi="Arial"/>
          <w:sz w:val="20"/>
          <w:szCs w:val="20"/>
        </w:rPr>
        <w:lastRenderedPageBreak/>
        <w:t xml:space="preserve">avec celle de l'incertitude élargie et du facteur k utilisé. Il est toujours nécessaire d'indiquer la valeur limite de détection de la procédure, de l'appareil ou du système de mesure utilisé. </w:t>
      </w:r>
    </w:p>
    <w:p w14:paraId="19035472" w14:textId="77777777" w:rsidR="00431690" w:rsidRPr="00937C8B" w:rsidRDefault="00431690" w:rsidP="00E42FD8">
      <w:pPr>
        <w:keepNext/>
        <w:numPr>
          <w:ilvl w:val="0"/>
          <w:numId w:val="57"/>
        </w:numPr>
        <w:tabs>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szCs w:val="20"/>
        </w:rPr>
        <w:t>Le rapport de résultats doit également contenir les informations suivantes:</w:t>
      </w:r>
    </w:p>
    <w:p w14:paraId="2FCB61DF" w14:textId="77777777" w:rsidR="00431690" w:rsidRPr="00937C8B" w:rsidRDefault="00431690" w:rsidP="00425ADA">
      <w:pPr>
        <w:pStyle w:val="Paragraphedeliste"/>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szCs w:val="20"/>
        </w:rPr>
        <w:t>identification de l'entité de mesure;</w:t>
      </w:r>
    </w:p>
    <w:p w14:paraId="2876744A" w14:textId="2A052374" w:rsidR="00431690" w:rsidRPr="00937C8B" w:rsidRDefault="00431690" w:rsidP="00425ADA">
      <w:pPr>
        <w:pStyle w:val="Paragraphedeliste"/>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szCs w:val="20"/>
        </w:rPr>
        <w:t>identification du client</w:t>
      </w:r>
      <w:r w:rsidR="00EA7588">
        <w:rPr>
          <w:rFonts w:ascii="Arial" w:hAnsi="Arial"/>
          <w:sz w:val="20"/>
          <w:szCs w:val="20"/>
        </w:rPr>
        <w:t>;</w:t>
      </w:r>
    </w:p>
    <w:p w14:paraId="63581146" w14:textId="77777777" w:rsidR="00431690" w:rsidRPr="00937C8B" w:rsidRDefault="00431690" w:rsidP="00425ADA">
      <w:pPr>
        <w:pStyle w:val="Paragraphedeliste"/>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szCs w:val="20"/>
        </w:rPr>
        <w:t>date d’émission du rapport;</w:t>
      </w:r>
    </w:p>
    <w:p w14:paraId="449B94D4" w14:textId="5CCCAEA8" w:rsidR="00431690" w:rsidRPr="00937C8B" w:rsidRDefault="00431690" w:rsidP="00425ADA">
      <w:pPr>
        <w:pStyle w:val="Paragraphedeliste"/>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szCs w:val="20"/>
        </w:rPr>
        <w:t>date de début et de fin de l'exposition</w:t>
      </w:r>
      <w:r w:rsidR="00EA7588">
        <w:rPr>
          <w:rFonts w:ascii="Arial" w:hAnsi="Arial"/>
          <w:sz w:val="20"/>
          <w:szCs w:val="20"/>
        </w:rPr>
        <w:t>;</w:t>
      </w:r>
    </w:p>
    <w:p w14:paraId="1FA96029" w14:textId="77777777" w:rsidR="00431690" w:rsidRPr="00937C8B" w:rsidRDefault="00431690" w:rsidP="00425ADA">
      <w:pPr>
        <w:pStyle w:val="Paragraphedeliste"/>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szCs w:val="20"/>
        </w:rPr>
        <w:t>caractéristiques et types de détecteurs;</w:t>
      </w:r>
    </w:p>
    <w:p w14:paraId="3FDAC1E3" w14:textId="77777777" w:rsidR="00431690" w:rsidRPr="00937C8B" w:rsidRDefault="00431690" w:rsidP="00425ADA">
      <w:pPr>
        <w:pStyle w:val="Paragraphedeliste"/>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szCs w:val="20"/>
        </w:rPr>
        <w:t>procédure de lecture;</w:t>
      </w:r>
    </w:p>
    <w:p w14:paraId="464CF5C2" w14:textId="77777777" w:rsidR="00431690" w:rsidRPr="00937C8B" w:rsidRDefault="00431690" w:rsidP="00425ADA">
      <w:pPr>
        <w:pStyle w:val="Paragraphedeliste"/>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szCs w:val="20"/>
        </w:rPr>
        <w:t>identification et emplacement de chaque détecteur sur plan;</w:t>
      </w:r>
    </w:p>
    <w:p w14:paraId="117CFA95" w14:textId="77777777" w:rsidR="00431690" w:rsidRPr="00937C8B" w:rsidRDefault="00431690" w:rsidP="00425ADA">
      <w:pPr>
        <w:pStyle w:val="Paragraphedeliste"/>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szCs w:val="20"/>
        </w:rPr>
        <w:t>circonstances météorologiques et environnementales susceptibles d’avoir affecté le résultat;</w:t>
      </w:r>
    </w:p>
    <w:p w14:paraId="02A5D736" w14:textId="77777777" w:rsidR="00431690" w:rsidRPr="00937C8B" w:rsidRDefault="00431690" w:rsidP="00425ADA">
      <w:pPr>
        <w:pStyle w:val="Paragraphedeliste"/>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szCs w:val="20"/>
        </w:rPr>
        <w:t>représentation continue des données stockées par les capteurs de chaque détecteur, le cas échéant;</w:t>
      </w:r>
    </w:p>
    <w:p w14:paraId="2F3DE51F" w14:textId="77777777" w:rsidR="00431690" w:rsidRPr="00937C8B" w:rsidRDefault="00431690" w:rsidP="00425ADA">
      <w:pPr>
        <w:pStyle w:val="Paragraphedeliste"/>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szCs w:val="20"/>
        </w:rPr>
        <w:t>fabricant du dispositif, modèle, limites de mesure de l'appareil, ainsi que l'erreur induite de ce dernier;</w:t>
      </w:r>
    </w:p>
    <w:p w14:paraId="748B9A12" w14:textId="77777777" w:rsidR="00431690" w:rsidRPr="00937C8B" w:rsidRDefault="00431690" w:rsidP="00425ADA">
      <w:pPr>
        <w:pStyle w:val="Paragraphedeliste"/>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szCs w:val="20"/>
        </w:rPr>
        <w:t>toute autre information pertinente susceptible d'influencer le résultat des mesures;</w:t>
      </w:r>
    </w:p>
    <w:p w14:paraId="2AA2A425" w14:textId="77777777" w:rsidR="00431690" w:rsidRPr="00937C8B" w:rsidRDefault="00431690" w:rsidP="00425ADA">
      <w:pPr>
        <w:pStyle w:val="Paragraphedeliste"/>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szCs w:val="20"/>
        </w:rPr>
        <w:t>signature de la ou des personnes qui assument la responsabilité technique du rapport.</w:t>
      </w:r>
    </w:p>
    <w:p w14:paraId="3C7FDFCE" w14:textId="77777777" w:rsidR="00431690" w:rsidRPr="00937C8B" w:rsidRDefault="00431690" w:rsidP="00E42FD8">
      <w:pPr>
        <w:keepNext/>
        <w:tabs>
          <w:tab w:val="left" w:pos="426"/>
        </w:tabs>
        <w:spacing w:before="480" w:after="160"/>
        <w:outlineLvl w:val="0"/>
        <w:rPr>
          <w:rFonts w:ascii="Arial" w:eastAsia="Calibri" w:hAnsi="Arial" w:cs="Arial"/>
          <w:b/>
          <w:bCs/>
          <w:i/>
          <w:kern w:val="32"/>
          <w:sz w:val="28"/>
          <w:szCs w:val="28"/>
        </w:rPr>
      </w:pPr>
      <w:bookmarkStart w:id="391" w:name="_Toc39158013"/>
      <w:bookmarkStart w:id="392" w:name="_Toc39158173"/>
      <w:r>
        <w:rPr>
          <w:rFonts w:ascii="Arial" w:hAnsi="Arial"/>
          <w:b/>
          <w:bCs/>
          <w:sz w:val="28"/>
          <w:szCs w:val="28"/>
        </w:rPr>
        <w:t>4</w:t>
      </w:r>
      <w:r>
        <w:rPr>
          <w:rFonts w:ascii="Arial" w:hAnsi="Arial"/>
          <w:b/>
          <w:bCs/>
          <w:sz w:val="28"/>
          <w:szCs w:val="28"/>
        </w:rPr>
        <w:tab/>
        <w:t xml:space="preserve">Estimation de la </w:t>
      </w:r>
      <w:r>
        <w:rPr>
          <w:rFonts w:ascii="Arial" w:hAnsi="Arial"/>
          <w:b/>
          <w:bCs/>
          <w:i/>
          <w:iCs/>
          <w:sz w:val="28"/>
          <w:szCs w:val="28"/>
        </w:rPr>
        <w:t>moyenne annuelle de concentration de radon</w:t>
      </w:r>
      <w:bookmarkEnd w:id="391"/>
      <w:bookmarkEnd w:id="392"/>
    </w:p>
    <w:p w14:paraId="10B9BCCD" w14:textId="77777777" w:rsidR="00431690" w:rsidRPr="00937C8B" w:rsidRDefault="00431690" w:rsidP="00B128CB">
      <w:pPr>
        <w:numPr>
          <w:ilvl w:val="0"/>
          <w:numId w:val="58"/>
        </w:numPr>
        <w:tabs>
          <w:tab w:val="clear" w:pos="567"/>
        </w:tabs>
        <w:spacing w:after="200" w:line="276" w:lineRule="auto"/>
        <w:ind w:left="426" w:hanging="426"/>
        <w:contextualSpacing/>
        <w:jc w:val="both"/>
        <w:rPr>
          <w:rFonts w:ascii="Arial" w:eastAsia="Calibri" w:hAnsi="Arial" w:cs="Arial"/>
          <w:sz w:val="20"/>
          <w:szCs w:val="20"/>
        </w:rPr>
      </w:pPr>
      <w:r>
        <w:rPr>
          <w:rFonts w:ascii="Arial" w:hAnsi="Arial"/>
          <w:sz w:val="20"/>
          <w:szCs w:val="20"/>
        </w:rPr>
        <w:t xml:space="preserve">La phase d'estimation de la </w:t>
      </w:r>
      <w:r>
        <w:rPr>
          <w:rFonts w:ascii="Arial" w:hAnsi="Arial"/>
          <w:i/>
          <w:iCs/>
          <w:sz w:val="20"/>
          <w:szCs w:val="20"/>
        </w:rPr>
        <w:t>moyenne annuelle de concentration de radon</w:t>
      </w:r>
      <w:r>
        <w:rPr>
          <w:rFonts w:ascii="Arial" w:hAnsi="Arial"/>
          <w:sz w:val="20"/>
          <w:szCs w:val="20"/>
        </w:rPr>
        <w:t xml:space="preserve"> est réalisée par l'entité de gestion ou de contrôle.</w:t>
      </w:r>
    </w:p>
    <w:p w14:paraId="408CCB94" w14:textId="77777777" w:rsidR="00431690" w:rsidRPr="00937C8B" w:rsidRDefault="00431690" w:rsidP="00B128CB">
      <w:pPr>
        <w:numPr>
          <w:ilvl w:val="0"/>
          <w:numId w:val="58"/>
        </w:numPr>
        <w:tabs>
          <w:tab w:val="num" w:pos="426"/>
        </w:tabs>
        <w:suppressAutoHyphens/>
        <w:spacing w:before="200" w:after="60" w:line="259" w:lineRule="auto"/>
        <w:ind w:left="425" w:hanging="425"/>
        <w:jc w:val="both"/>
        <w:rPr>
          <w:rFonts w:ascii="Arial" w:eastAsia="Calibri" w:hAnsi="Arial" w:cs="Arial"/>
          <w:sz w:val="20"/>
          <w:szCs w:val="20"/>
        </w:rPr>
      </w:pPr>
      <w:r>
        <w:rPr>
          <w:rFonts w:ascii="Arial" w:hAnsi="Arial"/>
          <w:sz w:val="20"/>
          <w:szCs w:val="20"/>
        </w:rPr>
        <w:t xml:space="preserve">Sur la base des valeurs de </w:t>
      </w:r>
      <w:r>
        <w:rPr>
          <w:rFonts w:ascii="Arial" w:hAnsi="Arial"/>
          <w:i/>
          <w:iCs/>
          <w:sz w:val="20"/>
          <w:szCs w:val="20"/>
        </w:rPr>
        <w:t>concentration de radon</w:t>
      </w:r>
      <w:r>
        <w:rPr>
          <w:rFonts w:ascii="Arial" w:hAnsi="Arial"/>
          <w:sz w:val="20"/>
          <w:szCs w:val="20"/>
        </w:rPr>
        <w:t xml:space="preserve"> dans l'air fournies par l'entité de mesure, la </w:t>
      </w:r>
      <w:r>
        <w:rPr>
          <w:rFonts w:ascii="Arial" w:hAnsi="Arial"/>
          <w:i/>
          <w:iCs/>
          <w:sz w:val="20"/>
          <w:szCs w:val="20"/>
        </w:rPr>
        <w:t>moyenne annuelle de concentration de radon</w:t>
      </w:r>
      <w:r>
        <w:rPr>
          <w:rFonts w:ascii="Arial" w:hAnsi="Arial"/>
          <w:sz w:val="20"/>
          <w:szCs w:val="20"/>
        </w:rPr>
        <w:t xml:space="preserve"> pendant la période d'exposition sera estimée pour chacune des zones d'échantillonnage où les détecteurs ont été exposés.</w:t>
      </w:r>
    </w:p>
    <w:p w14:paraId="746AD510" w14:textId="77777777" w:rsidR="00431690" w:rsidRPr="00937C8B" w:rsidRDefault="00431690" w:rsidP="00B128CB">
      <w:pPr>
        <w:numPr>
          <w:ilvl w:val="0"/>
          <w:numId w:val="58"/>
        </w:numPr>
        <w:tabs>
          <w:tab w:val="clear" w:pos="567"/>
          <w:tab w:val="num" w:pos="426"/>
        </w:tabs>
        <w:suppressAutoHyphens/>
        <w:spacing w:before="200" w:after="100" w:line="259" w:lineRule="auto"/>
        <w:ind w:left="426" w:hanging="426"/>
        <w:jc w:val="both"/>
        <w:rPr>
          <w:rFonts w:ascii="Arial" w:eastAsia="Calibri" w:hAnsi="Arial" w:cs="Arial"/>
          <w:sz w:val="20"/>
          <w:szCs w:val="20"/>
        </w:rPr>
      </w:pPr>
      <w:r>
        <w:rPr>
          <w:rFonts w:ascii="Arial" w:hAnsi="Arial"/>
          <w:sz w:val="20"/>
          <w:szCs w:val="20"/>
        </w:rPr>
        <w:t>Si le nombre de détecteurs exposés dans une zone d'échantillonnage est inférieur ou égal à deux, la valeur moyenne de la concentration correspond à la mesure la plus élevée. Sinon, il s’agit de déterminer la moyenne arithmétique des valeurs de concentration de radon fournies par tous les détecteurs exposés dans la zone d'échantillonnage.</w:t>
      </w:r>
    </w:p>
    <w:p w14:paraId="417CC105" w14:textId="77777777" w:rsidR="00431690" w:rsidRPr="00937C8B" w:rsidRDefault="00431690" w:rsidP="00E42FD8">
      <w:pPr>
        <w:keepNext/>
        <w:numPr>
          <w:ilvl w:val="0"/>
          <w:numId w:val="58"/>
        </w:numPr>
        <w:tabs>
          <w:tab w:val="num" w:pos="426"/>
        </w:tabs>
        <w:suppressAutoHyphens/>
        <w:spacing w:before="200" w:after="100" w:line="259" w:lineRule="auto"/>
        <w:ind w:left="425" w:hanging="425"/>
        <w:jc w:val="both"/>
        <w:rPr>
          <w:rFonts w:ascii="Arial" w:eastAsia="Calibri" w:hAnsi="Arial" w:cs="Arial"/>
          <w:sz w:val="20"/>
          <w:szCs w:val="20"/>
        </w:rPr>
      </w:pPr>
      <w:r>
        <w:rPr>
          <w:rFonts w:ascii="Arial" w:hAnsi="Arial"/>
          <w:sz w:val="20"/>
          <w:szCs w:val="20"/>
        </w:rPr>
        <w:t xml:space="preserve">Pour obtenir la </w:t>
      </w:r>
      <w:r>
        <w:rPr>
          <w:rFonts w:ascii="Arial" w:hAnsi="Arial"/>
          <w:i/>
          <w:iCs/>
          <w:sz w:val="20"/>
          <w:szCs w:val="20"/>
        </w:rPr>
        <w:t>moyenne annuelle de concentration de radon</w:t>
      </w:r>
      <w:r>
        <w:rPr>
          <w:rFonts w:ascii="Arial" w:hAnsi="Arial"/>
          <w:sz w:val="20"/>
          <w:szCs w:val="20"/>
        </w:rPr>
        <w:t xml:space="preserve"> dans chaque zone d'échantillonnage, le résultat obtenu conformément au point 2 du présent article doit être multiplié par un facteur 1,4 dans les cas suivants:</w:t>
      </w:r>
    </w:p>
    <w:p w14:paraId="6A05C08B" w14:textId="77777777" w:rsidR="00431690" w:rsidRPr="00937C8B" w:rsidRDefault="00431690" w:rsidP="00B128CB">
      <w:pPr>
        <w:numPr>
          <w:ilvl w:val="1"/>
          <w:numId w:val="36"/>
        </w:numPr>
        <w:suppressAutoHyphens/>
        <w:spacing w:before="60" w:after="60" w:line="259" w:lineRule="auto"/>
        <w:ind w:left="709" w:hanging="283"/>
        <w:jc w:val="both"/>
        <w:rPr>
          <w:rFonts w:ascii="Arial" w:eastAsia="Calibri" w:hAnsi="Arial" w:cs="Arial"/>
          <w:sz w:val="20"/>
          <w:szCs w:val="20"/>
        </w:rPr>
      </w:pPr>
      <w:r>
        <w:rPr>
          <w:rFonts w:ascii="Arial" w:hAnsi="Arial"/>
          <w:sz w:val="20"/>
          <w:szCs w:val="20"/>
        </w:rPr>
        <w:t>si les expositions des détecteurs ont eu lieu dans un bâtiment inoccupé dans lequel, en raison de contraintes pratiques, les conditions du bâtiment fermé ne peuvent être garanties; ou</w:t>
      </w:r>
    </w:p>
    <w:p w14:paraId="79B88BA1" w14:textId="77777777" w:rsidR="00431690" w:rsidRPr="00937C8B" w:rsidRDefault="00431690" w:rsidP="00B128CB">
      <w:pPr>
        <w:numPr>
          <w:ilvl w:val="1"/>
          <w:numId w:val="36"/>
        </w:numPr>
        <w:suppressAutoHyphens/>
        <w:spacing w:before="60" w:after="60" w:line="259" w:lineRule="auto"/>
        <w:ind w:left="709" w:hanging="283"/>
        <w:jc w:val="both"/>
        <w:rPr>
          <w:rFonts w:ascii="Arial" w:eastAsia="Calibri" w:hAnsi="Arial" w:cs="Arial"/>
          <w:sz w:val="20"/>
          <w:szCs w:val="20"/>
        </w:rPr>
      </w:pPr>
      <w:r>
        <w:rPr>
          <w:rFonts w:ascii="Arial" w:hAnsi="Arial"/>
          <w:sz w:val="20"/>
          <w:szCs w:val="20"/>
        </w:rPr>
        <w:t>si les expositions des détecteurs ont eu lieu dans un bâtiment situé dans l'une des zones climatiques hivernales C, D ou E établies dans le DB-HE «Économie d'énergie» et que la période d'exposition ne coïncide pas au moins aux 2/3 avec la saison de chauffage.</w:t>
      </w:r>
    </w:p>
    <w:p w14:paraId="37D19859" w14:textId="77777777" w:rsidR="00431690" w:rsidRPr="00937C8B" w:rsidRDefault="00431690" w:rsidP="00B128CB">
      <w:pPr>
        <w:numPr>
          <w:ilvl w:val="0"/>
          <w:numId w:val="58"/>
        </w:numPr>
        <w:tabs>
          <w:tab w:val="num" w:pos="426"/>
        </w:tabs>
        <w:suppressAutoHyphens/>
        <w:spacing w:before="200" w:after="100" w:line="259" w:lineRule="auto"/>
        <w:ind w:left="425" w:hanging="425"/>
        <w:jc w:val="both"/>
        <w:rPr>
          <w:rFonts w:ascii="Arial" w:eastAsia="Calibri" w:hAnsi="Arial" w:cs="Arial"/>
          <w:sz w:val="20"/>
          <w:szCs w:val="20"/>
        </w:rPr>
      </w:pPr>
      <w:r>
        <w:rPr>
          <w:rFonts w:ascii="Arial" w:hAnsi="Arial"/>
          <w:sz w:val="20"/>
          <w:szCs w:val="20"/>
        </w:rPr>
        <w:t>Dans tous les autres cas, la moyenne de</w:t>
      </w:r>
      <w:r>
        <w:rPr>
          <w:rFonts w:ascii="Arial" w:hAnsi="Arial"/>
          <w:i/>
          <w:iCs/>
          <w:sz w:val="20"/>
          <w:szCs w:val="20"/>
        </w:rPr>
        <w:t xml:space="preserve"> concentration de radon</w:t>
      </w:r>
      <w:r>
        <w:rPr>
          <w:rFonts w:ascii="Arial" w:hAnsi="Arial"/>
          <w:sz w:val="20"/>
          <w:szCs w:val="20"/>
        </w:rPr>
        <w:t xml:space="preserve"> pendant la période d'exposition sera considérée comme une estimation adéquate de la</w:t>
      </w:r>
      <w:r>
        <w:rPr>
          <w:rFonts w:ascii="Arial" w:hAnsi="Arial"/>
          <w:i/>
          <w:iCs/>
          <w:sz w:val="20"/>
          <w:szCs w:val="20"/>
        </w:rPr>
        <w:t xml:space="preserve"> moyenne annuelle de concentration de radon</w:t>
      </w:r>
      <w:r>
        <w:rPr>
          <w:rFonts w:ascii="Arial" w:hAnsi="Arial"/>
          <w:sz w:val="20"/>
          <w:szCs w:val="20"/>
        </w:rPr>
        <w:t>.</w:t>
      </w:r>
    </w:p>
    <w:p w14:paraId="7ECE67B8" w14:textId="77777777" w:rsidR="00431690" w:rsidRPr="00937C8B" w:rsidRDefault="00431690" w:rsidP="00E42FD8">
      <w:pPr>
        <w:keepNext/>
        <w:numPr>
          <w:ilvl w:val="0"/>
          <w:numId w:val="58"/>
        </w:numPr>
        <w:tabs>
          <w:tab w:val="clear" w:pos="567"/>
          <w:tab w:val="num" w:pos="426"/>
        </w:tabs>
        <w:suppressAutoHyphens/>
        <w:spacing w:before="200" w:after="60" w:line="259" w:lineRule="auto"/>
        <w:ind w:left="425" w:hanging="425"/>
        <w:jc w:val="both"/>
        <w:rPr>
          <w:rFonts w:ascii="Arial" w:eastAsia="Calibri" w:hAnsi="Arial" w:cs="Arial"/>
          <w:sz w:val="20"/>
          <w:szCs w:val="20"/>
        </w:rPr>
      </w:pPr>
      <w:r>
        <w:rPr>
          <w:rFonts w:ascii="Arial" w:hAnsi="Arial"/>
          <w:sz w:val="20"/>
          <w:szCs w:val="20"/>
        </w:rPr>
        <w:t xml:space="preserve">Les données suivantes doivent être incluses dans les informations à l'appui de l'estimation de la </w:t>
      </w:r>
      <w:r>
        <w:rPr>
          <w:rFonts w:ascii="Arial" w:hAnsi="Arial"/>
          <w:i/>
          <w:iCs/>
          <w:sz w:val="20"/>
          <w:szCs w:val="20"/>
        </w:rPr>
        <w:t>moyenne annuelle de concentration de radon</w:t>
      </w:r>
      <w:r>
        <w:rPr>
          <w:rFonts w:ascii="Arial" w:hAnsi="Arial"/>
          <w:sz w:val="20"/>
          <w:szCs w:val="20"/>
        </w:rPr>
        <w:t xml:space="preserve"> à l'intérieur du bâtiment:</w:t>
      </w:r>
    </w:p>
    <w:p w14:paraId="4F6DF26E" w14:textId="77777777" w:rsidR="00431690" w:rsidRPr="00937C8B" w:rsidRDefault="00431690" w:rsidP="00B128CB">
      <w:pPr>
        <w:numPr>
          <w:ilvl w:val="0"/>
          <w:numId w:val="34"/>
        </w:numPr>
        <w:suppressAutoHyphens/>
        <w:spacing w:before="60" w:after="60" w:line="259" w:lineRule="auto"/>
        <w:ind w:left="709" w:hanging="283"/>
        <w:jc w:val="both"/>
        <w:rPr>
          <w:rFonts w:ascii="Arial" w:eastAsia="Calibri" w:hAnsi="Arial" w:cs="Arial"/>
          <w:sz w:val="20"/>
          <w:szCs w:val="20"/>
        </w:rPr>
      </w:pPr>
      <w:r>
        <w:rPr>
          <w:rFonts w:ascii="Arial" w:hAnsi="Arial"/>
          <w:sz w:val="20"/>
          <w:szCs w:val="20"/>
        </w:rPr>
        <w:t>informations sur l'état du bâtiment ou de la zone d'échantillonnage pendant l'exposition des détecteurs (en service/non occupé, fermé/non fermé, classe énergétique);</w:t>
      </w:r>
    </w:p>
    <w:p w14:paraId="47FA5814" w14:textId="77777777" w:rsidR="00431690" w:rsidRPr="00937C8B" w:rsidRDefault="00431690" w:rsidP="00B128CB">
      <w:pPr>
        <w:numPr>
          <w:ilvl w:val="0"/>
          <w:numId w:val="34"/>
        </w:numPr>
        <w:suppressAutoHyphens/>
        <w:spacing w:before="60" w:after="60" w:line="259" w:lineRule="auto"/>
        <w:ind w:left="709" w:hanging="283"/>
        <w:jc w:val="both"/>
        <w:rPr>
          <w:rFonts w:ascii="Arial" w:eastAsia="Calibri" w:hAnsi="Arial" w:cs="Arial"/>
          <w:sz w:val="20"/>
          <w:szCs w:val="20"/>
        </w:rPr>
      </w:pPr>
      <w:r>
        <w:rPr>
          <w:rFonts w:ascii="Arial" w:hAnsi="Arial"/>
          <w:sz w:val="20"/>
          <w:szCs w:val="20"/>
        </w:rPr>
        <w:t>l'emplacement de chaque détecteur sera indiqué avec son code d'identification correspondant au moyen du diagramme graphique du bâtiment et du plan de chaque étage indiqué à l’article 2.2;</w:t>
      </w:r>
    </w:p>
    <w:p w14:paraId="6A11C33E" w14:textId="77777777" w:rsidR="00431690" w:rsidRPr="00937C8B" w:rsidRDefault="00431690" w:rsidP="00B128CB">
      <w:pPr>
        <w:numPr>
          <w:ilvl w:val="0"/>
          <w:numId w:val="34"/>
        </w:numPr>
        <w:suppressAutoHyphens/>
        <w:spacing w:before="60" w:after="60" w:line="259" w:lineRule="auto"/>
        <w:ind w:left="709" w:hanging="283"/>
        <w:jc w:val="both"/>
        <w:rPr>
          <w:rFonts w:ascii="Arial" w:eastAsia="Calibri" w:hAnsi="Arial" w:cs="Arial"/>
          <w:sz w:val="20"/>
          <w:szCs w:val="20"/>
        </w:rPr>
      </w:pPr>
      <w:r>
        <w:rPr>
          <w:rFonts w:ascii="Arial" w:hAnsi="Arial"/>
          <w:sz w:val="20"/>
          <w:szCs w:val="20"/>
        </w:rPr>
        <w:t>le cas échéant, circonstances pouvant induire des valeurs anormales dans les mesures (concentrations élevées de radon, conditions météorologiques anormales, etc.);</w:t>
      </w:r>
    </w:p>
    <w:p w14:paraId="467C0268" w14:textId="77777777" w:rsidR="00431690" w:rsidRPr="00937C8B" w:rsidRDefault="00431690" w:rsidP="00E42FD8">
      <w:pPr>
        <w:keepNext/>
        <w:numPr>
          <w:ilvl w:val="0"/>
          <w:numId w:val="34"/>
        </w:numPr>
        <w:suppressAutoHyphens/>
        <w:spacing w:before="60" w:after="60" w:line="259" w:lineRule="auto"/>
        <w:ind w:left="851" w:hanging="425"/>
        <w:jc w:val="both"/>
        <w:rPr>
          <w:rFonts w:ascii="Arial" w:eastAsia="Calibri" w:hAnsi="Arial" w:cs="Arial"/>
          <w:sz w:val="20"/>
          <w:szCs w:val="20"/>
        </w:rPr>
      </w:pPr>
      <w:r>
        <w:rPr>
          <w:rFonts w:ascii="Arial" w:hAnsi="Arial"/>
          <w:sz w:val="20"/>
          <w:szCs w:val="20"/>
        </w:rPr>
        <w:t>pour chaque zone d'échantillonnage:</w:t>
      </w:r>
    </w:p>
    <w:p w14:paraId="1E75244E" w14:textId="77777777" w:rsidR="00431690" w:rsidRPr="00937C8B" w:rsidRDefault="00431690" w:rsidP="00425ADA">
      <w:pPr>
        <w:numPr>
          <w:ilvl w:val="1"/>
          <w:numId w:val="34"/>
        </w:numPr>
        <w:suppressAutoHyphens/>
        <w:spacing w:before="60" w:after="60" w:line="259" w:lineRule="auto"/>
        <w:ind w:left="1276" w:hanging="283"/>
        <w:jc w:val="both"/>
        <w:rPr>
          <w:rFonts w:ascii="Arial" w:eastAsia="Calibri" w:hAnsi="Arial" w:cs="Arial"/>
          <w:sz w:val="20"/>
          <w:szCs w:val="20"/>
        </w:rPr>
      </w:pPr>
      <w:r>
        <w:rPr>
          <w:rFonts w:ascii="Arial" w:hAnsi="Arial"/>
          <w:sz w:val="20"/>
          <w:szCs w:val="20"/>
        </w:rPr>
        <w:t>nombre de détecteurs exposés et code d'identification de chacun d'eux;</w:t>
      </w:r>
    </w:p>
    <w:p w14:paraId="0EFE739E" w14:textId="77777777" w:rsidR="00431690" w:rsidRPr="00937C8B" w:rsidRDefault="00431690" w:rsidP="00425ADA">
      <w:pPr>
        <w:numPr>
          <w:ilvl w:val="1"/>
          <w:numId w:val="34"/>
        </w:numPr>
        <w:suppressAutoHyphens/>
        <w:spacing w:before="60" w:after="60" w:line="259" w:lineRule="auto"/>
        <w:ind w:left="1276" w:hanging="283"/>
        <w:jc w:val="both"/>
        <w:rPr>
          <w:rFonts w:ascii="Arial" w:eastAsia="Calibri" w:hAnsi="Arial" w:cs="Arial"/>
          <w:sz w:val="20"/>
          <w:szCs w:val="20"/>
        </w:rPr>
      </w:pPr>
      <w:r>
        <w:rPr>
          <w:rFonts w:ascii="Arial" w:hAnsi="Arial"/>
          <w:sz w:val="20"/>
          <w:szCs w:val="20"/>
        </w:rPr>
        <w:lastRenderedPageBreak/>
        <w:t xml:space="preserve">moyenne de la </w:t>
      </w:r>
      <w:r>
        <w:rPr>
          <w:rFonts w:ascii="Arial" w:hAnsi="Arial"/>
          <w:i/>
          <w:iCs/>
          <w:sz w:val="20"/>
          <w:szCs w:val="20"/>
        </w:rPr>
        <w:t>concentration de radon</w:t>
      </w:r>
      <w:r>
        <w:rPr>
          <w:rFonts w:ascii="Arial" w:hAnsi="Arial"/>
          <w:sz w:val="20"/>
          <w:szCs w:val="20"/>
        </w:rPr>
        <w:t xml:space="preserve"> pendant la période d'échantillonnage et </w:t>
      </w:r>
      <w:r>
        <w:rPr>
          <w:rFonts w:ascii="Arial" w:hAnsi="Arial"/>
          <w:i/>
          <w:iCs/>
          <w:sz w:val="20"/>
          <w:szCs w:val="20"/>
        </w:rPr>
        <w:t>moyenne annuelle de concentration de radon</w:t>
      </w:r>
      <w:r>
        <w:rPr>
          <w:rFonts w:ascii="Arial" w:hAnsi="Arial"/>
          <w:sz w:val="20"/>
          <w:szCs w:val="20"/>
        </w:rPr>
        <w:t>;</w:t>
      </w:r>
    </w:p>
    <w:p w14:paraId="52A63F7A" w14:textId="77777777" w:rsidR="00C331B9" w:rsidRPr="00937C8B" w:rsidRDefault="00431690" w:rsidP="00425ADA">
      <w:pPr>
        <w:pStyle w:val="CTENumeracion"/>
        <w:numPr>
          <w:ilvl w:val="0"/>
          <w:numId w:val="34"/>
        </w:numPr>
        <w:spacing w:before="120"/>
        <w:rPr>
          <w:rFonts w:cs="Arial"/>
          <w:szCs w:val="20"/>
        </w:rPr>
      </w:pPr>
      <w:r>
        <w:t>annexe contenant le rapport de résultats fourni par l'entité de mesure.</w:t>
      </w:r>
      <w:bookmarkEnd w:id="384"/>
    </w:p>
    <w:sectPr w:rsidR="00C331B9" w:rsidRPr="00937C8B" w:rsidSect="00C56654">
      <w:headerReference w:type="first" r:id="rId23"/>
      <w:footerReference w:type="first" r:id="rId24"/>
      <w:pgSz w:w="11906" w:h="16838"/>
      <w:pgMar w:top="1701" w:right="737" w:bottom="726" w:left="737" w:header="720" w:footer="72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9105C" w14:textId="77777777" w:rsidR="00B970BB" w:rsidRDefault="00B970BB">
      <w:r>
        <w:separator/>
      </w:r>
    </w:p>
  </w:endnote>
  <w:endnote w:type="continuationSeparator" w:id="0">
    <w:p w14:paraId="667A4B08" w14:textId="77777777" w:rsidR="00B970BB" w:rsidRDefault="00B9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Extend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auto"/>
    <w:pitch w:val="variable"/>
  </w:font>
  <w:font w:name="FreeSans">
    <w:altName w:val="Times New Roman"/>
    <w:charset w:val="00"/>
    <w:family w:val="swiss"/>
    <w:pitch w:val="default"/>
  </w:font>
  <w:font w:name="DejaVu Sans">
    <w:altName w:val="Arial"/>
    <w:charset w:val="00"/>
    <w:family w:val="swiss"/>
    <w:pitch w:val="variable"/>
    <w:sig w:usb0="00000000" w:usb1="D200F5FF" w:usb2="0A246029" w:usb3="00000000" w:csb0="000001FF" w:csb1="00000000"/>
  </w:font>
  <w:font w:name="Lohit Hindi">
    <w:altName w:val="Times New Roman"/>
    <w:charset w:val="00"/>
    <w:family w:val="auto"/>
    <w:pitch w:val="variable"/>
  </w:font>
  <w:font w:name="Droid Sans Fallback">
    <w:charset w:val="00"/>
    <w:family w:val="auto"/>
    <w:pitch w:val="variable"/>
  </w:font>
  <w:font w:name="AR PL UMing HK">
    <w:charset w:val="00"/>
    <w:family w:val="auto"/>
    <w:pitch w:val="variable"/>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GBGEGH+Arial,Bold">
    <w:panose1 w:val="00000000000000000000"/>
    <w:charset w:val="00"/>
    <w:family w:val="swiss"/>
    <w:notTrueType/>
    <w:pitch w:val="default"/>
    <w:sig w:usb0="00000003" w:usb1="00000000" w:usb2="00000000" w:usb3="00000000" w:csb0="00000001" w:csb1="00000000"/>
  </w:font>
  <w:font w:name="Arial, sans-serif">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D8A4C" w14:textId="77777777" w:rsidR="00E93486" w:rsidRDefault="00E934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0</w:t>
    </w:r>
    <w:r>
      <w:rPr>
        <w:rStyle w:val="Numrodepage"/>
      </w:rPr>
      <w:fldChar w:fldCharType="end"/>
    </w:r>
  </w:p>
  <w:p w14:paraId="10CF3C9C" w14:textId="77777777" w:rsidR="00E93486" w:rsidRDefault="00E9348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50E02" w14:textId="77777777" w:rsidR="00E93486" w:rsidRDefault="00E934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9</w:t>
    </w:r>
    <w:r>
      <w:rPr>
        <w:rStyle w:val="Numrodepage"/>
      </w:rPr>
      <w:fldChar w:fldCharType="end"/>
    </w:r>
  </w:p>
  <w:p w14:paraId="3EF7428F" w14:textId="77777777" w:rsidR="00E93486" w:rsidRDefault="00E93486">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E785" w14:textId="77777777" w:rsidR="00E93486" w:rsidRDefault="00E934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8F348" w14:textId="77777777" w:rsidR="00B970BB" w:rsidRDefault="00B970BB">
      <w:r>
        <w:separator/>
      </w:r>
    </w:p>
  </w:footnote>
  <w:footnote w:type="continuationSeparator" w:id="0">
    <w:p w14:paraId="43BBE41A" w14:textId="77777777" w:rsidR="00B970BB" w:rsidRDefault="00B97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E93486" w14:paraId="78ECDD3E" w14:textId="77777777">
      <w:trPr>
        <w:cantSplit/>
        <w:trHeight w:val="991"/>
        <w:jc w:val="center"/>
      </w:trPr>
      <w:tc>
        <w:tcPr>
          <w:tcW w:w="1346" w:type="dxa"/>
        </w:tcPr>
        <w:p w14:paraId="4E49A72B" w14:textId="77777777" w:rsidR="00E93486" w:rsidRDefault="00E93486">
          <w:pPr>
            <w:pStyle w:val="En-tte"/>
            <w:tabs>
              <w:tab w:val="clear" w:pos="4252"/>
              <w:tab w:val="clear" w:pos="8504"/>
            </w:tabs>
          </w:pPr>
        </w:p>
      </w:tc>
      <w:tc>
        <w:tcPr>
          <w:tcW w:w="7726" w:type="dxa"/>
        </w:tcPr>
        <w:p w14:paraId="7A9F0884" w14:textId="77777777" w:rsidR="00E93486" w:rsidRDefault="00E93486">
          <w:pPr>
            <w:pStyle w:val="En-tte"/>
            <w:tabs>
              <w:tab w:val="clear" w:pos="4252"/>
              <w:tab w:val="left" w:pos="2127"/>
              <w:tab w:val="left" w:pos="6521"/>
            </w:tabs>
          </w:pPr>
        </w:p>
      </w:tc>
      <w:bookmarkStart w:id="12" w:name="_MON_1030527131"/>
      <w:bookmarkEnd w:id="12"/>
      <w:tc>
        <w:tcPr>
          <w:tcW w:w="1843" w:type="dxa"/>
        </w:tcPr>
        <w:p w14:paraId="42169F5F" w14:textId="77777777" w:rsidR="00E93486" w:rsidRDefault="00E93486">
          <w:pPr>
            <w:pStyle w:val="En-tte"/>
            <w:tabs>
              <w:tab w:val="clear" w:pos="4252"/>
              <w:tab w:val="left" w:pos="6521"/>
            </w:tabs>
            <w:spacing w:before="120" w:after="120"/>
            <w:jc w:val="right"/>
            <w:rPr>
              <w:rFonts w:ascii="Gill Sans MT" w:hAnsi="Gill Sans MT"/>
              <w:sz w:val="10"/>
            </w:rPr>
          </w:pPr>
          <w:r>
            <w:object w:dxaOrig="1081" w:dyaOrig="1141" w14:anchorId="14B1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75pt;height:44.25pt" o:ole="" fillcolor="window">
                <v:imagedata r:id="rId1" o:title=""/>
              </v:shape>
              <o:OLEObject Type="Embed" ProgID="Word.Picture.8" ShapeID="_x0000_i1027" DrawAspect="Content" ObjectID="_1655535306" r:id="rId2"/>
            </w:object>
          </w:r>
        </w:p>
      </w:tc>
    </w:tr>
  </w:tbl>
  <w:p w14:paraId="31F09CA5" w14:textId="77777777" w:rsidR="00E93486" w:rsidRDefault="00E93486">
    <w:pPr>
      <w:pStyle w:val="En-tte"/>
    </w:pPr>
    <w:r>
      <w:rPr>
        <w:noProof/>
        <w:sz w:val="20"/>
      </w:rPr>
      <mc:AlternateContent>
        <mc:Choice Requires="wps">
          <w:drawing>
            <wp:anchor distT="0" distB="0" distL="114300" distR="114300" simplePos="0" relativeHeight="251657728" behindDoc="0" locked="0" layoutInCell="1" allowOverlap="1" wp14:anchorId="6DF1CBB1" wp14:editId="702046A0">
              <wp:simplePos x="0" y="0"/>
              <wp:positionH relativeFrom="margin">
                <wp:posOffset>-102870</wp:posOffset>
              </wp:positionH>
              <wp:positionV relativeFrom="page">
                <wp:posOffset>1247775</wp:posOffset>
              </wp:positionV>
              <wp:extent cx="6840220" cy="8686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717A088F" w14:textId="77777777" w:rsidR="00E93486" w:rsidRPr="00F479AF" w:rsidRDefault="00E93486" w:rsidP="00F479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1CBB1" id="_x0000_t202" coordsize="21600,21600" o:spt="202" path="m,l,21600r21600,l21600,xe">
              <v:stroke joinstyle="miter"/>
              <v:path gradientshapeok="t" o:connecttype="rect"/>
            </v:shapetype>
            <v:shape id="Text Box 2" o:spid="_x0000_s1027" type="#_x0000_t202" style="position:absolute;margin-left:-8.1pt;margin-top:98.25pt;width:538.6pt;height:68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">
              <v:textbox>
                <w:txbxContent>
                  <w:p w14:paraId="717A088F" w14:textId="77777777" w:rsidR="00E93486" w:rsidRPr="00F479AF" w:rsidRDefault="00E93486" w:rsidP="00F479AF"/>
                </w:txbxContent>
              </v:textbox>
              <w10:wrap anchorx="margin" anchory="page"/>
            </v:shape>
          </w:pict>
        </mc:Fallback>
      </mc:AlternateContent>
    </w:r>
  </w:p>
  <w:p w14:paraId="76B62900" w14:textId="77777777" w:rsidR="00E93486" w:rsidRDefault="00E934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3" w:type="dxa"/>
      <w:jc w:val="center"/>
      <w:tblLayout w:type="fixed"/>
      <w:tblCellMar>
        <w:left w:w="70" w:type="dxa"/>
        <w:right w:w="70" w:type="dxa"/>
      </w:tblCellMar>
      <w:tblLook w:val="0000" w:firstRow="0" w:lastRow="0" w:firstColumn="0" w:lastColumn="0" w:noHBand="0" w:noVBand="0"/>
    </w:tblPr>
    <w:tblGrid>
      <w:gridCol w:w="1305"/>
      <w:gridCol w:w="3417"/>
      <w:gridCol w:w="2299"/>
      <w:gridCol w:w="3772"/>
    </w:tblGrid>
    <w:tr w:rsidR="00E93486" w14:paraId="621070D8" w14:textId="77777777" w:rsidTr="006A226E">
      <w:trPr>
        <w:cantSplit/>
        <w:jc w:val="center"/>
      </w:trPr>
      <w:tc>
        <w:tcPr>
          <w:tcW w:w="1305" w:type="dxa"/>
          <w:vMerge w:val="restart"/>
        </w:tcPr>
        <w:p w14:paraId="48DA3EF9" w14:textId="77777777" w:rsidR="00E93486" w:rsidRDefault="00E93486" w:rsidP="008D4E3C">
          <w:pPr>
            <w:pStyle w:val="En-tte"/>
            <w:tabs>
              <w:tab w:val="clear" w:pos="4252"/>
              <w:tab w:val="clear" w:pos="8504"/>
            </w:tabs>
            <w:ind w:left="-41" w:right="1318"/>
          </w:pPr>
          <w:r>
            <w:object w:dxaOrig="1081" w:dyaOrig="1141" w14:anchorId="21425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60pt" o:ole="" fillcolor="window">
                <v:imagedata r:id="rId1" o:title=""/>
              </v:shape>
              <o:OLEObject Type="Embed" ProgID="Word.Picture.8" ShapeID="_x0000_i1028" DrawAspect="Content" ObjectID="_1655535307" r:id="rId2"/>
            </w:object>
          </w:r>
        </w:p>
      </w:tc>
      <w:tc>
        <w:tcPr>
          <w:tcW w:w="3417" w:type="dxa"/>
          <w:vMerge w:val="restart"/>
        </w:tcPr>
        <w:p w14:paraId="77AEC2A7" w14:textId="77777777" w:rsidR="00E93486" w:rsidRPr="00CD7D7E" w:rsidRDefault="00E93486" w:rsidP="008D4E3C">
          <w:pPr>
            <w:pStyle w:val="En-tte"/>
            <w:tabs>
              <w:tab w:val="clear" w:pos="4252"/>
              <w:tab w:val="left" w:pos="-819"/>
              <w:tab w:val="left" w:pos="6521"/>
            </w:tabs>
            <w:ind w:right="-7"/>
            <w:rPr>
              <w:rFonts w:ascii="Arial" w:hAnsi="Arial" w:cs="Arial"/>
              <w:sz w:val="16"/>
              <w:szCs w:val="16"/>
            </w:rPr>
          </w:pPr>
        </w:p>
        <w:p w14:paraId="066E659A" w14:textId="77777777" w:rsidR="00E93486" w:rsidRDefault="00E93486" w:rsidP="00371764">
          <w:pPr>
            <w:pStyle w:val="En-tte"/>
            <w:tabs>
              <w:tab w:val="clear" w:pos="4252"/>
              <w:tab w:val="left" w:pos="-819"/>
              <w:tab w:val="left" w:pos="6521"/>
            </w:tabs>
            <w:ind w:right="-7"/>
            <w:rPr>
              <w:rFonts w:ascii="Gill Sans MT" w:hAnsi="Gill Sans MT"/>
              <w:sz w:val="16"/>
            </w:rPr>
          </w:pPr>
        </w:p>
        <w:p w14:paraId="543C6BD5" w14:textId="77777777" w:rsidR="00E93486" w:rsidRDefault="00E93486" w:rsidP="00371764">
          <w:pPr>
            <w:pStyle w:val="En-tte"/>
            <w:tabs>
              <w:tab w:val="clear" w:pos="4252"/>
              <w:tab w:val="left" w:pos="-819"/>
              <w:tab w:val="left" w:pos="6521"/>
            </w:tabs>
            <w:ind w:right="-7"/>
          </w:pPr>
          <w:r>
            <w:t>MINISTÈRE DE L’ÉQUIPEMENT</w:t>
          </w:r>
        </w:p>
        <w:p w14:paraId="2D01AEA2" w14:textId="77777777" w:rsidR="00E93486" w:rsidRDefault="00E93486" w:rsidP="00371764">
          <w:pPr>
            <w:pStyle w:val="En-tte"/>
            <w:tabs>
              <w:tab w:val="clear" w:pos="4252"/>
              <w:tab w:val="left" w:pos="-819"/>
              <w:tab w:val="left" w:pos="6521"/>
            </w:tabs>
            <w:ind w:right="-7"/>
          </w:pPr>
        </w:p>
        <w:p w14:paraId="3495580A" w14:textId="77777777" w:rsidR="00E93486" w:rsidRPr="00353378" w:rsidRDefault="00E93486" w:rsidP="00371764">
          <w:pPr>
            <w:pStyle w:val="En-tte"/>
            <w:tabs>
              <w:tab w:val="clear" w:pos="4252"/>
              <w:tab w:val="left" w:pos="-819"/>
              <w:tab w:val="left" w:pos="6521"/>
            </w:tabs>
            <w:ind w:right="-7"/>
          </w:pPr>
        </w:p>
      </w:tc>
      <w:tc>
        <w:tcPr>
          <w:tcW w:w="2299" w:type="dxa"/>
          <w:vMerge w:val="restart"/>
        </w:tcPr>
        <w:p w14:paraId="605F53A5" w14:textId="77777777" w:rsidR="00E93486" w:rsidRDefault="00E93486" w:rsidP="008D4E3C">
          <w:pPr>
            <w:pStyle w:val="En-tte"/>
            <w:tabs>
              <w:tab w:val="clear" w:pos="4252"/>
              <w:tab w:val="left" w:pos="-819"/>
              <w:tab w:val="left" w:pos="6521"/>
            </w:tabs>
            <w:rPr>
              <w:rFonts w:ascii="Gill Sans MT" w:hAnsi="Gill Sans MT"/>
              <w:sz w:val="16"/>
            </w:rPr>
          </w:pPr>
        </w:p>
      </w:tc>
      <w:tc>
        <w:tcPr>
          <w:tcW w:w="3772" w:type="dxa"/>
        </w:tcPr>
        <w:p w14:paraId="4418BCE1" w14:textId="77777777" w:rsidR="00E93486" w:rsidRDefault="00E93486" w:rsidP="008D4E3C">
          <w:pPr>
            <w:pStyle w:val="En-tte"/>
            <w:tabs>
              <w:tab w:val="clear" w:pos="4252"/>
              <w:tab w:val="left" w:pos="6521"/>
            </w:tabs>
            <w:spacing w:before="100"/>
          </w:pPr>
        </w:p>
        <w:p w14:paraId="0412D8B6" w14:textId="77777777" w:rsidR="00E93486" w:rsidRDefault="00E93486" w:rsidP="008D4E3C">
          <w:pPr>
            <w:pStyle w:val="En-tte"/>
            <w:tabs>
              <w:tab w:val="clear" w:pos="4252"/>
              <w:tab w:val="left" w:pos="6521"/>
            </w:tabs>
            <w:spacing w:before="100"/>
          </w:pPr>
        </w:p>
      </w:tc>
    </w:tr>
    <w:tr w:rsidR="00E93486" w14:paraId="335221A9" w14:textId="77777777" w:rsidTr="006A226E">
      <w:trPr>
        <w:cantSplit/>
        <w:jc w:val="center"/>
      </w:trPr>
      <w:tc>
        <w:tcPr>
          <w:tcW w:w="1305" w:type="dxa"/>
          <w:vMerge/>
        </w:tcPr>
        <w:p w14:paraId="2BC5E72F" w14:textId="77777777" w:rsidR="00E93486" w:rsidRDefault="00E93486" w:rsidP="008D4E3C">
          <w:pPr>
            <w:pStyle w:val="En-tte"/>
            <w:tabs>
              <w:tab w:val="clear" w:pos="4252"/>
              <w:tab w:val="clear" w:pos="8504"/>
            </w:tabs>
            <w:ind w:left="-41" w:right="1176"/>
          </w:pPr>
        </w:p>
      </w:tc>
      <w:tc>
        <w:tcPr>
          <w:tcW w:w="3417" w:type="dxa"/>
          <w:vMerge/>
        </w:tcPr>
        <w:p w14:paraId="6242D24F" w14:textId="77777777" w:rsidR="00E93486" w:rsidRDefault="00E93486" w:rsidP="008D4E3C">
          <w:pPr>
            <w:pStyle w:val="En-tte"/>
            <w:tabs>
              <w:tab w:val="clear" w:pos="4252"/>
              <w:tab w:val="left" w:pos="-819"/>
              <w:tab w:val="left" w:pos="6521"/>
            </w:tabs>
            <w:rPr>
              <w:rFonts w:ascii="Gill Sans MT" w:hAnsi="Gill Sans MT"/>
              <w:sz w:val="16"/>
            </w:rPr>
          </w:pPr>
        </w:p>
      </w:tc>
      <w:tc>
        <w:tcPr>
          <w:tcW w:w="2299" w:type="dxa"/>
          <w:vMerge/>
        </w:tcPr>
        <w:p w14:paraId="388B118B" w14:textId="77777777" w:rsidR="00E93486" w:rsidRDefault="00E93486" w:rsidP="008D4E3C">
          <w:pPr>
            <w:pStyle w:val="En-tte"/>
            <w:tabs>
              <w:tab w:val="clear" w:pos="4252"/>
              <w:tab w:val="left" w:pos="-819"/>
              <w:tab w:val="left" w:pos="6521"/>
            </w:tabs>
            <w:rPr>
              <w:rFonts w:ascii="Gill Sans MT" w:hAnsi="Gill Sans MT"/>
              <w:sz w:val="16"/>
            </w:rPr>
          </w:pPr>
        </w:p>
      </w:tc>
      <w:tc>
        <w:tcPr>
          <w:tcW w:w="3772" w:type="dxa"/>
        </w:tcPr>
        <w:p w14:paraId="4A2CCA1A" w14:textId="77777777" w:rsidR="00E93486" w:rsidRDefault="00E93486" w:rsidP="008D4E3C">
          <w:pPr>
            <w:pStyle w:val="En-tte"/>
            <w:tabs>
              <w:tab w:val="clear" w:pos="4252"/>
              <w:tab w:val="left" w:pos="6521"/>
            </w:tabs>
            <w:ind w:right="782"/>
            <w:rPr>
              <w:rFonts w:ascii="Gill Sans MT" w:hAnsi="Gill Sans MT"/>
              <w:sz w:val="14"/>
            </w:rPr>
          </w:pPr>
        </w:p>
      </w:tc>
    </w:tr>
    <w:tr w:rsidR="00E93486" w14:paraId="2000840D" w14:textId="77777777" w:rsidTr="006A226E">
      <w:trPr>
        <w:cantSplit/>
        <w:jc w:val="center"/>
      </w:trPr>
      <w:tc>
        <w:tcPr>
          <w:tcW w:w="1305" w:type="dxa"/>
          <w:vMerge/>
        </w:tcPr>
        <w:p w14:paraId="70E21E8B" w14:textId="77777777" w:rsidR="00E93486" w:rsidRDefault="00E93486" w:rsidP="008D4E3C">
          <w:pPr>
            <w:pStyle w:val="En-tte"/>
            <w:tabs>
              <w:tab w:val="clear" w:pos="4252"/>
              <w:tab w:val="clear" w:pos="8504"/>
            </w:tabs>
            <w:ind w:left="-41" w:right="1176"/>
          </w:pPr>
        </w:p>
      </w:tc>
      <w:tc>
        <w:tcPr>
          <w:tcW w:w="3417" w:type="dxa"/>
          <w:vMerge/>
        </w:tcPr>
        <w:p w14:paraId="2DBAA5A5" w14:textId="77777777" w:rsidR="00E93486" w:rsidRDefault="00E93486" w:rsidP="008D4E3C">
          <w:pPr>
            <w:pStyle w:val="En-tte"/>
            <w:tabs>
              <w:tab w:val="clear" w:pos="4252"/>
              <w:tab w:val="left" w:pos="-819"/>
              <w:tab w:val="left" w:pos="6521"/>
            </w:tabs>
            <w:rPr>
              <w:rFonts w:ascii="Gill Sans MT" w:hAnsi="Gill Sans MT"/>
              <w:sz w:val="16"/>
            </w:rPr>
          </w:pPr>
        </w:p>
      </w:tc>
      <w:tc>
        <w:tcPr>
          <w:tcW w:w="2299" w:type="dxa"/>
          <w:vMerge/>
        </w:tcPr>
        <w:p w14:paraId="6C717B30" w14:textId="77777777" w:rsidR="00E93486" w:rsidRDefault="00E93486" w:rsidP="008D4E3C">
          <w:pPr>
            <w:pStyle w:val="En-tte"/>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588FCEE1" w14:textId="77777777" w:rsidR="00E93486" w:rsidRDefault="00E93486" w:rsidP="008D4E3C">
          <w:pPr>
            <w:pStyle w:val="En-tte"/>
            <w:tabs>
              <w:tab w:val="clear" w:pos="4252"/>
              <w:tab w:val="left" w:pos="6521"/>
            </w:tabs>
            <w:spacing w:before="100"/>
            <w:ind w:right="782"/>
          </w:pPr>
          <w:r>
            <w:rPr>
              <w:rFonts w:ascii="Gill Sans MT" w:hAnsi="Gill Sans MT"/>
              <w:sz w:val="14"/>
            </w:rPr>
            <w:t>RÉF.:</w:t>
          </w:r>
        </w:p>
      </w:tc>
    </w:tr>
    <w:tr w:rsidR="00E93486" w14:paraId="3C2FD98B" w14:textId="77777777" w:rsidTr="006A226E">
      <w:trPr>
        <w:cantSplit/>
        <w:jc w:val="center"/>
      </w:trPr>
      <w:tc>
        <w:tcPr>
          <w:tcW w:w="1305" w:type="dxa"/>
          <w:vMerge/>
        </w:tcPr>
        <w:p w14:paraId="4ED6B94B" w14:textId="77777777" w:rsidR="00E93486" w:rsidRDefault="00E93486" w:rsidP="008D4E3C">
          <w:pPr>
            <w:pStyle w:val="En-tte"/>
            <w:tabs>
              <w:tab w:val="clear" w:pos="4252"/>
              <w:tab w:val="clear" w:pos="8504"/>
            </w:tabs>
            <w:ind w:left="-41" w:right="1176"/>
          </w:pPr>
        </w:p>
      </w:tc>
      <w:tc>
        <w:tcPr>
          <w:tcW w:w="3417" w:type="dxa"/>
          <w:vMerge/>
        </w:tcPr>
        <w:p w14:paraId="1E8F5288" w14:textId="77777777" w:rsidR="00E93486" w:rsidRDefault="00E93486" w:rsidP="008D4E3C">
          <w:pPr>
            <w:pStyle w:val="En-tte"/>
            <w:tabs>
              <w:tab w:val="clear" w:pos="4252"/>
              <w:tab w:val="left" w:pos="-819"/>
              <w:tab w:val="left" w:pos="6521"/>
            </w:tabs>
            <w:rPr>
              <w:rFonts w:ascii="Gill Sans MT" w:hAnsi="Gill Sans MT"/>
              <w:sz w:val="16"/>
            </w:rPr>
          </w:pPr>
        </w:p>
      </w:tc>
      <w:tc>
        <w:tcPr>
          <w:tcW w:w="2299" w:type="dxa"/>
          <w:vMerge/>
        </w:tcPr>
        <w:p w14:paraId="7B5DEE8A" w14:textId="77777777" w:rsidR="00E93486" w:rsidRDefault="00E93486" w:rsidP="008D4E3C">
          <w:pPr>
            <w:pStyle w:val="En-tte"/>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5D951ABE" w14:textId="77777777" w:rsidR="00E93486" w:rsidRDefault="00E93486" w:rsidP="008D4E3C">
          <w:pPr>
            <w:pStyle w:val="En-tte"/>
            <w:tabs>
              <w:tab w:val="clear" w:pos="4252"/>
              <w:tab w:val="left" w:pos="6521"/>
            </w:tabs>
            <w:spacing w:before="100"/>
            <w:ind w:right="782"/>
          </w:pPr>
          <w:r>
            <w:rPr>
              <w:rFonts w:ascii="Gill Sans MT" w:hAnsi="Gill Sans MT"/>
              <w:sz w:val="14"/>
            </w:rPr>
            <w:t>RÉF.C.M.:</w:t>
          </w:r>
        </w:p>
      </w:tc>
    </w:tr>
  </w:tbl>
  <w:p w14:paraId="12B98044" w14:textId="77777777" w:rsidR="00E93486" w:rsidRDefault="00E93486">
    <w:pPr>
      <w:pStyle w:val="En-tte"/>
    </w:pPr>
    <w:r>
      <w:rPr>
        <w:noProof/>
        <w:sz w:val="20"/>
      </w:rPr>
      <mc:AlternateContent>
        <mc:Choice Requires="wps">
          <w:drawing>
            <wp:anchor distT="0" distB="0" distL="114300" distR="114300" simplePos="0" relativeHeight="251656704" behindDoc="0" locked="0" layoutInCell="1" allowOverlap="1" wp14:anchorId="08E05057" wp14:editId="2076C5D1">
              <wp:simplePos x="0" y="0"/>
              <wp:positionH relativeFrom="margin">
                <wp:posOffset>-114300</wp:posOffset>
              </wp:positionH>
              <wp:positionV relativeFrom="page">
                <wp:posOffset>4966335</wp:posOffset>
              </wp:positionV>
              <wp:extent cx="6858000" cy="5486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486400"/>
                      </a:xfrm>
                      <a:prstGeom prst="rect">
                        <a:avLst/>
                      </a:prstGeom>
                      <a:solidFill>
                        <a:srgbClr val="FFFFFF"/>
                      </a:solidFill>
                      <a:ln w="9525">
                        <a:solidFill>
                          <a:srgbClr val="000000"/>
                        </a:solidFill>
                        <a:miter lim="800000"/>
                        <a:headEnd/>
                        <a:tailEnd/>
                      </a:ln>
                    </wps:spPr>
                    <wps:txbx>
                      <w:txbxContent>
                        <w:p w14:paraId="38D52831" w14:textId="77777777" w:rsidR="00E93486" w:rsidRDefault="00E934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05057" id="_x0000_t202" coordsize="21600,21600" o:spt="202" path="m,l,21600r21600,l21600,xe">
              <v:stroke joinstyle="miter"/>
              <v:path gradientshapeok="t" o:connecttype="rect"/>
            </v:shapetype>
            <v:shape id="Text Box 1" o:spid="_x0000_s1028" type="#_x0000_t202" style="position:absolute;margin-left:-9pt;margin-top:391.05pt;width:540pt;height:6in;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">
              <v:textbox>
                <w:txbxContent>
                  <w:p w14:paraId="38D52831" w14:textId="77777777" w:rsidR="00E93486" w:rsidRDefault="00E93486"/>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70" w:type="dxa"/>
        <w:right w:w="70" w:type="dxa"/>
      </w:tblCellMar>
      <w:tblLook w:val="0000" w:firstRow="0" w:lastRow="0" w:firstColumn="0" w:lastColumn="0" w:noHBand="0" w:noVBand="0"/>
    </w:tblPr>
    <w:tblGrid>
      <w:gridCol w:w="1346"/>
      <w:gridCol w:w="7130"/>
      <w:gridCol w:w="1620"/>
    </w:tblGrid>
    <w:tr w:rsidR="00E93486" w14:paraId="71A107EB" w14:textId="77777777">
      <w:trPr>
        <w:cantSplit/>
        <w:trHeight w:val="991"/>
        <w:jc w:val="center"/>
      </w:trPr>
      <w:tc>
        <w:tcPr>
          <w:tcW w:w="1346" w:type="dxa"/>
        </w:tcPr>
        <w:p w14:paraId="015633E2" w14:textId="77777777" w:rsidR="00E93486" w:rsidRDefault="00E93486" w:rsidP="00AE77A1">
          <w:pPr>
            <w:pStyle w:val="En-tte"/>
            <w:tabs>
              <w:tab w:val="clear" w:pos="4252"/>
              <w:tab w:val="clear" w:pos="8504"/>
            </w:tabs>
          </w:pPr>
        </w:p>
      </w:tc>
      <w:tc>
        <w:tcPr>
          <w:tcW w:w="7130" w:type="dxa"/>
        </w:tcPr>
        <w:p w14:paraId="631123F7" w14:textId="77777777" w:rsidR="00E93486" w:rsidRDefault="00E93486" w:rsidP="00AE77A1">
          <w:pPr>
            <w:pStyle w:val="En-tte"/>
            <w:tabs>
              <w:tab w:val="clear" w:pos="4252"/>
              <w:tab w:val="left" w:pos="2127"/>
              <w:tab w:val="left" w:pos="6521"/>
            </w:tabs>
          </w:pPr>
        </w:p>
      </w:tc>
      <w:tc>
        <w:tcPr>
          <w:tcW w:w="1620" w:type="dxa"/>
        </w:tcPr>
        <w:p w14:paraId="239DA3C8" w14:textId="77777777" w:rsidR="00E93486" w:rsidRDefault="00E93486" w:rsidP="00AE77A1">
          <w:pPr>
            <w:pStyle w:val="En-tte"/>
            <w:tabs>
              <w:tab w:val="clear" w:pos="4252"/>
              <w:tab w:val="left" w:pos="6521"/>
            </w:tabs>
            <w:spacing w:before="120" w:after="120"/>
            <w:jc w:val="right"/>
            <w:rPr>
              <w:rFonts w:ascii="Gill Sans MT" w:hAnsi="Gill Sans MT"/>
              <w:sz w:val="10"/>
            </w:rPr>
          </w:pPr>
          <w:r>
            <w:object w:dxaOrig="1081" w:dyaOrig="1141" w14:anchorId="078F9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85pt;height:42.85pt" fillcolor="window">
                <v:imagedata r:id="rId1" o:title=""/>
              </v:shape>
              <o:OLEObject Type="Embed" ProgID="Word.Picture.8" ShapeID="_x0000_i1029" DrawAspect="Content" ObjectID="_1655535308" r:id="rId2"/>
            </w:object>
          </w:r>
        </w:p>
      </w:tc>
    </w:tr>
  </w:tbl>
  <w:p w14:paraId="49B9C186" w14:textId="77777777" w:rsidR="00E93486" w:rsidRDefault="00E93486">
    <w:pPr>
      <w:pStyle w:val="En-tte"/>
    </w:pPr>
    <w:r>
      <w:rPr>
        <w:noProof/>
        <w:sz w:val="20"/>
      </w:rPr>
      <mc:AlternateContent>
        <mc:Choice Requires="wps">
          <w:drawing>
            <wp:anchor distT="0" distB="0" distL="114300" distR="114300" simplePos="0" relativeHeight="251658752" behindDoc="0" locked="0" layoutInCell="1" allowOverlap="1" wp14:anchorId="2B80F3F8" wp14:editId="0D1C4158">
              <wp:simplePos x="0" y="0"/>
              <wp:positionH relativeFrom="margin">
                <wp:posOffset>-152400</wp:posOffset>
              </wp:positionH>
              <wp:positionV relativeFrom="page">
                <wp:posOffset>1190625</wp:posOffset>
              </wp:positionV>
              <wp:extent cx="6924675" cy="86868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8686800"/>
                      </a:xfrm>
                      <a:prstGeom prst="rect">
                        <a:avLst/>
                      </a:prstGeom>
                      <a:solidFill>
                        <a:srgbClr val="FFFFFF"/>
                      </a:solidFill>
                      <a:ln w="9525">
                        <a:solidFill>
                          <a:srgbClr val="000000"/>
                        </a:solidFill>
                        <a:miter lim="800000"/>
                        <a:headEnd/>
                        <a:tailEnd/>
                      </a:ln>
                    </wps:spPr>
                    <wps:txbx>
                      <w:txbxContent>
                        <w:p w14:paraId="473B1386" w14:textId="77777777" w:rsidR="00E93486" w:rsidRDefault="00E934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0F3F8" id="_x0000_t202" coordsize="21600,21600" o:spt="202" path="m,l,21600r21600,l21600,xe">
              <v:stroke joinstyle="miter"/>
              <v:path gradientshapeok="t" o:connecttype="rect"/>
            </v:shapetype>
            <v:shape id="Text Box 7" o:spid="_x0000_s1029" type="#_x0000_t202" style="position:absolute;margin-left:-12pt;margin-top:93.75pt;width:545.25pt;height:68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">
              <v:textbox>
                <w:txbxContent>
                  <w:p w14:paraId="473B1386" w14:textId="77777777" w:rsidR="00E93486" w:rsidRDefault="00E93486"/>
                </w:txbxContent>
              </v:textbox>
              <w10:wrap anchorx="margin" anchory="page"/>
            </v:shape>
          </w:pict>
        </mc:Fallback>
      </mc:AlternateContent>
    </w:r>
  </w:p>
  <w:p w14:paraId="764214F5" w14:textId="77777777" w:rsidR="00E93486" w:rsidRDefault="00E93486">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034286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2B76D49C"/>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C2A6DE4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404CF57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B4CED1A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5C946A"/>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FCF93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27882"/>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0C1D02"/>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066569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37E37B5"/>
    <w:multiLevelType w:val="hybridMultilevel"/>
    <w:tmpl w:val="1890C434"/>
    <w:lvl w:ilvl="0" w:tplc="74124CE0">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40564EF"/>
    <w:multiLevelType w:val="multilevel"/>
    <w:tmpl w:val="CF6632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734807"/>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060B7C66"/>
    <w:multiLevelType w:val="hybridMultilevel"/>
    <w:tmpl w:val="21EA8FD0"/>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0656415D"/>
    <w:multiLevelType w:val="hybridMultilevel"/>
    <w:tmpl w:val="0A8045E2"/>
    <w:lvl w:ilvl="0" w:tplc="81C85F9E">
      <w:start w:val="1"/>
      <w:numFmt w:val="decimal"/>
      <w:lvlText w:val="%1"/>
      <w:lvlJc w:val="left"/>
      <w:pPr>
        <w:tabs>
          <w:tab w:val="num" w:pos="567"/>
        </w:tabs>
        <w:ind w:left="567" w:hanging="567"/>
      </w:pPr>
      <w:rPr>
        <w:rFonts w:hint="default"/>
        <w:b w:val="0"/>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0CB47899"/>
    <w:multiLevelType w:val="hybridMultilevel"/>
    <w:tmpl w:val="8E68C1D0"/>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0F5271A4"/>
    <w:multiLevelType w:val="multilevel"/>
    <w:tmpl w:val="DAA0E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106A9D"/>
    <w:multiLevelType w:val="hybridMultilevel"/>
    <w:tmpl w:val="60C833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27253EF"/>
    <w:multiLevelType w:val="multilevel"/>
    <w:tmpl w:val="666816CA"/>
    <w:lvl w:ilvl="0">
      <w:start w:val="1"/>
      <w:numFmt w:val="bullet"/>
      <w:lvlText w:val=""/>
      <w:lvlJc w:val="left"/>
      <w:pPr>
        <w:ind w:left="1069" w:hanging="360"/>
      </w:pPr>
      <w:rPr>
        <w:rFonts w:ascii="Symbol" w:hAnsi="Symbol" w:cs="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9" w15:restartNumberingAfterBreak="0">
    <w:nsid w:val="12917469"/>
    <w:multiLevelType w:val="hybridMultilevel"/>
    <w:tmpl w:val="082AB2C6"/>
    <w:lvl w:ilvl="0" w:tplc="EC307B82">
      <w:start w:val="1"/>
      <w:numFmt w:val="lowerLetter"/>
      <w:lvlText w:val="%1)"/>
      <w:lvlJc w:val="left"/>
      <w:pPr>
        <w:ind w:left="720" w:hanging="360"/>
      </w:pPr>
      <w:rPr>
        <w:rFonts w:ascii="Arial" w:hAnsi="Arial" w:cs="Arial" w:hint="default"/>
      </w:rPr>
    </w:lvl>
    <w:lvl w:ilvl="1" w:tplc="6838B648">
      <w:start w:val="1"/>
      <w:numFmt w:val="bullet"/>
      <w:lvlText w:val="-"/>
      <w:lvlJc w:val="left"/>
      <w:pPr>
        <w:ind w:left="1440" w:hanging="360"/>
      </w:pPr>
      <w:rPr>
        <w:rFonts w:ascii="Calibri" w:eastAsia="Times New Roman" w:hAnsi="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417590B"/>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160035FA"/>
    <w:multiLevelType w:val="hybridMultilevel"/>
    <w:tmpl w:val="F6EA1B5E"/>
    <w:lvl w:ilvl="0" w:tplc="03CC1072">
      <w:start w:val="1"/>
      <w:numFmt w:val="lowerRoman"/>
      <w:lvlText w:val="%1)"/>
      <w:lvlJc w:val="right"/>
      <w:pPr>
        <w:ind w:left="720" w:hanging="360"/>
      </w:pPr>
      <w:rPr>
        <w:rFonts w:hint="default"/>
      </w:rPr>
    </w:lvl>
    <w:lvl w:ilvl="1" w:tplc="6838B648">
      <w:start w:val="1"/>
      <w:numFmt w:val="bullet"/>
      <w:lvlText w:val="-"/>
      <w:lvlJc w:val="left"/>
      <w:pPr>
        <w:ind w:left="1440" w:hanging="360"/>
      </w:pPr>
      <w:rPr>
        <w:rFonts w:ascii="Calibri" w:eastAsia="Times New Roman" w:hAnsi="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6957D2D"/>
    <w:multiLevelType w:val="hybridMultilevel"/>
    <w:tmpl w:val="B6D45072"/>
    <w:lvl w:ilvl="0" w:tplc="126895C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17832176"/>
    <w:multiLevelType w:val="hybridMultilevel"/>
    <w:tmpl w:val="347A883A"/>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187D18BC"/>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1E17091E"/>
    <w:multiLevelType w:val="hybridMultilevel"/>
    <w:tmpl w:val="67C08636"/>
    <w:lvl w:ilvl="0" w:tplc="1C4039D8">
      <w:start w:val="1"/>
      <w:numFmt w:val="decimal"/>
      <w:lvlText w:val="%1"/>
      <w:lvlJc w:val="left"/>
      <w:pPr>
        <w:tabs>
          <w:tab w:val="num" w:pos="993"/>
        </w:tabs>
        <w:ind w:left="993" w:hanging="567"/>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6" w15:restartNumberingAfterBreak="0">
    <w:nsid w:val="220D7736"/>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3F2211B"/>
    <w:multiLevelType w:val="multilevel"/>
    <w:tmpl w:val="614C401A"/>
    <w:styleLink w:val="WWNum3"/>
    <w:lvl w:ilvl="0">
      <w:start w:val="1"/>
      <w:numFmt w:val="decimal"/>
      <w:lvlText w:val="%1."/>
      <w:lvlJc w:val="left"/>
      <w:pPr>
        <w:ind w:left="36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8" w15:restartNumberingAfterBreak="0">
    <w:nsid w:val="25E508BE"/>
    <w:multiLevelType w:val="hybridMultilevel"/>
    <w:tmpl w:val="60C4B804"/>
    <w:lvl w:ilvl="0" w:tplc="E196C1F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26DC7A0B"/>
    <w:multiLevelType w:val="multilevel"/>
    <w:tmpl w:val="932C92C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0" w15:restartNumberingAfterBreak="0">
    <w:nsid w:val="286E4625"/>
    <w:multiLevelType w:val="hybridMultilevel"/>
    <w:tmpl w:val="EDF69DE0"/>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9D05ACA"/>
    <w:multiLevelType w:val="multilevel"/>
    <w:tmpl w:val="6CF4477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2" w15:restartNumberingAfterBreak="0">
    <w:nsid w:val="2CBC556F"/>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2D635A0E"/>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2E6921C8"/>
    <w:multiLevelType w:val="hybridMultilevel"/>
    <w:tmpl w:val="02BC4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8D1EB4"/>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2F69007D"/>
    <w:multiLevelType w:val="hybridMultilevel"/>
    <w:tmpl w:val="72C2E288"/>
    <w:lvl w:ilvl="0" w:tplc="54801A9E">
      <w:start w:val="1"/>
      <w:numFmt w:val="decimal"/>
      <w:lvlText w:val="%1"/>
      <w:lvlJc w:val="left"/>
      <w:pPr>
        <w:tabs>
          <w:tab w:val="num" w:pos="567"/>
        </w:tabs>
        <w:ind w:left="567" w:hanging="567"/>
      </w:pPr>
      <w:rPr>
        <w:rFonts w:hint="default"/>
      </w:rPr>
    </w:lvl>
    <w:lvl w:ilvl="1" w:tplc="0C0A0017">
      <w:start w:val="1"/>
      <w:numFmt w:val="lowerLetter"/>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31BF1ECA"/>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31D73A04"/>
    <w:multiLevelType w:val="hybridMultilevel"/>
    <w:tmpl w:val="9632A636"/>
    <w:lvl w:ilvl="0" w:tplc="4EC2D00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3383690D"/>
    <w:multiLevelType w:val="hybridMultilevel"/>
    <w:tmpl w:val="E8E40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63845A0"/>
    <w:multiLevelType w:val="hybridMultilevel"/>
    <w:tmpl w:val="A240D8D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36EF2C34"/>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39E8333D"/>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3BA435EE"/>
    <w:multiLevelType w:val="hybridMultilevel"/>
    <w:tmpl w:val="F230AB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7">
      <w:start w:val="1"/>
      <w:numFmt w:val="lowerLetter"/>
      <w:lvlText w:val="%8)"/>
      <w:lvlJc w:val="left"/>
      <w:pPr>
        <w:ind w:left="3338" w:hanging="360"/>
      </w:pPr>
    </w:lvl>
    <w:lvl w:ilvl="8" w:tplc="0C0A001B" w:tentative="1">
      <w:start w:val="1"/>
      <w:numFmt w:val="lowerRoman"/>
      <w:lvlText w:val="%9."/>
      <w:lvlJc w:val="right"/>
      <w:pPr>
        <w:ind w:left="6480" w:hanging="180"/>
      </w:pPr>
    </w:lvl>
  </w:abstractNum>
  <w:abstractNum w:abstractNumId="44" w15:restartNumberingAfterBreak="0">
    <w:nsid w:val="3EC7289B"/>
    <w:multiLevelType w:val="multilevel"/>
    <w:tmpl w:val="DAA0E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EE9240D"/>
    <w:multiLevelType w:val="hybridMultilevel"/>
    <w:tmpl w:val="A712E782"/>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407D4FB5"/>
    <w:multiLevelType w:val="hybridMultilevel"/>
    <w:tmpl w:val="906646B4"/>
    <w:lvl w:ilvl="0" w:tplc="126895C4">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42B4429C"/>
    <w:multiLevelType w:val="multilevel"/>
    <w:tmpl w:val="569AE1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suff w:val="nothing"/>
      <w:lvlText w:val="...  %5"/>
      <w:lvlJc w:val="left"/>
      <w:pPr>
        <w:ind w:left="0" w:firstLine="0"/>
      </w:pPr>
    </w:lvl>
    <w:lvl w:ilvl="5">
      <w:start w:val="1"/>
      <w:numFmt w:val="decimal"/>
      <w:lvlText w:val="%6"/>
      <w:lvlJc w:val="left"/>
      <w:pPr>
        <w:ind w:left="357" w:hanging="357"/>
      </w:pPr>
      <w:rPr>
        <w:strike w:val="0"/>
        <w:dstrike w:val="0"/>
      </w:rPr>
    </w:lvl>
    <w:lvl w:ilvl="6">
      <w:start w:val="1"/>
      <w:numFmt w:val="lowerLetter"/>
      <w:lvlText w:val=")%7"/>
      <w:lvlJc w:val="left"/>
      <w:pPr>
        <w:ind w:left="723" w:hanging="363"/>
      </w:pPr>
    </w:lvl>
    <w:lvl w:ilvl="7">
      <w:start w:val="1"/>
      <w:numFmt w:val="lowerRoman"/>
      <w:lvlText w:val=")%8"/>
      <w:lvlJc w:val="center"/>
      <w:pPr>
        <w:ind w:left="1077" w:hanging="357"/>
      </w:pPr>
    </w:lvl>
    <w:lvl w:ilvl="8">
      <w:start w:val="1"/>
      <w:numFmt w:val="bullet"/>
      <w:lvlText w:val=""/>
      <w:lvlJc w:val="left"/>
      <w:pPr>
        <w:ind w:left="1440" w:hanging="363"/>
      </w:pPr>
      <w:rPr>
        <w:rFonts w:ascii="Symbol" w:hAnsi="Symbol" w:cs="Symbol" w:hint="default"/>
      </w:rPr>
    </w:lvl>
  </w:abstractNum>
  <w:abstractNum w:abstractNumId="48" w15:restartNumberingAfterBreak="0">
    <w:nsid w:val="454777D0"/>
    <w:multiLevelType w:val="hybridMultilevel"/>
    <w:tmpl w:val="4F1EB078"/>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A0684FFC">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17">
      <w:start w:val="1"/>
      <w:numFmt w:val="lowerLetter"/>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52610B3C"/>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54A511C1"/>
    <w:multiLevelType w:val="hybridMultilevel"/>
    <w:tmpl w:val="8C1800C4"/>
    <w:lvl w:ilvl="0" w:tplc="03CC1072">
      <w:start w:val="1"/>
      <w:numFmt w:val="lowerRoman"/>
      <w:lvlText w:val="%1)"/>
      <w:lvlJc w:val="righ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1" w15:restartNumberingAfterBreak="0">
    <w:nsid w:val="57801723"/>
    <w:multiLevelType w:val="hybridMultilevel"/>
    <w:tmpl w:val="4A309A4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80048FF"/>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595B3A4D"/>
    <w:multiLevelType w:val="hybridMultilevel"/>
    <w:tmpl w:val="A240D8D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59E610AA"/>
    <w:multiLevelType w:val="hybridMultilevel"/>
    <w:tmpl w:val="048CE6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A907CAD"/>
    <w:multiLevelType w:val="multilevel"/>
    <w:tmpl w:val="8BD60FF6"/>
    <w:lvl w:ilvl="0">
      <w:start w:val="1"/>
      <w:numFmt w:val="bullet"/>
      <w:lvlText w:val=""/>
      <w:lvlJc w:val="left"/>
      <w:pPr>
        <w:ind w:left="1785" w:hanging="360"/>
      </w:pPr>
      <w:rPr>
        <w:rFonts w:ascii="Symbol" w:hAnsi="Symbol" w:cs="Symbol" w:hint="default"/>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cs="Wingdings" w:hint="default"/>
      </w:rPr>
    </w:lvl>
    <w:lvl w:ilvl="3">
      <w:start w:val="1"/>
      <w:numFmt w:val="bullet"/>
      <w:lvlText w:val=""/>
      <w:lvlJc w:val="left"/>
      <w:pPr>
        <w:ind w:left="3945" w:hanging="360"/>
      </w:pPr>
      <w:rPr>
        <w:rFonts w:ascii="Symbol" w:hAnsi="Symbol" w:cs="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cs="Wingdings" w:hint="default"/>
      </w:rPr>
    </w:lvl>
    <w:lvl w:ilvl="6">
      <w:start w:val="1"/>
      <w:numFmt w:val="bullet"/>
      <w:lvlText w:val=""/>
      <w:lvlJc w:val="left"/>
      <w:pPr>
        <w:ind w:left="6105" w:hanging="360"/>
      </w:pPr>
      <w:rPr>
        <w:rFonts w:ascii="Symbol" w:hAnsi="Symbol" w:cs="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cs="Wingdings" w:hint="default"/>
      </w:rPr>
    </w:lvl>
  </w:abstractNum>
  <w:abstractNum w:abstractNumId="56" w15:restartNumberingAfterBreak="0">
    <w:nsid w:val="5B50459C"/>
    <w:multiLevelType w:val="hybridMultilevel"/>
    <w:tmpl w:val="81A2A7B4"/>
    <w:lvl w:ilvl="0" w:tplc="68BA0428">
      <w:start w:val="4"/>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5D721913"/>
    <w:multiLevelType w:val="hybridMultilevel"/>
    <w:tmpl w:val="A796C3DA"/>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5E261BFB"/>
    <w:multiLevelType w:val="hybridMultilevel"/>
    <w:tmpl w:val="4F1EB078"/>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A0684FFC">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17">
      <w:start w:val="1"/>
      <w:numFmt w:val="lowerLetter"/>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621753E7"/>
    <w:multiLevelType w:val="hybridMultilevel"/>
    <w:tmpl w:val="B7CA73D8"/>
    <w:lvl w:ilvl="0" w:tplc="E536DAD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0" w15:restartNumberingAfterBreak="0">
    <w:nsid w:val="688E4AFE"/>
    <w:multiLevelType w:val="multilevel"/>
    <w:tmpl w:val="70CA524A"/>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61" w15:restartNumberingAfterBreak="0">
    <w:nsid w:val="68B93F93"/>
    <w:multiLevelType w:val="multilevel"/>
    <w:tmpl w:val="55B6AD18"/>
    <w:lvl w:ilvl="0">
      <w:start w:val="1"/>
      <w:numFmt w:val="none"/>
      <w:suff w:val="nothing"/>
      <w:lvlText w:val="%1"/>
      <w:lvlJc w:val="left"/>
      <w:pPr>
        <w:ind w:left="0" w:firstLine="0"/>
      </w:pPr>
      <w:rPr>
        <w:rFonts w:ascii="Arial" w:hAnsi="Arial" w:hint="default"/>
        <w:b/>
        <w:i w:val="0"/>
        <w:sz w:val="28"/>
      </w:rPr>
    </w:lvl>
    <w:lvl w:ilvl="1">
      <w:start w:val="1"/>
      <w:numFmt w:val="none"/>
      <w:suff w:val="nothing"/>
      <w:lvlText w:val="%2"/>
      <w:lvlJc w:val="left"/>
      <w:pPr>
        <w:ind w:left="0" w:firstLine="0"/>
      </w:pPr>
      <w:rPr>
        <w:rFonts w:ascii="Arial" w:hAnsi="Arial" w:hint="default"/>
        <w:b/>
        <w:i w:val="0"/>
        <w:sz w:val="28"/>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Restart w:val="4"/>
      <w:lvlText w:val="%6"/>
      <w:lvlJc w:val="left"/>
      <w:pPr>
        <w:tabs>
          <w:tab w:val="num" w:pos="360"/>
        </w:tabs>
        <w:ind w:left="357" w:hanging="357"/>
      </w:pPr>
      <w:rPr>
        <w:rFonts w:hint="default"/>
      </w:rPr>
    </w:lvl>
    <w:lvl w:ilvl="6">
      <w:start w:val="1"/>
      <w:numFmt w:val="lowerLetter"/>
      <w:lvlText w:val="%7)"/>
      <w:lvlJc w:val="left"/>
      <w:pPr>
        <w:tabs>
          <w:tab w:val="num" w:pos="720"/>
        </w:tabs>
        <w:ind w:left="720" w:hanging="363"/>
      </w:pPr>
      <w:rPr>
        <w:rFonts w:hint="default"/>
      </w:rPr>
    </w:lvl>
    <w:lvl w:ilvl="7">
      <w:start w:val="1"/>
      <w:numFmt w:val="lowerRoman"/>
      <w:lvlText w:val="%8)"/>
      <w:lvlJc w:val="center"/>
      <w:pPr>
        <w:tabs>
          <w:tab w:val="num" w:pos="1080"/>
        </w:tabs>
        <w:ind w:left="1077" w:hanging="357"/>
      </w:pPr>
      <w:rPr>
        <w:rFonts w:hint="default"/>
      </w:rPr>
    </w:lvl>
    <w:lvl w:ilvl="8">
      <w:start w:val="1"/>
      <w:numFmt w:val="bullet"/>
      <w:lvlText w:val=""/>
      <w:lvlJc w:val="left"/>
      <w:pPr>
        <w:tabs>
          <w:tab w:val="num" w:pos="1440"/>
        </w:tabs>
        <w:ind w:left="1440" w:hanging="363"/>
      </w:pPr>
      <w:rPr>
        <w:rFonts w:ascii="Symbol" w:hAnsi="Symbol" w:hint="default"/>
        <w:color w:val="auto"/>
      </w:rPr>
    </w:lvl>
  </w:abstractNum>
  <w:abstractNum w:abstractNumId="62" w15:restartNumberingAfterBreak="0">
    <w:nsid w:val="69535BD8"/>
    <w:multiLevelType w:val="hybridMultilevel"/>
    <w:tmpl w:val="D2161AC2"/>
    <w:lvl w:ilvl="0" w:tplc="0C0A0017">
      <w:start w:val="1"/>
      <w:numFmt w:val="lowerLetter"/>
      <w:lvlText w:val="%1)"/>
      <w:lvlJc w:val="left"/>
      <w:pPr>
        <w:ind w:left="786" w:hanging="360"/>
      </w:pPr>
    </w:lvl>
    <w:lvl w:ilvl="1" w:tplc="03CC1072">
      <w:start w:val="1"/>
      <w:numFmt w:val="lowerRoman"/>
      <w:lvlText w:val="%2)"/>
      <w:lvlJc w:val="right"/>
      <w:pPr>
        <w:ind w:left="1506" w:hanging="360"/>
      </w:pPr>
      <w:rPr>
        <w:rFonts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3" w15:restartNumberingAfterBreak="0">
    <w:nsid w:val="6BFC7DB1"/>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6DC30ED0"/>
    <w:multiLevelType w:val="multilevel"/>
    <w:tmpl w:val="D62CD28E"/>
    <w:lvl w:ilvl="0">
      <w:start w:val="1"/>
      <w:numFmt w:val="decimal"/>
      <w:lvlText w:val="%1."/>
      <w:lvlJc w:val="left"/>
      <w:pPr>
        <w:ind w:left="36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5" w15:restartNumberingAfterBreak="0">
    <w:nsid w:val="6FA14B54"/>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72305FE1"/>
    <w:multiLevelType w:val="multilevel"/>
    <w:tmpl w:val="F08A93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5C712A2"/>
    <w:multiLevelType w:val="multilevel"/>
    <w:tmpl w:val="3E42DDBA"/>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decimal"/>
      <w:suff w:val="nothing"/>
      <w:lvlText w:val="%1.%2.%3.%4.%5  "/>
      <w:lvlJc w:val="left"/>
      <w:pPr>
        <w:ind w:left="0" w:firstLine="0"/>
      </w:pPr>
      <w:rPr>
        <w:rFonts w:hint="default"/>
      </w:rPr>
    </w:lvl>
    <w:lvl w:ilvl="5">
      <w:start w:val="1"/>
      <w:numFmt w:val="decimal"/>
      <w:lvlText w:val="%6"/>
      <w:lvlJc w:val="left"/>
      <w:pPr>
        <w:tabs>
          <w:tab w:val="num" w:pos="360"/>
        </w:tabs>
        <w:ind w:left="357" w:hanging="357"/>
      </w:pPr>
      <w:rPr>
        <w:rFonts w:hint="default"/>
        <w:strike w:val="0"/>
      </w:rPr>
    </w:lvl>
    <w:lvl w:ilvl="6">
      <w:start w:val="1"/>
      <w:numFmt w:val="lowerLetter"/>
      <w:lvlText w:val="%7)"/>
      <w:lvlJc w:val="left"/>
      <w:pPr>
        <w:tabs>
          <w:tab w:val="num" w:pos="723"/>
        </w:tabs>
        <w:ind w:left="723" w:hanging="363"/>
      </w:pPr>
      <w:rPr>
        <w:rFonts w:hint="default"/>
      </w:rPr>
    </w:lvl>
    <w:lvl w:ilvl="7">
      <w:start w:val="1"/>
      <w:numFmt w:val="lowerRoman"/>
      <w:lvlText w:val="%8)"/>
      <w:lvlJc w:val="center"/>
      <w:pPr>
        <w:tabs>
          <w:tab w:val="num" w:pos="1080"/>
        </w:tabs>
        <w:ind w:left="1077" w:hanging="357"/>
      </w:pPr>
      <w:rPr>
        <w:rFonts w:hint="default"/>
      </w:rPr>
    </w:lvl>
    <w:lvl w:ilvl="8">
      <w:start w:val="1"/>
      <w:numFmt w:val="bullet"/>
      <w:lvlText w:val=""/>
      <w:lvlJc w:val="left"/>
      <w:pPr>
        <w:tabs>
          <w:tab w:val="num" w:pos="1440"/>
        </w:tabs>
        <w:ind w:left="1440" w:hanging="363"/>
      </w:pPr>
      <w:rPr>
        <w:rFonts w:ascii="Symbol" w:hAnsi="Symbol" w:hint="default"/>
      </w:rPr>
    </w:lvl>
  </w:abstractNum>
  <w:abstractNum w:abstractNumId="68" w15:restartNumberingAfterBreak="0">
    <w:nsid w:val="7C481F08"/>
    <w:multiLevelType w:val="hybridMultilevel"/>
    <w:tmpl w:val="67C08636"/>
    <w:lvl w:ilvl="0" w:tplc="1C4039D8">
      <w:start w:val="1"/>
      <w:numFmt w:val="decimal"/>
      <w:lvlText w:val="%1"/>
      <w:lvlJc w:val="left"/>
      <w:pPr>
        <w:tabs>
          <w:tab w:val="num" w:pos="993"/>
        </w:tabs>
        <w:ind w:left="993" w:hanging="567"/>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9" w15:restartNumberingAfterBreak="0">
    <w:nsid w:val="7F970DBC"/>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7FDA352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0"/>
  </w:num>
  <w:num w:numId="3">
    <w:abstractNumId w:val="17"/>
  </w:num>
  <w:num w:numId="4">
    <w:abstractNumId w:val="64"/>
  </w:num>
  <w:num w:numId="5">
    <w:abstractNumId w:val="18"/>
  </w:num>
  <w:num w:numId="6">
    <w:abstractNumId w:val="47"/>
  </w:num>
  <w:num w:numId="7">
    <w:abstractNumId w:val="11"/>
  </w:num>
  <w:num w:numId="8">
    <w:abstractNumId w:val="29"/>
  </w:num>
  <w:num w:numId="9">
    <w:abstractNumId w:val="55"/>
  </w:num>
  <w:num w:numId="10">
    <w:abstractNumId w:val="60"/>
  </w:num>
  <w:num w:numId="11">
    <w:abstractNumId w:val="31"/>
  </w:num>
  <w:num w:numId="12">
    <w:abstractNumId w:val="66"/>
  </w:num>
  <w:num w:numId="13">
    <w:abstractNumId w:val="16"/>
  </w:num>
  <w:num w:numId="14">
    <w:abstractNumId w:val="39"/>
  </w:num>
  <w:num w:numId="15">
    <w:abstractNumId w:val="4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67"/>
  </w:num>
  <w:num w:numId="27">
    <w:abstractNumId w:val="46"/>
  </w:num>
  <w:num w:numId="28">
    <w:abstractNumId w:val="54"/>
  </w:num>
  <w:num w:numId="29">
    <w:abstractNumId w:val="61"/>
  </w:num>
  <w:num w:numId="30">
    <w:abstractNumId w:val="19"/>
  </w:num>
  <w:num w:numId="31">
    <w:abstractNumId w:val="51"/>
  </w:num>
  <w:num w:numId="32">
    <w:abstractNumId w:val="50"/>
  </w:num>
  <w:num w:numId="33">
    <w:abstractNumId w:val="38"/>
  </w:num>
  <w:num w:numId="34">
    <w:abstractNumId w:val="62"/>
  </w:num>
  <w:num w:numId="35">
    <w:abstractNumId w:val="43"/>
  </w:num>
  <w:num w:numId="36">
    <w:abstractNumId w:val="70"/>
  </w:num>
  <w:num w:numId="37">
    <w:abstractNumId w:val="21"/>
  </w:num>
  <w:num w:numId="38">
    <w:abstractNumId w:val="14"/>
  </w:num>
  <w:num w:numId="39">
    <w:abstractNumId w:val="36"/>
  </w:num>
  <w:num w:numId="40">
    <w:abstractNumId w:val="56"/>
  </w:num>
  <w:num w:numId="41">
    <w:abstractNumId w:val="57"/>
  </w:num>
  <w:num w:numId="42">
    <w:abstractNumId w:val="41"/>
  </w:num>
  <w:num w:numId="43">
    <w:abstractNumId w:val="35"/>
  </w:num>
  <w:num w:numId="44">
    <w:abstractNumId w:val="32"/>
  </w:num>
  <w:num w:numId="45">
    <w:abstractNumId w:val="12"/>
  </w:num>
  <w:num w:numId="46">
    <w:abstractNumId w:val="13"/>
  </w:num>
  <w:num w:numId="47">
    <w:abstractNumId w:val="53"/>
  </w:num>
  <w:num w:numId="48">
    <w:abstractNumId w:val="26"/>
  </w:num>
  <w:num w:numId="49">
    <w:abstractNumId w:val="33"/>
  </w:num>
  <w:num w:numId="50">
    <w:abstractNumId w:val="65"/>
  </w:num>
  <w:num w:numId="51">
    <w:abstractNumId w:val="49"/>
  </w:num>
  <w:num w:numId="52">
    <w:abstractNumId w:val="24"/>
  </w:num>
  <w:num w:numId="53">
    <w:abstractNumId w:val="63"/>
  </w:num>
  <w:num w:numId="54">
    <w:abstractNumId w:val="52"/>
  </w:num>
  <w:num w:numId="55">
    <w:abstractNumId w:val="37"/>
  </w:num>
  <w:num w:numId="56">
    <w:abstractNumId w:val="23"/>
  </w:num>
  <w:num w:numId="57">
    <w:abstractNumId w:val="69"/>
  </w:num>
  <w:num w:numId="58">
    <w:abstractNumId w:val="15"/>
  </w:num>
  <w:num w:numId="59">
    <w:abstractNumId w:val="45"/>
  </w:num>
  <w:num w:numId="60">
    <w:abstractNumId w:val="28"/>
  </w:num>
  <w:num w:numId="61">
    <w:abstractNumId w:val="40"/>
  </w:num>
  <w:num w:numId="62">
    <w:abstractNumId w:val="48"/>
  </w:num>
  <w:num w:numId="63">
    <w:abstractNumId w:val="25"/>
  </w:num>
  <w:num w:numId="64">
    <w:abstractNumId w:val="68"/>
  </w:num>
  <w:num w:numId="65">
    <w:abstractNumId w:val="30"/>
  </w:num>
  <w:num w:numId="66">
    <w:abstractNumId w:val="42"/>
  </w:num>
  <w:num w:numId="67">
    <w:abstractNumId w:val="59"/>
  </w:num>
  <w:num w:numId="68">
    <w:abstractNumId w:val="20"/>
  </w:num>
  <w:num w:numId="69">
    <w:abstractNumId w:val="58"/>
  </w:num>
  <w:num w:numId="70">
    <w:abstractNumId w:val="22"/>
  </w:num>
  <w:num w:numId="71">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9A5"/>
    <w:rsid w:val="000022EA"/>
    <w:rsid w:val="00012652"/>
    <w:rsid w:val="00021ECF"/>
    <w:rsid w:val="00024602"/>
    <w:rsid w:val="00025E15"/>
    <w:rsid w:val="00037CDA"/>
    <w:rsid w:val="00047620"/>
    <w:rsid w:val="00053136"/>
    <w:rsid w:val="000619FB"/>
    <w:rsid w:val="00061E57"/>
    <w:rsid w:val="00065C9A"/>
    <w:rsid w:val="0007408D"/>
    <w:rsid w:val="0009371D"/>
    <w:rsid w:val="00093F76"/>
    <w:rsid w:val="000A1240"/>
    <w:rsid w:val="000A1E18"/>
    <w:rsid w:val="000A29CD"/>
    <w:rsid w:val="000B0394"/>
    <w:rsid w:val="000B48C8"/>
    <w:rsid w:val="000B6541"/>
    <w:rsid w:val="000D0247"/>
    <w:rsid w:val="000F1D07"/>
    <w:rsid w:val="000F2780"/>
    <w:rsid w:val="000F6CD0"/>
    <w:rsid w:val="0012341B"/>
    <w:rsid w:val="0012797F"/>
    <w:rsid w:val="00134CA0"/>
    <w:rsid w:val="00143D35"/>
    <w:rsid w:val="00163FC7"/>
    <w:rsid w:val="00164483"/>
    <w:rsid w:val="00175E40"/>
    <w:rsid w:val="001847DA"/>
    <w:rsid w:val="0018790B"/>
    <w:rsid w:val="00195B7E"/>
    <w:rsid w:val="001964D3"/>
    <w:rsid w:val="001A109A"/>
    <w:rsid w:val="001A25FA"/>
    <w:rsid w:val="001A3BE4"/>
    <w:rsid w:val="001A53CE"/>
    <w:rsid w:val="001A7D16"/>
    <w:rsid w:val="001A7D2C"/>
    <w:rsid w:val="001B156F"/>
    <w:rsid w:val="001C3DAA"/>
    <w:rsid w:val="001D5E6F"/>
    <w:rsid w:val="001D694C"/>
    <w:rsid w:val="001E599A"/>
    <w:rsid w:val="001E7FC2"/>
    <w:rsid w:val="001F59F1"/>
    <w:rsid w:val="00203F15"/>
    <w:rsid w:val="00205EA2"/>
    <w:rsid w:val="00207F77"/>
    <w:rsid w:val="002134F5"/>
    <w:rsid w:val="0021451F"/>
    <w:rsid w:val="00217E7E"/>
    <w:rsid w:val="0022053B"/>
    <w:rsid w:val="00220936"/>
    <w:rsid w:val="002212AB"/>
    <w:rsid w:val="00230F35"/>
    <w:rsid w:val="002326A1"/>
    <w:rsid w:val="00244619"/>
    <w:rsid w:val="002446B4"/>
    <w:rsid w:val="002508B0"/>
    <w:rsid w:val="00254DFE"/>
    <w:rsid w:val="00255D36"/>
    <w:rsid w:val="00264A60"/>
    <w:rsid w:val="00266120"/>
    <w:rsid w:val="0027430F"/>
    <w:rsid w:val="0027747A"/>
    <w:rsid w:val="00284240"/>
    <w:rsid w:val="002A0015"/>
    <w:rsid w:val="002A07C9"/>
    <w:rsid w:val="002A4DDF"/>
    <w:rsid w:val="002B1FE5"/>
    <w:rsid w:val="002B2F7B"/>
    <w:rsid w:val="002B7BC5"/>
    <w:rsid w:val="002C018C"/>
    <w:rsid w:val="002D2C01"/>
    <w:rsid w:val="002D6828"/>
    <w:rsid w:val="002E597B"/>
    <w:rsid w:val="002F740E"/>
    <w:rsid w:val="00302563"/>
    <w:rsid w:val="003133A3"/>
    <w:rsid w:val="00313465"/>
    <w:rsid w:val="003140E6"/>
    <w:rsid w:val="00316D4B"/>
    <w:rsid w:val="00320B05"/>
    <w:rsid w:val="00337377"/>
    <w:rsid w:val="00351F7B"/>
    <w:rsid w:val="00353378"/>
    <w:rsid w:val="003622AA"/>
    <w:rsid w:val="00363EFE"/>
    <w:rsid w:val="003654E5"/>
    <w:rsid w:val="003661B4"/>
    <w:rsid w:val="00371764"/>
    <w:rsid w:val="0037696C"/>
    <w:rsid w:val="00376F0E"/>
    <w:rsid w:val="00391D53"/>
    <w:rsid w:val="00395A1E"/>
    <w:rsid w:val="003A5CEB"/>
    <w:rsid w:val="003B0B59"/>
    <w:rsid w:val="003B489F"/>
    <w:rsid w:val="003B5E62"/>
    <w:rsid w:val="003E38D0"/>
    <w:rsid w:val="00411CE8"/>
    <w:rsid w:val="00413EA4"/>
    <w:rsid w:val="00416E9E"/>
    <w:rsid w:val="00420AB8"/>
    <w:rsid w:val="00422D0C"/>
    <w:rsid w:val="004241A5"/>
    <w:rsid w:val="00425ADA"/>
    <w:rsid w:val="00431690"/>
    <w:rsid w:val="004410BF"/>
    <w:rsid w:val="00446FEA"/>
    <w:rsid w:val="00447DB2"/>
    <w:rsid w:val="00451796"/>
    <w:rsid w:val="004520BF"/>
    <w:rsid w:val="004536B4"/>
    <w:rsid w:val="004627F1"/>
    <w:rsid w:val="00466613"/>
    <w:rsid w:val="004719D0"/>
    <w:rsid w:val="004836CD"/>
    <w:rsid w:val="0048512C"/>
    <w:rsid w:val="004871F0"/>
    <w:rsid w:val="0049699A"/>
    <w:rsid w:val="004A05DE"/>
    <w:rsid w:val="004A742D"/>
    <w:rsid w:val="004B4F4F"/>
    <w:rsid w:val="004B6EAB"/>
    <w:rsid w:val="004C1DEE"/>
    <w:rsid w:val="004C34CA"/>
    <w:rsid w:val="004D29F1"/>
    <w:rsid w:val="004D39F6"/>
    <w:rsid w:val="004D58CD"/>
    <w:rsid w:val="004E06DA"/>
    <w:rsid w:val="004F1C14"/>
    <w:rsid w:val="004F5D35"/>
    <w:rsid w:val="00501560"/>
    <w:rsid w:val="0050310D"/>
    <w:rsid w:val="00511D25"/>
    <w:rsid w:val="00514F21"/>
    <w:rsid w:val="0052074A"/>
    <w:rsid w:val="005207E6"/>
    <w:rsid w:val="005228B5"/>
    <w:rsid w:val="00534C89"/>
    <w:rsid w:val="00540CD1"/>
    <w:rsid w:val="00541C76"/>
    <w:rsid w:val="00556498"/>
    <w:rsid w:val="00565EDE"/>
    <w:rsid w:val="00566DD8"/>
    <w:rsid w:val="0058501F"/>
    <w:rsid w:val="0059129F"/>
    <w:rsid w:val="00592DE6"/>
    <w:rsid w:val="005A03B9"/>
    <w:rsid w:val="005A03D9"/>
    <w:rsid w:val="005A61F1"/>
    <w:rsid w:val="005A7163"/>
    <w:rsid w:val="005B39C2"/>
    <w:rsid w:val="005B47AF"/>
    <w:rsid w:val="005B7917"/>
    <w:rsid w:val="005C2EB3"/>
    <w:rsid w:val="005C426E"/>
    <w:rsid w:val="005D1668"/>
    <w:rsid w:val="005D2AE6"/>
    <w:rsid w:val="005D3388"/>
    <w:rsid w:val="005E4ABF"/>
    <w:rsid w:val="005E64E3"/>
    <w:rsid w:val="005E798E"/>
    <w:rsid w:val="005F2DC9"/>
    <w:rsid w:val="005F61FB"/>
    <w:rsid w:val="00604397"/>
    <w:rsid w:val="0061349E"/>
    <w:rsid w:val="00641F84"/>
    <w:rsid w:val="00646BFA"/>
    <w:rsid w:val="006547FE"/>
    <w:rsid w:val="00661193"/>
    <w:rsid w:val="00664BF8"/>
    <w:rsid w:val="00673BCB"/>
    <w:rsid w:val="00675F2C"/>
    <w:rsid w:val="00675FBE"/>
    <w:rsid w:val="006765C8"/>
    <w:rsid w:val="00684A09"/>
    <w:rsid w:val="006928D6"/>
    <w:rsid w:val="0069357C"/>
    <w:rsid w:val="00697E22"/>
    <w:rsid w:val="006A1A0A"/>
    <w:rsid w:val="006A226E"/>
    <w:rsid w:val="006B79A5"/>
    <w:rsid w:val="006C073B"/>
    <w:rsid w:val="006C0861"/>
    <w:rsid w:val="006C3DFE"/>
    <w:rsid w:val="006C4BA1"/>
    <w:rsid w:val="006C641F"/>
    <w:rsid w:val="006D4871"/>
    <w:rsid w:val="006D5698"/>
    <w:rsid w:val="006D67B4"/>
    <w:rsid w:val="006D68A4"/>
    <w:rsid w:val="006E5E5C"/>
    <w:rsid w:val="006F7D38"/>
    <w:rsid w:val="0071227C"/>
    <w:rsid w:val="007149B3"/>
    <w:rsid w:val="007155D2"/>
    <w:rsid w:val="00717BB3"/>
    <w:rsid w:val="007213B5"/>
    <w:rsid w:val="00724B78"/>
    <w:rsid w:val="00726BD2"/>
    <w:rsid w:val="0073699D"/>
    <w:rsid w:val="00737F0E"/>
    <w:rsid w:val="00740E98"/>
    <w:rsid w:val="0074184A"/>
    <w:rsid w:val="00747473"/>
    <w:rsid w:val="0075213E"/>
    <w:rsid w:val="007522A6"/>
    <w:rsid w:val="00771876"/>
    <w:rsid w:val="007822E4"/>
    <w:rsid w:val="007822EC"/>
    <w:rsid w:val="00786EBA"/>
    <w:rsid w:val="00796414"/>
    <w:rsid w:val="007A3974"/>
    <w:rsid w:val="007A4FDC"/>
    <w:rsid w:val="007A61FF"/>
    <w:rsid w:val="007B282B"/>
    <w:rsid w:val="007B7B00"/>
    <w:rsid w:val="007B7D42"/>
    <w:rsid w:val="007E3E41"/>
    <w:rsid w:val="00800741"/>
    <w:rsid w:val="0080096B"/>
    <w:rsid w:val="00804EB4"/>
    <w:rsid w:val="008242B3"/>
    <w:rsid w:val="00825D8E"/>
    <w:rsid w:val="008276E8"/>
    <w:rsid w:val="00831252"/>
    <w:rsid w:val="00831B50"/>
    <w:rsid w:val="00832203"/>
    <w:rsid w:val="00835E66"/>
    <w:rsid w:val="008449CB"/>
    <w:rsid w:val="0084739B"/>
    <w:rsid w:val="00852413"/>
    <w:rsid w:val="008525CD"/>
    <w:rsid w:val="008544EC"/>
    <w:rsid w:val="00856C69"/>
    <w:rsid w:val="008650D8"/>
    <w:rsid w:val="008657F4"/>
    <w:rsid w:val="00865B66"/>
    <w:rsid w:val="00870174"/>
    <w:rsid w:val="008702AC"/>
    <w:rsid w:val="00880E3A"/>
    <w:rsid w:val="00881B37"/>
    <w:rsid w:val="00884B41"/>
    <w:rsid w:val="0088649D"/>
    <w:rsid w:val="00891D55"/>
    <w:rsid w:val="008A6483"/>
    <w:rsid w:val="008B09F4"/>
    <w:rsid w:val="008B7FB5"/>
    <w:rsid w:val="008C5A28"/>
    <w:rsid w:val="008C5A72"/>
    <w:rsid w:val="008D479C"/>
    <w:rsid w:val="008D4E3C"/>
    <w:rsid w:val="008E26EF"/>
    <w:rsid w:val="009110ED"/>
    <w:rsid w:val="00922D2F"/>
    <w:rsid w:val="00923FE7"/>
    <w:rsid w:val="009346E1"/>
    <w:rsid w:val="00935676"/>
    <w:rsid w:val="0093712F"/>
    <w:rsid w:val="00937C8B"/>
    <w:rsid w:val="00942939"/>
    <w:rsid w:val="009467D5"/>
    <w:rsid w:val="00952002"/>
    <w:rsid w:val="00955046"/>
    <w:rsid w:val="00957C7F"/>
    <w:rsid w:val="00963993"/>
    <w:rsid w:val="00970C62"/>
    <w:rsid w:val="00992355"/>
    <w:rsid w:val="00993B5C"/>
    <w:rsid w:val="00997D87"/>
    <w:rsid w:val="009A00D3"/>
    <w:rsid w:val="009A0641"/>
    <w:rsid w:val="009A26F3"/>
    <w:rsid w:val="009A61BC"/>
    <w:rsid w:val="009B0005"/>
    <w:rsid w:val="009C6A56"/>
    <w:rsid w:val="009F6AAD"/>
    <w:rsid w:val="00A03C86"/>
    <w:rsid w:val="00A27EBD"/>
    <w:rsid w:val="00A32FE4"/>
    <w:rsid w:val="00A35ACB"/>
    <w:rsid w:val="00A73356"/>
    <w:rsid w:val="00A77C79"/>
    <w:rsid w:val="00A92566"/>
    <w:rsid w:val="00AA28BA"/>
    <w:rsid w:val="00AA59B0"/>
    <w:rsid w:val="00AA5B1B"/>
    <w:rsid w:val="00AA5D2F"/>
    <w:rsid w:val="00AB0E4B"/>
    <w:rsid w:val="00AB4B1D"/>
    <w:rsid w:val="00AC442C"/>
    <w:rsid w:val="00AC595F"/>
    <w:rsid w:val="00AE05F8"/>
    <w:rsid w:val="00AE2A37"/>
    <w:rsid w:val="00AE4879"/>
    <w:rsid w:val="00AE77A1"/>
    <w:rsid w:val="00AF174F"/>
    <w:rsid w:val="00AF23B2"/>
    <w:rsid w:val="00AF3131"/>
    <w:rsid w:val="00B012AB"/>
    <w:rsid w:val="00B03762"/>
    <w:rsid w:val="00B03CC6"/>
    <w:rsid w:val="00B120EB"/>
    <w:rsid w:val="00B128CB"/>
    <w:rsid w:val="00B3445A"/>
    <w:rsid w:val="00B44AA1"/>
    <w:rsid w:val="00B45228"/>
    <w:rsid w:val="00B517E8"/>
    <w:rsid w:val="00B60432"/>
    <w:rsid w:val="00B638E3"/>
    <w:rsid w:val="00B81144"/>
    <w:rsid w:val="00B817A7"/>
    <w:rsid w:val="00B832DB"/>
    <w:rsid w:val="00B87C1D"/>
    <w:rsid w:val="00B970BB"/>
    <w:rsid w:val="00BB4451"/>
    <w:rsid w:val="00BB6ADF"/>
    <w:rsid w:val="00BD20A7"/>
    <w:rsid w:val="00BD21F6"/>
    <w:rsid w:val="00BE0B9A"/>
    <w:rsid w:val="00BE563D"/>
    <w:rsid w:val="00C11F90"/>
    <w:rsid w:val="00C1495A"/>
    <w:rsid w:val="00C30CAF"/>
    <w:rsid w:val="00C31661"/>
    <w:rsid w:val="00C331B9"/>
    <w:rsid w:val="00C41858"/>
    <w:rsid w:val="00C544D3"/>
    <w:rsid w:val="00C55E02"/>
    <w:rsid w:val="00C56654"/>
    <w:rsid w:val="00C60104"/>
    <w:rsid w:val="00C66E43"/>
    <w:rsid w:val="00C74E7D"/>
    <w:rsid w:val="00C750DB"/>
    <w:rsid w:val="00C92F61"/>
    <w:rsid w:val="00C96A65"/>
    <w:rsid w:val="00CA4204"/>
    <w:rsid w:val="00CA4586"/>
    <w:rsid w:val="00CA73D7"/>
    <w:rsid w:val="00CB3AE8"/>
    <w:rsid w:val="00CB45C0"/>
    <w:rsid w:val="00CC12BF"/>
    <w:rsid w:val="00CC2C9A"/>
    <w:rsid w:val="00CC71AA"/>
    <w:rsid w:val="00CD2159"/>
    <w:rsid w:val="00CD4437"/>
    <w:rsid w:val="00CD6781"/>
    <w:rsid w:val="00CD7D7E"/>
    <w:rsid w:val="00CE4E86"/>
    <w:rsid w:val="00CE59B1"/>
    <w:rsid w:val="00CE6532"/>
    <w:rsid w:val="00CF3910"/>
    <w:rsid w:val="00CF3C51"/>
    <w:rsid w:val="00D02420"/>
    <w:rsid w:val="00D053E8"/>
    <w:rsid w:val="00D161C6"/>
    <w:rsid w:val="00D16BCE"/>
    <w:rsid w:val="00D22B32"/>
    <w:rsid w:val="00D22F32"/>
    <w:rsid w:val="00D27646"/>
    <w:rsid w:val="00D2783A"/>
    <w:rsid w:val="00D31953"/>
    <w:rsid w:val="00D352EA"/>
    <w:rsid w:val="00D358DC"/>
    <w:rsid w:val="00D43716"/>
    <w:rsid w:val="00D45333"/>
    <w:rsid w:val="00D53619"/>
    <w:rsid w:val="00D609C6"/>
    <w:rsid w:val="00D63B00"/>
    <w:rsid w:val="00D659C3"/>
    <w:rsid w:val="00D721CB"/>
    <w:rsid w:val="00D72368"/>
    <w:rsid w:val="00D739A5"/>
    <w:rsid w:val="00D76C58"/>
    <w:rsid w:val="00D80260"/>
    <w:rsid w:val="00D942D3"/>
    <w:rsid w:val="00D948FD"/>
    <w:rsid w:val="00DB45C3"/>
    <w:rsid w:val="00DC7732"/>
    <w:rsid w:val="00DD30E1"/>
    <w:rsid w:val="00DD60AA"/>
    <w:rsid w:val="00E053D3"/>
    <w:rsid w:val="00E12B87"/>
    <w:rsid w:val="00E27AD3"/>
    <w:rsid w:val="00E34788"/>
    <w:rsid w:val="00E42FD8"/>
    <w:rsid w:val="00E47AFE"/>
    <w:rsid w:val="00E57BE8"/>
    <w:rsid w:val="00E62E1F"/>
    <w:rsid w:val="00E70CF5"/>
    <w:rsid w:val="00E81AC2"/>
    <w:rsid w:val="00E81DEE"/>
    <w:rsid w:val="00E8421C"/>
    <w:rsid w:val="00E90192"/>
    <w:rsid w:val="00E923A0"/>
    <w:rsid w:val="00E93486"/>
    <w:rsid w:val="00E95373"/>
    <w:rsid w:val="00E96B1A"/>
    <w:rsid w:val="00EA2806"/>
    <w:rsid w:val="00EA7588"/>
    <w:rsid w:val="00EB270B"/>
    <w:rsid w:val="00EB4607"/>
    <w:rsid w:val="00EC2EAC"/>
    <w:rsid w:val="00ED17FD"/>
    <w:rsid w:val="00EF650D"/>
    <w:rsid w:val="00F30009"/>
    <w:rsid w:val="00F479AF"/>
    <w:rsid w:val="00F50ACF"/>
    <w:rsid w:val="00F51D6D"/>
    <w:rsid w:val="00F53224"/>
    <w:rsid w:val="00F56350"/>
    <w:rsid w:val="00F60ADA"/>
    <w:rsid w:val="00F63F8C"/>
    <w:rsid w:val="00F654E5"/>
    <w:rsid w:val="00F65CB5"/>
    <w:rsid w:val="00F65D9A"/>
    <w:rsid w:val="00F66EDF"/>
    <w:rsid w:val="00F829E4"/>
    <w:rsid w:val="00F87988"/>
    <w:rsid w:val="00FB4F09"/>
    <w:rsid w:val="00FC09ED"/>
    <w:rsid w:val="00FD7385"/>
    <w:rsid w:val="00FE3553"/>
    <w:rsid w:val="00FE3B5A"/>
    <w:rsid w:val="00FF040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0D8F7"/>
  <w15:docId w15:val="{3FE0C8EB-37D4-420B-8644-B9A880D7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qFormat/>
    <w:rsid w:val="00AC442C"/>
    <w:pPr>
      <w:keepNext/>
      <w:spacing w:before="240" w:after="60" w:line="280" w:lineRule="exact"/>
      <w:jc w:val="both"/>
      <w:outlineLvl w:val="0"/>
    </w:pPr>
    <w:rPr>
      <w:rFonts w:ascii="Arial" w:hAnsi="Arial" w:cs="Arial"/>
      <w:b/>
      <w:bCs/>
      <w:kern w:val="32"/>
      <w:sz w:val="32"/>
      <w:szCs w:val="32"/>
    </w:rPr>
  </w:style>
  <w:style w:type="paragraph" w:styleId="Titre2">
    <w:name w:val="heading 2"/>
    <w:basedOn w:val="Normal"/>
    <w:next w:val="Normal"/>
    <w:qFormat/>
    <w:rsid w:val="00AC442C"/>
    <w:pPr>
      <w:keepNext/>
      <w:spacing w:before="240" w:after="60" w:line="280" w:lineRule="exact"/>
      <w:jc w:val="both"/>
      <w:outlineLvl w:val="1"/>
    </w:pPr>
    <w:rPr>
      <w:rFonts w:ascii="Arial" w:hAnsi="Arial" w:cs="Arial"/>
      <w:b/>
      <w:bCs/>
      <w:i/>
      <w:iCs/>
      <w:sz w:val="28"/>
      <w:szCs w:val="28"/>
    </w:rPr>
  </w:style>
  <w:style w:type="paragraph" w:styleId="Titre3">
    <w:name w:val="heading 3"/>
    <w:basedOn w:val="Normal"/>
    <w:next w:val="Normal"/>
    <w:qFormat/>
    <w:rsid w:val="00AC442C"/>
    <w:pPr>
      <w:keepNext/>
      <w:jc w:val="center"/>
      <w:outlineLvl w:val="2"/>
    </w:pPr>
    <w:rPr>
      <w:szCs w:val="20"/>
    </w:rPr>
  </w:style>
  <w:style w:type="paragraph" w:styleId="Titre4">
    <w:name w:val="heading 4"/>
    <w:basedOn w:val="Normal"/>
    <w:next w:val="Normal"/>
    <w:link w:val="Titre4Car"/>
    <w:qFormat/>
    <w:rsid w:val="00AC442C"/>
    <w:pPr>
      <w:keepNext/>
      <w:tabs>
        <w:tab w:val="left" w:pos="0"/>
        <w:tab w:val="left" w:pos="144"/>
        <w:tab w:val="left" w:pos="709"/>
      </w:tabs>
      <w:spacing w:line="360" w:lineRule="auto"/>
      <w:ind w:left="-432"/>
      <w:jc w:val="both"/>
      <w:outlineLvl w:val="3"/>
    </w:pPr>
    <w:rPr>
      <w:rFonts w:ascii="Univers Extended" w:hAnsi="Univers Extended"/>
      <w:b/>
      <w:sz w:val="20"/>
      <w:szCs w:val="20"/>
    </w:rPr>
  </w:style>
  <w:style w:type="paragraph" w:styleId="Titre5">
    <w:name w:val="heading 5"/>
    <w:basedOn w:val="Normal"/>
    <w:next w:val="Normal"/>
    <w:qFormat/>
    <w:rsid w:val="00AC442C"/>
    <w:pPr>
      <w:keepNext/>
      <w:tabs>
        <w:tab w:val="left" w:pos="5387"/>
      </w:tabs>
      <w:outlineLvl w:val="4"/>
    </w:pPr>
    <w:rPr>
      <w:szCs w:val="20"/>
    </w:rPr>
  </w:style>
  <w:style w:type="paragraph" w:styleId="Titre6">
    <w:name w:val="heading 6"/>
    <w:basedOn w:val="Normal"/>
    <w:next w:val="Normal"/>
    <w:qFormat/>
    <w:rsid w:val="00AC442C"/>
    <w:pPr>
      <w:keepNext/>
      <w:spacing w:line="312" w:lineRule="auto"/>
      <w:ind w:right="-568"/>
      <w:jc w:val="center"/>
      <w:outlineLvl w:val="5"/>
    </w:pPr>
    <w:rPr>
      <w:szCs w:val="20"/>
    </w:rPr>
  </w:style>
  <w:style w:type="paragraph" w:styleId="Titre7">
    <w:name w:val="heading 7"/>
    <w:basedOn w:val="Normal"/>
    <w:next w:val="Normal"/>
    <w:link w:val="Titre7Car"/>
    <w:qFormat/>
    <w:rsid w:val="00AC442C"/>
    <w:pPr>
      <w:keepNext/>
      <w:spacing w:before="120" w:after="120" w:line="312" w:lineRule="auto"/>
      <w:jc w:val="center"/>
      <w:outlineLvl w:val="6"/>
    </w:pPr>
    <w:rPr>
      <w:rFonts w:ascii="Arial" w:hAnsi="Arial"/>
      <w:b/>
      <w:color w:val="000000"/>
      <w:sz w:val="22"/>
      <w:szCs w:val="20"/>
    </w:rPr>
  </w:style>
  <w:style w:type="paragraph" w:styleId="Titre8">
    <w:name w:val="heading 8"/>
    <w:basedOn w:val="Normal"/>
    <w:next w:val="Normal"/>
    <w:link w:val="Titre8Car"/>
    <w:qFormat/>
    <w:rsid w:val="00AC442C"/>
    <w:pPr>
      <w:spacing w:before="240" w:after="60" w:line="280" w:lineRule="exact"/>
      <w:jc w:val="both"/>
      <w:outlineLvl w:val="7"/>
    </w:pPr>
    <w:rPr>
      <w:i/>
      <w:iCs/>
    </w:rPr>
  </w:style>
  <w:style w:type="paragraph" w:styleId="Titre9">
    <w:name w:val="heading 9"/>
    <w:basedOn w:val="Normal"/>
    <w:next w:val="Normal"/>
    <w:qFormat/>
    <w:rsid w:val="00AC442C"/>
    <w:pPr>
      <w:keepNext/>
      <w:tabs>
        <w:tab w:val="left" w:pos="1134"/>
        <w:tab w:val="right" w:pos="9072"/>
      </w:tabs>
      <w:spacing w:line="320" w:lineRule="exact"/>
      <w:ind w:left="1134" w:hanging="1134"/>
      <w:outlineLvl w:val="8"/>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252"/>
        <w:tab w:val="right" w:pos="8504"/>
      </w:tabs>
    </w:pPr>
  </w:style>
  <w:style w:type="paragraph" w:styleId="Pieddepage">
    <w:name w:val="footer"/>
    <w:basedOn w:val="Normal"/>
    <w:link w:val="PieddepageCar"/>
    <w:uiPriority w:val="99"/>
    <w:pPr>
      <w:tabs>
        <w:tab w:val="center" w:pos="4252"/>
        <w:tab w:val="right" w:pos="8504"/>
      </w:tabs>
    </w:pPr>
  </w:style>
  <w:style w:type="character" w:styleId="Numrodepage">
    <w:name w:val="page number"/>
    <w:basedOn w:val="Policepardfaut"/>
    <w:qFormat/>
  </w:style>
  <w:style w:type="paragraph" w:styleId="Normalcentr">
    <w:name w:val="Block Text"/>
    <w:basedOn w:val="Normal"/>
    <w:pPr>
      <w:ind w:left="540" w:right="892"/>
      <w:jc w:val="both"/>
    </w:pPr>
    <w:rPr>
      <w:rFonts w:ascii="Arial" w:hAnsi="Arial"/>
      <w:sz w:val="28"/>
    </w:rPr>
  </w:style>
  <w:style w:type="paragraph" w:styleId="Textedebulles">
    <w:name w:val="Balloon Text"/>
    <w:basedOn w:val="Normal"/>
    <w:link w:val="TextedebullesCar"/>
    <w:qFormat/>
    <w:rsid w:val="00AC442C"/>
    <w:pPr>
      <w:spacing w:line="280" w:lineRule="exact"/>
      <w:jc w:val="both"/>
    </w:pPr>
    <w:rPr>
      <w:rFonts w:ascii="Tahoma" w:hAnsi="Tahoma" w:cs="Tahoma"/>
      <w:sz w:val="16"/>
      <w:szCs w:val="16"/>
    </w:rPr>
  </w:style>
  <w:style w:type="paragraph" w:customStyle="1" w:styleId="Puntotitulo">
    <w:name w:val="Punto titulo"/>
    <w:basedOn w:val="Normal"/>
    <w:rsid w:val="00AC442C"/>
    <w:pPr>
      <w:spacing w:line="280" w:lineRule="exact"/>
      <w:jc w:val="both"/>
    </w:pPr>
    <w:rPr>
      <w:rFonts w:ascii="Arial" w:hAnsi="Arial"/>
      <w:b/>
      <w:i/>
      <w:sz w:val="22"/>
      <w:szCs w:val="20"/>
    </w:rPr>
  </w:style>
  <w:style w:type="paragraph" w:customStyle="1" w:styleId="Apartadotitulo">
    <w:name w:val="Apartado titulo"/>
    <w:basedOn w:val="Normal"/>
    <w:rsid w:val="00AC442C"/>
    <w:pPr>
      <w:spacing w:line="280" w:lineRule="exact"/>
      <w:jc w:val="both"/>
    </w:pPr>
    <w:rPr>
      <w:rFonts w:ascii="Arial" w:hAnsi="Arial"/>
      <w:b/>
      <w:szCs w:val="20"/>
    </w:rPr>
  </w:style>
  <w:style w:type="paragraph" w:customStyle="1" w:styleId="Subpuntotitulo">
    <w:name w:val="Subpunto titulo"/>
    <w:basedOn w:val="Normal"/>
    <w:rsid w:val="00AC442C"/>
    <w:pPr>
      <w:spacing w:line="280" w:lineRule="exact"/>
      <w:jc w:val="both"/>
    </w:pPr>
    <w:rPr>
      <w:rFonts w:ascii="Helvetica-Narrow" w:hAnsi="Helvetica-Narrow"/>
      <w:b/>
      <w:sz w:val="22"/>
      <w:szCs w:val="22"/>
    </w:rPr>
  </w:style>
  <w:style w:type="paragraph" w:customStyle="1" w:styleId="Articulotitulo">
    <w:name w:val="Articulo titulo"/>
    <w:basedOn w:val="Titre1"/>
    <w:rsid w:val="00AC442C"/>
    <w:pPr>
      <w:spacing w:before="0" w:after="0"/>
    </w:pPr>
    <w:rPr>
      <w:rFonts w:cs="Times New Roman"/>
      <w:bCs w:val="0"/>
      <w:kern w:val="0"/>
      <w:sz w:val="28"/>
      <w:szCs w:val="20"/>
    </w:rPr>
  </w:style>
  <w:style w:type="paragraph" w:customStyle="1" w:styleId="Capitulonumero">
    <w:name w:val="Capitulo numero"/>
    <w:basedOn w:val="Normal"/>
    <w:autoRedefine/>
    <w:rsid w:val="004B6EAB"/>
    <w:rPr>
      <w:rFonts w:ascii="Arial Narrow" w:hAnsi="Arial Narrow"/>
      <w:b/>
      <w:sz w:val="48"/>
      <w:szCs w:val="20"/>
    </w:rPr>
  </w:style>
  <w:style w:type="paragraph" w:customStyle="1" w:styleId="Capitulotitulo">
    <w:name w:val="Capitulo titulo"/>
    <w:basedOn w:val="Capitulonumero"/>
    <w:rsid w:val="00AC442C"/>
    <w:pPr>
      <w:ind w:left="4253"/>
    </w:pPr>
    <w:rPr>
      <w:sz w:val="32"/>
    </w:rPr>
  </w:style>
  <w:style w:type="character" w:styleId="Lienhypertexte">
    <w:name w:val="Hyperlink"/>
    <w:uiPriority w:val="99"/>
    <w:rsid w:val="00AC442C"/>
    <w:rPr>
      <w:color w:val="0000FF"/>
      <w:u w:val="single"/>
    </w:rPr>
  </w:style>
  <w:style w:type="paragraph" w:styleId="Notedebasdepage">
    <w:name w:val="footnote text"/>
    <w:basedOn w:val="Normal"/>
    <w:link w:val="NotedebasdepageCar"/>
    <w:uiPriority w:val="99"/>
    <w:rsid w:val="00AC442C"/>
    <w:pPr>
      <w:spacing w:line="280" w:lineRule="exact"/>
      <w:jc w:val="both"/>
    </w:pPr>
    <w:rPr>
      <w:rFonts w:ascii="Arial" w:hAnsi="Arial"/>
      <w:sz w:val="20"/>
      <w:szCs w:val="20"/>
    </w:rPr>
  </w:style>
  <w:style w:type="character" w:styleId="Appelnotedebasdep">
    <w:name w:val="footnote reference"/>
    <w:semiHidden/>
    <w:rsid w:val="00AC442C"/>
    <w:rPr>
      <w:vertAlign w:val="superscript"/>
    </w:rPr>
  </w:style>
  <w:style w:type="paragraph" w:styleId="Retraitcorpsdetexte">
    <w:name w:val="Body Text Indent"/>
    <w:basedOn w:val="Normal"/>
    <w:link w:val="RetraitcorpsdetexteCar"/>
    <w:rsid w:val="00AC442C"/>
    <w:pPr>
      <w:tabs>
        <w:tab w:val="left" w:pos="284"/>
      </w:tabs>
      <w:spacing w:line="360" w:lineRule="auto"/>
      <w:ind w:firstLine="708"/>
      <w:jc w:val="both"/>
    </w:pPr>
    <w:rPr>
      <w:rFonts w:ascii="Arial" w:hAnsi="Arial"/>
      <w:sz w:val="22"/>
      <w:szCs w:val="20"/>
    </w:rPr>
  </w:style>
  <w:style w:type="paragraph" w:customStyle="1" w:styleId="Comentariostexto">
    <w:name w:val="Comentarios texto"/>
    <w:basedOn w:val="Normal"/>
    <w:rsid w:val="00AC442C"/>
    <w:pPr>
      <w:spacing w:line="280" w:lineRule="exact"/>
      <w:jc w:val="both"/>
    </w:pPr>
    <w:rPr>
      <w:rFonts w:ascii="Arial" w:hAnsi="Arial"/>
      <w:sz w:val="20"/>
      <w:szCs w:val="20"/>
    </w:rPr>
  </w:style>
  <w:style w:type="paragraph" w:customStyle="1" w:styleId="Tablagrande">
    <w:name w:val="Tabla grande"/>
    <w:basedOn w:val="Normal"/>
    <w:uiPriority w:val="99"/>
    <w:rsid w:val="00AC442C"/>
    <w:pPr>
      <w:spacing w:line="240" w:lineRule="exact"/>
      <w:jc w:val="center"/>
    </w:pPr>
    <w:rPr>
      <w:rFonts w:ascii="Arial" w:hAnsi="Arial"/>
      <w:sz w:val="14"/>
      <w:szCs w:val="20"/>
    </w:rPr>
  </w:style>
  <w:style w:type="table" w:styleId="Grilledutableau">
    <w:name w:val="Table Grid"/>
    <w:basedOn w:val="TableauNormal"/>
    <w:uiPriority w:val="59"/>
    <w:rsid w:val="00AC4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AC442C"/>
    <w:pPr>
      <w:spacing w:line="360" w:lineRule="auto"/>
      <w:jc w:val="both"/>
    </w:pPr>
    <w:rPr>
      <w:rFonts w:ascii="Univers Extended" w:hAnsi="Univers Extended"/>
      <w:sz w:val="20"/>
      <w:szCs w:val="20"/>
    </w:rPr>
  </w:style>
  <w:style w:type="paragraph" w:styleId="Corpsdetexte2">
    <w:name w:val="Body Text 2"/>
    <w:basedOn w:val="Normal"/>
    <w:rsid w:val="00AC442C"/>
    <w:pPr>
      <w:spacing w:line="360" w:lineRule="auto"/>
      <w:jc w:val="center"/>
    </w:pPr>
    <w:rPr>
      <w:rFonts w:ascii="Univers Extended" w:hAnsi="Univers Extended"/>
      <w:sz w:val="20"/>
      <w:szCs w:val="20"/>
    </w:rPr>
  </w:style>
  <w:style w:type="paragraph" w:styleId="Corpsdetexte3">
    <w:name w:val="Body Text 3"/>
    <w:basedOn w:val="Normal"/>
    <w:link w:val="Corpsdetexte3Car"/>
    <w:rsid w:val="00AC442C"/>
    <w:pPr>
      <w:jc w:val="both"/>
    </w:pPr>
    <w:rPr>
      <w:rFonts w:ascii="Univers Extended" w:hAnsi="Univers Extended"/>
      <w:sz w:val="20"/>
      <w:szCs w:val="20"/>
      <w:u w:val="single"/>
    </w:rPr>
  </w:style>
  <w:style w:type="paragraph" w:styleId="NormalWeb">
    <w:name w:val="Normal (Web)"/>
    <w:basedOn w:val="Normal"/>
    <w:uiPriority w:val="99"/>
    <w:qFormat/>
    <w:rsid w:val="00AC442C"/>
    <w:pPr>
      <w:spacing w:before="100" w:beforeAutospacing="1" w:after="100" w:afterAutospacing="1"/>
    </w:pPr>
  </w:style>
  <w:style w:type="character" w:styleId="Marquedecommentaire">
    <w:name w:val="annotation reference"/>
    <w:uiPriority w:val="99"/>
    <w:qFormat/>
    <w:rsid w:val="00AC442C"/>
    <w:rPr>
      <w:sz w:val="16"/>
      <w:szCs w:val="16"/>
    </w:rPr>
  </w:style>
  <w:style w:type="paragraph" w:styleId="Commentaire">
    <w:name w:val="annotation text"/>
    <w:basedOn w:val="Normal"/>
    <w:link w:val="CommentaireCar"/>
    <w:uiPriority w:val="99"/>
    <w:qFormat/>
    <w:rsid w:val="00AC442C"/>
    <w:pPr>
      <w:spacing w:line="280" w:lineRule="exact"/>
      <w:jc w:val="both"/>
    </w:pPr>
    <w:rPr>
      <w:rFonts w:ascii="Arial" w:hAnsi="Arial"/>
      <w:sz w:val="20"/>
      <w:szCs w:val="20"/>
    </w:rPr>
  </w:style>
  <w:style w:type="paragraph" w:styleId="Objetducommentaire">
    <w:name w:val="annotation subject"/>
    <w:basedOn w:val="Commentaire"/>
    <w:next w:val="Commentaire"/>
    <w:link w:val="ObjetducommentaireCar"/>
    <w:qFormat/>
    <w:rsid w:val="00AC442C"/>
    <w:rPr>
      <w:b/>
      <w:bCs/>
    </w:rPr>
  </w:style>
  <w:style w:type="paragraph" w:styleId="Titre">
    <w:name w:val="Title"/>
    <w:basedOn w:val="Normal"/>
    <w:qFormat/>
    <w:rsid w:val="00AC442C"/>
    <w:pPr>
      <w:jc w:val="center"/>
    </w:pPr>
    <w:rPr>
      <w:b/>
      <w:szCs w:val="20"/>
    </w:rPr>
  </w:style>
  <w:style w:type="character" w:styleId="Lienhypertextesuivivisit">
    <w:name w:val="FollowedHyperlink"/>
    <w:uiPriority w:val="99"/>
    <w:rsid w:val="00AC442C"/>
    <w:rPr>
      <w:color w:val="800080"/>
      <w:u w:val="single"/>
    </w:rPr>
  </w:style>
  <w:style w:type="paragraph" w:styleId="Sous-titre">
    <w:name w:val="Subtitle"/>
    <w:basedOn w:val="Normal"/>
    <w:qFormat/>
    <w:rsid w:val="00AC442C"/>
    <w:pPr>
      <w:tabs>
        <w:tab w:val="left" w:pos="-720"/>
      </w:tabs>
      <w:suppressAutoHyphens/>
      <w:spacing w:before="90"/>
    </w:pPr>
    <w:rPr>
      <w:rFonts w:ascii="Arial" w:hAnsi="Arial"/>
      <w:b/>
      <w:bCs/>
      <w:sz w:val="22"/>
      <w:szCs w:val="20"/>
    </w:rPr>
  </w:style>
  <w:style w:type="paragraph" w:styleId="Retraitcorpsdetexte2">
    <w:name w:val="Body Text Indent 2"/>
    <w:basedOn w:val="Normal"/>
    <w:link w:val="Retraitcorpsdetexte2Car"/>
    <w:rsid w:val="00AC442C"/>
    <w:pPr>
      <w:tabs>
        <w:tab w:val="left" w:pos="1418"/>
      </w:tabs>
      <w:ind w:left="1418" w:hanging="1418"/>
    </w:pPr>
    <w:rPr>
      <w:rFonts w:ascii="CG Omega" w:hAnsi="CG Omega"/>
      <w:szCs w:val="20"/>
    </w:rPr>
  </w:style>
  <w:style w:type="paragraph" w:styleId="Retraitcorpsdetexte3">
    <w:name w:val="Body Text Indent 3"/>
    <w:basedOn w:val="Normal"/>
    <w:rsid w:val="00AC442C"/>
    <w:pPr>
      <w:ind w:left="993" w:hanging="993"/>
      <w:jc w:val="both"/>
    </w:pPr>
    <w:rPr>
      <w:rFonts w:ascii="Arial" w:hAnsi="Arial"/>
      <w:sz w:val="18"/>
      <w:szCs w:val="20"/>
    </w:rPr>
  </w:style>
  <w:style w:type="character" w:customStyle="1" w:styleId="En-tteCar">
    <w:name w:val="En-tête Car"/>
    <w:link w:val="En-tte"/>
    <w:rsid w:val="00CE4E86"/>
    <w:rPr>
      <w:sz w:val="24"/>
      <w:szCs w:val="24"/>
    </w:rPr>
  </w:style>
  <w:style w:type="character" w:customStyle="1" w:styleId="PieddepageCar">
    <w:name w:val="Pied de page Car"/>
    <w:link w:val="Pieddepage"/>
    <w:uiPriority w:val="99"/>
    <w:qFormat/>
    <w:rsid w:val="00CE4E86"/>
    <w:rPr>
      <w:sz w:val="24"/>
      <w:szCs w:val="24"/>
    </w:rPr>
  </w:style>
  <w:style w:type="character" w:customStyle="1" w:styleId="Titre8Car">
    <w:name w:val="Titre 8 Car"/>
    <w:link w:val="Titre8"/>
    <w:rsid w:val="00061E57"/>
    <w:rPr>
      <w:i/>
      <w:iCs/>
      <w:sz w:val="24"/>
      <w:szCs w:val="24"/>
    </w:rPr>
  </w:style>
  <w:style w:type="character" w:customStyle="1" w:styleId="Titre4Car">
    <w:name w:val="Titre 4 Car"/>
    <w:link w:val="Titre4"/>
    <w:uiPriority w:val="9"/>
    <w:rsid w:val="004B6EAB"/>
    <w:rPr>
      <w:rFonts w:ascii="Univers Extended" w:hAnsi="Univers Extended"/>
      <w:b/>
      <w:lang w:val="fr-FR"/>
    </w:rPr>
  </w:style>
  <w:style w:type="paragraph" w:customStyle="1" w:styleId="CENcover">
    <w:name w:val="CENcover"/>
    <w:rsid w:val="004B6EAB"/>
    <w:rPr>
      <w:rFonts w:ascii="Arial" w:hAnsi="Arial"/>
      <w:noProof/>
    </w:rPr>
  </w:style>
  <w:style w:type="character" w:customStyle="1" w:styleId="Titre7Car">
    <w:name w:val="Titre 7 Car"/>
    <w:link w:val="Titre7"/>
    <w:uiPriority w:val="99"/>
    <w:rsid w:val="00CB45C0"/>
    <w:rPr>
      <w:rFonts w:ascii="Arial" w:hAnsi="Arial"/>
      <w:b/>
      <w:color w:val="000000"/>
      <w:sz w:val="22"/>
    </w:rPr>
  </w:style>
  <w:style w:type="character" w:customStyle="1" w:styleId="Corpsdetexte3Car">
    <w:name w:val="Corps de texte 3 Car"/>
    <w:link w:val="Corpsdetexte3"/>
    <w:uiPriority w:val="99"/>
    <w:rsid w:val="00CB45C0"/>
    <w:rPr>
      <w:rFonts w:ascii="Univers Extended" w:hAnsi="Univers Extended"/>
      <w:u w:val="single"/>
    </w:rPr>
  </w:style>
  <w:style w:type="paragraph" w:styleId="Paragraphedeliste">
    <w:name w:val="List Paragraph"/>
    <w:basedOn w:val="Normal"/>
    <w:uiPriority w:val="34"/>
    <w:qFormat/>
    <w:rsid w:val="004836CD"/>
    <w:pPr>
      <w:spacing w:after="160" w:line="259" w:lineRule="auto"/>
      <w:ind w:left="720"/>
      <w:contextualSpacing/>
    </w:pPr>
    <w:rPr>
      <w:rFonts w:ascii="Calibri" w:eastAsia="Calibri" w:hAnsi="Calibri"/>
      <w:sz w:val="22"/>
      <w:szCs w:val="22"/>
      <w:lang w:eastAsia="en-US"/>
    </w:rPr>
  </w:style>
  <w:style w:type="character" w:customStyle="1" w:styleId="CommentaireCar">
    <w:name w:val="Commentaire Car"/>
    <w:link w:val="Commentaire"/>
    <w:uiPriority w:val="99"/>
    <w:qFormat/>
    <w:rsid w:val="004836CD"/>
    <w:rPr>
      <w:rFonts w:ascii="Arial" w:hAnsi="Arial"/>
    </w:rPr>
  </w:style>
  <w:style w:type="character" w:customStyle="1" w:styleId="TextedebullesCar">
    <w:name w:val="Texte de bulles Car"/>
    <w:link w:val="Textedebulles"/>
    <w:qFormat/>
    <w:rsid w:val="004836CD"/>
    <w:rPr>
      <w:rFonts w:ascii="Tahoma" w:hAnsi="Tahoma" w:cs="Tahoma"/>
      <w:sz w:val="16"/>
      <w:szCs w:val="16"/>
    </w:rPr>
  </w:style>
  <w:style w:type="character" w:customStyle="1" w:styleId="ObjetducommentaireCar">
    <w:name w:val="Objet du commentaire Car"/>
    <w:link w:val="Objetducommentaire"/>
    <w:qFormat/>
    <w:rsid w:val="004836CD"/>
    <w:rPr>
      <w:rFonts w:ascii="Arial" w:hAnsi="Arial"/>
      <w:b/>
      <w:bCs/>
    </w:rPr>
  </w:style>
  <w:style w:type="paragraph" w:customStyle="1" w:styleId="Default">
    <w:name w:val="Default"/>
    <w:rsid w:val="004836CD"/>
    <w:pPr>
      <w:autoSpaceDE w:val="0"/>
      <w:autoSpaceDN w:val="0"/>
      <w:adjustRightInd w:val="0"/>
    </w:pPr>
    <w:rPr>
      <w:rFonts w:ascii="Arial" w:eastAsia="Calibri" w:hAnsi="Arial" w:cs="Arial"/>
      <w:color w:val="000000"/>
      <w:sz w:val="24"/>
      <w:szCs w:val="24"/>
      <w:lang w:eastAsia="en-US"/>
    </w:rPr>
  </w:style>
  <w:style w:type="character" w:customStyle="1" w:styleId="st1">
    <w:name w:val="st1"/>
    <w:rsid w:val="004836CD"/>
  </w:style>
  <w:style w:type="paragraph" w:customStyle="1" w:styleId="CTENumeracion">
    <w:name w:val="CTE_Numeracion"/>
    <w:basedOn w:val="Normal"/>
    <w:qFormat/>
    <w:rsid w:val="004836CD"/>
    <w:pPr>
      <w:spacing w:before="60" w:after="60"/>
      <w:ind w:left="357" w:hanging="357"/>
      <w:jc w:val="both"/>
    </w:pPr>
    <w:rPr>
      <w:rFonts w:ascii="Arial" w:hAnsi="Arial"/>
      <w:sz w:val="20"/>
    </w:rPr>
  </w:style>
  <w:style w:type="character" w:customStyle="1" w:styleId="CTEModTachaprob">
    <w:name w:val="CTE_Mod_Tach_aprob"/>
    <w:qFormat/>
    <w:rsid w:val="004836CD"/>
    <w:rPr>
      <w:strike w:val="0"/>
      <w:dstrike w:val="0"/>
      <w:shd w:val="clear" w:color="auto" w:fill="FFFF00"/>
    </w:rPr>
  </w:style>
  <w:style w:type="character" w:customStyle="1" w:styleId="Retraitcorpsdetexte2Car">
    <w:name w:val="Retrait corps de texte 2 Car"/>
    <w:link w:val="Retraitcorpsdetexte2"/>
    <w:uiPriority w:val="99"/>
    <w:rsid w:val="004836CD"/>
    <w:rPr>
      <w:rFonts w:ascii="CG Omega" w:hAnsi="CG Omega"/>
      <w:sz w:val="24"/>
    </w:rPr>
  </w:style>
  <w:style w:type="paragraph" w:customStyle="1" w:styleId="CteTtulo3">
    <w:name w:val="CteTítulo3"/>
    <w:basedOn w:val="Normal"/>
    <w:next w:val="Normal"/>
    <w:autoRedefine/>
    <w:qFormat/>
    <w:rsid w:val="009467D5"/>
    <w:pPr>
      <w:keepNext/>
      <w:numPr>
        <w:ilvl w:val="2"/>
      </w:numPr>
      <w:spacing w:before="240" w:after="120"/>
      <w:ind w:left="284" w:hanging="283"/>
      <w:jc w:val="both"/>
      <w:outlineLvl w:val="3"/>
    </w:pPr>
    <w:rPr>
      <w:rFonts w:ascii="Arial" w:hAnsi="Arial"/>
      <w:bCs/>
      <w:lang w:eastAsia="zh-CN"/>
    </w:rPr>
  </w:style>
  <w:style w:type="paragraph" w:customStyle="1" w:styleId="CteAnejo-TituloSeccion">
    <w:name w:val="CteAnejo-TituloSeccion"/>
    <w:basedOn w:val="Normal"/>
    <w:rsid w:val="004836CD"/>
    <w:pPr>
      <w:keepNext/>
      <w:spacing w:before="480" w:after="160"/>
      <w:outlineLvl w:val="0"/>
    </w:pPr>
    <w:rPr>
      <w:rFonts w:ascii="Arial" w:hAnsi="Arial"/>
      <w:b/>
      <w:bCs/>
      <w:sz w:val="32"/>
    </w:rPr>
  </w:style>
  <w:style w:type="character" w:customStyle="1" w:styleId="EstiloCTEModTachaprob16ptNegritaSinTachado">
    <w:name w:val="Estilo CTE_Mod_Tach_aprob + 16 pt Negrita Sin Tachado"/>
    <w:rsid w:val="004836CD"/>
    <w:rPr>
      <w:rFonts w:ascii="Arial" w:hAnsi="Arial"/>
      <w:b/>
      <w:bCs/>
      <w:strike/>
      <w:dstrike w:val="0"/>
      <w:sz w:val="32"/>
      <w:bdr w:val="none" w:sz="0" w:space="0" w:color="auto"/>
      <w:shd w:val="clear" w:color="auto" w:fill="auto"/>
    </w:rPr>
  </w:style>
  <w:style w:type="character" w:customStyle="1" w:styleId="EstiloCTEModTachaprobSinTachado">
    <w:name w:val="Estilo CTE_Mod_Tach_aprob + Sin Tachado"/>
    <w:rsid w:val="004836CD"/>
    <w:rPr>
      <w:strike/>
      <w:dstrike w:val="0"/>
      <w:bdr w:val="none" w:sz="0" w:space="0" w:color="auto"/>
      <w:shd w:val="clear" w:color="auto" w:fill="auto"/>
    </w:rPr>
  </w:style>
  <w:style w:type="character" w:customStyle="1" w:styleId="CorpsdetexteCar">
    <w:name w:val="Corps de texte Car"/>
    <w:link w:val="Corpsdetexte"/>
    <w:qFormat/>
    <w:rsid w:val="004836CD"/>
    <w:rPr>
      <w:rFonts w:ascii="Univers Extended" w:hAnsi="Univers Extended"/>
    </w:rPr>
  </w:style>
  <w:style w:type="paragraph" w:customStyle="1" w:styleId="nota">
    <w:name w:val="nota"/>
    <w:basedOn w:val="Normal"/>
    <w:qFormat/>
    <w:rsid w:val="004836CD"/>
    <w:pPr>
      <w:tabs>
        <w:tab w:val="left" w:pos="1122"/>
        <w:tab w:val="left" w:pos="1309"/>
      </w:tabs>
      <w:jc w:val="both"/>
    </w:pPr>
    <w:rPr>
      <w:rFonts w:ascii="Arial" w:hAnsi="Arial" w:cs="Arial"/>
      <w:bCs/>
      <w:sz w:val="20"/>
    </w:rPr>
  </w:style>
  <w:style w:type="paragraph" w:customStyle="1" w:styleId="Ttulo1CTE">
    <w:name w:val="Título1CTE"/>
    <w:basedOn w:val="Titre1"/>
    <w:next w:val="Normal"/>
    <w:autoRedefine/>
    <w:qFormat/>
    <w:rsid w:val="004836CD"/>
    <w:pPr>
      <w:spacing w:after="200" w:line="240" w:lineRule="auto"/>
    </w:pPr>
    <w:rPr>
      <w:sz w:val="28"/>
    </w:rPr>
  </w:style>
  <w:style w:type="character" w:customStyle="1" w:styleId="Titre1Car">
    <w:name w:val="Titre 1 Car"/>
    <w:link w:val="Titre1"/>
    <w:qFormat/>
    <w:rsid w:val="004836CD"/>
    <w:rPr>
      <w:rFonts w:ascii="Arial" w:hAnsi="Arial" w:cs="Arial"/>
      <w:b/>
      <w:bCs/>
      <w:kern w:val="32"/>
      <w:sz w:val="32"/>
      <w:szCs w:val="32"/>
    </w:rPr>
  </w:style>
  <w:style w:type="paragraph" w:customStyle="1" w:styleId="artculo-tex">
    <w:name w:val="artículo-tex"/>
    <w:basedOn w:val="Normal"/>
    <w:qFormat/>
    <w:rsid w:val="004836CD"/>
    <w:pPr>
      <w:pBdr>
        <w:top w:val="single" w:sz="4" w:space="1" w:color="00000A"/>
        <w:left w:val="single" w:sz="4" w:space="4" w:color="00000A"/>
        <w:bottom w:val="single" w:sz="4" w:space="1" w:color="00000A"/>
        <w:right w:val="single" w:sz="4" w:space="4" w:color="00000A"/>
      </w:pBdr>
      <w:suppressAutoHyphens/>
      <w:autoSpaceDN w:val="0"/>
      <w:spacing w:before="60" w:after="60"/>
      <w:textAlignment w:val="baseline"/>
    </w:pPr>
    <w:rPr>
      <w:rFonts w:ascii="Arial" w:eastAsia="Arial" w:hAnsi="Arial" w:cs="Arial"/>
      <w:kern w:val="3"/>
      <w:sz w:val="22"/>
      <w:lang w:bidi="hi-IN"/>
    </w:rPr>
  </w:style>
  <w:style w:type="numbering" w:customStyle="1" w:styleId="WWNum3">
    <w:name w:val="WWNum3"/>
    <w:basedOn w:val="Aucuneliste"/>
    <w:rsid w:val="004836CD"/>
    <w:pPr>
      <w:numPr>
        <w:numId w:val="1"/>
      </w:numPr>
    </w:pPr>
  </w:style>
  <w:style w:type="character" w:customStyle="1" w:styleId="CTEModAadaprob">
    <w:name w:val="CTE_Mod_Añad_aprob"/>
    <w:qFormat/>
    <w:rsid w:val="004836CD"/>
    <w:rPr>
      <w:u w:val="single"/>
      <w:bdr w:val="none" w:sz="0" w:space="0" w:color="auto"/>
      <w:shd w:val="clear" w:color="auto" w:fill="B8CCE4"/>
    </w:rPr>
  </w:style>
  <w:style w:type="paragraph" w:customStyle="1" w:styleId="CTEtabla-texto">
    <w:name w:val="CTE_tabla-texto"/>
    <w:qFormat/>
    <w:rsid w:val="004836CD"/>
    <w:pPr>
      <w:spacing w:before="60" w:after="60"/>
      <w:jc w:val="center"/>
    </w:pPr>
    <w:rPr>
      <w:rFonts w:ascii="Arial" w:hAnsi="Arial"/>
      <w:sz w:val="18"/>
      <w:szCs w:val="24"/>
    </w:rPr>
  </w:style>
  <w:style w:type="character" w:customStyle="1" w:styleId="ListLabel229">
    <w:name w:val="ListLabel 229"/>
    <w:qFormat/>
    <w:rsid w:val="006C641F"/>
    <w:rPr>
      <w:rFonts w:cs="Symbol"/>
    </w:rPr>
  </w:style>
  <w:style w:type="character" w:customStyle="1" w:styleId="ListLabel230">
    <w:name w:val="ListLabel 230"/>
    <w:qFormat/>
    <w:rsid w:val="006C641F"/>
    <w:rPr>
      <w:rFonts w:cs="Courier New"/>
    </w:rPr>
  </w:style>
  <w:style w:type="character" w:customStyle="1" w:styleId="ListLabel231">
    <w:name w:val="ListLabel 231"/>
    <w:qFormat/>
    <w:rsid w:val="006C641F"/>
    <w:rPr>
      <w:rFonts w:cs="Wingdings"/>
    </w:rPr>
  </w:style>
  <w:style w:type="character" w:customStyle="1" w:styleId="ListLabel232">
    <w:name w:val="ListLabel 232"/>
    <w:qFormat/>
    <w:rsid w:val="006C641F"/>
    <w:rPr>
      <w:rFonts w:cs="Symbol"/>
    </w:rPr>
  </w:style>
  <w:style w:type="character" w:customStyle="1" w:styleId="ListLabel233">
    <w:name w:val="ListLabel 233"/>
    <w:qFormat/>
    <w:rsid w:val="006C641F"/>
    <w:rPr>
      <w:rFonts w:cs="Courier New"/>
    </w:rPr>
  </w:style>
  <w:style w:type="character" w:customStyle="1" w:styleId="ListLabel234">
    <w:name w:val="ListLabel 234"/>
    <w:qFormat/>
    <w:rsid w:val="006C641F"/>
    <w:rPr>
      <w:rFonts w:cs="Wingdings"/>
    </w:rPr>
  </w:style>
  <w:style w:type="character" w:customStyle="1" w:styleId="ListLabel235">
    <w:name w:val="ListLabel 235"/>
    <w:qFormat/>
    <w:rsid w:val="006C641F"/>
    <w:rPr>
      <w:rFonts w:cs="Symbol"/>
    </w:rPr>
  </w:style>
  <w:style w:type="character" w:customStyle="1" w:styleId="ListLabel236">
    <w:name w:val="ListLabel 236"/>
    <w:qFormat/>
    <w:rsid w:val="006C641F"/>
    <w:rPr>
      <w:rFonts w:cs="Courier New"/>
    </w:rPr>
  </w:style>
  <w:style w:type="character" w:customStyle="1" w:styleId="ListLabel237">
    <w:name w:val="ListLabel 237"/>
    <w:qFormat/>
    <w:rsid w:val="006C641F"/>
    <w:rPr>
      <w:rFonts w:cs="Wingdings"/>
    </w:rPr>
  </w:style>
  <w:style w:type="character" w:customStyle="1" w:styleId="Correccionesv3">
    <w:name w:val="Correcciones v3"/>
    <w:qFormat/>
    <w:rsid w:val="006C641F"/>
    <w:rPr>
      <w:rFonts w:ascii="Arial" w:eastAsia="Arial" w:hAnsi="Arial" w:cs="Arial"/>
      <w:sz w:val="20"/>
      <w:shd w:val="clear" w:color="auto" w:fill="FFFFFF"/>
    </w:rPr>
  </w:style>
  <w:style w:type="character" w:customStyle="1" w:styleId="Enlacedelndice">
    <w:name w:val="Enlace del índice"/>
    <w:qFormat/>
    <w:rsid w:val="006C641F"/>
  </w:style>
  <w:style w:type="character" w:customStyle="1" w:styleId="Internetlink">
    <w:name w:val="Internet link"/>
    <w:qFormat/>
    <w:rsid w:val="006C641F"/>
    <w:rPr>
      <w:color w:val="000080"/>
      <w:u w:val="single"/>
    </w:rPr>
  </w:style>
  <w:style w:type="character" w:customStyle="1" w:styleId="ListLabel227">
    <w:name w:val="ListLabel 227"/>
    <w:qFormat/>
    <w:rsid w:val="006C641F"/>
    <w:rPr>
      <w:strike w:val="0"/>
      <w:dstrike w:val="0"/>
    </w:rPr>
  </w:style>
  <w:style w:type="character" w:customStyle="1" w:styleId="ListLabel228">
    <w:name w:val="ListLabel 228"/>
    <w:qFormat/>
    <w:rsid w:val="006C641F"/>
    <w:rPr>
      <w:rFonts w:cs="Symbol"/>
    </w:rPr>
  </w:style>
  <w:style w:type="character" w:customStyle="1" w:styleId="ListLabel241">
    <w:name w:val="ListLabel 241"/>
    <w:qFormat/>
    <w:rsid w:val="006C641F"/>
    <w:rPr>
      <w:sz w:val="20"/>
    </w:rPr>
  </w:style>
  <w:style w:type="character" w:customStyle="1" w:styleId="ListLabel242">
    <w:name w:val="ListLabel 242"/>
    <w:qFormat/>
    <w:rsid w:val="006C641F"/>
    <w:rPr>
      <w:rFonts w:cs="OpenSymbol"/>
    </w:rPr>
  </w:style>
  <w:style w:type="character" w:customStyle="1" w:styleId="ListLabel243">
    <w:name w:val="ListLabel 243"/>
    <w:qFormat/>
    <w:rsid w:val="006C641F"/>
    <w:rPr>
      <w:rFonts w:cs="Arial"/>
    </w:rPr>
  </w:style>
  <w:style w:type="character" w:customStyle="1" w:styleId="ListLabel238">
    <w:name w:val="ListLabel 238"/>
    <w:qFormat/>
    <w:rsid w:val="006C641F"/>
    <w:rPr>
      <w:sz w:val="20"/>
    </w:rPr>
  </w:style>
  <w:style w:type="character" w:customStyle="1" w:styleId="ListLabel239">
    <w:name w:val="ListLabel 239"/>
    <w:qFormat/>
    <w:rsid w:val="006C641F"/>
    <w:rPr>
      <w:rFonts w:cs="OpenSymbol"/>
    </w:rPr>
  </w:style>
  <w:style w:type="character" w:customStyle="1" w:styleId="ListLabel240">
    <w:name w:val="ListLabel 240"/>
    <w:qFormat/>
    <w:rsid w:val="006C641F"/>
    <w:rPr>
      <w:rFonts w:cs="Arial"/>
    </w:rPr>
  </w:style>
  <w:style w:type="character" w:customStyle="1" w:styleId="CteAnejo-DefinicionCar">
    <w:name w:val="CteAnejo-Definicion Car"/>
    <w:qFormat/>
    <w:rsid w:val="006C641F"/>
    <w:rPr>
      <w:rFonts w:ascii="Arial" w:eastAsia="Arial" w:hAnsi="Arial" w:cs="Arial"/>
      <w:b/>
      <w:bCs/>
      <w:i/>
      <w:iCs/>
      <w:szCs w:val="24"/>
      <w:lang w:eastAsia="ar-SA" w:bidi="ar-SA"/>
    </w:rPr>
  </w:style>
  <w:style w:type="character" w:customStyle="1" w:styleId="WW8Num5z0">
    <w:name w:val="WW8Num5z0"/>
    <w:qFormat/>
    <w:rsid w:val="006C641F"/>
    <w:rPr>
      <w:rFonts w:ascii="Symbol" w:eastAsia="Symbol" w:hAnsi="Symbol" w:cs="Symbol"/>
    </w:rPr>
  </w:style>
  <w:style w:type="character" w:customStyle="1" w:styleId="WW8Num6z0">
    <w:name w:val="WW8Num6z0"/>
    <w:qFormat/>
    <w:rsid w:val="006C641F"/>
    <w:rPr>
      <w:rFonts w:ascii="Symbol" w:eastAsia="Symbol" w:hAnsi="Symbol" w:cs="Symbol"/>
    </w:rPr>
  </w:style>
  <w:style w:type="character" w:customStyle="1" w:styleId="WW8Num7z0">
    <w:name w:val="WW8Num7z0"/>
    <w:qFormat/>
    <w:rsid w:val="006C641F"/>
    <w:rPr>
      <w:rFonts w:ascii="Symbol" w:eastAsia="Symbol" w:hAnsi="Symbol" w:cs="Symbol"/>
    </w:rPr>
  </w:style>
  <w:style w:type="character" w:customStyle="1" w:styleId="WW8Num8z0">
    <w:name w:val="WW8Num8z0"/>
    <w:qFormat/>
    <w:rsid w:val="006C641F"/>
    <w:rPr>
      <w:rFonts w:ascii="Symbol" w:eastAsia="Symbol" w:hAnsi="Symbol" w:cs="Symbol"/>
    </w:rPr>
  </w:style>
  <w:style w:type="character" w:customStyle="1" w:styleId="WW8Num10z0">
    <w:name w:val="WW8Num10z0"/>
    <w:qFormat/>
    <w:rsid w:val="006C641F"/>
    <w:rPr>
      <w:rFonts w:ascii="Symbol" w:eastAsia="Symbol" w:hAnsi="Symbol" w:cs="Symbol"/>
    </w:rPr>
  </w:style>
  <w:style w:type="character" w:customStyle="1" w:styleId="WW8Num11z5">
    <w:name w:val="WW8Num11z5"/>
    <w:qFormat/>
    <w:rsid w:val="006C641F"/>
    <w:rPr>
      <w:strike w:val="0"/>
      <w:dstrike w:val="0"/>
    </w:rPr>
  </w:style>
  <w:style w:type="character" w:customStyle="1" w:styleId="WW8Num11z8">
    <w:name w:val="WW8Num11z8"/>
    <w:qFormat/>
    <w:rsid w:val="006C641F"/>
    <w:rPr>
      <w:rFonts w:ascii="Symbol" w:eastAsia="Symbol" w:hAnsi="Symbol" w:cs="Symbol"/>
      <w:color w:val="00000A"/>
    </w:rPr>
  </w:style>
  <w:style w:type="character" w:customStyle="1" w:styleId="WW8Num16z0">
    <w:name w:val="WW8Num16z0"/>
    <w:qFormat/>
    <w:rsid w:val="006C641F"/>
    <w:rPr>
      <w:rFonts w:ascii="Symbol" w:eastAsia="Symbol" w:hAnsi="Symbol" w:cs="Symbol"/>
    </w:rPr>
  </w:style>
  <w:style w:type="character" w:customStyle="1" w:styleId="WW8Num17z0">
    <w:name w:val="WW8Num17z0"/>
    <w:qFormat/>
    <w:rsid w:val="006C641F"/>
    <w:rPr>
      <w:rFonts w:ascii="Symbol" w:eastAsia="Symbol" w:hAnsi="Symbol" w:cs="Symbol"/>
    </w:rPr>
  </w:style>
  <w:style w:type="character" w:customStyle="1" w:styleId="WW8Num18z0">
    <w:name w:val="WW8Num18z0"/>
    <w:qFormat/>
    <w:rsid w:val="006C641F"/>
    <w:rPr>
      <w:rFonts w:ascii="Symbol" w:eastAsia="Symbol" w:hAnsi="Symbol" w:cs="Symbol"/>
    </w:rPr>
  </w:style>
  <w:style w:type="character" w:customStyle="1" w:styleId="WW8Num19z0">
    <w:name w:val="WW8Num19z0"/>
    <w:qFormat/>
    <w:rsid w:val="006C641F"/>
    <w:rPr>
      <w:rFonts w:ascii="Symbol" w:eastAsia="Symbol" w:hAnsi="Symbol" w:cs="Symbol"/>
    </w:rPr>
  </w:style>
  <w:style w:type="character" w:customStyle="1" w:styleId="WW8Num21z0">
    <w:name w:val="WW8Num21z0"/>
    <w:qFormat/>
    <w:rsid w:val="006C641F"/>
    <w:rPr>
      <w:rFonts w:ascii="Symbol" w:eastAsia="Symbol" w:hAnsi="Symbol" w:cs="Symbol"/>
    </w:rPr>
  </w:style>
  <w:style w:type="character" w:customStyle="1" w:styleId="WW8Num22z5">
    <w:name w:val="WW8Num22z5"/>
    <w:qFormat/>
    <w:rsid w:val="006C641F"/>
    <w:rPr>
      <w:strike w:val="0"/>
      <w:dstrike w:val="0"/>
    </w:rPr>
  </w:style>
  <w:style w:type="character" w:customStyle="1" w:styleId="WW8Num22z8">
    <w:name w:val="WW8Num22z8"/>
    <w:qFormat/>
    <w:rsid w:val="006C641F"/>
    <w:rPr>
      <w:rFonts w:ascii="Symbol" w:eastAsia="Symbol" w:hAnsi="Symbol" w:cs="Symbol"/>
      <w:color w:val="00000A"/>
    </w:rPr>
  </w:style>
  <w:style w:type="character" w:customStyle="1" w:styleId="Fuentedeprrafopredeter8">
    <w:name w:val="Fuente de párrafo predeter.8"/>
    <w:qFormat/>
    <w:rsid w:val="006C641F"/>
  </w:style>
  <w:style w:type="character" w:customStyle="1" w:styleId="Fuentedeprrafopredeter7">
    <w:name w:val="Fuente de párrafo predeter.7"/>
    <w:qFormat/>
    <w:rsid w:val="006C641F"/>
  </w:style>
  <w:style w:type="character" w:customStyle="1" w:styleId="Ttulo2Car">
    <w:name w:val="Título 2 Car"/>
    <w:qFormat/>
    <w:rsid w:val="006C641F"/>
    <w:rPr>
      <w:rFonts w:ascii="Arial" w:eastAsia="Arial" w:hAnsi="Arial" w:cs="Arial"/>
      <w:b/>
      <w:bCs/>
      <w:szCs w:val="24"/>
      <w:lang w:eastAsia="ar-SA" w:bidi="ar-SA"/>
    </w:rPr>
  </w:style>
  <w:style w:type="character" w:customStyle="1" w:styleId="Smbolodenotaalpie">
    <w:name w:val="Símbolo de nota al pie"/>
    <w:qFormat/>
    <w:rsid w:val="006C641F"/>
    <w:rPr>
      <w:vertAlign w:val="superscript"/>
    </w:rPr>
  </w:style>
  <w:style w:type="character" w:customStyle="1" w:styleId="CTENormalCar">
    <w:name w:val="CTE_Normal Car"/>
    <w:qFormat/>
    <w:rsid w:val="006C641F"/>
    <w:rPr>
      <w:rFonts w:ascii="Arial" w:eastAsia="Arial" w:hAnsi="Arial" w:cs="Arial"/>
      <w:szCs w:val="24"/>
      <w:lang w:eastAsia="ar-SA" w:bidi="ar-SA"/>
    </w:rPr>
  </w:style>
  <w:style w:type="character" w:customStyle="1" w:styleId="CTEComentarioCarCar">
    <w:name w:val="CTE_Comentario Car Car"/>
    <w:qFormat/>
    <w:rsid w:val="006C641F"/>
    <w:rPr>
      <w:rFonts w:ascii="Arial" w:eastAsia="Arial" w:hAnsi="Arial" w:cs="Arial"/>
      <w:sz w:val="16"/>
      <w:szCs w:val="16"/>
      <w:lang w:eastAsia="ar-SA" w:bidi="ar-SA"/>
    </w:rPr>
  </w:style>
  <w:style w:type="character" w:customStyle="1" w:styleId="CTEComentarioTitulo">
    <w:name w:val="CTE_ComentarioTitulo"/>
    <w:qFormat/>
    <w:rsid w:val="006C641F"/>
    <w:rPr>
      <w:b/>
    </w:rPr>
  </w:style>
  <w:style w:type="character" w:customStyle="1" w:styleId="CTEComentarioNuevoCarCar">
    <w:name w:val="CTE_ComentarioNuevo Car Car"/>
    <w:qFormat/>
    <w:rsid w:val="006C641F"/>
  </w:style>
  <w:style w:type="character" w:customStyle="1" w:styleId="CTEModAadnoaprob">
    <w:name w:val="CTE_Mod_Añad_noaprob"/>
    <w:qFormat/>
    <w:rsid w:val="006C641F"/>
    <w:rPr>
      <w:shd w:val="clear" w:color="auto" w:fill="FF0000"/>
    </w:rPr>
  </w:style>
  <w:style w:type="character" w:customStyle="1" w:styleId="CTECOcultoCar">
    <w:name w:val="CTE_C_Oculto Car"/>
    <w:qFormat/>
    <w:rsid w:val="006C641F"/>
    <w:rPr>
      <w:rFonts w:ascii="Arial" w:eastAsia="Arial" w:hAnsi="Arial" w:cs="Arial"/>
      <w:vanish/>
      <w:color w:val="0000FF"/>
      <w:sz w:val="16"/>
      <w:szCs w:val="16"/>
      <w:lang w:eastAsia="ar-SA" w:bidi="ar-SA"/>
    </w:rPr>
  </w:style>
  <w:style w:type="character" w:customStyle="1" w:styleId="CTEModTachnoaprob">
    <w:name w:val="CTE_Mod_Tach_noaprob"/>
    <w:qFormat/>
    <w:rsid w:val="006C641F"/>
    <w:rPr>
      <w:rFonts w:ascii="Arial" w:eastAsia="Arial" w:hAnsi="Arial" w:cs="Arial"/>
      <w:szCs w:val="24"/>
      <w:shd w:val="clear" w:color="auto" w:fill="FF0000"/>
      <w:lang w:eastAsia="ar-SA" w:bidi="ar-SA"/>
    </w:rPr>
  </w:style>
  <w:style w:type="character" w:customStyle="1" w:styleId="CTEtabla-TituloCarCar">
    <w:name w:val="CTE_tabla-Titulo Car Car"/>
    <w:qFormat/>
    <w:rsid w:val="006C641F"/>
    <w:rPr>
      <w:rFonts w:ascii="Arial" w:eastAsia="Arial" w:hAnsi="Arial" w:cs="Arial"/>
      <w:b/>
      <w:sz w:val="18"/>
      <w:szCs w:val="24"/>
      <w:lang w:eastAsia="ar-SA" w:bidi="ar-SA"/>
    </w:rPr>
  </w:style>
  <w:style w:type="character" w:customStyle="1" w:styleId="Refdecomentario4">
    <w:name w:val="Ref. de comentario4"/>
    <w:qFormat/>
    <w:rsid w:val="006C641F"/>
    <w:rPr>
      <w:sz w:val="16"/>
    </w:rPr>
  </w:style>
  <w:style w:type="character" w:customStyle="1" w:styleId="ModAadaprob">
    <w:name w:val="Mod_Añad_aprob"/>
    <w:qFormat/>
    <w:rsid w:val="006C641F"/>
    <w:rPr>
      <w:shd w:val="clear" w:color="auto" w:fill="FFFF00"/>
    </w:rPr>
  </w:style>
  <w:style w:type="character" w:customStyle="1" w:styleId="ModAadnoaprob">
    <w:name w:val="Mod_Añad_noaprob"/>
    <w:qFormat/>
    <w:rsid w:val="006C641F"/>
    <w:rPr>
      <w:shd w:val="clear" w:color="auto" w:fill="FF0000"/>
    </w:rPr>
  </w:style>
  <w:style w:type="character" w:customStyle="1" w:styleId="ModTachaprob">
    <w:name w:val="Mod_Tach_aprob"/>
    <w:qFormat/>
    <w:rsid w:val="006C641F"/>
    <w:rPr>
      <w:shd w:val="clear" w:color="auto" w:fill="FFFF00"/>
    </w:rPr>
  </w:style>
  <w:style w:type="character" w:customStyle="1" w:styleId="ModTachnoaprob">
    <w:name w:val="Mod_Tach_noaprob"/>
    <w:qFormat/>
    <w:rsid w:val="006C641F"/>
    <w:rPr>
      <w:rFonts w:ascii="Arial" w:eastAsia="Arial" w:hAnsi="Arial" w:cs="Arial"/>
      <w:shd w:val="clear" w:color="auto" w:fill="FF0000"/>
    </w:rPr>
  </w:style>
  <w:style w:type="character" w:customStyle="1" w:styleId="tabla-TituloCTECarCar">
    <w:name w:val="tabla-TituloCTE Car Car"/>
    <w:qFormat/>
    <w:rsid w:val="006C641F"/>
    <w:rPr>
      <w:rFonts w:ascii="Arial" w:eastAsia="Arial" w:hAnsi="Arial" w:cs="Arial"/>
      <w:b/>
      <w:sz w:val="18"/>
      <w:szCs w:val="24"/>
    </w:rPr>
  </w:style>
  <w:style w:type="character" w:customStyle="1" w:styleId="EstiloCursiva">
    <w:name w:val="Estilo Cursiva"/>
    <w:qFormat/>
    <w:rsid w:val="006C641F"/>
    <w:rPr>
      <w:rFonts w:ascii="Arial" w:eastAsia="Arial" w:hAnsi="Arial" w:cs="Arial"/>
      <w:i/>
      <w:iCs/>
      <w:sz w:val="20"/>
    </w:rPr>
  </w:style>
  <w:style w:type="character" w:customStyle="1" w:styleId="Fuentedeprrafopredeter6">
    <w:name w:val="Fuente de párrafo predeter.6"/>
    <w:qFormat/>
    <w:rsid w:val="006C641F"/>
  </w:style>
  <w:style w:type="character" w:customStyle="1" w:styleId="Fuentedeprrafopredeter5">
    <w:name w:val="Fuente de párrafo predeter.5"/>
    <w:qFormat/>
    <w:rsid w:val="006C641F"/>
  </w:style>
  <w:style w:type="character" w:customStyle="1" w:styleId="Fuentedeprrafopredeter4">
    <w:name w:val="Fuente de párrafo predeter.4"/>
    <w:qFormat/>
    <w:rsid w:val="006C641F"/>
  </w:style>
  <w:style w:type="character" w:customStyle="1" w:styleId="Fuentedeprrafopredeter3">
    <w:name w:val="Fuente de párrafo predeter.3"/>
    <w:qFormat/>
    <w:rsid w:val="006C641F"/>
  </w:style>
  <w:style w:type="character" w:customStyle="1" w:styleId="Fuentedeprrafopredeter2">
    <w:name w:val="Fuente de párrafo predeter.2"/>
    <w:qFormat/>
    <w:rsid w:val="006C641F"/>
  </w:style>
  <w:style w:type="character" w:customStyle="1" w:styleId="Fuentedeprrafopredeter1">
    <w:name w:val="Fuente de párrafo predeter.1"/>
    <w:qFormat/>
    <w:rsid w:val="006C641F"/>
  </w:style>
  <w:style w:type="character" w:customStyle="1" w:styleId="Refdecomentario2">
    <w:name w:val="Ref. de comentario2"/>
    <w:qFormat/>
    <w:rsid w:val="006C641F"/>
    <w:rPr>
      <w:sz w:val="16"/>
      <w:szCs w:val="16"/>
    </w:rPr>
  </w:style>
  <w:style w:type="character" w:customStyle="1" w:styleId="Smbolosdenumeracin">
    <w:name w:val="Símbolos de numeración"/>
    <w:qFormat/>
    <w:rsid w:val="006C641F"/>
  </w:style>
  <w:style w:type="character" w:customStyle="1" w:styleId="Refdecomentario1">
    <w:name w:val="Ref. de comentario1"/>
    <w:qFormat/>
    <w:rsid w:val="006C641F"/>
    <w:rPr>
      <w:sz w:val="16"/>
      <w:szCs w:val="16"/>
    </w:rPr>
  </w:style>
  <w:style w:type="character" w:customStyle="1" w:styleId="Refdecomentario3">
    <w:name w:val="Ref. de comentario3"/>
    <w:qFormat/>
    <w:rsid w:val="006C641F"/>
    <w:rPr>
      <w:sz w:val="16"/>
      <w:szCs w:val="16"/>
    </w:rPr>
  </w:style>
  <w:style w:type="character" w:customStyle="1" w:styleId="CteTtulo1Car">
    <w:name w:val="CteTítulo1 Car"/>
    <w:qFormat/>
    <w:rsid w:val="006C641F"/>
    <w:rPr>
      <w:rFonts w:ascii="Arial" w:eastAsia="Arial" w:hAnsi="Arial" w:cs="Arial"/>
      <w:b/>
      <w:bCs/>
      <w:sz w:val="28"/>
      <w:szCs w:val="28"/>
      <w:lang w:eastAsia="ar-SA" w:bidi="ar-SA"/>
    </w:rPr>
  </w:style>
  <w:style w:type="character" w:customStyle="1" w:styleId="SangradetextonormalCar">
    <w:name w:val="Sangría de texto normal Car"/>
    <w:qFormat/>
    <w:rsid w:val="006C641F"/>
    <w:rPr>
      <w:rFonts w:ascii="Arial" w:eastAsia="Arial" w:hAnsi="Arial" w:cs="Arial"/>
      <w:szCs w:val="24"/>
    </w:rPr>
  </w:style>
  <w:style w:type="character" w:customStyle="1" w:styleId="Refdecomentario5">
    <w:name w:val="Ref. de comentario5"/>
    <w:qFormat/>
    <w:rsid w:val="006C641F"/>
    <w:rPr>
      <w:sz w:val="16"/>
      <w:szCs w:val="16"/>
    </w:rPr>
  </w:style>
  <w:style w:type="character" w:customStyle="1" w:styleId="CTENumeracionIzquierda063cmSangrafrancesa068Car">
    <w:name w:val="CTE_Numeracion + Izquierda:  063 cm Sangría francesa:  068... Car"/>
    <w:qFormat/>
    <w:rsid w:val="006C641F"/>
    <w:rPr>
      <w:rFonts w:ascii="Arial" w:eastAsia="Arial" w:hAnsi="Arial" w:cs="Arial"/>
    </w:rPr>
  </w:style>
  <w:style w:type="character" w:customStyle="1" w:styleId="Carcterdenumeracin">
    <w:name w:val="Carácter de numeración"/>
    <w:qFormat/>
    <w:rsid w:val="006C641F"/>
  </w:style>
  <w:style w:type="character" w:customStyle="1" w:styleId="TextocomentarioCar1">
    <w:name w:val="Texto comentario Car1"/>
    <w:qFormat/>
    <w:rsid w:val="006C641F"/>
    <w:rPr>
      <w:rFonts w:ascii="Arial" w:eastAsia="Arial" w:hAnsi="Arial" w:cs="Arial"/>
      <w:lang w:eastAsia="ar-SA"/>
    </w:rPr>
  </w:style>
  <w:style w:type="character" w:customStyle="1" w:styleId="TextoindependienteCar1">
    <w:name w:val="Texto independiente Car1"/>
    <w:qFormat/>
    <w:rsid w:val="006C641F"/>
    <w:rPr>
      <w:rFonts w:ascii="Arial" w:eastAsia="Arial" w:hAnsi="Arial" w:cs="Arial"/>
      <w:szCs w:val="24"/>
      <w:lang w:eastAsia="ar-SA"/>
    </w:rPr>
  </w:style>
  <w:style w:type="character" w:customStyle="1" w:styleId="SangradetextonormalCar1">
    <w:name w:val="Sangría de texto normal Car1"/>
    <w:qFormat/>
    <w:rsid w:val="006C641F"/>
    <w:rPr>
      <w:rFonts w:ascii="Arial" w:eastAsia="Arial" w:hAnsi="Arial" w:cs="Arial"/>
      <w:szCs w:val="24"/>
      <w:lang w:eastAsia="ar-SA"/>
    </w:rPr>
  </w:style>
  <w:style w:type="character" w:customStyle="1" w:styleId="WW8Num12z0">
    <w:name w:val="WW8Num12z0"/>
    <w:qFormat/>
    <w:rsid w:val="006C641F"/>
    <w:rPr>
      <w:rFonts w:cs="Times New Roman"/>
      <w:sz w:val="20"/>
    </w:rPr>
  </w:style>
  <w:style w:type="character" w:customStyle="1" w:styleId="WW8Num12z1">
    <w:name w:val="WW8Num12z1"/>
    <w:qFormat/>
    <w:rsid w:val="006C641F"/>
    <w:rPr>
      <w:rFonts w:cs="Times New Roman"/>
    </w:rPr>
  </w:style>
  <w:style w:type="character" w:customStyle="1" w:styleId="WW8Num13z0">
    <w:name w:val="WW8Num13z0"/>
    <w:qFormat/>
    <w:rsid w:val="006C641F"/>
    <w:rPr>
      <w:rFonts w:cs="Times New Roman"/>
    </w:rPr>
  </w:style>
  <w:style w:type="character" w:customStyle="1" w:styleId="WW8Num14z0">
    <w:name w:val="WW8Num14z0"/>
    <w:qFormat/>
    <w:rsid w:val="006C641F"/>
    <w:rPr>
      <w:rFonts w:ascii="Symbol" w:eastAsia="Times New Roman" w:hAnsi="Symbol" w:cs="Times New Roman"/>
    </w:rPr>
  </w:style>
  <w:style w:type="character" w:customStyle="1" w:styleId="WW8Num14z1">
    <w:name w:val="WW8Num14z1"/>
    <w:qFormat/>
    <w:rsid w:val="006C641F"/>
    <w:rPr>
      <w:rFonts w:ascii="Courier New" w:eastAsia="Courier New" w:hAnsi="Courier New" w:cs="Courier New"/>
    </w:rPr>
  </w:style>
  <w:style w:type="character" w:customStyle="1" w:styleId="WW8Num14z2">
    <w:name w:val="WW8Num14z2"/>
    <w:qFormat/>
    <w:rsid w:val="006C641F"/>
    <w:rPr>
      <w:rFonts w:ascii="Wingdings" w:eastAsia="Wingdings" w:hAnsi="Wingdings" w:cs="Wingdings"/>
    </w:rPr>
  </w:style>
  <w:style w:type="character" w:customStyle="1" w:styleId="WW8Num14z3">
    <w:name w:val="WW8Num14z3"/>
    <w:qFormat/>
    <w:rsid w:val="006C641F"/>
    <w:rPr>
      <w:rFonts w:ascii="Symbol" w:eastAsia="Symbol" w:hAnsi="Symbol" w:cs="Symbol"/>
    </w:rPr>
  </w:style>
  <w:style w:type="character" w:customStyle="1" w:styleId="WW8Num15z0">
    <w:name w:val="WW8Num15z0"/>
    <w:qFormat/>
    <w:rsid w:val="006C641F"/>
    <w:rPr>
      <w:rFonts w:ascii="Arial" w:eastAsia="Times New Roman" w:hAnsi="Arial" w:cs="Arial"/>
    </w:rPr>
  </w:style>
  <w:style w:type="character" w:customStyle="1" w:styleId="WW8Num15z1">
    <w:name w:val="WW8Num15z1"/>
    <w:qFormat/>
    <w:rsid w:val="006C641F"/>
    <w:rPr>
      <w:rFonts w:ascii="Courier New" w:eastAsia="Courier New" w:hAnsi="Courier New" w:cs="Courier New"/>
    </w:rPr>
  </w:style>
  <w:style w:type="character" w:customStyle="1" w:styleId="WW8Num15z2">
    <w:name w:val="WW8Num15z2"/>
    <w:qFormat/>
    <w:rsid w:val="006C641F"/>
    <w:rPr>
      <w:rFonts w:ascii="Wingdings" w:eastAsia="Wingdings" w:hAnsi="Wingdings" w:cs="Wingdings"/>
    </w:rPr>
  </w:style>
  <w:style w:type="character" w:customStyle="1" w:styleId="WW8Num15z3">
    <w:name w:val="WW8Num15z3"/>
    <w:qFormat/>
    <w:rsid w:val="006C641F"/>
    <w:rPr>
      <w:rFonts w:ascii="Symbol" w:eastAsia="Symbol" w:hAnsi="Symbol" w:cs="Symbol"/>
    </w:rPr>
  </w:style>
  <w:style w:type="character" w:customStyle="1" w:styleId="WW8Num17z1">
    <w:name w:val="WW8Num17z1"/>
    <w:qFormat/>
    <w:rsid w:val="006C641F"/>
    <w:rPr>
      <w:rFonts w:ascii="Courier New" w:eastAsia="Courier New" w:hAnsi="Courier New" w:cs="Courier New"/>
    </w:rPr>
  </w:style>
  <w:style w:type="character" w:customStyle="1" w:styleId="WW8Num17z2">
    <w:name w:val="WW8Num17z2"/>
    <w:qFormat/>
    <w:rsid w:val="006C641F"/>
    <w:rPr>
      <w:rFonts w:ascii="Wingdings" w:eastAsia="Wingdings" w:hAnsi="Wingdings" w:cs="Wingdings"/>
    </w:rPr>
  </w:style>
  <w:style w:type="character" w:customStyle="1" w:styleId="WW8Num17z3">
    <w:name w:val="WW8Num17z3"/>
    <w:qFormat/>
    <w:rsid w:val="006C641F"/>
    <w:rPr>
      <w:rFonts w:ascii="Symbol" w:eastAsia="Symbol" w:hAnsi="Symbol" w:cs="Symbol"/>
    </w:rPr>
  </w:style>
  <w:style w:type="character" w:customStyle="1" w:styleId="Textodelmarcadordeposicin1">
    <w:name w:val="Texto del marcador de posición1"/>
    <w:qFormat/>
    <w:rsid w:val="006C641F"/>
    <w:rPr>
      <w:rFonts w:cs="Times New Roman"/>
      <w:color w:val="808080"/>
    </w:rPr>
  </w:style>
  <w:style w:type="character" w:customStyle="1" w:styleId="CTENumeracion1linea0Car">
    <w:name w:val="CTE_Numeracion + 1ª linea 0 Car"/>
    <w:qFormat/>
    <w:rsid w:val="006C641F"/>
    <w:rPr>
      <w:rFonts w:ascii="Arial" w:eastAsia="Arial" w:hAnsi="Arial" w:cs="Arial"/>
      <w:szCs w:val="24"/>
      <w:lang w:eastAsia="ar-SA" w:bidi="ar-SA"/>
    </w:rPr>
  </w:style>
  <w:style w:type="character" w:customStyle="1" w:styleId="CTENumeracionCar">
    <w:name w:val="CTE_Numeracion Car"/>
    <w:qFormat/>
    <w:rsid w:val="006C641F"/>
    <w:rPr>
      <w:rFonts w:ascii="Arial" w:eastAsia="Times New Roman" w:hAnsi="Arial" w:cs="Arial"/>
      <w:szCs w:val="24"/>
    </w:rPr>
  </w:style>
  <w:style w:type="character" w:customStyle="1" w:styleId="TextosinformatoCar">
    <w:name w:val="Texto sin formato Car"/>
    <w:uiPriority w:val="99"/>
    <w:qFormat/>
    <w:rsid w:val="006C641F"/>
    <w:rPr>
      <w:rFonts w:ascii="Consolas" w:eastAsia="Consolas" w:hAnsi="Consolas" w:cs="Consolas"/>
    </w:rPr>
  </w:style>
  <w:style w:type="character" w:customStyle="1" w:styleId="TextosinformatoCar1">
    <w:name w:val="Texto sin formato Car1"/>
    <w:qFormat/>
    <w:rsid w:val="006C641F"/>
    <w:rPr>
      <w:rFonts w:ascii="Courier New" w:eastAsia="Courier New" w:hAnsi="Courier New" w:cs="Courier New"/>
      <w:lang w:eastAsia="ar-SA"/>
    </w:rPr>
  </w:style>
  <w:style w:type="character" w:customStyle="1" w:styleId="ListLabel1">
    <w:name w:val="ListLabel 1"/>
    <w:qFormat/>
    <w:rsid w:val="006C641F"/>
    <w:rPr>
      <w:strike w:val="0"/>
      <w:dstrike w:val="0"/>
    </w:rPr>
  </w:style>
  <w:style w:type="character" w:customStyle="1" w:styleId="ListLabel2">
    <w:name w:val="ListLabel 2"/>
    <w:qFormat/>
    <w:rsid w:val="006C641F"/>
    <w:rPr>
      <w:strike w:val="0"/>
      <w:dstrike w:val="0"/>
    </w:rPr>
  </w:style>
  <w:style w:type="character" w:customStyle="1" w:styleId="ListLabel3">
    <w:name w:val="ListLabel 3"/>
    <w:qFormat/>
    <w:rsid w:val="006C641F"/>
    <w:rPr>
      <w:strike w:val="0"/>
      <w:dstrike w:val="0"/>
    </w:rPr>
  </w:style>
  <w:style w:type="character" w:customStyle="1" w:styleId="ListLabel4">
    <w:name w:val="ListLabel 4"/>
    <w:qFormat/>
    <w:rsid w:val="006C641F"/>
    <w:rPr>
      <w:strike w:val="0"/>
      <w:dstrike w:val="0"/>
    </w:rPr>
  </w:style>
  <w:style w:type="character" w:customStyle="1" w:styleId="ListLabel5">
    <w:name w:val="ListLabel 5"/>
    <w:qFormat/>
    <w:rsid w:val="006C641F"/>
    <w:rPr>
      <w:strike w:val="0"/>
      <w:dstrike w:val="0"/>
    </w:rPr>
  </w:style>
  <w:style w:type="character" w:customStyle="1" w:styleId="ListLabel6">
    <w:name w:val="ListLabel 6"/>
    <w:qFormat/>
    <w:rsid w:val="006C641F"/>
    <w:rPr>
      <w:rFonts w:cs="Courier New"/>
    </w:rPr>
  </w:style>
  <w:style w:type="character" w:customStyle="1" w:styleId="ListLabel7">
    <w:name w:val="ListLabel 7"/>
    <w:qFormat/>
    <w:rsid w:val="006C641F"/>
    <w:rPr>
      <w:rFonts w:cs="Courier New"/>
    </w:rPr>
  </w:style>
  <w:style w:type="character" w:customStyle="1" w:styleId="ListLabel8">
    <w:name w:val="ListLabel 8"/>
    <w:qFormat/>
    <w:rsid w:val="006C641F"/>
    <w:rPr>
      <w:rFonts w:cs="Courier New"/>
    </w:rPr>
  </w:style>
  <w:style w:type="character" w:customStyle="1" w:styleId="ListLabel9">
    <w:name w:val="ListLabel 9"/>
    <w:qFormat/>
    <w:rsid w:val="006C641F"/>
    <w:rPr>
      <w:sz w:val="20"/>
    </w:rPr>
  </w:style>
  <w:style w:type="character" w:customStyle="1" w:styleId="ListLabel10">
    <w:name w:val="ListLabel 10"/>
    <w:qFormat/>
    <w:rsid w:val="006C641F"/>
    <w:rPr>
      <w:rFonts w:cs="Arial"/>
    </w:rPr>
  </w:style>
  <w:style w:type="character" w:customStyle="1" w:styleId="ListLabel11">
    <w:name w:val="ListLabel 11"/>
    <w:qFormat/>
    <w:rsid w:val="006C641F"/>
    <w:rPr>
      <w:sz w:val="20"/>
    </w:rPr>
  </w:style>
  <w:style w:type="character" w:customStyle="1" w:styleId="ListLabel12">
    <w:name w:val="ListLabel 12"/>
    <w:qFormat/>
    <w:rsid w:val="006C641F"/>
    <w:rPr>
      <w:rFonts w:cs="Arial"/>
    </w:rPr>
  </w:style>
  <w:style w:type="character" w:customStyle="1" w:styleId="ListLabel13">
    <w:name w:val="ListLabel 13"/>
    <w:qFormat/>
    <w:rsid w:val="006C641F"/>
    <w:rPr>
      <w:color w:val="1F497D"/>
    </w:rPr>
  </w:style>
  <w:style w:type="character" w:customStyle="1" w:styleId="ListLabel14">
    <w:name w:val="ListLabel 14"/>
    <w:qFormat/>
    <w:rsid w:val="006C641F"/>
    <w:rPr>
      <w:rFonts w:eastAsia="Times New Roman" w:cs="Arial"/>
    </w:rPr>
  </w:style>
  <w:style w:type="character" w:customStyle="1" w:styleId="ListLabel15">
    <w:name w:val="ListLabel 15"/>
    <w:qFormat/>
    <w:rsid w:val="006C641F"/>
    <w:rPr>
      <w:rFonts w:cs="Courier New"/>
    </w:rPr>
  </w:style>
  <w:style w:type="character" w:customStyle="1" w:styleId="ListLabel16">
    <w:name w:val="ListLabel 16"/>
    <w:qFormat/>
    <w:rsid w:val="006C641F"/>
    <w:rPr>
      <w:rFonts w:cs="Courier New"/>
    </w:rPr>
  </w:style>
  <w:style w:type="character" w:customStyle="1" w:styleId="ListLabel17">
    <w:name w:val="ListLabel 17"/>
    <w:qFormat/>
    <w:rsid w:val="006C641F"/>
    <w:rPr>
      <w:rFonts w:cs="Courier New"/>
    </w:rPr>
  </w:style>
  <w:style w:type="character" w:customStyle="1" w:styleId="ListLabel18">
    <w:name w:val="ListLabel 18"/>
    <w:qFormat/>
    <w:rsid w:val="006C641F"/>
    <w:rPr>
      <w:rFonts w:eastAsia="Times New Roman" w:cs="Arial"/>
    </w:rPr>
  </w:style>
  <w:style w:type="character" w:customStyle="1" w:styleId="ListLabel19">
    <w:name w:val="ListLabel 19"/>
    <w:qFormat/>
    <w:rsid w:val="006C641F"/>
    <w:rPr>
      <w:rFonts w:cs="Courier New"/>
    </w:rPr>
  </w:style>
  <w:style w:type="character" w:customStyle="1" w:styleId="ListLabel20">
    <w:name w:val="ListLabel 20"/>
    <w:qFormat/>
    <w:rsid w:val="006C641F"/>
    <w:rPr>
      <w:rFonts w:cs="Courier New"/>
    </w:rPr>
  </w:style>
  <w:style w:type="character" w:customStyle="1" w:styleId="ListLabel21">
    <w:name w:val="ListLabel 21"/>
    <w:qFormat/>
    <w:rsid w:val="006C641F"/>
    <w:rPr>
      <w:rFonts w:cs="Courier New"/>
    </w:rPr>
  </w:style>
  <w:style w:type="character" w:customStyle="1" w:styleId="ListLabel22">
    <w:name w:val="ListLabel 22"/>
    <w:qFormat/>
    <w:rsid w:val="006C641F"/>
    <w:rPr>
      <w:strike w:val="0"/>
      <w:dstrike w:val="0"/>
    </w:rPr>
  </w:style>
  <w:style w:type="character" w:customStyle="1" w:styleId="ListLabel23">
    <w:name w:val="ListLabel 23"/>
    <w:qFormat/>
    <w:rsid w:val="006C641F"/>
    <w:rPr>
      <w:rFonts w:cs="Symbol"/>
    </w:rPr>
  </w:style>
  <w:style w:type="character" w:customStyle="1" w:styleId="ListLabel24">
    <w:name w:val="ListLabel 24"/>
    <w:qFormat/>
    <w:rsid w:val="006C641F"/>
    <w:rPr>
      <w:rFonts w:cs="Courier New"/>
    </w:rPr>
  </w:style>
  <w:style w:type="character" w:customStyle="1" w:styleId="ListLabel25">
    <w:name w:val="ListLabel 25"/>
    <w:qFormat/>
    <w:rsid w:val="006C641F"/>
    <w:rPr>
      <w:rFonts w:cs="Wingdings"/>
    </w:rPr>
  </w:style>
  <w:style w:type="character" w:customStyle="1" w:styleId="ListLabel26">
    <w:name w:val="ListLabel 26"/>
    <w:qFormat/>
    <w:rsid w:val="006C641F"/>
    <w:rPr>
      <w:sz w:val="20"/>
    </w:rPr>
  </w:style>
  <w:style w:type="character" w:customStyle="1" w:styleId="ListLabel27">
    <w:name w:val="ListLabel 27"/>
    <w:qFormat/>
    <w:rsid w:val="006C641F"/>
    <w:rPr>
      <w:rFonts w:cs="OpenSymbol"/>
    </w:rPr>
  </w:style>
  <w:style w:type="character" w:customStyle="1" w:styleId="ListLabel28">
    <w:name w:val="ListLabel 28"/>
    <w:qFormat/>
    <w:rsid w:val="006C641F"/>
    <w:rPr>
      <w:rFonts w:cs="Arial"/>
    </w:rPr>
  </w:style>
  <w:style w:type="character" w:customStyle="1" w:styleId="InternetLink0">
    <w:name w:val="Internet Link"/>
    <w:qFormat/>
    <w:rsid w:val="006C641F"/>
    <w:rPr>
      <w:color w:val="000080"/>
      <w:u w:val="single"/>
    </w:rPr>
  </w:style>
  <w:style w:type="character" w:customStyle="1" w:styleId="ListLabel29">
    <w:name w:val="ListLabel 29"/>
    <w:qFormat/>
    <w:rsid w:val="006C641F"/>
    <w:rPr>
      <w:strike w:val="0"/>
      <w:dstrike w:val="0"/>
    </w:rPr>
  </w:style>
  <w:style w:type="character" w:customStyle="1" w:styleId="ListLabel30">
    <w:name w:val="ListLabel 30"/>
    <w:qFormat/>
    <w:rsid w:val="006C641F"/>
    <w:rPr>
      <w:rFonts w:cs="Symbol"/>
    </w:rPr>
  </w:style>
  <w:style w:type="character" w:customStyle="1" w:styleId="ListLabel31">
    <w:name w:val="ListLabel 31"/>
    <w:qFormat/>
    <w:rsid w:val="006C641F"/>
    <w:rPr>
      <w:rFonts w:cs="Symbol"/>
    </w:rPr>
  </w:style>
  <w:style w:type="character" w:customStyle="1" w:styleId="ListLabel32">
    <w:name w:val="ListLabel 32"/>
    <w:qFormat/>
    <w:rsid w:val="006C641F"/>
    <w:rPr>
      <w:rFonts w:cs="Courier New"/>
    </w:rPr>
  </w:style>
  <w:style w:type="character" w:customStyle="1" w:styleId="ListLabel33">
    <w:name w:val="ListLabel 33"/>
    <w:qFormat/>
    <w:rsid w:val="006C641F"/>
    <w:rPr>
      <w:rFonts w:cs="Wingdings"/>
    </w:rPr>
  </w:style>
  <w:style w:type="character" w:customStyle="1" w:styleId="ListLabel34">
    <w:name w:val="ListLabel 34"/>
    <w:qFormat/>
    <w:rsid w:val="006C641F"/>
    <w:rPr>
      <w:rFonts w:cs="Symbol"/>
    </w:rPr>
  </w:style>
  <w:style w:type="character" w:customStyle="1" w:styleId="ListLabel35">
    <w:name w:val="ListLabel 35"/>
    <w:qFormat/>
    <w:rsid w:val="006C641F"/>
    <w:rPr>
      <w:rFonts w:cs="Courier New"/>
    </w:rPr>
  </w:style>
  <w:style w:type="character" w:customStyle="1" w:styleId="ListLabel36">
    <w:name w:val="ListLabel 36"/>
    <w:qFormat/>
    <w:rsid w:val="006C641F"/>
    <w:rPr>
      <w:rFonts w:cs="Wingdings"/>
    </w:rPr>
  </w:style>
  <w:style w:type="character" w:customStyle="1" w:styleId="ListLabel37">
    <w:name w:val="ListLabel 37"/>
    <w:qFormat/>
    <w:rsid w:val="006C641F"/>
    <w:rPr>
      <w:rFonts w:cs="Symbol"/>
    </w:rPr>
  </w:style>
  <w:style w:type="character" w:customStyle="1" w:styleId="ListLabel38">
    <w:name w:val="ListLabel 38"/>
    <w:qFormat/>
    <w:rsid w:val="006C641F"/>
    <w:rPr>
      <w:rFonts w:cs="Courier New"/>
    </w:rPr>
  </w:style>
  <w:style w:type="character" w:customStyle="1" w:styleId="ListLabel39">
    <w:name w:val="ListLabel 39"/>
    <w:qFormat/>
    <w:rsid w:val="006C641F"/>
    <w:rPr>
      <w:rFonts w:cs="Wingdings"/>
    </w:rPr>
  </w:style>
  <w:style w:type="character" w:customStyle="1" w:styleId="ListLabel40">
    <w:name w:val="ListLabel 40"/>
    <w:qFormat/>
    <w:rsid w:val="006C641F"/>
    <w:rPr>
      <w:sz w:val="20"/>
    </w:rPr>
  </w:style>
  <w:style w:type="character" w:customStyle="1" w:styleId="ListLabel41">
    <w:name w:val="ListLabel 41"/>
    <w:qFormat/>
    <w:rsid w:val="006C641F"/>
    <w:rPr>
      <w:rFonts w:cs="OpenSymbol"/>
    </w:rPr>
  </w:style>
  <w:style w:type="character" w:customStyle="1" w:styleId="ListLabel42">
    <w:name w:val="ListLabel 42"/>
    <w:qFormat/>
    <w:rsid w:val="006C641F"/>
    <w:rPr>
      <w:rFonts w:cs="Arial"/>
    </w:rPr>
  </w:style>
  <w:style w:type="character" w:customStyle="1" w:styleId="ListLabel43">
    <w:name w:val="ListLabel 43"/>
    <w:qFormat/>
    <w:rsid w:val="006C641F"/>
    <w:rPr>
      <w:sz w:val="20"/>
    </w:rPr>
  </w:style>
  <w:style w:type="character" w:customStyle="1" w:styleId="ListLabel44">
    <w:name w:val="ListLabel 44"/>
    <w:qFormat/>
    <w:rsid w:val="006C641F"/>
    <w:rPr>
      <w:rFonts w:cs="OpenSymbol"/>
    </w:rPr>
  </w:style>
  <w:style w:type="character" w:customStyle="1" w:styleId="ListLabel45">
    <w:name w:val="ListLabel 45"/>
    <w:qFormat/>
    <w:rsid w:val="006C641F"/>
    <w:rPr>
      <w:rFonts w:cs="Arial"/>
    </w:rPr>
  </w:style>
  <w:style w:type="character" w:customStyle="1" w:styleId="ListLabel46">
    <w:name w:val="ListLabel 46"/>
    <w:qFormat/>
    <w:rsid w:val="006C641F"/>
    <w:rPr>
      <w:rFonts w:cs="Arial"/>
    </w:rPr>
  </w:style>
  <w:style w:type="character" w:customStyle="1" w:styleId="ListLabel47">
    <w:name w:val="ListLabel 47"/>
    <w:qFormat/>
    <w:rsid w:val="006C641F"/>
    <w:rPr>
      <w:rFonts w:cs="Courier New"/>
    </w:rPr>
  </w:style>
  <w:style w:type="character" w:customStyle="1" w:styleId="ListLabel48">
    <w:name w:val="ListLabel 48"/>
    <w:qFormat/>
    <w:rsid w:val="006C641F"/>
    <w:rPr>
      <w:rFonts w:cs="Wingdings"/>
    </w:rPr>
  </w:style>
  <w:style w:type="character" w:customStyle="1" w:styleId="ListLabel49">
    <w:name w:val="ListLabel 49"/>
    <w:qFormat/>
    <w:rsid w:val="006C641F"/>
    <w:rPr>
      <w:rFonts w:cs="Symbol"/>
    </w:rPr>
  </w:style>
  <w:style w:type="character" w:customStyle="1" w:styleId="ListLabel50">
    <w:name w:val="ListLabel 50"/>
    <w:qFormat/>
    <w:rsid w:val="006C641F"/>
    <w:rPr>
      <w:rFonts w:cs="Courier New"/>
    </w:rPr>
  </w:style>
  <w:style w:type="character" w:customStyle="1" w:styleId="ListLabel51">
    <w:name w:val="ListLabel 51"/>
    <w:qFormat/>
    <w:rsid w:val="006C641F"/>
    <w:rPr>
      <w:rFonts w:cs="Wingdings"/>
    </w:rPr>
  </w:style>
  <w:style w:type="character" w:customStyle="1" w:styleId="ListLabel52">
    <w:name w:val="ListLabel 52"/>
    <w:qFormat/>
    <w:rsid w:val="006C641F"/>
    <w:rPr>
      <w:rFonts w:cs="Symbol"/>
    </w:rPr>
  </w:style>
  <w:style w:type="character" w:customStyle="1" w:styleId="ListLabel53">
    <w:name w:val="ListLabel 53"/>
    <w:qFormat/>
    <w:rsid w:val="006C641F"/>
    <w:rPr>
      <w:rFonts w:cs="Courier New"/>
    </w:rPr>
  </w:style>
  <w:style w:type="character" w:customStyle="1" w:styleId="ListLabel54">
    <w:name w:val="ListLabel 54"/>
    <w:qFormat/>
    <w:rsid w:val="006C641F"/>
    <w:rPr>
      <w:rFonts w:cs="Wingdings"/>
    </w:rPr>
  </w:style>
  <w:style w:type="character" w:customStyle="1" w:styleId="ListLabel55">
    <w:name w:val="ListLabel 55"/>
    <w:qFormat/>
    <w:rsid w:val="006C641F"/>
    <w:rPr>
      <w:strike w:val="0"/>
      <w:dstrike w:val="0"/>
    </w:rPr>
  </w:style>
  <w:style w:type="character" w:customStyle="1" w:styleId="ListLabel56">
    <w:name w:val="ListLabel 56"/>
    <w:qFormat/>
    <w:rsid w:val="006C641F"/>
    <w:rPr>
      <w:rFonts w:cs="Symbol"/>
    </w:rPr>
  </w:style>
  <w:style w:type="character" w:customStyle="1" w:styleId="ListLabel57">
    <w:name w:val="ListLabel 57"/>
    <w:qFormat/>
    <w:rsid w:val="006C641F"/>
    <w:rPr>
      <w:rFonts w:cs="Symbol"/>
    </w:rPr>
  </w:style>
  <w:style w:type="character" w:customStyle="1" w:styleId="ListLabel58">
    <w:name w:val="ListLabel 58"/>
    <w:qFormat/>
    <w:rsid w:val="006C641F"/>
    <w:rPr>
      <w:rFonts w:cs="Courier New"/>
    </w:rPr>
  </w:style>
  <w:style w:type="character" w:customStyle="1" w:styleId="ListLabel59">
    <w:name w:val="ListLabel 59"/>
    <w:qFormat/>
    <w:rsid w:val="006C641F"/>
    <w:rPr>
      <w:rFonts w:cs="Wingdings"/>
    </w:rPr>
  </w:style>
  <w:style w:type="character" w:customStyle="1" w:styleId="ListLabel60">
    <w:name w:val="ListLabel 60"/>
    <w:qFormat/>
    <w:rsid w:val="006C641F"/>
    <w:rPr>
      <w:rFonts w:cs="Symbol"/>
    </w:rPr>
  </w:style>
  <w:style w:type="character" w:customStyle="1" w:styleId="ListLabel61">
    <w:name w:val="ListLabel 61"/>
    <w:qFormat/>
    <w:rsid w:val="006C641F"/>
    <w:rPr>
      <w:rFonts w:cs="Courier New"/>
    </w:rPr>
  </w:style>
  <w:style w:type="character" w:customStyle="1" w:styleId="ListLabel62">
    <w:name w:val="ListLabel 62"/>
    <w:qFormat/>
    <w:rsid w:val="006C641F"/>
    <w:rPr>
      <w:rFonts w:cs="Wingdings"/>
    </w:rPr>
  </w:style>
  <w:style w:type="character" w:customStyle="1" w:styleId="ListLabel63">
    <w:name w:val="ListLabel 63"/>
    <w:qFormat/>
    <w:rsid w:val="006C641F"/>
    <w:rPr>
      <w:rFonts w:cs="Symbol"/>
    </w:rPr>
  </w:style>
  <w:style w:type="character" w:customStyle="1" w:styleId="ListLabel64">
    <w:name w:val="ListLabel 64"/>
    <w:qFormat/>
    <w:rsid w:val="006C641F"/>
    <w:rPr>
      <w:rFonts w:cs="Courier New"/>
    </w:rPr>
  </w:style>
  <w:style w:type="character" w:customStyle="1" w:styleId="ListLabel65">
    <w:name w:val="ListLabel 65"/>
    <w:qFormat/>
    <w:rsid w:val="006C641F"/>
    <w:rPr>
      <w:rFonts w:cs="Wingdings"/>
    </w:rPr>
  </w:style>
  <w:style w:type="character" w:customStyle="1" w:styleId="ListLabel66">
    <w:name w:val="ListLabel 66"/>
    <w:qFormat/>
    <w:rsid w:val="006C641F"/>
    <w:rPr>
      <w:sz w:val="20"/>
    </w:rPr>
  </w:style>
  <w:style w:type="character" w:customStyle="1" w:styleId="ListLabel67">
    <w:name w:val="ListLabel 67"/>
    <w:qFormat/>
    <w:rsid w:val="006C641F"/>
    <w:rPr>
      <w:rFonts w:cs="OpenSymbol"/>
    </w:rPr>
  </w:style>
  <w:style w:type="character" w:customStyle="1" w:styleId="ListLabel68">
    <w:name w:val="ListLabel 68"/>
    <w:qFormat/>
    <w:rsid w:val="006C641F"/>
    <w:rPr>
      <w:rFonts w:cs="Arial"/>
    </w:rPr>
  </w:style>
  <w:style w:type="character" w:customStyle="1" w:styleId="ListLabel69">
    <w:name w:val="ListLabel 69"/>
    <w:qFormat/>
    <w:rsid w:val="006C641F"/>
    <w:rPr>
      <w:sz w:val="20"/>
    </w:rPr>
  </w:style>
  <w:style w:type="character" w:customStyle="1" w:styleId="ListLabel70">
    <w:name w:val="ListLabel 70"/>
    <w:qFormat/>
    <w:rsid w:val="006C641F"/>
    <w:rPr>
      <w:rFonts w:cs="OpenSymbol"/>
    </w:rPr>
  </w:style>
  <w:style w:type="character" w:customStyle="1" w:styleId="ListLabel71">
    <w:name w:val="ListLabel 71"/>
    <w:qFormat/>
    <w:rsid w:val="006C641F"/>
    <w:rPr>
      <w:rFonts w:cs="Arial"/>
    </w:rPr>
  </w:style>
  <w:style w:type="character" w:customStyle="1" w:styleId="ListLabel72">
    <w:name w:val="ListLabel 72"/>
    <w:qFormat/>
    <w:rsid w:val="006C641F"/>
    <w:rPr>
      <w:rFonts w:cs="Arial"/>
    </w:rPr>
  </w:style>
  <w:style w:type="character" w:customStyle="1" w:styleId="ListLabel73">
    <w:name w:val="ListLabel 73"/>
    <w:qFormat/>
    <w:rsid w:val="006C641F"/>
    <w:rPr>
      <w:rFonts w:cs="Courier New"/>
    </w:rPr>
  </w:style>
  <w:style w:type="character" w:customStyle="1" w:styleId="ListLabel74">
    <w:name w:val="ListLabel 74"/>
    <w:qFormat/>
    <w:rsid w:val="006C641F"/>
    <w:rPr>
      <w:rFonts w:cs="Wingdings"/>
    </w:rPr>
  </w:style>
  <w:style w:type="character" w:customStyle="1" w:styleId="ListLabel75">
    <w:name w:val="ListLabel 75"/>
    <w:qFormat/>
    <w:rsid w:val="006C641F"/>
    <w:rPr>
      <w:rFonts w:cs="Symbol"/>
    </w:rPr>
  </w:style>
  <w:style w:type="character" w:customStyle="1" w:styleId="ListLabel76">
    <w:name w:val="ListLabel 76"/>
    <w:qFormat/>
    <w:rsid w:val="006C641F"/>
    <w:rPr>
      <w:rFonts w:cs="Courier New"/>
    </w:rPr>
  </w:style>
  <w:style w:type="character" w:customStyle="1" w:styleId="ListLabel77">
    <w:name w:val="ListLabel 77"/>
    <w:qFormat/>
    <w:rsid w:val="006C641F"/>
    <w:rPr>
      <w:rFonts w:cs="Wingdings"/>
    </w:rPr>
  </w:style>
  <w:style w:type="character" w:customStyle="1" w:styleId="ListLabel78">
    <w:name w:val="ListLabel 78"/>
    <w:qFormat/>
    <w:rsid w:val="006C641F"/>
    <w:rPr>
      <w:rFonts w:cs="Symbol"/>
    </w:rPr>
  </w:style>
  <w:style w:type="character" w:customStyle="1" w:styleId="ListLabel79">
    <w:name w:val="ListLabel 79"/>
    <w:qFormat/>
    <w:rsid w:val="006C641F"/>
    <w:rPr>
      <w:rFonts w:cs="Courier New"/>
    </w:rPr>
  </w:style>
  <w:style w:type="character" w:customStyle="1" w:styleId="ListLabel80">
    <w:name w:val="ListLabel 80"/>
    <w:qFormat/>
    <w:rsid w:val="006C641F"/>
    <w:rPr>
      <w:rFonts w:cs="Wingdings"/>
    </w:rPr>
  </w:style>
  <w:style w:type="character" w:customStyle="1" w:styleId="ListLabel81">
    <w:name w:val="ListLabel 81"/>
    <w:qFormat/>
    <w:rsid w:val="006C641F"/>
    <w:rPr>
      <w:strike w:val="0"/>
      <w:dstrike w:val="0"/>
    </w:rPr>
  </w:style>
  <w:style w:type="character" w:customStyle="1" w:styleId="ListLabel82">
    <w:name w:val="ListLabel 82"/>
    <w:qFormat/>
    <w:rsid w:val="006C641F"/>
    <w:rPr>
      <w:rFonts w:cs="Symbol"/>
    </w:rPr>
  </w:style>
  <w:style w:type="character" w:customStyle="1" w:styleId="ListLabel83">
    <w:name w:val="ListLabel 83"/>
    <w:qFormat/>
    <w:rsid w:val="006C641F"/>
    <w:rPr>
      <w:rFonts w:cs="Symbol"/>
    </w:rPr>
  </w:style>
  <w:style w:type="character" w:customStyle="1" w:styleId="ListLabel84">
    <w:name w:val="ListLabel 84"/>
    <w:qFormat/>
    <w:rsid w:val="006C641F"/>
    <w:rPr>
      <w:rFonts w:cs="Courier New"/>
    </w:rPr>
  </w:style>
  <w:style w:type="character" w:customStyle="1" w:styleId="ListLabel85">
    <w:name w:val="ListLabel 85"/>
    <w:qFormat/>
    <w:rsid w:val="006C641F"/>
    <w:rPr>
      <w:rFonts w:cs="Wingdings"/>
    </w:rPr>
  </w:style>
  <w:style w:type="character" w:customStyle="1" w:styleId="ListLabel86">
    <w:name w:val="ListLabel 86"/>
    <w:qFormat/>
    <w:rsid w:val="006C641F"/>
    <w:rPr>
      <w:rFonts w:cs="Symbol"/>
    </w:rPr>
  </w:style>
  <w:style w:type="character" w:customStyle="1" w:styleId="ListLabel87">
    <w:name w:val="ListLabel 87"/>
    <w:qFormat/>
    <w:rsid w:val="006C641F"/>
    <w:rPr>
      <w:rFonts w:cs="Courier New"/>
    </w:rPr>
  </w:style>
  <w:style w:type="character" w:customStyle="1" w:styleId="ListLabel88">
    <w:name w:val="ListLabel 88"/>
    <w:qFormat/>
    <w:rsid w:val="006C641F"/>
    <w:rPr>
      <w:rFonts w:cs="Wingdings"/>
    </w:rPr>
  </w:style>
  <w:style w:type="character" w:customStyle="1" w:styleId="ListLabel89">
    <w:name w:val="ListLabel 89"/>
    <w:qFormat/>
    <w:rsid w:val="006C641F"/>
    <w:rPr>
      <w:rFonts w:cs="Symbol"/>
    </w:rPr>
  </w:style>
  <w:style w:type="character" w:customStyle="1" w:styleId="ListLabel90">
    <w:name w:val="ListLabel 90"/>
    <w:qFormat/>
    <w:rsid w:val="006C641F"/>
    <w:rPr>
      <w:rFonts w:cs="Courier New"/>
    </w:rPr>
  </w:style>
  <w:style w:type="character" w:customStyle="1" w:styleId="ListLabel91">
    <w:name w:val="ListLabel 91"/>
    <w:qFormat/>
    <w:rsid w:val="006C641F"/>
    <w:rPr>
      <w:rFonts w:cs="Wingdings"/>
    </w:rPr>
  </w:style>
  <w:style w:type="character" w:customStyle="1" w:styleId="ListLabel92">
    <w:name w:val="ListLabel 92"/>
    <w:qFormat/>
    <w:rsid w:val="006C641F"/>
    <w:rPr>
      <w:rFonts w:cs="Arial"/>
    </w:rPr>
  </w:style>
  <w:style w:type="character" w:customStyle="1" w:styleId="ListLabel93">
    <w:name w:val="ListLabel 93"/>
    <w:qFormat/>
    <w:rsid w:val="006C641F"/>
    <w:rPr>
      <w:rFonts w:cs="Courier New"/>
    </w:rPr>
  </w:style>
  <w:style w:type="character" w:customStyle="1" w:styleId="ListLabel94">
    <w:name w:val="ListLabel 94"/>
    <w:qFormat/>
    <w:rsid w:val="006C641F"/>
    <w:rPr>
      <w:rFonts w:cs="Wingdings"/>
    </w:rPr>
  </w:style>
  <w:style w:type="character" w:customStyle="1" w:styleId="ListLabel95">
    <w:name w:val="ListLabel 95"/>
    <w:qFormat/>
    <w:rsid w:val="006C641F"/>
    <w:rPr>
      <w:rFonts w:cs="Symbol"/>
    </w:rPr>
  </w:style>
  <w:style w:type="character" w:customStyle="1" w:styleId="ListLabel96">
    <w:name w:val="ListLabel 96"/>
    <w:qFormat/>
    <w:rsid w:val="006C641F"/>
    <w:rPr>
      <w:rFonts w:cs="Courier New"/>
    </w:rPr>
  </w:style>
  <w:style w:type="character" w:customStyle="1" w:styleId="ListLabel97">
    <w:name w:val="ListLabel 97"/>
    <w:qFormat/>
    <w:rsid w:val="006C641F"/>
    <w:rPr>
      <w:rFonts w:cs="Wingdings"/>
    </w:rPr>
  </w:style>
  <w:style w:type="character" w:customStyle="1" w:styleId="ListLabel98">
    <w:name w:val="ListLabel 98"/>
    <w:qFormat/>
    <w:rsid w:val="006C641F"/>
    <w:rPr>
      <w:rFonts w:cs="Symbol"/>
    </w:rPr>
  </w:style>
  <w:style w:type="character" w:customStyle="1" w:styleId="ListLabel99">
    <w:name w:val="ListLabel 99"/>
    <w:qFormat/>
    <w:rsid w:val="006C641F"/>
    <w:rPr>
      <w:rFonts w:cs="Courier New"/>
    </w:rPr>
  </w:style>
  <w:style w:type="character" w:customStyle="1" w:styleId="ListLabel100">
    <w:name w:val="ListLabel 100"/>
    <w:qFormat/>
    <w:rsid w:val="006C641F"/>
    <w:rPr>
      <w:rFonts w:cs="Wingdings"/>
    </w:rPr>
  </w:style>
  <w:style w:type="character" w:customStyle="1" w:styleId="ListLabel101">
    <w:name w:val="ListLabel 101"/>
    <w:qFormat/>
    <w:rsid w:val="006C641F"/>
    <w:rPr>
      <w:strike w:val="0"/>
      <w:dstrike w:val="0"/>
    </w:rPr>
  </w:style>
  <w:style w:type="character" w:customStyle="1" w:styleId="ListLabel102">
    <w:name w:val="ListLabel 102"/>
    <w:qFormat/>
    <w:rsid w:val="006C641F"/>
    <w:rPr>
      <w:rFonts w:cs="Symbol"/>
    </w:rPr>
  </w:style>
  <w:style w:type="character" w:customStyle="1" w:styleId="ListLabel103">
    <w:name w:val="ListLabel 103"/>
    <w:qFormat/>
    <w:rsid w:val="006C641F"/>
    <w:rPr>
      <w:rFonts w:cs="Symbol"/>
    </w:rPr>
  </w:style>
  <w:style w:type="character" w:customStyle="1" w:styleId="ListLabel104">
    <w:name w:val="ListLabel 104"/>
    <w:qFormat/>
    <w:rsid w:val="006C641F"/>
    <w:rPr>
      <w:rFonts w:cs="Courier New"/>
    </w:rPr>
  </w:style>
  <w:style w:type="character" w:customStyle="1" w:styleId="ListLabel105">
    <w:name w:val="ListLabel 105"/>
    <w:qFormat/>
    <w:rsid w:val="006C641F"/>
    <w:rPr>
      <w:rFonts w:cs="Wingdings"/>
    </w:rPr>
  </w:style>
  <w:style w:type="character" w:customStyle="1" w:styleId="ListLabel106">
    <w:name w:val="ListLabel 106"/>
    <w:qFormat/>
    <w:rsid w:val="006C641F"/>
    <w:rPr>
      <w:rFonts w:cs="Symbol"/>
    </w:rPr>
  </w:style>
  <w:style w:type="character" w:customStyle="1" w:styleId="ListLabel107">
    <w:name w:val="ListLabel 107"/>
    <w:qFormat/>
    <w:rsid w:val="006C641F"/>
    <w:rPr>
      <w:rFonts w:cs="Courier New"/>
    </w:rPr>
  </w:style>
  <w:style w:type="character" w:customStyle="1" w:styleId="ListLabel108">
    <w:name w:val="ListLabel 108"/>
    <w:qFormat/>
    <w:rsid w:val="006C641F"/>
    <w:rPr>
      <w:rFonts w:cs="Wingdings"/>
    </w:rPr>
  </w:style>
  <w:style w:type="character" w:customStyle="1" w:styleId="ListLabel109">
    <w:name w:val="ListLabel 109"/>
    <w:qFormat/>
    <w:rsid w:val="006C641F"/>
    <w:rPr>
      <w:rFonts w:cs="Symbol"/>
    </w:rPr>
  </w:style>
  <w:style w:type="character" w:customStyle="1" w:styleId="ListLabel110">
    <w:name w:val="ListLabel 110"/>
    <w:qFormat/>
    <w:rsid w:val="006C641F"/>
    <w:rPr>
      <w:rFonts w:cs="Courier New"/>
    </w:rPr>
  </w:style>
  <w:style w:type="character" w:customStyle="1" w:styleId="ListLabel111">
    <w:name w:val="ListLabel 111"/>
    <w:qFormat/>
    <w:rsid w:val="006C641F"/>
    <w:rPr>
      <w:rFonts w:cs="Wingdings"/>
    </w:rPr>
  </w:style>
  <w:style w:type="character" w:customStyle="1" w:styleId="ListLabel112">
    <w:name w:val="ListLabel 112"/>
    <w:qFormat/>
    <w:rsid w:val="006C641F"/>
    <w:rPr>
      <w:rFonts w:cs="Arial"/>
    </w:rPr>
  </w:style>
  <w:style w:type="character" w:customStyle="1" w:styleId="ListLabel113">
    <w:name w:val="ListLabel 113"/>
    <w:qFormat/>
    <w:rsid w:val="006C641F"/>
    <w:rPr>
      <w:rFonts w:cs="Courier New"/>
    </w:rPr>
  </w:style>
  <w:style w:type="character" w:customStyle="1" w:styleId="ListLabel114">
    <w:name w:val="ListLabel 114"/>
    <w:qFormat/>
    <w:rsid w:val="006C641F"/>
    <w:rPr>
      <w:rFonts w:cs="Wingdings"/>
    </w:rPr>
  </w:style>
  <w:style w:type="character" w:customStyle="1" w:styleId="ListLabel115">
    <w:name w:val="ListLabel 115"/>
    <w:qFormat/>
    <w:rsid w:val="006C641F"/>
    <w:rPr>
      <w:rFonts w:cs="Symbol"/>
    </w:rPr>
  </w:style>
  <w:style w:type="character" w:customStyle="1" w:styleId="ListLabel116">
    <w:name w:val="ListLabel 116"/>
    <w:qFormat/>
    <w:rsid w:val="006C641F"/>
    <w:rPr>
      <w:rFonts w:cs="Courier New"/>
    </w:rPr>
  </w:style>
  <w:style w:type="character" w:customStyle="1" w:styleId="ListLabel117">
    <w:name w:val="ListLabel 117"/>
    <w:qFormat/>
    <w:rsid w:val="006C641F"/>
    <w:rPr>
      <w:rFonts w:cs="Wingdings"/>
    </w:rPr>
  </w:style>
  <w:style w:type="character" w:customStyle="1" w:styleId="ListLabel118">
    <w:name w:val="ListLabel 118"/>
    <w:qFormat/>
    <w:rsid w:val="006C641F"/>
    <w:rPr>
      <w:rFonts w:cs="Symbol"/>
    </w:rPr>
  </w:style>
  <w:style w:type="character" w:customStyle="1" w:styleId="ListLabel119">
    <w:name w:val="ListLabel 119"/>
    <w:qFormat/>
    <w:rsid w:val="006C641F"/>
    <w:rPr>
      <w:rFonts w:cs="Courier New"/>
    </w:rPr>
  </w:style>
  <w:style w:type="character" w:customStyle="1" w:styleId="ListLabel120">
    <w:name w:val="ListLabel 120"/>
    <w:qFormat/>
    <w:rsid w:val="006C641F"/>
    <w:rPr>
      <w:rFonts w:cs="Wingdings"/>
    </w:rPr>
  </w:style>
  <w:style w:type="character" w:customStyle="1" w:styleId="ListLabel121">
    <w:name w:val="ListLabel 121"/>
    <w:qFormat/>
    <w:rsid w:val="006C641F"/>
    <w:rPr>
      <w:strike w:val="0"/>
      <w:dstrike w:val="0"/>
    </w:rPr>
  </w:style>
  <w:style w:type="character" w:customStyle="1" w:styleId="ListLabel122">
    <w:name w:val="ListLabel 122"/>
    <w:qFormat/>
    <w:rsid w:val="006C641F"/>
    <w:rPr>
      <w:rFonts w:cs="Symbol"/>
    </w:rPr>
  </w:style>
  <w:style w:type="character" w:customStyle="1" w:styleId="ListLabel123">
    <w:name w:val="ListLabel 123"/>
    <w:qFormat/>
    <w:rsid w:val="006C641F"/>
    <w:rPr>
      <w:rFonts w:cs="Symbol"/>
    </w:rPr>
  </w:style>
  <w:style w:type="character" w:customStyle="1" w:styleId="ListLabel124">
    <w:name w:val="ListLabel 124"/>
    <w:qFormat/>
    <w:rsid w:val="006C641F"/>
    <w:rPr>
      <w:rFonts w:cs="Courier New"/>
    </w:rPr>
  </w:style>
  <w:style w:type="character" w:customStyle="1" w:styleId="ListLabel125">
    <w:name w:val="ListLabel 125"/>
    <w:qFormat/>
    <w:rsid w:val="006C641F"/>
    <w:rPr>
      <w:rFonts w:cs="Wingdings"/>
    </w:rPr>
  </w:style>
  <w:style w:type="character" w:customStyle="1" w:styleId="ListLabel126">
    <w:name w:val="ListLabel 126"/>
    <w:qFormat/>
    <w:rsid w:val="006C641F"/>
    <w:rPr>
      <w:rFonts w:cs="Symbol"/>
    </w:rPr>
  </w:style>
  <w:style w:type="character" w:customStyle="1" w:styleId="ListLabel127">
    <w:name w:val="ListLabel 127"/>
    <w:qFormat/>
    <w:rsid w:val="006C641F"/>
    <w:rPr>
      <w:rFonts w:cs="Courier New"/>
    </w:rPr>
  </w:style>
  <w:style w:type="character" w:customStyle="1" w:styleId="ListLabel128">
    <w:name w:val="ListLabel 128"/>
    <w:qFormat/>
    <w:rsid w:val="006C641F"/>
    <w:rPr>
      <w:rFonts w:cs="Wingdings"/>
    </w:rPr>
  </w:style>
  <w:style w:type="character" w:customStyle="1" w:styleId="ListLabel129">
    <w:name w:val="ListLabel 129"/>
    <w:qFormat/>
    <w:rsid w:val="006C641F"/>
    <w:rPr>
      <w:rFonts w:cs="Symbol"/>
    </w:rPr>
  </w:style>
  <w:style w:type="character" w:customStyle="1" w:styleId="ListLabel130">
    <w:name w:val="ListLabel 130"/>
    <w:qFormat/>
    <w:rsid w:val="006C641F"/>
    <w:rPr>
      <w:rFonts w:cs="Courier New"/>
    </w:rPr>
  </w:style>
  <w:style w:type="character" w:customStyle="1" w:styleId="ListLabel131">
    <w:name w:val="ListLabel 131"/>
    <w:qFormat/>
    <w:rsid w:val="006C641F"/>
    <w:rPr>
      <w:rFonts w:cs="Wingdings"/>
    </w:rPr>
  </w:style>
  <w:style w:type="character" w:customStyle="1" w:styleId="ListLabel132">
    <w:name w:val="ListLabel 132"/>
    <w:qFormat/>
    <w:rsid w:val="006C641F"/>
    <w:rPr>
      <w:strike w:val="0"/>
      <w:dstrike w:val="0"/>
    </w:rPr>
  </w:style>
  <w:style w:type="character" w:customStyle="1" w:styleId="ListLabel133">
    <w:name w:val="ListLabel 133"/>
    <w:qFormat/>
    <w:rsid w:val="006C641F"/>
    <w:rPr>
      <w:rFonts w:cs="Symbol"/>
    </w:rPr>
  </w:style>
  <w:style w:type="character" w:customStyle="1" w:styleId="ListLabel134">
    <w:name w:val="ListLabel 134"/>
    <w:qFormat/>
    <w:rsid w:val="006C641F"/>
    <w:rPr>
      <w:rFonts w:cs="Symbol"/>
    </w:rPr>
  </w:style>
  <w:style w:type="character" w:customStyle="1" w:styleId="ListLabel135">
    <w:name w:val="ListLabel 135"/>
    <w:qFormat/>
    <w:rsid w:val="006C641F"/>
    <w:rPr>
      <w:rFonts w:cs="Courier New"/>
    </w:rPr>
  </w:style>
  <w:style w:type="character" w:customStyle="1" w:styleId="ListLabel136">
    <w:name w:val="ListLabel 136"/>
    <w:qFormat/>
    <w:rsid w:val="006C641F"/>
    <w:rPr>
      <w:rFonts w:cs="Wingdings"/>
    </w:rPr>
  </w:style>
  <w:style w:type="character" w:customStyle="1" w:styleId="ListLabel137">
    <w:name w:val="ListLabel 137"/>
    <w:qFormat/>
    <w:rsid w:val="006C641F"/>
    <w:rPr>
      <w:rFonts w:cs="Symbol"/>
    </w:rPr>
  </w:style>
  <w:style w:type="character" w:customStyle="1" w:styleId="ListLabel138">
    <w:name w:val="ListLabel 138"/>
    <w:qFormat/>
    <w:rsid w:val="006C641F"/>
    <w:rPr>
      <w:rFonts w:cs="Courier New"/>
    </w:rPr>
  </w:style>
  <w:style w:type="character" w:customStyle="1" w:styleId="ListLabel139">
    <w:name w:val="ListLabel 139"/>
    <w:qFormat/>
    <w:rsid w:val="006C641F"/>
    <w:rPr>
      <w:rFonts w:cs="Wingdings"/>
    </w:rPr>
  </w:style>
  <w:style w:type="character" w:customStyle="1" w:styleId="ListLabel140">
    <w:name w:val="ListLabel 140"/>
    <w:qFormat/>
    <w:rsid w:val="006C641F"/>
    <w:rPr>
      <w:rFonts w:cs="Symbol"/>
    </w:rPr>
  </w:style>
  <w:style w:type="character" w:customStyle="1" w:styleId="ListLabel141">
    <w:name w:val="ListLabel 141"/>
    <w:qFormat/>
    <w:rsid w:val="006C641F"/>
    <w:rPr>
      <w:rFonts w:cs="Courier New"/>
    </w:rPr>
  </w:style>
  <w:style w:type="character" w:customStyle="1" w:styleId="ListLabel142">
    <w:name w:val="ListLabel 142"/>
    <w:qFormat/>
    <w:rsid w:val="006C641F"/>
    <w:rPr>
      <w:rFonts w:cs="Wingdings"/>
    </w:rPr>
  </w:style>
  <w:style w:type="character" w:customStyle="1" w:styleId="ListLabel143">
    <w:name w:val="ListLabel 143"/>
    <w:qFormat/>
    <w:rsid w:val="006C641F"/>
    <w:rPr>
      <w:strike w:val="0"/>
      <w:dstrike w:val="0"/>
    </w:rPr>
  </w:style>
  <w:style w:type="character" w:customStyle="1" w:styleId="ListLabel144">
    <w:name w:val="ListLabel 144"/>
    <w:qFormat/>
    <w:rsid w:val="006C641F"/>
    <w:rPr>
      <w:rFonts w:cs="Symbol"/>
    </w:rPr>
  </w:style>
  <w:style w:type="character" w:customStyle="1" w:styleId="ListLabel145">
    <w:name w:val="ListLabel 145"/>
    <w:qFormat/>
    <w:rsid w:val="006C641F"/>
    <w:rPr>
      <w:rFonts w:cs="Symbol"/>
    </w:rPr>
  </w:style>
  <w:style w:type="character" w:customStyle="1" w:styleId="ListLabel146">
    <w:name w:val="ListLabel 146"/>
    <w:qFormat/>
    <w:rsid w:val="006C641F"/>
    <w:rPr>
      <w:rFonts w:cs="Courier New"/>
    </w:rPr>
  </w:style>
  <w:style w:type="character" w:customStyle="1" w:styleId="ListLabel147">
    <w:name w:val="ListLabel 147"/>
    <w:qFormat/>
    <w:rsid w:val="006C641F"/>
    <w:rPr>
      <w:rFonts w:cs="Wingdings"/>
    </w:rPr>
  </w:style>
  <w:style w:type="character" w:customStyle="1" w:styleId="ListLabel148">
    <w:name w:val="ListLabel 148"/>
    <w:qFormat/>
    <w:rsid w:val="006C641F"/>
    <w:rPr>
      <w:rFonts w:cs="Symbol"/>
    </w:rPr>
  </w:style>
  <w:style w:type="character" w:customStyle="1" w:styleId="ListLabel149">
    <w:name w:val="ListLabel 149"/>
    <w:qFormat/>
    <w:rsid w:val="006C641F"/>
    <w:rPr>
      <w:rFonts w:cs="Courier New"/>
    </w:rPr>
  </w:style>
  <w:style w:type="character" w:customStyle="1" w:styleId="ListLabel150">
    <w:name w:val="ListLabel 150"/>
    <w:qFormat/>
    <w:rsid w:val="006C641F"/>
    <w:rPr>
      <w:rFonts w:cs="Wingdings"/>
    </w:rPr>
  </w:style>
  <w:style w:type="character" w:customStyle="1" w:styleId="ListLabel151">
    <w:name w:val="ListLabel 151"/>
    <w:qFormat/>
    <w:rsid w:val="006C641F"/>
    <w:rPr>
      <w:rFonts w:cs="Symbol"/>
    </w:rPr>
  </w:style>
  <w:style w:type="character" w:customStyle="1" w:styleId="ListLabel152">
    <w:name w:val="ListLabel 152"/>
    <w:qFormat/>
    <w:rsid w:val="006C641F"/>
    <w:rPr>
      <w:rFonts w:cs="Courier New"/>
    </w:rPr>
  </w:style>
  <w:style w:type="character" w:customStyle="1" w:styleId="ListLabel153">
    <w:name w:val="ListLabel 153"/>
    <w:qFormat/>
    <w:rsid w:val="006C641F"/>
    <w:rPr>
      <w:rFonts w:cs="Wingdings"/>
    </w:rPr>
  </w:style>
  <w:style w:type="character" w:customStyle="1" w:styleId="ListLabel154">
    <w:name w:val="ListLabel 154"/>
    <w:qFormat/>
    <w:rsid w:val="006C641F"/>
    <w:rPr>
      <w:strike w:val="0"/>
      <w:dstrike w:val="0"/>
    </w:rPr>
  </w:style>
  <w:style w:type="character" w:customStyle="1" w:styleId="ListLabel155">
    <w:name w:val="ListLabel 155"/>
    <w:qFormat/>
    <w:rsid w:val="006C641F"/>
    <w:rPr>
      <w:rFonts w:cs="Symbol"/>
    </w:rPr>
  </w:style>
  <w:style w:type="character" w:customStyle="1" w:styleId="ListLabel156">
    <w:name w:val="ListLabel 156"/>
    <w:qFormat/>
    <w:rsid w:val="006C641F"/>
    <w:rPr>
      <w:rFonts w:cs="Symbol"/>
    </w:rPr>
  </w:style>
  <w:style w:type="character" w:customStyle="1" w:styleId="ListLabel157">
    <w:name w:val="ListLabel 157"/>
    <w:qFormat/>
    <w:rsid w:val="006C641F"/>
    <w:rPr>
      <w:rFonts w:cs="Courier New"/>
    </w:rPr>
  </w:style>
  <w:style w:type="character" w:customStyle="1" w:styleId="ListLabel158">
    <w:name w:val="ListLabel 158"/>
    <w:qFormat/>
    <w:rsid w:val="006C641F"/>
    <w:rPr>
      <w:rFonts w:cs="Wingdings"/>
    </w:rPr>
  </w:style>
  <w:style w:type="character" w:customStyle="1" w:styleId="ListLabel159">
    <w:name w:val="ListLabel 159"/>
    <w:qFormat/>
    <w:rsid w:val="006C641F"/>
    <w:rPr>
      <w:rFonts w:cs="Symbol"/>
    </w:rPr>
  </w:style>
  <w:style w:type="character" w:customStyle="1" w:styleId="ListLabel160">
    <w:name w:val="ListLabel 160"/>
    <w:qFormat/>
    <w:rsid w:val="006C641F"/>
    <w:rPr>
      <w:rFonts w:cs="Courier New"/>
    </w:rPr>
  </w:style>
  <w:style w:type="character" w:customStyle="1" w:styleId="ListLabel161">
    <w:name w:val="ListLabel 161"/>
    <w:qFormat/>
    <w:rsid w:val="006C641F"/>
    <w:rPr>
      <w:rFonts w:cs="Wingdings"/>
    </w:rPr>
  </w:style>
  <w:style w:type="character" w:customStyle="1" w:styleId="ListLabel162">
    <w:name w:val="ListLabel 162"/>
    <w:qFormat/>
    <w:rsid w:val="006C641F"/>
    <w:rPr>
      <w:rFonts w:cs="Symbol"/>
    </w:rPr>
  </w:style>
  <w:style w:type="character" w:customStyle="1" w:styleId="ListLabel163">
    <w:name w:val="ListLabel 163"/>
    <w:qFormat/>
    <w:rsid w:val="006C641F"/>
    <w:rPr>
      <w:rFonts w:cs="Courier New"/>
    </w:rPr>
  </w:style>
  <w:style w:type="character" w:customStyle="1" w:styleId="ListLabel164">
    <w:name w:val="ListLabel 164"/>
    <w:qFormat/>
    <w:rsid w:val="006C641F"/>
    <w:rPr>
      <w:rFonts w:cs="Wingdings"/>
    </w:rPr>
  </w:style>
  <w:style w:type="character" w:customStyle="1" w:styleId="ListLabel165">
    <w:name w:val="ListLabel 165"/>
    <w:qFormat/>
    <w:rsid w:val="006C641F"/>
    <w:rPr>
      <w:strike w:val="0"/>
      <w:dstrike w:val="0"/>
    </w:rPr>
  </w:style>
  <w:style w:type="character" w:customStyle="1" w:styleId="ListLabel166">
    <w:name w:val="ListLabel 166"/>
    <w:qFormat/>
    <w:rsid w:val="006C641F"/>
    <w:rPr>
      <w:rFonts w:cs="Symbol"/>
    </w:rPr>
  </w:style>
  <w:style w:type="character" w:customStyle="1" w:styleId="ListLabel167">
    <w:name w:val="ListLabel 167"/>
    <w:qFormat/>
    <w:rsid w:val="006C641F"/>
    <w:rPr>
      <w:rFonts w:cs="Symbol"/>
    </w:rPr>
  </w:style>
  <w:style w:type="character" w:customStyle="1" w:styleId="ListLabel168">
    <w:name w:val="ListLabel 168"/>
    <w:qFormat/>
    <w:rsid w:val="006C641F"/>
    <w:rPr>
      <w:rFonts w:cs="Courier New"/>
    </w:rPr>
  </w:style>
  <w:style w:type="character" w:customStyle="1" w:styleId="ListLabel169">
    <w:name w:val="ListLabel 169"/>
    <w:qFormat/>
    <w:rsid w:val="006C641F"/>
    <w:rPr>
      <w:rFonts w:cs="Wingdings"/>
    </w:rPr>
  </w:style>
  <w:style w:type="character" w:customStyle="1" w:styleId="ListLabel170">
    <w:name w:val="ListLabel 170"/>
    <w:qFormat/>
    <w:rsid w:val="006C641F"/>
    <w:rPr>
      <w:rFonts w:cs="Symbol"/>
    </w:rPr>
  </w:style>
  <w:style w:type="character" w:customStyle="1" w:styleId="ListLabel171">
    <w:name w:val="ListLabel 171"/>
    <w:qFormat/>
    <w:rsid w:val="006C641F"/>
    <w:rPr>
      <w:rFonts w:cs="Courier New"/>
    </w:rPr>
  </w:style>
  <w:style w:type="character" w:customStyle="1" w:styleId="ListLabel172">
    <w:name w:val="ListLabel 172"/>
    <w:qFormat/>
    <w:rsid w:val="006C641F"/>
    <w:rPr>
      <w:rFonts w:cs="Wingdings"/>
    </w:rPr>
  </w:style>
  <w:style w:type="character" w:customStyle="1" w:styleId="ListLabel173">
    <w:name w:val="ListLabel 173"/>
    <w:qFormat/>
    <w:rsid w:val="006C641F"/>
    <w:rPr>
      <w:rFonts w:cs="Symbol"/>
    </w:rPr>
  </w:style>
  <w:style w:type="character" w:customStyle="1" w:styleId="ListLabel174">
    <w:name w:val="ListLabel 174"/>
    <w:qFormat/>
    <w:rsid w:val="006C641F"/>
    <w:rPr>
      <w:rFonts w:cs="Courier New"/>
    </w:rPr>
  </w:style>
  <w:style w:type="character" w:customStyle="1" w:styleId="ListLabel175">
    <w:name w:val="ListLabel 175"/>
    <w:qFormat/>
    <w:rsid w:val="006C641F"/>
    <w:rPr>
      <w:rFonts w:cs="Wingdings"/>
    </w:rPr>
  </w:style>
  <w:style w:type="character" w:customStyle="1" w:styleId="ListLabel176">
    <w:name w:val="ListLabel 176"/>
    <w:qFormat/>
    <w:rsid w:val="006C641F"/>
    <w:rPr>
      <w:strike w:val="0"/>
      <w:dstrike w:val="0"/>
    </w:rPr>
  </w:style>
  <w:style w:type="character" w:customStyle="1" w:styleId="ListLabel177">
    <w:name w:val="ListLabel 177"/>
    <w:qFormat/>
    <w:rsid w:val="006C641F"/>
    <w:rPr>
      <w:rFonts w:cs="Symbol"/>
    </w:rPr>
  </w:style>
  <w:style w:type="character" w:customStyle="1" w:styleId="ListLabel178">
    <w:name w:val="ListLabel 178"/>
    <w:qFormat/>
    <w:rsid w:val="006C641F"/>
    <w:rPr>
      <w:rFonts w:cs="Symbol"/>
    </w:rPr>
  </w:style>
  <w:style w:type="character" w:customStyle="1" w:styleId="ListLabel179">
    <w:name w:val="ListLabel 179"/>
    <w:qFormat/>
    <w:rsid w:val="006C641F"/>
    <w:rPr>
      <w:rFonts w:cs="Courier New"/>
    </w:rPr>
  </w:style>
  <w:style w:type="character" w:customStyle="1" w:styleId="ListLabel180">
    <w:name w:val="ListLabel 180"/>
    <w:qFormat/>
    <w:rsid w:val="006C641F"/>
    <w:rPr>
      <w:rFonts w:cs="Wingdings"/>
    </w:rPr>
  </w:style>
  <w:style w:type="character" w:customStyle="1" w:styleId="ListLabel181">
    <w:name w:val="ListLabel 181"/>
    <w:qFormat/>
    <w:rsid w:val="006C641F"/>
    <w:rPr>
      <w:rFonts w:cs="Symbol"/>
    </w:rPr>
  </w:style>
  <w:style w:type="character" w:customStyle="1" w:styleId="ListLabel182">
    <w:name w:val="ListLabel 182"/>
    <w:qFormat/>
    <w:rsid w:val="006C641F"/>
    <w:rPr>
      <w:rFonts w:cs="Courier New"/>
    </w:rPr>
  </w:style>
  <w:style w:type="character" w:customStyle="1" w:styleId="ListLabel183">
    <w:name w:val="ListLabel 183"/>
    <w:qFormat/>
    <w:rsid w:val="006C641F"/>
    <w:rPr>
      <w:rFonts w:cs="Wingdings"/>
    </w:rPr>
  </w:style>
  <w:style w:type="character" w:customStyle="1" w:styleId="ListLabel184">
    <w:name w:val="ListLabel 184"/>
    <w:qFormat/>
    <w:rsid w:val="006C641F"/>
    <w:rPr>
      <w:rFonts w:cs="Symbol"/>
    </w:rPr>
  </w:style>
  <w:style w:type="character" w:customStyle="1" w:styleId="ListLabel185">
    <w:name w:val="ListLabel 185"/>
    <w:qFormat/>
    <w:rsid w:val="006C641F"/>
    <w:rPr>
      <w:rFonts w:cs="Courier New"/>
    </w:rPr>
  </w:style>
  <w:style w:type="character" w:customStyle="1" w:styleId="ListLabel186">
    <w:name w:val="ListLabel 186"/>
    <w:qFormat/>
    <w:rsid w:val="006C641F"/>
    <w:rPr>
      <w:rFonts w:cs="Wingdings"/>
    </w:rPr>
  </w:style>
  <w:style w:type="character" w:customStyle="1" w:styleId="ListLabel187">
    <w:name w:val="ListLabel 187"/>
    <w:qFormat/>
    <w:rsid w:val="006C641F"/>
    <w:rPr>
      <w:sz w:val="20"/>
    </w:rPr>
  </w:style>
  <w:style w:type="character" w:customStyle="1" w:styleId="ListLabel188">
    <w:name w:val="ListLabel 188"/>
    <w:qFormat/>
    <w:rsid w:val="006C641F"/>
    <w:rPr>
      <w:rFonts w:cs="OpenSymbol"/>
    </w:rPr>
  </w:style>
  <w:style w:type="character" w:customStyle="1" w:styleId="ListLabel189">
    <w:name w:val="ListLabel 189"/>
    <w:qFormat/>
    <w:rsid w:val="006C641F"/>
    <w:rPr>
      <w:rFonts w:cs="Arial"/>
    </w:rPr>
  </w:style>
  <w:style w:type="character" w:customStyle="1" w:styleId="ListLabel190">
    <w:name w:val="ListLabel 190"/>
    <w:qFormat/>
    <w:rsid w:val="006C641F"/>
    <w:rPr>
      <w:sz w:val="20"/>
    </w:rPr>
  </w:style>
  <w:style w:type="character" w:customStyle="1" w:styleId="ListLabel191">
    <w:name w:val="ListLabel 191"/>
    <w:qFormat/>
    <w:rsid w:val="006C641F"/>
    <w:rPr>
      <w:rFonts w:cs="OpenSymbol"/>
    </w:rPr>
  </w:style>
  <w:style w:type="character" w:customStyle="1" w:styleId="ListLabel192">
    <w:name w:val="ListLabel 192"/>
    <w:qFormat/>
    <w:rsid w:val="006C641F"/>
    <w:rPr>
      <w:rFonts w:cs="Arial"/>
    </w:rPr>
  </w:style>
  <w:style w:type="character" w:customStyle="1" w:styleId="ListLabel193">
    <w:name w:val="ListLabel 193"/>
    <w:qFormat/>
    <w:rsid w:val="006C641F"/>
    <w:rPr>
      <w:strike w:val="0"/>
      <w:dstrike w:val="0"/>
    </w:rPr>
  </w:style>
  <w:style w:type="character" w:customStyle="1" w:styleId="ListLabel194">
    <w:name w:val="ListLabel 194"/>
    <w:qFormat/>
    <w:rsid w:val="006C641F"/>
    <w:rPr>
      <w:rFonts w:cs="Symbol"/>
    </w:rPr>
  </w:style>
  <w:style w:type="character" w:customStyle="1" w:styleId="ListLabel195">
    <w:name w:val="ListLabel 195"/>
    <w:qFormat/>
    <w:rsid w:val="006C641F"/>
    <w:rPr>
      <w:rFonts w:cs="Symbol"/>
    </w:rPr>
  </w:style>
  <w:style w:type="character" w:customStyle="1" w:styleId="ListLabel196">
    <w:name w:val="ListLabel 196"/>
    <w:qFormat/>
    <w:rsid w:val="006C641F"/>
    <w:rPr>
      <w:rFonts w:cs="Courier New"/>
    </w:rPr>
  </w:style>
  <w:style w:type="character" w:customStyle="1" w:styleId="ListLabel197">
    <w:name w:val="ListLabel 197"/>
    <w:qFormat/>
    <w:rsid w:val="006C641F"/>
    <w:rPr>
      <w:rFonts w:cs="Wingdings"/>
    </w:rPr>
  </w:style>
  <w:style w:type="character" w:customStyle="1" w:styleId="ListLabel198">
    <w:name w:val="ListLabel 198"/>
    <w:qFormat/>
    <w:rsid w:val="006C641F"/>
    <w:rPr>
      <w:rFonts w:cs="Symbol"/>
    </w:rPr>
  </w:style>
  <w:style w:type="character" w:customStyle="1" w:styleId="ListLabel199">
    <w:name w:val="ListLabel 199"/>
    <w:qFormat/>
    <w:rsid w:val="006C641F"/>
    <w:rPr>
      <w:rFonts w:cs="Courier New"/>
    </w:rPr>
  </w:style>
  <w:style w:type="character" w:customStyle="1" w:styleId="ListLabel200">
    <w:name w:val="ListLabel 200"/>
    <w:qFormat/>
    <w:rsid w:val="006C641F"/>
    <w:rPr>
      <w:rFonts w:cs="Wingdings"/>
    </w:rPr>
  </w:style>
  <w:style w:type="character" w:customStyle="1" w:styleId="ListLabel201">
    <w:name w:val="ListLabel 201"/>
    <w:qFormat/>
    <w:rsid w:val="006C641F"/>
    <w:rPr>
      <w:rFonts w:cs="Symbol"/>
    </w:rPr>
  </w:style>
  <w:style w:type="character" w:customStyle="1" w:styleId="ListLabel202">
    <w:name w:val="ListLabel 202"/>
    <w:qFormat/>
    <w:rsid w:val="006C641F"/>
    <w:rPr>
      <w:rFonts w:cs="Courier New"/>
    </w:rPr>
  </w:style>
  <w:style w:type="character" w:customStyle="1" w:styleId="ListLabel203">
    <w:name w:val="ListLabel 203"/>
    <w:qFormat/>
    <w:rsid w:val="006C641F"/>
    <w:rPr>
      <w:rFonts w:cs="Wingdings"/>
    </w:rPr>
  </w:style>
  <w:style w:type="character" w:customStyle="1" w:styleId="ListLabel204">
    <w:name w:val="ListLabel 204"/>
    <w:qFormat/>
    <w:rsid w:val="006C641F"/>
    <w:rPr>
      <w:sz w:val="20"/>
    </w:rPr>
  </w:style>
  <w:style w:type="character" w:customStyle="1" w:styleId="ListLabel205">
    <w:name w:val="ListLabel 205"/>
    <w:qFormat/>
    <w:rsid w:val="006C641F"/>
    <w:rPr>
      <w:rFonts w:cs="OpenSymbol"/>
    </w:rPr>
  </w:style>
  <w:style w:type="character" w:customStyle="1" w:styleId="ListLabel206">
    <w:name w:val="ListLabel 206"/>
    <w:qFormat/>
    <w:rsid w:val="006C641F"/>
    <w:rPr>
      <w:rFonts w:cs="Arial"/>
    </w:rPr>
  </w:style>
  <w:style w:type="character" w:customStyle="1" w:styleId="ListLabel207">
    <w:name w:val="ListLabel 207"/>
    <w:qFormat/>
    <w:rsid w:val="006C641F"/>
    <w:rPr>
      <w:sz w:val="20"/>
    </w:rPr>
  </w:style>
  <w:style w:type="character" w:customStyle="1" w:styleId="ListLabel208">
    <w:name w:val="ListLabel 208"/>
    <w:qFormat/>
    <w:rsid w:val="006C641F"/>
    <w:rPr>
      <w:rFonts w:cs="OpenSymbol"/>
    </w:rPr>
  </w:style>
  <w:style w:type="character" w:customStyle="1" w:styleId="ListLabel209">
    <w:name w:val="ListLabel 209"/>
    <w:qFormat/>
    <w:rsid w:val="006C641F"/>
    <w:rPr>
      <w:rFonts w:cs="Arial"/>
    </w:rPr>
  </w:style>
  <w:style w:type="character" w:customStyle="1" w:styleId="ListLabel210">
    <w:name w:val="ListLabel 210"/>
    <w:qFormat/>
    <w:rsid w:val="006C641F"/>
    <w:rPr>
      <w:strike w:val="0"/>
      <w:dstrike w:val="0"/>
    </w:rPr>
  </w:style>
  <w:style w:type="character" w:customStyle="1" w:styleId="ListLabel211">
    <w:name w:val="ListLabel 211"/>
    <w:qFormat/>
    <w:rsid w:val="006C641F"/>
    <w:rPr>
      <w:rFonts w:cs="Symbol"/>
    </w:rPr>
  </w:style>
  <w:style w:type="character" w:customStyle="1" w:styleId="ListLabel212">
    <w:name w:val="ListLabel 212"/>
    <w:qFormat/>
    <w:rsid w:val="006C641F"/>
    <w:rPr>
      <w:rFonts w:cs="Symbol"/>
    </w:rPr>
  </w:style>
  <w:style w:type="character" w:customStyle="1" w:styleId="ListLabel213">
    <w:name w:val="ListLabel 213"/>
    <w:qFormat/>
    <w:rsid w:val="006C641F"/>
    <w:rPr>
      <w:rFonts w:cs="Courier New"/>
    </w:rPr>
  </w:style>
  <w:style w:type="character" w:customStyle="1" w:styleId="ListLabel214">
    <w:name w:val="ListLabel 214"/>
    <w:qFormat/>
    <w:rsid w:val="006C641F"/>
    <w:rPr>
      <w:rFonts w:cs="Wingdings"/>
    </w:rPr>
  </w:style>
  <w:style w:type="character" w:customStyle="1" w:styleId="ListLabel215">
    <w:name w:val="ListLabel 215"/>
    <w:qFormat/>
    <w:rsid w:val="006C641F"/>
    <w:rPr>
      <w:rFonts w:cs="Symbol"/>
    </w:rPr>
  </w:style>
  <w:style w:type="character" w:customStyle="1" w:styleId="ListLabel216">
    <w:name w:val="ListLabel 216"/>
    <w:qFormat/>
    <w:rsid w:val="006C641F"/>
    <w:rPr>
      <w:rFonts w:cs="Courier New"/>
    </w:rPr>
  </w:style>
  <w:style w:type="character" w:customStyle="1" w:styleId="ListLabel217">
    <w:name w:val="ListLabel 217"/>
    <w:qFormat/>
    <w:rsid w:val="006C641F"/>
    <w:rPr>
      <w:rFonts w:cs="Wingdings"/>
    </w:rPr>
  </w:style>
  <w:style w:type="character" w:customStyle="1" w:styleId="ListLabel218">
    <w:name w:val="ListLabel 218"/>
    <w:qFormat/>
    <w:rsid w:val="006C641F"/>
    <w:rPr>
      <w:rFonts w:cs="Symbol"/>
    </w:rPr>
  </w:style>
  <w:style w:type="character" w:customStyle="1" w:styleId="ListLabel219">
    <w:name w:val="ListLabel 219"/>
    <w:qFormat/>
    <w:rsid w:val="006C641F"/>
    <w:rPr>
      <w:rFonts w:cs="Courier New"/>
    </w:rPr>
  </w:style>
  <w:style w:type="character" w:customStyle="1" w:styleId="ListLabel220">
    <w:name w:val="ListLabel 220"/>
    <w:qFormat/>
    <w:rsid w:val="006C641F"/>
    <w:rPr>
      <w:rFonts w:cs="Wingdings"/>
    </w:rPr>
  </w:style>
  <w:style w:type="character" w:customStyle="1" w:styleId="ListLabel221">
    <w:name w:val="ListLabel 221"/>
    <w:qFormat/>
    <w:rsid w:val="006C641F"/>
    <w:rPr>
      <w:sz w:val="20"/>
    </w:rPr>
  </w:style>
  <w:style w:type="character" w:customStyle="1" w:styleId="ListLabel222">
    <w:name w:val="ListLabel 222"/>
    <w:qFormat/>
    <w:rsid w:val="006C641F"/>
    <w:rPr>
      <w:rFonts w:cs="OpenSymbol"/>
    </w:rPr>
  </w:style>
  <w:style w:type="character" w:customStyle="1" w:styleId="ListLabel223">
    <w:name w:val="ListLabel 223"/>
    <w:qFormat/>
    <w:rsid w:val="006C641F"/>
    <w:rPr>
      <w:rFonts w:cs="Arial"/>
    </w:rPr>
  </w:style>
  <w:style w:type="character" w:customStyle="1" w:styleId="ListLabel224">
    <w:name w:val="ListLabel 224"/>
    <w:qFormat/>
    <w:rsid w:val="006C641F"/>
    <w:rPr>
      <w:sz w:val="20"/>
    </w:rPr>
  </w:style>
  <w:style w:type="character" w:customStyle="1" w:styleId="ListLabel225">
    <w:name w:val="ListLabel 225"/>
    <w:qFormat/>
    <w:rsid w:val="006C641F"/>
    <w:rPr>
      <w:rFonts w:cs="OpenSymbol"/>
    </w:rPr>
  </w:style>
  <w:style w:type="character" w:customStyle="1" w:styleId="ListLabel226">
    <w:name w:val="ListLabel 226"/>
    <w:qFormat/>
    <w:rsid w:val="006C641F"/>
    <w:rPr>
      <w:rFonts w:cs="Arial"/>
    </w:rPr>
  </w:style>
  <w:style w:type="character" w:customStyle="1" w:styleId="Vietas">
    <w:name w:val="Viñetas"/>
    <w:qFormat/>
    <w:rsid w:val="006C641F"/>
    <w:rPr>
      <w:rFonts w:ascii="OpenSymbol" w:eastAsia="OpenSymbol" w:hAnsi="OpenSymbol" w:cs="OpenSymbol"/>
    </w:rPr>
  </w:style>
  <w:style w:type="character" w:customStyle="1" w:styleId="VisitedInternetLink">
    <w:name w:val="Visited Internet Link"/>
    <w:qFormat/>
    <w:rsid w:val="006C641F"/>
    <w:rPr>
      <w:color w:val="800000"/>
      <w:u w:val="single"/>
    </w:rPr>
  </w:style>
  <w:style w:type="character" w:customStyle="1" w:styleId="highlight">
    <w:name w:val="highlight"/>
    <w:qFormat/>
    <w:rsid w:val="006C641F"/>
  </w:style>
  <w:style w:type="character" w:customStyle="1" w:styleId="EnlacedeInternet">
    <w:name w:val="Enlace de Internet"/>
    <w:uiPriority w:val="99"/>
    <w:unhideWhenUsed/>
    <w:rsid w:val="006C641F"/>
    <w:rPr>
      <w:color w:val="0563C1"/>
      <w:u w:val="single"/>
    </w:rPr>
  </w:style>
  <w:style w:type="paragraph" w:customStyle="1" w:styleId="Standard">
    <w:name w:val="Standard"/>
    <w:qFormat/>
    <w:rsid w:val="006C641F"/>
    <w:rPr>
      <w:rFonts w:ascii="Arial" w:eastAsia="Arial" w:hAnsi="Arial" w:cs="Arial"/>
      <w:kern w:val="2"/>
      <w:sz w:val="22"/>
      <w:szCs w:val="24"/>
      <w:lang w:eastAsia="zh-CN" w:bidi="hi-IN"/>
    </w:rPr>
  </w:style>
  <w:style w:type="character" w:customStyle="1" w:styleId="ListLabel244">
    <w:name w:val="ListLabel 244"/>
    <w:qFormat/>
    <w:rsid w:val="006C641F"/>
    <w:rPr>
      <w:rFonts w:cs="Symbol"/>
    </w:rPr>
  </w:style>
  <w:style w:type="character" w:customStyle="1" w:styleId="ListLabel245">
    <w:name w:val="ListLabel 245"/>
    <w:qFormat/>
    <w:rsid w:val="006C641F"/>
    <w:rPr>
      <w:rFonts w:cs="Courier New"/>
    </w:rPr>
  </w:style>
  <w:style w:type="character" w:customStyle="1" w:styleId="ListLabel246">
    <w:name w:val="ListLabel 246"/>
    <w:qFormat/>
    <w:rsid w:val="006C641F"/>
    <w:rPr>
      <w:rFonts w:cs="Wingdings"/>
    </w:rPr>
  </w:style>
  <w:style w:type="character" w:customStyle="1" w:styleId="ListLabel247">
    <w:name w:val="ListLabel 247"/>
    <w:qFormat/>
    <w:rsid w:val="006C641F"/>
    <w:rPr>
      <w:rFonts w:cs="Symbol"/>
    </w:rPr>
  </w:style>
  <w:style w:type="character" w:customStyle="1" w:styleId="ListLabel248">
    <w:name w:val="ListLabel 248"/>
    <w:qFormat/>
    <w:rsid w:val="006C641F"/>
    <w:rPr>
      <w:rFonts w:cs="Courier New"/>
    </w:rPr>
  </w:style>
  <w:style w:type="character" w:customStyle="1" w:styleId="ListLabel249">
    <w:name w:val="ListLabel 249"/>
    <w:qFormat/>
    <w:rsid w:val="006C641F"/>
    <w:rPr>
      <w:rFonts w:cs="Wingdings"/>
    </w:rPr>
  </w:style>
  <w:style w:type="character" w:customStyle="1" w:styleId="ListLabel250">
    <w:name w:val="ListLabel 250"/>
    <w:qFormat/>
    <w:rsid w:val="006C641F"/>
    <w:rPr>
      <w:rFonts w:cs="Symbol"/>
    </w:rPr>
  </w:style>
  <w:style w:type="character" w:customStyle="1" w:styleId="ListLabel251">
    <w:name w:val="ListLabel 251"/>
    <w:qFormat/>
    <w:rsid w:val="006C641F"/>
    <w:rPr>
      <w:rFonts w:cs="Courier New"/>
    </w:rPr>
  </w:style>
  <w:style w:type="character" w:customStyle="1" w:styleId="ListLabel252">
    <w:name w:val="ListLabel 252"/>
    <w:qFormat/>
    <w:rsid w:val="006C641F"/>
    <w:rPr>
      <w:rFonts w:cs="Wingdings"/>
    </w:rPr>
  </w:style>
  <w:style w:type="character" w:customStyle="1" w:styleId="ListLabel253">
    <w:name w:val="ListLabel 253"/>
    <w:qFormat/>
    <w:rsid w:val="006C641F"/>
    <w:rPr>
      <w:rFonts w:eastAsia="OpenSymbol" w:cs="OpenSymbol"/>
    </w:rPr>
  </w:style>
  <w:style w:type="character" w:customStyle="1" w:styleId="ListLabel254">
    <w:name w:val="ListLabel 254"/>
    <w:qFormat/>
    <w:rsid w:val="006C641F"/>
    <w:rPr>
      <w:rFonts w:eastAsia="OpenSymbol" w:cs="OpenSymbol"/>
    </w:rPr>
  </w:style>
  <w:style w:type="character" w:customStyle="1" w:styleId="ListLabel255">
    <w:name w:val="ListLabel 255"/>
    <w:qFormat/>
    <w:rsid w:val="006C641F"/>
    <w:rPr>
      <w:rFonts w:eastAsia="OpenSymbol" w:cs="OpenSymbol"/>
    </w:rPr>
  </w:style>
  <w:style w:type="character" w:customStyle="1" w:styleId="ListLabel256">
    <w:name w:val="ListLabel 256"/>
    <w:qFormat/>
    <w:rsid w:val="006C641F"/>
    <w:rPr>
      <w:rFonts w:eastAsia="OpenSymbol" w:cs="OpenSymbol"/>
    </w:rPr>
  </w:style>
  <w:style w:type="character" w:customStyle="1" w:styleId="ListLabel257">
    <w:name w:val="ListLabel 257"/>
    <w:qFormat/>
    <w:rsid w:val="006C641F"/>
    <w:rPr>
      <w:rFonts w:eastAsia="OpenSymbol" w:cs="OpenSymbol"/>
    </w:rPr>
  </w:style>
  <w:style w:type="character" w:customStyle="1" w:styleId="ListLabel258">
    <w:name w:val="ListLabel 258"/>
    <w:qFormat/>
    <w:rsid w:val="006C641F"/>
    <w:rPr>
      <w:rFonts w:eastAsia="OpenSymbol" w:cs="OpenSymbol"/>
    </w:rPr>
  </w:style>
  <w:style w:type="character" w:customStyle="1" w:styleId="ListLabel259">
    <w:name w:val="ListLabel 259"/>
    <w:qFormat/>
    <w:rsid w:val="006C641F"/>
    <w:rPr>
      <w:rFonts w:eastAsia="OpenSymbol" w:cs="OpenSymbol"/>
    </w:rPr>
  </w:style>
  <w:style w:type="character" w:customStyle="1" w:styleId="ListLabel260">
    <w:name w:val="ListLabel 260"/>
    <w:qFormat/>
    <w:rsid w:val="006C641F"/>
    <w:rPr>
      <w:rFonts w:eastAsia="OpenSymbol" w:cs="OpenSymbol"/>
    </w:rPr>
  </w:style>
  <w:style w:type="character" w:customStyle="1" w:styleId="ListLabel261">
    <w:name w:val="ListLabel 261"/>
    <w:qFormat/>
    <w:rsid w:val="006C641F"/>
    <w:rPr>
      <w:rFonts w:eastAsia="OpenSymbol" w:cs="OpenSymbol"/>
    </w:rPr>
  </w:style>
  <w:style w:type="character" w:customStyle="1" w:styleId="ListLabel262">
    <w:name w:val="ListLabel 262"/>
    <w:qFormat/>
    <w:rsid w:val="006C641F"/>
    <w:rPr>
      <w:rFonts w:eastAsia="OpenSymbol" w:cs="OpenSymbol"/>
    </w:rPr>
  </w:style>
  <w:style w:type="character" w:customStyle="1" w:styleId="ListLabel263">
    <w:name w:val="ListLabel 263"/>
    <w:qFormat/>
    <w:rsid w:val="006C641F"/>
    <w:rPr>
      <w:rFonts w:eastAsia="OpenSymbol" w:cs="OpenSymbol"/>
    </w:rPr>
  </w:style>
  <w:style w:type="character" w:customStyle="1" w:styleId="ListLabel264">
    <w:name w:val="ListLabel 264"/>
    <w:qFormat/>
    <w:rsid w:val="006C641F"/>
    <w:rPr>
      <w:rFonts w:eastAsia="OpenSymbol" w:cs="OpenSymbol"/>
    </w:rPr>
  </w:style>
  <w:style w:type="character" w:customStyle="1" w:styleId="ListLabel265">
    <w:name w:val="ListLabel 265"/>
    <w:qFormat/>
    <w:rsid w:val="006C641F"/>
    <w:rPr>
      <w:rFonts w:eastAsia="OpenSymbol" w:cs="OpenSymbol"/>
    </w:rPr>
  </w:style>
  <w:style w:type="character" w:customStyle="1" w:styleId="ListLabel266">
    <w:name w:val="ListLabel 266"/>
    <w:qFormat/>
    <w:rsid w:val="006C641F"/>
    <w:rPr>
      <w:rFonts w:eastAsia="OpenSymbol" w:cs="OpenSymbol"/>
    </w:rPr>
  </w:style>
  <w:style w:type="character" w:customStyle="1" w:styleId="ListLabel267">
    <w:name w:val="ListLabel 267"/>
    <w:qFormat/>
    <w:rsid w:val="006C641F"/>
    <w:rPr>
      <w:rFonts w:eastAsia="OpenSymbol" w:cs="OpenSymbol"/>
    </w:rPr>
  </w:style>
  <w:style w:type="character" w:customStyle="1" w:styleId="ListLabel268">
    <w:name w:val="ListLabel 268"/>
    <w:qFormat/>
    <w:rsid w:val="006C641F"/>
    <w:rPr>
      <w:rFonts w:eastAsia="OpenSymbol" w:cs="OpenSymbol"/>
    </w:rPr>
  </w:style>
  <w:style w:type="character" w:customStyle="1" w:styleId="ListLabel269">
    <w:name w:val="ListLabel 269"/>
    <w:qFormat/>
    <w:rsid w:val="006C641F"/>
    <w:rPr>
      <w:rFonts w:eastAsia="OpenSymbol" w:cs="OpenSymbol"/>
    </w:rPr>
  </w:style>
  <w:style w:type="character" w:customStyle="1" w:styleId="ListLabel270">
    <w:name w:val="ListLabel 270"/>
    <w:qFormat/>
    <w:rsid w:val="006C641F"/>
    <w:rPr>
      <w:rFonts w:eastAsia="OpenSymbol" w:cs="OpenSymbol"/>
    </w:rPr>
  </w:style>
  <w:style w:type="character" w:customStyle="1" w:styleId="ListLabel271">
    <w:name w:val="ListLabel 271"/>
    <w:qFormat/>
    <w:rsid w:val="006C641F"/>
    <w:rPr>
      <w:rFonts w:eastAsia="OpenSymbol" w:cs="OpenSymbol"/>
    </w:rPr>
  </w:style>
  <w:style w:type="character" w:customStyle="1" w:styleId="ListLabel272">
    <w:name w:val="ListLabel 272"/>
    <w:qFormat/>
    <w:rsid w:val="006C641F"/>
    <w:rPr>
      <w:rFonts w:eastAsia="OpenSymbol" w:cs="OpenSymbol"/>
    </w:rPr>
  </w:style>
  <w:style w:type="character" w:customStyle="1" w:styleId="ListLabel273">
    <w:name w:val="ListLabel 273"/>
    <w:qFormat/>
    <w:rsid w:val="006C641F"/>
    <w:rPr>
      <w:rFonts w:eastAsia="OpenSymbol" w:cs="OpenSymbol"/>
    </w:rPr>
  </w:style>
  <w:style w:type="character" w:customStyle="1" w:styleId="ListLabel274">
    <w:name w:val="ListLabel 274"/>
    <w:qFormat/>
    <w:rsid w:val="006C641F"/>
    <w:rPr>
      <w:rFonts w:eastAsia="OpenSymbol" w:cs="OpenSymbol"/>
    </w:rPr>
  </w:style>
  <w:style w:type="character" w:customStyle="1" w:styleId="ListLabel275">
    <w:name w:val="ListLabel 275"/>
    <w:qFormat/>
    <w:rsid w:val="006C641F"/>
    <w:rPr>
      <w:rFonts w:eastAsia="OpenSymbol" w:cs="OpenSymbol"/>
    </w:rPr>
  </w:style>
  <w:style w:type="character" w:customStyle="1" w:styleId="ListLabel276">
    <w:name w:val="ListLabel 276"/>
    <w:qFormat/>
    <w:rsid w:val="006C641F"/>
    <w:rPr>
      <w:rFonts w:eastAsia="OpenSymbol" w:cs="OpenSymbol"/>
    </w:rPr>
  </w:style>
  <w:style w:type="character" w:customStyle="1" w:styleId="ListLabel277">
    <w:name w:val="ListLabel 277"/>
    <w:qFormat/>
    <w:rsid w:val="006C641F"/>
    <w:rPr>
      <w:rFonts w:eastAsia="OpenSymbol" w:cs="OpenSymbol"/>
    </w:rPr>
  </w:style>
  <w:style w:type="character" w:customStyle="1" w:styleId="ListLabel278">
    <w:name w:val="ListLabel 278"/>
    <w:qFormat/>
    <w:rsid w:val="006C641F"/>
    <w:rPr>
      <w:rFonts w:eastAsia="OpenSymbol" w:cs="OpenSymbol"/>
    </w:rPr>
  </w:style>
  <w:style w:type="character" w:customStyle="1" w:styleId="ListLabel279">
    <w:name w:val="ListLabel 279"/>
    <w:qFormat/>
    <w:rsid w:val="006C641F"/>
    <w:rPr>
      <w:rFonts w:eastAsia="OpenSymbol" w:cs="OpenSymbol"/>
    </w:rPr>
  </w:style>
  <w:style w:type="character" w:customStyle="1" w:styleId="ListLabel280">
    <w:name w:val="ListLabel 280"/>
    <w:qFormat/>
    <w:rsid w:val="006C641F"/>
    <w:rPr>
      <w:rFonts w:eastAsia="OpenSymbol" w:cs="OpenSymbol"/>
    </w:rPr>
  </w:style>
  <w:style w:type="character" w:customStyle="1" w:styleId="ListLabel281">
    <w:name w:val="ListLabel 281"/>
    <w:qFormat/>
    <w:rsid w:val="006C641F"/>
    <w:rPr>
      <w:rFonts w:eastAsia="OpenSymbol" w:cs="OpenSymbol"/>
    </w:rPr>
  </w:style>
  <w:style w:type="character" w:customStyle="1" w:styleId="ListLabel282">
    <w:name w:val="ListLabel 282"/>
    <w:qFormat/>
    <w:rsid w:val="006C641F"/>
    <w:rPr>
      <w:rFonts w:eastAsia="OpenSymbol" w:cs="OpenSymbol"/>
    </w:rPr>
  </w:style>
  <w:style w:type="character" w:customStyle="1" w:styleId="ListLabel283">
    <w:name w:val="ListLabel 283"/>
    <w:qFormat/>
    <w:rsid w:val="006C641F"/>
    <w:rPr>
      <w:rFonts w:eastAsia="OpenSymbol" w:cs="OpenSymbol"/>
    </w:rPr>
  </w:style>
  <w:style w:type="character" w:customStyle="1" w:styleId="ListLabel284">
    <w:name w:val="ListLabel 284"/>
    <w:qFormat/>
    <w:rsid w:val="006C641F"/>
    <w:rPr>
      <w:rFonts w:eastAsia="OpenSymbol" w:cs="OpenSymbol"/>
    </w:rPr>
  </w:style>
  <w:style w:type="character" w:customStyle="1" w:styleId="ListLabel285">
    <w:name w:val="ListLabel 285"/>
    <w:qFormat/>
    <w:rsid w:val="006C641F"/>
    <w:rPr>
      <w:strike w:val="0"/>
      <w:dstrike w:val="0"/>
    </w:rPr>
  </w:style>
  <w:style w:type="character" w:customStyle="1" w:styleId="ListLabel286">
    <w:name w:val="ListLabel 286"/>
    <w:qFormat/>
    <w:rsid w:val="006C641F"/>
    <w:rPr>
      <w:rFonts w:cs="Symbol"/>
    </w:rPr>
  </w:style>
  <w:style w:type="character" w:customStyle="1" w:styleId="ListLabel287">
    <w:name w:val="ListLabel 287"/>
    <w:qFormat/>
    <w:rsid w:val="006C641F"/>
    <w:rPr>
      <w:rFonts w:cs="Courier New"/>
    </w:rPr>
  </w:style>
  <w:style w:type="character" w:customStyle="1" w:styleId="ListLabel288">
    <w:name w:val="ListLabel 288"/>
    <w:qFormat/>
    <w:rsid w:val="006C641F"/>
    <w:rPr>
      <w:rFonts w:cs="Courier New"/>
    </w:rPr>
  </w:style>
  <w:style w:type="character" w:customStyle="1" w:styleId="ListLabel289">
    <w:name w:val="ListLabel 289"/>
    <w:qFormat/>
    <w:rsid w:val="006C641F"/>
    <w:rPr>
      <w:rFonts w:cs="Courier New"/>
    </w:rPr>
  </w:style>
  <w:style w:type="character" w:customStyle="1" w:styleId="ListLabel290">
    <w:name w:val="ListLabel 290"/>
    <w:qFormat/>
    <w:rsid w:val="006C641F"/>
    <w:rPr>
      <w:rFonts w:eastAsia="Arial" w:cs="Arial"/>
    </w:rPr>
  </w:style>
  <w:style w:type="character" w:customStyle="1" w:styleId="ListLabel291">
    <w:name w:val="ListLabel 291"/>
    <w:qFormat/>
    <w:rsid w:val="006C641F"/>
    <w:rPr>
      <w:rFonts w:cs="Courier New"/>
    </w:rPr>
  </w:style>
  <w:style w:type="character" w:customStyle="1" w:styleId="ListLabel292">
    <w:name w:val="ListLabel 292"/>
    <w:qFormat/>
    <w:rsid w:val="006C641F"/>
    <w:rPr>
      <w:rFonts w:cs="Courier New"/>
    </w:rPr>
  </w:style>
  <w:style w:type="character" w:customStyle="1" w:styleId="ListLabel293">
    <w:name w:val="ListLabel 293"/>
    <w:qFormat/>
    <w:rsid w:val="006C641F"/>
    <w:rPr>
      <w:rFonts w:cs="Courier New"/>
    </w:rPr>
  </w:style>
  <w:style w:type="character" w:customStyle="1" w:styleId="ListLabel294">
    <w:name w:val="ListLabel 294"/>
    <w:qFormat/>
    <w:rsid w:val="006C641F"/>
    <w:rPr>
      <w:strike w:val="0"/>
      <w:dstrike w:val="0"/>
    </w:rPr>
  </w:style>
  <w:style w:type="character" w:customStyle="1" w:styleId="ListLabel295">
    <w:name w:val="ListLabel 295"/>
    <w:qFormat/>
    <w:rsid w:val="006C641F"/>
    <w:rPr>
      <w:rFonts w:cs="Symbol"/>
    </w:rPr>
  </w:style>
  <w:style w:type="character" w:customStyle="1" w:styleId="ListLabel296">
    <w:name w:val="ListLabel 296"/>
    <w:qFormat/>
    <w:rsid w:val="006C641F"/>
    <w:rPr>
      <w:rFonts w:cs="Courier New"/>
    </w:rPr>
  </w:style>
  <w:style w:type="character" w:customStyle="1" w:styleId="ListLabel297">
    <w:name w:val="ListLabel 297"/>
    <w:qFormat/>
    <w:rsid w:val="006C641F"/>
    <w:rPr>
      <w:rFonts w:cs="Courier New"/>
    </w:rPr>
  </w:style>
  <w:style w:type="character" w:customStyle="1" w:styleId="ListLabel298">
    <w:name w:val="ListLabel 298"/>
    <w:qFormat/>
    <w:rsid w:val="006C641F"/>
    <w:rPr>
      <w:rFonts w:cs="Courier New"/>
    </w:rPr>
  </w:style>
  <w:style w:type="character" w:customStyle="1" w:styleId="ListLabel299">
    <w:name w:val="ListLabel 299"/>
    <w:qFormat/>
    <w:rsid w:val="006C641F"/>
    <w:rPr>
      <w:rFonts w:cs="Courier New"/>
    </w:rPr>
  </w:style>
  <w:style w:type="character" w:customStyle="1" w:styleId="ListLabel300">
    <w:name w:val="ListLabel 300"/>
    <w:qFormat/>
    <w:rsid w:val="006C641F"/>
    <w:rPr>
      <w:rFonts w:cs="Courier New"/>
    </w:rPr>
  </w:style>
  <w:style w:type="character" w:customStyle="1" w:styleId="ListLabel301">
    <w:name w:val="ListLabel 301"/>
    <w:qFormat/>
    <w:rsid w:val="006C641F"/>
    <w:rPr>
      <w:rFonts w:cs="Courier New"/>
    </w:rPr>
  </w:style>
  <w:style w:type="character" w:customStyle="1" w:styleId="ListLabel302">
    <w:name w:val="ListLabel 302"/>
    <w:qFormat/>
    <w:rsid w:val="006C641F"/>
    <w:rPr>
      <w:rFonts w:cs="Courier New"/>
    </w:rPr>
  </w:style>
  <w:style w:type="character" w:customStyle="1" w:styleId="ListLabel303">
    <w:name w:val="ListLabel 303"/>
    <w:qFormat/>
    <w:rsid w:val="006C641F"/>
    <w:rPr>
      <w:rFonts w:cs="Courier New"/>
    </w:rPr>
  </w:style>
  <w:style w:type="character" w:customStyle="1" w:styleId="ListLabel304">
    <w:name w:val="ListLabel 304"/>
    <w:qFormat/>
    <w:rsid w:val="006C641F"/>
    <w:rPr>
      <w:rFonts w:cs="Courier New"/>
    </w:rPr>
  </w:style>
  <w:style w:type="character" w:customStyle="1" w:styleId="ListLabel305">
    <w:name w:val="ListLabel 305"/>
    <w:qFormat/>
    <w:rsid w:val="006C641F"/>
    <w:rPr>
      <w:rFonts w:eastAsia="Arial" w:cs="Arial"/>
    </w:rPr>
  </w:style>
  <w:style w:type="character" w:customStyle="1" w:styleId="ListLabel306">
    <w:name w:val="ListLabel 306"/>
    <w:qFormat/>
    <w:rsid w:val="006C641F"/>
    <w:rPr>
      <w:rFonts w:cs="Courier New"/>
    </w:rPr>
  </w:style>
  <w:style w:type="character" w:customStyle="1" w:styleId="ListLabel307">
    <w:name w:val="ListLabel 307"/>
    <w:qFormat/>
    <w:rsid w:val="006C641F"/>
    <w:rPr>
      <w:rFonts w:cs="Courier New"/>
    </w:rPr>
  </w:style>
  <w:style w:type="character" w:customStyle="1" w:styleId="ListLabel308">
    <w:name w:val="ListLabel 308"/>
    <w:qFormat/>
    <w:rsid w:val="006C641F"/>
    <w:rPr>
      <w:rFonts w:cs="Courier New"/>
    </w:rPr>
  </w:style>
  <w:style w:type="character" w:customStyle="1" w:styleId="ListLabel309">
    <w:name w:val="ListLabel 309"/>
    <w:qFormat/>
    <w:rsid w:val="006C641F"/>
    <w:rPr>
      <w:rFonts w:cs="Courier New"/>
    </w:rPr>
  </w:style>
  <w:style w:type="character" w:customStyle="1" w:styleId="ListLabel310">
    <w:name w:val="ListLabel 310"/>
    <w:qFormat/>
    <w:rsid w:val="006C641F"/>
    <w:rPr>
      <w:rFonts w:cs="Courier New"/>
    </w:rPr>
  </w:style>
  <w:style w:type="character" w:customStyle="1" w:styleId="ListLabel311">
    <w:name w:val="ListLabel 311"/>
    <w:qFormat/>
    <w:rsid w:val="006C641F"/>
    <w:rPr>
      <w:rFonts w:cs="Courier New"/>
    </w:rPr>
  </w:style>
  <w:style w:type="character" w:customStyle="1" w:styleId="ListLabel312">
    <w:name w:val="ListLabel 312"/>
    <w:qFormat/>
    <w:rsid w:val="006C641F"/>
    <w:rPr>
      <w:rFonts w:cs="Courier New"/>
    </w:rPr>
  </w:style>
  <w:style w:type="character" w:customStyle="1" w:styleId="ListLabel313">
    <w:name w:val="ListLabel 313"/>
    <w:qFormat/>
    <w:rsid w:val="006C641F"/>
    <w:rPr>
      <w:rFonts w:cs="Courier New"/>
    </w:rPr>
  </w:style>
  <w:style w:type="character" w:customStyle="1" w:styleId="ListLabel314">
    <w:name w:val="ListLabel 314"/>
    <w:qFormat/>
    <w:rsid w:val="006C641F"/>
    <w:rPr>
      <w:rFonts w:cs="Courier New"/>
    </w:rPr>
  </w:style>
  <w:style w:type="character" w:customStyle="1" w:styleId="ListLabel315">
    <w:name w:val="ListLabel 315"/>
    <w:qFormat/>
    <w:rsid w:val="006C641F"/>
  </w:style>
  <w:style w:type="character" w:customStyle="1" w:styleId="ListLabel316">
    <w:name w:val="ListLabel 316"/>
    <w:qFormat/>
    <w:rsid w:val="006C641F"/>
    <w:rPr>
      <w:rFonts w:cs="Symbol"/>
    </w:rPr>
  </w:style>
  <w:style w:type="character" w:customStyle="1" w:styleId="ListLabel317">
    <w:name w:val="ListLabel 317"/>
    <w:qFormat/>
    <w:rsid w:val="006C641F"/>
    <w:rPr>
      <w:rFonts w:cs="Courier New"/>
    </w:rPr>
  </w:style>
  <w:style w:type="character" w:customStyle="1" w:styleId="ListLabel318">
    <w:name w:val="ListLabel 318"/>
    <w:qFormat/>
    <w:rsid w:val="006C641F"/>
    <w:rPr>
      <w:rFonts w:cs="Wingdings"/>
    </w:rPr>
  </w:style>
  <w:style w:type="character" w:customStyle="1" w:styleId="ListLabel319">
    <w:name w:val="ListLabel 319"/>
    <w:qFormat/>
    <w:rsid w:val="006C641F"/>
    <w:rPr>
      <w:rFonts w:cs="Symbol"/>
    </w:rPr>
  </w:style>
  <w:style w:type="character" w:customStyle="1" w:styleId="ListLabel320">
    <w:name w:val="ListLabel 320"/>
    <w:qFormat/>
    <w:rsid w:val="006C641F"/>
    <w:rPr>
      <w:rFonts w:cs="Courier New"/>
    </w:rPr>
  </w:style>
  <w:style w:type="character" w:customStyle="1" w:styleId="ListLabel321">
    <w:name w:val="ListLabel 321"/>
    <w:qFormat/>
    <w:rsid w:val="006C641F"/>
    <w:rPr>
      <w:rFonts w:cs="Wingdings"/>
    </w:rPr>
  </w:style>
  <w:style w:type="character" w:customStyle="1" w:styleId="ListLabel322">
    <w:name w:val="ListLabel 322"/>
    <w:qFormat/>
    <w:rsid w:val="006C641F"/>
    <w:rPr>
      <w:rFonts w:cs="Symbol"/>
    </w:rPr>
  </w:style>
  <w:style w:type="character" w:customStyle="1" w:styleId="ListLabel323">
    <w:name w:val="ListLabel 323"/>
    <w:qFormat/>
    <w:rsid w:val="006C641F"/>
    <w:rPr>
      <w:rFonts w:cs="Courier New"/>
    </w:rPr>
  </w:style>
  <w:style w:type="character" w:customStyle="1" w:styleId="ListLabel324">
    <w:name w:val="ListLabel 324"/>
    <w:qFormat/>
    <w:rsid w:val="006C641F"/>
    <w:rPr>
      <w:rFonts w:cs="Wingdings"/>
    </w:rPr>
  </w:style>
  <w:style w:type="character" w:customStyle="1" w:styleId="ListLabel325">
    <w:name w:val="ListLabel 325"/>
    <w:qFormat/>
    <w:rsid w:val="006C641F"/>
    <w:rPr>
      <w:strike w:val="0"/>
      <w:dstrike w:val="0"/>
    </w:rPr>
  </w:style>
  <w:style w:type="character" w:customStyle="1" w:styleId="ListLabel326">
    <w:name w:val="ListLabel 326"/>
    <w:qFormat/>
    <w:rsid w:val="006C641F"/>
    <w:rPr>
      <w:rFonts w:cs="Symbol"/>
    </w:rPr>
  </w:style>
  <w:style w:type="character" w:customStyle="1" w:styleId="ListLabel327">
    <w:name w:val="ListLabel 327"/>
    <w:qFormat/>
    <w:rsid w:val="006C641F"/>
    <w:rPr>
      <w:strike w:val="0"/>
      <w:dstrike w:val="0"/>
    </w:rPr>
  </w:style>
  <w:style w:type="character" w:customStyle="1" w:styleId="ListLabel328">
    <w:name w:val="ListLabel 328"/>
    <w:qFormat/>
    <w:rsid w:val="006C641F"/>
    <w:rPr>
      <w:rFonts w:cs="Symbol"/>
    </w:rPr>
  </w:style>
  <w:style w:type="character" w:customStyle="1" w:styleId="ListLabel329">
    <w:name w:val="ListLabel 329"/>
    <w:qFormat/>
    <w:rsid w:val="006C641F"/>
    <w:rPr>
      <w:rFonts w:cs="Symbol"/>
    </w:rPr>
  </w:style>
  <w:style w:type="character" w:customStyle="1" w:styleId="ListLabel330">
    <w:name w:val="ListLabel 330"/>
    <w:qFormat/>
    <w:rsid w:val="006C641F"/>
    <w:rPr>
      <w:rFonts w:cs="Courier New"/>
    </w:rPr>
  </w:style>
  <w:style w:type="character" w:customStyle="1" w:styleId="ListLabel331">
    <w:name w:val="ListLabel 331"/>
    <w:qFormat/>
    <w:rsid w:val="006C641F"/>
    <w:rPr>
      <w:rFonts w:cs="Wingdings"/>
    </w:rPr>
  </w:style>
  <w:style w:type="character" w:customStyle="1" w:styleId="ListLabel332">
    <w:name w:val="ListLabel 332"/>
    <w:qFormat/>
    <w:rsid w:val="006C641F"/>
    <w:rPr>
      <w:rFonts w:cs="Symbol"/>
    </w:rPr>
  </w:style>
  <w:style w:type="character" w:customStyle="1" w:styleId="ListLabel333">
    <w:name w:val="ListLabel 333"/>
    <w:qFormat/>
    <w:rsid w:val="006C641F"/>
    <w:rPr>
      <w:rFonts w:cs="Courier New"/>
    </w:rPr>
  </w:style>
  <w:style w:type="character" w:customStyle="1" w:styleId="ListLabel334">
    <w:name w:val="ListLabel 334"/>
    <w:qFormat/>
    <w:rsid w:val="006C641F"/>
    <w:rPr>
      <w:rFonts w:cs="Wingdings"/>
    </w:rPr>
  </w:style>
  <w:style w:type="character" w:customStyle="1" w:styleId="ListLabel335">
    <w:name w:val="ListLabel 335"/>
    <w:qFormat/>
    <w:rsid w:val="006C641F"/>
    <w:rPr>
      <w:rFonts w:cs="Symbol"/>
    </w:rPr>
  </w:style>
  <w:style w:type="character" w:customStyle="1" w:styleId="ListLabel336">
    <w:name w:val="ListLabel 336"/>
    <w:qFormat/>
    <w:rsid w:val="006C641F"/>
    <w:rPr>
      <w:rFonts w:cs="Courier New"/>
    </w:rPr>
  </w:style>
  <w:style w:type="character" w:customStyle="1" w:styleId="ListLabel337">
    <w:name w:val="ListLabel 337"/>
    <w:qFormat/>
    <w:rsid w:val="006C641F"/>
    <w:rPr>
      <w:rFonts w:cs="Wingdings"/>
    </w:rPr>
  </w:style>
  <w:style w:type="character" w:customStyle="1" w:styleId="ListLabel338">
    <w:name w:val="ListLabel 338"/>
    <w:qFormat/>
    <w:rsid w:val="006C641F"/>
    <w:rPr>
      <w:rFonts w:cs="Symbol"/>
    </w:rPr>
  </w:style>
  <w:style w:type="character" w:customStyle="1" w:styleId="ListLabel339">
    <w:name w:val="ListLabel 339"/>
    <w:qFormat/>
    <w:rsid w:val="006C641F"/>
    <w:rPr>
      <w:rFonts w:cs="Courier New"/>
    </w:rPr>
  </w:style>
  <w:style w:type="character" w:customStyle="1" w:styleId="ListLabel340">
    <w:name w:val="ListLabel 340"/>
    <w:qFormat/>
    <w:rsid w:val="006C641F"/>
    <w:rPr>
      <w:rFonts w:cs="Wingdings"/>
    </w:rPr>
  </w:style>
  <w:style w:type="character" w:customStyle="1" w:styleId="ListLabel341">
    <w:name w:val="ListLabel 341"/>
    <w:qFormat/>
    <w:rsid w:val="006C641F"/>
    <w:rPr>
      <w:rFonts w:cs="Symbol"/>
    </w:rPr>
  </w:style>
  <w:style w:type="character" w:customStyle="1" w:styleId="ListLabel342">
    <w:name w:val="ListLabel 342"/>
    <w:qFormat/>
    <w:rsid w:val="006C641F"/>
    <w:rPr>
      <w:rFonts w:cs="Courier New"/>
    </w:rPr>
  </w:style>
  <w:style w:type="character" w:customStyle="1" w:styleId="ListLabel343">
    <w:name w:val="ListLabel 343"/>
    <w:qFormat/>
    <w:rsid w:val="006C641F"/>
    <w:rPr>
      <w:rFonts w:cs="Wingdings"/>
    </w:rPr>
  </w:style>
  <w:style w:type="character" w:customStyle="1" w:styleId="ListLabel344">
    <w:name w:val="ListLabel 344"/>
    <w:qFormat/>
    <w:rsid w:val="006C641F"/>
    <w:rPr>
      <w:rFonts w:cs="Symbol"/>
    </w:rPr>
  </w:style>
  <w:style w:type="character" w:customStyle="1" w:styleId="ListLabel345">
    <w:name w:val="ListLabel 345"/>
    <w:qFormat/>
    <w:rsid w:val="006C641F"/>
    <w:rPr>
      <w:rFonts w:cs="Courier New"/>
    </w:rPr>
  </w:style>
  <w:style w:type="character" w:customStyle="1" w:styleId="ListLabel346">
    <w:name w:val="ListLabel 346"/>
    <w:qFormat/>
    <w:rsid w:val="006C641F"/>
    <w:rPr>
      <w:rFonts w:cs="Wingdings"/>
    </w:rPr>
  </w:style>
  <w:style w:type="character" w:customStyle="1" w:styleId="ListLabel347">
    <w:name w:val="ListLabel 347"/>
    <w:qFormat/>
    <w:rsid w:val="006C641F"/>
    <w:rPr>
      <w:rFonts w:cs="Symbol"/>
    </w:rPr>
  </w:style>
  <w:style w:type="character" w:customStyle="1" w:styleId="ListLabel348">
    <w:name w:val="ListLabel 348"/>
    <w:qFormat/>
    <w:rsid w:val="006C641F"/>
    <w:rPr>
      <w:rFonts w:cs="Courier New"/>
    </w:rPr>
  </w:style>
  <w:style w:type="character" w:customStyle="1" w:styleId="ListLabel349">
    <w:name w:val="ListLabel 349"/>
    <w:qFormat/>
    <w:rsid w:val="006C641F"/>
    <w:rPr>
      <w:rFonts w:cs="Wingdings"/>
    </w:rPr>
  </w:style>
  <w:style w:type="character" w:customStyle="1" w:styleId="ListLabel350">
    <w:name w:val="ListLabel 350"/>
    <w:qFormat/>
    <w:rsid w:val="006C641F"/>
    <w:rPr>
      <w:rFonts w:cs="Symbol"/>
    </w:rPr>
  </w:style>
  <w:style w:type="character" w:customStyle="1" w:styleId="ListLabel351">
    <w:name w:val="ListLabel 351"/>
    <w:qFormat/>
    <w:rsid w:val="006C641F"/>
    <w:rPr>
      <w:rFonts w:cs="Courier New"/>
    </w:rPr>
  </w:style>
  <w:style w:type="character" w:customStyle="1" w:styleId="ListLabel352">
    <w:name w:val="ListLabel 352"/>
    <w:qFormat/>
    <w:rsid w:val="006C641F"/>
    <w:rPr>
      <w:rFonts w:cs="Wingdings"/>
    </w:rPr>
  </w:style>
  <w:style w:type="character" w:customStyle="1" w:styleId="ListLabel353">
    <w:name w:val="ListLabel 353"/>
    <w:qFormat/>
    <w:rsid w:val="006C641F"/>
    <w:rPr>
      <w:rFonts w:cs="Symbol"/>
    </w:rPr>
  </w:style>
  <w:style w:type="character" w:customStyle="1" w:styleId="ListLabel354">
    <w:name w:val="ListLabel 354"/>
    <w:qFormat/>
    <w:rsid w:val="006C641F"/>
    <w:rPr>
      <w:rFonts w:cs="Courier New"/>
    </w:rPr>
  </w:style>
  <w:style w:type="character" w:customStyle="1" w:styleId="ListLabel355">
    <w:name w:val="ListLabel 355"/>
    <w:qFormat/>
    <w:rsid w:val="006C641F"/>
    <w:rPr>
      <w:rFonts w:cs="Wingdings"/>
    </w:rPr>
  </w:style>
  <w:style w:type="character" w:customStyle="1" w:styleId="ListLabel356">
    <w:name w:val="ListLabel 356"/>
    <w:qFormat/>
    <w:rsid w:val="006C641F"/>
  </w:style>
  <w:style w:type="character" w:customStyle="1" w:styleId="ListLabel357">
    <w:name w:val="ListLabel 357"/>
    <w:qFormat/>
    <w:rsid w:val="006C641F"/>
    <w:rPr>
      <w:rFonts w:cs="Symbol"/>
    </w:rPr>
  </w:style>
  <w:style w:type="character" w:customStyle="1" w:styleId="ListLabel358">
    <w:name w:val="ListLabel 358"/>
    <w:qFormat/>
    <w:rsid w:val="006C641F"/>
    <w:rPr>
      <w:rFonts w:cs="Courier New"/>
    </w:rPr>
  </w:style>
  <w:style w:type="character" w:customStyle="1" w:styleId="ListLabel359">
    <w:name w:val="ListLabel 359"/>
    <w:qFormat/>
    <w:rsid w:val="006C641F"/>
    <w:rPr>
      <w:rFonts w:cs="Wingdings"/>
    </w:rPr>
  </w:style>
  <w:style w:type="character" w:customStyle="1" w:styleId="ListLabel360">
    <w:name w:val="ListLabel 360"/>
    <w:qFormat/>
    <w:rsid w:val="006C641F"/>
    <w:rPr>
      <w:rFonts w:cs="Symbol"/>
    </w:rPr>
  </w:style>
  <w:style w:type="character" w:customStyle="1" w:styleId="ListLabel361">
    <w:name w:val="ListLabel 361"/>
    <w:qFormat/>
    <w:rsid w:val="006C641F"/>
    <w:rPr>
      <w:rFonts w:cs="Courier New"/>
    </w:rPr>
  </w:style>
  <w:style w:type="character" w:customStyle="1" w:styleId="ListLabel362">
    <w:name w:val="ListLabel 362"/>
    <w:qFormat/>
    <w:rsid w:val="006C641F"/>
    <w:rPr>
      <w:rFonts w:cs="Wingdings"/>
    </w:rPr>
  </w:style>
  <w:style w:type="character" w:customStyle="1" w:styleId="ListLabel363">
    <w:name w:val="ListLabel 363"/>
    <w:qFormat/>
    <w:rsid w:val="006C641F"/>
    <w:rPr>
      <w:rFonts w:cs="Symbol"/>
    </w:rPr>
  </w:style>
  <w:style w:type="character" w:customStyle="1" w:styleId="ListLabel364">
    <w:name w:val="ListLabel 364"/>
    <w:qFormat/>
    <w:rsid w:val="006C641F"/>
    <w:rPr>
      <w:rFonts w:cs="Courier New"/>
    </w:rPr>
  </w:style>
  <w:style w:type="character" w:customStyle="1" w:styleId="ListLabel365">
    <w:name w:val="ListLabel 365"/>
    <w:qFormat/>
    <w:rsid w:val="006C641F"/>
    <w:rPr>
      <w:rFonts w:cs="Wingdings"/>
    </w:rPr>
  </w:style>
  <w:style w:type="character" w:customStyle="1" w:styleId="ListLabel366">
    <w:name w:val="ListLabel 366"/>
    <w:qFormat/>
    <w:rsid w:val="006C641F"/>
    <w:rPr>
      <w:strike w:val="0"/>
      <w:dstrike w:val="0"/>
    </w:rPr>
  </w:style>
  <w:style w:type="character" w:customStyle="1" w:styleId="ListLabel367">
    <w:name w:val="ListLabel 367"/>
    <w:qFormat/>
    <w:rsid w:val="006C641F"/>
    <w:rPr>
      <w:rFonts w:cs="Symbol"/>
    </w:rPr>
  </w:style>
  <w:style w:type="character" w:customStyle="1" w:styleId="ListLabel368">
    <w:name w:val="ListLabel 368"/>
    <w:qFormat/>
    <w:rsid w:val="006C641F"/>
    <w:rPr>
      <w:strike w:val="0"/>
      <w:dstrike w:val="0"/>
    </w:rPr>
  </w:style>
  <w:style w:type="character" w:customStyle="1" w:styleId="ListLabel369">
    <w:name w:val="ListLabel 369"/>
    <w:qFormat/>
    <w:rsid w:val="006C641F"/>
    <w:rPr>
      <w:rFonts w:cs="Symbol"/>
    </w:rPr>
  </w:style>
  <w:style w:type="character" w:customStyle="1" w:styleId="ListLabel370">
    <w:name w:val="ListLabel 370"/>
    <w:qFormat/>
    <w:rsid w:val="006C641F"/>
    <w:rPr>
      <w:rFonts w:cs="Symbol"/>
    </w:rPr>
  </w:style>
  <w:style w:type="character" w:customStyle="1" w:styleId="ListLabel371">
    <w:name w:val="ListLabel 371"/>
    <w:qFormat/>
    <w:rsid w:val="006C641F"/>
    <w:rPr>
      <w:rFonts w:cs="Courier New"/>
    </w:rPr>
  </w:style>
  <w:style w:type="character" w:customStyle="1" w:styleId="ListLabel372">
    <w:name w:val="ListLabel 372"/>
    <w:qFormat/>
    <w:rsid w:val="006C641F"/>
    <w:rPr>
      <w:rFonts w:cs="Wingdings"/>
    </w:rPr>
  </w:style>
  <w:style w:type="character" w:customStyle="1" w:styleId="ListLabel373">
    <w:name w:val="ListLabel 373"/>
    <w:qFormat/>
    <w:rsid w:val="006C641F"/>
    <w:rPr>
      <w:rFonts w:cs="Symbol"/>
    </w:rPr>
  </w:style>
  <w:style w:type="character" w:customStyle="1" w:styleId="ListLabel374">
    <w:name w:val="ListLabel 374"/>
    <w:qFormat/>
    <w:rsid w:val="006C641F"/>
    <w:rPr>
      <w:rFonts w:cs="Courier New"/>
    </w:rPr>
  </w:style>
  <w:style w:type="character" w:customStyle="1" w:styleId="ListLabel375">
    <w:name w:val="ListLabel 375"/>
    <w:qFormat/>
    <w:rsid w:val="006C641F"/>
    <w:rPr>
      <w:rFonts w:cs="Wingdings"/>
    </w:rPr>
  </w:style>
  <w:style w:type="character" w:customStyle="1" w:styleId="ListLabel376">
    <w:name w:val="ListLabel 376"/>
    <w:qFormat/>
    <w:rsid w:val="006C641F"/>
    <w:rPr>
      <w:rFonts w:cs="Symbol"/>
    </w:rPr>
  </w:style>
  <w:style w:type="character" w:customStyle="1" w:styleId="ListLabel377">
    <w:name w:val="ListLabel 377"/>
    <w:qFormat/>
    <w:rsid w:val="006C641F"/>
    <w:rPr>
      <w:rFonts w:cs="Courier New"/>
    </w:rPr>
  </w:style>
  <w:style w:type="character" w:customStyle="1" w:styleId="ListLabel378">
    <w:name w:val="ListLabel 378"/>
    <w:qFormat/>
    <w:rsid w:val="006C641F"/>
    <w:rPr>
      <w:rFonts w:cs="Wingdings"/>
    </w:rPr>
  </w:style>
  <w:style w:type="character" w:customStyle="1" w:styleId="ListLabel379">
    <w:name w:val="ListLabel 379"/>
    <w:qFormat/>
    <w:rsid w:val="006C641F"/>
    <w:rPr>
      <w:rFonts w:cs="Symbol"/>
    </w:rPr>
  </w:style>
  <w:style w:type="character" w:customStyle="1" w:styleId="ListLabel380">
    <w:name w:val="ListLabel 380"/>
    <w:qFormat/>
    <w:rsid w:val="006C641F"/>
    <w:rPr>
      <w:rFonts w:cs="Courier New"/>
    </w:rPr>
  </w:style>
  <w:style w:type="character" w:customStyle="1" w:styleId="ListLabel381">
    <w:name w:val="ListLabel 381"/>
    <w:qFormat/>
    <w:rsid w:val="006C641F"/>
    <w:rPr>
      <w:rFonts w:cs="Wingdings"/>
    </w:rPr>
  </w:style>
  <w:style w:type="character" w:customStyle="1" w:styleId="ListLabel382">
    <w:name w:val="ListLabel 382"/>
    <w:qFormat/>
    <w:rsid w:val="006C641F"/>
    <w:rPr>
      <w:rFonts w:cs="Symbol"/>
    </w:rPr>
  </w:style>
  <w:style w:type="character" w:customStyle="1" w:styleId="ListLabel383">
    <w:name w:val="ListLabel 383"/>
    <w:qFormat/>
    <w:rsid w:val="006C641F"/>
    <w:rPr>
      <w:rFonts w:cs="Courier New"/>
    </w:rPr>
  </w:style>
  <w:style w:type="character" w:customStyle="1" w:styleId="ListLabel384">
    <w:name w:val="ListLabel 384"/>
    <w:qFormat/>
    <w:rsid w:val="006C641F"/>
    <w:rPr>
      <w:rFonts w:cs="Wingdings"/>
    </w:rPr>
  </w:style>
  <w:style w:type="character" w:customStyle="1" w:styleId="ListLabel385">
    <w:name w:val="ListLabel 385"/>
    <w:qFormat/>
    <w:rsid w:val="006C641F"/>
    <w:rPr>
      <w:rFonts w:cs="Symbol"/>
    </w:rPr>
  </w:style>
  <w:style w:type="character" w:customStyle="1" w:styleId="ListLabel386">
    <w:name w:val="ListLabel 386"/>
    <w:qFormat/>
    <w:rsid w:val="006C641F"/>
    <w:rPr>
      <w:rFonts w:cs="Courier New"/>
    </w:rPr>
  </w:style>
  <w:style w:type="character" w:customStyle="1" w:styleId="ListLabel387">
    <w:name w:val="ListLabel 387"/>
    <w:qFormat/>
    <w:rsid w:val="006C641F"/>
    <w:rPr>
      <w:rFonts w:cs="Wingdings"/>
    </w:rPr>
  </w:style>
  <w:style w:type="character" w:customStyle="1" w:styleId="ListLabel388">
    <w:name w:val="ListLabel 388"/>
    <w:qFormat/>
    <w:rsid w:val="006C641F"/>
    <w:rPr>
      <w:rFonts w:cs="Symbol"/>
    </w:rPr>
  </w:style>
  <w:style w:type="character" w:customStyle="1" w:styleId="ListLabel389">
    <w:name w:val="ListLabel 389"/>
    <w:qFormat/>
    <w:rsid w:val="006C641F"/>
    <w:rPr>
      <w:rFonts w:cs="Courier New"/>
    </w:rPr>
  </w:style>
  <w:style w:type="character" w:customStyle="1" w:styleId="ListLabel390">
    <w:name w:val="ListLabel 390"/>
    <w:qFormat/>
    <w:rsid w:val="006C641F"/>
    <w:rPr>
      <w:rFonts w:cs="Wingdings"/>
    </w:rPr>
  </w:style>
  <w:style w:type="character" w:customStyle="1" w:styleId="ListLabel391">
    <w:name w:val="ListLabel 391"/>
    <w:qFormat/>
    <w:rsid w:val="006C641F"/>
    <w:rPr>
      <w:rFonts w:cs="Symbol"/>
    </w:rPr>
  </w:style>
  <w:style w:type="character" w:customStyle="1" w:styleId="ListLabel392">
    <w:name w:val="ListLabel 392"/>
    <w:qFormat/>
    <w:rsid w:val="006C641F"/>
    <w:rPr>
      <w:rFonts w:cs="Courier New"/>
    </w:rPr>
  </w:style>
  <w:style w:type="character" w:customStyle="1" w:styleId="ListLabel393">
    <w:name w:val="ListLabel 393"/>
    <w:qFormat/>
    <w:rsid w:val="006C641F"/>
    <w:rPr>
      <w:rFonts w:cs="Wingdings"/>
    </w:rPr>
  </w:style>
  <w:style w:type="character" w:customStyle="1" w:styleId="ListLabel394">
    <w:name w:val="ListLabel 394"/>
    <w:qFormat/>
    <w:rsid w:val="006C641F"/>
    <w:rPr>
      <w:rFonts w:cs="Symbol"/>
    </w:rPr>
  </w:style>
  <w:style w:type="character" w:customStyle="1" w:styleId="ListLabel395">
    <w:name w:val="ListLabel 395"/>
    <w:qFormat/>
    <w:rsid w:val="006C641F"/>
    <w:rPr>
      <w:rFonts w:cs="Courier New"/>
    </w:rPr>
  </w:style>
  <w:style w:type="character" w:customStyle="1" w:styleId="ListLabel396">
    <w:name w:val="ListLabel 396"/>
    <w:qFormat/>
    <w:rsid w:val="006C641F"/>
    <w:rPr>
      <w:rFonts w:cs="Wingdings"/>
    </w:rPr>
  </w:style>
  <w:style w:type="character" w:customStyle="1" w:styleId="ListLabel397">
    <w:name w:val="ListLabel 397"/>
    <w:qFormat/>
    <w:rsid w:val="006C641F"/>
  </w:style>
  <w:style w:type="paragraph" w:customStyle="1" w:styleId="Ttulo1">
    <w:name w:val="Título1"/>
    <w:basedOn w:val="Normal"/>
    <w:next w:val="Corpsdetexte"/>
    <w:qFormat/>
    <w:rsid w:val="006C641F"/>
    <w:pPr>
      <w:keepNext/>
      <w:widowControl w:val="0"/>
      <w:suppressAutoHyphens/>
      <w:spacing w:before="240" w:after="120"/>
      <w:textAlignment w:val="baseline"/>
    </w:pPr>
    <w:rPr>
      <w:rFonts w:ascii="Liberation Sans" w:eastAsia="Noto Sans CJK SC Regular" w:hAnsi="Liberation Sans" w:cs="FreeSans"/>
      <w:kern w:val="2"/>
      <w:sz w:val="28"/>
      <w:szCs w:val="28"/>
      <w:lang w:eastAsia="zh-CN" w:bidi="hi-IN"/>
    </w:rPr>
  </w:style>
  <w:style w:type="paragraph" w:styleId="Liste">
    <w:name w:val="List"/>
    <w:basedOn w:val="Normal"/>
    <w:rsid w:val="006C641F"/>
    <w:pPr>
      <w:widowControl w:val="0"/>
      <w:suppressAutoHyphens/>
      <w:textAlignment w:val="baseline"/>
    </w:pPr>
    <w:rPr>
      <w:rFonts w:ascii="Liberation Sans" w:eastAsia="Noto Sans CJK SC Regular" w:hAnsi="Liberation Sans" w:cs="FreeSans"/>
      <w:kern w:val="2"/>
      <w:lang w:eastAsia="zh-CN" w:bidi="hi-IN"/>
    </w:rPr>
  </w:style>
  <w:style w:type="paragraph" w:customStyle="1" w:styleId="Descripcin1">
    <w:name w:val="Descripción1"/>
    <w:basedOn w:val="Standard"/>
    <w:uiPriority w:val="35"/>
    <w:qFormat/>
    <w:rsid w:val="006C641F"/>
    <w:pPr>
      <w:suppressLineNumbers/>
      <w:spacing w:before="120" w:after="120"/>
    </w:pPr>
    <w:rPr>
      <w:rFonts w:cs="FreeSans"/>
      <w:i/>
      <w:iCs/>
      <w:sz w:val="24"/>
    </w:rPr>
  </w:style>
  <w:style w:type="paragraph" w:customStyle="1" w:styleId="ndice">
    <w:name w:val="Índice"/>
    <w:basedOn w:val="Normal"/>
    <w:qFormat/>
    <w:rsid w:val="006C641F"/>
    <w:pPr>
      <w:widowControl w:val="0"/>
      <w:suppressLineNumbers/>
      <w:suppressAutoHyphens/>
      <w:textAlignment w:val="baseline"/>
    </w:pPr>
    <w:rPr>
      <w:rFonts w:ascii="Liberation Sans" w:eastAsia="Noto Sans CJK SC Regular" w:hAnsi="Liberation Sans" w:cs="FreeSans"/>
      <w:kern w:val="2"/>
      <w:lang w:eastAsia="zh-CN" w:bidi="hi-IN"/>
    </w:rPr>
  </w:style>
  <w:style w:type="paragraph" w:customStyle="1" w:styleId="Textbody">
    <w:name w:val="Text body"/>
    <w:basedOn w:val="Standard"/>
    <w:qFormat/>
    <w:rsid w:val="006C641F"/>
    <w:pPr>
      <w:spacing w:after="140" w:line="288" w:lineRule="auto"/>
    </w:pPr>
  </w:style>
  <w:style w:type="paragraph" w:customStyle="1" w:styleId="CTENormal">
    <w:name w:val="CTE_Normal"/>
    <w:basedOn w:val="Standard"/>
    <w:qFormat/>
    <w:rsid w:val="006C641F"/>
    <w:pPr>
      <w:spacing w:before="200" w:after="100"/>
    </w:pPr>
  </w:style>
  <w:style w:type="paragraph" w:customStyle="1" w:styleId="artculoCTE">
    <w:name w:val="artículoCTE"/>
    <w:basedOn w:val="Standard"/>
    <w:next w:val="Standard"/>
    <w:qFormat/>
    <w:rsid w:val="006C641F"/>
    <w:pPr>
      <w:keepNext/>
      <w:widowControl w:val="0"/>
      <w:spacing w:before="200" w:after="80"/>
    </w:pPr>
    <w:rPr>
      <w:rFonts w:eastAsia="DejaVu Sans" w:cs="Lohit Hindi"/>
      <w:b/>
      <w:lang w:eastAsia="hi-IN"/>
    </w:rPr>
  </w:style>
  <w:style w:type="paragraph" w:customStyle="1" w:styleId="NumeracinCTE">
    <w:name w:val="NumeraciónCTE"/>
    <w:basedOn w:val="Standard"/>
    <w:link w:val="NumeracinCTECar"/>
    <w:qFormat/>
    <w:rsid w:val="006C641F"/>
    <w:pPr>
      <w:tabs>
        <w:tab w:val="left" w:pos="0"/>
      </w:tabs>
      <w:spacing w:after="60"/>
    </w:pPr>
    <w:rPr>
      <w:szCs w:val="20"/>
    </w:rPr>
  </w:style>
  <w:style w:type="paragraph" w:customStyle="1" w:styleId="CTENumeracion1linea0">
    <w:name w:val="CTE_Numeracion + 1ª linea 0"/>
    <w:basedOn w:val="Standard"/>
    <w:qFormat/>
    <w:rsid w:val="006C641F"/>
    <w:pPr>
      <w:spacing w:before="60" w:after="60"/>
    </w:pPr>
    <w:rPr>
      <w:rFonts w:cs="Calibri"/>
    </w:rPr>
  </w:style>
  <w:style w:type="paragraph" w:customStyle="1" w:styleId="CTENumeracionIzquierda063cmSangrafrancesa068">
    <w:name w:val="CTE_Numeracion + Izquierda:  063 cm Sangría francesa:  068..."/>
    <w:basedOn w:val="CTENumeracion"/>
    <w:qFormat/>
    <w:rsid w:val="006C641F"/>
    <w:pPr>
      <w:ind w:left="964" w:hanging="397"/>
      <w:jc w:val="left"/>
    </w:pPr>
    <w:rPr>
      <w:rFonts w:eastAsia="Arial" w:cs="Arial"/>
      <w:kern w:val="2"/>
      <w:sz w:val="22"/>
      <w:szCs w:val="20"/>
      <w:lang w:eastAsia="zh-CN" w:bidi="hi-IN"/>
    </w:rPr>
  </w:style>
  <w:style w:type="paragraph" w:styleId="TitreTR">
    <w:name w:val="toa heading"/>
    <w:basedOn w:val="En-tte"/>
    <w:qFormat/>
    <w:rsid w:val="006C641F"/>
    <w:rPr>
      <w:rFonts w:ascii="Arial" w:eastAsia="Arial" w:hAnsi="Arial" w:cs="Arial"/>
      <w:kern w:val="2"/>
      <w:sz w:val="22"/>
      <w:lang w:eastAsia="zh-CN" w:bidi="hi-IN"/>
    </w:rPr>
  </w:style>
  <w:style w:type="paragraph" w:customStyle="1" w:styleId="Contents1">
    <w:name w:val="Contents 1"/>
    <w:basedOn w:val="Standard"/>
    <w:next w:val="Standard"/>
    <w:qFormat/>
    <w:rsid w:val="006C641F"/>
    <w:pPr>
      <w:tabs>
        <w:tab w:val="left" w:pos="1800"/>
        <w:tab w:val="right" w:pos="9060"/>
      </w:tabs>
      <w:spacing w:before="360"/>
    </w:pPr>
    <w:rPr>
      <w:b/>
      <w:bCs/>
      <w:sz w:val="24"/>
    </w:rPr>
  </w:style>
  <w:style w:type="paragraph" w:customStyle="1" w:styleId="Contents2">
    <w:name w:val="Contents 2"/>
    <w:basedOn w:val="Standard"/>
    <w:next w:val="Standard"/>
    <w:qFormat/>
    <w:rsid w:val="006C641F"/>
    <w:pPr>
      <w:spacing w:before="240"/>
    </w:pPr>
    <w:rPr>
      <w:b/>
      <w:bCs/>
      <w:szCs w:val="20"/>
    </w:rPr>
  </w:style>
  <w:style w:type="paragraph" w:customStyle="1" w:styleId="Contents3">
    <w:name w:val="Contents 3"/>
    <w:basedOn w:val="Standard"/>
    <w:next w:val="Standard"/>
    <w:qFormat/>
    <w:rsid w:val="006C641F"/>
    <w:pPr>
      <w:tabs>
        <w:tab w:val="left" w:pos="1234"/>
        <w:tab w:val="right" w:pos="9494"/>
      </w:tabs>
      <w:ind w:left="434"/>
    </w:pPr>
    <w:rPr>
      <w:szCs w:val="20"/>
    </w:rPr>
  </w:style>
  <w:style w:type="paragraph" w:customStyle="1" w:styleId="CteTtuloSeccion">
    <w:name w:val="CteTítuloSeccion"/>
    <w:qFormat/>
    <w:rsid w:val="006C641F"/>
    <w:pPr>
      <w:keepNext/>
      <w:outlineLvl w:val="0"/>
    </w:pPr>
    <w:rPr>
      <w:rFonts w:ascii="Arial" w:eastAsia="Arial" w:hAnsi="Arial"/>
      <w:b/>
      <w:bCs/>
      <w:color w:val="00000A"/>
      <w:kern w:val="2"/>
      <w:sz w:val="32"/>
      <w:szCs w:val="24"/>
      <w:lang w:eastAsia="ar-SA"/>
    </w:rPr>
  </w:style>
  <w:style w:type="paragraph" w:customStyle="1" w:styleId="CteTtulo1">
    <w:name w:val="CteTítulo1"/>
    <w:basedOn w:val="Titre1"/>
    <w:next w:val="Standard"/>
    <w:qFormat/>
    <w:rsid w:val="006C641F"/>
    <w:pPr>
      <w:widowControl w:val="0"/>
      <w:suppressAutoHyphens/>
      <w:spacing w:before="500" w:after="100" w:line="240" w:lineRule="auto"/>
      <w:jc w:val="left"/>
      <w:textAlignment w:val="baseline"/>
    </w:pPr>
    <w:rPr>
      <w:rFonts w:ascii="Liberation Sans" w:eastAsia="Noto Sans CJK SC Regular" w:hAnsi="Liberation Sans" w:cs="FreeSans"/>
      <w:kern w:val="2"/>
      <w:sz w:val="28"/>
      <w:szCs w:val="28"/>
      <w:lang w:eastAsia="zh-CN" w:bidi="hi-IN"/>
    </w:rPr>
  </w:style>
  <w:style w:type="paragraph" w:customStyle="1" w:styleId="CTEComentario">
    <w:name w:val="CTE_Comentario"/>
    <w:basedOn w:val="Standard"/>
    <w:qFormat/>
    <w:rsid w:val="006C641F"/>
    <w:pPr>
      <w:pBdr>
        <w:left w:val="single" w:sz="4" w:space="4" w:color="000001"/>
      </w:pBdr>
      <w:spacing w:before="62" w:after="62"/>
      <w:ind w:left="1531"/>
    </w:pPr>
    <w:rPr>
      <w:sz w:val="16"/>
      <w:szCs w:val="16"/>
    </w:rPr>
  </w:style>
  <w:style w:type="paragraph" w:customStyle="1" w:styleId="CteTtulo2">
    <w:name w:val="CteTítulo2"/>
    <w:basedOn w:val="Titre2"/>
    <w:qFormat/>
    <w:rsid w:val="006C641F"/>
    <w:pPr>
      <w:widowControl w:val="0"/>
      <w:suppressAutoHyphens/>
      <w:spacing w:before="300" w:after="100" w:line="240" w:lineRule="auto"/>
      <w:jc w:val="left"/>
      <w:textAlignment w:val="baseline"/>
    </w:pPr>
    <w:rPr>
      <w:rFonts w:eastAsia="Noto Sans CJK SC Regular" w:cs="FreeSans"/>
      <w:i w:val="0"/>
      <w:iCs w:val="0"/>
      <w:kern w:val="2"/>
      <w:sz w:val="24"/>
      <w:lang w:eastAsia="zh-CN" w:bidi="hi-IN"/>
    </w:rPr>
  </w:style>
  <w:style w:type="paragraph" w:customStyle="1" w:styleId="CTEtabla-Titulo">
    <w:name w:val="CTE_tabla-Titulo"/>
    <w:basedOn w:val="Standard"/>
    <w:next w:val="Standard"/>
    <w:qFormat/>
    <w:rsid w:val="006C641F"/>
    <w:pPr>
      <w:keepNext/>
      <w:spacing w:before="200" w:after="60"/>
      <w:jc w:val="center"/>
    </w:pPr>
    <w:rPr>
      <w:b/>
      <w:sz w:val="18"/>
    </w:rPr>
  </w:style>
  <w:style w:type="paragraph" w:customStyle="1" w:styleId="CTETabla-nota">
    <w:name w:val="CTE_Tabla-nota"/>
    <w:basedOn w:val="Standard"/>
    <w:qFormat/>
    <w:rsid w:val="006C641F"/>
    <w:pPr>
      <w:spacing w:before="60"/>
      <w:ind w:left="601" w:right="6" w:hanging="233"/>
    </w:pPr>
    <w:rPr>
      <w:sz w:val="16"/>
    </w:rPr>
  </w:style>
  <w:style w:type="paragraph" w:customStyle="1" w:styleId="CTECespacio">
    <w:name w:val="CTE_C_espacio"/>
    <w:basedOn w:val="CTEComentario"/>
    <w:qFormat/>
    <w:rsid w:val="006C641F"/>
    <w:pPr>
      <w:spacing w:before="0" w:after="0"/>
    </w:pPr>
    <w:rPr>
      <w:sz w:val="12"/>
    </w:rPr>
  </w:style>
  <w:style w:type="paragraph" w:customStyle="1" w:styleId="ttulofiguratablafrmulaCTE">
    <w:name w:val="título figura/tabla/fórmulaCTE"/>
    <w:basedOn w:val="Standard"/>
    <w:qFormat/>
    <w:rsid w:val="006C641F"/>
    <w:pPr>
      <w:tabs>
        <w:tab w:val="left" w:pos="1122"/>
        <w:tab w:val="left" w:pos="1309"/>
      </w:tabs>
      <w:jc w:val="center"/>
    </w:pPr>
    <w:rPr>
      <w:b/>
      <w:bCs/>
      <w:sz w:val="18"/>
    </w:rPr>
  </w:style>
  <w:style w:type="paragraph" w:customStyle="1" w:styleId="notapietablafigura">
    <w:name w:val="nota pie tabla/figura"/>
    <w:basedOn w:val="Standard"/>
    <w:qFormat/>
    <w:rsid w:val="006C641F"/>
    <w:pPr>
      <w:tabs>
        <w:tab w:val="left" w:pos="1122"/>
        <w:tab w:val="left" w:pos="1309"/>
      </w:tabs>
    </w:pPr>
    <w:rPr>
      <w:bCs/>
      <w:sz w:val="16"/>
    </w:rPr>
  </w:style>
  <w:style w:type="paragraph" w:customStyle="1" w:styleId="CTEfigura-pie">
    <w:name w:val="CTE_figura-pie"/>
    <w:basedOn w:val="Standard"/>
    <w:qFormat/>
    <w:rsid w:val="006C641F"/>
    <w:pPr>
      <w:tabs>
        <w:tab w:val="left" w:pos="1122"/>
        <w:tab w:val="left" w:pos="1309"/>
      </w:tabs>
      <w:spacing w:before="100" w:after="200"/>
      <w:jc w:val="center"/>
    </w:pPr>
    <w:rPr>
      <w:b/>
      <w:bCs/>
      <w:sz w:val="18"/>
    </w:rPr>
  </w:style>
  <w:style w:type="paragraph" w:customStyle="1" w:styleId="TextBody0">
    <w:name w:val="Text Body"/>
    <w:basedOn w:val="Standard"/>
    <w:qFormat/>
    <w:rsid w:val="006C641F"/>
    <w:pPr>
      <w:spacing w:after="120" w:line="288" w:lineRule="auto"/>
    </w:pPr>
  </w:style>
  <w:style w:type="paragraph" w:customStyle="1" w:styleId="Encabezado8">
    <w:name w:val="Encabezado8"/>
    <w:basedOn w:val="Standard"/>
    <w:qFormat/>
    <w:rsid w:val="006C641F"/>
    <w:pPr>
      <w:keepNext/>
      <w:spacing w:before="240" w:after="120"/>
    </w:pPr>
    <w:rPr>
      <w:rFonts w:ascii="Liberation Sans" w:eastAsia="DejaVu Sans" w:hAnsi="Liberation Sans" w:cs="Lohit Hindi"/>
      <w:sz w:val="28"/>
      <w:szCs w:val="28"/>
    </w:rPr>
  </w:style>
  <w:style w:type="paragraph" w:customStyle="1" w:styleId="Etiqueta">
    <w:name w:val="Etiqueta"/>
    <w:basedOn w:val="Standard"/>
    <w:qFormat/>
    <w:rsid w:val="006C641F"/>
    <w:pPr>
      <w:widowControl w:val="0"/>
      <w:suppressLineNumbers/>
      <w:spacing w:before="120" w:after="120"/>
    </w:pPr>
    <w:rPr>
      <w:rFonts w:eastAsia="DejaVu Sans" w:cs="Lohit Hindi"/>
      <w:i/>
      <w:iCs/>
      <w:sz w:val="24"/>
      <w:lang w:eastAsia="hi-IN"/>
    </w:rPr>
  </w:style>
  <w:style w:type="paragraph" w:customStyle="1" w:styleId="Encabezado7">
    <w:name w:val="Encabezado7"/>
    <w:basedOn w:val="Standard"/>
    <w:qFormat/>
    <w:rsid w:val="006C641F"/>
    <w:pPr>
      <w:keepNext/>
      <w:spacing w:before="240" w:after="120"/>
    </w:pPr>
    <w:rPr>
      <w:rFonts w:ascii="Liberation Sans" w:eastAsia="DejaVu Sans" w:hAnsi="Liberation Sans" w:cs="Lohit Hindi"/>
      <w:sz w:val="28"/>
      <w:szCs w:val="28"/>
    </w:rPr>
  </w:style>
  <w:style w:type="paragraph" w:customStyle="1" w:styleId="CTEComentarioNuevo">
    <w:name w:val="CTE_ComentarioNuevo"/>
    <w:basedOn w:val="CTEComentario"/>
    <w:qFormat/>
    <w:rsid w:val="006C641F"/>
    <w:pPr>
      <w:pBdr>
        <w:left w:val="double" w:sz="2" w:space="4" w:color="000001"/>
      </w:pBdr>
    </w:pPr>
  </w:style>
  <w:style w:type="paragraph" w:customStyle="1" w:styleId="CTECOculto">
    <w:name w:val="CTE_C_Oculto"/>
    <w:basedOn w:val="Standard"/>
    <w:qFormat/>
    <w:rsid w:val="006C641F"/>
    <w:pPr>
      <w:spacing w:before="60" w:after="60"/>
      <w:ind w:left="1531"/>
    </w:pPr>
    <w:rPr>
      <w:vanish/>
      <w:color w:val="0000FF"/>
      <w:sz w:val="16"/>
      <w:szCs w:val="16"/>
    </w:rPr>
  </w:style>
  <w:style w:type="paragraph" w:customStyle="1" w:styleId="CteAnejo-Ttulo4">
    <w:name w:val="CteAnejo-Título4"/>
    <w:basedOn w:val="Standard"/>
    <w:next w:val="Standard"/>
    <w:qFormat/>
    <w:rsid w:val="006C641F"/>
    <w:pPr>
      <w:keepNext/>
      <w:tabs>
        <w:tab w:val="left" w:pos="907"/>
      </w:tabs>
      <w:spacing w:before="200" w:after="100"/>
    </w:pPr>
    <w:rPr>
      <w:b/>
    </w:rPr>
  </w:style>
  <w:style w:type="paragraph" w:customStyle="1" w:styleId="Sangra2detindependiente1">
    <w:name w:val="Sangría 2 de t. independiente1"/>
    <w:basedOn w:val="Standard"/>
    <w:qFormat/>
    <w:rsid w:val="006C641F"/>
    <w:pPr>
      <w:ind w:left="708"/>
    </w:pPr>
    <w:rPr>
      <w:sz w:val="18"/>
    </w:rPr>
  </w:style>
  <w:style w:type="paragraph" w:customStyle="1" w:styleId="CteAnejo-Definicion">
    <w:name w:val="CteAnejo-Definicion"/>
    <w:basedOn w:val="Titre2"/>
    <w:qFormat/>
    <w:rsid w:val="006C641F"/>
    <w:pPr>
      <w:widowControl w:val="0"/>
      <w:suppressAutoHyphens/>
      <w:spacing w:before="300" w:after="100" w:line="240" w:lineRule="auto"/>
      <w:jc w:val="left"/>
      <w:textAlignment w:val="baseline"/>
    </w:pPr>
    <w:rPr>
      <w:rFonts w:ascii="Liberation Sans" w:eastAsia="Noto Sans CJK SC Regular" w:hAnsi="Liberation Sans" w:cs="FreeSans"/>
      <w:kern w:val="2"/>
      <w:lang w:eastAsia="zh-CN" w:bidi="hi-IN"/>
    </w:rPr>
  </w:style>
  <w:style w:type="paragraph" w:customStyle="1" w:styleId="CteInt-TituloSeccion">
    <w:name w:val="CteInt-TituloSeccion"/>
    <w:next w:val="Standard"/>
    <w:qFormat/>
    <w:rsid w:val="006C641F"/>
    <w:pPr>
      <w:keepNext/>
    </w:pPr>
    <w:rPr>
      <w:rFonts w:ascii="Arial" w:eastAsia="Arial" w:hAnsi="Arial"/>
      <w:b/>
      <w:bCs/>
      <w:color w:val="00000A"/>
      <w:kern w:val="2"/>
      <w:sz w:val="36"/>
      <w:szCs w:val="24"/>
      <w:lang w:eastAsia="ar-SA"/>
    </w:rPr>
  </w:style>
  <w:style w:type="paragraph" w:customStyle="1" w:styleId="CteInt-Titulo1">
    <w:name w:val="CteInt-Titulo1"/>
    <w:basedOn w:val="CteTtulo1"/>
    <w:next w:val="Standard"/>
    <w:qFormat/>
    <w:rsid w:val="006C641F"/>
    <w:rPr>
      <w:bCs w:val="0"/>
    </w:rPr>
  </w:style>
  <w:style w:type="paragraph" w:customStyle="1" w:styleId="CTEfigura">
    <w:name w:val="CTE_figura"/>
    <w:basedOn w:val="Standard"/>
    <w:qFormat/>
    <w:rsid w:val="006C641F"/>
    <w:pPr>
      <w:keepNext/>
      <w:spacing w:before="200"/>
      <w:jc w:val="center"/>
    </w:pPr>
  </w:style>
  <w:style w:type="paragraph" w:customStyle="1" w:styleId="CteAnejo-Titulo3">
    <w:name w:val="CteAnejo-Titulo3"/>
    <w:basedOn w:val="CteTtulo3"/>
    <w:qFormat/>
    <w:rsid w:val="006C641F"/>
    <w:pPr>
      <w:numPr>
        <w:ilvl w:val="0"/>
      </w:numPr>
      <w:spacing w:before="200" w:after="100"/>
      <w:ind w:left="284" w:hanging="283"/>
      <w:jc w:val="left"/>
      <w:outlineLvl w:val="2"/>
    </w:pPr>
    <w:rPr>
      <w:rFonts w:eastAsia="Arial" w:cs="Arial"/>
      <w:color w:val="000000"/>
      <w:kern w:val="2"/>
      <w:lang w:bidi="hi-IN"/>
    </w:rPr>
  </w:style>
  <w:style w:type="paragraph" w:customStyle="1" w:styleId="CteAnejo-Titulo1">
    <w:name w:val="CteAnejo-Titulo1"/>
    <w:basedOn w:val="CteTtulo1"/>
    <w:qFormat/>
    <w:rsid w:val="006C641F"/>
    <w:rPr>
      <w:rFonts w:ascii="Arial" w:hAnsi="Arial"/>
    </w:rPr>
  </w:style>
  <w:style w:type="paragraph" w:customStyle="1" w:styleId="CteAnejo-Titulo2">
    <w:name w:val="CteAnejo-Titulo2"/>
    <w:basedOn w:val="CteTtulo2"/>
    <w:qFormat/>
    <w:rsid w:val="006C641F"/>
  </w:style>
  <w:style w:type="paragraph" w:customStyle="1" w:styleId="Contents4">
    <w:name w:val="Contents 4"/>
    <w:basedOn w:val="Standard"/>
    <w:next w:val="Standard"/>
    <w:qFormat/>
    <w:rsid w:val="006C641F"/>
    <w:pPr>
      <w:ind w:left="400"/>
    </w:pPr>
    <w:rPr>
      <w:rFonts w:ascii="Times New Roman" w:eastAsia="Times New Roman" w:hAnsi="Times New Roman" w:cs="Times New Roman"/>
      <w:szCs w:val="20"/>
    </w:rPr>
  </w:style>
  <w:style w:type="paragraph" w:customStyle="1" w:styleId="Contents5">
    <w:name w:val="Contents 5"/>
    <w:basedOn w:val="Standard"/>
    <w:next w:val="Standard"/>
    <w:qFormat/>
    <w:rsid w:val="006C641F"/>
    <w:pPr>
      <w:ind w:left="600"/>
    </w:pPr>
    <w:rPr>
      <w:rFonts w:ascii="Times New Roman" w:eastAsia="Times New Roman" w:hAnsi="Times New Roman" w:cs="Times New Roman"/>
      <w:szCs w:val="20"/>
    </w:rPr>
  </w:style>
  <w:style w:type="paragraph" w:customStyle="1" w:styleId="Contents6">
    <w:name w:val="Contents 6"/>
    <w:basedOn w:val="Standard"/>
    <w:next w:val="Standard"/>
    <w:qFormat/>
    <w:rsid w:val="006C641F"/>
    <w:pPr>
      <w:ind w:left="800"/>
    </w:pPr>
    <w:rPr>
      <w:rFonts w:ascii="Times New Roman" w:eastAsia="Times New Roman" w:hAnsi="Times New Roman" w:cs="Times New Roman"/>
      <w:szCs w:val="20"/>
    </w:rPr>
  </w:style>
  <w:style w:type="paragraph" w:customStyle="1" w:styleId="Contents7">
    <w:name w:val="Contents 7"/>
    <w:basedOn w:val="Standard"/>
    <w:next w:val="Standard"/>
    <w:qFormat/>
    <w:rsid w:val="006C641F"/>
    <w:pPr>
      <w:ind w:left="1000"/>
    </w:pPr>
    <w:rPr>
      <w:rFonts w:ascii="Times New Roman" w:eastAsia="Times New Roman" w:hAnsi="Times New Roman" w:cs="Times New Roman"/>
      <w:szCs w:val="20"/>
    </w:rPr>
  </w:style>
  <w:style w:type="paragraph" w:customStyle="1" w:styleId="Contents8">
    <w:name w:val="Contents 8"/>
    <w:basedOn w:val="Standard"/>
    <w:next w:val="Standard"/>
    <w:qFormat/>
    <w:rsid w:val="006C641F"/>
    <w:pPr>
      <w:ind w:left="1200"/>
    </w:pPr>
    <w:rPr>
      <w:rFonts w:ascii="Times New Roman" w:eastAsia="Times New Roman" w:hAnsi="Times New Roman" w:cs="Times New Roman"/>
      <w:szCs w:val="20"/>
    </w:rPr>
  </w:style>
  <w:style w:type="paragraph" w:customStyle="1" w:styleId="Contents9">
    <w:name w:val="Contents 9"/>
    <w:basedOn w:val="Standard"/>
    <w:next w:val="Standard"/>
    <w:qFormat/>
    <w:rsid w:val="006C641F"/>
    <w:pPr>
      <w:ind w:left="1400"/>
    </w:pPr>
    <w:rPr>
      <w:rFonts w:ascii="Times New Roman" w:eastAsia="Times New Roman" w:hAnsi="Times New Roman" w:cs="Times New Roman"/>
      <w:szCs w:val="20"/>
    </w:rPr>
  </w:style>
  <w:style w:type="paragraph" w:customStyle="1" w:styleId="Mapadeldocumento1">
    <w:name w:val="Mapa del documento1"/>
    <w:basedOn w:val="Standard"/>
    <w:qFormat/>
    <w:rsid w:val="006C641F"/>
    <w:pPr>
      <w:shd w:val="clear" w:color="auto" w:fill="000080"/>
    </w:pPr>
    <w:rPr>
      <w:rFonts w:ascii="Tahoma" w:eastAsia="Tahoma" w:hAnsi="Tahoma" w:cs="Tahoma"/>
      <w:szCs w:val="20"/>
    </w:rPr>
  </w:style>
  <w:style w:type="paragraph" w:customStyle="1" w:styleId="CTETtulo4">
    <w:name w:val="CTETítulo4"/>
    <w:basedOn w:val="Standard"/>
    <w:next w:val="Standard"/>
    <w:qFormat/>
    <w:rsid w:val="006C641F"/>
    <w:pPr>
      <w:keepNext/>
      <w:tabs>
        <w:tab w:val="left" w:pos="907"/>
      </w:tabs>
      <w:spacing w:before="200" w:after="100"/>
      <w:outlineLvl w:val="3"/>
    </w:pPr>
    <w:rPr>
      <w:b/>
    </w:rPr>
  </w:style>
  <w:style w:type="paragraph" w:customStyle="1" w:styleId="CTETtulo5">
    <w:name w:val="CTETítulo5"/>
    <w:basedOn w:val="CTETtulo4"/>
    <w:next w:val="Standard"/>
    <w:qFormat/>
    <w:rsid w:val="006C641F"/>
    <w:pPr>
      <w:outlineLvl w:val="4"/>
    </w:pPr>
  </w:style>
  <w:style w:type="paragraph" w:customStyle="1" w:styleId="Textocomentario3">
    <w:name w:val="Texto comentario3"/>
    <w:basedOn w:val="Standard"/>
    <w:qFormat/>
    <w:rsid w:val="006C641F"/>
    <w:rPr>
      <w:rFonts w:ascii="Times New Roman" w:eastAsia="Times New Roman" w:hAnsi="Times New Roman" w:cs="Times New Roman"/>
    </w:rPr>
  </w:style>
  <w:style w:type="paragraph" w:customStyle="1" w:styleId="Tabladeilustraciones1">
    <w:name w:val="Tabla de ilustraciones1"/>
    <w:basedOn w:val="Standard"/>
    <w:next w:val="Standard"/>
    <w:qFormat/>
    <w:rsid w:val="006C641F"/>
    <w:pPr>
      <w:tabs>
        <w:tab w:val="right" w:leader="dot" w:pos="9758"/>
      </w:tabs>
      <w:ind w:left="403" w:hanging="403"/>
    </w:pPr>
    <w:rPr>
      <w:rFonts w:ascii="Times New Roman" w:eastAsia="Times New Roman" w:hAnsi="Times New Roman" w:cs="Times New Roman"/>
    </w:rPr>
  </w:style>
  <w:style w:type="paragraph" w:styleId="Index1">
    <w:name w:val="index 1"/>
    <w:basedOn w:val="Standard"/>
    <w:next w:val="Standard"/>
    <w:qFormat/>
    <w:rsid w:val="006C641F"/>
    <w:pPr>
      <w:ind w:left="200" w:hanging="200"/>
    </w:pPr>
  </w:style>
  <w:style w:type="paragraph" w:styleId="Index2">
    <w:name w:val="index 2"/>
    <w:basedOn w:val="Standard"/>
    <w:next w:val="Standard"/>
    <w:qFormat/>
    <w:rsid w:val="006C641F"/>
    <w:pPr>
      <w:ind w:left="400" w:hanging="200"/>
    </w:pPr>
  </w:style>
  <w:style w:type="paragraph" w:styleId="Index3">
    <w:name w:val="index 3"/>
    <w:basedOn w:val="Standard"/>
    <w:next w:val="Standard"/>
    <w:qFormat/>
    <w:rsid w:val="006C641F"/>
    <w:pPr>
      <w:ind w:left="600" w:hanging="200"/>
    </w:pPr>
  </w:style>
  <w:style w:type="paragraph" w:styleId="Titreindex">
    <w:name w:val="index heading"/>
    <w:basedOn w:val="Standard"/>
    <w:qFormat/>
    <w:rsid w:val="006C641F"/>
  </w:style>
  <w:style w:type="paragraph" w:styleId="Notedefin">
    <w:name w:val="endnote text"/>
    <w:basedOn w:val="Standard"/>
    <w:link w:val="NotedefinCar"/>
    <w:rsid w:val="006C641F"/>
    <w:rPr>
      <w:rFonts w:ascii="Times New Roman" w:eastAsia="Times New Roman" w:hAnsi="Times New Roman" w:cs="Times New Roman"/>
    </w:rPr>
  </w:style>
  <w:style w:type="character" w:customStyle="1" w:styleId="NotedefinCar">
    <w:name w:val="Note de fin Car"/>
    <w:link w:val="Notedefin"/>
    <w:rsid w:val="006C641F"/>
    <w:rPr>
      <w:kern w:val="2"/>
      <w:sz w:val="22"/>
      <w:szCs w:val="24"/>
      <w:lang w:eastAsia="zh-CN" w:bidi="hi-IN"/>
    </w:rPr>
  </w:style>
  <w:style w:type="paragraph" w:customStyle="1" w:styleId="Encabezadodelista1">
    <w:name w:val="Encabezado de lista1"/>
    <w:basedOn w:val="Standard"/>
    <w:next w:val="Standard"/>
    <w:qFormat/>
    <w:rsid w:val="006C641F"/>
    <w:pPr>
      <w:spacing w:before="120"/>
    </w:pPr>
    <w:rPr>
      <w:b/>
      <w:bCs/>
      <w:sz w:val="24"/>
    </w:rPr>
  </w:style>
  <w:style w:type="paragraph" w:customStyle="1" w:styleId="Sangra3detindependiente1">
    <w:name w:val="Sangría 3 de t. independiente1"/>
    <w:basedOn w:val="Standard"/>
    <w:qFormat/>
    <w:rsid w:val="006C641F"/>
    <w:pPr>
      <w:spacing w:after="120"/>
      <w:ind w:left="283"/>
    </w:pPr>
    <w:rPr>
      <w:sz w:val="16"/>
      <w:szCs w:val="16"/>
    </w:rPr>
  </w:style>
  <w:style w:type="paragraph" w:customStyle="1" w:styleId="TextBodyIndent">
    <w:name w:val="Text Body Indent"/>
    <w:basedOn w:val="Standard"/>
    <w:qFormat/>
    <w:rsid w:val="006C641F"/>
    <w:pPr>
      <w:spacing w:after="120"/>
      <w:ind w:left="283"/>
    </w:pPr>
  </w:style>
  <w:style w:type="paragraph" w:customStyle="1" w:styleId="Sangranormal1">
    <w:name w:val="Sangría normal1"/>
    <w:basedOn w:val="Standard"/>
    <w:qFormat/>
    <w:rsid w:val="006C641F"/>
    <w:pPr>
      <w:ind w:left="708"/>
    </w:pPr>
  </w:style>
  <w:style w:type="paragraph" w:customStyle="1" w:styleId="Textoconsangra1">
    <w:name w:val="Texto con sangría1"/>
    <w:basedOn w:val="Standard"/>
    <w:next w:val="Standard"/>
    <w:qFormat/>
    <w:rsid w:val="006C641F"/>
    <w:pPr>
      <w:ind w:left="200" w:hanging="200"/>
    </w:pPr>
  </w:style>
  <w:style w:type="paragraph" w:customStyle="1" w:styleId="Textodebloque1">
    <w:name w:val="Texto de bloque1"/>
    <w:basedOn w:val="Standard"/>
    <w:qFormat/>
    <w:rsid w:val="006C641F"/>
    <w:pPr>
      <w:spacing w:after="120"/>
      <w:ind w:left="1440" w:right="1440"/>
    </w:pPr>
  </w:style>
  <w:style w:type="paragraph" w:customStyle="1" w:styleId="Textoindependiente21">
    <w:name w:val="Texto independiente 21"/>
    <w:basedOn w:val="Standard"/>
    <w:qFormat/>
    <w:rsid w:val="006C641F"/>
    <w:pPr>
      <w:spacing w:after="120" w:line="480" w:lineRule="auto"/>
    </w:pPr>
  </w:style>
  <w:style w:type="paragraph" w:customStyle="1" w:styleId="Textoindependiente31">
    <w:name w:val="Texto independiente 31"/>
    <w:basedOn w:val="Standard"/>
    <w:qFormat/>
    <w:rsid w:val="006C641F"/>
    <w:pPr>
      <w:spacing w:after="120"/>
    </w:pPr>
    <w:rPr>
      <w:sz w:val="16"/>
      <w:szCs w:val="16"/>
    </w:rPr>
  </w:style>
  <w:style w:type="paragraph" w:customStyle="1" w:styleId="Textoindependienteprimerasangra1">
    <w:name w:val="Texto independiente primera sangría1"/>
    <w:basedOn w:val="TextBody0"/>
    <w:qFormat/>
    <w:rsid w:val="006C641F"/>
    <w:pPr>
      <w:ind w:firstLine="210"/>
    </w:pPr>
  </w:style>
  <w:style w:type="paragraph" w:customStyle="1" w:styleId="Textoindependienteprimerasangra21">
    <w:name w:val="Texto independiente primera sangría 21"/>
    <w:basedOn w:val="TextBodyIndent"/>
    <w:qFormat/>
    <w:rsid w:val="006C641F"/>
    <w:pPr>
      <w:ind w:firstLine="210"/>
    </w:pPr>
  </w:style>
  <w:style w:type="paragraph" w:customStyle="1" w:styleId="Textomacro1">
    <w:name w:val="Texto macro1"/>
    <w:qFormat/>
    <w:rsid w:val="006C641F"/>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Arial" w:hAnsi="Courier New" w:cs="Courier New"/>
      <w:color w:val="00000A"/>
      <w:kern w:val="2"/>
      <w:lang w:eastAsia="ar-SA"/>
    </w:rPr>
  </w:style>
  <w:style w:type="paragraph" w:customStyle="1" w:styleId="Textosinformato1">
    <w:name w:val="Texto sin formato1"/>
    <w:basedOn w:val="Standard"/>
    <w:qFormat/>
    <w:rsid w:val="006C641F"/>
    <w:rPr>
      <w:rFonts w:ascii="Courier New" w:eastAsia="Courier New" w:hAnsi="Courier New" w:cs="Courier New"/>
      <w:szCs w:val="20"/>
    </w:rPr>
  </w:style>
  <w:style w:type="paragraph" w:customStyle="1" w:styleId="CTEComarchivar">
    <w:name w:val="CTE_Com_archivar"/>
    <w:basedOn w:val="CTEComentario"/>
    <w:link w:val="CTEComarchivarCar"/>
    <w:qFormat/>
    <w:rsid w:val="006C641F"/>
    <w:pPr>
      <w:pBdr>
        <w:left w:val="single" w:sz="2" w:space="4" w:color="000001"/>
      </w:pBdr>
      <w:shd w:val="clear" w:color="auto" w:fill="C0C0C0"/>
    </w:pPr>
  </w:style>
  <w:style w:type="paragraph" w:customStyle="1" w:styleId="CTEComNarchivar">
    <w:name w:val="CTE_Com_N_archivar"/>
    <w:basedOn w:val="CTEComarchivar"/>
    <w:qFormat/>
    <w:rsid w:val="006C641F"/>
    <w:pPr>
      <w:pBdr>
        <w:left w:val="double" w:sz="2" w:space="4" w:color="000001"/>
      </w:pBdr>
    </w:pPr>
  </w:style>
  <w:style w:type="paragraph" w:customStyle="1" w:styleId="Cierre1">
    <w:name w:val="Cierre1"/>
    <w:basedOn w:val="Standard"/>
    <w:qFormat/>
    <w:rsid w:val="006C641F"/>
    <w:pPr>
      <w:ind w:left="4252"/>
    </w:pPr>
  </w:style>
  <w:style w:type="paragraph" w:customStyle="1" w:styleId="Continuarlista1">
    <w:name w:val="Continuar lista1"/>
    <w:basedOn w:val="Standard"/>
    <w:qFormat/>
    <w:rsid w:val="006C641F"/>
    <w:pPr>
      <w:spacing w:after="120"/>
      <w:ind w:left="283"/>
    </w:pPr>
  </w:style>
  <w:style w:type="paragraph" w:customStyle="1" w:styleId="Continuarlista21">
    <w:name w:val="Continuar lista 21"/>
    <w:basedOn w:val="Standard"/>
    <w:qFormat/>
    <w:rsid w:val="006C641F"/>
    <w:pPr>
      <w:spacing w:after="120"/>
      <w:ind w:left="566"/>
    </w:pPr>
  </w:style>
  <w:style w:type="paragraph" w:customStyle="1" w:styleId="Continuarlista31">
    <w:name w:val="Continuar lista 31"/>
    <w:basedOn w:val="Standard"/>
    <w:qFormat/>
    <w:rsid w:val="006C641F"/>
    <w:pPr>
      <w:spacing w:after="120"/>
      <w:ind w:left="849"/>
    </w:pPr>
  </w:style>
  <w:style w:type="paragraph" w:customStyle="1" w:styleId="Continuarlista41">
    <w:name w:val="Continuar lista 41"/>
    <w:basedOn w:val="Standard"/>
    <w:qFormat/>
    <w:rsid w:val="006C641F"/>
    <w:pPr>
      <w:spacing w:after="120"/>
      <w:ind w:left="1132"/>
    </w:pPr>
  </w:style>
  <w:style w:type="paragraph" w:customStyle="1" w:styleId="Continuarlista51">
    <w:name w:val="Continuar lista 51"/>
    <w:basedOn w:val="Standard"/>
    <w:qFormat/>
    <w:rsid w:val="006C641F"/>
    <w:pPr>
      <w:spacing w:after="120"/>
      <w:ind w:left="1415"/>
    </w:pPr>
  </w:style>
  <w:style w:type="paragraph" w:styleId="AdresseHTML">
    <w:name w:val="HTML Address"/>
    <w:basedOn w:val="Standard"/>
    <w:link w:val="AdresseHTMLCar"/>
    <w:qFormat/>
    <w:rsid w:val="006C641F"/>
    <w:rPr>
      <w:i/>
      <w:iCs/>
    </w:rPr>
  </w:style>
  <w:style w:type="character" w:customStyle="1" w:styleId="AdresseHTMLCar">
    <w:name w:val="Adresse HTML Car"/>
    <w:link w:val="AdresseHTML"/>
    <w:rsid w:val="006C641F"/>
    <w:rPr>
      <w:rFonts w:ascii="Arial" w:eastAsia="Arial" w:hAnsi="Arial" w:cs="Arial"/>
      <w:i/>
      <w:iCs/>
      <w:kern w:val="2"/>
      <w:sz w:val="22"/>
      <w:szCs w:val="24"/>
      <w:lang w:eastAsia="zh-CN" w:bidi="hi-IN"/>
    </w:rPr>
  </w:style>
  <w:style w:type="paragraph" w:styleId="Adressedestinataire">
    <w:name w:val="envelope address"/>
    <w:basedOn w:val="Standard"/>
    <w:qFormat/>
    <w:rsid w:val="006C641F"/>
    <w:pPr>
      <w:ind w:left="2880"/>
    </w:pPr>
    <w:rPr>
      <w:sz w:val="24"/>
    </w:rPr>
  </w:style>
  <w:style w:type="paragraph" w:customStyle="1" w:styleId="Encabezadodemensaje1">
    <w:name w:val="Encabezado de mensaje1"/>
    <w:basedOn w:val="Standard"/>
    <w:qFormat/>
    <w:rsid w:val="006C641F"/>
    <w:pPr>
      <w:pBdr>
        <w:top w:val="single" w:sz="4" w:space="1" w:color="000001"/>
        <w:left w:val="single" w:sz="4" w:space="1" w:color="000001"/>
        <w:bottom w:val="single" w:sz="4" w:space="1" w:color="000001"/>
        <w:right w:val="single" w:sz="4" w:space="1" w:color="000001"/>
      </w:pBdr>
      <w:shd w:val="clear" w:color="auto" w:fill="CCCCCC"/>
      <w:ind w:left="1134" w:hanging="1134"/>
    </w:pPr>
    <w:rPr>
      <w:sz w:val="24"/>
    </w:rPr>
  </w:style>
  <w:style w:type="paragraph" w:customStyle="1" w:styleId="Encabezadodenota1">
    <w:name w:val="Encabezado de nota1"/>
    <w:basedOn w:val="Standard"/>
    <w:next w:val="Standard"/>
    <w:qFormat/>
    <w:rsid w:val="006C641F"/>
  </w:style>
  <w:style w:type="paragraph" w:customStyle="1" w:styleId="Epgrafe1">
    <w:name w:val="Epígrafe1"/>
    <w:basedOn w:val="Standard"/>
    <w:next w:val="Standard"/>
    <w:qFormat/>
    <w:rsid w:val="006C641F"/>
    <w:rPr>
      <w:b/>
      <w:bCs/>
      <w:szCs w:val="20"/>
    </w:rPr>
  </w:style>
  <w:style w:type="paragraph" w:customStyle="1" w:styleId="Fecha1">
    <w:name w:val="Fecha1"/>
    <w:basedOn w:val="Standard"/>
    <w:next w:val="Standard"/>
    <w:qFormat/>
    <w:rsid w:val="006C641F"/>
  </w:style>
  <w:style w:type="paragraph" w:styleId="Signature">
    <w:name w:val="Signature"/>
    <w:basedOn w:val="Standard"/>
    <w:link w:val="SignatureCar"/>
    <w:rsid w:val="006C641F"/>
    <w:pPr>
      <w:ind w:left="4252"/>
    </w:pPr>
  </w:style>
  <w:style w:type="character" w:customStyle="1" w:styleId="SignatureCar">
    <w:name w:val="Signature Car"/>
    <w:link w:val="Signature"/>
    <w:rsid w:val="006C641F"/>
    <w:rPr>
      <w:rFonts w:ascii="Arial" w:eastAsia="Arial" w:hAnsi="Arial" w:cs="Arial"/>
      <w:kern w:val="2"/>
      <w:sz w:val="22"/>
      <w:szCs w:val="24"/>
      <w:lang w:eastAsia="zh-CN" w:bidi="hi-IN"/>
    </w:rPr>
  </w:style>
  <w:style w:type="paragraph" w:styleId="Signaturelectronique">
    <w:name w:val="E-mail Signature"/>
    <w:basedOn w:val="Standard"/>
    <w:link w:val="SignaturelectroniqueCar"/>
    <w:qFormat/>
    <w:rsid w:val="006C641F"/>
  </w:style>
  <w:style w:type="character" w:customStyle="1" w:styleId="SignaturelectroniqueCar">
    <w:name w:val="Signature électronique Car"/>
    <w:link w:val="Signaturelectronique"/>
    <w:rsid w:val="006C641F"/>
    <w:rPr>
      <w:rFonts w:ascii="Arial" w:eastAsia="Arial" w:hAnsi="Arial" w:cs="Arial"/>
      <w:kern w:val="2"/>
      <w:sz w:val="22"/>
      <w:szCs w:val="24"/>
      <w:lang w:eastAsia="zh-CN" w:bidi="hi-IN"/>
    </w:rPr>
  </w:style>
  <w:style w:type="paragraph" w:styleId="PrformatHTML">
    <w:name w:val="HTML Preformatted"/>
    <w:basedOn w:val="Standard"/>
    <w:link w:val="PrformatHTMLCar"/>
    <w:qFormat/>
    <w:rsid w:val="006C641F"/>
    <w:rPr>
      <w:rFonts w:ascii="Courier New" w:eastAsia="Courier New" w:hAnsi="Courier New" w:cs="Courier New"/>
      <w:szCs w:val="20"/>
    </w:rPr>
  </w:style>
  <w:style w:type="character" w:customStyle="1" w:styleId="PrformatHTMLCar">
    <w:name w:val="Préformaté HTML Car"/>
    <w:link w:val="PrformatHTML"/>
    <w:rsid w:val="006C641F"/>
    <w:rPr>
      <w:rFonts w:ascii="Courier New" w:eastAsia="Courier New" w:hAnsi="Courier New" w:cs="Courier New"/>
      <w:kern w:val="2"/>
      <w:sz w:val="22"/>
      <w:lang w:eastAsia="zh-CN" w:bidi="hi-IN"/>
    </w:rPr>
  </w:style>
  <w:style w:type="paragraph" w:customStyle="1" w:styleId="Lista21">
    <w:name w:val="Lista 21"/>
    <w:basedOn w:val="Standard"/>
    <w:qFormat/>
    <w:rsid w:val="006C641F"/>
    <w:pPr>
      <w:ind w:left="566" w:hanging="283"/>
    </w:pPr>
  </w:style>
  <w:style w:type="paragraph" w:customStyle="1" w:styleId="Lista31">
    <w:name w:val="Lista 31"/>
    <w:basedOn w:val="Standard"/>
    <w:qFormat/>
    <w:rsid w:val="006C641F"/>
    <w:pPr>
      <w:ind w:left="849" w:hanging="283"/>
    </w:pPr>
  </w:style>
  <w:style w:type="paragraph" w:customStyle="1" w:styleId="Lista41">
    <w:name w:val="Lista 41"/>
    <w:basedOn w:val="Standard"/>
    <w:qFormat/>
    <w:rsid w:val="006C641F"/>
    <w:pPr>
      <w:ind w:left="1132" w:hanging="283"/>
    </w:pPr>
  </w:style>
  <w:style w:type="paragraph" w:customStyle="1" w:styleId="Lista51">
    <w:name w:val="Lista 51"/>
    <w:basedOn w:val="Standard"/>
    <w:qFormat/>
    <w:rsid w:val="006C641F"/>
    <w:pPr>
      <w:ind w:left="1415" w:hanging="283"/>
    </w:pPr>
  </w:style>
  <w:style w:type="paragraph" w:customStyle="1" w:styleId="Listaconnmeros1">
    <w:name w:val="Lista con números1"/>
    <w:basedOn w:val="Standard"/>
    <w:qFormat/>
    <w:rsid w:val="006C641F"/>
    <w:pPr>
      <w:tabs>
        <w:tab w:val="left" w:pos="720"/>
      </w:tabs>
      <w:ind w:left="360" w:hanging="360"/>
    </w:pPr>
  </w:style>
  <w:style w:type="paragraph" w:customStyle="1" w:styleId="Listaconnmeros21">
    <w:name w:val="Lista con números 21"/>
    <w:basedOn w:val="Standard"/>
    <w:qFormat/>
    <w:rsid w:val="006C641F"/>
    <w:pPr>
      <w:tabs>
        <w:tab w:val="left" w:pos="1286"/>
      </w:tabs>
      <w:ind w:left="643" w:hanging="360"/>
    </w:pPr>
  </w:style>
  <w:style w:type="paragraph" w:customStyle="1" w:styleId="Listaconnmeros31">
    <w:name w:val="Lista con números 31"/>
    <w:basedOn w:val="Standard"/>
    <w:qFormat/>
    <w:rsid w:val="006C641F"/>
    <w:pPr>
      <w:tabs>
        <w:tab w:val="left" w:pos="1852"/>
      </w:tabs>
      <w:ind w:left="926" w:hanging="360"/>
    </w:pPr>
  </w:style>
  <w:style w:type="paragraph" w:customStyle="1" w:styleId="Listaconnmeros41">
    <w:name w:val="Lista con números 41"/>
    <w:basedOn w:val="Standard"/>
    <w:qFormat/>
    <w:rsid w:val="006C641F"/>
    <w:pPr>
      <w:tabs>
        <w:tab w:val="left" w:pos="2418"/>
      </w:tabs>
      <w:ind w:left="1209" w:hanging="360"/>
    </w:pPr>
  </w:style>
  <w:style w:type="paragraph" w:customStyle="1" w:styleId="Listaconnmeros51">
    <w:name w:val="Lista con números 51"/>
    <w:basedOn w:val="Standard"/>
    <w:qFormat/>
    <w:rsid w:val="006C641F"/>
    <w:pPr>
      <w:tabs>
        <w:tab w:val="left" w:pos="2984"/>
      </w:tabs>
      <w:ind w:left="1492" w:hanging="360"/>
    </w:pPr>
  </w:style>
  <w:style w:type="paragraph" w:customStyle="1" w:styleId="Listaconvietas1">
    <w:name w:val="Lista con viñetas1"/>
    <w:basedOn w:val="Standard"/>
    <w:qFormat/>
    <w:rsid w:val="006C641F"/>
    <w:pPr>
      <w:tabs>
        <w:tab w:val="left" w:pos="720"/>
      </w:tabs>
      <w:ind w:left="360" w:hanging="360"/>
    </w:pPr>
  </w:style>
  <w:style w:type="paragraph" w:customStyle="1" w:styleId="Listaconvietas21">
    <w:name w:val="Lista con viñetas 21"/>
    <w:basedOn w:val="Standard"/>
    <w:qFormat/>
    <w:rsid w:val="006C641F"/>
    <w:pPr>
      <w:tabs>
        <w:tab w:val="left" w:pos="1286"/>
      </w:tabs>
      <w:ind w:left="643" w:hanging="360"/>
    </w:pPr>
  </w:style>
  <w:style w:type="paragraph" w:customStyle="1" w:styleId="Listaconvietas31">
    <w:name w:val="Lista con viñetas 31"/>
    <w:basedOn w:val="Standard"/>
    <w:qFormat/>
    <w:rsid w:val="006C641F"/>
    <w:pPr>
      <w:tabs>
        <w:tab w:val="left" w:pos="1852"/>
      </w:tabs>
      <w:ind w:left="926" w:hanging="360"/>
    </w:pPr>
  </w:style>
  <w:style w:type="paragraph" w:customStyle="1" w:styleId="Listaconvietas41">
    <w:name w:val="Lista con viñetas 41"/>
    <w:basedOn w:val="Standard"/>
    <w:qFormat/>
    <w:rsid w:val="006C641F"/>
    <w:pPr>
      <w:tabs>
        <w:tab w:val="left" w:pos="2418"/>
      </w:tabs>
      <w:ind w:left="1209" w:hanging="360"/>
    </w:pPr>
  </w:style>
  <w:style w:type="paragraph" w:customStyle="1" w:styleId="Listaconvietas51">
    <w:name w:val="Lista con viñetas 51"/>
    <w:basedOn w:val="Standard"/>
    <w:qFormat/>
    <w:rsid w:val="006C641F"/>
    <w:pPr>
      <w:tabs>
        <w:tab w:val="left" w:pos="2984"/>
      </w:tabs>
      <w:ind w:left="1492" w:hanging="360"/>
    </w:pPr>
  </w:style>
  <w:style w:type="paragraph" w:styleId="Adresseexpditeur">
    <w:name w:val="envelope return"/>
    <w:basedOn w:val="Standard"/>
    <w:qFormat/>
    <w:rsid w:val="006C641F"/>
    <w:rPr>
      <w:szCs w:val="20"/>
    </w:rPr>
  </w:style>
  <w:style w:type="paragraph" w:customStyle="1" w:styleId="Saludo1">
    <w:name w:val="Saludo1"/>
    <w:basedOn w:val="Standard"/>
    <w:next w:val="Standard"/>
    <w:qFormat/>
    <w:rsid w:val="006C641F"/>
  </w:style>
  <w:style w:type="paragraph" w:customStyle="1" w:styleId="Int-ExigenciaCTE">
    <w:name w:val="Int-ExigenciaCTE"/>
    <w:qFormat/>
    <w:rsid w:val="006C641F"/>
    <w:pPr>
      <w:keepNext/>
      <w:spacing w:before="200" w:after="100"/>
    </w:pPr>
    <w:rPr>
      <w:rFonts w:ascii="Arial" w:eastAsia="Arial" w:hAnsi="Arial"/>
      <w:b/>
      <w:color w:val="00000A"/>
      <w:kern w:val="2"/>
      <w:szCs w:val="24"/>
      <w:lang w:eastAsia="ar-SA"/>
    </w:rPr>
  </w:style>
  <w:style w:type="paragraph" w:customStyle="1" w:styleId="Int-textoCTE">
    <w:name w:val="Int-textoCTE"/>
    <w:basedOn w:val="Standard"/>
    <w:qFormat/>
    <w:rsid w:val="006C641F"/>
    <w:pPr>
      <w:spacing w:before="200" w:after="100"/>
    </w:pPr>
  </w:style>
  <w:style w:type="paragraph" w:customStyle="1" w:styleId="Oculto">
    <w:name w:val="Oculto"/>
    <w:basedOn w:val="Standard"/>
    <w:qFormat/>
    <w:rsid w:val="006C641F"/>
    <w:pPr>
      <w:spacing w:before="60" w:after="60"/>
      <w:ind w:left="1531"/>
    </w:pPr>
    <w:rPr>
      <w:vanish/>
      <w:color w:val="0000FF"/>
      <w:sz w:val="16"/>
      <w:szCs w:val="16"/>
    </w:rPr>
  </w:style>
  <w:style w:type="paragraph" w:customStyle="1" w:styleId="NumeracionCTE">
    <w:name w:val="NumeracionCTE"/>
    <w:basedOn w:val="Standard"/>
    <w:qFormat/>
    <w:rsid w:val="006C641F"/>
    <w:pPr>
      <w:spacing w:before="60" w:after="60"/>
      <w:ind w:left="357" w:hanging="357"/>
    </w:pPr>
  </w:style>
  <w:style w:type="paragraph" w:customStyle="1" w:styleId="Ttulo2CTE">
    <w:name w:val="Título2CTE"/>
    <w:basedOn w:val="Titre2"/>
    <w:qFormat/>
    <w:rsid w:val="006C641F"/>
    <w:pPr>
      <w:widowControl w:val="0"/>
      <w:suppressAutoHyphens/>
      <w:spacing w:before="300" w:after="100" w:line="240" w:lineRule="auto"/>
      <w:jc w:val="left"/>
      <w:textAlignment w:val="baseline"/>
    </w:pPr>
    <w:rPr>
      <w:rFonts w:ascii="Liberation Sans" w:eastAsia="Noto Sans CJK SC Regular" w:hAnsi="Liberation Sans" w:cs="FreeSans"/>
      <w:i w:val="0"/>
      <w:iCs w:val="0"/>
      <w:kern w:val="2"/>
      <w:sz w:val="24"/>
      <w:lang w:eastAsia="zh-CN" w:bidi="hi-IN"/>
    </w:rPr>
  </w:style>
  <w:style w:type="paragraph" w:customStyle="1" w:styleId="Anejo-Ttulo4CTE">
    <w:name w:val="Anejo-Título4CTE"/>
    <w:basedOn w:val="Standard"/>
    <w:next w:val="Standard"/>
    <w:qFormat/>
    <w:rsid w:val="006C641F"/>
    <w:pPr>
      <w:keepNext/>
      <w:tabs>
        <w:tab w:val="left" w:pos="907"/>
      </w:tabs>
      <w:spacing w:before="200" w:after="100"/>
    </w:pPr>
    <w:rPr>
      <w:b/>
    </w:rPr>
  </w:style>
  <w:style w:type="paragraph" w:customStyle="1" w:styleId="Anejo-DefinicionCTE">
    <w:name w:val="Anejo-DefinicionCTE"/>
    <w:basedOn w:val="Titre2"/>
    <w:qFormat/>
    <w:rsid w:val="006C641F"/>
    <w:pPr>
      <w:widowControl w:val="0"/>
      <w:suppressAutoHyphens/>
      <w:spacing w:before="300" w:after="100" w:line="240" w:lineRule="auto"/>
      <w:jc w:val="left"/>
      <w:textAlignment w:val="baseline"/>
    </w:pPr>
    <w:rPr>
      <w:rFonts w:ascii="Liberation Sans" w:eastAsia="Noto Sans CJK SC Regular" w:hAnsi="Liberation Sans" w:cs="FreeSans"/>
      <w:kern w:val="2"/>
      <w:lang w:eastAsia="zh-CN" w:bidi="hi-IN"/>
    </w:rPr>
  </w:style>
  <w:style w:type="paragraph" w:customStyle="1" w:styleId="tabla-TituloCTE">
    <w:name w:val="tabla-TituloCTE"/>
    <w:basedOn w:val="Standard"/>
    <w:next w:val="Standard"/>
    <w:qFormat/>
    <w:rsid w:val="006C641F"/>
    <w:pPr>
      <w:keepNext/>
      <w:spacing w:before="200" w:after="60"/>
      <w:jc w:val="center"/>
    </w:pPr>
    <w:rPr>
      <w:b/>
      <w:sz w:val="18"/>
    </w:rPr>
  </w:style>
  <w:style w:type="paragraph" w:customStyle="1" w:styleId="figura-pieCTE">
    <w:name w:val="figura-pieCTE"/>
    <w:basedOn w:val="Standard"/>
    <w:qFormat/>
    <w:rsid w:val="006C641F"/>
    <w:pPr>
      <w:tabs>
        <w:tab w:val="left" w:pos="1122"/>
        <w:tab w:val="left" w:pos="1309"/>
      </w:tabs>
      <w:spacing w:before="100" w:after="200"/>
      <w:jc w:val="center"/>
    </w:pPr>
    <w:rPr>
      <w:b/>
      <w:bCs/>
      <w:sz w:val="18"/>
    </w:rPr>
  </w:style>
  <w:style w:type="paragraph" w:customStyle="1" w:styleId="Int-TituloCTE">
    <w:name w:val="Int-TituloCTE"/>
    <w:qFormat/>
    <w:rsid w:val="006C641F"/>
    <w:pPr>
      <w:keepNext/>
    </w:pPr>
    <w:rPr>
      <w:rFonts w:ascii="Arial" w:eastAsia="Arial" w:hAnsi="Arial"/>
      <w:b/>
      <w:bCs/>
      <w:color w:val="00000A"/>
      <w:kern w:val="2"/>
      <w:sz w:val="36"/>
      <w:szCs w:val="24"/>
      <w:lang w:eastAsia="ar-SA"/>
    </w:rPr>
  </w:style>
  <w:style w:type="paragraph" w:customStyle="1" w:styleId="Int-Titulo1CTE">
    <w:name w:val="Int-Titulo1CTE"/>
    <w:basedOn w:val="Ttulo1CTE"/>
    <w:qFormat/>
    <w:rsid w:val="006C641F"/>
    <w:pPr>
      <w:widowControl w:val="0"/>
      <w:tabs>
        <w:tab w:val="left" w:pos="0"/>
      </w:tabs>
      <w:suppressAutoHyphens/>
      <w:spacing w:before="500" w:after="100"/>
      <w:jc w:val="left"/>
      <w:textAlignment w:val="baseline"/>
      <w:outlineLvl w:val="1"/>
    </w:pPr>
    <w:rPr>
      <w:rFonts w:ascii="Liberation Sans" w:eastAsia="Noto Sans CJK SC Regular" w:hAnsi="Liberation Sans" w:cs="FreeSans"/>
      <w:bCs w:val="0"/>
      <w:kern w:val="2"/>
      <w:szCs w:val="28"/>
      <w:lang w:eastAsia="zh-CN" w:bidi="hi-IN"/>
    </w:rPr>
  </w:style>
  <w:style w:type="paragraph" w:customStyle="1" w:styleId="tabla-textoCTE">
    <w:name w:val="tabla-textoCTE"/>
    <w:qFormat/>
    <w:rsid w:val="006C641F"/>
    <w:pPr>
      <w:spacing w:before="60" w:after="60"/>
      <w:jc w:val="center"/>
    </w:pPr>
    <w:rPr>
      <w:rFonts w:ascii="Arial" w:eastAsia="Arial" w:hAnsi="Arial"/>
      <w:color w:val="00000A"/>
      <w:kern w:val="2"/>
      <w:sz w:val="18"/>
      <w:szCs w:val="24"/>
      <w:lang w:eastAsia="ar-SA"/>
    </w:rPr>
  </w:style>
  <w:style w:type="paragraph" w:customStyle="1" w:styleId="figuraCTE">
    <w:name w:val="figuraCTE"/>
    <w:basedOn w:val="Standard"/>
    <w:qFormat/>
    <w:rsid w:val="006C641F"/>
    <w:pPr>
      <w:keepNext/>
      <w:jc w:val="center"/>
    </w:pPr>
  </w:style>
  <w:style w:type="paragraph" w:customStyle="1" w:styleId="Anejo-Titulo3CTE">
    <w:name w:val="Anejo-Titulo3CTE"/>
    <w:basedOn w:val="Standard"/>
    <w:qFormat/>
    <w:rsid w:val="006C641F"/>
    <w:pPr>
      <w:keepNext/>
      <w:tabs>
        <w:tab w:val="left" w:pos="0"/>
      </w:tabs>
      <w:spacing w:before="200" w:after="100"/>
    </w:pPr>
    <w:rPr>
      <w:b/>
      <w:bCs/>
      <w:color w:val="000000"/>
    </w:rPr>
  </w:style>
  <w:style w:type="paragraph" w:customStyle="1" w:styleId="Anejo-Titulo1CTE">
    <w:name w:val="Anejo-Titulo1CTE"/>
    <w:basedOn w:val="Ttulo1CTE"/>
    <w:qFormat/>
    <w:rsid w:val="006C641F"/>
    <w:pPr>
      <w:widowControl w:val="0"/>
      <w:tabs>
        <w:tab w:val="left" w:pos="0"/>
      </w:tabs>
      <w:suppressAutoHyphens/>
      <w:spacing w:before="500" w:after="100"/>
      <w:jc w:val="left"/>
      <w:textAlignment w:val="baseline"/>
      <w:outlineLvl w:val="1"/>
    </w:pPr>
    <w:rPr>
      <w:rFonts w:ascii="Liberation Sans" w:eastAsia="Noto Sans CJK SC Regular" w:hAnsi="Liberation Sans" w:cs="FreeSans"/>
      <w:kern w:val="2"/>
      <w:szCs w:val="28"/>
      <w:lang w:eastAsia="zh-CN" w:bidi="hi-IN"/>
    </w:rPr>
  </w:style>
  <w:style w:type="paragraph" w:customStyle="1" w:styleId="Anejo-Titulo2CTE">
    <w:name w:val="Anejo-Titulo2CTE"/>
    <w:basedOn w:val="Ttulo2CTE"/>
    <w:qFormat/>
    <w:rsid w:val="006C641F"/>
  </w:style>
  <w:style w:type="paragraph" w:customStyle="1" w:styleId="Tabla-notaCTE">
    <w:name w:val="Tabla-notaCTE"/>
    <w:basedOn w:val="Standard"/>
    <w:qFormat/>
    <w:rsid w:val="006C641F"/>
    <w:pPr>
      <w:spacing w:before="60"/>
      <w:ind w:left="601" w:right="6" w:hanging="233"/>
    </w:pPr>
    <w:rPr>
      <w:sz w:val="16"/>
    </w:rPr>
  </w:style>
  <w:style w:type="paragraph" w:customStyle="1" w:styleId="EstiloNumeracinCTEIzquierda125cmPrimeralnea0cmCu">
    <w:name w:val="Estilo NumeraciónCTE + Izquierda:  125 cm Primera línea:  0 cm Cu..."/>
    <w:basedOn w:val="NumeracinCTE"/>
    <w:qFormat/>
    <w:rsid w:val="006C641F"/>
    <w:pPr>
      <w:pBdr>
        <w:top w:val="single" w:sz="4" w:space="1" w:color="000001"/>
        <w:left w:val="single" w:sz="4" w:space="4" w:color="000001"/>
        <w:bottom w:val="single" w:sz="4" w:space="1" w:color="000001"/>
        <w:right w:val="single" w:sz="4" w:space="4" w:color="000001"/>
      </w:pBdr>
      <w:tabs>
        <w:tab w:val="left" w:pos="908"/>
      </w:tabs>
      <w:ind w:left="454" w:hanging="454"/>
    </w:pPr>
    <w:rPr>
      <w:rFonts w:cs="Times New Roman"/>
      <w:color w:val="808080"/>
    </w:rPr>
  </w:style>
  <w:style w:type="paragraph" w:customStyle="1" w:styleId="pieformula">
    <w:name w:val="pie formula"/>
    <w:basedOn w:val="Standard"/>
    <w:qFormat/>
    <w:rsid w:val="006C641F"/>
    <w:pPr>
      <w:widowControl w:val="0"/>
      <w:jc w:val="center"/>
    </w:pPr>
    <w:rPr>
      <w:rFonts w:eastAsia="Droid Sans Fallback"/>
      <w:sz w:val="18"/>
      <w:lang w:eastAsia="hi-IN"/>
    </w:rPr>
  </w:style>
  <w:style w:type="paragraph" w:customStyle="1" w:styleId="Encabezado3">
    <w:name w:val="Encabezado3"/>
    <w:basedOn w:val="Standard"/>
    <w:qFormat/>
    <w:rsid w:val="006C641F"/>
    <w:pPr>
      <w:keepNext/>
      <w:widowControl w:val="0"/>
      <w:spacing w:before="240" w:after="120"/>
    </w:pPr>
    <w:rPr>
      <w:rFonts w:ascii="Liberation Sans" w:eastAsia="DejaVu Sans" w:hAnsi="Liberation Sans" w:cs="Lohit Hindi"/>
      <w:sz w:val="28"/>
      <w:szCs w:val="28"/>
      <w:lang w:eastAsia="hi-IN"/>
    </w:rPr>
  </w:style>
  <w:style w:type="paragraph" w:customStyle="1" w:styleId="piefiguratablafrmula">
    <w:name w:val="pie figura/tabla/fórmula"/>
    <w:basedOn w:val="Standard"/>
    <w:qFormat/>
    <w:rsid w:val="006C641F"/>
    <w:pPr>
      <w:tabs>
        <w:tab w:val="left" w:pos="1122"/>
        <w:tab w:val="left" w:pos="1309"/>
      </w:tabs>
      <w:jc w:val="center"/>
    </w:pPr>
    <w:rPr>
      <w:b/>
      <w:bCs/>
      <w:sz w:val="18"/>
    </w:rPr>
  </w:style>
  <w:style w:type="paragraph" w:customStyle="1" w:styleId="Encabezado6">
    <w:name w:val="Encabezado6"/>
    <w:basedOn w:val="Standard"/>
    <w:qFormat/>
    <w:rsid w:val="006C641F"/>
    <w:pPr>
      <w:keepNext/>
      <w:widowControl w:val="0"/>
      <w:spacing w:before="240" w:after="120"/>
    </w:pPr>
    <w:rPr>
      <w:rFonts w:ascii="Liberation Sans" w:eastAsia="DejaVu Sans" w:hAnsi="Liberation Sans" w:cs="Lohit Hindi"/>
      <w:sz w:val="28"/>
      <w:szCs w:val="28"/>
      <w:lang w:eastAsia="hi-IN"/>
    </w:rPr>
  </w:style>
  <w:style w:type="paragraph" w:customStyle="1" w:styleId="Encabezado5">
    <w:name w:val="Encabezado5"/>
    <w:basedOn w:val="Standard"/>
    <w:qFormat/>
    <w:rsid w:val="006C641F"/>
    <w:pPr>
      <w:keepNext/>
      <w:widowControl w:val="0"/>
      <w:spacing w:before="240" w:after="120"/>
    </w:pPr>
    <w:rPr>
      <w:rFonts w:ascii="Liberation Sans" w:eastAsia="DejaVu Sans" w:hAnsi="Liberation Sans" w:cs="Lohit Hindi"/>
      <w:sz w:val="28"/>
      <w:szCs w:val="28"/>
      <w:lang w:eastAsia="hi-IN"/>
    </w:rPr>
  </w:style>
  <w:style w:type="paragraph" w:customStyle="1" w:styleId="Encabezado4">
    <w:name w:val="Encabezado4"/>
    <w:basedOn w:val="Standard"/>
    <w:qFormat/>
    <w:rsid w:val="006C641F"/>
    <w:pPr>
      <w:keepNext/>
      <w:widowControl w:val="0"/>
      <w:spacing w:before="240" w:after="120"/>
    </w:pPr>
    <w:rPr>
      <w:rFonts w:eastAsia="AR PL UMing HK" w:cs="Lohit Hindi"/>
      <w:sz w:val="28"/>
      <w:szCs w:val="28"/>
      <w:lang w:eastAsia="hi-IN"/>
    </w:rPr>
  </w:style>
  <w:style w:type="paragraph" w:customStyle="1" w:styleId="Encabezado2">
    <w:name w:val="Encabezado2"/>
    <w:basedOn w:val="Standard"/>
    <w:qFormat/>
    <w:rsid w:val="006C641F"/>
    <w:pPr>
      <w:keepNext/>
      <w:widowControl w:val="0"/>
      <w:spacing w:before="240" w:after="120"/>
    </w:pPr>
    <w:rPr>
      <w:rFonts w:eastAsia="AR PL UMing HK" w:cs="Lohit Hindi"/>
      <w:sz w:val="28"/>
      <w:szCs w:val="28"/>
      <w:lang w:eastAsia="hi-IN"/>
    </w:rPr>
  </w:style>
  <w:style w:type="paragraph" w:customStyle="1" w:styleId="Encabezado1">
    <w:name w:val="Encabezado1"/>
    <w:basedOn w:val="Standard"/>
    <w:qFormat/>
    <w:rsid w:val="006C641F"/>
    <w:pPr>
      <w:keepNext/>
      <w:widowControl w:val="0"/>
      <w:spacing w:before="240" w:after="120"/>
    </w:pPr>
    <w:rPr>
      <w:rFonts w:ascii="Liberation Sans" w:eastAsia="DejaVu Sans" w:hAnsi="Liberation Sans" w:cs="Lohit Hindi"/>
      <w:sz w:val="28"/>
      <w:szCs w:val="28"/>
      <w:lang w:eastAsia="hi-IN"/>
    </w:rPr>
  </w:style>
  <w:style w:type="paragraph" w:customStyle="1" w:styleId="Contenidodelmarco">
    <w:name w:val="Contenido del marco"/>
    <w:basedOn w:val="TextBody0"/>
    <w:qFormat/>
    <w:rsid w:val="006C641F"/>
    <w:pPr>
      <w:widowControl w:val="0"/>
    </w:pPr>
    <w:rPr>
      <w:rFonts w:eastAsia="DejaVu Sans" w:cs="Lohit Hindi"/>
      <w:lang w:eastAsia="hi-IN"/>
    </w:rPr>
  </w:style>
  <w:style w:type="paragraph" w:customStyle="1" w:styleId="Contenidodelatabla">
    <w:name w:val="Contenido de la tabla"/>
    <w:basedOn w:val="Normal"/>
    <w:qFormat/>
    <w:rsid w:val="006C641F"/>
    <w:pPr>
      <w:widowControl w:val="0"/>
      <w:suppressLineNumbers/>
      <w:suppressAutoHyphens/>
      <w:spacing w:line="259" w:lineRule="auto"/>
      <w:contextualSpacing/>
    </w:pPr>
    <w:rPr>
      <w:rFonts w:ascii="Arial" w:eastAsia="DejaVu Sans" w:hAnsi="Arial" w:cs="Lohit Hindi"/>
      <w:sz w:val="22"/>
      <w:lang w:eastAsia="hi-IN" w:bidi="hi-IN"/>
    </w:rPr>
  </w:style>
  <w:style w:type="paragraph" w:customStyle="1" w:styleId="Ttulodelatabla">
    <w:name w:val="Título de la tabla"/>
    <w:basedOn w:val="Contenidodelatabla"/>
    <w:qFormat/>
    <w:rsid w:val="006C641F"/>
    <w:pPr>
      <w:jc w:val="center"/>
    </w:pPr>
    <w:rPr>
      <w:b/>
      <w:bCs/>
    </w:rPr>
  </w:style>
  <w:style w:type="paragraph" w:customStyle="1" w:styleId="Textocomentario1">
    <w:name w:val="Texto comentario1"/>
    <w:basedOn w:val="Standard"/>
    <w:qFormat/>
    <w:rsid w:val="006C641F"/>
    <w:rPr>
      <w:rFonts w:ascii="Times New Roman" w:eastAsia="Times New Roman" w:hAnsi="Times New Roman" w:cs="Times New Roman"/>
      <w:szCs w:val="20"/>
    </w:rPr>
  </w:style>
  <w:style w:type="paragraph" w:customStyle="1" w:styleId="Textocomentario2">
    <w:name w:val="Texto comentario2"/>
    <w:basedOn w:val="Standard"/>
    <w:qFormat/>
    <w:rsid w:val="006C641F"/>
    <w:pPr>
      <w:widowControl w:val="0"/>
    </w:pPr>
    <w:rPr>
      <w:rFonts w:eastAsia="DejaVu Sans" w:cs="Lohit Hindi"/>
      <w:szCs w:val="20"/>
      <w:lang w:eastAsia="hi-IN"/>
    </w:rPr>
  </w:style>
  <w:style w:type="paragraph" w:customStyle="1" w:styleId="ndicel10">
    <w:name w:val="Índicel 10"/>
    <w:basedOn w:val="ndice"/>
    <w:qFormat/>
    <w:rsid w:val="006C641F"/>
    <w:pPr>
      <w:tabs>
        <w:tab w:val="right" w:leader="dot" w:pos="9638"/>
      </w:tabs>
      <w:ind w:left="2547"/>
    </w:pPr>
  </w:style>
  <w:style w:type="paragraph" w:customStyle="1" w:styleId="Textocomentario4">
    <w:name w:val="Texto comentario4"/>
    <w:basedOn w:val="Standard"/>
    <w:qFormat/>
    <w:rsid w:val="006C641F"/>
    <w:rPr>
      <w:szCs w:val="20"/>
    </w:rPr>
  </w:style>
  <w:style w:type="paragraph" w:styleId="Rvision">
    <w:name w:val="Revision"/>
    <w:uiPriority w:val="99"/>
    <w:qFormat/>
    <w:rsid w:val="006C641F"/>
    <w:rPr>
      <w:rFonts w:ascii="Arial" w:hAnsi="Arial"/>
      <w:color w:val="00000A"/>
      <w:kern w:val="2"/>
      <w:szCs w:val="24"/>
      <w:lang w:eastAsia="ar-SA"/>
    </w:rPr>
  </w:style>
  <w:style w:type="paragraph" w:customStyle="1" w:styleId="EstiloCTETabla-notaIzquierdaIzquierda0cm">
    <w:name w:val="Estilo CTE_Tabla-nota + Izquierda Izquierda:  0 cm"/>
    <w:basedOn w:val="CTETabla-nota"/>
    <w:qFormat/>
    <w:rsid w:val="006C641F"/>
    <w:pPr>
      <w:spacing w:before="120"/>
      <w:ind w:left="0" w:firstLine="0"/>
    </w:pPr>
    <w:rPr>
      <w:szCs w:val="20"/>
    </w:rPr>
  </w:style>
  <w:style w:type="paragraph" w:customStyle="1" w:styleId="Prrafodelista1">
    <w:name w:val="Párrafo de lista1"/>
    <w:basedOn w:val="Standard"/>
    <w:qFormat/>
    <w:rsid w:val="006C641F"/>
    <w:pPr>
      <w:ind w:left="720"/>
    </w:pPr>
    <w:rPr>
      <w:rFonts w:ascii="Times New Roman" w:eastAsia="Calibri" w:hAnsi="Times New Roman" w:cs="Calibri"/>
      <w:sz w:val="24"/>
    </w:rPr>
  </w:style>
  <w:style w:type="paragraph" w:styleId="Textebrut">
    <w:name w:val="Plain Text"/>
    <w:basedOn w:val="Standard"/>
    <w:link w:val="TextebrutCar"/>
    <w:uiPriority w:val="99"/>
    <w:qFormat/>
    <w:rsid w:val="006C641F"/>
    <w:rPr>
      <w:rFonts w:ascii="Consolas" w:eastAsia="Consolas" w:hAnsi="Consolas" w:cs="Consolas"/>
      <w:szCs w:val="20"/>
      <w:lang w:eastAsia="es-ES"/>
    </w:rPr>
  </w:style>
  <w:style w:type="character" w:customStyle="1" w:styleId="TextebrutCar">
    <w:name w:val="Texte brut Car"/>
    <w:link w:val="Textebrut"/>
    <w:uiPriority w:val="99"/>
    <w:rsid w:val="006C641F"/>
    <w:rPr>
      <w:rFonts w:ascii="Consolas" w:eastAsia="Consolas" w:hAnsi="Consolas" w:cs="Consolas"/>
      <w:kern w:val="2"/>
      <w:sz w:val="22"/>
      <w:lang w:bidi="hi-IN"/>
    </w:rPr>
  </w:style>
  <w:style w:type="paragraph" w:customStyle="1" w:styleId="FrameContents">
    <w:name w:val="Frame Contents"/>
    <w:basedOn w:val="Standard"/>
    <w:qFormat/>
    <w:rsid w:val="006C641F"/>
  </w:style>
  <w:style w:type="paragraph" w:customStyle="1" w:styleId="Ttulo4CTE">
    <w:name w:val="Título4CTE"/>
    <w:basedOn w:val="Standard"/>
    <w:next w:val="Standard"/>
    <w:qFormat/>
    <w:rsid w:val="006C641F"/>
    <w:pPr>
      <w:keepNext/>
      <w:spacing w:before="200" w:after="80"/>
    </w:pPr>
    <w:rPr>
      <w:b/>
    </w:rPr>
  </w:style>
  <w:style w:type="paragraph" w:customStyle="1" w:styleId="subartculoCTE">
    <w:name w:val="subartículoCTE"/>
    <w:basedOn w:val="Ttulo4CTE"/>
    <w:next w:val="Standard"/>
    <w:qFormat/>
    <w:rsid w:val="006C641F"/>
    <w:pPr>
      <w:spacing w:before="160"/>
    </w:pPr>
  </w:style>
  <w:style w:type="paragraph" w:customStyle="1" w:styleId="ContentsHeading">
    <w:name w:val="Contents Heading"/>
    <w:basedOn w:val="Ttulo1"/>
    <w:qFormat/>
    <w:rsid w:val="006C641F"/>
  </w:style>
  <w:style w:type="paragraph" w:customStyle="1" w:styleId="Textopreformateado">
    <w:name w:val="Texto preformateado"/>
    <w:basedOn w:val="Standard"/>
    <w:qFormat/>
    <w:rsid w:val="006C641F"/>
  </w:style>
  <w:style w:type="paragraph" w:customStyle="1" w:styleId="Lneahorizontal">
    <w:name w:val="Línea horizontal"/>
    <w:basedOn w:val="Standard"/>
    <w:qFormat/>
    <w:rsid w:val="006C641F"/>
  </w:style>
  <w:style w:type="paragraph" w:customStyle="1" w:styleId="western1">
    <w:name w:val="western1"/>
    <w:basedOn w:val="Normal"/>
    <w:qFormat/>
    <w:rsid w:val="006C641F"/>
    <w:pPr>
      <w:spacing w:beforeAutospacing="1" w:line="288" w:lineRule="auto"/>
    </w:pPr>
    <w:rPr>
      <w:rFonts w:ascii="Arial" w:hAnsi="Arial" w:cs="Arial"/>
    </w:rPr>
  </w:style>
  <w:style w:type="paragraph" w:styleId="TM1">
    <w:name w:val="toc 1"/>
    <w:basedOn w:val="Normal"/>
    <w:next w:val="Normal"/>
    <w:autoRedefine/>
    <w:uiPriority w:val="39"/>
    <w:unhideWhenUsed/>
    <w:rsid w:val="006C641F"/>
    <w:pPr>
      <w:suppressAutoHyphens/>
      <w:spacing w:before="240" w:after="60"/>
      <w:textAlignment w:val="baseline"/>
    </w:pPr>
    <w:rPr>
      <w:rFonts w:ascii="Arial" w:eastAsia="Noto Sans CJK SC Regular" w:hAnsi="Arial" w:cs="Mangal"/>
      <w:b/>
      <w:kern w:val="2"/>
      <w:lang w:eastAsia="zh-CN" w:bidi="hi-IN"/>
    </w:rPr>
  </w:style>
  <w:style w:type="paragraph" w:styleId="TM2">
    <w:name w:val="toc 2"/>
    <w:basedOn w:val="Normal"/>
    <w:next w:val="Normal"/>
    <w:autoRedefine/>
    <w:uiPriority w:val="39"/>
    <w:unhideWhenUsed/>
    <w:rsid w:val="006C641F"/>
    <w:pPr>
      <w:suppressAutoHyphens/>
      <w:spacing w:after="60"/>
      <w:textAlignment w:val="baseline"/>
    </w:pPr>
    <w:rPr>
      <w:rFonts w:ascii="Arial" w:eastAsia="Noto Sans CJK SC Regular" w:hAnsi="Arial" w:cs="Mangal"/>
      <w:b/>
      <w:kern w:val="2"/>
      <w:sz w:val="22"/>
      <w:lang w:eastAsia="zh-CN" w:bidi="hi-IN"/>
    </w:rPr>
  </w:style>
  <w:style w:type="paragraph" w:styleId="TM3">
    <w:name w:val="toc 3"/>
    <w:basedOn w:val="Normal"/>
    <w:next w:val="Normal"/>
    <w:autoRedefine/>
    <w:uiPriority w:val="39"/>
    <w:unhideWhenUsed/>
    <w:rsid w:val="006C641F"/>
    <w:pPr>
      <w:suppressAutoHyphens/>
      <w:spacing w:after="60"/>
      <w:ind w:left="680"/>
      <w:textAlignment w:val="baseline"/>
    </w:pPr>
    <w:rPr>
      <w:rFonts w:ascii="Arial" w:eastAsia="Noto Sans CJK SC Regular" w:hAnsi="Arial" w:cs="Mangal"/>
      <w:kern w:val="2"/>
      <w:sz w:val="22"/>
      <w:lang w:eastAsia="zh-CN" w:bidi="hi-IN"/>
    </w:rPr>
  </w:style>
  <w:style w:type="paragraph" w:styleId="TM4">
    <w:name w:val="toc 4"/>
    <w:basedOn w:val="Normal"/>
    <w:next w:val="Normal"/>
    <w:autoRedefine/>
    <w:uiPriority w:val="39"/>
    <w:unhideWhenUsed/>
    <w:rsid w:val="006C641F"/>
    <w:pPr>
      <w:spacing w:after="100" w:line="259" w:lineRule="auto"/>
      <w:ind w:left="660"/>
    </w:pPr>
    <w:rPr>
      <w:rFonts w:ascii="Calibri" w:eastAsia="Calibri" w:hAnsi="Calibri" w:cs="Calibri"/>
      <w:sz w:val="22"/>
      <w:szCs w:val="22"/>
    </w:rPr>
  </w:style>
  <w:style w:type="paragraph" w:styleId="TM5">
    <w:name w:val="toc 5"/>
    <w:basedOn w:val="Normal"/>
    <w:next w:val="Normal"/>
    <w:autoRedefine/>
    <w:uiPriority w:val="39"/>
    <w:unhideWhenUsed/>
    <w:rsid w:val="006C641F"/>
    <w:pPr>
      <w:spacing w:after="100" w:line="259" w:lineRule="auto"/>
      <w:ind w:left="880"/>
    </w:pPr>
    <w:rPr>
      <w:rFonts w:ascii="Calibri" w:eastAsia="Calibri" w:hAnsi="Calibri" w:cs="Calibri"/>
      <w:sz w:val="22"/>
      <w:szCs w:val="22"/>
    </w:rPr>
  </w:style>
  <w:style w:type="paragraph" w:styleId="TM6">
    <w:name w:val="toc 6"/>
    <w:basedOn w:val="Normal"/>
    <w:next w:val="Normal"/>
    <w:autoRedefine/>
    <w:uiPriority w:val="39"/>
    <w:unhideWhenUsed/>
    <w:rsid w:val="006C641F"/>
    <w:pPr>
      <w:spacing w:after="100" w:line="259" w:lineRule="auto"/>
      <w:ind w:left="1100"/>
    </w:pPr>
    <w:rPr>
      <w:rFonts w:ascii="Calibri" w:eastAsia="Calibri" w:hAnsi="Calibri" w:cs="Calibri"/>
      <w:sz w:val="22"/>
      <w:szCs w:val="22"/>
    </w:rPr>
  </w:style>
  <w:style w:type="paragraph" w:styleId="TM7">
    <w:name w:val="toc 7"/>
    <w:basedOn w:val="Normal"/>
    <w:next w:val="Normal"/>
    <w:autoRedefine/>
    <w:uiPriority w:val="39"/>
    <w:unhideWhenUsed/>
    <w:rsid w:val="006C641F"/>
    <w:pPr>
      <w:spacing w:after="100" w:line="259" w:lineRule="auto"/>
      <w:ind w:left="1320"/>
    </w:pPr>
    <w:rPr>
      <w:rFonts w:ascii="Calibri" w:eastAsia="Calibri" w:hAnsi="Calibri" w:cs="Calibri"/>
      <w:sz w:val="22"/>
      <w:szCs w:val="22"/>
    </w:rPr>
  </w:style>
  <w:style w:type="paragraph" w:styleId="TM8">
    <w:name w:val="toc 8"/>
    <w:basedOn w:val="Normal"/>
    <w:next w:val="Normal"/>
    <w:autoRedefine/>
    <w:uiPriority w:val="39"/>
    <w:unhideWhenUsed/>
    <w:rsid w:val="006C641F"/>
    <w:pPr>
      <w:spacing w:after="100" w:line="259" w:lineRule="auto"/>
      <w:ind w:left="1540"/>
    </w:pPr>
    <w:rPr>
      <w:rFonts w:ascii="Calibri" w:eastAsia="Calibri" w:hAnsi="Calibri" w:cs="Calibri"/>
      <w:sz w:val="22"/>
      <w:szCs w:val="22"/>
    </w:rPr>
  </w:style>
  <w:style w:type="paragraph" w:styleId="TM9">
    <w:name w:val="toc 9"/>
    <w:basedOn w:val="Normal"/>
    <w:next w:val="Normal"/>
    <w:autoRedefine/>
    <w:uiPriority w:val="39"/>
    <w:unhideWhenUsed/>
    <w:rsid w:val="006C641F"/>
    <w:pPr>
      <w:spacing w:after="100" w:line="259" w:lineRule="auto"/>
      <w:ind w:left="1760"/>
    </w:pPr>
    <w:rPr>
      <w:rFonts w:ascii="Calibri" w:eastAsia="Calibri" w:hAnsi="Calibri" w:cs="Calibri"/>
      <w:sz w:val="22"/>
      <w:szCs w:val="22"/>
    </w:rPr>
  </w:style>
  <w:style w:type="paragraph" w:styleId="Explorateurdedocuments">
    <w:name w:val="Document Map"/>
    <w:basedOn w:val="Normal"/>
    <w:link w:val="ExplorateurdedocumentsCar"/>
    <w:rsid w:val="00431690"/>
    <w:pPr>
      <w:shd w:val="clear" w:color="auto" w:fill="000080"/>
      <w:jc w:val="both"/>
    </w:pPr>
    <w:rPr>
      <w:rFonts w:ascii="Tahoma" w:hAnsi="Tahoma" w:cs="Tahoma"/>
      <w:sz w:val="20"/>
      <w:szCs w:val="20"/>
    </w:rPr>
  </w:style>
  <w:style w:type="character" w:customStyle="1" w:styleId="ExplorateurdedocumentsCar">
    <w:name w:val="Explorateur de documents Car"/>
    <w:link w:val="Explorateurdedocuments"/>
    <w:rsid w:val="00431690"/>
    <w:rPr>
      <w:rFonts w:ascii="Tahoma" w:hAnsi="Tahoma" w:cs="Tahoma"/>
      <w:shd w:val="clear" w:color="auto" w:fill="000080"/>
    </w:rPr>
  </w:style>
  <w:style w:type="paragraph" w:styleId="Tabledesillustrations">
    <w:name w:val="table of figures"/>
    <w:basedOn w:val="Normal"/>
    <w:next w:val="Normal"/>
    <w:rsid w:val="00431690"/>
    <w:pPr>
      <w:tabs>
        <w:tab w:val="right" w:leader="dot" w:pos="9355"/>
      </w:tabs>
      <w:ind w:left="403" w:hanging="403"/>
    </w:pPr>
    <w:rPr>
      <w:sz w:val="20"/>
    </w:rPr>
  </w:style>
  <w:style w:type="paragraph" w:styleId="Index4">
    <w:name w:val="index 4"/>
    <w:basedOn w:val="Normal"/>
    <w:next w:val="Normal"/>
    <w:autoRedefine/>
    <w:rsid w:val="00431690"/>
    <w:pPr>
      <w:ind w:left="800" w:hanging="200"/>
      <w:jc w:val="both"/>
    </w:pPr>
    <w:rPr>
      <w:rFonts w:ascii="Arial" w:hAnsi="Arial"/>
      <w:sz w:val="20"/>
    </w:rPr>
  </w:style>
  <w:style w:type="paragraph" w:styleId="Index5">
    <w:name w:val="index 5"/>
    <w:basedOn w:val="Normal"/>
    <w:next w:val="Normal"/>
    <w:autoRedefine/>
    <w:rsid w:val="00431690"/>
    <w:pPr>
      <w:ind w:left="1000" w:hanging="200"/>
      <w:jc w:val="both"/>
    </w:pPr>
    <w:rPr>
      <w:rFonts w:ascii="Arial" w:hAnsi="Arial"/>
      <w:sz w:val="20"/>
    </w:rPr>
  </w:style>
  <w:style w:type="paragraph" w:styleId="Index6">
    <w:name w:val="index 6"/>
    <w:basedOn w:val="Normal"/>
    <w:next w:val="Normal"/>
    <w:autoRedefine/>
    <w:rsid w:val="00431690"/>
    <w:pPr>
      <w:ind w:left="1200" w:hanging="200"/>
      <w:jc w:val="both"/>
    </w:pPr>
    <w:rPr>
      <w:rFonts w:ascii="Arial" w:hAnsi="Arial"/>
      <w:sz w:val="20"/>
    </w:rPr>
  </w:style>
  <w:style w:type="paragraph" w:styleId="Index7">
    <w:name w:val="index 7"/>
    <w:basedOn w:val="Normal"/>
    <w:next w:val="Normal"/>
    <w:autoRedefine/>
    <w:rsid w:val="00431690"/>
    <w:pPr>
      <w:ind w:left="1400" w:hanging="200"/>
      <w:jc w:val="both"/>
    </w:pPr>
    <w:rPr>
      <w:rFonts w:ascii="Arial" w:hAnsi="Arial"/>
      <w:sz w:val="20"/>
    </w:rPr>
  </w:style>
  <w:style w:type="paragraph" w:styleId="Index8">
    <w:name w:val="index 8"/>
    <w:basedOn w:val="Normal"/>
    <w:next w:val="Normal"/>
    <w:autoRedefine/>
    <w:rsid w:val="00431690"/>
    <w:pPr>
      <w:ind w:left="1600" w:hanging="200"/>
      <w:jc w:val="both"/>
    </w:pPr>
    <w:rPr>
      <w:rFonts w:ascii="Arial" w:hAnsi="Arial"/>
      <w:sz w:val="20"/>
    </w:rPr>
  </w:style>
  <w:style w:type="paragraph" w:styleId="Index9">
    <w:name w:val="index 9"/>
    <w:basedOn w:val="Normal"/>
    <w:next w:val="Normal"/>
    <w:autoRedefine/>
    <w:rsid w:val="00431690"/>
    <w:pPr>
      <w:ind w:left="1800" w:hanging="200"/>
      <w:jc w:val="both"/>
    </w:pPr>
    <w:rPr>
      <w:rFonts w:ascii="Arial" w:hAnsi="Arial"/>
      <w:sz w:val="20"/>
    </w:rPr>
  </w:style>
  <w:style w:type="paragraph" w:styleId="Retraitnormal">
    <w:name w:val="Normal Indent"/>
    <w:basedOn w:val="Normal"/>
    <w:rsid w:val="00431690"/>
    <w:pPr>
      <w:ind w:left="708"/>
      <w:jc w:val="both"/>
    </w:pPr>
    <w:rPr>
      <w:rFonts w:ascii="Arial" w:hAnsi="Arial"/>
      <w:sz w:val="20"/>
    </w:rPr>
  </w:style>
  <w:style w:type="paragraph" w:styleId="Tabledesrfrencesjuridiques">
    <w:name w:val="table of authorities"/>
    <w:basedOn w:val="Normal"/>
    <w:next w:val="Normal"/>
    <w:rsid w:val="00431690"/>
    <w:pPr>
      <w:ind w:left="200" w:hanging="200"/>
      <w:jc w:val="both"/>
    </w:pPr>
    <w:rPr>
      <w:rFonts w:ascii="Arial" w:hAnsi="Arial"/>
      <w:sz w:val="20"/>
    </w:rPr>
  </w:style>
  <w:style w:type="paragraph" w:styleId="Retrait1religne">
    <w:name w:val="Body Text First Indent"/>
    <w:basedOn w:val="Corpsdetexte"/>
    <w:link w:val="Retrait1religneCar"/>
    <w:rsid w:val="00431690"/>
    <w:pPr>
      <w:spacing w:after="120" w:line="240" w:lineRule="auto"/>
      <w:ind w:firstLine="210"/>
    </w:pPr>
    <w:rPr>
      <w:rFonts w:ascii="Arial" w:hAnsi="Arial"/>
      <w:szCs w:val="24"/>
    </w:rPr>
  </w:style>
  <w:style w:type="character" w:customStyle="1" w:styleId="Retrait1religneCar">
    <w:name w:val="Retrait 1re ligne Car"/>
    <w:link w:val="Retrait1religne"/>
    <w:rsid w:val="00431690"/>
    <w:rPr>
      <w:rFonts w:ascii="Arial" w:hAnsi="Arial"/>
      <w:szCs w:val="24"/>
    </w:rPr>
  </w:style>
  <w:style w:type="paragraph" w:styleId="Retraitcorpset1relig">
    <w:name w:val="Body Text First Indent 2"/>
    <w:basedOn w:val="Retraitcorpsdetexte"/>
    <w:link w:val="Retraitcorpset1religCar"/>
    <w:rsid w:val="00431690"/>
    <w:pPr>
      <w:tabs>
        <w:tab w:val="clear" w:pos="284"/>
      </w:tabs>
      <w:spacing w:after="120" w:line="240" w:lineRule="auto"/>
      <w:ind w:left="283" w:firstLine="210"/>
    </w:pPr>
    <w:rPr>
      <w:sz w:val="20"/>
      <w:szCs w:val="24"/>
    </w:rPr>
  </w:style>
  <w:style w:type="character" w:customStyle="1" w:styleId="RetraitcorpsdetexteCar">
    <w:name w:val="Retrait corps de texte Car"/>
    <w:link w:val="Retraitcorpsdetexte"/>
    <w:rsid w:val="00431690"/>
    <w:rPr>
      <w:rFonts w:ascii="Arial" w:hAnsi="Arial"/>
      <w:sz w:val="22"/>
    </w:rPr>
  </w:style>
  <w:style w:type="character" w:customStyle="1" w:styleId="Retraitcorpset1religCar">
    <w:name w:val="Retrait corps et 1re lig. Car"/>
    <w:link w:val="Retraitcorpset1relig"/>
    <w:rsid w:val="00431690"/>
    <w:rPr>
      <w:rFonts w:ascii="Arial" w:hAnsi="Arial"/>
      <w:sz w:val="22"/>
      <w:szCs w:val="24"/>
    </w:rPr>
  </w:style>
  <w:style w:type="paragraph" w:styleId="Textedemacro">
    <w:name w:val="macro"/>
    <w:link w:val="TextedemacroCar"/>
    <w:rsid w:val="00431690"/>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TextedemacroCar">
    <w:name w:val="Texte de macro Car"/>
    <w:link w:val="Textedemacro"/>
    <w:rsid w:val="00431690"/>
    <w:rPr>
      <w:rFonts w:ascii="Courier New" w:hAnsi="Courier New" w:cs="Courier New"/>
    </w:rPr>
  </w:style>
  <w:style w:type="paragraph" w:styleId="Formuledepolitesse">
    <w:name w:val="Closing"/>
    <w:basedOn w:val="Normal"/>
    <w:link w:val="FormuledepolitesseCar"/>
    <w:rsid w:val="00431690"/>
    <w:pPr>
      <w:ind w:left="4252"/>
      <w:jc w:val="both"/>
    </w:pPr>
    <w:rPr>
      <w:rFonts w:ascii="Arial" w:hAnsi="Arial"/>
      <w:sz w:val="20"/>
    </w:rPr>
  </w:style>
  <w:style w:type="character" w:customStyle="1" w:styleId="FormuledepolitesseCar">
    <w:name w:val="Formule de politesse Car"/>
    <w:link w:val="Formuledepolitesse"/>
    <w:rsid w:val="00431690"/>
    <w:rPr>
      <w:rFonts w:ascii="Arial" w:hAnsi="Arial"/>
      <w:szCs w:val="24"/>
    </w:rPr>
  </w:style>
  <w:style w:type="paragraph" w:styleId="Listecontinue">
    <w:name w:val="List Continue"/>
    <w:basedOn w:val="Normal"/>
    <w:rsid w:val="00431690"/>
    <w:pPr>
      <w:spacing w:after="120"/>
      <w:ind w:left="283"/>
      <w:jc w:val="both"/>
    </w:pPr>
    <w:rPr>
      <w:rFonts w:ascii="Arial" w:hAnsi="Arial"/>
      <w:sz w:val="20"/>
    </w:rPr>
  </w:style>
  <w:style w:type="paragraph" w:styleId="Listecontinue2">
    <w:name w:val="List Continue 2"/>
    <w:basedOn w:val="Normal"/>
    <w:rsid w:val="00431690"/>
    <w:pPr>
      <w:spacing w:after="120"/>
      <w:ind w:left="566"/>
      <w:jc w:val="both"/>
    </w:pPr>
    <w:rPr>
      <w:rFonts w:ascii="Arial" w:hAnsi="Arial"/>
      <w:sz w:val="20"/>
    </w:rPr>
  </w:style>
  <w:style w:type="paragraph" w:styleId="Listecontinue3">
    <w:name w:val="List Continue 3"/>
    <w:basedOn w:val="Normal"/>
    <w:rsid w:val="00431690"/>
    <w:pPr>
      <w:spacing w:after="120"/>
      <w:ind w:left="849"/>
      <w:jc w:val="both"/>
    </w:pPr>
    <w:rPr>
      <w:rFonts w:ascii="Arial" w:hAnsi="Arial"/>
      <w:sz w:val="20"/>
    </w:rPr>
  </w:style>
  <w:style w:type="paragraph" w:styleId="Listecontinue4">
    <w:name w:val="List Continue 4"/>
    <w:basedOn w:val="Normal"/>
    <w:rsid w:val="00431690"/>
    <w:pPr>
      <w:spacing w:after="120"/>
      <w:ind w:left="1132"/>
      <w:jc w:val="both"/>
    </w:pPr>
    <w:rPr>
      <w:rFonts w:ascii="Arial" w:hAnsi="Arial"/>
      <w:sz w:val="20"/>
    </w:rPr>
  </w:style>
  <w:style w:type="paragraph" w:styleId="Listecontinue5">
    <w:name w:val="List Continue 5"/>
    <w:basedOn w:val="Normal"/>
    <w:rsid w:val="00431690"/>
    <w:pPr>
      <w:spacing w:after="120"/>
      <w:ind w:left="1415"/>
      <w:jc w:val="both"/>
    </w:pPr>
    <w:rPr>
      <w:rFonts w:ascii="Arial" w:hAnsi="Arial"/>
      <w:sz w:val="20"/>
    </w:rPr>
  </w:style>
  <w:style w:type="paragraph" w:styleId="En-ttedemessage">
    <w:name w:val="Message Header"/>
    <w:basedOn w:val="Normal"/>
    <w:link w:val="En-ttedemessageCar"/>
    <w:rsid w:val="00431690"/>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rPr>
  </w:style>
  <w:style w:type="character" w:customStyle="1" w:styleId="En-ttedemessageCar">
    <w:name w:val="En-tête de message Car"/>
    <w:link w:val="En-ttedemessage"/>
    <w:rsid w:val="00431690"/>
    <w:rPr>
      <w:rFonts w:ascii="Arial" w:hAnsi="Arial" w:cs="Arial"/>
      <w:sz w:val="24"/>
      <w:szCs w:val="24"/>
      <w:shd w:val="pct20" w:color="auto" w:fill="auto"/>
    </w:rPr>
  </w:style>
  <w:style w:type="paragraph" w:styleId="Titredenote">
    <w:name w:val="Note Heading"/>
    <w:basedOn w:val="Normal"/>
    <w:next w:val="Normal"/>
    <w:link w:val="TitredenoteCar"/>
    <w:rsid w:val="00431690"/>
    <w:pPr>
      <w:jc w:val="both"/>
    </w:pPr>
    <w:rPr>
      <w:rFonts w:ascii="Arial" w:hAnsi="Arial"/>
      <w:sz w:val="20"/>
    </w:rPr>
  </w:style>
  <w:style w:type="character" w:customStyle="1" w:styleId="TitredenoteCar">
    <w:name w:val="Titre de note Car"/>
    <w:link w:val="Titredenote"/>
    <w:rsid w:val="00431690"/>
    <w:rPr>
      <w:rFonts w:ascii="Arial" w:hAnsi="Arial"/>
      <w:szCs w:val="24"/>
    </w:rPr>
  </w:style>
  <w:style w:type="paragraph" w:styleId="Date">
    <w:name w:val="Date"/>
    <w:basedOn w:val="Normal"/>
    <w:next w:val="Normal"/>
    <w:link w:val="DateCar"/>
    <w:rsid w:val="00431690"/>
    <w:pPr>
      <w:jc w:val="both"/>
    </w:pPr>
    <w:rPr>
      <w:rFonts w:ascii="Arial" w:hAnsi="Arial"/>
      <w:sz w:val="20"/>
    </w:rPr>
  </w:style>
  <w:style w:type="character" w:customStyle="1" w:styleId="DateCar">
    <w:name w:val="Date Car"/>
    <w:link w:val="Date"/>
    <w:rsid w:val="00431690"/>
    <w:rPr>
      <w:rFonts w:ascii="Arial" w:hAnsi="Arial"/>
      <w:szCs w:val="24"/>
    </w:rPr>
  </w:style>
  <w:style w:type="paragraph" w:styleId="Liste2">
    <w:name w:val="List 2"/>
    <w:basedOn w:val="Normal"/>
    <w:rsid w:val="00431690"/>
    <w:pPr>
      <w:ind w:left="566" w:hanging="283"/>
      <w:jc w:val="both"/>
    </w:pPr>
    <w:rPr>
      <w:rFonts w:ascii="Arial" w:hAnsi="Arial"/>
      <w:sz w:val="20"/>
    </w:rPr>
  </w:style>
  <w:style w:type="paragraph" w:styleId="Liste3">
    <w:name w:val="List 3"/>
    <w:basedOn w:val="Normal"/>
    <w:rsid w:val="00431690"/>
    <w:pPr>
      <w:ind w:left="849" w:hanging="283"/>
      <w:jc w:val="both"/>
    </w:pPr>
    <w:rPr>
      <w:rFonts w:ascii="Arial" w:hAnsi="Arial"/>
      <w:sz w:val="20"/>
    </w:rPr>
  </w:style>
  <w:style w:type="paragraph" w:styleId="Liste4">
    <w:name w:val="List 4"/>
    <w:basedOn w:val="Normal"/>
    <w:rsid w:val="00431690"/>
    <w:pPr>
      <w:ind w:left="1132" w:hanging="283"/>
      <w:jc w:val="both"/>
    </w:pPr>
    <w:rPr>
      <w:rFonts w:ascii="Arial" w:hAnsi="Arial"/>
      <w:sz w:val="20"/>
    </w:rPr>
  </w:style>
  <w:style w:type="paragraph" w:styleId="Liste5">
    <w:name w:val="List 5"/>
    <w:basedOn w:val="Normal"/>
    <w:rsid w:val="00431690"/>
    <w:pPr>
      <w:ind w:left="1415" w:hanging="283"/>
      <w:jc w:val="both"/>
    </w:pPr>
    <w:rPr>
      <w:rFonts w:ascii="Arial" w:hAnsi="Arial"/>
      <w:sz w:val="20"/>
    </w:rPr>
  </w:style>
  <w:style w:type="paragraph" w:styleId="Listenumros">
    <w:name w:val="List Number"/>
    <w:basedOn w:val="Normal"/>
    <w:rsid w:val="00431690"/>
    <w:pPr>
      <w:numPr>
        <w:numId w:val="16"/>
      </w:numPr>
      <w:jc w:val="both"/>
    </w:pPr>
    <w:rPr>
      <w:rFonts w:ascii="Arial" w:hAnsi="Arial"/>
      <w:sz w:val="20"/>
    </w:rPr>
  </w:style>
  <w:style w:type="paragraph" w:styleId="Listenumros2">
    <w:name w:val="List Number 2"/>
    <w:basedOn w:val="Normal"/>
    <w:rsid w:val="00431690"/>
    <w:pPr>
      <w:numPr>
        <w:numId w:val="17"/>
      </w:numPr>
      <w:jc w:val="both"/>
    </w:pPr>
    <w:rPr>
      <w:rFonts w:ascii="Arial" w:hAnsi="Arial"/>
      <w:sz w:val="20"/>
    </w:rPr>
  </w:style>
  <w:style w:type="paragraph" w:styleId="Listenumros3">
    <w:name w:val="List Number 3"/>
    <w:basedOn w:val="Normal"/>
    <w:rsid w:val="00431690"/>
    <w:pPr>
      <w:numPr>
        <w:numId w:val="18"/>
      </w:numPr>
      <w:jc w:val="both"/>
    </w:pPr>
    <w:rPr>
      <w:rFonts w:ascii="Arial" w:hAnsi="Arial"/>
      <w:sz w:val="20"/>
    </w:rPr>
  </w:style>
  <w:style w:type="paragraph" w:styleId="Listenumros4">
    <w:name w:val="List Number 4"/>
    <w:basedOn w:val="Normal"/>
    <w:rsid w:val="00431690"/>
    <w:pPr>
      <w:numPr>
        <w:numId w:val="19"/>
      </w:numPr>
      <w:jc w:val="both"/>
    </w:pPr>
    <w:rPr>
      <w:rFonts w:ascii="Arial" w:hAnsi="Arial"/>
      <w:sz w:val="20"/>
    </w:rPr>
  </w:style>
  <w:style w:type="paragraph" w:styleId="Listenumros5">
    <w:name w:val="List Number 5"/>
    <w:basedOn w:val="Normal"/>
    <w:rsid w:val="00431690"/>
    <w:pPr>
      <w:numPr>
        <w:numId w:val="20"/>
      </w:numPr>
      <w:jc w:val="both"/>
    </w:pPr>
    <w:rPr>
      <w:rFonts w:ascii="Arial" w:hAnsi="Arial"/>
      <w:sz w:val="20"/>
    </w:rPr>
  </w:style>
  <w:style w:type="paragraph" w:styleId="Listepuces">
    <w:name w:val="List Bullet"/>
    <w:basedOn w:val="Normal"/>
    <w:rsid w:val="00431690"/>
    <w:pPr>
      <w:numPr>
        <w:numId w:val="21"/>
      </w:numPr>
      <w:jc w:val="both"/>
    </w:pPr>
    <w:rPr>
      <w:rFonts w:ascii="Arial" w:hAnsi="Arial"/>
      <w:sz w:val="20"/>
    </w:rPr>
  </w:style>
  <w:style w:type="paragraph" w:styleId="Listepuces2">
    <w:name w:val="List Bullet 2"/>
    <w:basedOn w:val="Normal"/>
    <w:rsid w:val="00431690"/>
    <w:pPr>
      <w:numPr>
        <w:numId w:val="22"/>
      </w:numPr>
      <w:jc w:val="both"/>
    </w:pPr>
    <w:rPr>
      <w:rFonts w:ascii="Arial" w:hAnsi="Arial"/>
      <w:sz w:val="20"/>
    </w:rPr>
  </w:style>
  <w:style w:type="paragraph" w:styleId="Listepuces3">
    <w:name w:val="List Bullet 3"/>
    <w:basedOn w:val="Normal"/>
    <w:rsid w:val="00431690"/>
    <w:pPr>
      <w:numPr>
        <w:numId w:val="23"/>
      </w:numPr>
      <w:jc w:val="both"/>
    </w:pPr>
    <w:rPr>
      <w:rFonts w:ascii="Arial" w:hAnsi="Arial"/>
      <w:sz w:val="20"/>
    </w:rPr>
  </w:style>
  <w:style w:type="paragraph" w:styleId="Listepuces4">
    <w:name w:val="List Bullet 4"/>
    <w:basedOn w:val="Normal"/>
    <w:rsid w:val="00431690"/>
    <w:pPr>
      <w:numPr>
        <w:numId w:val="24"/>
      </w:numPr>
      <w:jc w:val="both"/>
    </w:pPr>
    <w:rPr>
      <w:rFonts w:ascii="Arial" w:hAnsi="Arial"/>
      <w:sz w:val="20"/>
    </w:rPr>
  </w:style>
  <w:style w:type="paragraph" w:styleId="Listepuces5">
    <w:name w:val="List Bullet 5"/>
    <w:basedOn w:val="Normal"/>
    <w:rsid w:val="00431690"/>
    <w:pPr>
      <w:numPr>
        <w:numId w:val="25"/>
      </w:numPr>
      <w:jc w:val="both"/>
    </w:pPr>
    <w:rPr>
      <w:rFonts w:ascii="Arial" w:hAnsi="Arial"/>
      <w:sz w:val="20"/>
    </w:rPr>
  </w:style>
  <w:style w:type="paragraph" w:styleId="Salutations">
    <w:name w:val="Salutation"/>
    <w:basedOn w:val="Normal"/>
    <w:next w:val="Normal"/>
    <w:link w:val="SalutationsCar"/>
    <w:rsid w:val="00431690"/>
    <w:pPr>
      <w:jc w:val="both"/>
    </w:pPr>
    <w:rPr>
      <w:rFonts w:ascii="Arial" w:hAnsi="Arial"/>
      <w:sz w:val="20"/>
    </w:rPr>
  </w:style>
  <w:style w:type="character" w:customStyle="1" w:styleId="SalutationsCar">
    <w:name w:val="Salutations Car"/>
    <w:link w:val="Salutations"/>
    <w:rsid w:val="00431690"/>
    <w:rPr>
      <w:rFonts w:ascii="Arial" w:hAnsi="Arial"/>
      <w:szCs w:val="24"/>
    </w:rPr>
  </w:style>
  <w:style w:type="paragraph" w:customStyle="1" w:styleId="Ttulo3CTE">
    <w:name w:val="Título3CTE"/>
    <w:basedOn w:val="Normal"/>
    <w:next w:val="Normal"/>
    <w:autoRedefine/>
    <w:rsid w:val="00431690"/>
    <w:pPr>
      <w:keepNext/>
      <w:suppressAutoHyphens/>
      <w:spacing w:before="200" w:after="100"/>
      <w:jc w:val="both"/>
      <w:outlineLvl w:val="3"/>
    </w:pPr>
    <w:rPr>
      <w:rFonts w:ascii="Arial" w:hAnsi="Arial"/>
      <w:b/>
      <w:bCs/>
      <w:color w:val="000000"/>
      <w:sz w:val="20"/>
      <w:szCs w:val="20"/>
    </w:rPr>
  </w:style>
  <w:style w:type="paragraph" w:customStyle="1" w:styleId="TtuloSeccionCTE">
    <w:name w:val="TítuloSeccionCTE"/>
    <w:rsid w:val="00431690"/>
    <w:pPr>
      <w:keepNext/>
      <w:outlineLvl w:val="0"/>
    </w:pPr>
    <w:rPr>
      <w:rFonts w:ascii="Arial" w:hAnsi="Arial"/>
      <w:b/>
      <w:bCs/>
      <w:sz w:val="32"/>
      <w:szCs w:val="24"/>
    </w:rPr>
  </w:style>
  <w:style w:type="paragraph" w:customStyle="1" w:styleId="Comentario">
    <w:name w:val="Comentario"/>
    <w:basedOn w:val="Normal"/>
    <w:link w:val="ComentarioCar"/>
    <w:rsid w:val="00431690"/>
    <w:pPr>
      <w:pBdr>
        <w:left w:val="single" w:sz="4" w:space="4" w:color="auto"/>
      </w:pBdr>
      <w:autoSpaceDE w:val="0"/>
      <w:autoSpaceDN w:val="0"/>
      <w:adjustRightInd w:val="0"/>
      <w:spacing w:before="60" w:after="60"/>
      <w:ind w:left="1531"/>
      <w:jc w:val="both"/>
    </w:pPr>
    <w:rPr>
      <w:rFonts w:ascii="Arial" w:hAnsi="Arial" w:cs="Arial"/>
      <w:sz w:val="16"/>
      <w:szCs w:val="16"/>
    </w:rPr>
  </w:style>
  <w:style w:type="character" w:customStyle="1" w:styleId="ComentarioCar">
    <w:name w:val="Comentario Car"/>
    <w:link w:val="Comentario"/>
    <w:rsid w:val="00431690"/>
    <w:rPr>
      <w:rFonts w:ascii="Arial" w:hAnsi="Arial" w:cs="Arial"/>
      <w:sz w:val="16"/>
      <w:szCs w:val="16"/>
    </w:rPr>
  </w:style>
  <w:style w:type="character" w:customStyle="1" w:styleId="CTEComarchivarCar">
    <w:name w:val="CTE_Com_archivar Car"/>
    <w:link w:val="CTEComarchivar"/>
    <w:rsid w:val="00431690"/>
    <w:rPr>
      <w:rFonts w:ascii="Arial" w:eastAsia="Arial" w:hAnsi="Arial" w:cs="Arial"/>
      <w:kern w:val="2"/>
      <w:sz w:val="16"/>
      <w:szCs w:val="16"/>
      <w:shd w:val="clear" w:color="auto" w:fill="C0C0C0"/>
      <w:lang w:eastAsia="zh-CN" w:bidi="hi-IN"/>
    </w:rPr>
  </w:style>
  <w:style w:type="paragraph" w:customStyle="1" w:styleId="ComentarioNuevo">
    <w:name w:val="ComentarioNuevo"/>
    <w:basedOn w:val="Comentario"/>
    <w:link w:val="ComentarioNuevoCar"/>
    <w:rsid w:val="00431690"/>
    <w:pPr>
      <w:pBdr>
        <w:left w:val="double" w:sz="4" w:space="4" w:color="auto"/>
      </w:pBdr>
    </w:pPr>
  </w:style>
  <w:style w:type="character" w:customStyle="1" w:styleId="ComentarioNuevoCar">
    <w:name w:val="ComentarioNuevo Car"/>
    <w:link w:val="ComentarioNuevo"/>
    <w:rsid w:val="00431690"/>
    <w:rPr>
      <w:rFonts w:ascii="Arial" w:hAnsi="Arial" w:cs="Arial"/>
      <w:sz w:val="16"/>
      <w:szCs w:val="16"/>
    </w:rPr>
  </w:style>
  <w:style w:type="paragraph" w:customStyle="1" w:styleId="Comentarioespacio">
    <w:name w:val="Comentario_espacio"/>
    <w:basedOn w:val="Comentario"/>
    <w:rsid w:val="00431690"/>
    <w:pPr>
      <w:pBdr>
        <w:left w:val="none" w:sz="0" w:space="0" w:color="auto"/>
      </w:pBdr>
      <w:spacing w:before="0" w:after="0"/>
    </w:pPr>
    <w:rPr>
      <w:sz w:val="12"/>
    </w:rPr>
  </w:style>
  <w:style w:type="paragraph" w:customStyle="1" w:styleId="Tablas8">
    <w:name w:val="Tablas8"/>
    <w:basedOn w:val="Normal"/>
    <w:rsid w:val="00431690"/>
    <w:pPr>
      <w:keepNext/>
      <w:jc w:val="center"/>
      <w:outlineLvl w:val="5"/>
    </w:pPr>
    <w:rPr>
      <w:rFonts w:ascii="Arial" w:hAnsi="Arial"/>
      <w:sz w:val="16"/>
    </w:rPr>
  </w:style>
  <w:style w:type="character" w:customStyle="1" w:styleId="NotedebasdepageCar">
    <w:name w:val="Note de bas de page Car"/>
    <w:link w:val="Notedebasdepage"/>
    <w:uiPriority w:val="99"/>
    <w:rsid w:val="00431690"/>
    <w:rPr>
      <w:rFonts w:ascii="Arial" w:hAnsi="Arial"/>
    </w:rPr>
  </w:style>
  <w:style w:type="paragraph" w:customStyle="1" w:styleId="Figuras">
    <w:name w:val="Figuras"/>
    <w:aliases w:val="tablas,imágenes"/>
    <w:basedOn w:val="Normal"/>
    <w:qFormat/>
    <w:rsid w:val="00431690"/>
    <w:pPr>
      <w:spacing w:before="100" w:beforeAutospacing="1" w:after="100" w:afterAutospacing="1" w:line="360" w:lineRule="auto"/>
      <w:jc w:val="center"/>
    </w:pPr>
    <w:rPr>
      <w:rFonts w:ascii="Century Gothic" w:hAnsi="Century Gothic"/>
      <w:sz w:val="16"/>
    </w:rPr>
  </w:style>
  <w:style w:type="paragraph" w:customStyle="1" w:styleId="Ttulo5CTE">
    <w:name w:val="Título5CTE"/>
    <w:basedOn w:val="Normal"/>
    <w:next w:val="Normal"/>
    <w:autoRedefine/>
    <w:rsid w:val="00431690"/>
    <w:pPr>
      <w:jc w:val="both"/>
    </w:pPr>
    <w:rPr>
      <w:rFonts w:ascii="Arial" w:hAnsi="Arial" w:cs="Arial"/>
      <w:sz w:val="20"/>
    </w:rPr>
  </w:style>
  <w:style w:type="character" w:customStyle="1" w:styleId="NumeracinCTECar">
    <w:name w:val="NumeraciónCTE Car"/>
    <w:link w:val="NumeracinCTE"/>
    <w:rsid w:val="00431690"/>
    <w:rPr>
      <w:rFonts w:ascii="Arial" w:eastAsia="Arial" w:hAnsi="Arial" w:cs="Arial"/>
      <w:kern w:val="2"/>
      <w:sz w:val="22"/>
      <w:lang w:eastAsia="zh-CN" w:bidi="hi-IN"/>
    </w:rPr>
  </w:style>
  <w:style w:type="character" w:styleId="Appeldenotedefin">
    <w:name w:val="endnote reference"/>
    <w:rsid w:val="00431690"/>
    <w:rPr>
      <w:vertAlign w:val="superscript"/>
    </w:rPr>
  </w:style>
  <w:style w:type="character" w:styleId="Textedelespacerserv">
    <w:name w:val="Placeholder Text"/>
    <w:uiPriority w:val="99"/>
    <w:semiHidden/>
    <w:rsid w:val="00431690"/>
    <w:rPr>
      <w:color w:val="808080"/>
    </w:rPr>
  </w:style>
  <w:style w:type="table" w:styleId="Tableausimple3">
    <w:name w:val="Table Simple 3"/>
    <w:basedOn w:val="TableauNormal"/>
    <w:rsid w:val="00431690"/>
    <w:rPr>
      <w:rFonts w:eastAsia="SimSu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1">
    <w:name w:val="Tabla con cuadrícula1"/>
    <w:basedOn w:val="TableauNormal"/>
    <w:next w:val="Grilledutableau"/>
    <w:uiPriority w:val="59"/>
    <w:rsid w:val="00431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1CTEAntes24ptoDespus8pto">
    <w:name w:val="Estilo Título1CTE + Antes:  24 pto Después:  8 pto"/>
    <w:basedOn w:val="Ttulo1CTE"/>
    <w:autoRedefine/>
    <w:rsid w:val="0084739B"/>
    <w:pPr>
      <w:pageBreakBefore/>
      <w:spacing w:before="480" w:after="160"/>
    </w:pPr>
    <w:rPr>
      <w:rFonts w:cs="Times New Roman"/>
      <w:kern w:val="0"/>
      <w:szCs w:val="20"/>
    </w:rPr>
  </w:style>
  <w:style w:type="paragraph" w:customStyle="1" w:styleId="xl63">
    <w:name w:val="xl63"/>
    <w:basedOn w:val="Normal"/>
    <w:rsid w:val="00431690"/>
    <w:pPr>
      <w:shd w:val="clear" w:color="FFFFFF" w:fill="C0C0C0"/>
      <w:spacing w:before="100" w:beforeAutospacing="1" w:after="100" w:afterAutospacing="1"/>
      <w:jc w:val="center"/>
    </w:pPr>
    <w:rPr>
      <w:rFonts w:ascii="Arial" w:hAnsi="Arial" w:cs="Arial"/>
      <w:b/>
      <w:bCs/>
      <w:sz w:val="20"/>
      <w:szCs w:val="20"/>
    </w:rPr>
  </w:style>
  <w:style w:type="paragraph" w:customStyle="1" w:styleId="xl64">
    <w:name w:val="xl64"/>
    <w:basedOn w:val="Normal"/>
    <w:rsid w:val="00431690"/>
    <w:pPr>
      <w:spacing w:before="100" w:beforeAutospacing="1" w:after="100" w:afterAutospacing="1"/>
      <w:jc w:val="center"/>
    </w:pPr>
    <w:rPr>
      <w:rFonts w:ascii="Arial" w:hAnsi="Arial" w:cs="Arial"/>
      <w:sz w:val="20"/>
      <w:szCs w:val="20"/>
    </w:rPr>
  </w:style>
  <w:style w:type="paragraph" w:customStyle="1" w:styleId="xl65">
    <w:name w:val="xl65"/>
    <w:basedOn w:val="Normal"/>
    <w:rsid w:val="00431690"/>
    <w:pPr>
      <w:spacing w:before="100" w:beforeAutospacing="1" w:after="100" w:afterAutospacing="1"/>
    </w:pPr>
    <w:rPr>
      <w:rFonts w:ascii="Arial" w:hAnsi="Arial" w:cs="Arial"/>
      <w:sz w:val="20"/>
      <w:szCs w:val="20"/>
    </w:rPr>
  </w:style>
  <w:style w:type="paragraph" w:customStyle="1" w:styleId="xl66">
    <w:name w:val="xl66"/>
    <w:basedOn w:val="Normal"/>
    <w:rsid w:val="00431690"/>
    <w:pPr>
      <w:spacing w:before="100" w:beforeAutospacing="1" w:after="100" w:afterAutospacing="1"/>
    </w:pPr>
    <w:rPr>
      <w:rFonts w:ascii="Arial" w:hAnsi="Arial" w:cs="Arial"/>
      <w:sz w:val="20"/>
      <w:szCs w:val="20"/>
    </w:rPr>
  </w:style>
  <w:style w:type="paragraph" w:customStyle="1" w:styleId="xl67">
    <w:name w:val="xl67"/>
    <w:basedOn w:val="Normal"/>
    <w:rsid w:val="00431690"/>
    <w:pPr>
      <w:shd w:val="clear" w:color="FFFFFF" w:fill="C0C0C0"/>
      <w:spacing w:before="100" w:beforeAutospacing="1" w:after="100" w:afterAutospacing="1"/>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71658">
      <w:bodyDiv w:val="1"/>
      <w:marLeft w:val="0"/>
      <w:marRight w:val="0"/>
      <w:marTop w:val="0"/>
      <w:marBottom w:val="0"/>
      <w:divBdr>
        <w:top w:val="none" w:sz="0" w:space="0" w:color="auto"/>
        <w:left w:val="none" w:sz="0" w:space="0" w:color="auto"/>
        <w:bottom w:val="none" w:sz="0" w:space="0" w:color="auto"/>
        <w:right w:val="none" w:sz="0" w:space="0" w:color="auto"/>
      </w:divBdr>
    </w:div>
    <w:div w:id="85793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word\Modelos\R.D.%20BLAN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7549651b13b11446518be28548b62826">
  <xsd:schema xmlns:xsd="http://www.w3.org/2001/XMLSchema" xmlns:xs="http://www.w3.org/2001/XMLSchema" xmlns:p="http://schemas.microsoft.com/office/2006/metadata/properties" xmlns:ns1="http://schemas.microsoft.com/sharepoint/v3" targetNamespace="http://schemas.microsoft.com/office/2006/metadata/properties" ma:root="true" ma:fieldsID="70d4e0a4fc136c90bc7b75900902a2c3"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5181C-F0A1-47BA-8A43-FB943A4EA1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F4DF72A-1249-4EE4-B292-DCB38A5DA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D4F77-2C93-4738-9719-45D84DBF70F9}">
  <ds:schemaRefs>
    <ds:schemaRef ds:uri="http://schemas.openxmlformats.org/officeDocument/2006/bibliography"/>
  </ds:schemaRefs>
</ds:datastoreItem>
</file>

<file path=customXml/itemProps4.xml><?xml version="1.0" encoding="utf-8"?>
<ds:datastoreItem xmlns:ds="http://schemas.openxmlformats.org/officeDocument/2006/customXml" ds:itemID="{840E1556-9CCE-4C52-9876-209E4B3D1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R.D. BLANCA.dot</Template>
  <TotalTime>30</TotalTime>
  <Pages>153</Pages>
  <Words>51242</Words>
  <Characters>281831</Characters>
  <Application>Microsoft Office Word</Application>
  <DocSecurity>0</DocSecurity>
  <Lines>2348</Lines>
  <Paragraphs>664</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Se propone al Consejo de Ministros la aprobación del siguiente proyecto de disposición:</vt:lpstr>
      <vt:lpstr>Se propone al Consejo de Ministros la aprobación del siguiente proyecto de disposición:</vt:lpstr>
    </vt:vector>
  </TitlesOfParts>
  <Company>Ministerio de Fomento</Company>
  <LinksUpToDate>false</LinksUpToDate>
  <CharactersWithSpaces>332409</CharactersWithSpaces>
  <SharedDoc>false</SharedDoc>
  <HLinks>
    <vt:vector size="480" baseType="variant">
      <vt:variant>
        <vt:i4>5963883</vt:i4>
      </vt:variant>
      <vt:variant>
        <vt:i4>245</vt:i4>
      </vt:variant>
      <vt:variant>
        <vt:i4>0</vt:i4>
      </vt:variant>
      <vt:variant>
        <vt:i4>5</vt:i4>
      </vt:variant>
      <vt:variant>
        <vt:lpwstr/>
      </vt:variant>
      <vt:variant>
        <vt:lpwstr>Anejo_H</vt:lpwstr>
      </vt:variant>
      <vt:variant>
        <vt:i4>5963883</vt:i4>
      </vt:variant>
      <vt:variant>
        <vt:i4>242</vt:i4>
      </vt:variant>
      <vt:variant>
        <vt:i4>0</vt:i4>
      </vt:variant>
      <vt:variant>
        <vt:i4>5</vt:i4>
      </vt:variant>
      <vt:variant>
        <vt:lpwstr/>
      </vt:variant>
      <vt:variant>
        <vt:lpwstr>Anejo_G</vt:lpwstr>
      </vt:variant>
      <vt:variant>
        <vt:i4>5963883</vt:i4>
      </vt:variant>
      <vt:variant>
        <vt:i4>239</vt:i4>
      </vt:variant>
      <vt:variant>
        <vt:i4>0</vt:i4>
      </vt:variant>
      <vt:variant>
        <vt:i4>5</vt:i4>
      </vt:variant>
      <vt:variant>
        <vt:lpwstr/>
      </vt:variant>
      <vt:variant>
        <vt:lpwstr>Anejo_F</vt:lpwstr>
      </vt:variant>
      <vt:variant>
        <vt:i4>5963883</vt:i4>
      </vt:variant>
      <vt:variant>
        <vt:i4>236</vt:i4>
      </vt:variant>
      <vt:variant>
        <vt:i4>0</vt:i4>
      </vt:variant>
      <vt:variant>
        <vt:i4>5</vt:i4>
      </vt:variant>
      <vt:variant>
        <vt:lpwstr/>
      </vt:variant>
      <vt:variant>
        <vt:lpwstr>Anejo_E</vt:lpwstr>
      </vt:variant>
      <vt:variant>
        <vt:i4>5963883</vt:i4>
      </vt:variant>
      <vt:variant>
        <vt:i4>233</vt:i4>
      </vt:variant>
      <vt:variant>
        <vt:i4>0</vt:i4>
      </vt:variant>
      <vt:variant>
        <vt:i4>5</vt:i4>
      </vt:variant>
      <vt:variant>
        <vt:lpwstr/>
      </vt:variant>
      <vt:variant>
        <vt:lpwstr>Anejo_D</vt:lpwstr>
      </vt:variant>
      <vt:variant>
        <vt:i4>5963883</vt:i4>
      </vt:variant>
      <vt:variant>
        <vt:i4>230</vt:i4>
      </vt:variant>
      <vt:variant>
        <vt:i4>0</vt:i4>
      </vt:variant>
      <vt:variant>
        <vt:i4>5</vt:i4>
      </vt:variant>
      <vt:variant>
        <vt:lpwstr/>
      </vt:variant>
      <vt:variant>
        <vt:lpwstr>Anejo_C</vt:lpwstr>
      </vt:variant>
      <vt:variant>
        <vt:i4>5963883</vt:i4>
      </vt:variant>
      <vt:variant>
        <vt:i4>227</vt:i4>
      </vt:variant>
      <vt:variant>
        <vt:i4>0</vt:i4>
      </vt:variant>
      <vt:variant>
        <vt:i4>5</vt:i4>
      </vt:variant>
      <vt:variant>
        <vt:lpwstr/>
      </vt:variant>
      <vt:variant>
        <vt:lpwstr>Anejo_B</vt:lpwstr>
      </vt:variant>
      <vt:variant>
        <vt:i4>5963883</vt:i4>
      </vt:variant>
      <vt:variant>
        <vt:i4>224</vt:i4>
      </vt:variant>
      <vt:variant>
        <vt:i4>0</vt:i4>
      </vt:variant>
      <vt:variant>
        <vt:i4>5</vt:i4>
      </vt:variant>
      <vt:variant>
        <vt:lpwstr/>
      </vt:variant>
      <vt:variant>
        <vt:lpwstr>Anejo_A</vt:lpwstr>
      </vt:variant>
      <vt:variant>
        <vt:i4>1638461</vt:i4>
      </vt:variant>
      <vt:variant>
        <vt:i4>221</vt:i4>
      </vt:variant>
      <vt:variant>
        <vt:i4>0</vt:i4>
      </vt:variant>
      <vt:variant>
        <vt:i4>5</vt:i4>
      </vt:variant>
      <vt:variant>
        <vt:lpwstr/>
      </vt:variant>
      <vt:variant>
        <vt:lpwstr>_Toc530396182</vt:lpwstr>
      </vt:variant>
      <vt:variant>
        <vt:i4>16318523</vt:i4>
      </vt:variant>
      <vt:variant>
        <vt:i4>218</vt:i4>
      </vt:variant>
      <vt:variant>
        <vt:i4>0</vt:i4>
      </vt:variant>
      <vt:variant>
        <vt:i4>5</vt:i4>
      </vt:variant>
      <vt:variant>
        <vt:lpwstr/>
      </vt:variant>
      <vt:variant>
        <vt:lpwstr>Sección_HE5_ControlObra</vt:lpwstr>
      </vt:variant>
      <vt:variant>
        <vt:i4>1638461</vt:i4>
      </vt:variant>
      <vt:variant>
        <vt:i4>215</vt:i4>
      </vt:variant>
      <vt:variant>
        <vt:i4>0</vt:i4>
      </vt:variant>
      <vt:variant>
        <vt:i4>5</vt:i4>
      </vt:variant>
      <vt:variant>
        <vt:lpwstr/>
      </vt:variant>
      <vt:variant>
        <vt:lpwstr>_Toc530396180</vt:lpwstr>
      </vt:variant>
      <vt:variant>
        <vt:i4>9764950</vt:i4>
      </vt:variant>
      <vt:variant>
        <vt:i4>212</vt:i4>
      </vt:variant>
      <vt:variant>
        <vt:i4>0</vt:i4>
      </vt:variant>
      <vt:variant>
        <vt:i4>5</vt:i4>
      </vt:variant>
      <vt:variant>
        <vt:lpwstr/>
      </vt:variant>
      <vt:variant>
        <vt:lpwstr>Sección_HE5_Ejecucion</vt:lpwstr>
      </vt:variant>
      <vt:variant>
        <vt:i4>1441853</vt:i4>
      </vt:variant>
      <vt:variant>
        <vt:i4>209</vt:i4>
      </vt:variant>
      <vt:variant>
        <vt:i4>0</vt:i4>
      </vt:variant>
      <vt:variant>
        <vt:i4>5</vt:i4>
      </vt:variant>
      <vt:variant>
        <vt:lpwstr/>
      </vt:variant>
      <vt:variant>
        <vt:lpwstr>_Toc530396178</vt:lpwstr>
      </vt:variant>
      <vt:variant>
        <vt:i4>9961563</vt:i4>
      </vt:variant>
      <vt:variant>
        <vt:i4>206</vt:i4>
      </vt:variant>
      <vt:variant>
        <vt:i4>0</vt:i4>
      </vt:variant>
      <vt:variant>
        <vt:i4>5</vt:i4>
      </vt:variant>
      <vt:variant>
        <vt:lpwstr/>
      </vt:variant>
      <vt:variant>
        <vt:lpwstr>Sección_HE5_Justificacion</vt:lpwstr>
      </vt:variant>
      <vt:variant>
        <vt:i4>1441853</vt:i4>
      </vt:variant>
      <vt:variant>
        <vt:i4>203</vt:i4>
      </vt:variant>
      <vt:variant>
        <vt:i4>0</vt:i4>
      </vt:variant>
      <vt:variant>
        <vt:i4>5</vt:i4>
      </vt:variant>
      <vt:variant>
        <vt:lpwstr/>
      </vt:variant>
      <vt:variant>
        <vt:lpwstr>_Toc530396176</vt:lpwstr>
      </vt:variant>
      <vt:variant>
        <vt:i4>14680124</vt:i4>
      </vt:variant>
      <vt:variant>
        <vt:i4>200</vt:i4>
      </vt:variant>
      <vt:variant>
        <vt:i4>0</vt:i4>
      </vt:variant>
      <vt:variant>
        <vt:i4>5</vt:i4>
      </vt:variant>
      <vt:variant>
        <vt:lpwstr/>
      </vt:variant>
      <vt:variant>
        <vt:lpwstr>Sección_HE5_Caracterizacion</vt:lpwstr>
      </vt:variant>
      <vt:variant>
        <vt:i4>1441853</vt:i4>
      </vt:variant>
      <vt:variant>
        <vt:i4>197</vt:i4>
      </vt:variant>
      <vt:variant>
        <vt:i4>0</vt:i4>
      </vt:variant>
      <vt:variant>
        <vt:i4>5</vt:i4>
      </vt:variant>
      <vt:variant>
        <vt:lpwstr/>
      </vt:variant>
      <vt:variant>
        <vt:lpwstr>_Toc530396174</vt:lpwstr>
      </vt:variant>
      <vt:variant>
        <vt:i4>13566079</vt:i4>
      </vt:variant>
      <vt:variant>
        <vt:i4>194</vt:i4>
      </vt:variant>
      <vt:variant>
        <vt:i4>0</vt:i4>
      </vt:variant>
      <vt:variant>
        <vt:i4>5</vt:i4>
      </vt:variant>
      <vt:variant>
        <vt:lpwstr/>
      </vt:variant>
      <vt:variant>
        <vt:lpwstr>Sección_HE5</vt:lpwstr>
      </vt:variant>
      <vt:variant>
        <vt:i4>1441853</vt:i4>
      </vt:variant>
      <vt:variant>
        <vt:i4>191</vt:i4>
      </vt:variant>
      <vt:variant>
        <vt:i4>0</vt:i4>
      </vt:variant>
      <vt:variant>
        <vt:i4>5</vt:i4>
      </vt:variant>
      <vt:variant>
        <vt:lpwstr/>
      </vt:variant>
      <vt:variant>
        <vt:lpwstr>_Toc530396172</vt:lpwstr>
      </vt:variant>
      <vt:variant>
        <vt:i4>16318522</vt:i4>
      </vt:variant>
      <vt:variant>
        <vt:i4>188</vt:i4>
      </vt:variant>
      <vt:variant>
        <vt:i4>0</vt:i4>
      </vt:variant>
      <vt:variant>
        <vt:i4>5</vt:i4>
      </vt:variant>
      <vt:variant>
        <vt:lpwstr/>
      </vt:variant>
      <vt:variant>
        <vt:lpwstr>Sección_HE4_ControlObra</vt:lpwstr>
      </vt:variant>
      <vt:variant>
        <vt:i4>1441853</vt:i4>
      </vt:variant>
      <vt:variant>
        <vt:i4>185</vt:i4>
      </vt:variant>
      <vt:variant>
        <vt:i4>0</vt:i4>
      </vt:variant>
      <vt:variant>
        <vt:i4>5</vt:i4>
      </vt:variant>
      <vt:variant>
        <vt:lpwstr/>
      </vt:variant>
      <vt:variant>
        <vt:lpwstr>_Toc530396170</vt:lpwstr>
      </vt:variant>
      <vt:variant>
        <vt:i4>9764951</vt:i4>
      </vt:variant>
      <vt:variant>
        <vt:i4>182</vt:i4>
      </vt:variant>
      <vt:variant>
        <vt:i4>0</vt:i4>
      </vt:variant>
      <vt:variant>
        <vt:i4>5</vt:i4>
      </vt:variant>
      <vt:variant>
        <vt:lpwstr/>
      </vt:variant>
      <vt:variant>
        <vt:lpwstr>Sección_HE4_Ejecucion</vt:lpwstr>
      </vt:variant>
      <vt:variant>
        <vt:i4>1507389</vt:i4>
      </vt:variant>
      <vt:variant>
        <vt:i4>179</vt:i4>
      </vt:variant>
      <vt:variant>
        <vt:i4>0</vt:i4>
      </vt:variant>
      <vt:variant>
        <vt:i4>5</vt:i4>
      </vt:variant>
      <vt:variant>
        <vt:lpwstr/>
      </vt:variant>
      <vt:variant>
        <vt:lpwstr>_Toc530396168</vt:lpwstr>
      </vt:variant>
      <vt:variant>
        <vt:i4>9961562</vt:i4>
      </vt:variant>
      <vt:variant>
        <vt:i4>176</vt:i4>
      </vt:variant>
      <vt:variant>
        <vt:i4>0</vt:i4>
      </vt:variant>
      <vt:variant>
        <vt:i4>5</vt:i4>
      </vt:variant>
      <vt:variant>
        <vt:lpwstr/>
      </vt:variant>
      <vt:variant>
        <vt:lpwstr>Sección_HE4_Justificacion</vt:lpwstr>
      </vt:variant>
      <vt:variant>
        <vt:i4>1507389</vt:i4>
      </vt:variant>
      <vt:variant>
        <vt:i4>173</vt:i4>
      </vt:variant>
      <vt:variant>
        <vt:i4>0</vt:i4>
      </vt:variant>
      <vt:variant>
        <vt:i4>5</vt:i4>
      </vt:variant>
      <vt:variant>
        <vt:lpwstr/>
      </vt:variant>
      <vt:variant>
        <vt:lpwstr>_Toc530396166</vt:lpwstr>
      </vt:variant>
      <vt:variant>
        <vt:i4>15532084</vt:i4>
      </vt:variant>
      <vt:variant>
        <vt:i4>170</vt:i4>
      </vt:variant>
      <vt:variant>
        <vt:i4>0</vt:i4>
      </vt:variant>
      <vt:variant>
        <vt:i4>5</vt:i4>
      </vt:variant>
      <vt:variant>
        <vt:lpwstr/>
      </vt:variant>
      <vt:variant>
        <vt:lpwstr>Sección_HE4_Cuantificacion</vt:lpwstr>
      </vt:variant>
      <vt:variant>
        <vt:i4>1507389</vt:i4>
      </vt:variant>
      <vt:variant>
        <vt:i4>167</vt:i4>
      </vt:variant>
      <vt:variant>
        <vt:i4>0</vt:i4>
      </vt:variant>
      <vt:variant>
        <vt:i4>5</vt:i4>
      </vt:variant>
      <vt:variant>
        <vt:lpwstr/>
      </vt:variant>
      <vt:variant>
        <vt:lpwstr>_Toc530396164</vt:lpwstr>
      </vt:variant>
      <vt:variant>
        <vt:i4>14680125</vt:i4>
      </vt:variant>
      <vt:variant>
        <vt:i4>164</vt:i4>
      </vt:variant>
      <vt:variant>
        <vt:i4>0</vt:i4>
      </vt:variant>
      <vt:variant>
        <vt:i4>5</vt:i4>
      </vt:variant>
      <vt:variant>
        <vt:lpwstr/>
      </vt:variant>
      <vt:variant>
        <vt:lpwstr>Sección_HE4_Caracterizacion</vt:lpwstr>
      </vt:variant>
      <vt:variant>
        <vt:i4>1507389</vt:i4>
      </vt:variant>
      <vt:variant>
        <vt:i4>161</vt:i4>
      </vt:variant>
      <vt:variant>
        <vt:i4>0</vt:i4>
      </vt:variant>
      <vt:variant>
        <vt:i4>5</vt:i4>
      </vt:variant>
      <vt:variant>
        <vt:lpwstr/>
      </vt:variant>
      <vt:variant>
        <vt:lpwstr>_Toc530396162</vt:lpwstr>
      </vt:variant>
      <vt:variant>
        <vt:i4>13566079</vt:i4>
      </vt:variant>
      <vt:variant>
        <vt:i4>158</vt:i4>
      </vt:variant>
      <vt:variant>
        <vt:i4>0</vt:i4>
      </vt:variant>
      <vt:variant>
        <vt:i4>5</vt:i4>
      </vt:variant>
      <vt:variant>
        <vt:lpwstr/>
      </vt:variant>
      <vt:variant>
        <vt:lpwstr>Sección_HE4</vt:lpwstr>
      </vt:variant>
      <vt:variant>
        <vt:i4>1507389</vt:i4>
      </vt:variant>
      <vt:variant>
        <vt:i4>155</vt:i4>
      </vt:variant>
      <vt:variant>
        <vt:i4>0</vt:i4>
      </vt:variant>
      <vt:variant>
        <vt:i4>5</vt:i4>
      </vt:variant>
      <vt:variant>
        <vt:lpwstr/>
      </vt:variant>
      <vt:variant>
        <vt:lpwstr>_Toc530396160</vt:lpwstr>
      </vt:variant>
      <vt:variant>
        <vt:i4>16318525</vt:i4>
      </vt:variant>
      <vt:variant>
        <vt:i4>152</vt:i4>
      </vt:variant>
      <vt:variant>
        <vt:i4>0</vt:i4>
      </vt:variant>
      <vt:variant>
        <vt:i4>5</vt:i4>
      </vt:variant>
      <vt:variant>
        <vt:lpwstr/>
      </vt:variant>
      <vt:variant>
        <vt:lpwstr>Sección_HE3_ControlObra</vt:lpwstr>
      </vt:variant>
      <vt:variant>
        <vt:i4>1310781</vt:i4>
      </vt:variant>
      <vt:variant>
        <vt:i4>149</vt:i4>
      </vt:variant>
      <vt:variant>
        <vt:i4>0</vt:i4>
      </vt:variant>
      <vt:variant>
        <vt:i4>5</vt:i4>
      </vt:variant>
      <vt:variant>
        <vt:lpwstr/>
      </vt:variant>
      <vt:variant>
        <vt:lpwstr>_Toc530396158</vt:lpwstr>
      </vt:variant>
      <vt:variant>
        <vt:i4>9764944</vt:i4>
      </vt:variant>
      <vt:variant>
        <vt:i4>146</vt:i4>
      </vt:variant>
      <vt:variant>
        <vt:i4>0</vt:i4>
      </vt:variant>
      <vt:variant>
        <vt:i4>5</vt:i4>
      </vt:variant>
      <vt:variant>
        <vt:lpwstr/>
      </vt:variant>
      <vt:variant>
        <vt:lpwstr>Sección_HE3_Ejecucion</vt:lpwstr>
      </vt:variant>
      <vt:variant>
        <vt:i4>1310781</vt:i4>
      </vt:variant>
      <vt:variant>
        <vt:i4>143</vt:i4>
      </vt:variant>
      <vt:variant>
        <vt:i4>0</vt:i4>
      </vt:variant>
      <vt:variant>
        <vt:i4>5</vt:i4>
      </vt:variant>
      <vt:variant>
        <vt:lpwstr/>
      </vt:variant>
      <vt:variant>
        <vt:lpwstr>_Toc530396156</vt:lpwstr>
      </vt:variant>
      <vt:variant>
        <vt:i4>9961565</vt:i4>
      </vt:variant>
      <vt:variant>
        <vt:i4>140</vt:i4>
      </vt:variant>
      <vt:variant>
        <vt:i4>0</vt:i4>
      </vt:variant>
      <vt:variant>
        <vt:i4>5</vt:i4>
      </vt:variant>
      <vt:variant>
        <vt:lpwstr/>
      </vt:variant>
      <vt:variant>
        <vt:lpwstr>Sección_HE3_Justificacion</vt:lpwstr>
      </vt:variant>
      <vt:variant>
        <vt:i4>1310781</vt:i4>
      </vt:variant>
      <vt:variant>
        <vt:i4>137</vt:i4>
      </vt:variant>
      <vt:variant>
        <vt:i4>0</vt:i4>
      </vt:variant>
      <vt:variant>
        <vt:i4>5</vt:i4>
      </vt:variant>
      <vt:variant>
        <vt:lpwstr/>
      </vt:variant>
      <vt:variant>
        <vt:lpwstr>_Toc530396154</vt:lpwstr>
      </vt:variant>
      <vt:variant>
        <vt:i4>9830516</vt:i4>
      </vt:variant>
      <vt:variant>
        <vt:i4>134</vt:i4>
      </vt:variant>
      <vt:variant>
        <vt:i4>0</vt:i4>
      </vt:variant>
      <vt:variant>
        <vt:i4>5</vt:i4>
      </vt:variant>
      <vt:variant>
        <vt:lpwstr/>
      </vt:variant>
      <vt:variant>
        <vt:lpwstr>Sección_HE3_Cuantificacion_SistemasContr</vt:lpwstr>
      </vt:variant>
      <vt:variant>
        <vt:i4>1310781</vt:i4>
      </vt:variant>
      <vt:variant>
        <vt:i4>131</vt:i4>
      </vt:variant>
      <vt:variant>
        <vt:i4>0</vt:i4>
      </vt:variant>
      <vt:variant>
        <vt:i4>5</vt:i4>
      </vt:variant>
      <vt:variant>
        <vt:lpwstr/>
      </vt:variant>
      <vt:variant>
        <vt:lpwstr>_Toc530396152</vt:lpwstr>
      </vt:variant>
      <vt:variant>
        <vt:i4>15532083</vt:i4>
      </vt:variant>
      <vt:variant>
        <vt:i4>128</vt:i4>
      </vt:variant>
      <vt:variant>
        <vt:i4>0</vt:i4>
      </vt:variant>
      <vt:variant>
        <vt:i4>5</vt:i4>
      </vt:variant>
      <vt:variant>
        <vt:lpwstr/>
      </vt:variant>
      <vt:variant>
        <vt:lpwstr>Sección_HE3_Cuantificacion</vt:lpwstr>
      </vt:variant>
      <vt:variant>
        <vt:i4>1310781</vt:i4>
      </vt:variant>
      <vt:variant>
        <vt:i4>125</vt:i4>
      </vt:variant>
      <vt:variant>
        <vt:i4>0</vt:i4>
      </vt:variant>
      <vt:variant>
        <vt:i4>5</vt:i4>
      </vt:variant>
      <vt:variant>
        <vt:lpwstr/>
      </vt:variant>
      <vt:variant>
        <vt:lpwstr>_Toc530396150</vt:lpwstr>
      </vt:variant>
      <vt:variant>
        <vt:i4>14680122</vt:i4>
      </vt:variant>
      <vt:variant>
        <vt:i4>122</vt:i4>
      </vt:variant>
      <vt:variant>
        <vt:i4>0</vt:i4>
      </vt:variant>
      <vt:variant>
        <vt:i4>5</vt:i4>
      </vt:variant>
      <vt:variant>
        <vt:lpwstr/>
      </vt:variant>
      <vt:variant>
        <vt:lpwstr>Sección_HE3_Caracterizacion</vt:lpwstr>
      </vt:variant>
      <vt:variant>
        <vt:i4>1376317</vt:i4>
      </vt:variant>
      <vt:variant>
        <vt:i4>119</vt:i4>
      </vt:variant>
      <vt:variant>
        <vt:i4>0</vt:i4>
      </vt:variant>
      <vt:variant>
        <vt:i4>5</vt:i4>
      </vt:variant>
      <vt:variant>
        <vt:lpwstr/>
      </vt:variant>
      <vt:variant>
        <vt:lpwstr>_Toc530396148</vt:lpwstr>
      </vt:variant>
      <vt:variant>
        <vt:i4>13566079</vt:i4>
      </vt:variant>
      <vt:variant>
        <vt:i4>116</vt:i4>
      </vt:variant>
      <vt:variant>
        <vt:i4>0</vt:i4>
      </vt:variant>
      <vt:variant>
        <vt:i4>5</vt:i4>
      </vt:variant>
      <vt:variant>
        <vt:lpwstr/>
      </vt:variant>
      <vt:variant>
        <vt:lpwstr>Sección_HE3</vt:lpwstr>
      </vt:variant>
      <vt:variant>
        <vt:i4>13566079</vt:i4>
      </vt:variant>
      <vt:variant>
        <vt:i4>113</vt:i4>
      </vt:variant>
      <vt:variant>
        <vt:i4>0</vt:i4>
      </vt:variant>
      <vt:variant>
        <vt:i4>5</vt:i4>
      </vt:variant>
      <vt:variant>
        <vt:lpwstr/>
      </vt:variant>
      <vt:variant>
        <vt:lpwstr>Sección_HE2</vt:lpwstr>
      </vt:variant>
      <vt:variant>
        <vt:i4>9896006</vt:i4>
      </vt:variant>
      <vt:variant>
        <vt:i4>110</vt:i4>
      </vt:variant>
      <vt:variant>
        <vt:i4>0</vt:i4>
      </vt:variant>
      <vt:variant>
        <vt:i4>5</vt:i4>
      </vt:variant>
      <vt:variant>
        <vt:lpwstr/>
      </vt:variant>
      <vt:variant>
        <vt:lpwstr>Sección_HE1_Mantenimiento</vt:lpwstr>
      </vt:variant>
      <vt:variant>
        <vt:i4>1376317</vt:i4>
      </vt:variant>
      <vt:variant>
        <vt:i4>107</vt:i4>
      </vt:variant>
      <vt:variant>
        <vt:i4>0</vt:i4>
      </vt:variant>
      <vt:variant>
        <vt:i4>5</vt:i4>
      </vt:variant>
      <vt:variant>
        <vt:lpwstr/>
      </vt:variant>
      <vt:variant>
        <vt:lpwstr>_Toc530396144</vt:lpwstr>
      </vt:variant>
      <vt:variant>
        <vt:i4>9830488</vt:i4>
      </vt:variant>
      <vt:variant>
        <vt:i4>104</vt:i4>
      </vt:variant>
      <vt:variant>
        <vt:i4>0</vt:i4>
      </vt:variant>
      <vt:variant>
        <vt:i4>5</vt:i4>
      </vt:variant>
      <vt:variant>
        <vt:lpwstr/>
      </vt:variant>
      <vt:variant>
        <vt:lpwstr>Sección_HE1_ControlEjecucion</vt:lpwstr>
      </vt:variant>
      <vt:variant>
        <vt:i4>1376317</vt:i4>
      </vt:variant>
      <vt:variant>
        <vt:i4>101</vt:i4>
      </vt:variant>
      <vt:variant>
        <vt:i4>0</vt:i4>
      </vt:variant>
      <vt:variant>
        <vt:i4>5</vt:i4>
      </vt:variant>
      <vt:variant>
        <vt:lpwstr/>
      </vt:variant>
      <vt:variant>
        <vt:lpwstr>_Toc530396142</vt:lpwstr>
      </vt:variant>
      <vt:variant>
        <vt:i4>9764946</vt:i4>
      </vt:variant>
      <vt:variant>
        <vt:i4>98</vt:i4>
      </vt:variant>
      <vt:variant>
        <vt:i4>0</vt:i4>
      </vt:variant>
      <vt:variant>
        <vt:i4>5</vt:i4>
      </vt:variant>
      <vt:variant>
        <vt:lpwstr/>
      </vt:variant>
      <vt:variant>
        <vt:lpwstr>Sección_HE1_Ejecucion</vt:lpwstr>
      </vt:variant>
      <vt:variant>
        <vt:i4>1376317</vt:i4>
      </vt:variant>
      <vt:variant>
        <vt:i4>95</vt:i4>
      </vt:variant>
      <vt:variant>
        <vt:i4>0</vt:i4>
      </vt:variant>
      <vt:variant>
        <vt:i4>5</vt:i4>
      </vt:variant>
      <vt:variant>
        <vt:lpwstr/>
      </vt:variant>
      <vt:variant>
        <vt:lpwstr>_Toc530396140</vt:lpwstr>
      </vt:variant>
      <vt:variant>
        <vt:i4>8388686</vt:i4>
      </vt:variant>
      <vt:variant>
        <vt:i4>92</vt:i4>
      </vt:variant>
      <vt:variant>
        <vt:i4>0</vt:i4>
      </vt:variant>
      <vt:variant>
        <vt:i4>5</vt:i4>
      </vt:variant>
      <vt:variant>
        <vt:lpwstr/>
      </vt:variant>
      <vt:variant>
        <vt:lpwstr>Sección_HE1_CaracteristicasProductos</vt:lpwstr>
      </vt:variant>
      <vt:variant>
        <vt:i4>1179709</vt:i4>
      </vt:variant>
      <vt:variant>
        <vt:i4>89</vt:i4>
      </vt:variant>
      <vt:variant>
        <vt:i4>0</vt:i4>
      </vt:variant>
      <vt:variant>
        <vt:i4>5</vt:i4>
      </vt:variant>
      <vt:variant>
        <vt:lpwstr/>
      </vt:variant>
      <vt:variant>
        <vt:lpwstr>_Toc530396138</vt:lpwstr>
      </vt:variant>
      <vt:variant>
        <vt:i4>9961567</vt:i4>
      </vt:variant>
      <vt:variant>
        <vt:i4>86</vt:i4>
      </vt:variant>
      <vt:variant>
        <vt:i4>0</vt:i4>
      </vt:variant>
      <vt:variant>
        <vt:i4>5</vt:i4>
      </vt:variant>
      <vt:variant>
        <vt:lpwstr/>
      </vt:variant>
      <vt:variant>
        <vt:lpwstr>Sección_HE1_Justificacion</vt:lpwstr>
      </vt:variant>
      <vt:variant>
        <vt:i4>1179709</vt:i4>
      </vt:variant>
      <vt:variant>
        <vt:i4>83</vt:i4>
      </vt:variant>
      <vt:variant>
        <vt:i4>0</vt:i4>
      </vt:variant>
      <vt:variant>
        <vt:i4>5</vt:i4>
      </vt:variant>
      <vt:variant>
        <vt:lpwstr/>
      </vt:variant>
      <vt:variant>
        <vt:lpwstr>_Toc530396136</vt:lpwstr>
      </vt:variant>
      <vt:variant>
        <vt:i4>15007749</vt:i4>
      </vt:variant>
      <vt:variant>
        <vt:i4>80</vt:i4>
      </vt:variant>
      <vt:variant>
        <vt:i4>0</vt:i4>
      </vt:variant>
      <vt:variant>
        <vt:i4>5</vt:i4>
      </vt:variant>
      <vt:variant>
        <vt:lpwstr/>
      </vt:variant>
      <vt:variant>
        <vt:lpwstr>Sección_HE1_Cuantificacion_Descomp</vt:lpwstr>
      </vt:variant>
      <vt:variant>
        <vt:i4>1179709</vt:i4>
      </vt:variant>
      <vt:variant>
        <vt:i4>77</vt:i4>
      </vt:variant>
      <vt:variant>
        <vt:i4>0</vt:i4>
      </vt:variant>
      <vt:variant>
        <vt:i4>5</vt:i4>
      </vt:variant>
      <vt:variant>
        <vt:lpwstr/>
      </vt:variant>
      <vt:variant>
        <vt:lpwstr>_Toc530396131</vt:lpwstr>
      </vt:variant>
      <vt:variant>
        <vt:i4>15532081</vt:i4>
      </vt:variant>
      <vt:variant>
        <vt:i4>74</vt:i4>
      </vt:variant>
      <vt:variant>
        <vt:i4>0</vt:i4>
      </vt:variant>
      <vt:variant>
        <vt:i4>5</vt:i4>
      </vt:variant>
      <vt:variant>
        <vt:lpwstr/>
      </vt:variant>
      <vt:variant>
        <vt:lpwstr>Sección_HE1_Cuantificacion</vt:lpwstr>
      </vt:variant>
      <vt:variant>
        <vt:i4>1245245</vt:i4>
      </vt:variant>
      <vt:variant>
        <vt:i4>71</vt:i4>
      </vt:variant>
      <vt:variant>
        <vt:i4>0</vt:i4>
      </vt:variant>
      <vt:variant>
        <vt:i4>5</vt:i4>
      </vt:variant>
      <vt:variant>
        <vt:lpwstr/>
      </vt:variant>
      <vt:variant>
        <vt:lpwstr>_Toc530396129</vt:lpwstr>
      </vt:variant>
      <vt:variant>
        <vt:i4>16449593</vt:i4>
      </vt:variant>
      <vt:variant>
        <vt:i4>68</vt:i4>
      </vt:variant>
      <vt:variant>
        <vt:i4>0</vt:i4>
      </vt:variant>
      <vt:variant>
        <vt:i4>5</vt:i4>
      </vt:variant>
      <vt:variant>
        <vt:lpwstr/>
      </vt:variant>
      <vt:variant>
        <vt:lpwstr>Sección_HE1_Ambito</vt:lpwstr>
      </vt:variant>
      <vt:variant>
        <vt:i4>1245245</vt:i4>
      </vt:variant>
      <vt:variant>
        <vt:i4>65</vt:i4>
      </vt:variant>
      <vt:variant>
        <vt:i4>0</vt:i4>
      </vt:variant>
      <vt:variant>
        <vt:i4>5</vt:i4>
      </vt:variant>
      <vt:variant>
        <vt:lpwstr/>
      </vt:variant>
      <vt:variant>
        <vt:lpwstr>_Toc530396127</vt:lpwstr>
      </vt:variant>
      <vt:variant>
        <vt:i4>9896007</vt:i4>
      </vt:variant>
      <vt:variant>
        <vt:i4>62</vt:i4>
      </vt:variant>
      <vt:variant>
        <vt:i4>0</vt:i4>
      </vt:variant>
      <vt:variant>
        <vt:i4>5</vt:i4>
      </vt:variant>
      <vt:variant>
        <vt:lpwstr/>
      </vt:variant>
      <vt:variant>
        <vt:lpwstr>Sección_HE0_Mantenimiento</vt:lpwstr>
      </vt:variant>
      <vt:variant>
        <vt:i4>1245245</vt:i4>
      </vt:variant>
      <vt:variant>
        <vt:i4>59</vt:i4>
      </vt:variant>
      <vt:variant>
        <vt:i4>0</vt:i4>
      </vt:variant>
      <vt:variant>
        <vt:i4>5</vt:i4>
      </vt:variant>
      <vt:variant>
        <vt:lpwstr/>
      </vt:variant>
      <vt:variant>
        <vt:lpwstr>_Toc530396125</vt:lpwstr>
      </vt:variant>
      <vt:variant>
        <vt:i4>9830489</vt:i4>
      </vt:variant>
      <vt:variant>
        <vt:i4>56</vt:i4>
      </vt:variant>
      <vt:variant>
        <vt:i4>0</vt:i4>
      </vt:variant>
      <vt:variant>
        <vt:i4>5</vt:i4>
      </vt:variant>
      <vt:variant>
        <vt:lpwstr/>
      </vt:variant>
      <vt:variant>
        <vt:lpwstr>Sección_HE0_ControlEjecucion</vt:lpwstr>
      </vt:variant>
      <vt:variant>
        <vt:i4>1245245</vt:i4>
      </vt:variant>
      <vt:variant>
        <vt:i4>53</vt:i4>
      </vt:variant>
      <vt:variant>
        <vt:i4>0</vt:i4>
      </vt:variant>
      <vt:variant>
        <vt:i4>5</vt:i4>
      </vt:variant>
      <vt:variant>
        <vt:lpwstr/>
      </vt:variant>
      <vt:variant>
        <vt:lpwstr>_Toc530396123</vt:lpwstr>
      </vt:variant>
      <vt:variant>
        <vt:i4>9764947</vt:i4>
      </vt:variant>
      <vt:variant>
        <vt:i4>50</vt:i4>
      </vt:variant>
      <vt:variant>
        <vt:i4>0</vt:i4>
      </vt:variant>
      <vt:variant>
        <vt:i4>5</vt:i4>
      </vt:variant>
      <vt:variant>
        <vt:lpwstr/>
      </vt:variant>
      <vt:variant>
        <vt:lpwstr>Sección_HE0_Ejecucion</vt:lpwstr>
      </vt:variant>
      <vt:variant>
        <vt:i4>1245245</vt:i4>
      </vt:variant>
      <vt:variant>
        <vt:i4>47</vt:i4>
      </vt:variant>
      <vt:variant>
        <vt:i4>0</vt:i4>
      </vt:variant>
      <vt:variant>
        <vt:i4>5</vt:i4>
      </vt:variant>
      <vt:variant>
        <vt:lpwstr/>
      </vt:variant>
      <vt:variant>
        <vt:lpwstr>_Toc530396121</vt:lpwstr>
      </vt:variant>
      <vt:variant>
        <vt:i4>9306180</vt:i4>
      </vt:variant>
      <vt:variant>
        <vt:i4>44</vt:i4>
      </vt:variant>
      <vt:variant>
        <vt:i4>0</vt:i4>
      </vt:variant>
      <vt:variant>
        <vt:i4>5</vt:i4>
      </vt:variant>
      <vt:variant>
        <vt:lpwstr/>
      </vt:variant>
      <vt:variant>
        <vt:lpwstr>Sección_HE0_SuperficieCalculo</vt:lpwstr>
      </vt:variant>
      <vt:variant>
        <vt:i4>1048637</vt:i4>
      </vt:variant>
      <vt:variant>
        <vt:i4>41</vt:i4>
      </vt:variant>
      <vt:variant>
        <vt:i4>0</vt:i4>
      </vt:variant>
      <vt:variant>
        <vt:i4>5</vt:i4>
      </vt:variant>
      <vt:variant>
        <vt:lpwstr/>
      </vt:variant>
      <vt:variant>
        <vt:lpwstr>_Toc530396119</vt:lpwstr>
      </vt:variant>
      <vt:variant>
        <vt:i4>16056362</vt:i4>
      </vt:variant>
      <vt:variant>
        <vt:i4>38</vt:i4>
      </vt:variant>
      <vt:variant>
        <vt:i4>0</vt:i4>
      </vt:variant>
      <vt:variant>
        <vt:i4>5</vt:i4>
      </vt:variant>
      <vt:variant>
        <vt:lpwstr/>
      </vt:variant>
      <vt:variant>
        <vt:lpwstr>Sección_HE0_Modelo</vt:lpwstr>
      </vt:variant>
      <vt:variant>
        <vt:i4>1048637</vt:i4>
      </vt:variant>
      <vt:variant>
        <vt:i4>35</vt:i4>
      </vt:variant>
      <vt:variant>
        <vt:i4>0</vt:i4>
      </vt:variant>
      <vt:variant>
        <vt:i4>5</vt:i4>
      </vt:variant>
      <vt:variant>
        <vt:lpwstr/>
      </vt:variant>
      <vt:variant>
        <vt:lpwstr>_Toc530396117</vt:lpwstr>
      </vt:variant>
      <vt:variant>
        <vt:i4>10420295</vt:i4>
      </vt:variant>
      <vt:variant>
        <vt:i4>32</vt:i4>
      </vt:variant>
      <vt:variant>
        <vt:i4>0</vt:i4>
      </vt:variant>
      <vt:variant>
        <vt:i4>5</vt:i4>
      </vt:variant>
      <vt:variant>
        <vt:lpwstr/>
      </vt:variant>
      <vt:variant>
        <vt:lpwstr>Sección_HE0_SolicitacionesExteriores</vt:lpwstr>
      </vt:variant>
      <vt:variant>
        <vt:i4>1048637</vt:i4>
      </vt:variant>
      <vt:variant>
        <vt:i4>29</vt:i4>
      </vt:variant>
      <vt:variant>
        <vt:i4>0</vt:i4>
      </vt:variant>
      <vt:variant>
        <vt:i4>5</vt:i4>
      </vt:variant>
      <vt:variant>
        <vt:lpwstr/>
      </vt:variant>
      <vt:variant>
        <vt:lpwstr>_Toc530396115</vt:lpwstr>
      </vt:variant>
      <vt:variant>
        <vt:i4>10027099</vt:i4>
      </vt:variant>
      <vt:variant>
        <vt:i4>26</vt:i4>
      </vt:variant>
      <vt:variant>
        <vt:i4>0</vt:i4>
      </vt:variant>
      <vt:variant>
        <vt:i4>5</vt:i4>
      </vt:variant>
      <vt:variant>
        <vt:lpwstr/>
      </vt:variant>
      <vt:variant>
        <vt:lpwstr>Sección_HE0_Procedimiento</vt:lpwstr>
      </vt:variant>
      <vt:variant>
        <vt:i4>1048637</vt:i4>
      </vt:variant>
      <vt:variant>
        <vt:i4>23</vt:i4>
      </vt:variant>
      <vt:variant>
        <vt:i4>0</vt:i4>
      </vt:variant>
      <vt:variant>
        <vt:i4>5</vt:i4>
      </vt:variant>
      <vt:variant>
        <vt:lpwstr/>
      </vt:variant>
      <vt:variant>
        <vt:lpwstr>_Toc530396113</vt:lpwstr>
      </vt:variant>
      <vt:variant>
        <vt:i4>9175140</vt:i4>
      </vt:variant>
      <vt:variant>
        <vt:i4>20</vt:i4>
      </vt:variant>
      <vt:variant>
        <vt:i4>0</vt:i4>
      </vt:variant>
      <vt:variant>
        <vt:i4>5</vt:i4>
      </vt:variant>
      <vt:variant>
        <vt:lpwstr/>
      </vt:variant>
      <vt:variant>
        <vt:lpwstr>Sección_HE0_Cuantificacion_CEPnR</vt:lpwstr>
      </vt:variant>
      <vt:variant>
        <vt:i4>1048637</vt:i4>
      </vt:variant>
      <vt:variant>
        <vt:i4>17</vt:i4>
      </vt:variant>
      <vt:variant>
        <vt:i4>0</vt:i4>
      </vt:variant>
      <vt:variant>
        <vt:i4>5</vt:i4>
      </vt:variant>
      <vt:variant>
        <vt:lpwstr/>
      </vt:variant>
      <vt:variant>
        <vt:lpwstr>_Toc530396111</vt:lpwstr>
      </vt:variant>
      <vt:variant>
        <vt:i4>14680121</vt:i4>
      </vt:variant>
      <vt:variant>
        <vt:i4>14</vt:i4>
      </vt:variant>
      <vt:variant>
        <vt:i4>0</vt:i4>
      </vt:variant>
      <vt:variant>
        <vt:i4>5</vt:i4>
      </vt:variant>
      <vt:variant>
        <vt:lpwstr/>
      </vt:variant>
      <vt:variant>
        <vt:lpwstr>Sección_HE0_Caracterizacion</vt:lpwstr>
      </vt:variant>
      <vt:variant>
        <vt:i4>16449592</vt:i4>
      </vt:variant>
      <vt:variant>
        <vt:i4>11</vt:i4>
      </vt:variant>
      <vt:variant>
        <vt:i4>0</vt:i4>
      </vt:variant>
      <vt:variant>
        <vt:i4>5</vt:i4>
      </vt:variant>
      <vt:variant>
        <vt:lpwstr/>
      </vt:variant>
      <vt:variant>
        <vt:lpwstr>Sección_HE0_Ambito</vt:lpwstr>
      </vt:variant>
      <vt:variant>
        <vt:i4>13566079</vt:i4>
      </vt:variant>
      <vt:variant>
        <vt:i4>8</vt:i4>
      </vt:variant>
      <vt:variant>
        <vt:i4>0</vt:i4>
      </vt:variant>
      <vt:variant>
        <vt:i4>5</vt:i4>
      </vt:variant>
      <vt:variant>
        <vt:lpwstr/>
      </vt:variant>
      <vt:variant>
        <vt:lpwstr>Sección_HE0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creator>jsalazar</dc:creator>
  <cp:lastModifiedBy> </cp:lastModifiedBy>
  <cp:revision>19</cp:revision>
  <cp:lastPrinted>2008-06-02T18:11:00Z</cp:lastPrinted>
  <dcterms:created xsi:type="dcterms:W3CDTF">2020-02-21T15:09:00Z</dcterms:created>
  <dcterms:modified xsi:type="dcterms:W3CDTF">2020-07-06T08:09:00Z</dcterms:modified>
</cp:coreProperties>
</file>